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仿宋_GB2312"/>
        </w:rPr>
      </w:pPr>
      <w:bookmarkStart w:id="0" w:name="_Toc228437057"/>
      <w:bookmarkStart w:id="1" w:name="_Toc228754586"/>
      <w:bookmarkStart w:id="2" w:name="_Toc228779732"/>
      <w:bookmarkStart w:id="3" w:name="_Toc228541014"/>
      <w:bookmarkStart w:id="4" w:name="_Toc219541089"/>
      <w:bookmarkStart w:id="5" w:name="_Toc230013655"/>
      <w:bookmarkStart w:id="6" w:name="_Toc229910502"/>
      <w:bookmarkStart w:id="7" w:name="_Toc229900144"/>
      <w:bookmarkStart w:id="8" w:name="_Toc219540317"/>
      <w:r>
        <w:drawing>
          <wp:inline distT="0" distB="0" distL="0" distR="0">
            <wp:extent cx="5621020" cy="745807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7"/>
                    <a:stretch>
                      <a:fillRect/>
                    </a:stretch>
                  </pic:blipFill>
                  <pic:spPr>
                    <a:xfrm>
                      <a:off x="0" y="0"/>
                      <a:ext cx="5628679" cy="7467973"/>
                    </a:xfrm>
                    <a:prstGeom prst="rect">
                      <a:avLst/>
                    </a:prstGeom>
                  </pic:spPr>
                </pic:pic>
              </a:graphicData>
            </a:graphic>
          </wp:inline>
        </w:drawing>
      </w:r>
    </w:p>
    <w:p>
      <w:pPr>
        <w:rPr>
          <w:rFonts w:eastAsia="仿宋_GB2312"/>
        </w:rPr>
        <w:sectPr>
          <w:footerReference r:id="rId3" w:type="even"/>
          <w:pgSz w:w="11906" w:h="16838"/>
          <w:pgMar w:top="1440" w:right="1800" w:bottom="1440" w:left="1800" w:header="1191" w:footer="992" w:gutter="0"/>
          <w:cols w:space="425" w:num="1"/>
          <w:docGrid w:linePitch="312" w:charSpace="0"/>
        </w:sectPr>
      </w:pPr>
      <w:r>
        <w:rPr>
          <w:rFonts w:eastAsia="仿宋_GB2312"/>
        </w:rPr>
        <w:br w:type="page"/>
      </w:r>
    </w:p>
    <w:p>
      <w:pPr>
        <w:pStyle w:val="58"/>
      </w:pPr>
      <w:r>
        <w:drawing>
          <wp:inline distT="0" distB="0" distL="0" distR="0">
            <wp:extent cx="5486400" cy="7410450"/>
            <wp:effectExtent l="0" t="0" r="0" b="0"/>
            <wp:docPr id="1120" name="图片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图片 1120"/>
                    <pic:cNvPicPr>
                      <a:picLocks noChangeAspect="1"/>
                    </pic:cNvPicPr>
                  </pic:nvPicPr>
                  <pic:blipFill>
                    <a:blip r:embed="rId38"/>
                    <a:stretch>
                      <a:fillRect/>
                    </a:stretch>
                  </pic:blipFill>
                  <pic:spPr>
                    <a:xfrm>
                      <a:off x="0" y="0"/>
                      <a:ext cx="5496092" cy="7423010"/>
                    </a:xfrm>
                    <a:prstGeom prst="rect">
                      <a:avLst/>
                    </a:prstGeom>
                  </pic:spPr>
                </pic:pic>
              </a:graphicData>
            </a:graphic>
          </wp:inline>
        </w:drawing>
      </w:r>
    </w:p>
    <w:p>
      <w:pPr>
        <w:rPr>
          <w:rFonts w:hint="eastAsia"/>
        </w:rPr>
        <w:sectPr>
          <w:headerReference r:id="rId4" w:type="default"/>
          <w:footerReference r:id="rId5" w:type="default"/>
          <w:pgSz w:w="11906" w:h="16838"/>
          <w:pgMar w:top="1440" w:right="1797" w:bottom="1440" w:left="1797" w:header="851" w:footer="992" w:gutter="0"/>
          <w:pgNumType w:fmt="upperRoman" w:start="1"/>
          <w:cols w:space="425" w:num="1"/>
          <w:docGrid w:type="lines" w:linePitch="312" w:charSpace="0"/>
        </w:sectPr>
      </w:pPr>
    </w:p>
    <w:p>
      <w:pPr>
        <w:pStyle w:val="58"/>
        <w:rPr>
          <w:sz w:val="28"/>
        </w:rPr>
      </w:pPr>
      <w:r>
        <w:rPr>
          <w:rFonts w:hint="eastAsia"/>
          <w:sz w:val="28"/>
        </w:rPr>
        <w:t>目 录</w:t>
      </w:r>
    </w:p>
    <w:p>
      <w:pPr>
        <w:pStyle w:val="58"/>
        <w:rPr>
          <w:rFonts w:asciiTheme="minorHAnsi" w:hAnsiTheme="minorHAnsi" w:eastAsiaTheme="minorEastAsia" w:cstheme="minorBidi"/>
          <w:b w:val="0"/>
          <w:bCs w:val="0"/>
          <w:sz w:val="21"/>
          <w:szCs w:val="22"/>
        </w:rPr>
      </w:pPr>
      <w:r>
        <w:rPr>
          <w:rFonts w:hint="eastAsia"/>
          <w:sz w:val="24"/>
          <w:szCs w:val="24"/>
          <w:highlight w:val="yellow"/>
        </w:rPr>
        <w:fldChar w:fldCharType="begin"/>
      </w:r>
      <w:r>
        <w:rPr>
          <w:rFonts w:hint="eastAsia"/>
          <w:sz w:val="24"/>
          <w:szCs w:val="24"/>
          <w:highlight w:val="yellow"/>
        </w:rPr>
        <w:instrText xml:space="preserve"> TOC \o "1-2" \h \z \u </w:instrText>
      </w:r>
      <w:r>
        <w:rPr>
          <w:rFonts w:hint="eastAsia"/>
          <w:sz w:val="24"/>
          <w:szCs w:val="24"/>
          <w:highlight w:val="yellow"/>
        </w:rPr>
        <w:fldChar w:fldCharType="separate"/>
      </w:r>
      <w:r>
        <w:fldChar w:fldCharType="begin"/>
      </w:r>
      <w:r>
        <w:instrText xml:space="preserve"> HYPERLINK \l "_Toc140565246" </w:instrText>
      </w:r>
      <w:r>
        <w:fldChar w:fldCharType="separate"/>
      </w:r>
      <w:r>
        <w:rPr>
          <w:rStyle w:val="105"/>
          <w:color w:val="auto"/>
        </w:rPr>
        <w:t>1</w:t>
      </w:r>
      <w:r>
        <w:rPr>
          <w:rFonts w:asciiTheme="minorHAnsi" w:hAnsiTheme="minorHAnsi" w:eastAsiaTheme="minorEastAsia" w:cstheme="minorBidi"/>
          <w:b w:val="0"/>
          <w:bCs w:val="0"/>
          <w:sz w:val="21"/>
          <w:szCs w:val="22"/>
        </w:rPr>
        <w:tab/>
      </w:r>
      <w:r>
        <w:rPr>
          <w:rStyle w:val="105"/>
          <w:color w:val="auto"/>
        </w:rPr>
        <w:t>概述</w:t>
      </w:r>
      <w:r>
        <w:tab/>
      </w:r>
      <w:r>
        <w:fldChar w:fldCharType="begin"/>
      </w:r>
      <w:r>
        <w:instrText xml:space="preserve"> PAGEREF _Toc140565246 \h </w:instrText>
      </w:r>
      <w:r>
        <w:fldChar w:fldCharType="separate"/>
      </w:r>
      <w:r>
        <w:t>1</w:t>
      </w:r>
      <w:r>
        <w:fldChar w:fldCharType="end"/>
      </w:r>
      <w:r>
        <w:fldChar w:fldCharType="end"/>
      </w:r>
    </w:p>
    <w:p>
      <w:pPr>
        <w:pStyle w:val="73"/>
        <w:rPr>
          <w:rFonts w:asciiTheme="minorHAnsi" w:hAnsiTheme="minorHAnsi" w:eastAsiaTheme="minorEastAsia" w:cstheme="minorBidi"/>
          <w:smallCaps w:val="0"/>
          <w:sz w:val="21"/>
          <w:szCs w:val="22"/>
        </w:rPr>
      </w:pPr>
      <w:r>
        <w:fldChar w:fldCharType="begin"/>
      </w:r>
      <w:r>
        <w:instrText xml:space="preserve"> HYPERLINK \l "_Toc140565247" </w:instrText>
      </w:r>
      <w:r>
        <w:fldChar w:fldCharType="separate"/>
      </w:r>
      <w:r>
        <w:rPr>
          <w:rStyle w:val="105"/>
          <w:rFonts w:ascii="仿宋" w:hAnsi="仿宋" w:eastAsia="仿宋"/>
          <w:color w:val="auto"/>
          <w:sz w:val="24"/>
        </w:rPr>
        <w:t>1.1</w:t>
      </w:r>
      <w:r>
        <w:rPr>
          <w:rStyle w:val="105"/>
          <w:rFonts w:ascii="仿宋" w:hAnsi="仿宋" w:eastAsia="仿宋"/>
          <w:color w:val="auto"/>
          <w:sz w:val="24"/>
        </w:rPr>
        <w:tab/>
      </w:r>
      <w:r>
        <w:rPr>
          <w:rStyle w:val="105"/>
          <w:rFonts w:ascii="仿宋" w:hAnsi="仿宋" w:eastAsia="仿宋"/>
          <w:color w:val="auto"/>
          <w:sz w:val="24"/>
        </w:rPr>
        <w:t>任务由来</w:t>
      </w:r>
      <w:r>
        <w:tab/>
      </w:r>
      <w:r>
        <w:fldChar w:fldCharType="begin"/>
      </w:r>
      <w:r>
        <w:instrText xml:space="preserve"> PAGEREF _Toc140565247 \h </w:instrText>
      </w:r>
      <w:r>
        <w:fldChar w:fldCharType="separate"/>
      </w:r>
      <w:r>
        <w:t>1</w:t>
      </w:r>
      <w:r>
        <w:fldChar w:fldCharType="end"/>
      </w:r>
      <w:r>
        <w:fldChar w:fldCharType="end"/>
      </w:r>
    </w:p>
    <w:p>
      <w:pPr>
        <w:pStyle w:val="73"/>
        <w:rPr>
          <w:rStyle w:val="105"/>
          <w:rFonts w:ascii="仿宋" w:hAnsi="仿宋" w:eastAsia="仿宋"/>
          <w:color w:val="auto"/>
          <w:sz w:val="24"/>
        </w:rPr>
      </w:pPr>
      <w:r>
        <w:fldChar w:fldCharType="begin"/>
      </w:r>
      <w:r>
        <w:instrText xml:space="preserve"> HYPERLINK \l "_Toc140565248" </w:instrText>
      </w:r>
      <w:r>
        <w:fldChar w:fldCharType="separate"/>
      </w:r>
      <w:r>
        <w:rPr>
          <w:rStyle w:val="105"/>
          <w:rFonts w:ascii="仿宋" w:hAnsi="仿宋" w:eastAsia="仿宋"/>
          <w:color w:val="auto"/>
          <w:sz w:val="24"/>
        </w:rPr>
        <w:t>1.2</w:t>
      </w:r>
      <w:r>
        <w:rPr>
          <w:rStyle w:val="105"/>
          <w:rFonts w:ascii="仿宋" w:hAnsi="仿宋" w:eastAsia="仿宋"/>
          <w:color w:val="auto"/>
          <w:sz w:val="24"/>
        </w:rPr>
        <w:tab/>
      </w:r>
      <w:r>
        <w:rPr>
          <w:rStyle w:val="105"/>
          <w:rFonts w:ascii="仿宋" w:hAnsi="仿宋" w:eastAsia="仿宋"/>
          <w:color w:val="auto"/>
          <w:sz w:val="24"/>
        </w:rPr>
        <w:t>建设项目特点</w:t>
      </w:r>
      <w:r>
        <w:rPr>
          <w:rStyle w:val="105"/>
          <w:rFonts w:ascii="仿宋" w:hAnsi="仿宋" w:eastAsia="仿宋"/>
          <w:color w:val="auto"/>
          <w:sz w:val="24"/>
        </w:rPr>
        <w:tab/>
      </w:r>
      <w:r>
        <w:rPr>
          <w:rStyle w:val="105"/>
          <w:rFonts w:ascii="仿宋" w:hAnsi="仿宋" w:eastAsia="仿宋"/>
          <w:color w:val="auto"/>
          <w:sz w:val="24"/>
        </w:rPr>
        <w:fldChar w:fldCharType="begin"/>
      </w:r>
      <w:r>
        <w:rPr>
          <w:rStyle w:val="105"/>
          <w:rFonts w:ascii="仿宋" w:hAnsi="仿宋" w:eastAsia="仿宋"/>
          <w:color w:val="auto"/>
          <w:sz w:val="24"/>
        </w:rPr>
        <w:instrText xml:space="preserve"> PAGEREF _Toc140565248 \h </w:instrText>
      </w:r>
      <w:r>
        <w:rPr>
          <w:rStyle w:val="105"/>
          <w:rFonts w:ascii="仿宋" w:hAnsi="仿宋" w:eastAsia="仿宋"/>
          <w:color w:val="auto"/>
          <w:sz w:val="24"/>
        </w:rPr>
        <w:fldChar w:fldCharType="separate"/>
      </w:r>
      <w:r>
        <w:rPr>
          <w:rStyle w:val="105"/>
          <w:rFonts w:ascii="仿宋" w:hAnsi="仿宋" w:eastAsia="仿宋"/>
          <w:color w:val="auto"/>
          <w:sz w:val="24"/>
        </w:rPr>
        <w:t>2</w:t>
      </w:r>
      <w:r>
        <w:rPr>
          <w:rStyle w:val="105"/>
          <w:rFonts w:ascii="仿宋" w:hAnsi="仿宋" w:eastAsia="仿宋"/>
          <w:color w:val="auto"/>
          <w:sz w:val="24"/>
        </w:rPr>
        <w:fldChar w:fldCharType="end"/>
      </w:r>
      <w:r>
        <w:rPr>
          <w:rStyle w:val="105"/>
          <w:rFonts w:ascii="仿宋" w:hAnsi="仿宋" w:eastAsia="仿宋"/>
          <w:color w:val="auto"/>
          <w:sz w:val="24"/>
        </w:rPr>
        <w:fldChar w:fldCharType="end"/>
      </w:r>
    </w:p>
    <w:p>
      <w:pPr>
        <w:pStyle w:val="73"/>
        <w:rPr>
          <w:rStyle w:val="105"/>
          <w:rFonts w:ascii="仿宋" w:hAnsi="仿宋" w:eastAsia="仿宋"/>
          <w:color w:val="auto"/>
          <w:sz w:val="24"/>
        </w:rPr>
      </w:pPr>
      <w:r>
        <w:fldChar w:fldCharType="begin"/>
      </w:r>
      <w:r>
        <w:instrText xml:space="preserve"> HYPERLINK \l "_Toc140565249" </w:instrText>
      </w:r>
      <w:r>
        <w:fldChar w:fldCharType="separate"/>
      </w:r>
      <w:r>
        <w:rPr>
          <w:rStyle w:val="105"/>
          <w:rFonts w:ascii="仿宋" w:hAnsi="仿宋" w:eastAsia="仿宋"/>
          <w:color w:val="auto"/>
          <w:sz w:val="24"/>
        </w:rPr>
        <w:t>1.3</w:t>
      </w:r>
      <w:r>
        <w:rPr>
          <w:rStyle w:val="105"/>
          <w:rFonts w:ascii="仿宋" w:hAnsi="仿宋" w:eastAsia="仿宋"/>
          <w:color w:val="auto"/>
          <w:sz w:val="24"/>
        </w:rPr>
        <w:tab/>
      </w:r>
      <w:r>
        <w:rPr>
          <w:rStyle w:val="105"/>
          <w:rFonts w:ascii="仿宋" w:hAnsi="仿宋" w:eastAsia="仿宋"/>
          <w:color w:val="auto"/>
          <w:sz w:val="24"/>
        </w:rPr>
        <w:t>分析判定相关情况</w:t>
      </w:r>
      <w:r>
        <w:rPr>
          <w:rStyle w:val="105"/>
          <w:rFonts w:ascii="仿宋" w:hAnsi="仿宋" w:eastAsia="仿宋"/>
          <w:color w:val="auto"/>
          <w:sz w:val="24"/>
        </w:rPr>
        <w:tab/>
      </w:r>
      <w:r>
        <w:rPr>
          <w:rStyle w:val="105"/>
          <w:rFonts w:ascii="仿宋" w:hAnsi="仿宋" w:eastAsia="仿宋"/>
          <w:color w:val="auto"/>
          <w:sz w:val="24"/>
        </w:rPr>
        <w:fldChar w:fldCharType="begin"/>
      </w:r>
      <w:r>
        <w:rPr>
          <w:rStyle w:val="105"/>
          <w:rFonts w:ascii="仿宋" w:hAnsi="仿宋" w:eastAsia="仿宋"/>
          <w:color w:val="auto"/>
          <w:sz w:val="24"/>
        </w:rPr>
        <w:instrText xml:space="preserve"> PAGEREF _Toc140565249 \h </w:instrText>
      </w:r>
      <w:r>
        <w:rPr>
          <w:rStyle w:val="105"/>
          <w:rFonts w:ascii="仿宋" w:hAnsi="仿宋" w:eastAsia="仿宋"/>
          <w:color w:val="auto"/>
          <w:sz w:val="24"/>
        </w:rPr>
        <w:fldChar w:fldCharType="separate"/>
      </w:r>
      <w:r>
        <w:rPr>
          <w:rStyle w:val="105"/>
          <w:rFonts w:ascii="仿宋" w:hAnsi="仿宋" w:eastAsia="仿宋"/>
          <w:color w:val="auto"/>
          <w:sz w:val="24"/>
        </w:rPr>
        <w:t>2</w:t>
      </w:r>
      <w:r>
        <w:rPr>
          <w:rStyle w:val="105"/>
          <w:rFonts w:ascii="仿宋" w:hAnsi="仿宋" w:eastAsia="仿宋"/>
          <w:color w:val="auto"/>
          <w:sz w:val="24"/>
        </w:rPr>
        <w:fldChar w:fldCharType="end"/>
      </w:r>
      <w:r>
        <w:rPr>
          <w:rStyle w:val="105"/>
          <w:rFonts w:ascii="仿宋" w:hAnsi="仿宋" w:eastAsia="仿宋"/>
          <w:color w:val="auto"/>
          <w:sz w:val="24"/>
        </w:rPr>
        <w:fldChar w:fldCharType="end"/>
      </w:r>
    </w:p>
    <w:p>
      <w:pPr>
        <w:pStyle w:val="73"/>
        <w:rPr>
          <w:rStyle w:val="105"/>
          <w:rFonts w:ascii="仿宋" w:hAnsi="仿宋" w:eastAsia="仿宋"/>
          <w:color w:val="auto"/>
          <w:sz w:val="24"/>
        </w:rPr>
      </w:pPr>
      <w:r>
        <w:fldChar w:fldCharType="begin"/>
      </w:r>
      <w:r>
        <w:instrText xml:space="preserve"> HYPERLINK \l "_Toc140565250" </w:instrText>
      </w:r>
      <w:r>
        <w:fldChar w:fldCharType="separate"/>
      </w:r>
      <w:r>
        <w:rPr>
          <w:rStyle w:val="105"/>
          <w:rFonts w:ascii="仿宋" w:hAnsi="仿宋" w:eastAsia="仿宋"/>
          <w:color w:val="auto"/>
          <w:sz w:val="24"/>
        </w:rPr>
        <w:t>1.4</w:t>
      </w:r>
      <w:r>
        <w:rPr>
          <w:rStyle w:val="105"/>
          <w:rFonts w:ascii="仿宋" w:hAnsi="仿宋" w:eastAsia="仿宋"/>
          <w:color w:val="auto"/>
          <w:sz w:val="24"/>
        </w:rPr>
        <w:tab/>
      </w:r>
      <w:r>
        <w:rPr>
          <w:rStyle w:val="105"/>
          <w:rFonts w:ascii="仿宋" w:hAnsi="仿宋" w:eastAsia="仿宋"/>
          <w:color w:val="auto"/>
          <w:sz w:val="24"/>
        </w:rPr>
        <w:t>关注的主要环境问题</w:t>
      </w:r>
      <w:r>
        <w:rPr>
          <w:rStyle w:val="105"/>
          <w:rFonts w:ascii="仿宋" w:hAnsi="仿宋" w:eastAsia="仿宋"/>
          <w:color w:val="auto"/>
          <w:sz w:val="24"/>
        </w:rPr>
        <w:tab/>
      </w:r>
      <w:r>
        <w:rPr>
          <w:rStyle w:val="105"/>
          <w:rFonts w:ascii="仿宋" w:hAnsi="仿宋" w:eastAsia="仿宋"/>
          <w:color w:val="auto"/>
          <w:sz w:val="24"/>
        </w:rPr>
        <w:fldChar w:fldCharType="begin"/>
      </w:r>
      <w:r>
        <w:rPr>
          <w:rStyle w:val="105"/>
          <w:rFonts w:ascii="仿宋" w:hAnsi="仿宋" w:eastAsia="仿宋"/>
          <w:color w:val="auto"/>
          <w:sz w:val="24"/>
        </w:rPr>
        <w:instrText xml:space="preserve"> PAGEREF _Toc140565250 \h </w:instrText>
      </w:r>
      <w:r>
        <w:rPr>
          <w:rStyle w:val="105"/>
          <w:rFonts w:ascii="仿宋" w:hAnsi="仿宋" w:eastAsia="仿宋"/>
          <w:color w:val="auto"/>
          <w:sz w:val="24"/>
        </w:rPr>
        <w:fldChar w:fldCharType="separate"/>
      </w:r>
      <w:r>
        <w:rPr>
          <w:rStyle w:val="105"/>
          <w:rFonts w:ascii="仿宋" w:hAnsi="仿宋" w:eastAsia="仿宋"/>
          <w:color w:val="auto"/>
          <w:sz w:val="24"/>
        </w:rPr>
        <w:t>5</w:t>
      </w:r>
      <w:r>
        <w:rPr>
          <w:rStyle w:val="105"/>
          <w:rFonts w:ascii="仿宋" w:hAnsi="仿宋" w:eastAsia="仿宋"/>
          <w:color w:val="auto"/>
          <w:sz w:val="24"/>
        </w:rPr>
        <w:fldChar w:fldCharType="end"/>
      </w:r>
      <w:r>
        <w:rPr>
          <w:rStyle w:val="105"/>
          <w:rFonts w:ascii="仿宋" w:hAnsi="仿宋" w:eastAsia="仿宋"/>
          <w:color w:val="auto"/>
          <w:sz w:val="24"/>
        </w:rPr>
        <w:fldChar w:fldCharType="end"/>
      </w:r>
    </w:p>
    <w:p>
      <w:pPr>
        <w:pStyle w:val="73"/>
        <w:rPr>
          <w:rStyle w:val="105"/>
          <w:rFonts w:ascii="仿宋" w:hAnsi="仿宋" w:eastAsia="仿宋"/>
          <w:color w:val="auto"/>
          <w:sz w:val="24"/>
        </w:rPr>
      </w:pPr>
      <w:r>
        <w:fldChar w:fldCharType="begin"/>
      </w:r>
      <w:r>
        <w:instrText xml:space="preserve"> HYPERLINK \l "_Toc140565251" </w:instrText>
      </w:r>
      <w:r>
        <w:fldChar w:fldCharType="separate"/>
      </w:r>
      <w:r>
        <w:rPr>
          <w:rStyle w:val="105"/>
          <w:rFonts w:ascii="仿宋" w:hAnsi="仿宋" w:eastAsia="仿宋"/>
          <w:color w:val="auto"/>
          <w:sz w:val="24"/>
        </w:rPr>
        <w:t>1.5</w:t>
      </w:r>
      <w:r>
        <w:rPr>
          <w:rStyle w:val="105"/>
          <w:rFonts w:ascii="仿宋" w:hAnsi="仿宋" w:eastAsia="仿宋"/>
          <w:color w:val="auto"/>
          <w:sz w:val="24"/>
        </w:rPr>
        <w:tab/>
      </w:r>
      <w:r>
        <w:rPr>
          <w:rStyle w:val="105"/>
          <w:rFonts w:ascii="仿宋" w:hAnsi="仿宋" w:eastAsia="仿宋"/>
          <w:color w:val="auto"/>
          <w:sz w:val="24"/>
        </w:rPr>
        <w:t>主要结论</w:t>
      </w:r>
      <w:r>
        <w:rPr>
          <w:rStyle w:val="105"/>
          <w:rFonts w:ascii="仿宋" w:hAnsi="仿宋" w:eastAsia="仿宋"/>
          <w:color w:val="auto"/>
          <w:sz w:val="24"/>
        </w:rPr>
        <w:tab/>
      </w:r>
      <w:r>
        <w:rPr>
          <w:rStyle w:val="105"/>
          <w:rFonts w:ascii="仿宋" w:hAnsi="仿宋" w:eastAsia="仿宋"/>
          <w:color w:val="auto"/>
          <w:sz w:val="24"/>
        </w:rPr>
        <w:fldChar w:fldCharType="begin"/>
      </w:r>
      <w:r>
        <w:rPr>
          <w:rStyle w:val="105"/>
          <w:rFonts w:ascii="仿宋" w:hAnsi="仿宋" w:eastAsia="仿宋"/>
          <w:color w:val="auto"/>
          <w:sz w:val="24"/>
        </w:rPr>
        <w:instrText xml:space="preserve"> PAGEREF _Toc140565251 \h </w:instrText>
      </w:r>
      <w:r>
        <w:rPr>
          <w:rStyle w:val="105"/>
          <w:rFonts w:ascii="仿宋" w:hAnsi="仿宋" w:eastAsia="仿宋"/>
          <w:color w:val="auto"/>
          <w:sz w:val="24"/>
        </w:rPr>
        <w:fldChar w:fldCharType="separate"/>
      </w:r>
      <w:r>
        <w:rPr>
          <w:rStyle w:val="105"/>
          <w:rFonts w:ascii="仿宋" w:hAnsi="仿宋" w:eastAsia="仿宋"/>
          <w:color w:val="auto"/>
          <w:sz w:val="24"/>
        </w:rPr>
        <w:t>6</w:t>
      </w:r>
      <w:r>
        <w:rPr>
          <w:rStyle w:val="105"/>
          <w:rFonts w:ascii="仿宋" w:hAnsi="仿宋" w:eastAsia="仿宋"/>
          <w:color w:val="auto"/>
          <w:sz w:val="24"/>
        </w:rPr>
        <w:fldChar w:fldCharType="end"/>
      </w:r>
      <w:r>
        <w:rPr>
          <w:rStyle w:val="105"/>
          <w:rFonts w:ascii="仿宋" w:hAnsi="仿宋" w:eastAsia="仿宋"/>
          <w:color w:val="auto"/>
          <w:sz w:val="24"/>
        </w:rPr>
        <w:fldChar w:fldCharType="end"/>
      </w:r>
    </w:p>
    <w:p>
      <w:pPr>
        <w:pStyle w:val="73"/>
        <w:rPr>
          <w:rFonts w:ascii="仿宋" w:hAnsi="仿宋" w:eastAsia="仿宋" w:cstheme="minorBidi"/>
          <w:smallCaps w:val="0"/>
          <w:sz w:val="28"/>
          <w:szCs w:val="22"/>
        </w:rPr>
      </w:pPr>
      <w:r>
        <w:fldChar w:fldCharType="begin"/>
      </w:r>
      <w:r>
        <w:instrText xml:space="preserve"> HYPERLINK \l "_Toc140565252" </w:instrText>
      </w:r>
      <w:r>
        <w:fldChar w:fldCharType="separate"/>
      </w:r>
      <w:r>
        <w:rPr>
          <w:rStyle w:val="105"/>
          <w:rFonts w:ascii="仿宋" w:hAnsi="仿宋" w:eastAsia="仿宋"/>
          <w:color w:val="auto"/>
          <w:sz w:val="24"/>
        </w:rPr>
        <w:t>1.6</w:t>
      </w:r>
      <w:r>
        <w:rPr>
          <w:rFonts w:ascii="仿宋" w:hAnsi="仿宋" w:eastAsia="仿宋" w:cstheme="minorBidi"/>
          <w:smallCaps w:val="0"/>
          <w:sz w:val="28"/>
          <w:szCs w:val="22"/>
        </w:rPr>
        <w:tab/>
      </w:r>
      <w:r>
        <w:rPr>
          <w:rStyle w:val="105"/>
          <w:rFonts w:ascii="仿宋" w:hAnsi="仿宋" w:eastAsia="仿宋"/>
          <w:color w:val="auto"/>
          <w:sz w:val="24"/>
        </w:rPr>
        <w:t>评价工作程序</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_Toc140565252 \h </w:instrText>
      </w:r>
      <w:r>
        <w:rPr>
          <w:rFonts w:ascii="仿宋" w:hAnsi="仿宋" w:eastAsia="仿宋"/>
          <w:sz w:val="24"/>
        </w:rPr>
        <w:fldChar w:fldCharType="separate"/>
      </w:r>
      <w:r>
        <w:rPr>
          <w:rFonts w:ascii="仿宋" w:hAnsi="仿宋" w:eastAsia="仿宋"/>
          <w:sz w:val="24"/>
        </w:rPr>
        <w:t>7</w:t>
      </w:r>
      <w:r>
        <w:rPr>
          <w:rFonts w:ascii="仿宋" w:hAnsi="仿宋" w:eastAsia="仿宋"/>
          <w:sz w:val="24"/>
        </w:rPr>
        <w:fldChar w:fldCharType="end"/>
      </w:r>
      <w:r>
        <w:rPr>
          <w:rFonts w:ascii="仿宋" w:hAnsi="仿宋" w:eastAsia="仿宋"/>
          <w:sz w:val="24"/>
        </w:rPr>
        <w:fldChar w:fldCharType="end"/>
      </w:r>
    </w:p>
    <w:p>
      <w:pPr>
        <w:pStyle w:val="58"/>
        <w:rPr>
          <w:rFonts w:asciiTheme="minorHAnsi" w:hAnsiTheme="minorHAnsi" w:eastAsiaTheme="minorEastAsia" w:cstheme="minorBidi"/>
          <w:b w:val="0"/>
          <w:bCs w:val="0"/>
          <w:sz w:val="21"/>
          <w:szCs w:val="22"/>
        </w:rPr>
      </w:pPr>
      <w:r>
        <w:fldChar w:fldCharType="begin"/>
      </w:r>
      <w:r>
        <w:instrText xml:space="preserve"> HYPERLINK \l "_Toc140565253" </w:instrText>
      </w:r>
      <w:r>
        <w:fldChar w:fldCharType="separate"/>
      </w:r>
      <w:r>
        <w:rPr>
          <w:rStyle w:val="105"/>
          <w:color w:val="auto"/>
        </w:rPr>
        <w:t>2</w:t>
      </w:r>
      <w:r>
        <w:rPr>
          <w:rFonts w:asciiTheme="minorHAnsi" w:hAnsiTheme="minorHAnsi" w:eastAsiaTheme="minorEastAsia" w:cstheme="minorBidi"/>
          <w:b w:val="0"/>
          <w:bCs w:val="0"/>
          <w:sz w:val="21"/>
          <w:szCs w:val="22"/>
        </w:rPr>
        <w:tab/>
      </w:r>
      <w:r>
        <w:rPr>
          <w:rStyle w:val="105"/>
          <w:color w:val="auto"/>
        </w:rPr>
        <w:t>总则</w:t>
      </w:r>
      <w:r>
        <w:tab/>
      </w:r>
      <w:r>
        <w:fldChar w:fldCharType="begin"/>
      </w:r>
      <w:r>
        <w:instrText xml:space="preserve"> PAGEREF _Toc140565253 \h </w:instrText>
      </w:r>
      <w:r>
        <w:fldChar w:fldCharType="separate"/>
      </w:r>
      <w:r>
        <w:t>8</w:t>
      </w:r>
      <w:r>
        <w:fldChar w:fldCharType="end"/>
      </w:r>
      <w:r>
        <w:fldChar w:fldCharType="end"/>
      </w:r>
    </w:p>
    <w:p>
      <w:pPr>
        <w:pStyle w:val="73"/>
        <w:rPr>
          <w:rFonts w:ascii="仿宋" w:hAnsi="仿宋" w:eastAsia="仿宋" w:cstheme="minorBidi"/>
          <w:smallCaps w:val="0"/>
          <w:sz w:val="28"/>
          <w:szCs w:val="22"/>
        </w:rPr>
      </w:pPr>
      <w:r>
        <w:fldChar w:fldCharType="begin"/>
      </w:r>
      <w:r>
        <w:instrText xml:space="preserve"> HYPERLINK \l "_Toc140565254" </w:instrText>
      </w:r>
      <w:r>
        <w:fldChar w:fldCharType="separate"/>
      </w:r>
      <w:r>
        <w:rPr>
          <w:rStyle w:val="105"/>
          <w:rFonts w:ascii="仿宋" w:hAnsi="仿宋" w:eastAsia="仿宋"/>
          <w:color w:val="auto"/>
          <w:sz w:val="24"/>
        </w:rPr>
        <w:t>2.1</w:t>
      </w:r>
      <w:r>
        <w:rPr>
          <w:rFonts w:ascii="仿宋" w:hAnsi="仿宋" w:eastAsia="仿宋" w:cstheme="minorBidi"/>
          <w:smallCaps w:val="0"/>
          <w:sz w:val="28"/>
          <w:szCs w:val="22"/>
        </w:rPr>
        <w:tab/>
      </w:r>
      <w:r>
        <w:rPr>
          <w:rStyle w:val="105"/>
          <w:rFonts w:ascii="仿宋" w:hAnsi="仿宋" w:eastAsia="仿宋"/>
          <w:color w:val="auto"/>
          <w:sz w:val="24"/>
        </w:rPr>
        <w:t>编制依据</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_Toc140565254 \h </w:instrText>
      </w:r>
      <w:r>
        <w:rPr>
          <w:rFonts w:ascii="仿宋" w:hAnsi="仿宋" w:eastAsia="仿宋"/>
          <w:sz w:val="24"/>
        </w:rPr>
        <w:fldChar w:fldCharType="separate"/>
      </w:r>
      <w:r>
        <w:rPr>
          <w:rFonts w:ascii="仿宋" w:hAnsi="仿宋" w:eastAsia="仿宋"/>
          <w:sz w:val="24"/>
        </w:rPr>
        <w:t>8</w:t>
      </w:r>
      <w:r>
        <w:rPr>
          <w:rFonts w:ascii="仿宋" w:hAnsi="仿宋" w:eastAsia="仿宋"/>
          <w:sz w:val="24"/>
        </w:rPr>
        <w:fldChar w:fldCharType="end"/>
      </w:r>
      <w:r>
        <w:rPr>
          <w:rFonts w:ascii="仿宋" w:hAnsi="仿宋" w:eastAsia="仿宋"/>
          <w:sz w:val="24"/>
        </w:rPr>
        <w:fldChar w:fldCharType="end"/>
      </w:r>
    </w:p>
    <w:p>
      <w:pPr>
        <w:pStyle w:val="73"/>
        <w:rPr>
          <w:rFonts w:ascii="仿宋" w:hAnsi="仿宋" w:eastAsia="仿宋" w:cstheme="minorBidi"/>
          <w:smallCaps w:val="0"/>
          <w:sz w:val="28"/>
          <w:szCs w:val="22"/>
        </w:rPr>
      </w:pPr>
      <w:r>
        <w:fldChar w:fldCharType="begin"/>
      </w:r>
      <w:r>
        <w:instrText xml:space="preserve"> HYPERLINK \l "_Toc140565255" </w:instrText>
      </w:r>
      <w:r>
        <w:fldChar w:fldCharType="separate"/>
      </w:r>
      <w:r>
        <w:rPr>
          <w:rStyle w:val="105"/>
          <w:rFonts w:ascii="仿宋" w:hAnsi="仿宋" w:eastAsia="仿宋"/>
          <w:color w:val="auto"/>
          <w:sz w:val="24"/>
        </w:rPr>
        <w:t>2.2</w:t>
      </w:r>
      <w:r>
        <w:rPr>
          <w:rFonts w:ascii="仿宋" w:hAnsi="仿宋" w:eastAsia="仿宋" w:cstheme="minorBidi"/>
          <w:smallCaps w:val="0"/>
          <w:sz w:val="28"/>
          <w:szCs w:val="22"/>
        </w:rPr>
        <w:tab/>
      </w:r>
      <w:r>
        <w:rPr>
          <w:rStyle w:val="105"/>
          <w:rFonts w:ascii="仿宋" w:hAnsi="仿宋" w:eastAsia="仿宋"/>
          <w:color w:val="auto"/>
          <w:sz w:val="24"/>
        </w:rPr>
        <w:t>评价目的及工作原则</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_Toc140565255 \h </w:instrText>
      </w:r>
      <w:r>
        <w:rPr>
          <w:rFonts w:ascii="仿宋" w:hAnsi="仿宋" w:eastAsia="仿宋"/>
          <w:sz w:val="24"/>
        </w:rPr>
        <w:fldChar w:fldCharType="separate"/>
      </w:r>
      <w:r>
        <w:rPr>
          <w:rFonts w:ascii="仿宋" w:hAnsi="仿宋" w:eastAsia="仿宋"/>
          <w:sz w:val="24"/>
        </w:rPr>
        <w:t>16</w:t>
      </w:r>
      <w:r>
        <w:rPr>
          <w:rFonts w:ascii="仿宋" w:hAnsi="仿宋" w:eastAsia="仿宋"/>
          <w:sz w:val="24"/>
        </w:rPr>
        <w:fldChar w:fldCharType="end"/>
      </w:r>
      <w:r>
        <w:rPr>
          <w:rFonts w:ascii="仿宋" w:hAnsi="仿宋" w:eastAsia="仿宋"/>
          <w:sz w:val="24"/>
        </w:rPr>
        <w:fldChar w:fldCharType="end"/>
      </w:r>
    </w:p>
    <w:p>
      <w:pPr>
        <w:pStyle w:val="73"/>
        <w:rPr>
          <w:rFonts w:ascii="仿宋" w:hAnsi="仿宋" w:eastAsia="仿宋" w:cstheme="minorBidi"/>
          <w:smallCaps w:val="0"/>
          <w:sz w:val="28"/>
          <w:szCs w:val="22"/>
        </w:rPr>
      </w:pPr>
      <w:r>
        <w:fldChar w:fldCharType="begin"/>
      </w:r>
      <w:r>
        <w:instrText xml:space="preserve"> HYPERLINK \l "_Toc140565256" </w:instrText>
      </w:r>
      <w:r>
        <w:fldChar w:fldCharType="separate"/>
      </w:r>
      <w:r>
        <w:rPr>
          <w:rStyle w:val="105"/>
          <w:rFonts w:ascii="仿宋" w:hAnsi="仿宋" w:eastAsia="仿宋"/>
          <w:color w:val="auto"/>
          <w:sz w:val="24"/>
        </w:rPr>
        <w:t>2.3</w:t>
      </w:r>
      <w:r>
        <w:rPr>
          <w:rFonts w:ascii="仿宋" w:hAnsi="仿宋" w:eastAsia="仿宋" w:cstheme="minorBidi"/>
          <w:smallCaps w:val="0"/>
          <w:sz w:val="28"/>
          <w:szCs w:val="22"/>
        </w:rPr>
        <w:tab/>
      </w:r>
      <w:r>
        <w:rPr>
          <w:rStyle w:val="105"/>
          <w:rFonts w:ascii="仿宋" w:hAnsi="仿宋" w:eastAsia="仿宋"/>
          <w:color w:val="auto"/>
          <w:sz w:val="24"/>
        </w:rPr>
        <w:t>评价因子与评价标准</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_Toc140565256 \h </w:instrText>
      </w:r>
      <w:r>
        <w:rPr>
          <w:rFonts w:ascii="仿宋" w:hAnsi="仿宋" w:eastAsia="仿宋"/>
          <w:sz w:val="24"/>
        </w:rPr>
        <w:fldChar w:fldCharType="separate"/>
      </w:r>
      <w:r>
        <w:rPr>
          <w:rFonts w:ascii="仿宋" w:hAnsi="仿宋" w:eastAsia="仿宋"/>
          <w:sz w:val="24"/>
        </w:rPr>
        <w:t>16</w:t>
      </w:r>
      <w:r>
        <w:rPr>
          <w:rFonts w:ascii="仿宋" w:hAnsi="仿宋" w:eastAsia="仿宋"/>
          <w:sz w:val="24"/>
        </w:rPr>
        <w:fldChar w:fldCharType="end"/>
      </w:r>
      <w:r>
        <w:rPr>
          <w:rFonts w:ascii="仿宋" w:hAnsi="仿宋" w:eastAsia="仿宋"/>
          <w:sz w:val="24"/>
        </w:rPr>
        <w:fldChar w:fldCharType="end"/>
      </w:r>
    </w:p>
    <w:p>
      <w:pPr>
        <w:pStyle w:val="73"/>
        <w:rPr>
          <w:rFonts w:ascii="仿宋" w:hAnsi="仿宋" w:eastAsia="仿宋" w:cstheme="minorBidi"/>
          <w:smallCaps w:val="0"/>
          <w:sz w:val="28"/>
          <w:szCs w:val="22"/>
        </w:rPr>
      </w:pPr>
      <w:r>
        <w:fldChar w:fldCharType="begin"/>
      </w:r>
      <w:r>
        <w:instrText xml:space="preserve"> HYPERLINK \l "_Toc140565257" </w:instrText>
      </w:r>
      <w:r>
        <w:fldChar w:fldCharType="separate"/>
      </w:r>
      <w:r>
        <w:rPr>
          <w:rStyle w:val="105"/>
          <w:rFonts w:ascii="仿宋" w:hAnsi="仿宋" w:eastAsia="仿宋"/>
          <w:color w:val="auto"/>
          <w:sz w:val="24"/>
        </w:rPr>
        <w:t>2.4</w:t>
      </w:r>
      <w:r>
        <w:rPr>
          <w:rFonts w:ascii="仿宋" w:hAnsi="仿宋" w:eastAsia="仿宋" w:cstheme="minorBidi"/>
          <w:smallCaps w:val="0"/>
          <w:sz w:val="28"/>
          <w:szCs w:val="22"/>
        </w:rPr>
        <w:tab/>
      </w:r>
      <w:r>
        <w:rPr>
          <w:rStyle w:val="105"/>
          <w:rFonts w:ascii="仿宋" w:hAnsi="仿宋" w:eastAsia="仿宋"/>
          <w:color w:val="auto"/>
          <w:sz w:val="24"/>
        </w:rPr>
        <w:t>评价工作等级和评价重点</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_Toc140565257 \h </w:instrText>
      </w:r>
      <w:r>
        <w:rPr>
          <w:rFonts w:ascii="仿宋" w:hAnsi="仿宋" w:eastAsia="仿宋"/>
          <w:sz w:val="24"/>
        </w:rPr>
        <w:fldChar w:fldCharType="separate"/>
      </w:r>
      <w:r>
        <w:rPr>
          <w:rFonts w:ascii="仿宋" w:hAnsi="仿宋" w:eastAsia="仿宋"/>
          <w:sz w:val="24"/>
        </w:rPr>
        <w:t>25</w:t>
      </w:r>
      <w:r>
        <w:rPr>
          <w:rFonts w:ascii="仿宋" w:hAnsi="仿宋" w:eastAsia="仿宋"/>
          <w:sz w:val="24"/>
        </w:rPr>
        <w:fldChar w:fldCharType="end"/>
      </w:r>
      <w:r>
        <w:rPr>
          <w:rFonts w:ascii="仿宋" w:hAnsi="仿宋" w:eastAsia="仿宋"/>
          <w:sz w:val="24"/>
        </w:rPr>
        <w:fldChar w:fldCharType="end"/>
      </w:r>
    </w:p>
    <w:p>
      <w:pPr>
        <w:pStyle w:val="73"/>
        <w:rPr>
          <w:rFonts w:ascii="仿宋" w:hAnsi="仿宋" w:eastAsia="仿宋" w:cstheme="minorBidi"/>
          <w:smallCaps w:val="0"/>
          <w:sz w:val="28"/>
          <w:szCs w:val="22"/>
        </w:rPr>
      </w:pPr>
      <w:r>
        <w:fldChar w:fldCharType="begin"/>
      </w:r>
      <w:r>
        <w:instrText xml:space="preserve"> HYPERLINK \l "_Toc140565258" </w:instrText>
      </w:r>
      <w:r>
        <w:fldChar w:fldCharType="separate"/>
      </w:r>
      <w:r>
        <w:rPr>
          <w:rStyle w:val="105"/>
          <w:rFonts w:ascii="仿宋" w:hAnsi="仿宋" w:eastAsia="仿宋"/>
          <w:color w:val="auto"/>
          <w:sz w:val="24"/>
        </w:rPr>
        <w:t>2.5</w:t>
      </w:r>
      <w:r>
        <w:rPr>
          <w:rFonts w:ascii="仿宋" w:hAnsi="仿宋" w:eastAsia="仿宋" w:cstheme="minorBidi"/>
          <w:smallCaps w:val="0"/>
          <w:sz w:val="28"/>
          <w:szCs w:val="22"/>
        </w:rPr>
        <w:tab/>
      </w:r>
      <w:r>
        <w:rPr>
          <w:rStyle w:val="105"/>
          <w:rFonts w:ascii="仿宋" w:hAnsi="仿宋" w:eastAsia="仿宋"/>
          <w:color w:val="auto"/>
          <w:sz w:val="24"/>
        </w:rPr>
        <w:t>评价范围和环境保护目标</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_Toc140565258 \h </w:instrText>
      </w:r>
      <w:r>
        <w:rPr>
          <w:rFonts w:ascii="仿宋" w:hAnsi="仿宋" w:eastAsia="仿宋"/>
          <w:sz w:val="24"/>
        </w:rPr>
        <w:fldChar w:fldCharType="separate"/>
      </w:r>
      <w:r>
        <w:rPr>
          <w:rFonts w:ascii="仿宋" w:hAnsi="仿宋" w:eastAsia="仿宋"/>
          <w:sz w:val="24"/>
        </w:rPr>
        <w:t>29</w:t>
      </w:r>
      <w:r>
        <w:rPr>
          <w:rFonts w:ascii="仿宋" w:hAnsi="仿宋" w:eastAsia="仿宋"/>
          <w:sz w:val="24"/>
        </w:rPr>
        <w:fldChar w:fldCharType="end"/>
      </w:r>
      <w:r>
        <w:rPr>
          <w:rFonts w:ascii="仿宋" w:hAnsi="仿宋" w:eastAsia="仿宋"/>
          <w:sz w:val="24"/>
        </w:rPr>
        <w:fldChar w:fldCharType="end"/>
      </w:r>
    </w:p>
    <w:p>
      <w:pPr>
        <w:pStyle w:val="73"/>
        <w:rPr>
          <w:rFonts w:ascii="仿宋" w:hAnsi="仿宋" w:eastAsia="仿宋" w:cstheme="minorBidi"/>
          <w:smallCaps w:val="0"/>
          <w:sz w:val="28"/>
          <w:szCs w:val="22"/>
        </w:rPr>
      </w:pPr>
      <w:r>
        <w:fldChar w:fldCharType="begin"/>
      </w:r>
      <w:r>
        <w:instrText xml:space="preserve"> HYPERLINK \l "_Toc140565259" </w:instrText>
      </w:r>
      <w:r>
        <w:fldChar w:fldCharType="separate"/>
      </w:r>
      <w:r>
        <w:rPr>
          <w:rStyle w:val="105"/>
          <w:rFonts w:ascii="仿宋" w:hAnsi="仿宋" w:eastAsia="仿宋"/>
          <w:color w:val="auto"/>
          <w:sz w:val="24"/>
        </w:rPr>
        <w:t>2.6</w:t>
      </w:r>
      <w:r>
        <w:rPr>
          <w:rFonts w:ascii="仿宋" w:hAnsi="仿宋" w:eastAsia="仿宋" w:cstheme="minorBidi"/>
          <w:smallCaps w:val="0"/>
          <w:sz w:val="28"/>
          <w:szCs w:val="22"/>
        </w:rPr>
        <w:tab/>
      </w:r>
      <w:r>
        <w:rPr>
          <w:rStyle w:val="105"/>
          <w:rFonts w:ascii="仿宋" w:hAnsi="仿宋" w:eastAsia="仿宋"/>
          <w:color w:val="auto"/>
          <w:sz w:val="24"/>
        </w:rPr>
        <w:t>项目所在地相关规划</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_Toc140565259 \h </w:instrText>
      </w:r>
      <w:r>
        <w:rPr>
          <w:rFonts w:ascii="仿宋" w:hAnsi="仿宋" w:eastAsia="仿宋"/>
          <w:sz w:val="24"/>
        </w:rPr>
        <w:fldChar w:fldCharType="separate"/>
      </w:r>
      <w:r>
        <w:rPr>
          <w:rFonts w:ascii="仿宋" w:hAnsi="仿宋" w:eastAsia="仿宋"/>
          <w:sz w:val="24"/>
        </w:rPr>
        <w:t>32</w:t>
      </w:r>
      <w:r>
        <w:rPr>
          <w:rFonts w:ascii="仿宋" w:hAnsi="仿宋" w:eastAsia="仿宋"/>
          <w:sz w:val="24"/>
        </w:rPr>
        <w:fldChar w:fldCharType="end"/>
      </w:r>
      <w:r>
        <w:rPr>
          <w:rFonts w:ascii="仿宋" w:hAnsi="仿宋" w:eastAsia="仿宋"/>
          <w:sz w:val="24"/>
        </w:rPr>
        <w:fldChar w:fldCharType="end"/>
      </w:r>
    </w:p>
    <w:p>
      <w:pPr>
        <w:pStyle w:val="73"/>
        <w:rPr>
          <w:rFonts w:ascii="仿宋" w:hAnsi="仿宋" w:eastAsia="仿宋" w:cstheme="minorBidi"/>
          <w:smallCaps w:val="0"/>
          <w:sz w:val="28"/>
          <w:szCs w:val="22"/>
        </w:rPr>
      </w:pPr>
      <w:r>
        <w:fldChar w:fldCharType="begin"/>
      </w:r>
      <w:r>
        <w:instrText xml:space="preserve"> HYPERLINK \l "_Toc140565260" </w:instrText>
      </w:r>
      <w:r>
        <w:fldChar w:fldCharType="separate"/>
      </w:r>
      <w:r>
        <w:rPr>
          <w:rStyle w:val="105"/>
          <w:rFonts w:ascii="仿宋" w:hAnsi="仿宋" w:eastAsia="仿宋"/>
          <w:color w:val="auto"/>
          <w:sz w:val="24"/>
        </w:rPr>
        <w:t>2.7</w:t>
      </w:r>
      <w:r>
        <w:rPr>
          <w:rFonts w:ascii="仿宋" w:hAnsi="仿宋" w:eastAsia="仿宋" w:cstheme="minorBidi"/>
          <w:smallCaps w:val="0"/>
          <w:sz w:val="28"/>
          <w:szCs w:val="22"/>
        </w:rPr>
        <w:tab/>
      </w:r>
      <w:r>
        <w:rPr>
          <w:rStyle w:val="105"/>
          <w:rFonts w:ascii="仿宋" w:hAnsi="仿宋" w:eastAsia="仿宋"/>
          <w:color w:val="auto"/>
          <w:sz w:val="24"/>
        </w:rPr>
        <w:t>产业、行业政策相符性和选址可行性分析</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_Toc140565260 \h </w:instrText>
      </w:r>
      <w:r>
        <w:rPr>
          <w:rFonts w:ascii="仿宋" w:hAnsi="仿宋" w:eastAsia="仿宋"/>
          <w:sz w:val="24"/>
        </w:rPr>
        <w:fldChar w:fldCharType="separate"/>
      </w:r>
      <w:r>
        <w:rPr>
          <w:rFonts w:ascii="仿宋" w:hAnsi="仿宋" w:eastAsia="仿宋"/>
          <w:sz w:val="24"/>
        </w:rPr>
        <w:t>40</w:t>
      </w:r>
      <w:r>
        <w:rPr>
          <w:rFonts w:ascii="仿宋" w:hAnsi="仿宋" w:eastAsia="仿宋"/>
          <w:sz w:val="24"/>
        </w:rPr>
        <w:fldChar w:fldCharType="end"/>
      </w:r>
      <w:r>
        <w:rPr>
          <w:rFonts w:ascii="仿宋" w:hAnsi="仿宋" w:eastAsia="仿宋"/>
          <w:sz w:val="24"/>
        </w:rPr>
        <w:fldChar w:fldCharType="end"/>
      </w:r>
    </w:p>
    <w:p>
      <w:pPr>
        <w:pStyle w:val="58"/>
        <w:rPr>
          <w:rFonts w:asciiTheme="minorHAnsi" w:hAnsiTheme="minorHAnsi" w:eastAsiaTheme="minorEastAsia" w:cstheme="minorBidi"/>
          <w:b w:val="0"/>
          <w:bCs w:val="0"/>
          <w:sz w:val="21"/>
          <w:szCs w:val="22"/>
        </w:rPr>
      </w:pPr>
      <w:r>
        <w:fldChar w:fldCharType="begin"/>
      </w:r>
      <w:r>
        <w:instrText xml:space="preserve"> HYPERLINK \l "_Toc140565261" </w:instrText>
      </w:r>
      <w:r>
        <w:fldChar w:fldCharType="separate"/>
      </w:r>
      <w:r>
        <w:rPr>
          <w:rStyle w:val="105"/>
          <w:color w:val="auto"/>
        </w:rPr>
        <w:t>3</w:t>
      </w:r>
      <w:r>
        <w:rPr>
          <w:rFonts w:asciiTheme="minorHAnsi" w:hAnsiTheme="minorHAnsi" w:eastAsiaTheme="minorEastAsia" w:cstheme="minorBidi"/>
          <w:b w:val="0"/>
          <w:bCs w:val="0"/>
          <w:sz w:val="21"/>
          <w:szCs w:val="22"/>
        </w:rPr>
        <w:tab/>
      </w:r>
      <w:r>
        <w:rPr>
          <w:rStyle w:val="105"/>
          <w:color w:val="auto"/>
        </w:rPr>
        <w:t>建设项目工程分析</w:t>
      </w:r>
      <w:r>
        <w:tab/>
      </w:r>
      <w:r>
        <w:fldChar w:fldCharType="begin"/>
      </w:r>
      <w:r>
        <w:instrText xml:space="preserve"> PAGEREF _Toc140565261 \h </w:instrText>
      </w:r>
      <w:r>
        <w:fldChar w:fldCharType="separate"/>
      </w:r>
      <w:r>
        <w:t>59</w:t>
      </w:r>
      <w:r>
        <w:fldChar w:fldCharType="end"/>
      </w:r>
      <w:r>
        <w:fldChar w:fldCharType="end"/>
      </w:r>
    </w:p>
    <w:p>
      <w:pPr>
        <w:pStyle w:val="73"/>
        <w:rPr>
          <w:rFonts w:ascii="仿宋" w:hAnsi="仿宋" w:eastAsia="仿宋" w:cstheme="minorBidi"/>
          <w:smallCaps w:val="0"/>
          <w:sz w:val="28"/>
          <w:szCs w:val="22"/>
        </w:rPr>
      </w:pPr>
      <w:r>
        <w:fldChar w:fldCharType="begin"/>
      </w:r>
      <w:r>
        <w:instrText xml:space="preserve"> HYPERLINK \l "_Toc140565262" </w:instrText>
      </w:r>
      <w:r>
        <w:fldChar w:fldCharType="separate"/>
      </w:r>
      <w:r>
        <w:rPr>
          <w:rStyle w:val="105"/>
          <w:rFonts w:ascii="仿宋" w:hAnsi="仿宋" w:eastAsia="仿宋"/>
          <w:color w:val="auto"/>
          <w:sz w:val="24"/>
        </w:rPr>
        <w:t>3.1</w:t>
      </w:r>
      <w:r>
        <w:rPr>
          <w:rFonts w:ascii="仿宋" w:hAnsi="仿宋" w:eastAsia="仿宋" w:cstheme="minorBidi"/>
          <w:smallCaps w:val="0"/>
          <w:sz w:val="28"/>
          <w:szCs w:val="22"/>
        </w:rPr>
        <w:tab/>
      </w:r>
      <w:r>
        <w:rPr>
          <w:rStyle w:val="105"/>
          <w:rFonts w:ascii="仿宋" w:hAnsi="仿宋" w:eastAsia="仿宋"/>
          <w:color w:val="auto"/>
          <w:sz w:val="24"/>
        </w:rPr>
        <w:t>本项目概况</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_Toc140565262 \h </w:instrText>
      </w:r>
      <w:r>
        <w:rPr>
          <w:rFonts w:ascii="仿宋" w:hAnsi="仿宋" w:eastAsia="仿宋"/>
          <w:sz w:val="24"/>
        </w:rPr>
        <w:fldChar w:fldCharType="separate"/>
      </w:r>
      <w:r>
        <w:rPr>
          <w:rFonts w:ascii="仿宋" w:hAnsi="仿宋" w:eastAsia="仿宋"/>
          <w:sz w:val="24"/>
        </w:rPr>
        <w:t>59</w:t>
      </w:r>
      <w:r>
        <w:rPr>
          <w:rFonts w:ascii="仿宋" w:hAnsi="仿宋" w:eastAsia="仿宋"/>
          <w:sz w:val="24"/>
        </w:rPr>
        <w:fldChar w:fldCharType="end"/>
      </w:r>
      <w:r>
        <w:rPr>
          <w:rFonts w:ascii="仿宋" w:hAnsi="仿宋" w:eastAsia="仿宋"/>
          <w:sz w:val="24"/>
        </w:rPr>
        <w:fldChar w:fldCharType="end"/>
      </w:r>
    </w:p>
    <w:p>
      <w:pPr>
        <w:pStyle w:val="73"/>
        <w:rPr>
          <w:rFonts w:ascii="仿宋" w:hAnsi="仿宋" w:eastAsia="仿宋" w:cstheme="minorBidi"/>
          <w:smallCaps w:val="0"/>
          <w:sz w:val="28"/>
          <w:szCs w:val="22"/>
        </w:rPr>
      </w:pPr>
      <w:r>
        <w:fldChar w:fldCharType="begin"/>
      </w:r>
      <w:r>
        <w:instrText xml:space="preserve"> HYPERLINK \l "_Toc140565263" </w:instrText>
      </w:r>
      <w:r>
        <w:fldChar w:fldCharType="separate"/>
      </w:r>
      <w:r>
        <w:rPr>
          <w:rStyle w:val="105"/>
          <w:rFonts w:ascii="仿宋" w:hAnsi="仿宋" w:eastAsia="仿宋"/>
          <w:color w:val="auto"/>
          <w:sz w:val="24"/>
        </w:rPr>
        <w:t>3.2</w:t>
      </w:r>
      <w:r>
        <w:rPr>
          <w:rFonts w:ascii="仿宋" w:hAnsi="仿宋" w:eastAsia="仿宋" w:cstheme="minorBidi"/>
          <w:smallCaps w:val="0"/>
          <w:sz w:val="28"/>
          <w:szCs w:val="22"/>
        </w:rPr>
        <w:tab/>
      </w:r>
      <w:r>
        <w:rPr>
          <w:rStyle w:val="105"/>
          <w:rFonts w:ascii="仿宋" w:hAnsi="仿宋" w:eastAsia="仿宋"/>
          <w:color w:val="auto"/>
          <w:sz w:val="24"/>
        </w:rPr>
        <w:t>影响因素分析</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_Toc140565263 \h </w:instrText>
      </w:r>
      <w:r>
        <w:rPr>
          <w:rFonts w:ascii="仿宋" w:hAnsi="仿宋" w:eastAsia="仿宋"/>
          <w:sz w:val="24"/>
        </w:rPr>
        <w:fldChar w:fldCharType="separate"/>
      </w:r>
      <w:r>
        <w:rPr>
          <w:rFonts w:ascii="仿宋" w:hAnsi="仿宋" w:eastAsia="仿宋"/>
          <w:sz w:val="24"/>
        </w:rPr>
        <w:t>76</w:t>
      </w:r>
      <w:r>
        <w:rPr>
          <w:rFonts w:ascii="仿宋" w:hAnsi="仿宋" w:eastAsia="仿宋"/>
          <w:sz w:val="24"/>
        </w:rPr>
        <w:fldChar w:fldCharType="end"/>
      </w:r>
      <w:r>
        <w:rPr>
          <w:rFonts w:ascii="仿宋" w:hAnsi="仿宋" w:eastAsia="仿宋"/>
          <w:sz w:val="24"/>
        </w:rPr>
        <w:fldChar w:fldCharType="end"/>
      </w:r>
    </w:p>
    <w:p>
      <w:pPr>
        <w:pStyle w:val="73"/>
        <w:rPr>
          <w:rFonts w:ascii="仿宋" w:hAnsi="仿宋" w:eastAsia="仿宋" w:cstheme="minorBidi"/>
          <w:smallCaps w:val="0"/>
          <w:sz w:val="28"/>
          <w:szCs w:val="22"/>
        </w:rPr>
      </w:pPr>
      <w:r>
        <w:fldChar w:fldCharType="begin"/>
      </w:r>
      <w:r>
        <w:instrText xml:space="preserve"> HYPERLINK \l "_Toc140565264" </w:instrText>
      </w:r>
      <w:r>
        <w:fldChar w:fldCharType="separate"/>
      </w:r>
      <w:r>
        <w:rPr>
          <w:rStyle w:val="105"/>
          <w:rFonts w:ascii="仿宋" w:hAnsi="仿宋" w:eastAsia="仿宋"/>
          <w:color w:val="auto"/>
          <w:sz w:val="24"/>
        </w:rPr>
        <w:t>3.3</w:t>
      </w:r>
      <w:r>
        <w:rPr>
          <w:rFonts w:ascii="仿宋" w:hAnsi="仿宋" w:eastAsia="仿宋" w:cstheme="minorBidi"/>
          <w:smallCaps w:val="0"/>
          <w:sz w:val="28"/>
          <w:szCs w:val="22"/>
        </w:rPr>
        <w:tab/>
      </w:r>
      <w:r>
        <w:rPr>
          <w:rStyle w:val="105"/>
          <w:rFonts w:ascii="仿宋" w:hAnsi="仿宋" w:eastAsia="仿宋"/>
          <w:color w:val="auto"/>
          <w:sz w:val="24"/>
        </w:rPr>
        <w:t>建设项目污染源强及排放情况</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_Toc140565264 \h </w:instrText>
      </w:r>
      <w:r>
        <w:rPr>
          <w:rFonts w:ascii="仿宋" w:hAnsi="仿宋" w:eastAsia="仿宋"/>
          <w:sz w:val="24"/>
        </w:rPr>
        <w:fldChar w:fldCharType="separate"/>
      </w:r>
      <w:r>
        <w:rPr>
          <w:rFonts w:ascii="仿宋" w:hAnsi="仿宋" w:eastAsia="仿宋"/>
          <w:sz w:val="24"/>
        </w:rPr>
        <w:t>96</w:t>
      </w:r>
      <w:r>
        <w:rPr>
          <w:rFonts w:ascii="仿宋" w:hAnsi="仿宋" w:eastAsia="仿宋"/>
          <w:sz w:val="24"/>
        </w:rPr>
        <w:fldChar w:fldCharType="end"/>
      </w:r>
      <w:r>
        <w:rPr>
          <w:rFonts w:ascii="仿宋" w:hAnsi="仿宋" w:eastAsia="仿宋"/>
          <w:sz w:val="24"/>
        </w:rPr>
        <w:fldChar w:fldCharType="end"/>
      </w:r>
    </w:p>
    <w:p>
      <w:pPr>
        <w:pStyle w:val="73"/>
        <w:rPr>
          <w:rFonts w:ascii="仿宋" w:hAnsi="仿宋" w:eastAsia="仿宋" w:cstheme="minorBidi"/>
          <w:smallCaps w:val="0"/>
          <w:sz w:val="28"/>
          <w:szCs w:val="22"/>
        </w:rPr>
      </w:pPr>
      <w:r>
        <w:fldChar w:fldCharType="begin"/>
      </w:r>
      <w:r>
        <w:instrText xml:space="preserve"> HYPERLINK \l "_Toc140565265" </w:instrText>
      </w:r>
      <w:r>
        <w:fldChar w:fldCharType="separate"/>
      </w:r>
      <w:r>
        <w:rPr>
          <w:rStyle w:val="105"/>
          <w:rFonts w:ascii="仿宋" w:hAnsi="仿宋" w:eastAsia="仿宋"/>
          <w:color w:val="auto"/>
          <w:sz w:val="24"/>
        </w:rPr>
        <w:t>3.4</w:t>
      </w:r>
      <w:r>
        <w:rPr>
          <w:rFonts w:ascii="仿宋" w:hAnsi="仿宋" w:eastAsia="仿宋" w:cstheme="minorBidi"/>
          <w:smallCaps w:val="0"/>
          <w:sz w:val="28"/>
          <w:szCs w:val="22"/>
        </w:rPr>
        <w:tab/>
      </w:r>
      <w:r>
        <w:rPr>
          <w:rStyle w:val="105"/>
          <w:rFonts w:ascii="仿宋" w:hAnsi="仿宋" w:eastAsia="仿宋"/>
          <w:color w:val="auto"/>
          <w:sz w:val="24"/>
        </w:rPr>
        <w:t>污染物排放量汇总</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_Toc140565265 \h </w:instrText>
      </w:r>
      <w:r>
        <w:rPr>
          <w:rFonts w:ascii="仿宋" w:hAnsi="仿宋" w:eastAsia="仿宋"/>
          <w:sz w:val="24"/>
        </w:rPr>
        <w:fldChar w:fldCharType="separate"/>
      </w:r>
      <w:r>
        <w:rPr>
          <w:rFonts w:ascii="仿宋" w:hAnsi="仿宋" w:eastAsia="仿宋"/>
          <w:sz w:val="24"/>
        </w:rPr>
        <w:t>104</w:t>
      </w:r>
      <w:r>
        <w:rPr>
          <w:rFonts w:ascii="仿宋" w:hAnsi="仿宋" w:eastAsia="仿宋"/>
          <w:sz w:val="24"/>
        </w:rPr>
        <w:fldChar w:fldCharType="end"/>
      </w:r>
      <w:r>
        <w:rPr>
          <w:rFonts w:ascii="仿宋" w:hAnsi="仿宋" w:eastAsia="仿宋"/>
          <w:sz w:val="24"/>
        </w:rPr>
        <w:fldChar w:fldCharType="end"/>
      </w:r>
    </w:p>
    <w:p>
      <w:pPr>
        <w:pStyle w:val="58"/>
        <w:rPr>
          <w:rFonts w:asciiTheme="minorHAnsi" w:hAnsiTheme="minorHAnsi" w:eastAsiaTheme="minorEastAsia" w:cstheme="minorBidi"/>
          <w:b w:val="0"/>
          <w:bCs w:val="0"/>
          <w:sz w:val="21"/>
          <w:szCs w:val="22"/>
        </w:rPr>
      </w:pPr>
      <w:r>
        <w:fldChar w:fldCharType="begin"/>
      </w:r>
      <w:r>
        <w:instrText xml:space="preserve"> HYPERLINK \l "_Toc140565266" </w:instrText>
      </w:r>
      <w:r>
        <w:fldChar w:fldCharType="separate"/>
      </w:r>
      <w:r>
        <w:rPr>
          <w:rStyle w:val="105"/>
          <w:color w:val="auto"/>
        </w:rPr>
        <w:t>4</w:t>
      </w:r>
      <w:r>
        <w:rPr>
          <w:rFonts w:asciiTheme="minorHAnsi" w:hAnsiTheme="minorHAnsi" w:eastAsiaTheme="minorEastAsia" w:cstheme="minorBidi"/>
          <w:b w:val="0"/>
          <w:bCs w:val="0"/>
          <w:sz w:val="21"/>
          <w:szCs w:val="22"/>
        </w:rPr>
        <w:tab/>
      </w:r>
      <w:r>
        <w:rPr>
          <w:rStyle w:val="105"/>
          <w:color w:val="auto"/>
        </w:rPr>
        <w:t>环境现状调查与评价</w:t>
      </w:r>
      <w:r>
        <w:tab/>
      </w:r>
      <w:r>
        <w:fldChar w:fldCharType="begin"/>
      </w:r>
      <w:r>
        <w:instrText xml:space="preserve"> PAGEREF _Toc140565266 \h </w:instrText>
      </w:r>
      <w:r>
        <w:fldChar w:fldCharType="separate"/>
      </w:r>
      <w:r>
        <w:t>105</w:t>
      </w:r>
      <w:r>
        <w:fldChar w:fldCharType="end"/>
      </w:r>
      <w:r>
        <w:fldChar w:fldCharType="end"/>
      </w:r>
    </w:p>
    <w:p>
      <w:pPr>
        <w:pStyle w:val="73"/>
        <w:rPr>
          <w:rFonts w:ascii="仿宋" w:hAnsi="仿宋" w:eastAsia="仿宋" w:cstheme="minorBidi"/>
          <w:smallCaps w:val="0"/>
          <w:sz w:val="28"/>
          <w:szCs w:val="22"/>
        </w:rPr>
      </w:pPr>
      <w:r>
        <w:fldChar w:fldCharType="begin"/>
      </w:r>
      <w:r>
        <w:instrText xml:space="preserve"> HYPERLINK \l "_Toc140565267" </w:instrText>
      </w:r>
      <w:r>
        <w:fldChar w:fldCharType="separate"/>
      </w:r>
      <w:r>
        <w:rPr>
          <w:rStyle w:val="105"/>
          <w:rFonts w:ascii="仿宋" w:hAnsi="仿宋" w:eastAsia="仿宋"/>
          <w:color w:val="auto"/>
          <w:sz w:val="24"/>
        </w:rPr>
        <w:t>4.1</w:t>
      </w:r>
      <w:r>
        <w:rPr>
          <w:rFonts w:ascii="仿宋" w:hAnsi="仿宋" w:eastAsia="仿宋" w:cstheme="minorBidi"/>
          <w:smallCaps w:val="0"/>
          <w:sz w:val="28"/>
          <w:szCs w:val="22"/>
        </w:rPr>
        <w:tab/>
      </w:r>
      <w:r>
        <w:rPr>
          <w:rStyle w:val="105"/>
          <w:rFonts w:ascii="仿宋" w:hAnsi="仿宋" w:eastAsia="仿宋"/>
          <w:color w:val="auto"/>
          <w:sz w:val="24"/>
        </w:rPr>
        <w:t>自然环境现状调查概况</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_Toc140565267 \h </w:instrText>
      </w:r>
      <w:r>
        <w:rPr>
          <w:rFonts w:ascii="仿宋" w:hAnsi="仿宋" w:eastAsia="仿宋"/>
          <w:sz w:val="24"/>
        </w:rPr>
        <w:fldChar w:fldCharType="separate"/>
      </w:r>
      <w:r>
        <w:rPr>
          <w:rFonts w:ascii="仿宋" w:hAnsi="仿宋" w:eastAsia="仿宋"/>
          <w:sz w:val="24"/>
        </w:rPr>
        <w:t>105</w:t>
      </w:r>
      <w:r>
        <w:rPr>
          <w:rFonts w:ascii="仿宋" w:hAnsi="仿宋" w:eastAsia="仿宋"/>
          <w:sz w:val="24"/>
        </w:rPr>
        <w:fldChar w:fldCharType="end"/>
      </w:r>
      <w:r>
        <w:rPr>
          <w:rFonts w:ascii="仿宋" w:hAnsi="仿宋" w:eastAsia="仿宋"/>
          <w:sz w:val="24"/>
        </w:rPr>
        <w:fldChar w:fldCharType="end"/>
      </w:r>
    </w:p>
    <w:p>
      <w:pPr>
        <w:pStyle w:val="73"/>
        <w:rPr>
          <w:rFonts w:ascii="仿宋" w:hAnsi="仿宋" w:eastAsia="仿宋" w:cstheme="minorBidi"/>
          <w:smallCaps w:val="0"/>
          <w:sz w:val="28"/>
          <w:szCs w:val="22"/>
        </w:rPr>
      </w:pPr>
      <w:r>
        <w:fldChar w:fldCharType="begin"/>
      </w:r>
      <w:r>
        <w:instrText xml:space="preserve"> HYPERLINK \l "_Toc140565268" </w:instrText>
      </w:r>
      <w:r>
        <w:fldChar w:fldCharType="separate"/>
      </w:r>
      <w:r>
        <w:rPr>
          <w:rStyle w:val="105"/>
          <w:rFonts w:ascii="仿宋" w:hAnsi="仿宋" w:eastAsia="仿宋"/>
          <w:color w:val="auto"/>
          <w:sz w:val="24"/>
        </w:rPr>
        <w:t>4.2</w:t>
      </w:r>
      <w:r>
        <w:rPr>
          <w:rFonts w:ascii="仿宋" w:hAnsi="仿宋" w:eastAsia="仿宋" w:cstheme="minorBidi"/>
          <w:smallCaps w:val="0"/>
          <w:sz w:val="28"/>
          <w:szCs w:val="22"/>
        </w:rPr>
        <w:tab/>
      </w:r>
      <w:r>
        <w:rPr>
          <w:rStyle w:val="105"/>
          <w:rFonts w:ascii="仿宋" w:hAnsi="仿宋" w:eastAsia="仿宋"/>
          <w:color w:val="auto"/>
          <w:sz w:val="24"/>
        </w:rPr>
        <w:t>环境现状调查与评价</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_Toc140565268 \h </w:instrText>
      </w:r>
      <w:r>
        <w:rPr>
          <w:rFonts w:ascii="仿宋" w:hAnsi="仿宋" w:eastAsia="仿宋"/>
          <w:sz w:val="24"/>
        </w:rPr>
        <w:fldChar w:fldCharType="separate"/>
      </w:r>
      <w:r>
        <w:rPr>
          <w:rFonts w:ascii="仿宋" w:hAnsi="仿宋" w:eastAsia="仿宋"/>
          <w:sz w:val="24"/>
        </w:rPr>
        <w:t>108</w:t>
      </w:r>
      <w:r>
        <w:rPr>
          <w:rFonts w:ascii="仿宋" w:hAnsi="仿宋" w:eastAsia="仿宋"/>
          <w:sz w:val="24"/>
        </w:rPr>
        <w:fldChar w:fldCharType="end"/>
      </w:r>
      <w:r>
        <w:rPr>
          <w:rFonts w:ascii="仿宋" w:hAnsi="仿宋" w:eastAsia="仿宋"/>
          <w:sz w:val="24"/>
        </w:rPr>
        <w:fldChar w:fldCharType="end"/>
      </w:r>
    </w:p>
    <w:p>
      <w:pPr>
        <w:pStyle w:val="73"/>
        <w:rPr>
          <w:rFonts w:ascii="仿宋" w:hAnsi="仿宋" w:eastAsia="仿宋" w:cstheme="minorBidi"/>
          <w:smallCaps w:val="0"/>
          <w:sz w:val="28"/>
          <w:szCs w:val="22"/>
        </w:rPr>
      </w:pPr>
      <w:r>
        <w:fldChar w:fldCharType="begin"/>
      </w:r>
      <w:r>
        <w:instrText xml:space="preserve"> HYPERLINK \l "_Toc140565269" </w:instrText>
      </w:r>
      <w:r>
        <w:fldChar w:fldCharType="separate"/>
      </w:r>
      <w:r>
        <w:rPr>
          <w:rStyle w:val="105"/>
          <w:rFonts w:ascii="仿宋" w:hAnsi="仿宋" w:eastAsia="仿宋"/>
          <w:color w:val="auto"/>
          <w:sz w:val="24"/>
        </w:rPr>
        <w:t>4.3</w:t>
      </w:r>
      <w:r>
        <w:rPr>
          <w:rFonts w:ascii="仿宋" w:hAnsi="仿宋" w:eastAsia="仿宋" w:cstheme="minorBidi"/>
          <w:smallCaps w:val="0"/>
          <w:sz w:val="28"/>
          <w:szCs w:val="22"/>
        </w:rPr>
        <w:tab/>
      </w:r>
      <w:r>
        <w:rPr>
          <w:rStyle w:val="105"/>
          <w:rFonts w:ascii="仿宋" w:hAnsi="仿宋" w:eastAsia="仿宋"/>
          <w:color w:val="auto"/>
          <w:sz w:val="24"/>
        </w:rPr>
        <w:t>区域污染源调查与评价</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_Toc140565269 \h </w:instrText>
      </w:r>
      <w:r>
        <w:rPr>
          <w:rFonts w:ascii="仿宋" w:hAnsi="仿宋" w:eastAsia="仿宋"/>
          <w:sz w:val="24"/>
        </w:rPr>
        <w:fldChar w:fldCharType="separate"/>
      </w:r>
      <w:r>
        <w:rPr>
          <w:rFonts w:ascii="仿宋" w:hAnsi="仿宋" w:eastAsia="仿宋"/>
          <w:sz w:val="24"/>
        </w:rPr>
        <w:t>125</w:t>
      </w:r>
      <w:r>
        <w:rPr>
          <w:rFonts w:ascii="仿宋" w:hAnsi="仿宋" w:eastAsia="仿宋"/>
          <w:sz w:val="24"/>
        </w:rPr>
        <w:fldChar w:fldCharType="end"/>
      </w:r>
      <w:r>
        <w:rPr>
          <w:rFonts w:ascii="仿宋" w:hAnsi="仿宋" w:eastAsia="仿宋"/>
          <w:sz w:val="24"/>
        </w:rPr>
        <w:fldChar w:fldCharType="end"/>
      </w:r>
    </w:p>
    <w:p>
      <w:pPr>
        <w:pStyle w:val="58"/>
        <w:rPr>
          <w:rFonts w:asciiTheme="minorHAnsi" w:hAnsiTheme="minorHAnsi" w:eastAsiaTheme="minorEastAsia" w:cstheme="minorBidi"/>
          <w:b w:val="0"/>
          <w:bCs w:val="0"/>
          <w:sz w:val="21"/>
          <w:szCs w:val="22"/>
        </w:rPr>
      </w:pPr>
      <w:r>
        <w:fldChar w:fldCharType="begin"/>
      </w:r>
      <w:r>
        <w:instrText xml:space="preserve"> HYPERLINK \l "_Toc140565270" </w:instrText>
      </w:r>
      <w:r>
        <w:fldChar w:fldCharType="separate"/>
      </w:r>
      <w:r>
        <w:rPr>
          <w:rStyle w:val="105"/>
          <w:color w:val="auto"/>
          <w:kern w:val="44"/>
        </w:rPr>
        <w:t>5</w:t>
      </w:r>
      <w:r>
        <w:rPr>
          <w:rFonts w:asciiTheme="minorHAnsi" w:hAnsiTheme="minorHAnsi" w:eastAsiaTheme="minorEastAsia" w:cstheme="minorBidi"/>
          <w:b w:val="0"/>
          <w:bCs w:val="0"/>
          <w:sz w:val="21"/>
          <w:szCs w:val="22"/>
        </w:rPr>
        <w:tab/>
      </w:r>
      <w:r>
        <w:rPr>
          <w:rStyle w:val="105"/>
          <w:color w:val="auto"/>
          <w:kern w:val="44"/>
        </w:rPr>
        <w:t>环境影响预测与评价</w:t>
      </w:r>
      <w:r>
        <w:tab/>
      </w:r>
      <w:r>
        <w:fldChar w:fldCharType="begin"/>
      </w:r>
      <w:r>
        <w:instrText xml:space="preserve"> PAGEREF _Toc140565270 \h </w:instrText>
      </w:r>
      <w:r>
        <w:fldChar w:fldCharType="separate"/>
      </w:r>
      <w:r>
        <w:t>129</w:t>
      </w:r>
      <w:r>
        <w:fldChar w:fldCharType="end"/>
      </w:r>
      <w:r>
        <w:fldChar w:fldCharType="end"/>
      </w:r>
    </w:p>
    <w:p>
      <w:pPr>
        <w:pStyle w:val="73"/>
        <w:rPr>
          <w:rFonts w:ascii="仿宋" w:hAnsi="仿宋" w:eastAsia="仿宋" w:cstheme="minorBidi"/>
          <w:smallCaps w:val="0"/>
          <w:sz w:val="28"/>
          <w:szCs w:val="22"/>
        </w:rPr>
      </w:pPr>
      <w:r>
        <w:fldChar w:fldCharType="begin"/>
      </w:r>
      <w:r>
        <w:instrText xml:space="preserve"> HYPERLINK \l "_Toc140565271" </w:instrText>
      </w:r>
      <w:r>
        <w:fldChar w:fldCharType="separate"/>
      </w:r>
      <w:r>
        <w:rPr>
          <w:rStyle w:val="105"/>
          <w:rFonts w:ascii="仿宋" w:hAnsi="仿宋" w:eastAsia="仿宋"/>
          <w:color w:val="auto"/>
          <w:spacing w:val="6"/>
          <w:kern w:val="0"/>
          <w:sz w:val="24"/>
        </w:rPr>
        <w:t>5.1</w:t>
      </w:r>
      <w:r>
        <w:rPr>
          <w:rFonts w:ascii="仿宋" w:hAnsi="仿宋" w:eastAsia="仿宋" w:cstheme="minorBidi"/>
          <w:smallCaps w:val="0"/>
          <w:sz w:val="28"/>
          <w:szCs w:val="22"/>
        </w:rPr>
        <w:tab/>
      </w:r>
      <w:r>
        <w:rPr>
          <w:rStyle w:val="105"/>
          <w:rFonts w:ascii="仿宋" w:hAnsi="仿宋" w:eastAsia="仿宋"/>
          <w:color w:val="auto"/>
          <w:spacing w:val="6"/>
          <w:kern w:val="0"/>
          <w:sz w:val="24"/>
        </w:rPr>
        <w:t>施工期环境影响评价</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_Toc140565271 \h </w:instrText>
      </w:r>
      <w:r>
        <w:rPr>
          <w:rFonts w:ascii="仿宋" w:hAnsi="仿宋" w:eastAsia="仿宋"/>
          <w:sz w:val="24"/>
        </w:rPr>
        <w:fldChar w:fldCharType="separate"/>
      </w:r>
      <w:r>
        <w:rPr>
          <w:rFonts w:ascii="仿宋" w:hAnsi="仿宋" w:eastAsia="仿宋"/>
          <w:sz w:val="24"/>
        </w:rPr>
        <w:t>129</w:t>
      </w:r>
      <w:r>
        <w:rPr>
          <w:rFonts w:ascii="仿宋" w:hAnsi="仿宋" w:eastAsia="仿宋"/>
          <w:sz w:val="24"/>
        </w:rPr>
        <w:fldChar w:fldCharType="end"/>
      </w:r>
      <w:r>
        <w:rPr>
          <w:rFonts w:ascii="仿宋" w:hAnsi="仿宋" w:eastAsia="仿宋"/>
          <w:sz w:val="24"/>
        </w:rPr>
        <w:fldChar w:fldCharType="end"/>
      </w:r>
    </w:p>
    <w:p>
      <w:pPr>
        <w:pStyle w:val="73"/>
        <w:rPr>
          <w:rFonts w:ascii="仿宋" w:hAnsi="仿宋" w:eastAsia="仿宋" w:cstheme="minorBidi"/>
          <w:smallCaps w:val="0"/>
          <w:sz w:val="28"/>
          <w:szCs w:val="22"/>
        </w:rPr>
      </w:pPr>
      <w:r>
        <w:fldChar w:fldCharType="begin"/>
      </w:r>
      <w:r>
        <w:instrText xml:space="preserve"> HYPERLINK \l "_Toc140565272" </w:instrText>
      </w:r>
      <w:r>
        <w:fldChar w:fldCharType="separate"/>
      </w:r>
      <w:r>
        <w:rPr>
          <w:rStyle w:val="105"/>
          <w:rFonts w:ascii="仿宋" w:hAnsi="仿宋" w:eastAsia="仿宋"/>
          <w:color w:val="auto"/>
          <w:spacing w:val="6"/>
          <w:kern w:val="0"/>
          <w:sz w:val="24"/>
        </w:rPr>
        <w:t>5.2</w:t>
      </w:r>
      <w:r>
        <w:rPr>
          <w:rFonts w:ascii="仿宋" w:hAnsi="仿宋" w:eastAsia="仿宋" w:cstheme="minorBidi"/>
          <w:smallCaps w:val="0"/>
          <w:sz w:val="28"/>
          <w:szCs w:val="22"/>
        </w:rPr>
        <w:tab/>
      </w:r>
      <w:r>
        <w:rPr>
          <w:rStyle w:val="105"/>
          <w:rFonts w:ascii="仿宋" w:hAnsi="仿宋" w:eastAsia="仿宋"/>
          <w:color w:val="auto"/>
          <w:spacing w:val="6"/>
          <w:kern w:val="0"/>
          <w:sz w:val="24"/>
        </w:rPr>
        <w:t>运营期环境影响预测</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_Toc140565272 \h </w:instrText>
      </w:r>
      <w:r>
        <w:rPr>
          <w:rFonts w:ascii="仿宋" w:hAnsi="仿宋" w:eastAsia="仿宋"/>
          <w:sz w:val="24"/>
        </w:rPr>
        <w:fldChar w:fldCharType="separate"/>
      </w:r>
      <w:r>
        <w:rPr>
          <w:rFonts w:ascii="仿宋" w:hAnsi="仿宋" w:eastAsia="仿宋"/>
          <w:sz w:val="24"/>
        </w:rPr>
        <w:t>131</w:t>
      </w:r>
      <w:r>
        <w:rPr>
          <w:rFonts w:ascii="仿宋" w:hAnsi="仿宋" w:eastAsia="仿宋"/>
          <w:sz w:val="24"/>
        </w:rPr>
        <w:fldChar w:fldCharType="end"/>
      </w:r>
      <w:r>
        <w:rPr>
          <w:rFonts w:ascii="仿宋" w:hAnsi="仿宋" w:eastAsia="仿宋"/>
          <w:sz w:val="24"/>
        </w:rPr>
        <w:fldChar w:fldCharType="end"/>
      </w:r>
    </w:p>
    <w:p>
      <w:pPr>
        <w:pStyle w:val="73"/>
        <w:rPr>
          <w:rFonts w:ascii="仿宋" w:hAnsi="仿宋" w:eastAsia="仿宋" w:cstheme="minorBidi"/>
          <w:smallCaps w:val="0"/>
          <w:sz w:val="28"/>
          <w:szCs w:val="22"/>
        </w:rPr>
      </w:pPr>
      <w:r>
        <w:fldChar w:fldCharType="begin"/>
      </w:r>
      <w:r>
        <w:instrText xml:space="preserve"> HYPERLINK \l "_Toc140565273" </w:instrText>
      </w:r>
      <w:r>
        <w:fldChar w:fldCharType="separate"/>
      </w:r>
      <w:r>
        <w:rPr>
          <w:rStyle w:val="105"/>
          <w:rFonts w:ascii="仿宋" w:hAnsi="仿宋" w:eastAsia="仿宋"/>
          <w:color w:val="auto"/>
          <w:spacing w:val="6"/>
          <w:kern w:val="0"/>
          <w:sz w:val="24"/>
        </w:rPr>
        <w:t>5.3</w:t>
      </w:r>
      <w:r>
        <w:rPr>
          <w:rFonts w:ascii="仿宋" w:hAnsi="仿宋" w:eastAsia="仿宋" w:cstheme="minorBidi"/>
          <w:smallCaps w:val="0"/>
          <w:sz w:val="28"/>
          <w:szCs w:val="22"/>
        </w:rPr>
        <w:tab/>
      </w:r>
      <w:r>
        <w:rPr>
          <w:rStyle w:val="105"/>
          <w:rFonts w:ascii="仿宋" w:hAnsi="仿宋" w:eastAsia="仿宋"/>
          <w:color w:val="auto"/>
          <w:spacing w:val="6"/>
          <w:kern w:val="0"/>
          <w:sz w:val="24"/>
        </w:rPr>
        <w:t>环境风险评价</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_Toc140565273 \h </w:instrText>
      </w:r>
      <w:r>
        <w:rPr>
          <w:rFonts w:ascii="仿宋" w:hAnsi="仿宋" w:eastAsia="仿宋"/>
          <w:sz w:val="24"/>
        </w:rPr>
        <w:fldChar w:fldCharType="separate"/>
      </w:r>
      <w:r>
        <w:rPr>
          <w:rFonts w:ascii="仿宋" w:hAnsi="仿宋" w:eastAsia="仿宋"/>
          <w:sz w:val="24"/>
        </w:rPr>
        <w:t>186</w:t>
      </w:r>
      <w:r>
        <w:rPr>
          <w:rFonts w:ascii="仿宋" w:hAnsi="仿宋" w:eastAsia="仿宋"/>
          <w:sz w:val="24"/>
        </w:rPr>
        <w:fldChar w:fldCharType="end"/>
      </w:r>
      <w:r>
        <w:rPr>
          <w:rFonts w:ascii="仿宋" w:hAnsi="仿宋" w:eastAsia="仿宋"/>
          <w:sz w:val="24"/>
        </w:rPr>
        <w:fldChar w:fldCharType="end"/>
      </w:r>
    </w:p>
    <w:p>
      <w:pPr>
        <w:pStyle w:val="58"/>
        <w:rPr>
          <w:rFonts w:asciiTheme="minorHAnsi" w:hAnsiTheme="minorHAnsi" w:eastAsiaTheme="minorEastAsia" w:cstheme="minorBidi"/>
          <w:b w:val="0"/>
          <w:bCs w:val="0"/>
          <w:sz w:val="21"/>
          <w:szCs w:val="22"/>
        </w:rPr>
      </w:pPr>
      <w:r>
        <w:fldChar w:fldCharType="begin"/>
      </w:r>
      <w:r>
        <w:instrText xml:space="preserve"> HYPERLINK \l "_Toc140565274" </w:instrText>
      </w:r>
      <w:r>
        <w:fldChar w:fldCharType="separate"/>
      </w:r>
      <w:r>
        <w:rPr>
          <w:rStyle w:val="105"/>
          <w:color w:val="auto"/>
        </w:rPr>
        <w:t>6</w:t>
      </w:r>
      <w:r>
        <w:rPr>
          <w:rFonts w:asciiTheme="minorHAnsi" w:hAnsiTheme="minorHAnsi" w:eastAsiaTheme="minorEastAsia" w:cstheme="minorBidi"/>
          <w:b w:val="0"/>
          <w:bCs w:val="0"/>
          <w:sz w:val="21"/>
          <w:szCs w:val="22"/>
        </w:rPr>
        <w:tab/>
      </w:r>
      <w:r>
        <w:rPr>
          <w:rStyle w:val="105"/>
          <w:color w:val="auto"/>
        </w:rPr>
        <w:t>环境保护措施及其可行性论证</w:t>
      </w:r>
      <w:r>
        <w:tab/>
      </w:r>
      <w:r>
        <w:fldChar w:fldCharType="begin"/>
      </w:r>
      <w:r>
        <w:instrText xml:space="preserve"> PAGEREF _Toc140565274 \h </w:instrText>
      </w:r>
      <w:r>
        <w:fldChar w:fldCharType="separate"/>
      </w:r>
      <w:r>
        <w:t>217</w:t>
      </w:r>
      <w:r>
        <w:fldChar w:fldCharType="end"/>
      </w:r>
      <w:r>
        <w:fldChar w:fldCharType="end"/>
      </w:r>
    </w:p>
    <w:p>
      <w:pPr>
        <w:pStyle w:val="73"/>
        <w:rPr>
          <w:rFonts w:ascii="仿宋" w:hAnsi="仿宋" w:eastAsia="仿宋" w:cstheme="minorBidi"/>
          <w:smallCaps w:val="0"/>
          <w:sz w:val="28"/>
          <w:szCs w:val="22"/>
        </w:rPr>
      </w:pPr>
      <w:r>
        <w:fldChar w:fldCharType="begin"/>
      </w:r>
      <w:r>
        <w:instrText xml:space="preserve"> HYPERLINK \l "_Toc140565275" </w:instrText>
      </w:r>
      <w:r>
        <w:fldChar w:fldCharType="separate"/>
      </w:r>
      <w:r>
        <w:rPr>
          <w:rStyle w:val="105"/>
          <w:rFonts w:ascii="仿宋" w:hAnsi="仿宋" w:eastAsia="仿宋"/>
          <w:color w:val="auto"/>
          <w:sz w:val="24"/>
        </w:rPr>
        <w:t>6.1</w:t>
      </w:r>
      <w:r>
        <w:rPr>
          <w:rFonts w:ascii="仿宋" w:hAnsi="仿宋" w:eastAsia="仿宋" w:cstheme="minorBidi"/>
          <w:smallCaps w:val="0"/>
          <w:sz w:val="28"/>
          <w:szCs w:val="22"/>
        </w:rPr>
        <w:tab/>
      </w:r>
      <w:r>
        <w:rPr>
          <w:rStyle w:val="105"/>
          <w:rFonts w:ascii="仿宋" w:hAnsi="仿宋" w:eastAsia="仿宋"/>
          <w:color w:val="auto"/>
          <w:sz w:val="24"/>
        </w:rPr>
        <w:t>大气环境保护措施及其经济、技术论证</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_Toc140565275 \h </w:instrText>
      </w:r>
      <w:r>
        <w:rPr>
          <w:rFonts w:ascii="仿宋" w:hAnsi="仿宋" w:eastAsia="仿宋"/>
          <w:sz w:val="24"/>
        </w:rPr>
        <w:fldChar w:fldCharType="separate"/>
      </w:r>
      <w:r>
        <w:rPr>
          <w:rFonts w:ascii="仿宋" w:hAnsi="仿宋" w:eastAsia="仿宋"/>
          <w:sz w:val="24"/>
        </w:rPr>
        <w:t>217</w:t>
      </w:r>
      <w:r>
        <w:rPr>
          <w:rFonts w:ascii="仿宋" w:hAnsi="仿宋" w:eastAsia="仿宋"/>
          <w:sz w:val="24"/>
        </w:rPr>
        <w:fldChar w:fldCharType="end"/>
      </w:r>
      <w:r>
        <w:rPr>
          <w:rFonts w:ascii="仿宋" w:hAnsi="仿宋" w:eastAsia="仿宋"/>
          <w:sz w:val="24"/>
        </w:rPr>
        <w:fldChar w:fldCharType="end"/>
      </w:r>
    </w:p>
    <w:p>
      <w:pPr>
        <w:pStyle w:val="73"/>
        <w:rPr>
          <w:rFonts w:ascii="仿宋" w:hAnsi="仿宋" w:eastAsia="仿宋" w:cstheme="minorBidi"/>
          <w:smallCaps w:val="0"/>
          <w:sz w:val="28"/>
          <w:szCs w:val="22"/>
        </w:rPr>
      </w:pPr>
      <w:r>
        <w:fldChar w:fldCharType="begin"/>
      </w:r>
      <w:r>
        <w:instrText xml:space="preserve"> HYPERLINK \l "_Toc140565276" </w:instrText>
      </w:r>
      <w:r>
        <w:fldChar w:fldCharType="separate"/>
      </w:r>
      <w:r>
        <w:rPr>
          <w:rStyle w:val="105"/>
          <w:rFonts w:ascii="仿宋" w:hAnsi="仿宋" w:eastAsia="仿宋"/>
          <w:color w:val="auto"/>
          <w:sz w:val="24"/>
        </w:rPr>
        <w:t>6.2</w:t>
      </w:r>
      <w:r>
        <w:rPr>
          <w:rFonts w:ascii="仿宋" w:hAnsi="仿宋" w:eastAsia="仿宋" w:cstheme="minorBidi"/>
          <w:smallCaps w:val="0"/>
          <w:sz w:val="28"/>
          <w:szCs w:val="22"/>
        </w:rPr>
        <w:tab/>
      </w:r>
      <w:r>
        <w:rPr>
          <w:rStyle w:val="105"/>
          <w:rFonts w:ascii="仿宋" w:hAnsi="仿宋" w:eastAsia="仿宋"/>
          <w:color w:val="auto"/>
          <w:sz w:val="24"/>
        </w:rPr>
        <w:t>地表水环境保护措施及其经济、技术论证</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_Toc140565276 \h </w:instrText>
      </w:r>
      <w:r>
        <w:rPr>
          <w:rFonts w:ascii="仿宋" w:hAnsi="仿宋" w:eastAsia="仿宋"/>
          <w:sz w:val="24"/>
        </w:rPr>
        <w:fldChar w:fldCharType="separate"/>
      </w:r>
      <w:r>
        <w:rPr>
          <w:rFonts w:ascii="仿宋" w:hAnsi="仿宋" w:eastAsia="仿宋"/>
          <w:sz w:val="24"/>
        </w:rPr>
        <w:t>223</w:t>
      </w:r>
      <w:r>
        <w:rPr>
          <w:rFonts w:ascii="仿宋" w:hAnsi="仿宋" w:eastAsia="仿宋"/>
          <w:sz w:val="24"/>
        </w:rPr>
        <w:fldChar w:fldCharType="end"/>
      </w:r>
      <w:r>
        <w:rPr>
          <w:rFonts w:ascii="仿宋" w:hAnsi="仿宋" w:eastAsia="仿宋"/>
          <w:sz w:val="24"/>
        </w:rPr>
        <w:fldChar w:fldCharType="end"/>
      </w:r>
    </w:p>
    <w:p>
      <w:pPr>
        <w:pStyle w:val="73"/>
        <w:rPr>
          <w:rFonts w:ascii="仿宋" w:hAnsi="仿宋" w:eastAsia="仿宋" w:cstheme="minorBidi"/>
          <w:smallCaps w:val="0"/>
          <w:sz w:val="28"/>
          <w:szCs w:val="22"/>
        </w:rPr>
      </w:pPr>
      <w:r>
        <w:fldChar w:fldCharType="begin"/>
      </w:r>
      <w:r>
        <w:instrText xml:space="preserve"> HYPERLINK \l "_Toc140565277" </w:instrText>
      </w:r>
      <w:r>
        <w:fldChar w:fldCharType="separate"/>
      </w:r>
      <w:r>
        <w:rPr>
          <w:rStyle w:val="105"/>
          <w:rFonts w:ascii="仿宋" w:hAnsi="仿宋" w:eastAsia="仿宋"/>
          <w:color w:val="auto"/>
          <w:sz w:val="24"/>
        </w:rPr>
        <w:t>6.3</w:t>
      </w:r>
      <w:r>
        <w:rPr>
          <w:rFonts w:ascii="仿宋" w:hAnsi="仿宋" w:eastAsia="仿宋" w:cstheme="minorBidi"/>
          <w:smallCaps w:val="0"/>
          <w:sz w:val="28"/>
          <w:szCs w:val="22"/>
        </w:rPr>
        <w:tab/>
      </w:r>
      <w:r>
        <w:rPr>
          <w:rStyle w:val="105"/>
          <w:rFonts w:ascii="仿宋" w:hAnsi="仿宋" w:eastAsia="仿宋"/>
          <w:color w:val="auto"/>
          <w:sz w:val="24"/>
        </w:rPr>
        <w:t>固体废弃物污染防治措施评述</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_Toc140565277 \h </w:instrText>
      </w:r>
      <w:r>
        <w:rPr>
          <w:rFonts w:ascii="仿宋" w:hAnsi="仿宋" w:eastAsia="仿宋"/>
          <w:sz w:val="24"/>
        </w:rPr>
        <w:fldChar w:fldCharType="separate"/>
      </w:r>
      <w:r>
        <w:rPr>
          <w:rFonts w:ascii="仿宋" w:hAnsi="仿宋" w:eastAsia="仿宋"/>
          <w:sz w:val="24"/>
        </w:rPr>
        <w:t>225</w:t>
      </w:r>
      <w:r>
        <w:rPr>
          <w:rFonts w:ascii="仿宋" w:hAnsi="仿宋" w:eastAsia="仿宋"/>
          <w:sz w:val="24"/>
        </w:rPr>
        <w:fldChar w:fldCharType="end"/>
      </w:r>
      <w:r>
        <w:rPr>
          <w:rFonts w:ascii="仿宋" w:hAnsi="仿宋" w:eastAsia="仿宋"/>
          <w:sz w:val="24"/>
        </w:rPr>
        <w:fldChar w:fldCharType="end"/>
      </w:r>
    </w:p>
    <w:p>
      <w:pPr>
        <w:pStyle w:val="73"/>
        <w:rPr>
          <w:rFonts w:ascii="仿宋" w:hAnsi="仿宋" w:eastAsia="仿宋" w:cstheme="minorBidi"/>
          <w:smallCaps w:val="0"/>
          <w:sz w:val="28"/>
          <w:szCs w:val="22"/>
        </w:rPr>
      </w:pPr>
      <w:r>
        <w:fldChar w:fldCharType="begin"/>
      </w:r>
      <w:r>
        <w:instrText xml:space="preserve"> HYPERLINK \l "_Toc140565278" </w:instrText>
      </w:r>
      <w:r>
        <w:fldChar w:fldCharType="separate"/>
      </w:r>
      <w:r>
        <w:rPr>
          <w:rStyle w:val="105"/>
          <w:rFonts w:ascii="仿宋" w:hAnsi="仿宋" w:eastAsia="仿宋"/>
          <w:color w:val="auto"/>
          <w:sz w:val="24"/>
        </w:rPr>
        <w:t>6.4</w:t>
      </w:r>
      <w:r>
        <w:rPr>
          <w:rFonts w:ascii="仿宋" w:hAnsi="仿宋" w:eastAsia="仿宋" w:cstheme="minorBidi"/>
          <w:smallCaps w:val="0"/>
          <w:sz w:val="28"/>
          <w:szCs w:val="22"/>
        </w:rPr>
        <w:tab/>
      </w:r>
      <w:r>
        <w:rPr>
          <w:rStyle w:val="105"/>
          <w:rFonts w:ascii="仿宋" w:hAnsi="仿宋" w:eastAsia="仿宋"/>
          <w:color w:val="auto"/>
          <w:sz w:val="24"/>
        </w:rPr>
        <w:t>噪声污染防治措施评述</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_Toc140565278 \h </w:instrText>
      </w:r>
      <w:r>
        <w:rPr>
          <w:rFonts w:ascii="仿宋" w:hAnsi="仿宋" w:eastAsia="仿宋"/>
          <w:sz w:val="24"/>
        </w:rPr>
        <w:fldChar w:fldCharType="separate"/>
      </w:r>
      <w:r>
        <w:rPr>
          <w:rFonts w:ascii="仿宋" w:hAnsi="仿宋" w:eastAsia="仿宋"/>
          <w:sz w:val="24"/>
        </w:rPr>
        <w:t>238</w:t>
      </w:r>
      <w:r>
        <w:rPr>
          <w:rFonts w:ascii="仿宋" w:hAnsi="仿宋" w:eastAsia="仿宋"/>
          <w:sz w:val="24"/>
        </w:rPr>
        <w:fldChar w:fldCharType="end"/>
      </w:r>
      <w:r>
        <w:rPr>
          <w:rFonts w:ascii="仿宋" w:hAnsi="仿宋" w:eastAsia="仿宋"/>
          <w:sz w:val="24"/>
        </w:rPr>
        <w:fldChar w:fldCharType="end"/>
      </w:r>
    </w:p>
    <w:p>
      <w:pPr>
        <w:pStyle w:val="73"/>
        <w:rPr>
          <w:rFonts w:ascii="仿宋" w:hAnsi="仿宋" w:eastAsia="仿宋" w:cstheme="minorBidi"/>
          <w:smallCaps w:val="0"/>
          <w:sz w:val="28"/>
          <w:szCs w:val="22"/>
        </w:rPr>
      </w:pPr>
      <w:r>
        <w:fldChar w:fldCharType="begin"/>
      </w:r>
      <w:r>
        <w:instrText xml:space="preserve"> HYPERLINK \l "_Toc140565279" </w:instrText>
      </w:r>
      <w:r>
        <w:fldChar w:fldCharType="separate"/>
      </w:r>
      <w:r>
        <w:rPr>
          <w:rStyle w:val="105"/>
          <w:rFonts w:ascii="仿宋" w:hAnsi="仿宋" w:eastAsia="仿宋"/>
          <w:color w:val="auto"/>
          <w:sz w:val="24"/>
        </w:rPr>
        <w:t>6.5</w:t>
      </w:r>
      <w:r>
        <w:rPr>
          <w:rFonts w:ascii="仿宋" w:hAnsi="仿宋" w:eastAsia="仿宋" w:cstheme="minorBidi"/>
          <w:smallCaps w:val="0"/>
          <w:sz w:val="28"/>
          <w:szCs w:val="22"/>
        </w:rPr>
        <w:tab/>
      </w:r>
      <w:r>
        <w:rPr>
          <w:rStyle w:val="105"/>
          <w:rFonts w:ascii="仿宋" w:hAnsi="仿宋" w:eastAsia="仿宋"/>
          <w:color w:val="auto"/>
          <w:sz w:val="24"/>
        </w:rPr>
        <w:t>土壤、地下水污染防治措施及可行性分析</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_Toc140565279 \h </w:instrText>
      </w:r>
      <w:r>
        <w:rPr>
          <w:rFonts w:ascii="仿宋" w:hAnsi="仿宋" w:eastAsia="仿宋"/>
          <w:sz w:val="24"/>
        </w:rPr>
        <w:fldChar w:fldCharType="separate"/>
      </w:r>
      <w:r>
        <w:rPr>
          <w:rFonts w:ascii="仿宋" w:hAnsi="仿宋" w:eastAsia="仿宋"/>
          <w:sz w:val="24"/>
        </w:rPr>
        <w:t>239</w:t>
      </w:r>
      <w:r>
        <w:rPr>
          <w:rFonts w:ascii="仿宋" w:hAnsi="仿宋" w:eastAsia="仿宋"/>
          <w:sz w:val="24"/>
        </w:rPr>
        <w:fldChar w:fldCharType="end"/>
      </w:r>
      <w:r>
        <w:rPr>
          <w:rFonts w:ascii="仿宋" w:hAnsi="仿宋" w:eastAsia="仿宋"/>
          <w:sz w:val="24"/>
        </w:rPr>
        <w:fldChar w:fldCharType="end"/>
      </w:r>
    </w:p>
    <w:p>
      <w:pPr>
        <w:pStyle w:val="73"/>
        <w:rPr>
          <w:rFonts w:ascii="仿宋" w:hAnsi="仿宋" w:eastAsia="仿宋" w:cstheme="minorBidi"/>
          <w:smallCaps w:val="0"/>
          <w:sz w:val="28"/>
          <w:szCs w:val="22"/>
        </w:rPr>
      </w:pPr>
      <w:r>
        <w:fldChar w:fldCharType="begin"/>
      </w:r>
      <w:r>
        <w:instrText xml:space="preserve"> HYPERLINK \l "_Toc140565280" </w:instrText>
      </w:r>
      <w:r>
        <w:fldChar w:fldCharType="separate"/>
      </w:r>
      <w:r>
        <w:rPr>
          <w:rStyle w:val="105"/>
          <w:rFonts w:ascii="仿宋" w:hAnsi="仿宋" w:eastAsia="仿宋"/>
          <w:color w:val="auto"/>
          <w:sz w:val="24"/>
        </w:rPr>
        <w:t>6.6</w:t>
      </w:r>
      <w:r>
        <w:rPr>
          <w:rFonts w:ascii="仿宋" w:hAnsi="仿宋" w:eastAsia="仿宋" w:cstheme="minorBidi"/>
          <w:smallCaps w:val="0"/>
          <w:sz w:val="28"/>
          <w:szCs w:val="22"/>
        </w:rPr>
        <w:tab/>
      </w:r>
      <w:r>
        <w:rPr>
          <w:rStyle w:val="105"/>
          <w:rFonts w:ascii="仿宋" w:hAnsi="仿宋" w:eastAsia="仿宋"/>
          <w:color w:val="auto"/>
          <w:sz w:val="24"/>
        </w:rPr>
        <w:t>风险防范及应急措施</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_Toc140565280 \h </w:instrText>
      </w:r>
      <w:r>
        <w:rPr>
          <w:rFonts w:ascii="仿宋" w:hAnsi="仿宋" w:eastAsia="仿宋"/>
          <w:sz w:val="24"/>
        </w:rPr>
        <w:fldChar w:fldCharType="separate"/>
      </w:r>
      <w:r>
        <w:rPr>
          <w:rFonts w:ascii="仿宋" w:hAnsi="仿宋" w:eastAsia="仿宋"/>
          <w:sz w:val="24"/>
        </w:rPr>
        <w:t>241</w:t>
      </w:r>
      <w:r>
        <w:rPr>
          <w:rFonts w:ascii="仿宋" w:hAnsi="仿宋" w:eastAsia="仿宋"/>
          <w:sz w:val="24"/>
        </w:rPr>
        <w:fldChar w:fldCharType="end"/>
      </w:r>
      <w:r>
        <w:rPr>
          <w:rFonts w:ascii="仿宋" w:hAnsi="仿宋" w:eastAsia="仿宋"/>
          <w:sz w:val="24"/>
        </w:rPr>
        <w:fldChar w:fldCharType="end"/>
      </w:r>
    </w:p>
    <w:p>
      <w:pPr>
        <w:pStyle w:val="73"/>
        <w:rPr>
          <w:rFonts w:ascii="仿宋" w:hAnsi="仿宋" w:eastAsia="仿宋" w:cstheme="minorBidi"/>
          <w:smallCaps w:val="0"/>
          <w:sz w:val="28"/>
          <w:szCs w:val="22"/>
        </w:rPr>
      </w:pPr>
      <w:r>
        <w:fldChar w:fldCharType="begin"/>
      </w:r>
      <w:r>
        <w:instrText xml:space="preserve"> HYPERLINK \l "_Toc140565281" </w:instrText>
      </w:r>
      <w:r>
        <w:fldChar w:fldCharType="separate"/>
      </w:r>
      <w:r>
        <w:rPr>
          <w:rStyle w:val="105"/>
          <w:rFonts w:ascii="仿宋" w:hAnsi="仿宋" w:eastAsia="仿宋"/>
          <w:color w:val="auto"/>
          <w:sz w:val="24"/>
        </w:rPr>
        <w:t>6.7</w:t>
      </w:r>
      <w:r>
        <w:rPr>
          <w:rFonts w:ascii="仿宋" w:hAnsi="仿宋" w:eastAsia="仿宋" w:cstheme="minorBidi"/>
          <w:smallCaps w:val="0"/>
          <w:sz w:val="28"/>
          <w:szCs w:val="22"/>
        </w:rPr>
        <w:tab/>
      </w:r>
      <w:r>
        <w:rPr>
          <w:rStyle w:val="105"/>
          <w:rFonts w:ascii="仿宋" w:hAnsi="仿宋" w:eastAsia="仿宋"/>
          <w:color w:val="auto"/>
          <w:sz w:val="24"/>
        </w:rPr>
        <w:t>环保措施汇总</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_Toc140565281 \h </w:instrText>
      </w:r>
      <w:r>
        <w:rPr>
          <w:rFonts w:ascii="仿宋" w:hAnsi="仿宋" w:eastAsia="仿宋"/>
          <w:sz w:val="24"/>
        </w:rPr>
        <w:fldChar w:fldCharType="separate"/>
      </w:r>
      <w:r>
        <w:rPr>
          <w:rFonts w:ascii="仿宋" w:hAnsi="仿宋" w:eastAsia="仿宋"/>
          <w:sz w:val="24"/>
        </w:rPr>
        <w:t>259</w:t>
      </w:r>
      <w:r>
        <w:rPr>
          <w:rFonts w:ascii="仿宋" w:hAnsi="仿宋" w:eastAsia="仿宋"/>
          <w:sz w:val="24"/>
        </w:rPr>
        <w:fldChar w:fldCharType="end"/>
      </w:r>
      <w:r>
        <w:rPr>
          <w:rFonts w:ascii="仿宋" w:hAnsi="仿宋" w:eastAsia="仿宋"/>
          <w:sz w:val="24"/>
        </w:rPr>
        <w:fldChar w:fldCharType="end"/>
      </w:r>
    </w:p>
    <w:p>
      <w:pPr>
        <w:pStyle w:val="58"/>
        <w:rPr>
          <w:rFonts w:asciiTheme="minorHAnsi" w:hAnsiTheme="minorHAnsi" w:eastAsiaTheme="minorEastAsia" w:cstheme="minorBidi"/>
          <w:b w:val="0"/>
          <w:bCs w:val="0"/>
          <w:sz w:val="21"/>
          <w:szCs w:val="22"/>
        </w:rPr>
      </w:pPr>
      <w:r>
        <w:fldChar w:fldCharType="begin"/>
      </w:r>
      <w:r>
        <w:instrText xml:space="preserve"> HYPERLINK \l "_Toc140565282" </w:instrText>
      </w:r>
      <w:r>
        <w:fldChar w:fldCharType="separate"/>
      </w:r>
      <w:r>
        <w:rPr>
          <w:rStyle w:val="105"/>
          <w:color w:val="auto"/>
          <w:spacing w:val="6"/>
        </w:rPr>
        <w:t>7</w:t>
      </w:r>
      <w:r>
        <w:rPr>
          <w:rFonts w:asciiTheme="minorHAnsi" w:hAnsiTheme="minorHAnsi" w:eastAsiaTheme="minorEastAsia" w:cstheme="minorBidi"/>
          <w:b w:val="0"/>
          <w:bCs w:val="0"/>
          <w:sz w:val="21"/>
          <w:szCs w:val="22"/>
        </w:rPr>
        <w:tab/>
      </w:r>
      <w:r>
        <w:rPr>
          <w:rStyle w:val="105"/>
          <w:color w:val="auto"/>
          <w:spacing w:val="6"/>
        </w:rPr>
        <w:t>环境影响经济损益分析</w:t>
      </w:r>
      <w:r>
        <w:tab/>
      </w:r>
      <w:r>
        <w:fldChar w:fldCharType="begin"/>
      </w:r>
      <w:r>
        <w:instrText xml:space="preserve"> PAGEREF _Toc140565282 \h </w:instrText>
      </w:r>
      <w:r>
        <w:fldChar w:fldCharType="separate"/>
      </w:r>
      <w:r>
        <w:t>261</w:t>
      </w:r>
      <w:r>
        <w:fldChar w:fldCharType="end"/>
      </w:r>
      <w:r>
        <w:fldChar w:fldCharType="end"/>
      </w:r>
    </w:p>
    <w:p>
      <w:pPr>
        <w:pStyle w:val="73"/>
        <w:rPr>
          <w:rFonts w:ascii="仿宋" w:hAnsi="仿宋" w:eastAsia="仿宋" w:cstheme="minorBidi"/>
          <w:smallCaps w:val="0"/>
          <w:sz w:val="28"/>
          <w:szCs w:val="22"/>
        </w:rPr>
      </w:pPr>
      <w:r>
        <w:fldChar w:fldCharType="begin"/>
      </w:r>
      <w:r>
        <w:instrText xml:space="preserve"> HYPERLINK \l "_Toc140565283" </w:instrText>
      </w:r>
      <w:r>
        <w:fldChar w:fldCharType="separate"/>
      </w:r>
      <w:r>
        <w:rPr>
          <w:rStyle w:val="105"/>
          <w:rFonts w:ascii="仿宋" w:hAnsi="仿宋" w:eastAsia="仿宋"/>
          <w:color w:val="auto"/>
          <w:sz w:val="24"/>
        </w:rPr>
        <w:t>7.1</w:t>
      </w:r>
      <w:r>
        <w:rPr>
          <w:rFonts w:ascii="仿宋" w:hAnsi="仿宋" w:eastAsia="仿宋" w:cstheme="minorBidi"/>
          <w:smallCaps w:val="0"/>
          <w:sz w:val="28"/>
          <w:szCs w:val="22"/>
        </w:rPr>
        <w:tab/>
      </w:r>
      <w:r>
        <w:rPr>
          <w:rStyle w:val="105"/>
          <w:rFonts w:ascii="仿宋" w:hAnsi="仿宋" w:eastAsia="仿宋"/>
          <w:color w:val="auto"/>
          <w:sz w:val="24"/>
        </w:rPr>
        <w:t>经济效益分析</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_Toc140565283 \h </w:instrText>
      </w:r>
      <w:r>
        <w:rPr>
          <w:rFonts w:ascii="仿宋" w:hAnsi="仿宋" w:eastAsia="仿宋"/>
          <w:sz w:val="24"/>
        </w:rPr>
        <w:fldChar w:fldCharType="separate"/>
      </w:r>
      <w:r>
        <w:rPr>
          <w:rFonts w:ascii="仿宋" w:hAnsi="仿宋" w:eastAsia="仿宋"/>
          <w:sz w:val="24"/>
        </w:rPr>
        <w:t>261</w:t>
      </w:r>
      <w:r>
        <w:rPr>
          <w:rFonts w:ascii="仿宋" w:hAnsi="仿宋" w:eastAsia="仿宋"/>
          <w:sz w:val="24"/>
        </w:rPr>
        <w:fldChar w:fldCharType="end"/>
      </w:r>
      <w:r>
        <w:rPr>
          <w:rFonts w:ascii="仿宋" w:hAnsi="仿宋" w:eastAsia="仿宋"/>
          <w:sz w:val="24"/>
        </w:rPr>
        <w:fldChar w:fldCharType="end"/>
      </w:r>
    </w:p>
    <w:p>
      <w:pPr>
        <w:pStyle w:val="73"/>
        <w:rPr>
          <w:rFonts w:ascii="仿宋" w:hAnsi="仿宋" w:eastAsia="仿宋" w:cstheme="minorBidi"/>
          <w:smallCaps w:val="0"/>
          <w:sz w:val="28"/>
          <w:szCs w:val="22"/>
        </w:rPr>
      </w:pPr>
      <w:r>
        <w:fldChar w:fldCharType="begin"/>
      </w:r>
      <w:r>
        <w:instrText xml:space="preserve"> HYPERLINK \l "_Toc140565284" </w:instrText>
      </w:r>
      <w:r>
        <w:fldChar w:fldCharType="separate"/>
      </w:r>
      <w:r>
        <w:rPr>
          <w:rStyle w:val="105"/>
          <w:rFonts w:ascii="仿宋" w:hAnsi="仿宋" w:eastAsia="仿宋"/>
          <w:color w:val="auto"/>
          <w:sz w:val="24"/>
        </w:rPr>
        <w:t>7.2</w:t>
      </w:r>
      <w:r>
        <w:rPr>
          <w:rFonts w:ascii="仿宋" w:hAnsi="仿宋" w:eastAsia="仿宋" w:cstheme="minorBidi"/>
          <w:smallCaps w:val="0"/>
          <w:sz w:val="28"/>
          <w:szCs w:val="22"/>
        </w:rPr>
        <w:tab/>
      </w:r>
      <w:r>
        <w:rPr>
          <w:rStyle w:val="105"/>
          <w:rFonts w:ascii="仿宋" w:hAnsi="仿宋" w:eastAsia="仿宋"/>
          <w:color w:val="auto"/>
          <w:sz w:val="24"/>
        </w:rPr>
        <w:t>环境效益分析</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_Toc140565284 \h </w:instrText>
      </w:r>
      <w:r>
        <w:rPr>
          <w:rFonts w:ascii="仿宋" w:hAnsi="仿宋" w:eastAsia="仿宋"/>
          <w:sz w:val="24"/>
        </w:rPr>
        <w:fldChar w:fldCharType="separate"/>
      </w:r>
      <w:r>
        <w:rPr>
          <w:rFonts w:ascii="仿宋" w:hAnsi="仿宋" w:eastAsia="仿宋"/>
          <w:sz w:val="24"/>
        </w:rPr>
        <w:t>261</w:t>
      </w:r>
      <w:r>
        <w:rPr>
          <w:rFonts w:ascii="仿宋" w:hAnsi="仿宋" w:eastAsia="仿宋"/>
          <w:sz w:val="24"/>
        </w:rPr>
        <w:fldChar w:fldCharType="end"/>
      </w:r>
      <w:r>
        <w:rPr>
          <w:rFonts w:ascii="仿宋" w:hAnsi="仿宋" w:eastAsia="仿宋"/>
          <w:sz w:val="24"/>
        </w:rPr>
        <w:fldChar w:fldCharType="end"/>
      </w:r>
    </w:p>
    <w:p>
      <w:pPr>
        <w:pStyle w:val="73"/>
        <w:rPr>
          <w:rFonts w:ascii="仿宋" w:hAnsi="仿宋" w:eastAsia="仿宋" w:cstheme="minorBidi"/>
          <w:smallCaps w:val="0"/>
          <w:sz w:val="28"/>
          <w:szCs w:val="22"/>
        </w:rPr>
      </w:pPr>
      <w:r>
        <w:fldChar w:fldCharType="begin"/>
      </w:r>
      <w:r>
        <w:instrText xml:space="preserve"> HYPERLINK \l "_Toc140565285" </w:instrText>
      </w:r>
      <w:r>
        <w:fldChar w:fldCharType="separate"/>
      </w:r>
      <w:r>
        <w:rPr>
          <w:rStyle w:val="105"/>
          <w:rFonts w:ascii="仿宋" w:hAnsi="仿宋" w:eastAsia="仿宋"/>
          <w:color w:val="auto"/>
          <w:sz w:val="24"/>
        </w:rPr>
        <w:t>7.3</w:t>
      </w:r>
      <w:r>
        <w:rPr>
          <w:rFonts w:ascii="仿宋" w:hAnsi="仿宋" w:eastAsia="仿宋" w:cstheme="minorBidi"/>
          <w:smallCaps w:val="0"/>
          <w:sz w:val="28"/>
          <w:szCs w:val="22"/>
        </w:rPr>
        <w:tab/>
      </w:r>
      <w:r>
        <w:rPr>
          <w:rStyle w:val="105"/>
          <w:rFonts w:ascii="仿宋" w:hAnsi="仿宋" w:eastAsia="仿宋"/>
          <w:color w:val="auto"/>
          <w:sz w:val="24"/>
        </w:rPr>
        <w:t>社会效益分析</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_Toc140565285 \h </w:instrText>
      </w:r>
      <w:r>
        <w:rPr>
          <w:rFonts w:ascii="仿宋" w:hAnsi="仿宋" w:eastAsia="仿宋"/>
          <w:sz w:val="24"/>
        </w:rPr>
        <w:fldChar w:fldCharType="separate"/>
      </w:r>
      <w:r>
        <w:rPr>
          <w:rFonts w:ascii="仿宋" w:hAnsi="仿宋" w:eastAsia="仿宋"/>
          <w:sz w:val="24"/>
        </w:rPr>
        <w:t>263</w:t>
      </w:r>
      <w:r>
        <w:rPr>
          <w:rFonts w:ascii="仿宋" w:hAnsi="仿宋" w:eastAsia="仿宋"/>
          <w:sz w:val="24"/>
        </w:rPr>
        <w:fldChar w:fldCharType="end"/>
      </w:r>
      <w:r>
        <w:rPr>
          <w:rFonts w:ascii="仿宋" w:hAnsi="仿宋" w:eastAsia="仿宋"/>
          <w:sz w:val="24"/>
        </w:rPr>
        <w:fldChar w:fldCharType="end"/>
      </w:r>
    </w:p>
    <w:p>
      <w:pPr>
        <w:pStyle w:val="58"/>
        <w:rPr>
          <w:rFonts w:asciiTheme="minorHAnsi" w:hAnsiTheme="minorHAnsi" w:eastAsiaTheme="minorEastAsia" w:cstheme="minorBidi"/>
          <w:b w:val="0"/>
          <w:bCs w:val="0"/>
          <w:sz w:val="21"/>
          <w:szCs w:val="22"/>
        </w:rPr>
      </w:pPr>
      <w:r>
        <w:fldChar w:fldCharType="begin"/>
      </w:r>
      <w:r>
        <w:instrText xml:space="preserve"> HYPERLINK \l "_Toc140565286" </w:instrText>
      </w:r>
      <w:r>
        <w:fldChar w:fldCharType="separate"/>
      </w:r>
      <w:r>
        <w:rPr>
          <w:rStyle w:val="105"/>
          <w:color w:val="auto"/>
        </w:rPr>
        <w:t>8</w:t>
      </w:r>
      <w:r>
        <w:rPr>
          <w:rFonts w:asciiTheme="minorHAnsi" w:hAnsiTheme="minorHAnsi" w:eastAsiaTheme="minorEastAsia" w:cstheme="minorBidi"/>
          <w:b w:val="0"/>
          <w:bCs w:val="0"/>
          <w:sz w:val="21"/>
          <w:szCs w:val="22"/>
        </w:rPr>
        <w:tab/>
      </w:r>
      <w:r>
        <w:rPr>
          <w:rStyle w:val="105"/>
          <w:color w:val="auto"/>
        </w:rPr>
        <w:t>环境管理与监测计划</w:t>
      </w:r>
      <w:r>
        <w:tab/>
      </w:r>
      <w:r>
        <w:fldChar w:fldCharType="begin"/>
      </w:r>
      <w:r>
        <w:instrText xml:space="preserve"> PAGEREF _Toc140565286 \h </w:instrText>
      </w:r>
      <w:r>
        <w:fldChar w:fldCharType="separate"/>
      </w:r>
      <w:r>
        <w:t>264</w:t>
      </w:r>
      <w:r>
        <w:fldChar w:fldCharType="end"/>
      </w:r>
      <w:r>
        <w:fldChar w:fldCharType="end"/>
      </w:r>
    </w:p>
    <w:p>
      <w:pPr>
        <w:pStyle w:val="73"/>
        <w:rPr>
          <w:rFonts w:ascii="仿宋" w:hAnsi="仿宋" w:eastAsia="仿宋" w:cstheme="minorBidi"/>
          <w:smallCaps w:val="0"/>
          <w:sz w:val="28"/>
          <w:szCs w:val="22"/>
        </w:rPr>
      </w:pPr>
      <w:r>
        <w:fldChar w:fldCharType="begin"/>
      </w:r>
      <w:r>
        <w:instrText xml:space="preserve"> HYPERLINK \l "_Toc140565287" </w:instrText>
      </w:r>
      <w:r>
        <w:fldChar w:fldCharType="separate"/>
      </w:r>
      <w:r>
        <w:rPr>
          <w:rStyle w:val="105"/>
          <w:rFonts w:ascii="仿宋" w:hAnsi="仿宋" w:eastAsia="仿宋"/>
          <w:color w:val="auto"/>
          <w:sz w:val="24"/>
        </w:rPr>
        <w:t>8.1</w:t>
      </w:r>
      <w:r>
        <w:rPr>
          <w:rFonts w:ascii="仿宋" w:hAnsi="仿宋" w:eastAsia="仿宋" w:cstheme="minorBidi"/>
          <w:smallCaps w:val="0"/>
          <w:sz w:val="28"/>
          <w:szCs w:val="22"/>
        </w:rPr>
        <w:tab/>
      </w:r>
      <w:r>
        <w:rPr>
          <w:rStyle w:val="105"/>
          <w:rFonts w:ascii="仿宋" w:hAnsi="仿宋" w:eastAsia="仿宋"/>
          <w:color w:val="auto"/>
          <w:sz w:val="24"/>
        </w:rPr>
        <w:t>环境管理</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_Toc140565287 \h </w:instrText>
      </w:r>
      <w:r>
        <w:rPr>
          <w:rFonts w:ascii="仿宋" w:hAnsi="仿宋" w:eastAsia="仿宋"/>
          <w:sz w:val="24"/>
        </w:rPr>
        <w:fldChar w:fldCharType="separate"/>
      </w:r>
      <w:r>
        <w:rPr>
          <w:rFonts w:ascii="仿宋" w:hAnsi="仿宋" w:eastAsia="仿宋"/>
          <w:sz w:val="24"/>
        </w:rPr>
        <w:t>264</w:t>
      </w:r>
      <w:r>
        <w:rPr>
          <w:rFonts w:ascii="仿宋" w:hAnsi="仿宋" w:eastAsia="仿宋"/>
          <w:sz w:val="24"/>
        </w:rPr>
        <w:fldChar w:fldCharType="end"/>
      </w:r>
      <w:r>
        <w:rPr>
          <w:rFonts w:ascii="仿宋" w:hAnsi="仿宋" w:eastAsia="仿宋"/>
          <w:sz w:val="24"/>
        </w:rPr>
        <w:fldChar w:fldCharType="end"/>
      </w:r>
    </w:p>
    <w:p>
      <w:pPr>
        <w:pStyle w:val="73"/>
        <w:rPr>
          <w:rFonts w:ascii="仿宋" w:hAnsi="仿宋" w:eastAsia="仿宋" w:cstheme="minorBidi"/>
          <w:smallCaps w:val="0"/>
          <w:sz w:val="28"/>
          <w:szCs w:val="22"/>
        </w:rPr>
      </w:pPr>
      <w:r>
        <w:fldChar w:fldCharType="begin"/>
      </w:r>
      <w:r>
        <w:instrText xml:space="preserve"> HYPERLINK \l "_Toc140565288" </w:instrText>
      </w:r>
      <w:r>
        <w:fldChar w:fldCharType="separate"/>
      </w:r>
      <w:r>
        <w:rPr>
          <w:rStyle w:val="105"/>
          <w:rFonts w:ascii="仿宋" w:hAnsi="仿宋" w:eastAsia="仿宋"/>
          <w:color w:val="auto"/>
          <w:sz w:val="24"/>
        </w:rPr>
        <w:t>8.2</w:t>
      </w:r>
      <w:r>
        <w:rPr>
          <w:rFonts w:ascii="仿宋" w:hAnsi="仿宋" w:eastAsia="仿宋" w:cstheme="minorBidi"/>
          <w:smallCaps w:val="0"/>
          <w:sz w:val="28"/>
          <w:szCs w:val="22"/>
        </w:rPr>
        <w:tab/>
      </w:r>
      <w:r>
        <w:rPr>
          <w:rStyle w:val="105"/>
          <w:rFonts w:ascii="仿宋" w:hAnsi="仿宋" w:eastAsia="仿宋"/>
          <w:color w:val="auto"/>
          <w:sz w:val="24"/>
        </w:rPr>
        <w:t>污染物排放清单</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_Toc140565288 \h </w:instrText>
      </w:r>
      <w:r>
        <w:rPr>
          <w:rFonts w:ascii="仿宋" w:hAnsi="仿宋" w:eastAsia="仿宋"/>
          <w:sz w:val="24"/>
        </w:rPr>
        <w:fldChar w:fldCharType="separate"/>
      </w:r>
      <w:r>
        <w:rPr>
          <w:rFonts w:ascii="仿宋" w:hAnsi="仿宋" w:eastAsia="仿宋"/>
          <w:sz w:val="24"/>
        </w:rPr>
        <w:t>270</w:t>
      </w:r>
      <w:r>
        <w:rPr>
          <w:rFonts w:ascii="仿宋" w:hAnsi="仿宋" w:eastAsia="仿宋"/>
          <w:sz w:val="24"/>
        </w:rPr>
        <w:fldChar w:fldCharType="end"/>
      </w:r>
      <w:r>
        <w:rPr>
          <w:rFonts w:ascii="仿宋" w:hAnsi="仿宋" w:eastAsia="仿宋"/>
          <w:sz w:val="24"/>
        </w:rPr>
        <w:fldChar w:fldCharType="end"/>
      </w:r>
    </w:p>
    <w:p>
      <w:pPr>
        <w:pStyle w:val="73"/>
        <w:rPr>
          <w:rFonts w:ascii="仿宋" w:hAnsi="仿宋" w:eastAsia="仿宋" w:cstheme="minorBidi"/>
          <w:smallCaps w:val="0"/>
          <w:sz w:val="28"/>
          <w:szCs w:val="22"/>
        </w:rPr>
      </w:pPr>
      <w:r>
        <w:fldChar w:fldCharType="begin"/>
      </w:r>
      <w:r>
        <w:instrText xml:space="preserve"> HYPERLINK \l "_Toc140565289" </w:instrText>
      </w:r>
      <w:r>
        <w:fldChar w:fldCharType="separate"/>
      </w:r>
      <w:r>
        <w:rPr>
          <w:rStyle w:val="105"/>
          <w:rFonts w:ascii="仿宋" w:hAnsi="仿宋" w:eastAsia="仿宋"/>
          <w:color w:val="auto"/>
          <w:sz w:val="24"/>
        </w:rPr>
        <w:t>8.3</w:t>
      </w:r>
      <w:r>
        <w:rPr>
          <w:rFonts w:ascii="仿宋" w:hAnsi="仿宋" w:eastAsia="仿宋" w:cstheme="minorBidi"/>
          <w:smallCaps w:val="0"/>
          <w:sz w:val="28"/>
          <w:szCs w:val="22"/>
        </w:rPr>
        <w:tab/>
      </w:r>
      <w:r>
        <w:rPr>
          <w:rStyle w:val="105"/>
          <w:rFonts w:ascii="仿宋" w:hAnsi="仿宋" w:eastAsia="仿宋"/>
          <w:color w:val="auto"/>
          <w:sz w:val="24"/>
        </w:rPr>
        <w:t>监测计划</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_Toc140565289 \h </w:instrText>
      </w:r>
      <w:r>
        <w:rPr>
          <w:rFonts w:ascii="仿宋" w:hAnsi="仿宋" w:eastAsia="仿宋"/>
          <w:sz w:val="24"/>
        </w:rPr>
        <w:fldChar w:fldCharType="separate"/>
      </w:r>
      <w:r>
        <w:rPr>
          <w:rFonts w:ascii="仿宋" w:hAnsi="仿宋" w:eastAsia="仿宋"/>
          <w:sz w:val="24"/>
        </w:rPr>
        <w:t>274</w:t>
      </w:r>
      <w:r>
        <w:rPr>
          <w:rFonts w:ascii="仿宋" w:hAnsi="仿宋" w:eastAsia="仿宋"/>
          <w:sz w:val="24"/>
        </w:rPr>
        <w:fldChar w:fldCharType="end"/>
      </w:r>
      <w:r>
        <w:rPr>
          <w:rFonts w:ascii="仿宋" w:hAnsi="仿宋" w:eastAsia="仿宋"/>
          <w:sz w:val="24"/>
        </w:rPr>
        <w:fldChar w:fldCharType="end"/>
      </w:r>
    </w:p>
    <w:p>
      <w:pPr>
        <w:pStyle w:val="73"/>
        <w:rPr>
          <w:rFonts w:ascii="仿宋" w:hAnsi="仿宋" w:eastAsia="仿宋" w:cstheme="minorBidi"/>
          <w:smallCaps w:val="0"/>
          <w:sz w:val="28"/>
          <w:szCs w:val="22"/>
        </w:rPr>
      </w:pPr>
      <w:r>
        <w:fldChar w:fldCharType="begin"/>
      </w:r>
      <w:r>
        <w:instrText xml:space="preserve"> HYPERLINK \l "_Toc140565290" </w:instrText>
      </w:r>
      <w:r>
        <w:fldChar w:fldCharType="separate"/>
      </w:r>
      <w:r>
        <w:rPr>
          <w:rStyle w:val="105"/>
          <w:rFonts w:ascii="仿宋" w:hAnsi="仿宋" w:eastAsia="仿宋"/>
          <w:color w:val="auto"/>
          <w:sz w:val="24"/>
        </w:rPr>
        <w:t>8.4</w:t>
      </w:r>
      <w:r>
        <w:rPr>
          <w:rFonts w:ascii="仿宋" w:hAnsi="仿宋" w:eastAsia="仿宋" w:cstheme="minorBidi"/>
          <w:smallCaps w:val="0"/>
          <w:sz w:val="28"/>
          <w:szCs w:val="22"/>
        </w:rPr>
        <w:tab/>
      </w:r>
      <w:r>
        <w:rPr>
          <w:rStyle w:val="105"/>
          <w:rFonts w:ascii="仿宋" w:hAnsi="仿宋" w:eastAsia="仿宋"/>
          <w:color w:val="auto"/>
          <w:sz w:val="24"/>
        </w:rPr>
        <w:t>信息公开</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_Toc140565290 \h </w:instrText>
      </w:r>
      <w:r>
        <w:rPr>
          <w:rFonts w:ascii="仿宋" w:hAnsi="仿宋" w:eastAsia="仿宋"/>
          <w:sz w:val="24"/>
        </w:rPr>
        <w:fldChar w:fldCharType="separate"/>
      </w:r>
      <w:r>
        <w:rPr>
          <w:rFonts w:ascii="仿宋" w:hAnsi="仿宋" w:eastAsia="仿宋"/>
          <w:sz w:val="24"/>
        </w:rPr>
        <w:t>276</w:t>
      </w:r>
      <w:r>
        <w:rPr>
          <w:rFonts w:ascii="仿宋" w:hAnsi="仿宋" w:eastAsia="仿宋"/>
          <w:sz w:val="24"/>
        </w:rPr>
        <w:fldChar w:fldCharType="end"/>
      </w:r>
      <w:r>
        <w:rPr>
          <w:rFonts w:ascii="仿宋" w:hAnsi="仿宋" w:eastAsia="仿宋"/>
          <w:sz w:val="24"/>
        </w:rPr>
        <w:fldChar w:fldCharType="end"/>
      </w:r>
    </w:p>
    <w:p>
      <w:pPr>
        <w:pStyle w:val="73"/>
        <w:rPr>
          <w:rFonts w:ascii="仿宋" w:hAnsi="仿宋" w:eastAsia="仿宋" w:cstheme="minorBidi"/>
          <w:smallCaps w:val="0"/>
          <w:sz w:val="28"/>
          <w:szCs w:val="22"/>
        </w:rPr>
      </w:pPr>
      <w:r>
        <w:fldChar w:fldCharType="begin"/>
      </w:r>
      <w:r>
        <w:instrText xml:space="preserve"> HYPERLINK \l "_Toc140565291" </w:instrText>
      </w:r>
      <w:r>
        <w:fldChar w:fldCharType="separate"/>
      </w:r>
      <w:r>
        <w:rPr>
          <w:rStyle w:val="105"/>
          <w:rFonts w:ascii="仿宋" w:hAnsi="仿宋" w:eastAsia="仿宋"/>
          <w:color w:val="auto"/>
          <w:sz w:val="24"/>
        </w:rPr>
        <w:t>8.5</w:t>
      </w:r>
      <w:r>
        <w:rPr>
          <w:rFonts w:ascii="仿宋" w:hAnsi="仿宋" w:eastAsia="仿宋" w:cstheme="minorBidi"/>
          <w:smallCaps w:val="0"/>
          <w:sz w:val="28"/>
          <w:szCs w:val="22"/>
        </w:rPr>
        <w:tab/>
      </w:r>
      <w:r>
        <w:rPr>
          <w:rStyle w:val="105"/>
          <w:rFonts w:ascii="仿宋" w:hAnsi="仿宋" w:eastAsia="仿宋"/>
          <w:color w:val="auto"/>
          <w:sz w:val="24"/>
        </w:rPr>
        <w:t>排污口规范化整治</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_Toc140565291 \h </w:instrText>
      </w:r>
      <w:r>
        <w:rPr>
          <w:rFonts w:ascii="仿宋" w:hAnsi="仿宋" w:eastAsia="仿宋"/>
          <w:sz w:val="24"/>
        </w:rPr>
        <w:fldChar w:fldCharType="separate"/>
      </w:r>
      <w:r>
        <w:rPr>
          <w:rFonts w:ascii="仿宋" w:hAnsi="仿宋" w:eastAsia="仿宋"/>
          <w:sz w:val="24"/>
        </w:rPr>
        <w:t>278</w:t>
      </w:r>
      <w:r>
        <w:rPr>
          <w:rFonts w:ascii="仿宋" w:hAnsi="仿宋" w:eastAsia="仿宋"/>
          <w:sz w:val="24"/>
        </w:rPr>
        <w:fldChar w:fldCharType="end"/>
      </w:r>
      <w:r>
        <w:rPr>
          <w:rFonts w:ascii="仿宋" w:hAnsi="仿宋" w:eastAsia="仿宋"/>
          <w:sz w:val="24"/>
        </w:rPr>
        <w:fldChar w:fldCharType="end"/>
      </w:r>
    </w:p>
    <w:p>
      <w:pPr>
        <w:pStyle w:val="73"/>
        <w:rPr>
          <w:rFonts w:ascii="仿宋" w:hAnsi="仿宋" w:eastAsia="仿宋" w:cstheme="minorBidi"/>
          <w:smallCaps w:val="0"/>
          <w:sz w:val="28"/>
          <w:szCs w:val="22"/>
        </w:rPr>
      </w:pPr>
      <w:r>
        <w:fldChar w:fldCharType="begin"/>
      </w:r>
      <w:r>
        <w:instrText xml:space="preserve"> HYPERLINK \l "_Toc140565292" </w:instrText>
      </w:r>
      <w:r>
        <w:fldChar w:fldCharType="separate"/>
      </w:r>
      <w:r>
        <w:rPr>
          <w:rStyle w:val="105"/>
          <w:rFonts w:ascii="仿宋" w:hAnsi="仿宋" w:eastAsia="仿宋"/>
          <w:color w:val="auto"/>
          <w:sz w:val="24"/>
        </w:rPr>
        <w:t>8.6</w:t>
      </w:r>
      <w:r>
        <w:rPr>
          <w:rFonts w:ascii="仿宋" w:hAnsi="仿宋" w:eastAsia="仿宋" w:cstheme="minorBidi"/>
          <w:smallCaps w:val="0"/>
          <w:sz w:val="28"/>
          <w:szCs w:val="22"/>
        </w:rPr>
        <w:tab/>
      </w:r>
      <w:r>
        <w:rPr>
          <w:rStyle w:val="105"/>
          <w:rFonts w:ascii="仿宋" w:hAnsi="仿宋" w:eastAsia="仿宋"/>
          <w:color w:val="auto"/>
          <w:sz w:val="24"/>
        </w:rPr>
        <w:t>“三同时”验收一览表</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_Toc140565292 \h </w:instrText>
      </w:r>
      <w:r>
        <w:rPr>
          <w:rFonts w:ascii="仿宋" w:hAnsi="仿宋" w:eastAsia="仿宋"/>
          <w:sz w:val="24"/>
        </w:rPr>
        <w:fldChar w:fldCharType="separate"/>
      </w:r>
      <w:r>
        <w:rPr>
          <w:rFonts w:ascii="仿宋" w:hAnsi="仿宋" w:eastAsia="仿宋"/>
          <w:sz w:val="24"/>
        </w:rPr>
        <w:t>279</w:t>
      </w:r>
      <w:r>
        <w:rPr>
          <w:rFonts w:ascii="仿宋" w:hAnsi="仿宋" w:eastAsia="仿宋"/>
          <w:sz w:val="24"/>
        </w:rPr>
        <w:fldChar w:fldCharType="end"/>
      </w:r>
      <w:r>
        <w:rPr>
          <w:rFonts w:ascii="仿宋" w:hAnsi="仿宋" w:eastAsia="仿宋"/>
          <w:sz w:val="24"/>
        </w:rPr>
        <w:fldChar w:fldCharType="end"/>
      </w:r>
    </w:p>
    <w:p>
      <w:pPr>
        <w:pStyle w:val="58"/>
        <w:rPr>
          <w:rFonts w:asciiTheme="minorHAnsi" w:hAnsiTheme="minorHAnsi" w:eastAsiaTheme="minorEastAsia" w:cstheme="minorBidi"/>
          <w:b w:val="0"/>
          <w:bCs w:val="0"/>
          <w:sz w:val="21"/>
          <w:szCs w:val="22"/>
        </w:rPr>
      </w:pPr>
      <w:r>
        <w:fldChar w:fldCharType="begin"/>
      </w:r>
      <w:r>
        <w:instrText xml:space="preserve"> HYPERLINK \l "_Toc140565293" </w:instrText>
      </w:r>
      <w:r>
        <w:fldChar w:fldCharType="separate"/>
      </w:r>
      <w:r>
        <w:rPr>
          <w:rStyle w:val="105"/>
          <w:color w:val="auto"/>
          <w:spacing w:val="6"/>
        </w:rPr>
        <w:t>9</w:t>
      </w:r>
      <w:r>
        <w:rPr>
          <w:rFonts w:asciiTheme="minorHAnsi" w:hAnsiTheme="minorHAnsi" w:eastAsiaTheme="minorEastAsia" w:cstheme="minorBidi"/>
          <w:b w:val="0"/>
          <w:bCs w:val="0"/>
          <w:sz w:val="21"/>
          <w:szCs w:val="22"/>
        </w:rPr>
        <w:tab/>
      </w:r>
      <w:r>
        <w:rPr>
          <w:rStyle w:val="105"/>
          <w:color w:val="auto"/>
          <w:spacing w:val="6"/>
        </w:rPr>
        <w:t>环境影响评价结论</w:t>
      </w:r>
      <w:r>
        <w:tab/>
      </w:r>
      <w:r>
        <w:fldChar w:fldCharType="begin"/>
      </w:r>
      <w:r>
        <w:instrText xml:space="preserve"> PAGEREF _Toc140565293 \h </w:instrText>
      </w:r>
      <w:r>
        <w:fldChar w:fldCharType="separate"/>
      </w:r>
      <w:r>
        <w:t>281</w:t>
      </w:r>
      <w:r>
        <w:fldChar w:fldCharType="end"/>
      </w:r>
      <w:r>
        <w:fldChar w:fldCharType="end"/>
      </w:r>
    </w:p>
    <w:p>
      <w:pPr>
        <w:pStyle w:val="73"/>
        <w:rPr>
          <w:rFonts w:ascii="仿宋" w:hAnsi="仿宋" w:eastAsia="仿宋" w:cstheme="minorBidi"/>
          <w:smallCaps w:val="0"/>
          <w:sz w:val="28"/>
          <w:szCs w:val="22"/>
        </w:rPr>
      </w:pPr>
      <w:r>
        <w:fldChar w:fldCharType="begin"/>
      </w:r>
      <w:r>
        <w:instrText xml:space="preserve"> HYPERLINK \l "_Toc140565294" </w:instrText>
      </w:r>
      <w:r>
        <w:fldChar w:fldCharType="separate"/>
      </w:r>
      <w:r>
        <w:rPr>
          <w:rStyle w:val="105"/>
          <w:rFonts w:ascii="仿宋" w:hAnsi="仿宋" w:eastAsia="仿宋"/>
          <w:color w:val="auto"/>
          <w:sz w:val="24"/>
        </w:rPr>
        <w:t>9.1</w:t>
      </w:r>
      <w:r>
        <w:rPr>
          <w:rFonts w:ascii="仿宋" w:hAnsi="仿宋" w:eastAsia="仿宋" w:cstheme="minorBidi"/>
          <w:smallCaps w:val="0"/>
          <w:sz w:val="28"/>
          <w:szCs w:val="22"/>
        </w:rPr>
        <w:tab/>
      </w:r>
      <w:r>
        <w:rPr>
          <w:rStyle w:val="105"/>
          <w:rFonts w:ascii="仿宋" w:hAnsi="仿宋" w:eastAsia="仿宋"/>
          <w:color w:val="auto"/>
          <w:sz w:val="24"/>
        </w:rPr>
        <w:t>建设概况</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_Toc140565294 \h </w:instrText>
      </w:r>
      <w:r>
        <w:rPr>
          <w:rFonts w:ascii="仿宋" w:hAnsi="仿宋" w:eastAsia="仿宋"/>
          <w:sz w:val="24"/>
        </w:rPr>
        <w:fldChar w:fldCharType="separate"/>
      </w:r>
      <w:r>
        <w:rPr>
          <w:rFonts w:ascii="仿宋" w:hAnsi="仿宋" w:eastAsia="仿宋"/>
          <w:sz w:val="24"/>
        </w:rPr>
        <w:t>281</w:t>
      </w:r>
      <w:r>
        <w:rPr>
          <w:rFonts w:ascii="仿宋" w:hAnsi="仿宋" w:eastAsia="仿宋"/>
          <w:sz w:val="24"/>
        </w:rPr>
        <w:fldChar w:fldCharType="end"/>
      </w:r>
      <w:r>
        <w:rPr>
          <w:rFonts w:ascii="仿宋" w:hAnsi="仿宋" w:eastAsia="仿宋"/>
          <w:sz w:val="24"/>
        </w:rPr>
        <w:fldChar w:fldCharType="end"/>
      </w:r>
    </w:p>
    <w:p>
      <w:pPr>
        <w:pStyle w:val="73"/>
        <w:rPr>
          <w:rFonts w:ascii="仿宋" w:hAnsi="仿宋" w:eastAsia="仿宋" w:cstheme="minorBidi"/>
          <w:smallCaps w:val="0"/>
          <w:sz w:val="28"/>
          <w:szCs w:val="22"/>
        </w:rPr>
      </w:pPr>
      <w:r>
        <w:fldChar w:fldCharType="begin"/>
      </w:r>
      <w:r>
        <w:instrText xml:space="preserve"> HYPERLINK \l "_Toc140565295" </w:instrText>
      </w:r>
      <w:r>
        <w:fldChar w:fldCharType="separate"/>
      </w:r>
      <w:r>
        <w:rPr>
          <w:rStyle w:val="105"/>
          <w:rFonts w:ascii="仿宋" w:hAnsi="仿宋" w:eastAsia="仿宋"/>
          <w:color w:val="auto"/>
          <w:sz w:val="24"/>
        </w:rPr>
        <w:t>9.2</w:t>
      </w:r>
      <w:r>
        <w:rPr>
          <w:rFonts w:ascii="仿宋" w:hAnsi="仿宋" w:eastAsia="仿宋" w:cstheme="minorBidi"/>
          <w:smallCaps w:val="0"/>
          <w:sz w:val="28"/>
          <w:szCs w:val="22"/>
        </w:rPr>
        <w:tab/>
      </w:r>
      <w:r>
        <w:rPr>
          <w:rStyle w:val="105"/>
          <w:rFonts w:ascii="仿宋" w:hAnsi="仿宋" w:eastAsia="仿宋"/>
          <w:color w:val="auto"/>
          <w:sz w:val="24"/>
        </w:rPr>
        <w:t>环境质量现状</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_Toc140565295 \h </w:instrText>
      </w:r>
      <w:r>
        <w:rPr>
          <w:rFonts w:ascii="仿宋" w:hAnsi="仿宋" w:eastAsia="仿宋"/>
          <w:sz w:val="24"/>
        </w:rPr>
        <w:fldChar w:fldCharType="separate"/>
      </w:r>
      <w:r>
        <w:rPr>
          <w:rFonts w:ascii="仿宋" w:hAnsi="仿宋" w:eastAsia="仿宋"/>
          <w:sz w:val="24"/>
        </w:rPr>
        <w:t>281</w:t>
      </w:r>
      <w:r>
        <w:rPr>
          <w:rFonts w:ascii="仿宋" w:hAnsi="仿宋" w:eastAsia="仿宋"/>
          <w:sz w:val="24"/>
        </w:rPr>
        <w:fldChar w:fldCharType="end"/>
      </w:r>
      <w:r>
        <w:rPr>
          <w:rFonts w:ascii="仿宋" w:hAnsi="仿宋" w:eastAsia="仿宋"/>
          <w:sz w:val="24"/>
        </w:rPr>
        <w:fldChar w:fldCharType="end"/>
      </w:r>
    </w:p>
    <w:p>
      <w:pPr>
        <w:pStyle w:val="73"/>
        <w:rPr>
          <w:rFonts w:ascii="仿宋" w:hAnsi="仿宋" w:eastAsia="仿宋" w:cstheme="minorBidi"/>
          <w:smallCaps w:val="0"/>
          <w:sz w:val="28"/>
          <w:szCs w:val="22"/>
        </w:rPr>
      </w:pPr>
      <w:r>
        <w:fldChar w:fldCharType="begin"/>
      </w:r>
      <w:r>
        <w:instrText xml:space="preserve"> HYPERLINK \l "_Toc140565296" </w:instrText>
      </w:r>
      <w:r>
        <w:fldChar w:fldCharType="separate"/>
      </w:r>
      <w:r>
        <w:rPr>
          <w:rStyle w:val="105"/>
          <w:rFonts w:ascii="仿宋" w:hAnsi="仿宋" w:eastAsia="仿宋"/>
          <w:color w:val="auto"/>
          <w:sz w:val="24"/>
        </w:rPr>
        <w:t>9.3</w:t>
      </w:r>
      <w:r>
        <w:rPr>
          <w:rFonts w:ascii="仿宋" w:hAnsi="仿宋" w:eastAsia="仿宋" w:cstheme="minorBidi"/>
          <w:smallCaps w:val="0"/>
          <w:sz w:val="28"/>
          <w:szCs w:val="22"/>
        </w:rPr>
        <w:tab/>
      </w:r>
      <w:r>
        <w:rPr>
          <w:rStyle w:val="105"/>
          <w:rFonts w:ascii="仿宋" w:hAnsi="仿宋" w:eastAsia="仿宋"/>
          <w:color w:val="auto"/>
          <w:sz w:val="24"/>
        </w:rPr>
        <w:t>污染物排放情况</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_Toc140565296 \h </w:instrText>
      </w:r>
      <w:r>
        <w:rPr>
          <w:rFonts w:ascii="仿宋" w:hAnsi="仿宋" w:eastAsia="仿宋"/>
          <w:sz w:val="24"/>
        </w:rPr>
        <w:fldChar w:fldCharType="separate"/>
      </w:r>
      <w:r>
        <w:rPr>
          <w:rFonts w:ascii="仿宋" w:hAnsi="仿宋" w:eastAsia="仿宋"/>
          <w:sz w:val="24"/>
        </w:rPr>
        <w:t>282</w:t>
      </w:r>
      <w:r>
        <w:rPr>
          <w:rFonts w:ascii="仿宋" w:hAnsi="仿宋" w:eastAsia="仿宋"/>
          <w:sz w:val="24"/>
        </w:rPr>
        <w:fldChar w:fldCharType="end"/>
      </w:r>
      <w:r>
        <w:rPr>
          <w:rFonts w:ascii="仿宋" w:hAnsi="仿宋" w:eastAsia="仿宋"/>
          <w:sz w:val="24"/>
        </w:rPr>
        <w:fldChar w:fldCharType="end"/>
      </w:r>
    </w:p>
    <w:p>
      <w:pPr>
        <w:pStyle w:val="73"/>
        <w:rPr>
          <w:rFonts w:ascii="仿宋" w:hAnsi="仿宋" w:eastAsia="仿宋" w:cstheme="minorBidi"/>
          <w:smallCaps w:val="0"/>
          <w:sz w:val="28"/>
          <w:szCs w:val="22"/>
        </w:rPr>
      </w:pPr>
      <w:r>
        <w:fldChar w:fldCharType="begin"/>
      </w:r>
      <w:r>
        <w:instrText xml:space="preserve"> HYPERLINK \l "_Toc140565297" </w:instrText>
      </w:r>
      <w:r>
        <w:fldChar w:fldCharType="separate"/>
      </w:r>
      <w:r>
        <w:rPr>
          <w:rStyle w:val="105"/>
          <w:rFonts w:ascii="仿宋" w:hAnsi="仿宋" w:eastAsia="仿宋"/>
          <w:color w:val="auto"/>
          <w:sz w:val="24"/>
        </w:rPr>
        <w:t>9.4</w:t>
      </w:r>
      <w:r>
        <w:rPr>
          <w:rFonts w:ascii="仿宋" w:hAnsi="仿宋" w:eastAsia="仿宋" w:cstheme="minorBidi"/>
          <w:smallCaps w:val="0"/>
          <w:sz w:val="28"/>
          <w:szCs w:val="22"/>
        </w:rPr>
        <w:tab/>
      </w:r>
      <w:r>
        <w:rPr>
          <w:rStyle w:val="105"/>
          <w:rFonts w:ascii="仿宋" w:hAnsi="仿宋" w:eastAsia="仿宋"/>
          <w:color w:val="auto"/>
          <w:sz w:val="24"/>
        </w:rPr>
        <w:t>主要环境影响</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_Toc140565297 \h </w:instrText>
      </w:r>
      <w:r>
        <w:rPr>
          <w:rFonts w:ascii="仿宋" w:hAnsi="仿宋" w:eastAsia="仿宋"/>
          <w:sz w:val="24"/>
        </w:rPr>
        <w:fldChar w:fldCharType="separate"/>
      </w:r>
      <w:r>
        <w:rPr>
          <w:rFonts w:ascii="仿宋" w:hAnsi="仿宋" w:eastAsia="仿宋"/>
          <w:sz w:val="24"/>
        </w:rPr>
        <w:t>283</w:t>
      </w:r>
      <w:r>
        <w:rPr>
          <w:rFonts w:ascii="仿宋" w:hAnsi="仿宋" w:eastAsia="仿宋"/>
          <w:sz w:val="24"/>
        </w:rPr>
        <w:fldChar w:fldCharType="end"/>
      </w:r>
      <w:r>
        <w:rPr>
          <w:rFonts w:ascii="仿宋" w:hAnsi="仿宋" w:eastAsia="仿宋"/>
          <w:sz w:val="24"/>
        </w:rPr>
        <w:fldChar w:fldCharType="end"/>
      </w:r>
    </w:p>
    <w:p>
      <w:pPr>
        <w:pStyle w:val="73"/>
        <w:rPr>
          <w:rFonts w:ascii="仿宋" w:hAnsi="仿宋" w:eastAsia="仿宋" w:cstheme="minorBidi"/>
          <w:smallCaps w:val="0"/>
          <w:sz w:val="28"/>
          <w:szCs w:val="22"/>
        </w:rPr>
      </w:pPr>
      <w:r>
        <w:fldChar w:fldCharType="begin"/>
      </w:r>
      <w:r>
        <w:instrText xml:space="preserve"> HYPERLINK \l "_Toc140565298" </w:instrText>
      </w:r>
      <w:r>
        <w:fldChar w:fldCharType="separate"/>
      </w:r>
      <w:r>
        <w:rPr>
          <w:rStyle w:val="105"/>
          <w:rFonts w:ascii="仿宋" w:hAnsi="仿宋" w:eastAsia="仿宋"/>
          <w:color w:val="auto"/>
          <w:sz w:val="24"/>
        </w:rPr>
        <w:t>9.5</w:t>
      </w:r>
      <w:r>
        <w:rPr>
          <w:rFonts w:ascii="仿宋" w:hAnsi="仿宋" w:eastAsia="仿宋" w:cstheme="minorBidi"/>
          <w:smallCaps w:val="0"/>
          <w:sz w:val="28"/>
          <w:szCs w:val="22"/>
        </w:rPr>
        <w:tab/>
      </w:r>
      <w:r>
        <w:rPr>
          <w:rStyle w:val="105"/>
          <w:rFonts w:ascii="仿宋" w:hAnsi="仿宋" w:eastAsia="仿宋"/>
          <w:color w:val="auto"/>
          <w:sz w:val="24"/>
        </w:rPr>
        <w:t>公众意见采纳情况</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_Toc140565298 \h </w:instrText>
      </w:r>
      <w:r>
        <w:rPr>
          <w:rFonts w:ascii="仿宋" w:hAnsi="仿宋" w:eastAsia="仿宋"/>
          <w:sz w:val="24"/>
        </w:rPr>
        <w:fldChar w:fldCharType="separate"/>
      </w:r>
      <w:r>
        <w:rPr>
          <w:rFonts w:ascii="仿宋" w:hAnsi="仿宋" w:eastAsia="仿宋"/>
          <w:sz w:val="24"/>
        </w:rPr>
        <w:t>283</w:t>
      </w:r>
      <w:r>
        <w:rPr>
          <w:rFonts w:ascii="仿宋" w:hAnsi="仿宋" w:eastAsia="仿宋"/>
          <w:sz w:val="24"/>
        </w:rPr>
        <w:fldChar w:fldCharType="end"/>
      </w:r>
      <w:r>
        <w:rPr>
          <w:rFonts w:ascii="仿宋" w:hAnsi="仿宋" w:eastAsia="仿宋"/>
          <w:sz w:val="24"/>
        </w:rPr>
        <w:fldChar w:fldCharType="end"/>
      </w:r>
    </w:p>
    <w:p>
      <w:pPr>
        <w:pStyle w:val="73"/>
        <w:rPr>
          <w:rFonts w:ascii="仿宋" w:hAnsi="仿宋" w:eastAsia="仿宋" w:cstheme="minorBidi"/>
          <w:smallCaps w:val="0"/>
          <w:sz w:val="28"/>
          <w:szCs w:val="22"/>
        </w:rPr>
      </w:pPr>
      <w:r>
        <w:fldChar w:fldCharType="begin"/>
      </w:r>
      <w:r>
        <w:instrText xml:space="preserve"> HYPERLINK \l "_Toc140565299" </w:instrText>
      </w:r>
      <w:r>
        <w:fldChar w:fldCharType="separate"/>
      </w:r>
      <w:r>
        <w:rPr>
          <w:rStyle w:val="105"/>
          <w:rFonts w:ascii="仿宋" w:hAnsi="仿宋" w:eastAsia="仿宋"/>
          <w:color w:val="auto"/>
          <w:sz w:val="24"/>
        </w:rPr>
        <w:t>9.6</w:t>
      </w:r>
      <w:r>
        <w:rPr>
          <w:rFonts w:ascii="仿宋" w:hAnsi="仿宋" w:eastAsia="仿宋" w:cstheme="minorBidi"/>
          <w:smallCaps w:val="0"/>
          <w:sz w:val="28"/>
          <w:szCs w:val="22"/>
        </w:rPr>
        <w:tab/>
      </w:r>
      <w:r>
        <w:rPr>
          <w:rStyle w:val="105"/>
          <w:rFonts w:ascii="仿宋" w:hAnsi="仿宋" w:eastAsia="仿宋"/>
          <w:color w:val="auto"/>
          <w:sz w:val="24"/>
        </w:rPr>
        <w:t>环境保护措施</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_Toc140565299 \h </w:instrText>
      </w:r>
      <w:r>
        <w:rPr>
          <w:rFonts w:ascii="仿宋" w:hAnsi="仿宋" w:eastAsia="仿宋"/>
          <w:sz w:val="24"/>
        </w:rPr>
        <w:fldChar w:fldCharType="separate"/>
      </w:r>
      <w:r>
        <w:rPr>
          <w:rFonts w:ascii="仿宋" w:hAnsi="仿宋" w:eastAsia="仿宋"/>
          <w:sz w:val="24"/>
        </w:rPr>
        <w:t>284</w:t>
      </w:r>
      <w:r>
        <w:rPr>
          <w:rFonts w:ascii="仿宋" w:hAnsi="仿宋" w:eastAsia="仿宋"/>
          <w:sz w:val="24"/>
        </w:rPr>
        <w:fldChar w:fldCharType="end"/>
      </w:r>
      <w:r>
        <w:rPr>
          <w:rFonts w:ascii="仿宋" w:hAnsi="仿宋" w:eastAsia="仿宋"/>
          <w:sz w:val="24"/>
        </w:rPr>
        <w:fldChar w:fldCharType="end"/>
      </w:r>
    </w:p>
    <w:p>
      <w:pPr>
        <w:pStyle w:val="73"/>
        <w:rPr>
          <w:rFonts w:ascii="仿宋" w:hAnsi="仿宋" w:eastAsia="仿宋" w:cstheme="minorBidi"/>
          <w:smallCaps w:val="0"/>
          <w:sz w:val="28"/>
          <w:szCs w:val="22"/>
        </w:rPr>
      </w:pPr>
      <w:r>
        <w:fldChar w:fldCharType="begin"/>
      </w:r>
      <w:r>
        <w:instrText xml:space="preserve"> HYPERLINK \l "_Toc140565300" </w:instrText>
      </w:r>
      <w:r>
        <w:fldChar w:fldCharType="separate"/>
      </w:r>
      <w:r>
        <w:rPr>
          <w:rStyle w:val="105"/>
          <w:rFonts w:ascii="仿宋" w:hAnsi="仿宋" w:eastAsia="仿宋"/>
          <w:color w:val="auto"/>
          <w:sz w:val="24"/>
        </w:rPr>
        <w:t>9.7</w:t>
      </w:r>
      <w:r>
        <w:rPr>
          <w:rFonts w:ascii="仿宋" w:hAnsi="仿宋" w:eastAsia="仿宋" w:cstheme="minorBidi"/>
          <w:smallCaps w:val="0"/>
          <w:sz w:val="28"/>
          <w:szCs w:val="22"/>
        </w:rPr>
        <w:tab/>
      </w:r>
      <w:r>
        <w:rPr>
          <w:rStyle w:val="105"/>
          <w:rFonts w:ascii="仿宋" w:hAnsi="仿宋" w:eastAsia="仿宋"/>
          <w:color w:val="auto"/>
          <w:sz w:val="24"/>
        </w:rPr>
        <w:t>环境经济损益分析</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_Toc140565300 \h </w:instrText>
      </w:r>
      <w:r>
        <w:rPr>
          <w:rFonts w:ascii="仿宋" w:hAnsi="仿宋" w:eastAsia="仿宋"/>
          <w:sz w:val="24"/>
        </w:rPr>
        <w:fldChar w:fldCharType="separate"/>
      </w:r>
      <w:r>
        <w:rPr>
          <w:rFonts w:ascii="仿宋" w:hAnsi="仿宋" w:eastAsia="仿宋"/>
          <w:sz w:val="24"/>
        </w:rPr>
        <w:t>285</w:t>
      </w:r>
      <w:r>
        <w:rPr>
          <w:rFonts w:ascii="仿宋" w:hAnsi="仿宋" w:eastAsia="仿宋"/>
          <w:sz w:val="24"/>
        </w:rPr>
        <w:fldChar w:fldCharType="end"/>
      </w:r>
      <w:r>
        <w:rPr>
          <w:rFonts w:ascii="仿宋" w:hAnsi="仿宋" w:eastAsia="仿宋"/>
          <w:sz w:val="24"/>
        </w:rPr>
        <w:fldChar w:fldCharType="end"/>
      </w:r>
    </w:p>
    <w:p>
      <w:pPr>
        <w:pStyle w:val="73"/>
        <w:rPr>
          <w:rFonts w:ascii="仿宋" w:hAnsi="仿宋" w:eastAsia="仿宋" w:cstheme="minorBidi"/>
          <w:smallCaps w:val="0"/>
          <w:sz w:val="28"/>
          <w:szCs w:val="22"/>
        </w:rPr>
      </w:pPr>
      <w:r>
        <w:fldChar w:fldCharType="begin"/>
      </w:r>
      <w:r>
        <w:instrText xml:space="preserve"> HYPERLINK \l "_Toc140565301" </w:instrText>
      </w:r>
      <w:r>
        <w:fldChar w:fldCharType="separate"/>
      </w:r>
      <w:r>
        <w:rPr>
          <w:rStyle w:val="105"/>
          <w:rFonts w:ascii="仿宋" w:hAnsi="仿宋" w:eastAsia="仿宋"/>
          <w:color w:val="auto"/>
          <w:sz w:val="24"/>
        </w:rPr>
        <w:t>9.8</w:t>
      </w:r>
      <w:r>
        <w:rPr>
          <w:rFonts w:ascii="仿宋" w:hAnsi="仿宋" w:eastAsia="仿宋" w:cstheme="minorBidi"/>
          <w:smallCaps w:val="0"/>
          <w:sz w:val="28"/>
          <w:szCs w:val="22"/>
        </w:rPr>
        <w:tab/>
      </w:r>
      <w:r>
        <w:rPr>
          <w:rStyle w:val="105"/>
          <w:rFonts w:ascii="仿宋" w:hAnsi="仿宋" w:eastAsia="仿宋"/>
          <w:color w:val="auto"/>
          <w:sz w:val="24"/>
        </w:rPr>
        <w:t>环境管理与监测计划</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_Toc140565301 \h </w:instrText>
      </w:r>
      <w:r>
        <w:rPr>
          <w:rFonts w:ascii="仿宋" w:hAnsi="仿宋" w:eastAsia="仿宋"/>
          <w:sz w:val="24"/>
        </w:rPr>
        <w:fldChar w:fldCharType="separate"/>
      </w:r>
      <w:r>
        <w:rPr>
          <w:rFonts w:ascii="仿宋" w:hAnsi="仿宋" w:eastAsia="仿宋"/>
          <w:sz w:val="24"/>
        </w:rPr>
        <w:t>286</w:t>
      </w:r>
      <w:r>
        <w:rPr>
          <w:rFonts w:ascii="仿宋" w:hAnsi="仿宋" w:eastAsia="仿宋"/>
          <w:sz w:val="24"/>
        </w:rPr>
        <w:fldChar w:fldCharType="end"/>
      </w:r>
      <w:r>
        <w:rPr>
          <w:rFonts w:ascii="仿宋" w:hAnsi="仿宋" w:eastAsia="仿宋"/>
          <w:sz w:val="24"/>
        </w:rPr>
        <w:fldChar w:fldCharType="end"/>
      </w:r>
    </w:p>
    <w:p>
      <w:pPr>
        <w:pStyle w:val="73"/>
        <w:rPr>
          <w:rFonts w:ascii="仿宋" w:hAnsi="仿宋" w:eastAsia="仿宋" w:cstheme="minorBidi"/>
          <w:smallCaps w:val="0"/>
          <w:sz w:val="28"/>
          <w:szCs w:val="22"/>
        </w:rPr>
      </w:pPr>
      <w:r>
        <w:fldChar w:fldCharType="begin"/>
      </w:r>
      <w:r>
        <w:instrText xml:space="preserve"> HYPERLINK \l "_Toc140565302" </w:instrText>
      </w:r>
      <w:r>
        <w:fldChar w:fldCharType="separate"/>
      </w:r>
      <w:r>
        <w:rPr>
          <w:rStyle w:val="105"/>
          <w:rFonts w:ascii="仿宋" w:hAnsi="仿宋" w:eastAsia="仿宋"/>
          <w:color w:val="auto"/>
          <w:sz w:val="24"/>
        </w:rPr>
        <w:t>9.9</w:t>
      </w:r>
      <w:r>
        <w:rPr>
          <w:rFonts w:ascii="仿宋" w:hAnsi="仿宋" w:eastAsia="仿宋" w:cstheme="minorBidi"/>
          <w:smallCaps w:val="0"/>
          <w:sz w:val="28"/>
          <w:szCs w:val="22"/>
        </w:rPr>
        <w:tab/>
      </w:r>
      <w:r>
        <w:rPr>
          <w:rStyle w:val="105"/>
          <w:rFonts w:ascii="仿宋" w:hAnsi="仿宋" w:eastAsia="仿宋"/>
          <w:color w:val="auto"/>
          <w:sz w:val="24"/>
        </w:rPr>
        <w:t>总结论</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_Toc140565302 \h </w:instrText>
      </w:r>
      <w:r>
        <w:rPr>
          <w:rFonts w:ascii="仿宋" w:hAnsi="仿宋" w:eastAsia="仿宋"/>
          <w:sz w:val="24"/>
        </w:rPr>
        <w:fldChar w:fldCharType="separate"/>
      </w:r>
      <w:r>
        <w:rPr>
          <w:rFonts w:ascii="仿宋" w:hAnsi="仿宋" w:eastAsia="仿宋"/>
          <w:sz w:val="24"/>
        </w:rPr>
        <w:t>286</w:t>
      </w:r>
      <w:r>
        <w:rPr>
          <w:rFonts w:ascii="仿宋" w:hAnsi="仿宋" w:eastAsia="仿宋"/>
          <w:sz w:val="24"/>
        </w:rPr>
        <w:fldChar w:fldCharType="end"/>
      </w:r>
      <w:r>
        <w:rPr>
          <w:rFonts w:ascii="仿宋" w:hAnsi="仿宋" w:eastAsia="仿宋"/>
          <w:sz w:val="24"/>
        </w:rPr>
        <w:fldChar w:fldCharType="end"/>
      </w:r>
    </w:p>
    <w:p>
      <w:pPr>
        <w:spacing w:line="300" w:lineRule="exact"/>
        <w:rPr>
          <w:rFonts w:eastAsia="仿宋_GB2312"/>
          <w:bCs/>
          <w:sz w:val="24"/>
          <w:highlight w:val="yellow"/>
        </w:rPr>
      </w:pPr>
      <w:r>
        <w:rPr>
          <w:rFonts w:hint="eastAsia" w:eastAsia="仿宋_GB2312"/>
          <w:bCs/>
          <w:highlight w:val="yellow"/>
        </w:rPr>
        <w:fldChar w:fldCharType="end"/>
      </w:r>
    </w:p>
    <w:p>
      <w:pPr>
        <w:rPr>
          <w:rFonts w:eastAsia="仿宋_GB2312"/>
          <w:sz w:val="24"/>
          <w:highlight w:val="yellow"/>
        </w:rPr>
      </w:pPr>
    </w:p>
    <w:p>
      <w:pPr>
        <w:rPr>
          <w:rFonts w:eastAsia="仿宋_GB2312"/>
          <w:sz w:val="24"/>
          <w:highlight w:val="yellow"/>
        </w:rPr>
      </w:pPr>
    </w:p>
    <w:p>
      <w:pPr>
        <w:rPr>
          <w:rFonts w:eastAsia="仿宋_GB2312"/>
          <w:sz w:val="24"/>
          <w:highlight w:val="yellow"/>
        </w:rPr>
      </w:pPr>
    </w:p>
    <w:p>
      <w:pPr>
        <w:rPr>
          <w:rFonts w:eastAsia="仿宋_GB2312"/>
          <w:sz w:val="24"/>
          <w:highlight w:val="yellow"/>
        </w:rPr>
      </w:pPr>
    </w:p>
    <w:p>
      <w:pPr>
        <w:rPr>
          <w:rFonts w:eastAsia="仿宋_GB2312"/>
          <w:sz w:val="24"/>
          <w:highlight w:val="yellow"/>
        </w:rPr>
      </w:pPr>
    </w:p>
    <w:p>
      <w:pPr>
        <w:rPr>
          <w:rFonts w:eastAsia="仿宋_GB2312"/>
          <w:sz w:val="24"/>
          <w:highlight w:val="yellow"/>
        </w:rPr>
      </w:pPr>
    </w:p>
    <w:p>
      <w:pPr>
        <w:rPr>
          <w:rFonts w:eastAsia="仿宋_GB2312"/>
          <w:sz w:val="24"/>
          <w:highlight w:val="yellow"/>
        </w:rPr>
      </w:pPr>
    </w:p>
    <w:p>
      <w:pPr>
        <w:rPr>
          <w:rFonts w:eastAsia="仿宋_GB2312"/>
          <w:sz w:val="24"/>
          <w:highlight w:val="yellow"/>
        </w:rPr>
      </w:pPr>
    </w:p>
    <w:p>
      <w:pPr>
        <w:rPr>
          <w:rFonts w:eastAsia="仿宋_GB2312"/>
          <w:sz w:val="24"/>
          <w:highlight w:val="yellow"/>
        </w:rPr>
      </w:pPr>
    </w:p>
    <w:p>
      <w:pPr>
        <w:rPr>
          <w:rFonts w:eastAsia="仿宋_GB2312"/>
          <w:sz w:val="24"/>
          <w:highlight w:val="yellow"/>
        </w:rPr>
      </w:pPr>
    </w:p>
    <w:p>
      <w:pPr>
        <w:rPr>
          <w:rFonts w:eastAsia="仿宋_GB2312"/>
          <w:sz w:val="24"/>
          <w:highlight w:val="yellow"/>
        </w:rPr>
      </w:pPr>
    </w:p>
    <w:p>
      <w:pPr>
        <w:rPr>
          <w:rFonts w:eastAsia="仿宋_GB2312"/>
          <w:sz w:val="24"/>
          <w:highlight w:val="yellow"/>
        </w:rPr>
      </w:pPr>
    </w:p>
    <w:p>
      <w:pPr>
        <w:rPr>
          <w:rFonts w:eastAsia="仿宋_GB2312"/>
          <w:sz w:val="24"/>
          <w:highlight w:val="yellow"/>
        </w:rPr>
      </w:pPr>
    </w:p>
    <w:p>
      <w:pPr>
        <w:rPr>
          <w:rFonts w:eastAsia="仿宋_GB2312"/>
          <w:sz w:val="24"/>
          <w:highlight w:val="yellow"/>
        </w:rPr>
      </w:pPr>
    </w:p>
    <w:p>
      <w:pPr>
        <w:rPr>
          <w:rFonts w:eastAsia="仿宋_GB2312"/>
          <w:sz w:val="24"/>
          <w:highlight w:val="yellow"/>
        </w:rPr>
      </w:pPr>
    </w:p>
    <w:p>
      <w:pPr>
        <w:rPr>
          <w:rFonts w:eastAsia="仿宋_GB2312"/>
          <w:sz w:val="24"/>
          <w:highlight w:val="yellow"/>
        </w:rPr>
      </w:pPr>
    </w:p>
    <w:p>
      <w:pPr>
        <w:rPr>
          <w:rFonts w:eastAsia="仿宋_GB2312"/>
          <w:sz w:val="24"/>
          <w:highlight w:val="yellow"/>
        </w:rPr>
      </w:pPr>
    </w:p>
    <w:p>
      <w:pPr>
        <w:rPr>
          <w:rFonts w:eastAsia="仿宋_GB2312"/>
          <w:sz w:val="24"/>
          <w:highlight w:val="yellow"/>
        </w:rPr>
      </w:pPr>
    </w:p>
    <w:p>
      <w:pPr>
        <w:rPr>
          <w:rFonts w:eastAsia="仿宋_GB2312"/>
          <w:sz w:val="24"/>
          <w:highlight w:val="yellow"/>
        </w:rPr>
      </w:pPr>
    </w:p>
    <w:p>
      <w:pPr>
        <w:rPr>
          <w:rFonts w:eastAsia="仿宋_GB2312"/>
          <w:sz w:val="24"/>
          <w:highlight w:val="yellow"/>
        </w:rPr>
        <w:sectPr>
          <w:footerReference r:id="rId6" w:type="default"/>
          <w:pgSz w:w="11906" w:h="16838"/>
          <w:pgMar w:top="1440" w:right="1797" w:bottom="1440" w:left="1797" w:header="851" w:footer="992" w:gutter="0"/>
          <w:pgNumType w:fmt="upperRoman" w:start="1"/>
          <w:cols w:space="425" w:num="1"/>
          <w:docGrid w:type="lines" w:linePitch="312" w:charSpace="0"/>
        </w:sectPr>
      </w:pPr>
    </w:p>
    <w:p>
      <w:pPr>
        <w:rPr>
          <w:rFonts w:eastAsia="仿宋_GB2312"/>
          <w:sz w:val="24"/>
          <w:highlight w:val="yellow"/>
        </w:rPr>
      </w:pPr>
    </w:p>
    <w:p>
      <w:pPr>
        <w:spacing w:line="500" w:lineRule="exact"/>
        <w:rPr>
          <w:rFonts w:eastAsia="仿宋_GB2312"/>
          <w:b/>
          <w:sz w:val="28"/>
          <w:szCs w:val="28"/>
        </w:rPr>
      </w:pPr>
      <w:r>
        <w:rPr>
          <w:rFonts w:eastAsia="仿宋_GB2312"/>
          <w:b/>
          <w:sz w:val="28"/>
          <w:szCs w:val="28"/>
        </w:rPr>
        <w:t>附件：</w:t>
      </w:r>
    </w:p>
    <w:p>
      <w:pPr>
        <w:spacing w:line="500" w:lineRule="exact"/>
        <w:ind w:firstLine="560" w:firstLineChars="200"/>
        <w:jc w:val="left"/>
        <w:rPr>
          <w:rFonts w:ascii="仿宋" w:hAnsi="仿宋" w:eastAsia="仿宋"/>
          <w:sz w:val="28"/>
          <w:szCs w:val="21"/>
          <w:lang w:val="zh-CN"/>
        </w:rPr>
      </w:pPr>
      <w:r>
        <w:rPr>
          <w:rFonts w:ascii="仿宋" w:hAnsi="仿宋" w:eastAsia="仿宋"/>
          <w:sz w:val="28"/>
          <w:szCs w:val="21"/>
          <w:lang w:val="zh-CN"/>
        </w:rPr>
        <w:t>1、</w:t>
      </w:r>
      <w:r>
        <w:rPr>
          <w:rFonts w:hint="eastAsia" w:ascii="仿宋" w:hAnsi="仿宋" w:eastAsia="仿宋"/>
          <w:sz w:val="28"/>
          <w:szCs w:val="21"/>
          <w:lang w:val="zh-CN"/>
        </w:rPr>
        <w:t>《江苏省</w:t>
      </w:r>
      <w:r>
        <w:rPr>
          <w:rFonts w:ascii="仿宋" w:hAnsi="仿宋" w:eastAsia="仿宋"/>
          <w:sz w:val="28"/>
          <w:szCs w:val="21"/>
          <w:lang w:val="zh-CN"/>
        </w:rPr>
        <w:t>投资项目</w:t>
      </w:r>
      <w:r>
        <w:rPr>
          <w:rFonts w:hint="eastAsia" w:ascii="仿宋" w:hAnsi="仿宋" w:eastAsia="仿宋"/>
          <w:sz w:val="28"/>
          <w:szCs w:val="21"/>
          <w:lang w:val="zh-CN"/>
        </w:rPr>
        <w:t>备案证》（坛</w:t>
      </w:r>
      <w:r>
        <w:rPr>
          <w:rFonts w:ascii="仿宋" w:hAnsi="仿宋" w:eastAsia="仿宋"/>
          <w:sz w:val="28"/>
          <w:szCs w:val="21"/>
          <w:lang w:val="zh-CN"/>
        </w:rPr>
        <w:t>发改</w:t>
      </w:r>
      <w:r>
        <w:rPr>
          <w:rFonts w:hint="eastAsia" w:ascii="仿宋" w:hAnsi="仿宋" w:eastAsia="仿宋"/>
          <w:sz w:val="28"/>
          <w:szCs w:val="21"/>
          <w:lang w:val="zh-CN"/>
        </w:rPr>
        <w:t>备〔2023〕199</w:t>
      </w:r>
      <w:r>
        <w:rPr>
          <w:rFonts w:ascii="仿宋" w:hAnsi="仿宋" w:eastAsia="仿宋"/>
          <w:sz w:val="28"/>
          <w:szCs w:val="21"/>
          <w:lang w:val="zh-CN"/>
        </w:rPr>
        <w:t>号</w:t>
      </w:r>
      <w:r>
        <w:rPr>
          <w:rFonts w:hint="eastAsia" w:ascii="仿宋" w:hAnsi="仿宋" w:eastAsia="仿宋"/>
          <w:sz w:val="28"/>
          <w:szCs w:val="21"/>
          <w:lang w:val="zh-CN"/>
        </w:rPr>
        <w:t>）</w:t>
      </w:r>
      <w:r>
        <w:rPr>
          <w:rFonts w:ascii="仿宋" w:hAnsi="仿宋" w:eastAsia="仿宋"/>
          <w:sz w:val="28"/>
          <w:szCs w:val="21"/>
          <w:lang w:val="zh-CN"/>
        </w:rPr>
        <w:t>；</w:t>
      </w:r>
    </w:p>
    <w:p>
      <w:pPr>
        <w:spacing w:line="500" w:lineRule="exact"/>
        <w:ind w:firstLine="560" w:firstLineChars="200"/>
        <w:jc w:val="left"/>
        <w:rPr>
          <w:rFonts w:ascii="仿宋" w:hAnsi="仿宋" w:eastAsia="仿宋"/>
          <w:sz w:val="28"/>
          <w:szCs w:val="21"/>
          <w:lang w:val="zh-CN"/>
        </w:rPr>
      </w:pPr>
      <w:r>
        <w:rPr>
          <w:rFonts w:ascii="仿宋" w:hAnsi="仿宋" w:eastAsia="仿宋"/>
          <w:sz w:val="28"/>
          <w:szCs w:val="21"/>
          <w:lang w:val="zh-CN"/>
        </w:rPr>
        <w:t>2、</w:t>
      </w:r>
      <w:r>
        <w:rPr>
          <w:rFonts w:hint="eastAsia" w:ascii="仿宋" w:hAnsi="仿宋" w:eastAsia="仿宋"/>
          <w:sz w:val="28"/>
          <w:szCs w:val="21"/>
          <w:lang w:val="zh-CN"/>
        </w:rPr>
        <w:t>厂房租赁</w:t>
      </w:r>
      <w:r>
        <w:rPr>
          <w:rFonts w:ascii="仿宋" w:hAnsi="仿宋" w:eastAsia="仿宋"/>
          <w:sz w:val="28"/>
          <w:szCs w:val="21"/>
          <w:lang w:val="zh-CN"/>
        </w:rPr>
        <w:t>协议；</w:t>
      </w:r>
    </w:p>
    <w:p>
      <w:pPr>
        <w:spacing w:line="500" w:lineRule="exact"/>
        <w:ind w:firstLine="560" w:firstLineChars="200"/>
        <w:jc w:val="left"/>
        <w:rPr>
          <w:rFonts w:ascii="仿宋" w:hAnsi="仿宋" w:eastAsia="仿宋"/>
          <w:sz w:val="28"/>
          <w:szCs w:val="21"/>
          <w:lang w:val="zh-CN"/>
        </w:rPr>
      </w:pPr>
      <w:r>
        <w:rPr>
          <w:rFonts w:hint="eastAsia" w:ascii="仿宋" w:hAnsi="仿宋" w:eastAsia="仿宋"/>
          <w:sz w:val="28"/>
          <w:szCs w:val="21"/>
          <w:lang w:val="zh-CN"/>
        </w:rPr>
        <w:t>3、</w:t>
      </w:r>
      <w:r>
        <w:rPr>
          <w:rFonts w:ascii="仿宋" w:hAnsi="仿宋" w:eastAsia="仿宋"/>
          <w:sz w:val="28"/>
          <w:szCs w:val="21"/>
          <w:lang w:val="zh-CN"/>
        </w:rPr>
        <w:t>土地证</w:t>
      </w:r>
      <w:r>
        <w:rPr>
          <w:rFonts w:hint="eastAsia" w:ascii="仿宋" w:hAnsi="仿宋" w:eastAsia="仿宋"/>
          <w:sz w:val="28"/>
          <w:szCs w:val="21"/>
          <w:lang w:val="zh-CN"/>
        </w:rPr>
        <w:t>；</w:t>
      </w:r>
    </w:p>
    <w:p>
      <w:pPr>
        <w:spacing w:line="500" w:lineRule="exact"/>
        <w:ind w:firstLine="560" w:firstLineChars="200"/>
        <w:jc w:val="left"/>
        <w:rPr>
          <w:rFonts w:ascii="仿宋" w:hAnsi="仿宋" w:eastAsia="仿宋"/>
          <w:sz w:val="28"/>
          <w:szCs w:val="21"/>
          <w:lang w:val="zh-CN"/>
        </w:rPr>
      </w:pPr>
      <w:r>
        <w:rPr>
          <w:rFonts w:ascii="仿宋" w:hAnsi="仿宋" w:eastAsia="仿宋"/>
          <w:sz w:val="28"/>
          <w:szCs w:val="21"/>
          <w:lang w:val="zh-CN"/>
        </w:rPr>
        <w:t>4、《关于对常州市金坛区金城镇人民政府“江苏省金坛区金城镇工业园区（北区）发展规划”环境影响报告书的审查意见》（坛环服复〔2017〕24号）；</w:t>
      </w:r>
    </w:p>
    <w:p>
      <w:pPr>
        <w:spacing w:line="500" w:lineRule="exact"/>
        <w:ind w:firstLine="560" w:firstLineChars="200"/>
        <w:jc w:val="left"/>
        <w:rPr>
          <w:rFonts w:ascii="仿宋" w:hAnsi="仿宋" w:eastAsia="仿宋"/>
          <w:sz w:val="28"/>
          <w:szCs w:val="21"/>
          <w:lang w:val="zh-CN"/>
        </w:rPr>
      </w:pPr>
      <w:r>
        <w:rPr>
          <w:rFonts w:ascii="仿宋" w:hAnsi="仿宋" w:eastAsia="仿宋"/>
          <w:sz w:val="28"/>
          <w:szCs w:val="21"/>
          <w:lang w:val="zh-CN"/>
        </w:rPr>
        <w:t>5</w:t>
      </w:r>
      <w:r>
        <w:rPr>
          <w:rFonts w:hint="eastAsia" w:ascii="仿宋" w:hAnsi="仿宋" w:eastAsia="仿宋"/>
          <w:sz w:val="28"/>
          <w:szCs w:val="21"/>
          <w:lang w:val="zh-CN"/>
        </w:rPr>
        <w:t>、原辅料MSDS；</w:t>
      </w:r>
    </w:p>
    <w:p>
      <w:pPr>
        <w:spacing w:line="500" w:lineRule="exact"/>
        <w:ind w:firstLine="560" w:firstLineChars="200"/>
        <w:jc w:val="left"/>
        <w:rPr>
          <w:rFonts w:ascii="仿宋" w:hAnsi="仿宋" w:eastAsia="仿宋"/>
          <w:sz w:val="28"/>
          <w:szCs w:val="21"/>
          <w:lang w:val="zh-CN"/>
        </w:rPr>
      </w:pPr>
      <w:r>
        <w:rPr>
          <w:rFonts w:ascii="仿宋" w:hAnsi="仿宋" w:eastAsia="仿宋"/>
          <w:sz w:val="28"/>
          <w:szCs w:val="21"/>
          <w:lang w:val="zh-CN"/>
        </w:rPr>
        <w:t>6、</w:t>
      </w:r>
      <w:r>
        <w:rPr>
          <w:rFonts w:hint="eastAsia" w:ascii="仿宋" w:hAnsi="仿宋" w:eastAsia="仿宋"/>
          <w:sz w:val="28"/>
          <w:szCs w:val="21"/>
          <w:lang w:val="zh-CN"/>
        </w:rPr>
        <w:t>胶粘剂</w:t>
      </w:r>
      <w:r>
        <w:rPr>
          <w:rFonts w:ascii="仿宋" w:hAnsi="仿宋" w:eastAsia="仿宋"/>
          <w:sz w:val="28"/>
          <w:szCs w:val="21"/>
          <w:lang w:val="zh-CN"/>
        </w:rPr>
        <w:t>检测报告；</w:t>
      </w:r>
    </w:p>
    <w:p>
      <w:pPr>
        <w:spacing w:line="500" w:lineRule="exact"/>
        <w:ind w:firstLine="560" w:firstLineChars="200"/>
        <w:jc w:val="left"/>
        <w:rPr>
          <w:rFonts w:ascii="仿宋" w:hAnsi="仿宋" w:eastAsia="仿宋"/>
          <w:sz w:val="28"/>
          <w:szCs w:val="21"/>
          <w:lang w:val="zh-CN"/>
        </w:rPr>
      </w:pPr>
      <w:r>
        <w:rPr>
          <w:rFonts w:ascii="仿宋" w:hAnsi="仿宋" w:eastAsia="仿宋"/>
          <w:sz w:val="28"/>
          <w:szCs w:val="21"/>
          <w:lang w:val="zh-CN"/>
        </w:rPr>
        <w:t>7</w:t>
      </w:r>
      <w:r>
        <w:rPr>
          <w:rFonts w:hint="eastAsia" w:ascii="仿宋" w:hAnsi="仿宋" w:eastAsia="仿宋"/>
          <w:sz w:val="28"/>
          <w:szCs w:val="21"/>
          <w:lang w:val="zh-CN"/>
        </w:rPr>
        <w:t>、</w:t>
      </w:r>
      <w:r>
        <w:rPr>
          <w:rFonts w:ascii="仿宋" w:hAnsi="仿宋" w:eastAsia="仿宋"/>
          <w:sz w:val="28"/>
          <w:szCs w:val="21"/>
          <w:lang w:val="zh-CN"/>
        </w:rPr>
        <w:t>污水接管协议；</w:t>
      </w:r>
    </w:p>
    <w:p>
      <w:pPr>
        <w:spacing w:line="500" w:lineRule="exact"/>
        <w:ind w:firstLine="560" w:firstLineChars="200"/>
        <w:jc w:val="left"/>
        <w:rPr>
          <w:rFonts w:ascii="仿宋" w:hAnsi="仿宋" w:eastAsia="仿宋"/>
          <w:sz w:val="28"/>
          <w:szCs w:val="21"/>
          <w:lang w:val="zh-CN"/>
        </w:rPr>
      </w:pPr>
      <w:r>
        <w:rPr>
          <w:rFonts w:ascii="仿宋" w:hAnsi="仿宋" w:eastAsia="仿宋"/>
          <w:sz w:val="28"/>
          <w:szCs w:val="21"/>
          <w:lang w:val="zh-CN"/>
        </w:rPr>
        <w:t>8、环境质量现状监测报告及引用说明</w:t>
      </w:r>
      <w:r>
        <w:rPr>
          <w:rFonts w:hint="eastAsia" w:ascii="仿宋" w:hAnsi="仿宋" w:eastAsia="仿宋"/>
          <w:sz w:val="28"/>
          <w:szCs w:val="21"/>
          <w:lang w:val="zh-CN"/>
        </w:rPr>
        <w:t>；</w:t>
      </w:r>
    </w:p>
    <w:p>
      <w:pPr>
        <w:spacing w:line="500" w:lineRule="exact"/>
        <w:ind w:firstLine="560" w:firstLineChars="200"/>
        <w:jc w:val="left"/>
        <w:rPr>
          <w:rFonts w:ascii="仿宋" w:hAnsi="仿宋" w:eastAsia="仿宋"/>
          <w:sz w:val="28"/>
          <w:szCs w:val="21"/>
          <w:lang w:val="zh-CN"/>
        </w:rPr>
      </w:pPr>
      <w:r>
        <w:rPr>
          <w:rFonts w:ascii="仿宋" w:hAnsi="仿宋" w:eastAsia="仿宋"/>
          <w:sz w:val="28"/>
          <w:szCs w:val="21"/>
          <w:lang w:val="zh-CN"/>
        </w:rPr>
        <w:t>9</w:t>
      </w:r>
      <w:r>
        <w:rPr>
          <w:rFonts w:hint="eastAsia" w:ascii="仿宋" w:hAnsi="仿宋" w:eastAsia="仿宋"/>
          <w:sz w:val="28"/>
          <w:szCs w:val="21"/>
          <w:lang w:val="zh-CN"/>
        </w:rPr>
        <w:t>、营业</w:t>
      </w:r>
      <w:r>
        <w:rPr>
          <w:rFonts w:ascii="仿宋" w:hAnsi="仿宋" w:eastAsia="仿宋"/>
          <w:sz w:val="28"/>
          <w:szCs w:val="21"/>
          <w:lang w:val="zh-CN"/>
        </w:rPr>
        <w:t>执照；</w:t>
      </w:r>
    </w:p>
    <w:p>
      <w:pPr>
        <w:spacing w:line="500" w:lineRule="exact"/>
        <w:ind w:firstLine="560" w:firstLineChars="200"/>
        <w:jc w:val="left"/>
        <w:rPr>
          <w:rFonts w:ascii="仿宋" w:hAnsi="仿宋" w:eastAsia="仿宋"/>
          <w:sz w:val="28"/>
          <w:szCs w:val="21"/>
          <w:lang w:val="zh-CN"/>
        </w:rPr>
      </w:pPr>
      <w:r>
        <w:rPr>
          <w:rFonts w:ascii="仿宋" w:hAnsi="仿宋" w:eastAsia="仿宋"/>
          <w:sz w:val="28"/>
          <w:szCs w:val="21"/>
          <w:lang w:val="zh-CN"/>
        </w:rPr>
        <w:t>10</w:t>
      </w:r>
      <w:r>
        <w:rPr>
          <w:rFonts w:hint="eastAsia" w:ascii="仿宋" w:hAnsi="仿宋" w:eastAsia="仿宋"/>
          <w:sz w:val="28"/>
          <w:szCs w:val="21"/>
          <w:lang w:val="zh-CN"/>
        </w:rPr>
        <w:t>、不可替代函</w:t>
      </w:r>
      <w:r>
        <w:rPr>
          <w:rFonts w:ascii="仿宋" w:hAnsi="仿宋" w:eastAsia="仿宋"/>
          <w:sz w:val="28"/>
          <w:szCs w:val="21"/>
          <w:lang w:val="zh-CN"/>
        </w:rPr>
        <w:t>审</w:t>
      </w:r>
      <w:r>
        <w:rPr>
          <w:rFonts w:hint="eastAsia" w:ascii="仿宋" w:hAnsi="仿宋" w:eastAsia="仿宋"/>
          <w:sz w:val="28"/>
          <w:szCs w:val="21"/>
          <w:lang w:val="zh-CN"/>
        </w:rPr>
        <w:t>意见；</w:t>
      </w:r>
    </w:p>
    <w:p>
      <w:pPr>
        <w:spacing w:line="500" w:lineRule="exact"/>
        <w:ind w:firstLine="560" w:firstLineChars="200"/>
        <w:jc w:val="left"/>
        <w:rPr>
          <w:rFonts w:ascii="仿宋" w:hAnsi="仿宋" w:eastAsia="仿宋"/>
          <w:sz w:val="28"/>
          <w:szCs w:val="21"/>
          <w:lang w:val="zh-CN"/>
        </w:rPr>
      </w:pPr>
      <w:r>
        <w:rPr>
          <w:rFonts w:hint="eastAsia" w:ascii="仿宋" w:hAnsi="仿宋" w:eastAsia="仿宋"/>
          <w:sz w:val="28"/>
          <w:szCs w:val="21"/>
          <w:lang w:val="zh-CN"/>
        </w:rPr>
        <w:t>11、国民</w:t>
      </w:r>
      <w:r>
        <w:rPr>
          <w:rFonts w:ascii="仿宋" w:hAnsi="仿宋" w:eastAsia="仿宋"/>
          <w:sz w:val="28"/>
          <w:szCs w:val="21"/>
          <w:lang w:val="zh-CN"/>
        </w:rPr>
        <w:t>经济行业分类专家咨询意见</w:t>
      </w:r>
      <w:r>
        <w:rPr>
          <w:rFonts w:hint="eastAsia" w:ascii="仿宋" w:hAnsi="仿宋" w:eastAsia="仿宋"/>
          <w:sz w:val="28"/>
          <w:szCs w:val="21"/>
          <w:lang w:val="zh-CN"/>
        </w:rPr>
        <w:t>；</w:t>
      </w:r>
    </w:p>
    <w:p>
      <w:pPr>
        <w:spacing w:line="500" w:lineRule="exact"/>
        <w:ind w:firstLine="560" w:firstLineChars="200"/>
        <w:jc w:val="left"/>
        <w:rPr>
          <w:rFonts w:ascii="仿宋" w:hAnsi="仿宋" w:eastAsia="仿宋"/>
          <w:sz w:val="28"/>
          <w:szCs w:val="21"/>
          <w:lang w:val="zh-CN"/>
        </w:rPr>
      </w:pPr>
      <w:r>
        <w:rPr>
          <w:rFonts w:hint="eastAsia" w:ascii="仿宋" w:hAnsi="仿宋" w:eastAsia="仿宋"/>
          <w:sz w:val="28"/>
          <w:szCs w:val="21"/>
          <w:lang w:val="zh-CN"/>
        </w:rPr>
        <w:t>1</w:t>
      </w:r>
      <w:r>
        <w:rPr>
          <w:rFonts w:ascii="仿宋" w:hAnsi="仿宋" w:eastAsia="仿宋"/>
          <w:sz w:val="28"/>
          <w:szCs w:val="21"/>
          <w:lang w:val="zh-CN"/>
        </w:rPr>
        <w:t>2</w:t>
      </w:r>
      <w:r>
        <w:rPr>
          <w:rFonts w:hint="eastAsia" w:ascii="仿宋" w:hAnsi="仿宋" w:eastAsia="仿宋"/>
          <w:sz w:val="28"/>
          <w:szCs w:val="21"/>
          <w:lang w:val="zh-CN"/>
        </w:rPr>
        <w:t>、胶粘剂委外配置协议；</w:t>
      </w:r>
    </w:p>
    <w:p>
      <w:pPr>
        <w:spacing w:line="500" w:lineRule="exact"/>
        <w:ind w:firstLine="560" w:firstLineChars="200"/>
        <w:jc w:val="left"/>
        <w:rPr>
          <w:rFonts w:ascii="仿宋" w:hAnsi="仿宋" w:eastAsia="仿宋"/>
          <w:sz w:val="28"/>
          <w:szCs w:val="21"/>
          <w:lang w:val="zh-CN"/>
        </w:rPr>
      </w:pPr>
      <w:r>
        <w:rPr>
          <w:rFonts w:hint="eastAsia" w:ascii="仿宋" w:hAnsi="仿宋" w:eastAsia="仿宋"/>
          <w:sz w:val="28"/>
          <w:szCs w:val="21"/>
          <w:lang w:val="zh-CN"/>
        </w:rPr>
        <w:t>1</w:t>
      </w:r>
      <w:r>
        <w:rPr>
          <w:rFonts w:ascii="仿宋" w:hAnsi="仿宋" w:eastAsia="仿宋"/>
          <w:sz w:val="28"/>
          <w:szCs w:val="21"/>
          <w:lang w:val="zh-CN"/>
        </w:rPr>
        <w:t>3</w:t>
      </w:r>
      <w:r>
        <w:rPr>
          <w:rFonts w:hint="eastAsia" w:ascii="仿宋" w:hAnsi="仿宋" w:eastAsia="仿宋"/>
          <w:sz w:val="28"/>
          <w:szCs w:val="21"/>
          <w:lang w:val="zh-CN"/>
        </w:rPr>
        <w:t>、胶粘剂委外配置承诺。</w:t>
      </w:r>
    </w:p>
    <w:p>
      <w:pPr>
        <w:pStyle w:val="33"/>
        <w:rPr>
          <w:lang w:val="zh-CN"/>
        </w:rPr>
      </w:pPr>
    </w:p>
    <w:p>
      <w:pPr>
        <w:pStyle w:val="33"/>
        <w:rPr>
          <w:lang w:val="zh-CN"/>
        </w:rPr>
      </w:pPr>
    </w:p>
    <w:p>
      <w:pPr>
        <w:spacing w:line="300" w:lineRule="exact"/>
        <w:rPr>
          <w:rFonts w:eastAsia="仿宋_GB2312"/>
          <w:bCs/>
          <w:caps/>
          <w:sz w:val="24"/>
          <w:highlight w:val="yellow"/>
        </w:rPr>
      </w:pPr>
    </w:p>
    <w:p>
      <w:pPr>
        <w:rPr>
          <w:rFonts w:eastAsia="仿宋_GB2312"/>
          <w:sz w:val="24"/>
          <w:highlight w:val="yellow"/>
        </w:rPr>
      </w:pPr>
    </w:p>
    <w:p>
      <w:pPr>
        <w:rPr>
          <w:rFonts w:eastAsia="仿宋_GB2312"/>
          <w:sz w:val="24"/>
          <w:highlight w:val="yellow"/>
        </w:rPr>
      </w:pPr>
    </w:p>
    <w:p>
      <w:pPr>
        <w:rPr>
          <w:rFonts w:eastAsia="仿宋_GB2312"/>
          <w:sz w:val="24"/>
          <w:highlight w:val="yellow"/>
        </w:rPr>
      </w:pPr>
    </w:p>
    <w:p>
      <w:pPr>
        <w:rPr>
          <w:rFonts w:eastAsia="仿宋_GB2312"/>
          <w:sz w:val="24"/>
          <w:highlight w:val="yellow"/>
        </w:rPr>
      </w:pPr>
    </w:p>
    <w:p>
      <w:pPr>
        <w:rPr>
          <w:rFonts w:eastAsia="仿宋_GB2312"/>
          <w:sz w:val="24"/>
          <w:highlight w:val="yellow"/>
        </w:rPr>
      </w:pPr>
    </w:p>
    <w:p>
      <w:pPr>
        <w:rPr>
          <w:rFonts w:eastAsia="仿宋_GB2312"/>
          <w:sz w:val="24"/>
          <w:highlight w:val="yellow"/>
        </w:rPr>
      </w:pPr>
    </w:p>
    <w:p>
      <w:pPr>
        <w:rPr>
          <w:rFonts w:eastAsia="仿宋_GB2312"/>
          <w:sz w:val="24"/>
          <w:highlight w:val="yellow"/>
        </w:rPr>
      </w:pPr>
    </w:p>
    <w:p>
      <w:pPr>
        <w:rPr>
          <w:rFonts w:eastAsia="仿宋_GB2312"/>
          <w:sz w:val="24"/>
          <w:highlight w:val="yellow"/>
        </w:rPr>
      </w:pPr>
    </w:p>
    <w:p>
      <w:pPr>
        <w:rPr>
          <w:rFonts w:eastAsia="仿宋_GB2312"/>
          <w:sz w:val="24"/>
          <w:highlight w:val="yellow"/>
        </w:rPr>
      </w:pPr>
    </w:p>
    <w:p>
      <w:pPr>
        <w:rPr>
          <w:rFonts w:eastAsia="仿宋_GB2312"/>
          <w:sz w:val="24"/>
          <w:highlight w:val="yellow"/>
        </w:rPr>
      </w:pPr>
    </w:p>
    <w:p>
      <w:pPr>
        <w:rPr>
          <w:rFonts w:eastAsia="仿宋_GB2312"/>
          <w:sz w:val="24"/>
          <w:highlight w:val="yellow"/>
        </w:rPr>
      </w:pPr>
    </w:p>
    <w:p>
      <w:pPr>
        <w:rPr>
          <w:rFonts w:eastAsia="仿宋_GB2312"/>
          <w:sz w:val="24"/>
          <w:highlight w:val="yellow"/>
        </w:rPr>
      </w:pPr>
    </w:p>
    <w:p>
      <w:pPr>
        <w:rPr>
          <w:rFonts w:eastAsia="仿宋_GB2312"/>
          <w:sz w:val="24"/>
          <w:highlight w:val="yellow"/>
        </w:rPr>
      </w:pPr>
    </w:p>
    <w:p>
      <w:pPr>
        <w:rPr>
          <w:rFonts w:eastAsia="仿宋_GB2312"/>
          <w:sz w:val="24"/>
          <w:highlight w:val="yellow"/>
        </w:rPr>
      </w:pPr>
    </w:p>
    <w:p>
      <w:pPr>
        <w:rPr>
          <w:rFonts w:eastAsia="仿宋_GB2312"/>
          <w:sz w:val="24"/>
          <w:highlight w:val="yellow"/>
        </w:rPr>
      </w:pPr>
    </w:p>
    <w:p>
      <w:pPr>
        <w:rPr>
          <w:rFonts w:eastAsia="仿宋_GB2312"/>
          <w:sz w:val="24"/>
          <w:highlight w:val="yellow"/>
        </w:rPr>
      </w:pPr>
    </w:p>
    <w:p>
      <w:pPr>
        <w:rPr>
          <w:rFonts w:eastAsia="仿宋_GB2312"/>
          <w:sz w:val="24"/>
          <w:highlight w:val="yellow"/>
        </w:rPr>
      </w:pPr>
    </w:p>
    <w:p>
      <w:pPr>
        <w:rPr>
          <w:rFonts w:eastAsia="仿宋_GB2312"/>
          <w:sz w:val="24"/>
          <w:highlight w:val="yellow"/>
        </w:rPr>
      </w:pPr>
    </w:p>
    <w:p>
      <w:pPr>
        <w:rPr>
          <w:rFonts w:eastAsia="仿宋_GB2312"/>
          <w:sz w:val="24"/>
          <w:highlight w:val="yellow"/>
        </w:rPr>
      </w:pPr>
    </w:p>
    <w:p>
      <w:pPr>
        <w:rPr>
          <w:rFonts w:eastAsia="仿宋_GB2312"/>
          <w:sz w:val="24"/>
          <w:highlight w:val="yellow"/>
        </w:rPr>
      </w:pPr>
    </w:p>
    <w:p>
      <w:pPr>
        <w:rPr>
          <w:rFonts w:eastAsia="仿宋_GB2312"/>
          <w:sz w:val="24"/>
          <w:highlight w:val="yellow"/>
        </w:rPr>
      </w:pPr>
    </w:p>
    <w:p>
      <w:pPr>
        <w:rPr>
          <w:rFonts w:eastAsia="仿宋_GB2312"/>
          <w:sz w:val="24"/>
          <w:highlight w:val="yellow"/>
        </w:rPr>
      </w:pPr>
    </w:p>
    <w:p>
      <w:pPr>
        <w:rPr>
          <w:rFonts w:eastAsia="仿宋_GB2312"/>
          <w:sz w:val="24"/>
          <w:highlight w:val="yellow"/>
        </w:rPr>
      </w:pPr>
    </w:p>
    <w:p>
      <w:pPr>
        <w:rPr>
          <w:rFonts w:eastAsia="仿宋_GB2312"/>
          <w:sz w:val="24"/>
          <w:highlight w:val="yellow"/>
        </w:rPr>
      </w:pPr>
    </w:p>
    <w:p>
      <w:pPr>
        <w:rPr>
          <w:rFonts w:eastAsia="仿宋_GB2312"/>
          <w:sz w:val="24"/>
          <w:highlight w:val="yellow"/>
        </w:rPr>
      </w:pPr>
    </w:p>
    <w:p>
      <w:pPr>
        <w:rPr>
          <w:rFonts w:eastAsia="仿宋_GB2312"/>
          <w:sz w:val="24"/>
          <w:highlight w:val="yellow"/>
        </w:rPr>
      </w:pPr>
    </w:p>
    <w:p>
      <w:pPr>
        <w:rPr>
          <w:rFonts w:eastAsia="仿宋_GB2312"/>
          <w:sz w:val="24"/>
          <w:highlight w:val="yellow"/>
        </w:rPr>
      </w:pPr>
    </w:p>
    <w:p>
      <w:pPr>
        <w:rPr>
          <w:rFonts w:eastAsia="仿宋_GB2312"/>
          <w:sz w:val="24"/>
          <w:highlight w:val="yellow"/>
        </w:rPr>
      </w:pPr>
    </w:p>
    <w:p>
      <w:pPr>
        <w:rPr>
          <w:rFonts w:eastAsia="仿宋_GB2312"/>
          <w:sz w:val="24"/>
          <w:highlight w:val="yellow"/>
        </w:rPr>
        <w:sectPr>
          <w:headerReference r:id="rId7" w:type="default"/>
          <w:footerReference r:id="rId9" w:type="default"/>
          <w:headerReference r:id="rId8" w:type="even"/>
          <w:footerReference r:id="rId10" w:type="even"/>
          <w:pgSz w:w="11906" w:h="16838"/>
          <w:pgMar w:top="1440" w:right="1800" w:bottom="1440" w:left="1800" w:header="851" w:footer="992" w:gutter="0"/>
          <w:pgNumType w:fmt="upperRoman"/>
          <w:cols w:space="425" w:num="1"/>
          <w:docGrid w:type="lines" w:linePitch="312" w:charSpace="0"/>
        </w:sectPr>
      </w:pPr>
    </w:p>
    <w:bookmarkEnd w:id="0"/>
    <w:bookmarkEnd w:id="1"/>
    <w:bookmarkEnd w:id="2"/>
    <w:bookmarkEnd w:id="3"/>
    <w:bookmarkEnd w:id="4"/>
    <w:bookmarkEnd w:id="5"/>
    <w:bookmarkEnd w:id="6"/>
    <w:bookmarkEnd w:id="7"/>
    <w:bookmarkEnd w:id="8"/>
    <w:p>
      <w:pPr>
        <w:pStyle w:val="2"/>
        <w:numPr>
          <w:ilvl w:val="0"/>
          <w:numId w:val="1"/>
        </w:numPr>
        <w:spacing w:before="156" w:beforeLines="50" w:after="156" w:afterLines="50" w:line="500" w:lineRule="exact"/>
        <w:ind w:left="0" w:firstLine="0"/>
        <w:rPr>
          <w:rFonts w:eastAsia="仿宋_GB2312"/>
          <w:sz w:val="36"/>
          <w:szCs w:val="36"/>
        </w:rPr>
      </w:pPr>
      <w:bookmarkStart w:id="9" w:name="_Toc140565246"/>
      <w:r>
        <w:rPr>
          <w:rFonts w:eastAsia="仿宋_GB2312"/>
          <w:sz w:val="36"/>
          <w:szCs w:val="36"/>
        </w:rPr>
        <w:t>概述</w:t>
      </w:r>
      <w:bookmarkEnd w:id="9"/>
    </w:p>
    <w:p>
      <w:pPr>
        <w:pStyle w:val="3"/>
      </w:pPr>
      <w:bookmarkStart w:id="10" w:name="_Toc140565247"/>
      <w:bookmarkStart w:id="11" w:name="_Toc317866775"/>
      <w:bookmarkStart w:id="12" w:name="_Toc125882607"/>
      <w:bookmarkStart w:id="13" w:name="_Toc23933427"/>
      <w:bookmarkStart w:id="14" w:name="_Toc23933484"/>
      <w:bookmarkStart w:id="15" w:name="_Toc23738042"/>
      <w:bookmarkStart w:id="16" w:name="_Toc23673840"/>
      <w:bookmarkStart w:id="17" w:name="_Toc23604804"/>
      <w:bookmarkStart w:id="18" w:name="_Toc23604716"/>
      <w:bookmarkStart w:id="19" w:name="_Toc23673994"/>
      <w:bookmarkStart w:id="20" w:name="_Toc23933250"/>
      <w:bookmarkStart w:id="21" w:name="_Toc22899958"/>
      <w:r>
        <w:t>任务由来</w:t>
      </w:r>
      <w:bookmarkEnd w:id="10"/>
      <w:bookmarkEnd w:id="11"/>
    </w:p>
    <w:bookmarkEnd w:id="12"/>
    <w:bookmarkEnd w:id="13"/>
    <w:bookmarkEnd w:id="14"/>
    <w:bookmarkEnd w:id="15"/>
    <w:bookmarkEnd w:id="16"/>
    <w:bookmarkEnd w:id="17"/>
    <w:bookmarkEnd w:id="18"/>
    <w:bookmarkEnd w:id="19"/>
    <w:bookmarkEnd w:id="20"/>
    <w:bookmarkEnd w:id="21"/>
    <w:p>
      <w:pPr>
        <w:spacing w:line="500" w:lineRule="exact"/>
        <w:ind w:firstLine="560" w:firstLineChars="200"/>
        <w:contextualSpacing/>
        <w:rPr>
          <w:rFonts w:eastAsia="仿宋_GB2312"/>
          <w:sz w:val="28"/>
          <w:szCs w:val="28"/>
        </w:rPr>
      </w:pPr>
      <w:r>
        <w:rPr>
          <w:rFonts w:eastAsia="仿宋_GB2312"/>
          <w:sz w:val="28"/>
          <w:szCs w:val="28"/>
        </w:rPr>
        <w:t>江苏双联新能源材料科技有限公司成立于2021年10月15日，注册地位于常州市金坛区金城镇红山路29号。经营范围包括一般项目：</w:t>
      </w:r>
      <w:r>
        <w:rPr>
          <w:rFonts w:hint="eastAsia" w:eastAsia="仿宋_GB2312"/>
          <w:sz w:val="28"/>
          <w:szCs w:val="28"/>
        </w:rPr>
        <w:t>新材料</w:t>
      </w:r>
      <w:r>
        <w:rPr>
          <w:rFonts w:eastAsia="仿宋_GB2312"/>
          <w:sz w:val="28"/>
          <w:szCs w:val="28"/>
        </w:rPr>
        <w:t>技术研发；</w:t>
      </w:r>
      <w:r>
        <w:rPr>
          <w:rFonts w:hint="eastAsia" w:eastAsia="仿宋_GB2312"/>
          <w:sz w:val="28"/>
          <w:szCs w:val="28"/>
        </w:rPr>
        <w:t>新</w:t>
      </w:r>
      <w:r>
        <w:rPr>
          <w:rFonts w:eastAsia="仿宋_GB2312"/>
          <w:sz w:val="28"/>
          <w:szCs w:val="28"/>
        </w:rPr>
        <w:t>材料技术推广服务</w:t>
      </w:r>
      <w:r>
        <w:rPr>
          <w:rFonts w:hint="eastAsia" w:eastAsia="仿宋_GB2312"/>
          <w:sz w:val="28"/>
          <w:szCs w:val="28"/>
        </w:rPr>
        <w:t>；</w:t>
      </w:r>
      <w:r>
        <w:rPr>
          <w:rFonts w:eastAsia="仿宋_GB2312"/>
          <w:sz w:val="28"/>
          <w:szCs w:val="28"/>
        </w:rPr>
        <w:t>新型膜材料销售；电子专用材料制造（</w:t>
      </w:r>
      <w:r>
        <w:rPr>
          <w:rFonts w:hint="eastAsia" w:eastAsia="仿宋_GB2312"/>
          <w:sz w:val="28"/>
          <w:szCs w:val="28"/>
        </w:rPr>
        <w:t>除</w:t>
      </w:r>
      <w:r>
        <w:rPr>
          <w:rFonts w:eastAsia="仿宋_GB2312"/>
          <w:sz w:val="28"/>
          <w:szCs w:val="28"/>
        </w:rPr>
        <w:t>依法须经</w:t>
      </w:r>
      <w:r>
        <w:rPr>
          <w:rFonts w:hint="eastAsia" w:eastAsia="仿宋_GB2312"/>
          <w:sz w:val="28"/>
          <w:szCs w:val="28"/>
        </w:rPr>
        <w:t>批准</w:t>
      </w:r>
      <w:r>
        <w:rPr>
          <w:rFonts w:eastAsia="仿宋_GB2312"/>
          <w:sz w:val="28"/>
          <w:szCs w:val="28"/>
        </w:rPr>
        <w:t>的项目外，凭</w:t>
      </w:r>
      <w:r>
        <w:rPr>
          <w:rFonts w:hint="eastAsia" w:eastAsia="仿宋_GB2312"/>
          <w:sz w:val="28"/>
          <w:szCs w:val="28"/>
        </w:rPr>
        <w:t>营业执照</w:t>
      </w:r>
      <w:r>
        <w:rPr>
          <w:rFonts w:eastAsia="仿宋_GB2312"/>
          <w:sz w:val="28"/>
          <w:szCs w:val="28"/>
        </w:rPr>
        <w:t>依法自</w:t>
      </w:r>
      <w:r>
        <w:rPr>
          <w:rFonts w:hint="eastAsia" w:eastAsia="仿宋_GB2312"/>
          <w:sz w:val="28"/>
          <w:szCs w:val="28"/>
        </w:rPr>
        <w:t>主开展</w:t>
      </w:r>
      <w:r>
        <w:rPr>
          <w:rFonts w:eastAsia="仿宋_GB2312"/>
          <w:sz w:val="28"/>
          <w:szCs w:val="28"/>
        </w:rPr>
        <w:t>经营活动）。</w:t>
      </w:r>
    </w:p>
    <w:p>
      <w:pPr>
        <w:spacing w:line="500" w:lineRule="exact"/>
        <w:ind w:firstLine="560" w:firstLineChars="200"/>
        <w:rPr>
          <w:rFonts w:eastAsia="仿宋_GB2312"/>
          <w:bCs/>
          <w:sz w:val="28"/>
          <w:szCs w:val="28"/>
        </w:rPr>
      </w:pPr>
      <w:r>
        <w:rPr>
          <w:rFonts w:hint="eastAsia" w:eastAsia="仿宋_GB2312"/>
          <w:bCs/>
          <w:sz w:val="28"/>
          <w:szCs w:val="28"/>
        </w:rPr>
        <w:t>目前</w:t>
      </w:r>
      <w:r>
        <w:rPr>
          <w:rFonts w:eastAsia="仿宋_GB2312"/>
          <w:bCs/>
          <w:sz w:val="28"/>
          <w:szCs w:val="28"/>
        </w:rPr>
        <w:t>，</w:t>
      </w:r>
      <w:r>
        <w:rPr>
          <w:rFonts w:hint="eastAsia" w:eastAsia="仿宋_GB2312"/>
          <w:bCs/>
          <w:sz w:val="28"/>
          <w:szCs w:val="28"/>
        </w:rPr>
        <w:t>新能源汽车产业迅猛发展，随之带来</w:t>
      </w:r>
      <w:r>
        <w:rPr>
          <w:rFonts w:eastAsia="仿宋_GB2312"/>
          <w:bCs/>
          <w:sz w:val="28"/>
          <w:szCs w:val="28"/>
        </w:rPr>
        <w:t>锂电池行业蓬勃发展</w:t>
      </w:r>
      <w:r>
        <w:rPr>
          <w:rFonts w:hint="eastAsia" w:eastAsia="仿宋_GB2312"/>
          <w:bCs/>
          <w:sz w:val="28"/>
          <w:szCs w:val="28"/>
        </w:rPr>
        <w:t>，市场的需求量日益增大，保守估计在千亿级别，在这样的大背景下，为国内锂电池隔膜胶带生产企业的快速成长打开了极大的空间。</w:t>
      </w:r>
    </w:p>
    <w:p>
      <w:pPr>
        <w:spacing w:line="500" w:lineRule="exact"/>
        <w:ind w:firstLine="560" w:firstLineChars="200"/>
        <w:contextualSpacing/>
        <w:rPr>
          <w:rFonts w:eastAsia="仿宋_GB2312"/>
          <w:sz w:val="28"/>
          <w:szCs w:val="28"/>
        </w:rPr>
      </w:pPr>
      <w:r>
        <w:rPr>
          <w:rFonts w:eastAsia="仿宋_GB2312"/>
          <w:sz w:val="28"/>
          <w:szCs w:val="28"/>
        </w:rPr>
        <w:t>江苏双联新能源材料科技有限公司</w:t>
      </w:r>
      <w:r>
        <w:rPr>
          <w:rFonts w:hint="eastAsia" w:eastAsia="仿宋_GB2312"/>
          <w:sz w:val="28"/>
          <w:szCs w:val="28"/>
        </w:rPr>
        <w:t>拟</w:t>
      </w:r>
      <w:r>
        <w:rPr>
          <w:rFonts w:eastAsia="仿宋_GB2312"/>
          <w:sz w:val="28"/>
          <w:szCs w:val="28"/>
        </w:rPr>
        <w:t>投资</w:t>
      </w:r>
      <w:r>
        <w:rPr>
          <w:rFonts w:hint="eastAsia" w:eastAsia="仿宋_GB2312"/>
          <w:sz w:val="28"/>
          <w:szCs w:val="28"/>
        </w:rPr>
        <w:t>3</w:t>
      </w:r>
      <w:r>
        <w:rPr>
          <w:rFonts w:eastAsia="仿宋_GB2312"/>
          <w:sz w:val="28"/>
          <w:szCs w:val="28"/>
        </w:rPr>
        <w:t>000万元，</w:t>
      </w:r>
      <w:r>
        <w:rPr>
          <w:rFonts w:hint="eastAsia" w:eastAsia="仿宋_GB2312"/>
          <w:sz w:val="28"/>
          <w:szCs w:val="28"/>
        </w:rPr>
        <w:t>租用</w:t>
      </w:r>
      <w:r>
        <w:rPr>
          <w:rFonts w:eastAsia="仿宋_GB2312"/>
          <w:sz w:val="28"/>
          <w:szCs w:val="28"/>
        </w:rPr>
        <w:t>常州威斯双联</w:t>
      </w:r>
      <w:r>
        <w:rPr>
          <w:rFonts w:hint="eastAsia" w:eastAsia="仿宋_GB2312"/>
          <w:sz w:val="28"/>
          <w:szCs w:val="28"/>
        </w:rPr>
        <w:t>有限公司</w:t>
      </w:r>
      <w:r>
        <w:rPr>
          <w:rFonts w:eastAsia="仿宋_GB2312"/>
          <w:sz w:val="28"/>
          <w:szCs w:val="28"/>
        </w:rPr>
        <w:t>厂房。本项目占地面积</w:t>
      </w:r>
      <w:r>
        <w:rPr>
          <w:rFonts w:hint="eastAsia" w:eastAsia="仿宋_GB2312"/>
          <w:sz w:val="28"/>
          <w:szCs w:val="28"/>
        </w:rPr>
        <w:t>2336</w:t>
      </w:r>
      <w:r>
        <w:rPr>
          <w:rFonts w:eastAsia="仿宋_GB2312"/>
          <w:sz w:val="28"/>
          <w:szCs w:val="28"/>
        </w:rPr>
        <w:t>平方米，建筑面积</w:t>
      </w:r>
      <w:r>
        <w:rPr>
          <w:rFonts w:hint="eastAsia" w:eastAsia="仿宋_GB2312"/>
          <w:sz w:val="28"/>
          <w:szCs w:val="28"/>
        </w:rPr>
        <w:t>2336</w:t>
      </w:r>
      <w:r>
        <w:rPr>
          <w:rFonts w:eastAsia="仿宋_GB2312"/>
          <w:sz w:val="28"/>
          <w:szCs w:val="28"/>
        </w:rPr>
        <w:t>平方米</w:t>
      </w:r>
      <w:r>
        <w:rPr>
          <w:rFonts w:hint="eastAsia" w:eastAsia="仿宋_GB2312"/>
          <w:sz w:val="28"/>
          <w:szCs w:val="28"/>
        </w:rPr>
        <w:t>，</w:t>
      </w:r>
      <w:r>
        <w:rPr>
          <w:rFonts w:eastAsia="仿宋_GB2312"/>
          <w:sz w:val="28"/>
          <w:szCs w:val="28"/>
        </w:rPr>
        <w:t>购置</w:t>
      </w:r>
      <w:r>
        <w:rPr>
          <w:rFonts w:hint="eastAsia" w:eastAsia="仿宋_GB2312"/>
          <w:sz w:val="28"/>
          <w:szCs w:val="28"/>
        </w:rPr>
        <w:t>涂布机</w:t>
      </w:r>
      <w:r>
        <w:rPr>
          <w:rFonts w:eastAsia="仿宋_GB2312"/>
          <w:sz w:val="28"/>
          <w:szCs w:val="28"/>
        </w:rPr>
        <w:t>、分切机等</w:t>
      </w:r>
      <w:r>
        <w:rPr>
          <w:rFonts w:hint="eastAsia" w:eastAsia="仿宋_GB2312"/>
          <w:sz w:val="28"/>
          <w:szCs w:val="28"/>
        </w:rPr>
        <w:t>，</w:t>
      </w:r>
      <w:r>
        <w:rPr>
          <w:rFonts w:eastAsia="仿宋_GB2312"/>
          <w:sz w:val="28"/>
          <w:szCs w:val="28"/>
        </w:rPr>
        <w:t>项目建成后可</w:t>
      </w:r>
      <w:r>
        <w:rPr>
          <w:rFonts w:hint="eastAsia" w:eastAsia="仿宋_GB2312"/>
          <w:sz w:val="28"/>
          <w:szCs w:val="28"/>
        </w:rPr>
        <w:t>形成</w:t>
      </w:r>
      <w:r>
        <w:rPr>
          <w:rFonts w:eastAsia="仿宋_GB2312"/>
          <w:sz w:val="28"/>
          <w:szCs w:val="28"/>
        </w:rPr>
        <w:t>年产</w:t>
      </w:r>
      <w:r>
        <w:rPr>
          <w:rFonts w:hint="eastAsia" w:eastAsia="仿宋_GB2312"/>
          <w:sz w:val="28"/>
          <w:szCs w:val="28"/>
        </w:rPr>
        <w:t>PET胶带2000万</w:t>
      </w:r>
      <w:r>
        <w:rPr>
          <w:rFonts w:eastAsia="仿宋_GB2312"/>
          <w:sz w:val="28"/>
          <w:szCs w:val="28"/>
        </w:rPr>
        <w:t>平方米和</w:t>
      </w:r>
      <w:r>
        <w:rPr>
          <w:rFonts w:hint="eastAsia" w:eastAsia="仿宋_GB2312"/>
          <w:sz w:val="28"/>
          <w:szCs w:val="28"/>
        </w:rPr>
        <w:t>PI胶带1000万</w:t>
      </w:r>
      <w:r>
        <w:rPr>
          <w:rFonts w:eastAsia="仿宋_GB2312"/>
          <w:sz w:val="28"/>
          <w:szCs w:val="28"/>
        </w:rPr>
        <w:t>平方米的生产能力</w:t>
      </w:r>
      <w:r>
        <w:rPr>
          <w:rFonts w:hint="eastAsia" w:eastAsia="仿宋_GB2312"/>
          <w:sz w:val="28"/>
          <w:szCs w:val="28"/>
        </w:rPr>
        <w:t>，项目产品主要配套新能源汽车锂电池用</w:t>
      </w:r>
      <w:r>
        <w:rPr>
          <w:rFonts w:eastAsia="仿宋_GB2312"/>
          <w:sz w:val="28"/>
          <w:szCs w:val="28"/>
        </w:rPr>
        <w:t>。本项目员工人数</w:t>
      </w:r>
      <w:r>
        <w:rPr>
          <w:rFonts w:hint="eastAsia" w:eastAsia="仿宋_GB2312"/>
          <w:sz w:val="28"/>
          <w:szCs w:val="28"/>
        </w:rPr>
        <w:t>45</w:t>
      </w:r>
      <w:r>
        <w:rPr>
          <w:rFonts w:eastAsia="仿宋_GB2312"/>
          <w:sz w:val="28"/>
          <w:szCs w:val="28"/>
        </w:rPr>
        <w:t>人，年工作日300天，</w:t>
      </w:r>
      <w:r>
        <w:rPr>
          <w:rFonts w:hint="eastAsia" w:eastAsia="仿宋_GB2312"/>
          <w:sz w:val="28"/>
          <w:szCs w:val="28"/>
        </w:rPr>
        <w:t>三班制，每班</w:t>
      </w:r>
      <w:r>
        <w:rPr>
          <w:rFonts w:eastAsia="仿宋_GB2312"/>
          <w:sz w:val="28"/>
          <w:szCs w:val="28"/>
        </w:rPr>
        <w:t>8</w:t>
      </w:r>
      <w:r>
        <w:rPr>
          <w:rFonts w:hint="eastAsia" w:eastAsia="仿宋_GB2312"/>
          <w:sz w:val="28"/>
          <w:szCs w:val="28"/>
        </w:rPr>
        <w:t>小时</w:t>
      </w:r>
      <w:r>
        <w:rPr>
          <w:rFonts w:eastAsia="仿宋_GB2312"/>
          <w:sz w:val="28"/>
          <w:szCs w:val="28"/>
        </w:rPr>
        <w:t>。</w:t>
      </w:r>
    </w:p>
    <w:p>
      <w:pPr>
        <w:spacing w:line="500" w:lineRule="exact"/>
        <w:ind w:firstLine="555"/>
        <w:rPr>
          <w:rFonts w:eastAsia="仿宋_GB2312"/>
          <w:spacing w:val="-4"/>
          <w:sz w:val="28"/>
        </w:rPr>
      </w:pPr>
      <w:r>
        <w:rPr>
          <w:rFonts w:eastAsia="仿宋_GB2312"/>
          <w:b/>
          <w:snapToGrid w:val="0"/>
          <w:kern w:val="0"/>
          <w:sz w:val="28"/>
          <w:szCs w:val="28"/>
        </w:rPr>
        <w:t>本项目地理位置见图1.1-1。</w:t>
      </w:r>
    </w:p>
    <w:p>
      <w:pPr>
        <w:spacing w:line="500" w:lineRule="exact"/>
        <w:ind w:firstLine="560" w:firstLineChars="200"/>
        <w:contextualSpacing/>
        <w:rPr>
          <w:rFonts w:eastAsia="仿宋_GB2312"/>
          <w:sz w:val="28"/>
          <w:szCs w:val="28"/>
        </w:rPr>
      </w:pPr>
      <w:r>
        <w:rPr>
          <w:rFonts w:eastAsia="仿宋_GB2312"/>
          <w:sz w:val="28"/>
          <w:szCs w:val="28"/>
        </w:rPr>
        <w:t>根据《中华人民共和国环境保护法》和《建设项目环境保护管理条例》中有关规定，凡从事对环境有影响的建设项目都必须执行环境影响评价制度</w:t>
      </w:r>
      <w:r>
        <w:rPr>
          <w:rFonts w:hint="eastAsia" w:eastAsia="仿宋_GB2312"/>
          <w:sz w:val="28"/>
          <w:szCs w:val="28"/>
        </w:rPr>
        <w:t>。本项目</w:t>
      </w:r>
      <w:r>
        <w:rPr>
          <w:rFonts w:eastAsia="仿宋_GB2312"/>
          <w:sz w:val="28"/>
          <w:szCs w:val="28"/>
        </w:rPr>
        <w:t>产品为</w:t>
      </w:r>
      <w:r>
        <w:rPr>
          <w:rFonts w:hint="eastAsia" w:eastAsia="仿宋_GB2312"/>
          <w:sz w:val="28"/>
          <w:szCs w:val="28"/>
        </w:rPr>
        <w:t>汽车</w:t>
      </w:r>
      <w:r>
        <w:rPr>
          <w:rFonts w:eastAsia="仿宋_GB2312"/>
          <w:sz w:val="28"/>
          <w:szCs w:val="28"/>
        </w:rPr>
        <w:t>零部件</w:t>
      </w:r>
      <w:r>
        <w:rPr>
          <w:rFonts w:eastAsia="仿宋_GB2312"/>
          <w:bCs/>
          <w:sz w:val="28"/>
          <w:szCs w:val="28"/>
        </w:rPr>
        <w:t>。</w:t>
      </w:r>
      <w:r>
        <w:rPr>
          <w:rFonts w:hint="eastAsia" w:eastAsia="仿宋_GB2312"/>
          <w:sz w:val="28"/>
          <w:szCs w:val="28"/>
        </w:rPr>
        <w:t>根据</w:t>
      </w:r>
      <w:r>
        <w:rPr>
          <w:rFonts w:eastAsia="仿宋_GB2312"/>
          <w:sz w:val="28"/>
          <w:szCs w:val="28"/>
        </w:rPr>
        <w:t>本项目</w:t>
      </w:r>
      <w:r>
        <w:rPr>
          <w:rFonts w:hint="eastAsia" w:eastAsia="仿宋_GB2312"/>
          <w:sz w:val="28"/>
          <w:szCs w:val="28"/>
        </w:rPr>
        <w:t>《江苏省</w:t>
      </w:r>
      <w:r>
        <w:rPr>
          <w:rFonts w:eastAsia="仿宋_GB2312"/>
          <w:sz w:val="28"/>
          <w:szCs w:val="28"/>
        </w:rPr>
        <w:t>投资项目</w:t>
      </w:r>
      <w:r>
        <w:rPr>
          <w:rFonts w:hint="eastAsia" w:eastAsia="仿宋_GB2312"/>
          <w:sz w:val="28"/>
          <w:szCs w:val="28"/>
        </w:rPr>
        <w:t>备案证》备案</w:t>
      </w:r>
      <w:r>
        <w:rPr>
          <w:rFonts w:eastAsia="仿宋_GB2312"/>
          <w:sz w:val="28"/>
          <w:szCs w:val="28"/>
        </w:rPr>
        <w:t>代码，</w:t>
      </w:r>
      <w:r>
        <w:rPr>
          <w:rFonts w:hint="eastAsia" w:eastAsia="仿宋_GB2312"/>
          <w:sz w:val="28"/>
          <w:szCs w:val="28"/>
        </w:rPr>
        <w:t>并对照</w:t>
      </w:r>
      <w:r>
        <w:rPr>
          <w:rFonts w:eastAsia="仿宋_GB2312"/>
          <w:sz w:val="28"/>
          <w:szCs w:val="28"/>
        </w:rPr>
        <w:t>《</w:t>
      </w:r>
      <w:r>
        <w:rPr>
          <w:rFonts w:hint="eastAsia" w:eastAsia="仿宋_GB2312"/>
          <w:sz w:val="28"/>
          <w:szCs w:val="28"/>
        </w:rPr>
        <w:t>国民</w:t>
      </w:r>
      <w:r>
        <w:rPr>
          <w:rFonts w:eastAsia="仿宋_GB2312"/>
          <w:sz w:val="28"/>
          <w:szCs w:val="28"/>
        </w:rPr>
        <w:t>经济</w:t>
      </w:r>
      <w:r>
        <w:rPr>
          <w:rFonts w:hint="eastAsia" w:eastAsia="仿宋_GB2312"/>
          <w:sz w:val="28"/>
          <w:szCs w:val="28"/>
        </w:rPr>
        <w:t>行业</w:t>
      </w:r>
      <w:r>
        <w:rPr>
          <w:rFonts w:eastAsia="仿宋_GB2312"/>
          <w:sz w:val="28"/>
          <w:szCs w:val="28"/>
        </w:rPr>
        <w:t>分类》</w:t>
      </w:r>
      <w:r>
        <w:rPr>
          <w:rFonts w:hint="eastAsia" w:eastAsia="仿宋_GB2312"/>
          <w:sz w:val="28"/>
          <w:szCs w:val="28"/>
        </w:rPr>
        <w:t>（GB/T4754-2017），</w:t>
      </w:r>
      <w:r>
        <w:rPr>
          <w:rFonts w:eastAsia="仿宋_GB2312"/>
          <w:sz w:val="28"/>
          <w:szCs w:val="28"/>
        </w:rPr>
        <w:t>本</w:t>
      </w:r>
      <w:r>
        <w:rPr>
          <w:rFonts w:hint="eastAsia" w:eastAsia="仿宋_GB2312"/>
          <w:sz w:val="28"/>
          <w:szCs w:val="28"/>
        </w:rPr>
        <w:t>项目胶带</w:t>
      </w:r>
      <w:r>
        <w:rPr>
          <w:rFonts w:eastAsia="仿宋_GB2312"/>
          <w:sz w:val="28"/>
          <w:szCs w:val="28"/>
        </w:rPr>
        <w:t>行业类别属于</w:t>
      </w:r>
      <w:r>
        <w:rPr>
          <w:rFonts w:hint="eastAsia" w:eastAsia="仿宋_GB2312"/>
          <w:sz w:val="28"/>
          <w:szCs w:val="28"/>
        </w:rPr>
        <w:t>“C</w:t>
      </w:r>
      <w:r>
        <w:rPr>
          <w:rFonts w:eastAsia="仿宋_GB2312"/>
          <w:sz w:val="28"/>
          <w:szCs w:val="28"/>
        </w:rPr>
        <w:t>292</w:t>
      </w:r>
      <w:r>
        <w:rPr>
          <w:rFonts w:hint="eastAsia" w:eastAsia="仿宋_GB2312"/>
          <w:sz w:val="28"/>
          <w:szCs w:val="28"/>
        </w:rPr>
        <w:t xml:space="preserve"> 塑料制品业”中</w:t>
      </w:r>
      <w:r>
        <w:rPr>
          <w:rFonts w:eastAsia="仿宋_GB2312"/>
          <w:sz w:val="28"/>
          <w:szCs w:val="28"/>
        </w:rPr>
        <w:t>的“C292</w:t>
      </w:r>
      <w:r>
        <w:rPr>
          <w:rFonts w:hint="eastAsia" w:eastAsia="仿宋_GB2312"/>
          <w:sz w:val="28"/>
          <w:szCs w:val="28"/>
        </w:rPr>
        <w:t>1塑料薄膜制造</w:t>
      </w:r>
      <w:r>
        <w:rPr>
          <w:rFonts w:eastAsia="仿宋_GB2312"/>
          <w:sz w:val="28"/>
          <w:szCs w:val="28"/>
        </w:rPr>
        <w:t>”</w:t>
      </w:r>
      <w:r>
        <w:rPr>
          <w:rFonts w:hint="eastAsia" w:eastAsia="仿宋_GB2312"/>
          <w:sz w:val="28"/>
          <w:szCs w:val="28"/>
        </w:rPr>
        <w:t>；对</w:t>
      </w:r>
      <w:r>
        <w:rPr>
          <w:rFonts w:eastAsia="仿宋_GB2312"/>
          <w:sz w:val="28"/>
          <w:szCs w:val="28"/>
        </w:rPr>
        <w:t>照《建设项目环境影响评价分类管理名录》</w:t>
      </w:r>
      <w:r>
        <w:rPr>
          <w:rFonts w:hint="eastAsia" w:eastAsia="仿宋_GB2312"/>
          <w:sz w:val="28"/>
          <w:szCs w:val="28"/>
        </w:rPr>
        <w:t>（2021版）</w:t>
      </w:r>
      <w:r>
        <w:rPr>
          <w:rFonts w:eastAsia="仿宋_GB2312"/>
          <w:sz w:val="28"/>
          <w:szCs w:val="28"/>
        </w:rPr>
        <w:t>，</w:t>
      </w:r>
      <w:r>
        <w:rPr>
          <w:rFonts w:hint="eastAsia" w:eastAsia="仿宋_GB2312"/>
          <w:sz w:val="28"/>
          <w:szCs w:val="28"/>
        </w:rPr>
        <w:t>本项目胶带</w:t>
      </w:r>
      <w:r>
        <w:rPr>
          <w:rFonts w:eastAsia="仿宋_GB2312"/>
          <w:sz w:val="28"/>
          <w:szCs w:val="28"/>
        </w:rPr>
        <w:t>属于</w:t>
      </w:r>
      <w:r>
        <w:rPr>
          <w:rFonts w:hint="eastAsia" w:eastAsia="仿宋_GB2312"/>
          <w:sz w:val="28"/>
          <w:szCs w:val="28"/>
        </w:rPr>
        <w:t>“53塑料制品业292”中“年用</w:t>
      </w:r>
      <w:r>
        <w:rPr>
          <w:rFonts w:eastAsia="仿宋_GB2312"/>
          <w:sz w:val="28"/>
          <w:szCs w:val="28"/>
        </w:rPr>
        <w:t>溶剂型涂料（</w:t>
      </w:r>
      <w:r>
        <w:rPr>
          <w:rFonts w:hint="eastAsia" w:eastAsia="仿宋_GB2312"/>
          <w:sz w:val="28"/>
          <w:szCs w:val="28"/>
        </w:rPr>
        <w:t>含</w:t>
      </w:r>
      <w:r>
        <w:rPr>
          <w:rFonts w:eastAsia="仿宋_GB2312"/>
          <w:sz w:val="28"/>
          <w:szCs w:val="28"/>
        </w:rPr>
        <w:t>稀释剂）</w:t>
      </w:r>
      <w:r>
        <w:rPr>
          <w:rFonts w:hint="eastAsia" w:eastAsia="仿宋_GB2312"/>
          <w:sz w:val="28"/>
          <w:szCs w:val="28"/>
        </w:rPr>
        <w:t>10吨及</w:t>
      </w:r>
      <w:r>
        <w:rPr>
          <w:rFonts w:eastAsia="仿宋_GB2312"/>
          <w:sz w:val="28"/>
          <w:szCs w:val="28"/>
        </w:rPr>
        <w:t>以上的</w:t>
      </w:r>
      <w:r>
        <w:rPr>
          <w:rFonts w:hint="eastAsia" w:eastAsia="仿宋_GB2312"/>
          <w:sz w:val="28"/>
          <w:szCs w:val="28"/>
        </w:rPr>
        <w:t>”</w:t>
      </w:r>
      <w:r>
        <w:rPr>
          <w:rFonts w:eastAsia="仿宋_GB2312"/>
          <w:sz w:val="28"/>
          <w:szCs w:val="28"/>
        </w:rPr>
        <w:t>。本项目的环境影响评价应编制环境影响报告书。</w:t>
      </w:r>
    </w:p>
    <w:p>
      <w:pPr>
        <w:spacing w:line="500" w:lineRule="exact"/>
        <w:ind w:firstLine="560" w:firstLineChars="200"/>
        <w:rPr>
          <w:rFonts w:eastAsia="仿宋_GB2312"/>
          <w:kern w:val="44"/>
          <w:sz w:val="28"/>
          <w:szCs w:val="28"/>
        </w:rPr>
      </w:pPr>
      <w:r>
        <w:rPr>
          <w:rFonts w:eastAsia="仿宋_GB2312"/>
          <w:kern w:val="44"/>
          <w:sz w:val="28"/>
          <w:szCs w:val="28"/>
        </w:rPr>
        <w:t>受江苏双联新能源材料科技有限公司委托，江苏龙环环境科技有限公司（证书编号：国环评证乙字第1910号）承担本项目环境影响报告书的编制工作。在研究有关文件、现场踏勘和调查的基础上，按照《建设项目环境影响评价技术导则-总纲》（HJ2.1-2016）、《环境影响评价技术导则—大气环境》(HJ2.2-2018)、《环境影响评价技术导则-地表水环境》（HJ2.3-2018）、《环境影响评价技术导则-声环境》（HJ2.4-2021）、《建设项目环境风险评价技术导则》(HJ169-2018)、《环境影响评价技术导则—生态影响》(HJ19-2022)、《环境影响评价技术导则—地下水环境》（HJ610-2016）、《环境影响评价技术导则 土壤环境</w:t>
      </w:r>
      <w:r>
        <w:rPr>
          <w:rFonts w:hint="eastAsia" w:eastAsia="仿宋_GB2312"/>
          <w:kern w:val="44"/>
          <w:sz w:val="28"/>
          <w:szCs w:val="28"/>
        </w:rPr>
        <w:t>(试行)</w:t>
      </w:r>
      <w:r>
        <w:rPr>
          <w:rFonts w:eastAsia="仿宋_GB2312"/>
          <w:kern w:val="44"/>
          <w:sz w:val="28"/>
          <w:szCs w:val="28"/>
        </w:rPr>
        <w:t>》（HJ964-2018）等所规定的原则、方法、内容及要求，编制了《</w:t>
      </w:r>
      <w:r>
        <w:rPr>
          <w:rFonts w:hint="eastAsia" w:eastAsia="仿宋_GB2312"/>
          <w:kern w:val="44"/>
          <w:sz w:val="28"/>
          <w:szCs w:val="28"/>
        </w:rPr>
        <w:t>江苏双联新能源材料科技有限公司新建年产新能源电子材料3</w:t>
      </w:r>
      <w:r>
        <w:rPr>
          <w:rFonts w:eastAsia="仿宋_GB2312"/>
          <w:kern w:val="44"/>
          <w:sz w:val="28"/>
          <w:szCs w:val="28"/>
        </w:rPr>
        <w:t>000</w:t>
      </w:r>
      <w:r>
        <w:rPr>
          <w:rFonts w:hint="eastAsia" w:eastAsia="仿宋_GB2312"/>
          <w:kern w:val="44"/>
          <w:sz w:val="28"/>
          <w:szCs w:val="28"/>
        </w:rPr>
        <w:t>万平方米</w:t>
      </w:r>
      <w:r>
        <w:rPr>
          <w:rFonts w:eastAsia="仿宋_GB2312"/>
          <w:kern w:val="44"/>
          <w:sz w:val="28"/>
          <w:szCs w:val="28"/>
        </w:rPr>
        <w:t>项目环境影响报告书》。</w:t>
      </w:r>
    </w:p>
    <w:p>
      <w:pPr>
        <w:pStyle w:val="3"/>
      </w:pPr>
      <w:bookmarkStart w:id="22" w:name="_Toc140565248"/>
      <w:r>
        <w:t>建设项目特点</w:t>
      </w:r>
      <w:bookmarkEnd w:id="22"/>
    </w:p>
    <w:p>
      <w:pPr>
        <w:spacing w:line="500" w:lineRule="exact"/>
        <w:ind w:firstLine="560" w:firstLineChars="200"/>
        <w:rPr>
          <w:rFonts w:eastAsia="仿宋_GB2312"/>
          <w:sz w:val="28"/>
          <w:szCs w:val="28"/>
        </w:rPr>
      </w:pPr>
      <w:bookmarkStart w:id="23" w:name="_Toc482974254"/>
      <w:r>
        <w:rPr>
          <w:rFonts w:hint="eastAsia" w:eastAsia="仿宋_GB2312"/>
          <w:sz w:val="28"/>
          <w:szCs w:val="28"/>
        </w:rPr>
        <w:t>本次</w:t>
      </w:r>
      <w:r>
        <w:rPr>
          <w:rFonts w:eastAsia="仿宋_GB2312"/>
          <w:sz w:val="28"/>
          <w:szCs w:val="28"/>
        </w:rPr>
        <w:t>双联新能源</w:t>
      </w:r>
      <w:r>
        <w:rPr>
          <w:rFonts w:hint="eastAsia" w:eastAsia="仿宋_GB2312"/>
          <w:sz w:val="28"/>
          <w:szCs w:val="28"/>
        </w:rPr>
        <w:t>材料</w:t>
      </w:r>
      <w:r>
        <w:rPr>
          <w:rFonts w:eastAsia="仿宋_GB2312"/>
          <w:sz w:val="28"/>
          <w:szCs w:val="28"/>
        </w:rPr>
        <w:t>科技有限公司电子用胶带对比</w:t>
      </w:r>
      <w:r>
        <w:rPr>
          <w:rFonts w:hint="eastAsia" w:eastAsia="仿宋_GB2312"/>
          <w:sz w:val="28"/>
          <w:szCs w:val="28"/>
        </w:rPr>
        <w:t>市面</w:t>
      </w:r>
      <w:r>
        <w:rPr>
          <w:rFonts w:eastAsia="仿宋_GB2312"/>
          <w:sz w:val="28"/>
          <w:szCs w:val="28"/>
        </w:rPr>
        <w:t>上普通的胶带，可以做到</w:t>
      </w:r>
      <w:r>
        <w:rPr>
          <w:rFonts w:hint="eastAsia" w:eastAsia="仿宋_GB2312"/>
          <w:sz w:val="28"/>
          <w:szCs w:val="28"/>
        </w:rPr>
        <w:t>交联度更大，性能比前更优越，主要表现在：</w:t>
      </w:r>
      <w:r>
        <w:rPr>
          <w:rFonts w:hint="eastAsia" w:ascii="仿宋_GB2312" w:eastAsia="仿宋_GB2312"/>
          <w:sz w:val="28"/>
          <w:szCs w:val="28"/>
        </w:rPr>
        <w:t>①</w:t>
      </w:r>
      <w:r>
        <w:rPr>
          <w:rFonts w:hint="eastAsia" w:eastAsia="仿宋_GB2312"/>
          <w:sz w:val="28"/>
          <w:szCs w:val="28"/>
        </w:rPr>
        <w:t>产品</w:t>
      </w:r>
      <w:r>
        <w:rPr>
          <w:rFonts w:eastAsia="仿宋_GB2312"/>
          <w:sz w:val="28"/>
          <w:szCs w:val="28"/>
        </w:rPr>
        <w:t>耐电解液性能能在</w:t>
      </w:r>
      <w:r>
        <w:rPr>
          <w:rFonts w:hint="eastAsia" w:eastAsia="仿宋_GB2312"/>
          <w:sz w:val="28"/>
          <w:szCs w:val="28"/>
        </w:rPr>
        <w:t>85℃的</w:t>
      </w:r>
      <w:r>
        <w:rPr>
          <w:rFonts w:eastAsia="仿宋_GB2312"/>
          <w:sz w:val="28"/>
          <w:szCs w:val="28"/>
        </w:rPr>
        <w:t>工作温度下</w:t>
      </w:r>
      <w:r>
        <w:rPr>
          <w:rFonts w:hint="eastAsia" w:eastAsia="仿宋_GB2312"/>
          <w:sz w:val="28"/>
          <w:szCs w:val="28"/>
        </w:rPr>
        <w:t>保持24小时无脱落；</w:t>
      </w:r>
      <w:r>
        <w:rPr>
          <w:rFonts w:hint="eastAsia" w:ascii="宋体" w:hAnsi="宋体"/>
          <w:sz w:val="28"/>
          <w:szCs w:val="28"/>
        </w:rPr>
        <w:t>②</w:t>
      </w:r>
      <w:r>
        <w:rPr>
          <w:rFonts w:hint="eastAsia" w:eastAsia="仿宋_GB2312"/>
          <w:sz w:val="28"/>
          <w:szCs w:val="28"/>
        </w:rPr>
        <w:t>产品</w:t>
      </w:r>
      <w:r>
        <w:rPr>
          <w:rFonts w:eastAsia="仿宋_GB2312"/>
          <w:sz w:val="28"/>
          <w:szCs w:val="28"/>
        </w:rPr>
        <w:t>的</w:t>
      </w:r>
      <w:r>
        <w:rPr>
          <w:rFonts w:hint="eastAsia" w:eastAsia="仿宋_GB2312"/>
          <w:sz w:val="28"/>
          <w:szCs w:val="28"/>
        </w:rPr>
        <w:t>剥离</w:t>
      </w:r>
      <w:r>
        <w:rPr>
          <w:rFonts w:eastAsia="仿宋_GB2312"/>
          <w:sz w:val="28"/>
          <w:szCs w:val="28"/>
        </w:rPr>
        <w:t>力</w:t>
      </w:r>
      <w:r>
        <w:rPr>
          <w:rFonts w:hint="eastAsia" w:eastAsia="仿宋_GB2312"/>
          <w:sz w:val="28"/>
          <w:szCs w:val="28"/>
        </w:rPr>
        <w:t>较</w:t>
      </w:r>
      <w:r>
        <w:rPr>
          <w:rFonts w:eastAsia="仿宋_GB2312"/>
          <w:sz w:val="28"/>
          <w:szCs w:val="28"/>
        </w:rPr>
        <w:t>市面上</w:t>
      </w:r>
      <w:r>
        <w:rPr>
          <w:rFonts w:hint="eastAsia" w:eastAsia="仿宋_GB2312"/>
          <w:sz w:val="28"/>
          <w:szCs w:val="28"/>
        </w:rPr>
        <w:t>的4N/10mm提高</w:t>
      </w:r>
      <w:r>
        <w:rPr>
          <w:rFonts w:eastAsia="仿宋_GB2312"/>
          <w:sz w:val="28"/>
          <w:szCs w:val="28"/>
        </w:rPr>
        <w:t>到</w:t>
      </w:r>
      <w:r>
        <w:rPr>
          <w:rFonts w:hint="eastAsia" w:eastAsia="仿宋_GB2312"/>
          <w:sz w:val="28"/>
          <w:szCs w:val="28"/>
        </w:rPr>
        <w:t>5.5N/10mm；</w:t>
      </w:r>
      <w:r>
        <w:rPr>
          <w:rFonts w:hint="eastAsia" w:ascii="仿宋" w:hAnsi="仿宋" w:eastAsia="仿宋"/>
          <w:sz w:val="28"/>
          <w:szCs w:val="28"/>
        </w:rPr>
        <w:t>③</w:t>
      </w:r>
      <w:r>
        <w:rPr>
          <w:rFonts w:hint="eastAsia" w:eastAsia="仿宋_GB2312"/>
          <w:sz w:val="28"/>
          <w:szCs w:val="28"/>
        </w:rPr>
        <w:t>使用本产品</w:t>
      </w:r>
      <w:r>
        <w:rPr>
          <w:rFonts w:eastAsia="仿宋_GB2312"/>
          <w:sz w:val="28"/>
          <w:szCs w:val="28"/>
        </w:rPr>
        <w:t>后</w:t>
      </w:r>
      <w:r>
        <w:rPr>
          <w:rFonts w:hint="eastAsia" w:eastAsia="仿宋_GB2312"/>
          <w:sz w:val="28"/>
          <w:szCs w:val="28"/>
        </w:rPr>
        <w:t>可以使贴电池的平服性增加，</w:t>
      </w:r>
      <w:r>
        <w:rPr>
          <w:rFonts w:eastAsia="仿宋_GB2312"/>
          <w:sz w:val="28"/>
          <w:szCs w:val="28"/>
        </w:rPr>
        <w:t>减少返工率；</w:t>
      </w:r>
      <w:r>
        <w:rPr>
          <w:rFonts w:hint="eastAsia" w:ascii="宋体" w:hAnsi="宋体"/>
          <w:sz w:val="28"/>
          <w:szCs w:val="28"/>
        </w:rPr>
        <w:t>④</w:t>
      </w:r>
      <w:r>
        <w:rPr>
          <w:rFonts w:hint="eastAsia" w:eastAsia="仿宋_GB2312"/>
          <w:sz w:val="28"/>
          <w:szCs w:val="28"/>
        </w:rPr>
        <w:t>提高</w:t>
      </w:r>
      <w:r>
        <w:rPr>
          <w:rFonts w:eastAsia="仿宋_GB2312"/>
          <w:sz w:val="28"/>
          <w:szCs w:val="28"/>
        </w:rPr>
        <w:t>产品的合格率。</w:t>
      </w:r>
    </w:p>
    <w:p>
      <w:pPr>
        <w:spacing w:line="500" w:lineRule="exact"/>
        <w:ind w:firstLine="560" w:firstLineChars="200"/>
        <w:rPr>
          <w:rFonts w:eastAsia="仿宋_GB2312"/>
          <w:sz w:val="28"/>
          <w:szCs w:val="28"/>
        </w:rPr>
      </w:pPr>
      <w:r>
        <w:rPr>
          <w:rFonts w:hint="eastAsia" w:eastAsia="仿宋_GB2312"/>
          <w:sz w:val="28"/>
          <w:szCs w:val="28"/>
        </w:rPr>
        <w:t>本项目自动化水平较高且生产过程中无生产废水产生，仅产生生活污水，危废委托有资质单位处置，本项目</w:t>
      </w:r>
      <w:r>
        <w:rPr>
          <w:rFonts w:eastAsia="仿宋_GB2312"/>
          <w:sz w:val="28"/>
          <w:szCs w:val="28"/>
        </w:rPr>
        <w:t>废气采用</w:t>
      </w:r>
      <w:r>
        <w:rPr>
          <w:rFonts w:hint="eastAsia" w:eastAsia="仿宋_GB2312"/>
          <w:sz w:val="28"/>
          <w:szCs w:val="28"/>
        </w:rPr>
        <w:t>RTO燃烧</w:t>
      </w:r>
      <w:r>
        <w:rPr>
          <w:rFonts w:eastAsia="仿宋_GB2312"/>
          <w:sz w:val="28"/>
          <w:szCs w:val="28"/>
        </w:rPr>
        <w:t>装置</w:t>
      </w:r>
      <w:r>
        <w:rPr>
          <w:rFonts w:hint="eastAsia" w:eastAsia="仿宋_GB2312"/>
          <w:sz w:val="28"/>
          <w:szCs w:val="28"/>
        </w:rPr>
        <w:t>处置</w:t>
      </w:r>
      <w:r>
        <w:rPr>
          <w:rFonts w:eastAsia="仿宋_GB2312"/>
          <w:sz w:val="28"/>
          <w:szCs w:val="28"/>
        </w:rPr>
        <w:t>，</w:t>
      </w:r>
      <w:r>
        <w:rPr>
          <w:rFonts w:hint="eastAsia" w:eastAsia="仿宋_GB2312"/>
          <w:sz w:val="28"/>
          <w:szCs w:val="28"/>
        </w:rPr>
        <w:t>能净化彻底，效率高，能回收利用热量，</w:t>
      </w:r>
      <w:r>
        <w:rPr>
          <w:rFonts w:eastAsia="仿宋_GB2312"/>
          <w:sz w:val="28"/>
          <w:szCs w:val="28"/>
        </w:rPr>
        <w:t>属于目前国内</w:t>
      </w:r>
      <w:r>
        <w:rPr>
          <w:rFonts w:hint="eastAsia" w:eastAsia="仿宋_GB2312"/>
          <w:sz w:val="28"/>
          <w:szCs w:val="28"/>
        </w:rPr>
        <w:t>较成熟</w:t>
      </w:r>
      <w:r>
        <w:rPr>
          <w:rFonts w:eastAsia="仿宋_GB2312"/>
          <w:sz w:val="28"/>
          <w:szCs w:val="28"/>
        </w:rPr>
        <w:t>的废气处理工艺。</w:t>
      </w:r>
    </w:p>
    <w:p>
      <w:pPr>
        <w:pStyle w:val="3"/>
      </w:pPr>
      <w:bookmarkStart w:id="24" w:name="_Toc140565249"/>
      <w:r>
        <w:t>分析判定相关情况</w:t>
      </w:r>
      <w:bookmarkEnd w:id="23"/>
      <w:bookmarkEnd w:id="24"/>
    </w:p>
    <w:p>
      <w:pPr>
        <w:pStyle w:val="4"/>
        <w:keepLines w:val="0"/>
        <w:numPr>
          <w:ilvl w:val="2"/>
          <w:numId w:val="1"/>
        </w:numPr>
        <w:tabs>
          <w:tab w:val="left" w:pos="709"/>
        </w:tabs>
        <w:spacing w:before="156" w:beforeLines="50" w:after="156" w:afterLines="50" w:line="500" w:lineRule="exact"/>
        <w:ind w:left="0" w:firstLine="0"/>
        <w:rPr>
          <w:rFonts w:eastAsia="仿宋_GB2312"/>
          <w:sz w:val="28"/>
          <w:szCs w:val="28"/>
        </w:rPr>
      </w:pPr>
      <w:r>
        <w:rPr>
          <w:rFonts w:eastAsia="仿宋_GB2312"/>
          <w:sz w:val="28"/>
          <w:szCs w:val="28"/>
        </w:rPr>
        <w:t>产业政策和环保政策预判分析</w:t>
      </w:r>
    </w:p>
    <w:p>
      <w:pPr>
        <w:pStyle w:val="365"/>
        <w:tabs>
          <w:tab w:val="left" w:pos="1980"/>
        </w:tabs>
        <w:spacing w:line="500" w:lineRule="exact"/>
        <w:ind w:left="992" w:firstLine="0" w:firstLineChars="0"/>
        <w:jc w:val="center"/>
        <w:rPr>
          <w:rFonts w:eastAsia="仿宋_GB2312"/>
          <w:b/>
          <w:sz w:val="24"/>
        </w:rPr>
      </w:pPr>
    </w:p>
    <w:p>
      <w:pPr>
        <w:pStyle w:val="365"/>
        <w:tabs>
          <w:tab w:val="left" w:pos="1980"/>
        </w:tabs>
        <w:spacing w:line="500" w:lineRule="exact"/>
        <w:ind w:left="992" w:firstLine="0" w:firstLineChars="0"/>
        <w:jc w:val="center"/>
        <w:rPr>
          <w:rFonts w:eastAsia="仿宋_GB2312"/>
          <w:b/>
          <w:sz w:val="24"/>
        </w:rPr>
      </w:pPr>
    </w:p>
    <w:p>
      <w:pPr>
        <w:pStyle w:val="365"/>
        <w:tabs>
          <w:tab w:val="left" w:pos="1980"/>
        </w:tabs>
        <w:spacing w:line="500" w:lineRule="exact"/>
        <w:ind w:left="992" w:firstLine="0" w:firstLineChars="0"/>
        <w:jc w:val="center"/>
        <w:rPr>
          <w:rFonts w:eastAsia="仿宋_GB2312"/>
          <w:b/>
          <w:sz w:val="24"/>
        </w:rPr>
      </w:pPr>
      <w:r>
        <w:rPr>
          <w:rFonts w:eastAsia="仿宋_GB2312"/>
          <w:b/>
          <w:sz w:val="24"/>
        </w:rPr>
        <w:t>表1.3-1  本项目产业政策和环保政策预判情况</w:t>
      </w:r>
    </w:p>
    <w:tbl>
      <w:tblPr>
        <w:tblStyle w:val="87"/>
        <w:tblW w:w="503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9"/>
        <w:gridCol w:w="674"/>
        <w:gridCol w:w="6136"/>
        <w:gridCol w:w="1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2"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ascii="仿宋" w:hAnsi="仿宋" w:eastAsia="仿宋" w:cs="仿宋"/>
                <w:bCs/>
                <w:szCs w:val="21"/>
              </w:rPr>
              <w:t>序号</w:t>
            </w:r>
          </w:p>
        </w:tc>
        <w:tc>
          <w:tcPr>
            <w:tcW w:w="403"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ascii="仿宋" w:hAnsi="仿宋" w:eastAsia="仿宋" w:cs="仿宋"/>
                <w:bCs/>
                <w:szCs w:val="21"/>
              </w:rPr>
              <w:t>判断类型</w:t>
            </w:r>
          </w:p>
        </w:tc>
        <w:tc>
          <w:tcPr>
            <w:tcW w:w="3667"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ascii="仿宋" w:hAnsi="仿宋" w:eastAsia="仿宋" w:cs="仿宋"/>
                <w:bCs/>
                <w:szCs w:val="21"/>
              </w:rPr>
              <w:t>对照简析</w:t>
            </w:r>
          </w:p>
        </w:tc>
        <w:tc>
          <w:tcPr>
            <w:tcW w:w="608"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ascii="仿宋" w:hAnsi="仿宋" w:eastAsia="仿宋" w:cs="仿宋"/>
                <w:bCs/>
                <w:szCs w:val="21"/>
              </w:rPr>
              <w:t>本项目是否满足要求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2" w:type="pct"/>
            <w:vMerge w:val="restart"/>
            <w:shd w:val="clear" w:color="auto" w:fill="auto"/>
            <w:tcMar>
              <w:left w:w="0" w:type="dxa"/>
              <w:right w:w="0" w:type="dxa"/>
            </w:tcMar>
            <w:vAlign w:val="center"/>
          </w:tcPr>
          <w:p>
            <w:pPr>
              <w:jc w:val="center"/>
              <w:rPr>
                <w:rFonts w:eastAsia="仿宋_GB2312"/>
                <w:kern w:val="0"/>
                <w:szCs w:val="20"/>
              </w:rPr>
            </w:pPr>
            <w:r>
              <w:rPr>
                <w:rFonts w:eastAsia="仿宋_GB2312"/>
                <w:kern w:val="0"/>
                <w:szCs w:val="20"/>
              </w:rPr>
              <w:t>1</w:t>
            </w:r>
          </w:p>
        </w:tc>
        <w:tc>
          <w:tcPr>
            <w:tcW w:w="403" w:type="pct"/>
            <w:vMerge w:val="restar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ascii="仿宋" w:hAnsi="仿宋" w:eastAsia="仿宋" w:cs="仿宋"/>
                <w:bCs/>
                <w:szCs w:val="21"/>
              </w:rPr>
              <w:t>产业政策</w:t>
            </w:r>
          </w:p>
        </w:tc>
        <w:tc>
          <w:tcPr>
            <w:tcW w:w="3667"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ascii="仿宋" w:hAnsi="仿宋" w:eastAsia="仿宋" w:cs="仿宋"/>
                <w:bCs/>
                <w:szCs w:val="21"/>
              </w:rPr>
              <w:t>本项目不属于《产业结构调整指导目录（2019年本）》及《国家发展改革委关于修改的决定》2021年第49号令中的限制和淘汰类项目。</w:t>
            </w:r>
          </w:p>
        </w:tc>
        <w:tc>
          <w:tcPr>
            <w:tcW w:w="608" w:type="pct"/>
            <w:shd w:val="clear" w:color="auto" w:fill="auto"/>
            <w:tcMar>
              <w:left w:w="0" w:type="dxa"/>
              <w:right w:w="0" w:type="dxa"/>
            </w:tcMar>
            <w:vAlign w:val="center"/>
          </w:tcPr>
          <w:p>
            <w:pPr>
              <w:pStyle w:val="124"/>
              <w:spacing w:line="240" w:lineRule="exact"/>
              <w:rPr>
                <w:rFonts w:ascii="仿宋" w:hAnsi="仿宋" w:eastAsia="仿宋" w:cs="仿宋"/>
                <w:bCs/>
                <w:szCs w:val="21"/>
              </w:rPr>
            </w:pPr>
            <w:r>
              <w:rPr>
                <w:rFonts w:ascii="仿宋" w:hAnsi="仿宋" w:eastAsia="仿宋" w:cs="仿宋"/>
                <w:bCs/>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2" w:type="pct"/>
            <w:vMerge w:val="continue"/>
            <w:shd w:val="clear" w:color="auto" w:fill="auto"/>
            <w:tcMar>
              <w:left w:w="0" w:type="dxa"/>
              <w:right w:w="0" w:type="dxa"/>
            </w:tcMar>
            <w:vAlign w:val="center"/>
          </w:tcPr>
          <w:p>
            <w:pPr>
              <w:pStyle w:val="124"/>
              <w:rPr>
                <w:rFonts w:ascii="Times New Roman"/>
              </w:rPr>
            </w:pPr>
          </w:p>
        </w:tc>
        <w:tc>
          <w:tcPr>
            <w:tcW w:w="403"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c>
          <w:tcPr>
            <w:tcW w:w="3667"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ascii="仿宋" w:hAnsi="仿宋" w:eastAsia="仿宋" w:cs="仿宋"/>
                <w:bCs/>
                <w:szCs w:val="21"/>
              </w:rPr>
              <w:t>本项目不属于《江苏省江苏省产业结构调整限制、淘汰和禁止目录</w:t>
            </w:r>
            <w:r>
              <w:rPr>
                <w:rFonts w:hint="eastAsia" w:ascii="仿宋" w:hAnsi="仿宋" w:eastAsia="仿宋" w:cs="仿宋"/>
                <w:bCs/>
                <w:szCs w:val="21"/>
              </w:rPr>
              <w:t>（2</w:t>
            </w:r>
            <w:r>
              <w:rPr>
                <w:rFonts w:ascii="仿宋" w:hAnsi="仿宋" w:eastAsia="仿宋" w:cs="仿宋"/>
                <w:bCs/>
                <w:szCs w:val="21"/>
              </w:rPr>
              <w:t>018</w:t>
            </w:r>
            <w:r>
              <w:rPr>
                <w:rFonts w:hint="eastAsia" w:ascii="仿宋" w:hAnsi="仿宋" w:eastAsia="仿宋" w:cs="仿宋"/>
                <w:bCs/>
                <w:szCs w:val="21"/>
              </w:rPr>
              <w:t>年本</w:t>
            </w:r>
            <w:r>
              <w:rPr>
                <w:rFonts w:ascii="仿宋" w:hAnsi="仿宋" w:eastAsia="仿宋" w:cs="仿宋"/>
                <w:bCs/>
                <w:szCs w:val="21"/>
              </w:rPr>
              <w:t>）</w:t>
            </w:r>
            <w:r>
              <w:rPr>
                <w:rFonts w:hint="eastAsia" w:ascii="仿宋" w:hAnsi="仿宋" w:eastAsia="仿宋" w:cs="仿宋"/>
                <w:bCs/>
                <w:szCs w:val="21"/>
              </w:rPr>
              <w:t>》</w:t>
            </w:r>
            <w:r>
              <w:rPr>
                <w:rFonts w:ascii="仿宋" w:hAnsi="仿宋" w:eastAsia="仿宋" w:cs="仿宋"/>
                <w:bCs/>
                <w:szCs w:val="21"/>
              </w:rPr>
              <w:t>中的限制类和淘汰类。</w:t>
            </w:r>
          </w:p>
        </w:tc>
        <w:tc>
          <w:tcPr>
            <w:tcW w:w="608"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ascii="仿宋" w:hAnsi="仿宋" w:eastAsia="仿宋" w:cs="仿宋"/>
                <w:bCs/>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2" w:type="pct"/>
            <w:vMerge w:val="continue"/>
            <w:shd w:val="clear" w:color="auto" w:fill="auto"/>
            <w:tcMar>
              <w:left w:w="0" w:type="dxa"/>
              <w:right w:w="0" w:type="dxa"/>
            </w:tcMar>
            <w:vAlign w:val="center"/>
          </w:tcPr>
          <w:p>
            <w:pPr>
              <w:pStyle w:val="124"/>
              <w:rPr>
                <w:rFonts w:ascii="Times New Roman"/>
              </w:rPr>
            </w:pPr>
          </w:p>
        </w:tc>
        <w:tc>
          <w:tcPr>
            <w:tcW w:w="403"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c>
          <w:tcPr>
            <w:tcW w:w="3667"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ascii="仿宋" w:hAnsi="仿宋" w:eastAsia="仿宋" w:cs="仿宋"/>
                <w:bCs/>
                <w:szCs w:val="21"/>
              </w:rPr>
              <w:t>本项目已取得</w:t>
            </w:r>
            <w:r>
              <w:rPr>
                <w:rFonts w:hint="eastAsia" w:ascii="仿宋" w:hAnsi="仿宋" w:eastAsia="仿宋" w:cs="仿宋"/>
                <w:bCs/>
                <w:szCs w:val="21"/>
              </w:rPr>
              <w:t>常州市金坛区发展</w:t>
            </w:r>
            <w:r>
              <w:rPr>
                <w:rFonts w:ascii="仿宋" w:hAnsi="仿宋" w:eastAsia="仿宋" w:cs="仿宋"/>
                <w:bCs/>
                <w:szCs w:val="21"/>
              </w:rPr>
              <w:t>和</w:t>
            </w:r>
            <w:r>
              <w:rPr>
                <w:rFonts w:hint="eastAsia" w:ascii="仿宋" w:hAnsi="仿宋" w:eastAsia="仿宋" w:cs="仿宋"/>
                <w:bCs/>
                <w:szCs w:val="21"/>
              </w:rPr>
              <w:t>改革局</w:t>
            </w:r>
            <w:r>
              <w:rPr>
                <w:rFonts w:ascii="仿宋" w:hAnsi="仿宋" w:eastAsia="仿宋" w:cs="仿宋"/>
                <w:bCs/>
                <w:szCs w:val="21"/>
              </w:rPr>
              <w:t>出具的《</w:t>
            </w:r>
            <w:r>
              <w:rPr>
                <w:rFonts w:hint="eastAsia" w:ascii="仿宋" w:hAnsi="仿宋" w:eastAsia="仿宋" w:cs="仿宋"/>
                <w:bCs/>
                <w:szCs w:val="21"/>
              </w:rPr>
              <w:t>江苏省投资项目</w:t>
            </w:r>
            <w:r>
              <w:rPr>
                <w:rFonts w:ascii="仿宋" w:hAnsi="仿宋" w:eastAsia="仿宋" w:cs="仿宋"/>
                <w:bCs/>
                <w:szCs w:val="21"/>
              </w:rPr>
              <w:t>备案</w:t>
            </w:r>
            <w:r>
              <w:rPr>
                <w:rFonts w:hint="eastAsia" w:ascii="仿宋" w:hAnsi="仿宋" w:eastAsia="仿宋" w:cs="仿宋"/>
                <w:bCs/>
                <w:szCs w:val="21"/>
              </w:rPr>
              <w:t>证</w:t>
            </w:r>
            <w:r>
              <w:rPr>
                <w:rFonts w:ascii="仿宋" w:hAnsi="仿宋" w:eastAsia="仿宋" w:cs="仿宋"/>
                <w:bCs/>
                <w:szCs w:val="21"/>
              </w:rPr>
              <w:t>》（</w:t>
            </w:r>
            <w:r>
              <w:rPr>
                <w:rFonts w:hint="eastAsia" w:ascii="仿宋" w:hAnsi="仿宋" w:eastAsia="仿宋" w:cs="仿宋"/>
                <w:bCs/>
                <w:szCs w:val="21"/>
              </w:rPr>
              <w:t>坛</w:t>
            </w:r>
            <w:r>
              <w:rPr>
                <w:rFonts w:ascii="仿宋" w:hAnsi="仿宋" w:eastAsia="仿宋" w:cs="仿宋"/>
                <w:bCs/>
                <w:szCs w:val="21"/>
              </w:rPr>
              <w:t>发改备</w:t>
            </w:r>
            <w:r>
              <w:rPr>
                <w:rFonts w:hint="eastAsia" w:ascii="仿宋" w:hAnsi="仿宋" w:eastAsia="仿宋" w:cs="仿宋"/>
                <w:bCs/>
                <w:szCs w:val="21"/>
              </w:rPr>
              <w:t>〔2023〕</w:t>
            </w:r>
            <w:r>
              <w:rPr>
                <w:rFonts w:ascii="仿宋" w:hAnsi="仿宋" w:eastAsia="仿宋" w:cs="仿宋"/>
                <w:bCs/>
                <w:szCs w:val="21"/>
              </w:rPr>
              <w:t>199号）。</w:t>
            </w:r>
          </w:p>
        </w:tc>
        <w:tc>
          <w:tcPr>
            <w:tcW w:w="608"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ascii="仿宋" w:hAnsi="仿宋" w:eastAsia="仿宋" w:cs="仿宋"/>
                <w:bCs/>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2" w:type="pct"/>
            <w:vMerge w:val="continue"/>
            <w:shd w:val="clear" w:color="auto" w:fill="auto"/>
            <w:tcMar>
              <w:left w:w="0" w:type="dxa"/>
              <w:right w:w="0" w:type="dxa"/>
            </w:tcMar>
            <w:vAlign w:val="center"/>
          </w:tcPr>
          <w:p>
            <w:pPr>
              <w:pStyle w:val="124"/>
              <w:rPr>
                <w:rFonts w:ascii="Times New Roman"/>
              </w:rPr>
            </w:pPr>
          </w:p>
        </w:tc>
        <w:tc>
          <w:tcPr>
            <w:tcW w:w="403"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c>
          <w:tcPr>
            <w:tcW w:w="3667"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ascii="仿宋" w:hAnsi="仿宋" w:eastAsia="仿宋" w:cs="仿宋"/>
                <w:bCs/>
                <w:szCs w:val="21"/>
              </w:rPr>
              <w:t>本项目位于江苏省金坛区金城镇工业园区（北区），《江苏省金坛区金城镇工业园区（北区）发展规划环境影响报告书》已于20</w:t>
            </w:r>
            <w:r>
              <w:rPr>
                <w:rFonts w:hint="eastAsia" w:ascii="仿宋" w:hAnsi="仿宋" w:eastAsia="仿宋" w:cs="仿宋"/>
                <w:bCs/>
                <w:szCs w:val="21"/>
              </w:rPr>
              <w:t>1</w:t>
            </w:r>
            <w:r>
              <w:rPr>
                <w:rFonts w:ascii="仿宋" w:hAnsi="仿宋" w:eastAsia="仿宋" w:cs="仿宋"/>
                <w:bCs/>
                <w:szCs w:val="21"/>
              </w:rPr>
              <w:t>7年取得</w:t>
            </w:r>
            <w:r>
              <w:rPr>
                <w:rFonts w:hint="eastAsia" w:ascii="仿宋" w:hAnsi="仿宋" w:eastAsia="仿宋" w:cs="仿宋"/>
                <w:bCs/>
                <w:szCs w:val="21"/>
              </w:rPr>
              <w:t>常州市生态</w:t>
            </w:r>
            <w:r>
              <w:rPr>
                <w:rFonts w:ascii="仿宋" w:hAnsi="仿宋" w:eastAsia="仿宋" w:cs="仿宋"/>
                <w:bCs/>
                <w:szCs w:val="21"/>
              </w:rPr>
              <w:t>环境局</w:t>
            </w:r>
            <w:r>
              <w:rPr>
                <w:rFonts w:hint="eastAsia" w:ascii="仿宋" w:hAnsi="仿宋" w:eastAsia="仿宋" w:cs="仿宋"/>
                <w:bCs/>
                <w:szCs w:val="21"/>
              </w:rPr>
              <w:t>的</w:t>
            </w:r>
            <w:r>
              <w:rPr>
                <w:rFonts w:ascii="仿宋" w:hAnsi="仿宋" w:eastAsia="仿宋" w:cs="仿宋"/>
                <w:bCs/>
                <w:szCs w:val="21"/>
              </w:rPr>
              <w:t>批复意见（坛环服复〔2017〕24号）。</w:t>
            </w:r>
          </w:p>
        </w:tc>
        <w:tc>
          <w:tcPr>
            <w:tcW w:w="608"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ascii="仿宋" w:hAnsi="仿宋" w:eastAsia="仿宋" w:cs="仿宋"/>
                <w:bCs/>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2" w:type="pct"/>
            <w:vMerge w:val="continue"/>
            <w:shd w:val="clear" w:color="auto" w:fill="auto"/>
            <w:tcMar>
              <w:left w:w="0" w:type="dxa"/>
              <w:right w:w="0" w:type="dxa"/>
            </w:tcMar>
            <w:vAlign w:val="center"/>
          </w:tcPr>
          <w:p>
            <w:pPr>
              <w:pStyle w:val="124"/>
              <w:rPr>
                <w:rFonts w:ascii="Times New Roman"/>
              </w:rPr>
            </w:pPr>
          </w:p>
        </w:tc>
        <w:tc>
          <w:tcPr>
            <w:tcW w:w="403"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c>
          <w:tcPr>
            <w:tcW w:w="3667"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本项目为塑料</w:t>
            </w:r>
            <w:r>
              <w:rPr>
                <w:rFonts w:ascii="仿宋" w:hAnsi="仿宋" w:eastAsia="仿宋" w:cs="仿宋"/>
                <w:bCs/>
                <w:szCs w:val="21"/>
              </w:rPr>
              <w:t>零件</w:t>
            </w:r>
            <w:r>
              <w:rPr>
                <w:rFonts w:hint="eastAsia" w:ascii="仿宋" w:hAnsi="仿宋" w:eastAsia="仿宋" w:cs="仿宋"/>
                <w:bCs/>
                <w:szCs w:val="21"/>
              </w:rPr>
              <w:t>制造业，不属于《江苏省“两高”项目管理目录》中的行业。因此，本项目符合《关于坚决遏制“两高”项目盲目发展的实施意见》（征求意见稿）的有关规定。</w:t>
            </w:r>
          </w:p>
        </w:tc>
        <w:tc>
          <w:tcPr>
            <w:tcW w:w="608"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322" w:type="pct"/>
            <w:vMerge w:val="restart"/>
            <w:shd w:val="clear" w:color="auto" w:fill="auto"/>
            <w:tcMar>
              <w:left w:w="0" w:type="dxa"/>
              <w:right w:w="0" w:type="dxa"/>
            </w:tcMar>
            <w:vAlign w:val="center"/>
          </w:tcPr>
          <w:p>
            <w:pPr>
              <w:pStyle w:val="124"/>
              <w:rPr>
                <w:rFonts w:ascii="Times New Roman"/>
              </w:rPr>
            </w:pPr>
            <w:r>
              <w:rPr>
                <w:rFonts w:ascii="Times New Roman"/>
              </w:rPr>
              <w:t>2</w:t>
            </w:r>
          </w:p>
        </w:tc>
        <w:tc>
          <w:tcPr>
            <w:tcW w:w="403" w:type="pct"/>
            <w:vMerge w:val="restar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ascii="仿宋" w:hAnsi="仿宋" w:eastAsia="仿宋" w:cs="仿宋"/>
                <w:bCs/>
                <w:szCs w:val="21"/>
              </w:rPr>
              <w:t>环保政策</w:t>
            </w:r>
          </w:p>
        </w:tc>
        <w:tc>
          <w:tcPr>
            <w:tcW w:w="3667"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ascii="仿宋" w:hAnsi="仿宋" w:eastAsia="仿宋" w:cs="仿宋"/>
                <w:bCs/>
                <w:szCs w:val="21"/>
              </w:rPr>
              <w:t>本项目位于太湖流域三级保护区内，不排放含氮、磷的生产废水，因此符合《太湖流域管理条例》(中华人民共和国国务院令第604号)和《江苏省太湖水污染防治条例》相关规定。</w:t>
            </w:r>
          </w:p>
        </w:tc>
        <w:tc>
          <w:tcPr>
            <w:tcW w:w="608"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ascii="仿宋" w:hAnsi="仿宋" w:eastAsia="仿宋" w:cs="仿宋"/>
                <w:bCs/>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2" w:type="pct"/>
            <w:vMerge w:val="continue"/>
            <w:shd w:val="clear" w:color="auto" w:fill="auto"/>
            <w:tcMar>
              <w:left w:w="0" w:type="dxa"/>
              <w:right w:w="0" w:type="dxa"/>
            </w:tcMar>
            <w:vAlign w:val="center"/>
          </w:tcPr>
          <w:p>
            <w:pPr>
              <w:pStyle w:val="124"/>
              <w:rPr>
                <w:rFonts w:ascii="Times New Roman"/>
              </w:rPr>
            </w:pPr>
          </w:p>
        </w:tc>
        <w:tc>
          <w:tcPr>
            <w:tcW w:w="403"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c>
          <w:tcPr>
            <w:tcW w:w="3667" w:type="pct"/>
            <w:shd w:val="clear" w:color="auto" w:fill="auto"/>
            <w:tcMar>
              <w:left w:w="0" w:type="dxa"/>
              <w:right w:w="0" w:type="dxa"/>
            </w:tcMar>
            <w:vAlign w:val="center"/>
          </w:tcPr>
          <w:p>
            <w:pPr>
              <w:adjustRightInd w:val="0"/>
              <w:snapToGrid w:val="0"/>
              <w:spacing w:line="300" w:lineRule="exact"/>
              <w:jc w:val="center"/>
              <w:rPr>
                <w:rFonts w:ascii="仿宋" w:hAnsi="仿宋" w:eastAsia="仿宋" w:cs="仿宋"/>
                <w:bCs/>
                <w:szCs w:val="21"/>
              </w:rPr>
            </w:pPr>
            <w:r>
              <w:rPr>
                <w:rFonts w:ascii="仿宋" w:hAnsi="仿宋" w:eastAsia="仿宋"/>
              </w:rPr>
              <w:t>本项目不排放含氮、磷生产废水。本项目</w:t>
            </w:r>
            <w:r>
              <w:rPr>
                <w:rFonts w:hint="eastAsia" w:ascii="仿宋" w:hAnsi="仿宋" w:eastAsia="仿宋"/>
              </w:rPr>
              <w:t>生活污水接管至金坛第二污水处理厂集中处理。本项目车间一有机废气经RTO处理</w:t>
            </w:r>
            <w:r>
              <w:rPr>
                <w:rFonts w:ascii="仿宋" w:hAnsi="仿宋" w:eastAsia="仿宋"/>
              </w:rPr>
              <w:t>装置</w:t>
            </w:r>
            <w:r>
              <w:rPr>
                <w:rFonts w:hint="eastAsia" w:ascii="仿宋" w:hAnsi="仿宋" w:eastAsia="仿宋"/>
              </w:rPr>
              <w:t>装置处理后经一根15米排气筒（1#）外排。</w:t>
            </w:r>
            <w:r>
              <w:rPr>
                <w:rFonts w:hint="eastAsia" w:ascii="仿宋" w:hAnsi="仿宋" w:eastAsia="仿宋" w:cs="仿宋"/>
                <w:bCs/>
                <w:szCs w:val="21"/>
              </w:rPr>
              <w:t>因此</w:t>
            </w:r>
            <w:r>
              <w:rPr>
                <w:rFonts w:ascii="仿宋" w:hAnsi="仿宋" w:eastAsia="仿宋" w:cs="仿宋"/>
                <w:bCs/>
                <w:szCs w:val="21"/>
              </w:rPr>
              <w:t>符合《中共江苏省委江苏省人民政府关于印发“两减六治三提升”专项行动方案的通知》（苏发[2016]47号）和《省政府办公厅关于印发江苏省“两减六治三提升”专项行动实施方案的通知》（苏政办发[2017]30号）要求。</w:t>
            </w:r>
          </w:p>
        </w:tc>
        <w:tc>
          <w:tcPr>
            <w:tcW w:w="608"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ascii="仿宋" w:hAnsi="仿宋" w:eastAsia="仿宋" w:cs="仿宋"/>
                <w:bCs/>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2" w:type="pct"/>
            <w:vMerge w:val="continue"/>
            <w:shd w:val="clear" w:color="auto" w:fill="auto"/>
            <w:tcMar>
              <w:left w:w="0" w:type="dxa"/>
              <w:right w:w="0" w:type="dxa"/>
            </w:tcMar>
            <w:vAlign w:val="center"/>
          </w:tcPr>
          <w:p>
            <w:pPr>
              <w:pStyle w:val="124"/>
              <w:rPr>
                <w:rFonts w:ascii="Times New Roman"/>
              </w:rPr>
            </w:pPr>
          </w:p>
        </w:tc>
        <w:tc>
          <w:tcPr>
            <w:tcW w:w="403"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c>
          <w:tcPr>
            <w:tcW w:w="3667"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rPr>
              <w:t>根据关于印发《长江经济带发展负面清单指南》（试行，2022年版）的通知（长江办〔2022〕7号）的通知，</w:t>
            </w:r>
            <w:r>
              <w:rPr>
                <w:rFonts w:ascii="仿宋" w:hAnsi="仿宋" w:eastAsia="仿宋" w:cs="仿宋"/>
                <w:bCs/>
                <w:szCs w:val="21"/>
              </w:rPr>
              <w:t>（1）</w:t>
            </w:r>
            <w:r>
              <w:rPr>
                <w:rFonts w:hint="eastAsia" w:ascii="仿宋" w:hAnsi="仿宋" w:eastAsia="仿宋" w:cs="仿宋"/>
                <w:bCs/>
                <w:szCs w:val="21"/>
              </w:rPr>
              <w:t>禁止建设不符合全国和省级港口布局规划以及港口总体规划的码头项目，禁止建设不符合《长江干线过江通道布局规划》的长江通道项目</w:t>
            </w:r>
            <w:r>
              <w:rPr>
                <w:rFonts w:ascii="仿宋" w:hAnsi="仿宋" w:eastAsia="仿宋" w:cs="仿宋"/>
                <w:bCs/>
                <w:szCs w:val="21"/>
              </w:rPr>
              <w:t>。</w:t>
            </w:r>
            <w:r>
              <w:rPr>
                <w:rFonts w:hint="eastAsia" w:ascii="仿宋" w:hAnsi="仿宋" w:eastAsia="仿宋" w:cs="仿宋"/>
                <w:bCs/>
                <w:szCs w:val="21"/>
              </w:rPr>
              <w:t>（2）禁止在自然保护区核心区……资源保护无关的项目。（3）禁止在饮用水水源一级……新建、改建、扩建排放污染物的投资建设项目。（4）禁止在水产……功能定位的投资建设项目。……（12）法律法规及相关政策文件有更加严格规定的从其规定。</w:t>
            </w:r>
          </w:p>
          <w:p>
            <w:pPr>
              <w:spacing w:line="240" w:lineRule="exact"/>
              <w:jc w:val="center"/>
              <w:rPr>
                <w:rFonts w:ascii="仿宋" w:hAnsi="仿宋" w:eastAsia="仿宋"/>
              </w:rPr>
            </w:pPr>
            <w:r>
              <w:rPr>
                <w:rFonts w:hint="eastAsia" w:ascii="仿宋" w:hAnsi="仿宋" w:eastAsia="仿宋"/>
              </w:rPr>
              <w:t>因此，</w:t>
            </w:r>
            <w:r>
              <w:rPr>
                <w:rFonts w:ascii="仿宋" w:hAnsi="仿宋" w:eastAsia="仿宋"/>
              </w:rPr>
              <w:t>本项目不属于《长江经济带发展负面清单指南》（试行，2022年版）及《长江经济带发展负面清单指南》（试行，2022年版）》江苏省实施细则条款中的禁止类项目</w:t>
            </w:r>
          </w:p>
        </w:tc>
        <w:tc>
          <w:tcPr>
            <w:tcW w:w="608"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ascii="仿宋" w:hAnsi="仿宋" w:eastAsia="仿宋" w:cs="仿宋"/>
                <w:bCs/>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2" w:type="pct"/>
            <w:vMerge w:val="continue"/>
            <w:shd w:val="clear" w:color="auto" w:fill="auto"/>
            <w:tcMar>
              <w:left w:w="0" w:type="dxa"/>
              <w:right w:w="0" w:type="dxa"/>
            </w:tcMar>
            <w:vAlign w:val="center"/>
          </w:tcPr>
          <w:p>
            <w:pPr>
              <w:pStyle w:val="124"/>
              <w:rPr>
                <w:rFonts w:ascii="Times New Roman"/>
              </w:rPr>
            </w:pPr>
          </w:p>
        </w:tc>
        <w:tc>
          <w:tcPr>
            <w:tcW w:w="403"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c>
          <w:tcPr>
            <w:tcW w:w="3667"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ascii="仿宋" w:hAnsi="仿宋" w:eastAsia="仿宋" w:cs="仿宋"/>
                <w:bCs/>
                <w:szCs w:val="21"/>
              </w:rPr>
              <w:t>对照</w:t>
            </w:r>
            <w:r>
              <w:rPr>
                <w:rFonts w:ascii="仿宋" w:hAnsi="仿宋" w:eastAsia="仿宋"/>
                <w:szCs w:val="20"/>
              </w:rPr>
              <w:t>《省生态环境厅关于进一步做好建设项目环评审批工作的通知》（苏环办[2019]36号）</w:t>
            </w:r>
            <w:r>
              <w:rPr>
                <w:rFonts w:ascii="仿宋" w:hAnsi="仿宋" w:eastAsia="仿宋" w:cs="仿宋"/>
                <w:bCs/>
                <w:szCs w:val="21"/>
              </w:rPr>
              <w:t>，本项目</w:t>
            </w:r>
            <w:r>
              <w:rPr>
                <w:rFonts w:hint="eastAsia" w:ascii="仿宋" w:hAnsi="仿宋" w:eastAsia="仿宋" w:cs="仿宋"/>
                <w:bCs/>
                <w:szCs w:val="21"/>
              </w:rPr>
              <w:t>符合要求，具体见对照见表2.7-7</w:t>
            </w:r>
            <w:r>
              <w:rPr>
                <w:rFonts w:ascii="仿宋" w:hAnsi="仿宋" w:eastAsia="仿宋" w:cs="仿宋"/>
                <w:bCs/>
                <w:szCs w:val="21"/>
              </w:rPr>
              <w:t>。</w:t>
            </w:r>
          </w:p>
        </w:tc>
        <w:tc>
          <w:tcPr>
            <w:tcW w:w="608"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ascii="仿宋" w:hAnsi="仿宋" w:eastAsia="仿宋" w:cs="仿宋"/>
                <w:bCs/>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2" w:type="pct"/>
            <w:vMerge w:val="continue"/>
            <w:shd w:val="clear" w:color="auto" w:fill="auto"/>
            <w:tcMar>
              <w:left w:w="0" w:type="dxa"/>
              <w:right w:w="0" w:type="dxa"/>
            </w:tcMar>
            <w:vAlign w:val="center"/>
          </w:tcPr>
          <w:p>
            <w:pPr>
              <w:pStyle w:val="124"/>
              <w:rPr>
                <w:rFonts w:ascii="Times New Roman"/>
              </w:rPr>
            </w:pPr>
          </w:p>
        </w:tc>
        <w:tc>
          <w:tcPr>
            <w:tcW w:w="403"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c>
          <w:tcPr>
            <w:tcW w:w="3667"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对照《关于印发常州市挥发性有机物清洁原料替代工作方案的通知》（常污防攻坚指办[2021]32号），本项目使用的胶粘剂符合《胶粘剂挥发性有机化合物限量》（GB33372-2020）中规定的溶剂型胶粘剂要求，且已取得不可替代性论证</w:t>
            </w:r>
            <w:r>
              <w:rPr>
                <w:rFonts w:ascii="仿宋" w:hAnsi="仿宋" w:eastAsia="仿宋" w:cs="仿宋"/>
                <w:bCs/>
                <w:szCs w:val="21"/>
              </w:rPr>
              <w:t>。</w:t>
            </w:r>
          </w:p>
        </w:tc>
        <w:tc>
          <w:tcPr>
            <w:tcW w:w="608"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ascii="仿宋" w:hAnsi="仿宋" w:eastAsia="仿宋" w:cs="仿宋"/>
                <w:bCs/>
                <w:szCs w:val="21"/>
              </w:rPr>
              <w:t>是</w:t>
            </w:r>
          </w:p>
        </w:tc>
      </w:tr>
    </w:tbl>
    <w:p>
      <w:pPr>
        <w:pStyle w:val="4"/>
        <w:keepLines w:val="0"/>
        <w:numPr>
          <w:ilvl w:val="2"/>
          <w:numId w:val="1"/>
        </w:numPr>
        <w:tabs>
          <w:tab w:val="left" w:pos="709"/>
        </w:tabs>
        <w:spacing w:before="0" w:after="0" w:line="500" w:lineRule="exact"/>
        <w:ind w:left="0" w:firstLine="0"/>
        <w:rPr>
          <w:rFonts w:eastAsia="仿宋_GB2312"/>
          <w:sz w:val="28"/>
          <w:szCs w:val="28"/>
        </w:rPr>
      </w:pPr>
      <w:r>
        <w:rPr>
          <w:rFonts w:eastAsia="仿宋_GB2312"/>
          <w:sz w:val="28"/>
          <w:szCs w:val="28"/>
        </w:rPr>
        <w:t>规划相符性预判分析</w:t>
      </w:r>
    </w:p>
    <w:p>
      <w:pPr>
        <w:spacing w:line="500" w:lineRule="exact"/>
        <w:ind w:firstLine="560" w:firstLineChars="200"/>
        <w:rPr>
          <w:rFonts w:eastAsia="仿宋_GB2312"/>
          <w:sz w:val="28"/>
          <w:szCs w:val="28"/>
        </w:rPr>
      </w:pPr>
      <w:r>
        <w:rPr>
          <w:rFonts w:eastAsia="仿宋_GB2312"/>
          <w:sz w:val="28"/>
          <w:szCs w:val="28"/>
        </w:rPr>
        <w:t>本项目规划相符性预判情况见下表。</w:t>
      </w:r>
    </w:p>
    <w:p>
      <w:pPr>
        <w:spacing w:line="500" w:lineRule="exact"/>
        <w:ind w:firstLine="482" w:firstLineChars="200"/>
        <w:jc w:val="center"/>
        <w:rPr>
          <w:rFonts w:eastAsia="仿宋_GB2312"/>
          <w:b/>
          <w:sz w:val="24"/>
        </w:rPr>
      </w:pPr>
    </w:p>
    <w:p>
      <w:pPr>
        <w:spacing w:line="500" w:lineRule="exact"/>
        <w:ind w:firstLine="482" w:firstLineChars="200"/>
        <w:jc w:val="center"/>
        <w:rPr>
          <w:rFonts w:eastAsia="仿宋_GB2312"/>
          <w:b/>
          <w:sz w:val="24"/>
        </w:rPr>
      </w:pPr>
    </w:p>
    <w:p>
      <w:pPr>
        <w:spacing w:line="500" w:lineRule="exact"/>
        <w:ind w:firstLine="482" w:firstLineChars="200"/>
        <w:jc w:val="center"/>
        <w:rPr>
          <w:rFonts w:eastAsia="仿宋_GB2312"/>
          <w:b/>
          <w:sz w:val="24"/>
        </w:rPr>
      </w:pPr>
      <w:r>
        <w:rPr>
          <w:rFonts w:eastAsia="仿宋_GB2312"/>
          <w:b/>
          <w:sz w:val="24"/>
        </w:rPr>
        <w:t>表1.3-2  本项目规划相符性预判情况</w:t>
      </w:r>
    </w:p>
    <w:tbl>
      <w:tblPr>
        <w:tblStyle w:val="87"/>
        <w:tblW w:w="500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6"/>
        <w:gridCol w:w="5547"/>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8"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ascii="仿宋" w:hAnsi="仿宋" w:eastAsia="仿宋" w:cs="仿宋"/>
                <w:bCs/>
                <w:szCs w:val="21"/>
              </w:rPr>
              <w:t>判断类型</w:t>
            </w:r>
          </w:p>
        </w:tc>
        <w:tc>
          <w:tcPr>
            <w:tcW w:w="3330"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ascii="仿宋" w:hAnsi="仿宋" w:eastAsia="仿宋" w:cs="仿宋"/>
                <w:bCs/>
                <w:szCs w:val="21"/>
              </w:rPr>
              <w:t>对照简析</w:t>
            </w:r>
          </w:p>
        </w:tc>
        <w:tc>
          <w:tcPr>
            <w:tcW w:w="740"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ascii="仿宋" w:hAnsi="仿宋" w:eastAsia="仿宋" w:cs="仿宋"/>
                <w:bCs/>
                <w:szCs w:val="21"/>
              </w:rPr>
              <w:t>本项目是否满足要求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8"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ascii="仿宋" w:hAnsi="仿宋" w:eastAsia="仿宋" w:cs="仿宋"/>
                <w:bCs/>
                <w:szCs w:val="21"/>
              </w:rPr>
              <w:t>区域规划环评</w:t>
            </w:r>
          </w:p>
        </w:tc>
        <w:tc>
          <w:tcPr>
            <w:tcW w:w="3330"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ascii="仿宋" w:hAnsi="仿宋" w:eastAsia="仿宋" w:cs="仿宋"/>
                <w:bCs/>
                <w:szCs w:val="21"/>
              </w:rPr>
              <w:t>本项目位于江苏省金坛区金城镇工业园区（北区），根据《江苏省金坛区金城镇工业园区（北区）发展规划环境影响报告书》，园区将以先进装备制造业、新能源新材料产业和纺织服装业为主导，重点培育电子信息通讯产业、食药产业和节能环保产业，并把抓好项目作为推进镇域经济的着力点，积极承接东部资源向工业园的梯度转移。本项目国民经济行业类别属于“C292</w:t>
            </w:r>
            <w:r>
              <w:rPr>
                <w:rFonts w:hint="eastAsia" w:ascii="仿宋" w:hAnsi="仿宋" w:eastAsia="仿宋" w:cs="仿宋"/>
                <w:bCs/>
                <w:szCs w:val="21"/>
              </w:rPr>
              <w:t>1塑料薄膜制造</w:t>
            </w:r>
            <w:r>
              <w:rPr>
                <w:rFonts w:ascii="仿宋" w:hAnsi="仿宋" w:eastAsia="仿宋" w:cs="仿宋"/>
                <w:bCs/>
                <w:szCs w:val="21"/>
              </w:rPr>
              <w:t>”，不属于金城镇工业园区（北区）禁止引入类别中淘汰、限制类项目、化工复配类项目、化工合成类医药类项目和不符合国家产业政策的企业，符合园区产业定位。</w:t>
            </w:r>
          </w:p>
          <w:p>
            <w:pPr>
              <w:spacing w:line="240" w:lineRule="exact"/>
              <w:jc w:val="center"/>
              <w:rPr>
                <w:rFonts w:ascii="仿宋" w:hAnsi="仿宋" w:eastAsia="仿宋" w:cs="仿宋"/>
                <w:bCs/>
                <w:szCs w:val="21"/>
              </w:rPr>
            </w:pPr>
            <w:r>
              <w:rPr>
                <w:rFonts w:ascii="仿宋" w:hAnsi="仿宋" w:eastAsia="仿宋" w:cs="仿宋"/>
                <w:bCs/>
                <w:szCs w:val="21"/>
              </w:rPr>
              <w:t>经对照《常州市金坛区金城镇总体规划（2016-2030年）-镇域用地规划图》，本项目所在地已规划为工业用地，用地性质符合要求；符合规划中环境经济准入门槛要求；生活污水达标排入市政污水管网，对地表水无直接影响，不直接排入地表水体。综上，本项目与园区环境准入负面清单不相违背，符合用地规划要求，与园区规划环评相符。</w:t>
            </w:r>
          </w:p>
        </w:tc>
        <w:tc>
          <w:tcPr>
            <w:tcW w:w="740"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ascii="仿宋" w:hAnsi="仿宋" w:eastAsia="仿宋" w:cs="仿宋"/>
                <w:bCs/>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8"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ascii="仿宋" w:hAnsi="仿宋" w:eastAsia="仿宋" w:cs="仿宋"/>
                <w:bCs/>
                <w:szCs w:val="21"/>
              </w:rPr>
              <w:t>《省政府关于印发江苏省生态空间管控区域规划的通知》</w:t>
            </w:r>
          </w:p>
        </w:tc>
        <w:tc>
          <w:tcPr>
            <w:tcW w:w="3330"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ascii="仿宋" w:hAnsi="仿宋" w:eastAsia="仿宋" w:cs="仿宋"/>
                <w:bCs/>
                <w:szCs w:val="21"/>
              </w:rPr>
              <w:t>对照《省政府关于印发江苏省生态空间管控区域规划的通知》（苏政发[2020]1号）中规定的常州市生态空间保护区域名录，本项目所在地不在该区域内。</w:t>
            </w:r>
          </w:p>
        </w:tc>
        <w:tc>
          <w:tcPr>
            <w:tcW w:w="740"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ascii="仿宋" w:hAnsi="仿宋" w:eastAsia="仿宋" w:cs="仿宋"/>
                <w:bCs/>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6" w:type="dxa"/>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ascii="仿宋" w:hAnsi="仿宋" w:eastAsia="仿宋" w:cs="仿宋"/>
                <w:bCs/>
                <w:szCs w:val="21"/>
              </w:rPr>
              <w:t>《省政府关于印发江苏省国家级生态保护红线规划的通知》</w:t>
            </w:r>
          </w:p>
        </w:tc>
        <w:tc>
          <w:tcPr>
            <w:tcW w:w="5547" w:type="dxa"/>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ascii="仿宋" w:hAnsi="仿宋" w:eastAsia="仿宋" w:cs="仿宋"/>
                <w:bCs/>
                <w:szCs w:val="21"/>
              </w:rPr>
              <w:t>对照《省政府关于印发江苏省国家级生态保护红线规划的通知》（苏政发〔2018〕74号）中规定的一级、二级管控区内，项目所在地不在规定的一级、二级管控区内。因此，本项目选址与生态红线区域保护规划相符。</w:t>
            </w:r>
          </w:p>
        </w:tc>
        <w:tc>
          <w:tcPr>
            <w:tcW w:w="1233" w:type="dxa"/>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ascii="仿宋" w:hAnsi="仿宋" w:eastAsia="仿宋" w:cs="仿宋"/>
                <w:bCs/>
                <w:szCs w:val="21"/>
              </w:rPr>
              <w:t>是</w:t>
            </w:r>
          </w:p>
        </w:tc>
      </w:tr>
    </w:tbl>
    <w:p>
      <w:pPr>
        <w:pStyle w:val="4"/>
        <w:keepLines w:val="0"/>
        <w:numPr>
          <w:ilvl w:val="2"/>
          <w:numId w:val="1"/>
        </w:numPr>
        <w:tabs>
          <w:tab w:val="left" w:pos="709"/>
        </w:tabs>
        <w:spacing w:before="0" w:after="0" w:line="500" w:lineRule="exact"/>
        <w:ind w:left="0" w:firstLine="0"/>
        <w:rPr>
          <w:rFonts w:eastAsia="仿宋_GB2312"/>
          <w:sz w:val="28"/>
          <w:szCs w:val="28"/>
        </w:rPr>
      </w:pPr>
      <w:r>
        <w:rPr>
          <w:rFonts w:eastAsia="仿宋_GB2312"/>
          <w:sz w:val="28"/>
          <w:szCs w:val="28"/>
        </w:rPr>
        <w:t>“三线一单”控制要求相符性预判分析</w:t>
      </w:r>
    </w:p>
    <w:p>
      <w:pPr>
        <w:spacing w:line="500" w:lineRule="exact"/>
        <w:ind w:firstLine="482" w:firstLineChars="200"/>
        <w:jc w:val="center"/>
        <w:rPr>
          <w:rFonts w:eastAsia="仿宋_GB2312"/>
          <w:b/>
          <w:sz w:val="24"/>
        </w:rPr>
      </w:pPr>
      <w:r>
        <w:rPr>
          <w:rFonts w:eastAsia="仿宋_GB2312"/>
          <w:b/>
          <w:sz w:val="24"/>
        </w:rPr>
        <w:t>表1.3-3  本项目“三线一单”控制要求相符性预判情况</w:t>
      </w:r>
    </w:p>
    <w:tbl>
      <w:tblPr>
        <w:tblStyle w:val="8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1"/>
        <w:gridCol w:w="815"/>
        <w:gridCol w:w="6074"/>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6"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序号</w:t>
            </w:r>
          </w:p>
        </w:tc>
        <w:tc>
          <w:tcPr>
            <w:tcW w:w="478"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判断</w:t>
            </w:r>
          </w:p>
          <w:p>
            <w:pPr>
              <w:spacing w:line="240" w:lineRule="exact"/>
              <w:jc w:val="center"/>
              <w:rPr>
                <w:rFonts w:ascii="仿宋" w:hAnsi="仿宋" w:eastAsia="仿宋" w:cs="仿宋"/>
                <w:bCs/>
                <w:szCs w:val="21"/>
              </w:rPr>
            </w:pPr>
            <w:r>
              <w:rPr>
                <w:rFonts w:ascii="仿宋" w:hAnsi="仿宋" w:eastAsia="仿宋" w:cs="仿宋"/>
                <w:bCs/>
                <w:szCs w:val="21"/>
              </w:rPr>
              <w:t>类型</w:t>
            </w:r>
          </w:p>
        </w:tc>
        <w:tc>
          <w:tcPr>
            <w:tcW w:w="3563"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对照简析</w:t>
            </w:r>
          </w:p>
        </w:tc>
        <w:tc>
          <w:tcPr>
            <w:tcW w:w="582"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本项目是否满足要求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6" w:type="pct"/>
            <w:vMerge w:val="restar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1</w:t>
            </w:r>
          </w:p>
        </w:tc>
        <w:tc>
          <w:tcPr>
            <w:tcW w:w="478" w:type="pct"/>
            <w:vMerge w:val="restar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生态红线</w:t>
            </w:r>
          </w:p>
        </w:tc>
        <w:tc>
          <w:tcPr>
            <w:tcW w:w="3563" w:type="pc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对照</w:t>
            </w:r>
            <w:r>
              <w:rPr>
                <w:rFonts w:ascii="仿宋" w:hAnsi="仿宋" w:eastAsia="仿宋" w:cs="仿宋"/>
                <w:bCs/>
                <w:szCs w:val="21"/>
              </w:rPr>
              <w:t>《省政府关于印发江苏省生态</w:t>
            </w:r>
            <w:r>
              <w:rPr>
                <w:rFonts w:hint="eastAsia" w:ascii="仿宋" w:hAnsi="仿宋" w:eastAsia="仿宋" w:cs="仿宋"/>
                <w:bCs/>
                <w:szCs w:val="21"/>
              </w:rPr>
              <w:t>空间管控</w:t>
            </w:r>
            <w:r>
              <w:rPr>
                <w:rFonts w:ascii="仿宋" w:hAnsi="仿宋" w:eastAsia="仿宋" w:cs="仿宋"/>
                <w:bCs/>
                <w:szCs w:val="21"/>
              </w:rPr>
              <w:t>区域规划的通知》（苏政发[2020]1号）</w:t>
            </w:r>
            <w:r>
              <w:rPr>
                <w:rFonts w:hint="eastAsia" w:ascii="仿宋" w:hAnsi="仿宋" w:eastAsia="仿宋" w:cs="仿宋"/>
                <w:bCs/>
                <w:szCs w:val="21"/>
              </w:rPr>
              <w:t>，</w:t>
            </w:r>
            <w:r>
              <w:rPr>
                <w:rFonts w:ascii="仿宋" w:hAnsi="仿宋" w:eastAsia="仿宋" w:cs="仿宋"/>
                <w:bCs/>
                <w:szCs w:val="21"/>
              </w:rPr>
              <w:t>本项目不在</w:t>
            </w:r>
            <w:r>
              <w:rPr>
                <w:rFonts w:hint="eastAsia" w:ascii="仿宋" w:hAnsi="仿宋" w:eastAsia="仿宋" w:cs="仿宋"/>
                <w:bCs/>
                <w:szCs w:val="21"/>
              </w:rPr>
              <w:t>国家</w:t>
            </w:r>
            <w:r>
              <w:rPr>
                <w:rFonts w:ascii="仿宋" w:hAnsi="仿宋" w:eastAsia="仿宋" w:cs="仿宋"/>
                <w:bCs/>
                <w:szCs w:val="21"/>
              </w:rPr>
              <w:t>级生态</w:t>
            </w:r>
            <w:r>
              <w:rPr>
                <w:rFonts w:hint="eastAsia" w:ascii="仿宋" w:hAnsi="仿宋" w:eastAsia="仿宋" w:cs="仿宋"/>
                <w:bCs/>
                <w:szCs w:val="21"/>
              </w:rPr>
              <w:t>保护</w:t>
            </w:r>
            <w:r>
              <w:rPr>
                <w:rFonts w:ascii="仿宋" w:hAnsi="仿宋" w:eastAsia="仿宋" w:cs="仿宋"/>
                <w:bCs/>
                <w:szCs w:val="21"/>
              </w:rPr>
              <w:t>红线范围</w:t>
            </w:r>
            <w:r>
              <w:rPr>
                <w:rFonts w:hint="eastAsia" w:ascii="仿宋" w:hAnsi="仿宋" w:eastAsia="仿宋" w:cs="仿宋"/>
                <w:bCs/>
                <w:szCs w:val="21"/>
              </w:rPr>
              <w:t>和</w:t>
            </w:r>
            <w:r>
              <w:rPr>
                <w:rFonts w:ascii="仿宋" w:hAnsi="仿宋" w:eastAsia="仿宋" w:cs="仿宋"/>
                <w:bCs/>
                <w:szCs w:val="21"/>
              </w:rPr>
              <w:t>生态空间管控区域</w:t>
            </w:r>
            <w:r>
              <w:rPr>
                <w:rFonts w:hint="eastAsia" w:ascii="仿宋" w:hAnsi="仿宋" w:eastAsia="仿宋" w:cs="仿宋"/>
                <w:bCs/>
                <w:szCs w:val="21"/>
              </w:rPr>
              <w:t>内</w:t>
            </w:r>
            <w:r>
              <w:rPr>
                <w:rFonts w:ascii="仿宋" w:hAnsi="仿宋" w:eastAsia="仿宋" w:cs="仿宋"/>
                <w:bCs/>
                <w:szCs w:val="21"/>
              </w:rPr>
              <w:t>。</w:t>
            </w:r>
          </w:p>
        </w:tc>
        <w:tc>
          <w:tcPr>
            <w:tcW w:w="582"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376" w:type="pct"/>
            <w:vMerge w:val="continue"/>
            <w:shd w:val="clear" w:color="auto" w:fill="auto"/>
            <w:vAlign w:val="center"/>
          </w:tcPr>
          <w:p>
            <w:pPr>
              <w:spacing w:line="240" w:lineRule="exact"/>
              <w:jc w:val="center"/>
              <w:rPr>
                <w:rFonts w:ascii="仿宋" w:hAnsi="仿宋" w:eastAsia="仿宋" w:cs="仿宋"/>
                <w:bCs/>
                <w:szCs w:val="21"/>
              </w:rPr>
            </w:pPr>
          </w:p>
        </w:tc>
        <w:tc>
          <w:tcPr>
            <w:tcW w:w="478" w:type="pct"/>
            <w:vMerge w:val="continue"/>
            <w:shd w:val="clear" w:color="auto" w:fill="auto"/>
            <w:vAlign w:val="center"/>
          </w:tcPr>
          <w:p>
            <w:pPr>
              <w:spacing w:line="240" w:lineRule="exact"/>
              <w:jc w:val="center"/>
              <w:rPr>
                <w:rFonts w:ascii="仿宋" w:hAnsi="仿宋" w:eastAsia="仿宋" w:cs="仿宋"/>
                <w:bCs/>
                <w:szCs w:val="21"/>
              </w:rPr>
            </w:pPr>
          </w:p>
        </w:tc>
        <w:tc>
          <w:tcPr>
            <w:tcW w:w="3563"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对照《省政府关于印发江苏省国家级生态保护红线规划的通知》苏政发〔2018〕74号，本项目不在江苏省国家级生态保护红线范围内。因此，本项目选址与生态保护红线规划相符。</w:t>
            </w:r>
          </w:p>
        </w:tc>
        <w:tc>
          <w:tcPr>
            <w:tcW w:w="582"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6"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2</w:t>
            </w:r>
          </w:p>
        </w:tc>
        <w:tc>
          <w:tcPr>
            <w:tcW w:w="478"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环境质量底线</w:t>
            </w:r>
          </w:p>
        </w:tc>
        <w:tc>
          <w:tcPr>
            <w:tcW w:w="3563"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根据《2022年常州市生态环境状况公报》可知，项目所在地区域环境空气质量为不达标区，为改善常州市环境空气质量情况，常州市政府制定了相应的空气整治方案和计划，随着整治方案的不断推进，区域空气质量将会得到一定的改善。根据环境质量现状监测情况，项目所在地其他污染物（特征污染物）监测结果及地表水、噪声、地下水、土壤环境质量监测结果均满足相应质量标准。本项目产生的污染物经采取相应污染物防治措施后，均能达标排放，不会降低周边环境质量。建成后不会突破当地环境质量底线。</w:t>
            </w:r>
          </w:p>
        </w:tc>
        <w:tc>
          <w:tcPr>
            <w:tcW w:w="582"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6"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3</w:t>
            </w:r>
          </w:p>
        </w:tc>
        <w:tc>
          <w:tcPr>
            <w:tcW w:w="478"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资源利用上线</w:t>
            </w:r>
          </w:p>
        </w:tc>
        <w:tc>
          <w:tcPr>
            <w:tcW w:w="3563"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本项目生产过程中所用的资源主要为水、电资源。本项目所在地水资源丰富，本项目运行中冷却使用循环冷却水</w:t>
            </w:r>
            <w:r>
              <w:rPr>
                <w:rFonts w:hint="eastAsia" w:ascii="仿宋" w:hAnsi="仿宋" w:eastAsia="仿宋" w:cs="仿宋"/>
                <w:bCs/>
                <w:szCs w:val="21"/>
              </w:rPr>
              <w:t>。</w:t>
            </w:r>
            <w:r>
              <w:rPr>
                <w:rFonts w:ascii="仿宋" w:hAnsi="仿宋" w:eastAsia="仿宋" w:cs="仿宋"/>
                <w:bCs/>
                <w:szCs w:val="21"/>
              </w:rPr>
              <w:t>此外，企业将采取有效的节电节水措施，符合资源利用上线相关要求。</w:t>
            </w:r>
          </w:p>
        </w:tc>
        <w:tc>
          <w:tcPr>
            <w:tcW w:w="582"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76" w:type="pct"/>
            <w:vMerge w:val="restar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4</w:t>
            </w:r>
          </w:p>
        </w:tc>
        <w:tc>
          <w:tcPr>
            <w:tcW w:w="478" w:type="pct"/>
            <w:vMerge w:val="restar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环境准入负面清单</w:t>
            </w:r>
          </w:p>
        </w:tc>
        <w:tc>
          <w:tcPr>
            <w:tcW w:w="6074" w:type="dxa"/>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本项目符合现行国家产业、行业政策。本项目不在金坛区金城镇工业园区（北区）的禁止准入清单内，因此，本项目符合环境准入负面清单相关要求。</w:t>
            </w:r>
          </w:p>
        </w:tc>
        <w:tc>
          <w:tcPr>
            <w:tcW w:w="582" w:type="pct"/>
            <w:vMerge w:val="restar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76" w:type="pct"/>
            <w:vMerge w:val="continue"/>
            <w:shd w:val="clear" w:color="auto" w:fill="auto"/>
            <w:vAlign w:val="center"/>
          </w:tcPr>
          <w:p>
            <w:pPr>
              <w:spacing w:line="240" w:lineRule="exact"/>
              <w:jc w:val="center"/>
              <w:rPr>
                <w:rFonts w:ascii="仿宋" w:hAnsi="仿宋" w:eastAsia="仿宋" w:cs="仿宋"/>
                <w:bCs/>
                <w:szCs w:val="21"/>
              </w:rPr>
            </w:pPr>
          </w:p>
        </w:tc>
        <w:tc>
          <w:tcPr>
            <w:tcW w:w="478" w:type="pct"/>
            <w:vMerge w:val="continue"/>
            <w:shd w:val="clear" w:color="auto" w:fill="auto"/>
            <w:vAlign w:val="center"/>
          </w:tcPr>
          <w:p>
            <w:pPr>
              <w:spacing w:line="240" w:lineRule="exact"/>
              <w:jc w:val="center"/>
              <w:rPr>
                <w:rFonts w:ascii="仿宋" w:hAnsi="仿宋" w:eastAsia="仿宋" w:cs="仿宋"/>
                <w:bCs/>
                <w:szCs w:val="21"/>
              </w:rPr>
            </w:pPr>
          </w:p>
        </w:tc>
        <w:tc>
          <w:tcPr>
            <w:tcW w:w="6074" w:type="dxa"/>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本项目符合现行国家产业、行业政策，本项目不在《市场准入负面清单（2022年版）》（发改体改</w:t>
            </w:r>
            <w:r>
              <w:rPr>
                <w:rFonts w:hint="eastAsia" w:ascii="仿宋" w:hAnsi="仿宋" w:eastAsia="仿宋" w:cs="仿宋"/>
                <w:bCs/>
                <w:szCs w:val="21"/>
              </w:rPr>
              <w:t>规</w:t>
            </w:r>
            <w:r>
              <w:rPr>
                <w:rFonts w:ascii="仿宋" w:hAnsi="仿宋" w:eastAsia="仿宋" w:cs="仿宋"/>
                <w:bCs/>
                <w:szCs w:val="21"/>
              </w:rPr>
              <w:t>〔2022〕397号）禁止准入类和限制准入类中，不在《长江经济带发展负面清单指南（试行）》内，因此，本项目符合环境准入负面清单相关要求。</w:t>
            </w:r>
          </w:p>
        </w:tc>
        <w:tc>
          <w:tcPr>
            <w:tcW w:w="582" w:type="pct"/>
            <w:vMerge w:val="continue"/>
            <w:shd w:val="clear" w:color="auto" w:fill="auto"/>
            <w:vAlign w:val="center"/>
          </w:tcPr>
          <w:p>
            <w:pPr>
              <w:pStyle w:val="124"/>
              <w:jc w:val="left"/>
              <w:rPr>
                <w:rFonts w:ascii="Times New Roman"/>
              </w:rPr>
            </w:pPr>
          </w:p>
        </w:tc>
      </w:tr>
    </w:tbl>
    <w:p>
      <w:pPr>
        <w:pStyle w:val="4"/>
        <w:keepLines w:val="0"/>
        <w:numPr>
          <w:ilvl w:val="2"/>
          <w:numId w:val="1"/>
        </w:numPr>
        <w:tabs>
          <w:tab w:val="left" w:pos="709"/>
        </w:tabs>
        <w:spacing w:before="156" w:beforeLines="50" w:after="156" w:afterLines="50" w:line="500" w:lineRule="exact"/>
        <w:ind w:left="0" w:firstLine="0"/>
        <w:rPr>
          <w:rFonts w:eastAsia="仿宋_GB2312"/>
          <w:sz w:val="28"/>
          <w:szCs w:val="28"/>
        </w:rPr>
      </w:pPr>
      <w:r>
        <w:rPr>
          <w:rFonts w:eastAsia="仿宋_GB2312"/>
          <w:sz w:val="28"/>
          <w:szCs w:val="28"/>
        </w:rPr>
        <w:t>环境相容性分析</w:t>
      </w:r>
    </w:p>
    <w:p>
      <w:pPr>
        <w:widowControl/>
        <w:spacing w:line="500" w:lineRule="exact"/>
        <w:ind w:firstLine="560" w:firstLineChars="200"/>
        <w:rPr>
          <w:rFonts w:eastAsia="仿宋_GB2312"/>
          <w:sz w:val="28"/>
          <w:szCs w:val="28"/>
        </w:rPr>
      </w:pPr>
      <w:r>
        <w:rPr>
          <w:rFonts w:eastAsia="仿宋_GB2312"/>
          <w:sz w:val="28"/>
          <w:szCs w:val="28"/>
        </w:rPr>
        <w:t>本项目所在地位于</w:t>
      </w:r>
      <w:r>
        <w:rPr>
          <w:rFonts w:hint="eastAsia" w:eastAsia="仿宋_GB2312"/>
          <w:sz w:val="28"/>
          <w:szCs w:val="28"/>
        </w:rPr>
        <w:t>，所在地配套设施完善，已具备废水接管条件，生活污水经所在地污水管网接管至</w:t>
      </w:r>
      <w:r>
        <w:rPr>
          <w:rFonts w:eastAsia="仿宋_GB2312"/>
          <w:sz w:val="28"/>
          <w:szCs w:val="28"/>
        </w:rPr>
        <w:t>金坛第二污水处理厂集中处理</w:t>
      </w:r>
      <w:r>
        <w:rPr>
          <w:rFonts w:hint="eastAsia" w:eastAsia="仿宋_GB2312"/>
          <w:sz w:val="28"/>
          <w:szCs w:val="28"/>
        </w:rPr>
        <w:t>；本项目</w:t>
      </w:r>
      <w:r>
        <w:rPr>
          <w:rFonts w:eastAsia="仿宋_GB2312"/>
          <w:sz w:val="28"/>
          <w:szCs w:val="28"/>
        </w:rPr>
        <w:t>废气通过采取有效的治理措施后能够达标排放，根据大气环境影响分析，各环境保护目标各废气浓度均达到相应的质量标准，无组织废气厂界达标；本项目噪声经过预测，</w:t>
      </w:r>
      <w:r>
        <w:rPr>
          <w:rFonts w:hint="eastAsia" w:eastAsia="仿宋_GB2312"/>
          <w:sz w:val="28"/>
          <w:szCs w:val="28"/>
        </w:rPr>
        <w:t>东、西、北</w:t>
      </w:r>
      <w:r>
        <w:rPr>
          <w:rFonts w:eastAsia="仿宋_GB2312"/>
          <w:sz w:val="28"/>
          <w:szCs w:val="28"/>
        </w:rPr>
        <w:t>厂界昼、夜间噪声预测值均符合《工业企业厂界环境噪声排放标准》（GB12348-2008）中3类标准</w:t>
      </w:r>
      <w:r>
        <w:rPr>
          <w:rFonts w:hint="eastAsia" w:eastAsia="仿宋_GB2312"/>
          <w:sz w:val="28"/>
          <w:szCs w:val="28"/>
        </w:rPr>
        <w:t>，南厂界符合4类标准</w:t>
      </w:r>
      <w:r>
        <w:rPr>
          <w:rFonts w:eastAsia="仿宋_GB2312"/>
          <w:sz w:val="28"/>
          <w:szCs w:val="28"/>
        </w:rPr>
        <w:t>；本项目固废分类收集处置，不会对周围环境产生二次污染。</w:t>
      </w:r>
    </w:p>
    <w:p>
      <w:pPr>
        <w:pStyle w:val="4"/>
        <w:keepLines w:val="0"/>
        <w:numPr>
          <w:ilvl w:val="2"/>
          <w:numId w:val="1"/>
        </w:numPr>
        <w:tabs>
          <w:tab w:val="left" w:pos="709"/>
        </w:tabs>
        <w:spacing w:before="156" w:beforeLines="50" w:after="156" w:afterLines="50" w:line="500" w:lineRule="exact"/>
        <w:ind w:left="0" w:firstLine="0"/>
        <w:rPr>
          <w:rFonts w:eastAsia="仿宋_GB2312"/>
          <w:sz w:val="28"/>
          <w:szCs w:val="28"/>
        </w:rPr>
      </w:pPr>
      <w:r>
        <w:rPr>
          <w:rFonts w:eastAsia="仿宋_GB2312"/>
          <w:sz w:val="28"/>
          <w:szCs w:val="28"/>
        </w:rPr>
        <w:t>初筛结果</w:t>
      </w:r>
    </w:p>
    <w:p>
      <w:pPr>
        <w:widowControl/>
        <w:spacing w:line="500" w:lineRule="exact"/>
        <w:ind w:firstLine="560" w:firstLineChars="200"/>
        <w:rPr>
          <w:rFonts w:eastAsia="仿宋_GB2312"/>
          <w:sz w:val="28"/>
          <w:szCs w:val="28"/>
        </w:rPr>
      </w:pPr>
      <w:r>
        <w:rPr>
          <w:rFonts w:eastAsia="仿宋_GB2312"/>
          <w:sz w:val="28"/>
          <w:szCs w:val="28"/>
        </w:rPr>
        <w:t>本项目符合产业政策及相关规划要求，符合“三线一单”控制要求，项目产生的废气、废水、噪声采取相应环保措施后可达标排放，经预测对周围居民影响较小，本项目建设具备环境可行性。同时企业需加强管理，确保污染物达标排放。</w:t>
      </w:r>
    </w:p>
    <w:p>
      <w:pPr>
        <w:pStyle w:val="3"/>
      </w:pPr>
      <w:bookmarkStart w:id="25" w:name="_Toc140565250"/>
      <w:r>
        <w:t>关注的主要环境问题</w:t>
      </w:r>
      <w:bookmarkEnd w:id="25"/>
    </w:p>
    <w:p>
      <w:pPr>
        <w:widowControl/>
        <w:spacing w:line="500" w:lineRule="exact"/>
        <w:ind w:firstLine="560" w:firstLineChars="200"/>
        <w:rPr>
          <w:rFonts w:eastAsia="仿宋_GB2312"/>
          <w:sz w:val="28"/>
          <w:szCs w:val="28"/>
        </w:rPr>
      </w:pPr>
      <w:r>
        <w:rPr>
          <w:rFonts w:eastAsia="仿宋_GB2312"/>
          <w:sz w:val="28"/>
          <w:szCs w:val="28"/>
        </w:rPr>
        <w:t>本项目重点关注的主要环境问题是：</w:t>
      </w:r>
    </w:p>
    <w:p>
      <w:pPr>
        <w:widowControl/>
        <w:spacing w:line="500" w:lineRule="exact"/>
        <w:ind w:firstLine="560" w:firstLineChars="200"/>
        <w:rPr>
          <w:rFonts w:eastAsia="仿宋_GB2312"/>
          <w:sz w:val="28"/>
          <w:szCs w:val="28"/>
        </w:rPr>
      </w:pPr>
      <w:r>
        <w:rPr>
          <w:rFonts w:eastAsia="仿宋_GB2312"/>
          <w:sz w:val="28"/>
          <w:szCs w:val="28"/>
        </w:rPr>
        <w:t>（1）生产过程产生的废气经收集处理后，达标排放的可行性及对周边大气环境及敏感点的环境影响；</w:t>
      </w:r>
    </w:p>
    <w:p>
      <w:pPr>
        <w:widowControl/>
        <w:spacing w:line="500" w:lineRule="exact"/>
        <w:ind w:firstLine="560" w:firstLineChars="200"/>
        <w:rPr>
          <w:rFonts w:eastAsia="仿宋_GB2312"/>
          <w:sz w:val="28"/>
          <w:szCs w:val="28"/>
        </w:rPr>
      </w:pPr>
      <w:r>
        <w:rPr>
          <w:rFonts w:eastAsia="仿宋_GB2312"/>
          <w:sz w:val="28"/>
          <w:szCs w:val="28"/>
        </w:rPr>
        <w:t>（2）</w:t>
      </w:r>
      <w:r>
        <w:rPr>
          <w:rFonts w:eastAsia="仿宋_GB2312"/>
          <w:sz w:val="28"/>
        </w:rPr>
        <w:t>火灾、爆炸或物料的溢出泄漏</w:t>
      </w:r>
      <w:r>
        <w:rPr>
          <w:rFonts w:eastAsia="仿宋_GB2312"/>
          <w:sz w:val="28"/>
          <w:szCs w:val="28"/>
        </w:rPr>
        <w:t>的事故风险及对周围环境（环境空气和地表水）的影响；</w:t>
      </w:r>
    </w:p>
    <w:p>
      <w:pPr>
        <w:widowControl/>
        <w:spacing w:line="500" w:lineRule="exact"/>
        <w:ind w:firstLine="560" w:firstLineChars="200"/>
        <w:rPr>
          <w:rFonts w:eastAsia="仿宋_GB2312"/>
          <w:sz w:val="28"/>
          <w:szCs w:val="28"/>
        </w:rPr>
      </w:pPr>
      <w:r>
        <w:rPr>
          <w:rFonts w:eastAsia="仿宋_GB2312"/>
          <w:sz w:val="28"/>
          <w:szCs w:val="28"/>
        </w:rPr>
        <w:t>（3）确保各类固体废物零排放，不会对周围环境产生二次污染。</w:t>
      </w:r>
    </w:p>
    <w:p>
      <w:pPr>
        <w:pStyle w:val="3"/>
      </w:pPr>
      <w:bookmarkStart w:id="26" w:name="_Toc140565251"/>
      <w:r>
        <w:t>主要结论</w:t>
      </w:r>
      <w:bookmarkEnd w:id="26"/>
    </w:p>
    <w:p>
      <w:pPr>
        <w:widowControl/>
        <w:spacing w:line="500" w:lineRule="exact"/>
        <w:ind w:firstLine="560" w:firstLineChars="200"/>
        <w:rPr>
          <w:rFonts w:eastAsia="仿宋_GB2312"/>
          <w:sz w:val="28"/>
          <w:szCs w:val="28"/>
        </w:rPr>
      </w:pPr>
      <w:bookmarkStart w:id="27" w:name="_Toc217889870"/>
      <w:bookmarkStart w:id="28" w:name="_Toc229910510"/>
      <w:bookmarkStart w:id="29" w:name="_Toc218823701"/>
      <w:bookmarkStart w:id="30" w:name="_Toc218822811"/>
      <w:bookmarkStart w:id="31" w:name="_Toc219541097"/>
      <w:bookmarkStart w:id="32" w:name="_Toc219540325"/>
      <w:bookmarkStart w:id="33" w:name="_Toc217889977"/>
      <w:bookmarkStart w:id="34" w:name="_Toc218996891"/>
      <w:bookmarkStart w:id="35" w:name="_Toc160937748"/>
      <w:bookmarkStart w:id="36" w:name="_Toc217889639"/>
      <w:bookmarkStart w:id="37" w:name="_Toc230013663"/>
      <w:bookmarkStart w:id="38" w:name="_Toc157405913"/>
      <w:bookmarkStart w:id="39" w:name="_Toc219169901"/>
      <w:bookmarkStart w:id="40" w:name="_Toc228754594"/>
      <w:bookmarkStart w:id="41" w:name="_Toc218388563"/>
      <w:bookmarkStart w:id="42" w:name="_Toc228437065"/>
      <w:bookmarkStart w:id="43" w:name="_Toc228541022"/>
      <w:bookmarkStart w:id="44" w:name="_Toc216670488"/>
      <w:bookmarkStart w:id="45" w:name="_Toc216664825"/>
      <w:bookmarkStart w:id="46" w:name="_Toc229900152"/>
      <w:bookmarkStart w:id="47" w:name="_Toc228779740"/>
      <w:bookmarkStart w:id="48" w:name="_Toc156960242"/>
      <w:bookmarkStart w:id="49" w:name="_Toc106608034"/>
      <w:bookmarkStart w:id="50" w:name="_Toc217879278"/>
      <w:r>
        <w:rPr>
          <w:rFonts w:eastAsia="仿宋_GB2312"/>
          <w:sz w:val="28"/>
          <w:szCs w:val="28"/>
        </w:rPr>
        <w:t>本项目位于江苏省常州市金坛</w:t>
      </w:r>
      <w:r>
        <w:rPr>
          <w:rFonts w:hint="eastAsia" w:eastAsia="仿宋_GB2312"/>
          <w:sz w:val="28"/>
          <w:szCs w:val="28"/>
        </w:rPr>
        <w:t>区红山路29号</w:t>
      </w:r>
      <w:r>
        <w:rPr>
          <w:rFonts w:eastAsia="仿宋_GB2312"/>
          <w:sz w:val="28"/>
          <w:szCs w:val="28"/>
        </w:rPr>
        <w:t>，总投资</w:t>
      </w:r>
      <w:r>
        <w:rPr>
          <w:rFonts w:hint="eastAsia" w:eastAsia="仿宋_GB2312"/>
          <w:sz w:val="28"/>
          <w:szCs w:val="28"/>
        </w:rPr>
        <w:t>3000</w:t>
      </w:r>
      <w:r>
        <w:rPr>
          <w:rFonts w:eastAsia="仿宋_GB2312"/>
          <w:sz w:val="28"/>
          <w:szCs w:val="28"/>
        </w:rPr>
        <w:t>万元。</w:t>
      </w:r>
      <w:r>
        <w:rPr>
          <w:rFonts w:hint="eastAsia" w:eastAsia="仿宋_GB2312"/>
          <w:sz w:val="28"/>
          <w:szCs w:val="28"/>
        </w:rPr>
        <w:t>项目符合《建设项目环境保护管理条例》（2017修订版）的相关要求，符合国家及地方有关产业政策；项目符合城市总体规划、金坛区金城镇工业园区（北区）产业定位及当地用地规划要求，选址合理；本项目采取各项污染防治措施后污染物实现达标排放，所在地的现有环境功能不下降；本项目建成后排放的各类污染物可以在区域内实现平衡；建设单位开展的公众参与采用网上公示和登报相结合的方式进行，公示期间无反馈意见；在建设单位做好各项风险防范及应急措施的前提下本项目的风险在可接受范围内。</w:t>
      </w:r>
    </w:p>
    <w:p>
      <w:pPr>
        <w:widowControl/>
        <w:spacing w:line="500" w:lineRule="exact"/>
        <w:ind w:firstLine="560" w:firstLineChars="200"/>
        <w:rPr>
          <w:rFonts w:eastAsia="仿宋_GB2312"/>
          <w:sz w:val="28"/>
          <w:szCs w:val="28"/>
        </w:rPr>
      </w:pPr>
      <w:r>
        <w:rPr>
          <w:rFonts w:eastAsia="仿宋_GB2312"/>
          <w:sz w:val="28"/>
          <w:szCs w:val="28"/>
        </w:rPr>
        <w:t>综上，在落实本报告书提出的各项环保措施要求，严格执行环保“三同时”的前提下，从环保角度分析，本项目建设具有环境可行性。</w:t>
      </w:r>
    </w:p>
    <w:p>
      <w:pPr>
        <w:pStyle w:val="3"/>
      </w:pPr>
      <w:bookmarkStart w:id="51" w:name="_Toc140565252"/>
      <w:r>
        <w:t>评价工作程序</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pPr>
        <w:jc w:val="center"/>
        <w:rPr>
          <w:rFonts w:eastAsia="仿宋_GB2312"/>
          <w:highlight w:val="yellow"/>
        </w:rPr>
      </w:pPr>
      <w:r>
        <w:drawing>
          <wp:inline distT="0" distB="0" distL="0" distR="0">
            <wp:extent cx="5746115" cy="6883400"/>
            <wp:effectExtent l="0" t="0" r="698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9"/>
                    <a:stretch>
                      <a:fillRect/>
                    </a:stretch>
                  </pic:blipFill>
                  <pic:spPr>
                    <a:xfrm>
                      <a:off x="0" y="0"/>
                      <a:ext cx="5752988" cy="6891673"/>
                    </a:xfrm>
                    <a:prstGeom prst="rect">
                      <a:avLst/>
                    </a:prstGeom>
                  </pic:spPr>
                </pic:pic>
              </a:graphicData>
            </a:graphic>
          </wp:inline>
        </w:drawing>
      </w:r>
    </w:p>
    <w:p>
      <w:pPr>
        <w:spacing w:line="500" w:lineRule="exact"/>
        <w:jc w:val="center"/>
        <w:rPr>
          <w:rFonts w:eastAsia="仿宋_GB2312"/>
        </w:rPr>
      </w:pPr>
      <w:r>
        <w:rPr>
          <w:rFonts w:eastAsia="仿宋_GB2312"/>
          <w:b/>
          <w:sz w:val="24"/>
        </w:rPr>
        <w:t>图1.6-1 环境影响评价工作程序图</w:t>
      </w:r>
    </w:p>
    <w:p>
      <w:pPr>
        <w:ind w:firstLine="663" w:firstLineChars="237"/>
        <w:rPr>
          <w:rFonts w:eastAsia="仿宋_GB2312"/>
          <w:sz w:val="28"/>
          <w:highlight w:val="yellow"/>
        </w:rPr>
        <w:sectPr>
          <w:pgSz w:w="11906" w:h="16838"/>
          <w:pgMar w:top="1440" w:right="1800" w:bottom="1440" w:left="1800" w:header="851" w:footer="992" w:gutter="0"/>
          <w:pgNumType w:start="1"/>
          <w:cols w:space="425" w:num="1"/>
          <w:docGrid w:type="lines" w:linePitch="312" w:charSpace="0"/>
        </w:sectPr>
      </w:pPr>
    </w:p>
    <w:p>
      <w:pPr>
        <w:pStyle w:val="2"/>
        <w:numPr>
          <w:ilvl w:val="0"/>
          <w:numId w:val="1"/>
        </w:numPr>
        <w:spacing w:before="120" w:beforeLines="50" w:after="120" w:afterLines="50" w:line="500" w:lineRule="exact"/>
        <w:ind w:left="0" w:firstLine="0"/>
        <w:rPr>
          <w:rFonts w:eastAsia="仿宋_GB2312"/>
          <w:sz w:val="36"/>
          <w:szCs w:val="36"/>
        </w:rPr>
      </w:pPr>
      <w:bookmarkStart w:id="52" w:name="_Toc140565253"/>
      <w:r>
        <w:rPr>
          <w:rFonts w:eastAsia="仿宋_GB2312"/>
          <w:sz w:val="36"/>
          <w:szCs w:val="36"/>
        </w:rPr>
        <w:t>总则</w:t>
      </w:r>
      <w:bookmarkEnd w:id="52"/>
    </w:p>
    <w:p>
      <w:pPr>
        <w:pStyle w:val="3"/>
        <w:spacing w:before="120" w:after="120"/>
      </w:pPr>
      <w:bookmarkStart w:id="53" w:name="_Toc140565254"/>
      <w:bookmarkStart w:id="54" w:name="_Toc89501955"/>
      <w:bookmarkStart w:id="55" w:name="_Toc87426561"/>
      <w:bookmarkStart w:id="56" w:name="_Toc150574733"/>
      <w:bookmarkStart w:id="57" w:name="_Toc100835971"/>
      <w:bookmarkStart w:id="58" w:name="_Toc22463449"/>
      <w:bookmarkStart w:id="59" w:name="_Toc80436889"/>
      <w:bookmarkStart w:id="60" w:name="_Toc88297641"/>
      <w:bookmarkStart w:id="61" w:name="_Toc87426735"/>
      <w:bookmarkStart w:id="62" w:name="_Toc254685590"/>
      <w:bookmarkStart w:id="63" w:name="_Toc105831167"/>
      <w:bookmarkStart w:id="64" w:name="_Toc80789878"/>
      <w:bookmarkStart w:id="65" w:name="_Toc81039000"/>
      <w:bookmarkStart w:id="66" w:name="_Toc304838063"/>
      <w:bookmarkStart w:id="67" w:name="_Toc219541092"/>
      <w:bookmarkStart w:id="68" w:name="_Toc218996886"/>
      <w:bookmarkStart w:id="69" w:name="_Toc217879273"/>
      <w:bookmarkStart w:id="70" w:name="_Toc217889634"/>
      <w:bookmarkStart w:id="71" w:name="_Toc218822806"/>
      <w:bookmarkStart w:id="72" w:name="_Toc219540320"/>
      <w:bookmarkStart w:id="73" w:name="_Toc219169896"/>
      <w:bookmarkStart w:id="74" w:name="_Toc217889865"/>
      <w:bookmarkStart w:id="75" w:name="_Toc216664820"/>
      <w:bookmarkStart w:id="76" w:name="_Toc228437060"/>
      <w:bookmarkStart w:id="77" w:name="_Toc217889972"/>
      <w:bookmarkStart w:id="78" w:name="_Toc218823696"/>
      <w:bookmarkStart w:id="79" w:name="_Toc218388558"/>
      <w:bookmarkStart w:id="80" w:name="_Toc216670483"/>
      <w:bookmarkStart w:id="81" w:name="_Toc228541017"/>
      <w:bookmarkStart w:id="82" w:name="_Toc115683387"/>
      <w:bookmarkStart w:id="83" w:name="_Toc113878986"/>
      <w:bookmarkStart w:id="84" w:name="_Toc113878720"/>
      <w:bookmarkStart w:id="85" w:name="_Toc184587202"/>
      <w:bookmarkStart w:id="86" w:name="_Toc27799016"/>
      <w:bookmarkStart w:id="87" w:name="_Toc188062783"/>
      <w:bookmarkStart w:id="88" w:name="_Toc113763372"/>
      <w:bookmarkStart w:id="89" w:name="_Toc119769916"/>
      <w:bookmarkStart w:id="90" w:name="_Toc184016073"/>
      <w:bookmarkStart w:id="91" w:name="_Toc184015952"/>
      <w:bookmarkStart w:id="92" w:name="_Toc188077290"/>
      <w:bookmarkStart w:id="93" w:name="_Toc27814918"/>
      <w:bookmarkStart w:id="94" w:name="_Toc113763485"/>
      <w:r>
        <w:t>编制依据</w:t>
      </w:r>
      <w:bookmarkEnd w:id="53"/>
      <w:bookmarkEnd w:id="54"/>
      <w:bookmarkEnd w:id="55"/>
      <w:bookmarkEnd w:id="56"/>
      <w:bookmarkEnd w:id="57"/>
      <w:bookmarkEnd w:id="58"/>
      <w:bookmarkEnd w:id="59"/>
      <w:bookmarkEnd w:id="60"/>
      <w:bookmarkEnd w:id="61"/>
      <w:bookmarkEnd w:id="62"/>
      <w:bookmarkEnd w:id="63"/>
      <w:bookmarkEnd w:id="64"/>
      <w:bookmarkEnd w:id="65"/>
      <w:bookmarkEnd w:id="66"/>
    </w:p>
    <w:p>
      <w:pPr>
        <w:pStyle w:val="4"/>
        <w:keepLines w:val="0"/>
        <w:numPr>
          <w:ilvl w:val="2"/>
          <w:numId w:val="1"/>
        </w:numPr>
        <w:tabs>
          <w:tab w:val="left" w:pos="709"/>
        </w:tabs>
        <w:spacing w:before="120" w:beforeLines="50" w:after="120" w:afterLines="50" w:line="500" w:lineRule="exact"/>
        <w:ind w:left="0" w:firstLine="0"/>
        <w:rPr>
          <w:rFonts w:eastAsia="仿宋_GB2312"/>
          <w:sz w:val="28"/>
          <w:szCs w:val="28"/>
        </w:rPr>
      </w:pPr>
      <w:bookmarkStart w:id="95" w:name="_Toc22463450"/>
      <w:bookmarkStart w:id="96" w:name="_Toc87426562"/>
      <w:r>
        <w:rPr>
          <w:rFonts w:eastAsia="仿宋_GB2312"/>
          <w:sz w:val="28"/>
          <w:szCs w:val="28"/>
        </w:rPr>
        <w:t>国家现行的环境保护法律、法规、规章及规范性文件</w:t>
      </w:r>
      <w:bookmarkEnd w:id="95"/>
      <w:bookmarkEnd w:id="96"/>
    </w:p>
    <w:p>
      <w:pPr>
        <w:widowControl/>
        <w:spacing w:line="500" w:lineRule="exact"/>
        <w:ind w:firstLine="560" w:firstLineChars="200"/>
        <w:rPr>
          <w:rFonts w:eastAsia="仿宋_GB2312"/>
          <w:sz w:val="28"/>
          <w:szCs w:val="28"/>
        </w:rPr>
      </w:pPr>
      <w:bookmarkStart w:id="97" w:name="_Hlt115187843"/>
      <w:bookmarkEnd w:id="97"/>
      <w:r>
        <w:rPr>
          <w:rFonts w:hint="eastAsia" w:eastAsia="仿宋_GB2312"/>
          <w:sz w:val="28"/>
          <w:szCs w:val="28"/>
        </w:rPr>
        <w:t>（1）《中华人民共和国环境保护法》，第十二届全国人民代表大会常务委员会第八次会议于2014年4月24日修订通过，2015年1月1日实施；</w:t>
      </w:r>
    </w:p>
    <w:p>
      <w:pPr>
        <w:widowControl/>
        <w:spacing w:line="500" w:lineRule="exact"/>
        <w:ind w:firstLine="560" w:firstLineChars="200"/>
        <w:rPr>
          <w:rFonts w:eastAsia="仿宋_GB2312"/>
          <w:sz w:val="28"/>
          <w:szCs w:val="28"/>
        </w:rPr>
      </w:pPr>
      <w:r>
        <w:rPr>
          <w:rFonts w:hint="eastAsia" w:eastAsia="仿宋_GB2312"/>
          <w:sz w:val="28"/>
          <w:szCs w:val="28"/>
        </w:rPr>
        <w:t>（2）《中华人民共和国环境影响评价法》，2018年12月29日修订并施行；</w:t>
      </w:r>
    </w:p>
    <w:p>
      <w:pPr>
        <w:widowControl/>
        <w:spacing w:line="500" w:lineRule="exact"/>
        <w:ind w:firstLine="560" w:firstLineChars="200"/>
        <w:rPr>
          <w:rFonts w:eastAsia="仿宋_GB2312"/>
          <w:sz w:val="28"/>
          <w:szCs w:val="28"/>
        </w:rPr>
      </w:pPr>
      <w:r>
        <w:rPr>
          <w:rFonts w:hint="eastAsia" w:eastAsia="仿宋_GB2312"/>
          <w:sz w:val="28"/>
          <w:szCs w:val="28"/>
        </w:rPr>
        <w:t>（3）《全国人民代表大会常务委员会关于修改〈中华人民共和国水污染防治法〉的决定》，由中华人民共和国第十二届全国人民代表大会常务委员会第二十八次会议于2017年6月27日通过，自2018年1月1日起施行；</w:t>
      </w:r>
    </w:p>
    <w:p>
      <w:pPr>
        <w:widowControl/>
        <w:spacing w:line="500" w:lineRule="exact"/>
        <w:ind w:firstLine="560" w:firstLineChars="200"/>
        <w:rPr>
          <w:rFonts w:eastAsia="仿宋_GB2312"/>
          <w:sz w:val="28"/>
          <w:szCs w:val="28"/>
        </w:rPr>
      </w:pPr>
      <w:r>
        <w:rPr>
          <w:rFonts w:hint="eastAsia" w:eastAsia="仿宋_GB2312"/>
          <w:sz w:val="28"/>
          <w:szCs w:val="28"/>
        </w:rPr>
        <w:t>（4）《中华人民共和国大气污染防治法》，2018年10月26日修订并施行；</w:t>
      </w:r>
    </w:p>
    <w:p>
      <w:pPr>
        <w:widowControl/>
        <w:spacing w:line="500" w:lineRule="exact"/>
        <w:ind w:firstLine="560" w:firstLineChars="200"/>
        <w:rPr>
          <w:rFonts w:eastAsia="仿宋_GB2312"/>
          <w:sz w:val="28"/>
          <w:szCs w:val="28"/>
        </w:rPr>
      </w:pPr>
      <w:r>
        <w:rPr>
          <w:rFonts w:hint="eastAsia" w:eastAsia="仿宋_GB2312"/>
          <w:sz w:val="28"/>
          <w:szCs w:val="28"/>
        </w:rPr>
        <w:t>（5）《中华人民共和国环境噪声污染防治法》，2021年12月2</w:t>
      </w:r>
      <w:r>
        <w:rPr>
          <w:rFonts w:eastAsia="仿宋_GB2312"/>
          <w:sz w:val="28"/>
          <w:szCs w:val="28"/>
        </w:rPr>
        <w:t>4</w:t>
      </w:r>
      <w:r>
        <w:rPr>
          <w:rFonts w:hint="eastAsia" w:eastAsia="仿宋_GB2312"/>
          <w:sz w:val="28"/>
          <w:szCs w:val="28"/>
        </w:rPr>
        <w:t>日，第十三届全国人民代表大会常务委员会第三十二次会议通过对《中华人民共和国环境噪声污染防治法》作出修改，</w:t>
      </w:r>
      <w:r>
        <w:rPr>
          <w:rFonts w:eastAsia="仿宋_GB2312"/>
          <w:sz w:val="28"/>
          <w:szCs w:val="28"/>
        </w:rPr>
        <w:t>自</w:t>
      </w:r>
      <w:r>
        <w:rPr>
          <w:rFonts w:hint="eastAsia" w:eastAsia="仿宋_GB2312"/>
          <w:sz w:val="28"/>
          <w:szCs w:val="28"/>
        </w:rPr>
        <w:t>2022年6月5日起实施；</w:t>
      </w:r>
    </w:p>
    <w:p>
      <w:pPr>
        <w:widowControl/>
        <w:spacing w:line="500" w:lineRule="exact"/>
        <w:ind w:firstLine="560" w:firstLineChars="200"/>
        <w:rPr>
          <w:rFonts w:eastAsia="仿宋_GB2312"/>
          <w:sz w:val="28"/>
          <w:szCs w:val="28"/>
        </w:rPr>
      </w:pPr>
      <w:r>
        <w:rPr>
          <w:rFonts w:hint="eastAsia" w:eastAsia="仿宋_GB2312"/>
          <w:sz w:val="28"/>
          <w:szCs w:val="28"/>
        </w:rPr>
        <w:t>（6）《中华人民共和国固体废物污染环境防治法》，2020年4月29日，第十三届全国人民代表大会常务委员会第十七次会议通过；</w:t>
      </w:r>
    </w:p>
    <w:p>
      <w:pPr>
        <w:widowControl/>
        <w:spacing w:line="500" w:lineRule="exact"/>
        <w:ind w:firstLine="560" w:firstLineChars="200"/>
        <w:rPr>
          <w:rFonts w:eastAsia="仿宋_GB2312"/>
          <w:sz w:val="28"/>
          <w:szCs w:val="28"/>
        </w:rPr>
      </w:pPr>
      <w:r>
        <w:rPr>
          <w:rFonts w:hint="eastAsia" w:eastAsia="仿宋_GB2312"/>
          <w:sz w:val="28"/>
          <w:szCs w:val="28"/>
        </w:rPr>
        <w:t>（7）《中华人民共和国土壤污染防治法》，自2019年1月1日起实施；</w:t>
      </w:r>
    </w:p>
    <w:p>
      <w:pPr>
        <w:widowControl/>
        <w:spacing w:line="500" w:lineRule="exact"/>
        <w:ind w:firstLine="560" w:firstLineChars="200"/>
        <w:rPr>
          <w:rFonts w:eastAsia="仿宋_GB2312"/>
          <w:sz w:val="28"/>
          <w:szCs w:val="28"/>
        </w:rPr>
      </w:pPr>
      <w:r>
        <w:rPr>
          <w:rFonts w:hint="eastAsia" w:eastAsia="仿宋_GB2312"/>
          <w:sz w:val="28"/>
          <w:szCs w:val="28"/>
        </w:rPr>
        <w:t>（8）《中华</w:t>
      </w:r>
      <w:r>
        <w:rPr>
          <w:rFonts w:eastAsia="仿宋_GB2312"/>
          <w:sz w:val="28"/>
          <w:szCs w:val="28"/>
        </w:rPr>
        <w:t>人民共和国清洁生产促进法（</w:t>
      </w:r>
      <w:r>
        <w:rPr>
          <w:rFonts w:hint="eastAsia" w:eastAsia="仿宋_GB2312"/>
          <w:sz w:val="28"/>
          <w:szCs w:val="28"/>
        </w:rPr>
        <w:t>2012</w:t>
      </w:r>
      <w:r>
        <w:rPr>
          <w:rFonts w:eastAsia="仿宋_GB2312"/>
          <w:sz w:val="28"/>
          <w:szCs w:val="28"/>
        </w:rPr>
        <w:t>）</w:t>
      </w:r>
      <w:r>
        <w:rPr>
          <w:rFonts w:hint="eastAsia" w:eastAsia="仿宋_GB2312"/>
          <w:sz w:val="28"/>
          <w:szCs w:val="28"/>
        </w:rPr>
        <w:t>》，第十一届</w:t>
      </w:r>
      <w:r>
        <w:rPr>
          <w:rFonts w:eastAsia="仿宋_GB2312"/>
          <w:sz w:val="28"/>
          <w:szCs w:val="28"/>
        </w:rPr>
        <w:t>全国人民代表大会常务委员会第二十五次会议于</w:t>
      </w:r>
      <w:r>
        <w:rPr>
          <w:rFonts w:hint="eastAsia" w:eastAsia="仿宋_GB2312"/>
          <w:sz w:val="28"/>
          <w:szCs w:val="28"/>
        </w:rPr>
        <w:t>2012年2月29日</w:t>
      </w:r>
      <w:r>
        <w:rPr>
          <w:rFonts w:eastAsia="仿宋_GB2312"/>
          <w:sz w:val="28"/>
          <w:szCs w:val="28"/>
        </w:rPr>
        <w:t>修订通过，</w:t>
      </w:r>
      <w:r>
        <w:rPr>
          <w:rFonts w:hint="eastAsia" w:eastAsia="仿宋_GB2312"/>
          <w:sz w:val="28"/>
          <w:szCs w:val="28"/>
        </w:rPr>
        <w:t>2012年7月1日</w:t>
      </w:r>
      <w:r>
        <w:rPr>
          <w:rFonts w:eastAsia="仿宋_GB2312"/>
          <w:sz w:val="28"/>
          <w:szCs w:val="28"/>
        </w:rPr>
        <w:t>起</w:t>
      </w:r>
      <w:r>
        <w:rPr>
          <w:rFonts w:hint="eastAsia" w:eastAsia="仿宋_GB2312"/>
          <w:sz w:val="28"/>
          <w:szCs w:val="28"/>
        </w:rPr>
        <w:t>实施；</w:t>
      </w:r>
    </w:p>
    <w:p>
      <w:pPr>
        <w:widowControl/>
        <w:spacing w:line="500" w:lineRule="exact"/>
        <w:ind w:firstLine="560" w:firstLineChars="200"/>
        <w:rPr>
          <w:rFonts w:eastAsia="仿宋_GB2312"/>
          <w:sz w:val="28"/>
          <w:szCs w:val="28"/>
        </w:rPr>
      </w:pPr>
      <w:r>
        <w:rPr>
          <w:rFonts w:hint="eastAsia" w:eastAsia="仿宋_GB2312"/>
          <w:sz w:val="28"/>
          <w:szCs w:val="28"/>
        </w:rPr>
        <w:t>（9）《建设项目环境保护管理条例》，国务院令第682号，2017年7月16日颁布，自2017年10月1日起施行；</w:t>
      </w:r>
    </w:p>
    <w:p>
      <w:pPr>
        <w:widowControl/>
        <w:spacing w:line="500" w:lineRule="exact"/>
        <w:ind w:firstLine="560" w:firstLineChars="200"/>
        <w:rPr>
          <w:rFonts w:eastAsia="仿宋_GB2312"/>
          <w:sz w:val="28"/>
          <w:szCs w:val="28"/>
        </w:rPr>
      </w:pPr>
      <w:r>
        <w:rPr>
          <w:rFonts w:hint="eastAsia" w:eastAsia="仿宋_GB2312"/>
          <w:sz w:val="28"/>
          <w:szCs w:val="28"/>
        </w:rPr>
        <w:t>（10）《建设项目环境影响评价分类管理名录（2021年版）》，2020年11月5日生态环境部部务会议审议通过，自2021年1月1日起施行；</w:t>
      </w:r>
    </w:p>
    <w:p>
      <w:pPr>
        <w:widowControl/>
        <w:spacing w:line="500" w:lineRule="exact"/>
        <w:ind w:firstLine="560" w:firstLineChars="200"/>
        <w:rPr>
          <w:rFonts w:eastAsia="仿宋_GB2312"/>
          <w:sz w:val="28"/>
          <w:szCs w:val="28"/>
        </w:rPr>
      </w:pPr>
      <w:r>
        <w:rPr>
          <w:rFonts w:hint="eastAsia" w:eastAsia="仿宋_GB2312"/>
          <w:sz w:val="28"/>
          <w:szCs w:val="28"/>
        </w:rPr>
        <w:t>（11）《国家危险废物名录 2021年版》，于2020年11月5日经生态环境部部务会议审议通过，自2021年1月1日起施行；</w:t>
      </w:r>
    </w:p>
    <w:p>
      <w:pPr>
        <w:widowControl/>
        <w:spacing w:line="500" w:lineRule="exact"/>
        <w:ind w:firstLine="560" w:firstLineChars="200"/>
        <w:rPr>
          <w:rFonts w:eastAsia="仿宋_GB2312"/>
          <w:sz w:val="28"/>
          <w:szCs w:val="28"/>
        </w:rPr>
      </w:pPr>
      <w:r>
        <w:rPr>
          <w:rFonts w:hint="eastAsia" w:eastAsia="仿宋_GB2312"/>
          <w:sz w:val="28"/>
          <w:szCs w:val="28"/>
        </w:rPr>
        <w:t>（12）《危险废物转移管理</w:t>
      </w:r>
      <w:r>
        <w:rPr>
          <w:rFonts w:eastAsia="仿宋_GB2312"/>
          <w:sz w:val="28"/>
          <w:szCs w:val="28"/>
        </w:rPr>
        <w:t>办法</w:t>
      </w:r>
      <w:r>
        <w:rPr>
          <w:rFonts w:hint="eastAsia" w:eastAsia="仿宋_GB2312"/>
          <w:sz w:val="28"/>
          <w:szCs w:val="28"/>
        </w:rPr>
        <w:t>》，生态</w:t>
      </w:r>
      <w:r>
        <w:rPr>
          <w:rFonts w:eastAsia="仿宋_GB2312"/>
          <w:sz w:val="28"/>
          <w:szCs w:val="28"/>
        </w:rPr>
        <w:t>环境部</w:t>
      </w:r>
      <w:r>
        <w:rPr>
          <w:rFonts w:hint="eastAsia" w:eastAsia="仿宋_GB2312"/>
          <w:sz w:val="28"/>
          <w:szCs w:val="28"/>
        </w:rPr>
        <w:t>、</w:t>
      </w:r>
      <w:r>
        <w:rPr>
          <w:rFonts w:eastAsia="仿宋_GB2312"/>
          <w:sz w:val="28"/>
          <w:szCs w:val="28"/>
        </w:rPr>
        <w:t>公安部、</w:t>
      </w:r>
      <w:r>
        <w:rPr>
          <w:rFonts w:hint="eastAsia" w:eastAsia="仿宋_GB2312"/>
          <w:sz w:val="28"/>
          <w:szCs w:val="28"/>
        </w:rPr>
        <w:t>交通</w:t>
      </w:r>
      <w:r>
        <w:rPr>
          <w:rFonts w:eastAsia="仿宋_GB2312"/>
          <w:sz w:val="28"/>
          <w:szCs w:val="28"/>
        </w:rPr>
        <w:t>运输部</w:t>
      </w:r>
      <w:r>
        <w:rPr>
          <w:rFonts w:hint="eastAsia" w:eastAsia="仿宋_GB2312"/>
          <w:sz w:val="28"/>
          <w:szCs w:val="28"/>
        </w:rPr>
        <w:t>令第23号；</w:t>
      </w:r>
    </w:p>
    <w:p>
      <w:pPr>
        <w:widowControl/>
        <w:spacing w:line="500" w:lineRule="exact"/>
        <w:ind w:firstLine="560" w:firstLineChars="200"/>
        <w:rPr>
          <w:rFonts w:eastAsia="仿宋_GB2312"/>
          <w:sz w:val="28"/>
          <w:szCs w:val="28"/>
        </w:rPr>
      </w:pPr>
      <w:r>
        <w:rPr>
          <w:rFonts w:hint="eastAsia" w:eastAsia="仿宋_GB2312"/>
          <w:sz w:val="28"/>
          <w:szCs w:val="28"/>
        </w:rPr>
        <w:t>（13）《国务院关于印发&lt;大气污染防治行动计划&gt;的通知》（国发[2013]37号）；</w:t>
      </w:r>
    </w:p>
    <w:p>
      <w:pPr>
        <w:widowControl/>
        <w:spacing w:line="500" w:lineRule="exact"/>
        <w:ind w:firstLine="560" w:firstLineChars="200"/>
        <w:rPr>
          <w:rFonts w:eastAsia="仿宋_GB2312"/>
          <w:sz w:val="28"/>
          <w:szCs w:val="28"/>
        </w:rPr>
      </w:pPr>
      <w:r>
        <w:rPr>
          <w:rFonts w:hint="eastAsia" w:eastAsia="仿宋_GB2312"/>
          <w:sz w:val="28"/>
          <w:szCs w:val="28"/>
        </w:rPr>
        <w:t>（14）《国务院关于印发&lt;土壤污染防治行动计划&gt;的通知》（国发[2016]31号），2016年5月28日；</w:t>
      </w:r>
    </w:p>
    <w:p>
      <w:pPr>
        <w:widowControl/>
        <w:spacing w:line="500" w:lineRule="exact"/>
        <w:ind w:firstLine="560" w:firstLineChars="200"/>
        <w:rPr>
          <w:rFonts w:eastAsia="仿宋_GB2312"/>
          <w:sz w:val="28"/>
          <w:szCs w:val="28"/>
        </w:rPr>
      </w:pPr>
      <w:r>
        <w:rPr>
          <w:rFonts w:hint="eastAsia" w:eastAsia="仿宋_GB2312"/>
          <w:sz w:val="28"/>
          <w:szCs w:val="28"/>
        </w:rPr>
        <w:t>（15）《建设项目环境影响评价文件分级审批规定》（中华人民共和国环境保护部令第5号），2009年3月1日；</w:t>
      </w:r>
    </w:p>
    <w:p>
      <w:pPr>
        <w:widowControl/>
        <w:spacing w:line="500" w:lineRule="exact"/>
        <w:ind w:firstLine="560" w:firstLineChars="200"/>
        <w:rPr>
          <w:rFonts w:eastAsia="仿宋_GB2312"/>
          <w:sz w:val="28"/>
          <w:szCs w:val="28"/>
        </w:rPr>
      </w:pPr>
      <w:r>
        <w:rPr>
          <w:rFonts w:hint="eastAsia" w:eastAsia="仿宋_GB2312"/>
          <w:sz w:val="28"/>
          <w:szCs w:val="28"/>
        </w:rPr>
        <w:t>（16）《关于发布&lt;环境保护部审批环境影响评价文件的建设项目目录（2015年本）&gt;的公告》（环境保护部公告 2015年第17号）；</w:t>
      </w:r>
    </w:p>
    <w:p>
      <w:pPr>
        <w:widowControl/>
        <w:spacing w:line="500" w:lineRule="exact"/>
        <w:ind w:firstLine="560" w:firstLineChars="200"/>
        <w:rPr>
          <w:rFonts w:eastAsia="仿宋_GB2312"/>
          <w:sz w:val="28"/>
          <w:szCs w:val="28"/>
        </w:rPr>
      </w:pPr>
      <w:r>
        <w:rPr>
          <w:rFonts w:hint="eastAsia" w:eastAsia="仿宋_GB2312"/>
          <w:sz w:val="28"/>
          <w:szCs w:val="28"/>
        </w:rPr>
        <w:t>（17）《太湖流域管理条例》（中华人民共和国国务院令第604号），自2011年11月1日起实施；</w:t>
      </w:r>
    </w:p>
    <w:p>
      <w:pPr>
        <w:widowControl/>
        <w:spacing w:line="500" w:lineRule="exact"/>
        <w:ind w:firstLine="560" w:firstLineChars="200"/>
        <w:rPr>
          <w:rFonts w:eastAsia="仿宋_GB2312"/>
          <w:sz w:val="28"/>
          <w:szCs w:val="28"/>
        </w:rPr>
      </w:pPr>
      <w:r>
        <w:rPr>
          <w:rFonts w:hint="eastAsia" w:eastAsia="仿宋_GB2312"/>
          <w:sz w:val="28"/>
          <w:szCs w:val="28"/>
        </w:rPr>
        <w:t>（18）《关于切实加强风险防范严格环境影响评价管理的通知》（环发[2012]98号）；</w:t>
      </w:r>
    </w:p>
    <w:p>
      <w:pPr>
        <w:widowControl/>
        <w:spacing w:line="500" w:lineRule="exact"/>
        <w:ind w:firstLine="560" w:firstLineChars="200"/>
        <w:rPr>
          <w:rFonts w:eastAsia="仿宋_GB2312"/>
          <w:sz w:val="28"/>
          <w:szCs w:val="28"/>
        </w:rPr>
      </w:pPr>
      <w:r>
        <w:rPr>
          <w:rFonts w:hint="eastAsia" w:eastAsia="仿宋_GB2312"/>
          <w:sz w:val="28"/>
          <w:szCs w:val="28"/>
        </w:rPr>
        <w:t>（19）《关于印发〈建设项目环境影响评价政府信息公开指南（试行）〉的通知》（环办[2013]103号）；</w:t>
      </w:r>
    </w:p>
    <w:p>
      <w:pPr>
        <w:widowControl/>
        <w:spacing w:line="500" w:lineRule="exact"/>
        <w:ind w:firstLine="560" w:firstLineChars="200"/>
        <w:rPr>
          <w:rFonts w:eastAsia="仿宋_GB2312"/>
          <w:sz w:val="28"/>
          <w:szCs w:val="28"/>
        </w:rPr>
      </w:pPr>
      <w:r>
        <w:rPr>
          <w:rFonts w:hint="eastAsia" w:eastAsia="仿宋_GB2312"/>
          <w:sz w:val="28"/>
          <w:szCs w:val="28"/>
        </w:rPr>
        <w:t>（20）《关于印发&lt;建设项目主要污染物排放总量指标审核及管理暂行办法&gt;的通知》（环发[2014]197号）；</w:t>
      </w:r>
    </w:p>
    <w:p>
      <w:pPr>
        <w:widowControl/>
        <w:spacing w:line="500" w:lineRule="exact"/>
        <w:ind w:firstLine="560" w:firstLineChars="200"/>
        <w:rPr>
          <w:rFonts w:eastAsia="仿宋_GB2312"/>
          <w:sz w:val="28"/>
          <w:szCs w:val="28"/>
        </w:rPr>
      </w:pPr>
      <w:r>
        <w:rPr>
          <w:rFonts w:hint="eastAsia" w:eastAsia="仿宋_GB2312"/>
          <w:sz w:val="28"/>
          <w:szCs w:val="28"/>
        </w:rPr>
        <w:t>（21）《挥发性有机物（VOCs）污染防治技术政策》（中华人民共和国环境保护部 公告2013年第31号），2013年5月24日起实施；</w:t>
      </w:r>
    </w:p>
    <w:p>
      <w:pPr>
        <w:widowControl/>
        <w:spacing w:line="500" w:lineRule="exact"/>
        <w:ind w:firstLine="560" w:firstLineChars="200"/>
        <w:rPr>
          <w:rFonts w:eastAsia="仿宋_GB2312"/>
          <w:sz w:val="28"/>
          <w:szCs w:val="28"/>
        </w:rPr>
      </w:pPr>
      <w:r>
        <w:rPr>
          <w:rFonts w:hint="eastAsia" w:eastAsia="仿宋_GB2312"/>
          <w:sz w:val="28"/>
          <w:szCs w:val="28"/>
        </w:rPr>
        <w:t>（22）《环境空气细颗粒物污染综合防治技术政策》（中华人民共和国环境保护部 公告2013年第59号），2013年9月25日起实施；</w:t>
      </w:r>
    </w:p>
    <w:p>
      <w:pPr>
        <w:widowControl/>
        <w:spacing w:line="500" w:lineRule="exact"/>
        <w:ind w:firstLine="560" w:firstLineChars="200"/>
        <w:rPr>
          <w:rFonts w:eastAsia="仿宋_GB2312"/>
          <w:sz w:val="28"/>
          <w:szCs w:val="28"/>
        </w:rPr>
      </w:pPr>
      <w:r>
        <w:rPr>
          <w:rFonts w:hint="eastAsia" w:eastAsia="仿宋_GB2312"/>
          <w:sz w:val="28"/>
          <w:szCs w:val="28"/>
        </w:rPr>
        <w:t>（23）《重点行业挥发性有机物综合治理方案》（环大气[2019]53号），2019年6月29日；</w:t>
      </w:r>
    </w:p>
    <w:p>
      <w:pPr>
        <w:widowControl/>
        <w:spacing w:line="500" w:lineRule="exact"/>
        <w:ind w:firstLine="560" w:firstLineChars="200"/>
        <w:rPr>
          <w:rFonts w:eastAsia="仿宋_GB2312"/>
          <w:sz w:val="28"/>
          <w:szCs w:val="28"/>
        </w:rPr>
      </w:pPr>
      <w:r>
        <w:rPr>
          <w:rFonts w:hint="eastAsia" w:eastAsia="仿宋_GB2312"/>
          <w:sz w:val="28"/>
          <w:szCs w:val="28"/>
        </w:rPr>
        <w:t>（24）《“生态保护红线、环境质量底线、资源利用上线和环境准入负面清单”编制技术指南（试行）》（环办环评[2017]99号）；</w:t>
      </w:r>
    </w:p>
    <w:p>
      <w:pPr>
        <w:widowControl/>
        <w:spacing w:line="500" w:lineRule="exact"/>
        <w:ind w:firstLine="560" w:firstLineChars="200"/>
        <w:rPr>
          <w:rFonts w:eastAsia="仿宋_GB2312"/>
          <w:sz w:val="28"/>
          <w:szCs w:val="28"/>
        </w:rPr>
      </w:pPr>
      <w:r>
        <w:rPr>
          <w:rFonts w:hint="eastAsia" w:eastAsia="仿宋_GB2312"/>
          <w:sz w:val="28"/>
          <w:szCs w:val="28"/>
        </w:rPr>
        <w:t>（25）《环境影响评价公众参与办法》（生态环境部部令第4号），自2019年1月1日起施行；</w:t>
      </w:r>
    </w:p>
    <w:p>
      <w:pPr>
        <w:widowControl/>
        <w:spacing w:line="500" w:lineRule="exact"/>
        <w:ind w:firstLine="560" w:firstLineChars="200"/>
        <w:rPr>
          <w:rFonts w:eastAsia="仿宋_GB2312"/>
          <w:sz w:val="28"/>
          <w:szCs w:val="28"/>
        </w:rPr>
      </w:pPr>
      <w:r>
        <w:rPr>
          <w:rFonts w:hint="eastAsia" w:eastAsia="仿宋_GB2312"/>
          <w:sz w:val="28"/>
          <w:szCs w:val="28"/>
        </w:rPr>
        <w:t>（26）《关于发布&lt;环境影响评价公众参与办法&gt;配套文件的公告》，自2019年1月1日起施行；</w:t>
      </w:r>
    </w:p>
    <w:p>
      <w:pPr>
        <w:widowControl/>
        <w:spacing w:line="500" w:lineRule="exact"/>
        <w:ind w:firstLine="560" w:firstLineChars="200"/>
        <w:rPr>
          <w:rFonts w:eastAsia="仿宋_GB2312"/>
          <w:sz w:val="28"/>
          <w:szCs w:val="28"/>
        </w:rPr>
      </w:pPr>
      <w:r>
        <w:rPr>
          <w:rFonts w:hint="eastAsia" w:eastAsia="仿宋_GB2312"/>
          <w:sz w:val="28"/>
          <w:szCs w:val="28"/>
        </w:rPr>
        <w:t>（27）《一般</w:t>
      </w:r>
      <w:r>
        <w:rPr>
          <w:rFonts w:eastAsia="仿宋_GB2312"/>
          <w:sz w:val="28"/>
          <w:szCs w:val="28"/>
        </w:rPr>
        <w:t>工业</w:t>
      </w:r>
      <w:r>
        <w:rPr>
          <w:rFonts w:hint="eastAsia" w:eastAsia="仿宋_GB2312"/>
          <w:sz w:val="28"/>
          <w:szCs w:val="28"/>
        </w:rPr>
        <w:t>固体</w:t>
      </w:r>
      <w:r>
        <w:rPr>
          <w:rFonts w:eastAsia="仿宋_GB2312"/>
          <w:sz w:val="28"/>
          <w:szCs w:val="28"/>
        </w:rPr>
        <w:t>废物贮存和填埋污染控制指南</w:t>
      </w:r>
      <w:r>
        <w:rPr>
          <w:rFonts w:hint="eastAsia" w:eastAsia="仿宋_GB2312"/>
          <w:sz w:val="28"/>
          <w:szCs w:val="28"/>
        </w:rPr>
        <w:t>》（GB18599-2020），2021年7月1日</w:t>
      </w:r>
      <w:r>
        <w:rPr>
          <w:rFonts w:eastAsia="仿宋_GB2312"/>
          <w:sz w:val="28"/>
          <w:szCs w:val="28"/>
        </w:rPr>
        <w:t>实施</w:t>
      </w:r>
      <w:r>
        <w:rPr>
          <w:rFonts w:hint="eastAsia" w:eastAsia="仿宋_GB2312"/>
          <w:sz w:val="28"/>
          <w:szCs w:val="28"/>
        </w:rPr>
        <w:t>；</w:t>
      </w:r>
    </w:p>
    <w:p>
      <w:pPr>
        <w:widowControl/>
        <w:spacing w:line="500" w:lineRule="exact"/>
        <w:ind w:firstLine="560" w:firstLineChars="200"/>
        <w:rPr>
          <w:rFonts w:eastAsia="仿宋_GB2312"/>
          <w:sz w:val="28"/>
          <w:szCs w:val="28"/>
        </w:rPr>
      </w:pPr>
      <w:r>
        <w:rPr>
          <w:rFonts w:hint="eastAsia" w:eastAsia="仿宋_GB2312"/>
          <w:sz w:val="28"/>
          <w:szCs w:val="28"/>
        </w:rPr>
        <w:t>（28）《关于以改善环境质量为核心加强环境影响评价管理的通知》（环环评[2016]150号）；</w:t>
      </w:r>
    </w:p>
    <w:p>
      <w:pPr>
        <w:widowControl/>
        <w:spacing w:line="500" w:lineRule="exact"/>
        <w:ind w:firstLine="560" w:firstLineChars="200"/>
        <w:rPr>
          <w:rFonts w:eastAsia="仿宋_GB2312"/>
          <w:sz w:val="28"/>
          <w:szCs w:val="28"/>
        </w:rPr>
      </w:pPr>
      <w:r>
        <w:rPr>
          <w:rFonts w:hint="eastAsia" w:eastAsia="仿宋_GB2312"/>
          <w:sz w:val="28"/>
          <w:szCs w:val="28"/>
        </w:rPr>
        <w:t>（29）《关于加强规划环境影响评价与建设项目环境影响评价联动工作的意见》（环发[2015]178号）；</w:t>
      </w:r>
    </w:p>
    <w:p>
      <w:pPr>
        <w:widowControl/>
        <w:spacing w:line="500" w:lineRule="exact"/>
        <w:ind w:firstLine="560" w:firstLineChars="200"/>
        <w:rPr>
          <w:rFonts w:eastAsia="仿宋_GB2312"/>
          <w:sz w:val="28"/>
          <w:szCs w:val="28"/>
        </w:rPr>
      </w:pPr>
      <w:r>
        <w:rPr>
          <w:rFonts w:hint="eastAsia" w:eastAsia="仿宋_GB2312"/>
          <w:sz w:val="28"/>
          <w:szCs w:val="28"/>
        </w:rPr>
        <w:t>（30）《关于取消建设项目环境影响评价资质行政许可事项后续相关工作要求的公告（暂行）》，生态环境部，公告 2019年 第2号，2019年1月19日；</w:t>
      </w:r>
    </w:p>
    <w:p>
      <w:pPr>
        <w:widowControl/>
        <w:spacing w:line="500" w:lineRule="exact"/>
        <w:ind w:firstLine="560" w:firstLineChars="200"/>
        <w:rPr>
          <w:rFonts w:eastAsia="仿宋_GB2312"/>
          <w:sz w:val="28"/>
          <w:szCs w:val="28"/>
        </w:rPr>
      </w:pPr>
      <w:r>
        <w:rPr>
          <w:rFonts w:hint="eastAsia" w:eastAsia="仿宋_GB2312"/>
          <w:sz w:val="28"/>
          <w:szCs w:val="28"/>
        </w:rPr>
        <w:t>（31）关于发布《有毒有害大气污染物名录（2018年）》的公告（公告 2019年第4号）；</w:t>
      </w:r>
    </w:p>
    <w:p>
      <w:pPr>
        <w:widowControl/>
        <w:spacing w:line="500" w:lineRule="exact"/>
        <w:ind w:firstLine="560" w:firstLineChars="200"/>
        <w:rPr>
          <w:rFonts w:eastAsia="仿宋_GB2312"/>
          <w:sz w:val="28"/>
          <w:szCs w:val="28"/>
        </w:rPr>
      </w:pPr>
      <w:r>
        <w:rPr>
          <w:rFonts w:hint="eastAsia" w:eastAsia="仿宋_GB2312"/>
          <w:sz w:val="28"/>
          <w:szCs w:val="28"/>
        </w:rPr>
        <w:t>（32）《排污许可管理办法》（试行）（2019年修改）；</w:t>
      </w:r>
    </w:p>
    <w:p>
      <w:pPr>
        <w:widowControl/>
        <w:spacing w:line="500" w:lineRule="exact"/>
        <w:ind w:firstLine="560" w:firstLineChars="200"/>
        <w:rPr>
          <w:rFonts w:eastAsia="仿宋_GB2312"/>
          <w:sz w:val="28"/>
          <w:szCs w:val="28"/>
        </w:rPr>
      </w:pPr>
      <w:r>
        <w:rPr>
          <w:rFonts w:hint="eastAsia" w:eastAsia="仿宋_GB2312"/>
          <w:sz w:val="28"/>
          <w:szCs w:val="28"/>
        </w:rPr>
        <w:t>（33）《关于</w:t>
      </w:r>
      <w:r>
        <w:rPr>
          <w:rFonts w:eastAsia="仿宋_GB2312"/>
          <w:sz w:val="28"/>
          <w:szCs w:val="28"/>
        </w:rPr>
        <w:t>做好</w:t>
      </w:r>
      <w:r>
        <w:rPr>
          <w:rFonts w:hint="eastAsia" w:eastAsia="仿宋_GB2312"/>
          <w:sz w:val="28"/>
          <w:szCs w:val="28"/>
        </w:rPr>
        <w:t>环境</w:t>
      </w:r>
      <w:r>
        <w:rPr>
          <w:rFonts w:eastAsia="仿宋_GB2312"/>
          <w:sz w:val="28"/>
          <w:szCs w:val="28"/>
        </w:rPr>
        <w:t>影响评价</w:t>
      </w:r>
      <w:r>
        <w:rPr>
          <w:rFonts w:hint="eastAsia" w:eastAsia="仿宋_GB2312"/>
          <w:sz w:val="28"/>
          <w:szCs w:val="28"/>
        </w:rPr>
        <w:t>与排污许可制衔接相干</w:t>
      </w:r>
      <w:r>
        <w:rPr>
          <w:rFonts w:eastAsia="仿宋_GB2312"/>
          <w:sz w:val="28"/>
          <w:szCs w:val="28"/>
        </w:rPr>
        <w:t>工作的</w:t>
      </w:r>
      <w:r>
        <w:rPr>
          <w:rFonts w:hint="eastAsia" w:eastAsia="仿宋_GB2312"/>
          <w:sz w:val="28"/>
          <w:szCs w:val="28"/>
        </w:rPr>
        <w:t>通知》（环办</w:t>
      </w:r>
      <w:r>
        <w:rPr>
          <w:rFonts w:eastAsia="仿宋_GB2312"/>
          <w:sz w:val="28"/>
          <w:szCs w:val="28"/>
        </w:rPr>
        <w:t>环评</w:t>
      </w:r>
      <w:r>
        <w:rPr>
          <w:rFonts w:hint="eastAsia" w:eastAsia="仿宋_GB2312"/>
          <w:sz w:val="28"/>
          <w:szCs w:val="28"/>
        </w:rPr>
        <w:t>[</w:t>
      </w:r>
      <w:r>
        <w:rPr>
          <w:rFonts w:eastAsia="仿宋_GB2312"/>
          <w:sz w:val="28"/>
          <w:szCs w:val="28"/>
        </w:rPr>
        <w:t>2017</w:t>
      </w:r>
      <w:r>
        <w:rPr>
          <w:rFonts w:hint="eastAsia" w:eastAsia="仿宋_GB2312"/>
          <w:sz w:val="28"/>
          <w:szCs w:val="28"/>
        </w:rPr>
        <w:t>]</w:t>
      </w:r>
      <w:r>
        <w:rPr>
          <w:rFonts w:eastAsia="仿宋_GB2312"/>
          <w:sz w:val="28"/>
          <w:szCs w:val="28"/>
        </w:rPr>
        <w:t>84</w:t>
      </w:r>
      <w:r>
        <w:rPr>
          <w:rFonts w:hint="eastAsia" w:eastAsia="仿宋_GB2312"/>
          <w:sz w:val="28"/>
          <w:szCs w:val="28"/>
        </w:rPr>
        <w:t>号）；</w:t>
      </w:r>
    </w:p>
    <w:p>
      <w:pPr>
        <w:widowControl/>
        <w:spacing w:line="500" w:lineRule="exact"/>
        <w:ind w:firstLine="560" w:firstLineChars="200"/>
        <w:rPr>
          <w:rFonts w:eastAsia="仿宋_GB2312"/>
          <w:sz w:val="28"/>
          <w:szCs w:val="28"/>
        </w:rPr>
      </w:pPr>
      <w:r>
        <w:rPr>
          <w:rFonts w:hint="eastAsia" w:eastAsia="仿宋_GB2312"/>
          <w:sz w:val="28"/>
          <w:szCs w:val="28"/>
        </w:rPr>
        <w:t>（34）《排污</w:t>
      </w:r>
      <w:r>
        <w:rPr>
          <w:rFonts w:eastAsia="仿宋_GB2312"/>
          <w:sz w:val="28"/>
          <w:szCs w:val="28"/>
        </w:rPr>
        <w:t>许可管理条例</w:t>
      </w:r>
      <w:r>
        <w:rPr>
          <w:rFonts w:hint="eastAsia" w:eastAsia="仿宋_GB2312"/>
          <w:sz w:val="28"/>
          <w:szCs w:val="28"/>
        </w:rPr>
        <w:t>》（中华</w:t>
      </w:r>
      <w:r>
        <w:rPr>
          <w:rFonts w:eastAsia="仿宋_GB2312"/>
          <w:sz w:val="28"/>
          <w:szCs w:val="28"/>
        </w:rPr>
        <w:t>人民共和国国务院令</w:t>
      </w:r>
      <w:r>
        <w:rPr>
          <w:rFonts w:hint="eastAsia" w:eastAsia="仿宋_GB2312"/>
          <w:sz w:val="28"/>
          <w:szCs w:val="28"/>
        </w:rPr>
        <w:t>，第736号），2021年3月1日</w:t>
      </w:r>
      <w:r>
        <w:rPr>
          <w:rFonts w:eastAsia="仿宋_GB2312"/>
          <w:sz w:val="28"/>
          <w:szCs w:val="28"/>
        </w:rPr>
        <w:t>起</w:t>
      </w:r>
      <w:r>
        <w:rPr>
          <w:rFonts w:hint="eastAsia" w:eastAsia="仿宋_GB2312"/>
          <w:sz w:val="28"/>
          <w:szCs w:val="28"/>
        </w:rPr>
        <w:t>实施；</w:t>
      </w:r>
    </w:p>
    <w:p>
      <w:pPr>
        <w:widowControl/>
        <w:spacing w:line="500" w:lineRule="exact"/>
        <w:ind w:firstLine="560" w:firstLineChars="200"/>
        <w:rPr>
          <w:rFonts w:eastAsia="仿宋_GB2312"/>
          <w:sz w:val="28"/>
          <w:szCs w:val="28"/>
        </w:rPr>
      </w:pPr>
      <w:r>
        <w:rPr>
          <w:rFonts w:hint="eastAsia" w:eastAsia="仿宋_GB2312"/>
          <w:sz w:val="28"/>
          <w:szCs w:val="28"/>
        </w:rPr>
        <w:t>（35）关于</w:t>
      </w:r>
      <w:r>
        <w:rPr>
          <w:rFonts w:eastAsia="仿宋_GB2312"/>
          <w:sz w:val="28"/>
          <w:szCs w:val="28"/>
        </w:rPr>
        <w:t>发布《</w:t>
      </w:r>
      <w:r>
        <w:rPr>
          <w:rFonts w:hint="eastAsia" w:eastAsia="仿宋_GB2312"/>
          <w:sz w:val="28"/>
          <w:szCs w:val="28"/>
        </w:rPr>
        <w:t>建设</w:t>
      </w:r>
      <w:r>
        <w:rPr>
          <w:rFonts w:eastAsia="仿宋_GB2312"/>
          <w:sz w:val="28"/>
          <w:szCs w:val="28"/>
        </w:rPr>
        <w:t>项目竣工</w:t>
      </w:r>
      <w:r>
        <w:rPr>
          <w:rFonts w:hint="eastAsia" w:eastAsia="仿宋_GB2312"/>
          <w:sz w:val="28"/>
          <w:szCs w:val="28"/>
        </w:rPr>
        <w:t>环境</w:t>
      </w:r>
      <w:r>
        <w:rPr>
          <w:rFonts w:eastAsia="仿宋_GB2312"/>
          <w:sz w:val="28"/>
          <w:szCs w:val="28"/>
        </w:rPr>
        <w:t>保护验收暂行办法》</w:t>
      </w:r>
      <w:r>
        <w:rPr>
          <w:rFonts w:hint="eastAsia" w:eastAsia="仿宋_GB2312"/>
          <w:sz w:val="28"/>
          <w:szCs w:val="28"/>
        </w:rPr>
        <w:t>的</w:t>
      </w:r>
      <w:r>
        <w:rPr>
          <w:rFonts w:eastAsia="仿宋_GB2312"/>
          <w:sz w:val="28"/>
          <w:szCs w:val="28"/>
        </w:rPr>
        <w:t>公告（</w:t>
      </w:r>
      <w:r>
        <w:rPr>
          <w:rFonts w:hint="eastAsia" w:eastAsia="仿宋_GB2312"/>
          <w:sz w:val="28"/>
          <w:szCs w:val="28"/>
        </w:rPr>
        <w:t>国环</w:t>
      </w:r>
      <w:r>
        <w:rPr>
          <w:rFonts w:eastAsia="仿宋_GB2312"/>
          <w:sz w:val="28"/>
          <w:szCs w:val="28"/>
        </w:rPr>
        <w:t>规环评[2017]4</w:t>
      </w:r>
      <w:r>
        <w:rPr>
          <w:rFonts w:hint="eastAsia" w:eastAsia="仿宋_GB2312"/>
          <w:sz w:val="28"/>
          <w:szCs w:val="28"/>
        </w:rPr>
        <w:t>号</w:t>
      </w:r>
      <w:r>
        <w:rPr>
          <w:rFonts w:eastAsia="仿宋_GB2312"/>
          <w:sz w:val="28"/>
          <w:szCs w:val="28"/>
        </w:rPr>
        <w:t>）</w:t>
      </w:r>
      <w:r>
        <w:rPr>
          <w:rFonts w:hint="eastAsia" w:eastAsia="仿宋_GB2312"/>
          <w:sz w:val="28"/>
          <w:szCs w:val="28"/>
        </w:rPr>
        <w:t>；</w:t>
      </w:r>
    </w:p>
    <w:p>
      <w:pPr>
        <w:widowControl/>
        <w:spacing w:line="500" w:lineRule="exact"/>
        <w:ind w:firstLine="560" w:firstLineChars="200"/>
        <w:rPr>
          <w:rFonts w:eastAsia="仿宋_GB2312"/>
          <w:sz w:val="28"/>
          <w:szCs w:val="28"/>
        </w:rPr>
      </w:pPr>
      <w:r>
        <w:rPr>
          <w:rFonts w:hint="eastAsia" w:eastAsia="仿宋_GB2312"/>
          <w:sz w:val="28"/>
          <w:szCs w:val="28"/>
        </w:rPr>
        <w:t>（36）《地下水管理</w:t>
      </w:r>
      <w:r>
        <w:rPr>
          <w:rFonts w:eastAsia="仿宋_GB2312"/>
          <w:sz w:val="28"/>
          <w:szCs w:val="28"/>
        </w:rPr>
        <w:t>条例</w:t>
      </w:r>
      <w:r>
        <w:rPr>
          <w:rFonts w:hint="eastAsia" w:eastAsia="仿宋_GB2312"/>
          <w:sz w:val="28"/>
          <w:szCs w:val="28"/>
        </w:rPr>
        <w:t>》（国令</w:t>
      </w:r>
      <w:r>
        <w:rPr>
          <w:rFonts w:eastAsia="仿宋_GB2312"/>
          <w:sz w:val="28"/>
          <w:szCs w:val="28"/>
        </w:rPr>
        <w:t>第</w:t>
      </w:r>
      <w:r>
        <w:rPr>
          <w:rFonts w:hint="eastAsia" w:eastAsia="仿宋_GB2312"/>
          <w:sz w:val="28"/>
          <w:szCs w:val="28"/>
        </w:rPr>
        <w:t>748号）；</w:t>
      </w:r>
    </w:p>
    <w:p>
      <w:pPr>
        <w:widowControl/>
        <w:spacing w:line="500" w:lineRule="exact"/>
        <w:ind w:firstLine="560" w:firstLineChars="200"/>
        <w:rPr>
          <w:rFonts w:eastAsia="仿宋_GB2312"/>
          <w:sz w:val="28"/>
          <w:szCs w:val="28"/>
        </w:rPr>
      </w:pPr>
      <w:r>
        <w:rPr>
          <w:rFonts w:hint="eastAsia" w:eastAsia="仿宋_GB2312"/>
          <w:sz w:val="28"/>
          <w:szCs w:val="28"/>
        </w:rPr>
        <w:t>（</w:t>
      </w:r>
      <w:r>
        <w:rPr>
          <w:rFonts w:eastAsia="仿宋_GB2312"/>
          <w:sz w:val="28"/>
          <w:szCs w:val="28"/>
        </w:rPr>
        <w:t>37</w:t>
      </w:r>
      <w:r>
        <w:rPr>
          <w:rFonts w:hint="eastAsia" w:eastAsia="仿宋_GB2312"/>
          <w:sz w:val="28"/>
          <w:szCs w:val="28"/>
        </w:rPr>
        <w:t>）关于印发《污染影响类建设项目重大变动清单（试行）》的通知（环办环评函〔2020〕688号），生态</w:t>
      </w:r>
      <w:r>
        <w:rPr>
          <w:rFonts w:eastAsia="仿宋_GB2312"/>
          <w:sz w:val="28"/>
          <w:szCs w:val="28"/>
        </w:rPr>
        <w:t>环境部办公厅</w:t>
      </w:r>
      <w:r>
        <w:rPr>
          <w:rFonts w:hint="eastAsia" w:eastAsia="仿宋_GB2312"/>
          <w:sz w:val="28"/>
          <w:szCs w:val="28"/>
        </w:rPr>
        <w:t>。2</w:t>
      </w:r>
      <w:r>
        <w:rPr>
          <w:rFonts w:eastAsia="仿宋_GB2312"/>
          <w:sz w:val="28"/>
          <w:szCs w:val="28"/>
        </w:rPr>
        <w:t>020</w:t>
      </w:r>
      <w:r>
        <w:rPr>
          <w:rFonts w:hint="eastAsia" w:eastAsia="仿宋_GB2312"/>
          <w:sz w:val="28"/>
          <w:szCs w:val="28"/>
        </w:rPr>
        <w:t>年12月13日；</w:t>
      </w:r>
    </w:p>
    <w:p>
      <w:pPr>
        <w:widowControl/>
        <w:spacing w:line="500" w:lineRule="exact"/>
        <w:ind w:firstLine="560" w:firstLineChars="200"/>
        <w:rPr>
          <w:rFonts w:eastAsia="仿宋_GB2312"/>
          <w:sz w:val="28"/>
          <w:szCs w:val="28"/>
        </w:rPr>
      </w:pPr>
      <w:r>
        <w:rPr>
          <w:rFonts w:hint="eastAsia" w:eastAsia="仿宋_GB2312"/>
          <w:sz w:val="28"/>
          <w:szCs w:val="28"/>
        </w:rPr>
        <w:t>（</w:t>
      </w:r>
      <w:r>
        <w:rPr>
          <w:rFonts w:eastAsia="仿宋_GB2312"/>
          <w:sz w:val="28"/>
          <w:szCs w:val="28"/>
        </w:rPr>
        <w:t>38</w:t>
      </w:r>
      <w:r>
        <w:rPr>
          <w:rFonts w:hint="eastAsia" w:eastAsia="仿宋_GB2312"/>
          <w:sz w:val="28"/>
          <w:szCs w:val="28"/>
        </w:rPr>
        <w:t>）《关于</w:t>
      </w:r>
      <w:r>
        <w:rPr>
          <w:rFonts w:eastAsia="仿宋_GB2312"/>
          <w:sz w:val="28"/>
          <w:szCs w:val="28"/>
        </w:rPr>
        <w:t>启用</w:t>
      </w:r>
      <w:r>
        <w:rPr>
          <w:rFonts w:hint="eastAsia" w:eastAsia="仿宋_GB2312"/>
          <w:sz w:val="28"/>
          <w:szCs w:val="28"/>
        </w:rPr>
        <w:t>&lt;建设</w:t>
      </w:r>
      <w:r>
        <w:rPr>
          <w:rFonts w:eastAsia="仿宋_GB2312"/>
          <w:sz w:val="28"/>
          <w:szCs w:val="28"/>
        </w:rPr>
        <w:t>项目环境影响报告书审批</w:t>
      </w:r>
      <w:r>
        <w:rPr>
          <w:rFonts w:hint="eastAsia" w:eastAsia="仿宋_GB2312"/>
          <w:sz w:val="28"/>
          <w:szCs w:val="28"/>
        </w:rPr>
        <w:t>基础</w:t>
      </w:r>
      <w:r>
        <w:rPr>
          <w:rFonts w:eastAsia="仿宋_GB2312"/>
          <w:sz w:val="28"/>
          <w:szCs w:val="28"/>
        </w:rPr>
        <w:t>信息表</w:t>
      </w:r>
      <w:r>
        <w:rPr>
          <w:rFonts w:hint="eastAsia" w:eastAsia="仿宋_GB2312"/>
          <w:sz w:val="28"/>
          <w:szCs w:val="28"/>
        </w:rPr>
        <w:t>&gt;的</w:t>
      </w:r>
      <w:r>
        <w:rPr>
          <w:rFonts w:eastAsia="仿宋_GB2312"/>
          <w:sz w:val="28"/>
          <w:szCs w:val="28"/>
        </w:rPr>
        <w:t>通知</w:t>
      </w:r>
      <w:r>
        <w:rPr>
          <w:rFonts w:hint="eastAsia" w:eastAsia="仿宋_GB2312"/>
          <w:sz w:val="28"/>
          <w:szCs w:val="28"/>
        </w:rPr>
        <w:t>》（环办</w:t>
      </w:r>
      <w:r>
        <w:rPr>
          <w:rFonts w:eastAsia="仿宋_GB2312"/>
          <w:sz w:val="28"/>
          <w:szCs w:val="28"/>
        </w:rPr>
        <w:t>环评函[2020]711</w:t>
      </w:r>
      <w:r>
        <w:rPr>
          <w:rFonts w:hint="eastAsia" w:eastAsia="仿宋_GB2312"/>
          <w:sz w:val="28"/>
          <w:szCs w:val="28"/>
        </w:rPr>
        <w:t>号）；</w:t>
      </w:r>
    </w:p>
    <w:p>
      <w:pPr>
        <w:widowControl/>
        <w:spacing w:line="500" w:lineRule="exact"/>
        <w:ind w:firstLine="560" w:firstLineChars="200"/>
        <w:rPr>
          <w:rFonts w:eastAsia="仿宋_GB2312"/>
          <w:sz w:val="28"/>
          <w:szCs w:val="28"/>
        </w:rPr>
      </w:pPr>
      <w:r>
        <w:rPr>
          <w:rFonts w:hint="eastAsia" w:eastAsia="仿宋_GB2312"/>
          <w:sz w:val="28"/>
          <w:szCs w:val="28"/>
        </w:rPr>
        <w:t>（3</w:t>
      </w:r>
      <w:r>
        <w:rPr>
          <w:rFonts w:eastAsia="仿宋_GB2312"/>
          <w:sz w:val="28"/>
          <w:szCs w:val="28"/>
        </w:rPr>
        <w:t>9</w:t>
      </w:r>
      <w:r>
        <w:rPr>
          <w:rFonts w:hint="eastAsia" w:eastAsia="仿宋_GB2312"/>
          <w:sz w:val="28"/>
          <w:szCs w:val="28"/>
        </w:rPr>
        <w:t>）《强化危险废物监管和利用处置能力改革实施方案》（国办函〔2021〕47号）；</w:t>
      </w:r>
    </w:p>
    <w:p>
      <w:pPr>
        <w:widowControl/>
        <w:spacing w:line="500" w:lineRule="exact"/>
        <w:ind w:firstLine="560" w:firstLineChars="200"/>
        <w:rPr>
          <w:rFonts w:eastAsia="仿宋_GB2312"/>
          <w:sz w:val="28"/>
          <w:szCs w:val="28"/>
        </w:rPr>
      </w:pPr>
      <w:r>
        <w:rPr>
          <w:rFonts w:hint="eastAsia" w:eastAsia="仿宋_GB2312"/>
          <w:sz w:val="28"/>
          <w:szCs w:val="28"/>
        </w:rPr>
        <w:t>（4</w:t>
      </w:r>
      <w:r>
        <w:rPr>
          <w:rFonts w:eastAsia="仿宋_GB2312"/>
          <w:sz w:val="28"/>
          <w:szCs w:val="28"/>
        </w:rPr>
        <w:t>0</w:t>
      </w:r>
      <w:r>
        <w:rPr>
          <w:rFonts w:hint="eastAsia" w:eastAsia="仿宋_GB2312"/>
          <w:sz w:val="28"/>
          <w:szCs w:val="28"/>
        </w:rPr>
        <w:t>）</w:t>
      </w:r>
      <w:r>
        <w:rPr>
          <w:rFonts w:eastAsia="仿宋_GB2312"/>
          <w:sz w:val="28"/>
          <w:szCs w:val="28"/>
        </w:rPr>
        <w:t>《关于进一步加强环保设备设施安全生产工作的通知》(安委办明电〔2022〕17号)</w:t>
      </w:r>
      <w:r>
        <w:rPr>
          <w:rFonts w:hint="eastAsia" w:eastAsia="仿宋_GB2312"/>
          <w:sz w:val="28"/>
          <w:szCs w:val="28"/>
        </w:rPr>
        <w:t>。</w:t>
      </w:r>
    </w:p>
    <w:p>
      <w:pPr>
        <w:widowControl/>
        <w:spacing w:line="500" w:lineRule="exact"/>
        <w:ind w:firstLine="560" w:firstLineChars="200"/>
        <w:rPr>
          <w:rFonts w:eastAsia="仿宋_GB2312"/>
          <w:sz w:val="28"/>
          <w:szCs w:val="28"/>
        </w:rPr>
      </w:pPr>
      <w:r>
        <w:rPr>
          <w:rFonts w:hint="eastAsia" w:eastAsia="仿宋_GB2312"/>
          <w:sz w:val="28"/>
          <w:szCs w:val="28"/>
        </w:rPr>
        <w:t>（41）《关于</w:t>
      </w:r>
      <w:r>
        <w:rPr>
          <w:rFonts w:eastAsia="仿宋_GB2312"/>
          <w:sz w:val="28"/>
          <w:szCs w:val="28"/>
        </w:rPr>
        <w:t>启用</w:t>
      </w:r>
      <w:r>
        <w:rPr>
          <w:rFonts w:hint="eastAsia" w:eastAsia="仿宋_GB2312"/>
          <w:sz w:val="28"/>
          <w:szCs w:val="28"/>
        </w:rPr>
        <w:t>&lt;建设</w:t>
      </w:r>
      <w:r>
        <w:rPr>
          <w:rFonts w:eastAsia="仿宋_GB2312"/>
          <w:sz w:val="28"/>
          <w:szCs w:val="28"/>
        </w:rPr>
        <w:t>项目环境影响报告书审批</w:t>
      </w:r>
      <w:r>
        <w:rPr>
          <w:rFonts w:hint="eastAsia" w:eastAsia="仿宋_GB2312"/>
          <w:sz w:val="28"/>
          <w:szCs w:val="28"/>
        </w:rPr>
        <w:t>基础</w:t>
      </w:r>
      <w:r>
        <w:rPr>
          <w:rFonts w:eastAsia="仿宋_GB2312"/>
          <w:sz w:val="28"/>
          <w:szCs w:val="28"/>
        </w:rPr>
        <w:t>信息表</w:t>
      </w:r>
      <w:r>
        <w:rPr>
          <w:rFonts w:hint="eastAsia" w:eastAsia="仿宋_GB2312"/>
          <w:sz w:val="28"/>
          <w:szCs w:val="28"/>
        </w:rPr>
        <w:t>&gt;的</w:t>
      </w:r>
      <w:r>
        <w:rPr>
          <w:rFonts w:eastAsia="仿宋_GB2312"/>
          <w:sz w:val="28"/>
          <w:szCs w:val="28"/>
        </w:rPr>
        <w:t>通知</w:t>
      </w:r>
      <w:r>
        <w:rPr>
          <w:rFonts w:hint="eastAsia" w:eastAsia="仿宋_GB2312"/>
          <w:sz w:val="28"/>
          <w:szCs w:val="28"/>
        </w:rPr>
        <w:t>》（环办</w:t>
      </w:r>
      <w:r>
        <w:rPr>
          <w:rFonts w:eastAsia="仿宋_GB2312"/>
          <w:sz w:val="28"/>
          <w:szCs w:val="28"/>
        </w:rPr>
        <w:t>环评函[2020]711</w:t>
      </w:r>
      <w:r>
        <w:rPr>
          <w:rFonts w:hint="eastAsia" w:eastAsia="仿宋_GB2312"/>
          <w:sz w:val="28"/>
          <w:szCs w:val="28"/>
        </w:rPr>
        <w:t>号）</w:t>
      </w:r>
      <w:r>
        <w:rPr>
          <w:rFonts w:eastAsia="仿宋_GB2312"/>
          <w:sz w:val="28"/>
          <w:szCs w:val="28"/>
        </w:rPr>
        <w:t>。</w:t>
      </w:r>
    </w:p>
    <w:p>
      <w:pPr>
        <w:pStyle w:val="4"/>
        <w:keepLines w:val="0"/>
        <w:numPr>
          <w:ilvl w:val="2"/>
          <w:numId w:val="1"/>
        </w:numPr>
        <w:tabs>
          <w:tab w:val="left" w:pos="709"/>
        </w:tabs>
        <w:spacing w:before="120" w:beforeLines="50" w:after="120" w:afterLines="50" w:line="500" w:lineRule="exact"/>
        <w:ind w:left="0" w:firstLine="0"/>
        <w:rPr>
          <w:rFonts w:eastAsia="仿宋_GB2312"/>
          <w:sz w:val="28"/>
          <w:szCs w:val="28"/>
        </w:rPr>
      </w:pPr>
      <w:r>
        <w:rPr>
          <w:rFonts w:eastAsia="仿宋_GB2312"/>
          <w:sz w:val="28"/>
          <w:szCs w:val="28"/>
        </w:rPr>
        <w:t>产业政策与行业管理规定</w:t>
      </w:r>
    </w:p>
    <w:p>
      <w:pPr>
        <w:widowControl/>
        <w:spacing w:line="500" w:lineRule="exact"/>
        <w:ind w:firstLine="560" w:firstLineChars="200"/>
        <w:rPr>
          <w:rFonts w:eastAsia="仿宋_GB2312"/>
          <w:sz w:val="28"/>
          <w:szCs w:val="28"/>
        </w:rPr>
      </w:pPr>
      <w:r>
        <w:rPr>
          <w:rFonts w:eastAsia="仿宋_GB2312"/>
          <w:sz w:val="28"/>
          <w:szCs w:val="28"/>
        </w:rPr>
        <w:t>（1）《产业结构调整指导目录（2019年本）》</w:t>
      </w:r>
      <w:r>
        <w:rPr>
          <w:rFonts w:hint="eastAsia" w:eastAsia="仿宋_GB2312"/>
          <w:sz w:val="28"/>
          <w:szCs w:val="28"/>
        </w:rPr>
        <w:t>，</w:t>
      </w:r>
      <w:r>
        <w:rPr>
          <w:rFonts w:eastAsia="仿宋_GB2312"/>
          <w:sz w:val="28"/>
          <w:szCs w:val="28"/>
        </w:rPr>
        <w:t>2019年10月30日。</w:t>
      </w:r>
    </w:p>
    <w:p>
      <w:pPr>
        <w:widowControl/>
        <w:spacing w:line="500" w:lineRule="exact"/>
        <w:ind w:firstLine="560" w:firstLineChars="200"/>
        <w:rPr>
          <w:rFonts w:eastAsia="仿宋_GB2312"/>
          <w:sz w:val="28"/>
          <w:szCs w:val="28"/>
        </w:rPr>
      </w:pPr>
      <w:r>
        <w:rPr>
          <w:rFonts w:eastAsia="仿宋_GB2312"/>
          <w:sz w:val="28"/>
          <w:szCs w:val="28"/>
        </w:rPr>
        <w:t>（2）《市场准入负面清单（2022年版）》（发改体改规[2022]397号）。</w:t>
      </w:r>
    </w:p>
    <w:p>
      <w:pPr>
        <w:widowControl/>
        <w:spacing w:line="500" w:lineRule="exact"/>
        <w:ind w:firstLine="560" w:firstLineChars="200"/>
        <w:rPr>
          <w:rFonts w:eastAsia="仿宋_GB2312"/>
          <w:sz w:val="28"/>
          <w:szCs w:val="28"/>
        </w:rPr>
      </w:pPr>
      <w:r>
        <w:rPr>
          <w:rFonts w:hint="eastAsia" w:eastAsia="仿宋_GB2312"/>
          <w:sz w:val="28"/>
          <w:szCs w:val="28"/>
        </w:rPr>
        <w:t>（3）</w:t>
      </w:r>
      <w:r>
        <w:rPr>
          <w:rFonts w:eastAsia="仿宋_GB2312"/>
          <w:sz w:val="28"/>
          <w:szCs w:val="28"/>
        </w:rPr>
        <w:t>《环境保护综合名录（2021年版）》</w:t>
      </w:r>
      <w:r>
        <w:rPr>
          <w:rFonts w:hint="eastAsia" w:eastAsia="仿宋_GB2312"/>
          <w:sz w:val="28"/>
          <w:szCs w:val="28"/>
        </w:rPr>
        <w:t>(</w:t>
      </w:r>
      <w:r>
        <w:rPr>
          <w:rFonts w:eastAsia="仿宋_GB2312"/>
          <w:sz w:val="28"/>
          <w:szCs w:val="28"/>
        </w:rPr>
        <w:t>环办综合函[2021]495号</w:t>
      </w:r>
      <w:r>
        <w:rPr>
          <w:rFonts w:hint="eastAsia" w:eastAsia="仿宋_GB2312"/>
          <w:sz w:val="28"/>
          <w:szCs w:val="28"/>
        </w:rPr>
        <w:t>)</w:t>
      </w:r>
    </w:p>
    <w:p>
      <w:pPr>
        <w:widowControl/>
        <w:spacing w:line="500" w:lineRule="exact"/>
        <w:ind w:firstLine="560" w:firstLineChars="200"/>
        <w:rPr>
          <w:rFonts w:eastAsia="仿宋_GB2312"/>
          <w:sz w:val="28"/>
          <w:szCs w:val="28"/>
        </w:rPr>
      </w:pPr>
      <w:r>
        <w:rPr>
          <w:rFonts w:hint="eastAsia" w:eastAsia="仿宋_GB2312"/>
          <w:sz w:val="28"/>
          <w:szCs w:val="28"/>
        </w:rPr>
        <w:t>（4）</w:t>
      </w:r>
      <w:r>
        <w:rPr>
          <w:rFonts w:eastAsia="仿宋_GB2312"/>
          <w:sz w:val="28"/>
          <w:szCs w:val="28"/>
        </w:rPr>
        <w:t>《关于印发&lt;长江经济带发展负面清单指南&gt;</w:t>
      </w:r>
      <w:r>
        <w:rPr>
          <w:rFonts w:hint="eastAsia" w:eastAsia="仿宋_GB2312"/>
          <w:sz w:val="28"/>
          <w:szCs w:val="28"/>
        </w:rPr>
        <w:t>（试行</w:t>
      </w:r>
      <w:r>
        <w:rPr>
          <w:rFonts w:eastAsia="仿宋_GB2312"/>
          <w:sz w:val="28"/>
          <w:szCs w:val="28"/>
        </w:rPr>
        <w:t>，</w:t>
      </w:r>
      <w:r>
        <w:rPr>
          <w:rFonts w:hint="eastAsia" w:eastAsia="仿宋_GB2312"/>
          <w:sz w:val="28"/>
          <w:szCs w:val="28"/>
        </w:rPr>
        <w:t>2022年</w:t>
      </w:r>
      <w:r>
        <w:rPr>
          <w:rFonts w:eastAsia="仿宋_GB2312"/>
          <w:sz w:val="28"/>
          <w:szCs w:val="28"/>
        </w:rPr>
        <w:t>版</w:t>
      </w:r>
      <w:r>
        <w:rPr>
          <w:rFonts w:hint="eastAsia" w:eastAsia="仿宋_GB2312"/>
          <w:sz w:val="28"/>
          <w:szCs w:val="28"/>
        </w:rPr>
        <w:t>）江苏省实施</w:t>
      </w:r>
      <w:r>
        <w:rPr>
          <w:rFonts w:eastAsia="仿宋_GB2312"/>
          <w:sz w:val="28"/>
          <w:szCs w:val="28"/>
        </w:rPr>
        <w:t>细则》（苏长江办发〔2022〕55号）。</w:t>
      </w:r>
    </w:p>
    <w:p>
      <w:pPr>
        <w:pStyle w:val="4"/>
        <w:keepLines w:val="0"/>
        <w:numPr>
          <w:ilvl w:val="2"/>
          <w:numId w:val="1"/>
        </w:numPr>
        <w:tabs>
          <w:tab w:val="left" w:pos="709"/>
        </w:tabs>
        <w:spacing w:before="120" w:beforeLines="50" w:after="120" w:afterLines="50" w:line="500" w:lineRule="exact"/>
        <w:ind w:left="0" w:firstLine="0"/>
        <w:rPr>
          <w:rFonts w:eastAsia="仿宋_GB2312"/>
          <w:sz w:val="28"/>
          <w:szCs w:val="28"/>
        </w:rPr>
      </w:pPr>
      <w:r>
        <w:rPr>
          <w:rFonts w:eastAsia="仿宋_GB2312"/>
          <w:sz w:val="28"/>
          <w:szCs w:val="28"/>
        </w:rPr>
        <w:t>地方法规、规章及规范性文件</w:t>
      </w:r>
    </w:p>
    <w:p>
      <w:pPr>
        <w:widowControl/>
        <w:spacing w:line="500" w:lineRule="exact"/>
        <w:ind w:firstLine="560" w:firstLineChars="200"/>
        <w:rPr>
          <w:rFonts w:eastAsia="仿宋_GB2312"/>
          <w:sz w:val="28"/>
          <w:szCs w:val="28"/>
        </w:rPr>
      </w:pPr>
      <w:r>
        <w:rPr>
          <w:rFonts w:hint="eastAsia" w:eastAsia="仿宋_GB2312"/>
          <w:sz w:val="28"/>
          <w:szCs w:val="28"/>
        </w:rPr>
        <w:t>(1)《江苏省国家级生态保护红线划规划》（苏政发〔2018〕74号）;</w:t>
      </w:r>
    </w:p>
    <w:p>
      <w:pPr>
        <w:widowControl/>
        <w:spacing w:line="500" w:lineRule="exact"/>
        <w:ind w:firstLine="560" w:firstLineChars="200"/>
        <w:rPr>
          <w:rFonts w:eastAsia="仿宋_GB2312"/>
          <w:sz w:val="28"/>
          <w:szCs w:val="28"/>
        </w:rPr>
      </w:pPr>
      <w:r>
        <w:rPr>
          <w:rFonts w:hint="eastAsia" w:eastAsia="仿宋_GB2312"/>
          <w:sz w:val="28"/>
          <w:szCs w:val="28"/>
        </w:rPr>
        <w:t>(2)《江苏省排污口设置及规范化整治管理办法》（苏环控〔1997〕122号），江苏省环境保护局，1997年9月21日；</w:t>
      </w:r>
    </w:p>
    <w:p>
      <w:pPr>
        <w:widowControl/>
        <w:spacing w:line="500" w:lineRule="exact"/>
        <w:ind w:firstLine="560" w:firstLineChars="200"/>
        <w:rPr>
          <w:rFonts w:eastAsia="仿宋_GB2312"/>
          <w:sz w:val="28"/>
          <w:szCs w:val="28"/>
        </w:rPr>
      </w:pPr>
      <w:r>
        <w:rPr>
          <w:rFonts w:hint="eastAsia" w:eastAsia="仿宋_GB2312"/>
          <w:sz w:val="28"/>
          <w:szCs w:val="28"/>
        </w:rPr>
        <w:t>(3)《江苏省长江水污染防治条例（2018年修正）》，江苏省第十三届人民代表大会常务委员会第二次会议于2018年3月28日通过；</w:t>
      </w:r>
    </w:p>
    <w:p>
      <w:pPr>
        <w:widowControl/>
        <w:spacing w:line="500" w:lineRule="exact"/>
        <w:ind w:firstLine="560" w:firstLineChars="200"/>
        <w:rPr>
          <w:rFonts w:eastAsia="仿宋_GB2312"/>
          <w:sz w:val="28"/>
          <w:szCs w:val="28"/>
        </w:rPr>
      </w:pPr>
      <w:r>
        <w:rPr>
          <w:rFonts w:hint="eastAsia" w:eastAsia="仿宋_GB2312"/>
          <w:sz w:val="28"/>
          <w:szCs w:val="28"/>
        </w:rPr>
        <w:t>(4)《关于印发江苏省建设项目主要污染物排放总量区域平衡方案审核管理办法的通知》，苏环办〔2011〕71号；</w:t>
      </w:r>
    </w:p>
    <w:p>
      <w:pPr>
        <w:widowControl/>
        <w:spacing w:line="500" w:lineRule="exact"/>
        <w:ind w:firstLine="560" w:firstLineChars="200"/>
        <w:rPr>
          <w:rFonts w:eastAsia="仿宋_GB2312"/>
          <w:sz w:val="28"/>
          <w:szCs w:val="28"/>
        </w:rPr>
      </w:pPr>
      <w:r>
        <w:rPr>
          <w:rFonts w:hint="eastAsia" w:eastAsia="仿宋_GB2312"/>
          <w:sz w:val="28"/>
          <w:szCs w:val="28"/>
        </w:rPr>
        <w:t>(5)《江苏省太湖水污染防治条例》（2021年修正），江苏省第十三届人民代表大会常务委员会第二十五次会议通过修正，2021年</w:t>
      </w:r>
      <w:r>
        <w:rPr>
          <w:rFonts w:eastAsia="仿宋_GB2312"/>
          <w:sz w:val="28"/>
          <w:szCs w:val="28"/>
        </w:rPr>
        <w:t>9</w:t>
      </w:r>
      <w:r>
        <w:rPr>
          <w:rFonts w:hint="eastAsia" w:eastAsia="仿宋_GB2312"/>
          <w:sz w:val="28"/>
          <w:szCs w:val="28"/>
        </w:rPr>
        <w:t>月29日；</w:t>
      </w:r>
    </w:p>
    <w:p>
      <w:pPr>
        <w:widowControl/>
        <w:spacing w:line="500" w:lineRule="exact"/>
        <w:ind w:firstLine="560" w:firstLineChars="200"/>
        <w:rPr>
          <w:rFonts w:eastAsia="仿宋_GB2312"/>
          <w:sz w:val="28"/>
          <w:szCs w:val="28"/>
        </w:rPr>
      </w:pPr>
      <w:r>
        <w:rPr>
          <w:rFonts w:hint="eastAsia" w:eastAsia="仿宋_GB2312"/>
          <w:sz w:val="28"/>
          <w:szCs w:val="28"/>
        </w:rPr>
        <w:t>(6)《江苏省环境噪声污染防治条例》（2018年修正），江苏省第十三届人民代表大会常务委员会第二次会议通过修正，2018年3月28日；</w:t>
      </w:r>
    </w:p>
    <w:p>
      <w:pPr>
        <w:widowControl/>
        <w:spacing w:line="500" w:lineRule="exact"/>
        <w:ind w:firstLine="560" w:firstLineChars="200"/>
        <w:rPr>
          <w:rFonts w:eastAsia="仿宋_GB2312"/>
          <w:sz w:val="28"/>
          <w:szCs w:val="28"/>
        </w:rPr>
      </w:pPr>
      <w:r>
        <w:rPr>
          <w:rFonts w:hint="eastAsia" w:eastAsia="仿宋_GB2312"/>
          <w:sz w:val="28"/>
          <w:szCs w:val="28"/>
        </w:rPr>
        <w:t>(7)《江苏省固体废物污染环境防治条例》（2018年修正），江苏省第十三届人民代表大会常务委员会第二次会议第三次修正，2018年3月28日；</w:t>
      </w:r>
    </w:p>
    <w:p>
      <w:pPr>
        <w:widowControl/>
        <w:spacing w:line="500" w:lineRule="exact"/>
        <w:ind w:firstLine="560" w:firstLineChars="200"/>
        <w:rPr>
          <w:rFonts w:eastAsia="仿宋_GB2312"/>
          <w:sz w:val="28"/>
          <w:szCs w:val="28"/>
        </w:rPr>
      </w:pPr>
      <w:r>
        <w:rPr>
          <w:rFonts w:hint="eastAsia" w:eastAsia="仿宋_GB2312"/>
          <w:sz w:val="28"/>
          <w:szCs w:val="28"/>
        </w:rPr>
        <w:t>(8)《江苏省环境保护公众参与办法》（试行），江苏省环境保护厅办公室，2016年11月28日；</w:t>
      </w:r>
    </w:p>
    <w:p>
      <w:pPr>
        <w:widowControl/>
        <w:spacing w:line="500" w:lineRule="exact"/>
        <w:ind w:firstLine="560" w:firstLineChars="200"/>
        <w:rPr>
          <w:rFonts w:eastAsia="仿宋_GB2312"/>
          <w:sz w:val="28"/>
          <w:szCs w:val="28"/>
        </w:rPr>
      </w:pPr>
      <w:r>
        <w:rPr>
          <w:rFonts w:hint="eastAsia" w:eastAsia="仿宋_GB2312"/>
          <w:sz w:val="28"/>
          <w:szCs w:val="28"/>
        </w:rPr>
        <w:t>(9)《江苏省重点行业挥发性有机物污染控制指南》（苏环办2014[128]号文）；</w:t>
      </w:r>
    </w:p>
    <w:p>
      <w:pPr>
        <w:widowControl/>
        <w:spacing w:line="500" w:lineRule="exact"/>
        <w:ind w:firstLine="560" w:firstLineChars="200"/>
        <w:rPr>
          <w:rFonts w:eastAsia="仿宋_GB2312"/>
          <w:sz w:val="28"/>
          <w:szCs w:val="28"/>
        </w:rPr>
      </w:pPr>
      <w:r>
        <w:rPr>
          <w:rFonts w:hint="eastAsia" w:eastAsia="仿宋_GB2312"/>
          <w:sz w:val="28"/>
          <w:szCs w:val="28"/>
        </w:rPr>
        <w:t>(10)《省政府关于印发江苏省大气污染防治行动计划实施方案的通知》(苏政发﹝2014﹞1号)，江苏省人民政府，2014年1月6日；</w:t>
      </w:r>
    </w:p>
    <w:p>
      <w:pPr>
        <w:widowControl/>
        <w:spacing w:line="500" w:lineRule="exact"/>
        <w:ind w:firstLine="560" w:firstLineChars="200"/>
        <w:rPr>
          <w:rFonts w:eastAsia="仿宋_GB2312"/>
          <w:sz w:val="28"/>
          <w:szCs w:val="28"/>
        </w:rPr>
      </w:pPr>
      <w:r>
        <w:rPr>
          <w:rFonts w:hint="eastAsia" w:eastAsia="仿宋_GB2312"/>
          <w:sz w:val="28"/>
          <w:szCs w:val="28"/>
        </w:rPr>
        <w:t>(11)《关于落实省大气污染防治行动计划实施方案严格环境影响评价准入的通知》（苏环办﹝2014﹞104号），江苏省环境保护厅，2014年4月28日；</w:t>
      </w:r>
    </w:p>
    <w:p>
      <w:pPr>
        <w:widowControl/>
        <w:spacing w:line="500" w:lineRule="exact"/>
        <w:ind w:firstLine="560" w:firstLineChars="200"/>
        <w:rPr>
          <w:rFonts w:eastAsia="仿宋_GB2312"/>
          <w:sz w:val="28"/>
          <w:szCs w:val="28"/>
        </w:rPr>
      </w:pPr>
      <w:r>
        <w:rPr>
          <w:rFonts w:hint="eastAsia" w:eastAsia="仿宋_GB2312"/>
          <w:sz w:val="28"/>
          <w:szCs w:val="28"/>
        </w:rPr>
        <w:t>(12)《江苏省重点行业挥发性有机物污染控制指南》（苏环办﹝2014﹞128号），江苏省环境保护厅，2014年5月20日；</w:t>
      </w:r>
    </w:p>
    <w:p>
      <w:pPr>
        <w:widowControl/>
        <w:spacing w:line="500" w:lineRule="exact"/>
        <w:ind w:firstLine="560" w:firstLineChars="200"/>
        <w:rPr>
          <w:rFonts w:eastAsia="仿宋_GB2312"/>
          <w:sz w:val="28"/>
          <w:szCs w:val="28"/>
        </w:rPr>
      </w:pPr>
      <w:r>
        <w:rPr>
          <w:rFonts w:hint="eastAsia" w:eastAsia="仿宋_GB2312"/>
          <w:sz w:val="28"/>
          <w:szCs w:val="28"/>
        </w:rPr>
        <w:t>(13)《江苏省大气污染防治条例》（江苏省人民代表大会公告第2号），江苏省第十三届人民代表大会常务委员会第二次会议于2018年3月28日通过，2018年5月1日起施行；</w:t>
      </w:r>
    </w:p>
    <w:p>
      <w:pPr>
        <w:widowControl/>
        <w:spacing w:line="500" w:lineRule="exact"/>
        <w:ind w:firstLine="560" w:firstLineChars="200"/>
        <w:rPr>
          <w:rFonts w:eastAsia="仿宋_GB2312"/>
          <w:sz w:val="28"/>
          <w:szCs w:val="28"/>
        </w:rPr>
      </w:pPr>
      <w:r>
        <w:rPr>
          <w:rFonts w:hint="eastAsia" w:eastAsia="仿宋_GB2312"/>
          <w:sz w:val="28"/>
          <w:szCs w:val="28"/>
        </w:rPr>
        <w:t>(14)《关于加强环境影响评价现状监测管理的通知》（苏环办﹝2016﹞185号），江苏省环境保护厅，2016年7月14日；</w:t>
      </w:r>
    </w:p>
    <w:p>
      <w:pPr>
        <w:widowControl/>
        <w:spacing w:line="500" w:lineRule="exact"/>
        <w:ind w:firstLine="560" w:firstLineChars="200"/>
        <w:rPr>
          <w:rFonts w:eastAsia="仿宋_GB2312"/>
          <w:sz w:val="28"/>
          <w:szCs w:val="28"/>
        </w:rPr>
      </w:pPr>
      <w:r>
        <w:rPr>
          <w:rFonts w:hint="eastAsia" w:eastAsia="仿宋_GB2312"/>
          <w:sz w:val="28"/>
          <w:szCs w:val="28"/>
        </w:rPr>
        <w:t>(15)《省政府办公厅关于印发江苏省建设项目环境影响评价文件分级审批管理办法的通知》（苏政办发﹝2016﹞109号），江苏省人民政府办公厅，2016年10月9日；</w:t>
      </w:r>
    </w:p>
    <w:p>
      <w:pPr>
        <w:widowControl/>
        <w:spacing w:line="500" w:lineRule="exact"/>
        <w:ind w:firstLine="560" w:firstLineChars="200"/>
        <w:rPr>
          <w:rFonts w:eastAsia="仿宋_GB2312"/>
          <w:sz w:val="28"/>
          <w:szCs w:val="28"/>
        </w:rPr>
      </w:pPr>
      <w:r>
        <w:rPr>
          <w:rFonts w:hint="eastAsia" w:eastAsia="仿宋_GB2312"/>
          <w:sz w:val="28"/>
          <w:szCs w:val="28"/>
        </w:rPr>
        <w:t>(16)《常州市工业、服务业和生活用水定额(2016年修订)》（常水资〔2016〕27号）；</w:t>
      </w:r>
    </w:p>
    <w:p>
      <w:pPr>
        <w:widowControl/>
        <w:spacing w:line="500" w:lineRule="exact"/>
        <w:ind w:firstLine="560" w:firstLineChars="200"/>
        <w:rPr>
          <w:rFonts w:eastAsia="仿宋_GB2312"/>
          <w:sz w:val="28"/>
          <w:szCs w:val="28"/>
        </w:rPr>
      </w:pPr>
      <w:r>
        <w:rPr>
          <w:rFonts w:hint="eastAsia" w:eastAsia="仿宋_GB2312"/>
          <w:sz w:val="28"/>
          <w:szCs w:val="28"/>
        </w:rPr>
        <w:t>(17)《市政府办公室关于印发&lt;常州市建设项目主要污染物排放总量指标审核及管理实施细则&gt;的通知》（常政办发﹝2015﹞104号），常州市人民政府办公室，2015年8月27日；</w:t>
      </w:r>
    </w:p>
    <w:p>
      <w:pPr>
        <w:widowControl/>
        <w:spacing w:line="500" w:lineRule="exact"/>
        <w:ind w:firstLine="560" w:firstLineChars="200"/>
        <w:rPr>
          <w:rFonts w:eastAsia="仿宋_GB2312"/>
          <w:sz w:val="28"/>
          <w:szCs w:val="28"/>
        </w:rPr>
      </w:pPr>
      <w:r>
        <w:rPr>
          <w:rFonts w:hint="eastAsia" w:eastAsia="仿宋_GB2312"/>
          <w:sz w:val="28"/>
          <w:szCs w:val="28"/>
        </w:rPr>
        <w:t>(18)《关于执行大气污染物特别排放限值的通告》江苏省环境保护厅，（2018年7月23日）；</w:t>
      </w:r>
    </w:p>
    <w:p>
      <w:pPr>
        <w:widowControl/>
        <w:spacing w:line="500" w:lineRule="exact"/>
        <w:ind w:firstLine="560" w:firstLineChars="200"/>
        <w:rPr>
          <w:rFonts w:eastAsia="仿宋_GB2312"/>
          <w:sz w:val="28"/>
          <w:szCs w:val="28"/>
        </w:rPr>
      </w:pPr>
      <w:r>
        <w:rPr>
          <w:rFonts w:hint="eastAsia" w:eastAsia="仿宋_GB2312"/>
          <w:sz w:val="28"/>
          <w:szCs w:val="28"/>
        </w:rPr>
        <w:t>(19)《市政府办公室关于印发常州市建设项目环境影响评价文件分级审批管理办法的通知》(常政办发【2015】144号)；</w:t>
      </w:r>
    </w:p>
    <w:p>
      <w:pPr>
        <w:widowControl/>
        <w:spacing w:line="500" w:lineRule="exact"/>
        <w:ind w:firstLine="560" w:firstLineChars="200"/>
        <w:rPr>
          <w:rFonts w:eastAsia="仿宋_GB2312"/>
          <w:sz w:val="28"/>
          <w:szCs w:val="28"/>
        </w:rPr>
      </w:pPr>
      <w:r>
        <w:rPr>
          <w:rFonts w:hint="eastAsia" w:eastAsia="仿宋_GB2312"/>
          <w:sz w:val="28"/>
          <w:szCs w:val="28"/>
        </w:rPr>
        <w:t>(20)《关于贯彻江苏省大气污染防治条例的实施意见》（常政发﹝2015﹞89号），常州市人民政府，2015年6月8日；</w:t>
      </w:r>
    </w:p>
    <w:p>
      <w:pPr>
        <w:widowControl/>
        <w:spacing w:line="500" w:lineRule="exact"/>
        <w:ind w:firstLine="560" w:firstLineChars="200"/>
        <w:rPr>
          <w:rFonts w:eastAsia="仿宋_GB2312"/>
          <w:sz w:val="28"/>
          <w:szCs w:val="28"/>
        </w:rPr>
      </w:pPr>
      <w:r>
        <w:rPr>
          <w:rFonts w:hint="eastAsia" w:eastAsia="仿宋_GB2312"/>
          <w:sz w:val="28"/>
          <w:szCs w:val="28"/>
        </w:rPr>
        <w:t>(21)《省政府办公厅关于加强危险废物污染防治工作的意见》（苏政办发[2018]91号），2018年11月16日；</w:t>
      </w:r>
    </w:p>
    <w:p>
      <w:pPr>
        <w:widowControl/>
        <w:spacing w:line="500" w:lineRule="exact"/>
        <w:ind w:firstLine="560" w:firstLineChars="200"/>
        <w:rPr>
          <w:rFonts w:eastAsia="仿宋_GB2312"/>
          <w:sz w:val="28"/>
          <w:szCs w:val="28"/>
        </w:rPr>
      </w:pPr>
      <w:r>
        <w:rPr>
          <w:rFonts w:hint="eastAsia" w:eastAsia="仿宋_GB2312"/>
          <w:sz w:val="28"/>
          <w:szCs w:val="28"/>
        </w:rPr>
        <w:t>(22)《江苏省生态环境厅关于进一步做好建设项目环评审批工作的通知》（苏环办[2019]36号）；</w:t>
      </w:r>
    </w:p>
    <w:p>
      <w:pPr>
        <w:widowControl/>
        <w:spacing w:line="500" w:lineRule="exact"/>
        <w:ind w:firstLine="560" w:firstLineChars="200"/>
        <w:rPr>
          <w:rFonts w:eastAsia="仿宋_GB2312"/>
          <w:sz w:val="28"/>
          <w:szCs w:val="28"/>
        </w:rPr>
      </w:pPr>
      <w:r>
        <w:rPr>
          <w:rFonts w:hint="eastAsia" w:eastAsia="仿宋_GB2312"/>
          <w:sz w:val="28"/>
          <w:szCs w:val="28"/>
        </w:rPr>
        <w:t>(23)《省生态环境厅关于进一步加强危险废物污染防治工作的实施意见》（苏环办[2019]327号）；</w:t>
      </w:r>
    </w:p>
    <w:p>
      <w:pPr>
        <w:widowControl/>
        <w:spacing w:line="500" w:lineRule="exact"/>
        <w:ind w:firstLine="560" w:firstLineChars="200"/>
        <w:rPr>
          <w:rFonts w:eastAsia="仿宋_GB2312"/>
          <w:sz w:val="28"/>
          <w:szCs w:val="28"/>
        </w:rPr>
      </w:pPr>
      <w:r>
        <w:rPr>
          <w:rFonts w:hint="eastAsia" w:eastAsia="仿宋_GB2312"/>
          <w:sz w:val="28"/>
          <w:szCs w:val="28"/>
        </w:rPr>
        <w:t>(24)《省政府关于印发江苏省生态空间管控区域规划的通知》（苏政发[2020]1号）；</w:t>
      </w:r>
    </w:p>
    <w:p>
      <w:pPr>
        <w:widowControl/>
        <w:spacing w:line="500" w:lineRule="exact"/>
        <w:ind w:firstLine="560" w:firstLineChars="200"/>
        <w:rPr>
          <w:rFonts w:eastAsia="仿宋_GB2312"/>
          <w:sz w:val="28"/>
          <w:szCs w:val="28"/>
        </w:rPr>
      </w:pPr>
      <w:r>
        <w:rPr>
          <w:rFonts w:hint="eastAsia" w:eastAsia="仿宋_GB2312"/>
          <w:sz w:val="28"/>
          <w:szCs w:val="28"/>
        </w:rPr>
        <w:t>(25)《关于转发省长江办&lt;长江经济带发展负面清单指南&gt;江苏省实施细则（试行）的通知》（常长江办发[2019]2号）；</w:t>
      </w:r>
    </w:p>
    <w:p>
      <w:pPr>
        <w:widowControl/>
        <w:spacing w:line="500" w:lineRule="exact"/>
        <w:ind w:firstLine="560" w:firstLineChars="200"/>
        <w:rPr>
          <w:rFonts w:eastAsia="仿宋_GB2312"/>
          <w:sz w:val="28"/>
          <w:szCs w:val="28"/>
        </w:rPr>
      </w:pPr>
      <w:r>
        <w:rPr>
          <w:rFonts w:hint="eastAsia" w:eastAsia="仿宋_GB2312"/>
          <w:sz w:val="28"/>
          <w:szCs w:val="28"/>
        </w:rPr>
        <w:t>(26)《江苏省</w:t>
      </w:r>
      <w:r>
        <w:rPr>
          <w:rFonts w:eastAsia="仿宋_GB2312"/>
          <w:sz w:val="28"/>
          <w:szCs w:val="28"/>
        </w:rPr>
        <w:t>水污染防治条例》</w:t>
      </w:r>
      <w:r>
        <w:rPr>
          <w:rFonts w:hint="eastAsia" w:eastAsia="仿宋_GB2312"/>
          <w:sz w:val="28"/>
          <w:szCs w:val="28"/>
        </w:rPr>
        <w:t>，2020年</w:t>
      </w:r>
      <w:r>
        <w:rPr>
          <w:rFonts w:eastAsia="仿宋_GB2312"/>
          <w:sz w:val="28"/>
          <w:szCs w:val="28"/>
        </w:rPr>
        <w:t>12</w:t>
      </w:r>
      <w:r>
        <w:rPr>
          <w:rFonts w:hint="eastAsia" w:eastAsia="仿宋_GB2312"/>
          <w:sz w:val="28"/>
          <w:szCs w:val="28"/>
        </w:rPr>
        <w:t>月9日；</w:t>
      </w:r>
    </w:p>
    <w:p>
      <w:pPr>
        <w:widowControl/>
        <w:spacing w:line="500" w:lineRule="exact"/>
        <w:ind w:firstLine="560" w:firstLineChars="200"/>
        <w:rPr>
          <w:rFonts w:eastAsia="仿宋_GB2312"/>
          <w:sz w:val="28"/>
          <w:szCs w:val="28"/>
        </w:rPr>
      </w:pPr>
      <w:r>
        <w:rPr>
          <w:rFonts w:hint="eastAsia" w:eastAsia="仿宋_GB2312"/>
          <w:sz w:val="28"/>
          <w:szCs w:val="28"/>
        </w:rPr>
        <w:t>(27)《江苏省土壤</w:t>
      </w:r>
      <w:r>
        <w:rPr>
          <w:rFonts w:eastAsia="仿宋_GB2312"/>
          <w:sz w:val="28"/>
          <w:szCs w:val="28"/>
        </w:rPr>
        <w:t>污染</w:t>
      </w:r>
      <w:r>
        <w:rPr>
          <w:rFonts w:hint="eastAsia" w:eastAsia="仿宋_GB2312"/>
          <w:sz w:val="28"/>
          <w:szCs w:val="28"/>
        </w:rPr>
        <w:t>防治</w:t>
      </w:r>
      <w:r>
        <w:rPr>
          <w:rFonts w:eastAsia="仿宋_GB2312"/>
          <w:sz w:val="28"/>
          <w:szCs w:val="28"/>
        </w:rPr>
        <w:t>条例</w:t>
      </w:r>
      <w:r>
        <w:rPr>
          <w:rFonts w:hint="eastAsia" w:eastAsia="仿宋_GB2312"/>
          <w:sz w:val="28"/>
          <w:szCs w:val="28"/>
        </w:rPr>
        <w:t>》（江苏省人大常委会公告</w:t>
      </w:r>
      <w:r>
        <w:rPr>
          <w:rFonts w:eastAsia="仿宋_GB2312"/>
          <w:sz w:val="28"/>
          <w:szCs w:val="28"/>
        </w:rPr>
        <w:t>第</w:t>
      </w:r>
      <w:r>
        <w:rPr>
          <w:rFonts w:hint="eastAsia" w:eastAsia="仿宋_GB2312"/>
          <w:sz w:val="28"/>
          <w:szCs w:val="28"/>
        </w:rPr>
        <w:t>80号）；</w:t>
      </w:r>
    </w:p>
    <w:p>
      <w:pPr>
        <w:widowControl/>
        <w:spacing w:line="500" w:lineRule="exact"/>
        <w:ind w:firstLine="560" w:firstLineChars="200"/>
        <w:rPr>
          <w:rFonts w:eastAsia="仿宋_GB2312"/>
          <w:sz w:val="28"/>
          <w:szCs w:val="28"/>
        </w:rPr>
      </w:pPr>
      <w:r>
        <w:rPr>
          <w:rFonts w:hint="eastAsia" w:eastAsia="仿宋_GB2312"/>
          <w:sz w:val="28"/>
          <w:szCs w:val="28"/>
        </w:rPr>
        <w:t>(28)《江苏省2020年挥发性有机物专项治理工作方案》（苏大气办[2020]2号）；</w:t>
      </w:r>
    </w:p>
    <w:p>
      <w:pPr>
        <w:widowControl/>
        <w:spacing w:line="500" w:lineRule="exact"/>
        <w:ind w:firstLine="560" w:firstLineChars="200"/>
        <w:rPr>
          <w:rFonts w:eastAsia="仿宋_GB2312"/>
          <w:sz w:val="28"/>
          <w:szCs w:val="28"/>
        </w:rPr>
      </w:pPr>
      <w:r>
        <w:rPr>
          <w:rFonts w:hint="eastAsia" w:eastAsia="仿宋_GB2312"/>
          <w:sz w:val="28"/>
          <w:szCs w:val="28"/>
        </w:rPr>
        <w:t>(29)《关于印发常州市挥发性有机物清洁原料替代工作方案的通知》（常污防攻坚指办〔2021〕32号）</w:t>
      </w:r>
    </w:p>
    <w:p>
      <w:pPr>
        <w:widowControl/>
        <w:spacing w:line="500" w:lineRule="exact"/>
        <w:ind w:firstLine="560" w:firstLineChars="200"/>
        <w:rPr>
          <w:rFonts w:eastAsia="仿宋_GB2312"/>
          <w:sz w:val="28"/>
          <w:szCs w:val="28"/>
        </w:rPr>
      </w:pPr>
      <w:r>
        <w:rPr>
          <w:rFonts w:hint="eastAsia" w:eastAsia="仿宋_GB2312"/>
          <w:sz w:val="28"/>
          <w:szCs w:val="28"/>
        </w:rPr>
        <w:t>(30)《江苏省地表水（环境）功能区划（2021</w:t>
      </w:r>
      <w:r>
        <w:rPr>
          <w:rFonts w:eastAsia="仿宋_GB2312"/>
          <w:sz w:val="28"/>
          <w:szCs w:val="28"/>
        </w:rPr>
        <w:t>-2030</w:t>
      </w:r>
      <w:r>
        <w:rPr>
          <w:rFonts w:hint="eastAsia" w:eastAsia="仿宋_GB2312"/>
          <w:sz w:val="28"/>
          <w:szCs w:val="28"/>
        </w:rPr>
        <w:t>）》，苏环办[</w:t>
      </w:r>
      <w:r>
        <w:rPr>
          <w:rFonts w:eastAsia="仿宋_GB2312"/>
          <w:sz w:val="28"/>
          <w:szCs w:val="28"/>
        </w:rPr>
        <w:t>2022</w:t>
      </w:r>
      <w:r>
        <w:rPr>
          <w:rFonts w:hint="eastAsia" w:eastAsia="仿宋_GB2312"/>
          <w:sz w:val="28"/>
          <w:szCs w:val="28"/>
        </w:rPr>
        <w:t>]</w:t>
      </w:r>
      <w:r>
        <w:rPr>
          <w:rFonts w:eastAsia="仿宋_GB2312"/>
          <w:sz w:val="28"/>
          <w:szCs w:val="28"/>
        </w:rPr>
        <w:t>82</w:t>
      </w:r>
      <w:r>
        <w:rPr>
          <w:rFonts w:hint="eastAsia" w:eastAsia="仿宋_GB2312"/>
          <w:sz w:val="28"/>
          <w:szCs w:val="28"/>
        </w:rPr>
        <w:t>号；</w:t>
      </w:r>
    </w:p>
    <w:p>
      <w:pPr>
        <w:widowControl/>
        <w:spacing w:line="500" w:lineRule="exact"/>
        <w:ind w:firstLine="560" w:firstLineChars="200"/>
        <w:rPr>
          <w:rFonts w:eastAsia="仿宋_GB2312"/>
          <w:sz w:val="28"/>
          <w:szCs w:val="28"/>
        </w:rPr>
      </w:pPr>
      <w:r>
        <w:rPr>
          <w:rFonts w:hint="eastAsia" w:eastAsia="仿宋_GB2312"/>
          <w:sz w:val="28"/>
          <w:szCs w:val="28"/>
        </w:rPr>
        <w:t>(31)《常州市环境空气质量功能区划分规定（2017）》（常政办发﹝2017﹞160号），常州市人民政府；</w:t>
      </w:r>
    </w:p>
    <w:p>
      <w:pPr>
        <w:widowControl/>
        <w:spacing w:line="500" w:lineRule="exact"/>
        <w:ind w:firstLine="560" w:firstLineChars="200"/>
        <w:rPr>
          <w:rFonts w:eastAsia="仿宋_GB2312"/>
          <w:sz w:val="28"/>
          <w:szCs w:val="28"/>
        </w:rPr>
      </w:pPr>
      <w:r>
        <w:rPr>
          <w:rFonts w:hint="eastAsia" w:eastAsia="仿宋_GB2312"/>
          <w:sz w:val="28"/>
          <w:szCs w:val="28"/>
        </w:rPr>
        <w:t>(32)《常州市市区声环境功能区划（2017）》（常州市人民政府，常政发[2017]161号）；</w:t>
      </w:r>
    </w:p>
    <w:p>
      <w:pPr>
        <w:widowControl/>
        <w:spacing w:line="500" w:lineRule="exact"/>
        <w:ind w:firstLine="560" w:firstLineChars="200"/>
        <w:rPr>
          <w:rFonts w:eastAsia="仿宋_GB2312"/>
          <w:sz w:val="28"/>
          <w:szCs w:val="28"/>
        </w:rPr>
      </w:pPr>
      <w:r>
        <w:rPr>
          <w:rFonts w:hint="eastAsia" w:eastAsia="仿宋_GB2312"/>
          <w:sz w:val="28"/>
          <w:szCs w:val="28"/>
        </w:rPr>
        <w:t>(33)《关于印发常州市2021年大气污染防治工作计划的通知》（常大气办〔2021〕9号），2021年3月31日；</w:t>
      </w:r>
    </w:p>
    <w:p>
      <w:pPr>
        <w:widowControl/>
        <w:spacing w:line="500" w:lineRule="exact"/>
        <w:ind w:firstLine="560" w:firstLineChars="200"/>
        <w:rPr>
          <w:rFonts w:eastAsia="仿宋_GB2312"/>
          <w:sz w:val="28"/>
          <w:szCs w:val="28"/>
        </w:rPr>
      </w:pPr>
      <w:r>
        <w:rPr>
          <w:rFonts w:hint="eastAsia" w:eastAsia="仿宋_GB2312"/>
          <w:sz w:val="28"/>
          <w:szCs w:val="28"/>
        </w:rPr>
        <w:t>(34)常州市生态环境局关于进一步加强危险废物处理处置能力建设的指导意见（常环[2021]33号），2021年7月9日；</w:t>
      </w:r>
    </w:p>
    <w:p>
      <w:pPr>
        <w:widowControl/>
        <w:spacing w:line="500" w:lineRule="exact"/>
        <w:ind w:firstLine="560" w:firstLineChars="200"/>
        <w:rPr>
          <w:rFonts w:eastAsia="仿宋_GB2312"/>
          <w:sz w:val="28"/>
          <w:szCs w:val="28"/>
        </w:rPr>
      </w:pPr>
      <w:r>
        <w:rPr>
          <w:rFonts w:hint="eastAsia" w:eastAsia="仿宋_GB2312"/>
          <w:sz w:val="28"/>
          <w:szCs w:val="28"/>
        </w:rPr>
        <w:t>(35)《关于将排污单位活性炭使用更换纳入排污许可管理的通知》（苏环办[2021]218号），2021年7月19日；</w:t>
      </w:r>
    </w:p>
    <w:p>
      <w:pPr>
        <w:widowControl/>
        <w:spacing w:line="500" w:lineRule="exact"/>
        <w:ind w:firstLine="560" w:firstLineChars="200"/>
        <w:rPr>
          <w:rFonts w:eastAsia="仿宋_GB2312"/>
          <w:sz w:val="28"/>
          <w:szCs w:val="28"/>
        </w:rPr>
      </w:pPr>
      <w:r>
        <w:rPr>
          <w:rFonts w:hint="eastAsia" w:eastAsia="仿宋_GB2312"/>
          <w:sz w:val="28"/>
          <w:szCs w:val="28"/>
        </w:rPr>
        <w:t>(36)《关于坚决遏制“两高”项目盲目发展的通知》（苏发改资环发〔2021〕837号），2021年8月23日；</w:t>
      </w:r>
    </w:p>
    <w:p>
      <w:pPr>
        <w:widowControl/>
        <w:spacing w:line="500" w:lineRule="exact"/>
        <w:ind w:firstLine="560" w:firstLineChars="200"/>
        <w:rPr>
          <w:rFonts w:eastAsia="仿宋_GB2312"/>
          <w:sz w:val="28"/>
          <w:szCs w:val="28"/>
        </w:rPr>
      </w:pPr>
      <w:r>
        <w:rPr>
          <w:rFonts w:hint="eastAsia" w:eastAsia="仿宋_GB2312"/>
          <w:sz w:val="28"/>
          <w:szCs w:val="28"/>
        </w:rPr>
        <w:t>(37)关于印发《江苏省污染源自动监控管理办法（试行）》的通知（苏环发〔2021〕3号），2021年11月10日</w:t>
      </w:r>
      <w:r>
        <w:rPr>
          <w:rFonts w:eastAsia="仿宋_GB2312"/>
          <w:sz w:val="28"/>
          <w:szCs w:val="28"/>
        </w:rPr>
        <w:t>；</w:t>
      </w:r>
    </w:p>
    <w:p>
      <w:pPr>
        <w:widowControl/>
        <w:spacing w:line="500" w:lineRule="exact"/>
        <w:ind w:firstLine="560" w:firstLineChars="200"/>
        <w:rPr>
          <w:rFonts w:eastAsia="仿宋_GB2312"/>
          <w:sz w:val="28"/>
          <w:szCs w:val="28"/>
        </w:rPr>
      </w:pPr>
      <w:r>
        <w:rPr>
          <w:rFonts w:hint="eastAsia" w:eastAsia="仿宋_GB2312"/>
          <w:sz w:val="28"/>
          <w:szCs w:val="28"/>
        </w:rPr>
        <w:t>(38)省政府关于印发《关于印发大运河江苏段核心监控区国土空间管控暂行办法的通知》（苏政发[2021]20号），2021年2月28日。</w:t>
      </w:r>
    </w:p>
    <w:p>
      <w:pPr>
        <w:pStyle w:val="4"/>
        <w:keepLines w:val="0"/>
        <w:numPr>
          <w:ilvl w:val="2"/>
          <w:numId w:val="1"/>
        </w:numPr>
        <w:tabs>
          <w:tab w:val="left" w:pos="709"/>
        </w:tabs>
        <w:spacing w:before="120" w:beforeLines="50" w:after="120" w:afterLines="50" w:line="500" w:lineRule="exact"/>
        <w:ind w:left="0" w:firstLine="0"/>
        <w:rPr>
          <w:rFonts w:eastAsia="仿宋_GB2312"/>
          <w:sz w:val="28"/>
          <w:szCs w:val="28"/>
        </w:rPr>
      </w:pPr>
      <w:r>
        <w:rPr>
          <w:rFonts w:eastAsia="仿宋_GB2312"/>
          <w:sz w:val="28"/>
          <w:szCs w:val="28"/>
        </w:rPr>
        <w:t>有关技术导则</w:t>
      </w:r>
    </w:p>
    <w:p>
      <w:pPr>
        <w:adjustRightInd w:val="0"/>
        <w:snapToGrid w:val="0"/>
        <w:spacing w:line="500" w:lineRule="exact"/>
        <w:ind w:firstLine="560" w:firstLineChars="200"/>
        <w:rPr>
          <w:rFonts w:eastAsia="仿宋_GB2312"/>
          <w:sz w:val="28"/>
          <w:szCs w:val="28"/>
        </w:rPr>
      </w:pPr>
      <w:r>
        <w:rPr>
          <w:rFonts w:eastAsia="仿宋_GB2312"/>
          <w:sz w:val="28"/>
          <w:szCs w:val="28"/>
        </w:rPr>
        <w:t>（1）《环境影响评价技术导则-总纲》（HJ2.1-2016），国家环境保护部2016年12月6日发布，2017年1月1日实施。</w:t>
      </w:r>
    </w:p>
    <w:p>
      <w:pPr>
        <w:adjustRightInd w:val="0"/>
        <w:snapToGrid w:val="0"/>
        <w:spacing w:line="500" w:lineRule="exact"/>
        <w:ind w:firstLine="560" w:firstLineChars="200"/>
        <w:rPr>
          <w:rFonts w:eastAsia="仿宋_GB2312"/>
          <w:sz w:val="28"/>
          <w:szCs w:val="28"/>
        </w:rPr>
      </w:pPr>
      <w:r>
        <w:rPr>
          <w:rFonts w:eastAsia="仿宋_GB2312"/>
          <w:sz w:val="28"/>
          <w:szCs w:val="28"/>
        </w:rPr>
        <w:t>（2）《环境影响评价技术导则-大气环境》（HJ2.2-2018），</w:t>
      </w:r>
      <w:r>
        <w:rPr>
          <w:rFonts w:hint="eastAsia" w:eastAsia="仿宋_GB2312"/>
          <w:sz w:val="28"/>
          <w:szCs w:val="28"/>
        </w:rPr>
        <w:t>生态环境部</w:t>
      </w:r>
      <w:r>
        <w:rPr>
          <w:rFonts w:eastAsia="仿宋_GB2312"/>
          <w:sz w:val="28"/>
          <w:szCs w:val="28"/>
        </w:rPr>
        <w:t>2018年7月31日发布，2018年</w:t>
      </w:r>
      <w:r>
        <w:rPr>
          <w:rFonts w:hint="eastAsia" w:eastAsia="仿宋_GB2312"/>
          <w:sz w:val="28"/>
          <w:szCs w:val="28"/>
        </w:rPr>
        <w:t>12</w:t>
      </w:r>
      <w:r>
        <w:rPr>
          <w:rFonts w:eastAsia="仿宋_GB2312"/>
          <w:sz w:val="28"/>
          <w:szCs w:val="28"/>
        </w:rPr>
        <w:t>月1日实施。</w:t>
      </w:r>
    </w:p>
    <w:p>
      <w:pPr>
        <w:adjustRightInd w:val="0"/>
        <w:snapToGrid w:val="0"/>
        <w:spacing w:line="500" w:lineRule="exact"/>
        <w:ind w:firstLine="560" w:firstLineChars="200"/>
        <w:rPr>
          <w:rFonts w:eastAsia="仿宋_GB2312"/>
          <w:sz w:val="28"/>
          <w:szCs w:val="28"/>
        </w:rPr>
      </w:pPr>
      <w:r>
        <w:rPr>
          <w:rFonts w:eastAsia="仿宋_GB2312"/>
          <w:sz w:val="28"/>
          <w:szCs w:val="28"/>
        </w:rPr>
        <w:t>（3）《环境影响评价技术导则-地</w:t>
      </w:r>
      <w:r>
        <w:rPr>
          <w:rFonts w:hint="eastAsia" w:eastAsia="仿宋_GB2312"/>
          <w:sz w:val="28"/>
          <w:szCs w:val="28"/>
        </w:rPr>
        <w:t>表</w:t>
      </w:r>
      <w:r>
        <w:rPr>
          <w:rFonts w:eastAsia="仿宋_GB2312"/>
          <w:sz w:val="28"/>
          <w:szCs w:val="28"/>
        </w:rPr>
        <w:t>水环境》（HJ2.3-2018），</w:t>
      </w:r>
      <w:r>
        <w:rPr>
          <w:rFonts w:hint="eastAsia" w:eastAsia="仿宋_GB2312"/>
          <w:sz w:val="28"/>
          <w:szCs w:val="28"/>
        </w:rPr>
        <w:t>生态环境部</w:t>
      </w:r>
      <w:r>
        <w:rPr>
          <w:rFonts w:eastAsia="仿宋_GB2312"/>
          <w:sz w:val="28"/>
          <w:szCs w:val="28"/>
        </w:rPr>
        <w:t>2018年9月</w:t>
      </w:r>
      <w:r>
        <w:rPr>
          <w:rFonts w:hint="eastAsia" w:eastAsia="仿宋_GB2312"/>
          <w:sz w:val="28"/>
          <w:szCs w:val="28"/>
        </w:rPr>
        <w:t>30</w:t>
      </w:r>
      <w:r>
        <w:rPr>
          <w:rFonts w:eastAsia="仿宋_GB2312"/>
          <w:sz w:val="28"/>
          <w:szCs w:val="28"/>
        </w:rPr>
        <w:t>日</w:t>
      </w:r>
      <w:r>
        <w:rPr>
          <w:rFonts w:hint="eastAsia" w:eastAsia="仿宋_GB2312"/>
          <w:sz w:val="28"/>
          <w:szCs w:val="28"/>
        </w:rPr>
        <w:t>发布</w:t>
      </w:r>
      <w:r>
        <w:rPr>
          <w:rFonts w:eastAsia="仿宋_GB2312"/>
          <w:sz w:val="28"/>
          <w:szCs w:val="28"/>
        </w:rPr>
        <w:t>，2019年</w:t>
      </w:r>
      <w:r>
        <w:rPr>
          <w:rFonts w:hint="eastAsia" w:eastAsia="仿宋_GB2312"/>
          <w:sz w:val="28"/>
          <w:szCs w:val="28"/>
        </w:rPr>
        <w:t>3</w:t>
      </w:r>
      <w:r>
        <w:rPr>
          <w:rFonts w:eastAsia="仿宋_GB2312"/>
          <w:sz w:val="28"/>
          <w:szCs w:val="28"/>
        </w:rPr>
        <w:t>月1日实施。</w:t>
      </w:r>
    </w:p>
    <w:p>
      <w:pPr>
        <w:adjustRightInd w:val="0"/>
        <w:snapToGrid w:val="0"/>
        <w:spacing w:line="500" w:lineRule="exact"/>
        <w:ind w:firstLine="560" w:firstLineChars="200"/>
        <w:rPr>
          <w:rFonts w:eastAsia="仿宋_GB2312"/>
          <w:sz w:val="28"/>
          <w:szCs w:val="28"/>
        </w:rPr>
      </w:pPr>
      <w:r>
        <w:rPr>
          <w:rFonts w:eastAsia="仿宋_GB2312"/>
          <w:sz w:val="28"/>
          <w:szCs w:val="28"/>
        </w:rPr>
        <w:t>（4）《环境影响评价技术导则-声环境》（HJ2.4-2021），国家环境保护局2021年12月24日发布，2022年7月1日实施。</w:t>
      </w:r>
    </w:p>
    <w:p>
      <w:pPr>
        <w:adjustRightInd w:val="0"/>
        <w:snapToGrid w:val="0"/>
        <w:spacing w:line="500" w:lineRule="exact"/>
        <w:ind w:firstLine="560" w:firstLineChars="200"/>
        <w:rPr>
          <w:rFonts w:eastAsia="仿宋_GB2312"/>
          <w:sz w:val="28"/>
          <w:szCs w:val="28"/>
        </w:rPr>
      </w:pPr>
      <w:r>
        <w:rPr>
          <w:rFonts w:eastAsia="仿宋_GB2312"/>
          <w:sz w:val="28"/>
          <w:szCs w:val="28"/>
        </w:rPr>
        <w:t>（5）《环境影响评价技术导则-地下水环境》（HJ610-2016），2016年1月7日实施。</w:t>
      </w:r>
    </w:p>
    <w:p>
      <w:pPr>
        <w:adjustRightInd w:val="0"/>
        <w:snapToGrid w:val="0"/>
        <w:spacing w:line="500" w:lineRule="exact"/>
        <w:ind w:firstLine="560" w:firstLineChars="200"/>
        <w:rPr>
          <w:rFonts w:eastAsia="仿宋_GB2312"/>
          <w:sz w:val="28"/>
          <w:szCs w:val="28"/>
        </w:rPr>
      </w:pPr>
      <w:r>
        <w:rPr>
          <w:rFonts w:eastAsia="仿宋_GB2312"/>
          <w:sz w:val="28"/>
          <w:szCs w:val="28"/>
        </w:rPr>
        <w:t>（6）《建设项目环境风险评价 技术导则》（HJ169-2018），2018年</w:t>
      </w:r>
      <w:r>
        <w:rPr>
          <w:rFonts w:hint="eastAsia" w:eastAsia="仿宋_GB2312"/>
          <w:sz w:val="28"/>
          <w:szCs w:val="28"/>
        </w:rPr>
        <w:t>10</w:t>
      </w:r>
      <w:r>
        <w:rPr>
          <w:rFonts w:eastAsia="仿宋_GB2312"/>
          <w:sz w:val="28"/>
          <w:szCs w:val="28"/>
        </w:rPr>
        <w:t>月</w:t>
      </w:r>
      <w:r>
        <w:rPr>
          <w:rFonts w:hint="eastAsia" w:eastAsia="仿宋_GB2312"/>
          <w:sz w:val="28"/>
          <w:szCs w:val="28"/>
        </w:rPr>
        <w:t>14</w:t>
      </w:r>
      <w:r>
        <w:rPr>
          <w:rFonts w:eastAsia="仿宋_GB2312"/>
          <w:sz w:val="28"/>
          <w:szCs w:val="28"/>
        </w:rPr>
        <w:t>日</w:t>
      </w:r>
      <w:r>
        <w:rPr>
          <w:rFonts w:hint="eastAsia" w:eastAsia="仿宋_GB2312"/>
          <w:sz w:val="28"/>
          <w:szCs w:val="28"/>
        </w:rPr>
        <w:t>发布</w:t>
      </w:r>
      <w:r>
        <w:rPr>
          <w:rFonts w:eastAsia="仿宋_GB2312"/>
          <w:sz w:val="28"/>
          <w:szCs w:val="28"/>
        </w:rPr>
        <w:t>，</w:t>
      </w:r>
      <w:r>
        <w:rPr>
          <w:rFonts w:hint="eastAsia" w:eastAsia="仿宋_GB2312"/>
          <w:sz w:val="28"/>
          <w:szCs w:val="28"/>
        </w:rPr>
        <w:t>2019年3月1日</w:t>
      </w:r>
      <w:r>
        <w:rPr>
          <w:rFonts w:eastAsia="仿宋_GB2312"/>
          <w:sz w:val="28"/>
          <w:szCs w:val="28"/>
        </w:rPr>
        <w:t>。</w:t>
      </w:r>
    </w:p>
    <w:p>
      <w:pPr>
        <w:adjustRightInd w:val="0"/>
        <w:snapToGrid w:val="0"/>
        <w:spacing w:line="500" w:lineRule="exact"/>
        <w:ind w:firstLine="560" w:firstLineChars="200"/>
        <w:rPr>
          <w:rFonts w:eastAsia="仿宋_GB2312"/>
          <w:sz w:val="28"/>
          <w:szCs w:val="28"/>
        </w:rPr>
      </w:pPr>
      <w:r>
        <w:rPr>
          <w:rFonts w:eastAsia="仿宋_GB2312"/>
          <w:sz w:val="28"/>
          <w:szCs w:val="28"/>
        </w:rPr>
        <w:t>（7）《环境影响评价技术导则 生态影响》（HJ19-2022），2022</w:t>
      </w:r>
      <w:r>
        <w:rPr>
          <w:rFonts w:hint="eastAsia" w:eastAsia="仿宋_GB2312"/>
          <w:sz w:val="28"/>
          <w:szCs w:val="28"/>
        </w:rPr>
        <w:t>年1月15日</w:t>
      </w:r>
      <w:r>
        <w:rPr>
          <w:rFonts w:eastAsia="仿宋_GB2312"/>
          <w:sz w:val="28"/>
          <w:szCs w:val="28"/>
        </w:rPr>
        <w:t>发布，</w:t>
      </w:r>
      <w:r>
        <w:rPr>
          <w:rFonts w:hint="eastAsia" w:eastAsia="仿宋_GB2312"/>
          <w:sz w:val="28"/>
          <w:szCs w:val="28"/>
        </w:rPr>
        <w:t>2022</w:t>
      </w:r>
      <w:r>
        <w:rPr>
          <w:rFonts w:eastAsia="仿宋_GB2312"/>
          <w:sz w:val="28"/>
          <w:szCs w:val="28"/>
        </w:rPr>
        <w:t>年7月1日实施。</w:t>
      </w:r>
    </w:p>
    <w:p>
      <w:pPr>
        <w:adjustRightInd w:val="0"/>
        <w:snapToGrid w:val="0"/>
        <w:spacing w:line="500" w:lineRule="exact"/>
        <w:ind w:firstLine="560" w:firstLineChars="200"/>
        <w:rPr>
          <w:rFonts w:eastAsia="仿宋_GB2312"/>
          <w:sz w:val="28"/>
          <w:szCs w:val="28"/>
        </w:rPr>
      </w:pPr>
      <w:r>
        <w:rPr>
          <w:rFonts w:hint="eastAsia" w:eastAsia="仿宋_GB2312"/>
          <w:sz w:val="28"/>
          <w:szCs w:val="28"/>
        </w:rPr>
        <w:t>（8）《</w:t>
      </w:r>
      <w:r>
        <w:rPr>
          <w:rFonts w:eastAsia="仿宋_GB2312"/>
          <w:sz w:val="28"/>
          <w:szCs w:val="28"/>
        </w:rPr>
        <w:t>环境影响评价技术导则</w:t>
      </w:r>
      <w:r>
        <w:rPr>
          <w:rFonts w:hint="eastAsia" w:eastAsia="仿宋_GB2312"/>
          <w:sz w:val="28"/>
          <w:szCs w:val="28"/>
        </w:rPr>
        <w:t xml:space="preserve"> 土壤环境（试行）》（HJ</w:t>
      </w:r>
      <w:r>
        <w:rPr>
          <w:rFonts w:eastAsia="仿宋_GB2312"/>
          <w:sz w:val="28"/>
          <w:szCs w:val="28"/>
        </w:rPr>
        <w:t>964-2018</w:t>
      </w:r>
      <w:r>
        <w:rPr>
          <w:rFonts w:hint="eastAsia" w:eastAsia="仿宋_GB2312"/>
          <w:sz w:val="28"/>
          <w:szCs w:val="28"/>
        </w:rPr>
        <w:t>），2019年7月1日</w:t>
      </w:r>
      <w:r>
        <w:rPr>
          <w:rFonts w:eastAsia="仿宋_GB2312"/>
          <w:sz w:val="28"/>
          <w:szCs w:val="28"/>
        </w:rPr>
        <w:t>实施。</w:t>
      </w:r>
    </w:p>
    <w:p>
      <w:pPr>
        <w:adjustRightInd w:val="0"/>
        <w:snapToGrid w:val="0"/>
        <w:spacing w:line="500" w:lineRule="exact"/>
        <w:ind w:firstLine="560" w:firstLineChars="200"/>
        <w:rPr>
          <w:rFonts w:eastAsia="仿宋_GB2312"/>
          <w:sz w:val="28"/>
          <w:szCs w:val="28"/>
        </w:rPr>
      </w:pPr>
      <w:r>
        <w:rPr>
          <w:rFonts w:eastAsia="仿宋_GB2312"/>
          <w:sz w:val="28"/>
          <w:szCs w:val="28"/>
        </w:rPr>
        <w:t>（9）《江苏省工业建设项目环境影响报告书主要内容编制要求》（苏环管[2005]148号），江苏省环境保护厅，2005年5月29日。</w:t>
      </w:r>
    </w:p>
    <w:p>
      <w:pPr>
        <w:adjustRightInd w:val="0"/>
        <w:snapToGrid w:val="0"/>
        <w:spacing w:line="500" w:lineRule="exact"/>
        <w:ind w:firstLine="560" w:firstLineChars="200"/>
        <w:rPr>
          <w:rFonts w:eastAsia="仿宋_GB2312"/>
          <w:sz w:val="28"/>
          <w:szCs w:val="28"/>
        </w:rPr>
      </w:pPr>
      <w:r>
        <w:rPr>
          <w:rFonts w:hint="eastAsia" w:eastAsia="仿宋_GB2312"/>
          <w:sz w:val="28"/>
          <w:szCs w:val="28"/>
        </w:rPr>
        <w:t>（10）</w:t>
      </w:r>
      <w:r>
        <w:rPr>
          <w:rFonts w:eastAsia="仿宋_GB2312"/>
          <w:sz w:val="28"/>
          <w:szCs w:val="28"/>
        </w:rPr>
        <w:t>《危险废物收集贮存运输技术规范》（HJ 2025-2012）</w:t>
      </w:r>
      <w:r>
        <w:rPr>
          <w:rFonts w:hint="eastAsia" w:eastAsia="仿宋_GB2312"/>
          <w:sz w:val="28"/>
          <w:szCs w:val="28"/>
        </w:rPr>
        <w:t>。</w:t>
      </w:r>
    </w:p>
    <w:p>
      <w:pPr>
        <w:pStyle w:val="4"/>
        <w:keepLines w:val="0"/>
        <w:numPr>
          <w:ilvl w:val="2"/>
          <w:numId w:val="1"/>
        </w:numPr>
        <w:tabs>
          <w:tab w:val="left" w:pos="709"/>
        </w:tabs>
        <w:spacing w:before="120" w:beforeLines="50" w:after="120" w:afterLines="50" w:line="500" w:lineRule="exact"/>
        <w:ind w:left="0" w:firstLine="0"/>
        <w:rPr>
          <w:rFonts w:eastAsia="仿宋_GB2312"/>
          <w:sz w:val="28"/>
          <w:szCs w:val="28"/>
        </w:rPr>
      </w:pPr>
      <w:r>
        <w:rPr>
          <w:rFonts w:eastAsia="仿宋_GB2312"/>
          <w:sz w:val="28"/>
          <w:szCs w:val="28"/>
        </w:rPr>
        <w:t>与建设项目有关的技术文件</w:t>
      </w:r>
    </w:p>
    <w:p>
      <w:pPr>
        <w:adjustRightInd w:val="0"/>
        <w:snapToGrid w:val="0"/>
        <w:spacing w:line="500" w:lineRule="exact"/>
        <w:ind w:firstLine="560" w:firstLineChars="200"/>
        <w:rPr>
          <w:rFonts w:eastAsia="仿宋_GB2312"/>
          <w:sz w:val="28"/>
          <w:szCs w:val="28"/>
        </w:rPr>
      </w:pPr>
      <w:r>
        <w:rPr>
          <w:rFonts w:eastAsia="仿宋_GB2312"/>
          <w:sz w:val="28"/>
          <w:szCs w:val="28"/>
        </w:rPr>
        <w:t>（1）《常州市城市总体规划》（2011-2020），常州市人民政府。</w:t>
      </w:r>
    </w:p>
    <w:p>
      <w:pPr>
        <w:adjustRightInd w:val="0"/>
        <w:snapToGrid w:val="0"/>
        <w:spacing w:line="500" w:lineRule="exact"/>
        <w:ind w:firstLine="560" w:firstLineChars="200"/>
        <w:rPr>
          <w:rFonts w:eastAsia="仿宋_GB2312"/>
          <w:sz w:val="28"/>
          <w:szCs w:val="28"/>
        </w:rPr>
      </w:pPr>
      <w:r>
        <w:rPr>
          <w:rFonts w:eastAsia="仿宋_GB2312"/>
          <w:sz w:val="28"/>
          <w:szCs w:val="28"/>
        </w:rPr>
        <w:t>（2）</w:t>
      </w:r>
      <w:r>
        <w:rPr>
          <w:rFonts w:ascii="仿宋" w:hAnsi="仿宋" w:eastAsia="仿宋"/>
          <w:sz w:val="28"/>
          <w:szCs w:val="21"/>
          <w:lang w:val="zh-CN"/>
        </w:rPr>
        <w:t>《关于对常州市金坛区金城镇人民政府“江苏省金坛区金城镇工业园区（北区）发展规划”环境影响报告书的审查意见》（坛环服复〔2017〕24号）</w:t>
      </w:r>
      <w:r>
        <w:rPr>
          <w:rFonts w:eastAsia="仿宋_GB2312"/>
          <w:sz w:val="28"/>
          <w:szCs w:val="28"/>
        </w:rPr>
        <w:t>；</w:t>
      </w:r>
    </w:p>
    <w:p>
      <w:pPr>
        <w:adjustRightInd w:val="0"/>
        <w:snapToGrid w:val="0"/>
        <w:spacing w:line="500" w:lineRule="exact"/>
        <w:ind w:firstLine="560" w:firstLineChars="200"/>
        <w:rPr>
          <w:rFonts w:eastAsia="仿宋_GB2312"/>
          <w:sz w:val="28"/>
          <w:szCs w:val="28"/>
        </w:rPr>
      </w:pPr>
      <w:r>
        <w:rPr>
          <w:rFonts w:eastAsia="仿宋_GB2312"/>
          <w:sz w:val="28"/>
          <w:szCs w:val="28"/>
        </w:rPr>
        <w:t>（3）《环境保护实用数据手册》，机械工业出版社，1990年4月。</w:t>
      </w:r>
    </w:p>
    <w:p>
      <w:pPr>
        <w:adjustRightInd w:val="0"/>
        <w:snapToGrid w:val="0"/>
        <w:spacing w:line="500" w:lineRule="exact"/>
        <w:ind w:firstLine="560" w:firstLineChars="200"/>
        <w:rPr>
          <w:rFonts w:eastAsia="仿宋_GB2312"/>
          <w:sz w:val="28"/>
          <w:szCs w:val="28"/>
        </w:rPr>
      </w:pPr>
      <w:r>
        <w:rPr>
          <w:rFonts w:eastAsia="仿宋_GB2312"/>
          <w:sz w:val="28"/>
          <w:szCs w:val="28"/>
        </w:rPr>
        <w:t>（</w:t>
      </w:r>
      <w:r>
        <w:rPr>
          <w:rFonts w:hint="eastAsia" w:eastAsia="仿宋_GB2312"/>
          <w:sz w:val="28"/>
          <w:szCs w:val="28"/>
        </w:rPr>
        <w:t>4</w:t>
      </w:r>
      <w:r>
        <w:rPr>
          <w:rFonts w:eastAsia="仿宋_GB2312"/>
          <w:sz w:val="28"/>
          <w:szCs w:val="28"/>
        </w:rPr>
        <w:t>）针对本项目进行的环境质量现状监测报告及引用说明。</w:t>
      </w:r>
    </w:p>
    <w:p>
      <w:pPr>
        <w:adjustRightInd w:val="0"/>
        <w:snapToGrid w:val="0"/>
        <w:spacing w:line="500" w:lineRule="exact"/>
        <w:ind w:firstLine="560" w:firstLineChars="200"/>
        <w:rPr>
          <w:rFonts w:eastAsia="仿宋_GB2312"/>
          <w:sz w:val="28"/>
          <w:szCs w:val="28"/>
        </w:rPr>
      </w:pPr>
      <w:r>
        <w:rPr>
          <w:rFonts w:hint="eastAsia" w:eastAsia="仿宋_GB2312"/>
          <w:sz w:val="28"/>
          <w:szCs w:val="28"/>
        </w:rPr>
        <w:t>（5）《</w:t>
      </w:r>
      <w:r>
        <w:rPr>
          <w:rFonts w:eastAsia="仿宋_GB2312"/>
          <w:sz w:val="28"/>
          <w:szCs w:val="28"/>
        </w:rPr>
        <w:t>2022年常州市生态环境状况公报</w:t>
      </w:r>
      <w:r>
        <w:rPr>
          <w:rFonts w:hint="eastAsia" w:eastAsia="仿宋_GB2312"/>
          <w:sz w:val="28"/>
          <w:szCs w:val="28"/>
        </w:rPr>
        <w:t>》，常州</w:t>
      </w:r>
      <w:r>
        <w:rPr>
          <w:rFonts w:eastAsia="仿宋_GB2312"/>
          <w:sz w:val="28"/>
          <w:szCs w:val="28"/>
        </w:rPr>
        <w:t>市</w:t>
      </w:r>
      <w:r>
        <w:rPr>
          <w:rFonts w:hint="eastAsia" w:eastAsia="仿宋_GB2312"/>
          <w:sz w:val="28"/>
          <w:szCs w:val="28"/>
        </w:rPr>
        <w:t>生态环境</w:t>
      </w:r>
      <w:r>
        <w:rPr>
          <w:rFonts w:eastAsia="仿宋_GB2312"/>
          <w:sz w:val="28"/>
          <w:szCs w:val="28"/>
        </w:rPr>
        <w:t>局</w:t>
      </w:r>
      <w:r>
        <w:rPr>
          <w:rFonts w:hint="eastAsia" w:eastAsia="仿宋_GB2312"/>
          <w:sz w:val="28"/>
          <w:szCs w:val="28"/>
        </w:rPr>
        <w:t>/</w:t>
      </w:r>
      <w:r>
        <w:rPr>
          <w:rFonts w:eastAsia="仿宋_GB2312"/>
          <w:sz w:val="28"/>
          <w:szCs w:val="28"/>
        </w:rPr>
        <w:t>，2023</w:t>
      </w:r>
      <w:r>
        <w:rPr>
          <w:rFonts w:hint="eastAsia" w:eastAsia="仿宋_GB2312"/>
          <w:sz w:val="28"/>
          <w:szCs w:val="28"/>
        </w:rPr>
        <w:t>年6月。</w:t>
      </w:r>
    </w:p>
    <w:p>
      <w:pPr>
        <w:adjustRightInd w:val="0"/>
        <w:snapToGrid w:val="0"/>
        <w:spacing w:line="500" w:lineRule="exact"/>
        <w:ind w:firstLine="560" w:firstLineChars="200"/>
        <w:rPr>
          <w:rFonts w:eastAsia="仿宋_GB2312"/>
          <w:sz w:val="28"/>
          <w:szCs w:val="28"/>
        </w:rPr>
      </w:pPr>
      <w:r>
        <w:rPr>
          <w:rFonts w:eastAsia="仿宋_GB2312"/>
          <w:sz w:val="28"/>
          <w:szCs w:val="28"/>
        </w:rPr>
        <w:t>（6）厂方提供的项目环保资料。</w:t>
      </w:r>
    </w:p>
    <w:p>
      <w:pPr>
        <w:pStyle w:val="3"/>
        <w:spacing w:before="120" w:after="120"/>
      </w:pPr>
      <w:bookmarkStart w:id="98" w:name="_Toc140565255"/>
      <w:r>
        <w:t>评价</w:t>
      </w:r>
      <w:r>
        <w:rPr>
          <w:rFonts w:hint="eastAsia"/>
        </w:rPr>
        <w:t>目的及</w:t>
      </w:r>
      <w:r>
        <w:t>工作原则</w:t>
      </w:r>
      <w:bookmarkEnd w:id="98"/>
    </w:p>
    <w:p>
      <w:pPr>
        <w:pStyle w:val="4"/>
        <w:keepLines w:val="0"/>
        <w:numPr>
          <w:ilvl w:val="2"/>
          <w:numId w:val="1"/>
        </w:numPr>
        <w:tabs>
          <w:tab w:val="left" w:pos="709"/>
        </w:tabs>
        <w:spacing w:before="120" w:beforeLines="50" w:after="120" w:afterLines="50" w:line="500" w:lineRule="exact"/>
        <w:ind w:left="0" w:firstLine="0"/>
        <w:rPr>
          <w:rFonts w:eastAsia="仿宋_GB2312"/>
          <w:sz w:val="28"/>
          <w:szCs w:val="28"/>
        </w:rPr>
      </w:pPr>
      <w:r>
        <w:rPr>
          <w:rFonts w:eastAsia="仿宋_GB2312"/>
          <w:sz w:val="28"/>
          <w:szCs w:val="28"/>
        </w:rPr>
        <w:t>评价</w:t>
      </w:r>
      <w:r>
        <w:rPr>
          <w:rFonts w:hint="eastAsia" w:eastAsia="仿宋_GB2312"/>
          <w:sz w:val="28"/>
          <w:szCs w:val="28"/>
        </w:rPr>
        <w:t>的</w:t>
      </w:r>
      <w:r>
        <w:rPr>
          <w:rFonts w:eastAsia="仿宋_GB2312"/>
          <w:sz w:val="28"/>
          <w:szCs w:val="28"/>
        </w:rPr>
        <w:t>目的</w:t>
      </w:r>
    </w:p>
    <w:p>
      <w:pPr>
        <w:spacing w:line="500" w:lineRule="exact"/>
        <w:ind w:firstLine="420" w:firstLineChars="150"/>
        <w:jc w:val="left"/>
        <w:rPr>
          <w:rFonts w:eastAsia="仿宋_GB2312"/>
          <w:sz w:val="28"/>
          <w:szCs w:val="21"/>
        </w:rPr>
      </w:pPr>
      <w:r>
        <w:rPr>
          <w:rFonts w:eastAsia="仿宋_GB2312"/>
          <w:sz w:val="28"/>
          <w:szCs w:val="21"/>
        </w:rPr>
        <w:t>本次评价工作主要目的是论证项目建设的必要性，分析其是否符合国家产业政策，根据工程分析及污染防治措施评述，预测分析环境影响，评价其是否能作到达标排放，达到保护环境的目的。</w:t>
      </w:r>
    </w:p>
    <w:p>
      <w:pPr>
        <w:pStyle w:val="4"/>
        <w:keepLines w:val="0"/>
        <w:numPr>
          <w:ilvl w:val="2"/>
          <w:numId w:val="1"/>
        </w:numPr>
        <w:tabs>
          <w:tab w:val="left" w:pos="709"/>
        </w:tabs>
        <w:spacing w:before="120" w:beforeLines="50" w:after="120" w:afterLines="50" w:line="500" w:lineRule="exact"/>
        <w:ind w:left="0" w:firstLine="0"/>
        <w:rPr>
          <w:rFonts w:eastAsia="仿宋_GB2312"/>
          <w:sz w:val="28"/>
          <w:szCs w:val="28"/>
        </w:rPr>
      </w:pPr>
      <w:r>
        <w:rPr>
          <w:rFonts w:eastAsia="仿宋_GB2312"/>
          <w:sz w:val="28"/>
          <w:szCs w:val="28"/>
        </w:rPr>
        <w:t>评价</w:t>
      </w:r>
      <w:r>
        <w:rPr>
          <w:rFonts w:hint="eastAsia" w:eastAsia="仿宋_GB2312"/>
          <w:sz w:val="28"/>
          <w:szCs w:val="28"/>
        </w:rPr>
        <w:t>工作原则</w:t>
      </w:r>
    </w:p>
    <w:p>
      <w:pPr>
        <w:spacing w:line="500" w:lineRule="exact"/>
        <w:ind w:firstLine="420" w:firstLineChars="150"/>
        <w:jc w:val="left"/>
        <w:rPr>
          <w:rFonts w:eastAsia="仿宋_GB2312"/>
          <w:sz w:val="28"/>
          <w:szCs w:val="21"/>
        </w:rPr>
      </w:pPr>
      <w:r>
        <w:rPr>
          <w:rFonts w:eastAsia="仿宋_GB2312"/>
          <w:sz w:val="28"/>
          <w:szCs w:val="21"/>
        </w:rPr>
        <w:t>突出环境影响评价的源头预防作用，坚持保护和改善环境质量。</w:t>
      </w:r>
    </w:p>
    <w:p>
      <w:pPr>
        <w:spacing w:line="500" w:lineRule="exact"/>
        <w:ind w:firstLine="420"/>
        <w:jc w:val="left"/>
        <w:rPr>
          <w:rFonts w:eastAsia="仿宋_GB2312"/>
          <w:sz w:val="28"/>
          <w:szCs w:val="21"/>
        </w:rPr>
      </w:pPr>
      <w:r>
        <w:rPr>
          <w:rFonts w:eastAsia="仿宋_GB2312"/>
          <w:sz w:val="28"/>
          <w:szCs w:val="21"/>
        </w:rPr>
        <w:t>（1）依法评价</w:t>
      </w:r>
    </w:p>
    <w:p>
      <w:pPr>
        <w:spacing w:line="500" w:lineRule="exact"/>
        <w:ind w:firstLine="420"/>
        <w:jc w:val="left"/>
        <w:rPr>
          <w:rFonts w:eastAsia="仿宋_GB2312"/>
          <w:sz w:val="28"/>
          <w:szCs w:val="21"/>
        </w:rPr>
      </w:pPr>
      <w:r>
        <w:rPr>
          <w:rFonts w:eastAsia="仿宋_GB2312"/>
          <w:sz w:val="28"/>
          <w:szCs w:val="21"/>
        </w:rPr>
        <w:t>贯彻执行我国环境保护相关法律法规、标准、政策和规划等，优化项目建设，服务环境管理。</w:t>
      </w:r>
    </w:p>
    <w:p>
      <w:pPr>
        <w:spacing w:line="500" w:lineRule="exact"/>
        <w:ind w:firstLine="420" w:firstLineChars="150"/>
        <w:jc w:val="left"/>
        <w:rPr>
          <w:rFonts w:eastAsia="仿宋_GB2312"/>
          <w:sz w:val="28"/>
          <w:szCs w:val="21"/>
        </w:rPr>
      </w:pPr>
      <w:r>
        <w:rPr>
          <w:rFonts w:eastAsia="仿宋_GB2312"/>
          <w:sz w:val="28"/>
          <w:szCs w:val="21"/>
        </w:rPr>
        <w:t>（2）科学评价</w:t>
      </w:r>
    </w:p>
    <w:p>
      <w:pPr>
        <w:spacing w:line="500" w:lineRule="exact"/>
        <w:ind w:firstLine="420" w:firstLineChars="150"/>
        <w:jc w:val="left"/>
        <w:rPr>
          <w:rFonts w:eastAsia="仿宋_GB2312"/>
          <w:sz w:val="28"/>
          <w:szCs w:val="21"/>
        </w:rPr>
      </w:pPr>
      <w:r>
        <w:rPr>
          <w:rFonts w:eastAsia="仿宋_GB2312"/>
          <w:sz w:val="28"/>
          <w:szCs w:val="21"/>
        </w:rPr>
        <w:t>规范环境影响评价方法，科学分析项目建设对环境质量的影响。</w:t>
      </w:r>
    </w:p>
    <w:p>
      <w:pPr>
        <w:spacing w:line="500" w:lineRule="exact"/>
        <w:ind w:firstLine="420" w:firstLineChars="150"/>
        <w:jc w:val="left"/>
        <w:rPr>
          <w:rFonts w:eastAsia="仿宋_GB2312"/>
          <w:sz w:val="28"/>
          <w:szCs w:val="21"/>
        </w:rPr>
      </w:pPr>
      <w:r>
        <w:rPr>
          <w:rFonts w:eastAsia="仿宋_GB2312"/>
          <w:sz w:val="28"/>
          <w:szCs w:val="21"/>
        </w:rPr>
        <w:t>（3）突出重点</w:t>
      </w:r>
    </w:p>
    <w:p>
      <w:pPr>
        <w:spacing w:line="500" w:lineRule="exact"/>
        <w:ind w:firstLine="420" w:firstLineChars="150"/>
        <w:jc w:val="left"/>
        <w:rPr>
          <w:rFonts w:eastAsia="仿宋_GB2312"/>
          <w:sz w:val="28"/>
          <w:szCs w:val="21"/>
        </w:rPr>
      </w:pPr>
      <w:r>
        <w:rPr>
          <w:rFonts w:eastAsia="仿宋_GB2312"/>
          <w:sz w:val="28"/>
          <w:szCs w:val="21"/>
        </w:rPr>
        <w:t>根据建设项目的工程内容及其特点，明确与环境要素间的作用效应关系，根据规划环境影响评价结论和审查意见，充分利用符合时效的数据资料及成果，对建设项目主要环境影响予以重点分析和评价。</w:t>
      </w:r>
    </w:p>
    <w:p>
      <w:pPr>
        <w:pStyle w:val="3"/>
        <w:spacing w:before="120" w:after="120"/>
      </w:pPr>
      <w:bookmarkStart w:id="99" w:name="_Toc229910505"/>
      <w:bookmarkStart w:id="100" w:name="_Toc229900147"/>
      <w:bookmarkStart w:id="101" w:name="_Toc160937743"/>
      <w:bookmarkStart w:id="102" w:name="_Toc228779735"/>
      <w:bookmarkStart w:id="103" w:name="_Toc106608029"/>
      <w:bookmarkStart w:id="104" w:name="_Toc230013658"/>
      <w:bookmarkStart w:id="105" w:name="_Toc157405908"/>
      <w:bookmarkStart w:id="106" w:name="_Toc228754589"/>
      <w:bookmarkStart w:id="107" w:name="_Toc140565256"/>
      <w:r>
        <w:t>评价因子</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99"/>
      <w:bookmarkEnd w:id="100"/>
      <w:bookmarkEnd w:id="101"/>
      <w:bookmarkEnd w:id="102"/>
      <w:bookmarkEnd w:id="103"/>
      <w:bookmarkEnd w:id="104"/>
      <w:bookmarkEnd w:id="105"/>
      <w:bookmarkEnd w:id="106"/>
      <w:r>
        <w:t>与评价标准</w:t>
      </w:r>
      <w:bookmarkEnd w:id="107"/>
    </w:p>
    <w:p>
      <w:pPr>
        <w:pStyle w:val="5"/>
        <w:keepLines w:val="0"/>
        <w:widowControl/>
        <w:tabs>
          <w:tab w:val="left" w:pos="993"/>
        </w:tabs>
        <w:adjustRightInd w:val="0"/>
        <w:snapToGrid w:val="0"/>
        <w:spacing w:after="120" w:afterLines="50"/>
        <w:jc w:val="left"/>
        <w:rPr>
          <w:rFonts w:ascii="Times New Roman" w:hAnsi="Times New Roman"/>
          <w:b/>
        </w:rPr>
      </w:pPr>
      <w:r>
        <w:rPr>
          <w:rFonts w:hint="eastAsia" w:ascii="Times New Roman" w:hAnsi="Times New Roman"/>
          <w:b/>
        </w:rPr>
        <w:t>2.3.1</w:t>
      </w:r>
      <w:r>
        <w:rPr>
          <w:rFonts w:ascii="Times New Roman" w:hAnsi="Times New Roman"/>
          <w:b/>
        </w:rPr>
        <w:t>环境影响因素识别</w:t>
      </w:r>
    </w:p>
    <w:p>
      <w:pPr>
        <w:spacing w:line="500" w:lineRule="exact"/>
        <w:ind w:firstLine="560" w:firstLineChars="200"/>
        <w:rPr>
          <w:rFonts w:eastAsia="仿宋_GB2312"/>
          <w:sz w:val="28"/>
          <w:szCs w:val="28"/>
        </w:rPr>
      </w:pPr>
      <w:r>
        <w:rPr>
          <w:rFonts w:eastAsia="仿宋_GB2312"/>
          <w:sz w:val="28"/>
          <w:szCs w:val="28"/>
        </w:rPr>
        <w:t>本项目环境影响因素识别见表2.3-1。</w:t>
      </w:r>
      <w:bookmarkStart w:id="108" w:name="_Ref482124327"/>
    </w:p>
    <w:p>
      <w:pPr>
        <w:pStyle w:val="123"/>
        <w:rPr>
          <w:rFonts w:ascii="Times New Roman"/>
        </w:rPr>
      </w:pPr>
      <w:r>
        <w:rPr>
          <w:rFonts w:ascii="Times New Roman"/>
        </w:rPr>
        <w:t>表</w:t>
      </w:r>
      <w:bookmarkEnd w:id="108"/>
      <w:r>
        <w:rPr>
          <w:rFonts w:ascii="Times New Roman"/>
        </w:rPr>
        <w:t>2.3-1 环境影响因素识别一览表</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1245"/>
        <w:gridCol w:w="1139"/>
        <w:gridCol w:w="1139"/>
        <w:gridCol w:w="1139"/>
        <w:gridCol w:w="1139"/>
        <w:gridCol w:w="1139"/>
        <w:gridCol w:w="1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1074" w:type="dxa"/>
            <w:vMerge w:val="restart"/>
            <w:vAlign w:val="center"/>
          </w:tcPr>
          <w:p>
            <w:pPr>
              <w:spacing w:line="240" w:lineRule="exact"/>
              <w:jc w:val="center"/>
              <w:rPr>
                <w:rFonts w:ascii="仿宋" w:hAnsi="仿宋" w:eastAsia="仿宋" w:cs="仿宋"/>
                <w:bCs/>
                <w:szCs w:val="21"/>
              </w:rPr>
            </w:pPr>
            <w:r>
              <w:rPr>
                <w:rFonts w:ascii="仿宋" w:hAnsi="仿宋" w:eastAsia="仿宋" w:cs="仿宋"/>
                <w:bCs/>
                <w:szCs w:val="21"/>
              </w:rPr>
              <w:t>时段</w:t>
            </w:r>
          </w:p>
        </w:tc>
        <w:tc>
          <w:tcPr>
            <w:tcW w:w="1148" w:type="dxa"/>
            <w:vMerge w:val="restart"/>
            <w:vAlign w:val="center"/>
          </w:tcPr>
          <w:p>
            <w:pPr>
              <w:spacing w:line="240" w:lineRule="exact"/>
              <w:jc w:val="center"/>
              <w:rPr>
                <w:rFonts w:ascii="仿宋" w:hAnsi="仿宋" w:eastAsia="仿宋" w:cs="仿宋"/>
                <w:bCs/>
                <w:szCs w:val="21"/>
              </w:rPr>
            </w:pPr>
            <w:r>
              <w:rPr>
                <w:rFonts w:ascii="仿宋" w:hAnsi="仿宋" w:eastAsia="仿宋" w:cs="仿宋"/>
                <w:bCs/>
                <w:szCs w:val="21"/>
              </w:rPr>
              <w:t>污染源</w:t>
            </w:r>
          </w:p>
        </w:tc>
        <w:tc>
          <w:tcPr>
            <w:tcW w:w="6300" w:type="dxa"/>
            <w:gridSpan w:val="6"/>
          </w:tcPr>
          <w:p>
            <w:pPr>
              <w:spacing w:line="240" w:lineRule="exact"/>
              <w:jc w:val="center"/>
              <w:rPr>
                <w:rFonts w:ascii="仿宋" w:hAnsi="仿宋" w:eastAsia="仿宋" w:cs="仿宋"/>
                <w:bCs/>
                <w:szCs w:val="21"/>
              </w:rPr>
            </w:pPr>
            <w:r>
              <w:rPr>
                <w:rFonts w:ascii="仿宋" w:hAnsi="仿宋" w:eastAsia="仿宋" w:cs="仿宋"/>
                <w:bCs/>
                <w:szCs w:val="21"/>
              </w:rPr>
              <w:t>环境要素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1074" w:type="dxa"/>
            <w:vMerge w:val="continue"/>
            <w:vAlign w:val="center"/>
          </w:tcPr>
          <w:p>
            <w:pPr>
              <w:spacing w:line="240" w:lineRule="exact"/>
              <w:jc w:val="center"/>
              <w:rPr>
                <w:rFonts w:ascii="仿宋" w:hAnsi="仿宋" w:eastAsia="仿宋" w:cs="仿宋"/>
                <w:bCs/>
                <w:szCs w:val="21"/>
              </w:rPr>
            </w:pPr>
          </w:p>
        </w:tc>
        <w:tc>
          <w:tcPr>
            <w:tcW w:w="1148" w:type="dxa"/>
            <w:vMerge w:val="continue"/>
            <w:vAlign w:val="center"/>
          </w:tcPr>
          <w:p>
            <w:pPr>
              <w:spacing w:line="240" w:lineRule="exact"/>
              <w:jc w:val="center"/>
              <w:rPr>
                <w:rFonts w:ascii="仿宋" w:hAnsi="仿宋" w:eastAsia="仿宋" w:cs="仿宋"/>
                <w:bCs/>
                <w:szCs w:val="21"/>
              </w:rPr>
            </w:pPr>
          </w:p>
        </w:tc>
        <w:tc>
          <w:tcPr>
            <w:tcW w:w="1050" w:type="dxa"/>
            <w:vAlign w:val="center"/>
          </w:tcPr>
          <w:p>
            <w:pPr>
              <w:spacing w:line="240" w:lineRule="exact"/>
              <w:jc w:val="center"/>
              <w:rPr>
                <w:rFonts w:ascii="仿宋" w:hAnsi="仿宋" w:eastAsia="仿宋" w:cs="仿宋"/>
                <w:bCs/>
                <w:szCs w:val="21"/>
              </w:rPr>
            </w:pPr>
            <w:r>
              <w:rPr>
                <w:rFonts w:ascii="仿宋" w:hAnsi="仿宋" w:eastAsia="仿宋" w:cs="仿宋"/>
                <w:bCs/>
                <w:szCs w:val="21"/>
              </w:rPr>
              <w:t>大气</w:t>
            </w:r>
          </w:p>
        </w:tc>
        <w:tc>
          <w:tcPr>
            <w:tcW w:w="1050" w:type="dxa"/>
            <w:vAlign w:val="center"/>
          </w:tcPr>
          <w:p>
            <w:pPr>
              <w:spacing w:line="240" w:lineRule="exact"/>
              <w:jc w:val="center"/>
              <w:rPr>
                <w:rFonts w:ascii="仿宋" w:hAnsi="仿宋" w:eastAsia="仿宋" w:cs="仿宋"/>
                <w:bCs/>
                <w:szCs w:val="21"/>
              </w:rPr>
            </w:pPr>
            <w:r>
              <w:rPr>
                <w:rFonts w:ascii="仿宋" w:hAnsi="仿宋" w:eastAsia="仿宋" w:cs="仿宋"/>
                <w:bCs/>
                <w:szCs w:val="21"/>
              </w:rPr>
              <w:t>地表水</w:t>
            </w:r>
          </w:p>
        </w:tc>
        <w:tc>
          <w:tcPr>
            <w:tcW w:w="1050" w:type="dxa"/>
            <w:vAlign w:val="center"/>
          </w:tcPr>
          <w:p>
            <w:pPr>
              <w:spacing w:line="240" w:lineRule="exact"/>
              <w:jc w:val="center"/>
              <w:rPr>
                <w:rFonts w:ascii="仿宋" w:hAnsi="仿宋" w:eastAsia="仿宋" w:cs="仿宋"/>
                <w:bCs/>
                <w:szCs w:val="21"/>
              </w:rPr>
            </w:pPr>
            <w:r>
              <w:rPr>
                <w:rFonts w:ascii="仿宋" w:hAnsi="仿宋" w:eastAsia="仿宋" w:cs="仿宋"/>
                <w:bCs/>
                <w:szCs w:val="21"/>
              </w:rPr>
              <w:t>声</w:t>
            </w:r>
          </w:p>
        </w:tc>
        <w:tc>
          <w:tcPr>
            <w:tcW w:w="1050" w:type="dxa"/>
            <w:vAlign w:val="center"/>
          </w:tcPr>
          <w:p>
            <w:pPr>
              <w:spacing w:line="240" w:lineRule="exact"/>
              <w:jc w:val="center"/>
              <w:rPr>
                <w:rFonts w:ascii="仿宋" w:hAnsi="仿宋" w:eastAsia="仿宋" w:cs="仿宋"/>
                <w:bCs/>
                <w:szCs w:val="21"/>
              </w:rPr>
            </w:pPr>
            <w:r>
              <w:rPr>
                <w:rFonts w:ascii="仿宋" w:hAnsi="仿宋" w:eastAsia="仿宋" w:cs="仿宋"/>
                <w:bCs/>
                <w:szCs w:val="21"/>
              </w:rPr>
              <w:t>地下水</w:t>
            </w:r>
          </w:p>
        </w:tc>
        <w:tc>
          <w:tcPr>
            <w:tcW w:w="1050" w:type="dxa"/>
          </w:tcPr>
          <w:p>
            <w:pPr>
              <w:spacing w:line="240" w:lineRule="exact"/>
              <w:jc w:val="center"/>
              <w:rPr>
                <w:rFonts w:ascii="仿宋" w:hAnsi="仿宋" w:eastAsia="仿宋" w:cs="仿宋"/>
                <w:bCs/>
                <w:szCs w:val="21"/>
              </w:rPr>
            </w:pPr>
            <w:r>
              <w:rPr>
                <w:rFonts w:ascii="仿宋" w:hAnsi="仿宋" w:eastAsia="仿宋" w:cs="仿宋"/>
                <w:bCs/>
                <w:szCs w:val="21"/>
              </w:rPr>
              <w:t>土壤</w:t>
            </w:r>
          </w:p>
        </w:tc>
        <w:tc>
          <w:tcPr>
            <w:tcW w:w="1050" w:type="dxa"/>
            <w:vAlign w:val="center"/>
          </w:tcPr>
          <w:p>
            <w:pPr>
              <w:spacing w:line="240" w:lineRule="exact"/>
              <w:jc w:val="center"/>
              <w:rPr>
                <w:rFonts w:ascii="仿宋" w:hAnsi="仿宋" w:eastAsia="仿宋" w:cs="仿宋"/>
                <w:bCs/>
                <w:szCs w:val="21"/>
              </w:rPr>
            </w:pPr>
            <w:r>
              <w:rPr>
                <w:rFonts w:ascii="仿宋" w:hAnsi="仿宋" w:eastAsia="仿宋" w:cs="仿宋"/>
                <w:bCs/>
                <w:szCs w:val="21"/>
              </w:rPr>
              <w:t>生态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1074" w:type="dxa"/>
            <w:vMerge w:val="restar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施工期</w:t>
            </w:r>
          </w:p>
        </w:tc>
        <w:tc>
          <w:tcPr>
            <w:tcW w:w="1148" w:type="dxa"/>
            <w:vAlign w:val="center"/>
          </w:tcPr>
          <w:p>
            <w:pPr>
              <w:spacing w:line="240" w:lineRule="exact"/>
              <w:jc w:val="center"/>
              <w:rPr>
                <w:rFonts w:ascii="仿宋" w:hAnsi="仿宋" w:eastAsia="仿宋" w:cs="仿宋"/>
                <w:bCs/>
                <w:szCs w:val="21"/>
              </w:rPr>
            </w:pPr>
            <w:r>
              <w:rPr>
                <w:rFonts w:ascii="仿宋" w:hAnsi="仿宋" w:eastAsia="仿宋" w:cs="仿宋"/>
                <w:bCs/>
                <w:szCs w:val="21"/>
              </w:rPr>
              <w:t>废气</w:t>
            </w:r>
          </w:p>
        </w:tc>
        <w:tc>
          <w:tcPr>
            <w:tcW w:w="1050" w:type="dxa"/>
            <w:vAlign w:val="center"/>
          </w:tcPr>
          <w:p>
            <w:pPr>
              <w:spacing w:line="240" w:lineRule="exact"/>
              <w:jc w:val="center"/>
              <w:rPr>
                <w:rFonts w:ascii="仿宋" w:hAnsi="仿宋" w:eastAsia="仿宋" w:cs="仿宋"/>
                <w:bCs/>
                <w:szCs w:val="21"/>
              </w:rPr>
            </w:pPr>
            <w:r>
              <w:rPr>
                <w:rFonts w:ascii="仿宋" w:hAnsi="仿宋" w:eastAsia="仿宋" w:cs="仿宋"/>
                <w:bCs/>
                <w:szCs w:val="21"/>
              </w:rPr>
              <w:t>-SRDF</w:t>
            </w:r>
          </w:p>
        </w:tc>
        <w:tc>
          <w:tcPr>
            <w:tcW w:w="1050" w:type="dxa"/>
            <w:vAlign w:val="center"/>
          </w:tcPr>
          <w:p>
            <w:pPr>
              <w:spacing w:line="240" w:lineRule="exact"/>
              <w:jc w:val="center"/>
              <w:rPr>
                <w:rFonts w:ascii="仿宋" w:hAnsi="仿宋" w:eastAsia="仿宋" w:cs="仿宋"/>
                <w:bCs/>
                <w:szCs w:val="21"/>
              </w:rPr>
            </w:pPr>
          </w:p>
        </w:tc>
        <w:tc>
          <w:tcPr>
            <w:tcW w:w="1050" w:type="dxa"/>
            <w:vAlign w:val="center"/>
          </w:tcPr>
          <w:p>
            <w:pPr>
              <w:spacing w:line="240" w:lineRule="exact"/>
              <w:jc w:val="center"/>
              <w:rPr>
                <w:rFonts w:ascii="仿宋" w:hAnsi="仿宋" w:eastAsia="仿宋" w:cs="仿宋"/>
                <w:bCs/>
                <w:szCs w:val="21"/>
              </w:rPr>
            </w:pPr>
          </w:p>
        </w:tc>
        <w:tc>
          <w:tcPr>
            <w:tcW w:w="1050" w:type="dxa"/>
            <w:vAlign w:val="center"/>
          </w:tcPr>
          <w:p>
            <w:pPr>
              <w:spacing w:line="240" w:lineRule="exact"/>
              <w:jc w:val="center"/>
              <w:rPr>
                <w:rFonts w:ascii="仿宋" w:hAnsi="仿宋" w:eastAsia="仿宋" w:cs="仿宋"/>
                <w:bCs/>
                <w:szCs w:val="21"/>
              </w:rPr>
            </w:pPr>
          </w:p>
        </w:tc>
        <w:tc>
          <w:tcPr>
            <w:tcW w:w="1050" w:type="dxa"/>
          </w:tcPr>
          <w:p>
            <w:pPr>
              <w:spacing w:line="240" w:lineRule="exact"/>
              <w:jc w:val="center"/>
              <w:rPr>
                <w:rFonts w:ascii="仿宋" w:hAnsi="仿宋" w:eastAsia="仿宋" w:cs="仿宋"/>
                <w:bCs/>
                <w:szCs w:val="21"/>
              </w:rPr>
            </w:pPr>
          </w:p>
        </w:tc>
        <w:tc>
          <w:tcPr>
            <w:tcW w:w="1050" w:type="dxa"/>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1074" w:type="dxa"/>
            <w:vMerge w:val="continue"/>
            <w:vAlign w:val="center"/>
          </w:tcPr>
          <w:p>
            <w:pPr>
              <w:spacing w:line="240" w:lineRule="exact"/>
              <w:jc w:val="center"/>
              <w:rPr>
                <w:rFonts w:ascii="仿宋" w:hAnsi="仿宋" w:eastAsia="仿宋" w:cs="仿宋"/>
                <w:bCs/>
                <w:szCs w:val="21"/>
              </w:rPr>
            </w:pPr>
          </w:p>
        </w:tc>
        <w:tc>
          <w:tcPr>
            <w:tcW w:w="1148" w:type="dxa"/>
            <w:vAlign w:val="center"/>
          </w:tcPr>
          <w:p>
            <w:pPr>
              <w:spacing w:line="240" w:lineRule="exact"/>
              <w:jc w:val="center"/>
              <w:rPr>
                <w:rFonts w:ascii="仿宋" w:hAnsi="仿宋" w:eastAsia="仿宋" w:cs="仿宋"/>
                <w:bCs/>
                <w:szCs w:val="21"/>
              </w:rPr>
            </w:pPr>
            <w:r>
              <w:rPr>
                <w:rFonts w:ascii="仿宋" w:hAnsi="仿宋" w:eastAsia="仿宋" w:cs="仿宋"/>
                <w:bCs/>
                <w:szCs w:val="21"/>
              </w:rPr>
              <w:t>废水</w:t>
            </w:r>
          </w:p>
        </w:tc>
        <w:tc>
          <w:tcPr>
            <w:tcW w:w="1050" w:type="dxa"/>
            <w:vAlign w:val="center"/>
          </w:tcPr>
          <w:p>
            <w:pPr>
              <w:spacing w:line="240" w:lineRule="exact"/>
              <w:jc w:val="center"/>
              <w:rPr>
                <w:rFonts w:ascii="仿宋" w:hAnsi="仿宋" w:eastAsia="仿宋" w:cs="仿宋"/>
                <w:bCs/>
                <w:szCs w:val="21"/>
              </w:rPr>
            </w:pPr>
          </w:p>
        </w:tc>
        <w:tc>
          <w:tcPr>
            <w:tcW w:w="1050" w:type="dxa"/>
            <w:vAlign w:val="center"/>
          </w:tcPr>
          <w:p>
            <w:pPr>
              <w:spacing w:line="240" w:lineRule="exact"/>
              <w:jc w:val="center"/>
              <w:rPr>
                <w:rFonts w:ascii="仿宋" w:hAnsi="仿宋" w:eastAsia="仿宋" w:cs="仿宋"/>
                <w:bCs/>
                <w:szCs w:val="21"/>
              </w:rPr>
            </w:pPr>
            <w:r>
              <w:rPr>
                <w:rFonts w:ascii="仿宋" w:hAnsi="仿宋" w:eastAsia="仿宋" w:cs="仿宋"/>
                <w:bCs/>
                <w:szCs w:val="21"/>
              </w:rPr>
              <w:t>-SRDF</w:t>
            </w:r>
          </w:p>
        </w:tc>
        <w:tc>
          <w:tcPr>
            <w:tcW w:w="1050" w:type="dxa"/>
            <w:vAlign w:val="center"/>
          </w:tcPr>
          <w:p>
            <w:pPr>
              <w:spacing w:line="240" w:lineRule="exact"/>
              <w:jc w:val="center"/>
              <w:rPr>
                <w:rFonts w:ascii="仿宋" w:hAnsi="仿宋" w:eastAsia="仿宋" w:cs="仿宋"/>
                <w:bCs/>
                <w:szCs w:val="21"/>
              </w:rPr>
            </w:pPr>
          </w:p>
        </w:tc>
        <w:tc>
          <w:tcPr>
            <w:tcW w:w="1050" w:type="dxa"/>
            <w:vAlign w:val="center"/>
          </w:tcPr>
          <w:p>
            <w:pPr>
              <w:spacing w:line="240" w:lineRule="exact"/>
              <w:jc w:val="center"/>
              <w:rPr>
                <w:rFonts w:ascii="仿宋" w:hAnsi="仿宋" w:eastAsia="仿宋" w:cs="仿宋"/>
                <w:bCs/>
                <w:szCs w:val="21"/>
              </w:rPr>
            </w:pPr>
            <w:r>
              <w:rPr>
                <w:rFonts w:ascii="仿宋" w:hAnsi="仿宋" w:eastAsia="仿宋" w:cs="仿宋"/>
                <w:bCs/>
                <w:szCs w:val="21"/>
              </w:rPr>
              <w:t>I</w:t>
            </w:r>
          </w:p>
        </w:tc>
        <w:tc>
          <w:tcPr>
            <w:tcW w:w="1050" w:type="dxa"/>
          </w:tcPr>
          <w:p>
            <w:pPr>
              <w:spacing w:line="240" w:lineRule="exact"/>
              <w:jc w:val="center"/>
              <w:rPr>
                <w:rFonts w:ascii="仿宋" w:hAnsi="仿宋" w:eastAsia="仿宋" w:cs="仿宋"/>
                <w:bCs/>
                <w:szCs w:val="21"/>
              </w:rPr>
            </w:pPr>
          </w:p>
        </w:tc>
        <w:tc>
          <w:tcPr>
            <w:tcW w:w="1050" w:type="dxa"/>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1074" w:type="dxa"/>
            <w:vMerge w:val="continue"/>
            <w:vAlign w:val="center"/>
          </w:tcPr>
          <w:p>
            <w:pPr>
              <w:spacing w:line="240" w:lineRule="exact"/>
              <w:jc w:val="center"/>
              <w:rPr>
                <w:rFonts w:ascii="仿宋" w:hAnsi="仿宋" w:eastAsia="仿宋" w:cs="仿宋"/>
                <w:bCs/>
                <w:szCs w:val="21"/>
              </w:rPr>
            </w:pPr>
          </w:p>
        </w:tc>
        <w:tc>
          <w:tcPr>
            <w:tcW w:w="1148" w:type="dxa"/>
            <w:vAlign w:val="center"/>
          </w:tcPr>
          <w:p>
            <w:pPr>
              <w:spacing w:line="240" w:lineRule="exact"/>
              <w:jc w:val="center"/>
              <w:rPr>
                <w:rFonts w:ascii="仿宋" w:hAnsi="仿宋" w:eastAsia="仿宋" w:cs="仿宋"/>
                <w:bCs/>
                <w:szCs w:val="21"/>
              </w:rPr>
            </w:pPr>
            <w:r>
              <w:rPr>
                <w:rFonts w:ascii="仿宋" w:hAnsi="仿宋" w:eastAsia="仿宋" w:cs="仿宋"/>
                <w:bCs/>
                <w:szCs w:val="21"/>
              </w:rPr>
              <w:t>噪声</w:t>
            </w:r>
          </w:p>
        </w:tc>
        <w:tc>
          <w:tcPr>
            <w:tcW w:w="1050" w:type="dxa"/>
            <w:vAlign w:val="center"/>
          </w:tcPr>
          <w:p>
            <w:pPr>
              <w:spacing w:line="240" w:lineRule="exact"/>
              <w:jc w:val="center"/>
              <w:rPr>
                <w:rFonts w:ascii="仿宋" w:hAnsi="仿宋" w:eastAsia="仿宋" w:cs="仿宋"/>
                <w:bCs/>
                <w:szCs w:val="21"/>
              </w:rPr>
            </w:pPr>
          </w:p>
        </w:tc>
        <w:tc>
          <w:tcPr>
            <w:tcW w:w="1050" w:type="dxa"/>
            <w:vAlign w:val="center"/>
          </w:tcPr>
          <w:p>
            <w:pPr>
              <w:spacing w:line="240" w:lineRule="exact"/>
              <w:jc w:val="center"/>
              <w:rPr>
                <w:rFonts w:ascii="仿宋" w:hAnsi="仿宋" w:eastAsia="仿宋" w:cs="仿宋"/>
                <w:bCs/>
                <w:szCs w:val="21"/>
              </w:rPr>
            </w:pPr>
          </w:p>
        </w:tc>
        <w:tc>
          <w:tcPr>
            <w:tcW w:w="1050" w:type="dxa"/>
            <w:vAlign w:val="center"/>
          </w:tcPr>
          <w:p>
            <w:pPr>
              <w:spacing w:line="240" w:lineRule="exact"/>
              <w:jc w:val="center"/>
              <w:rPr>
                <w:rFonts w:ascii="仿宋" w:hAnsi="仿宋" w:eastAsia="仿宋" w:cs="仿宋"/>
                <w:bCs/>
                <w:szCs w:val="21"/>
              </w:rPr>
            </w:pPr>
            <w:r>
              <w:rPr>
                <w:rFonts w:ascii="仿宋" w:hAnsi="仿宋" w:eastAsia="仿宋" w:cs="仿宋"/>
                <w:bCs/>
                <w:szCs w:val="21"/>
              </w:rPr>
              <w:t>-SRDF</w:t>
            </w:r>
          </w:p>
        </w:tc>
        <w:tc>
          <w:tcPr>
            <w:tcW w:w="1050" w:type="dxa"/>
            <w:vAlign w:val="center"/>
          </w:tcPr>
          <w:p>
            <w:pPr>
              <w:spacing w:line="240" w:lineRule="exact"/>
              <w:jc w:val="center"/>
              <w:rPr>
                <w:rFonts w:ascii="仿宋" w:hAnsi="仿宋" w:eastAsia="仿宋" w:cs="仿宋"/>
                <w:bCs/>
                <w:szCs w:val="21"/>
              </w:rPr>
            </w:pPr>
          </w:p>
        </w:tc>
        <w:tc>
          <w:tcPr>
            <w:tcW w:w="1050" w:type="dxa"/>
          </w:tcPr>
          <w:p>
            <w:pPr>
              <w:spacing w:line="240" w:lineRule="exact"/>
              <w:jc w:val="center"/>
              <w:rPr>
                <w:rFonts w:ascii="仿宋" w:hAnsi="仿宋" w:eastAsia="仿宋" w:cs="仿宋"/>
                <w:bCs/>
                <w:szCs w:val="21"/>
              </w:rPr>
            </w:pPr>
          </w:p>
        </w:tc>
        <w:tc>
          <w:tcPr>
            <w:tcW w:w="1050" w:type="dxa"/>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1074" w:type="dxa"/>
            <w:vMerge w:val="continue"/>
            <w:vAlign w:val="center"/>
          </w:tcPr>
          <w:p>
            <w:pPr>
              <w:spacing w:line="240" w:lineRule="exact"/>
              <w:jc w:val="center"/>
              <w:rPr>
                <w:rFonts w:ascii="仿宋" w:hAnsi="仿宋" w:eastAsia="仿宋" w:cs="仿宋"/>
                <w:bCs/>
                <w:szCs w:val="21"/>
              </w:rPr>
            </w:pPr>
          </w:p>
        </w:tc>
        <w:tc>
          <w:tcPr>
            <w:tcW w:w="1148" w:type="dxa"/>
            <w:vAlign w:val="center"/>
          </w:tcPr>
          <w:p>
            <w:pPr>
              <w:spacing w:line="240" w:lineRule="exact"/>
              <w:jc w:val="center"/>
              <w:rPr>
                <w:rFonts w:ascii="仿宋" w:hAnsi="仿宋" w:eastAsia="仿宋" w:cs="仿宋"/>
                <w:bCs/>
                <w:szCs w:val="21"/>
              </w:rPr>
            </w:pPr>
            <w:r>
              <w:rPr>
                <w:rFonts w:ascii="仿宋" w:hAnsi="仿宋" w:eastAsia="仿宋" w:cs="仿宋"/>
                <w:bCs/>
                <w:szCs w:val="21"/>
              </w:rPr>
              <w:t>固废</w:t>
            </w:r>
          </w:p>
        </w:tc>
        <w:tc>
          <w:tcPr>
            <w:tcW w:w="1050" w:type="dxa"/>
            <w:vAlign w:val="center"/>
          </w:tcPr>
          <w:p>
            <w:pPr>
              <w:spacing w:line="240" w:lineRule="exact"/>
              <w:jc w:val="center"/>
              <w:rPr>
                <w:rFonts w:ascii="仿宋" w:hAnsi="仿宋" w:eastAsia="仿宋" w:cs="仿宋"/>
                <w:bCs/>
                <w:szCs w:val="21"/>
              </w:rPr>
            </w:pPr>
            <w:r>
              <w:rPr>
                <w:rFonts w:ascii="仿宋" w:hAnsi="仿宋" w:eastAsia="仿宋" w:cs="仿宋"/>
                <w:bCs/>
                <w:szCs w:val="21"/>
              </w:rPr>
              <w:t>-SRDF</w:t>
            </w:r>
          </w:p>
        </w:tc>
        <w:tc>
          <w:tcPr>
            <w:tcW w:w="1050" w:type="dxa"/>
            <w:vAlign w:val="center"/>
          </w:tcPr>
          <w:p>
            <w:pPr>
              <w:spacing w:line="240" w:lineRule="exact"/>
              <w:jc w:val="center"/>
              <w:rPr>
                <w:rFonts w:ascii="仿宋" w:hAnsi="仿宋" w:eastAsia="仿宋" w:cs="仿宋"/>
                <w:bCs/>
                <w:szCs w:val="21"/>
              </w:rPr>
            </w:pPr>
          </w:p>
        </w:tc>
        <w:tc>
          <w:tcPr>
            <w:tcW w:w="1050" w:type="dxa"/>
            <w:vAlign w:val="center"/>
          </w:tcPr>
          <w:p>
            <w:pPr>
              <w:spacing w:line="240" w:lineRule="exact"/>
              <w:jc w:val="center"/>
              <w:rPr>
                <w:rFonts w:ascii="仿宋" w:hAnsi="仿宋" w:eastAsia="仿宋" w:cs="仿宋"/>
                <w:bCs/>
                <w:szCs w:val="21"/>
              </w:rPr>
            </w:pPr>
          </w:p>
        </w:tc>
        <w:tc>
          <w:tcPr>
            <w:tcW w:w="1050" w:type="dxa"/>
            <w:vAlign w:val="center"/>
          </w:tcPr>
          <w:p>
            <w:pPr>
              <w:spacing w:line="240" w:lineRule="exact"/>
              <w:jc w:val="center"/>
              <w:rPr>
                <w:rFonts w:ascii="仿宋" w:hAnsi="仿宋" w:eastAsia="仿宋" w:cs="仿宋"/>
                <w:bCs/>
                <w:szCs w:val="21"/>
              </w:rPr>
            </w:pPr>
          </w:p>
        </w:tc>
        <w:tc>
          <w:tcPr>
            <w:tcW w:w="1050" w:type="dxa"/>
          </w:tcPr>
          <w:p>
            <w:pPr>
              <w:spacing w:line="240" w:lineRule="exact"/>
              <w:jc w:val="center"/>
              <w:rPr>
                <w:rFonts w:ascii="仿宋" w:hAnsi="仿宋" w:eastAsia="仿宋" w:cs="仿宋"/>
                <w:bCs/>
                <w:szCs w:val="21"/>
              </w:rPr>
            </w:pPr>
          </w:p>
        </w:tc>
        <w:tc>
          <w:tcPr>
            <w:tcW w:w="1050" w:type="dxa"/>
            <w:vAlign w:val="center"/>
          </w:tcPr>
          <w:p>
            <w:pPr>
              <w:spacing w:line="240" w:lineRule="exact"/>
              <w:jc w:val="center"/>
              <w:rPr>
                <w:rFonts w:ascii="仿宋" w:hAnsi="仿宋" w:eastAsia="仿宋" w:cs="仿宋"/>
                <w:bCs/>
                <w:szCs w:val="21"/>
              </w:rPr>
            </w:pPr>
            <w:r>
              <w:rPr>
                <w:rFonts w:ascii="仿宋" w:hAnsi="仿宋" w:eastAsia="仿宋" w:cs="仿宋"/>
                <w:bCs/>
                <w:szCs w:val="21"/>
              </w:rPr>
              <w:t>-SRDF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4" w:type="dxa"/>
            <w:vMerge w:val="restart"/>
            <w:vAlign w:val="center"/>
          </w:tcPr>
          <w:p>
            <w:pPr>
              <w:spacing w:line="240" w:lineRule="exact"/>
              <w:jc w:val="center"/>
              <w:rPr>
                <w:rFonts w:ascii="仿宋" w:hAnsi="仿宋" w:eastAsia="仿宋" w:cs="仿宋"/>
                <w:bCs/>
                <w:szCs w:val="21"/>
              </w:rPr>
            </w:pPr>
            <w:r>
              <w:rPr>
                <w:rFonts w:ascii="仿宋" w:hAnsi="仿宋" w:eastAsia="仿宋" w:cs="仿宋"/>
                <w:bCs/>
                <w:szCs w:val="21"/>
              </w:rPr>
              <w:t>运营期</w:t>
            </w:r>
          </w:p>
        </w:tc>
        <w:tc>
          <w:tcPr>
            <w:tcW w:w="1148" w:type="dxa"/>
            <w:vAlign w:val="center"/>
          </w:tcPr>
          <w:p>
            <w:pPr>
              <w:spacing w:line="240" w:lineRule="exact"/>
              <w:jc w:val="center"/>
              <w:rPr>
                <w:rFonts w:ascii="仿宋" w:hAnsi="仿宋" w:eastAsia="仿宋" w:cs="仿宋"/>
                <w:bCs/>
                <w:szCs w:val="21"/>
              </w:rPr>
            </w:pPr>
            <w:r>
              <w:rPr>
                <w:rFonts w:ascii="仿宋" w:hAnsi="仿宋" w:eastAsia="仿宋" w:cs="仿宋"/>
                <w:bCs/>
                <w:szCs w:val="21"/>
              </w:rPr>
              <w:t>废气</w:t>
            </w:r>
          </w:p>
        </w:tc>
        <w:tc>
          <w:tcPr>
            <w:tcW w:w="1050" w:type="dxa"/>
            <w:vAlign w:val="center"/>
          </w:tcPr>
          <w:p>
            <w:pPr>
              <w:spacing w:line="240" w:lineRule="exact"/>
              <w:jc w:val="center"/>
              <w:rPr>
                <w:rFonts w:ascii="仿宋" w:hAnsi="仿宋" w:eastAsia="仿宋" w:cs="仿宋"/>
                <w:bCs/>
                <w:szCs w:val="21"/>
              </w:rPr>
            </w:pPr>
            <w:r>
              <w:rPr>
                <w:rFonts w:ascii="仿宋" w:hAnsi="仿宋" w:eastAsia="仿宋" w:cs="仿宋"/>
                <w:bCs/>
                <w:szCs w:val="21"/>
              </w:rPr>
              <w:t>-LRDF</w:t>
            </w:r>
          </w:p>
        </w:tc>
        <w:tc>
          <w:tcPr>
            <w:tcW w:w="1050" w:type="dxa"/>
            <w:vAlign w:val="center"/>
          </w:tcPr>
          <w:p>
            <w:pPr>
              <w:spacing w:line="240" w:lineRule="exact"/>
              <w:jc w:val="center"/>
              <w:rPr>
                <w:rFonts w:ascii="仿宋" w:hAnsi="仿宋" w:eastAsia="仿宋" w:cs="仿宋"/>
                <w:bCs/>
                <w:szCs w:val="21"/>
              </w:rPr>
            </w:pPr>
          </w:p>
        </w:tc>
        <w:tc>
          <w:tcPr>
            <w:tcW w:w="1050" w:type="dxa"/>
            <w:vAlign w:val="center"/>
          </w:tcPr>
          <w:p>
            <w:pPr>
              <w:spacing w:line="240" w:lineRule="exact"/>
              <w:jc w:val="center"/>
              <w:rPr>
                <w:rFonts w:ascii="仿宋" w:hAnsi="仿宋" w:eastAsia="仿宋" w:cs="仿宋"/>
                <w:bCs/>
                <w:szCs w:val="21"/>
              </w:rPr>
            </w:pPr>
          </w:p>
        </w:tc>
        <w:tc>
          <w:tcPr>
            <w:tcW w:w="1050" w:type="dxa"/>
            <w:vAlign w:val="center"/>
          </w:tcPr>
          <w:p>
            <w:pPr>
              <w:spacing w:line="240" w:lineRule="exact"/>
              <w:jc w:val="center"/>
              <w:rPr>
                <w:rFonts w:ascii="仿宋" w:hAnsi="仿宋" w:eastAsia="仿宋" w:cs="仿宋"/>
                <w:bCs/>
                <w:szCs w:val="21"/>
              </w:rPr>
            </w:pPr>
          </w:p>
        </w:tc>
        <w:tc>
          <w:tcPr>
            <w:tcW w:w="1050" w:type="dxa"/>
          </w:tcPr>
          <w:p>
            <w:pPr>
              <w:spacing w:line="240" w:lineRule="exact"/>
              <w:jc w:val="center"/>
              <w:rPr>
                <w:rFonts w:ascii="仿宋" w:hAnsi="仿宋" w:eastAsia="仿宋" w:cs="仿宋"/>
                <w:bCs/>
                <w:szCs w:val="21"/>
              </w:rPr>
            </w:pPr>
            <w:r>
              <w:rPr>
                <w:rFonts w:hint="eastAsia" w:ascii="仿宋" w:hAnsi="仿宋" w:eastAsia="仿宋" w:cs="仿宋"/>
                <w:bCs/>
                <w:szCs w:val="21"/>
              </w:rPr>
              <w:t>-</w:t>
            </w:r>
            <w:r>
              <w:rPr>
                <w:rFonts w:ascii="仿宋" w:hAnsi="仿宋" w:eastAsia="仿宋" w:cs="仿宋"/>
                <w:bCs/>
                <w:szCs w:val="21"/>
              </w:rPr>
              <w:t>LRIC</w:t>
            </w:r>
          </w:p>
        </w:tc>
        <w:tc>
          <w:tcPr>
            <w:tcW w:w="1050" w:type="dxa"/>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4" w:type="dxa"/>
            <w:vMerge w:val="continue"/>
            <w:vAlign w:val="center"/>
          </w:tcPr>
          <w:p>
            <w:pPr>
              <w:spacing w:line="240" w:lineRule="exact"/>
              <w:jc w:val="center"/>
              <w:rPr>
                <w:rFonts w:ascii="仿宋" w:hAnsi="仿宋" w:eastAsia="仿宋" w:cs="仿宋"/>
                <w:bCs/>
                <w:szCs w:val="21"/>
              </w:rPr>
            </w:pPr>
          </w:p>
        </w:tc>
        <w:tc>
          <w:tcPr>
            <w:tcW w:w="1148" w:type="dxa"/>
            <w:vAlign w:val="center"/>
          </w:tcPr>
          <w:p>
            <w:pPr>
              <w:spacing w:line="240" w:lineRule="exact"/>
              <w:jc w:val="center"/>
              <w:rPr>
                <w:rFonts w:ascii="仿宋" w:hAnsi="仿宋" w:eastAsia="仿宋" w:cs="仿宋"/>
                <w:bCs/>
                <w:szCs w:val="21"/>
              </w:rPr>
            </w:pPr>
            <w:r>
              <w:rPr>
                <w:rFonts w:ascii="仿宋" w:hAnsi="仿宋" w:eastAsia="仿宋" w:cs="仿宋"/>
                <w:bCs/>
                <w:szCs w:val="21"/>
              </w:rPr>
              <w:t>废水</w:t>
            </w:r>
          </w:p>
        </w:tc>
        <w:tc>
          <w:tcPr>
            <w:tcW w:w="1050" w:type="dxa"/>
            <w:vAlign w:val="center"/>
          </w:tcPr>
          <w:p>
            <w:pPr>
              <w:spacing w:line="240" w:lineRule="exact"/>
              <w:jc w:val="center"/>
              <w:rPr>
                <w:rFonts w:ascii="仿宋" w:hAnsi="仿宋" w:eastAsia="仿宋" w:cs="仿宋"/>
                <w:bCs/>
                <w:szCs w:val="21"/>
              </w:rPr>
            </w:pPr>
          </w:p>
        </w:tc>
        <w:tc>
          <w:tcPr>
            <w:tcW w:w="1050" w:type="dxa"/>
            <w:vAlign w:val="center"/>
          </w:tcPr>
          <w:p>
            <w:pPr>
              <w:spacing w:line="240" w:lineRule="exact"/>
              <w:jc w:val="center"/>
              <w:rPr>
                <w:rFonts w:ascii="仿宋" w:hAnsi="仿宋" w:eastAsia="仿宋" w:cs="仿宋"/>
                <w:bCs/>
                <w:szCs w:val="21"/>
              </w:rPr>
            </w:pPr>
            <w:r>
              <w:rPr>
                <w:rFonts w:ascii="仿宋" w:hAnsi="仿宋" w:eastAsia="仿宋" w:cs="仿宋"/>
                <w:bCs/>
                <w:szCs w:val="21"/>
              </w:rPr>
              <w:t>-LRIF</w:t>
            </w:r>
          </w:p>
        </w:tc>
        <w:tc>
          <w:tcPr>
            <w:tcW w:w="1050" w:type="dxa"/>
            <w:vAlign w:val="center"/>
          </w:tcPr>
          <w:p>
            <w:pPr>
              <w:spacing w:line="240" w:lineRule="exact"/>
              <w:jc w:val="center"/>
              <w:rPr>
                <w:rFonts w:ascii="仿宋" w:hAnsi="仿宋" w:eastAsia="仿宋" w:cs="仿宋"/>
                <w:bCs/>
                <w:szCs w:val="21"/>
              </w:rPr>
            </w:pPr>
          </w:p>
        </w:tc>
        <w:tc>
          <w:tcPr>
            <w:tcW w:w="1050" w:type="dxa"/>
            <w:vAlign w:val="center"/>
          </w:tcPr>
          <w:p>
            <w:pPr>
              <w:spacing w:line="240" w:lineRule="exact"/>
              <w:jc w:val="center"/>
              <w:rPr>
                <w:rFonts w:ascii="仿宋" w:hAnsi="仿宋" w:eastAsia="仿宋" w:cs="仿宋"/>
                <w:bCs/>
                <w:szCs w:val="21"/>
              </w:rPr>
            </w:pPr>
            <w:r>
              <w:rPr>
                <w:rFonts w:ascii="仿宋" w:hAnsi="仿宋" w:eastAsia="仿宋" w:cs="仿宋"/>
                <w:bCs/>
                <w:szCs w:val="21"/>
              </w:rPr>
              <w:t>I</w:t>
            </w:r>
          </w:p>
        </w:tc>
        <w:tc>
          <w:tcPr>
            <w:tcW w:w="1050" w:type="dxa"/>
          </w:tcPr>
          <w:p>
            <w:pPr>
              <w:spacing w:line="240" w:lineRule="exact"/>
              <w:jc w:val="center"/>
              <w:rPr>
                <w:rFonts w:ascii="仿宋" w:hAnsi="仿宋" w:eastAsia="仿宋" w:cs="仿宋"/>
                <w:bCs/>
                <w:szCs w:val="21"/>
              </w:rPr>
            </w:pPr>
          </w:p>
        </w:tc>
        <w:tc>
          <w:tcPr>
            <w:tcW w:w="1050" w:type="dxa"/>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4" w:type="dxa"/>
            <w:vMerge w:val="continue"/>
            <w:vAlign w:val="center"/>
          </w:tcPr>
          <w:p>
            <w:pPr>
              <w:spacing w:line="240" w:lineRule="exact"/>
              <w:jc w:val="center"/>
              <w:rPr>
                <w:rFonts w:ascii="仿宋" w:hAnsi="仿宋" w:eastAsia="仿宋" w:cs="仿宋"/>
                <w:bCs/>
                <w:szCs w:val="21"/>
              </w:rPr>
            </w:pPr>
          </w:p>
        </w:tc>
        <w:tc>
          <w:tcPr>
            <w:tcW w:w="1148" w:type="dxa"/>
            <w:vAlign w:val="center"/>
          </w:tcPr>
          <w:p>
            <w:pPr>
              <w:spacing w:line="240" w:lineRule="exact"/>
              <w:jc w:val="center"/>
              <w:rPr>
                <w:rFonts w:ascii="仿宋" w:hAnsi="仿宋" w:eastAsia="仿宋" w:cs="仿宋"/>
                <w:bCs/>
                <w:szCs w:val="21"/>
              </w:rPr>
            </w:pPr>
            <w:r>
              <w:rPr>
                <w:rFonts w:ascii="仿宋" w:hAnsi="仿宋" w:eastAsia="仿宋" w:cs="仿宋"/>
                <w:bCs/>
                <w:szCs w:val="21"/>
              </w:rPr>
              <w:t>噪声</w:t>
            </w:r>
          </w:p>
        </w:tc>
        <w:tc>
          <w:tcPr>
            <w:tcW w:w="1050" w:type="dxa"/>
            <w:vAlign w:val="center"/>
          </w:tcPr>
          <w:p>
            <w:pPr>
              <w:spacing w:line="240" w:lineRule="exact"/>
              <w:jc w:val="center"/>
              <w:rPr>
                <w:rFonts w:ascii="仿宋" w:hAnsi="仿宋" w:eastAsia="仿宋" w:cs="仿宋"/>
                <w:bCs/>
                <w:szCs w:val="21"/>
              </w:rPr>
            </w:pPr>
          </w:p>
        </w:tc>
        <w:tc>
          <w:tcPr>
            <w:tcW w:w="1050" w:type="dxa"/>
            <w:vAlign w:val="center"/>
          </w:tcPr>
          <w:p>
            <w:pPr>
              <w:spacing w:line="240" w:lineRule="exact"/>
              <w:jc w:val="center"/>
              <w:rPr>
                <w:rFonts w:ascii="仿宋" w:hAnsi="仿宋" w:eastAsia="仿宋" w:cs="仿宋"/>
                <w:bCs/>
                <w:szCs w:val="21"/>
              </w:rPr>
            </w:pPr>
          </w:p>
        </w:tc>
        <w:tc>
          <w:tcPr>
            <w:tcW w:w="1050" w:type="dxa"/>
            <w:vAlign w:val="center"/>
          </w:tcPr>
          <w:p>
            <w:pPr>
              <w:spacing w:line="240" w:lineRule="exact"/>
              <w:jc w:val="center"/>
              <w:rPr>
                <w:rFonts w:ascii="仿宋" w:hAnsi="仿宋" w:eastAsia="仿宋" w:cs="仿宋"/>
                <w:bCs/>
                <w:szCs w:val="21"/>
              </w:rPr>
            </w:pPr>
            <w:r>
              <w:rPr>
                <w:rFonts w:ascii="仿宋" w:hAnsi="仿宋" w:eastAsia="仿宋" w:cs="仿宋"/>
                <w:bCs/>
                <w:szCs w:val="21"/>
              </w:rPr>
              <w:t>-LRDF</w:t>
            </w:r>
          </w:p>
        </w:tc>
        <w:tc>
          <w:tcPr>
            <w:tcW w:w="1050" w:type="dxa"/>
            <w:vAlign w:val="center"/>
          </w:tcPr>
          <w:p>
            <w:pPr>
              <w:spacing w:line="240" w:lineRule="exact"/>
              <w:jc w:val="center"/>
              <w:rPr>
                <w:rFonts w:ascii="仿宋" w:hAnsi="仿宋" w:eastAsia="仿宋" w:cs="仿宋"/>
                <w:bCs/>
                <w:szCs w:val="21"/>
              </w:rPr>
            </w:pPr>
          </w:p>
        </w:tc>
        <w:tc>
          <w:tcPr>
            <w:tcW w:w="1050" w:type="dxa"/>
          </w:tcPr>
          <w:p>
            <w:pPr>
              <w:spacing w:line="240" w:lineRule="exact"/>
              <w:jc w:val="center"/>
              <w:rPr>
                <w:rFonts w:ascii="仿宋" w:hAnsi="仿宋" w:eastAsia="仿宋" w:cs="仿宋"/>
                <w:bCs/>
                <w:szCs w:val="21"/>
              </w:rPr>
            </w:pPr>
          </w:p>
        </w:tc>
        <w:tc>
          <w:tcPr>
            <w:tcW w:w="1050" w:type="dxa"/>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4" w:type="dxa"/>
            <w:vMerge w:val="continue"/>
            <w:vAlign w:val="center"/>
          </w:tcPr>
          <w:p>
            <w:pPr>
              <w:spacing w:line="240" w:lineRule="exact"/>
              <w:jc w:val="center"/>
              <w:rPr>
                <w:rFonts w:ascii="仿宋" w:hAnsi="仿宋" w:eastAsia="仿宋" w:cs="仿宋"/>
                <w:bCs/>
                <w:szCs w:val="21"/>
              </w:rPr>
            </w:pPr>
          </w:p>
        </w:tc>
        <w:tc>
          <w:tcPr>
            <w:tcW w:w="1148" w:type="dxa"/>
            <w:vAlign w:val="center"/>
          </w:tcPr>
          <w:p>
            <w:pPr>
              <w:spacing w:line="240" w:lineRule="exact"/>
              <w:jc w:val="center"/>
              <w:rPr>
                <w:rFonts w:ascii="仿宋" w:hAnsi="仿宋" w:eastAsia="仿宋" w:cs="仿宋"/>
                <w:bCs/>
                <w:szCs w:val="21"/>
              </w:rPr>
            </w:pPr>
            <w:r>
              <w:rPr>
                <w:rFonts w:ascii="仿宋" w:hAnsi="仿宋" w:eastAsia="仿宋" w:cs="仿宋"/>
                <w:bCs/>
                <w:szCs w:val="21"/>
              </w:rPr>
              <w:t>固废</w:t>
            </w:r>
          </w:p>
        </w:tc>
        <w:tc>
          <w:tcPr>
            <w:tcW w:w="1050" w:type="dxa"/>
            <w:vAlign w:val="center"/>
          </w:tcPr>
          <w:p>
            <w:pPr>
              <w:spacing w:line="240" w:lineRule="exact"/>
              <w:jc w:val="center"/>
              <w:rPr>
                <w:rFonts w:ascii="仿宋" w:hAnsi="仿宋" w:eastAsia="仿宋" w:cs="仿宋"/>
                <w:bCs/>
                <w:szCs w:val="21"/>
              </w:rPr>
            </w:pPr>
            <w:r>
              <w:rPr>
                <w:rFonts w:ascii="仿宋" w:hAnsi="仿宋" w:eastAsia="仿宋" w:cs="仿宋"/>
                <w:bCs/>
                <w:szCs w:val="21"/>
              </w:rPr>
              <w:t>-LRDF</w:t>
            </w:r>
          </w:p>
        </w:tc>
        <w:tc>
          <w:tcPr>
            <w:tcW w:w="1050" w:type="dxa"/>
            <w:vAlign w:val="center"/>
          </w:tcPr>
          <w:p>
            <w:pPr>
              <w:spacing w:line="240" w:lineRule="exact"/>
              <w:jc w:val="center"/>
              <w:rPr>
                <w:rFonts w:ascii="仿宋" w:hAnsi="仿宋" w:eastAsia="仿宋" w:cs="仿宋"/>
                <w:bCs/>
                <w:szCs w:val="21"/>
              </w:rPr>
            </w:pPr>
          </w:p>
        </w:tc>
        <w:tc>
          <w:tcPr>
            <w:tcW w:w="1050" w:type="dxa"/>
            <w:vAlign w:val="center"/>
          </w:tcPr>
          <w:p>
            <w:pPr>
              <w:spacing w:line="240" w:lineRule="exact"/>
              <w:jc w:val="center"/>
              <w:rPr>
                <w:rFonts w:ascii="仿宋" w:hAnsi="仿宋" w:eastAsia="仿宋" w:cs="仿宋"/>
                <w:bCs/>
                <w:szCs w:val="21"/>
              </w:rPr>
            </w:pPr>
          </w:p>
        </w:tc>
        <w:tc>
          <w:tcPr>
            <w:tcW w:w="1050" w:type="dxa"/>
            <w:vAlign w:val="center"/>
          </w:tcPr>
          <w:p>
            <w:pPr>
              <w:spacing w:line="240" w:lineRule="exact"/>
              <w:jc w:val="center"/>
              <w:rPr>
                <w:rFonts w:ascii="仿宋" w:hAnsi="仿宋" w:eastAsia="仿宋" w:cs="仿宋"/>
                <w:bCs/>
                <w:szCs w:val="21"/>
              </w:rPr>
            </w:pPr>
          </w:p>
        </w:tc>
        <w:tc>
          <w:tcPr>
            <w:tcW w:w="1050" w:type="dxa"/>
          </w:tcPr>
          <w:p>
            <w:pPr>
              <w:spacing w:line="240" w:lineRule="exact"/>
              <w:jc w:val="center"/>
              <w:rPr>
                <w:rFonts w:ascii="仿宋" w:hAnsi="仿宋" w:eastAsia="仿宋" w:cs="仿宋"/>
                <w:bCs/>
                <w:szCs w:val="21"/>
              </w:rPr>
            </w:pPr>
          </w:p>
        </w:tc>
        <w:tc>
          <w:tcPr>
            <w:tcW w:w="1050" w:type="dxa"/>
            <w:vAlign w:val="center"/>
          </w:tcPr>
          <w:p>
            <w:pPr>
              <w:spacing w:line="240" w:lineRule="exact"/>
              <w:jc w:val="center"/>
              <w:rPr>
                <w:rFonts w:ascii="仿宋" w:hAnsi="仿宋" w:eastAsia="仿宋" w:cs="仿宋"/>
                <w:bCs/>
                <w:szCs w:val="21"/>
              </w:rPr>
            </w:pPr>
            <w:r>
              <w:rPr>
                <w:rFonts w:ascii="仿宋" w:hAnsi="仿宋" w:eastAsia="仿宋" w:cs="仿宋"/>
                <w:bCs/>
                <w:szCs w:val="21"/>
              </w:rPr>
              <w:t>-LRDF</w:t>
            </w:r>
          </w:p>
        </w:tc>
      </w:tr>
    </w:tbl>
    <w:p>
      <w:pPr>
        <w:pStyle w:val="20"/>
        <w:ind w:firstLine="422"/>
        <w:rPr>
          <w:rFonts w:eastAsia="仿宋_GB2312"/>
          <w:b/>
          <w:sz w:val="28"/>
          <w:szCs w:val="28"/>
        </w:rPr>
      </w:pPr>
      <w:r>
        <w:rPr>
          <w:rFonts w:eastAsia="仿宋_GB2312"/>
          <w:b/>
        </w:rPr>
        <w:t>注：上表中，“+”表示有利影响，“-”表示不利影响；“S”表示短期影响，“L”表示长期影响；“R” 表示可逆影响，“N”表示不可逆影响；“D” 表示直接影响，“I”表示间接影响；“C” 表示累计影响，“F”表示非累积影响。</w:t>
      </w:r>
    </w:p>
    <w:p>
      <w:pPr>
        <w:pStyle w:val="5"/>
        <w:keepLines w:val="0"/>
        <w:widowControl/>
        <w:tabs>
          <w:tab w:val="left" w:pos="993"/>
        </w:tabs>
        <w:adjustRightInd w:val="0"/>
        <w:snapToGrid w:val="0"/>
        <w:spacing w:after="120" w:afterLines="50"/>
        <w:jc w:val="left"/>
        <w:rPr>
          <w:rFonts w:ascii="Times New Roman" w:hAnsi="Times New Roman"/>
          <w:b/>
        </w:rPr>
      </w:pPr>
      <w:r>
        <w:rPr>
          <w:rFonts w:hint="eastAsia" w:ascii="Times New Roman" w:hAnsi="Times New Roman"/>
          <w:b/>
        </w:rPr>
        <w:t>2.3.2</w:t>
      </w:r>
      <w:r>
        <w:rPr>
          <w:rFonts w:ascii="Times New Roman" w:hAnsi="Times New Roman"/>
          <w:b/>
        </w:rPr>
        <w:t>环境影响评价因子</w:t>
      </w:r>
    </w:p>
    <w:p>
      <w:pPr>
        <w:adjustRightInd w:val="0"/>
        <w:snapToGrid w:val="0"/>
        <w:spacing w:line="500" w:lineRule="exact"/>
        <w:ind w:firstLine="560" w:firstLineChars="200"/>
        <w:rPr>
          <w:rFonts w:eastAsia="仿宋_GB2312"/>
          <w:sz w:val="28"/>
          <w:szCs w:val="28"/>
        </w:rPr>
      </w:pPr>
      <w:r>
        <w:rPr>
          <w:rFonts w:eastAsia="仿宋_GB2312"/>
          <w:sz w:val="28"/>
          <w:szCs w:val="28"/>
        </w:rPr>
        <w:t>（1）大气</w:t>
      </w:r>
    </w:p>
    <w:p>
      <w:pPr>
        <w:adjustRightInd w:val="0"/>
        <w:snapToGrid w:val="0"/>
        <w:spacing w:line="500" w:lineRule="exact"/>
        <w:ind w:firstLine="560" w:firstLineChars="200"/>
        <w:rPr>
          <w:rFonts w:eastAsia="仿宋_GB2312"/>
          <w:sz w:val="28"/>
          <w:szCs w:val="28"/>
          <w:vertAlign w:val="subscript"/>
        </w:rPr>
      </w:pPr>
      <w:r>
        <w:rPr>
          <w:rFonts w:eastAsia="仿宋_GB2312"/>
          <w:sz w:val="28"/>
          <w:szCs w:val="28"/>
        </w:rPr>
        <w:t>现状评价因子：SO</w:t>
      </w:r>
      <w:r>
        <w:rPr>
          <w:rFonts w:eastAsia="仿宋_GB2312"/>
          <w:sz w:val="28"/>
          <w:szCs w:val="28"/>
          <w:vertAlign w:val="subscript"/>
        </w:rPr>
        <w:t>2</w:t>
      </w:r>
      <w:r>
        <w:rPr>
          <w:rFonts w:eastAsia="仿宋_GB2312"/>
          <w:sz w:val="28"/>
          <w:szCs w:val="28"/>
        </w:rPr>
        <w:t>、NO</w:t>
      </w:r>
      <w:r>
        <w:rPr>
          <w:rFonts w:eastAsia="仿宋_GB2312"/>
          <w:sz w:val="28"/>
          <w:szCs w:val="28"/>
          <w:vertAlign w:val="subscript"/>
        </w:rPr>
        <w:t>2</w:t>
      </w:r>
      <w:r>
        <w:rPr>
          <w:rFonts w:eastAsia="仿宋_GB2312"/>
          <w:sz w:val="28"/>
          <w:szCs w:val="28"/>
        </w:rPr>
        <w:t>、PM</w:t>
      </w:r>
      <w:r>
        <w:rPr>
          <w:rFonts w:eastAsia="仿宋_GB2312"/>
          <w:sz w:val="28"/>
          <w:szCs w:val="28"/>
          <w:vertAlign w:val="subscript"/>
        </w:rPr>
        <w:t>10</w:t>
      </w:r>
      <w:r>
        <w:rPr>
          <w:rFonts w:eastAsia="仿宋_GB2312"/>
          <w:sz w:val="28"/>
          <w:szCs w:val="28"/>
        </w:rPr>
        <w:t>、PM</w:t>
      </w:r>
      <w:r>
        <w:rPr>
          <w:rFonts w:eastAsia="仿宋_GB2312"/>
          <w:sz w:val="28"/>
          <w:szCs w:val="28"/>
          <w:vertAlign w:val="subscript"/>
        </w:rPr>
        <w:t>2.5</w:t>
      </w:r>
      <w:r>
        <w:rPr>
          <w:rFonts w:eastAsia="仿宋_GB2312"/>
          <w:sz w:val="28"/>
          <w:szCs w:val="28"/>
        </w:rPr>
        <w:t>、</w:t>
      </w:r>
      <w:r>
        <w:rPr>
          <w:rFonts w:hint="eastAsia" w:eastAsia="仿宋_GB2312"/>
          <w:sz w:val="28"/>
          <w:szCs w:val="28"/>
        </w:rPr>
        <w:t>CO、O</w:t>
      </w:r>
      <w:r>
        <w:rPr>
          <w:rFonts w:eastAsia="仿宋_GB2312"/>
          <w:sz w:val="28"/>
          <w:szCs w:val="28"/>
          <w:vertAlign w:val="subscript"/>
        </w:rPr>
        <w:t>3</w:t>
      </w:r>
      <w:r>
        <w:rPr>
          <w:rFonts w:hint="eastAsia" w:eastAsia="仿宋_GB2312"/>
          <w:sz w:val="28"/>
          <w:szCs w:val="28"/>
        </w:rPr>
        <w:t>、二甲苯</w:t>
      </w:r>
      <w:r>
        <w:rPr>
          <w:rFonts w:eastAsia="仿宋_GB2312"/>
          <w:sz w:val="28"/>
          <w:szCs w:val="28"/>
        </w:rPr>
        <w:t>、</w:t>
      </w:r>
      <w:r>
        <w:rPr>
          <w:rFonts w:eastAsia="仿宋_GB2312"/>
          <w:spacing w:val="-2"/>
          <w:sz w:val="28"/>
          <w:szCs w:val="20"/>
        </w:rPr>
        <w:t>非甲烷总烃</w:t>
      </w:r>
      <w:r>
        <w:rPr>
          <w:rFonts w:hint="eastAsia" w:eastAsia="仿宋_GB2312"/>
          <w:spacing w:val="-2"/>
          <w:sz w:val="28"/>
          <w:szCs w:val="20"/>
        </w:rPr>
        <w:t>、乙酸乙酯</w:t>
      </w:r>
      <w:r>
        <w:rPr>
          <w:rFonts w:hint="eastAsia" w:eastAsia="仿宋_GB2312" w:cs="仿宋_GB2312"/>
          <w:sz w:val="28"/>
          <w:szCs w:val="28"/>
        </w:rPr>
        <w:t>。</w:t>
      </w:r>
    </w:p>
    <w:p>
      <w:pPr>
        <w:adjustRightInd w:val="0"/>
        <w:snapToGrid w:val="0"/>
        <w:spacing w:line="500" w:lineRule="exact"/>
        <w:ind w:firstLine="560" w:firstLineChars="200"/>
        <w:rPr>
          <w:rFonts w:eastAsia="仿宋_GB2312"/>
          <w:spacing w:val="-2"/>
          <w:sz w:val="28"/>
          <w:szCs w:val="20"/>
        </w:rPr>
      </w:pPr>
      <w:r>
        <w:rPr>
          <w:rFonts w:eastAsia="仿宋_GB2312"/>
          <w:sz w:val="28"/>
          <w:szCs w:val="20"/>
        </w:rPr>
        <w:t>影响评价因子：</w:t>
      </w:r>
      <w:r>
        <w:rPr>
          <w:rFonts w:hint="eastAsia" w:eastAsia="仿宋_GB2312"/>
          <w:sz w:val="28"/>
          <w:szCs w:val="28"/>
        </w:rPr>
        <w:t>二甲苯</w:t>
      </w:r>
      <w:r>
        <w:rPr>
          <w:rFonts w:eastAsia="仿宋_GB2312"/>
          <w:sz w:val="28"/>
          <w:szCs w:val="28"/>
        </w:rPr>
        <w:t>、</w:t>
      </w:r>
      <w:r>
        <w:rPr>
          <w:rFonts w:hint="eastAsia" w:eastAsia="仿宋_GB2312"/>
          <w:sz w:val="28"/>
          <w:szCs w:val="28"/>
        </w:rPr>
        <w:t>乙酸乙酯、</w:t>
      </w:r>
      <w:r>
        <w:rPr>
          <w:rFonts w:eastAsia="仿宋_GB2312"/>
          <w:spacing w:val="-2"/>
          <w:sz w:val="28"/>
          <w:szCs w:val="20"/>
        </w:rPr>
        <w:t>非甲烷总烃</w:t>
      </w:r>
      <w:r>
        <w:rPr>
          <w:rFonts w:hint="eastAsia" w:eastAsia="仿宋_GB2312"/>
          <w:spacing w:val="-2"/>
          <w:sz w:val="28"/>
          <w:szCs w:val="20"/>
        </w:rPr>
        <w:t>、</w:t>
      </w:r>
      <w:r>
        <w:rPr>
          <w:rFonts w:eastAsia="仿宋_GB2312"/>
          <w:spacing w:val="-2"/>
          <w:sz w:val="28"/>
          <w:szCs w:val="20"/>
        </w:rPr>
        <w:t>SO</w:t>
      </w:r>
      <w:r>
        <w:rPr>
          <w:rFonts w:eastAsia="仿宋_GB2312"/>
          <w:spacing w:val="-2"/>
          <w:sz w:val="28"/>
          <w:szCs w:val="20"/>
          <w:vertAlign w:val="subscript"/>
        </w:rPr>
        <w:t>2</w:t>
      </w:r>
      <w:r>
        <w:rPr>
          <w:rFonts w:hint="eastAsia" w:eastAsia="仿宋_GB2312"/>
          <w:spacing w:val="-2"/>
          <w:sz w:val="28"/>
          <w:szCs w:val="20"/>
        </w:rPr>
        <w:t>、NO</w:t>
      </w:r>
      <w:r>
        <w:rPr>
          <w:rFonts w:hint="eastAsia" w:eastAsia="仿宋_GB2312"/>
          <w:spacing w:val="-2"/>
          <w:sz w:val="28"/>
          <w:szCs w:val="20"/>
          <w:vertAlign w:val="subscript"/>
        </w:rPr>
        <w:t>X</w:t>
      </w:r>
      <w:r>
        <w:rPr>
          <w:rFonts w:hint="eastAsia" w:eastAsia="仿宋_GB2312"/>
          <w:spacing w:val="-2"/>
          <w:sz w:val="28"/>
          <w:szCs w:val="20"/>
        </w:rPr>
        <w:t>、</w:t>
      </w:r>
      <w:r>
        <w:rPr>
          <w:rFonts w:hint="eastAsia" w:eastAsia="仿宋_GB2312"/>
          <w:sz w:val="28"/>
          <w:szCs w:val="28"/>
        </w:rPr>
        <w:t>颗粒物</w:t>
      </w:r>
      <w:r>
        <w:rPr>
          <w:rFonts w:hint="eastAsia" w:eastAsia="仿宋_GB2312" w:cs="仿宋_GB2312"/>
          <w:sz w:val="28"/>
          <w:szCs w:val="28"/>
        </w:rPr>
        <w:t>。</w:t>
      </w:r>
    </w:p>
    <w:p>
      <w:pPr>
        <w:adjustRightInd w:val="0"/>
        <w:snapToGrid w:val="0"/>
        <w:spacing w:line="500" w:lineRule="exact"/>
        <w:ind w:firstLine="560" w:firstLineChars="200"/>
        <w:rPr>
          <w:rFonts w:eastAsia="仿宋_GB2312"/>
          <w:sz w:val="28"/>
          <w:szCs w:val="28"/>
        </w:rPr>
      </w:pPr>
      <w:r>
        <w:rPr>
          <w:rFonts w:eastAsia="仿宋_GB2312"/>
          <w:sz w:val="28"/>
          <w:szCs w:val="28"/>
        </w:rPr>
        <w:t>总量控制因子：烟（粉）尘、VOCs</w:t>
      </w:r>
      <w:r>
        <w:rPr>
          <w:rFonts w:hint="eastAsia" w:eastAsia="仿宋_GB2312"/>
          <w:sz w:val="28"/>
          <w:szCs w:val="28"/>
        </w:rPr>
        <w:t>（以非甲烷总烃计）、</w:t>
      </w:r>
      <w:r>
        <w:rPr>
          <w:rFonts w:eastAsia="仿宋_GB2312"/>
          <w:spacing w:val="-2"/>
          <w:sz w:val="28"/>
          <w:szCs w:val="20"/>
        </w:rPr>
        <w:t>SO</w:t>
      </w:r>
      <w:r>
        <w:rPr>
          <w:rFonts w:eastAsia="仿宋_GB2312"/>
          <w:spacing w:val="-2"/>
          <w:sz w:val="28"/>
          <w:szCs w:val="20"/>
          <w:vertAlign w:val="subscript"/>
        </w:rPr>
        <w:t>2</w:t>
      </w:r>
      <w:r>
        <w:rPr>
          <w:rFonts w:hint="eastAsia" w:eastAsia="仿宋_GB2312"/>
          <w:spacing w:val="-2"/>
          <w:sz w:val="28"/>
          <w:szCs w:val="20"/>
        </w:rPr>
        <w:t>、NO</w:t>
      </w:r>
      <w:r>
        <w:rPr>
          <w:rFonts w:hint="eastAsia" w:eastAsia="仿宋_GB2312"/>
          <w:spacing w:val="-2"/>
          <w:sz w:val="28"/>
          <w:szCs w:val="20"/>
          <w:vertAlign w:val="subscript"/>
        </w:rPr>
        <w:t>X</w:t>
      </w:r>
      <w:r>
        <w:rPr>
          <w:rFonts w:eastAsia="仿宋_GB2312"/>
          <w:sz w:val="28"/>
          <w:szCs w:val="28"/>
        </w:rPr>
        <w:t>。</w:t>
      </w:r>
    </w:p>
    <w:p>
      <w:pPr>
        <w:adjustRightInd w:val="0"/>
        <w:snapToGrid w:val="0"/>
        <w:spacing w:line="500" w:lineRule="exact"/>
        <w:ind w:firstLine="560" w:firstLineChars="200"/>
        <w:rPr>
          <w:rFonts w:eastAsia="仿宋_GB2312"/>
          <w:sz w:val="28"/>
          <w:szCs w:val="28"/>
        </w:rPr>
      </w:pPr>
      <w:r>
        <w:rPr>
          <w:rFonts w:eastAsia="仿宋_GB2312"/>
          <w:sz w:val="28"/>
          <w:szCs w:val="28"/>
        </w:rPr>
        <w:t>（2）地表水</w:t>
      </w:r>
    </w:p>
    <w:p>
      <w:pPr>
        <w:pStyle w:val="150"/>
        <w:ind w:firstLine="560"/>
        <w:rPr>
          <w:rFonts w:eastAsia="仿宋_GB2312"/>
          <w:sz w:val="28"/>
          <w:szCs w:val="28"/>
        </w:rPr>
      </w:pPr>
      <w:r>
        <w:rPr>
          <w:rFonts w:eastAsia="仿宋_GB2312"/>
          <w:sz w:val="28"/>
          <w:szCs w:val="28"/>
        </w:rPr>
        <w:t>现状评价因子：pH、</w:t>
      </w:r>
      <w:r>
        <w:rPr>
          <w:rFonts w:hint="eastAsia" w:eastAsia="仿宋_GB2312"/>
          <w:sz w:val="28"/>
          <w:szCs w:val="28"/>
        </w:rPr>
        <w:t>C</w:t>
      </w:r>
      <w:r>
        <w:rPr>
          <w:rFonts w:eastAsia="仿宋_GB2312"/>
          <w:sz w:val="28"/>
          <w:szCs w:val="28"/>
        </w:rPr>
        <w:t>OD、NH</w:t>
      </w:r>
      <w:r>
        <w:rPr>
          <w:rFonts w:eastAsia="仿宋_GB2312"/>
          <w:sz w:val="28"/>
          <w:szCs w:val="28"/>
          <w:vertAlign w:val="subscript"/>
        </w:rPr>
        <w:t>3</w:t>
      </w:r>
      <w:r>
        <w:rPr>
          <w:rFonts w:eastAsia="仿宋_GB2312"/>
          <w:sz w:val="28"/>
          <w:szCs w:val="28"/>
        </w:rPr>
        <w:t>-N、TP</w:t>
      </w:r>
      <w:r>
        <w:rPr>
          <w:rFonts w:eastAsia="仿宋_GB2312"/>
          <w:sz w:val="28"/>
          <w:szCs w:val="28"/>
          <w:lang w:val="zh-CN"/>
        </w:rPr>
        <w:t>。</w:t>
      </w:r>
    </w:p>
    <w:p>
      <w:pPr>
        <w:pStyle w:val="150"/>
        <w:ind w:firstLine="560"/>
        <w:rPr>
          <w:rFonts w:eastAsia="仿宋_GB2312"/>
          <w:sz w:val="28"/>
          <w:szCs w:val="28"/>
        </w:rPr>
      </w:pPr>
      <w:r>
        <w:rPr>
          <w:rFonts w:eastAsia="仿宋_GB2312"/>
          <w:sz w:val="28"/>
          <w:szCs w:val="28"/>
        </w:rPr>
        <w:t>接管考核因子：COD、SS、NH</w:t>
      </w:r>
      <w:r>
        <w:rPr>
          <w:rFonts w:eastAsia="仿宋_GB2312"/>
          <w:sz w:val="28"/>
          <w:szCs w:val="28"/>
          <w:vertAlign w:val="subscript"/>
        </w:rPr>
        <w:t>3</w:t>
      </w:r>
      <w:r>
        <w:rPr>
          <w:rFonts w:eastAsia="仿宋_GB2312"/>
          <w:sz w:val="28"/>
          <w:szCs w:val="28"/>
        </w:rPr>
        <w:t>-N、TP</w:t>
      </w:r>
      <w:r>
        <w:rPr>
          <w:rFonts w:hint="eastAsia" w:eastAsia="仿宋_GB2312"/>
          <w:sz w:val="28"/>
          <w:szCs w:val="28"/>
        </w:rPr>
        <w:t>、T</w:t>
      </w:r>
      <w:r>
        <w:rPr>
          <w:rFonts w:eastAsia="仿宋_GB2312"/>
          <w:sz w:val="28"/>
          <w:szCs w:val="28"/>
        </w:rPr>
        <w:t>N。</w:t>
      </w:r>
    </w:p>
    <w:p>
      <w:pPr>
        <w:pStyle w:val="150"/>
        <w:ind w:firstLine="560"/>
        <w:rPr>
          <w:rFonts w:eastAsia="仿宋_GB2312"/>
          <w:sz w:val="28"/>
          <w:szCs w:val="28"/>
        </w:rPr>
      </w:pPr>
      <w:r>
        <w:rPr>
          <w:rFonts w:eastAsia="仿宋_GB2312"/>
          <w:sz w:val="28"/>
          <w:szCs w:val="28"/>
        </w:rPr>
        <w:t>总量控制因子：COD、NH</w:t>
      </w:r>
      <w:r>
        <w:rPr>
          <w:rFonts w:eastAsia="仿宋_GB2312"/>
          <w:sz w:val="28"/>
          <w:szCs w:val="28"/>
          <w:vertAlign w:val="subscript"/>
        </w:rPr>
        <w:t>3</w:t>
      </w:r>
      <w:r>
        <w:rPr>
          <w:rFonts w:eastAsia="仿宋_GB2312"/>
          <w:sz w:val="28"/>
          <w:szCs w:val="28"/>
        </w:rPr>
        <w:t>-N。</w:t>
      </w:r>
    </w:p>
    <w:p>
      <w:pPr>
        <w:adjustRightInd w:val="0"/>
        <w:snapToGrid w:val="0"/>
        <w:spacing w:line="500" w:lineRule="exact"/>
        <w:ind w:firstLine="560" w:firstLineChars="200"/>
        <w:rPr>
          <w:rFonts w:eastAsia="仿宋_GB2312"/>
          <w:sz w:val="28"/>
          <w:szCs w:val="28"/>
        </w:rPr>
      </w:pPr>
      <w:r>
        <w:rPr>
          <w:rFonts w:eastAsia="仿宋_GB2312"/>
          <w:sz w:val="28"/>
          <w:szCs w:val="28"/>
        </w:rPr>
        <w:t>（3）地下水</w:t>
      </w:r>
    </w:p>
    <w:p>
      <w:pPr>
        <w:adjustRightInd w:val="0"/>
        <w:snapToGrid w:val="0"/>
        <w:spacing w:line="500" w:lineRule="exact"/>
        <w:ind w:firstLine="560" w:firstLineChars="200"/>
        <w:rPr>
          <w:rFonts w:eastAsia="仿宋_GB2312"/>
          <w:snapToGrid w:val="0"/>
          <w:kern w:val="0"/>
          <w:sz w:val="28"/>
          <w:szCs w:val="28"/>
        </w:rPr>
      </w:pPr>
      <w:r>
        <w:rPr>
          <w:rFonts w:eastAsia="仿宋_GB2312"/>
          <w:sz w:val="28"/>
          <w:szCs w:val="28"/>
        </w:rPr>
        <w:t>现状评价因子：pH</w:t>
      </w:r>
      <w:r>
        <w:rPr>
          <w:rFonts w:hint="eastAsia" w:eastAsia="仿宋_GB2312"/>
          <w:sz w:val="28"/>
          <w:szCs w:val="28"/>
        </w:rPr>
        <w:t>、</w:t>
      </w:r>
      <w:r>
        <w:rPr>
          <w:rFonts w:eastAsia="仿宋_GB2312"/>
          <w:sz w:val="28"/>
          <w:szCs w:val="28"/>
        </w:rPr>
        <w:t>K</w:t>
      </w:r>
      <w:r>
        <w:rPr>
          <w:rFonts w:eastAsia="仿宋_GB2312"/>
          <w:sz w:val="28"/>
          <w:szCs w:val="28"/>
          <w:vertAlign w:val="superscript"/>
        </w:rPr>
        <w:t>+</w:t>
      </w:r>
      <w:r>
        <w:rPr>
          <w:rFonts w:hint="eastAsia" w:eastAsia="仿宋_GB2312"/>
          <w:sz w:val="28"/>
          <w:szCs w:val="28"/>
        </w:rPr>
        <w:t>、</w:t>
      </w:r>
      <w:r>
        <w:rPr>
          <w:rFonts w:eastAsia="仿宋_GB2312"/>
          <w:sz w:val="28"/>
          <w:szCs w:val="28"/>
        </w:rPr>
        <w:t>Na</w:t>
      </w:r>
      <w:r>
        <w:rPr>
          <w:rFonts w:eastAsia="仿宋_GB2312"/>
          <w:sz w:val="28"/>
          <w:szCs w:val="28"/>
          <w:vertAlign w:val="superscript"/>
        </w:rPr>
        <w:t>+</w:t>
      </w:r>
      <w:r>
        <w:rPr>
          <w:rFonts w:hint="eastAsia" w:eastAsia="仿宋_GB2312"/>
          <w:sz w:val="28"/>
          <w:szCs w:val="28"/>
        </w:rPr>
        <w:t>、</w:t>
      </w:r>
      <w:r>
        <w:rPr>
          <w:rFonts w:eastAsia="仿宋_GB2312"/>
          <w:sz w:val="28"/>
          <w:szCs w:val="28"/>
        </w:rPr>
        <w:t>Ca</w:t>
      </w:r>
      <w:r>
        <w:rPr>
          <w:rFonts w:eastAsia="仿宋_GB2312"/>
          <w:sz w:val="28"/>
          <w:szCs w:val="28"/>
          <w:vertAlign w:val="superscript"/>
        </w:rPr>
        <w:t>+</w:t>
      </w:r>
      <w:r>
        <w:rPr>
          <w:rFonts w:hint="eastAsia" w:eastAsia="仿宋_GB2312"/>
          <w:sz w:val="28"/>
          <w:szCs w:val="28"/>
        </w:rPr>
        <w:t>、</w:t>
      </w:r>
      <w:r>
        <w:rPr>
          <w:rFonts w:eastAsia="仿宋_GB2312"/>
          <w:sz w:val="28"/>
          <w:szCs w:val="28"/>
        </w:rPr>
        <w:t>Mg</w:t>
      </w:r>
      <w:r>
        <w:rPr>
          <w:rFonts w:eastAsia="仿宋_GB2312"/>
          <w:sz w:val="28"/>
          <w:szCs w:val="28"/>
          <w:vertAlign w:val="superscript"/>
        </w:rPr>
        <w:t>2+</w:t>
      </w:r>
      <w:r>
        <w:rPr>
          <w:rFonts w:hint="eastAsia" w:eastAsia="仿宋_GB2312"/>
          <w:sz w:val="28"/>
          <w:szCs w:val="28"/>
        </w:rPr>
        <w:t>、碳酸盐、重</w:t>
      </w:r>
      <w:r>
        <w:rPr>
          <w:rFonts w:eastAsia="仿宋_GB2312"/>
          <w:sz w:val="28"/>
          <w:szCs w:val="28"/>
        </w:rPr>
        <w:t>碳酸盐</w:t>
      </w:r>
      <w:r>
        <w:rPr>
          <w:rFonts w:hint="eastAsia" w:eastAsia="仿宋_GB2312"/>
          <w:sz w:val="28"/>
          <w:szCs w:val="28"/>
        </w:rPr>
        <w:t>、SO</w:t>
      </w:r>
      <w:r>
        <w:rPr>
          <w:rFonts w:hint="eastAsia" w:eastAsia="仿宋_GB2312"/>
          <w:sz w:val="28"/>
          <w:szCs w:val="28"/>
          <w:vertAlign w:val="subscript"/>
        </w:rPr>
        <w:t>4</w:t>
      </w:r>
      <w:r>
        <w:rPr>
          <w:rFonts w:hint="eastAsia" w:eastAsia="仿宋_GB2312"/>
          <w:sz w:val="28"/>
          <w:szCs w:val="28"/>
          <w:vertAlign w:val="superscript"/>
        </w:rPr>
        <w:t>2-</w:t>
      </w:r>
      <w:r>
        <w:rPr>
          <w:rFonts w:hint="eastAsia" w:eastAsia="仿宋_GB2312"/>
          <w:sz w:val="28"/>
          <w:szCs w:val="28"/>
        </w:rPr>
        <w:t>、C</w:t>
      </w:r>
      <w:r>
        <w:rPr>
          <w:rFonts w:eastAsia="仿宋_GB2312"/>
          <w:sz w:val="28"/>
          <w:szCs w:val="28"/>
        </w:rPr>
        <w:t>l</w:t>
      </w:r>
      <w:r>
        <w:rPr>
          <w:rFonts w:eastAsia="仿宋_GB2312"/>
          <w:sz w:val="28"/>
          <w:szCs w:val="28"/>
          <w:vertAlign w:val="superscript"/>
        </w:rPr>
        <w:t>-</w:t>
      </w:r>
      <w:r>
        <w:rPr>
          <w:rFonts w:hint="eastAsia" w:eastAsia="仿宋_GB2312"/>
          <w:sz w:val="28"/>
          <w:szCs w:val="28"/>
        </w:rPr>
        <w:t>、</w:t>
      </w:r>
      <w:r>
        <w:rPr>
          <w:rFonts w:eastAsia="仿宋_GB2312"/>
          <w:sz w:val="28"/>
          <w:szCs w:val="28"/>
        </w:rPr>
        <w:t>氨氮</w:t>
      </w:r>
      <w:r>
        <w:rPr>
          <w:rFonts w:hint="eastAsia" w:eastAsia="仿宋_GB2312"/>
          <w:sz w:val="28"/>
          <w:szCs w:val="28"/>
        </w:rPr>
        <w:t>、</w:t>
      </w:r>
      <w:r>
        <w:rPr>
          <w:rFonts w:eastAsia="仿宋_GB2312"/>
          <w:sz w:val="28"/>
          <w:szCs w:val="28"/>
        </w:rPr>
        <w:t>硝酸盐</w:t>
      </w:r>
      <w:r>
        <w:rPr>
          <w:rFonts w:hint="eastAsia" w:eastAsia="仿宋_GB2312"/>
          <w:sz w:val="28"/>
          <w:szCs w:val="28"/>
        </w:rPr>
        <w:t>氮、亚</w:t>
      </w:r>
      <w:r>
        <w:rPr>
          <w:rFonts w:eastAsia="仿宋_GB2312"/>
          <w:sz w:val="28"/>
          <w:szCs w:val="28"/>
        </w:rPr>
        <w:t>硝酸盐</w:t>
      </w:r>
      <w:r>
        <w:rPr>
          <w:rFonts w:hint="eastAsia" w:eastAsia="仿宋_GB2312"/>
          <w:sz w:val="28"/>
          <w:szCs w:val="28"/>
        </w:rPr>
        <w:t>氮、挥发酚、</w:t>
      </w:r>
      <w:r>
        <w:rPr>
          <w:rFonts w:eastAsia="仿宋_GB2312"/>
          <w:sz w:val="28"/>
          <w:szCs w:val="28"/>
        </w:rPr>
        <w:t>砷</w:t>
      </w:r>
      <w:r>
        <w:rPr>
          <w:rFonts w:hint="eastAsia" w:eastAsia="仿宋_GB2312"/>
          <w:sz w:val="28"/>
          <w:szCs w:val="28"/>
        </w:rPr>
        <w:t>、</w:t>
      </w:r>
      <w:r>
        <w:rPr>
          <w:rFonts w:eastAsia="仿宋_GB2312"/>
          <w:sz w:val="28"/>
          <w:szCs w:val="28"/>
        </w:rPr>
        <w:t>汞</w:t>
      </w:r>
      <w:r>
        <w:rPr>
          <w:rFonts w:hint="eastAsia" w:eastAsia="仿宋_GB2312"/>
          <w:sz w:val="28"/>
          <w:szCs w:val="28"/>
        </w:rPr>
        <w:t>、</w:t>
      </w:r>
      <w:r>
        <w:rPr>
          <w:rFonts w:eastAsia="仿宋_GB2312"/>
          <w:sz w:val="28"/>
          <w:szCs w:val="28"/>
        </w:rPr>
        <w:t>六价铬</w:t>
      </w:r>
      <w:r>
        <w:rPr>
          <w:rFonts w:hint="eastAsia" w:eastAsia="仿宋_GB2312"/>
          <w:sz w:val="28"/>
          <w:szCs w:val="28"/>
        </w:rPr>
        <w:t>、总硬度、</w:t>
      </w:r>
      <w:r>
        <w:rPr>
          <w:rFonts w:eastAsia="仿宋_GB2312"/>
          <w:sz w:val="28"/>
          <w:szCs w:val="28"/>
        </w:rPr>
        <w:t>镉</w:t>
      </w:r>
      <w:r>
        <w:rPr>
          <w:rFonts w:hint="eastAsia" w:eastAsia="仿宋_GB2312"/>
          <w:sz w:val="28"/>
          <w:szCs w:val="28"/>
        </w:rPr>
        <w:t>、铅、细菌总数、氟化物、溶解性总固体、总氰化物、高锰酸盐指数、二甲苯</w:t>
      </w:r>
      <w:r>
        <w:rPr>
          <w:rFonts w:eastAsia="仿宋_GB2312"/>
          <w:snapToGrid w:val="0"/>
          <w:kern w:val="0"/>
          <w:sz w:val="28"/>
          <w:szCs w:val="28"/>
        </w:rPr>
        <w:t>。</w:t>
      </w:r>
    </w:p>
    <w:p>
      <w:pPr>
        <w:adjustRightInd w:val="0"/>
        <w:snapToGrid w:val="0"/>
        <w:spacing w:line="500" w:lineRule="exact"/>
        <w:ind w:firstLine="560" w:firstLineChars="200"/>
        <w:rPr>
          <w:rFonts w:eastAsia="仿宋_GB2312"/>
          <w:sz w:val="28"/>
          <w:szCs w:val="28"/>
          <w:lang w:val="zh-CN"/>
        </w:rPr>
      </w:pPr>
      <w:r>
        <w:rPr>
          <w:rFonts w:hint="eastAsia" w:eastAsia="仿宋_GB2312"/>
          <w:snapToGrid w:val="0"/>
          <w:kern w:val="0"/>
          <w:sz w:val="28"/>
          <w:szCs w:val="28"/>
        </w:rPr>
        <w:t>评价</w:t>
      </w:r>
      <w:r>
        <w:rPr>
          <w:rFonts w:eastAsia="仿宋_GB2312"/>
          <w:snapToGrid w:val="0"/>
          <w:kern w:val="0"/>
          <w:sz w:val="28"/>
          <w:szCs w:val="28"/>
        </w:rPr>
        <w:t>因子：</w:t>
      </w:r>
      <w:r>
        <w:rPr>
          <w:rFonts w:eastAsia="仿宋_GB2312"/>
          <w:sz w:val="28"/>
          <w:szCs w:val="28"/>
        </w:rPr>
        <w:t>COD</w:t>
      </w:r>
      <w:r>
        <w:rPr>
          <w:rFonts w:eastAsia="仿宋_GB2312"/>
          <w:sz w:val="28"/>
          <w:szCs w:val="28"/>
          <w:vertAlign w:val="subscript"/>
        </w:rPr>
        <w:t>Mn</w:t>
      </w:r>
    </w:p>
    <w:p>
      <w:pPr>
        <w:adjustRightInd w:val="0"/>
        <w:snapToGrid w:val="0"/>
        <w:spacing w:line="500" w:lineRule="exact"/>
        <w:ind w:firstLine="560" w:firstLineChars="200"/>
        <w:rPr>
          <w:rFonts w:eastAsia="仿宋_GB2312"/>
          <w:sz w:val="28"/>
          <w:szCs w:val="28"/>
        </w:rPr>
      </w:pPr>
      <w:r>
        <w:rPr>
          <w:rFonts w:eastAsia="仿宋_GB2312"/>
          <w:sz w:val="28"/>
          <w:szCs w:val="28"/>
        </w:rPr>
        <w:t>（4）声环境</w:t>
      </w:r>
    </w:p>
    <w:p>
      <w:pPr>
        <w:adjustRightInd w:val="0"/>
        <w:snapToGrid w:val="0"/>
        <w:spacing w:line="500" w:lineRule="exact"/>
        <w:ind w:firstLine="560" w:firstLineChars="200"/>
        <w:rPr>
          <w:rFonts w:eastAsia="仿宋_GB2312"/>
          <w:sz w:val="28"/>
          <w:szCs w:val="28"/>
        </w:rPr>
      </w:pPr>
      <w:r>
        <w:rPr>
          <w:rFonts w:eastAsia="仿宋_GB2312"/>
          <w:sz w:val="28"/>
          <w:szCs w:val="28"/>
        </w:rPr>
        <w:t>现状评价因子：等效</w:t>
      </w:r>
      <w:r>
        <w:rPr>
          <w:rFonts w:hint="eastAsia" w:eastAsia="仿宋_GB2312"/>
          <w:sz w:val="28"/>
          <w:szCs w:val="28"/>
        </w:rPr>
        <w:t>连续</w:t>
      </w:r>
      <w:r>
        <w:rPr>
          <w:rFonts w:eastAsia="仿宋_GB2312"/>
          <w:sz w:val="28"/>
          <w:szCs w:val="28"/>
        </w:rPr>
        <w:t>A声级。</w:t>
      </w:r>
    </w:p>
    <w:p>
      <w:pPr>
        <w:adjustRightInd w:val="0"/>
        <w:snapToGrid w:val="0"/>
        <w:spacing w:line="500" w:lineRule="exact"/>
        <w:ind w:firstLine="560" w:firstLineChars="200"/>
        <w:rPr>
          <w:rFonts w:eastAsia="仿宋_GB2312"/>
          <w:sz w:val="28"/>
          <w:szCs w:val="28"/>
        </w:rPr>
      </w:pPr>
      <w:r>
        <w:rPr>
          <w:rFonts w:eastAsia="仿宋_GB2312"/>
          <w:sz w:val="28"/>
          <w:szCs w:val="28"/>
        </w:rPr>
        <w:t>影响评价因子：等效</w:t>
      </w:r>
      <w:r>
        <w:rPr>
          <w:rFonts w:hint="eastAsia" w:eastAsia="仿宋_GB2312"/>
          <w:sz w:val="28"/>
          <w:szCs w:val="28"/>
        </w:rPr>
        <w:t>连续</w:t>
      </w:r>
      <w:r>
        <w:rPr>
          <w:rFonts w:eastAsia="仿宋_GB2312"/>
          <w:sz w:val="28"/>
          <w:szCs w:val="28"/>
        </w:rPr>
        <w:t>A声级。</w:t>
      </w:r>
    </w:p>
    <w:p>
      <w:pPr>
        <w:adjustRightInd w:val="0"/>
        <w:snapToGrid w:val="0"/>
        <w:spacing w:line="500" w:lineRule="exact"/>
        <w:ind w:firstLine="560" w:firstLineChars="200"/>
        <w:rPr>
          <w:rFonts w:eastAsia="仿宋_GB2312"/>
          <w:sz w:val="28"/>
          <w:szCs w:val="28"/>
        </w:rPr>
      </w:pPr>
      <w:r>
        <w:rPr>
          <w:rFonts w:eastAsia="仿宋_GB2312"/>
          <w:sz w:val="28"/>
          <w:szCs w:val="28"/>
        </w:rPr>
        <w:t>（5）土壤</w:t>
      </w:r>
    </w:p>
    <w:p>
      <w:pPr>
        <w:adjustRightInd w:val="0"/>
        <w:snapToGrid w:val="0"/>
        <w:spacing w:line="500" w:lineRule="exact"/>
        <w:ind w:firstLine="560" w:firstLineChars="200"/>
        <w:rPr>
          <w:rFonts w:eastAsia="仿宋_GB2312"/>
          <w:sz w:val="28"/>
          <w:szCs w:val="28"/>
        </w:rPr>
      </w:pPr>
      <w:r>
        <w:rPr>
          <w:rFonts w:eastAsia="仿宋_GB2312"/>
          <w:sz w:val="28"/>
          <w:szCs w:val="28"/>
        </w:rPr>
        <w:t>现状评价因子：</w:t>
      </w:r>
      <w:r>
        <w:rPr>
          <w:rFonts w:hint="eastAsia" w:eastAsia="仿宋_GB2312"/>
          <w:sz w:val="28"/>
          <w:szCs w:val="28"/>
        </w:rPr>
        <w:t>总汞、总砷、铜、镍、铅、镉、</w:t>
      </w:r>
      <w:r>
        <w:rPr>
          <w:rFonts w:eastAsia="仿宋_GB2312"/>
          <w:sz w:val="28"/>
          <w:szCs w:val="28"/>
        </w:rPr>
        <w:t>铬</w:t>
      </w:r>
      <w:r>
        <w:rPr>
          <w:rFonts w:hint="eastAsia" w:eastAsia="仿宋_GB2312"/>
          <w:sz w:val="28"/>
          <w:szCs w:val="28"/>
        </w:rPr>
        <w:t>（六价）、石油烃、苯乙烯、氯甲烷、氯乙烯、1,1-二氯乙烯、二氯甲烷、反-1,2-二氯乙烯、1,1-二氯乙烷、顺-1,2-二氯乙烯、氯仿、1,1,1-三氯乙烷、四氯化碳、苯、1,2-二氯乙烷、三氯乙烯、1,2-二氯丙烷、甲苯、1,1,2-三氯乙烷、四氯乙烯、氯苯、1,1,1,2-四氯乙烷、乙苯、间,对二甲苯、邻二甲苯、苯乙烯、1,1,2,2-四氯乙烷、1,2,3-三氯丙烷、1,4-二氯苯、1,2-二氯苯、苯胺、</w:t>
      </w:r>
      <w:r>
        <w:rPr>
          <w:rFonts w:eastAsia="仿宋_GB2312"/>
          <w:sz w:val="28"/>
          <w:szCs w:val="28"/>
        </w:rPr>
        <w:t>2-</w:t>
      </w:r>
      <w:r>
        <w:rPr>
          <w:rFonts w:hint="eastAsia" w:eastAsia="仿宋_GB2312"/>
          <w:sz w:val="28"/>
          <w:szCs w:val="28"/>
        </w:rPr>
        <w:t>氯苯酚、硝基苯、萘、苯并</w:t>
      </w:r>
      <w:r>
        <w:rPr>
          <w:rFonts w:eastAsia="仿宋_GB2312"/>
          <w:sz w:val="28"/>
          <w:szCs w:val="28"/>
        </w:rPr>
        <w:t>[a]</w:t>
      </w:r>
      <w:r>
        <w:rPr>
          <w:rFonts w:hint="eastAsia" w:eastAsia="仿宋_GB2312"/>
          <w:sz w:val="28"/>
          <w:szCs w:val="28"/>
        </w:rPr>
        <w:t>蒽、</w:t>
      </w:r>
      <w:r>
        <w:rPr>
          <w:rFonts w:hint="eastAsia" w:ascii="微软雅黑" w:hAnsi="微软雅黑" w:eastAsia="微软雅黑" w:cs="微软雅黑"/>
          <w:sz w:val="28"/>
          <w:szCs w:val="28"/>
        </w:rPr>
        <w:t>䓛</w:t>
      </w:r>
      <w:r>
        <w:rPr>
          <w:rFonts w:hint="eastAsia" w:eastAsia="仿宋_GB2312"/>
          <w:sz w:val="28"/>
          <w:szCs w:val="28"/>
        </w:rPr>
        <w:t>、苯并</w:t>
      </w:r>
      <w:r>
        <w:rPr>
          <w:rFonts w:eastAsia="仿宋_GB2312"/>
          <w:sz w:val="28"/>
          <w:szCs w:val="28"/>
        </w:rPr>
        <w:t>[b]</w:t>
      </w:r>
      <w:r>
        <w:rPr>
          <w:rFonts w:hint="eastAsia" w:eastAsia="仿宋_GB2312"/>
          <w:sz w:val="28"/>
          <w:szCs w:val="28"/>
        </w:rPr>
        <w:t>荧蒽、苯并</w:t>
      </w:r>
      <w:r>
        <w:rPr>
          <w:rFonts w:eastAsia="仿宋_GB2312"/>
          <w:sz w:val="28"/>
          <w:szCs w:val="28"/>
        </w:rPr>
        <w:t>[k]</w:t>
      </w:r>
      <w:r>
        <w:rPr>
          <w:rFonts w:hint="eastAsia" w:eastAsia="仿宋_GB2312"/>
          <w:sz w:val="28"/>
          <w:szCs w:val="28"/>
        </w:rPr>
        <w:t>荧蒽、苯并</w:t>
      </w:r>
      <w:r>
        <w:rPr>
          <w:rFonts w:eastAsia="仿宋_GB2312"/>
          <w:sz w:val="28"/>
          <w:szCs w:val="28"/>
        </w:rPr>
        <w:t>[a]</w:t>
      </w:r>
      <w:r>
        <w:rPr>
          <w:rFonts w:hint="eastAsia" w:eastAsia="仿宋_GB2312"/>
          <w:sz w:val="28"/>
          <w:szCs w:val="28"/>
        </w:rPr>
        <w:t>芘、茚并</w:t>
      </w:r>
      <w:r>
        <w:rPr>
          <w:rFonts w:eastAsia="仿宋_GB2312"/>
          <w:sz w:val="28"/>
          <w:szCs w:val="28"/>
        </w:rPr>
        <w:t>[1,2,3-cd]</w:t>
      </w:r>
      <w:r>
        <w:rPr>
          <w:rFonts w:hint="eastAsia" w:eastAsia="仿宋_GB2312"/>
          <w:sz w:val="28"/>
          <w:szCs w:val="28"/>
        </w:rPr>
        <w:t>芘、二苯并</w:t>
      </w:r>
      <w:r>
        <w:rPr>
          <w:rFonts w:eastAsia="仿宋_GB2312"/>
          <w:sz w:val="28"/>
          <w:szCs w:val="28"/>
        </w:rPr>
        <w:t>[a</w:t>
      </w:r>
      <w:r>
        <w:rPr>
          <w:rFonts w:hint="eastAsia" w:eastAsia="仿宋_GB2312"/>
          <w:sz w:val="28"/>
          <w:szCs w:val="28"/>
        </w:rPr>
        <w:t>，</w:t>
      </w:r>
      <w:r>
        <w:rPr>
          <w:rFonts w:eastAsia="仿宋_GB2312"/>
          <w:sz w:val="28"/>
          <w:szCs w:val="28"/>
        </w:rPr>
        <w:t>h]</w:t>
      </w:r>
      <w:r>
        <w:rPr>
          <w:rFonts w:hint="eastAsia" w:eastAsia="仿宋_GB2312"/>
          <w:sz w:val="28"/>
          <w:szCs w:val="28"/>
        </w:rPr>
        <w:t>蒽。</w:t>
      </w:r>
    </w:p>
    <w:p>
      <w:pPr>
        <w:adjustRightInd w:val="0"/>
        <w:snapToGrid w:val="0"/>
        <w:spacing w:line="500" w:lineRule="exact"/>
        <w:ind w:firstLine="560" w:firstLineChars="200"/>
        <w:rPr>
          <w:rFonts w:eastAsia="仿宋_GB2312"/>
          <w:sz w:val="28"/>
          <w:szCs w:val="28"/>
        </w:rPr>
      </w:pPr>
      <w:r>
        <w:rPr>
          <w:rFonts w:hint="eastAsia" w:eastAsia="仿宋_GB2312"/>
          <w:sz w:val="28"/>
          <w:szCs w:val="28"/>
        </w:rPr>
        <w:t>评价因子</w:t>
      </w:r>
      <w:r>
        <w:rPr>
          <w:rFonts w:eastAsia="仿宋_GB2312"/>
          <w:sz w:val="28"/>
          <w:szCs w:val="28"/>
        </w:rPr>
        <w:t>：</w:t>
      </w:r>
      <w:r>
        <w:rPr>
          <w:rFonts w:hint="eastAsia" w:eastAsia="仿宋_GB2312"/>
          <w:sz w:val="28"/>
          <w:szCs w:val="28"/>
        </w:rPr>
        <w:t>二甲苯。</w:t>
      </w:r>
    </w:p>
    <w:p>
      <w:pPr>
        <w:adjustRightInd w:val="0"/>
        <w:snapToGrid w:val="0"/>
        <w:spacing w:line="500" w:lineRule="exact"/>
        <w:ind w:firstLine="560" w:firstLineChars="200"/>
        <w:rPr>
          <w:rFonts w:eastAsia="仿宋_GB2312"/>
          <w:sz w:val="28"/>
          <w:szCs w:val="28"/>
        </w:rPr>
      </w:pPr>
      <w:r>
        <w:rPr>
          <w:rFonts w:eastAsia="仿宋_GB2312"/>
          <w:sz w:val="28"/>
          <w:szCs w:val="28"/>
        </w:rPr>
        <w:t>（6）固体废物</w:t>
      </w:r>
    </w:p>
    <w:p>
      <w:pPr>
        <w:adjustRightInd w:val="0"/>
        <w:snapToGrid w:val="0"/>
        <w:spacing w:line="500" w:lineRule="exact"/>
        <w:ind w:firstLine="560" w:firstLineChars="200"/>
        <w:rPr>
          <w:rFonts w:eastAsia="仿宋_GB2312"/>
          <w:sz w:val="28"/>
          <w:szCs w:val="28"/>
        </w:rPr>
      </w:pPr>
      <w:r>
        <w:rPr>
          <w:rFonts w:eastAsia="仿宋_GB2312"/>
          <w:sz w:val="28"/>
          <w:szCs w:val="28"/>
        </w:rPr>
        <w:t>总量控制因子：工业固废。</w:t>
      </w:r>
    </w:p>
    <w:p>
      <w:pPr>
        <w:adjustRightInd w:val="0"/>
        <w:snapToGrid w:val="0"/>
        <w:spacing w:line="500" w:lineRule="exact"/>
        <w:ind w:firstLine="560" w:firstLineChars="200"/>
        <w:rPr>
          <w:rFonts w:eastAsia="仿宋_GB2312"/>
          <w:sz w:val="28"/>
          <w:szCs w:val="28"/>
        </w:rPr>
      </w:pPr>
      <w:r>
        <w:rPr>
          <w:rFonts w:eastAsia="仿宋_GB2312"/>
          <w:sz w:val="28"/>
          <w:szCs w:val="28"/>
        </w:rPr>
        <w:t>（7）风险评价</w:t>
      </w:r>
    </w:p>
    <w:p>
      <w:pPr>
        <w:adjustRightInd w:val="0"/>
        <w:snapToGrid w:val="0"/>
        <w:spacing w:line="500" w:lineRule="exact"/>
        <w:ind w:firstLine="560" w:firstLineChars="200"/>
        <w:rPr>
          <w:rFonts w:eastAsia="仿宋_GB2312"/>
          <w:sz w:val="28"/>
          <w:szCs w:val="28"/>
        </w:rPr>
      </w:pPr>
      <w:r>
        <w:rPr>
          <w:rFonts w:eastAsia="仿宋_GB2312"/>
          <w:sz w:val="28"/>
          <w:szCs w:val="28"/>
        </w:rPr>
        <w:t>风险评价因子：</w:t>
      </w:r>
      <w:r>
        <w:rPr>
          <w:rFonts w:hint="eastAsia" w:eastAsia="仿宋_GB2312"/>
          <w:sz w:val="28"/>
          <w:szCs w:val="28"/>
        </w:rPr>
        <w:t>C</w:t>
      </w:r>
      <w:r>
        <w:rPr>
          <w:rFonts w:eastAsia="仿宋_GB2312"/>
          <w:sz w:val="28"/>
          <w:szCs w:val="28"/>
        </w:rPr>
        <w:t>O</w:t>
      </w:r>
      <w:r>
        <w:rPr>
          <w:rFonts w:hint="eastAsia" w:eastAsia="仿宋_GB2312"/>
          <w:sz w:val="28"/>
          <w:szCs w:val="28"/>
        </w:rPr>
        <w:t>、</w:t>
      </w:r>
      <w:r>
        <w:rPr>
          <w:rFonts w:eastAsia="仿宋_GB2312"/>
          <w:sz w:val="28"/>
          <w:szCs w:val="28"/>
        </w:rPr>
        <w:t>二甲苯、乙酸乙酯。</w:t>
      </w:r>
    </w:p>
    <w:bookmarkEnd w:id="82"/>
    <w:bookmarkEnd w:id="83"/>
    <w:bookmarkEnd w:id="84"/>
    <w:bookmarkEnd w:id="85"/>
    <w:bookmarkEnd w:id="86"/>
    <w:bookmarkEnd w:id="87"/>
    <w:bookmarkEnd w:id="88"/>
    <w:bookmarkEnd w:id="89"/>
    <w:bookmarkEnd w:id="90"/>
    <w:bookmarkEnd w:id="91"/>
    <w:bookmarkEnd w:id="92"/>
    <w:bookmarkEnd w:id="93"/>
    <w:bookmarkEnd w:id="94"/>
    <w:p>
      <w:pPr>
        <w:pStyle w:val="5"/>
        <w:keepLines w:val="0"/>
        <w:widowControl/>
        <w:tabs>
          <w:tab w:val="left" w:pos="993"/>
        </w:tabs>
        <w:adjustRightInd w:val="0"/>
        <w:snapToGrid w:val="0"/>
        <w:spacing w:after="120" w:afterLines="50"/>
        <w:jc w:val="left"/>
        <w:rPr>
          <w:rFonts w:ascii="Times New Roman" w:hAnsi="Times New Roman"/>
          <w:b/>
        </w:rPr>
      </w:pPr>
      <w:r>
        <w:rPr>
          <w:rFonts w:hint="eastAsia" w:ascii="Times New Roman" w:hAnsi="Times New Roman"/>
          <w:b/>
        </w:rPr>
        <w:t>2.3.3</w:t>
      </w:r>
      <w:r>
        <w:rPr>
          <w:rFonts w:ascii="Times New Roman" w:hAnsi="Times New Roman"/>
          <w:b/>
        </w:rPr>
        <w:t>环境标准</w:t>
      </w:r>
    </w:p>
    <w:p>
      <w:pPr>
        <w:adjustRightInd w:val="0"/>
        <w:snapToGrid w:val="0"/>
        <w:spacing w:line="500" w:lineRule="exact"/>
        <w:ind w:firstLine="562" w:firstLineChars="200"/>
        <w:rPr>
          <w:rFonts w:eastAsia="仿宋_GB2312"/>
          <w:b/>
          <w:sz w:val="28"/>
          <w:szCs w:val="28"/>
        </w:rPr>
      </w:pPr>
      <w:r>
        <w:rPr>
          <w:rFonts w:eastAsia="仿宋_GB2312"/>
          <w:b/>
          <w:sz w:val="28"/>
          <w:szCs w:val="28"/>
        </w:rPr>
        <w:t>（1）环境空气质量标准</w:t>
      </w:r>
    </w:p>
    <w:p>
      <w:pPr>
        <w:pStyle w:val="150"/>
        <w:ind w:firstLine="560"/>
      </w:pPr>
      <w:r>
        <w:rPr>
          <w:rFonts w:eastAsia="仿宋_GB2312"/>
          <w:sz w:val="28"/>
          <w:szCs w:val="28"/>
        </w:rPr>
        <w:t>环境空气质量标准见表2.3-2。</w:t>
      </w:r>
    </w:p>
    <w:p>
      <w:pPr>
        <w:spacing w:line="500" w:lineRule="exact"/>
        <w:ind w:firstLine="482"/>
        <w:jc w:val="center"/>
        <w:rPr>
          <w:rFonts w:eastAsia="仿宋_GB2312"/>
          <w:b/>
          <w:sz w:val="24"/>
        </w:rPr>
      </w:pPr>
      <w:r>
        <w:rPr>
          <w:rFonts w:eastAsia="仿宋_GB2312"/>
          <w:b/>
          <w:sz w:val="24"/>
        </w:rPr>
        <w:t xml:space="preserve">表2.3-2  环境空气质量评价标准  </w:t>
      </w:r>
    </w:p>
    <w:tbl>
      <w:tblPr>
        <w:tblStyle w:val="8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9"/>
        <w:gridCol w:w="2256"/>
        <w:gridCol w:w="2133"/>
        <w:gridCol w:w="2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评价因子</w:t>
            </w:r>
          </w:p>
        </w:tc>
        <w:tc>
          <w:tcPr>
            <w:tcW w:w="2080"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平均时段</w:t>
            </w:r>
          </w:p>
        </w:tc>
        <w:tc>
          <w:tcPr>
            <w:tcW w:w="1967"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标准值/（μ</w:t>
            </w:r>
            <w:r>
              <w:rPr>
                <w:rFonts w:ascii="仿宋" w:hAnsi="仿宋" w:eastAsia="仿宋" w:cs="仿宋"/>
                <w:bCs/>
                <w:szCs w:val="21"/>
              </w:rPr>
              <w:t>g/m</w:t>
            </w:r>
            <w:r>
              <w:rPr>
                <w:rFonts w:ascii="仿宋" w:hAnsi="仿宋" w:eastAsia="仿宋" w:cs="仿宋"/>
                <w:bCs/>
                <w:szCs w:val="21"/>
                <w:vertAlign w:val="superscript"/>
              </w:rPr>
              <w:t>3</w:t>
            </w:r>
            <w:r>
              <w:rPr>
                <w:rFonts w:hint="eastAsia" w:ascii="仿宋" w:hAnsi="仿宋" w:eastAsia="仿宋" w:cs="仿宋"/>
                <w:bCs/>
                <w:szCs w:val="21"/>
              </w:rPr>
              <w:t>）</w:t>
            </w:r>
          </w:p>
        </w:tc>
        <w:tc>
          <w:tcPr>
            <w:tcW w:w="2345"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标准</w:t>
            </w:r>
            <w:r>
              <w:rPr>
                <w:rFonts w:ascii="仿宋" w:hAnsi="仿宋" w:eastAsia="仿宋" w:cs="仿宋"/>
                <w:bCs/>
                <w:szCs w:val="21"/>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SO</w:t>
            </w:r>
            <w:r>
              <w:rPr>
                <w:rFonts w:ascii="仿宋" w:hAnsi="仿宋" w:eastAsia="仿宋" w:cs="仿宋"/>
                <w:bCs/>
                <w:szCs w:val="21"/>
                <w:vertAlign w:val="subscript"/>
              </w:rPr>
              <w:t>2</w:t>
            </w:r>
          </w:p>
        </w:tc>
        <w:tc>
          <w:tcPr>
            <w:tcW w:w="2080"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年平均</w:t>
            </w:r>
          </w:p>
        </w:tc>
        <w:tc>
          <w:tcPr>
            <w:tcW w:w="1967"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60</w:t>
            </w:r>
          </w:p>
        </w:tc>
        <w:tc>
          <w:tcPr>
            <w:tcW w:w="2345" w:type="dxa"/>
            <w:vMerge w:val="restar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《环境空气质量标准》（GB3095-2012）二级标准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shd w:val="clear" w:color="auto" w:fill="auto"/>
            <w:vAlign w:val="center"/>
          </w:tcPr>
          <w:p>
            <w:pPr>
              <w:spacing w:line="240" w:lineRule="exact"/>
              <w:jc w:val="center"/>
              <w:rPr>
                <w:rFonts w:ascii="仿宋" w:hAnsi="仿宋" w:eastAsia="仿宋" w:cs="仿宋"/>
                <w:bCs/>
                <w:szCs w:val="21"/>
              </w:rPr>
            </w:pPr>
          </w:p>
        </w:tc>
        <w:tc>
          <w:tcPr>
            <w:tcW w:w="2080"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w:t>
            </w:r>
            <w:r>
              <w:rPr>
                <w:rFonts w:ascii="仿宋" w:hAnsi="仿宋" w:eastAsia="仿宋" w:cs="仿宋"/>
                <w:bCs/>
                <w:szCs w:val="21"/>
              </w:rPr>
              <w:t>4</w:t>
            </w:r>
            <w:r>
              <w:rPr>
                <w:rFonts w:hint="eastAsia" w:ascii="仿宋" w:hAnsi="仿宋" w:eastAsia="仿宋" w:cs="仿宋"/>
                <w:bCs/>
                <w:szCs w:val="21"/>
              </w:rPr>
              <w:t>小时</w:t>
            </w:r>
            <w:r>
              <w:rPr>
                <w:rFonts w:ascii="仿宋" w:hAnsi="仿宋" w:eastAsia="仿宋" w:cs="仿宋"/>
                <w:bCs/>
                <w:szCs w:val="21"/>
              </w:rPr>
              <w:t>平均</w:t>
            </w:r>
          </w:p>
        </w:tc>
        <w:tc>
          <w:tcPr>
            <w:tcW w:w="1967" w:type="dxa"/>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150</w:t>
            </w:r>
          </w:p>
        </w:tc>
        <w:tc>
          <w:tcPr>
            <w:tcW w:w="2345" w:type="dxa"/>
            <w:vMerge w:val="continue"/>
            <w:shd w:val="clear" w:color="auto" w:fill="auto"/>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shd w:val="clear" w:color="auto" w:fill="auto"/>
            <w:vAlign w:val="center"/>
          </w:tcPr>
          <w:p>
            <w:pPr>
              <w:spacing w:line="240" w:lineRule="exact"/>
              <w:jc w:val="center"/>
              <w:rPr>
                <w:rFonts w:ascii="仿宋" w:hAnsi="仿宋" w:eastAsia="仿宋" w:cs="仿宋"/>
                <w:bCs/>
                <w:szCs w:val="21"/>
              </w:rPr>
            </w:pPr>
          </w:p>
        </w:tc>
        <w:tc>
          <w:tcPr>
            <w:tcW w:w="2080" w:type="dxa"/>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1小时平均</w:t>
            </w:r>
          </w:p>
        </w:tc>
        <w:tc>
          <w:tcPr>
            <w:tcW w:w="1967" w:type="dxa"/>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500</w:t>
            </w:r>
          </w:p>
        </w:tc>
        <w:tc>
          <w:tcPr>
            <w:tcW w:w="2345" w:type="dxa"/>
            <w:vMerge w:val="continue"/>
            <w:shd w:val="clear" w:color="auto" w:fill="auto"/>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NO</w:t>
            </w:r>
            <w:r>
              <w:rPr>
                <w:rFonts w:ascii="仿宋" w:hAnsi="仿宋" w:eastAsia="仿宋" w:cs="仿宋"/>
                <w:bCs/>
                <w:szCs w:val="21"/>
                <w:vertAlign w:val="subscript"/>
              </w:rPr>
              <w:t>2</w:t>
            </w:r>
          </w:p>
        </w:tc>
        <w:tc>
          <w:tcPr>
            <w:tcW w:w="2080"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年平均</w:t>
            </w:r>
          </w:p>
        </w:tc>
        <w:tc>
          <w:tcPr>
            <w:tcW w:w="1967"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40</w:t>
            </w:r>
          </w:p>
        </w:tc>
        <w:tc>
          <w:tcPr>
            <w:tcW w:w="2345" w:type="dxa"/>
            <w:vMerge w:val="continue"/>
            <w:shd w:val="clear" w:color="auto" w:fill="auto"/>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shd w:val="clear" w:color="auto" w:fill="auto"/>
            <w:vAlign w:val="center"/>
          </w:tcPr>
          <w:p>
            <w:pPr>
              <w:spacing w:line="240" w:lineRule="exact"/>
              <w:jc w:val="center"/>
              <w:rPr>
                <w:rFonts w:ascii="仿宋" w:hAnsi="仿宋" w:eastAsia="仿宋" w:cs="仿宋"/>
                <w:bCs/>
                <w:szCs w:val="21"/>
              </w:rPr>
            </w:pPr>
          </w:p>
        </w:tc>
        <w:tc>
          <w:tcPr>
            <w:tcW w:w="2080"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w:t>
            </w:r>
            <w:r>
              <w:rPr>
                <w:rFonts w:ascii="仿宋" w:hAnsi="仿宋" w:eastAsia="仿宋" w:cs="仿宋"/>
                <w:bCs/>
                <w:szCs w:val="21"/>
              </w:rPr>
              <w:t>4</w:t>
            </w:r>
            <w:r>
              <w:rPr>
                <w:rFonts w:hint="eastAsia" w:ascii="仿宋" w:hAnsi="仿宋" w:eastAsia="仿宋" w:cs="仿宋"/>
                <w:bCs/>
                <w:szCs w:val="21"/>
              </w:rPr>
              <w:t>小时</w:t>
            </w:r>
            <w:r>
              <w:rPr>
                <w:rFonts w:ascii="仿宋" w:hAnsi="仿宋" w:eastAsia="仿宋" w:cs="仿宋"/>
                <w:bCs/>
                <w:szCs w:val="21"/>
              </w:rPr>
              <w:t>平均</w:t>
            </w:r>
          </w:p>
        </w:tc>
        <w:tc>
          <w:tcPr>
            <w:tcW w:w="1967" w:type="dxa"/>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80</w:t>
            </w:r>
          </w:p>
        </w:tc>
        <w:tc>
          <w:tcPr>
            <w:tcW w:w="2345" w:type="dxa"/>
            <w:vMerge w:val="continue"/>
            <w:shd w:val="clear" w:color="auto" w:fill="auto"/>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shd w:val="clear" w:color="auto" w:fill="auto"/>
            <w:vAlign w:val="center"/>
          </w:tcPr>
          <w:p>
            <w:pPr>
              <w:spacing w:line="240" w:lineRule="exact"/>
              <w:jc w:val="center"/>
              <w:rPr>
                <w:rFonts w:ascii="仿宋" w:hAnsi="仿宋" w:eastAsia="仿宋" w:cs="仿宋"/>
                <w:bCs/>
                <w:szCs w:val="21"/>
              </w:rPr>
            </w:pPr>
          </w:p>
        </w:tc>
        <w:tc>
          <w:tcPr>
            <w:tcW w:w="2080" w:type="dxa"/>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1小时平均</w:t>
            </w:r>
          </w:p>
        </w:tc>
        <w:tc>
          <w:tcPr>
            <w:tcW w:w="1967" w:type="dxa"/>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200</w:t>
            </w:r>
          </w:p>
        </w:tc>
        <w:tc>
          <w:tcPr>
            <w:tcW w:w="2345" w:type="dxa"/>
            <w:vMerge w:val="continue"/>
            <w:shd w:val="clear" w:color="auto" w:fill="auto"/>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NO</w:t>
            </w:r>
            <w:r>
              <w:rPr>
                <w:rFonts w:ascii="仿宋" w:hAnsi="仿宋" w:eastAsia="仿宋" w:cs="仿宋"/>
                <w:bCs/>
                <w:szCs w:val="21"/>
                <w:vertAlign w:val="subscript"/>
              </w:rPr>
              <w:t>X</w:t>
            </w:r>
          </w:p>
        </w:tc>
        <w:tc>
          <w:tcPr>
            <w:tcW w:w="2080"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年平均</w:t>
            </w:r>
          </w:p>
        </w:tc>
        <w:tc>
          <w:tcPr>
            <w:tcW w:w="1967"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50</w:t>
            </w:r>
          </w:p>
        </w:tc>
        <w:tc>
          <w:tcPr>
            <w:tcW w:w="2345" w:type="dxa"/>
            <w:vMerge w:val="continue"/>
            <w:shd w:val="clear" w:color="auto" w:fill="auto"/>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shd w:val="clear" w:color="auto" w:fill="auto"/>
            <w:vAlign w:val="center"/>
          </w:tcPr>
          <w:p>
            <w:pPr>
              <w:spacing w:line="240" w:lineRule="exact"/>
              <w:jc w:val="center"/>
              <w:rPr>
                <w:rFonts w:ascii="仿宋" w:hAnsi="仿宋" w:eastAsia="仿宋" w:cs="仿宋"/>
                <w:bCs/>
                <w:szCs w:val="21"/>
              </w:rPr>
            </w:pPr>
          </w:p>
        </w:tc>
        <w:tc>
          <w:tcPr>
            <w:tcW w:w="2080"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w:t>
            </w:r>
            <w:r>
              <w:rPr>
                <w:rFonts w:ascii="仿宋" w:hAnsi="仿宋" w:eastAsia="仿宋" w:cs="仿宋"/>
                <w:bCs/>
                <w:szCs w:val="21"/>
              </w:rPr>
              <w:t>4</w:t>
            </w:r>
            <w:r>
              <w:rPr>
                <w:rFonts w:hint="eastAsia" w:ascii="仿宋" w:hAnsi="仿宋" w:eastAsia="仿宋" w:cs="仿宋"/>
                <w:bCs/>
                <w:szCs w:val="21"/>
              </w:rPr>
              <w:t>小时</w:t>
            </w:r>
            <w:r>
              <w:rPr>
                <w:rFonts w:ascii="仿宋" w:hAnsi="仿宋" w:eastAsia="仿宋" w:cs="仿宋"/>
                <w:bCs/>
                <w:szCs w:val="21"/>
              </w:rPr>
              <w:t>平均</w:t>
            </w:r>
          </w:p>
        </w:tc>
        <w:tc>
          <w:tcPr>
            <w:tcW w:w="1967"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100</w:t>
            </w:r>
          </w:p>
        </w:tc>
        <w:tc>
          <w:tcPr>
            <w:tcW w:w="2345" w:type="dxa"/>
            <w:vMerge w:val="continue"/>
            <w:shd w:val="clear" w:color="auto" w:fill="auto"/>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shd w:val="clear" w:color="auto" w:fill="auto"/>
            <w:vAlign w:val="center"/>
          </w:tcPr>
          <w:p>
            <w:pPr>
              <w:spacing w:line="240" w:lineRule="exact"/>
              <w:jc w:val="center"/>
              <w:rPr>
                <w:rFonts w:ascii="仿宋" w:hAnsi="仿宋" w:eastAsia="仿宋" w:cs="仿宋"/>
                <w:bCs/>
                <w:szCs w:val="21"/>
              </w:rPr>
            </w:pPr>
          </w:p>
        </w:tc>
        <w:tc>
          <w:tcPr>
            <w:tcW w:w="2080" w:type="dxa"/>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1小时平均</w:t>
            </w:r>
          </w:p>
        </w:tc>
        <w:tc>
          <w:tcPr>
            <w:tcW w:w="1967"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250</w:t>
            </w:r>
          </w:p>
        </w:tc>
        <w:tc>
          <w:tcPr>
            <w:tcW w:w="2345" w:type="dxa"/>
            <w:vMerge w:val="continue"/>
            <w:shd w:val="clear" w:color="auto" w:fill="auto"/>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PM</w:t>
            </w:r>
            <w:r>
              <w:rPr>
                <w:rFonts w:ascii="仿宋" w:hAnsi="仿宋" w:eastAsia="仿宋" w:cs="仿宋"/>
                <w:bCs/>
                <w:szCs w:val="21"/>
                <w:vertAlign w:val="subscript"/>
              </w:rPr>
              <w:t>10</w:t>
            </w:r>
          </w:p>
        </w:tc>
        <w:tc>
          <w:tcPr>
            <w:tcW w:w="2080"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年平均</w:t>
            </w:r>
          </w:p>
        </w:tc>
        <w:tc>
          <w:tcPr>
            <w:tcW w:w="1967"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70</w:t>
            </w:r>
          </w:p>
        </w:tc>
        <w:tc>
          <w:tcPr>
            <w:tcW w:w="2345" w:type="dxa"/>
            <w:vMerge w:val="continue"/>
            <w:shd w:val="clear" w:color="auto" w:fill="auto"/>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shd w:val="clear" w:color="auto" w:fill="auto"/>
            <w:vAlign w:val="center"/>
          </w:tcPr>
          <w:p>
            <w:pPr>
              <w:spacing w:line="240" w:lineRule="exact"/>
              <w:jc w:val="center"/>
              <w:rPr>
                <w:rFonts w:ascii="仿宋" w:hAnsi="仿宋" w:eastAsia="仿宋" w:cs="仿宋"/>
                <w:bCs/>
                <w:szCs w:val="21"/>
              </w:rPr>
            </w:pPr>
          </w:p>
        </w:tc>
        <w:tc>
          <w:tcPr>
            <w:tcW w:w="2080"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w:t>
            </w:r>
            <w:r>
              <w:rPr>
                <w:rFonts w:ascii="仿宋" w:hAnsi="仿宋" w:eastAsia="仿宋" w:cs="仿宋"/>
                <w:bCs/>
                <w:szCs w:val="21"/>
              </w:rPr>
              <w:t>4</w:t>
            </w:r>
            <w:r>
              <w:rPr>
                <w:rFonts w:hint="eastAsia" w:ascii="仿宋" w:hAnsi="仿宋" w:eastAsia="仿宋" w:cs="仿宋"/>
                <w:bCs/>
                <w:szCs w:val="21"/>
              </w:rPr>
              <w:t>小时</w:t>
            </w:r>
            <w:r>
              <w:rPr>
                <w:rFonts w:ascii="仿宋" w:hAnsi="仿宋" w:eastAsia="仿宋" w:cs="仿宋"/>
                <w:bCs/>
                <w:szCs w:val="21"/>
              </w:rPr>
              <w:t>平均</w:t>
            </w:r>
          </w:p>
        </w:tc>
        <w:tc>
          <w:tcPr>
            <w:tcW w:w="1967" w:type="dxa"/>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150</w:t>
            </w:r>
          </w:p>
        </w:tc>
        <w:tc>
          <w:tcPr>
            <w:tcW w:w="2345" w:type="dxa"/>
            <w:vMerge w:val="continue"/>
            <w:shd w:val="clear" w:color="auto" w:fill="auto"/>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PM</w:t>
            </w:r>
            <w:r>
              <w:rPr>
                <w:rFonts w:ascii="仿宋" w:hAnsi="仿宋" w:eastAsia="仿宋" w:cs="仿宋"/>
                <w:bCs/>
                <w:szCs w:val="21"/>
                <w:vertAlign w:val="subscript"/>
              </w:rPr>
              <w:t>2.5</w:t>
            </w:r>
          </w:p>
        </w:tc>
        <w:tc>
          <w:tcPr>
            <w:tcW w:w="2080"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年平均</w:t>
            </w:r>
          </w:p>
        </w:tc>
        <w:tc>
          <w:tcPr>
            <w:tcW w:w="1967"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35</w:t>
            </w:r>
          </w:p>
        </w:tc>
        <w:tc>
          <w:tcPr>
            <w:tcW w:w="2345" w:type="dxa"/>
            <w:vMerge w:val="continue"/>
            <w:shd w:val="clear" w:color="auto" w:fill="auto"/>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shd w:val="clear" w:color="auto" w:fill="auto"/>
            <w:vAlign w:val="center"/>
          </w:tcPr>
          <w:p>
            <w:pPr>
              <w:spacing w:line="240" w:lineRule="exact"/>
              <w:jc w:val="center"/>
              <w:rPr>
                <w:rFonts w:ascii="仿宋" w:hAnsi="仿宋" w:eastAsia="仿宋" w:cs="仿宋"/>
                <w:bCs/>
                <w:szCs w:val="21"/>
              </w:rPr>
            </w:pPr>
          </w:p>
        </w:tc>
        <w:tc>
          <w:tcPr>
            <w:tcW w:w="2080"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w:t>
            </w:r>
            <w:r>
              <w:rPr>
                <w:rFonts w:ascii="仿宋" w:hAnsi="仿宋" w:eastAsia="仿宋" w:cs="仿宋"/>
                <w:bCs/>
                <w:szCs w:val="21"/>
              </w:rPr>
              <w:t>4</w:t>
            </w:r>
            <w:r>
              <w:rPr>
                <w:rFonts w:hint="eastAsia" w:ascii="仿宋" w:hAnsi="仿宋" w:eastAsia="仿宋" w:cs="仿宋"/>
                <w:bCs/>
                <w:szCs w:val="21"/>
              </w:rPr>
              <w:t>小时</w:t>
            </w:r>
            <w:r>
              <w:rPr>
                <w:rFonts w:ascii="仿宋" w:hAnsi="仿宋" w:eastAsia="仿宋" w:cs="仿宋"/>
                <w:bCs/>
                <w:szCs w:val="21"/>
              </w:rPr>
              <w:t>平均</w:t>
            </w:r>
          </w:p>
        </w:tc>
        <w:tc>
          <w:tcPr>
            <w:tcW w:w="1967"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75</w:t>
            </w:r>
          </w:p>
        </w:tc>
        <w:tc>
          <w:tcPr>
            <w:tcW w:w="2345" w:type="dxa"/>
            <w:vMerge w:val="continue"/>
            <w:shd w:val="clear" w:color="auto" w:fill="auto"/>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TSP</w:t>
            </w:r>
          </w:p>
        </w:tc>
        <w:tc>
          <w:tcPr>
            <w:tcW w:w="2080"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年平均</w:t>
            </w:r>
          </w:p>
        </w:tc>
        <w:tc>
          <w:tcPr>
            <w:tcW w:w="1967"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200</w:t>
            </w:r>
          </w:p>
        </w:tc>
        <w:tc>
          <w:tcPr>
            <w:tcW w:w="2345" w:type="dxa"/>
            <w:vMerge w:val="continue"/>
            <w:shd w:val="clear" w:color="auto" w:fill="auto"/>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shd w:val="clear" w:color="auto" w:fill="auto"/>
            <w:vAlign w:val="center"/>
          </w:tcPr>
          <w:p>
            <w:pPr>
              <w:spacing w:line="240" w:lineRule="exact"/>
              <w:jc w:val="center"/>
              <w:rPr>
                <w:rFonts w:ascii="仿宋" w:hAnsi="仿宋" w:eastAsia="仿宋" w:cs="仿宋"/>
                <w:bCs/>
                <w:szCs w:val="21"/>
              </w:rPr>
            </w:pPr>
          </w:p>
        </w:tc>
        <w:tc>
          <w:tcPr>
            <w:tcW w:w="2080"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w:t>
            </w:r>
            <w:r>
              <w:rPr>
                <w:rFonts w:ascii="仿宋" w:hAnsi="仿宋" w:eastAsia="仿宋" w:cs="仿宋"/>
                <w:bCs/>
                <w:szCs w:val="21"/>
              </w:rPr>
              <w:t>4</w:t>
            </w:r>
            <w:r>
              <w:rPr>
                <w:rFonts w:hint="eastAsia" w:ascii="仿宋" w:hAnsi="仿宋" w:eastAsia="仿宋" w:cs="仿宋"/>
                <w:bCs/>
                <w:szCs w:val="21"/>
              </w:rPr>
              <w:t>小时</w:t>
            </w:r>
            <w:r>
              <w:rPr>
                <w:rFonts w:ascii="仿宋" w:hAnsi="仿宋" w:eastAsia="仿宋" w:cs="仿宋"/>
                <w:bCs/>
                <w:szCs w:val="21"/>
              </w:rPr>
              <w:t>平均</w:t>
            </w:r>
          </w:p>
        </w:tc>
        <w:tc>
          <w:tcPr>
            <w:tcW w:w="1967" w:type="dxa"/>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300</w:t>
            </w:r>
          </w:p>
        </w:tc>
        <w:tc>
          <w:tcPr>
            <w:tcW w:w="2345" w:type="dxa"/>
            <w:vMerge w:val="continue"/>
            <w:shd w:val="clear" w:color="auto" w:fill="auto"/>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CO</w:t>
            </w:r>
          </w:p>
        </w:tc>
        <w:tc>
          <w:tcPr>
            <w:tcW w:w="2080"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w:t>
            </w:r>
            <w:r>
              <w:rPr>
                <w:rFonts w:ascii="仿宋" w:hAnsi="仿宋" w:eastAsia="仿宋" w:cs="仿宋"/>
                <w:bCs/>
                <w:szCs w:val="21"/>
              </w:rPr>
              <w:t>4</w:t>
            </w:r>
            <w:r>
              <w:rPr>
                <w:rFonts w:hint="eastAsia" w:ascii="仿宋" w:hAnsi="仿宋" w:eastAsia="仿宋" w:cs="仿宋"/>
                <w:bCs/>
                <w:szCs w:val="21"/>
              </w:rPr>
              <w:t>小时</w:t>
            </w:r>
            <w:r>
              <w:rPr>
                <w:rFonts w:ascii="仿宋" w:hAnsi="仿宋" w:eastAsia="仿宋" w:cs="仿宋"/>
                <w:bCs/>
                <w:szCs w:val="21"/>
              </w:rPr>
              <w:t>平均</w:t>
            </w:r>
          </w:p>
        </w:tc>
        <w:tc>
          <w:tcPr>
            <w:tcW w:w="1967"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4000</w:t>
            </w:r>
          </w:p>
        </w:tc>
        <w:tc>
          <w:tcPr>
            <w:tcW w:w="2345" w:type="dxa"/>
            <w:vMerge w:val="continue"/>
            <w:shd w:val="clear" w:color="auto" w:fill="auto"/>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shd w:val="clear" w:color="auto" w:fill="auto"/>
            <w:vAlign w:val="center"/>
          </w:tcPr>
          <w:p>
            <w:pPr>
              <w:spacing w:line="240" w:lineRule="exact"/>
              <w:jc w:val="center"/>
              <w:rPr>
                <w:rFonts w:ascii="仿宋" w:hAnsi="仿宋" w:eastAsia="仿宋" w:cs="仿宋"/>
                <w:bCs/>
                <w:szCs w:val="21"/>
              </w:rPr>
            </w:pPr>
          </w:p>
        </w:tc>
        <w:tc>
          <w:tcPr>
            <w:tcW w:w="2080"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1小时</w:t>
            </w:r>
            <w:r>
              <w:rPr>
                <w:rFonts w:ascii="仿宋" w:hAnsi="仿宋" w:eastAsia="仿宋" w:cs="仿宋"/>
                <w:bCs/>
                <w:szCs w:val="21"/>
              </w:rPr>
              <w:t>平均</w:t>
            </w:r>
          </w:p>
        </w:tc>
        <w:tc>
          <w:tcPr>
            <w:tcW w:w="1967"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10000</w:t>
            </w:r>
          </w:p>
        </w:tc>
        <w:tc>
          <w:tcPr>
            <w:tcW w:w="2345" w:type="dxa"/>
            <w:vMerge w:val="continue"/>
            <w:shd w:val="clear" w:color="auto" w:fill="auto"/>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O</w:t>
            </w:r>
            <w:r>
              <w:rPr>
                <w:rFonts w:ascii="仿宋" w:hAnsi="仿宋" w:eastAsia="仿宋" w:cs="仿宋"/>
                <w:bCs/>
                <w:szCs w:val="21"/>
                <w:vertAlign w:val="subscript"/>
              </w:rPr>
              <w:t>3</w:t>
            </w:r>
          </w:p>
        </w:tc>
        <w:tc>
          <w:tcPr>
            <w:tcW w:w="2080"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日最大8小时</w:t>
            </w:r>
            <w:r>
              <w:rPr>
                <w:rFonts w:ascii="仿宋" w:hAnsi="仿宋" w:eastAsia="仿宋" w:cs="仿宋"/>
                <w:bCs/>
                <w:szCs w:val="21"/>
              </w:rPr>
              <w:t>平均</w:t>
            </w:r>
          </w:p>
        </w:tc>
        <w:tc>
          <w:tcPr>
            <w:tcW w:w="1967"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160</w:t>
            </w:r>
          </w:p>
        </w:tc>
        <w:tc>
          <w:tcPr>
            <w:tcW w:w="2345" w:type="dxa"/>
            <w:vMerge w:val="continue"/>
            <w:shd w:val="clear" w:color="auto" w:fill="auto"/>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2130" w:type="dxa"/>
            <w:vMerge w:val="continue"/>
            <w:shd w:val="clear" w:color="auto" w:fill="auto"/>
            <w:vAlign w:val="center"/>
          </w:tcPr>
          <w:p>
            <w:pPr>
              <w:spacing w:line="240" w:lineRule="exact"/>
              <w:jc w:val="center"/>
              <w:rPr>
                <w:rFonts w:ascii="仿宋" w:hAnsi="仿宋" w:eastAsia="仿宋" w:cs="仿宋"/>
                <w:bCs/>
                <w:szCs w:val="21"/>
              </w:rPr>
            </w:pPr>
          </w:p>
        </w:tc>
        <w:tc>
          <w:tcPr>
            <w:tcW w:w="2080"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1小时</w:t>
            </w:r>
            <w:r>
              <w:rPr>
                <w:rFonts w:ascii="仿宋" w:hAnsi="仿宋" w:eastAsia="仿宋" w:cs="仿宋"/>
                <w:bCs/>
                <w:szCs w:val="21"/>
              </w:rPr>
              <w:t>平均</w:t>
            </w:r>
          </w:p>
        </w:tc>
        <w:tc>
          <w:tcPr>
            <w:tcW w:w="1967"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200</w:t>
            </w:r>
          </w:p>
        </w:tc>
        <w:tc>
          <w:tcPr>
            <w:tcW w:w="2345" w:type="dxa"/>
            <w:vMerge w:val="continue"/>
            <w:shd w:val="clear" w:color="auto" w:fill="auto"/>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2130"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二甲苯</w:t>
            </w:r>
          </w:p>
        </w:tc>
        <w:tc>
          <w:tcPr>
            <w:tcW w:w="2080"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1小时</w:t>
            </w:r>
            <w:r>
              <w:rPr>
                <w:rFonts w:ascii="仿宋" w:hAnsi="仿宋" w:eastAsia="仿宋" w:cs="仿宋"/>
                <w:bCs/>
                <w:szCs w:val="21"/>
              </w:rPr>
              <w:t>平均</w:t>
            </w:r>
          </w:p>
        </w:tc>
        <w:tc>
          <w:tcPr>
            <w:tcW w:w="1967"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200</w:t>
            </w:r>
          </w:p>
        </w:tc>
        <w:tc>
          <w:tcPr>
            <w:tcW w:w="2345"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《环境影响评价技术导则 大气环境》（HJ2.2-2018）附录D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2130"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乙酸乙酯</w:t>
            </w:r>
          </w:p>
        </w:tc>
        <w:tc>
          <w:tcPr>
            <w:tcW w:w="2080"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一次值</w:t>
            </w:r>
          </w:p>
        </w:tc>
        <w:tc>
          <w:tcPr>
            <w:tcW w:w="1967"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w:t>
            </w:r>
            <w:r>
              <w:rPr>
                <w:rFonts w:ascii="仿宋" w:hAnsi="仿宋" w:eastAsia="仿宋" w:cs="仿宋"/>
                <w:bCs/>
                <w:szCs w:val="21"/>
              </w:rPr>
              <w:t>00</w:t>
            </w:r>
          </w:p>
        </w:tc>
        <w:tc>
          <w:tcPr>
            <w:tcW w:w="2345" w:type="dxa"/>
            <w:shd w:val="clear" w:color="auto" w:fill="auto"/>
            <w:vAlign w:val="center"/>
          </w:tcPr>
          <w:p>
            <w:pPr>
              <w:jc w:val="center"/>
              <w:rPr>
                <w:rFonts w:ascii="仿宋" w:hAnsi="仿宋" w:eastAsia="仿宋" w:cs="仿宋"/>
                <w:bCs/>
                <w:szCs w:val="21"/>
              </w:rPr>
            </w:pPr>
            <w:r>
              <w:rPr>
                <w:rFonts w:hint="eastAsia" w:ascii="仿宋" w:hAnsi="仿宋" w:eastAsia="仿宋" w:cs="仿宋"/>
                <w:bCs/>
                <w:szCs w:val="21"/>
              </w:rPr>
              <w:t>苏联居民区大气中有害物质的最大允许浓度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2130"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非甲烷</w:t>
            </w:r>
            <w:r>
              <w:rPr>
                <w:rFonts w:ascii="仿宋" w:hAnsi="仿宋" w:eastAsia="仿宋" w:cs="仿宋"/>
                <w:bCs/>
                <w:szCs w:val="21"/>
              </w:rPr>
              <w:t>总烃</w:t>
            </w:r>
          </w:p>
        </w:tc>
        <w:tc>
          <w:tcPr>
            <w:tcW w:w="2080"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一次值</w:t>
            </w:r>
          </w:p>
        </w:tc>
        <w:tc>
          <w:tcPr>
            <w:tcW w:w="1967"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2000</w:t>
            </w:r>
          </w:p>
        </w:tc>
        <w:tc>
          <w:tcPr>
            <w:tcW w:w="2345" w:type="dxa"/>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《大气污染物综合排放标准详解》选用标准</w:t>
            </w:r>
          </w:p>
        </w:tc>
      </w:tr>
    </w:tbl>
    <w:p>
      <w:pPr>
        <w:adjustRightInd w:val="0"/>
        <w:snapToGrid w:val="0"/>
        <w:spacing w:line="500" w:lineRule="exact"/>
        <w:ind w:firstLine="562" w:firstLineChars="200"/>
        <w:rPr>
          <w:rFonts w:eastAsia="仿宋_GB2312"/>
          <w:b/>
          <w:sz w:val="28"/>
          <w:szCs w:val="28"/>
        </w:rPr>
      </w:pPr>
      <w:r>
        <w:rPr>
          <w:rFonts w:eastAsia="仿宋_GB2312"/>
          <w:b/>
          <w:sz w:val="28"/>
          <w:szCs w:val="28"/>
        </w:rPr>
        <w:t>（2）地表水环境质量标准</w:t>
      </w:r>
    </w:p>
    <w:p>
      <w:pPr>
        <w:pStyle w:val="20"/>
        <w:adjustRightInd w:val="0"/>
        <w:snapToGrid w:val="0"/>
        <w:spacing w:line="500" w:lineRule="exact"/>
        <w:ind w:firstLine="560"/>
        <w:rPr>
          <w:rFonts w:eastAsia="仿宋_GB2312" w:cs="宋体"/>
          <w:sz w:val="28"/>
          <w:szCs w:val="28"/>
        </w:rPr>
      </w:pPr>
      <w:bookmarkStart w:id="109" w:name="_Ref278708309"/>
      <w:r>
        <w:rPr>
          <w:rFonts w:hint="eastAsia" w:eastAsia="仿宋_GB2312" w:cs="宋体"/>
          <w:sz w:val="28"/>
          <w:szCs w:val="28"/>
        </w:rPr>
        <w:t>尧塘河</w:t>
      </w:r>
      <w:r>
        <w:rPr>
          <w:rFonts w:eastAsia="仿宋_GB2312" w:cs="宋体"/>
          <w:sz w:val="28"/>
          <w:szCs w:val="28"/>
        </w:rPr>
        <w:t>水</w:t>
      </w:r>
      <w:r>
        <w:rPr>
          <w:rFonts w:hint="eastAsia" w:eastAsia="仿宋_GB2312" w:cs="宋体"/>
          <w:sz w:val="28"/>
          <w:szCs w:val="28"/>
        </w:rPr>
        <w:t>质执行《地表水环境质量标准》（GB3838-2002）中Ⅲ类水标准，具体标准值见下表。</w:t>
      </w:r>
    </w:p>
    <w:p>
      <w:pPr>
        <w:spacing w:line="500" w:lineRule="exact"/>
        <w:ind w:firstLine="482"/>
        <w:jc w:val="center"/>
        <w:rPr>
          <w:rFonts w:eastAsia="仿宋_GB2312"/>
          <w:b/>
          <w:sz w:val="24"/>
        </w:rPr>
      </w:pPr>
      <w:r>
        <w:rPr>
          <w:rFonts w:eastAsia="仿宋_GB2312"/>
          <w:b/>
          <w:sz w:val="24"/>
        </w:rPr>
        <w:t>表</w:t>
      </w:r>
      <w:bookmarkEnd w:id="109"/>
      <w:r>
        <w:rPr>
          <w:rFonts w:eastAsia="仿宋_GB2312"/>
          <w:b/>
          <w:sz w:val="24"/>
        </w:rPr>
        <w:t>2.3-3  地表水环境质量评价标准</w:t>
      </w:r>
    </w:p>
    <w:tbl>
      <w:tblPr>
        <w:tblStyle w:val="87"/>
        <w:tblW w:w="497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44"/>
        <w:gridCol w:w="2646"/>
        <w:gridCol w:w="3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38"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污染物名称</w:t>
            </w:r>
          </w:p>
        </w:tc>
        <w:tc>
          <w:tcPr>
            <w:tcW w:w="1439" w:type="pc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Ⅲ</w:t>
            </w:r>
            <w:r>
              <w:rPr>
                <w:rFonts w:ascii="仿宋" w:hAnsi="仿宋" w:eastAsia="仿宋" w:cs="仿宋"/>
                <w:bCs/>
                <w:szCs w:val="21"/>
              </w:rPr>
              <w:t>类标准值（mg/L）</w:t>
            </w:r>
          </w:p>
        </w:tc>
        <w:tc>
          <w:tcPr>
            <w:tcW w:w="2123"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38"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pH</w:t>
            </w:r>
          </w:p>
        </w:tc>
        <w:tc>
          <w:tcPr>
            <w:tcW w:w="1439" w:type="pc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6~9</w:t>
            </w:r>
            <w:r>
              <w:rPr>
                <w:rFonts w:ascii="仿宋" w:hAnsi="仿宋" w:eastAsia="仿宋" w:cs="仿宋"/>
                <w:bCs/>
                <w:szCs w:val="21"/>
              </w:rPr>
              <w:t>(</w:t>
            </w:r>
            <w:r>
              <w:rPr>
                <w:rFonts w:hint="eastAsia" w:ascii="仿宋" w:hAnsi="仿宋" w:eastAsia="仿宋" w:cs="仿宋"/>
                <w:bCs/>
                <w:szCs w:val="21"/>
              </w:rPr>
              <w:t>无量纲</w:t>
            </w:r>
            <w:r>
              <w:rPr>
                <w:rFonts w:ascii="仿宋" w:hAnsi="仿宋" w:eastAsia="仿宋" w:cs="仿宋"/>
                <w:bCs/>
                <w:szCs w:val="21"/>
              </w:rPr>
              <w:t>)</w:t>
            </w:r>
          </w:p>
        </w:tc>
        <w:tc>
          <w:tcPr>
            <w:tcW w:w="2123" w:type="pct"/>
            <w:vMerge w:val="restar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《地表水环境质量标准》(GB3838-2002)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438"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COD</w:t>
            </w:r>
          </w:p>
        </w:tc>
        <w:tc>
          <w:tcPr>
            <w:tcW w:w="1439" w:type="pc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20</w:t>
            </w:r>
          </w:p>
        </w:tc>
        <w:tc>
          <w:tcPr>
            <w:tcW w:w="2123" w:type="pct"/>
            <w:vMerge w:val="continue"/>
            <w:shd w:val="clear" w:color="auto" w:fill="auto"/>
            <w:vAlign w:val="center"/>
          </w:tcPr>
          <w:p>
            <w:pPr>
              <w:snapToGrid w:val="0"/>
              <w:jc w:val="center"/>
              <w:rPr>
                <w:rFonts w:ascii="仿宋" w:hAnsi="仿宋" w:eastAsia="仿宋"/>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38"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NH</w:t>
            </w:r>
            <w:r>
              <w:rPr>
                <w:rFonts w:ascii="仿宋" w:hAnsi="仿宋" w:eastAsia="仿宋" w:cs="仿宋"/>
                <w:bCs/>
                <w:szCs w:val="21"/>
                <w:vertAlign w:val="subscript"/>
              </w:rPr>
              <w:t>3</w:t>
            </w:r>
            <w:r>
              <w:rPr>
                <w:rFonts w:ascii="仿宋" w:hAnsi="仿宋" w:eastAsia="仿宋" w:cs="仿宋"/>
                <w:bCs/>
                <w:szCs w:val="21"/>
              </w:rPr>
              <w:t>-N</w:t>
            </w:r>
          </w:p>
        </w:tc>
        <w:tc>
          <w:tcPr>
            <w:tcW w:w="1439" w:type="pc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1.0</w:t>
            </w:r>
          </w:p>
        </w:tc>
        <w:tc>
          <w:tcPr>
            <w:tcW w:w="2123" w:type="pct"/>
            <w:vMerge w:val="continue"/>
            <w:shd w:val="clear" w:color="auto" w:fill="auto"/>
            <w:vAlign w:val="center"/>
          </w:tcPr>
          <w:p>
            <w:pPr>
              <w:snapToGrid w:val="0"/>
              <w:jc w:val="center"/>
              <w:rPr>
                <w:rFonts w:ascii="仿宋" w:hAnsi="仿宋" w:eastAsia="仿宋"/>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38"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TN</w:t>
            </w:r>
          </w:p>
        </w:tc>
        <w:tc>
          <w:tcPr>
            <w:tcW w:w="1439" w:type="pc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1.0</w:t>
            </w:r>
          </w:p>
        </w:tc>
        <w:tc>
          <w:tcPr>
            <w:tcW w:w="2123" w:type="pct"/>
            <w:vMerge w:val="continue"/>
            <w:shd w:val="clear" w:color="auto" w:fill="auto"/>
            <w:vAlign w:val="center"/>
          </w:tcPr>
          <w:p>
            <w:pPr>
              <w:snapToGrid w:val="0"/>
              <w:jc w:val="center"/>
              <w:rPr>
                <w:rFonts w:ascii="仿宋" w:hAnsi="仿宋" w:eastAsia="仿宋"/>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38"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TP</w:t>
            </w:r>
          </w:p>
        </w:tc>
        <w:tc>
          <w:tcPr>
            <w:tcW w:w="1439" w:type="pc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0.2</w:t>
            </w:r>
          </w:p>
        </w:tc>
        <w:tc>
          <w:tcPr>
            <w:tcW w:w="2123" w:type="pct"/>
            <w:vMerge w:val="continue"/>
            <w:shd w:val="clear" w:color="auto" w:fill="auto"/>
            <w:vAlign w:val="center"/>
          </w:tcPr>
          <w:p>
            <w:pPr>
              <w:snapToGrid w:val="0"/>
              <w:jc w:val="center"/>
              <w:rPr>
                <w:rFonts w:ascii="仿宋" w:hAnsi="仿宋" w:eastAsia="仿宋"/>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38"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石油类</w:t>
            </w:r>
          </w:p>
        </w:tc>
        <w:tc>
          <w:tcPr>
            <w:tcW w:w="1438" w:type="pc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0.05</w:t>
            </w:r>
          </w:p>
        </w:tc>
        <w:tc>
          <w:tcPr>
            <w:tcW w:w="2123" w:type="pct"/>
            <w:vMerge w:val="continue"/>
            <w:shd w:val="clear" w:color="auto" w:fill="auto"/>
            <w:vAlign w:val="center"/>
          </w:tcPr>
          <w:p>
            <w:pPr>
              <w:snapToGrid w:val="0"/>
              <w:jc w:val="center"/>
              <w:rPr>
                <w:rFonts w:ascii="仿宋" w:hAnsi="仿宋" w:eastAsia="仿宋"/>
                <w:kern w:val="0"/>
              </w:rPr>
            </w:pPr>
          </w:p>
        </w:tc>
      </w:tr>
    </w:tbl>
    <w:p>
      <w:pPr>
        <w:pStyle w:val="20"/>
        <w:ind w:firstLine="422"/>
        <w:rPr>
          <w:rFonts w:eastAsia="仿宋_GB2312"/>
          <w:b/>
        </w:rPr>
      </w:pPr>
      <w:r>
        <w:rPr>
          <w:rFonts w:eastAsia="仿宋_GB2312"/>
          <w:b/>
        </w:rPr>
        <w:t>注：pH无量纲。</w:t>
      </w:r>
    </w:p>
    <w:p>
      <w:pPr>
        <w:adjustRightInd w:val="0"/>
        <w:snapToGrid w:val="0"/>
        <w:spacing w:line="500" w:lineRule="exact"/>
        <w:ind w:firstLine="562" w:firstLineChars="200"/>
        <w:rPr>
          <w:rFonts w:eastAsia="仿宋_GB2312"/>
          <w:b/>
          <w:sz w:val="28"/>
          <w:szCs w:val="28"/>
        </w:rPr>
      </w:pPr>
      <w:r>
        <w:rPr>
          <w:rFonts w:eastAsia="仿宋_GB2312"/>
          <w:b/>
          <w:sz w:val="28"/>
          <w:szCs w:val="28"/>
        </w:rPr>
        <w:t>（3）地下水及</w:t>
      </w:r>
      <w:bookmarkStart w:id="110" w:name="_Toc78968731"/>
      <w:r>
        <w:rPr>
          <w:rFonts w:eastAsia="仿宋_GB2312"/>
          <w:b/>
          <w:sz w:val="28"/>
          <w:szCs w:val="28"/>
        </w:rPr>
        <w:t>土壤环境质量标准</w:t>
      </w:r>
      <w:bookmarkEnd w:id="110"/>
    </w:p>
    <w:p>
      <w:pPr>
        <w:pStyle w:val="20"/>
        <w:adjustRightInd w:val="0"/>
        <w:snapToGrid w:val="0"/>
        <w:spacing w:line="500" w:lineRule="exact"/>
        <w:ind w:firstLine="560"/>
        <w:rPr>
          <w:rFonts w:eastAsia="仿宋_GB2312"/>
          <w:sz w:val="28"/>
          <w:szCs w:val="28"/>
        </w:rPr>
      </w:pPr>
      <w:r>
        <w:rPr>
          <w:rFonts w:hint="eastAsia" w:eastAsia="仿宋_GB2312" w:cs="宋体"/>
          <w:sz w:val="28"/>
          <w:szCs w:val="28"/>
        </w:rPr>
        <w:t>①</w:t>
      </w:r>
      <w:r>
        <w:rPr>
          <w:rFonts w:eastAsia="仿宋_GB2312"/>
          <w:sz w:val="28"/>
          <w:szCs w:val="28"/>
        </w:rPr>
        <w:t>地下水环境质量标准</w:t>
      </w:r>
    </w:p>
    <w:p>
      <w:pPr>
        <w:adjustRightInd w:val="0"/>
        <w:snapToGrid w:val="0"/>
        <w:spacing w:line="500" w:lineRule="exact"/>
        <w:ind w:firstLine="560" w:firstLineChars="200"/>
        <w:rPr>
          <w:rFonts w:eastAsia="仿宋_GB2312"/>
          <w:b/>
          <w:sz w:val="24"/>
        </w:rPr>
      </w:pPr>
      <w:r>
        <w:rPr>
          <w:rFonts w:eastAsia="仿宋_GB2312"/>
          <w:sz w:val="28"/>
          <w:szCs w:val="28"/>
        </w:rPr>
        <w:t>地下水环境质量符合《地下水质量标准》（GB/T14848-2017），具体见表2.3-4。</w:t>
      </w:r>
    </w:p>
    <w:p>
      <w:pPr>
        <w:spacing w:line="500" w:lineRule="exact"/>
        <w:ind w:firstLine="482"/>
        <w:jc w:val="center"/>
        <w:rPr>
          <w:rFonts w:eastAsia="仿宋_GB2312"/>
          <w:b/>
          <w:sz w:val="24"/>
        </w:rPr>
      </w:pPr>
      <w:r>
        <w:rPr>
          <w:rFonts w:eastAsia="仿宋_GB2312"/>
          <w:b/>
          <w:sz w:val="24"/>
        </w:rPr>
        <w:t>表2.3-4  地下水质量标准   单位：mg/L</w:t>
      </w:r>
    </w:p>
    <w:tbl>
      <w:tblPr>
        <w:tblStyle w:val="87"/>
        <w:tblW w:w="505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
        <w:gridCol w:w="2172"/>
        <w:gridCol w:w="1254"/>
        <w:gridCol w:w="1254"/>
        <w:gridCol w:w="1257"/>
        <w:gridCol w:w="1258"/>
        <w:gridCol w:w="1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07" w:type="dxa"/>
            <w:vMerge w:val="restart"/>
            <w:vAlign w:val="center"/>
          </w:tcPr>
          <w:p>
            <w:pPr>
              <w:spacing w:line="240" w:lineRule="exact"/>
              <w:jc w:val="center"/>
              <w:rPr>
                <w:rFonts w:ascii="仿宋" w:hAnsi="仿宋" w:eastAsia="仿宋" w:cs="仿宋"/>
                <w:bCs/>
                <w:szCs w:val="21"/>
              </w:rPr>
            </w:pPr>
            <w:r>
              <w:rPr>
                <w:rFonts w:ascii="仿宋" w:hAnsi="仿宋" w:eastAsia="仿宋" w:cs="仿宋"/>
                <w:bCs/>
                <w:szCs w:val="21"/>
              </w:rPr>
              <w:t>序号</w:t>
            </w:r>
          </w:p>
        </w:tc>
        <w:tc>
          <w:tcPr>
            <w:tcW w:w="2176" w:type="dxa"/>
            <w:vMerge w:val="restart"/>
            <w:vAlign w:val="center"/>
          </w:tcPr>
          <w:p>
            <w:pPr>
              <w:spacing w:line="240" w:lineRule="exact"/>
              <w:jc w:val="center"/>
              <w:rPr>
                <w:rFonts w:ascii="仿宋" w:hAnsi="仿宋" w:eastAsia="仿宋" w:cs="仿宋"/>
                <w:bCs/>
                <w:szCs w:val="21"/>
              </w:rPr>
            </w:pPr>
            <w:r>
              <w:rPr>
                <w:rFonts w:ascii="仿宋" w:hAnsi="仿宋" w:eastAsia="仿宋" w:cs="仿宋"/>
                <w:bCs/>
                <w:szCs w:val="21"/>
              </w:rPr>
              <w:t>污染物名称</w:t>
            </w:r>
          </w:p>
        </w:tc>
        <w:tc>
          <w:tcPr>
            <w:tcW w:w="6266" w:type="dxa"/>
            <w:gridSpan w:val="5"/>
            <w:vAlign w:val="center"/>
          </w:tcPr>
          <w:p>
            <w:pPr>
              <w:spacing w:line="240" w:lineRule="exact"/>
              <w:jc w:val="center"/>
              <w:rPr>
                <w:rFonts w:ascii="仿宋" w:hAnsi="仿宋" w:eastAsia="仿宋" w:cs="仿宋"/>
                <w:bCs/>
                <w:szCs w:val="21"/>
              </w:rPr>
            </w:pPr>
            <w:r>
              <w:rPr>
                <w:rFonts w:ascii="仿宋" w:hAnsi="仿宋" w:eastAsia="仿宋" w:cs="仿宋"/>
                <w:bCs/>
                <w:szCs w:val="21"/>
              </w:rPr>
              <w:t>标准值（mg/L）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07" w:type="dxa"/>
            <w:vMerge w:val="continue"/>
            <w:vAlign w:val="center"/>
          </w:tcPr>
          <w:p>
            <w:pPr>
              <w:spacing w:line="240" w:lineRule="exact"/>
              <w:jc w:val="center"/>
              <w:rPr>
                <w:rFonts w:ascii="仿宋" w:hAnsi="仿宋" w:eastAsia="仿宋" w:cs="仿宋"/>
                <w:bCs/>
                <w:szCs w:val="21"/>
              </w:rPr>
            </w:pPr>
          </w:p>
        </w:tc>
        <w:tc>
          <w:tcPr>
            <w:tcW w:w="2176" w:type="dxa"/>
            <w:vMerge w:val="continue"/>
            <w:vAlign w:val="center"/>
          </w:tcPr>
          <w:p>
            <w:pPr>
              <w:spacing w:line="240" w:lineRule="exact"/>
              <w:jc w:val="center"/>
              <w:rPr>
                <w:rFonts w:ascii="仿宋" w:hAnsi="仿宋" w:eastAsia="仿宋" w:cs="仿宋"/>
                <w:bCs/>
                <w:szCs w:val="21"/>
              </w:rPr>
            </w:pPr>
          </w:p>
        </w:tc>
        <w:tc>
          <w:tcPr>
            <w:tcW w:w="1253"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Ⅰ</w:t>
            </w:r>
            <w:r>
              <w:rPr>
                <w:rFonts w:ascii="仿宋" w:hAnsi="仿宋" w:eastAsia="仿宋" w:cs="仿宋"/>
                <w:bCs/>
                <w:szCs w:val="21"/>
              </w:rPr>
              <w:t>类</w:t>
            </w:r>
          </w:p>
        </w:tc>
        <w:tc>
          <w:tcPr>
            <w:tcW w:w="1253"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Ⅱ</w:t>
            </w:r>
            <w:r>
              <w:rPr>
                <w:rFonts w:ascii="仿宋" w:hAnsi="仿宋" w:eastAsia="仿宋" w:cs="仿宋"/>
                <w:bCs/>
                <w:szCs w:val="21"/>
              </w:rPr>
              <w:t>类</w:t>
            </w:r>
          </w:p>
        </w:tc>
        <w:tc>
          <w:tcPr>
            <w:tcW w:w="1256"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Ⅲ</w:t>
            </w:r>
            <w:r>
              <w:rPr>
                <w:rFonts w:ascii="仿宋" w:hAnsi="仿宋" w:eastAsia="仿宋" w:cs="仿宋"/>
                <w:bCs/>
                <w:szCs w:val="21"/>
              </w:rPr>
              <w:t>类</w:t>
            </w:r>
          </w:p>
        </w:tc>
        <w:tc>
          <w:tcPr>
            <w:tcW w:w="125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Ⅳ</w:t>
            </w:r>
            <w:r>
              <w:rPr>
                <w:rFonts w:ascii="仿宋" w:hAnsi="仿宋" w:eastAsia="仿宋" w:cs="仿宋"/>
                <w:bCs/>
                <w:szCs w:val="21"/>
              </w:rPr>
              <w:t>类</w:t>
            </w:r>
          </w:p>
        </w:tc>
        <w:tc>
          <w:tcPr>
            <w:tcW w:w="124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Ⅴ</w:t>
            </w:r>
            <w:r>
              <w:rPr>
                <w:rFonts w:ascii="仿宋" w:hAnsi="仿宋" w:eastAsia="仿宋" w:cs="仿宋"/>
                <w:bCs/>
                <w:szCs w:val="21"/>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vAlign w:val="center"/>
          </w:tcPr>
          <w:p>
            <w:pPr>
              <w:spacing w:line="240" w:lineRule="exact"/>
              <w:jc w:val="center"/>
              <w:rPr>
                <w:rFonts w:ascii="仿宋" w:hAnsi="仿宋" w:eastAsia="仿宋" w:cs="仿宋"/>
                <w:bCs/>
                <w:szCs w:val="21"/>
              </w:rPr>
            </w:pPr>
            <w:r>
              <w:rPr>
                <w:rFonts w:ascii="仿宋" w:hAnsi="仿宋" w:eastAsia="仿宋" w:cs="仿宋"/>
                <w:bCs/>
                <w:szCs w:val="21"/>
              </w:rPr>
              <w:t>1</w:t>
            </w:r>
          </w:p>
        </w:tc>
        <w:tc>
          <w:tcPr>
            <w:tcW w:w="2176" w:type="dxa"/>
            <w:vAlign w:val="center"/>
          </w:tcPr>
          <w:p>
            <w:pPr>
              <w:spacing w:line="240" w:lineRule="exact"/>
              <w:jc w:val="center"/>
              <w:rPr>
                <w:rFonts w:ascii="仿宋" w:hAnsi="仿宋" w:eastAsia="仿宋" w:cs="仿宋"/>
                <w:bCs/>
                <w:szCs w:val="21"/>
              </w:rPr>
            </w:pPr>
            <w:r>
              <w:rPr>
                <w:rFonts w:ascii="仿宋" w:hAnsi="仿宋" w:eastAsia="仿宋" w:cs="仿宋"/>
                <w:bCs/>
                <w:szCs w:val="21"/>
              </w:rPr>
              <w:t>pH</w:t>
            </w:r>
          </w:p>
        </w:tc>
        <w:tc>
          <w:tcPr>
            <w:tcW w:w="3762" w:type="dxa"/>
            <w:gridSpan w:val="3"/>
            <w:vAlign w:val="center"/>
          </w:tcPr>
          <w:p>
            <w:pPr>
              <w:spacing w:line="240" w:lineRule="exact"/>
              <w:jc w:val="center"/>
              <w:rPr>
                <w:rFonts w:ascii="仿宋" w:hAnsi="仿宋" w:eastAsia="仿宋" w:cs="仿宋"/>
                <w:bCs/>
                <w:szCs w:val="21"/>
              </w:rPr>
            </w:pPr>
            <w:r>
              <w:rPr>
                <w:rFonts w:ascii="仿宋" w:hAnsi="仿宋" w:eastAsia="仿宋" w:cs="仿宋"/>
                <w:bCs/>
                <w:szCs w:val="21"/>
              </w:rPr>
              <w:t>6.5~8.5</w:t>
            </w:r>
          </w:p>
        </w:tc>
        <w:tc>
          <w:tcPr>
            <w:tcW w:w="1257" w:type="dxa"/>
            <w:vAlign w:val="center"/>
          </w:tcPr>
          <w:p>
            <w:pPr>
              <w:spacing w:line="240" w:lineRule="exact"/>
              <w:jc w:val="center"/>
              <w:rPr>
                <w:rFonts w:ascii="仿宋" w:hAnsi="仿宋" w:eastAsia="仿宋" w:cs="仿宋"/>
                <w:bCs/>
                <w:szCs w:val="21"/>
              </w:rPr>
            </w:pPr>
            <w:r>
              <w:rPr>
                <w:rFonts w:ascii="仿宋" w:hAnsi="仿宋" w:eastAsia="仿宋" w:cs="仿宋"/>
                <w:bCs/>
                <w:szCs w:val="21"/>
              </w:rPr>
              <w:t>5.5~6.5</w:t>
            </w:r>
          </w:p>
          <w:p>
            <w:pPr>
              <w:spacing w:line="240" w:lineRule="exact"/>
              <w:jc w:val="center"/>
              <w:rPr>
                <w:rFonts w:ascii="仿宋" w:hAnsi="仿宋" w:eastAsia="仿宋" w:cs="仿宋"/>
                <w:bCs/>
                <w:szCs w:val="21"/>
              </w:rPr>
            </w:pPr>
            <w:r>
              <w:rPr>
                <w:rFonts w:ascii="仿宋" w:hAnsi="仿宋" w:eastAsia="仿宋" w:cs="仿宋"/>
                <w:bCs/>
                <w:szCs w:val="21"/>
              </w:rPr>
              <w:t>6.5~9.0</w:t>
            </w:r>
          </w:p>
        </w:tc>
        <w:tc>
          <w:tcPr>
            <w:tcW w:w="1247" w:type="dxa"/>
            <w:vAlign w:val="center"/>
          </w:tcPr>
          <w:p>
            <w:pPr>
              <w:spacing w:line="240" w:lineRule="exact"/>
              <w:jc w:val="center"/>
              <w:rPr>
                <w:rFonts w:ascii="仿宋" w:hAnsi="仿宋" w:eastAsia="仿宋" w:cs="仿宋"/>
                <w:bCs/>
                <w:szCs w:val="21"/>
              </w:rPr>
            </w:pPr>
            <w:r>
              <w:rPr>
                <w:rFonts w:ascii="仿宋" w:hAnsi="仿宋" w:eastAsia="仿宋" w:cs="仿宋"/>
                <w:bCs/>
                <w:szCs w:val="21"/>
              </w:rPr>
              <w:t>＜5.5或</w:t>
            </w:r>
          </w:p>
          <w:p>
            <w:pPr>
              <w:spacing w:line="240" w:lineRule="exact"/>
              <w:jc w:val="center"/>
              <w:rPr>
                <w:rFonts w:ascii="仿宋" w:hAnsi="仿宋" w:eastAsia="仿宋" w:cs="仿宋"/>
                <w:bCs/>
                <w:szCs w:val="21"/>
              </w:rPr>
            </w:pPr>
            <w:r>
              <w:rPr>
                <w:rFonts w:ascii="仿宋" w:hAnsi="仿宋" w:eastAsia="仿宋" w:cs="仿宋"/>
                <w:bCs/>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vAlign w:val="center"/>
          </w:tcPr>
          <w:p>
            <w:pPr>
              <w:spacing w:line="240" w:lineRule="exact"/>
              <w:jc w:val="center"/>
              <w:rPr>
                <w:rFonts w:ascii="仿宋" w:hAnsi="仿宋" w:eastAsia="仿宋" w:cs="仿宋"/>
                <w:bCs/>
                <w:szCs w:val="21"/>
              </w:rPr>
            </w:pPr>
            <w:r>
              <w:rPr>
                <w:rFonts w:ascii="仿宋" w:hAnsi="仿宋" w:eastAsia="仿宋" w:cs="仿宋"/>
                <w:bCs/>
                <w:szCs w:val="21"/>
              </w:rPr>
              <w:t>2</w:t>
            </w:r>
          </w:p>
        </w:tc>
        <w:tc>
          <w:tcPr>
            <w:tcW w:w="2176" w:type="dxa"/>
            <w:vAlign w:val="center"/>
          </w:tcPr>
          <w:p>
            <w:pPr>
              <w:spacing w:line="240" w:lineRule="exact"/>
              <w:jc w:val="center"/>
              <w:rPr>
                <w:rFonts w:ascii="仿宋" w:hAnsi="仿宋" w:eastAsia="仿宋" w:cs="仿宋"/>
                <w:bCs/>
                <w:szCs w:val="21"/>
              </w:rPr>
            </w:pPr>
            <w:r>
              <w:rPr>
                <w:rFonts w:ascii="仿宋" w:hAnsi="仿宋" w:eastAsia="仿宋" w:cs="仿宋"/>
                <w:bCs/>
                <w:szCs w:val="21"/>
              </w:rPr>
              <w:t>总硬度</w:t>
            </w:r>
          </w:p>
        </w:tc>
        <w:tc>
          <w:tcPr>
            <w:tcW w:w="1253" w:type="dxa"/>
            <w:vAlign w:val="center"/>
          </w:tcPr>
          <w:p>
            <w:pPr>
              <w:spacing w:line="240" w:lineRule="exact"/>
              <w:jc w:val="center"/>
              <w:rPr>
                <w:rFonts w:ascii="仿宋" w:hAnsi="仿宋" w:eastAsia="仿宋" w:cs="仿宋"/>
                <w:bCs/>
                <w:szCs w:val="21"/>
              </w:rPr>
            </w:pPr>
            <w:r>
              <w:rPr>
                <w:rFonts w:ascii="仿宋" w:hAnsi="仿宋" w:eastAsia="仿宋" w:cs="仿宋"/>
                <w:bCs/>
                <w:szCs w:val="21"/>
              </w:rPr>
              <w:t>≤150</w:t>
            </w:r>
          </w:p>
        </w:tc>
        <w:tc>
          <w:tcPr>
            <w:tcW w:w="1253" w:type="dxa"/>
            <w:vAlign w:val="center"/>
          </w:tcPr>
          <w:p>
            <w:pPr>
              <w:spacing w:line="240" w:lineRule="exact"/>
              <w:jc w:val="center"/>
              <w:rPr>
                <w:rFonts w:ascii="仿宋" w:hAnsi="仿宋" w:eastAsia="仿宋" w:cs="仿宋"/>
                <w:bCs/>
                <w:szCs w:val="21"/>
              </w:rPr>
            </w:pPr>
            <w:r>
              <w:rPr>
                <w:rFonts w:ascii="仿宋" w:hAnsi="仿宋" w:eastAsia="仿宋" w:cs="仿宋"/>
                <w:bCs/>
                <w:szCs w:val="21"/>
              </w:rPr>
              <w:t>≤300</w:t>
            </w:r>
          </w:p>
        </w:tc>
        <w:tc>
          <w:tcPr>
            <w:tcW w:w="1256" w:type="dxa"/>
            <w:vAlign w:val="center"/>
          </w:tcPr>
          <w:p>
            <w:pPr>
              <w:spacing w:line="240" w:lineRule="exact"/>
              <w:jc w:val="center"/>
              <w:rPr>
                <w:rFonts w:ascii="仿宋" w:hAnsi="仿宋" w:eastAsia="仿宋" w:cs="仿宋"/>
                <w:bCs/>
                <w:szCs w:val="21"/>
              </w:rPr>
            </w:pPr>
            <w:r>
              <w:rPr>
                <w:rFonts w:ascii="仿宋" w:hAnsi="仿宋" w:eastAsia="仿宋" w:cs="仿宋"/>
                <w:bCs/>
                <w:szCs w:val="21"/>
              </w:rPr>
              <w:t>≤450</w:t>
            </w:r>
          </w:p>
        </w:tc>
        <w:tc>
          <w:tcPr>
            <w:tcW w:w="1257" w:type="dxa"/>
            <w:vAlign w:val="center"/>
          </w:tcPr>
          <w:p>
            <w:pPr>
              <w:spacing w:line="240" w:lineRule="exact"/>
              <w:jc w:val="center"/>
              <w:rPr>
                <w:rFonts w:ascii="仿宋" w:hAnsi="仿宋" w:eastAsia="仿宋" w:cs="仿宋"/>
                <w:bCs/>
                <w:szCs w:val="21"/>
              </w:rPr>
            </w:pPr>
            <w:r>
              <w:rPr>
                <w:rFonts w:ascii="仿宋" w:hAnsi="仿宋" w:eastAsia="仿宋" w:cs="仿宋"/>
                <w:bCs/>
                <w:szCs w:val="21"/>
              </w:rPr>
              <w:t>≤650</w:t>
            </w:r>
          </w:p>
        </w:tc>
        <w:tc>
          <w:tcPr>
            <w:tcW w:w="1247" w:type="dxa"/>
            <w:vAlign w:val="center"/>
          </w:tcPr>
          <w:p>
            <w:pPr>
              <w:spacing w:line="240" w:lineRule="exact"/>
              <w:jc w:val="center"/>
              <w:rPr>
                <w:rFonts w:ascii="仿宋" w:hAnsi="仿宋" w:eastAsia="仿宋" w:cs="仿宋"/>
                <w:bCs/>
                <w:szCs w:val="21"/>
              </w:rPr>
            </w:pPr>
            <w:r>
              <w:rPr>
                <w:rFonts w:ascii="仿宋" w:hAnsi="仿宋" w:eastAsia="仿宋" w:cs="仿宋"/>
                <w:bCs/>
                <w:szCs w:val="21"/>
              </w:rPr>
              <w:t>&gt;650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vAlign w:val="center"/>
          </w:tcPr>
          <w:p>
            <w:pPr>
              <w:spacing w:line="240" w:lineRule="exact"/>
              <w:jc w:val="center"/>
              <w:rPr>
                <w:rFonts w:ascii="仿宋" w:hAnsi="仿宋" w:eastAsia="仿宋" w:cs="仿宋"/>
                <w:bCs/>
                <w:szCs w:val="21"/>
              </w:rPr>
            </w:pPr>
            <w:r>
              <w:rPr>
                <w:rFonts w:ascii="仿宋" w:hAnsi="仿宋" w:eastAsia="仿宋" w:cs="仿宋"/>
                <w:bCs/>
                <w:szCs w:val="21"/>
              </w:rPr>
              <w:t>3</w:t>
            </w:r>
          </w:p>
        </w:tc>
        <w:tc>
          <w:tcPr>
            <w:tcW w:w="2176" w:type="dxa"/>
            <w:vAlign w:val="center"/>
          </w:tcPr>
          <w:p>
            <w:pPr>
              <w:spacing w:line="240" w:lineRule="exact"/>
              <w:jc w:val="center"/>
              <w:rPr>
                <w:rFonts w:ascii="仿宋" w:hAnsi="仿宋" w:eastAsia="仿宋" w:cs="仿宋"/>
                <w:bCs/>
                <w:szCs w:val="21"/>
              </w:rPr>
            </w:pPr>
            <w:r>
              <w:rPr>
                <w:rFonts w:ascii="仿宋" w:hAnsi="仿宋" w:eastAsia="仿宋" w:cs="仿宋"/>
                <w:bCs/>
                <w:szCs w:val="21"/>
              </w:rPr>
              <w:t>溶解性固体</w:t>
            </w:r>
          </w:p>
        </w:tc>
        <w:tc>
          <w:tcPr>
            <w:tcW w:w="1253" w:type="dxa"/>
            <w:vAlign w:val="center"/>
          </w:tcPr>
          <w:p>
            <w:pPr>
              <w:spacing w:line="240" w:lineRule="exact"/>
              <w:jc w:val="center"/>
              <w:rPr>
                <w:rFonts w:ascii="仿宋" w:hAnsi="仿宋" w:eastAsia="仿宋" w:cs="仿宋"/>
                <w:bCs/>
                <w:szCs w:val="21"/>
              </w:rPr>
            </w:pPr>
            <w:r>
              <w:rPr>
                <w:rFonts w:ascii="仿宋" w:hAnsi="仿宋" w:eastAsia="仿宋" w:cs="仿宋"/>
                <w:bCs/>
                <w:szCs w:val="21"/>
              </w:rPr>
              <w:t>≤300</w:t>
            </w:r>
          </w:p>
        </w:tc>
        <w:tc>
          <w:tcPr>
            <w:tcW w:w="1253" w:type="dxa"/>
            <w:vAlign w:val="center"/>
          </w:tcPr>
          <w:p>
            <w:pPr>
              <w:spacing w:line="240" w:lineRule="exact"/>
              <w:jc w:val="center"/>
              <w:rPr>
                <w:rFonts w:ascii="仿宋" w:hAnsi="仿宋" w:eastAsia="仿宋" w:cs="仿宋"/>
                <w:bCs/>
                <w:szCs w:val="21"/>
              </w:rPr>
            </w:pPr>
            <w:r>
              <w:rPr>
                <w:rFonts w:ascii="仿宋" w:hAnsi="仿宋" w:eastAsia="仿宋" w:cs="仿宋"/>
                <w:bCs/>
                <w:szCs w:val="21"/>
              </w:rPr>
              <w:t>≤500</w:t>
            </w:r>
          </w:p>
        </w:tc>
        <w:tc>
          <w:tcPr>
            <w:tcW w:w="1256" w:type="dxa"/>
            <w:vAlign w:val="center"/>
          </w:tcPr>
          <w:p>
            <w:pPr>
              <w:spacing w:line="240" w:lineRule="exact"/>
              <w:jc w:val="center"/>
              <w:rPr>
                <w:rFonts w:ascii="仿宋" w:hAnsi="仿宋" w:eastAsia="仿宋" w:cs="仿宋"/>
                <w:bCs/>
                <w:szCs w:val="21"/>
              </w:rPr>
            </w:pPr>
            <w:r>
              <w:rPr>
                <w:rFonts w:ascii="仿宋" w:hAnsi="仿宋" w:eastAsia="仿宋" w:cs="仿宋"/>
                <w:bCs/>
                <w:szCs w:val="21"/>
              </w:rPr>
              <w:t>≤1000</w:t>
            </w:r>
          </w:p>
        </w:tc>
        <w:tc>
          <w:tcPr>
            <w:tcW w:w="1257" w:type="dxa"/>
            <w:vAlign w:val="center"/>
          </w:tcPr>
          <w:p>
            <w:pPr>
              <w:spacing w:line="240" w:lineRule="exact"/>
              <w:jc w:val="center"/>
              <w:rPr>
                <w:rFonts w:ascii="仿宋" w:hAnsi="仿宋" w:eastAsia="仿宋" w:cs="仿宋"/>
                <w:bCs/>
                <w:szCs w:val="21"/>
              </w:rPr>
            </w:pPr>
            <w:r>
              <w:rPr>
                <w:rFonts w:ascii="仿宋" w:hAnsi="仿宋" w:eastAsia="仿宋" w:cs="仿宋"/>
                <w:bCs/>
                <w:szCs w:val="21"/>
              </w:rPr>
              <w:t>≤2000</w:t>
            </w:r>
          </w:p>
        </w:tc>
        <w:tc>
          <w:tcPr>
            <w:tcW w:w="1247" w:type="dxa"/>
            <w:vAlign w:val="center"/>
          </w:tcPr>
          <w:p>
            <w:pPr>
              <w:spacing w:line="240" w:lineRule="exact"/>
              <w:jc w:val="center"/>
              <w:rPr>
                <w:rFonts w:ascii="仿宋" w:hAnsi="仿宋" w:eastAsia="仿宋" w:cs="仿宋"/>
                <w:bCs/>
                <w:szCs w:val="21"/>
              </w:rPr>
            </w:pPr>
            <w:r>
              <w:rPr>
                <w:rFonts w:ascii="仿宋" w:hAnsi="仿宋" w:eastAsia="仿宋" w:cs="仿宋"/>
                <w:bCs/>
                <w:szCs w:val="21"/>
              </w:rPr>
              <w:t>&gt;2000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vAlign w:val="center"/>
          </w:tcPr>
          <w:p>
            <w:pPr>
              <w:spacing w:line="240" w:lineRule="exact"/>
              <w:jc w:val="center"/>
              <w:rPr>
                <w:rFonts w:ascii="仿宋" w:hAnsi="仿宋" w:eastAsia="仿宋" w:cs="仿宋"/>
                <w:bCs/>
                <w:szCs w:val="21"/>
              </w:rPr>
            </w:pPr>
            <w:r>
              <w:rPr>
                <w:rFonts w:ascii="仿宋" w:hAnsi="仿宋" w:eastAsia="仿宋" w:cs="仿宋"/>
                <w:bCs/>
                <w:szCs w:val="21"/>
              </w:rPr>
              <w:t>4</w:t>
            </w:r>
          </w:p>
        </w:tc>
        <w:tc>
          <w:tcPr>
            <w:tcW w:w="2176" w:type="dxa"/>
            <w:vAlign w:val="center"/>
          </w:tcPr>
          <w:p>
            <w:pPr>
              <w:spacing w:line="240" w:lineRule="exact"/>
              <w:jc w:val="center"/>
              <w:rPr>
                <w:rFonts w:ascii="仿宋" w:hAnsi="仿宋" w:eastAsia="仿宋" w:cs="仿宋"/>
                <w:bCs/>
                <w:szCs w:val="21"/>
              </w:rPr>
            </w:pPr>
            <w:r>
              <w:rPr>
                <w:rFonts w:ascii="仿宋" w:hAnsi="仿宋" w:eastAsia="仿宋" w:cs="仿宋"/>
                <w:bCs/>
                <w:szCs w:val="21"/>
              </w:rPr>
              <w:t>耗氧量（高锰酸盐指数）</w:t>
            </w:r>
          </w:p>
        </w:tc>
        <w:tc>
          <w:tcPr>
            <w:tcW w:w="1253" w:type="dxa"/>
            <w:vAlign w:val="center"/>
          </w:tcPr>
          <w:p>
            <w:pPr>
              <w:spacing w:line="240" w:lineRule="exact"/>
              <w:jc w:val="center"/>
              <w:rPr>
                <w:rFonts w:ascii="仿宋" w:hAnsi="仿宋" w:eastAsia="仿宋" w:cs="仿宋"/>
                <w:bCs/>
                <w:szCs w:val="21"/>
              </w:rPr>
            </w:pPr>
            <w:r>
              <w:rPr>
                <w:rFonts w:ascii="仿宋" w:hAnsi="仿宋" w:eastAsia="仿宋" w:cs="仿宋"/>
                <w:bCs/>
                <w:szCs w:val="21"/>
              </w:rPr>
              <w:t>≤1.0</w:t>
            </w:r>
          </w:p>
        </w:tc>
        <w:tc>
          <w:tcPr>
            <w:tcW w:w="1253" w:type="dxa"/>
            <w:vAlign w:val="center"/>
          </w:tcPr>
          <w:p>
            <w:pPr>
              <w:spacing w:line="240" w:lineRule="exact"/>
              <w:jc w:val="center"/>
              <w:rPr>
                <w:rFonts w:ascii="仿宋" w:hAnsi="仿宋" w:eastAsia="仿宋" w:cs="仿宋"/>
                <w:bCs/>
                <w:szCs w:val="21"/>
              </w:rPr>
            </w:pPr>
            <w:r>
              <w:rPr>
                <w:rFonts w:ascii="仿宋" w:hAnsi="仿宋" w:eastAsia="仿宋" w:cs="仿宋"/>
                <w:bCs/>
                <w:szCs w:val="21"/>
              </w:rPr>
              <w:t>≤2.0</w:t>
            </w:r>
          </w:p>
        </w:tc>
        <w:tc>
          <w:tcPr>
            <w:tcW w:w="1256" w:type="dxa"/>
            <w:vAlign w:val="center"/>
          </w:tcPr>
          <w:p>
            <w:pPr>
              <w:spacing w:line="240" w:lineRule="exact"/>
              <w:jc w:val="center"/>
              <w:rPr>
                <w:rFonts w:ascii="仿宋" w:hAnsi="仿宋" w:eastAsia="仿宋" w:cs="仿宋"/>
                <w:bCs/>
                <w:szCs w:val="21"/>
              </w:rPr>
            </w:pPr>
            <w:r>
              <w:rPr>
                <w:rFonts w:ascii="仿宋" w:hAnsi="仿宋" w:eastAsia="仿宋" w:cs="仿宋"/>
                <w:bCs/>
                <w:szCs w:val="21"/>
              </w:rPr>
              <w:t>≤3.0</w:t>
            </w:r>
          </w:p>
        </w:tc>
        <w:tc>
          <w:tcPr>
            <w:tcW w:w="1257" w:type="dxa"/>
            <w:vAlign w:val="center"/>
          </w:tcPr>
          <w:p>
            <w:pPr>
              <w:spacing w:line="240" w:lineRule="exact"/>
              <w:jc w:val="center"/>
              <w:rPr>
                <w:rFonts w:ascii="仿宋" w:hAnsi="仿宋" w:eastAsia="仿宋" w:cs="仿宋"/>
                <w:bCs/>
                <w:szCs w:val="21"/>
              </w:rPr>
            </w:pPr>
            <w:r>
              <w:rPr>
                <w:rFonts w:ascii="仿宋" w:hAnsi="仿宋" w:eastAsia="仿宋" w:cs="仿宋"/>
                <w:bCs/>
                <w:szCs w:val="21"/>
              </w:rPr>
              <w:t>≤10</w:t>
            </w:r>
          </w:p>
        </w:tc>
        <w:tc>
          <w:tcPr>
            <w:tcW w:w="1247" w:type="dxa"/>
            <w:vAlign w:val="center"/>
          </w:tcPr>
          <w:p>
            <w:pPr>
              <w:spacing w:line="240" w:lineRule="exact"/>
              <w:jc w:val="center"/>
              <w:rPr>
                <w:rFonts w:ascii="仿宋" w:hAnsi="仿宋" w:eastAsia="仿宋" w:cs="仿宋"/>
                <w:bCs/>
                <w:szCs w:val="21"/>
              </w:rPr>
            </w:pPr>
            <w:r>
              <w:rPr>
                <w:rFonts w:ascii="仿宋" w:hAnsi="仿宋" w:eastAsia="仿宋" w:cs="仿宋"/>
                <w:bCs/>
                <w:szCs w:val="21"/>
              </w:rPr>
              <w:t>&gt;10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vAlign w:val="center"/>
          </w:tcPr>
          <w:p>
            <w:pPr>
              <w:spacing w:line="240" w:lineRule="exact"/>
              <w:jc w:val="center"/>
              <w:rPr>
                <w:rFonts w:ascii="仿宋" w:hAnsi="仿宋" w:eastAsia="仿宋" w:cs="仿宋"/>
                <w:bCs/>
                <w:szCs w:val="21"/>
              </w:rPr>
            </w:pPr>
            <w:r>
              <w:rPr>
                <w:rFonts w:ascii="仿宋" w:hAnsi="仿宋" w:eastAsia="仿宋" w:cs="仿宋"/>
                <w:bCs/>
                <w:szCs w:val="21"/>
              </w:rPr>
              <w:t>5</w:t>
            </w:r>
          </w:p>
        </w:tc>
        <w:tc>
          <w:tcPr>
            <w:tcW w:w="2176" w:type="dxa"/>
            <w:vAlign w:val="center"/>
          </w:tcPr>
          <w:p>
            <w:pPr>
              <w:spacing w:line="240" w:lineRule="exact"/>
              <w:jc w:val="center"/>
              <w:rPr>
                <w:rFonts w:ascii="仿宋" w:hAnsi="仿宋" w:eastAsia="仿宋" w:cs="仿宋"/>
                <w:bCs/>
                <w:szCs w:val="21"/>
              </w:rPr>
            </w:pPr>
            <w:r>
              <w:rPr>
                <w:rFonts w:ascii="仿宋" w:hAnsi="仿宋" w:eastAsia="仿宋" w:cs="仿宋"/>
                <w:bCs/>
                <w:szCs w:val="21"/>
              </w:rPr>
              <w:t>氨氮</w:t>
            </w:r>
          </w:p>
        </w:tc>
        <w:tc>
          <w:tcPr>
            <w:tcW w:w="1253" w:type="dxa"/>
            <w:vAlign w:val="center"/>
          </w:tcPr>
          <w:p>
            <w:pPr>
              <w:spacing w:line="240" w:lineRule="exact"/>
              <w:jc w:val="center"/>
              <w:rPr>
                <w:rFonts w:ascii="仿宋" w:hAnsi="仿宋" w:eastAsia="仿宋" w:cs="仿宋"/>
                <w:bCs/>
                <w:szCs w:val="21"/>
              </w:rPr>
            </w:pPr>
            <w:r>
              <w:rPr>
                <w:rFonts w:ascii="仿宋" w:hAnsi="仿宋" w:eastAsia="仿宋" w:cs="仿宋"/>
                <w:bCs/>
                <w:szCs w:val="21"/>
              </w:rPr>
              <w:t>≤0.02</w:t>
            </w:r>
          </w:p>
        </w:tc>
        <w:tc>
          <w:tcPr>
            <w:tcW w:w="1253" w:type="dxa"/>
            <w:vAlign w:val="center"/>
          </w:tcPr>
          <w:p>
            <w:pPr>
              <w:spacing w:line="240" w:lineRule="exact"/>
              <w:jc w:val="center"/>
              <w:rPr>
                <w:rFonts w:ascii="仿宋" w:hAnsi="仿宋" w:eastAsia="仿宋" w:cs="仿宋"/>
                <w:bCs/>
                <w:szCs w:val="21"/>
              </w:rPr>
            </w:pPr>
            <w:r>
              <w:rPr>
                <w:rFonts w:ascii="仿宋" w:hAnsi="仿宋" w:eastAsia="仿宋" w:cs="仿宋"/>
                <w:bCs/>
                <w:szCs w:val="21"/>
              </w:rPr>
              <w:t>≤0.10</w:t>
            </w:r>
          </w:p>
        </w:tc>
        <w:tc>
          <w:tcPr>
            <w:tcW w:w="1256" w:type="dxa"/>
            <w:vAlign w:val="center"/>
          </w:tcPr>
          <w:p>
            <w:pPr>
              <w:spacing w:line="240" w:lineRule="exact"/>
              <w:jc w:val="center"/>
              <w:rPr>
                <w:rFonts w:ascii="仿宋" w:hAnsi="仿宋" w:eastAsia="仿宋" w:cs="仿宋"/>
                <w:bCs/>
                <w:szCs w:val="21"/>
              </w:rPr>
            </w:pPr>
            <w:r>
              <w:rPr>
                <w:rFonts w:ascii="仿宋" w:hAnsi="仿宋" w:eastAsia="仿宋" w:cs="仿宋"/>
                <w:bCs/>
                <w:szCs w:val="21"/>
              </w:rPr>
              <w:t>≤0.5</w:t>
            </w:r>
          </w:p>
        </w:tc>
        <w:tc>
          <w:tcPr>
            <w:tcW w:w="1257" w:type="dxa"/>
            <w:vAlign w:val="center"/>
          </w:tcPr>
          <w:p>
            <w:pPr>
              <w:spacing w:line="240" w:lineRule="exact"/>
              <w:jc w:val="center"/>
              <w:rPr>
                <w:rFonts w:ascii="仿宋" w:hAnsi="仿宋" w:eastAsia="仿宋" w:cs="仿宋"/>
                <w:bCs/>
                <w:szCs w:val="21"/>
              </w:rPr>
            </w:pPr>
            <w:r>
              <w:rPr>
                <w:rFonts w:ascii="仿宋" w:hAnsi="仿宋" w:eastAsia="仿宋" w:cs="仿宋"/>
                <w:bCs/>
                <w:szCs w:val="21"/>
              </w:rPr>
              <w:t>≤1.5</w:t>
            </w:r>
          </w:p>
        </w:tc>
        <w:tc>
          <w:tcPr>
            <w:tcW w:w="1247" w:type="dxa"/>
            <w:vAlign w:val="center"/>
          </w:tcPr>
          <w:p>
            <w:pPr>
              <w:spacing w:line="240" w:lineRule="exact"/>
              <w:jc w:val="center"/>
              <w:rPr>
                <w:rFonts w:ascii="仿宋" w:hAnsi="仿宋" w:eastAsia="仿宋" w:cs="仿宋"/>
                <w:bCs/>
                <w:szCs w:val="21"/>
              </w:rPr>
            </w:pPr>
            <w:r>
              <w:rPr>
                <w:rFonts w:ascii="仿宋" w:hAnsi="仿宋" w:eastAsia="仿宋" w:cs="仿宋"/>
                <w:bCs/>
                <w:szCs w:val="21"/>
              </w:rPr>
              <w:t>&gt;1.5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vAlign w:val="center"/>
          </w:tcPr>
          <w:p>
            <w:pPr>
              <w:spacing w:line="240" w:lineRule="exact"/>
              <w:jc w:val="center"/>
              <w:rPr>
                <w:rFonts w:ascii="仿宋" w:hAnsi="仿宋" w:eastAsia="仿宋" w:cs="仿宋"/>
                <w:bCs/>
                <w:szCs w:val="21"/>
              </w:rPr>
            </w:pPr>
            <w:r>
              <w:rPr>
                <w:rFonts w:ascii="仿宋" w:hAnsi="仿宋" w:eastAsia="仿宋" w:cs="仿宋"/>
                <w:bCs/>
                <w:szCs w:val="21"/>
              </w:rPr>
              <w:t>6</w:t>
            </w:r>
          </w:p>
        </w:tc>
        <w:tc>
          <w:tcPr>
            <w:tcW w:w="2176" w:type="dxa"/>
            <w:vAlign w:val="center"/>
          </w:tcPr>
          <w:p>
            <w:pPr>
              <w:spacing w:line="240" w:lineRule="exact"/>
              <w:jc w:val="center"/>
              <w:rPr>
                <w:rFonts w:ascii="仿宋" w:hAnsi="仿宋" w:eastAsia="仿宋" w:cs="仿宋"/>
                <w:bCs/>
                <w:szCs w:val="21"/>
              </w:rPr>
            </w:pPr>
            <w:r>
              <w:rPr>
                <w:rFonts w:ascii="仿宋" w:hAnsi="仿宋" w:eastAsia="仿宋" w:cs="仿宋"/>
                <w:bCs/>
                <w:szCs w:val="21"/>
              </w:rPr>
              <w:t>硫酸盐</w:t>
            </w:r>
          </w:p>
        </w:tc>
        <w:tc>
          <w:tcPr>
            <w:tcW w:w="1253" w:type="dxa"/>
            <w:vAlign w:val="center"/>
          </w:tcPr>
          <w:p>
            <w:pPr>
              <w:spacing w:line="240" w:lineRule="exact"/>
              <w:jc w:val="center"/>
              <w:rPr>
                <w:rFonts w:ascii="仿宋" w:hAnsi="仿宋" w:eastAsia="仿宋" w:cs="仿宋"/>
                <w:bCs/>
                <w:szCs w:val="21"/>
              </w:rPr>
            </w:pPr>
            <w:r>
              <w:rPr>
                <w:rFonts w:ascii="仿宋" w:hAnsi="仿宋" w:eastAsia="仿宋" w:cs="仿宋"/>
                <w:bCs/>
                <w:szCs w:val="21"/>
              </w:rPr>
              <w:t>≤50</w:t>
            </w:r>
          </w:p>
        </w:tc>
        <w:tc>
          <w:tcPr>
            <w:tcW w:w="1253" w:type="dxa"/>
            <w:vAlign w:val="center"/>
          </w:tcPr>
          <w:p>
            <w:pPr>
              <w:spacing w:line="240" w:lineRule="exact"/>
              <w:jc w:val="center"/>
              <w:rPr>
                <w:rFonts w:ascii="仿宋" w:hAnsi="仿宋" w:eastAsia="仿宋" w:cs="仿宋"/>
                <w:bCs/>
                <w:szCs w:val="21"/>
              </w:rPr>
            </w:pPr>
            <w:r>
              <w:rPr>
                <w:rFonts w:ascii="仿宋" w:hAnsi="仿宋" w:eastAsia="仿宋" w:cs="仿宋"/>
                <w:bCs/>
                <w:szCs w:val="21"/>
              </w:rPr>
              <w:t>≤150</w:t>
            </w:r>
          </w:p>
        </w:tc>
        <w:tc>
          <w:tcPr>
            <w:tcW w:w="1256" w:type="dxa"/>
            <w:vAlign w:val="center"/>
          </w:tcPr>
          <w:p>
            <w:pPr>
              <w:spacing w:line="240" w:lineRule="exact"/>
              <w:jc w:val="center"/>
              <w:rPr>
                <w:rFonts w:ascii="仿宋" w:hAnsi="仿宋" w:eastAsia="仿宋" w:cs="仿宋"/>
                <w:bCs/>
                <w:szCs w:val="21"/>
              </w:rPr>
            </w:pPr>
            <w:r>
              <w:rPr>
                <w:rFonts w:ascii="仿宋" w:hAnsi="仿宋" w:eastAsia="仿宋" w:cs="仿宋"/>
                <w:bCs/>
                <w:szCs w:val="21"/>
              </w:rPr>
              <w:t>≤250</w:t>
            </w:r>
          </w:p>
        </w:tc>
        <w:tc>
          <w:tcPr>
            <w:tcW w:w="1257" w:type="dxa"/>
            <w:vAlign w:val="center"/>
          </w:tcPr>
          <w:p>
            <w:pPr>
              <w:spacing w:line="240" w:lineRule="exact"/>
              <w:jc w:val="center"/>
              <w:rPr>
                <w:rFonts w:ascii="仿宋" w:hAnsi="仿宋" w:eastAsia="仿宋" w:cs="仿宋"/>
                <w:bCs/>
                <w:szCs w:val="21"/>
              </w:rPr>
            </w:pPr>
            <w:r>
              <w:rPr>
                <w:rFonts w:ascii="仿宋" w:hAnsi="仿宋" w:eastAsia="仿宋" w:cs="仿宋"/>
                <w:bCs/>
                <w:szCs w:val="21"/>
              </w:rPr>
              <w:t>≤350</w:t>
            </w:r>
          </w:p>
        </w:tc>
        <w:tc>
          <w:tcPr>
            <w:tcW w:w="1247" w:type="dxa"/>
            <w:vAlign w:val="center"/>
          </w:tcPr>
          <w:p>
            <w:pPr>
              <w:spacing w:line="240" w:lineRule="exact"/>
              <w:jc w:val="center"/>
              <w:rPr>
                <w:rFonts w:ascii="仿宋" w:hAnsi="仿宋" w:eastAsia="仿宋" w:cs="仿宋"/>
                <w:bCs/>
                <w:szCs w:val="21"/>
              </w:rPr>
            </w:pPr>
            <w:r>
              <w:rPr>
                <w:rFonts w:ascii="仿宋" w:hAnsi="仿宋" w:eastAsia="仿宋" w:cs="仿宋"/>
                <w:bCs/>
                <w:szCs w:val="21"/>
              </w:rPr>
              <w:t>&gt;350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vAlign w:val="center"/>
          </w:tcPr>
          <w:p>
            <w:pPr>
              <w:spacing w:line="240" w:lineRule="exact"/>
              <w:jc w:val="center"/>
              <w:rPr>
                <w:rFonts w:ascii="仿宋" w:hAnsi="仿宋" w:eastAsia="仿宋" w:cs="仿宋"/>
                <w:bCs/>
                <w:szCs w:val="21"/>
              </w:rPr>
            </w:pPr>
            <w:r>
              <w:rPr>
                <w:rFonts w:ascii="仿宋" w:hAnsi="仿宋" w:eastAsia="仿宋" w:cs="仿宋"/>
                <w:bCs/>
                <w:szCs w:val="21"/>
              </w:rPr>
              <w:t>7</w:t>
            </w:r>
          </w:p>
        </w:tc>
        <w:tc>
          <w:tcPr>
            <w:tcW w:w="2176" w:type="dxa"/>
            <w:vAlign w:val="center"/>
          </w:tcPr>
          <w:p>
            <w:pPr>
              <w:spacing w:line="240" w:lineRule="exact"/>
              <w:jc w:val="center"/>
              <w:rPr>
                <w:rFonts w:ascii="仿宋" w:hAnsi="仿宋" w:eastAsia="仿宋" w:cs="仿宋"/>
                <w:bCs/>
                <w:szCs w:val="21"/>
              </w:rPr>
            </w:pPr>
            <w:r>
              <w:rPr>
                <w:rFonts w:ascii="仿宋" w:hAnsi="仿宋" w:eastAsia="仿宋" w:cs="仿宋"/>
                <w:bCs/>
                <w:szCs w:val="21"/>
              </w:rPr>
              <w:t>氯化物</w:t>
            </w:r>
          </w:p>
        </w:tc>
        <w:tc>
          <w:tcPr>
            <w:tcW w:w="1253" w:type="dxa"/>
            <w:vAlign w:val="center"/>
          </w:tcPr>
          <w:p>
            <w:pPr>
              <w:spacing w:line="240" w:lineRule="exact"/>
              <w:jc w:val="center"/>
              <w:rPr>
                <w:rFonts w:ascii="仿宋" w:hAnsi="仿宋" w:eastAsia="仿宋" w:cs="仿宋"/>
                <w:bCs/>
                <w:szCs w:val="21"/>
              </w:rPr>
            </w:pPr>
            <w:r>
              <w:rPr>
                <w:rFonts w:ascii="仿宋" w:hAnsi="仿宋" w:eastAsia="仿宋" w:cs="仿宋"/>
                <w:bCs/>
                <w:szCs w:val="21"/>
              </w:rPr>
              <w:t>≤50</w:t>
            </w:r>
          </w:p>
        </w:tc>
        <w:tc>
          <w:tcPr>
            <w:tcW w:w="1253" w:type="dxa"/>
            <w:vAlign w:val="center"/>
          </w:tcPr>
          <w:p>
            <w:pPr>
              <w:spacing w:line="240" w:lineRule="exact"/>
              <w:jc w:val="center"/>
              <w:rPr>
                <w:rFonts w:ascii="仿宋" w:hAnsi="仿宋" w:eastAsia="仿宋" w:cs="仿宋"/>
                <w:bCs/>
                <w:szCs w:val="21"/>
              </w:rPr>
            </w:pPr>
            <w:r>
              <w:rPr>
                <w:rFonts w:ascii="仿宋" w:hAnsi="仿宋" w:eastAsia="仿宋" w:cs="仿宋"/>
                <w:bCs/>
                <w:szCs w:val="21"/>
              </w:rPr>
              <w:t>≤150</w:t>
            </w:r>
          </w:p>
        </w:tc>
        <w:tc>
          <w:tcPr>
            <w:tcW w:w="1256" w:type="dxa"/>
            <w:vAlign w:val="center"/>
          </w:tcPr>
          <w:p>
            <w:pPr>
              <w:spacing w:line="240" w:lineRule="exact"/>
              <w:jc w:val="center"/>
              <w:rPr>
                <w:rFonts w:ascii="仿宋" w:hAnsi="仿宋" w:eastAsia="仿宋" w:cs="仿宋"/>
                <w:bCs/>
                <w:szCs w:val="21"/>
              </w:rPr>
            </w:pPr>
            <w:r>
              <w:rPr>
                <w:rFonts w:ascii="仿宋" w:hAnsi="仿宋" w:eastAsia="仿宋" w:cs="仿宋"/>
                <w:bCs/>
                <w:szCs w:val="21"/>
              </w:rPr>
              <w:t>≤250</w:t>
            </w:r>
          </w:p>
        </w:tc>
        <w:tc>
          <w:tcPr>
            <w:tcW w:w="1257" w:type="dxa"/>
            <w:vAlign w:val="center"/>
          </w:tcPr>
          <w:p>
            <w:pPr>
              <w:spacing w:line="240" w:lineRule="exact"/>
              <w:jc w:val="center"/>
              <w:rPr>
                <w:rFonts w:ascii="仿宋" w:hAnsi="仿宋" w:eastAsia="仿宋" w:cs="仿宋"/>
                <w:bCs/>
                <w:szCs w:val="21"/>
              </w:rPr>
            </w:pPr>
            <w:r>
              <w:rPr>
                <w:rFonts w:ascii="仿宋" w:hAnsi="仿宋" w:eastAsia="仿宋" w:cs="仿宋"/>
                <w:bCs/>
                <w:szCs w:val="21"/>
              </w:rPr>
              <w:t>≤350</w:t>
            </w:r>
          </w:p>
        </w:tc>
        <w:tc>
          <w:tcPr>
            <w:tcW w:w="1247" w:type="dxa"/>
            <w:vAlign w:val="center"/>
          </w:tcPr>
          <w:p>
            <w:pPr>
              <w:spacing w:line="240" w:lineRule="exact"/>
              <w:jc w:val="center"/>
              <w:rPr>
                <w:rFonts w:ascii="仿宋" w:hAnsi="仿宋" w:eastAsia="仿宋" w:cs="仿宋"/>
                <w:bCs/>
                <w:szCs w:val="21"/>
              </w:rPr>
            </w:pPr>
            <w:r>
              <w:rPr>
                <w:rFonts w:ascii="仿宋" w:hAnsi="仿宋" w:eastAsia="仿宋" w:cs="仿宋"/>
                <w:bCs/>
                <w:szCs w:val="21"/>
              </w:rPr>
              <w:t>&gt;350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vAlign w:val="center"/>
          </w:tcPr>
          <w:p>
            <w:pPr>
              <w:spacing w:line="240" w:lineRule="exact"/>
              <w:jc w:val="center"/>
              <w:rPr>
                <w:rFonts w:ascii="仿宋" w:hAnsi="仿宋" w:eastAsia="仿宋" w:cs="仿宋"/>
                <w:bCs/>
                <w:szCs w:val="21"/>
              </w:rPr>
            </w:pPr>
            <w:r>
              <w:rPr>
                <w:rFonts w:ascii="仿宋" w:hAnsi="仿宋" w:eastAsia="仿宋" w:cs="仿宋"/>
                <w:bCs/>
                <w:szCs w:val="21"/>
              </w:rPr>
              <w:t>8</w:t>
            </w:r>
          </w:p>
        </w:tc>
        <w:tc>
          <w:tcPr>
            <w:tcW w:w="2176" w:type="dxa"/>
            <w:vAlign w:val="center"/>
          </w:tcPr>
          <w:p>
            <w:pPr>
              <w:spacing w:line="240" w:lineRule="exact"/>
              <w:jc w:val="center"/>
              <w:rPr>
                <w:rFonts w:ascii="仿宋" w:hAnsi="仿宋" w:eastAsia="仿宋" w:cs="仿宋"/>
                <w:bCs/>
                <w:szCs w:val="21"/>
              </w:rPr>
            </w:pPr>
            <w:r>
              <w:rPr>
                <w:rFonts w:ascii="仿宋" w:hAnsi="仿宋" w:eastAsia="仿宋" w:cs="仿宋"/>
                <w:bCs/>
                <w:szCs w:val="21"/>
              </w:rPr>
              <w:t>钠</w:t>
            </w:r>
          </w:p>
        </w:tc>
        <w:tc>
          <w:tcPr>
            <w:tcW w:w="1253" w:type="dxa"/>
            <w:vAlign w:val="center"/>
          </w:tcPr>
          <w:p>
            <w:pPr>
              <w:spacing w:line="240" w:lineRule="exact"/>
              <w:jc w:val="center"/>
              <w:rPr>
                <w:rFonts w:ascii="仿宋" w:hAnsi="仿宋" w:eastAsia="仿宋" w:cs="仿宋"/>
                <w:bCs/>
                <w:szCs w:val="21"/>
              </w:rPr>
            </w:pPr>
            <w:r>
              <w:rPr>
                <w:rFonts w:ascii="仿宋" w:hAnsi="仿宋" w:eastAsia="仿宋" w:cs="仿宋"/>
                <w:bCs/>
                <w:szCs w:val="21"/>
              </w:rPr>
              <w:t>≤100</w:t>
            </w:r>
          </w:p>
        </w:tc>
        <w:tc>
          <w:tcPr>
            <w:tcW w:w="1253" w:type="dxa"/>
            <w:vAlign w:val="center"/>
          </w:tcPr>
          <w:p>
            <w:pPr>
              <w:spacing w:line="240" w:lineRule="exact"/>
              <w:jc w:val="center"/>
              <w:rPr>
                <w:rFonts w:ascii="仿宋" w:hAnsi="仿宋" w:eastAsia="仿宋" w:cs="仿宋"/>
                <w:bCs/>
                <w:szCs w:val="21"/>
              </w:rPr>
            </w:pPr>
            <w:r>
              <w:rPr>
                <w:rFonts w:ascii="仿宋" w:hAnsi="仿宋" w:eastAsia="仿宋" w:cs="仿宋"/>
                <w:bCs/>
                <w:szCs w:val="21"/>
              </w:rPr>
              <w:t>≤150</w:t>
            </w:r>
          </w:p>
        </w:tc>
        <w:tc>
          <w:tcPr>
            <w:tcW w:w="1256" w:type="dxa"/>
            <w:vAlign w:val="center"/>
          </w:tcPr>
          <w:p>
            <w:pPr>
              <w:spacing w:line="240" w:lineRule="exact"/>
              <w:jc w:val="center"/>
              <w:rPr>
                <w:rFonts w:ascii="仿宋" w:hAnsi="仿宋" w:eastAsia="仿宋" w:cs="仿宋"/>
                <w:bCs/>
                <w:szCs w:val="21"/>
              </w:rPr>
            </w:pPr>
            <w:r>
              <w:rPr>
                <w:rFonts w:ascii="仿宋" w:hAnsi="仿宋" w:eastAsia="仿宋" w:cs="仿宋"/>
                <w:bCs/>
                <w:szCs w:val="21"/>
              </w:rPr>
              <w:t>≤200</w:t>
            </w:r>
          </w:p>
        </w:tc>
        <w:tc>
          <w:tcPr>
            <w:tcW w:w="1257" w:type="dxa"/>
            <w:vAlign w:val="center"/>
          </w:tcPr>
          <w:p>
            <w:pPr>
              <w:spacing w:line="240" w:lineRule="exact"/>
              <w:jc w:val="center"/>
              <w:rPr>
                <w:rFonts w:ascii="仿宋" w:hAnsi="仿宋" w:eastAsia="仿宋" w:cs="仿宋"/>
                <w:bCs/>
                <w:szCs w:val="21"/>
              </w:rPr>
            </w:pPr>
            <w:r>
              <w:rPr>
                <w:rFonts w:ascii="仿宋" w:hAnsi="仿宋" w:eastAsia="仿宋" w:cs="仿宋"/>
                <w:bCs/>
                <w:szCs w:val="21"/>
              </w:rPr>
              <w:t>≤400</w:t>
            </w:r>
          </w:p>
        </w:tc>
        <w:tc>
          <w:tcPr>
            <w:tcW w:w="1247" w:type="dxa"/>
            <w:vAlign w:val="center"/>
          </w:tcPr>
          <w:p>
            <w:pPr>
              <w:spacing w:line="240" w:lineRule="exact"/>
              <w:jc w:val="center"/>
              <w:rPr>
                <w:rFonts w:ascii="仿宋" w:hAnsi="仿宋" w:eastAsia="仿宋" w:cs="仿宋"/>
                <w:bCs/>
                <w:szCs w:val="21"/>
              </w:rPr>
            </w:pPr>
            <w:r>
              <w:rPr>
                <w:rFonts w:ascii="仿宋" w:hAnsi="仿宋" w:eastAsia="仿宋" w:cs="仿宋"/>
                <w:bCs/>
                <w:szCs w:val="21"/>
              </w:rPr>
              <w:t>&gt;400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14</w:t>
            </w:r>
          </w:p>
        </w:tc>
        <w:tc>
          <w:tcPr>
            <w:tcW w:w="2176" w:type="dxa"/>
            <w:vAlign w:val="center"/>
          </w:tcPr>
          <w:p>
            <w:pPr>
              <w:spacing w:line="240" w:lineRule="exact"/>
              <w:jc w:val="center"/>
              <w:rPr>
                <w:rFonts w:ascii="仿宋" w:hAnsi="仿宋" w:eastAsia="仿宋" w:cs="仿宋"/>
                <w:bCs/>
                <w:szCs w:val="21"/>
              </w:rPr>
            </w:pPr>
            <w:r>
              <w:rPr>
                <w:rFonts w:ascii="仿宋" w:hAnsi="仿宋" w:eastAsia="仿宋" w:cs="仿宋"/>
                <w:bCs/>
                <w:szCs w:val="21"/>
              </w:rPr>
              <w:t>硝酸盐</w:t>
            </w:r>
            <w:r>
              <w:rPr>
                <w:rFonts w:hint="eastAsia" w:ascii="仿宋" w:hAnsi="仿宋" w:eastAsia="仿宋" w:cs="仿宋"/>
                <w:bCs/>
                <w:szCs w:val="21"/>
              </w:rPr>
              <w:t>氮</w:t>
            </w:r>
          </w:p>
        </w:tc>
        <w:tc>
          <w:tcPr>
            <w:tcW w:w="1253" w:type="dxa"/>
            <w:vAlign w:val="center"/>
          </w:tcPr>
          <w:p>
            <w:pPr>
              <w:spacing w:line="240" w:lineRule="exact"/>
              <w:jc w:val="center"/>
              <w:rPr>
                <w:rFonts w:ascii="仿宋" w:hAnsi="仿宋" w:eastAsia="仿宋" w:cs="仿宋"/>
                <w:bCs/>
                <w:szCs w:val="21"/>
              </w:rPr>
            </w:pPr>
            <w:r>
              <w:rPr>
                <w:rFonts w:ascii="仿宋" w:hAnsi="仿宋" w:eastAsia="仿宋" w:cs="仿宋"/>
                <w:bCs/>
                <w:szCs w:val="21"/>
              </w:rPr>
              <w:t>≤2.0</w:t>
            </w:r>
          </w:p>
        </w:tc>
        <w:tc>
          <w:tcPr>
            <w:tcW w:w="1253" w:type="dxa"/>
            <w:vAlign w:val="center"/>
          </w:tcPr>
          <w:p>
            <w:pPr>
              <w:spacing w:line="240" w:lineRule="exact"/>
              <w:jc w:val="center"/>
              <w:rPr>
                <w:rFonts w:ascii="仿宋" w:hAnsi="仿宋" w:eastAsia="仿宋" w:cs="仿宋"/>
                <w:bCs/>
                <w:szCs w:val="21"/>
              </w:rPr>
            </w:pPr>
            <w:r>
              <w:rPr>
                <w:rFonts w:ascii="仿宋" w:hAnsi="仿宋" w:eastAsia="仿宋" w:cs="仿宋"/>
                <w:bCs/>
                <w:szCs w:val="21"/>
              </w:rPr>
              <w:t>≤5.0</w:t>
            </w:r>
          </w:p>
        </w:tc>
        <w:tc>
          <w:tcPr>
            <w:tcW w:w="1256" w:type="dxa"/>
            <w:vAlign w:val="center"/>
          </w:tcPr>
          <w:p>
            <w:pPr>
              <w:spacing w:line="240" w:lineRule="exact"/>
              <w:jc w:val="center"/>
              <w:rPr>
                <w:rFonts w:ascii="仿宋" w:hAnsi="仿宋" w:eastAsia="仿宋" w:cs="仿宋"/>
                <w:bCs/>
                <w:szCs w:val="21"/>
              </w:rPr>
            </w:pPr>
            <w:r>
              <w:rPr>
                <w:rFonts w:ascii="仿宋" w:hAnsi="仿宋" w:eastAsia="仿宋" w:cs="仿宋"/>
                <w:bCs/>
                <w:szCs w:val="21"/>
              </w:rPr>
              <w:t>≤20.0</w:t>
            </w:r>
          </w:p>
        </w:tc>
        <w:tc>
          <w:tcPr>
            <w:tcW w:w="1257" w:type="dxa"/>
            <w:vAlign w:val="center"/>
          </w:tcPr>
          <w:p>
            <w:pPr>
              <w:spacing w:line="240" w:lineRule="exact"/>
              <w:jc w:val="center"/>
              <w:rPr>
                <w:rFonts w:ascii="仿宋" w:hAnsi="仿宋" w:eastAsia="仿宋" w:cs="仿宋"/>
                <w:bCs/>
                <w:szCs w:val="21"/>
              </w:rPr>
            </w:pPr>
            <w:r>
              <w:rPr>
                <w:rFonts w:ascii="仿宋" w:hAnsi="仿宋" w:eastAsia="仿宋" w:cs="仿宋"/>
                <w:bCs/>
                <w:szCs w:val="21"/>
              </w:rPr>
              <w:t>≤30.0</w:t>
            </w:r>
          </w:p>
        </w:tc>
        <w:tc>
          <w:tcPr>
            <w:tcW w:w="1247" w:type="dxa"/>
            <w:vAlign w:val="center"/>
          </w:tcPr>
          <w:p>
            <w:pPr>
              <w:spacing w:line="240" w:lineRule="exact"/>
              <w:jc w:val="center"/>
              <w:rPr>
                <w:rFonts w:ascii="仿宋" w:hAnsi="仿宋" w:eastAsia="仿宋" w:cs="仿宋"/>
                <w:bCs/>
                <w:szCs w:val="21"/>
              </w:rPr>
            </w:pPr>
            <w:r>
              <w:rPr>
                <w:rFonts w:ascii="仿宋" w:hAnsi="仿宋" w:eastAsia="仿宋" w:cs="仿宋"/>
                <w:bCs/>
                <w:szCs w:val="21"/>
              </w:rPr>
              <w:t>&gt;30.0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15</w:t>
            </w:r>
          </w:p>
        </w:tc>
        <w:tc>
          <w:tcPr>
            <w:tcW w:w="2176"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亚</w:t>
            </w:r>
            <w:r>
              <w:rPr>
                <w:rFonts w:ascii="仿宋" w:hAnsi="仿宋" w:eastAsia="仿宋" w:cs="仿宋"/>
                <w:bCs/>
                <w:szCs w:val="21"/>
              </w:rPr>
              <w:t>硝酸盐</w:t>
            </w:r>
            <w:r>
              <w:rPr>
                <w:rFonts w:hint="eastAsia" w:ascii="仿宋" w:hAnsi="仿宋" w:eastAsia="仿宋" w:cs="仿宋"/>
                <w:bCs/>
                <w:szCs w:val="21"/>
              </w:rPr>
              <w:t>氮</w:t>
            </w:r>
          </w:p>
        </w:tc>
        <w:tc>
          <w:tcPr>
            <w:tcW w:w="1253" w:type="dxa"/>
            <w:vAlign w:val="center"/>
          </w:tcPr>
          <w:p>
            <w:pPr>
              <w:spacing w:line="240" w:lineRule="exact"/>
              <w:jc w:val="center"/>
              <w:rPr>
                <w:rFonts w:ascii="仿宋" w:hAnsi="仿宋" w:eastAsia="仿宋" w:cs="仿宋"/>
                <w:bCs/>
                <w:szCs w:val="21"/>
              </w:rPr>
            </w:pPr>
            <w:r>
              <w:rPr>
                <w:rFonts w:ascii="仿宋" w:hAnsi="仿宋" w:eastAsia="仿宋" w:cs="仿宋"/>
                <w:bCs/>
                <w:szCs w:val="21"/>
              </w:rPr>
              <w:t>≤0.01</w:t>
            </w:r>
          </w:p>
        </w:tc>
        <w:tc>
          <w:tcPr>
            <w:tcW w:w="1253" w:type="dxa"/>
            <w:vAlign w:val="center"/>
          </w:tcPr>
          <w:p>
            <w:pPr>
              <w:spacing w:line="240" w:lineRule="exact"/>
              <w:jc w:val="center"/>
              <w:rPr>
                <w:rFonts w:ascii="仿宋" w:hAnsi="仿宋" w:eastAsia="仿宋" w:cs="仿宋"/>
                <w:bCs/>
                <w:szCs w:val="21"/>
              </w:rPr>
            </w:pPr>
            <w:r>
              <w:rPr>
                <w:rFonts w:ascii="仿宋" w:hAnsi="仿宋" w:eastAsia="仿宋" w:cs="仿宋"/>
                <w:bCs/>
                <w:szCs w:val="21"/>
              </w:rPr>
              <w:t>≤0.10</w:t>
            </w:r>
          </w:p>
        </w:tc>
        <w:tc>
          <w:tcPr>
            <w:tcW w:w="1256" w:type="dxa"/>
            <w:vAlign w:val="center"/>
          </w:tcPr>
          <w:p>
            <w:pPr>
              <w:spacing w:line="240" w:lineRule="exact"/>
              <w:jc w:val="center"/>
              <w:rPr>
                <w:rFonts w:ascii="仿宋" w:hAnsi="仿宋" w:eastAsia="仿宋" w:cs="仿宋"/>
                <w:bCs/>
                <w:szCs w:val="21"/>
              </w:rPr>
            </w:pPr>
            <w:r>
              <w:rPr>
                <w:rFonts w:ascii="仿宋" w:hAnsi="仿宋" w:eastAsia="仿宋" w:cs="仿宋"/>
                <w:bCs/>
                <w:szCs w:val="21"/>
              </w:rPr>
              <w:t>≤1.00</w:t>
            </w:r>
          </w:p>
        </w:tc>
        <w:tc>
          <w:tcPr>
            <w:tcW w:w="1257" w:type="dxa"/>
            <w:vAlign w:val="center"/>
          </w:tcPr>
          <w:p>
            <w:pPr>
              <w:spacing w:line="240" w:lineRule="exact"/>
              <w:jc w:val="center"/>
              <w:rPr>
                <w:rFonts w:ascii="仿宋" w:hAnsi="仿宋" w:eastAsia="仿宋" w:cs="仿宋"/>
                <w:bCs/>
                <w:szCs w:val="21"/>
              </w:rPr>
            </w:pPr>
            <w:r>
              <w:rPr>
                <w:rFonts w:ascii="仿宋" w:hAnsi="仿宋" w:eastAsia="仿宋" w:cs="仿宋"/>
                <w:bCs/>
                <w:szCs w:val="21"/>
              </w:rPr>
              <w:t>≤4.80</w:t>
            </w:r>
          </w:p>
        </w:tc>
        <w:tc>
          <w:tcPr>
            <w:tcW w:w="1247" w:type="dxa"/>
            <w:vAlign w:val="center"/>
          </w:tcPr>
          <w:p>
            <w:pPr>
              <w:spacing w:line="240" w:lineRule="exact"/>
              <w:jc w:val="center"/>
              <w:rPr>
                <w:rFonts w:ascii="仿宋" w:hAnsi="仿宋" w:eastAsia="仿宋" w:cs="仿宋"/>
                <w:bCs/>
                <w:szCs w:val="21"/>
              </w:rPr>
            </w:pPr>
            <w:r>
              <w:rPr>
                <w:rFonts w:ascii="仿宋" w:hAnsi="仿宋" w:eastAsia="仿宋" w:cs="仿宋"/>
                <w:bCs/>
                <w:szCs w:val="21"/>
              </w:rPr>
              <w:t>&gt;4.80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16</w:t>
            </w:r>
          </w:p>
        </w:tc>
        <w:tc>
          <w:tcPr>
            <w:tcW w:w="2176"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挥发酚</w:t>
            </w:r>
          </w:p>
        </w:tc>
        <w:tc>
          <w:tcPr>
            <w:tcW w:w="1253" w:type="dxa"/>
            <w:vAlign w:val="center"/>
          </w:tcPr>
          <w:p>
            <w:pPr>
              <w:spacing w:line="240" w:lineRule="exact"/>
              <w:jc w:val="center"/>
              <w:rPr>
                <w:rFonts w:ascii="仿宋" w:hAnsi="仿宋" w:eastAsia="仿宋" w:cs="仿宋"/>
                <w:bCs/>
                <w:szCs w:val="21"/>
              </w:rPr>
            </w:pPr>
            <w:r>
              <w:rPr>
                <w:rFonts w:ascii="仿宋" w:hAnsi="仿宋" w:eastAsia="仿宋" w:cs="仿宋"/>
                <w:bCs/>
                <w:szCs w:val="21"/>
              </w:rPr>
              <w:t>≤0.001</w:t>
            </w:r>
          </w:p>
        </w:tc>
        <w:tc>
          <w:tcPr>
            <w:tcW w:w="1253" w:type="dxa"/>
            <w:vAlign w:val="center"/>
          </w:tcPr>
          <w:p>
            <w:pPr>
              <w:spacing w:line="240" w:lineRule="exact"/>
              <w:jc w:val="center"/>
              <w:rPr>
                <w:rFonts w:ascii="仿宋" w:hAnsi="仿宋" w:eastAsia="仿宋" w:cs="仿宋"/>
                <w:bCs/>
                <w:szCs w:val="21"/>
              </w:rPr>
            </w:pPr>
            <w:r>
              <w:rPr>
                <w:rFonts w:ascii="仿宋" w:hAnsi="仿宋" w:eastAsia="仿宋" w:cs="仿宋"/>
                <w:bCs/>
                <w:szCs w:val="21"/>
              </w:rPr>
              <w:t>≤0.001</w:t>
            </w:r>
          </w:p>
        </w:tc>
        <w:tc>
          <w:tcPr>
            <w:tcW w:w="1256" w:type="dxa"/>
            <w:vAlign w:val="center"/>
          </w:tcPr>
          <w:p>
            <w:pPr>
              <w:spacing w:line="240" w:lineRule="exact"/>
              <w:jc w:val="center"/>
              <w:rPr>
                <w:rFonts w:ascii="仿宋" w:hAnsi="仿宋" w:eastAsia="仿宋" w:cs="仿宋"/>
                <w:bCs/>
                <w:szCs w:val="21"/>
              </w:rPr>
            </w:pPr>
            <w:r>
              <w:rPr>
                <w:rFonts w:ascii="仿宋" w:hAnsi="仿宋" w:eastAsia="仿宋" w:cs="仿宋"/>
                <w:bCs/>
                <w:szCs w:val="21"/>
              </w:rPr>
              <w:t>≤0.002</w:t>
            </w:r>
          </w:p>
        </w:tc>
        <w:tc>
          <w:tcPr>
            <w:tcW w:w="1257" w:type="dxa"/>
            <w:vAlign w:val="center"/>
          </w:tcPr>
          <w:p>
            <w:pPr>
              <w:spacing w:line="240" w:lineRule="exact"/>
              <w:jc w:val="center"/>
              <w:rPr>
                <w:rFonts w:ascii="仿宋" w:hAnsi="仿宋" w:eastAsia="仿宋" w:cs="仿宋"/>
                <w:bCs/>
                <w:szCs w:val="21"/>
              </w:rPr>
            </w:pPr>
            <w:r>
              <w:rPr>
                <w:rFonts w:ascii="仿宋" w:hAnsi="仿宋" w:eastAsia="仿宋" w:cs="仿宋"/>
                <w:bCs/>
                <w:szCs w:val="21"/>
              </w:rPr>
              <w:t>≤0.01</w:t>
            </w:r>
          </w:p>
        </w:tc>
        <w:tc>
          <w:tcPr>
            <w:tcW w:w="1247" w:type="dxa"/>
            <w:vAlign w:val="center"/>
          </w:tcPr>
          <w:p>
            <w:pPr>
              <w:spacing w:line="240" w:lineRule="exact"/>
              <w:jc w:val="center"/>
              <w:rPr>
                <w:rFonts w:ascii="仿宋" w:hAnsi="仿宋" w:eastAsia="仿宋" w:cs="仿宋"/>
                <w:bCs/>
                <w:szCs w:val="21"/>
              </w:rPr>
            </w:pPr>
            <w:r>
              <w:rPr>
                <w:rFonts w:ascii="仿宋" w:hAnsi="仿宋" w:eastAsia="仿宋" w:cs="仿宋"/>
                <w:bCs/>
                <w:szCs w:val="21"/>
              </w:rPr>
              <w:t>&gt;0.01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17</w:t>
            </w:r>
          </w:p>
        </w:tc>
        <w:tc>
          <w:tcPr>
            <w:tcW w:w="2176" w:type="dxa"/>
            <w:vAlign w:val="center"/>
          </w:tcPr>
          <w:p>
            <w:pPr>
              <w:spacing w:line="240" w:lineRule="exact"/>
              <w:jc w:val="center"/>
              <w:rPr>
                <w:rFonts w:ascii="仿宋" w:hAnsi="仿宋" w:eastAsia="仿宋" w:cs="仿宋"/>
                <w:bCs/>
                <w:szCs w:val="21"/>
              </w:rPr>
            </w:pPr>
            <w:r>
              <w:rPr>
                <w:rFonts w:ascii="仿宋" w:hAnsi="仿宋" w:eastAsia="仿宋" w:cs="仿宋"/>
                <w:bCs/>
                <w:szCs w:val="21"/>
              </w:rPr>
              <w:t>砷</w:t>
            </w:r>
          </w:p>
        </w:tc>
        <w:tc>
          <w:tcPr>
            <w:tcW w:w="1253" w:type="dxa"/>
            <w:vAlign w:val="center"/>
          </w:tcPr>
          <w:p>
            <w:pPr>
              <w:spacing w:line="240" w:lineRule="exact"/>
              <w:jc w:val="center"/>
              <w:rPr>
                <w:rFonts w:ascii="仿宋" w:hAnsi="仿宋" w:eastAsia="仿宋" w:cs="仿宋"/>
                <w:bCs/>
                <w:szCs w:val="21"/>
              </w:rPr>
            </w:pPr>
            <w:r>
              <w:rPr>
                <w:rFonts w:ascii="仿宋" w:hAnsi="仿宋" w:eastAsia="仿宋" w:cs="仿宋"/>
                <w:bCs/>
                <w:szCs w:val="21"/>
              </w:rPr>
              <w:t>≤0.001</w:t>
            </w:r>
          </w:p>
        </w:tc>
        <w:tc>
          <w:tcPr>
            <w:tcW w:w="1253" w:type="dxa"/>
            <w:vAlign w:val="center"/>
          </w:tcPr>
          <w:p>
            <w:pPr>
              <w:spacing w:line="240" w:lineRule="exact"/>
              <w:jc w:val="center"/>
              <w:rPr>
                <w:rFonts w:ascii="仿宋" w:hAnsi="仿宋" w:eastAsia="仿宋" w:cs="仿宋"/>
                <w:bCs/>
                <w:szCs w:val="21"/>
              </w:rPr>
            </w:pPr>
            <w:r>
              <w:rPr>
                <w:rFonts w:ascii="仿宋" w:hAnsi="仿宋" w:eastAsia="仿宋" w:cs="仿宋"/>
                <w:bCs/>
                <w:szCs w:val="21"/>
              </w:rPr>
              <w:t>≤0.001</w:t>
            </w:r>
          </w:p>
        </w:tc>
        <w:tc>
          <w:tcPr>
            <w:tcW w:w="1256" w:type="dxa"/>
            <w:vAlign w:val="center"/>
          </w:tcPr>
          <w:p>
            <w:pPr>
              <w:spacing w:line="240" w:lineRule="exact"/>
              <w:jc w:val="center"/>
              <w:rPr>
                <w:rFonts w:ascii="仿宋" w:hAnsi="仿宋" w:eastAsia="仿宋" w:cs="仿宋"/>
                <w:bCs/>
                <w:szCs w:val="21"/>
              </w:rPr>
            </w:pPr>
            <w:r>
              <w:rPr>
                <w:rFonts w:ascii="仿宋" w:hAnsi="仿宋" w:eastAsia="仿宋" w:cs="仿宋"/>
                <w:bCs/>
                <w:szCs w:val="21"/>
              </w:rPr>
              <w:t>≤0.01</w:t>
            </w:r>
          </w:p>
        </w:tc>
        <w:tc>
          <w:tcPr>
            <w:tcW w:w="1257" w:type="dxa"/>
            <w:vAlign w:val="center"/>
          </w:tcPr>
          <w:p>
            <w:pPr>
              <w:spacing w:line="240" w:lineRule="exact"/>
              <w:jc w:val="center"/>
              <w:rPr>
                <w:rFonts w:ascii="仿宋" w:hAnsi="仿宋" w:eastAsia="仿宋" w:cs="仿宋"/>
                <w:bCs/>
                <w:szCs w:val="21"/>
              </w:rPr>
            </w:pPr>
            <w:r>
              <w:rPr>
                <w:rFonts w:ascii="仿宋" w:hAnsi="仿宋" w:eastAsia="仿宋" w:cs="仿宋"/>
                <w:bCs/>
                <w:szCs w:val="21"/>
              </w:rPr>
              <w:t>≤0.05</w:t>
            </w:r>
          </w:p>
        </w:tc>
        <w:tc>
          <w:tcPr>
            <w:tcW w:w="1247" w:type="dxa"/>
            <w:vAlign w:val="center"/>
          </w:tcPr>
          <w:p>
            <w:pPr>
              <w:spacing w:line="240" w:lineRule="exact"/>
              <w:jc w:val="center"/>
              <w:rPr>
                <w:rFonts w:ascii="仿宋" w:hAnsi="仿宋" w:eastAsia="仿宋" w:cs="仿宋"/>
                <w:bCs/>
                <w:szCs w:val="21"/>
              </w:rPr>
            </w:pPr>
            <w:r>
              <w:rPr>
                <w:rFonts w:ascii="仿宋" w:hAnsi="仿宋" w:eastAsia="仿宋" w:cs="仿宋"/>
                <w:bCs/>
                <w:szCs w:val="21"/>
              </w:rPr>
              <w:t>&gt;0.05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18</w:t>
            </w:r>
          </w:p>
        </w:tc>
        <w:tc>
          <w:tcPr>
            <w:tcW w:w="2176" w:type="dxa"/>
            <w:vAlign w:val="center"/>
          </w:tcPr>
          <w:p>
            <w:pPr>
              <w:spacing w:line="240" w:lineRule="exact"/>
              <w:jc w:val="center"/>
              <w:rPr>
                <w:rFonts w:ascii="仿宋" w:hAnsi="仿宋" w:eastAsia="仿宋" w:cs="仿宋"/>
                <w:bCs/>
                <w:szCs w:val="21"/>
              </w:rPr>
            </w:pPr>
            <w:r>
              <w:rPr>
                <w:rFonts w:ascii="仿宋" w:hAnsi="仿宋" w:eastAsia="仿宋" w:cs="仿宋"/>
                <w:bCs/>
                <w:szCs w:val="21"/>
              </w:rPr>
              <w:t>汞</w:t>
            </w:r>
          </w:p>
        </w:tc>
        <w:tc>
          <w:tcPr>
            <w:tcW w:w="1253" w:type="dxa"/>
            <w:vAlign w:val="center"/>
          </w:tcPr>
          <w:p>
            <w:pPr>
              <w:spacing w:line="240" w:lineRule="exact"/>
              <w:jc w:val="center"/>
              <w:rPr>
                <w:rFonts w:ascii="仿宋" w:hAnsi="仿宋" w:eastAsia="仿宋" w:cs="仿宋"/>
                <w:bCs/>
                <w:szCs w:val="21"/>
              </w:rPr>
            </w:pPr>
            <w:r>
              <w:rPr>
                <w:rFonts w:ascii="仿宋" w:hAnsi="仿宋" w:eastAsia="仿宋" w:cs="仿宋"/>
                <w:bCs/>
                <w:szCs w:val="21"/>
              </w:rPr>
              <w:t>≤0.0001</w:t>
            </w:r>
          </w:p>
        </w:tc>
        <w:tc>
          <w:tcPr>
            <w:tcW w:w="1253" w:type="dxa"/>
            <w:vAlign w:val="center"/>
          </w:tcPr>
          <w:p>
            <w:pPr>
              <w:spacing w:line="240" w:lineRule="exact"/>
              <w:jc w:val="center"/>
              <w:rPr>
                <w:rFonts w:ascii="仿宋" w:hAnsi="仿宋" w:eastAsia="仿宋" w:cs="仿宋"/>
                <w:bCs/>
                <w:szCs w:val="21"/>
              </w:rPr>
            </w:pPr>
            <w:r>
              <w:rPr>
                <w:rFonts w:ascii="仿宋" w:hAnsi="仿宋" w:eastAsia="仿宋" w:cs="仿宋"/>
                <w:bCs/>
                <w:szCs w:val="21"/>
              </w:rPr>
              <w:t>≤0.0001</w:t>
            </w:r>
          </w:p>
        </w:tc>
        <w:tc>
          <w:tcPr>
            <w:tcW w:w="1256" w:type="dxa"/>
            <w:vAlign w:val="center"/>
          </w:tcPr>
          <w:p>
            <w:pPr>
              <w:spacing w:line="240" w:lineRule="exact"/>
              <w:jc w:val="center"/>
              <w:rPr>
                <w:rFonts w:ascii="仿宋" w:hAnsi="仿宋" w:eastAsia="仿宋" w:cs="仿宋"/>
                <w:bCs/>
                <w:szCs w:val="21"/>
              </w:rPr>
            </w:pPr>
            <w:r>
              <w:rPr>
                <w:rFonts w:ascii="仿宋" w:hAnsi="仿宋" w:eastAsia="仿宋" w:cs="仿宋"/>
                <w:bCs/>
                <w:szCs w:val="21"/>
              </w:rPr>
              <w:t>≤0.001</w:t>
            </w:r>
          </w:p>
        </w:tc>
        <w:tc>
          <w:tcPr>
            <w:tcW w:w="1257" w:type="dxa"/>
            <w:vAlign w:val="center"/>
          </w:tcPr>
          <w:p>
            <w:pPr>
              <w:spacing w:line="240" w:lineRule="exact"/>
              <w:jc w:val="center"/>
              <w:rPr>
                <w:rFonts w:ascii="仿宋" w:hAnsi="仿宋" w:eastAsia="仿宋" w:cs="仿宋"/>
                <w:bCs/>
                <w:szCs w:val="21"/>
              </w:rPr>
            </w:pPr>
            <w:r>
              <w:rPr>
                <w:rFonts w:ascii="仿宋" w:hAnsi="仿宋" w:eastAsia="仿宋" w:cs="仿宋"/>
                <w:bCs/>
                <w:szCs w:val="21"/>
              </w:rPr>
              <w:t>≤0.002</w:t>
            </w:r>
          </w:p>
        </w:tc>
        <w:tc>
          <w:tcPr>
            <w:tcW w:w="1247" w:type="dxa"/>
            <w:vAlign w:val="center"/>
          </w:tcPr>
          <w:p>
            <w:pPr>
              <w:spacing w:line="240" w:lineRule="exact"/>
              <w:jc w:val="center"/>
              <w:rPr>
                <w:rFonts w:ascii="仿宋" w:hAnsi="仿宋" w:eastAsia="仿宋" w:cs="仿宋"/>
                <w:bCs/>
                <w:szCs w:val="21"/>
              </w:rPr>
            </w:pPr>
            <w:r>
              <w:rPr>
                <w:rFonts w:ascii="仿宋" w:hAnsi="仿宋" w:eastAsia="仿宋" w:cs="仿宋"/>
                <w:bCs/>
                <w:szCs w:val="21"/>
              </w:rPr>
              <w:t>&gt;0.002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19</w:t>
            </w:r>
          </w:p>
        </w:tc>
        <w:tc>
          <w:tcPr>
            <w:tcW w:w="2176" w:type="dxa"/>
            <w:vAlign w:val="center"/>
          </w:tcPr>
          <w:p>
            <w:pPr>
              <w:spacing w:line="240" w:lineRule="exact"/>
              <w:jc w:val="center"/>
              <w:rPr>
                <w:rFonts w:ascii="仿宋" w:hAnsi="仿宋" w:eastAsia="仿宋" w:cs="仿宋"/>
                <w:bCs/>
                <w:szCs w:val="21"/>
              </w:rPr>
            </w:pPr>
            <w:r>
              <w:rPr>
                <w:rFonts w:ascii="仿宋" w:hAnsi="仿宋" w:eastAsia="仿宋" w:cs="仿宋"/>
                <w:bCs/>
                <w:szCs w:val="21"/>
              </w:rPr>
              <w:t>六价铬</w:t>
            </w:r>
          </w:p>
        </w:tc>
        <w:tc>
          <w:tcPr>
            <w:tcW w:w="1253" w:type="dxa"/>
            <w:vAlign w:val="center"/>
          </w:tcPr>
          <w:p>
            <w:pPr>
              <w:spacing w:line="240" w:lineRule="exact"/>
              <w:jc w:val="center"/>
              <w:rPr>
                <w:rFonts w:ascii="仿宋" w:hAnsi="仿宋" w:eastAsia="仿宋" w:cs="仿宋"/>
                <w:bCs/>
                <w:szCs w:val="21"/>
              </w:rPr>
            </w:pPr>
            <w:r>
              <w:rPr>
                <w:rFonts w:ascii="仿宋" w:hAnsi="仿宋" w:eastAsia="仿宋" w:cs="仿宋"/>
                <w:bCs/>
                <w:szCs w:val="21"/>
              </w:rPr>
              <w:t>≤0.005</w:t>
            </w:r>
          </w:p>
        </w:tc>
        <w:tc>
          <w:tcPr>
            <w:tcW w:w="1253" w:type="dxa"/>
            <w:vAlign w:val="center"/>
          </w:tcPr>
          <w:p>
            <w:pPr>
              <w:spacing w:line="240" w:lineRule="exact"/>
              <w:jc w:val="center"/>
              <w:rPr>
                <w:rFonts w:ascii="仿宋" w:hAnsi="仿宋" w:eastAsia="仿宋" w:cs="仿宋"/>
                <w:bCs/>
                <w:szCs w:val="21"/>
              </w:rPr>
            </w:pPr>
            <w:r>
              <w:rPr>
                <w:rFonts w:ascii="仿宋" w:hAnsi="仿宋" w:eastAsia="仿宋" w:cs="仿宋"/>
                <w:bCs/>
                <w:szCs w:val="21"/>
              </w:rPr>
              <w:t>≤0.01</w:t>
            </w:r>
          </w:p>
        </w:tc>
        <w:tc>
          <w:tcPr>
            <w:tcW w:w="1256" w:type="dxa"/>
            <w:vAlign w:val="center"/>
          </w:tcPr>
          <w:p>
            <w:pPr>
              <w:spacing w:line="240" w:lineRule="exact"/>
              <w:jc w:val="center"/>
              <w:rPr>
                <w:rFonts w:ascii="仿宋" w:hAnsi="仿宋" w:eastAsia="仿宋" w:cs="仿宋"/>
                <w:bCs/>
                <w:szCs w:val="21"/>
              </w:rPr>
            </w:pPr>
            <w:r>
              <w:rPr>
                <w:rFonts w:ascii="仿宋" w:hAnsi="仿宋" w:eastAsia="仿宋" w:cs="仿宋"/>
                <w:bCs/>
                <w:szCs w:val="21"/>
              </w:rPr>
              <w:t>≤0.05</w:t>
            </w:r>
          </w:p>
        </w:tc>
        <w:tc>
          <w:tcPr>
            <w:tcW w:w="1257" w:type="dxa"/>
            <w:vAlign w:val="center"/>
          </w:tcPr>
          <w:p>
            <w:pPr>
              <w:spacing w:line="240" w:lineRule="exact"/>
              <w:jc w:val="center"/>
              <w:rPr>
                <w:rFonts w:ascii="仿宋" w:hAnsi="仿宋" w:eastAsia="仿宋" w:cs="仿宋"/>
                <w:bCs/>
                <w:szCs w:val="21"/>
              </w:rPr>
            </w:pPr>
            <w:r>
              <w:rPr>
                <w:rFonts w:ascii="仿宋" w:hAnsi="仿宋" w:eastAsia="仿宋" w:cs="仿宋"/>
                <w:bCs/>
                <w:szCs w:val="21"/>
              </w:rPr>
              <w:t>≤0.10</w:t>
            </w:r>
          </w:p>
        </w:tc>
        <w:tc>
          <w:tcPr>
            <w:tcW w:w="1247" w:type="dxa"/>
            <w:vAlign w:val="center"/>
          </w:tcPr>
          <w:p>
            <w:pPr>
              <w:spacing w:line="240" w:lineRule="exact"/>
              <w:jc w:val="center"/>
              <w:rPr>
                <w:rFonts w:ascii="仿宋" w:hAnsi="仿宋" w:eastAsia="仿宋" w:cs="仿宋"/>
                <w:bCs/>
                <w:szCs w:val="21"/>
              </w:rPr>
            </w:pPr>
            <w:r>
              <w:rPr>
                <w:rFonts w:ascii="仿宋" w:hAnsi="仿宋" w:eastAsia="仿宋" w:cs="仿宋"/>
                <w:bCs/>
                <w:szCs w:val="21"/>
              </w:rPr>
              <w:t>&gt;0.10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20</w:t>
            </w:r>
          </w:p>
        </w:tc>
        <w:tc>
          <w:tcPr>
            <w:tcW w:w="2176" w:type="dxa"/>
            <w:vAlign w:val="center"/>
          </w:tcPr>
          <w:p>
            <w:pPr>
              <w:spacing w:line="240" w:lineRule="exact"/>
              <w:jc w:val="center"/>
              <w:rPr>
                <w:rFonts w:ascii="仿宋" w:hAnsi="仿宋" w:eastAsia="仿宋" w:cs="仿宋"/>
                <w:bCs/>
                <w:szCs w:val="21"/>
              </w:rPr>
            </w:pPr>
            <w:r>
              <w:rPr>
                <w:rFonts w:ascii="仿宋" w:hAnsi="仿宋" w:eastAsia="仿宋" w:cs="仿宋"/>
                <w:bCs/>
                <w:szCs w:val="21"/>
              </w:rPr>
              <w:t>镉</w:t>
            </w:r>
            <w:r>
              <w:rPr>
                <w:rFonts w:hint="eastAsia" w:ascii="仿宋" w:hAnsi="仿宋" w:eastAsia="仿宋" w:cs="仿宋"/>
                <w:bCs/>
                <w:szCs w:val="21"/>
              </w:rPr>
              <w:t>（</w:t>
            </w:r>
            <w:r>
              <w:rPr>
                <w:rFonts w:ascii="仿宋" w:hAnsi="仿宋" w:eastAsia="仿宋" w:cs="仿宋"/>
                <w:bCs/>
                <w:szCs w:val="21"/>
              </w:rPr>
              <w:t>ug/L</w:t>
            </w:r>
            <w:r>
              <w:rPr>
                <w:rFonts w:hint="eastAsia" w:ascii="仿宋" w:hAnsi="仿宋" w:eastAsia="仿宋" w:cs="仿宋"/>
                <w:bCs/>
                <w:szCs w:val="21"/>
              </w:rPr>
              <w:t>）</w:t>
            </w:r>
          </w:p>
        </w:tc>
        <w:tc>
          <w:tcPr>
            <w:tcW w:w="1253" w:type="dxa"/>
            <w:vAlign w:val="center"/>
          </w:tcPr>
          <w:p>
            <w:pPr>
              <w:spacing w:line="240" w:lineRule="exact"/>
              <w:jc w:val="center"/>
              <w:rPr>
                <w:rFonts w:ascii="仿宋" w:hAnsi="仿宋" w:eastAsia="仿宋" w:cs="仿宋"/>
                <w:bCs/>
                <w:szCs w:val="21"/>
              </w:rPr>
            </w:pPr>
            <w:r>
              <w:rPr>
                <w:rFonts w:ascii="仿宋" w:hAnsi="仿宋" w:eastAsia="仿宋" w:cs="仿宋"/>
                <w:bCs/>
                <w:szCs w:val="21"/>
              </w:rPr>
              <w:t>≤0.0001</w:t>
            </w:r>
          </w:p>
        </w:tc>
        <w:tc>
          <w:tcPr>
            <w:tcW w:w="1253" w:type="dxa"/>
            <w:vAlign w:val="center"/>
          </w:tcPr>
          <w:p>
            <w:pPr>
              <w:spacing w:line="240" w:lineRule="exact"/>
              <w:jc w:val="center"/>
              <w:rPr>
                <w:rFonts w:ascii="仿宋" w:hAnsi="仿宋" w:eastAsia="仿宋" w:cs="仿宋"/>
                <w:bCs/>
                <w:szCs w:val="21"/>
              </w:rPr>
            </w:pPr>
            <w:r>
              <w:rPr>
                <w:rFonts w:ascii="仿宋" w:hAnsi="仿宋" w:eastAsia="仿宋" w:cs="仿宋"/>
                <w:bCs/>
                <w:szCs w:val="21"/>
              </w:rPr>
              <w:t>≤0.001</w:t>
            </w:r>
          </w:p>
        </w:tc>
        <w:tc>
          <w:tcPr>
            <w:tcW w:w="1256" w:type="dxa"/>
            <w:vAlign w:val="center"/>
          </w:tcPr>
          <w:p>
            <w:pPr>
              <w:spacing w:line="240" w:lineRule="exact"/>
              <w:jc w:val="center"/>
              <w:rPr>
                <w:rFonts w:ascii="仿宋" w:hAnsi="仿宋" w:eastAsia="仿宋" w:cs="仿宋"/>
                <w:bCs/>
                <w:szCs w:val="21"/>
              </w:rPr>
            </w:pPr>
            <w:r>
              <w:rPr>
                <w:rFonts w:ascii="仿宋" w:hAnsi="仿宋" w:eastAsia="仿宋" w:cs="仿宋"/>
                <w:bCs/>
                <w:szCs w:val="21"/>
              </w:rPr>
              <w:t>≤0.005</w:t>
            </w:r>
          </w:p>
        </w:tc>
        <w:tc>
          <w:tcPr>
            <w:tcW w:w="1257" w:type="dxa"/>
            <w:vAlign w:val="center"/>
          </w:tcPr>
          <w:p>
            <w:pPr>
              <w:spacing w:line="240" w:lineRule="exact"/>
              <w:jc w:val="center"/>
              <w:rPr>
                <w:rFonts w:ascii="仿宋" w:hAnsi="仿宋" w:eastAsia="仿宋" w:cs="仿宋"/>
                <w:bCs/>
                <w:szCs w:val="21"/>
              </w:rPr>
            </w:pPr>
            <w:r>
              <w:rPr>
                <w:rFonts w:ascii="仿宋" w:hAnsi="仿宋" w:eastAsia="仿宋" w:cs="仿宋"/>
                <w:bCs/>
                <w:szCs w:val="21"/>
              </w:rPr>
              <w:t>≤0.01</w:t>
            </w:r>
          </w:p>
        </w:tc>
        <w:tc>
          <w:tcPr>
            <w:tcW w:w="1247" w:type="dxa"/>
            <w:vAlign w:val="center"/>
          </w:tcPr>
          <w:p>
            <w:pPr>
              <w:spacing w:line="240" w:lineRule="exact"/>
              <w:jc w:val="center"/>
              <w:rPr>
                <w:rFonts w:ascii="仿宋" w:hAnsi="仿宋" w:eastAsia="仿宋" w:cs="仿宋"/>
                <w:bCs/>
                <w:szCs w:val="21"/>
              </w:rPr>
            </w:pPr>
            <w:r>
              <w:rPr>
                <w:rFonts w:ascii="仿宋" w:hAnsi="仿宋" w:eastAsia="仿宋" w:cs="仿宋"/>
                <w:bCs/>
                <w:szCs w:val="21"/>
              </w:rPr>
              <w:t>&gt;0.01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21</w:t>
            </w:r>
          </w:p>
        </w:tc>
        <w:tc>
          <w:tcPr>
            <w:tcW w:w="2176"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铅（</w:t>
            </w:r>
            <w:r>
              <w:rPr>
                <w:rFonts w:ascii="仿宋" w:hAnsi="仿宋" w:eastAsia="仿宋" w:cs="仿宋"/>
                <w:bCs/>
                <w:szCs w:val="21"/>
              </w:rPr>
              <w:t>ug/L</w:t>
            </w:r>
            <w:r>
              <w:rPr>
                <w:rFonts w:hint="eastAsia" w:ascii="仿宋" w:hAnsi="仿宋" w:eastAsia="仿宋" w:cs="仿宋"/>
                <w:bCs/>
                <w:szCs w:val="21"/>
              </w:rPr>
              <w:t>）</w:t>
            </w:r>
          </w:p>
        </w:tc>
        <w:tc>
          <w:tcPr>
            <w:tcW w:w="1253" w:type="dxa"/>
            <w:vAlign w:val="center"/>
          </w:tcPr>
          <w:p>
            <w:pPr>
              <w:spacing w:line="240" w:lineRule="exact"/>
              <w:jc w:val="center"/>
              <w:rPr>
                <w:rFonts w:ascii="仿宋" w:hAnsi="仿宋" w:eastAsia="仿宋" w:cs="仿宋"/>
                <w:bCs/>
                <w:szCs w:val="21"/>
              </w:rPr>
            </w:pPr>
            <w:r>
              <w:rPr>
                <w:rFonts w:ascii="仿宋" w:hAnsi="仿宋" w:eastAsia="仿宋" w:cs="仿宋"/>
                <w:bCs/>
                <w:szCs w:val="21"/>
              </w:rPr>
              <w:t>≤0.005</w:t>
            </w:r>
          </w:p>
        </w:tc>
        <w:tc>
          <w:tcPr>
            <w:tcW w:w="1253" w:type="dxa"/>
            <w:vAlign w:val="center"/>
          </w:tcPr>
          <w:p>
            <w:pPr>
              <w:spacing w:line="240" w:lineRule="exact"/>
              <w:jc w:val="center"/>
              <w:rPr>
                <w:rFonts w:ascii="仿宋" w:hAnsi="仿宋" w:eastAsia="仿宋" w:cs="仿宋"/>
                <w:bCs/>
                <w:szCs w:val="21"/>
              </w:rPr>
            </w:pPr>
            <w:r>
              <w:rPr>
                <w:rFonts w:ascii="仿宋" w:hAnsi="仿宋" w:eastAsia="仿宋" w:cs="仿宋"/>
                <w:bCs/>
                <w:szCs w:val="21"/>
              </w:rPr>
              <w:t>≤0.005</w:t>
            </w:r>
          </w:p>
        </w:tc>
        <w:tc>
          <w:tcPr>
            <w:tcW w:w="1256" w:type="dxa"/>
            <w:vAlign w:val="center"/>
          </w:tcPr>
          <w:p>
            <w:pPr>
              <w:spacing w:line="240" w:lineRule="exact"/>
              <w:jc w:val="center"/>
              <w:rPr>
                <w:rFonts w:ascii="仿宋" w:hAnsi="仿宋" w:eastAsia="仿宋" w:cs="仿宋"/>
                <w:bCs/>
                <w:szCs w:val="21"/>
              </w:rPr>
            </w:pPr>
            <w:r>
              <w:rPr>
                <w:rFonts w:ascii="仿宋" w:hAnsi="仿宋" w:eastAsia="仿宋" w:cs="仿宋"/>
                <w:bCs/>
                <w:szCs w:val="21"/>
              </w:rPr>
              <w:t>≤0.01</w:t>
            </w:r>
          </w:p>
        </w:tc>
        <w:tc>
          <w:tcPr>
            <w:tcW w:w="1257" w:type="dxa"/>
            <w:vAlign w:val="center"/>
          </w:tcPr>
          <w:p>
            <w:pPr>
              <w:spacing w:line="240" w:lineRule="exact"/>
              <w:jc w:val="center"/>
              <w:rPr>
                <w:rFonts w:ascii="仿宋" w:hAnsi="仿宋" w:eastAsia="仿宋" w:cs="仿宋"/>
                <w:bCs/>
                <w:szCs w:val="21"/>
              </w:rPr>
            </w:pPr>
            <w:r>
              <w:rPr>
                <w:rFonts w:ascii="仿宋" w:hAnsi="仿宋" w:eastAsia="仿宋" w:cs="仿宋"/>
                <w:bCs/>
                <w:szCs w:val="21"/>
              </w:rPr>
              <w:t>≤0.10</w:t>
            </w:r>
          </w:p>
        </w:tc>
        <w:tc>
          <w:tcPr>
            <w:tcW w:w="1247" w:type="dxa"/>
            <w:vAlign w:val="center"/>
          </w:tcPr>
          <w:p>
            <w:pPr>
              <w:spacing w:line="240" w:lineRule="exact"/>
              <w:jc w:val="center"/>
              <w:rPr>
                <w:rFonts w:ascii="仿宋" w:hAnsi="仿宋" w:eastAsia="仿宋" w:cs="仿宋"/>
                <w:bCs/>
                <w:szCs w:val="21"/>
              </w:rPr>
            </w:pPr>
            <w:r>
              <w:rPr>
                <w:rFonts w:ascii="仿宋" w:hAnsi="仿宋" w:eastAsia="仿宋" w:cs="仿宋"/>
                <w:bCs/>
                <w:szCs w:val="21"/>
              </w:rPr>
              <w:t>&gt;0.10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22</w:t>
            </w:r>
          </w:p>
        </w:tc>
        <w:tc>
          <w:tcPr>
            <w:tcW w:w="2176"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细菌总数（</w:t>
            </w:r>
            <w:r>
              <w:rPr>
                <w:rFonts w:ascii="仿宋" w:hAnsi="仿宋" w:eastAsia="仿宋" w:cs="仿宋"/>
                <w:bCs/>
                <w:szCs w:val="21"/>
              </w:rPr>
              <w:t>CFU/L</w:t>
            </w:r>
            <w:r>
              <w:rPr>
                <w:rFonts w:hint="eastAsia" w:ascii="仿宋" w:hAnsi="仿宋" w:eastAsia="仿宋" w:cs="仿宋"/>
                <w:bCs/>
                <w:szCs w:val="21"/>
              </w:rPr>
              <w:t>）</w:t>
            </w:r>
          </w:p>
        </w:tc>
        <w:tc>
          <w:tcPr>
            <w:tcW w:w="1253" w:type="dxa"/>
            <w:vAlign w:val="center"/>
          </w:tcPr>
          <w:p>
            <w:pPr>
              <w:spacing w:line="240" w:lineRule="exact"/>
              <w:jc w:val="center"/>
              <w:rPr>
                <w:rFonts w:ascii="仿宋" w:hAnsi="仿宋" w:eastAsia="仿宋" w:cs="仿宋"/>
                <w:bCs/>
                <w:szCs w:val="21"/>
              </w:rPr>
            </w:pPr>
            <w:r>
              <w:rPr>
                <w:rFonts w:ascii="仿宋" w:hAnsi="仿宋" w:eastAsia="仿宋" w:cs="仿宋"/>
                <w:bCs/>
                <w:szCs w:val="21"/>
              </w:rPr>
              <w:t>≤100</w:t>
            </w:r>
          </w:p>
        </w:tc>
        <w:tc>
          <w:tcPr>
            <w:tcW w:w="1253" w:type="dxa"/>
            <w:vAlign w:val="center"/>
          </w:tcPr>
          <w:p>
            <w:pPr>
              <w:spacing w:line="240" w:lineRule="exact"/>
              <w:jc w:val="center"/>
              <w:rPr>
                <w:rFonts w:ascii="仿宋" w:hAnsi="仿宋" w:eastAsia="仿宋" w:cs="仿宋"/>
                <w:bCs/>
                <w:szCs w:val="21"/>
              </w:rPr>
            </w:pPr>
            <w:r>
              <w:rPr>
                <w:rFonts w:ascii="仿宋" w:hAnsi="仿宋" w:eastAsia="仿宋" w:cs="仿宋"/>
                <w:bCs/>
                <w:szCs w:val="21"/>
              </w:rPr>
              <w:t>≤100</w:t>
            </w:r>
          </w:p>
        </w:tc>
        <w:tc>
          <w:tcPr>
            <w:tcW w:w="1256" w:type="dxa"/>
            <w:vAlign w:val="center"/>
          </w:tcPr>
          <w:p>
            <w:pPr>
              <w:spacing w:line="240" w:lineRule="exact"/>
              <w:jc w:val="center"/>
              <w:rPr>
                <w:rFonts w:ascii="仿宋" w:hAnsi="仿宋" w:eastAsia="仿宋" w:cs="仿宋"/>
                <w:bCs/>
                <w:szCs w:val="21"/>
              </w:rPr>
            </w:pPr>
            <w:r>
              <w:rPr>
                <w:rFonts w:ascii="仿宋" w:hAnsi="仿宋" w:eastAsia="仿宋" w:cs="仿宋"/>
                <w:bCs/>
                <w:szCs w:val="21"/>
              </w:rPr>
              <w:t>≤100</w:t>
            </w:r>
          </w:p>
        </w:tc>
        <w:tc>
          <w:tcPr>
            <w:tcW w:w="1257" w:type="dxa"/>
            <w:vAlign w:val="center"/>
          </w:tcPr>
          <w:p>
            <w:pPr>
              <w:spacing w:line="240" w:lineRule="exact"/>
              <w:jc w:val="center"/>
              <w:rPr>
                <w:rFonts w:ascii="仿宋" w:hAnsi="仿宋" w:eastAsia="仿宋" w:cs="仿宋"/>
                <w:bCs/>
                <w:szCs w:val="21"/>
              </w:rPr>
            </w:pPr>
            <w:r>
              <w:rPr>
                <w:rFonts w:ascii="仿宋" w:hAnsi="仿宋" w:eastAsia="仿宋" w:cs="仿宋"/>
                <w:bCs/>
                <w:szCs w:val="21"/>
              </w:rPr>
              <w:t>≤1000</w:t>
            </w:r>
          </w:p>
        </w:tc>
        <w:tc>
          <w:tcPr>
            <w:tcW w:w="1247" w:type="dxa"/>
            <w:vAlign w:val="center"/>
          </w:tcPr>
          <w:p>
            <w:pPr>
              <w:spacing w:line="240" w:lineRule="exact"/>
              <w:jc w:val="center"/>
              <w:rPr>
                <w:rFonts w:ascii="仿宋" w:hAnsi="仿宋" w:eastAsia="仿宋" w:cs="仿宋"/>
                <w:bCs/>
                <w:szCs w:val="21"/>
              </w:rPr>
            </w:pPr>
            <w:r>
              <w:rPr>
                <w:rFonts w:ascii="仿宋" w:hAnsi="仿宋" w:eastAsia="仿宋" w:cs="仿宋"/>
                <w:bCs/>
                <w:szCs w:val="21"/>
              </w:rPr>
              <w:t>&gt;1000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23</w:t>
            </w:r>
          </w:p>
        </w:tc>
        <w:tc>
          <w:tcPr>
            <w:tcW w:w="2176"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氟化物</w:t>
            </w:r>
          </w:p>
        </w:tc>
        <w:tc>
          <w:tcPr>
            <w:tcW w:w="1253" w:type="dxa"/>
            <w:vAlign w:val="center"/>
          </w:tcPr>
          <w:p>
            <w:pPr>
              <w:spacing w:line="240" w:lineRule="exact"/>
              <w:jc w:val="center"/>
              <w:rPr>
                <w:rFonts w:ascii="仿宋" w:hAnsi="仿宋" w:eastAsia="仿宋" w:cs="仿宋"/>
                <w:bCs/>
                <w:szCs w:val="21"/>
              </w:rPr>
            </w:pPr>
            <w:r>
              <w:rPr>
                <w:rFonts w:ascii="仿宋" w:hAnsi="仿宋" w:eastAsia="仿宋" w:cs="仿宋"/>
                <w:bCs/>
                <w:szCs w:val="21"/>
              </w:rPr>
              <w:t>≤1</w:t>
            </w:r>
            <w:r>
              <w:rPr>
                <w:rFonts w:hint="eastAsia" w:ascii="仿宋" w:hAnsi="仿宋" w:eastAsia="仿宋" w:cs="仿宋"/>
                <w:bCs/>
                <w:szCs w:val="21"/>
              </w:rPr>
              <w:t>.</w:t>
            </w:r>
            <w:r>
              <w:rPr>
                <w:rFonts w:ascii="仿宋" w:hAnsi="仿宋" w:eastAsia="仿宋" w:cs="仿宋"/>
                <w:bCs/>
                <w:szCs w:val="21"/>
              </w:rPr>
              <w:t>0</w:t>
            </w:r>
          </w:p>
        </w:tc>
        <w:tc>
          <w:tcPr>
            <w:tcW w:w="1253" w:type="dxa"/>
            <w:vAlign w:val="center"/>
          </w:tcPr>
          <w:p>
            <w:pPr>
              <w:spacing w:line="240" w:lineRule="exact"/>
              <w:jc w:val="center"/>
              <w:rPr>
                <w:rFonts w:ascii="仿宋" w:hAnsi="仿宋" w:eastAsia="仿宋" w:cs="仿宋"/>
                <w:bCs/>
                <w:szCs w:val="21"/>
              </w:rPr>
            </w:pPr>
            <w:r>
              <w:rPr>
                <w:rFonts w:ascii="仿宋" w:hAnsi="仿宋" w:eastAsia="仿宋" w:cs="仿宋"/>
                <w:bCs/>
                <w:szCs w:val="21"/>
              </w:rPr>
              <w:t>≤1.0</w:t>
            </w:r>
          </w:p>
        </w:tc>
        <w:tc>
          <w:tcPr>
            <w:tcW w:w="1256" w:type="dxa"/>
            <w:vAlign w:val="center"/>
          </w:tcPr>
          <w:p>
            <w:pPr>
              <w:spacing w:line="240" w:lineRule="exact"/>
              <w:jc w:val="center"/>
              <w:rPr>
                <w:rFonts w:ascii="仿宋" w:hAnsi="仿宋" w:eastAsia="仿宋" w:cs="仿宋"/>
                <w:bCs/>
                <w:szCs w:val="21"/>
              </w:rPr>
            </w:pPr>
            <w:r>
              <w:rPr>
                <w:rFonts w:ascii="仿宋" w:hAnsi="仿宋" w:eastAsia="仿宋" w:cs="仿宋"/>
                <w:bCs/>
                <w:szCs w:val="21"/>
              </w:rPr>
              <w:t>≤1.0</w:t>
            </w:r>
          </w:p>
        </w:tc>
        <w:tc>
          <w:tcPr>
            <w:tcW w:w="1257" w:type="dxa"/>
            <w:vAlign w:val="center"/>
          </w:tcPr>
          <w:p>
            <w:pPr>
              <w:spacing w:line="240" w:lineRule="exact"/>
              <w:jc w:val="center"/>
              <w:rPr>
                <w:rFonts w:ascii="仿宋" w:hAnsi="仿宋" w:eastAsia="仿宋" w:cs="仿宋"/>
                <w:bCs/>
                <w:szCs w:val="21"/>
              </w:rPr>
            </w:pPr>
            <w:r>
              <w:rPr>
                <w:rFonts w:ascii="仿宋" w:hAnsi="仿宋" w:eastAsia="仿宋" w:cs="仿宋"/>
                <w:bCs/>
                <w:szCs w:val="21"/>
              </w:rPr>
              <w:t>≤2.0</w:t>
            </w:r>
          </w:p>
        </w:tc>
        <w:tc>
          <w:tcPr>
            <w:tcW w:w="1247" w:type="dxa"/>
            <w:vAlign w:val="center"/>
          </w:tcPr>
          <w:p>
            <w:pPr>
              <w:spacing w:line="240" w:lineRule="exact"/>
              <w:jc w:val="center"/>
              <w:rPr>
                <w:rFonts w:ascii="仿宋" w:hAnsi="仿宋" w:eastAsia="仿宋" w:cs="仿宋"/>
                <w:bCs/>
                <w:szCs w:val="21"/>
              </w:rPr>
            </w:pPr>
            <w:r>
              <w:rPr>
                <w:rFonts w:ascii="仿宋" w:hAnsi="仿宋" w:eastAsia="仿宋" w:cs="仿宋"/>
                <w:bCs/>
                <w:szCs w:val="21"/>
              </w:rPr>
              <w:t>&gt;2.0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24</w:t>
            </w:r>
          </w:p>
        </w:tc>
        <w:tc>
          <w:tcPr>
            <w:tcW w:w="2176"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溶解性总固体</w:t>
            </w:r>
          </w:p>
        </w:tc>
        <w:tc>
          <w:tcPr>
            <w:tcW w:w="1253" w:type="dxa"/>
            <w:vAlign w:val="center"/>
          </w:tcPr>
          <w:p>
            <w:pPr>
              <w:spacing w:line="240" w:lineRule="exact"/>
              <w:jc w:val="center"/>
              <w:rPr>
                <w:rFonts w:ascii="仿宋" w:hAnsi="仿宋" w:eastAsia="仿宋" w:cs="仿宋"/>
                <w:bCs/>
                <w:szCs w:val="21"/>
              </w:rPr>
            </w:pPr>
            <w:r>
              <w:rPr>
                <w:rFonts w:ascii="仿宋" w:hAnsi="仿宋" w:eastAsia="仿宋" w:cs="仿宋"/>
                <w:bCs/>
                <w:szCs w:val="21"/>
              </w:rPr>
              <w:t>≤300</w:t>
            </w:r>
          </w:p>
        </w:tc>
        <w:tc>
          <w:tcPr>
            <w:tcW w:w="1253" w:type="dxa"/>
            <w:vAlign w:val="center"/>
          </w:tcPr>
          <w:p>
            <w:pPr>
              <w:spacing w:line="240" w:lineRule="exact"/>
              <w:jc w:val="center"/>
              <w:rPr>
                <w:rFonts w:ascii="仿宋" w:hAnsi="仿宋" w:eastAsia="仿宋" w:cs="仿宋"/>
                <w:bCs/>
                <w:szCs w:val="21"/>
              </w:rPr>
            </w:pPr>
            <w:r>
              <w:rPr>
                <w:rFonts w:ascii="仿宋" w:hAnsi="仿宋" w:eastAsia="仿宋" w:cs="仿宋"/>
                <w:bCs/>
                <w:szCs w:val="21"/>
              </w:rPr>
              <w:t>≤500</w:t>
            </w:r>
          </w:p>
        </w:tc>
        <w:tc>
          <w:tcPr>
            <w:tcW w:w="1256" w:type="dxa"/>
            <w:vAlign w:val="center"/>
          </w:tcPr>
          <w:p>
            <w:pPr>
              <w:spacing w:line="240" w:lineRule="exact"/>
              <w:jc w:val="center"/>
              <w:rPr>
                <w:rFonts w:ascii="仿宋" w:hAnsi="仿宋" w:eastAsia="仿宋" w:cs="仿宋"/>
                <w:bCs/>
                <w:szCs w:val="21"/>
              </w:rPr>
            </w:pPr>
            <w:r>
              <w:rPr>
                <w:rFonts w:ascii="仿宋" w:hAnsi="仿宋" w:eastAsia="仿宋" w:cs="仿宋"/>
                <w:bCs/>
                <w:szCs w:val="21"/>
              </w:rPr>
              <w:t>≤1000</w:t>
            </w:r>
          </w:p>
        </w:tc>
        <w:tc>
          <w:tcPr>
            <w:tcW w:w="1257" w:type="dxa"/>
            <w:vAlign w:val="center"/>
          </w:tcPr>
          <w:p>
            <w:pPr>
              <w:spacing w:line="240" w:lineRule="exact"/>
              <w:jc w:val="center"/>
              <w:rPr>
                <w:rFonts w:ascii="仿宋" w:hAnsi="仿宋" w:eastAsia="仿宋" w:cs="仿宋"/>
                <w:bCs/>
                <w:szCs w:val="21"/>
              </w:rPr>
            </w:pPr>
            <w:r>
              <w:rPr>
                <w:rFonts w:ascii="仿宋" w:hAnsi="仿宋" w:eastAsia="仿宋" w:cs="仿宋"/>
                <w:bCs/>
                <w:szCs w:val="21"/>
              </w:rPr>
              <w:t>≤2000</w:t>
            </w:r>
          </w:p>
        </w:tc>
        <w:tc>
          <w:tcPr>
            <w:tcW w:w="1247" w:type="dxa"/>
            <w:vAlign w:val="center"/>
          </w:tcPr>
          <w:p>
            <w:pPr>
              <w:spacing w:line="240" w:lineRule="exact"/>
              <w:jc w:val="center"/>
              <w:rPr>
                <w:rFonts w:ascii="仿宋" w:hAnsi="仿宋" w:eastAsia="仿宋" w:cs="仿宋"/>
                <w:bCs/>
                <w:szCs w:val="21"/>
              </w:rPr>
            </w:pPr>
            <w:r>
              <w:rPr>
                <w:rFonts w:ascii="仿宋" w:hAnsi="仿宋" w:eastAsia="仿宋" w:cs="仿宋"/>
                <w:bCs/>
                <w:szCs w:val="21"/>
              </w:rPr>
              <w:t>&gt;2000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25</w:t>
            </w:r>
          </w:p>
        </w:tc>
        <w:tc>
          <w:tcPr>
            <w:tcW w:w="2176"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总氰化物</w:t>
            </w:r>
          </w:p>
        </w:tc>
        <w:tc>
          <w:tcPr>
            <w:tcW w:w="1253" w:type="dxa"/>
            <w:vAlign w:val="center"/>
          </w:tcPr>
          <w:p>
            <w:pPr>
              <w:spacing w:line="240" w:lineRule="exact"/>
              <w:jc w:val="center"/>
              <w:rPr>
                <w:rFonts w:ascii="仿宋" w:hAnsi="仿宋" w:eastAsia="仿宋" w:cs="仿宋"/>
                <w:bCs/>
                <w:szCs w:val="21"/>
              </w:rPr>
            </w:pPr>
            <w:r>
              <w:rPr>
                <w:rFonts w:ascii="仿宋" w:hAnsi="仿宋" w:eastAsia="仿宋" w:cs="仿宋"/>
                <w:bCs/>
                <w:szCs w:val="21"/>
              </w:rPr>
              <w:t>≤0.001</w:t>
            </w:r>
          </w:p>
        </w:tc>
        <w:tc>
          <w:tcPr>
            <w:tcW w:w="1253" w:type="dxa"/>
            <w:vAlign w:val="center"/>
          </w:tcPr>
          <w:p>
            <w:pPr>
              <w:spacing w:line="240" w:lineRule="exact"/>
              <w:jc w:val="center"/>
              <w:rPr>
                <w:rFonts w:ascii="仿宋" w:hAnsi="仿宋" w:eastAsia="仿宋" w:cs="仿宋"/>
                <w:bCs/>
                <w:szCs w:val="21"/>
              </w:rPr>
            </w:pPr>
            <w:r>
              <w:rPr>
                <w:rFonts w:ascii="仿宋" w:hAnsi="仿宋" w:eastAsia="仿宋" w:cs="仿宋"/>
                <w:bCs/>
                <w:szCs w:val="21"/>
              </w:rPr>
              <w:t>≤0.01</w:t>
            </w:r>
          </w:p>
        </w:tc>
        <w:tc>
          <w:tcPr>
            <w:tcW w:w="1256" w:type="dxa"/>
            <w:vAlign w:val="center"/>
          </w:tcPr>
          <w:p>
            <w:pPr>
              <w:spacing w:line="240" w:lineRule="exact"/>
              <w:jc w:val="center"/>
              <w:rPr>
                <w:rFonts w:ascii="仿宋" w:hAnsi="仿宋" w:eastAsia="仿宋" w:cs="仿宋"/>
                <w:bCs/>
                <w:szCs w:val="21"/>
              </w:rPr>
            </w:pPr>
            <w:r>
              <w:rPr>
                <w:rFonts w:ascii="仿宋" w:hAnsi="仿宋" w:eastAsia="仿宋" w:cs="仿宋"/>
                <w:bCs/>
                <w:szCs w:val="21"/>
              </w:rPr>
              <w:t>≤0.05</w:t>
            </w:r>
          </w:p>
        </w:tc>
        <w:tc>
          <w:tcPr>
            <w:tcW w:w="1257" w:type="dxa"/>
            <w:vAlign w:val="center"/>
          </w:tcPr>
          <w:p>
            <w:pPr>
              <w:spacing w:line="240" w:lineRule="exact"/>
              <w:jc w:val="center"/>
              <w:rPr>
                <w:rFonts w:ascii="仿宋" w:hAnsi="仿宋" w:eastAsia="仿宋" w:cs="仿宋"/>
                <w:bCs/>
                <w:szCs w:val="21"/>
              </w:rPr>
            </w:pPr>
            <w:r>
              <w:rPr>
                <w:rFonts w:ascii="仿宋" w:hAnsi="仿宋" w:eastAsia="仿宋" w:cs="仿宋"/>
                <w:bCs/>
                <w:szCs w:val="21"/>
              </w:rPr>
              <w:t>≤0.10</w:t>
            </w:r>
          </w:p>
        </w:tc>
        <w:tc>
          <w:tcPr>
            <w:tcW w:w="1247" w:type="dxa"/>
            <w:vAlign w:val="center"/>
          </w:tcPr>
          <w:p>
            <w:pPr>
              <w:spacing w:line="240" w:lineRule="exact"/>
              <w:jc w:val="center"/>
              <w:rPr>
                <w:rFonts w:ascii="仿宋" w:hAnsi="仿宋" w:eastAsia="仿宋" w:cs="仿宋"/>
                <w:bCs/>
                <w:szCs w:val="21"/>
              </w:rPr>
            </w:pPr>
            <w:r>
              <w:rPr>
                <w:rFonts w:ascii="仿宋" w:hAnsi="仿宋" w:eastAsia="仿宋" w:cs="仿宋"/>
                <w:bCs/>
                <w:szCs w:val="21"/>
              </w:rPr>
              <w:t>&gt;0.10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26</w:t>
            </w:r>
          </w:p>
        </w:tc>
        <w:tc>
          <w:tcPr>
            <w:tcW w:w="2176"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甲苯（</w:t>
            </w:r>
            <w:r>
              <w:rPr>
                <w:rFonts w:ascii="仿宋" w:hAnsi="仿宋" w:eastAsia="仿宋" w:cs="仿宋"/>
                <w:bCs/>
                <w:szCs w:val="21"/>
              </w:rPr>
              <w:t>ug/L</w:t>
            </w:r>
            <w:r>
              <w:rPr>
                <w:rFonts w:hint="eastAsia" w:ascii="仿宋" w:hAnsi="仿宋" w:eastAsia="仿宋" w:cs="仿宋"/>
                <w:bCs/>
                <w:szCs w:val="21"/>
              </w:rPr>
              <w:t>）</w:t>
            </w:r>
          </w:p>
        </w:tc>
        <w:tc>
          <w:tcPr>
            <w:tcW w:w="1253" w:type="dxa"/>
            <w:vAlign w:val="center"/>
          </w:tcPr>
          <w:p>
            <w:pPr>
              <w:spacing w:line="240" w:lineRule="exact"/>
              <w:jc w:val="center"/>
              <w:rPr>
                <w:rFonts w:ascii="仿宋" w:hAnsi="仿宋" w:eastAsia="仿宋" w:cs="仿宋"/>
                <w:bCs/>
                <w:szCs w:val="21"/>
              </w:rPr>
            </w:pPr>
            <w:r>
              <w:rPr>
                <w:rFonts w:ascii="仿宋" w:hAnsi="仿宋" w:eastAsia="仿宋" w:cs="仿宋"/>
                <w:bCs/>
                <w:szCs w:val="21"/>
              </w:rPr>
              <w:t>≤0.5</w:t>
            </w:r>
          </w:p>
        </w:tc>
        <w:tc>
          <w:tcPr>
            <w:tcW w:w="1253" w:type="dxa"/>
            <w:vAlign w:val="center"/>
          </w:tcPr>
          <w:p>
            <w:pPr>
              <w:spacing w:line="240" w:lineRule="exact"/>
              <w:jc w:val="center"/>
              <w:rPr>
                <w:rFonts w:ascii="仿宋" w:hAnsi="仿宋" w:eastAsia="仿宋" w:cs="仿宋"/>
                <w:bCs/>
                <w:szCs w:val="21"/>
              </w:rPr>
            </w:pPr>
            <w:r>
              <w:rPr>
                <w:rFonts w:ascii="仿宋" w:hAnsi="仿宋" w:eastAsia="仿宋" w:cs="仿宋"/>
                <w:bCs/>
                <w:szCs w:val="21"/>
              </w:rPr>
              <w:t>≤100</w:t>
            </w:r>
          </w:p>
        </w:tc>
        <w:tc>
          <w:tcPr>
            <w:tcW w:w="1256" w:type="dxa"/>
            <w:vAlign w:val="center"/>
          </w:tcPr>
          <w:p>
            <w:pPr>
              <w:spacing w:line="240" w:lineRule="exact"/>
              <w:jc w:val="center"/>
              <w:rPr>
                <w:rFonts w:ascii="仿宋" w:hAnsi="仿宋" w:eastAsia="仿宋" w:cs="仿宋"/>
                <w:bCs/>
                <w:szCs w:val="21"/>
              </w:rPr>
            </w:pPr>
            <w:r>
              <w:rPr>
                <w:rFonts w:ascii="仿宋" w:hAnsi="仿宋" w:eastAsia="仿宋" w:cs="仿宋"/>
                <w:bCs/>
                <w:szCs w:val="21"/>
              </w:rPr>
              <w:t>≤500</w:t>
            </w:r>
          </w:p>
        </w:tc>
        <w:tc>
          <w:tcPr>
            <w:tcW w:w="1257" w:type="dxa"/>
            <w:vAlign w:val="center"/>
          </w:tcPr>
          <w:p>
            <w:pPr>
              <w:spacing w:line="240" w:lineRule="exact"/>
              <w:jc w:val="center"/>
              <w:rPr>
                <w:rFonts w:ascii="仿宋" w:hAnsi="仿宋" w:eastAsia="仿宋" w:cs="仿宋"/>
                <w:bCs/>
                <w:szCs w:val="21"/>
              </w:rPr>
            </w:pPr>
            <w:r>
              <w:rPr>
                <w:rFonts w:ascii="仿宋" w:hAnsi="仿宋" w:eastAsia="仿宋" w:cs="仿宋"/>
                <w:bCs/>
                <w:szCs w:val="21"/>
              </w:rPr>
              <w:t>≤1000</w:t>
            </w:r>
          </w:p>
        </w:tc>
        <w:tc>
          <w:tcPr>
            <w:tcW w:w="1247" w:type="dxa"/>
            <w:vAlign w:val="center"/>
          </w:tcPr>
          <w:p>
            <w:pPr>
              <w:spacing w:line="240" w:lineRule="exact"/>
              <w:jc w:val="center"/>
              <w:rPr>
                <w:rFonts w:ascii="仿宋" w:hAnsi="仿宋" w:eastAsia="仿宋" w:cs="仿宋"/>
                <w:bCs/>
                <w:szCs w:val="21"/>
              </w:rPr>
            </w:pPr>
            <w:r>
              <w:rPr>
                <w:rFonts w:ascii="仿宋" w:hAnsi="仿宋" w:eastAsia="仿宋" w:cs="仿宋"/>
                <w:bCs/>
                <w:szCs w:val="21"/>
              </w:rPr>
              <w:t>&gt;1000</w:t>
            </w:r>
          </w:p>
        </w:tc>
      </w:tr>
    </w:tbl>
    <w:p>
      <w:pPr>
        <w:pStyle w:val="20"/>
        <w:spacing w:line="340" w:lineRule="exact"/>
        <w:ind w:firstLine="0" w:firstLineChars="0"/>
        <w:rPr>
          <w:rFonts w:eastAsia="仿宋_GB2312"/>
          <w:b/>
          <w:szCs w:val="21"/>
          <w:lang w:val="en-GB"/>
        </w:rPr>
      </w:pPr>
      <w:r>
        <w:rPr>
          <w:rFonts w:eastAsia="仿宋_GB2312"/>
          <w:b/>
          <w:szCs w:val="21"/>
        </w:rPr>
        <w:t>注</w:t>
      </w:r>
      <w:r>
        <w:rPr>
          <w:rFonts w:eastAsia="仿宋_GB2312"/>
          <w:b/>
          <w:szCs w:val="21"/>
          <w:lang w:val="en-GB"/>
        </w:rPr>
        <w:t>：</w:t>
      </w:r>
      <w:r>
        <w:rPr>
          <w:rFonts w:eastAsia="仿宋_GB2312"/>
          <w:b/>
          <w:szCs w:val="21"/>
        </w:rPr>
        <w:t>pH</w:t>
      </w:r>
      <w:r>
        <w:rPr>
          <w:rFonts w:eastAsia="仿宋_GB2312"/>
          <w:b/>
          <w:szCs w:val="21"/>
          <w:lang w:val="en-GB"/>
        </w:rPr>
        <w:t>无量纲。</w:t>
      </w:r>
    </w:p>
    <w:p>
      <w:pPr>
        <w:pStyle w:val="20"/>
        <w:adjustRightInd w:val="0"/>
        <w:snapToGrid w:val="0"/>
        <w:spacing w:line="500" w:lineRule="exact"/>
        <w:ind w:firstLine="560"/>
        <w:rPr>
          <w:rFonts w:eastAsia="仿宋_GB2312"/>
          <w:sz w:val="28"/>
          <w:szCs w:val="28"/>
        </w:rPr>
      </w:pPr>
      <w:r>
        <w:rPr>
          <w:rFonts w:hint="eastAsia" w:eastAsia="仿宋_GB2312" w:cs="宋体"/>
          <w:sz w:val="28"/>
          <w:szCs w:val="28"/>
        </w:rPr>
        <w:t>②</w:t>
      </w:r>
      <w:r>
        <w:rPr>
          <w:rFonts w:eastAsia="仿宋_GB2312"/>
          <w:sz w:val="28"/>
          <w:szCs w:val="28"/>
        </w:rPr>
        <w:t>土壤环境质量标准</w:t>
      </w:r>
    </w:p>
    <w:p>
      <w:pPr>
        <w:pStyle w:val="20"/>
        <w:adjustRightInd w:val="0"/>
        <w:snapToGrid w:val="0"/>
        <w:spacing w:line="500" w:lineRule="exact"/>
        <w:ind w:firstLine="560"/>
        <w:rPr>
          <w:rFonts w:eastAsia="仿宋_GB2312"/>
          <w:sz w:val="28"/>
          <w:szCs w:val="28"/>
        </w:rPr>
      </w:pPr>
      <w:r>
        <w:rPr>
          <w:rFonts w:eastAsia="仿宋_GB2312"/>
          <w:sz w:val="28"/>
          <w:szCs w:val="28"/>
        </w:rPr>
        <w:t>土壤环境质量符合《土壤环境质量 建设用地土壤污染风险管控标准（试行）》（GB36600-2018）中第二类用地筛选值</w:t>
      </w:r>
      <w:r>
        <w:rPr>
          <w:rFonts w:hint="eastAsia" w:eastAsia="仿宋_GB2312"/>
          <w:sz w:val="28"/>
          <w:szCs w:val="28"/>
        </w:rPr>
        <w:t>和</w:t>
      </w:r>
      <w:r>
        <w:rPr>
          <w:rFonts w:eastAsia="仿宋_GB2312"/>
          <w:sz w:val="28"/>
          <w:szCs w:val="28"/>
        </w:rPr>
        <w:t>管制值，具体标准值见表2.3-5。</w:t>
      </w:r>
      <w:bookmarkStart w:id="111" w:name="_Ref322962497"/>
    </w:p>
    <w:p>
      <w:pPr>
        <w:spacing w:line="500" w:lineRule="exact"/>
        <w:ind w:firstLine="482" w:firstLineChars="200"/>
        <w:jc w:val="center"/>
        <w:rPr>
          <w:rFonts w:eastAsia="仿宋_GB2312"/>
          <w:b/>
          <w:sz w:val="24"/>
        </w:rPr>
      </w:pPr>
      <w:r>
        <w:rPr>
          <w:rFonts w:eastAsia="仿宋_GB2312"/>
          <w:b/>
          <w:sz w:val="24"/>
        </w:rPr>
        <w:t>表2.3</w:t>
      </w:r>
      <w:r>
        <w:rPr>
          <w:rFonts w:eastAsia="仿宋_GB2312"/>
          <w:b/>
          <w:sz w:val="24"/>
        </w:rPr>
        <w:noBreakHyphen/>
      </w:r>
      <w:bookmarkEnd w:id="111"/>
      <w:r>
        <w:rPr>
          <w:rFonts w:eastAsia="仿宋_GB2312"/>
          <w:b/>
          <w:sz w:val="24"/>
        </w:rPr>
        <w:t xml:space="preserve">5  </w:t>
      </w:r>
      <w:r>
        <w:rPr>
          <w:rFonts w:hint="eastAsia" w:eastAsia="仿宋_GB2312"/>
          <w:b/>
          <w:sz w:val="24"/>
        </w:rPr>
        <w:t>建设用地土壤污染风险筛选值和管制值</w:t>
      </w:r>
      <w:r>
        <w:rPr>
          <w:rFonts w:eastAsia="仿宋_GB2312"/>
          <w:b/>
          <w:sz w:val="24"/>
        </w:rPr>
        <w:t>（单位：mg/kg）</w:t>
      </w:r>
    </w:p>
    <w:tbl>
      <w:tblPr>
        <w:tblStyle w:val="8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3615"/>
        <w:gridCol w:w="2375"/>
        <w:gridCol w:w="2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7" w:type="dxa"/>
            <w:vMerge w:val="restar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序号</w:t>
            </w:r>
          </w:p>
        </w:tc>
        <w:tc>
          <w:tcPr>
            <w:tcW w:w="3245" w:type="dxa"/>
            <w:vMerge w:val="restart"/>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污染物项目</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筛选值</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管制值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87" w:type="dxa"/>
            <w:vMerge w:val="continue"/>
            <w:vAlign w:val="center"/>
          </w:tcPr>
          <w:p>
            <w:pPr>
              <w:spacing w:line="240" w:lineRule="exact"/>
              <w:jc w:val="center"/>
              <w:rPr>
                <w:rFonts w:ascii="仿宋" w:hAnsi="仿宋" w:eastAsia="仿宋" w:cs="仿宋"/>
                <w:bCs/>
                <w:szCs w:val="21"/>
              </w:rPr>
            </w:pPr>
          </w:p>
        </w:tc>
        <w:tc>
          <w:tcPr>
            <w:tcW w:w="3245" w:type="dxa"/>
            <w:vMerge w:val="continue"/>
            <w:tcBorders>
              <w:left w:val="single" w:color="auto" w:sz="4" w:space="0"/>
            </w:tcBorders>
            <w:vAlign w:val="center"/>
          </w:tcPr>
          <w:p>
            <w:pPr>
              <w:spacing w:line="240" w:lineRule="exact"/>
              <w:jc w:val="center"/>
              <w:rPr>
                <w:rFonts w:ascii="仿宋" w:hAnsi="仿宋" w:eastAsia="仿宋" w:cs="仿宋"/>
                <w:bCs/>
                <w:szCs w:val="21"/>
              </w:rPr>
            </w:pPr>
          </w:p>
        </w:tc>
        <w:tc>
          <w:tcPr>
            <w:tcW w:w="4264" w:type="dxa"/>
            <w:gridSpan w:val="2"/>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第二类用地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8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w:t>
            </w:r>
          </w:p>
        </w:tc>
        <w:tc>
          <w:tcPr>
            <w:tcW w:w="3245"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砷</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60</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8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w:t>
            </w:r>
          </w:p>
        </w:tc>
        <w:tc>
          <w:tcPr>
            <w:tcW w:w="3245"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镉</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65</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8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w:t>
            </w:r>
          </w:p>
        </w:tc>
        <w:tc>
          <w:tcPr>
            <w:tcW w:w="3245"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铬（六价）</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5.7</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8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4</w:t>
            </w:r>
          </w:p>
        </w:tc>
        <w:tc>
          <w:tcPr>
            <w:tcW w:w="3245"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铜</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18000</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8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5</w:t>
            </w:r>
          </w:p>
        </w:tc>
        <w:tc>
          <w:tcPr>
            <w:tcW w:w="3245"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铅</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800</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8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6</w:t>
            </w:r>
          </w:p>
        </w:tc>
        <w:tc>
          <w:tcPr>
            <w:tcW w:w="3245"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汞</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38</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8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7</w:t>
            </w:r>
          </w:p>
        </w:tc>
        <w:tc>
          <w:tcPr>
            <w:tcW w:w="3245"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镍</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900</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8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8</w:t>
            </w:r>
          </w:p>
        </w:tc>
        <w:tc>
          <w:tcPr>
            <w:tcW w:w="3245"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四氯化碳</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2.8</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8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9</w:t>
            </w:r>
          </w:p>
        </w:tc>
        <w:tc>
          <w:tcPr>
            <w:tcW w:w="3245"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氯仿</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0.9</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8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10</w:t>
            </w:r>
          </w:p>
        </w:tc>
        <w:tc>
          <w:tcPr>
            <w:tcW w:w="3245"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氯甲烷</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37</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8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11</w:t>
            </w:r>
          </w:p>
        </w:tc>
        <w:tc>
          <w:tcPr>
            <w:tcW w:w="3245"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1,1-二氯乙烷</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9</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8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12</w:t>
            </w:r>
          </w:p>
        </w:tc>
        <w:tc>
          <w:tcPr>
            <w:tcW w:w="3245"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1,2-二氯乙烷</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5</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8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13</w:t>
            </w:r>
          </w:p>
        </w:tc>
        <w:tc>
          <w:tcPr>
            <w:tcW w:w="3245"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1,1-二氯乙烯</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66</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8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14</w:t>
            </w:r>
          </w:p>
        </w:tc>
        <w:tc>
          <w:tcPr>
            <w:tcW w:w="3245"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顺-1,2-二氯乙烯</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596</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8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15</w:t>
            </w:r>
          </w:p>
        </w:tc>
        <w:tc>
          <w:tcPr>
            <w:tcW w:w="3245"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反-1,2-二氯乙烯</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54</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8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16</w:t>
            </w:r>
          </w:p>
        </w:tc>
        <w:tc>
          <w:tcPr>
            <w:tcW w:w="3245"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二氯甲烷</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616</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8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17</w:t>
            </w:r>
          </w:p>
        </w:tc>
        <w:tc>
          <w:tcPr>
            <w:tcW w:w="3245"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1,2-二氯丙烷</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5</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8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18</w:t>
            </w:r>
          </w:p>
        </w:tc>
        <w:tc>
          <w:tcPr>
            <w:tcW w:w="3245"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1,1,1,2-四氯乙烷</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10</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8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19</w:t>
            </w:r>
          </w:p>
        </w:tc>
        <w:tc>
          <w:tcPr>
            <w:tcW w:w="3245"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1,1,2,2-四氯乙烷</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6.8</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8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20</w:t>
            </w:r>
          </w:p>
        </w:tc>
        <w:tc>
          <w:tcPr>
            <w:tcW w:w="3245"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四氯乙烯</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53</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8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21</w:t>
            </w:r>
          </w:p>
        </w:tc>
        <w:tc>
          <w:tcPr>
            <w:tcW w:w="3245"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1,1,1-三氯乙烷</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840</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8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22</w:t>
            </w:r>
          </w:p>
        </w:tc>
        <w:tc>
          <w:tcPr>
            <w:tcW w:w="3245"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1,1,2-三氯乙烷</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2.8</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8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23</w:t>
            </w:r>
          </w:p>
        </w:tc>
        <w:tc>
          <w:tcPr>
            <w:tcW w:w="3245"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三氯乙烯</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2.8</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8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24</w:t>
            </w:r>
          </w:p>
        </w:tc>
        <w:tc>
          <w:tcPr>
            <w:tcW w:w="3245"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1,2,3-三氯丙烷</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0.5</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8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25</w:t>
            </w:r>
          </w:p>
        </w:tc>
        <w:tc>
          <w:tcPr>
            <w:tcW w:w="3245"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氯乙烯</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0.43</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8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26</w:t>
            </w:r>
          </w:p>
        </w:tc>
        <w:tc>
          <w:tcPr>
            <w:tcW w:w="3245"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苯</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4</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8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27</w:t>
            </w:r>
          </w:p>
        </w:tc>
        <w:tc>
          <w:tcPr>
            <w:tcW w:w="3245"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氯苯</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270</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8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28</w:t>
            </w:r>
          </w:p>
        </w:tc>
        <w:tc>
          <w:tcPr>
            <w:tcW w:w="3245"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1,2-二氯苯</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560</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8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29</w:t>
            </w:r>
          </w:p>
        </w:tc>
        <w:tc>
          <w:tcPr>
            <w:tcW w:w="3245"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1,4-二氯苯</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20</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8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30</w:t>
            </w:r>
          </w:p>
        </w:tc>
        <w:tc>
          <w:tcPr>
            <w:tcW w:w="3245"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乙苯</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28</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8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31</w:t>
            </w:r>
          </w:p>
        </w:tc>
        <w:tc>
          <w:tcPr>
            <w:tcW w:w="3245"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苯乙烯</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1290</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8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32</w:t>
            </w:r>
          </w:p>
        </w:tc>
        <w:tc>
          <w:tcPr>
            <w:tcW w:w="3245"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甲苯</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1200</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8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33</w:t>
            </w:r>
          </w:p>
        </w:tc>
        <w:tc>
          <w:tcPr>
            <w:tcW w:w="3245"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间二甲苯+对二甲苯</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570</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8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34</w:t>
            </w:r>
          </w:p>
        </w:tc>
        <w:tc>
          <w:tcPr>
            <w:tcW w:w="3245"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邻二甲苯</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640</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8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35</w:t>
            </w:r>
          </w:p>
        </w:tc>
        <w:tc>
          <w:tcPr>
            <w:tcW w:w="3245"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硝基苯</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76</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8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36</w:t>
            </w:r>
          </w:p>
        </w:tc>
        <w:tc>
          <w:tcPr>
            <w:tcW w:w="3245"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苯胺</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260</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663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8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37</w:t>
            </w:r>
          </w:p>
        </w:tc>
        <w:tc>
          <w:tcPr>
            <w:tcW w:w="3245"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2-氯酚</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2256</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8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38</w:t>
            </w:r>
          </w:p>
        </w:tc>
        <w:tc>
          <w:tcPr>
            <w:tcW w:w="3245"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苯并[a]蔥</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15</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8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39</w:t>
            </w:r>
          </w:p>
        </w:tc>
        <w:tc>
          <w:tcPr>
            <w:tcW w:w="3245"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苯并[a]芘</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1.5</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8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40</w:t>
            </w:r>
          </w:p>
        </w:tc>
        <w:tc>
          <w:tcPr>
            <w:tcW w:w="3245"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苯并[b]荧蔥</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15</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8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41</w:t>
            </w:r>
          </w:p>
        </w:tc>
        <w:tc>
          <w:tcPr>
            <w:tcW w:w="3245"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苯并[k]荧蔥</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151</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8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42</w:t>
            </w:r>
          </w:p>
        </w:tc>
        <w:tc>
          <w:tcPr>
            <w:tcW w:w="3245"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䓛</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1293</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12900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8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43</w:t>
            </w:r>
          </w:p>
        </w:tc>
        <w:tc>
          <w:tcPr>
            <w:tcW w:w="3245"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二苯并[a,h]蔥</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1.5</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8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44</w:t>
            </w:r>
          </w:p>
        </w:tc>
        <w:tc>
          <w:tcPr>
            <w:tcW w:w="3245"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茚并[1,2,3-cd]芘</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15</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8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45</w:t>
            </w:r>
          </w:p>
        </w:tc>
        <w:tc>
          <w:tcPr>
            <w:tcW w:w="3245"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萘</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70</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8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46</w:t>
            </w:r>
          </w:p>
        </w:tc>
        <w:tc>
          <w:tcPr>
            <w:tcW w:w="3245"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石油烃</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4500</w:t>
            </w:r>
          </w:p>
        </w:tc>
        <w:tc>
          <w:tcPr>
            <w:tcW w:w="213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9000</w:t>
            </w:r>
          </w:p>
        </w:tc>
      </w:tr>
    </w:tbl>
    <w:p>
      <w:pPr>
        <w:spacing w:line="500" w:lineRule="exact"/>
        <w:ind w:firstLine="562" w:firstLineChars="200"/>
        <w:rPr>
          <w:rFonts w:eastAsia="仿宋_GB2312"/>
          <w:b/>
          <w:sz w:val="28"/>
          <w:szCs w:val="28"/>
        </w:rPr>
      </w:pPr>
      <w:r>
        <w:rPr>
          <w:rFonts w:eastAsia="仿宋_GB2312"/>
          <w:b/>
          <w:sz w:val="28"/>
          <w:szCs w:val="28"/>
        </w:rPr>
        <w:t>（4）环境噪声标准</w:t>
      </w:r>
    </w:p>
    <w:p>
      <w:pPr>
        <w:adjustRightInd w:val="0"/>
        <w:snapToGrid w:val="0"/>
        <w:spacing w:line="500" w:lineRule="exact"/>
        <w:ind w:firstLine="592" w:firstLineChars="200"/>
        <w:rPr>
          <w:rFonts w:eastAsia="仿宋_GB2312"/>
          <w:sz w:val="28"/>
          <w:szCs w:val="28"/>
        </w:rPr>
      </w:pPr>
      <w:r>
        <w:rPr>
          <w:rFonts w:eastAsia="仿宋_GB2312"/>
          <w:bCs/>
          <w:spacing w:val="8"/>
          <w:sz w:val="28"/>
          <w:szCs w:val="28"/>
        </w:rPr>
        <w:t>根据《常州市市区声环境功能区划（2017）》，项目所在地</w:t>
      </w:r>
      <w:r>
        <w:rPr>
          <w:rFonts w:hint="eastAsia" w:eastAsia="仿宋_GB2312"/>
          <w:bCs/>
          <w:spacing w:val="8"/>
          <w:sz w:val="28"/>
          <w:szCs w:val="28"/>
        </w:rPr>
        <w:t>东、西、北厂界</w:t>
      </w:r>
      <w:r>
        <w:rPr>
          <w:rFonts w:eastAsia="仿宋_GB2312"/>
          <w:bCs/>
          <w:spacing w:val="8"/>
          <w:sz w:val="28"/>
          <w:szCs w:val="28"/>
        </w:rPr>
        <w:t>执行《声环境质量标准》（GB3096-2008）3类标准</w:t>
      </w:r>
      <w:r>
        <w:rPr>
          <w:rFonts w:hint="eastAsia" w:eastAsia="仿宋_GB2312"/>
          <w:bCs/>
          <w:spacing w:val="8"/>
          <w:sz w:val="28"/>
          <w:szCs w:val="28"/>
        </w:rPr>
        <w:t>，</w:t>
      </w:r>
      <w:r>
        <w:rPr>
          <w:rFonts w:eastAsia="仿宋_GB2312"/>
          <w:sz w:val="28"/>
          <w:szCs w:val="28"/>
        </w:rPr>
        <w:t>即：昼间≤65dB（A）、夜间≤55dB（A）</w:t>
      </w:r>
      <w:r>
        <w:rPr>
          <w:rFonts w:hint="eastAsia" w:eastAsia="仿宋_GB2312"/>
          <w:sz w:val="28"/>
          <w:szCs w:val="28"/>
        </w:rPr>
        <w:t>；</w:t>
      </w:r>
      <w:r>
        <w:rPr>
          <w:rFonts w:eastAsia="仿宋_GB2312"/>
          <w:bCs/>
          <w:spacing w:val="8"/>
          <w:sz w:val="28"/>
          <w:szCs w:val="28"/>
        </w:rPr>
        <w:t>项目所在地</w:t>
      </w:r>
      <w:r>
        <w:rPr>
          <w:rFonts w:hint="eastAsia" w:eastAsia="仿宋_GB2312"/>
          <w:bCs/>
          <w:spacing w:val="8"/>
          <w:sz w:val="28"/>
          <w:szCs w:val="28"/>
        </w:rPr>
        <w:t>南厂界</w:t>
      </w:r>
      <w:r>
        <w:rPr>
          <w:rFonts w:eastAsia="仿宋_GB2312"/>
          <w:bCs/>
          <w:spacing w:val="8"/>
          <w:sz w:val="28"/>
          <w:szCs w:val="28"/>
        </w:rPr>
        <w:t>执行《声环境质量标准》（GB3096-2008）4</w:t>
      </w:r>
      <w:r>
        <w:rPr>
          <w:rFonts w:hint="eastAsia" w:eastAsia="仿宋_GB2312"/>
          <w:bCs/>
          <w:spacing w:val="8"/>
          <w:sz w:val="28"/>
          <w:szCs w:val="28"/>
        </w:rPr>
        <w:t>a</w:t>
      </w:r>
      <w:r>
        <w:rPr>
          <w:rFonts w:eastAsia="仿宋_GB2312"/>
          <w:bCs/>
          <w:spacing w:val="8"/>
          <w:sz w:val="28"/>
          <w:szCs w:val="28"/>
        </w:rPr>
        <w:t>类标准</w:t>
      </w:r>
      <w:r>
        <w:rPr>
          <w:rFonts w:hint="eastAsia" w:eastAsia="仿宋_GB2312"/>
          <w:bCs/>
          <w:spacing w:val="8"/>
          <w:sz w:val="28"/>
          <w:szCs w:val="28"/>
        </w:rPr>
        <w:t>，</w:t>
      </w:r>
      <w:r>
        <w:rPr>
          <w:rFonts w:eastAsia="仿宋_GB2312"/>
          <w:sz w:val="28"/>
          <w:szCs w:val="28"/>
        </w:rPr>
        <w:t>即：昼间≤70dB（A）、夜间≤55dB（A）。</w:t>
      </w:r>
    </w:p>
    <w:p>
      <w:pPr>
        <w:pStyle w:val="5"/>
        <w:keepLines w:val="0"/>
        <w:widowControl/>
        <w:tabs>
          <w:tab w:val="left" w:pos="993"/>
        </w:tabs>
        <w:adjustRightInd w:val="0"/>
        <w:snapToGrid w:val="0"/>
        <w:spacing w:after="120" w:afterLines="50"/>
        <w:jc w:val="left"/>
        <w:rPr>
          <w:rFonts w:ascii="Times New Roman" w:hAnsi="Times New Roman"/>
          <w:b/>
        </w:rPr>
      </w:pPr>
      <w:r>
        <w:rPr>
          <w:rFonts w:hint="eastAsia" w:ascii="Times New Roman" w:hAnsi="Times New Roman"/>
          <w:b/>
        </w:rPr>
        <w:t>2.3.4</w:t>
      </w:r>
      <w:r>
        <w:rPr>
          <w:rFonts w:ascii="Times New Roman" w:hAnsi="Times New Roman"/>
          <w:b/>
        </w:rPr>
        <w:t>排放标准</w:t>
      </w:r>
    </w:p>
    <w:p>
      <w:pPr>
        <w:adjustRightInd w:val="0"/>
        <w:snapToGrid w:val="0"/>
        <w:spacing w:line="500" w:lineRule="exact"/>
        <w:ind w:firstLine="594" w:firstLineChars="200"/>
        <w:rPr>
          <w:rFonts w:eastAsia="仿宋_GB2312"/>
          <w:b/>
          <w:spacing w:val="8"/>
          <w:sz w:val="28"/>
          <w:szCs w:val="28"/>
        </w:rPr>
      </w:pPr>
      <w:r>
        <w:rPr>
          <w:rFonts w:eastAsia="仿宋_GB2312"/>
          <w:b/>
          <w:spacing w:val="8"/>
          <w:sz w:val="28"/>
          <w:szCs w:val="28"/>
        </w:rPr>
        <w:t>（1）废气</w:t>
      </w:r>
    </w:p>
    <w:p>
      <w:pPr>
        <w:adjustRightInd w:val="0"/>
        <w:snapToGrid w:val="0"/>
        <w:spacing w:line="500" w:lineRule="exact"/>
        <w:ind w:firstLine="592" w:firstLineChars="200"/>
        <w:rPr>
          <w:rFonts w:eastAsia="仿宋_GB2312"/>
          <w:bCs/>
          <w:spacing w:val="8"/>
          <w:sz w:val="28"/>
          <w:szCs w:val="28"/>
        </w:rPr>
      </w:pPr>
      <w:r>
        <w:rPr>
          <w:rFonts w:eastAsia="仿宋_GB2312"/>
          <w:bCs/>
          <w:spacing w:val="8"/>
          <w:sz w:val="28"/>
          <w:szCs w:val="28"/>
        </w:rPr>
        <w:t>本项</w:t>
      </w:r>
      <w:r>
        <w:rPr>
          <w:rFonts w:hint="eastAsia" w:eastAsia="仿宋_GB2312"/>
          <w:bCs/>
          <w:spacing w:val="8"/>
          <w:sz w:val="28"/>
          <w:szCs w:val="28"/>
        </w:rPr>
        <w:t>目生产过程中有组织排放的非甲烷总烃、二甲苯、</w:t>
      </w:r>
      <w:r>
        <w:rPr>
          <w:rFonts w:eastAsia="仿宋_GB2312"/>
          <w:bCs/>
          <w:spacing w:val="8"/>
          <w:sz w:val="28"/>
          <w:szCs w:val="28"/>
        </w:rPr>
        <w:t>S</w:t>
      </w:r>
      <w:r>
        <w:rPr>
          <w:rFonts w:hint="eastAsia" w:eastAsia="仿宋_GB2312"/>
          <w:bCs/>
          <w:spacing w:val="8"/>
          <w:sz w:val="28"/>
          <w:szCs w:val="28"/>
        </w:rPr>
        <w:t>O</w:t>
      </w:r>
      <w:r>
        <w:rPr>
          <w:rFonts w:hint="eastAsia" w:eastAsia="仿宋_GB2312"/>
          <w:bCs/>
          <w:spacing w:val="8"/>
          <w:sz w:val="28"/>
          <w:szCs w:val="28"/>
          <w:vertAlign w:val="subscript"/>
        </w:rPr>
        <w:t>2</w:t>
      </w:r>
      <w:r>
        <w:rPr>
          <w:rFonts w:hint="eastAsia" w:eastAsia="仿宋_GB2312"/>
          <w:bCs/>
          <w:spacing w:val="8"/>
          <w:sz w:val="28"/>
          <w:szCs w:val="28"/>
        </w:rPr>
        <w:t>、N</w:t>
      </w:r>
      <w:r>
        <w:rPr>
          <w:rFonts w:eastAsia="仿宋_GB2312"/>
          <w:bCs/>
          <w:spacing w:val="8"/>
          <w:sz w:val="28"/>
          <w:szCs w:val="28"/>
        </w:rPr>
        <w:t>O</w:t>
      </w:r>
      <w:r>
        <w:rPr>
          <w:rFonts w:eastAsia="仿宋_GB2312"/>
          <w:bCs/>
          <w:spacing w:val="8"/>
          <w:sz w:val="28"/>
          <w:szCs w:val="28"/>
          <w:vertAlign w:val="subscript"/>
        </w:rPr>
        <w:t>X</w:t>
      </w:r>
      <w:r>
        <w:rPr>
          <w:rFonts w:hint="eastAsia" w:eastAsia="仿宋_GB2312"/>
          <w:bCs/>
          <w:spacing w:val="8"/>
          <w:sz w:val="28"/>
          <w:szCs w:val="28"/>
        </w:rPr>
        <w:t>、</w:t>
      </w:r>
      <w:r>
        <w:rPr>
          <w:rFonts w:eastAsia="仿宋_GB2312"/>
          <w:bCs/>
          <w:spacing w:val="8"/>
          <w:sz w:val="28"/>
          <w:szCs w:val="28"/>
        </w:rPr>
        <w:t>颗粒物</w:t>
      </w:r>
      <w:r>
        <w:rPr>
          <w:rFonts w:hint="eastAsia" w:eastAsia="仿宋_GB2312"/>
          <w:bCs/>
          <w:spacing w:val="8"/>
          <w:sz w:val="28"/>
          <w:szCs w:val="28"/>
        </w:rPr>
        <w:t>执行《大气</w:t>
      </w:r>
      <w:r>
        <w:rPr>
          <w:rFonts w:eastAsia="仿宋_GB2312"/>
          <w:bCs/>
          <w:spacing w:val="8"/>
          <w:sz w:val="28"/>
          <w:szCs w:val="28"/>
        </w:rPr>
        <w:t>污染物</w:t>
      </w:r>
      <w:r>
        <w:rPr>
          <w:rFonts w:hint="eastAsia" w:eastAsia="仿宋_GB2312"/>
          <w:bCs/>
          <w:spacing w:val="8"/>
          <w:sz w:val="28"/>
          <w:szCs w:val="28"/>
        </w:rPr>
        <w:t>综合</w:t>
      </w:r>
      <w:r>
        <w:rPr>
          <w:rFonts w:eastAsia="仿宋_GB2312"/>
          <w:bCs/>
          <w:spacing w:val="8"/>
          <w:sz w:val="28"/>
          <w:szCs w:val="28"/>
        </w:rPr>
        <w:t>排放标准</w:t>
      </w:r>
      <w:r>
        <w:rPr>
          <w:rFonts w:hint="eastAsia" w:eastAsia="仿宋_GB2312"/>
          <w:bCs/>
          <w:spacing w:val="8"/>
          <w:sz w:val="28"/>
          <w:szCs w:val="28"/>
        </w:rPr>
        <w:t>》(DB32/4041-2021)中表</w:t>
      </w:r>
      <w:r>
        <w:rPr>
          <w:rFonts w:eastAsia="仿宋_GB2312"/>
          <w:bCs/>
          <w:spacing w:val="8"/>
          <w:sz w:val="28"/>
          <w:szCs w:val="28"/>
        </w:rPr>
        <w:t>1</w:t>
      </w:r>
      <w:r>
        <w:rPr>
          <w:rFonts w:hint="eastAsia" w:eastAsia="仿宋_GB2312"/>
          <w:bCs/>
          <w:spacing w:val="8"/>
          <w:sz w:val="28"/>
          <w:szCs w:val="28"/>
        </w:rPr>
        <w:t>限值。</w:t>
      </w:r>
    </w:p>
    <w:p>
      <w:pPr>
        <w:adjustRightInd w:val="0"/>
        <w:snapToGrid w:val="0"/>
        <w:spacing w:line="500" w:lineRule="exact"/>
        <w:ind w:firstLine="592" w:firstLineChars="200"/>
        <w:rPr>
          <w:rFonts w:eastAsia="仿宋_GB2312"/>
          <w:bCs/>
          <w:spacing w:val="8"/>
          <w:sz w:val="28"/>
          <w:szCs w:val="28"/>
        </w:rPr>
      </w:pPr>
      <w:r>
        <w:rPr>
          <w:rFonts w:hint="eastAsia" w:eastAsia="仿宋_GB2312"/>
          <w:bCs/>
          <w:spacing w:val="8"/>
          <w:sz w:val="28"/>
          <w:szCs w:val="28"/>
        </w:rPr>
        <w:t>厂界非甲烷总烃、</w:t>
      </w:r>
      <w:r>
        <w:rPr>
          <w:rFonts w:eastAsia="仿宋_GB2312"/>
          <w:bCs/>
          <w:spacing w:val="8"/>
          <w:sz w:val="28"/>
          <w:szCs w:val="28"/>
        </w:rPr>
        <w:t>颗粒物</w:t>
      </w:r>
      <w:r>
        <w:rPr>
          <w:rFonts w:hint="eastAsia" w:eastAsia="仿宋_GB2312"/>
          <w:bCs/>
          <w:spacing w:val="8"/>
          <w:sz w:val="28"/>
          <w:szCs w:val="28"/>
        </w:rPr>
        <w:t>无组织排放浓度执行《大气</w:t>
      </w:r>
      <w:r>
        <w:rPr>
          <w:rFonts w:eastAsia="仿宋_GB2312"/>
          <w:bCs/>
          <w:spacing w:val="8"/>
          <w:sz w:val="28"/>
          <w:szCs w:val="28"/>
        </w:rPr>
        <w:t>污染物</w:t>
      </w:r>
      <w:r>
        <w:rPr>
          <w:rFonts w:hint="eastAsia" w:eastAsia="仿宋_GB2312"/>
          <w:bCs/>
          <w:spacing w:val="8"/>
          <w:sz w:val="28"/>
          <w:szCs w:val="28"/>
        </w:rPr>
        <w:t>综合</w:t>
      </w:r>
      <w:r>
        <w:rPr>
          <w:rFonts w:eastAsia="仿宋_GB2312"/>
          <w:bCs/>
          <w:spacing w:val="8"/>
          <w:sz w:val="28"/>
          <w:szCs w:val="28"/>
        </w:rPr>
        <w:t>排放标准</w:t>
      </w:r>
      <w:r>
        <w:rPr>
          <w:rFonts w:hint="eastAsia" w:eastAsia="仿宋_GB2312"/>
          <w:bCs/>
          <w:spacing w:val="8"/>
          <w:sz w:val="28"/>
          <w:szCs w:val="28"/>
        </w:rPr>
        <w:t>》(DB32/4041-2021)中表3限值，厂区内非甲烷总烃无组织排放浓度</w:t>
      </w:r>
      <w:r>
        <w:rPr>
          <w:rFonts w:eastAsia="仿宋_GB2312"/>
          <w:bCs/>
          <w:spacing w:val="8"/>
          <w:sz w:val="28"/>
          <w:szCs w:val="28"/>
        </w:rPr>
        <w:t>参照</w:t>
      </w:r>
      <w:r>
        <w:rPr>
          <w:rFonts w:hint="eastAsia" w:eastAsia="仿宋_GB2312"/>
          <w:bCs/>
          <w:spacing w:val="8"/>
          <w:sz w:val="28"/>
          <w:szCs w:val="28"/>
        </w:rPr>
        <w:t>《大气</w:t>
      </w:r>
      <w:r>
        <w:rPr>
          <w:rFonts w:eastAsia="仿宋_GB2312"/>
          <w:bCs/>
          <w:spacing w:val="8"/>
          <w:sz w:val="28"/>
          <w:szCs w:val="28"/>
        </w:rPr>
        <w:t>污染物</w:t>
      </w:r>
      <w:r>
        <w:rPr>
          <w:rFonts w:hint="eastAsia" w:eastAsia="仿宋_GB2312"/>
          <w:bCs/>
          <w:spacing w:val="8"/>
          <w:sz w:val="28"/>
          <w:szCs w:val="28"/>
        </w:rPr>
        <w:t>综合</w:t>
      </w:r>
      <w:r>
        <w:rPr>
          <w:rFonts w:eastAsia="仿宋_GB2312"/>
          <w:bCs/>
          <w:spacing w:val="8"/>
          <w:sz w:val="28"/>
          <w:szCs w:val="28"/>
        </w:rPr>
        <w:t>排放标准</w:t>
      </w:r>
      <w:r>
        <w:rPr>
          <w:rFonts w:hint="eastAsia" w:eastAsia="仿宋_GB2312"/>
          <w:bCs/>
          <w:spacing w:val="8"/>
          <w:sz w:val="28"/>
          <w:szCs w:val="28"/>
        </w:rPr>
        <w:t>》(DB32/4041-2021)中</w:t>
      </w:r>
      <w:r>
        <w:rPr>
          <w:rFonts w:eastAsia="仿宋_GB2312"/>
          <w:bCs/>
          <w:spacing w:val="8"/>
          <w:sz w:val="28"/>
          <w:szCs w:val="28"/>
        </w:rPr>
        <w:t>表2</w:t>
      </w:r>
      <w:r>
        <w:rPr>
          <w:rFonts w:hint="eastAsia" w:eastAsia="仿宋_GB2312"/>
          <w:bCs/>
          <w:spacing w:val="8"/>
          <w:sz w:val="28"/>
          <w:szCs w:val="28"/>
        </w:rPr>
        <w:t>限值，</w:t>
      </w:r>
      <w:r>
        <w:rPr>
          <w:rFonts w:eastAsia="仿宋_GB2312"/>
          <w:bCs/>
          <w:spacing w:val="8"/>
          <w:sz w:val="28"/>
          <w:szCs w:val="28"/>
        </w:rPr>
        <w:t>标准值见下表：</w:t>
      </w:r>
    </w:p>
    <w:p>
      <w:pPr>
        <w:spacing w:line="500" w:lineRule="exact"/>
        <w:ind w:firstLine="592" w:firstLineChars="200"/>
        <w:rPr>
          <w:rFonts w:eastAsia="仿宋_GB2312"/>
          <w:bCs/>
          <w:spacing w:val="8"/>
          <w:sz w:val="28"/>
          <w:szCs w:val="28"/>
        </w:rPr>
      </w:pPr>
      <w:r>
        <w:rPr>
          <w:rFonts w:hint="eastAsia" w:eastAsia="仿宋_GB2312"/>
          <w:bCs/>
          <w:spacing w:val="8"/>
          <w:sz w:val="28"/>
          <w:szCs w:val="28"/>
        </w:rPr>
        <w:t>进入VOCs单一燃烧（焚烧、氧化）装置的废气需要补充空气进行燃烧、氧化反应的，排气筒中实测挥发性有机物排放浓度，应按下式换算为基准含氧量为3%的挥发性有机物基准排放浓度。利用锅炉、工业炉窑、固废焚烧炉焚烧处理有机废气的，烟气基准含氧量按其排放标准规定执行。</w:t>
      </w:r>
    </w:p>
    <w:p>
      <w:pPr>
        <w:jc w:val="center"/>
        <w:rPr>
          <w:rFonts w:eastAsia="仿宋_GB2312"/>
          <w:b/>
          <w:bCs/>
          <w:sz w:val="24"/>
        </w:rPr>
      </w:pPr>
      <w:r>
        <w:drawing>
          <wp:inline distT="0" distB="0" distL="0" distR="0">
            <wp:extent cx="2056765" cy="1085215"/>
            <wp:effectExtent l="0" t="0" r="635"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40"/>
                    <a:stretch>
                      <a:fillRect/>
                    </a:stretch>
                  </pic:blipFill>
                  <pic:spPr>
                    <a:xfrm>
                      <a:off x="0" y="0"/>
                      <a:ext cx="2057143" cy="1085714"/>
                    </a:xfrm>
                    <a:prstGeom prst="rect">
                      <a:avLst/>
                    </a:prstGeom>
                  </pic:spPr>
                </pic:pic>
              </a:graphicData>
            </a:graphic>
          </wp:inline>
        </w:drawing>
      </w:r>
    </w:p>
    <w:p>
      <w:pPr>
        <w:spacing w:line="500" w:lineRule="exact"/>
        <w:ind w:firstLine="592" w:firstLineChars="200"/>
        <w:rPr>
          <w:rFonts w:eastAsia="仿宋_GB2312"/>
          <w:bCs/>
          <w:spacing w:val="8"/>
          <w:sz w:val="28"/>
          <w:szCs w:val="28"/>
        </w:rPr>
      </w:pPr>
      <w:r>
        <w:rPr>
          <w:rFonts w:hint="eastAsia" w:eastAsia="仿宋_GB2312"/>
          <w:bCs/>
          <w:spacing w:val="8"/>
          <w:sz w:val="28"/>
          <w:szCs w:val="28"/>
        </w:rPr>
        <w:t>式中：ρ基——大气污染物基准排放质量浓度，mg/m</w:t>
      </w:r>
      <w:r>
        <w:rPr>
          <w:rFonts w:hint="eastAsia" w:eastAsia="仿宋_GB2312"/>
          <w:bCs/>
          <w:spacing w:val="8"/>
          <w:sz w:val="28"/>
          <w:szCs w:val="28"/>
          <w:vertAlign w:val="superscript"/>
        </w:rPr>
        <w:t>3</w:t>
      </w:r>
      <w:r>
        <w:rPr>
          <w:rFonts w:hint="eastAsia" w:eastAsia="仿宋_GB2312"/>
          <w:bCs/>
          <w:spacing w:val="8"/>
          <w:sz w:val="28"/>
          <w:szCs w:val="28"/>
        </w:rPr>
        <w:t>；</w:t>
      </w:r>
    </w:p>
    <w:p>
      <w:pPr>
        <w:spacing w:line="500" w:lineRule="exact"/>
        <w:ind w:firstLine="592" w:firstLineChars="200"/>
        <w:rPr>
          <w:rFonts w:eastAsia="仿宋_GB2312"/>
          <w:bCs/>
          <w:spacing w:val="8"/>
          <w:sz w:val="28"/>
          <w:szCs w:val="28"/>
        </w:rPr>
      </w:pPr>
      <w:r>
        <w:rPr>
          <w:rFonts w:hint="eastAsia" w:eastAsia="仿宋_GB2312"/>
          <w:bCs/>
          <w:spacing w:val="8"/>
          <w:sz w:val="28"/>
          <w:szCs w:val="28"/>
        </w:rPr>
        <w:t>ρ实——实测大气污染物排放质量浓度，mg/m</w:t>
      </w:r>
      <w:r>
        <w:rPr>
          <w:rFonts w:hint="eastAsia" w:eastAsia="仿宋_GB2312"/>
          <w:bCs/>
          <w:spacing w:val="8"/>
          <w:sz w:val="28"/>
          <w:szCs w:val="28"/>
          <w:vertAlign w:val="superscript"/>
        </w:rPr>
        <w:t>3</w:t>
      </w:r>
      <w:r>
        <w:rPr>
          <w:rFonts w:hint="eastAsia" w:eastAsia="仿宋_GB2312"/>
          <w:bCs/>
          <w:spacing w:val="8"/>
          <w:sz w:val="28"/>
          <w:szCs w:val="28"/>
        </w:rPr>
        <w:t>；</w:t>
      </w:r>
    </w:p>
    <w:p>
      <w:pPr>
        <w:spacing w:line="500" w:lineRule="exact"/>
        <w:ind w:firstLine="592" w:firstLineChars="200"/>
        <w:rPr>
          <w:rFonts w:eastAsia="仿宋_GB2312"/>
          <w:bCs/>
          <w:spacing w:val="8"/>
          <w:sz w:val="28"/>
          <w:szCs w:val="28"/>
        </w:rPr>
      </w:pPr>
      <w:r>
        <w:rPr>
          <w:rFonts w:hint="eastAsia" w:eastAsia="仿宋_GB2312"/>
          <w:bCs/>
          <w:spacing w:val="8"/>
          <w:sz w:val="28"/>
          <w:szCs w:val="28"/>
        </w:rPr>
        <w:t>O基——干烟气基准含氧量，%；</w:t>
      </w:r>
    </w:p>
    <w:p>
      <w:pPr>
        <w:adjustRightInd w:val="0"/>
        <w:snapToGrid w:val="0"/>
        <w:spacing w:line="500" w:lineRule="exact"/>
        <w:ind w:firstLine="592" w:firstLineChars="200"/>
        <w:rPr>
          <w:rFonts w:eastAsia="仿宋_GB2312"/>
          <w:bCs/>
          <w:spacing w:val="8"/>
          <w:sz w:val="28"/>
          <w:szCs w:val="28"/>
        </w:rPr>
      </w:pPr>
      <w:r>
        <w:rPr>
          <w:rFonts w:hint="eastAsia" w:eastAsia="仿宋_GB2312"/>
          <w:bCs/>
          <w:spacing w:val="8"/>
          <w:sz w:val="28"/>
          <w:szCs w:val="28"/>
        </w:rPr>
        <w:t>O实——实测的干烟气含氧量，%。</w:t>
      </w:r>
    </w:p>
    <w:p>
      <w:pPr>
        <w:spacing w:line="500" w:lineRule="exact"/>
        <w:jc w:val="center"/>
        <w:rPr>
          <w:rFonts w:eastAsia="仿宋_GB2312"/>
          <w:b/>
          <w:bCs/>
          <w:sz w:val="24"/>
        </w:rPr>
      </w:pPr>
      <w:r>
        <w:rPr>
          <w:rFonts w:eastAsia="仿宋_GB2312"/>
          <w:b/>
          <w:bCs/>
          <w:sz w:val="24"/>
        </w:rPr>
        <w:t>表2.3-</w:t>
      </w:r>
      <w:r>
        <w:rPr>
          <w:rFonts w:hint="eastAsia" w:eastAsia="仿宋_GB2312"/>
          <w:b/>
          <w:bCs/>
          <w:sz w:val="24"/>
        </w:rPr>
        <w:t>6</w:t>
      </w:r>
      <w:r>
        <w:rPr>
          <w:rFonts w:eastAsia="仿宋_GB2312"/>
          <w:b/>
          <w:bCs/>
          <w:sz w:val="24"/>
        </w:rPr>
        <w:t xml:space="preserve">  大气污染物排放限值</w:t>
      </w:r>
    </w:p>
    <w:tbl>
      <w:tblPr>
        <w:tblStyle w:val="87"/>
        <w:tblW w:w="90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3"/>
        <w:gridCol w:w="2016"/>
        <w:gridCol w:w="1739"/>
        <w:gridCol w:w="1833"/>
        <w:gridCol w:w="2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363"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污染源</w:t>
            </w:r>
          </w:p>
        </w:tc>
        <w:tc>
          <w:tcPr>
            <w:tcW w:w="2016" w:type="dxa"/>
            <w:vAlign w:val="center"/>
          </w:tcPr>
          <w:p>
            <w:pPr>
              <w:spacing w:line="240" w:lineRule="exact"/>
              <w:jc w:val="center"/>
              <w:rPr>
                <w:rFonts w:ascii="仿宋" w:hAnsi="仿宋" w:eastAsia="仿宋" w:cs="仿宋"/>
                <w:bCs/>
                <w:szCs w:val="21"/>
              </w:rPr>
            </w:pPr>
            <w:r>
              <w:rPr>
                <w:rFonts w:ascii="仿宋" w:hAnsi="仿宋" w:eastAsia="仿宋" w:cs="仿宋"/>
                <w:bCs/>
                <w:szCs w:val="21"/>
              </w:rPr>
              <w:t>污染物</w:t>
            </w:r>
          </w:p>
        </w:tc>
        <w:tc>
          <w:tcPr>
            <w:tcW w:w="1739" w:type="dxa"/>
            <w:vAlign w:val="center"/>
          </w:tcPr>
          <w:p>
            <w:pPr>
              <w:spacing w:line="240" w:lineRule="exact"/>
              <w:jc w:val="center"/>
              <w:rPr>
                <w:rFonts w:ascii="仿宋" w:hAnsi="仿宋" w:eastAsia="仿宋" w:cs="仿宋"/>
                <w:bCs/>
                <w:szCs w:val="21"/>
              </w:rPr>
            </w:pPr>
            <w:r>
              <w:rPr>
                <w:rFonts w:ascii="仿宋" w:hAnsi="仿宋" w:eastAsia="仿宋" w:cs="仿宋"/>
                <w:bCs/>
                <w:szCs w:val="21"/>
              </w:rPr>
              <w:t>最高允许排放浓度（mg/m</w:t>
            </w:r>
            <w:r>
              <w:rPr>
                <w:rFonts w:ascii="仿宋" w:hAnsi="仿宋" w:eastAsia="仿宋" w:cs="仿宋"/>
                <w:bCs/>
                <w:szCs w:val="21"/>
                <w:vertAlign w:val="superscript"/>
              </w:rPr>
              <w:t>3</w:t>
            </w:r>
            <w:r>
              <w:rPr>
                <w:rFonts w:ascii="仿宋" w:hAnsi="仿宋" w:eastAsia="仿宋" w:cs="仿宋"/>
                <w:bCs/>
                <w:szCs w:val="21"/>
              </w:rPr>
              <w:t>）</w:t>
            </w:r>
          </w:p>
        </w:tc>
        <w:tc>
          <w:tcPr>
            <w:tcW w:w="1833" w:type="dxa"/>
            <w:vAlign w:val="center"/>
          </w:tcPr>
          <w:p>
            <w:pPr>
              <w:spacing w:line="240" w:lineRule="exact"/>
              <w:jc w:val="center"/>
              <w:rPr>
                <w:rFonts w:ascii="仿宋" w:hAnsi="仿宋" w:eastAsia="仿宋" w:cs="仿宋"/>
                <w:bCs/>
                <w:szCs w:val="21"/>
              </w:rPr>
            </w:pPr>
            <w:r>
              <w:rPr>
                <w:rFonts w:ascii="仿宋" w:hAnsi="仿宋" w:eastAsia="仿宋" w:cs="仿宋"/>
                <w:bCs/>
                <w:szCs w:val="21"/>
              </w:rPr>
              <w:t>最高允许排放速率（kg/h）</w:t>
            </w:r>
          </w:p>
        </w:tc>
        <w:tc>
          <w:tcPr>
            <w:tcW w:w="207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执行</w:t>
            </w:r>
            <w:r>
              <w:rPr>
                <w:rFonts w:ascii="仿宋" w:hAnsi="仿宋" w:eastAsia="仿宋" w:cs="仿宋"/>
                <w:bCs/>
                <w:szCs w:val="21"/>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363" w:type="dxa"/>
            <w:vMerge w:val="restar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w:t>
            </w:r>
          </w:p>
        </w:tc>
        <w:tc>
          <w:tcPr>
            <w:tcW w:w="2016"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非甲烷</w:t>
            </w:r>
            <w:r>
              <w:rPr>
                <w:rFonts w:ascii="仿宋" w:hAnsi="仿宋" w:eastAsia="仿宋" w:cs="仿宋"/>
                <w:bCs/>
                <w:szCs w:val="21"/>
              </w:rPr>
              <w:t>总烃</w:t>
            </w:r>
          </w:p>
        </w:tc>
        <w:tc>
          <w:tcPr>
            <w:tcW w:w="1739"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60</w:t>
            </w:r>
          </w:p>
        </w:tc>
        <w:tc>
          <w:tcPr>
            <w:tcW w:w="1833"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w:t>
            </w:r>
          </w:p>
        </w:tc>
        <w:tc>
          <w:tcPr>
            <w:tcW w:w="2077" w:type="dxa"/>
            <w:vMerge w:val="restar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《大气</w:t>
            </w:r>
            <w:r>
              <w:rPr>
                <w:rFonts w:ascii="仿宋" w:hAnsi="仿宋" w:eastAsia="仿宋" w:cs="仿宋"/>
                <w:bCs/>
                <w:szCs w:val="21"/>
              </w:rPr>
              <w:t>污染物</w:t>
            </w:r>
            <w:r>
              <w:rPr>
                <w:rFonts w:hint="eastAsia" w:ascii="仿宋" w:hAnsi="仿宋" w:eastAsia="仿宋" w:cs="仿宋"/>
                <w:bCs/>
                <w:szCs w:val="21"/>
              </w:rPr>
              <w:t>综合</w:t>
            </w:r>
            <w:r>
              <w:rPr>
                <w:rFonts w:ascii="仿宋" w:hAnsi="仿宋" w:eastAsia="仿宋" w:cs="仿宋"/>
                <w:bCs/>
                <w:szCs w:val="21"/>
              </w:rPr>
              <w:t>排放标准</w:t>
            </w:r>
            <w:r>
              <w:rPr>
                <w:rFonts w:hint="eastAsia" w:ascii="仿宋" w:hAnsi="仿宋" w:eastAsia="仿宋" w:cs="仿宋"/>
                <w:bCs/>
                <w:szCs w:val="21"/>
              </w:rPr>
              <w:t>》(DB32/4041-2021)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363" w:type="dxa"/>
            <w:vMerge w:val="continue"/>
            <w:vAlign w:val="center"/>
          </w:tcPr>
          <w:p>
            <w:pPr>
              <w:spacing w:line="240" w:lineRule="exact"/>
              <w:jc w:val="center"/>
              <w:rPr>
                <w:rFonts w:ascii="仿宋" w:hAnsi="仿宋" w:eastAsia="仿宋" w:cs="仿宋"/>
                <w:bCs/>
                <w:szCs w:val="21"/>
              </w:rPr>
            </w:pPr>
          </w:p>
        </w:tc>
        <w:tc>
          <w:tcPr>
            <w:tcW w:w="2016" w:type="dxa"/>
            <w:vAlign w:val="center"/>
          </w:tcPr>
          <w:p>
            <w:pPr>
              <w:spacing w:line="240" w:lineRule="exact"/>
              <w:jc w:val="center"/>
              <w:rPr>
                <w:rFonts w:ascii="仿宋" w:hAnsi="仿宋" w:eastAsia="仿宋" w:cs="仿宋"/>
                <w:bCs/>
                <w:szCs w:val="21"/>
              </w:rPr>
            </w:pPr>
            <w:r>
              <w:rPr>
                <w:rFonts w:ascii="仿宋" w:hAnsi="仿宋" w:eastAsia="仿宋" w:cs="仿宋"/>
                <w:bCs/>
                <w:szCs w:val="21"/>
              </w:rPr>
              <w:t>二甲苯</w:t>
            </w:r>
          </w:p>
        </w:tc>
        <w:tc>
          <w:tcPr>
            <w:tcW w:w="1739"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10</w:t>
            </w:r>
          </w:p>
        </w:tc>
        <w:tc>
          <w:tcPr>
            <w:tcW w:w="1833"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0.72</w:t>
            </w:r>
          </w:p>
        </w:tc>
        <w:tc>
          <w:tcPr>
            <w:tcW w:w="2077" w:type="dxa"/>
            <w:vMerge w:val="continue"/>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363" w:type="dxa"/>
            <w:vMerge w:val="continue"/>
            <w:vAlign w:val="center"/>
          </w:tcPr>
          <w:p>
            <w:pPr>
              <w:spacing w:line="240" w:lineRule="exact"/>
              <w:jc w:val="center"/>
              <w:rPr>
                <w:rFonts w:ascii="仿宋" w:hAnsi="仿宋" w:eastAsia="仿宋" w:cs="仿宋"/>
                <w:bCs/>
                <w:szCs w:val="21"/>
              </w:rPr>
            </w:pPr>
          </w:p>
        </w:tc>
        <w:tc>
          <w:tcPr>
            <w:tcW w:w="2016" w:type="dxa"/>
            <w:vAlign w:val="center"/>
          </w:tcPr>
          <w:p>
            <w:pPr>
              <w:spacing w:line="240" w:lineRule="exact"/>
              <w:jc w:val="center"/>
              <w:rPr>
                <w:rFonts w:ascii="仿宋" w:hAnsi="仿宋" w:eastAsia="仿宋" w:cs="仿宋"/>
                <w:bCs/>
                <w:szCs w:val="21"/>
              </w:rPr>
            </w:pPr>
            <w:r>
              <w:rPr>
                <w:rFonts w:ascii="仿宋" w:hAnsi="仿宋" w:eastAsia="仿宋" w:cs="仿宋"/>
                <w:bCs/>
                <w:szCs w:val="21"/>
              </w:rPr>
              <w:t>S</w:t>
            </w:r>
            <w:r>
              <w:rPr>
                <w:rFonts w:hint="eastAsia" w:ascii="仿宋" w:hAnsi="仿宋" w:eastAsia="仿宋" w:cs="仿宋"/>
                <w:bCs/>
                <w:szCs w:val="21"/>
              </w:rPr>
              <w:t>O</w:t>
            </w:r>
            <w:r>
              <w:rPr>
                <w:rFonts w:hint="eastAsia" w:ascii="仿宋" w:hAnsi="仿宋" w:eastAsia="仿宋" w:cs="仿宋"/>
                <w:bCs/>
                <w:szCs w:val="21"/>
                <w:vertAlign w:val="subscript"/>
              </w:rPr>
              <w:t>2</w:t>
            </w:r>
          </w:p>
        </w:tc>
        <w:tc>
          <w:tcPr>
            <w:tcW w:w="1739" w:type="dxa"/>
            <w:vAlign w:val="center"/>
          </w:tcPr>
          <w:p>
            <w:pPr>
              <w:spacing w:line="240" w:lineRule="exact"/>
              <w:jc w:val="center"/>
              <w:rPr>
                <w:rFonts w:ascii="仿宋" w:hAnsi="仿宋" w:eastAsia="仿宋" w:cs="仿宋"/>
                <w:bCs/>
                <w:szCs w:val="21"/>
              </w:rPr>
            </w:pPr>
            <w:r>
              <w:rPr>
                <w:rFonts w:ascii="仿宋" w:hAnsi="仿宋" w:eastAsia="仿宋" w:cs="仿宋"/>
                <w:bCs/>
                <w:szCs w:val="21"/>
              </w:rPr>
              <w:t>200</w:t>
            </w:r>
          </w:p>
        </w:tc>
        <w:tc>
          <w:tcPr>
            <w:tcW w:w="1833" w:type="dxa"/>
            <w:vAlign w:val="center"/>
          </w:tcPr>
          <w:p>
            <w:pPr>
              <w:spacing w:line="240" w:lineRule="exact"/>
              <w:jc w:val="center"/>
              <w:rPr>
                <w:rFonts w:ascii="仿宋" w:hAnsi="仿宋" w:eastAsia="仿宋" w:cs="仿宋"/>
                <w:bCs/>
                <w:szCs w:val="21"/>
              </w:rPr>
            </w:pPr>
            <w:r>
              <w:rPr>
                <w:rFonts w:ascii="仿宋" w:hAnsi="仿宋" w:eastAsia="仿宋" w:cs="仿宋"/>
                <w:bCs/>
                <w:szCs w:val="21"/>
              </w:rPr>
              <w:t>/</w:t>
            </w:r>
          </w:p>
        </w:tc>
        <w:tc>
          <w:tcPr>
            <w:tcW w:w="2077" w:type="dxa"/>
            <w:vMerge w:val="continue"/>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363" w:type="dxa"/>
            <w:vMerge w:val="continue"/>
            <w:vAlign w:val="center"/>
          </w:tcPr>
          <w:p>
            <w:pPr>
              <w:spacing w:line="240" w:lineRule="exact"/>
              <w:jc w:val="center"/>
              <w:rPr>
                <w:rFonts w:ascii="仿宋" w:hAnsi="仿宋" w:eastAsia="仿宋" w:cs="仿宋"/>
                <w:bCs/>
                <w:szCs w:val="21"/>
              </w:rPr>
            </w:pPr>
          </w:p>
        </w:tc>
        <w:tc>
          <w:tcPr>
            <w:tcW w:w="2016"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N</w:t>
            </w:r>
            <w:r>
              <w:rPr>
                <w:rFonts w:ascii="仿宋" w:hAnsi="仿宋" w:eastAsia="仿宋" w:cs="仿宋"/>
                <w:bCs/>
                <w:szCs w:val="21"/>
              </w:rPr>
              <w:t>O</w:t>
            </w:r>
            <w:r>
              <w:rPr>
                <w:rFonts w:ascii="仿宋" w:hAnsi="仿宋" w:eastAsia="仿宋" w:cs="仿宋"/>
                <w:bCs/>
                <w:szCs w:val="21"/>
                <w:vertAlign w:val="subscript"/>
              </w:rPr>
              <w:t>X</w:t>
            </w:r>
          </w:p>
        </w:tc>
        <w:tc>
          <w:tcPr>
            <w:tcW w:w="1739" w:type="dxa"/>
            <w:vAlign w:val="center"/>
          </w:tcPr>
          <w:p>
            <w:pPr>
              <w:spacing w:line="240" w:lineRule="exact"/>
              <w:jc w:val="center"/>
              <w:rPr>
                <w:rFonts w:ascii="仿宋" w:hAnsi="仿宋" w:eastAsia="仿宋" w:cs="仿宋"/>
                <w:bCs/>
                <w:szCs w:val="21"/>
              </w:rPr>
            </w:pPr>
            <w:r>
              <w:rPr>
                <w:rFonts w:ascii="仿宋" w:hAnsi="仿宋" w:eastAsia="仿宋" w:cs="仿宋"/>
                <w:bCs/>
                <w:szCs w:val="21"/>
              </w:rPr>
              <w:t>2</w:t>
            </w:r>
            <w:r>
              <w:rPr>
                <w:rFonts w:hint="eastAsia" w:ascii="仿宋" w:hAnsi="仿宋" w:eastAsia="仿宋" w:cs="仿宋"/>
                <w:bCs/>
                <w:szCs w:val="21"/>
              </w:rPr>
              <w:t>00</w:t>
            </w:r>
          </w:p>
        </w:tc>
        <w:tc>
          <w:tcPr>
            <w:tcW w:w="1833"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w:t>
            </w:r>
          </w:p>
        </w:tc>
        <w:tc>
          <w:tcPr>
            <w:tcW w:w="2077" w:type="dxa"/>
            <w:vMerge w:val="continue"/>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363" w:type="dxa"/>
            <w:vMerge w:val="continue"/>
            <w:vAlign w:val="center"/>
          </w:tcPr>
          <w:p>
            <w:pPr>
              <w:spacing w:line="240" w:lineRule="exact"/>
              <w:jc w:val="center"/>
              <w:rPr>
                <w:rFonts w:ascii="仿宋" w:hAnsi="仿宋" w:eastAsia="仿宋" w:cs="仿宋"/>
                <w:bCs/>
                <w:szCs w:val="21"/>
              </w:rPr>
            </w:pPr>
          </w:p>
        </w:tc>
        <w:tc>
          <w:tcPr>
            <w:tcW w:w="2016" w:type="dxa"/>
            <w:vAlign w:val="center"/>
          </w:tcPr>
          <w:p>
            <w:pPr>
              <w:spacing w:line="240" w:lineRule="exact"/>
              <w:jc w:val="center"/>
              <w:rPr>
                <w:rFonts w:ascii="仿宋" w:hAnsi="仿宋" w:eastAsia="仿宋" w:cs="仿宋"/>
                <w:bCs/>
                <w:szCs w:val="21"/>
              </w:rPr>
            </w:pPr>
            <w:r>
              <w:rPr>
                <w:rFonts w:ascii="仿宋" w:hAnsi="仿宋" w:eastAsia="仿宋" w:cs="仿宋"/>
                <w:bCs/>
                <w:szCs w:val="21"/>
              </w:rPr>
              <w:t>颗粒物</w:t>
            </w:r>
          </w:p>
        </w:tc>
        <w:tc>
          <w:tcPr>
            <w:tcW w:w="1739"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20</w:t>
            </w:r>
          </w:p>
        </w:tc>
        <w:tc>
          <w:tcPr>
            <w:tcW w:w="1833"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w:t>
            </w:r>
          </w:p>
        </w:tc>
        <w:tc>
          <w:tcPr>
            <w:tcW w:w="2077" w:type="dxa"/>
            <w:vMerge w:val="continue"/>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363"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w:t>
            </w:r>
          </w:p>
        </w:tc>
        <w:tc>
          <w:tcPr>
            <w:tcW w:w="2016"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非甲烷</w:t>
            </w:r>
            <w:r>
              <w:rPr>
                <w:rFonts w:ascii="仿宋" w:hAnsi="仿宋" w:eastAsia="仿宋" w:cs="仿宋"/>
                <w:bCs/>
                <w:szCs w:val="21"/>
              </w:rPr>
              <w:t>总烃</w:t>
            </w:r>
          </w:p>
        </w:tc>
        <w:tc>
          <w:tcPr>
            <w:tcW w:w="1739"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60</w:t>
            </w:r>
          </w:p>
        </w:tc>
        <w:tc>
          <w:tcPr>
            <w:tcW w:w="1833"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w:t>
            </w:r>
          </w:p>
        </w:tc>
        <w:tc>
          <w:tcPr>
            <w:tcW w:w="2077" w:type="dxa"/>
            <w:vMerge w:val="continue"/>
            <w:vAlign w:val="center"/>
          </w:tcPr>
          <w:p>
            <w:pPr>
              <w:spacing w:line="240" w:lineRule="exact"/>
              <w:jc w:val="center"/>
              <w:rPr>
                <w:rFonts w:ascii="仿宋" w:hAnsi="仿宋" w:eastAsia="仿宋" w:cs="仿宋"/>
                <w:bCs/>
                <w:szCs w:val="21"/>
              </w:rPr>
            </w:pPr>
          </w:p>
        </w:tc>
      </w:tr>
    </w:tbl>
    <w:p>
      <w:pPr>
        <w:spacing w:line="500" w:lineRule="exact"/>
        <w:jc w:val="center"/>
        <w:rPr>
          <w:rFonts w:eastAsia="仿宋_GB2312"/>
          <w:b/>
          <w:bCs/>
          <w:sz w:val="24"/>
        </w:rPr>
      </w:pPr>
      <w:r>
        <w:rPr>
          <w:rFonts w:hint="eastAsia" w:eastAsia="仿宋_GB2312"/>
          <w:b/>
          <w:bCs/>
          <w:sz w:val="24"/>
        </w:rPr>
        <w:t>表2.3</w:t>
      </w:r>
      <w:r>
        <w:rPr>
          <w:rFonts w:eastAsia="仿宋_GB2312"/>
          <w:b/>
          <w:bCs/>
          <w:sz w:val="24"/>
        </w:rPr>
        <w:t>-</w:t>
      </w:r>
      <w:r>
        <w:rPr>
          <w:rFonts w:hint="eastAsia" w:eastAsia="仿宋_GB2312"/>
          <w:b/>
          <w:bCs/>
          <w:sz w:val="24"/>
        </w:rPr>
        <w:t>7</w:t>
      </w:r>
      <w:r>
        <w:rPr>
          <w:rFonts w:eastAsia="仿宋_GB2312"/>
          <w:b/>
          <w:bCs/>
          <w:sz w:val="24"/>
        </w:rPr>
        <w:t xml:space="preserve"> </w:t>
      </w:r>
      <w:r>
        <w:rPr>
          <w:rFonts w:hint="eastAsia" w:eastAsia="仿宋_GB2312"/>
          <w:b/>
          <w:bCs/>
          <w:sz w:val="24"/>
        </w:rPr>
        <w:t>厂区内VOC</w:t>
      </w:r>
      <w:r>
        <w:rPr>
          <w:rFonts w:hint="eastAsia" w:eastAsia="仿宋_GB2312"/>
          <w:b/>
          <w:bCs/>
          <w:sz w:val="24"/>
          <w:vertAlign w:val="subscript"/>
        </w:rPr>
        <w:t>S</w:t>
      </w:r>
      <w:r>
        <w:rPr>
          <w:rFonts w:hint="eastAsia" w:eastAsia="仿宋_GB2312"/>
          <w:b/>
          <w:bCs/>
          <w:sz w:val="24"/>
        </w:rPr>
        <w:t>无组织</w:t>
      </w:r>
      <w:r>
        <w:rPr>
          <w:rFonts w:eastAsia="仿宋_GB2312"/>
          <w:b/>
          <w:bCs/>
          <w:sz w:val="24"/>
        </w:rPr>
        <w:t>排放限值</w:t>
      </w:r>
    </w:p>
    <w:tbl>
      <w:tblPr>
        <w:tblStyle w:val="87"/>
        <w:tblW w:w="5268" w:type="pct"/>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35"/>
        <w:gridCol w:w="1585"/>
        <w:gridCol w:w="1930"/>
        <w:gridCol w:w="1930"/>
        <w:gridCol w:w="31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9" w:hRule="atLeast"/>
        </w:trPr>
        <w:tc>
          <w:tcPr>
            <w:tcW w:w="583" w:type="pc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污染物</w:t>
            </w:r>
            <w:r>
              <w:rPr>
                <w:rFonts w:ascii="仿宋" w:hAnsi="仿宋" w:eastAsia="仿宋" w:cs="仿宋"/>
                <w:bCs/>
                <w:szCs w:val="21"/>
              </w:rPr>
              <w:t>名称</w:t>
            </w:r>
          </w:p>
        </w:tc>
        <w:tc>
          <w:tcPr>
            <w:tcW w:w="814" w:type="pc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特别排放</w:t>
            </w:r>
            <w:r>
              <w:rPr>
                <w:rFonts w:ascii="仿宋" w:hAnsi="仿宋" w:eastAsia="仿宋" w:cs="仿宋"/>
                <w:bCs/>
                <w:szCs w:val="21"/>
              </w:rPr>
              <w:t>限值</w:t>
            </w:r>
            <w:r>
              <w:rPr>
                <w:rFonts w:hint="eastAsia" w:ascii="仿宋" w:hAnsi="仿宋" w:eastAsia="仿宋" w:cs="仿宋"/>
                <w:bCs/>
                <w:szCs w:val="21"/>
              </w:rPr>
              <w:t>mg/m</w:t>
            </w:r>
            <w:r>
              <w:rPr>
                <w:rFonts w:hint="eastAsia" w:ascii="仿宋" w:hAnsi="仿宋" w:eastAsia="仿宋" w:cs="仿宋"/>
                <w:bCs/>
                <w:szCs w:val="21"/>
                <w:vertAlign w:val="superscript"/>
              </w:rPr>
              <w:t>3</w:t>
            </w:r>
          </w:p>
        </w:tc>
        <w:tc>
          <w:tcPr>
            <w:tcW w:w="991" w:type="pc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限值</w:t>
            </w:r>
            <w:r>
              <w:rPr>
                <w:rFonts w:ascii="仿宋" w:hAnsi="仿宋" w:eastAsia="仿宋" w:cs="仿宋"/>
                <w:bCs/>
                <w:szCs w:val="21"/>
              </w:rPr>
              <w:t>含义</w:t>
            </w:r>
          </w:p>
        </w:tc>
        <w:tc>
          <w:tcPr>
            <w:tcW w:w="991" w:type="pc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无组织</w:t>
            </w:r>
            <w:r>
              <w:rPr>
                <w:rFonts w:ascii="仿宋" w:hAnsi="仿宋" w:eastAsia="仿宋" w:cs="仿宋"/>
                <w:bCs/>
                <w:szCs w:val="21"/>
              </w:rPr>
              <w:t>排放监控位置</w:t>
            </w:r>
          </w:p>
        </w:tc>
        <w:tc>
          <w:tcPr>
            <w:tcW w:w="1621" w:type="pc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标准</w:t>
            </w:r>
            <w:r>
              <w:rPr>
                <w:rFonts w:ascii="仿宋" w:hAnsi="仿宋" w:eastAsia="仿宋" w:cs="仿宋"/>
                <w:bCs/>
                <w:szCs w:val="21"/>
              </w:rPr>
              <w:t>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9" w:hRule="atLeast"/>
        </w:trPr>
        <w:tc>
          <w:tcPr>
            <w:tcW w:w="583" w:type="pct"/>
            <w:vMerge w:val="restar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非甲烷</w:t>
            </w:r>
            <w:r>
              <w:rPr>
                <w:rFonts w:ascii="仿宋" w:hAnsi="仿宋" w:eastAsia="仿宋" w:cs="仿宋"/>
                <w:bCs/>
                <w:szCs w:val="21"/>
              </w:rPr>
              <w:t>总烃</w:t>
            </w:r>
          </w:p>
        </w:tc>
        <w:tc>
          <w:tcPr>
            <w:tcW w:w="814" w:type="pct"/>
            <w:shd w:val="clear" w:color="auto" w:fill="auto"/>
            <w:vAlign w:val="center"/>
          </w:tcPr>
          <w:p>
            <w:pPr>
              <w:spacing w:line="320" w:lineRule="exact"/>
              <w:jc w:val="center"/>
              <w:rPr>
                <w:rFonts w:ascii="仿宋" w:hAnsi="仿宋" w:eastAsia="仿宋" w:cs="仿宋"/>
                <w:bCs/>
                <w:szCs w:val="21"/>
              </w:rPr>
            </w:pPr>
            <w:r>
              <w:rPr>
                <w:rFonts w:hint="eastAsia" w:ascii="仿宋" w:hAnsi="仿宋" w:eastAsia="仿宋" w:cs="仿宋"/>
                <w:bCs/>
                <w:szCs w:val="21"/>
              </w:rPr>
              <w:t>6</w:t>
            </w:r>
          </w:p>
        </w:tc>
        <w:tc>
          <w:tcPr>
            <w:tcW w:w="991" w:type="pc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监控</w:t>
            </w:r>
            <w:r>
              <w:rPr>
                <w:rFonts w:ascii="仿宋" w:hAnsi="仿宋" w:eastAsia="仿宋" w:cs="仿宋"/>
                <w:bCs/>
                <w:szCs w:val="21"/>
              </w:rPr>
              <w:t>点处</w:t>
            </w:r>
            <w:r>
              <w:rPr>
                <w:rFonts w:hint="eastAsia" w:ascii="仿宋" w:hAnsi="仿宋" w:eastAsia="仿宋" w:cs="仿宋"/>
                <w:bCs/>
                <w:szCs w:val="21"/>
              </w:rPr>
              <w:t>1</w:t>
            </w:r>
            <w:r>
              <w:rPr>
                <w:rFonts w:ascii="仿宋" w:hAnsi="仿宋" w:eastAsia="仿宋" w:cs="仿宋"/>
                <w:bCs/>
                <w:szCs w:val="21"/>
              </w:rPr>
              <w:t>h平均浓度值</w:t>
            </w:r>
          </w:p>
        </w:tc>
        <w:tc>
          <w:tcPr>
            <w:tcW w:w="991" w:type="pct"/>
            <w:vMerge w:val="restar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在</w:t>
            </w:r>
            <w:r>
              <w:rPr>
                <w:rFonts w:ascii="仿宋" w:hAnsi="仿宋" w:eastAsia="仿宋" w:cs="仿宋"/>
                <w:bCs/>
                <w:szCs w:val="21"/>
              </w:rPr>
              <w:t>厂房外设置监控点</w:t>
            </w:r>
          </w:p>
        </w:tc>
        <w:tc>
          <w:tcPr>
            <w:tcW w:w="1621" w:type="pct"/>
            <w:vMerge w:val="restar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《大气污染物综合排放标准》（DB</w:t>
            </w:r>
            <w:r>
              <w:rPr>
                <w:rFonts w:ascii="仿宋" w:hAnsi="仿宋" w:eastAsia="仿宋" w:cs="仿宋"/>
                <w:bCs/>
                <w:szCs w:val="21"/>
              </w:rPr>
              <w:t>32</w:t>
            </w:r>
            <w:r>
              <w:rPr>
                <w:rFonts w:hint="eastAsia" w:ascii="仿宋" w:hAnsi="仿宋" w:eastAsia="仿宋" w:cs="仿宋"/>
                <w:bCs/>
                <w:szCs w:val="21"/>
              </w:rPr>
              <w:t>/</w:t>
            </w:r>
            <w:r>
              <w:rPr>
                <w:rFonts w:ascii="仿宋" w:hAnsi="仿宋" w:eastAsia="仿宋" w:cs="仿宋"/>
                <w:bCs/>
                <w:szCs w:val="21"/>
              </w:rPr>
              <w:t>4041</w:t>
            </w:r>
            <w:r>
              <w:rPr>
                <w:rFonts w:hint="eastAsia" w:ascii="仿宋" w:hAnsi="仿宋" w:eastAsia="仿宋" w:cs="仿宋"/>
                <w:bCs/>
                <w:szCs w:val="21"/>
              </w:rPr>
              <w:t>-2021）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71" w:hRule="atLeast"/>
        </w:trPr>
        <w:tc>
          <w:tcPr>
            <w:tcW w:w="583" w:type="pct"/>
            <w:vMerge w:val="continue"/>
            <w:shd w:val="clear" w:color="auto" w:fill="auto"/>
            <w:vAlign w:val="center"/>
          </w:tcPr>
          <w:p>
            <w:pPr>
              <w:spacing w:line="500" w:lineRule="exact"/>
              <w:jc w:val="center"/>
              <w:rPr>
                <w:rFonts w:eastAsia="仿宋_GB2312"/>
                <w:szCs w:val="21"/>
              </w:rPr>
            </w:pPr>
          </w:p>
        </w:tc>
        <w:tc>
          <w:tcPr>
            <w:tcW w:w="814" w:type="pc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20</w:t>
            </w:r>
          </w:p>
        </w:tc>
        <w:tc>
          <w:tcPr>
            <w:tcW w:w="991" w:type="pc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监控点处</w:t>
            </w:r>
            <w:r>
              <w:rPr>
                <w:rFonts w:ascii="仿宋" w:hAnsi="仿宋" w:eastAsia="仿宋" w:cs="仿宋"/>
                <w:bCs/>
                <w:szCs w:val="21"/>
              </w:rPr>
              <w:t>任意一次浓度值</w:t>
            </w:r>
          </w:p>
        </w:tc>
        <w:tc>
          <w:tcPr>
            <w:tcW w:w="991" w:type="pct"/>
            <w:vMerge w:val="continue"/>
            <w:shd w:val="clear" w:color="auto" w:fill="auto"/>
            <w:vAlign w:val="center"/>
          </w:tcPr>
          <w:p>
            <w:pPr>
              <w:spacing w:line="500" w:lineRule="exact"/>
              <w:jc w:val="center"/>
              <w:rPr>
                <w:rFonts w:eastAsia="仿宋_GB2312" w:cs="仿宋"/>
                <w:b/>
                <w:bCs/>
                <w:szCs w:val="21"/>
              </w:rPr>
            </w:pPr>
          </w:p>
        </w:tc>
        <w:tc>
          <w:tcPr>
            <w:tcW w:w="1621" w:type="pct"/>
            <w:vMerge w:val="continue"/>
            <w:shd w:val="clear" w:color="auto" w:fill="auto"/>
            <w:vAlign w:val="center"/>
          </w:tcPr>
          <w:p>
            <w:pPr>
              <w:spacing w:line="500" w:lineRule="exact"/>
              <w:jc w:val="center"/>
              <w:rPr>
                <w:rFonts w:eastAsia="仿宋_GB2312" w:cs="仿宋"/>
                <w:b/>
                <w:bCs/>
                <w:szCs w:val="21"/>
              </w:rPr>
            </w:pPr>
          </w:p>
        </w:tc>
      </w:tr>
    </w:tbl>
    <w:p>
      <w:pPr>
        <w:adjustRightInd w:val="0"/>
        <w:snapToGrid w:val="0"/>
        <w:spacing w:line="500" w:lineRule="exact"/>
        <w:ind w:firstLine="592" w:firstLineChars="200"/>
        <w:rPr>
          <w:rFonts w:eastAsia="仿宋_GB2312"/>
          <w:bCs/>
          <w:spacing w:val="8"/>
          <w:sz w:val="28"/>
          <w:szCs w:val="28"/>
        </w:rPr>
      </w:pPr>
      <w:r>
        <w:rPr>
          <w:rFonts w:hint="eastAsia" w:eastAsia="仿宋_GB2312"/>
          <w:bCs/>
          <w:spacing w:val="8"/>
          <w:sz w:val="28"/>
          <w:szCs w:val="28"/>
        </w:rPr>
        <w:t>本项目厂界无组织排放的非甲烷总烃、二甲苯执行《大气</w:t>
      </w:r>
      <w:r>
        <w:rPr>
          <w:rFonts w:eastAsia="仿宋_GB2312"/>
          <w:bCs/>
          <w:spacing w:val="8"/>
          <w:sz w:val="28"/>
          <w:szCs w:val="28"/>
        </w:rPr>
        <w:t>污染物</w:t>
      </w:r>
      <w:r>
        <w:rPr>
          <w:rFonts w:hint="eastAsia" w:eastAsia="仿宋_GB2312"/>
          <w:bCs/>
          <w:spacing w:val="8"/>
          <w:sz w:val="28"/>
          <w:szCs w:val="28"/>
        </w:rPr>
        <w:t>综合</w:t>
      </w:r>
      <w:r>
        <w:rPr>
          <w:rFonts w:eastAsia="仿宋_GB2312"/>
          <w:bCs/>
          <w:spacing w:val="8"/>
          <w:sz w:val="28"/>
          <w:szCs w:val="28"/>
        </w:rPr>
        <w:t>排放标准</w:t>
      </w:r>
      <w:r>
        <w:rPr>
          <w:rFonts w:hint="eastAsia" w:eastAsia="仿宋_GB2312"/>
          <w:bCs/>
          <w:spacing w:val="8"/>
          <w:sz w:val="28"/>
          <w:szCs w:val="28"/>
        </w:rPr>
        <w:t>》(DB32/4041-2021)中表3的无组织排放监控浓度限值。</w:t>
      </w:r>
    </w:p>
    <w:p>
      <w:pPr>
        <w:spacing w:line="480" w:lineRule="exact"/>
        <w:jc w:val="center"/>
        <w:rPr>
          <w:rFonts w:eastAsia="仿宋_GB2312"/>
          <w:b/>
          <w:spacing w:val="10"/>
          <w:sz w:val="24"/>
        </w:rPr>
      </w:pPr>
      <w:r>
        <w:rPr>
          <w:rFonts w:hint="eastAsia" w:eastAsia="仿宋_GB2312"/>
          <w:b/>
          <w:spacing w:val="10"/>
          <w:sz w:val="24"/>
        </w:rPr>
        <w:t>表2.3-8 厂界大气污染物排放限值</w:t>
      </w:r>
    </w:p>
    <w:tbl>
      <w:tblPr>
        <w:tblStyle w:val="8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16"/>
        <w:gridCol w:w="2116"/>
        <w:gridCol w:w="2080"/>
        <w:gridCol w:w="22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2116" w:type="dxa"/>
            <w:vMerge w:val="restar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污染物</w:t>
            </w:r>
          </w:p>
        </w:tc>
        <w:tc>
          <w:tcPr>
            <w:tcW w:w="4196" w:type="dxa"/>
            <w:gridSpan w:val="2"/>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无组织排放监控浓度限值</w:t>
            </w:r>
          </w:p>
        </w:tc>
        <w:tc>
          <w:tcPr>
            <w:tcW w:w="2210" w:type="dxa"/>
            <w:vMerge w:val="restar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标准来源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2116" w:type="dxa"/>
            <w:vMerge w:val="continue"/>
            <w:shd w:val="clear" w:color="auto" w:fill="auto"/>
            <w:vAlign w:val="center"/>
          </w:tcPr>
          <w:p>
            <w:pPr>
              <w:spacing w:line="240" w:lineRule="exact"/>
              <w:jc w:val="center"/>
              <w:rPr>
                <w:rFonts w:ascii="仿宋" w:hAnsi="仿宋" w:eastAsia="仿宋" w:cs="仿宋"/>
                <w:bCs/>
                <w:szCs w:val="21"/>
              </w:rPr>
            </w:pPr>
          </w:p>
        </w:tc>
        <w:tc>
          <w:tcPr>
            <w:tcW w:w="2116"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监控点</w:t>
            </w:r>
          </w:p>
        </w:tc>
        <w:tc>
          <w:tcPr>
            <w:tcW w:w="2080"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浓度m</w:t>
            </w:r>
            <w:r>
              <w:rPr>
                <w:rFonts w:ascii="仿宋" w:hAnsi="仿宋" w:eastAsia="仿宋" w:cs="仿宋"/>
                <w:bCs/>
                <w:szCs w:val="21"/>
              </w:rPr>
              <w:t>g/m</w:t>
            </w:r>
            <w:r>
              <w:rPr>
                <w:rFonts w:ascii="仿宋" w:hAnsi="仿宋" w:eastAsia="仿宋" w:cs="仿宋"/>
                <w:bCs/>
                <w:szCs w:val="21"/>
                <w:vertAlign w:val="superscript"/>
              </w:rPr>
              <w:t>3</w:t>
            </w:r>
          </w:p>
        </w:tc>
        <w:tc>
          <w:tcPr>
            <w:tcW w:w="2210" w:type="dxa"/>
            <w:vMerge w:val="continue"/>
            <w:shd w:val="clear" w:color="auto" w:fill="auto"/>
            <w:vAlign w:val="center"/>
          </w:tcPr>
          <w:p>
            <w:pPr>
              <w:spacing w:line="240" w:lineRule="exact"/>
              <w:jc w:val="center"/>
              <w:rPr>
                <w:rFonts w:ascii="仿宋" w:hAnsi="仿宋" w:eastAsia="仿宋" w:cs="仿宋"/>
                <w:bCs/>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2116"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二甲苯</w:t>
            </w:r>
          </w:p>
        </w:tc>
        <w:tc>
          <w:tcPr>
            <w:tcW w:w="2116" w:type="dxa"/>
            <w:vMerge w:val="restar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周界外浓度最高点</w:t>
            </w:r>
          </w:p>
        </w:tc>
        <w:tc>
          <w:tcPr>
            <w:tcW w:w="2080"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0.2</w:t>
            </w:r>
          </w:p>
        </w:tc>
        <w:tc>
          <w:tcPr>
            <w:tcW w:w="2210" w:type="dxa"/>
            <w:vMerge w:val="restar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《大气</w:t>
            </w:r>
            <w:r>
              <w:rPr>
                <w:rFonts w:ascii="仿宋" w:hAnsi="仿宋" w:eastAsia="仿宋" w:cs="仿宋"/>
                <w:bCs/>
                <w:szCs w:val="21"/>
              </w:rPr>
              <w:t>污染物</w:t>
            </w:r>
            <w:r>
              <w:rPr>
                <w:rFonts w:hint="eastAsia" w:ascii="仿宋" w:hAnsi="仿宋" w:eastAsia="仿宋" w:cs="仿宋"/>
                <w:bCs/>
                <w:szCs w:val="21"/>
              </w:rPr>
              <w:t>综合</w:t>
            </w:r>
            <w:r>
              <w:rPr>
                <w:rFonts w:ascii="仿宋" w:hAnsi="仿宋" w:eastAsia="仿宋" w:cs="仿宋"/>
                <w:bCs/>
                <w:szCs w:val="21"/>
              </w:rPr>
              <w:t>排放标准</w:t>
            </w:r>
            <w:r>
              <w:rPr>
                <w:rFonts w:hint="eastAsia" w:ascii="仿宋" w:hAnsi="仿宋" w:eastAsia="仿宋" w:cs="仿宋"/>
                <w:bCs/>
                <w:szCs w:val="21"/>
              </w:rPr>
              <w:t>》(DB32/4041-2021)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2116"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非甲烷</w:t>
            </w:r>
            <w:r>
              <w:rPr>
                <w:rFonts w:ascii="仿宋" w:hAnsi="仿宋" w:eastAsia="仿宋" w:cs="仿宋"/>
                <w:bCs/>
                <w:szCs w:val="21"/>
              </w:rPr>
              <w:t>总烃</w:t>
            </w:r>
          </w:p>
        </w:tc>
        <w:tc>
          <w:tcPr>
            <w:tcW w:w="2116" w:type="dxa"/>
            <w:vMerge w:val="continue"/>
            <w:shd w:val="clear" w:color="auto" w:fill="auto"/>
            <w:vAlign w:val="center"/>
          </w:tcPr>
          <w:p>
            <w:pPr>
              <w:spacing w:line="240" w:lineRule="exact"/>
              <w:jc w:val="center"/>
              <w:rPr>
                <w:rFonts w:ascii="仿宋" w:hAnsi="仿宋" w:eastAsia="仿宋" w:cs="仿宋"/>
                <w:bCs/>
                <w:szCs w:val="21"/>
              </w:rPr>
            </w:pPr>
          </w:p>
        </w:tc>
        <w:tc>
          <w:tcPr>
            <w:tcW w:w="2080"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4</w:t>
            </w:r>
          </w:p>
        </w:tc>
        <w:tc>
          <w:tcPr>
            <w:tcW w:w="2210" w:type="dxa"/>
            <w:vMerge w:val="continue"/>
            <w:shd w:val="clear" w:color="auto" w:fill="auto"/>
            <w:vAlign w:val="center"/>
          </w:tcPr>
          <w:p>
            <w:pPr>
              <w:spacing w:line="240" w:lineRule="exact"/>
              <w:jc w:val="center"/>
              <w:rPr>
                <w:rFonts w:ascii="仿宋" w:hAnsi="仿宋" w:eastAsia="仿宋" w:cs="仿宋"/>
                <w:bCs/>
                <w:szCs w:val="21"/>
              </w:rPr>
            </w:pPr>
          </w:p>
        </w:tc>
      </w:tr>
    </w:tbl>
    <w:p>
      <w:pPr>
        <w:adjustRightInd w:val="0"/>
        <w:snapToGrid w:val="0"/>
        <w:spacing w:line="500" w:lineRule="exact"/>
        <w:ind w:firstLine="592" w:firstLineChars="200"/>
        <w:rPr>
          <w:rFonts w:eastAsia="仿宋_GB2312"/>
          <w:bCs/>
          <w:spacing w:val="8"/>
          <w:sz w:val="28"/>
          <w:szCs w:val="28"/>
        </w:rPr>
      </w:pPr>
      <w:r>
        <w:rPr>
          <w:rFonts w:hint="eastAsia" w:eastAsia="仿宋_GB2312"/>
          <w:bCs/>
          <w:spacing w:val="8"/>
          <w:sz w:val="28"/>
          <w:szCs w:val="28"/>
        </w:rPr>
        <w:t>本项目排放的乙酸乙酯、二甲苯嗅阈值执行《环境评价数据手册-有毒物质鉴定值》中浓度，见下表。</w:t>
      </w:r>
    </w:p>
    <w:p>
      <w:pPr>
        <w:spacing w:line="480" w:lineRule="exact"/>
        <w:jc w:val="center"/>
        <w:rPr>
          <w:rFonts w:eastAsia="仿宋_GB2312"/>
          <w:b/>
          <w:spacing w:val="10"/>
          <w:sz w:val="24"/>
        </w:rPr>
      </w:pPr>
      <w:r>
        <w:rPr>
          <w:rFonts w:hint="eastAsia" w:eastAsia="仿宋_GB2312"/>
          <w:b/>
          <w:spacing w:val="10"/>
          <w:sz w:val="24"/>
        </w:rPr>
        <w:t>表2.3</w:t>
      </w:r>
      <w:r>
        <w:rPr>
          <w:rFonts w:eastAsia="仿宋_GB2312"/>
          <w:b/>
          <w:spacing w:val="10"/>
          <w:sz w:val="24"/>
        </w:rPr>
        <w:t>-9《</w:t>
      </w:r>
      <w:r>
        <w:rPr>
          <w:rFonts w:hint="eastAsia" w:eastAsia="仿宋_GB2312"/>
          <w:b/>
          <w:spacing w:val="10"/>
          <w:sz w:val="24"/>
        </w:rPr>
        <w:t>环境评价数据手册-有毒物质鉴定值</w:t>
      </w:r>
      <w:r>
        <w:rPr>
          <w:rFonts w:eastAsia="仿宋_GB2312"/>
          <w:b/>
          <w:spacing w:val="10"/>
          <w:sz w:val="24"/>
        </w:rPr>
        <w:t>》</w:t>
      </w:r>
    </w:p>
    <w:tbl>
      <w:tblPr>
        <w:tblStyle w:val="87"/>
        <w:tblW w:w="0" w:type="auto"/>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296"/>
        <w:gridCol w:w="42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296" w:type="dxa"/>
            <w:shd w:val="clear" w:color="auto" w:fill="auto"/>
          </w:tcPr>
          <w:p>
            <w:pPr>
              <w:spacing w:line="240" w:lineRule="exact"/>
              <w:jc w:val="center"/>
              <w:rPr>
                <w:rFonts w:ascii="仿宋" w:hAnsi="仿宋" w:eastAsia="仿宋" w:cs="仿宋"/>
                <w:bCs/>
                <w:szCs w:val="21"/>
              </w:rPr>
            </w:pPr>
            <w:r>
              <w:rPr>
                <w:rFonts w:ascii="仿宋" w:hAnsi="仿宋" w:eastAsia="仿宋" w:cs="仿宋"/>
                <w:bCs/>
                <w:szCs w:val="21"/>
              </w:rPr>
              <w:t>污染物</w:t>
            </w:r>
          </w:p>
        </w:tc>
        <w:tc>
          <w:tcPr>
            <w:tcW w:w="4209" w:type="dxa"/>
            <w:shd w:val="clear" w:color="auto" w:fill="auto"/>
          </w:tcPr>
          <w:p>
            <w:pPr>
              <w:spacing w:line="240" w:lineRule="exact"/>
              <w:jc w:val="center"/>
              <w:rPr>
                <w:rFonts w:ascii="仿宋" w:hAnsi="仿宋" w:eastAsia="仿宋" w:cs="仿宋"/>
                <w:bCs/>
                <w:szCs w:val="21"/>
              </w:rPr>
            </w:pPr>
            <w:r>
              <w:rPr>
                <w:rFonts w:ascii="仿宋" w:hAnsi="仿宋" w:eastAsia="仿宋" w:cs="仿宋"/>
                <w:bCs/>
                <w:szCs w:val="21"/>
              </w:rPr>
              <w:t>嗅阈值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96" w:type="dxa"/>
            <w:shd w:val="clear" w:color="auto" w:fill="auto"/>
          </w:tcPr>
          <w:p>
            <w:pPr>
              <w:spacing w:line="240" w:lineRule="exact"/>
              <w:jc w:val="center"/>
              <w:rPr>
                <w:rFonts w:ascii="仿宋" w:hAnsi="仿宋" w:eastAsia="仿宋" w:cs="仿宋"/>
                <w:bCs/>
                <w:szCs w:val="21"/>
              </w:rPr>
            </w:pPr>
            <w:r>
              <w:rPr>
                <w:rFonts w:hint="eastAsia" w:ascii="仿宋" w:hAnsi="仿宋" w:eastAsia="仿宋" w:cs="仿宋"/>
                <w:bCs/>
                <w:szCs w:val="21"/>
              </w:rPr>
              <w:t>乙酸乙酯</w:t>
            </w:r>
          </w:p>
        </w:tc>
        <w:tc>
          <w:tcPr>
            <w:tcW w:w="4209" w:type="dxa"/>
            <w:shd w:val="clear" w:color="auto" w:fill="auto"/>
          </w:tcPr>
          <w:p>
            <w:pPr>
              <w:spacing w:line="240" w:lineRule="exact"/>
              <w:jc w:val="center"/>
              <w:rPr>
                <w:rFonts w:ascii="仿宋" w:hAnsi="仿宋" w:eastAsia="仿宋" w:cs="仿宋"/>
                <w:bCs/>
                <w:szCs w:val="21"/>
              </w:rPr>
            </w:pPr>
            <w:r>
              <w:rPr>
                <w:rFonts w:ascii="仿宋" w:hAnsi="仿宋" w:eastAsia="仿宋" w:cs="仿宋"/>
                <w:bCs/>
                <w:szCs w:val="21"/>
              </w:rPr>
              <w:t>0.6</w:t>
            </w:r>
            <w:r>
              <w:rPr>
                <w:rFonts w:hint="eastAsia" w:ascii="仿宋" w:hAnsi="仿宋" w:eastAsia="仿宋" w:cs="仿宋"/>
                <w:bCs/>
                <w:szCs w:val="21"/>
              </w:rPr>
              <w:t>mg/</w:t>
            </w:r>
            <w:r>
              <w:rPr>
                <w:rFonts w:ascii="仿宋" w:hAnsi="仿宋" w:eastAsia="仿宋" w:cs="仿宋"/>
                <w:bCs/>
                <w:szCs w:val="21"/>
              </w:rPr>
              <w:t>m</w:t>
            </w:r>
            <w:r>
              <w:rPr>
                <w:rFonts w:ascii="仿宋" w:hAnsi="仿宋" w:eastAsia="仿宋" w:cs="仿宋"/>
                <w:bCs/>
                <w:szCs w:val="21"/>
                <w:vertAlign w:val="superscript"/>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96" w:type="dxa"/>
            <w:shd w:val="clear" w:color="auto" w:fill="auto"/>
          </w:tcPr>
          <w:p>
            <w:pPr>
              <w:spacing w:line="240" w:lineRule="exact"/>
              <w:jc w:val="center"/>
              <w:rPr>
                <w:rFonts w:ascii="仿宋" w:hAnsi="仿宋" w:eastAsia="仿宋" w:cs="仿宋"/>
                <w:bCs/>
                <w:szCs w:val="21"/>
              </w:rPr>
            </w:pPr>
            <w:r>
              <w:rPr>
                <w:rFonts w:hint="eastAsia" w:ascii="仿宋" w:hAnsi="仿宋" w:eastAsia="仿宋" w:cs="仿宋"/>
                <w:bCs/>
                <w:szCs w:val="21"/>
              </w:rPr>
              <w:t>二甲苯</w:t>
            </w:r>
          </w:p>
        </w:tc>
        <w:tc>
          <w:tcPr>
            <w:tcW w:w="4209" w:type="dxa"/>
            <w:shd w:val="clear" w:color="auto" w:fill="auto"/>
          </w:tcPr>
          <w:p>
            <w:pPr>
              <w:spacing w:line="240" w:lineRule="exact"/>
              <w:jc w:val="center"/>
              <w:rPr>
                <w:rFonts w:ascii="仿宋" w:hAnsi="仿宋" w:eastAsia="仿宋" w:cs="仿宋"/>
                <w:bCs/>
                <w:szCs w:val="21"/>
              </w:rPr>
            </w:pPr>
            <w:r>
              <w:rPr>
                <w:rFonts w:ascii="仿宋" w:hAnsi="仿宋" w:eastAsia="仿宋" w:cs="仿宋"/>
                <w:bCs/>
                <w:szCs w:val="21"/>
              </w:rPr>
              <w:t>2</w:t>
            </w:r>
            <w:r>
              <w:rPr>
                <w:rFonts w:hint="eastAsia" w:ascii="仿宋" w:hAnsi="仿宋" w:eastAsia="仿宋" w:cs="仿宋"/>
                <w:bCs/>
                <w:szCs w:val="21"/>
              </w:rPr>
              <w:t>mg/</w:t>
            </w:r>
            <w:r>
              <w:rPr>
                <w:rFonts w:ascii="仿宋" w:hAnsi="仿宋" w:eastAsia="仿宋" w:cs="仿宋"/>
                <w:bCs/>
                <w:szCs w:val="21"/>
              </w:rPr>
              <w:t>m</w:t>
            </w:r>
            <w:r>
              <w:rPr>
                <w:rFonts w:ascii="仿宋" w:hAnsi="仿宋" w:eastAsia="仿宋" w:cs="仿宋"/>
                <w:bCs/>
                <w:szCs w:val="21"/>
                <w:vertAlign w:val="superscript"/>
              </w:rPr>
              <w:t>3</w:t>
            </w:r>
          </w:p>
        </w:tc>
      </w:tr>
    </w:tbl>
    <w:p>
      <w:pPr>
        <w:adjustRightInd w:val="0"/>
        <w:snapToGrid w:val="0"/>
        <w:spacing w:line="500" w:lineRule="exact"/>
        <w:ind w:firstLine="594" w:firstLineChars="200"/>
        <w:rPr>
          <w:rFonts w:eastAsia="仿宋_GB2312"/>
          <w:b/>
          <w:spacing w:val="8"/>
          <w:sz w:val="28"/>
          <w:szCs w:val="28"/>
        </w:rPr>
      </w:pPr>
      <w:r>
        <w:rPr>
          <w:rFonts w:eastAsia="仿宋_GB2312"/>
          <w:b/>
          <w:spacing w:val="8"/>
          <w:sz w:val="28"/>
          <w:szCs w:val="28"/>
        </w:rPr>
        <w:t>（2）废水</w:t>
      </w:r>
    </w:p>
    <w:p>
      <w:pPr>
        <w:adjustRightInd w:val="0"/>
        <w:snapToGrid w:val="0"/>
        <w:spacing w:line="500" w:lineRule="exact"/>
        <w:ind w:firstLine="592" w:firstLineChars="200"/>
        <w:rPr>
          <w:rFonts w:eastAsia="仿宋_GB2312"/>
          <w:bCs/>
          <w:spacing w:val="8"/>
          <w:sz w:val="28"/>
          <w:szCs w:val="28"/>
        </w:rPr>
      </w:pPr>
      <w:r>
        <w:rPr>
          <w:rFonts w:hint="eastAsia" w:eastAsia="仿宋_GB2312"/>
          <w:bCs/>
          <w:spacing w:val="8"/>
          <w:sz w:val="28"/>
          <w:szCs w:val="28"/>
        </w:rPr>
        <w:t>生活污水经厂内收集后达标接管至</w:t>
      </w:r>
      <w:r>
        <w:rPr>
          <w:rFonts w:eastAsia="仿宋_GB2312"/>
          <w:sz w:val="28"/>
          <w:szCs w:val="28"/>
        </w:rPr>
        <w:t>金坛区第二污水处理厂</w:t>
      </w:r>
      <w:r>
        <w:rPr>
          <w:rFonts w:hint="eastAsia" w:eastAsia="仿宋_GB2312"/>
          <w:bCs/>
          <w:spacing w:val="8"/>
          <w:sz w:val="28"/>
          <w:szCs w:val="28"/>
        </w:rPr>
        <w:t>。具体指标见</w:t>
      </w:r>
      <w:r>
        <w:rPr>
          <w:rFonts w:eastAsia="仿宋_GB2312"/>
          <w:bCs/>
          <w:spacing w:val="8"/>
          <w:sz w:val="28"/>
          <w:szCs w:val="28"/>
        </w:rPr>
        <w:t>下表。</w:t>
      </w:r>
    </w:p>
    <w:p>
      <w:pPr>
        <w:spacing w:line="480" w:lineRule="exact"/>
        <w:jc w:val="center"/>
        <w:rPr>
          <w:rFonts w:eastAsia="仿宋_GB2312"/>
          <w:b/>
          <w:spacing w:val="10"/>
          <w:sz w:val="24"/>
        </w:rPr>
      </w:pPr>
      <w:r>
        <w:rPr>
          <w:rFonts w:eastAsia="仿宋_GB2312"/>
          <w:b/>
          <w:spacing w:val="10"/>
          <w:sz w:val="24"/>
        </w:rPr>
        <w:t>表2.3-</w:t>
      </w:r>
      <w:r>
        <w:rPr>
          <w:rFonts w:hint="eastAsia" w:eastAsia="仿宋_GB2312"/>
          <w:b/>
          <w:spacing w:val="10"/>
          <w:sz w:val="24"/>
        </w:rPr>
        <w:t>9</w:t>
      </w:r>
      <w:r>
        <w:rPr>
          <w:rFonts w:eastAsia="仿宋_GB2312"/>
          <w:b/>
          <w:spacing w:val="10"/>
          <w:sz w:val="24"/>
        </w:rPr>
        <w:t xml:space="preserve"> </w:t>
      </w:r>
      <w:r>
        <w:rPr>
          <w:rFonts w:eastAsia="仿宋_GB2312"/>
          <w:b/>
          <w:bCs/>
          <w:sz w:val="24"/>
        </w:rPr>
        <w:t>金坛区第二污水处理厂接管标准  单位：mg/L</w:t>
      </w:r>
    </w:p>
    <w:tbl>
      <w:tblPr>
        <w:tblStyle w:val="87"/>
        <w:tblW w:w="436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971"/>
        <w:gridCol w:w="1181"/>
        <w:gridCol w:w="1182"/>
        <w:gridCol w:w="1182"/>
        <w:gridCol w:w="1182"/>
        <w:gridCol w:w="1182"/>
        <w:gridCol w:w="117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03" w:type="pct"/>
            <w:tcBorders>
              <w:tl2br w:val="nil"/>
              <w:tr2bl w:val="nil"/>
            </w:tcBorders>
            <w:shd w:val="clear" w:color="auto" w:fill="auto"/>
            <w:vAlign w:val="center"/>
          </w:tcPr>
          <w:p>
            <w:pPr>
              <w:pStyle w:val="124"/>
              <w:spacing w:line="360" w:lineRule="exact"/>
              <w:rPr>
                <w:rFonts w:ascii="仿宋" w:hAnsi="仿宋" w:eastAsia="仿宋"/>
              </w:rPr>
            </w:pPr>
            <w:r>
              <w:rPr>
                <w:rFonts w:ascii="仿宋" w:hAnsi="仿宋" w:eastAsia="仿宋"/>
              </w:rPr>
              <w:t>项目</w:t>
            </w:r>
          </w:p>
        </w:tc>
        <w:tc>
          <w:tcPr>
            <w:tcW w:w="733" w:type="pct"/>
            <w:tcBorders>
              <w:tl2br w:val="nil"/>
              <w:tr2bl w:val="nil"/>
            </w:tcBorders>
            <w:vAlign w:val="center"/>
          </w:tcPr>
          <w:p>
            <w:pPr>
              <w:pStyle w:val="124"/>
              <w:spacing w:line="360" w:lineRule="exact"/>
              <w:rPr>
                <w:rFonts w:ascii="仿宋" w:hAnsi="仿宋" w:eastAsia="仿宋"/>
              </w:rPr>
            </w:pPr>
            <w:r>
              <w:rPr>
                <w:rFonts w:hint="eastAsia" w:ascii="仿宋" w:hAnsi="仿宋" w:eastAsia="仿宋"/>
              </w:rPr>
              <w:t>pH</w:t>
            </w:r>
          </w:p>
        </w:tc>
        <w:tc>
          <w:tcPr>
            <w:tcW w:w="733" w:type="pct"/>
            <w:tcBorders>
              <w:tl2br w:val="nil"/>
              <w:tr2bl w:val="nil"/>
            </w:tcBorders>
            <w:vAlign w:val="center"/>
          </w:tcPr>
          <w:p>
            <w:pPr>
              <w:pStyle w:val="124"/>
              <w:spacing w:line="360" w:lineRule="exact"/>
              <w:rPr>
                <w:rFonts w:ascii="仿宋" w:hAnsi="仿宋" w:eastAsia="仿宋"/>
              </w:rPr>
            </w:pPr>
            <w:r>
              <w:rPr>
                <w:rFonts w:ascii="仿宋" w:hAnsi="仿宋" w:eastAsia="仿宋"/>
              </w:rPr>
              <w:t>COD</w:t>
            </w:r>
          </w:p>
        </w:tc>
        <w:tc>
          <w:tcPr>
            <w:tcW w:w="733" w:type="pct"/>
            <w:tcBorders>
              <w:tl2br w:val="nil"/>
              <w:tr2bl w:val="nil"/>
            </w:tcBorders>
            <w:shd w:val="clear" w:color="auto" w:fill="auto"/>
            <w:vAlign w:val="center"/>
          </w:tcPr>
          <w:p>
            <w:pPr>
              <w:pStyle w:val="124"/>
              <w:spacing w:line="360" w:lineRule="exact"/>
              <w:rPr>
                <w:rFonts w:ascii="仿宋" w:hAnsi="仿宋" w:eastAsia="仿宋"/>
              </w:rPr>
            </w:pPr>
            <w:r>
              <w:rPr>
                <w:rFonts w:ascii="仿宋" w:hAnsi="仿宋" w:eastAsia="仿宋"/>
              </w:rPr>
              <w:t>SS</w:t>
            </w:r>
          </w:p>
        </w:tc>
        <w:tc>
          <w:tcPr>
            <w:tcW w:w="733" w:type="pct"/>
            <w:tcBorders>
              <w:tl2br w:val="nil"/>
              <w:tr2bl w:val="nil"/>
            </w:tcBorders>
          </w:tcPr>
          <w:p>
            <w:pPr>
              <w:pStyle w:val="124"/>
              <w:spacing w:line="360" w:lineRule="exact"/>
              <w:rPr>
                <w:rFonts w:ascii="仿宋" w:hAnsi="仿宋" w:eastAsia="仿宋"/>
              </w:rPr>
            </w:pPr>
            <w:r>
              <w:rPr>
                <w:rFonts w:ascii="仿宋" w:hAnsi="仿宋" w:eastAsia="仿宋"/>
              </w:rPr>
              <w:t>TN</w:t>
            </w:r>
          </w:p>
        </w:tc>
        <w:tc>
          <w:tcPr>
            <w:tcW w:w="733" w:type="pct"/>
            <w:tcBorders>
              <w:tl2br w:val="nil"/>
              <w:tr2bl w:val="nil"/>
            </w:tcBorders>
            <w:shd w:val="clear" w:color="auto" w:fill="auto"/>
            <w:vAlign w:val="center"/>
          </w:tcPr>
          <w:p>
            <w:pPr>
              <w:pStyle w:val="124"/>
              <w:spacing w:line="360" w:lineRule="exact"/>
              <w:rPr>
                <w:rFonts w:ascii="仿宋" w:hAnsi="仿宋" w:eastAsia="仿宋"/>
              </w:rPr>
            </w:pPr>
            <w:r>
              <w:rPr>
                <w:rFonts w:ascii="仿宋" w:hAnsi="仿宋" w:eastAsia="仿宋"/>
              </w:rPr>
              <w:t>NH</w:t>
            </w:r>
            <w:r>
              <w:rPr>
                <w:rFonts w:ascii="仿宋" w:hAnsi="仿宋" w:eastAsia="仿宋"/>
                <w:vertAlign w:val="subscript"/>
              </w:rPr>
              <w:t>3</w:t>
            </w:r>
            <w:r>
              <w:rPr>
                <w:rFonts w:ascii="仿宋" w:hAnsi="仿宋" w:eastAsia="仿宋"/>
              </w:rPr>
              <w:t>-N</w:t>
            </w:r>
          </w:p>
        </w:tc>
        <w:tc>
          <w:tcPr>
            <w:tcW w:w="731" w:type="pct"/>
            <w:tcBorders>
              <w:tl2br w:val="nil"/>
              <w:tr2bl w:val="nil"/>
            </w:tcBorders>
            <w:shd w:val="clear" w:color="auto" w:fill="auto"/>
            <w:vAlign w:val="center"/>
          </w:tcPr>
          <w:p>
            <w:pPr>
              <w:pStyle w:val="124"/>
              <w:spacing w:line="360" w:lineRule="exact"/>
              <w:rPr>
                <w:rFonts w:ascii="仿宋" w:hAnsi="仿宋" w:eastAsia="仿宋"/>
              </w:rPr>
            </w:pPr>
            <w:r>
              <w:rPr>
                <w:rFonts w:ascii="仿宋" w:hAnsi="仿宋" w:eastAsia="仿宋"/>
              </w:rPr>
              <w:t>TP</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03" w:type="pct"/>
            <w:tcBorders>
              <w:tl2br w:val="nil"/>
              <w:tr2bl w:val="nil"/>
            </w:tcBorders>
            <w:shd w:val="clear" w:color="auto" w:fill="auto"/>
            <w:vAlign w:val="center"/>
          </w:tcPr>
          <w:p>
            <w:pPr>
              <w:pStyle w:val="124"/>
              <w:spacing w:line="360" w:lineRule="exact"/>
              <w:rPr>
                <w:rFonts w:ascii="仿宋" w:hAnsi="仿宋" w:eastAsia="仿宋"/>
              </w:rPr>
            </w:pPr>
            <w:r>
              <w:rPr>
                <w:rFonts w:ascii="仿宋" w:hAnsi="仿宋" w:eastAsia="仿宋"/>
              </w:rPr>
              <w:t>最高允许浓度</w:t>
            </w:r>
          </w:p>
        </w:tc>
        <w:tc>
          <w:tcPr>
            <w:tcW w:w="733" w:type="pct"/>
            <w:tcBorders>
              <w:tl2br w:val="nil"/>
              <w:tr2bl w:val="nil"/>
            </w:tcBorders>
            <w:vAlign w:val="center"/>
          </w:tcPr>
          <w:p>
            <w:pPr>
              <w:pStyle w:val="124"/>
              <w:spacing w:line="360" w:lineRule="exact"/>
              <w:rPr>
                <w:rFonts w:ascii="仿宋" w:hAnsi="仿宋" w:eastAsia="仿宋"/>
              </w:rPr>
            </w:pPr>
            <w:r>
              <w:rPr>
                <w:rFonts w:hint="eastAsia" w:ascii="仿宋" w:hAnsi="仿宋" w:eastAsia="仿宋"/>
              </w:rPr>
              <w:t>6.5-9.5</w:t>
            </w:r>
          </w:p>
        </w:tc>
        <w:tc>
          <w:tcPr>
            <w:tcW w:w="733" w:type="pct"/>
            <w:tcBorders>
              <w:tl2br w:val="nil"/>
              <w:tr2bl w:val="nil"/>
            </w:tcBorders>
            <w:vAlign w:val="center"/>
          </w:tcPr>
          <w:p>
            <w:pPr>
              <w:pStyle w:val="124"/>
              <w:spacing w:line="360" w:lineRule="exact"/>
              <w:rPr>
                <w:rFonts w:ascii="仿宋" w:hAnsi="仿宋" w:eastAsia="仿宋"/>
              </w:rPr>
            </w:pPr>
            <w:r>
              <w:rPr>
                <w:rFonts w:ascii="仿宋" w:hAnsi="仿宋" w:eastAsia="仿宋"/>
              </w:rPr>
              <w:t>≤500</w:t>
            </w:r>
          </w:p>
        </w:tc>
        <w:tc>
          <w:tcPr>
            <w:tcW w:w="733" w:type="pct"/>
            <w:tcBorders>
              <w:tl2br w:val="nil"/>
              <w:tr2bl w:val="nil"/>
            </w:tcBorders>
            <w:shd w:val="clear" w:color="auto" w:fill="auto"/>
            <w:vAlign w:val="center"/>
          </w:tcPr>
          <w:p>
            <w:pPr>
              <w:pStyle w:val="124"/>
              <w:spacing w:line="360" w:lineRule="exact"/>
              <w:rPr>
                <w:rFonts w:ascii="仿宋" w:hAnsi="仿宋" w:eastAsia="仿宋"/>
              </w:rPr>
            </w:pPr>
            <w:r>
              <w:rPr>
                <w:rFonts w:ascii="仿宋" w:hAnsi="仿宋" w:eastAsia="仿宋"/>
              </w:rPr>
              <w:t>≤250</w:t>
            </w:r>
          </w:p>
        </w:tc>
        <w:tc>
          <w:tcPr>
            <w:tcW w:w="733" w:type="pct"/>
            <w:tcBorders>
              <w:tl2br w:val="nil"/>
              <w:tr2bl w:val="nil"/>
            </w:tcBorders>
            <w:vAlign w:val="center"/>
          </w:tcPr>
          <w:p>
            <w:pPr>
              <w:pStyle w:val="124"/>
              <w:spacing w:line="360" w:lineRule="exact"/>
              <w:rPr>
                <w:rFonts w:ascii="仿宋" w:hAnsi="仿宋" w:eastAsia="仿宋"/>
              </w:rPr>
            </w:pPr>
            <w:r>
              <w:rPr>
                <w:rFonts w:ascii="仿宋" w:hAnsi="仿宋" w:eastAsia="仿宋"/>
              </w:rPr>
              <w:t>≤50</w:t>
            </w:r>
          </w:p>
        </w:tc>
        <w:tc>
          <w:tcPr>
            <w:tcW w:w="733" w:type="pct"/>
            <w:tcBorders>
              <w:tl2br w:val="nil"/>
              <w:tr2bl w:val="nil"/>
            </w:tcBorders>
            <w:shd w:val="clear" w:color="auto" w:fill="auto"/>
            <w:vAlign w:val="center"/>
          </w:tcPr>
          <w:p>
            <w:pPr>
              <w:pStyle w:val="124"/>
              <w:spacing w:line="360" w:lineRule="exact"/>
              <w:rPr>
                <w:rFonts w:ascii="仿宋" w:hAnsi="仿宋" w:eastAsia="仿宋"/>
              </w:rPr>
            </w:pPr>
            <w:r>
              <w:rPr>
                <w:rFonts w:ascii="仿宋" w:hAnsi="仿宋" w:eastAsia="仿宋"/>
              </w:rPr>
              <w:t>≤35</w:t>
            </w:r>
          </w:p>
        </w:tc>
        <w:tc>
          <w:tcPr>
            <w:tcW w:w="731" w:type="pct"/>
            <w:tcBorders>
              <w:tl2br w:val="nil"/>
              <w:tr2bl w:val="nil"/>
            </w:tcBorders>
            <w:shd w:val="clear" w:color="auto" w:fill="auto"/>
            <w:vAlign w:val="center"/>
          </w:tcPr>
          <w:p>
            <w:pPr>
              <w:pStyle w:val="124"/>
              <w:spacing w:line="360" w:lineRule="exact"/>
              <w:rPr>
                <w:rFonts w:ascii="仿宋" w:hAnsi="仿宋" w:eastAsia="仿宋"/>
              </w:rPr>
            </w:pPr>
            <w:r>
              <w:rPr>
                <w:rFonts w:ascii="仿宋" w:hAnsi="仿宋" w:eastAsia="仿宋"/>
              </w:rPr>
              <w:t>≤3</w:t>
            </w:r>
          </w:p>
        </w:tc>
      </w:tr>
    </w:tbl>
    <w:p>
      <w:pPr>
        <w:spacing w:line="480" w:lineRule="exact"/>
        <w:rPr>
          <w:rFonts w:eastAsia="仿宋"/>
          <w:b/>
          <w:spacing w:val="10"/>
          <w:sz w:val="24"/>
        </w:rPr>
      </w:pPr>
      <w:r>
        <w:rPr>
          <w:rFonts w:hint="eastAsia" w:ascii="仿宋" w:hAnsi="仿宋" w:eastAsia="仿宋"/>
          <w:b/>
        </w:rPr>
        <w:t>注:pH无量纲。</w:t>
      </w:r>
    </w:p>
    <w:p>
      <w:pPr>
        <w:spacing w:line="480" w:lineRule="exact"/>
        <w:ind w:firstLine="522"/>
        <w:jc w:val="center"/>
        <w:rPr>
          <w:rFonts w:eastAsia="仿宋_GB2312"/>
        </w:rPr>
      </w:pPr>
      <w:r>
        <w:rPr>
          <w:rFonts w:eastAsia="仿宋_GB2312"/>
          <w:b/>
          <w:spacing w:val="10"/>
          <w:sz w:val="24"/>
        </w:rPr>
        <w:t>表2.3-1</w:t>
      </w:r>
      <w:r>
        <w:rPr>
          <w:rFonts w:hint="eastAsia" w:eastAsia="仿宋_GB2312"/>
          <w:b/>
          <w:spacing w:val="10"/>
          <w:sz w:val="24"/>
        </w:rPr>
        <w:t>0</w:t>
      </w:r>
      <w:r>
        <w:rPr>
          <w:rFonts w:eastAsia="仿宋_GB2312"/>
          <w:b/>
          <w:spacing w:val="10"/>
          <w:sz w:val="24"/>
        </w:rPr>
        <w:t xml:space="preserve"> </w:t>
      </w:r>
      <w:r>
        <w:rPr>
          <w:rFonts w:hint="eastAsia" w:ascii="仿宋" w:hAnsi="仿宋" w:eastAsia="仿宋"/>
          <w:b/>
          <w:kern w:val="0"/>
          <w:sz w:val="24"/>
        </w:rPr>
        <w:t>污水处理厂</w:t>
      </w:r>
      <w:r>
        <w:rPr>
          <w:rFonts w:hint="eastAsia" w:ascii="仿宋" w:hAnsi="仿宋" w:eastAsia="仿宋"/>
          <w:b/>
          <w:kern w:val="0"/>
          <w:sz w:val="24"/>
          <w:lang w:val="zh-CN"/>
        </w:rPr>
        <w:t>尾水排放标准表</w:t>
      </w:r>
      <w:r>
        <w:rPr>
          <w:rFonts w:eastAsia="仿宋_GB2312"/>
          <w:b/>
          <w:spacing w:val="10"/>
          <w:sz w:val="24"/>
        </w:rPr>
        <w:t xml:space="preserve">   单位：mg/L</w:t>
      </w:r>
    </w:p>
    <w:tbl>
      <w:tblPr>
        <w:tblStyle w:val="87"/>
        <w:tblW w:w="442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4"/>
        <w:gridCol w:w="4414"/>
        <w:gridCol w:w="1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2" w:hRule="atLeast"/>
          <w:jc w:val="center"/>
        </w:trPr>
        <w:tc>
          <w:tcPr>
            <w:tcW w:w="1139" w:type="pct"/>
            <w:shd w:val="clear" w:color="auto" w:fill="auto"/>
            <w:vAlign w:val="center"/>
          </w:tcPr>
          <w:p>
            <w:pPr>
              <w:pStyle w:val="124"/>
              <w:spacing w:line="360" w:lineRule="exact"/>
              <w:rPr>
                <w:rFonts w:ascii="仿宋" w:hAnsi="仿宋" w:eastAsia="仿宋"/>
              </w:rPr>
            </w:pPr>
            <w:r>
              <w:rPr>
                <w:rFonts w:ascii="仿宋" w:hAnsi="仿宋" w:eastAsia="仿宋"/>
              </w:rPr>
              <w:t>污染物</w:t>
            </w:r>
          </w:p>
        </w:tc>
        <w:tc>
          <w:tcPr>
            <w:tcW w:w="2697" w:type="pct"/>
            <w:shd w:val="clear" w:color="auto" w:fill="auto"/>
            <w:vAlign w:val="center"/>
          </w:tcPr>
          <w:p>
            <w:pPr>
              <w:pStyle w:val="124"/>
              <w:spacing w:line="360" w:lineRule="exact"/>
              <w:rPr>
                <w:rFonts w:ascii="仿宋" w:hAnsi="仿宋" w:eastAsia="仿宋"/>
              </w:rPr>
            </w:pPr>
            <w:r>
              <w:rPr>
                <w:rFonts w:ascii="仿宋" w:hAnsi="仿宋" w:eastAsia="仿宋"/>
              </w:rPr>
              <w:t>标准</w:t>
            </w:r>
          </w:p>
        </w:tc>
        <w:tc>
          <w:tcPr>
            <w:tcW w:w="1164" w:type="pct"/>
            <w:shd w:val="clear" w:color="auto" w:fill="auto"/>
            <w:vAlign w:val="center"/>
          </w:tcPr>
          <w:p>
            <w:pPr>
              <w:pStyle w:val="124"/>
              <w:spacing w:line="360" w:lineRule="exact"/>
              <w:rPr>
                <w:rFonts w:ascii="仿宋" w:hAnsi="仿宋" w:eastAsia="仿宋"/>
              </w:rPr>
            </w:pPr>
            <w:r>
              <w:rPr>
                <w:rFonts w:ascii="仿宋" w:hAnsi="仿宋" w:eastAsia="仿宋"/>
              </w:rPr>
              <w:t>污染物排放标准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2" w:hRule="atLeast"/>
          <w:jc w:val="center"/>
        </w:trPr>
        <w:tc>
          <w:tcPr>
            <w:tcW w:w="1139" w:type="pct"/>
            <w:shd w:val="clear" w:color="auto" w:fill="auto"/>
            <w:vAlign w:val="center"/>
          </w:tcPr>
          <w:p>
            <w:pPr>
              <w:pStyle w:val="124"/>
              <w:spacing w:line="360" w:lineRule="exact"/>
              <w:rPr>
                <w:rFonts w:ascii="仿宋" w:hAnsi="仿宋" w:eastAsia="仿宋"/>
              </w:rPr>
            </w:pPr>
            <w:r>
              <w:rPr>
                <w:rFonts w:hint="eastAsia" w:ascii="仿宋" w:hAnsi="仿宋" w:eastAsia="仿宋"/>
              </w:rPr>
              <w:t>p</w:t>
            </w:r>
            <w:r>
              <w:rPr>
                <w:rFonts w:ascii="仿宋" w:hAnsi="仿宋" w:eastAsia="仿宋"/>
              </w:rPr>
              <w:t>H(</w:t>
            </w:r>
            <w:r>
              <w:rPr>
                <w:rFonts w:hint="eastAsia" w:ascii="仿宋" w:hAnsi="仿宋" w:eastAsia="仿宋"/>
              </w:rPr>
              <w:t>无量纲</w:t>
            </w:r>
            <w:r>
              <w:rPr>
                <w:rFonts w:ascii="仿宋" w:hAnsi="仿宋" w:eastAsia="仿宋"/>
              </w:rPr>
              <w:t>)</w:t>
            </w:r>
          </w:p>
        </w:tc>
        <w:tc>
          <w:tcPr>
            <w:tcW w:w="2697" w:type="pct"/>
            <w:vMerge w:val="restart"/>
            <w:shd w:val="clear" w:color="auto" w:fill="auto"/>
            <w:vAlign w:val="center"/>
          </w:tcPr>
          <w:p>
            <w:pPr>
              <w:pStyle w:val="124"/>
              <w:spacing w:line="360" w:lineRule="exact"/>
              <w:rPr>
                <w:rFonts w:ascii="仿宋" w:hAnsi="仿宋" w:eastAsia="仿宋"/>
              </w:rPr>
            </w:pPr>
            <w:r>
              <w:rPr>
                <w:rFonts w:ascii="仿宋" w:hAnsi="仿宋" w:eastAsia="仿宋"/>
              </w:rPr>
              <w:t>《城镇污水处理厂污染物排放标准》（GB18918-2002）一级A标准</w:t>
            </w:r>
          </w:p>
        </w:tc>
        <w:tc>
          <w:tcPr>
            <w:tcW w:w="1164" w:type="pct"/>
            <w:shd w:val="clear" w:color="auto" w:fill="auto"/>
            <w:vAlign w:val="center"/>
          </w:tcPr>
          <w:p>
            <w:pPr>
              <w:pStyle w:val="124"/>
              <w:spacing w:line="360" w:lineRule="exact"/>
              <w:rPr>
                <w:rFonts w:ascii="仿宋" w:hAnsi="仿宋" w:eastAsia="仿宋"/>
              </w:rPr>
            </w:pPr>
            <w:r>
              <w:rPr>
                <w:rFonts w:hint="eastAsia" w:ascii="仿宋" w:hAnsi="仿宋" w:eastAsia="仿宋"/>
              </w:rPr>
              <w:t>6</w:t>
            </w:r>
            <w:r>
              <w:rPr>
                <w:rFonts w:ascii="仿宋" w:hAnsi="仿宋" w:eastAsia="仿宋"/>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 w:hRule="atLeast"/>
          <w:jc w:val="center"/>
        </w:trPr>
        <w:tc>
          <w:tcPr>
            <w:tcW w:w="1139" w:type="pct"/>
            <w:shd w:val="clear" w:color="auto" w:fill="auto"/>
            <w:vAlign w:val="center"/>
          </w:tcPr>
          <w:p>
            <w:pPr>
              <w:pStyle w:val="124"/>
              <w:spacing w:line="360" w:lineRule="exact"/>
              <w:rPr>
                <w:rFonts w:ascii="仿宋" w:hAnsi="仿宋" w:eastAsia="仿宋"/>
              </w:rPr>
            </w:pPr>
            <w:r>
              <w:rPr>
                <w:rFonts w:ascii="仿宋" w:hAnsi="仿宋" w:eastAsia="仿宋"/>
              </w:rPr>
              <w:t>SS</w:t>
            </w:r>
          </w:p>
        </w:tc>
        <w:tc>
          <w:tcPr>
            <w:tcW w:w="2697" w:type="pct"/>
            <w:vMerge w:val="continue"/>
            <w:shd w:val="clear" w:color="auto" w:fill="auto"/>
            <w:vAlign w:val="center"/>
          </w:tcPr>
          <w:p>
            <w:pPr>
              <w:pStyle w:val="124"/>
              <w:spacing w:line="360" w:lineRule="exact"/>
              <w:rPr>
                <w:rFonts w:ascii="仿宋" w:hAnsi="仿宋" w:eastAsia="仿宋"/>
              </w:rPr>
            </w:pPr>
          </w:p>
        </w:tc>
        <w:tc>
          <w:tcPr>
            <w:tcW w:w="1164" w:type="pct"/>
            <w:shd w:val="clear" w:color="auto" w:fill="auto"/>
            <w:vAlign w:val="center"/>
          </w:tcPr>
          <w:p>
            <w:pPr>
              <w:pStyle w:val="124"/>
              <w:spacing w:line="360" w:lineRule="exact"/>
              <w:rPr>
                <w:rFonts w:ascii="仿宋" w:hAnsi="仿宋" w:eastAsia="仿宋"/>
              </w:rPr>
            </w:pPr>
            <w:r>
              <w:rPr>
                <w:rFonts w:ascii="仿宋" w:hAnsi="仿宋" w:eastAsia="仿宋"/>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1" w:hRule="atLeast"/>
          <w:jc w:val="center"/>
        </w:trPr>
        <w:tc>
          <w:tcPr>
            <w:tcW w:w="1139" w:type="pct"/>
            <w:shd w:val="clear" w:color="auto" w:fill="auto"/>
            <w:vAlign w:val="center"/>
          </w:tcPr>
          <w:p>
            <w:pPr>
              <w:pStyle w:val="124"/>
              <w:spacing w:line="360" w:lineRule="exact"/>
              <w:rPr>
                <w:rFonts w:ascii="仿宋" w:hAnsi="仿宋" w:eastAsia="仿宋"/>
              </w:rPr>
            </w:pPr>
            <w:r>
              <w:rPr>
                <w:rFonts w:ascii="仿宋" w:hAnsi="仿宋" w:eastAsia="仿宋"/>
              </w:rPr>
              <w:t>化学需氧量</w:t>
            </w:r>
          </w:p>
        </w:tc>
        <w:tc>
          <w:tcPr>
            <w:tcW w:w="2697" w:type="pct"/>
            <w:vMerge w:val="restart"/>
            <w:shd w:val="clear" w:color="auto" w:fill="auto"/>
            <w:vAlign w:val="center"/>
          </w:tcPr>
          <w:p>
            <w:pPr>
              <w:pStyle w:val="124"/>
              <w:spacing w:line="360" w:lineRule="exact"/>
              <w:rPr>
                <w:rFonts w:ascii="仿宋" w:hAnsi="仿宋" w:eastAsia="仿宋"/>
              </w:rPr>
            </w:pPr>
            <w:r>
              <w:rPr>
                <w:rFonts w:ascii="仿宋" w:hAnsi="仿宋" w:eastAsia="仿宋"/>
              </w:rPr>
              <w:t>《太湖地区城镇污水处理厂及重点工业行业主要水污染物排放限值》（</w:t>
            </w:r>
            <w:bookmarkStart w:id="112" w:name="_Hlk29457339"/>
            <w:r>
              <w:rPr>
                <w:rFonts w:ascii="仿宋" w:hAnsi="仿宋" w:eastAsia="仿宋"/>
              </w:rPr>
              <w:t>DB32/1072-2018</w:t>
            </w:r>
            <w:bookmarkEnd w:id="112"/>
            <w:r>
              <w:rPr>
                <w:rFonts w:ascii="仿宋" w:hAnsi="仿宋" w:eastAsia="仿宋"/>
              </w:rPr>
              <w:t>）</w:t>
            </w:r>
          </w:p>
        </w:tc>
        <w:tc>
          <w:tcPr>
            <w:tcW w:w="1164" w:type="pct"/>
            <w:shd w:val="clear" w:color="auto" w:fill="auto"/>
            <w:vAlign w:val="center"/>
          </w:tcPr>
          <w:p>
            <w:pPr>
              <w:pStyle w:val="124"/>
              <w:spacing w:line="360" w:lineRule="exact"/>
              <w:rPr>
                <w:rFonts w:ascii="仿宋" w:hAnsi="仿宋" w:eastAsia="仿宋"/>
              </w:rPr>
            </w:pPr>
            <w:r>
              <w:rPr>
                <w:rFonts w:ascii="仿宋" w:hAnsi="仿宋" w:eastAsia="仿宋"/>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1" w:hRule="atLeast"/>
          <w:jc w:val="center"/>
        </w:trPr>
        <w:tc>
          <w:tcPr>
            <w:tcW w:w="1139" w:type="pct"/>
            <w:shd w:val="clear" w:color="auto" w:fill="auto"/>
            <w:vAlign w:val="center"/>
          </w:tcPr>
          <w:p>
            <w:pPr>
              <w:pStyle w:val="124"/>
              <w:spacing w:line="360" w:lineRule="exact"/>
              <w:rPr>
                <w:rFonts w:ascii="仿宋" w:hAnsi="仿宋" w:eastAsia="仿宋"/>
              </w:rPr>
            </w:pPr>
            <w:r>
              <w:rPr>
                <w:rFonts w:ascii="仿宋" w:hAnsi="仿宋" w:eastAsia="仿宋"/>
              </w:rPr>
              <w:t>NH</w:t>
            </w:r>
            <w:r>
              <w:rPr>
                <w:rFonts w:ascii="仿宋" w:hAnsi="仿宋" w:eastAsia="仿宋"/>
                <w:vertAlign w:val="subscript"/>
              </w:rPr>
              <w:t>3</w:t>
            </w:r>
            <w:r>
              <w:rPr>
                <w:rFonts w:ascii="仿宋" w:hAnsi="仿宋" w:eastAsia="仿宋"/>
              </w:rPr>
              <w:t>-N*</w:t>
            </w:r>
          </w:p>
        </w:tc>
        <w:tc>
          <w:tcPr>
            <w:tcW w:w="2697" w:type="pct"/>
            <w:vMerge w:val="continue"/>
            <w:shd w:val="clear" w:color="auto" w:fill="auto"/>
            <w:vAlign w:val="center"/>
          </w:tcPr>
          <w:p>
            <w:pPr>
              <w:pStyle w:val="124"/>
              <w:spacing w:line="360" w:lineRule="exact"/>
              <w:rPr>
                <w:rFonts w:ascii="仿宋" w:hAnsi="仿宋" w:eastAsia="仿宋"/>
              </w:rPr>
            </w:pPr>
          </w:p>
        </w:tc>
        <w:tc>
          <w:tcPr>
            <w:tcW w:w="1164" w:type="pct"/>
            <w:shd w:val="clear" w:color="auto" w:fill="auto"/>
            <w:vAlign w:val="center"/>
          </w:tcPr>
          <w:p>
            <w:pPr>
              <w:pStyle w:val="124"/>
              <w:spacing w:line="360" w:lineRule="exact"/>
              <w:rPr>
                <w:rFonts w:ascii="仿宋" w:hAnsi="仿宋" w:eastAsia="仿宋"/>
              </w:rPr>
            </w:pPr>
            <w:r>
              <w:rPr>
                <w:rFonts w:ascii="仿宋" w:hAnsi="仿宋" w:eastAsia="仿宋"/>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1" w:hRule="atLeast"/>
          <w:jc w:val="center"/>
        </w:trPr>
        <w:tc>
          <w:tcPr>
            <w:tcW w:w="1139" w:type="pct"/>
            <w:shd w:val="clear" w:color="auto" w:fill="auto"/>
            <w:vAlign w:val="center"/>
          </w:tcPr>
          <w:p>
            <w:pPr>
              <w:pStyle w:val="124"/>
              <w:spacing w:line="360" w:lineRule="exact"/>
              <w:rPr>
                <w:rFonts w:ascii="仿宋" w:hAnsi="仿宋" w:eastAsia="仿宋"/>
              </w:rPr>
            </w:pPr>
            <w:r>
              <w:rPr>
                <w:rFonts w:ascii="仿宋" w:hAnsi="仿宋" w:eastAsia="仿宋"/>
              </w:rPr>
              <w:t>TN*</w:t>
            </w:r>
          </w:p>
        </w:tc>
        <w:tc>
          <w:tcPr>
            <w:tcW w:w="2697" w:type="pct"/>
            <w:vMerge w:val="continue"/>
            <w:shd w:val="clear" w:color="auto" w:fill="auto"/>
            <w:vAlign w:val="center"/>
          </w:tcPr>
          <w:p>
            <w:pPr>
              <w:pStyle w:val="124"/>
              <w:spacing w:line="360" w:lineRule="exact"/>
              <w:rPr>
                <w:rFonts w:ascii="仿宋" w:hAnsi="仿宋" w:eastAsia="仿宋"/>
              </w:rPr>
            </w:pPr>
          </w:p>
        </w:tc>
        <w:tc>
          <w:tcPr>
            <w:tcW w:w="1164" w:type="pct"/>
            <w:shd w:val="clear" w:color="auto" w:fill="auto"/>
            <w:vAlign w:val="center"/>
          </w:tcPr>
          <w:p>
            <w:pPr>
              <w:pStyle w:val="124"/>
              <w:spacing w:line="360" w:lineRule="exact"/>
              <w:rPr>
                <w:rFonts w:ascii="仿宋" w:hAnsi="仿宋" w:eastAsia="仿宋"/>
              </w:rPr>
            </w:pPr>
            <w:r>
              <w:rPr>
                <w:rFonts w:ascii="仿宋" w:hAnsi="仿宋" w:eastAsia="仿宋"/>
              </w:rPr>
              <w:t>≤12(15)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1" w:hRule="atLeast"/>
          <w:jc w:val="center"/>
        </w:trPr>
        <w:tc>
          <w:tcPr>
            <w:tcW w:w="1139" w:type="pct"/>
            <w:shd w:val="clear" w:color="auto" w:fill="auto"/>
            <w:vAlign w:val="center"/>
          </w:tcPr>
          <w:p>
            <w:pPr>
              <w:pStyle w:val="124"/>
              <w:spacing w:line="360" w:lineRule="exact"/>
              <w:rPr>
                <w:rFonts w:ascii="仿宋" w:hAnsi="仿宋" w:eastAsia="仿宋"/>
              </w:rPr>
            </w:pPr>
            <w:r>
              <w:rPr>
                <w:rFonts w:ascii="仿宋" w:hAnsi="仿宋" w:eastAsia="仿宋"/>
              </w:rPr>
              <w:t>TP</w:t>
            </w:r>
          </w:p>
        </w:tc>
        <w:tc>
          <w:tcPr>
            <w:tcW w:w="2697" w:type="pct"/>
            <w:vMerge w:val="continue"/>
            <w:shd w:val="clear" w:color="auto" w:fill="auto"/>
            <w:vAlign w:val="center"/>
          </w:tcPr>
          <w:p>
            <w:pPr>
              <w:pStyle w:val="124"/>
              <w:spacing w:line="360" w:lineRule="exact"/>
              <w:rPr>
                <w:rFonts w:ascii="仿宋" w:hAnsi="仿宋" w:eastAsia="仿宋"/>
              </w:rPr>
            </w:pPr>
          </w:p>
        </w:tc>
        <w:tc>
          <w:tcPr>
            <w:tcW w:w="1164" w:type="pct"/>
            <w:shd w:val="clear" w:color="auto" w:fill="auto"/>
            <w:vAlign w:val="center"/>
          </w:tcPr>
          <w:p>
            <w:pPr>
              <w:pStyle w:val="124"/>
              <w:spacing w:line="360" w:lineRule="exact"/>
              <w:rPr>
                <w:rFonts w:ascii="仿宋" w:hAnsi="仿宋" w:eastAsia="仿宋"/>
              </w:rPr>
            </w:pPr>
            <w:r>
              <w:rPr>
                <w:rFonts w:ascii="仿宋" w:hAnsi="仿宋" w:eastAsia="仿宋"/>
              </w:rPr>
              <w:t>≤0.5</w:t>
            </w:r>
          </w:p>
        </w:tc>
      </w:tr>
    </w:tbl>
    <w:p>
      <w:pPr>
        <w:adjustRightInd w:val="0"/>
        <w:snapToGrid w:val="0"/>
        <w:spacing w:line="500" w:lineRule="exact"/>
        <w:ind w:firstLine="592" w:firstLineChars="200"/>
        <w:rPr>
          <w:rFonts w:eastAsia="仿宋_GB2312"/>
          <w:bCs/>
          <w:spacing w:val="8"/>
          <w:sz w:val="28"/>
          <w:szCs w:val="28"/>
        </w:rPr>
      </w:pPr>
      <w:r>
        <w:rPr>
          <w:rFonts w:hint="eastAsia" w:eastAsia="仿宋_GB2312"/>
          <w:bCs/>
          <w:spacing w:val="8"/>
          <w:sz w:val="28"/>
          <w:szCs w:val="28"/>
        </w:rPr>
        <w:t>自2026年3月28日起，金坛第二污水处理厂尾水排放标准执行《城镇污水处理厂污染物排放标准》（DB32/4440-2022）中表1基本控制项目（常规污染物）日均排放限值和表2四项主要常规污染物一次监测排放限值，具体见下表。</w:t>
      </w:r>
    </w:p>
    <w:p>
      <w:pPr>
        <w:spacing w:line="480" w:lineRule="exact"/>
        <w:ind w:firstLine="522"/>
        <w:jc w:val="center"/>
        <w:rPr>
          <w:rFonts w:eastAsia="仿宋_GB2312"/>
          <w:b/>
          <w:spacing w:val="10"/>
          <w:sz w:val="24"/>
        </w:rPr>
      </w:pPr>
      <w:r>
        <w:rPr>
          <w:rFonts w:eastAsia="仿宋_GB2312"/>
          <w:b/>
          <w:spacing w:val="10"/>
          <w:sz w:val="24"/>
        </w:rPr>
        <w:t>表2.3-1</w:t>
      </w:r>
      <w:r>
        <w:rPr>
          <w:rFonts w:hint="eastAsia" w:eastAsia="仿宋_GB2312"/>
          <w:b/>
          <w:spacing w:val="10"/>
          <w:sz w:val="24"/>
        </w:rPr>
        <w:t>1</w:t>
      </w:r>
      <w:r>
        <w:rPr>
          <w:rFonts w:eastAsia="仿宋_GB2312"/>
          <w:b/>
          <w:spacing w:val="10"/>
          <w:sz w:val="24"/>
        </w:rPr>
        <w:t>金坛第二污水处理厂基本控制项目（常规污染物）日均排放限值  单位：mg/L</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2"/>
        <w:gridCol w:w="3323"/>
        <w:gridCol w:w="2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54" w:type="pct"/>
            <w:vAlign w:val="center"/>
          </w:tcPr>
          <w:p>
            <w:pPr>
              <w:pStyle w:val="124"/>
              <w:spacing w:line="360" w:lineRule="exact"/>
              <w:rPr>
                <w:rFonts w:ascii="仿宋" w:hAnsi="仿宋" w:eastAsia="仿宋"/>
              </w:rPr>
            </w:pPr>
            <w:r>
              <w:rPr>
                <w:rFonts w:ascii="仿宋" w:hAnsi="仿宋" w:eastAsia="仿宋"/>
              </w:rPr>
              <w:t>污染物</w:t>
            </w:r>
          </w:p>
        </w:tc>
        <w:tc>
          <w:tcPr>
            <w:tcW w:w="1798" w:type="pct"/>
            <w:vAlign w:val="center"/>
          </w:tcPr>
          <w:p>
            <w:pPr>
              <w:pStyle w:val="124"/>
              <w:spacing w:line="360" w:lineRule="exact"/>
              <w:rPr>
                <w:rFonts w:ascii="仿宋" w:hAnsi="仿宋" w:eastAsia="仿宋"/>
              </w:rPr>
            </w:pPr>
            <w:r>
              <w:rPr>
                <w:rFonts w:ascii="仿宋" w:hAnsi="仿宋" w:eastAsia="仿宋"/>
              </w:rPr>
              <w:t>标准</w:t>
            </w:r>
          </w:p>
        </w:tc>
        <w:tc>
          <w:tcPr>
            <w:tcW w:w="1448" w:type="pct"/>
            <w:vAlign w:val="center"/>
          </w:tcPr>
          <w:p>
            <w:pPr>
              <w:pStyle w:val="124"/>
              <w:spacing w:line="360" w:lineRule="exact"/>
              <w:rPr>
                <w:rFonts w:ascii="仿宋" w:hAnsi="仿宋" w:eastAsia="仿宋"/>
              </w:rPr>
            </w:pPr>
            <w:r>
              <w:rPr>
                <w:rFonts w:ascii="仿宋" w:hAnsi="仿宋" w:eastAsia="仿宋"/>
              </w:rPr>
              <w:t>污染物排放标准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1754" w:type="pct"/>
            <w:vAlign w:val="center"/>
          </w:tcPr>
          <w:p>
            <w:pPr>
              <w:pStyle w:val="124"/>
              <w:spacing w:line="360" w:lineRule="exact"/>
              <w:rPr>
                <w:rFonts w:ascii="仿宋" w:hAnsi="仿宋" w:eastAsia="仿宋"/>
              </w:rPr>
            </w:pPr>
            <w:r>
              <w:rPr>
                <w:rFonts w:ascii="仿宋" w:hAnsi="仿宋" w:eastAsia="仿宋"/>
              </w:rPr>
              <w:t>COD</w:t>
            </w:r>
          </w:p>
        </w:tc>
        <w:tc>
          <w:tcPr>
            <w:tcW w:w="1798" w:type="pct"/>
            <w:vMerge w:val="restart"/>
            <w:vAlign w:val="center"/>
          </w:tcPr>
          <w:p>
            <w:pPr>
              <w:pStyle w:val="124"/>
              <w:spacing w:line="360" w:lineRule="exact"/>
              <w:rPr>
                <w:rFonts w:ascii="仿宋" w:hAnsi="仿宋" w:eastAsia="仿宋"/>
              </w:rPr>
            </w:pPr>
            <w:r>
              <w:rPr>
                <w:rFonts w:ascii="仿宋" w:hAnsi="仿宋" w:eastAsia="仿宋"/>
              </w:rPr>
              <w:t>《城镇污水处理厂污染物排放标准》（DB32/4440-2022）</w:t>
            </w:r>
          </w:p>
        </w:tc>
        <w:tc>
          <w:tcPr>
            <w:tcW w:w="1448" w:type="pct"/>
            <w:vAlign w:val="center"/>
          </w:tcPr>
          <w:p>
            <w:pPr>
              <w:pStyle w:val="124"/>
              <w:spacing w:line="360" w:lineRule="exact"/>
              <w:rPr>
                <w:rFonts w:ascii="仿宋" w:hAnsi="仿宋" w:eastAsia="仿宋"/>
              </w:rPr>
            </w:pPr>
            <w:r>
              <w:rPr>
                <w:rFonts w:ascii="仿宋" w:hAnsi="仿宋" w:eastAsia="仿宋"/>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754" w:type="pct"/>
            <w:vAlign w:val="center"/>
          </w:tcPr>
          <w:p>
            <w:pPr>
              <w:pStyle w:val="124"/>
              <w:spacing w:line="360" w:lineRule="exact"/>
              <w:rPr>
                <w:rFonts w:ascii="仿宋" w:hAnsi="仿宋" w:eastAsia="仿宋"/>
              </w:rPr>
            </w:pPr>
            <w:r>
              <w:rPr>
                <w:rFonts w:ascii="仿宋" w:hAnsi="仿宋" w:eastAsia="仿宋"/>
              </w:rPr>
              <w:t>NH</w:t>
            </w:r>
            <w:r>
              <w:rPr>
                <w:rFonts w:ascii="仿宋" w:hAnsi="仿宋" w:eastAsia="仿宋"/>
                <w:vertAlign w:val="subscript"/>
              </w:rPr>
              <w:t>3</w:t>
            </w:r>
            <w:r>
              <w:rPr>
                <w:rFonts w:ascii="仿宋" w:hAnsi="仿宋" w:eastAsia="仿宋"/>
              </w:rPr>
              <w:t>-N</w:t>
            </w:r>
          </w:p>
        </w:tc>
        <w:tc>
          <w:tcPr>
            <w:tcW w:w="1798" w:type="pct"/>
            <w:vMerge w:val="continue"/>
            <w:vAlign w:val="center"/>
          </w:tcPr>
          <w:p>
            <w:pPr>
              <w:pStyle w:val="124"/>
              <w:spacing w:line="360" w:lineRule="exact"/>
              <w:rPr>
                <w:rFonts w:ascii="仿宋" w:hAnsi="仿宋" w:eastAsia="仿宋"/>
              </w:rPr>
            </w:pPr>
          </w:p>
        </w:tc>
        <w:tc>
          <w:tcPr>
            <w:tcW w:w="1448" w:type="pct"/>
            <w:vAlign w:val="center"/>
          </w:tcPr>
          <w:p>
            <w:pPr>
              <w:pStyle w:val="124"/>
              <w:spacing w:line="360" w:lineRule="exact"/>
              <w:rPr>
                <w:rFonts w:ascii="仿宋" w:hAnsi="仿宋" w:eastAsia="仿宋"/>
              </w:rPr>
            </w:pPr>
            <w:r>
              <w:rPr>
                <w:rFonts w:ascii="仿宋" w:hAnsi="仿宋" w:eastAsia="仿宋"/>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1754" w:type="pct"/>
            <w:vAlign w:val="center"/>
          </w:tcPr>
          <w:p>
            <w:pPr>
              <w:pStyle w:val="124"/>
              <w:spacing w:line="360" w:lineRule="exact"/>
              <w:rPr>
                <w:rFonts w:ascii="仿宋" w:hAnsi="仿宋" w:eastAsia="仿宋"/>
              </w:rPr>
            </w:pPr>
            <w:r>
              <w:rPr>
                <w:rFonts w:ascii="仿宋" w:hAnsi="仿宋" w:eastAsia="仿宋"/>
              </w:rPr>
              <w:t>TP</w:t>
            </w:r>
          </w:p>
        </w:tc>
        <w:tc>
          <w:tcPr>
            <w:tcW w:w="1798" w:type="pct"/>
            <w:vMerge w:val="continue"/>
            <w:vAlign w:val="center"/>
          </w:tcPr>
          <w:p>
            <w:pPr>
              <w:pStyle w:val="124"/>
              <w:spacing w:line="360" w:lineRule="exact"/>
              <w:rPr>
                <w:rFonts w:ascii="仿宋" w:hAnsi="仿宋" w:eastAsia="仿宋"/>
              </w:rPr>
            </w:pPr>
          </w:p>
        </w:tc>
        <w:tc>
          <w:tcPr>
            <w:tcW w:w="1448" w:type="pct"/>
            <w:vAlign w:val="center"/>
          </w:tcPr>
          <w:p>
            <w:pPr>
              <w:pStyle w:val="124"/>
              <w:spacing w:line="360" w:lineRule="exact"/>
              <w:rPr>
                <w:rFonts w:ascii="仿宋" w:hAnsi="仿宋" w:eastAsia="仿宋"/>
              </w:rPr>
            </w:pPr>
            <w:r>
              <w:rPr>
                <w:rFonts w:ascii="仿宋" w:hAnsi="仿宋" w:eastAsia="仿宋"/>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754" w:type="pct"/>
            <w:vAlign w:val="center"/>
          </w:tcPr>
          <w:p>
            <w:pPr>
              <w:pStyle w:val="124"/>
              <w:spacing w:line="360" w:lineRule="exact"/>
              <w:rPr>
                <w:rFonts w:ascii="仿宋" w:hAnsi="仿宋" w:eastAsia="仿宋"/>
              </w:rPr>
            </w:pPr>
            <w:r>
              <w:rPr>
                <w:rFonts w:ascii="仿宋" w:hAnsi="仿宋" w:eastAsia="仿宋"/>
              </w:rPr>
              <w:t>TN</w:t>
            </w:r>
          </w:p>
        </w:tc>
        <w:tc>
          <w:tcPr>
            <w:tcW w:w="1798" w:type="pct"/>
            <w:vMerge w:val="continue"/>
            <w:vAlign w:val="center"/>
          </w:tcPr>
          <w:p>
            <w:pPr>
              <w:pStyle w:val="124"/>
              <w:spacing w:line="360" w:lineRule="exact"/>
              <w:rPr>
                <w:rFonts w:ascii="仿宋" w:hAnsi="仿宋" w:eastAsia="仿宋"/>
              </w:rPr>
            </w:pPr>
          </w:p>
        </w:tc>
        <w:tc>
          <w:tcPr>
            <w:tcW w:w="1448" w:type="pct"/>
            <w:vAlign w:val="center"/>
          </w:tcPr>
          <w:p>
            <w:pPr>
              <w:pStyle w:val="124"/>
              <w:spacing w:line="360" w:lineRule="exact"/>
              <w:rPr>
                <w:rFonts w:ascii="仿宋" w:hAnsi="仿宋" w:eastAsia="仿宋"/>
              </w:rPr>
            </w:pPr>
            <w:r>
              <w:rPr>
                <w:rFonts w:ascii="仿宋" w:hAnsi="仿宋" w:eastAsia="仿宋"/>
              </w:rPr>
              <w:t>12（15）*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754" w:type="pct"/>
            <w:vAlign w:val="center"/>
          </w:tcPr>
          <w:p>
            <w:pPr>
              <w:pStyle w:val="124"/>
              <w:spacing w:line="360" w:lineRule="exact"/>
              <w:rPr>
                <w:rFonts w:ascii="仿宋" w:hAnsi="仿宋" w:eastAsia="仿宋"/>
              </w:rPr>
            </w:pPr>
            <w:r>
              <w:rPr>
                <w:rFonts w:ascii="仿宋" w:hAnsi="仿宋" w:eastAsia="仿宋"/>
              </w:rPr>
              <w:t>pH值（无量纲）</w:t>
            </w:r>
          </w:p>
        </w:tc>
        <w:tc>
          <w:tcPr>
            <w:tcW w:w="1798" w:type="pct"/>
            <w:vMerge w:val="continue"/>
            <w:vAlign w:val="center"/>
          </w:tcPr>
          <w:p>
            <w:pPr>
              <w:pStyle w:val="124"/>
              <w:spacing w:line="360" w:lineRule="exact"/>
              <w:rPr>
                <w:rFonts w:ascii="仿宋" w:hAnsi="仿宋" w:eastAsia="仿宋"/>
              </w:rPr>
            </w:pPr>
          </w:p>
        </w:tc>
        <w:tc>
          <w:tcPr>
            <w:tcW w:w="1448" w:type="pct"/>
            <w:vAlign w:val="center"/>
          </w:tcPr>
          <w:p>
            <w:pPr>
              <w:pStyle w:val="124"/>
              <w:spacing w:line="360" w:lineRule="exact"/>
              <w:rPr>
                <w:rFonts w:ascii="仿宋" w:hAnsi="仿宋" w:eastAsia="仿宋"/>
              </w:rPr>
            </w:pPr>
            <w:r>
              <w:rPr>
                <w:rFonts w:ascii="仿宋" w:hAnsi="仿宋" w:eastAsia="仿宋"/>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 w:hRule="atLeast"/>
          <w:jc w:val="center"/>
        </w:trPr>
        <w:tc>
          <w:tcPr>
            <w:tcW w:w="1754" w:type="pct"/>
            <w:vAlign w:val="center"/>
          </w:tcPr>
          <w:p>
            <w:pPr>
              <w:pStyle w:val="124"/>
              <w:spacing w:line="360" w:lineRule="exact"/>
              <w:rPr>
                <w:rFonts w:ascii="仿宋" w:hAnsi="仿宋" w:eastAsia="仿宋"/>
              </w:rPr>
            </w:pPr>
            <w:r>
              <w:rPr>
                <w:rFonts w:ascii="仿宋" w:hAnsi="仿宋" w:eastAsia="仿宋"/>
              </w:rPr>
              <w:t>SS</w:t>
            </w:r>
          </w:p>
        </w:tc>
        <w:tc>
          <w:tcPr>
            <w:tcW w:w="1798" w:type="pct"/>
            <w:vMerge w:val="continue"/>
            <w:vAlign w:val="center"/>
          </w:tcPr>
          <w:p>
            <w:pPr>
              <w:pStyle w:val="124"/>
              <w:spacing w:line="360" w:lineRule="exact"/>
              <w:rPr>
                <w:rFonts w:ascii="仿宋" w:hAnsi="仿宋" w:eastAsia="仿宋"/>
              </w:rPr>
            </w:pPr>
          </w:p>
        </w:tc>
        <w:tc>
          <w:tcPr>
            <w:tcW w:w="1448" w:type="pct"/>
            <w:vAlign w:val="center"/>
          </w:tcPr>
          <w:p>
            <w:pPr>
              <w:pStyle w:val="124"/>
              <w:spacing w:line="360" w:lineRule="exact"/>
              <w:rPr>
                <w:rFonts w:ascii="仿宋" w:hAnsi="仿宋" w:eastAsia="仿宋"/>
              </w:rPr>
            </w:pPr>
            <w:r>
              <w:rPr>
                <w:rFonts w:ascii="仿宋" w:hAnsi="仿宋" w:eastAsia="仿宋"/>
              </w:rPr>
              <w:t>10</w:t>
            </w:r>
          </w:p>
        </w:tc>
      </w:tr>
    </w:tbl>
    <w:p>
      <w:pPr>
        <w:spacing w:line="500" w:lineRule="exact"/>
        <w:rPr>
          <w:rFonts w:eastAsia="仿宋"/>
          <w:bCs/>
          <w:sz w:val="24"/>
        </w:rPr>
      </w:pPr>
      <w:r>
        <w:rPr>
          <w:rFonts w:eastAsia="仿宋"/>
          <w:bCs/>
          <w:sz w:val="24"/>
        </w:rPr>
        <w:t>注*：每年11月1日至次年3月31日执行括号内排放限值。</w:t>
      </w:r>
    </w:p>
    <w:p>
      <w:pPr>
        <w:adjustRightInd w:val="0"/>
        <w:snapToGrid w:val="0"/>
        <w:spacing w:line="500" w:lineRule="exact"/>
        <w:ind w:firstLine="594" w:firstLineChars="200"/>
        <w:rPr>
          <w:rFonts w:eastAsia="仿宋_GB2312"/>
          <w:b/>
          <w:spacing w:val="8"/>
          <w:sz w:val="28"/>
          <w:szCs w:val="28"/>
        </w:rPr>
      </w:pPr>
      <w:r>
        <w:rPr>
          <w:rFonts w:eastAsia="仿宋_GB2312"/>
          <w:b/>
          <w:spacing w:val="8"/>
          <w:sz w:val="28"/>
          <w:szCs w:val="28"/>
        </w:rPr>
        <w:t>（3）噪声</w:t>
      </w:r>
    </w:p>
    <w:p>
      <w:pPr>
        <w:autoSpaceDE w:val="0"/>
        <w:autoSpaceDN w:val="0"/>
        <w:adjustRightInd w:val="0"/>
        <w:spacing w:line="500" w:lineRule="exact"/>
        <w:ind w:firstLine="560" w:firstLineChars="200"/>
        <w:jc w:val="left"/>
        <w:rPr>
          <w:rFonts w:eastAsia="仿宋_GB2312"/>
          <w:b/>
          <w:sz w:val="24"/>
        </w:rPr>
      </w:pPr>
      <w:r>
        <w:rPr>
          <w:rFonts w:hint="eastAsia" w:eastAsia="仿宋_GB2312" w:cs="宋体"/>
          <w:sz w:val="28"/>
        </w:rPr>
        <w:t>本项目东、西、北</w:t>
      </w:r>
      <w:r>
        <w:rPr>
          <w:rFonts w:eastAsia="仿宋_GB2312"/>
          <w:sz w:val="28"/>
        </w:rPr>
        <w:t>厂界噪声执行《工业企业厂界环境噪声排放标准》（GB12348-2008）中3类标准</w:t>
      </w:r>
      <w:r>
        <w:rPr>
          <w:rFonts w:hint="eastAsia" w:eastAsia="仿宋_GB2312"/>
          <w:sz w:val="28"/>
        </w:rPr>
        <w:t>，南厂界执行4类标准</w:t>
      </w:r>
      <w:r>
        <w:rPr>
          <w:rFonts w:eastAsia="仿宋_GB2312"/>
          <w:sz w:val="28"/>
        </w:rPr>
        <w:t>，具体见表2.3-1</w:t>
      </w:r>
      <w:r>
        <w:rPr>
          <w:rFonts w:hint="eastAsia" w:eastAsia="仿宋_GB2312"/>
          <w:sz w:val="28"/>
        </w:rPr>
        <w:t>2</w:t>
      </w:r>
      <w:r>
        <w:rPr>
          <w:rFonts w:eastAsia="仿宋_GB2312"/>
          <w:sz w:val="28"/>
        </w:rPr>
        <w:t>。</w:t>
      </w:r>
    </w:p>
    <w:p>
      <w:pPr>
        <w:autoSpaceDE w:val="0"/>
        <w:autoSpaceDN w:val="0"/>
        <w:adjustRightInd w:val="0"/>
        <w:spacing w:line="500" w:lineRule="exact"/>
        <w:ind w:firstLine="482" w:firstLineChars="200"/>
        <w:jc w:val="center"/>
        <w:rPr>
          <w:rFonts w:eastAsia="仿宋_GB2312"/>
          <w:b/>
          <w:sz w:val="24"/>
        </w:rPr>
      </w:pPr>
      <w:r>
        <w:rPr>
          <w:rFonts w:eastAsia="仿宋_GB2312"/>
          <w:b/>
          <w:sz w:val="24"/>
        </w:rPr>
        <w:t>表2.3-1</w:t>
      </w:r>
      <w:r>
        <w:rPr>
          <w:rFonts w:hint="eastAsia" w:eastAsia="仿宋_GB2312"/>
          <w:b/>
          <w:sz w:val="24"/>
        </w:rPr>
        <w:t>2</w:t>
      </w:r>
      <w:r>
        <w:rPr>
          <w:rFonts w:eastAsia="仿宋_GB2312"/>
          <w:b/>
          <w:sz w:val="24"/>
        </w:rPr>
        <w:t xml:space="preserve"> 厂界噪声排放标准</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2571"/>
        <w:gridCol w:w="3604"/>
        <w:gridCol w:w="306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403" w:hRule="atLeast"/>
          <w:jc w:val="center"/>
        </w:trPr>
        <w:tc>
          <w:tcPr>
            <w:tcW w:w="1391" w:type="pct"/>
            <w:vAlign w:val="center"/>
          </w:tcPr>
          <w:p>
            <w:pPr>
              <w:pStyle w:val="124"/>
              <w:spacing w:line="360" w:lineRule="exact"/>
              <w:rPr>
                <w:rFonts w:ascii="仿宋" w:hAnsi="仿宋" w:eastAsia="仿宋"/>
              </w:rPr>
            </w:pPr>
            <w:r>
              <w:rPr>
                <w:rFonts w:ascii="仿宋" w:hAnsi="仿宋" w:eastAsia="仿宋"/>
              </w:rPr>
              <w:t>类别</w:t>
            </w:r>
          </w:p>
        </w:tc>
        <w:tc>
          <w:tcPr>
            <w:tcW w:w="1950" w:type="pct"/>
            <w:vAlign w:val="center"/>
          </w:tcPr>
          <w:p>
            <w:pPr>
              <w:pStyle w:val="124"/>
              <w:spacing w:line="360" w:lineRule="exact"/>
              <w:rPr>
                <w:rFonts w:ascii="仿宋" w:hAnsi="仿宋" w:eastAsia="仿宋"/>
              </w:rPr>
            </w:pPr>
            <w:r>
              <w:rPr>
                <w:rFonts w:ascii="仿宋" w:hAnsi="仿宋" w:eastAsia="仿宋"/>
              </w:rPr>
              <w:t>昼间</w:t>
            </w:r>
          </w:p>
        </w:tc>
        <w:tc>
          <w:tcPr>
            <w:tcW w:w="1659" w:type="pct"/>
            <w:vAlign w:val="center"/>
          </w:tcPr>
          <w:p>
            <w:pPr>
              <w:pStyle w:val="124"/>
              <w:spacing w:line="360" w:lineRule="exact"/>
              <w:rPr>
                <w:rFonts w:ascii="仿宋" w:hAnsi="仿宋" w:eastAsia="仿宋"/>
              </w:rPr>
            </w:pPr>
            <w:r>
              <w:rPr>
                <w:rFonts w:ascii="仿宋" w:hAnsi="仿宋" w:eastAsia="仿宋"/>
              </w:rPr>
              <w:t>夜间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6" w:hRule="atLeast"/>
          <w:jc w:val="center"/>
        </w:trPr>
        <w:tc>
          <w:tcPr>
            <w:tcW w:w="1391" w:type="pct"/>
            <w:vAlign w:val="center"/>
          </w:tcPr>
          <w:p>
            <w:pPr>
              <w:pStyle w:val="124"/>
              <w:spacing w:line="360" w:lineRule="exact"/>
              <w:rPr>
                <w:rFonts w:ascii="仿宋" w:hAnsi="仿宋" w:eastAsia="仿宋"/>
              </w:rPr>
            </w:pPr>
            <w:r>
              <w:rPr>
                <w:rFonts w:ascii="仿宋" w:hAnsi="仿宋" w:eastAsia="仿宋"/>
              </w:rPr>
              <w:t>3类</w:t>
            </w:r>
          </w:p>
        </w:tc>
        <w:tc>
          <w:tcPr>
            <w:tcW w:w="1950" w:type="pct"/>
            <w:vAlign w:val="center"/>
          </w:tcPr>
          <w:p>
            <w:pPr>
              <w:pStyle w:val="124"/>
              <w:spacing w:line="360" w:lineRule="exact"/>
              <w:rPr>
                <w:rFonts w:ascii="仿宋" w:hAnsi="仿宋" w:eastAsia="仿宋"/>
              </w:rPr>
            </w:pPr>
            <w:r>
              <w:rPr>
                <w:rFonts w:ascii="仿宋" w:hAnsi="仿宋" w:eastAsia="仿宋"/>
              </w:rPr>
              <w:t>≤65dB（A）</w:t>
            </w:r>
          </w:p>
        </w:tc>
        <w:tc>
          <w:tcPr>
            <w:tcW w:w="1659" w:type="pct"/>
            <w:vAlign w:val="center"/>
          </w:tcPr>
          <w:p>
            <w:pPr>
              <w:pStyle w:val="124"/>
              <w:spacing w:line="360" w:lineRule="exact"/>
              <w:rPr>
                <w:rFonts w:ascii="仿宋" w:hAnsi="仿宋" w:eastAsia="仿宋"/>
              </w:rPr>
            </w:pPr>
            <w:r>
              <w:rPr>
                <w:rFonts w:ascii="仿宋" w:hAnsi="仿宋" w:eastAsia="仿宋"/>
              </w:rPr>
              <w:t>≤55dB（A）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406" w:hRule="atLeast"/>
          <w:jc w:val="center"/>
        </w:trPr>
        <w:tc>
          <w:tcPr>
            <w:tcW w:w="1391" w:type="pct"/>
            <w:vAlign w:val="center"/>
          </w:tcPr>
          <w:p>
            <w:pPr>
              <w:pStyle w:val="124"/>
              <w:spacing w:line="360" w:lineRule="exact"/>
              <w:rPr>
                <w:rFonts w:ascii="仿宋" w:hAnsi="仿宋" w:eastAsia="仿宋"/>
              </w:rPr>
            </w:pPr>
            <w:r>
              <w:rPr>
                <w:rFonts w:hint="eastAsia" w:ascii="仿宋" w:hAnsi="仿宋" w:eastAsia="仿宋"/>
              </w:rPr>
              <w:t>4类</w:t>
            </w:r>
          </w:p>
        </w:tc>
        <w:tc>
          <w:tcPr>
            <w:tcW w:w="1950" w:type="pct"/>
            <w:vAlign w:val="center"/>
          </w:tcPr>
          <w:p>
            <w:pPr>
              <w:pStyle w:val="124"/>
              <w:spacing w:line="360" w:lineRule="exact"/>
              <w:rPr>
                <w:rFonts w:ascii="仿宋" w:hAnsi="仿宋" w:eastAsia="仿宋"/>
              </w:rPr>
            </w:pPr>
            <w:r>
              <w:rPr>
                <w:rFonts w:ascii="仿宋" w:hAnsi="仿宋" w:eastAsia="仿宋"/>
              </w:rPr>
              <w:t>≤70dB（A）</w:t>
            </w:r>
          </w:p>
        </w:tc>
        <w:tc>
          <w:tcPr>
            <w:tcW w:w="1659" w:type="pct"/>
            <w:vAlign w:val="center"/>
          </w:tcPr>
          <w:p>
            <w:pPr>
              <w:pStyle w:val="124"/>
              <w:spacing w:line="360" w:lineRule="exact"/>
              <w:rPr>
                <w:rFonts w:ascii="仿宋" w:hAnsi="仿宋" w:eastAsia="仿宋"/>
              </w:rPr>
            </w:pPr>
            <w:r>
              <w:rPr>
                <w:rFonts w:ascii="仿宋" w:hAnsi="仿宋" w:eastAsia="仿宋"/>
              </w:rPr>
              <w:t>≤55dB（A）</w:t>
            </w:r>
          </w:p>
        </w:tc>
      </w:tr>
    </w:tbl>
    <w:p>
      <w:pPr>
        <w:adjustRightInd w:val="0"/>
        <w:snapToGrid w:val="0"/>
        <w:spacing w:line="500" w:lineRule="exact"/>
        <w:ind w:firstLine="594" w:firstLineChars="200"/>
        <w:rPr>
          <w:rFonts w:eastAsia="仿宋_GB2312"/>
          <w:b/>
          <w:spacing w:val="8"/>
          <w:sz w:val="28"/>
          <w:szCs w:val="28"/>
        </w:rPr>
      </w:pPr>
      <w:r>
        <w:rPr>
          <w:rFonts w:eastAsia="仿宋_GB2312"/>
          <w:b/>
          <w:spacing w:val="8"/>
          <w:sz w:val="28"/>
          <w:szCs w:val="28"/>
        </w:rPr>
        <w:t>（4）固废</w:t>
      </w:r>
    </w:p>
    <w:p>
      <w:pPr>
        <w:adjustRightInd w:val="0"/>
        <w:snapToGrid w:val="0"/>
        <w:spacing w:line="500" w:lineRule="exact"/>
        <w:ind w:firstLine="592" w:firstLineChars="200"/>
        <w:rPr>
          <w:rFonts w:eastAsia="仿宋_GB2312"/>
          <w:spacing w:val="8"/>
          <w:sz w:val="28"/>
          <w:szCs w:val="28"/>
        </w:rPr>
      </w:pPr>
      <w:r>
        <w:rPr>
          <w:rFonts w:hint="eastAsia" w:eastAsia="仿宋_GB2312" w:cs="宋体"/>
          <w:spacing w:val="8"/>
          <w:sz w:val="28"/>
          <w:szCs w:val="28"/>
        </w:rPr>
        <w:t>①</w:t>
      </w:r>
      <w:r>
        <w:rPr>
          <w:rFonts w:eastAsia="仿宋_GB2312"/>
          <w:spacing w:val="8"/>
          <w:sz w:val="28"/>
          <w:szCs w:val="28"/>
        </w:rPr>
        <w:t>一般固废</w:t>
      </w:r>
      <w:r>
        <w:rPr>
          <w:rFonts w:hint="eastAsia" w:eastAsia="仿宋_GB2312"/>
          <w:spacing w:val="8"/>
          <w:sz w:val="28"/>
          <w:szCs w:val="28"/>
        </w:rPr>
        <w:t>参照</w:t>
      </w:r>
      <w:r>
        <w:rPr>
          <w:rFonts w:eastAsia="仿宋_GB2312"/>
          <w:spacing w:val="8"/>
          <w:sz w:val="28"/>
          <w:szCs w:val="28"/>
        </w:rPr>
        <w:t>执行</w:t>
      </w:r>
      <w:r>
        <w:rPr>
          <w:rFonts w:hint="eastAsia" w:eastAsia="仿宋_GB2312"/>
          <w:spacing w:val="8"/>
          <w:sz w:val="28"/>
          <w:szCs w:val="28"/>
        </w:rPr>
        <w:t>《一般工业固体废物贮存和填埋污染控制标准》（GB 18599-2020）</w:t>
      </w:r>
      <w:r>
        <w:rPr>
          <w:rFonts w:eastAsia="仿宋_GB2312"/>
          <w:spacing w:val="8"/>
          <w:sz w:val="28"/>
          <w:szCs w:val="28"/>
        </w:rPr>
        <w:t>；</w:t>
      </w:r>
    </w:p>
    <w:p>
      <w:pPr>
        <w:adjustRightInd w:val="0"/>
        <w:snapToGrid w:val="0"/>
        <w:spacing w:line="500" w:lineRule="exact"/>
        <w:ind w:firstLine="592" w:firstLineChars="200"/>
        <w:rPr>
          <w:rFonts w:eastAsia="仿宋_GB2312"/>
          <w:spacing w:val="8"/>
          <w:sz w:val="28"/>
          <w:szCs w:val="28"/>
        </w:rPr>
      </w:pPr>
      <w:r>
        <w:rPr>
          <w:rFonts w:hint="eastAsia" w:eastAsia="仿宋_GB2312" w:cs="宋体"/>
          <w:spacing w:val="8"/>
          <w:sz w:val="28"/>
          <w:szCs w:val="28"/>
        </w:rPr>
        <w:t>②</w:t>
      </w:r>
      <w:r>
        <w:rPr>
          <w:rFonts w:eastAsia="仿宋_GB2312"/>
          <w:spacing w:val="8"/>
          <w:sz w:val="28"/>
          <w:szCs w:val="28"/>
        </w:rPr>
        <w:t>危险固废执行</w:t>
      </w:r>
      <w:r>
        <w:rPr>
          <w:rFonts w:hint="eastAsia" w:eastAsia="仿宋_GB2312"/>
          <w:sz w:val="28"/>
          <w:szCs w:val="28"/>
        </w:rPr>
        <w:t>《危险废物贮存污染控制标准》(GB18597-2023)</w:t>
      </w:r>
    </w:p>
    <w:p>
      <w:pPr>
        <w:adjustRightInd w:val="0"/>
        <w:snapToGrid w:val="0"/>
        <w:spacing w:line="500" w:lineRule="exact"/>
        <w:ind w:firstLine="594" w:firstLineChars="200"/>
        <w:rPr>
          <w:rFonts w:eastAsia="仿宋_GB2312"/>
          <w:b/>
          <w:spacing w:val="8"/>
          <w:sz w:val="28"/>
          <w:szCs w:val="28"/>
        </w:rPr>
      </w:pPr>
      <w:r>
        <w:rPr>
          <w:rFonts w:hint="eastAsia" w:eastAsia="仿宋_GB2312"/>
          <w:b/>
          <w:spacing w:val="8"/>
          <w:sz w:val="28"/>
          <w:szCs w:val="28"/>
        </w:rPr>
        <w:t>（5）风险</w:t>
      </w:r>
    </w:p>
    <w:p>
      <w:pPr>
        <w:adjustRightInd w:val="0"/>
        <w:snapToGrid w:val="0"/>
        <w:spacing w:line="500" w:lineRule="exact"/>
        <w:ind w:firstLine="560" w:firstLineChars="200"/>
        <w:rPr>
          <w:rFonts w:eastAsia="仿宋_GB2312"/>
          <w:sz w:val="28"/>
          <w:szCs w:val="28"/>
        </w:rPr>
      </w:pPr>
      <w:r>
        <w:rPr>
          <w:rFonts w:eastAsia="仿宋_GB2312"/>
          <w:sz w:val="28"/>
          <w:szCs w:val="28"/>
        </w:rPr>
        <w:t>根据《建设项目环境风险评价技术导则》（HJ169-2018），本项目评价标准见下表。</w:t>
      </w:r>
    </w:p>
    <w:p>
      <w:pPr>
        <w:adjustRightInd w:val="0"/>
        <w:snapToGrid w:val="0"/>
        <w:spacing w:line="500" w:lineRule="exact"/>
        <w:jc w:val="center"/>
        <w:rPr>
          <w:rFonts w:eastAsia="仿宋_GB2312"/>
          <w:b/>
          <w:sz w:val="24"/>
          <w:szCs w:val="22"/>
        </w:rPr>
      </w:pPr>
      <w:r>
        <w:rPr>
          <w:rFonts w:eastAsia="仿宋_GB2312"/>
          <w:b/>
          <w:sz w:val="24"/>
          <w:szCs w:val="22"/>
        </w:rPr>
        <w:t>表2.3-1</w:t>
      </w:r>
      <w:r>
        <w:rPr>
          <w:rFonts w:hint="eastAsia" w:eastAsia="仿宋_GB2312"/>
          <w:b/>
          <w:sz w:val="24"/>
          <w:szCs w:val="22"/>
        </w:rPr>
        <w:t>3</w:t>
      </w:r>
      <w:r>
        <w:rPr>
          <w:rFonts w:eastAsia="仿宋_GB2312"/>
          <w:b/>
          <w:sz w:val="24"/>
          <w:szCs w:val="22"/>
        </w:rPr>
        <w:t xml:space="preserve">  本项目重点关注的危险物质毒性终点浓度值选取</w:t>
      </w:r>
    </w:p>
    <w:tbl>
      <w:tblPr>
        <w:tblStyle w:val="87"/>
        <w:tblW w:w="502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66"/>
        <w:gridCol w:w="2132"/>
        <w:gridCol w:w="3272"/>
        <w:gridCol w:w="31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312" w:type="pct"/>
            <w:vAlign w:val="center"/>
          </w:tcPr>
          <w:p>
            <w:pPr>
              <w:jc w:val="center"/>
              <w:rPr>
                <w:rFonts w:ascii="仿宋" w:hAnsi="仿宋" w:eastAsia="仿宋"/>
                <w:bCs/>
              </w:rPr>
            </w:pPr>
            <w:r>
              <w:rPr>
                <w:rFonts w:ascii="仿宋" w:hAnsi="仿宋" w:eastAsia="仿宋"/>
                <w:bCs/>
              </w:rPr>
              <w:t>序号</w:t>
            </w:r>
          </w:p>
        </w:tc>
        <w:tc>
          <w:tcPr>
            <w:tcW w:w="1174" w:type="pct"/>
            <w:vAlign w:val="center"/>
          </w:tcPr>
          <w:p>
            <w:pPr>
              <w:jc w:val="center"/>
              <w:rPr>
                <w:rFonts w:ascii="仿宋" w:hAnsi="仿宋" w:eastAsia="仿宋"/>
                <w:bCs/>
              </w:rPr>
            </w:pPr>
            <w:r>
              <w:rPr>
                <w:rFonts w:ascii="仿宋" w:hAnsi="仿宋" w:eastAsia="仿宋"/>
                <w:bCs/>
              </w:rPr>
              <w:t>危险物质</w:t>
            </w:r>
          </w:p>
        </w:tc>
        <w:tc>
          <w:tcPr>
            <w:tcW w:w="1802" w:type="pct"/>
            <w:vAlign w:val="center"/>
          </w:tcPr>
          <w:p>
            <w:pPr>
              <w:jc w:val="center"/>
              <w:rPr>
                <w:rFonts w:ascii="仿宋" w:hAnsi="仿宋" w:eastAsia="仿宋"/>
                <w:bCs/>
              </w:rPr>
            </w:pPr>
            <w:r>
              <w:rPr>
                <w:rFonts w:ascii="仿宋" w:hAnsi="仿宋" w:eastAsia="仿宋"/>
                <w:bCs/>
              </w:rPr>
              <w:t>指标</w:t>
            </w:r>
          </w:p>
        </w:tc>
        <w:tc>
          <w:tcPr>
            <w:tcW w:w="1712" w:type="pct"/>
            <w:vAlign w:val="center"/>
          </w:tcPr>
          <w:p>
            <w:pPr>
              <w:jc w:val="center"/>
              <w:rPr>
                <w:rFonts w:ascii="仿宋" w:hAnsi="仿宋" w:eastAsia="仿宋"/>
                <w:bCs/>
              </w:rPr>
            </w:pPr>
            <w:r>
              <w:rPr>
                <w:rFonts w:ascii="仿宋" w:hAnsi="仿宋" w:eastAsia="仿宋"/>
                <w:bCs/>
              </w:rPr>
              <w:t>浓度值（mg/m</w:t>
            </w:r>
            <w:r>
              <w:rPr>
                <w:rFonts w:ascii="仿宋" w:hAnsi="仿宋" w:eastAsia="仿宋"/>
                <w:bCs/>
                <w:vertAlign w:val="superscript"/>
              </w:rPr>
              <w:t>3</w:t>
            </w:r>
            <w:r>
              <w:rPr>
                <w:rFonts w:ascii="仿宋" w:hAnsi="仿宋" w:eastAsia="仿宋"/>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12" w:type="pct"/>
            <w:vMerge w:val="restart"/>
            <w:vAlign w:val="center"/>
          </w:tcPr>
          <w:p>
            <w:pPr>
              <w:jc w:val="center"/>
              <w:rPr>
                <w:rFonts w:ascii="仿宋" w:hAnsi="仿宋" w:eastAsia="仿宋"/>
                <w:bCs/>
              </w:rPr>
            </w:pPr>
            <w:r>
              <w:rPr>
                <w:rFonts w:ascii="仿宋" w:hAnsi="仿宋" w:eastAsia="仿宋"/>
                <w:bCs/>
              </w:rPr>
              <w:t>1</w:t>
            </w:r>
          </w:p>
        </w:tc>
        <w:tc>
          <w:tcPr>
            <w:tcW w:w="1174" w:type="pct"/>
            <w:vMerge w:val="restart"/>
            <w:vAlign w:val="center"/>
          </w:tcPr>
          <w:p>
            <w:pPr>
              <w:jc w:val="center"/>
              <w:rPr>
                <w:rFonts w:ascii="仿宋" w:hAnsi="仿宋" w:eastAsia="仿宋"/>
                <w:bCs/>
              </w:rPr>
            </w:pPr>
            <w:r>
              <w:rPr>
                <w:rFonts w:hint="eastAsia" w:ascii="仿宋" w:hAnsi="仿宋" w:eastAsia="仿宋"/>
                <w:bCs/>
              </w:rPr>
              <w:t>二甲苯</w:t>
            </w:r>
          </w:p>
        </w:tc>
        <w:tc>
          <w:tcPr>
            <w:tcW w:w="1802" w:type="pct"/>
            <w:vAlign w:val="center"/>
          </w:tcPr>
          <w:p>
            <w:pPr>
              <w:jc w:val="center"/>
              <w:rPr>
                <w:rFonts w:ascii="仿宋" w:hAnsi="仿宋" w:eastAsia="仿宋"/>
                <w:bCs/>
              </w:rPr>
            </w:pPr>
            <w:r>
              <w:rPr>
                <w:rFonts w:ascii="仿宋" w:hAnsi="仿宋" w:eastAsia="仿宋"/>
                <w:bCs/>
              </w:rPr>
              <w:t>大气毒性终点浓度-1</w:t>
            </w:r>
          </w:p>
        </w:tc>
        <w:tc>
          <w:tcPr>
            <w:tcW w:w="1712" w:type="pct"/>
            <w:vAlign w:val="center"/>
          </w:tcPr>
          <w:p>
            <w:pPr>
              <w:jc w:val="center"/>
              <w:rPr>
                <w:rFonts w:ascii="仿宋" w:hAnsi="仿宋" w:eastAsia="仿宋"/>
                <w:bCs/>
              </w:rPr>
            </w:pPr>
            <w:r>
              <w:rPr>
                <w:rFonts w:hint="eastAsia" w:ascii="仿宋" w:hAnsi="仿宋" w:eastAsia="仿宋"/>
                <w:bCs/>
              </w:rPr>
              <w:t>11000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0" w:hRule="atLeast"/>
          <w:jc w:val="center"/>
        </w:trPr>
        <w:tc>
          <w:tcPr>
            <w:tcW w:w="312" w:type="pct"/>
            <w:vMerge w:val="continue"/>
            <w:vAlign w:val="center"/>
          </w:tcPr>
          <w:p>
            <w:pPr>
              <w:jc w:val="center"/>
              <w:rPr>
                <w:rFonts w:ascii="仿宋" w:hAnsi="仿宋" w:eastAsia="仿宋"/>
                <w:bCs/>
              </w:rPr>
            </w:pPr>
          </w:p>
        </w:tc>
        <w:tc>
          <w:tcPr>
            <w:tcW w:w="1174" w:type="pct"/>
            <w:vMerge w:val="continue"/>
            <w:vAlign w:val="center"/>
          </w:tcPr>
          <w:p>
            <w:pPr>
              <w:jc w:val="center"/>
              <w:rPr>
                <w:rFonts w:ascii="仿宋" w:hAnsi="仿宋" w:eastAsia="仿宋"/>
                <w:bCs/>
              </w:rPr>
            </w:pPr>
          </w:p>
        </w:tc>
        <w:tc>
          <w:tcPr>
            <w:tcW w:w="1802" w:type="pct"/>
            <w:vAlign w:val="center"/>
          </w:tcPr>
          <w:p>
            <w:pPr>
              <w:jc w:val="center"/>
              <w:rPr>
                <w:rFonts w:ascii="仿宋" w:hAnsi="仿宋" w:eastAsia="仿宋"/>
                <w:bCs/>
              </w:rPr>
            </w:pPr>
            <w:r>
              <w:rPr>
                <w:rFonts w:ascii="仿宋" w:hAnsi="仿宋" w:eastAsia="仿宋"/>
                <w:bCs/>
              </w:rPr>
              <w:t>大气毒性终点浓度-2</w:t>
            </w:r>
          </w:p>
        </w:tc>
        <w:tc>
          <w:tcPr>
            <w:tcW w:w="1712" w:type="pct"/>
            <w:vAlign w:val="center"/>
          </w:tcPr>
          <w:p>
            <w:pPr>
              <w:jc w:val="center"/>
              <w:rPr>
                <w:rFonts w:ascii="仿宋" w:hAnsi="仿宋" w:eastAsia="仿宋"/>
                <w:bCs/>
              </w:rPr>
            </w:pPr>
            <w:r>
              <w:rPr>
                <w:rFonts w:hint="eastAsia" w:ascii="仿宋" w:hAnsi="仿宋" w:eastAsia="仿宋"/>
                <w:bCs/>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0" w:hRule="atLeast"/>
          <w:jc w:val="center"/>
        </w:trPr>
        <w:tc>
          <w:tcPr>
            <w:tcW w:w="312" w:type="pct"/>
            <w:vMerge w:val="restart"/>
            <w:vAlign w:val="center"/>
          </w:tcPr>
          <w:p>
            <w:pPr>
              <w:jc w:val="center"/>
              <w:rPr>
                <w:rFonts w:ascii="仿宋" w:hAnsi="仿宋" w:eastAsia="仿宋"/>
                <w:bCs/>
              </w:rPr>
            </w:pPr>
            <w:r>
              <w:rPr>
                <w:rFonts w:hint="eastAsia" w:ascii="仿宋" w:hAnsi="仿宋" w:eastAsia="仿宋"/>
                <w:bCs/>
              </w:rPr>
              <w:t>2</w:t>
            </w:r>
          </w:p>
        </w:tc>
        <w:tc>
          <w:tcPr>
            <w:tcW w:w="1174" w:type="pct"/>
            <w:vMerge w:val="restart"/>
            <w:vAlign w:val="center"/>
          </w:tcPr>
          <w:p>
            <w:pPr>
              <w:jc w:val="center"/>
              <w:rPr>
                <w:rFonts w:ascii="仿宋" w:hAnsi="仿宋" w:eastAsia="仿宋"/>
                <w:bCs/>
              </w:rPr>
            </w:pPr>
            <w:r>
              <w:rPr>
                <w:rFonts w:ascii="仿宋" w:hAnsi="仿宋" w:eastAsia="仿宋"/>
                <w:bCs/>
              </w:rPr>
              <w:t>乙酸乙酯</w:t>
            </w:r>
          </w:p>
        </w:tc>
        <w:tc>
          <w:tcPr>
            <w:tcW w:w="1802" w:type="pct"/>
            <w:vAlign w:val="center"/>
          </w:tcPr>
          <w:p>
            <w:pPr>
              <w:jc w:val="center"/>
              <w:rPr>
                <w:rFonts w:ascii="仿宋" w:hAnsi="仿宋" w:eastAsia="仿宋"/>
                <w:bCs/>
              </w:rPr>
            </w:pPr>
            <w:r>
              <w:rPr>
                <w:rFonts w:ascii="仿宋" w:hAnsi="仿宋" w:eastAsia="仿宋"/>
                <w:bCs/>
              </w:rPr>
              <w:t>大气毒性终点浓度-1</w:t>
            </w:r>
          </w:p>
        </w:tc>
        <w:tc>
          <w:tcPr>
            <w:tcW w:w="1712" w:type="pct"/>
            <w:vAlign w:val="center"/>
          </w:tcPr>
          <w:p>
            <w:pPr>
              <w:spacing w:line="300" w:lineRule="exact"/>
              <w:jc w:val="center"/>
              <w:rPr>
                <w:rFonts w:eastAsia="仿宋_GB2312"/>
                <w:szCs w:val="21"/>
              </w:rPr>
            </w:pPr>
            <w:r>
              <w:rPr>
                <w:rFonts w:hint="eastAsia" w:eastAsia="仿宋_GB2312"/>
                <w:szCs w:val="21"/>
              </w:rPr>
              <w:t>36000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0" w:hRule="atLeast"/>
          <w:jc w:val="center"/>
        </w:trPr>
        <w:tc>
          <w:tcPr>
            <w:tcW w:w="312" w:type="pct"/>
            <w:vMerge w:val="continue"/>
            <w:vAlign w:val="center"/>
          </w:tcPr>
          <w:p>
            <w:pPr>
              <w:jc w:val="center"/>
              <w:rPr>
                <w:rFonts w:ascii="仿宋" w:hAnsi="仿宋" w:eastAsia="仿宋"/>
                <w:bCs/>
              </w:rPr>
            </w:pPr>
          </w:p>
        </w:tc>
        <w:tc>
          <w:tcPr>
            <w:tcW w:w="1174" w:type="pct"/>
            <w:vMerge w:val="continue"/>
            <w:vAlign w:val="center"/>
          </w:tcPr>
          <w:p>
            <w:pPr>
              <w:jc w:val="center"/>
              <w:rPr>
                <w:rFonts w:ascii="仿宋" w:hAnsi="仿宋" w:eastAsia="仿宋"/>
                <w:bCs/>
              </w:rPr>
            </w:pPr>
          </w:p>
        </w:tc>
        <w:tc>
          <w:tcPr>
            <w:tcW w:w="1802" w:type="pct"/>
            <w:vAlign w:val="center"/>
          </w:tcPr>
          <w:p>
            <w:pPr>
              <w:jc w:val="center"/>
              <w:rPr>
                <w:rFonts w:ascii="仿宋" w:hAnsi="仿宋" w:eastAsia="仿宋"/>
                <w:bCs/>
              </w:rPr>
            </w:pPr>
            <w:r>
              <w:rPr>
                <w:rFonts w:ascii="仿宋" w:hAnsi="仿宋" w:eastAsia="仿宋"/>
                <w:bCs/>
              </w:rPr>
              <w:t>大气毒性终点浓度-2</w:t>
            </w:r>
          </w:p>
        </w:tc>
        <w:tc>
          <w:tcPr>
            <w:tcW w:w="1712" w:type="pct"/>
            <w:vAlign w:val="center"/>
          </w:tcPr>
          <w:p>
            <w:pPr>
              <w:spacing w:line="300" w:lineRule="exact"/>
              <w:jc w:val="center"/>
              <w:rPr>
                <w:rFonts w:eastAsia="仿宋_GB2312"/>
                <w:szCs w:val="21"/>
              </w:rPr>
            </w:pPr>
            <w:r>
              <w:rPr>
                <w:rFonts w:hint="eastAsia" w:eastAsia="仿宋_GB2312"/>
                <w:szCs w:val="21"/>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0" w:hRule="atLeast"/>
          <w:jc w:val="center"/>
        </w:trPr>
        <w:tc>
          <w:tcPr>
            <w:tcW w:w="312" w:type="pct"/>
            <w:vMerge w:val="restart"/>
            <w:vAlign w:val="center"/>
          </w:tcPr>
          <w:p>
            <w:pPr>
              <w:jc w:val="center"/>
              <w:rPr>
                <w:rFonts w:ascii="仿宋" w:hAnsi="仿宋" w:eastAsia="仿宋"/>
                <w:bCs/>
              </w:rPr>
            </w:pPr>
            <w:r>
              <w:rPr>
                <w:rFonts w:hint="eastAsia" w:ascii="仿宋" w:hAnsi="仿宋" w:eastAsia="仿宋"/>
                <w:bCs/>
              </w:rPr>
              <w:t>3</w:t>
            </w:r>
          </w:p>
        </w:tc>
        <w:tc>
          <w:tcPr>
            <w:tcW w:w="1174" w:type="pct"/>
            <w:vMerge w:val="restart"/>
            <w:vAlign w:val="center"/>
          </w:tcPr>
          <w:p>
            <w:pPr>
              <w:jc w:val="center"/>
              <w:rPr>
                <w:rFonts w:ascii="仿宋" w:hAnsi="仿宋" w:eastAsia="仿宋"/>
                <w:bCs/>
              </w:rPr>
            </w:pPr>
            <w:r>
              <w:rPr>
                <w:rFonts w:eastAsia="仿宋"/>
                <w:szCs w:val="21"/>
              </w:rPr>
              <w:t>CO</w:t>
            </w:r>
          </w:p>
        </w:tc>
        <w:tc>
          <w:tcPr>
            <w:tcW w:w="1802" w:type="pct"/>
            <w:vAlign w:val="center"/>
          </w:tcPr>
          <w:p>
            <w:pPr>
              <w:jc w:val="center"/>
              <w:rPr>
                <w:rFonts w:ascii="仿宋" w:hAnsi="仿宋" w:eastAsia="仿宋"/>
                <w:bCs/>
              </w:rPr>
            </w:pPr>
            <w:r>
              <w:rPr>
                <w:rFonts w:ascii="仿宋" w:hAnsi="仿宋" w:eastAsia="仿宋"/>
                <w:bCs/>
              </w:rPr>
              <w:t>大气毒性终点浓度-1</w:t>
            </w:r>
          </w:p>
        </w:tc>
        <w:tc>
          <w:tcPr>
            <w:tcW w:w="1712" w:type="pct"/>
            <w:vAlign w:val="center"/>
          </w:tcPr>
          <w:p>
            <w:pPr>
              <w:jc w:val="center"/>
              <w:rPr>
                <w:rFonts w:ascii="仿宋" w:hAnsi="仿宋" w:eastAsia="仿宋"/>
                <w:bCs/>
              </w:rPr>
            </w:pPr>
            <w:r>
              <w:rPr>
                <w:rFonts w:hint="eastAsia" w:ascii="仿宋" w:hAnsi="仿宋" w:eastAsia="仿宋"/>
                <w:bCs/>
              </w:rPr>
              <w:t>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0" w:hRule="atLeast"/>
          <w:jc w:val="center"/>
        </w:trPr>
        <w:tc>
          <w:tcPr>
            <w:tcW w:w="312" w:type="pct"/>
            <w:vMerge w:val="continue"/>
            <w:vAlign w:val="center"/>
          </w:tcPr>
          <w:p>
            <w:pPr>
              <w:jc w:val="center"/>
              <w:rPr>
                <w:rFonts w:ascii="仿宋" w:hAnsi="仿宋" w:eastAsia="仿宋"/>
                <w:bCs/>
              </w:rPr>
            </w:pPr>
          </w:p>
        </w:tc>
        <w:tc>
          <w:tcPr>
            <w:tcW w:w="1174" w:type="pct"/>
            <w:vMerge w:val="continue"/>
            <w:vAlign w:val="center"/>
          </w:tcPr>
          <w:p>
            <w:pPr>
              <w:jc w:val="center"/>
              <w:rPr>
                <w:rFonts w:ascii="仿宋" w:hAnsi="仿宋" w:eastAsia="仿宋"/>
                <w:bCs/>
              </w:rPr>
            </w:pPr>
          </w:p>
        </w:tc>
        <w:tc>
          <w:tcPr>
            <w:tcW w:w="1802" w:type="pct"/>
            <w:vAlign w:val="center"/>
          </w:tcPr>
          <w:p>
            <w:pPr>
              <w:jc w:val="center"/>
              <w:rPr>
                <w:rFonts w:ascii="仿宋" w:hAnsi="仿宋" w:eastAsia="仿宋"/>
                <w:bCs/>
              </w:rPr>
            </w:pPr>
            <w:r>
              <w:rPr>
                <w:rFonts w:ascii="仿宋" w:hAnsi="仿宋" w:eastAsia="仿宋"/>
                <w:bCs/>
              </w:rPr>
              <w:t>大气毒性终点浓度-2</w:t>
            </w:r>
          </w:p>
        </w:tc>
        <w:tc>
          <w:tcPr>
            <w:tcW w:w="1712" w:type="pct"/>
            <w:vAlign w:val="center"/>
          </w:tcPr>
          <w:p>
            <w:pPr>
              <w:jc w:val="center"/>
              <w:rPr>
                <w:rFonts w:ascii="仿宋" w:hAnsi="仿宋" w:eastAsia="仿宋"/>
                <w:bCs/>
              </w:rPr>
            </w:pPr>
            <w:r>
              <w:rPr>
                <w:rFonts w:hint="eastAsia" w:ascii="仿宋" w:hAnsi="仿宋" w:eastAsia="仿宋"/>
                <w:bCs/>
              </w:rPr>
              <w:t>95</w:t>
            </w:r>
          </w:p>
        </w:tc>
      </w:tr>
    </w:tbl>
    <w:p>
      <w:pPr>
        <w:pStyle w:val="3"/>
        <w:spacing w:before="120" w:after="120"/>
      </w:pPr>
      <w:bookmarkStart w:id="113" w:name="_Toc218388561"/>
      <w:bookmarkStart w:id="114" w:name="_Toc218996889"/>
      <w:bookmarkStart w:id="115" w:name="_Toc228779738"/>
      <w:bookmarkStart w:id="116" w:name="_Toc219169899"/>
      <w:bookmarkStart w:id="117" w:name="_Toc218822809"/>
      <w:bookmarkStart w:id="118" w:name="_Toc160937746"/>
      <w:bookmarkStart w:id="119" w:name="_Toc228437063"/>
      <w:bookmarkStart w:id="120" w:name="_Toc216670486"/>
      <w:bookmarkStart w:id="121" w:name="_Toc217879276"/>
      <w:bookmarkStart w:id="122" w:name="_Toc157405911"/>
      <w:bookmarkStart w:id="123" w:name="_Toc217889975"/>
      <w:bookmarkStart w:id="124" w:name="_Toc106608032"/>
      <w:bookmarkStart w:id="125" w:name="_Toc217889868"/>
      <w:bookmarkStart w:id="126" w:name="_Toc217889637"/>
      <w:bookmarkStart w:id="127" w:name="_Toc156960240"/>
      <w:bookmarkStart w:id="128" w:name="_Toc230013661"/>
      <w:bookmarkStart w:id="129" w:name="_Toc229910508"/>
      <w:bookmarkStart w:id="130" w:name="_Toc219540323"/>
      <w:bookmarkStart w:id="131" w:name="_Toc228754592"/>
      <w:bookmarkStart w:id="132" w:name="_Toc229900150"/>
      <w:bookmarkStart w:id="133" w:name="_Toc216664823"/>
      <w:bookmarkStart w:id="134" w:name="_Toc218823699"/>
      <w:bookmarkStart w:id="135" w:name="_Toc219541095"/>
      <w:bookmarkStart w:id="136" w:name="_Toc228541020"/>
      <w:bookmarkStart w:id="137" w:name="_Toc140565257"/>
      <w:r>
        <w:t>评价工作等级和评价</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t>重点</w:t>
      </w:r>
      <w:bookmarkEnd w:id="137"/>
    </w:p>
    <w:p>
      <w:pPr>
        <w:pStyle w:val="4"/>
        <w:keepLines w:val="0"/>
        <w:numPr>
          <w:ilvl w:val="2"/>
          <w:numId w:val="1"/>
        </w:numPr>
        <w:tabs>
          <w:tab w:val="left" w:pos="709"/>
        </w:tabs>
        <w:spacing w:before="120" w:beforeLines="50" w:after="0" w:line="360" w:lineRule="auto"/>
        <w:ind w:left="422" w:hanging="422" w:hangingChars="150"/>
        <w:rPr>
          <w:rFonts w:eastAsia="仿宋_GB2312"/>
          <w:sz w:val="28"/>
          <w:szCs w:val="28"/>
        </w:rPr>
      </w:pPr>
      <w:r>
        <w:rPr>
          <w:rFonts w:eastAsia="仿宋_GB2312"/>
          <w:sz w:val="28"/>
          <w:szCs w:val="28"/>
        </w:rPr>
        <w:t>评价工作等级</w:t>
      </w:r>
    </w:p>
    <w:p>
      <w:pPr>
        <w:pStyle w:val="365"/>
        <w:numPr>
          <w:ilvl w:val="0"/>
          <w:numId w:val="6"/>
        </w:numPr>
        <w:spacing w:line="500" w:lineRule="exact"/>
        <w:ind w:firstLineChars="0"/>
        <w:contextualSpacing/>
        <w:rPr>
          <w:rFonts w:eastAsia="仿宋_GB2312"/>
          <w:sz w:val="28"/>
          <w:szCs w:val="28"/>
        </w:rPr>
      </w:pPr>
      <w:r>
        <w:rPr>
          <w:rFonts w:eastAsia="仿宋_GB2312"/>
          <w:sz w:val="28"/>
          <w:szCs w:val="28"/>
        </w:rPr>
        <w:t>大气评价等级</w:t>
      </w:r>
    </w:p>
    <w:p>
      <w:pPr>
        <w:spacing w:line="500" w:lineRule="exact"/>
        <w:ind w:firstLine="560" w:firstLineChars="200"/>
        <w:rPr>
          <w:rFonts w:eastAsia="仿宋_GB2312"/>
          <w:sz w:val="28"/>
          <w:szCs w:val="28"/>
        </w:rPr>
      </w:pPr>
      <w:r>
        <w:rPr>
          <w:rFonts w:eastAsia="仿宋_GB2312"/>
          <w:sz w:val="28"/>
          <w:szCs w:val="28"/>
        </w:rPr>
        <w:t>本项目废气主要为生产工艺废气，主要污染物为</w:t>
      </w:r>
      <w:r>
        <w:rPr>
          <w:rFonts w:hint="eastAsia" w:eastAsia="仿宋_GB2312"/>
          <w:sz w:val="28"/>
          <w:szCs w:val="28"/>
        </w:rPr>
        <w:t>非甲烷</w:t>
      </w:r>
      <w:r>
        <w:rPr>
          <w:rFonts w:eastAsia="仿宋_GB2312"/>
          <w:sz w:val="28"/>
          <w:szCs w:val="28"/>
        </w:rPr>
        <w:t>总烃</w:t>
      </w:r>
      <w:r>
        <w:rPr>
          <w:rFonts w:hint="eastAsia" w:eastAsia="仿宋_GB2312"/>
          <w:sz w:val="28"/>
          <w:szCs w:val="28"/>
        </w:rPr>
        <w:t>、二甲苯、乙酸乙酯、S</w:t>
      </w:r>
      <w:r>
        <w:rPr>
          <w:rFonts w:eastAsia="仿宋_GB2312"/>
          <w:sz w:val="28"/>
          <w:szCs w:val="28"/>
        </w:rPr>
        <w:t>O</w:t>
      </w:r>
      <w:r>
        <w:rPr>
          <w:rFonts w:eastAsia="仿宋_GB2312"/>
          <w:sz w:val="28"/>
          <w:szCs w:val="28"/>
          <w:vertAlign w:val="subscript"/>
        </w:rPr>
        <w:t>2</w:t>
      </w:r>
      <w:r>
        <w:rPr>
          <w:rFonts w:hint="eastAsia" w:eastAsia="仿宋_GB2312"/>
          <w:sz w:val="28"/>
          <w:szCs w:val="28"/>
        </w:rPr>
        <w:t>、N</w:t>
      </w:r>
      <w:r>
        <w:rPr>
          <w:rFonts w:eastAsia="仿宋_GB2312"/>
          <w:sz w:val="28"/>
          <w:szCs w:val="28"/>
        </w:rPr>
        <w:t>O</w:t>
      </w:r>
      <w:r>
        <w:rPr>
          <w:rFonts w:hint="eastAsia" w:eastAsia="仿宋_GB2312"/>
          <w:sz w:val="28"/>
          <w:szCs w:val="28"/>
        </w:rPr>
        <w:t>x、颗粒物</w:t>
      </w:r>
      <w:r>
        <w:rPr>
          <w:rFonts w:eastAsia="仿宋_GB2312"/>
          <w:sz w:val="28"/>
          <w:szCs w:val="28"/>
        </w:rPr>
        <w:t>等污染物，分别计算每种污染物的最大地面浓度占标率P</w:t>
      </w:r>
      <w:r>
        <w:rPr>
          <w:rFonts w:eastAsia="仿宋_GB2312"/>
          <w:sz w:val="28"/>
          <w:szCs w:val="28"/>
          <w:vertAlign w:val="subscript"/>
        </w:rPr>
        <w:t>i</w:t>
      </w:r>
      <w:r>
        <w:rPr>
          <w:rFonts w:eastAsia="仿宋_GB2312"/>
          <w:sz w:val="28"/>
          <w:szCs w:val="28"/>
        </w:rPr>
        <w:t>（第i种污染物），及第i个污染物的地面浓度达标准限值10%时所对应的最远距离D</w:t>
      </w:r>
      <w:r>
        <w:rPr>
          <w:rFonts w:eastAsia="仿宋_GB2312"/>
          <w:sz w:val="28"/>
          <w:szCs w:val="28"/>
          <w:vertAlign w:val="subscript"/>
        </w:rPr>
        <w:t>10%</w:t>
      </w:r>
      <w:r>
        <w:rPr>
          <w:rFonts w:eastAsia="仿宋_GB2312"/>
          <w:sz w:val="28"/>
          <w:szCs w:val="28"/>
        </w:rPr>
        <w:t>，其</w:t>
      </w:r>
      <w:r>
        <w:rPr>
          <w:rFonts w:eastAsia="仿宋_GB2312"/>
          <w:sz w:val="28"/>
          <w:szCs w:val="28"/>
        </w:rPr>
        <w:drawing>
          <wp:anchor distT="0" distB="0" distL="114300" distR="114300" simplePos="0" relativeHeight="251661312" behindDoc="0" locked="0" layoutInCell="1" allowOverlap="1">
            <wp:simplePos x="0" y="0"/>
            <wp:positionH relativeFrom="column">
              <wp:posOffset>1706245</wp:posOffset>
            </wp:positionH>
            <wp:positionV relativeFrom="paragraph">
              <wp:posOffset>1081405</wp:posOffset>
            </wp:positionV>
            <wp:extent cx="1504950" cy="561975"/>
            <wp:effectExtent l="0" t="0" r="0" b="9525"/>
            <wp:wrapTopAndBottom/>
            <wp:docPr id="148" name="图片 148" descr="C:\Users\Administrator\AppData\Roaming\Tencent\Users\396434842\QQ\WinTemp\RichOle\IMRN@U(@UQ%5T6FA8BTZAI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C:\Users\Administrator\AppData\Roaming\Tencent\Users\396434842\QQ\WinTemp\RichOle\IMRN@U(@UQ%5T6FA8BTZAI5.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504950" cy="561975"/>
                    </a:xfrm>
                    <a:prstGeom prst="rect">
                      <a:avLst/>
                    </a:prstGeom>
                    <a:noFill/>
                    <a:ln>
                      <a:noFill/>
                    </a:ln>
                  </pic:spPr>
                </pic:pic>
              </a:graphicData>
            </a:graphic>
          </wp:anchor>
        </w:drawing>
      </w:r>
      <w:r>
        <w:rPr>
          <w:rFonts w:eastAsia="仿宋_GB2312"/>
          <w:sz w:val="28"/>
          <w:szCs w:val="28"/>
        </w:rPr>
        <w:t>中P</w:t>
      </w:r>
      <w:r>
        <w:rPr>
          <w:rFonts w:eastAsia="仿宋_GB2312"/>
          <w:sz w:val="28"/>
          <w:szCs w:val="28"/>
          <w:vertAlign w:val="subscript"/>
        </w:rPr>
        <w:t>i</w:t>
      </w:r>
      <w:r>
        <w:rPr>
          <w:rFonts w:eastAsia="仿宋_GB2312"/>
          <w:sz w:val="28"/>
          <w:szCs w:val="28"/>
        </w:rPr>
        <w:t>定义为：</w:t>
      </w:r>
    </w:p>
    <w:p>
      <w:pPr>
        <w:spacing w:line="500" w:lineRule="exact"/>
        <w:ind w:firstLine="560" w:firstLineChars="200"/>
        <w:rPr>
          <w:rFonts w:eastAsia="仿宋_GB2312"/>
          <w:sz w:val="28"/>
          <w:szCs w:val="28"/>
        </w:rPr>
      </w:pPr>
      <w:r>
        <w:rPr>
          <w:rFonts w:eastAsia="仿宋_GB2312"/>
          <w:sz w:val="28"/>
          <w:szCs w:val="28"/>
        </w:rPr>
        <w:t>式中：</w:t>
      </w:r>
    </w:p>
    <w:p>
      <w:pPr>
        <w:spacing w:line="500" w:lineRule="exact"/>
        <w:ind w:firstLine="560" w:firstLineChars="200"/>
        <w:rPr>
          <w:rFonts w:eastAsia="仿宋_GB2312"/>
          <w:sz w:val="28"/>
          <w:szCs w:val="28"/>
        </w:rPr>
      </w:pPr>
      <w:r>
        <w:rPr>
          <w:rFonts w:eastAsia="仿宋_GB2312"/>
          <w:sz w:val="28"/>
          <w:szCs w:val="28"/>
        </w:rPr>
        <w:t>P</w:t>
      </w:r>
      <w:r>
        <w:rPr>
          <w:rFonts w:eastAsia="仿宋_GB2312"/>
          <w:sz w:val="28"/>
          <w:szCs w:val="28"/>
          <w:vertAlign w:val="subscript"/>
        </w:rPr>
        <w:t>i</w:t>
      </w:r>
      <w:r>
        <w:rPr>
          <w:rFonts w:eastAsia="仿宋_GB2312"/>
          <w:sz w:val="28"/>
          <w:szCs w:val="28"/>
        </w:rPr>
        <w:t>—第i个污染物的最大地面</w:t>
      </w:r>
      <w:r>
        <w:rPr>
          <w:rFonts w:hint="eastAsia" w:eastAsia="仿宋_GB2312"/>
          <w:sz w:val="28"/>
          <w:szCs w:val="28"/>
        </w:rPr>
        <w:t>空气质量</w:t>
      </w:r>
      <w:r>
        <w:rPr>
          <w:rFonts w:eastAsia="仿宋_GB2312"/>
          <w:sz w:val="28"/>
          <w:szCs w:val="28"/>
        </w:rPr>
        <w:t>浓度占标率，%；</w:t>
      </w:r>
    </w:p>
    <w:p>
      <w:pPr>
        <w:spacing w:line="500" w:lineRule="exact"/>
        <w:ind w:firstLine="560" w:firstLineChars="200"/>
        <w:rPr>
          <w:rFonts w:eastAsia="仿宋_GB2312"/>
          <w:sz w:val="28"/>
          <w:szCs w:val="28"/>
        </w:rPr>
      </w:pPr>
      <w:r>
        <w:rPr>
          <w:rFonts w:eastAsia="仿宋_GB2312"/>
          <w:sz w:val="28"/>
          <w:szCs w:val="28"/>
        </w:rPr>
        <w:t>ρ</w:t>
      </w:r>
      <w:r>
        <w:rPr>
          <w:rFonts w:eastAsia="仿宋_GB2312"/>
          <w:sz w:val="28"/>
          <w:szCs w:val="28"/>
          <w:vertAlign w:val="subscript"/>
        </w:rPr>
        <w:t>i</w:t>
      </w:r>
      <w:r>
        <w:rPr>
          <w:rFonts w:eastAsia="仿宋_GB2312"/>
          <w:sz w:val="28"/>
          <w:szCs w:val="28"/>
        </w:rPr>
        <w:t>—采用估算模式计算出的第i个污染物的最大</w:t>
      </w:r>
      <w:r>
        <w:rPr>
          <w:rFonts w:hint="eastAsia" w:eastAsia="仿宋_GB2312"/>
          <w:sz w:val="28"/>
          <w:szCs w:val="28"/>
        </w:rPr>
        <w:t>1</w:t>
      </w:r>
      <w:r>
        <w:rPr>
          <w:rFonts w:eastAsia="仿宋_GB2312"/>
          <w:sz w:val="28"/>
          <w:szCs w:val="28"/>
        </w:rPr>
        <w:t>h地面</w:t>
      </w:r>
      <w:r>
        <w:rPr>
          <w:rFonts w:hint="eastAsia" w:eastAsia="仿宋_GB2312"/>
          <w:sz w:val="28"/>
          <w:szCs w:val="28"/>
        </w:rPr>
        <w:t>空气质量</w:t>
      </w:r>
      <w:r>
        <w:rPr>
          <w:rFonts w:eastAsia="仿宋_GB2312"/>
          <w:sz w:val="28"/>
          <w:szCs w:val="28"/>
        </w:rPr>
        <w:t>浓度，μg/m</w:t>
      </w:r>
      <w:r>
        <w:rPr>
          <w:rFonts w:eastAsia="仿宋_GB2312"/>
          <w:sz w:val="28"/>
          <w:szCs w:val="28"/>
          <w:vertAlign w:val="superscript"/>
        </w:rPr>
        <w:t>3</w:t>
      </w:r>
      <w:r>
        <w:rPr>
          <w:rFonts w:eastAsia="仿宋_GB2312"/>
          <w:sz w:val="28"/>
          <w:szCs w:val="28"/>
        </w:rPr>
        <w:t>；</w:t>
      </w:r>
    </w:p>
    <w:p>
      <w:pPr>
        <w:spacing w:line="500" w:lineRule="exact"/>
        <w:ind w:firstLine="560" w:firstLineChars="200"/>
        <w:rPr>
          <w:rFonts w:eastAsia="仿宋_GB2312"/>
          <w:sz w:val="28"/>
          <w:szCs w:val="28"/>
        </w:rPr>
      </w:pPr>
      <w:r>
        <w:rPr>
          <w:rFonts w:eastAsia="仿宋_GB2312"/>
          <w:sz w:val="28"/>
          <w:szCs w:val="28"/>
        </w:rPr>
        <w:t>ρ</w:t>
      </w:r>
      <w:r>
        <w:rPr>
          <w:rFonts w:eastAsia="仿宋_GB2312"/>
          <w:sz w:val="28"/>
          <w:szCs w:val="28"/>
          <w:vertAlign w:val="subscript"/>
        </w:rPr>
        <w:t>oi</w:t>
      </w:r>
      <w:r>
        <w:rPr>
          <w:rFonts w:eastAsia="仿宋_GB2312"/>
          <w:sz w:val="28"/>
          <w:szCs w:val="28"/>
        </w:rPr>
        <w:t>—第i个污染物的环境空气质量标准，μg/m</w:t>
      </w:r>
      <w:r>
        <w:rPr>
          <w:rFonts w:eastAsia="仿宋_GB2312"/>
          <w:sz w:val="28"/>
          <w:szCs w:val="28"/>
          <w:vertAlign w:val="superscript"/>
        </w:rPr>
        <w:t>3</w:t>
      </w:r>
      <w:r>
        <w:rPr>
          <w:rFonts w:eastAsia="仿宋_GB2312"/>
          <w:sz w:val="28"/>
          <w:szCs w:val="28"/>
        </w:rPr>
        <w:t>；</w:t>
      </w:r>
    </w:p>
    <w:p>
      <w:pPr>
        <w:spacing w:line="500" w:lineRule="exact"/>
        <w:ind w:firstLine="560" w:firstLineChars="200"/>
        <w:rPr>
          <w:rFonts w:eastAsia="仿宋_GB2312"/>
          <w:sz w:val="28"/>
          <w:szCs w:val="28"/>
        </w:rPr>
      </w:pPr>
      <w:r>
        <w:rPr>
          <w:rFonts w:eastAsia="仿宋_GB2312"/>
          <w:sz w:val="28"/>
          <w:szCs w:val="28"/>
        </w:rPr>
        <w:t>评价工作等级按表2.4-1的分级判据进行划分。最大地面浓度占标率按上式进行计算，如果污染物数i大于1，取P值中最大者（P</w:t>
      </w:r>
      <w:r>
        <w:rPr>
          <w:rFonts w:eastAsia="仿宋_GB2312"/>
          <w:sz w:val="28"/>
          <w:szCs w:val="28"/>
          <w:vertAlign w:val="subscript"/>
        </w:rPr>
        <w:t>max</w:t>
      </w:r>
      <w:r>
        <w:rPr>
          <w:rFonts w:eastAsia="仿宋_GB2312"/>
          <w:sz w:val="28"/>
          <w:szCs w:val="28"/>
        </w:rPr>
        <w:t>），和其对应的D</w:t>
      </w:r>
      <w:r>
        <w:rPr>
          <w:rFonts w:eastAsia="仿宋_GB2312"/>
          <w:sz w:val="28"/>
          <w:szCs w:val="28"/>
          <w:vertAlign w:val="subscript"/>
        </w:rPr>
        <w:t>10%</w:t>
      </w:r>
      <w:r>
        <w:rPr>
          <w:rFonts w:eastAsia="仿宋_GB2312"/>
          <w:sz w:val="28"/>
          <w:szCs w:val="28"/>
        </w:rPr>
        <w:t>。</w:t>
      </w:r>
    </w:p>
    <w:p>
      <w:pPr>
        <w:spacing w:line="500" w:lineRule="exact"/>
        <w:jc w:val="center"/>
        <w:rPr>
          <w:rFonts w:eastAsia="仿宋_GB2312"/>
          <w:b/>
          <w:sz w:val="24"/>
        </w:rPr>
      </w:pPr>
      <w:r>
        <w:rPr>
          <w:rFonts w:eastAsia="仿宋_GB2312"/>
          <w:b/>
          <w:sz w:val="24"/>
        </w:rPr>
        <w:t>表2.4-1  评价工作等级</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61"/>
        <w:gridCol w:w="6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0" w:type="pct"/>
            <w:shd w:val="clear" w:color="auto" w:fill="auto"/>
            <w:vAlign w:val="center"/>
          </w:tcPr>
          <w:p>
            <w:pPr>
              <w:pStyle w:val="124"/>
              <w:spacing w:line="360" w:lineRule="exact"/>
              <w:rPr>
                <w:rFonts w:ascii="仿宋" w:hAnsi="仿宋" w:eastAsia="仿宋"/>
              </w:rPr>
            </w:pPr>
            <w:r>
              <w:rPr>
                <w:rFonts w:ascii="仿宋" w:hAnsi="仿宋" w:eastAsia="仿宋"/>
              </w:rPr>
              <w:t>评价工作等级</w:t>
            </w:r>
          </w:p>
        </w:tc>
        <w:tc>
          <w:tcPr>
            <w:tcW w:w="3290" w:type="pct"/>
            <w:shd w:val="clear" w:color="auto" w:fill="auto"/>
            <w:vAlign w:val="center"/>
          </w:tcPr>
          <w:p>
            <w:pPr>
              <w:pStyle w:val="124"/>
              <w:spacing w:line="360" w:lineRule="exact"/>
              <w:rPr>
                <w:rFonts w:ascii="仿宋" w:hAnsi="仿宋" w:eastAsia="仿宋"/>
              </w:rPr>
            </w:pPr>
            <w:r>
              <w:rPr>
                <w:rFonts w:ascii="仿宋" w:hAnsi="仿宋" w:eastAsia="仿宋"/>
              </w:rPr>
              <w:t>评价工作分级判据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0" w:type="pct"/>
            <w:shd w:val="clear" w:color="auto" w:fill="auto"/>
            <w:vAlign w:val="center"/>
          </w:tcPr>
          <w:p>
            <w:pPr>
              <w:pStyle w:val="124"/>
              <w:spacing w:line="360" w:lineRule="exact"/>
              <w:rPr>
                <w:rFonts w:ascii="仿宋" w:hAnsi="仿宋" w:eastAsia="仿宋"/>
              </w:rPr>
            </w:pPr>
            <w:r>
              <w:rPr>
                <w:rFonts w:ascii="仿宋" w:hAnsi="仿宋" w:eastAsia="仿宋"/>
              </w:rPr>
              <w:t>一级</w:t>
            </w:r>
          </w:p>
        </w:tc>
        <w:tc>
          <w:tcPr>
            <w:tcW w:w="3290" w:type="pct"/>
            <w:tcBorders>
              <w:bottom w:val="single" w:color="auto" w:sz="4" w:space="0"/>
            </w:tcBorders>
            <w:shd w:val="clear" w:color="auto" w:fill="auto"/>
            <w:vAlign w:val="center"/>
          </w:tcPr>
          <w:p>
            <w:pPr>
              <w:pStyle w:val="124"/>
              <w:spacing w:line="360" w:lineRule="exact"/>
              <w:rPr>
                <w:rFonts w:ascii="仿宋" w:hAnsi="仿宋" w:eastAsia="仿宋"/>
              </w:rPr>
            </w:pPr>
            <w:r>
              <w:rPr>
                <w:rFonts w:ascii="仿宋" w:hAnsi="仿宋" w:eastAsia="仿宋"/>
              </w:rPr>
              <w:t>Pmax≥10%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0" w:type="pct"/>
            <w:shd w:val="clear" w:color="auto" w:fill="auto"/>
            <w:vAlign w:val="center"/>
          </w:tcPr>
          <w:p>
            <w:pPr>
              <w:pStyle w:val="124"/>
              <w:spacing w:line="360" w:lineRule="exact"/>
              <w:rPr>
                <w:rFonts w:ascii="仿宋" w:hAnsi="仿宋" w:eastAsia="仿宋"/>
              </w:rPr>
            </w:pPr>
            <w:r>
              <w:rPr>
                <w:rFonts w:ascii="仿宋" w:hAnsi="仿宋" w:eastAsia="仿宋"/>
              </w:rPr>
              <w:t>二级</w:t>
            </w:r>
          </w:p>
        </w:tc>
        <w:tc>
          <w:tcPr>
            <w:tcW w:w="3290" w:type="pct"/>
            <w:shd w:val="clear" w:color="auto" w:fill="D9D9D9"/>
            <w:vAlign w:val="center"/>
          </w:tcPr>
          <w:p>
            <w:pPr>
              <w:pStyle w:val="124"/>
              <w:spacing w:line="360" w:lineRule="exact"/>
              <w:rPr>
                <w:rFonts w:ascii="仿宋" w:hAnsi="仿宋" w:eastAsia="仿宋"/>
              </w:rPr>
            </w:pPr>
            <w:r>
              <w:rPr>
                <w:rFonts w:ascii="仿宋" w:hAnsi="仿宋" w:eastAsia="仿宋"/>
              </w:rPr>
              <w:t>1%≤Pmax≤10%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0" w:type="pct"/>
            <w:shd w:val="clear" w:color="auto" w:fill="auto"/>
            <w:vAlign w:val="center"/>
          </w:tcPr>
          <w:p>
            <w:pPr>
              <w:pStyle w:val="124"/>
              <w:spacing w:line="360" w:lineRule="exact"/>
              <w:rPr>
                <w:rFonts w:ascii="仿宋" w:hAnsi="仿宋" w:eastAsia="仿宋"/>
              </w:rPr>
            </w:pPr>
            <w:r>
              <w:rPr>
                <w:rFonts w:ascii="仿宋" w:hAnsi="仿宋" w:eastAsia="仿宋"/>
              </w:rPr>
              <w:t>三级</w:t>
            </w:r>
          </w:p>
        </w:tc>
        <w:tc>
          <w:tcPr>
            <w:tcW w:w="3290" w:type="pct"/>
            <w:shd w:val="clear" w:color="auto" w:fill="auto"/>
            <w:vAlign w:val="center"/>
          </w:tcPr>
          <w:p>
            <w:pPr>
              <w:pStyle w:val="124"/>
              <w:spacing w:line="360" w:lineRule="exact"/>
              <w:rPr>
                <w:rFonts w:ascii="仿宋" w:hAnsi="仿宋" w:eastAsia="仿宋"/>
              </w:rPr>
            </w:pPr>
            <w:r>
              <w:rPr>
                <w:rFonts w:ascii="仿宋" w:hAnsi="仿宋" w:eastAsia="仿宋"/>
              </w:rPr>
              <w:t>Pmax≤1%</w:t>
            </w:r>
          </w:p>
        </w:tc>
      </w:tr>
    </w:tbl>
    <w:p>
      <w:pPr>
        <w:spacing w:line="500" w:lineRule="exact"/>
        <w:ind w:firstLine="560" w:firstLineChars="200"/>
        <w:rPr>
          <w:rFonts w:eastAsia="仿宋_GB2312"/>
          <w:sz w:val="28"/>
          <w:szCs w:val="28"/>
        </w:rPr>
      </w:pPr>
      <w:r>
        <w:rPr>
          <w:rFonts w:eastAsia="仿宋_GB2312"/>
          <w:sz w:val="28"/>
          <w:szCs w:val="28"/>
        </w:rPr>
        <w:t>经测算，本项目废气主要污染物占标率</w:t>
      </w:r>
      <w:r>
        <w:rPr>
          <w:rFonts w:hint="eastAsia" w:eastAsia="仿宋_GB2312"/>
          <w:sz w:val="28"/>
          <w:szCs w:val="28"/>
        </w:rPr>
        <w:t>及预测结果</w:t>
      </w:r>
      <w:r>
        <w:rPr>
          <w:rFonts w:eastAsia="仿宋_GB2312"/>
          <w:sz w:val="28"/>
          <w:szCs w:val="28"/>
        </w:rPr>
        <w:t>见表2.4-5。</w:t>
      </w:r>
    </w:p>
    <w:p>
      <w:pPr>
        <w:spacing w:line="500" w:lineRule="exact"/>
        <w:ind w:firstLine="482" w:firstLineChars="200"/>
        <w:jc w:val="center"/>
        <w:rPr>
          <w:rFonts w:eastAsia="仿宋_GB2312"/>
          <w:b/>
          <w:sz w:val="24"/>
        </w:rPr>
      </w:pPr>
    </w:p>
    <w:p>
      <w:pPr>
        <w:spacing w:line="500" w:lineRule="exact"/>
        <w:ind w:firstLine="482" w:firstLineChars="200"/>
        <w:jc w:val="center"/>
        <w:rPr>
          <w:rFonts w:eastAsia="仿宋_GB2312"/>
          <w:b/>
          <w:sz w:val="24"/>
        </w:rPr>
      </w:pPr>
    </w:p>
    <w:p>
      <w:pPr>
        <w:spacing w:line="500" w:lineRule="exact"/>
        <w:ind w:firstLine="482" w:firstLineChars="200"/>
        <w:jc w:val="center"/>
        <w:rPr>
          <w:rFonts w:eastAsia="仿宋_GB2312"/>
          <w:b/>
          <w:sz w:val="24"/>
        </w:rPr>
      </w:pPr>
    </w:p>
    <w:p>
      <w:pPr>
        <w:spacing w:line="500" w:lineRule="exact"/>
        <w:ind w:firstLine="482" w:firstLineChars="200"/>
        <w:jc w:val="center"/>
        <w:rPr>
          <w:rFonts w:eastAsia="仿宋_GB2312"/>
          <w:b/>
          <w:sz w:val="24"/>
        </w:rPr>
      </w:pPr>
      <w:r>
        <w:rPr>
          <w:rFonts w:eastAsia="仿宋_GB2312"/>
          <w:b/>
          <w:sz w:val="24"/>
        </w:rPr>
        <w:t>表2.4-5  废气主要污染物的占标率评价表</w:t>
      </w:r>
    </w:p>
    <w:tbl>
      <w:tblPr>
        <w:tblStyle w:val="87"/>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28"/>
        <w:gridCol w:w="2002"/>
        <w:gridCol w:w="1348"/>
        <w:gridCol w:w="1511"/>
        <w:gridCol w:w="1485"/>
        <w:gridCol w:w="14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17" w:type="dxa"/>
            <w:vMerge w:val="restart"/>
            <w:shd w:val="clear" w:color="auto" w:fill="auto"/>
            <w:vAlign w:val="center"/>
          </w:tcPr>
          <w:p>
            <w:pPr>
              <w:pStyle w:val="124"/>
              <w:spacing w:line="360" w:lineRule="exact"/>
              <w:rPr>
                <w:rFonts w:ascii="仿宋" w:hAnsi="仿宋" w:eastAsia="仿宋"/>
              </w:rPr>
            </w:pPr>
            <w:r>
              <w:rPr>
                <w:rFonts w:hint="eastAsia" w:ascii="仿宋" w:hAnsi="仿宋" w:eastAsia="仿宋"/>
              </w:rPr>
              <w:t>污染源名称</w:t>
            </w:r>
          </w:p>
        </w:tc>
        <w:tc>
          <w:tcPr>
            <w:tcW w:w="1846" w:type="dxa"/>
            <w:vMerge w:val="restart"/>
            <w:shd w:val="clear" w:color="auto" w:fill="auto"/>
            <w:vAlign w:val="center"/>
          </w:tcPr>
          <w:p>
            <w:pPr>
              <w:pStyle w:val="124"/>
              <w:spacing w:line="360" w:lineRule="exact"/>
              <w:rPr>
                <w:rFonts w:ascii="仿宋" w:hAnsi="仿宋" w:eastAsia="仿宋"/>
              </w:rPr>
            </w:pPr>
            <w:r>
              <w:rPr>
                <w:rFonts w:hint="eastAsia" w:ascii="仿宋" w:hAnsi="仿宋" w:eastAsia="仿宋"/>
              </w:rPr>
              <w:t>评价因子</w:t>
            </w:r>
          </w:p>
        </w:tc>
        <w:tc>
          <w:tcPr>
            <w:tcW w:w="1243" w:type="dxa"/>
            <w:vMerge w:val="restart"/>
            <w:shd w:val="clear" w:color="auto" w:fill="auto"/>
            <w:vAlign w:val="center"/>
          </w:tcPr>
          <w:p>
            <w:pPr>
              <w:pStyle w:val="124"/>
              <w:spacing w:line="360" w:lineRule="exact"/>
              <w:rPr>
                <w:rFonts w:ascii="仿宋" w:hAnsi="仿宋" w:eastAsia="仿宋"/>
              </w:rPr>
            </w:pPr>
            <w:r>
              <w:rPr>
                <w:rFonts w:hint="eastAsia" w:ascii="仿宋" w:hAnsi="仿宋" w:eastAsia="仿宋"/>
              </w:rPr>
              <w:t>评价标准</w:t>
            </w:r>
            <w:r>
              <w:rPr>
                <w:rFonts w:ascii="仿宋" w:hAnsi="仿宋" w:eastAsia="仿宋"/>
              </w:rPr>
              <w:t>(μg/m</w:t>
            </w:r>
            <w:r>
              <w:rPr>
                <w:rFonts w:ascii="仿宋" w:hAnsi="仿宋" w:eastAsia="仿宋"/>
                <w:vertAlign w:val="superscript"/>
              </w:rPr>
              <w:t>3</w:t>
            </w:r>
            <w:r>
              <w:rPr>
                <w:rFonts w:ascii="仿宋" w:hAnsi="仿宋" w:eastAsia="仿宋"/>
              </w:rPr>
              <w:t>)</w:t>
            </w:r>
          </w:p>
        </w:tc>
        <w:tc>
          <w:tcPr>
            <w:tcW w:w="1393" w:type="dxa"/>
            <w:shd w:val="clear" w:color="auto" w:fill="auto"/>
            <w:vAlign w:val="center"/>
          </w:tcPr>
          <w:p>
            <w:pPr>
              <w:pStyle w:val="124"/>
              <w:spacing w:line="360" w:lineRule="exact"/>
              <w:rPr>
                <w:rFonts w:ascii="仿宋" w:hAnsi="仿宋" w:eastAsia="仿宋"/>
              </w:rPr>
            </w:pPr>
            <w:r>
              <w:rPr>
                <w:rFonts w:ascii="仿宋" w:hAnsi="仿宋" w:eastAsia="仿宋"/>
              </w:rPr>
              <w:t>Cmax</w:t>
            </w:r>
          </w:p>
        </w:tc>
        <w:tc>
          <w:tcPr>
            <w:tcW w:w="1369" w:type="dxa"/>
            <w:shd w:val="clear" w:color="auto" w:fill="auto"/>
            <w:vAlign w:val="center"/>
          </w:tcPr>
          <w:p>
            <w:pPr>
              <w:pStyle w:val="124"/>
              <w:spacing w:line="360" w:lineRule="exact"/>
              <w:rPr>
                <w:rFonts w:ascii="仿宋" w:hAnsi="仿宋" w:eastAsia="仿宋"/>
              </w:rPr>
            </w:pPr>
            <w:r>
              <w:rPr>
                <w:rFonts w:ascii="仿宋" w:hAnsi="仿宋" w:eastAsia="仿宋"/>
              </w:rPr>
              <w:t>Pmax</w:t>
            </w:r>
          </w:p>
        </w:tc>
        <w:tc>
          <w:tcPr>
            <w:tcW w:w="1354" w:type="dxa"/>
            <w:shd w:val="clear" w:color="auto" w:fill="auto"/>
            <w:vAlign w:val="center"/>
          </w:tcPr>
          <w:p>
            <w:pPr>
              <w:pStyle w:val="124"/>
              <w:spacing w:line="360" w:lineRule="exact"/>
              <w:rPr>
                <w:rFonts w:ascii="仿宋" w:hAnsi="仿宋" w:eastAsia="仿宋"/>
              </w:rPr>
            </w:pPr>
            <w:r>
              <w:rPr>
                <w:rFonts w:ascii="仿宋" w:hAnsi="仿宋" w:eastAsia="仿宋"/>
              </w:rPr>
              <w:t>D10%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17" w:type="dxa"/>
            <w:vMerge w:val="continue"/>
            <w:vAlign w:val="center"/>
          </w:tcPr>
          <w:p>
            <w:pPr>
              <w:pStyle w:val="124"/>
              <w:spacing w:line="360" w:lineRule="exact"/>
              <w:rPr>
                <w:rFonts w:ascii="仿宋" w:hAnsi="仿宋" w:eastAsia="仿宋"/>
              </w:rPr>
            </w:pPr>
          </w:p>
        </w:tc>
        <w:tc>
          <w:tcPr>
            <w:tcW w:w="1846" w:type="dxa"/>
            <w:vMerge w:val="continue"/>
            <w:vAlign w:val="center"/>
          </w:tcPr>
          <w:p>
            <w:pPr>
              <w:pStyle w:val="124"/>
              <w:spacing w:line="360" w:lineRule="exact"/>
              <w:rPr>
                <w:rFonts w:ascii="仿宋" w:hAnsi="仿宋" w:eastAsia="仿宋"/>
              </w:rPr>
            </w:pPr>
          </w:p>
        </w:tc>
        <w:tc>
          <w:tcPr>
            <w:tcW w:w="1243" w:type="dxa"/>
            <w:vMerge w:val="continue"/>
            <w:vAlign w:val="center"/>
          </w:tcPr>
          <w:p>
            <w:pPr>
              <w:pStyle w:val="124"/>
              <w:spacing w:line="360" w:lineRule="exact"/>
              <w:rPr>
                <w:rFonts w:ascii="仿宋" w:hAnsi="仿宋" w:eastAsia="仿宋"/>
              </w:rPr>
            </w:pPr>
          </w:p>
        </w:tc>
        <w:tc>
          <w:tcPr>
            <w:tcW w:w="1393" w:type="dxa"/>
            <w:shd w:val="clear" w:color="auto" w:fill="auto"/>
            <w:vAlign w:val="center"/>
          </w:tcPr>
          <w:p>
            <w:pPr>
              <w:pStyle w:val="124"/>
              <w:spacing w:line="360" w:lineRule="exact"/>
              <w:rPr>
                <w:rFonts w:ascii="仿宋" w:hAnsi="仿宋" w:eastAsia="仿宋"/>
              </w:rPr>
            </w:pPr>
            <w:r>
              <w:rPr>
                <w:rFonts w:ascii="仿宋" w:hAnsi="仿宋" w:eastAsia="仿宋"/>
              </w:rPr>
              <w:t>(μg/m</w:t>
            </w:r>
            <w:r>
              <w:rPr>
                <w:rFonts w:ascii="仿宋" w:hAnsi="仿宋" w:eastAsia="仿宋"/>
                <w:vertAlign w:val="superscript"/>
              </w:rPr>
              <w:t>3</w:t>
            </w:r>
            <w:r>
              <w:rPr>
                <w:rFonts w:ascii="仿宋" w:hAnsi="仿宋" w:eastAsia="仿宋"/>
              </w:rPr>
              <w:t>)</w:t>
            </w:r>
          </w:p>
        </w:tc>
        <w:tc>
          <w:tcPr>
            <w:tcW w:w="1369" w:type="dxa"/>
            <w:shd w:val="clear" w:color="auto" w:fill="auto"/>
            <w:vAlign w:val="center"/>
          </w:tcPr>
          <w:p>
            <w:pPr>
              <w:pStyle w:val="124"/>
              <w:spacing w:line="360" w:lineRule="exact"/>
              <w:rPr>
                <w:rFonts w:ascii="仿宋" w:hAnsi="仿宋" w:eastAsia="仿宋"/>
              </w:rPr>
            </w:pPr>
            <w:r>
              <w:rPr>
                <w:rFonts w:ascii="仿宋" w:hAnsi="仿宋" w:eastAsia="仿宋"/>
              </w:rPr>
              <w:t>(%)</w:t>
            </w:r>
          </w:p>
        </w:tc>
        <w:tc>
          <w:tcPr>
            <w:tcW w:w="1354" w:type="dxa"/>
            <w:shd w:val="clear" w:color="auto" w:fill="auto"/>
            <w:vAlign w:val="center"/>
          </w:tcPr>
          <w:p>
            <w:pPr>
              <w:pStyle w:val="124"/>
              <w:spacing w:line="360" w:lineRule="exact"/>
              <w:rPr>
                <w:rFonts w:ascii="仿宋" w:hAnsi="仿宋" w:eastAsia="仿宋"/>
              </w:rPr>
            </w:pPr>
            <w:r>
              <w:rPr>
                <w:rFonts w:ascii="仿宋" w:hAnsi="仿宋" w:eastAsia="仿宋"/>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17" w:type="dxa"/>
            <w:vMerge w:val="restart"/>
            <w:shd w:val="clear" w:color="auto" w:fill="auto"/>
            <w:vAlign w:val="center"/>
          </w:tcPr>
          <w:p>
            <w:pPr>
              <w:pStyle w:val="124"/>
              <w:spacing w:line="360" w:lineRule="exact"/>
              <w:rPr>
                <w:rFonts w:ascii="仿宋" w:hAnsi="仿宋" w:eastAsia="仿宋"/>
              </w:rPr>
            </w:pPr>
            <w:r>
              <w:rPr>
                <w:rFonts w:hint="eastAsia" w:ascii="仿宋" w:hAnsi="仿宋" w:eastAsia="仿宋"/>
              </w:rPr>
              <w:t>1</w:t>
            </w:r>
            <w:r>
              <w:rPr>
                <w:rFonts w:ascii="仿宋" w:hAnsi="仿宋" w:eastAsia="仿宋"/>
              </w:rPr>
              <w:t>#排气筒</w:t>
            </w:r>
          </w:p>
        </w:tc>
        <w:tc>
          <w:tcPr>
            <w:tcW w:w="1846" w:type="dxa"/>
            <w:shd w:val="clear" w:color="auto" w:fill="auto"/>
            <w:vAlign w:val="center"/>
          </w:tcPr>
          <w:p>
            <w:pPr>
              <w:pStyle w:val="124"/>
              <w:spacing w:line="360" w:lineRule="exact"/>
              <w:rPr>
                <w:rFonts w:ascii="仿宋" w:hAnsi="仿宋" w:eastAsia="仿宋"/>
              </w:rPr>
            </w:pPr>
            <w:r>
              <w:rPr>
                <w:rFonts w:hint="eastAsia" w:ascii="仿宋" w:hAnsi="仿宋" w:eastAsia="仿宋"/>
              </w:rPr>
              <w:t>非甲烷</w:t>
            </w:r>
            <w:r>
              <w:rPr>
                <w:rFonts w:ascii="仿宋" w:hAnsi="仿宋" w:eastAsia="仿宋"/>
              </w:rPr>
              <w:t>总烃</w:t>
            </w:r>
          </w:p>
        </w:tc>
        <w:tc>
          <w:tcPr>
            <w:tcW w:w="1243" w:type="dxa"/>
            <w:shd w:val="clear" w:color="auto" w:fill="auto"/>
            <w:vAlign w:val="center"/>
          </w:tcPr>
          <w:p>
            <w:pPr>
              <w:pStyle w:val="124"/>
              <w:spacing w:line="360" w:lineRule="exact"/>
              <w:rPr>
                <w:rFonts w:ascii="仿宋" w:hAnsi="仿宋" w:eastAsia="仿宋"/>
              </w:rPr>
            </w:pPr>
            <w:r>
              <w:rPr>
                <w:rFonts w:hint="eastAsia" w:ascii="仿宋" w:hAnsi="仿宋" w:eastAsia="仿宋"/>
              </w:rPr>
              <w:t>2000</w:t>
            </w:r>
          </w:p>
        </w:tc>
        <w:tc>
          <w:tcPr>
            <w:tcW w:w="1393" w:type="dxa"/>
            <w:shd w:val="clear" w:color="auto" w:fill="auto"/>
            <w:vAlign w:val="center"/>
          </w:tcPr>
          <w:p>
            <w:pPr>
              <w:pStyle w:val="124"/>
              <w:spacing w:line="360" w:lineRule="exact"/>
              <w:rPr>
                <w:rFonts w:ascii="仿宋" w:hAnsi="仿宋" w:eastAsia="仿宋"/>
              </w:rPr>
            </w:pPr>
            <w:r>
              <w:rPr>
                <w:rFonts w:hint="eastAsia" w:ascii="仿宋" w:hAnsi="仿宋" w:eastAsia="仿宋"/>
              </w:rPr>
              <w:t>9.12</w:t>
            </w:r>
          </w:p>
        </w:tc>
        <w:tc>
          <w:tcPr>
            <w:tcW w:w="1369" w:type="dxa"/>
            <w:shd w:val="clear" w:color="auto" w:fill="auto"/>
            <w:vAlign w:val="center"/>
          </w:tcPr>
          <w:p>
            <w:pPr>
              <w:pStyle w:val="124"/>
              <w:spacing w:line="360" w:lineRule="exact"/>
              <w:rPr>
                <w:rFonts w:ascii="仿宋" w:hAnsi="仿宋" w:eastAsia="仿宋"/>
              </w:rPr>
            </w:pPr>
            <w:r>
              <w:rPr>
                <w:rFonts w:hint="eastAsia" w:ascii="仿宋" w:hAnsi="仿宋" w:eastAsia="仿宋"/>
              </w:rPr>
              <w:t>0.46</w:t>
            </w:r>
          </w:p>
        </w:tc>
        <w:tc>
          <w:tcPr>
            <w:tcW w:w="1354" w:type="dxa"/>
            <w:shd w:val="clear" w:color="auto" w:fill="auto"/>
            <w:vAlign w:val="center"/>
          </w:tcPr>
          <w:p>
            <w:pPr>
              <w:pStyle w:val="124"/>
              <w:spacing w:line="360" w:lineRule="exact"/>
              <w:rPr>
                <w:rFonts w:ascii="仿宋" w:hAnsi="仿宋" w:eastAsia="仿宋"/>
              </w:rPr>
            </w:pPr>
            <w:r>
              <w:rPr>
                <w:rFonts w:ascii="仿宋" w:hAnsi="仿宋" w:eastAsia="仿宋"/>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17" w:type="dxa"/>
            <w:vMerge w:val="continue"/>
            <w:shd w:val="clear" w:color="auto" w:fill="auto"/>
            <w:vAlign w:val="center"/>
          </w:tcPr>
          <w:p>
            <w:pPr>
              <w:pStyle w:val="124"/>
              <w:spacing w:line="360" w:lineRule="exact"/>
              <w:rPr>
                <w:rFonts w:ascii="仿宋" w:hAnsi="仿宋" w:eastAsia="仿宋"/>
              </w:rPr>
            </w:pPr>
          </w:p>
        </w:tc>
        <w:tc>
          <w:tcPr>
            <w:tcW w:w="1846" w:type="dxa"/>
            <w:shd w:val="clear" w:color="auto" w:fill="auto"/>
            <w:vAlign w:val="center"/>
          </w:tcPr>
          <w:p>
            <w:pPr>
              <w:pStyle w:val="124"/>
              <w:spacing w:line="360" w:lineRule="exact"/>
              <w:rPr>
                <w:rFonts w:ascii="仿宋" w:hAnsi="仿宋" w:eastAsia="仿宋"/>
              </w:rPr>
            </w:pPr>
            <w:r>
              <w:rPr>
                <w:rFonts w:hint="eastAsia" w:ascii="仿宋" w:hAnsi="仿宋" w:eastAsia="仿宋"/>
              </w:rPr>
              <w:t>乙酸乙酯</w:t>
            </w:r>
          </w:p>
        </w:tc>
        <w:tc>
          <w:tcPr>
            <w:tcW w:w="1243" w:type="dxa"/>
            <w:shd w:val="clear" w:color="auto" w:fill="auto"/>
            <w:vAlign w:val="center"/>
          </w:tcPr>
          <w:p>
            <w:pPr>
              <w:pStyle w:val="124"/>
              <w:spacing w:line="360" w:lineRule="exact"/>
              <w:rPr>
                <w:rFonts w:ascii="仿宋" w:hAnsi="仿宋" w:eastAsia="仿宋"/>
              </w:rPr>
            </w:pPr>
            <w:r>
              <w:rPr>
                <w:rFonts w:hint="eastAsia" w:ascii="仿宋" w:hAnsi="仿宋" w:eastAsia="仿宋"/>
              </w:rPr>
              <w:t>1</w:t>
            </w:r>
            <w:r>
              <w:rPr>
                <w:rFonts w:ascii="仿宋" w:hAnsi="仿宋" w:eastAsia="仿宋"/>
              </w:rPr>
              <w:t>00</w:t>
            </w:r>
          </w:p>
        </w:tc>
        <w:tc>
          <w:tcPr>
            <w:tcW w:w="1393" w:type="dxa"/>
            <w:shd w:val="clear" w:color="auto" w:fill="auto"/>
            <w:vAlign w:val="center"/>
          </w:tcPr>
          <w:p>
            <w:pPr>
              <w:pStyle w:val="124"/>
              <w:spacing w:line="360" w:lineRule="exact"/>
              <w:rPr>
                <w:rFonts w:ascii="仿宋" w:hAnsi="仿宋" w:eastAsia="仿宋"/>
              </w:rPr>
            </w:pPr>
            <w:r>
              <w:rPr>
                <w:rFonts w:hint="eastAsia" w:ascii="仿宋" w:hAnsi="仿宋" w:eastAsia="仿宋"/>
              </w:rPr>
              <w:t>0</w:t>
            </w:r>
            <w:r>
              <w:rPr>
                <w:rFonts w:ascii="仿宋" w:hAnsi="仿宋" w:eastAsia="仿宋"/>
              </w:rPr>
              <w:t>.44</w:t>
            </w:r>
          </w:p>
        </w:tc>
        <w:tc>
          <w:tcPr>
            <w:tcW w:w="1369" w:type="dxa"/>
            <w:shd w:val="clear" w:color="auto" w:fill="auto"/>
            <w:vAlign w:val="center"/>
          </w:tcPr>
          <w:p>
            <w:pPr>
              <w:pStyle w:val="124"/>
              <w:spacing w:line="360" w:lineRule="exact"/>
              <w:rPr>
                <w:rFonts w:ascii="仿宋" w:hAnsi="仿宋" w:eastAsia="仿宋"/>
              </w:rPr>
            </w:pPr>
            <w:r>
              <w:rPr>
                <w:rFonts w:ascii="仿宋" w:hAnsi="仿宋" w:eastAsia="仿宋"/>
              </w:rPr>
              <w:t>0.44</w:t>
            </w:r>
          </w:p>
        </w:tc>
        <w:tc>
          <w:tcPr>
            <w:tcW w:w="1354" w:type="dxa"/>
            <w:shd w:val="clear" w:color="auto" w:fill="auto"/>
            <w:vAlign w:val="center"/>
          </w:tcPr>
          <w:p>
            <w:pPr>
              <w:pStyle w:val="124"/>
              <w:spacing w:line="360" w:lineRule="exact"/>
              <w:rPr>
                <w:rFonts w:ascii="仿宋" w:hAnsi="仿宋" w:eastAsia="仿宋"/>
              </w:rPr>
            </w:pPr>
            <w:r>
              <w:rPr>
                <w:rFonts w:hint="eastAsia" w:ascii="仿宋" w:hAnsi="仿宋" w:eastAsia="仿宋"/>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17" w:type="dxa"/>
            <w:vMerge w:val="continue"/>
            <w:shd w:val="clear" w:color="auto" w:fill="auto"/>
            <w:vAlign w:val="center"/>
          </w:tcPr>
          <w:p>
            <w:pPr>
              <w:pStyle w:val="124"/>
              <w:spacing w:line="360" w:lineRule="exact"/>
              <w:rPr>
                <w:rFonts w:ascii="仿宋" w:hAnsi="仿宋" w:eastAsia="仿宋"/>
              </w:rPr>
            </w:pPr>
          </w:p>
        </w:tc>
        <w:tc>
          <w:tcPr>
            <w:tcW w:w="1846" w:type="dxa"/>
            <w:shd w:val="clear" w:color="auto" w:fill="auto"/>
            <w:vAlign w:val="center"/>
          </w:tcPr>
          <w:p>
            <w:pPr>
              <w:pStyle w:val="124"/>
              <w:spacing w:line="360" w:lineRule="exact"/>
              <w:rPr>
                <w:rFonts w:ascii="仿宋" w:hAnsi="仿宋" w:eastAsia="仿宋"/>
              </w:rPr>
            </w:pPr>
            <w:r>
              <w:rPr>
                <w:rFonts w:hint="eastAsia" w:ascii="仿宋" w:hAnsi="仿宋" w:eastAsia="仿宋"/>
              </w:rPr>
              <w:t>二甲苯</w:t>
            </w:r>
          </w:p>
        </w:tc>
        <w:tc>
          <w:tcPr>
            <w:tcW w:w="1243" w:type="dxa"/>
            <w:shd w:val="clear" w:color="auto" w:fill="auto"/>
            <w:vAlign w:val="center"/>
          </w:tcPr>
          <w:p>
            <w:pPr>
              <w:pStyle w:val="124"/>
              <w:spacing w:line="360" w:lineRule="exact"/>
              <w:rPr>
                <w:rFonts w:ascii="仿宋" w:hAnsi="仿宋" w:eastAsia="仿宋"/>
              </w:rPr>
            </w:pPr>
            <w:r>
              <w:rPr>
                <w:rFonts w:hint="eastAsia" w:ascii="仿宋" w:hAnsi="仿宋" w:eastAsia="仿宋"/>
              </w:rPr>
              <w:t>200</w:t>
            </w:r>
          </w:p>
        </w:tc>
        <w:tc>
          <w:tcPr>
            <w:tcW w:w="1393" w:type="dxa"/>
            <w:shd w:val="clear" w:color="auto" w:fill="auto"/>
            <w:vAlign w:val="center"/>
          </w:tcPr>
          <w:p>
            <w:pPr>
              <w:pStyle w:val="124"/>
              <w:spacing w:line="360" w:lineRule="exact"/>
              <w:rPr>
                <w:rFonts w:ascii="仿宋" w:hAnsi="仿宋" w:eastAsia="仿宋"/>
              </w:rPr>
            </w:pPr>
            <w:r>
              <w:rPr>
                <w:rFonts w:hint="eastAsia" w:ascii="仿宋" w:hAnsi="仿宋" w:eastAsia="仿宋"/>
              </w:rPr>
              <w:t>0.8</w:t>
            </w:r>
            <w:r>
              <w:rPr>
                <w:rFonts w:ascii="仿宋" w:hAnsi="仿宋" w:eastAsia="仿宋"/>
              </w:rPr>
              <w:t>6</w:t>
            </w:r>
          </w:p>
        </w:tc>
        <w:tc>
          <w:tcPr>
            <w:tcW w:w="1369" w:type="dxa"/>
            <w:shd w:val="clear" w:color="auto" w:fill="auto"/>
            <w:vAlign w:val="center"/>
          </w:tcPr>
          <w:p>
            <w:pPr>
              <w:pStyle w:val="124"/>
              <w:spacing w:line="360" w:lineRule="exact"/>
              <w:rPr>
                <w:rFonts w:ascii="仿宋" w:hAnsi="仿宋" w:eastAsia="仿宋"/>
              </w:rPr>
            </w:pPr>
            <w:r>
              <w:rPr>
                <w:rFonts w:hint="eastAsia" w:ascii="仿宋" w:hAnsi="仿宋" w:eastAsia="仿宋"/>
              </w:rPr>
              <w:t>0.43</w:t>
            </w:r>
          </w:p>
        </w:tc>
        <w:tc>
          <w:tcPr>
            <w:tcW w:w="1354" w:type="dxa"/>
            <w:shd w:val="clear" w:color="auto" w:fill="auto"/>
            <w:vAlign w:val="center"/>
          </w:tcPr>
          <w:p>
            <w:pPr>
              <w:pStyle w:val="124"/>
              <w:spacing w:line="360" w:lineRule="exact"/>
              <w:rPr>
                <w:rFonts w:ascii="仿宋" w:hAnsi="仿宋" w:eastAsia="仿宋"/>
              </w:rPr>
            </w:pPr>
            <w:r>
              <w:rPr>
                <w:rFonts w:hint="eastAsia" w:ascii="仿宋" w:hAnsi="仿宋" w:eastAsia="仿宋"/>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17" w:type="dxa"/>
            <w:vMerge w:val="continue"/>
            <w:shd w:val="clear" w:color="auto" w:fill="auto"/>
            <w:vAlign w:val="center"/>
          </w:tcPr>
          <w:p>
            <w:pPr>
              <w:pStyle w:val="124"/>
              <w:spacing w:line="360" w:lineRule="exact"/>
              <w:rPr>
                <w:rFonts w:ascii="仿宋" w:hAnsi="仿宋" w:eastAsia="仿宋"/>
              </w:rPr>
            </w:pPr>
          </w:p>
        </w:tc>
        <w:tc>
          <w:tcPr>
            <w:tcW w:w="1846" w:type="dxa"/>
            <w:shd w:val="clear" w:color="auto" w:fill="auto"/>
            <w:vAlign w:val="center"/>
          </w:tcPr>
          <w:p>
            <w:pPr>
              <w:pStyle w:val="124"/>
              <w:spacing w:line="360" w:lineRule="exact"/>
              <w:rPr>
                <w:rFonts w:ascii="仿宋" w:hAnsi="仿宋" w:eastAsia="仿宋"/>
              </w:rPr>
            </w:pPr>
            <w:r>
              <w:rPr>
                <w:rFonts w:hint="eastAsia" w:ascii="仿宋" w:hAnsi="仿宋" w:eastAsia="仿宋"/>
              </w:rPr>
              <w:t>SO</w:t>
            </w:r>
            <w:r>
              <w:rPr>
                <w:rFonts w:hint="eastAsia" w:ascii="仿宋" w:hAnsi="仿宋" w:eastAsia="仿宋"/>
                <w:vertAlign w:val="subscript"/>
              </w:rPr>
              <w:t>2</w:t>
            </w:r>
          </w:p>
        </w:tc>
        <w:tc>
          <w:tcPr>
            <w:tcW w:w="1243" w:type="dxa"/>
            <w:shd w:val="clear" w:color="auto" w:fill="auto"/>
            <w:vAlign w:val="center"/>
          </w:tcPr>
          <w:p>
            <w:pPr>
              <w:pStyle w:val="124"/>
              <w:spacing w:line="360" w:lineRule="exact"/>
              <w:rPr>
                <w:rFonts w:ascii="仿宋" w:hAnsi="仿宋" w:eastAsia="仿宋"/>
              </w:rPr>
            </w:pPr>
            <w:r>
              <w:rPr>
                <w:rFonts w:hint="eastAsia" w:ascii="仿宋" w:hAnsi="仿宋" w:eastAsia="仿宋"/>
              </w:rPr>
              <w:t>500</w:t>
            </w:r>
          </w:p>
        </w:tc>
        <w:tc>
          <w:tcPr>
            <w:tcW w:w="1393" w:type="dxa"/>
            <w:shd w:val="clear" w:color="auto" w:fill="auto"/>
            <w:vAlign w:val="center"/>
          </w:tcPr>
          <w:p>
            <w:pPr>
              <w:pStyle w:val="124"/>
              <w:spacing w:line="360" w:lineRule="exact"/>
              <w:rPr>
                <w:rFonts w:ascii="仿宋" w:hAnsi="仿宋" w:eastAsia="仿宋"/>
              </w:rPr>
            </w:pPr>
            <w:r>
              <w:rPr>
                <w:rFonts w:hint="eastAsia" w:ascii="仿宋" w:hAnsi="仿宋" w:eastAsia="仿宋"/>
              </w:rPr>
              <w:t>0.1</w:t>
            </w:r>
          </w:p>
        </w:tc>
        <w:tc>
          <w:tcPr>
            <w:tcW w:w="1369" w:type="dxa"/>
            <w:shd w:val="clear" w:color="auto" w:fill="auto"/>
            <w:vAlign w:val="center"/>
          </w:tcPr>
          <w:p>
            <w:pPr>
              <w:pStyle w:val="124"/>
              <w:spacing w:line="360" w:lineRule="exact"/>
              <w:rPr>
                <w:rFonts w:ascii="仿宋" w:hAnsi="仿宋" w:eastAsia="仿宋"/>
              </w:rPr>
            </w:pPr>
            <w:r>
              <w:rPr>
                <w:rFonts w:hint="eastAsia" w:ascii="仿宋" w:hAnsi="仿宋" w:eastAsia="仿宋"/>
              </w:rPr>
              <w:t>0.02</w:t>
            </w:r>
          </w:p>
        </w:tc>
        <w:tc>
          <w:tcPr>
            <w:tcW w:w="1354" w:type="dxa"/>
            <w:shd w:val="clear" w:color="auto" w:fill="auto"/>
            <w:vAlign w:val="center"/>
          </w:tcPr>
          <w:p>
            <w:pPr>
              <w:pStyle w:val="124"/>
              <w:spacing w:line="360" w:lineRule="exact"/>
              <w:rPr>
                <w:rFonts w:ascii="仿宋" w:hAnsi="仿宋" w:eastAsia="仿宋"/>
              </w:rPr>
            </w:pPr>
            <w:r>
              <w:rPr>
                <w:rFonts w:hint="eastAsia" w:ascii="仿宋" w:hAnsi="仿宋" w:eastAsia="仿宋"/>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17" w:type="dxa"/>
            <w:vMerge w:val="continue"/>
            <w:shd w:val="clear" w:color="auto" w:fill="auto"/>
            <w:vAlign w:val="center"/>
          </w:tcPr>
          <w:p>
            <w:pPr>
              <w:pStyle w:val="124"/>
              <w:spacing w:line="360" w:lineRule="exact"/>
              <w:rPr>
                <w:rFonts w:ascii="仿宋" w:hAnsi="仿宋" w:eastAsia="仿宋"/>
              </w:rPr>
            </w:pPr>
          </w:p>
        </w:tc>
        <w:tc>
          <w:tcPr>
            <w:tcW w:w="1846" w:type="dxa"/>
            <w:shd w:val="clear" w:color="auto" w:fill="auto"/>
            <w:vAlign w:val="center"/>
          </w:tcPr>
          <w:p>
            <w:pPr>
              <w:pStyle w:val="124"/>
              <w:spacing w:line="360" w:lineRule="exact"/>
              <w:rPr>
                <w:rFonts w:ascii="仿宋" w:hAnsi="仿宋" w:eastAsia="仿宋"/>
              </w:rPr>
            </w:pPr>
            <w:r>
              <w:rPr>
                <w:rFonts w:hint="eastAsia" w:ascii="仿宋" w:hAnsi="仿宋" w:eastAsia="仿宋"/>
              </w:rPr>
              <w:t>NO</w:t>
            </w:r>
            <w:r>
              <w:rPr>
                <w:rFonts w:hint="eastAsia" w:ascii="仿宋" w:hAnsi="仿宋" w:eastAsia="仿宋"/>
                <w:vertAlign w:val="subscript"/>
              </w:rPr>
              <w:t>X</w:t>
            </w:r>
          </w:p>
        </w:tc>
        <w:tc>
          <w:tcPr>
            <w:tcW w:w="1243" w:type="dxa"/>
            <w:shd w:val="clear" w:color="auto" w:fill="auto"/>
            <w:vAlign w:val="center"/>
          </w:tcPr>
          <w:p>
            <w:pPr>
              <w:pStyle w:val="124"/>
              <w:spacing w:line="360" w:lineRule="exact"/>
              <w:rPr>
                <w:rFonts w:ascii="仿宋" w:hAnsi="仿宋" w:eastAsia="仿宋"/>
              </w:rPr>
            </w:pPr>
            <w:r>
              <w:rPr>
                <w:rFonts w:hint="eastAsia" w:ascii="仿宋" w:hAnsi="仿宋" w:eastAsia="仿宋"/>
              </w:rPr>
              <w:t>250</w:t>
            </w:r>
          </w:p>
        </w:tc>
        <w:tc>
          <w:tcPr>
            <w:tcW w:w="1393" w:type="dxa"/>
            <w:shd w:val="clear" w:color="auto" w:fill="auto"/>
            <w:vAlign w:val="center"/>
          </w:tcPr>
          <w:p>
            <w:pPr>
              <w:pStyle w:val="124"/>
              <w:spacing w:line="360" w:lineRule="exact"/>
              <w:rPr>
                <w:rFonts w:ascii="仿宋" w:hAnsi="仿宋" w:eastAsia="仿宋"/>
              </w:rPr>
            </w:pPr>
            <w:r>
              <w:rPr>
                <w:rFonts w:hint="eastAsia" w:ascii="仿宋" w:hAnsi="仿宋" w:eastAsia="仿宋"/>
              </w:rPr>
              <w:t>0.1</w:t>
            </w:r>
          </w:p>
        </w:tc>
        <w:tc>
          <w:tcPr>
            <w:tcW w:w="1369" w:type="dxa"/>
            <w:shd w:val="clear" w:color="auto" w:fill="auto"/>
            <w:vAlign w:val="center"/>
          </w:tcPr>
          <w:p>
            <w:pPr>
              <w:pStyle w:val="124"/>
              <w:spacing w:line="360" w:lineRule="exact"/>
              <w:rPr>
                <w:rFonts w:ascii="仿宋" w:hAnsi="仿宋" w:eastAsia="仿宋"/>
              </w:rPr>
            </w:pPr>
            <w:r>
              <w:rPr>
                <w:rFonts w:hint="eastAsia" w:ascii="仿宋" w:hAnsi="仿宋" w:eastAsia="仿宋"/>
              </w:rPr>
              <w:t>0.04</w:t>
            </w:r>
          </w:p>
        </w:tc>
        <w:tc>
          <w:tcPr>
            <w:tcW w:w="1354" w:type="dxa"/>
            <w:shd w:val="clear" w:color="auto" w:fill="auto"/>
            <w:vAlign w:val="center"/>
          </w:tcPr>
          <w:p>
            <w:pPr>
              <w:pStyle w:val="124"/>
              <w:spacing w:line="360" w:lineRule="exact"/>
              <w:rPr>
                <w:rFonts w:ascii="仿宋" w:hAnsi="仿宋" w:eastAsia="仿宋"/>
              </w:rPr>
            </w:pPr>
            <w:r>
              <w:rPr>
                <w:rFonts w:hint="eastAsia" w:ascii="仿宋" w:hAnsi="仿宋" w:eastAsia="仿宋"/>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17" w:type="dxa"/>
            <w:vMerge w:val="continue"/>
            <w:shd w:val="clear" w:color="auto" w:fill="auto"/>
            <w:vAlign w:val="center"/>
          </w:tcPr>
          <w:p>
            <w:pPr>
              <w:pStyle w:val="124"/>
              <w:spacing w:line="360" w:lineRule="exact"/>
              <w:rPr>
                <w:rFonts w:ascii="仿宋" w:hAnsi="仿宋" w:eastAsia="仿宋"/>
              </w:rPr>
            </w:pPr>
          </w:p>
        </w:tc>
        <w:tc>
          <w:tcPr>
            <w:tcW w:w="1846" w:type="dxa"/>
            <w:shd w:val="clear" w:color="auto" w:fill="auto"/>
            <w:vAlign w:val="center"/>
          </w:tcPr>
          <w:p>
            <w:pPr>
              <w:pStyle w:val="124"/>
              <w:spacing w:line="360" w:lineRule="exact"/>
              <w:rPr>
                <w:rFonts w:ascii="仿宋" w:hAnsi="仿宋" w:eastAsia="仿宋"/>
              </w:rPr>
            </w:pPr>
            <w:r>
              <w:rPr>
                <w:rFonts w:hint="eastAsia" w:ascii="仿宋" w:hAnsi="仿宋" w:eastAsia="仿宋"/>
              </w:rPr>
              <w:t>颗粒物</w:t>
            </w:r>
          </w:p>
        </w:tc>
        <w:tc>
          <w:tcPr>
            <w:tcW w:w="1243" w:type="dxa"/>
            <w:shd w:val="clear" w:color="auto" w:fill="auto"/>
            <w:vAlign w:val="center"/>
          </w:tcPr>
          <w:p>
            <w:pPr>
              <w:pStyle w:val="124"/>
              <w:spacing w:line="360" w:lineRule="exact"/>
              <w:rPr>
                <w:rFonts w:ascii="仿宋" w:hAnsi="仿宋" w:eastAsia="仿宋"/>
              </w:rPr>
            </w:pPr>
            <w:r>
              <w:rPr>
                <w:rFonts w:hint="eastAsia" w:ascii="仿宋" w:hAnsi="仿宋" w:eastAsia="仿宋"/>
              </w:rPr>
              <w:t>450</w:t>
            </w:r>
          </w:p>
        </w:tc>
        <w:tc>
          <w:tcPr>
            <w:tcW w:w="1393" w:type="dxa"/>
            <w:shd w:val="clear" w:color="auto" w:fill="auto"/>
            <w:vAlign w:val="center"/>
          </w:tcPr>
          <w:p>
            <w:pPr>
              <w:pStyle w:val="124"/>
              <w:spacing w:line="360" w:lineRule="exact"/>
              <w:rPr>
                <w:rFonts w:ascii="仿宋" w:hAnsi="仿宋" w:eastAsia="仿宋"/>
              </w:rPr>
            </w:pPr>
            <w:r>
              <w:rPr>
                <w:rFonts w:hint="eastAsia" w:ascii="仿宋" w:hAnsi="仿宋" w:eastAsia="仿宋"/>
              </w:rPr>
              <w:t>0.9</w:t>
            </w:r>
          </w:p>
        </w:tc>
        <w:tc>
          <w:tcPr>
            <w:tcW w:w="1369" w:type="dxa"/>
            <w:shd w:val="clear" w:color="auto" w:fill="auto"/>
            <w:vAlign w:val="center"/>
          </w:tcPr>
          <w:p>
            <w:pPr>
              <w:pStyle w:val="124"/>
              <w:spacing w:line="360" w:lineRule="exact"/>
              <w:rPr>
                <w:rFonts w:ascii="仿宋" w:hAnsi="仿宋" w:eastAsia="仿宋"/>
              </w:rPr>
            </w:pPr>
            <w:r>
              <w:rPr>
                <w:rFonts w:hint="eastAsia" w:ascii="仿宋" w:hAnsi="仿宋" w:eastAsia="仿宋"/>
              </w:rPr>
              <w:t>0.2</w:t>
            </w:r>
          </w:p>
        </w:tc>
        <w:tc>
          <w:tcPr>
            <w:tcW w:w="1354" w:type="dxa"/>
            <w:shd w:val="clear" w:color="auto" w:fill="auto"/>
            <w:vAlign w:val="center"/>
          </w:tcPr>
          <w:p>
            <w:pPr>
              <w:pStyle w:val="124"/>
              <w:spacing w:line="360" w:lineRule="exact"/>
              <w:rPr>
                <w:rFonts w:ascii="仿宋" w:hAnsi="仿宋" w:eastAsia="仿宋"/>
              </w:rPr>
            </w:pPr>
            <w:r>
              <w:rPr>
                <w:rFonts w:hint="eastAsia" w:ascii="仿宋" w:hAnsi="仿宋" w:eastAsia="仿宋"/>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17" w:type="dxa"/>
            <w:vMerge w:val="restart"/>
            <w:vAlign w:val="center"/>
          </w:tcPr>
          <w:p>
            <w:pPr>
              <w:pStyle w:val="124"/>
              <w:spacing w:line="360" w:lineRule="exact"/>
              <w:rPr>
                <w:rFonts w:ascii="仿宋" w:hAnsi="仿宋" w:eastAsia="仿宋"/>
              </w:rPr>
            </w:pPr>
            <w:r>
              <w:rPr>
                <w:rFonts w:hint="eastAsia" w:ascii="仿宋" w:hAnsi="仿宋" w:eastAsia="仿宋"/>
              </w:rPr>
              <w:t>生产</w:t>
            </w:r>
            <w:r>
              <w:rPr>
                <w:rFonts w:ascii="仿宋" w:hAnsi="仿宋" w:eastAsia="仿宋"/>
              </w:rPr>
              <w:t>车间</w:t>
            </w:r>
          </w:p>
        </w:tc>
        <w:tc>
          <w:tcPr>
            <w:tcW w:w="1846" w:type="dxa"/>
            <w:shd w:val="clear" w:color="auto" w:fill="auto"/>
            <w:vAlign w:val="center"/>
          </w:tcPr>
          <w:p>
            <w:pPr>
              <w:pStyle w:val="124"/>
              <w:spacing w:line="360" w:lineRule="exact"/>
              <w:rPr>
                <w:rFonts w:ascii="仿宋" w:hAnsi="仿宋" w:eastAsia="仿宋"/>
              </w:rPr>
            </w:pPr>
            <w:r>
              <w:rPr>
                <w:rFonts w:hint="eastAsia" w:ascii="仿宋" w:hAnsi="仿宋" w:eastAsia="仿宋"/>
              </w:rPr>
              <w:t>非甲烷</w:t>
            </w:r>
            <w:r>
              <w:rPr>
                <w:rFonts w:ascii="仿宋" w:hAnsi="仿宋" w:eastAsia="仿宋"/>
              </w:rPr>
              <w:t>总烃</w:t>
            </w:r>
          </w:p>
        </w:tc>
        <w:tc>
          <w:tcPr>
            <w:tcW w:w="1243" w:type="dxa"/>
            <w:shd w:val="clear" w:color="auto" w:fill="auto"/>
            <w:vAlign w:val="center"/>
          </w:tcPr>
          <w:p>
            <w:pPr>
              <w:pStyle w:val="124"/>
              <w:spacing w:line="360" w:lineRule="exact"/>
              <w:rPr>
                <w:rFonts w:ascii="仿宋" w:hAnsi="仿宋" w:eastAsia="仿宋"/>
              </w:rPr>
            </w:pPr>
            <w:r>
              <w:rPr>
                <w:rFonts w:hint="eastAsia" w:ascii="仿宋" w:hAnsi="仿宋" w:eastAsia="仿宋"/>
              </w:rPr>
              <w:t>2000</w:t>
            </w:r>
          </w:p>
        </w:tc>
        <w:tc>
          <w:tcPr>
            <w:tcW w:w="1393" w:type="dxa"/>
            <w:shd w:val="clear" w:color="auto" w:fill="auto"/>
            <w:vAlign w:val="center"/>
          </w:tcPr>
          <w:p>
            <w:pPr>
              <w:pStyle w:val="124"/>
              <w:spacing w:line="360" w:lineRule="exact"/>
              <w:rPr>
                <w:rFonts w:ascii="仿宋" w:hAnsi="仿宋" w:eastAsia="仿宋"/>
              </w:rPr>
            </w:pPr>
            <w:r>
              <w:rPr>
                <w:rFonts w:hint="eastAsia" w:ascii="仿宋" w:hAnsi="仿宋" w:eastAsia="仿宋"/>
              </w:rPr>
              <w:t>84</w:t>
            </w:r>
          </w:p>
        </w:tc>
        <w:tc>
          <w:tcPr>
            <w:tcW w:w="1369" w:type="dxa"/>
            <w:shd w:val="clear" w:color="auto" w:fill="auto"/>
            <w:vAlign w:val="center"/>
          </w:tcPr>
          <w:p>
            <w:pPr>
              <w:pStyle w:val="124"/>
              <w:spacing w:line="360" w:lineRule="exact"/>
              <w:rPr>
                <w:rFonts w:ascii="仿宋" w:hAnsi="仿宋" w:eastAsia="仿宋"/>
              </w:rPr>
            </w:pPr>
            <w:r>
              <w:rPr>
                <w:rFonts w:hint="eastAsia" w:ascii="仿宋" w:hAnsi="仿宋" w:eastAsia="仿宋"/>
              </w:rPr>
              <w:t>4.2</w:t>
            </w:r>
          </w:p>
        </w:tc>
        <w:tc>
          <w:tcPr>
            <w:tcW w:w="1354" w:type="dxa"/>
            <w:shd w:val="clear" w:color="auto" w:fill="auto"/>
          </w:tcPr>
          <w:p>
            <w:pPr>
              <w:jc w:val="center"/>
            </w:pPr>
            <w:r>
              <w:rPr>
                <w:rFonts w:hint="eastAsia" w:ascii="仿宋" w:hAnsi="仿宋" w:eastAsia="仿宋"/>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17" w:type="dxa"/>
            <w:vMerge w:val="continue"/>
            <w:vAlign w:val="center"/>
          </w:tcPr>
          <w:p>
            <w:pPr>
              <w:pStyle w:val="124"/>
              <w:spacing w:line="360" w:lineRule="exact"/>
              <w:rPr>
                <w:rFonts w:ascii="仿宋" w:hAnsi="仿宋" w:eastAsia="仿宋"/>
              </w:rPr>
            </w:pPr>
          </w:p>
        </w:tc>
        <w:tc>
          <w:tcPr>
            <w:tcW w:w="1846" w:type="dxa"/>
            <w:shd w:val="clear" w:color="auto" w:fill="auto"/>
            <w:vAlign w:val="center"/>
          </w:tcPr>
          <w:p>
            <w:pPr>
              <w:pStyle w:val="124"/>
              <w:spacing w:line="360" w:lineRule="exact"/>
              <w:rPr>
                <w:rFonts w:ascii="仿宋" w:hAnsi="仿宋" w:eastAsia="仿宋"/>
              </w:rPr>
            </w:pPr>
            <w:r>
              <w:rPr>
                <w:rFonts w:hint="eastAsia" w:ascii="仿宋" w:hAnsi="仿宋" w:eastAsia="仿宋"/>
              </w:rPr>
              <w:t>乙酸乙酯</w:t>
            </w:r>
          </w:p>
        </w:tc>
        <w:tc>
          <w:tcPr>
            <w:tcW w:w="1243" w:type="dxa"/>
            <w:shd w:val="clear" w:color="auto" w:fill="auto"/>
            <w:vAlign w:val="center"/>
          </w:tcPr>
          <w:p>
            <w:pPr>
              <w:pStyle w:val="124"/>
              <w:spacing w:line="360" w:lineRule="exact"/>
              <w:rPr>
                <w:rFonts w:ascii="仿宋" w:hAnsi="仿宋" w:eastAsia="仿宋"/>
              </w:rPr>
            </w:pPr>
            <w:r>
              <w:rPr>
                <w:rFonts w:hint="eastAsia" w:ascii="仿宋" w:hAnsi="仿宋" w:eastAsia="仿宋"/>
              </w:rPr>
              <w:t>1</w:t>
            </w:r>
            <w:r>
              <w:rPr>
                <w:rFonts w:ascii="仿宋" w:hAnsi="仿宋" w:eastAsia="仿宋"/>
              </w:rPr>
              <w:t>00</w:t>
            </w:r>
          </w:p>
        </w:tc>
        <w:tc>
          <w:tcPr>
            <w:tcW w:w="1393" w:type="dxa"/>
            <w:shd w:val="clear" w:color="auto" w:fill="auto"/>
            <w:vAlign w:val="center"/>
          </w:tcPr>
          <w:p>
            <w:pPr>
              <w:pStyle w:val="124"/>
              <w:spacing w:line="360" w:lineRule="exact"/>
              <w:rPr>
                <w:rFonts w:ascii="仿宋" w:hAnsi="仿宋" w:eastAsia="仿宋"/>
              </w:rPr>
            </w:pPr>
            <w:r>
              <w:rPr>
                <w:rFonts w:hint="eastAsia" w:ascii="仿宋" w:hAnsi="仿宋" w:eastAsia="仿宋"/>
              </w:rPr>
              <w:t>4</w:t>
            </w:r>
          </w:p>
        </w:tc>
        <w:tc>
          <w:tcPr>
            <w:tcW w:w="1369" w:type="dxa"/>
            <w:shd w:val="clear" w:color="auto" w:fill="auto"/>
            <w:vAlign w:val="center"/>
          </w:tcPr>
          <w:p>
            <w:pPr>
              <w:pStyle w:val="124"/>
              <w:spacing w:line="360" w:lineRule="exact"/>
              <w:rPr>
                <w:rFonts w:ascii="仿宋" w:hAnsi="仿宋" w:eastAsia="仿宋"/>
              </w:rPr>
            </w:pPr>
            <w:r>
              <w:rPr>
                <w:rFonts w:hint="eastAsia" w:ascii="仿宋" w:hAnsi="仿宋" w:eastAsia="仿宋"/>
              </w:rPr>
              <w:t>4</w:t>
            </w:r>
          </w:p>
        </w:tc>
        <w:tc>
          <w:tcPr>
            <w:tcW w:w="1354" w:type="dxa"/>
            <w:shd w:val="clear" w:color="auto" w:fill="auto"/>
          </w:tcPr>
          <w:p>
            <w:pPr>
              <w:jc w:val="center"/>
              <w:rPr>
                <w:rFonts w:ascii="仿宋" w:hAnsi="仿宋" w:eastAsia="仿宋"/>
              </w:rPr>
            </w:pPr>
            <w:r>
              <w:rPr>
                <w:rFonts w:hint="eastAsia" w:ascii="仿宋" w:hAnsi="仿宋" w:eastAsia="仿宋"/>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17" w:type="dxa"/>
            <w:vMerge w:val="continue"/>
            <w:vAlign w:val="center"/>
          </w:tcPr>
          <w:p>
            <w:pPr>
              <w:pStyle w:val="124"/>
              <w:spacing w:line="360" w:lineRule="exact"/>
              <w:rPr>
                <w:rFonts w:ascii="仿宋" w:hAnsi="仿宋" w:eastAsia="仿宋"/>
              </w:rPr>
            </w:pPr>
          </w:p>
        </w:tc>
        <w:tc>
          <w:tcPr>
            <w:tcW w:w="1846" w:type="dxa"/>
            <w:shd w:val="clear" w:color="auto" w:fill="auto"/>
            <w:vAlign w:val="center"/>
          </w:tcPr>
          <w:p>
            <w:pPr>
              <w:pStyle w:val="124"/>
              <w:spacing w:line="360" w:lineRule="exact"/>
              <w:rPr>
                <w:rFonts w:ascii="仿宋" w:hAnsi="仿宋" w:eastAsia="仿宋"/>
              </w:rPr>
            </w:pPr>
            <w:r>
              <w:rPr>
                <w:rFonts w:hint="eastAsia" w:ascii="仿宋" w:hAnsi="仿宋" w:eastAsia="仿宋"/>
              </w:rPr>
              <w:t>二甲苯</w:t>
            </w:r>
          </w:p>
        </w:tc>
        <w:tc>
          <w:tcPr>
            <w:tcW w:w="1243" w:type="dxa"/>
            <w:shd w:val="clear" w:color="auto" w:fill="auto"/>
            <w:vAlign w:val="center"/>
          </w:tcPr>
          <w:p>
            <w:pPr>
              <w:pStyle w:val="124"/>
              <w:spacing w:line="360" w:lineRule="exact"/>
              <w:rPr>
                <w:rFonts w:ascii="仿宋" w:hAnsi="仿宋" w:eastAsia="仿宋"/>
              </w:rPr>
            </w:pPr>
            <w:r>
              <w:rPr>
                <w:rFonts w:hint="eastAsia" w:ascii="仿宋" w:hAnsi="仿宋" w:eastAsia="仿宋"/>
              </w:rPr>
              <w:t>2</w:t>
            </w:r>
            <w:r>
              <w:rPr>
                <w:rFonts w:ascii="仿宋" w:hAnsi="仿宋" w:eastAsia="仿宋"/>
              </w:rPr>
              <w:t>00</w:t>
            </w:r>
          </w:p>
        </w:tc>
        <w:tc>
          <w:tcPr>
            <w:tcW w:w="1393" w:type="dxa"/>
            <w:shd w:val="clear" w:color="auto" w:fill="auto"/>
            <w:vAlign w:val="center"/>
          </w:tcPr>
          <w:p>
            <w:pPr>
              <w:pStyle w:val="124"/>
              <w:spacing w:line="360" w:lineRule="exact"/>
              <w:rPr>
                <w:rFonts w:ascii="仿宋" w:hAnsi="仿宋" w:eastAsia="仿宋"/>
              </w:rPr>
            </w:pPr>
            <w:r>
              <w:rPr>
                <w:rFonts w:hint="eastAsia" w:ascii="仿宋" w:hAnsi="仿宋" w:eastAsia="仿宋"/>
              </w:rPr>
              <w:t>1.38</w:t>
            </w:r>
          </w:p>
        </w:tc>
        <w:tc>
          <w:tcPr>
            <w:tcW w:w="1369" w:type="dxa"/>
            <w:shd w:val="clear" w:color="auto" w:fill="auto"/>
            <w:vAlign w:val="center"/>
          </w:tcPr>
          <w:p>
            <w:pPr>
              <w:pStyle w:val="124"/>
              <w:spacing w:line="360" w:lineRule="exact"/>
              <w:rPr>
                <w:rFonts w:ascii="仿宋" w:hAnsi="仿宋" w:eastAsia="仿宋"/>
              </w:rPr>
            </w:pPr>
            <w:r>
              <w:rPr>
                <w:rFonts w:hint="eastAsia" w:ascii="仿宋" w:hAnsi="仿宋" w:eastAsia="仿宋"/>
              </w:rPr>
              <w:t>0.69</w:t>
            </w:r>
          </w:p>
        </w:tc>
        <w:tc>
          <w:tcPr>
            <w:tcW w:w="1354" w:type="dxa"/>
            <w:shd w:val="clear" w:color="auto" w:fill="auto"/>
          </w:tcPr>
          <w:p>
            <w:pPr>
              <w:jc w:val="center"/>
              <w:rPr>
                <w:rFonts w:ascii="仿宋" w:hAnsi="仿宋" w:eastAsia="仿宋"/>
              </w:rPr>
            </w:pPr>
            <w:r>
              <w:rPr>
                <w:rFonts w:hint="eastAsia" w:ascii="仿宋" w:hAnsi="仿宋" w:eastAsia="仿宋"/>
              </w:rPr>
              <w:t>/</w:t>
            </w:r>
          </w:p>
        </w:tc>
      </w:tr>
    </w:tbl>
    <w:p>
      <w:pPr>
        <w:pStyle w:val="734"/>
        <w:spacing w:line="320" w:lineRule="exact"/>
        <w:ind w:firstLine="420" w:firstLineChars="200"/>
        <w:rPr>
          <w:rFonts w:eastAsia="仿宋_GB2312"/>
          <w:sz w:val="21"/>
          <w:szCs w:val="21"/>
        </w:rPr>
      </w:pPr>
      <w:r>
        <w:rPr>
          <w:rFonts w:eastAsia="仿宋_GB2312"/>
          <w:sz w:val="21"/>
          <w:szCs w:val="21"/>
        </w:rPr>
        <w:t>备注：有组织排放烟粉尘以PM</w:t>
      </w:r>
      <w:r>
        <w:rPr>
          <w:rFonts w:eastAsia="仿宋_GB2312"/>
          <w:sz w:val="21"/>
          <w:szCs w:val="21"/>
          <w:vertAlign w:val="subscript"/>
        </w:rPr>
        <w:t>10</w:t>
      </w:r>
      <w:r>
        <w:rPr>
          <w:rFonts w:eastAsia="仿宋_GB2312"/>
          <w:sz w:val="21"/>
          <w:szCs w:val="21"/>
        </w:rPr>
        <w:t>为评价因子，其中PM</w:t>
      </w:r>
      <w:r>
        <w:rPr>
          <w:rFonts w:eastAsia="仿宋_GB2312"/>
          <w:sz w:val="21"/>
          <w:szCs w:val="21"/>
          <w:vertAlign w:val="subscript"/>
        </w:rPr>
        <w:t>10</w:t>
      </w:r>
      <w:r>
        <w:rPr>
          <w:rFonts w:eastAsia="仿宋_GB2312"/>
          <w:sz w:val="21"/>
          <w:szCs w:val="21"/>
        </w:rPr>
        <w:t>的二级标准的日均值为150</w:t>
      </w:r>
      <w:r>
        <w:rPr>
          <w:rFonts w:hint="eastAsia" w:eastAsia="仿宋_GB2312"/>
          <w:sz w:val="21"/>
          <w:szCs w:val="21"/>
        </w:rPr>
        <w:t>μ</w:t>
      </w:r>
      <w:r>
        <w:rPr>
          <w:rFonts w:eastAsia="仿宋_GB2312"/>
          <w:sz w:val="21"/>
          <w:szCs w:val="21"/>
        </w:rPr>
        <w:t>g/m</w:t>
      </w:r>
      <w:r>
        <w:rPr>
          <w:rFonts w:eastAsia="仿宋_GB2312"/>
          <w:sz w:val="21"/>
          <w:szCs w:val="21"/>
          <w:vertAlign w:val="superscript"/>
        </w:rPr>
        <w:t>3</w:t>
      </w:r>
      <w:r>
        <w:rPr>
          <w:rFonts w:eastAsia="仿宋_GB2312"/>
          <w:sz w:val="21"/>
          <w:szCs w:val="21"/>
        </w:rPr>
        <w:t>，小时浓度取日均值的三倍，即为450</w:t>
      </w:r>
      <w:r>
        <w:rPr>
          <w:rFonts w:hint="eastAsia" w:eastAsia="仿宋_GB2312"/>
          <w:sz w:val="21"/>
          <w:szCs w:val="21"/>
        </w:rPr>
        <w:t>μ</w:t>
      </w:r>
      <w:r>
        <w:rPr>
          <w:rFonts w:eastAsia="仿宋_GB2312"/>
          <w:sz w:val="21"/>
          <w:szCs w:val="21"/>
        </w:rPr>
        <w:t>g /m</w:t>
      </w:r>
      <w:r>
        <w:rPr>
          <w:rFonts w:eastAsia="仿宋_GB2312"/>
          <w:sz w:val="21"/>
          <w:szCs w:val="21"/>
          <w:vertAlign w:val="superscript"/>
        </w:rPr>
        <w:t>3</w:t>
      </w:r>
      <w:r>
        <w:rPr>
          <w:rFonts w:hint="eastAsia" w:eastAsia="仿宋_GB2312" w:cs="宋体"/>
          <w:sz w:val="21"/>
          <w:szCs w:val="21"/>
        </w:rPr>
        <w:t>。</w:t>
      </w:r>
    </w:p>
    <w:p>
      <w:pPr>
        <w:spacing w:line="500" w:lineRule="exact"/>
        <w:ind w:firstLine="560" w:firstLineChars="200"/>
        <w:rPr>
          <w:rFonts w:eastAsia="仿宋_GB2312"/>
          <w:sz w:val="28"/>
          <w:szCs w:val="28"/>
        </w:rPr>
      </w:pPr>
      <w:r>
        <w:rPr>
          <w:rFonts w:eastAsia="仿宋_GB2312"/>
          <w:sz w:val="28"/>
          <w:szCs w:val="28"/>
        </w:rPr>
        <w:t>综合以上分析，本项目P</w:t>
      </w:r>
      <w:r>
        <w:rPr>
          <w:rFonts w:eastAsia="仿宋_GB2312"/>
          <w:sz w:val="28"/>
          <w:szCs w:val="28"/>
          <w:vertAlign w:val="subscript"/>
        </w:rPr>
        <w:t>max</w:t>
      </w:r>
      <w:r>
        <w:rPr>
          <w:rFonts w:eastAsia="仿宋_GB2312"/>
          <w:sz w:val="28"/>
          <w:szCs w:val="28"/>
        </w:rPr>
        <w:t>最大值出现为</w:t>
      </w:r>
      <w:r>
        <w:rPr>
          <w:rFonts w:hint="eastAsia" w:eastAsia="仿宋_GB2312"/>
          <w:sz w:val="28"/>
          <w:szCs w:val="28"/>
        </w:rPr>
        <w:t>车间无</w:t>
      </w:r>
      <w:r>
        <w:rPr>
          <w:rFonts w:eastAsia="仿宋_GB2312"/>
          <w:sz w:val="28"/>
          <w:szCs w:val="28"/>
        </w:rPr>
        <w:t>组织排放的</w:t>
      </w:r>
      <w:r>
        <w:rPr>
          <w:rFonts w:hint="eastAsia" w:eastAsia="仿宋_GB2312"/>
          <w:sz w:val="28"/>
          <w:szCs w:val="28"/>
        </w:rPr>
        <w:t>非甲烷总烃</w:t>
      </w:r>
      <w:r>
        <w:rPr>
          <w:rFonts w:eastAsia="仿宋_GB2312"/>
          <w:sz w:val="28"/>
          <w:szCs w:val="28"/>
        </w:rPr>
        <w:t>，P</w:t>
      </w:r>
      <w:r>
        <w:rPr>
          <w:rFonts w:eastAsia="仿宋_GB2312"/>
          <w:sz w:val="28"/>
          <w:szCs w:val="28"/>
          <w:vertAlign w:val="subscript"/>
        </w:rPr>
        <w:t>max</w:t>
      </w:r>
      <w:r>
        <w:rPr>
          <w:rFonts w:eastAsia="仿宋_GB2312"/>
          <w:sz w:val="28"/>
          <w:szCs w:val="28"/>
        </w:rPr>
        <w:t>值为</w:t>
      </w:r>
      <w:r>
        <w:rPr>
          <w:rFonts w:hint="eastAsia" w:eastAsia="仿宋_GB2312"/>
          <w:sz w:val="28"/>
          <w:szCs w:val="28"/>
        </w:rPr>
        <w:t>4.2</w:t>
      </w:r>
      <w:r>
        <w:rPr>
          <w:rFonts w:eastAsia="仿宋_GB2312"/>
          <w:sz w:val="28"/>
          <w:szCs w:val="28"/>
        </w:rPr>
        <w:t>%</w:t>
      </w:r>
      <w:r>
        <w:rPr>
          <w:rFonts w:hint="eastAsia" w:eastAsia="仿宋_GB2312"/>
          <w:sz w:val="28"/>
          <w:szCs w:val="28"/>
        </w:rPr>
        <w:t>，</w:t>
      </w:r>
      <w:r>
        <w:rPr>
          <w:rFonts w:eastAsia="仿宋_GB2312"/>
          <w:sz w:val="28"/>
          <w:szCs w:val="28"/>
        </w:rPr>
        <w:t>C</w:t>
      </w:r>
      <w:r>
        <w:rPr>
          <w:rFonts w:eastAsia="仿宋_GB2312"/>
          <w:sz w:val="28"/>
          <w:szCs w:val="28"/>
          <w:vertAlign w:val="subscript"/>
        </w:rPr>
        <w:t>max</w:t>
      </w:r>
      <w:r>
        <w:rPr>
          <w:rFonts w:eastAsia="仿宋_GB2312"/>
          <w:sz w:val="28"/>
          <w:szCs w:val="28"/>
        </w:rPr>
        <w:t>为</w:t>
      </w:r>
      <w:r>
        <w:rPr>
          <w:rFonts w:hint="eastAsia" w:eastAsia="仿宋_GB2312"/>
          <w:sz w:val="28"/>
          <w:szCs w:val="28"/>
        </w:rPr>
        <w:t>84</w:t>
      </w:r>
      <w:r>
        <w:rPr>
          <w:rFonts w:eastAsia="仿宋_GB2312"/>
          <w:sz w:val="28"/>
          <w:szCs w:val="28"/>
        </w:rPr>
        <w:t>μg/m</w:t>
      </w:r>
      <w:r>
        <w:rPr>
          <w:rFonts w:eastAsia="仿宋_GB2312"/>
          <w:sz w:val="28"/>
          <w:szCs w:val="28"/>
          <w:vertAlign w:val="superscript"/>
        </w:rPr>
        <w:t>3</w:t>
      </w:r>
      <w:r>
        <w:rPr>
          <w:rFonts w:eastAsia="仿宋_GB2312"/>
          <w:sz w:val="28"/>
          <w:szCs w:val="28"/>
        </w:rPr>
        <w:t>，根据《环境影响评价技术导则 大气环境》(HJ2.2-20</w:t>
      </w:r>
      <w:r>
        <w:rPr>
          <w:rFonts w:hint="eastAsia" w:eastAsia="仿宋_GB2312"/>
          <w:sz w:val="28"/>
          <w:szCs w:val="28"/>
        </w:rPr>
        <w:t>1</w:t>
      </w:r>
      <w:r>
        <w:rPr>
          <w:rFonts w:eastAsia="仿宋_GB2312"/>
          <w:sz w:val="28"/>
          <w:szCs w:val="28"/>
        </w:rPr>
        <w:t>8)分级判据，确定</w:t>
      </w:r>
      <w:r>
        <w:rPr>
          <w:rFonts w:hint="eastAsia" w:eastAsia="仿宋_GB2312"/>
          <w:sz w:val="28"/>
          <w:szCs w:val="28"/>
        </w:rPr>
        <w:t>本项目</w:t>
      </w:r>
      <w:r>
        <w:rPr>
          <w:rFonts w:eastAsia="仿宋_GB2312"/>
          <w:sz w:val="28"/>
          <w:szCs w:val="28"/>
        </w:rPr>
        <w:t>大气环境影响评价工作等级为</w:t>
      </w:r>
      <w:r>
        <w:rPr>
          <w:rFonts w:hint="eastAsia" w:eastAsia="仿宋_GB2312"/>
          <w:sz w:val="28"/>
          <w:szCs w:val="28"/>
        </w:rPr>
        <w:t>二</w:t>
      </w:r>
      <w:r>
        <w:rPr>
          <w:rFonts w:eastAsia="仿宋_GB2312"/>
          <w:sz w:val="28"/>
          <w:szCs w:val="28"/>
        </w:rPr>
        <w:t>级。</w:t>
      </w:r>
    </w:p>
    <w:p>
      <w:pPr>
        <w:spacing w:line="500" w:lineRule="exact"/>
        <w:ind w:firstLine="560" w:firstLineChars="200"/>
        <w:rPr>
          <w:rFonts w:eastAsia="仿宋_GB2312"/>
          <w:sz w:val="28"/>
          <w:szCs w:val="28"/>
        </w:rPr>
      </w:pPr>
      <w:r>
        <w:rPr>
          <w:rFonts w:hint="eastAsia" w:eastAsia="仿宋_GB2312"/>
          <w:sz w:val="28"/>
          <w:szCs w:val="28"/>
        </w:rPr>
        <w:t>根据</w:t>
      </w:r>
      <w:r>
        <w:rPr>
          <w:rFonts w:eastAsia="仿宋_GB2312"/>
          <w:sz w:val="28"/>
          <w:szCs w:val="28"/>
        </w:rPr>
        <w:t>《环境影响评价技术导则-大气环境》(HJ2.2-2018)</w:t>
      </w:r>
      <w:r>
        <w:rPr>
          <w:rFonts w:hint="eastAsia" w:eastAsia="仿宋_GB2312"/>
          <w:sz w:val="28"/>
          <w:szCs w:val="28"/>
        </w:rPr>
        <w:t>“8.1.2二级评价项目不进行进一步预测与评价，只对污染物排放量进行核算。”</w:t>
      </w:r>
    </w:p>
    <w:p>
      <w:pPr>
        <w:spacing w:line="500" w:lineRule="exact"/>
        <w:ind w:right="-94" w:firstLine="560" w:firstLineChars="200"/>
        <w:rPr>
          <w:rFonts w:eastAsia="仿宋_GB2312"/>
          <w:kern w:val="24"/>
          <w:sz w:val="28"/>
          <w:szCs w:val="28"/>
        </w:rPr>
      </w:pPr>
      <w:r>
        <w:rPr>
          <w:rFonts w:eastAsia="仿宋_GB2312"/>
          <w:sz w:val="28"/>
          <w:szCs w:val="28"/>
        </w:rPr>
        <w:t>（2）</w:t>
      </w:r>
      <w:r>
        <w:rPr>
          <w:rFonts w:eastAsia="仿宋_GB2312"/>
          <w:kern w:val="24"/>
          <w:sz w:val="28"/>
          <w:szCs w:val="28"/>
        </w:rPr>
        <w:t>地表水评价等级</w:t>
      </w:r>
    </w:p>
    <w:p>
      <w:pPr>
        <w:spacing w:line="500" w:lineRule="exact"/>
        <w:ind w:right="-94" w:firstLine="560" w:firstLineChars="200"/>
        <w:rPr>
          <w:rFonts w:eastAsia="仿宋_GB2312"/>
          <w:kern w:val="24"/>
          <w:sz w:val="28"/>
          <w:szCs w:val="28"/>
        </w:rPr>
      </w:pPr>
      <w:r>
        <w:rPr>
          <w:rFonts w:hint="eastAsia" w:eastAsia="仿宋_GB2312"/>
          <w:kern w:val="24"/>
          <w:sz w:val="28"/>
          <w:szCs w:val="28"/>
        </w:rPr>
        <w:t>本项目生活污水接入</w:t>
      </w:r>
      <w:r>
        <w:rPr>
          <w:rFonts w:eastAsia="仿宋_GB2312"/>
          <w:kern w:val="24"/>
          <w:sz w:val="28"/>
          <w:szCs w:val="28"/>
        </w:rPr>
        <w:t>市政污水管网</w:t>
      </w:r>
      <w:r>
        <w:rPr>
          <w:rFonts w:hint="eastAsia" w:eastAsia="仿宋_GB2312"/>
          <w:kern w:val="24"/>
          <w:sz w:val="28"/>
          <w:szCs w:val="28"/>
        </w:rPr>
        <w:t>进金坛第二污水处理厂，</w:t>
      </w:r>
      <w:r>
        <w:rPr>
          <w:rFonts w:eastAsia="仿宋_GB2312"/>
          <w:kern w:val="24"/>
          <w:sz w:val="28"/>
          <w:szCs w:val="28"/>
        </w:rPr>
        <w:t>为</w:t>
      </w:r>
      <w:r>
        <w:rPr>
          <w:rFonts w:hint="eastAsia" w:eastAsia="仿宋_GB2312"/>
          <w:kern w:val="24"/>
          <w:sz w:val="28"/>
          <w:szCs w:val="28"/>
        </w:rPr>
        <w:t>间接</w:t>
      </w:r>
      <w:r>
        <w:rPr>
          <w:rFonts w:eastAsia="仿宋_GB2312"/>
          <w:kern w:val="24"/>
          <w:sz w:val="28"/>
          <w:szCs w:val="28"/>
        </w:rPr>
        <w:t>排放</w:t>
      </w:r>
      <w:r>
        <w:rPr>
          <w:rFonts w:hint="eastAsia" w:eastAsia="仿宋_GB2312"/>
          <w:kern w:val="24"/>
          <w:sz w:val="28"/>
          <w:szCs w:val="28"/>
        </w:rPr>
        <w:t>。</w:t>
      </w:r>
      <w:r>
        <w:rPr>
          <w:rFonts w:eastAsia="仿宋_GB2312"/>
          <w:kern w:val="24"/>
          <w:sz w:val="28"/>
          <w:szCs w:val="28"/>
        </w:rPr>
        <w:t>根据《</w:t>
      </w:r>
      <w:r>
        <w:rPr>
          <w:rFonts w:hint="eastAsia" w:eastAsia="仿宋_GB2312"/>
          <w:bCs/>
          <w:kern w:val="24"/>
          <w:sz w:val="28"/>
          <w:szCs w:val="28"/>
          <w:lang w:val="en"/>
        </w:rPr>
        <w:t>环境影响评价技术导则 地表水环境</w:t>
      </w:r>
      <w:r>
        <w:rPr>
          <w:rFonts w:eastAsia="仿宋_GB2312"/>
          <w:kern w:val="24"/>
          <w:sz w:val="28"/>
          <w:szCs w:val="28"/>
        </w:rPr>
        <w:t>》（HJ2.3-2018）</w:t>
      </w:r>
      <w:r>
        <w:rPr>
          <w:rFonts w:hint="eastAsia" w:eastAsia="仿宋_GB2312"/>
          <w:kern w:val="24"/>
          <w:sz w:val="28"/>
          <w:szCs w:val="28"/>
        </w:rPr>
        <w:t>表1，</w:t>
      </w:r>
      <w:r>
        <w:rPr>
          <w:rFonts w:eastAsia="仿宋_GB2312"/>
          <w:kern w:val="24"/>
          <w:sz w:val="28"/>
          <w:szCs w:val="28"/>
        </w:rPr>
        <w:t>本项目地表水评价等级为</w:t>
      </w:r>
      <w:r>
        <w:rPr>
          <w:rFonts w:hint="eastAsia" w:eastAsia="仿宋_GB2312"/>
          <w:kern w:val="24"/>
          <w:sz w:val="28"/>
          <w:szCs w:val="28"/>
        </w:rPr>
        <w:t>三级B。</w:t>
      </w:r>
    </w:p>
    <w:p>
      <w:pPr>
        <w:spacing w:line="490" w:lineRule="exact"/>
        <w:jc w:val="center"/>
        <w:rPr>
          <w:rFonts w:eastAsia="仿宋_GB2312"/>
          <w:b/>
          <w:bCs/>
          <w:sz w:val="24"/>
        </w:rPr>
      </w:pPr>
      <w:r>
        <w:rPr>
          <w:rFonts w:eastAsia="仿宋_GB2312"/>
          <w:b/>
          <w:bCs/>
          <w:sz w:val="24"/>
        </w:rPr>
        <w:t xml:space="preserve">表2.4-6   </w:t>
      </w:r>
      <w:r>
        <w:rPr>
          <w:rFonts w:hint="eastAsia" w:eastAsia="仿宋_GB2312"/>
          <w:b/>
          <w:bCs/>
          <w:sz w:val="24"/>
        </w:rPr>
        <w:t>水污染影响型</w:t>
      </w:r>
      <w:r>
        <w:rPr>
          <w:rFonts w:eastAsia="仿宋_GB2312"/>
          <w:b/>
          <w:bCs/>
          <w:sz w:val="24"/>
        </w:rPr>
        <w:t>建设项目评价等级判定</w:t>
      </w:r>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67"/>
        <w:gridCol w:w="2515"/>
        <w:gridCol w:w="3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7" w:type="dxa"/>
            <w:vMerge w:val="restar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评价等级</w:t>
            </w:r>
          </w:p>
        </w:tc>
        <w:tc>
          <w:tcPr>
            <w:tcW w:w="5735" w:type="dxa"/>
            <w:gridSpan w:val="2"/>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判定</w:t>
            </w:r>
            <w:r>
              <w:rPr>
                <w:rFonts w:ascii="仿宋" w:hAnsi="仿宋" w:eastAsia="仿宋" w:cs="仿宋"/>
                <w:bCs/>
                <w:szCs w:val="21"/>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7" w:type="dxa"/>
            <w:vMerge w:val="continue"/>
            <w:vAlign w:val="center"/>
          </w:tcPr>
          <w:p>
            <w:pPr>
              <w:spacing w:line="240" w:lineRule="exact"/>
              <w:jc w:val="center"/>
              <w:rPr>
                <w:rFonts w:ascii="仿宋" w:hAnsi="仿宋" w:eastAsia="仿宋" w:cs="仿宋"/>
                <w:bCs/>
                <w:szCs w:val="21"/>
              </w:rPr>
            </w:pPr>
          </w:p>
        </w:tc>
        <w:tc>
          <w:tcPr>
            <w:tcW w:w="2515"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排放</w:t>
            </w:r>
            <w:r>
              <w:rPr>
                <w:rFonts w:ascii="仿宋" w:hAnsi="仿宋" w:eastAsia="仿宋" w:cs="仿宋"/>
                <w:bCs/>
                <w:szCs w:val="21"/>
              </w:rPr>
              <w:t>方式</w:t>
            </w:r>
          </w:p>
        </w:tc>
        <w:tc>
          <w:tcPr>
            <w:tcW w:w="3220"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废水</w:t>
            </w:r>
            <w:r>
              <w:rPr>
                <w:rFonts w:ascii="仿宋" w:hAnsi="仿宋" w:eastAsia="仿宋" w:cs="仿宋"/>
                <w:bCs/>
                <w:szCs w:val="21"/>
              </w:rPr>
              <w:t>排放量</w:t>
            </w:r>
            <w:r>
              <w:rPr>
                <w:rFonts w:hint="eastAsia" w:ascii="仿宋" w:hAnsi="仿宋" w:eastAsia="仿宋" w:cs="仿宋"/>
                <w:bCs/>
                <w:szCs w:val="21"/>
              </w:rPr>
              <w:t>Q/</w:t>
            </w:r>
            <w:r>
              <w:rPr>
                <w:rFonts w:ascii="仿宋" w:hAnsi="仿宋" w:eastAsia="仿宋" w:cs="仿宋"/>
                <w:bCs/>
                <w:szCs w:val="21"/>
              </w:rPr>
              <w:t>(</w:t>
            </w:r>
            <w:r>
              <w:rPr>
                <w:rFonts w:hint="eastAsia" w:ascii="仿宋" w:hAnsi="仿宋" w:eastAsia="仿宋" w:cs="仿宋"/>
                <w:bCs/>
                <w:szCs w:val="21"/>
              </w:rPr>
              <w:t>m</w:t>
            </w:r>
            <w:r>
              <w:rPr>
                <w:rFonts w:ascii="仿宋" w:hAnsi="仿宋" w:eastAsia="仿宋" w:cs="仿宋"/>
                <w:bCs/>
                <w:szCs w:val="21"/>
                <w:vertAlign w:val="superscript"/>
              </w:rPr>
              <w:t>3</w:t>
            </w:r>
            <w:r>
              <w:rPr>
                <w:rFonts w:ascii="仿宋" w:hAnsi="仿宋" w:eastAsia="仿宋" w:cs="仿宋"/>
                <w:bCs/>
                <w:szCs w:val="21"/>
              </w:rPr>
              <w:t>/d);</w:t>
            </w:r>
          </w:p>
          <w:p>
            <w:pPr>
              <w:spacing w:line="240" w:lineRule="exact"/>
              <w:jc w:val="center"/>
              <w:rPr>
                <w:rFonts w:ascii="仿宋" w:hAnsi="仿宋" w:eastAsia="仿宋" w:cs="仿宋"/>
                <w:bCs/>
                <w:szCs w:val="21"/>
              </w:rPr>
            </w:pPr>
            <w:r>
              <w:rPr>
                <w:rFonts w:hint="eastAsia" w:ascii="仿宋" w:hAnsi="仿宋" w:eastAsia="仿宋" w:cs="仿宋"/>
                <w:bCs/>
                <w:szCs w:val="21"/>
              </w:rPr>
              <w:t>水污染物</w:t>
            </w:r>
            <w:r>
              <w:rPr>
                <w:rFonts w:ascii="仿宋" w:hAnsi="仿宋" w:eastAsia="仿宋" w:cs="仿宋"/>
                <w:bCs/>
                <w:szCs w:val="21"/>
              </w:rPr>
              <w:t>当量</w:t>
            </w:r>
            <w:r>
              <w:rPr>
                <w:rFonts w:hint="eastAsia" w:ascii="仿宋" w:hAnsi="仿宋" w:eastAsia="仿宋" w:cs="仿宋"/>
                <w:bCs/>
                <w:szCs w:val="21"/>
              </w:rPr>
              <w:t>数W/（无</w:t>
            </w:r>
            <w:r>
              <w:rPr>
                <w:rFonts w:ascii="仿宋" w:hAnsi="仿宋" w:eastAsia="仿宋" w:cs="仿宋"/>
                <w:bCs/>
                <w:szCs w:val="21"/>
              </w:rPr>
              <w:t>量纲</w:t>
            </w:r>
            <w:r>
              <w:rPr>
                <w:rFonts w:hint="eastAsia" w:ascii="仿宋" w:hAnsi="仿宋" w:eastAsia="仿宋" w:cs="仿宋"/>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一级</w:t>
            </w:r>
          </w:p>
        </w:tc>
        <w:tc>
          <w:tcPr>
            <w:tcW w:w="2515"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直接</w:t>
            </w:r>
            <w:r>
              <w:rPr>
                <w:rFonts w:ascii="仿宋" w:hAnsi="仿宋" w:eastAsia="仿宋" w:cs="仿宋"/>
                <w:bCs/>
                <w:szCs w:val="21"/>
              </w:rPr>
              <w:t>排放</w:t>
            </w:r>
          </w:p>
        </w:tc>
        <w:tc>
          <w:tcPr>
            <w:tcW w:w="3220"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Q≥20000或W≥600000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二级</w:t>
            </w:r>
          </w:p>
        </w:tc>
        <w:tc>
          <w:tcPr>
            <w:tcW w:w="2515"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直接</w:t>
            </w:r>
            <w:r>
              <w:rPr>
                <w:rFonts w:ascii="仿宋" w:hAnsi="仿宋" w:eastAsia="仿宋" w:cs="仿宋"/>
                <w:bCs/>
                <w:szCs w:val="21"/>
              </w:rPr>
              <w:t>排放</w:t>
            </w:r>
          </w:p>
        </w:tc>
        <w:tc>
          <w:tcPr>
            <w:tcW w:w="3220"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三级A</w:t>
            </w:r>
          </w:p>
        </w:tc>
        <w:tc>
          <w:tcPr>
            <w:tcW w:w="2515"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直接</w:t>
            </w:r>
            <w:r>
              <w:rPr>
                <w:rFonts w:ascii="仿宋" w:hAnsi="仿宋" w:eastAsia="仿宋" w:cs="仿宋"/>
                <w:bCs/>
                <w:szCs w:val="21"/>
              </w:rPr>
              <w:t>排放</w:t>
            </w:r>
          </w:p>
        </w:tc>
        <w:tc>
          <w:tcPr>
            <w:tcW w:w="3220"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Q＜200且W＜6000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三级B</w:t>
            </w:r>
          </w:p>
        </w:tc>
        <w:tc>
          <w:tcPr>
            <w:tcW w:w="2515"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间接排放</w:t>
            </w:r>
          </w:p>
        </w:tc>
        <w:tc>
          <w:tcPr>
            <w:tcW w:w="3220"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w:t>
            </w:r>
          </w:p>
        </w:tc>
      </w:tr>
    </w:tbl>
    <w:p>
      <w:pPr>
        <w:spacing w:line="500" w:lineRule="exact"/>
        <w:ind w:firstLine="560" w:firstLineChars="200"/>
        <w:rPr>
          <w:rFonts w:eastAsia="仿宋_GB2312"/>
          <w:sz w:val="28"/>
          <w:szCs w:val="28"/>
        </w:rPr>
      </w:pPr>
      <w:r>
        <w:rPr>
          <w:rFonts w:eastAsia="仿宋_GB2312"/>
          <w:sz w:val="28"/>
          <w:szCs w:val="28"/>
        </w:rPr>
        <w:t>（3）地下水评价等级</w:t>
      </w:r>
    </w:p>
    <w:p>
      <w:pPr>
        <w:spacing w:line="500" w:lineRule="exact"/>
        <w:ind w:right="-94" w:firstLine="560" w:firstLineChars="200"/>
        <w:rPr>
          <w:rFonts w:eastAsia="仿宋_GB2312"/>
          <w:kern w:val="24"/>
          <w:sz w:val="28"/>
          <w:szCs w:val="28"/>
        </w:rPr>
      </w:pPr>
      <w:r>
        <w:rPr>
          <w:rFonts w:hint="eastAsia" w:eastAsia="仿宋_GB2312"/>
          <w:kern w:val="24"/>
          <w:sz w:val="28"/>
          <w:szCs w:val="28"/>
        </w:rPr>
        <w:t>根据《环境影响评价技术导则-地下水环境》（HJ610-2016）中6.2.1.1提及的附录A确定，</w:t>
      </w:r>
      <w:r>
        <w:rPr>
          <w:rFonts w:eastAsia="仿宋_GB2312"/>
          <w:kern w:val="24"/>
          <w:sz w:val="28"/>
          <w:szCs w:val="28"/>
        </w:rPr>
        <w:t>本项目</w:t>
      </w:r>
      <w:r>
        <w:rPr>
          <w:rFonts w:hint="eastAsia" w:eastAsia="仿宋_GB2312"/>
          <w:kern w:val="24"/>
          <w:sz w:val="28"/>
          <w:szCs w:val="28"/>
        </w:rPr>
        <w:t>属于“116、塑料制品制造”中</w:t>
      </w:r>
      <w:r>
        <w:rPr>
          <w:rFonts w:eastAsia="仿宋_GB2312"/>
          <w:kern w:val="24"/>
          <w:sz w:val="28"/>
          <w:szCs w:val="28"/>
        </w:rPr>
        <w:t>报告书项目，</w:t>
      </w:r>
      <w:r>
        <w:rPr>
          <w:rFonts w:hint="eastAsia" w:eastAsia="仿宋_GB2312"/>
          <w:kern w:val="24"/>
          <w:sz w:val="28"/>
          <w:szCs w:val="28"/>
        </w:rPr>
        <w:t>本项目所属的地下水环境评价项目类别为Ⅱ类。</w:t>
      </w:r>
    </w:p>
    <w:p>
      <w:pPr>
        <w:spacing w:line="500" w:lineRule="exact"/>
        <w:ind w:right="-94" w:firstLine="560" w:firstLineChars="200"/>
        <w:rPr>
          <w:rFonts w:eastAsia="仿宋_GB2312"/>
          <w:kern w:val="24"/>
          <w:sz w:val="28"/>
          <w:szCs w:val="28"/>
        </w:rPr>
      </w:pPr>
      <w:r>
        <w:rPr>
          <w:rFonts w:hint="eastAsia" w:eastAsia="仿宋_GB2312"/>
          <w:kern w:val="24"/>
          <w:sz w:val="28"/>
          <w:szCs w:val="28"/>
        </w:rPr>
        <w:t>建设项目的地下水环境敏感程度可分为敏感、较敏感、不敏感三级，分级原则见下表：</w:t>
      </w:r>
    </w:p>
    <w:p>
      <w:pPr>
        <w:spacing w:line="490" w:lineRule="exact"/>
        <w:jc w:val="center"/>
        <w:rPr>
          <w:rFonts w:eastAsia="仿宋_GB2312"/>
          <w:b/>
          <w:bCs/>
          <w:sz w:val="24"/>
        </w:rPr>
      </w:pPr>
      <w:r>
        <w:rPr>
          <w:rFonts w:eastAsia="仿宋_GB2312"/>
          <w:b/>
          <w:bCs/>
          <w:sz w:val="24"/>
        </w:rPr>
        <w:t>表2.4-7   地下水环境敏感程度分级</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8"/>
        <w:gridCol w:w="7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91" w:type="dxa"/>
            <w:vAlign w:val="center"/>
          </w:tcPr>
          <w:p>
            <w:pPr>
              <w:spacing w:line="240" w:lineRule="exact"/>
              <w:jc w:val="center"/>
              <w:rPr>
                <w:rFonts w:ascii="仿宋" w:hAnsi="仿宋" w:eastAsia="仿宋" w:cs="仿宋"/>
                <w:bCs/>
                <w:szCs w:val="21"/>
              </w:rPr>
            </w:pPr>
            <w:r>
              <w:rPr>
                <w:rFonts w:ascii="仿宋" w:hAnsi="仿宋" w:eastAsia="仿宋" w:cs="仿宋"/>
                <w:bCs/>
                <w:szCs w:val="21"/>
              </w:rPr>
              <w:t>分 级</w:t>
            </w:r>
          </w:p>
        </w:tc>
        <w:tc>
          <w:tcPr>
            <w:tcW w:w="7508" w:type="dxa"/>
            <w:vAlign w:val="center"/>
          </w:tcPr>
          <w:p>
            <w:pPr>
              <w:spacing w:line="240" w:lineRule="exact"/>
              <w:jc w:val="center"/>
              <w:rPr>
                <w:rFonts w:ascii="仿宋" w:hAnsi="仿宋" w:eastAsia="仿宋" w:cs="仿宋"/>
                <w:bCs/>
                <w:szCs w:val="21"/>
              </w:rPr>
            </w:pPr>
            <w:r>
              <w:rPr>
                <w:rFonts w:ascii="仿宋" w:hAnsi="仿宋" w:eastAsia="仿宋" w:cs="仿宋"/>
                <w:bCs/>
                <w:szCs w:val="21"/>
              </w:rPr>
              <w:t>地下水环境敏感特征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91" w:type="dxa"/>
            <w:vAlign w:val="center"/>
          </w:tcPr>
          <w:p>
            <w:pPr>
              <w:spacing w:line="240" w:lineRule="exact"/>
              <w:jc w:val="center"/>
              <w:rPr>
                <w:rFonts w:ascii="仿宋" w:hAnsi="仿宋" w:eastAsia="仿宋" w:cs="仿宋"/>
                <w:bCs/>
                <w:szCs w:val="21"/>
              </w:rPr>
            </w:pPr>
            <w:r>
              <w:rPr>
                <w:rFonts w:ascii="仿宋" w:hAnsi="仿宋" w:eastAsia="仿宋" w:cs="仿宋"/>
                <w:bCs/>
                <w:szCs w:val="21"/>
              </w:rPr>
              <w:t>敏感</w:t>
            </w:r>
          </w:p>
        </w:tc>
        <w:tc>
          <w:tcPr>
            <w:tcW w:w="7508" w:type="dxa"/>
            <w:vAlign w:val="center"/>
          </w:tcPr>
          <w:p>
            <w:pPr>
              <w:spacing w:line="240" w:lineRule="exact"/>
              <w:jc w:val="center"/>
              <w:rPr>
                <w:rFonts w:ascii="仿宋" w:hAnsi="仿宋" w:eastAsia="仿宋" w:cs="仿宋"/>
                <w:bCs/>
                <w:szCs w:val="21"/>
              </w:rPr>
            </w:pPr>
            <w:r>
              <w:rPr>
                <w:rFonts w:ascii="仿宋" w:hAnsi="仿宋" w:eastAsia="仿宋" w:cs="仿宋"/>
                <w:bCs/>
                <w:szCs w:val="21"/>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91" w:type="dxa"/>
            <w:vAlign w:val="center"/>
          </w:tcPr>
          <w:p>
            <w:pPr>
              <w:spacing w:line="240" w:lineRule="exact"/>
              <w:jc w:val="center"/>
              <w:rPr>
                <w:rFonts w:ascii="仿宋" w:hAnsi="仿宋" w:eastAsia="仿宋" w:cs="仿宋"/>
                <w:bCs/>
                <w:szCs w:val="21"/>
              </w:rPr>
            </w:pPr>
            <w:r>
              <w:rPr>
                <w:rFonts w:ascii="仿宋" w:hAnsi="仿宋" w:eastAsia="仿宋" w:cs="仿宋"/>
                <w:bCs/>
                <w:szCs w:val="21"/>
              </w:rPr>
              <w:t>较敏感</w:t>
            </w:r>
          </w:p>
        </w:tc>
        <w:tc>
          <w:tcPr>
            <w:tcW w:w="7508" w:type="dxa"/>
            <w:vAlign w:val="center"/>
          </w:tcPr>
          <w:p>
            <w:pPr>
              <w:spacing w:line="240" w:lineRule="exact"/>
              <w:jc w:val="center"/>
              <w:rPr>
                <w:rFonts w:ascii="仿宋" w:hAnsi="仿宋" w:eastAsia="仿宋" w:cs="仿宋"/>
                <w:bCs/>
                <w:szCs w:val="21"/>
              </w:rPr>
            </w:pPr>
            <w:r>
              <w:rPr>
                <w:rFonts w:ascii="仿宋" w:hAnsi="仿宋" w:eastAsia="仿宋" w:cs="仿宋"/>
                <w:bCs/>
                <w:szCs w:val="21"/>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91" w:type="dxa"/>
            <w:shd w:val="clear" w:color="auto" w:fill="E0E0E0"/>
            <w:vAlign w:val="center"/>
          </w:tcPr>
          <w:p>
            <w:pPr>
              <w:spacing w:line="240" w:lineRule="exact"/>
              <w:jc w:val="center"/>
              <w:rPr>
                <w:rFonts w:ascii="仿宋" w:hAnsi="仿宋" w:eastAsia="仿宋" w:cs="仿宋"/>
                <w:bCs/>
                <w:szCs w:val="21"/>
              </w:rPr>
            </w:pPr>
            <w:r>
              <w:rPr>
                <w:rFonts w:ascii="仿宋" w:hAnsi="仿宋" w:eastAsia="仿宋" w:cs="仿宋"/>
                <w:bCs/>
                <w:szCs w:val="21"/>
              </w:rPr>
              <w:t>不敏感</w:t>
            </w:r>
          </w:p>
        </w:tc>
        <w:tc>
          <w:tcPr>
            <w:tcW w:w="7508" w:type="dxa"/>
            <w:shd w:val="clear" w:color="auto" w:fill="E0E0E0"/>
            <w:vAlign w:val="center"/>
          </w:tcPr>
          <w:p>
            <w:pPr>
              <w:spacing w:line="240" w:lineRule="exact"/>
              <w:jc w:val="center"/>
              <w:rPr>
                <w:rFonts w:ascii="仿宋" w:hAnsi="仿宋" w:eastAsia="仿宋" w:cs="仿宋"/>
                <w:bCs/>
                <w:szCs w:val="21"/>
              </w:rPr>
            </w:pPr>
            <w:r>
              <w:rPr>
                <w:rFonts w:ascii="仿宋" w:hAnsi="仿宋" w:eastAsia="仿宋" w:cs="仿宋"/>
                <w:bCs/>
                <w:szCs w:val="21"/>
              </w:rPr>
              <w:t>上述地区之外的其它地区</w:t>
            </w:r>
          </w:p>
        </w:tc>
      </w:tr>
    </w:tbl>
    <w:p>
      <w:pPr>
        <w:spacing w:line="500" w:lineRule="exact"/>
        <w:jc w:val="center"/>
        <w:rPr>
          <w:rFonts w:eastAsia="仿宋_GB2312"/>
          <w:b/>
          <w:bCs/>
          <w:sz w:val="24"/>
        </w:rPr>
      </w:pPr>
      <w:r>
        <w:rPr>
          <w:rFonts w:eastAsia="仿宋_GB2312"/>
          <w:b/>
          <w:bCs/>
          <w:sz w:val="24"/>
        </w:rPr>
        <w:t>表2.4-8  评价工作等级分级表</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40"/>
        <w:gridCol w:w="2201"/>
        <w:gridCol w:w="2201"/>
        <w:gridCol w:w="2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4" w:type="dxa"/>
            <w:tcBorders>
              <w:tl2br w:val="single" w:color="auto" w:sz="4" w:space="0"/>
            </w:tcBorders>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项目类别</w:t>
            </w:r>
          </w:p>
          <w:p>
            <w:pPr>
              <w:spacing w:line="240" w:lineRule="exact"/>
              <w:jc w:val="center"/>
              <w:rPr>
                <w:rFonts w:ascii="仿宋" w:hAnsi="仿宋" w:eastAsia="仿宋" w:cs="仿宋"/>
                <w:bCs/>
                <w:szCs w:val="21"/>
              </w:rPr>
            </w:pPr>
            <w:r>
              <w:rPr>
                <w:rFonts w:ascii="仿宋" w:hAnsi="仿宋" w:eastAsia="仿宋" w:cs="仿宋"/>
                <w:bCs/>
                <w:szCs w:val="21"/>
              </w:rPr>
              <w:t>环境敏感程度</w:t>
            </w:r>
          </w:p>
        </w:tc>
        <w:tc>
          <w:tcPr>
            <w:tcW w:w="2163"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Ⅰ</w:t>
            </w:r>
            <w:r>
              <w:rPr>
                <w:rFonts w:ascii="仿宋" w:hAnsi="仿宋" w:eastAsia="仿宋" w:cs="仿宋"/>
                <w:bCs/>
                <w:szCs w:val="21"/>
              </w:rPr>
              <w:t>类项目</w:t>
            </w:r>
          </w:p>
        </w:tc>
        <w:tc>
          <w:tcPr>
            <w:tcW w:w="2163"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Ⅱ</w:t>
            </w:r>
            <w:r>
              <w:rPr>
                <w:rFonts w:ascii="仿宋" w:hAnsi="仿宋" w:eastAsia="仿宋" w:cs="仿宋"/>
                <w:bCs/>
                <w:szCs w:val="21"/>
              </w:rPr>
              <w:t>类项目</w:t>
            </w:r>
          </w:p>
        </w:tc>
        <w:tc>
          <w:tcPr>
            <w:tcW w:w="2163"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Ⅲ</w:t>
            </w:r>
            <w:r>
              <w:rPr>
                <w:rFonts w:ascii="仿宋" w:hAnsi="仿宋" w:eastAsia="仿宋" w:cs="仿宋"/>
                <w:bCs/>
                <w:szCs w:val="21"/>
              </w:rPr>
              <w:t>类项目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4" w:type="dxa"/>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敏感</w:t>
            </w:r>
          </w:p>
        </w:tc>
        <w:tc>
          <w:tcPr>
            <w:tcW w:w="2163" w:type="dxa"/>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一</w:t>
            </w:r>
          </w:p>
        </w:tc>
        <w:tc>
          <w:tcPr>
            <w:tcW w:w="2163" w:type="dxa"/>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一</w:t>
            </w:r>
          </w:p>
        </w:tc>
        <w:tc>
          <w:tcPr>
            <w:tcW w:w="2163" w:type="dxa"/>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4" w:type="dxa"/>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较敏感</w:t>
            </w:r>
          </w:p>
        </w:tc>
        <w:tc>
          <w:tcPr>
            <w:tcW w:w="2163" w:type="dxa"/>
            <w:tcBorders>
              <w:bottom w:val="single" w:color="auto" w:sz="4" w:space="0"/>
            </w:tcBorders>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一</w:t>
            </w:r>
          </w:p>
        </w:tc>
        <w:tc>
          <w:tcPr>
            <w:tcW w:w="2163" w:type="dxa"/>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二</w:t>
            </w:r>
          </w:p>
        </w:tc>
        <w:tc>
          <w:tcPr>
            <w:tcW w:w="2163" w:type="dxa"/>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4" w:type="dxa"/>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不敏感</w:t>
            </w:r>
          </w:p>
        </w:tc>
        <w:tc>
          <w:tcPr>
            <w:tcW w:w="2163" w:type="dxa"/>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二</w:t>
            </w:r>
          </w:p>
        </w:tc>
        <w:tc>
          <w:tcPr>
            <w:tcW w:w="2163" w:type="dxa"/>
            <w:shd w:val="clear" w:color="auto" w:fill="D7D7D7" w:themeFill="background1" w:themeFillShade="D8"/>
            <w:vAlign w:val="center"/>
          </w:tcPr>
          <w:p>
            <w:pPr>
              <w:spacing w:line="240" w:lineRule="exact"/>
              <w:jc w:val="center"/>
              <w:rPr>
                <w:rFonts w:ascii="仿宋" w:hAnsi="仿宋" w:eastAsia="仿宋" w:cs="仿宋"/>
                <w:bCs/>
                <w:szCs w:val="21"/>
              </w:rPr>
            </w:pPr>
            <w:r>
              <w:rPr>
                <w:rFonts w:ascii="仿宋" w:hAnsi="仿宋" w:eastAsia="仿宋" w:cs="仿宋"/>
                <w:bCs/>
                <w:szCs w:val="21"/>
              </w:rPr>
              <w:t>三</w:t>
            </w:r>
          </w:p>
        </w:tc>
        <w:tc>
          <w:tcPr>
            <w:tcW w:w="2163" w:type="dxa"/>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三</w:t>
            </w:r>
          </w:p>
        </w:tc>
      </w:tr>
    </w:tbl>
    <w:p>
      <w:pPr>
        <w:spacing w:line="500" w:lineRule="exact"/>
        <w:ind w:firstLine="560" w:firstLineChars="200"/>
        <w:rPr>
          <w:rFonts w:eastAsia="仿宋_GB2312"/>
          <w:sz w:val="28"/>
          <w:szCs w:val="28"/>
        </w:rPr>
      </w:pPr>
      <w:r>
        <w:rPr>
          <w:rFonts w:hint="eastAsia" w:eastAsia="仿宋_GB2312"/>
          <w:sz w:val="28"/>
          <w:szCs w:val="28"/>
        </w:rPr>
        <w:t>根据</w:t>
      </w:r>
      <w:r>
        <w:rPr>
          <w:rFonts w:eastAsia="仿宋_GB2312"/>
          <w:sz w:val="28"/>
          <w:szCs w:val="28"/>
        </w:rPr>
        <w:t>上表判定，本项目地下水评价等级为三级。</w:t>
      </w:r>
    </w:p>
    <w:p>
      <w:pPr>
        <w:spacing w:line="500" w:lineRule="exact"/>
        <w:ind w:firstLine="560" w:firstLineChars="200"/>
        <w:rPr>
          <w:rFonts w:eastAsia="仿宋_GB2312"/>
          <w:sz w:val="28"/>
          <w:szCs w:val="28"/>
        </w:rPr>
      </w:pPr>
      <w:r>
        <w:rPr>
          <w:rFonts w:hint="eastAsia" w:eastAsia="仿宋_GB2312"/>
          <w:sz w:val="28"/>
          <w:szCs w:val="28"/>
        </w:rPr>
        <w:t>（4）土壤评价</w:t>
      </w:r>
      <w:r>
        <w:rPr>
          <w:rFonts w:eastAsia="仿宋_GB2312"/>
          <w:sz w:val="28"/>
          <w:szCs w:val="28"/>
        </w:rPr>
        <w:t>等级</w:t>
      </w:r>
    </w:p>
    <w:p>
      <w:pPr>
        <w:spacing w:line="490" w:lineRule="exact"/>
        <w:ind w:firstLine="560" w:firstLineChars="200"/>
        <w:rPr>
          <w:rFonts w:eastAsia="仿宋_GB2312"/>
          <w:sz w:val="28"/>
          <w:szCs w:val="28"/>
        </w:rPr>
      </w:pPr>
      <w:r>
        <w:rPr>
          <w:rFonts w:eastAsia="仿宋_GB2312"/>
          <w:sz w:val="28"/>
          <w:szCs w:val="28"/>
        </w:rPr>
        <w:t>根据土壤环境敏感程度（见表2.4-9）和建设项目所属的行业类别及项目占地规模确定土壤评价工作等级（见表2.4-10）。</w:t>
      </w:r>
    </w:p>
    <w:p>
      <w:pPr>
        <w:spacing w:line="500" w:lineRule="exact"/>
        <w:jc w:val="center"/>
        <w:rPr>
          <w:rFonts w:eastAsia="仿宋_GB2312"/>
          <w:b/>
          <w:bCs/>
          <w:sz w:val="24"/>
        </w:rPr>
      </w:pPr>
      <w:r>
        <w:rPr>
          <w:rFonts w:eastAsia="仿宋_GB2312"/>
          <w:b/>
          <w:bCs/>
          <w:sz w:val="24"/>
        </w:rPr>
        <w:t>表2.4-</w:t>
      </w:r>
      <w:r>
        <w:rPr>
          <w:rFonts w:hint="eastAsia" w:eastAsia="仿宋_GB2312"/>
          <w:b/>
          <w:bCs/>
          <w:sz w:val="24"/>
        </w:rPr>
        <w:t>9</w:t>
      </w:r>
      <w:r>
        <w:rPr>
          <w:rFonts w:eastAsia="仿宋_GB2312"/>
          <w:b/>
          <w:bCs/>
          <w:sz w:val="24"/>
        </w:rPr>
        <w:t xml:space="preserve">  土壤环境敏感程度分级表</w:t>
      </w:r>
    </w:p>
    <w:tbl>
      <w:tblPr>
        <w:tblStyle w:val="87"/>
        <w:tblW w:w="8522"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42"/>
        <w:gridCol w:w="728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242" w:type="dxa"/>
            <w:tcBorders>
              <w:bottom w:val="single" w:color="auto" w:sz="6" w:space="0"/>
            </w:tcBorders>
            <w:shd w:val="clear" w:color="auto" w:fill="auto"/>
          </w:tcPr>
          <w:p>
            <w:pPr>
              <w:spacing w:line="240" w:lineRule="exact"/>
              <w:jc w:val="center"/>
              <w:rPr>
                <w:rFonts w:ascii="仿宋" w:hAnsi="仿宋" w:eastAsia="仿宋" w:cs="仿宋"/>
                <w:bCs/>
                <w:szCs w:val="21"/>
              </w:rPr>
            </w:pPr>
            <w:r>
              <w:rPr>
                <w:rFonts w:ascii="仿宋" w:hAnsi="仿宋" w:eastAsia="仿宋" w:cs="仿宋"/>
                <w:bCs/>
                <w:szCs w:val="21"/>
              </w:rPr>
              <w:t>敏感程度</w:t>
            </w:r>
          </w:p>
        </w:tc>
        <w:tc>
          <w:tcPr>
            <w:tcW w:w="7280" w:type="dxa"/>
            <w:tcBorders>
              <w:bottom w:val="single" w:color="auto" w:sz="6" w:space="0"/>
            </w:tcBorders>
            <w:shd w:val="clear" w:color="auto" w:fill="auto"/>
          </w:tcPr>
          <w:p>
            <w:pPr>
              <w:spacing w:line="240" w:lineRule="exact"/>
              <w:jc w:val="center"/>
              <w:rPr>
                <w:rFonts w:ascii="仿宋" w:hAnsi="仿宋" w:eastAsia="仿宋" w:cs="仿宋"/>
                <w:bCs/>
                <w:szCs w:val="21"/>
              </w:rPr>
            </w:pPr>
            <w:r>
              <w:rPr>
                <w:rFonts w:ascii="仿宋" w:hAnsi="仿宋" w:eastAsia="仿宋" w:cs="仿宋"/>
                <w:bCs/>
                <w:szCs w:val="21"/>
              </w:rPr>
              <w:t>土壤环境敏感特征</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242" w:type="dxa"/>
            <w:tcBorders>
              <w:bottom w:val="single" w:color="auto" w:sz="6" w:space="0"/>
            </w:tcBorders>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敏感</w:t>
            </w:r>
          </w:p>
        </w:tc>
        <w:tc>
          <w:tcPr>
            <w:tcW w:w="7280" w:type="dxa"/>
            <w:tcBorders>
              <w:bottom w:val="single" w:color="auto" w:sz="6" w:space="0"/>
            </w:tcBorders>
            <w:shd w:val="clear" w:color="auto" w:fill="auto"/>
            <w:vAlign w:val="center"/>
          </w:tcPr>
          <w:p>
            <w:pPr>
              <w:adjustRightInd w:val="0"/>
              <w:snapToGrid w:val="0"/>
              <w:spacing w:line="240" w:lineRule="exact"/>
              <w:jc w:val="left"/>
              <w:rPr>
                <w:rFonts w:ascii="仿宋" w:hAnsi="仿宋" w:eastAsia="仿宋" w:cs="仿宋"/>
                <w:bCs/>
                <w:szCs w:val="21"/>
              </w:rPr>
            </w:pPr>
            <w:r>
              <w:rPr>
                <w:rFonts w:ascii="仿宋" w:hAnsi="仿宋" w:eastAsia="仿宋" w:cs="仿宋"/>
                <w:bCs/>
                <w:szCs w:val="21"/>
              </w:rPr>
              <w:t>建设项目周边存在耕地、集中区、牧草地、饮用水水源地或居民区、学校、医院、疗养院等土壤环境敏感目标的</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242" w:type="dxa"/>
            <w:tcBorders>
              <w:bottom w:val="single" w:color="auto" w:sz="6" w:space="0"/>
            </w:tcBorders>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较敏感</w:t>
            </w:r>
          </w:p>
        </w:tc>
        <w:tc>
          <w:tcPr>
            <w:tcW w:w="7280" w:type="dxa"/>
            <w:tcBorders>
              <w:bottom w:val="single" w:color="auto" w:sz="6" w:space="0"/>
            </w:tcBorders>
            <w:shd w:val="clear" w:color="auto" w:fill="auto"/>
            <w:vAlign w:val="center"/>
          </w:tcPr>
          <w:p>
            <w:pPr>
              <w:adjustRightInd w:val="0"/>
              <w:snapToGrid w:val="0"/>
              <w:spacing w:line="240" w:lineRule="exact"/>
              <w:jc w:val="left"/>
              <w:rPr>
                <w:rFonts w:ascii="仿宋" w:hAnsi="仿宋" w:eastAsia="仿宋" w:cs="仿宋"/>
                <w:bCs/>
                <w:szCs w:val="21"/>
              </w:rPr>
            </w:pPr>
            <w:r>
              <w:rPr>
                <w:rFonts w:ascii="仿宋" w:hAnsi="仿宋" w:eastAsia="仿宋" w:cs="仿宋"/>
                <w:bCs/>
                <w:szCs w:val="21"/>
              </w:rPr>
              <w:t>建设项目周边存在其他土壤环境敏感目标的</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242" w:type="dxa"/>
            <w:shd w:val="pct20" w:color="auto" w:fill="FFFFFF" w:themeFill="background1"/>
            <w:vAlign w:val="center"/>
          </w:tcPr>
          <w:p>
            <w:pPr>
              <w:spacing w:line="240" w:lineRule="exact"/>
              <w:jc w:val="center"/>
              <w:rPr>
                <w:rFonts w:ascii="仿宋" w:hAnsi="仿宋" w:eastAsia="仿宋" w:cs="仿宋"/>
                <w:bCs/>
                <w:szCs w:val="21"/>
              </w:rPr>
            </w:pPr>
            <w:r>
              <w:rPr>
                <w:rFonts w:ascii="仿宋" w:hAnsi="仿宋" w:eastAsia="仿宋" w:cs="仿宋"/>
                <w:bCs/>
                <w:szCs w:val="21"/>
              </w:rPr>
              <w:t>不敏感</w:t>
            </w:r>
          </w:p>
        </w:tc>
        <w:tc>
          <w:tcPr>
            <w:tcW w:w="7280" w:type="dxa"/>
            <w:shd w:val="pct20" w:color="auto" w:fill="FFFFFF" w:themeFill="background1"/>
            <w:vAlign w:val="center"/>
          </w:tcPr>
          <w:p>
            <w:pPr>
              <w:adjustRightInd w:val="0"/>
              <w:snapToGrid w:val="0"/>
              <w:spacing w:line="240" w:lineRule="exact"/>
              <w:jc w:val="left"/>
              <w:rPr>
                <w:rFonts w:ascii="仿宋" w:hAnsi="仿宋" w:eastAsia="仿宋" w:cs="仿宋"/>
                <w:bCs/>
                <w:szCs w:val="21"/>
              </w:rPr>
            </w:pPr>
            <w:r>
              <w:rPr>
                <w:rFonts w:ascii="仿宋" w:hAnsi="仿宋" w:eastAsia="仿宋" w:cs="仿宋"/>
                <w:bCs/>
                <w:szCs w:val="21"/>
              </w:rPr>
              <w:t>其他情况</w:t>
            </w:r>
          </w:p>
        </w:tc>
      </w:tr>
    </w:tbl>
    <w:p>
      <w:pPr>
        <w:spacing w:line="500" w:lineRule="exact"/>
        <w:jc w:val="center"/>
        <w:rPr>
          <w:rFonts w:eastAsia="仿宋_GB2312"/>
          <w:b/>
          <w:bCs/>
          <w:sz w:val="24"/>
        </w:rPr>
      </w:pPr>
      <w:r>
        <w:rPr>
          <w:rFonts w:eastAsia="仿宋_GB2312"/>
          <w:b/>
          <w:bCs/>
          <w:sz w:val="24"/>
        </w:rPr>
        <w:t>表2.4-</w:t>
      </w:r>
      <w:r>
        <w:rPr>
          <w:rFonts w:hint="eastAsia" w:eastAsia="仿宋_GB2312"/>
          <w:b/>
          <w:bCs/>
          <w:sz w:val="24"/>
        </w:rPr>
        <w:t>10</w:t>
      </w:r>
      <w:r>
        <w:rPr>
          <w:rFonts w:eastAsia="仿宋_GB2312"/>
          <w:b/>
          <w:bCs/>
          <w:sz w:val="24"/>
        </w:rPr>
        <w:t xml:space="preserve">  评价工作等级分级表</w:t>
      </w:r>
    </w:p>
    <w:tbl>
      <w:tblPr>
        <w:tblStyle w:val="87"/>
        <w:tblW w:w="852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08"/>
        <w:gridCol w:w="727"/>
        <w:gridCol w:w="708"/>
        <w:gridCol w:w="645"/>
        <w:gridCol w:w="824"/>
        <w:gridCol w:w="826"/>
        <w:gridCol w:w="827"/>
        <w:gridCol w:w="824"/>
        <w:gridCol w:w="824"/>
        <w:gridCol w:w="81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1508" w:type="dxa"/>
            <w:vMerge w:val="restart"/>
            <w:tcBorders>
              <w:top w:val="single" w:color="auto" w:sz="6" w:space="0"/>
              <w:left w:val="single" w:color="auto" w:sz="6" w:space="0"/>
              <w:bottom w:val="single" w:color="auto" w:sz="6" w:space="0"/>
              <w:tl2br w:val="single" w:color="auto" w:sz="4" w:space="0"/>
            </w:tcBorders>
            <w:shd w:val="clear" w:color="auto" w:fill="auto"/>
            <w:vAlign w:val="center"/>
          </w:tcPr>
          <w:p>
            <w:pPr>
              <w:spacing w:line="320" w:lineRule="exact"/>
              <w:ind w:firstLine="540" w:firstLineChars="300"/>
              <w:jc w:val="left"/>
              <w:rPr>
                <w:rFonts w:eastAsia="仿宋_GB2312"/>
                <w:sz w:val="18"/>
                <w:szCs w:val="18"/>
              </w:rPr>
            </w:pPr>
            <w:r>
              <w:rPr>
                <w:rFonts w:eastAsia="仿宋_GB2312"/>
                <w:sz w:val="18"/>
                <w:szCs w:val="18"/>
              </w:rPr>
              <w:t>评价等级</w:t>
            </w:r>
          </w:p>
          <w:p>
            <w:pPr>
              <w:spacing w:line="320" w:lineRule="exact"/>
              <w:jc w:val="left"/>
              <w:rPr>
                <w:rFonts w:eastAsia="仿宋_GB2312"/>
                <w:sz w:val="18"/>
                <w:szCs w:val="18"/>
              </w:rPr>
            </w:pPr>
            <w:r>
              <w:rPr>
                <w:rFonts w:eastAsia="仿宋_GB2312"/>
                <w:sz w:val="18"/>
                <w:szCs w:val="18"/>
              </w:rPr>
              <w:t>敏感程度</w:t>
            </w:r>
          </w:p>
          <w:p>
            <w:pPr>
              <w:spacing w:line="320" w:lineRule="exact"/>
              <w:jc w:val="center"/>
              <w:rPr>
                <w:rFonts w:eastAsia="仿宋_GB2312"/>
                <w:szCs w:val="21"/>
              </w:rPr>
            </w:pPr>
          </w:p>
        </w:tc>
        <w:tc>
          <w:tcPr>
            <w:tcW w:w="2080" w:type="dxa"/>
            <w:gridSpan w:val="3"/>
            <w:tcBorders>
              <w:top w:val="single" w:color="auto" w:sz="6" w:space="0"/>
              <w:bottom w:val="single" w:color="auto" w:sz="6" w:space="0"/>
            </w:tcBorders>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Ⅰ</w:t>
            </w:r>
            <w:r>
              <w:rPr>
                <w:rFonts w:ascii="仿宋" w:hAnsi="仿宋" w:eastAsia="仿宋" w:cs="仿宋"/>
                <w:bCs/>
                <w:szCs w:val="21"/>
              </w:rPr>
              <w:t>类项目</w:t>
            </w:r>
          </w:p>
        </w:tc>
        <w:tc>
          <w:tcPr>
            <w:tcW w:w="2477" w:type="dxa"/>
            <w:gridSpan w:val="3"/>
            <w:tcBorders>
              <w:top w:val="single" w:color="auto" w:sz="6" w:space="0"/>
              <w:bottom w:val="single" w:color="auto" w:sz="6" w:space="0"/>
            </w:tcBorders>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Ⅱ</w:t>
            </w:r>
            <w:r>
              <w:rPr>
                <w:rFonts w:ascii="仿宋" w:hAnsi="仿宋" w:eastAsia="仿宋" w:cs="仿宋"/>
                <w:bCs/>
                <w:szCs w:val="21"/>
              </w:rPr>
              <w:t>类项目</w:t>
            </w:r>
          </w:p>
        </w:tc>
        <w:tc>
          <w:tcPr>
            <w:tcW w:w="2463" w:type="dxa"/>
            <w:gridSpan w:val="3"/>
            <w:tcBorders>
              <w:top w:val="single" w:color="auto" w:sz="6" w:space="0"/>
              <w:bottom w:val="single" w:color="auto" w:sz="6" w:space="0"/>
              <w:right w:val="single" w:color="auto" w:sz="6" w:space="0"/>
            </w:tcBorders>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Ⅲ</w:t>
            </w:r>
            <w:r>
              <w:rPr>
                <w:rFonts w:ascii="仿宋" w:hAnsi="仿宋" w:eastAsia="仿宋" w:cs="仿宋"/>
                <w:bCs/>
                <w:szCs w:val="21"/>
              </w:rPr>
              <w:t>类项目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1508" w:type="dxa"/>
            <w:vMerge w:val="continue"/>
            <w:tcBorders>
              <w:top w:val="single" w:color="auto" w:sz="6" w:space="0"/>
              <w:left w:val="single" w:color="auto" w:sz="6" w:space="0"/>
              <w:bottom w:val="single" w:color="auto" w:sz="6" w:space="0"/>
              <w:tl2br w:val="single" w:color="auto" w:sz="4" w:space="0"/>
            </w:tcBorders>
            <w:shd w:val="clear" w:color="auto" w:fill="auto"/>
            <w:vAlign w:val="center"/>
          </w:tcPr>
          <w:p>
            <w:pPr>
              <w:spacing w:line="320" w:lineRule="exact"/>
              <w:jc w:val="center"/>
              <w:rPr>
                <w:rFonts w:eastAsia="仿宋_GB2312"/>
                <w:szCs w:val="21"/>
              </w:rPr>
            </w:pPr>
          </w:p>
        </w:tc>
        <w:tc>
          <w:tcPr>
            <w:tcW w:w="727" w:type="dxa"/>
            <w:tcBorders>
              <w:top w:val="single" w:color="auto" w:sz="6" w:space="0"/>
              <w:bottom w:val="single" w:color="auto" w:sz="6" w:space="0"/>
            </w:tcBorders>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大</w:t>
            </w:r>
          </w:p>
        </w:tc>
        <w:tc>
          <w:tcPr>
            <w:tcW w:w="708" w:type="dxa"/>
            <w:tcBorders>
              <w:top w:val="single" w:color="auto" w:sz="6" w:space="0"/>
              <w:bottom w:val="single" w:color="auto" w:sz="6" w:space="0"/>
            </w:tcBorders>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中</w:t>
            </w:r>
          </w:p>
        </w:tc>
        <w:tc>
          <w:tcPr>
            <w:tcW w:w="645" w:type="dxa"/>
            <w:tcBorders>
              <w:top w:val="single" w:color="auto" w:sz="6" w:space="0"/>
              <w:bottom w:val="single" w:color="auto" w:sz="6" w:space="0"/>
            </w:tcBorders>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小</w:t>
            </w:r>
          </w:p>
        </w:tc>
        <w:tc>
          <w:tcPr>
            <w:tcW w:w="824" w:type="dxa"/>
            <w:tcBorders>
              <w:top w:val="single" w:color="auto" w:sz="6" w:space="0"/>
              <w:bottom w:val="single" w:color="auto" w:sz="6" w:space="0"/>
            </w:tcBorders>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大</w:t>
            </w:r>
          </w:p>
        </w:tc>
        <w:tc>
          <w:tcPr>
            <w:tcW w:w="826" w:type="dxa"/>
            <w:tcBorders>
              <w:top w:val="single" w:color="auto" w:sz="6" w:space="0"/>
              <w:bottom w:val="single" w:color="auto" w:sz="6" w:space="0"/>
            </w:tcBorders>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中</w:t>
            </w:r>
          </w:p>
        </w:tc>
        <w:tc>
          <w:tcPr>
            <w:tcW w:w="827" w:type="dxa"/>
            <w:tcBorders>
              <w:top w:val="single" w:color="auto" w:sz="6" w:space="0"/>
              <w:bottom w:val="single" w:color="auto" w:sz="6" w:space="0"/>
            </w:tcBorders>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小</w:t>
            </w:r>
          </w:p>
        </w:tc>
        <w:tc>
          <w:tcPr>
            <w:tcW w:w="824" w:type="dxa"/>
            <w:tcBorders>
              <w:top w:val="single" w:color="auto" w:sz="6" w:space="0"/>
              <w:bottom w:val="single" w:color="auto" w:sz="6" w:space="0"/>
            </w:tcBorders>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大</w:t>
            </w:r>
          </w:p>
        </w:tc>
        <w:tc>
          <w:tcPr>
            <w:tcW w:w="824" w:type="dxa"/>
            <w:tcBorders>
              <w:top w:val="single" w:color="auto" w:sz="6" w:space="0"/>
              <w:bottom w:val="single" w:color="auto" w:sz="6" w:space="0"/>
            </w:tcBorders>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中</w:t>
            </w:r>
          </w:p>
        </w:tc>
        <w:tc>
          <w:tcPr>
            <w:tcW w:w="815" w:type="dxa"/>
            <w:tcBorders>
              <w:top w:val="single" w:color="auto" w:sz="6" w:space="0"/>
              <w:bottom w:val="single" w:color="auto" w:sz="6" w:space="0"/>
              <w:right w:val="single" w:color="auto" w:sz="6" w:space="0"/>
            </w:tcBorders>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1508" w:type="dxa"/>
            <w:tcBorders>
              <w:top w:val="single" w:color="auto" w:sz="6" w:space="0"/>
              <w:left w:val="single" w:color="auto" w:sz="6" w:space="0"/>
              <w:bottom w:val="single" w:color="auto" w:sz="6" w:space="0"/>
            </w:tcBorders>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敏感</w:t>
            </w:r>
          </w:p>
        </w:tc>
        <w:tc>
          <w:tcPr>
            <w:tcW w:w="727" w:type="dxa"/>
            <w:tcBorders>
              <w:top w:val="single" w:color="auto" w:sz="6" w:space="0"/>
              <w:bottom w:val="single" w:color="auto" w:sz="6" w:space="0"/>
            </w:tcBorders>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一级</w:t>
            </w:r>
          </w:p>
        </w:tc>
        <w:tc>
          <w:tcPr>
            <w:tcW w:w="708" w:type="dxa"/>
            <w:tcBorders>
              <w:top w:val="single" w:color="auto" w:sz="6" w:space="0"/>
              <w:bottom w:val="single" w:color="auto" w:sz="6" w:space="0"/>
            </w:tcBorders>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一级</w:t>
            </w:r>
          </w:p>
        </w:tc>
        <w:tc>
          <w:tcPr>
            <w:tcW w:w="645" w:type="dxa"/>
            <w:tcBorders>
              <w:top w:val="single" w:color="auto" w:sz="6" w:space="0"/>
              <w:bottom w:val="single" w:color="auto" w:sz="6" w:space="0"/>
            </w:tcBorders>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一级</w:t>
            </w:r>
          </w:p>
        </w:tc>
        <w:tc>
          <w:tcPr>
            <w:tcW w:w="824" w:type="dxa"/>
            <w:tcBorders>
              <w:top w:val="single" w:color="auto" w:sz="6" w:space="0"/>
              <w:bottom w:val="single" w:color="auto" w:sz="6" w:space="0"/>
            </w:tcBorders>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二级</w:t>
            </w:r>
          </w:p>
        </w:tc>
        <w:tc>
          <w:tcPr>
            <w:tcW w:w="826" w:type="dxa"/>
            <w:tcBorders>
              <w:top w:val="single" w:color="auto" w:sz="6" w:space="0"/>
              <w:bottom w:val="single" w:color="auto" w:sz="6" w:space="0"/>
            </w:tcBorders>
            <w:shd w:val="clear" w:color="auto" w:fill="auto"/>
          </w:tcPr>
          <w:p>
            <w:pPr>
              <w:spacing w:line="240" w:lineRule="exact"/>
              <w:jc w:val="center"/>
              <w:rPr>
                <w:rFonts w:ascii="仿宋" w:hAnsi="仿宋" w:eastAsia="仿宋" w:cs="仿宋"/>
                <w:bCs/>
                <w:szCs w:val="21"/>
              </w:rPr>
            </w:pPr>
            <w:r>
              <w:rPr>
                <w:rFonts w:ascii="仿宋" w:hAnsi="仿宋" w:eastAsia="仿宋" w:cs="仿宋"/>
                <w:bCs/>
                <w:szCs w:val="21"/>
              </w:rPr>
              <w:t>二级</w:t>
            </w:r>
          </w:p>
        </w:tc>
        <w:tc>
          <w:tcPr>
            <w:tcW w:w="827" w:type="dxa"/>
            <w:tcBorders>
              <w:top w:val="single" w:color="auto" w:sz="6" w:space="0"/>
              <w:bottom w:val="single" w:color="auto" w:sz="6" w:space="0"/>
            </w:tcBorders>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二级</w:t>
            </w:r>
          </w:p>
        </w:tc>
        <w:tc>
          <w:tcPr>
            <w:tcW w:w="824" w:type="dxa"/>
            <w:tcBorders>
              <w:top w:val="single" w:color="auto" w:sz="6" w:space="0"/>
              <w:bottom w:val="single" w:color="auto" w:sz="6" w:space="0"/>
            </w:tcBorders>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三级</w:t>
            </w:r>
          </w:p>
        </w:tc>
        <w:tc>
          <w:tcPr>
            <w:tcW w:w="824" w:type="dxa"/>
            <w:tcBorders>
              <w:top w:val="single" w:color="auto" w:sz="6" w:space="0"/>
              <w:bottom w:val="single" w:color="auto" w:sz="6" w:space="0"/>
            </w:tcBorders>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三级</w:t>
            </w:r>
          </w:p>
        </w:tc>
        <w:tc>
          <w:tcPr>
            <w:tcW w:w="815" w:type="dxa"/>
            <w:tcBorders>
              <w:top w:val="single" w:color="auto" w:sz="6" w:space="0"/>
              <w:bottom w:val="single" w:color="auto" w:sz="6" w:space="0"/>
              <w:right w:val="single" w:color="auto" w:sz="6" w:space="0"/>
            </w:tcBorders>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1508" w:type="dxa"/>
            <w:tcBorders>
              <w:top w:val="single" w:color="auto" w:sz="6" w:space="0"/>
              <w:left w:val="single" w:color="auto" w:sz="6" w:space="0"/>
              <w:bottom w:val="single" w:color="auto" w:sz="6" w:space="0"/>
            </w:tcBorders>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较敏感</w:t>
            </w:r>
          </w:p>
        </w:tc>
        <w:tc>
          <w:tcPr>
            <w:tcW w:w="727" w:type="dxa"/>
            <w:tcBorders>
              <w:top w:val="single" w:color="auto" w:sz="6" w:space="0"/>
              <w:bottom w:val="single" w:color="auto" w:sz="6" w:space="0"/>
            </w:tcBorders>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一级</w:t>
            </w:r>
          </w:p>
        </w:tc>
        <w:tc>
          <w:tcPr>
            <w:tcW w:w="708" w:type="dxa"/>
            <w:tcBorders>
              <w:top w:val="single" w:color="auto" w:sz="6" w:space="0"/>
              <w:bottom w:val="single" w:color="auto" w:sz="6" w:space="0"/>
            </w:tcBorders>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一级</w:t>
            </w:r>
          </w:p>
        </w:tc>
        <w:tc>
          <w:tcPr>
            <w:tcW w:w="645" w:type="dxa"/>
            <w:tcBorders>
              <w:top w:val="single" w:color="auto" w:sz="6" w:space="0"/>
              <w:bottom w:val="single" w:color="auto" w:sz="6" w:space="0"/>
            </w:tcBorders>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二级</w:t>
            </w:r>
          </w:p>
        </w:tc>
        <w:tc>
          <w:tcPr>
            <w:tcW w:w="824" w:type="dxa"/>
            <w:tcBorders>
              <w:top w:val="single" w:color="auto" w:sz="6" w:space="0"/>
              <w:bottom w:val="single" w:color="auto" w:sz="6" w:space="0"/>
            </w:tcBorders>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二级</w:t>
            </w:r>
          </w:p>
        </w:tc>
        <w:tc>
          <w:tcPr>
            <w:tcW w:w="826" w:type="dxa"/>
            <w:tcBorders>
              <w:top w:val="single" w:color="auto" w:sz="6" w:space="0"/>
              <w:bottom w:val="single" w:color="auto" w:sz="6" w:space="0"/>
            </w:tcBorders>
            <w:shd w:val="clear" w:color="auto" w:fill="auto"/>
          </w:tcPr>
          <w:p>
            <w:pPr>
              <w:spacing w:line="240" w:lineRule="exact"/>
              <w:jc w:val="center"/>
              <w:rPr>
                <w:rFonts w:ascii="仿宋" w:hAnsi="仿宋" w:eastAsia="仿宋" w:cs="仿宋"/>
                <w:bCs/>
                <w:szCs w:val="21"/>
              </w:rPr>
            </w:pPr>
            <w:r>
              <w:rPr>
                <w:rFonts w:ascii="仿宋" w:hAnsi="仿宋" w:eastAsia="仿宋" w:cs="仿宋"/>
                <w:bCs/>
                <w:szCs w:val="21"/>
              </w:rPr>
              <w:t>二级</w:t>
            </w:r>
          </w:p>
        </w:tc>
        <w:tc>
          <w:tcPr>
            <w:tcW w:w="827" w:type="dxa"/>
            <w:tcBorders>
              <w:top w:val="single" w:color="auto" w:sz="6" w:space="0"/>
              <w:bottom w:val="single" w:color="auto" w:sz="6" w:space="0"/>
            </w:tcBorders>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三级</w:t>
            </w:r>
          </w:p>
        </w:tc>
        <w:tc>
          <w:tcPr>
            <w:tcW w:w="824" w:type="dxa"/>
            <w:tcBorders>
              <w:top w:val="single" w:color="auto" w:sz="6" w:space="0"/>
              <w:bottom w:val="single" w:color="auto" w:sz="6" w:space="0"/>
            </w:tcBorders>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三级</w:t>
            </w:r>
          </w:p>
        </w:tc>
        <w:tc>
          <w:tcPr>
            <w:tcW w:w="824" w:type="dxa"/>
            <w:tcBorders>
              <w:top w:val="single" w:color="auto" w:sz="6" w:space="0"/>
              <w:bottom w:val="single" w:color="auto" w:sz="6" w:space="0"/>
            </w:tcBorders>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三级</w:t>
            </w:r>
          </w:p>
        </w:tc>
        <w:tc>
          <w:tcPr>
            <w:tcW w:w="815" w:type="dxa"/>
            <w:tcBorders>
              <w:top w:val="single" w:color="auto" w:sz="6" w:space="0"/>
              <w:bottom w:val="single" w:color="auto" w:sz="6" w:space="0"/>
              <w:right w:val="single" w:color="auto" w:sz="6" w:space="0"/>
            </w:tcBorders>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1508" w:type="dxa"/>
            <w:tcBorders>
              <w:top w:val="single" w:color="auto" w:sz="6" w:space="0"/>
              <w:left w:val="single" w:color="auto" w:sz="6" w:space="0"/>
              <w:bottom w:val="single" w:color="auto" w:sz="6" w:space="0"/>
            </w:tcBorders>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不敏感</w:t>
            </w:r>
          </w:p>
        </w:tc>
        <w:tc>
          <w:tcPr>
            <w:tcW w:w="727" w:type="dxa"/>
            <w:tcBorders>
              <w:top w:val="single" w:color="auto" w:sz="6" w:space="0"/>
              <w:bottom w:val="single" w:color="auto" w:sz="6" w:space="0"/>
            </w:tcBorders>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一级</w:t>
            </w:r>
          </w:p>
        </w:tc>
        <w:tc>
          <w:tcPr>
            <w:tcW w:w="708" w:type="dxa"/>
            <w:tcBorders>
              <w:top w:val="single" w:color="auto" w:sz="6" w:space="0"/>
              <w:bottom w:val="single" w:color="auto" w:sz="6" w:space="0"/>
            </w:tcBorders>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二级</w:t>
            </w:r>
          </w:p>
        </w:tc>
        <w:tc>
          <w:tcPr>
            <w:tcW w:w="645" w:type="dxa"/>
            <w:tcBorders>
              <w:top w:val="single" w:color="auto" w:sz="6" w:space="0"/>
              <w:bottom w:val="single" w:color="auto" w:sz="6" w:space="0"/>
            </w:tcBorders>
            <w:shd w:val="pct20"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二级</w:t>
            </w:r>
          </w:p>
        </w:tc>
        <w:tc>
          <w:tcPr>
            <w:tcW w:w="824" w:type="dxa"/>
            <w:tcBorders>
              <w:top w:val="single" w:color="auto" w:sz="6" w:space="0"/>
              <w:bottom w:val="single" w:color="auto" w:sz="6" w:space="0"/>
            </w:tcBorders>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二级</w:t>
            </w:r>
          </w:p>
        </w:tc>
        <w:tc>
          <w:tcPr>
            <w:tcW w:w="826" w:type="dxa"/>
            <w:tcBorders>
              <w:top w:val="single" w:color="auto" w:sz="6" w:space="0"/>
              <w:bottom w:val="single" w:color="auto" w:sz="6" w:space="0"/>
            </w:tcBorders>
            <w:shd w:val="clear" w:color="auto" w:fill="auto"/>
          </w:tcPr>
          <w:p>
            <w:pPr>
              <w:spacing w:line="240" w:lineRule="exact"/>
              <w:jc w:val="center"/>
              <w:rPr>
                <w:rFonts w:ascii="仿宋" w:hAnsi="仿宋" w:eastAsia="仿宋" w:cs="仿宋"/>
                <w:bCs/>
                <w:szCs w:val="21"/>
              </w:rPr>
            </w:pPr>
            <w:r>
              <w:rPr>
                <w:rFonts w:ascii="仿宋" w:hAnsi="仿宋" w:eastAsia="仿宋" w:cs="仿宋"/>
                <w:bCs/>
                <w:szCs w:val="21"/>
              </w:rPr>
              <w:t>三级</w:t>
            </w:r>
          </w:p>
        </w:tc>
        <w:tc>
          <w:tcPr>
            <w:tcW w:w="827" w:type="dxa"/>
            <w:tcBorders>
              <w:top w:val="single" w:color="auto" w:sz="6" w:space="0"/>
              <w:bottom w:val="single" w:color="auto" w:sz="6" w:space="0"/>
            </w:tcBorders>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 xml:space="preserve"> </w:t>
            </w:r>
            <w:r>
              <w:rPr>
                <w:rFonts w:ascii="仿宋" w:hAnsi="仿宋" w:eastAsia="仿宋" w:cs="仿宋"/>
                <w:bCs/>
                <w:szCs w:val="21"/>
              </w:rPr>
              <w:t>三级</w:t>
            </w:r>
          </w:p>
        </w:tc>
        <w:tc>
          <w:tcPr>
            <w:tcW w:w="824" w:type="dxa"/>
            <w:tcBorders>
              <w:top w:val="single" w:color="auto" w:sz="6" w:space="0"/>
              <w:bottom w:val="single" w:color="auto" w:sz="6" w:space="0"/>
            </w:tcBorders>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三级</w:t>
            </w:r>
          </w:p>
        </w:tc>
        <w:tc>
          <w:tcPr>
            <w:tcW w:w="824" w:type="dxa"/>
            <w:tcBorders>
              <w:top w:val="single" w:color="auto" w:sz="6" w:space="0"/>
              <w:bottom w:val="single" w:color="auto" w:sz="6" w:space="0"/>
            </w:tcBorders>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w:t>
            </w:r>
          </w:p>
        </w:tc>
        <w:tc>
          <w:tcPr>
            <w:tcW w:w="815" w:type="dxa"/>
            <w:tcBorders>
              <w:top w:val="single" w:color="auto" w:sz="6" w:space="0"/>
              <w:bottom w:val="single" w:color="auto" w:sz="6" w:space="0"/>
              <w:right w:val="single" w:color="auto" w:sz="6" w:space="0"/>
            </w:tcBorders>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8528" w:type="dxa"/>
            <w:gridSpan w:val="10"/>
            <w:tcBorders>
              <w:top w:val="single" w:color="auto" w:sz="6" w:space="0"/>
              <w:left w:val="single" w:color="auto" w:sz="6" w:space="0"/>
              <w:bottom w:val="single" w:color="auto" w:sz="6" w:space="0"/>
              <w:right w:val="single" w:color="auto" w:sz="6" w:space="0"/>
            </w:tcBorders>
            <w:shd w:val="clear" w:color="auto" w:fill="auto"/>
            <w:vAlign w:val="center"/>
          </w:tcPr>
          <w:p>
            <w:pPr>
              <w:spacing w:line="320" w:lineRule="exact"/>
              <w:jc w:val="left"/>
              <w:rPr>
                <w:rFonts w:eastAsia="仿宋_GB2312"/>
                <w:szCs w:val="21"/>
              </w:rPr>
            </w:pPr>
            <w:r>
              <w:rPr>
                <w:rFonts w:eastAsia="仿宋_GB2312"/>
                <w:szCs w:val="21"/>
              </w:rPr>
              <w:t>注：“-”表示可不开展土壤环境影响评价工作。</w:t>
            </w:r>
          </w:p>
        </w:tc>
      </w:tr>
    </w:tbl>
    <w:p>
      <w:pPr>
        <w:spacing w:line="500" w:lineRule="exact"/>
        <w:ind w:firstLine="560" w:firstLineChars="200"/>
        <w:rPr>
          <w:rFonts w:eastAsia="仿宋_GB2312"/>
          <w:sz w:val="28"/>
          <w:szCs w:val="28"/>
        </w:rPr>
      </w:pPr>
      <w:r>
        <w:rPr>
          <w:rFonts w:eastAsia="仿宋_GB2312"/>
          <w:sz w:val="28"/>
          <w:szCs w:val="28"/>
        </w:rPr>
        <w:t>对照上表，本项目所在地周边200m</w:t>
      </w:r>
      <w:r>
        <w:rPr>
          <w:rFonts w:hint="eastAsia" w:eastAsia="仿宋_GB2312"/>
          <w:sz w:val="28"/>
          <w:szCs w:val="28"/>
        </w:rPr>
        <w:t>范围内无</w:t>
      </w:r>
      <w:r>
        <w:rPr>
          <w:rFonts w:eastAsia="仿宋_GB2312"/>
          <w:sz w:val="28"/>
          <w:szCs w:val="28"/>
        </w:rPr>
        <w:t>居民区，土壤环境敏感程度分级属于规定的“</w:t>
      </w:r>
      <w:r>
        <w:rPr>
          <w:rFonts w:hint="eastAsia" w:eastAsia="仿宋_GB2312"/>
          <w:sz w:val="28"/>
          <w:szCs w:val="28"/>
        </w:rPr>
        <w:t>不</w:t>
      </w:r>
      <w:r>
        <w:rPr>
          <w:rFonts w:eastAsia="仿宋_GB2312"/>
          <w:sz w:val="28"/>
          <w:szCs w:val="28"/>
        </w:rPr>
        <w:t>敏感”；根据《环境影响评价技术导则-土壤环境（试行）》（HJ964-2018）附录A确定</w:t>
      </w:r>
      <w:r>
        <w:rPr>
          <w:rFonts w:hint="eastAsia" w:eastAsia="仿宋_GB2312"/>
          <w:sz w:val="28"/>
          <w:szCs w:val="28"/>
        </w:rPr>
        <w:t>，</w:t>
      </w:r>
      <w:r>
        <w:rPr>
          <w:rFonts w:eastAsia="仿宋_GB2312"/>
          <w:sz w:val="28"/>
          <w:szCs w:val="28"/>
        </w:rPr>
        <w:t>本项目属于</w:t>
      </w:r>
      <w:r>
        <w:rPr>
          <w:rFonts w:hint="eastAsia" w:eastAsia="仿宋_GB2312"/>
          <w:sz w:val="28"/>
          <w:szCs w:val="28"/>
        </w:rPr>
        <w:t>“设备</w:t>
      </w:r>
      <w:r>
        <w:rPr>
          <w:rFonts w:eastAsia="仿宋_GB2312"/>
          <w:sz w:val="28"/>
          <w:szCs w:val="28"/>
        </w:rPr>
        <w:t>制造</w:t>
      </w:r>
      <w:r>
        <w:rPr>
          <w:rFonts w:hint="eastAsia" w:eastAsia="仿宋_GB2312"/>
          <w:sz w:val="28"/>
          <w:szCs w:val="28"/>
        </w:rPr>
        <w:t>、</w:t>
      </w:r>
      <w:r>
        <w:rPr>
          <w:rFonts w:eastAsia="仿宋_GB2312"/>
          <w:sz w:val="28"/>
          <w:szCs w:val="28"/>
        </w:rPr>
        <w:t>金属制</w:t>
      </w:r>
      <w:r>
        <w:rPr>
          <w:rFonts w:hint="eastAsia" w:eastAsia="仿宋_GB2312"/>
          <w:sz w:val="28"/>
          <w:szCs w:val="28"/>
        </w:rPr>
        <w:t>品</w:t>
      </w:r>
      <w:r>
        <w:rPr>
          <w:rFonts w:eastAsia="仿宋_GB2312"/>
          <w:sz w:val="28"/>
          <w:szCs w:val="28"/>
        </w:rPr>
        <w:t>、汽车制造及其他用品制造</w:t>
      </w:r>
      <w:r>
        <w:rPr>
          <w:rFonts w:hint="eastAsia" w:eastAsia="仿宋_GB2312"/>
          <w:sz w:val="28"/>
          <w:szCs w:val="28"/>
        </w:rPr>
        <w:t>”中</w:t>
      </w:r>
      <w:r>
        <w:rPr>
          <w:rFonts w:eastAsia="仿宋_GB2312"/>
          <w:sz w:val="28"/>
          <w:szCs w:val="28"/>
        </w:rPr>
        <w:t>“</w:t>
      </w:r>
      <w:r>
        <w:rPr>
          <w:rFonts w:hint="eastAsia" w:eastAsia="仿宋_GB2312"/>
          <w:sz w:val="28"/>
          <w:szCs w:val="28"/>
        </w:rPr>
        <w:t>使用</w:t>
      </w:r>
      <w:r>
        <w:rPr>
          <w:rFonts w:eastAsia="仿宋_GB2312"/>
          <w:sz w:val="28"/>
          <w:szCs w:val="28"/>
        </w:rPr>
        <w:t>有机</w:t>
      </w:r>
      <w:r>
        <w:rPr>
          <w:rFonts w:hint="eastAsia" w:eastAsia="仿宋_GB2312"/>
          <w:sz w:val="28"/>
          <w:szCs w:val="28"/>
        </w:rPr>
        <w:t>涂层</w:t>
      </w:r>
      <w:r>
        <w:rPr>
          <w:rFonts w:eastAsia="仿宋_GB2312"/>
          <w:sz w:val="28"/>
          <w:szCs w:val="28"/>
        </w:rPr>
        <w:t>的”</w:t>
      </w:r>
      <w:r>
        <w:rPr>
          <w:rFonts w:hint="eastAsia" w:eastAsia="仿宋_GB2312"/>
          <w:sz w:val="28"/>
          <w:szCs w:val="28"/>
        </w:rPr>
        <w:t>项目</w:t>
      </w:r>
      <w:r>
        <w:rPr>
          <w:rFonts w:eastAsia="仿宋_GB2312"/>
          <w:sz w:val="28"/>
          <w:szCs w:val="28"/>
        </w:rPr>
        <w:t>，因此本项目行业类别为</w:t>
      </w:r>
      <w:r>
        <w:rPr>
          <w:rFonts w:hint="eastAsia" w:eastAsia="仿宋_GB2312" w:cs="宋体"/>
          <w:sz w:val="28"/>
          <w:szCs w:val="28"/>
        </w:rPr>
        <w:t>Ⅰ</w:t>
      </w:r>
      <w:r>
        <w:rPr>
          <w:rFonts w:eastAsia="仿宋_GB2312"/>
          <w:sz w:val="28"/>
          <w:szCs w:val="28"/>
        </w:rPr>
        <w:t>类；</w:t>
      </w:r>
      <w:r>
        <w:rPr>
          <w:rFonts w:hint="eastAsia" w:eastAsia="仿宋_GB2312"/>
          <w:sz w:val="28"/>
          <w:szCs w:val="28"/>
        </w:rPr>
        <w:t>本</w:t>
      </w:r>
      <w:r>
        <w:rPr>
          <w:rFonts w:eastAsia="仿宋_GB2312"/>
          <w:sz w:val="28"/>
          <w:szCs w:val="28"/>
        </w:rPr>
        <w:t>项目占地</w:t>
      </w:r>
      <w:r>
        <w:rPr>
          <w:rFonts w:hint="eastAsia" w:eastAsia="仿宋_GB2312"/>
          <w:sz w:val="28"/>
          <w:szCs w:val="28"/>
        </w:rPr>
        <w:t>2336</w:t>
      </w:r>
      <w:r>
        <w:rPr>
          <w:rFonts w:eastAsia="仿宋_GB2312"/>
          <w:sz w:val="28"/>
          <w:szCs w:val="28"/>
        </w:rPr>
        <w:t>m</w:t>
      </w:r>
      <w:r>
        <w:rPr>
          <w:rFonts w:eastAsia="仿宋_GB2312"/>
          <w:sz w:val="28"/>
          <w:szCs w:val="28"/>
          <w:vertAlign w:val="superscript"/>
        </w:rPr>
        <w:t>2</w:t>
      </w:r>
      <w:r>
        <w:rPr>
          <w:rFonts w:hint="eastAsia" w:eastAsia="仿宋_GB2312"/>
          <w:sz w:val="28"/>
          <w:szCs w:val="28"/>
        </w:rPr>
        <w:t>，</w:t>
      </w:r>
      <w:r>
        <w:rPr>
          <w:rFonts w:eastAsia="仿宋_GB2312"/>
          <w:sz w:val="28"/>
          <w:szCs w:val="28"/>
        </w:rPr>
        <w:t>规模为</w:t>
      </w:r>
      <w:r>
        <w:rPr>
          <w:rFonts w:hint="eastAsia" w:eastAsia="仿宋_GB2312"/>
          <w:sz w:val="28"/>
          <w:szCs w:val="28"/>
        </w:rPr>
        <w:t>小</w:t>
      </w:r>
      <w:r>
        <w:rPr>
          <w:rFonts w:eastAsia="仿宋_GB2312"/>
          <w:sz w:val="28"/>
          <w:szCs w:val="28"/>
        </w:rPr>
        <w:t>型（≤5hm</w:t>
      </w:r>
      <w:r>
        <w:rPr>
          <w:rFonts w:eastAsia="仿宋_GB2312"/>
          <w:sz w:val="28"/>
          <w:szCs w:val="28"/>
          <w:vertAlign w:val="superscript"/>
        </w:rPr>
        <w:t>2</w:t>
      </w:r>
      <w:r>
        <w:rPr>
          <w:rFonts w:eastAsia="仿宋_GB2312"/>
          <w:sz w:val="28"/>
          <w:szCs w:val="28"/>
        </w:rPr>
        <w:t>）。因此，本项目土壤环境影响评价工作等级确定为</w:t>
      </w:r>
      <w:r>
        <w:rPr>
          <w:rFonts w:hint="eastAsia" w:eastAsia="仿宋_GB2312"/>
          <w:sz w:val="28"/>
          <w:szCs w:val="28"/>
        </w:rPr>
        <w:t>二</w:t>
      </w:r>
      <w:r>
        <w:rPr>
          <w:rFonts w:eastAsia="仿宋_GB2312"/>
          <w:sz w:val="28"/>
          <w:szCs w:val="28"/>
        </w:rPr>
        <w:t>级。</w:t>
      </w:r>
    </w:p>
    <w:p>
      <w:pPr>
        <w:spacing w:line="500" w:lineRule="exact"/>
        <w:ind w:firstLine="560" w:firstLineChars="200"/>
        <w:rPr>
          <w:rFonts w:eastAsia="仿宋_GB2312"/>
          <w:sz w:val="28"/>
          <w:szCs w:val="28"/>
        </w:rPr>
      </w:pPr>
      <w:r>
        <w:rPr>
          <w:rFonts w:eastAsia="仿宋_GB2312"/>
          <w:sz w:val="28"/>
          <w:szCs w:val="28"/>
        </w:rPr>
        <w:t>（5）噪声评价等级</w:t>
      </w:r>
    </w:p>
    <w:p>
      <w:pPr>
        <w:spacing w:line="500" w:lineRule="exact"/>
        <w:ind w:firstLine="560" w:firstLineChars="200"/>
        <w:rPr>
          <w:rFonts w:eastAsia="仿宋_GB2312"/>
          <w:sz w:val="28"/>
          <w:szCs w:val="28"/>
        </w:rPr>
      </w:pPr>
      <w:r>
        <w:rPr>
          <w:rFonts w:eastAsia="仿宋_GB2312"/>
          <w:sz w:val="28"/>
          <w:szCs w:val="28"/>
        </w:rPr>
        <w:t>本项目所在地为《声环境质量标准》（GB3096-2008）中3类区，评价范围内无声环境保护目标。根据噪声环境影响评价导则与方法中工作等级划分判据及建设项目所在地的声环境功能要求，确定声环境影响等级为三级。</w:t>
      </w:r>
    </w:p>
    <w:p>
      <w:pPr>
        <w:spacing w:line="500" w:lineRule="exact"/>
        <w:ind w:firstLine="560" w:firstLineChars="200"/>
        <w:rPr>
          <w:rFonts w:eastAsia="仿宋_GB2312"/>
          <w:sz w:val="28"/>
          <w:szCs w:val="28"/>
        </w:rPr>
      </w:pPr>
      <w:r>
        <w:rPr>
          <w:rFonts w:eastAsia="仿宋_GB2312"/>
          <w:sz w:val="28"/>
          <w:szCs w:val="28"/>
        </w:rPr>
        <w:t>（6）风险评价等级</w:t>
      </w:r>
    </w:p>
    <w:p>
      <w:pPr>
        <w:spacing w:line="500" w:lineRule="exact"/>
        <w:ind w:firstLine="560" w:firstLineChars="200"/>
        <w:rPr>
          <w:rFonts w:eastAsia="仿宋_GB2312"/>
          <w:sz w:val="28"/>
          <w:szCs w:val="20"/>
        </w:rPr>
      </w:pPr>
      <w:r>
        <w:rPr>
          <w:rFonts w:eastAsia="仿宋_GB2312"/>
          <w:sz w:val="28"/>
          <w:szCs w:val="28"/>
        </w:rPr>
        <w:t>根据《建设项目环境风险评价技术导则》（HJ169-2018），本项目大气环境的环境风险潜势等级为</w:t>
      </w:r>
      <w:r>
        <w:rPr>
          <w:rFonts w:hint="eastAsia" w:ascii="宋体" w:hAnsi="宋体" w:cs="宋体"/>
          <w:sz w:val="28"/>
          <w:szCs w:val="22"/>
        </w:rPr>
        <w:t>Ⅲ</w:t>
      </w:r>
      <w:r>
        <w:rPr>
          <w:rFonts w:eastAsia="仿宋_GB2312"/>
          <w:sz w:val="28"/>
          <w:szCs w:val="28"/>
        </w:rPr>
        <w:t>，</w:t>
      </w:r>
      <w:r>
        <w:rPr>
          <w:rFonts w:eastAsia="仿宋_GB2312"/>
          <w:sz w:val="28"/>
          <w:szCs w:val="22"/>
        </w:rPr>
        <w:t>评价工作等级是二级</w:t>
      </w:r>
      <w:r>
        <w:rPr>
          <w:rFonts w:eastAsia="仿宋_GB2312"/>
          <w:sz w:val="28"/>
          <w:szCs w:val="28"/>
        </w:rPr>
        <w:t>；</w:t>
      </w:r>
      <w:r>
        <w:rPr>
          <w:rFonts w:eastAsia="仿宋_GB2312"/>
          <w:sz w:val="28"/>
          <w:szCs w:val="22"/>
        </w:rPr>
        <w:t>地表水环境风险潜势等级为I，进行简单分析；地下水环境风险潜势等级为I，进行简单分析</w:t>
      </w:r>
      <w:r>
        <w:rPr>
          <w:rFonts w:hint="eastAsia" w:eastAsia="仿宋_GB2312"/>
          <w:sz w:val="28"/>
          <w:szCs w:val="20"/>
        </w:rPr>
        <w:t>。本项目</w:t>
      </w:r>
      <w:r>
        <w:rPr>
          <w:rFonts w:eastAsia="仿宋_GB2312"/>
          <w:sz w:val="28"/>
          <w:szCs w:val="20"/>
        </w:rPr>
        <w:t>风险评价</w:t>
      </w:r>
      <w:r>
        <w:rPr>
          <w:rFonts w:hint="eastAsia" w:eastAsia="仿宋_GB2312"/>
          <w:sz w:val="28"/>
          <w:szCs w:val="20"/>
        </w:rPr>
        <w:t>等级</w:t>
      </w:r>
      <w:r>
        <w:rPr>
          <w:rFonts w:eastAsia="仿宋_GB2312"/>
          <w:sz w:val="28"/>
          <w:szCs w:val="20"/>
        </w:rPr>
        <w:t>为</w:t>
      </w:r>
      <w:r>
        <w:rPr>
          <w:rFonts w:hint="eastAsia" w:eastAsia="仿宋_GB2312"/>
          <w:sz w:val="28"/>
          <w:szCs w:val="20"/>
        </w:rPr>
        <w:t>二</w:t>
      </w:r>
      <w:r>
        <w:rPr>
          <w:rFonts w:eastAsia="仿宋_GB2312"/>
          <w:sz w:val="28"/>
          <w:szCs w:val="20"/>
        </w:rPr>
        <w:t>级。</w:t>
      </w:r>
    </w:p>
    <w:p>
      <w:pPr>
        <w:spacing w:line="500" w:lineRule="exact"/>
        <w:ind w:firstLine="560" w:firstLineChars="200"/>
        <w:rPr>
          <w:rFonts w:eastAsia="仿宋_GB2312"/>
          <w:sz w:val="28"/>
          <w:szCs w:val="28"/>
        </w:rPr>
      </w:pPr>
      <w:r>
        <w:rPr>
          <w:rFonts w:hint="eastAsia" w:eastAsia="仿宋_GB2312"/>
          <w:sz w:val="28"/>
          <w:szCs w:val="28"/>
        </w:rPr>
        <w:t>（7）生态</w:t>
      </w:r>
      <w:r>
        <w:rPr>
          <w:rFonts w:eastAsia="仿宋_GB2312"/>
          <w:sz w:val="28"/>
          <w:szCs w:val="28"/>
        </w:rPr>
        <w:t>评价等级</w:t>
      </w:r>
    </w:p>
    <w:p>
      <w:pPr>
        <w:spacing w:line="500" w:lineRule="exact"/>
        <w:ind w:firstLine="560" w:firstLineChars="200"/>
        <w:rPr>
          <w:rFonts w:eastAsia="仿宋_GB2312"/>
          <w:sz w:val="28"/>
          <w:szCs w:val="20"/>
        </w:rPr>
      </w:pPr>
      <w:r>
        <w:rPr>
          <w:rFonts w:hint="eastAsia" w:eastAsia="仿宋_GB2312"/>
          <w:sz w:val="28"/>
          <w:szCs w:val="20"/>
        </w:rPr>
        <w:t>本项目所在地不涉及国家公园、自然保护区、世界自然遗产、重要生境，不涉及自然公园以及生态保护红线，不属于水文要素影响型项目，且地下水水位或土壤影响范围内没有分布天然林、公益林、湿地等生态保护目标。项目总占地面积约2336平方米，远小于20km</w:t>
      </w:r>
      <w:r>
        <w:rPr>
          <w:rFonts w:hint="eastAsia" w:eastAsia="仿宋_GB2312"/>
          <w:sz w:val="28"/>
          <w:szCs w:val="20"/>
          <w:vertAlign w:val="superscript"/>
        </w:rPr>
        <w:t>2</w:t>
      </w:r>
      <w:r>
        <w:rPr>
          <w:rFonts w:hint="eastAsia" w:eastAsia="仿宋_GB2312"/>
          <w:sz w:val="28"/>
          <w:szCs w:val="20"/>
        </w:rPr>
        <w:t>。对照《环境影响评价技术导则生态影响》(HJ19-2022)中“6.1 评价等级判定”，本项目生态环境影响评价等级为三级。且</w:t>
      </w:r>
      <w:r>
        <w:rPr>
          <w:rFonts w:eastAsia="仿宋_GB2312"/>
          <w:sz w:val="28"/>
          <w:szCs w:val="20"/>
        </w:rPr>
        <w:t>本项目位于金坛区金城镇工业园区（北区），此产业园已</w:t>
      </w:r>
      <w:r>
        <w:rPr>
          <w:rFonts w:hint="eastAsia" w:eastAsia="仿宋_GB2312"/>
          <w:sz w:val="28"/>
          <w:szCs w:val="20"/>
        </w:rPr>
        <w:t>取得</w:t>
      </w:r>
      <w:r>
        <w:rPr>
          <w:rFonts w:eastAsia="仿宋_GB2312"/>
          <w:sz w:val="28"/>
          <w:szCs w:val="20"/>
        </w:rPr>
        <w:t>规划环评批复，</w:t>
      </w:r>
      <w:r>
        <w:rPr>
          <w:rFonts w:hint="eastAsia" w:eastAsia="仿宋_GB2312"/>
          <w:sz w:val="28"/>
          <w:szCs w:val="20"/>
        </w:rPr>
        <w:t>不涉及</w:t>
      </w:r>
      <w:r>
        <w:rPr>
          <w:rFonts w:eastAsia="仿宋_GB2312"/>
          <w:sz w:val="28"/>
          <w:szCs w:val="20"/>
        </w:rPr>
        <w:t>生态敏感区，因此本项目可不确定评价等级，直接进行生态影响简单分析。</w:t>
      </w:r>
    </w:p>
    <w:p>
      <w:pPr>
        <w:pStyle w:val="4"/>
        <w:keepLines w:val="0"/>
        <w:numPr>
          <w:ilvl w:val="2"/>
          <w:numId w:val="1"/>
        </w:numPr>
        <w:tabs>
          <w:tab w:val="left" w:pos="709"/>
        </w:tabs>
        <w:spacing w:before="120" w:beforeLines="50" w:after="0" w:line="360" w:lineRule="auto"/>
        <w:ind w:left="422" w:hanging="422" w:hangingChars="150"/>
        <w:rPr>
          <w:rFonts w:eastAsia="仿宋_GB2312"/>
          <w:sz w:val="28"/>
          <w:szCs w:val="28"/>
        </w:rPr>
      </w:pPr>
      <w:r>
        <w:rPr>
          <w:rFonts w:eastAsia="仿宋_GB2312"/>
          <w:sz w:val="28"/>
          <w:szCs w:val="28"/>
        </w:rPr>
        <w:t>评价重点</w:t>
      </w:r>
    </w:p>
    <w:p>
      <w:pPr>
        <w:spacing w:line="500" w:lineRule="exact"/>
        <w:ind w:firstLine="560" w:firstLineChars="200"/>
        <w:rPr>
          <w:rFonts w:eastAsia="仿宋_GB2312"/>
          <w:sz w:val="28"/>
          <w:szCs w:val="20"/>
        </w:rPr>
      </w:pPr>
      <w:r>
        <w:rPr>
          <w:rFonts w:eastAsia="仿宋_GB2312"/>
          <w:sz w:val="28"/>
          <w:szCs w:val="20"/>
        </w:rPr>
        <w:t>根据本项目的环境影响特征和项目所处区域的环境现状情况，结合当前环保管理的有关要求，确定本次评价重点如下：</w:t>
      </w:r>
    </w:p>
    <w:p>
      <w:pPr>
        <w:spacing w:line="500" w:lineRule="exact"/>
        <w:ind w:firstLine="560" w:firstLineChars="200"/>
        <w:rPr>
          <w:rFonts w:eastAsia="仿宋_GB2312"/>
          <w:sz w:val="28"/>
          <w:szCs w:val="20"/>
        </w:rPr>
      </w:pPr>
      <w:bookmarkStart w:id="138" w:name="_Toc200707817"/>
      <w:r>
        <w:rPr>
          <w:rFonts w:eastAsia="仿宋_GB2312"/>
          <w:sz w:val="28"/>
          <w:szCs w:val="28"/>
        </w:rPr>
        <w:t>（1）</w:t>
      </w:r>
      <w:r>
        <w:rPr>
          <w:rFonts w:eastAsia="仿宋_GB2312"/>
          <w:kern w:val="0"/>
          <w:sz w:val="28"/>
          <w:szCs w:val="20"/>
        </w:rPr>
        <w:t>工程分析</w:t>
      </w:r>
      <w:bookmarkEnd w:id="138"/>
    </w:p>
    <w:p>
      <w:pPr>
        <w:spacing w:line="500" w:lineRule="exact"/>
        <w:ind w:firstLine="560" w:firstLineChars="200"/>
        <w:rPr>
          <w:rFonts w:eastAsia="仿宋_GB2312"/>
          <w:sz w:val="28"/>
          <w:szCs w:val="20"/>
        </w:rPr>
      </w:pPr>
      <w:r>
        <w:rPr>
          <w:rFonts w:eastAsia="仿宋_GB2312"/>
          <w:sz w:val="28"/>
          <w:szCs w:val="20"/>
        </w:rPr>
        <w:t>突出工程分析，搞清生产过程中各类污染物的排放点、排放规律及排放量，为影响评价打好基础，为搞好污染防治提供依据。同时还要搞好工程各类污染物排放量的计算，科学合理地确定工程的排放总量。</w:t>
      </w:r>
    </w:p>
    <w:p>
      <w:pPr>
        <w:spacing w:line="500" w:lineRule="exact"/>
        <w:ind w:firstLine="560" w:firstLineChars="200"/>
        <w:rPr>
          <w:rFonts w:eastAsia="仿宋_GB2312"/>
          <w:sz w:val="28"/>
          <w:szCs w:val="20"/>
        </w:rPr>
      </w:pPr>
      <w:bookmarkStart w:id="139" w:name="_Toc200707818"/>
      <w:r>
        <w:rPr>
          <w:rFonts w:eastAsia="仿宋_GB2312"/>
          <w:sz w:val="28"/>
          <w:szCs w:val="28"/>
        </w:rPr>
        <w:t>（2）</w:t>
      </w:r>
      <w:bookmarkEnd w:id="139"/>
      <w:bookmarkStart w:id="140" w:name="_Toc200707819"/>
      <w:r>
        <w:rPr>
          <w:rFonts w:eastAsia="仿宋_GB2312"/>
          <w:kern w:val="0"/>
          <w:sz w:val="28"/>
          <w:szCs w:val="20"/>
        </w:rPr>
        <w:t>污染防治措施评价及对策建议</w:t>
      </w:r>
      <w:bookmarkEnd w:id="140"/>
    </w:p>
    <w:p>
      <w:pPr>
        <w:spacing w:line="500" w:lineRule="exact"/>
        <w:ind w:firstLine="560" w:firstLineChars="200"/>
        <w:rPr>
          <w:rFonts w:eastAsia="仿宋_GB2312"/>
          <w:sz w:val="28"/>
          <w:szCs w:val="20"/>
        </w:rPr>
      </w:pPr>
      <w:r>
        <w:rPr>
          <w:rFonts w:eastAsia="仿宋_GB2312"/>
          <w:sz w:val="28"/>
          <w:szCs w:val="20"/>
        </w:rPr>
        <w:t>从经济、技术、环境三个方面，对项目的污染防治措施进行评价，在此基础上，提出进一步的对策建议。</w:t>
      </w:r>
    </w:p>
    <w:p>
      <w:pPr>
        <w:spacing w:line="500" w:lineRule="exact"/>
        <w:ind w:firstLine="560" w:firstLineChars="200"/>
        <w:rPr>
          <w:rFonts w:eastAsia="仿宋_GB2312"/>
          <w:sz w:val="28"/>
          <w:szCs w:val="20"/>
        </w:rPr>
      </w:pPr>
      <w:bookmarkStart w:id="141" w:name="_Toc200707820"/>
      <w:r>
        <w:rPr>
          <w:rFonts w:eastAsia="仿宋_GB2312"/>
          <w:sz w:val="28"/>
          <w:szCs w:val="28"/>
        </w:rPr>
        <w:t>（3）</w:t>
      </w:r>
      <w:r>
        <w:rPr>
          <w:rFonts w:eastAsia="仿宋_GB2312"/>
          <w:kern w:val="0"/>
          <w:sz w:val="28"/>
          <w:szCs w:val="20"/>
        </w:rPr>
        <w:t>环境影响评价</w:t>
      </w:r>
      <w:bookmarkEnd w:id="141"/>
    </w:p>
    <w:p>
      <w:pPr>
        <w:spacing w:line="500" w:lineRule="exact"/>
        <w:ind w:firstLine="560" w:firstLineChars="200"/>
        <w:rPr>
          <w:rFonts w:eastAsia="仿宋_GB2312"/>
          <w:sz w:val="28"/>
          <w:szCs w:val="20"/>
        </w:rPr>
      </w:pPr>
      <w:r>
        <w:rPr>
          <w:rFonts w:eastAsia="仿宋_GB2312"/>
          <w:sz w:val="28"/>
          <w:szCs w:val="20"/>
        </w:rPr>
        <w:t>在工程分析的基础上，重点预测评价该工程对环境空气的影响，保证预测结果的可靠性。</w:t>
      </w:r>
    </w:p>
    <w:p>
      <w:pPr>
        <w:spacing w:line="500" w:lineRule="exact"/>
        <w:ind w:firstLine="560" w:firstLineChars="200"/>
        <w:rPr>
          <w:rFonts w:eastAsia="仿宋_GB2312"/>
          <w:sz w:val="28"/>
          <w:szCs w:val="20"/>
        </w:rPr>
      </w:pPr>
      <w:bookmarkStart w:id="142" w:name="_Toc200707821"/>
      <w:r>
        <w:rPr>
          <w:rFonts w:eastAsia="仿宋_GB2312"/>
          <w:sz w:val="28"/>
          <w:szCs w:val="28"/>
        </w:rPr>
        <w:t>（4）</w:t>
      </w:r>
      <w:bookmarkEnd w:id="142"/>
      <w:r>
        <w:rPr>
          <w:rFonts w:eastAsia="仿宋_GB2312"/>
          <w:kern w:val="0"/>
          <w:sz w:val="28"/>
          <w:szCs w:val="20"/>
        </w:rPr>
        <w:t>环境影响经济损益分析</w:t>
      </w:r>
    </w:p>
    <w:p>
      <w:pPr>
        <w:spacing w:line="500" w:lineRule="exact"/>
        <w:ind w:firstLine="560" w:firstLineChars="200"/>
        <w:rPr>
          <w:rFonts w:eastAsia="仿宋_GB2312"/>
          <w:sz w:val="28"/>
          <w:szCs w:val="20"/>
        </w:rPr>
      </w:pPr>
      <w:r>
        <w:rPr>
          <w:rFonts w:eastAsia="仿宋_GB2312"/>
          <w:sz w:val="28"/>
          <w:szCs w:val="20"/>
        </w:rPr>
        <w:t>从环境影响的正负两方面，以定性与定量相结合的方式，对建设项目的环境影响后果进行评估分析。</w:t>
      </w:r>
    </w:p>
    <w:p>
      <w:pPr>
        <w:spacing w:line="500" w:lineRule="exact"/>
        <w:ind w:firstLine="560" w:firstLineChars="200"/>
        <w:rPr>
          <w:rFonts w:eastAsia="仿宋_GB2312"/>
          <w:sz w:val="28"/>
          <w:szCs w:val="20"/>
        </w:rPr>
      </w:pPr>
      <w:bookmarkStart w:id="143" w:name="_Toc200707822"/>
      <w:r>
        <w:rPr>
          <w:rFonts w:eastAsia="仿宋_GB2312"/>
          <w:sz w:val="28"/>
          <w:szCs w:val="28"/>
        </w:rPr>
        <w:t>（5）</w:t>
      </w:r>
      <w:bookmarkEnd w:id="143"/>
      <w:r>
        <w:rPr>
          <w:rFonts w:eastAsia="仿宋_GB2312"/>
          <w:kern w:val="0"/>
          <w:sz w:val="28"/>
          <w:szCs w:val="20"/>
        </w:rPr>
        <w:t>环境管理与监测计划</w:t>
      </w:r>
    </w:p>
    <w:p>
      <w:pPr>
        <w:spacing w:line="500" w:lineRule="exact"/>
        <w:ind w:firstLine="560" w:firstLineChars="200"/>
        <w:rPr>
          <w:rFonts w:eastAsia="仿宋_GB2312"/>
          <w:sz w:val="28"/>
          <w:szCs w:val="20"/>
        </w:rPr>
      </w:pPr>
      <w:r>
        <w:rPr>
          <w:rFonts w:eastAsia="仿宋_GB2312"/>
          <w:sz w:val="28"/>
          <w:szCs w:val="20"/>
        </w:rPr>
        <w:t>按建设项目建设阶段、生产运行等不同阶段，针对不同工况、不同环境影响和环境风险特征，提出具体环境管理要求。另外，根据项目特点并结合周围环境概况，制定环境监测计划，包括污染源监测计划和环境质量监测计划。</w:t>
      </w:r>
    </w:p>
    <w:p>
      <w:pPr>
        <w:pStyle w:val="3"/>
        <w:spacing w:before="120" w:after="120"/>
      </w:pPr>
      <w:bookmarkStart w:id="144" w:name="_Toc217879275"/>
      <w:bookmarkStart w:id="145" w:name="_Toc230013660"/>
      <w:bookmarkStart w:id="146" w:name="_Toc228754591"/>
      <w:bookmarkStart w:id="147" w:name="_Toc228779737"/>
      <w:bookmarkStart w:id="148" w:name="_Toc218388560"/>
      <w:bookmarkStart w:id="149" w:name="_Toc217889867"/>
      <w:bookmarkStart w:id="150" w:name="_Toc219540322"/>
      <w:bookmarkStart w:id="151" w:name="_Toc216670485"/>
      <w:bookmarkStart w:id="152" w:name="_Toc140565258"/>
      <w:bookmarkStart w:id="153" w:name="_Toc219169898"/>
      <w:bookmarkStart w:id="154" w:name="_Toc229910507"/>
      <w:bookmarkStart w:id="155" w:name="_Toc228541019"/>
      <w:bookmarkStart w:id="156" w:name="_Toc157405910"/>
      <w:bookmarkStart w:id="157" w:name="_Toc218996888"/>
      <w:bookmarkStart w:id="158" w:name="_Toc229900149"/>
      <w:bookmarkStart w:id="159" w:name="_Toc228437062"/>
      <w:bookmarkStart w:id="160" w:name="_Toc217889974"/>
      <w:bookmarkStart w:id="161" w:name="_Toc216664822"/>
      <w:bookmarkStart w:id="162" w:name="_Toc218823698"/>
      <w:bookmarkStart w:id="163" w:name="_Toc217889636"/>
      <w:bookmarkStart w:id="164" w:name="_Toc219541094"/>
      <w:bookmarkStart w:id="165" w:name="_Toc156960239"/>
      <w:bookmarkStart w:id="166" w:name="_Toc218822808"/>
      <w:bookmarkStart w:id="167" w:name="_Toc160937745"/>
      <w:bookmarkStart w:id="168" w:name="_Toc160937747"/>
      <w:bookmarkStart w:id="169" w:name="_Toc157405912"/>
      <w:bookmarkStart w:id="170" w:name="_Toc106608033"/>
      <w:bookmarkStart w:id="171" w:name="_Toc156960241"/>
      <w:r>
        <w:t>评价范围和环境保护目标</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pPr>
        <w:pStyle w:val="4"/>
        <w:keepLines w:val="0"/>
        <w:numPr>
          <w:ilvl w:val="2"/>
          <w:numId w:val="1"/>
        </w:numPr>
        <w:tabs>
          <w:tab w:val="left" w:pos="709"/>
        </w:tabs>
        <w:spacing w:before="120" w:beforeLines="50" w:after="120" w:afterLines="50" w:line="500" w:lineRule="exact"/>
        <w:ind w:left="422" w:hanging="422" w:hangingChars="150"/>
        <w:rPr>
          <w:rFonts w:eastAsia="仿宋_GB2312"/>
          <w:sz w:val="28"/>
          <w:szCs w:val="28"/>
        </w:rPr>
      </w:pPr>
      <w:r>
        <w:rPr>
          <w:rFonts w:eastAsia="仿宋_GB2312"/>
          <w:sz w:val="28"/>
          <w:szCs w:val="28"/>
        </w:rPr>
        <w:t>评价范围</w:t>
      </w:r>
    </w:p>
    <w:p>
      <w:pPr>
        <w:spacing w:line="500" w:lineRule="exact"/>
        <w:ind w:firstLine="560" w:firstLineChars="200"/>
        <w:rPr>
          <w:rFonts w:eastAsia="仿宋_GB2312"/>
          <w:sz w:val="28"/>
          <w:szCs w:val="28"/>
        </w:rPr>
      </w:pPr>
      <w:r>
        <w:rPr>
          <w:rFonts w:eastAsia="仿宋_GB2312"/>
          <w:sz w:val="28"/>
          <w:szCs w:val="28"/>
        </w:rPr>
        <w:t>（1）大气评价范围</w:t>
      </w:r>
    </w:p>
    <w:p>
      <w:pPr>
        <w:spacing w:line="500" w:lineRule="exact"/>
        <w:ind w:firstLine="560" w:firstLineChars="200"/>
        <w:rPr>
          <w:rFonts w:eastAsia="仿宋_GB2312"/>
          <w:sz w:val="40"/>
          <w:szCs w:val="28"/>
        </w:rPr>
      </w:pPr>
      <w:r>
        <w:rPr>
          <w:rFonts w:eastAsia="仿宋_GB2312"/>
          <w:sz w:val="28"/>
          <w:szCs w:val="28"/>
        </w:rPr>
        <w:t>根据《环境影响评价技术导则-大气环境》（HJ2.2-2018）规定，本项目</w:t>
      </w:r>
      <w:r>
        <w:rPr>
          <w:rFonts w:hint="eastAsia" w:eastAsia="仿宋_GB2312"/>
          <w:sz w:val="28"/>
          <w:szCs w:val="28"/>
        </w:rPr>
        <w:t>为二级评价</w:t>
      </w:r>
      <w:r>
        <w:rPr>
          <w:rFonts w:eastAsia="仿宋_GB2312"/>
          <w:sz w:val="28"/>
          <w:szCs w:val="28"/>
        </w:rPr>
        <w:t>项目，评价范围</w:t>
      </w:r>
      <w:r>
        <w:rPr>
          <w:rFonts w:hint="eastAsia" w:eastAsia="仿宋_GB2312"/>
          <w:sz w:val="28"/>
          <w:szCs w:val="28"/>
        </w:rPr>
        <w:t>边长取</w:t>
      </w:r>
      <w:r>
        <w:rPr>
          <w:rFonts w:eastAsia="仿宋_GB2312"/>
          <w:sz w:val="28"/>
          <w:szCs w:val="28"/>
        </w:rPr>
        <w:t>5km，因此，本项目大气评价范围确定为以厂区</w:t>
      </w:r>
      <w:r>
        <w:rPr>
          <w:rFonts w:hint="eastAsia" w:eastAsia="仿宋_GB2312"/>
          <w:sz w:val="28"/>
          <w:szCs w:val="28"/>
        </w:rPr>
        <w:t>边界外延边长5</w:t>
      </w:r>
      <w:r>
        <w:rPr>
          <w:rFonts w:eastAsia="仿宋_GB2312"/>
          <w:sz w:val="28"/>
          <w:szCs w:val="28"/>
        </w:rPr>
        <w:t>km的矩形区域。</w:t>
      </w:r>
    </w:p>
    <w:p>
      <w:pPr>
        <w:pStyle w:val="150"/>
        <w:ind w:firstLine="560"/>
        <w:rPr>
          <w:rFonts w:eastAsia="仿宋_GB2312"/>
          <w:sz w:val="28"/>
          <w:szCs w:val="28"/>
        </w:rPr>
      </w:pPr>
      <w:r>
        <w:rPr>
          <w:rFonts w:eastAsia="仿宋_GB2312"/>
          <w:sz w:val="28"/>
          <w:szCs w:val="28"/>
        </w:rPr>
        <w:t>（2）地表水评价范围</w:t>
      </w:r>
    </w:p>
    <w:p>
      <w:pPr>
        <w:spacing w:line="500" w:lineRule="exact"/>
        <w:ind w:firstLine="560" w:firstLineChars="200"/>
        <w:rPr>
          <w:rFonts w:eastAsia="仿宋_GB2312"/>
          <w:sz w:val="28"/>
          <w:szCs w:val="28"/>
        </w:rPr>
      </w:pPr>
      <w:r>
        <w:rPr>
          <w:rFonts w:eastAsia="仿宋_GB2312"/>
          <w:sz w:val="28"/>
          <w:szCs w:val="28"/>
        </w:rPr>
        <w:t>根据</w:t>
      </w:r>
      <w:r>
        <w:rPr>
          <w:rFonts w:hint="eastAsia" w:eastAsia="仿宋_GB2312"/>
          <w:sz w:val="28"/>
          <w:szCs w:val="28"/>
        </w:rPr>
        <w:t>《</w:t>
      </w:r>
      <w:r>
        <w:rPr>
          <w:rFonts w:hint="eastAsia" w:eastAsia="仿宋_GB2312"/>
          <w:bCs/>
          <w:sz w:val="28"/>
          <w:szCs w:val="28"/>
          <w:lang w:val="en"/>
        </w:rPr>
        <w:t>环境影响评价技术导则 地表水环境</w:t>
      </w:r>
      <w:r>
        <w:rPr>
          <w:rFonts w:eastAsia="仿宋_GB2312"/>
          <w:sz w:val="28"/>
          <w:szCs w:val="28"/>
        </w:rPr>
        <w:t>》（HJ2.3-2018）的要求，结合本项目特点，</w:t>
      </w:r>
      <w:r>
        <w:rPr>
          <w:rFonts w:hint="eastAsia" w:eastAsia="仿宋_GB2312"/>
          <w:sz w:val="28"/>
          <w:szCs w:val="28"/>
        </w:rPr>
        <w:t>三级B评价</w:t>
      </w:r>
      <w:r>
        <w:rPr>
          <w:rFonts w:eastAsia="仿宋_GB2312"/>
          <w:sz w:val="28"/>
          <w:szCs w:val="28"/>
        </w:rPr>
        <w:t>范围应符合以下要求：a）应满足其依托污水处理设施环境可行性分析的要求；b）</w:t>
      </w:r>
      <w:r>
        <w:rPr>
          <w:rFonts w:hint="eastAsia" w:eastAsia="仿宋_GB2312"/>
          <w:sz w:val="28"/>
          <w:szCs w:val="28"/>
        </w:rPr>
        <w:t>涉及地表水</w:t>
      </w:r>
      <w:r>
        <w:rPr>
          <w:rFonts w:eastAsia="仿宋_GB2312"/>
          <w:sz w:val="28"/>
          <w:szCs w:val="28"/>
        </w:rPr>
        <w:t>环境风险的，</w:t>
      </w:r>
      <w:r>
        <w:rPr>
          <w:rFonts w:hint="eastAsia" w:eastAsia="仿宋_GB2312"/>
          <w:sz w:val="28"/>
          <w:szCs w:val="28"/>
        </w:rPr>
        <w:t>应</w:t>
      </w:r>
      <w:r>
        <w:rPr>
          <w:rFonts w:eastAsia="仿宋_GB2312"/>
          <w:sz w:val="28"/>
          <w:szCs w:val="28"/>
        </w:rPr>
        <w:t>覆盖环境风险影响范围所及的水环境保护目标</w:t>
      </w:r>
      <w:r>
        <w:rPr>
          <w:rFonts w:hint="eastAsia" w:eastAsia="仿宋_GB2312"/>
          <w:sz w:val="28"/>
          <w:szCs w:val="28"/>
        </w:rPr>
        <w:t>水域</w:t>
      </w:r>
      <w:r>
        <w:rPr>
          <w:rFonts w:eastAsia="仿宋_GB2312"/>
          <w:sz w:val="28"/>
          <w:szCs w:val="28"/>
        </w:rPr>
        <w:t>。</w:t>
      </w:r>
      <w:r>
        <w:rPr>
          <w:rFonts w:hint="eastAsia" w:eastAsia="仿宋_GB2312"/>
          <w:sz w:val="28"/>
          <w:szCs w:val="28"/>
        </w:rPr>
        <w:t>本项目地表水现状</w:t>
      </w:r>
      <w:r>
        <w:rPr>
          <w:rFonts w:eastAsia="仿宋_GB2312"/>
          <w:sz w:val="28"/>
          <w:szCs w:val="28"/>
        </w:rPr>
        <w:t>评价范围为</w:t>
      </w:r>
      <w:r>
        <w:rPr>
          <w:rFonts w:hint="eastAsia" w:eastAsia="仿宋_GB2312"/>
          <w:sz w:val="28"/>
          <w:szCs w:val="28"/>
        </w:rPr>
        <w:t>金坛第二</w:t>
      </w:r>
      <w:r>
        <w:rPr>
          <w:rFonts w:eastAsia="仿宋_GB2312"/>
          <w:sz w:val="28"/>
          <w:szCs w:val="28"/>
        </w:rPr>
        <w:t>污水处理厂排污口</w:t>
      </w:r>
      <w:r>
        <w:rPr>
          <w:rFonts w:hint="eastAsia" w:eastAsia="仿宋_GB2312"/>
          <w:sz w:val="28"/>
          <w:szCs w:val="28"/>
        </w:rPr>
        <w:t>处</w:t>
      </w:r>
      <w:r>
        <w:rPr>
          <w:rFonts w:eastAsia="仿宋_GB2312"/>
          <w:sz w:val="28"/>
          <w:szCs w:val="28"/>
        </w:rPr>
        <w:t>、上游500m至下游1500m处。</w:t>
      </w:r>
    </w:p>
    <w:p>
      <w:pPr>
        <w:spacing w:line="500" w:lineRule="exact"/>
        <w:ind w:firstLine="560" w:firstLineChars="200"/>
        <w:rPr>
          <w:rFonts w:eastAsia="仿宋_GB2312"/>
          <w:sz w:val="28"/>
          <w:szCs w:val="28"/>
        </w:rPr>
      </w:pPr>
      <w:r>
        <w:rPr>
          <w:rFonts w:eastAsia="仿宋_GB2312"/>
          <w:sz w:val="28"/>
          <w:szCs w:val="28"/>
        </w:rPr>
        <w:t>（3）地下水评价范围</w:t>
      </w:r>
    </w:p>
    <w:p>
      <w:pPr>
        <w:spacing w:line="500" w:lineRule="exact"/>
        <w:ind w:firstLine="560" w:firstLineChars="200"/>
        <w:rPr>
          <w:rFonts w:eastAsia="仿宋_GB2312"/>
          <w:sz w:val="28"/>
          <w:szCs w:val="28"/>
        </w:rPr>
      </w:pPr>
      <w:r>
        <w:rPr>
          <w:rFonts w:hint="eastAsia" w:eastAsia="仿宋_GB2312"/>
          <w:sz w:val="28"/>
          <w:szCs w:val="28"/>
        </w:rPr>
        <w:t>按评价导则的规定，本项目地下水影响评价等级为三级，确定</w:t>
      </w:r>
      <w:r>
        <w:rPr>
          <w:rFonts w:eastAsia="仿宋_GB2312"/>
          <w:sz w:val="28"/>
          <w:szCs w:val="28"/>
        </w:rPr>
        <w:t>本次地下水评价范围为周边6km</w:t>
      </w:r>
      <w:r>
        <w:rPr>
          <w:rFonts w:eastAsia="仿宋_GB2312"/>
          <w:sz w:val="28"/>
          <w:szCs w:val="28"/>
          <w:vertAlign w:val="superscript"/>
        </w:rPr>
        <w:t>2</w:t>
      </w:r>
      <w:r>
        <w:rPr>
          <w:rFonts w:eastAsia="仿宋_GB2312"/>
          <w:sz w:val="28"/>
          <w:szCs w:val="28"/>
        </w:rPr>
        <w:t>。</w:t>
      </w:r>
    </w:p>
    <w:p>
      <w:pPr>
        <w:spacing w:line="500" w:lineRule="exact"/>
        <w:ind w:firstLine="560" w:firstLineChars="200"/>
        <w:rPr>
          <w:rFonts w:eastAsia="仿宋_GB2312"/>
          <w:sz w:val="28"/>
          <w:szCs w:val="28"/>
        </w:rPr>
      </w:pPr>
      <w:r>
        <w:rPr>
          <w:rFonts w:hint="eastAsia" w:eastAsia="仿宋_GB2312"/>
          <w:sz w:val="28"/>
          <w:szCs w:val="28"/>
        </w:rPr>
        <w:t>（4）土壤</w:t>
      </w:r>
      <w:r>
        <w:rPr>
          <w:rFonts w:eastAsia="仿宋_GB2312"/>
          <w:sz w:val="28"/>
          <w:szCs w:val="28"/>
        </w:rPr>
        <w:t>评价范围</w:t>
      </w:r>
    </w:p>
    <w:p>
      <w:pPr>
        <w:spacing w:line="500" w:lineRule="exact"/>
        <w:ind w:firstLine="560" w:firstLineChars="200"/>
        <w:rPr>
          <w:rFonts w:eastAsia="仿宋_GB2312"/>
          <w:sz w:val="28"/>
          <w:szCs w:val="28"/>
        </w:rPr>
      </w:pPr>
      <w:r>
        <w:rPr>
          <w:rFonts w:hint="eastAsia" w:eastAsia="仿宋_GB2312"/>
          <w:sz w:val="28"/>
          <w:szCs w:val="28"/>
        </w:rPr>
        <w:t>根据《环境影响评价技术导则-土壤环境（试行）》（HJ964-2018），本项目土壤环境影响评价工作等级确定为二级，评价范围为厂界范围内及厂界外200</w:t>
      </w:r>
      <w:r>
        <w:rPr>
          <w:rFonts w:eastAsia="仿宋_GB2312"/>
          <w:sz w:val="28"/>
          <w:szCs w:val="28"/>
        </w:rPr>
        <w:t>m</w:t>
      </w:r>
      <w:r>
        <w:rPr>
          <w:rFonts w:hint="eastAsia" w:eastAsia="仿宋_GB2312"/>
          <w:sz w:val="28"/>
          <w:szCs w:val="28"/>
        </w:rPr>
        <w:t>范围内。</w:t>
      </w:r>
    </w:p>
    <w:p>
      <w:pPr>
        <w:spacing w:line="500" w:lineRule="exact"/>
        <w:ind w:firstLine="560" w:firstLineChars="200"/>
        <w:rPr>
          <w:rFonts w:eastAsia="仿宋_GB2312"/>
          <w:sz w:val="28"/>
          <w:szCs w:val="28"/>
        </w:rPr>
      </w:pPr>
      <w:r>
        <w:rPr>
          <w:rFonts w:eastAsia="仿宋_GB2312"/>
          <w:sz w:val="28"/>
          <w:szCs w:val="28"/>
        </w:rPr>
        <w:t>（5）噪声影响评价范围</w:t>
      </w:r>
    </w:p>
    <w:p>
      <w:pPr>
        <w:spacing w:line="500" w:lineRule="exact"/>
        <w:ind w:firstLine="560" w:firstLineChars="200"/>
        <w:rPr>
          <w:rFonts w:eastAsia="仿宋_GB2312"/>
          <w:sz w:val="28"/>
          <w:szCs w:val="28"/>
        </w:rPr>
      </w:pPr>
      <w:r>
        <w:rPr>
          <w:rFonts w:eastAsia="仿宋_GB2312"/>
          <w:sz w:val="28"/>
          <w:szCs w:val="28"/>
        </w:rPr>
        <w:t>根据噪声环境影响评价技术原则与方法中工作等级划分判据及建设项目所在地的声环境功能要求，确定声环境影响评价等级为三级，评价范围厂界外200米以内。</w:t>
      </w:r>
    </w:p>
    <w:p>
      <w:pPr>
        <w:spacing w:line="500" w:lineRule="exact"/>
        <w:ind w:firstLine="560" w:firstLineChars="200"/>
        <w:rPr>
          <w:rFonts w:eastAsia="仿宋_GB2312"/>
          <w:sz w:val="28"/>
          <w:szCs w:val="28"/>
        </w:rPr>
      </w:pPr>
      <w:r>
        <w:rPr>
          <w:rFonts w:eastAsia="仿宋_GB2312"/>
          <w:sz w:val="28"/>
          <w:szCs w:val="28"/>
        </w:rPr>
        <w:t>（6）风险评价范围</w:t>
      </w:r>
    </w:p>
    <w:p>
      <w:pPr>
        <w:pStyle w:val="150"/>
        <w:ind w:firstLine="560"/>
        <w:rPr>
          <w:rFonts w:eastAsia="仿宋_GB2312"/>
          <w:sz w:val="28"/>
          <w:szCs w:val="28"/>
        </w:rPr>
      </w:pPr>
      <w:r>
        <w:rPr>
          <w:rFonts w:eastAsia="仿宋_GB2312"/>
          <w:sz w:val="28"/>
          <w:szCs w:val="28"/>
        </w:rPr>
        <w:t>根据《建设项目环境风险评价技术导则》规定，大气评价工作等级为二级，评价范围为距离风险源5km范围。地表水进行简单分析，评价范围覆盖建设项目污染影响所及水域，覆盖对照断面、控制断面与消减断面等关心断面。地下水进行简单分析，评价范围为项目周边6km</w:t>
      </w:r>
      <w:r>
        <w:rPr>
          <w:rFonts w:eastAsia="仿宋_GB2312"/>
          <w:sz w:val="28"/>
          <w:szCs w:val="28"/>
          <w:vertAlign w:val="superscript"/>
        </w:rPr>
        <w:t>2</w:t>
      </w:r>
      <w:r>
        <w:rPr>
          <w:rFonts w:eastAsia="仿宋_GB2312"/>
          <w:sz w:val="28"/>
          <w:szCs w:val="28"/>
        </w:rPr>
        <w:t>范围内潜水层。</w:t>
      </w:r>
    </w:p>
    <w:p>
      <w:pPr>
        <w:spacing w:line="500" w:lineRule="exact"/>
        <w:ind w:firstLine="560" w:firstLineChars="200"/>
        <w:rPr>
          <w:rFonts w:eastAsia="仿宋_GB2312"/>
          <w:sz w:val="28"/>
          <w:szCs w:val="28"/>
        </w:rPr>
      </w:pPr>
      <w:r>
        <w:rPr>
          <w:rFonts w:eastAsia="仿宋_GB2312"/>
          <w:sz w:val="28"/>
          <w:szCs w:val="28"/>
        </w:rPr>
        <w:t>（7）</w:t>
      </w:r>
      <w:r>
        <w:rPr>
          <w:rFonts w:hint="eastAsia" w:eastAsia="仿宋_GB2312"/>
          <w:sz w:val="28"/>
          <w:szCs w:val="28"/>
        </w:rPr>
        <w:t>生态</w:t>
      </w:r>
      <w:r>
        <w:rPr>
          <w:rFonts w:eastAsia="仿宋_GB2312"/>
          <w:sz w:val="28"/>
          <w:szCs w:val="28"/>
        </w:rPr>
        <w:t>环境评价范围</w:t>
      </w:r>
    </w:p>
    <w:p>
      <w:pPr>
        <w:pStyle w:val="150"/>
        <w:ind w:firstLine="560"/>
        <w:rPr>
          <w:rFonts w:eastAsia="仿宋_GB2312"/>
          <w:sz w:val="28"/>
          <w:szCs w:val="28"/>
        </w:rPr>
      </w:pPr>
      <w:r>
        <w:rPr>
          <w:rFonts w:eastAsia="仿宋_GB2312"/>
          <w:sz w:val="28"/>
          <w:szCs w:val="28"/>
        </w:rPr>
        <w:t>根据《</w:t>
      </w:r>
      <w:r>
        <w:rPr>
          <w:rFonts w:hint="eastAsia" w:eastAsia="仿宋_GB2312"/>
          <w:sz w:val="28"/>
          <w:szCs w:val="28"/>
        </w:rPr>
        <w:t>环境</w:t>
      </w:r>
      <w:r>
        <w:rPr>
          <w:rFonts w:eastAsia="仿宋_GB2312"/>
          <w:sz w:val="28"/>
          <w:szCs w:val="28"/>
        </w:rPr>
        <w:t>影响评级技术导则</w:t>
      </w:r>
      <w:r>
        <w:rPr>
          <w:rFonts w:hint="eastAsia" w:eastAsia="仿宋_GB2312"/>
          <w:sz w:val="28"/>
          <w:szCs w:val="28"/>
        </w:rPr>
        <w:t xml:space="preserve"> 生态</w:t>
      </w:r>
      <w:r>
        <w:rPr>
          <w:rFonts w:eastAsia="仿宋_GB2312"/>
          <w:sz w:val="28"/>
          <w:szCs w:val="28"/>
        </w:rPr>
        <w:t>影响》规定</w:t>
      </w:r>
      <w:r>
        <w:rPr>
          <w:rFonts w:hint="eastAsia" w:eastAsia="仿宋_GB2312"/>
          <w:sz w:val="28"/>
          <w:szCs w:val="28"/>
        </w:rPr>
        <w:t>，污染</w:t>
      </w:r>
      <w:r>
        <w:rPr>
          <w:rFonts w:eastAsia="仿宋_GB2312"/>
          <w:sz w:val="28"/>
          <w:szCs w:val="28"/>
        </w:rPr>
        <w:t>影响类项目评价范围为</w:t>
      </w:r>
      <w:r>
        <w:rPr>
          <w:rFonts w:hint="eastAsia" w:eastAsia="仿宋_GB2312"/>
          <w:sz w:val="28"/>
          <w:szCs w:val="28"/>
        </w:rPr>
        <w:t>项目</w:t>
      </w:r>
      <w:r>
        <w:rPr>
          <w:rFonts w:eastAsia="仿宋_GB2312"/>
          <w:sz w:val="28"/>
          <w:szCs w:val="28"/>
        </w:rPr>
        <w:t>厂址直接占用区域。</w:t>
      </w:r>
    </w:p>
    <w:p>
      <w:pPr>
        <w:pStyle w:val="4"/>
        <w:keepLines w:val="0"/>
        <w:numPr>
          <w:ilvl w:val="2"/>
          <w:numId w:val="1"/>
        </w:numPr>
        <w:tabs>
          <w:tab w:val="left" w:pos="709"/>
        </w:tabs>
        <w:spacing w:before="120" w:beforeLines="50" w:after="120" w:afterLines="50" w:line="500" w:lineRule="exact"/>
        <w:ind w:left="422" w:hanging="422" w:hangingChars="150"/>
        <w:rPr>
          <w:rFonts w:eastAsia="仿宋_GB2312"/>
          <w:sz w:val="28"/>
          <w:szCs w:val="28"/>
        </w:rPr>
      </w:pPr>
      <w:bookmarkStart w:id="172" w:name="_Toc328747110"/>
      <w:bookmarkStart w:id="173" w:name="_Toc105831174"/>
      <w:bookmarkStart w:id="174" w:name="_Toc48119067"/>
      <w:bookmarkStart w:id="175" w:name="_Toc87426739"/>
      <w:bookmarkStart w:id="176" w:name="_Toc75316701"/>
      <w:bookmarkStart w:id="177" w:name="_Toc85012459"/>
      <w:bookmarkStart w:id="178" w:name="_Toc53416246"/>
      <w:bookmarkStart w:id="179" w:name="_Toc51583795"/>
      <w:bookmarkStart w:id="180" w:name="_Toc100835975"/>
      <w:bookmarkStart w:id="181" w:name="_Toc160271879"/>
      <w:bookmarkStart w:id="182" w:name="_Toc88297645"/>
      <w:bookmarkStart w:id="183" w:name="_Toc51932983"/>
      <w:bookmarkStart w:id="184" w:name="_Toc149991887"/>
      <w:bookmarkStart w:id="185" w:name="_Toc89501959"/>
      <w:bookmarkStart w:id="186" w:name="_Toc51146451"/>
      <w:bookmarkStart w:id="187" w:name="_Toc85180757"/>
      <w:bookmarkStart w:id="188" w:name="_Toc87426569"/>
      <w:r>
        <w:rPr>
          <w:rFonts w:eastAsia="仿宋_GB2312"/>
          <w:sz w:val="28"/>
          <w:szCs w:val="28"/>
        </w:rPr>
        <w:t>环境保护目标</w:t>
      </w:r>
    </w:p>
    <w:p>
      <w:pPr>
        <w:pStyle w:val="150"/>
        <w:ind w:firstLine="560"/>
        <w:rPr>
          <w:rFonts w:eastAsia="仿宋_GB2312"/>
          <w:sz w:val="28"/>
          <w:szCs w:val="28"/>
        </w:rPr>
      </w:pPr>
      <w:r>
        <w:rPr>
          <w:rFonts w:eastAsia="仿宋_GB2312"/>
          <w:sz w:val="28"/>
          <w:szCs w:val="28"/>
        </w:rPr>
        <w:t>距离本项目最近的常州市空气质量监测国控站点为金坛城区监测站（金坛区清风路1号，金坛区政府D座楼，经纬度为119.58260</w:t>
      </w:r>
      <w:r>
        <w:rPr>
          <w:rFonts w:hint="eastAsia"/>
        </w:rPr>
        <w:t>°、</w:t>
      </w:r>
      <w:r>
        <w:rPr>
          <w:rFonts w:eastAsia="仿宋_GB2312"/>
          <w:sz w:val="28"/>
          <w:szCs w:val="28"/>
        </w:rPr>
        <w:t>31.72450</w:t>
      </w:r>
      <w:r>
        <w:rPr>
          <w:rFonts w:hint="eastAsia"/>
        </w:rPr>
        <w:t>°</w:t>
      </w:r>
      <w:r>
        <w:rPr>
          <w:rFonts w:eastAsia="仿宋_GB2312"/>
          <w:sz w:val="28"/>
          <w:szCs w:val="28"/>
        </w:rPr>
        <w:t>），到本项目厂界最近距离约为5.6km，本项目不在常州市空气质量监测国控站点3km范围内。</w:t>
      </w:r>
    </w:p>
    <w:p>
      <w:pPr>
        <w:pStyle w:val="75"/>
        <w:spacing w:after="0" w:line="500" w:lineRule="exact"/>
        <w:ind w:firstLine="560" w:firstLineChars="200"/>
        <w:rPr>
          <w:rFonts w:eastAsia="仿宋_GB2312"/>
          <w:sz w:val="28"/>
          <w:szCs w:val="28"/>
        </w:rPr>
      </w:pPr>
      <w:r>
        <w:rPr>
          <w:rFonts w:eastAsia="仿宋_GB2312"/>
          <w:sz w:val="28"/>
          <w:szCs w:val="28"/>
        </w:rPr>
        <w:t>主要环境保护目标见表2.5-1及</w:t>
      </w:r>
      <w:r>
        <w:rPr>
          <w:rFonts w:eastAsia="仿宋_GB2312"/>
          <w:b/>
          <w:sz w:val="28"/>
          <w:szCs w:val="28"/>
        </w:rPr>
        <w:t>图2.5-1</w:t>
      </w:r>
      <w:r>
        <w:rPr>
          <w:rFonts w:eastAsia="仿宋_GB2312"/>
          <w:sz w:val="28"/>
          <w:szCs w:val="28"/>
        </w:rPr>
        <w:t>。</w:t>
      </w:r>
      <w:bookmarkStart w:id="189" w:name="_Ref322963204"/>
    </w:p>
    <w:p>
      <w:pPr>
        <w:spacing w:line="500" w:lineRule="exact"/>
        <w:jc w:val="center"/>
        <w:rPr>
          <w:rFonts w:eastAsia="仿宋_GB2312"/>
          <w:b/>
          <w:bCs/>
          <w:sz w:val="24"/>
        </w:rPr>
      </w:pPr>
      <w:r>
        <w:rPr>
          <w:rFonts w:eastAsia="仿宋_GB2312"/>
          <w:b/>
          <w:bCs/>
          <w:sz w:val="24"/>
        </w:rPr>
        <w:t>表</w:t>
      </w:r>
      <w:bookmarkEnd w:id="189"/>
      <w:r>
        <w:rPr>
          <w:rFonts w:eastAsia="仿宋_GB2312"/>
          <w:b/>
          <w:bCs/>
          <w:sz w:val="24"/>
        </w:rPr>
        <w:t>2.5-1  主要环境保护目标</w:t>
      </w:r>
    </w:p>
    <w:tbl>
      <w:tblPr>
        <w:tblStyle w:val="87"/>
        <w:tblW w:w="568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1368"/>
        <w:gridCol w:w="1587"/>
        <w:gridCol w:w="1510"/>
        <w:gridCol w:w="677"/>
        <w:gridCol w:w="1023"/>
        <w:gridCol w:w="1245"/>
        <w:gridCol w:w="20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383"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ascii="仿宋" w:hAnsi="仿宋" w:eastAsia="仿宋" w:cs="仿宋"/>
                <w:bCs/>
                <w:szCs w:val="21"/>
              </w:rPr>
              <w:t>环境要素</w:t>
            </w:r>
          </w:p>
        </w:tc>
        <w:tc>
          <w:tcPr>
            <w:tcW w:w="666"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ascii="仿宋" w:hAnsi="仿宋" w:eastAsia="仿宋" w:cs="仿宋"/>
                <w:bCs/>
                <w:szCs w:val="21"/>
              </w:rPr>
              <w:t>环境保护目标</w:t>
            </w:r>
          </w:p>
        </w:tc>
        <w:tc>
          <w:tcPr>
            <w:tcW w:w="1507" w:type="pct"/>
            <w:gridSpan w:val="2"/>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坐标（</w:t>
            </w:r>
            <w:r>
              <w:rPr>
                <w:rFonts w:hint="eastAsia"/>
              </w:rPr>
              <w:t>°</w:t>
            </w:r>
            <w:r>
              <w:rPr>
                <w:rFonts w:hint="eastAsia" w:ascii="仿宋" w:hAnsi="仿宋" w:eastAsia="仿宋" w:cs="仿宋"/>
                <w:bCs/>
                <w:szCs w:val="21"/>
              </w:rPr>
              <w:t>）</w:t>
            </w:r>
          </w:p>
        </w:tc>
        <w:tc>
          <w:tcPr>
            <w:tcW w:w="329"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ascii="仿宋" w:hAnsi="仿宋" w:eastAsia="仿宋" w:cs="仿宋"/>
                <w:bCs/>
                <w:szCs w:val="21"/>
              </w:rPr>
              <w:t>方位</w:t>
            </w:r>
          </w:p>
        </w:tc>
        <w:tc>
          <w:tcPr>
            <w:tcW w:w="498"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ascii="仿宋" w:hAnsi="仿宋" w:eastAsia="仿宋" w:cs="仿宋"/>
                <w:bCs/>
                <w:szCs w:val="21"/>
              </w:rPr>
              <w:t>距离（m）</w:t>
            </w:r>
          </w:p>
        </w:tc>
        <w:tc>
          <w:tcPr>
            <w:tcW w:w="606"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ascii="仿宋" w:hAnsi="仿宋" w:eastAsia="仿宋" w:cs="仿宋"/>
                <w:bCs/>
                <w:szCs w:val="21"/>
              </w:rPr>
              <w:t>规模(人)</w:t>
            </w:r>
          </w:p>
        </w:tc>
        <w:tc>
          <w:tcPr>
            <w:tcW w:w="1011"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ascii="仿宋" w:hAnsi="仿宋" w:eastAsia="仿宋" w:cs="仿宋"/>
                <w:bCs/>
                <w:szCs w:val="21"/>
              </w:rPr>
              <w:t>环境功能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383" w:type="pct"/>
            <w:vMerge w:val="restar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ascii="仿宋" w:hAnsi="仿宋" w:eastAsia="仿宋" w:cs="仿宋"/>
                <w:bCs/>
                <w:szCs w:val="21"/>
              </w:rPr>
              <w:t>水环境</w:t>
            </w:r>
          </w:p>
        </w:tc>
        <w:tc>
          <w:tcPr>
            <w:tcW w:w="666" w:type="pct"/>
            <w:shd w:val="clear" w:color="auto" w:fill="auto"/>
            <w:tcMar>
              <w:left w:w="0" w:type="dxa"/>
              <w:right w:w="0" w:type="dxa"/>
            </w:tcMar>
            <w:vAlign w:val="center"/>
          </w:tcPr>
          <w:p>
            <w:pPr>
              <w:widowControl/>
              <w:autoSpaceDE w:val="0"/>
              <w:autoSpaceDN w:val="0"/>
              <w:adjustRightInd w:val="0"/>
              <w:snapToGrid w:val="0"/>
              <w:jc w:val="center"/>
              <w:rPr>
                <w:rFonts w:ascii="仿宋" w:hAnsi="仿宋" w:eastAsia="仿宋" w:cs="仿宋"/>
                <w:bCs/>
                <w:szCs w:val="21"/>
              </w:rPr>
            </w:pPr>
            <w:r>
              <w:rPr>
                <w:rFonts w:eastAsia="仿宋"/>
                <w:bCs/>
                <w:szCs w:val="21"/>
              </w:rPr>
              <w:t>丹金溧漕河</w:t>
            </w:r>
          </w:p>
        </w:tc>
        <w:tc>
          <w:tcPr>
            <w:tcW w:w="772" w:type="pct"/>
            <w:vAlign w:val="center"/>
          </w:tcPr>
          <w:p>
            <w:pPr>
              <w:spacing w:line="240" w:lineRule="exact"/>
              <w:jc w:val="center"/>
              <w:rPr>
                <w:rFonts w:ascii="仿宋" w:hAnsi="仿宋" w:eastAsia="仿宋" w:cs="仿宋"/>
                <w:bCs/>
                <w:szCs w:val="21"/>
              </w:rPr>
            </w:pPr>
            <w:r>
              <w:rPr>
                <w:rFonts w:ascii="仿宋" w:hAnsi="仿宋" w:eastAsia="仿宋" w:cs="仿宋"/>
                <w:bCs/>
                <w:szCs w:val="21"/>
              </w:rPr>
              <w:t>119.5346990</w:t>
            </w:r>
          </w:p>
        </w:tc>
        <w:tc>
          <w:tcPr>
            <w:tcW w:w="735" w:type="pct"/>
            <w:vAlign w:val="center"/>
          </w:tcPr>
          <w:p>
            <w:pPr>
              <w:spacing w:line="240" w:lineRule="exact"/>
              <w:jc w:val="center"/>
              <w:rPr>
                <w:rFonts w:ascii="仿宋" w:hAnsi="仿宋" w:eastAsia="仿宋" w:cs="仿宋"/>
                <w:bCs/>
                <w:szCs w:val="21"/>
              </w:rPr>
            </w:pPr>
            <w:r>
              <w:rPr>
                <w:rFonts w:ascii="仿宋" w:hAnsi="仿宋" w:eastAsia="仿宋" w:cs="仿宋"/>
                <w:bCs/>
                <w:szCs w:val="21"/>
              </w:rPr>
              <w:t>31.772567</w:t>
            </w:r>
            <w:r>
              <w:rPr>
                <w:rFonts w:hint="eastAsia" w:ascii="仿宋" w:hAnsi="仿宋" w:eastAsia="仿宋" w:cs="仿宋"/>
                <w:bCs/>
                <w:szCs w:val="21"/>
              </w:rPr>
              <w:t>1</w:t>
            </w:r>
          </w:p>
        </w:tc>
        <w:tc>
          <w:tcPr>
            <w:tcW w:w="329" w:type="pct"/>
            <w:shd w:val="clear" w:color="auto" w:fill="auto"/>
            <w:tcMar>
              <w:left w:w="0" w:type="dxa"/>
              <w:right w:w="0" w:type="dxa"/>
            </w:tcMar>
            <w:vAlign w:val="center"/>
          </w:tcPr>
          <w:p>
            <w:pPr>
              <w:pStyle w:val="124"/>
              <w:spacing w:line="240" w:lineRule="exact"/>
              <w:rPr>
                <w:rFonts w:ascii="仿宋" w:hAnsi="仿宋" w:eastAsia="仿宋" w:cs="仿宋"/>
                <w:bCs/>
                <w:szCs w:val="21"/>
              </w:rPr>
            </w:pPr>
            <w:r>
              <w:rPr>
                <w:rFonts w:hint="eastAsia" w:ascii="仿宋" w:hAnsi="仿宋" w:eastAsia="仿宋" w:cs="仿宋"/>
                <w:bCs/>
                <w:szCs w:val="21"/>
              </w:rPr>
              <w:t>W</w:t>
            </w:r>
          </w:p>
        </w:tc>
        <w:tc>
          <w:tcPr>
            <w:tcW w:w="498" w:type="pct"/>
            <w:shd w:val="clear" w:color="auto" w:fill="auto"/>
            <w:tcMar>
              <w:left w:w="0" w:type="dxa"/>
              <w:right w:w="0" w:type="dxa"/>
            </w:tcMar>
            <w:vAlign w:val="center"/>
          </w:tcPr>
          <w:p>
            <w:pPr>
              <w:widowControl/>
              <w:jc w:val="center"/>
              <w:rPr>
                <w:rFonts w:ascii="仿宋" w:hAnsi="仿宋" w:eastAsia="仿宋" w:cs="仿宋"/>
                <w:bCs/>
                <w:szCs w:val="21"/>
              </w:rPr>
            </w:pPr>
            <w:r>
              <w:rPr>
                <w:rFonts w:eastAsia="仿宋"/>
                <w:bCs/>
                <w:szCs w:val="21"/>
              </w:rPr>
              <w:t>1880</w:t>
            </w:r>
          </w:p>
        </w:tc>
        <w:tc>
          <w:tcPr>
            <w:tcW w:w="606"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w:t>
            </w:r>
          </w:p>
        </w:tc>
        <w:tc>
          <w:tcPr>
            <w:tcW w:w="1011" w:type="pct"/>
            <w:vMerge w:val="restar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eastAsia="仿宋"/>
                <w:bCs/>
                <w:szCs w:val="21"/>
              </w:rPr>
              <w:t>《地表水环境质量标准》（GB3838-2002）</w:t>
            </w:r>
            <w:r>
              <w:rPr>
                <w:rFonts w:hint="eastAsia" w:ascii="宋体" w:hAnsi="宋体" w:cs="宋体"/>
                <w:bCs/>
                <w:szCs w:val="21"/>
              </w:rPr>
              <w:t>Ⅲ</w:t>
            </w:r>
            <w:r>
              <w:rPr>
                <w:rFonts w:eastAsia="仿宋"/>
                <w:bCs/>
                <w:szCs w:val="21"/>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383"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c>
          <w:tcPr>
            <w:tcW w:w="666" w:type="pct"/>
            <w:shd w:val="clear" w:color="auto" w:fill="auto"/>
            <w:tcMar>
              <w:left w:w="0" w:type="dxa"/>
              <w:right w:w="0" w:type="dxa"/>
            </w:tcMar>
            <w:vAlign w:val="center"/>
          </w:tcPr>
          <w:p>
            <w:pPr>
              <w:widowControl/>
              <w:autoSpaceDE w:val="0"/>
              <w:autoSpaceDN w:val="0"/>
              <w:adjustRightInd w:val="0"/>
              <w:snapToGrid w:val="0"/>
              <w:jc w:val="center"/>
              <w:rPr>
                <w:rFonts w:ascii="仿宋" w:hAnsi="仿宋" w:eastAsia="仿宋" w:cs="仿宋"/>
                <w:bCs/>
                <w:szCs w:val="21"/>
              </w:rPr>
            </w:pPr>
            <w:r>
              <w:rPr>
                <w:rFonts w:eastAsia="仿宋"/>
                <w:bCs/>
                <w:szCs w:val="21"/>
              </w:rPr>
              <w:t>尧塘河</w:t>
            </w:r>
          </w:p>
        </w:tc>
        <w:tc>
          <w:tcPr>
            <w:tcW w:w="772" w:type="pct"/>
            <w:vAlign w:val="center"/>
          </w:tcPr>
          <w:p>
            <w:pPr>
              <w:spacing w:line="240" w:lineRule="exact"/>
              <w:jc w:val="center"/>
              <w:rPr>
                <w:rFonts w:ascii="仿宋" w:hAnsi="仿宋" w:eastAsia="仿宋" w:cs="仿宋"/>
                <w:bCs/>
                <w:szCs w:val="21"/>
              </w:rPr>
            </w:pPr>
            <w:r>
              <w:rPr>
                <w:rFonts w:ascii="仿宋" w:hAnsi="仿宋" w:eastAsia="仿宋" w:cs="仿宋"/>
                <w:bCs/>
                <w:szCs w:val="21"/>
              </w:rPr>
              <w:t>119.5858692</w:t>
            </w:r>
          </w:p>
        </w:tc>
        <w:tc>
          <w:tcPr>
            <w:tcW w:w="735" w:type="pct"/>
            <w:vAlign w:val="center"/>
          </w:tcPr>
          <w:p>
            <w:pPr>
              <w:spacing w:line="240" w:lineRule="exact"/>
              <w:jc w:val="center"/>
              <w:rPr>
                <w:rFonts w:ascii="仿宋" w:hAnsi="仿宋" w:eastAsia="仿宋" w:cs="仿宋"/>
                <w:bCs/>
                <w:szCs w:val="21"/>
              </w:rPr>
            </w:pPr>
            <w:r>
              <w:rPr>
                <w:rFonts w:ascii="仿宋" w:hAnsi="仿宋" w:eastAsia="仿宋" w:cs="仿宋"/>
                <w:bCs/>
                <w:szCs w:val="21"/>
              </w:rPr>
              <w:t>31.765704</w:t>
            </w:r>
            <w:r>
              <w:rPr>
                <w:rFonts w:hint="eastAsia" w:ascii="仿宋" w:hAnsi="仿宋" w:eastAsia="仿宋" w:cs="仿宋"/>
                <w:bCs/>
                <w:szCs w:val="21"/>
              </w:rPr>
              <w:t>2</w:t>
            </w:r>
          </w:p>
        </w:tc>
        <w:tc>
          <w:tcPr>
            <w:tcW w:w="329" w:type="pct"/>
            <w:shd w:val="clear" w:color="auto" w:fill="auto"/>
            <w:tcMar>
              <w:left w:w="0" w:type="dxa"/>
              <w:right w:w="0" w:type="dxa"/>
            </w:tcMar>
            <w:vAlign w:val="center"/>
          </w:tcPr>
          <w:p>
            <w:pPr>
              <w:pStyle w:val="124"/>
              <w:spacing w:line="240" w:lineRule="exact"/>
              <w:rPr>
                <w:rFonts w:ascii="仿宋" w:hAnsi="仿宋" w:eastAsia="仿宋" w:cs="仿宋"/>
                <w:bCs/>
                <w:szCs w:val="21"/>
              </w:rPr>
            </w:pPr>
            <w:r>
              <w:rPr>
                <w:rFonts w:hint="eastAsia" w:ascii="仿宋" w:hAnsi="仿宋" w:eastAsia="仿宋" w:cs="仿宋"/>
                <w:bCs/>
                <w:szCs w:val="21"/>
              </w:rPr>
              <w:t>SE</w:t>
            </w:r>
          </w:p>
        </w:tc>
        <w:tc>
          <w:tcPr>
            <w:tcW w:w="498" w:type="pct"/>
            <w:shd w:val="clear" w:color="auto" w:fill="auto"/>
            <w:tcMar>
              <w:left w:w="0" w:type="dxa"/>
              <w:right w:w="0" w:type="dxa"/>
            </w:tcMar>
            <w:vAlign w:val="center"/>
          </w:tcPr>
          <w:p>
            <w:pPr>
              <w:widowControl/>
              <w:jc w:val="center"/>
              <w:rPr>
                <w:rFonts w:ascii="仿宋" w:hAnsi="仿宋" w:eastAsia="仿宋" w:cs="仿宋"/>
                <w:bCs/>
                <w:szCs w:val="21"/>
              </w:rPr>
            </w:pPr>
            <w:r>
              <w:rPr>
                <w:rFonts w:eastAsia="仿宋"/>
                <w:bCs/>
                <w:szCs w:val="21"/>
              </w:rPr>
              <w:t>2700</w:t>
            </w:r>
          </w:p>
        </w:tc>
        <w:tc>
          <w:tcPr>
            <w:tcW w:w="606"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w:t>
            </w:r>
          </w:p>
        </w:tc>
        <w:tc>
          <w:tcPr>
            <w:tcW w:w="1011"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restar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ascii="仿宋" w:hAnsi="仿宋" w:eastAsia="仿宋" w:cs="仿宋"/>
                <w:bCs/>
                <w:szCs w:val="21"/>
              </w:rPr>
              <w:t>大气环境</w:t>
            </w:r>
          </w:p>
        </w:tc>
        <w:tc>
          <w:tcPr>
            <w:tcW w:w="666" w:type="pct"/>
            <w:shd w:val="clear" w:color="auto" w:fill="auto"/>
            <w:tcMar>
              <w:left w:w="0" w:type="dxa"/>
              <w:right w:w="0" w:type="dxa"/>
            </w:tcMar>
            <w:vAlign w:val="center"/>
          </w:tcPr>
          <w:p>
            <w:pPr>
              <w:widowControl/>
              <w:autoSpaceDE w:val="0"/>
              <w:autoSpaceDN w:val="0"/>
              <w:adjustRightInd w:val="0"/>
              <w:snapToGrid w:val="0"/>
              <w:jc w:val="center"/>
              <w:rPr>
                <w:rFonts w:eastAsia="仿宋"/>
                <w:bCs/>
                <w:szCs w:val="21"/>
              </w:rPr>
            </w:pPr>
            <w:r>
              <w:rPr>
                <w:rFonts w:hint="eastAsia" w:eastAsia="仿宋"/>
                <w:bCs/>
                <w:szCs w:val="21"/>
              </w:rPr>
              <w:t>唐庄</w:t>
            </w:r>
          </w:p>
        </w:tc>
        <w:tc>
          <w:tcPr>
            <w:tcW w:w="772"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119.5596213</w:t>
            </w:r>
          </w:p>
        </w:tc>
        <w:tc>
          <w:tcPr>
            <w:tcW w:w="735"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31.77054484</w:t>
            </w:r>
          </w:p>
        </w:tc>
        <w:tc>
          <w:tcPr>
            <w:tcW w:w="329"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E</w:t>
            </w:r>
          </w:p>
        </w:tc>
        <w:tc>
          <w:tcPr>
            <w:tcW w:w="498"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768</w:t>
            </w:r>
          </w:p>
        </w:tc>
        <w:tc>
          <w:tcPr>
            <w:tcW w:w="606"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80</w:t>
            </w:r>
          </w:p>
        </w:tc>
        <w:tc>
          <w:tcPr>
            <w:tcW w:w="1011" w:type="pct"/>
            <w:vMerge w:val="restar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ascii="仿宋" w:hAnsi="仿宋" w:eastAsia="仿宋" w:cs="仿宋"/>
                <w:bCs/>
                <w:szCs w:val="21"/>
              </w:rPr>
              <w:t>《环境空气质量标准》（GB3095-2012）二级标准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c>
          <w:tcPr>
            <w:tcW w:w="666" w:type="pct"/>
            <w:shd w:val="clear" w:color="auto" w:fill="auto"/>
            <w:tcMar>
              <w:left w:w="0" w:type="dxa"/>
              <w:right w:w="0" w:type="dxa"/>
            </w:tcMar>
            <w:vAlign w:val="center"/>
          </w:tcPr>
          <w:p>
            <w:pPr>
              <w:widowControl/>
              <w:autoSpaceDE w:val="0"/>
              <w:autoSpaceDN w:val="0"/>
              <w:adjustRightInd w:val="0"/>
              <w:snapToGrid w:val="0"/>
              <w:jc w:val="center"/>
              <w:rPr>
                <w:rFonts w:eastAsia="仿宋"/>
                <w:bCs/>
                <w:szCs w:val="21"/>
              </w:rPr>
            </w:pPr>
            <w:r>
              <w:rPr>
                <w:rFonts w:hint="eastAsia" w:eastAsia="仿宋"/>
                <w:bCs/>
                <w:szCs w:val="21"/>
              </w:rPr>
              <w:t>宋庄</w:t>
            </w:r>
          </w:p>
        </w:tc>
        <w:tc>
          <w:tcPr>
            <w:tcW w:w="772"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119.5607371</w:t>
            </w:r>
          </w:p>
        </w:tc>
        <w:tc>
          <w:tcPr>
            <w:tcW w:w="735"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31.7674549</w:t>
            </w:r>
          </w:p>
        </w:tc>
        <w:tc>
          <w:tcPr>
            <w:tcW w:w="329"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E</w:t>
            </w:r>
          </w:p>
        </w:tc>
        <w:tc>
          <w:tcPr>
            <w:tcW w:w="498"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916</w:t>
            </w:r>
          </w:p>
        </w:tc>
        <w:tc>
          <w:tcPr>
            <w:tcW w:w="606"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120</w:t>
            </w:r>
          </w:p>
        </w:tc>
        <w:tc>
          <w:tcPr>
            <w:tcW w:w="1011"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c>
          <w:tcPr>
            <w:tcW w:w="666" w:type="pct"/>
            <w:shd w:val="clear" w:color="auto" w:fill="auto"/>
            <w:tcMar>
              <w:left w:w="0" w:type="dxa"/>
              <w:right w:w="0" w:type="dxa"/>
            </w:tcMar>
            <w:vAlign w:val="center"/>
          </w:tcPr>
          <w:p>
            <w:pPr>
              <w:widowControl/>
              <w:autoSpaceDE w:val="0"/>
              <w:autoSpaceDN w:val="0"/>
              <w:adjustRightInd w:val="0"/>
              <w:snapToGrid w:val="0"/>
              <w:jc w:val="center"/>
              <w:rPr>
                <w:rFonts w:eastAsia="仿宋"/>
                <w:bCs/>
                <w:szCs w:val="21"/>
              </w:rPr>
            </w:pPr>
            <w:r>
              <w:rPr>
                <w:rFonts w:hint="eastAsia" w:eastAsia="仿宋"/>
                <w:bCs/>
                <w:szCs w:val="21"/>
              </w:rPr>
              <w:t>陈家庄</w:t>
            </w:r>
          </w:p>
        </w:tc>
        <w:tc>
          <w:tcPr>
            <w:tcW w:w="772"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119.5716376</w:t>
            </w:r>
          </w:p>
        </w:tc>
        <w:tc>
          <w:tcPr>
            <w:tcW w:w="735"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31.76788</w:t>
            </w:r>
          </w:p>
        </w:tc>
        <w:tc>
          <w:tcPr>
            <w:tcW w:w="329"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E</w:t>
            </w:r>
          </w:p>
        </w:tc>
        <w:tc>
          <w:tcPr>
            <w:tcW w:w="498"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1921</w:t>
            </w:r>
          </w:p>
        </w:tc>
        <w:tc>
          <w:tcPr>
            <w:tcW w:w="606"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300</w:t>
            </w:r>
          </w:p>
        </w:tc>
        <w:tc>
          <w:tcPr>
            <w:tcW w:w="1011"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c>
          <w:tcPr>
            <w:tcW w:w="666" w:type="pct"/>
            <w:shd w:val="clear" w:color="auto" w:fill="auto"/>
            <w:tcMar>
              <w:left w:w="0" w:type="dxa"/>
              <w:right w:w="0" w:type="dxa"/>
            </w:tcMar>
            <w:vAlign w:val="center"/>
          </w:tcPr>
          <w:p>
            <w:pPr>
              <w:widowControl/>
              <w:autoSpaceDE w:val="0"/>
              <w:autoSpaceDN w:val="0"/>
              <w:adjustRightInd w:val="0"/>
              <w:snapToGrid w:val="0"/>
              <w:jc w:val="center"/>
              <w:rPr>
                <w:rFonts w:eastAsia="仿宋"/>
                <w:bCs/>
                <w:szCs w:val="21"/>
              </w:rPr>
            </w:pPr>
            <w:r>
              <w:rPr>
                <w:rFonts w:hint="eastAsia" w:eastAsia="仿宋"/>
                <w:bCs/>
                <w:szCs w:val="21"/>
              </w:rPr>
              <w:t>史巷</w:t>
            </w:r>
          </w:p>
        </w:tc>
        <w:tc>
          <w:tcPr>
            <w:tcW w:w="772"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119.5754356</w:t>
            </w:r>
          </w:p>
        </w:tc>
        <w:tc>
          <w:tcPr>
            <w:tcW w:w="735"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31.7649551</w:t>
            </w:r>
          </w:p>
        </w:tc>
        <w:tc>
          <w:tcPr>
            <w:tcW w:w="329"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E</w:t>
            </w:r>
          </w:p>
        </w:tc>
        <w:tc>
          <w:tcPr>
            <w:tcW w:w="498"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2337</w:t>
            </w:r>
          </w:p>
        </w:tc>
        <w:tc>
          <w:tcPr>
            <w:tcW w:w="606"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420</w:t>
            </w:r>
          </w:p>
        </w:tc>
        <w:tc>
          <w:tcPr>
            <w:tcW w:w="1011"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c>
          <w:tcPr>
            <w:tcW w:w="666" w:type="pct"/>
            <w:shd w:val="clear" w:color="auto" w:fill="auto"/>
            <w:tcMar>
              <w:left w:w="0" w:type="dxa"/>
              <w:right w:w="0" w:type="dxa"/>
            </w:tcMar>
            <w:vAlign w:val="center"/>
          </w:tcPr>
          <w:p>
            <w:pPr>
              <w:widowControl/>
              <w:autoSpaceDE w:val="0"/>
              <w:autoSpaceDN w:val="0"/>
              <w:adjustRightInd w:val="0"/>
              <w:snapToGrid w:val="0"/>
              <w:jc w:val="center"/>
              <w:rPr>
                <w:rFonts w:eastAsia="仿宋"/>
                <w:bCs/>
                <w:szCs w:val="21"/>
              </w:rPr>
            </w:pPr>
            <w:r>
              <w:rPr>
                <w:rFonts w:hint="eastAsia" w:eastAsia="仿宋"/>
                <w:bCs/>
                <w:szCs w:val="21"/>
              </w:rPr>
              <w:t>上庄</w:t>
            </w:r>
          </w:p>
        </w:tc>
        <w:tc>
          <w:tcPr>
            <w:tcW w:w="772"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119.5637305</w:t>
            </w:r>
          </w:p>
        </w:tc>
        <w:tc>
          <w:tcPr>
            <w:tcW w:w="735"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31.76091034</w:t>
            </w:r>
          </w:p>
        </w:tc>
        <w:tc>
          <w:tcPr>
            <w:tcW w:w="329"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SE</w:t>
            </w:r>
          </w:p>
        </w:tc>
        <w:tc>
          <w:tcPr>
            <w:tcW w:w="498"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1522</w:t>
            </w:r>
          </w:p>
        </w:tc>
        <w:tc>
          <w:tcPr>
            <w:tcW w:w="606"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40</w:t>
            </w:r>
          </w:p>
        </w:tc>
        <w:tc>
          <w:tcPr>
            <w:tcW w:w="1011"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c>
          <w:tcPr>
            <w:tcW w:w="666" w:type="pct"/>
            <w:shd w:val="clear" w:color="auto" w:fill="auto"/>
            <w:tcMar>
              <w:left w:w="0" w:type="dxa"/>
              <w:right w:w="0" w:type="dxa"/>
            </w:tcMar>
            <w:vAlign w:val="center"/>
          </w:tcPr>
          <w:p>
            <w:pPr>
              <w:widowControl/>
              <w:autoSpaceDE w:val="0"/>
              <w:autoSpaceDN w:val="0"/>
              <w:adjustRightInd w:val="0"/>
              <w:snapToGrid w:val="0"/>
              <w:jc w:val="center"/>
              <w:rPr>
                <w:rFonts w:eastAsia="仿宋"/>
                <w:bCs/>
                <w:szCs w:val="21"/>
              </w:rPr>
            </w:pPr>
            <w:r>
              <w:rPr>
                <w:rFonts w:hint="eastAsia" w:eastAsia="仿宋"/>
                <w:bCs/>
                <w:szCs w:val="21"/>
              </w:rPr>
              <w:t>金城花园</w:t>
            </w:r>
          </w:p>
        </w:tc>
        <w:tc>
          <w:tcPr>
            <w:tcW w:w="772"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119.5615847</w:t>
            </w:r>
          </w:p>
        </w:tc>
        <w:tc>
          <w:tcPr>
            <w:tcW w:w="735"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31.75739128</w:t>
            </w:r>
          </w:p>
        </w:tc>
        <w:tc>
          <w:tcPr>
            <w:tcW w:w="329"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SE</w:t>
            </w:r>
          </w:p>
        </w:tc>
        <w:tc>
          <w:tcPr>
            <w:tcW w:w="498"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1665</w:t>
            </w:r>
          </w:p>
        </w:tc>
        <w:tc>
          <w:tcPr>
            <w:tcW w:w="606"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300</w:t>
            </w:r>
          </w:p>
        </w:tc>
        <w:tc>
          <w:tcPr>
            <w:tcW w:w="1011"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c>
          <w:tcPr>
            <w:tcW w:w="666" w:type="pct"/>
            <w:shd w:val="clear" w:color="auto" w:fill="auto"/>
            <w:tcMar>
              <w:left w:w="0" w:type="dxa"/>
              <w:right w:w="0" w:type="dxa"/>
            </w:tcMar>
            <w:vAlign w:val="center"/>
          </w:tcPr>
          <w:p>
            <w:pPr>
              <w:widowControl/>
              <w:autoSpaceDE w:val="0"/>
              <w:autoSpaceDN w:val="0"/>
              <w:adjustRightInd w:val="0"/>
              <w:snapToGrid w:val="0"/>
              <w:jc w:val="center"/>
              <w:rPr>
                <w:rFonts w:eastAsia="仿宋"/>
                <w:bCs/>
                <w:szCs w:val="21"/>
              </w:rPr>
            </w:pPr>
            <w:r>
              <w:rPr>
                <w:rFonts w:hint="eastAsia" w:eastAsia="仿宋"/>
                <w:bCs/>
                <w:szCs w:val="21"/>
              </w:rPr>
              <w:t>阳光花园</w:t>
            </w:r>
          </w:p>
        </w:tc>
        <w:tc>
          <w:tcPr>
            <w:tcW w:w="772"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119.5649858</w:t>
            </w:r>
          </w:p>
        </w:tc>
        <w:tc>
          <w:tcPr>
            <w:tcW w:w="735"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31.7575844</w:t>
            </w:r>
          </w:p>
        </w:tc>
        <w:tc>
          <w:tcPr>
            <w:tcW w:w="329"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SE</w:t>
            </w:r>
          </w:p>
        </w:tc>
        <w:tc>
          <w:tcPr>
            <w:tcW w:w="498"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1878</w:t>
            </w:r>
          </w:p>
        </w:tc>
        <w:tc>
          <w:tcPr>
            <w:tcW w:w="606"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1000</w:t>
            </w:r>
          </w:p>
        </w:tc>
        <w:tc>
          <w:tcPr>
            <w:tcW w:w="1011"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c>
          <w:tcPr>
            <w:tcW w:w="666" w:type="pct"/>
            <w:shd w:val="clear" w:color="auto" w:fill="auto"/>
            <w:tcMar>
              <w:left w:w="0" w:type="dxa"/>
              <w:right w:w="0" w:type="dxa"/>
            </w:tcMar>
            <w:vAlign w:val="center"/>
          </w:tcPr>
          <w:p>
            <w:pPr>
              <w:widowControl/>
              <w:autoSpaceDE w:val="0"/>
              <w:autoSpaceDN w:val="0"/>
              <w:adjustRightInd w:val="0"/>
              <w:snapToGrid w:val="0"/>
              <w:jc w:val="center"/>
              <w:rPr>
                <w:rFonts w:eastAsia="仿宋"/>
                <w:bCs/>
                <w:szCs w:val="21"/>
              </w:rPr>
            </w:pPr>
            <w:r>
              <w:rPr>
                <w:rFonts w:hint="eastAsia" w:eastAsia="仿宋"/>
                <w:bCs/>
                <w:szCs w:val="21"/>
              </w:rPr>
              <w:t>丽锦嘉园</w:t>
            </w:r>
          </w:p>
        </w:tc>
        <w:tc>
          <w:tcPr>
            <w:tcW w:w="772"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119.5602436</w:t>
            </w:r>
          </w:p>
        </w:tc>
        <w:tc>
          <w:tcPr>
            <w:tcW w:w="735"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31.75483781</w:t>
            </w:r>
          </w:p>
        </w:tc>
        <w:tc>
          <w:tcPr>
            <w:tcW w:w="329"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SE</w:t>
            </w:r>
          </w:p>
        </w:tc>
        <w:tc>
          <w:tcPr>
            <w:tcW w:w="498"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1924</w:t>
            </w:r>
          </w:p>
        </w:tc>
        <w:tc>
          <w:tcPr>
            <w:tcW w:w="606"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1500</w:t>
            </w:r>
          </w:p>
        </w:tc>
        <w:tc>
          <w:tcPr>
            <w:tcW w:w="1011"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c>
          <w:tcPr>
            <w:tcW w:w="666" w:type="pct"/>
            <w:shd w:val="clear" w:color="auto" w:fill="auto"/>
            <w:tcMar>
              <w:left w:w="0" w:type="dxa"/>
              <w:right w:w="0" w:type="dxa"/>
            </w:tcMar>
            <w:vAlign w:val="center"/>
          </w:tcPr>
          <w:p>
            <w:pPr>
              <w:widowControl/>
              <w:autoSpaceDE w:val="0"/>
              <w:autoSpaceDN w:val="0"/>
              <w:adjustRightInd w:val="0"/>
              <w:snapToGrid w:val="0"/>
              <w:jc w:val="center"/>
              <w:rPr>
                <w:rFonts w:eastAsia="仿宋"/>
                <w:bCs/>
                <w:szCs w:val="21"/>
              </w:rPr>
            </w:pPr>
            <w:r>
              <w:rPr>
                <w:rFonts w:hint="eastAsia" w:eastAsia="仿宋"/>
                <w:bCs/>
                <w:szCs w:val="21"/>
              </w:rPr>
              <w:t>凤凰城</w:t>
            </w:r>
          </w:p>
        </w:tc>
        <w:tc>
          <w:tcPr>
            <w:tcW w:w="772"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119.5720239</w:t>
            </w:r>
          </w:p>
        </w:tc>
        <w:tc>
          <w:tcPr>
            <w:tcW w:w="735"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31.76112491</w:t>
            </w:r>
          </w:p>
        </w:tc>
        <w:tc>
          <w:tcPr>
            <w:tcW w:w="329"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SE</w:t>
            </w:r>
          </w:p>
        </w:tc>
        <w:tc>
          <w:tcPr>
            <w:tcW w:w="498"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2140</w:t>
            </w:r>
          </w:p>
        </w:tc>
        <w:tc>
          <w:tcPr>
            <w:tcW w:w="606"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4500</w:t>
            </w:r>
          </w:p>
        </w:tc>
        <w:tc>
          <w:tcPr>
            <w:tcW w:w="1011"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c>
          <w:tcPr>
            <w:tcW w:w="666" w:type="pct"/>
            <w:shd w:val="clear" w:color="auto" w:fill="auto"/>
            <w:tcMar>
              <w:left w:w="0" w:type="dxa"/>
              <w:right w:w="0" w:type="dxa"/>
            </w:tcMar>
            <w:vAlign w:val="center"/>
          </w:tcPr>
          <w:p>
            <w:pPr>
              <w:widowControl/>
              <w:autoSpaceDE w:val="0"/>
              <w:autoSpaceDN w:val="0"/>
              <w:adjustRightInd w:val="0"/>
              <w:snapToGrid w:val="0"/>
              <w:jc w:val="center"/>
              <w:rPr>
                <w:rFonts w:eastAsia="仿宋"/>
                <w:bCs/>
                <w:szCs w:val="21"/>
              </w:rPr>
            </w:pPr>
            <w:r>
              <w:rPr>
                <w:rFonts w:hint="eastAsia" w:eastAsia="仿宋"/>
                <w:bCs/>
                <w:szCs w:val="21"/>
              </w:rPr>
              <w:t>城北小区</w:t>
            </w:r>
          </w:p>
        </w:tc>
        <w:tc>
          <w:tcPr>
            <w:tcW w:w="772"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119.5649415</w:t>
            </w:r>
          </w:p>
        </w:tc>
        <w:tc>
          <w:tcPr>
            <w:tcW w:w="735"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31.75572075</w:t>
            </w:r>
          </w:p>
        </w:tc>
        <w:tc>
          <w:tcPr>
            <w:tcW w:w="329"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SE</w:t>
            </w:r>
          </w:p>
        </w:tc>
        <w:tc>
          <w:tcPr>
            <w:tcW w:w="498"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2190</w:t>
            </w:r>
          </w:p>
        </w:tc>
        <w:tc>
          <w:tcPr>
            <w:tcW w:w="606"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5000</w:t>
            </w:r>
          </w:p>
        </w:tc>
        <w:tc>
          <w:tcPr>
            <w:tcW w:w="1011"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c>
          <w:tcPr>
            <w:tcW w:w="666" w:type="pct"/>
            <w:shd w:val="clear" w:color="auto" w:fill="auto"/>
            <w:tcMar>
              <w:left w:w="0" w:type="dxa"/>
              <w:right w:w="0" w:type="dxa"/>
            </w:tcMar>
            <w:vAlign w:val="center"/>
          </w:tcPr>
          <w:p>
            <w:pPr>
              <w:widowControl/>
              <w:autoSpaceDE w:val="0"/>
              <w:autoSpaceDN w:val="0"/>
              <w:adjustRightInd w:val="0"/>
              <w:snapToGrid w:val="0"/>
              <w:jc w:val="center"/>
              <w:rPr>
                <w:rFonts w:eastAsia="仿宋"/>
                <w:bCs/>
                <w:szCs w:val="21"/>
              </w:rPr>
            </w:pPr>
            <w:r>
              <w:rPr>
                <w:rFonts w:hint="eastAsia" w:eastAsia="仿宋"/>
                <w:bCs/>
                <w:szCs w:val="21"/>
              </w:rPr>
              <w:t>丹丽花园</w:t>
            </w:r>
          </w:p>
        </w:tc>
        <w:tc>
          <w:tcPr>
            <w:tcW w:w="772"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119.5676451</w:t>
            </w:r>
          </w:p>
        </w:tc>
        <w:tc>
          <w:tcPr>
            <w:tcW w:w="735"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31.75593533</w:t>
            </w:r>
          </w:p>
        </w:tc>
        <w:tc>
          <w:tcPr>
            <w:tcW w:w="329"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SE</w:t>
            </w:r>
          </w:p>
        </w:tc>
        <w:tc>
          <w:tcPr>
            <w:tcW w:w="498"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2207</w:t>
            </w:r>
          </w:p>
        </w:tc>
        <w:tc>
          <w:tcPr>
            <w:tcW w:w="606"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5200</w:t>
            </w:r>
          </w:p>
        </w:tc>
        <w:tc>
          <w:tcPr>
            <w:tcW w:w="1011"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c>
          <w:tcPr>
            <w:tcW w:w="666" w:type="pct"/>
            <w:shd w:val="clear" w:color="auto" w:fill="auto"/>
            <w:tcMar>
              <w:left w:w="0" w:type="dxa"/>
              <w:right w:w="0" w:type="dxa"/>
            </w:tcMar>
            <w:vAlign w:val="center"/>
          </w:tcPr>
          <w:p>
            <w:pPr>
              <w:widowControl/>
              <w:autoSpaceDE w:val="0"/>
              <w:autoSpaceDN w:val="0"/>
              <w:adjustRightInd w:val="0"/>
              <w:snapToGrid w:val="0"/>
              <w:jc w:val="center"/>
              <w:rPr>
                <w:rFonts w:eastAsia="仿宋"/>
                <w:bCs/>
                <w:szCs w:val="21"/>
              </w:rPr>
            </w:pPr>
            <w:r>
              <w:rPr>
                <w:rFonts w:hint="eastAsia" w:eastAsia="仿宋"/>
                <w:bCs/>
                <w:szCs w:val="21"/>
              </w:rPr>
              <w:t>城区小学</w:t>
            </w:r>
          </w:p>
        </w:tc>
        <w:tc>
          <w:tcPr>
            <w:tcW w:w="772"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119.5631371</w:t>
            </w:r>
          </w:p>
        </w:tc>
        <w:tc>
          <w:tcPr>
            <w:tcW w:w="735"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31.75311966</w:t>
            </w:r>
          </w:p>
        </w:tc>
        <w:tc>
          <w:tcPr>
            <w:tcW w:w="329"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SE</w:t>
            </w:r>
          </w:p>
        </w:tc>
        <w:tc>
          <w:tcPr>
            <w:tcW w:w="498"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2218</w:t>
            </w:r>
          </w:p>
        </w:tc>
        <w:tc>
          <w:tcPr>
            <w:tcW w:w="606"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1000</w:t>
            </w:r>
          </w:p>
        </w:tc>
        <w:tc>
          <w:tcPr>
            <w:tcW w:w="1011"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c>
          <w:tcPr>
            <w:tcW w:w="666" w:type="pct"/>
            <w:shd w:val="clear" w:color="auto" w:fill="auto"/>
            <w:tcMar>
              <w:left w:w="0" w:type="dxa"/>
              <w:right w:w="0" w:type="dxa"/>
            </w:tcMar>
            <w:vAlign w:val="center"/>
          </w:tcPr>
          <w:p>
            <w:pPr>
              <w:widowControl/>
              <w:autoSpaceDE w:val="0"/>
              <w:autoSpaceDN w:val="0"/>
              <w:adjustRightInd w:val="0"/>
              <w:snapToGrid w:val="0"/>
              <w:jc w:val="center"/>
              <w:rPr>
                <w:rFonts w:eastAsia="仿宋"/>
                <w:bCs/>
                <w:szCs w:val="21"/>
              </w:rPr>
            </w:pPr>
            <w:r>
              <w:rPr>
                <w:rFonts w:hint="eastAsia" w:eastAsia="仿宋"/>
                <w:bCs/>
                <w:szCs w:val="21"/>
              </w:rPr>
              <w:t>丹阳社区</w:t>
            </w:r>
          </w:p>
        </w:tc>
        <w:tc>
          <w:tcPr>
            <w:tcW w:w="772"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119.5666133</w:t>
            </w:r>
          </w:p>
        </w:tc>
        <w:tc>
          <w:tcPr>
            <w:tcW w:w="735"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31.75364537</w:t>
            </w:r>
          </w:p>
        </w:tc>
        <w:tc>
          <w:tcPr>
            <w:tcW w:w="329"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SE</w:t>
            </w:r>
          </w:p>
        </w:tc>
        <w:tc>
          <w:tcPr>
            <w:tcW w:w="498"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2286</w:t>
            </w:r>
          </w:p>
        </w:tc>
        <w:tc>
          <w:tcPr>
            <w:tcW w:w="606"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2000</w:t>
            </w:r>
          </w:p>
        </w:tc>
        <w:tc>
          <w:tcPr>
            <w:tcW w:w="1011"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c>
          <w:tcPr>
            <w:tcW w:w="666" w:type="pct"/>
            <w:shd w:val="clear" w:color="auto" w:fill="auto"/>
            <w:tcMar>
              <w:left w:w="0" w:type="dxa"/>
              <w:right w:w="0" w:type="dxa"/>
            </w:tcMar>
            <w:vAlign w:val="center"/>
          </w:tcPr>
          <w:p>
            <w:pPr>
              <w:widowControl/>
              <w:autoSpaceDE w:val="0"/>
              <w:autoSpaceDN w:val="0"/>
              <w:adjustRightInd w:val="0"/>
              <w:snapToGrid w:val="0"/>
              <w:jc w:val="center"/>
              <w:rPr>
                <w:rFonts w:eastAsia="仿宋"/>
                <w:bCs/>
                <w:szCs w:val="21"/>
              </w:rPr>
            </w:pPr>
            <w:r>
              <w:rPr>
                <w:rFonts w:hint="eastAsia" w:eastAsia="仿宋"/>
                <w:bCs/>
                <w:szCs w:val="21"/>
              </w:rPr>
              <w:t>北环小区</w:t>
            </w:r>
          </w:p>
        </w:tc>
        <w:tc>
          <w:tcPr>
            <w:tcW w:w="772"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119.5615278</w:t>
            </w:r>
          </w:p>
        </w:tc>
        <w:tc>
          <w:tcPr>
            <w:tcW w:w="735"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31.751209</w:t>
            </w:r>
          </w:p>
        </w:tc>
        <w:tc>
          <w:tcPr>
            <w:tcW w:w="329"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SE</w:t>
            </w:r>
          </w:p>
        </w:tc>
        <w:tc>
          <w:tcPr>
            <w:tcW w:w="498"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2290</w:t>
            </w:r>
          </w:p>
        </w:tc>
        <w:tc>
          <w:tcPr>
            <w:tcW w:w="606"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3000</w:t>
            </w:r>
          </w:p>
        </w:tc>
        <w:tc>
          <w:tcPr>
            <w:tcW w:w="1011"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c>
          <w:tcPr>
            <w:tcW w:w="666" w:type="pct"/>
            <w:shd w:val="clear" w:color="auto" w:fill="auto"/>
            <w:tcMar>
              <w:left w:w="0" w:type="dxa"/>
              <w:right w:w="0" w:type="dxa"/>
            </w:tcMar>
            <w:vAlign w:val="center"/>
          </w:tcPr>
          <w:p>
            <w:pPr>
              <w:widowControl/>
              <w:autoSpaceDE w:val="0"/>
              <w:autoSpaceDN w:val="0"/>
              <w:adjustRightInd w:val="0"/>
              <w:snapToGrid w:val="0"/>
              <w:jc w:val="center"/>
              <w:rPr>
                <w:rFonts w:eastAsia="仿宋"/>
                <w:bCs/>
                <w:szCs w:val="21"/>
              </w:rPr>
            </w:pPr>
            <w:r>
              <w:rPr>
                <w:rFonts w:hint="eastAsia" w:eastAsia="仿宋"/>
                <w:bCs/>
                <w:szCs w:val="21"/>
              </w:rPr>
              <w:t>博爱医院</w:t>
            </w:r>
          </w:p>
        </w:tc>
        <w:tc>
          <w:tcPr>
            <w:tcW w:w="772"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119.5619279</w:t>
            </w:r>
          </w:p>
        </w:tc>
        <w:tc>
          <w:tcPr>
            <w:tcW w:w="735"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31.74981219</w:t>
            </w:r>
          </w:p>
        </w:tc>
        <w:tc>
          <w:tcPr>
            <w:tcW w:w="329"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SE</w:t>
            </w:r>
          </w:p>
        </w:tc>
        <w:tc>
          <w:tcPr>
            <w:tcW w:w="498"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2433</w:t>
            </w:r>
          </w:p>
        </w:tc>
        <w:tc>
          <w:tcPr>
            <w:tcW w:w="606"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1000</w:t>
            </w:r>
          </w:p>
        </w:tc>
        <w:tc>
          <w:tcPr>
            <w:tcW w:w="1011"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c>
          <w:tcPr>
            <w:tcW w:w="666" w:type="pct"/>
            <w:shd w:val="clear" w:color="auto" w:fill="auto"/>
            <w:tcMar>
              <w:left w:w="0" w:type="dxa"/>
              <w:right w:w="0" w:type="dxa"/>
            </w:tcMar>
            <w:vAlign w:val="center"/>
          </w:tcPr>
          <w:p>
            <w:pPr>
              <w:widowControl/>
              <w:autoSpaceDE w:val="0"/>
              <w:autoSpaceDN w:val="0"/>
              <w:adjustRightInd w:val="0"/>
              <w:snapToGrid w:val="0"/>
              <w:jc w:val="center"/>
              <w:rPr>
                <w:rFonts w:eastAsia="仿宋"/>
                <w:bCs/>
                <w:szCs w:val="21"/>
              </w:rPr>
            </w:pPr>
            <w:r>
              <w:rPr>
                <w:rFonts w:hint="eastAsia" w:eastAsia="仿宋"/>
                <w:bCs/>
                <w:szCs w:val="21"/>
              </w:rPr>
              <w:t>亲亲家园</w:t>
            </w:r>
          </w:p>
        </w:tc>
        <w:tc>
          <w:tcPr>
            <w:tcW w:w="772"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119.5651036</w:t>
            </w:r>
          </w:p>
        </w:tc>
        <w:tc>
          <w:tcPr>
            <w:tcW w:w="735"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31.75009114</w:t>
            </w:r>
          </w:p>
        </w:tc>
        <w:tc>
          <w:tcPr>
            <w:tcW w:w="329"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SE</w:t>
            </w:r>
          </w:p>
        </w:tc>
        <w:tc>
          <w:tcPr>
            <w:tcW w:w="498"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2540</w:t>
            </w:r>
          </w:p>
        </w:tc>
        <w:tc>
          <w:tcPr>
            <w:tcW w:w="606"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1000</w:t>
            </w:r>
          </w:p>
        </w:tc>
        <w:tc>
          <w:tcPr>
            <w:tcW w:w="1011"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c>
          <w:tcPr>
            <w:tcW w:w="666" w:type="pct"/>
            <w:shd w:val="clear" w:color="auto" w:fill="auto"/>
            <w:tcMar>
              <w:left w:w="0" w:type="dxa"/>
              <w:right w:w="0" w:type="dxa"/>
            </w:tcMar>
            <w:vAlign w:val="center"/>
          </w:tcPr>
          <w:p>
            <w:pPr>
              <w:widowControl/>
              <w:autoSpaceDE w:val="0"/>
              <w:autoSpaceDN w:val="0"/>
              <w:adjustRightInd w:val="0"/>
              <w:snapToGrid w:val="0"/>
              <w:jc w:val="center"/>
              <w:rPr>
                <w:rFonts w:eastAsia="仿宋"/>
                <w:bCs/>
                <w:szCs w:val="21"/>
              </w:rPr>
            </w:pPr>
            <w:r>
              <w:rPr>
                <w:rFonts w:hint="eastAsia" w:eastAsia="仿宋"/>
                <w:bCs/>
                <w:szCs w:val="21"/>
              </w:rPr>
              <w:t>良常小学</w:t>
            </w:r>
          </w:p>
        </w:tc>
        <w:tc>
          <w:tcPr>
            <w:tcW w:w="772"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119.5764547</w:t>
            </w:r>
          </w:p>
        </w:tc>
        <w:tc>
          <w:tcPr>
            <w:tcW w:w="735"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31.761013</w:t>
            </w:r>
          </w:p>
        </w:tc>
        <w:tc>
          <w:tcPr>
            <w:tcW w:w="329"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SE</w:t>
            </w:r>
          </w:p>
        </w:tc>
        <w:tc>
          <w:tcPr>
            <w:tcW w:w="498"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2568</w:t>
            </w:r>
          </w:p>
        </w:tc>
        <w:tc>
          <w:tcPr>
            <w:tcW w:w="606"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1000</w:t>
            </w:r>
          </w:p>
        </w:tc>
        <w:tc>
          <w:tcPr>
            <w:tcW w:w="1011"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c>
          <w:tcPr>
            <w:tcW w:w="666" w:type="pct"/>
            <w:shd w:val="clear" w:color="auto" w:fill="auto"/>
            <w:tcMar>
              <w:left w:w="0" w:type="dxa"/>
              <w:right w:w="0" w:type="dxa"/>
            </w:tcMar>
            <w:vAlign w:val="center"/>
          </w:tcPr>
          <w:p>
            <w:pPr>
              <w:widowControl/>
              <w:autoSpaceDE w:val="0"/>
              <w:autoSpaceDN w:val="0"/>
              <w:adjustRightInd w:val="0"/>
              <w:snapToGrid w:val="0"/>
              <w:jc w:val="center"/>
              <w:rPr>
                <w:rFonts w:eastAsia="仿宋"/>
                <w:bCs/>
                <w:szCs w:val="21"/>
              </w:rPr>
            </w:pPr>
            <w:r>
              <w:rPr>
                <w:rFonts w:hint="eastAsia" w:eastAsia="仿宋"/>
                <w:bCs/>
                <w:szCs w:val="21"/>
              </w:rPr>
              <w:t>金城镇中心幼儿园</w:t>
            </w:r>
          </w:p>
        </w:tc>
        <w:tc>
          <w:tcPr>
            <w:tcW w:w="772"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119.5510665</w:t>
            </w:r>
          </w:p>
        </w:tc>
        <w:tc>
          <w:tcPr>
            <w:tcW w:w="735"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31.76623523</w:t>
            </w:r>
          </w:p>
        </w:tc>
        <w:tc>
          <w:tcPr>
            <w:tcW w:w="329"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S</w:t>
            </w:r>
          </w:p>
        </w:tc>
        <w:tc>
          <w:tcPr>
            <w:tcW w:w="498"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409</w:t>
            </w:r>
          </w:p>
        </w:tc>
        <w:tc>
          <w:tcPr>
            <w:tcW w:w="606"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1000</w:t>
            </w:r>
          </w:p>
        </w:tc>
        <w:tc>
          <w:tcPr>
            <w:tcW w:w="1011"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c>
          <w:tcPr>
            <w:tcW w:w="666" w:type="pct"/>
            <w:shd w:val="clear" w:color="auto" w:fill="auto"/>
            <w:tcMar>
              <w:left w:w="0" w:type="dxa"/>
              <w:right w:w="0" w:type="dxa"/>
            </w:tcMar>
            <w:vAlign w:val="center"/>
          </w:tcPr>
          <w:p>
            <w:pPr>
              <w:widowControl/>
              <w:autoSpaceDE w:val="0"/>
              <w:autoSpaceDN w:val="0"/>
              <w:adjustRightInd w:val="0"/>
              <w:snapToGrid w:val="0"/>
              <w:jc w:val="center"/>
              <w:rPr>
                <w:rFonts w:eastAsia="仿宋"/>
                <w:bCs/>
                <w:szCs w:val="21"/>
              </w:rPr>
            </w:pPr>
            <w:r>
              <w:rPr>
                <w:rFonts w:hint="eastAsia" w:eastAsia="仿宋"/>
                <w:bCs/>
                <w:szCs w:val="21"/>
              </w:rPr>
              <w:t>元巷新村</w:t>
            </w:r>
          </w:p>
        </w:tc>
        <w:tc>
          <w:tcPr>
            <w:tcW w:w="772"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119.5501653</w:t>
            </w:r>
          </w:p>
        </w:tc>
        <w:tc>
          <w:tcPr>
            <w:tcW w:w="735"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31.76441245</w:t>
            </w:r>
          </w:p>
        </w:tc>
        <w:tc>
          <w:tcPr>
            <w:tcW w:w="329"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S</w:t>
            </w:r>
          </w:p>
        </w:tc>
        <w:tc>
          <w:tcPr>
            <w:tcW w:w="498"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597</w:t>
            </w:r>
          </w:p>
        </w:tc>
        <w:tc>
          <w:tcPr>
            <w:tcW w:w="606"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1000</w:t>
            </w:r>
          </w:p>
        </w:tc>
        <w:tc>
          <w:tcPr>
            <w:tcW w:w="1011"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c>
          <w:tcPr>
            <w:tcW w:w="666" w:type="pct"/>
            <w:shd w:val="clear" w:color="auto" w:fill="auto"/>
            <w:tcMar>
              <w:left w:w="0" w:type="dxa"/>
              <w:right w:w="0" w:type="dxa"/>
            </w:tcMar>
            <w:vAlign w:val="center"/>
          </w:tcPr>
          <w:p>
            <w:pPr>
              <w:widowControl/>
              <w:autoSpaceDE w:val="0"/>
              <w:autoSpaceDN w:val="0"/>
              <w:adjustRightInd w:val="0"/>
              <w:snapToGrid w:val="0"/>
              <w:jc w:val="center"/>
              <w:rPr>
                <w:rFonts w:eastAsia="仿宋"/>
                <w:bCs/>
                <w:szCs w:val="21"/>
              </w:rPr>
            </w:pPr>
            <w:r>
              <w:rPr>
                <w:rFonts w:hint="eastAsia" w:eastAsia="仿宋"/>
                <w:bCs/>
                <w:szCs w:val="21"/>
              </w:rPr>
              <w:t>邮堂庙</w:t>
            </w:r>
          </w:p>
        </w:tc>
        <w:tc>
          <w:tcPr>
            <w:tcW w:w="772"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119.55156</w:t>
            </w:r>
          </w:p>
        </w:tc>
        <w:tc>
          <w:tcPr>
            <w:tcW w:w="735"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31.76055007</w:t>
            </w:r>
          </w:p>
        </w:tc>
        <w:tc>
          <w:tcPr>
            <w:tcW w:w="329"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S</w:t>
            </w:r>
          </w:p>
        </w:tc>
        <w:tc>
          <w:tcPr>
            <w:tcW w:w="498"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1015</w:t>
            </w:r>
          </w:p>
        </w:tc>
        <w:tc>
          <w:tcPr>
            <w:tcW w:w="606"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400</w:t>
            </w:r>
          </w:p>
        </w:tc>
        <w:tc>
          <w:tcPr>
            <w:tcW w:w="1011"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c>
          <w:tcPr>
            <w:tcW w:w="666" w:type="pct"/>
            <w:shd w:val="clear" w:color="auto" w:fill="auto"/>
            <w:tcMar>
              <w:left w:w="0" w:type="dxa"/>
              <w:right w:w="0" w:type="dxa"/>
            </w:tcMar>
            <w:vAlign w:val="center"/>
          </w:tcPr>
          <w:p>
            <w:pPr>
              <w:widowControl/>
              <w:autoSpaceDE w:val="0"/>
              <w:autoSpaceDN w:val="0"/>
              <w:adjustRightInd w:val="0"/>
              <w:snapToGrid w:val="0"/>
              <w:jc w:val="center"/>
              <w:rPr>
                <w:rFonts w:eastAsia="仿宋"/>
                <w:bCs/>
                <w:szCs w:val="21"/>
              </w:rPr>
            </w:pPr>
            <w:r>
              <w:rPr>
                <w:rFonts w:hint="eastAsia" w:eastAsia="仿宋"/>
                <w:bCs/>
                <w:szCs w:val="21"/>
              </w:rPr>
              <w:t>冯庄村</w:t>
            </w:r>
          </w:p>
        </w:tc>
        <w:tc>
          <w:tcPr>
            <w:tcW w:w="772"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119.5559803</w:t>
            </w:r>
          </w:p>
        </w:tc>
        <w:tc>
          <w:tcPr>
            <w:tcW w:w="735"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31.75854378</w:t>
            </w:r>
          </w:p>
        </w:tc>
        <w:tc>
          <w:tcPr>
            <w:tcW w:w="329"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S</w:t>
            </w:r>
          </w:p>
        </w:tc>
        <w:tc>
          <w:tcPr>
            <w:tcW w:w="498"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1316</w:t>
            </w:r>
          </w:p>
        </w:tc>
        <w:tc>
          <w:tcPr>
            <w:tcW w:w="606"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300</w:t>
            </w:r>
          </w:p>
        </w:tc>
        <w:tc>
          <w:tcPr>
            <w:tcW w:w="1011"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c>
          <w:tcPr>
            <w:tcW w:w="666" w:type="pct"/>
            <w:shd w:val="clear" w:color="auto" w:fill="auto"/>
            <w:tcMar>
              <w:left w:w="0" w:type="dxa"/>
              <w:right w:w="0" w:type="dxa"/>
            </w:tcMar>
            <w:vAlign w:val="center"/>
          </w:tcPr>
          <w:p>
            <w:pPr>
              <w:widowControl/>
              <w:autoSpaceDE w:val="0"/>
              <w:autoSpaceDN w:val="0"/>
              <w:adjustRightInd w:val="0"/>
              <w:snapToGrid w:val="0"/>
              <w:jc w:val="center"/>
              <w:rPr>
                <w:rFonts w:eastAsia="仿宋"/>
                <w:bCs/>
                <w:szCs w:val="21"/>
              </w:rPr>
            </w:pPr>
            <w:r>
              <w:rPr>
                <w:rFonts w:hint="eastAsia" w:eastAsia="仿宋"/>
                <w:bCs/>
                <w:szCs w:val="21"/>
              </w:rPr>
              <w:t>美地蓝庭</w:t>
            </w:r>
          </w:p>
        </w:tc>
        <w:tc>
          <w:tcPr>
            <w:tcW w:w="772"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119.5530621</w:t>
            </w:r>
          </w:p>
        </w:tc>
        <w:tc>
          <w:tcPr>
            <w:tcW w:w="735"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31.75345831</w:t>
            </w:r>
          </w:p>
        </w:tc>
        <w:tc>
          <w:tcPr>
            <w:tcW w:w="329"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S</w:t>
            </w:r>
          </w:p>
        </w:tc>
        <w:tc>
          <w:tcPr>
            <w:tcW w:w="498"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1799</w:t>
            </w:r>
          </w:p>
        </w:tc>
        <w:tc>
          <w:tcPr>
            <w:tcW w:w="606"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2000</w:t>
            </w:r>
          </w:p>
        </w:tc>
        <w:tc>
          <w:tcPr>
            <w:tcW w:w="1011"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c>
          <w:tcPr>
            <w:tcW w:w="666" w:type="pct"/>
            <w:shd w:val="clear" w:color="auto" w:fill="auto"/>
            <w:tcMar>
              <w:left w:w="0" w:type="dxa"/>
              <w:right w:w="0" w:type="dxa"/>
            </w:tcMar>
            <w:vAlign w:val="center"/>
          </w:tcPr>
          <w:p>
            <w:pPr>
              <w:widowControl/>
              <w:autoSpaceDE w:val="0"/>
              <w:autoSpaceDN w:val="0"/>
              <w:adjustRightInd w:val="0"/>
              <w:snapToGrid w:val="0"/>
              <w:jc w:val="center"/>
              <w:rPr>
                <w:rFonts w:eastAsia="仿宋"/>
                <w:bCs/>
                <w:szCs w:val="21"/>
              </w:rPr>
            </w:pPr>
            <w:r>
              <w:rPr>
                <w:rFonts w:hint="eastAsia" w:eastAsia="仿宋"/>
                <w:bCs/>
                <w:szCs w:val="21"/>
              </w:rPr>
              <w:t>园区新村</w:t>
            </w:r>
          </w:p>
        </w:tc>
        <w:tc>
          <w:tcPr>
            <w:tcW w:w="772"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119.5575253</w:t>
            </w:r>
          </w:p>
        </w:tc>
        <w:tc>
          <w:tcPr>
            <w:tcW w:w="735"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31.7524498</w:t>
            </w:r>
          </w:p>
        </w:tc>
        <w:tc>
          <w:tcPr>
            <w:tcW w:w="329"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S</w:t>
            </w:r>
          </w:p>
        </w:tc>
        <w:tc>
          <w:tcPr>
            <w:tcW w:w="498"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2012</w:t>
            </w:r>
          </w:p>
        </w:tc>
        <w:tc>
          <w:tcPr>
            <w:tcW w:w="606"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2000</w:t>
            </w:r>
          </w:p>
        </w:tc>
        <w:tc>
          <w:tcPr>
            <w:tcW w:w="1011"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c>
          <w:tcPr>
            <w:tcW w:w="666" w:type="pct"/>
            <w:shd w:val="clear" w:color="auto" w:fill="auto"/>
            <w:tcMar>
              <w:left w:w="0" w:type="dxa"/>
              <w:right w:w="0" w:type="dxa"/>
            </w:tcMar>
            <w:vAlign w:val="center"/>
          </w:tcPr>
          <w:p>
            <w:pPr>
              <w:widowControl/>
              <w:autoSpaceDE w:val="0"/>
              <w:autoSpaceDN w:val="0"/>
              <w:adjustRightInd w:val="0"/>
              <w:snapToGrid w:val="0"/>
              <w:jc w:val="center"/>
              <w:rPr>
                <w:rFonts w:eastAsia="仿宋"/>
                <w:bCs/>
                <w:szCs w:val="21"/>
              </w:rPr>
            </w:pPr>
            <w:r>
              <w:rPr>
                <w:rFonts w:hint="eastAsia" w:eastAsia="仿宋"/>
                <w:bCs/>
                <w:szCs w:val="21"/>
              </w:rPr>
              <w:t>花园西庙村</w:t>
            </w:r>
          </w:p>
        </w:tc>
        <w:tc>
          <w:tcPr>
            <w:tcW w:w="772"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119.5531372</w:t>
            </w:r>
          </w:p>
        </w:tc>
        <w:tc>
          <w:tcPr>
            <w:tcW w:w="735"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31.74760037</w:t>
            </w:r>
          </w:p>
        </w:tc>
        <w:tc>
          <w:tcPr>
            <w:tcW w:w="329"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S</w:t>
            </w:r>
          </w:p>
        </w:tc>
        <w:tc>
          <w:tcPr>
            <w:tcW w:w="498"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2446</w:t>
            </w:r>
          </w:p>
        </w:tc>
        <w:tc>
          <w:tcPr>
            <w:tcW w:w="606"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3000</w:t>
            </w:r>
          </w:p>
        </w:tc>
        <w:tc>
          <w:tcPr>
            <w:tcW w:w="1011"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c>
          <w:tcPr>
            <w:tcW w:w="666" w:type="pct"/>
            <w:shd w:val="clear" w:color="auto" w:fill="auto"/>
            <w:tcMar>
              <w:left w:w="0" w:type="dxa"/>
              <w:right w:w="0" w:type="dxa"/>
            </w:tcMar>
            <w:vAlign w:val="center"/>
          </w:tcPr>
          <w:p>
            <w:pPr>
              <w:widowControl/>
              <w:autoSpaceDE w:val="0"/>
              <w:autoSpaceDN w:val="0"/>
              <w:adjustRightInd w:val="0"/>
              <w:snapToGrid w:val="0"/>
              <w:jc w:val="center"/>
              <w:rPr>
                <w:rFonts w:eastAsia="仿宋"/>
                <w:bCs/>
                <w:szCs w:val="21"/>
              </w:rPr>
            </w:pPr>
            <w:r>
              <w:rPr>
                <w:rFonts w:hint="eastAsia" w:eastAsia="仿宋"/>
                <w:bCs/>
                <w:szCs w:val="21"/>
              </w:rPr>
              <w:t>元巷小区</w:t>
            </w:r>
          </w:p>
        </w:tc>
        <w:tc>
          <w:tcPr>
            <w:tcW w:w="772"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119.5483306</w:t>
            </w:r>
          </w:p>
        </w:tc>
        <w:tc>
          <w:tcPr>
            <w:tcW w:w="735"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31.76759892</w:t>
            </w:r>
          </w:p>
        </w:tc>
        <w:tc>
          <w:tcPr>
            <w:tcW w:w="329"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WS</w:t>
            </w:r>
          </w:p>
        </w:tc>
        <w:tc>
          <w:tcPr>
            <w:tcW w:w="498"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280</w:t>
            </w:r>
          </w:p>
        </w:tc>
        <w:tc>
          <w:tcPr>
            <w:tcW w:w="606"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2000</w:t>
            </w:r>
          </w:p>
        </w:tc>
        <w:tc>
          <w:tcPr>
            <w:tcW w:w="1011"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c>
          <w:tcPr>
            <w:tcW w:w="666" w:type="pct"/>
            <w:shd w:val="clear" w:color="auto" w:fill="auto"/>
            <w:tcMar>
              <w:left w:w="0" w:type="dxa"/>
              <w:right w:w="0" w:type="dxa"/>
            </w:tcMar>
            <w:vAlign w:val="center"/>
          </w:tcPr>
          <w:p>
            <w:pPr>
              <w:widowControl/>
              <w:autoSpaceDE w:val="0"/>
              <w:autoSpaceDN w:val="0"/>
              <w:adjustRightInd w:val="0"/>
              <w:snapToGrid w:val="0"/>
              <w:jc w:val="center"/>
              <w:rPr>
                <w:rFonts w:eastAsia="仿宋"/>
                <w:bCs/>
                <w:szCs w:val="21"/>
              </w:rPr>
            </w:pPr>
            <w:r>
              <w:rPr>
                <w:rFonts w:hint="eastAsia" w:eastAsia="仿宋"/>
                <w:bCs/>
                <w:szCs w:val="21"/>
              </w:rPr>
              <w:t>南墅</w:t>
            </w:r>
          </w:p>
        </w:tc>
        <w:tc>
          <w:tcPr>
            <w:tcW w:w="772"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119.5379022</w:t>
            </w:r>
          </w:p>
        </w:tc>
        <w:tc>
          <w:tcPr>
            <w:tcW w:w="735"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31.7610006</w:t>
            </w:r>
          </w:p>
        </w:tc>
        <w:tc>
          <w:tcPr>
            <w:tcW w:w="329"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WS</w:t>
            </w:r>
          </w:p>
        </w:tc>
        <w:tc>
          <w:tcPr>
            <w:tcW w:w="498"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1520</w:t>
            </w:r>
          </w:p>
        </w:tc>
        <w:tc>
          <w:tcPr>
            <w:tcW w:w="606"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1000</w:t>
            </w:r>
          </w:p>
        </w:tc>
        <w:tc>
          <w:tcPr>
            <w:tcW w:w="1011"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c>
          <w:tcPr>
            <w:tcW w:w="666" w:type="pct"/>
            <w:shd w:val="clear" w:color="auto" w:fill="auto"/>
            <w:tcMar>
              <w:left w:w="0" w:type="dxa"/>
              <w:right w:w="0" w:type="dxa"/>
            </w:tcMar>
            <w:vAlign w:val="center"/>
          </w:tcPr>
          <w:p>
            <w:pPr>
              <w:widowControl/>
              <w:autoSpaceDE w:val="0"/>
              <w:autoSpaceDN w:val="0"/>
              <w:adjustRightInd w:val="0"/>
              <w:snapToGrid w:val="0"/>
              <w:jc w:val="center"/>
              <w:rPr>
                <w:rFonts w:eastAsia="仿宋"/>
                <w:bCs/>
                <w:szCs w:val="21"/>
              </w:rPr>
            </w:pPr>
            <w:r>
              <w:rPr>
                <w:rFonts w:hint="eastAsia" w:eastAsia="仿宋"/>
                <w:bCs/>
                <w:szCs w:val="21"/>
              </w:rPr>
              <w:t>长竹梗新村</w:t>
            </w:r>
          </w:p>
        </w:tc>
        <w:tc>
          <w:tcPr>
            <w:tcW w:w="772"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119.5395652</w:t>
            </w:r>
          </w:p>
        </w:tc>
        <w:tc>
          <w:tcPr>
            <w:tcW w:w="735"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31.75221377</w:t>
            </w:r>
          </w:p>
        </w:tc>
        <w:tc>
          <w:tcPr>
            <w:tcW w:w="329"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WS</w:t>
            </w:r>
          </w:p>
        </w:tc>
        <w:tc>
          <w:tcPr>
            <w:tcW w:w="498"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2228</w:t>
            </w:r>
          </w:p>
        </w:tc>
        <w:tc>
          <w:tcPr>
            <w:tcW w:w="606"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200</w:t>
            </w:r>
          </w:p>
        </w:tc>
        <w:tc>
          <w:tcPr>
            <w:tcW w:w="1011"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c>
          <w:tcPr>
            <w:tcW w:w="666" w:type="pct"/>
            <w:shd w:val="clear" w:color="auto" w:fill="auto"/>
            <w:tcMar>
              <w:left w:w="0" w:type="dxa"/>
              <w:right w:w="0" w:type="dxa"/>
            </w:tcMar>
            <w:vAlign w:val="center"/>
          </w:tcPr>
          <w:p>
            <w:pPr>
              <w:widowControl/>
              <w:autoSpaceDE w:val="0"/>
              <w:autoSpaceDN w:val="0"/>
              <w:adjustRightInd w:val="0"/>
              <w:snapToGrid w:val="0"/>
              <w:jc w:val="center"/>
              <w:rPr>
                <w:rFonts w:eastAsia="仿宋"/>
                <w:bCs/>
                <w:szCs w:val="21"/>
              </w:rPr>
            </w:pPr>
            <w:r>
              <w:rPr>
                <w:rFonts w:hint="eastAsia" w:eastAsia="仿宋"/>
                <w:bCs/>
                <w:szCs w:val="21"/>
              </w:rPr>
              <w:t>社河头</w:t>
            </w:r>
          </w:p>
        </w:tc>
        <w:tc>
          <w:tcPr>
            <w:tcW w:w="772"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119.5428053</w:t>
            </w:r>
          </w:p>
        </w:tc>
        <w:tc>
          <w:tcPr>
            <w:tcW w:w="735"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31.7492097</w:t>
            </w:r>
          </w:p>
        </w:tc>
        <w:tc>
          <w:tcPr>
            <w:tcW w:w="329"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WS</w:t>
            </w:r>
          </w:p>
        </w:tc>
        <w:tc>
          <w:tcPr>
            <w:tcW w:w="498"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2411</w:t>
            </w:r>
          </w:p>
        </w:tc>
        <w:tc>
          <w:tcPr>
            <w:tcW w:w="606"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450</w:t>
            </w:r>
          </w:p>
        </w:tc>
        <w:tc>
          <w:tcPr>
            <w:tcW w:w="1011"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c>
          <w:tcPr>
            <w:tcW w:w="666" w:type="pct"/>
            <w:shd w:val="clear" w:color="auto" w:fill="auto"/>
            <w:tcMar>
              <w:left w:w="0" w:type="dxa"/>
              <w:right w:w="0" w:type="dxa"/>
            </w:tcMar>
            <w:vAlign w:val="center"/>
          </w:tcPr>
          <w:p>
            <w:pPr>
              <w:widowControl/>
              <w:autoSpaceDE w:val="0"/>
              <w:autoSpaceDN w:val="0"/>
              <w:adjustRightInd w:val="0"/>
              <w:snapToGrid w:val="0"/>
              <w:jc w:val="center"/>
              <w:rPr>
                <w:rFonts w:eastAsia="仿宋"/>
                <w:bCs/>
                <w:szCs w:val="21"/>
              </w:rPr>
            </w:pPr>
            <w:r>
              <w:rPr>
                <w:rFonts w:hint="eastAsia" w:eastAsia="仿宋"/>
                <w:bCs/>
                <w:szCs w:val="21"/>
              </w:rPr>
              <w:t>西环新村</w:t>
            </w:r>
          </w:p>
        </w:tc>
        <w:tc>
          <w:tcPr>
            <w:tcW w:w="772"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119.5468608</w:t>
            </w:r>
          </w:p>
        </w:tc>
        <w:tc>
          <w:tcPr>
            <w:tcW w:w="735"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31.7470853</w:t>
            </w:r>
          </w:p>
        </w:tc>
        <w:tc>
          <w:tcPr>
            <w:tcW w:w="329"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WS</w:t>
            </w:r>
          </w:p>
        </w:tc>
        <w:tc>
          <w:tcPr>
            <w:tcW w:w="498"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2558</w:t>
            </w:r>
          </w:p>
        </w:tc>
        <w:tc>
          <w:tcPr>
            <w:tcW w:w="606"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400</w:t>
            </w:r>
          </w:p>
        </w:tc>
        <w:tc>
          <w:tcPr>
            <w:tcW w:w="1011"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c>
          <w:tcPr>
            <w:tcW w:w="666" w:type="pct"/>
            <w:shd w:val="clear" w:color="auto" w:fill="auto"/>
            <w:tcMar>
              <w:left w:w="0" w:type="dxa"/>
              <w:right w:w="0" w:type="dxa"/>
            </w:tcMar>
            <w:vAlign w:val="center"/>
          </w:tcPr>
          <w:p>
            <w:pPr>
              <w:widowControl/>
              <w:autoSpaceDE w:val="0"/>
              <w:autoSpaceDN w:val="0"/>
              <w:adjustRightInd w:val="0"/>
              <w:snapToGrid w:val="0"/>
              <w:jc w:val="center"/>
              <w:rPr>
                <w:rFonts w:eastAsia="仿宋"/>
                <w:bCs/>
                <w:szCs w:val="21"/>
              </w:rPr>
            </w:pPr>
            <w:r>
              <w:rPr>
                <w:rFonts w:hint="eastAsia" w:eastAsia="仿宋"/>
                <w:bCs/>
                <w:szCs w:val="21"/>
              </w:rPr>
              <w:t>后崔庄</w:t>
            </w:r>
          </w:p>
        </w:tc>
        <w:tc>
          <w:tcPr>
            <w:tcW w:w="772"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119.5284072</w:t>
            </w:r>
          </w:p>
        </w:tc>
        <w:tc>
          <w:tcPr>
            <w:tcW w:w="735"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31.77218</w:t>
            </w:r>
          </w:p>
        </w:tc>
        <w:tc>
          <w:tcPr>
            <w:tcW w:w="329"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W</w:t>
            </w:r>
          </w:p>
        </w:tc>
        <w:tc>
          <w:tcPr>
            <w:tcW w:w="498"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2083</w:t>
            </w:r>
          </w:p>
        </w:tc>
        <w:tc>
          <w:tcPr>
            <w:tcW w:w="606"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70</w:t>
            </w:r>
          </w:p>
        </w:tc>
        <w:tc>
          <w:tcPr>
            <w:tcW w:w="1011"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c>
          <w:tcPr>
            <w:tcW w:w="666" w:type="pct"/>
            <w:shd w:val="clear" w:color="auto" w:fill="auto"/>
            <w:tcMar>
              <w:left w:w="0" w:type="dxa"/>
              <w:right w:w="0" w:type="dxa"/>
            </w:tcMar>
            <w:vAlign w:val="center"/>
          </w:tcPr>
          <w:p>
            <w:pPr>
              <w:widowControl/>
              <w:autoSpaceDE w:val="0"/>
              <w:autoSpaceDN w:val="0"/>
              <w:adjustRightInd w:val="0"/>
              <w:snapToGrid w:val="0"/>
              <w:jc w:val="center"/>
              <w:rPr>
                <w:rFonts w:eastAsia="仿宋"/>
                <w:bCs/>
                <w:szCs w:val="21"/>
              </w:rPr>
            </w:pPr>
            <w:r>
              <w:rPr>
                <w:rFonts w:hint="eastAsia" w:eastAsia="仿宋"/>
                <w:bCs/>
                <w:szCs w:val="21"/>
              </w:rPr>
              <w:t>沈渎桥</w:t>
            </w:r>
          </w:p>
        </w:tc>
        <w:tc>
          <w:tcPr>
            <w:tcW w:w="772"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119.5332566</w:t>
            </w:r>
          </w:p>
        </w:tc>
        <w:tc>
          <w:tcPr>
            <w:tcW w:w="735"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31.78256564</w:t>
            </w:r>
          </w:p>
        </w:tc>
        <w:tc>
          <w:tcPr>
            <w:tcW w:w="329"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NW</w:t>
            </w:r>
          </w:p>
        </w:tc>
        <w:tc>
          <w:tcPr>
            <w:tcW w:w="498"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2107</w:t>
            </w:r>
          </w:p>
        </w:tc>
        <w:tc>
          <w:tcPr>
            <w:tcW w:w="606"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50</w:t>
            </w:r>
          </w:p>
        </w:tc>
        <w:tc>
          <w:tcPr>
            <w:tcW w:w="1011"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c>
          <w:tcPr>
            <w:tcW w:w="666" w:type="pct"/>
            <w:shd w:val="clear" w:color="auto" w:fill="auto"/>
            <w:tcMar>
              <w:left w:w="0" w:type="dxa"/>
              <w:right w:w="0" w:type="dxa"/>
            </w:tcMar>
            <w:vAlign w:val="center"/>
          </w:tcPr>
          <w:p>
            <w:pPr>
              <w:widowControl/>
              <w:autoSpaceDE w:val="0"/>
              <w:autoSpaceDN w:val="0"/>
              <w:adjustRightInd w:val="0"/>
              <w:snapToGrid w:val="0"/>
              <w:jc w:val="center"/>
              <w:rPr>
                <w:rFonts w:eastAsia="仿宋"/>
                <w:bCs/>
                <w:szCs w:val="21"/>
              </w:rPr>
            </w:pPr>
            <w:r>
              <w:rPr>
                <w:rFonts w:hint="eastAsia" w:eastAsia="仿宋"/>
                <w:bCs/>
                <w:szCs w:val="21"/>
              </w:rPr>
              <w:t>南圩</w:t>
            </w:r>
          </w:p>
        </w:tc>
        <w:tc>
          <w:tcPr>
            <w:tcW w:w="772"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119.5486632</w:t>
            </w:r>
          </w:p>
        </w:tc>
        <w:tc>
          <w:tcPr>
            <w:tcW w:w="735"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31.79012948</w:t>
            </w:r>
          </w:p>
        </w:tc>
        <w:tc>
          <w:tcPr>
            <w:tcW w:w="329"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N</w:t>
            </w:r>
          </w:p>
        </w:tc>
        <w:tc>
          <w:tcPr>
            <w:tcW w:w="498"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2268</w:t>
            </w:r>
          </w:p>
        </w:tc>
        <w:tc>
          <w:tcPr>
            <w:tcW w:w="606"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80</w:t>
            </w:r>
          </w:p>
        </w:tc>
        <w:tc>
          <w:tcPr>
            <w:tcW w:w="1011"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restar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ascii="仿宋" w:hAnsi="仿宋" w:eastAsia="仿宋" w:cs="仿宋"/>
                <w:bCs/>
                <w:szCs w:val="21"/>
              </w:rPr>
              <w:t>生态环境</w:t>
            </w:r>
          </w:p>
        </w:tc>
        <w:tc>
          <w:tcPr>
            <w:tcW w:w="666"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ascii="仿宋" w:hAnsi="仿宋" w:eastAsia="仿宋" w:cs="仿宋"/>
                <w:bCs/>
                <w:szCs w:val="21"/>
              </w:rPr>
              <w:t>丹金溧漕河（金坛区）洪水调蓄区</w:t>
            </w:r>
          </w:p>
        </w:tc>
        <w:tc>
          <w:tcPr>
            <w:tcW w:w="772" w:type="pct"/>
            <w:vAlign w:val="center"/>
          </w:tcPr>
          <w:p>
            <w:pPr>
              <w:spacing w:line="240" w:lineRule="exact"/>
              <w:jc w:val="center"/>
              <w:rPr>
                <w:rFonts w:ascii="仿宋" w:hAnsi="仿宋" w:eastAsia="仿宋" w:cs="仿宋"/>
                <w:bCs/>
                <w:szCs w:val="21"/>
              </w:rPr>
            </w:pPr>
            <w:r>
              <w:rPr>
                <w:rFonts w:ascii="仿宋" w:hAnsi="仿宋" w:eastAsia="仿宋" w:cs="仿宋"/>
                <w:bCs/>
                <w:szCs w:val="21"/>
              </w:rPr>
              <w:t>119.53406831</w:t>
            </w:r>
          </w:p>
        </w:tc>
        <w:tc>
          <w:tcPr>
            <w:tcW w:w="735" w:type="pct"/>
            <w:vAlign w:val="center"/>
          </w:tcPr>
          <w:p>
            <w:pPr>
              <w:spacing w:line="240" w:lineRule="exact"/>
              <w:jc w:val="center"/>
              <w:rPr>
                <w:rFonts w:ascii="仿宋" w:hAnsi="仿宋" w:eastAsia="仿宋" w:cs="仿宋"/>
                <w:bCs/>
                <w:szCs w:val="21"/>
              </w:rPr>
            </w:pPr>
            <w:r>
              <w:rPr>
                <w:rFonts w:ascii="仿宋" w:hAnsi="仿宋" w:eastAsia="仿宋" w:cs="仿宋"/>
                <w:bCs/>
                <w:szCs w:val="21"/>
              </w:rPr>
              <w:t>31.7672664</w:t>
            </w:r>
          </w:p>
        </w:tc>
        <w:tc>
          <w:tcPr>
            <w:tcW w:w="329"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W</w:t>
            </w:r>
          </w:p>
        </w:tc>
        <w:tc>
          <w:tcPr>
            <w:tcW w:w="498"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1800</w:t>
            </w:r>
          </w:p>
        </w:tc>
        <w:tc>
          <w:tcPr>
            <w:tcW w:w="606"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w:t>
            </w:r>
          </w:p>
        </w:tc>
        <w:tc>
          <w:tcPr>
            <w:tcW w:w="1011" w:type="pct"/>
            <w:vMerge w:val="restar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ascii="仿宋" w:hAnsi="仿宋" w:eastAsia="仿宋" w:cs="仿宋"/>
                <w:bCs/>
                <w:szCs w:val="21"/>
              </w:rPr>
              <w:t>根据《江苏省生态空间管控区域规划》，主要生态功能依次分别为洪水调蓄、水源涵养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c>
          <w:tcPr>
            <w:tcW w:w="666"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ascii="仿宋" w:hAnsi="仿宋" w:eastAsia="仿宋" w:cs="仿宋"/>
                <w:bCs/>
                <w:szCs w:val="21"/>
              </w:rPr>
              <w:t>钱资荡重要湿地</w:t>
            </w:r>
          </w:p>
        </w:tc>
        <w:tc>
          <w:tcPr>
            <w:tcW w:w="772" w:type="pct"/>
            <w:vAlign w:val="center"/>
          </w:tcPr>
          <w:p>
            <w:pPr>
              <w:spacing w:line="240" w:lineRule="exact"/>
              <w:jc w:val="center"/>
              <w:rPr>
                <w:rFonts w:ascii="仿宋" w:hAnsi="仿宋" w:eastAsia="仿宋" w:cs="仿宋"/>
                <w:bCs/>
                <w:szCs w:val="21"/>
              </w:rPr>
            </w:pPr>
            <w:r>
              <w:rPr>
                <w:rFonts w:ascii="仿宋" w:hAnsi="仿宋" w:eastAsia="仿宋" w:cs="仿宋"/>
                <w:bCs/>
                <w:szCs w:val="21"/>
              </w:rPr>
              <w:t>119.5665123</w:t>
            </w:r>
          </w:p>
        </w:tc>
        <w:tc>
          <w:tcPr>
            <w:tcW w:w="735" w:type="pct"/>
            <w:vAlign w:val="center"/>
          </w:tcPr>
          <w:p>
            <w:pPr>
              <w:spacing w:line="240" w:lineRule="exact"/>
              <w:jc w:val="center"/>
              <w:rPr>
                <w:rFonts w:ascii="仿宋" w:hAnsi="仿宋" w:eastAsia="仿宋" w:cs="仿宋"/>
                <w:bCs/>
                <w:szCs w:val="21"/>
              </w:rPr>
            </w:pPr>
            <w:r>
              <w:rPr>
                <w:rFonts w:ascii="仿宋" w:hAnsi="仿宋" w:eastAsia="仿宋" w:cs="仿宋"/>
                <w:bCs/>
                <w:szCs w:val="21"/>
              </w:rPr>
              <w:t>31.70958824</w:t>
            </w:r>
          </w:p>
        </w:tc>
        <w:tc>
          <w:tcPr>
            <w:tcW w:w="329"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S</w:t>
            </w:r>
          </w:p>
        </w:tc>
        <w:tc>
          <w:tcPr>
            <w:tcW w:w="498"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7700</w:t>
            </w:r>
          </w:p>
        </w:tc>
        <w:tc>
          <w:tcPr>
            <w:tcW w:w="606"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w:t>
            </w:r>
          </w:p>
        </w:tc>
        <w:tc>
          <w:tcPr>
            <w:tcW w:w="1011" w:type="pct"/>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ascii="仿宋" w:hAnsi="仿宋" w:eastAsia="仿宋" w:cs="仿宋"/>
                <w:bCs/>
                <w:szCs w:val="21"/>
              </w:rPr>
              <w:t>声环境</w:t>
            </w:r>
          </w:p>
        </w:tc>
        <w:tc>
          <w:tcPr>
            <w:tcW w:w="666"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厂界外200m范围</w:t>
            </w:r>
          </w:p>
        </w:tc>
        <w:tc>
          <w:tcPr>
            <w:tcW w:w="1507" w:type="pct"/>
            <w:gridSpan w:val="2"/>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w:t>
            </w:r>
          </w:p>
        </w:tc>
        <w:tc>
          <w:tcPr>
            <w:tcW w:w="329"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w:t>
            </w:r>
          </w:p>
        </w:tc>
        <w:tc>
          <w:tcPr>
            <w:tcW w:w="498"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w:t>
            </w:r>
          </w:p>
        </w:tc>
        <w:tc>
          <w:tcPr>
            <w:tcW w:w="606"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w:t>
            </w:r>
          </w:p>
        </w:tc>
        <w:tc>
          <w:tcPr>
            <w:tcW w:w="1011"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ascii="仿宋" w:hAnsi="仿宋" w:eastAsia="仿宋" w:cs="仿宋"/>
                <w:bCs/>
                <w:szCs w:val="21"/>
              </w:rPr>
              <w:t>《声环境质量标准》（GB3096-2008）3类标准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ascii="仿宋" w:hAnsi="仿宋" w:eastAsia="仿宋" w:cs="仿宋"/>
                <w:bCs/>
                <w:szCs w:val="21"/>
              </w:rPr>
              <w:t>地下水</w:t>
            </w:r>
          </w:p>
          <w:p>
            <w:pPr>
              <w:spacing w:line="240" w:lineRule="exact"/>
              <w:jc w:val="center"/>
              <w:rPr>
                <w:rFonts w:ascii="仿宋" w:hAnsi="仿宋" w:eastAsia="仿宋" w:cs="仿宋"/>
                <w:bCs/>
                <w:szCs w:val="21"/>
              </w:rPr>
            </w:pPr>
            <w:r>
              <w:rPr>
                <w:rFonts w:ascii="仿宋" w:hAnsi="仿宋" w:eastAsia="仿宋" w:cs="仿宋"/>
                <w:bCs/>
                <w:szCs w:val="21"/>
              </w:rPr>
              <w:t>环境</w:t>
            </w:r>
          </w:p>
        </w:tc>
        <w:tc>
          <w:tcPr>
            <w:tcW w:w="2502" w:type="pct"/>
            <w:gridSpan w:val="4"/>
            <w:vAlign w:val="center"/>
          </w:tcPr>
          <w:p>
            <w:pPr>
              <w:spacing w:line="240" w:lineRule="exact"/>
              <w:jc w:val="center"/>
              <w:rPr>
                <w:rFonts w:ascii="仿宋" w:hAnsi="仿宋" w:eastAsia="仿宋" w:cs="仿宋"/>
                <w:bCs/>
                <w:szCs w:val="21"/>
              </w:rPr>
            </w:pPr>
            <w:r>
              <w:rPr>
                <w:rFonts w:ascii="仿宋" w:hAnsi="仿宋" w:eastAsia="仿宋" w:cs="仿宋"/>
                <w:bCs/>
                <w:szCs w:val="21"/>
              </w:rPr>
              <w:t>周边6km</w:t>
            </w:r>
            <w:r>
              <w:rPr>
                <w:rFonts w:ascii="仿宋" w:hAnsi="仿宋" w:eastAsia="仿宋" w:cs="仿宋"/>
                <w:bCs/>
                <w:szCs w:val="21"/>
                <w:vertAlign w:val="superscript"/>
              </w:rPr>
              <w:t>2</w:t>
            </w:r>
            <w:r>
              <w:rPr>
                <w:rFonts w:ascii="仿宋" w:hAnsi="仿宋" w:eastAsia="仿宋" w:cs="仿宋"/>
                <w:bCs/>
                <w:szCs w:val="21"/>
              </w:rPr>
              <w:t>范围地下水潜水含水层</w:t>
            </w:r>
          </w:p>
        </w:tc>
        <w:tc>
          <w:tcPr>
            <w:tcW w:w="1104" w:type="pct"/>
            <w:gridSpan w:val="2"/>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ascii="仿宋" w:hAnsi="仿宋" w:eastAsia="仿宋" w:cs="仿宋"/>
                <w:bCs/>
                <w:szCs w:val="21"/>
              </w:rPr>
              <w:t>评价范围内无可能受建设项目影响且具有饮用水开发价值的含水层</w:t>
            </w:r>
            <w:r>
              <w:rPr>
                <w:rFonts w:hint="eastAsia" w:ascii="仿宋" w:hAnsi="仿宋" w:eastAsia="仿宋" w:cs="仿宋"/>
                <w:bCs/>
                <w:szCs w:val="21"/>
              </w:rPr>
              <w:t>、集中式引水水源</w:t>
            </w:r>
            <w:r>
              <w:rPr>
                <w:rFonts w:ascii="仿宋" w:hAnsi="仿宋" w:eastAsia="仿宋" w:cs="仿宋"/>
                <w:bCs/>
                <w:szCs w:val="21"/>
              </w:rPr>
              <w:t>和分散式饮用水水源地，以及《</w:t>
            </w:r>
            <w:r>
              <w:rPr>
                <w:rFonts w:hint="eastAsia" w:ascii="仿宋" w:hAnsi="仿宋" w:eastAsia="仿宋" w:cs="仿宋"/>
                <w:bCs/>
                <w:szCs w:val="21"/>
              </w:rPr>
              <w:t>建设项目</w:t>
            </w:r>
            <w:r>
              <w:rPr>
                <w:rFonts w:ascii="仿宋" w:hAnsi="仿宋" w:eastAsia="仿宋" w:cs="仿宋"/>
                <w:bCs/>
                <w:szCs w:val="21"/>
              </w:rPr>
              <w:t>环境影响评价分类管理名录》</w:t>
            </w:r>
            <w:r>
              <w:rPr>
                <w:rFonts w:hint="eastAsia" w:ascii="仿宋" w:hAnsi="仿宋" w:eastAsia="仿宋" w:cs="仿宋"/>
                <w:bCs/>
                <w:szCs w:val="21"/>
              </w:rPr>
              <w:t>中</w:t>
            </w:r>
            <w:r>
              <w:rPr>
                <w:rFonts w:ascii="仿宋" w:hAnsi="仿宋" w:eastAsia="仿宋" w:cs="仿宋"/>
                <w:bCs/>
                <w:szCs w:val="21"/>
              </w:rPr>
              <w:t>界定的设计地下水的环境敏感</w:t>
            </w:r>
            <w:r>
              <w:rPr>
                <w:rFonts w:hint="eastAsia" w:ascii="仿宋" w:hAnsi="仿宋" w:eastAsia="仿宋" w:cs="仿宋"/>
                <w:bCs/>
                <w:szCs w:val="21"/>
              </w:rPr>
              <w:t>区</w:t>
            </w:r>
          </w:p>
        </w:tc>
        <w:tc>
          <w:tcPr>
            <w:tcW w:w="1011"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ascii="仿宋" w:hAnsi="仿宋" w:eastAsia="仿宋" w:cs="仿宋"/>
                <w:bCs/>
                <w:szCs w:val="21"/>
              </w:rPr>
              <w:t>水质符合《地下水环境质量标准》(GB/T 14848-93)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土壤</w:t>
            </w:r>
            <w:r>
              <w:rPr>
                <w:rFonts w:ascii="仿宋" w:hAnsi="仿宋" w:eastAsia="仿宋" w:cs="仿宋"/>
                <w:bCs/>
                <w:szCs w:val="21"/>
              </w:rPr>
              <w:t>环境</w:t>
            </w:r>
          </w:p>
        </w:tc>
        <w:tc>
          <w:tcPr>
            <w:tcW w:w="2502" w:type="pct"/>
            <w:gridSpan w:val="4"/>
            <w:vAlign w:val="center"/>
          </w:tcPr>
          <w:p>
            <w:pPr>
              <w:spacing w:line="240" w:lineRule="exact"/>
              <w:jc w:val="center"/>
              <w:rPr>
                <w:rFonts w:ascii="仿宋" w:hAnsi="仿宋" w:eastAsia="仿宋" w:cs="仿宋"/>
                <w:bCs/>
                <w:szCs w:val="21"/>
              </w:rPr>
            </w:pPr>
            <w:r>
              <w:rPr>
                <w:rFonts w:ascii="仿宋" w:hAnsi="仿宋" w:eastAsia="仿宋" w:cs="仿宋"/>
                <w:bCs/>
                <w:szCs w:val="21"/>
              </w:rPr>
              <w:t>占地范围内及占地范围外</w:t>
            </w:r>
            <w:r>
              <w:rPr>
                <w:rFonts w:hint="eastAsia" w:ascii="仿宋" w:hAnsi="仿宋" w:eastAsia="仿宋" w:cs="仿宋"/>
                <w:bCs/>
                <w:szCs w:val="21"/>
              </w:rPr>
              <w:t>0.2km</w:t>
            </w:r>
          </w:p>
        </w:tc>
        <w:tc>
          <w:tcPr>
            <w:tcW w:w="498"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w:t>
            </w:r>
          </w:p>
        </w:tc>
        <w:tc>
          <w:tcPr>
            <w:tcW w:w="606" w:type="pc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w:t>
            </w:r>
          </w:p>
        </w:tc>
        <w:tc>
          <w:tcPr>
            <w:tcW w:w="1011" w:type="pc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ascii="仿宋" w:hAnsi="仿宋" w:eastAsia="仿宋" w:cs="仿宋"/>
                <w:bCs/>
                <w:szCs w:val="21"/>
              </w:rPr>
              <w:t>《土壤环境质量建设用地土壤污染风险管控标准》（GB36600-2018）</w:t>
            </w:r>
          </w:p>
        </w:tc>
      </w:tr>
    </w:tbl>
    <w:p>
      <w:pPr>
        <w:pStyle w:val="3"/>
        <w:spacing w:before="120" w:after="120"/>
      </w:pPr>
      <w:bookmarkStart w:id="190" w:name="_Toc140565259"/>
      <w:r>
        <w:t>项目所在地相关规划</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90"/>
    </w:p>
    <w:p>
      <w:pPr>
        <w:pStyle w:val="4"/>
        <w:keepLines w:val="0"/>
        <w:numPr>
          <w:ilvl w:val="2"/>
          <w:numId w:val="1"/>
        </w:numPr>
        <w:tabs>
          <w:tab w:val="left" w:pos="709"/>
        </w:tabs>
        <w:spacing w:before="120" w:beforeLines="50" w:after="120" w:afterLines="50" w:line="500" w:lineRule="exact"/>
        <w:ind w:left="422" w:hanging="422" w:hangingChars="150"/>
        <w:rPr>
          <w:rFonts w:eastAsia="仿宋_GB2312"/>
          <w:sz w:val="28"/>
          <w:szCs w:val="28"/>
        </w:rPr>
      </w:pPr>
      <w:r>
        <w:rPr>
          <w:rFonts w:hint="eastAsia" w:eastAsia="仿宋_GB2312"/>
          <w:sz w:val="28"/>
          <w:szCs w:val="28"/>
        </w:rPr>
        <w:t>金坛区总体规划</w:t>
      </w:r>
    </w:p>
    <w:p>
      <w:pPr>
        <w:spacing w:line="490" w:lineRule="exact"/>
        <w:ind w:firstLine="560" w:firstLineChars="200"/>
        <w:rPr>
          <w:rFonts w:eastAsia="仿宋_GB2312"/>
          <w:sz w:val="28"/>
          <w:szCs w:val="28"/>
        </w:rPr>
      </w:pPr>
      <w:r>
        <w:rPr>
          <w:rFonts w:eastAsia="仿宋_GB2312"/>
          <w:sz w:val="28"/>
          <w:szCs w:val="28"/>
        </w:rPr>
        <w:t>根据《金坛区城市总体规划（2013-2030年）》第三节—工业用地规划—用地布局工业用地规划为三片：</w:t>
      </w:r>
    </w:p>
    <w:p>
      <w:pPr>
        <w:spacing w:line="490" w:lineRule="exact"/>
        <w:ind w:firstLine="560" w:firstLineChars="200"/>
        <w:rPr>
          <w:rFonts w:eastAsia="仿宋_GB2312"/>
          <w:sz w:val="28"/>
          <w:szCs w:val="28"/>
        </w:rPr>
      </w:pPr>
      <w:r>
        <w:rPr>
          <w:rFonts w:eastAsia="仿宋_GB2312"/>
          <w:sz w:val="28"/>
          <w:szCs w:val="28"/>
        </w:rPr>
        <w:t>经济开发区：位于下塘河以东，主要发展高新技术产业，工业门类以污染程度较轻的一、二类为主，逐步发展以高科技为先导的加工业基地。</w:t>
      </w:r>
    </w:p>
    <w:p>
      <w:pPr>
        <w:spacing w:line="490" w:lineRule="exact"/>
        <w:ind w:firstLine="560" w:firstLineChars="200"/>
        <w:rPr>
          <w:rFonts w:eastAsia="仿宋_GB2312"/>
          <w:sz w:val="28"/>
          <w:szCs w:val="28"/>
        </w:rPr>
      </w:pPr>
      <w:r>
        <w:rPr>
          <w:rFonts w:eastAsia="仿宋_GB2312"/>
          <w:sz w:val="28"/>
          <w:szCs w:val="28"/>
        </w:rPr>
        <w:t>电厂工业区：位于丹金漕河以东、良常路（常溧公路城区段）以北，主要发展盐化建材工业。</w:t>
      </w:r>
    </w:p>
    <w:p>
      <w:pPr>
        <w:spacing w:line="490" w:lineRule="exact"/>
        <w:ind w:firstLine="560" w:firstLineChars="200"/>
        <w:rPr>
          <w:rFonts w:eastAsia="仿宋_GB2312"/>
          <w:sz w:val="28"/>
          <w:szCs w:val="28"/>
        </w:rPr>
      </w:pPr>
      <w:r>
        <w:rPr>
          <w:rFonts w:eastAsia="仿宋_GB2312"/>
          <w:sz w:val="28"/>
          <w:szCs w:val="28"/>
        </w:rPr>
        <w:t>西城工业区：位于西城区良常路以南，主要发展民营工业、中小企业，并且城区内置换出来的工厂大都迁至此片工业区内，工业门类以轻度污染的二类为主，可适当安排三类工业。</w:t>
      </w:r>
    </w:p>
    <w:p>
      <w:pPr>
        <w:spacing w:line="490" w:lineRule="exact"/>
        <w:ind w:firstLine="560" w:firstLineChars="200"/>
        <w:rPr>
          <w:rFonts w:eastAsia="仿宋_GB2312"/>
          <w:sz w:val="28"/>
          <w:szCs w:val="28"/>
        </w:rPr>
      </w:pPr>
      <w:r>
        <w:rPr>
          <w:rFonts w:eastAsia="仿宋_GB2312"/>
          <w:sz w:val="28"/>
          <w:szCs w:val="28"/>
        </w:rPr>
        <w:t>旧城区内的用地规模小于0.5公顷、对环境没有影响的小型工业企业可予以保留，其余工业用地逐步调整搬迁。</w:t>
      </w:r>
    </w:p>
    <w:p>
      <w:pPr>
        <w:pStyle w:val="4"/>
        <w:keepLines w:val="0"/>
        <w:numPr>
          <w:ilvl w:val="2"/>
          <w:numId w:val="1"/>
        </w:numPr>
        <w:tabs>
          <w:tab w:val="left" w:pos="709"/>
        </w:tabs>
        <w:spacing w:before="120" w:beforeLines="50" w:after="120" w:afterLines="50" w:line="500" w:lineRule="exact"/>
        <w:ind w:left="422" w:hanging="422" w:hangingChars="150"/>
        <w:rPr>
          <w:rFonts w:eastAsia="仿宋_GB2312"/>
          <w:sz w:val="28"/>
          <w:szCs w:val="28"/>
        </w:rPr>
      </w:pPr>
      <w:r>
        <w:rPr>
          <w:rFonts w:hint="eastAsia" w:eastAsia="仿宋_GB2312"/>
          <w:sz w:val="28"/>
          <w:szCs w:val="28"/>
        </w:rPr>
        <w:t>金城镇总体</w:t>
      </w:r>
      <w:r>
        <w:rPr>
          <w:rFonts w:eastAsia="仿宋_GB2312"/>
          <w:sz w:val="28"/>
          <w:szCs w:val="28"/>
        </w:rPr>
        <w:t>规划</w:t>
      </w:r>
    </w:p>
    <w:p>
      <w:pPr>
        <w:spacing w:line="490" w:lineRule="exact"/>
        <w:ind w:firstLine="560" w:firstLineChars="200"/>
        <w:rPr>
          <w:rFonts w:eastAsia="仿宋_GB2312"/>
          <w:sz w:val="28"/>
          <w:szCs w:val="28"/>
        </w:rPr>
      </w:pPr>
      <w:r>
        <w:rPr>
          <w:rFonts w:eastAsia="仿宋_GB2312"/>
          <w:sz w:val="28"/>
          <w:szCs w:val="28"/>
        </w:rPr>
        <w:t>2017年2月28日，金城镇人民政府取得了《常州市金坛区人民政府关于同意常州市金坛区金城镇总体规划（2016-2030）的批复》（坛政复〔2017〕32号）。</w:t>
      </w:r>
    </w:p>
    <w:p>
      <w:pPr>
        <w:spacing w:line="490" w:lineRule="exact"/>
        <w:ind w:firstLine="560" w:firstLineChars="200"/>
        <w:rPr>
          <w:rFonts w:eastAsia="仿宋_GB2312"/>
          <w:sz w:val="28"/>
          <w:szCs w:val="28"/>
        </w:rPr>
      </w:pPr>
      <w:r>
        <w:rPr>
          <w:rFonts w:eastAsia="仿宋_GB2312"/>
          <w:sz w:val="28"/>
          <w:szCs w:val="28"/>
        </w:rPr>
        <w:t>（1）规划区范围为金城镇镇域范围。镇域为金城镇所辖的全部行政地域范围，总面积92.50平方公里。</w:t>
      </w:r>
    </w:p>
    <w:p>
      <w:pPr>
        <w:spacing w:line="490" w:lineRule="exact"/>
        <w:ind w:firstLine="560" w:firstLineChars="200"/>
        <w:rPr>
          <w:rFonts w:eastAsia="仿宋_GB2312"/>
          <w:sz w:val="28"/>
          <w:szCs w:val="28"/>
        </w:rPr>
      </w:pPr>
      <w:r>
        <w:rPr>
          <w:rFonts w:eastAsia="仿宋_GB2312"/>
          <w:sz w:val="28"/>
          <w:szCs w:val="28"/>
        </w:rPr>
        <w:t>（2）协调发展区位于镇域东南侧、靠近金坛城区，西至丹金溧漕河，东至金城镇镇域边界，北至丹金溧漕河，南至金城镇镇域边界，总面积约16.07平方公里。</w:t>
      </w:r>
    </w:p>
    <w:p>
      <w:pPr>
        <w:spacing w:line="490" w:lineRule="exact"/>
        <w:ind w:firstLine="560" w:firstLineChars="200"/>
        <w:rPr>
          <w:rFonts w:eastAsia="仿宋_GB2312"/>
          <w:sz w:val="28"/>
          <w:szCs w:val="28"/>
        </w:rPr>
      </w:pPr>
      <w:r>
        <w:rPr>
          <w:rFonts w:eastAsia="仿宋_GB2312"/>
          <w:sz w:val="28"/>
          <w:szCs w:val="28"/>
        </w:rPr>
        <w:t>（3）发展目标。坚持产镇融合和城乡发展一体化，推动城镇发展模式转型，将金城镇建设成为具有优质生活环境、良好就业岗位、城乡统筹发展的产业新镇；坚持创新引领，保持良好的生态环境，大力发展生态绿色产业，将金城镇打造成为金坛城区的生态休闲后花园。</w:t>
      </w:r>
    </w:p>
    <w:p>
      <w:pPr>
        <w:spacing w:line="490" w:lineRule="exact"/>
        <w:ind w:firstLine="560" w:firstLineChars="200"/>
        <w:rPr>
          <w:rFonts w:eastAsia="仿宋_GB2312"/>
          <w:sz w:val="28"/>
          <w:szCs w:val="28"/>
        </w:rPr>
      </w:pPr>
      <w:r>
        <w:rPr>
          <w:rFonts w:eastAsia="仿宋_GB2312"/>
          <w:sz w:val="28"/>
          <w:szCs w:val="28"/>
        </w:rPr>
        <w:t>（4）镇域空间结构。镇域范围内构建“两心三片、一带三轴”的总体空间体系。“两心”为园区综合服务中心和特色商贸物流中心。“三片”分别为镇域西侧的生态休闲农业片区、镇域东侧的先进制造业聚集片区和城市功能协调片区。“一带”为沿新丹金溧漕河滨河生态景观带，同时作为划分镇域外围村庄和协调发展区范围的边界。“三轴”分别为金沙大道城市功能串接轴、盐港路产业发展轴和良常路城市发展轴。</w:t>
      </w:r>
    </w:p>
    <w:p>
      <w:pPr>
        <w:spacing w:line="490" w:lineRule="exact"/>
        <w:ind w:firstLine="560" w:firstLineChars="200"/>
        <w:rPr>
          <w:rFonts w:eastAsia="仿宋_GB2312"/>
          <w:sz w:val="28"/>
          <w:szCs w:val="28"/>
        </w:rPr>
      </w:pPr>
      <w:r>
        <w:rPr>
          <w:rFonts w:eastAsia="仿宋_GB2312"/>
          <w:sz w:val="28"/>
          <w:szCs w:val="28"/>
        </w:rPr>
        <w:t>（5）产业发展目标。以工业集群化、高新化，农业现代化，服务业特色化统领全镇产业发展，全力构建金城镇现代产业体系，借力常金一体化建设，嵌入区域创新网络，将金城镇打造成为苏南丘陵地区先进制造业名镇和金坛市区西翼新兴增长极。</w:t>
      </w:r>
    </w:p>
    <w:p>
      <w:pPr>
        <w:spacing w:line="490" w:lineRule="exact"/>
        <w:ind w:firstLine="560" w:firstLineChars="200"/>
        <w:rPr>
          <w:rFonts w:eastAsia="仿宋_GB2312"/>
          <w:sz w:val="28"/>
          <w:szCs w:val="28"/>
        </w:rPr>
      </w:pPr>
      <w:r>
        <w:rPr>
          <w:rFonts w:eastAsia="仿宋_GB2312"/>
          <w:sz w:val="28"/>
          <w:szCs w:val="28"/>
        </w:rPr>
        <w:t>（6）产业体系构建。引导装备制造等基础性产业不断技术创新做大做强；鼓励新材料、生物医药、节能环保等高新技术产业专业化集群创新发展；培育品质消费和旅游服务等现代服务业；促进化学工业、冶金等污染性工业转型或退出。</w:t>
      </w:r>
    </w:p>
    <w:p>
      <w:pPr>
        <w:spacing w:line="490" w:lineRule="exact"/>
        <w:ind w:firstLine="560" w:firstLineChars="200"/>
        <w:rPr>
          <w:rFonts w:eastAsia="仿宋_GB2312"/>
          <w:sz w:val="28"/>
          <w:szCs w:val="28"/>
        </w:rPr>
      </w:pPr>
      <w:r>
        <w:rPr>
          <w:rFonts w:eastAsia="仿宋_GB2312"/>
          <w:sz w:val="28"/>
          <w:szCs w:val="28"/>
        </w:rPr>
        <w:t>（7）产业发展引导</w:t>
      </w:r>
    </w:p>
    <w:p>
      <w:pPr>
        <w:spacing w:line="490" w:lineRule="exact"/>
        <w:ind w:firstLine="560" w:firstLineChars="200"/>
        <w:rPr>
          <w:rFonts w:eastAsia="仿宋_GB2312"/>
          <w:sz w:val="28"/>
          <w:szCs w:val="28"/>
        </w:rPr>
      </w:pPr>
      <w:r>
        <w:rPr>
          <w:rFonts w:hint="eastAsia" w:eastAsia="仿宋_GB2312"/>
          <w:sz w:val="28"/>
          <w:szCs w:val="28"/>
        </w:rPr>
        <w:t>①</w:t>
      </w:r>
      <w:r>
        <w:rPr>
          <w:rFonts w:eastAsia="仿宋_GB2312"/>
          <w:sz w:val="28"/>
          <w:szCs w:val="28"/>
        </w:rPr>
        <w:t>现代农业：以生态为理念、生活为视角、生产促发展，实现六次产业联动发展。充分利用品牌优势，发展并优化规模化生产基地。重点加强专业化的蔬菜生产基地建设和花木产业提档升级，积极发展花卉苗木、叶菜和大棚反季节蔬菜栽培等高效农业产业模式和生态休闲观光农业模式。</w:t>
      </w:r>
    </w:p>
    <w:p>
      <w:pPr>
        <w:spacing w:line="490" w:lineRule="exact"/>
        <w:ind w:firstLine="560" w:firstLineChars="200"/>
        <w:rPr>
          <w:rFonts w:eastAsia="仿宋_GB2312"/>
          <w:sz w:val="28"/>
          <w:szCs w:val="28"/>
        </w:rPr>
      </w:pPr>
      <w:r>
        <w:rPr>
          <w:rFonts w:hint="eastAsia" w:eastAsia="仿宋_GB2312"/>
          <w:sz w:val="28"/>
          <w:szCs w:val="28"/>
        </w:rPr>
        <w:t>②</w:t>
      </w:r>
      <w:r>
        <w:rPr>
          <w:rFonts w:eastAsia="仿宋_GB2312"/>
          <w:sz w:val="28"/>
          <w:szCs w:val="28"/>
        </w:rPr>
        <w:t>先进制造业：规模化、集群化、特色化、高新化发展，打造金坛城区西翼新兴增长极。以加快培育和发展战略性新兴产业为重点，重点发展高端装备制造、新兴材料、节能环保、生物医药等新兴产业。</w:t>
      </w:r>
    </w:p>
    <w:p>
      <w:pPr>
        <w:spacing w:line="490" w:lineRule="exact"/>
        <w:ind w:firstLine="560" w:firstLineChars="200"/>
        <w:rPr>
          <w:rFonts w:eastAsia="仿宋_GB2312"/>
          <w:sz w:val="28"/>
          <w:szCs w:val="28"/>
        </w:rPr>
      </w:pPr>
      <w:r>
        <w:rPr>
          <w:rFonts w:hint="eastAsia" w:eastAsia="仿宋_GB2312"/>
          <w:sz w:val="28"/>
          <w:szCs w:val="28"/>
        </w:rPr>
        <w:t>③</w:t>
      </w:r>
      <w:r>
        <w:rPr>
          <w:rFonts w:eastAsia="仿宋_GB2312"/>
          <w:sz w:val="28"/>
          <w:szCs w:val="28"/>
        </w:rPr>
        <w:t>商贸服务业：以现状专业市场为基础，以规模化、专业化发展为目标，结合电商等现代商贸服务业新形式，打造金坛城区西部的特色商贸物流中心。</w:t>
      </w:r>
    </w:p>
    <w:p>
      <w:pPr>
        <w:spacing w:line="490" w:lineRule="exact"/>
        <w:ind w:firstLine="560" w:firstLineChars="200"/>
        <w:rPr>
          <w:rFonts w:eastAsia="仿宋_GB2312"/>
          <w:sz w:val="28"/>
          <w:szCs w:val="28"/>
        </w:rPr>
      </w:pPr>
      <w:r>
        <w:rPr>
          <w:rFonts w:hint="eastAsia" w:eastAsia="仿宋_GB2312"/>
          <w:sz w:val="28"/>
          <w:szCs w:val="28"/>
        </w:rPr>
        <w:t>④</w:t>
      </w:r>
      <w:r>
        <w:rPr>
          <w:rFonts w:eastAsia="仿宋_GB2312"/>
          <w:sz w:val="28"/>
          <w:szCs w:val="28"/>
        </w:rPr>
        <w:t>临港产业：金城镇坐拥常州市内唯一内河港口、金坛区唯一集装箱运输港口—金坛港，围绕金坛港集装箱货运优势，发展临港产业，能够增强金城镇产业在长三角区域能的竞争力，促进企业降本提效。</w:t>
      </w:r>
    </w:p>
    <w:p>
      <w:pPr>
        <w:spacing w:line="490" w:lineRule="exact"/>
        <w:ind w:firstLine="560" w:firstLineChars="200"/>
        <w:rPr>
          <w:rFonts w:eastAsia="仿宋_GB2312"/>
          <w:sz w:val="28"/>
          <w:szCs w:val="28"/>
        </w:rPr>
      </w:pPr>
      <w:r>
        <w:rPr>
          <w:rFonts w:eastAsia="仿宋_GB2312"/>
          <w:sz w:val="28"/>
          <w:szCs w:val="28"/>
        </w:rPr>
        <w:t>（8）产业空间布局</w:t>
      </w:r>
    </w:p>
    <w:p>
      <w:pPr>
        <w:spacing w:line="490" w:lineRule="exact"/>
        <w:ind w:firstLine="560" w:firstLineChars="200"/>
        <w:rPr>
          <w:rFonts w:eastAsia="仿宋_GB2312"/>
          <w:sz w:val="28"/>
          <w:szCs w:val="28"/>
        </w:rPr>
      </w:pPr>
      <w:r>
        <w:rPr>
          <w:rFonts w:hint="eastAsia" w:eastAsia="仿宋_GB2312"/>
          <w:sz w:val="28"/>
          <w:szCs w:val="28"/>
        </w:rPr>
        <w:t>①</w:t>
      </w:r>
      <w:r>
        <w:rPr>
          <w:rFonts w:eastAsia="仿宋_GB2312"/>
          <w:sz w:val="28"/>
          <w:szCs w:val="28"/>
        </w:rPr>
        <w:t>先进制造业集聚区：即金坛金城工业园区范围。园区通过改造提升传统产业，重点培育高端装备制造业、新材料产业、生物医药产业以及节能环保产业等战略新兴产业，逐步淘汰退出落后产业，打造成为苏南丘陵地区先进制造业名镇和金坛市区西翼新兴增长极。</w:t>
      </w:r>
    </w:p>
    <w:p>
      <w:pPr>
        <w:spacing w:line="490" w:lineRule="exact"/>
        <w:ind w:firstLine="560" w:firstLineChars="200"/>
        <w:rPr>
          <w:rFonts w:eastAsia="仿宋_GB2312"/>
          <w:sz w:val="28"/>
          <w:szCs w:val="28"/>
        </w:rPr>
      </w:pPr>
      <w:r>
        <w:rPr>
          <w:rFonts w:hint="eastAsia" w:eastAsia="仿宋_GB2312"/>
          <w:sz w:val="28"/>
          <w:szCs w:val="28"/>
        </w:rPr>
        <w:t>②</w:t>
      </w:r>
      <w:r>
        <w:rPr>
          <w:rFonts w:eastAsia="仿宋_GB2312"/>
          <w:sz w:val="28"/>
          <w:szCs w:val="28"/>
        </w:rPr>
        <w:t>特色商贸物流区：新丹金溧漕河以东、S340以南，融入金坛老城发展板块的片区。主要依托现有五金、建材等专业市场，结合顾龙山公园，通过植入电商、体验、休闲、娱乐等现代商业商贸元素，打造成为金坛城西特色商贸物流中心。</w:t>
      </w:r>
    </w:p>
    <w:p>
      <w:pPr>
        <w:spacing w:line="490" w:lineRule="exact"/>
        <w:ind w:firstLine="560" w:firstLineChars="200"/>
        <w:rPr>
          <w:rFonts w:eastAsia="仿宋_GB2312"/>
          <w:sz w:val="28"/>
          <w:szCs w:val="28"/>
        </w:rPr>
      </w:pPr>
      <w:r>
        <w:rPr>
          <w:rFonts w:hint="eastAsia" w:eastAsia="仿宋_GB2312"/>
          <w:sz w:val="28"/>
          <w:szCs w:val="28"/>
        </w:rPr>
        <w:t>③</w:t>
      </w:r>
      <w:r>
        <w:rPr>
          <w:rFonts w:eastAsia="仿宋_GB2312"/>
          <w:sz w:val="28"/>
          <w:szCs w:val="28"/>
        </w:rPr>
        <w:t>休闲观光农业区：镇域西南侧农村地区，靠近协调发展区南部顾龙山公园，发挥地势平坦、水网密集的优势，依托规划重点村、特色村，建设集生态观光游览和农业生产、采摘、销售于一体的休闲观光农业片区。</w:t>
      </w:r>
    </w:p>
    <w:p>
      <w:pPr>
        <w:spacing w:line="490" w:lineRule="exact"/>
        <w:ind w:firstLine="560" w:firstLineChars="200"/>
        <w:rPr>
          <w:rFonts w:eastAsia="仿宋_GB2312"/>
          <w:sz w:val="28"/>
          <w:szCs w:val="28"/>
        </w:rPr>
      </w:pPr>
      <w:r>
        <w:rPr>
          <w:rFonts w:hint="eastAsia" w:eastAsia="仿宋_GB2312"/>
          <w:sz w:val="28"/>
          <w:szCs w:val="28"/>
        </w:rPr>
        <w:t>④</w:t>
      </w:r>
      <w:r>
        <w:rPr>
          <w:rFonts w:eastAsia="仿宋_GB2312"/>
          <w:sz w:val="28"/>
          <w:szCs w:val="28"/>
        </w:rPr>
        <w:t>生态高效农业区：镇域西北侧农村地区，依托现状农业种植、渔业养殖等基础优势，重点加强专业化农业生产基地建设，形成以现代生态农业、设施农业为主体的生态高效农业片区。</w:t>
      </w:r>
    </w:p>
    <w:p>
      <w:pPr>
        <w:spacing w:line="490" w:lineRule="exact"/>
        <w:ind w:firstLine="560" w:firstLineChars="200"/>
        <w:rPr>
          <w:rFonts w:eastAsia="仿宋_GB2312"/>
          <w:sz w:val="28"/>
          <w:szCs w:val="28"/>
        </w:rPr>
      </w:pPr>
      <w:r>
        <w:rPr>
          <w:rFonts w:eastAsia="仿宋_GB2312"/>
          <w:sz w:val="28"/>
          <w:szCs w:val="28"/>
        </w:rPr>
        <w:t>本项目位于常州市金坛区，位于金城镇镇域范围内，行业类别属于“</w:t>
      </w:r>
      <w:r>
        <w:rPr>
          <w:rFonts w:hint="eastAsia" w:eastAsia="仿宋_GB2312"/>
          <w:sz w:val="28"/>
          <w:szCs w:val="28"/>
        </w:rPr>
        <w:t>C</w:t>
      </w:r>
      <w:r>
        <w:rPr>
          <w:rFonts w:eastAsia="仿宋_GB2312"/>
          <w:sz w:val="28"/>
          <w:szCs w:val="28"/>
        </w:rPr>
        <w:t>292</w:t>
      </w:r>
      <w:r>
        <w:rPr>
          <w:rFonts w:hint="eastAsia" w:eastAsia="仿宋_GB2312"/>
          <w:sz w:val="28"/>
          <w:szCs w:val="28"/>
        </w:rPr>
        <w:t xml:space="preserve"> 塑料制品业</w:t>
      </w:r>
      <w:r>
        <w:rPr>
          <w:rFonts w:eastAsia="仿宋_GB2312"/>
          <w:sz w:val="28"/>
          <w:szCs w:val="28"/>
        </w:rPr>
        <w:t>”，产品为电子工业用胶带，满足金城镇产业定位；根据《常州市金坛区金城镇总体规划（2016-2030年）-镇域用地规划图》</w:t>
      </w:r>
      <w:r>
        <w:rPr>
          <w:rFonts w:hint="eastAsia" w:eastAsia="仿宋_GB2312"/>
          <w:b/>
          <w:sz w:val="28"/>
          <w:szCs w:val="28"/>
        </w:rPr>
        <w:t>见</w:t>
      </w:r>
      <w:r>
        <w:rPr>
          <w:rFonts w:eastAsia="仿宋_GB2312"/>
          <w:b/>
          <w:sz w:val="28"/>
          <w:szCs w:val="28"/>
        </w:rPr>
        <w:t>图</w:t>
      </w:r>
      <w:r>
        <w:rPr>
          <w:rFonts w:hint="eastAsia" w:eastAsia="仿宋_GB2312"/>
          <w:b/>
          <w:sz w:val="28"/>
          <w:szCs w:val="28"/>
        </w:rPr>
        <w:t>2.6</w:t>
      </w:r>
      <w:r>
        <w:rPr>
          <w:rFonts w:eastAsia="仿宋_GB2312"/>
          <w:b/>
          <w:sz w:val="28"/>
          <w:szCs w:val="28"/>
        </w:rPr>
        <w:t>-1</w:t>
      </w:r>
      <w:r>
        <w:rPr>
          <w:rFonts w:eastAsia="仿宋_GB2312"/>
          <w:sz w:val="28"/>
          <w:szCs w:val="28"/>
        </w:rPr>
        <w:t>，本项目所在地已规划为工业用地，用地性质符合要求。</w:t>
      </w:r>
      <w:r>
        <w:rPr>
          <w:rFonts w:hint="eastAsia" w:eastAsia="仿宋_GB2312"/>
          <w:sz w:val="28"/>
          <w:szCs w:val="28"/>
        </w:rPr>
        <w:t>根据《金城镇三区三线图》</w:t>
      </w:r>
      <w:r>
        <w:rPr>
          <w:rFonts w:hint="eastAsia" w:eastAsia="仿宋_GB2312"/>
          <w:b/>
          <w:sz w:val="28"/>
          <w:szCs w:val="28"/>
        </w:rPr>
        <w:t>见图2</w:t>
      </w:r>
      <w:r>
        <w:rPr>
          <w:rFonts w:eastAsia="仿宋_GB2312"/>
          <w:b/>
          <w:sz w:val="28"/>
          <w:szCs w:val="28"/>
        </w:rPr>
        <w:t>.6-2</w:t>
      </w:r>
      <w:r>
        <w:rPr>
          <w:rFonts w:hint="eastAsia" w:eastAsia="仿宋_GB2312"/>
          <w:b/>
          <w:sz w:val="28"/>
          <w:szCs w:val="28"/>
        </w:rPr>
        <w:t>，</w:t>
      </w:r>
      <w:r>
        <w:rPr>
          <w:rFonts w:hint="eastAsia" w:eastAsia="仿宋_GB2312"/>
          <w:sz w:val="28"/>
          <w:szCs w:val="28"/>
        </w:rPr>
        <w:t>根据《常州市国土空间总体规划图》</w:t>
      </w:r>
      <w:r>
        <w:rPr>
          <w:rFonts w:hint="eastAsia" w:eastAsia="仿宋_GB2312"/>
          <w:b/>
          <w:sz w:val="28"/>
          <w:szCs w:val="28"/>
        </w:rPr>
        <w:t>见图2</w:t>
      </w:r>
      <w:r>
        <w:rPr>
          <w:rFonts w:eastAsia="仿宋_GB2312"/>
          <w:b/>
          <w:sz w:val="28"/>
          <w:szCs w:val="28"/>
        </w:rPr>
        <w:t>.6-3</w:t>
      </w:r>
      <w:r>
        <w:rPr>
          <w:rFonts w:hint="eastAsia" w:eastAsia="仿宋_GB2312"/>
          <w:b/>
          <w:sz w:val="28"/>
          <w:szCs w:val="28"/>
        </w:rPr>
        <w:t>，</w:t>
      </w:r>
      <w:r>
        <w:rPr>
          <w:rFonts w:hint="eastAsia" w:eastAsia="仿宋_GB2312"/>
          <w:sz w:val="28"/>
          <w:szCs w:val="28"/>
        </w:rPr>
        <w:t>本项目位于城镇开发边界内，不涉及基本农田及生态红线，符合规划用地要求。</w:t>
      </w:r>
    </w:p>
    <w:p>
      <w:pPr>
        <w:pStyle w:val="4"/>
        <w:keepLines w:val="0"/>
        <w:numPr>
          <w:ilvl w:val="2"/>
          <w:numId w:val="1"/>
        </w:numPr>
        <w:tabs>
          <w:tab w:val="left" w:pos="709"/>
        </w:tabs>
        <w:adjustRightInd w:val="0"/>
        <w:snapToGrid w:val="0"/>
        <w:spacing w:before="120" w:beforeLines="50" w:after="120" w:afterLines="50" w:line="500" w:lineRule="exact"/>
        <w:ind w:left="0" w:firstLine="0"/>
        <w:rPr>
          <w:rFonts w:eastAsia="仿宋_GB2312"/>
          <w:sz w:val="28"/>
          <w:szCs w:val="28"/>
        </w:rPr>
      </w:pPr>
      <w:r>
        <w:rPr>
          <w:rFonts w:eastAsia="仿宋_GB2312"/>
          <w:sz w:val="28"/>
          <w:szCs w:val="28"/>
        </w:rPr>
        <w:t>江苏省金坛区金城镇工业园区（北区）概况</w:t>
      </w:r>
    </w:p>
    <w:p>
      <w:pPr>
        <w:adjustRightInd w:val="0"/>
        <w:snapToGrid w:val="0"/>
        <w:spacing w:line="500" w:lineRule="exact"/>
        <w:ind w:firstLine="560" w:firstLineChars="200"/>
        <w:rPr>
          <w:rFonts w:eastAsia="仿宋_GB2312"/>
          <w:sz w:val="28"/>
          <w:szCs w:val="28"/>
        </w:rPr>
      </w:pPr>
      <w:r>
        <w:rPr>
          <w:rFonts w:eastAsia="仿宋_GB2312"/>
          <w:sz w:val="28"/>
          <w:szCs w:val="28"/>
        </w:rPr>
        <w:t>2017年9月1日，常州市金坛区金城镇人民政府取得了《关于对常州市金坛区金城镇人民政府“江苏省金坛区金城镇工业园区（北区）发展规划”环境影响报告书的审查意见》（坛环服复〔2017〕24号）。目前，金城镇人民政府正委托咨询单位对相关规划和规划环评进行更新</w:t>
      </w:r>
      <w:r>
        <w:rPr>
          <w:rFonts w:hint="eastAsia" w:eastAsia="仿宋_GB2312"/>
          <w:sz w:val="28"/>
          <w:szCs w:val="28"/>
        </w:rPr>
        <w:t>，现阶段仍以原规划和规划环评进行建设。</w:t>
      </w:r>
    </w:p>
    <w:p>
      <w:pPr>
        <w:adjustRightInd w:val="0"/>
        <w:snapToGrid w:val="0"/>
        <w:spacing w:line="500" w:lineRule="exact"/>
        <w:ind w:firstLine="560" w:firstLineChars="200"/>
        <w:rPr>
          <w:rFonts w:eastAsia="仿宋_GB2312"/>
          <w:sz w:val="28"/>
          <w:szCs w:val="28"/>
        </w:rPr>
      </w:pPr>
      <w:r>
        <w:rPr>
          <w:rFonts w:eastAsia="仿宋_GB2312"/>
          <w:sz w:val="28"/>
          <w:szCs w:val="28"/>
        </w:rPr>
        <w:t>（1）规划范围</w:t>
      </w:r>
    </w:p>
    <w:p>
      <w:pPr>
        <w:adjustRightInd w:val="0"/>
        <w:snapToGrid w:val="0"/>
        <w:spacing w:line="500" w:lineRule="exact"/>
        <w:ind w:firstLine="560" w:firstLineChars="200"/>
        <w:rPr>
          <w:rFonts w:eastAsia="仿宋_GB2312"/>
          <w:sz w:val="28"/>
          <w:szCs w:val="28"/>
        </w:rPr>
      </w:pPr>
      <w:r>
        <w:rPr>
          <w:rFonts w:eastAsia="仿宋_GB2312"/>
          <w:sz w:val="28"/>
          <w:szCs w:val="28"/>
        </w:rPr>
        <w:t>东至春风东路，南至良常路，西、北至丹金溧漕河，总面积9.3km</w:t>
      </w:r>
      <w:r>
        <w:rPr>
          <w:rFonts w:eastAsia="仿宋_GB2312"/>
          <w:sz w:val="28"/>
          <w:szCs w:val="28"/>
          <w:vertAlign w:val="superscript"/>
        </w:rPr>
        <w:t>2</w:t>
      </w:r>
      <w:r>
        <w:rPr>
          <w:rFonts w:eastAsia="仿宋_GB2312"/>
          <w:sz w:val="28"/>
          <w:szCs w:val="28"/>
        </w:rPr>
        <w:t>，其中城市建设用地规划面积8.2km</w:t>
      </w:r>
      <w:r>
        <w:rPr>
          <w:rFonts w:eastAsia="仿宋_GB2312"/>
          <w:sz w:val="28"/>
          <w:szCs w:val="28"/>
          <w:vertAlign w:val="superscript"/>
        </w:rPr>
        <w:t>2</w:t>
      </w:r>
      <w:r>
        <w:rPr>
          <w:rFonts w:eastAsia="仿宋_GB2312"/>
          <w:sz w:val="28"/>
          <w:szCs w:val="28"/>
        </w:rPr>
        <w:t>。</w:t>
      </w:r>
    </w:p>
    <w:p>
      <w:pPr>
        <w:adjustRightInd w:val="0"/>
        <w:snapToGrid w:val="0"/>
        <w:spacing w:line="500" w:lineRule="exact"/>
        <w:ind w:firstLine="560" w:firstLineChars="200"/>
        <w:rPr>
          <w:rFonts w:eastAsia="仿宋_GB2312"/>
          <w:sz w:val="28"/>
          <w:szCs w:val="28"/>
        </w:rPr>
      </w:pPr>
      <w:r>
        <w:rPr>
          <w:rFonts w:eastAsia="仿宋_GB2312"/>
          <w:sz w:val="28"/>
          <w:szCs w:val="28"/>
        </w:rPr>
        <w:t>（2）规划目标</w:t>
      </w:r>
    </w:p>
    <w:p>
      <w:pPr>
        <w:adjustRightInd w:val="0"/>
        <w:snapToGrid w:val="0"/>
        <w:spacing w:line="500" w:lineRule="exact"/>
        <w:ind w:firstLine="560" w:firstLineChars="200"/>
        <w:rPr>
          <w:rFonts w:eastAsia="仿宋_GB2312"/>
          <w:sz w:val="28"/>
          <w:szCs w:val="28"/>
        </w:rPr>
      </w:pPr>
      <w:r>
        <w:rPr>
          <w:rFonts w:eastAsia="仿宋_GB2312"/>
          <w:sz w:val="28"/>
          <w:szCs w:val="28"/>
        </w:rPr>
        <w:t>依托241省道（镇广公路）、340省道（良常路）、常溧公路，将金城镇工业园区（北区）打造成金坛区重要增长极，发挥金城镇工业园区（北区）带动区域经济又好又快发展的示范作用。</w:t>
      </w:r>
    </w:p>
    <w:p>
      <w:pPr>
        <w:adjustRightInd w:val="0"/>
        <w:snapToGrid w:val="0"/>
        <w:spacing w:line="500" w:lineRule="exact"/>
        <w:ind w:firstLine="560" w:firstLineChars="200"/>
        <w:rPr>
          <w:rFonts w:eastAsia="仿宋_GB2312"/>
          <w:sz w:val="28"/>
          <w:szCs w:val="28"/>
        </w:rPr>
      </w:pPr>
      <w:r>
        <w:rPr>
          <w:rFonts w:eastAsia="仿宋_GB2312"/>
          <w:sz w:val="28"/>
          <w:szCs w:val="28"/>
        </w:rPr>
        <w:t>（3）功能定位</w:t>
      </w:r>
    </w:p>
    <w:p>
      <w:pPr>
        <w:adjustRightInd w:val="0"/>
        <w:snapToGrid w:val="0"/>
        <w:spacing w:line="500" w:lineRule="exact"/>
        <w:ind w:firstLine="560" w:firstLineChars="200"/>
        <w:rPr>
          <w:rFonts w:eastAsia="仿宋_GB2312"/>
          <w:sz w:val="28"/>
          <w:szCs w:val="28"/>
        </w:rPr>
      </w:pPr>
      <w:r>
        <w:rPr>
          <w:rFonts w:eastAsia="仿宋_GB2312"/>
          <w:sz w:val="28"/>
          <w:szCs w:val="28"/>
        </w:rPr>
        <w:t>率先增长的核心区、新兴产业的集聚区、功能完善的新城区、体制机制的创新区。</w:t>
      </w:r>
    </w:p>
    <w:p>
      <w:pPr>
        <w:adjustRightInd w:val="0"/>
        <w:snapToGrid w:val="0"/>
        <w:spacing w:line="500" w:lineRule="exact"/>
        <w:ind w:firstLine="560" w:firstLineChars="200"/>
        <w:rPr>
          <w:rFonts w:eastAsia="仿宋_GB2312"/>
          <w:sz w:val="28"/>
          <w:szCs w:val="28"/>
        </w:rPr>
      </w:pPr>
      <w:r>
        <w:rPr>
          <w:rFonts w:eastAsia="仿宋_GB2312"/>
          <w:sz w:val="28"/>
          <w:szCs w:val="28"/>
        </w:rPr>
        <w:t>（4）产业定位</w:t>
      </w:r>
    </w:p>
    <w:p>
      <w:pPr>
        <w:adjustRightInd w:val="0"/>
        <w:snapToGrid w:val="0"/>
        <w:spacing w:line="500" w:lineRule="exact"/>
        <w:ind w:firstLine="560" w:firstLineChars="200"/>
        <w:rPr>
          <w:rFonts w:eastAsia="仿宋_GB2312"/>
          <w:sz w:val="28"/>
          <w:szCs w:val="28"/>
        </w:rPr>
      </w:pPr>
      <w:r>
        <w:rPr>
          <w:rFonts w:eastAsia="仿宋_GB2312"/>
          <w:sz w:val="28"/>
          <w:szCs w:val="28"/>
        </w:rPr>
        <w:t>园区将以先进装备制造业、新能源新材料产业和纺织服装业为主导，重点培育电子信息通讯产业、食药产业和节能环保产业，并把抓好项目作为推进镇域经济的着力点，积极承接东部资源向工业园的梯度转移。</w:t>
      </w:r>
    </w:p>
    <w:p>
      <w:pPr>
        <w:adjustRightInd w:val="0"/>
        <w:snapToGrid w:val="0"/>
        <w:spacing w:line="500" w:lineRule="exact"/>
        <w:ind w:firstLine="560" w:firstLineChars="200"/>
        <w:rPr>
          <w:rFonts w:eastAsia="仿宋_GB2312"/>
          <w:sz w:val="28"/>
          <w:szCs w:val="28"/>
        </w:rPr>
      </w:pPr>
      <w:r>
        <w:rPr>
          <w:rFonts w:hint="eastAsia" w:eastAsia="仿宋_GB2312"/>
          <w:sz w:val="28"/>
          <w:szCs w:val="28"/>
        </w:rPr>
        <w:t>①</w:t>
      </w:r>
      <w:r>
        <w:rPr>
          <w:rFonts w:eastAsia="仿宋_GB2312"/>
          <w:sz w:val="28"/>
          <w:szCs w:val="28"/>
        </w:rPr>
        <w:t>先进装备制造产业：引进装备制造龙头型企业和项目，主攻高端制造环节，提高自主设计、制造和成套生产能力。着力在光伏装备、轨道交通装备、精密机床、新型电力装备、石油勘探设备等领域提升装备制造水平。</w:t>
      </w:r>
    </w:p>
    <w:p>
      <w:pPr>
        <w:adjustRightInd w:val="0"/>
        <w:snapToGrid w:val="0"/>
        <w:spacing w:line="500" w:lineRule="exact"/>
        <w:ind w:firstLine="560" w:firstLineChars="200"/>
        <w:rPr>
          <w:rFonts w:eastAsia="仿宋_GB2312"/>
          <w:sz w:val="28"/>
          <w:szCs w:val="28"/>
        </w:rPr>
      </w:pPr>
      <w:r>
        <w:rPr>
          <w:rFonts w:hint="eastAsia" w:eastAsia="仿宋_GB2312"/>
          <w:sz w:val="28"/>
          <w:szCs w:val="28"/>
        </w:rPr>
        <w:t>②</w:t>
      </w:r>
      <w:r>
        <w:rPr>
          <w:rFonts w:eastAsia="仿宋_GB2312"/>
          <w:sz w:val="28"/>
          <w:szCs w:val="28"/>
        </w:rPr>
        <w:t>新能源新材料产业：引导企业紧密跟踪新型材料技术的研究开发，重点发展光伏新能源以及新型金属合金材料、LED新型显示材料、核辐射改性材料、环保阻燃新型高分子功能材料、高性能密封材料、节能环保型建筑材料、高性能理电池正负极材料、电解液、隔膜电池关键材料等新材料产业。</w:t>
      </w:r>
    </w:p>
    <w:p>
      <w:pPr>
        <w:adjustRightInd w:val="0"/>
        <w:snapToGrid w:val="0"/>
        <w:spacing w:line="500" w:lineRule="exact"/>
        <w:ind w:firstLine="560" w:firstLineChars="200"/>
        <w:rPr>
          <w:rFonts w:eastAsia="仿宋_GB2312"/>
          <w:sz w:val="28"/>
          <w:szCs w:val="28"/>
        </w:rPr>
      </w:pPr>
      <w:r>
        <w:rPr>
          <w:rFonts w:hint="eastAsia" w:eastAsia="仿宋_GB2312"/>
          <w:sz w:val="28"/>
          <w:szCs w:val="28"/>
        </w:rPr>
        <w:t>③</w:t>
      </w:r>
      <w:r>
        <w:rPr>
          <w:rFonts w:eastAsia="仿宋_GB2312"/>
          <w:sz w:val="28"/>
          <w:szCs w:val="28"/>
        </w:rPr>
        <w:t>纺织服装产业：鼓励服装企业增加研发投入，提升装备水平，发展高档面料、服装辅料等，做精做优服装制作，拉长产业链，提升价值链，强化与国际国内顶尖品牌的合作，参与设计、研发、营销，增强产业核心竞争力。引导企业坚持贴牌和创牌并举，大力实施品牌战略，倾力打造知名品牌。</w:t>
      </w:r>
    </w:p>
    <w:p>
      <w:pPr>
        <w:adjustRightInd w:val="0"/>
        <w:snapToGrid w:val="0"/>
        <w:spacing w:line="500" w:lineRule="exact"/>
        <w:ind w:firstLine="560" w:firstLineChars="200"/>
        <w:rPr>
          <w:rFonts w:eastAsia="仿宋_GB2312"/>
          <w:sz w:val="28"/>
          <w:szCs w:val="28"/>
        </w:rPr>
      </w:pPr>
      <w:r>
        <w:rPr>
          <w:rFonts w:hint="eastAsia" w:eastAsia="仿宋_GB2312"/>
          <w:sz w:val="28"/>
          <w:szCs w:val="28"/>
        </w:rPr>
        <w:t>④</w:t>
      </w:r>
      <w:r>
        <w:rPr>
          <w:rFonts w:eastAsia="仿宋_GB2312"/>
          <w:sz w:val="28"/>
          <w:szCs w:val="28"/>
        </w:rPr>
        <w:t>电子信息通讯产业：积极引进集成电路、晶体管、电子管等电子元器件制造企业，研制和生产各种电子零部件。立足高端，以科技创新为动力，大力发展信息通讯产业。</w:t>
      </w:r>
    </w:p>
    <w:p>
      <w:pPr>
        <w:adjustRightInd w:val="0"/>
        <w:snapToGrid w:val="0"/>
        <w:spacing w:line="500" w:lineRule="exact"/>
        <w:ind w:firstLine="560" w:firstLineChars="200"/>
        <w:rPr>
          <w:rFonts w:eastAsia="仿宋_GB2312"/>
          <w:sz w:val="28"/>
          <w:szCs w:val="28"/>
        </w:rPr>
      </w:pPr>
      <w:r>
        <w:rPr>
          <w:rFonts w:hint="eastAsia" w:eastAsia="仿宋_GB2312"/>
          <w:sz w:val="28"/>
          <w:szCs w:val="28"/>
        </w:rPr>
        <w:t>⑤</w:t>
      </w:r>
      <w:r>
        <w:rPr>
          <w:rFonts w:eastAsia="仿宋_GB2312"/>
          <w:sz w:val="28"/>
          <w:szCs w:val="28"/>
        </w:rPr>
        <w:t>食药产业：积极引进国内外知名食药企业与培植壮大现有食药企业相结合，加大自主创新力度，加快培育具有自主知识产权及自主品牌的食药产品。加快培育发展食品加工、生物制药产业。</w:t>
      </w:r>
    </w:p>
    <w:p>
      <w:pPr>
        <w:adjustRightInd w:val="0"/>
        <w:snapToGrid w:val="0"/>
        <w:spacing w:line="500" w:lineRule="exact"/>
        <w:ind w:firstLine="560" w:firstLineChars="200"/>
        <w:rPr>
          <w:rFonts w:eastAsia="仿宋_GB2312"/>
          <w:sz w:val="28"/>
          <w:szCs w:val="28"/>
        </w:rPr>
      </w:pPr>
      <w:r>
        <w:rPr>
          <w:rFonts w:hint="eastAsia" w:eastAsia="仿宋_GB2312"/>
          <w:sz w:val="28"/>
          <w:szCs w:val="28"/>
        </w:rPr>
        <w:t>⑥</w:t>
      </w:r>
      <w:r>
        <w:rPr>
          <w:rFonts w:eastAsia="仿宋_GB2312"/>
          <w:sz w:val="28"/>
          <w:szCs w:val="28"/>
        </w:rPr>
        <w:t>节能环保产业：加快发展高效节能技术装备及产品，实现稀土电机、节能照明等关键技术突破;加快先进环保装备的研发和产业化生产，建立以先进技术为支撑的废物处置与综合利用体系，积极发展资源循环利用产业。</w:t>
      </w:r>
    </w:p>
    <w:p>
      <w:pPr>
        <w:adjustRightInd w:val="0"/>
        <w:snapToGrid w:val="0"/>
        <w:spacing w:line="500" w:lineRule="exact"/>
        <w:ind w:firstLine="560" w:firstLineChars="200"/>
        <w:rPr>
          <w:rFonts w:eastAsia="仿宋_GB2312"/>
          <w:sz w:val="28"/>
          <w:szCs w:val="28"/>
        </w:rPr>
      </w:pPr>
      <w:r>
        <w:rPr>
          <w:rFonts w:eastAsia="仿宋_GB2312"/>
          <w:sz w:val="28"/>
          <w:szCs w:val="28"/>
        </w:rPr>
        <w:t>同时，考虑到以上产业配套产业链及其延伸，除国家《产业结构调整指导目录》、《外商投资产业指导目录》中规定的限制类、淘汰类、禁止类，不符合相关部门的行业准入条件，不符合国家、省、市环保政策，对环境有严重污染的项目外，其他符合国家及地方《城市用地分类与规划建设用地标准》规定的一、二类项目也允许在园区内适度发展。</w:t>
      </w:r>
    </w:p>
    <w:p>
      <w:pPr>
        <w:adjustRightInd w:val="0"/>
        <w:snapToGrid w:val="0"/>
        <w:spacing w:line="500" w:lineRule="exact"/>
        <w:ind w:firstLine="560" w:firstLineChars="200"/>
        <w:rPr>
          <w:rFonts w:eastAsia="仿宋_GB2312"/>
          <w:sz w:val="28"/>
          <w:szCs w:val="28"/>
        </w:rPr>
      </w:pPr>
      <w:r>
        <w:rPr>
          <w:rFonts w:eastAsia="仿宋_GB2312"/>
          <w:sz w:val="28"/>
          <w:szCs w:val="28"/>
        </w:rPr>
        <w:t>（5）功能布局</w:t>
      </w:r>
    </w:p>
    <w:p>
      <w:pPr>
        <w:adjustRightInd w:val="0"/>
        <w:snapToGrid w:val="0"/>
        <w:spacing w:line="500" w:lineRule="exact"/>
        <w:ind w:firstLine="560" w:firstLineChars="200"/>
        <w:rPr>
          <w:rFonts w:eastAsia="仿宋_GB2312"/>
          <w:sz w:val="28"/>
          <w:szCs w:val="28"/>
        </w:rPr>
      </w:pPr>
      <w:r>
        <w:rPr>
          <w:rFonts w:eastAsia="仿宋_GB2312"/>
          <w:sz w:val="28"/>
          <w:szCs w:val="28"/>
        </w:rPr>
        <w:t>即“一带、一心、四轴、三区”。一带：以丹金深漕河及两侧100米生态绿带构成园区主要生态廊道。一心：结合元巷小区规划形一个公共服务中心。四轴：以镇广路、新镇广公路、盐港路、良常路为工业园四条产业轴线，也是园区主要大通道，串联几大功能区板块。三区：按照产业集聚形成中小立业园区，结合丹金溧遭河港口形成大型物流园区以及为解决拆迁安置形成一个居住小区。</w:t>
      </w:r>
    </w:p>
    <w:p>
      <w:pPr>
        <w:adjustRightInd w:val="0"/>
        <w:snapToGrid w:val="0"/>
        <w:spacing w:line="500" w:lineRule="exact"/>
        <w:ind w:firstLine="560" w:firstLineChars="200"/>
        <w:rPr>
          <w:rFonts w:eastAsia="仿宋_GB2312"/>
          <w:sz w:val="28"/>
          <w:szCs w:val="28"/>
        </w:rPr>
      </w:pPr>
      <w:r>
        <w:rPr>
          <w:rFonts w:eastAsia="仿宋_GB2312"/>
          <w:sz w:val="28"/>
          <w:szCs w:val="28"/>
        </w:rPr>
        <w:t>（6）环境准入及禁止</w:t>
      </w:r>
    </w:p>
    <w:p>
      <w:pPr>
        <w:spacing w:line="500" w:lineRule="exact"/>
        <w:jc w:val="center"/>
        <w:rPr>
          <w:rFonts w:eastAsia="仿宋_GB2312"/>
          <w:b/>
          <w:bCs/>
          <w:sz w:val="24"/>
        </w:rPr>
      </w:pPr>
      <w:r>
        <w:rPr>
          <w:rFonts w:eastAsia="仿宋_GB2312"/>
          <w:b/>
          <w:bCs/>
          <w:sz w:val="24"/>
        </w:rPr>
        <w:t>表2.</w:t>
      </w:r>
      <w:r>
        <w:rPr>
          <w:rFonts w:hint="eastAsia" w:eastAsia="仿宋_GB2312"/>
          <w:b/>
          <w:bCs/>
          <w:sz w:val="24"/>
        </w:rPr>
        <w:t>6</w:t>
      </w:r>
      <w:r>
        <w:rPr>
          <w:rFonts w:eastAsia="仿宋_GB2312"/>
          <w:b/>
          <w:bCs/>
          <w:sz w:val="24"/>
        </w:rPr>
        <w:t>.</w:t>
      </w:r>
      <w:r>
        <w:rPr>
          <w:rFonts w:hint="eastAsia" w:eastAsia="仿宋_GB2312"/>
          <w:b/>
          <w:bCs/>
          <w:sz w:val="24"/>
        </w:rPr>
        <w:t>1</w:t>
      </w:r>
      <w:r>
        <w:rPr>
          <w:rFonts w:eastAsia="仿宋_GB2312"/>
          <w:b/>
          <w:bCs/>
          <w:sz w:val="24"/>
        </w:rPr>
        <w:t xml:space="preserve">  金城镇工业园区（北区）优先和禁止项目清单</w:t>
      </w:r>
    </w:p>
    <w:tbl>
      <w:tblPr>
        <w:tblStyle w:val="87"/>
        <w:tblW w:w="8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4111"/>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980" w:type="dxa"/>
            <w:vAlign w:val="center"/>
          </w:tcPr>
          <w:p>
            <w:pPr>
              <w:widowControl/>
              <w:autoSpaceDE w:val="0"/>
              <w:autoSpaceDN w:val="0"/>
              <w:adjustRightInd w:val="0"/>
              <w:snapToGrid w:val="0"/>
              <w:jc w:val="center"/>
              <w:rPr>
                <w:rFonts w:eastAsia="仿宋"/>
                <w:bCs/>
                <w:szCs w:val="21"/>
              </w:rPr>
            </w:pPr>
            <w:r>
              <w:rPr>
                <w:rFonts w:eastAsia="仿宋"/>
                <w:bCs/>
                <w:szCs w:val="21"/>
              </w:rPr>
              <w:t>类别</w:t>
            </w:r>
          </w:p>
        </w:tc>
        <w:tc>
          <w:tcPr>
            <w:tcW w:w="4111" w:type="dxa"/>
            <w:vAlign w:val="center"/>
          </w:tcPr>
          <w:p>
            <w:pPr>
              <w:widowControl/>
              <w:autoSpaceDE w:val="0"/>
              <w:autoSpaceDN w:val="0"/>
              <w:adjustRightInd w:val="0"/>
              <w:snapToGrid w:val="0"/>
              <w:jc w:val="center"/>
              <w:rPr>
                <w:rFonts w:eastAsia="仿宋"/>
                <w:bCs/>
                <w:szCs w:val="21"/>
              </w:rPr>
            </w:pPr>
            <w:r>
              <w:rPr>
                <w:rFonts w:eastAsia="仿宋"/>
                <w:bCs/>
                <w:szCs w:val="21"/>
              </w:rPr>
              <w:t>优先引入条件</w:t>
            </w:r>
          </w:p>
        </w:tc>
        <w:tc>
          <w:tcPr>
            <w:tcW w:w="2551" w:type="dxa"/>
            <w:vAlign w:val="center"/>
          </w:tcPr>
          <w:p>
            <w:pPr>
              <w:widowControl/>
              <w:autoSpaceDE w:val="0"/>
              <w:autoSpaceDN w:val="0"/>
              <w:adjustRightInd w:val="0"/>
              <w:snapToGrid w:val="0"/>
              <w:jc w:val="center"/>
              <w:rPr>
                <w:rFonts w:eastAsia="仿宋"/>
                <w:bCs/>
                <w:szCs w:val="21"/>
              </w:rPr>
            </w:pPr>
            <w:r>
              <w:rPr>
                <w:rFonts w:eastAsia="仿宋"/>
                <w:bCs/>
                <w:szCs w:val="21"/>
              </w:rPr>
              <w:t>禁止引入类别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980" w:type="dxa"/>
            <w:vAlign w:val="center"/>
          </w:tcPr>
          <w:p>
            <w:pPr>
              <w:widowControl/>
              <w:autoSpaceDE w:val="0"/>
              <w:autoSpaceDN w:val="0"/>
              <w:adjustRightInd w:val="0"/>
              <w:snapToGrid w:val="0"/>
              <w:jc w:val="center"/>
              <w:rPr>
                <w:rFonts w:eastAsia="仿宋"/>
                <w:bCs/>
                <w:szCs w:val="21"/>
              </w:rPr>
            </w:pPr>
            <w:r>
              <w:rPr>
                <w:rFonts w:eastAsia="仿宋"/>
                <w:bCs/>
                <w:szCs w:val="21"/>
              </w:rPr>
              <w:t>先进装备制造业</w:t>
            </w:r>
          </w:p>
        </w:tc>
        <w:tc>
          <w:tcPr>
            <w:tcW w:w="4111" w:type="dxa"/>
            <w:vAlign w:val="center"/>
          </w:tcPr>
          <w:p>
            <w:pPr>
              <w:widowControl/>
              <w:autoSpaceDE w:val="0"/>
              <w:autoSpaceDN w:val="0"/>
              <w:adjustRightInd w:val="0"/>
              <w:snapToGrid w:val="0"/>
              <w:jc w:val="center"/>
              <w:rPr>
                <w:rFonts w:eastAsia="仿宋"/>
                <w:bCs/>
                <w:szCs w:val="21"/>
              </w:rPr>
            </w:pPr>
            <w:r>
              <w:rPr>
                <w:rFonts w:eastAsia="仿宋"/>
                <w:bCs/>
                <w:szCs w:val="21"/>
              </w:rPr>
              <w:t>引进装备制造龙头型企业和项目，主攻高端制造环节，提高自主设计、制造和成套生产能力。着力在光伏装备、轨道交通装备、精密机床、新型电力装备、石油勘探设备等领域提升装备制造水平</w:t>
            </w:r>
          </w:p>
        </w:tc>
        <w:tc>
          <w:tcPr>
            <w:tcW w:w="2551" w:type="dxa"/>
            <w:vAlign w:val="center"/>
          </w:tcPr>
          <w:p>
            <w:pPr>
              <w:widowControl/>
              <w:autoSpaceDE w:val="0"/>
              <w:autoSpaceDN w:val="0"/>
              <w:adjustRightInd w:val="0"/>
              <w:snapToGrid w:val="0"/>
              <w:jc w:val="center"/>
              <w:rPr>
                <w:rFonts w:eastAsia="仿宋"/>
                <w:bCs/>
                <w:szCs w:val="21"/>
              </w:rPr>
            </w:pPr>
            <w:r>
              <w:rPr>
                <w:rFonts w:eastAsia="仿宋"/>
                <w:bCs/>
                <w:szCs w:val="21"/>
              </w:rPr>
              <w:t>淘汰、限制类项目，如普通高速钢钻头、铣刀、锯片、丝锥、板牙项目、普通微小型轴承制造项目等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980" w:type="dxa"/>
            <w:vAlign w:val="center"/>
          </w:tcPr>
          <w:p>
            <w:pPr>
              <w:widowControl/>
              <w:autoSpaceDE w:val="0"/>
              <w:autoSpaceDN w:val="0"/>
              <w:adjustRightInd w:val="0"/>
              <w:snapToGrid w:val="0"/>
              <w:jc w:val="center"/>
              <w:rPr>
                <w:rFonts w:eastAsia="仿宋"/>
                <w:bCs/>
                <w:szCs w:val="21"/>
              </w:rPr>
            </w:pPr>
            <w:r>
              <w:rPr>
                <w:rFonts w:eastAsia="仿宋"/>
                <w:bCs/>
                <w:szCs w:val="21"/>
              </w:rPr>
              <w:t>新能源新材料产业</w:t>
            </w:r>
          </w:p>
        </w:tc>
        <w:tc>
          <w:tcPr>
            <w:tcW w:w="4111" w:type="dxa"/>
            <w:vAlign w:val="center"/>
          </w:tcPr>
          <w:p>
            <w:pPr>
              <w:widowControl/>
              <w:autoSpaceDE w:val="0"/>
              <w:autoSpaceDN w:val="0"/>
              <w:adjustRightInd w:val="0"/>
              <w:snapToGrid w:val="0"/>
              <w:jc w:val="center"/>
              <w:rPr>
                <w:rFonts w:eastAsia="仿宋"/>
                <w:bCs/>
                <w:szCs w:val="21"/>
              </w:rPr>
            </w:pPr>
            <w:r>
              <w:rPr>
                <w:rFonts w:eastAsia="仿宋"/>
                <w:bCs/>
                <w:szCs w:val="21"/>
              </w:rPr>
              <w:t>引导企业紧密跟踪新型材料技术的研究开发，重点发展光伏新能源以及新型金属合金材料、LED新型显示材料、核辐射改性材料、环保阻燃新型高分子功能材料、高性能密封材料、节能环保型建筑材料、高性能锂电池正负极材料、电解液、隔膜电池关键材料等新材料产业</w:t>
            </w:r>
          </w:p>
        </w:tc>
        <w:tc>
          <w:tcPr>
            <w:tcW w:w="2551" w:type="dxa"/>
            <w:vAlign w:val="center"/>
          </w:tcPr>
          <w:p>
            <w:pPr>
              <w:widowControl/>
              <w:autoSpaceDE w:val="0"/>
              <w:autoSpaceDN w:val="0"/>
              <w:adjustRightInd w:val="0"/>
              <w:snapToGrid w:val="0"/>
              <w:jc w:val="center"/>
              <w:rPr>
                <w:rFonts w:eastAsia="仿宋"/>
                <w:bCs/>
                <w:szCs w:val="21"/>
              </w:rPr>
            </w:pPr>
            <w:r>
              <w:rPr>
                <w:rFonts w:eastAsia="仿宋"/>
                <w:bCs/>
                <w:szCs w:val="21"/>
              </w:rPr>
              <w:t>化工复配类项目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980" w:type="dxa"/>
            <w:vAlign w:val="center"/>
          </w:tcPr>
          <w:p>
            <w:pPr>
              <w:widowControl/>
              <w:autoSpaceDE w:val="0"/>
              <w:autoSpaceDN w:val="0"/>
              <w:adjustRightInd w:val="0"/>
              <w:snapToGrid w:val="0"/>
              <w:jc w:val="center"/>
              <w:rPr>
                <w:rFonts w:eastAsia="仿宋"/>
                <w:bCs/>
                <w:szCs w:val="21"/>
              </w:rPr>
            </w:pPr>
            <w:r>
              <w:rPr>
                <w:rFonts w:eastAsia="仿宋"/>
                <w:bCs/>
                <w:szCs w:val="21"/>
              </w:rPr>
              <w:t>食药产业</w:t>
            </w:r>
          </w:p>
        </w:tc>
        <w:tc>
          <w:tcPr>
            <w:tcW w:w="4111" w:type="dxa"/>
            <w:vAlign w:val="center"/>
          </w:tcPr>
          <w:p>
            <w:pPr>
              <w:widowControl/>
              <w:autoSpaceDE w:val="0"/>
              <w:autoSpaceDN w:val="0"/>
              <w:adjustRightInd w:val="0"/>
              <w:snapToGrid w:val="0"/>
              <w:jc w:val="center"/>
              <w:rPr>
                <w:rFonts w:eastAsia="仿宋"/>
                <w:bCs/>
                <w:szCs w:val="21"/>
              </w:rPr>
            </w:pPr>
            <w:r>
              <w:rPr>
                <w:rFonts w:eastAsia="仿宋"/>
                <w:bCs/>
                <w:szCs w:val="21"/>
              </w:rPr>
              <w:t>积极引进国内外知名食药企业与培植壮大现有食药企业相结合，加大自主创新力度，加快培育具有自主知识产权及自主品牌的食药产品。加快培育发展食品加工、生物制药产业</w:t>
            </w:r>
          </w:p>
        </w:tc>
        <w:tc>
          <w:tcPr>
            <w:tcW w:w="2551" w:type="dxa"/>
            <w:vAlign w:val="center"/>
          </w:tcPr>
          <w:p>
            <w:pPr>
              <w:widowControl/>
              <w:autoSpaceDE w:val="0"/>
              <w:autoSpaceDN w:val="0"/>
              <w:adjustRightInd w:val="0"/>
              <w:snapToGrid w:val="0"/>
              <w:jc w:val="center"/>
              <w:rPr>
                <w:rFonts w:eastAsia="仿宋"/>
                <w:bCs/>
                <w:szCs w:val="21"/>
              </w:rPr>
            </w:pPr>
            <w:r>
              <w:rPr>
                <w:rFonts w:eastAsia="仿宋"/>
                <w:bCs/>
                <w:szCs w:val="21"/>
              </w:rPr>
              <w:t>化工合成类医药类项目；淘汰、限制类项目，如铅锡软膏管、单层聚烯烃软膏管等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980" w:type="dxa"/>
            <w:vAlign w:val="center"/>
          </w:tcPr>
          <w:p>
            <w:pPr>
              <w:widowControl/>
              <w:autoSpaceDE w:val="0"/>
              <w:autoSpaceDN w:val="0"/>
              <w:adjustRightInd w:val="0"/>
              <w:snapToGrid w:val="0"/>
              <w:jc w:val="center"/>
              <w:rPr>
                <w:rFonts w:eastAsia="仿宋"/>
                <w:bCs/>
                <w:szCs w:val="21"/>
              </w:rPr>
            </w:pPr>
            <w:r>
              <w:rPr>
                <w:rFonts w:eastAsia="仿宋"/>
                <w:bCs/>
                <w:szCs w:val="21"/>
              </w:rPr>
              <w:t>电子信息通讯产业</w:t>
            </w:r>
          </w:p>
        </w:tc>
        <w:tc>
          <w:tcPr>
            <w:tcW w:w="4111" w:type="dxa"/>
            <w:vAlign w:val="center"/>
          </w:tcPr>
          <w:p>
            <w:pPr>
              <w:widowControl/>
              <w:autoSpaceDE w:val="0"/>
              <w:autoSpaceDN w:val="0"/>
              <w:adjustRightInd w:val="0"/>
              <w:snapToGrid w:val="0"/>
              <w:jc w:val="center"/>
              <w:rPr>
                <w:rFonts w:eastAsia="仿宋"/>
                <w:bCs/>
                <w:szCs w:val="21"/>
              </w:rPr>
            </w:pPr>
            <w:r>
              <w:rPr>
                <w:rFonts w:eastAsia="仿宋"/>
                <w:bCs/>
                <w:szCs w:val="21"/>
              </w:rPr>
              <w:t>积极引进集成电路、晶体管、电子管等电子元器件制造企业，研制和生产各种电子零部件。立足高端，以科技创新为动力，大力发展信息通讯产业</w:t>
            </w:r>
          </w:p>
        </w:tc>
        <w:tc>
          <w:tcPr>
            <w:tcW w:w="2551" w:type="dxa"/>
            <w:vAlign w:val="center"/>
          </w:tcPr>
          <w:p>
            <w:pPr>
              <w:widowControl/>
              <w:autoSpaceDE w:val="0"/>
              <w:autoSpaceDN w:val="0"/>
              <w:adjustRightInd w:val="0"/>
              <w:snapToGrid w:val="0"/>
              <w:jc w:val="center"/>
              <w:rPr>
                <w:rFonts w:eastAsia="仿宋"/>
                <w:bCs/>
                <w:szCs w:val="21"/>
              </w:rPr>
            </w:pPr>
            <w:r>
              <w:rPr>
                <w:rFonts w:eastAsia="仿宋"/>
                <w:bCs/>
                <w:szCs w:val="21"/>
              </w:rPr>
              <w:t>淘汰、限制类项目，如火灾探测器手工插焊电子元器件生产工艺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980" w:type="dxa"/>
            <w:vAlign w:val="center"/>
          </w:tcPr>
          <w:p>
            <w:pPr>
              <w:widowControl/>
              <w:autoSpaceDE w:val="0"/>
              <w:autoSpaceDN w:val="0"/>
              <w:adjustRightInd w:val="0"/>
              <w:snapToGrid w:val="0"/>
              <w:jc w:val="center"/>
              <w:rPr>
                <w:rFonts w:eastAsia="仿宋"/>
                <w:bCs/>
                <w:szCs w:val="21"/>
              </w:rPr>
            </w:pPr>
            <w:r>
              <w:rPr>
                <w:rFonts w:eastAsia="仿宋"/>
                <w:bCs/>
                <w:szCs w:val="21"/>
              </w:rPr>
              <w:t>节能环保产业</w:t>
            </w:r>
          </w:p>
        </w:tc>
        <w:tc>
          <w:tcPr>
            <w:tcW w:w="4111" w:type="dxa"/>
            <w:vAlign w:val="center"/>
          </w:tcPr>
          <w:p>
            <w:pPr>
              <w:widowControl/>
              <w:autoSpaceDE w:val="0"/>
              <w:autoSpaceDN w:val="0"/>
              <w:adjustRightInd w:val="0"/>
              <w:snapToGrid w:val="0"/>
              <w:jc w:val="center"/>
              <w:rPr>
                <w:rFonts w:eastAsia="仿宋"/>
                <w:bCs/>
                <w:szCs w:val="21"/>
              </w:rPr>
            </w:pPr>
            <w:r>
              <w:rPr>
                <w:rFonts w:eastAsia="仿宋"/>
                <w:bCs/>
                <w:szCs w:val="21"/>
              </w:rPr>
              <w:t>加快发展高效节能技术装备及产品，实现稀土电机、节能照明等关键技术突破；加快先进环保装备的研发和产业化生产；建立以先进技术为支撑的废物处置与综合利用体系，积极发展资源循环利用产业</w:t>
            </w:r>
          </w:p>
        </w:tc>
        <w:tc>
          <w:tcPr>
            <w:tcW w:w="2551" w:type="dxa"/>
            <w:vAlign w:val="center"/>
          </w:tcPr>
          <w:p>
            <w:pPr>
              <w:widowControl/>
              <w:autoSpaceDE w:val="0"/>
              <w:autoSpaceDN w:val="0"/>
              <w:adjustRightInd w:val="0"/>
              <w:snapToGrid w:val="0"/>
              <w:jc w:val="center"/>
              <w:rPr>
                <w:rFonts w:eastAsia="仿宋"/>
                <w:bCs/>
                <w:szCs w:val="21"/>
              </w:rPr>
            </w:pPr>
            <w:r>
              <w:rPr>
                <w:rFonts w:eastAsia="仿宋"/>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980" w:type="dxa"/>
            <w:vAlign w:val="center"/>
          </w:tcPr>
          <w:p>
            <w:pPr>
              <w:widowControl/>
              <w:autoSpaceDE w:val="0"/>
              <w:autoSpaceDN w:val="0"/>
              <w:adjustRightInd w:val="0"/>
              <w:snapToGrid w:val="0"/>
              <w:jc w:val="center"/>
              <w:rPr>
                <w:rFonts w:eastAsia="仿宋"/>
                <w:bCs/>
                <w:szCs w:val="21"/>
              </w:rPr>
            </w:pPr>
            <w:r>
              <w:rPr>
                <w:rFonts w:eastAsia="仿宋"/>
                <w:bCs/>
                <w:szCs w:val="21"/>
              </w:rPr>
              <w:t>纺织服装业</w:t>
            </w:r>
          </w:p>
        </w:tc>
        <w:tc>
          <w:tcPr>
            <w:tcW w:w="4111" w:type="dxa"/>
            <w:vAlign w:val="center"/>
          </w:tcPr>
          <w:p>
            <w:pPr>
              <w:widowControl/>
              <w:autoSpaceDE w:val="0"/>
              <w:autoSpaceDN w:val="0"/>
              <w:adjustRightInd w:val="0"/>
              <w:snapToGrid w:val="0"/>
              <w:jc w:val="center"/>
              <w:rPr>
                <w:rFonts w:eastAsia="仿宋"/>
                <w:bCs/>
                <w:szCs w:val="21"/>
              </w:rPr>
            </w:pPr>
            <w:r>
              <w:rPr>
                <w:rFonts w:eastAsia="仿宋"/>
                <w:bCs/>
                <w:szCs w:val="21"/>
              </w:rPr>
              <w:t>鼓励服装企业增加研发投入，提升装备水平，发展高档面料、服装辅料等，做精做优服装制作，拉长产业链，提升价值链，强化与国际国内顶尖品牌的合作，参与设计、研发、营销，增强产业核心竞争力。引导企业坚持贴牌和创牌并举，大力实施品牌战略，倾力打造知名品牌</w:t>
            </w:r>
          </w:p>
        </w:tc>
        <w:tc>
          <w:tcPr>
            <w:tcW w:w="2551" w:type="dxa"/>
            <w:vAlign w:val="center"/>
          </w:tcPr>
          <w:p>
            <w:pPr>
              <w:widowControl/>
              <w:autoSpaceDE w:val="0"/>
              <w:autoSpaceDN w:val="0"/>
              <w:adjustRightInd w:val="0"/>
              <w:snapToGrid w:val="0"/>
              <w:jc w:val="center"/>
              <w:rPr>
                <w:rFonts w:eastAsia="仿宋"/>
                <w:bCs/>
                <w:szCs w:val="21"/>
              </w:rPr>
            </w:pPr>
            <w:r>
              <w:rPr>
                <w:rFonts w:eastAsia="仿宋"/>
                <w:bCs/>
                <w:szCs w:val="21"/>
              </w:rPr>
              <w:t>淘汰、限制类项目，未经改造的74型染整设备、湿法氨纶生产工艺等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980" w:type="dxa"/>
            <w:vAlign w:val="center"/>
          </w:tcPr>
          <w:p>
            <w:pPr>
              <w:widowControl/>
              <w:autoSpaceDE w:val="0"/>
              <w:autoSpaceDN w:val="0"/>
              <w:adjustRightInd w:val="0"/>
              <w:snapToGrid w:val="0"/>
              <w:jc w:val="center"/>
              <w:rPr>
                <w:rFonts w:eastAsia="仿宋"/>
                <w:bCs/>
                <w:szCs w:val="21"/>
              </w:rPr>
            </w:pPr>
            <w:r>
              <w:rPr>
                <w:rFonts w:eastAsia="仿宋"/>
                <w:bCs/>
                <w:szCs w:val="21"/>
              </w:rPr>
              <w:t>其它</w:t>
            </w:r>
          </w:p>
        </w:tc>
        <w:tc>
          <w:tcPr>
            <w:tcW w:w="4111" w:type="dxa"/>
            <w:vAlign w:val="center"/>
          </w:tcPr>
          <w:p>
            <w:pPr>
              <w:widowControl/>
              <w:autoSpaceDE w:val="0"/>
              <w:autoSpaceDN w:val="0"/>
              <w:adjustRightInd w:val="0"/>
              <w:snapToGrid w:val="0"/>
              <w:jc w:val="center"/>
              <w:rPr>
                <w:rFonts w:eastAsia="仿宋"/>
                <w:bCs/>
                <w:szCs w:val="21"/>
              </w:rPr>
            </w:pPr>
            <w:r>
              <w:rPr>
                <w:rFonts w:eastAsia="仿宋"/>
                <w:bCs/>
                <w:szCs w:val="21"/>
              </w:rPr>
              <w:t>无污染、高附加值的企业</w:t>
            </w:r>
          </w:p>
        </w:tc>
        <w:tc>
          <w:tcPr>
            <w:tcW w:w="2551" w:type="dxa"/>
            <w:vAlign w:val="center"/>
          </w:tcPr>
          <w:p>
            <w:pPr>
              <w:widowControl/>
              <w:autoSpaceDE w:val="0"/>
              <w:autoSpaceDN w:val="0"/>
              <w:adjustRightInd w:val="0"/>
              <w:snapToGrid w:val="0"/>
              <w:jc w:val="center"/>
              <w:rPr>
                <w:rFonts w:eastAsia="仿宋"/>
                <w:bCs/>
                <w:szCs w:val="21"/>
              </w:rPr>
            </w:pPr>
            <w:r>
              <w:rPr>
                <w:rFonts w:eastAsia="仿宋"/>
                <w:bCs/>
                <w:szCs w:val="21"/>
              </w:rPr>
              <w:t>不符合国家产业政策的企业；造纸、制革、印染、发酵、白酒、化工、电解铝、电镀等污染严重的企业</w:t>
            </w:r>
          </w:p>
        </w:tc>
      </w:tr>
    </w:tbl>
    <w:p>
      <w:pPr>
        <w:adjustRightInd w:val="0"/>
        <w:snapToGrid w:val="0"/>
        <w:spacing w:line="500" w:lineRule="exact"/>
        <w:ind w:firstLine="560" w:firstLineChars="200"/>
        <w:rPr>
          <w:rFonts w:eastAsia="仿宋_GB2312"/>
          <w:sz w:val="28"/>
          <w:szCs w:val="28"/>
        </w:rPr>
      </w:pPr>
      <w:r>
        <w:rPr>
          <w:rFonts w:eastAsia="仿宋_GB2312"/>
          <w:sz w:val="28"/>
          <w:szCs w:val="28"/>
        </w:rPr>
        <w:t>本项目行业类别属于“C292</w:t>
      </w:r>
      <w:r>
        <w:rPr>
          <w:rFonts w:hint="eastAsia" w:eastAsia="仿宋_GB2312"/>
          <w:sz w:val="28"/>
          <w:szCs w:val="28"/>
        </w:rPr>
        <w:t>1塑料薄膜制造</w:t>
      </w:r>
      <w:r>
        <w:rPr>
          <w:rFonts w:eastAsia="仿宋_GB2312"/>
          <w:sz w:val="28"/>
          <w:szCs w:val="28"/>
        </w:rPr>
        <w:t>”，属于金城镇工业园区（北区）规划产业中的新能源新材料产业中的隔膜电池关键材料；本项目位于金城镇工业园区（北区）规划范围内，所在地为工业用地，符合园区产业定位及用地要求。</w:t>
      </w:r>
    </w:p>
    <w:p>
      <w:pPr>
        <w:adjustRightInd w:val="0"/>
        <w:snapToGrid w:val="0"/>
        <w:spacing w:line="500" w:lineRule="exact"/>
        <w:ind w:firstLine="560" w:firstLineChars="200"/>
        <w:rPr>
          <w:rFonts w:eastAsia="仿宋_GB2312"/>
          <w:sz w:val="28"/>
          <w:szCs w:val="28"/>
        </w:rPr>
      </w:pPr>
      <w:r>
        <w:rPr>
          <w:rFonts w:eastAsia="仿宋_GB2312"/>
          <w:sz w:val="28"/>
          <w:szCs w:val="28"/>
        </w:rPr>
        <w:t>（7）基础设施规划</w:t>
      </w:r>
    </w:p>
    <w:p>
      <w:pPr>
        <w:adjustRightInd w:val="0"/>
        <w:snapToGrid w:val="0"/>
        <w:spacing w:line="500" w:lineRule="exact"/>
        <w:ind w:firstLine="560" w:firstLineChars="200"/>
        <w:rPr>
          <w:rFonts w:eastAsia="仿宋_GB2312"/>
          <w:sz w:val="28"/>
          <w:szCs w:val="28"/>
        </w:rPr>
      </w:pPr>
      <w:r>
        <w:rPr>
          <w:rFonts w:hint="eastAsia" w:eastAsia="仿宋_GB2312"/>
          <w:sz w:val="28"/>
          <w:szCs w:val="28"/>
        </w:rPr>
        <w:t>①</w:t>
      </w:r>
      <w:r>
        <w:rPr>
          <w:rFonts w:eastAsia="仿宋_GB2312"/>
          <w:sz w:val="28"/>
          <w:szCs w:val="28"/>
        </w:rPr>
        <w:t>给水</w:t>
      </w:r>
    </w:p>
    <w:p>
      <w:pPr>
        <w:adjustRightInd w:val="0"/>
        <w:snapToGrid w:val="0"/>
        <w:spacing w:line="500" w:lineRule="exact"/>
        <w:ind w:firstLine="560" w:firstLineChars="200"/>
        <w:rPr>
          <w:rFonts w:eastAsia="仿宋_GB2312"/>
          <w:sz w:val="28"/>
          <w:szCs w:val="28"/>
        </w:rPr>
      </w:pPr>
      <w:r>
        <w:rPr>
          <w:rFonts w:eastAsia="仿宋_GB2312"/>
          <w:sz w:val="28"/>
          <w:szCs w:val="28"/>
        </w:rPr>
        <w:t>金坛区新建长荡湖水厂，位于城区南部，以长荡湖与新孟河为水源，两水源地、取水头部互为备用，规划规模40万立方米/日，保留利用常州向金坛、武进向金坛区域供水工程</w:t>
      </w:r>
    </w:p>
    <w:p>
      <w:pPr>
        <w:adjustRightInd w:val="0"/>
        <w:snapToGrid w:val="0"/>
        <w:spacing w:line="500" w:lineRule="exact"/>
        <w:ind w:firstLine="560" w:firstLineChars="200"/>
        <w:rPr>
          <w:rFonts w:eastAsia="仿宋_GB2312"/>
          <w:sz w:val="28"/>
          <w:szCs w:val="28"/>
        </w:rPr>
      </w:pPr>
      <w:r>
        <w:rPr>
          <w:rFonts w:eastAsia="仿宋_GB2312"/>
          <w:sz w:val="28"/>
          <w:szCs w:val="28"/>
        </w:rPr>
        <w:t>给水管成环状布置，确保供水安全，且便于地块用水从多方位开口接入。工业园区在西城路下敷设DN500给水管，红山路下敷设DN300管，良常路下局部敷设DN300管，镇广路、盐港路等现状道路下根据需要主要敷设DN200管。</w:t>
      </w:r>
    </w:p>
    <w:p>
      <w:pPr>
        <w:adjustRightInd w:val="0"/>
        <w:snapToGrid w:val="0"/>
        <w:spacing w:line="500" w:lineRule="exact"/>
        <w:ind w:firstLine="560" w:firstLineChars="200"/>
        <w:rPr>
          <w:rFonts w:eastAsia="仿宋_GB2312"/>
          <w:sz w:val="28"/>
          <w:szCs w:val="28"/>
        </w:rPr>
      </w:pPr>
      <w:r>
        <w:rPr>
          <w:rFonts w:hint="eastAsia" w:eastAsia="仿宋_GB2312"/>
          <w:sz w:val="28"/>
          <w:szCs w:val="28"/>
        </w:rPr>
        <w:t>②</w:t>
      </w:r>
      <w:r>
        <w:rPr>
          <w:rFonts w:eastAsia="仿宋_GB2312"/>
          <w:sz w:val="28"/>
          <w:szCs w:val="28"/>
        </w:rPr>
        <w:t>排水</w:t>
      </w:r>
    </w:p>
    <w:p>
      <w:pPr>
        <w:adjustRightInd w:val="0"/>
        <w:snapToGrid w:val="0"/>
        <w:spacing w:line="500" w:lineRule="exact"/>
        <w:ind w:firstLine="560" w:firstLineChars="200"/>
        <w:rPr>
          <w:rFonts w:eastAsia="仿宋_GB2312"/>
          <w:sz w:val="28"/>
          <w:szCs w:val="28"/>
        </w:rPr>
      </w:pPr>
      <w:r>
        <w:rPr>
          <w:rFonts w:eastAsia="仿宋_GB2312"/>
          <w:sz w:val="28"/>
          <w:szCs w:val="28"/>
        </w:rPr>
        <w:t>工业园区采用雨污分流制。雨水采用就近排放原则，由敷设的雨水管分别汇集流入天然水体。生活污水及生产废水（含必要的预处理后）均纳入城市污水干管，汇入区域污水泵站，现状排入金坛区第二污水处理厂，规划排入金坛第一污水厂集中处理。</w:t>
      </w:r>
    </w:p>
    <w:p>
      <w:pPr>
        <w:adjustRightInd w:val="0"/>
        <w:snapToGrid w:val="0"/>
        <w:spacing w:line="500" w:lineRule="exact"/>
        <w:ind w:firstLine="560" w:firstLineChars="200"/>
        <w:rPr>
          <w:rFonts w:eastAsia="仿宋_GB2312"/>
          <w:sz w:val="28"/>
          <w:szCs w:val="28"/>
        </w:rPr>
      </w:pPr>
      <w:r>
        <w:rPr>
          <w:rFonts w:hint="eastAsia" w:eastAsia="仿宋_GB2312"/>
          <w:sz w:val="28"/>
          <w:szCs w:val="28"/>
        </w:rPr>
        <w:t>③</w:t>
      </w:r>
      <w:r>
        <w:rPr>
          <w:rFonts w:eastAsia="仿宋_GB2312"/>
          <w:sz w:val="28"/>
          <w:szCs w:val="28"/>
        </w:rPr>
        <w:t>供气</w:t>
      </w:r>
    </w:p>
    <w:p>
      <w:pPr>
        <w:adjustRightInd w:val="0"/>
        <w:snapToGrid w:val="0"/>
        <w:spacing w:line="500" w:lineRule="exact"/>
        <w:ind w:firstLine="560" w:firstLineChars="200"/>
        <w:rPr>
          <w:rFonts w:eastAsia="仿宋_GB2312"/>
          <w:sz w:val="28"/>
          <w:szCs w:val="28"/>
        </w:rPr>
      </w:pPr>
      <w:r>
        <w:rPr>
          <w:rFonts w:eastAsia="仿宋_GB2312"/>
          <w:sz w:val="28"/>
          <w:szCs w:val="28"/>
        </w:rPr>
        <w:t>工业园区由位于园区东南角良常路北侧（区外）的良常高中压调压站供应中压天然气。区内采用中、低两级制供气方式，工业区以中压管网供气为主，居住区以低压管网供气为主。工业园建成区已在良常路、西城路、红山路、怒江路等道路建设天然气中压管道，供应沿线的工业用户。部分地区管道天然气尚未到达燃气用户仍采用液化石油气作为气源。规划在近期完善天然气管道建设，提高全区的燃气管道覆盖率。</w:t>
      </w:r>
    </w:p>
    <w:p>
      <w:pPr>
        <w:adjustRightInd w:val="0"/>
        <w:snapToGrid w:val="0"/>
        <w:spacing w:line="500" w:lineRule="exact"/>
        <w:ind w:firstLine="560" w:firstLineChars="200"/>
        <w:rPr>
          <w:rFonts w:eastAsia="仿宋_GB2312"/>
          <w:sz w:val="28"/>
          <w:szCs w:val="28"/>
        </w:rPr>
      </w:pPr>
      <w:r>
        <w:rPr>
          <w:rFonts w:hint="eastAsia" w:eastAsia="仿宋_GB2312"/>
          <w:sz w:val="28"/>
          <w:szCs w:val="28"/>
        </w:rPr>
        <w:t>④</w:t>
      </w:r>
      <w:r>
        <w:rPr>
          <w:rFonts w:eastAsia="仿宋_GB2312"/>
          <w:sz w:val="28"/>
          <w:szCs w:val="28"/>
        </w:rPr>
        <w:t>供电</w:t>
      </w:r>
    </w:p>
    <w:p>
      <w:pPr>
        <w:adjustRightInd w:val="0"/>
        <w:snapToGrid w:val="0"/>
        <w:spacing w:line="500" w:lineRule="exact"/>
        <w:ind w:firstLine="560" w:firstLineChars="200"/>
        <w:rPr>
          <w:rFonts w:eastAsia="仿宋_GB2312"/>
          <w:sz w:val="28"/>
          <w:szCs w:val="28"/>
        </w:rPr>
      </w:pPr>
      <w:r>
        <w:rPr>
          <w:rFonts w:eastAsia="仿宋_GB2312"/>
          <w:sz w:val="28"/>
          <w:szCs w:val="28"/>
        </w:rPr>
        <w:t>规划扩建区内现有110kV城西变，主变最终容量3×80MVA，电压等级110/10kV，主供工业园区。工业园区东南角（区外）良常路北侧在建一座110kV盐港变，主变容量3×80MVA，电压等级110/10kV，主供金坛经济开发区和工业园区，在工业园区（区外）东部盐港路延伸段规划新建一座110kV变电所，主变最终容量3×80MVA，主供工业园区及金坛经济开发区。</w:t>
      </w:r>
    </w:p>
    <w:p>
      <w:pPr>
        <w:adjustRightInd w:val="0"/>
        <w:snapToGrid w:val="0"/>
        <w:spacing w:line="500" w:lineRule="exact"/>
        <w:ind w:firstLine="560" w:firstLineChars="200"/>
        <w:rPr>
          <w:rFonts w:eastAsia="仿宋_GB2312"/>
          <w:sz w:val="28"/>
          <w:szCs w:val="28"/>
        </w:rPr>
      </w:pPr>
      <w:r>
        <w:rPr>
          <w:rFonts w:hint="eastAsia" w:eastAsia="仿宋_GB2312"/>
          <w:sz w:val="28"/>
          <w:szCs w:val="28"/>
        </w:rPr>
        <w:t>⑤</w:t>
      </w:r>
      <w:r>
        <w:rPr>
          <w:rFonts w:eastAsia="仿宋_GB2312"/>
          <w:sz w:val="28"/>
          <w:szCs w:val="28"/>
        </w:rPr>
        <w:t>供热</w:t>
      </w:r>
    </w:p>
    <w:p>
      <w:pPr>
        <w:adjustRightInd w:val="0"/>
        <w:snapToGrid w:val="0"/>
        <w:spacing w:line="500" w:lineRule="exact"/>
        <w:ind w:firstLine="560" w:firstLineChars="200"/>
        <w:rPr>
          <w:rFonts w:eastAsia="仿宋_GB2312"/>
          <w:sz w:val="28"/>
          <w:szCs w:val="28"/>
        </w:rPr>
      </w:pPr>
      <w:r>
        <w:rPr>
          <w:rFonts w:eastAsia="仿宋_GB2312"/>
          <w:sz w:val="28"/>
          <w:szCs w:val="28"/>
        </w:rPr>
        <w:t>在工业园东部（区外）现状有一座加怡热电厂，建有4×75T/H锅炉+1×150T/H锅炉，1×C12MW+2×B12MW供热机组，额定供热能力350T/H；现状热负荷227T/H，热用户76家，有一条主干热力管道沿盐港路、城西路敷设至工业园内规划保留现状热力管网，根据热用户分布，延伸、完善和新增热力管道，满足工业园新增热用户需求。同时金坛经济开发区规划建设燃气热电厂，规模2组9F燃机，总容量430MW，年发电能力为3576GWh/年；供热能力为440万GJ/年（500t/h）。</w:t>
      </w:r>
    </w:p>
    <w:p>
      <w:pPr>
        <w:adjustRightInd w:val="0"/>
        <w:snapToGrid w:val="0"/>
        <w:spacing w:line="500" w:lineRule="exact"/>
        <w:ind w:firstLine="560" w:firstLineChars="200"/>
        <w:rPr>
          <w:rFonts w:eastAsia="仿宋_GB2312"/>
          <w:sz w:val="28"/>
          <w:szCs w:val="28"/>
        </w:rPr>
      </w:pPr>
      <w:r>
        <w:rPr>
          <w:rFonts w:hint="eastAsia" w:eastAsia="仿宋_GB2312"/>
          <w:sz w:val="28"/>
          <w:szCs w:val="28"/>
        </w:rPr>
        <w:t>⑥</w:t>
      </w:r>
      <w:r>
        <w:rPr>
          <w:rFonts w:eastAsia="仿宋_GB2312"/>
          <w:sz w:val="28"/>
          <w:szCs w:val="28"/>
        </w:rPr>
        <w:t>环卫</w:t>
      </w:r>
    </w:p>
    <w:p>
      <w:pPr>
        <w:adjustRightInd w:val="0"/>
        <w:snapToGrid w:val="0"/>
        <w:spacing w:line="500" w:lineRule="exact"/>
        <w:ind w:firstLine="560" w:firstLineChars="200"/>
        <w:rPr>
          <w:rFonts w:eastAsia="仿宋_GB2312"/>
          <w:sz w:val="28"/>
          <w:szCs w:val="28"/>
        </w:rPr>
      </w:pPr>
      <w:r>
        <w:rPr>
          <w:rFonts w:eastAsia="仿宋_GB2312"/>
          <w:sz w:val="28"/>
          <w:szCs w:val="28"/>
        </w:rPr>
        <w:t>采用垃圾分类处理方式，分类后的无机物、废品类垃圾尽量回收利用，有机垃圾以焚烧为主。工业园生活垃圾由金坛城区统一收运处置，经垃圾转运站部分送往常州市绿色动力环保热电有限公司焚烧发电，部分送往规划位于薛埠境内的金坛垃圾综合处理场集中处理。工业园内部不设垃圾转运站，主要由南部城区转运站集中收集转运。</w:t>
      </w:r>
    </w:p>
    <w:p>
      <w:pPr>
        <w:adjustRightInd w:val="0"/>
        <w:snapToGrid w:val="0"/>
        <w:spacing w:line="500" w:lineRule="exact"/>
        <w:ind w:firstLine="560" w:firstLineChars="200"/>
        <w:rPr>
          <w:rFonts w:eastAsia="仿宋_GB2312"/>
          <w:sz w:val="28"/>
          <w:szCs w:val="28"/>
        </w:rPr>
      </w:pPr>
      <w:r>
        <w:rPr>
          <w:rFonts w:eastAsia="仿宋_GB2312"/>
          <w:sz w:val="28"/>
          <w:szCs w:val="28"/>
        </w:rPr>
        <w:t>综上，本项目依托园区基础设施可</w:t>
      </w:r>
      <w:r>
        <w:rPr>
          <w:rFonts w:hint="eastAsia" w:eastAsia="仿宋_GB2312"/>
          <w:sz w:val="28"/>
          <w:szCs w:val="28"/>
        </w:rPr>
        <w:t>。</w:t>
      </w:r>
    </w:p>
    <w:p>
      <w:pPr>
        <w:pStyle w:val="4"/>
        <w:keepLines w:val="0"/>
        <w:numPr>
          <w:ilvl w:val="2"/>
          <w:numId w:val="1"/>
        </w:numPr>
        <w:tabs>
          <w:tab w:val="left" w:pos="709"/>
        </w:tabs>
        <w:adjustRightInd w:val="0"/>
        <w:snapToGrid w:val="0"/>
        <w:spacing w:before="120" w:beforeLines="50" w:after="120" w:afterLines="50" w:line="500" w:lineRule="exact"/>
        <w:ind w:left="0" w:firstLine="0"/>
        <w:rPr>
          <w:rFonts w:eastAsia="仿宋_GB2312"/>
          <w:sz w:val="28"/>
          <w:szCs w:val="28"/>
        </w:rPr>
      </w:pPr>
      <w:r>
        <w:rPr>
          <w:rFonts w:eastAsia="仿宋_GB2312"/>
          <w:sz w:val="28"/>
          <w:szCs w:val="28"/>
        </w:rPr>
        <w:t>环境功能区划</w:t>
      </w:r>
    </w:p>
    <w:p>
      <w:pPr>
        <w:adjustRightInd w:val="0"/>
        <w:snapToGrid w:val="0"/>
        <w:spacing w:line="500" w:lineRule="exact"/>
        <w:ind w:firstLine="560" w:firstLineChars="200"/>
        <w:rPr>
          <w:rFonts w:eastAsia="仿宋_GB2312"/>
          <w:sz w:val="28"/>
          <w:szCs w:val="28"/>
        </w:rPr>
      </w:pPr>
      <w:r>
        <w:rPr>
          <w:rFonts w:eastAsia="仿宋_GB2312"/>
          <w:sz w:val="28"/>
          <w:szCs w:val="28"/>
        </w:rPr>
        <w:t>（1）环境空气</w:t>
      </w:r>
    </w:p>
    <w:p>
      <w:pPr>
        <w:adjustRightInd w:val="0"/>
        <w:snapToGrid w:val="0"/>
        <w:spacing w:line="500" w:lineRule="exact"/>
        <w:ind w:firstLine="560" w:firstLineChars="200"/>
        <w:rPr>
          <w:rFonts w:eastAsia="仿宋_GB2312"/>
          <w:sz w:val="28"/>
          <w:szCs w:val="28"/>
        </w:rPr>
      </w:pPr>
      <w:r>
        <w:rPr>
          <w:rFonts w:eastAsia="仿宋_GB2312"/>
          <w:sz w:val="28"/>
          <w:szCs w:val="28"/>
        </w:rPr>
        <w:t>根据《常州市环境空气质量功能区划分规定（暂行）》，本项目所在地环境空气执行《环境空气质量标准》（GB3095-2012）中二级标准。</w:t>
      </w:r>
    </w:p>
    <w:p>
      <w:pPr>
        <w:adjustRightInd w:val="0"/>
        <w:snapToGrid w:val="0"/>
        <w:spacing w:line="500" w:lineRule="exact"/>
        <w:ind w:firstLine="560" w:firstLineChars="200"/>
        <w:rPr>
          <w:rFonts w:eastAsia="仿宋_GB2312"/>
          <w:sz w:val="28"/>
          <w:szCs w:val="28"/>
        </w:rPr>
      </w:pPr>
      <w:r>
        <w:rPr>
          <w:rFonts w:eastAsia="仿宋_GB2312"/>
          <w:sz w:val="28"/>
          <w:szCs w:val="28"/>
        </w:rPr>
        <w:t>（2）地表水</w:t>
      </w:r>
    </w:p>
    <w:p>
      <w:pPr>
        <w:spacing w:line="500" w:lineRule="exact"/>
        <w:ind w:firstLine="560" w:firstLineChars="200"/>
        <w:rPr>
          <w:rFonts w:eastAsia="仿宋_GB2312"/>
          <w:sz w:val="28"/>
          <w:szCs w:val="28"/>
        </w:rPr>
      </w:pPr>
      <w:r>
        <w:rPr>
          <w:rFonts w:eastAsia="仿宋_GB2312"/>
          <w:sz w:val="28"/>
          <w:szCs w:val="28"/>
        </w:rPr>
        <w:t>根据</w:t>
      </w:r>
      <w:r>
        <w:rPr>
          <w:rFonts w:hint="eastAsia" w:eastAsia="仿宋_GB2312"/>
          <w:sz w:val="28"/>
          <w:szCs w:val="28"/>
        </w:rPr>
        <w:t>《江苏省地表水（环境）功能区划（2021—2030年）》</w:t>
      </w:r>
      <w:r>
        <w:rPr>
          <w:rFonts w:eastAsia="仿宋_GB2312"/>
          <w:sz w:val="28"/>
          <w:szCs w:val="28"/>
        </w:rPr>
        <w:t>，尧塘河水质执行《地表水环境质量标准》（GB3838-2002）中</w:t>
      </w:r>
      <w:r>
        <w:rPr>
          <w:rFonts w:hint="eastAsia" w:ascii="宋体" w:hAnsi="宋体" w:cs="宋体"/>
          <w:sz w:val="28"/>
          <w:szCs w:val="28"/>
        </w:rPr>
        <w:t>Ⅲ</w:t>
      </w:r>
      <w:r>
        <w:rPr>
          <w:rFonts w:eastAsia="仿宋_GB2312"/>
          <w:sz w:val="28"/>
          <w:szCs w:val="28"/>
        </w:rPr>
        <w:t>类水标准。</w:t>
      </w:r>
    </w:p>
    <w:p>
      <w:pPr>
        <w:adjustRightInd w:val="0"/>
        <w:snapToGrid w:val="0"/>
        <w:spacing w:line="500" w:lineRule="exact"/>
        <w:ind w:firstLine="560" w:firstLineChars="200"/>
        <w:rPr>
          <w:rFonts w:eastAsia="仿宋_GB2312"/>
          <w:sz w:val="28"/>
          <w:szCs w:val="28"/>
        </w:rPr>
      </w:pPr>
      <w:r>
        <w:rPr>
          <w:rFonts w:eastAsia="仿宋_GB2312"/>
          <w:sz w:val="28"/>
          <w:szCs w:val="28"/>
        </w:rPr>
        <w:t>（3）声环境</w:t>
      </w:r>
    </w:p>
    <w:p>
      <w:pPr>
        <w:spacing w:line="500" w:lineRule="exact"/>
        <w:ind w:firstLine="560" w:firstLineChars="200"/>
        <w:rPr>
          <w:rFonts w:eastAsia="仿宋_GB2312"/>
          <w:sz w:val="28"/>
          <w:szCs w:val="28"/>
        </w:rPr>
      </w:pPr>
      <w:bookmarkStart w:id="191" w:name="_Toc270284352"/>
      <w:bookmarkStart w:id="192" w:name="_Toc264982945"/>
      <w:r>
        <w:rPr>
          <w:rFonts w:eastAsia="仿宋_GB2312"/>
          <w:sz w:val="28"/>
          <w:szCs w:val="28"/>
        </w:rPr>
        <w:t>根据《</w:t>
      </w:r>
      <w:r>
        <w:rPr>
          <w:rFonts w:hint="eastAsia" w:eastAsia="仿宋_GB2312"/>
          <w:sz w:val="28"/>
          <w:szCs w:val="28"/>
        </w:rPr>
        <w:t>常州市市区声环境功能区划（2017）</w:t>
      </w:r>
      <w:r>
        <w:rPr>
          <w:rFonts w:eastAsia="仿宋_GB2312"/>
          <w:sz w:val="28"/>
          <w:szCs w:val="28"/>
        </w:rPr>
        <w:t>》，项目所在地位于3类功能区，各厂界声环境执行《声环境质量标准》（GB3096-2008）中3类功能区环境噪声限值。</w:t>
      </w:r>
    </w:p>
    <w:p>
      <w:pPr>
        <w:adjustRightInd w:val="0"/>
        <w:snapToGrid w:val="0"/>
        <w:spacing w:line="500" w:lineRule="exact"/>
        <w:ind w:firstLine="560" w:firstLineChars="200"/>
        <w:rPr>
          <w:rFonts w:eastAsia="仿宋_GB2312"/>
          <w:sz w:val="28"/>
          <w:szCs w:val="28"/>
        </w:rPr>
      </w:pPr>
      <w:r>
        <w:rPr>
          <w:rFonts w:eastAsia="仿宋_GB2312"/>
          <w:sz w:val="28"/>
          <w:szCs w:val="28"/>
        </w:rPr>
        <w:t>（4）地下水</w:t>
      </w:r>
    </w:p>
    <w:p>
      <w:pPr>
        <w:spacing w:line="500" w:lineRule="exact"/>
        <w:ind w:firstLine="560" w:firstLineChars="200"/>
        <w:rPr>
          <w:rFonts w:eastAsia="仿宋_GB2312"/>
          <w:sz w:val="28"/>
          <w:szCs w:val="28"/>
        </w:rPr>
      </w:pPr>
      <w:r>
        <w:rPr>
          <w:rFonts w:eastAsia="仿宋_GB2312"/>
          <w:sz w:val="28"/>
          <w:szCs w:val="28"/>
        </w:rPr>
        <w:t>本项目所在区域地下水执行《地下水质量标准》 (GB/T14848-2017)。</w:t>
      </w:r>
    </w:p>
    <w:p>
      <w:pPr>
        <w:adjustRightInd w:val="0"/>
        <w:snapToGrid w:val="0"/>
        <w:spacing w:line="500" w:lineRule="exact"/>
        <w:ind w:firstLine="560" w:firstLineChars="200"/>
        <w:rPr>
          <w:rFonts w:eastAsia="仿宋_GB2312"/>
          <w:sz w:val="28"/>
          <w:szCs w:val="28"/>
        </w:rPr>
      </w:pPr>
      <w:r>
        <w:rPr>
          <w:rFonts w:eastAsia="仿宋_GB2312"/>
          <w:sz w:val="28"/>
          <w:szCs w:val="28"/>
        </w:rPr>
        <w:t>（5）土壤</w:t>
      </w:r>
      <w:bookmarkEnd w:id="191"/>
      <w:bookmarkEnd w:id="192"/>
    </w:p>
    <w:p>
      <w:pPr>
        <w:adjustRightInd w:val="0"/>
        <w:snapToGrid w:val="0"/>
        <w:spacing w:line="500" w:lineRule="exact"/>
        <w:ind w:firstLine="560" w:firstLineChars="200"/>
        <w:rPr>
          <w:rFonts w:eastAsia="仿宋_GB2312"/>
          <w:sz w:val="28"/>
          <w:szCs w:val="28"/>
        </w:rPr>
      </w:pPr>
      <w:r>
        <w:rPr>
          <w:rFonts w:eastAsia="仿宋_GB2312"/>
          <w:sz w:val="28"/>
          <w:szCs w:val="28"/>
        </w:rPr>
        <w:t>本项目所在地土壤符合</w:t>
      </w:r>
      <w:r>
        <w:rPr>
          <w:rFonts w:eastAsia="仿宋_GB2312"/>
          <w:sz w:val="28"/>
        </w:rPr>
        <w:t>《土壤环境质量</w:t>
      </w:r>
      <w:r>
        <w:rPr>
          <w:rFonts w:hint="eastAsia" w:eastAsia="仿宋_GB2312"/>
          <w:sz w:val="28"/>
        </w:rPr>
        <w:t xml:space="preserve"> </w:t>
      </w:r>
      <w:r>
        <w:rPr>
          <w:rFonts w:eastAsia="仿宋_GB2312"/>
          <w:sz w:val="28"/>
        </w:rPr>
        <w:t>建设用地土壤污染风险管控标准</w:t>
      </w:r>
      <w:r>
        <w:rPr>
          <w:rFonts w:hint="eastAsia" w:eastAsia="仿宋_GB2312"/>
          <w:sz w:val="28"/>
        </w:rPr>
        <w:t>（试行）</w:t>
      </w:r>
      <w:r>
        <w:rPr>
          <w:rFonts w:eastAsia="仿宋_GB2312"/>
          <w:sz w:val="28"/>
        </w:rPr>
        <w:t>》（GB36600-2018）中筛选值</w:t>
      </w:r>
      <w:r>
        <w:rPr>
          <w:rFonts w:eastAsia="仿宋_GB2312"/>
          <w:sz w:val="28"/>
          <w:szCs w:val="28"/>
        </w:rPr>
        <w:t>。</w:t>
      </w:r>
    </w:p>
    <w:p>
      <w:pPr>
        <w:pStyle w:val="3"/>
        <w:spacing w:before="120" w:after="120"/>
      </w:pPr>
      <w:bookmarkStart w:id="193" w:name="_Toc140565260"/>
      <w:r>
        <w:rPr>
          <w:rFonts w:hint="eastAsia"/>
        </w:rPr>
        <w:t>产业</w:t>
      </w:r>
      <w:r>
        <w:t>、行业政策相符性</w:t>
      </w:r>
      <w:r>
        <w:rPr>
          <w:rFonts w:hint="eastAsia"/>
        </w:rPr>
        <w:t>和</w:t>
      </w:r>
      <w:r>
        <w:t>选址可行性分析</w:t>
      </w:r>
      <w:bookmarkEnd w:id="193"/>
    </w:p>
    <w:p>
      <w:pPr>
        <w:pStyle w:val="4"/>
        <w:keepLines w:val="0"/>
        <w:numPr>
          <w:ilvl w:val="2"/>
          <w:numId w:val="1"/>
        </w:numPr>
        <w:tabs>
          <w:tab w:val="left" w:pos="709"/>
        </w:tabs>
        <w:adjustRightInd w:val="0"/>
        <w:snapToGrid w:val="0"/>
        <w:spacing w:before="120" w:beforeLines="50" w:after="120" w:afterLines="50" w:line="500" w:lineRule="exact"/>
        <w:ind w:left="0" w:firstLine="0"/>
        <w:rPr>
          <w:rFonts w:eastAsia="仿宋_GB2312"/>
          <w:sz w:val="28"/>
          <w:szCs w:val="28"/>
        </w:rPr>
      </w:pPr>
      <w:r>
        <w:rPr>
          <w:rFonts w:hint="eastAsia" w:eastAsia="仿宋_GB2312"/>
          <w:sz w:val="28"/>
          <w:szCs w:val="28"/>
        </w:rPr>
        <w:t>产业</w:t>
      </w:r>
      <w:r>
        <w:rPr>
          <w:rFonts w:eastAsia="仿宋_GB2312"/>
          <w:sz w:val="28"/>
          <w:szCs w:val="28"/>
        </w:rPr>
        <w:t>政策相符性</w:t>
      </w:r>
    </w:p>
    <w:p>
      <w:pPr>
        <w:spacing w:line="500" w:lineRule="exact"/>
        <w:ind w:firstLine="560" w:firstLineChars="200"/>
        <w:contextualSpacing/>
        <w:rPr>
          <w:rFonts w:eastAsia="仿宋_GB2312"/>
          <w:sz w:val="28"/>
          <w:szCs w:val="28"/>
        </w:rPr>
      </w:pPr>
      <w:r>
        <w:rPr>
          <w:rFonts w:eastAsia="仿宋_GB2312"/>
          <w:sz w:val="28"/>
          <w:szCs w:val="28"/>
        </w:rPr>
        <w:t>（1）</w:t>
      </w:r>
      <w:r>
        <w:rPr>
          <w:rFonts w:hint="eastAsia" w:eastAsia="仿宋_GB2312"/>
          <w:sz w:val="28"/>
          <w:szCs w:val="28"/>
        </w:rPr>
        <w:t>本项目汽车、电子用胶带生产项目，根据</w:t>
      </w:r>
      <w:r>
        <w:rPr>
          <w:rFonts w:eastAsia="仿宋_GB2312"/>
          <w:sz w:val="28"/>
          <w:szCs w:val="28"/>
        </w:rPr>
        <w:t>《产业结构调整指导目录（2019年本）》及《国家发展改革委关于修改的决定》2021年第49号令中的限制和淘汰类项目</w:t>
      </w:r>
      <w:r>
        <w:rPr>
          <w:rFonts w:hint="eastAsia" w:eastAsia="仿宋_GB2312"/>
          <w:sz w:val="28"/>
          <w:szCs w:val="28"/>
        </w:rPr>
        <w:t>，本项目不属于“限制类”和“淘汰类”。</w:t>
      </w:r>
    </w:p>
    <w:p>
      <w:pPr>
        <w:spacing w:line="500" w:lineRule="exact"/>
        <w:ind w:firstLine="560" w:firstLineChars="200"/>
        <w:contextualSpacing/>
        <w:rPr>
          <w:rFonts w:eastAsia="仿宋_GB2312"/>
          <w:sz w:val="28"/>
          <w:szCs w:val="28"/>
        </w:rPr>
      </w:pPr>
      <w:r>
        <w:rPr>
          <w:rFonts w:hint="eastAsia" w:eastAsia="仿宋_GB2312"/>
          <w:sz w:val="28"/>
          <w:szCs w:val="28"/>
        </w:rPr>
        <w:t>（</w:t>
      </w:r>
      <w:r>
        <w:rPr>
          <w:rFonts w:eastAsia="仿宋_GB2312"/>
          <w:sz w:val="28"/>
          <w:szCs w:val="28"/>
        </w:rPr>
        <w:t>2</w:t>
      </w:r>
      <w:r>
        <w:rPr>
          <w:rFonts w:hint="eastAsia" w:eastAsia="仿宋_GB2312"/>
          <w:sz w:val="28"/>
          <w:szCs w:val="28"/>
        </w:rPr>
        <w:t>）</w:t>
      </w:r>
      <w:r>
        <w:rPr>
          <w:rFonts w:eastAsia="仿宋_GB2312"/>
          <w:sz w:val="28"/>
          <w:szCs w:val="28"/>
        </w:rPr>
        <w:t>本项目不属于</w:t>
      </w:r>
      <w:r>
        <w:rPr>
          <w:rFonts w:hint="eastAsia" w:eastAsia="仿宋_GB2312"/>
          <w:sz w:val="28"/>
          <w:szCs w:val="28"/>
        </w:rPr>
        <w:t>《江苏省产业结构调整限制、淘汰和禁止目录（2018年本）》中</w:t>
      </w:r>
      <w:r>
        <w:rPr>
          <w:rFonts w:eastAsia="仿宋_GB2312"/>
          <w:sz w:val="28"/>
          <w:szCs w:val="28"/>
        </w:rPr>
        <w:t>的项目。</w:t>
      </w:r>
    </w:p>
    <w:p>
      <w:pPr>
        <w:spacing w:line="500" w:lineRule="exact"/>
        <w:ind w:firstLine="560" w:firstLineChars="200"/>
        <w:contextualSpacing/>
        <w:rPr>
          <w:rFonts w:eastAsia="仿宋_GB2312"/>
          <w:sz w:val="28"/>
          <w:szCs w:val="28"/>
        </w:rPr>
      </w:pPr>
      <w:r>
        <w:rPr>
          <w:rFonts w:hint="eastAsia" w:eastAsia="仿宋_GB2312"/>
          <w:sz w:val="28"/>
          <w:szCs w:val="28"/>
        </w:rPr>
        <w:t>（</w:t>
      </w:r>
      <w:r>
        <w:rPr>
          <w:rFonts w:eastAsia="仿宋_GB2312"/>
          <w:sz w:val="28"/>
          <w:szCs w:val="28"/>
        </w:rPr>
        <w:t>3</w:t>
      </w:r>
      <w:r>
        <w:rPr>
          <w:rFonts w:hint="eastAsia" w:eastAsia="仿宋_GB2312"/>
          <w:sz w:val="28"/>
          <w:szCs w:val="28"/>
        </w:rPr>
        <w:t>）本项目</w:t>
      </w:r>
      <w:r>
        <w:rPr>
          <w:rFonts w:eastAsia="仿宋_GB2312"/>
          <w:sz w:val="28"/>
          <w:szCs w:val="28"/>
        </w:rPr>
        <w:t>不属于《</w:t>
      </w:r>
      <w:r>
        <w:rPr>
          <w:rFonts w:hint="eastAsia" w:eastAsia="仿宋_GB2312"/>
          <w:sz w:val="28"/>
          <w:szCs w:val="28"/>
        </w:rPr>
        <w:t>省</w:t>
      </w:r>
      <w:r>
        <w:rPr>
          <w:rFonts w:eastAsia="仿宋_GB2312"/>
          <w:sz w:val="28"/>
          <w:szCs w:val="28"/>
        </w:rPr>
        <w:t>发展改革委</w:t>
      </w:r>
      <w:r>
        <w:rPr>
          <w:rFonts w:hint="eastAsia" w:eastAsia="仿宋_GB2312"/>
          <w:sz w:val="28"/>
          <w:szCs w:val="28"/>
        </w:rPr>
        <w:t>省工业</w:t>
      </w:r>
      <w:r>
        <w:rPr>
          <w:rFonts w:eastAsia="仿宋_GB2312"/>
          <w:sz w:val="28"/>
          <w:szCs w:val="28"/>
        </w:rPr>
        <w:t>和</w:t>
      </w:r>
      <w:r>
        <w:rPr>
          <w:rFonts w:hint="eastAsia" w:eastAsia="仿宋_GB2312"/>
          <w:sz w:val="28"/>
          <w:szCs w:val="28"/>
        </w:rPr>
        <w:t>信息化</w:t>
      </w:r>
      <w:r>
        <w:rPr>
          <w:rFonts w:eastAsia="仿宋_GB2312"/>
          <w:sz w:val="28"/>
          <w:szCs w:val="28"/>
        </w:rPr>
        <w:t>厅</w:t>
      </w:r>
      <w:r>
        <w:rPr>
          <w:rFonts w:hint="eastAsia" w:eastAsia="仿宋_GB2312"/>
          <w:sz w:val="28"/>
          <w:szCs w:val="28"/>
        </w:rPr>
        <w:t>关于遏制</w:t>
      </w:r>
      <w:r>
        <w:rPr>
          <w:rFonts w:eastAsia="仿宋_GB2312"/>
          <w:sz w:val="28"/>
          <w:szCs w:val="28"/>
        </w:rPr>
        <w:t>“</w:t>
      </w:r>
      <w:r>
        <w:rPr>
          <w:rFonts w:hint="eastAsia" w:eastAsia="仿宋_GB2312"/>
          <w:sz w:val="28"/>
          <w:szCs w:val="28"/>
        </w:rPr>
        <w:t>两高</w:t>
      </w:r>
      <w:r>
        <w:rPr>
          <w:rFonts w:eastAsia="仿宋_GB2312"/>
          <w:sz w:val="28"/>
          <w:szCs w:val="28"/>
        </w:rPr>
        <w:t>”</w:t>
      </w:r>
      <w:r>
        <w:rPr>
          <w:rFonts w:hint="eastAsia" w:eastAsia="仿宋_GB2312"/>
          <w:sz w:val="28"/>
          <w:szCs w:val="28"/>
        </w:rPr>
        <w:t>项目盲目</w:t>
      </w:r>
      <w:r>
        <w:rPr>
          <w:rFonts w:eastAsia="仿宋_GB2312"/>
          <w:sz w:val="28"/>
          <w:szCs w:val="28"/>
        </w:rPr>
        <w:t>发展的</w:t>
      </w:r>
      <w:r>
        <w:rPr>
          <w:rFonts w:hint="eastAsia" w:eastAsia="仿宋_GB2312"/>
          <w:sz w:val="28"/>
          <w:szCs w:val="28"/>
        </w:rPr>
        <w:t>通知</w:t>
      </w:r>
      <w:r>
        <w:rPr>
          <w:rFonts w:eastAsia="仿宋_GB2312"/>
          <w:sz w:val="28"/>
          <w:szCs w:val="28"/>
        </w:rPr>
        <w:t>》</w:t>
      </w:r>
      <w:r>
        <w:rPr>
          <w:rFonts w:hint="eastAsia" w:eastAsia="仿宋_GB2312"/>
          <w:sz w:val="28"/>
          <w:szCs w:val="28"/>
        </w:rPr>
        <w:t>（苏发改</w:t>
      </w:r>
      <w:r>
        <w:rPr>
          <w:rFonts w:eastAsia="仿宋_GB2312"/>
          <w:sz w:val="28"/>
          <w:szCs w:val="28"/>
        </w:rPr>
        <w:t>资环发</w:t>
      </w:r>
      <w:r>
        <w:rPr>
          <w:rFonts w:hint="eastAsia" w:eastAsia="仿宋_GB2312"/>
          <w:sz w:val="28"/>
          <w:szCs w:val="28"/>
        </w:rPr>
        <w:t>〔2021〕837号）中的</w:t>
      </w:r>
      <w:r>
        <w:rPr>
          <w:rFonts w:eastAsia="仿宋_GB2312"/>
          <w:sz w:val="28"/>
          <w:szCs w:val="28"/>
        </w:rPr>
        <w:t>“</w:t>
      </w:r>
      <w:r>
        <w:rPr>
          <w:rFonts w:hint="eastAsia" w:eastAsia="仿宋_GB2312"/>
          <w:sz w:val="28"/>
          <w:szCs w:val="28"/>
        </w:rPr>
        <w:t>两高</w:t>
      </w:r>
      <w:r>
        <w:rPr>
          <w:rFonts w:eastAsia="仿宋_GB2312"/>
          <w:sz w:val="28"/>
          <w:szCs w:val="28"/>
        </w:rPr>
        <w:t>”</w:t>
      </w:r>
      <w:r>
        <w:rPr>
          <w:rFonts w:hint="eastAsia" w:eastAsia="仿宋_GB2312"/>
          <w:sz w:val="28"/>
          <w:szCs w:val="28"/>
        </w:rPr>
        <w:t>项目</w:t>
      </w:r>
      <w:r>
        <w:rPr>
          <w:rFonts w:eastAsia="仿宋_GB2312"/>
          <w:sz w:val="28"/>
          <w:szCs w:val="28"/>
        </w:rPr>
        <w:t>。</w:t>
      </w:r>
    </w:p>
    <w:p>
      <w:pPr>
        <w:spacing w:line="500" w:lineRule="exact"/>
        <w:ind w:firstLine="560" w:firstLineChars="200"/>
        <w:contextualSpacing/>
        <w:rPr>
          <w:rFonts w:eastAsia="仿宋_GB2312"/>
          <w:sz w:val="28"/>
          <w:szCs w:val="28"/>
        </w:rPr>
      </w:pPr>
      <w:r>
        <w:rPr>
          <w:rFonts w:hint="eastAsia" w:eastAsia="仿宋_GB2312"/>
          <w:sz w:val="28"/>
          <w:szCs w:val="28"/>
        </w:rPr>
        <w:t>（</w:t>
      </w:r>
      <w:r>
        <w:rPr>
          <w:rFonts w:eastAsia="仿宋_GB2312"/>
          <w:sz w:val="28"/>
          <w:szCs w:val="28"/>
        </w:rPr>
        <w:t>4</w:t>
      </w:r>
      <w:r>
        <w:rPr>
          <w:rFonts w:hint="eastAsia" w:eastAsia="仿宋_GB2312"/>
          <w:sz w:val="28"/>
          <w:szCs w:val="28"/>
        </w:rPr>
        <w:t>）</w:t>
      </w:r>
      <w:r>
        <w:rPr>
          <w:rFonts w:eastAsia="仿宋_GB2312"/>
          <w:sz w:val="28"/>
          <w:szCs w:val="28"/>
        </w:rPr>
        <w:t>本项目不在</w:t>
      </w:r>
      <w:r>
        <w:rPr>
          <w:rFonts w:hint="eastAsia" w:eastAsia="仿宋_GB2312"/>
          <w:sz w:val="28"/>
          <w:szCs w:val="28"/>
        </w:rPr>
        <w:t>《长江经济带发展负面清单指南（试行，2022年版）</w:t>
      </w:r>
      <w:r>
        <w:rPr>
          <w:rFonts w:eastAsia="仿宋_GB2312"/>
          <w:sz w:val="28"/>
          <w:szCs w:val="28"/>
        </w:rPr>
        <w:t>》</w:t>
      </w:r>
      <w:r>
        <w:rPr>
          <w:rFonts w:hint="eastAsia" w:eastAsia="仿宋_GB2312"/>
          <w:sz w:val="28"/>
          <w:szCs w:val="28"/>
        </w:rPr>
        <w:t>及《关于印发</w:t>
      </w:r>
      <w:r>
        <w:rPr>
          <w:rFonts w:eastAsia="仿宋_GB2312"/>
          <w:sz w:val="28"/>
          <w:szCs w:val="28"/>
        </w:rPr>
        <w:t>&lt;</w:t>
      </w:r>
      <w:r>
        <w:rPr>
          <w:rFonts w:hint="eastAsia" w:eastAsia="仿宋_GB2312"/>
          <w:sz w:val="28"/>
          <w:szCs w:val="28"/>
        </w:rPr>
        <w:t>长江经济带发展负面清单指南（试行，</w:t>
      </w:r>
      <w:r>
        <w:rPr>
          <w:rFonts w:eastAsia="仿宋_GB2312"/>
          <w:sz w:val="28"/>
          <w:szCs w:val="28"/>
        </w:rPr>
        <w:t>2022</w:t>
      </w:r>
      <w:r>
        <w:rPr>
          <w:rFonts w:hint="eastAsia" w:eastAsia="仿宋_GB2312"/>
          <w:sz w:val="28"/>
          <w:szCs w:val="28"/>
        </w:rPr>
        <w:t>年版）</w:t>
      </w:r>
      <w:r>
        <w:rPr>
          <w:rFonts w:eastAsia="仿宋_GB2312"/>
          <w:sz w:val="28"/>
          <w:szCs w:val="28"/>
        </w:rPr>
        <w:t>&gt;</w:t>
      </w:r>
      <w:r>
        <w:rPr>
          <w:rFonts w:hint="eastAsia" w:eastAsia="仿宋_GB2312"/>
          <w:sz w:val="28"/>
          <w:szCs w:val="28"/>
        </w:rPr>
        <w:t>江苏省实施细则的通知》（苏长江办发</w:t>
      </w:r>
      <w:r>
        <w:rPr>
          <w:rFonts w:eastAsia="仿宋_GB2312"/>
          <w:sz w:val="28"/>
          <w:szCs w:val="28"/>
        </w:rPr>
        <w:t>[2022]55</w:t>
      </w:r>
      <w:r>
        <w:rPr>
          <w:rFonts w:hint="eastAsia" w:eastAsia="仿宋_GB2312"/>
          <w:sz w:val="28"/>
          <w:szCs w:val="28"/>
        </w:rPr>
        <w:t>号）中禁止类项目</w:t>
      </w:r>
      <w:r>
        <w:rPr>
          <w:rFonts w:eastAsia="仿宋_GB2312"/>
          <w:sz w:val="28"/>
          <w:szCs w:val="28"/>
        </w:rPr>
        <w:t>内。</w:t>
      </w:r>
    </w:p>
    <w:p>
      <w:pPr>
        <w:spacing w:line="500" w:lineRule="exact"/>
        <w:ind w:firstLine="560" w:firstLineChars="200"/>
        <w:contextualSpacing/>
        <w:rPr>
          <w:rFonts w:eastAsia="仿宋_GB2312"/>
          <w:sz w:val="28"/>
          <w:szCs w:val="28"/>
        </w:rPr>
      </w:pPr>
      <w:r>
        <w:rPr>
          <w:rFonts w:eastAsia="仿宋_GB2312"/>
          <w:sz w:val="28"/>
          <w:szCs w:val="28"/>
        </w:rPr>
        <w:t>（5）与《太湖流域管理条例》（中华人民共和国国务院令第604号）对照</w:t>
      </w:r>
    </w:p>
    <w:p>
      <w:pPr>
        <w:spacing w:line="500" w:lineRule="exact"/>
        <w:ind w:firstLine="560" w:firstLineChars="200"/>
        <w:contextualSpacing/>
        <w:rPr>
          <w:rFonts w:eastAsia="仿宋_GB2312"/>
          <w:sz w:val="28"/>
          <w:szCs w:val="28"/>
        </w:rPr>
      </w:pPr>
      <w:r>
        <w:rPr>
          <w:rFonts w:eastAsia="仿宋_GB2312"/>
          <w:sz w:val="28"/>
          <w:szCs w:val="28"/>
        </w:rPr>
        <w:t>第二十九条：新孟河、望虞河以外的其他主要入太湖河道，自河口1万米上溯至5万米河道岸线内及其岸线两侧各1000米范围内，禁止下列行为：</w:t>
      </w:r>
    </w:p>
    <w:p>
      <w:pPr>
        <w:spacing w:line="500" w:lineRule="exact"/>
        <w:ind w:firstLine="560" w:firstLineChars="200"/>
        <w:contextualSpacing/>
        <w:rPr>
          <w:rFonts w:eastAsia="仿宋_GB2312"/>
          <w:sz w:val="28"/>
          <w:szCs w:val="28"/>
        </w:rPr>
      </w:pPr>
      <w:r>
        <w:rPr>
          <w:rFonts w:hint="eastAsia" w:eastAsia="仿宋_GB2312"/>
          <w:sz w:val="28"/>
          <w:szCs w:val="28"/>
        </w:rPr>
        <w:t>①</w:t>
      </w:r>
      <w:r>
        <w:rPr>
          <w:rFonts w:eastAsia="仿宋_GB2312"/>
          <w:sz w:val="28"/>
          <w:szCs w:val="28"/>
        </w:rPr>
        <w:t>新建、扩建化工、医药生产项目；</w:t>
      </w:r>
    </w:p>
    <w:p>
      <w:pPr>
        <w:spacing w:line="500" w:lineRule="exact"/>
        <w:ind w:firstLine="560" w:firstLineChars="200"/>
        <w:contextualSpacing/>
        <w:rPr>
          <w:rFonts w:eastAsia="仿宋_GB2312"/>
          <w:sz w:val="28"/>
          <w:szCs w:val="28"/>
        </w:rPr>
      </w:pPr>
      <w:r>
        <w:rPr>
          <w:rFonts w:hint="eastAsia" w:eastAsia="仿宋_GB2312"/>
          <w:sz w:val="28"/>
          <w:szCs w:val="28"/>
        </w:rPr>
        <w:t>②</w:t>
      </w:r>
      <w:r>
        <w:rPr>
          <w:rFonts w:eastAsia="仿宋_GB2312"/>
          <w:sz w:val="28"/>
          <w:szCs w:val="28"/>
        </w:rPr>
        <w:t>新建、扩建污水集中处理设施排污口以外的排污口；</w:t>
      </w:r>
    </w:p>
    <w:p>
      <w:pPr>
        <w:spacing w:line="500" w:lineRule="exact"/>
        <w:ind w:firstLine="560" w:firstLineChars="200"/>
        <w:contextualSpacing/>
        <w:rPr>
          <w:rFonts w:eastAsia="仿宋_GB2312"/>
          <w:sz w:val="28"/>
          <w:szCs w:val="28"/>
        </w:rPr>
      </w:pPr>
      <w:r>
        <w:rPr>
          <w:rFonts w:hint="eastAsia" w:eastAsia="仿宋_GB2312"/>
          <w:sz w:val="28"/>
          <w:szCs w:val="28"/>
        </w:rPr>
        <w:t>③</w:t>
      </w:r>
      <w:r>
        <w:rPr>
          <w:rFonts w:eastAsia="仿宋_GB2312"/>
          <w:sz w:val="28"/>
          <w:szCs w:val="28"/>
        </w:rPr>
        <w:t>扩大水产养殖规模。</w:t>
      </w:r>
    </w:p>
    <w:p>
      <w:pPr>
        <w:spacing w:line="500" w:lineRule="exact"/>
        <w:ind w:firstLine="560" w:firstLineChars="200"/>
        <w:contextualSpacing/>
        <w:rPr>
          <w:rFonts w:eastAsia="仿宋_GB2312"/>
          <w:sz w:val="28"/>
          <w:szCs w:val="28"/>
        </w:rPr>
      </w:pPr>
      <w:r>
        <w:rPr>
          <w:rFonts w:eastAsia="仿宋_GB2312"/>
          <w:sz w:val="28"/>
          <w:szCs w:val="28"/>
        </w:rPr>
        <w:t>第三十条：太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w:t>
      </w:r>
    </w:p>
    <w:p>
      <w:pPr>
        <w:spacing w:line="500" w:lineRule="exact"/>
        <w:ind w:firstLine="560" w:firstLineChars="200"/>
        <w:contextualSpacing/>
        <w:rPr>
          <w:rFonts w:eastAsia="仿宋_GB2312"/>
          <w:sz w:val="28"/>
          <w:szCs w:val="28"/>
        </w:rPr>
      </w:pPr>
      <w:r>
        <w:rPr>
          <w:rFonts w:hint="eastAsia" w:eastAsia="仿宋_GB2312"/>
          <w:sz w:val="28"/>
          <w:szCs w:val="28"/>
        </w:rPr>
        <w:t>①</w:t>
      </w:r>
      <w:r>
        <w:rPr>
          <w:rFonts w:eastAsia="仿宋_GB2312"/>
          <w:sz w:val="28"/>
          <w:szCs w:val="28"/>
        </w:rPr>
        <w:t>设置剧毒物质、危险化学品的贮存、输送设施和废物回收场、垃圾场；</w:t>
      </w:r>
    </w:p>
    <w:p>
      <w:pPr>
        <w:spacing w:line="500" w:lineRule="exact"/>
        <w:ind w:firstLine="560" w:firstLineChars="200"/>
        <w:contextualSpacing/>
        <w:rPr>
          <w:rFonts w:eastAsia="仿宋_GB2312"/>
          <w:sz w:val="28"/>
          <w:szCs w:val="28"/>
        </w:rPr>
      </w:pPr>
      <w:r>
        <w:rPr>
          <w:rFonts w:hint="eastAsia" w:eastAsia="仿宋_GB2312"/>
          <w:sz w:val="28"/>
          <w:szCs w:val="28"/>
        </w:rPr>
        <w:t>②</w:t>
      </w:r>
      <w:r>
        <w:rPr>
          <w:rFonts w:eastAsia="仿宋_GB2312"/>
          <w:sz w:val="28"/>
          <w:szCs w:val="28"/>
        </w:rPr>
        <w:t>设置水上餐饮经营设施；</w:t>
      </w:r>
    </w:p>
    <w:p>
      <w:pPr>
        <w:spacing w:line="500" w:lineRule="exact"/>
        <w:ind w:firstLine="560" w:firstLineChars="200"/>
        <w:contextualSpacing/>
        <w:rPr>
          <w:rFonts w:eastAsia="仿宋_GB2312"/>
          <w:sz w:val="28"/>
          <w:szCs w:val="28"/>
        </w:rPr>
      </w:pPr>
      <w:r>
        <w:rPr>
          <w:rFonts w:hint="eastAsia" w:eastAsia="仿宋_GB2312"/>
          <w:sz w:val="28"/>
          <w:szCs w:val="28"/>
        </w:rPr>
        <w:t>③</w:t>
      </w:r>
      <w:r>
        <w:rPr>
          <w:rFonts w:eastAsia="仿宋_GB2312"/>
          <w:sz w:val="28"/>
          <w:szCs w:val="28"/>
        </w:rPr>
        <w:t>新建、扩建高尔夫球场；</w:t>
      </w:r>
    </w:p>
    <w:p>
      <w:pPr>
        <w:spacing w:line="500" w:lineRule="exact"/>
        <w:ind w:firstLine="560" w:firstLineChars="200"/>
        <w:contextualSpacing/>
        <w:rPr>
          <w:rFonts w:eastAsia="仿宋_GB2312"/>
          <w:sz w:val="28"/>
          <w:szCs w:val="28"/>
        </w:rPr>
      </w:pPr>
      <w:r>
        <w:rPr>
          <w:rFonts w:hint="eastAsia" w:eastAsia="仿宋_GB2312"/>
          <w:sz w:val="28"/>
          <w:szCs w:val="28"/>
        </w:rPr>
        <w:t>④</w:t>
      </w:r>
      <w:r>
        <w:rPr>
          <w:rFonts w:eastAsia="仿宋_GB2312"/>
          <w:sz w:val="28"/>
          <w:szCs w:val="28"/>
        </w:rPr>
        <w:t>新建、扩建畜禽养殖场；</w:t>
      </w:r>
    </w:p>
    <w:p>
      <w:pPr>
        <w:spacing w:line="500" w:lineRule="exact"/>
        <w:ind w:firstLine="560" w:firstLineChars="200"/>
        <w:contextualSpacing/>
        <w:rPr>
          <w:rFonts w:eastAsia="仿宋_GB2312"/>
          <w:sz w:val="28"/>
          <w:szCs w:val="28"/>
        </w:rPr>
      </w:pPr>
      <w:r>
        <w:rPr>
          <w:rFonts w:hint="eastAsia" w:eastAsia="仿宋_GB2312"/>
          <w:sz w:val="28"/>
          <w:szCs w:val="28"/>
        </w:rPr>
        <w:t>⑤</w:t>
      </w:r>
      <w:r>
        <w:rPr>
          <w:rFonts w:eastAsia="仿宋_GB2312"/>
          <w:sz w:val="28"/>
          <w:szCs w:val="28"/>
        </w:rPr>
        <w:t>新建、扩建向水体排放污染物的建设项目；</w:t>
      </w:r>
    </w:p>
    <w:p>
      <w:pPr>
        <w:spacing w:line="500" w:lineRule="exact"/>
        <w:ind w:firstLine="560" w:firstLineChars="200"/>
        <w:contextualSpacing/>
        <w:rPr>
          <w:rFonts w:eastAsia="仿宋_GB2312"/>
          <w:sz w:val="28"/>
          <w:szCs w:val="28"/>
        </w:rPr>
      </w:pPr>
      <w:r>
        <w:rPr>
          <w:rFonts w:hint="eastAsia" w:eastAsia="仿宋_GB2312"/>
          <w:sz w:val="28"/>
          <w:szCs w:val="28"/>
        </w:rPr>
        <w:t>⑥</w:t>
      </w:r>
      <w:r>
        <w:rPr>
          <w:rFonts w:eastAsia="仿宋_GB2312"/>
          <w:sz w:val="28"/>
          <w:szCs w:val="28"/>
        </w:rPr>
        <w:t>本条例第二十九条规定的行为。</w:t>
      </w:r>
    </w:p>
    <w:p>
      <w:pPr>
        <w:spacing w:line="500" w:lineRule="exact"/>
        <w:ind w:firstLine="560" w:firstLineChars="200"/>
        <w:contextualSpacing/>
        <w:rPr>
          <w:rFonts w:eastAsia="仿宋_GB2312"/>
          <w:sz w:val="28"/>
          <w:szCs w:val="28"/>
        </w:rPr>
      </w:pPr>
      <w:r>
        <w:rPr>
          <w:rFonts w:eastAsia="仿宋_GB2312"/>
          <w:sz w:val="28"/>
          <w:szCs w:val="28"/>
        </w:rPr>
        <w:t>本项目位于江苏省金坛区金城镇工业园区（北区），</w:t>
      </w:r>
      <w:r>
        <w:rPr>
          <w:rFonts w:hint="eastAsia" w:eastAsia="仿宋_GB2312"/>
          <w:sz w:val="28"/>
          <w:szCs w:val="28"/>
        </w:rPr>
        <w:t>不产生生产废水。生活污水接管至常州金坛区第二污水处理有限公司集中处理，</w:t>
      </w:r>
      <w:r>
        <w:rPr>
          <w:rFonts w:eastAsia="仿宋_GB2312"/>
          <w:sz w:val="28"/>
          <w:szCs w:val="28"/>
        </w:rPr>
        <w:t>均不位于该条例第二十九条、第三十条规定的禁止建设范围内。因此本项目符合《太湖流域管理条例》（中华人民共和国国务院令第604号）相关规定。</w:t>
      </w:r>
    </w:p>
    <w:p>
      <w:pPr>
        <w:spacing w:line="500" w:lineRule="exact"/>
        <w:ind w:firstLine="560" w:firstLineChars="200"/>
        <w:contextualSpacing/>
        <w:rPr>
          <w:rFonts w:eastAsia="仿宋_GB2312"/>
          <w:sz w:val="28"/>
          <w:szCs w:val="28"/>
        </w:rPr>
      </w:pPr>
      <w:r>
        <w:rPr>
          <w:rFonts w:eastAsia="仿宋_GB2312"/>
          <w:sz w:val="28"/>
          <w:szCs w:val="28"/>
        </w:rPr>
        <w:t>（6）</w:t>
      </w:r>
      <w:bookmarkStart w:id="194" w:name="_Hlk46071201"/>
      <w:r>
        <w:rPr>
          <w:rFonts w:eastAsia="仿宋_GB2312"/>
          <w:sz w:val="28"/>
          <w:szCs w:val="28"/>
        </w:rPr>
        <w:t>与江苏省太湖水污染防治政策的相符性</w:t>
      </w:r>
    </w:p>
    <w:bookmarkEnd w:id="194"/>
    <w:p>
      <w:pPr>
        <w:spacing w:line="500" w:lineRule="exact"/>
        <w:ind w:firstLine="560" w:firstLineChars="200"/>
        <w:contextualSpacing/>
        <w:rPr>
          <w:rFonts w:eastAsia="仿宋_GB2312"/>
          <w:sz w:val="28"/>
          <w:szCs w:val="28"/>
        </w:rPr>
      </w:pPr>
      <w:r>
        <w:rPr>
          <w:rFonts w:eastAsia="仿宋_GB2312"/>
          <w:sz w:val="28"/>
          <w:szCs w:val="28"/>
        </w:rPr>
        <w:t>根据《江苏省太湖水污染防治条例》规定，太湖流域一、二、三级保护区禁止下列行为：</w:t>
      </w:r>
    </w:p>
    <w:p>
      <w:pPr>
        <w:spacing w:line="500" w:lineRule="exact"/>
        <w:ind w:firstLine="560" w:firstLineChars="200"/>
        <w:contextualSpacing/>
        <w:rPr>
          <w:rFonts w:eastAsia="仿宋_GB2312"/>
          <w:sz w:val="28"/>
          <w:szCs w:val="28"/>
        </w:rPr>
      </w:pPr>
      <w:r>
        <w:rPr>
          <w:rFonts w:eastAsia="仿宋_GB2312"/>
          <w:sz w:val="28"/>
          <w:szCs w:val="28"/>
        </w:rPr>
        <w:t>新建、改建、扩建化学制浆造纸、制革、酿造、染料、印染、电镀以及其他排放含磷、氮等污染物的企业和项目，城镇污水集中处理等环境基础设施项目和第四十六条规定的情形除外。</w:t>
      </w:r>
    </w:p>
    <w:p>
      <w:pPr>
        <w:spacing w:line="500" w:lineRule="exact"/>
        <w:ind w:firstLine="560" w:firstLineChars="200"/>
        <w:contextualSpacing/>
        <w:rPr>
          <w:rFonts w:eastAsia="仿宋_GB2312"/>
          <w:sz w:val="28"/>
          <w:szCs w:val="28"/>
        </w:rPr>
      </w:pPr>
      <w:r>
        <w:rPr>
          <w:rFonts w:eastAsia="仿宋_GB2312"/>
          <w:sz w:val="28"/>
          <w:szCs w:val="28"/>
        </w:rPr>
        <w:t>对照分析：本项目位于太湖流域三级保护区内，本项目不排放含氮磷的生产废水，符合《江苏省太湖水污染防治条例》。</w:t>
      </w:r>
    </w:p>
    <w:p>
      <w:pPr>
        <w:pStyle w:val="4"/>
        <w:keepLines w:val="0"/>
        <w:numPr>
          <w:ilvl w:val="2"/>
          <w:numId w:val="1"/>
        </w:numPr>
        <w:tabs>
          <w:tab w:val="left" w:pos="709"/>
        </w:tabs>
        <w:adjustRightInd w:val="0"/>
        <w:snapToGrid w:val="0"/>
        <w:spacing w:before="120" w:beforeLines="50" w:after="120" w:afterLines="50" w:line="500" w:lineRule="exact"/>
        <w:ind w:left="0" w:firstLine="0"/>
        <w:rPr>
          <w:rFonts w:eastAsia="仿宋_GB2312"/>
          <w:sz w:val="28"/>
          <w:szCs w:val="28"/>
        </w:rPr>
      </w:pPr>
      <w:r>
        <w:rPr>
          <w:rFonts w:hint="eastAsia" w:eastAsia="仿宋_GB2312"/>
          <w:sz w:val="28"/>
          <w:szCs w:val="28"/>
        </w:rPr>
        <w:t>环保</w:t>
      </w:r>
      <w:r>
        <w:rPr>
          <w:rFonts w:eastAsia="仿宋_GB2312"/>
          <w:sz w:val="28"/>
          <w:szCs w:val="28"/>
        </w:rPr>
        <w:t>政策相符性</w:t>
      </w:r>
    </w:p>
    <w:p>
      <w:pPr>
        <w:spacing w:line="500" w:lineRule="exact"/>
        <w:ind w:firstLine="560" w:firstLineChars="200"/>
        <w:contextualSpacing/>
        <w:rPr>
          <w:rFonts w:eastAsia="仿宋_GB2312"/>
          <w:sz w:val="28"/>
          <w:szCs w:val="28"/>
        </w:rPr>
      </w:pPr>
      <w:r>
        <w:rPr>
          <w:rFonts w:eastAsia="仿宋_GB2312"/>
          <w:sz w:val="28"/>
          <w:szCs w:val="28"/>
        </w:rPr>
        <w:t>（1）与《江苏省重点行业挥发性有机物污染控制指南》的相符性</w:t>
      </w:r>
    </w:p>
    <w:p>
      <w:pPr>
        <w:spacing w:line="500" w:lineRule="exact"/>
        <w:ind w:firstLine="560" w:firstLineChars="200"/>
        <w:contextualSpacing/>
        <w:rPr>
          <w:rFonts w:eastAsia="仿宋_GB2312"/>
          <w:sz w:val="28"/>
          <w:szCs w:val="28"/>
        </w:rPr>
      </w:pPr>
      <w:r>
        <w:rPr>
          <w:rFonts w:eastAsia="仿宋_GB2312"/>
          <w:sz w:val="28"/>
          <w:szCs w:val="28"/>
        </w:rPr>
        <w:t>本项目与《江苏省重点行业挥发性有机物污染控制指南》有关内容对照情况见下表。</w:t>
      </w:r>
    </w:p>
    <w:p>
      <w:pPr>
        <w:spacing w:line="500" w:lineRule="exact"/>
        <w:jc w:val="center"/>
        <w:rPr>
          <w:rFonts w:eastAsia="仿宋_GB2312"/>
          <w:b/>
          <w:bCs/>
          <w:sz w:val="24"/>
        </w:rPr>
      </w:pPr>
    </w:p>
    <w:p>
      <w:pPr>
        <w:spacing w:line="500" w:lineRule="exact"/>
        <w:jc w:val="center"/>
        <w:rPr>
          <w:rFonts w:eastAsia="仿宋_GB2312"/>
          <w:b/>
          <w:bCs/>
          <w:sz w:val="24"/>
        </w:rPr>
      </w:pPr>
      <w:r>
        <w:rPr>
          <w:rFonts w:eastAsia="仿宋_GB2312"/>
          <w:b/>
          <w:bCs/>
          <w:sz w:val="24"/>
        </w:rPr>
        <w:t xml:space="preserve">表 </w:t>
      </w:r>
      <w:r>
        <w:rPr>
          <w:rFonts w:hint="eastAsia" w:eastAsia="仿宋_GB2312"/>
          <w:b/>
          <w:bCs/>
          <w:sz w:val="24"/>
        </w:rPr>
        <w:t>2</w:t>
      </w:r>
      <w:r>
        <w:rPr>
          <w:rFonts w:eastAsia="仿宋_GB2312"/>
          <w:b/>
          <w:bCs/>
          <w:sz w:val="24"/>
        </w:rPr>
        <w:t>.</w:t>
      </w:r>
      <w:r>
        <w:rPr>
          <w:rFonts w:hint="eastAsia" w:eastAsia="仿宋_GB2312"/>
          <w:b/>
          <w:bCs/>
          <w:sz w:val="24"/>
        </w:rPr>
        <w:t>7</w:t>
      </w:r>
      <w:r>
        <w:rPr>
          <w:rFonts w:eastAsia="仿宋_GB2312"/>
          <w:b/>
          <w:bCs/>
          <w:sz w:val="24"/>
        </w:rPr>
        <w:noBreakHyphen/>
      </w:r>
      <w:r>
        <w:rPr>
          <w:rFonts w:eastAsia="仿宋_GB2312"/>
          <w:b/>
          <w:bCs/>
          <w:sz w:val="24"/>
        </w:rPr>
        <w:t>1与《江苏省重点行业挥发性有机物污染控制指南》有关内容对照</w:t>
      </w:r>
    </w:p>
    <w:tbl>
      <w:tblPr>
        <w:tblStyle w:val="8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4"/>
        <w:gridCol w:w="3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44" w:type="dxa"/>
            <w:vAlign w:val="center"/>
          </w:tcPr>
          <w:p>
            <w:pPr>
              <w:widowControl/>
              <w:autoSpaceDE w:val="0"/>
              <w:autoSpaceDN w:val="0"/>
              <w:adjustRightInd w:val="0"/>
              <w:snapToGrid w:val="0"/>
              <w:jc w:val="center"/>
              <w:rPr>
                <w:rFonts w:eastAsia="仿宋"/>
                <w:bCs/>
                <w:szCs w:val="21"/>
              </w:rPr>
            </w:pPr>
            <w:r>
              <w:rPr>
                <w:rFonts w:eastAsia="仿宋"/>
                <w:bCs/>
                <w:szCs w:val="21"/>
              </w:rPr>
              <w:t>文件要求</w:t>
            </w:r>
          </w:p>
        </w:tc>
        <w:tc>
          <w:tcPr>
            <w:tcW w:w="3878" w:type="dxa"/>
            <w:vAlign w:val="center"/>
          </w:tcPr>
          <w:p>
            <w:pPr>
              <w:widowControl/>
              <w:autoSpaceDE w:val="0"/>
              <w:autoSpaceDN w:val="0"/>
              <w:adjustRightInd w:val="0"/>
              <w:snapToGrid w:val="0"/>
              <w:jc w:val="center"/>
              <w:rPr>
                <w:rFonts w:eastAsia="仿宋"/>
                <w:bCs/>
                <w:szCs w:val="21"/>
              </w:rPr>
            </w:pPr>
            <w:r>
              <w:rPr>
                <w:rFonts w:eastAsia="仿宋"/>
                <w:bCs/>
                <w:szCs w:val="21"/>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44" w:type="dxa"/>
            <w:vAlign w:val="center"/>
          </w:tcPr>
          <w:p>
            <w:pPr>
              <w:widowControl/>
              <w:autoSpaceDE w:val="0"/>
              <w:autoSpaceDN w:val="0"/>
              <w:adjustRightInd w:val="0"/>
              <w:snapToGrid w:val="0"/>
              <w:jc w:val="center"/>
              <w:rPr>
                <w:rFonts w:eastAsia="仿宋"/>
                <w:bCs/>
                <w:szCs w:val="21"/>
              </w:rPr>
            </w:pPr>
            <w:r>
              <w:rPr>
                <w:rFonts w:eastAsia="仿宋"/>
                <w:bCs/>
                <w:szCs w:val="21"/>
              </w:rPr>
              <w:t>鼓励对排放的VOCs 进行回收利用，并优先在生产系统内回用。对浓度、性状差异较大的废气应分类收集，并采用适宜的方式进行有效处理， 确保VOCs 总去除率满足管理要求，其中有机化工、医药化工、橡胶和塑料制品（有溶剂浸胶工艺）、溶剂型涂料表面涂装、包装印刷业的VOCs 总收集、净化处理率均不低于90%，其他行业原则上不低于75% 。</w:t>
            </w:r>
          </w:p>
        </w:tc>
        <w:tc>
          <w:tcPr>
            <w:tcW w:w="3878" w:type="dxa"/>
            <w:vAlign w:val="center"/>
          </w:tcPr>
          <w:p>
            <w:pPr>
              <w:widowControl/>
              <w:autoSpaceDE w:val="0"/>
              <w:autoSpaceDN w:val="0"/>
              <w:adjustRightInd w:val="0"/>
              <w:snapToGrid w:val="0"/>
              <w:jc w:val="center"/>
              <w:rPr>
                <w:rFonts w:eastAsia="仿宋"/>
                <w:bCs/>
                <w:szCs w:val="21"/>
              </w:rPr>
            </w:pPr>
            <w:r>
              <w:rPr>
                <w:rFonts w:eastAsia="仿宋"/>
                <w:bCs/>
                <w:szCs w:val="21"/>
              </w:rPr>
              <w:t>本项目配胶</w:t>
            </w:r>
            <w:r>
              <w:rPr>
                <w:rFonts w:hint="eastAsia" w:eastAsia="仿宋"/>
                <w:bCs/>
                <w:szCs w:val="21"/>
              </w:rPr>
              <w:t>、</w:t>
            </w:r>
            <w:r>
              <w:rPr>
                <w:rFonts w:eastAsia="仿宋"/>
                <w:bCs/>
                <w:szCs w:val="21"/>
              </w:rPr>
              <w:t>涂布干燥</w:t>
            </w:r>
            <w:r>
              <w:rPr>
                <w:rFonts w:hint="eastAsia" w:eastAsia="仿宋"/>
                <w:bCs/>
                <w:szCs w:val="21"/>
              </w:rPr>
              <w:t>及</w:t>
            </w:r>
            <w:r>
              <w:rPr>
                <w:rFonts w:eastAsia="仿宋"/>
                <w:bCs/>
                <w:szCs w:val="21"/>
              </w:rPr>
              <w:t>清洗产生的有机物经</w:t>
            </w:r>
            <w:r>
              <w:rPr>
                <w:rFonts w:hint="eastAsia" w:eastAsia="仿宋"/>
                <w:bCs/>
                <w:szCs w:val="21"/>
              </w:rPr>
              <w:t>RTO设备</w:t>
            </w:r>
            <w:r>
              <w:rPr>
                <w:rFonts w:eastAsia="仿宋"/>
                <w:bCs/>
                <w:szCs w:val="21"/>
              </w:rPr>
              <w:t>处理后排放，净化效率</w:t>
            </w:r>
            <w:r>
              <w:rPr>
                <w:rFonts w:hint="eastAsia" w:eastAsia="仿宋"/>
                <w:bCs/>
                <w:szCs w:val="21"/>
              </w:rPr>
              <w:t>为99.5</w:t>
            </w:r>
            <w:r>
              <w:rPr>
                <w:rFonts w:eastAsia="仿宋"/>
                <w:bCs/>
                <w:szCs w:val="21"/>
              </w:rPr>
              <w:t>%，与污染控制指南相符。</w:t>
            </w:r>
          </w:p>
        </w:tc>
      </w:tr>
    </w:tbl>
    <w:p>
      <w:pPr>
        <w:spacing w:line="500" w:lineRule="exact"/>
        <w:ind w:left="426"/>
        <w:rPr>
          <w:rFonts w:eastAsia="仿宋_GB2312"/>
          <w:sz w:val="28"/>
          <w:szCs w:val="28"/>
        </w:rPr>
      </w:pPr>
      <w:r>
        <w:rPr>
          <w:rFonts w:eastAsia="仿宋_GB2312"/>
          <w:sz w:val="28"/>
          <w:szCs w:val="28"/>
        </w:rPr>
        <w:t>（2）与</w:t>
      </w:r>
      <w:r>
        <w:rPr>
          <w:rFonts w:eastAsia="仿宋_GB2312"/>
          <w:bCs/>
          <w:sz w:val="28"/>
          <w:szCs w:val="28"/>
        </w:rPr>
        <w:t>苏大气办〔2012〕2号</w:t>
      </w:r>
      <w:r>
        <w:rPr>
          <w:rFonts w:eastAsia="仿宋_GB2312"/>
          <w:sz w:val="28"/>
          <w:szCs w:val="28"/>
        </w:rPr>
        <w:t>的相符性</w:t>
      </w:r>
    </w:p>
    <w:p>
      <w:pPr>
        <w:spacing w:line="500" w:lineRule="exact"/>
        <w:ind w:firstLine="560" w:firstLineChars="200"/>
        <w:contextualSpacing/>
        <w:rPr>
          <w:rFonts w:eastAsia="仿宋_GB2312"/>
          <w:sz w:val="28"/>
          <w:szCs w:val="28"/>
        </w:rPr>
      </w:pPr>
      <w:r>
        <w:rPr>
          <w:rFonts w:eastAsia="仿宋_GB2312"/>
          <w:sz w:val="28"/>
          <w:szCs w:val="28"/>
        </w:rPr>
        <w:t>本项目与《关于印发开展挥发性有机物污染防治工作指导意见的通知》（苏大气办〔2012〕2号）有关内容对照情况见下表。</w:t>
      </w:r>
    </w:p>
    <w:p>
      <w:pPr>
        <w:spacing w:line="500" w:lineRule="exact"/>
        <w:jc w:val="center"/>
        <w:rPr>
          <w:rFonts w:eastAsia="仿宋_GB2312"/>
          <w:b/>
          <w:bCs/>
          <w:sz w:val="24"/>
        </w:rPr>
      </w:pPr>
      <w:bookmarkStart w:id="195" w:name="OLE_LINK301"/>
      <w:bookmarkEnd w:id="195"/>
      <w:r>
        <w:rPr>
          <w:rFonts w:eastAsia="仿宋_GB2312"/>
          <w:b/>
          <w:bCs/>
          <w:sz w:val="24"/>
        </w:rPr>
        <w:t xml:space="preserve">表 </w:t>
      </w:r>
      <w:r>
        <w:rPr>
          <w:rFonts w:hint="eastAsia" w:eastAsia="仿宋_GB2312"/>
          <w:b/>
          <w:bCs/>
          <w:sz w:val="24"/>
        </w:rPr>
        <w:t>2</w:t>
      </w:r>
      <w:r>
        <w:rPr>
          <w:rFonts w:eastAsia="仿宋_GB2312"/>
          <w:b/>
          <w:bCs/>
          <w:sz w:val="24"/>
        </w:rPr>
        <w:t>.</w:t>
      </w:r>
      <w:r>
        <w:rPr>
          <w:rFonts w:hint="eastAsia" w:eastAsia="仿宋_GB2312"/>
          <w:b/>
          <w:bCs/>
          <w:sz w:val="24"/>
        </w:rPr>
        <w:t>7</w:t>
      </w:r>
      <w:r>
        <w:rPr>
          <w:rFonts w:eastAsia="仿宋_GB2312"/>
          <w:b/>
          <w:bCs/>
          <w:sz w:val="24"/>
        </w:rPr>
        <w:noBreakHyphen/>
      </w:r>
      <w:r>
        <w:rPr>
          <w:rFonts w:eastAsia="仿宋_GB2312"/>
          <w:b/>
          <w:bCs/>
          <w:sz w:val="24"/>
        </w:rPr>
        <w:t>2 与苏大气办〔2012〕2号对照分析</w:t>
      </w:r>
    </w:p>
    <w:tbl>
      <w:tblPr>
        <w:tblStyle w:val="8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4818"/>
        <w:gridCol w:w="26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01" w:type="dxa"/>
            <w:vAlign w:val="center"/>
          </w:tcPr>
          <w:p>
            <w:pPr>
              <w:widowControl/>
              <w:autoSpaceDE w:val="0"/>
              <w:autoSpaceDN w:val="0"/>
              <w:adjustRightInd w:val="0"/>
              <w:snapToGrid w:val="0"/>
              <w:jc w:val="center"/>
              <w:rPr>
                <w:rFonts w:eastAsia="仿宋"/>
                <w:bCs/>
                <w:szCs w:val="21"/>
              </w:rPr>
            </w:pPr>
            <w:r>
              <w:rPr>
                <w:rFonts w:eastAsia="仿宋"/>
                <w:bCs/>
                <w:szCs w:val="21"/>
              </w:rPr>
              <w:t>类别</w:t>
            </w:r>
          </w:p>
        </w:tc>
        <w:tc>
          <w:tcPr>
            <w:tcW w:w="4818" w:type="dxa"/>
            <w:vAlign w:val="center"/>
          </w:tcPr>
          <w:p>
            <w:pPr>
              <w:widowControl/>
              <w:autoSpaceDE w:val="0"/>
              <w:autoSpaceDN w:val="0"/>
              <w:adjustRightInd w:val="0"/>
              <w:snapToGrid w:val="0"/>
              <w:jc w:val="center"/>
              <w:rPr>
                <w:rFonts w:eastAsia="仿宋"/>
                <w:bCs/>
                <w:szCs w:val="21"/>
              </w:rPr>
            </w:pPr>
            <w:r>
              <w:rPr>
                <w:rFonts w:eastAsia="仿宋"/>
                <w:bCs/>
                <w:szCs w:val="21"/>
              </w:rPr>
              <w:t>文件要求</w:t>
            </w:r>
          </w:p>
        </w:tc>
        <w:tc>
          <w:tcPr>
            <w:tcW w:w="2603" w:type="dxa"/>
            <w:vAlign w:val="center"/>
          </w:tcPr>
          <w:p>
            <w:pPr>
              <w:widowControl/>
              <w:autoSpaceDE w:val="0"/>
              <w:autoSpaceDN w:val="0"/>
              <w:adjustRightInd w:val="0"/>
              <w:snapToGrid w:val="0"/>
              <w:jc w:val="center"/>
              <w:rPr>
                <w:rFonts w:eastAsia="仿宋"/>
                <w:bCs/>
                <w:szCs w:val="21"/>
              </w:rPr>
            </w:pPr>
            <w:r>
              <w:rPr>
                <w:rFonts w:eastAsia="仿宋"/>
                <w:bCs/>
                <w:szCs w:val="21"/>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01" w:type="dxa"/>
            <w:vAlign w:val="center"/>
          </w:tcPr>
          <w:p>
            <w:pPr>
              <w:widowControl/>
              <w:autoSpaceDE w:val="0"/>
              <w:autoSpaceDN w:val="0"/>
              <w:adjustRightInd w:val="0"/>
              <w:snapToGrid w:val="0"/>
              <w:jc w:val="center"/>
              <w:rPr>
                <w:rFonts w:eastAsia="仿宋"/>
                <w:bCs/>
                <w:szCs w:val="21"/>
              </w:rPr>
            </w:pPr>
            <w:r>
              <w:rPr>
                <w:rFonts w:eastAsia="仿宋"/>
                <w:bCs/>
                <w:szCs w:val="21"/>
              </w:rPr>
              <w:t>严格建设项目环境准入</w:t>
            </w:r>
          </w:p>
        </w:tc>
        <w:tc>
          <w:tcPr>
            <w:tcW w:w="4818" w:type="dxa"/>
            <w:vAlign w:val="center"/>
          </w:tcPr>
          <w:p>
            <w:pPr>
              <w:widowControl/>
              <w:autoSpaceDE w:val="0"/>
              <w:autoSpaceDN w:val="0"/>
              <w:adjustRightInd w:val="0"/>
              <w:snapToGrid w:val="0"/>
              <w:jc w:val="left"/>
              <w:rPr>
                <w:rFonts w:eastAsia="仿宋"/>
                <w:bCs/>
                <w:szCs w:val="21"/>
              </w:rPr>
            </w:pPr>
            <w:r>
              <w:rPr>
                <w:rFonts w:eastAsia="仿宋"/>
                <w:bCs/>
                <w:szCs w:val="21"/>
              </w:rPr>
              <w:t>挥发性有机物污染控制作为建设项目环境影响评价的重要内容，应采取严格的污染控制措施。对新、改、扩建项目排放挥发性有机物的车间有机废气的收集率应大于90%，安装废气回收/净化装置；同时，应加强表面涂装工艺挥发性有机物排放控制，对使用溶剂型涂料的表面涂装工序必须密闭作业，配备有机废气收集系统，安装高效回收净化设施，有机废气净化率达到90%以上。</w:t>
            </w:r>
          </w:p>
        </w:tc>
        <w:tc>
          <w:tcPr>
            <w:tcW w:w="2603" w:type="dxa"/>
            <w:vAlign w:val="center"/>
          </w:tcPr>
          <w:p>
            <w:pPr>
              <w:widowControl/>
              <w:autoSpaceDE w:val="0"/>
              <w:autoSpaceDN w:val="0"/>
              <w:adjustRightInd w:val="0"/>
              <w:snapToGrid w:val="0"/>
              <w:jc w:val="left"/>
              <w:rPr>
                <w:rFonts w:eastAsia="仿宋"/>
                <w:bCs/>
                <w:szCs w:val="21"/>
              </w:rPr>
            </w:pPr>
            <w:r>
              <w:rPr>
                <w:rFonts w:eastAsia="仿宋"/>
                <w:bCs/>
                <w:szCs w:val="21"/>
              </w:rPr>
              <w:t>本项目配胶</w:t>
            </w:r>
            <w:r>
              <w:rPr>
                <w:rFonts w:hint="eastAsia" w:eastAsia="仿宋"/>
                <w:bCs/>
                <w:szCs w:val="21"/>
              </w:rPr>
              <w:t>、</w:t>
            </w:r>
            <w:r>
              <w:rPr>
                <w:rFonts w:eastAsia="仿宋"/>
                <w:bCs/>
                <w:szCs w:val="21"/>
              </w:rPr>
              <w:t>涂布干燥</w:t>
            </w:r>
            <w:r>
              <w:rPr>
                <w:rFonts w:hint="eastAsia" w:eastAsia="仿宋"/>
                <w:bCs/>
                <w:szCs w:val="21"/>
              </w:rPr>
              <w:t>及</w:t>
            </w:r>
            <w:r>
              <w:rPr>
                <w:rFonts w:eastAsia="仿宋"/>
                <w:bCs/>
                <w:szCs w:val="21"/>
              </w:rPr>
              <w:t>清洗产生的有机物经</w:t>
            </w:r>
            <w:r>
              <w:rPr>
                <w:rFonts w:hint="eastAsia" w:eastAsia="仿宋"/>
                <w:bCs/>
                <w:szCs w:val="21"/>
              </w:rPr>
              <w:t>RTO设备</w:t>
            </w:r>
            <w:r>
              <w:rPr>
                <w:rFonts w:eastAsia="仿宋"/>
                <w:bCs/>
                <w:szCs w:val="21"/>
              </w:rPr>
              <w:t>处理后排放</w:t>
            </w:r>
            <w:r>
              <w:rPr>
                <w:rFonts w:hint="eastAsia" w:eastAsia="仿宋"/>
                <w:bCs/>
                <w:szCs w:val="21"/>
              </w:rPr>
              <w:t>，</w:t>
            </w:r>
            <w:r>
              <w:rPr>
                <w:rFonts w:eastAsia="仿宋"/>
                <w:bCs/>
                <w:szCs w:val="21"/>
              </w:rPr>
              <w:t>净化效率</w:t>
            </w:r>
            <w:r>
              <w:rPr>
                <w:rFonts w:hint="eastAsia" w:eastAsia="仿宋"/>
                <w:bCs/>
                <w:szCs w:val="21"/>
              </w:rPr>
              <w:t>为99.5</w:t>
            </w:r>
            <w:r>
              <w:rPr>
                <w:rFonts w:eastAsia="仿宋"/>
                <w:bCs/>
                <w:szCs w:val="21"/>
              </w:rPr>
              <w:t>%，与污染控制指南相符。</w:t>
            </w:r>
          </w:p>
        </w:tc>
      </w:tr>
    </w:tbl>
    <w:p>
      <w:pPr>
        <w:spacing w:line="500" w:lineRule="exact"/>
        <w:ind w:left="426"/>
        <w:rPr>
          <w:rFonts w:eastAsia="仿宋_GB2312"/>
          <w:sz w:val="28"/>
          <w:szCs w:val="28"/>
        </w:rPr>
      </w:pPr>
      <w:r>
        <w:rPr>
          <w:rFonts w:eastAsia="仿宋_GB2312"/>
          <w:sz w:val="28"/>
          <w:szCs w:val="28"/>
        </w:rPr>
        <w:t>由上表可知，本项目符合</w:t>
      </w:r>
      <w:r>
        <w:rPr>
          <w:rFonts w:eastAsia="仿宋_GB2312"/>
          <w:bCs/>
          <w:sz w:val="28"/>
          <w:szCs w:val="28"/>
        </w:rPr>
        <w:t>苏大气办〔2012〕2号</w:t>
      </w:r>
      <w:r>
        <w:rPr>
          <w:rFonts w:eastAsia="仿宋_GB2312"/>
          <w:sz w:val="28"/>
          <w:szCs w:val="28"/>
        </w:rPr>
        <w:t>的规定。</w:t>
      </w:r>
    </w:p>
    <w:p>
      <w:pPr>
        <w:spacing w:line="500" w:lineRule="exact"/>
        <w:ind w:left="426"/>
        <w:rPr>
          <w:rFonts w:eastAsia="仿宋_GB2312"/>
          <w:sz w:val="28"/>
          <w:szCs w:val="28"/>
        </w:rPr>
      </w:pPr>
      <w:r>
        <w:rPr>
          <w:rFonts w:eastAsia="仿宋_GB2312"/>
          <w:sz w:val="28"/>
          <w:szCs w:val="28"/>
        </w:rPr>
        <w:t>（3）与苏发[2018]24号文的相符性分析</w:t>
      </w:r>
    </w:p>
    <w:p>
      <w:pPr>
        <w:spacing w:line="500" w:lineRule="exact"/>
        <w:ind w:firstLine="560" w:firstLineChars="200"/>
        <w:contextualSpacing/>
        <w:rPr>
          <w:rFonts w:eastAsia="仿宋_GB2312"/>
          <w:sz w:val="28"/>
          <w:szCs w:val="28"/>
        </w:rPr>
      </w:pPr>
      <w:r>
        <w:rPr>
          <w:rFonts w:eastAsia="仿宋_GB2312"/>
          <w:sz w:val="28"/>
          <w:szCs w:val="28"/>
        </w:rPr>
        <w:t>本项目与《中共江苏省委江苏省人民政府关于全面加强生态环境保护坚决打好污染防治攻坚战的实施意见》（苏发[2018]24号）有关内容对照情况见下表。</w:t>
      </w:r>
    </w:p>
    <w:p>
      <w:pPr>
        <w:spacing w:line="500" w:lineRule="exact"/>
        <w:jc w:val="center"/>
        <w:rPr>
          <w:rFonts w:eastAsia="仿宋_GB2312"/>
          <w:b/>
          <w:bCs/>
          <w:sz w:val="24"/>
        </w:rPr>
      </w:pPr>
      <w:r>
        <w:rPr>
          <w:rFonts w:eastAsia="仿宋_GB2312"/>
          <w:b/>
          <w:bCs/>
          <w:sz w:val="24"/>
        </w:rPr>
        <w:t xml:space="preserve">表 </w:t>
      </w:r>
      <w:r>
        <w:rPr>
          <w:rFonts w:hint="eastAsia" w:eastAsia="仿宋_GB2312"/>
          <w:b/>
          <w:bCs/>
          <w:sz w:val="24"/>
        </w:rPr>
        <w:t>2</w:t>
      </w:r>
      <w:r>
        <w:rPr>
          <w:rFonts w:eastAsia="仿宋_GB2312"/>
          <w:b/>
          <w:bCs/>
          <w:sz w:val="24"/>
        </w:rPr>
        <w:t>.</w:t>
      </w:r>
      <w:r>
        <w:rPr>
          <w:rFonts w:hint="eastAsia" w:eastAsia="仿宋_GB2312"/>
          <w:b/>
          <w:bCs/>
          <w:sz w:val="24"/>
        </w:rPr>
        <w:t>7</w:t>
      </w:r>
      <w:r>
        <w:rPr>
          <w:rFonts w:eastAsia="仿宋_GB2312"/>
          <w:b/>
          <w:bCs/>
          <w:sz w:val="24"/>
        </w:rPr>
        <w:noBreakHyphen/>
      </w:r>
      <w:r>
        <w:rPr>
          <w:rFonts w:eastAsia="仿宋_GB2312"/>
          <w:b/>
          <w:bCs/>
          <w:sz w:val="24"/>
        </w:rPr>
        <w:t>3 与苏发[2018]24号对照分析</w:t>
      </w:r>
    </w:p>
    <w:tbl>
      <w:tblPr>
        <w:tblStyle w:val="8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2834"/>
        <w:gridCol w:w="4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01" w:type="dxa"/>
            <w:vAlign w:val="center"/>
          </w:tcPr>
          <w:p>
            <w:pPr>
              <w:widowControl/>
              <w:autoSpaceDE w:val="0"/>
              <w:autoSpaceDN w:val="0"/>
              <w:adjustRightInd w:val="0"/>
              <w:snapToGrid w:val="0"/>
              <w:jc w:val="center"/>
              <w:rPr>
                <w:rFonts w:eastAsia="仿宋"/>
                <w:bCs/>
                <w:szCs w:val="21"/>
              </w:rPr>
            </w:pPr>
            <w:r>
              <w:rPr>
                <w:rFonts w:eastAsia="仿宋"/>
                <w:bCs/>
                <w:szCs w:val="21"/>
              </w:rPr>
              <w:t>类别</w:t>
            </w:r>
          </w:p>
        </w:tc>
        <w:tc>
          <w:tcPr>
            <w:tcW w:w="2834" w:type="dxa"/>
            <w:vAlign w:val="center"/>
          </w:tcPr>
          <w:p>
            <w:pPr>
              <w:widowControl/>
              <w:autoSpaceDE w:val="0"/>
              <w:autoSpaceDN w:val="0"/>
              <w:adjustRightInd w:val="0"/>
              <w:snapToGrid w:val="0"/>
              <w:jc w:val="center"/>
              <w:rPr>
                <w:rFonts w:eastAsia="仿宋"/>
                <w:bCs/>
                <w:szCs w:val="21"/>
              </w:rPr>
            </w:pPr>
            <w:r>
              <w:rPr>
                <w:rFonts w:eastAsia="仿宋"/>
                <w:bCs/>
                <w:szCs w:val="21"/>
              </w:rPr>
              <w:t>苏发[2018]24号文要求</w:t>
            </w:r>
          </w:p>
        </w:tc>
        <w:tc>
          <w:tcPr>
            <w:tcW w:w="4587" w:type="dxa"/>
            <w:vAlign w:val="center"/>
          </w:tcPr>
          <w:p>
            <w:pPr>
              <w:widowControl/>
              <w:autoSpaceDE w:val="0"/>
              <w:autoSpaceDN w:val="0"/>
              <w:adjustRightInd w:val="0"/>
              <w:snapToGrid w:val="0"/>
              <w:jc w:val="center"/>
              <w:rPr>
                <w:rFonts w:eastAsia="仿宋"/>
                <w:bCs/>
                <w:szCs w:val="21"/>
              </w:rPr>
            </w:pPr>
            <w:r>
              <w:rPr>
                <w:rFonts w:eastAsia="仿宋"/>
                <w:bCs/>
                <w:szCs w:val="21"/>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01" w:type="dxa"/>
            <w:vAlign w:val="center"/>
          </w:tcPr>
          <w:p>
            <w:pPr>
              <w:widowControl/>
              <w:autoSpaceDE w:val="0"/>
              <w:autoSpaceDN w:val="0"/>
              <w:adjustRightInd w:val="0"/>
              <w:snapToGrid w:val="0"/>
              <w:jc w:val="center"/>
              <w:rPr>
                <w:rFonts w:eastAsia="仿宋"/>
                <w:bCs/>
                <w:szCs w:val="21"/>
              </w:rPr>
            </w:pPr>
            <w:r>
              <w:rPr>
                <w:rFonts w:eastAsia="仿宋"/>
                <w:bCs/>
                <w:szCs w:val="21"/>
              </w:rPr>
              <w:t>深度治理工业大气污染</w:t>
            </w:r>
          </w:p>
        </w:tc>
        <w:tc>
          <w:tcPr>
            <w:tcW w:w="2834" w:type="dxa"/>
            <w:vAlign w:val="center"/>
          </w:tcPr>
          <w:p>
            <w:pPr>
              <w:widowControl/>
              <w:autoSpaceDE w:val="0"/>
              <w:autoSpaceDN w:val="0"/>
              <w:adjustRightInd w:val="0"/>
              <w:snapToGrid w:val="0"/>
              <w:jc w:val="center"/>
              <w:rPr>
                <w:rFonts w:eastAsia="仿宋"/>
                <w:bCs/>
                <w:szCs w:val="21"/>
              </w:rPr>
            </w:pPr>
            <w:r>
              <w:rPr>
                <w:rFonts w:eastAsia="仿宋"/>
                <w:bCs/>
                <w:szCs w:val="21"/>
              </w:rPr>
              <w:t>强化工业污染全过程控制，实现全行业全要素达标排放</w:t>
            </w:r>
          </w:p>
        </w:tc>
        <w:tc>
          <w:tcPr>
            <w:tcW w:w="4587" w:type="dxa"/>
            <w:vAlign w:val="center"/>
          </w:tcPr>
          <w:p>
            <w:pPr>
              <w:widowControl/>
              <w:autoSpaceDE w:val="0"/>
              <w:autoSpaceDN w:val="0"/>
              <w:adjustRightInd w:val="0"/>
              <w:snapToGrid w:val="0"/>
              <w:jc w:val="center"/>
              <w:rPr>
                <w:rFonts w:eastAsia="仿宋"/>
                <w:bCs/>
                <w:szCs w:val="21"/>
              </w:rPr>
            </w:pPr>
            <w:r>
              <w:rPr>
                <w:rFonts w:eastAsia="仿宋"/>
                <w:bCs/>
                <w:szCs w:val="21"/>
              </w:rPr>
              <w:t>本项目生产过程中充分考虑污染的控制及污染物的收集，生产过程中产生的废气经RTO设备处理后通过排气筒达标排放；厂内生活污水达标接管至金坛第二污水处理厂集中处理；危险废物委托有资质单位处置，生活垃圾由环卫部门定期收集清运。因此，符合文件要求。</w:t>
            </w:r>
          </w:p>
        </w:tc>
      </w:tr>
    </w:tbl>
    <w:p>
      <w:pPr>
        <w:spacing w:line="500" w:lineRule="exact"/>
        <w:ind w:left="426"/>
        <w:rPr>
          <w:rFonts w:eastAsia="仿宋_GB2312"/>
          <w:sz w:val="28"/>
          <w:szCs w:val="28"/>
        </w:rPr>
      </w:pPr>
      <w:r>
        <w:rPr>
          <w:rFonts w:eastAsia="仿宋_GB2312"/>
          <w:sz w:val="28"/>
          <w:szCs w:val="28"/>
        </w:rPr>
        <w:t>由上表可知，本项目符合苏发[2018]24号文的相关要求。</w:t>
      </w:r>
    </w:p>
    <w:p>
      <w:pPr>
        <w:spacing w:line="500" w:lineRule="exact"/>
        <w:ind w:firstLine="560" w:firstLineChars="200"/>
        <w:contextualSpacing/>
        <w:rPr>
          <w:rFonts w:eastAsia="仿宋_GB2312"/>
          <w:sz w:val="28"/>
          <w:szCs w:val="28"/>
        </w:rPr>
      </w:pPr>
      <w:r>
        <w:rPr>
          <w:rFonts w:hint="eastAsia" w:eastAsia="仿宋_GB2312"/>
          <w:sz w:val="28"/>
          <w:szCs w:val="28"/>
        </w:rPr>
        <w:t>（</w:t>
      </w:r>
      <w:r>
        <w:rPr>
          <w:rFonts w:eastAsia="仿宋_GB2312"/>
          <w:sz w:val="28"/>
          <w:szCs w:val="28"/>
        </w:rPr>
        <w:t>4</w:t>
      </w:r>
      <w:r>
        <w:rPr>
          <w:rFonts w:hint="eastAsia" w:eastAsia="仿宋_GB2312"/>
          <w:sz w:val="28"/>
          <w:szCs w:val="28"/>
        </w:rPr>
        <w:t>）与《中共中央国务院关于深入打好污染防治攻坚战的意见》（2021年11月2日）相符性</w:t>
      </w:r>
    </w:p>
    <w:p>
      <w:pPr>
        <w:tabs>
          <w:tab w:val="left" w:pos="2880"/>
        </w:tabs>
        <w:autoSpaceDE w:val="0"/>
        <w:autoSpaceDN w:val="0"/>
        <w:spacing w:line="500" w:lineRule="exact"/>
        <w:ind w:left="426"/>
        <w:jc w:val="center"/>
        <w:rPr>
          <w:rFonts w:eastAsia="仿宋_GB2312"/>
          <w:b/>
          <w:sz w:val="24"/>
        </w:rPr>
      </w:pPr>
      <w:r>
        <w:rPr>
          <w:rFonts w:hint="eastAsia" w:eastAsia="仿宋_GB2312"/>
          <w:b/>
          <w:sz w:val="24"/>
        </w:rPr>
        <w:t>表2.7</w:t>
      </w:r>
      <w:r>
        <w:rPr>
          <w:rFonts w:eastAsia="仿宋_GB2312"/>
          <w:b/>
          <w:sz w:val="24"/>
        </w:rPr>
        <w:t xml:space="preserve">-4  </w:t>
      </w:r>
      <w:r>
        <w:rPr>
          <w:rFonts w:hint="eastAsia" w:eastAsia="仿宋_GB2312"/>
          <w:b/>
          <w:sz w:val="24"/>
        </w:rPr>
        <w:t>与《中共中央国务院关于深入打好污染防治攻坚战的意见》相符性分析</w:t>
      </w:r>
    </w:p>
    <w:tbl>
      <w:tblPr>
        <w:tblStyle w:val="8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3246"/>
        <w:gridCol w:w="4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2" w:type="pct"/>
            <w:shd w:val="clear" w:color="auto" w:fill="auto"/>
            <w:vAlign w:val="center"/>
          </w:tcPr>
          <w:p>
            <w:pPr>
              <w:widowControl/>
              <w:autoSpaceDE w:val="0"/>
              <w:autoSpaceDN w:val="0"/>
              <w:adjustRightInd w:val="0"/>
              <w:snapToGrid w:val="0"/>
              <w:jc w:val="center"/>
              <w:rPr>
                <w:rFonts w:eastAsia="仿宋"/>
                <w:bCs/>
                <w:szCs w:val="21"/>
              </w:rPr>
            </w:pPr>
            <w:r>
              <w:rPr>
                <w:rFonts w:eastAsia="仿宋"/>
                <w:bCs/>
                <w:szCs w:val="21"/>
              </w:rPr>
              <w:t>类别</w:t>
            </w:r>
          </w:p>
        </w:tc>
        <w:tc>
          <w:tcPr>
            <w:tcW w:w="1756" w:type="pct"/>
            <w:shd w:val="clear" w:color="auto" w:fill="auto"/>
            <w:vAlign w:val="center"/>
          </w:tcPr>
          <w:p>
            <w:pPr>
              <w:widowControl/>
              <w:autoSpaceDE w:val="0"/>
              <w:autoSpaceDN w:val="0"/>
              <w:adjustRightInd w:val="0"/>
              <w:snapToGrid w:val="0"/>
              <w:jc w:val="center"/>
              <w:rPr>
                <w:rFonts w:eastAsia="仿宋"/>
                <w:bCs/>
                <w:szCs w:val="21"/>
              </w:rPr>
            </w:pPr>
            <w:r>
              <w:rPr>
                <w:rFonts w:eastAsia="仿宋"/>
                <w:bCs/>
                <w:szCs w:val="21"/>
              </w:rPr>
              <w:t>文件要求</w:t>
            </w:r>
          </w:p>
        </w:tc>
        <w:tc>
          <w:tcPr>
            <w:tcW w:w="2572" w:type="pct"/>
            <w:shd w:val="clear" w:color="auto" w:fill="auto"/>
            <w:vAlign w:val="center"/>
          </w:tcPr>
          <w:p>
            <w:pPr>
              <w:widowControl/>
              <w:autoSpaceDE w:val="0"/>
              <w:autoSpaceDN w:val="0"/>
              <w:adjustRightInd w:val="0"/>
              <w:snapToGrid w:val="0"/>
              <w:jc w:val="center"/>
              <w:rPr>
                <w:rFonts w:eastAsia="仿宋"/>
                <w:bCs/>
                <w:szCs w:val="21"/>
              </w:rPr>
            </w:pPr>
            <w:r>
              <w:rPr>
                <w:rFonts w:eastAsia="仿宋"/>
                <w:bCs/>
                <w:szCs w:val="21"/>
              </w:rPr>
              <w:t>对照分析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2" w:type="pct"/>
            <w:vMerge w:val="restart"/>
            <w:shd w:val="clear" w:color="auto" w:fill="auto"/>
            <w:vAlign w:val="center"/>
          </w:tcPr>
          <w:p>
            <w:pPr>
              <w:widowControl/>
              <w:autoSpaceDE w:val="0"/>
              <w:autoSpaceDN w:val="0"/>
              <w:adjustRightInd w:val="0"/>
              <w:snapToGrid w:val="0"/>
              <w:jc w:val="center"/>
              <w:rPr>
                <w:rFonts w:eastAsia="仿宋"/>
                <w:bCs/>
                <w:szCs w:val="21"/>
              </w:rPr>
            </w:pPr>
            <w:r>
              <w:rPr>
                <w:rFonts w:eastAsia="仿宋"/>
                <w:bCs/>
                <w:szCs w:val="21"/>
              </w:rPr>
              <w:t>二、加快推动绿色低碳发展</w:t>
            </w:r>
          </w:p>
        </w:tc>
        <w:tc>
          <w:tcPr>
            <w:tcW w:w="1756" w:type="pct"/>
            <w:shd w:val="clear" w:color="auto" w:fill="auto"/>
            <w:vAlign w:val="center"/>
          </w:tcPr>
          <w:p>
            <w:pPr>
              <w:widowControl/>
              <w:autoSpaceDE w:val="0"/>
              <w:autoSpaceDN w:val="0"/>
              <w:adjustRightInd w:val="0"/>
              <w:snapToGrid w:val="0"/>
              <w:jc w:val="center"/>
              <w:rPr>
                <w:rFonts w:eastAsia="仿宋"/>
                <w:bCs/>
                <w:szCs w:val="21"/>
              </w:rPr>
            </w:pPr>
            <w:r>
              <w:rPr>
                <w:rFonts w:eastAsia="仿宋"/>
                <w:bCs/>
                <w:szCs w:val="21"/>
              </w:rPr>
              <w:t>（七）坚决遏制高耗能高排放项目盲目发展。严把高耗能排放项目准入关口，严格落实污染物排放区域削减要求，对不符合规定的项目坚决停批停建设……煤化工产能，合理控制煤制油气产能规模，严控新增炼油产能。</w:t>
            </w:r>
          </w:p>
        </w:tc>
        <w:tc>
          <w:tcPr>
            <w:tcW w:w="2572" w:type="pct"/>
            <w:shd w:val="clear" w:color="auto" w:fill="auto"/>
            <w:vAlign w:val="center"/>
          </w:tcPr>
          <w:p>
            <w:pPr>
              <w:widowControl/>
              <w:autoSpaceDE w:val="0"/>
              <w:autoSpaceDN w:val="0"/>
              <w:adjustRightInd w:val="0"/>
              <w:snapToGrid w:val="0"/>
              <w:jc w:val="center"/>
              <w:rPr>
                <w:rFonts w:eastAsia="仿宋"/>
                <w:bCs/>
                <w:szCs w:val="21"/>
              </w:rPr>
            </w:pPr>
            <w:r>
              <w:rPr>
                <w:rFonts w:eastAsia="仿宋"/>
                <w:bCs/>
                <w:szCs w:val="21"/>
              </w:rPr>
              <w:t>本项目使用电能及</w:t>
            </w:r>
            <w:r>
              <w:rPr>
                <w:rFonts w:hint="eastAsia" w:eastAsia="仿宋"/>
                <w:bCs/>
                <w:szCs w:val="21"/>
              </w:rPr>
              <w:t>天然气</w:t>
            </w:r>
            <w:r>
              <w:rPr>
                <w:rFonts w:eastAsia="仿宋"/>
                <w:bCs/>
                <w:szCs w:val="21"/>
              </w:rPr>
              <w:t>，不属于高耗能高排放项目，本项目废气经收集处理后排放量较小；本项目运营期产生的废水接管</w:t>
            </w:r>
            <w:r>
              <w:rPr>
                <w:rFonts w:hint="eastAsia" w:eastAsia="仿宋"/>
                <w:bCs/>
                <w:szCs w:val="21"/>
              </w:rPr>
              <w:t>进金坛第二</w:t>
            </w:r>
            <w:r>
              <w:rPr>
                <w:rFonts w:eastAsia="仿宋"/>
                <w:bCs/>
                <w:szCs w:val="21"/>
              </w:rPr>
              <w:t>污水处理厂处理；固废处理处置率100%。本项目废气污染物需申请总量指标，但可在区域内平衡，因此与要求相符。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2" w:type="pct"/>
            <w:vMerge w:val="continue"/>
            <w:shd w:val="clear" w:color="auto" w:fill="auto"/>
            <w:vAlign w:val="center"/>
          </w:tcPr>
          <w:p>
            <w:pPr>
              <w:widowControl/>
              <w:autoSpaceDE w:val="0"/>
              <w:autoSpaceDN w:val="0"/>
              <w:adjustRightInd w:val="0"/>
              <w:snapToGrid w:val="0"/>
              <w:jc w:val="center"/>
              <w:rPr>
                <w:rFonts w:eastAsia="仿宋"/>
                <w:bCs/>
                <w:szCs w:val="21"/>
              </w:rPr>
            </w:pPr>
          </w:p>
        </w:tc>
        <w:tc>
          <w:tcPr>
            <w:tcW w:w="1756" w:type="pct"/>
            <w:shd w:val="clear" w:color="auto" w:fill="auto"/>
            <w:vAlign w:val="center"/>
          </w:tcPr>
          <w:p>
            <w:pPr>
              <w:widowControl/>
              <w:autoSpaceDE w:val="0"/>
              <w:autoSpaceDN w:val="0"/>
              <w:adjustRightInd w:val="0"/>
              <w:snapToGrid w:val="0"/>
              <w:jc w:val="center"/>
              <w:rPr>
                <w:rFonts w:eastAsia="仿宋"/>
                <w:bCs/>
                <w:szCs w:val="21"/>
              </w:rPr>
            </w:pPr>
            <w:r>
              <w:rPr>
                <w:rFonts w:eastAsia="仿宋"/>
                <w:bCs/>
                <w:szCs w:val="21"/>
              </w:rPr>
              <w:t>（九）加强生态环境分区管控。衔接国土空间规划分区和用途管制要求，将生态保护红线、环境质量底线、资源利用上线……开展重大经济技术政策的生态环境影响分析和重大生态环境政策的社会经济影响评估。</w:t>
            </w:r>
          </w:p>
        </w:tc>
        <w:tc>
          <w:tcPr>
            <w:tcW w:w="2572" w:type="pct"/>
            <w:shd w:val="clear" w:color="auto" w:fill="auto"/>
            <w:vAlign w:val="center"/>
          </w:tcPr>
          <w:p>
            <w:pPr>
              <w:widowControl/>
              <w:autoSpaceDE w:val="0"/>
              <w:autoSpaceDN w:val="0"/>
              <w:adjustRightInd w:val="0"/>
              <w:snapToGrid w:val="0"/>
              <w:jc w:val="center"/>
              <w:rPr>
                <w:rFonts w:eastAsia="仿宋"/>
                <w:bCs/>
                <w:szCs w:val="21"/>
              </w:rPr>
            </w:pPr>
            <w:r>
              <w:rPr>
                <w:rFonts w:eastAsia="仿宋"/>
                <w:bCs/>
                <w:szCs w:val="21"/>
              </w:rPr>
              <w:t>本项目满足《江苏省政府关于印发江苏省“三线一单”生态环境分区管控方案的通知》（苏政发〔2020〕49号）及《常州市“三线一单”生态环境分区管控实施方案》中的要求，因此与要求相符。</w:t>
            </w:r>
          </w:p>
        </w:tc>
      </w:tr>
    </w:tbl>
    <w:p>
      <w:pPr>
        <w:spacing w:line="500" w:lineRule="exact"/>
        <w:ind w:firstLine="560" w:firstLineChars="200"/>
        <w:contextualSpacing/>
        <w:rPr>
          <w:rFonts w:eastAsia="仿宋_GB2312"/>
          <w:sz w:val="28"/>
          <w:szCs w:val="28"/>
        </w:rPr>
      </w:pPr>
      <w:r>
        <w:rPr>
          <w:rFonts w:eastAsia="仿宋_GB2312"/>
          <w:sz w:val="28"/>
          <w:szCs w:val="28"/>
        </w:rPr>
        <w:t>由上表可知，本项目符合</w:t>
      </w:r>
      <w:r>
        <w:rPr>
          <w:rFonts w:hint="eastAsia" w:eastAsia="仿宋_GB2312"/>
          <w:sz w:val="28"/>
          <w:szCs w:val="28"/>
        </w:rPr>
        <w:t>《中共中央国务院关于深入打好污染防治攻坚战的意见》</w:t>
      </w:r>
      <w:r>
        <w:rPr>
          <w:rFonts w:eastAsia="仿宋_GB2312"/>
          <w:sz w:val="28"/>
          <w:szCs w:val="28"/>
        </w:rPr>
        <w:t>的相关要求。</w:t>
      </w:r>
    </w:p>
    <w:p>
      <w:pPr>
        <w:spacing w:line="500" w:lineRule="exact"/>
        <w:ind w:left="426"/>
        <w:rPr>
          <w:rFonts w:eastAsia="仿宋_GB2312"/>
          <w:sz w:val="28"/>
          <w:szCs w:val="28"/>
        </w:rPr>
      </w:pPr>
      <w:r>
        <w:rPr>
          <w:rFonts w:hint="eastAsia" w:eastAsia="仿宋_GB2312"/>
          <w:sz w:val="28"/>
          <w:szCs w:val="28"/>
        </w:rPr>
        <w:t>（</w:t>
      </w:r>
      <w:r>
        <w:rPr>
          <w:rFonts w:eastAsia="仿宋_GB2312"/>
          <w:sz w:val="28"/>
          <w:szCs w:val="28"/>
        </w:rPr>
        <w:t>5</w:t>
      </w:r>
      <w:r>
        <w:rPr>
          <w:rFonts w:hint="eastAsia" w:eastAsia="仿宋_GB2312"/>
          <w:sz w:val="28"/>
          <w:szCs w:val="28"/>
        </w:rPr>
        <w:t>）与苏大气办[2020]2号相符性</w:t>
      </w:r>
    </w:p>
    <w:p>
      <w:pPr>
        <w:spacing w:line="500" w:lineRule="exact"/>
        <w:ind w:firstLine="560" w:firstLineChars="200"/>
        <w:contextualSpacing/>
        <w:rPr>
          <w:rFonts w:eastAsia="仿宋_GB2312"/>
          <w:sz w:val="28"/>
          <w:szCs w:val="28"/>
        </w:rPr>
      </w:pPr>
      <w:r>
        <w:rPr>
          <w:rFonts w:eastAsia="仿宋_GB2312"/>
          <w:sz w:val="28"/>
          <w:szCs w:val="28"/>
        </w:rPr>
        <w:t>本项目与</w:t>
      </w:r>
      <w:r>
        <w:rPr>
          <w:rFonts w:hint="eastAsia" w:eastAsia="仿宋_GB2312"/>
          <w:sz w:val="28"/>
          <w:szCs w:val="28"/>
        </w:rPr>
        <w:t>《江苏省2020年挥发性有机物专项治理工作方案》（苏大气办[2020]2号）</w:t>
      </w:r>
      <w:r>
        <w:rPr>
          <w:rFonts w:eastAsia="仿宋_GB2312"/>
          <w:sz w:val="28"/>
          <w:szCs w:val="28"/>
        </w:rPr>
        <w:t>有关内容对照情况见下表。</w:t>
      </w:r>
    </w:p>
    <w:p>
      <w:pPr>
        <w:spacing w:line="500" w:lineRule="exact"/>
        <w:jc w:val="center"/>
        <w:rPr>
          <w:rFonts w:eastAsia="仿宋_GB2312"/>
          <w:b/>
          <w:bCs/>
          <w:sz w:val="24"/>
        </w:rPr>
      </w:pPr>
      <w:r>
        <w:rPr>
          <w:rFonts w:eastAsia="仿宋_GB2312"/>
          <w:b/>
          <w:bCs/>
          <w:sz w:val="24"/>
        </w:rPr>
        <w:t xml:space="preserve">表 </w:t>
      </w:r>
      <w:r>
        <w:rPr>
          <w:rFonts w:hint="eastAsia" w:eastAsia="仿宋_GB2312"/>
          <w:b/>
          <w:bCs/>
          <w:sz w:val="24"/>
        </w:rPr>
        <w:t>2</w:t>
      </w:r>
      <w:r>
        <w:rPr>
          <w:rFonts w:eastAsia="仿宋_GB2312"/>
          <w:b/>
          <w:bCs/>
          <w:sz w:val="24"/>
        </w:rPr>
        <w:t>.</w:t>
      </w:r>
      <w:r>
        <w:rPr>
          <w:rFonts w:hint="eastAsia" w:eastAsia="仿宋_GB2312"/>
          <w:b/>
          <w:bCs/>
          <w:sz w:val="24"/>
        </w:rPr>
        <w:t>7</w:t>
      </w:r>
      <w:r>
        <w:rPr>
          <w:rFonts w:eastAsia="仿宋_GB2312"/>
          <w:b/>
          <w:bCs/>
          <w:sz w:val="24"/>
        </w:rPr>
        <w:noBreakHyphen/>
      </w:r>
      <w:r>
        <w:rPr>
          <w:rFonts w:eastAsia="仿宋_GB2312"/>
          <w:b/>
          <w:bCs/>
          <w:sz w:val="24"/>
        </w:rPr>
        <w:t>5 与</w:t>
      </w:r>
      <w:r>
        <w:rPr>
          <w:rFonts w:hint="eastAsia" w:eastAsia="仿宋_GB2312"/>
          <w:b/>
          <w:bCs/>
          <w:sz w:val="24"/>
        </w:rPr>
        <w:t>苏大气办[2020]2号</w:t>
      </w:r>
      <w:r>
        <w:rPr>
          <w:rFonts w:eastAsia="仿宋_GB2312"/>
          <w:b/>
          <w:bCs/>
          <w:sz w:val="24"/>
        </w:rPr>
        <w:t>对照分析</w:t>
      </w:r>
    </w:p>
    <w:tbl>
      <w:tblPr>
        <w:tblStyle w:val="8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3987"/>
        <w:gridCol w:w="3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01" w:type="dxa"/>
            <w:vAlign w:val="center"/>
          </w:tcPr>
          <w:p>
            <w:pPr>
              <w:widowControl/>
              <w:autoSpaceDE w:val="0"/>
              <w:autoSpaceDN w:val="0"/>
              <w:adjustRightInd w:val="0"/>
              <w:snapToGrid w:val="0"/>
              <w:jc w:val="center"/>
              <w:rPr>
                <w:rFonts w:eastAsia="仿宋"/>
                <w:bCs/>
                <w:szCs w:val="21"/>
              </w:rPr>
            </w:pPr>
            <w:r>
              <w:rPr>
                <w:rFonts w:eastAsia="仿宋"/>
                <w:bCs/>
                <w:szCs w:val="21"/>
              </w:rPr>
              <w:t>类别</w:t>
            </w:r>
          </w:p>
        </w:tc>
        <w:tc>
          <w:tcPr>
            <w:tcW w:w="3987" w:type="dxa"/>
            <w:vAlign w:val="center"/>
          </w:tcPr>
          <w:p>
            <w:pPr>
              <w:widowControl/>
              <w:autoSpaceDE w:val="0"/>
              <w:autoSpaceDN w:val="0"/>
              <w:adjustRightInd w:val="0"/>
              <w:snapToGrid w:val="0"/>
              <w:jc w:val="center"/>
              <w:rPr>
                <w:rFonts w:eastAsia="仿宋"/>
                <w:bCs/>
                <w:szCs w:val="21"/>
              </w:rPr>
            </w:pPr>
            <w:r>
              <w:rPr>
                <w:rFonts w:eastAsia="仿宋"/>
                <w:bCs/>
                <w:szCs w:val="21"/>
              </w:rPr>
              <w:t>文件要求</w:t>
            </w:r>
          </w:p>
        </w:tc>
        <w:tc>
          <w:tcPr>
            <w:tcW w:w="3434" w:type="dxa"/>
            <w:vAlign w:val="center"/>
          </w:tcPr>
          <w:p>
            <w:pPr>
              <w:widowControl/>
              <w:autoSpaceDE w:val="0"/>
              <w:autoSpaceDN w:val="0"/>
              <w:adjustRightInd w:val="0"/>
              <w:snapToGrid w:val="0"/>
              <w:jc w:val="center"/>
              <w:rPr>
                <w:rFonts w:eastAsia="仿宋"/>
                <w:bCs/>
                <w:szCs w:val="21"/>
              </w:rPr>
            </w:pPr>
            <w:r>
              <w:rPr>
                <w:rFonts w:eastAsia="仿宋"/>
                <w:bCs/>
                <w:szCs w:val="21"/>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01" w:type="dxa"/>
            <w:vAlign w:val="center"/>
          </w:tcPr>
          <w:p>
            <w:pPr>
              <w:widowControl/>
              <w:autoSpaceDE w:val="0"/>
              <w:autoSpaceDN w:val="0"/>
              <w:adjustRightInd w:val="0"/>
              <w:snapToGrid w:val="0"/>
              <w:jc w:val="center"/>
              <w:rPr>
                <w:rFonts w:eastAsia="仿宋"/>
                <w:bCs/>
                <w:szCs w:val="21"/>
              </w:rPr>
            </w:pPr>
            <w:r>
              <w:rPr>
                <w:rFonts w:hint="eastAsia" w:eastAsia="仿宋"/>
                <w:bCs/>
                <w:szCs w:val="21"/>
              </w:rPr>
              <w:t>深化改造治污设施</w:t>
            </w:r>
          </w:p>
        </w:tc>
        <w:tc>
          <w:tcPr>
            <w:tcW w:w="3987" w:type="dxa"/>
            <w:vAlign w:val="center"/>
          </w:tcPr>
          <w:p>
            <w:pPr>
              <w:widowControl/>
              <w:autoSpaceDE w:val="0"/>
              <w:autoSpaceDN w:val="0"/>
              <w:adjustRightInd w:val="0"/>
              <w:snapToGrid w:val="0"/>
              <w:jc w:val="left"/>
              <w:rPr>
                <w:rFonts w:eastAsia="仿宋"/>
                <w:bCs/>
                <w:szCs w:val="21"/>
              </w:rPr>
            </w:pPr>
            <w:r>
              <w:rPr>
                <w:rFonts w:hint="eastAsia" w:eastAsia="仿宋"/>
                <w:bCs/>
                <w:szCs w:val="21"/>
              </w:rPr>
              <w:t>各地要加大对企业治污设施的分类指导，鼓励企业合理选择治理技术，提高VOCs治理效率。组织专家对重点企业VOCs治理设施效果开展评估，对设施工程设计不规范、设施选型不合理、治污设施简易低效（无效）导致排放浓度与去除效率不达标的企业，提出升级改造要求，6月底前完成改造并通过属地生态环境部门备案，逾期未改造或改造后排放仍不达标准的，依法予以关停。VOCs排放量大于等于2千克/小时的企业，除确保排放浓度稳定达标外，去除效率不低于80%。加快推进加油站、油罐车和储油库油气回收治理，完成原油、汽油、石脑油等装船作业码头油气回收治理</w:t>
            </w:r>
          </w:p>
        </w:tc>
        <w:tc>
          <w:tcPr>
            <w:tcW w:w="3434" w:type="dxa"/>
            <w:vAlign w:val="center"/>
          </w:tcPr>
          <w:p>
            <w:pPr>
              <w:widowControl/>
              <w:autoSpaceDE w:val="0"/>
              <w:autoSpaceDN w:val="0"/>
              <w:adjustRightInd w:val="0"/>
              <w:snapToGrid w:val="0"/>
              <w:jc w:val="left"/>
              <w:rPr>
                <w:rFonts w:eastAsia="仿宋"/>
                <w:bCs/>
                <w:szCs w:val="21"/>
              </w:rPr>
            </w:pPr>
            <w:r>
              <w:rPr>
                <w:rFonts w:eastAsia="仿宋"/>
                <w:bCs/>
                <w:szCs w:val="21"/>
              </w:rPr>
              <w:t>1#：</w:t>
            </w:r>
            <w:r>
              <w:rPr>
                <w:rFonts w:hint="eastAsia" w:eastAsia="仿宋"/>
                <w:bCs/>
                <w:szCs w:val="21"/>
              </w:rPr>
              <w:t>配胶</w:t>
            </w:r>
            <w:r>
              <w:rPr>
                <w:rFonts w:eastAsia="仿宋"/>
                <w:bCs/>
                <w:szCs w:val="21"/>
              </w:rPr>
              <w:t>废气G1</w:t>
            </w:r>
            <w:r>
              <w:rPr>
                <w:rFonts w:hint="eastAsia" w:eastAsia="仿宋"/>
                <w:bCs/>
                <w:szCs w:val="21"/>
              </w:rPr>
              <w:t>、</w:t>
            </w:r>
            <w:r>
              <w:rPr>
                <w:rFonts w:eastAsia="仿宋"/>
                <w:bCs/>
                <w:szCs w:val="21"/>
              </w:rPr>
              <w:t>涂布干燥</w:t>
            </w:r>
            <w:r>
              <w:rPr>
                <w:rFonts w:hint="eastAsia" w:eastAsia="仿宋"/>
                <w:bCs/>
                <w:szCs w:val="21"/>
              </w:rPr>
              <w:t>废气G2及</w:t>
            </w:r>
            <w:r>
              <w:rPr>
                <w:rFonts w:eastAsia="仿宋"/>
                <w:bCs/>
                <w:szCs w:val="21"/>
              </w:rPr>
              <w:t>清洗废气</w:t>
            </w:r>
            <w:r>
              <w:rPr>
                <w:rFonts w:hint="eastAsia" w:eastAsia="仿宋"/>
                <w:bCs/>
                <w:szCs w:val="21"/>
              </w:rPr>
              <w:t>G3</w:t>
            </w:r>
            <w:r>
              <w:rPr>
                <w:rFonts w:eastAsia="仿宋"/>
                <w:bCs/>
                <w:szCs w:val="21"/>
              </w:rPr>
              <w:t>经区域密闭负压收集</w:t>
            </w:r>
            <w:r>
              <w:rPr>
                <w:rFonts w:hint="eastAsia" w:eastAsia="仿宋"/>
                <w:bCs/>
                <w:szCs w:val="21"/>
              </w:rPr>
              <w:t>，一并</w:t>
            </w:r>
            <w:r>
              <w:rPr>
                <w:rFonts w:eastAsia="仿宋"/>
                <w:bCs/>
                <w:szCs w:val="21"/>
              </w:rPr>
              <w:t>通过</w:t>
            </w:r>
            <w:r>
              <w:rPr>
                <w:rFonts w:hint="eastAsia" w:eastAsia="仿宋"/>
                <w:bCs/>
                <w:szCs w:val="21"/>
              </w:rPr>
              <w:t>RTO装置</w:t>
            </w:r>
            <w:r>
              <w:rPr>
                <w:rFonts w:eastAsia="仿宋"/>
                <w:bCs/>
                <w:szCs w:val="21"/>
              </w:rPr>
              <w:t>处理后由1根15m排气筒排放。</w:t>
            </w:r>
          </w:p>
          <w:p>
            <w:pPr>
              <w:widowControl/>
              <w:autoSpaceDE w:val="0"/>
              <w:autoSpaceDN w:val="0"/>
              <w:adjustRightInd w:val="0"/>
              <w:snapToGrid w:val="0"/>
              <w:jc w:val="left"/>
              <w:rPr>
                <w:rFonts w:eastAsia="仿宋"/>
                <w:bCs/>
                <w:szCs w:val="21"/>
              </w:rPr>
            </w:pPr>
            <w:r>
              <w:rPr>
                <w:rFonts w:hint="eastAsia" w:eastAsia="仿宋"/>
                <w:bCs/>
                <w:szCs w:val="21"/>
              </w:rPr>
              <w:t>2#：危废仓库废气经集气罩收集后经两级活性炭吸附装置处理后</w:t>
            </w:r>
            <w:r>
              <w:rPr>
                <w:rFonts w:eastAsia="仿宋"/>
                <w:bCs/>
                <w:szCs w:val="21"/>
              </w:rPr>
              <w:t>由1根15m排气筒排放。</w:t>
            </w:r>
          </w:p>
        </w:tc>
      </w:tr>
    </w:tbl>
    <w:p>
      <w:pPr>
        <w:spacing w:line="500" w:lineRule="exact"/>
        <w:ind w:firstLine="560" w:firstLineChars="200"/>
        <w:contextualSpacing/>
        <w:rPr>
          <w:rFonts w:eastAsia="仿宋_GB2312"/>
          <w:sz w:val="28"/>
          <w:szCs w:val="28"/>
        </w:rPr>
      </w:pPr>
      <w:r>
        <w:rPr>
          <w:rFonts w:eastAsia="仿宋_GB2312"/>
          <w:sz w:val="28"/>
          <w:szCs w:val="28"/>
        </w:rPr>
        <w:t>由上表可知，本项目符合</w:t>
      </w:r>
      <w:r>
        <w:rPr>
          <w:rFonts w:hint="eastAsia" w:eastAsia="仿宋_GB2312"/>
          <w:sz w:val="28"/>
          <w:szCs w:val="28"/>
        </w:rPr>
        <w:t>苏大气办[2020]2号</w:t>
      </w:r>
      <w:r>
        <w:rPr>
          <w:rFonts w:eastAsia="仿宋_GB2312"/>
          <w:sz w:val="28"/>
          <w:szCs w:val="28"/>
        </w:rPr>
        <w:t>的相关要求。</w:t>
      </w:r>
    </w:p>
    <w:p>
      <w:pPr>
        <w:spacing w:line="500" w:lineRule="exact"/>
        <w:ind w:firstLine="560" w:firstLineChars="200"/>
        <w:contextualSpacing/>
        <w:rPr>
          <w:rFonts w:eastAsia="仿宋_GB2312"/>
          <w:sz w:val="28"/>
          <w:szCs w:val="28"/>
        </w:rPr>
      </w:pPr>
      <w:r>
        <w:rPr>
          <w:rFonts w:hint="eastAsia" w:eastAsia="仿宋_GB2312"/>
          <w:sz w:val="28"/>
          <w:szCs w:val="28"/>
        </w:rPr>
        <w:t>（</w:t>
      </w:r>
      <w:r>
        <w:rPr>
          <w:rFonts w:eastAsia="仿宋_GB2312"/>
          <w:sz w:val="28"/>
          <w:szCs w:val="28"/>
        </w:rPr>
        <w:t>6</w:t>
      </w:r>
      <w:r>
        <w:rPr>
          <w:rFonts w:hint="eastAsia" w:eastAsia="仿宋_GB2312"/>
          <w:sz w:val="28"/>
          <w:szCs w:val="28"/>
        </w:rPr>
        <w:t>）与省政府令第119号相符性</w:t>
      </w:r>
    </w:p>
    <w:p>
      <w:pPr>
        <w:spacing w:line="500" w:lineRule="exact"/>
        <w:ind w:firstLine="560" w:firstLineChars="200"/>
        <w:contextualSpacing/>
        <w:rPr>
          <w:rFonts w:eastAsia="仿宋_GB2312"/>
          <w:sz w:val="28"/>
          <w:szCs w:val="28"/>
        </w:rPr>
      </w:pPr>
      <w:r>
        <w:rPr>
          <w:rFonts w:eastAsia="仿宋_GB2312"/>
          <w:sz w:val="28"/>
          <w:szCs w:val="28"/>
        </w:rPr>
        <w:t>本项目与</w:t>
      </w:r>
      <w:r>
        <w:rPr>
          <w:rFonts w:hint="eastAsia" w:eastAsia="仿宋_GB2312"/>
          <w:sz w:val="28"/>
          <w:szCs w:val="28"/>
        </w:rPr>
        <w:t>《江苏省挥发性有机物污染防治管理办法》（省政府令第119号）</w:t>
      </w:r>
      <w:r>
        <w:rPr>
          <w:rFonts w:eastAsia="仿宋_GB2312"/>
          <w:sz w:val="28"/>
          <w:szCs w:val="28"/>
        </w:rPr>
        <w:t>有关内容对照情况见下表。</w:t>
      </w:r>
    </w:p>
    <w:p>
      <w:pPr>
        <w:spacing w:line="500" w:lineRule="exact"/>
        <w:jc w:val="center"/>
        <w:rPr>
          <w:rFonts w:eastAsia="仿宋_GB2312"/>
          <w:b/>
          <w:bCs/>
          <w:sz w:val="24"/>
        </w:rPr>
      </w:pPr>
      <w:r>
        <w:rPr>
          <w:rFonts w:eastAsia="仿宋_GB2312"/>
          <w:b/>
          <w:bCs/>
          <w:sz w:val="24"/>
        </w:rPr>
        <w:t xml:space="preserve">表 </w:t>
      </w:r>
      <w:r>
        <w:rPr>
          <w:rFonts w:hint="eastAsia" w:eastAsia="仿宋_GB2312"/>
          <w:b/>
          <w:bCs/>
          <w:sz w:val="24"/>
        </w:rPr>
        <w:t>2</w:t>
      </w:r>
      <w:r>
        <w:rPr>
          <w:rFonts w:eastAsia="仿宋_GB2312"/>
          <w:b/>
          <w:bCs/>
          <w:sz w:val="24"/>
        </w:rPr>
        <w:t>.</w:t>
      </w:r>
      <w:r>
        <w:rPr>
          <w:rFonts w:hint="eastAsia" w:eastAsia="仿宋_GB2312"/>
          <w:b/>
          <w:bCs/>
          <w:sz w:val="24"/>
        </w:rPr>
        <w:t>7</w:t>
      </w:r>
      <w:r>
        <w:rPr>
          <w:rFonts w:eastAsia="仿宋_GB2312"/>
          <w:b/>
          <w:bCs/>
          <w:sz w:val="24"/>
        </w:rPr>
        <w:noBreakHyphen/>
      </w:r>
      <w:r>
        <w:rPr>
          <w:rFonts w:eastAsia="仿宋_GB2312"/>
          <w:b/>
          <w:bCs/>
          <w:sz w:val="24"/>
        </w:rPr>
        <w:t>6 与</w:t>
      </w:r>
      <w:r>
        <w:rPr>
          <w:rFonts w:hint="eastAsia" w:eastAsia="仿宋_GB2312"/>
          <w:b/>
          <w:bCs/>
          <w:sz w:val="24"/>
        </w:rPr>
        <w:t>省政府令第119号</w:t>
      </w:r>
      <w:r>
        <w:rPr>
          <w:rFonts w:eastAsia="仿宋_GB2312"/>
          <w:b/>
          <w:bCs/>
          <w:sz w:val="24"/>
        </w:rPr>
        <w:t>对照分析</w:t>
      </w:r>
    </w:p>
    <w:tbl>
      <w:tblPr>
        <w:tblStyle w:val="87"/>
        <w:tblW w:w="50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42"/>
        <w:gridCol w:w="3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42" w:type="pct"/>
            <w:vAlign w:val="center"/>
          </w:tcPr>
          <w:p>
            <w:pPr>
              <w:widowControl/>
              <w:autoSpaceDE w:val="0"/>
              <w:autoSpaceDN w:val="0"/>
              <w:adjustRightInd w:val="0"/>
              <w:snapToGrid w:val="0"/>
              <w:jc w:val="center"/>
              <w:rPr>
                <w:rFonts w:eastAsia="仿宋"/>
                <w:bCs/>
                <w:szCs w:val="21"/>
              </w:rPr>
            </w:pPr>
            <w:r>
              <w:rPr>
                <w:rFonts w:eastAsia="仿宋"/>
                <w:bCs/>
                <w:szCs w:val="21"/>
              </w:rPr>
              <w:t>文件要求</w:t>
            </w:r>
          </w:p>
        </w:tc>
        <w:tc>
          <w:tcPr>
            <w:tcW w:w="2058" w:type="pct"/>
            <w:vAlign w:val="center"/>
          </w:tcPr>
          <w:p>
            <w:pPr>
              <w:widowControl/>
              <w:autoSpaceDE w:val="0"/>
              <w:autoSpaceDN w:val="0"/>
              <w:adjustRightInd w:val="0"/>
              <w:snapToGrid w:val="0"/>
              <w:jc w:val="center"/>
              <w:rPr>
                <w:rFonts w:eastAsia="仿宋"/>
                <w:bCs/>
                <w:szCs w:val="21"/>
              </w:rPr>
            </w:pPr>
            <w:r>
              <w:rPr>
                <w:rFonts w:eastAsia="仿宋"/>
                <w:bCs/>
                <w:szCs w:val="21"/>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42" w:type="pct"/>
            <w:vAlign w:val="center"/>
          </w:tcPr>
          <w:p>
            <w:pPr>
              <w:widowControl/>
              <w:autoSpaceDE w:val="0"/>
              <w:autoSpaceDN w:val="0"/>
              <w:adjustRightInd w:val="0"/>
              <w:snapToGrid w:val="0"/>
              <w:jc w:val="center"/>
              <w:rPr>
                <w:rFonts w:eastAsia="仿宋"/>
                <w:bCs/>
                <w:szCs w:val="21"/>
              </w:rPr>
            </w:pPr>
            <w:r>
              <w:rPr>
                <w:rFonts w:eastAsia="仿宋"/>
                <w:bCs/>
                <w:szCs w:val="21"/>
              </w:rPr>
              <w:t>“第十五条　排放挥发性有机物的生产经营者应当履行防治挥发性有机物污染的义务，根据国家和省相关标准以及防治技术指南，采用挥发性有机物污染控制技术，规范操作规程，组织生产经营管理，确保挥发性有机物的排放符合相应的排放标准。”</w:t>
            </w:r>
          </w:p>
          <w:p>
            <w:pPr>
              <w:widowControl/>
              <w:autoSpaceDE w:val="0"/>
              <w:autoSpaceDN w:val="0"/>
              <w:adjustRightInd w:val="0"/>
              <w:snapToGrid w:val="0"/>
              <w:jc w:val="center"/>
              <w:rPr>
                <w:rFonts w:eastAsia="仿宋"/>
                <w:bCs/>
                <w:szCs w:val="21"/>
              </w:rPr>
            </w:pPr>
            <w:r>
              <w:rPr>
                <w:rFonts w:eastAsia="仿宋"/>
                <w:bCs/>
                <w:szCs w:val="21"/>
              </w:rPr>
              <w:t>“第二十一条　产生挥发性有机物废气的生产经营活动应当在密闭空间或者密闭设备中进行。生产场所、生产设备应当按照环境保护和安全生产等要求设计、安装和有效运行挥发性有机物回收或者净化设施；固体废物、废水、废气处理系统产生的废气应当收集和处理；含有挥发性有机物的物料应当密闭储存、运输、装卸，禁止敞口和露天放置。</w:t>
            </w:r>
          </w:p>
          <w:p>
            <w:pPr>
              <w:widowControl/>
              <w:autoSpaceDE w:val="0"/>
              <w:autoSpaceDN w:val="0"/>
              <w:adjustRightInd w:val="0"/>
              <w:snapToGrid w:val="0"/>
              <w:jc w:val="center"/>
              <w:rPr>
                <w:rFonts w:eastAsia="仿宋"/>
                <w:bCs/>
                <w:szCs w:val="21"/>
              </w:rPr>
            </w:pPr>
            <w:r>
              <w:rPr>
                <w:rFonts w:eastAsia="仿宋"/>
                <w:bCs/>
                <w:szCs w:val="21"/>
              </w:rPr>
              <w:t>无法在密闭空间进行的生产经营活动应当采取有效措施，减少挥发性有机物排放量。”</w:t>
            </w:r>
          </w:p>
        </w:tc>
        <w:tc>
          <w:tcPr>
            <w:tcW w:w="2058" w:type="pct"/>
            <w:vAlign w:val="center"/>
          </w:tcPr>
          <w:p>
            <w:pPr>
              <w:widowControl/>
              <w:autoSpaceDE w:val="0"/>
              <w:autoSpaceDN w:val="0"/>
              <w:adjustRightInd w:val="0"/>
              <w:snapToGrid w:val="0"/>
              <w:jc w:val="center"/>
              <w:rPr>
                <w:rFonts w:eastAsia="仿宋"/>
                <w:bCs/>
                <w:szCs w:val="21"/>
              </w:rPr>
            </w:pPr>
            <w:r>
              <w:rPr>
                <w:rFonts w:eastAsia="仿宋"/>
                <w:bCs/>
                <w:szCs w:val="21"/>
              </w:rPr>
              <w:t>1#：</w:t>
            </w:r>
            <w:r>
              <w:rPr>
                <w:rFonts w:hint="eastAsia" w:eastAsia="仿宋"/>
                <w:bCs/>
                <w:szCs w:val="21"/>
              </w:rPr>
              <w:t>配胶</w:t>
            </w:r>
            <w:r>
              <w:rPr>
                <w:rFonts w:eastAsia="仿宋"/>
                <w:bCs/>
                <w:szCs w:val="21"/>
              </w:rPr>
              <w:t>废气G1</w:t>
            </w:r>
            <w:r>
              <w:rPr>
                <w:rFonts w:hint="eastAsia" w:eastAsia="仿宋"/>
                <w:bCs/>
                <w:szCs w:val="21"/>
              </w:rPr>
              <w:t>、</w:t>
            </w:r>
            <w:r>
              <w:rPr>
                <w:rFonts w:eastAsia="仿宋"/>
                <w:bCs/>
                <w:szCs w:val="21"/>
              </w:rPr>
              <w:t>涂布干燥</w:t>
            </w:r>
            <w:r>
              <w:rPr>
                <w:rFonts w:hint="eastAsia" w:eastAsia="仿宋"/>
                <w:bCs/>
                <w:szCs w:val="21"/>
              </w:rPr>
              <w:t>废气G2及</w:t>
            </w:r>
            <w:r>
              <w:rPr>
                <w:rFonts w:eastAsia="仿宋"/>
                <w:bCs/>
                <w:szCs w:val="21"/>
              </w:rPr>
              <w:t>清洗废气</w:t>
            </w:r>
            <w:r>
              <w:rPr>
                <w:rFonts w:hint="eastAsia" w:eastAsia="仿宋"/>
                <w:bCs/>
                <w:szCs w:val="21"/>
              </w:rPr>
              <w:t>G3</w:t>
            </w:r>
            <w:r>
              <w:rPr>
                <w:rFonts w:eastAsia="仿宋"/>
                <w:bCs/>
                <w:szCs w:val="21"/>
              </w:rPr>
              <w:t>经区域密闭负压收集</w:t>
            </w:r>
            <w:r>
              <w:rPr>
                <w:rFonts w:hint="eastAsia" w:eastAsia="仿宋"/>
                <w:bCs/>
                <w:szCs w:val="21"/>
              </w:rPr>
              <w:t>，一道</w:t>
            </w:r>
            <w:r>
              <w:rPr>
                <w:rFonts w:eastAsia="仿宋"/>
                <w:bCs/>
                <w:szCs w:val="21"/>
              </w:rPr>
              <w:t>通过</w:t>
            </w:r>
            <w:r>
              <w:rPr>
                <w:rFonts w:hint="eastAsia" w:eastAsia="仿宋"/>
                <w:bCs/>
                <w:szCs w:val="21"/>
              </w:rPr>
              <w:t>RTO装置</w:t>
            </w:r>
            <w:r>
              <w:rPr>
                <w:rFonts w:eastAsia="仿宋"/>
                <w:bCs/>
                <w:szCs w:val="21"/>
              </w:rPr>
              <w:t>处理后由1根15m排气筒排放。</w:t>
            </w:r>
          </w:p>
          <w:p>
            <w:pPr>
              <w:widowControl/>
              <w:autoSpaceDE w:val="0"/>
              <w:autoSpaceDN w:val="0"/>
              <w:adjustRightInd w:val="0"/>
              <w:snapToGrid w:val="0"/>
              <w:jc w:val="center"/>
              <w:rPr>
                <w:rFonts w:eastAsia="仿宋"/>
                <w:bCs/>
                <w:szCs w:val="21"/>
              </w:rPr>
            </w:pPr>
            <w:r>
              <w:rPr>
                <w:rFonts w:hint="eastAsia" w:eastAsia="仿宋"/>
                <w:bCs/>
                <w:szCs w:val="21"/>
              </w:rPr>
              <w:t>2#：危废仓库废气经集气罩收集后经两级活性炭吸附装置处理后</w:t>
            </w:r>
            <w:r>
              <w:rPr>
                <w:rFonts w:eastAsia="仿宋"/>
                <w:bCs/>
                <w:szCs w:val="21"/>
              </w:rPr>
              <w:t>由1根15m排气筒排放。</w:t>
            </w:r>
          </w:p>
        </w:tc>
      </w:tr>
    </w:tbl>
    <w:p>
      <w:pPr>
        <w:spacing w:line="500" w:lineRule="exact"/>
        <w:ind w:firstLine="560" w:firstLineChars="200"/>
        <w:contextualSpacing/>
        <w:rPr>
          <w:rFonts w:eastAsia="仿宋_GB2312"/>
          <w:sz w:val="28"/>
          <w:szCs w:val="28"/>
        </w:rPr>
      </w:pPr>
      <w:r>
        <w:rPr>
          <w:rFonts w:eastAsia="仿宋_GB2312"/>
          <w:sz w:val="28"/>
          <w:szCs w:val="28"/>
        </w:rPr>
        <w:t>由上表可知，本项目符合</w:t>
      </w:r>
      <w:r>
        <w:rPr>
          <w:rFonts w:hint="eastAsia" w:eastAsia="仿宋_GB2312"/>
          <w:sz w:val="28"/>
          <w:szCs w:val="28"/>
        </w:rPr>
        <w:t>《江苏省挥发性有机物污染防治管理办法》（省政府令第119号）</w:t>
      </w:r>
      <w:r>
        <w:rPr>
          <w:rFonts w:eastAsia="仿宋_GB2312"/>
          <w:sz w:val="28"/>
          <w:szCs w:val="28"/>
        </w:rPr>
        <w:t>的相关要求。</w:t>
      </w:r>
    </w:p>
    <w:p>
      <w:pPr>
        <w:spacing w:line="500" w:lineRule="exact"/>
        <w:ind w:firstLine="560" w:firstLineChars="200"/>
        <w:contextualSpacing/>
        <w:rPr>
          <w:rFonts w:eastAsia="仿宋_GB2312"/>
          <w:sz w:val="28"/>
          <w:szCs w:val="28"/>
        </w:rPr>
      </w:pPr>
      <w:r>
        <w:rPr>
          <w:rFonts w:eastAsia="仿宋_GB2312"/>
          <w:sz w:val="28"/>
          <w:szCs w:val="28"/>
        </w:rPr>
        <w:t>（7）与苏环办[2019]36号文相符性分析</w:t>
      </w:r>
    </w:p>
    <w:p>
      <w:pPr>
        <w:spacing w:line="500" w:lineRule="exact"/>
        <w:ind w:firstLine="560" w:firstLineChars="200"/>
        <w:contextualSpacing/>
        <w:rPr>
          <w:rFonts w:eastAsia="仿宋_GB2312"/>
          <w:sz w:val="28"/>
          <w:szCs w:val="28"/>
        </w:rPr>
      </w:pPr>
      <w:r>
        <w:rPr>
          <w:rFonts w:eastAsia="仿宋_GB2312"/>
          <w:sz w:val="28"/>
          <w:szCs w:val="28"/>
        </w:rPr>
        <w:t>本项目与《江苏省生态环境厅关于进一步做好建设项目环评审批工作的通知》（苏环办[2019]36号）有关内容对照情况见下表。</w:t>
      </w:r>
    </w:p>
    <w:p>
      <w:pPr>
        <w:spacing w:line="500" w:lineRule="exact"/>
        <w:jc w:val="center"/>
        <w:rPr>
          <w:rFonts w:eastAsia="仿宋_GB2312"/>
          <w:b/>
          <w:bCs/>
          <w:sz w:val="24"/>
        </w:rPr>
      </w:pPr>
      <w:r>
        <w:rPr>
          <w:rFonts w:eastAsia="仿宋_GB2312"/>
          <w:b/>
          <w:bCs/>
          <w:sz w:val="24"/>
        </w:rPr>
        <w:t xml:space="preserve">表 </w:t>
      </w:r>
      <w:r>
        <w:rPr>
          <w:rFonts w:hint="eastAsia" w:eastAsia="仿宋_GB2312"/>
          <w:b/>
          <w:bCs/>
          <w:sz w:val="24"/>
        </w:rPr>
        <w:t>2</w:t>
      </w:r>
      <w:r>
        <w:rPr>
          <w:rFonts w:eastAsia="仿宋_GB2312"/>
          <w:b/>
          <w:bCs/>
          <w:sz w:val="24"/>
        </w:rPr>
        <w:t>.</w:t>
      </w:r>
      <w:r>
        <w:rPr>
          <w:rFonts w:hint="eastAsia" w:eastAsia="仿宋_GB2312"/>
          <w:b/>
          <w:bCs/>
          <w:sz w:val="24"/>
        </w:rPr>
        <w:t>7</w:t>
      </w:r>
      <w:r>
        <w:rPr>
          <w:rFonts w:eastAsia="仿宋_GB2312"/>
          <w:b/>
          <w:bCs/>
          <w:sz w:val="24"/>
        </w:rPr>
        <w:noBreakHyphen/>
      </w:r>
      <w:r>
        <w:rPr>
          <w:rFonts w:eastAsia="仿宋_GB2312"/>
          <w:b/>
          <w:bCs/>
          <w:sz w:val="24"/>
        </w:rPr>
        <w:t>7 本项目与苏环办[2019]36号文有关内容对照</w:t>
      </w:r>
    </w:p>
    <w:tbl>
      <w:tblPr>
        <w:tblStyle w:val="87"/>
        <w:tblW w:w="86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3737"/>
        <w:gridCol w:w="3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vAlign w:val="center"/>
          </w:tcPr>
          <w:p>
            <w:pPr>
              <w:widowControl/>
              <w:autoSpaceDE w:val="0"/>
              <w:autoSpaceDN w:val="0"/>
              <w:adjustRightInd w:val="0"/>
              <w:snapToGrid w:val="0"/>
              <w:jc w:val="center"/>
              <w:rPr>
                <w:rFonts w:eastAsia="仿宋"/>
                <w:bCs/>
                <w:szCs w:val="21"/>
              </w:rPr>
            </w:pPr>
            <w:r>
              <w:rPr>
                <w:rFonts w:eastAsia="仿宋"/>
                <w:bCs/>
                <w:szCs w:val="21"/>
              </w:rPr>
              <w:t>类别</w:t>
            </w:r>
          </w:p>
        </w:tc>
        <w:tc>
          <w:tcPr>
            <w:tcW w:w="3737" w:type="dxa"/>
            <w:vAlign w:val="center"/>
          </w:tcPr>
          <w:p>
            <w:pPr>
              <w:widowControl/>
              <w:autoSpaceDE w:val="0"/>
              <w:autoSpaceDN w:val="0"/>
              <w:adjustRightInd w:val="0"/>
              <w:snapToGrid w:val="0"/>
              <w:jc w:val="center"/>
              <w:rPr>
                <w:rFonts w:eastAsia="仿宋"/>
                <w:bCs/>
                <w:szCs w:val="21"/>
              </w:rPr>
            </w:pPr>
            <w:r>
              <w:rPr>
                <w:rFonts w:eastAsia="仿宋"/>
                <w:bCs/>
                <w:szCs w:val="21"/>
              </w:rPr>
              <w:t>苏环办[2019]36号文要求</w:t>
            </w:r>
          </w:p>
        </w:tc>
        <w:tc>
          <w:tcPr>
            <w:tcW w:w="3359" w:type="dxa"/>
            <w:vAlign w:val="center"/>
          </w:tcPr>
          <w:p>
            <w:pPr>
              <w:widowControl/>
              <w:autoSpaceDE w:val="0"/>
              <w:autoSpaceDN w:val="0"/>
              <w:adjustRightInd w:val="0"/>
              <w:snapToGrid w:val="0"/>
              <w:jc w:val="center"/>
              <w:rPr>
                <w:rFonts w:eastAsia="仿宋"/>
                <w:bCs/>
                <w:szCs w:val="21"/>
              </w:rPr>
            </w:pPr>
            <w:r>
              <w:rPr>
                <w:rFonts w:eastAsia="仿宋"/>
                <w:bCs/>
                <w:szCs w:val="21"/>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vAlign w:val="center"/>
          </w:tcPr>
          <w:p>
            <w:pPr>
              <w:widowControl/>
              <w:autoSpaceDE w:val="0"/>
              <w:autoSpaceDN w:val="0"/>
              <w:adjustRightInd w:val="0"/>
              <w:snapToGrid w:val="0"/>
              <w:jc w:val="center"/>
              <w:rPr>
                <w:rFonts w:eastAsia="仿宋"/>
                <w:bCs/>
                <w:szCs w:val="21"/>
              </w:rPr>
            </w:pPr>
            <w:r>
              <w:rPr>
                <w:rFonts w:eastAsia="仿宋"/>
                <w:bCs/>
                <w:szCs w:val="21"/>
              </w:rPr>
              <w:t>《建设项目环境保护管理条例》</w:t>
            </w:r>
          </w:p>
        </w:tc>
        <w:tc>
          <w:tcPr>
            <w:tcW w:w="3737" w:type="dxa"/>
            <w:vAlign w:val="center"/>
          </w:tcPr>
          <w:p>
            <w:pPr>
              <w:widowControl/>
              <w:autoSpaceDE w:val="0"/>
              <w:autoSpaceDN w:val="0"/>
              <w:adjustRightInd w:val="0"/>
              <w:snapToGrid w:val="0"/>
              <w:jc w:val="center"/>
              <w:rPr>
                <w:rFonts w:eastAsia="仿宋"/>
                <w:bCs/>
                <w:szCs w:val="21"/>
              </w:rPr>
            </w:pPr>
            <w:r>
              <w:rPr>
                <w:rFonts w:eastAsia="仿宋"/>
                <w:bCs/>
                <w:szCs w:val="21"/>
              </w:rPr>
              <w:t>一、有下列情形之一的，不予批准：（1）建设项目类型及其选址、布局、规模等不符合环境保护法律法规和相关法定规划；（2）所在区域环境质量未达到国家或者地方环境质量标准，且建设项目拟采取的措施不能满足区域环境质量改善目标管理要求；（3）建设项目采取的污染防治措施无法确保污染物排放达到国家和地方排放标准，或者未采取必要措施预防和控制生态破坏。</w:t>
            </w:r>
          </w:p>
        </w:tc>
        <w:tc>
          <w:tcPr>
            <w:tcW w:w="3359" w:type="dxa"/>
            <w:vAlign w:val="center"/>
          </w:tcPr>
          <w:p>
            <w:pPr>
              <w:widowControl/>
              <w:autoSpaceDE w:val="0"/>
              <w:autoSpaceDN w:val="0"/>
              <w:adjustRightInd w:val="0"/>
              <w:snapToGrid w:val="0"/>
              <w:jc w:val="center"/>
              <w:rPr>
                <w:rFonts w:eastAsia="仿宋"/>
                <w:bCs/>
                <w:szCs w:val="21"/>
              </w:rPr>
            </w:pPr>
            <w:r>
              <w:rPr>
                <w:rFonts w:eastAsia="仿宋"/>
                <w:bCs/>
                <w:szCs w:val="21"/>
              </w:rPr>
              <w:t>（1）建设项目类型及其选址、布局、规模等符合环境保护法律法规和相关法定规划；（2）本项目所在地常州市为不达标区，本项目建成后大气环境质量不下降；（3）建设项目采取的污染防治措施确保污染物排放达到国家和地方排放标准。因此，符合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vAlign w:val="center"/>
          </w:tcPr>
          <w:p>
            <w:pPr>
              <w:widowControl/>
              <w:autoSpaceDE w:val="0"/>
              <w:autoSpaceDN w:val="0"/>
              <w:adjustRightInd w:val="0"/>
              <w:snapToGrid w:val="0"/>
              <w:jc w:val="center"/>
              <w:rPr>
                <w:rFonts w:eastAsia="仿宋"/>
                <w:bCs/>
                <w:szCs w:val="21"/>
              </w:rPr>
            </w:pPr>
            <w:r>
              <w:rPr>
                <w:rFonts w:eastAsia="仿宋"/>
                <w:bCs/>
                <w:szCs w:val="21"/>
              </w:rPr>
              <w:t>《农用地土壤环境管理办法（试行）》（环境保护部 农业部令第46号）</w:t>
            </w:r>
          </w:p>
        </w:tc>
        <w:tc>
          <w:tcPr>
            <w:tcW w:w="3737" w:type="dxa"/>
            <w:vAlign w:val="center"/>
          </w:tcPr>
          <w:p>
            <w:pPr>
              <w:widowControl/>
              <w:autoSpaceDE w:val="0"/>
              <w:autoSpaceDN w:val="0"/>
              <w:adjustRightInd w:val="0"/>
              <w:snapToGrid w:val="0"/>
              <w:jc w:val="center"/>
              <w:rPr>
                <w:rFonts w:eastAsia="仿宋"/>
                <w:bCs/>
                <w:szCs w:val="21"/>
              </w:rPr>
            </w:pPr>
            <w:r>
              <w:rPr>
                <w:rFonts w:eastAsia="仿宋"/>
                <w:bCs/>
                <w:szCs w:val="21"/>
              </w:rPr>
              <w:t>严格控制在优先保护类耕地集中区域新建有色金属冶炼、石油加工、化工、焦化、电镀、制革等行业企业，有关环境保护主管部门依法不予审批可能造成耕地土壤污染的建设项目环境影响报告书或者报告表。</w:t>
            </w:r>
          </w:p>
        </w:tc>
        <w:tc>
          <w:tcPr>
            <w:tcW w:w="3359" w:type="dxa"/>
            <w:vAlign w:val="center"/>
          </w:tcPr>
          <w:p>
            <w:pPr>
              <w:widowControl/>
              <w:autoSpaceDE w:val="0"/>
              <w:autoSpaceDN w:val="0"/>
              <w:adjustRightInd w:val="0"/>
              <w:snapToGrid w:val="0"/>
              <w:jc w:val="center"/>
              <w:rPr>
                <w:rFonts w:eastAsia="仿宋"/>
                <w:bCs/>
                <w:szCs w:val="21"/>
              </w:rPr>
            </w:pPr>
            <w:r>
              <w:rPr>
                <w:rFonts w:eastAsia="仿宋"/>
                <w:bCs/>
                <w:szCs w:val="21"/>
              </w:rPr>
              <w:t>本项目所在地用地性质是工业用地，不属于优先保护类耕地集中区域，符合文件要求。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vAlign w:val="center"/>
          </w:tcPr>
          <w:p>
            <w:pPr>
              <w:widowControl/>
              <w:autoSpaceDE w:val="0"/>
              <w:autoSpaceDN w:val="0"/>
              <w:adjustRightInd w:val="0"/>
              <w:snapToGrid w:val="0"/>
              <w:jc w:val="center"/>
              <w:rPr>
                <w:rFonts w:eastAsia="仿宋"/>
                <w:bCs/>
                <w:szCs w:val="21"/>
              </w:rPr>
            </w:pPr>
            <w:r>
              <w:rPr>
                <w:rFonts w:eastAsia="仿宋"/>
                <w:bCs/>
                <w:szCs w:val="21"/>
              </w:rPr>
              <w:t>《关于印发&lt;建设项目主要污染物排放总量指标审核及管理暂行办法&gt;的通知》（环发[2014]197号）</w:t>
            </w:r>
          </w:p>
        </w:tc>
        <w:tc>
          <w:tcPr>
            <w:tcW w:w="3737" w:type="dxa"/>
            <w:vAlign w:val="center"/>
          </w:tcPr>
          <w:p>
            <w:pPr>
              <w:widowControl/>
              <w:autoSpaceDE w:val="0"/>
              <w:autoSpaceDN w:val="0"/>
              <w:adjustRightInd w:val="0"/>
              <w:snapToGrid w:val="0"/>
              <w:jc w:val="center"/>
              <w:rPr>
                <w:rFonts w:eastAsia="仿宋"/>
                <w:bCs/>
                <w:szCs w:val="21"/>
              </w:rPr>
            </w:pPr>
            <w:r>
              <w:rPr>
                <w:rFonts w:eastAsia="仿宋"/>
                <w:bCs/>
                <w:szCs w:val="21"/>
              </w:rPr>
              <w:t>严格落实污染物排放总量控制制度，把主要污染物排放总量指标作为建设项目环境影响评价审批的前置条件。排放主要污染物的建设项目，在环境影响评价文件审批前，须取得主要污染物排放总量指标。</w:t>
            </w:r>
          </w:p>
        </w:tc>
        <w:tc>
          <w:tcPr>
            <w:tcW w:w="3359" w:type="dxa"/>
            <w:vAlign w:val="center"/>
          </w:tcPr>
          <w:p>
            <w:pPr>
              <w:widowControl/>
              <w:autoSpaceDE w:val="0"/>
              <w:autoSpaceDN w:val="0"/>
              <w:adjustRightInd w:val="0"/>
              <w:snapToGrid w:val="0"/>
              <w:jc w:val="center"/>
              <w:rPr>
                <w:rFonts w:eastAsia="仿宋"/>
                <w:bCs/>
                <w:szCs w:val="21"/>
              </w:rPr>
            </w:pPr>
            <w:r>
              <w:rPr>
                <w:rFonts w:eastAsia="仿宋"/>
                <w:bCs/>
                <w:szCs w:val="21"/>
              </w:rPr>
              <w:t>本项目严格落实主要污染物排放总量的控制指标和平衡方案，符合文件要求。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vAlign w:val="center"/>
          </w:tcPr>
          <w:p>
            <w:pPr>
              <w:widowControl/>
              <w:autoSpaceDE w:val="0"/>
              <w:autoSpaceDN w:val="0"/>
              <w:adjustRightInd w:val="0"/>
              <w:snapToGrid w:val="0"/>
              <w:jc w:val="center"/>
              <w:rPr>
                <w:rFonts w:eastAsia="仿宋"/>
                <w:bCs/>
                <w:szCs w:val="21"/>
              </w:rPr>
            </w:pPr>
            <w:r>
              <w:rPr>
                <w:rFonts w:eastAsia="仿宋"/>
                <w:bCs/>
                <w:szCs w:val="21"/>
              </w:rPr>
              <w:t xml:space="preserve">《关于以改善环境质量为核心加强环境影响评价管理的通知》（环环评[2016]150号） </w:t>
            </w:r>
          </w:p>
        </w:tc>
        <w:tc>
          <w:tcPr>
            <w:tcW w:w="3737" w:type="dxa"/>
            <w:vAlign w:val="center"/>
          </w:tcPr>
          <w:p>
            <w:pPr>
              <w:widowControl/>
              <w:autoSpaceDE w:val="0"/>
              <w:autoSpaceDN w:val="0"/>
              <w:adjustRightInd w:val="0"/>
              <w:snapToGrid w:val="0"/>
              <w:jc w:val="center"/>
              <w:rPr>
                <w:rFonts w:eastAsia="仿宋"/>
                <w:bCs/>
                <w:szCs w:val="21"/>
              </w:rPr>
            </w:pPr>
            <w:r>
              <w:rPr>
                <w:rFonts w:eastAsia="仿宋"/>
                <w:bCs/>
                <w:szCs w:val="21"/>
              </w:rPr>
              <w:t>（1）规划环评要作为规划所包含项目环评的重要依据，对于不符合规划环评结论及审查意见的项目环评，依法不予审批。（2）对环境质量现状超标的地区，项目拟采取的措施不能满足区域环境质量改善目标管理要求的，依法不予审批其环评文件。对未达到环境质量目标考核要求的地区，除民生项目与节能减排项目外，依法暂停审批该地区新增排放相应重点污染物的项目环评文件。</w:t>
            </w:r>
          </w:p>
        </w:tc>
        <w:tc>
          <w:tcPr>
            <w:tcW w:w="3359" w:type="dxa"/>
            <w:vAlign w:val="center"/>
          </w:tcPr>
          <w:p>
            <w:pPr>
              <w:widowControl/>
              <w:autoSpaceDE w:val="0"/>
              <w:autoSpaceDN w:val="0"/>
              <w:adjustRightInd w:val="0"/>
              <w:snapToGrid w:val="0"/>
              <w:jc w:val="center"/>
              <w:rPr>
                <w:rFonts w:eastAsia="仿宋"/>
                <w:bCs/>
                <w:szCs w:val="21"/>
              </w:rPr>
            </w:pPr>
            <w:r>
              <w:rPr>
                <w:rFonts w:eastAsia="仿宋"/>
                <w:bCs/>
                <w:szCs w:val="21"/>
              </w:rPr>
              <w:t>（1）本项目位于江苏省金坛区金城镇工业园区（北区），为工业用地，本项目从事电子用胶带的生产，符合区域环评中的用地性质要求及产业定位，与区域环评相符。（2）本项目所在地常州市为不达标区，本项目建成后大气环境质量不下降。因此，符合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vAlign w:val="center"/>
          </w:tcPr>
          <w:p>
            <w:pPr>
              <w:widowControl/>
              <w:autoSpaceDE w:val="0"/>
              <w:autoSpaceDN w:val="0"/>
              <w:adjustRightInd w:val="0"/>
              <w:snapToGrid w:val="0"/>
              <w:jc w:val="center"/>
              <w:rPr>
                <w:rFonts w:eastAsia="仿宋"/>
                <w:bCs/>
                <w:szCs w:val="21"/>
              </w:rPr>
            </w:pPr>
            <w:r>
              <w:rPr>
                <w:rFonts w:eastAsia="仿宋"/>
                <w:bCs/>
                <w:szCs w:val="21"/>
              </w:rPr>
              <w:t>《关于全面加强生态环境保护坚决打好污染防治攻坚战的实施意见》（苏发[2018]24号）</w:t>
            </w:r>
          </w:p>
        </w:tc>
        <w:tc>
          <w:tcPr>
            <w:tcW w:w="3737" w:type="dxa"/>
            <w:vAlign w:val="center"/>
          </w:tcPr>
          <w:p>
            <w:pPr>
              <w:widowControl/>
              <w:autoSpaceDE w:val="0"/>
              <w:autoSpaceDN w:val="0"/>
              <w:adjustRightInd w:val="0"/>
              <w:snapToGrid w:val="0"/>
              <w:jc w:val="center"/>
              <w:rPr>
                <w:rFonts w:eastAsia="仿宋"/>
                <w:bCs/>
                <w:szCs w:val="21"/>
              </w:rPr>
            </w:pPr>
            <w:r>
              <w:rPr>
                <w:rFonts w:eastAsia="仿宋"/>
                <w:bCs/>
                <w:szCs w:val="21"/>
              </w:rPr>
              <w:t>严禁在长江干流及主要支流岸线1公里范围内新建布局化工园区和化工企业。严格化工项目环评审批，提高准入门槛，新建化工项目原则上投资额不得低于10亿元，不得新建、改建、扩建三类中间体项目。</w:t>
            </w:r>
          </w:p>
        </w:tc>
        <w:tc>
          <w:tcPr>
            <w:tcW w:w="3359" w:type="dxa"/>
            <w:vAlign w:val="center"/>
          </w:tcPr>
          <w:p>
            <w:pPr>
              <w:widowControl/>
              <w:autoSpaceDE w:val="0"/>
              <w:autoSpaceDN w:val="0"/>
              <w:adjustRightInd w:val="0"/>
              <w:snapToGrid w:val="0"/>
              <w:jc w:val="center"/>
              <w:rPr>
                <w:rFonts w:eastAsia="仿宋"/>
                <w:bCs/>
                <w:szCs w:val="21"/>
              </w:rPr>
            </w:pPr>
            <w:r>
              <w:rPr>
                <w:rFonts w:eastAsia="仿宋"/>
                <w:bCs/>
                <w:szCs w:val="21"/>
              </w:rPr>
              <w:t>本项目位于江苏省金坛区金城镇工业园区（北区），不在长江干流及主要支流岸线1公里范围内，属于危废处置利用项目。因此，符合文件要求。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vAlign w:val="center"/>
          </w:tcPr>
          <w:p>
            <w:pPr>
              <w:widowControl/>
              <w:autoSpaceDE w:val="0"/>
              <w:autoSpaceDN w:val="0"/>
              <w:adjustRightInd w:val="0"/>
              <w:snapToGrid w:val="0"/>
              <w:jc w:val="center"/>
              <w:rPr>
                <w:rFonts w:eastAsia="仿宋"/>
                <w:bCs/>
                <w:szCs w:val="21"/>
              </w:rPr>
            </w:pPr>
            <w:r>
              <w:rPr>
                <w:rFonts w:eastAsia="仿宋"/>
                <w:bCs/>
                <w:szCs w:val="21"/>
              </w:rPr>
              <w:t>《江苏省打赢蓝天保卫战三年行动计划实施方案》（苏政发[2018]122号）</w:t>
            </w:r>
          </w:p>
        </w:tc>
        <w:tc>
          <w:tcPr>
            <w:tcW w:w="3737" w:type="dxa"/>
            <w:vAlign w:val="center"/>
          </w:tcPr>
          <w:p>
            <w:pPr>
              <w:widowControl/>
              <w:autoSpaceDE w:val="0"/>
              <w:autoSpaceDN w:val="0"/>
              <w:adjustRightInd w:val="0"/>
              <w:snapToGrid w:val="0"/>
              <w:jc w:val="center"/>
              <w:rPr>
                <w:rFonts w:eastAsia="仿宋"/>
                <w:bCs/>
                <w:szCs w:val="21"/>
              </w:rPr>
            </w:pPr>
            <w:r>
              <w:rPr>
                <w:rFonts w:eastAsia="仿宋"/>
                <w:bCs/>
                <w:szCs w:val="21"/>
              </w:rPr>
              <w:t>禁止建设生产和使用高 VOCs含量的溶剂型涂料、油墨、胶粘剂等项目。</w:t>
            </w:r>
          </w:p>
        </w:tc>
        <w:tc>
          <w:tcPr>
            <w:tcW w:w="3359" w:type="dxa"/>
            <w:vAlign w:val="center"/>
          </w:tcPr>
          <w:p>
            <w:pPr>
              <w:widowControl/>
              <w:autoSpaceDE w:val="0"/>
              <w:autoSpaceDN w:val="0"/>
              <w:adjustRightInd w:val="0"/>
              <w:snapToGrid w:val="0"/>
              <w:jc w:val="center"/>
              <w:rPr>
                <w:rFonts w:eastAsia="仿宋"/>
                <w:bCs/>
                <w:szCs w:val="21"/>
              </w:rPr>
            </w:pPr>
            <w:r>
              <w:rPr>
                <w:rFonts w:hint="eastAsia" w:eastAsia="仿宋"/>
                <w:bCs/>
                <w:szCs w:val="21"/>
              </w:rPr>
              <w:t>本项目</w:t>
            </w:r>
            <w:r>
              <w:rPr>
                <w:rFonts w:eastAsia="仿宋"/>
                <w:bCs/>
                <w:szCs w:val="21"/>
              </w:rPr>
              <w:t>使用的胶粘剂已</w:t>
            </w:r>
            <w:r>
              <w:rPr>
                <w:rFonts w:hint="eastAsia" w:eastAsia="仿宋"/>
                <w:bCs/>
                <w:szCs w:val="21"/>
              </w:rPr>
              <w:t>编制</w:t>
            </w:r>
            <w:r>
              <w:rPr>
                <w:rFonts w:eastAsia="仿宋"/>
                <w:bCs/>
                <w:szCs w:val="21"/>
              </w:rPr>
              <w:t>不可替代</w:t>
            </w:r>
            <w:r>
              <w:rPr>
                <w:rFonts w:hint="eastAsia" w:eastAsia="仿宋"/>
                <w:bCs/>
                <w:szCs w:val="21"/>
              </w:rPr>
              <w:t>论证</w:t>
            </w:r>
            <w:r>
              <w:rPr>
                <w:rFonts w:eastAsia="仿宋"/>
                <w:bCs/>
                <w:szCs w:val="21"/>
              </w:rPr>
              <w:t>报告并通过专家论证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vAlign w:val="center"/>
          </w:tcPr>
          <w:p>
            <w:pPr>
              <w:widowControl/>
              <w:autoSpaceDE w:val="0"/>
              <w:autoSpaceDN w:val="0"/>
              <w:adjustRightInd w:val="0"/>
              <w:snapToGrid w:val="0"/>
              <w:jc w:val="center"/>
              <w:rPr>
                <w:rFonts w:eastAsia="仿宋"/>
                <w:bCs/>
                <w:szCs w:val="21"/>
              </w:rPr>
            </w:pPr>
            <w:r>
              <w:rPr>
                <w:rFonts w:eastAsia="仿宋"/>
                <w:bCs/>
                <w:szCs w:val="21"/>
              </w:rPr>
              <w:t>《省政府关于印发江苏省国家级生态保护红线规划的通知》（苏政发[2018]74号）</w:t>
            </w:r>
          </w:p>
        </w:tc>
        <w:tc>
          <w:tcPr>
            <w:tcW w:w="3737" w:type="dxa"/>
            <w:vAlign w:val="center"/>
          </w:tcPr>
          <w:p>
            <w:pPr>
              <w:widowControl/>
              <w:autoSpaceDE w:val="0"/>
              <w:autoSpaceDN w:val="0"/>
              <w:adjustRightInd w:val="0"/>
              <w:snapToGrid w:val="0"/>
              <w:jc w:val="center"/>
              <w:rPr>
                <w:rFonts w:eastAsia="仿宋"/>
                <w:bCs/>
                <w:szCs w:val="21"/>
              </w:rPr>
            </w:pPr>
            <w:r>
              <w:rPr>
                <w:rFonts w:eastAsia="仿宋"/>
                <w:bCs/>
                <w:szCs w:val="21"/>
              </w:rPr>
              <w:t>生态保护红线原则上按禁止开发区域的要求进行管理，严禁不符合主体功能定位的各类开发活动，严禁任意改变用途。</w:t>
            </w:r>
          </w:p>
        </w:tc>
        <w:tc>
          <w:tcPr>
            <w:tcW w:w="3359" w:type="dxa"/>
            <w:vAlign w:val="center"/>
          </w:tcPr>
          <w:p>
            <w:pPr>
              <w:widowControl/>
              <w:autoSpaceDE w:val="0"/>
              <w:autoSpaceDN w:val="0"/>
              <w:adjustRightInd w:val="0"/>
              <w:snapToGrid w:val="0"/>
              <w:jc w:val="center"/>
              <w:rPr>
                <w:rFonts w:eastAsia="仿宋"/>
                <w:bCs/>
                <w:szCs w:val="21"/>
              </w:rPr>
            </w:pPr>
            <w:r>
              <w:rPr>
                <w:rFonts w:eastAsia="仿宋"/>
                <w:bCs/>
                <w:szCs w:val="21"/>
              </w:rPr>
              <w:t>本项目位于江苏省金坛区金城镇工业园区（北区），本项目不在《江苏省生态红线区域保护规划》中规定的一级、二级管控区内。因此，符合文件要求。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vAlign w:val="center"/>
          </w:tcPr>
          <w:p>
            <w:pPr>
              <w:widowControl/>
              <w:autoSpaceDE w:val="0"/>
              <w:autoSpaceDN w:val="0"/>
              <w:adjustRightInd w:val="0"/>
              <w:snapToGrid w:val="0"/>
              <w:jc w:val="center"/>
              <w:rPr>
                <w:rFonts w:eastAsia="仿宋"/>
                <w:bCs/>
                <w:szCs w:val="21"/>
              </w:rPr>
            </w:pPr>
            <w:r>
              <w:rPr>
                <w:rFonts w:eastAsia="仿宋"/>
                <w:bCs/>
                <w:szCs w:val="21"/>
              </w:rPr>
              <w:t>《省政府办公厅关于加强危险废物污染防治工作的意见》（苏政办发[2018]91号）</w:t>
            </w:r>
          </w:p>
        </w:tc>
        <w:tc>
          <w:tcPr>
            <w:tcW w:w="3737" w:type="dxa"/>
            <w:vAlign w:val="center"/>
          </w:tcPr>
          <w:p>
            <w:pPr>
              <w:widowControl/>
              <w:autoSpaceDE w:val="0"/>
              <w:autoSpaceDN w:val="0"/>
              <w:adjustRightInd w:val="0"/>
              <w:snapToGrid w:val="0"/>
              <w:jc w:val="center"/>
              <w:rPr>
                <w:rFonts w:eastAsia="仿宋"/>
                <w:bCs/>
                <w:szCs w:val="21"/>
              </w:rPr>
            </w:pPr>
            <w:r>
              <w:rPr>
                <w:rFonts w:eastAsia="仿宋"/>
                <w:bCs/>
                <w:szCs w:val="21"/>
              </w:rPr>
              <w:t>禁止审批无法落实危险废物利用、处置途径的项目，从严审批危险废物产生量大、本地无配套利用处置能力、且需设区市统筹解决的项目。</w:t>
            </w:r>
          </w:p>
        </w:tc>
        <w:tc>
          <w:tcPr>
            <w:tcW w:w="3359" w:type="dxa"/>
            <w:vAlign w:val="center"/>
          </w:tcPr>
          <w:p>
            <w:pPr>
              <w:widowControl/>
              <w:autoSpaceDE w:val="0"/>
              <w:autoSpaceDN w:val="0"/>
              <w:adjustRightInd w:val="0"/>
              <w:snapToGrid w:val="0"/>
              <w:jc w:val="center"/>
              <w:rPr>
                <w:rFonts w:eastAsia="仿宋"/>
                <w:bCs/>
                <w:szCs w:val="21"/>
              </w:rPr>
            </w:pPr>
            <w:r>
              <w:rPr>
                <w:rFonts w:eastAsia="仿宋"/>
                <w:bCs/>
                <w:szCs w:val="21"/>
              </w:rPr>
              <w:t>本项目产生的危险废物委托有资质单位处置，生活垃圾由环卫部门定期收集清运，固废处置率100%。因此，符合文件要求。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vAlign w:val="center"/>
          </w:tcPr>
          <w:p>
            <w:pPr>
              <w:widowControl/>
              <w:autoSpaceDE w:val="0"/>
              <w:autoSpaceDN w:val="0"/>
              <w:adjustRightInd w:val="0"/>
              <w:snapToGrid w:val="0"/>
              <w:jc w:val="center"/>
              <w:rPr>
                <w:rFonts w:eastAsia="仿宋"/>
                <w:bCs/>
                <w:szCs w:val="21"/>
              </w:rPr>
            </w:pPr>
            <w:r>
              <w:rPr>
                <w:rFonts w:eastAsia="仿宋"/>
                <w:bCs/>
                <w:szCs w:val="21"/>
              </w:rPr>
              <w:t>《关于发布长江经济带发展负面清单指南（试行）的通知》（推动长江经济带发展领导小组办公室文件第89号）</w:t>
            </w:r>
          </w:p>
        </w:tc>
        <w:tc>
          <w:tcPr>
            <w:tcW w:w="3737" w:type="dxa"/>
            <w:vAlign w:val="center"/>
          </w:tcPr>
          <w:p>
            <w:pPr>
              <w:widowControl/>
              <w:autoSpaceDE w:val="0"/>
              <w:autoSpaceDN w:val="0"/>
              <w:adjustRightInd w:val="0"/>
              <w:snapToGrid w:val="0"/>
              <w:jc w:val="center"/>
              <w:rPr>
                <w:rFonts w:eastAsia="仿宋"/>
                <w:bCs/>
                <w:szCs w:val="21"/>
              </w:rPr>
            </w:pPr>
            <w:r>
              <w:rPr>
                <w:rFonts w:eastAsia="仿宋"/>
                <w:bCs/>
                <w:szCs w:val="21"/>
              </w:rPr>
              <w:t>（1）禁止在长江干支流1公里范围内新建、扩建化工园区和化工项目。禁止在合规园区外新建、扩建钢铁、石化、化工、焦化、建材、有色等高污染项目。（2）禁止新建、扩建不符合国家石化、现代煤化工等产业布局规划的项目。（3）禁止新建、扩建法律法规和相关政策明令禁止的落后产能项目。（4）禁止新建、扩建不符合国家产能置换要求的严重过剩产能行业的项目。</w:t>
            </w:r>
          </w:p>
        </w:tc>
        <w:tc>
          <w:tcPr>
            <w:tcW w:w="3359" w:type="dxa"/>
            <w:vAlign w:val="center"/>
          </w:tcPr>
          <w:p>
            <w:pPr>
              <w:widowControl/>
              <w:autoSpaceDE w:val="0"/>
              <w:autoSpaceDN w:val="0"/>
              <w:adjustRightInd w:val="0"/>
              <w:snapToGrid w:val="0"/>
              <w:jc w:val="center"/>
              <w:rPr>
                <w:rFonts w:eastAsia="仿宋"/>
                <w:bCs/>
                <w:szCs w:val="21"/>
              </w:rPr>
            </w:pPr>
            <w:r>
              <w:rPr>
                <w:rFonts w:eastAsia="仿宋"/>
                <w:bCs/>
                <w:szCs w:val="21"/>
              </w:rPr>
              <w:t>本项目为电子用胶带生产项目，不属于钢铁、石化、化工、焦化、建材、有色行业，不属于国家法律法规和相关政策明令禁止建设的落后产能项目，也不属于不符合国家产能置换要求的严重过剩产能行业的项目；项目选址位于江苏省金坛区金城镇工业园区（北区），且不在长江干支流1公里范围内。因此，符合文件要求。</w:t>
            </w:r>
          </w:p>
        </w:tc>
      </w:tr>
    </w:tbl>
    <w:p>
      <w:pPr>
        <w:spacing w:line="494" w:lineRule="exact"/>
        <w:ind w:left="426"/>
        <w:rPr>
          <w:rFonts w:eastAsia="仿宋_GB2312"/>
          <w:sz w:val="28"/>
          <w:szCs w:val="28"/>
        </w:rPr>
      </w:pPr>
      <w:r>
        <w:rPr>
          <w:rFonts w:eastAsia="仿宋_GB2312"/>
          <w:sz w:val="28"/>
          <w:szCs w:val="28"/>
        </w:rPr>
        <w:t>由上表可知，本项目符合苏环办[2019]36号文的相关要求。</w:t>
      </w:r>
    </w:p>
    <w:p>
      <w:pPr>
        <w:spacing w:line="500" w:lineRule="exact"/>
        <w:ind w:left="426"/>
        <w:rPr>
          <w:rFonts w:eastAsia="仿宋_GB2312"/>
          <w:sz w:val="28"/>
          <w:szCs w:val="28"/>
        </w:rPr>
      </w:pPr>
      <w:r>
        <w:rPr>
          <w:rFonts w:eastAsia="仿宋_GB2312"/>
          <w:sz w:val="28"/>
          <w:szCs w:val="28"/>
        </w:rPr>
        <w:t>（8）与环大气[2019]53号文相符性分析</w:t>
      </w:r>
    </w:p>
    <w:p>
      <w:pPr>
        <w:spacing w:line="500" w:lineRule="exact"/>
        <w:ind w:firstLine="560" w:firstLineChars="200"/>
        <w:contextualSpacing/>
        <w:rPr>
          <w:rFonts w:eastAsia="仿宋_GB2312"/>
          <w:sz w:val="28"/>
          <w:szCs w:val="28"/>
        </w:rPr>
      </w:pPr>
      <w:r>
        <w:rPr>
          <w:rFonts w:eastAsia="仿宋_GB2312"/>
          <w:sz w:val="28"/>
          <w:szCs w:val="28"/>
        </w:rPr>
        <w:t>本项目与《关于印发&lt;重点行业挥发性有机物综合治理方案&gt;的通知》（环大气[2019]53号文）有关内容对照情况见下表。</w:t>
      </w:r>
    </w:p>
    <w:p>
      <w:pPr>
        <w:spacing w:line="500" w:lineRule="exact"/>
        <w:jc w:val="center"/>
        <w:rPr>
          <w:rFonts w:eastAsia="仿宋_GB2312"/>
          <w:b/>
          <w:bCs/>
          <w:sz w:val="24"/>
        </w:rPr>
      </w:pPr>
      <w:r>
        <w:rPr>
          <w:rFonts w:eastAsia="仿宋_GB2312"/>
          <w:b/>
          <w:bCs/>
          <w:sz w:val="24"/>
        </w:rPr>
        <w:t xml:space="preserve">表 </w:t>
      </w:r>
      <w:r>
        <w:rPr>
          <w:rFonts w:hint="eastAsia" w:eastAsia="仿宋_GB2312"/>
          <w:b/>
          <w:bCs/>
          <w:sz w:val="24"/>
        </w:rPr>
        <w:t>2</w:t>
      </w:r>
      <w:r>
        <w:rPr>
          <w:rFonts w:eastAsia="仿宋_GB2312"/>
          <w:b/>
          <w:bCs/>
          <w:sz w:val="24"/>
        </w:rPr>
        <w:t>.</w:t>
      </w:r>
      <w:r>
        <w:rPr>
          <w:rFonts w:hint="eastAsia" w:eastAsia="仿宋_GB2312"/>
          <w:b/>
          <w:bCs/>
          <w:sz w:val="24"/>
        </w:rPr>
        <w:t>7</w:t>
      </w:r>
      <w:r>
        <w:rPr>
          <w:rFonts w:eastAsia="仿宋_GB2312"/>
          <w:b/>
          <w:bCs/>
          <w:sz w:val="24"/>
        </w:rPr>
        <w:noBreakHyphen/>
      </w:r>
      <w:r>
        <w:rPr>
          <w:rFonts w:eastAsia="仿宋_GB2312"/>
          <w:b/>
          <w:bCs/>
          <w:sz w:val="24"/>
        </w:rPr>
        <w:t>8 本项目与环大气[2019]53号文有关内容对照</w:t>
      </w:r>
    </w:p>
    <w:tbl>
      <w:tblPr>
        <w:tblStyle w:val="8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4962"/>
        <w:gridCol w:w="2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6" w:type="dxa"/>
            <w:vAlign w:val="center"/>
          </w:tcPr>
          <w:p>
            <w:pPr>
              <w:widowControl/>
              <w:autoSpaceDE w:val="0"/>
              <w:autoSpaceDN w:val="0"/>
              <w:adjustRightInd w:val="0"/>
              <w:snapToGrid w:val="0"/>
              <w:jc w:val="center"/>
              <w:rPr>
                <w:rFonts w:eastAsia="仿宋"/>
                <w:bCs/>
                <w:szCs w:val="21"/>
              </w:rPr>
            </w:pPr>
            <w:r>
              <w:rPr>
                <w:rFonts w:eastAsia="仿宋"/>
                <w:bCs/>
                <w:szCs w:val="21"/>
              </w:rPr>
              <w:t>类别</w:t>
            </w:r>
          </w:p>
        </w:tc>
        <w:tc>
          <w:tcPr>
            <w:tcW w:w="4962" w:type="dxa"/>
            <w:vAlign w:val="center"/>
          </w:tcPr>
          <w:p>
            <w:pPr>
              <w:widowControl/>
              <w:autoSpaceDE w:val="0"/>
              <w:autoSpaceDN w:val="0"/>
              <w:adjustRightInd w:val="0"/>
              <w:snapToGrid w:val="0"/>
              <w:jc w:val="center"/>
              <w:rPr>
                <w:rFonts w:eastAsia="仿宋"/>
                <w:bCs/>
                <w:szCs w:val="21"/>
              </w:rPr>
            </w:pPr>
            <w:r>
              <w:rPr>
                <w:rFonts w:eastAsia="仿宋"/>
                <w:bCs/>
                <w:szCs w:val="21"/>
              </w:rPr>
              <w:t>环大气[2019]53号文要求</w:t>
            </w:r>
          </w:p>
        </w:tc>
        <w:tc>
          <w:tcPr>
            <w:tcW w:w="2744" w:type="dxa"/>
            <w:vAlign w:val="center"/>
          </w:tcPr>
          <w:p>
            <w:pPr>
              <w:widowControl/>
              <w:autoSpaceDE w:val="0"/>
              <w:autoSpaceDN w:val="0"/>
              <w:adjustRightInd w:val="0"/>
              <w:snapToGrid w:val="0"/>
              <w:jc w:val="center"/>
              <w:rPr>
                <w:rFonts w:eastAsia="仿宋"/>
                <w:bCs/>
                <w:szCs w:val="21"/>
              </w:rPr>
            </w:pPr>
            <w:r>
              <w:rPr>
                <w:rFonts w:eastAsia="仿宋"/>
                <w:bCs/>
                <w:szCs w:val="21"/>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6" w:type="dxa"/>
            <w:vAlign w:val="center"/>
          </w:tcPr>
          <w:p>
            <w:pPr>
              <w:widowControl/>
              <w:autoSpaceDE w:val="0"/>
              <w:autoSpaceDN w:val="0"/>
              <w:adjustRightInd w:val="0"/>
              <w:snapToGrid w:val="0"/>
              <w:jc w:val="center"/>
              <w:rPr>
                <w:rFonts w:eastAsia="仿宋"/>
                <w:bCs/>
                <w:szCs w:val="21"/>
              </w:rPr>
            </w:pPr>
            <w:r>
              <w:rPr>
                <w:rFonts w:eastAsia="仿宋"/>
                <w:bCs/>
                <w:szCs w:val="21"/>
              </w:rPr>
              <w:t>大力推进源头替代</w:t>
            </w:r>
          </w:p>
        </w:tc>
        <w:tc>
          <w:tcPr>
            <w:tcW w:w="4962" w:type="dxa"/>
            <w:vAlign w:val="center"/>
          </w:tcPr>
          <w:p>
            <w:pPr>
              <w:widowControl/>
              <w:autoSpaceDE w:val="0"/>
              <w:autoSpaceDN w:val="0"/>
              <w:adjustRightInd w:val="0"/>
              <w:snapToGrid w:val="0"/>
              <w:jc w:val="left"/>
              <w:rPr>
                <w:rFonts w:eastAsia="仿宋"/>
                <w:bCs/>
                <w:szCs w:val="21"/>
              </w:rPr>
            </w:pPr>
            <w:r>
              <w:rPr>
                <w:rFonts w:eastAsia="仿宋"/>
                <w:bCs/>
                <w:szCs w:val="21"/>
              </w:rPr>
              <w:t>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w:t>
            </w:r>
          </w:p>
        </w:tc>
        <w:tc>
          <w:tcPr>
            <w:tcW w:w="2744" w:type="dxa"/>
            <w:vAlign w:val="center"/>
          </w:tcPr>
          <w:p>
            <w:pPr>
              <w:widowControl/>
              <w:autoSpaceDE w:val="0"/>
              <w:autoSpaceDN w:val="0"/>
              <w:adjustRightInd w:val="0"/>
              <w:snapToGrid w:val="0"/>
              <w:jc w:val="center"/>
              <w:rPr>
                <w:rFonts w:eastAsia="仿宋"/>
                <w:bCs/>
                <w:szCs w:val="21"/>
              </w:rPr>
            </w:pPr>
            <w:r>
              <w:rPr>
                <w:rFonts w:hint="eastAsia" w:eastAsia="仿宋"/>
                <w:bCs/>
                <w:szCs w:val="21"/>
              </w:rPr>
              <w:t>本项目</w:t>
            </w:r>
            <w:r>
              <w:rPr>
                <w:rFonts w:eastAsia="仿宋"/>
                <w:bCs/>
                <w:szCs w:val="21"/>
              </w:rPr>
              <w:t>使用的胶粘剂已</w:t>
            </w:r>
            <w:r>
              <w:rPr>
                <w:rFonts w:hint="eastAsia" w:eastAsia="仿宋"/>
                <w:bCs/>
                <w:szCs w:val="21"/>
              </w:rPr>
              <w:t>编制</w:t>
            </w:r>
            <w:r>
              <w:rPr>
                <w:rFonts w:eastAsia="仿宋"/>
                <w:bCs/>
                <w:szCs w:val="21"/>
              </w:rPr>
              <w:t>不可替代</w:t>
            </w:r>
            <w:r>
              <w:rPr>
                <w:rFonts w:hint="eastAsia" w:eastAsia="仿宋"/>
                <w:bCs/>
                <w:szCs w:val="21"/>
              </w:rPr>
              <w:t>论证</w:t>
            </w:r>
            <w:r>
              <w:rPr>
                <w:rFonts w:eastAsia="仿宋"/>
                <w:bCs/>
                <w:szCs w:val="21"/>
              </w:rPr>
              <w:t>报告并通过专家论证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6" w:type="dxa"/>
            <w:vMerge w:val="restart"/>
            <w:vAlign w:val="center"/>
          </w:tcPr>
          <w:p>
            <w:pPr>
              <w:widowControl/>
              <w:autoSpaceDE w:val="0"/>
              <w:autoSpaceDN w:val="0"/>
              <w:adjustRightInd w:val="0"/>
              <w:snapToGrid w:val="0"/>
              <w:jc w:val="center"/>
              <w:rPr>
                <w:rFonts w:eastAsia="仿宋"/>
                <w:bCs/>
                <w:szCs w:val="21"/>
              </w:rPr>
            </w:pPr>
            <w:r>
              <w:rPr>
                <w:rFonts w:eastAsia="仿宋"/>
                <w:bCs/>
                <w:szCs w:val="21"/>
              </w:rPr>
              <w:t>全面加强无组织排放控制</w:t>
            </w:r>
          </w:p>
        </w:tc>
        <w:tc>
          <w:tcPr>
            <w:tcW w:w="4962" w:type="dxa"/>
            <w:vAlign w:val="center"/>
          </w:tcPr>
          <w:p>
            <w:pPr>
              <w:widowControl/>
              <w:autoSpaceDE w:val="0"/>
              <w:autoSpaceDN w:val="0"/>
              <w:adjustRightInd w:val="0"/>
              <w:snapToGrid w:val="0"/>
              <w:jc w:val="left"/>
              <w:rPr>
                <w:rFonts w:eastAsia="仿宋"/>
                <w:bCs/>
                <w:szCs w:val="21"/>
              </w:rPr>
            </w:pPr>
            <w:r>
              <w:rPr>
                <w:rFonts w:eastAsia="仿宋"/>
                <w:bCs/>
                <w:szCs w:val="21"/>
              </w:rPr>
              <w:t>含VOCs物料应储存于密闭容器、包装袋，高效密封储罐，封闭式储库、料仓等。含VOCs物料转移和输送，应采用密闭管道或密闭容器、罐车等。含VOCs物料生产和使用过程，应采取有效收集措施或在密闭空间中操作。</w:t>
            </w:r>
          </w:p>
        </w:tc>
        <w:tc>
          <w:tcPr>
            <w:tcW w:w="2744" w:type="dxa"/>
            <w:vMerge w:val="restart"/>
            <w:vAlign w:val="center"/>
          </w:tcPr>
          <w:p>
            <w:pPr>
              <w:widowControl/>
              <w:autoSpaceDE w:val="0"/>
              <w:autoSpaceDN w:val="0"/>
              <w:adjustRightInd w:val="0"/>
              <w:snapToGrid w:val="0"/>
              <w:jc w:val="left"/>
              <w:rPr>
                <w:rFonts w:eastAsia="仿宋"/>
                <w:bCs/>
                <w:szCs w:val="21"/>
              </w:rPr>
            </w:pPr>
            <w:r>
              <w:rPr>
                <w:rFonts w:eastAsia="仿宋"/>
                <w:bCs/>
                <w:szCs w:val="21"/>
              </w:rPr>
              <w:t>本项目原辅料均采用密闭容器封装，</w:t>
            </w:r>
            <w:r>
              <w:rPr>
                <w:rFonts w:hint="eastAsia" w:eastAsia="仿宋"/>
                <w:bCs/>
                <w:szCs w:val="21"/>
              </w:rPr>
              <w:t>生产</w:t>
            </w:r>
            <w:r>
              <w:rPr>
                <w:rFonts w:eastAsia="仿宋"/>
                <w:bCs/>
                <w:szCs w:val="21"/>
              </w:rPr>
              <w:t>车间为密闭车间，</w:t>
            </w:r>
            <w:r>
              <w:rPr>
                <w:rFonts w:hint="eastAsia" w:eastAsia="仿宋"/>
                <w:bCs/>
                <w:szCs w:val="21"/>
              </w:rPr>
              <w:t>采用</w:t>
            </w:r>
            <w:r>
              <w:rPr>
                <w:rFonts w:eastAsia="仿宋"/>
                <w:bCs/>
                <w:szCs w:val="21"/>
              </w:rPr>
              <w:t>密闭</w:t>
            </w:r>
            <w:r>
              <w:rPr>
                <w:rFonts w:hint="eastAsia" w:eastAsia="仿宋"/>
                <w:bCs/>
                <w:szCs w:val="21"/>
              </w:rPr>
              <w:t>负压</w:t>
            </w:r>
            <w:r>
              <w:rPr>
                <w:rFonts w:eastAsia="仿宋"/>
                <w:bCs/>
                <w:szCs w:val="21"/>
              </w:rPr>
              <w:t>的方式</w:t>
            </w:r>
            <w:r>
              <w:rPr>
                <w:rFonts w:hint="eastAsia" w:eastAsia="仿宋"/>
                <w:bCs/>
                <w:szCs w:val="21"/>
              </w:rPr>
              <w:t>收集</w:t>
            </w:r>
            <w:r>
              <w:rPr>
                <w:rFonts w:eastAsia="仿宋"/>
                <w:bCs/>
                <w:szCs w:val="21"/>
              </w:rPr>
              <w:t>有机废气，捕集率不低于90%，其余废气经管道收集。因此，符合文件要求。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6" w:type="dxa"/>
            <w:vMerge w:val="continue"/>
            <w:vAlign w:val="center"/>
          </w:tcPr>
          <w:p>
            <w:pPr>
              <w:widowControl/>
              <w:autoSpaceDE w:val="0"/>
              <w:autoSpaceDN w:val="0"/>
              <w:adjustRightInd w:val="0"/>
              <w:snapToGrid w:val="0"/>
              <w:jc w:val="center"/>
              <w:rPr>
                <w:rFonts w:eastAsia="仿宋"/>
                <w:bCs/>
                <w:szCs w:val="21"/>
              </w:rPr>
            </w:pPr>
          </w:p>
        </w:tc>
        <w:tc>
          <w:tcPr>
            <w:tcW w:w="4962" w:type="dxa"/>
            <w:vAlign w:val="center"/>
          </w:tcPr>
          <w:p>
            <w:pPr>
              <w:autoSpaceDE w:val="0"/>
              <w:autoSpaceDN w:val="0"/>
              <w:adjustRightInd w:val="0"/>
              <w:snapToGrid w:val="0"/>
              <w:spacing w:line="276" w:lineRule="exact"/>
              <w:jc w:val="center"/>
              <w:rPr>
                <w:rFonts w:eastAsia="仿宋"/>
                <w:bCs/>
                <w:szCs w:val="21"/>
              </w:rPr>
            </w:pPr>
            <w:r>
              <w:rPr>
                <w:rFonts w:eastAsia="仿宋"/>
                <w:bCs/>
                <w:szCs w:val="21"/>
              </w:rPr>
              <w:t>遵循“应收尽收、分质收集”的原则，科学设计废气收集系统，将无组织排放转变为有组织排放进行控制。</w:t>
            </w:r>
          </w:p>
        </w:tc>
        <w:tc>
          <w:tcPr>
            <w:tcW w:w="2744" w:type="dxa"/>
            <w:vMerge w:val="continue"/>
            <w:vAlign w:val="center"/>
          </w:tcPr>
          <w:p>
            <w:pPr>
              <w:widowControl/>
              <w:autoSpaceDE w:val="0"/>
              <w:autoSpaceDN w:val="0"/>
              <w:adjustRightInd w:val="0"/>
              <w:snapToGrid w:val="0"/>
              <w:jc w:val="center"/>
              <w:rPr>
                <w:rFonts w:eastAsia="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6" w:type="dxa"/>
            <w:vMerge w:val="continue"/>
            <w:vAlign w:val="center"/>
          </w:tcPr>
          <w:p>
            <w:pPr>
              <w:widowControl/>
              <w:autoSpaceDE w:val="0"/>
              <w:autoSpaceDN w:val="0"/>
              <w:adjustRightInd w:val="0"/>
              <w:snapToGrid w:val="0"/>
              <w:jc w:val="center"/>
              <w:rPr>
                <w:rFonts w:eastAsia="仿宋"/>
                <w:bCs/>
                <w:szCs w:val="21"/>
              </w:rPr>
            </w:pPr>
          </w:p>
        </w:tc>
        <w:tc>
          <w:tcPr>
            <w:tcW w:w="4962" w:type="dxa"/>
            <w:vAlign w:val="center"/>
          </w:tcPr>
          <w:p>
            <w:pPr>
              <w:autoSpaceDE w:val="0"/>
              <w:autoSpaceDN w:val="0"/>
              <w:adjustRightInd w:val="0"/>
              <w:snapToGrid w:val="0"/>
              <w:spacing w:line="276" w:lineRule="exact"/>
              <w:jc w:val="center"/>
              <w:rPr>
                <w:rFonts w:eastAsia="仿宋"/>
                <w:bCs/>
                <w:szCs w:val="21"/>
              </w:rPr>
            </w:pPr>
            <w:r>
              <w:rPr>
                <w:rFonts w:eastAsia="仿宋"/>
                <w:bCs/>
                <w:szCs w:val="21"/>
              </w:rPr>
              <w:t>通过采用全密闭、连续化、自动化等生产技术，以及高效工艺与设备等，减少工艺过程无组织排放。</w:t>
            </w:r>
          </w:p>
        </w:tc>
        <w:tc>
          <w:tcPr>
            <w:tcW w:w="2744" w:type="dxa"/>
            <w:vAlign w:val="center"/>
          </w:tcPr>
          <w:p>
            <w:pPr>
              <w:autoSpaceDE w:val="0"/>
              <w:autoSpaceDN w:val="0"/>
              <w:adjustRightInd w:val="0"/>
              <w:snapToGrid w:val="0"/>
              <w:spacing w:line="276" w:lineRule="exact"/>
              <w:jc w:val="center"/>
              <w:rPr>
                <w:rFonts w:eastAsia="仿宋"/>
                <w:bCs/>
                <w:szCs w:val="21"/>
              </w:rPr>
            </w:pPr>
            <w:r>
              <w:rPr>
                <w:rFonts w:eastAsia="仿宋"/>
                <w:bCs/>
                <w:szCs w:val="21"/>
              </w:rPr>
              <w:t>本项目采用全密闭、连续化、自动化等生产技术，以及高效工艺与设备等，控制工艺过程无组织排放。因此，符合文件要求。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6" w:type="dxa"/>
            <w:vMerge w:val="restart"/>
            <w:vAlign w:val="center"/>
          </w:tcPr>
          <w:p>
            <w:pPr>
              <w:widowControl/>
              <w:autoSpaceDE w:val="0"/>
              <w:autoSpaceDN w:val="0"/>
              <w:adjustRightInd w:val="0"/>
              <w:snapToGrid w:val="0"/>
              <w:jc w:val="center"/>
              <w:rPr>
                <w:rFonts w:eastAsia="仿宋"/>
                <w:bCs/>
                <w:szCs w:val="21"/>
              </w:rPr>
            </w:pPr>
            <w:r>
              <w:rPr>
                <w:rFonts w:eastAsia="仿宋"/>
                <w:bCs/>
                <w:szCs w:val="21"/>
              </w:rPr>
              <w:t>推进建设适宜高效的治污设施。</w:t>
            </w:r>
          </w:p>
        </w:tc>
        <w:tc>
          <w:tcPr>
            <w:tcW w:w="4962" w:type="dxa"/>
            <w:vAlign w:val="center"/>
          </w:tcPr>
          <w:p>
            <w:pPr>
              <w:widowControl/>
              <w:autoSpaceDE w:val="0"/>
              <w:autoSpaceDN w:val="0"/>
              <w:adjustRightInd w:val="0"/>
              <w:snapToGrid w:val="0"/>
              <w:jc w:val="left"/>
              <w:rPr>
                <w:rFonts w:eastAsia="仿宋"/>
                <w:bCs/>
                <w:szCs w:val="21"/>
              </w:rPr>
            </w:pPr>
            <w:r>
              <w:rPr>
                <w:rFonts w:eastAsia="仿宋"/>
                <w:bCs/>
                <w:szCs w:val="21"/>
              </w:rPr>
              <w:t>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w:t>
            </w:r>
          </w:p>
        </w:tc>
        <w:tc>
          <w:tcPr>
            <w:tcW w:w="2744" w:type="dxa"/>
            <w:vAlign w:val="center"/>
          </w:tcPr>
          <w:p>
            <w:pPr>
              <w:widowControl/>
              <w:autoSpaceDE w:val="0"/>
              <w:autoSpaceDN w:val="0"/>
              <w:adjustRightInd w:val="0"/>
              <w:snapToGrid w:val="0"/>
              <w:jc w:val="left"/>
              <w:rPr>
                <w:rFonts w:eastAsia="仿宋"/>
                <w:bCs/>
                <w:szCs w:val="21"/>
              </w:rPr>
            </w:pPr>
            <w:r>
              <w:rPr>
                <w:rFonts w:eastAsia="仿宋"/>
                <w:bCs/>
                <w:szCs w:val="21"/>
              </w:rPr>
              <w:t>本项目废气采用</w:t>
            </w:r>
            <w:r>
              <w:rPr>
                <w:rFonts w:hint="eastAsia" w:eastAsia="仿宋"/>
                <w:bCs/>
                <w:szCs w:val="21"/>
              </w:rPr>
              <w:t>R</w:t>
            </w:r>
            <w:r>
              <w:rPr>
                <w:rFonts w:eastAsia="仿宋"/>
                <w:bCs/>
                <w:szCs w:val="21"/>
              </w:rPr>
              <w:t>TO</w:t>
            </w:r>
            <w:r>
              <w:rPr>
                <w:rFonts w:hint="eastAsia" w:eastAsia="仿宋"/>
                <w:bCs/>
                <w:szCs w:val="21"/>
              </w:rPr>
              <w:t>装置</w:t>
            </w:r>
            <w:r>
              <w:rPr>
                <w:rFonts w:eastAsia="仿宋"/>
                <w:bCs/>
                <w:szCs w:val="21"/>
              </w:rPr>
              <w:t>处理。</w:t>
            </w:r>
            <w:r>
              <w:rPr>
                <w:rFonts w:hint="eastAsia" w:eastAsia="仿宋"/>
                <w:bCs/>
                <w:szCs w:val="21"/>
              </w:rPr>
              <w:t>处理效率可达99</w:t>
            </w:r>
            <w:r>
              <w:rPr>
                <w:rFonts w:eastAsia="仿宋"/>
                <w:bCs/>
                <w:szCs w:val="21"/>
              </w:rPr>
              <w:t>.5%。符合文件要求。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6" w:type="dxa"/>
            <w:vMerge w:val="continue"/>
            <w:vAlign w:val="center"/>
          </w:tcPr>
          <w:p>
            <w:pPr>
              <w:widowControl/>
              <w:autoSpaceDE w:val="0"/>
              <w:autoSpaceDN w:val="0"/>
              <w:adjustRightInd w:val="0"/>
              <w:snapToGrid w:val="0"/>
              <w:jc w:val="center"/>
              <w:rPr>
                <w:rFonts w:eastAsia="仿宋"/>
                <w:bCs/>
                <w:szCs w:val="21"/>
              </w:rPr>
            </w:pPr>
          </w:p>
        </w:tc>
        <w:tc>
          <w:tcPr>
            <w:tcW w:w="4962" w:type="dxa"/>
            <w:vAlign w:val="center"/>
          </w:tcPr>
          <w:p>
            <w:pPr>
              <w:autoSpaceDE w:val="0"/>
              <w:autoSpaceDN w:val="0"/>
              <w:adjustRightInd w:val="0"/>
              <w:snapToGrid w:val="0"/>
              <w:spacing w:line="276" w:lineRule="exact"/>
              <w:jc w:val="center"/>
              <w:rPr>
                <w:rFonts w:eastAsia="仿宋"/>
                <w:bCs/>
                <w:szCs w:val="21"/>
              </w:rPr>
            </w:pPr>
            <w:r>
              <w:rPr>
                <w:rFonts w:eastAsia="仿宋"/>
                <w:bCs/>
                <w:szCs w:val="21"/>
              </w:rPr>
              <w:t>车间或生产设施收集排放的废气，VOCs初始排放速率大于等于3千克/小时、重点区域大于等于2千克/小时的，应加大控制力度，除确保排放浓度稳定达标外，还应实行去除效率控制，去除效率不低于80%。</w:t>
            </w:r>
          </w:p>
        </w:tc>
        <w:tc>
          <w:tcPr>
            <w:tcW w:w="2744" w:type="dxa"/>
            <w:vAlign w:val="center"/>
          </w:tcPr>
          <w:p>
            <w:pPr>
              <w:autoSpaceDE w:val="0"/>
              <w:autoSpaceDN w:val="0"/>
              <w:adjustRightInd w:val="0"/>
              <w:snapToGrid w:val="0"/>
              <w:spacing w:line="276" w:lineRule="exact"/>
              <w:jc w:val="center"/>
              <w:rPr>
                <w:rFonts w:eastAsia="仿宋"/>
                <w:bCs/>
                <w:szCs w:val="21"/>
              </w:rPr>
            </w:pPr>
            <w:r>
              <w:rPr>
                <w:rFonts w:eastAsia="仿宋"/>
                <w:bCs/>
                <w:szCs w:val="21"/>
              </w:rPr>
              <w:t>本项目废气均达标排放，且废气去除效率均高于90%。因此，符合文件要求。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6" w:type="dxa"/>
            <w:vAlign w:val="center"/>
          </w:tcPr>
          <w:p>
            <w:pPr>
              <w:widowControl/>
              <w:autoSpaceDE w:val="0"/>
              <w:autoSpaceDN w:val="0"/>
              <w:adjustRightInd w:val="0"/>
              <w:snapToGrid w:val="0"/>
              <w:jc w:val="center"/>
              <w:rPr>
                <w:rFonts w:eastAsia="仿宋"/>
                <w:bCs/>
                <w:szCs w:val="21"/>
              </w:rPr>
            </w:pPr>
            <w:r>
              <w:rPr>
                <w:rFonts w:eastAsia="仿宋"/>
                <w:bCs/>
                <w:szCs w:val="21"/>
              </w:rPr>
              <w:t>深入实施精细化管控。</w:t>
            </w:r>
          </w:p>
        </w:tc>
        <w:tc>
          <w:tcPr>
            <w:tcW w:w="4962" w:type="dxa"/>
            <w:vAlign w:val="center"/>
          </w:tcPr>
          <w:p>
            <w:pPr>
              <w:widowControl/>
              <w:autoSpaceDE w:val="0"/>
              <w:autoSpaceDN w:val="0"/>
              <w:adjustRightInd w:val="0"/>
              <w:snapToGrid w:val="0"/>
              <w:jc w:val="left"/>
              <w:rPr>
                <w:rFonts w:eastAsia="仿宋"/>
                <w:bCs/>
                <w:szCs w:val="21"/>
              </w:rPr>
            </w:pPr>
            <w:r>
              <w:rPr>
                <w:rFonts w:eastAsia="仿宋"/>
                <w:bCs/>
                <w:szCs w:val="21"/>
              </w:rPr>
              <w:t>企业应系统梳理VOCs排放主要环节和工序，包括启停机、检维修作业等，制定具体操作规程，落实到具体责任人。健全内部考核制度。加强人员能力培训和技术交流。建立管理台账，记录企业生产和治污设施运行的关键参数（见附件3），在线监控参数要确保能够实时调取，相关台账记录至少保存三年。</w:t>
            </w:r>
          </w:p>
        </w:tc>
        <w:tc>
          <w:tcPr>
            <w:tcW w:w="2744" w:type="dxa"/>
            <w:vAlign w:val="center"/>
          </w:tcPr>
          <w:p>
            <w:pPr>
              <w:widowControl/>
              <w:autoSpaceDE w:val="0"/>
              <w:autoSpaceDN w:val="0"/>
              <w:adjustRightInd w:val="0"/>
              <w:snapToGrid w:val="0"/>
              <w:jc w:val="left"/>
              <w:rPr>
                <w:rFonts w:eastAsia="仿宋"/>
                <w:bCs/>
                <w:szCs w:val="21"/>
              </w:rPr>
            </w:pPr>
            <w:r>
              <w:rPr>
                <w:rFonts w:eastAsia="仿宋"/>
                <w:bCs/>
                <w:szCs w:val="21"/>
              </w:rPr>
              <w:t>企业按要求制定具体操作规程，落实到具体责任人。健全内部考核制度。加强人员能力培训和技术交流。建立管理台账，并保存三年以上。因此，符合文件要求。</w:t>
            </w:r>
          </w:p>
        </w:tc>
      </w:tr>
    </w:tbl>
    <w:p>
      <w:pPr>
        <w:spacing w:line="500" w:lineRule="exact"/>
        <w:ind w:firstLine="560" w:firstLineChars="200"/>
        <w:contextualSpacing/>
        <w:rPr>
          <w:rFonts w:eastAsia="仿宋_GB2312"/>
          <w:sz w:val="28"/>
          <w:szCs w:val="28"/>
        </w:rPr>
      </w:pPr>
      <w:r>
        <w:rPr>
          <w:rFonts w:eastAsia="仿宋_GB2312"/>
          <w:sz w:val="28"/>
          <w:szCs w:val="28"/>
        </w:rPr>
        <w:t>由上表可知，本项目符合环大气[2019]53号文的相关要求。</w:t>
      </w:r>
    </w:p>
    <w:p>
      <w:pPr>
        <w:spacing w:line="500" w:lineRule="exact"/>
        <w:ind w:firstLine="560" w:firstLineChars="200"/>
        <w:contextualSpacing/>
        <w:rPr>
          <w:rFonts w:eastAsia="仿宋_GB2312"/>
          <w:sz w:val="28"/>
          <w:szCs w:val="28"/>
        </w:rPr>
      </w:pPr>
      <w:r>
        <w:rPr>
          <w:rFonts w:hint="eastAsia" w:eastAsia="仿宋_GB2312"/>
          <w:sz w:val="28"/>
          <w:szCs w:val="28"/>
        </w:rPr>
        <w:t>（</w:t>
      </w:r>
      <w:r>
        <w:rPr>
          <w:rFonts w:eastAsia="仿宋_GB2312"/>
          <w:sz w:val="28"/>
          <w:szCs w:val="28"/>
        </w:rPr>
        <w:t>9</w:t>
      </w:r>
      <w:r>
        <w:rPr>
          <w:rFonts w:hint="eastAsia" w:eastAsia="仿宋_GB2312"/>
          <w:sz w:val="28"/>
          <w:szCs w:val="28"/>
        </w:rPr>
        <w:t>）</w:t>
      </w:r>
      <w:r>
        <w:rPr>
          <w:rFonts w:eastAsia="仿宋_GB2312"/>
          <w:sz w:val="28"/>
          <w:szCs w:val="28"/>
        </w:rPr>
        <w:t>与《省生态环境厅关于进一步加强建设项目环评审批和服务工作的指导意见》（苏环办[2020]225号）的对照分析</w:t>
      </w:r>
    </w:p>
    <w:p>
      <w:pPr>
        <w:pStyle w:val="365"/>
        <w:tabs>
          <w:tab w:val="left" w:pos="2880"/>
        </w:tabs>
        <w:autoSpaceDE w:val="0"/>
        <w:autoSpaceDN w:val="0"/>
        <w:spacing w:line="500" w:lineRule="exact"/>
        <w:ind w:left="851" w:firstLine="0" w:firstLineChars="0"/>
        <w:jc w:val="center"/>
        <w:rPr>
          <w:rFonts w:eastAsia="仿宋_GB2312"/>
          <w:b/>
          <w:sz w:val="24"/>
        </w:rPr>
      </w:pPr>
      <w:r>
        <w:rPr>
          <w:rFonts w:eastAsia="仿宋_GB2312"/>
          <w:b/>
          <w:sz w:val="24"/>
        </w:rPr>
        <w:t>表</w:t>
      </w:r>
      <w:r>
        <w:rPr>
          <w:rFonts w:hint="eastAsia" w:eastAsia="仿宋_GB2312"/>
          <w:b/>
          <w:sz w:val="24"/>
        </w:rPr>
        <w:t>2</w:t>
      </w:r>
      <w:r>
        <w:rPr>
          <w:rFonts w:eastAsia="仿宋_GB2312"/>
          <w:b/>
          <w:sz w:val="24"/>
        </w:rPr>
        <w:t>.</w:t>
      </w:r>
      <w:r>
        <w:rPr>
          <w:rFonts w:hint="eastAsia" w:eastAsia="仿宋_GB2312"/>
          <w:b/>
          <w:sz w:val="24"/>
        </w:rPr>
        <w:t>7</w:t>
      </w:r>
      <w:r>
        <w:rPr>
          <w:rFonts w:eastAsia="仿宋_GB2312"/>
          <w:b/>
          <w:sz w:val="24"/>
        </w:rPr>
        <w:t>-9  与</w:t>
      </w:r>
      <w:r>
        <w:rPr>
          <w:rFonts w:eastAsia="仿宋_GB2312"/>
          <w:b/>
          <w:bCs/>
          <w:sz w:val="24"/>
        </w:rPr>
        <w:t>苏环办[2020]225号</w:t>
      </w:r>
      <w:r>
        <w:rPr>
          <w:rFonts w:eastAsia="仿宋_GB2312"/>
          <w:b/>
          <w:sz w:val="24"/>
        </w:rPr>
        <w:t>对照分析</w:t>
      </w:r>
    </w:p>
    <w:tbl>
      <w:tblPr>
        <w:tblStyle w:val="8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5542"/>
        <w:gridCol w:w="2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9" w:type="pct"/>
            <w:shd w:val="clear" w:color="auto" w:fill="auto"/>
            <w:vAlign w:val="center"/>
          </w:tcPr>
          <w:p>
            <w:pPr>
              <w:autoSpaceDE w:val="0"/>
              <w:autoSpaceDN w:val="0"/>
              <w:adjustRightInd w:val="0"/>
              <w:snapToGrid w:val="0"/>
              <w:spacing w:line="276" w:lineRule="exact"/>
              <w:jc w:val="center"/>
              <w:rPr>
                <w:rFonts w:eastAsia="仿宋"/>
                <w:bCs/>
                <w:szCs w:val="21"/>
              </w:rPr>
            </w:pPr>
            <w:r>
              <w:rPr>
                <w:rFonts w:eastAsia="仿宋"/>
                <w:bCs/>
                <w:szCs w:val="21"/>
              </w:rPr>
              <w:t>类别</w:t>
            </w:r>
          </w:p>
        </w:tc>
        <w:tc>
          <w:tcPr>
            <w:tcW w:w="2998" w:type="pct"/>
            <w:shd w:val="clear" w:color="auto" w:fill="auto"/>
            <w:vAlign w:val="center"/>
          </w:tcPr>
          <w:p>
            <w:pPr>
              <w:autoSpaceDE w:val="0"/>
              <w:autoSpaceDN w:val="0"/>
              <w:adjustRightInd w:val="0"/>
              <w:snapToGrid w:val="0"/>
              <w:spacing w:line="276" w:lineRule="exact"/>
              <w:jc w:val="center"/>
              <w:rPr>
                <w:rFonts w:eastAsia="仿宋"/>
                <w:bCs/>
                <w:szCs w:val="21"/>
              </w:rPr>
            </w:pPr>
            <w:r>
              <w:rPr>
                <w:rFonts w:eastAsia="仿宋"/>
                <w:bCs/>
                <w:szCs w:val="21"/>
              </w:rPr>
              <w:t>文件要求</w:t>
            </w:r>
          </w:p>
        </w:tc>
        <w:tc>
          <w:tcPr>
            <w:tcW w:w="1583" w:type="pct"/>
            <w:shd w:val="clear" w:color="auto" w:fill="auto"/>
            <w:vAlign w:val="center"/>
          </w:tcPr>
          <w:p>
            <w:pPr>
              <w:autoSpaceDE w:val="0"/>
              <w:autoSpaceDN w:val="0"/>
              <w:adjustRightInd w:val="0"/>
              <w:snapToGrid w:val="0"/>
              <w:spacing w:line="276" w:lineRule="exact"/>
              <w:jc w:val="center"/>
              <w:rPr>
                <w:rFonts w:eastAsia="仿宋"/>
                <w:bCs/>
                <w:szCs w:val="21"/>
              </w:rPr>
            </w:pPr>
            <w:r>
              <w:rPr>
                <w:rFonts w:eastAsia="仿宋"/>
                <w:bCs/>
                <w:szCs w:val="21"/>
              </w:rPr>
              <w:t>对照分析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9" w:type="pct"/>
            <w:shd w:val="clear" w:color="auto" w:fill="auto"/>
            <w:vAlign w:val="center"/>
          </w:tcPr>
          <w:p>
            <w:pPr>
              <w:autoSpaceDE w:val="0"/>
              <w:autoSpaceDN w:val="0"/>
              <w:adjustRightInd w:val="0"/>
              <w:snapToGrid w:val="0"/>
              <w:spacing w:line="276" w:lineRule="exact"/>
              <w:jc w:val="center"/>
              <w:rPr>
                <w:rFonts w:eastAsia="仿宋"/>
                <w:bCs/>
                <w:szCs w:val="21"/>
              </w:rPr>
            </w:pPr>
            <w:r>
              <w:rPr>
                <w:rFonts w:eastAsia="仿宋"/>
                <w:bCs/>
                <w:szCs w:val="21"/>
              </w:rPr>
              <w:t>严守生态环境质量底线</w:t>
            </w:r>
          </w:p>
        </w:tc>
        <w:tc>
          <w:tcPr>
            <w:tcW w:w="2998" w:type="pct"/>
            <w:shd w:val="clear" w:color="auto" w:fill="auto"/>
            <w:vAlign w:val="center"/>
          </w:tcPr>
          <w:p>
            <w:pPr>
              <w:autoSpaceDE w:val="0"/>
              <w:autoSpaceDN w:val="0"/>
              <w:adjustRightInd w:val="0"/>
              <w:snapToGrid w:val="0"/>
              <w:spacing w:line="276" w:lineRule="exact"/>
              <w:rPr>
                <w:rFonts w:eastAsia="仿宋"/>
                <w:bCs/>
                <w:szCs w:val="21"/>
              </w:rPr>
            </w:pPr>
            <w:r>
              <w:rPr>
                <w:rFonts w:eastAsia="仿宋"/>
                <w:bCs/>
                <w:szCs w:val="21"/>
              </w:rPr>
              <w:t>坚持以改善环境质量为核心，开发建设活动不得突破区域生态环境承载能力，确保“生态环境质量只能更好、不能变坏”。</w:t>
            </w:r>
          </w:p>
          <w:p>
            <w:pPr>
              <w:autoSpaceDE w:val="0"/>
              <w:autoSpaceDN w:val="0"/>
              <w:adjustRightInd w:val="0"/>
              <w:snapToGrid w:val="0"/>
              <w:spacing w:line="276" w:lineRule="exact"/>
              <w:rPr>
                <w:rFonts w:eastAsia="仿宋"/>
                <w:bCs/>
                <w:szCs w:val="21"/>
              </w:rPr>
            </w:pPr>
            <w:r>
              <w:rPr>
                <w:rFonts w:eastAsia="仿宋"/>
                <w:bCs/>
                <w:szCs w:val="21"/>
              </w:rPr>
              <w:t>（一）建设项目所在区域环境质量未达到国家或地方环境质量标准，且项目拟采取的污染防治措施不能满足区域环境质量改善目标管理要求的，一律不得审批。</w:t>
            </w:r>
          </w:p>
          <w:p>
            <w:pPr>
              <w:autoSpaceDE w:val="0"/>
              <w:autoSpaceDN w:val="0"/>
              <w:adjustRightInd w:val="0"/>
              <w:snapToGrid w:val="0"/>
              <w:spacing w:line="276" w:lineRule="exact"/>
              <w:rPr>
                <w:rFonts w:eastAsia="仿宋"/>
                <w:bCs/>
                <w:szCs w:val="21"/>
              </w:rPr>
            </w:pPr>
            <w:r>
              <w:rPr>
                <w:rFonts w:eastAsia="仿宋"/>
                <w:bCs/>
                <w:szCs w:val="21"/>
              </w:rPr>
              <w:t>（二）加强规划环评与建设项目环评联动，对不符合规划环评结论及审查意见的项目环评，依法不予审批。规划所包含项目的环评内容，可根据规划环评结论和审查意见予以简化。</w:t>
            </w:r>
          </w:p>
          <w:p>
            <w:pPr>
              <w:autoSpaceDE w:val="0"/>
              <w:autoSpaceDN w:val="0"/>
              <w:adjustRightInd w:val="0"/>
              <w:snapToGrid w:val="0"/>
              <w:spacing w:line="276" w:lineRule="exact"/>
              <w:rPr>
                <w:rFonts w:eastAsia="仿宋"/>
                <w:bCs/>
                <w:szCs w:val="21"/>
              </w:rPr>
            </w:pPr>
            <w:r>
              <w:rPr>
                <w:rFonts w:eastAsia="仿宋"/>
                <w:bCs/>
                <w:szCs w:val="21"/>
              </w:rPr>
              <w:t>（三）切实加强区域环境容量、环境承载力研究，不得审批突破环境容量和环境承载力的建设项目。</w:t>
            </w:r>
          </w:p>
          <w:p>
            <w:pPr>
              <w:autoSpaceDE w:val="0"/>
              <w:autoSpaceDN w:val="0"/>
              <w:adjustRightInd w:val="0"/>
              <w:snapToGrid w:val="0"/>
              <w:spacing w:line="276" w:lineRule="exact"/>
              <w:rPr>
                <w:rFonts w:eastAsia="仿宋"/>
                <w:bCs/>
                <w:szCs w:val="21"/>
              </w:rPr>
            </w:pPr>
            <w:r>
              <w:rPr>
                <w:rFonts w:eastAsia="仿宋"/>
                <w:bCs/>
                <w:szCs w:val="21"/>
              </w:rPr>
              <w:t>（四）应将“三线一单”作为建设项目环评审批的重要依据，严格落实生态环境分区管控要求，从严把好环境准入关。</w:t>
            </w:r>
          </w:p>
        </w:tc>
        <w:tc>
          <w:tcPr>
            <w:tcW w:w="1583" w:type="pct"/>
            <w:shd w:val="clear" w:color="auto" w:fill="auto"/>
            <w:vAlign w:val="center"/>
          </w:tcPr>
          <w:p>
            <w:pPr>
              <w:autoSpaceDE w:val="0"/>
              <w:autoSpaceDN w:val="0"/>
              <w:adjustRightInd w:val="0"/>
              <w:snapToGrid w:val="0"/>
              <w:spacing w:line="276" w:lineRule="exact"/>
              <w:rPr>
                <w:rFonts w:eastAsia="仿宋"/>
                <w:bCs/>
                <w:szCs w:val="21"/>
              </w:rPr>
            </w:pPr>
            <w:r>
              <w:rPr>
                <w:rFonts w:eastAsia="仿宋"/>
                <w:bCs/>
                <w:szCs w:val="21"/>
              </w:rPr>
              <w:t>本项目所在地环境质量属于不达标区，但本项目拟采取的污染防治措施可以满足区域环境质量改善目标管理要求；</w:t>
            </w:r>
          </w:p>
          <w:p>
            <w:pPr>
              <w:autoSpaceDE w:val="0"/>
              <w:autoSpaceDN w:val="0"/>
              <w:adjustRightInd w:val="0"/>
              <w:snapToGrid w:val="0"/>
              <w:spacing w:line="276" w:lineRule="exact"/>
              <w:rPr>
                <w:rFonts w:eastAsia="仿宋"/>
                <w:bCs/>
                <w:szCs w:val="21"/>
              </w:rPr>
            </w:pPr>
            <w:r>
              <w:rPr>
                <w:rFonts w:eastAsia="仿宋"/>
                <w:bCs/>
                <w:szCs w:val="21"/>
              </w:rPr>
              <w:t>本项目位于江苏省金坛区金城镇工业园区（北区），；</w:t>
            </w:r>
          </w:p>
          <w:p>
            <w:pPr>
              <w:autoSpaceDE w:val="0"/>
              <w:autoSpaceDN w:val="0"/>
              <w:adjustRightInd w:val="0"/>
              <w:snapToGrid w:val="0"/>
              <w:spacing w:line="276" w:lineRule="exact"/>
              <w:rPr>
                <w:rFonts w:eastAsia="仿宋"/>
                <w:bCs/>
                <w:szCs w:val="21"/>
              </w:rPr>
            </w:pPr>
            <w:r>
              <w:rPr>
                <w:rFonts w:eastAsia="仿宋"/>
                <w:bCs/>
                <w:szCs w:val="21"/>
              </w:rPr>
              <w:t>本项目不突破当地环境容量和环境承载力；</w:t>
            </w:r>
          </w:p>
          <w:p>
            <w:pPr>
              <w:autoSpaceDE w:val="0"/>
              <w:autoSpaceDN w:val="0"/>
              <w:adjustRightInd w:val="0"/>
              <w:snapToGrid w:val="0"/>
              <w:spacing w:line="276" w:lineRule="exact"/>
              <w:rPr>
                <w:rFonts w:eastAsia="仿宋"/>
                <w:bCs/>
                <w:szCs w:val="21"/>
              </w:rPr>
            </w:pPr>
            <w:r>
              <w:rPr>
                <w:rFonts w:eastAsia="仿宋"/>
                <w:bCs/>
                <w:szCs w:val="21"/>
              </w:rPr>
              <w:t>本项目满足三线一单”控制要求。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9" w:type="pct"/>
            <w:shd w:val="clear" w:color="auto" w:fill="auto"/>
            <w:vAlign w:val="center"/>
          </w:tcPr>
          <w:p>
            <w:pPr>
              <w:autoSpaceDE w:val="0"/>
              <w:autoSpaceDN w:val="0"/>
              <w:adjustRightInd w:val="0"/>
              <w:snapToGrid w:val="0"/>
              <w:spacing w:line="276" w:lineRule="exact"/>
              <w:jc w:val="center"/>
              <w:rPr>
                <w:rFonts w:eastAsia="仿宋"/>
                <w:bCs/>
                <w:szCs w:val="21"/>
              </w:rPr>
            </w:pPr>
            <w:r>
              <w:rPr>
                <w:rFonts w:eastAsia="仿宋"/>
                <w:bCs/>
                <w:szCs w:val="21"/>
              </w:rPr>
              <w:t>规范项目环评审批程序</w:t>
            </w:r>
          </w:p>
        </w:tc>
        <w:tc>
          <w:tcPr>
            <w:tcW w:w="2998" w:type="pct"/>
            <w:shd w:val="clear" w:color="auto" w:fill="auto"/>
            <w:vAlign w:val="center"/>
          </w:tcPr>
          <w:p>
            <w:pPr>
              <w:autoSpaceDE w:val="0"/>
              <w:autoSpaceDN w:val="0"/>
              <w:adjustRightInd w:val="0"/>
              <w:snapToGrid w:val="0"/>
              <w:spacing w:line="276" w:lineRule="exact"/>
              <w:rPr>
                <w:rFonts w:eastAsia="仿宋"/>
                <w:bCs/>
                <w:szCs w:val="21"/>
              </w:rPr>
            </w:pPr>
            <w:r>
              <w:rPr>
                <w:rFonts w:eastAsia="仿宋"/>
                <w:bCs/>
                <w:szCs w:val="21"/>
              </w:rPr>
              <w:t>严格落实法律法规规定，进一步规范完善建设项目环评审批程序，规范环评审批行为。</w:t>
            </w:r>
          </w:p>
          <w:p>
            <w:pPr>
              <w:autoSpaceDE w:val="0"/>
              <w:autoSpaceDN w:val="0"/>
              <w:adjustRightInd w:val="0"/>
              <w:snapToGrid w:val="0"/>
              <w:spacing w:line="276" w:lineRule="exact"/>
              <w:rPr>
                <w:rFonts w:eastAsia="仿宋"/>
                <w:bCs/>
                <w:szCs w:val="21"/>
              </w:rPr>
            </w:pPr>
            <w:r>
              <w:rPr>
                <w:rFonts w:eastAsia="仿宋"/>
                <w:bCs/>
                <w:szCs w:val="21"/>
              </w:rPr>
              <w:t>（十五）严格执行建设项目环评分级审批管理规定，严禁超越权限审批、违反法定程序或法定条件审批。</w:t>
            </w:r>
          </w:p>
          <w:p>
            <w:pPr>
              <w:autoSpaceDE w:val="0"/>
              <w:autoSpaceDN w:val="0"/>
              <w:adjustRightInd w:val="0"/>
              <w:snapToGrid w:val="0"/>
              <w:spacing w:line="276" w:lineRule="exact"/>
              <w:rPr>
                <w:rFonts w:eastAsia="仿宋"/>
                <w:bCs/>
                <w:szCs w:val="21"/>
              </w:rPr>
            </w:pPr>
            <w:r>
              <w:rPr>
                <w:rFonts w:eastAsia="仿宋"/>
                <w:bCs/>
                <w:szCs w:val="21"/>
              </w:rPr>
              <w:t>（十六）建立建设项目环保和安全审批联动机制，互通项目环保和安全信息，特别是涉及危险化学品的建设项目，必要时可会商审查和联合审批，形成监管合力。</w:t>
            </w:r>
          </w:p>
          <w:p>
            <w:pPr>
              <w:autoSpaceDE w:val="0"/>
              <w:autoSpaceDN w:val="0"/>
              <w:adjustRightInd w:val="0"/>
              <w:snapToGrid w:val="0"/>
              <w:spacing w:line="276" w:lineRule="exact"/>
              <w:rPr>
                <w:rFonts w:eastAsia="仿宋"/>
                <w:bCs/>
                <w:szCs w:val="21"/>
              </w:rPr>
            </w:pPr>
            <w:r>
              <w:rPr>
                <w:rFonts w:eastAsia="仿宋"/>
                <w:bCs/>
                <w:szCs w:val="21"/>
              </w:rPr>
              <w:t>（十七）在产业园区（市级及以上）规划环评未通过审查、项目主要污染物排放指标未落实、重大环境风险隐患未消除的情况下，原则上不可先行审批项目环评。</w:t>
            </w:r>
          </w:p>
          <w:p>
            <w:pPr>
              <w:autoSpaceDE w:val="0"/>
              <w:autoSpaceDN w:val="0"/>
              <w:adjustRightInd w:val="0"/>
              <w:snapToGrid w:val="0"/>
              <w:spacing w:line="276" w:lineRule="exact"/>
              <w:rPr>
                <w:rFonts w:eastAsia="仿宋"/>
                <w:bCs/>
                <w:szCs w:val="21"/>
              </w:rPr>
            </w:pPr>
            <w:r>
              <w:rPr>
                <w:rFonts w:eastAsia="仿宋"/>
                <w:bCs/>
                <w:szCs w:val="21"/>
              </w:rPr>
              <w:t>（十八）认真落实环评公众参与有关规定，依规公示项目环评受理、审查、审批等信息，保障公众参与的有效性和真实性</w:t>
            </w:r>
          </w:p>
        </w:tc>
        <w:tc>
          <w:tcPr>
            <w:tcW w:w="1583" w:type="pct"/>
            <w:shd w:val="clear" w:color="auto" w:fill="auto"/>
            <w:vAlign w:val="center"/>
          </w:tcPr>
          <w:p>
            <w:pPr>
              <w:autoSpaceDE w:val="0"/>
              <w:autoSpaceDN w:val="0"/>
              <w:adjustRightInd w:val="0"/>
              <w:snapToGrid w:val="0"/>
              <w:spacing w:line="276" w:lineRule="exact"/>
              <w:rPr>
                <w:rFonts w:eastAsia="仿宋"/>
                <w:bCs/>
                <w:szCs w:val="21"/>
              </w:rPr>
            </w:pPr>
            <w:r>
              <w:rPr>
                <w:rFonts w:eastAsia="仿宋"/>
                <w:bCs/>
                <w:szCs w:val="21"/>
              </w:rPr>
              <w:t>本项目编制类别为环境影响报告书，审批部门为区级生态环境管理部门；</w:t>
            </w:r>
          </w:p>
          <w:p>
            <w:pPr>
              <w:autoSpaceDE w:val="0"/>
              <w:autoSpaceDN w:val="0"/>
              <w:adjustRightInd w:val="0"/>
              <w:snapToGrid w:val="0"/>
              <w:spacing w:line="276" w:lineRule="exact"/>
              <w:rPr>
                <w:rFonts w:eastAsia="仿宋"/>
                <w:bCs/>
                <w:szCs w:val="21"/>
              </w:rPr>
            </w:pPr>
            <w:r>
              <w:rPr>
                <w:rFonts w:eastAsia="仿宋"/>
                <w:bCs/>
                <w:szCs w:val="21"/>
              </w:rPr>
              <w:t>本项目位于江苏省金坛区金城镇工业园区（北区）；</w:t>
            </w:r>
          </w:p>
          <w:p>
            <w:pPr>
              <w:autoSpaceDE w:val="0"/>
              <w:autoSpaceDN w:val="0"/>
              <w:adjustRightInd w:val="0"/>
              <w:snapToGrid w:val="0"/>
              <w:spacing w:line="276" w:lineRule="exact"/>
              <w:rPr>
                <w:rFonts w:eastAsia="仿宋"/>
                <w:bCs/>
                <w:szCs w:val="21"/>
              </w:rPr>
            </w:pPr>
            <w:r>
              <w:rPr>
                <w:rFonts w:eastAsia="仿宋"/>
                <w:bCs/>
                <w:szCs w:val="21"/>
              </w:rPr>
              <w:t>本项目将认真落实环评公众参与有关规定，依规公示项目环评受理、审查、审批等信息，保障公众参与的有效性和真实性</w:t>
            </w:r>
          </w:p>
        </w:tc>
      </w:tr>
    </w:tbl>
    <w:p>
      <w:pPr>
        <w:spacing w:line="500" w:lineRule="exact"/>
        <w:ind w:firstLine="560" w:firstLineChars="200"/>
        <w:contextualSpacing/>
        <w:rPr>
          <w:rFonts w:eastAsia="仿宋_GB2312"/>
          <w:sz w:val="28"/>
          <w:szCs w:val="28"/>
        </w:rPr>
      </w:pPr>
      <w:r>
        <w:rPr>
          <w:rFonts w:eastAsia="仿宋_GB2312"/>
          <w:sz w:val="28"/>
          <w:szCs w:val="28"/>
        </w:rPr>
        <w:t>由上表可知，本项目符合《省生态环境厅关于进一步加强建设项目环评审批和服务工作的指导意见》（苏环办[2020]225号）的相关要求。</w:t>
      </w:r>
    </w:p>
    <w:p>
      <w:pPr>
        <w:spacing w:line="500" w:lineRule="exact"/>
        <w:ind w:firstLine="560" w:firstLineChars="200"/>
        <w:contextualSpacing/>
        <w:rPr>
          <w:rFonts w:eastAsia="仿宋_GB2312"/>
          <w:sz w:val="28"/>
          <w:szCs w:val="28"/>
        </w:rPr>
      </w:pPr>
      <w:r>
        <w:rPr>
          <w:rFonts w:hint="eastAsia" w:eastAsia="仿宋_GB2312"/>
          <w:sz w:val="28"/>
          <w:szCs w:val="28"/>
        </w:rPr>
        <w:t>（</w:t>
      </w:r>
      <w:r>
        <w:rPr>
          <w:rFonts w:eastAsia="仿宋_GB2312"/>
          <w:sz w:val="28"/>
          <w:szCs w:val="28"/>
        </w:rPr>
        <w:t>10</w:t>
      </w:r>
      <w:r>
        <w:rPr>
          <w:rFonts w:hint="eastAsia" w:eastAsia="仿宋_GB2312"/>
          <w:sz w:val="28"/>
          <w:szCs w:val="28"/>
        </w:rPr>
        <w:t>）</w:t>
      </w:r>
      <w:r>
        <w:rPr>
          <w:rFonts w:eastAsia="仿宋_GB2312"/>
          <w:sz w:val="28"/>
          <w:szCs w:val="28"/>
        </w:rPr>
        <w:t>与</w:t>
      </w:r>
      <w:r>
        <w:rPr>
          <w:rFonts w:hint="eastAsia" w:eastAsia="仿宋_GB2312"/>
          <w:sz w:val="28"/>
          <w:szCs w:val="28"/>
        </w:rPr>
        <w:t>省大气办关于印发《江苏省挥发性有机物清洁原料替代工作方案的通知》（苏大气办[2021]2号）</w:t>
      </w:r>
      <w:r>
        <w:rPr>
          <w:rFonts w:eastAsia="仿宋_GB2312"/>
          <w:sz w:val="28"/>
          <w:szCs w:val="28"/>
        </w:rPr>
        <w:t>的对照分析</w:t>
      </w:r>
    </w:p>
    <w:p>
      <w:pPr>
        <w:pStyle w:val="365"/>
        <w:tabs>
          <w:tab w:val="left" w:pos="2880"/>
        </w:tabs>
        <w:autoSpaceDE w:val="0"/>
        <w:autoSpaceDN w:val="0"/>
        <w:spacing w:line="500" w:lineRule="exact"/>
        <w:ind w:left="851" w:firstLine="0" w:firstLineChars="0"/>
        <w:jc w:val="center"/>
        <w:rPr>
          <w:rFonts w:eastAsia="仿宋_GB2312"/>
          <w:b/>
          <w:sz w:val="24"/>
        </w:rPr>
      </w:pPr>
      <w:r>
        <w:rPr>
          <w:rFonts w:eastAsia="仿宋_GB2312"/>
          <w:b/>
          <w:sz w:val="24"/>
        </w:rPr>
        <w:t>表</w:t>
      </w:r>
      <w:r>
        <w:rPr>
          <w:rFonts w:hint="eastAsia" w:eastAsia="仿宋_GB2312"/>
          <w:b/>
          <w:sz w:val="24"/>
        </w:rPr>
        <w:t>2</w:t>
      </w:r>
      <w:r>
        <w:rPr>
          <w:rFonts w:eastAsia="仿宋_GB2312"/>
          <w:b/>
          <w:sz w:val="24"/>
        </w:rPr>
        <w:t>.</w:t>
      </w:r>
      <w:r>
        <w:rPr>
          <w:rFonts w:hint="eastAsia" w:eastAsia="仿宋_GB2312"/>
          <w:b/>
          <w:sz w:val="24"/>
        </w:rPr>
        <w:t>7</w:t>
      </w:r>
      <w:r>
        <w:rPr>
          <w:rFonts w:eastAsia="仿宋_GB2312"/>
          <w:b/>
          <w:sz w:val="24"/>
        </w:rPr>
        <w:t>-</w:t>
      </w:r>
      <w:r>
        <w:rPr>
          <w:rFonts w:hint="eastAsia" w:eastAsia="仿宋_GB2312"/>
          <w:b/>
          <w:sz w:val="24"/>
        </w:rPr>
        <w:t>10</w:t>
      </w:r>
      <w:r>
        <w:rPr>
          <w:rFonts w:eastAsia="仿宋_GB2312"/>
          <w:b/>
          <w:sz w:val="24"/>
        </w:rPr>
        <w:t xml:space="preserve">  与</w:t>
      </w:r>
      <w:r>
        <w:rPr>
          <w:rFonts w:hint="eastAsia" w:eastAsia="仿宋_GB2312"/>
          <w:b/>
          <w:sz w:val="24"/>
        </w:rPr>
        <w:t>苏大气办[2021]2号</w:t>
      </w:r>
      <w:r>
        <w:rPr>
          <w:rFonts w:eastAsia="仿宋_GB2312"/>
          <w:b/>
          <w:sz w:val="24"/>
        </w:rPr>
        <w:t>对照分析</w:t>
      </w:r>
    </w:p>
    <w:tbl>
      <w:tblPr>
        <w:tblStyle w:val="8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5542"/>
        <w:gridCol w:w="2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9" w:type="pct"/>
            <w:shd w:val="clear" w:color="auto" w:fill="auto"/>
            <w:vAlign w:val="center"/>
          </w:tcPr>
          <w:p>
            <w:pPr>
              <w:autoSpaceDE w:val="0"/>
              <w:autoSpaceDN w:val="0"/>
              <w:adjustRightInd w:val="0"/>
              <w:snapToGrid w:val="0"/>
              <w:spacing w:line="276" w:lineRule="exact"/>
              <w:jc w:val="center"/>
              <w:rPr>
                <w:rFonts w:eastAsia="仿宋"/>
                <w:bCs/>
                <w:szCs w:val="21"/>
              </w:rPr>
            </w:pPr>
            <w:r>
              <w:rPr>
                <w:rFonts w:eastAsia="仿宋"/>
                <w:bCs/>
                <w:szCs w:val="21"/>
              </w:rPr>
              <w:t>类别</w:t>
            </w:r>
          </w:p>
        </w:tc>
        <w:tc>
          <w:tcPr>
            <w:tcW w:w="2998" w:type="pct"/>
            <w:shd w:val="clear" w:color="auto" w:fill="auto"/>
            <w:vAlign w:val="center"/>
          </w:tcPr>
          <w:p>
            <w:pPr>
              <w:autoSpaceDE w:val="0"/>
              <w:autoSpaceDN w:val="0"/>
              <w:adjustRightInd w:val="0"/>
              <w:snapToGrid w:val="0"/>
              <w:spacing w:line="276" w:lineRule="exact"/>
              <w:jc w:val="center"/>
              <w:rPr>
                <w:rFonts w:eastAsia="仿宋"/>
                <w:bCs/>
                <w:szCs w:val="21"/>
              </w:rPr>
            </w:pPr>
            <w:r>
              <w:rPr>
                <w:rFonts w:eastAsia="仿宋"/>
                <w:bCs/>
                <w:szCs w:val="21"/>
              </w:rPr>
              <w:t>文件要求</w:t>
            </w:r>
          </w:p>
        </w:tc>
        <w:tc>
          <w:tcPr>
            <w:tcW w:w="1583" w:type="pct"/>
            <w:shd w:val="clear" w:color="auto" w:fill="auto"/>
            <w:vAlign w:val="center"/>
          </w:tcPr>
          <w:p>
            <w:pPr>
              <w:autoSpaceDE w:val="0"/>
              <w:autoSpaceDN w:val="0"/>
              <w:adjustRightInd w:val="0"/>
              <w:snapToGrid w:val="0"/>
              <w:spacing w:line="276" w:lineRule="exact"/>
              <w:jc w:val="center"/>
              <w:rPr>
                <w:rFonts w:eastAsia="仿宋"/>
                <w:bCs/>
                <w:szCs w:val="21"/>
              </w:rPr>
            </w:pPr>
            <w:r>
              <w:rPr>
                <w:rFonts w:eastAsia="仿宋"/>
                <w:bCs/>
                <w:szCs w:val="21"/>
              </w:rPr>
              <w:t>对照分析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9" w:type="pct"/>
            <w:shd w:val="clear" w:color="auto" w:fill="auto"/>
            <w:vAlign w:val="center"/>
          </w:tcPr>
          <w:p>
            <w:pPr>
              <w:autoSpaceDE w:val="0"/>
              <w:autoSpaceDN w:val="0"/>
              <w:adjustRightInd w:val="0"/>
              <w:snapToGrid w:val="0"/>
              <w:spacing w:line="276" w:lineRule="exact"/>
              <w:jc w:val="center"/>
              <w:rPr>
                <w:rFonts w:eastAsia="仿宋"/>
                <w:bCs/>
                <w:szCs w:val="21"/>
              </w:rPr>
            </w:pPr>
            <w:r>
              <w:rPr>
                <w:rFonts w:hint="eastAsia" w:eastAsia="仿宋"/>
                <w:bCs/>
                <w:szCs w:val="21"/>
              </w:rPr>
              <w:t>源头</w:t>
            </w:r>
            <w:r>
              <w:rPr>
                <w:rFonts w:eastAsia="仿宋"/>
                <w:bCs/>
                <w:szCs w:val="21"/>
              </w:rPr>
              <w:t>替代具体要求</w:t>
            </w:r>
          </w:p>
        </w:tc>
        <w:tc>
          <w:tcPr>
            <w:tcW w:w="2998" w:type="pct"/>
            <w:shd w:val="clear" w:color="auto" w:fill="auto"/>
            <w:vAlign w:val="center"/>
          </w:tcPr>
          <w:p>
            <w:pPr>
              <w:autoSpaceDE w:val="0"/>
              <w:autoSpaceDN w:val="0"/>
              <w:adjustRightInd w:val="0"/>
              <w:snapToGrid w:val="0"/>
              <w:spacing w:line="276" w:lineRule="exact"/>
              <w:rPr>
                <w:rFonts w:eastAsia="仿宋"/>
                <w:bCs/>
                <w:szCs w:val="21"/>
              </w:rPr>
            </w:pPr>
            <w:r>
              <w:rPr>
                <w:rFonts w:hint="eastAsia" w:eastAsia="仿宋"/>
                <w:bCs/>
                <w:szCs w:val="21"/>
              </w:rPr>
              <w:t>其他行业企业涉VOCs相关工序,要使用符合《低挥发性有机化合物含量涂料产品技术要求》( GB/T 38597-2020 )规定的粉末、水性、无溶剂、辐射固化涂料产品;符合《清洗剂挥发性有机化合物含量限值》( GB38508-2020 )规定的水基、半水基清洗剂产品;符合《胶粘剂挥发性有机化合物限量》(GB</w:t>
            </w:r>
            <w:r>
              <w:rPr>
                <w:rFonts w:hint="eastAsia"/>
              </w:rPr>
              <w:t xml:space="preserve"> </w:t>
            </w:r>
            <w:r>
              <w:rPr>
                <w:rFonts w:hint="eastAsia" w:eastAsia="仿宋"/>
                <w:bCs/>
                <w:szCs w:val="21"/>
              </w:rPr>
              <w:t>33372-2020)规定的水基型、本体型胶粘剂产品。</w:t>
            </w:r>
          </w:p>
          <w:p>
            <w:pPr>
              <w:autoSpaceDE w:val="0"/>
              <w:autoSpaceDN w:val="0"/>
              <w:adjustRightInd w:val="0"/>
              <w:snapToGrid w:val="0"/>
              <w:spacing w:line="276" w:lineRule="exact"/>
              <w:rPr>
                <w:rFonts w:eastAsia="仿宋"/>
                <w:bCs/>
                <w:szCs w:val="21"/>
              </w:rPr>
            </w:pPr>
            <w:r>
              <w:rPr>
                <w:rFonts w:hint="eastAsia" w:eastAsia="仿宋"/>
                <w:bCs/>
                <w:szCs w:val="21"/>
              </w:rPr>
              <w:t>若确实无法达到上述要求，应提供相应的论证说明。使用的涂料、清洗剂、胶粘剂、油墨中VOCs含量的限值应符合《船舶涂料中有害物质限量》(GB38469-2019)、《木器涂料中有害物质限量》(GB18581-2020)、《车辆涂料中有害物质限量》(GB24409-2020 )《工业防护涂料中有害物质限量》(GB30981-2020)、《清洗剂挥发性有机化合物含量限值》(GB 38508-2020)、《胶粘剂挥发性有机化合物限量》(GB33372-2020)、《油墨中可挥发性有机化合物(VOCs )含量的限值》( GB38507-2020)中的限值要求。</w:t>
            </w:r>
          </w:p>
        </w:tc>
        <w:tc>
          <w:tcPr>
            <w:tcW w:w="1583" w:type="pct"/>
            <w:shd w:val="clear" w:color="auto" w:fill="auto"/>
            <w:vAlign w:val="center"/>
          </w:tcPr>
          <w:p>
            <w:pPr>
              <w:autoSpaceDE w:val="0"/>
              <w:autoSpaceDN w:val="0"/>
              <w:adjustRightInd w:val="0"/>
              <w:snapToGrid w:val="0"/>
              <w:spacing w:line="276" w:lineRule="exact"/>
              <w:rPr>
                <w:rFonts w:eastAsia="仿宋"/>
                <w:bCs/>
                <w:szCs w:val="21"/>
              </w:rPr>
            </w:pPr>
            <w:r>
              <w:rPr>
                <w:rFonts w:hint="eastAsia" w:ascii="仿宋" w:hAnsi="仿宋" w:eastAsia="仿宋" w:cs="仿宋"/>
                <w:bCs/>
                <w:szCs w:val="21"/>
              </w:rPr>
              <w:t>本项目</w:t>
            </w:r>
            <w:r>
              <w:rPr>
                <w:rFonts w:ascii="仿宋" w:hAnsi="仿宋" w:eastAsia="仿宋" w:cs="仿宋"/>
                <w:bCs/>
                <w:szCs w:val="21"/>
              </w:rPr>
              <w:t>使用的胶粘剂满足</w:t>
            </w:r>
            <w:r>
              <w:rPr>
                <w:rFonts w:hint="eastAsia" w:eastAsia="仿宋"/>
                <w:bCs/>
                <w:szCs w:val="21"/>
              </w:rPr>
              <w:t>《胶粘剂挥发性有机化合物限量》(GB</w:t>
            </w:r>
            <w:r>
              <w:rPr>
                <w:rFonts w:hint="eastAsia"/>
              </w:rPr>
              <w:t xml:space="preserve"> </w:t>
            </w:r>
            <w:r>
              <w:rPr>
                <w:rFonts w:hint="eastAsia" w:eastAsia="仿宋"/>
                <w:bCs/>
                <w:szCs w:val="21"/>
              </w:rPr>
              <w:t>33372-2020)</w:t>
            </w:r>
            <w:r>
              <w:rPr>
                <w:rFonts w:hint="eastAsia" w:ascii="仿宋" w:hAnsi="仿宋" w:eastAsia="仿宋" w:cs="仿宋"/>
                <w:bCs/>
                <w:szCs w:val="21"/>
              </w:rPr>
              <w:t>表</w:t>
            </w:r>
            <w:r>
              <w:rPr>
                <w:rFonts w:ascii="仿宋" w:hAnsi="仿宋" w:eastAsia="仿宋" w:cs="仿宋"/>
                <w:bCs/>
                <w:szCs w:val="21"/>
              </w:rPr>
              <w:t>1</w:t>
            </w:r>
            <w:r>
              <w:rPr>
                <w:rFonts w:hint="eastAsia" w:ascii="仿宋" w:hAnsi="仿宋" w:eastAsia="仿宋" w:cs="仿宋"/>
                <w:bCs/>
                <w:szCs w:val="21"/>
              </w:rPr>
              <w:t>溶剂型胶粘剂中丙烯酸</w:t>
            </w:r>
            <w:r>
              <w:rPr>
                <w:rFonts w:ascii="仿宋" w:hAnsi="仿宋" w:eastAsia="仿宋" w:cs="仿宋"/>
                <w:bCs/>
                <w:szCs w:val="21"/>
              </w:rPr>
              <w:t>酯类“</w:t>
            </w:r>
            <w:r>
              <w:rPr>
                <w:rFonts w:hint="eastAsia" w:ascii="仿宋" w:hAnsi="仿宋" w:eastAsia="仿宋" w:cs="仿宋"/>
                <w:bCs/>
                <w:szCs w:val="21"/>
              </w:rPr>
              <w:t>其他</w:t>
            </w:r>
            <w:r>
              <w:rPr>
                <w:rFonts w:ascii="仿宋" w:hAnsi="仿宋" w:eastAsia="仿宋" w:cs="仿宋"/>
                <w:bCs/>
                <w:szCs w:val="21"/>
              </w:rPr>
              <w:t>”</w:t>
            </w:r>
            <w:r>
              <w:rPr>
                <w:rFonts w:hint="eastAsia" w:ascii="仿宋" w:hAnsi="仿宋" w:eastAsia="仿宋" w:cs="仿宋"/>
                <w:bCs/>
                <w:szCs w:val="21"/>
              </w:rPr>
              <w:t>应用</w:t>
            </w:r>
            <w:r>
              <w:rPr>
                <w:rFonts w:ascii="仿宋" w:hAnsi="仿宋" w:eastAsia="仿宋" w:cs="仿宋"/>
                <w:bCs/>
                <w:szCs w:val="21"/>
              </w:rPr>
              <w:t>领域</w:t>
            </w:r>
            <w:r>
              <w:rPr>
                <w:rFonts w:hint="eastAsia" w:ascii="仿宋" w:hAnsi="仿宋" w:eastAsia="仿宋" w:cs="仿宋"/>
                <w:bCs/>
                <w:szCs w:val="21"/>
              </w:rPr>
              <w:t>，</w:t>
            </w:r>
            <w:r>
              <w:rPr>
                <w:rFonts w:ascii="仿宋" w:hAnsi="仿宋" w:eastAsia="仿宋" w:cs="仿宋"/>
                <w:bCs/>
                <w:szCs w:val="21"/>
              </w:rPr>
              <w:t>VOCs</w:t>
            </w:r>
            <w:r>
              <w:rPr>
                <w:rFonts w:hint="eastAsia" w:ascii="仿宋" w:hAnsi="仿宋" w:eastAsia="仿宋" w:cs="仿宋"/>
                <w:bCs/>
                <w:szCs w:val="21"/>
              </w:rPr>
              <w:t>限量值≤5</w:t>
            </w:r>
            <w:r>
              <w:rPr>
                <w:rFonts w:ascii="仿宋" w:hAnsi="仿宋" w:eastAsia="仿宋" w:cs="仿宋"/>
                <w:bCs/>
                <w:szCs w:val="21"/>
              </w:rPr>
              <w:t>1</w:t>
            </w:r>
            <w:r>
              <w:rPr>
                <w:rFonts w:hint="eastAsia" w:ascii="仿宋" w:hAnsi="仿宋" w:eastAsia="仿宋" w:cs="仿宋"/>
                <w:bCs/>
                <w:szCs w:val="21"/>
              </w:rPr>
              <w:t>0</w:t>
            </w:r>
            <w:r>
              <w:rPr>
                <w:rFonts w:ascii="仿宋" w:hAnsi="仿宋" w:eastAsia="仿宋" w:cs="仿宋"/>
                <w:bCs/>
                <w:szCs w:val="21"/>
              </w:rPr>
              <w:t>g/L</w:t>
            </w:r>
            <w:r>
              <w:rPr>
                <w:rFonts w:hint="eastAsia" w:ascii="仿宋" w:hAnsi="仿宋" w:eastAsia="仿宋" w:cs="仿宋"/>
                <w:bCs/>
                <w:szCs w:val="21"/>
              </w:rPr>
              <w:t>，且本项目胶粘剂已取得不可替代论证意见。</w:t>
            </w:r>
          </w:p>
        </w:tc>
      </w:tr>
    </w:tbl>
    <w:p>
      <w:pPr>
        <w:spacing w:line="500" w:lineRule="exact"/>
        <w:ind w:firstLine="560" w:firstLineChars="200"/>
        <w:contextualSpacing/>
        <w:rPr>
          <w:rFonts w:eastAsia="仿宋_GB2312"/>
          <w:sz w:val="28"/>
          <w:szCs w:val="28"/>
        </w:rPr>
      </w:pPr>
      <w:r>
        <w:rPr>
          <w:rFonts w:eastAsia="仿宋_GB2312"/>
          <w:sz w:val="28"/>
          <w:szCs w:val="28"/>
        </w:rPr>
        <w:t>由上表可知，本项目符合</w:t>
      </w:r>
      <w:r>
        <w:rPr>
          <w:rFonts w:hint="eastAsia" w:eastAsia="仿宋_GB2312"/>
          <w:sz w:val="28"/>
          <w:szCs w:val="28"/>
        </w:rPr>
        <w:t>《江苏省挥发性有机物清洁原料替代工作方案的通知》（苏大气办[2021]2号）</w:t>
      </w:r>
      <w:r>
        <w:rPr>
          <w:rFonts w:eastAsia="仿宋_GB2312"/>
          <w:sz w:val="28"/>
          <w:szCs w:val="28"/>
        </w:rPr>
        <w:t>的相关要求。</w:t>
      </w:r>
    </w:p>
    <w:p>
      <w:pPr>
        <w:spacing w:line="500" w:lineRule="exact"/>
        <w:ind w:firstLine="560" w:firstLineChars="200"/>
        <w:contextualSpacing/>
        <w:rPr>
          <w:rFonts w:eastAsia="仿宋_GB2312"/>
          <w:sz w:val="28"/>
          <w:szCs w:val="28"/>
        </w:rPr>
      </w:pPr>
      <w:r>
        <w:rPr>
          <w:rFonts w:hint="eastAsia" w:eastAsia="仿宋_GB2312"/>
          <w:sz w:val="28"/>
          <w:szCs w:val="28"/>
        </w:rPr>
        <w:t>（11）与《关于印发常州市挥发性有机物清洁原料替代工作方案的通知》（常污防攻坚指办〔2021〕32号）的</w:t>
      </w:r>
      <w:r>
        <w:rPr>
          <w:rFonts w:eastAsia="仿宋_GB2312"/>
          <w:sz w:val="28"/>
          <w:szCs w:val="28"/>
        </w:rPr>
        <w:t>对照分析</w:t>
      </w:r>
    </w:p>
    <w:p>
      <w:pPr>
        <w:pStyle w:val="365"/>
        <w:tabs>
          <w:tab w:val="left" w:pos="2880"/>
        </w:tabs>
        <w:autoSpaceDE w:val="0"/>
        <w:autoSpaceDN w:val="0"/>
        <w:spacing w:line="500" w:lineRule="exact"/>
        <w:ind w:left="851" w:firstLine="0" w:firstLineChars="0"/>
        <w:jc w:val="center"/>
        <w:rPr>
          <w:rFonts w:eastAsia="仿宋_GB2312"/>
          <w:b/>
          <w:sz w:val="24"/>
        </w:rPr>
      </w:pPr>
      <w:r>
        <w:rPr>
          <w:rFonts w:eastAsia="仿宋_GB2312"/>
          <w:b/>
          <w:sz w:val="24"/>
        </w:rPr>
        <w:t>表</w:t>
      </w:r>
      <w:r>
        <w:rPr>
          <w:rFonts w:hint="eastAsia" w:eastAsia="仿宋_GB2312"/>
          <w:b/>
          <w:sz w:val="24"/>
        </w:rPr>
        <w:t>2</w:t>
      </w:r>
      <w:r>
        <w:rPr>
          <w:rFonts w:eastAsia="仿宋_GB2312"/>
          <w:b/>
          <w:sz w:val="24"/>
        </w:rPr>
        <w:t>.</w:t>
      </w:r>
      <w:r>
        <w:rPr>
          <w:rFonts w:hint="eastAsia" w:eastAsia="仿宋_GB2312"/>
          <w:b/>
          <w:sz w:val="24"/>
        </w:rPr>
        <w:t>7</w:t>
      </w:r>
      <w:r>
        <w:rPr>
          <w:rFonts w:eastAsia="仿宋_GB2312"/>
          <w:b/>
          <w:sz w:val="24"/>
        </w:rPr>
        <w:t>-1</w:t>
      </w:r>
      <w:r>
        <w:rPr>
          <w:rFonts w:hint="eastAsia" w:eastAsia="仿宋_GB2312"/>
          <w:b/>
          <w:sz w:val="24"/>
        </w:rPr>
        <w:t>1</w:t>
      </w:r>
      <w:r>
        <w:rPr>
          <w:rFonts w:eastAsia="仿宋_GB2312"/>
          <w:b/>
          <w:sz w:val="24"/>
        </w:rPr>
        <w:t xml:space="preserve">  与</w:t>
      </w:r>
      <w:r>
        <w:rPr>
          <w:rFonts w:hint="eastAsia" w:eastAsia="仿宋_GB2312"/>
          <w:b/>
          <w:sz w:val="24"/>
        </w:rPr>
        <w:t>常污防攻坚指办〔2021〕32号</w:t>
      </w:r>
      <w:r>
        <w:rPr>
          <w:rFonts w:eastAsia="仿宋_GB2312"/>
          <w:b/>
          <w:sz w:val="24"/>
        </w:rPr>
        <w:t>对照分析</w:t>
      </w:r>
    </w:p>
    <w:tbl>
      <w:tblPr>
        <w:tblStyle w:val="8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9"/>
        <w:gridCol w:w="5085"/>
        <w:gridCol w:w="2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0" w:type="pct"/>
            <w:shd w:val="clear" w:color="auto" w:fill="auto"/>
            <w:vAlign w:val="center"/>
          </w:tcPr>
          <w:p>
            <w:pPr>
              <w:autoSpaceDE w:val="0"/>
              <w:autoSpaceDN w:val="0"/>
              <w:adjustRightInd w:val="0"/>
              <w:snapToGrid w:val="0"/>
              <w:spacing w:line="276" w:lineRule="exact"/>
              <w:jc w:val="center"/>
              <w:rPr>
                <w:rFonts w:eastAsia="仿宋"/>
                <w:bCs/>
                <w:szCs w:val="21"/>
              </w:rPr>
            </w:pPr>
            <w:r>
              <w:rPr>
                <w:rFonts w:eastAsia="仿宋"/>
                <w:bCs/>
                <w:szCs w:val="21"/>
              </w:rPr>
              <w:t>类别</w:t>
            </w:r>
          </w:p>
        </w:tc>
        <w:tc>
          <w:tcPr>
            <w:tcW w:w="2750" w:type="pct"/>
            <w:shd w:val="clear" w:color="auto" w:fill="auto"/>
            <w:vAlign w:val="center"/>
          </w:tcPr>
          <w:p>
            <w:pPr>
              <w:autoSpaceDE w:val="0"/>
              <w:autoSpaceDN w:val="0"/>
              <w:adjustRightInd w:val="0"/>
              <w:snapToGrid w:val="0"/>
              <w:spacing w:line="276" w:lineRule="exact"/>
              <w:jc w:val="center"/>
              <w:rPr>
                <w:rFonts w:eastAsia="仿宋"/>
                <w:bCs/>
                <w:szCs w:val="21"/>
              </w:rPr>
            </w:pPr>
            <w:r>
              <w:rPr>
                <w:rFonts w:eastAsia="仿宋"/>
                <w:bCs/>
                <w:szCs w:val="21"/>
              </w:rPr>
              <w:t>文件要求</w:t>
            </w:r>
          </w:p>
        </w:tc>
        <w:tc>
          <w:tcPr>
            <w:tcW w:w="1578" w:type="pct"/>
            <w:shd w:val="clear" w:color="auto" w:fill="auto"/>
            <w:vAlign w:val="center"/>
          </w:tcPr>
          <w:p>
            <w:pPr>
              <w:autoSpaceDE w:val="0"/>
              <w:autoSpaceDN w:val="0"/>
              <w:adjustRightInd w:val="0"/>
              <w:snapToGrid w:val="0"/>
              <w:spacing w:line="276" w:lineRule="exact"/>
              <w:jc w:val="center"/>
              <w:rPr>
                <w:rFonts w:eastAsia="仿宋"/>
                <w:bCs/>
                <w:szCs w:val="21"/>
              </w:rPr>
            </w:pPr>
            <w:r>
              <w:rPr>
                <w:rFonts w:eastAsia="仿宋"/>
                <w:bCs/>
                <w:szCs w:val="21"/>
              </w:rPr>
              <w:t>对照分析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0" w:type="pct"/>
            <w:shd w:val="clear" w:color="auto" w:fill="auto"/>
            <w:vAlign w:val="center"/>
          </w:tcPr>
          <w:p>
            <w:pPr>
              <w:autoSpaceDE w:val="0"/>
              <w:autoSpaceDN w:val="0"/>
              <w:adjustRightInd w:val="0"/>
              <w:snapToGrid w:val="0"/>
              <w:spacing w:line="276" w:lineRule="exact"/>
              <w:jc w:val="center"/>
              <w:rPr>
                <w:rFonts w:eastAsia="仿宋"/>
                <w:bCs/>
                <w:szCs w:val="21"/>
              </w:rPr>
            </w:pPr>
            <w:r>
              <w:rPr>
                <w:rFonts w:hint="eastAsia" w:eastAsia="仿宋"/>
                <w:bCs/>
                <w:szCs w:val="21"/>
              </w:rPr>
              <w:t>一、明确替代要求</w:t>
            </w:r>
          </w:p>
        </w:tc>
        <w:tc>
          <w:tcPr>
            <w:tcW w:w="2750" w:type="pct"/>
            <w:shd w:val="clear" w:color="auto" w:fill="auto"/>
            <w:vAlign w:val="center"/>
          </w:tcPr>
          <w:p>
            <w:pPr>
              <w:autoSpaceDE w:val="0"/>
              <w:autoSpaceDN w:val="0"/>
              <w:adjustRightInd w:val="0"/>
              <w:snapToGrid w:val="0"/>
              <w:spacing w:line="276" w:lineRule="exact"/>
              <w:jc w:val="center"/>
              <w:rPr>
                <w:rFonts w:eastAsia="仿宋"/>
                <w:bCs/>
                <w:szCs w:val="21"/>
              </w:rPr>
            </w:pPr>
            <w:r>
              <w:rPr>
                <w:rFonts w:hint="eastAsia" w:eastAsia="仿宋"/>
                <w:bCs/>
                <w:szCs w:val="21"/>
              </w:rPr>
              <w:t>以工业涂装、包装印刷、木材加工、纺织等行业为重点，按照省大气办《关于印发江苏省挥发性有机物清洁原料替代工作方案的通知》中源头替代具体要求</w:t>
            </w:r>
            <w:r>
              <w:rPr>
                <w:rFonts w:eastAsia="仿宋"/>
                <w:bCs/>
                <w:szCs w:val="21"/>
              </w:rPr>
              <w:t>……..</w:t>
            </w:r>
            <w:r>
              <w:rPr>
                <w:rFonts w:hint="eastAsia" w:eastAsia="仿宋"/>
                <w:bCs/>
                <w:szCs w:val="21"/>
              </w:rPr>
              <w:t>，应提供相应的论证说明，相关涂料、油墨、清洗剂、胶粘 剂等产品应符合相关标准中 VOCs 含量的限值要求。</w:t>
            </w:r>
          </w:p>
        </w:tc>
        <w:tc>
          <w:tcPr>
            <w:tcW w:w="1578" w:type="pct"/>
            <w:vMerge w:val="restart"/>
            <w:shd w:val="clear" w:color="auto" w:fill="auto"/>
            <w:vAlign w:val="center"/>
          </w:tcPr>
          <w:p>
            <w:pPr>
              <w:autoSpaceDE w:val="0"/>
              <w:autoSpaceDN w:val="0"/>
              <w:adjustRightInd w:val="0"/>
              <w:snapToGrid w:val="0"/>
              <w:spacing w:line="276" w:lineRule="exact"/>
              <w:jc w:val="center"/>
              <w:rPr>
                <w:rFonts w:eastAsia="仿宋"/>
                <w:bCs/>
                <w:szCs w:val="21"/>
              </w:rPr>
            </w:pPr>
            <w:r>
              <w:rPr>
                <w:rFonts w:hint="eastAsia" w:ascii="仿宋" w:hAnsi="仿宋" w:eastAsia="仿宋" w:cs="仿宋"/>
                <w:bCs/>
                <w:szCs w:val="21"/>
              </w:rPr>
              <w:t>本项目</w:t>
            </w:r>
            <w:r>
              <w:rPr>
                <w:rFonts w:ascii="仿宋" w:hAnsi="仿宋" w:eastAsia="仿宋" w:cs="仿宋"/>
                <w:bCs/>
                <w:szCs w:val="21"/>
              </w:rPr>
              <w:t>使用的胶粘剂满足</w:t>
            </w:r>
            <w:r>
              <w:rPr>
                <w:rFonts w:hint="eastAsia" w:eastAsia="仿宋"/>
                <w:bCs/>
                <w:szCs w:val="21"/>
              </w:rPr>
              <w:t>《胶粘剂挥发性有机化合物限量》(GB</w:t>
            </w:r>
            <w:r>
              <w:rPr>
                <w:rFonts w:hint="eastAsia"/>
              </w:rPr>
              <w:t xml:space="preserve"> </w:t>
            </w:r>
            <w:r>
              <w:rPr>
                <w:rFonts w:hint="eastAsia" w:eastAsia="仿宋"/>
                <w:bCs/>
                <w:szCs w:val="21"/>
              </w:rPr>
              <w:t>33372-2020)</w:t>
            </w:r>
            <w:r>
              <w:rPr>
                <w:rFonts w:hint="eastAsia" w:ascii="仿宋" w:hAnsi="仿宋" w:eastAsia="仿宋" w:cs="仿宋"/>
                <w:bCs/>
                <w:szCs w:val="21"/>
              </w:rPr>
              <w:t>表</w:t>
            </w:r>
            <w:r>
              <w:rPr>
                <w:rFonts w:ascii="仿宋" w:hAnsi="仿宋" w:eastAsia="仿宋" w:cs="仿宋"/>
                <w:bCs/>
                <w:szCs w:val="21"/>
              </w:rPr>
              <w:t>1</w:t>
            </w:r>
            <w:r>
              <w:rPr>
                <w:rFonts w:hint="eastAsia" w:ascii="仿宋" w:hAnsi="仿宋" w:eastAsia="仿宋" w:cs="仿宋"/>
                <w:bCs/>
                <w:szCs w:val="21"/>
              </w:rPr>
              <w:t>溶剂型胶粘剂中丙烯酸</w:t>
            </w:r>
            <w:r>
              <w:rPr>
                <w:rFonts w:ascii="仿宋" w:hAnsi="仿宋" w:eastAsia="仿宋" w:cs="仿宋"/>
                <w:bCs/>
                <w:szCs w:val="21"/>
              </w:rPr>
              <w:t>酯类“</w:t>
            </w:r>
            <w:r>
              <w:rPr>
                <w:rFonts w:hint="eastAsia" w:ascii="仿宋" w:hAnsi="仿宋" w:eastAsia="仿宋" w:cs="仿宋"/>
                <w:bCs/>
                <w:szCs w:val="21"/>
              </w:rPr>
              <w:t>其他</w:t>
            </w:r>
            <w:r>
              <w:rPr>
                <w:rFonts w:ascii="仿宋" w:hAnsi="仿宋" w:eastAsia="仿宋" w:cs="仿宋"/>
                <w:bCs/>
                <w:szCs w:val="21"/>
              </w:rPr>
              <w:t>”</w:t>
            </w:r>
            <w:r>
              <w:rPr>
                <w:rFonts w:hint="eastAsia" w:ascii="仿宋" w:hAnsi="仿宋" w:eastAsia="仿宋" w:cs="仿宋"/>
                <w:bCs/>
                <w:szCs w:val="21"/>
              </w:rPr>
              <w:t>应用</w:t>
            </w:r>
            <w:r>
              <w:rPr>
                <w:rFonts w:ascii="仿宋" w:hAnsi="仿宋" w:eastAsia="仿宋" w:cs="仿宋"/>
                <w:bCs/>
                <w:szCs w:val="21"/>
              </w:rPr>
              <w:t>领域</w:t>
            </w:r>
            <w:r>
              <w:rPr>
                <w:rFonts w:hint="eastAsia" w:ascii="仿宋" w:hAnsi="仿宋" w:eastAsia="仿宋" w:cs="仿宋"/>
                <w:bCs/>
                <w:szCs w:val="21"/>
              </w:rPr>
              <w:t>，</w:t>
            </w:r>
            <w:r>
              <w:rPr>
                <w:rFonts w:ascii="仿宋" w:hAnsi="仿宋" w:eastAsia="仿宋" w:cs="仿宋"/>
                <w:bCs/>
                <w:szCs w:val="21"/>
              </w:rPr>
              <w:t>VOCs</w:t>
            </w:r>
            <w:r>
              <w:rPr>
                <w:rFonts w:hint="eastAsia" w:ascii="仿宋" w:hAnsi="仿宋" w:eastAsia="仿宋" w:cs="仿宋"/>
                <w:bCs/>
                <w:szCs w:val="21"/>
              </w:rPr>
              <w:t>限量值≤5</w:t>
            </w:r>
            <w:r>
              <w:rPr>
                <w:rFonts w:ascii="仿宋" w:hAnsi="仿宋" w:eastAsia="仿宋" w:cs="仿宋"/>
                <w:bCs/>
                <w:szCs w:val="21"/>
              </w:rPr>
              <w:t>1</w:t>
            </w:r>
            <w:r>
              <w:rPr>
                <w:rFonts w:hint="eastAsia" w:ascii="仿宋" w:hAnsi="仿宋" w:eastAsia="仿宋" w:cs="仿宋"/>
                <w:bCs/>
                <w:szCs w:val="21"/>
              </w:rPr>
              <w:t>0</w:t>
            </w:r>
            <w:r>
              <w:rPr>
                <w:rFonts w:ascii="仿宋" w:hAnsi="仿宋" w:eastAsia="仿宋" w:cs="仿宋"/>
                <w:bCs/>
                <w:szCs w:val="21"/>
              </w:rPr>
              <w:t>g/L</w:t>
            </w:r>
            <w:r>
              <w:rPr>
                <w:rFonts w:hint="eastAsia" w:ascii="仿宋" w:hAnsi="仿宋" w:eastAsia="仿宋" w:cs="仿宋"/>
                <w:bCs/>
                <w:szCs w:val="21"/>
              </w:rPr>
              <w:t>，且本项目胶粘剂已取得不可替代论证意见。</w:t>
            </w:r>
            <w:r>
              <w:rPr>
                <w:rFonts w:hint="eastAsia" w:eastAsia="仿宋"/>
                <w:bCs/>
                <w:szCs w:val="21"/>
              </w:rPr>
              <w:t>在生产过程中产生的废气经合理收集后通过措施处理后达标有组织排放，处理效率可达99.5%，实现达标排放。本项目对使用的有胶粘剂、固化剂、清洗剂建立购销台账，如实记录使用情况。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0" w:type="pct"/>
            <w:shd w:val="clear" w:color="auto" w:fill="auto"/>
            <w:vAlign w:val="center"/>
          </w:tcPr>
          <w:p>
            <w:pPr>
              <w:autoSpaceDE w:val="0"/>
              <w:autoSpaceDN w:val="0"/>
              <w:adjustRightInd w:val="0"/>
              <w:snapToGrid w:val="0"/>
              <w:spacing w:line="276" w:lineRule="exact"/>
              <w:jc w:val="center"/>
              <w:rPr>
                <w:rFonts w:eastAsia="仿宋"/>
                <w:bCs/>
                <w:szCs w:val="21"/>
              </w:rPr>
            </w:pPr>
            <w:r>
              <w:rPr>
                <w:rFonts w:hint="eastAsia" w:eastAsia="仿宋"/>
                <w:bCs/>
                <w:szCs w:val="21"/>
              </w:rPr>
              <w:t>二、严格准入条件</w:t>
            </w:r>
          </w:p>
        </w:tc>
        <w:tc>
          <w:tcPr>
            <w:tcW w:w="2750" w:type="pct"/>
            <w:shd w:val="clear" w:color="auto" w:fill="auto"/>
            <w:vAlign w:val="center"/>
          </w:tcPr>
          <w:p>
            <w:pPr>
              <w:autoSpaceDE w:val="0"/>
              <w:autoSpaceDN w:val="0"/>
              <w:adjustRightInd w:val="0"/>
              <w:snapToGrid w:val="0"/>
              <w:spacing w:line="276" w:lineRule="exact"/>
              <w:jc w:val="center"/>
              <w:rPr>
                <w:rFonts w:eastAsia="仿宋"/>
                <w:bCs/>
                <w:szCs w:val="21"/>
              </w:rPr>
            </w:pPr>
            <w:r>
              <w:rPr>
                <w:rFonts w:hint="eastAsia" w:eastAsia="仿宋"/>
                <w:bCs/>
                <w:szCs w:val="21"/>
              </w:rPr>
              <w:t>禁止建设生产和使用高VOCs 含量的涂料、油墨、胶黏剂等项目。2021 年起，全市工业 涂装、包装印刷、纺织、木材加工等行业以及涂料、油墨等生产企业的新(改、扩)建项目 需满足低(无)VOCs 含量限值要求。全市市场.上流通的水性涂料等低挥发性有机物含量涂料产品，执行国家《低挥发性有机化合物含量涂料产品技术要求》(GB/T38597-2020)</w:t>
            </w:r>
          </w:p>
        </w:tc>
        <w:tc>
          <w:tcPr>
            <w:tcW w:w="1578" w:type="pct"/>
            <w:vMerge w:val="continue"/>
            <w:shd w:val="clear" w:color="auto" w:fill="auto"/>
            <w:vAlign w:val="center"/>
          </w:tcPr>
          <w:p>
            <w:pPr>
              <w:autoSpaceDE w:val="0"/>
              <w:autoSpaceDN w:val="0"/>
              <w:adjustRightInd w:val="0"/>
              <w:snapToGrid w:val="0"/>
              <w:spacing w:line="276" w:lineRule="exact"/>
              <w:jc w:val="center"/>
              <w:rPr>
                <w:rFonts w:eastAsia="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0" w:type="pct"/>
            <w:shd w:val="clear" w:color="auto" w:fill="auto"/>
            <w:vAlign w:val="center"/>
          </w:tcPr>
          <w:p>
            <w:pPr>
              <w:autoSpaceDE w:val="0"/>
              <w:autoSpaceDN w:val="0"/>
              <w:adjustRightInd w:val="0"/>
              <w:snapToGrid w:val="0"/>
              <w:spacing w:line="276" w:lineRule="exact"/>
              <w:jc w:val="center"/>
              <w:rPr>
                <w:rFonts w:eastAsia="仿宋"/>
                <w:bCs/>
                <w:szCs w:val="21"/>
              </w:rPr>
            </w:pPr>
            <w:r>
              <w:rPr>
                <w:rFonts w:hint="eastAsia" w:eastAsia="仿宋"/>
                <w:bCs/>
                <w:szCs w:val="21"/>
              </w:rPr>
              <w:t>三、强化排查整治</w:t>
            </w:r>
          </w:p>
        </w:tc>
        <w:tc>
          <w:tcPr>
            <w:tcW w:w="2750" w:type="pct"/>
            <w:shd w:val="clear" w:color="auto" w:fill="auto"/>
            <w:vAlign w:val="center"/>
          </w:tcPr>
          <w:p>
            <w:pPr>
              <w:autoSpaceDE w:val="0"/>
              <w:autoSpaceDN w:val="0"/>
              <w:adjustRightInd w:val="0"/>
              <w:snapToGrid w:val="0"/>
              <w:spacing w:line="276" w:lineRule="exact"/>
              <w:jc w:val="center"/>
              <w:rPr>
                <w:rFonts w:eastAsia="仿宋"/>
                <w:bCs/>
                <w:szCs w:val="21"/>
              </w:rPr>
            </w:pPr>
            <w:r>
              <w:rPr>
                <w:rFonts w:hint="eastAsia" w:eastAsia="仿宋"/>
                <w:bCs/>
                <w:szCs w:val="21"/>
              </w:rPr>
              <w:t>各地在推动182家企业实施源头替代的基础上，举一反三，对工业涂装、包装印刷、木材加工、纺织等涉VOCs重点行业进行再排查、再梳理，</w:t>
            </w:r>
            <w:r>
              <w:rPr>
                <w:rFonts w:eastAsia="仿宋"/>
                <w:bCs/>
                <w:szCs w:val="21"/>
              </w:rPr>
              <w:t>……..</w:t>
            </w:r>
            <w:r>
              <w:rPr>
                <w:rFonts w:hint="eastAsia" w:eastAsia="仿宋"/>
                <w:bCs/>
                <w:szCs w:val="21"/>
              </w:rPr>
              <w:t>，确保 VOCs 无组织排放得到有效控制，废气排气口达到国家及地方 VOCs 排放控制标准要求。</w:t>
            </w:r>
          </w:p>
        </w:tc>
        <w:tc>
          <w:tcPr>
            <w:tcW w:w="1578" w:type="pct"/>
            <w:vMerge w:val="continue"/>
            <w:shd w:val="clear" w:color="auto" w:fill="auto"/>
            <w:vAlign w:val="center"/>
          </w:tcPr>
          <w:p>
            <w:pPr>
              <w:autoSpaceDE w:val="0"/>
              <w:autoSpaceDN w:val="0"/>
              <w:adjustRightInd w:val="0"/>
              <w:snapToGrid w:val="0"/>
              <w:spacing w:line="276" w:lineRule="exact"/>
              <w:jc w:val="center"/>
              <w:rPr>
                <w:rFonts w:eastAsia="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2" w:hRule="atLeast"/>
        </w:trPr>
        <w:tc>
          <w:tcPr>
            <w:tcW w:w="670" w:type="pct"/>
            <w:shd w:val="clear" w:color="auto" w:fill="auto"/>
            <w:vAlign w:val="center"/>
          </w:tcPr>
          <w:p>
            <w:pPr>
              <w:autoSpaceDE w:val="0"/>
              <w:autoSpaceDN w:val="0"/>
              <w:adjustRightInd w:val="0"/>
              <w:snapToGrid w:val="0"/>
              <w:spacing w:line="276" w:lineRule="exact"/>
              <w:jc w:val="center"/>
              <w:rPr>
                <w:rFonts w:eastAsia="仿宋"/>
                <w:bCs/>
                <w:szCs w:val="21"/>
              </w:rPr>
            </w:pPr>
            <w:r>
              <w:rPr>
                <w:rFonts w:hint="eastAsia" w:eastAsia="仿宋"/>
                <w:bCs/>
                <w:szCs w:val="21"/>
              </w:rPr>
              <w:t>四、建立正面清单</w:t>
            </w:r>
          </w:p>
        </w:tc>
        <w:tc>
          <w:tcPr>
            <w:tcW w:w="2750" w:type="pct"/>
            <w:shd w:val="clear" w:color="auto" w:fill="auto"/>
            <w:vAlign w:val="center"/>
          </w:tcPr>
          <w:p>
            <w:pPr>
              <w:autoSpaceDE w:val="0"/>
              <w:autoSpaceDN w:val="0"/>
              <w:adjustRightInd w:val="0"/>
              <w:snapToGrid w:val="0"/>
              <w:spacing w:line="276" w:lineRule="exact"/>
              <w:jc w:val="center"/>
              <w:rPr>
                <w:rFonts w:eastAsia="仿宋"/>
                <w:bCs/>
                <w:szCs w:val="21"/>
              </w:rPr>
            </w:pPr>
            <w:r>
              <w:rPr>
                <w:rFonts w:hint="eastAsia" w:eastAsia="仿宋"/>
                <w:bCs/>
                <w:szCs w:val="21"/>
              </w:rPr>
              <w:t>各地要将全部生产水性、粉末、无溶剂、辐射固化涂料以及水性和辐射固化油墨、水 基和半水基清洗剂、水基型和本体型胶粘剂的生产企业，生产的产品80%以上符合《低挥发性有机化合物含量涂料产品技术要求》(GB/T38597-2020)的涂料生产企业，已经完全实施水性等低VOCs含量清洁原料替代，，</w:t>
            </w:r>
            <w:r>
              <w:rPr>
                <w:rFonts w:eastAsia="仿宋"/>
                <w:bCs/>
                <w:szCs w:val="21"/>
              </w:rPr>
              <w:t>……..</w:t>
            </w:r>
            <w:r>
              <w:rPr>
                <w:rFonts w:hint="eastAsia" w:eastAsia="仿宋"/>
                <w:bCs/>
                <w:szCs w:val="21"/>
              </w:rPr>
              <w:t>，各辖市区分别打造不少于3家以上源头替代示范性企业。</w:t>
            </w:r>
          </w:p>
        </w:tc>
        <w:tc>
          <w:tcPr>
            <w:tcW w:w="1578" w:type="pct"/>
            <w:vMerge w:val="continue"/>
            <w:shd w:val="clear" w:color="auto" w:fill="auto"/>
            <w:vAlign w:val="center"/>
          </w:tcPr>
          <w:p>
            <w:pPr>
              <w:autoSpaceDE w:val="0"/>
              <w:autoSpaceDN w:val="0"/>
              <w:adjustRightInd w:val="0"/>
              <w:snapToGrid w:val="0"/>
              <w:spacing w:line="276" w:lineRule="exact"/>
              <w:jc w:val="center"/>
              <w:rPr>
                <w:rFonts w:eastAsia="仿宋"/>
                <w:bCs/>
                <w:szCs w:val="21"/>
              </w:rPr>
            </w:pPr>
          </w:p>
        </w:tc>
      </w:tr>
    </w:tbl>
    <w:p>
      <w:pPr>
        <w:spacing w:line="500" w:lineRule="exact"/>
        <w:ind w:firstLine="560" w:firstLineChars="200"/>
        <w:contextualSpacing/>
        <w:rPr>
          <w:rFonts w:eastAsia="仿宋_GB2312"/>
          <w:sz w:val="28"/>
          <w:szCs w:val="28"/>
        </w:rPr>
      </w:pPr>
      <w:r>
        <w:rPr>
          <w:rFonts w:eastAsia="仿宋_GB2312"/>
          <w:sz w:val="28"/>
          <w:szCs w:val="28"/>
        </w:rPr>
        <w:t>由上表可知，本项目符合</w:t>
      </w:r>
      <w:r>
        <w:rPr>
          <w:rFonts w:hint="eastAsia" w:eastAsia="仿宋_GB2312"/>
          <w:sz w:val="28"/>
          <w:szCs w:val="28"/>
        </w:rPr>
        <w:t>《关于印发常州市挥发性有机物清洁原料替代工作方案的通知》（常污防攻坚指办〔2021〕32号）</w:t>
      </w:r>
      <w:r>
        <w:rPr>
          <w:rFonts w:eastAsia="仿宋_GB2312"/>
          <w:sz w:val="28"/>
          <w:szCs w:val="28"/>
        </w:rPr>
        <w:t>的相关要求。</w:t>
      </w:r>
    </w:p>
    <w:p>
      <w:pPr>
        <w:spacing w:line="500" w:lineRule="exact"/>
        <w:ind w:firstLine="560" w:firstLineChars="200"/>
        <w:contextualSpacing/>
        <w:rPr>
          <w:rFonts w:eastAsia="仿宋_GB2312"/>
          <w:sz w:val="28"/>
          <w:szCs w:val="28"/>
        </w:rPr>
      </w:pPr>
      <w:r>
        <w:rPr>
          <w:rFonts w:hint="eastAsia" w:eastAsia="仿宋_GB2312"/>
          <w:sz w:val="28"/>
          <w:szCs w:val="28"/>
        </w:rPr>
        <w:t>（12）</w:t>
      </w:r>
      <w:r>
        <w:rPr>
          <w:rFonts w:eastAsia="仿宋_GB2312"/>
          <w:sz w:val="28"/>
          <w:szCs w:val="28"/>
        </w:rPr>
        <w:t>与2022年《常州市深入打好污染防治攻坚战专项行动方案》（常州市人民政府）相符性分析</w:t>
      </w:r>
    </w:p>
    <w:p>
      <w:pPr>
        <w:pStyle w:val="365"/>
        <w:tabs>
          <w:tab w:val="left" w:pos="2880"/>
        </w:tabs>
        <w:autoSpaceDE w:val="0"/>
        <w:autoSpaceDN w:val="0"/>
        <w:spacing w:line="500" w:lineRule="exact"/>
        <w:ind w:left="851" w:firstLine="0" w:firstLineChars="0"/>
        <w:jc w:val="center"/>
        <w:rPr>
          <w:rFonts w:eastAsia="仿宋_GB2312"/>
          <w:b/>
          <w:sz w:val="24"/>
        </w:rPr>
      </w:pPr>
      <w:r>
        <w:rPr>
          <w:rFonts w:eastAsia="仿宋_GB2312"/>
          <w:b/>
          <w:sz w:val="24"/>
        </w:rPr>
        <w:t>表</w:t>
      </w:r>
      <w:r>
        <w:rPr>
          <w:rFonts w:hint="eastAsia" w:eastAsia="仿宋_GB2312"/>
          <w:b/>
          <w:sz w:val="24"/>
        </w:rPr>
        <w:t>2</w:t>
      </w:r>
      <w:r>
        <w:rPr>
          <w:rFonts w:eastAsia="仿宋_GB2312"/>
          <w:b/>
          <w:sz w:val="24"/>
        </w:rPr>
        <w:t>.</w:t>
      </w:r>
      <w:r>
        <w:rPr>
          <w:rFonts w:hint="eastAsia" w:eastAsia="仿宋_GB2312"/>
          <w:b/>
          <w:sz w:val="24"/>
        </w:rPr>
        <w:t>7</w:t>
      </w:r>
      <w:r>
        <w:rPr>
          <w:rFonts w:eastAsia="仿宋_GB2312"/>
          <w:b/>
          <w:sz w:val="24"/>
        </w:rPr>
        <w:t>-1</w:t>
      </w:r>
      <w:r>
        <w:rPr>
          <w:rFonts w:hint="eastAsia" w:eastAsia="仿宋_GB2312"/>
          <w:b/>
          <w:sz w:val="24"/>
        </w:rPr>
        <w:t>2</w:t>
      </w:r>
      <w:r>
        <w:rPr>
          <w:rFonts w:eastAsia="仿宋_GB2312"/>
          <w:b/>
          <w:sz w:val="24"/>
        </w:rPr>
        <w:t xml:space="preserve">  与</w:t>
      </w:r>
      <w:r>
        <w:rPr>
          <w:rFonts w:hint="eastAsia" w:eastAsia="仿宋_GB2312"/>
          <w:b/>
          <w:sz w:val="24"/>
        </w:rPr>
        <w:t>《常州市深入打好污染防治攻坚战专项行动方案》对照分析</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4"/>
        <w:gridCol w:w="4727"/>
        <w:gridCol w:w="3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4" w:type="dxa"/>
            <w:vAlign w:val="center"/>
          </w:tcPr>
          <w:p>
            <w:pPr>
              <w:autoSpaceDE w:val="0"/>
              <w:autoSpaceDN w:val="0"/>
              <w:adjustRightInd w:val="0"/>
              <w:snapToGrid w:val="0"/>
              <w:spacing w:line="276" w:lineRule="exact"/>
              <w:jc w:val="center"/>
              <w:rPr>
                <w:rFonts w:eastAsia="仿宋"/>
                <w:bCs/>
                <w:szCs w:val="21"/>
              </w:rPr>
            </w:pPr>
            <w:r>
              <w:rPr>
                <w:rFonts w:hint="eastAsia" w:eastAsia="仿宋"/>
                <w:bCs/>
                <w:szCs w:val="21"/>
              </w:rPr>
              <w:t>类别</w:t>
            </w:r>
          </w:p>
        </w:tc>
        <w:tc>
          <w:tcPr>
            <w:tcW w:w="4727" w:type="dxa"/>
            <w:vAlign w:val="center"/>
          </w:tcPr>
          <w:p>
            <w:pPr>
              <w:autoSpaceDE w:val="0"/>
              <w:autoSpaceDN w:val="0"/>
              <w:adjustRightInd w:val="0"/>
              <w:snapToGrid w:val="0"/>
              <w:spacing w:line="276" w:lineRule="exact"/>
              <w:jc w:val="center"/>
              <w:rPr>
                <w:rFonts w:eastAsia="仿宋"/>
                <w:bCs/>
                <w:szCs w:val="21"/>
              </w:rPr>
            </w:pPr>
            <w:r>
              <w:rPr>
                <w:rFonts w:hint="eastAsia" w:eastAsia="仿宋"/>
                <w:bCs/>
                <w:szCs w:val="21"/>
              </w:rPr>
              <w:t>文件要求</w:t>
            </w:r>
          </w:p>
        </w:tc>
        <w:tc>
          <w:tcPr>
            <w:tcW w:w="3081" w:type="dxa"/>
            <w:vAlign w:val="center"/>
          </w:tcPr>
          <w:p>
            <w:pPr>
              <w:autoSpaceDE w:val="0"/>
              <w:autoSpaceDN w:val="0"/>
              <w:adjustRightInd w:val="0"/>
              <w:snapToGrid w:val="0"/>
              <w:spacing w:line="276" w:lineRule="exact"/>
              <w:jc w:val="center"/>
              <w:rPr>
                <w:rFonts w:eastAsia="仿宋"/>
                <w:bCs/>
                <w:szCs w:val="21"/>
              </w:rPr>
            </w:pPr>
            <w:r>
              <w:rPr>
                <w:rFonts w:hint="eastAsia" w:eastAsia="仿宋"/>
                <w:bCs/>
                <w:szCs w:val="21"/>
              </w:rPr>
              <w:t>对照分析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4" w:type="dxa"/>
            <w:vAlign w:val="center"/>
          </w:tcPr>
          <w:p>
            <w:pPr>
              <w:autoSpaceDE w:val="0"/>
              <w:autoSpaceDN w:val="0"/>
              <w:adjustRightInd w:val="0"/>
              <w:snapToGrid w:val="0"/>
              <w:spacing w:line="276" w:lineRule="exact"/>
              <w:jc w:val="center"/>
              <w:rPr>
                <w:rFonts w:eastAsia="仿宋"/>
                <w:bCs/>
                <w:szCs w:val="21"/>
              </w:rPr>
            </w:pPr>
            <w:r>
              <w:rPr>
                <w:rFonts w:hint="eastAsia" w:eastAsia="仿宋"/>
                <w:bCs/>
                <w:szCs w:val="21"/>
              </w:rPr>
              <w:t>着力打好重污染天气消除攻坚战</w:t>
            </w:r>
          </w:p>
        </w:tc>
        <w:tc>
          <w:tcPr>
            <w:tcW w:w="4727" w:type="dxa"/>
            <w:vAlign w:val="center"/>
          </w:tcPr>
          <w:p>
            <w:pPr>
              <w:numPr>
                <w:ilvl w:val="0"/>
                <w:numId w:val="7"/>
              </w:numPr>
              <w:autoSpaceDE w:val="0"/>
              <w:autoSpaceDN w:val="0"/>
              <w:adjustRightInd w:val="0"/>
              <w:snapToGrid w:val="0"/>
              <w:spacing w:line="276" w:lineRule="exact"/>
              <w:jc w:val="left"/>
              <w:rPr>
                <w:rFonts w:eastAsia="仿宋"/>
                <w:bCs/>
                <w:szCs w:val="21"/>
              </w:rPr>
            </w:pPr>
            <w:r>
              <w:rPr>
                <w:rFonts w:hint="eastAsia" w:eastAsia="仿宋"/>
                <w:bCs/>
                <w:szCs w:val="21"/>
              </w:rPr>
              <w:t>加大重点行业污染治理力度，强化多污染物协同控制，推进PM</w:t>
            </w:r>
            <w:r>
              <w:rPr>
                <w:rFonts w:hint="eastAsia" w:eastAsia="仿宋"/>
                <w:bCs/>
                <w:szCs w:val="21"/>
                <w:vertAlign w:val="subscript"/>
              </w:rPr>
              <w:t>2.5</w:t>
            </w:r>
            <w:r>
              <w:rPr>
                <w:rFonts w:hint="eastAsia" w:eastAsia="仿宋"/>
                <w:bCs/>
                <w:szCs w:val="21"/>
              </w:rPr>
              <w:t>和臭氧浓度“双控双减”，严格落实重污染天气应急管控措施，做好国家重大活动空气质量保障，基本消除重污染天气。严格落实点位长制，重点区域落实精细化管控 措施。</w:t>
            </w:r>
          </w:p>
          <w:p>
            <w:pPr>
              <w:numPr>
                <w:ilvl w:val="0"/>
                <w:numId w:val="7"/>
              </w:numPr>
              <w:autoSpaceDE w:val="0"/>
              <w:autoSpaceDN w:val="0"/>
              <w:adjustRightInd w:val="0"/>
              <w:snapToGrid w:val="0"/>
              <w:spacing w:line="276" w:lineRule="exact"/>
              <w:jc w:val="left"/>
              <w:rPr>
                <w:rFonts w:eastAsia="仿宋"/>
                <w:bCs/>
                <w:szCs w:val="21"/>
              </w:rPr>
            </w:pPr>
            <w:r>
              <w:rPr>
                <w:rFonts w:hint="eastAsia" w:eastAsia="仿宋"/>
                <w:bCs/>
                <w:szCs w:val="21"/>
              </w:rPr>
              <w:t>推动重点行业企业和工业炉窑、垃圾焚烧重点设施超低排放改造（深度治理），严格控制物料（含废渣）运输、装卸、储存、转移和工艺过程无组织排放。</w:t>
            </w:r>
          </w:p>
          <w:p>
            <w:pPr>
              <w:autoSpaceDE w:val="0"/>
              <w:autoSpaceDN w:val="0"/>
              <w:adjustRightInd w:val="0"/>
              <w:snapToGrid w:val="0"/>
              <w:spacing w:line="276" w:lineRule="exact"/>
              <w:jc w:val="left"/>
              <w:rPr>
                <w:rFonts w:eastAsia="仿宋"/>
                <w:bCs/>
                <w:szCs w:val="21"/>
              </w:rPr>
            </w:pPr>
            <w:r>
              <w:rPr>
                <w:rFonts w:hint="eastAsia" w:eastAsia="仿宋"/>
                <w:bCs/>
                <w:szCs w:val="21"/>
              </w:rPr>
              <w:t>3、强化建筑工地、道路、堆场、矿山等扬尘管控。推进智 慧工地建设建设及全市</w:t>
            </w:r>
            <w:r>
              <w:rPr>
                <w:rFonts w:eastAsia="仿宋"/>
                <w:bCs/>
                <w:szCs w:val="21"/>
              </w:rPr>
              <w:t>……..</w:t>
            </w:r>
            <w:r>
              <w:rPr>
                <w:rFonts w:hint="eastAsia" w:eastAsia="仿宋"/>
                <w:bCs/>
                <w:szCs w:val="21"/>
              </w:rPr>
              <w:t>物流园、大型停车场等进行排查建档并采取防尘措施。提高城市保洁机械化作业比率，城市建成区道路机械化清扫率达到90%以上</w:t>
            </w:r>
          </w:p>
        </w:tc>
        <w:tc>
          <w:tcPr>
            <w:tcW w:w="3081" w:type="dxa"/>
            <w:vMerge w:val="restart"/>
            <w:vAlign w:val="center"/>
          </w:tcPr>
          <w:p>
            <w:pPr>
              <w:autoSpaceDE w:val="0"/>
              <w:autoSpaceDN w:val="0"/>
              <w:adjustRightInd w:val="0"/>
              <w:snapToGrid w:val="0"/>
              <w:spacing w:line="276" w:lineRule="exact"/>
              <w:jc w:val="left"/>
              <w:rPr>
                <w:rFonts w:eastAsia="仿宋"/>
                <w:bCs/>
                <w:szCs w:val="21"/>
              </w:rPr>
            </w:pPr>
            <w:r>
              <w:rPr>
                <w:rFonts w:hint="eastAsia" w:eastAsia="仿宋"/>
                <w:bCs/>
                <w:szCs w:val="21"/>
              </w:rPr>
              <w:t>本项目生产过程中充分考虑污染的控制及污染物的收集，生产过程中产生的废气经相应处理后通过排气筒达标排放；，生活污水经厂区污水管网接管至金坛第二污水处理厂处理；危险废物委托有资质单位处置，生活垃圾由环卫部门定期收 集清运。因此，符合文件要求。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4" w:type="dxa"/>
            <w:vAlign w:val="center"/>
          </w:tcPr>
          <w:p>
            <w:pPr>
              <w:autoSpaceDE w:val="0"/>
              <w:autoSpaceDN w:val="0"/>
              <w:adjustRightInd w:val="0"/>
              <w:snapToGrid w:val="0"/>
              <w:spacing w:line="276" w:lineRule="exact"/>
              <w:jc w:val="center"/>
              <w:rPr>
                <w:rFonts w:eastAsia="仿宋"/>
                <w:bCs/>
                <w:szCs w:val="21"/>
              </w:rPr>
            </w:pPr>
            <w:r>
              <w:rPr>
                <w:rFonts w:hint="eastAsia" w:eastAsia="仿宋"/>
                <w:bCs/>
                <w:szCs w:val="21"/>
              </w:rPr>
              <w:t>着力打好臭氧污染防治攻坚战</w:t>
            </w:r>
          </w:p>
        </w:tc>
        <w:tc>
          <w:tcPr>
            <w:tcW w:w="4727" w:type="dxa"/>
            <w:vAlign w:val="center"/>
          </w:tcPr>
          <w:p>
            <w:pPr>
              <w:autoSpaceDE w:val="0"/>
              <w:autoSpaceDN w:val="0"/>
              <w:adjustRightInd w:val="0"/>
              <w:snapToGrid w:val="0"/>
              <w:spacing w:line="276" w:lineRule="exact"/>
              <w:jc w:val="left"/>
              <w:rPr>
                <w:rFonts w:eastAsia="仿宋"/>
                <w:bCs/>
                <w:szCs w:val="21"/>
              </w:rPr>
            </w:pPr>
            <w:r>
              <w:rPr>
                <w:rFonts w:hint="eastAsia" w:eastAsia="仿宋"/>
                <w:bCs/>
                <w:szCs w:val="21"/>
              </w:rPr>
              <w:t>1、以化工、涂装、医药、包装印刷、油品储运销等行业领 域为重点，实施原辅材料和产品源头替代工程。结合产业结 构分布，培育源头替代示范型企业。</w:t>
            </w:r>
          </w:p>
          <w:p>
            <w:pPr>
              <w:autoSpaceDE w:val="0"/>
              <w:autoSpaceDN w:val="0"/>
              <w:adjustRightInd w:val="0"/>
              <w:snapToGrid w:val="0"/>
              <w:spacing w:line="276" w:lineRule="exact"/>
              <w:jc w:val="left"/>
              <w:rPr>
                <w:rFonts w:eastAsia="仿宋"/>
                <w:bCs/>
                <w:szCs w:val="21"/>
              </w:rPr>
            </w:pPr>
            <w:r>
              <w:rPr>
                <w:rFonts w:hint="eastAsia" w:eastAsia="仿宋"/>
                <w:bCs/>
                <w:szCs w:val="21"/>
              </w:rPr>
              <w:t>2、提高企业挥发性有机物治理水平。开展有机储罐分类深 度治理及回头看工作。优化企业集群布局，积极推动企业集群入工业园区或小微企业园。</w:t>
            </w:r>
          </w:p>
          <w:p>
            <w:pPr>
              <w:autoSpaceDE w:val="0"/>
              <w:autoSpaceDN w:val="0"/>
              <w:adjustRightInd w:val="0"/>
              <w:snapToGrid w:val="0"/>
              <w:spacing w:line="276" w:lineRule="exact"/>
              <w:jc w:val="left"/>
              <w:rPr>
                <w:rFonts w:eastAsia="仿宋"/>
                <w:bCs/>
                <w:szCs w:val="21"/>
              </w:rPr>
            </w:pPr>
            <w:r>
              <w:rPr>
                <w:rFonts w:hint="eastAsia" w:eastAsia="仿宋"/>
                <w:bCs/>
                <w:szCs w:val="21"/>
              </w:rPr>
              <w:t>3、强化装卸废气收集治理。向汽车罐车装载汽油、航空煤油、石脑油和苯、甲苯、二甲苯等应采用底部装载方式，换用自封式快速接头。推进万吨级及以上原油、成品油码头完成油气回收治理。长江和京杭运河沿线原油、汽油和石脑油装船作业码头加大改造力度。推进挥发性有机液体运输洗舱VOCs治理，油品运输船舶具备油气回收能力。</w:t>
            </w:r>
          </w:p>
          <w:p>
            <w:pPr>
              <w:autoSpaceDE w:val="0"/>
              <w:autoSpaceDN w:val="0"/>
              <w:adjustRightInd w:val="0"/>
              <w:snapToGrid w:val="0"/>
              <w:spacing w:line="276" w:lineRule="exact"/>
              <w:jc w:val="left"/>
              <w:rPr>
                <w:rFonts w:eastAsia="仿宋"/>
                <w:bCs/>
                <w:szCs w:val="21"/>
              </w:rPr>
            </w:pPr>
            <w:r>
              <w:rPr>
                <w:rFonts w:hint="eastAsia" w:eastAsia="仿宋"/>
                <w:bCs/>
                <w:szCs w:val="21"/>
              </w:rPr>
              <w:t>4、推进餐饮油烟污染治理和执法监管。推动治理设施第三方运维管理及运行状态监控。</w:t>
            </w:r>
          </w:p>
        </w:tc>
        <w:tc>
          <w:tcPr>
            <w:tcW w:w="3081" w:type="dxa"/>
            <w:vMerge w:val="continue"/>
            <w:vAlign w:val="center"/>
          </w:tcPr>
          <w:p>
            <w:pPr>
              <w:autoSpaceDE w:val="0"/>
              <w:autoSpaceDN w:val="0"/>
              <w:adjustRightInd w:val="0"/>
              <w:snapToGrid w:val="0"/>
              <w:spacing w:line="276" w:lineRule="exact"/>
              <w:jc w:val="center"/>
              <w:rPr>
                <w:rFonts w:eastAsia="仿宋"/>
                <w:bCs/>
                <w:szCs w:val="21"/>
              </w:rPr>
            </w:pPr>
          </w:p>
        </w:tc>
      </w:tr>
    </w:tbl>
    <w:p>
      <w:pPr>
        <w:spacing w:line="500" w:lineRule="exact"/>
        <w:ind w:firstLine="560" w:firstLineChars="200"/>
        <w:contextualSpacing/>
        <w:rPr>
          <w:rFonts w:eastAsia="仿宋_GB2312"/>
          <w:sz w:val="28"/>
          <w:szCs w:val="28"/>
        </w:rPr>
      </w:pPr>
      <w:r>
        <w:rPr>
          <w:rFonts w:eastAsia="仿宋_GB2312"/>
          <w:sz w:val="28"/>
          <w:szCs w:val="28"/>
        </w:rPr>
        <w:t>由上表可知，本项目符合2022年《常州市深入打好污染防治攻坚战专项行动方案》（常州市人民政府）</w:t>
      </w:r>
      <w:r>
        <w:rPr>
          <w:rFonts w:hint="eastAsia" w:eastAsia="仿宋_GB2312"/>
          <w:sz w:val="28"/>
          <w:szCs w:val="28"/>
        </w:rPr>
        <w:t>的相关要求</w:t>
      </w:r>
      <w:r>
        <w:rPr>
          <w:rFonts w:eastAsia="仿宋_GB2312"/>
          <w:sz w:val="28"/>
          <w:szCs w:val="28"/>
        </w:rPr>
        <w:t>。</w:t>
      </w:r>
    </w:p>
    <w:p>
      <w:pPr>
        <w:spacing w:line="500" w:lineRule="exact"/>
        <w:ind w:firstLine="560" w:firstLineChars="200"/>
        <w:contextualSpacing/>
        <w:rPr>
          <w:rFonts w:eastAsia="仿宋_GB2312"/>
          <w:sz w:val="28"/>
          <w:szCs w:val="28"/>
        </w:rPr>
      </w:pPr>
      <w:r>
        <w:rPr>
          <w:rFonts w:hint="eastAsia" w:eastAsia="仿宋_GB2312"/>
          <w:sz w:val="28"/>
          <w:szCs w:val="28"/>
        </w:rPr>
        <w:t>（13）与《市大气污染防治联席会议办公室关于印发&lt;2022年常州市挥发性有机物减排攻坚方案&gt;的通知》（常大气办[2022]2号）相符性分析</w:t>
      </w:r>
    </w:p>
    <w:p>
      <w:pPr>
        <w:pStyle w:val="365"/>
        <w:tabs>
          <w:tab w:val="left" w:pos="2880"/>
        </w:tabs>
        <w:autoSpaceDE w:val="0"/>
        <w:autoSpaceDN w:val="0"/>
        <w:ind w:left="851" w:firstLine="0" w:firstLineChars="0"/>
        <w:jc w:val="center"/>
        <w:rPr>
          <w:rFonts w:eastAsia="仿宋_GB2312"/>
          <w:b/>
          <w:sz w:val="24"/>
        </w:rPr>
      </w:pPr>
      <w:r>
        <w:rPr>
          <w:rFonts w:eastAsia="仿宋_GB2312"/>
          <w:b/>
          <w:sz w:val="24"/>
        </w:rPr>
        <w:t>表</w:t>
      </w:r>
      <w:r>
        <w:rPr>
          <w:rFonts w:hint="eastAsia" w:eastAsia="仿宋_GB2312"/>
          <w:b/>
          <w:sz w:val="24"/>
        </w:rPr>
        <w:t>2</w:t>
      </w:r>
      <w:r>
        <w:rPr>
          <w:rFonts w:eastAsia="仿宋_GB2312"/>
          <w:b/>
          <w:sz w:val="24"/>
        </w:rPr>
        <w:t>.</w:t>
      </w:r>
      <w:r>
        <w:rPr>
          <w:rFonts w:hint="eastAsia" w:eastAsia="仿宋_GB2312"/>
          <w:b/>
          <w:sz w:val="24"/>
        </w:rPr>
        <w:t>7</w:t>
      </w:r>
      <w:r>
        <w:rPr>
          <w:rFonts w:eastAsia="仿宋_GB2312"/>
          <w:b/>
          <w:sz w:val="24"/>
        </w:rPr>
        <w:t>-1</w:t>
      </w:r>
      <w:r>
        <w:rPr>
          <w:rFonts w:hint="eastAsia" w:eastAsia="仿宋_GB2312"/>
          <w:b/>
          <w:sz w:val="24"/>
        </w:rPr>
        <w:t>3</w:t>
      </w:r>
      <w:r>
        <w:rPr>
          <w:rFonts w:eastAsia="仿宋_GB2312"/>
          <w:b/>
          <w:sz w:val="24"/>
        </w:rPr>
        <w:t xml:space="preserve">  与</w:t>
      </w:r>
      <w:r>
        <w:rPr>
          <w:rFonts w:hint="eastAsia" w:eastAsia="仿宋_GB2312"/>
          <w:b/>
          <w:sz w:val="24"/>
        </w:rPr>
        <w:t>市大气污染防治联席会议办公室关于印发&lt;2022年常州市挥发性有机物减排攻坚方案&gt;的通知》（常大气办[2022]2号）对照分析</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9"/>
        <w:gridCol w:w="2925"/>
        <w:gridCol w:w="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9" w:type="dxa"/>
            <w:vAlign w:val="center"/>
          </w:tcPr>
          <w:p>
            <w:pPr>
              <w:autoSpaceDE w:val="0"/>
              <w:autoSpaceDN w:val="0"/>
              <w:adjustRightInd w:val="0"/>
              <w:snapToGrid w:val="0"/>
              <w:spacing w:line="276" w:lineRule="exact"/>
              <w:jc w:val="center"/>
              <w:rPr>
                <w:rFonts w:eastAsia="仿宋"/>
                <w:bCs/>
                <w:szCs w:val="21"/>
              </w:rPr>
            </w:pPr>
            <w:r>
              <w:rPr>
                <w:rFonts w:hint="eastAsia" w:eastAsia="仿宋"/>
                <w:bCs/>
                <w:szCs w:val="21"/>
              </w:rPr>
              <w:t>文件要求</w:t>
            </w:r>
          </w:p>
        </w:tc>
        <w:tc>
          <w:tcPr>
            <w:tcW w:w="2925" w:type="dxa"/>
            <w:vAlign w:val="center"/>
          </w:tcPr>
          <w:p>
            <w:pPr>
              <w:autoSpaceDE w:val="0"/>
              <w:autoSpaceDN w:val="0"/>
              <w:adjustRightInd w:val="0"/>
              <w:snapToGrid w:val="0"/>
              <w:spacing w:line="276" w:lineRule="exact"/>
              <w:jc w:val="center"/>
              <w:rPr>
                <w:rFonts w:eastAsia="仿宋"/>
                <w:bCs/>
                <w:szCs w:val="21"/>
              </w:rPr>
            </w:pPr>
            <w:r>
              <w:rPr>
                <w:rFonts w:hint="eastAsia" w:eastAsia="仿宋"/>
                <w:bCs/>
                <w:szCs w:val="21"/>
              </w:rPr>
              <w:t>本项目情况</w:t>
            </w:r>
          </w:p>
        </w:tc>
        <w:tc>
          <w:tcPr>
            <w:tcW w:w="968" w:type="dxa"/>
            <w:vAlign w:val="center"/>
          </w:tcPr>
          <w:p>
            <w:pPr>
              <w:autoSpaceDE w:val="0"/>
              <w:autoSpaceDN w:val="0"/>
              <w:adjustRightInd w:val="0"/>
              <w:snapToGrid w:val="0"/>
              <w:spacing w:line="276" w:lineRule="exact"/>
              <w:jc w:val="center"/>
              <w:rPr>
                <w:rFonts w:eastAsia="仿宋"/>
                <w:bCs/>
                <w:szCs w:val="21"/>
              </w:rPr>
            </w:pPr>
            <w:r>
              <w:rPr>
                <w:rFonts w:hint="eastAsia" w:eastAsia="仿宋"/>
                <w:bCs/>
                <w:szCs w:val="21"/>
              </w:rPr>
              <w:t>相符性分析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9" w:type="dxa"/>
          </w:tcPr>
          <w:p>
            <w:pPr>
              <w:autoSpaceDE w:val="0"/>
              <w:autoSpaceDN w:val="0"/>
              <w:adjustRightInd w:val="0"/>
              <w:snapToGrid w:val="0"/>
              <w:spacing w:line="276" w:lineRule="exact"/>
              <w:jc w:val="center"/>
              <w:rPr>
                <w:rFonts w:eastAsia="仿宋"/>
                <w:bCs/>
                <w:szCs w:val="21"/>
              </w:rPr>
            </w:pPr>
            <w:r>
              <w:rPr>
                <w:rFonts w:hint="eastAsia" w:eastAsia="仿宋"/>
                <w:bCs/>
                <w:szCs w:val="21"/>
              </w:rPr>
              <w:t>其他行业敞开液面上方100mm处VOCs检测浓度&gt;200μmo1/mol的需加盖密封;规范涂料、油墨等有机原辅材料的调配和使用环节无组织废气收集,采取车间环境负压改造、安装高效集气装置等措施，提高VOCs产生环节的废气收集率。</w:t>
            </w:r>
          </w:p>
          <w:p>
            <w:pPr>
              <w:autoSpaceDE w:val="0"/>
              <w:autoSpaceDN w:val="0"/>
              <w:adjustRightInd w:val="0"/>
              <w:snapToGrid w:val="0"/>
              <w:spacing w:line="276" w:lineRule="exact"/>
              <w:jc w:val="center"/>
              <w:rPr>
                <w:rFonts w:eastAsia="仿宋"/>
                <w:bCs/>
                <w:szCs w:val="21"/>
              </w:rPr>
            </w:pPr>
            <w:r>
              <w:rPr>
                <w:rFonts w:hint="eastAsia" w:eastAsia="仿宋"/>
                <w:bCs/>
                <w:szCs w:val="21"/>
              </w:rPr>
              <w:t>督促工业企业按规范管理相关台账，如实记录含VOCs原辅材料使用、治理设施运维、生产管理等信息。对采用活 性炭吸附技术的，按照《吸附法工业有机废气治理工程技术规范》( HJ2026-2013)进行管理，按要求足量添加、定期更换;一次性活性炭吸附工艺需使用柱状炭(颗粒炭)，碘吸附值不低于800毫克/克;VOCs初始排放速率大于2kg/h的重点源排气简进口应设施采样平台，治理效率不低于80%。</w:t>
            </w:r>
          </w:p>
        </w:tc>
        <w:tc>
          <w:tcPr>
            <w:tcW w:w="2925" w:type="dxa"/>
          </w:tcPr>
          <w:p>
            <w:pPr>
              <w:autoSpaceDE w:val="0"/>
              <w:autoSpaceDN w:val="0"/>
              <w:adjustRightInd w:val="0"/>
              <w:snapToGrid w:val="0"/>
              <w:spacing w:line="276" w:lineRule="exact"/>
              <w:jc w:val="center"/>
              <w:rPr>
                <w:rFonts w:eastAsia="仿宋"/>
                <w:bCs/>
                <w:szCs w:val="21"/>
              </w:rPr>
            </w:pPr>
            <w:r>
              <w:rPr>
                <w:rFonts w:hint="eastAsia" w:eastAsia="仿宋"/>
                <w:bCs/>
                <w:szCs w:val="21"/>
              </w:rPr>
              <w:t>本项目生产研发过程中使用使用的胶粘剂、固化剂及清洗剂采用加盖密封保存，使用时处在密闭负压的车间，废气收集率为99.5%。在生产过程中产生的废气经合理收集后通过RTO措施处理后达标有组织排放，处理效率可达99.5%</w:t>
            </w:r>
          </w:p>
        </w:tc>
        <w:tc>
          <w:tcPr>
            <w:tcW w:w="968" w:type="dxa"/>
            <w:vAlign w:val="center"/>
          </w:tcPr>
          <w:p>
            <w:pPr>
              <w:autoSpaceDE w:val="0"/>
              <w:autoSpaceDN w:val="0"/>
              <w:adjustRightInd w:val="0"/>
              <w:snapToGrid w:val="0"/>
              <w:spacing w:line="276" w:lineRule="exact"/>
              <w:jc w:val="center"/>
              <w:rPr>
                <w:rFonts w:eastAsia="仿宋"/>
                <w:bCs/>
                <w:szCs w:val="21"/>
              </w:rPr>
            </w:pPr>
            <w:r>
              <w:rPr>
                <w:rFonts w:hint="eastAsia" w:eastAsia="仿宋"/>
                <w:bCs/>
                <w:szCs w:val="21"/>
              </w:rPr>
              <w:t>符合</w:t>
            </w:r>
          </w:p>
        </w:tc>
      </w:tr>
    </w:tbl>
    <w:p>
      <w:pPr>
        <w:spacing w:line="500" w:lineRule="exact"/>
        <w:ind w:firstLine="560" w:firstLineChars="200"/>
        <w:contextualSpacing/>
        <w:rPr>
          <w:rFonts w:eastAsia="仿宋_GB2312"/>
          <w:sz w:val="28"/>
          <w:szCs w:val="28"/>
        </w:rPr>
      </w:pPr>
      <w:r>
        <w:rPr>
          <w:rFonts w:hint="eastAsia" w:eastAsia="仿宋_GB2312"/>
          <w:sz w:val="28"/>
          <w:szCs w:val="28"/>
        </w:rPr>
        <w:t>由上表可知，本项目符合《市大气污染防治联席会议办公室关于印发&lt;2022年常州市挥发性有机物减排攻坚方案&gt;的通知》（常大气办[2022]2号）的相关要求。</w:t>
      </w:r>
    </w:p>
    <w:p>
      <w:pPr>
        <w:pStyle w:val="4"/>
        <w:keepLines w:val="0"/>
        <w:numPr>
          <w:ilvl w:val="2"/>
          <w:numId w:val="1"/>
        </w:numPr>
        <w:tabs>
          <w:tab w:val="left" w:pos="709"/>
        </w:tabs>
        <w:adjustRightInd w:val="0"/>
        <w:snapToGrid w:val="0"/>
        <w:spacing w:before="120" w:beforeLines="50" w:after="120" w:afterLines="50" w:line="500" w:lineRule="exact"/>
        <w:ind w:left="0" w:firstLine="0"/>
        <w:rPr>
          <w:rFonts w:eastAsia="仿宋_GB2312"/>
          <w:sz w:val="28"/>
          <w:szCs w:val="28"/>
        </w:rPr>
      </w:pPr>
      <w:r>
        <w:rPr>
          <w:rFonts w:hint="eastAsia" w:eastAsia="仿宋_GB2312"/>
          <w:sz w:val="28"/>
          <w:szCs w:val="28"/>
        </w:rPr>
        <w:t>项目</w:t>
      </w:r>
      <w:r>
        <w:rPr>
          <w:rFonts w:eastAsia="仿宋_GB2312"/>
          <w:sz w:val="28"/>
          <w:szCs w:val="28"/>
        </w:rPr>
        <w:t>选址可行性</w:t>
      </w:r>
    </w:p>
    <w:p>
      <w:pPr>
        <w:pStyle w:val="5"/>
        <w:keepLines w:val="0"/>
        <w:widowControl/>
        <w:numPr>
          <w:ilvl w:val="3"/>
          <w:numId w:val="1"/>
        </w:numPr>
        <w:tabs>
          <w:tab w:val="left" w:pos="993"/>
        </w:tabs>
        <w:adjustRightInd w:val="0"/>
        <w:snapToGrid w:val="0"/>
        <w:spacing w:after="120" w:afterLines="50"/>
        <w:ind w:left="0" w:firstLine="0"/>
        <w:jc w:val="left"/>
        <w:rPr>
          <w:rFonts w:ascii="Times New Roman" w:hAnsi="Times New Roman"/>
          <w:b/>
        </w:rPr>
      </w:pPr>
      <w:r>
        <w:rPr>
          <w:rFonts w:ascii="Times New Roman" w:hAnsi="Times New Roman"/>
          <w:b/>
        </w:rPr>
        <w:t>三线一单”控制要求的相符性分析</w:t>
      </w:r>
    </w:p>
    <w:p>
      <w:pPr>
        <w:spacing w:line="500" w:lineRule="exact"/>
        <w:ind w:firstLine="560" w:firstLineChars="200"/>
        <w:rPr>
          <w:rFonts w:eastAsia="仿宋_GB2312"/>
          <w:sz w:val="28"/>
          <w:szCs w:val="28"/>
        </w:rPr>
      </w:pPr>
      <w:r>
        <w:rPr>
          <w:rFonts w:eastAsia="仿宋_GB2312"/>
          <w:sz w:val="28"/>
          <w:szCs w:val="28"/>
        </w:rPr>
        <w:t>（1）与《江苏省政府关于印发江苏省“三线一单”生态环境分区管控方案的通知》（苏政发〔2020〕49号）相符性分析</w:t>
      </w:r>
    </w:p>
    <w:p>
      <w:pPr>
        <w:tabs>
          <w:tab w:val="left" w:pos="2880"/>
        </w:tabs>
        <w:autoSpaceDE w:val="0"/>
        <w:autoSpaceDN w:val="0"/>
        <w:spacing w:line="500" w:lineRule="exact"/>
        <w:jc w:val="center"/>
        <w:rPr>
          <w:rFonts w:eastAsia="仿宋_GB2312"/>
          <w:b/>
          <w:sz w:val="24"/>
        </w:rPr>
      </w:pPr>
    </w:p>
    <w:p>
      <w:pPr>
        <w:tabs>
          <w:tab w:val="left" w:pos="2880"/>
        </w:tabs>
        <w:autoSpaceDE w:val="0"/>
        <w:autoSpaceDN w:val="0"/>
        <w:spacing w:line="500" w:lineRule="exact"/>
        <w:jc w:val="center"/>
        <w:rPr>
          <w:rFonts w:eastAsia="仿宋_GB2312"/>
          <w:b/>
          <w:sz w:val="24"/>
        </w:rPr>
      </w:pPr>
    </w:p>
    <w:p>
      <w:pPr>
        <w:tabs>
          <w:tab w:val="left" w:pos="2880"/>
        </w:tabs>
        <w:autoSpaceDE w:val="0"/>
        <w:autoSpaceDN w:val="0"/>
        <w:spacing w:line="500" w:lineRule="exact"/>
        <w:jc w:val="center"/>
        <w:rPr>
          <w:rFonts w:eastAsia="仿宋_GB2312"/>
          <w:b/>
          <w:sz w:val="24"/>
        </w:rPr>
      </w:pPr>
      <w:r>
        <w:rPr>
          <w:rFonts w:eastAsia="仿宋_GB2312"/>
          <w:b/>
          <w:sz w:val="24"/>
        </w:rPr>
        <w:t>表</w:t>
      </w:r>
      <w:r>
        <w:rPr>
          <w:rFonts w:hint="eastAsia" w:eastAsia="仿宋_GB2312"/>
          <w:b/>
          <w:sz w:val="24"/>
        </w:rPr>
        <w:t>2</w:t>
      </w:r>
      <w:r>
        <w:rPr>
          <w:rFonts w:eastAsia="仿宋_GB2312"/>
          <w:b/>
          <w:sz w:val="24"/>
        </w:rPr>
        <w:t>.</w:t>
      </w:r>
      <w:r>
        <w:rPr>
          <w:rFonts w:hint="eastAsia" w:eastAsia="仿宋_GB2312"/>
          <w:b/>
          <w:sz w:val="24"/>
        </w:rPr>
        <w:t>7</w:t>
      </w:r>
      <w:r>
        <w:rPr>
          <w:rFonts w:eastAsia="仿宋_GB2312"/>
          <w:b/>
          <w:sz w:val="24"/>
        </w:rPr>
        <w:t>-</w:t>
      </w:r>
      <w:r>
        <w:rPr>
          <w:rFonts w:hint="eastAsia" w:eastAsia="仿宋_GB2312"/>
          <w:b/>
          <w:sz w:val="24"/>
        </w:rPr>
        <w:t>1</w:t>
      </w:r>
      <w:r>
        <w:rPr>
          <w:rFonts w:eastAsia="仿宋_GB2312"/>
          <w:b/>
          <w:sz w:val="24"/>
        </w:rPr>
        <w:t>4  本项目“三线一单”控制要求相符性预判情况</w:t>
      </w:r>
    </w:p>
    <w:tbl>
      <w:tblPr>
        <w:tblStyle w:val="87"/>
        <w:tblW w:w="52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9"/>
        <w:gridCol w:w="928"/>
        <w:gridCol w:w="6917"/>
        <w:gridCol w:w="1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6" w:type="pct"/>
            <w:vAlign w:val="center"/>
          </w:tcPr>
          <w:p>
            <w:pPr>
              <w:autoSpaceDE w:val="0"/>
              <w:autoSpaceDN w:val="0"/>
              <w:adjustRightInd w:val="0"/>
              <w:snapToGrid w:val="0"/>
              <w:spacing w:line="276" w:lineRule="exact"/>
              <w:jc w:val="center"/>
              <w:rPr>
                <w:rFonts w:eastAsia="仿宋"/>
                <w:bCs/>
                <w:szCs w:val="21"/>
              </w:rPr>
            </w:pPr>
            <w:r>
              <w:rPr>
                <w:rFonts w:eastAsia="仿宋"/>
                <w:bCs/>
                <w:szCs w:val="21"/>
              </w:rPr>
              <w:t>序号</w:t>
            </w:r>
          </w:p>
        </w:tc>
        <w:tc>
          <w:tcPr>
            <w:tcW w:w="478" w:type="pct"/>
            <w:vAlign w:val="center"/>
          </w:tcPr>
          <w:p>
            <w:pPr>
              <w:autoSpaceDE w:val="0"/>
              <w:autoSpaceDN w:val="0"/>
              <w:adjustRightInd w:val="0"/>
              <w:snapToGrid w:val="0"/>
              <w:spacing w:line="276" w:lineRule="exact"/>
              <w:jc w:val="center"/>
              <w:rPr>
                <w:rFonts w:eastAsia="仿宋"/>
                <w:bCs/>
                <w:szCs w:val="21"/>
              </w:rPr>
            </w:pPr>
            <w:r>
              <w:rPr>
                <w:rFonts w:eastAsia="仿宋"/>
                <w:bCs/>
                <w:szCs w:val="21"/>
              </w:rPr>
              <w:t>判断类型</w:t>
            </w:r>
          </w:p>
        </w:tc>
        <w:tc>
          <w:tcPr>
            <w:tcW w:w="3564" w:type="pct"/>
            <w:vAlign w:val="center"/>
          </w:tcPr>
          <w:p>
            <w:pPr>
              <w:autoSpaceDE w:val="0"/>
              <w:autoSpaceDN w:val="0"/>
              <w:adjustRightInd w:val="0"/>
              <w:snapToGrid w:val="0"/>
              <w:spacing w:line="276" w:lineRule="exact"/>
              <w:jc w:val="center"/>
              <w:rPr>
                <w:rFonts w:eastAsia="仿宋"/>
                <w:bCs/>
                <w:szCs w:val="21"/>
              </w:rPr>
            </w:pPr>
            <w:r>
              <w:rPr>
                <w:rFonts w:eastAsia="仿宋"/>
                <w:bCs/>
                <w:szCs w:val="21"/>
              </w:rPr>
              <w:t>对照简析</w:t>
            </w:r>
          </w:p>
        </w:tc>
        <w:tc>
          <w:tcPr>
            <w:tcW w:w="582" w:type="pct"/>
            <w:vAlign w:val="center"/>
          </w:tcPr>
          <w:p>
            <w:pPr>
              <w:autoSpaceDE w:val="0"/>
              <w:autoSpaceDN w:val="0"/>
              <w:adjustRightInd w:val="0"/>
              <w:snapToGrid w:val="0"/>
              <w:spacing w:line="276" w:lineRule="exact"/>
              <w:jc w:val="center"/>
              <w:rPr>
                <w:rFonts w:eastAsia="仿宋"/>
                <w:bCs/>
                <w:szCs w:val="21"/>
              </w:rPr>
            </w:pPr>
            <w:r>
              <w:rPr>
                <w:rFonts w:eastAsia="仿宋"/>
                <w:bCs/>
                <w:szCs w:val="21"/>
              </w:rPr>
              <w:t>本项目是否满足要求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4" w:hRule="atLeast"/>
          <w:jc w:val="center"/>
        </w:trPr>
        <w:tc>
          <w:tcPr>
            <w:tcW w:w="376" w:type="pct"/>
            <w:vAlign w:val="center"/>
          </w:tcPr>
          <w:p>
            <w:pPr>
              <w:spacing w:line="240" w:lineRule="exact"/>
              <w:jc w:val="center"/>
              <w:rPr>
                <w:rFonts w:ascii="仿宋" w:hAnsi="仿宋" w:eastAsia="仿宋" w:cs="仿宋"/>
                <w:bCs/>
                <w:szCs w:val="21"/>
              </w:rPr>
            </w:pPr>
            <w:r>
              <w:rPr>
                <w:rFonts w:ascii="仿宋" w:hAnsi="仿宋" w:eastAsia="仿宋" w:cs="仿宋"/>
                <w:bCs/>
                <w:szCs w:val="21"/>
              </w:rPr>
              <w:t>1</w:t>
            </w:r>
          </w:p>
        </w:tc>
        <w:tc>
          <w:tcPr>
            <w:tcW w:w="478" w:type="pct"/>
            <w:vAlign w:val="center"/>
          </w:tcPr>
          <w:p>
            <w:pPr>
              <w:spacing w:line="240" w:lineRule="exact"/>
              <w:jc w:val="center"/>
              <w:rPr>
                <w:rFonts w:ascii="仿宋" w:hAnsi="仿宋" w:eastAsia="仿宋" w:cs="仿宋"/>
                <w:bCs/>
                <w:szCs w:val="21"/>
              </w:rPr>
            </w:pPr>
            <w:r>
              <w:rPr>
                <w:rFonts w:ascii="仿宋" w:hAnsi="仿宋" w:eastAsia="仿宋" w:cs="仿宋"/>
                <w:bCs/>
                <w:szCs w:val="21"/>
              </w:rPr>
              <w:t>生态红线</w:t>
            </w:r>
          </w:p>
        </w:tc>
        <w:tc>
          <w:tcPr>
            <w:tcW w:w="3564" w:type="pct"/>
            <w:vAlign w:val="center"/>
          </w:tcPr>
          <w:p>
            <w:pPr>
              <w:spacing w:line="240" w:lineRule="exact"/>
              <w:jc w:val="center"/>
              <w:rPr>
                <w:rFonts w:ascii="仿宋" w:hAnsi="仿宋" w:eastAsia="仿宋" w:cs="仿宋"/>
                <w:bCs/>
                <w:szCs w:val="21"/>
              </w:rPr>
            </w:pPr>
            <w:r>
              <w:rPr>
                <w:rFonts w:ascii="仿宋" w:hAnsi="仿宋" w:eastAsia="仿宋" w:cs="仿宋"/>
                <w:bCs/>
                <w:szCs w:val="21"/>
              </w:rPr>
              <w:t>对照《</w:t>
            </w:r>
            <w:r>
              <w:rPr>
                <w:rFonts w:hint="eastAsia" w:ascii="仿宋" w:hAnsi="仿宋" w:eastAsia="仿宋" w:cs="仿宋"/>
                <w:bCs/>
                <w:szCs w:val="21"/>
              </w:rPr>
              <w:t>省政府关于印发江苏省生态空间管控区域规划的通知</w:t>
            </w:r>
            <w:r>
              <w:rPr>
                <w:rFonts w:ascii="仿宋" w:hAnsi="仿宋" w:eastAsia="仿宋" w:cs="仿宋"/>
                <w:bCs/>
                <w:szCs w:val="21"/>
              </w:rPr>
              <w:t>》</w:t>
            </w:r>
            <w:r>
              <w:rPr>
                <w:rFonts w:hint="eastAsia" w:ascii="仿宋" w:hAnsi="仿宋" w:eastAsia="仿宋" w:cs="仿宋"/>
                <w:bCs/>
                <w:szCs w:val="21"/>
              </w:rPr>
              <w:t>（苏政发〔2020〕1号）以及《省政府关于印发江苏省国家级生态保护红线规划的通知》（苏政发〔2018〕74号），</w:t>
            </w:r>
            <w:r>
              <w:rPr>
                <w:rFonts w:ascii="仿宋" w:hAnsi="仿宋" w:eastAsia="仿宋" w:cs="仿宋"/>
                <w:bCs/>
                <w:szCs w:val="21"/>
              </w:rPr>
              <w:t>本项目位于江苏省金坛区金城镇工业园区（北区）</w:t>
            </w:r>
            <w:r>
              <w:rPr>
                <w:rFonts w:hint="eastAsia" w:ascii="仿宋" w:hAnsi="仿宋" w:eastAsia="仿宋" w:cs="仿宋"/>
                <w:bCs/>
                <w:szCs w:val="21"/>
              </w:rPr>
              <w:t>，</w:t>
            </w:r>
            <w:r>
              <w:rPr>
                <w:rFonts w:ascii="仿宋" w:hAnsi="仿宋" w:eastAsia="仿宋" w:cs="仿宋"/>
                <w:bCs/>
                <w:szCs w:val="21"/>
              </w:rPr>
              <w:t>不在《江苏省生态空间管控区域规划》中规定的</w:t>
            </w:r>
            <w:r>
              <w:rPr>
                <w:rFonts w:hint="eastAsia" w:ascii="仿宋" w:hAnsi="仿宋" w:eastAsia="仿宋" w:cs="仿宋"/>
                <w:bCs/>
                <w:szCs w:val="21"/>
              </w:rPr>
              <w:t>一级、二级管控区内。因此，本项目选址与</w:t>
            </w:r>
            <w:r>
              <w:rPr>
                <w:rFonts w:ascii="仿宋" w:hAnsi="仿宋" w:eastAsia="仿宋" w:cs="仿宋"/>
                <w:bCs/>
                <w:szCs w:val="21"/>
              </w:rPr>
              <w:t>《江苏省生态空间管控区域规划》</w:t>
            </w:r>
            <w:r>
              <w:rPr>
                <w:rFonts w:hint="eastAsia" w:ascii="仿宋" w:hAnsi="仿宋" w:eastAsia="仿宋" w:cs="仿宋"/>
                <w:bCs/>
                <w:szCs w:val="21"/>
              </w:rPr>
              <w:t>相符。</w:t>
            </w:r>
          </w:p>
        </w:tc>
        <w:tc>
          <w:tcPr>
            <w:tcW w:w="582" w:type="pct"/>
            <w:vAlign w:val="center"/>
          </w:tcPr>
          <w:p>
            <w:pPr>
              <w:spacing w:line="240" w:lineRule="exact"/>
              <w:jc w:val="center"/>
              <w:rPr>
                <w:rFonts w:ascii="仿宋" w:hAnsi="仿宋" w:eastAsia="仿宋" w:cs="仿宋"/>
                <w:bCs/>
                <w:szCs w:val="21"/>
              </w:rPr>
            </w:pPr>
            <w:r>
              <w:rPr>
                <w:rFonts w:ascii="仿宋" w:hAnsi="仿宋" w:eastAsia="仿宋" w:cs="仿宋"/>
                <w:bCs/>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6" w:type="pct"/>
            <w:vAlign w:val="center"/>
          </w:tcPr>
          <w:p>
            <w:pPr>
              <w:spacing w:line="240" w:lineRule="exact"/>
              <w:jc w:val="center"/>
              <w:rPr>
                <w:rFonts w:ascii="仿宋" w:hAnsi="仿宋" w:eastAsia="仿宋" w:cs="仿宋"/>
                <w:bCs/>
                <w:szCs w:val="21"/>
              </w:rPr>
            </w:pPr>
            <w:r>
              <w:rPr>
                <w:rFonts w:ascii="仿宋" w:hAnsi="仿宋" w:eastAsia="仿宋" w:cs="仿宋"/>
                <w:bCs/>
                <w:szCs w:val="21"/>
              </w:rPr>
              <w:t>2</w:t>
            </w:r>
          </w:p>
        </w:tc>
        <w:tc>
          <w:tcPr>
            <w:tcW w:w="478" w:type="pct"/>
            <w:vAlign w:val="center"/>
          </w:tcPr>
          <w:p>
            <w:pPr>
              <w:spacing w:line="240" w:lineRule="exact"/>
              <w:jc w:val="center"/>
              <w:rPr>
                <w:rFonts w:ascii="仿宋" w:hAnsi="仿宋" w:eastAsia="仿宋" w:cs="仿宋"/>
                <w:bCs/>
                <w:szCs w:val="21"/>
              </w:rPr>
            </w:pPr>
            <w:r>
              <w:rPr>
                <w:rFonts w:ascii="仿宋" w:hAnsi="仿宋" w:eastAsia="仿宋" w:cs="仿宋"/>
                <w:bCs/>
                <w:szCs w:val="21"/>
              </w:rPr>
              <w:t>环境质量底线</w:t>
            </w:r>
          </w:p>
        </w:tc>
        <w:tc>
          <w:tcPr>
            <w:tcW w:w="3564"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根据《</w:t>
            </w:r>
            <w:r>
              <w:rPr>
                <w:rFonts w:ascii="仿宋" w:hAnsi="仿宋" w:eastAsia="仿宋" w:cs="仿宋"/>
                <w:bCs/>
                <w:szCs w:val="21"/>
              </w:rPr>
              <w:t>202</w:t>
            </w:r>
            <w:r>
              <w:rPr>
                <w:rFonts w:hint="eastAsia" w:ascii="仿宋" w:hAnsi="仿宋" w:eastAsia="仿宋" w:cs="仿宋"/>
                <w:bCs/>
                <w:szCs w:val="21"/>
              </w:rPr>
              <w:t>2</w:t>
            </w:r>
            <w:r>
              <w:rPr>
                <w:rFonts w:ascii="仿宋" w:hAnsi="仿宋" w:eastAsia="仿宋" w:cs="仿宋"/>
                <w:bCs/>
                <w:szCs w:val="21"/>
              </w:rPr>
              <w:t>年常州市生态环境状况公报</w:t>
            </w:r>
            <w:r>
              <w:rPr>
                <w:rFonts w:hint="eastAsia" w:ascii="仿宋" w:hAnsi="仿宋" w:eastAsia="仿宋" w:cs="仿宋"/>
                <w:bCs/>
                <w:szCs w:val="21"/>
              </w:rPr>
              <w:t>》中环境空气质量数据及现状监测结果可知，项目所在区域地表水、声环境质量能够满足相应功能区划要求，项目所在地大气环境O3、PM2.5超标，为不达标区。本项目位于</w:t>
            </w:r>
            <w:r>
              <w:rPr>
                <w:rFonts w:ascii="仿宋" w:hAnsi="仿宋" w:eastAsia="仿宋" w:cs="仿宋"/>
                <w:bCs/>
                <w:szCs w:val="21"/>
              </w:rPr>
              <w:t>江苏省金坛区金城镇工业园区（北区）</w:t>
            </w:r>
            <w:r>
              <w:rPr>
                <w:rFonts w:hint="eastAsia" w:ascii="仿宋" w:hAnsi="仿宋" w:eastAsia="仿宋" w:cs="仿宋"/>
                <w:bCs/>
                <w:szCs w:val="21"/>
              </w:rPr>
              <w:t>，本项目排放非甲烷</w:t>
            </w:r>
            <w:r>
              <w:rPr>
                <w:rFonts w:ascii="仿宋" w:hAnsi="仿宋" w:eastAsia="仿宋" w:cs="仿宋"/>
                <w:bCs/>
                <w:szCs w:val="21"/>
              </w:rPr>
              <w:t>总烃、</w:t>
            </w:r>
            <w:r>
              <w:rPr>
                <w:rFonts w:hint="eastAsia" w:ascii="仿宋" w:hAnsi="仿宋" w:eastAsia="仿宋" w:cs="仿宋"/>
                <w:bCs/>
                <w:szCs w:val="21"/>
              </w:rPr>
              <w:t>二甲苯</w:t>
            </w:r>
            <w:r>
              <w:rPr>
                <w:rFonts w:ascii="仿宋" w:hAnsi="仿宋" w:eastAsia="仿宋" w:cs="仿宋"/>
                <w:bCs/>
                <w:szCs w:val="21"/>
              </w:rPr>
              <w:t>等有机</w:t>
            </w:r>
            <w:r>
              <w:rPr>
                <w:rFonts w:hint="eastAsia" w:ascii="仿宋" w:hAnsi="仿宋" w:eastAsia="仿宋" w:cs="仿宋"/>
                <w:bCs/>
                <w:szCs w:val="21"/>
              </w:rPr>
              <w:t>废气</w:t>
            </w:r>
            <w:r>
              <w:rPr>
                <w:rFonts w:ascii="仿宋" w:hAnsi="仿宋" w:eastAsia="仿宋" w:cs="仿宋"/>
                <w:bCs/>
                <w:szCs w:val="21"/>
              </w:rPr>
              <w:t>，</w:t>
            </w:r>
            <w:r>
              <w:rPr>
                <w:rFonts w:hint="eastAsia" w:ascii="仿宋" w:hAnsi="仿宋" w:eastAsia="仿宋" w:cs="仿宋"/>
                <w:bCs/>
                <w:szCs w:val="21"/>
              </w:rPr>
              <w:t>经合理收集后通过RTO装置处理”处理后有组织排放，经测算，本项目大气环境影响评价工作等级为二级，大气环境影响评价范围边长取5km，卫生防护距离为车间一边界外扩</w:t>
            </w:r>
            <w:r>
              <w:rPr>
                <w:rFonts w:ascii="仿宋" w:hAnsi="仿宋" w:eastAsia="仿宋" w:cs="仿宋"/>
                <w:bCs/>
                <w:szCs w:val="21"/>
              </w:rPr>
              <w:t>100</w:t>
            </w:r>
            <w:r>
              <w:rPr>
                <w:rFonts w:hint="eastAsia" w:ascii="仿宋" w:hAnsi="仿宋" w:eastAsia="仿宋" w:cs="仿宋"/>
                <w:bCs/>
                <w:szCs w:val="21"/>
              </w:rPr>
              <w:t>米形成</w:t>
            </w:r>
            <w:r>
              <w:rPr>
                <w:rFonts w:ascii="仿宋" w:hAnsi="仿宋" w:eastAsia="仿宋" w:cs="仿宋"/>
                <w:bCs/>
                <w:szCs w:val="21"/>
              </w:rPr>
              <w:t>的包络线范围</w:t>
            </w:r>
            <w:r>
              <w:rPr>
                <w:rFonts w:hint="eastAsia" w:ascii="仿宋" w:hAnsi="仿宋" w:eastAsia="仿宋" w:cs="仿宋"/>
                <w:bCs/>
                <w:szCs w:val="21"/>
              </w:rPr>
              <w:t>，范围内无居民学校等敏感点，通过预测分析，本项目废气因子排放量较小，对周围保护目标影响较小，均未超过各因子的环境质量标准。且</w:t>
            </w:r>
            <w:r>
              <w:rPr>
                <w:rFonts w:ascii="仿宋" w:hAnsi="仿宋" w:eastAsia="仿宋" w:cs="仿宋"/>
                <w:bCs/>
                <w:szCs w:val="21"/>
              </w:rPr>
              <w:t>本项目</w:t>
            </w:r>
            <w:r>
              <w:rPr>
                <w:rFonts w:hint="eastAsia" w:ascii="仿宋" w:hAnsi="仿宋" w:eastAsia="仿宋" w:cs="仿宋"/>
                <w:bCs/>
                <w:szCs w:val="21"/>
              </w:rPr>
              <w:t>废气</w:t>
            </w:r>
            <w:r>
              <w:rPr>
                <w:rFonts w:ascii="仿宋" w:hAnsi="仿宋" w:eastAsia="仿宋" w:cs="仿宋"/>
                <w:bCs/>
                <w:szCs w:val="21"/>
              </w:rPr>
              <w:t>防治措施</w:t>
            </w:r>
            <w:r>
              <w:rPr>
                <w:rFonts w:hint="eastAsia" w:ascii="仿宋" w:hAnsi="仿宋" w:eastAsia="仿宋" w:cs="仿宋"/>
                <w:bCs/>
                <w:szCs w:val="21"/>
              </w:rPr>
              <w:t>及</w:t>
            </w:r>
            <w:r>
              <w:rPr>
                <w:rFonts w:ascii="仿宋" w:hAnsi="仿宋" w:eastAsia="仿宋" w:cs="仿宋"/>
                <w:bCs/>
                <w:szCs w:val="21"/>
              </w:rPr>
              <w:t>原辅料满足</w:t>
            </w:r>
            <w:r>
              <w:rPr>
                <w:rFonts w:hint="eastAsia" w:ascii="仿宋" w:hAnsi="仿宋" w:eastAsia="仿宋" w:cs="仿宋"/>
                <w:bCs/>
                <w:szCs w:val="21"/>
              </w:rPr>
              <w:t>《关于</w:t>
            </w:r>
            <w:r>
              <w:rPr>
                <w:rFonts w:ascii="仿宋" w:hAnsi="仿宋" w:eastAsia="仿宋" w:cs="仿宋"/>
                <w:bCs/>
                <w:szCs w:val="21"/>
              </w:rPr>
              <w:t>印发</w:t>
            </w:r>
            <w:r>
              <w:rPr>
                <w:rFonts w:hint="eastAsia" w:ascii="仿宋" w:hAnsi="仿宋" w:eastAsia="仿宋" w:cs="仿宋"/>
                <w:bCs/>
                <w:szCs w:val="21"/>
              </w:rPr>
              <w:t>常州市2021年大气污染</w:t>
            </w:r>
            <w:r>
              <w:rPr>
                <w:rFonts w:ascii="仿宋" w:hAnsi="仿宋" w:eastAsia="仿宋" w:cs="仿宋"/>
                <w:bCs/>
                <w:szCs w:val="21"/>
              </w:rPr>
              <w:t>防治</w:t>
            </w:r>
            <w:r>
              <w:rPr>
                <w:rFonts w:hint="eastAsia" w:ascii="仿宋" w:hAnsi="仿宋" w:eastAsia="仿宋" w:cs="仿宋"/>
                <w:bCs/>
                <w:szCs w:val="21"/>
              </w:rPr>
              <w:t>工作</w:t>
            </w:r>
            <w:r>
              <w:rPr>
                <w:rFonts w:ascii="仿宋" w:hAnsi="仿宋" w:eastAsia="仿宋" w:cs="仿宋"/>
                <w:bCs/>
                <w:szCs w:val="21"/>
              </w:rPr>
              <w:t>计划的</w:t>
            </w:r>
            <w:r>
              <w:rPr>
                <w:rFonts w:hint="eastAsia" w:ascii="仿宋" w:hAnsi="仿宋" w:eastAsia="仿宋" w:cs="仿宋"/>
                <w:bCs/>
                <w:szCs w:val="21"/>
              </w:rPr>
              <w:t>通知》（常</w:t>
            </w:r>
            <w:r>
              <w:rPr>
                <w:rFonts w:ascii="仿宋" w:hAnsi="仿宋" w:eastAsia="仿宋" w:cs="仿宋"/>
                <w:bCs/>
                <w:szCs w:val="21"/>
              </w:rPr>
              <w:t>大气办</w:t>
            </w:r>
            <w:r>
              <w:rPr>
                <w:rFonts w:hint="eastAsia" w:ascii="仿宋" w:hAnsi="仿宋" w:eastAsia="仿宋" w:cs="仿宋"/>
                <w:bCs/>
                <w:szCs w:val="21"/>
              </w:rPr>
              <w:t>[</w:t>
            </w:r>
            <w:r>
              <w:rPr>
                <w:rFonts w:ascii="仿宋" w:hAnsi="仿宋" w:eastAsia="仿宋" w:cs="仿宋"/>
                <w:bCs/>
                <w:szCs w:val="21"/>
              </w:rPr>
              <w:t>2021</w:t>
            </w:r>
            <w:r>
              <w:rPr>
                <w:rFonts w:hint="eastAsia" w:ascii="仿宋" w:hAnsi="仿宋" w:eastAsia="仿宋" w:cs="仿宋"/>
                <w:bCs/>
                <w:szCs w:val="21"/>
              </w:rPr>
              <w:t>]</w:t>
            </w:r>
            <w:r>
              <w:rPr>
                <w:rFonts w:ascii="仿宋" w:hAnsi="仿宋" w:eastAsia="仿宋" w:cs="仿宋"/>
                <w:bCs/>
                <w:szCs w:val="21"/>
              </w:rPr>
              <w:t>9</w:t>
            </w:r>
            <w:r>
              <w:rPr>
                <w:rFonts w:hint="eastAsia" w:ascii="仿宋" w:hAnsi="仿宋" w:eastAsia="仿宋" w:cs="仿宋"/>
                <w:bCs/>
                <w:szCs w:val="21"/>
              </w:rPr>
              <w:t>号）及《关于</w:t>
            </w:r>
            <w:r>
              <w:rPr>
                <w:rFonts w:ascii="仿宋" w:hAnsi="仿宋" w:eastAsia="仿宋" w:cs="仿宋"/>
                <w:bCs/>
                <w:szCs w:val="21"/>
              </w:rPr>
              <w:t>印发常州市</w:t>
            </w:r>
            <w:r>
              <w:rPr>
                <w:rFonts w:hint="eastAsia" w:ascii="仿宋" w:hAnsi="仿宋" w:eastAsia="仿宋" w:cs="仿宋"/>
                <w:bCs/>
                <w:szCs w:val="21"/>
              </w:rPr>
              <w:t>挥发性</w:t>
            </w:r>
            <w:r>
              <w:rPr>
                <w:rFonts w:ascii="仿宋" w:hAnsi="仿宋" w:eastAsia="仿宋" w:cs="仿宋"/>
                <w:bCs/>
                <w:szCs w:val="21"/>
              </w:rPr>
              <w:t>有机物</w:t>
            </w:r>
            <w:r>
              <w:rPr>
                <w:rFonts w:hint="eastAsia" w:ascii="仿宋" w:hAnsi="仿宋" w:eastAsia="仿宋" w:cs="仿宋"/>
                <w:bCs/>
                <w:szCs w:val="21"/>
              </w:rPr>
              <w:t>清洁</w:t>
            </w:r>
            <w:r>
              <w:rPr>
                <w:rFonts w:ascii="仿宋" w:hAnsi="仿宋" w:eastAsia="仿宋" w:cs="仿宋"/>
                <w:bCs/>
                <w:szCs w:val="21"/>
              </w:rPr>
              <w:t>原料</w:t>
            </w:r>
            <w:r>
              <w:rPr>
                <w:rFonts w:hint="eastAsia" w:ascii="仿宋" w:hAnsi="仿宋" w:eastAsia="仿宋" w:cs="仿宋"/>
                <w:bCs/>
                <w:szCs w:val="21"/>
              </w:rPr>
              <w:t>替代工作</w:t>
            </w:r>
            <w:r>
              <w:rPr>
                <w:rFonts w:ascii="仿宋" w:hAnsi="仿宋" w:eastAsia="仿宋" w:cs="仿宋"/>
                <w:bCs/>
                <w:szCs w:val="21"/>
              </w:rPr>
              <w:t>方案的</w:t>
            </w:r>
            <w:r>
              <w:rPr>
                <w:rFonts w:hint="eastAsia" w:ascii="仿宋" w:hAnsi="仿宋" w:eastAsia="仿宋" w:cs="仿宋"/>
                <w:bCs/>
                <w:szCs w:val="21"/>
              </w:rPr>
              <w:t>通知》(常污防攻坚</w:t>
            </w:r>
            <w:r>
              <w:rPr>
                <w:rFonts w:ascii="仿宋" w:hAnsi="仿宋" w:eastAsia="仿宋" w:cs="仿宋"/>
                <w:bCs/>
                <w:szCs w:val="21"/>
              </w:rPr>
              <w:t>指</w:t>
            </w:r>
            <w:r>
              <w:rPr>
                <w:rFonts w:hint="eastAsia" w:ascii="仿宋" w:hAnsi="仿宋" w:eastAsia="仿宋" w:cs="仿宋"/>
                <w:bCs/>
                <w:szCs w:val="21"/>
              </w:rPr>
              <w:t>办[</w:t>
            </w:r>
            <w:r>
              <w:rPr>
                <w:rFonts w:ascii="仿宋" w:hAnsi="仿宋" w:eastAsia="仿宋" w:cs="仿宋"/>
                <w:bCs/>
                <w:szCs w:val="21"/>
              </w:rPr>
              <w:t>2021</w:t>
            </w:r>
            <w:r>
              <w:rPr>
                <w:rFonts w:hint="eastAsia" w:ascii="仿宋" w:hAnsi="仿宋" w:eastAsia="仿宋" w:cs="仿宋"/>
                <w:bCs/>
                <w:szCs w:val="21"/>
              </w:rPr>
              <w:t>]</w:t>
            </w:r>
            <w:r>
              <w:rPr>
                <w:rFonts w:ascii="仿宋" w:hAnsi="仿宋" w:eastAsia="仿宋" w:cs="仿宋"/>
                <w:bCs/>
                <w:szCs w:val="21"/>
              </w:rPr>
              <w:t>32</w:t>
            </w:r>
            <w:r>
              <w:rPr>
                <w:rFonts w:hint="eastAsia" w:ascii="仿宋" w:hAnsi="仿宋" w:eastAsia="仿宋" w:cs="仿宋"/>
                <w:bCs/>
                <w:szCs w:val="21"/>
              </w:rPr>
              <w:t>号)等</w:t>
            </w:r>
            <w:r>
              <w:rPr>
                <w:rFonts w:ascii="仿宋" w:hAnsi="仿宋" w:eastAsia="仿宋" w:cs="仿宋"/>
                <w:bCs/>
                <w:szCs w:val="21"/>
              </w:rPr>
              <w:t>文件要求，</w:t>
            </w:r>
            <w:r>
              <w:rPr>
                <w:rFonts w:hint="eastAsia" w:ascii="仿宋" w:hAnsi="仿宋" w:eastAsia="仿宋" w:cs="仿宋"/>
                <w:bCs/>
                <w:szCs w:val="21"/>
              </w:rPr>
              <w:t>因此，项目排放的大气污染物对周围空气环境影响较小。本项目防治措施可行，新增污染物排放颗粒物及VOCs在区域内减量替代，在实施区域削减方案后，大气环境质量状况可以得到整体改善。因此，本项目的建设符合大气环境质量底线的要求。</w:t>
            </w:r>
          </w:p>
          <w:p>
            <w:pPr>
              <w:spacing w:line="240" w:lineRule="exact"/>
              <w:jc w:val="center"/>
              <w:rPr>
                <w:rFonts w:ascii="仿宋" w:hAnsi="仿宋" w:eastAsia="仿宋" w:cs="仿宋"/>
                <w:bCs/>
                <w:szCs w:val="21"/>
              </w:rPr>
            </w:pPr>
            <w:r>
              <w:rPr>
                <w:rFonts w:hint="eastAsia" w:ascii="仿宋" w:hAnsi="仿宋" w:eastAsia="仿宋" w:cs="仿宋"/>
                <w:bCs/>
                <w:szCs w:val="21"/>
              </w:rPr>
              <w:t>根据</w:t>
            </w:r>
            <w:r>
              <w:rPr>
                <w:rFonts w:ascii="仿宋" w:hAnsi="仿宋" w:eastAsia="仿宋" w:cs="仿宋"/>
                <w:bCs/>
                <w:szCs w:val="21"/>
              </w:rPr>
              <w:t>《关于印发常州市2022年大气污染防治</w:t>
            </w:r>
            <w:r>
              <w:rPr>
                <w:rFonts w:hint="eastAsia" w:ascii="仿宋" w:hAnsi="仿宋" w:eastAsia="仿宋" w:cs="仿宋"/>
                <w:bCs/>
                <w:szCs w:val="21"/>
              </w:rPr>
              <w:t>工作</w:t>
            </w:r>
            <w:r>
              <w:rPr>
                <w:rFonts w:ascii="仿宋" w:hAnsi="仿宋" w:eastAsia="仿宋" w:cs="仿宋"/>
                <w:bCs/>
                <w:szCs w:val="21"/>
              </w:rPr>
              <w:t>计划的通知》（常大气办〔2022〕1号）、市政府关于印发</w:t>
            </w:r>
            <w:r>
              <w:rPr>
                <w:rFonts w:hint="eastAsia" w:ascii="仿宋" w:hAnsi="仿宋" w:eastAsia="仿宋" w:cs="仿宋"/>
                <w:bCs/>
                <w:szCs w:val="21"/>
              </w:rPr>
              <w:t>《常州市深入打好污染防治攻坚战专项行动方案（2022年）》</w:t>
            </w:r>
            <w:r>
              <w:rPr>
                <w:rFonts w:ascii="仿宋" w:hAnsi="仿宋" w:eastAsia="仿宋" w:cs="仿宋"/>
                <w:bCs/>
                <w:szCs w:val="21"/>
              </w:rPr>
              <w:t>。根据市政府关于印发</w:t>
            </w:r>
            <w:r>
              <w:rPr>
                <w:rFonts w:hint="eastAsia" w:ascii="仿宋" w:hAnsi="仿宋" w:eastAsia="仿宋" w:cs="仿宋"/>
                <w:bCs/>
                <w:szCs w:val="21"/>
              </w:rPr>
              <w:t>《常州市深入打好污染防治攻坚战专项行动方案（2022年）》等</w:t>
            </w:r>
            <w:r>
              <w:rPr>
                <w:rFonts w:ascii="仿宋" w:hAnsi="仿宋" w:eastAsia="仿宋" w:cs="仿宋"/>
                <w:bCs/>
                <w:szCs w:val="21"/>
              </w:rPr>
              <w:t>通知要求，</w:t>
            </w:r>
            <w:r>
              <w:rPr>
                <w:rFonts w:hint="eastAsia" w:ascii="仿宋" w:hAnsi="仿宋" w:eastAsia="仿宋" w:cs="仿宋"/>
                <w:bCs/>
                <w:szCs w:val="21"/>
              </w:rPr>
              <w:t>进行深入推进VOCs治理、深化重点行业污染治理等</w:t>
            </w:r>
            <w:r>
              <w:rPr>
                <w:rFonts w:ascii="仿宋" w:hAnsi="仿宋" w:eastAsia="仿宋" w:cs="仿宋"/>
                <w:bCs/>
                <w:szCs w:val="21"/>
              </w:rPr>
              <w:t>措施后，</w:t>
            </w:r>
            <w:r>
              <w:rPr>
                <w:rFonts w:hint="eastAsia" w:ascii="仿宋" w:hAnsi="仿宋" w:eastAsia="仿宋" w:cs="仿宋"/>
                <w:bCs/>
                <w:szCs w:val="21"/>
              </w:rPr>
              <w:t>常州市的大气空气质量将得到进一步改善。</w:t>
            </w:r>
          </w:p>
          <w:p>
            <w:pPr>
              <w:spacing w:line="240" w:lineRule="exact"/>
              <w:jc w:val="center"/>
              <w:rPr>
                <w:rFonts w:ascii="仿宋" w:hAnsi="仿宋" w:eastAsia="仿宋" w:cs="仿宋"/>
                <w:bCs/>
                <w:szCs w:val="21"/>
              </w:rPr>
            </w:pPr>
            <w:r>
              <w:rPr>
                <w:rFonts w:hint="eastAsia" w:ascii="仿宋" w:hAnsi="仿宋" w:eastAsia="仿宋" w:cs="仿宋"/>
                <w:bCs/>
                <w:szCs w:val="21"/>
              </w:rPr>
              <w:t>根据现状监测结果可知,项目所在区域空气（监测特征因子非甲烷总烃、二甲苯）、地表水、声、土壤环境质量能够满足相应功能区划要求。本项目无含氮磷生产废水排放，生活污水排入市政污水管网，对地表水无直接影响。本项目的建设对周边环境影响较小,建成后不会突破当地环境质量底线。根据现状监测结果可知,项目所在区域大气、地面水、地下水、声、土壤环境质量能够满足相应功能区划要求。本项目的建设对周边环境影响较小,建成后不会突破当地环境质量底线。</w:t>
            </w:r>
          </w:p>
        </w:tc>
        <w:tc>
          <w:tcPr>
            <w:tcW w:w="582" w:type="pct"/>
            <w:vAlign w:val="center"/>
          </w:tcPr>
          <w:p>
            <w:pPr>
              <w:spacing w:line="240" w:lineRule="exact"/>
              <w:jc w:val="center"/>
              <w:rPr>
                <w:rFonts w:ascii="仿宋" w:hAnsi="仿宋" w:eastAsia="仿宋" w:cs="仿宋"/>
                <w:bCs/>
                <w:szCs w:val="21"/>
              </w:rPr>
            </w:pPr>
            <w:r>
              <w:rPr>
                <w:rFonts w:ascii="仿宋" w:hAnsi="仿宋" w:eastAsia="仿宋" w:cs="仿宋"/>
                <w:bCs/>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6" w:type="pct"/>
            <w:vAlign w:val="center"/>
          </w:tcPr>
          <w:p>
            <w:pPr>
              <w:spacing w:line="240" w:lineRule="exact"/>
              <w:jc w:val="center"/>
              <w:rPr>
                <w:rFonts w:ascii="仿宋" w:hAnsi="仿宋" w:eastAsia="仿宋" w:cs="仿宋"/>
                <w:bCs/>
                <w:szCs w:val="21"/>
              </w:rPr>
            </w:pPr>
            <w:r>
              <w:rPr>
                <w:rFonts w:ascii="仿宋" w:hAnsi="仿宋" w:eastAsia="仿宋" w:cs="仿宋"/>
                <w:bCs/>
                <w:szCs w:val="21"/>
              </w:rPr>
              <w:t>3</w:t>
            </w:r>
          </w:p>
        </w:tc>
        <w:tc>
          <w:tcPr>
            <w:tcW w:w="478" w:type="pct"/>
            <w:vAlign w:val="center"/>
          </w:tcPr>
          <w:p>
            <w:pPr>
              <w:spacing w:line="240" w:lineRule="exact"/>
              <w:jc w:val="center"/>
              <w:rPr>
                <w:rFonts w:ascii="仿宋" w:hAnsi="仿宋" w:eastAsia="仿宋" w:cs="仿宋"/>
                <w:bCs/>
                <w:szCs w:val="21"/>
              </w:rPr>
            </w:pPr>
            <w:r>
              <w:rPr>
                <w:rFonts w:ascii="仿宋" w:hAnsi="仿宋" w:eastAsia="仿宋" w:cs="仿宋"/>
                <w:bCs/>
                <w:szCs w:val="21"/>
              </w:rPr>
              <w:t>资源利用上线</w:t>
            </w:r>
          </w:p>
        </w:tc>
        <w:tc>
          <w:tcPr>
            <w:tcW w:w="3564" w:type="pct"/>
            <w:vAlign w:val="center"/>
          </w:tcPr>
          <w:p>
            <w:pPr>
              <w:spacing w:line="240" w:lineRule="exact"/>
              <w:jc w:val="center"/>
              <w:rPr>
                <w:rFonts w:ascii="仿宋" w:hAnsi="仿宋" w:eastAsia="仿宋" w:cs="仿宋"/>
                <w:bCs/>
                <w:szCs w:val="21"/>
              </w:rPr>
            </w:pPr>
            <w:r>
              <w:rPr>
                <w:rFonts w:ascii="仿宋" w:hAnsi="仿宋" w:eastAsia="仿宋" w:cs="仿宋"/>
                <w:bCs/>
                <w:szCs w:val="21"/>
              </w:rPr>
              <w:t>本项目生产过程中所用的资源主要为水、电资源和天然气。本项目所在地水资源丰富，</w:t>
            </w:r>
            <w:r>
              <w:rPr>
                <w:rFonts w:hint="eastAsia" w:ascii="仿宋" w:hAnsi="仿宋" w:eastAsia="仿宋" w:cs="仿宋"/>
                <w:bCs/>
                <w:szCs w:val="21"/>
              </w:rPr>
              <w:t>本项目用水量为</w:t>
            </w:r>
            <w:r>
              <w:rPr>
                <w:rFonts w:ascii="仿宋" w:hAnsi="仿宋" w:eastAsia="仿宋" w:cs="仿宋"/>
                <w:bCs/>
                <w:szCs w:val="21"/>
              </w:rPr>
              <w:t>1400</w:t>
            </w:r>
            <w:r>
              <w:rPr>
                <w:rFonts w:hint="eastAsia" w:ascii="仿宋" w:hAnsi="仿宋" w:eastAsia="仿宋" w:cs="仿宋"/>
                <w:bCs/>
                <w:szCs w:val="21"/>
              </w:rPr>
              <w:t>t</w:t>
            </w:r>
            <w:r>
              <w:rPr>
                <w:rFonts w:ascii="仿宋" w:hAnsi="仿宋" w:eastAsia="仿宋" w:cs="仿宋"/>
                <w:bCs/>
                <w:szCs w:val="21"/>
              </w:rPr>
              <w:t>,污水接管进</w:t>
            </w:r>
            <w:r>
              <w:rPr>
                <w:rFonts w:hint="eastAsia" w:ascii="仿宋" w:hAnsi="仿宋" w:eastAsia="仿宋" w:cs="仿宋"/>
                <w:bCs/>
                <w:szCs w:val="21"/>
              </w:rPr>
              <w:t>金坛</w:t>
            </w:r>
            <w:r>
              <w:rPr>
                <w:rFonts w:ascii="仿宋" w:hAnsi="仿宋" w:eastAsia="仿宋" w:cs="仿宋"/>
                <w:bCs/>
                <w:szCs w:val="21"/>
              </w:rPr>
              <w:t>第二处理厂集中处理后排入</w:t>
            </w:r>
            <w:r>
              <w:rPr>
                <w:rFonts w:hint="eastAsia" w:ascii="仿宋" w:hAnsi="仿宋" w:eastAsia="仿宋" w:cs="仿宋"/>
                <w:bCs/>
                <w:szCs w:val="21"/>
              </w:rPr>
              <w:t>尧塘河；本项目用电能源单耗为</w:t>
            </w:r>
            <w:r>
              <w:rPr>
                <w:rFonts w:ascii="仿宋" w:hAnsi="仿宋" w:eastAsia="仿宋" w:cs="仿宋"/>
                <w:bCs/>
                <w:szCs w:val="21"/>
              </w:rPr>
              <w:t>1105</w:t>
            </w:r>
            <w:r>
              <w:rPr>
                <w:rFonts w:hint="eastAsia" w:ascii="仿宋" w:hAnsi="仿宋" w:eastAsia="仿宋" w:cs="仿宋"/>
                <w:bCs/>
                <w:szCs w:val="21"/>
              </w:rPr>
              <w:t>kw·h</w:t>
            </w:r>
            <w:r>
              <w:rPr>
                <w:rFonts w:ascii="仿宋" w:hAnsi="仿宋" w:eastAsia="仿宋" w:cs="仿宋"/>
                <w:bCs/>
                <w:szCs w:val="21"/>
              </w:rPr>
              <w:t>/t，企业将采取有效的节电节水措施，符合资源利用上线相关要求。</w:t>
            </w:r>
          </w:p>
        </w:tc>
        <w:tc>
          <w:tcPr>
            <w:tcW w:w="582" w:type="pct"/>
            <w:vAlign w:val="center"/>
          </w:tcPr>
          <w:p>
            <w:pPr>
              <w:spacing w:line="240" w:lineRule="exact"/>
              <w:jc w:val="center"/>
              <w:rPr>
                <w:rFonts w:ascii="仿宋" w:hAnsi="仿宋" w:eastAsia="仿宋" w:cs="仿宋"/>
                <w:bCs/>
                <w:szCs w:val="21"/>
              </w:rPr>
            </w:pPr>
            <w:r>
              <w:rPr>
                <w:rFonts w:ascii="仿宋" w:hAnsi="仿宋" w:eastAsia="仿宋" w:cs="仿宋"/>
                <w:bCs/>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6" w:type="pct"/>
            <w:vAlign w:val="center"/>
          </w:tcPr>
          <w:p>
            <w:pPr>
              <w:spacing w:line="240" w:lineRule="exact"/>
              <w:jc w:val="center"/>
              <w:rPr>
                <w:rFonts w:ascii="仿宋" w:hAnsi="仿宋" w:eastAsia="仿宋" w:cs="仿宋"/>
                <w:bCs/>
                <w:szCs w:val="21"/>
              </w:rPr>
            </w:pPr>
            <w:r>
              <w:rPr>
                <w:rFonts w:ascii="仿宋" w:hAnsi="仿宋" w:eastAsia="仿宋" w:cs="仿宋"/>
                <w:bCs/>
                <w:szCs w:val="21"/>
              </w:rPr>
              <w:t>4</w:t>
            </w:r>
          </w:p>
        </w:tc>
        <w:tc>
          <w:tcPr>
            <w:tcW w:w="478" w:type="pct"/>
            <w:vAlign w:val="center"/>
          </w:tcPr>
          <w:p>
            <w:pPr>
              <w:spacing w:line="240" w:lineRule="exact"/>
              <w:jc w:val="center"/>
              <w:rPr>
                <w:rFonts w:ascii="仿宋" w:hAnsi="仿宋" w:eastAsia="仿宋" w:cs="仿宋"/>
                <w:bCs/>
                <w:szCs w:val="21"/>
              </w:rPr>
            </w:pPr>
            <w:r>
              <w:rPr>
                <w:rFonts w:ascii="仿宋" w:hAnsi="仿宋" w:eastAsia="仿宋" w:cs="仿宋"/>
                <w:bCs/>
                <w:szCs w:val="21"/>
              </w:rPr>
              <w:t>环境准入负面清单</w:t>
            </w:r>
          </w:p>
        </w:tc>
        <w:tc>
          <w:tcPr>
            <w:tcW w:w="3564" w:type="pct"/>
            <w:vAlign w:val="center"/>
          </w:tcPr>
          <w:p>
            <w:pPr>
              <w:spacing w:line="240" w:lineRule="exact"/>
              <w:jc w:val="center"/>
              <w:rPr>
                <w:rFonts w:ascii="仿宋" w:hAnsi="仿宋" w:eastAsia="仿宋" w:cs="仿宋"/>
                <w:bCs/>
                <w:szCs w:val="21"/>
              </w:rPr>
            </w:pPr>
            <w:r>
              <w:rPr>
                <w:rFonts w:ascii="仿宋" w:hAnsi="仿宋" w:eastAsia="仿宋" w:cs="仿宋"/>
                <w:bCs/>
                <w:szCs w:val="21"/>
              </w:rPr>
              <w:t>本项目符合现行国家产业、行业政策。经查《市场准入负面清单草案》（试点版），本项目不在《市场准入负面清单（2022年版）》（发改体</w:t>
            </w:r>
            <w:r>
              <w:rPr>
                <w:rFonts w:hint="eastAsia" w:ascii="仿宋" w:hAnsi="仿宋" w:eastAsia="仿宋" w:cs="仿宋"/>
                <w:bCs/>
                <w:szCs w:val="21"/>
              </w:rPr>
              <w:t>改规</w:t>
            </w:r>
            <w:r>
              <w:rPr>
                <w:rFonts w:ascii="仿宋" w:hAnsi="仿宋" w:eastAsia="仿宋" w:cs="仿宋"/>
                <w:bCs/>
                <w:szCs w:val="21"/>
              </w:rPr>
              <w:t>〔2022〕397号）禁止准入类和限制准入类中，且本项目不是园区禁止入园项目。因此，本项目符合环境准入负面清单相关要求。</w:t>
            </w:r>
          </w:p>
        </w:tc>
        <w:tc>
          <w:tcPr>
            <w:tcW w:w="582" w:type="pct"/>
            <w:vAlign w:val="center"/>
          </w:tcPr>
          <w:p>
            <w:pPr>
              <w:spacing w:line="240" w:lineRule="exact"/>
              <w:jc w:val="center"/>
              <w:rPr>
                <w:rFonts w:ascii="仿宋" w:hAnsi="仿宋" w:eastAsia="仿宋" w:cs="仿宋"/>
                <w:bCs/>
                <w:szCs w:val="21"/>
              </w:rPr>
            </w:pPr>
            <w:r>
              <w:rPr>
                <w:rFonts w:ascii="仿宋" w:hAnsi="仿宋" w:eastAsia="仿宋" w:cs="仿宋"/>
                <w:bCs/>
                <w:szCs w:val="21"/>
              </w:rPr>
              <w:t>是</w:t>
            </w:r>
          </w:p>
        </w:tc>
      </w:tr>
    </w:tbl>
    <w:p>
      <w:pPr>
        <w:pStyle w:val="33"/>
        <w:spacing w:after="0" w:line="500" w:lineRule="exact"/>
        <w:ind w:firstLine="560"/>
        <w:rPr>
          <w:rFonts w:eastAsia="仿宋_GB2312"/>
          <w:b/>
          <w:bCs/>
          <w:sz w:val="28"/>
          <w:szCs w:val="28"/>
        </w:rPr>
      </w:pPr>
      <w:r>
        <w:rPr>
          <w:rFonts w:eastAsia="仿宋_GB2312"/>
          <w:bCs/>
          <w:sz w:val="28"/>
          <w:szCs w:val="28"/>
        </w:rPr>
        <w:t>距本项目最近的国家级生态保护红线为丹金溧漕河（金坛区）洪水调蓄区。本项目距离以上生态保护红线</w:t>
      </w:r>
      <w:r>
        <w:rPr>
          <w:rFonts w:hint="eastAsia" w:eastAsia="仿宋_GB2312"/>
          <w:bCs/>
          <w:sz w:val="28"/>
          <w:szCs w:val="28"/>
        </w:rPr>
        <w:t>1800米</w:t>
      </w:r>
      <w:r>
        <w:rPr>
          <w:rFonts w:eastAsia="仿宋_GB2312"/>
          <w:bCs/>
          <w:sz w:val="28"/>
          <w:szCs w:val="28"/>
        </w:rPr>
        <w:t>，因此，本项目选址与江苏省国家级生态保护红线规划相符。</w:t>
      </w:r>
      <w:r>
        <w:rPr>
          <w:rFonts w:eastAsia="仿宋_GB2312"/>
          <w:b/>
          <w:bCs/>
          <w:sz w:val="28"/>
          <w:szCs w:val="28"/>
        </w:rPr>
        <w:t>常州市生态空间</w:t>
      </w:r>
      <w:r>
        <w:rPr>
          <w:rFonts w:hint="eastAsia" w:eastAsia="仿宋_GB2312"/>
          <w:b/>
          <w:bCs/>
          <w:sz w:val="28"/>
          <w:szCs w:val="28"/>
        </w:rPr>
        <w:t>保护区</w:t>
      </w:r>
      <w:r>
        <w:rPr>
          <w:rFonts w:eastAsia="仿宋_GB2312"/>
          <w:b/>
          <w:bCs/>
          <w:sz w:val="28"/>
          <w:szCs w:val="28"/>
        </w:rPr>
        <w:t>分布图见图</w:t>
      </w:r>
      <w:r>
        <w:rPr>
          <w:rFonts w:hint="eastAsia" w:eastAsia="仿宋_GB2312"/>
          <w:b/>
          <w:bCs/>
          <w:sz w:val="28"/>
          <w:szCs w:val="28"/>
        </w:rPr>
        <w:t>2.</w:t>
      </w:r>
      <w:r>
        <w:rPr>
          <w:rFonts w:eastAsia="仿宋_GB2312"/>
          <w:b/>
          <w:bCs/>
          <w:sz w:val="28"/>
          <w:szCs w:val="28"/>
        </w:rPr>
        <w:t>7</w:t>
      </w:r>
      <w:r>
        <w:rPr>
          <w:rFonts w:hint="eastAsia" w:eastAsia="仿宋_GB2312"/>
          <w:b/>
          <w:bCs/>
          <w:sz w:val="28"/>
          <w:szCs w:val="28"/>
        </w:rPr>
        <w:t>-1。</w:t>
      </w:r>
    </w:p>
    <w:p>
      <w:pPr>
        <w:pStyle w:val="33"/>
        <w:spacing w:after="0" w:line="500" w:lineRule="exact"/>
        <w:ind w:firstLine="560"/>
        <w:rPr>
          <w:rFonts w:eastAsia="仿宋_GB2312"/>
          <w:bCs/>
          <w:sz w:val="28"/>
          <w:szCs w:val="28"/>
        </w:rPr>
      </w:pPr>
      <w:r>
        <w:rPr>
          <w:rFonts w:hint="eastAsia" w:eastAsia="仿宋_GB2312"/>
          <w:bCs/>
          <w:sz w:val="28"/>
          <w:szCs w:val="28"/>
        </w:rPr>
        <w:t>（2）对照《省政府关于印发江苏省“三线一单”生态环境分区管控方案的通知》（苏政发〔2020〕49号），本项目</w:t>
      </w:r>
      <w:r>
        <w:rPr>
          <w:rFonts w:eastAsia="仿宋_GB2312"/>
          <w:bCs/>
          <w:sz w:val="28"/>
          <w:szCs w:val="28"/>
        </w:rPr>
        <w:t>位于江苏省金坛区金城镇工业园区（北区）</w:t>
      </w:r>
      <w:r>
        <w:rPr>
          <w:rFonts w:hint="eastAsia" w:eastAsia="仿宋_GB2312"/>
          <w:bCs/>
          <w:sz w:val="28"/>
          <w:szCs w:val="28"/>
        </w:rPr>
        <w:t>，属于</w:t>
      </w:r>
      <w:r>
        <w:rPr>
          <w:rFonts w:eastAsia="仿宋_GB2312"/>
          <w:bCs/>
          <w:sz w:val="28"/>
          <w:szCs w:val="28"/>
        </w:rPr>
        <w:t>太湖流域三级保护区，</w:t>
      </w:r>
      <w:r>
        <w:rPr>
          <w:rFonts w:hint="eastAsia" w:eastAsia="仿宋_GB2312"/>
          <w:bCs/>
          <w:sz w:val="28"/>
          <w:szCs w:val="28"/>
        </w:rPr>
        <w:t>对照</w:t>
      </w:r>
      <w:r>
        <w:rPr>
          <w:rFonts w:eastAsia="仿宋_GB2312"/>
          <w:bCs/>
          <w:sz w:val="28"/>
          <w:szCs w:val="28"/>
        </w:rPr>
        <w:t>江苏省</w:t>
      </w:r>
      <w:r>
        <w:rPr>
          <w:rFonts w:hint="eastAsia" w:eastAsia="仿宋_GB2312"/>
          <w:bCs/>
          <w:sz w:val="28"/>
          <w:szCs w:val="28"/>
        </w:rPr>
        <w:t>重点</w:t>
      </w:r>
      <w:r>
        <w:rPr>
          <w:rFonts w:eastAsia="仿宋_GB2312"/>
          <w:bCs/>
          <w:sz w:val="28"/>
          <w:szCs w:val="28"/>
        </w:rPr>
        <w:t>区域</w:t>
      </w:r>
      <w:r>
        <w:rPr>
          <w:rFonts w:hint="eastAsia" w:eastAsia="仿宋_GB2312"/>
          <w:bCs/>
          <w:sz w:val="28"/>
          <w:szCs w:val="28"/>
        </w:rPr>
        <w:t>（流域）生态环境</w:t>
      </w:r>
      <w:r>
        <w:rPr>
          <w:rFonts w:eastAsia="仿宋_GB2312"/>
          <w:bCs/>
          <w:sz w:val="28"/>
          <w:szCs w:val="28"/>
        </w:rPr>
        <w:t>分区</w:t>
      </w:r>
      <w:r>
        <w:rPr>
          <w:rFonts w:hint="eastAsia" w:eastAsia="仿宋_GB2312"/>
          <w:bCs/>
          <w:sz w:val="28"/>
          <w:szCs w:val="28"/>
        </w:rPr>
        <w:t>管控</w:t>
      </w:r>
      <w:r>
        <w:rPr>
          <w:rFonts w:eastAsia="仿宋_GB2312"/>
          <w:bCs/>
          <w:sz w:val="28"/>
          <w:szCs w:val="28"/>
        </w:rPr>
        <w:t>要求</w:t>
      </w:r>
      <w:r>
        <w:rPr>
          <w:rFonts w:hint="eastAsia" w:eastAsia="仿宋_GB2312"/>
          <w:bCs/>
          <w:sz w:val="28"/>
          <w:szCs w:val="28"/>
        </w:rPr>
        <w:t>（太湖流域），</w:t>
      </w:r>
      <w:r>
        <w:rPr>
          <w:rFonts w:eastAsia="仿宋_GB2312"/>
          <w:bCs/>
          <w:sz w:val="28"/>
          <w:szCs w:val="28"/>
        </w:rPr>
        <w:t>分析如下：</w:t>
      </w:r>
    </w:p>
    <w:p>
      <w:pPr>
        <w:tabs>
          <w:tab w:val="left" w:pos="2880"/>
        </w:tabs>
        <w:autoSpaceDE w:val="0"/>
        <w:autoSpaceDN w:val="0"/>
        <w:spacing w:line="500" w:lineRule="exact"/>
        <w:jc w:val="center"/>
        <w:rPr>
          <w:rFonts w:eastAsia="仿宋_GB2312"/>
          <w:b/>
          <w:sz w:val="24"/>
        </w:rPr>
      </w:pPr>
      <w:r>
        <w:rPr>
          <w:rFonts w:eastAsia="仿宋_GB2312"/>
          <w:b/>
          <w:sz w:val="24"/>
        </w:rPr>
        <w:t>表2.</w:t>
      </w:r>
      <w:r>
        <w:rPr>
          <w:rFonts w:hint="eastAsia" w:eastAsia="仿宋_GB2312"/>
          <w:b/>
          <w:sz w:val="24"/>
        </w:rPr>
        <w:t>7</w:t>
      </w:r>
      <w:r>
        <w:rPr>
          <w:rFonts w:eastAsia="仿宋_GB2312"/>
          <w:b/>
          <w:sz w:val="24"/>
        </w:rPr>
        <w:t>-</w:t>
      </w:r>
      <w:r>
        <w:rPr>
          <w:rFonts w:hint="eastAsia" w:eastAsia="仿宋_GB2312"/>
          <w:b/>
          <w:sz w:val="24"/>
        </w:rPr>
        <w:t>1</w:t>
      </w:r>
      <w:r>
        <w:rPr>
          <w:rFonts w:eastAsia="仿宋_GB2312"/>
          <w:b/>
          <w:sz w:val="24"/>
        </w:rPr>
        <w:t>5 江苏省</w:t>
      </w:r>
      <w:r>
        <w:rPr>
          <w:rFonts w:hint="eastAsia" w:eastAsia="仿宋_GB2312"/>
          <w:b/>
          <w:sz w:val="24"/>
        </w:rPr>
        <w:t>重点</w:t>
      </w:r>
      <w:r>
        <w:rPr>
          <w:rFonts w:eastAsia="仿宋_GB2312"/>
          <w:b/>
          <w:sz w:val="24"/>
        </w:rPr>
        <w:t>区域</w:t>
      </w:r>
      <w:r>
        <w:rPr>
          <w:rFonts w:hint="eastAsia" w:eastAsia="仿宋_GB2312"/>
          <w:b/>
          <w:sz w:val="24"/>
        </w:rPr>
        <w:t>（流域）生态环境</w:t>
      </w:r>
      <w:r>
        <w:rPr>
          <w:rFonts w:eastAsia="仿宋_GB2312"/>
          <w:b/>
          <w:sz w:val="24"/>
        </w:rPr>
        <w:t>分区</w:t>
      </w:r>
      <w:r>
        <w:rPr>
          <w:rFonts w:hint="eastAsia" w:eastAsia="仿宋_GB2312"/>
          <w:b/>
          <w:sz w:val="24"/>
        </w:rPr>
        <w:t>管控</w:t>
      </w:r>
      <w:r>
        <w:rPr>
          <w:rFonts w:eastAsia="仿宋_GB2312"/>
          <w:b/>
          <w:sz w:val="24"/>
        </w:rPr>
        <w:t>要求</w:t>
      </w:r>
      <w:r>
        <w:rPr>
          <w:rFonts w:hint="eastAsia" w:eastAsia="仿宋_GB2312"/>
          <w:b/>
          <w:sz w:val="24"/>
        </w:rPr>
        <w:t>对照分析</w:t>
      </w:r>
    </w:p>
    <w:tbl>
      <w:tblPr>
        <w:tblStyle w:val="87"/>
        <w:tblW w:w="52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963"/>
        <w:gridCol w:w="4399"/>
        <w:gridCol w:w="2749"/>
        <w:gridCol w:w="1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Align w:val="center"/>
          </w:tcPr>
          <w:p>
            <w:pPr>
              <w:spacing w:line="240" w:lineRule="exact"/>
              <w:jc w:val="center"/>
              <w:rPr>
                <w:rFonts w:ascii="仿宋" w:hAnsi="仿宋" w:eastAsia="仿宋" w:cs="仿宋"/>
                <w:bCs/>
                <w:szCs w:val="21"/>
              </w:rPr>
            </w:pPr>
            <w:r>
              <w:rPr>
                <w:rFonts w:ascii="仿宋" w:hAnsi="仿宋" w:eastAsia="仿宋" w:cs="仿宋"/>
                <w:bCs/>
                <w:szCs w:val="21"/>
              </w:rPr>
              <w:t>序号</w:t>
            </w:r>
          </w:p>
        </w:tc>
        <w:tc>
          <w:tcPr>
            <w:tcW w:w="103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管控</w:t>
            </w:r>
          </w:p>
          <w:p>
            <w:pPr>
              <w:spacing w:line="240" w:lineRule="exact"/>
              <w:jc w:val="center"/>
              <w:rPr>
                <w:rFonts w:ascii="仿宋" w:hAnsi="仿宋" w:eastAsia="仿宋" w:cs="仿宋"/>
                <w:bCs/>
                <w:szCs w:val="21"/>
              </w:rPr>
            </w:pPr>
            <w:r>
              <w:rPr>
                <w:rFonts w:hint="eastAsia" w:ascii="仿宋" w:hAnsi="仿宋" w:eastAsia="仿宋" w:cs="仿宋"/>
                <w:bCs/>
                <w:szCs w:val="21"/>
              </w:rPr>
              <w:t>类别</w:t>
            </w:r>
          </w:p>
        </w:tc>
        <w:tc>
          <w:tcPr>
            <w:tcW w:w="488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重点管控</w:t>
            </w:r>
            <w:r>
              <w:rPr>
                <w:rFonts w:ascii="仿宋" w:hAnsi="仿宋" w:eastAsia="仿宋" w:cs="仿宋"/>
                <w:bCs/>
                <w:szCs w:val="21"/>
              </w:rPr>
              <w:t>要求</w:t>
            </w:r>
          </w:p>
        </w:tc>
        <w:tc>
          <w:tcPr>
            <w:tcW w:w="2866" w:type="dxa"/>
            <w:vAlign w:val="center"/>
          </w:tcPr>
          <w:p>
            <w:pPr>
              <w:spacing w:line="240" w:lineRule="exact"/>
              <w:jc w:val="center"/>
              <w:rPr>
                <w:rFonts w:ascii="仿宋" w:hAnsi="仿宋" w:eastAsia="仿宋" w:cs="仿宋"/>
                <w:bCs/>
                <w:szCs w:val="21"/>
              </w:rPr>
            </w:pPr>
            <w:r>
              <w:rPr>
                <w:rFonts w:ascii="仿宋" w:hAnsi="仿宋" w:eastAsia="仿宋" w:cs="仿宋"/>
                <w:bCs/>
                <w:szCs w:val="21"/>
              </w:rPr>
              <w:t>本项目</w:t>
            </w:r>
            <w:r>
              <w:rPr>
                <w:rFonts w:hint="eastAsia" w:ascii="仿宋" w:hAnsi="仿宋" w:eastAsia="仿宋" w:cs="仿宋"/>
                <w:bCs/>
                <w:szCs w:val="21"/>
              </w:rPr>
              <w:t>情况</w:t>
            </w:r>
          </w:p>
        </w:tc>
        <w:tc>
          <w:tcPr>
            <w:tcW w:w="1269"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Align w:val="center"/>
          </w:tcPr>
          <w:p>
            <w:pPr>
              <w:spacing w:line="240" w:lineRule="exact"/>
              <w:jc w:val="center"/>
              <w:rPr>
                <w:rFonts w:ascii="仿宋" w:hAnsi="仿宋" w:eastAsia="仿宋" w:cs="仿宋"/>
                <w:bCs/>
                <w:szCs w:val="21"/>
              </w:rPr>
            </w:pPr>
            <w:r>
              <w:rPr>
                <w:rFonts w:ascii="仿宋" w:hAnsi="仿宋" w:eastAsia="仿宋" w:cs="仿宋"/>
                <w:bCs/>
                <w:szCs w:val="21"/>
              </w:rPr>
              <w:t>1</w:t>
            </w:r>
          </w:p>
        </w:tc>
        <w:tc>
          <w:tcPr>
            <w:tcW w:w="103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空间布局约束</w:t>
            </w:r>
          </w:p>
        </w:tc>
        <w:tc>
          <w:tcPr>
            <w:tcW w:w="4887" w:type="dxa"/>
            <w:vAlign w:val="center"/>
          </w:tcPr>
          <w:p>
            <w:pPr>
              <w:spacing w:line="240" w:lineRule="exact"/>
              <w:rPr>
                <w:rFonts w:ascii="仿宋" w:hAnsi="仿宋" w:eastAsia="仿宋" w:cs="仿宋"/>
                <w:bCs/>
                <w:szCs w:val="21"/>
              </w:rPr>
            </w:pPr>
            <w:r>
              <w:rPr>
                <w:rFonts w:hint="eastAsia" w:ascii="仿宋" w:hAnsi="仿宋" w:eastAsia="仿宋" w:cs="仿宋"/>
                <w:bCs/>
                <w:szCs w:val="21"/>
              </w:rPr>
              <w:t>1.在太湖流域一、二、三级保护区，禁止新建、改建、扩建化学制浆造纸、制革、酿造、染料、印染、电镀以及其他排放含磷、氮等污染物的企业和项目，城镇污水集中处理等环境基础设施项目和《江苏省太湖水污染防治条例》第四十六条规定的情形除外。</w:t>
            </w:r>
          </w:p>
          <w:p>
            <w:pPr>
              <w:spacing w:line="240" w:lineRule="exact"/>
              <w:rPr>
                <w:rFonts w:ascii="仿宋" w:hAnsi="仿宋" w:eastAsia="仿宋" w:cs="仿宋"/>
                <w:bCs/>
                <w:szCs w:val="21"/>
              </w:rPr>
            </w:pPr>
            <w:r>
              <w:rPr>
                <w:rFonts w:hint="eastAsia" w:ascii="仿宋" w:hAnsi="仿宋" w:eastAsia="仿宋" w:cs="仿宋"/>
                <w:bCs/>
                <w:szCs w:val="21"/>
              </w:rPr>
              <w:t>2.在太湖流城一级保护区，禁止新建、扩建向水体排放污染物的建设项目，禁止新建、扩建畜禽养殖场，禁止新建、扩建高尔夫球场、水上游乐等开发项目以及设置水上餐饮经营设施。</w:t>
            </w:r>
          </w:p>
          <w:p>
            <w:pPr>
              <w:spacing w:line="240" w:lineRule="exact"/>
              <w:rPr>
                <w:rFonts w:ascii="仿宋" w:hAnsi="仿宋" w:eastAsia="仿宋" w:cs="仿宋"/>
                <w:bCs/>
                <w:szCs w:val="21"/>
              </w:rPr>
            </w:pPr>
            <w:r>
              <w:rPr>
                <w:rFonts w:hint="eastAsia" w:ascii="仿宋" w:hAnsi="仿宋" w:eastAsia="仿宋" w:cs="仿宋"/>
                <w:bCs/>
                <w:szCs w:val="21"/>
              </w:rPr>
              <w:t>3.在太湖流域二级保护区，禁止新建、扩建化工、医药生产项目，禁止新建、扩建污水集中处理设施排污口以外的排污口。</w:t>
            </w:r>
          </w:p>
        </w:tc>
        <w:tc>
          <w:tcPr>
            <w:tcW w:w="2866" w:type="dxa"/>
            <w:vAlign w:val="center"/>
          </w:tcPr>
          <w:p>
            <w:pPr>
              <w:spacing w:line="240" w:lineRule="exact"/>
              <w:rPr>
                <w:rFonts w:ascii="仿宋" w:hAnsi="仿宋" w:eastAsia="仿宋" w:cs="仿宋"/>
                <w:bCs/>
                <w:szCs w:val="21"/>
              </w:rPr>
            </w:pPr>
            <w:r>
              <w:rPr>
                <w:rFonts w:hint="eastAsia" w:ascii="仿宋" w:hAnsi="仿宋" w:eastAsia="仿宋" w:cs="仿宋"/>
                <w:bCs/>
                <w:szCs w:val="21"/>
              </w:rPr>
              <w:t>本项目位于太湖流域三级保护区，</w:t>
            </w:r>
            <w:r>
              <w:rPr>
                <w:rFonts w:ascii="仿宋" w:hAnsi="仿宋" w:eastAsia="仿宋" w:cs="仿宋"/>
                <w:bCs/>
                <w:szCs w:val="21"/>
              </w:rPr>
              <w:t>营运期不排放含</w:t>
            </w:r>
            <w:r>
              <w:rPr>
                <w:rFonts w:hint="eastAsia" w:ascii="仿宋" w:hAnsi="仿宋" w:eastAsia="仿宋" w:cs="仿宋"/>
                <w:bCs/>
                <w:szCs w:val="21"/>
              </w:rPr>
              <w:t>氮磷</w:t>
            </w:r>
            <w:r>
              <w:rPr>
                <w:rFonts w:ascii="仿宋" w:hAnsi="仿宋" w:eastAsia="仿宋" w:cs="仿宋"/>
                <w:bCs/>
                <w:szCs w:val="21"/>
              </w:rPr>
              <w:t>生产废水</w:t>
            </w:r>
          </w:p>
        </w:tc>
        <w:tc>
          <w:tcPr>
            <w:tcW w:w="1269"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Align w:val="center"/>
          </w:tcPr>
          <w:p>
            <w:pPr>
              <w:spacing w:line="240" w:lineRule="exact"/>
              <w:jc w:val="center"/>
              <w:rPr>
                <w:rFonts w:ascii="仿宋" w:hAnsi="仿宋" w:eastAsia="仿宋" w:cs="仿宋"/>
                <w:bCs/>
                <w:szCs w:val="21"/>
              </w:rPr>
            </w:pPr>
            <w:r>
              <w:rPr>
                <w:rFonts w:ascii="仿宋" w:hAnsi="仿宋" w:eastAsia="仿宋" w:cs="仿宋"/>
                <w:bCs/>
                <w:szCs w:val="21"/>
              </w:rPr>
              <w:t>2</w:t>
            </w:r>
          </w:p>
        </w:tc>
        <w:tc>
          <w:tcPr>
            <w:tcW w:w="103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污染物排放管控</w:t>
            </w:r>
          </w:p>
        </w:tc>
        <w:tc>
          <w:tcPr>
            <w:tcW w:w="4887" w:type="dxa"/>
            <w:vAlign w:val="center"/>
          </w:tcPr>
          <w:p>
            <w:pPr>
              <w:spacing w:line="240" w:lineRule="exact"/>
              <w:jc w:val="left"/>
              <w:rPr>
                <w:rFonts w:ascii="仿宋" w:hAnsi="仿宋" w:eastAsia="仿宋" w:cs="仿宋"/>
                <w:bCs/>
                <w:szCs w:val="21"/>
              </w:rPr>
            </w:pPr>
            <w:r>
              <w:rPr>
                <w:rFonts w:hint="eastAsia" w:ascii="仿宋" w:hAnsi="仿宋" w:eastAsia="仿宋" w:cs="仿宋"/>
                <w:bCs/>
                <w:szCs w:val="21"/>
              </w:rPr>
              <w:t>城镇污水处理厂、纺织工业、化学工业、造纸工业、钢铁工业、电镀工业和食品工业的污水处理设施执行《太湖地区城镇污水处理排放管控厂及重点工业行业主要水污染物排放限值》。</w:t>
            </w:r>
          </w:p>
        </w:tc>
        <w:tc>
          <w:tcPr>
            <w:tcW w:w="2866" w:type="dxa"/>
            <w:vAlign w:val="center"/>
          </w:tcPr>
          <w:p>
            <w:pPr>
              <w:spacing w:line="240" w:lineRule="exact"/>
              <w:rPr>
                <w:rFonts w:ascii="仿宋" w:hAnsi="仿宋" w:eastAsia="仿宋" w:cs="仿宋"/>
                <w:bCs/>
                <w:szCs w:val="21"/>
              </w:rPr>
            </w:pPr>
            <w:r>
              <w:rPr>
                <w:rFonts w:hint="eastAsia" w:ascii="仿宋" w:hAnsi="仿宋" w:eastAsia="仿宋" w:cs="仿宋"/>
                <w:bCs/>
                <w:szCs w:val="21"/>
              </w:rPr>
              <w:t>本项目</w:t>
            </w:r>
            <w:r>
              <w:rPr>
                <w:rFonts w:ascii="仿宋" w:hAnsi="仿宋" w:eastAsia="仿宋" w:cs="仿宋"/>
                <w:bCs/>
                <w:szCs w:val="21"/>
              </w:rPr>
              <w:t>污水接管至</w:t>
            </w:r>
            <w:r>
              <w:rPr>
                <w:rFonts w:hint="eastAsia" w:ascii="仿宋" w:hAnsi="仿宋" w:eastAsia="仿宋" w:cs="仿宋"/>
                <w:bCs/>
                <w:szCs w:val="21"/>
              </w:rPr>
              <w:t>金坛</w:t>
            </w:r>
            <w:r>
              <w:rPr>
                <w:rFonts w:ascii="仿宋" w:hAnsi="仿宋" w:eastAsia="仿宋" w:cs="仿宋"/>
                <w:bCs/>
                <w:szCs w:val="21"/>
              </w:rPr>
              <w:t>第二污水处理厂，其执行《太湖地区城镇污水处理厂及重点工业行业主要水污染物排放限值》(DB32/1072-2018)表2中排放限值</w:t>
            </w:r>
          </w:p>
        </w:tc>
        <w:tc>
          <w:tcPr>
            <w:tcW w:w="1269"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Align w:val="center"/>
          </w:tcPr>
          <w:p>
            <w:pPr>
              <w:spacing w:line="240" w:lineRule="exact"/>
              <w:jc w:val="center"/>
              <w:rPr>
                <w:rFonts w:ascii="仿宋" w:hAnsi="仿宋" w:eastAsia="仿宋" w:cs="仿宋"/>
                <w:bCs/>
                <w:szCs w:val="21"/>
              </w:rPr>
            </w:pPr>
            <w:r>
              <w:rPr>
                <w:rFonts w:ascii="仿宋" w:hAnsi="仿宋" w:eastAsia="仿宋" w:cs="仿宋"/>
                <w:bCs/>
                <w:szCs w:val="21"/>
              </w:rPr>
              <w:t>3</w:t>
            </w:r>
          </w:p>
        </w:tc>
        <w:tc>
          <w:tcPr>
            <w:tcW w:w="103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环境风险防控</w:t>
            </w:r>
          </w:p>
        </w:tc>
        <w:tc>
          <w:tcPr>
            <w:tcW w:w="4887" w:type="dxa"/>
            <w:vAlign w:val="center"/>
          </w:tcPr>
          <w:p>
            <w:pPr>
              <w:spacing w:line="240" w:lineRule="exact"/>
              <w:jc w:val="left"/>
              <w:rPr>
                <w:rFonts w:ascii="仿宋" w:hAnsi="仿宋" w:eastAsia="仿宋" w:cs="仿宋"/>
                <w:bCs/>
                <w:szCs w:val="21"/>
              </w:rPr>
            </w:pPr>
            <w:r>
              <w:rPr>
                <w:rFonts w:hint="eastAsia" w:ascii="仿宋" w:hAnsi="仿宋" w:eastAsia="仿宋" w:cs="仿宋"/>
                <w:bCs/>
                <w:szCs w:val="21"/>
              </w:rPr>
              <w:t>1.运输剧毒物质、危险化学品的船舶不得进入太湖。</w:t>
            </w:r>
          </w:p>
          <w:p>
            <w:pPr>
              <w:spacing w:line="240" w:lineRule="exact"/>
              <w:jc w:val="left"/>
              <w:rPr>
                <w:rFonts w:ascii="仿宋" w:hAnsi="仿宋" w:eastAsia="仿宋" w:cs="仿宋"/>
                <w:bCs/>
                <w:szCs w:val="21"/>
              </w:rPr>
            </w:pPr>
            <w:r>
              <w:rPr>
                <w:rFonts w:hint="eastAsia" w:ascii="仿宋" w:hAnsi="仿宋" w:eastAsia="仿宋" w:cs="仿宋"/>
                <w:bCs/>
                <w:szCs w:val="21"/>
              </w:rPr>
              <w:t>2.禁止向太湖流域水体排放或者倾倒油类、酸液、碱液、剧毒废渣废液、含放射性废渣废液、含病原体污水、工业废渣以及其他废弃物。</w:t>
            </w:r>
          </w:p>
          <w:p>
            <w:pPr>
              <w:spacing w:line="240" w:lineRule="exact"/>
              <w:jc w:val="left"/>
              <w:rPr>
                <w:rFonts w:ascii="仿宋" w:hAnsi="仿宋" w:eastAsia="仿宋" w:cs="仿宋"/>
                <w:bCs/>
                <w:szCs w:val="21"/>
              </w:rPr>
            </w:pPr>
            <w:r>
              <w:rPr>
                <w:rFonts w:hint="eastAsia" w:ascii="仿宋" w:hAnsi="仿宋" w:eastAsia="仿宋" w:cs="仿宋"/>
                <w:bCs/>
                <w:szCs w:val="21"/>
              </w:rPr>
              <w:t>3.加强太湖流域生态环境风险应急管控，着力提高防控太湖蓝藻水华风险预警和应急处置能力。</w:t>
            </w:r>
          </w:p>
        </w:tc>
        <w:tc>
          <w:tcPr>
            <w:tcW w:w="2866" w:type="dxa"/>
            <w:vAlign w:val="center"/>
          </w:tcPr>
          <w:p>
            <w:pPr>
              <w:spacing w:line="240" w:lineRule="exact"/>
              <w:rPr>
                <w:rFonts w:ascii="仿宋" w:hAnsi="仿宋" w:eastAsia="仿宋" w:cs="仿宋"/>
                <w:bCs/>
                <w:szCs w:val="21"/>
              </w:rPr>
            </w:pPr>
            <w:r>
              <w:rPr>
                <w:rFonts w:hint="eastAsia" w:ascii="仿宋" w:hAnsi="仿宋" w:eastAsia="仿宋" w:cs="仿宋"/>
                <w:bCs/>
                <w:szCs w:val="21"/>
              </w:rPr>
              <w:t>本项目化学品均</w:t>
            </w:r>
            <w:r>
              <w:rPr>
                <w:rFonts w:ascii="仿宋" w:hAnsi="仿宋" w:eastAsia="仿宋" w:cs="仿宋"/>
                <w:bCs/>
                <w:szCs w:val="21"/>
              </w:rPr>
              <w:t>为陆域运输，</w:t>
            </w:r>
            <w:r>
              <w:rPr>
                <w:rFonts w:hint="eastAsia" w:ascii="仿宋" w:hAnsi="仿宋" w:eastAsia="仿宋" w:cs="仿宋"/>
                <w:bCs/>
                <w:szCs w:val="21"/>
              </w:rPr>
              <w:t>废水</w:t>
            </w:r>
            <w:r>
              <w:rPr>
                <w:rFonts w:ascii="仿宋" w:hAnsi="仿宋" w:eastAsia="仿宋" w:cs="仿宋"/>
                <w:bCs/>
                <w:szCs w:val="21"/>
              </w:rPr>
              <w:t>接管至</w:t>
            </w:r>
            <w:r>
              <w:rPr>
                <w:rFonts w:hint="eastAsia" w:ascii="仿宋" w:hAnsi="仿宋" w:eastAsia="仿宋" w:cs="仿宋"/>
                <w:bCs/>
                <w:szCs w:val="21"/>
              </w:rPr>
              <w:t>金坛</w:t>
            </w:r>
            <w:r>
              <w:rPr>
                <w:rFonts w:ascii="仿宋" w:hAnsi="仿宋" w:eastAsia="仿宋" w:cs="仿宋"/>
                <w:bCs/>
                <w:szCs w:val="21"/>
              </w:rPr>
              <w:t>第二污水处理厂，</w:t>
            </w:r>
            <w:r>
              <w:rPr>
                <w:rFonts w:hint="eastAsia" w:ascii="仿宋" w:hAnsi="仿宋" w:eastAsia="仿宋" w:cs="仿宋"/>
                <w:bCs/>
                <w:szCs w:val="21"/>
              </w:rPr>
              <w:t>危废</w:t>
            </w:r>
            <w:r>
              <w:rPr>
                <w:rFonts w:ascii="仿宋" w:hAnsi="仿宋" w:eastAsia="仿宋" w:cs="仿宋"/>
                <w:bCs/>
                <w:szCs w:val="21"/>
              </w:rPr>
              <w:t>委托有资质单位处置</w:t>
            </w:r>
          </w:p>
        </w:tc>
        <w:tc>
          <w:tcPr>
            <w:tcW w:w="1269"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Align w:val="center"/>
          </w:tcPr>
          <w:p>
            <w:pPr>
              <w:spacing w:line="240" w:lineRule="exact"/>
              <w:jc w:val="center"/>
              <w:rPr>
                <w:rFonts w:ascii="仿宋" w:hAnsi="仿宋" w:eastAsia="仿宋" w:cs="仿宋"/>
                <w:bCs/>
                <w:szCs w:val="21"/>
              </w:rPr>
            </w:pPr>
            <w:r>
              <w:rPr>
                <w:rFonts w:ascii="仿宋" w:hAnsi="仿宋" w:eastAsia="仿宋" w:cs="仿宋"/>
                <w:bCs/>
                <w:szCs w:val="21"/>
              </w:rPr>
              <w:t>4</w:t>
            </w:r>
          </w:p>
        </w:tc>
        <w:tc>
          <w:tcPr>
            <w:tcW w:w="103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资源利用效率要求</w:t>
            </w:r>
          </w:p>
        </w:tc>
        <w:tc>
          <w:tcPr>
            <w:tcW w:w="4887" w:type="dxa"/>
            <w:vAlign w:val="center"/>
          </w:tcPr>
          <w:p>
            <w:pPr>
              <w:spacing w:line="240" w:lineRule="exact"/>
              <w:jc w:val="left"/>
              <w:rPr>
                <w:rFonts w:ascii="仿宋" w:hAnsi="仿宋" w:eastAsia="仿宋" w:cs="仿宋"/>
                <w:bCs/>
                <w:szCs w:val="21"/>
              </w:rPr>
            </w:pPr>
            <w:r>
              <w:rPr>
                <w:rFonts w:hint="eastAsia" w:ascii="仿宋" w:hAnsi="仿宋" w:eastAsia="仿宋" w:cs="仿宋"/>
                <w:bCs/>
                <w:szCs w:val="21"/>
              </w:rPr>
              <w:t>1.太湖流域加强水资源配置与调度，优先满足居民生活用水，兼顾生产、生态用水以及航运等需要。</w:t>
            </w:r>
          </w:p>
          <w:p>
            <w:pPr>
              <w:spacing w:line="240" w:lineRule="exact"/>
              <w:jc w:val="left"/>
              <w:rPr>
                <w:rFonts w:ascii="仿宋" w:hAnsi="仿宋" w:eastAsia="仿宋" w:cs="仿宋"/>
                <w:bCs/>
                <w:szCs w:val="21"/>
              </w:rPr>
            </w:pPr>
            <w:r>
              <w:rPr>
                <w:rFonts w:hint="eastAsia" w:ascii="仿宋" w:hAnsi="仿宋" w:eastAsia="仿宋" w:cs="仿宋"/>
                <w:bCs/>
                <w:szCs w:val="21"/>
              </w:rPr>
              <w:t>2.2020年底前，太湖流域所有省级以上开发区开展园区循环化改造。</w:t>
            </w:r>
          </w:p>
        </w:tc>
        <w:tc>
          <w:tcPr>
            <w:tcW w:w="2866" w:type="dxa"/>
            <w:vAlign w:val="center"/>
          </w:tcPr>
          <w:p>
            <w:pPr>
              <w:spacing w:line="240" w:lineRule="exact"/>
              <w:rPr>
                <w:rFonts w:ascii="仿宋" w:hAnsi="仿宋" w:eastAsia="仿宋" w:cs="仿宋"/>
                <w:bCs/>
                <w:szCs w:val="21"/>
              </w:rPr>
            </w:pPr>
            <w:r>
              <w:rPr>
                <w:rFonts w:hint="eastAsia" w:ascii="仿宋" w:hAnsi="仿宋" w:eastAsia="仿宋" w:cs="仿宋"/>
                <w:bCs/>
                <w:szCs w:val="21"/>
              </w:rPr>
              <w:t>本项目</w:t>
            </w:r>
            <w:r>
              <w:rPr>
                <w:rFonts w:ascii="仿宋" w:hAnsi="仿宋" w:eastAsia="仿宋" w:cs="仿宋"/>
                <w:bCs/>
                <w:szCs w:val="21"/>
              </w:rPr>
              <w:t>用水</w:t>
            </w:r>
            <w:r>
              <w:rPr>
                <w:rFonts w:hint="eastAsia" w:ascii="仿宋" w:hAnsi="仿宋" w:eastAsia="仿宋" w:cs="仿宋"/>
                <w:bCs/>
                <w:szCs w:val="21"/>
              </w:rPr>
              <w:t>来源</w:t>
            </w:r>
            <w:r>
              <w:rPr>
                <w:rFonts w:ascii="仿宋" w:hAnsi="仿宋" w:eastAsia="仿宋" w:cs="仿宋"/>
                <w:bCs/>
                <w:szCs w:val="21"/>
              </w:rPr>
              <w:t>于</w:t>
            </w:r>
            <w:r>
              <w:rPr>
                <w:rFonts w:hint="eastAsia" w:ascii="仿宋" w:hAnsi="仿宋" w:eastAsia="仿宋" w:cs="仿宋"/>
                <w:bCs/>
                <w:szCs w:val="21"/>
              </w:rPr>
              <w:t>城市</w:t>
            </w:r>
            <w:r>
              <w:rPr>
                <w:rFonts w:ascii="仿宋" w:hAnsi="仿宋" w:eastAsia="仿宋" w:cs="仿宋"/>
                <w:bCs/>
                <w:szCs w:val="21"/>
              </w:rPr>
              <w:t>自来水厂</w:t>
            </w:r>
            <w:r>
              <w:rPr>
                <w:rFonts w:hint="eastAsia" w:ascii="仿宋" w:hAnsi="仿宋" w:eastAsia="仿宋" w:cs="仿宋"/>
                <w:bCs/>
                <w:szCs w:val="21"/>
              </w:rPr>
              <w:t>，主要用水为生活用水及冷却塔水，</w:t>
            </w:r>
            <w:r>
              <w:rPr>
                <w:rFonts w:ascii="仿宋" w:hAnsi="仿宋" w:eastAsia="仿宋" w:cs="仿宋"/>
                <w:bCs/>
                <w:szCs w:val="21"/>
              </w:rPr>
              <w:t>可满足本项目供水需求</w:t>
            </w:r>
          </w:p>
        </w:tc>
        <w:tc>
          <w:tcPr>
            <w:tcW w:w="1269"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符合</w:t>
            </w:r>
          </w:p>
        </w:tc>
      </w:tr>
    </w:tbl>
    <w:p>
      <w:pPr>
        <w:autoSpaceDE w:val="0"/>
        <w:autoSpaceDN w:val="0"/>
        <w:adjustRightInd w:val="0"/>
        <w:snapToGrid w:val="0"/>
        <w:spacing w:line="500" w:lineRule="exact"/>
        <w:ind w:firstLine="584" w:firstLineChars="200"/>
        <w:jc w:val="left"/>
        <w:rPr>
          <w:rFonts w:eastAsia="仿宋_GB2312"/>
          <w:spacing w:val="6"/>
          <w:sz w:val="28"/>
        </w:rPr>
      </w:pPr>
      <w:r>
        <w:rPr>
          <w:rFonts w:hint="eastAsia" w:eastAsia="仿宋_GB2312"/>
          <w:spacing w:val="6"/>
          <w:sz w:val="28"/>
        </w:rPr>
        <w:t>（3）</w:t>
      </w:r>
      <w:r>
        <w:rPr>
          <w:rFonts w:eastAsia="仿宋_GB2312"/>
          <w:spacing w:val="6"/>
          <w:sz w:val="28"/>
        </w:rPr>
        <w:t>与《</w:t>
      </w:r>
      <w:r>
        <w:rPr>
          <w:rFonts w:hint="eastAsia" w:eastAsia="仿宋_GB2312"/>
          <w:spacing w:val="6"/>
          <w:sz w:val="28"/>
        </w:rPr>
        <w:t>关于印发常州市</w:t>
      </w:r>
      <w:r>
        <w:rPr>
          <w:rFonts w:eastAsia="仿宋_GB2312"/>
          <w:spacing w:val="6"/>
          <w:sz w:val="28"/>
        </w:rPr>
        <w:t>“三线一单”生态环境分区管控</w:t>
      </w:r>
      <w:r>
        <w:rPr>
          <w:rFonts w:hint="eastAsia" w:eastAsia="仿宋_GB2312"/>
          <w:spacing w:val="6"/>
          <w:sz w:val="28"/>
        </w:rPr>
        <w:t>实施方案的通知</w:t>
      </w:r>
      <w:r>
        <w:rPr>
          <w:rFonts w:eastAsia="仿宋_GB2312"/>
          <w:spacing w:val="6"/>
          <w:sz w:val="28"/>
        </w:rPr>
        <w:t>》</w:t>
      </w:r>
      <w:r>
        <w:rPr>
          <w:rFonts w:hint="eastAsia" w:eastAsia="仿宋_GB2312"/>
          <w:spacing w:val="6"/>
          <w:sz w:val="28"/>
        </w:rPr>
        <w:t>（常环</w:t>
      </w:r>
      <w:r>
        <w:rPr>
          <w:rFonts w:eastAsia="仿宋_GB2312"/>
          <w:spacing w:val="6"/>
          <w:sz w:val="28"/>
        </w:rPr>
        <w:t>〔2021〕95号</w:t>
      </w:r>
      <w:r>
        <w:rPr>
          <w:rFonts w:hint="eastAsia" w:eastAsia="仿宋_GB2312"/>
          <w:spacing w:val="6"/>
          <w:sz w:val="28"/>
        </w:rPr>
        <w:t>）</w:t>
      </w:r>
      <w:r>
        <w:rPr>
          <w:rFonts w:eastAsia="仿宋_GB2312"/>
          <w:spacing w:val="6"/>
          <w:sz w:val="28"/>
        </w:rPr>
        <w:t>相符性分析</w:t>
      </w:r>
      <w:r>
        <w:rPr>
          <w:rFonts w:hint="eastAsia" w:eastAsia="仿宋_GB2312"/>
          <w:spacing w:val="6"/>
          <w:sz w:val="28"/>
        </w:rPr>
        <w:t>。</w:t>
      </w:r>
    </w:p>
    <w:p>
      <w:pPr>
        <w:tabs>
          <w:tab w:val="left" w:pos="2880"/>
        </w:tabs>
        <w:autoSpaceDE w:val="0"/>
        <w:autoSpaceDN w:val="0"/>
        <w:spacing w:line="500" w:lineRule="exact"/>
        <w:rPr>
          <w:rFonts w:eastAsia="仿宋_GB2312"/>
          <w:b/>
          <w:sz w:val="24"/>
        </w:rPr>
      </w:pPr>
    </w:p>
    <w:p>
      <w:pPr>
        <w:tabs>
          <w:tab w:val="left" w:pos="2880"/>
        </w:tabs>
        <w:autoSpaceDE w:val="0"/>
        <w:autoSpaceDN w:val="0"/>
        <w:spacing w:line="500" w:lineRule="exact"/>
        <w:jc w:val="center"/>
        <w:rPr>
          <w:rFonts w:eastAsia="仿宋_GB2312"/>
          <w:b/>
          <w:sz w:val="24"/>
        </w:rPr>
      </w:pPr>
      <w:r>
        <w:rPr>
          <w:rFonts w:eastAsia="仿宋_GB2312"/>
          <w:b/>
          <w:sz w:val="24"/>
        </w:rPr>
        <w:t>表2.</w:t>
      </w:r>
      <w:r>
        <w:rPr>
          <w:rFonts w:hint="eastAsia" w:eastAsia="仿宋_GB2312"/>
          <w:b/>
          <w:sz w:val="24"/>
        </w:rPr>
        <w:t>7</w:t>
      </w:r>
      <w:r>
        <w:rPr>
          <w:rFonts w:eastAsia="仿宋_GB2312"/>
          <w:b/>
          <w:sz w:val="24"/>
        </w:rPr>
        <w:t>-</w:t>
      </w:r>
      <w:r>
        <w:rPr>
          <w:rFonts w:hint="eastAsia" w:eastAsia="仿宋_GB2312"/>
          <w:b/>
          <w:sz w:val="24"/>
        </w:rPr>
        <w:t>1</w:t>
      </w:r>
      <w:r>
        <w:rPr>
          <w:rFonts w:eastAsia="仿宋_GB2312"/>
          <w:b/>
          <w:sz w:val="24"/>
        </w:rPr>
        <w:t>6  常州市市域生态环境管控要求</w:t>
      </w:r>
    </w:p>
    <w:tbl>
      <w:tblPr>
        <w:tblStyle w:val="87"/>
        <w:tblW w:w="52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6"/>
        <w:gridCol w:w="6218"/>
        <w:gridCol w:w="2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645" w:type="dxa"/>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管控类别</w:t>
            </w:r>
          </w:p>
        </w:tc>
        <w:tc>
          <w:tcPr>
            <w:tcW w:w="7267" w:type="dxa"/>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管控要求</w:t>
            </w:r>
          </w:p>
        </w:tc>
        <w:tc>
          <w:tcPr>
            <w:tcW w:w="3274" w:type="dxa"/>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相符性分析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4" w:hRule="atLeast"/>
          <w:jc w:val="center"/>
        </w:trPr>
        <w:tc>
          <w:tcPr>
            <w:tcW w:w="645" w:type="dxa"/>
            <w:shd w:val="clear" w:color="auto" w:fill="auto"/>
            <w:vAlign w:val="center"/>
          </w:tcPr>
          <w:p>
            <w:pPr>
              <w:spacing w:line="240" w:lineRule="exact"/>
              <w:rPr>
                <w:rFonts w:ascii="仿宋" w:hAnsi="仿宋" w:eastAsia="仿宋" w:cs="仿宋"/>
                <w:bCs/>
                <w:szCs w:val="21"/>
              </w:rPr>
            </w:pPr>
            <w:r>
              <w:rPr>
                <w:rFonts w:ascii="仿宋" w:hAnsi="仿宋" w:eastAsia="仿宋" w:cs="仿宋"/>
                <w:bCs/>
                <w:szCs w:val="21"/>
              </w:rPr>
              <w:t>空间布局约束</w:t>
            </w:r>
          </w:p>
        </w:tc>
        <w:tc>
          <w:tcPr>
            <w:tcW w:w="7267" w:type="dxa"/>
            <w:shd w:val="clear" w:color="auto" w:fill="auto"/>
            <w:vAlign w:val="center"/>
          </w:tcPr>
          <w:p>
            <w:pPr>
              <w:spacing w:line="240" w:lineRule="exact"/>
              <w:rPr>
                <w:rFonts w:ascii="仿宋" w:hAnsi="仿宋" w:eastAsia="仿宋" w:cs="仿宋"/>
                <w:bCs/>
                <w:szCs w:val="21"/>
              </w:rPr>
            </w:pPr>
            <w:r>
              <w:rPr>
                <w:rFonts w:hint="eastAsia" w:ascii="仿宋" w:hAnsi="仿宋" w:eastAsia="仿宋" w:cs="仿宋"/>
                <w:bCs/>
                <w:szCs w:val="21"/>
              </w:rPr>
              <w:t>1、</w:t>
            </w:r>
            <w:r>
              <w:rPr>
                <w:rFonts w:ascii="仿宋" w:hAnsi="仿宋" w:eastAsia="仿宋" w:cs="仿宋"/>
                <w:bCs/>
                <w:szCs w:val="21"/>
              </w:rPr>
              <w:t>严格执行《江苏省“三线一单”生态环境分区管控方案》（苏政发[2020]49号）附件3江苏省省域生态环境管控要求中“空间布局约束”的相关要求。</w:t>
            </w:r>
          </w:p>
          <w:p>
            <w:pPr>
              <w:spacing w:line="240" w:lineRule="exact"/>
              <w:rPr>
                <w:rFonts w:ascii="仿宋" w:hAnsi="仿宋" w:eastAsia="仿宋" w:cs="仿宋"/>
                <w:bCs/>
                <w:szCs w:val="21"/>
              </w:rPr>
            </w:pPr>
            <w:r>
              <w:rPr>
                <w:rFonts w:hint="eastAsia" w:ascii="仿宋" w:hAnsi="仿宋" w:eastAsia="仿宋" w:cs="仿宋"/>
                <w:bCs/>
                <w:szCs w:val="21"/>
              </w:rPr>
              <w:t>2、</w:t>
            </w:r>
            <w:r>
              <w:rPr>
                <w:rFonts w:ascii="仿宋" w:hAnsi="仿宋" w:eastAsia="仿宋" w:cs="仿宋"/>
                <w:bCs/>
                <w:szCs w:val="21"/>
              </w:rPr>
              <w:t>严格执行《关于全面加强生态环境保护坚决打好污染防治攻坚战的实施意见》（常发[2018]30号）、《2020年常州市关于打好污染防治攻坚工作方案》（常政发[2020]29号）、《常州市“两减六治三提升”专项行动实施方案》（常发[2017]9号）、《常州市打赢蓝天保卫战行动计划实施方案》（常政发[2019]27号）、《常州市水污染防治工作方案》（常政发[2015]205号）、《常州市土壤污染防治工作方案》（常政发[2017]56号）等文件要求。</w:t>
            </w:r>
          </w:p>
          <w:p>
            <w:pPr>
              <w:spacing w:line="240" w:lineRule="exact"/>
              <w:rPr>
                <w:rFonts w:ascii="仿宋" w:hAnsi="仿宋" w:eastAsia="仿宋" w:cs="仿宋"/>
                <w:bCs/>
                <w:szCs w:val="21"/>
              </w:rPr>
            </w:pPr>
            <w:r>
              <w:rPr>
                <w:rFonts w:hint="eastAsia" w:ascii="仿宋" w:hAnsi="仿宋" w:eastAsia="仿宋" w:cs="仿宋"/>
                <w:bCs/>
                <w:szCs w:val="21"/>
              </w:rPr>
              <w:t>3、</w:t>
            </w:r>
            <w:r>
              <w:rPr>
                <w:rFonts w:ascii="仿宋" w:hAnsi="仿宋" w:eastAsia="仿宋" w:cs="仿宋"/>
                <w:bCs/>
                <w:szCs w:val="21"/>
              </w:rPr>
              <w:t>禁止引进：列入《产业结构调整指导目录》、《江苏省工业和信息结构指导目录》、《江苏省工业和信息产业结构调整、限制、淘汰目录及能耗限额》淘汰类的产业；列入《外商投资产业指导目录》禁止类的产业。</w:t>
            </w:r>
          </w:p>
          <w:p>
            <w:pPr>
              <w:spacing w:line="240" w:lineRule="exact"/>
              <w:rPr>
                <w:rFonts w:ascii="仿宋" w:hAnsi="仿宋" w:eastAsia="仿宋" w:cs="仿宋"/>
                <w:bCs/>
                <w:szCs w:val="21"/>
              </w:rPr>
            </w:pPr>
            <w:r>
              <w:rPr>
                <w:rFonts w:hint="eastAsia" w:ascii="仿宋" w:hAnsi="仿宋" w:eastAsia="仿宋" w:cs="仿宋"/>
                <w:bCs/>
                <w:szCs w:val="21"/>
              </w:rPr>
              <w:t>4、</w:t>
            </w:r>
            <w:r>
              <w:rPr>
                <w:rFonts w:ascii="仿宋" w:hAnsi="仿宋" w:eastAsia="仿宋" w:cs="仿宋"/>
                <w:bCs/>
                <w:szCs w:val="21"/>
              </w:rPr>
              <w:t>根据《常州市长江保护修复攻坚战行动计划工作方案》（常污防攻坚指办[2019]30号），严禁在长江干支流1公里范围内新建、扩建化工园区和化工项目。</w:t>
            </w:r>
          </w:p>
          <w:p>
            <w:pPr>
              <w:spacing w:line="240" w:lineRule="exact"/>
              <w:rPr>
                <w:rFonts w:ascii="仿宋" w:hAnsi="仿宋" w:eastAsia="仿宋" w:cs="仿宋"/>
                <w:bCs/>
                <w:szCs w:val="21"/>
              </w:rPr>
            </w:pPr>
            <w:r>
              <w:rPr>
                <w:rFonts w:hint="eastAsia" w:ascii="仿宋" w:hAnsi="仿宋" w:eastAsia="仿宋" w:cs="仿宋"/>
                <w:bCs/>
                <w:szCs w:val="21"/>
              </w:rPr>
              <w:t>5、</w:t>
            </w:r>
            <w:r>
              <w:rPr>
                <w:rFonts w:ascii="仿宋" w:hAnsi="仿宋" w:eastAsia="仿宋" w:cs="仿宋"/>
                <w:bCs/>
                <w:szCs w:val="21"/>
              </w:rPr>
              <w:t>根据《常州市城区混凝土、化工、印染企业关闭与搬迁改造计划》（常政办发[2018]133号），2020年底前，完成城区范围内的混凝土、化工、印染企业关闭与搬迁改造。</w:t>
            </w:r>
          </w:p>
        </w:tc>
        <w:tc>
          <w:tcPr>
            <w:tcW w:w="3274" w:type="dxa"/>
            <w:shd w:val="clear" w:color="auto" w:fill="auto"/>
            <w:vAlign w:val="center"/>
          </w:tcPr>
          <w:p>
            <w:pPr>
              <w:spacing w:line="240" w:lineRule="exact"/>
              <w:rPr>
                <w:rFonts w:ascii="仿宋" w:hAnsi="仿宋" w:eastAsia="仿宋" w:cs="仿宋"/>
                <w:bCs/>
                <w:szCs w:val="21"/>
              </w:rPr>
            </w:pPr>
            <w:r>
              <w:rPr>
                <w:rFonts w:ascii="仿宋" w:hAnsi="仿宋" w:eastAsia="仿宋" w:cs="仿宋"/>
                <w:bCs/>
                <w:szCs w:val="21"/>
              </w:rPr>
              <w:t>1、由上表可知，本项目满足《江苏省“三线一单”生态环境分区管控方案》（苏政发[2020]49号）附件3江苏省省域生态环境管控要求中“空间布局约束”的相关要求；</w:t>
            </w:r>
          </w:p>
          <w:p>
            <w:pPr>
              <w:spacing w:line="240" w:lineRule="exact"/>
              <w:rPr>
                <w:rFonts w:ascii="仿宋" w:hAnsi="仿宋" w:eastAsia="仿宋" w:cs="仿宋"/>
                <w:bCs/>
                <w:szCs w:val="21"/>
              </w:rPr>
            </w:pPr>
            <w:r>
              <w:rPr>
                <w:rFonts w:ascii="仿宋" w:hAnsi="仿宋" w:eastAsia="仿宋" w:cs="仿宋"/>
                <w:bCs/>
                <w:szCs w:val="21"/>
              </w:rPr>
              <w:t>2、本项目满足《关于印发常州市“三线一单”生态环境分区管控实施方案的通知》（常环[2020]95号）空间布局约束中第2条所列的相关法律法规，具体见法律法规部分；</w:t>
            </w:r>
          </w:p>
          <w:p>
            <w:pPr>
              <w:spacing w:line="240" w:lineRule="exact"/>
              <w:rPr>
                <w:rFonts w:ascii="仿宋" w:hAnsi="仿宋" w:eastAsia="仿宋" w:cs="仿宋"/>
                <w:bCs/>
                <w:szCs w:val="21"/>
              </w:rPr>
            </w:pPr>
            <w:r>
              <w:rPr>
                <w:rFonts w:ascii="仿宋" w:hAnsi="仿宋" w:eastAsia="仿宋" w:cs="仿宋"/>
                <w:bCs/>
                <w:szCs w:val="21"/>
              </w:rPr>
              <w:t>3、本项目不属于《产业结构调整指导目录》、《江苏省工业和信息结构指导目录》、《江苏省工业和信息产业结构调整、限制、淘汰目录及能耗限额》淘汰类的产业；</w:t>
            </w:r>
          </w:p>
          <w:p>
            <w:pPr>
              <w:spacing w:line="240" w:lineRule="exact"/>
              <w:rPr>
                <w:rFonts w:ascii="仿宋" w:hAnsi="仿宋" w:eastAsia="仿宋" w:cs="仿宋"/>
                <w:bCs/>
                <w:szCs w:val="21"/>
              </w:rPr>
            </w:pPr>
            <w:r>
              <w:rPr>
                <w:rFonts w:ascii="仿宋" w:hAnsi="仿宋" w:eastAsia="仿宋" w:cs="仿宋"/>
                <w:bCs/>
                <w:szCs w:val="21"/>
              </w:rPr>
              <w:t>4、本项目位于常州市</w:t>
            </w:r>
            <w:r>
              <w:rPr>
                <w:rFonts w:hint="eastAsia" w:ascii="仿宋" w:hAnsi="仿宋" w:eastAsia="仿宋" w:cs="仿宋"/>
                <w:bCs/>
                <w:szCs w:val="21"/>
              </w:rPr>
              <w:t>金坛区区红山路29号</w:t>
            </w:r>
            <w:r>
              <w:rPr>
                <w:rFonts w:ascii="仿宋" w:hAnsi="仿宋" w:eastAsia="仿宋" w:cs="仿宋"/>
                <w:bCs/>
                <w:szCs w:val="21"/>
              </w:rPr>
              <w:t>，不在长江沿江1公里范围内。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0" w:hRule="atLeast"/>
          <w:jc w:val="center"/>
        </w:trPr>
        <w:tc>
          <w:tcPr>
            <w:tcW w:w="645" w:type="dxa"/>
            <w:shd w:val="clear" w:color="auto" w:fill="auto"/>
            <w:vAlign w:val="center"/>
          </w:tcPr>
          <w:p>
            <w:pPr>
              <w:spacing w:line="240" w:lineRule="exact"/>
              <w:rPr>
                <w:rFonts w:ascii="仿宋" w:hAnsi="仿宋" w:eastAsia="仿宋" w:cs="仿宋"/>
                <w:bCs/>
                <w:szCs w:val="21"/>
              </w:rPr>
            </w:pPr>
            <w:r>
              <w:rPr>
                <w:rFonts w:ascii="仿宋" w:hAnsi="仿宋" w:eastAsia="仿宋" w:cs="仿宋"/>
                <w:bCs/>
                <w:szCs w:val="21"/>
              </w:rPr>
              <w:t>污染物排放管控</w:t>
            </w:r>
          </w:p>
        </w:tc>
        <w:tc>
          <w:tcPr>
            <w:tcW w:w="7267" w:type="dxa"/>
            <w:shd w:val="clear" w:color="auto" w:fill="auto"/>
            <w:vAlign w:val="center"/>
          </w:tcPr>
          <w:p>
            <w:pPr>
              <w:numPr>
                <w:ilvl w:val="0"/>
                <w:numId w:val="8"/>
              </w:numPr>
              <w:spacing w:line="240" w:lineRule="exact"/>
              <w:ind w:left="0" w:firstLine="0"/>
              <w:rPr>
                <w:rFonts w:ascii="仿宋" w:hAnsi="仿宋" w:eastAsia="仿宋" w:cs="仿宋"/>
                <w:bCs/>
                <w:szCs w:val="21"/>
              </w:rPr>
            </w:pPr>
            <w:r>
              <w:rPr>
                <w:rFonts w:ascii="仿宋" w:hAnsi="仿宋" w:eastAsia="仿宋" w:cs="仿宋"/>
                <w:bCs/>
                <w:szCs w:val="21"/>
              </w:rPr>
              <w:t>坚持生态环境质量只能更好、不能变坏，实施污染物总量控制，以环境容量定产业、定项目、定规模，确保开发建设行为不突破生态环境承载力。</w:t>
            </w:r>
          </w:p>
          <w:p>
            <w:pPr>
              <w:numPr>
                <w:ilvl w:val="0"/>
                <w:numId w:val="8"/>
              </w:numPr>
              <w:spacing w:line="240" w:lineRule="exact"/>
              <w:ind w:left="0" w:firstLine="0"/>
              <w:rPr>
                <w:rFonts w:ascii="仿宋" w:hAnsi="仿宋" w:eastAsia="仿宋" w:cs="仿宋"/>
                <w:bCs/>
                <w:szCs w:val="21"/>
              </w:rPr>
            </w:pPr>
            <w:r>
              <w:rPr>
                <w:rFonts w:ascii="仿宋" w:hAnsi="仿宋" w:eastAsia="仿宋" w:cs="仿宋"/>
                <w:bCs/>
                <w:szCs w:val="21"/>
              </w:rPr>
              <w:t>根据《江苏省“十三五”节能减排综合实施方案》（苏政发[2017]69号），2020年常州市化学需氧量、氨氮、总氮、总磷、二氧化硫、氮氧化物、挥发性有机物排放量不得超过2.84万吨/年、0.42万吨/年、1万吨/年、0.08万吨/年、2.76万吨/年、6.14万吨/年、8.98万吨/年。</w:t>
            </w:r>
          </w:p>
        </w:tc>
        <w:tc>
          <w:tcPr>
            <w:tcW w:w="3274" w:type="dxa"/>
            <w:shd w:val="clear" w:color="auto" w:fill="auto"/>
            <w:vAlign w:val="center"/>
          </w:tcPr>
          <w:p>
            <w:pPr>
              <w:spacing w:line="240" w:lineRule="exact"/>
              <w:rPr>
                <w:rFonts w:ascii="仿宋" w:hAnsi="仿宋" w:eastAsia="仿宋" w:cs="仿宋"/>
                <w:bCs/>
                <w:szCs w:val="21"/>
              </w:rPr>
            </w:pPr>
            <w:r>
              <w:rPr>
                <w:rFonts w:ascii="仿宋" w:hAnsi="仿宋" w:eastAsia="仿宋" w:cs="仿宋"/>
                <w:bCs/>
                <w:szCs w:val="21"/>
              </w:rPr>
              <w:t>目前，本项目处于环评编制阶段，在环评审批前将严格落实主要污染物排放总量指标控制制度，取得主要污染物排放总量的控制指标和平衡方案，故符合文件要求。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0" w:hRule="atLeast"/>
          <w:jc w:val="center"/>
        </w:trPr>
        <w:tc>
          <w:tcPr>
            <w:tcW w:w="645" w:type="dxa"/>
            <w:shd w:val="clear" w:color="auto" w:fill="auto"/>
            <w:vAlign w:val="center"/>
          </w:tcPr>
          <w:p>
            <w:pPr>
              <w:spacing w:line="240" w:lineRule="exact"/>
              <w:rPr>
                <w:rFonts w:ascii="仿宋" w:hAnsi="仿宋" w:eastAsia="仿宋" w:cs="仿宋"/>
                <w:bCs/>
                <w:szCs w:val="21"/>
              </w:rPr>
            </w:pPr>
            <w:r>
              <w:rPr>
                <w:rFonts w:ascii="仿宋" w:hAnsi="仿宋" w:eastAsia="仿宋" w:cs="仿宋"/>
                <w:bCs/>
                <w:szCs w:val="21"/>
              </w:rPr>
              <w:t>环境风险防控</w:t>
            </w:r>
          </w:p>
        </w:tc>
        <w:tc>
          <w:tcPr>
            <w:tcW w:w="7267" w:type="dxa"/>
            <w:shd w:val="clear" w:color="auto" w:fill="auto"/>
            <w:vAlign w:val="center"/>
          </w:tcPr>
          <w:p>
            <w:pPr>
              <w:numPr>
                <w:ilvl w:val="0"/>
                <w:numId w:val="9"/>
              </w:numPr>
              <w:spacing w:line="240" w:lineRule="exact"/>
              <w:ind w:left="0" w:firstLine="0"/>
              <w:rPr>
                <w:rFonts w:ascii="仿宋" w:hAnsi="仿宋" w:eastAsia="仿宋" w:cs="仿宋"/>
                <w:bCs/>
                <w:szCs w:val="21"/>
              </w:rPr>
            </w:pPr>
            <w:r>
              <w:rPr>
                <w:rFonts w:ascii="仿宋" w:hAnsi="仿宋" w:eastAsia="仿宋" w:cs="仿宋"/>
                <w:bCs/>
                <w:szCs w:val="21"/>
              </w:rPr>
              <w:t>严格执行《江苏省“三线一单”生态环境分区管控方案》（苏政发〔2020〕49 号）附件3江苏省省域生态环境管控要求中“环境风险防控”的相关要求。</w:t>
            </w:r>
          </w:p>
          <w:p>
            <w:pPr>
              <w:numPr>
                <w:ilvl w:val="0"/>
                <w:numId w:val="9"/>
              </w:numPr>
              <w:spacing w:line="240" w:lineRule="exact"/>
              <w:ind w:left="0" w:firstLine="0"/>
              <w:rPr>
                <w:rFonts w:ascii="仿宋" w:hAnsi="仿宋" w:eastAsia="仿宋" w:cs="仿宋"/>
                <w:bCs/>
                <w:szCs w:val="21"/>
              </w:rPr>
            </w:pPr>
            <w:r>
              <w:rPr>
                <w:rFonts w:ascii="仿宋" w:hAnsi="仿宋" w:eastAsia="仿宋" w:cs="仿宋"/>
                <w:bCs/>
                <w:szCs w:val="21"/>
              </w:rPr>
              <w:t>根据《常州市长江生态优先绿色发展三年行动计划（2019-2021年）》（常长江发[2019]3号），大幅压减沿江地区化工生产企业数量，沿江1公里单位内凡是与化工园区无产业链关联、安全和环保隐患大的企业2020年底前依法关停退出。</w:t>
            </w:r>
          </w:p>
          <w:p>
            <w:pPr>
              <w:numPr>
                <w:ilvl w:val="0"/>
                <w:numId w:val="9"/>
              </w:numPr>
              <w:spacing w:line="240" w:lineRule="exact"/>
              <w:ind w:left="0" w:firstLine="0"/>
              <w:rPr>
                <w:rFonts w:ascii="仿宋" w:hAnsi="仿宋" w:eastAsia="仿宋" w:cs="仿宋"/>
                <w:bCs/>
                <w:szCs w:val="21"/>
              </w:rPr>
            </w:pPr>
            <w:r>
              <w:rPr>
                <w:rFonts w:ascii="仿宋" w:hAnsi="仿宋" w:eastAsia="仿宋" w:cs="仿宋"/>
                <w:bCs/>
                <w:szCs w:val="21"/>
              </w:rPr>
              <w:t>强化饮用水水源环境风险管控，建成应急水源工程。</w:t>
            </w:r>
          </w:p>
          <w:p>
            <w:pPr>
              <w:numPr>
                <w:ilvl w:val="0"/>
                <w:numId w:val="9"/>
              </w:numPr>
              <w:spacing w:line="240" w:lineRule="exact"/>
              <w:ind w:left="0" w:firstLine="0"/>
              <w:rPr>
                <w:rFonts w:ascii="仿宋" w:hAnsi="仿宋" w:eastAsia="仿宋" w:cs="仿宋"/>
                <w:bCs/>
                <w:szCs w:val="21"/>
              </w:rPr>
            </w:pPr>
            <w:r>
              <w:rPr>
                <w:rFonts w:ascii="仿宋" w:hAnsi="仿宋" w:eastAsia="仿宋" w:cs="仿宋"/>
                <w:bCs/>
                <w:szCs w:val="21"/>
              </w:rPr>
              <w:t>完善废弃危险化学品等危险废物（以下简称“危险废物”）、重点环保设施和项目、涉爆粉尘企业等分级管控和隐患排查治理的责任体系、制度标准、工作机制；重点加强化学工业园区、涉及大宗危化品使用企业、贮存和运输危化品的港口码头、尾矿库、集中式污水处理厂、危废处理企业的环境风险防控；建立覆盖危险废物产生、收集、贮存、转移、运输、利用、处置等全过程的监督体系，严厉打击危险废物非法转移、处置和倾倒行为。</w:t>
            </w:r>
          </w:p>
        </w:tc>
        <w:tc>
          <w:tcPr>
            <w:tcW w:w="3274" w:type="dxa"/>
            <w:shd w:val="clear" w:color="auto" w:fill="auto"/>
            <w:vAlign w:val="center"/>
          </w:tcPr>
          <w:p>
            <w:pPr>
              <w:spacing w:line="240" w:lineRule="exact"/>
              <w:rPr>
                <w:rFonts w:ascii="仿宋" w:hAnsi="仿宋" w:eastAsia="仿宋" w:cs="仿宋"/>
                <w:bCs/>
                <w:szCs w:val="21"/>
              </w:rPr>
            </w:pPr>
            <w:r>
              <w:rPr>
                <w:rFonts w:ascii="仿宋" w:hAnsi="仿宋" w:eastAsia="仿宋" w:cs="仿宋"/>
                <w:bCs/>
                <w:szCs w:val="21"/>
              </w:rPr>
              <w:t>1、由上表可知，本项目满足《江苏省“三线一单”生态环境分区管控方案》（苏政发[2020]49号）附件3江苏省省域生态环境管控要求中“环境风险防控”的相关要求；</w:t>
            </w:r>
          </w:p>
          <w:p>
            <w:pPr>
              <w:spacing w:line="240" w:lineRule="exact"/>
              <w:rPr>
                <w:rFonts w:ascii="仿宋" w:hAnsi="仿宋" w:eastAsia="仿宋" w:cs="仿宋"/>
                <w:bCs/>
                <w:szCs w:val="21"/>
              </w:rPr>
            </w:pPr>
            <w:r>
              <w:rPr>
                <w:rFonts w:ascii="仿宋" w:hAnsi="仿宋" w:eastAsia="仿宋" w:cs="仿宋"/>
                <w:bCs/>
                <w:szCs w:val="21"/>
              </w:rPr>
              <w:t>2、本项目位于常州市</w:t>
            </w:r>
            <w:r>
              <w:rPr>
                <w:rFonts w:hint="eastAsia" w:ascii="仿宋" w:hAnsi="仿宋" w:eastAsia="仿宋" w:cs="仿宋"/>
                <w:bCs/>
                <w:szCs w:val="21"/>
              </w:rPr>
              <w:t>金坛区红山路29号</w:t>
            </w:r>
            <w:r>
              <w:rPr>
                <w:rFonts w:ascii="仿宋" w:hAnsi="仿宋" w:eastAsia="仿宋" w:cs="仿宋"/>
                <w:bCs/>
                <w:szCs w:val="21"/>
              </w:rPr>
              <w:t>，不在长江沿江1公里范围内；</w:t>
            </w:r>
          </w:p>
          <w:p>
            <w:pPr>
              <w:spacing w:line="240" w:lineRule="exact"/>
              <w:rPr>
                <w:rFonts w:ascii="仿宋" w:hAnsi="仿宋" w:eastAsia="仿宋" w:cs="仿宋"/>
                <w:bCs/>
                <w:szCs w:val="21"/>
              </w:rPr>
            </w:pPr>
            <w:r>
              <w:rPr>
                <w:rFonts w:ascii="仿宋" w:hAnsi="仿宋" w:eastAsia="仿宋" w:cs="仿宋"/>
                <w:bCs/>
                <w:szCs w:val="21"/>
              </w:rPr>
              <w:t>3、本项目产生的危险废物，暂存在厂区内的危废仓库内，产生的危险废物委托有资质单位处置。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0" w:hRule="atLeast"/>
          <w:jc w:val="center"/>
        </w:trPr>
        <w:tc>
          <w:tcPr>
            <w:tcW w:w="645" w:type="dxa"/>
            <w:shd w:val="clear" w:color="auto" w:fill="auto"/>
            <w:vAlign w:val="center"/>
          </w:tcPr>
          <w:p>
            <w:pPr>
              <w:spacing w:line="240" w:lineRule="exact"/>
              <w:rPr>
                <w:rFonts w:ascii="仿宋" w:hAnsi="仿宋" w:eastAsia="仿宋" w:cs="仿宋"/>
                <w:bCs/>
                <w:szCs w:val="21"/>
              </w:rPr>
            </w:pPr>
            <w:r>
              <w:rPr>
                <w:rFonts w:ascii="仿宋" w:hAnsi="仿宋" w:eastAsia="仿宋" w:cs="仿宋"/>
                <w:bCs/>
                <w:szCs w:val="21"/>
              </w:rPr>
              <w:t>资源利用效率要求</w:t>
            </w:r>
          </w:p>
        </w:tc>
        <w:tc>
          <w:tcPr>
            <w:tcW w:w="7267" w:type="dxa"/>
            <w:shd w:val="clear" w:color="auto" w:fill="auto"/>
            <w:vAlign w:val="center"/>
          </w:tcPr>
          <w:p>
            <w:pPr>
              <w:spacing w:line="240" w:lineRule="exact"/>
              <w:rPr>
                <w:rFonts w:ascii="仿宋" w:hAnsi="仿宋" w:eastAsia="仿宋" w:cs="仿宋"/>
                <w:bCs/>
                <w:szCs w:val="21"/>
              </w:rPr>
            </w:pPr>
            <w:r>
              <w:rPr>
                <w:rFonts w:hint="eastAsia" w:ascii="仿宋" w:hAnsi="仿宋" w:eastAsia="仿宋" w:cs="仿宋"/>
                <w:bCs/>
                <w:szCs w:val="21"/>
              </w:rPr>
              <w:t>1、</w:t>
            </w:r>
            <w:r>
              <w:rPr>
                <w:rFonts w:ascii="仿宋" w:hAnsi="仿宋" w:eastAsia="仿宋" w:cs="仿宋"/>
                <w:bCs/>
                <w:szCs w:val="21"/>
              </w:rPr>
              <w:t>根据《常州市节水型社会建设规划（修编）》（常政办发〔2017〕136 号），2020 年常州市用水总量不得超过29.01 亿立方米，万元单位地区生产总值用水量降至33.8 立方米以下，万元单位工业增加值用水量降至8 立方米以下，农田灌溉水利用系数达到0.68。</w:t>
            </w:r>
          </w:p>
          <w:p>
            <w:pPr>
              <w:spacing w:line="240" w:lineRule="exact"/>
              <w:rPr>
                <w:rFonts w:ascii="仿宋" w:hAnsi="仿宋" w:eastAsia="仿宋" w:cs="仿宋"/>
                <w:bCs/>
                <w:szCs w:val="21"/>
              </w:rPr>
            </w:pPr>
            <w:r>
              <w:rPr>
                <w:rFonts w:ascii="仿宋" w:hAnsi="仿宋" w:eastAsia="仿宋" w:cs="仿宋"/>
                <w:bCs/>
                <w:szCs w:val="21"/>
              </w:rPr>
              <w:t>2</w:t>
            </w:r>
            <w:r>
              <w:rPr>
                <w:rFonts w:hint="eastAsia" w:ascii="仿宋" w:hAnsi="仿宋" w:eastAsia="仿宋" w:cs="仿宋"/>
                <w:bCs/>
                <w:szCs w:val="21"/>
              </w:rPr>
              <w:t>、</w:t>
            </w:r>
            <w:r>
              <w:rPr>
                <w:rFonts w:ascii="仿宋" w:hAnsi="仿宋" w:eastAsia="仿宋" w:cs="仿宋"/>
                <w:bCs/>
                <w:szCs w:val="21"/>
              </w:rPr>
              <w:t>根据《常州市土地利用总体规划（2006～2020 年）调整方案》（苏国土资函〔2017〕610号），2020 年常州市耕地保有量不得低于15.41万公顷，基本农田保护面积不低于12.71万公顷，开发强度不得高于28.05%。</w:t>
            </w:r>
          </w:p>
          <w:p>
            <w:pPr>
              <w:spacing w:line="240" w:lineRule="exact"/>
              <w:rPr>
                <w:rFonts w:ascii="仿宋" w:hAnsi="仿宋" w:eastAsia="仿宋" w:cs="仿宋"/>
                <w:bCs/>
                <w:szCs w:val="21"/>
              </w:rPr>
            </w:pPr>
            <w:r>
              <w:rPr>
                <w:rFonts w:hint="eastAsia" w:ascii="仿宋" w:hAnsi="仿宋" w:eastAsia="仿宋" w:cs="仿宋"/>
                <w:bCs/>
                <w:szCs w:val="21"/>
              </w:rPr>
              <w:t>3、</w:t>
            </w:r>
            <w:r>
              <w:rPr>
                <w:rFonts w:ascii="仿宋" w:hAnsi="仿宋" w:eastAsia="仿宋" w:cs="仿宋"/>
                <w:bCs/>
                <w:szCs w:val="21"/>
              </w:rPr>
              <w:t>根据《市政府关于公布常州市高污染燃料禁燃区类别的通告》（常政发〔2017〕163 号）、《市政府关于公布溧阳市高污染燃料禁燃区控制类别的通告》（溧政发〔2018〕6 号），常州市禁燃区内禁止新建、扩建燃用高污染燃料的项目和设施，已建成的应逐步或依法限期改用天然气、电或者其他清洁能源。禁止燃用的燃料主要包括：1、“II类”（较严），具体包括：除单台出力大于等于20 蒸吨/小时锅炉以外燃用的煤炭及其制品；石油焦、油页岩、原油、重油、渣油、煤焦油。2、“III 类”（严格），具体包括：煤炭及其制品（包括原煤、散煤、煤矸石、煤泥、煤粉、水煤浆、型煤、焦炭、兰炭等）；石油焦、油页岩、原油、重油、渣油、煤焦油；非专用锅炉或未配置高效除尘设施的专用锅炉燃用的生物质成型燃料；国家规定的其它高污染燃料。</w:t>
            </w:r>
          </w:p>
        </w:tc>
        <w:tc>
          <w:tcPr>
            <w:tcW w:w="3274" w:type="dxa"/>
            <w:shd w:val="clear" w:color="auto" w:fill="auto"/>
            <w:vAlign w:val="center"/>
          </w:tcPr>
          <w:p>
            <w:pPr>
              <w:spacing w:line="240" w:lineRule="exact"/>
              <w:rPr>
                <w:rFonts w:ascii="仿宋" w:hAnsi="仿宋" w:eastAsia="仿宋" w:cs="仿宋"/>
                <w:bCs/>
                <w:szCs w:val="21"/>
              </w:rPr>
            </w:pPr>
            <w:r>
              <w:rPr>
                <w:rFonts w:ascii="仿宋" w:hAnsi="仿宋" w:eastAsia="仿宋" w:cs="仿宋"/>
                <w:bCs/>
                <w:szCs w:val="21"/>
              </w:rPr>
              <w:t>本项目选址位于工业园区，不占用耕地，能源使用天然气及电能。</w:t>
            </w:r>
          </w:p>
        </w:tc>
      </w:tr>
    </w:tbl>
    <w:p>
      <w:pPr>
        <w:autoSpaceDE w:val="0"/>
        <w:autoSpaceDN w:val="0"/>
        <w:adjustRightInd w:val="0"/>
        <w:snapToGrid w:val="0"/>
        <w:spacing w:line="480" w:lineRule="exact"/>
        <w:ind w:firstLine="584" w:firstLineChars="200"/>
        <w:rPr>
          <w:rFonts w:eastAsia="仿宋_GB2312"/>
          <w:spacing w:val="6"/>
          <w:sz w:val="28"/>
        </w:rPr>
      </w:pPr>
      <w:r>
        <w:rPr>
          <w:rFonts w:hint="eastAsia" w:eastAsia="仿宋_GB2312"/>
          <w:spacing w:val="6"/>
          <w:sz w:val="28"/>
        </w:rPr>
        <w:t>根据《常州市“三线一单”生态环境分区管控实施方案》附件3 常州市环境管控单元名录，本项目位于</w:t>
      </w:r>
      <w:r>
        <w:rPr>
          <w:rFonts w:eastAsia="仿宋_GB2312"/>
          <w:spacing w:val="6"/>
          <w:sz w:val="28"/>
        </w:rPr>
        <w:t>金城镇工业集中区</w:t>
      </w:r>
      <w:r>
        <w:rPr>
          <w:rFonts w:hint="eastAsia" w:eastAsia="仿宋_GB2312"/>
          <w:spacing w:val="6"/>
          <w:sz w:val="28"/>
        </w:rPr>
        <w:t>属于“重点管控单元”，</w:t>
      </w:r>
      <w:r>
        <w:rPr>
          <w:rFonts w:eastAsia="仿宋_GB2312"/>
          <w:b/>
          <w:spacing w:val="6"/>
          <w:sz w:val="28"/>
        </w:rPr>
        <w:t>常州市“</w:t>
      </w:r>
      <w:r>
        <w:rPr>
          <w:rFonts w:hint="eastAsia" w:eastAsia="仿宋_GB2312"/>
          <w:b/>
          <w:spacing w:val="6"/>
          <w:sz w:val="28"/>
        </w:rPr>
        <w:t>三线一单</w:t>
      </w:r>
      <w:r>
        <w:rPr>
          <w:rFonts w:eastAsia="仿宋_GB2312"/>
          <w:b/>
          <w:spacing w:val="6"/>
          <w:sz w:val="28"/>
        </w:rPr>
        <w:t>”</w:t>
      </w:r>
      <w:r>
        <w:rPr>
          <w:rFonts w:hint="eastAsia" w:eastAsia="仿宋_GB2312"/>
          <w:b/>
          <w:spacing w:val="6"/>
          <w:sz w:val="28"/>
        </w:rPr>
        <w:t>生态环境</w:t>
      </w:r>
      <w:r>
        <w:rPr>
          <w:rFonts w:eastAsia="仿宋_GB2312"/>
          <w:b/>
          <w:spacing w:val="6"/>
          <w:sz w:val="28"/>
        </w:rPr>
        <w:t>分区管控图见图</w:t>
      </w:r>
      <w:r>
        <w:rPr>
          <w:rFonts w:hint="eastAsia" w:eastAsia="仿宋_GB2312"/>
          <w:b/>
          <w:spacing w:val="6"/>
          <w:sz w:val="28"/>
        </w:rPr>
        <w:t>2.7-2</w:t>
      </w:r>
      <w:r>
        <w:rPr>
          <w:rFonts w:hint="eastAsia" w:eastAsia="仿宋_GB2312"/>
          <w:spacing w:val="6"/>
          <w:sz w:val="28"/>
        </w:rPr>
        <w:t>。</w:t>
      </w:r>
    </w:p>
    <w:p>
      <w:pPr>
        <w:tabs>
          <w:tab w:val="left" w:pos="2880"/>
        </w:tabs>
        <w:autoSpaceDE w:val="0"/>
        <w:autoSpaceDN w:val="0"/>
        <w:spacing w:line="500" w:lineRule="exact"/>
        <w:jc w:val="center"/>
        <w:rPr>
          <w:rFonts w:eastAsia="仿宋_GB2312"/>
          <w:b/>
          <w:sz w:val="24"/>
        </w:rPr>
      </w:pPr>
      <w:r>
        <w:rPr>
          <w:rFonts w:eastAsia="仿宋_GB2312"/>
          <w:b/>
          <w:sz w:val="24"/>
        </w:rPr>
        <w:t>表</w:t>
      </w:r>
      <w:r>
        <w:rPr>
          <w:rFonts w:hint="eastAsia" w:eastAsia="仿宋_GB2312"/>
          <w:b/>
          <w:sz w:val="24"/>
        </w:rPr>
        <w:t>2</w:t>
      </w:r>
      <w:r>
        <w:rPr>
          <w:rFonts w:eastAsia="仿宋_GB2312"/>
          <w:b/>
          <w:sz w:val="24"/>
        </w:rPr>
        <w:t>.</w:t>
      </w:r>
      <w:r>
        <w:rPr>
          <w:rFonts w:hint="eastAsia" w:eastAsia="仿宋_GB2312"/>
          <w:b/>
          <w:sz w:val="24"/>
        </w:rPr>
        <w:t>7</w:t>
      </w:r>
      <w:r>
        <w:rPr>
          <w:rFonts w:eastAsia="仿宋_GB2312"/>
          <w:b/>
          <w:sz w:val="24"/>
        </w:rPr>
        <w:t>-</w:t>
      </w:r>
      <w:r>
        <w:rPr>
          <w:rFonts w:hint="eastAsia" w:eastAsia="仿宋_GB2312"/>
          <w:b/>
          <w:sz w:val="24"/>
        </w:rPr>
        <w:t>1</w:t>
      </w:r>
      <w:r>
        <w:rPr>
          <w:rFonts w:eastAsia="仿宋_GB2312"/>
          <w:b/>
          <w:sz w:val="24"/>
        </w:rPr>
        <w:t>7</w:t>
      </w:r>
      <w:r>
        <w:rPr>
          <w:rFonts w:hint="eastAsia" w:eastAsia="仿宋_GB2312"/>
          <w:b/>
          <w:sz w:val="24"/>
        </w:rPr>
        <w:t xml:space="preserve"> 与“</w:t>
      </w:r>
      <w:r>
        <w:rPr>
          <w:rFonts w:eastAsia="仿宋_GB2312"/>
          <w:b/>
          <w:sz w:val="24"/>
        </w:rPr>
        <w:t>金城镇工业集中区</w:t>
      </w:r>
      <w:r>
        <w:rPr>
          <w:rFonts w:hint="eastAsia" w:eastAsia="仿宋_GB2312"/>
          <w:b/>
          <w:sz w:val="24"/>
        </w:rPr>
        <w:t>准入清单”要求</w:t>
      </w:r>
      <w:r>
        <w:rPr>
          <w:rFonts w:eastAsia="仿宋_GB2312"/>
          <w:b/>
          <w:sz w:val="24"/>
        </w:rPr>
        <w:t>相符性预判情况</w:t>
      </w:r>
    </w:p>
    <w:tbl>
      <w:tblPr>
        <w:tblStyle w:val="8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3792"/>
        <w:gridCol w:w="3012"/>
        <w:gridCol w:w="1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1242" w:type="dxa"/>
            <w:vAlign w:val="center"/>
          </w:tcPr>
          <w:p>
            <w:pPr>
              <w:spacing w:line="240" w:lineRule="exact"/>
              <w:jc w:val="center"/>
              <w:rPr>
                <w:rFonts w:ascii="仿宋" w:hAnsi="仿宋" w:eastAsia="仿宋" w:cs="仿宋"/>
                <w:bCs/>
                <w:szCs w:val="21"/>
              </w:rPr>
            </w:pPr>
            <w:r>
              <w:rPr>
                <w:rFonts w:ascii="仿宋" w:hAnsi="仿宋" w:eastAsia="仿宋" w:cs="仿宋"/>
                <w:bCs/>
                <w:szCs w:val="21"/>
              </w:rPr>
              <w:t>管控类别</w:t>
            </w:r>
          </w:p>
        </w:tc>
        <w:tc>
          <w:tcPr>
            <w:tcW w:w="3792" w:type="dxa"/>
            <w:vAlign w:val="center"/>
          </w:tcPr>
          <w:p>
            <w:pPr>
              <w:spacing w:line="240" w:lineRule="exact"/>
              <w:jc w:val="center"/>
              <w:rPr>
                <w:rFonts w:ascii="仿宋" w:hAnsi="仿宋" w:eastAsia="仿宋" w:cs="仿宋"/>
                <w:bCs/>
                <w:szCs w:val="21"/>
              </w:rPr>
            </w:pPr>
            <w:r>
              <w:rPr>
                <w:rFonts w:ascii="仿宋" w:hAnsi="仿宋" w:eastAsia="仿宋" w:cs="仿宋"/>
                <w:bCs/>
                <w:szCs w:val="21"/>
              </w:rPr>
              <w:t>重点管控要求</w:t>
            </w:r>
          </w:p>
        </w:tc>
        <w:tc>
          <w:tcPr>
            <w:tcW w:w="3012" w:type="dxa"/>
            <w:vAlign w:val="center"/>
          </w:tcPr>
          <w:p>
            <w:pPr>
              <w:spacing w:line="240" w:lineRule="exact"/>
              <w:jc w:val="center"/>
              <w:rPr>
                <w:rFonts w:ascii="仿宋" w:hAnsi="仿宋" w:eastAsia="仿宋" w:cs="仿宋"/>
                <w:bCs/>
                <w:szCs w:val="21"/>
              </w:rPr>
            </w:pPr>
            <w:r>
              <w:rPr>
                <w:rFonts w:ascii="仿宋" w:hAnsi="仿宋" w:eastAsia="仿宋" w:cs="仿宋"/>
                <w:bCs/>
                <w:szCs w:val="21"/>
              </w:rPr>
              <w:t>对照分析</w:t>
            </w:r>
          </w:p>
        </w:tc>
        <w:tc>
          <w:tcPr>
            <w:tcW w:w="1196" w:type="dxa"/>
            <w:vAlign w:val="center"/>
          </w:tcPr>
          <w:p>
            <w:pPr>
              <w:spacing w:line="240" w:lineRule="exact"/>
              <w:jc w:val="center"/>
              <w:rPr>
                <w:rFonts w:ascii="仿宋" w:hAnsi="仿宋" w:eastAsia="仿宋" w:cs="仿宋"/>
                <w:bCs/>
                <w:szCs w:val="21"/>
              </w:rPr>
            </w:pPr>
            <w:r>
              <w:rPr>
                <w:rFonts w:ascii="仿宋" w:hAnsi="仿宋" w:eastAsia="仿宋" w:cs="仿宋"/>
                <w:bCs/>
                <w:szCs w:val="21"/>
              </w:rPr>
              <w:t>本项目是否满足要求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pPr>
              <w:spacing w:line="240" w:lineRule="exact"/>
              <w:jc w:val="center"/>
              <w:rPr>
                <w:rFonts w:ascii="仿宋" w:hAnsi="仿宋" w:eastAsia="仿宋" w:cs="仿宋"/>
                <w:bCs/>
                <w:szCs w:val="21"/>
              </w:rPr>
            </w:pPr>
            <w:r>
              <w:rPr>
                <w:rFonts w:ascii="仿宋" w:hAnsi="仿宋" w:eastAsia="仿宋" w:cs="仿宋"/>
                <w:bCs/>
                <w:szCs w:val="21"/>
              </w:rPr>
              <w:t>空间布局约束</w:t>
            </w:r>
          </w:p>
        </w:tc>
        <w:tc>
          <w:tcPr>
            <w:tcW w:w="3792" w:type="dxa"/>
            <w:vAlign w:val="center"/>
          </w:tcPr>
          <w:p>
            <w:pPr>
              <w:spacing w:line="240" w:lineRule="exact"/>
              <w:rPr>
                <w:rFonts w:ascii="仿宋" w:hAnsi="仿宋" w:eastAsia="仿宋" w:cs="仿宋"/>
                <w:bCs/>
                <w:szCs w:val="21"/>
              </w:rPr>
            </w:pPr>
            <w:r>
              <w:rPr>
                <w:rFonts w:ascii="仿宋" w:hAnsi="仿宋" w:eastAsia="仿宋" w:cs="仿宋"/>
                <w:bCs/>
                <w:szCs w:val="21"/>
              </w:rPr>
              <w:t>（1）禁止引入国际上和国家各部门禁止或准备禁止生产的项目、明令淘汰项目。</w:t>
            </w:r>
          </w:p>
          <w:p>
            <w:pPr>
              <w:spacing w:line="240" w:lineRule="exact"/>
              <w:rPr>
                <w:rFonts w:ascii="仿宋" w:hAnsi="仿宋" w:eastAsia="仿宋" w:cs="仿宋"/>
                <w:bCs/>
                <w:szCs w:val="21"/>
              </w:rPr>
            </w:pPr>
            <w:r>
              <w:rPr>
                <w:rFonts w:ascii="仿宋" w:hAnsi="仿宋" w:eastAsia="仿宋" w:cs="仿宋"/>
                <w:bCs/>
                <w:szCs w:val="21"/>
              </w:rPr>
              <w:t>（2）禁止引入生产方式落后、高能耗、严重浪费资源和污染环境的项目。</w:t>
            </w:r>
          </w:p>
          <w:p>
            <w:pPr>
              <w:spacing w:line="240" w:lineRule="exact"/>
              <w:rPr>
                <w:rFonts w:ascii="仿宋" w:hAnsi="仿宋" w:eastAsia="仿宋" w:cs="仿宋"/>
                <w:bCs/>
                <w:szCs w:val="21"/>
              </w:rPr>
            </w:pPr>
            <w:r>
              <w:rPr>
                <w:rFonts w:ascii="仿宋" w:hAnsi="仿宋" w:eastAsia="仿宋" w:cs="仿宋"/>
                <w:bCs/>
                <w:szCs w:val="21"/>
              </w:rPr>
              <w:t>（3）禁止引入污染严重，破坏自然生态和损害人体健康又无治理技术或难以治理的项目，如剧毒、放射性物质的生产、储运项目、有持久性污染和重金属等产生的项目等。</w:t>
            </w:r>
          </w:p>
          <w:p>
            <w:pPr>
              <w:spacing w:line="240" w:lineRule="exact"/>
              <w:rPr>
                <w:rFonts w:ascii="仿宋" w:hAnsi="仿宋" w:eastAsia="仿宋" w:cs="仿宋"/>
                <w:bCs/>
                <w:szCs w:val="21"/>
              </w:rPr>
            </w:pPr>
            <w:r>
              <w:rPr>
                <w:rFonts w:ascii="仿宋" w:hAnsi="仿宋" w:eastAsia="仿宋" w:cs="仿宋"/>
                <w:bCs/>
                <w:szCs w:val="21"/>
              </w:rPr>
              <w:t>（4）禁止引入不符合经济规模要求，经济效益差，污染严重的小钢铁、小有色金属、小铁合金、小化工、小炼油、小建材、小造纸、小制革、小电镀等“十五小”企业及“新五小”企业，已在区内建设的应坚决予以拆除。</w:t>
            </w:r>
          </w:p>
        </w:tc>
        <w:tc>
          <w:tcPr>
            <w:tcW w:w="3012" w:type="dxa"/>
            <w:vAlign w:val="center"/>
          </w:tcPr>
          <w:p>
            <w:pPr>
              <w:spacing w:line="240" w:lineRule="exact"/>
              <w:rPr>
                <w:rFonts w:ascii="仿宋" w:hAnsi="仿宋" w:eastAsia="仿宋" w:cs="仿宋"/>
                <w:bCs/>
                <w:szCs w:val="21"/>
              </w:rPr>
            </w:pPr>
            <w:r>
              <w:rPr>
                <w:rFonts w:ascii="仿宋" w:hAnsi="仿宋" w:eastAsia="仿宋" w:cs="仿宋"/>
                <w:bCs/>
                <w:szCs w:val="21"/>
              </w:rPr>
              <w:t>本项目国民经济行业类别属于“C2921</w:t>
            </w:r>
            <w:r>
              <w:rPr>
                <w:rFonts w:hint="eastAsia" w:ascii="仿宋" w:hAnsi="仿宋" w:eastAsia="仿宋" w:cs="仿宋"/>
                <w:bCs/>
                <w:szCs w:val="21"/>
              </w:rPr>
              <w:t>塑料</w:t>
            </w:r>
            <w:r>
              <w:rPr>
                <w:rFonts w:ascii="仿宋" w:hAnsi="仿宋" w:eastAsia="仿宋" w:cs="仿宋"/>
                <w:bCs/>
                <w:szCs w:val="21"/>
              </w:rPr>
              <w:t>薄膜制造”，不属于以上禁止类别，符合空间布局约束要求。</w:t>
            </w:r>
          </w:p>
        </w:tc>
        <w:tc>
          <w:tcPr>
            <w:tcW w:w="1196" w:type="dxa"/>
            <w:vAlign w:val="center"/>
          </w:tcPr>
          <w:p>
            <w:pPr>
              <w:spacing w:line="240" w:lineRule="exact"/>
              <w:jc w:val="center"/>
              <w:rPr>
                <w:rFonts w:ascii="仿宋" w:hAnsi="仿宋" w:eastAsia="仿宋" w:cs="仿宋"/>
                <w:bCs/>
                <w:szCs w:val="21"/>
              </w:rPr>
            </w:pPr>
            <w:r>
              <w:rPr>
                <w:rFonts w:ascii="仿宋" w:hAnsi="仿宋" w:eastAsia="仿宋" w:cs="仿宋"/>
                <w:bCs/>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pPr>
              <w:spacing w:line="240" w:lineRule="exact"/>
              <w:jc w:val="center"/>
              <w:rPr>
                <w:rFonts w:ascii="仿宋" w:hAnsi="仿宋" w:eastAsia="仿宋" w:cs="仿宋"/>
                <w:bCs/>
                <w:szCs w:val="21"/>
              </w:rPr>
            </w:pPr>
            <w:r>
              <w:rPr>
                <w:rFonts w:ascii="仿宋" w:hAnsi="仿宋" w:eastAsia="仿宋" w:cs="仿宋"/>
                <w:bCs/>
                <w:szCs w:val="21"/>
              </w:rPr>
              <w:t>污染物排放管控</w:t>
            </w:r>
          </w:p>
        </w:tc>
        <w:tc>
          <w:tcPr>
            <w:tcW w:w="3792" w:type="dxa"/>
            <w:vAlign w:val="center"/>
          </w:tcPr>
          <w:p>
            <w:pPr>
              <w:spacing w:line="240" w:lineRule="exact"/>
              <w:rPr>
                <w:rFonts w:ascii="仿宋" w:hAnsi="仿宋" w:eastAsia="仿宋" w:cs="仿宋"/>
                <w:bCs/>
                <w:szCs w:val="21"/>
              </w:rPr>
            </w:pPr>
            <w:r>
              <w:rPr>
                <w:rFonts w:ascii="仿宋" w:hAnsi="仿宋" w:eastAsia="仿宋" w:cs="仿宋"/>
                <w:bCs/>
                <w:szCs w:val="21"/>
              </w:rPr>
              <w:t>（1）严格实施污染物总量控制制度，根据区域环境质量改善目标，采取有效措施减少主要污染物排放总量，确保区域环境质量持续改善。</w:t>
            </w:r>
          </w:p>
          <w:p>
            <w:pPr>
              <w:spacing w:line="240" w:lineRule="exact"/>
              <w:rPr>
                <w:rFonts w:ascii="仿宋" w:hAnsi="仿宋" w:eastAsia="仿宋" w:cs="仿宋"/>
                <w:bCs/>
                <w:szCs w:val="21"/>
              </w:rPr>
            </w:pPr>
            <w:r>
              <w:rPr>
                <w:rFonts w:ascii="仿宋" w:hAnsi="仿宋" w:eastAsia="仿宋" w:cs="仿宋"/>
                <w:bCs/>
                <w:szCs w:val="21"/>
              </w:rPr>
              <w:t>（2）园区污染物排放总量不得突破环评报告及批复的总量。</w:t>
            </w:r>
          </w:p>
        </w:tc>
        <w:tc>
          <w:tcPr>
            <w:tcW w:w="3012" w:type="dxa"/>
            <w:vAlign w:val="center"/>
          </w:tcPr>
          <w:p>
            <w:pPr>
              <w:spacing w:line="240" w:lineRule="exact"/>
              <w:rPr>
                <w:rFonts w:ascii="仿宋" w:hAnsi="仿宋" w:eastAsia="仿宋" w:cs="仿宋"/>
                <w:bCs/>
                <w:szCs w:val="21"/>
              </w:rPr>
            </w:pPr>
            <w:r>
              <w:rPr>
                <w:rFonts w:ascii="仿宋" w:hAnsi="仿宋" w:eastAsia="仿宋" w:cs="仿宋"/>
                <w:bCs/>
                <w:szCs w:val="21"/>
              </w:rPr>
              <w:t>本项目产生的废气采取相应的污染防治措施进行处理后达标排放，厂区废水达标接管入金坛区第二污水处理厂。目前，本项目处于环评编制阶段，在环评审批前将严格落实主要污染物排放总量指标控制制度，取得主要污染物排放总量的控制指标和平衡方案，故符合文件要求。</w:t>
            </w:r>
          </w:p>
        </w:tc>
        <w:tc>
          <w:tcPr>
            <w:tcW w:w="1196" w:type="dxa"/>
            <w:vAlign w:val="center"/>
          </w:tcPr>
          <w:p>
            <w:pPr>
              <w:spacing w:line="240" w:lineRule="exact"/>
              <w:jc w:val="center"/>
              <w:rPr>
                <w:rFonts w:ascii="仿宋" w:hAnsi="仿宋" w:eastAsia="仿宋" w:cs="仿宋"/>
                <w:bCs/>
                <w:szCs w:val="21"/>
              </w:rPr>
            </w:pPr>
            <w:r>
              <w:rPr>
                <w:rFonts w:ascii="仿宋" w:hAnsi="仿宋" w:eastAsia="仿宋" w:cs="仿宋"/>
                <w:bCs/>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pPr>
              <w:spacing w:line="240" w:lineRule="exact"/>
              <w:jc w:val="center"/>
              <w:rPr>
                <w:rFonts w:ascii="仿宋" w:hAnsi="仿宋" w:eastAsia="仿宋" w:cs="仿宋"/>
                <w:bCs/>
                <w:szCs w:val="21"/>
              </w:rPr>
            </w:pPr>
            <w:r>
              <w:rPr>
                <w:rFonts w:ascii="仿宋" w:hAnsi="仿宋" w:eastAsia="仿宋" w:cs="仿宋"/>
                <w:bCs/>
                <w:szCs w:val="21"/>
              </w:rPr>
              <w:t>环境风险防控</w:t>
            </w:r>
          </w:p>
        </w:tc>
        <w:tc>
          <w:tcPr>
            <w:tcW w:w="3792" w:type="dxa"/>
            <w:vAlign w:val="center"/>
          </w:tcPr>
          <w:p>
            <w:pPr>
              <w:spacing w:line="240" w:lineRule="exact"/>
              <w:rPr>
                <w:rFonts w:ascii="仿宋" w:hAnsi="仿宋" w:eastAsia="仿宋" w:cs="仿宋"/>
                <w:bCs/>
                <w:szCs w:val="21"/>
              </w:rPr>
            </w:pPr>
            <w:r>
              <w:rPr>
                <w:rFonts w:ascii="仿宋" w:hAnsi="仿宋" w:eastAsia="仿宋" w:cs="仿宋"/>
                <w:bCs/>
                <w:szCs w:val="21"/>
              </w:rPr>
              <w:t>（1）园区建立环境应急体系，完善事故应急救援体系，加强应急物资装备储备，编制突发环境事件应急预案，定期开展演练。</w:t>
            </w:r>
          </w:p>
          <w:p>
            <w:pPr>
              <w:spacing w:line="240" w:lineRule="exact"/>
              <w:rPr>
                <w:rFonts w:ascii="仿宋" w:hAnsi="仿宋" w:eastAsia="仿宋" w:cs="仿宋"/>
                <w:bCs/>
                <w:szCs w:val="21"/>
              </w:rPr>
            </w:pPr>
            <w:r>
              <w:rPr>
                <w:rFonts w:ascii="仿宋" w:hAnsi="仿宋" w:eastAsia="仿宋" w:cs="仿宋"/>
                <w:bCs/>
                <w:szCs w:val="21"/>
              </w:rPr>
              <w:t>（2）生产、使用、储存危险化学品或其他存在环境风险的企事业单位，应当制定风险防范措施，编制完善突发环境事件应急预案，防止发生环境污染事故。</w:t>
            </w:r>
          </w:p>
          <w:p>
            <w:pPr>
              <w:spacing w:line="240" w:lineRule="exact"/>
              <w:rPr>
                <w:rFonts w:ascii="仿宋" w:hAnsi="仿宋" w:eastAsia="仿宋" w:cs="仿宋"/>
                <w:bCs/>
                <w:szCs w:val="21"/>
              </w:rPr>
            </w:pPr>
            <w:r>
              <w:rPr>
                <w:rFonts w:ascii="仿宋" w:hAnsi="仿宋" w:eastAsia="仿宋" w:cs="仿宋"/>
                <w:bCs/>
                <w:szCs w:val="21"/>
              </w:rPr>
              <w:t>（3）加强环境影响跟踪监测，建立健全各环境要素监控体系，完善并落实园区日常环境监测与污染源监控计划。</w:t>
            </w:r>
          </w:p>
        </w:tc>
        <w:tc>
          <w:tcPr>
            <w:tcW w:w="3012" w:type="dxa"/>
            <w:vAlign w:val="center"/>
          </w:tcPr>
          <w:p>
            <w:pPr>
              <w:spacing w:line="240" w:lineRule="exact"/>
              <w:rPr>
                <w:rFonts w:ascii="仿宋" w:hAnsi="仿宋" w:eastAsia="仿宋" w:cs="仿宋"/>
                <w:bCs/>
                <w:szCs w:val="21"/>
              </w:rPr>
            </w:pPr>
            <w:r>
              <w:rPr>
                <w:rFonts w:ascii="仿宋" w:hAnsi="仿宋" w:eastAsia="仿宋" w:cs="仿宋"/>
                <w:bCs/>
                <w:szCs w:val="21"/>
              </w:rPr>
              <w:t>本项目在生产过程中建立事故应急救援体系，加强应急物资装备储备，编制突发环境事件应急预案，定期开展演练。本项目建成后将落实污染物自行监测计划，加强环境影响监测。</w:t>
            </w:r>
          </w:p>
        </w:tc>
        <w:tc>
          <w:tcPr>
            <w:tcW w:w="1196" w:type="dxa"/>
            <w:vAlign w:val="center"/>
          </w:tcPr>
          <w:p>
            <w:pPr>
              <w:spacing w:after="120" w:line="240" w:lineRule="exact"/>
              <w:jc w:val="center"/>
              <w:rPr>
                <w:rFonts w:ascii="仿宋" w:hAnsi="仿宋" w:eastAsia="仿宋" w:cs="仿宋"/>
                <w:bCs/>
                <w:szCs w:val="21"/>
              </w:rPr>
            </w:pPr>
            <w:r>
              <w:rPr>
                <w:rFonts w:ascii="仿宋" w:hAnsi="仿宋" w:eastAsia="仿宋" w:cs="仿宋"/>
                <w:bCs/>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pPr>
              <w:spacing w:line="240" w:lineRule="exact"/>
              <w:jc w:val="center"/>
              <w:rPr>
                <w:rFonts w:ascii="仿宋" w:hAnsi="仿宋" w:eastAsia="仿宋" w:cs="仿宋"/>
                <w:bCs/>
                <w:szCs w:val="21"/>
              </w:rPr>
            </w:pPr>
            <w:r>
              <w:rPr>
                <w:rFonts w:ascii="仿宋" w:hAnsi="仿宋" w:eastAsia="仿宋" w:cs="仿宋"/>
                <w:bCs/>
                <w:szCs w:val="21"/>
              </w:rPr>
              <w:t>资源开发效率要求</w:t>
            </w:r>
          </w:p>
        </w:tc>
        <w:tc>
          <w:tcPr>
            <w:tcW w:w="3792" w:type="dxa"/>
            <w:vAlign w:val="center"/>
          </w:tcPr>
          <w:p>
            <w:pPr>
              <w:spacing w:line="240" w:lineRule="exact"/>
              <w:rPr>
                <w:rFonts w:ascii="仿宋" w:hAnsi="仿宋" w:eastAsia="仿宋" w:cs="仿宋"/>
                <w:bCs/>
                <w:szCs w:val="21"/>
              </w:rPr>
            </w:pPr>
            <w:r>
              <w:rPr>
                <w:rFonts w:ascii="仿宋" w:hAnsi="仿宋" w:eastAsia="仿宋" w:cs="仿宋"/>
                <w:bCs/>
                <w:szCs w:val="21"/>
              </w:rPr>
              <w:t>（1）大力倡导使用清洁能源。</w:t>
            </w:r>
          </w:p>
          <w:p>
            <w:pPr>
              <w:spacing w:line="240" w:lineRule="exact"/>
              <w:rPr>
                <w:rFonts w:ascii="仿宋" w:hAnsi="仿宋" w:eastAsia="仿宋" w:cs="仿宋"/>
                <w:bCs/>
                <w:szCs w:val="21"/>
              </w:rPr>
            </w:pPr>
            <w:r>
              <w:rPr>
                <w:rFonts w:ascii="仿宋" w:hAnsi="仿宋" w:eastAsia="仿宋" w:cs="仿宋"/>
                <w:bCs/>
                <w:szCs w:val="21"/>
              </w:rPr>
              <w:t>（2）提升废水资源化技术，提高水资源回用率。</w:t>
            </w:r>
          </w:p>
          <w:p>
            <w:pPr>
              <w:spacing w:line="240" w:lineRule="exact"/>
              <w:rPr>
                <w:rFonts w:ascii="仿宋" w:hAnsi="仿宋" w:eastAsia="仿宋" w:cs="仿宋"/>
                <w:bCs/>
                <w:szCs w:val="21"/>
              </w:rPr>
            </w:pPr>
            <w:r>
              <w:rPr>
                <w:rFonts w:ascii="仿宋" w:hAnsi="仿宋" w:eastAsia="仿宋" w:cs="仿宋"/>
                <w:bCs/>
                <w:szCs w:val="21"/>
              </w:rPr>
              <w:t>（3）禁止销售使用燃料为“II类”（较严），具体包括：1、除单台出力大于等于20蒸吨/小时锅炉以外燃用的煤炭及其制品。2、石油焦、油页岩、原油、重油、渣油、煤焦油。</w:t>
            </w:r>
          </w:p>
          <w:p>
            <w:pPr>
              <w:spacing w:line="240" w:lineRule="exact"/>
              <w:rPr>
                <w:rFonts w:ascii="仿宋" w:hAnsi="仿宋" w:eastAsia="仿宋" w:cs="仿宋"/>
                <w:bCs/>
                <w:szCs w:val="21"/>
              </w:rPr>
            </w:pPr>
            <w:r>
              <w:rPr>
                <w:rFonts w:ascii="仿宋" w:hAnsi="仿宋" w:eastAsia="仿宋" w:cs="仿宋"/>
                <w:bCs/>
                <w:szCs w:val="21"/>
              </w:rPr>
              <w:t>（4）禁止销售使用燃料为“III类”（严格），具体包括：1、煤炭及其制品（包括原煤、散煤、煤矸石、煤泥、煤粉、水煤浆、型煤、</w:t>
            </w:r>
          </w:p>
          <w:p>
            <w:pPr>
              <w:spacing w:line="240" w:lineRule="exact"/>
              <w:rPr>
                <w:rFonts w:ascii="仿宋" w:hAnsi="仿宋" w:eastAsia="仿宋" w:cs="仿宋"/>
                <w:bCs/>
                <w:szCs w:val="21"/>
              </w:rPr>
            </w:pPr>
            <w:r>
              <w:rPr>
                <w:rFonts w:ascii="仿宋" w:hAnsi="仿宋" w:eastAsia="仿宋" w:cs="仿宋"/>
                <w:bCs/>
                <w:szCs w:val="21"/>
              </w:rPr>
              <w:t>焦炭、兰炭等）；2、石油焦、油页岩、原油、重油、渣油、煤焦油；3、非专用锅炉或未配置高效除尘设施的专用锅炉燃用的生物质成型燃料；4、国家规定的其它高污染燃料。</w:t>
            </w:r>
          </w:p>
        </w:tc>
        <w:tc>
          <w:tcPr>
            <w:tcW w:w="3012" w:type="dxa"/>
            <w:vAlign w:val="center"/>
          </w:tcPr>
          <w:p>
            <w:pPr>
              <w:spacing w:line="240" w:lineRule="exact"/>
              <w:rPr>
                <w:rFonts w:ascii="仿宋" w:hAnsi="仿宋" w:eastAsia="仿宋" w:cs="仿宋"/>
                <w:bCs/>
                <w:szCs w:val="21"/>
              </w:rPr>
            </w:pPr>
            <w:r>
              <w:rPr>
                <w:rFonts w:ascii="仿宋" w:hAnsi="仿宋" w:eastAsia="仿宋" w:cs="仿宋"/>
                <w:bCs/>
                <w:szCs w:val="21"/>
              </w:rPr>
              <w:t>本项目使用电</w:t>
            </w:r>
            <w:r>
              <w:rPr>
                <w:rFonts w:hint="eastAsia" w:ascii="仿宋" w:hAnsi="仿宋" w:eastAsia="仿宋" w:cs="仿宋"/>
                <w:bCs/>
                <w:szCs w:val="21"/>
              </w:rPr>
              <w:t>及</w:t>
            </w:r>
            <w:r>
              <w:rPr>
                <w:rFonts w:ascii="仿宋" w:hAnsi="仿宋" w:eastAsia="仿宋" w:cs="仿宋"/>
                <w:bCs/>
                <w:szCs w:val="21"/>
              </w:rPr>
              <w:t>天然气作为能源，厂区废水达标接管入金坛区第二污水处理厂，无燃煤设施。</w:t>
            </w:r>
          </w:p>
        </w:tc>
        <w:tc>
          <w:tcPr>
            <w:tcW w:w="1196" w:type="dxa"/>
            <w:vAlign w:val="center"/>
          </w:tcPr>
          <w:p>
            <w:pPr>
              <w:spacing w:line="240" w:lineRule="exact"/>
              <w:jc w:val="center"/>
              <w:rPr>
                <w:rFonts w:ascii="仿宋" w:hAnsi="仿宋" w:eastAsia="仿宋" w:cs="仿宋"/>
                <w:bCs/>
                <w:szCs w:val="21"/>
              </w:rPr>
            </w:pPr>
            <w:r>
              <w:rPr>
                <w:rFonts w:ascii="仿宋" w:hAnsi="仿宋" w:eastAsia="仿宋" w:cs="仿宋"/>
                <w:bCs/>
                <w:szCs w:val="21"/>
              </w:rPr>
              <w:t>是</w:t>
            </w:r>
          </w:p>
        </w:tc>
      </w:tr>
    </w:tbl>
    <w:p>
      <w:pPr>
        <w:autoSpaceDE w:val="0"/>
        <w:autoSpaceDN w:val="0"/>
        <w:spacing w:line="500" w:lineRule="exact"/>
        <w:ind w:firstLine="560" w:firstLineChars="200"/>
        <w:rPr>
          <w:rFonts w:eastAsia="仿宋_GB2312"/>
          <w:sz w:val="28"/>
          <w:szCs w:val="28"/>
        </w:rPr>
      </w:pPr>
      <w:r>
        <w:rPr>
          <w:rFonts w:eastAsia="仿宋_GB2312"/>
          <w:sz w:val="28"/>
          <w:szCs w:val="28"/>
        </w:rPr>
        <w:t>根据对照分析表可知，本项目符合</w:t>
      </w:r>
      <w:r>
        <w:rPr>
          <w:rFonts w:eastAsia="仿宋_GB2312"/>
          <w:spacing w:val="6"/>
          <w:sz w:val="28"/>
        </w:rPr>
        <w:t>金城镇工业集中区</w:t>
      </w:r>
      <w:r>
        <w:rPr>
          <w:rFonts w:hint="eastAsia" w:eastAsia="仿宋_GB2312"/>
          <w:sz w:val="28"/>
          <w:szCs w:val="28"/>
        </w:rPr>
        <w:t>准入清单</w:t>
      </w:r>
      <w:r>
        <w:rPr>
          <w:rFonts w:eastAsia="仿宋_GB2312"/>
          <w:sz w:val="28"/>
          <w:szCs w:val="28"/>
        </w:rPr>
        <w:t>相关要求。</w:t>
      </w:r>
    </w:p>
    <w:p>
      <w:pPr>
        <w:pStyle w:val="5"/>
        <w:keepLines w:val="0"/>
        <w:widowControl/>
        <w:numPr>
          <w:ilvl w:val="3"/>
          <w:numId w:val="1"/>
        </w:numPr>
        <w:tabs>
          <w:tab w:val="left" w:pos="993"/>
        </w:tabs>
        <w:adjustRightInd w:val="0"/>
        <w:snapToGrid w:val="0"/>
        <w:spacing w:after="120" w:afterLines="50"/>
        <w:ind w:left="0" w:firstLine="0"/>
        <w:jc w:val="left"/>
        <w:rPr>
          <w:rFonts w:ascii="Times New Roman" w:hAnsi="Times New Roman"/>
          <w:b/>
        </w:rPr>
      </w:pPr>
      <w:r>
        <w:rPr>
          <w:rFonts w:hint="eastAsia" w:ascii="Times New Roman" w:hAnsi="Times New Roman"/>
          <w:b/>
        </w:rPr>
        <w:t>与规划</w:t>
      </w:r>
      <w:r>
        <w:rPr>
          <w:rFonts w:ascii="Times New Roman" w:hAnsi="Times New Roman"/>
          <w:b/>
        </w:rPr>
        <w:t>的相容性</w:t>
      </w:r>
    </w:p>
    <w:p>
      <w:pPr>
        <w:autoSpaceDE w:val="0"/>
        <w:autoSpaceDN w:val="0"/>
        <w:spacing w:line="500" w:lineRule="exact"/>
        <w:ind w:firstLine="560" w:firstLineChars="200"/>
        <w:rPr>
          <w:rFonts w:eastAsia="仿宋_GB2312"/>
          <w:sz w:val="28"/>
          <w:szCs w:val="28"/>
        </w:rPr>
      </w:pPr>
      <w:r>
        <w:rPr>
          <w:rFonts w:hint="eastAsia" w:eastAsia="仿宋_GB2312"/>
          <w:sz w:val="28"/>
          <w:szCs w:val="28"/>
        </w:rPr>
        <w:t>根据2</w:t>
      </w:r>
      <w:r>
        <w:rPr>
          <w:rFonts w:eastAsia="仿宋_GB2312"/>
          <w:sz w:val="28"/>
          <w:szCs w:val="28"/>
        </w:rPr>
        <w:t>.6.3</w:t>
      </w:r>
      <w:r>
        <w:rPr>
          <w:rFonts w:hint="eastAsia" w:eastAsia="仿宋_GB2312"/>
          <w:sz w:val="28"/>
          <w:szCs w:val="28"/>
        </w:rPr>
        <w:t>章节内容，</w:t>
      </w:r>
      <w:r>
        <w:rPr>
          <w:rFonts w:eastAsia="仿宋_GB2312"/>
          <w:sz w:val="28"/>
          <w:szCs w:val="28"/>
        </w:rPr>
        <w:t>本项目行业类别属于“C292</w:t>
      </w:r>
      <w:r>
        <w:rPr>
          <w:rFonts w:hint="eastAsia" w:eastAsia="仿宋_GB2312"/>
          <w:sz w:val="28"/>
          <w:szCs w:val="28"/>
        </w:rPr>
        <w:t>1塑料薄膜制造</w:t>
      </w:r>
      <w:r>
        <w:rPr>
          <w:rFonts w:eastAsia="仿宋_GB2312"/>
          <w:sz w:val="28"/>
          <w:szCs w:val="28"/>
        </w:rPr>
        <w:t>”，属于金城镇工业园区（北区）规划产业中的先进装备制造业；本项目位于金城镇工业园区（北区）规划范围内，所在地为工业用地，符合园区产业定位及用地要求。</w:t>
      </w:r>
    </w:p>
    <w:p>
      <w:pPr>
        <w:pStyle w:val="5"/>
        <w:keepLines w:val="0"/>
        <w:widowControl/>
        <w:numPr>
          <w:ilvl w:val="3"/>
          <w:numId w:val="1"/>
        </w:numPr>
        <w:tabs>
          <w:tab w:val="left" w:pos="993"/>
        </w:tabs>
        <w:adjustRightInd w:val="0"/>
        <w:snapToGrid w:val="0"/>
        <w:spacing w:after="120" w:afterLines="50"/>
        <w:ind w:left="0" w:firstLine="0"/>
        <w:jc w:val="left"/>
        <w:rPr>
          <w:rFonts w:ascii="Times New Roman" w:hAnsi="Times New Roman"/>
          <w:b/>
        </w:rPr>
      </w:pPr>
      <w:r>
        <w:rPr>
          <w:rFonts w:ascii="Times New Roman" w:hAnsi="Times New Roman"/>
          <w:b/>
        </w:rPr>
        <w:t>与区域环保设施的相容性分析</w:t>
      </w:r>
    </w:p>
    <w:p>
      <w:pPr>
        <w:autoSpaceDE w:val="0"/>
        <w:autoSpaceDN w:val="0"/>
        <w:spacing w:line="500" w:lineRule="exact"/>
        <w:ind w:firstLine="560" w:firstLineChars="200"/>
        <w:rPr>
          <w:rFonts w:eastAsia="仿宋_GB2312"/>
          <w:sz w:val="28"/>
          <w:szCs w:val="28"/>
        </w:rPr>
      </w:pPr>
      <w:r>
        <w:rPr>
          <w:rFonts w:eastAsia="仿宋_GB2312"/>
          <w:sz w:val="28"/>
          <w:szCs w:val="28"/>
        </w:rPr>
        <w:t>园区生活用水和工业用水由常州市自来水公司统一供给，可以满足本项目供水需求。</w:t>
      </w:r>
    </w:p>
    <w:p>
      <w:pPr>
        <w:autoSpaceDE w:val="0"/>
        <w:autoSpaceDN w:val="0"/>
        <w:spacing w:line="500" w:lineRule="exact"/>
        <w:ind w:firstLine="560" w:firstLineChars="200"/>
        <w:rPr>
          <w:rFonts w:eastAsia="仿宋_GB2312"/>
          <w:sz w:val="28"/>
          <w:szCs w:val="28"/>
        </w:rPr>
      </w:pPr>
      <w:r>
        <w:rPr>
          <w:rFonts w:eastAsia="仿宋_GB2312"/>
          <w:sz w:val="28"/>
          <w:szCs w:val="28"/>
        </w:rPr>
        <w:t>本项目实施雨污分流制，雨水依托原有雨水排口，接入市政雨水管网汇集流入天然水体。污水通过厂区污水管网接入市政污水管网，最终排入金坛区第二污水处理厂集中处理，达标后尾水排入尧塘河，污水接管标准执行金坛区第二污水处理厂接管标准；金坛区第二污水处理厂尾水排放标准执行《太湖地区城镇污水处理厂及重点工业行业主要水污染物排放限值》（DB32/1072-2018）中表2标准及《城镇污水处理厂污染物排放标准》（GB18918-2002）中表1一级A标准。污水管网已铺设到位。</w:t>
      </w:r>
    </w:p>
    <w:p>
      <w:pPr>
        <w:autoSpaceDE w:val="0"/>
        <w:autoSpaceDN w:val="0"/>
        <w:spacing w:line="500" w:lineRule="exact"/>
        <w:ind w:firstLine="560" w:firstLineChars="200"/>
        <w:rPr>
          <w:rFonts w:eastAsia="仿宋_GB2312"/>
          <w:sz w:val="28"/>
          <w:szCs w:val="28"/>
        </w:rPr>
      </w:pPr>
      <w:bookmarkStart w:id="196" w:name="_Hlk133487002"/>
      <w:r>
        <w:rPr>
          <w:rFonts w:eastAsia="仿宋_GB2312"/>
          <w:sz w:val="28"/>
          <w:szCs w:val="28"/>
        </w:rPr>
        <w:t>金坛区第二污水处理厂</w:t>
      </w:r>
      <w:bookmarkEnd w:id="196"/>
      <w:r>
        <w:rPr>
          <w:rFonts w:eastAsia="仿宋_GB2312"/>
          <w:sz w:val="28"/>
          <w:szCs w:val="28"/>
        </w:rPr>
        <w:t>一期建设规模2万m</w:t>
      </w:r>
      <w:r>
        <w:rPr>
          <w:rFonts w:eastAsia="仿宋_GB2312"/>
          <w:sz w:val="28"/>
          <w:szCs w:val="28"/>
          <w:vertAlign w:val="superscript"/>
        </w:rPr>
        <w:t>3</w:t>
      </w:r>
      <w:r>
        <w:rPr>
          <w:rFonts w:eastAsia="仿宋_GB2312"/>
          <w:sz w:val="28"/>
          <w:szCs w:val="28"/>
        </w:rPr>
        <w:t>/d，于2005年底建成运营；二期2万m</w:t>
      </w:r>
      <w:r>
        <w:rPr>
          <w:rFonts w:eastAsia="仿宋_GB2312"/>
          <w:sz w:val="28"/>
          <w:szCs w:val="28"/>
          <w:vertAlign w:val="superscript"/>
        </w:rPr>
        <w:t>3</w:t>
      </w:r>
      <w:r>
        <w:rPr>
          <w:rFonts w:eastAsia="仿宋_GB2312"/>
          <w:sz w:val="28"/>
          <w:szCs w:val="28"/>
        </w:rPr>
        <w:t>/d，已于2009年底正式投入运营；三期2万m</w:t>
      </w:r>
      <w:r>
        <w:rPr>
          <w:rFonts w:eastAsia="仿宋_GB2312"/>
          <w:sz w:val="28"/>
          <w:szCs w:val="28"/>
          <w:vertAlign w:val="superscript"/>
        </w:rPr>
        <w:t>3</w:t>
      </w:r>
      <w:r>
        <w:rPr>
          <w:rFonts w:eastAsia="仿宋_GB2312"/>
          <w:sz w:val="28"/>
          <w:szCs w:val="28"/>
        </w:rPr>
        <w:t>/d，已于2014年4月8日取得原金坛市环保局的环评批复。目前金坛区第二污水处理厂处理能力已达6万m</w:t>
      </w:r>
      <w:r>
        <w:rPr>
          <w:rFonts w:eastAsia="仿宋_GB2312"/>
          <w:sz w:val="28"/>
          <w:szCs w:val="28"/>
          <w:vertAlign w:val="superscript"/>
        </w:rPr>
        <w:t>3</w:t>
      </w:r>
      <w:r>
        <w:rPr>
          <w:rFonts w:eastAsia="仿宋_GB2312"/>
          <w:sz w:val="28"/>
          <w:szCs w:val="28"/>
        </w:rPr>
        <w:t>/d，实际污水处理量为5.5万m</w:t>
      </w:r>
      <w:r>
        <w:rPr>
          <w:rFonts w:eastAsia="仿宋_GB2312"/>
          <w:sz w:val="28"/>
          <w:szCs w:val="28"/>
          <w:vertAlign w:val="superscript"/>
        </w:rPr>
        <w:t>3</w:t>
      </w:r>
      <w:r>
        <w:rPr>
          <w:rFonts w:eastAsia="仿宋_GB2312"/>
          <w:sz w:val="28"/>
          <w:szCs w:val="28"/>
        </w:rPr>
        <w:t>/d，尚有0.5万m</w:t>
      </w:r>
      <w:r>
        <w:rPr>
          <w:rFonts w:eastAsia="仿宋_GB2312"/>
          <w:sz w:val="28"/>
          <w:szCs w:val="28"/>
          <w:vertAlign w:val="superscript"/>
        </w:rPr>
        <w:t>3</w:t>
      </w:r>
      <w:r>
        <w:rPr>
          <w:rFonts w:eastAsia="仿宋_GB2312"/>
          <w:sz w:val="28"/>
          <w:szCs w:val="28"/>
        </w:rPr>
        <w:t>/d的余量，且规划建设规模为16万m</w:t>
      </w:r>
      <w:r>
        <w:rPr>
          <w:rFonts w:eastAsia="仿宋_GB2312"/>
          <w:sz w:val="28"/>
          <w:szCs w:val="28"/>
          <w:vertAlign w:val="superscript"/>
        </w:rPr>
        <w:t>3</w:t>
      </w:r>
      <w:r>
        <w:rPr>
          <w:rFonts w:eastAsia="仿宋_GB2312"/>
          <w:sz w:val="28"/>
          <w:szCs w:val="28"/>
        </w:rPr>
        <w:t>/d。故金坛区第二污水处理厂有能力接纳本项目产生的废水；本项目废水水质比较简单，接入金坛区第二污水处理厂不会对其运行产生显著影响，符合接管要求。与园区环保设施相容。</w:t>
      </w:r>
    </w:p>
    <w:p>
      <w:pPr>
        <w:pStyle w:val="5"/>
        <w:keepLines w:val="0"/>
        <w:widowControl/>
        <w:numPr>
          <w:ilvl w:val="3"/>
          <w:numId w:val="1"/>
        </w:numPr>
        <w:tabs>
          <w:tab w:val="left" w:pos="993"/>
        </w:tabs>
        <w:adjustRightInd w:val="0"/>
        <w:snapToGrid w:val="0"/>
        <w:spacing w:after="120" w:afterLines="50"/>
        <w:ind w:left="0" w:firstLine="0"/>
        <w:jc w:val="left"/>
        <w:rPr>
          <w:rFonts w:ascii="Times New Roman" w:hAnsi="Times New Roman"/>
          <w:b/>
        </w:rPr>
      </w:pPr>
      <w:r>
        <w:rPr>
          <w:rFonts w:ascii="Times New Roman" w:hAnsi="Times New Roman"/>
          <w:b/>
        </w:rPr>
        <w:t>环境</w:t>
      </w:r>
      <w:r>
        <w:rPr>
          <w:rFonts w:hint="eastAsia" w:ascii="Times New Roman" w:hAnsi="Times New Roman"/>
          <w:b/>
        </w:rPr>
        <w:t>相容</w:t>
      </w:r>
      <w:r>
        <w:rPr>
          <w:rFonts w:ascii="Times New Roman" w:hAnsi="Times New Roman"/>
          <w:b/>
        </w:rPr>
        <w:t>性分析</w:t>
      </w:r>
    </w:p>
    <w:p>
      <w:pPr>
        <w:pStyle w:val="33"/>
        <w:spacing w:after="0" w:line="500" w:lineRule="exact"/>
        <w:ind w:firstLine="560"/>
        <w:rPr>
          <w:rFonts w:eastAsia="仿宋_GB2312"/>
          <w:bCs/>
          <w:sz w:val="28"/>
          <w:szCs w:val="28"/>
        </w:rPr>
      </w:pPr>
      <w:bookmarkStart w:id="197" w:name="_Toc188062871"/>
      <w:bookmarkStart w:id="198" w:name="_Toc218822894"/>
      <w:bookmarkStart w:id="199" w:name="_Toc217879362"/>
      <w:bookmarkStart w:id="200" w:name="_Toc217889723"/>
      <w:bookmarkStart w:id="201" w:name="_Toc184016153"/>
      <w:bookmarkStart w:id="202" w:name="_Toc188547653"/>
      <w:bookmarkStart w:id="203" w:name="_Toc219540409"/>
      <w:bookmarkStart w:id="204" w:name="_Toc218823784"/>
      <w:bookmarkStart w:id="205" w:name="_Toc184016031"/>
      <w:bookmarkStart w:id="206" w:name="_Toc266992386"/>
      <w:bookmarkStart w:id="207" w:name="_Toc218996974"/>
      <w:bookmarkStart w:id="208" w:name="_Toc218388646"/>
      <w:bookmarkStart w:id="209" w:name="_Toc188077379"/>
      <w:bookmarkStart w:id="210" w:name="_Toc219169984"/>
      <w:bookmarkStart w:id="211" w:name="_Toc184587284"/>
      <w:bookmarkStart w:id="212" w:name="_Toc219541181"/>
      <w:bookmarkStart w:id="213" w:name="_Toc217890061"/>
      <w:bookmarkStart w:id="214" w:name="_Toc217889954"/>
      <w:r>
        <w:rPr>
          <w:rFonts w:eastAsia="仿宋_GB2312"/>
          <w:bCs/>
          <w:sz w:val="28"/>
          <w:szCs w:val="28"/>
        </w:rPr>
        <w:t>从工程分析结果可知，项目对周围环境主要的影响为废气，本项目废气通过采取有效的治理措施后能够达标排放，根据大气环境影响分析，项目排放的大气污染物对周边保护目标影响较小。项目产生的噪声采取严格的消音、隔声等降噪措施后，根据噪声环境影响分析，项目排放的噪声对周边保护目标影响较小。本项目</w:t>
      </w:r>
      <w:r>
        <w:rPr>
          <w:rFonts w:hint="eastAsia" w:eastAsia="仿宋_GB2312"/>
          <w:bCs/>
          <w:sz w:val="28"/>
          <w:szCs w:val="28"/>
        </w:rPr>
        <w:t>生活废水接入</w:t>
      </w:r>
      <w:r>
        <w:rPr>
          <w:rFonts w:eastAsia="仿宋_GB2312"/>
          <w:bCs/>
          <w:sz w:val="28"/>
          <w:szCs w:val="28"/>
        </w:rPr>
        <w:t>市政污水管网，最终排入</w:t>
      </w:r>
      <w:r>
        <w:rPr>
          <w:rFonts w:hint="eastAsia" w:eastAsia="仿宋_GB2312"/>
          <w:bCs/>
          <w:sz w:val="28"/>
          <w:szCs w:val="28"/>
        </w:rPr>
        <w:t>金坛第二</w:t>
      </w:r>
      <w:r>
        <w:rPr>
          <w:rFonts w:eastAsia="仿宋_GB2312"/>
          <w:bCs/>
          <w:sz w:val="28"/>
          <w:szCs w:val="28"/>
        </w:rPr>
        <w:t>污水处理厂集中处理；生产过程产生的一般工业固废分类收集外售综合利用，危险废物分类收集后委托有资质单位处置。</w:t>
      </w:r>
    </w:p>
    <w:p>
      <w:pPr>
        <w:pStyle w:val="33"/>
        <w:spacing w:after="0" w:line="500" w:lineRule="exact"/>
        <w:ind w:firstLine="560"/>
        <w:rPr>
          <w:rFonts w:eastAsia="仿宋_GB2312"/>
          <w:bCs/>
          <w:sz w:val="28"/>
          <w:szCs w:val="28"/>
        </w:rPr>
      </w:pPr>
      <w:r>
        <w:rPr>
          <w:rFonts w:eastAsia="仿宋_GB2312"/>
          <w:bCs/>
          <w:sz w:val="28"/>
          <w:szCs w:val="28"/>
        </w:rPr>
        <w:t>因此，建设方应落实本报告提出的各项污染防治措施，从项目对周围敏感点的影响方面来看，本项目的选址基本合理。</w:t>
      </w:r>
    </w:p>
    <w:p>
      <w:pPr>
        <w:pStyle w:val="5"/>
        <w:keepLines w:val="0"/>
        <w:widowControl/>
        <w:numPr>
          <w:ilvl w:val="3"/>
          <w:numId w:val="1"/>
        </w:numPr>
        <w:tabs>
          <w:tab w:val="left" w:pos="993"/>
        </w:tabs>
        <w:adjustRightInd w:val="0"/>
        <w:snapToGrid w:val="0"/>
        <w:spacing w:after="120" w:afterLines="50"/>
        <w:ind w:left="0" w:firstLine="0"/>
        <w:jc w:val="left"/>
        <w:rPr>
          <w:rFonts w:ascii="Times New Roman" w:hAnsi="Times New Roman"/>
          <w:b/>
        </w:rPr>
      </w:pPr>
      <w:bookmarkStart w:id="215" w:name="_Toc396212024"/>
      <w:bookmarkStart w:id="216" w:name="_Toc469058923"/>
      <w:r>
        <w:rPr>
          <w:rFonts w:ascii="Times New Roman" w:hAnsi="Times New Roman"/>
          <w:b/>
        </w:rPr>
        <w:t>厂区平面布置合理性分析</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pPr>
        <w:spacing w:line="500" w:lineRule="exact"/>
        <w:ind w:firstLine="560" w:firstLineChars="200"/>
        <w:rPr>
          <w:rFonts w:eastAsia="仿宋_GB2312"/>
          <w:kern w:val="0"/>
          <w:sz w:val="28"/>
          <w:szCs w:val="28"/>
        </w:rPr>
      </w:pPr>
      <w:r>
        <w:rPr>
          <w:rFonts w:eastAsia="仿宋_GB2312"/>
          <w:bCs/>
          <w:sz w:val="28"/>
          <w:szCs w:val="28"/>
        </w:rPr>
        <w:t>本项目位于金坛区金城镇工业园区（北区）</w:t>
      </w:r>
      <w:r>
        <w:rPr>
          <w:rFonts w:hint="eastAsia" w:eastAsia="仿宋_GB2312"/>
          <w:bCs/>
          <w:sz w:val="28"/>
          <w:szCs w:val="28"/>
        </w:rPr>
        <w:t>。东侧江苏</w:t>
      </w:r>
      <w:r>
        <w:rPr>
          <w:rFonts w:eastAsia="仿宋_GB2312"/>
          <w:bCs/>
          <w:sz w:val="28"/>
          <w:szCs w:val="28"/>
        </w:rPr>
        <w:t>中</w:t>
      </w:r>
      <w:r>
        <w:rPr>
          <w:rFonts w:hint="eastAsia" w:eastAsia="仿宋_GB2312"/>
          <w:bCs/>
          <w:sz w:val="28"/>
          <w:szCs w:val="28"/>
        </w:rPr>
        <w:t>远消防</w:t>
      </w:r>
      <w:r>
        <w:rPr>
          <w:rFonts w:eastAsia="仿宋_GB2312"/>
          <w:bCs/>
          <w:sz w:val="28"/>
          <w:szCs w:val="28"/>
        </w:rPr>
        <w:t>设备</w:t>
      </w:r>
      <w:r>
        <w:rPr>
          <w:rFonts w:hint="eastAsia" w:eastAsia="仿宋_GB2312"/>
          <w:bCs/>
          <w:sz w:val="28"/>
          <w:szCs w:val="28"/>
        </w:rPr>
        <w:t>有限</w:t>
      </w:r>
      <w:r>
        <w:rPr>
          <w:rFonts w:eastAsia="仿宋_GB2312"/>
          <w:bCs/>
          <w:sz w:val="28"/>
          <w:szCs w:val="28"/>
        </w:rPr>
        <w:t>公司</w:t>
      </w:r>
      <w:r>
        <w:rPr>
          <w:rFonts w:hint="eastAsia" w:eastAsia="仿宋_GB2312"/>
          <w:bCs/>
          <w:sz w:val="28"/>
          <w:szCs w:val="28"/>
        </w:rPr>
        <w:t>；</w:t>
      </w:r>
      <w:r>
        <w:rPr>
          <w:rFonts w:eastAsia="仿宋_GB2312"/>
          <w:bCs/>
          <w:sz w:val="28"/>
          <w:szCs w:val="28"/>
        </w:rPr>
        <w:t>南侧为</w:t>
      </w:r>
      <w:r>
        <w:rPr>
          <w:rFonts w:hint="eastAsia" w:eastAsia="仿宋_GB2312"/>
          <w:bCs/>
          <w:sz w:val="28"/>
          <w:szCs w:val="28"/>
        </w:rPr>
        <w:t>红山路，</w:t>
      </w:r>
      <w:r>
        <w:rPr>
          <w:rFonts w:eastAsia="仿宋_GB2312"/>
          <w:bCs/>
          <w:sz w:val="28"/>
          <w:szCs w:val="28"/>
        </w:rPr>
        <w:t>隔路</w:t>
      </w:r>
      <w:r>
        <w:rPr>
          <w:rFonts w:hint="eastAsia" w:eastAsia="仿宋_GB2312"/>
          <w:bCs/>
          <w:sz w:val="28"/>
          <w:szCs w:val="28"/>
        </w:rPr>
        <w:t>为江苏宝</w:t>
      </w:r>
      <w:r>
        <w:rPr>
          <w:rFonts w:eastAsia="仿宋_GB2312"/>
          <w:bCs/>
          <w:sz w:val="28"/>
          <w:szCs w:val="28"/>
        </w:rPr>
        <w:t>联新材料</w:t>
      </w:r>
      <w:r>
        <w:rPr>
          <w:rFonts w:hint="eastAsia" w:eastAsia="仿宋_GB2312"/>
          <w:bCs/>
          <w:sz w:val="28"/>
          <w:szCs w:val="28"/>
        </w:rPr>
        <w:t>科技有限公司；</w:t>
      </w:r>
      <w:r>
        <w:rPr>
          <w:rFonts w:eastAsia="仿宋_GB2312"/>
          <w:bCs/>
          <w:sz w:val="28"/>
          <w:szCs w:val="28"/>
        </w:rPr>
        <w:t>西侧</w:t>
      </w:r>
      <w:r>
        <w:rPr>
          <w:rFonts w:hint="eastAsia" w:eastAsia="仿宋_GB2312"/>
          <w:bCs/>
          <w:sz w:val="28"/>
          <w:szCs w:val="28"/>
        </w:rPr>
        <w:t>为常州市金坛</w:t>
      </w:r>
      <w:r>
        <w:rPr>
          <w:rFonts w:eastAsia="仿宋_GB2312"/>
          <w:bCs/>
          <w:sz w:val="28"/>
          <w:szCs w:val="28"/>
        </w:rPr>
        <w:t>成达</w:t>
      </w:r>
      <w:r>
        <w:rPr>
          <w:rFonts w:hint="eastAsia" w:eastAsia="仿宋_GB2312"/>
          <w:bCs/>
          <w:sz w:val="28"/>
          <w:szCs w:val="28"/>
        </w:rPr>
        <w:t>汽车</w:t>
      </w:r>
      <w:r>
        <w:rPr>
          <w:rFonts w:eastAsia="仿宋_GB2312"/>
          <w:bCs/>
          <w:sz w:val="28"/>
          <w:szCs w:val="28"/>
        </w:rPr>
        <w:t>附件厂，北侧为</w:t>
      </w:r>
      <w:r>
        <w:rPr>
          <w:rFonts w:hint="eastAsia" w:eastAsia="仿宋_GB2312"/>
          <w:bCs/>
          <w:sz w:val="28"/>
          <w:szCs w:val="28"/>
        </w:rPr>
        <w:t>常州市</w:t>
      </w:r>
      <w:r>
        <w:rPr>
          <w:rFonts w:eastAsia="仿宋_GB2312"/>
          <w:bCs/>
          <w:sz w:val="28"/>
          <w:szCs w:val="28"/>
        </w:rPr>
        <w:t>凯丰</w:t>
      </w:r>
      <w:r>
        <w:rPr>
          <w:rFonts w:hint="eastAsia" w:eastAsia="仿宋_GB2312"/>
          <w:bCs/>
          <w:sz w:val="28"/>
          <w:szCs w:val="28"/>
        </w:rPr>
        <w:t>橡塑制品</w:t>
      </w:r>
      <w:r>
        <w:rPr>
          <w:rFonts w:eastAsia="仿宋_GB2312"/>
          <w:bCs/>
          <w:sz w:val="28"/>
          <w:szCs w:val="28"/>
        </w:rPr>
        <w:t>有限公司。</w:t>
      </w:r>
    </w:p>
    <w:p>
      <w:pPr>
        <w:pStyle w:val="33"/>
        <w:spacing w:after="0" w:line="500" w:lineRule="exact"/>
        <w:ind w:firstLine="560"/>
        <w:rPr>
          <w:rFonts w:eastAsia="仿宋_GB2312"/>
          <w:bCs/>
          <w:sz w:val="28"/>
          <w:szCs w:val="28"/>
        </w:rPr>
      </w:pPr>
      <w:r>
        <w:rPr>
          <w:rFonts w:eastAsia="仿宋_GB2312"/>
          <w:bCs/>
          <w:sz w:val="28"/>
          <w:szCs w:val="28"/>
        </w:rPr>
        <w:t>大气环境影响：</w:t>
      </w:r>
      <w:r>
        <w:rPr>
          <w:rFonts w:hint="eastAsia" w:eastAsia="仿宋_GB2312"/>
          <w:sz w:val="28"/>
          <w:szCs w:val="28"/>
        </w:rPr>
        <w:t>经调查</w:t>
      </w:r>
      <w:r>
        <w:rPr>
          <w:rFonts w:eastAsia="仿宋_GB2312"/>
          <w:sz w:val="28"/>
          <w:szCs w:val="28"/>
        </w:rPr>
        <w:t>，本</w:t>
      </w:r>
      <w:r>
        <w:rPr>
          <w:rFonts w:hint="eastAsia" w:eastAsia="仿宋_GB2312"/>
          <w:sz w:val="28"/>
          <w:szCs w:val="28"/>
        </w:rPr>
        <w:t>项目卫生防护距离内无居民区等敏感点</w:t>
      </w:r>
      <w:r>
        <w:rPr>
          <w:rFonts w:eastAsia="仿宋_GB2312"/>
          <w:bCs/>
          <w:sz w:val="28"/>
          <w:szCs w:val="28"/>
        </w:rPr>
        <w:t>。</w:t>
      </w:r>
    </w:p>
    <w:p>
      <w:pPr>
        <w:spacing w:line="500" w:lineRule="exact"/>
        <w:ind w:firstLine="560" w:firstLineChars="200"/>
        <w:rPr>
          <w:rFonts w:eastAsia="仿宋_GB2312"/>
          <w:sz w:val="28"/>
        </w:rPr>
      </w:pPr>
      <w:r>
        <w:rPr>
          <w:rFonts w:eastAsia="仿宋_GB2312"/>
          <w:bCs/>
          <w:sz w:val="28"/>
          <w:szCs w:val="28"/>
        </w:rPr>
        <w:t>噪声环境影响：本项目投运后，</w:t>
      </w:r>
      <w:r>
        <w:rPr>
          <w:rFonts w:hint="eastAsia" w:eastAsia="仿宋_GB2312" w:cs="宋体"/>
          <w:sz w:val="28"/>
        </w:rPr>
        <w:t>各</w:t>
      </w:r>
      <w:r>
        <w:rPr>
          <w:rFonts w:eastAsia="仿宋_GB2312"/>
          <w:sz w:val="28"/>
        </w:rPr>
        <w:t>厂界昼、夜间噪声预测值均符合《</w:t>
      </w:r>
      <w:r>
        <w:rPr>
          <w:rFonts w:eastAsia="仿宋_GB2312"/>
          <w:sz w:val="28"/>
          <w:szCs w:val="28"/>
        </w:rPr>
        <w:t>工业企业厂界环境噪声排放标准》（GB12348-2008）中3类标准</w:t>
      </w:r>
      <w:r>
        <w:rPr>
          <w:rFonts w:eastAsia="仿宋_GB2312"/>
          <w:sz w:val="28"/>
        </w:rPr>
        <w:t>。</w:t>
      </w:r>
      <w:r>
        <w:rPr>
          <w:rFonts w:eastAsia="仿宋_GB2312"/>
          <w:bCs/>
          <w:sz w:val="28"/>
          <w:szCs w:val="28"/>
        </w:rPr>
        <w:t>在采取噪声防治措施的前提下，经距离衰减后，本项目运行噪声对各厂界噪声贡献值均较小。</w:t>
      </w:r>
    </w:p>
    <w:p>
      <w:pPr>
        <w:snapToGrid w:val="0"/>
        <w:spacing w:line="500" w:lineRule="exact"/>
        <w:ind w:firstLine="560" w:firstLineChars="200"/>
        <w:rPr>
          <w:rFonts w:eastAsia="仿宋_GB2312"/>
          <w:sz w:val="28"/>
          <w:szCs w:val="28"/>
        </w:rPr>
      </w:pPr>
      <w:r>
        <w:rPr>
          <w:rFonts w:eastAsia="仿宋_GB2312"/>
          <w:bCs/>
          <w:sz w:val="28"/>
          <w:szCs w:val="28"/>
        </w:rPr>
        <w:t>事故风险影响：</w:t>
      </w:r>
      <w:r>
        <w:rPr>
          <w:rFonts w:eastAsia="仿宋_GB2312"/>
          <w:sz w:val="28"/>
          <w:szCs w:val="28"/>
        </w:rPr>
        <w:t>依据物质危险性、重大危险源、环境风险敏感地区的辨识结果，本项目</w:t>
      </w:r>
      <w:r>
        <w:rPr>
          <w:rFonts w:hint="eastAsia" w:eastAsia="仿宋_GB2312"/>
          <w:sz w:val="28"/>
          <w:szCs w:val="28"/>
        </w:rPr>
        <w:t>未</w:t>
      </w:r>
      <w:r>
        <w:rPr>
          <w:rFonts w:eastAsia="仿宋_GB2312"/>
          <w:sz w:val="28"/>
          <w:szCs w:val="28"/>
        </w:rPr>
        <w:t>构成重大危险源。本项目发生大的泄漏事故概率较小。本项目工艺废气事故排放时对周围保护目标（居民居住地）影响较小。</w:t>
      </w:r>
    </w:p>
    <w:p>
      <w:pPr>
        <w:spacing w:line="500" w:lineRule="exact"/>
        <w:ind w:firstLine="560" w:firstLineChars="200"/>
        <w:rPr>
          <w:rFonts w:eastAsia="仿宋_GB2312"/>
          <w:bCs/>
          <w:sz w:val="28"/>
          <w:szCs w:val="28"/>
        </w:rPr>
      </w:pPr>
      <w:r>
        <w:rPr>
          <w:rFonts w:eastAsia="仿宋_GB2312"/>
          <w:sz w:val="28"/>
          <w:szCs w:val="28"/>
        </w:rPr>
        <w:t>但企业仍应该认真做好各项风险防范措施，完善现有的生产设施以及生产管理制度，储运、生产过程应该严格操作，杜绝风险事故。严格履行风险应急预案，一旦发生突发事故，企业除了根据内部制定和履行最快最有效的应急预案自救外，应立即报当地环保部门，与区域应急预案衔接，在上级环保部门到达之后，要从大局考虑，服从环保部门的领导，共同协商统一部署，将污染事故降低到最小。</w:t>
      </w:r>
    </w:p>
    <w:p>
      <w:pPr>
        <w:pStyle w:val="33"/>
        <w:spacing w:after="0" w:line="500" w:lineRule="exact"/>
        <w:ind w:firstLine="560"/>
        <w:rPr>
          <w:rFonts w:eastAsia="仿宋_GB2312"/>
          <w:bCs/>
          <w:sz w:val="28"/>
          <w:szCs w:val="28"/>
        </w:rPr>
      </w:pPr>
      <w:r>
        <w:rPr>
          <w:rFonts w:eastAsia="仿宋_GB2312"/>
          <w:bCs/>
          <w:sz w:val="28"/>
          <w:szCs w:val="28"/>
        </w:rPr>
        <w:t>因此，本项目平面布置较为合理，能够较大程度的减轻对厂界外的环境影响。</w:t>
      </w:r>
    </w:p>
    <w:p>
      <w:pPr>
        <w:pStyle w:val="5"/>
        <w:keepLines w:val="0"/>
        <w:widowControl/>
        <w:numPr>
          <w:ilvl w:val="3"/>
          <w:numId w:val="1"/>
        </w:numPr>
        <w:tabs>
          <w:tab w:val="left" w:pos="993"/>
        </w:tabs>
        <w:adjustRightInd w:val="0"/>
        <w:snapToGrid w:val="0"/>
        <w:spacing w:after="120" w:afterLines="50"/>
        <w:ind w:left="0" w:firstLine="0"/>
        <w:jc w:val="left"/>
        <w:rPr>
          <w:rFonts w:ascii="Times New Roman" w:hAnsi="Times New Roman"/>
          <w:b/>
        </w:rPr>
      </w:pPr>
      <w:bookmarkStart w:id="217" w:name="_Toc396212025"/>
      <w:bookmarkStart w:id="218" w:name="_Toc469058924"/>
      <w:bookmarkStart w:id="219" w:name="_Toc266992387"/>
      <w:r>
        <w:rPr>
          <w:rFonts w:ascii="Times New Roman" w:hAnsi="Times New Roman"/>
          <w:b/>
        </w:rPr>
        <w:t>结论</w:t>
      </w:r>
      <w:bookmarkEnd w:id="217"/>
      <w:bookmarkEnd w:id="218"/>
      <w:bookmarkEnd w:id="219"/>
    </w:p>
    <w:p>
      <w:pPr>
        <w:pStyle w:val="33"/>
        <w:spacing w:after="0" w:line="500" w:lineRule="exact"/>
        <w:ind w:firstLine="560"/>
        <w:rPr>
          <w:rFonts w:eastAsia="仿宋_GB2312"/>
          <w:bCs/>
          <w:sz w:val="28"/>
          <w:szCs w:val="28"/>
        </w:rPr>
      </w:pPr>
      <w:r>
        <w:rPr>
          <w:rFonts w:eastAsia="仿宋_GB2312"/>
          <w:bCs/>
          <w:sz w:val="28"/>
          <w:szCs w:val="28"/>
        </w:rPr>
        <w:t>综上所述，本项目与区域经济发展规划相符，基础设施完备，生产车间总平面布置合理，项目投运后对现有的空气、地表水和声环境质量均不会造成明显不良影响，因此选址合理可行。</w:t>
      </w:r>
    </w:p>
    <w:bookmarkEnd w:id="168"/>
    <w:bookmarkEnd w:id="169"/>
    <w:bookmarkEnd w:id="170"/>
    <w:bookmarkEnd w:id="171"/>
    <w:p>
      <w:pPr>
        <w:widowControl/>
        <w:jc w:val="left"/>
        <w:rPr>
          <w:rFonts w:eastAsia="仿宋_GB2312"/>
          <w:b/>
          <w:bCs/>
          <w:kern w:val="44"/>
          <w:sz w:val="36"/>
          <w:szCs w:val="36"/>
        </w:rPr>
      </w:pPr>
      <w:r>
        <w:rPr>
          <w:rFonts w:eastAsia="仿宋_GB2312"/>
          <w:sz w:val="36"/>
          <w:szCs w:val="36"/>
        </w:rPr>
        <w:br w:type="page"/>
      </w:r>
    </w:p>
    <w:p>
      <w:pPr>
        <w:pStyle w:val="2"/>
        <w:numPr>
          <w:ilvl w:val="0"/>
          <w:numId w:val="1"/>
        </w:numPr>
        <w:spacing w:before="120" w:beforeLines="50" w:after="120" w:afterLines="50" w:line="500" w:lineRule="exact"/>
        <w:ind w:left="282" w:hanging="282" w:hangingChars="78"/>
        <w:rPr>
          <w:rFonts w:eastAsia="仿宋_GB2312"/>
          <w:sz w:val="36"/>
          <w:szCs w:val="36"/>
        </w:rPr>
      </w:pPr>
      <w:bookmarkStart w:id="220" w:name="_Toc140565261"/>
      <w:r>
        <w:rPr>
          <w:rFonts w:eastAsia="仿宋_GB2312"/>
          <w:sz w:val="36"/>
          <w:szCs w:val="36"/>
        </w:rPr>
        <w:t>建设项目工程分析</w:t>
      </w:r>
      <w:bookmarkEnd w:id="220"/>
    </w:p>
    <w:p>
      <w:pPr>
        <w:pStyle w:val="3"/>
        <w:spacing w:before="120" w:after="120"/>
      </w:pPr>
      <w:bookmarkStart w:id="221" w:name="_Toc140565262"/>
      <w:bookmarkStart w:id="222" w:name="_Toc396374783"/>
      <w:bookmarkStart w:id="223" w:name="_Toc54085529"/>
      <w:bookmarkStart w:id="224" w:name="_Toc51933004"/>
      <w:bookmarkStart w:id="225" w:name="_Toc54775515"/>
      <w:bookmarkStart w:id="226" w:name="_Toc106437845"/>
      <w:bookmarkStart w:id="227" w:name="_Toc107787814"/>
      <w:bookmarkStart w:id="228" w:name="_Toc106006206"/>
      <w:bookmarkStart w:id="229" w:name="_Toc51146472"/>
      <w:bookmarkStart w:id="230" w:name="_Toc107661226"/>
      <w:bookmarkStart w:id="231" w:name="_Toc22463472"/>
      <w:bookmarkStart w:id="232" w:name="_Toc107772584"/>
      <w:bookmarkStart w:id="233" w:name="_Toc53416267"/>
      <w:bookmarkStart w:id="234" w:name="_Toc106533274"/>
      <w:bookmarkStart w:id="235" w:name="_Toc51583816"/>
      <w:bookmarkStart w:id="236" w:name="_Toc53396327"/>
      <w:bookmarkStart w:id="237" w:name="_Toc107787856"/>
      <w:r>
        <w:t>本项目概况</w:t>
      </w:r>
      <w:bookmarkEnd w:id="221"/>
      <w:bookmarkEnd w:id="222"/>
    </w:p>
    <w:p>
      <w:pPr>
        <w:pStyle w:val="4"/>
        <w:keepLines w:val="0"/>
        <w:numPr>
          <w:ilvl w:val="2"/>
          <w:numId w:val="1"/>
        </w:numPr>
        <w:tabs>
          <w:tab w:val="left" w:pos="709"/>
        </w:tabs>
        <w:spacing w:before="120" w:beforeLines="50" w:after="120" w:afterLines="50" w:line="500" w:lineRule="exact"/>
        <w:ind w:left="422" w:hanging="422" w:hangingChars="150"/>
        <w:rPr>
          <w:rFonts w:eastAsia="仿宋_GB2312"/>
          <w:sz w:val="28"/>
          <w:szCs w:val="28"/>
        </w:rPr>
      </w:pPr>
      <w:r>
        <w:rPr>
          <w:rFonts w:eastAsia="仿宋_GB2312"/>
          <w:sz w:val="28"/>
          <w:szCs w:val="28"/>
        </w:rPr>
        <w:t>项目名称、项目性质及建设地点</w:t>
      </w:r>
    </w:p>
    <w:p>
      <w:pPr>
        <w:spacing w:line="500" w:lineRule="exact"/>
        <w:ind w:firstLine="560" w:firstLineChars="200"/>
        <w:rPr>
          <w:rFonts w:eastAsia="仿宋_GB2312"/>
          <w:sz w:val="28"/>
          <w:szCs w:val="28"/>
        </w:rPr>
      </w:pPr>
      <w:r>
        <w:rPr>
          <w:rFonts w:eastAsia="仿宋_GB2312"/>
          <w:sz w:val="28"/>
          <w:szCs w:val="28"/>
        </w:rPr>
        <w:t>（1）项目名称：</w:t>
      </w:r>
      <w:r>
        <w:rPr>
          <w:rFonts w:hint="eastAsia" w:eastAsia="仿宋_GB2312"/>
          <w:sz w:val="28"/>
          <w:szCs w:val="28"/>
        </w:rPr>
        <w:t>江苏双联新能源材料科技有限</w:t>
      </w:r>
      <w:r>
        <w:rPr>
          <w:rFonts w:eastAsia="仿宋_GB2312"/>
          <w:sz w:val="28"/>
          <w:szCs w:val="28"/>
        </w:rPr>
        <w:t>公司</w:t>
      </w:r>
      <w:r>
        <w:rPr>
          <w:rFonts w:hint="eastAsia" w:eastAsia="仿宋_GB2312"/>
          <w:sz w:val="28"/>
          <w:szCs w:val="28"/>
        </w:rPr>
        <w:t>新建年产新能源电子材料3</w:t>
      </w:r>
      <w:r>
        <w:rPr>
          <w:rFonts w:eastAsia="仿宋_GB2312"/>
          <w:sz w:val="28"/>
          <w:szCs w:val="28"/>
        </w:rPr>
        <w:t>000</w:t>
      </w:r>
      <w:r>
        <w:rPr>
          <w:rFonts w:hint="eastAsia" w:eastAsia="仿宋_GB2312"/>
          <w:sz w:val="28"/>
          <w:szCs w:val="28"/>
        </w:rPr>
        <w:t>万平方米项目</w:t>
      </w:r>
    </w:p>
    <w:p>
      <w:pPr>
        <w:spacing w:line="500" w:lineRule="exact"/>
        <w:ind w:firstLine="560" w:firstLineChars="200"/>
        <w:rPr>
          <w:rFonts w:eastAsia="仿宋_GB2312"/>
          <w:sz w:val="28"/>
          <w:szCs w:val="28"/>
        </w:rPr>
      </w:pPr>
      <w:r>
        <w:rPr>
          <w:rFonts w:eastAsia="仿宋_GB2312"/>
          <w:sz w:val="28"/>
          <w:szCs w:val="28"/>
        </w:rPr>
        <w:t>（2）建设地点：</w:t>
      </w:r>
      <w:bookmarkStart w:id="521" w:name="_GoBack"/>
      <w:r>
        <w:rPr>
          <w:rFonts w:eastAsia="仿宋_GB2312"/>
          <w:sz w:val="28"/>
          <w:szCs w:val="28"/>
        </w:rPr>
        <w:t>常州市金坛区金城镇红山路29号</w:t>
      </w:r>
      <w:bookmarkEnd w:id="521"/>
    </w:p>
    <w:p>
      <w:pPr>
        <w:spacing w:line="500" w:lineRule="exact"/>
        <w:ind w:firstLine="560" w:firstLineChars="200"/>
        <w:rPr>
          <w:rFonts w:eastAsia="仿宋_GB2312"/>
          <w:sz w:val="28"/>
          <w:szCs w:val="28"/>
        </w:rPr>
      </w:pPr>
      <w:r>
        <w:rPr>
          <w:rFonts w:eastAsia="仿宋_GB2312"/>
          <w:sz w:val="28"/>
          <w:szCs w:val="28"/>
        </w:rPr>
        <w:t>（</w:t>
      </w:r>
      <w:r>
        <w:rPr>
          <w:rFonts w:hint="eastAsia" w:eastAsia="仿宋_GB2312"/>
          <w:sz w:val="28"/>
          <w:szCs w:val="28"/>
        </w:rPr>
        <w:t>3</w:t>
      </w:r>
      <w:r>
        <w:rPr>
          <w:rFonts w:eastAsia="仿宋_GB2312"/>
          <w:sz w:val="28"/>
          <w:szCs w:val="28"/>
        </w:rPr>
        <w:t>）</w:t>
      </w:r>
      <w:r>
        <w:rPr>
          <w:rFonts w:hint="eastAsia" w:eastAsia="仿宋_GB2312"/>
          <w:sz w:val="28"/>
          <w:szCs w:val="28"/>
        </w:rPr>
        <w:t>建筑</w:t>
      </w:r>
      <w:r>
        <w:rPr>
          <w:rFonts w:eastAsia="仿宋_GB2312"/>
          <w:sz w:val="28"/>
          <w:szCs w:val="28"/>
        </w:rPr>
        <w:t>面积：</w:t>
      </w:r>
      <w:r>
        <w:rPr>
          <w:rFonts w:hint="eastAsia" w:eastAsia="仿宋_GB2312"/>
          <w:sz w:val="28"/>
          <w:szCs w:val="28"/>
        </w:rPr>
        <w:t>2336</w:t>
      </w:r>
      <w:r>
        <w:rPr>
          <w:rFonts w:eastAsia="仿宋_GB2312"/>
          <w:sz w:val="28"/>
          <w:szCs w:val="28"/>
        </w:rPr>
        <w:t>m</w:t>
      </w:r>
      <w:r>
        <w:rPr>
          <w:rFonts w:eastAsia="仿宋_GB2312"/>
          <w:sz w:val="28"/>
          <w:szCs w:val="28"/>
          <w:vertAlign w:val="superscript"/>
        </w:rPr>
        <w:t>2</w:t>
      </w:r>
    </w:p>
    <w:p>
      <w:pPr>
        <w:tabs>
          <w:tab w:val="left" w:pos="6090"/>
        </w:tabs>
        <w:spacing w:line="500" w:lineRule="exact"/>
        <w:ind w:firstLine="560" w:firstLineChars="200"/>
        <w:rPr>
          <w:rFonts w:eastAsia="仿宋_GB2312"/>
          <w:sz w:val="28"/>
          <w:szCs w:val="28"/>
        </w:rPr>
      </w:pPr>
      <w:r>
        <w:rPr>
          <w:rFonts w:eastAsia="仿宋_GB2312"/>
          <w:sz w:val="28"/>
          <w:szCs w:val="28"/>
        </w:rPr>
        <w:t>（</w:t>
      </w:r>
      <w:r>
        <w:rPr>
          <w:rFonts w:hint="eastAsia" w:eastAsia="仿宋_GB2312"/>
          <w:sz w:val="28"/>
          <w:szCs w:val="28"/>
        </w:rPr>
        <w:t>4</w:t>
      </w:r>
      <w:r>
        <w:rPr>
          <w:rFonts w:eastAsia="仿宋_GB2312"/>
          <w:sz w:val="28"/>
          <w:szCs w:val="28"/>
        </w:rPr>
        <w:t>）项目性质：</w:t>
      </w:r>
      <w:r>
        <w:rPr>
          <w:rFonts w:hint="eastAsia" w:eastAsia="仿宋_GB2312"/>
          <w:sz w:val="28"/>
          <w:szCs w:val="28"/>
        </w:rPr>
        <w:t>新建</w:t>
      </w:r>
    </w:p>
    <w:p>
      <w:pPr>
        <w:spacing w:line="500" w:lineRule="exact"/>
        <w:ind w:firstLine="560" w:firstLineChars="200"/>
        <w:rPr>
          <w:rFonts w:eastAsia="仿宋_GB2312"/>
          <w:sz w:val="28"/>
          <w:szCs w:val="28"/>
        </w:rPr>
      </w:pPr>
      <w:r>
        <w:rPr>
          <w:rFonts w:eastAsia="仿宋_GB2312"/>
          <w:sz w:val="28"/>
          <w:szCs w:val="28"/>
        </w:rPr>
        <w:t>（5）投资总额：项目总投资</w:t>
      </w:r>
      <w:r>
        <w:rPr>
          <w:rFonts w:hint="eastAsia" w:eastAsia="仿宋_GB2312"/>
          <w:sz w:val="28"/>
          <w:szCs w:val="28"/>
        </w:rPr>
        <w:t>3</w:t>
      </w:r>
      <w:r>
        <w:rPr>
          <w:rFonts w:eastAsia="仿宋_GB2312"/>
          <w:sz w:val="28"/>
          <w:szCs w:val="28"/>
        </w:rPr>
        <w:t>000万</w:t>
      </w:r>
      <w:r>
        <w:rPr>
          <w:rFonts w:hint="eastAsia" w:eastAsia="仿宋_GB2312"/>
          <w:sz w:val="28"/>
          <w:szCs w:val="28"/>
        </w:rPr>
        <w:t>元，</w:t>
      </w:r>
      <w:r>
        <w:rPr>
          <w:rFonts w:eastAsia="仿宋_GB2312"/>
          <w:sz w:val="28"/>
          <w:szCs w:val="28"/>
        </w:rPr>
        <w:t>环保投资约</w:t>
      </w:r>
      <w:r>
        <w:rPr>
          <w:rFonts w:hint="eastAsia" w:eastAsia="仿宋_GB2312"/>
          <w:sz w:val="28"/>
          <w:szCs w:val="28"/>
        </w:rPr>
        <w:t>500</w:t>
      </w:r>
      <w:r>
        <w:rPr>
          <w:rFonts w:eastAsia="仿宋_GB2312"/>
          <w:sz w:val="28"/>
          <w:szCs w:val="28"/>
        </w:rPr>
        <w:t>万</w:t>
      </w:r>
      <w:r>
        <w:rPr>
          <w:rFonts w:hint="eastAsia" w:eastAsia="仿宋_GB2312"/>
          <w:sz w:val="28"/>
          <w:szCs w:val="28"/>
        </w:rPr>
        <w:t>元人民币</w:t>
      </w:r>
    </w:p>
    <w:p>
      <w:pPr>
        <w:spacing w:line="500" w:lineRule="exact"/>
        <w:ind w:firstLine="560" w:firstLineChars="200"/>
        <w:rPr>
          <w:rFonts w:eastAsia="仿宋_GB2312"/>
          <w:sz w:val="28"/>
          <w:szCs w:val="28"/>
        </w:rPr>
      </w:pPr>
      <w:r>
        <w:rPr>
          <w:rFonts w:eastAsia="仿宋_GB2312"/>
          <w:sz w:val="28"/>
          <w:szCs w:val="28"/>
        </w:rPr>
        <w:t>（6）职工人数、年工作日以及生产班制：员工</w:t>
      </w:r>
      <w:r>
        <w:rPr>
          <w:rFonts w:hint="eastAsia" w:eastAsia="仿宋_GB2312"/>
          <w:sz w:val="28"/>
          <w:szCs w:val="28"/>
        </w:rPr>
        <w:t>45</w:t>
      </w:r>
      <w:r>
        <w:rPr>
          <w:rFonts w:eastAsia="仿宋_GB2312"/>
          <w:sz w:val="28"/>
          <w:szCs w:val="28"/>
        </w:rPr>
        <w:t>人，年工作日3</w:t>
      </w:r>
      <w:r>
        <w:rPr>
          <w:rFonts w:hint="eastAsia" w:eastAsia="仿宋_GB2312"/>
          <w:sz w:val="28"/>
          <w:szCs w:val="28"/>
        </w:rPr>
        <w:t>0</w:t>
      </w:r>
      <w:r>
        <w:rPr>
          <w:rFonts w:eastAsia="仿宋_GB2312"/>
          <w:sz w:val="28"/>
          <w:szCs w:val="28"/>
        </w:rPr>
        <w:t>0天</w:t>
      </w:r>
      <w:r>
        <w:rPr>
          <w:rFonts w:hint="eastAsia" w:eastAsia="仿宋_GB2312"/>
          <w:sz w:val="28"/>
          <w:szCs w:val="28"/>
        </w:rPr>
        <w:t>，三班制，</w:t>
      </w:r>
      <w:r>
        <w:rPr>
          <w:rFonts w:eastAsia="仿宋_GB2312"/>
          <w:sz w:val="28"/>
          <w:szCs w:val="28"/>
        </w:rPr>
        <w:t>每天</w:t>
      </w:r>
      <w:r>
        <w:rPr>
          <w:rFonts w:hint="eastAsia" w:eastAsia="仿宋_GB2312"/>
          <w:sz w:val="28"/>
          <w:szCs w:val="28"/>
        </w:rPr>
        <w:t>生产</w:t>
      </w:r>
      <w:r>
        <w:rPr>
          <w:rFonts w:eastAsia="仿宋_GB2312"/>
          <w:sz w:val="28"/>
          <w:szCs w:val="28"/>
        </w:rPr>
        <w:t>时间</w:t>
      </w:r>
      <w:r>
        <w:rPr>
          <w:rFonts w:hint="eastAsia" w:eastAsia="仿宋_GB2312"/>
          <w:sz w:val="28"/>
          <w:szCs w:val="28"/>
        </w:rPr>
        <w:t>24小时。</w:t>
      </w:r>
    </w:p>
    <w:p>
      <w:pPr>
        <w:spacing w:line="500" w:lineRule="exact"/>
        <w:ind w:firstLine="560" w:firstLineChars="200"/>
        <w:rPr>
          <w:rFonts w:eastAsia="仿宋_GB2312"/>
          <w:sz w:val="28"/>
          <w:szCs w:val="28"/>
        </w:rPr>
      </w:pPr>
      <w:r>
        <w:rPr>
          <w:rFonts w:hint="eastAsia" w:eastAsia="仿宋_GB2312"/>
          <w:sz w:val="28"/>
          <w:szCs w:val="28"/>
        </w:rPr>
        <w:t>（7）依托情况：本项目租用</w:t>
      </w:r>
      <w:r>
        <w:rPr>
          <w:rFonts w:eastAsia="仿宋_GB2312"/>
          <w:sz w:val="28"/>
          <w:szCs w:val="28"/>
        </w:rPr>
        <w:t>常州威斯双联有限公司</w:t>
      </w:r>
      <w:r>
        <w:rPr>
          <w:rFonts w:hint="eastAsia" w:eastAsia="仿宋_GB2312"/>
          <w:sz w:val="28"/>
          <w:szCs w:val="28"/>
        </w:rPr>
        <w:t>（原名为常州双联胶粘带有限公司）</w:t>
      </w:r>
      <w:r>
        <w:rPr>
          <w:rFonts w:eastAsia="仿宋_GB2312"/>
          <w:sz w:val="28"/>
          <w:szCs w:val="28"/>
        </w:rPr>
        <w:t>北侧闲置厂房进行建设</w:t>
      </w:r>
      <w:r>
        <w:rPr>
          <w:rFonts w:hint="eastAsia" w:eastAsia="仿宋_GB2312"/>
          <w:sz w:val="28"/>
          <w:szCs w:val="28"/>
        </w:rPr>
        <w:t>，其雨水排口、污水排口皆为公用，责任主体为</w:t>
      </w:r>
      <w:r>
        <w:rPr>
          <w:rFonts w:eastAsia="仿宋_GB2312"/>
          <w:sz w:val="28"/>
          <w:szCs w:val="28"/>
        </w:rPr>
        <w:t>常州威斯双联有限公司</w:t>
      </w:r>
      <w:r>
        <w:rPr>
          <w:rFonts w:hint="eastAsia" w:eastAsia="仿宋_GB2312"/>
          <w:sz w:val="28"/>
          <w:szCs w:val="28"/>
        </w:rPr>
        <w:t>。</w:t>
      </w:r>
    </w:p>
    <w:p>
      <w:pPr>
        <w:pStyle w:val="4"/>
        <w:keepLines w:val="0"/>
        <w:numPr>
          <w:ilvl w:val="2"/>
          <w:numId w:val="1"/>
        </w:numPr>
        <w:tabs>
          <w:tab w:val="left" w:pos="709"/>
        </w:tabs>
        <w:spacing w:before="120" w:beforeLines="50" w:after="120" w:afterLines="50" w:line="500" w:lineRule="exact"/>
        <w:ind w:left="422" w:hanging="422" w:hangingChars="150"/>
        <w:rPr>
          <w:rFonts w:eastAsia="仿宋_GB2312"/>
          <w:sz w:val="28"/>
          <w:szCs w:val="28"/>
        </w:rPr>
      </w:pPr>
      <w:r>
        <w:rPr>
          <w:rFonts w:hint="eastAsia" w:eastAsia="仿宋_GB2312"/>
          <w:sz w:val="28"/>
          <w:szCs w:val="28"/>
        </w:rPr>
        <w:t>租赁方情况介绍</w:t>
      </w:r>
    </w:p>
    <w:p>
      <w:pPr>
        <w:pStyle w:val="33"/>
        <w:spacing w:after="0" w:line="500" w:lineRule="exact"/>
        <w:ind w:firstLine="560" w:firstLineChars="200"/>
        <w:rPr>
          <w:rFonts w:eastAsia="仿宋_GB2312"/>
          <w:sz w:val="28"/>
          <w:szCs w:val="28"/>
        </w:rPr>
      </w:pPr>
      <w:r>
        <w:rPr>
          <w:rFonts w:hint="eastAsia" w:eastAsia="仿宋_GB2312"/>
          <w:bCs/>
          <w:sz w:val="28"/>
          <w:szCs w:val="28"/>
        </w:rPr>
        <w:t>（一）公司</w:t>
      </w:r>
      <w:r>
        <w:rPr>
          <w:rFonts w:eastAsia="仿宋_GB2312"/>
          <w:bCs/>
          <w:sz w:val="28"/>
          <w:szCs w:val="28"/>
        </w:rPr>
        <w:t>情况</w:t>
      </w:r>
    </w:p>
    <w:p>
      <w:pPr>
        <w:pStyle w:val="85"/>
        <w:ind w:firstLine="280"/>
        <w:rPr>
          <w:szCs w:val="28"/>
        </w:rPr>
      </w:pPr>
      <w:r>
        <w:rPr>
          <w:szCs w:val="28"/>
        </w:rPr>
        <w:t>常州威斯双联有限公司</w:t>
      </w:r>
      <w:r>
        <w:rPr>
          <w:rFonts w:hint="eastAsia"/>
          <w:szCs w:val="28"/>
        </w:rPr>
        <w:t>成立于2006年，位于常州市金坛区金城镇红山路29号，主要经营范围为：电子专用材料研发；电子专用材料制造；电子专用材料销售等。</w:t>
      </w:r>
    </w:p>
    <w:p>
      <w:pPr>
        <w:pStyle w:val="33"/>
        <w:spacing w:after="0" w:line="500" w:lineRule="exact"/>
        <w:ind w:firstLine="560" w:firstLineChars="200"/>
        <w:rPr>
          <w:rFonts w:eastAsia="仿宋_GB2312"/>
          <w:bCs/>
          <w:sz w:val="28"/>
          <w:szCs w:val="28"/>
        </w:rPr>
      </w:pPr>
      <w:r>
        <w:rPr>
          <w:rFonts w:hint="eastAsia" w:eastAsia="仿宋_GB2312"/>
          <w:bCs/>
          <w:sz w:val="28"/>
          <w:szCs w:val="28"/>
        </w:rPr>
        <w:t>（二）公司产品方案</w:t>
      </w:r>
    </w:p>
    <w:p>
      <w:pPr>
        <w:adjustRightInd w:val="0"/>
        <w:snapToGrid w:val="0"/>
        <w:spacing w:line="500" w:lineRule="exact"/>
        <w:ind w:firstLine="482" w:firstLineChars="200"/>
        <w:jc w:val="center"/>
        <w:rPr>
          <w:rFonts w:eastAsia="仿宋_GB2312"/>
          <w:b/>
          <w:bCs/>
          <w:sz w:val="24"/>
        </w:rPr>
      </w:pPr>
    </w:p>
    <w:p>
      <w:pPr>
        <w:adjustRightInd w:val="0"/>
        <w:snapToGrid w:val="0"/>
        <w:spacing w:line="500" w:lineRule="exact"/>
        <w:ind w:firstLine="482" w:firstLineChars="200"/>
        <w:jc w:val="center"/>
        <w:rPr>
          <w:rFonts w:eastAsia="仿宋_GB2312"/>
          <w:b/>
          <w:bCs/>
          <w:sz w:val="24"/>
        </w:rPr>
      </w:pPr>
    </w:p>
    <w:p>
      <w:pPr>
        <w:adjustRightInd w:val="0"/>
        <w:snapToGrid w:val="0"/>
        <w:spacing w:line="500" w:lineRule="exact"/>
        <w:ind w:firstLine="482" w:firstLineChars="200"/>
        <w:jc w:val="center"/>
        <w:rPr>
          <w:rFonts w:eastAsia="仿宋_GB2312"/>
          <w:b/>
          <w:bCs/>
          <w:sz w:val="24"/>
        </w:rPr>
      </w:pPr>
    </w:p>
    <w:p>
      <w:pPr>
        <w:adjustRightInd w:val="0"/>
        <w:snapToGrid w:val="0"/>
        <w:spacing w:line="500" w:lineRule="exact"/>
        <w:ind w:firstLine="482" w:firstLineChars="200"/>
        <w:jc w:val="center"/>
        <w:rPr>
          <w:rFonts w:eastAsia="仿宋_GB2312"/>
          <w:b/>
          <w:bCs/>
          <w:sz w:val="24"/>
        </w:rPr>
      </w:pPr>
    </w:p>
    <w:p>
      <w:pPr>
        <w:adjustRightInd w:val="0"/>
        <w:snapToGrid w:val="0"/>
        <w:spacing w:line="500" w:lineRule="exact"/>
        <w:ind w:firstLine="482" w:firstLineChars="200"/>
        <w:jc w:val="center"/>
        <w:rPr>
          <w:rFonts w:eastAsia="仿宋_GB2312"/>
          <w:b/>
          <w:bCs/>
          <w:sz w:val="24"/>
        </w:rPr>
      </w:pPr>
    </w:p>
    <w:p>
      <w:pPr>
        <w:adjustRightInd w:val="0"/>
        <w:snapToGrid w:val="0"/>
        <w:spacing w:line="500" w:lineRule="exact"/>
        <w:ind w:firstLine="482" w:firstLineChars="200"/>
        <w:jc w:val="center"/>
        <w:rPr>
          <w:rFonts w:eastAsia="仿宋_GB2312"/>
          <w:b/>
          <w:bCs/>
          <w:sz w:val="24"/>
        </w:rPr>
      </w:pPr>
      <w:r>
        <w:rPr>
          <w:rFonts w:eastAsia="仿宋_GB2312"/>
          <w:b/>
          <w:bCs/>
          <w:sz w:val="24"/>
        </w:rPr>
        <w:t xml:space="preserve">表3.1-1  </w:t>
      </w:r>
      <w:r>
        <w:rPr>
          <w:rFonts w:hint="eastAsia" w:eastAsia="仿宋_GB2312"/>
          <w:b/>
          <w:bCs/>
          <w:sz w:val="24"/>
        </w:rPr>
        <w:t>现有</w:t>
      </w:r>
      <w:r>
        <w:rPr>
          <w:rFonts w:eastAsia="仿宋_GB2312"/>
          <w:b/>
          <w:bCs/>
          <w:sz w:val="24"/>
        </w:rPr>
        <w:t>厂区</w:t>
      </w:r>
      <w:r>
        <w:rPr>
          <w:rFonts w:hint="eastAsia" w:eastAsia="仿宋_GB2312"/>
          <w:b/>
          <w:bCs/>
          <w:sz w:val="24"/>
        </w:rPr>
        <w:t>产品</w:t>
      </w:r>
      <w:r>
        <w:rPr>
          <w:rFonts w:eastAsia="仿宋_GB2312"/>
          <w:b/>
          <w:bCs/>
          <w:sz w:val="24"/>
        </w:rPr>
        <w:t>方案一览表</w:t>
      </w:r>
    </w:p>
    <w:tbl>
      <w:tblPr>
        <w:tblStyle w:val="87"/>
        <w:tblW w:w="90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5"/>
        <w:gridCol w:w="1984"/>
        <w:gridCol w:w="1582"/>
        <w:gridCol w:w="1701"/>
        <w:gridCol w:w="1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9" w:hRule="atLeast"/>
          <w:jc w:val="center"/>
        </w:trPr>
        <w:tc>
          <w:tcPr>
            <w:tcW w:w="1775" w:type="dxa"/>
            <w:tcBorders>
              <w:top w:val="single" w:color="auto" w:sz="4" w:space="0"/>
              <w:left w:val="single" w:color="auto" w:sz="4" w:space="0"/>
              <w:right w:val="single" w:color="auto" w:sz="4" w:space="0"/>
            </w:tcBorders>
            <w:vAlign w:val="center"/>
          </w:tcPr>
          <w:p>
            <w:pPr>
              <w:widowControl/>
              <w:jc w:val="center"/>
              <w:rPr>
                <w:rFonts w:eastAsia="仿宋_GB2312"/>
                <w:sz w:val="24"/>
              </w:rPr>
            </w:pPr>
            <w:r>
              <w:rPr>
                <w:rFonts w:eastAsia="仿宋_GB2312"/>
                <w:sz w:val="24"/>
              </w:rPr>
              <w:t>工程名称</w:t>
            </w:r>
          </w:p>
        </w:tc>
        <w:tc>
          <w:tcPr>
            <w:tcW w:w="1984" w:type="dxa"/>
            <w:tcBorders>
              <w:top w:val="single" w:color="auto" w:sz="4" w:space="0"/>
              <w:left w:val="single" w:color="auto" w:sz="4" w:space="0"/>
              <w:right w:val="single" w:color="auto" w:sz="4" w:space="0"/>
            </w:tcBorders>
            <w:vAlign w:val="center"/>
          </w:tcPr>
          <w:p>
            <w:pPr>
              <w:widowControl/>
              <w:jc w:val="center"/>
              <w:rPr>
                <w:rFonts w:eastAsia="仿宋_GB2312"/>
                <w:sz w:val="24"/>
              </w:rPr>
            </w:pPr>
            <w:r>
              <w:rPr>
                <w:rFonts w:eastAsia="仿宋_GB2312"/>
                <w:sz w:val="24"/>
              </w:rPr>
              <w:t>产品名称及规格</w:t>
            </w:r>
          </w:p>
        </w:tc>
        <w:tc>
          <w:tcPr>
            <w:tcW w:w="1582" w:type="dxa"/>
            <w:tcBorders>
              <w:top w:val="single" w:color="auto" w:sz="4" w:space="0"/>
              <w:left w:val="single" w:color="auto" w:sz="4" w:space="0"/>
              <w:right w:val="single" w:color="auto" w:sz="4" w:space="0"/>
            </w:tcBorders>
            <w:vAlign w:val="center"/>
          </w:tcPr>
          <w:p>
            <w:pPr>
              <w:widowControl/>
              <w:jc w:val="center"/>
              <w:rPr>
                <w:rFonts w:eastAsia="仿宋_GB2312"/>
                <w:sz w:val="24"/>
              </w:rPr>
            </w:pPr>
            <w:r>
              <w:rPr>
                <w:rFonts w:eastAsia="仿宋_GB2312"/>
                <w:sz w:val="24"/>
              </w:rPr>
              <w:t>设计能力</w:t>
            </w:r>
            <w:r>
              <w:rPr>
                <w:rFonts w:hint="eastAsia" w:eastAsia="仿宋_GB2312"/>
                <w:sz w:val="24"/>
              </w:rPr>
              <w:t>（万m</w:t>
            </w:r>
            <w:r>
              <w:rPr>
                <w:rFonts w:eastAsia="仿宋_GB2312"/>
                <w:sz w:val="24"/>
                <w:vertAlign w:val="superscript"/>
              </w:rPr>
              <w:t>2</w:t>
            </w:r>
            <w:r>
              <w:rPr>
                <w:rFonts w:hint="eastAsia" w:eastAsia="仿宋_GB2312"/>
                <w:sz w:val="24"/>
              </w:rPr>
              <w:t>/年）</w:t>
            </w:r>
          </w:p>
        </w:tc>
        <w:tc>
          <w:tcPr>
            <w:tcW w:w="1701" w:type="dxa"/>
            <w:tcBorders>
              <w:top w:val="single" w:color="auto" w:sz="4" w:space="0"/>
              <w:left w:val="single" w:color="auto" w:sz="4" w:space="0"/>
              <w:right w:val="single" w:color="auto" w:sz="4" w:space="0"/>
            </w:tcBorders>
            <w:vAlign w:val="center"/>
          </w:tcPr>
          <w:p>
            <w:pPr>
              <w:widowControl/>
              <w:jc w:val="center"/>
              <w:rPr>
                <w:rFonts w:eastAsia="仿宋_GB2312"/>
                <w:sz w:val="24"/>
              </w:rPr>
            </w:pPr>
            <w:r>
              <w:rPr>
                <w:rFonts w:eastAsia="仿宋_GB2312"/>
                <w:sz w:val="24"/>
              </w:rPr>
              <w:t>年运行天数(天</w:t>
            </w:r>
            <w:r>
              <w:rPr>
                <w:rFonts w:hint="eastAsia" w:eastAsia="仿宋_GB2312"/>
                <w:sz w:val="24"/>
              </w:rPr>
              <w:t>/年</w:t>
            </w:r>
            <w:r>
              <w:rPr>
                <w:rFonts w:eastAsia="仿宋_GB2312"/>
                <w:sz w:val="24"/>
              </w:rPr>
              <w:t>)</w:t>
            </w:r>
          </w:p>
        </w:tc>
        <w:tc>
          <w:tcPr>
            <w:tcW w:w="1962" w:type="dxa"/>
            <w:tcBorders>
              <w:top w:val="single" w:color="auto" w:sz="4" w:space="0"/>
              <w:left w:val="single" w:color="auto" w:sz="4" w:space="0"/>
              <w:right w:val="single" w:color="auto" w:sz="4" w:space="0"/>
            </w:tcBorders>
            <w:vAlign w:val="center"/>
          </w:tcPr>
          <w:p>
            <w:pPr>
              <w:widowControl/>
              <w:jc w:val="center"/>
              <w:rPr>
                <w:rFonts w:eastAsia="仿宋_GB2312"/>
                <w:sz w:val="24"/>
              </w:rPr>
            </w:pPr>
            <w:r>
              <w:rPr>
                <w:rFonts w:eastAsia="仿宋_GB2312"/>
                <w:sz w:val="24"/>
              </w:rPr>
              <w:t>年运行时数</w:t>
            </w:r>
          </w:p>
          <w:p>
            <w:pPr>
              <w:widowControl/>
              <w:jc w:val="center"/>
              <w:rPr>
                <w:rFonts w:eastAsia="仿宋_GB2312"/>
                <w:sz w:val="24"/>
              </w:rPr>
            </w:pPr>
            <w:r>
              <w:rPr>
                <w:rFonts w:eastAsia="仿宋_GB2312"/>
                <w:sz w:val="24"/>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9" w:hRule="atLeast"/>
          <w:jc w:val="center"/>
        </w:trPr>
        <w:tc>
          <w:tcPr>
            <w:tcW w:w="1775" w:type="dxa"/>
            <w:vMerge w:val="restart"/>
            <w:tcBorders>
              <w:top w:val="single" w:color="auto" w:sz="4" w:space="0"/>
              <w:left w:val="single" w:color="auto" w:sz="4" w:space="0"/>
              <w:right w:val="single" w:color="auto" w:sz="4" w:space="0"/>
            </w:tcBorders>
            <w:vAlign w:val="center"/>
          </w:tcPr>
          <w:p>
            <w:pPr>
              <w:widowControl/>
              <w:jc w:val="center"/>
              <w:rPr>
                <w:rFonts w:eastAsia="仿宋_GB2312"/>
                <w:sz w:val="24"/>
              </w:rPr>
            </w:pPr>
            <w:r>
              <w:rPr>
                <w:rFonts w:hint="eastAsia" w:eastAsia="仿宋_GB2312"/>
                <w:sz w:val="24"/>
              </w:rPr>
              <w:t>涂布机械、工业胶带生产项目</w:t>
            </w:r>
          </w:p>
        </w:tc>
        <w:tc>
          <w:tcPr>
            <w:tcW w:w="1984" w:type="dxa"/>
            <w:tcBorders>
              <w:top w:val="single" w:color="auto" w:sz="4" w:space="0"/>
              <w:left w:val="single" w:color="auto" w:sz="4" w:space="0"/>
              <w:right w:val="single" w:color="auto" w:sz="4" w:space="0"/>
            </w:tcBorders>
            <w:vAlign w:val="center"/>
          </w:tcPr>
          <w:p>
            <w:pPr>
              <w:widowControl/>
              <w:jc w:val="center"/>
              <w:rPr>
                <w:rFonts w:eastAsia="仿宋_GB2312"/>
                <w:sz w:val="24"/>
              </w:rPr>
            </w:pPr>
            <w:r>
              <w:rPr>
                <w:rFonts w:hint="eastAsia" w:eastAsia="仿宋_GB2312"/>
                <w:sz w:val="24"/>
              </w:rPr>
              <w:t>P</w:t>
            </w:r>
            <w:r>
              <w:rPr>
                <w:rFonts w:eastAsia="仿宋_GB2312"/>
                <w:sz w:val="24"/>
              </w:rPr>
              <w:t>ET</w:t>
            </w:r>
            <w:r>
              <w:rPr>
                <w:rFonts w:hint="eastAsia" w:eastAsia="仿宋_GB2312"/>
                <w:sz w:val="24"/>
              </w:rPr>
              <w:t>胶带</w:t>
            </w:r>
          </w:p>
        </w:tc>
        <w:tc>
          <w:tcPr>
            <w:tcW w:w="1582"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仿宋_GB2312"/>
                <w:kern w:val="0"/>
                <w:sz w:val="24"/>
              </w:rPr>
            </w:pPr>
            <w:r>
              <w:rPr>
                <w:rFonts w:hint="eastAsia" w:eastAsia="仿宋_GB2312"/>
                <w:kern w:val="0"/>
                <w:sz w:val="24"/>
              </w:rPr>
              <w:t>8</w:t>
            </w:r>
            <w:r>
              <w:rPr>
                <w:rFonts w:eastAsia="仿宋_GB2312"/>
                <w:kern w:val="0"/>
                <w:sz w:val="24"/>
              </w:rPr>
              <w:t>00</w:t>
            </w:r>
          </w:p>
        </w:tc>
        <w:tc>
          <w:tcPr>
            <w:tcW w:w="1701" w:type="dxa"/>
            <w:vMerge w:val="restart"/>
            <w:tcBorders>
              <w:top w:val="single" w:color="auto" w:sz="4" w:space="0"/>
              <w:left w:val="single" w:color="auto" w:sz="4" w:space="0"/>
              <w:right w:val="single" w:color="auto" w:sz="4" w:space="0"/>
            </w:tcBorders>
            <w:vAlign w:val="center"/>
          </w:tcPr>
          <w:p>
            <w:pPr>
              <w:widowControl/>
              <w:jc w:val="center"/>
              <w:rPr>
                <w:rFonts w:eastAsia="仿宋_GB2312"/>
                <w:sz w:val="24"/>
              </w:rPr>
            </w:pPr>
            <w:r>
              <w:rPr>
                <w:rFonts w:hint="eastAsia" w:eastAsia="仿宋_GB2312"/>
                <w:sz w:val="24"/>
              </w:rPr>
              <w:t>3</w:t>
            </w:r>
            <w:r>
              <w:rPr>
                <w:rFonts w:eastAsia="仿宋_GB2312"/>
                <w:sz w:val="24"/>
              </w:rPr>
              <w:t>00</w:t>
            </w:r>
          </w:p>
        </w:tc>
        <w:tc>
          <w:tcPr>
            <w:tcW w:w="1962" w:type="dxa"/>
            <w:vMerge w:val="restart"/>
            <w:tcBorders>
              <w:top w:val="single" w:color="auto" w:sz="4" w:space="0"/>
              <w:left w:val="single" w:color="auto" w:sz="4" w:space="0"/>
              <w:right w:val="single" w:color="auto" w:sz="4" w:space="0"/>
            </w:tcBorders>
            <w:vAlign w:val="center"/>
          </w:tcPr>
          <w:p>
            <w:pPr>
              <w:widowControl/>
              <w:jc w:val="center"/>
              <w:rPr>
                <w:rFonts w:eastAsia="仿宋_GB2312"/>
                <w:sz w:val="24"/>
              </w:rPr>
            </w:pPr>
            <w:r>
              <w:rPr>
                <w:rFonts w:hint="eastAsia" w:eastAsia="仿宋_GB2312"/>
                <w:sz w:val="24"/>
              </w:rPr>
              <w:t>24</w:t>
            </w:r>
            <w:r>
              <w:rPr>
                <w:rFonts w:eastAsia="仿宋_GB2312"/>
                <w:sz w:val="24"/>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jc w:val="center"/>
        </w:trPr>
        <w:tc>
          <w:tcPr>
            <w:tcW w:w="1775" w:type="dxa"/>
            <w:vMerge w:val="continue"/>
            <w:tcBorders>
              <w:left w:val="single" w:color="auto" w:sz="4" w:space="0"/>
              <w:right w:val="single" w:color="auto" w:sz="4" w:space="0"/>
            </w:tcBorders>
            <w:vAlign w:val="center"/>
          </w:tcPr>
          <w:p>
            <w:pPr>
              <w:widowControl/>
              <w:jc w:val="center"/>
              <w:rPr>
                <w:rFonts w:eastAsia="仿宋_GB2312"/>
                <w:sz w:val="24"/>
              </w:rPr>
            </w:pPr>
          </w:p>
        </w:tc>
        <w:tc>
          <w:tcPr>
            <w:tcW w:w="1984"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仿宋_GB2312"/>
                <w:sz w:val="24"/>
              </w:rPr>
            </w:pPr>
            <w:r>
              <w:rPr>
                <w:rFonts w:hint="eastAsia" w:eastAsia="仿宋_GB2312"/>
                <w:sz w:val="24"/>
              </w:rPr>
              <w:t>泡棉胶带</w:t>
            </w:r>
          </w:p>
        </w:tc>
        <w:tc>
          <w:tcPr>
            <w:tcW w:w="1582"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仿宋_GB2312"/>
                <w:kern w:val="0"/>
                <w:sz w:val="24"/>
              </w:rPr>
            </w:pPr>
            <w:r>
              <w:rPr>
                <w:rFonts w:hint="eastAsia" w:eastAsia="仿宋_GB2312"/>
                <w:kern w:val="0"/>
                <w:sz w:val="24"/>
              </w:rPr>
              <w:t>5</w:t>
            </w:r>
            <w:r>
              <w:rPr>
                <w:rFonts w:eastAsia="仿宋_GB2312"/>
                <w:kern w:val="0"/>
                <w:sz w:val="24"/>
              </w:rPr>
              <w:t>00</w:t>
            </w:r>
          </w:p>
        </w:tc>
        <w:tc>
          <w:tcPr>
            <w:tcW w:w="1701" w:type="dxa"/>
            <w:vMerge w:val="continue"/>
            <w:tcBorders>
              <w:left w:val="single" w:color="auto" w:sz="4" w:space="0"/>
              <w:right w:val="single" w:color="auto" w:sz="4" w:space="0"/>
            </w:tcBorders>
            <w:vAlign w:val="center"/>
          </w:tcPr>
          <w:p>
            <w:pPr>
              <w:jc w:val="center"/>
              <w:rPr>
                <w:rFonts w:eastAsia="仿宋_GB2312"/>
                <w:sz w:val="24"/>
              </w:rPr>
            </w:pPr>
          </w:p>
        </w:tc>
        <w:tc>
          <w:tcPr>
            <w:tcW w:w="1962" w:type="dxa"/>
            <w:vMerge w:val="continue"/>
            <w:tcBorders>
              <w:left w:val="single" w:color="auto" w:sz="4" w:space="0"/>
              <w:right w:val="single" w:color="auto" w:sz="4" w:space="0"/>
            </w:tcBorders>
            <w:vAlign w:val="center"/>
          </w:tcPr>
          <w:p>
            <w:pPr>
              <w:widowControl/>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jc w:val="center"/>
        </w:trPr>
        <w:tc>
          <w:tcPr>
            <w:tcW w:w="1775" w:type="dxa"/>
            <w:vMerge w:val="continue"/>
            <w:tcBorders>
              <w:left w:val="single" w:color="auto" w:sz="4" w:space="0"/>
              <w:bottom w:val="single" w:color="auto" w:sz="4" w:space="0"/>
              <w:right w:val="single" w:color="auto" w:sz="4" w:space="0"/>
            </w:tcBorders>
            <w:vAlign w:val="center"/>
          </w:tcPr>
          <w:p>
            <w:pPr>
              <w:widowControl/>
              <w:jc w:val="center"/>
              <w:rPr>
                <w:rFonts w:eastAsia="仿宋_GB2312"/>
                <w:sz w:val="24"/>
              </w:rPr>
            </w:pPr>
          </w:p>
        </w:tc>
        <w:tc>
          <w:tcPr>
            <w:tcW w:w="1984"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仿宋_GB2312"/>
                <w:sz w:val="24"/>
              </w:rPr>
            </w:pPr>
            <w:r>
              <w:rPr>
                <w:rFonts w:hint="eastAsia" w:eastAsia="仿宋_GB2312"/>
                <w:sz w:val="24"/>
              </w:rPr>
              <w:t>工业双面胶带</w:t>
            </w:r>
          </w:p>
        </w:tc>
        <w:tc>
          <w:tcPr>
            <w:tcW w:w="1582"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仿宋_GB2312"/>
                <w:kern w:val="0"/>
                <w:sz w:val="24"/>
              </w:rPr>
            </w:pPr>
            <w:r>
              <w:rPr>
                <w:rFonts w:hint="eastAsia" w:eastAsia="仿宋_GB2312"/>
                <w:kern w:val="0"/>
                <w:sz w:val="24"/>
              </w:rPr>
              <w:t>5</w:t>
            </w:r>
            <w:r>
              <w:rPr>
                <w:rFonts w:eastAsia="仿宋_GB2312"/>
                <w:kern w:val="0"/>
                <w:sz w:val="24"/>
              </w:rPr>
              <w:t>00</w:t>
            </w:r>
          </w:p>
        </w:tc>
        <w:tc>
          <w:tcPr>
            <w:tcW w:w="1701" w:type="dxa"/>
            <w:vMerge w:val="continue"/>
            <w:tcBorders>
              <w:left w:val="single" w:color="auto" w:sz="4" w:space="0"/>
              <w:right w:val="single" w:color="auto" w:sz="4" w:space="0"/>
            </w:tcBorders>
            <w:vAlign w:val="center"/>
          </w:tcPr>
          <w:p>
            <w:pPr>
              <w:widowControl/>
              <w:jc w:val="center"/>
              <w:rPr>
                <w:rFonts w:eastAsia="仿宋_GB2312"/>
                <w:sz w:val="24"/>
              </w:rPr>
            </w:pPr>
          </w:p>
        </w:tc>
        <w:tc>
          <w:tcPr>
            <w:tcW w:w="1962" w:type="dxa"/>
            <w:vMerge w:val="continue"/>
            <w:tcBorders>
              <w:left w:val="single" w:color="auto" w:sz="4" w:space="0"/>
              <w:right w:val="single" w:color="auto" w:sz="4" w:space="0"/>
            </w:tcBorders>
            <w:vAlign w:val="center"/>
          </w:tcPr>
          <w:p>
            <w:pPr>
              <w:widowControl/>
              <w:jc w:val="center"/>
              <w:rPr>
                <w:rFonts w:eastAsia="仿宋_GB2312"/>
                <w:sz w:val="24"/>
              </w:rPr>
            </w:pPr>
          </w:p>
        </w:tc>
      </w:tr>
    </w:tbl>
    <w:p>
      <w:pPr>
        <w:pStyle w:val="33"/>
        <w:spacing w:after="0" w:line="500" w:lineRule="exact"/>
        <w:ind w:firstLine="560" w:firstLineChars="200"/>
        <w:rPr>
          <w:rFonts w:eastAsia="仿宋_GB2312"/>
          <w:bCs/>
          <w:sz w:val="28"/>
          <w:szCs w:val="28"/>
        </w:rPr>
      </w:pPr>
      <w:r>
        <w:rPr>
          <w:rFonts w:hint="eastAsia" w:eastAsia="仿宋_GB2312"/>
          <w:bCs/>
          <w:sz w:val="28"/>
          <w:szCs w:val="28"/>
        </w:rPr>
        <w:t>（三）公司环保手续履行情况</w:t>
      </w:r>
    </w:p>
    <w:p>
      <w:pPr>
        <w:pStyle w:val="33"/>
        <w:spacing w:after="0" w:line="500" w:lineRule="exact"/>
        <w:ind w:firstLine="560" w:firstLineChars="200"/>
        <w:rPr>
          <w:rFonts w:eastAsia="仿宋_GB2312"/>
          <w:bCs/>
          <w:sz w:val="28"/>
          <w:szCs w:val="28"/>
        </w:rPr>
      </w:pPr>
      <w:r>
        <w:rPr>
          <w:rFonts w:hint="eastAsia" w:eastAsia="仿宋_GB2312"/>
          <w:bCs/>
          <w:sz w:val="28"/>
          <w:szCs w:val="28"/>
        </w:rPr>
        <w:t>企业于2012年6月申报了《迁建生产涂布机械、工业胶带项目》，并于2012年7月获得了金坛市环保局的批复（坛环审[2012]97号），由于分期建设、分期验收、设备调整及固废处理方式变化等原因，企业进行了该项目环评修编，于</w:t>
      </w:r>
      <w:r>
        <w:rPr>
          <w:rFonts w:eastAsia="仿宋_GB2312"/>
          <w:bCs/>
          <w:sz w:val="28"/>
          <w:szCs w:val="28"/>
        </w:rPr>
        <w:t>2014</w:t>
      </w:r>
      <w:r>
        <w:rPr>
          <w:rFonts w:hint="eastAsia" w:eastAsia="仿宋_GB2312"/>
          <w:bCs/>
          <w:sz w:val="28"/>
          <w:szCs w:val="28"/>
        </w:rPr>
        <w:t>年</w:t>
      </w:r>
      <w:r>
        <w:rPr>
          <w:rFonts w:eastAsia="仿宋_GB2312"/>
          <w:bCs/>
          <w:sz w:val="28"/>
          <w:szCs w:val="28"/>
        </w:rPr>
        <w:t>9</w:t>
      </w:r>
      <w:r>
        <w:rPr>
          <w:rFonts w:hint="eastAsia" w:eastAsia="仿宋_GB2312"/>
          <w:bCs/>
          <w:sz w:val="28"/>
          <w:szCs w:val="28"/>
        </w:rPr>
        <w:t>月编制了《迁建生产涂布机械、工业胶带项目环境影响修编报告》，并于</w:t>
      </w:r>
      <w:r>
        <w:rPr>
          <w:rFonts w:eastAsia="仿宋_GB2312"/>
          <w:bCs/>
          <w:sz w:val="28"/>
          <w:szCs w:val="28"/>
        </w:rPr>
        <w:t>2014</w:t>
      </w:r>
      <w:r>
        <w:rPr>
          <w:rFonts w:hint="eastAsia" w:eastAsia="仿宋_GB2312"/>
          <w:bCs/>
          <w:sz w:val="28"/>
          <w:szCs w:val="28"/>
        </w:rPr>
        <w:t>年</w:t>
      </w:r>
      <w:r>
        <w:rPr>
          <w:rFonts w:eastAsia="仿宋_GB2312"/>
          <w:bCs/>
          <w:sz w:val="28"/>
          <w:szCs w:val="28"/>
        </w:rPr>
        <w:t>12</w:t>
      </w:r>
      <w:r>
        <w:rPr>
          <w:rFonts w:hint="eastAsia" w:eastAsia="仿宋_GB2312"/>
          <w:bCs/>
          <w:sz w:val="28"/>
          <w:szCs w:val="28"/>
        </w:rPr>
        <w:t>月</w:t>
      </w:r>
      <w:r>
        <w:rPr>
          <w:rFonts w:eastAsia="仿宋_GB2312"/>
          <w:bCs/>
          <w:sz w:val="28"/>
          <w:szCs w:val="28"/>
        </w:rPr>
        <w:t>15</w:t>
      </w:r>
      <w:r>
        <w:rPr>
          <w:rFonts w:hint="eastAsia" w:eastAsia="仿宋_GB2312"/>
          <w:bCs/>
          <w:sz w:val="28"/>
          <w:szCs w:val="28"/>
        </w:rPr>
        <w:t>日获得了金坛市环境保护局《迁建生产涂布机械、工业胶带项目环境影响修编报告备案的函》（坛环服函[</w:t>
      </w:r>
      <w:r>
        <w:rPr>
          <w:rFonts w:eastAsia="仿宋_GB2312"/>
          <w:bCs/>
          <w:sz w:val="28"/>
          <w:szCs w:val="28"/>
        </w:rPr>
        <w:t>2014</w:t>
      </w:r>
      <w:r>
        <w:rPr>
          <w:rFonts w:hint="eastAsia" w:eastAsia="仿宋_GB2312"/>
          <w:bCs/>
          <w:sz w:val="28"/>
          <w:szCs w:val="28"/>
        </w:rPr>
        <w:t>]</w:t>
      </w:r>
      <w:r>
        <w:rPr>
          <w:rFonts w:eastAsia="仿宋_GB2312"/>
          <w:bCs/>
          <w:sz w:val="28"/>
          <w:szCs w:val="28"/>
        </w:rPr>
        <w:t>29</w:t>
      </w:r>
      <w:r>
        <w:rPr>
          <w:rFonts w:hint="eastAsia" w:eastAsia="仿宋_GB2312"/>
          <w:bCs/>
          <w:sz w:val="28"/>
          <w:szCs w:val="28"/>
        </w:rPr>
        <w:t>号）。一期项目于</w:t>
      </w:r>
      <w:r>
        <w:rPr>
          <w:rFonts w:eastAsia="仿宋_GB2312"/>
          <w:bCs/>
          <w:sz w:val="28"/>
          <w:szCs w:val="28"/>
        </w:rPr>
        <w:t>2016</w:t>
      </w:r>
      <w:r>
        <w:rPr>
          <w:rFonts w:hint="eastAsia" w:eastAsia="仿宋_GB2312"/>
          <w:bCs/>
          <w:sz w:val="28"/>
          <w:szCs w:val="28"/>
        </w:rPr>
        <w:t>年</w:t>
      </w:r>
      <w:r>
        <w:rPr>
          <w:rFonts w:eastAsia="仿宋_GB2312"/>
          <w:bCs/>
          <w:sz w:val="28"/>
          <w:szCs w:val="28"/>
        </w:rPr>
        <w:t>2</w:t>
      </w:r>
      <w:r>
        <w:rPr>
          <w:rFonts w:hint="eastAsia" w:eastAsia="仿宋_GB2312"/>
          <w:bCs/>
          <w:sz w:val="28"/>
          <w:szCs w:val="28"/>
        </w:rPr>
        <w:t>月</w:t>
      </w:r>
      <w:r>
        <w:rPr>
          <w:rFonts w:eastAsia="仿宋_GB2312"/>
          <w:bCs/>
          <w:sz w:val="28"/>
          <w:szCs w:val="28"/>
        </w:rPr>
        <w:t>2</w:t>
      </w:r>
      <w:r>
        <w:rPr>
          <w:rFonts w:hint="eastAsia" w:eastAsia="仿宋_GB2312"/>
          <w:bCs/>
          <w:sz w:val="28"/>
          <w:szCs w:val="28"/>
        </w:rPr>
        <w:t>日获得验收批文（坛环验</w:t>
      </w:r>
      <w:r>
        <w:rPr>
          <w:rFonts w:eastAsia="仿宋_GB2312"/>
          <w:bCs/>
          <w:sz w:val="28"/>
          <w:szCs w:val="28"/>
        </w:rPr>
        <w:t>[2016]3</w:t>
      </w:r>
      <w:r>
        <w:rPr>
          <w:rFonts w:hint="eastAsia" w:eastAsia="仿宋_GB2312"/>
          <w:bCs/>
          <w:sz w:val="28"/>
          <w:szCs w:val="28"/>
        </w:rPr>
        <w:t>号），二期项目于</w:t>
      </w:r>
      <w:r>
        <w:rPr>
          <w:rFonts w:eastAsia="仿宋_GB2312"/>
          <w:bCs/>
          <w:sz w:val="28"/>
          <w:szCs w:val="28"/>
        </w:rPr>
        <w:t>20</w:t>
      </w:r>
      <w:r>
        <w:rPr>
          <w:rFonts w:hint="eastAsia" w:eastAsia="仿宋_GB2312"/>
          <w:bCs/>
          <w:sz w:val="28"/>
          <w:szCs w:val="28"/>
        </w:rPr>
        <w:t>21年7月完成自主验收，目前厂内所有工程均验收完毕。</w:t>
      </w:r>
    </w:p>
    <w:p>
      <w:pPr>
        <w:pStyle w:val="33"/>
        <w:spacing w:after="0" w:line="500" w:lineRule="exact"/>
        <w:ind w:firstLine="560" w:firstLineChars="200"/>
        <w:rPr>
          <w:rFonts w:eastAsia="仿宋_GB2312"/>
          <w:bCs/>
          <w:sz w:val="28"/>
          <w:szCs w:val="28"/>
        </w:rPr>
      </w:pPr>
      <w:r>
        <w:rPr>
          <w:rFonts w:hint="eastAsia" w:eastAsia="仿宋_GB2312"/>
          <w:bCs/>
          <w:sz w:val="28"/>
          <w:szCs w:val="28"/>
        </w:rPr>
        <w:t>企业于2019年申报排污许可证，许可证编号：</w:t>
      </w:r>
      <w:r>
        <w:rPr>
          <w:rFonts w:eastAsia="仿宋_GB2312"/>
          <w:bCs/>
          <w:sz w:val="28"/>
          <w:szCs w:val="28"/>
        </w:rPr>
        <w:t>91320413790859505R001Q</w:t>
      </w:r>
      <w:r>
        <w:rPr>
          <w:rFonts w:hint="eastAsia" w:eastAsia="仿宋_GB2312"/>
          <w:bCs/>
          <w:sz w:val="28"/>
          <w:szCs w:val="28"/>
        </w:rPr>
        <w:t>。企业于20</w:t>
      </w:r>
      <w:r>
        <w:rPr>
          <w:rFonts w:eastAsia="仿宋_GB2312"/>
          <w:bCs/>
          <w:sz w:val="28"/>
          <w:szCs w:val="28"/>
        </w:rPr>
        <w:t>22</w:t>
      </w:r>
      <w:r>
        <w:rPr>
          <w:rFonts w:hint="eastAsia" w:eastAsia="仿宋_GB2312"/>
          <w:bCs/>
          <w:sz w:val="28"/>
          <w:szCs w:val="28"/>
        </w:rPr>
        <w:t>年7月5日取得应急预案备案，备案编号：</w:t>
      </w:r>
      <w:r>
        <w:rPr>
          <w:rFonts w:eastAsia="仿宋_GB2312"/>
          <w:bCs/>
          <w:sz w:val="28"/>
          <w:szCs w:val="28"/>
        </w:rPr>
        <w:t>320482-2022-141-L</w:t>
      </w:r>
      <w:r>
        <w:rPr>
          <w:rFonts w:hint="eastAsia" w:eastAsia="仿宋_GB2312"/>
          <w:bCs/>
          <w:sz w:val="28"/>
          <w:szCs w:val="28"/>
        </w:rPr>
        <w:t>。企业无环境问题，目前正常生产。</w:t>
      </w:r>
    </w:p>
    <w:p>
      <w:pPr>
        <w:adjustRightInd w:val="0"/>
        <w:snapToGrid w:val="0"/>
        <w:spacing w:line="500" w:lineRule="exact"/>
        <w:ind w:firstLine="482" w:firstLineChars="200"/>
        <w:jc w:val="center"/>
        <w:rPr>
          <w:rFonts w:eastAsia="仿宋_GB2312"/>
          <w:b/>
          <w:bCs/>
          <w:sz w:val="24"/>
        </w:rPr>
      </w:pPr>
      <w:r>
        <w:rPr>
          <w:rFonts w:eastAsia="仿宋_GB2312"/>
          <w:b/>
          <w:bCs/>
          <w:sz w:val="24"/>
        </w:rPr>
        <w:t xml:space="preserve">表3.1-2  </w:t>
      </w:r>
      <w:r>
        <w:rPr>
          <w:rFonts w:hint="eastAsia" w:eastAsia="仿宋_GB2312"/>
          <w:b/>
          <w:bCs/>
          <w:sz w:val="24"/>
        </w:rPr>
        <w:t>环保手续履行情况</w:t>
      </w:r>
      <w:r>
        <w:rPr>
          <w:rFonts w:eastAsia="仿宋_GB2312"/>
          <w:b/>
          <w:bCs/>
          <w:sz w:val="24"/>
        </w:rPr>
        <w:t>一览表</w:t>
      </w:r>
    </w:p>
    <w:tbl>
      <w:tblPr>
        <w:tblStyle w:val="88"/>
        <w:tblW w:w="94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0"/>
        <w:gridCol w:w="978"/>
        <w:gridCol w:w="1418"/>
        <w:gridCol w:w="1134"/>
        <w:gridCol w:w="2835"/>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0" w:type="dxa"/>
            <w:vAlign w:val="center"/>
          </w:tcPr>
          <w:p>
            <w:pPr>
              <w:jc w:val="center"/>
              <w:rPr>
                <w:rFonts w:ascii="仿宋" w:hAnsi="仿宋" w:eastAsia="仿宋"/>
                <w:bCs/>
                <w:szCs w:val="21"/>
              </w:rPr>
            </w:pPr>
            <w:r>
              <w:rPr>
                <w:rFonts w:hint="eastAsia" w:ascii="仿宋" w:hAnsi="仿宋" w:eastAsia="仿宋"/>
                <w:bCs/>
                <w:szCs w:val="21"/>
              </w:rPr>
              <w:t>项目名称</w:t>
            </w:r>
          </w:p>
        </w:tc>
        <w:tc>
          <w:tcPr>
            <w:tcW w:w="978" w:type="dxa"/>
            <w:vAlign w:val="center"/>
          </w:tcPr>
          <w:p>
            <w:pPr>
              <w:jc w:val="center"/>
              <w:rPr>
                <w:rFonts w:ascii="仿宋" w:hAnsi="仿宋" w:eastAsia="仿宋"/>
                <w:bCs/>
                <w:szCs w:val="21"/>
              </w:rPr>
            </w:pPr>
            <w:r>
              <w:rPr>
                <w:rFonts w:hint="eastAsia" w:ascii="仿宋" w:hAnsi="仿宋" w:eastAsia="仿宋"/>
                <w:bCs/>
                <w:szCs w:val="21"/>
              </w:rPr>
              <w:t>环评手续类型</w:t>
            </w:r>
          </w:p>
        </w:tc>
        <w:tc>
          <w:tcPr>
            <w:tcW w:w="1418" w:type="dxa"/>
            <w:vAlign w:val="center"/>
          </w:tcPr>
          <w:p>
            <w:pPr>
              <w:jc w:val="center"/>
              <w:rPr>
                <w:rFonts w:ascii="仿宋" w:hAnsi="仿宋" w:eastAsia="仿宋"/>
                <w:bCs/>
                <w:szCs w:val="21"/>
              </w:rPr>
            </w:pPr>
            <w:r>
              <w:rPr>
                <w:rFonts w:hint="eastAsia" w:ascii="仿宋" w:hAnsi="仿宋" w:eastAsia="仿宋"/>
                <w:bCs/>
                <w:szCs w:val="21"/>
              </w:rPr>
              <w:t>批复产能</w:t>
            </w:r>
          </w:p>
        </w:tc>
        <w:tc>
          <w:tcPr>
            <w:tcW w:w="1134" w:type="dxa"/>
            <w:vAlign w:val="center"/>
          </w:tcPr>
          <w:p>
            <w:pPr>
              <w:jc w:val="center"/>
              <w:rPr>
                <w:rFonts w:ascii="仿宋" w:hAnsi="仿宋" w:eastAsia="仿宋"/>
                <w:bCs/>
                <w:szCs w:val="21"/>
              </w:rPr>
            </w:pPr>
            <w:r>
              <w:rPr>
                <w:rFonts w:hint="eastAsia" w:ascii="仿宋" w:hAnsi="仿宋" w:eastAsia="仿宋"/>
                <w:bCs/>
                <w:szCs w:val="21"/>
              </w:rPr>
              <w:t>实际建设情况</w:t>
            </w:r>
          </w:p>
        </w:tc>
        <w:tc>
          <w:tcPr>
            <w:tcW w:w="2835" w:type="dxa"/>
            <w:vAlign w:val="center"/>
          </w:tcPr>
          <w:p>
            <w:pPr>
              <w:jc w:val="center"/>
              <w:rPr>
                <w:rFonts w:ascii="仿宋" w:hAnsi="仿宋" w:eastAsia="仿宋"/>
                <w:bCs/>
                <w:szCs w:val="21"/>
              </w:rPr>
            </w:pPr>
            <w:r>
              <w:rPr>
                <w:rFonts w:hint="eastAsia" w:ascii="仿宋" w:hAnsi="仿宋" w:eastAsia="仿宋"/>
                <w:bCs/>
                <w:szCs w:val="21"/>
              </w:rPr>
              <w:t>批复情况</w:t>
            </w:r>
          </w:p>
        </w:tc>
        <w:tc>
          <w:tcPr>
            <w:tcW w:w="1559" w:type="dxa"/>
            <w:vAlign w:val="center"/>
          </w:tcPr>
          <w:p>
            <w:pPr>
              <w:jc w:val="center"/>
              <w:rPr>
                <w:rFonts w:ascii="仿宋" w:hAnsi="仿宋" w:eastAsia="仿宋"/>
                <w:bCs/>
                <w:szCs w:val="21"/>
              </w:rPr>
            </w:pPr>
            <w:r>
              <w:rPr>
                <w:rFonts w:hint="eastAsia" w:ascii="仿宋" w:hAnsi="仿宋" w:eastAsia="仿宋"/>
                <w:bCs/>
                <w:szCs w:val="21"/>
              </w:rPr>
              <w:t>建设/验收情况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540" w:type="dxa"/>
            <w:vMerge w:val="restart"/>
            <w:vAlign w:val="center"/>
          </w:tcPr>
          <w:p>
            <w:pPr>
              <w:jc w:val="center"/>
              <w:rPr>
                <w:rFonts w:ascii="仿宋" w:hAnsi="仿宋" w:eastAsia="仿宋"/>
                <w:bCs/>
                <w:szCs w:val="21"/>
              </w:rPr>
            </w:pPr>
            <w:r>
              <w:rPr>
                <w:rFonts w:hint="eastAsia" w:ascii="仿宋" w:hAnsi="仿宋" w:eastAsia="仿宋"/>
                <w:bCs/>
                <w:szCs w:val="21"/>
              </w:rPr>
              <w:t>迁建生产涂布机械、工业胶带项目</w:t>
            </w:r>
          </w:p>
        </w:tc>
        <w:tc>
          <w:tcPr>
            <w:tcW w:w="978" w:type="dxa"/>
            <w:vMerge w:val="restart"/>
            <w:vAlign w:val="center"/>
          </w:tcPr>
          <w:p>
            <w:pPr>
              <w:jc w:val="center"/>
              <w:rPr>
                <w:rFonts w:ascii="仿宋" w:hAnsi="仿宋" w:eastAsia="仿宋"/>
                <w:bCs/>
                <w:szCs w:val="21"/>
              </w:rPr>
            </w:pPr>
            <w:r>
              <w:rPr>
                <w:rFonts w:hint="eastAsia" w:ascii="仿宋" w:hAnsi="仿宋" w:eastAsia="仿宋"/>
                <w:bCs/>
                <w:szCs w:val="21"/>
              </w:rPr>
              <w:t>环评报告表</w:t>
            </w:r>
          </w:p>
        </w:tc>
        <w:tc>
          <w:tcPr>
            <w:tcW w:w="1418" w:type="dxa"/>
            <w:vAlign w:val="center"/>
          </w:tcPr>
          <w:p>
            <w:pPr>
              <w:jc w:val="center"/>
              <w:rPr>
                <w:rFonts w:ascii="仿宋" w:hAnsi="仿宋" w:eastAsia="仿宋"/>
                <w:bCs/>
                <w:szCs w:val="21"/>
              </w:rPr>
            </w:pPr>
            <w:r>
              <w:rPr>
                <w:rFonts w:hint="eastAsia" w:ascii="仿宋" w:hAnsi="仿宋" w:eastAsia="仿宋"/>
                <w:bCs/>
                <w:szCs w:val="21"/>
              </w:rPr>
              <w:t>涂布机械8台（套）/年</w:t>
            </w:r>
          </w:p>
        </w:tc>
        <w:tc>
          <w:tcPr>
            <w:tcW w:w="1134" w:type="dxa"/>
            <w:vAlign w:val="center"/>
          </w:tcPr>
          <w:p>
            <w:pPr>
              <w:jc w:val="center"/>
              <w:rPr>
                <w:rFonts w:ascii="仿宋" w:hAnsi="仿宋" w:eastAsia="仿宋"/>
                <w:bCs/>
                <w:szCs w:val="21"/>
              </w:rPr>
            </w:pPr>
            <w:r>
              <w:rPr>
                <w:rFonts w:hint="eastAsia" w:ascii="仿宋" w:hAnsi="仿宋" w:eastAsia="仿宋"/>
                <w:bCs/>
                <w:szCs w:val="21"/>
              </w:rPr>
              <w:t>已淘汰</w:t>
            </w:r>
          </w:p>
        </w:tc>
        <w:tc>
          <w:tcPr>
            <w:tcW w:w="2835" w:type="dxa"/>
            <w:vMerge w:val="restart"/>
            <w:vAlign w:val="center"/>
          </w:tcPr>
          <w:p>
            <w:pPr>
              <w:jc w:val="center"/>
              <w:rPr>
                <w:rFonts w:ascii="仿宋" w:hAnsi="仿宋" w:eastAsia="仿宋"/>
                <w:bCs/>
                <w:szCs w:val="21"/>
              </w:rPr>
            </w:pPr>
            <w:r>
              <w:rPr>
                <w:rFonts w:hint="eastAsia" w:ascii="仿宋" w:hAnsi="仿宋" w:eastAsia="仿宋"/>
                <w:bCs/>
                <w:szCs w:val="21"/>
              </w:rPr>
              <w:t>于2012年7月获得了金坛市环保局的批复（坛环审[2012]97号）</w:t>
            </w:r>
          </w:p>
        </w:tc>
        <w:tc>
          <w:tcPr>
            <w:tcW w:w="1559" w:type="dxa"/>
            <w:vMerge w:val="restart"/>
            <w:vAlign w:val="center"/>
          </w:tcPr>
          <w:p>
            <w:pPr>
              <w:jc w:val="center"/>
              <w:rPr>
                <w:rFonts w:ascii="仿宋" w:hAnsi="仿宋" w:eastAsia="仿宋"/>
                <w:bCs/>
                <w:szCs w:val="21"/>
              </w:rPr>
            </w:pPr>
            <w:r>
              <w:rPr>
                <w:rFonts w:hint="eastAsia" w:ascii="仿宋" w:hAnsi="仿宋" w:eastAsia="仿宋"/>
                <w:bCs/>
                <w:szCs w:val="21"/>
              </w:rPr>
              <w:t>一期项目于</w:t>
            </w:r>
            <w:r>
              <w:rPr>
                <w:rFonts w:ascii="仿宋" w:hAnsi="仿宋" w:eastAsia="仿宋"/>
                <w:bCs/>
                <w:szCs w:val="21"/>
              </w:rPr>
              <w:t>2016</w:t>
            </w:r>
            <w:r>
              <w:rPr>
                <w:rFonts w:hint="eastAsia" w:ascii="仿宋" w:hAnsi="仿宋" w:eastAsia="仿宋"/>
                <w:bCs/>
                <w:szCs w:val="21"/>
              </w:rPr>
              <w:t>年</w:t>
            </w:r>
            <w:r>
              <w:rPr>
                <w:rFonts w:ascii="仿宋" w:hAnsi="仿宋" w:eastAsia="仿宋"/>
                <w:bCs/>
                <w:szCs w:val="21"/>
              </w:rPr>
              <w:t>2</w:t>
            </w:r>
            <w:r>
              <w:rPr>
                <w:rFonts w:hint="eastAsia" w:ascii="仿宋" w:hAnsi="仿宋" w:eastAsia="仿宋"/>
                <w:bCs/>
                <w:szCs w:val="21"/>
              </w:rPr>
              <w:t>月</w:t>
            </w:r>
            <w:r>
              <w:rPr>
                <w:rFonts w:ascii="仿宋" w:hAnsi="仿宋" w:eastAsia="仿宋"/>
                <w:bCs/>
                <w:szCs w:val="21"/>
              </w:rPr>
              <w:t>2</w:t>
            </w:r>
            <w:r>
              <w:rPr>
                <w:rFonts w:hint="eastAsia" w:ascii="仿宋" w:hAnsi="仿宋" w:eastAsia="仿宋"/>
                <w:bCs/>
                <w:szCs w:val="21"/>
              </w:rPr>
              <w:t>日获得验收批文（坛环验</w:t>
            </w:r>
            <w:r>
              <w:rPr>
                <w:rFonts w:ascii="仿宋" w:hAnsi="仿宋" w:eastAsia="仿宋"/>
                <w:bCs/>
                <w:szCs w:val="21"/>
              </w:rPr>
              <w:t>[2016]3</w:t>
            </w:r>
            <w:r>
              <w:rPr>
                <w:rFonts w:hint="eastAsia" w:ascii="仿宋" w:hAnsi="仿宋" w:eastAsia="仿宋"/>
                <w:bCs/>
                <w:szCs w:val="21"/>
              </w:rPr>
              <w:t>号），二期项目于</w:t>
            </w:r>
            <w:r>
              <w:rPr>
                <w:rFonts w:ascii="仿宋" w:hAnsi="仿宋" w:eastAsia="仿宋"/>
                <w:bCs/>
                <w:szCs w:val="21"/>
              </w:rPr>
              <w:t>20</w:t>
            </w:r>
            <w:r>
              <w:rPr>
                <w:rFonts w:hint="eastAsia" w:ascii="仿宋" w:hAnsi="仿宋" w:eastAsia="仿宋"/>
                <w:bCs/>
                <w:szCs w:val="21"/>
              </w:rPr>
              <w:t>21年7月完成自主验收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540" w:type="dxa"/>
            <w:vMerge w:val="continue"/>
            <w:vAlign w:val="center"/>
          </w:tcPr>
          <w:p>
            <w:pPr>
              <w:jc w:val="center"/>
              <w:rPr>
                <w:rFonts w:ascii="仿宋" w:hAnsi="仿宋" w:eastAsia="仿宋"/>
                <w:bCs/>
                <w:szCs w:val="21"/>
              </w:rPr>
            </w:pPr>
          </w:p>
        </w:tc>
        <w:tc>
          <w:tcPr>
            <w:tcW w:w="978" w:type="dxa"/>
            <w:vMerge w:val="continue"/>
            <w:vAlign w:val="center"/>
          </w:tcPr>
          <w:p>
            <w:pPr>
              <w:jc w:val="center"/>
              <w:rPr>
                <w:rFonts w:ascii="仿宋" w:hAnsi="仿宋" w:eastAsia="仿宋"/>
                <w:bCs/>
                <w:szCs w:val="21"/>
              </w:rPr>
            </w:pPr>
          </w:p>
        </w:tc>
        <w:tc>
          <w:tcPr>
            <w:tcW w:w="1418" w:type="dxa"/>
            <w:vAlign w:val="center"/>
          </w:tcPr>
          <w:p>
            <w:pPr>
              <w:jc w:val="center"/>
              <w:rPr>
                <w:rFonts w:ascii="仿宋" w:hAnsi="仿宋" w:eastAsia="仿宋"/>
                <w:bCs/>
                <w:szCs w:val="21"/>
              </w:rPr>
            </w:pPr>
            <w:r>
              <w:rPr>
                <w:rFonts w:hint="eastAsia" w:ascii="仿宋" w:hAnsi="仿宋" w:eastAsia="仿宋"/>
                <w:bCs/>
                <w:szCs w:val="21"/>
              </w:rPr>
              <w:t>P</w:t>
            </w:r>
            <w:r>
              <w:rPr>
                <w:rFonts w:ascii="仿宋" w:hAnsi="仿宋" w:eastAsia="仿宋"/>
                <w:bCs/>
                <w:szCs w:val="21"/>
              </w:rPr>
              <w:t>ET</w:t>
            </w:r>
            <w:r>
              <w:rPr>
                <w:rFonts w:hint="eastAsia" w:ascii="仿宋" w:hAnsi="仿宋" w:eastAsia="仿宋"/>
                <w:bCs/>
                <w:szCs w:val="21"/>
              </w:rPr>
              <w:t>胶带8</w:t>
            </w:r>
            <w:r>
              <w:rPr>
                <w:rFonts w:ascii="仿宋" w:hAnsi="仿宋" w:eastAsia="仿宋"/>
                <w:bCs/>
                <w:szCs w:val="21"/>
              </w:rPr>
              <w:t>00</w:t>
            </w:r>
            <w:r>
              <w:rPr>
                <w:rFonts w:hint="eastAsia" w:ascii="仿宋" w:hAnsi="仿宋" w:eastAsia="仿宋"/>
                <w:bCs/>
                <w:szCs w:val="21"/>
              </w:rPr>
              <w:t>万m</w:t>
            </w:r>
            <w:r>
              <w:rPr>
                <w:rFonts w:ascii="仿宋" w:hAnsi="仿宋" w:eastAsia="仿宋"/>
                <w:bCs/>
                <w:szCs w:val="21"/>
                <w:vertAlign w:val="superscript"/>
              </w:rPr>
              <w:t>2</w:t>
            </w:r>
          </w:p>
        </w:tc>
        <w:tc>
          <w:tcPr>
            <w:tcW w:w="1134" w:type="dxa"/>
            <w:vAlign w:val="center"/>
          </w:tcPr>
          <w:p>
            <w:pPr>
              <w:jc w:val="center"/>
              <w:rPr>
                <w:rFonts w:ascii="仿宋" w:hAnsi="仿宋" w:eastAsia="仿宋"/>
                <w:bCs/>
                <w:szCs w:val="21"/>
              </w:rPr>
            </w:pPr>
            <w:r>
              <w:rPr>
                <w:rFonts w:hint="eastAsia" w:ascii="仿宋" w:hAnsi="仿宋" w:eastAsia="仿宋"/>
                <w:bCs/>
                <w:szCs w:val="21"/>
              </w:rPr>
              <w:t>已建成</w:t>
            </w:r>
          </w:p>
        </w:tc>
        <w:tc>
          <w:tcPr>
            <w:tcW w:w="2835" w:type="dxa"/>
            <w:vMerge w:val="continue"/>
            <w:vAlign w:val="center"/>
          </w:tcPr>
          <w:p>
            <w:pPr>
              <w:jc w:val="center"/>
              <w:rPr>
                <w:rFonts w:ascii="仿宋" w:hAnsi="仿宋" w:eastAsia="仿宋"/>
                <w:bCs/>
                <w:szCs w:val="21"/>
              </w:rPr>
            </w:pPr>
          </w:p>
        </w:tc>
        <w:tc>
          <w:tcPr>
            <w:tcW w:w="1559" w:type="dxa"/>
            <w:vMerge w:val="continue"/>
            <w:vAlign w:val="center"/>
          </w:tcPr>
          <w:p>
            <w:pPr>
              <w:jc w:val="center"/>
              <w:rPr>
                <w:rFonts w:ascii="仿宋" w:hAnsi="仿宋" w:eastAsia="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540" w:type="dxa"/>
            <w:vMerge w:val="continue"/>
            <w:vAlign w:val="center"/>
          </w:tcPr>
          <w:p>
            <w:pPr>
              <w:jc w:val="center"/>
              <w:rPr>
                <w:rFonts w:ascii="仿宋" w:hAnsi="仿宋" w:eastAsia="仿宋"/>
                <w:bCs/>
                <w:szCs w:val="21"/>
              </w:rPr>
            </w:pPr>
          </w:p>
        </w:tc>
        <w:tc>
          <w:tcPr>
            <w:tcW w:w="978" w:type="dxa"/>
            <w:vMerge w:val="continue"/>
            <w:vAlign w:val="center"/>
          </w:tcPr>
          <w:p>
            <w:pPr>
              <w:jc w:val="center"/>
              <w:rPr>
                <w:rFonts w:ascii="仿宋" w:hAnsi="仿宋" w:eastAsia="仿宋"/>
                <w:bCs/>
                <w:szCs w:val="21"/>
              </w:rPr>
            </w:pPr>
          </w:p>
        </w:tc>
        <w:tc>
          <w:tcPr>
            <w:tcW w:w="1418" w:type="dxa"/>
            <w:vAlign w:val="center"/>
          </w:tcPr>
          <w:p>
            <w:pPr>
              <w:jc w:val="center"/>
              <w:rPr>
                <w:rFonts w:ascii="仿宋" w:hAnsi="仿宋" w:eastAsia="仿宋"/>
                <w:bCs/>
                <w:szCs w:val="21"/>
              </w:rPr>
            </w:pPr>
            <w:r>
              <w:rPr>
                <w:rFonts w:hint="eastAsia" w:ascii="仿宋" w:hAnsi="仿宋" w:eastAsia="仿宋"/>
                <w:bCs/>
                <w:szCs w:val="21"/>
              </w:rPr>
              <w:t>泡棉胶带8</w:t>
            </w:r>
            <w:r>
              <w:rPr>
                <w:rFonts w:ascii="仿宋" w:hAnsi="仿宋" w:eastAsia="仿宋"/>
                <w:bCs/>
                <w:szCs w:val="21"/>
              </w:rPr>
              <w:t>00</w:t>
            </w:r>
            <w:r>
              <w:rPr>
                <w:rFonts w:hint="eastAsia" w:ascii="仿宋" w:hAnsi="仿宋" w:eastAsia="仿宋"/>
                <w:bCs/>
                <w:szCs w:val="21"/>
              </w:rPr>
              <w:t>万m</w:t>
            </w:r>
            <w:r>
              <w:rPr>
                <w:rFonts w:ascii="仿宋" w:hAnsi="仿宋" w:eastAsia="仿宋"/>
                <w:bCs/>
                <w:szCs w:val="21"/>
                <w:vertAlign w:val="superscript"/>
              </w:rPr>
              <w:t>2</w:t>
            </w:r>
          </w:p>
        </w:tc>
        <w:tc>
          <w:tcPr>
            <w:tcW w:w="1134" w:type="dxa"/>
            <w:vAlign w:val="center"/>
          </w:tcPr>
          <w:p>
            <w:pPr>
              <w:jc w:val="center"/>
              <w:rPr>
                <w:rFonts w:ascii="仿宋" w:hAnsi="仿宋" w:eastAsia="仿宋"/>
                <w:bCs/>
                <w:szCs w:val="21"/>
              </w:rPr>
            </w:pPr>
            <w:r>
              <w:rPr>
                <w:rFonts w:hint="eastAsia" w:ascii="仿宋" w:hAnsi="仿宋" w:eastAsia="仿宋"/>
                <w:bCs/>
                <w:szCs w:val="21"/>
              </w:rPr>
              <w:t>已建成</w:t>
            </w:r>
          </w:p>
        </w:tc>
        <w:tc>
          <w:tcPr>
            <w:tcW w:w="2835" w:type="dxa"/>
            <w:vMerge w:val="continue"/>
            <w:vAlign w:val="center"/>
          </w:tcPr>
          <w:p>
            <w:pPr>
              <w:jc w:val="center"/>
              <w:rPr>
                <w:rFonts w:ascii="仿宋" w:hAnsi="仿宋" w:eastAsia="仿宋"/>
                <w:bCs/>
                <w:szCs w:val="21"/>
              </w:rPr>
            </w:pPr>
          </w:p>
        </w:tc>
        <w:tc>
          <w:tcPr>
            <w:tcW w:w="1559" w:type="dxa"/>
            <w:vMerge w:val="continue"/>
            <w:vAlign w:val="center"/>
          </w:tcPr>
          <w:p>
            <w:pPr>
              <w:jc w:val="center"/>
              <w:rPr>
                <w:rFonts w:ascii="仿宋" w:hAnsi="仿宋" w:eastAsia="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540" w:type="dxa"/>
            <w:vMerge w:val="continue"/>
            <w:vAlign w:val="center"/>
          </w:tcPr>
          <w:p>
            <w:pPr>
              <w:jc w:val="center"/>
              <w:rPr>
                <w:rFonts w:ascii="仿宋" w:hAnsi="仿宋" w:eastAsia="仿宋"/>
                <w:bCs/>
                <w:szCs w:val="21"/>
              </w:rPr>
            </w:pPr>
          </w:p>
        </w:tc>
        <w:tc>
          <w:tcPr>
            <w:tcW w:w="978" w:type="dxa"/>
            <w:vMerge w:val="continue"/>
            <w:vAlign w:val="center"/>
          </w:tcPr>
          <w:p>
            <w:pPr>
              <w:jc w:val="center"/>
              <w:rPr>
                <w:rFonts w:ascii="仿宋" w:hAnsi="仿宋" w:eastAsia="仿宋"/>
                <w:bCs/>
                <w:szCs w:val="21"/>
              </w:rPr>
            </w:pPr>
          </w:p>
        </w:tc>
        <w:tc>
          <w:tcPr>
            <w:tcW w:w="1418" w:type="dxa"/>
            <w:vAlign w:val="center"/>
          </w:tcPr>
          <w:p>
            <w:pPr>
              <w:jc w:val="center"/>
              <w:rPr>
                <w:rFonts w:ascii="仿宋" w:hAnsi="仿宋" w:eastAsia="仿宋"/>
                <w:bCs/>
                <w:szCs w:val="21"/>
              </w:rPr>
            </w:pPr>
            <w:r>
              <w:rPr>
                <w:rFonts w:hint="eastAsia" w:ascii="仿宋" w:hAnsi="仿宋" w:eastAsia="仿宋"/>
                <w:bCs/>
                <w:szCs w:val="21"/>
              </w:rPr>
              <w:t>工业双面胶带5</w:t>
            </w:r>
            <w:r>
              <w:rPr>
                <w:rFonts w:ascii="仿宋" w:hAnsi="仿宋" w:eastAsia="仿宋"/>
                <w:bCs/>
                <w:szCs w:val="21"/>
              </w:rPr>
              <w:t>00</w:t>
            </w:r>
            <w:r>
              <w:rPr>
                <w:rFonts w:hint="eastAsia" w:ascii="仿宋" w:hAnsi="仿宋" w:eastAsia="仿宋"/>
                <w:bCs/>
                <w:szCs w:val="21"/>
              </w:rPr>
              <w:t>万m</w:t>
            </w:r>
            <w:r>
              <w:rPr>
                <w:rFonts w:ascii="仿宋" w:hAnsi="仿宋" w:eastAsia="仿宋"/>
                <w:bCs/>
                <w:szCs w:val="21"/>
                <w:vertAlign w:val="superscript"/>
              </w:rPr>
              <w:t>2</w:t>
            </w:r>
          </w:p>
        </w:tc>
        <w:tc>
          <w:tcPr>
            <w:tcW w:w="1134" w:type="dxa"/>
            <w:vAlign w:val="center"/>
          </w:tcPr>
          <w:p>
            <w:pPr>
              <w:jc w:val="center"/>
              <w:rPr>
                <w:rFonts w:ascii="仿宋" w:hAnsi="仿宋" w:eastAsia="仿宋"/>
                <w:bCs/>
                <w:szCs w:val="21"/>
              </w:rPr>
            </w:pPr>
            <w:r>
              <w:rPr>
                <w:rFonts w:hint="eastAsia" w:ascii="仿宋" w:hAnsi="仿宋" w:eastAsia="仿宋"/>
                <w:bCs/>
                <w:szCs w:val="21"/>
              </w:rPr>
              <w:t>已建成</w:t>
            </w:r>
          </w:p>
        </w:tc>
        <w:tc>
          <w:tcPr>
            <w:tcW w:w="2835" w:type="dxa"/>
            <w:vMerge w:val="continue"/>
            <w:vAlign w:val="center"/>
          </w:tcPr>
          <w:p>
            <w:pPr>
              <w:jc w:val="center"/>
              <w:rPr>
                <w:rFonts w:ascii="仿宋" w:hAnsi="仿宋" w:eastAsia="仿宋"/>
                <w:bCs/>
                <w:szCs w:val="21"/>
              </w:rPr>
            </w:pPr>
          </w:p>
        </w:tc>
        <w:tc>
          <w:tcPr>
            <w:tcW w:w="1559" w:type="dxa"/>
            <w:vMerge w:val="continue"/>
            <w:vAlign w:val="center"/>
          </w:tcPr>
          <w:p>
            <w:pPr>
              <w:jc w:val="center"/>
              <w:rPr>
                <w:rFonts w:ascii="仿宋" w:hAnsi="仿宋" w:eastAsia="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0" w:type="dxa"/>
            <w:vAlign w:val="center"/>
          </w:tcPr>
          <w:p>
            <w:pPr>
              <w:jc w:val="center"/>
              <w:rPr>
                <w:rFonts w:ascii="仿宋" w:hAnsi="仿宋" w:eastAsia="仿宋"/>
                <w:bCs/>
                <w:szCs w:val="21"/>
              </w:rPr>
            </w:pPr>
            <w:r>
              <w:rPr>
                <w:rFonts w:hint="eastAsia" w:ascii="仿宋" w:hAnsi="仿宋" w:eastAsia="仿宋"/>
                <w:bCs/>
                <w:szCs w:val="21"/>
              </w:rPr>
              <w:t>迁建生产涂布机械、工业胶带项目环境影响修编报告</w:t>
            </w:r>
          </w:p>
        </w:tc>
        <w:tc>
          <w:tcPr>
            <w:tcW w:w="978" w:type="dxa"/>
            <w:vAlign w:val="center"/>
          </w:tcPr>
          <w:p>
            <w:pPr>
              <w:jc w:val="center"/>
              <w:rPr>
                <w:rFonts w:ascii="仿宋" w:hAnsi="仿宋" w:eastAsia="仿宋"/>
                <w:bCs/>
                <w:szCs w:val="21"/>
              </w:rPr>
            </w:pPr>
            <w:r>
              <w:rPr>
                <w:rFonts w:hint="eastAsia" w:ascii="仿宋" w:hAnsi="仿宋" w:eastAsia="仿宋"/>
                <w:bCs/>
                <w:szCs w:val="21"/>
              </w:rPr>
              <w:t>修编报告</w:t>
            </w:r>
          </w:p>
        </w:tc>
        <w:tc>
          <w:tcPr>
            <w:tcW w:w="1418" w:type="dxa"/>
            <w:vAlign w:val="center"/>
          </w:tcPr>
          <w:p>
            <w:pPr>
              <w:jc w:val="center"/>
              <w:rPr>
                <w:rFonts w:ascii="仿宋" w:hAnsi="仿宋" w:eastAsia="仿宋"/>
                <w:bCs/>
                <w:szCs w:val="21"/>
              </w:rPr>
            </w:pPr>
            <w:r>
              <w:rPr>
                <w:rFonts w:hint="eastAsia" w:ascii="仿宋" w:hAnsi="仿宋" w:eastAsia="仿宋"/>
                <w:bCs/>
                <w:szCs w:val="21"/>
              </w:rPr>
              <w:t>/</w:t>
            </w:r>
          </w:p>
        </w:tc>
        <w:tc>
          <w:tcPr>
            <w:tcW w:w="1134" w:type="dxa"/>
            <w:vAlign w:val="center"/>
          </w:tcPr>
          <w:p>
            <w:pPr>
              <w:jc w:val="center"/>
              <w:rPr>
                <w:rFonts w:ascii="仿宋" w:hAnsi="仿宋" w:eastAsia="仿宋"/>
                <w:bCs/>
                <w:szCs w:val="21"/>
              </w:rPr>
            </w:pPr>
            <w:r>
              <w:rPr>
                <w:rFonts w:hint="eastAsia" w:ascii="仿宋" w:hAnsi="仿宋" w:eastAsia="仿宋"/>
                <w:bCs/>
                <w:szCs w:val="21"/>
              </w:rPr>
              <w:t>/</w:t>
            </w:r>
          </w:p>
        </w:tc>
        <w:tc>
          <w:tcPr>
            <w:tcW w:w="2835" w:type="dxa"/>
            <w:vAlign w:val="center"/>
          </w:tcPr>
          <w:p>
            <w:pPr>
              <w:jc w:val="center"/>
              <w:rPr>
                <w:rFonts w:ascii="仿宋" w:hAnsi="仿宋" w:eastAsia="仿宋"/>
                <w:bCs/>
                <w:szCs w:val="21"/>
              </w:rPr>
            </w:pPr>
            <w:r>
              <w:rPr>
                <w:rFonts w:hint="eastAsia" w:ascii="仿宋" w:hAnsi="仿宋" w:eastAsia="仿宋"/>
                <w:bCs/>
                <w:szCs w:val="21"/>
              </w:rPr>
              <w:t>于</w:t>
            </w:r>
            <w:r>
              <w:rPr>
                <w:rFonts w:ascii="仿宋" w:hAnsi="仿宋" w:eastAsia="仿宋"/>
                <w:bCs/>
                <w:szCs w:val="21"/>
              </w:rPr>
              <w:t>2014</w:t>
            </w:r>
            <w:r>
              <w:rPr>
                <w:rFonts w:hint="eastAsia" w:ascii="仿宋" w:hAnsi="仿宋" w:eastAsia="仿宋"/>
                <w:bCs/>
                <w:szCs w:val="21"/>
              </w:rPr>
              <w:t>年</w:t>
            </w:r>
            <w:r>
              <w:rPr>
                <w:rFonts w:ascii="仿宋" w:hAnsi="仿宋" w:eastAsia="仿宋"/>
                <w:bCs/>
                <w:szCs w:val="21"/>
              </w:rPr>
              <w:t>12</w:t>
            </w:r>
            <w:r>
              <w:rPr>
                <w:rFonts w:hint="eastAsia" w:ascii="仿宋" w:hAnsi="仿宋" w:eastAsia="仿宋"/>
                <w:bCs/>
                <w:szCs w:val="21"/>
              </w:rPr>
              <w:t>月</w:t>
            </w:r>
            <w:r>
              <w:rPr>
                <w:rFonts w:ascii="仿宋" w:hAnsi="仿宋" w:eastAsia="仿宋"/>
                <w:bCs/>
                <w:szCs w:val="21"/>
              </w:rPr>
              <w:t>15</w:t>
            </w:r>
            <w:r>
              <w:rPr>
                <w:rFonts w:hint="eastAsia" w:ascii="仿宋" w:hAnsi="仿宋" w:eastAsia="仿宋"/>
                <w:bCs/>
                <w:szCs w:val="21"/>
              </w:rPr>
              <w:t>日获得了金坛市环境保护局《迁建生产涂布机械、工业胶带项目环境影响修编报告备案的函》（坛环服函[</w:t>
            </w:r>
            <w:r>
              <w:rPr>
                <w:rFonts w:ascii="仿宋" w:hAnsi="仿宋" w:eastAsia="仿宋"/>
                <w:bCs/>
                <w:szCs w:val="21"/>
              </w:rPr>
              <w:t>2014</w:t>
            </w:r>
            <w:r>
              <w:rPr>
                <w:rFonts w:hint="eastAsia" w:ascii="仿宋" w:hAnsi="仿宋" w:eastAsia="仿宋"/>
                <w:bCs/>
                <w:szCs w:val="21"/>
              </w:rPr>
              <w:t>]</w:t>
            </w:r>
            <w:r>
              <w:rPr>
                <w:rFonts w:ascii="仿宋" w:hAnsi="仿宋" w:eastAsia="仿宋"/>
                <w:bCs/>
                <w:szCs w:val="21"/>
              </w:rPr>
              <w:t>29</w:t>
            </w:r>
            <w:r>
              <w:rPr>
                <w:rFonts w:hint="eastAsia" w:ascii="仿宋" w:hAnsi="仿宋" w:eastAsia="仿宋"/>
                <w:bCs/>
                <w:szCs w:val="21"/>
              </w:rPr>
              <w:t>号）</w:t>
            </w:r>
          </w:p>
        </w:tc>
        <w:tc>
          <w:tcPr>
            <w:tcW w:w="1559" w:type="dxa"/>
            <w:vAlign w:val="center"/>
          </w:tcPr>
          <w:p>
            <w:pPr>
              <w:jc w:val="center"/>
              <w:rPr>
                <w:rFonts w:ascii="仿宋" w:hAnsi="仿宋" w:eastAsia="仿宋"/>
                <w:bCs/>
                <w:szCs w:val="21"/>
              </w:rPr>
            </w:pPr>
            <w:r>
              <w:rPr>
                <w:rFonts w:hint="eastAsia" w:ascii="仿宋" w:hAnsi="仿宋" w:eastAsia="仿宋"/>
                <w:bCs/>
                <w:szCs w:val="21"/>
              </w:rPr>
              <w:t>/</w:t>
            </w:r>
          </w:p>
        </w:tc>
      </w:tr>
    </w:tbl>
    <w:p>
      <w:pPr>
        <w:pStyle w:val="33"/>
        <w:spacing w:after="0" w:line="500" w:lineRule="exact"/>
        <w:ind w:firstLine="560" w:firstLineChars="200"/>
        <w:rPr>
          <w:rFonts w:eastAsia="仿宋_GB2312"/>
          <w:bCs/>
          <w:sz w:val="28"/>
          <w:szCs w:val="28"/>
        </w:rPr>
      </w:pPr>
      <w:r>
        <w:rPr>
          <w:rFonts w:hint="eastAsia" w:eastAsia="仿宋_GB2312"/>
          <w:bCs/>
          <w:sz w:val="28"/>
          <w:szCs w:val="28"/>
        </w:rPr>
        <w:t>（四）产排污情况</w:t>
      </w:r>
    </w:p>
    <w:p>
      <w:pPr>
        <w:pStyle w:val="33"/>
        <w:spacing w:after="0" w:line="500" w:lineRule="exact"/>
        <w:ind w:firstLine="560" w:firstLineChars="200"/>
        <w:rPr>
          <w:rFonts w:eastAsia="仿宋_GB2312"/>
          <w:bCs/>
          <w:sz w:val="28"/>
          <w:szCs w:val="28"/>
        </w:rPr>
      </w:pPr>
      <w:r>
        <w:rPr>
          <w:rFonts w:hint="eastAsia" w:eastAsia="仿宋_GB2312"/>
          <w:bCs/>
          <w:sz w:val="28"/>
          <w:szCs w:val="28"/>
        </w:rPr>
        <w:t>1、P</w:t>
      </w:r>
      <w:r>
        <w:rPr>
          <w:rFonts w:eastAsia="仿宋_GB2312"/>
          <w:bCs/>
          <w:sz w:val="28"/>
          <w:szCs w:val="28"/>
        </w:rPr>
        <w:t>ET</w:t>
      </w:r>
      <w:r>
        <w:rPr>
          <w:rFonts w:hint="eastAsia" w:eastAsia="仿宋_GB2312"/>
          <w:bCs/>
          <w:sz w:val="28"/>
          <w:szCs w:val="28"/>
        </w:rPr>
        <w:t>、双面、泡棉压敏胶带生产过程如下：</w:t>
      </w:r>
    </w:p>
    <w:p>
      <w:pPr>
        <w:adjustRightInd w:val="0"/>
        <w:snapToGrid w:val="0"/>
        <w:ind w:firstLine="420" w:firstLineChars="200"/>
        <w:jc w:val="center"/>
        <w:rPr>
          <w:rFonts w:eastAsia="仿宋_GB2312"/>
          <w:b/>
          <w:bCs/>
          <w:sz w:val="24"/>
        </w:rPr>
      </w:pPr>
      <w:r>
        <w:drawing>
          <wp:inline distT="0" distB="0" distL="0" distR="0">
            <wp:extent cx="3488690" cy="286194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2"/>
                    <a:stretch>
                      <a:fillRect/>
                    </a:stretch>
                  </pic:blipFill>
                  <pic:spPr>
                    <a:xfrm>
                      <a:off x="0" y="0"/>
                      <a:ext cx="3510093" cy="2879926"/>
                    </a:xfrm>
                    <a:prstGeom prst="rect">
                      <a:avLst/>
                    </a:prstGeom>
                  </pic:spPr>
                </pic:pic>
              </a:graphicData>
            </a:graphic>
          </wp:inline>
        </w:drawing>
      </w:r>
    </w:p>
    <w:p>
      <w:pPr>
        <w:adjustRightInd w:val="0"/>
        <w:snapToGrid w:val="0"/>
        <w:spacing w:line="500" w:lineRule="exact"/>
        <w:ind w:firstLine="482" w:firstLineChars="200"/>
        <w:jc w:val="center"/>
        <w:rPr>
          <w:rFonts w:eastAsia="仿宋_GB2312"/>
          <w:b/>
          <w:bCs/>
          <w:sz w:val="24"/>
        </w:rPr>
      </w:pPr>
      <w:r>
        <w:rPr>
          <w:rFonts w:hint="eastAsia" w:eastAsia="仿宋_GB2312"/>
          <w:b/>
          <w:bCs/>
          <w:sz w:val="24"/>
        </w:rPr>
        <w:t>图3</w:t>
      </w:r>
      <w:r>
        <w:rPr>
          <w:rFonts w:eastAsia="仿宋_GB2312"/>
          <w:b/>
          <w:bCs/>
          <w:sz w:val="24"/>
        </w:rPr>
        <w:t>.1-1 PET、双面</w:t>
      </w:r>
      <w:r>
        <w:rPr>
          <w:rFonts w:hint="eastAsia" w:eastAsia="仿宋_GB2312"/>
          <w:b/>
          <w:bCs/>
          <w:sz w:val="24"/>
        </w:rPr>
        <w:t>、泡棉</w:t>
      </w:r>
      <w:r>
        <w:rPr>
          <w:rFonts w:eastAsia="仿宋_GB2312"/>
          <w:b/>
          <w:bCs/>
          <w:sz w:val="24"/>
        </w:rPr>
        <w:t>压敏胶带生产工艺流程</w:t>
      </w:r>
      <w:r>
        <w:rPr>
          <w:rFonts w:hint="eastAsia" w:eastAsia="仿宋_GB2312"/>
          <w:b/>
          <w:bCs/>
          <w:sz w:val="24"/>
        </w:rPr>
        <w:t>图</w:t>
      </w:r>
    </w:p>
    <w:p>
      <w:pPr>
        <w:spacing w:line="500" w:lineRule="exact"/>
        <w:ind w:firstLine="840" w:firstLineChars="300"/>
        <w:rPr>
          <w:rFonts w:eastAsia="仿宋_GB2312"/>
          <w:sz w:val="28"/>
          <w:szCs w:val="28"/>
        </w:rPr>
      </w:pPr>
      <w:r>
        <w:rPr>
          <w:rFonts w:eastAsia="仿宋_GB2312"/>
          <w:sz w:val="28"/>
          <w:szCs w:val="28"/>
        </w:rPr>
        <w:t>2</w:t>
      </w:r>
      <w:r>
        <w:rPr>
          <w:rFonts w:hint="eastAsia" w:eastAsia="仿宋_GB2312"/>
          <w:sz w:val="28"/>
          <w:szCs w:val="28"/>
        </w:rPr>
        <w:t>、P</w:t>
      </w:r>
      <w:r>
        <w:rPr>
          <w:rFonts w:eastAsia="仿宋_GB2312"/>
          <w:sz w:val="28"/>
          <w:szCs w:val="28"/>
        </w:rPr>
        <w:t>ET</w:t>
      </w:r>
      <w:r>
        <w:rPr>
          <w:rFonts w:hint="eastAsia" w:eastAsia="仿宋_GB2312"/>
          <w:sz w:val="28"/>
          <w:szCs w:val="28"/>
        </w:rPr>
        <w:t>、双面、泡棉热熔胶带生产过程如下：</w:t>
      </w:r>
    </w:p>
    <w:p>
      <w:pPr>
        <w:pStyle w:val="85"/>
        <w:spacing w:line="240" w:lineRule="auto"/>
        <w:ind w:firstLine="280"/>
        <w:jc w:val="center"/>
      </w:pPr>
      <w:r>
        <w:drawing>
          <wp:inline distT="0" distB="0" distL="0" distR="0">
            <wp:extent cx="3005455" cy="2999105"/>
            <wp:effectExtent l="0" t="0" r="444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3"/>
                    <a:stretch>
                      <a:fillRect/>
                    </a:stretch>
                  </pic:blipFill>
                  <pic:spPr>
                    <a:xfrm>
                      <a:off x="0" y="0"/>
                      <a:ext cx="3022306" cy="3015904"/>
                    </a:xfrm>
                    <a:prstGeom prst="rect">
                      <a:avLst/>
                    </a:prstGeom>
                  </pic:spPr>
                </pic:pic>
              </a:graphicData>
            </a:graphic>
          </wp:inline>
        </w:drawing>
      </w:r>
    </w:p>
    <w:p>
      <w:pPr>
        <w:adjustRightInd w:val="0"/>
        <w:snapToGrid w:val="0"/>
        <w:spacing w:line="500" w:lineRule="exact"/>
        <w:ind w:firstLine="482" w:firstLineChars="200"/>
        <w:jc w:val="center"/>
        <w:rPr>
          <w:rFonts w:eastAsia="仿宋_GB2312"/>
          <w:b/>
          <w:bCs/>
          <w:sz w:val="24"/>
        </w:rPr>
      </w:pPr>
      <w:r>
        <w:rPr>
          <w:rFonts w:hint="eastAsia" w:eastAsia="仿宋_GB2312"/>
          <w:b/>
          <w:bCs/>
          <w:sz w:val="24"/>
        </w:rPr>
        <w:t>图3</w:t>
      </w:r>
      <w:r>
        <w:rPr>
          <w:rFonts w:eastAsia="仿宋_GB2312"/>
          <w:b/>
          <w:bCs/>
          <w:sz w:val="24"/>
        </w:rPr>
        <w:t>.1-1 PET、双面</w:t>
      </w:r>
      <w:r>
        <w:rPr>
          <w:rFonts w:hint="eastAsia" w:eastAsia="仿宋_GB2312"/>
          <w:b/>
          <w:bCs/>
          <w:sz w:val="24"/>
        </w:rPr>
        <w:t>、泡棉热熔</w:t>
      </w:r>
      <w:r>
        <w:rPr>
          <w:rFonts w:eastAsia="仿宋_GB2312"/>
          <w:b/>
          <w:bCs/>
          <w:sz w:val="24"/>
        </w:rPr>
        <w:t>胶带生产工艺流程</w:t>
      </w:r>
      <w:r>
        <w:rPr>
          <w:rFonts w:hint="eastAsia" w:eastAsia="仿宋_GB2312"/>
          <w:b/>
          <w:bCs/>
          <w:sz w:val="24"/>
        </w:rPr>
        <w:t>图</w:t>
      </w:r>
    </w:p>
    <w:p>
      <w:pPr>
        <w:pStyle w:val="33"/>
        <w:spacing w:after="0" w:line="500" w:lineRule="exact"/>
        <w:ind w:firstLine="560" w:firstLineChars="200"/>
        <w:rPr>
          <w:rFonts w:eastAsia="仿宋_GB2312"/>
          <w:bCs/>
          <w:sz w:val="28"/>
          <w:szCs w:val="28"/>
        </w:rPr>
      </w:pPr>
      <w:r>
        <w:rPr>
          <w:rFonts w:hint="eastAsia" w:eastAsia="仿宋_GB2312"/>
          <w:bCs/>
          <w:sz w:val="28"/>
          <w:szCs w:val="28"/>
        </w:rPr>
        <w:t>根据原环评报告、批复、验收文件，原有项目污染物产排情况如下：</w:t>
      </w:r>
    </w:p>
    <w:p>
      <w:pPr>
        <w:pStyle w:val="33"/>
        <w:numPr>
          <w:ilvl w:val="0"/>
          <w:numId w:val="10"/>
        </w:numPr>
        <w:spacing w:after="0" w:line="500" w:lineRule="exact"/>
        <w:rPr>
          <w:rFonts w:eastAsia="仿宋_GB2312"/>
          <w:bCs/>
          <w:sz w:val="28"/>
          <w:szCs w:val="28"/>
        </w:rPr>
      </w:pPr>
      <w:r>
        <w:rPr>
          <w:rFonts w:hint="eastAsia" w:eastAsia="仿宋_GB2312"/>
          <w:bCs/>
          <w:sz w:val="28"/>
          <w:szCs w:val="28"/>
        </w:rPr>
        <w:t>废气</w:t>
      </w:r>
    </w:p>
    <w:p>
      <w:pPr>
        <w:pStyle w:val="33"/>
        <w:spacing w:after="0" w:line="500" w:lineRule="exact"/>
        <w:ind w:firstLine="560" w:firstLineChars="200"/>
        <w:rPr>
          <w:rFonts w:eastAsia="仿宋_GB2312"/>
          <w:bCs/>
          <w:sz w:val="28"/>
          <w:szCs w:val="28"/>
        </w:rPr>
      </w:pPr>
      <w:r>
        <w:rPr>
          <w:rFonts w:hint="eastAsia" w:eastAsia="仿宋_GB2312"/>
          <w:bCs/>
          <w:sz w:val="28"/>
          <w:szCs w:val="28"/>
        </w:rPr>
        <w:t>有组织废气：</w:t>
      </w:r>
    </w:p>
    <w:p>
      <w:pPr>
        <w:pStyle w:val="33"/>
        <w:spacing w:after="0" w:line="500" w:lineRule="exact"/>
        <w:ind w:firstLine="560" w:firstLineChars="200"/>
        <w:rPr>
          <w:rFonts w:eastAsia="仿宋_GB2312"/>
          <w:bCs/>
          <w:sz w:val="28"/>
          <w:szCs w:val="28"/>
        </w:rPr>
      </w:pPr>
      <w:r>
        <w:rPr>
          <w:rFonts w:eastAsia="仿宋_GB2312"/>
          <w:bCs/>
          <w:sz w:val="28"/>
          <w:szCs w:val="28"/>
        </w:rPr>
        <w:t>项目涂布干燥过程中产生的废气经过涂层设备上风机引风收集后进入厂区1套RTO焚烧装置处理后通过1个15米高排气筒排放(FQ-1)</w:t>
      </w:r>
      <w:r>
        <w:rPr>
          <w:rFonts w:hint="eastAsia" w:eastAsia="仿宋_GB2312"/>
          <w:bCs/>
          <w:sz w:val="28"/>
          <w:szCs w:val="28"/>
        </w:rPr>
        <w:t>。</w:t>
      </w:r>
      <w:r>
        <w:rPr>
          <w:rFonts w:eastAsia="仿宋_GB2312"/>
          <w:bCs/>
          <w:sz w:val="28"/>
          <w:szCs w:val="28"/>
        </w:rPr>
        <w:t>厂区RTO焚烧装置天然气燃烧废气依托FQ-1排气筒高空排放，试验涂布机运营过程中产生的废气引风收集经活性炭吸附装置处理后通过1个15米高排气筒排放(FQ-2)。压敏胶带搅拌过滤及热熔胶搅拌溶解、涂布过程中产生的有机废气经收集后通过UV光氧处理后通过15m高排气筒</w:t>
      </w:r>
      <w:r>
        <w:rPr>
          <w:rFonts w:hint="eastAsia" w:eastAsia="仿宋_GB2312"/>
          <w:bCs/>
          <w:sz w:val="28"/>
          <w:szCs w:val="28"/>
        </w:rPr>
        <w:t>（</w:t>
      </w:r>
      <w:r>
        <w:rPr>
          <w:rFonts w:eastAsia="仿宋_GB2312"/>
          <w:bCs/>
          <w:sz w:val="28"/>
          <w:szCs w:val="28"/>
        </w:rPr>
        <w:t>FQ-3</w:t>
      </w:r>
      <w:r>
        <w:rPr>
          <w:rFonts w:hint="eastAsia" w:eastAsia="仿宋_GB2312"/>
          <w:bCs/>
          <w:sz w:val="28"/>
          <w:szCs w:val="28"/>
        </w:rPr>
        <w:t>）</w:t>
      </w:r>
      <w:r>
        <w:rPr>
          <w:rFonts w:eastAsia="仿宋_GB2312"/>
          <w:bCs/>
          <w:sz w:val="28"/>
          <w:szCs w:val="28"/>
        </w:rPr>
        <w:t>排放</w:t>
      </w:r>
      <w:r>
        <w:rPr>
          <w:rFonts w:hint="eastAsia" w:eastAsia="仿宋_GB2312"/>
          <w:bCs/>
          <w:sz w:val="28"/>
          <w:szCs w:val="28"/>
        </w:rPr>
        <w:t>。</w:t>
      </w:r>
    </w:p>
    <w:p>
      <w:pPr>
        <w:pStyle w:val="33"/>
        <w:spacing w:after="0" w:line="500" w:lineRule="exact"/>
        <w:ind w:firstLine="560" w:firstLineChars="200"/>
        <w:rPr>
          <w:rFonts w:eastAsia="仿宋_GB2312"/>
          <w:bCs/>
          <w:sz w:val="28"/>
          <w:szCs w:val="28"/>
        </w:rPr>
      </w:pPr>
      <w:r>
        <w:rPr>
          <w:rFonts w:hint="eastAsia" w:eastAsia="仿宋_GB2312"/>
          <w:bCs/>
          <w:sz w:val="28"/>
          <w:szCs w:val="28"/>
        </w:rPr>
        <w:t>无组织废气：</w:t>
      </w:r>
    </w:p>
    <w:p>
      <w:pPr>
        <w:pStyle w:val="33"/>
        <w:spacing w:after="0" w:line="500" w:lineRule="exact"/>
        <w:ind w:firstLine="560" w:firstLineChars="200"/>
        <w:rPr>
          <w:rFonts w:eastAsia="仿宋_GB2312"/>
          <w:bCs/>
          <w:sz w:val="28"/>
          <w:szCs w:val="28"/>
        </w:rPr>
      </w:pPr>
      <w:r>
        <w:rPr>
          <w:rFonts w:hint="eastAsia" w:eastAsia="仿宋_GB2312"/>
          <w:bCs/>
          <w:sz w:val="28"/>
          <w:szCs w:val="28"/>
        </w:rPr>
        <w:t>车间内上述未捕集的废气通过强制通风后于厂区内无组织排放。</w:t>
      </w:r>
    </w:p>
    <w:p>
      <w:pPr>
        <w:pStyle w:val="33"/>
        <w:spacing w:after="0" w:line="500" w:lineRule="exact"/>
        <w:ind w:firstLine="560" w:firstLineChars="200"/>
        <w:rPr>
          <w:rFonts w:ascii="仿宋" w:hAnsi="仿宋" w:eastAsia="仿宋"/>
          <w:bCs/>
          <w:sz w:val="28"/>
          <w:szCs w:val="28"/>
        </w:rPr>
      </w:pPr>
      <w:r>
        <w:rPr>
          <w:rFonts w:hint="eastAsia" w:ascii="仿宋" w:hAnsi="仿宋" w:eastAsia="仿宋"/>
          <w:bCs/>
          <w:sz w:val="28"/>
          <w:szCs w:val="28"/>
        </w:rPr>
        <w:t>②废水</w:t>
      </w:r>
    </w:p>
    <w:p>
      <w:pPr>
        <w:pStyle w:val="33"/>
        <w:spacing w:after="0" w:line="500" w:lineRule="exact"/>
        <w:ind w:firstLine="560" w:firstLineChars="200"/>
        <w:rPr>
          <w:rFonts w:eastAsia="仿宋_GB2312"/>
          <w:bCs/>
          <w:sz w:val="28"/>
          <w:szCs w:val="28"/>
        </w:rPr>
      </w:pPr>
      <w:r>
        <w:rPr>
          <w:rFonts w:eastAsia="仿宋_GB2312"/>
          <w:bCs/>
          <w:sz w:val="28"/>
          <w:szCs w:val="28"/>
        </w:rPr>
        <w:t>企业不产生生产废水，仅有生活废水。</w:t>
      </w:r>
      <w:r>
        <w:rPr>
          <w:rFonts w:hint="eastAsia" w:eastAsia="仿宋_GB2312"/>
          <w:bCs/>
          <w:sz w:val="28"/>
          <w:szCs w:val="28"/>
        </w:rPr>
        <w:t>生活污水经市政管网收集后</w:t>
      </w:r>
      <w:r>
        <w:rPr>
          <w:rFonts w:eastAsia="仿宋_GB2312"/>
          <w:bCs/>
          <w:sz w:val="28"/>
          <w:szCs w:val="28"/>
        </w:rPr>
        <w:t>进金坛第二污水处理厂集中处理。</w:t>
      </w:r>
    </w:p>
    <w:p>
      <w:pPr>
        <w:pStyle w:val="33"/>
        <w:numPr>
          <w:ilvl w:val="0"/>
          <w:numId w:val="10"/>
        </w:numPr>
        <w:spacing w:after="0" w:line="500" w:lineRule="exact"/>
        <w:rPr>
          <w:rFonts w:ascii="仿宋" w:hAnsi="仿宋" w:eastAsia="仿宋"/>
          <w:bCs/>
          <w:sz w:val="28"/>
          <w:szCs w:val="28"/>
        </w:rPr>
      </w:pPr>
      <w:r>
        <w:rPr>
          <w:rFonts w:hint="eastAsia" w:ascii="仿宋" w:hAnsi="仿宋" w:eastAsia="仿宋"/>
          <w:bCs/>
          <w:sz w:val="28"/>
          <w:szCs w:val="28"/>
        </w:rPr>
        <w:t>固废</w:t>
      </w:r>
    </w:p>
    <w:p>
      <w:pPr>
        <w:pStyle w:val="33"/>
        <w:spacing w:after="0" w:line="500" w:lineRule="exact"/>
        <w:ind w:firstLine="560" w:firstLineChars="200"/>
        <w:rPr>
          <w:rFonts w:eastAsia="仿宋_GB2312"/>
          <w:bCs/>
          <w:sz w:val="28"/>
          <w:szCs w:val="28"/>
        </w:rPr>
      </w:pPr>
      <w:r>
        <w:rPr>
          <w:rFonts w:hint="eastAsia" w:eastAsia="仿宋_GB2312"/>
          <w:bCs/>
          <w:sz w:val="28"/>
          <w:szCs w:val="28"/>
        </w:rPr>
        <w:t>企业生产过程中产生的</w:t>
      </w:r>
      <w:r>
        <w:rPr>
          <w:rFonts w:eastAsia="仿宋_GB2312"/>
          <w:bCs/>
          <w:sz w:val="28"/>
          <w:szCs w:val="28"/>
        </w:rPr>
        <w:t>滤渣及涂布残渣、废包装袋、废包装桶均为危险废物，收集后在专门危废仓库暂存，委托常州润克环保科技有限公司集中处置。边角料为一般固体废物，收集后在一般固废仓库暂存</w:t>
      </w:r>
      <w:r>
        <w:rPr>
          <w:rFonts w:hint="eastAsia" w:eastAsia="仿宋_GB2312"/>
          <w:bCs/>
          <w:sz w:val="28"/>
          <w:szCs w:val="28"/>
        </w:rPr>
        <w:t>后外售综合利用。生活垃圾委托环卫部门进行清运。</w:t>
      </w:r>
    </w:p>
    <w:p>
      <w:pPr>
        <w:jc w:val="center"/>
      </w:pPr>
      <w:r>
        <w:rPr>
          <w:sz w:val="24"/>
        </w:rPr>
        <w:drawing>
          <wp:inline distT="0" distB="0" distL="114300" distR="114300">
            <wp:extent cx="3275330" cy="2456815"/>
            <wp:effectExtent l="0" t="0" r="1270" b="635"/>
            <wp:docPr id="68"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9" descr="IMG_256"/>
                    <pic:cNvPicPr>
                      <a:picLocks noChangeAspect="1"/>
                    </pic:cNvPicPr>
                  </pic:nvPicPr>
                  <pic:blipFill>
                    <a:blip r:embed="rId44"/>
                    <a:stretch>
                      <a:fillRect/>
                    </a:stretch>
                  </pic:blipFill>
                  <pic:spPr>
                    <a:xfrm>
                      <a:off x="0" y="0"/>
                      <a:ext cx="3280288" cy="2460579"/>
                    </a:xfrm>
                    <a:prstGeom prst="rect">
                      <a:avLst/>
                    </a:prstGeom>
                    <a:noFill/>
                    <a:ln w="9525">
                      <a:noFill/>
                    </a:ln>
                  </pic:spPr>
                </pic:pic>
              </a:graphicData>
            </a:graphic>
          </wp:inline>
        </w:drawing>
      </w:r>
    </w:p>
    <w:p>
      <w:pPr>
        <w:adjustRightInd w:val="0"/>
        <w:snapToGrid w:val="0"/>
        <w:spacing w:line="500" w:lineRule="exact"/>
        <w:ind w:firstLine="482" w:firstLineChars="200"/>
        <w:jc w:val="center"/>
        <w:rPr>
          <w:rFonts w:eastAsia="仿宋_GB2312"/>
          <w:b/>
          <w:bCs/>
          <w:sz w:val="24"/>
        </w:rPr>
      </w:pPr>
      <w:r>
        <w:rPr>
          <w:rFonts w:hint="eastAsia" w:eastAsia="仿宋_GB2312"/>
          <w:b/>
          <w:bCs/>
          <w:sz w:val="24"/>
        </w:rPr>
        <w:t>图3</w:t>
      </w:r>
      <w:r>
        <w:rPr>
          <w:rFonts w:eastAsia="仿宋_GB2312"/>
          <w:b/>
          <w:bCs/>
          <w:sz w:val="24"/>
        </w:rPr>
        <w:t>.1-1常州威斯双联有限公司</w:t>
      </w:r>
      <w:r>
        <w:rPr>
          <w:rFonts w:hint="eastAsia" w:eastAsia="仿宋_GB2312"/>
          <w:b/>
          <w:bCs/>
          <w:sz w:val="24"/>
        </w:rPr>
        <w:t>危废仓库</w:t>
      </w:r>
    </w:p>
    <w:p>
      <w:pPr>
        <w:pStyle w:val="85"/>
        <w:ind w:firstLine="280"/>
      </w:pPr>
      <w:r>
        <w:rPr>
          <w:rFonts w:hint="eastAsia"/>
        </w:rPr>
        <w:t>企业于2</w:t>
      </w:r>
      <w:r>
        <w:t>022</w:t>
      </w:r>
      <w:r>
        <w:rPr>
          <w:rFonts w:hint="eastAsia"/>
        </w:rPr>
        <w:t>年委托特斯特（江苏）检测科技有限公司对厂区排气筒、生活污水接管口进行例行监测，监测结果如下：</w:t>
      </w:r>
    </w:p>
    <w:p>
      <w:pPr>
        <w:adjustRightInd w:val="0"/>
        <w:snapToGrid w:val="0"/>
        <w:spacing w:line="500" w:lineRule="exact"/>
        <w:ind w:firstLine="482" w:firstLineChars="200"/>
        <w:jc w:val="center"/>
        <w:rPr>
          <w:rFonts w:eastAsia="仿宋_GB2312"/>
          <w:b/>
          <w:bCs/>
          <w:sz w:val="24"/>
        </w:rPr>
      </w:pPr>
      <w:r>
        <w:rPr>
          <w:rFonts w:eastAsia="仿宋_GB2312"/>
          <w:b/>
          <w:bCs/>
          <w:sz w:val="24"/>
        </w:rPr>
        <w:t>表3.</w:t>
      </w:r>
      <w:r>
        <w:rPr>
          <w:rFonts w:hint="eastAsia" w:eastAsia="仿宋_GB2312"/>
          <w:b/>
          <w:bCs/>
          <w:sz w:val="24"/>
        </w:rPr>
        <w:t>1</w:t>
      </w:r>
      <w:r>
        <w:rPr>
          <w:rFonts w:eastAsia="仿宋_GB2312"/>
          <w:b/>
          <w:bCs/>
          <w:sz w:val="24"/>
        </w:rPr>
        <w:t xml:space="preserve">-3  </w:t>
      </w:r>
      <w:r>
        <w:rPr>
          <w:rFonts w:hint="eastAsia" w:eastAsia="仿宋_GB2312"/>
          <w:b/>
          <w:bCs/>
          <w:sz w:val="24"/>
        </w:rPr>
        <w:t>有组织废气检测结果</w:t>
      </w:r>
      <w:r>
        <w:rPr>
          <w:rFonts w:eastAsia="仿宋_GB2312"/>
          <w:b/>
          <w:bCs/>
          <w:sz w:val="24"/>
        </w:rPr>
        <w:t xml:space="preserve">  </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0"/>
        <w:gridCol w:w="1320"/>
        <w:gridCol w:w="1320"/>
        <w:gridCol w:w="1320"/>
        <w:gridCol w:w="1320"/>
        <w:gridCol w:w="1321"/>
        <w:gridCol w:w="1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0" w:type="dxa"/>
            <w:vAlign w:val="center"/>
          </w:tcPr>
          <w:p>
            <w:pPr>
              <w:jc w:val="center"/>
              <w:rPr>
                <w:rFonts w:ascii="仿宋" w:hAnsi="仿宋" w:eastAsia="仿宋"/>
                <w:bCs/>
                <w:szCs w:val="21"/>
              </w:rPr>
            </w:pPr>
            <w:r>
              <w:rPr>
                <w:rFonts w:hint="eastAsia" w:ascii="仿宋" w:hAnsi="仿宋" w:eastAsia="仿宋"/>
                <w:bCs/>
                <w:szCs w:val="21"/>
              </w:rPr>
              <w:t>排气筒编号</w:t>
            </w:r>
          </w:p>
        </w:tc>
        <w:tc>
          <w:tcPr>
            <w:tcW w:w="1320" w:type="dxa"/>
            <w:vAlign w:val="center"/>
          </w:tcPr>
          <w:p>
            <w:pPr>
              <w:jc w:val="center"/>
              <w:rPr>
                <w:rFonts w:ascii="仿宋" w:hAnsi="仿宋" w:eastAsia="仿宋"/>
                <w:bCs/>
                <w:szCs w:val="21"/>
              </w:rPr>
            </w:pPr>
            <w:r>
              <w:rPr>
                <w:rFonts w:hint="eastAsia" w:ascii="仿宋" w:hAnsi="仿宋" w:eastAsia="仿宋"/>
                <w:bCs/>
                <w:szCs w:val="21"/>
              </w:rPr>
              <w:t>监测时间</w:t>
            </w:r>
          </w:p>
        </w:tc>
        <w:tc>
          <w:tcPr>
            <w:tcW w:w="1320" w:type="dxa"/>
            <w:vAlign w:val="center"/>
          </w:tcPr>
          <w:p>
            <w:pPr>
              <w:jc w:val="center"/>
              <w:rPr>
                <w:rFonts w:ascii="仿宋" w:hAnsi="仿宋" w:eastAsia="仿宋"/>
                <w:bCs/>
                <w:szCs w:val="21"/>
              </w:rPr>
            </w:pPr>
            <w:r>
              <w:rPr>
                <w:rFonts w:hint="eastAsia" w:ascii="仿宋" w:hAnsi="仿宋" w:eastAsia="仿宋"/>
                <w:bCs/>
                <w:szCs w:val="21"/>
              </w:rPr>
              <w:t>监测因子</w:t>
            </w:r>
          </w:p>
        </w:tc>
        <w:tc>
          <w:tcPr>
            <w:tcW w:w="1320" w:type="dxa"/>
            <w:vAlign w:val="center"/>
          </w:tcPr>
          <w:p>
            <w:pPr>
              <w:jc w:val="center"/>
              <w:rPr>
                <w:rFonts w:ascii="仿宋" w:hAnsi="仿宋" w:eastAsia="仿宋"/>
                <w:bCs/>
                <w:szCs w:val="21"/>
              </w:rPr>
            </w:pPr>
            <w:r>
              <w:rPr>
                <w:rFonts w:hint="eastAsia" w:ascii="仿宋" w:hAnsi="仿宋" w:eastAsia="仿宋"/>
                <w:bCs/>
                <w:szCs w:val="21"/>
              </w:rPr>
              <w:t>排放浓度（mg</w:t>
            </w:r>
            <w:r>
              <w:rPr>
                <w:rFonts w:ascii="仿宋" w:hAnsi="仿宋" w:eastAsia="仿宋"/>
                <w:bCs/>
                <w:szCs w:val="21"/>
              </w:rPr>
              <w:t>/m</w:t>
            </w:r>
            <w:r>
              <w:rPr>
                <w:rFonts w:ascii="仿宋" w:hAnsi="仿宋" w:eastAsia="仿宋"/>
                <w:bCs/>
                <w:szCs w:val="21"/>
                <w:vertAlign w:val="superscript"/>
              </w:rPr>
              <w:t>3</w:t>
            </w:r>
            <w:r>
              <w:rPr>
                <w:rFonts w:hint="eastAsia" w:ascii="仿宋" w:hAnsi="仿宋" w:eastAsia="仿宋"/>
                <w:bCs/>
                <w:szCs w:val="21"/>
              </w:rPr>
              <w:t>）</w:t>
            </w:r>
          </w:p>
        </w:tc>
        <w:tc>
          <w:tcPr>
            <w:tcW w:w="1320" w:type="dxa"/>
            <w:vAlign w:val="center"/>
          </w:tcPr>
          <w:p>
            <w:pPr>
              <w:jc w:val="center"/>
              <w:rPr>
                <w:rFonts w:ascii="仿宋" w:hAnsi="仿宋" w:eastAsia="仿宋"/>
                <w:bCs/>
                <w:szCs w:val="21"/>
              </w:rPr>
            </w:pPr>
            <w:r>
              <w:rPr>
                <w:rFonts w:hint="eastAsia" w:ascii="仿宋" w:hAnsi="仿宋" w:eastAsia="仿宋"/>
                <w:bCs/>
                <w:szCs w:val="21"/>
              </w:rPr>
              <w:t>排放速率（kg</w:t>
            </w:r>
            <w:r>
              <w:rPr>
                <w:rFonts w:ascii="仿宋" w:hAnsi="仿宋" w:eastAsia="仿宋"/>
                <w:bCs/>
                <w:szCs w:val="21"/>
              </w:rPr>
              <w:t>/h</w:t>
            </w:r>
            <w:r>
              <w:rPr>
                <w:rFonts w:hint="eastAsia" w:ascii="仿宋" w:hAnsi="仿宋" w:eastAsia="仿宋"/>
                <w:bCs/>
                <w:szCs w:val="21"/>
              </w:rPr>
              <w:t>）</w:t>
            </w:r>
          </w:p>
        </w:tc>
        <w:tc>
          <w:tcPr>
            <w:tcW w:w="1321" w:type="dxa"/>
            <w:vAlign w:val="center"/>
          </w:tcPr>
          <w:p>
            <w:pPr>
              <w:jc w:val="center"/>
              <w:rPr>
                <w:rFonts w:ascii="仿宋" w:hAnsi="仿宋" w:eastAsia="仿宋"/>
                <w:bCs/>
                <w:szCs w:val="21"/>
              </w:rPr>
            </w:pPr>
            <w:r>
              <w:rPr>
                <w:rFonts w:hint="eastAsia" w:ascii="仿宋" w:hAnsi="仿宋" w:eastAsia="仿宋"/>
                <w:bCs/>
                <w:szCs w:val="21"/>
              </w:rPr>
              <w:t>浓度标准限值（mg</w:t>
            </w:r>
            <w:r>
              <w:rPr>
                <w:rFonts w:ascii="仿宋" w:hAnsi="仿宋" w:eastAsia="仿宋"/>
                <w:bCs/>
                <w:szCs w:val="21"/>
              </w:rPr>
              <w:t>/m</w:t>
            </w:r>
            <w:r>
              <w:rPr>
                <w:rFonts w:ascii="仿宋" w:hAnsi="仿宋" w:eastAsia="仿宋"/>
                <w:bCs/>
                <w:szCs w:val="21"/>
                <w:vertAlign w:val="superscript"/>
              </w:rPr>
              <w:t>3</w:t>
            </w:r>
            <w:r>
              <w:rPr>
                <w:rFonts w:hint="eastAsia" w:ascii="仿宋" w:hAnsi="仿宋" w:eastAsia="仿宋"/>
                <w:bCs/>
                <w:szCs w:val="21"/>
              </w:rPr>
              <w:t>）</w:t>
            </w:r>
          </w:p>
        </w:tc>
        <w:tc>
          <w:tcPr>
            <w:tcW w:w="1321" w:type="dxa"/>
            <w:vAlign w:val="center"/>
          </w:tcPr>
          <w:p>
            <w:pPr>
              <w:jc w:val="center"/>
              <w:rPr>
                <w:rFonts w:ascii="仿宋" w:hAnsi="仿宋" w:eastAsia="仿宋"/>
                <w:bCs/>
                <w:szCs w:val="21"/>
              </w:rPr>
            </w:pPr>
            <w:r>
              <w:rPr>
                <w:rFonts w:hint="eastAsia" w:ascii="仿宋" w:hAnsi="仿宋" w:eastAsia="仿宋"/>
                <w:bCs/>
                <w:szCs w:val="21"/>
              </w:rPr>
              <w:t>速率标准限值（kg</w:t>
            </w:r>
            <w:r>
              <w:rPr>
                <w:rFonts w:ascii="仿宋" w:hAnsi="仿宋" w:eastAsia="仿宋"/>
                <w:bCs/>
                <w:szCs w:val="21"/>
              </w:rPr>
              <w:t>/h</w:t>
            </w:r>
            <w:r>
              <w:rPr>
                <w:rFonts w:hint="eastAsia" w:ascii="仿宋" w:hAnsi="仿宋" w:eastAsia="仿宋"/>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0" w:type="dxa"/>
            <w:vMerge w:val="restart"/>
            <w:vAlign w:val="center"/>
          </w:tcPr>
          <w:p>
            <w:pPr>
              <w:jc w:val="center"/>
              <w:rPr>
                <w:rFonts w:ascii="仿宋" w:hAnsi="仿宋" w:eastAsia="仿宋"/>
                <w:bCs/>
                <w:szCs w:val="21"/>
              </w:rPr>
            </w:pPr>
            <w:r>
              <w:rPr>
                <w:rFonts w:ascii="仿宋" w:hAnsi="仿宋" w:eastAsia="仿宋"/>
                <w:bCs/>
                <w:szCs w:val="21"/>
              </w:rPr>
              <w:t>FQ-1</w:t>
            </w:r>
          </w:p>
        </w:tc>
        <w:tc>
          <w:tcPr>
            <w:tcW w:w="1320" w:type="dxa"/>
            <w:vMerge w:val="restart"/>
            <w:vAlign w:val="center"/>
          </w:tcPr>
          <w:p>
            <w:pPr>
              <w:jc w:val="center"/>
              <w:rPr>
                <w:rFonts w:ascii="仿宋" w:hAnsi="仿宋" w:eastAsia="仿宋"/>
                <w:bCs/>
                <w:szCs w:val="21"/>
              </w:rPr>
            </w:pPr>
            <w:r>
              <w:rPr>
                <w:rFonts w:hint="eastAsia" w:ascii="仿宋" w:hAnsi="仿宋" w:eastAsia="仿宋"/>
                <w:bCs/>
                <w:szCs w:val="21"/>
              </w:rPr>
              <w:t>2</w:t>
            </w:r>
            <w:r>
              <w:rPr>
                <w:rFonts w:ascii="仿宋" w:hAnsi="仿宋" w:eastAsia="仿宋"/>
                <w:bCs/>
                <w:szCs w:val="21"/>
              </w:rPr>
              <w:t>023.1.12</w:t>
            </w:r>
          </w:p>
        </w:tc>
        <w:tc>
          <w:tcPr>
            <w:tcW w:w="1320" w:type="dxa"/>
          </w:tcPr>
          <w:p>
            <w:pPr>
              <w:jc w:val="center"/>
              <w:rPr>
                <w:rFonts w:ascii="仿宋" w:hAnsi="仿宋" w:eastAsia="仿宋"/>
                <w:bCs/>
                <w:szCs w:val="21"/>
              </w:rPr>
            </w:pPr>
            <w:r>
              <w:rPr>
                <w:rFonts w:hint="eastAsia" w:ascii="仿宋" w:hAnsi="仿宋" w:eastAsia="仿宋"/>
                <w:bCs/>
                <w:szCs w:val="21"/>
              </w:rPr>
              <w:t>非甲烷总烃</w:t>
            </w:r>
          </w:p>
        </w:tc>
        <w:tc>
          <w:tcPr>
            <w:tcW w:w="1320" w:type="dxa"/>
          </w:tcPr>
          <w:p>
            <w:pPr>
              <w:jc w:val="center"/>
              <w:rPr>
                <w:rFonts w:ascii="仿宋" w:hAnsi="仿宋" w:eastAsia="仿宋"/>
                <w:bCs/>
                <w:szCs w:val="21"/>
              </w:rPr>
            </w:pPr>
            <w:r>
              <w:rPr>
                <w:rFonts w:hint="eastAsia" w:ascii="仿宋" w:hAnsi="仿宋" w:eastAsia="仿宋"/>
                <w:bCs/>
                <w:szCs w:val="21"/>
              </w:rPr>
              <w:t>1</w:t>
            </w:r>
            <w:r>
              <w:rPr>
                <w:rFonts w:ascii="仿宋" w:hAnsi="仿宋" w:eastAsia="仿宋"/>
                <w:bCs/>
                <w:szCs w:val="21"/>
              </w:rPr>
              <w:t>0.7</w:t>
            </w:r>
          </w:p>
        </w:tc>
        <w:tc>
          <w:tcPr>
            <w:tcW w:w="1320" w:type="dxa"/>
          </w:tcPr>
          <w:p>
            <w:pPr>
              <w:jc w:val="center"/>
              <w:rPr>
                <w:rFonts w:ascii="仿宋" w:hAnsi="仿宋" w:eastAsia="仿宋"/>
                <w:bCs/>
                <w:szCs w:val="21"/>
              </w:rPr>
            </w:pPr>
            <w:r>
              <w:rPr>
                <w:rFonts w:hint="eastAsia" w:ascii="仿宋" w:hAnsi="仿宋" w:eastAsia="仿宋"/>
                <w:bCs/>
                <w:szCs w:val="21"/>
              </w:rPr>
              <w:t>0</w:t>
            </w:r>
            <w:r>
              <w:rPr>
                <w:rFonts w:ascii="仿宋" w:hAnsi="仿宋" w:eastAsia="仿宋"/>
                <w:bCs/>
                <w:szCs w:val="21"/>
              </w:rPr>
              <w:t>.173</w:t>
            </w:r>
          </w:p>
        </w:tc>
        <w:tc>
          <w:tcPr>
            <w:tcW w:w="1321" w:type="dxa"/>
          </w:tcPr>
          <w:p>
            <w:pPr>
              <w:jc w:val="center"/>
              <w:rPr>
                <w:rFonts w:ascii="仿宋" w:hAnsi="仿宋" w:eastAsia="仿宋"/>
                <w:bCs/>
                <w:szCs w:val="21"/>
              </w:rPr>
            </w:pPr>
            <w:r>
              <w:rPr>
                <w:rFonts w:hint="eastAsia" w:ascii="仿宋" w:hAnsi="仿宋" w:eastAsia="仿宋"/>
                <w:bCs/>
                <w:szCs w:val="21"/>
              </w:rPr>
              <w:t>6</w:t>
            </w:r>
            <w:r>
              <w:rPr>
                <w:rFonts w:ascii="仿宋" w:hAnsi="仿宋" w:eastAsia="仿宋"/>
                <w:bCs/>
                <w:szCs w:val="21"/>
              </w:rPr>
              <w:t>0</w:t>
            </w:r>
          </w:p>
        </w:tc>
        <w:tc>
          <w:tcPr>
            <w:tcW w:w="1321" w:type="dxa"/>
          </w:tcPr>
          <w:p>
            <w:pPr>
              <w:jc w:val="center"/>
              <w:rPr>
                <w:rFonts w:ascii="仿宋" w:hAnsi="仿宋" w:eastAsia="仿宋"/>
                <w:bCs/>
                <w:szCs w:val="21"/>
              </w:rPr>
            </w:pPr>
            <w:r>
              <w:rPr>
                <w:rFonts w:hint="eastAsia" w:ascii="仿宋" w:hAnsi="仿宋" w:eastAsia="仿宋"/>
                <w:bCs/>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0" w:type="dxa"/>
            <w:vMerge w:val="continue"/>
            <w:vAlign w:val="center"/>
          </w:tcPr>
          <w:p>
            <w:pPr>
              <w:jc w:val="center"/>
              <w:rPr>
                <w:rFonts w:ascii="仿宋" w:hAnsi="仿宋" w:eastAsia="仿宋"/>
                <w:bCs/>
                <w:szCs w:val="21"/>
              </w:rPr>
            </w:pPr>
          </w:p>
        </w:tc>
        <w:tc>
          <w:tcPr>
            <w:tcW w:w="1320" w:type="dxa"/>
            <w:vMerge w:val="continue"/>
          </w:tcPr>
          <w:p>
            <w:pPr>
              <w:jc w:val="center"/>
              <w:rPr>
                <w:rFonts w:ascii="仿宋" w:hAnsi="仿宋" w:eastAsia="仿宋"/>
                <w:bCs/>
                <w:szCs w:val="21"/>
              </w:rPr>
            </w:pPr>
          </w:p>
        </w:tc>
        <w:tc>
          <w:tcPr>
            <w:tcW w:w="1320" w:type="dxa"/>
          </w:tcPr>
          <w:p>
            <w:pPr>
              <w:jc w:val="center"/>
              <w:rPr>
                <w:rFonts w:ascii="仿宋" w:hAnsi="仿宋" w:eastAsia="仿宋"/>
                <w:bCs/>
                <w:szCs w:val="21"/>
              </w:rPr>
            </w:pPr>
            <w:r>
              <w:rPr>
                <w:rFonts w:hint="eastAsia" w:ascii="仿宋" w:hAnsi="仿宋" w:eastAsia="仿宋"/>
                <w:bCs/>
                <w:szCs w:val="21"/>
              </w:rPr>
              <w:t>甲苯</w:t>
            </w:r>
          </w:p>
        </w:tc>
        <w:tc>
          <w:tcPr>
            <w:tcW w:w="1320" w:type="dxa"/>
          </w:tcPr>
          <w:p>
            <w:pPr>
              <w:jc w:val="center"/>
              <w:rPr>
                <w:rFonts w:ascii="仿宋" w:hAnsi="仿宋" w:eastAsia="仿宋"/>
                <w:bCs/>
                <w:szCs w:val="21"/>
              </w:rPr>
            </w:pPr>
            <w:r>
              <w:rPr>
                <w:rFonts w:hint="eastAsia" w:ascii="仿宋" w:hAnsi="仿宋" w:eastAsia="仿宋"/>
                <w:bCs/>
                <w:szCs w:val="21"/>
              </w:rPr>
              <w:t>0</w:t>
            </w:r>
            <w:r>
              <w:rPr>
                <w:rFonts w:ascii="仿宋" w:hAnsi="仿宋" w:eastAsia="仿宋"/>
                <w:bCs/>
                <w:szCs w:val="21"/>
              </w:rPr>
              <w:t>.215</w:t>
            </w:r>
          </w:p>
        </w:tc>
        <w:tc>
          <w:tcPr>
            <w:tcW w:w="1320" w:type="dxa"/>
          </w:tcPr>
          <w:p>
            <w:pPr>
              <w:jc w:val="center"/>
              <w:rPr>
                <w:rFonts w:ascii="仿宋" w:hAnsi="仿宋" w:eastAsia="仿宋"/>
                <w:bCs/>
                <w:szCs w:val="21"/>
              </w:rPr>
            </w:pPr>
            <w:r>
              <w:rPr>
                <w:rFonts w:hint="eastAsia" w:ascii="仿宋" w:hAnsi="仿宋" w:eastAsia="仿宋"/>
                <w:bCs/>
                <w:szCs w:val="21"/>
              </w:rPr>
              <w:t>2</w:t>
            </w:r>
            <w:r>
              <w:rPr>
                <w:rFonts w:ascii="仿宋" w:hAnsi="仿宋" w:eastAsia="仿宋"/>
                <w:bCs/>
                <w:szCs w:val="21"/>
              </w:rPr>
              <w:t>.66*10</w:t>
            </w:r>
            <w:r>
              <w:rPr>
                <w:rFonts w:ascii="仿宋" w:hAnsi="仿宋" w:eastAsia="仿宋"/>
                <w:bCs/>
                <w:szCs w:val="21"/>
                <w:vertAlign w:val="superscript"/>
              </w:rPr>
              <w:t>-3</w:t>
            </w:r>
          </w:p>
        </w:tc>
        <w:tc>
          <w:tcPr>
            <w:tcW w:w="1321" w:type="dxa"/>
          </w:tcPr>
          <w:p>
            <w:pPr>
              <w:jc w:val="center"/>
              <w:rPr>
                <w:rFonts w:ascii="仿宋" w:hAnsi="仿宋" w:eastAsia="仿宋"/>
                <w:bCs/>
                <w:szCs w:val="21"/>
              </w:rPr>
            </w:pPr>
            <w:r>
              <w:rPr>
                <w:rFonts w:hint="eastAsia" w:ascii="仿宋" w:hAnsi="仿宋" w:eastAsia="仿宋"/>
                <w:bCs/>
                <w:szCs w:val="21"/>
              </w:rPr>
              <w:t>1</w:t>
            </w:r>
            <w:r>
              <w:rPr>
                <w:rFonts w:ascii="仿宋" w:hAnsi="仿宋" w:eastAsia="仿宋"/>
                <w:bCs/>
                <w:szCs w:val="21"/>
              </w:rPr>
              <w:t>0</w:t>
            </w:r>
          </w:p>
        </w:tc>
        <w:tc>
          <w:tcPr>
            <w:tcW w:w="1321" w:type="dxa"/>
          </w:tcPr>
          <w:p>
            <w:pPr>
              <w:jc w:val="center"/>
              <w:rPr>
                <w:rFonts w:ascii="仿宋" w:hAnsi="仿宋" w:eastAsia="仿宋"/>
                <w:bCs/>
                <w:szCs w:val="21"/>
              </w:rPr>
            </w:pPr>
            <w:r>
              <w:rPr>
                <w:rFonts w:hint="eastAsia" w:ascii="仿宋" w:hAnsi="仿宋" w:eastAsia="仿宋"/>
                <w:bCs/>
                <w:szCs w:val="21"/>
              </w:rPr>
              <w:t>0</w:t>
            </w:r>
            <w:r>
              <w:rPr>
                <w:rFonts w:ascii="仿宋" w:hAnsi="仿宋" w:eastAsia="仿宋"/>
                <w:bCs/>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0" w:type="dxa"/>
            <w:vMerge w:val="continue"/>
            <w:vAlign w:val="center"/>
          </w:tcPr>
          <w:p>
            <w:pPr>
              <w:jc w:val="center"/>
              <w:rPr>
                <w:rFonts w:ascii="仿宋" w:hAnsi="仿宋" w:eastAsia="仿宋"/>
                <w:bCs/>
                <w:szCs w:val="21"/>
              </w:rPr>
            </w:pPr>
          </w:p>
        </w:tc>
        <w:tc>
          <w:tcPr>
            <w:tcW w:w="1320" w:type="dxa"/>
            <w:vMerge w:val="continue"/>
          </w:tcPr>
          <w:p>
            <w:pPr>
              <w:jc w:val="center"/>
              <w:rPr>
                <w:rFonts w:ascii="仿宋" w:hAnsi="仿宋" w:eastAsia="仿宋"/>
                <w:bCs/>
                <w:szCs w:val="21"/>
              </w:rPr>
            </w:pPr>
          </w:p>
        </w:tc>
        <w:tc>
          <w:tcPr>
            <w:tcW w:w="1320" w:type="dxa"/>
          </w:tcPr>
          <w:p>
            <w:pPr>
              <w:jc w:val="center"/>
              <w:rPr>
                <w:rFonts w:ascii="仿宋" w:hAnsi="仿宋" w:eastAsia="仿宋"/>
                <w:bCs/>
                <w:szCs w:val="21"/>
              </w:rPr>
            </w:pPr>
            <w:r>
              <w:rPr>
                <w:rFonts w:hint="eastAsia" w:ascii="仿宋" w:hAnsi="仿宋" w:eastAsia="仿宋"/>
                <w:bCs/>
                <w:szCs w:val="21"/>
              </w:rPr>
              <w:t>乙酸乙酯</w:t>
            </w:r>
          </w:p>
        </w:tc>
        <w:tc>
          <w:tcPr>
            <w:tcW w:w="1320" w:type="dxa"/>
          </w:tcPr>
          <w:p>
            <w:pPr>
              <w:jc w:val="center"/>
              <w:rPr>
                <w:rFonts w:ascii="仿宋" w:hAnsi="仿宋" w:eastAsia="仿宋"/>
                <w:bCs/>
                <w:szCs w:val="21"/>
              </w:rPr>
            </w:pPr>
            <w:r>
              <w:rPr>
                <w:rFonts w:hint="eastAsia" w:ascii="仿宋" w:hAnsi="仿宋" w:eastAsia="仿宋"/>
                <w:bCs/>
                <w:szCs w:val="21"/>
              </w:rPr>
              <w:t>0</w:t>
            </w:r>
            <w:r>
              <w:rPr>
                <w:rFonts w:ascii="仿宋" w:hAnsi="仿宋" w:eastAsia="仿宋"/>
                <w:bCs/>
                <w:szCs w:val="21"/>
              </w:rPr>
              <w:t>.067</w:t>
            </w:r>
          </w:p>
        </w:tc>
        <w:tc>
          <w:tcPr>
            <w:tcW w:w="1320" w:type="dxa"/>
          </w:tcPr>
          <w:p>
            <w:pPr>
              <w:jc w:val="center"/>
              <w:rPr>
                <w:rFonts w:ascii="仿宋" w:hAnsi="仿宋" w:eastAsia="仿宋"/>
                <w:bCs/>
                <w:szCs w:val="21"/>
              </w:rPr>
            </w:pPr>
            <w:r>
              <w:rPr>
                <w:rFonts w:hint="eastAsia" w:ascii="仿宋" w:hAnsi="仿宋" w:eastAsia="仿宋"/>
                <w:bCs/>
                <w:szCs w:val="21"/>
              </w:rPr>
              <w:t>8</w:t>
            </w:r>
            <w:r>
              <w:rPr>
                <w:rFonts w:ascii="仿宋" w:hAnsi="仿宋" w:eastAsia="仿宋"/>
                <w:bCs/>
                <w:szCs w:val="21"/>
              </w:rPr>
              <w:t>.29*10</w:t>
            </w:r>
            <w:r>
              <w:rPr>
                <w:rFonts w:ascii="仿宋" w:hAnsi="仿宋" w:eastAsia="仿宋"/>
                <w:bCs/>
                <w:szCs w:val="21"/>
                <w:vertAlign w:val="superscript"/>
              </w:rPr>
              <w:t>-4</w:t>
            </w:r>
          </w:p>
        </w:tc>
        <w:tc>
          <w:tcPr>
            <w:tcW w:w="1321" w:type="dxa"/>
          </w:tcPr>
          <w:p>
            <w:pPr>
              <w:jc w:val="center"/>
              <w:rPr>
                <w:rFonts w:ascii="仿宋" w:hAnsi="仿宋" w:eastAsia="仿宋"/>
                <w:bCs/>
                <w:szCs w:val="21"/>
              </w:rPr>
            </w:pPr>
            <w:r>
              <w:rPr>
                <w:rFonts w:hint="eastAsia" w:ascii="仿宋" w:hAnsi="仿宋" w:eastAsia="仿宋"/>
                <w:bCs/>
                <w:szCs w:val="21"/>
              </w:rPr>
              <w:t>/</w:t>
            </w:r>
          </w:p>
        </w:tc>
        <w:tc>
          <w:tcPr>
            <w:tcW w:w="1321" w:type="dxa"/>
          </w:tcPr>
          <w:p>
            <w:pPr>
              <w:jc w:val="center"/>
              <w:rPr>
                <w:rFonts w:ascii="仿宋" w:hAnsi="仿宋" w:eastAsia="仿宋"/>
                <w:bCs/>
                <w:szCs w:val="21"/>
              </w:rPr>
            </w:pPr>
            <w:r>
              <w:rPr>
                <w:rFonts w:hint="eastAsia" w:ascii="仿宋" w:hAnsi="仿宋" w:eastAsia="仿宋"/>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0" w:type="dxa"/>
            <w:vMerge w:val="continue"/>
            <w:vAlign w:val="center"/>
          </w:tcPr>
          <w:p>
            <w:pPr>
              <w:jc w:val="center"/>
              <w:rPr>
                <w:rFonts w:ascii="仿宋" w:hAnsi="仿宋" w:eastAsia="仿宋"/>
                <w:bCs/>
                <w:szCs w:val="21"/>
              </w:rPr>
            </w:pPr>
          </w:p>
        </w:tc>
        <w:tc>
          <w:tcPr>
            <w:tcW w:w="1320" w:type="dxa"/>
            <w:vMerge w:val="continue"/>
          </w:tcPr>
          <w:p>
            <w:pPr>
              <w:jc w:val="center"/>
              <w:rPr>
                <w:rFonts w:ascii="仿宋" w:hAnsi="仿宋" w:eastAsia="仿宋"/>
                <w:bCs/>
                <w:szCs w:val="21"/>
              </w:rPr>
            </w:pPr>
          </w:p>
        </w:tc>
        <w:tc>
          <w:tcPr>
            <w:tcW w:w="1320" w:type="dxa"/>
          </w:tcPr>
          <w:p>
            <w:pPr>
              <w:jc w:val="center"/>
              <w:rPr>
                <w:rFonts w:ascii="仿宋" w:hAnsi="仿宋" w:eastAsia="仿宋"/>
                <w:bCs/>
                <w:szCs w:val="21"/>
              </w:rPr>
            </w:pPr>
            <w:r>
              <w:rPr>
                <w:rFonts w:hint="eastAsia" w:ascii="仿宋" w:hAnsi="仿宋" w:eastAsia="仿宋"/>
                <w:bCs/>
                <w:szCs w:val="21"/>
              </w:rPr>
              <w:t>颗粒物</w:t>
            </w:r>
          </w:p>
        </w:tc>
        <w:tc>
          <w:tcPr>
            <w:tcW w:w="1320" w:type="dxa"/>
          </w:tcPr>
          <w:p>
            <w:pPr>
              <w:jc w:val="center"/>
              <w:rPr>
                <w:rFonts w:ascii="仿宋" w:hAnsi="仿宋" w:eastAsia="仿宋"/>
                <w:bCs/>
                <w:szCs w:val="21"/>
              </w:rPr>
            </w:pPr>
            <w:r>
              <w:rPr>
                <w:rFonts w:hint="eastAsia" w:ascii="仿宋" w:hAnsi="仿宋" w:eastAsia="仿宋"/>
                <w:bCs/>
                <w:szCs w:val="21"/>
              </w:rPr>
              <w:t>1</w:t>
            </w:r>
            <w:r>
              <w:rPr>
                <w:rFonts w:ascii="仿宋" w:hAnsi="仿宋" w:eastAsia="仿宋"/>
                <w:bCs/>
                <w:szCs w:val="21"/>
              </w:rPr>
              <w:t>.2</w:t>
            </w:r>
          </w:p>
        </w:tc>
        <w:tc>
          <w:tcPr>
            <w:tcW w:w="1320" w:type="dxa"/>
          </w:tcPr>
          <w:p>
            <w:pPr>
              <w:jc w:val="center"/>
              <w:rPr>
                <w:rFonts w:ascii="仿宋" w:hAnsi="仿宋" w:eastAsia="仿宋"/>
                <w:bCs/>
                <w:szCs w:val="21"/>
              </w:rPr>
            </w:pPr>
            <w:r>
              <w:rPr>
                <w:rFonts w:hint="eastAsia" w:ascii="仿宋" w:hAnsi="仿宋" w:eastAsia="仿宋"/>
                <w:bCs/>
                <w:szCs w:val="21"/>
              </w:rPr>
              <w:t>1</w:t>
            </w:r>
            <w:r>
              <w:rPr>
                <w:rFonts w:ascii="仿宋" w:hAnsi="仿宋" w:eastAsia="仿宋"/>
                <w:bCs/>
                <w:szCs w:val="21"/>
              </w:rPr>
              <w:t>.94*10</w:t>
            </w:r>
            <w:r>
              <w:rPr>
                <w:rFonts w:ascii="仿宋" w:hAnsi="仿宋" w:eastAsia="仿宋"/>
                <w:bCs/>
                <w:szCs w:val="21"/>
                <w:vertAlign w:val="superscript"/>
              </w:rPr>
              <w:t>-2</w:t>
            </w:r>
          </w:p>
        </w:tc>
        <w:tc>
          <w:tcPr>
            <w:tcW w:w="1321" w:type="dxa"/>
          </w:tcPr>
          <w:p>
            <w:pPr>
              <w:jc w:val="center"/>
              <w:rPr>
                <w:rFonts w:ascii="仿宋" w:hAnsi="仿宋" w:eastAsia="仿宋"/>
                <w:bCs/>
                <w:szCs w:val="21"/>
              </w:rPr>
            </w:pPr>
            <w:r>
              <w:rPr>
                <w:rFonts w:hint="eastAsia" w:ascii="仿宋" w:hAnsi="仿宋" w:eastAsia="仿宋"/>
                <w:bCs/>
                <w:szCs w:val="21"/>
              </w:rPr>
              <w:t>2</w:t>
            </w:r>
            <w:r>
              <w:rPr>
                <w:rFonts w:ascii="仿宋" w:hAnsi="仿宋" w:eastAsia="仿宋"/>
                <w:bCs/>
                <w:szCs w:val="21"/>
              </w:rPr>
              <w:t>0</w:t>
            </w:r>
          </w:p>
        </w:tc>
        <w:tc>
          <w:tcPr>
            <w:tcW w:w="1321" w:type="dxa"/>
          </w:tcPr>
          <w:p>
            <w:pPr>
              <w:jc w:val="center"/>
              <w:rPr>
                <w:rFonts w:ascii="仿宋" w:hAnsi="仿宋" w:eastAsia="仿宋"/>
                <w:bCs/>
                <w:szCs w:val="21"/>
              </w:rPr>
            </w:pPr>
            <w:r>
              <w:rPr>
                <w:rFonts w:hint="eastAsia" w:ascii="仿宋" w:hAnsi="仿宋" w:eastAsia="仿宋"/>
                <w:bCs/>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0" w:type="dxa"/>
            <w:vMerge w:val="continue"/>
            <w:vAlign w:val="center"/>
          </w:tcPr>
          <w:p>
            <w:pPr>
              <w:jc w:val="center"/>
              <w:rPr>
                <w:rFonts w:ascii="仿宋" w:hAnsi="仿宋" w:eastAsia="仿宋"/>
                <w:bCs/>
                <w:szCs w:val="21"/>
              </w:rPr>
            </w:pPr>
          </w:p>
        </w:tc>
        <w:tc>
          <w:tcPr>
            <w:tcW w:w="1320" w:type="dxa"/>
            <w:vMerge w:val="continue"/>
          </w:tcPr>
          <w:p>
            <w:pPr>
              <w:jc w:val="center"/>
              <w:rPr>
                <w:rFonts w:ascii="仿宋" w:hAnsi="仿宋" w:eastAsia="仿宋"/>
                <w:bCs/>
                <w:szCs w:val="21"/>
              </w:rPr>
            </w:pPr>
          </w:p>
        </w:tc>
        <w:tc>
          <w:tcPr>
            <w:tcW w:w="1320" w:type="dxa"/>
          </w:tcPr>
          <w:p>
            <w:pPr>
              <w:jc w:val="center"/>
              <w:rPr>
                <w:rFonts w:ascii="仿宋" w:hAnsi="仿宋" w:eastAsia="仿宋"/>
                <w:bCs/>
                <w:szCs w:val="21"/>
              </w:rPr>
            </w:pPr>
            <w:r>
              <w:rPr>
                <w:rFonts w:hint="eastAsia" w:ascii="仿宋" w:hAnsi="仿宋" w:eastAsia="仿宋"/>
                <w:bCs/>
                <w:szCs w:val="21"/>
              </w:rPr>
              <w:t>S</w:t>
            </w:r>
            <w:r>
              <w:rPr>
                <w:rFonts w:ascii="仿宋" w:hAnsi="仿宋" w:eastAsia="仿宋"/>
                <w:bCs/>
                <w:szCs w:val="21"/>
              </w:rPr>
              <w:t>O</w:t>
            </w:r>
            <w:r>
              <w:rPr>
                <w:rFonts w:ascii="仿宋" w:hAnsi="仿宋" w:eastAsia="仿宋"/>
                <w:bCs/>
                <w:szCs w:val="21"/>
                <w:vertAlign w:val="subscript"/>
              </w:rPr>
              <w:t>2</w:t>
            </w:r>
          </w:p>
        </w:tc>
        <w:tc>
          <w:tcPr>
            <w:tcW w:w="1320" w:type="dxa"/>
          </w:tcPr>
          <w:p>
            <w:pPr>
              <w:jc w:val="center"/>
              <w:rPr>
                <w:rFonts w:ascii="仿宋" w:hAnsi="仿宋" w:eastAsia="仿宋"/>
                <w:bCs/>
                <w:szCs w:val="21"/>
              </w:rPr>
            </w:pPr>
            <w:r>
              <w:rPr>
                <w:rFonts w:ascii="仿宋" w:hAnsi="仿宋" w:eastAsia="仿宋"/>
                <w:bCs/>
                <w:szCs w:val="21"/>
              </w:rPr>
              <w:t>ND</w:t>
            </w:r>
          </w:p>
        </w:tc>
        <w:tc>
          <w:tcPr>
            <w:tcW w:w="1320" w:type="dxa"/>
          </w:tcPr>
          <w:p>
            <w:pPr>
              <w:jc w:val="center"/>
              <w:rPr>
                <w:rFonts w:ascii="仿宋" w:hAnsi="仿宋" w:eastAsia="仿宋"/>
                <w:bCs/>
                <w:szCs w:val="21"/>
              </w:rPr>
            </w:pPr>
            <w:r>
              <w:rPr>
                <w:rFonts w:hint="eastAsia" w:ascii="仿宋" w:hAnsi="仿宋" w:eastAsia="仿宋"/>
                <w:bCs/>
                <w:szCs w:val="21"/>
              </w:rPr>
              <w:t>N</w:t>
            </w:r>
            <w:r>
              <w:rPr>
                <w:rFonts w:ascii="仿宋" w:hAnsi="仿宋" w:eastAsia="仿宋"/>
                <w:bCs/>
                <w:szCs w:val="21"/>
              </w:rPr>
              <w:t>D</w:t>
            </w:r>
          </w:p>
        </w:tc>
        <w:tc>
          <w:tcPr>
            <w:tcW w:w="1321" w:type="dxa"/>
          </w:tcPr>
          <w:p>
            <w:pPr>
              <w:jc w:val="center"/>
              <w:rPr>
                <w:rFonts w:ascii="仿宋" w:hAnsi="仿宋" w:eastAsia="仿宋"/>
                <w:bCs/>
                <w:szCs w:val="21"/>
              </w:rPr>
            </w:pPr>
            <w:r>
              <w:rPr>
                <w:rFonts w:hint="eastAsia" w:ascii="仿宋" w:hAnsi="仿宋" w:eastAsia="仿宋"/>
                <w:bCs/>
                <w:szCs w:val="21"/>
              </w:rPr>
              <w:t>20</w:t>
            </w:r>
            <w:r>
              <w:rPr>
                <w:rFonts w:ascii="仿宋" w:hAnsi="仿宋" w:eastAsia="仿宋"/>
                <w:bCs/>
                <w:szCs w:val="21"/>
              </w:rPr>
              <w:t>0</w:t>
            </w:r>
          </w:p>
        </w:tc>
        <w:tc>
          <w:tcPr>
            <w:tcW w:w="1321" w:type="dxa"/>
          </w:tcPr>
          <w:p>
            <w:pPr>
              <w:jc w:val="center"/>
              <w:rPr>
                <w:rFonts w:ascii="仿宋" w:hAnsi="仿宋" w:eastAsia="仿宋"/>
                <w:bCs/>
                <w:szCs w:val="21"/>
              </w:rPr>
            </w:pPr>
            <w:r>
              <w:rPr>
                <w:rFonts w:hint="eastAsia" w:ascii="仿宋" w:hAnsi="仿宋" w:eastAsia="仿宋"/>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0" w:type="dxa"/>
            <w:vMerge w:val="continue"/>
            <w:vAlign w:val="center"/>
          </w:tcPr>
          <w:p>
            <w:pPr>
              <w:jc w:val="center"/>
              <w:rPr>
                <w:rFonts w:ascii="仿宋" w:hAnsi="仿宋" w:eastAsia="仿宋"/>
                <w:bCs/>
                <w:szCs w:val="21"/>
              </w:rPr>
            </w:pPr>
          </w:p>
        </w:tc>
        <w:tc>
          <w:tcPr>
            <w:tcW w:w="1320" w:type="dxa"/>
            <w:vMerge w:val="continue"/>
          </w:tcPr>
          <w:p>
            <w:pPr>
              <w:jc w:val="center"/>
              <w:rPr>
                <w:rFonts w:ascii="仿宋" w:hAnsi="仿宋" w:eastAsia="仿宋"/>
                <w:bCs/>
                <w:szCs w:val="21"/>
              </w:rPr>
            </w:pPr>
          </w:p>
        </w:tc>
        <w:tc>
          <w:tcPr>
            <w:tcW w:w="1320" w:type="dxa"/>
          </w:tcPr>
          <w:p>
            <w:pPr>
              <w:jc w:val="center"/>
              <w:rPr>
                <w:rFonts w:ascii="仿宋" w:hAnsi="仿宋" w:eastAsia="仿宋"/>
                <w:bCs/>
                <w:szCs w:val="21"/>
              </w:rPr>
            </w:pPr>
            <w:r>
              <w:rPr>
                <w:rFonts w:hint="eastAsia" w:ascii="仿宋" w:hAnsi="仿宋" w:eastAsia="仿宋"/>
                <w:bCs/>
                <w:szCs w:val="21"/>
              </w:rPr>
              <w:t>N</w:t>
            </w:r>
            <w:r>
              <w:rPr>
                <w:rFonts w:ascii="仿宋" w:hAnsi="仿宋" w:eastAsia="仿宋"/>
                <w:bCs/>
                <w:szCs w:val="21"/>
              </w:rPr>
              <w:t>O</w:t>
            </w:r>
            <w:r>
              <w:rPr>
                <w:rFonts w:hint="eastAsia" w:ascii="仿宋" w:hAnsi="仿宋" w:eastAsia="仿宋"/>
                <w:bCs/>
                <w:szCs w:val="21"/>
              </w:rPr>
              <w:t>x</w:t>
            </w:r>
          </w:p>
        </w:tc>
        <w:tc>
          <w:tcPr>
            <w:tcW w:w="1320" w:type="dxa"/>
          </w:tcPr>
          <w:p>
            <w:pPr>
              <w:jc w:val="center"/>
              <w:rPr>
                <w:rFonts w:ascii="仿宋" w:hAnsi="仿宋" w:eastAsia="仿宋"/>
                <w:bCs/>
                <w:szCs w:val="21"/>
              </w:rPr>
            </w:pPr>
            <w:r>
              <w:rPr>
                <w:rFonts w:hint="eastAsia" w:ascii="仿宋" w:hAnsi="仿宋" w:eastAsia="仿宋"/>
                <w:bCs/>
                <w:szCs w:val="21"/>
              </w:rPr>
              <w:t>9</w:t>
            </w:r>
          </w:p>
        </w:tc>
        <w:tc>
          <w:tcPr>
            <w:tcW w:w="1320" w:type="dxa"/>
          </w:tcPr>
          <w:p>
            <w:pPr>
              <w:jc w:val="center"/>
              <w:rPr>
                <w:rFonts w:ascii="仿宋" w:hAnsi="仿宋" w:eastAsia="仿宋"/>
                <w:bCs/>
                <w:szCs w:val="21"/>
              </w:rPr>
            </w:pPr>
            <w:r>
              <w:rPr>
                <w:rFonts w:hint="eastAsia" w:ascii="仿宋" w:hAnsi="仿宋" w:eastAsia="仿宋"/>
                <w:bCs/>
                <w:szCs w:val="21"/>
              </w:rPr>
              <w:t>0</w:t>
            </w:r>
            <w:r>
              <w:rPr>
                <w:rFonts w:ascii="仿宋" w:hAnsi="仿宋" w:eastAsia="仿宋"/>
                <w:bCs/>
                <w:szCs w:val="21"/>
              </w:rPr>
              <w:t>.112</w:t>
            </w:r>
          </w:p>
        </w:tc>
        <w:tc>
          <w:tcPr>
            <w:tcW w:w="1321" w:type="dxa"/>
          </w:tcPr>
          <w:p>
            <w:pPr>
              <w:jc w:val="center"/>
              <w:rPr>
                <w:rFonts w:ascii="仿宋" w:hAnsi="仿宋" w:eastAsia="仿宋"/>
                <w:bCs/>
                <w:szCs w:val="21"/>
              </w:rPr>
            </w:pPr>
            <w:r>
              <w:rPr>
                <w:rFonts w:hint="eastAsia" w:ascii="仿宋" w:hAnsi="仿宋" w:eastAsia="仿宋"/>
                <w:bCs/>
                <w:szCs w:val="21"/>
              </w:rPr>
              <w:t>2</w:t>
            </w:r>
            <w:r>
              <w:rPr>
                <w:rFonts w:ascii="仿宋" w:hAnsi="仿宋" w:eastAsia="仿宋"/>
                <w:bCs/>
                <w:szCs w:val="21"/>
              </w:rPr>
              <w:t>00</w:t>
            </w:r>
          </w:p>
        </w:tc>
        <w:tc>
          <w:tcPr>
            <w:tcW w:w="1321" w:type="dxa"/>
          </w:tcPr>
          <w:p>
            <w:pPr>
              <w:jc w:val="center"/>
              <w:rPr>
                <w:rFonts w:ascii="仿宋" w:hAnsi="仿宋" w:eastAsia="仿宋"/>
                <w:bCs/>
                <w:szCs w:val="21"/>
              </w:rPr>
            </w:pPr>
            <w:r>
              <w:rPr>
                <w:rFonts w:hint="eastAsia" w:ascii="仿宋" w:hAnsi="仿宋" w:eastAsia="仿宋"/>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0" w:type="dxa"/>
            <w:vMerge w:val="restart"/>
            <w:vAlign w:val="center"/>
          </w:tcPr>
          <w:p>
            <w:pPr>
              <w:jc w:val="center"/>
              <w:rPr>
                <w:rFonts w:ascii="仿宋" w:hAnsi="仿宋" w:eastAsia="仿宋"/>
                <w:bCs/>
                <w:szCs w:val="21"/>
              </w:rPr>
            </w:pPr>
            <w:r>
              <w:rPr>
                <w:rFonts w:hint="eastAsia" w:ascii="仿宋" w:hAnsi="仿宋" w:eastAsia="仿宋"/>
                <w:bCs/>
                <w:szCs w:val="21"/>
              </w:rPr>
              <w:t>F</w:t>
            </w:r>
            <w:r>
              <w:rPr>
                <w:rFonts w:ascii="仿宋" w:hAnsi="仿宋" w:eastAsia="仿宋"/>
                <w:bCs/>
                <w:szCs w:val="21"/>
              </w:rPr>
              <w:t>Q-2</w:t>
            </w:r>
          </w:p>
        </w:tc>
        <w:tc>
          <w:tcPr>
            <w:tcW w:w="1320" w:type="dxa"/>
            <w:vMerge w:val="continue"/>
          </w:tcPr>
          <w:p>
            <w:pPr>
              <w:jc w:val="center"/>
              <w:rPr>
                <w:rFonts w:ascii="仿宋" w:hAnsi="仿宋" w:eastAsia="仿宋"/>
                <w:bCs/>
                <w:szCs w:val="21"/>
              </w:rPr>
            </w:pPr>
          </w:p>
        </w:tc>
        <w:tc>
          <w:tcPr>
            <w:tcW w:w="1320" w:type="dxa"/>
          </w:tcPr>
          <w:p>
            <w:pPr>
              <w:jc w:val="center"/>
              <w:rPr>
                <w:rFonts w:ascii="仿宋" w:hAnsi="仿宋" w:eastAsia="仿宋"/>
                <w:bCs/>
                <w:szCs w:val="21"/>
              </w:rPr>
            </w:pPr>
            <w:r>
              <w:rPr>
                <w:rFonts w:hint="eastAsia" w:ascii="仿宋" w:hAnsi="仿宋" w:eastAsia="仿宋"/>
                <w:bCs/>
                <w:szCs w:val="21"/>
              </w:rPr>
              <w:t>非甲烷总烃</w:t>
            </w:r>
          </w:p>
        </w:tc>
        <w:tc>
          <w:tcPr>
            <w:tcW w:w="1320" w:type="dxa"/>
          </w:tcPr>
          <w:p>
            <w:pPr>
              <w:jc w:val="center"/>
              <w:rPr>
                <w:rFonts w:ascii="仿宋" w:hAnsi="仿宋" w:eastAsia="仿宋"/>
                <w:bCs/>
                <w:szCs w:val="21"/>
              </w:rPr>
            </w:pPr>
            <w:r>
              <w:rPr>
                <w:rFonts w:hint="eastAsia" w:ascii="仿宋" w:hAnsi="仿宋" w:eastAsia="仿宋"/>
                <w:bCs/>
                <w:szCs w:val="21"/>
              </w:rPr>
              <w:t>1</w:t>
            </w:r>
            <w:r>
              <w:rPr>
                <w:rFonts w:ascii="仿宋" w:hAnsi="仿宋" w:eastAsia="仿宋"/>
                <w:bCs/>
                <w:szCs w:val="21"/>
              </w:rPr>
              <w:t>0.8</w:t>
            </w:r>
          </w:p>
        </w:tc>
        <w:tc>
          <w:tcPr>
            <w:tcW w:w="1320" w:type="dxa"/>
          </w:tcPr>
          <w:p>
            <w:pPr>
              <w:jc w:val="center"/>
              <w:rPr>
                <w:rFonts w:ascii="仿宋" w:hAnsi="仿宋" w:eastAsia="仿宋"/>
                <w:bCs/>
                <w:szCs w:val="21"/>
              </w:rPr>
            </w:pPr>
            <w:r>
              <w:rPr>
                <w:rFonts w:hint="eastAsia" w:ascii="仿宋" w:hAnsi="仿宋" w:eastAsia="仿宋"/>
                <w:bCs/>
                <w:szCs w:val="21"/>
              </w:rPr>
              <w:t>4</w:t>
            </w:r>
            <w:r>
              <w:rPr>
                <w:rFonts w:ascii="仿宋" w:hAnsi="仿宋" w:eastAsia="仿宋"/>
                <w:bCs/>
                <w:szCs w:val="21"/>
              </w:rPr>
              <w:t>.58*10</w:t>
            </w:r>
            <w:r>
              <w:rPr>
                <w:rFonts w:ascii="仿宋" w:hAnsi="仿宋" w:eastAsia="仿宋"/>
                <w:bCs/>
                <w:szCs w:val="21"/>
                <w:vertAlign w:val="superscript"/>
              </w:rPr>
              <w:t>-2</w:t>
            </w:r>
          </w:p>
        </w:tc>
        <w:tc>
          <w:tcPr>
            <w:tcW w:w="1321" w:type="dxa"/>
          </w:tcPr>
          <w:p>
            <w:pPr>
              <w:jc w:val="center"/>
              <w:rPr>
                <w:rFonts w:ascii="仿宋" w:hAnsi="仿宋" w:eastAsia="仿宋"/>
                <w:bCs/>
                <w:szCs w:val="21"/>
              </w:rPr>
            </w:pPr>
            <w:r>
              <w:rPr>
                <w:rFonts w:hint="eastAsia" w:ascii="仿宋" w:hAnsi="仿宋" w:eastAsia="仿宋"/>
                <w:bCs/>
                <w:szCs w:val="21"/>
              </w:rPr>
              <w:t>6</w:t>
            </w:r>
            <w:r>
              <w:rPr>
                <w:rFonts w:ascii="仿宋" w:hAnsi="仿宋" w:eastAsia="仿宋"/>
                <w:bCs/>
                <w:szCs w:val="21"/>
              </w:rPr>
              <w:t>0</w:t>
            </w:r>
          </w:p>
        </w:tc>
        <w:tc>
          <w:tcPr>
            <w:tcW w:w="1321" w:type="dxa"/>
          </w:tcPr>
          <w:p>
            <w:pPr>
              <w:jc w:val="center"/>
              <w:rPr>
                <w:rFonts w:ascii="仿宋" w:hAnsi="仿宋" w:eastAsia="仿宋"/>
                <w:bCs/>
                <w:szCs w:val="21"/>
              </w:rPr>
            </w:pPr>
            <w:r>
              <w:rPr>
                <w:rFonts w:hint="eastAsia" w:ascii="仿宋" w:hAnsi="仿宋" w:eastAsia="仿宋"/>
                <w:bCs/>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0" w:type="dxa"/>
            <w:vMerge w:val="continue"/>
            <w:vAlign w:val="center"/>
          </w:tcPr>
          <w:p>
            <w:pPr>
              <w:jc w:val="center"/>
              <w:rPr>
                <w:rFonts w:ascii="仿宋" w:hAnsi="仿宋" w:eastAsia="仿宋"/>
                <w:bCs/>
                <w:szCs w:val="21"/>
              </w:rPr>
            </w:pPr>
          </w:p>
        </w:tc>
        <w:tc>
          <w:tcPr>
            <w:tcW w:w="1320" w:type="dxa"/>
            <w:vMerge w:val="continue"/>
          </w:tcPr>
          <w:p>
            <w:pPr>
              <w:jc w:val="center"/>
              <w:rPr>
                <w:rFonts w:ascii="仿宋" w:hAnsi="仿宋" w:eastAsia="仿宋"/>
                <w:bCs/>
                <w:szCs w:val="21"/>
              </w:rPr>
            </w:pPr>
          </w:p>
        </w:tc>
        <w:tc>
          <w:tcPr>
            <w:tcW w:w="1320" w:type="dxa"/>
          </w:tcPr>
          <w:p>
            <w:pPr>
              <w:jc w:val="center"/>
              <w:rPr>
                <w:rFonts w:ascii="仿宋" w:hAnsi="仿宋" w:eastAsia="仿宋"/>
                <w:bCs/>
                <w:szCs w:val="21"/>
              </w:rPr>
            </w:pPr>
            <w:r>
              <w:rPr>
                <w:rFonts w:hint="eastAsia" w:ascii="仿宋" w:hAnsi="仿宋" w:eastAsia="仿宋"/>
                <w:bCs/>
                <w:szCs w:val="21"/>
              </w:rPr>
              <w:t>甲苯</w:t>
            </w:r>
          </w:p>
        </w:tc>
        <w:tc>
          <w:tcPr>
            <w:tcW w:w="1320" w:type="dxa"/>
          </w:tcPr>
          <w:p>
            <w:pPr>
              <w:jc w:val="center"/>
              <w:rPr>
                <w:rFonts w:ascii="仿宋" w:hAnsi="仿宋" w:eastAsia="仿宋"/>
                <w:bCs/>
                <w:szCs w:val="21"/>
              </w:rPr>
            </w:pPr>
            <w:r>
              <w:rPr>
                <w:rFonts w:hint="eastAsia" w:ascii="仿宋" w:hAnsi="仿宋" w:eastAsia="仿宋"/>
                <w:bCs/>
                <w:szCs w:val="21"/>
              </w:rPr>
              <w:t>0</w:t>
            </w:r>
            <w:r>
              <w:rPr>
                <w:rFonts w:ascii="仿宋" w:hAnsi="仿宋" w:eastAsia="仿宋"/>
                <w:bCs/>
                <w:szCs w:val="21"/>
              </w:rPr>
              <w:t>.214</w:t>
            </w:r>
          </w:p>
        </w:tc>
        <w:tc>
          <w:tcPr>
            <w:tcW w:w="1320" w:type="dxa"/>
          </w:tcPr>
          <w:p>
            <w:pPr>
              <w:jc w:val="center"/>
              <w:rPr>
                <w:rFonts w:ascii="仿宋" w:hAnsi="仿宋" w:eastAsia="仿宋"/>
                <w:bCs/>
                <w:szCs w:val="21"/>
              </w:rPr>
            </w:pPr>
            <w:r>
              <w:rPr>
                <w:rFonts w:ascii="仿宋" w:hAnsi="仿宋" w:eastAsia="仿宋"/>
                <w:bCs/>
                <w:szCs w:val="21"/>
              </w:rPr>
              <w:t>9.07*10</w:t>
            </w:r>
            <w:r>
              <w:rPr>
                <w:rFonts w:ascii="仿宋" w:hAnsi="仿宋" w:eastAsia="仿宋"/>
                <w:bCs/>
                <w:szCs w:val="21"/>
                <w:vertAlign w:val="superscript"/>
              </w:rPr>
              <w:t>-4</w:t>
            </w:r>
          </w:p>
        </w:tc>
        <w:tc>
          <w:tcPr>
            <w:tcW w:w="1321" w:type="dxa"/>
          </w:tcPr>
          <w:p>
            <w:pPr>
              <w:jc w:val="center"/>
              <w:rPr>
                <w:rFonts w:ascii="仿宋" w:hAnsi="仿宋" w:eastAsia="仿宋"/>
                <w:bCs/>
                <w:szCs w:val="21"/>
              </w:rPr>
            </w:pPr>
            <w:r>
              <w:rPr>
                <w:rFonts w:hint="eastAsia" w:ascii="仿宋" w:hAnsi="仿宋" w:eastAsia="仿宋"/>
                <w:bCs/>
                <w:szCs w:val="21"/>
              </w:rPr>
              <w:t>1</w:t>
            </w:r>
            <w:r>
              <w:rPr>
                <w:rFonts w:ascii="仿宋" w:hAnsi="仿宋" w:eastAsia="仿宋"/>
                <w:bCs/>
                <w:szCs w:val="21"/>
              </w:rPr>
              <w:t>0</w:t>
            </w:r>
          </w:p>
        </w:tc>
        <w:tc>
          <w:tcPr>
            <w:tcW w:w="1321" w:type="dxa"/>
          </w:tcPr>
          <w:p>
            <w:pPr>
              <w:jc w:val="center"/>
              <w:rPr>
                <w:rFonts w:ascii="仿宋" w:hAnsi="仿宋" w:eastAsia="仿宋"/>
                <w:bCs/>
                <w:szCs w:val="21"/>
              </w:rPr>
            </w:pPr>
            <w:r>
              <w:rPr>
                <w:rFonts w:hint="eastAsia" w:ascii="仿宋" w:hAnsi="仿宋" w:eastAsia="仿宋"/>
                <w:bCs/>
                <w:szCs w:val="21"/>
              </w:rPr>
              <w:t>0</w:t>
            </w:r>
            <w:r>
              <w:rPr>
                <w:rFonts w:ascii="仿宋" w:hAnsi="仿宋" w:eastAsia="仿宋"/>
                <w:bCs/>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0" w:type="dxa"/>
            <w:vMerge w:val="continue"/>
            <w:vAlign w:val="center"/>
          </w:tcPr>
          <w:p>
            <w:pPr>
              <w:jc w:val="center"/>
              <w:rPr>
                <w:rFonts w:ascii="仿宋" w:hAnsi="仿宋" w:eastAsia="仿宋"/>
                <w:bCs/>
                <w:szCs w:val="21"/>
              </w:rPr>
            </w:pPr>
          </w:p>
        </w:tc>
        <w:tc>
          <w:tcPr>
            <w:tcW w:w="1320" w:type="dxa"/>
            <w:vMerge w:val="continue"/>
          </w:tcPr>
          <w:p>
            <w:pPr>
              <w:jc w:val="center"/>
              <w:rPr>
                <w:rFonts w:ascii="仿宋" w:hAnsi="仿宋" w:eastAsia="仿宋"/>
                <w:bCs/>
                <w:szCs w:val="21"/>
              </w:rPr>
            </w:pPr>
          </w:p>
        </w:tc>
        <w:tc>
          <w:tcPr>
            <w:tcW w:w="1320" w:type="dxa"/>
          </w:tcPr>
          <w:p>
            <w:pPr>
              <w:jc w:val="center"/>
              <w:rPr>
                <w:rFonts w:ascii="仿宋" w:hAnsi="仿宋" w:eastAsia="仿宋"/>
                <w:bCs/>
                <w:szCs w:val="21"/>
              </w:rPr>
            </w:pPr>
            <w:r>
              <w:rPr>
                <w:rFonts w:hint="eastAsia" w:ascii="仿宋" w:hAnsi="仿宋" w:eastAsia="仿宋"/>
                <w:bCs/>
                <w:szCs w:val="21"/>
              </w:rPr>
              <w:t>乙酸乙酯</w:t>
            </w:r>
          </w:p>
        </w:tc>
        <w:tc>
          <w:tcPr>
            <w:tcW w:w="1320" w:type="dxa"/>
          </w:tcPr>
          <w:p>
            <w:pPr>
              <w:jc w:val="center"/>
              <w:rPr>
                <w:rFonts w:ascii="仿宋" w:hAnsi="仿宋" w:eastAsia="仿宋"/>
                <w:bCs/>
                <w:szCs w:val="21"/>
              </w:rPr>
            </w:pPr>
            <w:r>
              <w:rPr>
                <w:rFonts w:hint="eastAsia" w:ascii="仿宋" w:hAnsi="仿宋" w:eastAsia="仿宋"/>
                <w:bCs/>
                <w:szCs w:val="21"/>
              </w:rPr>
              <w:t>0</w:t>
            </w:r>
            <w:r>
              <w:rPr>
                <w:rFonts w:ascii="仿宋" w:hAnsi="仿宋" w:eastAsia="仿宋"/>
                <w:bCs/>
                <w:szCs w:val="21"/>
              </w:rPr>
              <w:t>.494</w:t>
            </w:r>
          </w:p>
        </w:tc>
        <w:tc>
          <w:tcPr>
            <w:tcW w:w="1320" w:type="dxa"/>
          </w:tcPr>
          <w:p>
            <w:pPr>
              <w:jc w:val="center"/>
              <w:rPr>
                <w:rFonts w:ascii="仿宋" w:hAnsi="仿宋" w:eastAsia="仿宋"/>
                <w:bCs/>
                <w:szCs w:val="21"/>
              </w:rPr>
            </w:pPr>
            <w:r>
              <w:rPr>
                <w:rFonts w:ascii="仿宋" w:hAnsi="仿宋" w:eastAsia="仿宋"/>
                <w:bCs/>
                <w:szCs w:val="21"/>
              </w:rPr>
              <w:t>2.09*10</w:t>
            </w:r>
            <w:r>
              <w:rPr>
                <w:rFonts w:ascii="仿宋" w:hAnsi="仿宋" w:eastAsia="仿宋"/>
                <w:bCs/>
                <w:szCs w:val="21"/>
                <w:vertAlign w:val="superscript"/>
              </w:rPr>
              <w:t>-3</w:t>
            </w:r>
          </w:p>
        </w:tc>
        <w:tc>
          <w:tcPr>
            <w:tcW w:w="1321" w:type="dxa"/>
          </w:tcPr>
          <w:p>
            <w:pPr>
              <w:jc w:val="center"/>
              <w:rPr>
                <w:rFonts w:ascii="仿宋" w:hAnsi="仿宋" w:eastAsia="仿宋"/>
                <w:bCs/>
                <w:szCs w:val="21"/>
              </w:rPr>
            </w:pPr>
            <w:r>
              <w:rPr>
                <w:rFonts w:hint="eastAsia" w:ascii="仿宋" w:hAnsi="仿宋" w:eastAsia="仿宋"/>
                <w:bCs/>
                <w:szCs w:val="21"/>
              </w:rPr>
              <w:t>/</w:t>
            </w:r>
          </w:p>
        </w:tc>
        <w:tc>
          <w:tcPr>
            <w:tcW w:w="1321" w:type="dxa"/>
          </w:tcPr>
          <w:p>
            <w:pPr>
              <w:jc w:val="center"/>
              <w:rPr>
                <w:rFonts w:ascii="仿宋" w:hAnsi="仿宋" w:eastAsia="仿宋"/>
                <w:bCs/>
                <w:szCs w:val="21"/>
              </w:rPr>
            </w:pPr>
            <w:r>
              <w:rPr>
                <w:rFonts w:hint="eastAsia" w:ascii="仿宋" w:hAnsi="仿宋" w:eastAsia="仿宋"/>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0" w:type="dxa"/>
            <w:vAlign w:val="center"/>
          </w:tcPr>
          <w:p>
            <w:pPr>
              <w:jc w:val="center"/>
              <w:rPr>
                <w:rFonts w:ascii="仿宋" w:hAnsi="仿宋" w:eastAsia="仿宋"/>
                <w:bCs/>
                <w:szCs w:val="21"/>
              </w:rPr>
            </w:pPr>
            <w:r>
              <w:rPr>
                <w:rFonts w:hint="eastAsia" w:ascii="仿宋" w:hAnsi="仿宋" w:eastAsia="仿宋"/>
                <w:bCs/>
                <w:szCs w:val="21"/>
              </w:rPr>
              <w:t>F</w:t>
            </w:r>
            <w:r>
              <w:rPr>
                <w:rFonts w:ascii="仿宋" w:hAnsi="仿宋" w:eastAsia="仿宋"/>
                <w:bCs/>
                <w:szCs w:val="21"/>
              </w:rPr>
              <w:t>Q-3</w:t>
            </w:r>
          </w:p>
        </w:tc>
        <w:tc>
          <w:tcPr>
            <w:tcW w:w="1320" w:type="dxa"/>
            <w:vMerge w:val="continue"/>
          </w:tcPr>
          <w:p>
            <w:pPr>
              <w:jc w:val="center"/>
              <w:rPr>
                <w:rFonts w:ascii="仿宋" w:hAnsi="仿宋" w:eastAsia="仿宋"/>
                <w:bCs/>
                <w:szCs w:val="21"/>
              </w:rPr>
            </w:pPr>
          </w:p>
        </w:tc>
        <w:tc>
          <w:tcPr>
            <w:tcW w:w="1320" w:type="dxa"/>
          </w:tcPr>
          <w:p>
            <w:pPr>
              <w:jc w:val="center"/>
              <w:rPr>
                <w:rFonts w:ascii="仿宋" w:hAnsi="仿宋" w:eastAsia="仿宋"/>
                <w:bCs/>
                <w:szCs w:val="21"/>
              </w:rPr>
            </w:pPr>
            <w:r>
              <w:rPr>
                <w:rFonts w:hint="eastAsia" w:ascii="仿宋" w:hAnsi="仿宋" w:eastAsia="仿宋"/>
                <w:bCs/>
                <w:szCs w:val="21"/>
              </w:rPr>
              <w:t>非甲烷总烃</w:t>
            </w:r>
          </w:p>
        </w:tc>
        <w:tc>
          <w:tcPr>
            <w:tcW w:w="1320" w:type="dxa"/>
          </w:tcPr>
          <w:p>
            <w:pPr>
              <w:jc w:val="center"/>
              <w:rPr>
                <w:rFonts w:ascii="仿宋" w:hAnsi="仿宋" w:eastAsia="仿宋"/>
                <w:bCs/>
                <w:szCs w:val="21"/>
              </w:rPr>
            </w:pPr>
            <w:r>
              <w:rPr>
                <w:rFonts w:hint="eastAsia" w:ascii="仿宋" w:hAnsi="仿宋" w:eastAsia="仿宋"/>
                <w:bCs/>
                <w:szCs w:val="21"/>
              </w:rPr>
              <w:t>1</w:t>
            </w:r>
            <w:r>
              <w:rPr>
                <w:rFonts w:ascii="仿宋" w:hAnsi="仿宋" w:eastAsia="仿宋"/>
                <w:bCs/>
                <w:szCs w:val="21"/>
              </w:rPr>
              <w:t>4</w:t>
            </w:r>
          </w:p>
        </w:tc>
        <w:tc>
          <w:tcPr>
            <w:tcW w:w="1320" w:type="dxa"/>
          </w:tcPr>
          <w:p>
            <w:pPr>
              <w:jc w:val="center"/>
              <w:rPr>
                <w:rFonts w:ascii="仿宋" w:hAnsi="仿宋" w:eastAsia="仿宋"/>
                <w:bCs/>
                <w:szCs w:val="21"/>
              </w:rPr>
            </w:pPr>
            <w:r>
              <w:rPr>
                <w:rFonts w:hint="eastAsia" w:ascii="仿宋" w:hAnsi="仿宋" w:eastAsia="仿宋"/>
                <w:bCs/>
                <w:szCs w:val="21"/>
              </w:rPr>
              <w:t>0</w:t>
            </w:r>
            <w:r>
              <w:rPr>
                <w:rFonts w:ascii="仿宋" w:hAnsi="仿宋" w:eastAsia="仿宋"/>
                <w:bCs/>
                <w:szCs w:val="21"/>
              </w:rPr>
              <w:t>.39</w:t>
            </w:r>
          </w:p>
        </w:tc>
        <w:tc>
          <w:tcPr>
            <w:tcW w:w="1321" w:type="dxa"/>
          </w:tcPr>
          <w:p>
            <w:pPr>
              <w:jc w:val="center"/>
              <w:rPr>
                <w:rFonts w:ascii="仿宋" w:hAnsi="仿宋" w:eastAsia="仿宋"/>
                <w:bCs/>
                <w:szCs w:val="21"/>
              </w:rPr>
            </w:pPr>
            <w:r>
              <w:rPr>
                <w:rFonts w:hint="eastAsia" w:ascii="仿宋" w:hAnsi="仿宋" w:eastAsia="仿宋"/>
                <w:bCs/>
                <w:szCs w:val="21"/>
              </w:rPr>
              <w:t>6</w:t>
            </w:r>
            <w:r>
              <w:rPr>
                <w:rFonts w:ascii="仿宋" w:hAnsi="仿宋" w:eastAsia="仿宋"/>
                <w:bCs/>
                <w:szCs w:val="21"/>
              </w:rPr>
              <w:t>0</w:t>
            </w:r>
          </w:p>
        </w:tc>
        <w:tc>
          <w:tcPr>
            <w:tcW w:w="1321" w:type="dxa"/>
          </w:tcPr>
          <w:p>
            <w:pPr>
              <w:jc w:val="center"/>
              <w:rPr>
                <w:rFonts w:ascii="仿宋" w:hAnsi="仿宋" w:eastAsia="仿宋"/>
                <w:bCs/>
                <w:szCs w:val="21"/>
              </w:rPr>
            </w:pPr>
            <w:r>
              <w:rPr>
                <w:rFonts w:hint="eastAsia" w:ascii="仿宋" w:hAnsi="仿宋" w:eastAsia="仿宋"/>
                <w:bCs/>
                <w:szCs w:val="21"/>
              </w:rPr>
              <w:t>3</w:t>
            </w:r>
          </w:p>
        </w:tc>
      </w:tr>
    </w:tbl>
    <w:p>
      <w:pPr>
        <w:adjustRightInd w:val="0"/>
        <w:snapToGrid w:val="0"/>
        <w:spacing w:line="500" w:lineRule="exact"/>
        <w:ind w:firstLine="482" w:firstLineChars="200"/>
        <w:jc w:val="center"/>
        <w:rPr>
          <w:rFonts w:eastAsia="仿宋_GB2312"/>
          <w:b/>
          <w:bCs/>
          <w:sz w:val="24"/>
        </w:rPr>
      </w:pPr>
      <w:r>
        <w:rPr>
          <w:rFonts w:eastAsia="仿宋_GB2312"/>
          <w:b/>
          <w:bCs/>
          <w:sz w:val="24"/>
        </w:rPr>
        <w:t>表3.</w:t>
      </w:r>
      <w:r>
        <w:rPr>
          <w:rFonts w:hint="eastAsia" w:eastAsia="仿宋_GB2312"/>
          <w:b/>
          <w:bCs/>
          <w:sz w:val="24"/>
        </w:rPr>
        <w:t>1</w:t>
      </w:r>
      <w:r>
        <w:rPr>
          <w:rFonts w:eastAsia="仿宋_GB2312"/>
          <w:b/>
          <w:bCs/>
          <w:sz w:val="24"/>
        </w:rPr>
        <w:t xml:space="preserve">-4  </w:t>
      </w:r>
      <w:r>
        <w:rPr>
          <w:rFonts w:hint="eastAsia" w:eastAsia="仿宋_GB2312"/>
          <w:b/>
          <w:bCs/>
          <w:sz w:val="24"/>
        </w:rPr>
        <w:t>无组织废气检测结果</w:t>
      </w:r>
      <w:r>
        <w:rPr>
          <w:rFonts w:eastAsia="仿宋_GB2312"/>
          <w:b/>
          <w:bCs/>
          <w:sz w:val="24"/>
        </w:rPr>
        <w:t xml:space="preserve">  </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0"/>
        <w:gridCol w:w="1320"/>
        <w:gridCol w:w="1320"/>
        <w:gridCol w:w="1320"/>
        <w:gridCol w:w="1320"/>
        <w:gridCol w:w="1321"/>
        <w:gridCol w:w="1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0" w:type="dxa"/>
            <w:vAlign w:val="center"/>
          </w:tcPr>
          <w:p>
            <w:pPr>
              <w:jc w:val="center"/>
              <w:rPr>
                <w:rFonts w:ascii="仿宋" w:hAnsi="仿宋" w:eastAsia="仿宋"/>
                <w:bCs/>
                <w:szCs w:val="21"/>
              </w:rPr>
            </w:pPr>
            <w:r>
              <w:rPr>
                <w:rFonts w:hint="eastAsia" w:ascii="仿宋" w:hAnsi="仿宋" w:eastAsia="仿宋"/>
                <w:bCs/>
                <w:szCs w:val="21"/>
              </w:rPr>
              <w:t>监测时间</w:t>
            </w:r>
          </w:p>
        </w:tc>
        <w:tc>
          <w:tcPr>
            <w:tcW w:w="1320" w:type="dxa"/>
            <w:vAlign w:val="center"/>
          </w:tcPr>
          <w:p>
            <w:pPr>
              <w:jc w:val="center"/>
              <w:rPr>
                <w:rFonts w:ascii="仿宋" w:hAnsi="仿宋" w:eastAsia="仿宋"/>
                <w:bCs/>
                <w:szCs w:val="21"/>
              </w:rPr>
            </w:pPr>
            <w:r>
              <w:rPr>
                <w:rFonts w:hint="eastAsia" w:ascii="仿宋" w:hAnsi="仿宋" w:eastAsia="仿宋"/>
                <w:bCs/>
                <w:szCs w:val="21"/>
              </w:rPr>
              <w:t>监测因子</w:t>
            </w:r>
          </w:p>
        </w:tc>
        <w:tc>
          <w:tcPr>
            <w:tcW w:w="1320" w:type="dxa"/>
            <w:vAlign w:val="center"/>
          </w:tcPr>
          <w:p>
            <w:pPr>
              <w:jc w:val="center"/>
              <w:rPr>
                <w:rFonts w:ascii="仿宋" w:hAnsi="仿宋" w:eastAsia="仿宋"/>
                <w:bCs/>
                <w:szCs w:val="21"/>
              </w:rPr>
            </w:pPr>
            <w:r>
              <w:rPr>
                <w:rFonts w:hint="eastAsia" w:ascii="仿宋" w:hAnsi="仿宋" w:eastAsia="仿宋"/>
                <w:bCs/>
                <w:szCs w:val="21"/>
              </w:rPr>
              <w:t>上风向1（mg</w:t>
            </w:r>
            <w:r>
              <w:rPr>
                <w:rFonts w:ascii="仿宋" w:hAnsi="仿宋" w:eastAsia="仿宋"/>
                <w:bCs/>
                <w:szCs w:val="21"/>
              </w:rPr>
              <w:t>/m</w:t>
            </w:r>
            <w:r>
              <w:rPr>
                <w:rFonts w:ascii="仿宋" w:hAnsi="仿宋" w:eastAsia="仿宋"/>
                <w:bCs/>
                <w:szCs w:val="21"/>
                <w:vertAlign w:val="superscript"/>
              </w:rPr>
              <w:t>3</w:t>
            </w:r>
            <w:r>
              <w:rPr>
                <w:rFonts w:hint="eastAsia" w:ascii="仿宋" w:hAnsi="仿宋" w:eastAsia="仿宋"/>
                <w:bCs/>
                <w:szCs w:val="21"/>
              </w:rPr>
              <w:t>）</w:t>
            </w:r>
          </w:p>
        </w:tc>
        <w:tc>
          <w:tcPr>
            <w:tcW w:w="1320" w:type="dxa"/>
            <w:vAlign w:val="center"/>
          </w:tcPr>
          <w:p>
            <w:pPr>
              <w:jc w:val="center"/>
              <w:rPr>
                <w:rFonts w:ascii="仿宋" w:hAnsi="仿宋" w:eastAsia="仿宋"/>
                <w:bCs/>
                <w:szCs w:val="21"/>
              </w:rPr>
            </w:pPr>
            <w:r>
              <w:rPr>
                <w:rFonts w:hint="eastAsia" w:ascii="仿宋" w:hAnsi="仿宋" w:eastAsia="仿宋"/>
                <w:bCs/>
                <w:szCs w:val="21"/>
              </w:rPr>
              <w:t>下风向</w:t>
            </w:r>
            <w:r>
              <w:rPr>
                <w:rFonts w:ascii="仿宋" w:hAnsi="仿宋" w:eastAsia="仿宋"/>
                <w:bCs/>
                <w:szCs w:val="21"/>
              </w:rPr>
              <w:t>2</w:t>
            </w:r>
            <w:r>
              <w:rPr>
                <w:rFonts w:hint="eastAsia" w:ascii="仿宋" w:hAnsi="仿宋" w:eastAsia="仿宋"/>
                <w:bCs/>
                <w:szCs w:val="21"/>
              </w:rPr>
              <w:t>（mg</w:t>
            </w:r>
            <w:r>
              <w:rPr>
                <w:rFonts w:ascii="仿宋" w:hAnsi="仿宋" w:eastAsia="仿宋"/>
                <w:bCs/>
                <w:szCs w:val="21"/>
              </w:rPr>
              <w:t>/m</w:t>
            </w:r>
            <w:r>
              <w:rPr>
                <w:rFonts w:ascii="仿宋" w:hAnsi="仿宋" w:eastAsia="仿宋"/>
                <w:bCs/>
                <w:szCs w:val="21"/>
                <w:vertAlign w:val="superscript"/>
              </w:rPr>
              <w:t>3</w:t>
            </w:r>
            <w:r>
              <w:rPr>
                <w:rFonts w:hint="eastAsia" w:ascii="仿宋" w:hAnsi="仿宋" w:eastAsia="仿宋"/>
                <w:bCs/>
                <w:szCs w:val="21"/>
              </w:rPr>
              <w:t>）</w:t>
            </w:r>
          </w:p>
        </w:tc>
        <w:tc>
          <w:tcPr>
            <w:tcW w:w="1320" w:type="dxa"/>
            <w:vAlign w:val="center"/>
          </w:tcPr>
          <w:p>
            <w:pPr>
              <w:jc w:val="center"/>
              <w:rPr>
                <w:rFonts w:ascii="仿宋" w:hAnsi="仿宋" w:eastAsia="仿宋"/>
                <w:bCs/>
                <w:szCs w:val="21"/>
              </w:rPr>
            </w:pPr>
            <w:r>
              <w:rPr>
                <w:rFonts w:hint="eastAsia" w:ascii="仿宋" w:hAnsi="仿宋" w:eastAsia="仿宋"/>
                <w:bCs/>
                <w:szCs w:val="21"/>
              </w:rPr>
              <w:t>下风向</w:t>
            </w:r>
            <w:r>
              <w:rPr>
                <w:rFonts w:ascii="仿宋" w:hAnsi="仿宋" w:eastAsia="仿宋"/>
                <w:bCs/>
                <w:szCs w:val="21"/>
              </w:rPr>
              <w:t>3</w:t>
            </w:r>
            <w:r>
              <w:rPr>
                <w:rFonts w:hint="eastAsia" w:ascii="仿宋" w:hAnsi="仿宋" w:eastAsia="仿宋"/>
                <w:bCs/>
                <w:szCs w:val="21"/>
              </w:rPr>
              <w:t>（mg</w:t>
            </w:r>
            <w:r>
              <w:rPr>
                <w:rFonts w:ascii="仿宋" w:hAnsi="仿宋" w:eastAsia="仿宋"/>
                <w:bCs/>
                <w:szCs w:val="21"/>
              </w:rPr>
              <w:t>/m</w:t>
            </w:r>
            <w:r>
              <w:rPr>
                <w:rFonts w:ascii="仿宋" w:hAnsi="仿宋" w:eastAsia="仿宋"/>
                <w:bCs/>
                <w:szCs w:val="21"/>
                <w:vertAlign w:val="superscript"/>
              </w:rPr>
              <w:t>3</w:t>
            </w:r>
            <w:r>
              <w:rPr>
                <w:rFonts w:hint="eastAsia" w:ascii="仿宋" w:hAnsi="仿宋" w:eastAsia="仿宋"/>
                <w:bCs/>
                <w:szCs w:val="21"/>
              </w:rPr>
              <w:t>）</w:t>
            </w:r>
          </w:p>
        </w:tc>
        <w:tc>
          <w:tcPr>
            <w:tcW w:w="1321" w:type="dxa"/>
            <w:vAlign w:val="center"/>
          </w:tcPr>
          <w:p>
            <w:pPr>
              <w:jc w:val="center"/>
              <w:rPr>
                <w:rFonts w:ascii="仿宋" w:hAnsi="仿宋" w:eastAsia="仿宋"/>
                <w:bCs/>
                <w:szCs w:val="21"/>
              </w:rPr>
            </w:pPr>
            <w:r>
              <w:rPr>
                <w:rFonts w:hint="eastAsia" w:ascii="仿宋" w:hAnsi="仿宋" w:eastAsia="仿宋"/>
                <w:bCs/>
                <w:szCs w:val="21"/>
              </w:rPr>
              <w:t>下风向</w:t>
            </w:r>
            <w:r>
              <w:rPr>
                <w:rFonts w:ascii="仿宋" w:hAnsi="仿宋" w:eastAsia="仿宋"/>
                <w:bCs/>
                <w:szCs w:val="21"/>
              </w:rPr>
              <w:t>3</w:t>
            </w:r>
            <w:r>
              <w:rPr>
                <w:rFonts w:hint="eastAsia" w:ascii="仿宋" w:hAnsi="仿宋" w:eastAsia="仿宋"/>
                <w:bCs/>
                <w:szCs w:val="21"/>
              </w:rPr>
              <w:t>（mg</w:t>
            </w:r>
            <w:r>
              <w:rPr>
                <w:rFonts w:ascii="仿宋" w:hAnsi="仿宋" w:eastAsia="仿宋"/>
                <w:bCs/>
                <w:szCs w:val="21"/>
              </w:rPr>
              <w:t>/m</w:t>
            </w:r>
            <w:r>
              <w:rPr>
                <w:rFonts w:ascii="仿宋" w:hAnsi="仿宋" w:eastAsia="仿宋"/>
                <w:bCs/>
                <w:szCs w:val="21"/>
                <w:vertAlign w:val="superscript"/>
              </w:rPr>
              <w:t>3</w:t>
            </w:r>
            <w:r>
              <w:rPr>
                <w:rFonts w:hint="eastAsia" w:ascii="仿宋" w:hAnsi="仿宋" w:eastAsia="仿宋"/>
                <w:bCs/>
                <w:szCs w:val="21"/>
              </w:rPr>
              <w:t>）</w:t>
            </w:r>
          </w:p>
        </w:tc>
        <w:tc>
          <w:tcPr>
            <w:tcW w:w="1321" w:type="dxa"/>
            <w:vAlign w:val="center"/>
          </w:tcPr>
          <w:p>
            <w:pPr>
              <w:jc w:val="center"/>
              <w:rPr>
                <w:rFonts w:ascii="仿宋" w:hAnsi="仿宋" w:eastAsia="仿宋"/>
                <w:bCs/>
                <w:szCs w:val="21"/>
              </w:rPr>
            </w:pPr>
            <w:r>
              <w:rPr>
                <w:rFonts w:hint="eastAsia" w:ascii="仿宋" w:hAnsi="仿宋" w:eastAsia="仿宋"/>
                <w:bCs/>
                <w:szCs w:val="21"/>
              </w:rPr>
              <w:t>限值（mg</w:t>
            </w:r>
            <w:r>
              <w:rPr>
                <w:rFonts w:ascii="仿宋" w:hAnsi="仿宋" w:eastAsia="仿宋"/>
                <w:bCs/>
                <w:szCs w:val="21"/>
              </w:rPr>
              <w:t>/m</w:t>
            </w:r>
            <w:r>
              <w:rPr>
                <w:rFonts w:ascii="仿宋" w:hAnsi="仿宋" w:eastAsia="仿宋"/>
                <w:bCs/>
                <w:szCs w:val="21"/>
                <w:vertAlign w:val="superscript"/>
              </w:rPr>
              <w:t>3</w:t>
            </w:r>
            <w:r>
              <w:rPr>
                <w:rFonts w:hint="eastAsia" w:ascii="仿宋" w:hAnsi="仿宋" w:eastAsia="仿宋"/>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20" w:type="dxa"/>
            <w:vMerge w:val="restart"/>
            <w:vAlign w:val="center"/>
          </w:tcPr>
          <w:p>
            <w:pPr>
              <w:jc w:val="center"/>
              <w:rPr>
                <w:rFonts w:ascii="仿宋" w:hAnsi="仿宋" w:eastAsia="仿宋"/>
                <w:bCs/>
                <w:szCs w:val="21"/>
              </w:rPr>
            </w:pPr>
            <w:r>
              <w:rPr>
                <w:rFonts w:hint="eastAsia" w:ascii="仿宋" w:hAnsi="仿宋" w:eastAsia="仿宋"/>
                <w:bCs/>
                <w:szCs w:val="21"/>
              </w:rPr>
              <w:t>2</w:t>
            </w:r>
            <w:r>
              <w:rPr>
                <w:rFonts w:ascii="仿宋" w:hAnsi="仿宋" w:eastAsia="仿宋"/>
                <w:bCs/>
                <w:szCs w:val="21"/>
              </w:rPr>
              <w:t>023.1.12</w:t>
            </w:r>
          </w:p>
        </w:tc>
        <w:tc>
          <w:tcPr>
            <w:tcW w:w="1320" w:type="dxa"/>
          </w:tcPr>
          <w:p>
            <w:pPr>
              <w:jc w:val="center"/>
              <w:rPr>
                <w:rFonts w:ascii="仿宋" w:hAnsi="仿宋" w:eastAsia="仿宋"/>
                <w:bCs/>
                <w:szCs w:val="21"/>
              </w:rPr>
            </w:pPr>
            <w:r>
              <w:rPr>
                <w:rFonts w:hint="eastAsia" w:ascii="仿宋" w:hAnsi="仿宋" w:eastAsia="仿宋"/>
                <w:bCs/>
                <w:szCs w:val="21"/>
              </w:rPr>
              <w:t>非甲烷总烃</w:t>
            </w:r>
          </w:p>
        </w:tc>
        <w:tc>
          <w:tcPr>
            <w:tcW w:w="1320" w:type="dxa"/>
          </w:tcPr>
          <w:p>
            <w:pPr>
              <w:jc w:val="center"/>
              <w:rPr>
                <w:rFonts w:ascii="仿宋" w:hAnsi="仿宋" w:eastAsia="仿宋"/>
                <w:bCs/>
                <w:szCs w:val="21"/>
              </w:rPr>
            </w:pPr>
            <w:r>
              <w:rPr>
                <w:rFonts w:hint="eastAsia" w:ascii="仿宋" w:hAnsi="仿宋" w:eastAsia="仿宋"/>
                <w:bCs/>
                <w:szCs w:val="21"/>
              </w:rPr>
              <w:t>0</w:t>
            </w:r>
            <w:r>
              <w:rPr>
                <w:rFonts w:ascii="仿宋" w:hAnsi="仿宋" w:eastAsia="仿宋"/>
                <w:bCs/>
                <w:szCs w:val="21"/>
              </w:rPr>
              <w:t>.88</w:t>
            </w:r>
          </w:p>
        </w:tc>
        <w:tc>
          <w:tcPr>
            <w:tcW w:w="1320" w:type="dxa"/>
          </w:tcPr>
          <w:p>
            <w:pPr>
              <w:jc w:val="center"/>
              <w:rPr>
                <w:rFonts w:ascii="仿宋" w:hAnsi="仿宋" w:eastAsia="仿宋"/>
                <w:bCs/>
                <w:szCs w:val="21"/>
              </w:rPr>
            </w:pPr>
            <w:r>
              <w:rPr>
                <w:rFonts w:hint="eastAsia" w:ascii="仿宋" w:hAnsi="仿宋" w:eastAsia="仿宋"/>
                <w:bCs/>
                <w:szCs w:val="21"/>
              </w:rPr>
              <w:t>1</w:t>
            </w:r>
            <w:r>
              <w:rPr>
                <w:rFonts w:ascii="仿宋" w:hAnsi="仿宋" w:eastAsia="仿宋"/>
                <w:bCs/>
                <w:szCs w:val="21"/>
              </w:rPr>
              <w:t>.23</w:t>
            </w:r>
          </w:p>
        </w:tc>
        <w:tc>
          <w:tcPr>
            <w:tcW w:w="1320" w:type="dxa"/>
          </w:tcPr>
          <w:p>
            <w:pPr>
              <w:jc w:val="center"/>
              <w:rPr>
                <w:rFonts w:ascii="仿宋" w:hAnsi="仿宋" w:eastAsia="仿宋"/>
                <w:bCs/>
                <w:szCs w:val="21"/>
              </w:rPr>
            </w:pPr>
            <w:r>
              <w:rPr>
                <w:rFonts w:hint="eastAsia" w:ascii="仿宋" w:hAnsi="仿宋" w:eastAsia="仿宋"/>
                <w:bCs/>
                <w:szCs w:val="21"/>
              </w:rPr>
              <w:t>1</w:t>
            </w:r>
            <w:r>
              <w:rPr>
                <w:rFonts w:ascii="仿宋" w:hAnsi="仿宋" w:eastAsia="仿宋"/>
                <w:bCs/>
                <w:szCs w:val="21"/>
              </w:rPr>
              <w:t>.08</w:t>
            </w:r>
          </w:p>
        </w:tc>
        <w:tc>
          <w:tcPr>
            <w:tcW w:w="1321" w:type="dxa"/>
          </w:tcPr>
          <w:p>
            <w:pPr>
              <w:jc w:val="center"/>
              <w:rPr>
                <w:rFonts w:ascii="仿宋" w:hAnsi="仿宋" w:eastAsia="仿宋"/>
                <w:bCs/>
                <w:szCs w:val="21"/>
              </w:rPr>
            </w:pPr>
            <w:r>
              <w:rPr>
                <w:rFonts w:hint="eastAsia" w:ascii="仿宋" w:hAnsi="仿宋" w:eastAsia="仿宋"/>
                <w:bCs/>
                <w:szCs w:val="21"/>
              </w:rPr>
              <w:t>1</w:t>
            </w:r>
            <w:r>
              <w:rPr>
                <w:rFonts w:ascii="仿宋" w:hAnsi="仿宋" w:eastAsia="仿宋"/>
                <w:bCs/>
                <w:szCs w:val="21"/>
              </w:rPr>
              <w:t>.18</w:t>
            </w:r>
          </w:p>
        </w:tc>
        <w:tc>
          <w:tcPr>
            <w:tcW w:w="1321" w:type="dxa"/>
          </w:tcPr>
          <w:p>
            <w:pPr>
              <w:jc w:val="center"/>
              <w:rPr>
                <w:rFonts w:ascii="仿宋" w:hAnsi="仿宋" w:eastAsia="仿宋"/>
                <w:bCs/>
                <w:szCs w:val="21"/>
              </w:rPr>
            </w:pPr>
            <w:r>
              <w:rPr>
                <w:rFonts w:hint="eastAsia" w:ascii="仿宋" w:hAnsi="仿宋" w:eastAsia="仿宋"/>
                <w:bCs/>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20" w:type="dxa"/>
            <w:vMerge w:val="continue"/>
          </w:tcPr>
          <w:p>
            <w:pPr>
              <w:jc w:val="center"/>
              <w:rPr>
                <w:rFonts w:ascii="仿宋" w:hAnsi="仿宋" w:eastAsia="仿宋"/>
                <w:bCs/>
                <w:szCs w:val="21"/>
              </w:rPr>
            </w:pPr>
          </w:p>
        </w:tc>
        <w:tc>
          <w:tcPr>
            <w:tcW w:w="1320" w:type="dxa"/>
          </w:tcPr>
          <w:p>
            <w:pPr>
              <w:jc w:val="center"/>
              <w:rPr>
                <w:rFonts w:ascii="仿宋" w:hAnsi="仿宋" w:eastAsia="仿宋"/>
                <w:bCs/>
                <w:szCs w:val="21"/>
              </w:rPr>
            </w:pPr>
            <w:r>
              <w:rPr>
                <w:rFonts w:hint="eastAsia" w:ascii="仿宋" w:hAnsi="仿宋" w:eastAsia="仿宋"/>
                <w:bCs/>
                <w:szCs w:val="21"/>
              </w:rPr>
              <w:t>甲苯</w:t>
            </w:r>
          </w:p>
        </w:tc>
        <w:tc>
          <w:tcPr>
            <w:tcW w:w="1320" w:type="dxa"/>
          </w:tcPr>
          <w:p>
            <w:pPr>
              <w:jc w:val="center"/>
              <w:rPr>
                <w:rFonts w:ascii="仿宋" w:hAnsi="仿宋" w:eastAsia="仿宋"/>
                <w:bCs/>
                <w:szCs w:val="21"/>
              </w:rPr>
            </w:pPr>
            <w:r>
              <w:rPr>
                <w:rFonts w:hint="eastAsia" w:ascii="仿宋" w:hAnsi="仿宋" w:eastAsia="仿宋"/>
                <w:bCs/>
                <w:szCs w:val="21"/>
              </w:rPr>
              <w:t>0</w:t>
            </w:r>
            <w:r>
              <w:rPr>
                <w:rFonts w:ascii="仿宋" w:hAnsi="仿宋" w:eastAsia="仿宋"/>
                <w:bCs/>
                <w:szCs w:val="21"/>
              </w:rPr>
              <w:t>.12</w:t>
            </w:r>
          </w:p>
        </w:tc>
        <w:tc>
          <w:tcPr>
            <w:tcW w:w="1320" w:type="dxa"/>
          </w:tcPr>
          <w:p>
            <w:pPr>
              <w:jc w:val="center"/>
              <w:rPr>
                <w:rFonts w:ascii="仿宋" w:hAnsi="仿宋" w:eastAsia="仿宋"/>
                <w:bCs/>
                <w:szCs w:val="21"/>
              </w:rPr>
            </w:pPr>
            <w:r>
              <w:rPr>
                <w:rFonts w:hint="eastAsia" w:ascii="仿宋" w:hAnsi="仿宋" w:eastAsia="仿宋"/>
                <w:bCs/>
                <w:szCs w:val="21"/>
              </w:rPr>
              <w:t>0</w:t>
            </w:r>
            <w:r>
              <w:rPr>
                <w:rFonts w:ascii="仿宋" w:hAnsi="仿宋" w:eastAsia="仿宋"/>
                <w:bCs/>
                <w:szCs w:val="21"/>
              </w:rPr>
              <w:t>.098</w:t>
            </w:r>
          </w:p>
        </w:tc>
        <w:tc>
          <w:tcPr>
            <w:tcW w:w="1320" w:type="dxa"/>
          </w:tcPr>
          <w:p>
            <w:pPr>
              <w:jc w:val="center"/>
              <w:rPr>
                <w:rFonts w:ascii="仿宋" w:hAnsi="仿宋" w:eastAsia="仿宋"/>
                <w:bCs/>
                <w:szCs w:val="21"/>
              </w:rPr>
            </w:pPr>
            <w:r>
              <w:rPr>
                <w:rFonts w:hint="eastAsia" w:ascii="仿宋" w:hAnsi="仿宋" w:eastAsia="仿宋"/>
                <w:bCs/>
                <w:szCs w:val="21"/>
              </w:rPr>
              <w:t>0</w:t>
            </w:r>
            <w:r>
              <w:rPr>
                <w:rFonts w:ascii="仿宋" w:hAnsi="仿宋" w:eastAsia="仿宋"/>
                <w:bCs/>
                <w:szCs w:val="21"/>
              </w:rPr>
              <w:t>.187</w:t>
            </w:r>
          </w:p>
        </w:tc>
        <w:tc>
          <w:tcPr>
            <w:tcW w:w="1321" w:type="dxa"/>
          </w:tcPr>
          <w:p>
            <w:pPr>
              <w:jc w:val="center"/>
              <w:rPr>
                <w:rFonts w:ascii="仿宋" w:hAnsi="仿宋" w:eastAsia="仿宋"/>
                <w:bCs/>
                <w:szCs w:val="21"/>
              </w:rPr>
            </w:pPr>
            <w:r>
              <w:rPr>
                <w:rFonts w:hint="eastAsia" w:ascii="仿宋" w:hAnsi="仿宋" w:eastAsia="仿宋"/>
                <w:bCs/>
                <w:szCs w:val="21"/>
              </w:rPr>
              <w:t>0</w:t>
            </w:r>
            <w:r>
              <w:rPr>
                <w:rFonts w:ascii="仿宋" w:hAnsi="仿宋" w:eastAsia="仿宋"/>
                <w:bCs/>
                <w:szCs w:val="21"/>
              </w:rPr>
              <w:t>.185</w:t>
            </w:r>
          </w:p>
        </w:tc>
        <w:tc>
          <w:tcPr>
            <w:tcW w:w="1321" w:type="dxa"/>
          </w:tcPr>
          <w:p>
            <w:pPr>
              <w:jc w:val="center"/>
              <w:rPr>
                <w:rFonts w:ascii="仿宋" w:hAnsi="仿宋" w:eastAsia="仿宋"/>
                <w:bCs/>
                <w:szCs w:val="21"/>
              </w:rPr>
            </w:pPr>
            <w:r>
              <w:rPr>
                <w:rFonts w:ascii="仿宋" w:hAnsi="仿宋" w:eastAsia="仿宋"/>
                <w:bCs/>
                <w:szCs w:val="21"/>
              </w:rPr>
              <w:t>0.2</w:t>
            </w:r>
          </w:p>
        </w:tc>
      </w:tr>
    </w:tbl>
    <w:p>
      <w:pPr>
        <w:adjustRightInd w:val="0"/>
        <w:snapToGrid w:val="0"/>
        <w:spacing w:line="500" w:lineRule="exact"/>
        <w:ind w:firstLine="482" w:firstLineChars="200"/>
        <w:jc w:val="center"/>
        <w:rPr>
          <w:rFonts w:eastAsia="仿宋_GB2312"/>
          <w:b/>
          <w:bCs/>
          <w:sz w:val="24"/>
        </w:rPr>
      </w:pPr>
    </w:p>
    <w:p>
      <w:pPr>
        <w:adjustRightInd w:val="0"/>
        <w:snapToGrid w:val="0"/>
        <w:spacing w:line="500" w:lineRule="exact"/>
        <w:ind w:firstLine="482" w:firstLineChars="200"/>
        <w:jc w:val="center"/>
        <w:rPr>
          <w:rFonts w:eastAsia="仿宋_GB2312"/>
          <w:b/>
          <w:bCs/>
          <w:sz w:val="24"/>
        </w:rPr>
      </w:pPr>
      <w:r>
        <w:rPr>
          <w:rFonts w:eastAsia="仿宋_GB2312"/>
          <w:b/>
          <w:bCs/>
          <w:sz w:val="24"/>
        </w:rPr>
        <w:t>表3.</w:t>
      </w:r>
      <w:r>
        <w:rPr>
          <w:rFonts w:hint="eastAsia" w:eastAsia="仿宋_GB2312"/>
          <w:b/>
          <w:bCs/>
          <w:sz w:val="24"/>
        </w:rPr>
        <w:t>1</w:t>
      </w:r>
      <w:r>
        <w:rPr>
          <w:rFonts w:eastAsia="仿宋_GB2312"/>
          <w:b/>
          <w:bCs/>
          <w:sz w:val="24"/>
        </w:rPr>
        <w:t xml:space="preserve">-5  </w:t>
      </w:r>
      <w:r>
        <w:rPr>
          <w:rFonts w:hint="eastAsia" w:eastAsia="仿宋_GB2312"/>
          <w:b/>
          <w:bCs/>
          <w:sz w:val="24"/>
        </w:rPr>
        <w:t>生活污水接管口检测结果</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6"/>
        <w:gridCol w:w="2000"/>
        <w:gridCol w:w="2248"/>
        <w:gridCol w:w="2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2846" w:type="dxa"/>
            <w:vAlign w:val="center"/>
          </w:tcPr>
          <w:p>
            <w:pPr>
              <w:jc w:val="center"/>
              <w:rPr>
                <w:rFonts w:ascii="仿宋" w:hAnsi="仿宋" w:eastAsia="仿宋"/>
                <w:bCs/>
                <w:szCs w:val="21"/>
              </w:rPr>
            </w:pPr>
            <w:r>
              <w:rPr>
                <w:rFonts w:hint="eastAsia" w:ascii="仿宋" w:hAnsi="仿宋" w:eastAsia="仿宋"/>
                <w:bCs/>
                <w:szCs w:val="21"/>
              </w:rPr>
              <w:t>监测时间</w:t>
            </w:r>
          </w:p>
        </w:tc>
        <w:tc>
          <w:tcPr>
            <w:tcW w:w="2000" w:type="dxa"/>
            <w:vAlign w:val="center"/>
          </w:tcPr>
          <w:p>
            <w:pPr>
              <w:jc w:val="center"/>
              <w:rPr>
                <w:rFonts w:ascii="仿宋" w:hAnsi="仿宋" w:eastAsia="仿宋"/>
                <w:bCs/>
                <w:szCs w:val="21"/>
              </w:rPr>
            </w:pPr>
            <w:r>
              <w:rPr>
                <w:rFonts w:hint="eastAsia" w:ascii="仿宋" w:hAnsi="仿宋" w:eastAsia="仿宋"/>
                <w:bCs/>
                <w:szCs w:val="21"/>
              </w:rPr>
              <w:t>监测因子（mg</w:t>
            </w:r>
            <w:r>
              <w:rPr>
                <w:rFonts w:ascii="仿宋" w:hAnsi="仿宋" w:eastAsia="仿宋"/>
                <w:bCs/>
                <w:szCs w:val="21"/>
              </w:rPr>
              <w:t>/L</w:t>
            </w:r>
            <w:r>
              <w:rPr>
                <w:rFonts w:hint="eastAsia" w:ascii="仿宋" w:hAnsi="仿宋" w:eastAsia="仿宋"/>
                <w:bCs/>
                <w:szCs w:val="21"/>
              </w:rPr>
              <w:t>）</w:t>
            </w:r>
          </w:p>
        </w:tc>
        <w:tc>
          <w:tcPr>
            <w:tcW w:w="2248" w:type="dxa"/>
            <w:vAlign w:val="center"/>
          </w:tcPr>
          <w:p>
            <w:pPr>
              <w:jc w:val="center"/>
              <w:rPr>
                <w:rFonts w:ascii="仿宋" w:hAnsi="仿宋" w:eastAsia="仿宋"/>
                <w:bCs/>
                <w:szCs w:val="21"/>
              </w:rPr>
            </w:pPr>
            <w:r>
              <w:rPr>
                <w:rFonts w:hint="eastAsia" w:ascii="仿宋" w:hAnsi="仿宋" w:eastAsia="仿宋"/>
                <w:bCs/>
                <w:szCs w:val="21"/>
              </w:rPr>
              <w:t>检测值（mg</w:t>
            </w:r>
            <w:r>
              <w:rPr>
                <w:rFonts w:ascii="仿宋" w:hAnsi="仿宋" w:eastAsia="仿宋"/>
                <w:bCs/>
                <w:szCs w:val="21"/>
              </w:rPr>
              <w:t>/L</w:t>
            </w:r>
            <w:r>
              <w:rPr>
                <w:rFonts w:hint="eastAsia" w:ascii="仿宋" w:hAnsi="仿宋" w:eastAsia="仿宋"/>
                <w:bCs/>
                <w:szCs w:val="21"/>
              </w:rPr>
              <w:t>）</w:t>
            </w:r>
          </w:p>
        </w:tc>
        <w:tc>
          <w:tcPr>
            <w:tcW w:w="2148" w:type="dxa"/>
            <w:vAlign w:val="center"/>
          </w:tcPr>
          <w:p>
            <w:pPr>
              <w:jc w:val="center"/>
              <w:rPr>
                <w:rFonts w:ascii="仿宋" w:hAnsi="仿宋" w:eastAsia="仿宋"/>
                <w:bCs/>
                <w:szCs w:val="21"/>
              </w:rPr>
            </w:pPr>
            <w:r>
              <w:rPr>
                <w:rFonts w:hint="eastAsia" w:ascii="仿宋" w:hAnsi="仿宋" w:eastAsia="仿宋"/>
                <w:bCs/>
                <w:szCs w:val="21"/>
              </w:rPr>
              <w:t>限值（mg</w:t>
            </w:r>
            <w:r>
              <w:rPr>
                <w:rFonts w:ascii="仿宋" w:hAnsi="仿宋" w:eastAsia="仿宋"/>
                <w:bCs/>
                <w:szCs w:val="21"/>
              </w:rPr>
              <w:t>/L</w:t>
            </w:r>
            <w:r>
              <w:rPr>
                <w:rFonts w:hint="eastAsia" w:ascii="仿宋" w:hAnsi="仿宋" w:eastAsia="仿宋"/>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2846" w:type="dxa"/>
            <w:vMerge w:val="restart"/>
            <w:vAlign w:val="center"/>
          </w:tcPr>
          <w:p>
            <w:pPr>
              <w:jc w:val="center"/>
              <w:rPr>
                <w:rFonts w:ascii="仿宋" w:hAnsi="仿宋" w:eastAsia="仿宋"/>
                <w:bCs/>
                <w:szCs w:val="21"/>
              </w:rPr>
            </w:pPr>
            <w:r>
              <w:rPr>
                <w:rFonts w:hint="eastAsia" w:ascii="仿宋" w:hAnsi="仿宋" w:eastAsia="仿宋"/>
                <w:bCs/>
                <w:szCs w:val="21"/>
              </w:rPr>
              <w:t>2</w:t>
            </w:r>
            <w:r>
              <w:rPr>
                <w:rFonts w:ascii="仿宋" w:hAnsi="仿宋" w:eastAsia="仿宋"/>
                <w:bCs/>
                <w:szCs w:val="21"/>
              </w:rPr>
              <w:t>0</w:t>
            </w:r>
            <w:r>
              <w:rPr>
                <w:rFonts w:hint="eastAsia" w:ascii="仿宋" w:hAnsi="仿宋" w:eastAsia="仿宋"/>
                <w:bCs/>
                <w:szCs w:val="21"/>
              </w:rPr>
              <w:t>2</w:t>
            </w:r>
            <w:r>
              <w:rPr>
                <w:rFonts w:ascii="仿宋" w:hAnsi="仿宋" w:eastAsia="仿宋"/>
                <w:bCs/>
                <w:szCs w:val="21"/>
              </w:rPr>
              <w:t>3.1.12</w:t>
            </w:r>
          </w:p>
        </w:tc>
        <w:tc>
          <w:tcPr>
            <w:tcW w:w="2000" w:type="dxa"/>
            <w:vAlign w:val="center"/>
          </w:tcPr>
          <w:p>
            <w:pPr>
              <w:jc w:val="center"/>
              <w:rPr>
                <w:rFonts w:ascii="仿宋" w:hAnsi="仿宋" w:eastAsia="仿宋"/>
                <w:bCs/>
                <w:szCs w:val="21"/>
              </w:rPr>
            </w:pPr>
            <w:r>
              <w:rPr>
                <w:rFonts w:hint="eastAsia" w:ascii="仿宋" w:hAnsi="仿宋" w:eastAsia="仿宋"/>
                <w:bCs/>
                <w:szCs w:val="21"/>
              </w:rPr>
              <w:t>悬浮物</w:t>
            </w:r>
          </w:p>
        </w:tc>
        <w:tc>
          <w:tcPr>
            <w:tcW w:w="2248" w:type="dxa"/>
            <w:vAlign w:val="center"/>
          </w:tcPr>
          <w:p>
            <w:pPr>
              <w:jc w:val="center"/>
              <w:rPr>
                <w:rFonts w:ascii="仿宋" w:hAnsi="仿宋" w:eastAsia="仿宋"/>
                <w:bCs/>
                <w:szCs w:val="21"/>
              </w:rPr>
            </w:pPr>
            <w:r>
              <w:rPr>
                <w:rFonts w:hint="eastAsia" w:ascii="仿宋" w:hAnsi="仿宋" w:eastAsia="仿宋"/>
                <w:bCs/>
                <w:szCs w:val="21"/>
              </w:rPr>
              <w:t>1</w:t>
            </w:r>
            <w:r>
              <w:rPr>
                <w:rFonts w:ascii="仿宋" w:hAnsi="仿宋" w:eastAsia="仿宋"/>
                <w:bCs/>
                <w:szCs w:val="21"/>
              </w:rPr>
              <w:t>8</w:t>
            </w:r>
          </w:p>
        </w:tc>
        <w:tc>
          <w:tcPr>
            <w:tcW w:w="2148" w:type="dxa"/>
            <w:vAlign w:val="center"/>
          </w:tcPr>
          <w:p>
            <w:pPr>
              <w:jc w:val="center"/>
              <w:rPr>
                <w:rFonts w:ascii="仿宋" w:hAnsi="仿宋" w:eastAsia="仿宋"/>
                <w:bCs/>
                <w:szCs w:val="21"/>
              </w:rPr>
            </w:pPr>
            <w:r>
              <w:rPr>
                <w:rFonts w:hint="eastAsia" w:ascii="仿宋" w:hAnsi="仿宋" w:eastAsia="仿宋"/>
                <w:bCs/>
                <w:szCs w:val="21"/>
              </w:rPr>
              <w:t>2</w:t>
            </w:r>
            <w:r>
              <w:rPr>
                <w:rFonts w:ascii="仿宋" w:hAnsi="仿宋" w:eastAsia="仿宋"/>
                <w:bCs/>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2846" w:type="dxa"/>
            <w:vMerge w:val="continue"/>
            <w:vAlign w:val="center"/>
          </w:tcPr>
          <w:p>
            <w:pPr>
              <w:jc w:val="center"/>
              <w:rPr>
                <w:rFonts w:ascii="仿宋" w:hAnsi="仿宋" w:eastAsia="仿宋"/>
                <w:bCs/>
                <w:szCs w:val="21"/>
              </w:rPr>
            </w:pPr>
          </w:p>
        </w:tc>
        <w:tc>
          <w:tcPr>
            <w:tcW w:w="2000" w:type="dxa"/>
            <w:vAlign w:val="center"/>
          </w:tcPr>
          <w:p>
            <w:pPr>
              <w:jc w:val="center"/>
              <w:rPr>
                <w:rFonts w:ascii="仿宋" w:hAnsi="仿宋" w:eastAsia="仿宋"/>
                <w:bCs/>
                <w:szCs w:val="21"/>
              </w:rPr>
            </w:pPr>
            <w:r>
              <w:rPr>
                <w:rFonts w:hint="eastAsia" w:ascii="仿宋" w:hAnsi="仿宋" w:eastAsia="仿宋"/>
                <w:bCs/>
                <w:szCs w:val="21"/>
              </w:rPr>
              <w:t>化学需氧量</w:t>
            </w:r>
          </w:p>
        </w:tc>
        <w:tc>
          <w:tcPr>
            <w:tcW w:w="2248" w:type="dxa"/>
            <w:vAlign w:val="center"/>
          </w:tcPr>
          <w:p>
            <w:pPr>
              <w:jc w:val="center"/>
              <w:rPr>
                <w:rFonts w:ascii="仿宋" w:hAnsi="仿宋" w:eastAsia="仿宋"/>
                <w:bCs/>
                <w:szCs w:val="21"/>
              </w:rPr>
            </w:pPr>
            <w:r>
              <w:rPr>
                <w:rFonts w:hint="eastAsia" w:ascii="仿宋" w:hAnsi="仿宋" w:eastAsia="仿宋"/>
                <w:bCs/>
                <w:szCs w:val="21"/>
              </w:rPr>
              <w:t>7</w:t>
            </w:r>
            <w:r>
              <w:rPr>
                <w:rFonts w:ascii="仿宋" w:hAnsi="仿宋" w:eastAsia="仿宋"/>
                <w:bCs/>
                <w:szCs w:val="21"/>
              </w:rPr>
              <w:t>9</w:t>
            </w:r>
          </w:p>
        </w:tc>
        <w:tc>
          <w:tcPr>
            <w:tcW w:w="2148" w:type="dxa"/>
            <w:vAlign w:val="center"/>
          </w:tcPr>
          <w:p>
            <w:pPr>
              <w:jc w:val="center"/>
              <w:rPr>
                <w:rFonts w:ascii="仿宋" w:hAnsi="仿宋" w:eastAsia="仿宋"/>
                <w:bCs/>
                <w:szCs w:val="21"/>
              </w:rPr>
            </w:pPr>
            <w:r>
              <w:rPr>
                <w:rFonts w:hint="eastAsia" w:ascii="仿宋" w:hAnsi="仿宋" w:eastAsia="仿宋"/>
                <w:bCs/>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2846" w:type="dxa"/>
            <w:vMerge w:val="continue"/>
            <w:vAlign w:val="center"/>
          </w:tcPr>
          <w:p>
            <w:pPr>
              <w:jc w:val="center"/>
              <w:rPr>
                <w:rFonts w:ascii="仿宋" w:hAnsi="仿宋" w:eastAsia="仿宋"/>
                <w:bCs/>
                <w:szCs w:val="21"/>
              </w:rPr>
            </w:pPr>
          </w:p>
        </w:tc>
        <w:tc>
          <w:tcPr>
            <w:tcW w:w="2000" w:type="dxa"/>
            <w:vAlign w:val="center"/>
          </w:tcPr>
          <w:p>
            <w:pPr>
              <w:jc w:val="center"/>
              <w:rPr>
                <w:rFonts w:ascii="仿宋" w:hAnsi="仿宋" w:eastAsia="仿宋"/>
                <w:bCs/>
                <w:szCs w:val="21"/>
              </w:rPr>
            </w:pPr>
            <w:r>
              <w:rPr>
                <w:rFonts w:hint="eastAsia" w:ascii="仿宋" w:hAnsi="仿宋" w:eastAsia="仿宋"/>
                <w:bCs/>
                <w:szCs w:val="21"/>
              </w:rPr>
              <w:t>氨氮</w:t>
            </w:r>
          </w:p>
        </w:tc>
        <w:tc>
          <w:tcPr>
            <w:tcW w:w="2248" w:type="dxa"/>
            <w:vAlign w:val="center"/>
          </w:tcPr>
          <w:p>
            <w:pPr>
              <w:jc w:val="center"/>
              <w:rPr>
                <w:rFonts w:ascii="仿宋" w:hAnsi="仿宋" w:eastAsia="仿宋"/>
                <w:bCs/>
                <w:szCs w:val="21"/>
              </w:rPr>
            </w:pPr>
            <w:r>
              <w:rPr>
                <w:rFonts w:hint="eastAsia" w:ascii="仿宋" w:hAnsi="仿宋" w:eastAsia="仿宋"/>
                <w:bCs/>
                <w:szCs w:val="21"/>
              </w:rPr>
              <w:t>12</w:t>
            </w:r>
            <w:r>
              <w:rPr>
                <w:rFonts w:ascii="仿宋" w:hAnsi="仿宋" w:eastAsia="仿宋"/>
                <w:bCs/>
                <w:szCs w:val="21"/>
              </w:rPr>
              <w:t>.2</w:t>
            </w:r>
          </w:p>
        </w:tc>
        <w:tc>
          <w:tcPr>
            <w:tcW w:w="2148" w:type="dxa"/>
            <w:vAlign w:val="center"/>
          </w:tcPr>
          <w:p>
            <w:pPr>
              <w:jc w:val="center"/>
              <w:rPr>
                <w:rFonts w:ascii="仿宋" w:hAnsi="仿宋" w:eastAsia="仿宋"/>
                <w:bCs/>
                <w:szCs w:val="21"/>
              </w:rPr>
            </w:pPr>
            <w:r>
              <w:rPr>
                <w:rFonts w:hint="eastAsia" w:ascii="仿宋" w:hAnsi="仿宋" w:eastAsia="仿宋"/>
                <w:bCs/>
                <w:szCs w:val="21"/>
              </w:rPr>
              <w:t>3</w:t>
            </w:r>
            <w:r>
              <w:rPr>
                <w:rFonts w:ascii="仿宋" w:hAnsi="仿宋" w:eastAsia="仿宋"/>
                <w:bCs/>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2846" w:type="dxa"/>
            <w:vMerge w:val="continue"/>
            <w:vAlign w:val="center"/>
          </w:tcPr>
          <w:p>
            <w:pPr>
              <w:jc w:val="center"/>
              <w:rPr>
                <w:rFonts w:ascii="仿宋" w:hAnsi="仿宋" w:eastAsia="仿宋"/>
                <w:bCs/>
                <w:szCs w:val="21"/>
              </w:rPr>
            </w:pPr>
          </w:p>
        </w:tc>
        <w:tc>
          <w:tcPr>
            <w:tcW w:w="2000" w:type="dxa"/>
            <w:vAlign w:val="center"/>
          </w:tcPr>
          <w:p>
            <w:pPr>
              <w:jc w:val="center"/>
              <w:rPr>
                <w:rFonts w:ascii="仿宋" w:hAnsi="仿宋" w:eastAsia="仿宋"/>
                <w:bCs/>
                <w:szCs w:val="21"/>
              </w:rPr>
            </w:pPr>
            <w:r>
              <w:rPr>
                <w:rFonts w:hint="eastAsia" w:ascii="仿宋" w:hAnsi="仿宋" w:eastAsia="仿宋"/>
                <w:bCs/>
                <w:szCs w:val="21"/>
              </w:rPr>
              <w:t>总磷</w:t>
            </w:r>
          </w:p>
        </w:tc>
        <w:tc>
          <w:tcPr>
            <w:tcW w:w="2248" w:type="dxa"/>
            <w:vAlign w:val="center"/>
          </w:tcPr>
          <w:p>
            <w:pPr>
              <w:jc w:val="center"/>
              <w:rPr>
                <w:rFonts w:ascii="仿宋" w:hAnsi="仿宋" w:eastAsia="仿宋"/>
                <w:bCs/>
                <w:szCs w:val="21"/>
              </w:rPr>
            </w:pPr>
            <w:r>
              <w:rPr>
                <w:rFonts w:hint="eastAsia" w:ascii="仿宋" w:hAnsi="仿宋" w:eastAsia="仿宋"/>
                <w:bCs/>
                <w:szCs w:val="21"/>
              </w:rPr>
              <w:t>1</w:t>
            </w:r>
            <w:r>
              <w:rPr>
                <w:rFonts w:ascii="仿宋" w:hAnsi="仿宋" w:eastAsia="仿宋"/>
                <w:bCs/>
                <w:szCs w:val="21"/>
              </w:rPr>
              <w:t>.07</w:t>
            </w:r>
          </w:p>
        </w:tc>
        <w:tc>
          <w:tcPr>
            <w:tcW w:w="2148" w:type="dxa"/>
            <w:vAlign w:val="center"/>
          </w:tcPr>
          <w:p>
            <w:pPr>
              <w:jc w:val="center"/>
              <w:rPr>
                <w:rFonts w:ascii="仿宋" w:hAnsi="仿宋" w:eastAsia="仿宋"/>
                <w:bCs/>
                <w:szCs w:val="21"/>
              </w:rPr>
            </w:pPr>
            <w:r>
              <w:rPr>
                <w:rFonts w:hint="eastAsia" w:ascii="仿宋" w:hAnsi="仿宋" w:eastAsia="仿宋"/>
                <w:bCs/>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2846" w:type="dxa"/>
            <w:vMerge w:val="continue"/>
            <w:vAlign w:val="center"/>
          </w:tcPr>
          <w:p>
            <w:pPr>
              <w:jc w:val="center"/>
              <w:rPr>
                <w:rFonts w:ascii="仿宋" w:hAnsi="仿宋" w:eastAsia="仿宋"/>
                <w:bCs/>
                <w:szCs w:val="21"/>
              </w:rPr>
            </w:pPr>
          </w:p>
        </w:tc>
        <w:tc>
          <w:tcPr>
            <w:tcW w:w="2000" w:type="dxa"/>
            <w:vAlign w:val="center"/>
          </w:tcPr>
          <w:p>
            <w:pPr>
              <w:jc w:val="center"/>
              <w:rPr>
                <w:rFonts w:ascii="仿宋" w:hAnsi="仿宋" w:eastAsia="仿宋"/>
                <w:bCs/>
                <w:szCs w:val="21"/>
              </w:rPr>
            </w:pPr>
            <w:r>
              <w:rPr>
                <w:rFonts w:hint="eastAsia" w:ascii="仿宋" w:hAnsi="仿宋" w:eastAsia="仿宋"/>
                <w:bCs/>
                <w:szCs w:val="21"/>
              </w:rPr>
              <w:t>总氮</w:t>
            </w:r>
          </w:p>
        </w:tc>
        <w:tc>
          <w:tcPr>
            <w:tcW w:w="2248" w:type="dxa"/>
            <w:vAlign w:val="center"/>
          </w:tcPr>
          <w:p>
            <w:pPr>
              <w:jc w:val="center"/>
              <w:rPr>
                <w:rFonts w:ascii="仿宋" w:hAnsi="仿宋" w:eastAsia="仿宋"/>
                <w:bCs/>
                <w:szCs w:val="21"/>
              </w:rPr>
            </w:pPr>
            <w:r>
              <w:rPr>
                <w:rFonts w:hint="eastAsia" w:ascii="仿宋" w:hAnsi="仿宋" w:eastAsia="仿宋"/>
                <w:bCs/>
                <w:szCs w:val="21"/>
              </w:rPr>
              <w:t>1</w:t>
            </w:r>
            <w:r>
              <w:rPr>
                <w:rFonts w:ascii="仿宋" w:hAnsi="仿宋" w:eastAsia="仿宋"/>
                <w:bCs/>
                <w:szCs w:val="21"/>
              </w:rPr>
              <w:t>8.6</w:t>
            </w:r>
          </w:p>
        </w:tc>
        <w:tc>
          <w:tcPr>
            <w:tcW w:w="2148" w:type="dxa"/>
            <w:vAlign w:val="center"/>
          </w:tcPr>
          <w:p>
            <w:pPr>
              <w:jc w:val="center"/>
              <w:rPr>
                <w:rFonts w:ascii="仿宋" w:hAnsi="仿宋" w:eastAsia="仿宋"/>
                <w:bCs/>
                <w:szCs w:val="21"/>
              </w:rPr>
            </w:pPr>
            <w:r>
              <w:rPr>
                <w:rFonts w:hint="eastAsia" w:ascii="仿宋" w:hAnsi="仿宋" w:eastAsia="仿宋"/>
                <w:bCs/>
                <w:szCs w:val="21"/>
              </w:rPr>
              <w:t>5</w:t>
            </w:r>
            <w:r>
              <w:rPr>
                <w:rFonts w:ascii="仿宋" w:hAnsi="仿宋" w:eastAsia="仿宋"/>
                <w:bCs/>
                <w:szCs w:val="21"/>
              </w:rPr>
              <w:t>0</w:t>
            </w:r>
          </w:p>
        </w:tc>
      </w:tr>
    </w:tbl>
    <w:p>
      <w:pPr>
        <w:adjustRightInd w:val="0"/>
        <w:snapToGrid w:val="0"/>
        <w:spacing w:line="500" w:lineRule="exact"/>
        <w:ind w:firstLine="482" w:firstLineChars="200"/>
        <w:jc w:val="center"/>
        <w:rPr>
          <w:rFonts w:eastAsia="仿宋_GB2312"/>
          <w:b/>
          <w:bCs/>
          <w:sz w:val="24"/>
        </w:rPr>
      </w:pPr>
      <w:r>
        <w:rPr>
          <w:rFonts w:eastAsia="仿宋_GB2312"/>
          <w:b/>
          <w:bCs/>
          <w:sz w:val="24"/>
        </w:rPr>
        <w:t>表3.</w:t>
      </w:r>
      <w:r>
        <w:rPr>
          <w:rFonts w:hint="eastAsia" w:eastAsia="仿宋_GB2312"/>
          <w:b/>
          <w:bCs/>
          <w:sz w:val="24"/>
        </w:rPr>
        <w:t>1</w:t>
      </w:r>
      <w:r>
        <w:rPr>
          <w:rFonts w:eastAsia="仿宋_GB2312"/>
          <w:b/>
          <w:bCs/>
          <w:sz w:val="24"/>
        </w:rPr>
        <w:t xml:space="preserve">-6  </w:t>
      </w:r>
      <w:r>
        <w:rPr>
          <w:rFonts w:hint="eastAsia" w:eastAsia="仿宋_GB2312"/>
          <w:b/>
          <w:bCs/>
          <w:sz w:val="24"/>
        </w:rPr>
        <w:t>厂界噪声检测结果</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0"/>
        <w:gridCol w:w="1540"/>
        <w:gridCol w:w="1540"/>
        <w:gridCol w:w="1540"/>
        <w:gridCol w:w="770"/>
        <w:gridCol w:w="771"/>
        <w:gridCol w:w="770"/>
        <w:gridCol w:w="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540" w:type="dxa"/>
            <w:vMerge w:val="restart"/>
            <w:vAlign w:val="center"/>
          </w:tcPr>
          <w:p>
            <w:pPr>
              <w:jc w:val="center"/>
              <w:rPr>
                <w:rFonts w:ascii="仿宋" w:hAnsi="仿宋" w:eastAsia="仿宋"/>
                <w:bCs/>
                <w:szCs w:val="21"/>
              </w:rPr>
            </w:pPr>
            <w:r>
              <w:rPr>
                <w:rFonts w:hint="eastAsia" w:ascii="仿宋" w:hAnsi="仿宋" w:eastAsia="仿宋"/>
                <w:bCs/>
                <w:szCs w:val="21"/>
              </w:rPr>
              <w:t>检测日期</w:t>
            </w:r>
          </w:p>
        </w:tc>
        <w:tc>
          <w:tcPr>
            <w:tcW w:w="1540" w:type="dxa"/>
            <w:vMerge w:val="restart"/>
          </w:tcPr>
          <w:p>
            <w:pPr>
              <w:jc w:val="center"/>
              <w:rPr>
                <w:rFonts w:ascii="仿宋" w:hAnsi="仿宋" w:eastAsia="仿宋"/>
                <w:bCs/>
                <w:szCs w:val="21"/>
              </w:rPr>
            </w:pPr>
            <w:r>
              <w:rPr>
                <w:rFonts w:hint="eastAsia" w:ascii="仿宋" w:hAnsi="仿宋" w:eastAsia="仿宋"/>
                <w:bCs/>
                <w:szCs w:val="21"/>
              </w:rPr>
              <w:t>测点编号</w:t>
            </w:r>
          </w:p>
        </w:tc>
        <w:tc>
          <w:tcPr>
            <w:tcW w:w="1540" w:type="dxa"/>
            <w:vMerge w:val="restart"/>
          </w:tcPr>
          <w:p>
            <w:pPr>
              <w:jc w:val="center"/>
              <w:rPr>
                <w:rFonts w:ascii="仿宋" w:hAnsi="仿宋" w:eastAsia="仿宋"/>
                <w:bCs/>
                <w:szCs w:val="21"/>
              </w:rPr>
            </w:pPr>
            <w:r>
              <w:rPr>
                <w:rFonts w:hint="eastAsia" w:ascii="仿宋" w:hAnsi="仿宋" w:eastAsia="仿宋"/>
                <w:bCs/>
                <w:szCs w:val="21"/>
              </w:rPr>
              <w:t>检测点位</w:t>
            </w:r>
          </w:p>
        </w:tc>
        <w:tc>
          <w:tcPr>
            <w:tcW w:w="1540" w:type="dxa"/>
            <w:vMerge w:val="restart"/>
          </w:tcPr>
          <w:p>
            <w:pPr>
              <w:jc w:val="center"/>
              <w:rPr>
                <w:rFonts w:ascii="仿宋" w:hAnsi="仿宋" w:eastAsia="仿宋"/>
                <w:bCs/>
                <w:szCs w:val="21"/>
              </w:rPr>
            </w:pPr>
            <w:r>
              <w:rPr>
                <w:rFonts w:hint="eastAsia" w:ascii="仿宋" w:hAnsi="仿宋" w:eastAsia="仿宋"/>
                <w:bCs/>
                <w:szCs w:val="21"/>
              </w:rPr>
              <w:t>检测时间</w:t>
            </w:r>
          </w:p>
        </w:tc>
        <w:tc>
          <w:tcPr>
            <w:tcW w:w="1541" w:type="dxa"/>
            <w:gridSpan w:val="2"/>
          </w:tcPr>
          <w:p>
            <w:pPr>
              <w:jc w:val="center"/>
              <w:rPr>
                <w:rFonts w:ascii="仿宋" w:hAnsi="仿宋" w:eastAsia="仿宋"/>
                <w:bCs/>
                <w:szCs w:val="21"/>
              </w:rPr>
            </w:pPr>
            <w:r>
              <w:rPr>
                <w:rFonts w:hint="eastAsia" w:ascii="仿宋" w:hAnsi="仿宋" w:eastAsia="仿宋"/>
                <w:bCs/>
                <w:szCs w:val="21"/>
              </w:rPr>
              <w:t>结果</w:t>
            </w:r>
            <w:r>
              <w:rPr>
                <w:rFonts w:ascii="仿宋" w:hAnsi="仿宋" w:eastAsia="仿宋"/>
              </w:rPr>
              <w:t>dB（A）</w:t>
            </w:r>
          </w:p>
        </w:tc>
        <w:tc>
          <w:tcPr>
            <w:tcW w:w="1541" w:type="dxa"/>
            <w:gridSpan w:val="2"/>
          </w:tcPr>
          <w:p>
            <w:pPr>
              <w:jc w:val="center"/>
              <w:rPr>
                <w:rFonts w:ascii="仿宋" w:hAnsi="仿宋" w:eastAsia="仿宋"/>
                <w:bCs/>
                <w:szCs w:val="21"/>
              </w:rPr>
            </w:pPr>
            <w:r>
              <w:rPr>
                <w:rFonts w:hint="eastAsia" w:ascii="仿宋" w:hAnsi="仿宋" w:eastAsia="仿宋"/>
              </w:rPr>
              <w:t>限值</w:t>
            </w:r>
            <w:r>
              <w:rPr>
                <w:rFonts w:ascii="仿宋" w:hAnsi="仿宋" w:eastAsia="仿宋"/>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1540" w:type="dxa"/>
            <w:vMerge w:val="continue"/>
            <w:vAlign w:val="center"/>
          </w:tcPr>
          <w:p>
            <w:pPr>
              <w:jc w:val="center"/>
              <w:rPr>
                <w:rFonts w:ascii="仿宋" w:hAnsi="仿宋" w:eastAsia="仿宋"/>
                <w:bCs/>
                <w:szCs w:val="21"/>
              </w:rPr>
            </w:pPr>
          </w:p>
        </w:tc>
        <w:tc>
          <w:tcPr>
            <w:tcW w:w="1540" w:type="dxa"/>
            <w:vMerge w:val="continue"/>
          </w:tcPr>
          <w:p>
            <w:pPr>
              <w:jc w:val="center"/>
              <w:rPr>
                <w:rFonts w:ascii="仿宋" w:hAnsi="仿宋" w:eastAsia="仿宋"/>
                <w:bCs/>
                <w:szCs w:val="21"/>
              </w:rPr>
            </w:pPr>
          </w:p>
        </w:tc>
        <w:tc>
          <w:tcPr>
            <w:tcW w:w="1540" w:type="dxa"/>
            <w:vMerge w:val="continue"/>
          </w:tcPr>
          <w:p>
            <w:pPr>
              <w:jc w:val="center"/>
              <w:rPr>
                <w:rFonts w:ascii="仿宋" w:hAnsi="仿宋" w:eastAsia="仿宋"/>
                <w:bCs/>
                <w:szCs w:val="21"/>
              </w:rPr>
            </w:pPr>
          </w:p>
        </w:tc>
        <w:tc>
          <w:tcPr>
            <w:tcW w:w="1540" w:type="dxa"/>
            <w:vMerge w:val="continue"/>
          </w:tcPr>
          <w:p>
            <w:pPr>
              <w:jc w:val="center"/>
              <w:rPr>
                <w:rFonts w:ascii="仿宋" w:hAnsi="仿宋" w:eastAsia="仿宋"/>
                <w:bCs/>
                <w:szCs w:val="21"/>
              </w:rPr>
            </w:pPr>
          </w:p>
        </w:tc>
        <w:tc>
          <w:tcPr>
            <w:tcW w:w="770" w:type="dxa"/>
          </w:tcPr>
          <w:p>
            <w:pPr>
              <w:jc w:val="center"/>
              <w:rPr>
                <w:rFonts w:ascii="仿宋" w:hAnsi="仿宋" w:eastAsia="仿宋"/>
                <w:bCs/>
                <w:szCs w:val="21"/>
              </w:rPr>
            </w:pPr>
            <w:r>
              <w:rPr>
                <w:rFonts w:hint="eastAsia" w:ascii="仿宋" w:hAnsi="仿宋" w:eastAsia="仿宋"/>
                <w:bCs/>
                <w:szCs w:val="21"/>
              </w:rPr>
              <w:t>日间</w:t>
            </w:r>
          </w:p>
        </w:tc>
        <w:tc>
          <w:tcPr>
            <w:tcW w:w="771" w:type="dxa"/>
          </w:tcPr>
          <w:p>
            <w:pPr>
              <w:jc w:val="center"/>
              <w:rPr>
                <w:rFonts w:ascii="仿宋" w:hAnsi="仿宋" w:eastAsia="仿宋"/>
                <w:bCs/>
                <w:szCs w:val="21"/>
              </w:rPr>
            </w:pPr>
            <w:r>
              <w:rPr>
                <w:rFonts w:hint="eastAsia" w:ascii="仿宋" w:hAnsi="仿宋" w:eastAsia="仿宋"/>
                <w:bCs/>
                <w:szCs w:val="21"/>
              </w:rPr>
              <w:t>夜间</w:t>
            </w:r>
          </w:p>
        </w:tc>
        <w:tc>
          <w:tcPr>
            <w:tcW w:w="770" w:type="dxa"/>
          </w:tcPr>
          <w:p>
            <w:pPr>
              <w:jc w:val="center"/>
              <w:rPr>
                <w:rFonts w:ascii="仿宋" w:hAnsi="仿宋" w:eastAsia="仿宋"/>
                <w:bCs/>
                <w:szCs w:val="21"/>
              </w:rPr>
            </w:pPr>
            <w:r>
              <w:rPr>
                <w:rFonts w:hint="eastAsia" w:ascii="仿宋" w:hAnsi="仿宋" w:eastAsia="仿宋"/>
                <w:bCs/>
                <w:szCs w:val="21"/>
              </w:rPr>
              <w:t>日间</w:t>
            </w:r>
          </w:p>
        </w:tc>
        <w:tc>
          <w:tcPr>
            <w:tcW w:w="771" w:type="dxa"/>
          </w:tcPr>
          <w:p>
            <w:pPr>
              <w:jc w:val="center"/>
              <w:rPr>
                <w:rFonts w:ascii="仿宋" w:hAnsi="仿宋" w:eastAsia="仿宋"/>
                <w:bCs/>
                <w:szCs w:val="21"/>
              </w:rPr>
            </w:pPr>
            <w:r>
              <w:rPr>
                <w:rFonts w:hint="eastAsia" w:ascii="仿宋" w:hAnsi="仿宋" w:eastAsia="仿宋"/>
                <w:bCs/>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0" w:type="dxa"/>
            <w:vMerge w:val="restart"/>
            <w:vAlign w:val="center"/>
          </w:tcPr>
          <w:p>
            <w:pPr>
              <w:jc w:val="center"/>
              <w:rPr>
                <w:rFonts w:ascii="仿宋" w:hAnsi="仿宋" w:eastAsia="仿宋"/>
                <w:bCs/>
                <w:szCs w:val="21"/>
              </w:rPr>
            </w:pPr>
            <w:r>
              <w:rPr>
                <w:rFonts w:hint="eastAsia" w:ascii="仿宋" w:hAnsi="仿宋" w:eastAsia="仿宋"/>
                <w:bCs/>
                <w:szCs w:val="21"/>
              </w:rPr>
              <w:t>2</w:t>
            </w:r>
            <w:r>
              <w:rPr>
                <w:rFonts w:ascii="仿宋" w:hAnsi="仿宋" w:eastAsia="仿宋"/>
                <w:bCs/>
                <w:szCs w:val="21"/>
              </w:rPr>
              <w:t>023.1.12</w:t>
            </w:r>
          </w:p>
        </w:tc>
        <w:tc>
          <w:tcPr>
            <w:tcW w:w="1540" w:type="dxa"/>
          </w:tcPr>
          <w:p>
            <w:pPr>
              <w:jc w:val="center"/>
              <w:rPr>
                <w:rFonts w:ascii="仿宋" w:hAnsi="仿宋" w:eastAsia="仿宋"/>
                <w:bCs/>
                <w:szCs w:val="21"/>
              </w:rPr>
            </w:pPr>
            <w:r>
              <w:rPr>
                <w:rFonts w:hint="eastAsia" w:ascii="仿宋" w:hAnsi="仿宋" w:eastAsia="仿宋"/>
                <w:bCs/>
                <w:szCs w:val="21"/>
              </w:rPr>
              <w:t>N1</w:t>
            </w:r>
          </w:p>
        </w:tc>
        <w:tc>
          <w:tcPr>
            <w:tcW w:w="1540" w:type="dxa"/>
          </w:tcPr>
          <w:p>
            <w:pPr>
              <w:jc w:val="center"/>
              <w:rPr>
                <w:rFonts w:ascii="仿宋" w:hAnsi="仿宋" w:eastAsia="仿宋"/>
                <w:bCs/>
                <w:szCs w:val="21"/>
              </w:rPr>
            </w:pPr>
            <w:r>
              <w:rPr>
                <w:rFonts w:hint="eastAsia" w:ascii="仿宋" w:hAnsi="仿宋" w:eastAsia="仿宋"/>
                <w:bCs/>
                <w:szCs w:val="21"/>
              </w:rPr>
              <w:t>东厂界</w:t>
            </w:r>
          </w:p>
        </w:tc>
        <w:tc>
          <w:tcPr>
            <w:tcW w:w="1540" w:type="dxa"/>
            <w:vMerge w:val="restart"/>
            <w:vAlign w:val="center"/>
          </w:tcPr>
          <w:p>
            <w:pPr>
              <w:jc w:val="center"/>
              <w:rPr>
                <w:rFonts w:ascii="仿宋" w:hAnsi="仿宋" w:eastAsia="仿宋"/>
                <w:bCs/>
                <w:szCs w:val="21"/>
              </w:rPr>
            </w:pPr>
            <w:r>
              <w:rPr>
                <w:rFonts w:hint="eastAsia" w:ascii="仿宋" w:hAnsi="仿宋" w:eastAsia="仿宋"/>
                <w:bCs/>
                <w:szCs w:val="21"/>
              </w:rPr>
              <w:t>1</w:t>
            </w:r>
            <w:r>
              <w:rPr>
                <w:rFonts w:ascii="仿宋" w:hAnsi="仿宋" w:eastAsia="仿宋"/>
                <w:bCs/>
                <w:szCs w:val="21"/>
              </w:rPr>
              <w:t>0</w:t>
            </w:r>
            <w:r>
              <w:rPr>
                <w:rFonts w:hint="eastAsia" w:ascii="仿宋" w:hAnsi="仿宋" w:eastAsia="仿宋"/>
                <w:bCs/>
                <w:szCs w:val="21"/>
              </w:rPr>
              <w:t>：0</w:t>
            </w:r>
            <w:r>
              <w:rPr>
                <w:rFonts w:ascii="仿宋" w:hAnsi="仿宋" w:eastAsia="仿宋"/>
                <w:bCs/>
                <w:szCs w:val="21"/>
              </w:rPr>
              <w:t>7-11:58</w:t>
            </w:r>
          </w:p>
        </w:tc>
        <w:tc>
          <w:tcPr>
            <w:tcW w:w="770" w:type="dxa"/>
          </w:tcPr>
          <w:p>
            <w:pPr>
              <w:jc w:val="center"/>
              <w:rPr>
                <w:rFonts w:ascii="仿宋" w:hAnsi="仿宋" w:eastAsia="仿宋"/>
                <w:bCs/>
                <w:szCs w:val="21"/>
              </w:rPr>
            </w:pPr>
            <w:r>
              <w:rPr>
                <w:rFonts w:hint="eastAsia" w:ascii="仿宋" w:hAnsi="仿宋" w:eastAsia="仿宋"/>
                <w:bCs/>
                <w:szCs w:val="21"/>
              </w:rPr>
              <w:t>6</w:t>
            </w:r>
            <w:r>
              <w:rPr>
                <w:rFonts w:ascii="仿宋" w:hAnsi="仿宋" w:eastAsia="仿宋"/>
                <w:bCs/>
                <w:szCs w:val="21"/>
              </w:rPr>
              <w:t>0</w:t>
            </w:r>
          </w:p>
        </w:tc>
        <w:tc>
          <w:tcPr>
            <w:tcW w:w="771" w:type="dxa"/>
          </w:tcPr>
          <w:p>
            <w:pPr>
              <w:jc w:val="center"/>
              <w:rPr>
                <w:rFonts w:ascii="仿宋" w:hAnsi="仿宋" w:eastAsia="仿宋"/>
                <w:bCs/>
                <w:szCs w:val="21"/>
              </w:rPr>
            </w:pPr>
            <w:r>
              <w:rPr>
                <w:rFonts w:hint="eastAsia" w:ascii="仿宋" w:hAnsi="仿宋" w:eastAsia="仿宋"/>
                <w:bCs/>
                <w:szCs w:val="21"/>
              </w:rPr>
              <w:t>/</w:t>
            </w:r>
          </w:p>
        </w:tc>
        <w:tc>
          <w:tcPr>
            <w:tcW w:w="770" w:type="dxa"/>
          </w:tcPr>
          <w:p>
            <w:pPr>
              <w:jc w:val="center"/>
              <w:rPr>
                <w:rFonts w:ascii="仿宋" w:hAnsi="仿宋" w:eastAsia="仿宋"/>
                <w:bCs/>
                <w:szCs w:val="21"/>
              </w:rPr>
            </w:pPr>
            <w:r>
              <w:rPr>
                <w:rFonts w:hint="eastAsia" w:ascii="仿宋" w:hAnsi="仿宋" w:eastAsia="仿宋"/>
                <w:bCs/>
                <w:szCs w:val="21"/>
              </w:rPr>
              <w:t>6</w:t>
            </w:r>
            <w:r>
              <w:rPr>
                <w:rFonts w:ascii="仿宋" w:hAnsi="仿宋" w:eastAsia="仿宋"/>
                <w:bCs/>
                <w:szCs w:val="21"/>
              </w:rPr>
              <w:t>5</w:t>
            </w:r>
          </w:p>
        </w:tc>
        <w:tc>
          <w:tcPr>
            <w:tcW w:w="771" w:type="dxa"/>
          </w:tcPr>
          <w:p>
            <w:pPr>
              <w:jc w:val="center"/>
              <w:rPr>
                <w:rFonts w:ascii="仿宋" w:hAnsi="仿宋" w:eastAsia="仿宋"/>
                <w:bCs/>
                <w:szCs w:val="21"/>
              </w:rPr>
            </w:pPr>
            <w:r>
              <w:rPr>
                <w:rFonts w:hint="eastAsia" w:ascii="仿宋" w:hAnsi="仿宋" w:eastAsia="仿宋"/>
                <w:bCs/>
                <w:szCs w:val="21"/>
              </w:rPr>
              <w:t>5</w:t>
            </w:r>
            <w:r>
              <w:rPr>
                <w:rFonts w:ascii="仿宋" w:hAnsi="仿宋" w:eastAsia="仿宋"/>
                <w:bCs/>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0" w:type="dxa"/>
            <w:vMerge w:val="continue"/>
            <w:vAlign w:val="center"/>
          </w:tcPr>
          <w:p>
            <w:pPr>
              <w:jc w:val="center"/>
              <w:rPr>
                <w:rFonts w:ascii="仿宋" w:hAnsi="仿宋" w:eastAsia="仿宋"/>
                <w:bCs/>
                <w:szCs w:val="21"/>
              </w:rPr>
            </w:pPr>
          </w:p>
        </w:tc>
        <w:tc>
          <w:tcPr>
            <w:tcW w:w="1540" w:type="dxa"/>
          </w:tcPr>
          <w:p>
            <w:pPr>
              <w:jc w:val="center"/>
              <w:rPr>
                <w:rFonts w:ascii="仿宋" w:hAnsi="仿宋" w:eastAsia="仿宋"/>
                <w:bCs/>
                <w:szCs w:val="21"/>
              </w:rPr>
            </w:pPr>
            <w:r>
              <w:rPr>
                <w:rFonts w:hint="eastAsia" w:ascii="仿宋" w:hAnsi="仿宋" w:eastAsia="仿宋"/>
                <w:bCs/>
                <w:szCs w:val="21"/>
              </w:rPr>
              <w:t>N</w:t>
            </w:r>
            <w:r>
              <w:rPr>
                <w:rFonts w:ascii="仿宋" w:hAnsi="仿宋" w:eastAsia="仿宋"/>
                <w:bCs/>
                <w:szCs w:val="21"/>
              </w:rPr>
              <w:t>2</w:t>
            </w:r>
          </w:p>
        </w:tc>
        <w:tc>
          <w:tcPr>
            <w:tcW w:w="1540" w:type="dxa"/>
          </w:tcPr>
          <w:p>
            <w:pPr>
              <w:jc w:val="center"/>
              <w:rPr>
                <w:rFonts w:ascii="仿宋" w:hAnsi="仿宋" w:eastAsia="仿宋"/>
                <w:bCs/>
                <w:szCs w:val="21"/>
              </w:rPr>
            </w:pPr>
            <w:r>
              <w:rPr>
                <w:rFonts w:hint="eastAsia" w:ascii="仿宋" w:hAnsi="仿宋" w:eastAsia="仿宋"/>
                <w:bCs/>
                <w:szCs w:val="21"/>
              </w:rPr>
              <w:t>南厂界</w:t>
            </w:r>
          </w:p>
        </w:tc>
        <w:tc>
          <w:tcPr>
            <w:tcW w:w="1540" w:type="dxa"/>
            <w:vMerge w:val="continue"/>
          </w:tcPr>
          <w:p>
            <w:pPr>
              <w:jc w:val="center"/>
              <w:rPr>
                <w:rFonts w:ascii="仿宋" w:hAnsi="仿宋" w:eastAsia="仿宋"/>
                <w:bCs/>
                <w:szCs w:val="21"/>
              </w:rPr>
            </w:pPr>
          </w:p>
        </w:tc>
        <w:tc>
          <w:tcPr>
            <w:tcW w:w="770" w:type="dxa"/>
          </w:tcPr>
          <w:p>
            <w:pPr>
              <w:jc w:val="center"/>
              <w:rPr>
                <w:rFonts w:ascii="仿宋" w:hAnsi="仿宋" w:eastAsia="仿宋"/>
                <w:bCs/>
                <w:szCs w:val="21"/>
              </w:rPr>
            </w:pPr>
            <w:r>
              <w:rPr>
                <w:rFonts w:hint="eastAsia" w:ascii="仿宋" w:hAnsi="仿宋" w:eastAsia="仿宋"/>
                <w:bCs/>
                <w:szCs w:val="21"/>
              </w:rPr>
              <w:t>6</w:t>
            </w:r>
            <w:r>
              <w:rPr>
                <w:rFonts w:ascii="仿宋" w:hAnsi="仿宋" w:eastAsia="仿宋"/>
                <w:bCs/>
                <w:szCs w:val="21"/>
              </w:rPr>
              <w:t>1</w:t>
            </w:r>
          </w:p>
        </w:tc>
        <w:tc>
          <w:tcPr>
            <w:tcW w:w="771" w:type="dxa"/>
          </w:tcPr>
          <w:p>
            <w:pPr>
              <w:jc w:val="center"/>
              <w:rPr>
                <w:rFonts w:ascii="仿宋" w:hAnsi="仿宋" w:eastAsia="仿宋"/>
                <w:bCs/>
                <w:szCs w:val="21"/>
              </w:rPr>
            </w:pPr>
            <w:r>
              <w:rPr>
                <w:rFonts w:hint="eastAsia" w:ascii="仿宋" w:hAnsi="仿宋" w:eastAsia="仿宋"/>
                <w:bCs/>
                <w:szCs w:val="21"/>
              </w:rPr>
              <w:t>/</w:t>
            </w:r>
          </w:p>
        </w:tc>
        <w:tc>
          <w:tcPr>
            <w:tcW w:w="770" w:type="dxa"/>
          </w:tcPr>
          <w:p>
            <w:pPr>
              <w:jc w:val="center"/>
              <w:rPr>
                <w:rFonts w:ascii="仿宋" w:hAnsi="仿宋" w:eastAsia="仿宋"/>
                <w:bCs/>
                <w:szCs w:val="21"/>
              </w:rPr>
            </w:pPr>
            <w:r>
              <w:rPr>
                <w:rFonts w:hint="eastAsia" w:ascii="仿宋" w:hAnsi="仿宋" w:eastAsia="仿宋"/>
                <w:bCs/>
                <w:szCs w:val="21"/>
              </w:rPr>
              <w:t>6</w:t>
            </w:r>
            <w:r>
              <w:rPr>
                <w:rFonts w:ascii="仿宋" w:hAnsi="仿宋" w:eastAsia="仿宋"/>
                <w:bCs/>
                <w:szCs w:val="21"/>
              </w:rPr>
              <w:t>5</w:t>
            </w:r>
          </w:p>
        </w:tc>
        <w:tc>
          <w:tcPr>
            <w:tcW w:w="771" w:type="dxa"/>
          </w:tcPr>
          <w:p>
            <w:pPr>
              <w:jc w:val="center"/>
              <w:rPr>
                <w:rFonts w:ascii="仿宋" w:hAnsi="仿宋" w:eastAsia="仿宋"/>
                <w:bCs/>
                <w:szCs w:val="21"/>
              </w:rPr>
            </w:pPr>
            <w:r>
              <w:rPr>
                <w:rFonts w:hint="eastAsia" w:ascii="仿宋" w:hAnsi="仿宋" w:eastAsia="仿宋"/>
                <w:bCs/>
                <w:szCs w:val="21"/>
              </w:rPr>
              <w:t>5</w:t>
            </w:r>
            <w:r>
              <w:rPr>
                <w:rFonts w:ascii="仿宋" w:hAnsi="仿宋" w:eastAsia="仿宋"/>
                <w:bCs/>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0" w:type="dxa"/>
            <w:vMerge w:val="continue"/>
            <w:vAlign w:val="center"/>
          </w:tcPr>
          <w:p>
            <w:pPr>
              <w:jc w:val="center"/>
              <w:rPr>
                <w:rFonts w:ascii="仿宋" w:hAnsi="仿宋" w:eastAsia="仿宋"/>
                <w:bCs/>
                <w:szCs w:val="21"/>
              </w:rPr>
            </w:pPr>
          </w:p>
        </w:tc>
        <w:tc>
          <w:tcPr>
            <w:tcW w:w="1540" w:type="dxa"/>
          </w:tcPr>
          <w:p>
            <w:pPr>
              <w:jc w:val="center"/>
              <w:rPr>
                <w:rFonts w:ascii="仿宋" w:hAnsi="仿宋" w:eastAsia="仿宋"/>
                <w:bCs/>
                <w:szCs w:val="21"/>
              </w:rPr>
            </w:pPr>
            <w:r>
              <w:rPr>
                <w:rFonts w:hint="eastAsia" w:ascii="仿宋" w:hAnsi="仿宋" w:eastAsia="仿宋"/>
                <w:bCs/>
                <w:szCs w:val="21"/>
              </w:rPr>
              <w:t>N</w:t>
            </w:r>
            <w:r>
              <w:rPr>
                <w:rFonts w:ascii="仿宋" w:hAnsi="仿宋" w:eastAsia="仿宋"/>
                <w:bCs/>
                <w:szCs w:val="21"/>
              </w:rPr>
              <w:t>3</w:t>
            </w:r>
          </w:p>
        </w:tc>
        <w:tc>
          <w:tcPr>
            <w:tcW w:w="1540" w:type="dxa"/>
          </w:tcPr>
          <w:p>
            <w:pPr>
              <w:jc w:val="center"/>
              <w:rPr>
                <w:rFonts w:ascii="仿宋" w:hAnsi="仿宋" w:eastAsia="仿宋"/>
                <w:bCs/>
                <w:szCs w:val="21"/>
              </w:rPr>
            </w:pPr>
            <w:r>
              <w:rPr>
                <w:rFonts w:hint="eastAsia" w:ascii="仿宋" w:hAnsi="仿宋" w:eastAsia="仿宋"/>
                <w:bCs/>
                <w:szCs w:val="21"/>
              </w:rPr>
              <w:t>西厂界</w:t>
            </w:r>
          </w:p>
        </w:tc>
        <w:tc>
          <w:tcPr>
            <w:tcW w:w="1540" w:type="dxa"/>
            <w:vMerge w:val="continue"/>
          </w:tcPr>
          <w:p>
            <w:pPr>
              <w:jc w:val="center"/>
              <w:rPr>
                <w:rFonts w:ascii="仿宋" w:hAnsi="仿宋" w:eastAsia="仿宋"/>
                <w:bCs/>
                <w:szCs w:val="21"/>
              </w:rPr>
            </w:pPr>
          </w:p>
        </w:tc>
        <w:tc>
          <w:tcPr>
            <w:tcW w:w="770" w:type="dxa"/>
          </w:tcPr>
          <w:p>
            <w:pPr>
              <w:jc w:val="center"/>
              <w:rPr>
                <w:rFonts w:ascii="仿宋" w:hAnsi="仿宋" w:eastAsia="仿宋"/>
                <w:bCs/>
                <w:szCs w:val="21"/>
              </w:rPr>
            </w:pPr>
            <w:r>
              <w:rPr>
                <w:rFonts w:hint="eastAsia" w:ascii="仿宋" w:hAnsi="仿宋" w:eastAsia="仿宋"/>
                <w:bCs/>
                <w:szCs w:val="21"/>
              </w:rPr>
              <w:t>6</w:t>
            </w:r>
            <w:r>
              <w:rPr>
                <w:rFonts w:ascii="仿宋" w:hAnsi="仿宋" w:eastAsia="仿宋"/>
                <w:bCs/>
                <w:szCs w:val="21"/>
              </w:rPr>
              <w:t>1</w:t>
            </w:r>
          </w:p>
        </w:tc>
        <w:tc>
          <w:tcPr>
            <w:tcW w:w="771" w:type="dxa"/>
          </w:tcPr>
          <w:p>
            <w:pPr>
              <w:jc w:val="center"/>
              <w:rPr>
                <w:rFonts w:ascii="仿宋" w:hAnsi="仿宋" w:eastAsia="仿宋"/>
                <w:bCs/>
                <w:szCs w:val="21"/>
              </w:rPr>
            </w:pPr>
            <w:r>
              <w:rPr>
                <w:rFonts w:hint="eastAsia" w:ascii="仿宋" w:hAnsi="仿宋" w:eastAsia="仿宋"/>
                <w:bCs/>
                <w:szCs w:val="21"/>
              </w:rPr>
              <w:t>/</w:t>
            </w:r>
          </w:p>
        </w:tc>
        <w:tc>
          <w:tcPr>
            <w:tcW w:w="770" w:type="dxa"/>
          </w:tcPr>
          <w:p>
            <w:pPr>
              <w:jc w:val="center"/>
              <w:rPr>
                <w:rFonts w:ascii="仿宋" w:hAnsi="仿宋" w:eastAsia="仿宋"/>
                <w:bCs/>
                <w:szCs w:val="21"/>
              </w:rPr>
            </w:pPr>
            <w:r>
              <w:rPr>
                <w:rFonts w:hint="eastAsia" w:ascii="仿宋" w:hAnsi="仿宋" w:eastAsia="仿宋"/>
                <w:bCs/>
                <w:szCs w:val="21"/>
              </w:rPr>
              <w:t>6</w:t>
            </w:r>
            <w:r>
              <w:rPr>
                <w:rFonts w:ascii="仿宋" w:hAnsi="仿宋" w:eastAsia="仿宋"/>
                <w:bCs/>
                <w:szCs w:val="21"/>
              </w:rPr>
              <w:t>5</w:t>
            </w:r>
          </w:p>
        </w:tc>
        <w:tc>
          <w:tcPr>
            <w:tcW w:w="771" w:type="dxa"/>
          </w:tcPr>
          <w:p>
            <w:pPr>
              <w:jc w:val="center"/>
              <w:rPr>
                <w:rFonts w:ascii="仿宋" w:hAnsi="仿宋" w:eastAsia="仿宋"/>
                <w:bCs/>
                <w:szCs w:val="21"/>
              </w:rPr>
            </w:pPr>
            <w:r>
              <w:rPr>
                <w:rFonts w:hint="eastAsia" w:ascii="仿宋" w:hAnsi="仿宋" w:eastAsia="仿宋"/>
                <w:bCs/>
                <w:szCs w:val="21"/>
              </w:rPr>
              <w:t>5</w:t>
            </w:r>
            <w:r>
              <w:rPr>
                <w:rFonts w:ascii="仿宋" w:hAnsi="仿宋" w:eastAsia="仿宋"/>
                <w:bCs/>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0" w:type="dxa"/>
            <w:vMerge w:val="continue"/>
            <w:vAlign w:val="center"/>
          </w:tcPr>
          <w:p>
            <w:pPr>
              <w:jc w:val="center"/>
              <w:rPr>
                <w:rFonts w:ascii="仿宋" w:hAnsi="仿宋" w:eastAsia="仿宋"/>
                <w:bCs/>
                <w:szCs w:val="21"/>
              </w:rPr>
            </w:pPr>
          </w:p>
        </w:tc>
        <w:tc>
          <w:tcPr>
            <w:tcW w:w="1540" w:type="dxa"/>
          </w:tcPr>
          <w:p>
            <w:pPr>
              <w:jc w:val="center"/>
              <w:rPr>
                <w:rFonts w:ascii="仿宋" w:hAnsi="仿宋" w:eastAsia="仿宋"/>
                <w:bCs/>
                <w:szCs w:val="21"/>
              </w:rPr>
            </w:pPr>
            <w:r>
              <w:rPr>
                <w:rFonts w:hint="eastAsia" w:ascii="仿宋" w:hAnsi="仿宋" w:eastAsia="仿宋"/>
                <w:bCs/>
                <w:szCs w:val="21"/>
              </w:rPr>
              <w:t>N</w:t>
            </w:r>
            <w:r>
              <w:rPr>
                <w:rFonts w:ascii="仿宋" w:hAnsi="仿宋" w:eastAsia="仿宋"/>
                <w:bCs/>
                <w:szCs w:val="21"/>
              </w:rPr>
              <w:t>4</w:t>
            </w:r>
          </w:p>
        </w:tc>
        <w:tc>
          <w:tcPr>
            <w:tcW w:w="1540" w:type="dxa"/>
          </w:tcPr>
          <w:p>
            <w:pPr>
              <w:jc w:val="center"/>
              <w:rPr>
                <w:rFonts w:ascii="仿宋" w:hAnsi="仿宋" w:eastAsia="仿宋"/>
                <w:bCs/>
                <w:szCs w:val="21"/>
              </w:rPr>
            </w:pPr>
            <w:r>
              <w:rPr>
                <w:rFonts w:hint="eastAsia" w:ascii="仿宋" w:hAnsi="仿宋" w:eastAsia="仿宋"/>
                <w:bCs/>
                <w:szCs w:val="21"/>
              </w:rPr>
              <w:t>北厂界</w:t>
            </w:r>
          </w:p>
        </w:tc>
        <w:tc>
          <w:tcPr>
            <w:tcW w:w="1540" w:type="dxa"/>
            <w:vMerge w:val="continue"/>
          </w:tcPr>
          <w:p>
            <w:pPr>
              <w:jc w:val="center"/>
              <w:rPr>
                <w:rFonts w:ascii="仿宋" w:hAnsi="仿宋" w:eastAsia="仿宋"/>
                <w:bCs/>
                <w:szCs w:val="21"/>
              </w:rPr>
            </w:pPr>
          </w:p>
        </w:tc>
        <w:tc>
          <w:tcPr>
            <w:tcW w:w="770" w:type="dxa"/>
          </w:tcPr>
          <w:p>
            <w:pPr>
              <w:jc w:val="center"/>
              <w:rPr>
                <w:rFonts w:ascii="仿宋" w:hAnsi="仿宋" w:eastAsia="仿宋"/>
                <w:bCs/>
                <w:szCs w:val="21"/>
              </w:rPr>
            </w:pPr>
            <w:r>
              <w:rPr>
                <w:rFonts w:hint="eastAsia" w:ascii="仿宋" w:hAnsi="仿宋" w:eastAsia="仿宋"/>
                <w:bCs/>
                <w:szCs w:val="21"/>
              </w:rPr>
              <w:t>6</w:t>
            </w:r>
            <w:r>
              <w:rPr>
                <w:rFonts w:ascii="仿宋" w:hAnsi="仿宋" w:eastAsia="仿宋"/>
                <w:bCs/>
                <w:szCs w:val="21"/>
              </w:rPr>
              <w:t>2</w:t>
            </w:r>
          </w:p>
        </w:tc>
        <w:tc>
          <w:tcPr>
            <w:tcW w:w="771" w:type="dxa"/>
          </w:tcPr>
          <w:p>
            <w:pPr>
              <w:jc w:val="center"/>
              <w:rPr>
                <w:rFonts w:ascii="仿宋" w:hAnsi="仿宋" w:eastAsia="仿宋"/>
                <w:bCs/>
                <w:szCs w:val="21"/>
              </w:rPr>
            </w:pPr>
            <w:r>
              <w:rPr>
                <w:rFonts w:hint="eastAsia" w:ascii="仿宋" w:hAnsi="仿宋" w:eastAsia="仿宋"/>
                <w:bCs/>
                <w:szCs w:val="21"/>
              </w:rPr>
              <w:t>/</w:t>
            </w:r>
          </w:p>
        </w:tc>
        <w:tc>
          <w:tcPr>
            <w:tcW w:w="770" w:type="dxa"/>
          </w:tcPr>
          <w:p>
            <w:pPr>
              <w:jc w:val="center"/>
              <w:rPr>
                <w:rFonts w:ascii="仿宋" w:hAnsi="仿宋" w:eastAsia="仿宋"/>
                <w:bCs/>
                <w:szCs w:val="21"/>
              </w:rPr>
            </w:pPr>
            <w:r>
              <w:rPr>
                <w:rFonts w:hint="eastAsia" w:ascii="仿宋" w:hAnsi="仿宋" w:eastAsia="仿宋"/>
                <w:bCs/>
                <w:szCs w:val="21"/>
              </w:rPr>
              <w:t>6</w:t>
            </w:r>
            <w:r>
              <w:rPr>
                <w:rFonts w:ascii="仿宋" w:hAnsi="仿宋" w:eastAsia="仿宋"/>
                <w:bCs/>
                <w:szCs w:val="21"/>
              </w:rPr>
              <w:t>5</w:t>
            </w:r>
          </w:p>
        </w:tc>
        <w:tc>
          <w:tcPr>
            <w:tcW w:w="771" w:type="dxa"/>
          </w:tcPr>
          <w:p>
            <w:pPr>
              <w:jc w:val="center"/>
              <w:rPr>
                <w:rFonts w:ascii="仿宋" w:hAnsi="仿宋" w:eastAsia="仿宋"/>
                <w:bCs/>
                <w:szCs w:val="21"/>
              </w:rPr>
            </w:pPr>
            <w:r>
              <w:rPr>
                <w:rFonts w:hint="eastAsia" w:ascii="仿宋" w:hAnsi="仿宋" w:eastAsia="仿宋"/>
                <w:bCs/>
                <w:szCs w:val="21"/>
              </w:rPr>
              <w:t>5</w:t>
            </w:r>
            <w:r>
              <w:rPr>
                <w:rFonts w:ascii="仿宋" w:hAnsi="仿宋" w:eastAsia="仿宋"/>
                <w:bCs/>
                <w:szCs w:val="21"/>
              </w:rPr>
              <w:t>5</w:t>
            </w:r>
          </w:p>
        </w:tc>
      </w:tr>
    </w:tbl>
    <w:p>
      <w:pPr>
        <w:spacing w:line="500" w:lineRule="exact"/>
        <w:ind w:firstLine="840" w:firstLineChars="300"/>
        <w:rPr>
          <w:rFonts w:eastAsia="仿宋_GB2312"/>
          <w:sz w:val="28"/>
          <w:szCs w:val="28"/>
        </w:rPr>
      </w:pPr>
      <w:r>
        <w:rPr>
          <w:rFonts w:hint="eastAsia" w:eastAsia="仿宋_GB2312"/>
          <w:sz w:val="28"/>
          <w:szCs w:val="28"/>
        </w:rPr>
        <w:t>根据例行检测结果各污染物能达标排放，生产过程中无厂界异味及投诉情况，本项目竣工环境保护验收合格。</w:t>
      </w:r>
    </w:p>
    <w:p>
      <w:pPr>
        <w:pStyle w:val="4"/>
        <w:keepLines w:val="0"/>
        <w:numPr>
          <w:ilvl w:val="2"/>
          <w:numId w:val="1"/>
        </w:numPr>
        <w:tabs>
          <w:tab w:val="left" w:pos="709"/>
        </w:tabs>
        <w:spacing w:before="120" w:beforeLines="50" w:after="120" w:afterLines="50" w:line="500" w:lineRule="exact"/>
        <w:ind w:left="422" w:hanging="422" w:hangingChars="150"/>
        <w:rPr>
          <w:rFonts w:eastAsia="仿宋_GB2312"/>
          <w:sz w:val="28"/>
          <w:szCs w:val="28"/>
        </w:rPr>
      </w:pPr>
      <w:r>
        <w:rPr>
          <w:rFonts w:hint="eastAsia" w:eastAsia="仿宋_GB2312"/>
          <w:sz w:val="28"/>
          <w:szCs w:val="28"/>
        </w:rPr>
        <w:t>项目</w:t>
      </w:r>
      <w:r>
        <w:rPr>
          <w:rFonts w:eastAsia="仿宋_GB2312"/>
          <w:sz w:val="28"/>
          <w:szCs w:val="28"/>
        </w:rPr>
        <w:t>产品方案</w:t>
      </w:r>
    </w:p>
    <w:p>
      <w:pPr>
        <w:spacing w:line="500" w:lineRule="exact"/>
        <w:ind w:firstLine="840" w:firstLineChars="300"/>
        <w:rPr>
          <w:rFonts w:eastAsia="仿宋_GB2312"/>
          <w:sz w:val="28"/>
          <w:szCs w:val="28"/>
        </w:rPr>
      </w:pPr>
      <w:r>
        <w:rPr>
          <w:rFonts w:eastAsia="仿宋_GB2312"/>
          <w:sz w:val="28"/>
          <w:szCs w:val="28"/>
        </w:rPr>
        <w:t>本项目产品方案见</w:t>
      </w:r>
      <w:r>
        <w:rPr>
          <w:rFonts w:hint="eastAsia" w:eastAsia="仿宋_GB2312"/>
          <w:sz w:val="28"/>
          <w:szCs w:val="28"/>
        </w:rPr>
        <w:t>表</w:t>
      </w:r>
      <w:r>
        <w:rPr>
          <w:rFonts w:eastAsia="仿宋_GB2312"/>
          <w:sz w:val="28"/>
          <w:szCs w:val="28"/>
        </w:rPr>
        <w:t>3.</w:t>
      </w:r>
      <w:r>
        <w:rPr>
          <w:rFonts w:hint="eastAsia" w:eastAsia="仿宋_GB2312"/>
          <w:sz w:val="28"/>
          <w:szCs w:val="28"/>
        </w:rPr>
        <w:t>1</w:t>
      </w:r>
      <w:r>
        <w:rPr>
          <w:rFonts w:eastAsia="仿宋_GB2312"/>
          <w:sz w:val="28"/>
          <w:szCs w:val="28"/>
        </w:rPr>
        <w:t>-7。</w:t>
      </w:r>
      <w:bookmarkStart w:id="238" w:name="_Ref369255786"/>
    </w:p>
    <w:p>
      <w:pPr>
        <w:adjustRightInd w:val="0"/>
        <w:snapToGrid w:val="0"/>
        <w:spacing w:line="500" w:lineRule="exact"/>
        <w:ind w:firstLine="482" w:firstLineChars="200"/>
        <w:jc w:val="center"/>
        <w:rPr>
          <w:rFonts w:eastAsia="仿宋_GB2312"/>
          <w:b/>
          <w:bCs/>
          <w:sz w:val="24"/>
        </w:rPr>
      </w:pPr>
      <w:r>
        <w:rPr>
          <w:rFonts w:eastAsia="仿宋_GB2312"/>
          <w:b/>
          <w:bCs/>
          <w:sz w:val="24"/>
        </w:rPr>
        <w:t>表</w:t>
      </w:r>
      <w:bookmarkEnd w:id="238"/>
      <w:r>
        <w:rPr>
          <w:rFonts w:eastAsia="仿宋_GB2312"/>
          <w:b/>
          <w:bCs/>
          <w:sz w:val="24"/>
        </w:rPr>
        <w:t>3.</w:t>
      </w:r>
      <w:r>
        <w:rPr>
          <w:rFonts w:hint="eastAsia" w:eastAsia="仿宋_GB2312"/>
          <w:b/>
          <w:bCs/>
          <w:sz w:val="24"/>
        </w:rPr>
        <w:t>1</w:t>
      </w:r>
      <w:r>
        <w:rPr>
          <w:rFonts w:eastAsia="仿宋_GB2312"/>
          <w:b/>
          <w:bCs/>
          <w:sz w:val="24"/>
        </w:rPr>
        <w:t xml:space="preserve">-7  </w:t>
      </w:r>
      <w:r>
        <w:rPr>
          <w:rFonts w:hint="eastAsia" w:eastAsia="仿宋_GB2312"/>
          <w:b/>
          <w:bCs/>
          <w:sz w:val="24"/>
        </w:rPr>
        <w:t>产品方案</w:t>
      </w:r>
      <w:r>
        <w:rPr>
          <w:rFonts w:eastAsia="仿宋_GB2312"/>
          <w:b/>
          <w:bCs/>
          <w:sz w:val="24"/>
        </w:rPr>
        <w:t>一览表  单位：t/a</w:t>
      </w:r>
    </w:p>
    <w:tbl>
      <w:tblPr>
        <w:tblStyle w:val="87"/>
        <w:tblW w:w="101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0"/>
        <w:gridCol w:w="3255"/>
        <w:gridCol w:w="2014"/>
        <w:gridCol w:w="1573"/>
        <w:gridCol w:w="1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49" w:hRule="atLeast"/>
          <w:jc w:val="center"/>
        </w:trPr>
        <w:tc>
          <w:tcPr>
            <w:tcW w:w="1950" w:type="dxa"/>
            <w:tcBorders>
              <w:top w:val="single" w:color="auto" w:sz="4" w:space="0"/>
              <w:left w:val="single" w:color="auto" w:sz="4" w:space="0"/>
              <w:right w:val="single" w:color="auto" w:sz="4" w:space="0"/>
            </w:tcBorders>
            <w:vAlign w:val="center"/>
          </w:tcPr>
          <w:p>
            <w:pPr>
              <w:jc w:val="center"/>
              <w:rPr>
                <w:rFonts w:ascii="仿宋" w:hAnsi="仿宋" w:eastAsia="仿宋"/>
                <w:bCs/>
                <w:szCs w:val="21"/>
              </w:rPr>
            </w:pPr>
            <w:r>
              <w:rPr>
                <w:rFonts w:ascii="仿宋" w:hAnsi="仿宋" w:eastAsia="仿宋"/>
                <w:bCs/>
                <w:szCs w:val="21"/>
              </w:rPr>
              <w:t>工程名称</w:t>
            </w:r>
          </w:p>
        </w:tc>
        <w:tc>
          <w:tcPr>
            <w:tcW w:w="3255" w:type="dxa"/>
            <w:tcBorders>
              <w:top w:val="single" w:color="auto" w:sz="4" w:space="0"/>
              <w:left w:val="single" w:color="auto" w:sz="4" w:space="0"/>
              <w:right w:val="single" w:color="auto" w:sz="4" w:space="0"/>
            </w:tcBorders>
            <w:vAlign w:val="center"/>
          </w:tcPr>
          <w:p>
            <w:pPr>
              <w:jc w:val="center"/>
              <w:rPr>
                <w:rFonts w:ascii="仿宋" w:hAnsi="仿宋" w:eastAsia="仿宋"/>
                <w:bCs/>
                <w:szCs w:val="21"/>
              </w:rPr>
            </w:pPr>
            <w:r>
              <w:rPr>
                <w:rFonts w:ascii="仿宋" w:hAnsi="仿宋" w:eastAsia="仿宋"/>
                <w:bCs/>
                <w:szCs w:val="21"/>
              </w:rPr>
              <w:t>产品名称及规格</w:t>
            </w:r>
          </w:p>
        </w:tc>
        <w:tc>
          <w:tcPr>
            <w:tcW w:w="2014" w:type="dxa"/>
            <w:tcBorders>
              <w:top w:val="single" w:color="auto" w:sz="4" w:space="0"/>
              <w:left w:val="single" w:color="auto" w:sz="4" w:space="0"/>
              <w:right w:val="single" w:color="auto" w:sz="4" w:space="0"/>
            </w:tcBorders>
            <w:vAlign w:val="center"/>
          </w:tcPr>
          <w:p>
            <w:pPr>
              <w:jc w:val="center"/>
              <w:rPr>
                <w:rFonts w:ascii="仿宋" w:hAnsi="仿宋" w:eastAsia="仿宋"/>
                <w:bCs/>
                <w:szCs w:val="21"/>
              </w:rPr>
            </w:pPr>
            <w:r>
              <w:rPr>
                <w:rFonts w:ascii="仿宋" w:hAnsi="仿宋" w:eastAsia="仿宋"/>
                <w:bCs/>
                <w:szCs w:val="21"/>
              </w:rPr>
              <w:t>设计能力</w:t>
            </w:r>
            <w:r>
              <w:rPr>
                <w:rFonts w:hint="eastAsia" w:ascii="仿宋" w:hAnsi="仿宋" w:eastAsia="仿宋"/>
                <w:bCs/>
                <w:szCs w:val="21"/>
              </w:rPr>
              <w:t>（万m</w:t>
            </w:r>
            <w:r>
              <w:rPr>
                <w:rFonts w:hint="eastAsia" w:ascii="仿宋" w:hAnsi="仿宋" w:eastAsia="仿宋"/>
                <w:bCs/>
                <w:szCs w:val="21"/>
                <w:vertAlign w:val="superscript"/>
              </w:rPr>
              <w:t>2</w:t>
            </w:r>
            <w:r>
              <w:rPr>
                <w:rFonts w:hint="eastAsia" w:ascii="仿宋" w:hAnsi="仿宋" w:eastAsia="仿宋"/>
                <w:bCs/>
                <w:szCs w:val="21"/>
              </w:rPr>
              <w:t>/年）</w:t>
            </w:r>
          </w:p>
        </w:tc>
        <w:tc>
          <w:tcPr>
            <w:tcW w:w="1573" w:type="dxa"/>
            <w:tcBorders>
              <w:top w:val="single" w:color="auto" w:sz="4" w:space="0"/>
              <w:left w:val="single" w:color="auto" w:sz="4" w:space="0"/>
              <w:right w:val="single" w:color="auto" w:sz="4" w:space="0"/>
            </w:tcBorders>
            <w:vAlign w:val="center"/>
          </w:tcPr>
          <w:p>
            <w:pPr>
              <w:jc w:val="center"/>
              <w:rPr>
                <w:rFonts w:ascii="仿宋" w:hAnsi="仿宋" w:eastAsia="仿宋"/>
                <w:bCs/>
                <w:szCs w:val="21"/>
              </w:rPr>
            </w:pPr>
            <w:r>
              <w:rPr>
                <w:rFonts w:ascii="仿宋" w:hAnsi="仿宋" w:eastAsia="仿宋"/>
                <w:bCs/>
                <w:szCs w:val="21"/>
              </w:rPr>
              <w:t>年运行天数(天</w:t>
            </w:r>
            <w:r>
              <w:rPr>
                <w:rFonts w:hint="eastAsia" w:ascii="仿宋" w:hAnsi="仿宋" w:eastAsia="仿宋"/>
                <w:bCs/>
                <w:szCs w:val="21"/>
              </w:rPr>
              <w:t>/年</w:t>
            </w:r>
            <w:r>
              <w:rPr>
                <w:rFonts w:ascii="仿宋" w:hAnsi="仿宋" w:eastAsia="仿宋"/>
                <w:bCs/>
                <w:szCs w:val="21"/>
              </w:rPr>
              <w:t>)</w:t>
            </w:r>
          </w:p>
        </w:tc>
        <w:tc>
          <w:tcPr>
            <w:tcW w:w="1355" w:type="dxa"/>
            <w:tcBorders>
              <w:top w:val="single" w:color="auto" w:sz="4" w:space="0"/>
              <w:left w:val="single" w:color="auto" w:sz="4" w:space="0"/>
              <w:right w:val="single" w:color="auto" w:sz="4" w:space="0"/>
            </w:tcBorders>
            <w:vAlign w:val="center"/>
          </w:tcPr>
          <w:p>
            <w:pPr>
              <w:jc w:val="center"/>
              <w:rPr>
                <w:rFonts w:ascii="仿宋" w:hAnsi="仿宋" w:eastAsia="仿宋"/>
                <w:bCs/>
                <w:szCs w:val="21"/>
              </w:rPr>
            </w:pPr>
            <w:r>
              <w:rPr>
                <w:rFonts w:ascii="仿宋" w:hAnsi="仿宋" w:eastAsia="仿宋"/>
                <w:bCs/>
                <w:szCs w:val="21"/>
              </w:rPr>
              <w:t>年运行时数</w:t>
            </w:r>
          </w:p>
          <w:p>
            <w:pPr>
              <w:jc w:val="center"/>
              <w:rPr>
                <w:rFonts w:ascii="仿宋" w:hAnsi="仿宋" w:eastAsia="仿宋"/>
                <w:bCs/>
                <w:szCs w:val="21"/>
              </w:rPr>
            </w:pPr>
            <w:r>
              <w:rPr>
                <w:rFonts w:ascii="仿宋" w:hAnsi="仿宋" w:eastAsia="仿宋"/>
                <w:bCs/>
                <w:szCs w:val="21"/>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jc w:val="center"/>
        </w:trPr>
        <w:tc>
          <w:tcPr>
            <w:tcW w:w="1950" w:type="dxa"/>
            <w:vMerge w:val="restart"/>
            <w:tcBorders>
              <w:top w:val="single" w:color="auto" w:sz="4" w:space="0"/>
              <w:left w:val="single" w:color="auto" w:sz="4" w:space="0"/>
              <w:right w:val="single" w:color="auto" w:sz="4" w:space="0"/>
            </w:tcBorders>
            <w:vAlign w:val="center"/>
          </w:tcPr>
          <w:p>
            <w:pPr>
              <w:jc w:val="center"/>
              <w:rPr>
                <w:rFonts w:ascii="仿宋" w:hAnsi="仿宋" w:eastAsia="仿宋"/>
                <w:bCs/>
                <w:szCs w:val="21"/>
              </w:rPr>
            </w:pPr>
            <w:r>
              <w:rPr>
                <w:rFonts w:hint="eastAsia" w:ascii="仿宋" w:hAnsi="仿宋" w:eastAsia="仿宋"/>
                <w:bCs/>
                <w:szCs w:val="21"/>
              </w:rPr>
              <w:t>新能源电子材料</w:t>
            </w:r>
          </w:p>
        </w:tc>
        <w:tc>
          <w:tcPr>
            <w:tcW w:w="3255" w:type="dxa"/>
            <w:tcBorders>
              <w:top w:val="single" w:color="auto" w:sz="4" w:space="0"/>
              <w:left w:val="single" w:color="auto" w:sz="4" w:space="0"/>
              <w:right w:val="single" w:color="auto" w:sz="4" w:space="0"/>
            </w:tcBorders>
            <w:vAlign w:val="center"/>
          </w:tcPr>
          <w:p>
            <w:pPr>
              <w:jc w:val="center"/>
              <w:rPr>
                <w:rFonts w:ascii="仿宋" w:hAnsi="仿宋" w:eastAsia="仿宋"/>
                <w:bCs/>
                <w:szCs w:val="21"/>
              </w:rPr>
            </w:pPr>
            <w:r>
              <w:rPr>
                <w:rFonts w:hint="eastAsia" w:ascii="仿宋" w:hAnsi="仿宋" w:eastAsia="仿宋"/>
                <w:bCs/>
                <w:szCs w:val="21"/>
              </w:rPr>
              <w:t>PET</w:t>
            </w:r>
            <w:r>
              <w:rPr>
                <w:rFonts w:ascii="仿宋" w:hAnsi="仿宋" w:eastAsia="仿宋"/>
                <w:bCs/>
                <w:szCs w:val="21"/>
              </w:rPr>
              <w:t>胶带</w:t>
            </w:r>
          </w:p>
        </w:tc>
        <w:tc>
          <w:tcPr>
            <w:tcW w:w="201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szCs w:val="21"/>
              </w:rPr>
            </w:pPr>
            <w:r>
              <w:rPr>
                <w:rFonts w:ascii="仿宋" w:hAnsi="仿宋" w:eastAsia="仿宋"/>
                <w:bCs/>
                <w:szCs w:val="21"/>
              </w:rPr>
              <w:t>2</w:t>
            </w:r>
            <w:r>
              <w:rPr>
                <w:rFonts w:hint="eastAsia" w:ascii="仿宋" w:hAnsi="仿宋" w:eastAsia="仿宋"/>
                <w:bCs/>
                <w:szCs w:val="21"/>
              </w:rPr>
              <w:t>000</w:t>
            </w:r>
          </w:p>
        </w:tc>
        <w:tc>
          <w:tcPr>
            <w:tcW w:w="1573" w:type="dxa"/>
            <w:vMerge w:val="restart"/>
            <w:tcBorders>
              <w:top w:val="single" w:color="auto" w:sz="4" w:space="0"/>
              <w:left w:val="single" w:color="auto" w:sz="4" w:space="0"/>
              <w:right w:val="single" w:color="auto" w:sz="4" w:space="0"/>
            </w:tcBorders>
            <w:vAlign w:val="center"/>
          </w:tcPr>
          <w:p>
            <w:pPr>
              <w:jc w:val="center"/>
              <w:rPr>
                <w:rFonts w:ascii="仿宋" w:hAnsi="仿宋" w:eastAsia="仿宋"/>
                <w:bCs/>
                <w:szCs w:val="21"/>
              </w:rPr>
            </w:pPr>
            <w:r>
              <w:rPr>
                <w:rFonts w:ascii="仿宋" w:hAnsi="仿宋" w:eastAsia="仿宋"/>
                <w:bCs/>
                <w:szCs w:val="21"/>
              </w:rPr>
              <w:t>300</w:t>
            </w:r>
          </w:p>
        </w:tc>
        <w:tc>
          <w:tcPr>
            <w:tcW w:w="1355" w:type="dxa"/>
            <w:vMerge w:val="restart"/>
            <w:tcBorders>
              <w:top w:val="single" w:color="auto" w:sz="4" w:space="0"/>
              <w:left w:val="single" w:color="auto" w:sz="4" w:space="0"/>
              <w:right w:val="single" w:color="auto" w:sz="4" w:space="0"/>
            </w:tcBorders>
            <w:vAlign w:val="center"/>
          </w:tcPr>
          <w:p>
            <w:pPr>
              <w:jc w:val="center"/>
              <w:rPr>
                <w:rFonts w:ascii="仿宋" w:hAnsi="仿宋" w:eastAsia="仿宋"/>
                <w:bCs/>
                <w:szCs w:val="21"/>
              </w:rPr>
            </w:pPr>
            <w:r>
              <w:rPr>
                <w:rFonts w:hint="eastAsia" w:ascii="仿宋" w:hAnsi="仿宋" w:eastAsia="仿宋"/>
                <w:bCs/>
                <w:szCs w:val="21"/>
              </w:rPr>
              <w:t>7200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jc w:val="center"/>
        </w:trPr>
        <w:tc>
          <w:tcPr>
            <w:tcW w:w="1950" w:type="dxa"/>
            <w:vMerge w:val="continue"/>
            <w:tcBorders>
              <w:left w:val="single" w:color="auto" w:sz="4" w:space="0"/>
              <w:right w:val="single" w:color="auto" w:sz="4" w:space="0"/>
            </w:tcBorders>
            <w:vAlign w:val="center"/>
          </w:tcPr>
          <w:p>
            <w:pPr>
              <w:jc w:val="center"/>
              <w:rPr>
                <w:rFonts w:ascii="仿宋" w:hAnsi="仿宋" w:eastAsia="仿宋"/>
                <w:bCs/>
                <w:szCs w:val="21"/>
              </w:rPr>
            </w:pPr>
          </w:p>
        </w:tc>
        <w:tc>
          <w:tcPr>
            <w:tcW w:w="325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szCs w:val="21"/>
              </w:rPr>
            </w:pPr>
            <w:r>
              <w:rPr>
                <w:rFonts w:hint="eastAsia" w:ascii="仿宋" w:hAnsi="仿宋" w:eastAsia="仿宋"/>
                <w:bCs/>
                <w:szCs w:val="21"/>
              </w:rPr>
              <w:t>PI胶带</w:t>
            </w:r>
          </w:p>
        </w:tc>
        <w:tc>
          <w:tcPr>
            <w:tcW w:w="201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szCs w:val="21"/>
              </w:rPr>
            </w:pPr>
            <w:r>
              <w:rPr>
                <w:rFonts w:hint="eastAsia" w:ascii="仿宋" w:hAnsi="仿宋" w:eastAsia="仿宋"/>
                <w:bCs/>
                <w:szCs w:val="21"/>
              </w:rPr>
              <w:t>1000</w:t>
            </w:r>
          </w:p>
        </w:tc>
        <w:tc>
          <w:tcPr>
            <w:tcW w:w="1573" w:type="dxa"/>
            <w:vMerge w:val="continue"/>
            <w:tcBorders>
              <w:left w:val="single" w:color="auto" w:sz="4" w:space="0"/>
              <w:right w:val="single" w:color="auto" w:sz="4" w:space="0"/>
            </w:tcBorders>
            <w:vAlign w:val="center"/>
          </w:tcPr>
          <w:p>
            <w:pPr>
              <w:jc w:val="center"/>
              <w:rPr>
                <w:rFonts w:ascii="仿宋" w:hAnsi="仿宋" w:eastAsia="仿宋"/>
                <w:bCs/>
                <w:szCs w:val="21"/>
              </w:rPr>
            </w:pPr>
          </w:p>
        </w:tc>
        <w:tc>
          <w:tcPr>
            <w:tcW w:w="1355" w:type="dxa"/>
            <w:vMerge w:val="continue"/>
            <w:tcBorders>
              <w:left w:val="single" w:color="auto" w:sz="4" w:space="0"/>
              <w:right w:val="single" w:color="auto" w:sz="4" w:space="0"/>
            </w:tcBorders>
            <w:vAlign w:val="center"/>
          </w:tcPr>
          <w:p>
            <w:pPr>
              <w:jc w:val="center"/>
              <w:rPr>
                <w:rFonts w:ascii="仿宋" w:hAnsi="仿宋" w:eastAsia="仿宋"/>
                <w:bCs/>
                <w:szCs w:val="21"/>
              </w:rPr>
            </w:pPr>
          </w:p>
        </w:tc>
      </w:tr>
    </w:tbl>
    <w:p>
      <w:pPr>
        <w:adjustRightInd w:val="0"/>
        <w:snapToGrid w:val="0"/>
        <w:spacing w:line="500" w:lineRule="exact"/>
        <w:ind w:firstLine="482" w:firstLineChars="200"/>
        <w:jc w:val="center"/>
        <w:rPr>
          <w:rFonts w:eastAsia="仿宋_GB2312"/>
          <w:b/>
          <w:bCs/>
          <w:sz w:val="24"/>
        </w:rPr>
      </w:pPr>
      <w:r>
        <w:rPr>
          <w:rFonts w:eastAsia="仿宋_GB2312"/>
          <w:b/>
          <w:bCs/>
          <w:sz w:val="24"/>
        </w:rPr>
        <w:t xml:space="preserve">表3.1-8  </w:t>
      </w:r>
      <w:r>
        <w:rPr>
          <w:rFonts w:hint="eastAsia" w:eastAsia="仿宋_GB2312"/>
          <w:b/>
          <w:bCs/>
          <w:sz w:val="24"/>
        </w:rPr>
        <w:t>产品</w:t>
      </w:r>
      <w:r>
        <w:rPr>
          <w:rFonts w:eastAsia="仿宋_GB2312"/>
          <w:b/>
          <w:bCs/>
          <w:sz w:val="24"/>
        </w:rPr>
        <w:t>质量主要指标</w:t>
      </w:r>
    </w:p>
    <w:tbl>
      <w:tblPr>
        <w:tblStyle w:val="88"/>
        <w:tblW w:w="546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1"/>
        <w:gridCol w:w="1789"/>
        <w:gridCol w:w="1789"/>
        <w:gridCol w:w="1139"/>
        <w:gridCol w:w="2114"/>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03" w:type="pct"/>
            <w:vAlign w:val="center"/>
          </w:tcPr>
          <w:p>
            <w:pPr>
              <w:spacing w:line="240" w:lineRule="atLeast"/>
              <w:jc w:val="center"/>
              <w:rPr>
                <w:rFonts w:eastAsia="仿宋_GB2312"/>
                <w:szCs w:val="20"/>
              </w:rPr>
            </w:pPr>
            <w:r>
              <w:rPr>
                <w:rFonts w:hint="eastAsia" w:eastAsia="仿宋_GB2312"/>
                <w:szCs w:val="20"/>
              </w:rPr>
              <w:t>指标项目</w:t>
            </w:r>
          </w:p>
        </w:tc>
        <w:tc>
          <w:tcPr>
            <w:tcW w:w="886" w:type="pct"/>
            <w:vAlign w:val="center"/>
          </w:tcPr>
          <w:p>
            <w:pPr>
              <w:spacing w:line="240" w:lineRule="atLeast"/>
              <w:jc w:val="center"/>
              <w:rPr>
                <w:rFonts w:eastAsia="仿宋_GB2312"/>
                <w:szCs w:val="20"/>
              </w:rPr>
            </w:pPr>
            <w:r>
              <w:rPr>
                <w:rFonts w:hint="eastAsia" w:eastAsia="仿宋_GB2312"/>
                <w:szCs w:val="20"/>
              </w:rPr>
              <w:t>水汽阻隔性：</w:t>
            </w:r>
          </w:p>
          <w:p>
            <w:pPr>
              <w:spacing w:line="240" w:lineRule="atLeast"/>
              <w:jc w:val="center"/>
              <w:rPr>
                <w:rFonts w:eastAsia="仿宋_GB2312"/>
                <w:szCs w:val="20"/>
              </w:rPr>
            </w:pPr>
            <w:r>
              <w:rPr>
                <w:rFonts w:hint="eastAsia" w:eastAsia="仿宋_GB2312"/>
                <w:szCs w:val="20"/>
              </w:rPr>
              <w:t>水气透过（g</w:t>
            </w:r>
            <w:r>
              <w:rPr>
                <w:rFonts w:eastAsia="仿宋_GB2312"/>
                <w:szCs w:val="20"/>
              </w:rPr>
              <w:t>/</w:t>
            </w:r>
            <w:r>
              <w:rPr>
                <w:rFonts w:hint="eastAsia" w:eastAsia="仿宋_GB2312"/>
                <w:szCs w:val="20"/>
              </w:rPr>
              <w:t>m</w:t>
            </w:r>
            <w:r>
              <w:rPr>
                <w:rFonts w:eastAsia="仿宋_GB2312"/>
                <w:szCs w:val="20"/>
                <w:vertAlign w:val="superscript"/>
              </w:rPr>
              <w:t>2</w:t>
            </w:r>
            <w:r>
              <w:rPr>
                <w:rFonts w:hint="eastAsia" w:eastAsia="仿宋_GB2312"/>
                <w:szCs w:val="20"/>
              </w:rPr>
              <w:t>*day）</w:t>
            </w:r>
          </w:p>
        </w:tc>
        <w:tc>
          <w:tcPr>
            <w:tcW w:w="886" w:type="pct"/>
            <w:vAlign w:val="center"/>
          </w:tcPr>
          <w:p>
            <w:pPr>
              <w:spacing w:line="240" w:lineRule="atLeast"/>
              <w:jc w:val="center"/>
              <w:rPr>
                <w:rFonts w:eastAsia="仿宋_GB2312"/>
                <w:szCs w:val="20"/>
              </w:rPr>
            </w:pPr>
            <w:r>
              <w:rPr>
                <w:rFonts w:hint="eastAsia" w:eastAsia="仿宋_GB2312"/>
                <w:szCs w:val="20"/>
              </w:rPr>
              <w:t>冷冲压成型：</w:t>
            </w:r>
          </w:p>
          <w:p>
            <w:pPr>
              <w:spacing w:line="240" w:lineRule="atLeast"/>
              <w:jc w:val="center"/>
              <w:rPr>
                <w:rFonts w:eastAsia="仿宋_GB2312"/>
                <w:szCs w:val="20"/>
              </w:rPr>
            </w:pPr>
            <w:r>
              <w:rPr>
                <w:rFonts w:hint="eastAsia" w:eastAsia="仿宋_GB2312"/>
                <w:szCs w:val="20"/>
              </w:rPr>
              <w:t>成型深度（mm）</w:t>
            </w:r>
          </w:p>
        </w:tc>
        <w:tc>
          <w:tcPr>
            <w:tcW w:w="564" w:type="pct"/>
            <w:vAlign w:val="center"/>
          </w:tcPr>
          <w:p>
            <w:pPr>
              <w:spacing w:line="240" w:lineRule="atLeast"/>
              <w:jc w:val="center"/>
              <w:rPr>
                <w:rFonts w:eastAsia="仿宋_GB2312"/>
                <w:szCs w:val="20"/>
              </w:rPr>
            </w:pPr>
            <w:r>
              <w:rPr>
                <w:rFonts w:hint="eastAsia" w:eastAsia="仿宋_GB2312"/>
                <w:szCs w:val="20"/>
              </w:rPr>
              <w:t>耐穿刺性</w:t>
            </w:r>
          </w:p>
          <w:p>
            <w:pPr>
              <w:spacing w:line="240" w:lineRule="atLeast"/>
              <w:jc w:val="center"/>
              <w:rPr>
                <w:rFonts w:eastAsia="仿宋_GB2312"/>
                <w:szCs w:val="20"/>
              </w:rPr>
            </w:pPr>
            <w:r>
              <w:rPr>
                <w:rFonts w:hint="eastAsia" w:eastAsia="仿宋_GB2312"/>
                <w:szCs w:val="20"/>
              </w:rPr>
              <w:t>（N）</w:t>
            </w:r>
          </w:p>
        </w:tc>
        <w:tc>
          <w:tcPr>
            <w:tcW w:w="1047" w:type="pct"/>
            <w:vAlign w:val="center"/>
          </w:tcPr>
          <w:p>
            <w:pPr>
              <w:spacing w:line="240" w:lineRule="atLeast"/>
              <w:jc w:val="center"/>
              <w:rPr>
                <w:rFonts w:eastAsia="仿宋_GB2312"/>
                <w:szCs w:val="20"/>
              </w:rPr>
            </w:pPr>
            <w:r>
              <w:rPr>
                <w:rFonts w:hint="eastAsia" w:eastAsia="仿宋_GB2312"/>
                <w:szCs w:val="20"/>
              </w:rPr>
              <w:t>耐电解液性能：</w:t>
            </w:r>
          </w:p>
          <w:p>
            <w:pPr>
              <w:spacing w:line="240" w:lineRule="atLeast"/>
              <w:jc w:val="center"/>
              <w:rPr>
                <w:rFonts w:eastAsia="仿宋_GB2312"/>
                <w:szCs w:val="20"/>
              </w:rPr>
            </w:pPr>
            <w:r>
              <w:rPr>
                <w:rFonts w:hint="eastAsia" w:eastAsia="仿宋_GB2312"/>
                <w:szCs w:val="20"/>
              </w:rPr>
              <w:t>剥离力（N/</w:t>
            </w:r>
            <w:r>
              <w:rPr>
                <w:rFonts w:eastAsia="仿宋_GB2312"/>
                <w:szCs w:val="20"/>
              </w:rPr>
              <w:t>15</w:t>
            </w:r>
            <w:r>
              <w:rPr>
                <w:rFonts w:hint="eastAsia" w:eastAsia="仿宋_GB2312"/>
                <w:szCs w:val="20"/>
              </w:rPr>
              <w:t>mm）</w:t>
            </w:r>
          </w:p>
        </w:tc>
        <w:tc>
          <w:tcPr>
            <w:tcW w:w="814" w:type="pct"/>
            <w:vAlign w:val="center"/>
          </w:tcPr>
          <w:p>
            <w:pPr>
              <w:spacing w:line="240" w:lineRule="atLeast"/>
              <w:jc w:val="center"/>
              <w:rPr>
                <w:rFonts w:eastAsia="仿宋_GB2312"/>
                <w:szCs w:val="20"/>
              </w:rPr>
            </w:pPr>
            <w:r>
              <w:rPr>
                <w:rFonts w:hint="eastAsia" w:eastAsia="仿宋_GB2312"/>
                <w:szCs w:val="20"/>
              </w:rPr>
              <w:t>绝缘性：</w:t>
            </w:r>
          </w:p>
          <w:p>
            <w:pPr>
              <w:spacing w:line="240" w:lineRule="atLeast"/>
              <w:jc w:val="center"/>
              <w:rPr>
                <w:rFonts w:eastAsia="仿宋_GB2312"/>
                <w:szCs w:val="20"/>
              </w:rPr>
            </w:pPr>
            <w:r>
              <w:rPr>
                <w:rFonts w:hint="eastAsia" w:eastAsia="仿宋_GB2312"/>
                <w:szCs w:val="20"/>
              </w:rPr>
              <w:t>绝缘电阻（GΩ）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803" w:type="pct"/>
            <w:vAlign w:val="center"/>
          </w:tcPr>
          <w:p>
            <w:pPr>
              <w:spacing w:line="240" w:lineRule="atLeast"/>
              <w:jc w:val="center"/>
              <w:rPr>
                <w:rFonts w:eastAsia="仿宋_GB2312"/>
                <w:szCs w:val="20"/>
              </w:rPr>
            </w:pPr>
            <w:r>
              <w:rPr>
                <w:rFonts w:hint="eastAsia" w:eastAsia="仿宋_GB2312"/>
                <w:szCs w:val="20"/>
              </w:rPr>
              <w:t>数据</w:t>
            </w:r>
          </w:p>
        </w:tc>
        <w:tc>
          <w:tcPr>
            <w:tcW w:w="886" w:type="pct"/>
            <w:vAlign w:val="center"/>
          </w:tcPr>
          <w:p>
            <w:pPr>
              <w:spacing w:line="240" w:lineRule="exact"/>
              <w:jc w:val="center"/>
              <w:rPr>
                <w:rFonts w:eastAsia="仿宋_GB2312" w:cs="仿宋"/>
                <w:bCs/>
                <w:szCs w:val="21"/>
              </w:rPr>
            </w:pPr>
            <w:r>
              <w:rPr>
                <w:rFonts w:eastAsia="仿宋_GB2312" w:cs="仿宋"/>
                <w:bCs/>
                <w:szCs w:val="21"/>
              </w:rPr>
              <w:t>0</w:t>
            </w:r>
          </w:p>
        </w:tc>
        <w:tc>
          <w:tcPr>
            <w:tcW w:w="886" w:type="pct"/>
            <w:vAlign w:val="center"/>
          </w:tcPr>
          <w:p>
            <w:pPr>
              <w:spacing w:line="240" w:lineRule="exact"/>
              <w:jc w:val="center"/>
              <w:rPr>
                <w:rFonts w:eastAsia="仿宋_GB2312" w:cs="仿宋"/>
                <w:bCs/>
                <w:szCs w:val="21"/>
              </w:rPr>
            </w:pPr>
            <w:r>
              <w:rPr>
                <w:rFonts w:hint="eastAsia" w:eastAsia="仿宋_GB2312" w:cs="仿宋"/>
                <w:bCs/>
                <w:szCs w:val="21"/>
              </w:rPr>
              <w:t>7</w:t>
            </w:r>
            <w:r>
              <w:rPr>
                <w:rFonts w:eastAsia="仿宋_GB2312" w:cs="仿宋"/>
                <w:bCs/>
                <w:szCs w:val="21"/>
              </w:rPr>
              <w:t>.5</w:t>
            </w:r>
          </w:p>
        </w:tc>
        <w:tc>
          <w:tcPr>
            <w:tcW w:w="564" w:type="pct"/>
            <w:vAlign w:val="center"/>
          </w:tcPr>
          <w:p>
            <w:pPr>
              <w:spacing w:line="240" w:lineRule="exact"/>
              <w:jc w:val="center"/>
              <w:rPr>
                <w:rFonts w:eastAsia="仿宋_GB2312" w:cs="仿宋"/>
                <w:bCs/>
                <w:szCs w:val="21"/>
              </w:rPr>
            </w:pPr>
            <w:r>
              <w:rPr>
                <w:rFonts w:eastAsia="仿宋_GB2312" w:cs="仿宋"/>
                <w:bCs/>
                <w:szCs w:val="21"/>
              </w:rPr>
              <w:t>22</w:t>
            </w:r>
          </w:p>
        </w:tc>
        <w:tc>
          <w:tcPr>
            <w:tcW w:w="1047" w:type="pct"/>
            <w:vAlign w:val="center"/>
          </w:tcPr>
          <w:p>
            <w:pPr>
              <w:spacing w:line="240" w:lineRule="exact"/>
              <w:jc w:val="center"/>
              <w:rPr>
                <w:rFonts w:eastAsia="仿宋_GB2312" w:cs="仿宋"/>
                <w:bCs/>
                <w:szCs w:val="21"/>
              </w:rPr>
            </w:pPr>
            <w:r>
              <w:rPr>
                <w:rFonts w:eastAsia="仿宋_GB2312" w:cs="仿宋"/>
                <w:bCs/>
                <w:szCs w:val="21"/>
              </w:rPr>
              <w:t>8.0</w:t>
            </w:r>
          </w:p>
        </w:tc>
        <w:tc>
          <w:tcPr>
            <w:tcW w:w="814" w:type="pct"/>
            <w:vAlign w:val="center"/>
          </w:tcPr>
          <w:p>
            <w:pPr>
              <w:spacing w:line="240" w:lineRule="exact"/>
              <w:jc w:val="center"/>
              <w:rPr>
                <w:rFonts w:eastAsia="仿宋_GB2312" w:cs="仿宋"/>
                <w:bCs/>
                <w:szCs w:val="21"/>
              </w:rPr>
            </w:pPr>
            <w:r>
              <w:rPr>
                <w:rFonts w:hint="eastAsia" w:eastAsia="仿宋_GB2312" w:cs="仿宋"/>
                <w:bCs/>
                <w:szCs w:val="21"/>
              </w:rPr>
              <w:t>2</w:t>
            </w:r>
            <w:r>
              <w:rPr>
                <w:rFonts w:eastAsia="仿宋_GB2312" w:cs="仿宋"/>
                <w:bCs/>
                <w:szCs w:val="21"/>
              </w:rPr>
              <w:t>.5</w:t>
            </w:r>
          </w:p>
        </w:tc>
      </w:tr>
    </w:tbl>
    <w:p>
      <w:pPr>
        <w:adjustRightInd w:val="0"/>
        <w:snapToGrid w:val="0"/>
        <w:spacing w:line="500" w:lineRule="exact"/>
        <w:ind w:firstLine="482" w:firstLineChars="200"/>
        <w:jc w:val="center"/>
        <w:rPr>
          <w:rFonts w:eastAsia="仿宋_GB2312"/>
          <w:b/>
          <w:bCs/>
          <w:sz w:val="24"/>
        </w:rPr>
      </w:pPr>
      <w:r>
        <w:rPr>
          <w:rFonts w:eastAsia="仿宋_GB2312"/>
          <w:b/>
          <w:bCs/>
          <w:sz w:val="24"/>
        </w:rPr>
        <w:t xml:space="preserve">表3.1-9  </w:t>
      </w:r>
      <w:r>
        <w:rPr>
          <w:rFonts w:hint="eastAsia" w:eastAsia="仿宋_GB2312"/>
          <w:b/>
          <w:bCs/>
          <w:sz w:val="24"/>
        </w:rPr>
        <w:t>本项目主体</w:t>
      </w:r>
      <w:r>
        <w:rPr>
          <w:rFonts w:eastAsia="仿宋_GB2312"/>
          <w:b/>
          <w:bCs/>
          <w:sz w:val="24"/>
        </w:rPr>
        <w:t>工程</w:t>
      </w:r>
    </w:p>
    <w:tbl>
      <w:tblPr>
        <w:tblStyle w:val="87"/>
        <w:tblW w:w="557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30" w:type="dxa"/>
          <w:bottom w:w="0" w:type="dxa"/>
          <w:right w:w="30" w:type="dxa"/>
        </w:tblCellMar>
      </w:tblPr>
      <w:tblGrid>
        <w:gridCol w:w="594"/>
        <w:gridCol w:w="1632"/>
        <w:gridCol w:w="2157"/>
        <w:gridCol w:w="1701"/>
        <w:gridCol w:w="40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472" w:hRule="atLeast"/>
          <w:jc w:val="center"/>
        </w:trPr>
        <w:tc>
          <w:tcPr>
            <w:tcW w:w="593" w:type="dxa"/>
            <w:shd w:val="solid" w:color="FFFFFF" w:fill="FFFFFF"/>
            <w:vAlign w:val="center"/>
          </w:tcPr>
          <w:p>
            <w:pPr>
              <w:jc w:val="center"/>
              <w:rPr>
                <w:rFonts w:ascii="仿宋" w:hAnsi="仿宋" w:eastAsia="仿宋"/>
                <w:bCs/>
                <w:szCs w:val="21"/>
              </w:rPr>
            </w:pPr>
            <w:r>
              <w:rPr>
                <w:rFonts w:hint="eastAsia" w:ascii="仿宋" w:hAnsi="仿宋" w:eastAsia="仿宋"/>
                <w:bCs/>
                <w:szCs w:val="21"/>
              </w:rPr>
              <w:t>工程</w:t>
            </w:r>
          </w:p>
          <w:p>
            <w:pPr>
              <w:jc w:val="center"/>
              <w:rPr>
                <w:rFonts w:ascii="仿宋" w:hAnsi="仿宋" w:eastAsia="仿宋"/>
                <w:bCs/>
                <w:szCs w:val="21"/>
              </w:rPr>
            </w:pPr>
            <w:r>
              <w:rPr>
                <w:rFonts w:hint="eastAsia" w:ascii="仿宋" w:hAnsi="仿宋" w:eastAsia="仿宋"/>
                <w:bCs/>
                <w:szCs w:val="21"/>
              </w:rPr>
              <w:t>类别</w:t>
            </w:r>
          </w:p>
        </w:tc>
        <w:tc>
          <w:tcPr>
            <w:tcW w:w="1631" w:type="dxa"/>
            <w:vAlign w:val="center"/>
          </w:tcPr>
          <w:p>
            <w:pPr>
              <w:jc w:val="center"/>
              <w:rPr>
                <w:rFonts w:ascii="仿宋" w:hAnsi="仿宋" w:eastAsia="仿宋"/>
                <w:bCs/>
                <w:szCs w:val="21"/>
              </w:rPr>
            </w:pPr>
            <w:r>
              <w:rPr>
                <w:rFonts w:hint="eastAsia" w:ascii="仿宋" w:hAnsi="仿宋" w:eastAsia="仿宋"/>
                <w:bCs/>
                <w:szCs w:val="21"/>
              </w:rPr>
              <w:t>建设名称</w:t>
            </w:r>
          </w:p>
        </w:tc>
        <w:tc>
          <w:tcPr>
            <w:tcW w:w="2157" w:type="dxa"/>
            <w:vAlign w:val="center"/>
          </w:tcPr>
          <w:p>
            <w:pPr>
              <w:jc w:val="center"/>
              <w:rPr>
                <w:rFonts w:ascii="仿宋" w:hAnsi="仿宋" w:eastAsia="仿宋"/>
                <w:bCs/>
                <w:szCs w:val="21"/>
              </w:rPr>
            </w:pPr>
            <w:r>
              <w:rPr>
                <w:rFonts w:hint="eastAsia" w:ascii="仿宋" w:hAnsi="仿宋" w:eastAsia="仿宋"/>
                <w:bCs/>
                <w:szCs w:val="21"/>
              </w:rPr>
              <w:t>建筑面积（</w:t>
            </w:r>
            <w:r>
              <w:rPr>
                <w:rFonts w:ascii="仿宋" w:hAnsi="仿宋" w:eastAsia="仿宋"/>
                <w:bCs/>
                <w:szCs w:val="21"/>
              </w:rPr>
              <w:t>m</w:t>
            </w:r>
            <w:r>
              <w:rPr>
                <w:rFonts w:ascii="仿宋" w:hAnsi="仿宋" w:eastAsia="仿宋"/>
                <w:bCs/>
                <w:szCs w:val="21"/>
                <w:vertAlign w:val="superscript"/>
              </w:rPr>
              <w:t>2</w:t>
            </w:r>
            <w:r>
              <w:rPr>
                <w:rFonts w:hint="eastAsia" w:ascii="仿宋" w:hAnsi="仿宋" w:eastAsia="仿宋"/>
                <w:bCs/>
                <w:szCs w:val="21"/>
              </w:rPr>
              <w:t>）</w:t>
            </w:r>
          </w:p>
        </w:tc>
        <w:tc>
          <w:tcPr>
            <w:tcW w:w="1701" w:type="dxa"/>
            <w:tcBorders>
              <w:right w:val="single" w:color="auto" w:sz="4" w:space="0"/>
            </w:tcBorders>
            <w:vAlign w:val="center"/>
          </w:tcPr>
          <w:p>
            <w:pPr>
              <w:jc w:val="center"/>
              <w:rPr>
                <w:rFonts w:ascii="仿宋" w:hAnsi="仿宋" w:eastAsia="仿宋"/>
                <w:bCs/>
                <w:szCs w:val="21"/>
              </w:rPr>
            </w:pPr>
            <w:r>
              <w:rPr>
                <w:rFonts w:hint="eastAsia" w:ascii="仿宋" w:hAnsi="仿宋" w:eastAsia="仿宋"/>
                <w:bCs/>
                <w:szCs w:val="21"/>
              </w:rPr>
              <w:t>设计能力</w:t>
            </w:r>
          </w:p>
        </w:tc>
        <w:tc>
          <w:tcPr>
            <w:tcW w:w="4049" w:type="dxa"/>
            <w:tcBorders>
              <w:left w:val="single" w:color="auto" w:sz="4" w:space="0"/>
            </w:tcBorders>
            <w:vAlign w:val="center"/>
          </w:tcPr>
          <w:p>
            <w:pPr>
              <w:jc w:val="center"/>
              <w:rPr>
                <w:rFonts w:ascii="仿宋" w:hAnsi="仿宋" w:eastAsia="仿宋"/>
                <w:bCs/>
                <w:szCs w:val="21"/>
              </w:rPr>
            </w:pPr>
            <w:r>
              <w:rPr>
                <w:rFonts w:hint="eastAsia" w:ascii="仿宋" w:hAnsi="仿宋" w:eastAsia="仿宋"/>
                <w:bCs/>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200" w:hRule="atLeast"/>
          <w:jc w:val="center"/>
        </w:trPr>
        <w:tc>
          <w:tcPr>
            <w:tcW w:w="593" w:type="dxa"/>
            <w:vMerge w:val="restart"/>
            <w:shd w:val="solid" w:color="FFFFFF" w:fill="FFFFFF"/>
            <w:vAlign w:val="center"/>
          </w:tcPr>
          <w:p>
            <w:pPr>
              <w:jc w:val="center"/>
              <w:rPr>
                <w:rFonts w:ascii="仿宋" w:hAnsi="仿宋" w:eastAsia="仿宋"/>
                <w:bCs/>
                <w:szCs w:val="21"/>
              </w:rPr>
            </w:pPr>
            <w:r>
              <w:rPr>
                <w:rFonts w:hint="eastAsia" w:ascii="仿宋" w:hAnsi="仿宋" w:eastAsia="仿宋"/>
                <w:bCs/>
                <w:szCs w:val="21"/>
              </w:rPr>
              <w:t>主体</w:t>
            </w:r>
            <w:r>
              <w:rPr>
                <w:rFonts w:ascii="仿宋" w:hAnsi="仿宋" w:eastAsia="仿宋"/>
                <w:bCs/>
                <w:szCs w:val="21"/>
              </w:rPr>
              <w:t>工程</w:t>
            </w:r>
          </w:p>
        </w:tc>
        <w:tc>
          <w:tcPr>
            <w:tcW w:w="1631" w:type="dxa"/>
            <w:vMerge w:val="restart"/>
            <w:vAlign w:val="center"/>
          </w:tcPr>
          <w:p>
            <w:pPr>
              <w:jc w:val="center"/>
              <w:rPr>
                <w:rFonts w:ascii="仿宋" w:hAnsi="仿宋" w:eastAsia="仿宋"/>
                <w:bCs/>
                <w:szCs w:val="21"/>
              </w:rPr>
            </w:pPr>
            <w:r>
              <w:rPr>
                <w:rFonts w:hint="eastAsia" w:ascii="仿宋" w:hAnsi="仿宋" w:eastAsia="仿宋"/>
                <w:bCs/>
                <w:szCs w:val="21"/>
              </w:rPr>
              <w:t>生产</w:t>
            </w:r>
            <w:r>
              <w:rPr>
                <w:rFonts w:ascii="仿宋" w:hAnsi="仿宋" w:eastAsia="仿宋"/>
                <w:bCs/>
                <w:szCs w:val="21"/>
              </w:rPr>
              <w:t>厂房</w:t>
            </w:r>
          </w:p>
        </w:tc>
        <w:tc>
          <w:tcPr>
            <w:tcW w:w="2157" w:type="dxa"/>
            <w:vMerge w:val="restart"/>
            <w:vAlign w:val="center"/>
          </w:tcPr>
          <w:p>
            <w:pPr>
              <w:jc w:val="center"/>
              <w:rPr>
                <w:rFonts w:ascii="仿宋" w:hAnsi="仿宋" w:eastAsia="仿宋"/>
                <w:bCs/>
                <w:szCs w:val="21"/>
              </w:rPr>
            </w:pPr>
            <w:r>
              <w:rPr>
                <w:rFonts w:hint="eastAsia" w:ascii="仿宋" w:hAnsi="仿宋" w:eastAsia="仿宋"/>
                <w:bCs/>
                <w:szCs w:val="21"/>
              </w:rPr>
              <w:t>2336</w:t>
            </w:r>
          </w:p>
        </w:tc>
        <w:tc>
          <w:tcPr>
            <w:tcW w:w="1701" w:type="dxa"/>
            <w:vMerge w:val="restart"/>
            <w:tcBorders>
              <w:right w:val="single" w:color="auto" w:sz="4" w:space="0"/>
            </w:tcBorders>
            <w:vAlign w:val="center"/>
          </w:tcPr>
          <w:p>
            <w:pPr>
              <w:jc w:val="center"/>
              <w:rPr>
                <w:rFonts w:ascii="仿宋" w:hAnsi="仿宋" w:eastAsia="仿宋"/>
                <w:bCs/>
                <w:szCs w:val="21"/>
              </w:rPr>
            </w:pPr>
            <w:r>
              <w:rPr>
                <w:rFonts w:hint="eastAsia" w:ascii="仿宋" w:hAnsi="仿宋" w:eastAsia="仿宋"/>
                <w:bCs/>
                <w:szCs w:val="21"/>
              </w:rPr>
              <w:t>3条胶带</w:t>
            </w:r>
            <w:r>
              <w:rPr>
                <w:rFonts w:ascii="仿宋" w:hAnsi="仿宋" w:eastAsia="仿宋"/>
                <w:bCs/>
                <w:szCs w:val="21"/>
              </w:rPr>
              <w:t>生产线</w:t>
            </w:r>
          </w:p>
        </w:tc>
        <w:tc>
          <w:tcPr>
            <w:tcW w:w="4049" w:type="dxa"/>
            <w:tcBorders>
              <w:left w:val="single" w:color="auto" w:sz="4" w:space="0"/>
            </w:tcBorders>
            <w:vAlign w:val="center"/>
          </w:tcPr>
          <w:p>
            <w:pPr>
              <w:jc w:val="center"/>
              <w:rPr>
                <w:rFonts w:ascii="仿宋" w:hAnsi="仿宋" w:eastAsia="仿宋"/>
                <w:bCs/>
                <w:szCs w:val="21"/>
              </w:rPr>
            </w:pPr>
            <w:r>
              <w:rPr>
                <w:rFonts w:hint="eastAsia" w:ascii="仿宋" w:hAnsi="仿宋" w:eastAsia="仿宋"/>
                <w:bCs/>
                <w:szCs w:val="21"/>
              </w:rPr>
              <w:t>配胶</w:t>
            </w:r>
            <w:r>
              <w:rPr>
                <w:rFonts w:ascii="仿宋" w:hAnsi="仿宋" w:eastAsia="仿宋"/>
                <w:bCs/>
                <w:szCs w:val="21"/>
              </w:rPr>
              <w:t>间</w:t>
            </w:r>
            <w:r>
              <w:rPr>
                <w:rFonts w:hint="eastAsia" w:ascii="仿宋" w:hAnsi="仿宋" w:eastAsia="仿宋"/>
                <w:bCs/>
                <w:szCs w:val="21"/>
              </w:rPr>
              <w:t>位于车间东侧占地108</w:t>
            </w:r>
            <w:r>
              <w:rPr>
                <w:rFonts w:ascii="仿宋" w:hAnsi="仿宋" w:eastAsia="仿宋"/>
                <w:bCs/>
                <w:szCs w:val="21"/>
              </w:rPr>
              <w:t>m</w:t>
            </w:r>
            <w:r>
              <w:rPr>
                <w:rFonts w:ascii="仿宋" w:hAnsi="仿宋" w:eastAsia="仿宋"/>
                <w:bCs/>
                <w:szCs w:val="21"/>
                <w:vertAlign w:val="superscript"/>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198" w:hRule="atLeast"/>
          <w:jc w:val="center"/>
        </w:trPr>
        <w:tc>
          <w:tcPr>
            <w:tcW w:w="593" w:type="dxa"/>
            <w:vMerge w:val="continue"/>
            <w:shd w:val="solid" w:color="FFFFFF" w:fill="FFFFFF"/>
            <w:vAlign w:val="center"/>
          </w:tcPr>
          <w:p>
            <w:pPr>
              <w:jc w:val="center"/>
              <w:rPr>
                <w:rFonts w:ascii="仿宋" w:hAnsi="仿宋" w:eastAsia="仿宋"/>
                <w:bCs/>
                <w:szCs w:val="21"/>
              </w:rPr>
            </w:pPr>
          </w:p>
        </w:tc>
        <w:tc>
          <w:tcPr>
            <w:tcW w:w="1631" w:type="dxa"/>
            <w:vMerge w:val="continue"/>
            <w:vAlign w:val="center"/>
          </w:tcPr>
          <w:p>
            <w:pPr>
              <w:jc w:val="center"/>
              <w:rPr>
                <w:rFonts w:ascii="仿宋" w:hAnsi="仿宋" w:eastAsia="仿宋"/>
                <w:bCs/>
                <w:szCs w:val="21"/>
              </w:rPr>
            </w:pPr>
          </w:p>
        </w:tc>
        <w:tc>
          <w:tcPr>
            <w:tcW w:w="2157" w:type="dxa"/>
            <w:vMerge w:val="continue"/>
            <w:vAlign w:val="center"/>
          </w:tcPr>
          <w:p>
            <w:pPr>
              <w:jc w:val="center"/>
              <w:rPr>
                <w:rFonts w:ascii="仿宋" w:hAnsi="仿宋" w:eastAsia="仿宋"/>
                <w:bCs/>
                <w:szCs w:val="21"/>
              </w:rPr>
            </w:pPr>
          </w:p>
        </w:tc>
        <w:tc>
          <w:tcPr>
            <w:tcW w:w="1701" w:type="dxa"/>
            <w:vMerge w:val="continue"/>
            <w:tcBorders>
              <w:right w:val="single" w:color="auto" w:sz="4" w:space="0"/>
            </w:tcBorders>
            <w:vAlign w:val="center"/>
          </w:tcPr>
          <w:p>
            <w:pPr>
              <w:jc w:val="center"/>
              <w:rPr>
                <w:rFonts w:ascii="仿宋" w:hAnsi="仿宋" w:eastAsia="仿宋"/>
                <w:bCs/>
                <w:szCs w:val="21"/>
              </w:rPr>
            </w:pPr>
          </w:p>
        </w:tc>
        <w:tc>
          <w:tcPr>
            <w:tcW w:w="4049" w:type="dxa"/>
            <w:tcBorders>
              <w:left w:val="single" w:color="auto" w:sz="4" w:space="0"/>
            </w:tcBorders>
            <w:vAlign w:val="center"/>
          </w:tcPr>
          <w:p>
            <w:pPr>
              <w:jc w:val="center"/>
              <w:rPr>
                <w:rFonts w:ascii="仿宋" w:hAnsi="仿宋" w:eastAsia="仿宋"/>
                <w:bCs/>
                <w:szCs w:val="21"/>
              </w:rPr>
            </w:pPr>
            <w:r>
              <w:rPr>
                <w:rFonts w:hint="eastAsia" w:ascii="仿宋" w:hAnsi="仿宋" w:eastAsia="仿宋"/>
                <w:bCs/>
                <w:szCs w:val="21"/>
              </w:rPr>
              <w:t>涂布</w:t>
            </w:r>
            <w:r>
              <w:rPr>
                <w:rFonts w:ascii="仿宋" w:hAnsi="仿宋" w:eastAsia="仿宋"/>
                <w:bCs/>
                <w:szCs w:val="21"/>
              </w:rPr>
              <w:t>干燥区域</w:t>
            </w:r>
            <w:r>
              <w:rPr>
                <w:rFonts w:hint="eastAsia" w:ascii="仿宋" w:hAnsi="仿宋" w:eastAsia="仿宋"/>
                <w:bCs/>
                <w:szCs w:val="21"/>
              </w:rPr>
              <w:t>位于车间中部占地1043</w:t>
            </w:r>
            <w:r>
              <w:rPr>
                <w:rFonts w:ascii="仿宋" w:hAnsi="仿宋" w:eastAsia="仿宋"/>
                <w:bCs/>
                <w:szCs w:val="21"/>
              </w:rPr>
              <w:t>m</w:t>
            </w:r>
            <w:r>
              <w:rPr>
                <w:rFonts w:ascii="仿宋" w:hAnsi="仿宋" w:eastAsia="仿宋"/>
                <w:bCs/>
                <w:szCs w:val="21"/>
                <w:vertAlign w:val="superscript"/>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198" w:hRule="atLeast"/>
          <w:jc w:val="center"/>
        </w:trPr>
        <w:tc>
          <w:tcPr>
            <w:tcW w:w="593" w:type="dxa"/>
            <w:vMerge w:val="continue"/>
            <w:shd w:val="solid" w:color="FFFFFF" w:fill="FFFFFF"/>
            <w:vAlign w:val="center"/>
          </w:tcPr>
          <w:p>
            <w:pPr>
              <w:jc w:val="center"/>
              <w:rPr>
                <w:rFonts w:ascii="仿宋" w:hAnsi="仿宋" w:eastAsia="仿宋"/>
                <w:bCs/>
                <w:szCs w:val="21"/>
              </w:rPr>
            </w:pPr>
          </w:p>
        </w:tc>
        <w:tc>
          <w:tcPr>
            <w:tcW w:w="1631" w:type="dxa"/>
            <w:vMerge w:val="continue"/>
            <w:vAlign w:val="center"/>
          </w:tcPr>
          <w:p>
            <w:pPr>
              <w:jc w:val="center"/>
              <w:rPr>
                <w:rFonts w:ascii="仿宋" w:hAnsi="仿宋" w:eastAsia="仿宋"/>
                <w:bCs/>
                <w:szCs w:val="21"/>
              </w:rPr>
            </w:pPr>
          </w:p>
        </w:tc>
        <w:tc>
          <w:tcPr>
            <w:tcW w:w="2157" w:type="dxa"/>
            <w:vMerge w:val="continue"/>
            <w:vAlign w:val="center"/>
          </w:tcPr>
          <w:p>
            <w:pPr>
              <w:jc w:val="center"/>
              <w:rPr>
                <w:rFonts w:ascii="仿宋" w:hAnsi="仿宋" w:eastAsia="仿宋"/>
                <w:bCs/>
                <w:szCs w:val="21"/>
              </w:rPr>
            </w:pPr>
          </w:p>
        </w:tc>
        <w:tc>
          <w:tcPr>
            <w:tcW w:w="1701" w:type="dxa"/>
            <w:vMerge w:val="continue"/>
            <w:tcBorders>
              <w:right w:val="single" w:color="auto" w:sz="4" w:space="0"/>
            </w:tcBorders>
            <w:vAlign w:val="center"/>
          </w:tcPr>
          <w:p>
            <w:pPr>
              <w:jc w:val="center"/>
              <w:rPr>
                <w:rFonts w:ascii="仿宋" w:hAnsi="仿宋" w:eastAsia="仿宋"/>
                <w:bCs/>
                <w:szCs w:val="21"/>
              </w:rPr>
            </w:pPr>
          </w:p>
        </w:tc>
        <w:tc>
          <w:tcPr>
            <w:tcW w:w="4049" w:type="dxa"/>
            <w:tcBorders>
              <w:left w:val="single" w:color="auto" w:sz="4" w:space="0"/>
            </w:tcBorders>
            <w:vAlign w:val="center"/>
          </w:tcPr>
          <w:p>
            <w:pPr>
              <w:jc w:val="center"/>
              <w:rPr>
                <w:rFonts w:ascii="仿宋" w:hAnsi="仿宋" w:eastAsia="仿宋"/>
                <w:bCs/>
                <w:szCs w:val="21"/>
              </w:rPr>
            </w:pPr>
            <w:r>
              <w:rPr>
                <w:rFonts w:hint="eastAsia" w:ascii="仿宋" w:hAnsi="仿宋" w:eastAsia="仿宋"/>
                <w:bCs/>
                <w:szCs w:val="21"/>
              </w:rPr>
              <w:t>暂存区位于车间西侧占地68</w:t>
            </w:r>
            <w:r>
              <w:rPr>
                <w:rFonts w:ascii="仿宋" w:hAnsi="仿宋" w:eastAsia="仿宋"/>
                <w:bCs/>
                <w:szCs w:val="21"/>
              </w:rPr>
              <w:t>m</w:t>
            </w:r>
            <w:r>
              <w:rPr>
                <w:rFonts w:ascii="仿宋" w:hAnsi="仿宋" w:eastAsia="仿宋"/>
                <w:bCs/>
                <w:szCs w:val="21"/>
                <w:vertAlign w:val="superscript"/>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198" w:hRule="atLeast"/>
          <w:jc w:val="center"/>
        </w:trPr>
        <w:tc>
          <w:tcPr>
            <w:tcW w:w="593" w:type="dxa"/>
            <w:vMerge w:val="continue"/>
            <w:shd w:val="solid" w:color="FFFFFF" w:fill="FFFFFF"/>
            <w:vAlign w:val="center"/>
          </w:tcPr>
          <w:p>
            <w:pPr>
              <w:jc w:val="center"/>
              <w:rPr>
                <w:rFonts w:ascii="仿宋" w:hAnsi="仿宋" w:eastAsia="仿宋"/>
                <w:bCs/>
                <w:szCs w:val="21"/>
              </w:rPr>
            </w:pPr>
          </w:p>
        </w:tc>
        <w:tc>
          <w:tcPr>
            <w:tcW w:w="1631" w:type="dxa"/>
            <w:vMerge w:val="continue"/>
            <w:vAlign w:val="center"/>
          </w:tcPr>
          <w:p>
            <w:pPr>
              <w:jc w:val="center"/>
              <w:rPr>
                <w:rFonts w:ascii="仿宋" w:hAnsi="仿宋" w:eastAsia="仿宋"/>
                <w:bCs/>
                <w:szCs w:val="21"/>
              </w:rPr>
            </w:pPr>
          </w:p>
        </w:tc>
        <w:tc>
          <w:tcPr>
            <w:tcW w:w="2157" w:type="dxa"/>
            <w:vMerge w:val="continue"/>
            <w:vAlign w:val="center"/>
          </w:tcPr>
          <w:p>
            <w:pPr>
              <w:jc w:val="center"/>
              <w:rPr>
                <w:rFonts w:ascii="仿宋" w:hAnsi="仿宋" w:eastAsia="仿宋"/>
                <w:bCs/>
                <w:szCs w:val="21"/>
              </w:rPr>
            </w:pPr>
          </w:p>
        </w:tc>
        <w:tc>
          <w:tcPr>
            <w:tcW w:w="1701" w:type="dxa"/>
            <w:vMerge w:val="continue"/>
            <w:tcBorders>
              <w:right w:val="single" w:color="auto" w:sz="4" w:space="0"/>
            </w:tcBorders>
            <w:vAlign w:val="center"/>
          </w:tcPr>
          <w:p>
            <w:pPr>
              <w:jc w:val="center"/>
              <w:rPr>
                <w:rFonts w:ascii="仿宋" w:hAnsi="仿宋" w:eastAsia="仿宋"/>
                <w:bCs/>
                <w:szCs w:val="21"/>
              </w:rPr>
            </w:pPr>
          </w:p>
        </w:tc>
        <w:tc>
          <w:tcPr>
            <w:tcW w:w="4049" w:type="dxa"/>
            <w:tcBorders>
              <w:left w:val="single" w:color="auto" w:sz="4" w:space="0"/>
            </w:tcBorders>
            <w:vAlign w:val="center"/>
          </w:tcPr>
          <w:p>
            <w:pPr>
              <w:jc w:val="center"/>
              <w:rPr>
                <w:rFonts w:ascii="仿宋" w:hAnsi="仿宋" w:eastAsia="仿宋"/>
                <w:bCs/>
                <w:szCs w:val="21"/>
              </w:rPr>
            </w:pPr>
            <w:r>
              <w:rPr>
                <w:rFonts w:hint="eastAsia" w:ascii="仿宋" w:hAnsi="仿宋" w:eastAsia="仿宋"/>
                <w:bCs/>
                <w:szCs w:val="21"/>
              </w:rPr>
              <w:t>倒卷复卷区位于车间东北侧占地面积</w:t>
            </w:r>
            <w:r>
              <w:rPr>
                <w:rFonts w:ascii="仿宋" w:hAnsi="仿宋" w:eastAsia="仿宋"/>
                <w:bCs/>
                <w:szCs w:val="21"/>
              </w:rPr>
              <w:t>110</w:t>
            </w:r>
            <w:r>
              <w:rPr>
                <w:rFonts w:hint="eastAsia" w:ascii="仿宋" w:hAnsi="仿宋" w:eastAsia="仿宋"/>
                <w:bCs/>
                <w:szCs w:val="21"/>
              </w:rPr>
              <w:t>m</w:t>
            </w:r>
            <w:r>
              <w:rPr>
                <w:rFonts w:ascii="仿宋" w:hAnsi="仿宋" w:eastAsia="仿宋"/>
                <w:bCs/>
                <w:szCs w:val="21"/>
                <w:vertAlign w:val="superscript"/>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198" w:hRule="atLeast"/>
          <w:jc w:val="center"/>
        </w:trPr>
        <w:tc>
          <w:tcPr>
            <w:tcW w:w="593" w:type="dxa"/>
            <w:vMerge w:val="continue"/>
            <w:shd w:val="solid" w:color="FFFFFF" w:fill="FFFFFF"/>
            <w:vAlign w:val="center"/>
          </w:tcPr>
          <w:p>
            <w:pPr>
              <w:jc w:val="center"/>
              <w:rPr>
                <w:rFonts w:ascii="仿宋" w:hAnsi="仿宋" w:eastAsia="仿宋"/>
                <w:bCs/>
                <w:szCs w:val="21"/>
              </w:rPr>
            </w:pPr>
          </w:p>
        </w:tc>
        <w:tc>
          <w:tcPr>
            <w:tcW w:w="1631" w:type="dxa"/>
            <w:vMerge w:val="continue"/>
            <w:vAlign w:val="center"/>
          </w:tcPr>
          <w:p>
            <w:pPr>
              <w:jc w:val="center"/>
              <w:rPr>
                <w:rFonts w:ascii="仿宋" w:hAnsi="仿宋" w:eastAsia="仿宋"/>
                <w:bCs/>
                <w:szCs w:val="21"/>
              </w:rPr>
            </w:pPr>
          </w:p>
        </w:tc>
        <w:tc>
          <w:tcPr>
            <w:tcW w:w="2157" w:type="dxa"/>
            <w:vMerge w:val="continue"/>
            <w:vAlign w:val="center"/>
          </w:tcPr>
          <w:p>
            <w:pPr>
              <w:jc w:val="center"/>
              <w:rPr>
                <w:rFonts w:ascii="仿宋" w:hAnsi="仿宋" w:eastAsia="仿宋"/>
                <w:bCs/>
                <w:szCs w:val="21"/>
              </w:rPr>
            </w:pPr>
          </w:p>
        </w:tc>
        <w:tc>
          <w:tcPr>
            <w:tcW w:w="1701" w:type="dxa"/>
            <w:vMerge w:val="continue"/>
            <w:tcBorders>
              <w:right w:val="single" w:color="auto" w:sz="4" w:space="0"/>
            </w:tcBorders>
            <w:vAlign w:val="center"/>
          </w:tcPr>
          <w:p>
            <w:pPr>
              <w:jc w:val="center"/>
              <w:rPr>
                <w:rFonts w:ascii="仿宋" w:hAnsi="仿宋" w:eastAsia="仿宋"/>
                <w:bCs/>
                <w:szCs w:val="21"/>
              </w:rPr>
            </w:pPr>
          </w:p>
        </w:tc>
        <w:tc>
          <w:tcPr>
            <w:tcW w:w="4049" w:type="dxa"/>
            <w:tcBorders>
              <w:left w:val="single" w:color="auto" w:sz="4" w:space="0"/>
            </w:tcBorders>
            <w:vAlign w:val="center"/>
          </w:tcPr>
          <w:p>
            <w:pPr>
              <w:jc w:val="center"/>
              <w:rPr>
                <w:rFonts w:ascii="仿宋" w:hAnsi="仿宋" w:eastAsia="仿宋"/>
                <w:bCs/>
                <w:szCs w:val="21"/>
              </w:rPr>
            </w:pPr>
            <w:r>
              <w:rPr>
                <w:rFonts w:hint="eastAsia" w:ascii="仿宋" w:hAnsi="仿宋" w:eastAsia="仿宋"/>
                <w:bCs/>
                <w:szCs w:val="21"/>
              </w:rPr>
              <w:t>分切区1位于车间西南侧，占地面积1</w:t>
            </w:r>
            <w:r>
              <w:rPr>
                <w:rFonts w:ascii="仿宋" w:hAnsi="仿宋" w:eastAsia="仿宋"/>
                <w:bCs/>
                <w:szCs w:val="21"/>
              </w:rPr>
              <w:t>25</w:t>
            </w:r>
            <w:r>
              <w:rPr>
                <w:rFonts w:hint="eastAsia" w:ascii="仿宋" w:hAnsi="仿宋" w:eastAsia="仿宋"/>
                <w:bCs/>
                <w:szCs w:val="21"/>
              </w:rPr>
              <w:t>m</w:t>
            </w:r>
            <w:r>
              <w:rPr>
                <w:rFonts w:ascii="仿宋" w:hAnsi="仿宋" w:eastAsia="仿宋"/>
                <w:bCs/>
                <w:szCs w:val="21"/>
                <w:vertAlign w:val="superscript"/>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198" w:hRule="atLeast"/>
          <w:jc w:val="center"/>
        </w:trPr>
        <w:tc>
          <w:tcPr>
            <w:tcW w:w="593" w:type="dxa"/>
            <w:vMerge w:val="continue"/>
            <w:shd w:val="solid" w:color="FFFFFF" w:fill="FFFFFF"/>
            <w:vAlign w:val="center"/>
          </w:tcPr>
          <w:p>
            <w:pPr>
              <w:jc w:val="center"/>
              <w:rPr>
                <w:rFonts w:ascii="仿宋" w:hAnsi="仿宋" w:eastAsia="仿宋"/>
                <w:bCs/>
                <w:szCs w:val="21"/>
              </w:rPr>
            </w:pPr>
          </w:p>
        </w:tc>
        <w:tc>
          <w:tcPr>
            <w:tcW w:w="1631" w:type="dxa"/>
            <w:vMerge w:val="continue"/>
            <w:vAlign w:val="center"/>
          </w:tcPr>
          <w:p>
            <w:pPr>
              <w:jc w:val="center"/>
              <w:rPr>
                <w:rFonts w:ascii="仿宋" w:hAnsi="仿宋" w:eastAsia="仿宋"/>
                <w:bCs/>
                <w:szCs w:val="21"/>
              </w:rPr>
            </w:pPr>
          </w:p>
        </w:tc>
        <w:tc>
          <w:tcPr>
            <w:tcW w:w="2157" w:type="dxa"/>
            <w:vMerge w:val="continue"/>
            <w:vAlign w:val="center"/>
          </w:tcPr>
          <w:p>
            <w:pPr>
              <w:jc w:val="center"/>
              <w:rPr>
                <w:rFonts w:ascii="仿宋" w:hAnsi="仿宋" w:eastAsia="仿宋"/>
                <w:bCs/>
                <w:szCs w:val="21"/>
              </w:rPr>
            </w:pPr>
          </w:p>
        </w:tc>
        <w:tc>
          <w:tcPr>
            <w:tcW w:w="1701" w:type="dxa"/>
            <w:vMerge w:val="continue"/>
            <w:tcBorders>
              <w:right w:val="single" w:color="auto" w:sz="4" w:space="0"/>
            </w:tcBorders>
            <w:vAlign w:val="center"/>
          </w:tcPr>
          <w:p>
            <w:pPr>
              <w:jc w:val="center"/>
              <w:rPr>
                <w:rFonts w:ascii="仿宋" w:hAnsi="仿宋" w:eastAsia="仿宋"/>
                <w:bCs/>
                <w:szCs w:val="21"/>
              </w:rPr>
            </w:pPr>
          </w:p>
        </w:tc>
        <w:tc>
          <w:tcPr>
            <w:tcW w:w="4049" w:type="dxa"/>
            <w:tcBorders>
              <w:left w:val="single" w:color="auto" w:sz="4" w:space="0"/>
            </w:tcBorders>
            <w:vAlign w:val="center"/>
          </w:tcPr>
          <w:p>
            <w:pPr>
              <w:jc w:val="center"/>
              <w:rPr>
                <w:rFonts w:ascii="仿宋" w:hAnsi="仿宋" w:eastAsia="仿宋"/>
                <w:bCs/>
                <w:szCs w:val="21"/>
              </w:rPr>
            </w:pPr>
            <w:r>
              <w:rPr>
                <w:rFonts w:hint="eastAsia" w:ascii="仿宋" w:hAnsi="仿宋" w:eastAsia="仿宋"/>
                <w:bCs/>
                <w:szCs w:val="21"/>
              </w:rPr>
              <w:t>分切区</w:t>
            </w:r>
            <w:r>
              <w:rPr>
                <w:rFonts w:ascii="仿宋" w:hAnsi="仿宋" w:eastAsia="仿宋"/>
                <w:bCs/>
                <w:szCs w:val="21"/>
              </w:rPr>
              <w:t>2</w:t>
            </w:r>
            <w:r>
              <w:rPr>
                <w:rFonts w:hint="eastAsia" w:ascii="仿宋" w:hAnsi="仿宋" w:eastAsia="仿宋"/>
                <w:bCs/>
                <w:szCs w:val="21"/>
              </w:rPr>
              <w:t>位于车间西侧，占地面积</w:t>
            </w:r>
            <w:r>
              <w:rPr>
                <w:rFonts w:ascii="仿宋" w:hAnsi="仿宋" w:eastAsia="仿宋"/>
                <w:bCs/>
                <w:szCs w:val="21"/>
              </w:rPr>
              <w:t>60</w:t>
            </w:r>
            <w:r>
              <w:rPr>
                <w:rFonts w:hint="eastAsia" w:ascii="仿宋" w:hAnsi="仿宋" w:eastAsia="仿宋"/>
                <w:bCs/>
                <w:szCs w:val="21"/>
              </w:rPr>
              <w:t>m</w:t>
            </w:r>
            <w:r>
              <w:rPr>
                <w:rFonts w:ascii="仿宋" w:hAnsi="仿宋" w:eastAsia="仿宋"/>
                <w:bCs/>
                <w:szCs w:val="21"/>
                <w:vertAlign w:val="superscript"/>
              </w:rPr>
              <w:t>2</w:t>
            </w:r>
          </w:p>
        </w:tc>
      </w:tr>
    </w:tbl>
    <w:p>
      <w:pPr>
        <w:pStyle w:val="5"/>
        <w:keepLines w:val="0"/>
        <w:widowControl/>
        <w:tabs>
          <w:tab w:val="left" w:pos="993"/>
        </w:tabs>
        <w:adjustRightInd w:val="0"/>
        <w:snapToGrid w:val="0"/>
        <w:spacing w:after="120" w:afterLines="50"/>
        <w:ind w:left="420"/>
        <w:jc w:val="left"/>
        <w:rPr>
          <w:rFonts w:ascii="Times New Roman" w:hAnsi="Times New Roman"/>
          <w:b/>
        </w:rPr>
      </w:pPr>
      <w:r>
        <w:rPr>
          <w:rFonts w:hint="eastAsia" w:ascii="Times New Roman" w:hAnsi="Times New Roman"/>
          <w:b/>
        </w:rPr>
        <w:t>3.1.2.1</w:t>
      </w:r>
      <w:r>
        <w:rPr>
          <w:rFonts w:ascii="Times New Roman" w:hAnsi="Times New Roman"/>
          <w:b/>
        </w:rPr>
        <w:t>原辅材料消耗情况</w:t>
      </w:r>
    </w:p>
    <w:p>
      <w:pPr>
        <w:spacing w:line="500" w:lineRule="exact"/>
        <w:ind w:firstLine="840" w:firstLineChars="300"/>
        <w:rPr>
          <w:rFonts w:eastAsia="仿宋_GB2312"/>
          <w:b/>
          <w:bCs/>
          <w:sz w:val="24"/>
        </w:rPr>
      </w:pPr>
      <w:r>
        <w:rPr>
          <w:rFonts w:eastAsia="仿宋_GB2312"/>
          <w:sz w:val="28"/>
          <w:szCs w:val="28"/>
        </w:rPr>
        <w:t>本项目原辅材料使用情况见表3.</w:t>
      </w:r>
      <w:r>
        <w:rPr>
          <w:rFonts w:hint="eastAsia" w:eastAsia="仿宋_GB2312"/>
          <w:sz w:val="28"/>
          <w:szCs w:val="28"/>
        </w:rPr>
        <w:t>1</w:t>
      </w:r>
      <w:r>
        <w:rPr>
          <w:rFonts w:eastAsia="仿宋_GB2312"/>
          <w:sz w:val="28"/>
          <w:szCs w:val="28"/>
        </w:rPr>
        <w:t>-10。</w:t>
      </w:r>
    </w:p>
    <w:p>
      <w:pPr>
        <w:adjustRightInd w:val="0"/>
        <w:snapToGrid w:val="0"/>
        <w:spacing w:line="500" w:lineRule="exact"/>
        <w:ind w:firstLine="482" w:firstLineChars="200"/>
        <w:jc w:val="center"/>
        <w:rPr>
          <w:rFonts w:eastAsia="仿宋_GB2312"/>
          <w:b/>
          <w:bCs/>
          <w:sz w:val="24"/>
        </w:rPr>
      </w:pPr>
      <w:r>
        <w:rPr>
          <w:rFonts w:eastAsia="仿宋_GB2312"/>
          <w:b/>
          <w:bCs/>
          <w:sz w:val="24"/>
        </w:rPr>
        <w:t>表3.</w:t>
      </w:r>
      <w:r>
        <w:rPr>
          <w:rFonts w:hint="eastAsia" w:eastAsia="仿宋_GB2312"/>
          <w:b/>
          <w:bCs/>
          <w:sz w:val="24"/>
        </w:rPr>
        <w:t>1</w:t>
      </w:r>
      <w:r>
        <w:rPr>
          <w:rFonts w:eastAsia="仿宋_GB2312"/>
          <w:b/>
          <w:bCs/>
          <w:sz w:val="24"/>
        </w:rPr>
        <w:t>-10  本项目原辅材料使用情况表</w:t>
      </w:r>
    </w:p>
    <w:tbl>
      <w:tblPr>
        <w:tblStyle w:val="87"/>
        <w:tblW w:w="551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6"/>
        <w:gridCol w:w="625"/>
        <w:gridCol w:w="1094"/>
        <w:gridCol w:w="1603"/>
        <w:gridCol w:w="2127"/>
        <w:gridCol w:w="545"/>
        <w:gridCol w:w="818"/>
        <w:gridCol w:w="811"/>
        <w:gridCol w:w="814"/>
        <w:gridCol w:w="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5" w:type="dxa"/>
            <w:vAlign w:val="center"/>
          </w:tcPr>
          <w:p>
            <w:pPr>
              <w:jc w:val="center"/>
              <w:rPr>
                <w:rFonts w:ascii="仿宋" w:hAnsi="仿宋" w:eastAsia="仿宋"/>
                <w:bCs/>
                <w:szCs w:val="21"/>
              </w:rPr>
            </w:pPr>
            <w:r>
              <w:rPr>
                <w:rFonts w:ascii="仿宋" w:hAnsi="仿宋" w:eastAsia="仿宋"/>
                <w:bCs/>
                <w:szCs w:val="21"/>
              </w:rPr>
              <w:t>产品</w:t>
            </w:r>
          </w:p>
        </w:tc>
        <w:tc>
          <w:tcPr>
            <w:tcW w:w="622" w:type="dxa"/>
            <w:vAlign w:val="center"/>
          </w:tcPr>
          <w:p>
            <w:pPr>
              <w:jc w:val="center"/>
              <w:rPr>
                <w:rFonts w:ascii="仿宋" w:hAnsi="仿宋" w:eastAsia="仿宋"/>
                <w:bCs/>
                <w:szCs w:val="21"/>
              </w:rPr>
            </w:pPr>
            <w:r>
              <w:rPr>
                <w:rFonts w:hint="eastAsia" w:ascii="仿宋" w:hAnsi="仿宋" w:eastAsia="仿宋"/>
                <w:bCs/>
                <w:szCs w:val="21"/>
              </w:rPr>
              <w:t>类别</w:t>
            </w:r>
          </w:p>
        </w:tc>
        <w:tc>
          <w:tcPr>
            <w:tcW w:w="1094" w:type="dxa"/>
            <w:vAlign w:val="center"/>
          </w:tcPr>
          <w:p>
            <w:pPr>
              <w:jc w:val="center"/>
              <w:rPr>
                <w:rFonts w:ascii="仿宋" w:hAnsi="仿宋" w:eastAsia="仿宋"/>
                <w:bCs/>
                <w:szCs w:val="21"/>
              </w:rPr>
            </w:pPr>
            <w:r>
              <w:rPr>
                <w:rFonts w:ascii="仿宋" w:hAnsi="仿宋" w:eastAsia="仿宋"/>
                <w:bCs/>
                <w:szCs w:val="21"/>
              </w:rPr>
              <w:t>名称</w:t>
            </w:r>
          </w:p>
        </w:tc>
        <w:tc>
          <w:tcPr>
            <w:tcW w:w="1608" w:type="dxa"/>
            <w:vAlign w:val="center"/>
          </w:tcPr>
          <w:p>
            <w:pPr>
              <w:jc w:val="center"/>
              <w:rPr>
                <w:rFonts w:ascii="仿宋" w:hAnsi="仿宋" w:eastAsia="仿宋"/>
                <w:bCs/>
                <w:szCs w:val="21"/>
              </w:rPr>
            </w:pPr>
            <w:r>
              <w:rPr>
                <w:rFonts w:ascii="仿宋" w:hAnsi="仿宋" w:eastAsia="仿宋"/>
                <w:bCs/>
                <w:szCs w:val="21"/>
              </w:rPr>
              <w:t>年用量（t/a）</w:t>
            </w:r>
          </w:p>
        </w:tc>
        <w:tc>
          <w:tcPr>
            <w:tcW w:w="2136" w:type="dxa"/>
            <w:vAlign w:val="center"/>
          </w:tcPr>
          <w:p>
            <w:pPr>
              <w:jc w:val="center"/>
              <w:rPr>
                <w:rFonts w:ascii="仿宋" w:hAnsi="仿宋" w:eastAsia="仿宋"/>
                <w:bCs/>
                <w:szCs w:val="21"/>
              </w:rPr>
            </w:pPr>
            <w:r>
              <w:rPr>
                <w:rFonts w:hint="eastAsia" w:ascii="仿宋" w:hAnsi="仿宋" w:eastAsia="仿宋"/>
                <w:bCs/>
                <w:szCs w:val="21"/>
              </w:rPr>
              <w:t>主要组分</w:t>
            </w:r>
          </w:p>
        </w:tc>
        <w:tc>
          <w:tcPr>
            <w:tcW w:w="542" w:type="dxa"/>
            <w:vAlign w:val="center"/>
          </w:tcPr>
          <w:p>
            <w:pPr>
              <w:jc w:val="center"/>
              <w:rPr>
                <w:rFonts w:ascii="仿宋" w:hAnsi="仿宋" w:eastAsia="仿宋"/>
                <w:bCs/>
                <w:szCs w:val="21"/>
              </w:rPr>
            </w:pPr>
            <w:r>
              <w:rPr>
                <w:rFonts w:hint="eastAsia" w:ascii="仿宋" w:hAnsi="仿宋" w:eastAsia="仿宋"/>
                <w:bCs/>
                <w:szCs w:val="21"/>
              </w:rPr>
              <w:t>性状</w:t>
            </w:r>
          </w:p>
        </w:tc>
        <w:tc>
          <w:tcPr>
            <w:tcW w:w="817" w:type="dxa"/>
            <w:vAlign w:val="center"/>
          </w:tcPr>
          <w:p>
            <w:pPr>
              <w:jc w:val="center"/>
              <w:rPr>
                <w:rFonts w:ascii="仿宋" w:hAnsi="仿宋" w:eastAsia="仿宋"/>
                <w:bCs/>
                <w:szCs w:val="21"/>
              </w:rPr>
            </w:pPr>
            <w:r>
              <w:rPr>
                <w:rFonts w:ascii="仿宋" w:hAnsi="仿宋" w:eastAsia="仿宋"/>
                <w:bCs/>
                <w:szCs w:val="21"/>
              </w:rPr>
              <w:t>来源及运输</w:t>
            </w:r>
          </w:p>
        </w:tc>
        <w:tc>
          <w:tcPr>
            <w:tcW w:w="809" w:type="dxa"/>
            <w:vAlign w:val="center"/>
          </w:tcPr>
          <w:p>
            <w:pPr>
              <w:jc w:val="center"/>
              <w:rPr>
                <w:rFonts w:ascii="仿宋" w:hAnsi="仿宋" w:eastAsia="仿宋"/>
                <w:bCs/>
                <w:szCs w:val="21"/>
              </w:rPr>
            </w:pPr>
            <w:r>
              <w:rPr>
                <w:rFonts w:ascii="仿宋" w:hAnsi="仿宋" w:eastAsia="仿宋"/>
                <w:bCs/>
                <w:szCs w:val="21"/>
              </w:rPr>
              <w:t>包装</w:t>
            </w:r>
            <w:r>
              <w:rPr>
                <w:rFonts w:hint="eastAsia" w:ascii="仿宋" w:hAnsi="仿宋" w:eastAsia="仿宋"/>
                <w:bCs/>
                <w:szCs w:val="21"/>
              </w:rPr>
              <w:t>方式</w:t>
            </w:r>
          </w:p>
        </w:tc>
        <w:tc>
          <w:tcPr>
            <w:tcW w:w="812" w:type="dxa"/>
            <w:vAlign w:val="center"/>
          </w:tcPr>
          <w:p>
            <w:pPr>
              <w:jc w:val="center"/>
              <w:rPr>
                <w:rFonts w:ascii="仿宋" w:hAnsi="仿宋" w:eastAsia="仿宋"/>
                <w:bCs/>
                <w:szCs w:val="21"/>
              </w:rPr>
            </w:pPr>
            <w:r>
              <w:rPr>
                <w:rFonts w:hint="eastAsia" w:ascii="仿宋" w:hAnsi="仿宋" w:eastAsia="仿宋"/>
                <w:bCs/>
                <w:szCs w:val="21"/>
              </w:rPr>
              <w:t>最大存在量</w:t>
            </w:r>
            <w:r>
              <w:rPr>
                <w:rFonts w:ascii="仿宋" w:hAnsi="仿宋" w:eastAsia="仿宋"/>
                <w:bCs/>
                <w:szCs w:val="21"/>
              </w:rPr>
              <w:t>（</w:t>
            </w:r>
            <w:r>
              <w:rPr>
                <w:rFonts w:hint="eastAsia" w:ascii="仿宋" w:hAnsi="仿宋" w:eastAsia="仿宋"/>
                <w:bCs/>
                <w:szCs w:val="21"/>
              </w:rPr>
              <w:t>t</w:t>
            </w:r>
            <w:r>
              <w:rPr>
                <w:rFonts w:ascii="仿宋" w:hAnsi="仿宋" w:eastAsia="仿宋"/>
                <w:bCs/>
                <w:szCs w:val="21"/>
              </w:rPr>
              <w:t>）</w:t>
            </w:r>
          </w:p>
        </w:tc>
        <w:tc>
          <w:tcPr>
            <w:tcW w:w="903" w:type="dxa"/>
            <w:vAlign w:val="center"/>
          </w:tcPr>
          <w:p>
            <w:pPr>
              <w:jc w:val="center"/>
              <w:rPr>
                <w:rFonts w:ascii="仿宋" w:hAnsi="仿宋" w:eastAsia="仿宋"/>
                <w:bCs/>
                <w:szCs w:val="21"/>
              </w:rPr>
            </w:pPr>
            <w:r>
              <w:rPr>
                <w:rFonts w:ascii="仿宋" w:hAnsi="仿宋" w:eastAsia="仿宋"/>
                <w:bCs/>
                <w:szCs w:val="21"/>
              </w:rPr>
              <w:t>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5" w:type="dxa"/>
            <w:vMerge w:val="restart"/>
            <w:vAlign w:val="center"/>
          </w:tcPr>
          <w:p>
            <w:pPr>
              <w:jc w:val="center"/>
              <w:rPr>
                <w:rFonts w:ascii="仿宋" w:hAnsi="仿宋" w:eastAsia="仿宋"/>
                <w:bCs/>
                <w:szCs w:val="21"/>
              </w:rPr>
            </w:pPr>
            <w:r>
              <w:rPr>
                <w:rFonts w:hint="eastAsia" w:ascii="仿宋" w:hAnsi="仿宋" w:eastAsia="仿宋"/>
                <w:bCs/>
                <w:szCs w:val="21"/>
              </w:rPr>
              <w:t>胶带</w:t>
            </w:r>
          </w:p>
        </w:tc>
        <w:tc>
          <w:tcPr>
            <w:tcW w:w="622" w:type="dxa"/>
            <w:vMerge w:val="restart"/>
            <w:vAlign w:val="center"/>
          </w:tcPr>
          <w:p>
            <w:pPr>
              <w:jc w:val="center"/>
              <w:rPr>
                <w:rFonts w:ascii="仿宋" w:hAnsi="仿宋" w:eastAsia="仿宋"/>
                <w:bCs/>
                <w:szCs w:val="21"/>
              </w:rPr>
            </w:pPr>
            <w:r>
              <w:rPr>
                <w:rFonts w:hint="eastAsia" w:ascii="仿宋" w:hAnsi="仿宋" w:eastAsia="仿宋"/>
                <w:bCs/>
                <w:szCs w:val="21"/>
              </w:rPr>
              <w:t>原料</w:t>
            </w:r>
          </w:p>
        </w:tc>
        <w:tc>
          <w:tcPr>
            <w:tcW w:w="1094" w:type="dxa"/>
            <w:vAlign w:val="center"/>
          </w:tcPr>
          <w:p>
            <w:pPr>
              <w:jc w:val="center"/>
              <w:rPr>
                <w:rFonts w:ascii="仿宋" w:hAnsi="仿宋" w:eastAsia="仿宋"/>
                <w:bCs/>
                <w:szCs w:val="21"/>
              </w:rPr>
            </w:pPr>
            <w:r>
              <w:rPr>
                <w:rFonts w:ascii="仿宋" w:hAnsi="仿宋" w:eastAsia="仿宋"/>
                <w:bCs/>
                <w:szCs w:val="21"/>
              </w:rPr>
              <w:t>胶粘剂</w:t>
            </w:r>
          </w:p>
        </w:tc>
        <w:tc>
          <w:tcPr>
            <w:tcW w:w="1608" w:type="dxa"/>
            <w:vAlign w:val="center"/>
          </w:tcPr>
          <w:p>
            <w:pPr>
              <w:jc w:val="center"/>
              <w:rPr>
                <w:rFonts w:ascii="仿宋" w:hAnsi="仿宋" w:eastAsia="仿宋"/>
                <w:bCs/>
                <w:szCs w:val="21"/>
              </w:rPr>
            </w:pPr>
            <w:r>
              <w:rPr>
                <w:rFonts w:ascii="仿宋" w:hAnsi="仿宋" w:eastAsia="仿宋"/>
                <w:bCs/>
                <w:szCs w:val="21"/>
              </w:rPr>
              <w:t>737.5</w:t>
            </w:r>
          </w:p>
        </w:tc>
        <w:tc>
          <w:tcPr>
            <w:tcW w:w="2136" w:type="dxa"/>
            <w:vAlign w:val="center"/>
          </w:tcPr>
          <w:p>
            <w:pPr>
              <w:jc w:val="center"/>
              <w:rPr>
                <w:rFonts w:ascii="仿宋" w:hAnsi="仿宋" w:eastAsia="仿宋"/>
                <w:bCs/>
                <w:szCs w:val="21"/>
              </w:rPr>
            </w:pPr>
            <w:r>
              <w:rPr>
                <w:rFonts w:hint="eastAsia" w:ascii="仿宋" w:hAnsi="仿宋" w:eastAsia="仿宋"/>
                <w:bCs/>
                <w:szCs w:val="21"/>
              </w:rPr>
              <w:t>丙烯酸酯聚合物40.2%、乙酸乙酯44.8%、色浆6%、二甲苯4.95%、树脂1.5%、色粉2.55%</w:t>
            </w:r>
          </w:p>
        </w:tc>
        <w:tc>
          <w:tcPr>
            <w:tcW w:w="542" w:type="dxa"/>
            <w:vAlign w:val="center"/>
          </w:tcPr>
          <w:p>
            <w:pPr>
              <w:jc w:val="center"/>
              <w:rPr>
                <w:rFonts w:ascii="仿宋" w:hAnsi="仿宋" w:eastAsia="仿宋"/>
                <w:bCs/>
                <w:szCs w:val="21"/>
              </w:rPr>
            </w:pPr>
            <w:r>
              <w:rPr>
                <w:rFonts w:hint="eastAsia" w:ascii="仿宋" w:hAnsi="仿宋" w:eastAsia="仿宋"/>
                <w:bCs/>
                <w:szCs w:val="21"/>
              </w:rPr>
              <w:t>液</w:t>
            </w:r>
          </w:p>
        </w:tc>
        <w:tc>
          <w:tcPr>
            <w:tcW w:w="817" w:type="dxa"/>
            <w:vAlign w:val="center"/>
          </w:tcPr>
          <w:p>
            <w:pPr>
              <w:jc w:val="center"/>
              <w:rPr>
                <w:rFonts w:ascii="仿宋" w:hAnsi="仿宋" w:eastAsia="仿宋"/>
                <w:bCs/>
                <w:szCs w:val="21"/>
              </w:rPr>
            </w:pPr>
            <w:r>
              <w:rPr>
                <w:rFonts w:hint="eastAsia" w:ascii="仿宋" w:hAnsi="仿宋" w:eastAsia="仿宋"/>
                <w:bCs/>
                <w:szCs w:val="21"/>
              </w:rPr>
              <w:t>外购</w:t>
            </w:r>
            <w:r>
              <w:rPr>
                <w:rFonts w:ascii="仿宋" w:hAnsi="仿宋" w:eastAsia="仿宋"/>
                <w:bCs/>
                <w:szCs w:val="21"/>
              </w:rPr>
              <w:t>、车运</w:t>
            </w:r>
          </w:p>
        </w:tc>
        <w:tc>
          <w:tcPr>
            <w:tcW w:w="809" w:type="dxa"/>
            <w:vAlign w:val="center"/>
          </w:tcPr>
          <w:p>
            <w:pPr>
              <w:jc w:val="center"/>
              <w:rPr>
                <w:rFonts w:ascii="仿宋" w:hAnsi="仿宋" w:eastAsia="仿宋"/>
                <w:bCs/>
                <w:szCs w:val="21"/>
              </w:rPr>
            </w:pPr>
            <w:r>
              <w:rPr>
                <w:rFonts w:hint="eastAsia" w:ascii="仿宋" w:hAnsi="仿宋" w:eastAsia="仿宋"/>
                <w:bCs/>
                <w:szCs w:val="21"/>
              </w:rPr>
              <w:t>100kg/桶</w:t>
            </w:r>
          </w:p>
        </w:tc>
        <w:tc>
          <w:tcPr>
            <w:tcW w:w="812" w:type="dxa"/>
            <w:vAlign w:val="center"/>
          </w:tcPr>
          <w:p>
            <w:pPr>
              <w:jc w:val="center"/>
              <w:rPr>
                <w:rFonts w:ascii="仿宋" w:hAnsi="仿宋" w:eastAsia="仿宋"/>
                <w:bCs/>
                <w:szCs w:val="21"/>
              </w:rPr>
            </w:pPr>
            <w:r>
              <w:rPr>
                <w:rFonts w:hint="eastAsia" w:ascii="仿宋" w:hAnsi="仿宋" w:eastAsia="仿宋"/>
                <w:bCs/>
                <w:szCs w:val="21"/>
              </w:rPr>
              <w:t>25</w:t>
            </w:r>
          </w:p>
        </w:tc>
        <w:tc>
          <w:tcPr>
            <w:tcW w:w="903" w:type="dxa"/>
            <w:vAlign w:val="center"/>
          </w:tcPr>
          <w:p>
            <w:pPr>
              <w:jc w:val="center"/>
              <w:rPr>
                <w:rFonts w:ascii="仿宋" w:hAnsi="仿宋" w:eastAsia="仿宋"/>
                <w:bCs/>
                <w:szCs w:val="21"/>
              </w:rPr>
            </w:pPr>
            <w:r>
              <w:rPr>
                <w:rFonts w:ascii="仿宋" w:hAnsi="仿宋" w:eastAsia="仿宋"/>
                <w:bCs/>
                <w:szCs w:val="21"/>
              </w:rPr>
              <w:t>原材料仓库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5" w:type="dxa"/>
            <w:vMerge w:val="continue"/>
            <w:vAlign w:val="center"/>
          </w:tcPr>
          <w:p>
            <w:pPr>
              <w:jc w:val="center"/>
              <w:rPr>
                <w:rFonts w:ascii="仿宋" w:hAnsi="仿宋" w:eastAsia="仿宋"/>
                <w:bCs/>
                <w:szCs w:val="21"/>
              </w:rPr>
            </w:pPr>
          </w:p>
        </w:tc>
        <w:tc>
          <w:tcPr>
            <w:tcW w:w="622" w:type="dxa"/>
            <w:vMerge w:val="continue"/>
            <w:vAlign w:val="center"/>
          </w:tcPr>
          <w:p>
            <w:pPr>
              <w:jc w:val="center"/>
              <w:rPr>
                <w:rFonts w:ascii="仿宋" w:hAnsi="仿宋" w:eastAsia="仿宋"/>
                <w:bCs/>
                <w:szCs w:val="21"/>
              </w:rPr>
            </w:pPr>
          </w:p>
        </w:tc>
        <w:tc>
          <w:tcPr>
            <w:tcW w:w="1094" w:type="dxa"/>
            <w:vAlign w:val="center"/>
          </w:tcPr>
          <w:p>
            <w:pPr>
              <w:jc w:val="center"/>
              <w:rPr>
                <w:rFonts w:ascii="仿宋" w:hAnsi="仿宋" w:eastAsia="仿宋"/>
                <w:bCs/>
                <w:szCs w:val="21"/>
              </w:rPr>
            </w:pPr>
            <w:r>
              <w:rPr>
                <w:rFonts w:hint="eastAsia" w:ascii="仿宋" w:hAnsi="仿宋" w:eastAsia="仿宋"/>
                <w:bCs/>
                <w:szCs w:val="21"/>
              </w:rPr>
              <w:t>固化剂</w:t>
            </w:r>
          </w:p>
        </w:tc>
        <w:tc>
          <w:tcPr>
            <w:tcW w:w="1608" w:type="dxa"/>
            <w:vAlign w:val="center"/>
          </w:tcPr>
          <w:p>
            <w:pPr>
              <w:jc w:val="center"/>
              <w:rPr>
                <w:rFonts w:ascii="仿宋" w:hAnsi="仿宋" w:eastAsia="仿宋"/>
                <w:bCs/>
                <w:szCs w:val="21"/>
              </w:rPr>
            </w:pPr>
            <w:r>
              <w:rPr>
                <w:rFonts w:ascii="仿宋" w:hAnsi="仿宋" w:eastAsia="仿宋"/>
                <w:bCs/>
                <w:szCs w:val="21"/>
              </w:rPr>
              <w:t>14.722</w:t>
            </w:r>
          </w:p>
        </w:tc>
        <w:tc>
          <w:tcPr>
            <w:tcW w:w="2136" w:type="dxa"/>
            <w:vAlign w:val="center"/>
          </w:tcPr>
          <w:p>
            <w:pPr>
              <w:jc w:val="center"/>
              <w:rPr>
                <w:rFonts w:ascii="仿宋" w:hAnsi="仿宋" w:eastAsia="仿宋"/>
                <w:bCs/>
                <w:szCs w:val="21"/>
              </w:rPr>
            </w:pPr>
            <w:r>
              <w:rPr>
                <w:rFonts w:hint="eastAsia" w:ascii="仿宋" w:hAnsi="仿宋" w:eastAsia="仿宋"/>
                <w:bCs/>
                <w:szCs w:val="21"/>
              </w:rPr>
              <w:t>对甲苯磺酸5</w:t>
            </w:r>
            <w:r>
              <w:rPr>
                <w:rFonts w:ascii="仿宋" w:hAnsi="仿宋" w:eastAsia="仿宋"/>
                <w:bCs/>
                <w:szCs w:val="21"/>
              </w:rPr>
              <w:t>%</w:t>
            </w:r>
            <w:r>
              <w:rPr>
                <w:rFonts w:hint="eastAsia" w:ascii="仿宋" w:hAnsi="仿宋" w:eastAsia="仿宋"/>
                <w:bCs/>
                <w:szCs w:val="21"/>
              </w:rPr>
              <w:t>、</w:t>
            </w:r>
            <w:r>
              <w:rPr>
                <w:rFonts w:ascii="仿宋" w:hAnsi="仿宋" w:eastAsia="仿宋"/>
                <w:bCs/>
                <w:szCs w:val="21"/>
              </w:rPr>
              <w:t>乙醇</w:t>
            </w:r>
            <w:r>
              <w:rPr>
                <w:rFonts w:hint="eastAsia" w:ascii="仿宋" w:hAnsi="仿宋" w:eastAsia="仿宋"/>
                <w:bCs/>
                <w:szCs w:val="21"/>
              </w:rPr>
              <w:t>95</w:t>
            </w:r>
            <w:r>
              <w:rPr>
                <w:rFonts w:ascii="仿宋" w:hAnsi="仿宋" w:eastAsia="仿宋"/>
                <w:bCs/>
                <w:szCs w:val="21"/>
              </w:rPr>
              <w:t>%</w:t>
            </w:r>
          </w:p>
        </w:tc>
        <w:tc>
          <w:tcPr>
            <w:tcW w:w="542" w:type="dxa"/>
            <w:vAlign w:val="center"/>
          </w:tcPr>
          <w:p>
            <w:pPr>
              <w:jc w:val="center"/>
              <w:rPr>
                <w:rFonts w:ascii="仿宋" w:hAnsi="仿宋" w:eastAsia="仿宋"/>
                <w:bCs/>
                <w:szCs w:val="21"/>
              </w:rPr>
            </w:pPr>
            <w:r>
              <w:rPr>
                <w:rFonts w:hint="eastAsia" w:ascii="仿宋" w:hAnsi="仿宋" w:eastAsia="仿宋"/>
                <w:bCs/>
                <w:szCs w:val="21"/>
              </w:rPr>
              <w:t>液</w:t>
            </w:r>
          </w:p>
        </w:tc>
        <w:tc>
          <w:tcPr>
            <w:tcW w:w="817" w:type="dxa"/>
            <w:vAlign w:val="center"/>
          </w:tcPr>
          <w:p>
            <w:pPr>
              <w:jc w:val="center"/>
            </w:pPr>
            <w:r>
              <w:rPr>
                <w:rFonts w:hint="eastAsia" w:ascii="仿宋" w:hAnsi="仿宋" w:eastAsia="仿宋"/>
                <w:bCs/>
                <w:szCs w:val="21"/>
              </w:rPr>
              <w:t>外购</w:t>
            </w:r>
            <w:r>
              <w:rPr>
                <w:rFonts w:ascii="仿宋" w:hAnsi="仿宋" w:eastAsia="仿宋"/>
                <w:bCs/>
                <w:szCs w:val="21"/>
              </w:rPr>
              <w:t>、车运</w:t>
            </w:r>
          </w:p>
        </w:tc>
        <w:tc>
          <w:tcPr>
            <w:tcW w:w="809" w:type="dxa"/>
            <w:vAlign w:val="center"/>
          </w:tcPr>
          <w:p>
            <w:pPr>
              <w:jc w:val="center"/>
              <w:rPr>
                <w:rFonts w:ascii="仿宋" w:hAnsi="仿宋" w:eastAsia="仿宋"/>
                <w:bCs/>
                <w:szCs w:val="21"/>
              </w:rPr>
            </w:pPr>
            <w:r>
              <w:rPr>
                <w:rFonts w:hint="eastAsia" w:ascii="仿宋" w:hAnsi="仿宋" w:eastAsia="仿宋"/>
                <w:bCs/>
                <w:szCs w:val="21"/>
              </w:rPr>
              <w:t>5k</w:t>
            </w:r>
            <w:r>
              <w:rPr>
                <w:rFonts w:ascii="仿宋" w:hAnsi="仿宋" w:eastAsia="仿宋"/>
                <w:bCs/>
                <w:szCs w:val="21"/>
              </w:rPr>
              <w:t>g/</w:t>
            </w:r>
            <w:r>
              <w:rPr>
                <w:rFonts w:hint="eastAsia" w:ascii="仿宋" w:hAnsi="仿宋" w:eastAsia="仿宋"/>
                <w:bCs/>
                <w:szCs w:val="21"/>
              </w:rPr>
              <w:t>桶</w:t>
            </w:r>
          </w:p>
        </w:tc>
        <w:tc>
          <w:tcPr>
            <w:tcW w:w="812" w:type="dxa"/>
            <w:vAlign w:val="center"/>
          </w:tcPr>
          <w:p>
            <w:pPr>
              <w:jc w:val="center"/>
              <w:rPr>
                <w:rFonts w:ascii="仿宋" w:hAnsi="仿宋" w:eastAsia="仿宋"/>
                <w:bCs/>
                <w:szCs w:val="21"/>
              </w:rPr>
            </w:pPr>
            <w:r>
              <w:rPr>
                <w:rFonts w:hint="eastAsia" w:ascii="仿宋" w:hAnsi="仿宋" w:eastAsia="仿宋"/>
                <w:bCs/>
                <w:szCs w:val="21"/>
              </w:rPr>
              <w:t>3</w:t>
            </w:r>
          </w:p>
        </w:tc>
        <w:tc>
          <w:tcPr>
            <w:tcW w:w="903" w:type="dxa"/>
            <w:vAlign w:val="center"/>
          </w:tcPr>
          <w:p>
            <w:pPr>
              <w:jc w:val="center"/>
            </w:pPr>
            <w:r>
              <w:rPr>
                <w:rFonts w:ascii="仿宋" w:hAnsi="仿宋" w:eastAsia="仿宋"/>
                <w:bCs/>
                <w:szCs w:val="21"/>
              </w:rPr>
              <w:t>原材料仓库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5" w:type="dxa"/>
            <w:vMerge w:val="continue"/>
            <w:vAlign w:val="center"/>
          </w:tcPr>
          <w:p>
            <w:pPr>
              <w:jc w:val="center"/>
              <w:rPr>
                <w:rFonts w:ascii="仿宋" w:hAnsi="仿宋" w:eastAsia="仿宋"/>
                <w:bCs/>
                <w:szCs w:val="21"/>
              </w:rPr>
            </w:pPr>
          </w:p>
        </w:tc>
        <w:tc>
          <w:tcPr>
            <w:tcW w:w="622" w:type="dxa"/>
            <w:vMerge w:val="continue"/>
            <w:vAlign w:val="center"/>
          </w:tcPr>
          <w:p>
            <w:pPr>
              <w:jc w:val="center"/>
              <w:rPr>
                <w:rFonts w:ascii="仿宋" w:hAnsi="仿宋" w:eastAsia="仿宋"/>
                <w:bCs/>
                <w:szCs w:val="21"/>
              </w:rPr>
            </w:pPr>
          </w:p>
        </w:tc>
        <w:tc>
          <w:tcPr>
            <w:tcW w:w="1094" w:type="dxa"/>
            <w:vAlign w:val="center"/>
          </w:tcPr>
          <w:p>
            <w:pPr>
              <w:jc w:val="center"/>
              <w:rPr>
                <w:rFonts w:ascii="仿宋" w:hAnsi="仿宋" w:eastAsia="仿宋"/>
                <w:bCs/>
                <w:szCs w:val="21"/>
              </w:rPr>
            </w:pPr>
            <w:r>
              <w:rPr>
                <w:rFonts w:hint="eastAsia" w:ascii="仿宋" w:hAnsi="仿宋" w:eastAsia="仿宋"/>
                <w:bCs/>
                <w:szCs w:val="21"/>
              </w:rPr>
              <w:t>清洗剂</w:t>
            </w:r>
          </w:p>
        </w:tc>
        <w:tc>
          <w:tcPr>
            <w:tcW w:w="1608" w:type="dxa"/>
            <w:vAlign w:val="center"/>
          </w:tcPr>
          <w:p>
            <w:pPr>
              <w:jc w:val="center"/>
              <w:rPr>
                <w:rFonts w:ascii="仿宋" w:hAnsi="仿宋" w:eastAsia="仿宋"/>
                <w:bCs/>
                <w:szCs w:val="21"/>
              </w:rPr>
            </w:pPr>
            <w:r>
              <w:rPr>
                <w:rFonts w:hint="eastAsia" w:ascii="仿宋" w:hAnsi="仿宋" w:eastAsia="仿宋"/>
                <w:bCs/>
                <w:szCs w:val="21"/>
              </w:rPr>
              <w:t>3.79</w:t>
            </w:r>
          </w:p>
        </w:tc>
        <w:tc>
          <w:tcPr>
            <w:tcW w:w="2136" w:type="dxa"/>
            <w:vAlign w:val="center"/>
          </w:tcPr>
          <w:p>
            <w:pPr>
              <w:jc w:val="center"/>
              <w:rPr>
                <w:rFonts w:ascii="仿宋" w:hAnsi="仿宋" w:eastAsia="仿宋"/>
                <w:bCs/>
                <w:szCs w:val="21"/>
              </w:rPr>
            </w:pPr>
            <w:r>
              <w:rPr>
                <w:rFonts w:hint="eastAsia" w:ascii="仿宋" w:hAnsi="仿宋" w:eastAsia="仿宋"/>
                <w:bCs/>
                <w:szCs w:val="21"/>
              </w:rPr>
              <w:t>乙酸乙酯100</w:t>
            </w:r>
            <w:r>
              <w:rPr>
                <w:rFonts w:ascii="仿宋" w:hAnsi="仿宋" w:eastAsia="仿宋"/>
                <w:bCs/>
                <w:szCs w:val="21"/>
              </w:rPr>
              <w:t>%</w:t>
            </w:r>
          </w:p>
        </w:tc>
        <w:tc>
          <w:tcPr>
            <w:tcW w:w="542" w:type="dxa"/>
            <w:vAlign w:val="center"/>
          </w:tcPr>
          <w:p>
            <w:pPr>
              <w:jc w:val="center"/>
              <w:rPr>
                <w:rFonts w:ascii="仿宋" w:hAnsi="仿宋" w:eastAsia="仿宋"/>
                <w:bCs/>
                <w:szCs w:val="21"/>
              </w:rPr>
            </w:pPr>
            <w:r>
              <w:rPr>
                <w:rFonts w:hint="eastAsia" w:ascii="仿宋" w:hAnsi="仿宋" w:eastAsia="仿宋"/>
                <w:bCs/>
                <w:szCs w:val="21"/>
              </w:rPr>
              <w:t>液</w:t>
            </w:r>
          </w:p>
        </w:tc>
        <w:tc>
          <w:tcPr>
            <w:tcW w:w="817" w:type="dxa"/>
            <w:vAlign w:val="center"/>
          </w:tcPr>
          <w:p>
            <w:pPr>
              <w:jc w:val="center"/>
              <w:rPr>
                <w:rFonts w:ascii="仿宋" w:hAnsi="仿宋" w:eastAsia="仿宋"/>
                <w:bCs/>
                <w:szCs w:val="21"/>
              </w:rPr>
            </w:pPr>
            <w:r>
              <w:rPr>
                <w:rFonts w:hint="eastAsia" w:ascii="仿宋" w:hAnsi="仿宋" w:eastAsia="仿宋"/>
                <w:bCs/>
                <w:szCs w:val="21"/>
              </w:rPr>
              <w:t>外购</w:t>
            </w:r>
            <w:r>
              <w:rPr>
                <w:rFonts w:ascii="仿宋" w:hAnsi="仿宋" w:eastAsia="仿宋"/>
                <w:bCs/>
                <w:szCs w:val="21"/>
              </w:rPr>
              <w:t>、车运</w:t>
            </w:r>
          </w:p>
        </w:tc>
        <w:tc>
          <w:tcPr>
            <w:tcW w:w="809" w:type="dxa"/>
            <w:vAlign w:val="center"/>
          </w:tcPr>
          <w:p>
            <w:pPr>
              <w:jc w:val="center"/>
              <w:rPr>
                <w:rFonts w:ascii="仿宋" w:hAnsi="仿宋" w:eastAsia="仿宋"/>
                <w:bCs/>
                <w:szCs w:val="21"/>
              </w:rPr>
            </w:pPr>
            <w:r>
              <w:rPr>
                <w:rFonts w:hint="eastAsia" w:ascii="仿宋" w:hAnsi="仿宋" w:eastAsia="仿宋"/>
                <w:bCs/>
                <w:szCs w:val="21"/>
              </w:rPr>
              <w:t>1kg</w:t>
            </w:r>
            <w:r>
              <w:rPr>
                <w:rFonts w:ascii="仿宋" w:hAnsi="仿宋" w:eastAsia="仿宋"/>
                <w:bCs/>
                <w:szCs w:val="21"/>
              </w:rPr>
              <w:t>/</w:t>
            </w:r>
            <w:r>
              <w:rPr>
                <w:rFonts w:hint="eastAsia" w:ascii="仿宋" w:hAnsi="仿宋" w:eastAsia="仿宋"/>
                <w:bCs/>
                <w:szCs w:val="21"/>
              </w:rPr>
              <w:t>桶</w:t>
            </w:r>
          </w:p>
        </w:tc>
        <w:tc>
          <w:tcPr>
            <w:tcW w:w="812" w:type="dxa"/>
            <w:vAlign w:val="center"/>
          </w:tcPr>
          <w:p>
            <w:pPr>
              <w:jc w:val="center"/>
              <w:rPr>
                <w:rFonts w:ascii="仿宋" w:hAnsi="仿宋" w:eastAsia="仿宋"/>
                <w:bCs/>
                <w:szCs w:val="21"/>
              </w:rPr>
            </w:pPr>
            <w:r>
              <w:rPr>
                <w:rFonts w:hint="eastAsia" w:ascii="仿宋" w:hAnsi="仿宋" w:eastAsia="仿宋"/>
                <w:bCs/>
                <w:szCs w:val="21"/>
              </w:rPr>
              <w:t>0.1</w:t>
            </w:r>
          </w:p>
        </w:tc>
        <w:tc>
          <w:tcPr>
            <w:tcW w:w="903" w:type="dxa"/>
            <w:vAlign w:val="center"/>
          </w:tcPr>
          <w:p>
            <w:pPr>
              <w:jc w:val="center"/>
              <w:rPr>
                <w:rFonts w:ascii="仿宋" w:hAnsi="仿宋" w:eastAsia="仿宋"/>
                <w:bCs/>
                <w:szCs w:val="21"/>
              </w:rPr>
            </w:pPr>
            <w:r>
              <w:rPr>
                <w:rFonts w:ascii="仿宋" w:hAnsi="仿宋" w:eastAsia="仿宋"/>
                <w:bCs/>
                <w:szCs w:val="21"/>
              </w:rPr>
              <w:t>原材料仓库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5" w:type="dxa"/>
            <w:vMerge w:val="continue"/>
            <w:vAlign w:val="center"/>
          </w:tcPr>
          <w:p>
            <w:pPr>
              <w:jc w:val="center"/>
              <w:rPr>
                <w:rFonts w:ascii="仿宋" w:hAnsi="仿宋" w:eastAsia="仿宋"/>
                <w:bCs/>
                <w:szCs w:val="21"/>
              </w:rPr>
            </w:pPr>
          </w:p>
        </w:tc>
        <w:tc>
          <w:tcPr>
            <w:tcW w:w="622" w:type="dxa"/>
            <w:vMerge w:val="continue"/>
            <w:vAlign w:val="center"/>
          </w:tcPr>
          <w:p>
            <w:pPr>
              <w:jc w:val="center"/>
              <w:rPr>
                <w:rFonts w:ascii="仿宋" w:hAnsi="仿宋" w:eastAsia="仿宋"/>
                <w:bCs/>
                <w:szCs w:val="21"/>
              </w:rPr>
            </w:pPr>
          </w:p>
        </w:tc>
        <w:tc>
          <w:tcPr>
            <w:tcW w:w="1094" w:type="dxa"/>
            <w:vAlign w:val="center"/>
          </w:tcPr>
          <w:p>
            <w:pPr>
              <w:jc w:val="center"/>
              <w:rPr>
                <w:rFonts w:ascii="仿宋" w:hAnsi="仿宋" w:eastAsia="仿宋"/>
                <w:bCs/>
                <w:szCs w:val="21"/>
              </w:rPr>
            </w:pPr>
            <w:r>
              <w:rPr>
                <w:rFonts w:hint="eastAsia" w:ascii="仿宋" w:hAnsi="仿宋" w:eastAsia="仿宋"/>
                <w:bCs/>
                <w:szCs w:val="21"/>
              </w:rPr>
              <w:t>PET膜</w:t>
            </w:r>
          </w:p>
        </w:tc>
        <w:tc>
          <w:tcPr>
            <w:tcW w:w="1608" w:type="dxa"/>
            <w:vAlign w:val="center"/>
          </w:tcPr>
          <w:p>
            <w:pPr>
              <w:jc w:val="center"/>
              <w:rPr>
                <w:rFonts w:ascii="仿宋" w:hAnsi="仿宋" w:eastAsia="仿宋"/>
                <w:bCs/>
                <w:szCs w:val="21"/>
              </w:rPr>
            </w:pPr>
            <w:r>
              <w:rPr>
                <w:rFonts w:ascii="仿宋" w:hAnsi="仿宋" w:eastAsia="仿宋"/>
                <w:bCs/>
                <w:szCs w:val="21"/>
              </w:rPr>
              <w:t>20500000</w:t>
            </w:r>
            <w:r>
              <w:rPr>
                <w:rFonts w:hint="eastAsia" w:ascii="仿宋" w:hAnsi="仿宋" w:eastAsia="仿宋"/>
                <w:bCs/>
                <w:szCs w:val="21"/>
              </w:rPr>
              <w:t>m</w:t>
            </w:r>
            <w:r>
              <w:rPr>
                <w:rFonts w:hint="eastAsia" w:ascii="仿宋" w:hAnsi="仿宋" w:eastAsia="仿宋"/>
                <w:bCs/>
                <w:szCs w:val="21"/>
                <w:vertAlign w:val="superscript"/>
              </w:rPr>
              <w:t>2</w:t>
            </w:r>
            <w:r>
              <w:rPr>
                <w:rFonts w:hint="eastAsia" w:ascii="仿宋" w:hAnsi="仿宋" w:eastAsia="仿宋"/>
                <w:bCs/>
                <w:szCs w:val="21"/>
              </w:rPr>
              <w:t>(核算861吨)</w:t>
            </w:r>
          </w:p>
        </w:tc>
        <w:tc>
          <w:tcPr>
            <w:tcW w:w="2136" w:type="dxa"/>
            <w:vAlign w:val="center"/>
          </w:tcPr>
          <w:p>
            <w:pPr>
              <w:jc w:val="center"/>
              <w:rPr>
                <w:rFonts w:ascii="仿宋" w:hAnsi="仿宋" w:eastAsia="仿宋"/>
                <w:bCs/>
                <w:szCs w:val="21"/>
              </w:rPr>
            </w:pPr>
            <w:r>
              <w:rPr>
                <w:rFonts w:ascii="仿宋" w:hAnsi="仿宋" w:eastAsia="仿宋"/>
                <w:bCs/>
                <w:szCs w:val="21"/>
              </w:rPr>
              <w:t>聚对苯二甲酸乙二醇酯</w:t>
            </w:r>
          </w:p>
        </w:tc>
        <w:tc>
          <w:tcPr>
            <w:tcW w:w="542" w:type="dxa"/>
            <w:vAlign w:val="center"/>
          </w:tcPr>
          <w:p>
            <w:pPr>
              <w:jc w:val="center"/>
              <w:rPr>
                <w:rFonts w:ascii="仿宋" w:hAnsi="仿宋" w:eastAsia="仿宋"/>
                <w:bCs/>
                <w:szCs w:val="21"/>
              </w:rPr>
            </w:pPr>
            <w:r>
              <w:rPr>
                <w:rFonts w:hint="eastAsia" w:ascii="仿宋" w:hAnsi="仿宋" w:eastAsia="仿宋"/>
                <w:bCs/>
                <w:szCs w:val="21"/>
              </w:rPr>
              <w:t>固</w:t>
            </w:r>
          </w:p>
        </w:tc>
        <w:tc>
          <w:tcPr>
            <w:tcW w:w="817" w:type="dxa"/>
            <w:vAlign w:val="center"/>
          </w:tcPr>
          <w:p>
            <w:pPr>
              <w:jc w:val="center"/>
            </w:pPr>
            <w:r>
              <w:rPr>
                <w:rFonts w:hint="eastAsia" w:ascii="仿宋" w:hAnsi="仿宋" w:eastAsia="仿宋"/>
                <w:bCs/>
                <w:szCs w:val="21"/>
              </w:rPr>
              <w:t>外购</w:t>
            </w:r>
            <w:r>
              <w:rPr>
                <w:rFonts w:ascii="仿宋" w:hAnsi="仿宋" w:eastAsia="仿宋"/>
                <w:bCs/>
                <w:szCs w:val="21"/>
              </w:rPr>
              <w:t>、车运</w:t>
            </w:r>
          </w:p>
        </w:tc>
        <w:tc>
          <w:tcPr>
            <w:tcW w:w="809" w:type="dxa"/>
            <w:vAlign w:val="center"/>
          </w:tcPr>
          <w:p>
            <w:pPr>
              <w:jc w:val="center"/>
            </w:pPr>
            <w:r>
              <w:rPr>
                <w:rFonts w:ascii="仿宋" w:hAnsi="仿宋" w:eastAsia="仿宋"/>
                <w:bCs/>
                <w:szCs w:val="21"/>
              </w:rPr>
              <w:t>捆装</w:t>
            </w:r>
          </w:p>
        </w:tc>
        <w:tc>
          <w:tcPr>
            <w:tcW w:w="812" w:type="dxa"/>
            <w:vAlign w:val="center"/>
          </w:tcPr>
          <w:p>
            <w:pPr>
              <w:jc w:val="center"/>
              <w:rPr>
                <w:rFonts w:ascii="仿宋" w:hAnsi="仿宋" w:eastAsia="仿宋"/>
                <w:bCs/>
                <w:szCs w:val="21"/>
              </w:rPr>
            </w:pPr>
            <w:r>
              <w:rPr>
                <w:rFonts w:hint="eastAsia" w:ascii="仿宋" w:hAnsi="仿宋" w:eastAsia="仿宋"/>
                <w:bCs/>
                <w:szCs w:val="21"/>
              </w:rPr>
              <w:t>5</w:t>
            </w:r>
          </w:p>
        </w:tc>
        <w:tc>
          <w:tcPr>
            <w:tcW w:w="903" w:type="dxa"/>
            <w:vAlign w:val="center"/>
          </w:tcPr>
          <w:p>
            <w:pPr>
              <w:jc w:val="center"/>
            </w:pPr>
            <w:r>
              <w:rPr>
                <w:rFonts w:ascii="仿宋" w:hAnsi="仿宋" w:eastAsia="仿宋"/>
                <w:bCs/>
                <w:szCs w:val="21"/>
              </w:rPr>
              <w:t>原材料仓库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5" w:type="dxa"/>
            <w:vMerge w:val="continue"/>
            <w:vAlign w:val="center"/>
          </w:tcPr>
          <w:p>
            <w:pPr>
              <w:jc w:val="center"/>
              <w:rPr>
                <w:rFonts w:ascii="仿宋" w:hAnsi="仿宋" w:eastAsia="仿宋"/>
                <w:bCs/>
                <w:szCs w:val="21"/>
              </w:rPr>
            </w:pPr>
          </w:p>
        </w:tc>
        <w:tc>
          <w:tcPr>
            <w:tcW w:w="622" w:type="dxa"/>
            <w:vMerge w:val="continue"/>
            <w:vAlign w:val="center"/>
          </w:tcPr>
          <w:p>
            <w:pPr>
              <w:jc w:val="center"/>
              <w:rPr>
                <w:rFonts w:ascii="仿宋" w:hAnsi="仿宋" w:eastAsia="仿宋"/>
                <w:bCs/>
                <w:szCs w:val="21"/>
              </w:rPr>
            </w:pPr>
          </w:p>
        </w:tc>
        <w:tc>
          <w:tcPr>
            <w:tcW w:w="1094" w:type="dxa"/>
            <w:vAlign w:val="center"/>
          </w:tcPr>
          <w:p>
            <w:pPr>
              <w:jc w:val="center"/>
              <w:rPr>
                <w:rFonts w:ascii="仿宋" w:hAnsi="仿宋" w:eastAsia="仿宋"/>
                <w:bCs/>
                <w:szCs w:val="21"/>
              </w:rPr>
            </w:pPr>
            <w:r>
              <w:rPr>
                <w:rFonts w:hint="eastAsia" w:ascii="仿宋" w:hAnsi="仿宋" w:eastAsia="仿宋"/>
                <w:bCs/>
                <w:szCs w:val="21"/>
              </w:rPr>
              <w:t>PI膜</w:t>
            </w:r>
          </w:p>
        </w:tc>
        <w:tc>
          <w:tcPr>
            <w:tcW w:w="1608" w:type="dxa"/>
            <w:vAlign w:val="center"/>
          </w:tcPr>
          <w:p>
            <w:pPr>
              <w:jc w:val="center"/>
              <w:rPr>
                <w:rFonts w:ascii="仿宋" w:hAnsi="仿宋" w:eastAsia="仿宋"/>
                <w:bCs/>
                <w:szCs w:val="21"/>
              </w:rPr>
            </w:pPr>
            <w:r>
              <w:rPr>
                <w:rFonts w:hint="eastAsia" w:ascii="仿宋" w:hAnsi="仿宋" w:eastAsia="仿宋"/>
                <w:bCs/>
                <w:szCs w:val="21"/>
              </w:rPr>
              <w:t>10</w:t>
            </w:r>
            <w:r>
              <w:rPr>
                <w:rFonts w:ascii="仿宋" w:hAnsi="仿宋" w:eastAsia="仿宋"/>
                <w:bCs/>
                <w:szCs w:val="21"/>
              </w:rPr>
              <w:t>4000</w:t>
            </w:r>
            <w:r>
              <w:rPr>
                <w:rFonts w:hint="eastAsia" w:ascii="仿宋" w:hAnsi="仿宋" w:eastAsia="仿宋"/>
                <w:bCs/>
                <w:szCs w:val="21"/>
              </w:rPr>
              <w:t>00m</w:t>
            </w:r>
            <w:r>
              <w:rPr>
                <w:rFonts w:hint="eastAsia" w:ascii="仿宋" w:hAnsi="仿宋" w:eastAsia="仿宋"/>
                <w:bCs/>
                <w:szCs w:val="21"/>
                <w:vertAlign w:val="superscript"/>
              </w:rPr>
              <w:t>2</w:t>
            </w:r>
            <w:r>
              <w:rPr>
                <w:rFonts w:hint="eastAsia" w:ascii="仿宋" w:hAnsi="仿宋" w:eastAsia="仿宋"/>
                <w:bCs/>
                <w:szCs w:val="21"/>
              </w:rPr>
              <w:t>(核算436.8吨)</w:t>
            </w:r>
          </w:p>
        </w:tc>
        <w:tc>
          <w:tcPr>
            <w:tcW w:w="2136" w:type="dxa"/>
            <w:vAlign w:val="center"/>
          </w:tcPr>
          <w:p>
            <w:pPr>
              <w:jc w:val="center"/>
              <w:rPr>
                <w:rFonts w:ascii="仿宋" w:hAnsi="仿宋" w:eastAsia="仿宋"/>
                <w:bCs/>
                <w:szCs w:val="21"/>
              </w:rPr>
            </w:pPr>
            <w:r>
              <w:rPr>
                <w:rFonts w:ascii="仿宋" w:hAnsi="仿宋" w:eastAsia="仿宋"/>
                <w:bCs/>
                <w:szCs w:val="21"/>
              </w:rPr>
              <w:t>聚酰亚胺</w:t>
            </w:r>
          </w:p>
        </w:tc>
        <w:tc>
          <w:tcPr>
            <w:tcW w:w="542" w:type="dxa"/>
            <w:vAlign w:val="center"/>
          </w:tcPr>
          <w:p>
            <w:pPr>
              <w:jc w:val="center"/>
              <w:rPr>
                <w:rFonts w:ascii="仿宋" w:hAnsi="仿宋" w:eastAsia="仿宋"/>
                <w:bCs/>
                <w:szCs w:val="21"/>
              </w:rPr>
            </w:pPr>
            <w:r>
              <w:rPr>
                <w:rFonts w:hint="eastAsia" w:ascii="仿宋" w:hAnsi="仿宋" w:eastAsia="仿宋"/>
                <w:bCs/>
                <w:szCs w:val="21"/>
              </w:rPr>
              <w:t>固</w:t>
            </w:r>
          </w:p>
        </w:tc>
        <w:tc>
          <w:tcPr>
            <w:tcW w:w="817" w:type="dxa"/>
            <w:vAlign w:val="center"/>
          </w:tcPr>
          <w:p>
            <w:pPr>
              <w:jc w:val="center"/>
            </w:pPr>
            <w:r>
              <w:rPr>
                <w:rFonts w:hint="eastAsia" w:ascii="仿宋" w:hAnsi="仿宋" w:eastAsia="仿宋"/>
                <w:bCs/>
                <w:szCs w:val="21"/>
              </w:rPr>
              <w:t>外购</w:t>
            </w:r>
            <w:r>
              <w:rPr>
                <w:rFonts w:ascii="仿宋" w:hAnsi="仿宋" w:eastAsia="仿宋"/>
                <w:bCs/>
                <w:szCs w:val="21"/>
              </w:rPr>
              <w:t>、车运</w:t>
            </w:r>
          </w:p>
        </w:tc>
        <w:tc>
          <w:tcPr>
            <w:tcW w:w="809" w:type="dxa"/>
            <w:vAlign w:val="center"/>
          </w:tcPr>
          <w:p>
            <w:pPr>
              <w:jc w:val="center"/>
            </w:pPr>
            <w:r>
              <w:rPr>
                <w:rFonts w:ascii="仿宋" w:hAnsi="仿宋" w:eastAsia="仿宋"/>
                <w:bCs/>
                <w:szCs w:val="21"/>
              </w:rPr>
              <w:t>捆装</w:t>
            </w:r>
          </w:p>
        </w:tc>
        <w:tc>
          <w:tcPr>
            <w:tcW w:w="812" w:type="dxa"/>
            <w:vAlign w:val="center"/>
          </w:tcPr>
          <w:p>
            <w:pPr>
              <w:jc w:val="center"/>
              <w:rPr>
                <w:rFonts w:ascii="仿宋" w:hAnsi="仿宋" w:eastAsia="仿宋"/>
                <w:bCs/>
                <w:szCs w:val="21"/>
              </w:rPr>
            </w:pPr>
            <w:r>
              <w:rPr>
                <w:rFonts w:hint="eastAsia" w:ascii="仿宋" w:hAnsi="仿宋" w:eastAsia="仿宋"/>
                <w:bCs/>
                <w:szCs w:val="21"/>
              </w:rPr>
              <w:t>3</w:t>
            </w:r>
          </w:p>
        </w:tc>
        <w:tc>
          <w:tcPr>
            <w:tcW w:w="903" w:type="dxa"/>
            <w:vAlign w:val="center"/>
          </w:tcPr>
          <w:p>
            <w:pPr>
              <w:jc w:val="center"/>
            </w:pPr>
            <w:r>
              <w:rPr>
                <w:rFonts w:ascii="仿宋" w:hAnsi="仿宋" w:eastAsia="仿宋"/>
                <w:bCs/>
                <w:szCs w:val="21"/>
              </w:rPr>
              <w:t>原材料仓库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5" w:type="dxa"/>
            <w:vMerge w:val="continue"/>
            <w:vAlign w:val="center"/>
          </w:tcPr>
          <w:p>
            <w:pPr>
              <w:jc w:val="center"/>
              <w:rPr>
                <w:rFonts w:ascii="仿宋" w:hAnsi="仿宋" w:eastAsia="仿宋"/>
                <w:bCs/>
                <w:szCs w:val="21"/>
              </w:rPr>
            </w:pPr>
          </w:p>
        </w:tc>
        <w:tc>
          <w:tcPr>
            <w:tcW w:w="622" w:type="dxa"/>
            <w:vMerge w:val="restart"/>
            <w:vAlign w:val="center"/>
          </w:tcPr>
          <w:p>
            <w:pPr>
              <w:jc w:val="center"/>
              <w:rPr>
                <w:rFonts w:ascii="仿宋" w:hAnsi="仿宋" w:eastAsia="仿宋"/>
                <w:bCs/>
                <w:szCs w:val="21"/>
              </w:rPr>
            </w:pPr>
            <w:r>
              <w:rPr>
                <w:rFonts w:hint="eastAsia" w:ascii="仿宋" w:hAnsi="仿宋" w:eastAsia="仿宋"/>
                <w:bCs/>
                <w:szCs w:val="21"/>
              </w:rPr>
              <w:t>辅料</w:t>
            </w:r>
          </w:p>
        </w:tc>
        <w:tc>
          <w:tcPr>
            <w:tcW w:w="1094" w:type="dxa"/>
            <w:vAlign w:val="center"/>
          </w:tcPr>
          <w:p>
            <w:pPr>
              <w:jc w:val="center"/>
              <w:rPr>
                <w:rFonts w:ascii="仿宋" w:hAnsi="仿宋" w:eastAsia="仿宋"/>
                <w:bCs/>
                <w:szCs w:val="21"/>
              </w:rPr>
            </w:pPr>
            <w:r>
              <w:rPr>
                <w:rFonts w:hint="eastAsia" w:ascii="仿宋" w:hAnsi="仿宋" w:eastAsia="仿宋"/>
                <w:bCs/>
                <w:szCs w:val="21"/>
              </w:rPr>
              <w:t>ABS管</w:t>
            </w:r>
            <w:r>
              <w:rPr>
                <w:rFonts w:ascii="仿宋" w:hAnsi="仿宋" w:eastAsia="仿宋"/>
                <w:bCs/>
                <w:szCs w:val="21"/>
              </w:rPr>
              <w:t>芯</w:t>
            </w:r>
          </w:p>
        </w:tc>
        <w:tc>
          <w:tcPr>
            <w:tcW w:w="1608" w:type="dxa"/>
            <w:vAlign w:val="center"/>
          </w:tcPr>
          <w:p>
            <w:pPr>
              <w:jc w:val="center"/>
              <w:rPr>
                <w:rFonts w:ascii="仿宋" w:hAnsi="仿宋" w:eastAsia="仿宋"/>
                <w:bCs/>
                <w:szCs w:val="21"/>
              </w:rPr>
            </w:pPr>
            <w:r>
              <w:rPr>
                <w:rFonts w:hint="eastAsia" w:ascii="仿宋" w:hAnsi="仿宋" w:eastAsia="仿宋"/>
                <w:bCs/>
                <w:szCs w:val="21"/>
              </w:rPr>
              <w:t>40</w:t>
            </w:r>
          </w:p>
        </w:tc>
        <w:tc>
          <w:tcPr>
            <w:tcW w:w="2136" w:type="dxa"/>
            <w:vAlign w:val="center"/>
          </w:tcPr>
          <w:p>
            <w:pPr>
              <w:jc w:val="center"/>
              <w:rPr>
                <w:rFonts w:ascii="仿宋" w:hAnsi="仿宋" w:eastAsia="仿宋"/>
                <w:bCs/>
                <w:szCs w:val="21"/>
              </w:rPr>
            </w:pPr>
            <w:r>
              <w:rPr>
                <w:rFonts w:ascii="仿宋" w:hAnsi="仿宋" w:eastAsia="仿宋"/>
                <w:bCs/>
                <w:szCs w:val="21"/>
              </w:rPr>
              <w:t>丙烯腈-丁二烯-苯乙烯</w:t>
            </w:r>
          </w:p>
        </w:tc>
        <w:tc>
          <w:tcPr>
            <w:tcW w:w="542" w:type="dxa"/>
            <w:vAlign w:val="center"/>
          </w:tcPr>
          <w:p>
            <w:pPr>
              <w:jc w:val="center"/>
              <w:rPr>
                <w:rFonts w:ascii="仿宋" w:hAnsi="仿宋" w:eastAsia="仿宋"/>
                <w:bCs/>
                <w:szCs w:val="21"/>
              </w:rPr>
            </w:pPr>
            <w:r>
              <w:rPr>
                <w:rFonts w:hint="eastAsia" w:ascii="仿宋" w:hAnsi="仿宋" w:eastAsia="仿宋"/>
                <w:bCs/>
                <w:szCs w:val="21"/>
              </w:rPr>
              <w:t>固</w:t>
            </w:r>
          </w:p>
        </w:tc>
        <w:tc>
          <w:tcPr>
            <w:tcW w:w="817" w:type="dxa"/>
            <w:vAlign w:val="center"/>
          </w:tcPr>
          <w:p>
            <w:pPr>
              <w:jc w:val="center"/>
              <w:rPr>
                <w:rFonts w:ascii="仿宋" w:hAnsi="仿宋" w:eastAsia="仿宋"/>
                <w:bCs/>
                <w:szCs w:val="21"/>
              </w:rPr>
            </w:pPr>
            <w:r>
              <w:rPr>
                <w:rFonts w:hint="eastAsia" w:ascii="仿宋" w:hAnsi="仿宋" w:eastAsia="仿宋"/>
                <w:bCs/>
                <w:szCs w:val="21"/>
              </w:rPr>
              <w:t>外购</w:t>
            </w:r>
            <w:r>
              <w:rPr>
                <w:rFonts w:ascii="仿宋" w:hAnsi="仿宋" w:eastAsia="仿宋"/>
                <w:bCs/>
                <w:szCs w:val="21"/>
              </w:rPr>
              <w:t>、车运</w:t>
            </w:r>
          </w:p>
        </w:tc>
        <w:tc>
          <w:tcPr>
            <w:tcW w:w="809" w:type="dxa"/>
            <w:vAlign w:val="center"/>
          </w:tcPr>
          <w:p>
            <w:pPr>
              <w:jc w:val="center"/>
            </w:pPr>
            <w:r>
              <w:rPr>
                <w:rFonts w:ascii="仿宋" w:hAnsi="仿宋" w:eastAsia="仿宋"/>
                <w:bCs/>
                <w:szCs w:val="21"/>
              </w:rPr>
              <w:t>捆装</w:t>
            </w:r>
          </w:p>
        </w:tc>
        <w:tc>
          <w:tcPr>
            <w:tcW w:w="812" w:type="dxa"/>
            <w:vAlign w:val="center"/>
          </w:tcPr>
          <w:p>
            <w:pPr>
              <w:jc w:val="center"/>
              <w:rPr>
                <w:rFonts w:ascii="仿宋" w:hAnsi="仿宋" w:eastAsia="仿宋"/>
                <w:bCs/>
                <w:szCs w:val="21"/>
              </w:rPr>
            </w:pPr>
            <w:r>
              <w:rPr>
                <w:rFonts w:hint="eastAsia" w:ascii="仿宋" w:hAnsi="仿宋" w:eastAsia="仿宋"/>
                <w:bCs/>
                <w:szCs w:val="21"/>
              </w:rPr>
              <w:t>5</w:t>
            </w:r>
          </w:p>
        </w:tc>
        <w:tc>
          <w:tcPr>
            <w:tcW w:w="903" w:type="dxa"/>
            <w:vAlign w:val="center"/>
          </w:tcPr>
          <w:p>
            <w:pPr>
              <w:jc w:val="center"/>
              <w:rPr>
                <w:rFonts w:ascii="仿宋" w:hAnsi="仿宋" w:eastAsia="仿宋"/>
                <w:bCs/>
                <w:szCs w:val="21"/>
              </w:rPr>
            </w:pPr>
            <w:r>
              <w:rPr>
                <w:rFonts w:ascii="仿宋" w:hAnsi="仿宋" w:eastAsia="仿宋"/>
                <w:bCs/>
                <w:szCs w:val="21"/>
              </w:rPr>
              <w:t>原材料仓库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5" w:type="dxa"/>
            <w:vMerge w:val="continue"/>
            <w:vAlign w:val="center"/>
          </w:tcPr>
          <w:p>
            <w:pPr>
              <w:jc w:val="center"/>
              <w:rPr>
                <w:rFonts w:ascii="仿宋" w:hAnsi="仿宋" w:eastAsia="仿宋"/>
                <w:bCs/>
                <w:szCs w:val="21"/>
              </w:rPr>
            </w:pPr>
          </w:p>
        </w:tc>
        <w:tc>
          <w:tcPr>
            <w:tcW w:w="622" w:type="dxa"/>
            <w:vMerge w:val="continue"/>
            <w:vAlign w:val="center"/>
          </w:tcPr>
          <w:p>
            <w:pPr>
              <w:jc w:val="center"/>
              <w:rPr>
                <w:rFonts w:ascii="仿宋" w:hAnsi="仿宋" w:eastAsia="仿宋"/>
                <w:bCs/>
                <w:szCs w:val="21"/>
              </w:rPr>
            </w:pPr>
          </w:p>
        </w:tc>
        <w:tc>
          <w:tcPr>
            <w:tcW w:w="1094" w:type="dxa"/>
            <w:vAlign w:val="center"/>
          </w:tcPr>
          <w:p>
            <w:pPr>
              <w:jc w:val="center"/>
              <w:rPr>
                <w:rFonts w:ascii="仿宋" w:hAnsi="仿宋" w:eastAsia="仿宋"/>
                <w:bCs/>
                <w:szCs w:val="21"/>
              </w:rPr>
            </w:pPr>
            <w:r>
              <w:rPr>
                <w:rFonts w:hint="eastAsia" w:ascii="仿宋" w:hAnsi="仿宋" w:eastAsia="仿宋"/>
                <w:bCs/>
                <w:szCs w:val="21"/>
              </w:rPr>
              <w:t>纸芯</w:t>
            </w:r>
          </w:p>
        </w:tc>
        <w:tc>
          <w:tcPr>
            <w:tcW w:w="1608" w:type="dxa"/>
            <w:vAlign w:val="center"/>
          </w:tcPr>
          <w:p>
            <w:pPr>
              <w:jc w:val="center"/>
              <w:rPr>
                <w:rFonts w:ascii="仿宋" w:hAnsi="仿宋" w:eastAsia="仿宋"/>
                <w:bCs/>
                <w:szCs w:val="21"/>
              </w:rPr>
            </w:pPr>
            <w:r>
              <w:rPr>
                <w:rFonts w:hint="eastAsia" w:ascii="仿宋" w:hAnsi="仿宋" w:eastAsia="仿宋"/>
                <w:bCs/>
                <w:szCs w:val="21"/>
              </w:rPr>
              <w:t>40</w:t>
            </w:r>
          </w:p>
        </w:tc>
        <w:tc>
          <w:tcPr>
            <w:tcW w:w="2136" w:type="dxa"/>
            <w:vAlign w:val="center"/>
          </w:tcPr>
          <w:p>
            <w:pPr>
              <w:jc w:val="center"/>
              <w:rPr>
                <w:rFonts w:ascii="仿宋" w:hAnsi="仿宋" w:eastAsia="仿宋"/>
                <w:bCs/>
                <w:szCs w:val="21"/>
              </w:rPr>
            </w:pPr>
            <w:r>
              <w:rPr>
                <w:rFonts w:ascii="仿宋" w:hAnsi="仿宋" w:eastAsia="仿宋"/>
                <w:bCs/>
                <w:szCs w:val="21"/>
              </w:rPr>
              <w:t>纸桶</w:t>
            </w:r>
          </w:p>
        </w:tc>
        <w:tc>
          <w:tcPr>
            <w:tcW w:w="542" w:type="dxa"/>
            <w:vAlign w:val="center"/>
          </w:tcPr>
          <w:p>
            <w:pPr>
              <w:jc w:val="center"/>
              <w:rPr>
                <w:rFonts w:ascii="仿宋" w:hAnsi="仿宋" w:eastAsia="仿宋"/>
                <w:bCs/>
                <w:szCs w:val="21"/>
              </w:rPr>
            </w:pPr>
            <w:r>
              <w:rPr>
                <w:rFonts w:hint="eastAsia" w:ascii="仿宋" w:hAnsi="仿宋" w:eastAsia="仿宋"/>
                <w:bCs/>
                <w:szCs w:val="21"/>
              </w:rPr>
              <w:t>固</w:t>
            </w:r>
          </w:p>
        </w:tc>
        <w:tc>
          <w:tcPr>
            <w:tcW w:w="817" w:type="dxa"/>
            <w:vAlign w:val="center"/>
          </w:tcPr>
          <w:p>
            <w:pPr>
              <w:jc w:val="center"/>
              <w:rPr>
                <w:rFonts w:ascii="仿宋" w:hAnsi="仿宋" w:eastAsia="仿宋"/>
                <w:bCs/>
                <w:szCs w:val="21"/>
              </w:rPr>
            </w:pPr>
            <w:r>
              <w:rPr>
                <w:rFonts w:hint="eastAsia" w:ascii="仿宋" w:hAnsi="仿宋" w:eastAsia="仿宋"/>
                <w:bCs/>
                <w:szCs w:val="21"/>
              </w:rPr>
              <w:t>外购</w:t>
            </w:r>
            <w:r>
              <w:rPr>
                <w:rFonts w:ascii="仿宋" w:hAnsi="仿宋" w:eastAsia="仿宋"/>
                <w:bCs/>
                <w:szCs w:val="21"/>
              </w:rPr>
              <w:t>、车运</w:t>
            </w:r>
          </w:p>
        </w:tc>
        <w:tc>
          <w:tcPr>
            <w:tcW w:w="809" w:type="dxa"/>
            <w:vAlign w:val="center"/>
          </w:tcPr>
          <w:p>
            <w:pPr>
              <w:jc w:val="center"/>
            </w:pPr>
            <w:r>
              <w:rPr>
                <w:rFonts w:ascii="仿宋" w:hAnsi="仿宋" w:eastAsia="仿宋"/>
                <w:bCs/>
                <w:szCs w:val="21"/>
              </w:rPr>
              <w:t>捆装</w:t>
            </w:r>
          </w:p>
        </w:tc>
        <w:tc>
          <w:tcPr>
            <w:tcW w:w="812" w:type="dxa"/>
            <w:vAlign w:val="center"/>
          </w:tcPr>
          <w:p>
            <w:pPr>
              <w:jc w:val="center"/>
              <w:rPr>
                <w:rFonts w:ascii="仿宋" w:hAnsi="仿宋" w:eastAsia="仿宋"/>
                <w:bCs/>
                <w:szCs w:val="21"/>
              </w:rPr>
            </w:pPr>
            <w:r>
              <w:rPr>
                <w:rFonts w:hint="eastAsia" w:ascii="仿宋" w:hAnsi="仿宋" w:eastAsia="仿宋"/>
                <w:bCs/>
                <w:szCs w:val="21"/>
              </w:rPr>
              <w:t>5</w:t>
            </w:r>
          </w:p>
        </w:tc>
        <w:tc>
          <w:tcPr>
            <w:tcW w:w="903" w:type="dxa"/>
            <w:vAlign w:val="center"/>
          </w:tcPr>
          <w:p>
            <w:pPr>
              <w:jc w:val="center"/>
              <w:rPr>
                <w:rFonts w:ascii="仿宋" w:hAnsi="仿宋" w:eastAsia="仿宋"/>
                <w:bCs/>
                <w:szCs w:val="21"/>
              </w:rPr>
            </w:pPr>
            <w:r>
              <w:rPr>
                <w:rFonts w:ascii="仿宋" w:hAnsi="仿宋" w:eastAsia="仿宋"/>
                <w:bCs/>
                <w:szCs w:val="21"/>
              </w:rPr>
              <w:t>原材料仓库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5" w:type="dxa"/>
            <w:vMerge w:val="continue"/>
            <w:vAlign w:val="center"/>
          </w:tcPr>
          <w:p>
            <w:pPr>
              <w:jc w:val="center"/>
              <w:rPr>
                <w:rFonts w:ascii="仿宋" w:hAnsi="仿宋" w:eastAsia="仿宋"/>
                <w:bCs/>
                <w:szCs w:val="21"/>
              </w:rPr>
            </w:pPr>
          </w:p>
        </w:tc>
        <w:tc>
          <w:tcPr>
            <w:tcW w:w="622" w:type="dxa"/>
            <w:vMerge w:val="continue"/>
            <w:vAlign w:val="center"/>
          </w:tcPr>
          <w:p>
            <w:pPr>
              <w:jc w:val="center"/>
              <w:rPr>
                <w:rFonts w:ascii="仿宋" w:hAnsi="仿宋" w:eastAsia="仿宋"/>
                <w:bCs/>
                <w:szCs w:val="21"/>
              </w:rPr>
            </w:pPr>
          </w:p>
        </w:tc>
        <w:tc>
          <w:tcPr>
            <w:tcW w:w="1094" w:type="dxa"/>
            <w:vAlign w:val="center"/>
          </w:tcPr>
          <w:p>
            <w:pPr>
              <w:jc w:val="center"/>
              <w:rPr>
                <w:rFonts w:ascii="仿宋" w:hAnsi="仿宋" w:eastAsia="仿宋"/>
                <w:bCs/>
                <w:szCs w:val="21"/>
              </w:rPr>
            </w:pPr>
            <w:r>
              <w:rPr>
                <w:rFonts w:hint="eastAsia" w:ascii="仿宋" w:hAnsi="仿宋" w:eastAsia="仿宋"/>
                <w:bCs/>
                <w:szCs w:val="21"/>
              </w:rPr>
              <w:t>机油</w:t>
            </w:r>
          </w:p>
        </w:tc>
        <w:tc>
          <w:tcPr>
            <w:tcW w:w="1608" w:type="dxa"/>
            <w:vAlign w:val="center"/>
          </w:tcPr>
          <w:p>
            <w:pPr>
              <w:jc w:val="center"/>
              <w:rPr>
                <w:rFonts w:ascii="仿宋" w:hAnsi="仿宋" w:eastAsia="仿宋"/>
                <w:bCs/>
                <w:szCs w:val="21"/>
              </w:rPr>
            </w:pPr>
            <w:r>
              <w:rPr>
                <w:rFonts w:hint="eastAsia" w:ascii="仿宋" w:hAnsi="仿宋" w:eastAsia="仿宋"/>
                <w:bCs/>
                <w:szCs w:val="21"/>
              </w:rPr>
              <w:t>1</w:t>
            </w:r>
          </w:p>
        </w:tc>
        <w:tc>
          <w:tcPr>
            <w:tcW w:w="2136" w:type="dxa"/>
            <w:vAlign w:val="center"/>
          </w:tcPr>
          <w:p>
            <w:pPr>
              <w:jc w:val="center"/>
              <w:rPr>
                <w:rFonts w:ascii="仿宋" w:hAnsi="仿宋" w:eastAsia="仿宋"/>
                <w:bCs/>
                <w:szCs w:val="21"/>
              </w:rPr>
            </w:pPr>
            <w:r>
              <w:rPr>
                <w:rFonts w:hint="eastAsia" w:ascii="仿宋" w:hAnsi="仿宋" w:eastAsia="仿宋"/>
                <w:bCs/>
                <w:szCs w:val="21"/>
              </w:rPr>
              <w:t>油类</w:t>
            </w:r>
            <w:r>
              <w:rPr>
                <w:rFonts w:ascii="仿宋" w:hAnsi="仿宋" w:eastAsia="仿宋"/>
                <w:bCs/>
                <w:szCs w:val="21"/>
              </w:rPr>
              <w:t>物质</w:t>
            </w:r>
          </w:p>
        </w:tc>
        <w:tc>
          <w:tcPr>
            <w:tcW w:w="542" w:type="dxa"/>
            <w:vAlign w:val="center"/>
          </w:tcPr>
          <w:p>
            <w:pPr>
              <w:jc w:val="center"/>
              <w:rPr>
                <w:rFonts w:ascii="仿宋" w:hAnsi="仿宋" w:eastAsia="仿宋"/>
                <w:bCs/>
                <w:szCs w:val="21"/>
              </w:rPr>
            </w:pPr>
            <w:r>
              <w:rPr>
                <w:rFonts w:hint="eastAsia" w:ascii="仿宋" w:hAnsi="仿宋" w:eastAsia="仿宋"/>
                <w:bCs/>
                <w:szCs w:val="21"/>
              </w:rPr>
              <w:t>液态</w:t>
            </w:r>
          </w:p>
        </w:tc>
        <w:tc>
          <w:tcPr>
            <w:tcW w:w="817" w:type="dxa"/>
            <w:vAlign w:val="center"/>
          </w:tcPr>
          <w:p>
            <w:pPr>
              <w:jc w:val="center"/>
              <w:rPr>
                <w:rFonts w:ascii="仿宋" w:hAnsi="仿宋" w:eastAsia="仿宋"/>
                <w:bCs/>
                <w:szCs w:val="21"/>
              </w:rPr>
            </w:pPr>
            <w:r>
              <w:rPr>
                <w:rFonts w:hint="eastAsia" w:ascii="仿宋" w:hAnsi="仿宋" w:eastAsia="仿宋"/>
                <w:bCs/>
                <w:szCs w:val="21"/>
              </w:rPr>
              <w:t>外购</w:t>
            </w:r>
            <w:r>
              <w:rPr>
                <w:rFonts w:ascii="仿宋" w:hAnsi="仿宋" w:eastAsia="仿宋"/>
                <w:bCs/>
                <w:szCs w:val="21"/>
              </w:rPr>
              <w:t>、车运</w:t>
            </w:r>
          </w:p>
        </w:tc>
        <w:tc>
          <w:tcPr>
            <w:tcW w:w="809" w:type="dxa"/>
            <w:vAlign w:val="center"/>
          </w:tcPr>
          <w:p>
            <w:pPr>
              <w:jc w:val="center"/>
              <w:rPr>
                <w:rFonts w:ascii="仿宋" w:hAnsi="仿宋" w:eastAsia="仿宋"/>
                <w:bCs/>
                <w:szCs w:val="21"/>
              </w:rPr>
            </w:pPr>
            <w:r>
              <w:rPr>
                <w:rFonts w:hint="eastAsia" w:ascii="仿宋" w:hAnsi="仿宋" w:eastAsia="仿宋"/>
                <w:bCs/>
                <w:szCs w:val="21"/>
              </w:rPr>
              <w:t>桶装</w:t>
            </w:r>
          </w:p>
        </w:tc>
        <w:tc>
          <w:tcPr>
            <w:tcW w:w="812" w:type="dxa"/>
            <w:vAlign w:val="center"/>
          </w:tcPr>
          <w:p>
            <w:pPr>
              <w:jc w:val="center"/>
              <w:rPr>
                <w:rFonts w:ascii="仿宋" w:hAnsi="仿宋" w:eastAsia="仿宋"/>
                <w:bCs/>
                <w:szCs w:val="21"/>
              </w:rPr>
            </w:pPr>
            <w:r>
              <w:rPr>
                <w:rFonts w:ascii="仿宋" w:hAnsi="仿宋" w:eastAsia="仿宋"/>
                <w:bCs/>
                <w:szCs w:val="21"/>
              </w:rPr>
              <w:t>1</w:t>
            </w:r>
          </w:p>
        </w:tc>
        <w:tc>
          <w:tcPr>
            <w:tcW w:w="903" w:type="dxa"/>
            <w:vAlign w:val="center"/>
          </w:tcPr>
          <w:p>
            <w:pPr>
              <w:jc w:val="center"/>
              <w:rPr>
                <w:rFonts w:ascii="仿宋" w:hAnsi="仿宋" w:eastAsia="仿宋"/>
                <w:bCs/>
                <w:szCs w:val="21"/>
              </w:rPr>
            </w:pPr>
            <w:r>
              <w:rPr>
                <w:rFonts w:ascii="仿宋" w:hAnsi="仿宋" w:eastAsia="仿宋"/>
                <w:bCs/>
                <w:szCs w:val="21"/>
              </w:rPr>
              <w:t>原材料仓库</w:t>
            </w:r>
          </w:p>
        </w:tc>
      </w:tr>
    </w:tbl>
    <w:p>
      <w:pPr>
        <w:spacing w:line="500" w:lineRule="exact"/>
        <w:ind w:firstLine="840" w:firstLineChars="300"/>
        <w:rPr>
          <w:rFonts w:eastAsia="仿宋_GB2312"/>
          <w:sz w:val="28"/>
          <w:szCs w:val="28"/>
        </w:rPr>
      </w:pPr>
      <w:r>
        <w:rPr>
          <w:rFonts w:hint="eastAsia" w:eastAsia="仿宋_GB2312"/>
          <w:sz w:val="28"/>
          <w:szCs w:val="28"/>
        </w:rPr>
        <w:t>本项目胶粘剂委托湖州绿田新</w:t>
      </w:r>
      <w:r>
        <w:rPr>
          <w:rFonts w:eastAsia="仿宋_GB2312"/>
          <w:sz w:val="28"/>
          <w:szCs w:val="28"/>
        </w:rPr>
        <w:t>材料有限公司</w:t>
      </w:r>
      <w:r>
        <w:rPr>
          <w:rFonts w:hint="eastAsia" w:eastAsia="仿宋_GB2312"/>
          <w:sz w:val="28"/>
          <w:szCs w:val="28"/>
        </w:rPr>
        <w:t>进行调配，属于此公司的溶剂型压敏胶系列产品，此公司《</w:t>
      </w:r>
      <w:r>
        <w:rPr>
          <w:rFonts w:eastAsia="仿宋_GB2312"/>
          <w:sz w:val="28"/>
          <w:szCs w:val="28"/>
        </w:rPr>
        <w:t>年产</w:t>
      </w:r>
      <w:r>
        <w:rPr>
          <w:rFonts w:hint="eastAsia" w:eastAsia="仿宋_GB2312"/>
          <w:sz w:val="28"/>
          <w:szCs w:val="28"/>
        </w:rPr>
        <w:t>2</w:t>
      </w:r>
      <w:r>
        <w:rPr>
          <w:rFonts w:eastAsia="仿宋_GB2312"/>
          <w:sz w:val="28"/>
          <w:szCs w:val="28"/>
        </w:rPr>
        <w:t>0000吨</w:t>
      </w:r>
      <w:r>
        <w:rPr>
          <w:rFonts w:hint="eastAsia" w:eastAsia="仿宋_GB2312"/>
          <w:sz w:val="28"/>
          <w:szCs w:val="28"/>
        </w:rPr>
        <w:t>压敏胶</w:t>
      </w:r>
      <w:r>
        <w:rPr>
          <w:rFonts w:eastAsia="仿宋_GB2312"/>
          <w:sz w:val="28"/>
          <w:szCs w:val="28"/>
        </w:rPr>
        <w:t>及</w:t>
      </w:r>
      <w:r>
        <w:rPr>
          <w:rFonts w:hint="eastAsia" w:eastAsia="仿宋_GB2312"/>
          <w:sz w:val="28"/>
          <w:szCs w:val="28"/>
        </w:rPr>
        <w:t>3000万平方光学薄膜</w:t>
      </w:r>
      <w:r>
        <w:rPr>
          <w:rFonts w:eastAsia="仿宋_GB2312"/>
          <w:sz w:val="28"/>
          <w:szCs w:val="28"/>
        </w:rPr>
        <w:t>项</w:t>
      </w:r>
      <w:r>
        <w:rPr>
          <w:rFonts w:hint="eastAsia" w:eastAsia="仿宋_GB2312"/>
          <w:sz w:val="28"/>
          <w:szCs w:val="28"/>
        </w:rPr>
        <w:t>目》已于2</w:t>
      </w:r>
      <w:r>
        <w:rPr>
          <w:rFonts w:eastAsia="仿宋_GB2312"/>
          <w:sz w:val="28"/>
          <w:szCs w:val="28"/>
        </w:rPr>
        <w:t>017</w:t>
      </w:r>
      <w:r>
        <w:rPr>
          <w:rFonts w:hint="eastAsia" w:eastAsia="仿宋_GB2312"/>
          <w:sz w:val="28"/>
          <w:szCs w:val="28"/>
        </w:rPr>
        <w:t>年2月1</w:t>
      </w:r>
      <w:r>
        <w:rPr>
          <w:rFonts w:eastAsia="仿宋_GB2312"/>
          <w:sz w:val="28"/>
          <w:szCs w:val="28"/>
        </w:rPr>
        <w:t>4</w:t>
      </w:r>
      <w:r>
        <w:rPr>
          <w:rFonts w:hint="eastAsia" w:eastAsia="仿宋_GB2312"/>
          <w:sz w:val="28"/>
          <w:szCs w:val="28"/>
        </w:rPr>
        <w:t>日取得湖州市环境保护局的批复（湖环建[</w:t>
      </w:r>
      <w:r>
        <w:rPr>
          <w:rFonts w:eastAsia="仿宋_GB2312"/>
          <w:sz w:val="28"/>
          <w:szCs w:val="28"/>
        </w:rPr>
        <w:t>2017]1</w:t>
      </w:r>
      <w:r>
        <w:rPr>
          <w:rFonts w:hint="eastAsia" w:eastAsia="仿宋_GB2312"/>
          <w:sz w:val="28"/>
          <w:szCs w:val="28"/>
        </w:rPr>
        <w:t>号），并于2</w:t>
      </w:r>
      <w:r>
        <w:rPr>
          <w:rFonts w:eastAsia="仿宋_GB2312"/>
          <w:sz w:val="28"/>
          <w:szCs w:val="28"/>
        </w:rPr>
        <w:t>020</w:t>
      </w:r>
      <w:r>
        <w:rPr>
          <w:rFonts w:hint="eastAsia" w:eastAsia="仿宋_GB2312"/>
          <w:sz w:val="28"/>
          <w:szCs w:val="28"/>
        </w:rPr>
        <w:t>年7月完成自主验收，有能力对本项目原材料进行调配。丙烯酸酯胶粘剂：色浆：溶剂=</w:t>
      </w:r>
      <w:r>
        <w:rPr>
          <w:rFonts w:eastAsia="仿宋_GB2312"/>
          <w:sz w:val="28"/>
          <w:szCs w:val="28"/>
        </w:rPr>
        <w:t>67:15:18</w:t>
      </w:r>
      <w:r>
        <w:rPr>
          <w:rFonts w:hint="eastAsia" w:eastAsia="仿宋_GB2312"/>
          <w:sz w:val="28"/>
          <w:szCs w:val="28"/>
        </w:rPr>
        <w:t>的比例进行调配，调配完成后密闭保存后运输至本厂区，使用的原料情况如下：</w:t>
      </w:r>
    </w:p>
    <w:p>
      <w:pPr>
        <w:adjustRightInd w:val="0"/>
        <w:snapToGrid w:val="0"/>
        <w:spacing w:line="500" w:lineRule="exact"/>
        <w:ind w:firstLine="482" w:firstLineChars="200"/>
        <w:jc w:val="center"/>
        <w:rPr>
          <w:rFonts w:eastAsia="仿宋_GB2312"/>
          <w:b/>
          <w:bCs/>
          <w:sz w:val="24"/>
        </w:rPr>
      </w:pPr>
      <w:r>
        <w:rPr>
          <w:rFonts w:eastAsia="仿宋_GB2312"/>
          <w:b/>
          <w:bCs/>
          <w:sz w:val="24"/>
        </w:rPr>
        <w:t>表3.</w:t>
      </w:r>
      <w:r>
        <w:rPr>
          <w:rFonts w:hint="eastAsia" w:eastAsia="仿宋_GB2312"/>
          <w:b/>
          <w:bCs/>
          <w:sz w:val="24"/>
        </w:rPr>
        <w:t>1</w:t>
      </w:r>
      <w:r>
        <w:rPr>
          <w:rFonts w:eastAsia="仿宋_GB2312"/>
          <w:b/>
          <w:bCs/>
          <w:sz w:val="24"/>
        </w:rPr>
        <w:t>-11  本项目</w:t>
      </w:r>
      <w:r>
        <w:rPr>
          <w:rFonts w:hint="eastAsia" w:eastAsia="仿宋_GB2312"/>
          <w:b/>
          <w:bCs/>
          <w:sz w:val="24"/>
        </w:rPr>
        <w:t>委外胶粘剂</w:t>
      </w:r>
      <w:r>
        <w:rPr>
          <w:rFonts w:eastAsia="仿宋_GB2312"/>
          <w:b/>
          <w:bCs/>
          <w:sz w:val="24"/>
        </w:rPr>
        <w:t>材料使用情况表</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0"/>
        <w:gridCol w:w="3832"/>
        <w:gridCol w:w="2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0" w:type="dxa"/>
          </w:tcPr>
          <w:p>
            <w:pPr>
              <w:jc w:val="center"/>
              <w:rPr>
                <w:rFonts w:ascii="仿宋" w:hAnsi="仿宋" w:eastAsia="仿宋"/>
                <w:bCs/>
                <w:szCs w:val="21"/>
              </w:rPr>
            </w:pPr>
            <w:r>
              <w:rPr>
                <w:rFonts w:hint="eastAsia" w:ascii="仿宋" w:hAnsi="仿宋" w:eastAsia="仿宋"/>
                <w:bCs/>
                <w:szCs w:val="21"/>
              </w:rPr>
              <w:t>名称</w:t>
            </w:r>
          </w:p>
        </w:tc>
        <w:tc>
          <w:tcPr>
            <w:tcW w:w="3832" w:type="dxa"/>
          </w:tcPr>
          <w:p>
            <w:pPr>
              <w:jc w:val="center"/>
              <w:rPr>
                <w:rFonts w:ascii="仿宋" w:hAnsi="仿宋" w:eastAsia="仿宋"/>
                <w:bCs/>
                <w:szCs w:val="21"/>
              </w:rPr>
            </w:pPr>
            <w:r>
              <w:rPr>
                <w:rFonts w:hint="eastAsia" w:ascii="仿宋" w:hAnsi="仿宋" w:eastAsia="仿宋"/>
                <w:bCs/>
                <w:szCs w:val="21"/>
              </w:rPr>
              <w:t>主要成分</w:t>
            </w:r>
          </w:p>
        </w:tc>
        <w:tc>
          <w:tcPr>
            <w:tcW w:w="2330" w:type="dxa"/>
          </w:tcPr>
          <w:p>
            <w:pPr>
              <w:jc w:val="center"/>
              <w:rPr>
                <w:rFonts w:ascii="仿宋" w:hAnsi="仿宋" w:eastAsia="仿宋"/>
                <w:bCs/>
                <w:szCs w:val="21"/>
              </w:rPr>
            </w:pPr>
            <w:r>
              <w:rPr>
                <w:rFonts w:hint="eastAsia" w:ascii="仿宋" w:hAnsi="仿宋" w:eastAsia="仿宋"/>
                <w:bCs/>
                <w:szCs w:val="21"/>
              </w:rPr>
              <w:t>性状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0" w:type="dxa"/>
            <w:vAlign w:val="center"/>
          </w:tcPr>
          <w:p>
            <w:pPr>
              <w:jc w:val="center"/>
              <w:rPr>
                <w:rFonts w:ascii="仿宋" w:hAnsi="仿宋" w:eastAsia="仿宋"/>
                <w:bCs/>
                <w:szCs w:val="21"/>
              </w:rPr>
            </w:pPr>
            <w:r>
              <w:rPr>
                <w:rFonts w:hint="eastAsia" w:ascii="仿宋" w:hAnsi="仿宋" w:eastAsia="仿宋"/>
                <w:bCs/>
                <w:szCs w:val="21"/>
              </w:rPr>
              <w:t>丙烯酸酯胶粘剂</w:t>
            </w:r>
          </w:p>
        </w:tc>
        <w:tc>
          <w:tcPr>
            <w:tcW w:w="3832" w:type="dxa"/>
            <w:vAlign w:val="center"/>
          </w:tcPr>
          <w:p>
            <w:pPr>
              <w:jc w:val="center"/>
              <w:rPr>
                <w:rFonts w:ascii="仿宋" w:hAnsi="仿宋" w:eastAsia="仿宋"/>
                <w:bCs/>
                <w:szCs w:val="21"/>
              </w:rPr>
            </w:pPr>
            <w:r>
              <w:rPr>
                <w:rFonts w:hint="eastAsia" w:ascii="仿宋" w:hAnsi="仿宋" w:eastAsia="仿宋"/>
                <w:bCs/>
                <w:szCs w:val="21"/>
              </w:rPr>
              <w:t>丙烯酸酯聚合物</w:t>
            </w:r>
            <w:r>
              <w:rPr>
                <w:rFonts w:ascii="仿宋" w:hAnsi="仿宋" w:eastAsia="仿宋"/>
                <w:bCs/>
                <w:szCs w:val="21"/>
              </w:rPr>
              <w:t>60</w:t>
            </w:r>
            <w:r>
              <w:rPr>
                <w:rFonts w:hint="eastAsia" w:ascii="仿宋" w:hAnsi="仿宋" w:eastAsia="仿宋"/>
                <w:bCs/>
                <w:szCs w:val="21"/>
              </w:rPr>
              <w:t>%、乙酸乙酯4</w:t>
            </w:r>
            <w:r>
              <w:rPr>
                <w:rFonts w:ascii="仿宋" w:hAnsi="仿宋" w:eastAsia="仿宋"/>
                <w:bCs/>
                <w:szCs w:val="21"/>
              </w:rPr>
              <w:t>0</w:t>
            </w:r>
            <w:r>
              <w:rPr>
                <w:rFonts w:hint="eastAsia" w:ascii="仿宋" w:hAnsi="仿宋" w:eastAsia="仿宋"/>
                <w:bCs/>
                <w:szCs w:val="21"/>
              </w:rPr>
              <w:t>%</w:t>
            </w:r>
          </w:p>
        </w:tc>
        <w:tc>
          <w:tcPr>
            <w:tcW w:w="2330" w:type="dxa"/>
            <w:vAlign w:val="center"/>
          </w:tcPr>
          <w:p>
            <w:pPr>
              <w:jc w:val="center"/>
              <w:rPr>
                <w:rFonts w:ascii="仿宋" w:hAnsi="仿宋" w:eastAsia="仿宋"/>
                <w:bCs/>
                <w:szCs w:val="21"/>
              </w:rPr>
            </w:pPr>
            <w:r>
              <w:rPr>
                <w:rFonts w:hint="eastAsia" w:ascii="仿宋" w:hAnsi="仿宋" w:eastAsia="仿宋"/>
                <w:bCs/>
                <w:szCs w:val="21"/>
              </w:rPr>
              <w:t>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0" w:type="dxa"/>
            <w:vAlign w:val="center"/>
          </w:tcPr>
          <w:p>
            <w:pPr>
              <w:jc w:val="center"/>
              <w:rPr>
                <w:rFonts w:ascii="仿宋" w:hAnsi="仿宋" w:eastAsia="仿宋"/>
                <w:bCs/>
                <w:szCs w:val="21"/>
              </w:rPr>
            </w:pPr>
            <w:r>
              <w:rPr>
                <w:rFonts w:hint="eastAsia" w:ascii="仿宋" w:hAnsi="仿宋" w:eastAsia="仿宋"/>
                <w:bCs/>
                <w:szCs w:val="21"/>
              </w:rPr>
              <w:t>色浆</w:t>
            </w:r>
          </w:p>
        </w:tc>
        <w:tc>
          <w:tcPr>
            <w:tcW w:w="3832" w:type="dxa"/>
            <w:vAlign w:val="center"/>
          </w:tcPr>
          <w:p>
            <w:pPr>
              <w:jc w:val="center"/>
              <w:rPr>
                <w:rFonts w:ascii="仿宋" w:hAnsi="仿宋" w:eastAsia="仿宋"/>
                <w:bCs/>
                <w:szCs w:val="21"/>
              </w:rPr>
            </w:pPr>
            <w:r>
              <w:rPr>
                <w:rFonts w:hint="eastAsia" w:ascii="仿宋" w:hAnsi="仿宋" w:eastAsia="仿宋"/>
                <w:bCs/>
                <w:szCs w:val="21"/>
              </w:rPr>
              <w:t>色浆</w:t>
            </w:r>
            <w:r>
              <w:rPr>
                <w:rFonts w:ascii="仿宋" w:hAnsi="仿宋" w:eastAsia="仿宋"/>
                <w:bCs/>
                <w:szCs w:val="21"/>
              </w:rPr>
              <w:t>40</w:t>
            </w:r>
            <w:r>
              <w:rPr>
                <w:rFonts w:hint="eastAsia" w:ascii="仿宋" w:hAnsi="仿宋" w:eastAsia="仿宋"/>
                <w:bCs/>
                <w:szCs w:val="21"/>
              </w:rPr>
              <w:t>%、二甲苯</w:t>
            </w:r>
            <w:r>
              <w:rPr>
                <w:rFonts w:ascii="仿宋" w:hAnsi="仿宋" w:eastAsia="仿宋"/>
                <w:bCs/>
                <w:szCs w:val="21"/>
              </w:rPr>
              <w:t>33</w:t>
            </w:r>
            <w:r>
              <w:rPr>
                <w:rFonts w:hint="eastAsia" w:ascii="仿宋" w:hAnsi="仿宋" w:eastAsia="仿宋"/>
                <w:bCs/>
                <w:szCs w:val="21"/>
              </w:rPr>
              <w:t>%、树脂1</w:t>
            </w:r>
            <w:r>
              <w:rPr>
                <w:rFonts w:ascii="仿宋" w:hAnsi="仿宋" w:eastAsia="仿宋"/>
                <w:bCs/>
                <w:szCs w:val="21"/>
              </w:rPr>
              <w:t>0</w:t>
            </w:r>
            <w:r>
              <w:rPr>
                <w:rFonts w:hint="eastAsia" w:ascii="仿宋" w:hAnsi="仿宋" w:eastAsia="仿宋"/>
                <w:bCs/>
                <w:szCs w:val="21"/>
              </w:rPr>
              <w:t>%、色粉</w:t>
            </w:r>
            <w:r>
              <w:rPr>
                <w:rFonts w:ascii="仿宋" w:hAnsi="仿宋" w:eastAsia="仿宋"/>
                <w:bCs/>
                <w:szCs w:val="21"/>
              </w:rPr>
              <w:t>17</w:t>
            </w:r>
            <w:r>
              <w:rPr>
                <w:rFonts w:hint="eastAsia" w:ascii="仿宋" w:hAnsi="仿宋" w:eastAsia="仿宋"/>
                <w:bCs/>
                <w:szCs w:val="21"/>
              </w:rPr>
              <w:t>%</w:t>
            </w:r>
          </w:p>
        </w:tc>
        <w:tc>
          <w:tcPr>
            <w:tcW w:w="2330" w:type="dxa"/>
            <w:vAlign w:val="center"/>
          </w:tcPr>
          <w:p>
            <w:pPr>
              <w:jc w:val="center"/>
              <w:rPr>
                <w:rFonts w:ascii="仿宋" w:hAnsi="仿宋" w:eastAsia="仿宋"/>
                <w:bCs/>
                <w:szCs w:val="21"/>
              </w:rPr>
            </w:pPr>
            <w:r>
              <w:rPr>
                <w:rFonts w:hint="eastAsia" w:ascii="仿宋" w:hAnsi="仿宋" w:eastAsia="仿宋"/>
                <w:bCs/>
                <w:szCs w:val="21"/>
              </w:rPr>
              <w:t>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0" w:type="dxa"/>
            <w:vAlign w:val="center"/>
          </w:tcPr>
          <w:p>
            <w:pPr>
              <w:jc w:val="center"/>
              <w:rPr>
                <w:rFonts w:ascii="仿宋" w:hAnsi="仿宋" w:eastAsia="仿宋"/>
                <w:bCs/>
                <w:szCs w:val="21"/>
              </w:rPr>
            </w:pPr>
            <w:r>
              <w:rPr>
                <w:rFonts w:hint="eastAsia" w:ascii="仿宋" w:hAnsi="仿宋" w:eastAsia="仿宋"/>
                <w:bCs/>
                <w:szCs w:val="21"/>
              </w:rPr>
              <w:t>溶剂</w:t>
            </w:r>
          </w:p>
        </w:tc>
        <w:tc>
          <w:tcPr>
            <w:tcW w:w="3832" w:type="dxa"/>
            <w:vAlign w:val="center"/>
          </w:tcPr>
          <w:p>
            <w:pPr>
              <w:jc w:val="center"/>
              <w:rPr>
                <w:rFonts w:ascii="仿宋" w:hAnsi="仿宋" w:eastAsia="仿宋"/>
                <w:bCs/>
                <w:szCs w:val="21"/>
              </w:rPr>
            </w:pPr>
            <w:r>
              <w:rPr>
                <w:rFonts w:hint="eastAsia" w:ascii="仿宋" w:hAnsi="仿宋" w:eastAsia="仿宋"/>
                <w:bCs/>
                <w:szCs w:val="21"/>
              </w:rPr>
              <w:t>乙酸乙酯</w:t>
            </w:r>
            <w:r>
              <w:rPr>
                <w:rFonts w:ascii="仿宋" w:hAnsi="仿宋" w:eastAsia="仿宋"/>
                <w:bCs/>
                <w:szCs w:val="21"/>
              </w:rPr>
              <w:t>100</w:t>
            </w:r>
          </w:p>
        </w:tc>
        <w:tc>
          <w:tcPr>
            <w:tcW w:w="2330" w:type="dxa"/>
            <w:vAlign w:val="center"/>
          </w:tcPr>
          <w:p>
            <w:pPr>
              <w:jc w:val="center"/>
              <w:rPr>
                <w:rFonts w:ascii="仿宋" w:hAnsi="仿宋" w:eastAsia="仿宋"/>
                <w:bCs/>
                <w:szCs w:val="21"/>
              </w:rPr>
            </w:pPr>
            <w:r>
              <w:rPr>
                <w:rFonts w:hint="eastAsia" w:ascii="仿宋" w:hAnsi="仿宋" w:eastAsia="仿宋"/>
                <w:bCs/>
                <w:szCs w:val="21"/>
              </w:rPr>
              <w:t>液</w:t>
            </w:r>
          </w:p>
        </w:tc>
      </w:tr>
    </w:tbl>
    <w:p>
      <w:pPr>
        <w:pStyle w:val="5"/>
        <w:keepLines w:val="0"/>
        <w:widowControl/>
        <w:numPr>
          <w:ilvl w:val="3"/>
          <w:numId w:val="1"/>
        </w:numPr>
        <w:tabs>
          <w:tab w:val="left" w:pos="993"/>
        </w:tabs>
        <w:adjustRightInd w:val="0"/>
        <w:snapToGrid w:val="0"/>
        <w:spacing w:after="120" w:afterLines="50"/>
        <w:ind w:left="0" w:firstLine="0"/>
        <w:jc w:val="left"/>
        <w:rPr>
          <w:rFonts w:ascii="Times New Roman" w:hAnsi="Times New Roman"/>
          <w:b/>
        </w:rPr>
      </w:pPr>
      <w:r>
        <w:rPr>
          <w:rFonts w:hint="eastAsia" w:ascii="Times New Roman" w:hAnsi="Times New Roman"/>
          <w:b/>
        </w:rPr>
        <w:t>胶粘剂挥发性</w:t>
      </w:r>
      <w:r>
        <w:rPr>
          <w:rFonts w:ascii="Times New Roman" w:hAnsi="Times New Roman"/>
          <w:b/>
        </w:rPr>
        <w:t>有机物组分与标准核对</w:t>
      </w:r>
    </w:p>
    <w:p>
      <w:pPr>
        <w:spacing w:line="500" w:lineRule="exact"/>
        <w:ind w:firstLine="560" w:firstLineChars="200"/>
        <w:rPr>
          <w:rFonts w:eastAsia="仿宋_GB2312"/>
          <w:sz w:val="28"/>
          <w:szCs w:val="28"/>
        </w:rPr>
      </w:pPr>
      <w:r>
        <w:rPr>
          <w:rFonts w:hint="eastAsia" w:eastAsia="仿宋_GB2312"/>
          <w:sz w:val="28"/>
          <w:szCs w:val="28"/>
        </w:rPr>
        <w:t>本项目拟</w:t>
      </w:r>
      <w:r>
        <w:rPr>
          <w:rFonts w:eastAsia="仿宋_GB2312"/>
          <w:sz w:val="28"/>
          <w:szCs w:val="28"/>
        </w:rPr>
        <w:t>使用</w:t>
      </w:r>
      <w:r>
        <w:rPr>
          <w:rFonts w:hint="eastAsia" w:eastAsia="仿宋_GB2312"/>
          <w:sz w:val="28"/>
          <w:szCs w:val="28"/>
        </w:rPr>
        <w:t>低苯系物</w:t>
      </w:r>
      <w:r>
        <w:rPr>
          <w:rFonts w:eastAsia="仿宋_GB2312"/>
          <w:sz w:val="28"/>
          <w:szCs w:val="28"/>
        </w:rPr>
        <w:t>、低挥发性的胶粘剂</w:t>
      </w:r>
      <w:r>
        <w:rPr>
          <w:rFonts w:hint="eastAsia" w:eastAsia="仿宋_GB2312"/>
          <w:sz w:val="28"/>
          <w:szCs w:val="28"/>
        </w:rPr>
        <w:t>，</w:t>
      </w:r>
      <w:r>
        <w:rPr>
          <w:rFonts w:eastAsia="仿宋_GB2312"/>
          <w:sz w:val="28"/>
          <w:szCs w:val="28"/>
        </w:rPr>
        <w:t>满足最新胶粘剂</w:t>
      </w:r>
      <w:r>
        <w:rPr>
          <w:rFonts w:hint="eastAsia" w:eastAsia="仿宋_GB2312"/>
          <w:sz w:val="28"/>
          <w:szCs w:val="28"/>
        </w:rPr>
        <w:t>挥发性</w:t>
      </w:r>
      <w:r>
        <w:rPr>
          <w:rFonts w:eastAsia="仿宋_GB2312"/>
          <w:sz w:val="28"/>
          <w:szCs w:val="28"/>
        </w:rPr>
        <w:t>有机物</w:t>
      </w:r>
      <w:r>
        <w:rPr>
          <w:rFonts w:hint="eastAsia" w:eastAsia="仿宋_GB2312"/>
          <w:sz w:val="28"/>
          <w:szCs w:val="28"/>
        </w:rPr>
        <w:t>限值</w:t>
      </w:r>
      <w:r>
        <w:rPr>
          <w:rFonts w:eastAsia="仿宋_GB2312"/>
          <w:sz w:val="28"/>
          <w:szCs w:val="28"/>
        </w:rPr>
        <w:t>要求，</w:t>
      </w:r>
      <w:r>
        <w:rPr>
          <w:rFonts w:hint="eastAsia" w:eastAsia="仿宋_GB2312"/>
          <w:sz w:val="28"/>
          <w:szCs w:val="28"/>
        </w:rPr>
        <w:t>施工状态</w:t>
      </w:r>
      <w:r>
        <w:rPr>
          <w:rFonts w:eastAsia="仿宋_GB2312"/>
          <w:sz w:val="28"/>
          <w:szCs w:val="28"/>
        </w:rPr>
        <w:t>下</w:t>
      </w:r>
      <w:r>
        <w:rPr>
          <w:rFonts w:hint="eastAsia" w:eastAsia="仿宋_GB2312"/>
          <w:sz w:val="28"/>
          <w:szCs w:val="28"/>
        </w:rPr>
        <w:t>挥发性</w:t>
      </w:r>
      <w:r>
        <w:rPr>
          <w:rFonts w:eastAsia="仿宋_GB2312"/>
          <w:sz w:val="28"/>
          <w:szCs w:val="28"/>
        </w:rPr>
        <w:t>有机</w:t>
      </w:r>
      <w:r>
        <w:rPr>
          <w:rFonts w:hint="eastAsia" w:eastAsia="仿宋_GB2312"/>
          <w:sz w:val="28"/>
          <w:szCs w:val="28"/>
        </w:rPr>
        <w:t>物含量与《胶粘剂</w:t>
      </w:r>
      <w:r>
        <w:rPr>
          <w:rFonts w:eastAsia="仿宋_GB2312"/>
          <w:sz w:val="28"/>
          <w:szCs w:val="28"/>
        </w:rPr>
        <w:t>挥发性有机</w:t>
      </w:r>
      <w:r>
        <w:rPr>
          <w:rFonts w:hint="eastAsia" w:eastAsia="仿宋_GB2312"/>
          <w:sz w:val="28"/>
          <w:szCs w:val="28"/>
        </w:rPr>
        <w:t>化合物限量》（GB</w:t>
      </w:r>
      <w:r>
        <w:rPr>
          <w:rFonts w:eastAsia="仿宋_GB2312"/>
          <w:sz w:val="28"/>
          <w:szCs w:val="28"/>
        </w:rPr>
        <w:t>33372-2020</w:t>
      </w:r>
      <w:r>
        <w:rPr>
          <w:rFonts w:hint="eastAsia" w:eastAsia="仿宋_GB2312"/>
          <w:sz w:val="28"/>
          <w:szCs w:val="28"/>
        </w:rPr>
        <w:t>）对标</w:t>
      </w:r>
      <w:r>
        <w:rPr>
          <w:rFonts w:eastAsia="仿宋_GB2312"/>
          <w:sz w:val="28"/>
          <w:szCs w:val="28"/>
        </w:rPr>
        <w:t>情况</w:t>
      </w:r>
      <w:r>
        <w:rPr>
          <w:rFonts w:hint="eastAsia" w:eastAsia="仿宋_GB2312"/>
          <w:sz w:val="28"/>
          <w:szCs w:val="28"/>
        </w:rPr>
        <w:t>见</w:t>
      </w:r>
      <w:r>
        <w:rPr>
          <w:rFonts w:eastAsia="仿宋_GB2312"/>
          <w:sz w:val="28"/>
          <w:szCs w:val="28"/>
        </w:rPr>
        <w:t>下表。</w:t>
      </w:r>
    </w:p>
    <w:p>
      <w:pPr>
        <w:adjustRightInd w:val="0"/>
        <w:snapToGrid w:val="0"/>
        <w:spacing w:line="500" w:lineRule="exact"/>
        <w:ind w:firstLine="482" w:firstLineChars="200"/>
        <w:jc w:val="center"/>
        <w:rPr>
          <w:rFonts w:eastAsia="仿宋_GB2312"/>
          <w:b/>
          <w:bCs/>
          <w:sz w:val="24"/>
        </w:rPr>
      </w:pPr>
      <w:r>
        <w:rPr>
          <w:rFonts w:eastAsia="仿宋_GB2312"/>
          <w:b/>
          <w:bCs/>
          <w:sz w:val="24"/>
        </w:rPr>
        <w:t>表3.</w:t>
      </w:r>
      <w:r>
        <w:rPr>
          <w:rFonts w:hint="eastAsia" w:eastAsia="仿宋_GB2312"/>
          <w:b/>
          <w:bCs/>
          <w:sz w:val="24"/>
        </w:rPr>
        <w:t>1</w:t>
      </w:r>
      <w:r>
        <w:rPr>
          <w:rFonts w:eastAsia="仿宋_GB2312"/>
          <w:b/>
          <w:bCs/>
          <w:sz w:val="24"/>
        </w:rPr>
        <w:t>-12 胶粘剂</w:t>
      </w:r>
      <w:r>
        <w:rPr>
          <w:rFonts w:hint="eastAsia" w:eastAsia="仿宋_GB2312"/>
          <w:b/>
          <w:bCs/>
          <w:sz w:val="24"/>
        </w:rPr>
        <w:t>原料</w:t>
      </w:r>
      <w:r>
        <w:rPr>
          <w:rFonts w:eastAsia="仿宋_GB2312"/>
          <w:b/>
          <w:bCs/>
          <w:sz w:val="24"/>
        </w:rPr>
        <w:t>组分占比</w:t>
      </w:r>
      <w:r>
        <w:rPr>
          <w:rFonts w:hint="eastAsia" w:eastAsia="仿宋_GB2312"/>
          <w:b/>
          <w:bCs/>
          <w:sz w:val="24"/>
        </w:rPr>
        <w:t>表</w:t>
      </w:r>
    </w:p>
    <w:tbl>
      <w:tblPr>
        <w:tblStyle w:val="87"/>
        <w:tblW w:w="8175" w:type="dxa"/>
        <w:tblInd w:w="1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9"/>
        <w:gridCol w:w="2887"/>
        <w:gridCol w:w="2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2709"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原</w:t>
            </w:r>
            <w:r>
              <w:rPr>
                <w:rFonts w:ascii="仿宋" w:hAnsi="仿宋" w:eastAsia="仿宋" w:cs="仿宋"/>
                <w:bCs/>
                <w:szCs w:val="21"/>
              </w:rPr>
              <w:t xml:space="preserve">  </w:t>
            </w:r>
            <w:r>
              <w:rPr>
                <w:rFonts w:hint="eastAsia" w:ascii="仿宋" w:hAnsi="仿宋" w:eastAsia="仿宋" w:cs="仿宋"/>
                <w:bCs/>
                <w:szCs w:val="21"/>
              </w:rPr>
              <w:t>料</w:t>
            </w:r>
          </w:p>
        </w:tc>
        <w:tc>
          <w:tcPr>
            <w:tcW w:w="2887"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成分名称</w:t>
            </w:r>
          </w:p>
        </w:tc>
        <w:tc>
          <w:tcPr>
            <w:tcW w:w="2579"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占比</w:t>
            </w:r>
            <w:r>
              <w:rPr>
                <w:rFonts w:ascii="仿宋" w:hAnsi="仿宋" w:eastAsia="仿宋" w:cs="仿宋"/>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trPr>
        <w:tc>
          <w:tcPr>
            <w:tcW w:w="2709" w:type="dxa"/>
            <w:vMerge w:val="restar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原料</w:t>
            </w:r>
            <w:r>
              <w:rPr>
                <w:rFonts w:ascii="仿宋" w:hAnsi="仿宋" w:eastAsia="仿宋" w:cs="仿宋"/>
                <w:bCs/>
                <w:szCs w:val="21"/>
              </w:rPr>
              <w:t>胶粘剂</w:t>
            </w:r>
          </w:p>
        </w:tc>
        <w:tc>
          <w:tcPr>
            <w:tcW w:w="2887"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丙烯酸酯系共聚物</w:t>
            </w:r>
          </w:p>
        </w:tc>
        <w:tc>
          <w:tcPr>
            <w:tcW w:w="2579"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trPr>
        <w:tc>
          <w:tcPr>
            <w:tcW w:w="2709" w:type="dxa"/>
            <w:vMerge w:val="continue"/>
            <w:shd w:val="clear" w:color="auto" w:fill="auto"/>
            <w:vAlign w:val="center"/>
          </w:tcPr>
          <w:p>
            <w:pPr>
              <w:spacing w:line="240" w:lineRule="exact"/>
              <w:jc w:val="center"/>
              <w:rPr>
                <w:rFonts w:ascii="仿宋" w:hAnsi="仿宋" w:eastAsia="仿宋" w:cs="仿宋"/>
                <w:bCs/>
                <w:szCs w:val="21"/>
              </w:rPr>
            </w:pPr>
          </w:p>
        </w:tc>
        <w:tc>
          <w:tcPr>
            <w:tcW w:w="2887"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乙酸乙酯</w:t>
            </w:r>
          </w:p>
        </w:tc>
        <w:tc>
          <w:tcPr>
            <w:tcW w:w="2579" w:type="dxa"/>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44.8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2709" w:type="dxa"/>
            <w:vMerge w:val="continue"/>
            <w:shd w:val="clear" w:color="auto" w:fill="auto"/>
            <w:vAlign w:val="center"/>
          </w:tcPr>
          <w:p>
            <w:pPr>
              <w:spacing w:line="240" w:lineRule="exact"/>
              <w:jc w:val="center"/>
              <w:rPr>
                <w:rFonts w:ascii="仿宋" w:hAnsi="仿宋" w:eastAsia="仿宋" w:cs="仿宋"/>
                <w:bCs/>
                <w:szCs w:val="21"/>
              </w:rPr>
            </w:pPr>
          </w:p>
        </w:tc>
        <w:tc>
          <w:tcPr>
            <w:tcW w:w="2887"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浆料</w:t>
            </w:r>
          </w:p>
        </w:tc>
        <w:tc>
          <w:tcPr>
            <w:tcW w:w="2579"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2709" w:type="dxa"/>
            <w:vMerge w:val="continue"/>
            <w:shd w:val="clear" w:color="auto" w:fill="auto"/>
            <w:vAlign w:val="center"/>
          </w:tcPr>
          <w:p>
            <w:pPr>
              <w:spacing w:line="240" w:lineRule="exact"/>
              <w:jc w:val="center"/>
              <w:rPr>
                <w:rFonts w:ascii="仿宋" w:hAnsi="仿宋" w:eastAsia="仿宋" w:cs="仿宋"/>
                <w:bCs/>
                <w:szCs w:val="21"/>
              </w:rPr>
            </w:pPr>
          </w:p>
        </w:tc>
        <w:tc>
          <w:tcPr>
            <w:tcW w:w="2887"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二甲苯</w:t>
            </w:r>
          </w:p>
        </w:tc>
        <w:tc>
          <w:tcPr>
            <w:tcW w:w="2579"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2709" w:type="dxa"/>
            <w:vMerge w:val="continue"/>
            <w:shd w:val="clear" w:color="auto" w:fill="auto"/>
            <w:vAlign w:val="center"/>
          </w:tcPr>
          <w:p>
            <w:pPr>
              <w:spacing w:line="240" w:lineRule="exact"/>
              <w:jc w:val="center"/>
              <w:rPr>
                <w:rFonts w:ascii="仿宋" w:hAnsi="仿宋" w:eastAsia="仿宋" w:cs="仿宋"/>
                <w:bCs/>
                <w:szCs w:val="21"/>
              </w:rPr>
            </w:pPr>
          </w:p>
        </w:tc>
        <w:tc>
          <w:tcPr>
            <w:tcW w:w="2887"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树脂</w:t>
            </w:r>
          </w:p>
        </w:tc>
        <w:tc>
          <w:tcPr>
            <w:tcW w:w="2579"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trPr>
        <w:tc>
          <w:tcPr>
            <w:tcW w:w="2709" w:type="dxa"/>
            <w:vMerge w:val="continue"/>
            <w:shd w:val="clear" w:color="auto" w:fill="auto"/>
            <w:vAlign w:val="center"/>
          </w:tcPr>
          <w:p>
            <w:pPr>
              <w:spacing w:line="240" w:lineRule="exact"/>
              <w:jc w:val="center"/>
              <w:rPr>
                <w:rFonts w:ascii="仿宋" w:hAnsi="仿宋" w:eastAsia="仿宋" w:cs="仿宋"/>
                <w:bCs/>
                <w:szCs w:val="21"/>
              </w:rPr>
            </w:pPr>
          </w:p>
        </w:tc>
        <w:tc>
          <w:tcPr>
            <w:tcW w:w="2887"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色粉</w:t>
            </w:r>
          </w:p>
        </w:tc>
        <w:tc>
          <w:tcPr>
            <w:tcW w:w="2579"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trPr>
        <w:tc>
          <w:tcPr>
            <w:tcW w:w="2709" w:type="dxa"/>
            <w:vMerge w:val="restar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固化剂</w:t>
            </w:r>
          </w:p>
        </w:tc>
        <w:tc>
          <w:tcPr>
            <w:tcW w:w="2887"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对甲苯</w:t>
            </w:r>
            <w:r>
              <w:rPr>
                <w:rFonts w:ascii="仿宋" w:hAnsi="仿宋" w:eastAsia="仿宋" w:cs="仿宋"/>
                <w:bCs/>
                <w:szCs w:val="21"/>
              </w:rPr>
              <w:t>磺酸</w:t>
            </w:r>
          </w:p>
        </w:tc>
        <w:tc>
          <w:tcPr>
            <w:tcW w:w="2579"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trPr>
        <w:tc>
          <w:tcPr>
            <w:tcW w:w="2709" w:type="dxa"/>
            <w:vMerge w:val="continue"/>
            <w:shd w:val="clear" w:color="auto" w:fill="auto"/>
            <w:vAlign w:val="center"/>
          </w:tcPr>
          <w:p>
            <w:pPr>
              <w:spacing w:line="240" w:lineRule="exact"/>
              <w:jc w:val="center"/>
              <w:rPr>
                <w:rFonts w:ascii="仿宋" w:hAnsi="仿宋" w:eastAsia="仿宋" w:cs="仿宋"/>
                <w:bCs/>
                <w:szCs w:val="21"/>
              </w:rPr>
            </w:pPr>
          </w:p>
        </w:tc>
        <w:tc>
          <w:tcPr>
            <w:tcW w:w="2887"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乙醇</w:t>
            </w:r>
          </w:p>
        </w:tc>
        <w:tc>
          <w:tcPr>
            <w:tcW w:w="2579"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95</w:t>
            </w:r>
          </w:p>
        </w:tc>
      </w:tr>
    </w:tbl>
    <w:p>
      <w:pPr>
        <w:adjustRightInd w:val="0"/>
        <w:snapToGrid w:val="0"/>
        <w:spacing w:line="500" w:lineRule="exact"/>
        <w:ind w:firstLine="482" w:firstLineChars="200"/>
        <w:jc w:val="center"/>
        <w:rPr>
          <w:rFonts w:eastAsia="仿宋_GB2312"/>
          <w:b/>
          <w:bCs/>
          <w:sz w:val="24"/>
        </w:rPr>
      </w:pPr>
      <w:r>
        <w:rPr>
          <w:rFonts w:eastAsia="仿宋_GB2312"/>
          <w:b/>
          <w:bCs/>
          <w:sz w:val="24"/>
        </w:rPr>
        <w:t>表3.</w:t>
      </w:r>
      <w:r>
        <w:rPr>
          <w:rFonts w:hint="eastAsia" w:eastAsia="仿宋_GB2312"/>
          <w:b/>
          <w:bCs/>
          <w:sz w:val="24"/>
        </w:rPr>
        <w:t>1</w:t>
      </w:r>
      <w:r>
        <w:rPr>
          <w:rFonts w:eastAsia="仿宋_GB2312"/>
          <w:b/>
          <w:bCs/>
          <w:sz w:val="24"/>
        </w:rPr>
        <w:t>-13  胶粘剂施工状态</w:t>
      </w:r>
      <w:r>
        <w:rPr>
          <w:rFonts w:hint="eastAsia" w:eastAsia="仿宋_GB2312"/>
          <w:b/>
          <w:bCs/>
          <w:sz w:val="24"/>
        </w:rPr>
        <w:t>挥发</w:t>
      </w:r>
      <w:r>
        <w:rPr>
          <w:rFonts w:eastAsia="仿宋_GB2312"/>
          <w:b/>
          <w:bCs/>
          <w:sz w:val="24"/>
        </w:rPr>
        <w:t>组分</w:t>
      </w:r>
      <w:r>
        <w:rPr>
          <w:rFonts w:hint="eastAsia" w:eastAsia="仿宋_GB2312"/>
          <w:b/>
          <w:bCs/>
          <w:sz w:val="24"/>
        </w:rPr>
        <w:t>与标准核对表</w:t>
      </w:r>
    </w:p>
    <w:tbl>
      <w:tblPr>
        <w:tblStyle w:val="87"/>
        <w:tblW w:w="9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2"/>
        <w:gridCol w:w="710"/>
        <w:gridCol w:w="892"/>
        <w:gridCol w:w="1073"/>
        <w:gridCol w:w="855"/>
        <w:gridCol w:w="1182"/>
        <w:gridCol w:w="1127"/>
        <w:gridCol w:w="2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602"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使用</w:t>
            </w:r>
            <w:r>
              <w:rPr>
                <w:rFonts w:ascii="仿宋" w:hAnsi="仿宋" w:eastAsia="仿宋" w:cs="仿宋"/>
                <w:bCs/>
                <w:szCs w:val="21"/>
              </w:rPr>
              <w:t>工序</w:t>
            </w:r>
          </w:p>
        </w:tc>
        <w:tc>
          <w:tcPr>
            <w:tcW w:w="1602" w:type="dxa"/>
            <w:gridSpan w:val="2"/>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成分名称</w:t>
            </w:r>
          </w:p>
        </w:tc>
        <w:tc>
          <w:tcPr>
            <w:tcW w:w="1928" w:type="dxa"/>
            <w:gridSpan w:val="2"/>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占比</w:t>
            </w:r>
            <w:r>
              <w:rPr>
                <w:rFonts w:ascii="仿宋" w:hAnsi="仿宋" w:eastAsia="仿宋" w:cs="仿宋"/>
                <w:bCs/>
                <w:szCs w:val="21"/>
              </w:rPr>
              <w:t>%</w:t>
            </w:r>
          </w:p>
        </w:tc>
        <w:tc>
          <w:tcPr>
            <w:tcW w:w="1182"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施工状态下密度（</w:t>
            </w:r>
            <w:r>
              <w:rPr>
                <w:rFonts w:ascii="仿宋" w:hAnsi="仿宋" w:eastAsia="仿宋" w:cs="仿宋"/>
                <w:bCs/>
                <w:szCs w:val="21"/>
              </w:rPr>
              <w:t>g/</w:t>
            </w:r>
            <w:r>
              <w:rPr>
                <w:rFonts w:hint="eastAsia" w:ascii="仿宋" w:hAnsi="仿宋" w:eastAsia="仿宋" w:cs="仿宋"/>
                <w:bCs/>
                <w:szCs w:val="21"/>
              </w:rPr>
              <w:t>cm</w:t>
            </w:r>
            <w:r>
              <w:rPr>
                <w:rFonts w:hint="eastAsia" w:ascii="仿宋" w:hAnsi="仿宋" w:eastAsia="仿宋" w:cs="仿宋"/>
                <w:bCs/>
                <w:szCs w:val="21"/>
                <w:vertAlign w:val="superscript"/>
              </w:rPr>
              <w:t>3</w:t>
            </w:r>
            <w:r>
              <w:rPr>
                <w:rFonts w:hint="eastAsia" w:ascii="仿宋" w:hAnsi="仿宋" w:eastAsia="仿宋" w:cs="仿宋"/>
                <w:bCs/>
                <w:szCs w:val="21"/>
              </w:rPr>
              <w:t>）</w:t>
            </w:r>
          </w:p>
        </w:tc>
        <w:tc>
          <w:tcPr>
            <w:tcW w:w="1127"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理论</w:t>
            </w:r>
            <w:r>
              <w:rPr>
                <w:rFonts w:ascii="仿宋" w:hAnsi="仿宋" w:eastAsia="仿宋" w:cs="仿宋"/>
                <w:bCs/>
                <w:szCs w:val="21"/>
              </w:rPr>
              <w:t>VOCs</w:t>
            </w:r>
            <w:r>
              <w:rPr>
                <w:rFonts w:hint="eastAsia" w:ascii="仿宋" w:hAnsi="仿宋" w:eastAsia="仿宋" w:cs="仿宋"/>
                <w:bCs/>
                <w:szCs w:val="21"/>
              </w:rPr>
              <w:t>含量（</w:t>
            </w:r>
            <w:r>
              <w:rPr>
                <w:rFonts w:ascii="仿宋" w:hAnsi="仿宋" w:eastAsia="仿宋" w:cs="仿宋"/>
                <w:bCs/>
                <w:szCs w:val="21"/>
              </w:rPr>
              <w:t>g/L</w:t>
            </w:r>
            <w:r>
              <w:rPr>
                <w:rFonts w:hint="eastAsia" w:ascii="仿宋" w:hAnsi="仿宋" w:eastAsia="仿宋" w:cs="仿宋"/>
                <w:bCs/>
                <w:szCs w:val="21"/>
              </w:rPr>
              <w:t>）</w:t>
            </w:r>
          </w:p>
        </w:tc>
        <w:tc>
          <w:tcPr>
            <w:tcW w:w="2082"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《胶粘剂挥发性有机化合物限量》（</w:t>
            </w:r>
            <w:r>
              <w:rPr>
                <w:rFonts w:ascii="仿宋" w:hAnsi="仿宋" w:eastAsia="仿宋" w:cs="仿宋"/>
                <w:bCs/>
                <w:szCs w:val="21"/>
              </w:rPr>
              <w:t>GB33372-2020</w:t>
            </w:r>
            <w:r>
              <w:rPr>
                <w:rFonts w:hint="eastAsia" w:ascii="仿宋" w:hAnsi="仿宋" w:eastAsia="仿宋" w:cs="仿宋"/>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1602" w:type="dxa"/>
            <w:vMerge w:val="restar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调胶、涂布干燥</w:t>
            </w:r>
          </w:p>
        </w:tc>
        <w:tc>
          <w:tcPr>
            <w:tcW w:w="710" w:type="dxa"/>
            <w:vMerge w:val="restar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固</w:t>
            </w:r>
            <w:r>
              <w:rPr>
                <w:rFonts w:ascii="仿宋" w:hAnsi="仿宋" w:eastAsia="仿宋" w:cs="仿宋"/>
                <w:bCs/>
                <w:szCs w:val="21"/>
              </w:rPr>
              <w:t>份</w:t>
            </w:r>
          </w:p>
        </w:tc>
        <w:tc>
          <w:tcPr>
            <w:tcW w:w="892"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丙烯酸酯系共聚物</w:t>
            </w:r>
          </w:p>
        </w:tc>
        <w:tc>
          <w:tcPr>
            <w:tcW w:w="1073" w:type="dxa"/>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39</w:t>
            </w:r>
          </w:p>
        </w:tc>
        <w:tc>
          <w:tcPr>
            <w:tcW w:w="855" w:type="dxa"/>
            <w:vMerge w:val="restar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49</w:t>
            </w:r>
          </w:p>
        </w:tc>
        <w:tc>
          <w:tcPr>
            <w:tcW w:w="1182" w:type="dxa"/>
            <w:vMerge w:val="restar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0.969</w:t>
            </w:r>
          </w:p>
        </w:tc>
        <w:tc>
          <w:tcPr>
            <w:tcW w:w="1127" w:type="dxa"/>
            <w:vMerge w:val="restar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494</w:t>
            </w:r>
          </w:p>
        </w:tc>
        <w:tc>
          <w:tcPr>
            <w:tcW w:w="2082" w:type="dxa"/>
            <w:vMerge w:val="restar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表</w:t>
            </w:r>
            <w:r>
              <w:rPr>
                <w:rFonts w:ascii="仿宋" w:hAnsi="仿宋" w:eastAsia="仿宋" w:cs="仿宋"/>
                <w:bCs/>
                <w:szCs w:val="21"/>
              </w:rPr>
              <w:t>1</w:t>
            </w:r>
            <w:r>
              <w:rPr>
                <w:rFonts w:hint="eastAsia" w:ascii="仿宋" w:hAnsi="仿宋" w:eastAsia="仿宋" w:cs="仿宋"/>
                <w:bCs/>
                <w:szCs w:val="21"/>
              </w:rPr>
              <w:t>溶剂型胶粘剂中丙烯酸</w:t>
            </w:r>
            <w:r>
              <w:rPr>
                <w:rFonts w:ascii="仿宋" w:hAnsi="仿宋" w:eastAsia="仿宋" w:cs="仿宋"/>
                <w:bCs/>
                <w:szCs w:val="21"/>
              </w:rPr>
              <w:t>酯类“</w:t>
            </w:r>
            <w:r>
              <w:rPr>
                <w:rFonts w:hint="eastAsia" w:ascii="仿宋" w:hAnsi="仿宋" w:eastAsia="仿宋" w:cs="仿宋"/>
                <w:bCs/>
                <w:szCs w:val="21"/>
              </w:rPr>
              <w:t>其他</w:t>
            </w:r>
            <w:r>
              <w:rPr>
                <w:rFonts w:ascii="仿宋" w:hAnsi="仿宋" w:eastAsia="仿宋" w:cs="仿宋"/>
                <w:bCs/>
                <w:szCs w:val="21"/>
              </w:rPr>
              <w:t>”</w:t>
            </w:r>
            <w:r>
              <w:rPr>
                <w:rFonts w:hint="eastAsia" w:ascii="仿宋" w:hAnsi="仿宋" w:eastAsia="仿宋" w:cs="仿宋"/>
                <w:bCs/>
                <w:szCs w:val="21"/>
              </w:rPr>
              <w:t>应用</w:t>
            </w:r>
            <w:r>
              <w:rPr>
                <w:rFonts w:ascii="仿宋" w:hAnsi="仿宋" w:eastAsia="仿宋" w:cs="仿宋"/>
                <w:bCs/>
                <w:szCs w:val="21"/>
              </w:rPr>
              <w:t>领域</w:t>
            </w:r>
            <w:r>
              <w:rPr>
                <w:rFonts w:hint="eastAsia" w:ascii="仿宋" w:hAnsi="仿宋" w:eastAsia="仿宋" w:cs="仿宋"/>
                <w:bCs/>
                <w:szCs w:val="21"/>
              </w:rPr>
              <w:t>，</w:t>
            </w:r>
            <w:r>
              <w:rPr>
                <w:rFonts w:ascii="仿宋" w:hAnsi="仿宋" w:eastAsia="仿宋" w:cs="仿宋"/>
                <w:bCs/>
                <w:szCs w:val="21"/>
              </w:rPr>
              <w:t>VOCs</w:t>
            </w:r>
            <w:r>
              <w:rPr>
                <w:rFonts w:hint="eastAsia" w:ascii="仿宋" w:hAnsi="仿宋" w:eastAsia="仿宋" w:cs="仿宋"/>
                <w:bCs/>
                <w:szCs w:val="21"/>
              </w:rPr>
              <w:t>限量值≤5</w:t>
            </w:r>
            <w:r>
              <w:rPr>
                <w:rFonts w:ascii="仿宋" w:hAnsi="仿宋" w:eastAsia="仿宋" w:cs="仿宋"/>
                <w:bCs/>
                <w:szCs w:val="21"/>
              </w:rPr>
              <w:t>1</w:t>
            </w:r>
            <w:r>
              <w:rPr>
                <w:rFonts w:hint="eastAsia" w:ascii="仿宋" w:hAnsi="仿宋" w:eastAsia="仿宋" w:cs="仿宋"/>
                <w:bCs/>
                <w:szCs w:val="21"/>
              </w:rPr>
              <w:t>0</w:t>
            </w:r>
            <w:r>
              <w:rPr>
                <w:rFonts w:ascii="仿宋" w:hAnsi="仿宋" w:eastAsia="仿宋" w:cs="仿宋"/>
                <w:bCs/>
                <w:szCs w:val="21"/>
              </w:rPr>
              <w:t>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1602" w:type="dxa"/>
            <w:vMerge w:val="continue"/>
          </w:tcPr>
          <w:p>
            <w:pPr>
              <w:spacing w:line="240" w:lineRule="exact"/>
              <w:jc w:val="center"/>
              <w:rPr>
                <w:rFonts w:ascii="仿宋" w:hAnsi="仿宋" w:eastAsia="仿宋" w:cs="仿宋"/>
                <w:bCs/>
                <w:szCs w:val="21"/>
              </w:rPr>
            </w:pPr>
          </w:p>
        </w:tc>
        <w:tc>
          <w:tcPr>
            <w:tcW w:w="710" w:type="dxa"/>
            <w:vMerge w:val="continue"/>
            <w:shd w:val="clear" w:color="auto" w:fill="auto"/>
            <w:vAlign w:val="center"/>
          </w:tcPr>
          <w:p>
            <w:pPr>
              <w:spacing w:line="240" w:lineRule="exact"/>
              <w:jc w:val="center"/>
              <w:rPr>
                <w:rFonts w:ascii="仿宋" w:hAnsi="仿宋" w:eastAsia="仿宋" w:cs="仿宋"/>
                <w:bCs/>
                <w:szCs w:val="21"/>
              </w:rPr>
            </w:pPr>
          </w:p>
        </w:tc>
        <w:tc>
          <w:tcPr>
            <w:tcW w:w="892"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色浆</w:t>
            </w:r>
          </w:p>
        </w:tc>
        <w:tc>
          <w:tcPr>
            <w:tcW w:w="1073"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5.</w:t>
            </w:r>
            <w:r>
              <w:rPr>
                <w:rFonts w:ascii="仿宋" w:hAnsi="仿宋" w:eastAsia="仿宋" w:cs="仿宋"/>
                <w:bCs/>
                <w:szCs w:val="21"/>
              </w:rPr>
              <w:t>8</w:t>
            </w:r>
          </w:p>
        </w:tc>
        <w:tc>
          <w:tcPr>
            <w:tcW w:w="855" w:type="dxa"/>
            <w:vMerge w:val="continue"/>
          </w:tcPr>
          <w:p>
            <w:pPr>
              <w:spacing w:line="240" w:lineRule="exact"/>
              <w:jc w:val="center"/>
              <w:rPr>
                <w:rFonts w:ascii="仿宋" w:hAnsi="仿宋" w:eastAsia="仿宋" w:cs="仿宋"/>
                <w:bCs/>
                <w:szCs w:val="21"/>
              </w:rPr>
            </w:pPr>
          </w:p>
        </w:tc>
        <w:tc>
          <w:tcPr>
            <w:tcW w:w="1182" w:type="dxa"/>
            <w:vMerge w:val="continue"/>
            <w:shd w:val="clear" w:color="auto" w:fill="auto"/>
            <w:vAlign w:val="center"/>
          </w:tcPr>
          <w:p>
            <w:pPr>
              <w:spacing w:line="240" w:lineRule="exact"/>
              <w:jc w:val="center"/>
              <w:rPr>
                <w:rFonts w:ascii="仿宋" w:hAnsi="仿宋" w:eastAsia="仿宋" w:cs="仿宋"/>
                <w:bCs/>
                <w:szCs w:val="21"/>
              </w:rPr>
            </w:pPr>
          </w:p>
        </w:tc>
        <w:tc>
          <w:tcPr>
            <w:tcW w:w="1127" w:type="dxa"/>
            <w:vMerge w:val="continue"/>
            <w:shd w:val="clear" w:color="auto" w:fill="auto"/>
            <w:vAlign w:val="center"/>
          </w:tcPr>
          <w:p>
            <w:pPr>
              <w:spacing w:line="240" w:lineRule="exact"/>
              <w:jc w:val="center"/>
              <w:rPr>
                <w:rFonts w:ascii="仿宋" w:hAnsi="仿宋" w:eastAsia="仿宋" w:cs="仿宋"/>
                <w:bCs/>
                <w:szCs w:val="21"/>
              </w:rPr>
            </w:pPr>
          </w:p>
        </w:tc>
        <w:tc>
          <w:tcPr>
            <w:tcW w:w="2082" w:type="dxa"/>
            <w:vMerge w:val="continue"/>
            <w:shd w:val="clear" w:color="auto" w:fill="auto"/>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1602" w:type="dxa"/>
            <w:vMerge w:val="continue"/>
          </w:tcPr>
          <w:p>
            <w:pPr>
              <w:spacing w:line="240" w:lineRule="exact"/>
              <w:jc w:val="center"/>
              <w:rPr>
                <w:rFonts w:ascii="仿宋" w:hAnsi="仿宋" w:eastAsia="仿宋" w:cs="仿宋"/>
                <w:bCs/>
                <w:szCs w:val="21"/>
              </w:rPr>
            </w:pPr>
          </w:p>
        </w:tc>
        <w:tc>
          <w:tcPr>
            <w:tcW w:w="710" w:type="dxa"/>
            <w:vMerge w:val="continue"/>
            <w:shd w:val="clear" w:color="auto" w:fill="auto"/>
            <w:vAlign w:val="center"/>
          </w:tcPr>
          <w:p>
            <w:pPr>
              <w:spacing w:line="240" w:lineRule="exact"/>
              <w:jc w:val="center"/>
              <w:rPr>
                <w:rFonts w:ascii="仿宋" w:hAnsi="仿宋" w:eastAsia="仿宋" w:cs="仿宋"/>
                <w:bCs/>
                <w:szCs w:val="21"/>
              </w:rPr>
            </w:pPr>
          </w:p>
        </w:tc>
        <w:tc>
          <w:tcPr>
            <w:tcW w:w="892"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树脂</w:t>
            </w:r>
          </w:p>
        </w:tc>
        <w:tc>
          <w:tcPr>
            <w:tcW w:w="1073"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w:t>
            </w:r>
            <w:r>
              <w:rPr>
                <w:rFonts w:ascii="仿宋" w:hAnsi="仿宋" w:eastAsia="仿宋" w:cs="仿宋"/>
                <w:bCs/>
                <w:szCs w:val="21"/>
              </w:rPr>
              <w:t>.</w:t>
            </w:r>
            <w:r>
              <w:rPr>
                <w:rFonts w:hint="eastAsia" w:ascii="仿宋" w:hAnsi="仿宋" w:eastAsia="仿宋" w:cs="仿宋"/>
                <w:bCs/>
                <w:szCs w:val="21"/>
              </w:rPr>
              <w:t>4</w:t>
            </w:r>
          </w:p>
        </w:tc>
        <w:tc>
          <w:tcPr>
            <w:tcW w:w="855" w:type="dxa"/>
            <w:vMerge w:val="continue"/>
          </w:tcPr>
          <w:p>
            <w:pPr>
              <w:spacing w:line="240" w:lineRule="exact"/>
              <w:jc w:val="center"/>
              <w:rPr>
                <w:rFonts w:ascii="仿宋" w:hAnsi="仿宋" w:eastAsia="仿宋" w:cs="仿宋"/>
                <w:bCs/>
                <w:szCs w:val="21"/>
              </w:rPr>
            </w:pPr>
          </w:p>
        </w:tc>
        <w:tc>
          <w:tcPr>
            <w:tcW w:w="1182" w:type="dxa"/>
            <w:vMerge w:val="continue"/>
            <w:shd w:val="clear" w:color="auto" w:fill="auto"/>
            <w:vAlign w:val="center"/>
          </w:tcPr>
          <w:p>
            <w:pPr>
              <w:spacing w:line="240" w:lineRule="exact"/>
              <w:jc w:val="center"/>
              <w:rPr>
                <w:rFonts w:ascii="仿宋" w:hAnsi="仿宋" w:eastAsia="仿宋" w:cs="仿宋"/>
                <w:bCs/>
                <w:szCs w:val="21"/>
              </w:rPr>
            </w:pPr>
          </w:p>
        </w:tc>
        <w:tc>
          <w:tcPr>
            <w:tcW w:w="1127" w:type="dxa"/>
            <w:vMerge w:val="continue"/>
            <w:shd w:val="clear" w:color="auto" w:fill="auto"/>
            <w:vAlign w:val="center"/>
          </w:tcPr>
          <w:p>
            <w:pPr>
              <w:spacing w:line="240" w:lineRule="exact"/>
              <w:jc w:val="center"/>
              <w:rPr>
                <w:rFonts w:ascii="仿宋" w:hAnsi="仿宋" w:eastAsia="仿宋" w:cs="仿宋"/>
                <w:bCs/>
                <w:szCs w:val="21"/>
              </w:rPr>
            </w:pPr>
          </w:p>
        </w:tc>
        <w:tc>
          <w:tcPr>
            <w:tcW w:w="2082" w:type="dxa"/>
            <w:vMerge w:val="continue"/>
            <w:shd w:val="clear" w:color="auto" w:fill="auto"/>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1602" w:type="dxa"/>
            <w:vMerge w:val="continue"/>
          </w:tcPr>
          <w:p>
            <w:pPr>
              <w:spacing w:line="240" w:lineRule="exact"/>
              <w:jc w:val="center"/>
              <w:rPr>
                <w:rFonts w:ascii="仿宋" w:hAnsi="仿宋" w:eastAsia="仿宋" w:cs="仿宋"/>
                <w:bCs/>
                <w:szCs w:val="21"/>
              </w:rPr>
            </w:pPr>
          </w:p>
        </w:tc>
        <w:tc>
          <w:tcPr>
            <w:tcW w:w="710" w:type="dxa"/>
            <w:vMerge w:val="continue"/>
            <w:shd w:val="clear" w:color="auto" w:fill="auto"/>
            <w:vAlign w:val="center"/>
          </w:tcPr>
          <w:p>
            <w:pPr>
              <w:spacing w:line="240" w:lineRule="exact"/>
              <w:jc w:val="center"/>
              <w:rPr>
                <w:rFonts w:ascii="仿宋" w:hAnsi="仿宋" w:eastAsia="仿宋" w:cs="仿宋"/>
                <w:bCs/>
                <w:szCs w:val="21"/>
              </w:rPr>
            </w:pPr>
          </w:p>
        </w:tc>
        <w:tc>
          <w:tcPr>
            <w:tcW w:w="892"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色粉</w:t>
            </w:r>
          </w:p>
        </w:tc>
        <w:tc>
          <w:tcPr>
            <w:tcW w:w="1073"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w:t>
            </w:r>
            <w:r>
              <w:rPr>
                <w:rFonts w:ascii="仿宋" w:hAnsi="仿宋" w:eastAsia="仿宋" w:cs="仿宋"/>
                <w:bCs/>
                <w:szCs w:val="21"/>
              </w:rPr>
              <w:t>.</w:t>
            </w:r>
            <w:r>
              <w:rPr>
                <w:rFonts w:hint="eastAsia" w:ascii="仿宋" w:hAnsi="仿宋" w:eastAsia="仿宋" w:cs="仿宋"/>
                <w:bCs/>
                <w:szCs w:val="21"/>
              </w:rPr>
              <w:t>5</w:t>
            </w:r>
          </w:p>
        </w:tc>
        <w:tc>
          <w:tcPr>
            <w:tcW w:w="855" w:type="dxa"/>
            <w:vMerge w:val="continue"/>
          </w:tcPr>
          <w:p>
            <w:pPr>
              <w:spacing w:line="240" w:lineRule="exact"/>
              <w:jc w:val="center"/>
              <w:rPr>
                <w:rFonts w:ascii="仿宋" w:hAnsi="仿宋" w:eastAsia="仿宋" w:cs="仿宋"/>
                <w:bCs/>
                <w:szCs w:val="21"/>
              </w:rPr>
            </w:pPr>
          </w:p>
        </w:tc>
        <w:tc>
          <w:tcPr>
            <w:tcW w:w="1182" w:type="dxa"/>
            <w:vMerge w:val="continue"/>
            <w:shd w:val="clear" w:color="auto" w:fill="auto"/>
            <w:vAlign w:val="center"/>
          </w:tcPr>
          <w:p>
            <w:pPr>
              <w:spacing w:line="240" w:lineRule="exact"/>
              <w:jc w:val="center"/>
              <w:rPr>
                <w:rFonts w:ascii="仿宋" w:hAnsi="仿宋" w:eastAsia="仿宋" w:cs="仿宋"/>
                <w:bCs/>
                <w:szCs w:val="21"/>
              </w:rPr>
            </w:pPr>
          </w:p>
        </w:tc>
        <w:tc>
          <w:tcPr>
            <w:tcW w:w="1127" w:type="dxa"/>
            <w:vMerge w:val="continue"/>
            <w:shd w:val="clear" w:color="auto" w:fill="auto"/>
            <w:vAlign w:val="center"/>
          </w:tcPr>
          <w:p>
            <w:pPr>
              <w:spacing w:line="240" w:lineRule="exact"/>
              <w:jc w:val="center"/>
              <w:rPr>
                <w:rFonts w:ascii="仿宋" w:hAnsi="仿宋" w:eastAsia="仿宋" w:cs="仿宋"/>
                <w:bCs/>
                <w:szCs w:val="21"/>
              </w:rPr>
            </w:pPr>
          </w:p>
        </w:tc>
        <w:tc>
          <w:tcPr>
            <w:tcW w:w="2082" w:type="dxa"/>
            <w:vMerge w:val="continue"/>
            <w:shd w:val="clear" w:color="auto" w:fill="auto"/>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1602" w:type="dxa"/>
            <w:vMerge w:val="continue"/>
          </w:tcPr>
          <w:p>
            <w:pPr>
              <w:spacing w:line="240" w:lineRule="exact"/>
              <w:jc w:val="center"/>
              <w:rPr>
                <w:rFonts w:ascii="仿宋" w:hAnsi="仿宋" w:eastAsia="仿宋" w:cs="仿宋"/>
                <w:bCs/>
                <w:szCs w:val="21"/>
              </w:rPr>
            </w:pPr>
          </w:p>
        </w:tc>
        <w:tc>
          <w:tcPr>
            <w:tcW w:w="710" w:type="dxa"/>
            <w:vMerge w:val="continue"/>
            <w:shd w:val="clear" w:color="auto" w:fill="auto"/>
            <w:vAlign w:val="center"/>
          </w:tcPr>
          <w:p>
            <w:pPr>
              <w:spacing w:line="240" w:lineRule="exact"/>
              <w:jc w:val="center"/>
              <w:rPr>
                <w:rFonts w:ascii="仿宋" w:hAnsi="仿宋" w:eastAsia="仿宋" w:cs="仿宋"/>
                <w:bCs/>
                <w:szCs w:val="21"/>
              </w:rPr>
            </w:pPr>
          </w:p>
        </w:tc>
        <w:tc>
          <w:tcPr>
            <w:tcW w:w="892"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对甲苯磺酸</w:t>
            </w:r>
          </w:p>
        </w:tc>
        <w:tc>
          <w:tcPr>
            <w:tcW w:w="1073" w:type="dxa"/>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0.098</w:t>
            </w:r>
          </w:p>
        </w:tc>
        <w:tc>
          <w:tcPr>
            <w:tcW w:w="855" w:type="dxa"/>
            <w:vMerge w:val="continue"/>
          </w:tcPr>
          <w:p>
            <w:pPr>
              <w:spacing w:line="240" w:lineRule="exact"/>
              <w:jc w:val="center"/>
              <w:rPr>
                <w:rFonts w:ascii="仿宋" w:hAnsi="仿宋" w:eastAsia="仿宋" w:cs="仿宋"/>
                <w:bCs/>
                <w:szCs w:val="21"/>
              </w:rPr>
            </w:pPr>
          </w:p>
        </w:tc>
        <w:tc>
          <w:tcPr>
            <w:tcW w:w="1182" w:type="dxa"/>
            <w:vMerge w:val="continue"/>
            <w:shd w:val="clear" w:color="auto" w:fill="auto"/>
            <w:vAlign w:val="center"/>
          </w:tcPr>
          <w:p>
            <w:pPr>
              <w:spacing w:line="240" w:lineRule="exact"/>
              <w:jc w:val="center"/>
              <w:rPr>
                <w:rFonts w:ascii="仿宋" w:hAnsi="仿宋" w:eastAsia="仿宋" w:cs="仿宋"/>
                <w:bCs/>
                <w:szCs w:val="21"/>
              </w:rPr>
            </w:pPr>
          </w:p>
        </w:tc>
        <w:tc>
          <w:tcPr>
            <w:tcW w:w="1127" w:type="dxa"/>
            <w:vMerge w:val="continue"/>
            <w:shd w:val="clear" w:color="auto" w:fill="auto"/>
            <w:vAlign w:val="center"/>
          </w:tcPr>
          <w:p>
            <w:pPr>
              <w:spacing w:line="240" w:lineRule="exact"/>
              <w:jc w:val="center"/>
              <w:rPr>
                <w:rFonts w:ascii="仿宋" w:hAnsi="仿宋" w:eastAsia="仿宋" w:cs="仿宋"/>
                <w:bCs/>
                <w:szCs w:val="21"/>
              </w:rPr>
            </w:pPr>
          </w:p>
        </w:tc>
        <w:tc>
          <w:tcPr>
            <w:tcW w:w="2082" w:type="dxa"/>
            <w:vMerge w:val="continue"/>
            <w:shd w:val="clear" w:color="auto" w:fill="auto"/>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602" w:type="dxa"/>
            <w:vMerge w:val="continue"/>
          </w:tcPr>
          <w:p>
            <w:pPr>
              <w:spacing w:line="240" w:lineRule="exact"/>
              <w:jc w:val="center"/>
              <w:rPr>
                <w:rFonts w:ascii="仿宋" w:hAnsi="仿宋" w:eastAsia="仿宋" w:cs="仿宋"/>
                <w:bCs/>
                <w:szCs w:val="21"/>
              </w:rPr>
            </w:pPr>
          </w:p>
        </w:tc>
        <w:tc>
          <w:tcPr>
            <w:tcW w:w="710" w:type="dxa"/>
            <w:vMerge w:val="restar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挥发份</w:t>
            </w:r>
          </w:p>
        </w:tc>
        <w:tc>
          <w:tcPr>
            <w:tcW w:w="892"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乙酸乙酯</w:t>
            </w:r>
          </w:p>
        </w:tc>
        <w:tc>
          <w:tcPr>
            <w:tcW w:w="1073"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44</w:t>
            </w:r>
          </w:p>
        </w:tc>
        <w:tc>
          <w:tcPr>
            <w:tcW w:w="855" w:type="dxa"/>
            <w:vMerge w:val="restart"/>
            <w:vAlign w:val="center"/>
          </w:tcPr>
          <w:p>
            <w:pPr>
              <w:widowControl/>
              <w:spacing w:line="240" w:lineRule="exact"/>
              <w:jc w:val="center"/>
              <w:rPr>
                <w:rFonts w:ascii="仿宋" w:hAnsi="仿宋" w:eastAsia="仿宋" w:cs="仿宋"/>
                <w:bCs/>
                <w:szCs w:val="21"/>
              </w:rPr>
            </w:pPr>
            <w:r>
              <w:rPr>
                <w:rFonts w:hint="eastAsia" w:ascii="仿宋" w:hAnsi="仿宋" w:eastAsia="仿宋" w:cs="仿宋"/>
                <w:bCs/>
                <w:szCs w:val="21"/>
              </w:rPr>
              <w:t>51</w:t>
            </w:r>
          </w:p>
        </w:tc>
        <w:tc>
          <w:tcPr>
            <w:tcW w:w="1182" w:type="dxa"/>
            <w:vMerge w:val="continue"/>
            <w:shd w:val="clear" w:color="auto" w:fill="auto"/>
            <w:vAlign w:val="center"/>
          </w:tcPr>
          <w:p>
            <w:pPr>
              <w:widowControl/>
              <w:spacing w:line="240" w:lineRule="exact"/>
              <w:jc w:val="left"/>
              <w:rPr>
                <w:rFonts w:ascii="仿宋" w:hAnsi="仿宋" w:eastAsia="仿宋" w:cs="仿宋"/>
                <w:bCs/>
                <w:szCs w:val="21"/>
              </w:rPr>
            </w:pPr>
          </w:p>
        </w:tc>
        <w:tc>
          <w:tcPr>
            <w:tcW w:w="1127" w:type="dxa"/>
            <w:vMerge w:val="continue"/>
            <w:shd w:val="clear" w:color="auto" w:fill="auto"/>
            <w:vAlign w:val="center"/>
          </w:tcPr>
          <w:p>
            <w:pPr>
              <w:widowControl/>
              <w:spacing w:line="240" w:lineRule="exact"/>
              <w:jc w:val="left"/>
              <w:rPr>
                <w:rFonts w:ascii="仿宋" w:hAnsi="仿宋" w:eastAsia="仿宋" w:cs="仿宋"/>
                <w:bCs/>
                <w:szCs w:val="21"/>
              </w:rPr>
            </w:pPr>
          </w:p>
        </w:tc>
        <w:tc>
          <w:tcPr>
            <w:tcW w:w="2082" w:type="dxa"/>
            <w:vMerge w:val="continue"/>
            <w:shd w:val="clear" w:color="auto" w:fill="auto"/>
            <w:vAlign w:val="center"/>
          </w:tcPr>
          <w:p>
            <w:pPr>
              <w:widowControl/>
              <w:spacing w:line="240" w:lineRule="exact"/>
              <w:jc w:val="left"/>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602" w:type="dxa"/>
            <w:vMerge w:val="continue"/>
          </w:tcPr>
          <w:p>
            <w:pPr>
              <w:spacing w:line="240" w:lineRule="exact"/>
              <w:jc w:val="center"/>
              <w:rPr>
                <w:rFonts w:ascii="仿宋" w:hAnsi="仿宋" w:eastAsia="仿宋" w:cs="仿宋"/>
                <w:bCs/>
                <w:szCs w:val="21"/>
              </w:rPr>
            </w:pPr>
          </w:p>
        </w:tc>
        <w:tc>
          <w:tcPr>
            <w:tcW w:w="710" w:type="dxa"/>
            <w:vMerge w:val="continue"/>
            <w:shd w:val="clear" w:color="auto" w:fill="auto"/>
            <w:vAlign w:val="center"/>
          </w:tcPr>
          <w:p>
            <w:pPr>
              <w:spacing w:line="240" w:lineRule="exact"/>
              <w:jc w:val="center"/>
              <w:rPr>
                <w:rFonts w:ascii="仿宋" w:hAnsi="仿宋" w:eastAsia="仿宋" w:cs="仿宋"/>
                <w:bCs/>
                <w:szCs w:val="21"/>
              </w:rPr>
            </w:pPr>
          </w:p>
        </w:tc>
        <w:tc>
          <w:tcPr>
            <w:tcW w:w="892"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二甲苯</w:t>
            </w:r>
          </w:p>
        </w:tc>
        <w:tc>
          <w:tcPr>
            <w:tcW w:w="1073"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4.</w:t>
            </w:r>
            <w:r>
              <w:rPr>
                <w:rFonts w:ascii="仿宋" w:hAnsi="仿宋" w:eastAsia="仿宋" w:cs="仿宋"/>
                <w:bCs/>
                <w:szCs w:val="21"/>
              </w:rPr>
              <w:t>9</w:t>
            </w:r>
          </w:p>
        </w:tc>
        <w:tc>
          <w:tcPr>
            <w:tcW w:w="855" w:type="dxa"/>
            <w:vMerge w:val="continue"/>
          </w:tcPr>
          <w:p>
            <w:pPr>
              <w:widowControl/>
              <w:spacing w:line="240" w:lineRule="exact"/>
              <w:jc w:val="left"/>
              <w:rPr>
                <w:rFonts w:ascii="仿宋" w:hAnsi="仿宋" w:eastAsia="仿宋" w:cs="仿宋"/>
                <w:bCs/>
                <w:szCs w:val="21"/>
              </w:rPr>
            </w:pPr>
          </w:p>
        </w:tc>
        <w:tc>
          <w:tcPr>
            <w:tcW w:w="1182" w:type="dxa"/>
            <w:vMerge w:val="continue"/>
            <w:shd w:val="clear" w:color="auto" w:fill="auto"/>
            <w:vAlign w:val="center"/>
          </w:tcPr>
          <w:p>
            <w:pPr>
              <w:widowControl/>
              <w:spacing w:line="240" w:lineRule="exact"/>
              <w:jc w:val="left"/>
              <w:rPr>
                <w:rFonts w:ascii="仿宋" w:hAnsi="仿宋" w:eastAsia="仿宋" w:cs="仿宋"/>
                <w:bCs/>
                <w:szCs w:val="21"/>
              </w:rPr>
            </w:pPr>
          </w:p>
        </w:tc>
        <w:tc>
          <w:tcPr>
            <w:tcW w:w="1127" w:type="dxa"/>
            <w:vMerge w:val="continue"/>
            <w:shd w:val="clear" w:color="auto" w:fill="auto"/>
            <w:vAlign w:val="center"/>
          </w:tcPr>
          <w:p>
            <w:pPr>
              <w:widowControl/>
              <w:spacing w:line="240" w:lineRule="exact"/>
              <w:jc w:val="left"/>
              <w:rPr>
                <w:rFonts w:ascii="仿宋" w:hAnsi="仿宋" w:eastAsia="仿宋" w:cs="仿宋"/>
                <w:bCs/>
                <w:szCs w:val="21"/>
              </w:rPr>
            </w:pPr>
          </w:p>
        </w:tc>
        <w:tc>
          <w:tcPr>
            <w:tcW w:w="2082" w:type="dxa"/>
            <w:vMerge w:val="continue"/>
            <w:shd w:val="clear" w:color="auto" w:fill="auto"/>
            <w:vAlign w:val="center"/>
          </w:tcPr>
          <w:p>
            <w:pPr>
              <w:widowControl/>
              <w:spacing w:line="240" w:lineRule="exact"/>
              <w:jc w:val="left"/>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1602" w:type="dxa"/>
            <w:vMerge w:val="continue"/>
          </w:tcPr>
          <w:p>
            <w:pPr>
              <w:spacing w:line="240" w:lineRule="exact"/>
              <w:jc w:val="center"/>
              <w:rPr>
                <w:rFonts w:ascii="仿宋" w:hAnsi="仿宋" w:eastAsia="仿宋" w:cs="仿宋"/>
                <w:bCs/>
                <w:szCs w:val="21"/>
              </w:rPr>
            </w:pPr>
          </w:p>
        </w:tc>
        <w:tc>
          <w:tcPr>
            <w:tcW w:w="710" w:type="dxa"/>
            <w:vMerge w:val="continue"/>
            <w:shd w:val="clear" w:color="auto" w:fill="auto"/>
            <w:vAlign w:val="center"/>
          </w:tcPr>
          <w:p>
            <w:pPr>
              <w:spacing w:line="240" w:lineRule="exact"/>
              <w:jc w:val="center"/>
              <w:rPr>
                <w:rFonts w:ascii="仿宋" w:hAnsi="仿宋" w:eastAsia="仿宋" w:cs="仿宋"/>
                <w:bCs/>
                <w:szCs w:val="21"/>
              </w:rPr>
            </w:pPr>
          </w:p>
        </w:tc>
        <w:tc>
          <w:tcPr>
            <w:tcW w:w="892"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乙醇</w:t>
            </w:r>
          </w:p>
        </w:tc>
        <w:tc>
          <w:tcPr>
            <w:tcW w:w="1073"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w:t>
            </w:r>
            <w:r>
              <w:rPr>
                <w:rFonts w:ascii="仿宋" w:hAnsi="仿宋" w:eastAsia="仿宋" w:cs="仿宋"/>
                <w:bCs/>
                <w:szCs w:val="21"/>
              </w:rPr>
              <w:t>.</w:t>
            </w:r>
            <w:r>
              <w:rPr>
                <w:rFonts w:hint="eastAsia" w:ascii="仿宋" w:hAnsi="仿宋" w:eastAsia="仿宋" w:cs="仿宋"/>
                <w:bCs/>
                <w:szCs w:val="21"/>
              </w:rPr>
              <w:t>8</w:t>
            </w:r>
          </w:p>
        </w:tc>
        <w:tc>
          <w:tcPr>
            <w:tcW w:w="855" w:type="dxa"/>
            <w:vMerge w:val="continue"/>
          </w:tcPr>
          <w:p>
            <w:pPr>
              <w:widowControl/>
              <w:spacing w:line="240" w:lineRule="exact"/>
              <w:jc w:val="left"/>
              <w:rPr>
                <w:rFonts w:ascii="仿宋" w:hAnsi="仿宋" w:eastAsia="仿宋" w:cs="仿宋"/>
                <w:bCs/>
                <w:szCs w:val="21"/>
              </w:rPr>
            </w:pPr>
          </w:p>
        </w:tc>
        <w:tc>
          <w:tcPr>
            <w:tcW w:w="1182" w:type="dxa"/>
            <w:vMerge w:val="continue"/>
            <w:shd w:val="clear" w:color="auto" w:fill="auto"/>
            <w:vAlign w:val="center"/>
          </w:tcPr>
          <w:p>
            <w:pPr>
              <w:widowControl/>
              <w:spacing w:line="240" w:lineRule="exact"/>
              <w:jc w:val="left"/>
              <w:rPr>
                <w:rFonts w:ascii="仿宋" w:hAnsi="仿宋" w:eastAsia="仿宋" w:cs="仿宋"/>
                <w:bCs/>
                <w:szCs w:val="21"/>
              </w:rPr>
            </w:pPr>
          </w:p>
        </w:tc>
        <w:tc>
          <w:tcPr>
            <w:tcW w:w="1127" w:type="dxa"/>
            <w:vMerge w:val="continue"/>
            <w:shd w:val="clear" w:color="auto" w:fill="auto"/>
            <w:vAlign w:val="center"/>
          </w:tcPr>
          <w:p>
            <w:pPr>
              <w:widowControl/>
              <w:spacing w:line="240" w:lineRule="exact"/>
              <w:jc w:val="left"/>
              <w:rPr>
                <w:rFonts w:ascii="仿宋" w:hAnsi="仿宋" w:eastAsia="仿宋" w:cs="仿宋"/>
                <w:bCs/>
                <w:szCs w:val="21"/>
              </w:rPr>
            </w:pPr>
          </w:p>
        </w:tc>
        <w:tc>
          <w:tcPr>
            <w:tcW w:w="2082" w:type="dxa"/>
            <w:vMerge w:val="continue"/>
            <w:shd w:val="clear" w:color="auto" w:fill="auto"/>
            <w:vAlign w:val="center"/>
          </w:tcPr>
          <w:p>
            <w:pPr>
              <w:widowControl/>
              <w:spacing w:line="240" w:lineRule="exact"/>
              <w:jc w:val="left"/>
              <w:rPr>
                <w:rFonts w:ascii="仿宋" w:hAnsi="仿宋" w:eastAsia="仿宋" w:cs="仿宋"/>
                <w:bCs/>
                <w:szCs w:val="21"/>
              </w:rPr>
            </w:pPr>
          </w:p>
        </w:tc>
      </w:tr>
    </w:tbl>
    <w:p>
      <w:pPr>
        <w:widowControl/>
        <w:snapToGrid w:val="0"/>
      </w:pPr>
      <w:r>
        <w:rPr>
          <w:rFonts w:hint="eastAsia" w:ascii="仿宋" w:hAnsi="仿宋" w:eastAsia="仿宋" w:cs="华文仿宋"/>
          <w:b/>
          <w:bCs/>
          <w:kern w:val="0"/>
          <w:szCs w:val="21"/>
        </w:rPr>
        <w:t>注：①本项目施工状态下胶粘剂VOCs含量计算过程：VOCs含量=混合后胶粘剂总密度*胶粘剂中有机组分含量占比，依据上文可知，本项目施工状态下胶粘剂VOCs含量为</w:t>
      </w:r>
      <w:r>
        <w:rPr>
          <w:rFonts w:ascii="仿宋" w:hAnsi="仿宋" w:eastAsia="仿宋" w:cs="华文仿宋"/>
          <w:b/>
          <w:bCs/>
          <w:kern w:val="0"/>
          <w:szCs w:val="21"/>
        </w:rPr>
        <w:t>494</w:t>
      </w:r>
      <w:r>
        <w:rPr>
          <w:rFonts w:hint="eastAsia" w:ascii="仿宋" w:hAnsi="仿宋" w:eastAsia="仿宋" w:cs="华文仿宋"/>
          <w:b/>
          <w:bCs/>
          <w:kern w:val="0"/>
          <w:szCs w:val="21"/>
        </w:rPr>
        <w:t>g/L（</w:t>
      </w:r>
      <w:r>
        <w:rPr>
          <w:rFonts w:ascii="仿宋" w:hAnsi="仿宋" w:eastAsia="仿宋" w:cs="华文仿宋"/>
          <w:b/>
          <w:bCs/>
          <w:kern w:val="0"/>
          <w:szCs w:val="21"/>
        </w:rPr>
        <w:t>969</w:t>
      </w:r>
      <w:r>
        <w:rPr>
          <w:rFonts w:hint="eastAsia" w:ascii="仿宋" w:hAnsi="仿宋" w:eastAsia="仿宋" w:cs="华文仿宋"/>
          <w:b/>
          <w:bCs/>
          <w:kern w:val="0"/>
          <w:szCs w:val="21"/>
        </w:rPr>
        <w:t>*51%）②本项目施工状态下按照</w:t>
      </w:r>
      <w:r>
        <w:rPr>
          <w:rFonts w:ascii="仿宋" w:hAnsi="仿宋" w:eastAsia="仿宋" w:cs="华文仿宋"/>
          <w:b/>
          <w:bCs/>
          <w:kern w:val="0"/>
          <w:szCs w:val="21"/>
        </w:rPr>
        <w:t>胶粘剂</w:t>
      </w:r>
      <w:r>
        <w:rPr>
          <w:rFonts w:hint="eastAsia" w:ascii="仿宋" w:hAnsi="仿宋" w:eastAsia="仿宋" w:cs="华文仿宋"/>
          <w:b/>
          <w:bCs/>
          <w:kern w:val="0"/>
          <w:szCs w:val="21"/>
        </w:rPr>
        <w:t>：固化剂=100:2的比例调和。③本项目使用的胶粘剂中V</w:t>
      </w:r>
      <w:r>
        <w:rPr>
          <w:rFonts w:ascii="仿宋" w:hAnsi="仿宋" w:eastAsia="仿宋" w:cs="华文仿宋"/>
          <w:b/>
          <w:bCs/>
          <w:kern w:val="0"/>
          <w:szCs w:val="21"/>
        </w:rPr>
        <w:t>OC</w:t>
      </w:r>
      <w:r>
        <w:rPr>
          <w:rFonts w:hint="eastAsia" w:ascii="仿宋" w:hAnsi="仿宋" w:eastAsia="仿宋" w:cs="华文仿宋"/>
          <w:b/>
          <w:bCs/>
          <w:kern w:val="0"/>
          <w:szCs w:val="21"/>
        </w:rPr>
        <w:t>s含量实测值为425g</w:t>
      </w:r>
      <w:r>
        <w:rPr>
          <w:rFonts w:ascii="仿宋" w:hAnsi="仿宋" w:eastAsia="仿宋" w:cs="华文仿宋"/>
          <w:b/>
          <w:bCs/>
          <w:kern w:val="0"/>
          <w:szCs w:val="21"/>
        </w:rPr>
        <w:t>/L,</w:t>
      </w:r>
      <w:r>
        <w:rPr>
          <w:rFonts w:hint="eastAsia" w:ascii="仿宋" w:hAnsi="仿宋" w:eastAsia="仿宋" w:cs="华文仿宋"/>
          <w:b/>
          <w:bCs/>
          <w:kern w:val="0"/>
          <w:szCs w:val="21"/>
        </w:rPr>
        <w:t>本次以最不利情况选择理论值。</w:t>
      </w:r>
    </w:p>
    <w:p>
      <w:pPr>
        <w:spacing w:line="500" w:lineRule="exact"/>
        <w:ind w:firstLine="560" w:firstLineChars="200"/>
        <w:rPr>
          <w:rFonts w:eastAsia="仿宋_GB2312"/>
          <w:sz w:val="28"/>
          <w:szCs w:val="28"/>
        </w:rPr>
      </w:pPr>
      <w:r>
        <w:rPr>
          <w:rFonts w:hint="eastAsia" w:eastAsia="仿宋_GB2312"/>
          <w:sz w:val="28"/>
          <w:szCs w:val="28"/>
        </w:rPr>
        <w:t>本项目施工状态下胶粘剂配比情况</w:t>
      </w:r>
      <w:r>
        <w:rPr>
          <w:rFonts w:eastAsia="仿宋_GB2312"/>
          <w:sz w:val="28"/>
          <w:szCs w:val="28"/>
        </w:rPr>
        <w:t>见下表</w:t>
      </w:r>
      <w:r>
        <w:rPr>
          <w:rFonts w:hint="eastAsia" w:eastAsia="仿宋_GB2312"/>
          <w:sz w:val="28"/>
          <w:szCs w:val="28"/>
        </w:rPr>
        <w:t>3.1</w:t>
      </w:r>
      <w:r>
        <w:rPr>
          <w:rFonts w:eastAsia="仿宋_GB2312"/>
          <w:sz w:val="28"/>
          <w:szCs w:val="28"/>
        </w:rPr>
        <w:t>-14</w:t>
      </w:r>
      <w:r>
        <w:rPr>
          <w:rFonts w:hint="eastAsia" w:eastAsia="仿宋_GB2312"/>
          <w:sz w:val="28"/>
          <w:szCs w:val="28"/>
        </w:rPr>
        <w:t>：</w:t>
      </w:r>
    </w:p>
    <w:p>
      <w:pPr>
        <w:adjustRightInd w:val="0"/>
        <w:snapToGrid w:val="0"/>
        <w:spacing w:line="500" w:lineRule="exact"/>
        <w:ind w:firstLine="482" w:firstLineChars="200"/>
        <w:jc w:val="center"/>
        <w:rPr>
          <w:rFonts w:eastAsia="仿宋_GB2312"/>
          <w:b/>
          <w:bCs/>
          <w:sz w:val="24"/>
        </w:rPr>
      </w:pPr>
      <w:r>
        <w:rPr>
          <w:rFonts w:hint="eastAsia" w:eastAsia="仿宋_GB2312"/>
          <w:b/>
          <w:bCs/>
          <w:sz w:val="24"/>
        </w:rPr>
        <w:t>表3.1-</w:t>
      </w:r>
      <w:r>
        <w:rPr>
          <w:rFonts w:eastAsia="仿宋_GB2312"/>
          <w:b/>
          <w:bCs/>
          <w:sz w:val="24"/>
        </w:rPr>
        <w:t>14</w:t>
      </w:r>
      <w:r>
        <w:rPr>
          <w:rFonts w:hint="eastAsia" w:eastAsia="仿宋_GB2312"/>
          <w:b/>
          <w:bCs/>
          <w:sz w:val="24"/>
        </w:rPr>
        <w:t xml:space="preserve"> 施工状态下各工段</w:t>
      </w:r>
      <w:r>
        <w:rPr>
          <w:rFonts w:eastAsia="仿宋_GB2312"/>
          <w:b/>
          <w:bCs/>
          <w:sz w:val="24"/>
        </w:rPr>
        <w:t>胶粘剂使用量</w:t>
      </w:r>
      <w:r>
        <w:rPr>
          <w:rFonts w:hint="eastAsia" w:eastAsia="仿宋_GB2312"/>
          <w:b/>
          <w:bCs/>
          <w:sz w:val="24"/>
        </w:rPr>
        <w:t>表  单位</w:t>
      </w:r>
      <w:r>
        <w:rPr>
          <w:rFonts w:eastAsia="仿宋_GB2312"/>
          <w:b/>
          <w:bCs/>
          <w:sz w:val="24"/>
        </w:rPr>
        <w:t>：t/a</w:t>
      </w:r>
    </w:p>
    <w:tbl>
      <w:tblPr>
        <w:tblStyle w:val="88"/>
        <w:tblW w:w="88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8"/>
        <w:gridCol w:w="1843"/>
        <w:gridCol w:w="1843"/>
        <w:gridCol w:w="1711"/>
        <w:gridCol w:w="1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1768" w:type="dxa"/>
          </w:tcPr>
          <w:p>
            <w:pPr>
              <w:spacing w:line="240" w:lineRule="exact"/>
              <w:jc w:val="center"/>
              <w:rPr>
                <w:rFonts w:ascii="仿宋" w:hAnsi="仿宋" w:eastAsia="仿宋" w:cs="仿宋"/>
                <w:bCs/>
                <w:szCs w:val="21"/>
              </w:rPr>
            </w:pPr>
            <w:r>
              <w:rPr>
                <w:rFonts w:hint="eastAsia" w:ascii="仿宋" w:hAnsi="仿宋" w:eastAsia="仿宋" w:cs="仿宋"/>
                <w:bCs/>
                <w:szCs w:val="21"/>
              </w:rPr>
              <w:t>物质种类</w:t>
            </w:r>
          </w:p>
        </w:tc>
        <w:tc>
          <w:tcPr>
            <w:tcW w:w="1843" w:type="dxa"/>
          </w:tcPr>
          <w:p>
            <w:pPr>
              <w:spacing w:line="240" w:lineRule="exact"/>
              <w:jc w:val="center"/>
              <w:rPr>
                <w:rFonts w:ascii="仿宋" w:hAnsi="仿宋" w:eastAsia="仿宋" w:cs="仿宋"/>
                <w:bCs/>
                <w:szCs w:val="21"/>
              </w:rPr>
            </w:pPr>
            <w:r>
              <w:rPr>
                <w:rFonts w:hint="eastAsia" w:ascii="仿宋" w:hAnsi="仿宋" w:eastAsia="仿宋" w:cs="仿宋"/>
                <w:bCs/>
                <w:szCs w:val="21"/>
              </w:rPr>
              <w:t>成品胶带</w:t>
            </w:r>
          </w:p>
        </w:tc>
        <w:tc>
          <w:tcPr>
            <w:tcW w:w="1843" w:type="dxa"/>
          </w:tcPr>
          <w:p>
            <w:pPr>
              <w:spacing w:line="240" w:lineRule="exact"/>
              <w:jc w:val="center"/>
              <w:rPr>
                <w:rFonts w:ascii="仿宋" w:hAnsi="仿宋" w:eastAsia="仿宋" w:cs="仿宋"/>
                <w:bCs/>
                <w:szCs w:val="21"/>
              </w:rPr>
            </w:pPr>
            <w:r>
              <w:rPr>
                <w:rFonts w:hint="eastAsia" w:ascii="仿宋" w:hAnsi="仿宋" w:eastAsia="仿宋" w:cs="仿宋"/>
                <w:bCs/>
                <w:szCs w:val="21"/>
              </w:rPr>
              <w:t>废</w:t>
            </w:r>
            <w:r>
              <w:rPr>
                <w:rFonts w:ascii="仿宋" w:hAnsi="仿宋" w:eastAsia="仿宋" w:cs="仿宋"/>
                <w:bCs/>
                <w:szCs w:val="21"/>
              </w:rPr>
              <w:t>配胶</w:t>
            </w:r>
          </w:p>
        </w:tc>
        <w:tc>
          <w:tcPr>
            <w:tcW w:w="1711" w:type="dxa"/>
          </w:tcPr>
          <w:p>
            <w:pPr>
              <w:spacing w:line="240" w:lineRule="exact"/>
              <w:jc w:val="center"/>
              <w:rPr>
                <w:rFonts w:ascii="仿宋" w:hAnsi="仿宋" w:eastAsia="仿宋" w:cs="仿宋"/>
                <w:bCs/>
                <w:szCs w:val="21"/>
              </w:rPr>
            </w:pPr>
            <w:r>
              <w:rPr>
                <w:rFonts w:hint="eastAsia" w:ascii="仿宋" w:hAnsi="仿宋" w:eastAsia="仿宋" w:cs="仿宋"/>
                <w:bCs/>
                <w:szCs w:val="21"/>
              </w:rPr>
              <w:t>废</w:t>
            </w:r>
            <w:r>
              <w:rPr>
                <w:rFonts w:ascii="仿宋" w:hAnsi="仿宋" w:eastAsia="仿宋" w:cs="仿宋"/>
                <w:bCs/>
                <w:szCs w:val="21"/>
              </w:rPr>
              <w:t>胶带</w:t>
            </w:r>
          </w:p>
        </w:tc>
        <w:tc>
          <w:tcPr>
            <w:tcW w:w="1711" w:type="dxa"/>
          </w:tcPr>
          <w:p>
            <w:pPr>
              <w:spacing w:line="240" w:lineRule="exact"/>
              <w:jc w:val="center"/>
              <w:rPr>
                <w:rFonts w:ascii="仿宋" w:hAnsi="仿宋" w:eastAsia="仿宋" w:cs="仿宋"/>
                <w:bCs/>
                <w:szCs w:val="21"/>
              </w:rPr>
            </w:pPr>
            <w:r>
              <w:rPr>
                <w:rFonts w:hint="eastAsia" w:ascii="仿宋" w:hAnsi="仿宋" w:eastAsia="仿宋" w:cs="仿宋"/>
                <w:bCs/>
                <w:szCs w:val="21"/>
              </w:rPr>
              <w:t>总量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768"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原料</w:t>
            </w:r>
            <w:r>
              <w:rPr>
                <w:rFonts w:ascii="仿宋" w:hAnsi="仿宋" w:eastAsia="仿宋" w:cs="仿宋"/>
                <w:bCs/>
                <w:szCs w:val="21"/>
              </w:rPr>
              <w:t>胶粘剂</w:t>
            </w:r>
          </w:p>
        </w:tc>
        <w:tc>
          <w:tcPr>
            <w:tcW w:w="1843" w:type="dxa"/>
            <w:vAlign w:val="center"/>
          </w:tcPr>
          <w:p>
            <w:pPr>
              <w:spacing w:line="240" w:lineRule="exact"/>
              <w:jc w:val="center"/>
              <w:rPr>
                <w:rFonts w:ascii="仿宋" w:hAnsi="仿宋" w:eastAsia="仿宋" w:cs="仿宋"/>
                <w:bCs/>
                <w:szCs w:val="21"/>
              </w:rPr>
            </w:pPr>
            <w:r>
              <w:rPr>
                <w:rFonts w:ascii="仿宋" w:hAnsi="仿宋" w:eastAsia="仿宋" w:cs="仿宋"/>
                <w:bCs/>
                <w:szCs w:val="21"/>
              </w:rPr>
              <w:t>712.5</w:t>
            </w:r>
          </w:p>
        </w:tc>
        <w:tc>
          <w:tcPr>
            <w:tcW w:w="1843"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3.6</w:t>
            </w:r>
          </w:p>
        </w:tc>
        <w:tc>
          <w:tcPr>
            <w:tcW w:w="1711" w:type="dxa"/>
            <w:vAlign w:val="center"/>
          </w:tcPr>
          <w:p>
            <w:pPr>
              <w:spacing w:line="240" w:lineRule="exact"/>
              <w:jc w:val="center"/>
              <w:rPr>
                <w:rFonts w:ascii="仿宋" w:hAnsi="仿宋" w:eastAsia="仿宋" w:cs="仿宋"/>
                <w:bCs/>
                <w:szCs w:val="21"/>
              </w:rPr>
            </w:pPr>
            <w:r>
              <w:rPr>
                <w:rFonts w:ascii="仿宋" w:hAnsi="仿宋" w:eastAsia="仿宋" w:cs="仿宋"/>
                <w:bCs/>
                <w:szCs w:val="21"/>
              </w:rPr>
              <w:t>21.4</w:t>
            </w:r>
          </w:p>
        </w:tc>
        <w:tc>
          <w:tcPr>
            <w:tcW w:w="1711"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7</w:t>
            </w:r>
            <w:r>
              <w:rPr>
                <w:rFonts w:ascii="仿宋" w:hAnsi="仿宋" w:eastAsia="仿宋" w:cs="仿宋"/>
                <w:bCs/>
                <w:szCs w:val="21"/>
              </w:rPr>
              <w:t>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768"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固化剂</w:t>
            </w:r>
          </w:p>
        </w:tc>
        <w:tc>
          <w:tcPr>
            <w:tcW w:w="1843" w:type="dxa"/>
            <w:vAlign w:val="center"/>
          </w:tcPr>
          <w:p>
            <w:pPr>
              <w:spacing w:line="240" w:lineRule="exact"/>
              <w:jc w:val="center"/>
              <w:rPr>
                <w:rFonts w:ascii="仿宋" w:hAnsi="仿宋" w:eastAsia="仿宋" w:cs="仿宋"/>
                <w:bCs/>
                <w:szCs w:val="21"/>
              </w:rPr>
            </w:pPr>
            <w:r>
              <w:rPr>
                <w:rFonts w:ascii="仿宋" w:hAnsi="仿宋" w:eastAsia="仿宋" w:cs="仿宋"/>
                <w:bCs/>
                <w:szCs w:val="21"/>
              </w:rPr>
              <w:t>14.25</w:t>
            </w:r>
          </w:p>
        </w:tc>
        <w:tc>
          <w:tcPr>
            <w:tcW w:w="1843"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0.072</w:t>
            </w:r>
          </w:p>
        </w:tc>
        <w:tc>
          <w:tcPr>
            <w:tcW w:w="1711" w:type="dxa"/>
            <w:vAlign w:val="center"/>
          </w:tcPr>
          <w:p>
            <w:pPr>
              <w:spacing w:line="240" w:lineRule="exact"/>
              <w:jc w:val="center"/>
              <w:rPr>
                <w:rFonts w:ascii="仿宋" w:hAnsi="仿宋" w:eastAsia="仿宋" w:cs="仿宋"/>
                <w:bCs/>
                <w:szCs w:val="21"/>
              </w:rPr>
            </w:pPr>
            <w:r>
              <w:rPr>
                <w:rFonts w:ascii="仿宋" w:hAnsi="仿宋" w:eastAsia="仿宋" w:cs="仿宋"/>
                <w:bCs/>
                <w:szCs w:val="21"/>
              </w:rPr>
              <w:t>0.4</w:t>
            </w:r>
          </w:p>
        </w:tc>
        <w:tc>
          <w:tcPr>
            <w:tcW w:w="1711"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w:t>
            </w:r>
            <w:r>
              <w:rPr>
                <w:rFonts w:ascii="仿宋" w:hAnsi="仿宋" w:eastAsia="仿宋" w:cs="仿宋"/>
                <w:bCs/>
                <w:szCs w:val="21"/>
              </w:rPr>
              <w:t>4.722</w:t>
            </w:r>
          </w:p>
        </w:tc>
      </w:tr>
    </w:tbl>
    <w:p>
      <w:pPr>
        <w:spacing w:line="500" w:lineRule="exact"/>
        <w:ind w:firstLine="560" w:firstLineChars="200"/>
        <w:rPr>
          <w:rFonts w:eastAsia="仿宋_GB2312"/>
          <w:sz w:val="28"/>
          <w:szCs w:val="28"/>
        </w:rPr>
      </w:pPr>
      <w:r>
        <w:rPr>
          <w:rFonts w:hint="eastAsia" w:eastAsia="仿宋_GB2312"/>
          <w:sz w:val="28"/>
          <w:szCs w:val="28"/>
        </w:rPr>
        <w:t>本项目为新能源</w:t>
      </w:r>
      <w:r>
        <w:rPr>
          <w:rFonts w:eastAsia="仿宋_GB2312"/>
          <w:sz w:val="28"/>
          <w:szCs w:val="28"/>
        </w:rPr>
        <w:t>电子用胶带</w:t>
      </w:r>
      <w:r>
        <w:rPr>
          <w:rFonts w:hint="eastAsia" w:eastAsia="仿宋_GB2312"/>
          <w:sz w:val="28"/>
          <w:szCs w:val="28"/>
        </w:rPr>
        <w:t>，本产品</w:t>
      </w:r>
      <w:r>
        <w:rPr>
          <w:rFonts w:eastAsia="仿宋_GB2312"/>
          <w:sz w:val="28"/>
          <w:szCs w:val="28"/>
        </w:rPr>
        <w:t>生产过程中涂胶厚度一致，仅</w:t>
      </w:r>
      <w:r>
        <w:rPr>
          <w:rFonts w:hint="eastAsia" w:eastAsia="仿宋_GB2312"/>
          <w:sz w:val="28"/>
          <w:szCs w:val="28"/>
        </w:rPr>
        <w:t>膜</w:t>
      </w:r>
      <w:r>
        <w:rPr>
          <w:rFonts w:eastAsia="仿宋_GB2312"/>
          <w:sz w:val="28"/>
          <w:szCs w:val="28"/>
        </w:rPr>
        <w:t>的使用种类不同，</w:t>
      </w:r>
      <w:r>
        <w:rPr>
          <w:rFonts w:hint="eastAsia" w:eastAsia="仿宋_GB2312"/>
          <w:sz w:val="28"/>
          <w:szCs w:val="28"/>
        </w:rPr>
        <w:t>产品面积膜厚对应情况见表3.1-</w:t>
      </w:r>
      <w:r>
        <w:rPr>
          <w:rFonts w:eastAsia="仿宋_GB2312"/>
          <w:sz w:val="28"/>
          <w:szCs w:val="28"/>
        </w:rPr>
        <w:t>15</w:t>
      </w:r>
      <w:r>
        <w:rPr>
          <w:rFonts w:hint="eastAsia" w:eastAsia="仿宋_GB2312"/>
          <w:sz w:val="28"/>
          <w:szCs w:val="28"/>
        </w:rPr>
        <w:t>：</w:t>
      </w:r>
    </w:p>
    <w:p>
      <w:pPr>
        <w:adjustRightInd w:val="0"/>
        <w:snapToGrid w:val="0"/>
        <w:spacing w:line="500" w:lineRule="exact"/>
        <w:ind w:firstLine="482" w:firstLineChars="200"/>
        <w:jc w:val="center"/>
        <w:rPr>
          <w:rFonts w:eastAsia="仿宋_GB2312"/>
          <w:b/>
          <w:bCs/>
          <w:sz w:val="24"/>
        </w:rPr>
      </w:pPr>
      <w:r>
        <w:rPr>
          <w:rFonts w:hint="eastAsia" w:eastAsia="仿宋_GB2312"/>
          <w:b/>
          <w:bCs/>
          <w:sz w:val="24"/>
        </w:rPr>
        <w:t>表3.1-</w:t>
      </w:r>
      <w:r>
        <w:rPr>
          <w:rFonts w:eastAsia="仿宋_GB2312"/>
          <w:b/>
          <w:bCs/>
          <w:sz w:val="24"/>
        </w:rPr>
        <w:t>15</w:t>
      </w:r>
      <w:r>
        <w:rPr>
          <w:rFonts w:hint="eastAsia" w:eastAsia="仿宋_GB2312"/>
          <w:b/>
          <w:bCs/>
          <w:sz w:val="24"/>
        </w:rPr>
        <w:t xml:space="preserve"> 施工状态下涂装产品面积、膜厚对应表</w:t>
      </w:r>
    </w:p>
    <w:tbl>
      <w:tblPr>
        <w:tblStyle w:val="87"/>
        <w:tblW w:w="497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8"/>
        <w:gridCol w:w="1276"/>
        <w:gridCol w:w="1710"/>
        <w:gridCol w:w="1474"/>
        <w:gridCol w:w="1778"/>
        <w:gridCol w:w="1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739"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种类</w:t>
            </w:r>
          </w:p>
        </w:tc>
        <w:tc>
          <w:tcPr>
            <w:tcW w:w="694" w:type="pct"/>
            <w:tcMar>
              <w:left w:w="0" w:type="dxa"/>
              <w:right w:w="0" w:type="dxa"/>
            </w:tcMar>
            <w:vAlign w:val="center"/>
          </w:tcPr>
          <w:p>
            <w:pPr>
              <w:pStyle w:val="275"/>
              <w:snapToGrid w:val="0"/>
              <w:spacing w:line="240" w:lineRule="exact"/>
              <w:rPr>
                <w:rFonts w:ascii="仿宋" w:hAnsi="仿宋" w:eastAsia="仿宋" w:cs="仿宋"/>
                <w:bCs/>
                <w:szCs w:val="21"/>
              </w:rPr>
            </w:pPr>
            <w:r>
              <w:rPr>
                <w:rFonts w:hint="eastAsia" w:ascii="仿宋" w:hAnsi="仿宋" w:eastAsia="仿宋" w:cs="仿宋"/>
                <w:bCs/>
                <w:szCs w:val="21"/>
              </w:rPr>
              <w:t>产品数量（万m</w:t>
            </w:r>
            <w:r>
              <w:rPr>
                <w:rFonts w:ascii="仿宋" w:hAnsi="仿宋" w:eastAsia="仿宋" w:cs="仿宋"/>
                <w:bCs/>
                <w:szCs w:val="21"/>
                <w:vertAlign w:val="superscript"/>
              </w:rPr>
              <w:t>2</w:t>
            </w:r>
            <w:r>
              <w:rPr>
                <w:rFonts w:hint="eastAsia" w:ascii="仿宋" w:hAnsi="仿宋" w:eastAsia="仿宋" w:cs="仿宋"/>
                <w:bCs/>
                <w:szCs w:val="21"/>
              </w:rPr>
              <w:t>/年）</w:t>
            </w:r>
          </w:p>
        </w:tc>
        <w:tc>
          <w:tcPr>
            <w:tcW w:w="930"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产品涂装厚度（μm）</w:t>
            </w:r>
          </w:p>
        </w:tc>
        <w:tc>
          <w:tcPr>
            <w:tcW w:w="802"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产品涂装体积（m3）</w:t>
            </w:r>
          </w:p>
        </w:tc>
        <w:tc>
          <w:tcPr>
            <w:tcW w:w="967"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混合后胶粘剂密度（kg/</w:t>
            </w:r>
            <w:r>
              <w:rPr>
                <w:rFonts w:ascii="仿宋" w:hAnsi="仿宋" w:eastAsia="仿宋" w:cs="仿宋"/>
                <w:bCs/>
                <w:szCs w:val="21"/>
              </w:rPr>
              <w:t>m</w:t>
            </w:r>
            <w:r>
              <w:rPr>
                <w:rFonts w:ascii="仿宋" w:hAnsi="仿宋" w:eastAsia="仿宋" w:cs="仿宋"/>
                <w:bCs/>
                <w:szCs w:val="21"/>
                <w:vertAlign w:val="superscript"/>
              </w:rPr>
              <w:t>3</w:t>
            </w:r>
            <w:r>
              <w:rPr>
                <w:rFonts w:hint="eastAsia" w:ascii="仿宋" w:hAnsi="仿宋" w:eastAsia="仿宋" w:cs="仿宋"/>
                <w:bCs/>
                <w:szCs w:val="21"/>
              </w:rPr>
              <w:t>）</w:t>
            </w:r>
          </w:p>
        </w:tc>
        <w:tc>
          <w:tcPr>
            <w:tcW w:w="868" w:type="pct"/>
            <w:vAlign w:val="center"/>
          </w:tcPr>
          <w:p>
            <w:pPr>
              <w:snapToGrid w:val="0"/>
              <w:spacing w:line="240" w:lineRule="exact"/>
              <w:jc w:val="center"/>
              <w:rPr>
                <w:rFonts w:ascii="仿宋" w:hAnsi="仿宋" w:eastAsia="仿宋" w:cs="仿宋"/>
                <w:bCs/>
                <w:szCs w:val="21"/>
              </w:rPr>
            </w:pPr>
            <w:r>
              <w:rPr>
                <w:rFonts w:hint="eastAsia" w:ascii="仿宋" w:hAnsi="仿宋" w:eastAsia="仿宋" w:cs="仿宋"/>
                <w:bCs/>
                <w:szCs w:val="21"/>
              </w:rPr>
              <w:t>产品胶粘剂用量（</w:t>
            </w:r>
            <w:r>
              <w:rPr>
                <w:rFonts w:ascii="仿宋" w:hAnsi="仿宋" w:eastAsia="仿宋" w:cs="仿宋"/>
                <w:bCs/>
                <w:szCs w:val="21"/>
              </w:rPr>
              <w:t>t</w:t>
            </w:r>
            <w:r>
              <w:rPr>
                <w:rFonts w:hint="eastAsia" w:ascii="仿宋" w:hAnsi="仿宋" w:eastAsia="仿宋" w:cs="仿宋"/>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39"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本项目</w:t>
            </w:r>
            <w:r>
              <w:rPr>
                <w:rFonts w:ascii="仿宋" w:hAnsi="仿宋" w:eastAsia="仿宋" w:cs="仿宋"/>
                <w:bCs/>
                <w:szCs w:val="21"/>
              </w:rPr>
              <w:t>产品</w:t>
            </w:r>
          </w:p>
        </w:tc>
        <w:tc>
          <w:tcPr>
            <w:tcW w:w="694" w:type="pct"/>
            <w:tcMar>
              <w:left w:w="0" w:type="dxa"/>
              <w:right w:w="0" w:type="dxa"/>
            </w:tcMar>
            <w:vAlign w:val="center"/>
          </w:tcPr>
          <w:p>
            <w:pPr>
              <w:pStyle w:val="275"/>
              <w:snapToGrid w:val="0"/>
              <w:spacing w:line="240" w:lineRule="exact"/>
              <w:rPr>
                <w:rFonts w:ascii="仿宋" w:hAnsi="仿宋" w:eastAsia="仿宋" w:cs="仿宋"/>
                <w:bCs/>
                <w:szCs w:val="21"/>
              </w:rPr>
            </w:pPr>
            <w:r>
              <w:rPr>
                <w:rFonts w:hint="eastAsia" w:ascii="仿宋" w:hAnsi="仿宋" w:eastAsia="仿宋" w:cs="仿宋"/>
                <w:bCs/>
                <w:szCs w:val="21"/>
              </w:rPr>
              <w:t>3000</w:t>
            </w:r>
          </w:p>
        </w:tc>
        <w:tc>
          <w:tcPr>
            <w:tcW w:w="930" w:type="pct"/>
            <w:vAlign w:val="center"/>
          </w:tcPr>
          <w:p>
            <w:pPr>
              <w:spacing w:line="240" w:lineRule="exact"/>
              <w:jc w:val="center"/>
              <w:rPr>
                <w:rFonts w:ascii="仿宋" w:hAnsi="仿宋" w:eastAsia="仿宋" w:cs="仿宋"/>
                <w:bCs/>
                <w:szCs w:val="21"/>
              </w:rPr>
            </w:pPr>
            <w:r>
              <w:rPr>
                <w:rFonts w:ascii="仿宋" w:hAnsi="仿宋" w:eastAsia="仿宋" w:cs="仿宋"/>
                <w:bCs/>
                <w:szCs w:val="21"/>
              </w:rPr>
              <w:t>25</w:t>
            </w:r>
          </w:p>
        </w:tc>
        <w:tc>
          <w:tcPr>
            <w:tcW w:w="802" w:type="pct"/>
            <w:vAlign w:val="center"/>
          </w:tcPr>
          <w:p>
            <w:pPr>
              <w:spacing w:line="240" w:lineRule="exact"/>
              <w:jc w:val="center"/>
              <w:rPr>
                <w:rFonts w:ascii="仿宋" w:hAnsi="仿宋" w:eastAsia="仿宋" w:cs="仿宋"/>
                <w:bCs/>
                <w:szCs w:val="21"/>
              </w:rPr>
            </w:pPr>
            <w:r>
              <w:rPr>
                <w:rFonts w:ascii="仿宋" w:hAnsi="仿宋" w:eastAsia="仿宋" w:cs="仿宋"/>
                <w:bCs/>
                <w:szCs w:val="21"/>
              </w:rPr>
              <w:t>750</w:t>
            </w:r>
          </w:p>
        </w:tc>
        <w:tc>
          <w:tcPr>
            <w:tcW w:w="967"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969</w:t>
            </w:r>
          </w:p>
        </w:tc>
        <w:tc>
          <w:tcPr>
            <w:tcW w:w="868" w:type="pct"/>
            <w:vAlign w:val="center"/>
          </w:tcPr>
          <w:p>
            <w:pPr>
              <w:snapToGrid w:val="0"/>
              <w:spacing w:line="240" w:lineRule="exact"/>
              <w:jc w:val="center"/>
              <w:rPr>
                <w:rFonts w:ascii="仿宋" w:hAnsi="仿宋" w:eastAsia="仿宋" w:cs="仿宋"/>
                <w:bCs/>
                <w:szCs w:val="21"/>
              </w:rPr>
            </w:pPr>
            <w:r>
              <w:rPr>
                <w:rFonts w:hint="eastAsia" w:ascii="仿宋" w:hAnsi="仿宋" w:eastAsia="仿宋" w:cs="仿宋"/>
                <w:bCs/>
                <w:szCs w:val="21"/>
              </w:rPr>
              <w:t>7</w:t>
            </w:r>
            <w:r>
              <w:rPr>
                <w:rFonts w:ascii="仿宋" w:hAnsi="仿宋" w:eastAsia="仿宋" w:cs="仿宋"/>
                <w:bCs/>
                <w:szCs w:val="21"/>
              </w:rPr>
              <w:t>26.75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739"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本项目共使用(包括</w:t>
            </w:r>
            <w:r>
              <w:rPr>
                <w:rFonts w:ascii="仿宋" w:hAnsi="仿宋" w:eastAsia="仿宋" w:cs="仿宋"/>
                <w:bCs/>
                <w:szCs w:val="21"/>
              </w:rPr>
              <w:t>成品胶带及废胶带</w:t>
            </w:r>
            <w:r>
              <w:rPr>
                <w:rFonts w:hint="eastAsia" w:ascii="仿宋" w:hAnsi="仿宋" w:eastAsia="仿宋" w:cs="仿宋"/>
                <w:bCs/>
                <w:szCs w:val="21"/>
              </w:rPr>
              <w:t>)</w:t>
            </w:r>
          </w:p>
        </w:tc>
        <w:tc>
          <w:tcPr>
            <w:tcW w:w="694" w:type="pct"/>
            <w:tcMar>
              <w:left w:w="0" w:type="dxa"/>
              <w:right w:w="0" w:type="dxa"/>
            </w:tcMar>
            <w:vAlign w:val="center"/>
          </w:tcPr>
          <w:p>
            <w:pPr>
              <w:spacing w:line="240" w:lineRule="exact"/>
              <w:jc w:val="center"/>
              <w:rPr>
                <w:rFonts w:ascii="仿宋" w:hAnsi="仿宋" w:eastAsia="仿宋" w:cs="仿宋"/>
                <w:bCs/>
                <w:szCs w:val="21"/>
              </w:rPr>
            </w:pPr>
            <w:r>
              <w:rPr>
                <w:rFonts w:ascii="仿宋" w:hAnsi="仿宋" w:eastAsia="仿宋" w:cs="仿宋"/>
                <w:bCs/>
                <w:szCs w:val="21"/>
              </w:rPr>
              <w:t>3090</w:t>
            </w:r>
          </w:p>
        </w:tc>
        <w:tc>
          <w:tcPr>
            <w:tcW w:w="930" w:type="pct"/>
            <w:vAlign w:val="center"/>
          </w:tcPr>
          <w:p>
            <w:pPr>
              <w:spacing w:line="240" w:lineRule="exact"/>
              <w:jc w:val="center"/>
              <w:rPr>
                <w:rFonts w:ascii="仿宋" w:hAnsi="仿宋" w:eastAsia="仿宋" w:cs="仿宋"/>
                <w:bCs/>
                <w:szCs w:val="21"/>
              </w:rPr>
            </w:pPr>
            <w:r>
              <w:rPr>
                <w:rFonts w:ascii="仿宋" w:hAnsi="仿宋" w:eastAsia="仿宋" w:cs="仿宋"/>
                <w:bCs/>
                <w:szCs w:val="21"/>
              </w:rPr>
              <w:t>25</w:t>
            </w:r>
          </w:p>
        </w:tc>
        <w:tc>
          <w:tcPr>
            <w:tcW w:w="802" w:type="pct"/>
            <w:vAlign w:val="center"/>
          </w:tcPr>
          <w:p>
            <w:pPr>
              <w:spacing w:line="240" w:lineRule="exact"/>
              <w:jc w:val="center"/>
              <w:rPr>
                <w:rFonts w:ascii="仿宋" w:hAnsi="仿宋" w:eastAsia="仿宋" w:cs="仿宋"/>
                <w:bCs/>
                <w:szCs w:val="21"/>
              </w:rPr>
            </w:pPr>
            <w:r>
              <w:rPr>
                <w:rFonts w:ascii="仿宋" w:hAnsi="仿宋" w:eastAsia="仿宋" w:cs="仿宋"/>
                <w:bCs/>
                <w:szCs w:val="21"/>
              </w:rPr>
              <w:t>772.5</w:t>
            </w:r>
          </w:p>
        </w:tc>
        <w:tc>
          <w:tcPr>
            <w:tcW w:w="967"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969</w:t>
            </w:r>
          </w:p>
        </w:tc>
        <w:tc>
          <w:tcPr>
            <w:tcW w:w="868"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7</w:t>
            </w:r>
            <w:r>
              <w:rPr>
                <w:rFonts w:ascii="仿宋" w:hAnsi="仿宋" w:eastAsia="仿宋" w:cs="仿宋"/>
                <w:bCs/>
                <w:szCs w:val="21"/>
              </w:rPr>
              <w:t>48.55</w:t>
            </w:r>
          </w:p>
        </w:tc>
      </w:tr>
    </w:tbl>
    <w:p>
      <w:pPr>
        <w:pStyle w:val="5"/>
        <w:keepLines w:val="0"/>
        <w:widowControl/>
        <w:numPr>
          <w:ilvl w:val="3"/>
          <w:numId w:val="1"/>
        </w:numPr>
        <w:tabs>
          <w:tab w:val="left" w:pos="993"/>
        </w:tabs>
        <w:adjustRightInd w:val="0"/>
        <w:snapToGrid w:val="0"/>
        <w:spacing w:after="120" w:afterLines="50"/>
        <w:ind w:left="0" w:firstLine="0"/>
        <w:jc w:val="left"/>
        <w:rPr>
          <w:rFonts w:ascii="Times New Roman" w:hAnsi="Times New Roman"/>
          <w:b/>
        </w:rPr>
      </w:pPr>
      <w:r>
        <w:rPr>
          <w:rFonts w:hint="eastAsia" w:ascii="Times New Roman" w:hAnsi="Times New Roman"/>
          <w:b/>
        </w:rPr>
        <w:t>胶粘剂不可替代说明</w:t>
      </w:r>
    </w:p>
    <w:p>
      <w:pPr>
        <w:spacing w:line="500" w:lineRule="exact"/>
        <w:ind w:firstLine="560" w:firstLineChars="200"/>
        <w:rPr>
          <w:rFonts w:eastAsia="仿宋_GB2312"/>
          <w:sz w:val="28"/>
          <w:szCs w:val="28"/>
        </w:rPr>
      </w:pPr>
      <w:r>
        <w:rPr>
          <w:rFonts w:hint="eastAsia" w:eastAsia="仿宋_GB2312"/>
          <w:sz w:val="28"/>
          <w:szCs w:val="28"/>
        </w:rPr>
        <w:t>工业生产中的胶粘剂主要作用是：通过界面的黏附和内聚等作用，能使两种或两种以上的制件或材料连接在一起从而形成更加稳定而优越的性能。</w:t>
      </w:r>
    </w:p>
    <w:p>
      <w:pPr>
        <w:spacing w:line="500" w:lineRule="exact"/>
        <w:ind w:firstLine="560" w:firstLineChars="200"/>
        <w:rPr>
          <w:rFonts w:eastAsia="仿宋_GB2312"/>
          <w:sz w:val="28"/>
          <w:szCs w:val="28"/>
        </w:rPr>
      </w:pPr>
      <w:r>
        <w:rPr>
          <w:rFonts w:hint="eastAsia" w:eastAsia="仿宋_GB2312"/>
          <w:sz w:val="28"/>
          <w:szCs w:val="28"/>
        </w:rPr>
        <w:t>经初步调研，目前市场上使用的胶粘剂主要有水基型、本体型及溶剂型三种：</w:t>
      </w:r>
    </w:p>
    <w:p>
      <w:pPr>
        <w:spacing w:line="500" w:lineRule="exact"/>
        <w:ind w:firstLine="560" w:firstLineChars="200"/>
        <w:rPr>
          <w:rFonts w:eastAsia="仿宋_GB2312"/>
          <w:sz w:val="28"/>
          <w:szCs w:val="28"/>
        </w:rPr>
      </w:pPr>
      <w:r>
        <w:rPr>
          <w:rFonts w:hint="eastAsia" w:eastAsia="仿宋_GB2312"/>
          <w:sz w:val="28"/>
          <w:szCs w:val="28"/>
        </w:rPr>
        <w:t>1、水基性胶粘剂及溶剂型胶粘剂对比分析</w:t>
      </w:r>
    </w:p>
    <w:p>
      <w:pPr>
        <w:spacing w:line="500" w:lineRule="exact"/>
        <w:ind w:firstLine="560" w:firstLineChars="200"/>
        <w:rPr>
          <w:rFonts w:eastAsia="仿宋_GB2312"/>
          <w:sz w:val="28"/>
          <w:szCs w:val="28"/>
        </w:rPr>
      </w:pPr>
      <w:r>
        <w:rPr>
          <w:rFonts w:hint="eastAsia" w:eastAsia="仿宋_GB2312"/>
          <w:sz w:val="28"/>
          <w:szCs w:val="28"/>
        </w:rPr>
        <w:t>水性胶粘剂指可用水调配的胶粘剂或其溶剂部分主要是水或大部分是水的一类胶粘剂；溶剂型胶粘剂则是以乙酸乙酯、二甲苯等挥发性有机溶剂作为溶剂的一类胶粘剂。</w:t>
      </w:r>
    </w:p>
    <w:p>
      <w:pPr>
        <w:spacing w:line="500" w:lineRule="exact"/>
        <w:ind w:firstLine="560" w:firstLineChars="200"/>
        <w:rPr>
          <w:rFonts w:eastAsia="仿宋_GB2312"/>
          <w:sz w:val="28"/>
          <w:szCs w:val="28"/>
        </w:rPr>
      </w:pPr>
      <w:r>
        <w:rPr>
          <w:rFonts w:hint="eastAsia" w:eastAsia="仿宋_GB2312"/>
          <w:sz w:val="28"/>
          <w:szCs w:val="28"/>
        </w:rPr>
        <w:t>无论是溶剂型胶粘剂还是水性胶粘剂，在施工后都会在材料表面形成涂层，涂层中有机溶剂或者水均需要从涂层中挥发出来，形成以胶粘剂中的固体树脂为主要成分的干膜，干膜承担不同基材之间的粘接作用，并赋予了锂电池包装材料的特殊物性。外层胶粘剂的作用是粘合外层基材和中间基材层，除了粘接作用之外，胶粘剂需要提供一定的强度和延伸率，使包装膜具有较好的冷成型功能。内层胶粘剂的作用是粘合内层基材和中间铝箔层，除了实现粘接功能之外，还需要耐受锂电池中电解液穿过内层基材对胶粘剂层产生腐蚀。</w:t>
      </w:r>
    </w:p>
    <w:p>
      <w:pPr>
        <w:spacing w:line="500" w:lineRule="exact"/>
        <w:ind w:firstLine="560" w:firstLineChars="200"/>
        <w:rPr>
          <w:rFonts w:eastAsia="仿宋_GB2312"/>
          <w:sz w:val="28"/>
          <w:szCs w:val="28"/>
        </w:rPr>
      </w:pPr>
      <w:r>
        <w:rPr>
          <w:rFonts w:hint="eastAsia" w:eastAsia="仿宋_GB2312"/>
          <w:sz w:val="28"/>
          <w:szCs w:val="28"/>
        </w:rPr>
        <w:t>在对锂电池内电芯适用的胶粘剂的调查选型过程中，调查了水性聚乙烯醇胶粘剂、水性丙烯酸类胶粘剂、溶剂型丙烯酸酯体系胶粘剂、水性环氧树脂胶粘剂、水性聚氨酯胶粘剂，并测试其分别应用于外层和内层的性能，测试结果如下表：</w:t>
      </w:r>
    </w:p>
    <w:p>
      <w:pPr>
        <w:adjustRightInd w:val="0"/>
        <w:snapToGrid w:val="0"/>
        <w:spacing w:line="500" w:lineRule="exact"/>
        <w:ind w:firstLine="482" w:firstLineChars="200"/>
        <w:jc w:val="center"/>
        <w:rPr>
          <w:rFonts w:eastAsia="仿宋_GB2312"/>
          <w:b/>
          <w:bCs/>
          <w:sz w:val="24"/>
        </w:rPr>
      </w:pPr>
      <w:r>
        <w:rPr>
          <w:rFonts w:hint="eastAsia" w:eastAsia="仿宋_GB2312"/>
          <w:b/>
          <w:bCs/>
          <w:sz w:val="24"/>
        </w:rPr>
        <w:t>表3.1-16  不同种类胶粘剂性能对比评价</w:t>
      </w:r>
    </w:p>
    <w:tbl>
      <w:tblPr>
        <w:tblStyle w:val="88"/>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1413"/>
        <w:gridCol w:w="1276"/>
        <w:gridCol w:w="1418"/>
        <w:gridCol w:w="1559"/>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41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胶粘剂种类</w:t>
            </w:r>
          </w:p>
        </w:tc>
        <w:tc>
          <w:tcPr>
            <w:tcW w:w="2689" w:type="dxa"/>
            <w:gridSpan w:val="2"/>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外层</w:t>
            </w:r>
          </w:p>
        </w:tc>
        <w:tc>
          <w:tcPr>
            <w:tcW w:w="2977" w:type="dxa"/>
            <w:gridSpan w:val="2"/>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内层</w:t>
            </w:r>
          </w:p>
        </w:tc>
        <w:tc>
          <w:tcPr>
            <w:tcW w:w="1417" w:type="dxa"/>
            <w:vMerge w:val="restar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综合评价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141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水性聚乙烯醇</w:t>
            </w:r>
          </w:p>
        </w:tc>
        <w:tc>
          <w:tcPr>
            <w:tcW w:w="1413"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外层粘接力</w:t>
            </w:r>
          </w:p>
          <w:p>
            <w:pPr>
              <w:spacing w:line="240" w:lineRule="exact"/>
              <w:jc w:val="center"/>
              <w:rPr>
                <w:rFonts w:ascii="仿宋" w:hAnsi="仿宋" w:eastAsia="仿宋" w:cs="仿宋"/>
                <w:bCs/>
                <w:szCs w:val="21"/>
              </w:rPr>
            </w:pPr>
            <w:r>
              <w:rPr>
                <w:rFonts w:hint="eastAsia" w:ascii="仿宋" w:hAnsi="仿宋" w:eastAsia="仿宋" w:cs="仿宋"/>
                <w:bCs/>
                <w:szCs w:val="21"/>
              </w:rPr>
              <w:t>（N</w:t>
            </w:r>
            <w:r>
              <w:rPr>
                <w:rFonts w:ascii="仿宋" w:hAnsi="仿宋" w:eastAsia="仿宋" w:cs="仿宋"/>
                <w:bCs/>
                <w:szCs w:val="21"/>
              </w:rPr>
              <w:t>/15</w:t>
            </w:r>
            <w:r>
              <w:rPr>
                <w:rFonts w:hint="eastAsia" w:ascii="仿宋" w:hAnsi="仿宋" w:eastAsia="仿宋" w:cs="仿宋"/>
                <w:bCs/>
                <w:szCs w:val="21"/>
              </w:rPr>
              <w:t>mm）</w:t>
            </w:r>
          </w:p>
        </w:tc>
        <w:tc>
          <w:tcPr>
            <w:tcW w:w="1276"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冷成型性能</w:t>
            </w:r>
          </w:p>
          <w:p>
            <w:pPr>
              <w:spacing w:line="240" w:lineRule="exact"/>
              <w:jc w:val="center"/>
              <w:rPr>
                <w:rFonts w:ascii="仿宋" w:hAnsi="仿宋" w:eastAsia="仿宋" w:cs="仿宋"/>
                <w:bCs/>
                <w:szCs w:val="21"/>
              </w:rPr>
            </w:pPr>
            <w:r>
              <w:rPr>
                <w:rFonts w:hint="eastAsia" w:ascii="仿宋" w:hAnsi="仿宋" w:eastAsia="仿宋" w:cs="仿宋"/>
                <w:bCs/>
                <w:szCs w:val="21"/>
              </w:rPr>
              <w:t>（mm）</w:t>
            </w:r>
          </w:p>
        </w:tc>
        <w:tc>
          <w:tcPr>
            <w:tcW w:w="1418"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内层粘接力</w:t>
            </w:r>
          </w:p>
          <w:p>
            <w:pPr>
              <w:spacing w:line="240" w:lineRule="exact"/>
              <w:jc w:val="center"/>
              <w:rPr>
                <w:rFonts w:ascii="仿宋" w:hAnsi="仿宋" w:eastAsia="仿宋" w:cs="仿宋"/>
                <w:bCs/>
                <w:szCs w:val="21"/>
              </w:rPr>
            </w:pPr>
            <w:r>
              <w:rPr>
                <w:rFonts w:hint="eastAsia" w:ascii="仿宋" w:hAnsi="仿宋" w:eastAsia="仿宋" w:cs="仿宋"/>
                <w:bCs/>
                <w:szCs w:val="21"/>
              </w:rPr>
              <w:t>（N</w:t>
            </w:r>
            <w:r>
              <w:rPr>
                <w:rFonts w:ascii="仿宋" w:hAnsi="仿宋" w:eastAsia="仿宋" w:cs="仿宋"/>
                <w:bCs/>
                <w:szCs w:val="21"/>
              </w:rPr>
              <w:t>/15</w:t>
            </w:r>
            <w:r>
              <w:rPr>
                <w:rFonts w:hint="eastAsia" w:ascii="仿宋" w:hAnsi="仿宋" w:eastAsia="仿宋" w:cs="仿宋"/>
                <w:bCs/>
                <w:szCs w:val="21"/>
              </w:rPr>
              <w:t>mm）</w:t>
            </w:r>
          </w:p>
        </w:tc>
        <w:tc>
          <w:tcPr>
            <w:tcW w:w="1559"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耐电解液性能</w:t>
            </w:r>
          </w:p>
          <w:p>
            <w:pPr>
              <w:spacing w:line="240" w:lineRule="exact"/>
              <w:jc w:val="center"/>
              <w:rPr>
                <w:rFonts w:ascii="仿宋" w:hAnsi="仿宋" w:eastAsia="仿宋" w:cs="仿宋"/>
                <w:bCs/>
                <w:szCs w:val="21"/>
              </w:rPr>
            </w:pPr>
            <w:r>
              <w:rPr>
                <w:rFonts w:hint="eastAsia" w:ascii="仿宋" w:hAnsi="仿宋" w:eastAsia="仿宋" w:cs="仿宋"/>
                <w:bCs/>
                <w:szCs w:val="21"/>
              </w:rPr>
              <w:t>（N</w:t>
            </w:r>
            <w:r>
              <w:rPr>
                <w:rFonts w:ascii="仿宋" w:hAnsi="仿宋" w:eastAsia="仿宋" w:cs="仿宋"/>
                <w:bCs/>
                <w:szCs w:val="21"/>
              </w:rPr>
              <w:t>/15</w:t>
            </w:r>
            <w:r>
              <w:rPr>
                <w:rFonts w:hint="eastAsia" w:ascii="仿宋" w:hAnsi="仿宋" w:eastAsia="仿宋" w:cs="仿宋"/>
                <w:bCs/>
                <w:szCs w:val="21"/>
              </w:rPr>
              <w:t>mm）</w:t>
            </w:r>
          </w:p>
        </w:tc>
        <w:tc>
          <w:tcPr>
            <w:tcW w:w="1417" w:type="dxa"/>
            <w:vMerge w:val="continue"/>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141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水性丙烯酸</w:t>
            </w:r>
          </w:p>
        </w:tc>
        <w:tc>
          <w:tcPr>
            <w:tcW w:w="1413"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w:t>
            </w:r>
            <w:r>
              <w:rPr>
                <w:rFonts w:ascii="仿宋" w:hAnsi="仿宋" w:eastAsia="仿宋" w:cs="仿宋"/>
                <w:bCs/>
                <w:szCs w:val="21"/>
              </w:rPr>
              <w:t>.5</w:t>
            </w:r>
          </w:p>
        </w:tc>
        <w:tc>
          <w:tcPr>
            <w:tcW w:w="1276"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w:t>
            </w:r>
            <w:r>
              <w:rPr>
                <w:rFonts w:ascii="仿宋" w:hAnsi="仿宋" w:eastAsia="仿宋" w:cs="仿宋"/>
                <w:bCs/>
                <w:szCs w:val="21"/>
              </w:rPr>
              <w:t>.0</w:t>
            </w:r>
          </w:p>
        </w:tc>
        <w:tc>
          <w:tcPr>
            <w:tcW w:w="1418"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w:t>
            </w:r>
            <w:r>
              <w:rPr>
                <w:rFonts w:ascii="仿宋" w:hAnsi="仿宋" w:eastAsia="仿宋" w:cs="仿宋"/>
                <w:bCs/>
                <w:szCs w:val="21"/>
              </w:rPr>
              <w:t>.6</w:t>
            </w:r>
          </w:p>
        </w:tc>
        <w:tc>
          <w:tcPr>
            <w:tcW w:w="1559"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p>
        </w:tc>
        <w:tc>
          <w:tcPr>
            <w:tcW w:w="141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外层、内层N</w:t>
            </w:r>
            <w:r>
              <w:rPr>
                <w:rFonts w:ascii="仿宋" w:hAnsi="仿宋" w:eastAsia="仿宋" w:cs="仿宋"/>
                <w:bCs/>
                <w:szCs w:val="21"/>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41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溶剂型丙烯酸</w:t>
            </w:r>
            <w:r>
              <w:rPr>
                <w:rFonts w:ascii="仿宋" w:hAnsi="仿宋" w:eastAsia="仿宋" w:cs="仿宋"/>
                <w:bCs/>
                <w:szCs w:val="21"/>
              </w:rPr>
              <w:t>酯</w:t>
            </w:r>
            <w:r>
              <w:rPr>
                <w:rFonts w:hint="eastAsia" w:ascii="仿宋" w:hAnsi="仿宋" w:eastAsia="仿宋" w:cs="仿宋"/>
                <w:bCs/>
                <w:szCs w:val="21"/>
              </w:rPr>
              <w:t>体系</w:t>
            </w:r>
          </w:p>
        </w:tc>
        <w:tc>
          <w:tcPr>
            <w:tcW w:w="1413"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6</w:t>
            </w:r>
            <w:r>
              <w:rPr>
                <w:rFonts w:ascii="仿宋" w:hAnsi="仿宋" w:eastAsia="仿宋" w:cs="仿宋"/>
                <w:bCs/>
                <w:szCs w:val="21"/>
              </w:rPr>
              <w:t>.3</w:t>
            </w:r>
          </w:p>
        </w:tc>
        <w:tc>
          <w:tcPr>
            <w:tcW w:w="1276"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7</w:t>
            </w:r>
            <w:r>
              <w:rPr>
                <w:rFonts w:ascii="仿宋" w:hAnsi="仿宋" w:eastAsia="仿宋" w:cs="仿宋"/>
                <w:bCs/>
                <w:szCs w:val="21"/>
              </w:rPr>
              <w:t>.5</w:t>
            </w:r>
          </w:p>
        </w:tc>
        <w:tc>
          <w:tcPr>
            <w:tcW w:w="1418"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8</w:t>
            </w:r>
            <w:r>
              <w:rPr>
                <w:rFonts w:ascii="仿宋" w:hAnsi="仿宋" w:eastAsia="仿宋" w:cs="仿宋"/>
                <w:bCs/>
                <w:szCs w:val="21"/>
              </w:rPr>
              <w:t>.3</w:t>
            </w:r>
          </w:p>
        </w:tc>
        <w:tc>
          <w:tcPr>
            <w:tcW w:w="1559"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8</w:t>
            </w:r>
            <w:r>
              <w:rPr>
                <w:rFonts w:ascii="仿宋" w:hAnsi="仿宋" w:eastAsia="仿宋" w:cs="仿宋"/>
                <w:bCs/>
                <w:szCs w:val="21"/>
              </w:rPr>
              <w:t>.0</w:t>
            </w:r>
          </w:p>
        </w:tc>
        <w:tc>
          <w:tcPr>
            <w:tcW w:w="141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外层O</w:t>
            </w:r>
            <w:r>
              <w:rPr>
                <w:rFonts w:ascii="仿宋" w:hAnsi="仿宋" w:eastAsia="仿宋" w:cs="仿宋"/>
                <w:bCs/>
                <w:szCs w:val="21"/>
              </w:rPr>
              <w:t>K</w:t>
            </w:r>
          </w:p>
          <w:p>
            <w:pPr>
              <w:spacing w:line="240" w:lineRule="exact"/>
              <w:jc w:val="center"/>
              <w:rPr>
                <w:rFonts w:ascii="仿宋" w:hAnsi="仿宋" w:eastAsia="仿宋" w:cs="仿宋"/>
                <w:bCs/>
                <w:szCs w:val="21"/>
              </w:rPr>
            </w:pPr>
            <w:r>
              <w:rPr>
                <w:rFonts w:hint="eastAsia" w:ascii="仿宋" w:hAnsi="仿宋" w:eastAsia="仿宋" w:cs="仿宋"/>
                <w:bCs/>
                <w:szCs w:val="21"/>
              </w:rPr>
              <w:t>内层OK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41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水性环氧树脂</w:t>
            </w:r>
          </w:p>
        </w:tc>
        <w:tc>
          <w:tcPr>
            <w:tcW w:w="1413"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w:t>
            </w:r>
            <w:r>
              <w:rPr>
                <w:rFonts w:ascii="仿宋" w:hAnsi="仿宋" w:eastAsia="仿宋" w:cs="仿宋"/>
                <w:bCs/>
                <w:szCs w:val="21"/>
              </w:rPr>
              <w:t>.5</w:t>
            </w:r>
          </w:p>
        </w:tc>
        <w:tc>
          <w:tcPr>
            <w:tcW w:w="1276"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w:t>
            </w:r>
            <w:r>
              <w:rPr>
                <w:rFonts w:ascii="仿宋" w:hAnsi="仿宋" w:eastAsia="仿宋" w:cs="仿宋"/>
                <w:bCs/>
                <w:szCs w:val="21"/>
              </w:rPr>
              <w:t>.4</w:t>
            </w:r>
          </w:p>
        </w:tc>
        <w:tc>
          <w:tcPr>
            <w:tcW w:w="1418"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6</w:t>
            </w:r>
            <w:r>
              <w:rPr>
                <w:rFonts w:ascii="仿宋" w:hAnsi="仿宋" w:eastAsia="仿宋" w:cs="仿宋"/>
                <w:bCs/>
                <w:szCs w:val="21"/>
              </w:rPr>
              <w:t>.2</w:t>
            </w:r>
          </w:p>
        </w:tc>
        <w:tc>
          <w:tcPr>
            <w:tcW w:w="1559"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w:t>
            </w:r>
            <w:r>
              <w:rPr>
                <w:rFonts w:ascii="仿宋" w:hAnsi="仿宋" w:eastAsia="仿宋" w:cs="仿宋"/>
                <w:bCs/>
                <w:szCs w:val="21"/>
              </w:rPr>
              <w:t>.7</w:t>
            </w:r>
          </w:p>
        </w:tc>
        <w:tc>
          <w:tcPr>
            <w:tcW w:w="141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外层、内层N</w:t>
            </w:r>
            <w:r>
              <w:rPr>
                <w:rFonts w:ascii="仿宋" w:hAnsi="仿宋" w:eastAsia="仿宋" w:cs="仿宋"/>
                <w:bCs/>
                <w:szCs w:val="21"/>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141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水性聚氨酯</w:t>
            </w:r>
          </w:p>
        </w:tc>
        <w:tc>
          <w:tcPr>
            <w:tcW w:w="1413"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4</w:t>
            </w:r>
            <w:r>
              <w:rPr>
                <w:rFonts w:ascii="仿宋" w:hAnsi="仿宋" w:eastAsia="仿宋" w:cs="仿宋"/>
                <w:bCs/>
                <w:szCs w:val="21"/>
              </w:rPr>
              <w:t>.7</w:t>
            </w:r>
          </w:p>
        </w:tc>
        <w:tc>
          <w:tcPr>
            <w:tcW w:w="1276"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4</w:t>
            </w:r>
            <w:r>
              <w:rPr>
                <w:rFonts w:ascii="仿宋" w:hAnsi="仿宋" w:eastAsia="仿宋" w:cs="仿宋"/>
                <w:bCs/>
                <w:szCs w:val="21"/>
              </w:rPr>
              <w:t>.5</w:t>
            </w:r>
          </w:p>
        </w:tc>
        <w:tc>
          <w:tcPr>
            <w:tcW w:w="1418"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w:t>
            </w:r>
            <w:r>
              <w:rPr>
                <w:rFonts w:ascii="仿宋" w:hAnsi="仿宋" w:eastAsia="仿宋" w:cs="仿宋"/>
                <w:bCs/>
                <w:szCs w:val="21"/>
              </w:rPr>
              <w:t>.9</w:t>
            </w:r>
          </w:p>
        </w:tc>
        <w:tc>
          <w:tcPr>
            <w:tcW w:w="1559"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p>
        </w:tc>
        <w:tc>
          <w:tcPr>
            <w:tcW w:w="141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外层、内层N</w:t>
            </w:r>
            <w:r>
              <w:rPr>
                <w:rFonts w:ascii="仿宋" w:hAnsi="仿宋" w:eastAsia="仿宋" w:cs="仿宋"/>
                <w:bCs/>
                <w:szCs w:val="21"/>
              </w:rPr>
              <w:t>G</w:t>
            </w:r>
          </w:p>
        </w:tc>
      </w:tr>
    </w:tbl>
    <w:p>
      <w:pPr>
        <w:spacing w:line="500" w:lineRule="exact"/>
        <w:ind w:firstLine="560" w:firstLineChars="200"/>
        <w:rPr>
          <w:rFonts w:eastAsia="仿宋_GB2312"/>
          <w:sz w:val="28"/>
          <w:szCs w:val="28"/>
        </w:rPr>
      </w:pPr>
      <w:r>
        <w:rPr>
          <w:rFonts w:hint="eastAsia" w:eastAsia="仿宋_GB2312"/>
          <w:sz w:val="28"/>
          <w:szCs w:val="28"/>
        </w:rPr>
        <w:t>从测试结果来看，胶粘剂优先溶剂型丙烯酸酯体系的胶粘剂，如果选择水性聚氨酯、水性丙烯酸等类型的水性胶粘剂，完成加工复合的电芯封装材料应用在锂电池中，会出现冷成型破裂、耐电解液分层，导致锂电池出现漏液甚至短路起火引发安全问题，因此，本项目必须选择溶剂型丙烯酸酯体系胶粘剂，才能生产出达到客户要求性能的产品。</w:t>
      </w:r>
    </w:p>
    <w:p>
      <w:pPr>
        <w:spacing w:line="500" w:lineRule="exact"/>
        <w:ind w:firstLine="560" w:firstLineChars="200"/>
        <w:rPr>
          <w:rFonts w:eastAsia="仿宋_GB2312"/>
          <w:sz w:val="28"/>
          <w:szCs w:val="28"/>
        </w:rPr>
      </w:pPr>
      <w:r>
        <w:rPr>
          <w:rFonts w:hint="eastAsia" w:eastAsia="仿宋_GB2312"/>
          <w:sz w:val="28"/>
          <w:szCs w:val="28"/>
        </w:rPr>
        <w:t>溶剂型胶粘剂中的乙酸乙酯能够溶解胶粘剂中的各种组分，使它们更易于混合和均匀分散。它可以溶解一些其他常用的胶粘剂成分，如氨水型树脂、乳胶等。2.降低粘度：乙酸乙酯可以降低胶粘剂的粘度，使得胶液的使用和贮存更加方便，也有利于涂布和覆盖表面。3.加速干燥：乙酸乙酯在胶粘剂中会挥发，这有助于加速胶水的干燥过程，使胶水更快地固化，起到加强黏附力的作用。溶剂型胶粘剂中的二甲苯可以调节胶粘剂的挥发速度，在胶粘剂的混和过程中使反应缓和，温度易于控制，降低危险性，且二甲苯有利于各溶剂的浸润，便于涂布施工。</w:t>
      </w:r>
    </w:p>
    <w:p>
      <w:pPr>
        <w:spacing w:line="500" w:lineRule="exact"/>
        <w:ind w:firstLine="560" w:firstLineChars="200"/>
        <w:rPr>
          <w:rFonts w:eastAsia="仿宋_GB2312"/>
          <w:sz w:val="28"/>
          <w:szCs w:val="28"/>
        </w:rPr>
      </w:pPr>
      <w:r>
        <w:rPr>
          <w:rFonts w:hint="eastAsia" w:eastAsia="仿宋_GB2312"/>
          <w:sz w:val="28"/>
          <w:szCs w:val="28"/>
        </w:rPr>
        <w:t>2、本体型胶粘剂及溶剂型胶粘剂对比分析</w:t>
      </w:r>
    </w:p>
    <w:p>
      <w:pPr>
        <w:spacing w:line="500" w:lineRule="exact"/>
        <w:ind w:firstLine="560" w:firstLineChars="200"/>
        <w:rPr>
          <w:rFonts w:eastAsia="仿宋_GB2312"/>
          <w:sz w:val="28"/>
          <w:szCs w:val="28"/>
        </w:rPr>
      </w:pPr>
      <w:r>
        <w:rPr>
          <w:rFonts w:hint="eastAsia" w:eastAsia="仿宋_GB2312"/>
          <w:sz w:val="28"/>
          <w:szCs w:val="28"/>
        </w:rPr>
        <w:t>本体型胶粘剂是指分散介质含量占总量5%以内的胶粘剂，市面上存在的此种胶粘剂大多为固体胶粘剂，本项目使用涂布辊以压辊的形式将胶粘剂附着在PET膜及PI膜上，因此本体型胶粘剂不适用于本项目。</w:t>
      </w:r>
    </w:p>
    <w:p>
      <w:pPr>
        <w:pStyle w:val="33"/>
      </w:pPr>
    </w:p>
    <w:p>
      <w:pPr>
        <w:pStyle w:val="45"/>
      </w:pPr>
    </w:p>
    <w:p>
      <w:pPr>
        <w:pStyle w:val="45"/>
        <w:sectPr>
          <w:footerReference r:id="rId11" w:type="default"/>
          <w:pgSz w:w="11906" w:h="16838"/>
          <w:pgMar w:top="1800" w:right="1440" w:bottom="1800" w:left="1440" w:header="851" w:footer="992" w:gutter="0"/>
          <w:cols w:space="425" w:num="1"/>
          <w:docGrid w:linePitch="326" w:charSpace="0"/>
        </w:sectPr>
      </w:pPr>
    </w:p>
    <w:p>
      <w:pPr>
        <w:pStyle w:val="5"/>
        <w:keepLines w:val="0"/>
        <w:widowControl/>
        <w:numPr>
          <w:ilvl w:val="3"/>
          <w:numId w:val="1"/>
        </w:numPr>
        <w:tabs>
          <w:tab w:val="left" w:pos="993"/>
        </w:tabs>
        <w:adjustRightInd w:val="0"/>
        <w:snapToGrid w:val="0"/>
        <w:spacing w:after="120" w:afterLines="50"/>
        <w:ind w:left="0" w:firstLine="0"/>
        <w:jc w:val="left"/>
        <w:rPr>
          <w:rFonts w:ascii="Times New Roman" w:hAnsi="Times New Roman"/>
          <w:b/>
        </w:rPr>
      </w:pPr>
      <w:r>
        <w:rPr>
          <w:rFonts w:ascii="Times New Roman" w:hAnsi="Times New Roman"/>
          <w:b/>
        </w:rPr>
        <w:t>原辅材料理化性质</w:t>
      </w:r>
    </w:p>
    <w:p>
      <w:pPr>
        <w:spacing w:line="500" w:lineRule="exact"/>
        <w:ind w:firstLine="840" w:firstLineChars="300"/>
      </w:pPr>
      <w:r>
        <w:rPr>
          <w:rFonts w:eastAsia="仿宋_GB2312"/>
          <w:sz w:val="28"/>
          <w:szCs w:val="28"/>
        </w:rPr>
        <w:t>主要原辅材料及产品理化性质见下表。</w:t>
      </w:r>
    </w:p>
    <w:p>
      <w:pPr>
        <w:jc w:val="center"/>
        <w:rPr>
          <w:rFonts w:eastAsia="仿宋_GB2312"/>
          <w:b/>
          <w:bCs/>
          <w:sz w:val="24"/>
        </w:rPr>
      </w:pPr>
      <w:r>
        <w:rPr>
          <w:rFonts w:eastAsia="仿宋_GB2312"/>
          <w:b/>
          <w:bCs/>
          <w:sz w:val="24"/>
        </w:rPr>
        <w:t>表3.</w:t>
      </w:r>
      <w:r>
        <w:rPr>
          <w:rFonts w:hint="eastAsia" w:eastAsia="仿宋_GB2312"/>
          <w:b/>
          <w:bCs/>
          <w:sz w:val="24"/>
        </w:rPr>
        <w:t>1</w:t>
      </w:r>
      <w:r>
        <w:rPr>
          <w:rFonts w:eastAsia="仿宋_GB2312"/>
          <w:b/>
          <w:bCs/>
          <w:sz w:val="24"/>
        </w:rPr>
        <w:t>-16</w:t>
      </w:r>
      <w:r>
        <w:rPr>
          <w:rFonts w:hint="eastAsia" w:eastAsia="仿宋_GB2312"/>
          <w:b/>
          <w:bCs/>
          <w:sz w:val="24"/>
        </w:rPr>
        <w:t xml:space="preserve"> </w:t>
      </w:r>
      <w:r>
        <w:rPr>
          <w:rFonts w:eastAsia="仿宋_GB2312"/>
          <w:b/>
          <w:bCs/>
          <w:sz w:val="24"/>
        </w:rPr>
        <w:t xml:space="preserve"> 主要原辅材料理化性质汇总表</w:t>
      </w:r>
    </w:p>
    <w:tbl>
      <w:tblPr>
        <w:tblStyle w:val="87"/>
        <w:tblW w:w="138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9"/>
        <w:gridCol w:w="1513"/>
        <w:gridCol w:w="4678"/>
        <w:gridCol w:w="3229"/>
        <w:gridCol w:w="3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459" w:type="dxa"/>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名称</w:t>
            </w:r>
          </w:p>
        </w:tc>
        <w:tc>
          <w:tcPr>
            <w:tcW w:w="1513" w:type="dxa"/>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CAS号</w:t>
            </w:r>
          </w:p>
        </w:tc>
        <w:tc>
          <w:tcPr>
            <w:tcW w:w="4678" w:type="dxa"/>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理化特性</w:t>
            </w:r>
          </w:p>
        </w:tc>
        <w:tc>
          <w:tcPr>
            <w:tcW w:w="3229" w:type="dxa"/>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毒性毒理</w:t>
            </w:r>
          </w:p>
        </w:tc>
        <w:tc>
          <w:tcPr>
            <w:tcW w:w="3008" w:type="dxa"/>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燃烧爆炸性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459" w:type="dxa"/>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乙酸乙酯</w:t>
            </w:r>
          </w:p>
        </w:tc>
        <w:tc>
          <w:tcPr>
            <w:tcW w:w="1513"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w:t>
            </w:r>
            <w:r>
              <w:rPr>
                <w:rFonts w:ascii="仿宋" w:hAnsi="仿宋" w:eastAsia="仿宋" w:cs="仿宋"/>
                <w:bCs/>
                <w:szCs w:val="21"/>
              </w:rPr>
              <w:t>41-78-6</w:t>
            </w:r>
          </w:p>
        </w:tc>
        <w:tc>
          <w:tcPr>
            <w:tcW w:w="4678" w:type="dxa"/>
            <w:shd w:val="clear" w:color="auto" w:fill="auto"/>
            <w:vAlign w:val="center"/>
          </w:tcPr>
          <w:p>
            <w:pPr>
              <w:widowControl/>
              <w:spacing w:line="240" w:lineRule="exact"/>
              <w:rPr>
                <w:rFonts w:ascii="仿宋" w:hAnsi="仿宋" w:eastAsia="仿宋" w:cs="仿宋"/>
                <w:bCs/>
                <w:szCs w:val="21"/>
              </w:rPr>
            </w:pPr>
            <w:r>
              <w:rPr>
                <w:rFonts w:hint="eastAsia" w:ascii="仿宋" w:hAnsi="仿宋" w:eastAsia="仿宋" w:cs="仿宋"/>
                <w:bCs/>
                <w:szCs w:val="21"/>
              </w:rPr>
              <w:t>分子式：</w:t>
            </w:r>
            <w:r>
              <w:rPr>
                <w:rFonts w:ascii="仿宋" w:hAnsi="仿宋" w:eastAsia="仿宋" w:cs="仿宋"/>
                <w:bCs/>
                <w:szCs w:val="21"/>
              </w:rPr>
              <w:t>C</w:t>
            </w:r>
            <w:r>
              <w:rPr>
                <w:rFonts w:ascii="仿宋" w:hAnsi="仿宋" w:eastAsia="仿宋" w:cs="仿宋"/>
                <w:bCs/>
                <w:szCs w:val="21"/>
                <w:vertAlign w:val="subscript"/>
              </w:rPr>
              <w:t>4</w:t>
            </w:r>
            <w:r>
              <w:rPr>
                <w:rFonts w:ascii="仿宋" w:hAnsi="仿宋" w:eastAsia="仿宋" w:cs="仿宋"/>
                <w:bCs/>
                <w:szCs w:val="21"/>
              </w:rPr>
              <w:t>H</w:t>
            </w:r>
            <w:r>
              <w:rPr>
                <w:rFonts w:ascii="仿宋" w:hAnsi="仿宋" w:eastAsia="仿宋" w:cs="仿宋"/>
                <w:bCs/>
                <w:szCs w:val="21"/>
                <w:vertAlign w:val="subscript"/>
              </w:rPr>
              <w:t>8</w:t>
            </w:r>
            <w:r>
              <w:rPr>
                <w:rFonts w:ascii="仿宋" w:hAnsi="仿宋" w:eastAsia="仿宋" w:cs="仿宋"/>
                <w:bCs/>
                <w:szCs w:val="21"/>
              </w:rPr>
              <w:t>O</w:t>
            </w:r>
            <w:r>
              <w:rPr>
                <w:rFonts w:ascii="仿宋" w:hAnsi="仿宋" w:eastAsia="仿宋" w:cs="仿宋"/>
                <w:bCs/>
                <w:szCs w:val="21"/>
                <w:vertAlign w:val="subscript"/>
              </w:rPr>
              <w:t>2</w:t>
            </w:r>
            <w:r>
              <w:rPr>
                <w:rFonts w:ascii="仿宋" w:hAnsi="仿宋" w:eastAsia="仿宋" w:cs="仿宋"/>
                <w:bCs/>
                <w:szCs w:val="21"/>
              </w:rPr>
              <w:t>，</w:t>
            </w:r>
          </w:p>
          <w:p>
            <w:pPr>
              <w:widowControl/>
              <w:spacing w:line="240" w:lineRule="exact"/>
              <w:rPr>
                <w:rFonts w:ascii="仿宋" w:hAnsi="仿宋" w:eastAsia="仿宋" w:cs="仿宋"/>
                <w:bCs/>
                <w:szCs w:val="21"/>
              </w:rPr>
            </w:pPr>
            <w:r>
              <w:rPr>
                <w:rFonts w:ascii="仿宋" w:hAnsi="仿宋" w:eastAsia="仿宋" w:cs="仿宋"/>
                <w:bCs/>
                <w:szCs w:val="21"/>
              </w:rPr>
              <w:t>分子量</w:t>
            </w:r>
            <w:r>
              <w:rPr>
                <w:rFonts w:hint="eastAsia" w:ascii="仿宋" w:hAnsi="仿宋" w:eastAsia="仿宋" w:cs="仿宋"/>
                <w:bCs/>
                <w:szCs w:val="21"/>
              </w:rPr>
              <w:t>：</w:t>
            </w:r>
            <w:r>
              <w:rPr>
                <w:rFonts w:ascii="仿宋" w:hAnsi="仿宋" w:eastAsia="仿宋" w:cs="仿宋"/>
                <w:bCs/>
                <w:szCs w:val="21"/>
              </w:rPr>
              <w:t>88.1，</w:t>
            </w:r>
          </w:p>
          <w:p>
            <w:pPr>
              <w:widowControl/>
              <w:spacing w:line="240" w:lineRule="exact"/>
              <w:jc w:val="center"/>
              <w:rPr>
                <w:rFonts w:ascii="仿宋" w:hAnsi="仿宋" w:eastAsia="仿宋" w:cs="仿宋"/>
                <w:bCs/>
                <w:szCs w:val="21"/>
              </w:rPr>
            </w:pPr>
            <w:r>
              <w:rPr>
                <w:rFonts w:ascii="仿宋" w:hAnsi="仿宋" w:eastAsia="仿宋" w:cs="仿宋"/>
                <w:bCs/>
                <w:szCs w:val="21"/>
              </w:rPr>
              <w:t>性状</w:t>
            </w:r>
            <w:r>
              <w:rPr>
                <w:rFonts w:hint="eastAsia" w:ascii="仿宋" w:hAnsi="仿宋" w:eastAsia="仿宋" w:cs="仿宋"/>
                <w:bCs/>
                <w:szCs w:val="21"/>
              </w:rPr>
              <w:t>：</w:t>
            </w:r>
            <w:r>
              <w:rPr>
                <w:rFonts w:ascii="仿宋" w:hAnsi="仿宋" w:eastAsia="仿宋" w:cs="仿宋"/>
                <w:bCs/>
                <w:szCs w:val="21"/>
              </w:rPr>
              <w:t>无色澄清液体，有芳香气味，易挥发，</w:t>
            </w:r>
          </w:p>
          <w:p>
            <w:pPr>
              <w:widowControl/>
              <w:spacing w:line="240" w:lineRule="exact"/>
              <w:rPr>
                <w:rFonts w:ascii="仿宋" w:hAnsi="仿宋" w:eastAsia="仿宋" w:cs="仿宋"/>
                <w:bCs/>
                <w:szCs w:val="21"/>
              </w:rPr>
            </w:pPr>
            <w:r>
              <w:rPr>
                <w:rFonts w:ascii="仿宋" w:hAnsi="仿宋" w:eastAsia="仿宋" w:cs="仿宋"/>
                <w:bCs/>
                <w:szCs w:val="21"/>
              </w:rPr>
              <w:t>熔点</w:t>
            </w:r>
            <w:r>
              <w:rPr>
                <w:rFonts w:hint="eastAsia" w:ascii="仿宋" w:hAnsi="仿宋" w:eastAsia="仿宋" w:cs="仿宋"/>
                <w:bCs/>
                <w:szCs w:val="21"/>
              </w:rPr>
              <w:t>：</w:t>
            </w:r>
            <w:r>
              <w:rPr>
                <w:rFonts w:ascii="仿宋" w:hAnsi="仿宋" w:eastAsia="仿宋" w:cs="仿宋"/>
                <w:bCs/>
                <w:szCs w:val="21"/>
              </w:rPr>
              <w:t>-83.6</w:t>
            </w:r>
            <w:r>
              <w:rPr>
                <w:rFonts w:hint="eastAsia" w:ascii="仿宋" w:hAnsi="仿宋" w:eastAsia="仿宋" w:cs="仿宋"/>
                <w:bCs/>
                <w:szCs w:val="21"/>
              </w:rPr>
              <w:t>℃</w:t>
            </w:r>
            <w:r>
              <w:rPr>
                <w:rFonts w:ascii="仿宋" w:hAnsi="仿宋" w:eastAsia="仿宋" w:cs="仿宋"/>
                <w:bCs/>
                <w:szCs w:val="21"/>
              </w:rPr>
              <w:t>，</w:t>
            </w:r>
          </w:p>
          <w:p>
            <w:pPr>
              <w:widowControl/>
              <w:spacing w:line="240" w:lineRule="exact"/>
              <w:rPr>
                <w:rFonts w:ascii="仿宋" w:hAnsi="仿宋" w:eastAsia="仿宋" w:cs="仿宋"/>
                <w:bCs/>
                <w:szCs w:val="21"/>
              </w:rPr>
            </w:pPr>
            <w:r>
              <w:rPr>
                <w:rFonts w:ascii="仿宋" w:hAnsi="仿宋" w:eastAsia="仿宋" w:cs="仿宋"/>
                <w:bCs/>
                <w:szCs w:val="21"/>
              </w:rPr>
              <w:t>沸点</w:t>
            </w:r>
            <w:r>
              <w:rPr>
                <w:rFonts w:hint="eastAsia" w:ascii="仿宋" w:hAnsi="仿宋" w:eastAsia="仿宋" w:cs="仿宋"/>
                <w:bCs/>
                <w:szCs w:val="21"/>
              </w:rPr>
              <w:t>：</w:t>
            </w:r>
            <w:r>
              <w:rPr>
                <w:rFonts w:ascii="仿宋" w:hAnsi="仿宋" w:eastAsia="仿宋" w:cs="仿宋"/>
                <w:bCs/>
                <w:szCs w:val="21"/>
              </w:rPr>
              <w:t>77.2</w:t>
            </w:r>
            <w:r>
              <w:rPr>
                <w:rFonts w:hint="eastAsia" w:ascii="仿宋" w:hAnsi="仿宋" w:eastAsia="仿宋" w:cs="仿宋"/>
                <w:bCs/>
                <w:szCs w:val="21"/>
              </w:rPr>
              <w:t>℃</w:t>
            </w:r>
            <w:r>
              <w:rPr>
                <w:rFonts w:ascii="仿宋" w:hAnsi="仿宋" w:eastAsia="仿宋" w:cs="仿宋"/>
                <w:bCs/>
                <w:szCs w:val="21"/>
              </w:rPr>
              <w:t>，</w:t>
            </w:r>
          </w:p>
          <w:p>
            <w:pPr>
              <w:widowControl/>
              <w:spacing w:line="240" w:lineRule="exact"/>
              <w:rPr>
                <w:rFonts w:ascii="仿宋" w:hAnsi="仿宋" w:eastAsia="仿宋" w:cs="仿宋"/>
                <w:bCs/>
                <w:szCs w:val="21"/>
              </w:rPr>
            </w:pPr>
            <w:r>
              <w:rPr>
                <w:rFonts w:ascii="仿宋" w:hAnsi="仿宋" w:eastAsia="仿宋" w:cs="仿宋"/>
                <w:bCs/>
                <w:szCs w:val="21"/>
              </w:rPr>
              <w:t>相对密度（水=1）</w:t>
            </w:r>
            <w:r>
              <w:rPr>
                <w:rFonts w:hint="eastAsia" w:ascii="仿宋" w:hAnsi="仿宋" w:eastAsia="仿宋" w:cs="仿宋"/>
                <w:bCs/>
                <w:szCs w:val="21"/>
              </w:rPr>
              <w:t>：</w:t>
            </w:r>
            <w:r>
              <w:rPr>
                <w:rFonts w:ascii="仿宋" w:hAnsi="仿宋" w:eastAsia="仿宋" w:cs="仿宋"/>
                <w:bCs/>
                <w:szCs w:val="21"/>
              </w:rPr>
              <w:t>0.9，</w:t>
            </w:r>
          </w:p>
          <w:p>
            <w:pPr>
              <w:widowControl/>
              <w:spacing w:line="240" w:lineRule="exact"/>
              <w:rPr>
                <w:rFonts w:ascii="仿宋" w:hAnsi="仿宋" w:eastAsia="仿宋" w:cs="仿宋"/>
                <w:bCs/>
                <w:szCs w:val="21"/>
              </w:rPr>
            </w:pPr>
            <w:r>
              <w:rPr>
                <w:rFonts w:ascii="仿宋" w:hAnsi="仿宋" w:eastAsia="仿宋" w:cs="仿宋"/>
                <w:bCs/>
                <w:szCs w:val="21"/>
              </w:rPr>
              <w:t>引燃温度</w:t>
            </w:r>
            <w:r>
              <w:rPr>
                <w:rFonts w:hint="eastAsia" w:ascii="仿宋" w:hAnsi="仿宋" w:eastAsia="仿宋" w:cs="仿宋"/>
                <w:bCs/>
                <w:szCs w:val="21"/>
              </w:rPr>
              <w:t>：</w:t>
            </w:r>
            <w:r>
              <w:rPr>
                <w:rFonts w:ascii="仿宋" w:hAnsi="仿宋" w:eastAsia="仿宋" w:cs="仿宋"/>
                <w:bCs/>
                <w:szCs w:val="21"/>
              </w:rPr>
              <w:t>426</w:t>
            </w:r>
            <w:r>
              <w:rPr>
                <w:rFonts w:hint="eastAsia" w:ascii="仿宋" w:hAnsi="仿宋" w:eastAsia="仿宋" w:cs="仿宋"/>
                <w:bCs/>
                <w:szCs w:val="21"/>
              </w:rPr>
              <w:t>℃</w:t>
            </w:r>
            <w:r>
              <w:rPr>
                <w:rFonts w:ascii="仿宋" w:hAnsi="仿宋" w:eastAsia="仿宋" w:cs="仿宋"/>
                <w:bCs/>
                <w:szCs w:val="21"/>
              </w:rPr>
              <w:t>，</w:t>
            </w:r>
          </w:p>
          <w:p>
            <w:pPr>
              <w:widowControl/>
              <w:spacing w:line="240" w:lineRule="exact"/>
              <w:jc w:val="left"/>
              <w:rPr>
                <w:rFonts w:ascii="仿宋" w:hAnsi="仿宋" w:eastAsia="仿宋" w:cs="仿宋"/>
                <w:bCs/>
                <w:szCs w:val="21"/>
              </w:rPr>
            </w:pPr>
            <w:r>
              <w:rPr>
                <w:rFonts w:ascii="仿宋" w:hAnsi="仿宋" w:eastAsia="仿宋" w:cs="仿宋"/>
                <w:bCs/>
                <w:szCs w:val="21"/>
              </w:rPr>
              <w:t>溶解性</w:t>
            </w:r>
            <w:r>
              <w:rPr>
                <w:rFonts w:hint="eastAsia" w:ascii="仿宋" w:hAnsi="仿宋" w:eastAsia="仿宋" w:cs="仿宋"/>
                <w:bCs/>
                <w:szCs w:val="21"/>
              </w:rPr>
              <w:t>：</w:t>
            </w:r>
            <w:r>
              <w:rPr>
                <w:rFonts w:ascii="仿宋" w:hAnsi="仿宋" w:eastAsia="仿宋" w:cs="仿宋"/>
                <w:bCs/>
                <w:szCs w:val="21"/>
              </w:rPr>
              <w:t>微溶于水，易溶于醇、酮、醚、氯仿等多数有机溶剂</w:t>
            </w:r>
          </w:p>
        </w:tc>
        <w:tc>
          <w:tcPr>
            <w:tcW w:w="3229" w:type="dxa"/>
            <w:shd w:val="clear" w:color="auto" w:fill="auto"/>
            <w:vAlign w:val="center"/>
          </w:tcPr>
          <w:p>
            <w:pPr>
              <w:widowControl/>
              <w:spacing w:line="240" w:lineRule="exact"/>
              <w:jc w:val="center"/>
              <w:rPr>
                <w:rFonts w:ascii="仿宋" w:hAnsi="仿宋" w:eastAsia="仿宋" w:cs="仿宋"/>
                <w:bCs/>
                <w:szCs w:val="21"/>
              </w:rPr>
            </w:pPr>
            <w:r>
              <w:rPr>
                <w:rFonts w:ascii="仿宋" w:hAnsi="仿宋" w:eastAsia="仿宋" w:cs="仿宋"/>
                <w:bCs/>
                <w:szCs w:val="21"/>
              </w:rPr>
              <w:t>LD</w:t>
            </w:r>
            <w:r>
              <w:rPr>
                <w:rFonts w:ascii="仿宋" w:hAnsi="仿宋" w:eastAsia="仿宋" w:cs="仿宋"/>
                <w:bCs/>
                <w:szCs w:val="21"/>
                <w:vertAlign w:val="subscript"/>
              </w:rPr>
              <w:t>50</w:t>
            </w:r>
            <w:r>
              <w:rPr>
                <w:rFonts w:ascii="仿宋" w:hAnsi="仿宋" w:eastAsia="仿宋" w:cs="仿宋"/>
                <w:bCs/>
                <w:szCs w:val="21"/>
              </w:rPr>
              <w:t>：5620mg/kg(大鼠经口)；</w:t>
            </w:r>
          </w:p>
          <w:p>
            <w:pPr>
              <w:widowControl/>
              <w:spacing w:line="240" w:lineRule="exact"/>
              <w:jc w:val="center"/>
              <w:rPr>
                <w:rFonts w:ascii="仿宋" w:hAnsi="仿宋" w:eastAsia="仿宋" w:cs="仿宋"/>
                <w:bCs/>
                <w:szCs w:val="21"/>
              </w:rPr>
            </w:pPr>
            <w:r>
              <w:rPr>
                <w:rFonts w:ascii="仿宋" w:hAnsi="仿宋" w:eastAsia="仿宋" w:cs="仿宋"/>
                <w:bCs/>
                <w:szCs w:val="21"/>
              </w:rPr>
              <w:t>LC</w:t>
            </w:r>
            <w:r>
              <w:rPr>
                <w:rFonts w:ascii="仿宋" w:hAnsi="仿宋" w:eastAsia="仿宋" w:cs="仿宋"/>
                <w:bCs/>
                <w:szCs w:val="21"/>
                <w:vertAlign w:val="subscript"/>
              </w:rPr>
              <w:t>50</w:t>
            </w:r>
            <w:r>
              <w:rPr>
                <w:rFonts w:ascii="仿宋" w:hAnsi="仿宋" w:eastAsia="仿宋" w:cs="仿宋"/>
                <w:bCs/>
                <w:szCs w:val="21"/>
              </w:rPr>
              <w:t>：5760mg/m</w:t>
            </w:r>
            <w:r>
              <w:rPr>
                <w:rFonts w:ascii="仿宋" w:hAnsi="仿宋" w:eastAsia="仿宋" w:cs="仿宋"/>
                <w:bCs/>
                <w:szCs w:val="21"/>
                <w:vertAlign w:val="superscript"/>
              </w:rPr>
              <w:t>3</w:t>
            </w:r>
            <w:r>
              <w:rPr>
                <w:rFonts w:ascii="仿宋" w:hAnsi="仿宋" w:eastAsia="仿宋" w:cs="仿宋"/>
                <w:bCs/>
                <w:szCs w:val="21"/>
              </w:rPr>
              <w:t>，8小时(大鼠吸入)</w:t>
            </w:r>
          </w:p>
        </w:tc>
        <w:tc>
          <w:tcPr>
            <w:tcW w:w="3008" w:type="dxa"/>
            <w:shd w:val="clear" w:color="auto" w:fill="auto"/>
            <w:vAlign w:val="center"/>
          </w:tcPr>
          <w:p>
            <w:pPr>
              <w:widowControl/>
              <w:spacing w:line="240" w:lineRule="exact"/>
              <w:jc w:val="center"/>
              <w:rPr>
                <w:rFonts w:ascii="仿宋" w:hAnsi="仿宋" w:eastAsia="仿宋" w:cs="仿宋"/>
                <w:bCs/>
                <w:szCs w:val="21"/>
              </w:rPr>
            </w:pPr>
            <w:r>
              <w:rPr>
                <w:rFonts w:ascii="仿宋" w:hAnsi="仿宋" w:eastAsia="仿宋" w:cs="仿宋"/>
                <w:bCs/>
                <w:szCs w:val="21"/>
              </w:rPr>
              <w:t>易燃，其蒸气与空气可形成爆炸性混合物，遇明火、高热能引起燃烧爆炸。与氧化剂接触猛烈反应。其蒸气比空气重，能在较低处扩散到相当远的地方，遇火源会着火回燃。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459" w:type="dxa"/>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丙烯酸树脂</w:t>
            </w:r>
          </w:p>
        </w:tc>
        <w:tc>
          <w:tcPr>
            <w:tcW w:w="1513"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7</w:t>
            </w:r>
            <w:r>
              <w:rPr>
                <w:rFonts w:ascii="仿宋" w:hAnsi="仿宋" w:eastAsia="仿宋" w:cs="仿宋"/>
                <w:bCs/>
                <w:szCs w:val="21"/>
              </w:rPr>
              <w:t>9-10-7</w:t>
            </w:r>
          </w:p>
        </w:tc>
        <w:tc>
          <w:tcPr>
            <w:tcW w:w="4678" w:type="dxa"/>
            <w:shd w:val="clear" w:color="auto" w:fill="auto"/>
            <w:vAlign w:val="center"/>
          </w:tcPr>
          <w:p>
            <w:pPr>
              <w:widowControl/>
              <w:spacing w:line="240" w:lineRule="exact"/>
              <w:rPr>
                <w:rFonts w:ascii="仿宋" w:hAnsi="仿宋" w:eastAsia="仿宋" w:cs="仿宋"/>
                <w:bCs/>
                <w:szCs w:val="21"/>
              </w:rPr>
            </w:pPr>
            <w:r>
              <w:rPr>
                <w:rFonts w:ascii="仿宋" w:hAnsi="仿宋" w:eastAsia="仿宋" w:cs="仿宋"/>
                <w:bCs/>
                <w:szCs w:val="21"/>
              </w:rPr>
              <w:t>性状</w:t>
            </w:r>
            <w:r>
              <w:rPr>
                <w:rFonts w:hint="eastAsia" w:ascii="仿宋" w:hAnsi="仿宋" w:eastAsia="仿宋" w:cs="仿宋"/>
                <w:bCs/>
                <w:szCs w:val="21"/>
              </w:rPr>
              <w:t>：</w:t>
            </w:r>
            <w:r>
              <w:rPr>
                <w:rFonts w:ascii="仿宋" w:hAnsi="仿宋" w:eastAsia="仿宋" w:cs="仿宋"/>
                <w:bCs/>
                <w:szCs w:val="21"/>
              </w:rPr>
              <w:t>无色或有色流体，有特殊芳香味</w:t>
            </w:r>
          </w:p>
          <w:p>
            <w:pPr>
              <w:widowControl/>
              <w:spacing w:line="240" w:lineRule="exact"/>
              <w:rPr>
                <w:rFonts w:ascii="仿宋" w:hAnsi="仿宋" w:eastAsia="仿宋" w:cs="仿宋"/>
                <w:bCs/>
                <w:szCs w:val="21"/>
              </w:rPr>
            </w:pPr>
            <w:r>
              <w:rPr>
                <w:rFonts w:ascii="仿宋" w:hAnsi="仿宋" w:eastAsia="仿宋" w:cs="仿宋"/>
                <w:bCs/>
                <w:szCs w:val="21"/>
              </w:rPr>
              <w:t>熔点</w:t>
            </w:r>
            <w:r>
              <w:rPr>
                <w:rFonts w:hint="eastAsia" w:ascii="仿宋" w:hAnsi="仿宋" w:eastAsia="仿宋" w:cs="仿宋"/>
                <w:bCs/>
                <w:szCs w:val="21"/>
              </w:rPr>
              <w:t>：</w:t>
            </w:r>
            <w:r>
              <w:rPr>
                <w:rFonts w:ascii="仿宋" w:hAnsi="仿宋" w:eastAsia="仿宋" w:cs="仿宋"/>
                <w:bCs/>
                <w:szCs w:val="21"/>
              </w:rPr>
              <w:t>-47.9</w:t>
            </w:r>
            <w:r>
              <w:rPr>
                <w:rFonts w:hint="eastAsia" w:ascii="仿宋" w:hAnsi="仿宋" w:eastAsia="仿宋" w:cs="仿宋"/>
                <w:bCs/>
                <w:szCs w:val="21"/>
              </w:rPr>
              <w:t>℃</w:t>
            </w:r>
          </w:p>
          <w:p>
            <w:pPr>
              <w:widowControl/>
              <w:spacing w:line="240" w:lineRule="exact"/>
              <w:rPr>
                <w:rFonts w:ascii="仿宋" w:hAnsi="仿宋" w:eastAsia="仿宋" w:cs="仿宋"/>
                <w:bCs/>
                <w:szCs w:val="21"/>
              </w:rPr>
            </w:pPr>
            <w:r>
              <w:rPr>
                <w:rFonts w:ascii="仿宋" w:hAnsi="仿宋" w:eastAsia="仿宋" w:cs="仿宋"/>
                <w:bCs/>
                <w:szCs w:val="21"/>
              </w:rPr>
              <w:t>沸点：139</w:t>
            </w:r>
            <w:r>
              <w:rPr>
                <w:rFonts w:hint="eastAsia" w:ascii="仿宋" w:hAnsi="仿宋" w:eastAsia="仿宋" w:cs="仿宋"/>
                <w:bCs/>
                <w:szCs w:val="21"/>
              </w:rPr>
              <w:t>℃</w:t>
            </w:r>
          </w:p>
          <w:p>
            <w:pPr>
              <w:widowControl/>
              <w:spacing w:line="240" w:lineRule="exact"/>
              <w:rPr>
                <w:rFonts w:ascii="仿宋" w:hAnsi="仿宋" w:eastAsia="仿宋" w:cs="仿宋"/>
                <w:bCs/>
                <w:szCs w:val="21"/>
              </w:rPr>
            </w:pPr>
            <w:r>
              <w:rPr>
                <w:rFonts w:ascii="仿宋" w:hAnsi="仿宋" w:eastAsia="仿宋" w:cs="仿宋"/>
                <w:bCs/>
                <w:szCs w:val="21"/>
              </w:rPr>
              <w:t>相对密度（水=1）：0.86，</w:t>
            </w:r>
          </w:p>
          <w:p>
            <w:pPr>
              <w:widowControl/>
              <w:spacing w:line="240" w:lineRule="exact"/>
              <w:rPr>
                <w:rFonts w:ascii="仿宋" w:hAnsi="仿宋" w:eastAsia="仿宋" w:cs="仿宋"/>
                <w:bCs/>
                <w:szCs w:val="21"/>
              </w:rPr>
            </w:pPr>
            <w:r>
              <w:rPr>
                <w:rFonts w:ascii="仿宋" w:hAnsi="仿宋" w:eastAsia="仿宋" w:cs="仿宋"/>
                <w:bCs/>
                <w:szCs w:val="21"/>
              </w:rPr>
              <w:t>相对蒸汽密度（空气=1）：3.66，</w:t>
            </w:r>
          </w:p>
          <w:p>
            <w:pPr>
              <w:widowControl/>
              <w:spacing w:line="240" w:lineRule="exact"/>
              <w:rPr>
                <w:rFonts w:ascii="仿宋" w:hAnsi="仿宋" w:eastAsia="仿宋" w:cs="仿宋"/>
                <w:bCs/>
                <w:szCs w:val="21"/>
              </w:rPr>
            </w:pPr>
            <w:r>
              <w:rPr>
                <w:rFonts w:ascii="仿宋" w:hAnsi="仿宋" w:eastAsia="仿宋" w:cs="仿宋"/>
                <w:bCs/>
                <w:szCs w:val="21"/>
              </w:rPr>
              <w:t>闪点</w:t>
            </w:r>
            <w:r>
              <w:rPr>
                <w:rFonts w:hint="eastAsia" w:ascii="仿宋" w:hAnsi="仿宋" w:eastAsia="仿宋" w:cs="仿宋"/>
                <w:bCs/>
                <w:szCs w:val="21"/>
              </w:rPr>
              <w:t>：</w:t>
            </w:r>
            <w:r>
              <w:rPr>
                <w:rFonts w:ascii="仿宋" w:hAnsi="仿宋" w:eastAsia="仿宋" w:cs="仿宋"/>
                <w:bCs/>
                <w:szCs w:val="21"/>
              </w:rPr>
              <w:t>25</w:t>
            </w:r>
            <w:r>
              <w:rPr>
                <w:rFonts w:hint="eastAsia" w:ascii="仿宋" w:hAnsi="仿宋" w:eastAsia="仿宋" w:cs="仿宋"/>
                <w:bCs/>
                <w:szCs w:val="21"/>
              </w:rPr>
              <w:t>℃</w:t>
            </w:r>
          </w:p>
          <w:p>
            <w:pPr>
              <w:widowControl/>
              <w:spacing w:line="240" w:lineRule="exact"/>
              <w:rPr>
                <w:rFonts w:ascii="仿宋" w:hAnsi="仿宋" w:eastAsia="仿宋" w:cs="仿宋"/>
                <w:bCs/>
                <w:szCs w:val="21"/>
              </w:rPr>
            </w:pPr>
            <w:r>
              <w:rPr>
                <w:rFonts w:ascii="仿宋" w:hAnsi="仿宋" w:eastAsia="仿宋" w:cs="仿宋"/>
                <w:bCs/>
                <w:szCs w:val="21"/>
              </w:rPr>
              <w:t>引燃温度</w:t>
            </w:r>
            <w:r>
              <w:rPr>
                <w:rFonts w:hint="eastAsia" w:ascii="仿宋" w:hAnsi="仿宋" w:eastAsia="仿宋" w:cs="仿宋"/>
                <w:bCs/>
                <w:szCs w:val="21"/>
              </w:rPr>
              <w:t>：</w:t>
            </w:r>
            <w:r>
              <w:rPr>
                <w:rFonts w:ascii="仿宋" w:hAnsi="仿宋" w:eastAsia="仿宋" w:cs="仿宋"/>
                <w:bCs/>
                <w:szCs w:val="21"/>
              </w:rPr>
              <w:t>525</w:t>
            </w:r>
            <w:r>
              <w:rPr>
                <w:rFonts w:hint="eastAsia" w:ascii="仿宋" w:hAnsi="仿宋" w:eastAsia="仿宋" w:cs="仿宋"/>
                <w:bCs/>
                <w:szCs w:val="21"/>
              </w:rPr>
              <w:t>℃</w:t>
            </w:r>
          </w:p>
        </w:tc>
        <w:tc>
          <w:tcPr>
            <w:tcW w:w="3229" w:type="dxa"/>
            <w:shd w:val="clear" w:color="auto" w:fill="auto"/>
            <w:vAlign w:val="center"/>
          </w:tcPr>
          <w:p>
            <w:pPr>
              <w:widowControl/>
              <w:spacing w:line="240" w:lineRule="exact"/>
              <w:jc w:val="center"/>
              <w:rPr>
                <w:rFonts w:ascii="仿宋" w:hAnsi="仿宋" w:eastAsia="仿宋" w:cs="仿宋"/>
                <w:bCs/>
                <w:szCs w:val="21"/>
              </w:rPr>
            </w:pPr>
            <w:r>
              <w:rPr>
                <w:rFonts w:ascii="仿宋" w:hAnsi="仿宋" w:eastAsia="仿宋" w:cs="仿宋"/>
                <w:bCs/>
                <w:szCs w:val="21"/>
              </w:rPr>
              <w:t>LD</w:t>
            </w:r>
            <w:r>
              <w:rPr>
                <w:rFonts w:ascii="仿宋" w:hAnsi="仿宋" w:eastAsia="仿宋" w:cs="仿宋"/>
                <w:bCs/>
                <w:szCs w:val="21"/>
                <w:vertAlign w:val="subscript"/>
              </w:rPr>
              <w:t>50</w:t>
            </w:r>
            <w:r>
              <w:rPr>
                <w:rFonts w:ascii="仿宋" w:hAnsi="仿宋" w:eastAsia="仿宋" w:cs="仿宋"/>
                <w:bCs/>
                <w:szCs w:val="21"/>
              </w:rPr>
              <w:t>：5000mg/kg(大鼠经口)；</w:t>
            </w:r>
          </w:p>
          <w:p>
            <w:pPr>
              <w:widowControl/>
              <w:spacing w:line="240" w:lineRule="exact"/>
              <w:jc w:val="center"/>
              <w:rPr>
                <w:rFonts w:ascii="仿宋" w:hAnsi="仿宋" w:eastAsia="仿宋" w:cs="仿宋"/>
                <w:bCs/>
                <w:szCs w:val="21"/>
              </w:rPr>
            </w:pPr>
            <w:r>
              <w:rPr>
                <w:rFonts w:ascii="仿宋" w:hAnsi="仿宋" w:eastAsia="仿宋" w:cs="仿宋"/>
                <w:bCs/>
                <w:szCs w:val="21"/>
              </w:rPr>
              <w:t>LC</w:t>
            </w:r>
            <w:r>
              <w:rPr>
                <w:rFonts w:ascii="仿宋" w:hAnsi="仿宋" w:eastAsia="仿宋" w:cs="仿宋"/>
                <w:bCs/>
                <w:szCs w:val="21"/>
                <w:vertAlign w:val="subscript"/>
              </w:rPr>
              <w:t>50</w:t>
            </w:r>
            <w:r>
              <w:rPr>
                <w:rFonts w:ascii="仿宋" w:hAnsi="仿宋" w:eastAsia="仿宋" w:cs="仿宋"/>
                <w:bCs/>
                <w:szCs w:val="21"/>
              </w:rPr>
              <w:t>：14100mg/kg（兔经皮）</w:t>
            </w:r>
          </w:p>
        </w:tc>
        <w:tc>
          <w:tcPr>
            <w:tcW w:w="3008" w:type="dxa"/>
            <w:shd w:val="clear" w:color="auto" w:fill="auto"/>
            <w:vAlign w:val="center"/>
          </w:tcPr>
          <w:p>
            <w:pPr>
              <w:widowControl/>
              <w:spacing w:line="240" w:lineRule="exact"/>
              <w:jc w:val="center"/>
              <w:rPr>
                <w:rFonts w:ascii="仿宋" w:hAnsi="仿宋" w:eastAsia="仿宋" w:cs="仿宋"/>
                <w:bCs/>
                <w:szCs w:val="21"/>
              </w:rPr>
            </w:pPr>
            <w:r>
              <w:rPr>
                <w:rFonts w:ascii="仿宋" w:hAnsi="仿宋" w:eastAsia="仿宋" w:cs="仿宋"/>
                <w:bCs/>
                <w:szCs w:val="21"/>
              </w:rPr>
              <w:t>易燃，遇明火、高热能燃烧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459"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对甲苯磺酸</w:t>
            </w:r>
          </w:p>
        </w:tc>
        <w:tc>
          <w:tcPr>
            <w:tcW w:w="1513"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104-15-4</w:t>
            </w:r>
          </w:p>
        </w:tc>
        <w:tc>
          <w:tcPr>
            <w:tcW w:w="4678" w:type="dxa"/>
            <w:shd w:val="clear" w:color="auto" w:fill="auto"/>
            <w:vAlign w:val="center"/>
          </w:tcPr>
          <w:p>
            <w:pPr>
              <w:widowControl/>
              <w:spacing w:line="240" w:lineRule="exact"/>
              <w:rPr>
                <w:rFonts w:ascii="仿宋" w:hAnsi="仿宋" w:eastAsia="仿宋" w:cs="仿宋"/>
                <w:bCs/>
                <w:szCs w:val="21"/>
              </w:rPr>
            </w:pPr>
            <w:r>
              <w:rPr>
                <w:rFonts w:ascii="仿宋" w:hAnsi="仿宋" w:eastAsia="仿宋" w:cs="仿宋"/>
                <w:bCs/>
                <w:szCs w:val="21"/>
              </w:rPr>
              <w:t>性状</w:t>
            </w:r>
            <w:r>
              <w:rPr>
                <w:rFonts w:hint="eastAsia" w:ascii="仿宋" w:hAnsi="仿宋" w:eastAsia="仿宋" w:cs="仿宋"/>
                <w:bCs/>
                <w:szCs w:val="21"/>
              </w:rPr>
              <w:t>：白色晶体</w:t>
            </w:r>
          </w:p>
          <w:p>
            <w:pPr>
              <w:widowControl/>
              <w:spacing w:line="240" w:lineRule="exact"/>
              <w:rPr>
                <w:rFonts w:ascii="仿宋" w:hAnsi="仿宋" w:eastAsia="仿宋" w:cs="仿宋"/>
                <w:bCs/>
                <w:szCs w:val="21"/>
              </w:rPr>
            </w:pPr>
            <w:r>
              <w:rPr>
                <w:rFonts w:ascii="仿宋" w:hAnsi="仿宋" w:eastAsia="仿宋" w:cs="仿宋"/>
                <w:bCs/>
                <w:szCs w:val="21"/>
              </w:rPr>
              <w:t>熔点</w:t>
            </w:r>
            <w:r>
              <w:rPr>
                <w:rFonts w:hint="eastAsia" w:ascii="仿宋" w:hAnsi="仿宋" w:eastAsia="仿宋" w:cs="仿宋"/>
                <w:bCs/>
                <w:szCs w:val="21"/>
              </w:rPr>
              <w:t>：106℃</w:t>
            </w:r>
          </w:p>
          <w:p>
            <w:pPr>
              <w:widowControl/>
              <w:spacing w:line="240" w:lineRule="exact"/>
              <w:rPr>
                <w:rFonts w:ascii="仿宋" w:hAnsi="仿宋" w:eastAsia="仿宋" w:cs="仿宋"/>
                <w:bCs/>
                <w:szCs w:val="21"/>
              </w:rPr>
            </w:pPr>
            <w:r>
              <w:rPr>
                <w:rFonts w:ascii="仿宋" w:hAnsi="仿宋" w:eastAsia="仿宋" w:cs="仿宋"/>
                <w:bCs/>
                <w:szCs w:val="21"/>
              </w:rPr>
              <w:t>沸点：</w:t>
            </w:r>
            <w:r>
              <w:rPr>
                <w:rFonts w:hint="eastAsia" w:ascii="仿宋" w:hAnsi="仿宋" w:eastAsia="仿宋" w:cs="仿宋"/>
                <w:bCs/>
                <w:szCs w:val="21"/>
              </w:rPr>
              <w:t>116℃</w:t>
            </w:r>
          </w:p>
          <w:p>
            <w:pPr>
              <w:widowControl/>
              <w:spacing w:line="240" w:lineRule="exact"/>
              <w:rPr>
                <w:rFonts w:ascii="仿宋" w:hAnsi="仿宋" w:eastAsia="仿宋" w:cs="仿宋"/>
                <w:bCs/>
                <w:szCs w:val="21"/>
              </w:rPr>
            </w:pPr>
            <w:r>
              <w:rPr>
                <w:rFonts w:ascii="仿宋" w:hAnsi="仿宋" w:eastAsia="仿宋" w:cs="仿宋"/>
                <w:bCs/>
                <w:szCs w:val="21"/>
              </w:rPr>
              <w:t>相对密度（水=1）：</w:t>
            </w:r>
            <w:r>
              <w:rPr>
                <w:rFonts w:hint="eastAsia" w:ascii="仿宋" w:hAnsi="仿宋" w:eastAsia="仿宋" w:cs="仿宋"/>
                <w:bCs/>
                <w:szCs w:val="21"/>
              </w:rPr>
              <w:t>1.07</w:t>
            </w:r>
          </w:p>
          <w:p>
            <w:pPr>
              <w:widowControl/>
              <w:spacing w:line="240" w:lineRule="exact"/>
              <w:rPr>
                <w:rFonts w:ascii="仿宋" w:hAnsi="仿宋" w:eastAsia="仿宋" w:cs="仿宋"/>
                <w:bCs/>
                <w:szCs w:val="21"/>
              </w:rPr>
            </w:pPr>
            <w:r>
              <w:rPr>
                <w:rFonts w:ascii="仿宋" w:hAnsi="仿宋" w:eastAsia="仿宋" w:cs="仿宋"/>
                <w:bCs/>
                <w:szCs w:val="21"/>
              </w:rPr>
              <w:t>相对蒸汽密度（空气=1）：</w:t>
            </w:r>
            <w:r>
              <w:rPr>
                <w:rFonts w:hint="eastAsia" w:ascii="仿宋" w:hAnsi="仿宋" w:eastAsia="仿宋" w:cs="仿宋"/>
                <w:bCs/>
                <w:szCs w:val="21"/>
              </w:rPr>
              <w:t>/</w:t>
            </w:r>
          </w:p>
          <w:p>
            <w:pPr>
              <w:widowControl/>
              <w:spacing w:line="240" w:lineRule="exact"/>
              <w:rPr>
                <w:rFonts w:ascii="仿宋" w:hAnsi="仿宋" w:eastAsia="仿宋" w:cs="仿宋"/>
                <w:bCs/>
                <w:szCs w:val="21"/>
              </w:rPr>
            </w:pPr>
            <w:r>
              <w:rPr>
                <w:rFonts w:ascii="仿宋" w:hAnsi="仿宋" w:eastAsia="仿宋" w:cs="仿宋"/>
                <w:bCs/>
                <w:szCs w:val="21"/>
              </w:rPr>
              <w:t>闪点</w:t>
            </w:r>
            <w:r>
              <w:rPr>
                <w:rFonts w:hint="eastAsia" w:ascii="仿宋" w:hAnsi="仿宋" w:eastAsia="仿宋" w:cs="仿宋"/>
                <w:bCs/>
                <w:szCs w:val="21"/>
              </w:rPr>
              <w:t>：41℃</w:t>
            </w:r>
          </w:p>
          <w:p>
            <w:pPr>
              <w:widowControl/>
              <w:spacing w:line="240" w:lineRule="exact"/>
              <w:rPr>
                <w:rFonts w:ascii="仿宋" w:hAnsi="仿宋" w:eastAsia="仿宋" w:cs="仿宋"/>
                <w:bCs/>
                <w:szCs w:val="21"/>
              </w:rPr>
            </w:pPr>
            <w:r>
              <w:rPr>
                <w:rFonts w:ascii="仿宋" w:hAnsi="仿宋" w:eastAsia="仿宋" w:cs="仿宋"/>
                <w:bCs/>
                <w:szCs w:val="21"/>
              </w:rPr>
              <w:t>溶解性</w:t>
            </w:r>
            <w:r>
              <w:rPr>
                <w:rFonts w:hint="eastAsia" w:ascii="仿宋" w:hAnsi="仿宋" w:eastAsia="仿宋" w:cs="仿宋"/>
                <w:bCs/>
                <w:szCs w:val="21"/>
              </w:rPr>
              <w:t>：</w:t>
            </w:r>
            <w:r>
              <w:rPr>
                <w:rFonts w:ascii="仿宋" w:hAnsi="仿宋" w:eastAsia="仿宋" w:cs="仿宋"/>
                <w:bCs/>
                <w:szCs w:val="21"/>
              </w:rPr>
              <w:t>易溶于乙醇和乙醚，稍溶于水和热苯</w:t>
            </w:r>
          </w:p>
        </w:tc>
        <w:tc>
          <w:tcPr>
            <w:tcW w:w="3229" w:type="dxa"/>
            <w:shd w:val="clear" w:color="auto" w:fill="auto"/>
            <w:vAlign w:val="center"/>
          </w:tcPr>
          <w:p>
            <w:pPr>
              <w:widowControl/>
              <w:spacing w:line="240" w:lineRule="exact"/>
              <w:jc w:val="center"/>
              <w:rPr>
                <w:rFonts w:ascii="仿宋" w:hAnsi="仿宋" w:eastAsia="仿宋" w:cs="仿宋"/>
                <w:bCs/>
                <w:szCs w:val="21"/>
              </w:rPr>
            </w:pPr>
            <w:r>
              <w:rPr>
                <w:rFonts w:hint="eastAsia" w:ascii="仿宋" w:hAnsi="仿宋" w:eastAsia="仿宋" w:cs="仿宋"/>
                <w:bCs/>
                <w:szCs w:val="21"/>
              </w:rPr>
              <w:t>/</w:t>
            </w:r>
          </w:p>
        </w:tc>
        <w:tc>
          <w:tcPr>
            <w:tcW w:w="3008" w:type="dxa"/>
            <w:shd w:val="clear" w:color="auto" w:fill="auto"/>
            <w:vAlign w:val="center"/>
          </w:tcPr>
          <w:p>
            <w:pPr>
              <w:widowControl/>
              <w:spacing w:line="240" w:lineRule="exact"/>
              <w:jc w:val="center"/>
              <w:rPr>
                <w:rFonts w:ascii="仿宋" w:hAnsi="仿宋" w:eastAsia="仿宋" w:cs="仿宋"/>
                <w:bCs/>
                <w:szCs w:val="21"/>
              </w:rPr>
            </w:pPr>
            <w:r>
              <w:rPr>
                <w:rFonts w:hint="eastAsia" w:ascii="仿宋" w:hAnsi="仿宋" w:eastAsia="仿宋" w:cs="仿宋"/>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459" w:type="dxa"/>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二甲苯</w:t>
            </w:r>
          </w:p>
        </w:tc>
        <w:tc>
          <w:tcPr>
            <w:tcW w:w="1513"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1330-20-7</w:t>
            </w:r>
          </w:p>
        </w:tc>
        <w:tc>
          <w:tcPr>
            <w:tcW w:w="4678" w:type="dxa"/>
            <w:shd w:val="clear" w:color="auto" w:fill="auto"/>
            <w:vAlign w:val="center"/>
          </w:tcPr>
          <w:p>
            <w:pPr>
              <w:widowControl/>
              <w:spacing w:line="240" w:lineRule="exact"/>
              <w:rPr>
                <w:rFonts w:ascii="仿宋" w:hAnsi="仿宋" w:eastAsia="仿宋" w:cs="仿宋"/>
                <w:bCs/>
                <w:szCs w:val="21"/>
              </w:rPr>
            </w:pPr>
            <w:r>
              <w:rPr>
                <w:rFonts w:hint="eastAsia" w:ascii="仿宋" w:hAnsi="仿宋" w:eastAsia="仿宋" w:cs="仿宋"/>
                <w:bCs/>
                <w:szCs w:val="21"/>
              </w:rPr>
              <w:t>分子式：</w:t>
            </w:r>
            <w:r>
              <w:rPr>
                <w:rFonts w:ascii="仿宋" w:hAnsi="仿宋" w:eastAsia="仿宋" w:cs="仿宋"/>
                <w:bCs/>
                <w:szCs w:val="21"/>
              </w:rPr>
              <w:t>C</w:t>
            </w:r>
            <w:r>
              <w:rPr>
                <w:rFonts w:hint="eastAsia" w:ascii="仿宋" w:hAnsi="仿宋" w:eastAsia="仿宋" w:cs="仿宋"/>
                <w:bCs/>
                <w:szCs w:val="21"/>
                <w:vertAlign w:val="subscript"/>
              </w:rPr>
              <w:t>8</w:t>
            </w:r>
            <w:r>
              <w:rPr>
                <w:rFonts w:ascii="仿宋" w:hAnsi="仿宋" w:eastAsia="仿宋" w:cs="仿宋"/>
                <w:bCs/>
                <w:szCs w:val="21"/>
              </w:rPr>
              <w:t>H</w:t>
            </w:r>
            <w:r>
              <w:rPr>
                <w:rFonts w:hint="eastAsia" w:ascii="仿宋" w:hAnsi="仿宋" w:eastAsia="仿宋" w:cs="仿宋"/>
                <w:bCs/>
                <w:szCs w:val="21"/>
                <w:vertAlign w:val="subscript"/>
              </w:rPr>
              <w:t>10</w:t>
            </w:r>
          </w:p>
          <w:p>
            <w:pPr>
              <w:widowControl/>
              <w:spacing w:line="240" w:lineRule="exact"/>
              <w:rPr>
                <w:rFonts w:ascii="仿宋" w:hAnsi="仿宋" w:eastAsia="仿宋" w:cs="仿宋"/>
                <w:bCs/>
                <w:szCs w:val="21"/>
              </w:rPr>
            </w:pPr>
            <w:r>
              <w:rPr>
                <w:rFonts w:ascii="仿宋" w:hAnsi="仿宋" w:eastAsia="仿宋" w:cs="仿宋"/>
                <w:bCs/>
                <w:szCs w:val="21"/>
              </w:rPr>
              <w:t>分子量</w:t>
            </w:r>
            <w:r>
              <w:rPr>
                <w:rFonts w:hint="eastAsia" w:ascii="仿宋" w:hAnsi="仿宋" w:eastAsia="仿宋" w:cs="仿宋"/>
                <w:bCs/>
                <w:szCs w:val="21"/>
              </w:rPr>
              <w:t>：106.165</w:t>
            </w:r>
          </w:p>
          <w:p>
            <w:pPr>
              <w:widowControl/>
              <w:spacing w:line="240" w:lineRule="exact"/>
              <w:rPr>
                <w:rFonts w:ascii="仿宋" w:hAnsi="仿宋" w:eastAsia="仿宋" w:cs="仿宋"/>
                <w:bCs/>
                <w:szCs w:val="21"/>
              </w:rPr>
            </w:pPr>
            <w:r>
              <w:rPr>
                <w:rFonts w:ascii="仿宋" w:hAnsi="仿宋" w:eastAsia="仿宋" w:cs="仿宋"/>
                <w:bCs/>
                <w:szCs w:val="21"/>
              </w:rPr>
              <w:t>性状</w:t>
            </w:r>
            <w:r>
              <w:rPr>
                <w:rFonts w:hint="eastAsia" w:ascii="仿宋" w:hAnsi="仿宋" w:eastAsia="仿宋" w:cs="仿宋"/>
                <w:bCs/>
                <w:szCs w:val="21"/>
              </w:rPr>
              <w:t>：</w:t>
            </w:r>
            <w:r>
              <w:rPr>
                <w:rFonts w:ascii="仿宋" w:hAnsi="仿宋" w:eastAsia="仿宋" w:cs="仿宋"/>
                <w:bCs/>
                <w:szCs w:val="21"/>
              </w:rPr>
              <w:t>无色</w:t>
            </w:r>
            <w:r>
              <w:rPr>
                <w:rFonts w:hint="eastAsia" w:ascii="仿宋" w:hAnsi="仿宋" w:eastAsia="仿宋" w:cs="仿宋"/>
                <w:bCs/>
                <w:szCs w:val="21"/>
              </w:rPr>
              <w:t>透明液体</w:t>
            </w:r>
          </w:p>
          <w:p>
            <w:pPr>
              <w:widowControl/>
              <w:spacing w:line="240" w:lineRule="exact"/>
              <w:rPr>
                <w:rFonts w:ascii="仿宋" w:hAnsi="仿宋" w:eastAsia="仿宋" w:cs="仿宋"/>
                <w:bCs/>
                <w:szCs w:val="21"/>
              </w:rPr>
            </w:pPr>
            <w:r>
              <w:rPr>
                <w:rFonts w:ascii="仿宋" w:hAnsi="仿宋" w:eastAsia="仿宋" w:cs="仿宋"/>
                <w:bCs/>
                <w:szCs w:val="21"/>
              </w:rPr>
              <w:t>熔点</w:t>
            </w:r>
            <w:r>
              <w:rPr>
                <w:rFonts w:hint="eastAsia" w:ascii="仿宋" w:hAnsi="仿宋" w:eastAsia="仿宋" w:cs="仿宋"/>
                <w:bCs/>
                <w:szCs w:val="21"/>
              </w:rPr>
              <w:t>：</w:t>
            </w:r>
            <w:r>
              <w:rPr>
                <w:rFonts w:ascii="仿宋" w:hAnsi="仿宋" w:eastAsia="仿宋" w:cs="仿宋"/>
                <w:bCs/>
                <w:szCs w:val="21"/>
              </w:rPr>
              <w:t>-</w:t>
            </w:r>
            <w:r>
              <w:rPr>
                <w:rFonts w:hint="eastAsia" w:ascii="仿宋" w:hAnsi="仿宋" w:eastAsia="仿宋" w:cs="仿宋"/>
                <w:bCs/>
                <w:szCs w:val="21"/>
              </w:rPr>
              <w:t>34℃</w:t>
            </w:r>
            <w:r>
              <w:rPr>
                <w:rFonts w:ascii="仿宋" w:hAnsi="仿宋" w:eastAsia="仿宋" w:cs="仿宋"/>
                <w:bCs/>
                <w:szCs w:val="21"/>
              </w:rPr>
              <w:t>，</w:t>
            </w:r>
          </w:p>
          <w:p>
            <w:pPr>
              <w:widowControl/>
              <w:spacing w:line="240" w:lineRule="exact"/>
              <w:rPr>
                <w:rFonts w:ascii="仿宋" w:hAnsi="仿宋" w:eastAsia="仿宋" w:cs="仿宋"/>
                <w:bCs/>
                <w:szCs w:val="21"/>
              </w:rPr>
            </w:pPr>
            <w:r>
              <w:rPr>
                <w:rFonts w:ascii="仿宋" w:hAnsi="仿宋" w:eastAsia="仿宋" w:cs="仿宋"/>
                <w:bCs/>
                <w:szCs w:val="21"/>
              </w:rPr>
              <w:t>沸点</w:t>
            </w:r>
            <w:r>
              <w:rPr>
                <w:rFonts w:hint="eastAsia" w:ascii="仿宋" w:hAnsi="仿宋" w:eastAsia="仿宋" w:cs="仿宋"/>
                <w:bCs/>
                <w:szCs w:val="21"/>
              </w:rPr>
              <w:t>：145.9℃</w:t>
            </w:r>
            <w:r>
              <w:rPr>
                <w:rFonts w:ascii="仿宋" w:hAnsi="仿宋" w:eastAsia="仿宋" w:cs="仿宋"/>
                <w:bCs/>
                <w:szCs w:val="21"/>
              </w:rPr>
              <w:t>，</w:t>
            </w:r>
          </w:p>
          <w:p>
            <w:pPr>
              <w:widowControl/>
              <w:spacing w:line="240" w:lineRule="exact"/>
              <w:rPr>
                <w:rFonts w:ascii="仿宋" w:hAnsi="仿宋" w:eastAsia="仿宋" w:cs="仿宋"/>
                <w:bCs/>
                <w:szCs w:val="21"/>
              </w:rPr>
            </w:pPr>
            <w:r>
              <w:rPr>
                <w:rFonts w:ascii="仿宋" w:hAnsi="仿宋" w:eastAsia="仿宋" w:cs="仿宋"/>
                <w:bCs/>
                <w:szCs w:val="21"/>
              </w:rPr>
              <w:t>相对密度（水=1）0.</w:t>
            </w:r>
            <w:r>
              <w:rPr>
                <w:rFonts w:hint="eastAsia" w:ascii="仿宋" w:hAnsi="仿宋" w:eastAsia="仿宋" w:cs="仿宋"/>
                <w:bCs/>
                <w:szCs w:val="21"/>
              </w:rPr>
              <w:t>86</w:t>
            </w:r>
          </w:p>
          <w:p>
            <w:pPr>
              <w:widowControl/>
              <w:spacing w:line="240" w:lineRule="exact"/>
              <w:rPr>
                <w:rFonts w:ascii="仿宋" w:hAnsi="仿宋" w:eastAsia="仿宋" w:cs="仿宋"/>
                <w:bCs/>
                <w:szCs w:val="21"/>
              </w:rPr>
            </w:pPr>
            <w:r>
              <w:rPr>
                <w:rFonts w:ascii="仿宋" w:hAnsi="仿宋" w:eastAsia="仿宋" w:cs="仿宋"/>
                <w:bCs/>
                <w:szCs w:val="21"/>
              </w:rPr>
              <w:t>闪点</w:t>
            </w:r>
            <w:r>
              <w:rPr>
                <w:rFonts w:hint="eastAsia" w:ascii="仿宋" w:hAnsi="仿宋" w:eastAsia="仿宋" w:cs="仿宋"/>
                <w:bCs/>
                <w:szCs w:val="21"/>
              </w:rPr>
              <w:t>：</w:t>
            </w:r>
            <w:r>
              <w:rPr>
                <w:rFonts w:ascii="仿宋" w:hAnsi="仿宋" w:eastAsia="仿宋" w:cs="仿宋"/>
                <w:bCs/>
                <w:szCs w:val="21"/>
              </w:rPr>
              <w:t>25</w:t>
            </w:r>
            <w:r>
              <w:rPr>
                <w:rFonts w:hint="eastAsia" w:ascii="仿宋" w:hAnsi="仿宋" w:eastAsia="仿宋" w:cs="仿宋"/>
                <w:bCs/>
                <w:szCs w:val="21"/>
              </w:rPr>
              <w:t>℃</w:t>
            </w:r>
          </w:p>
          <w:p>
            <w:pPr>
              <w:widowControl/>
              <w:spacing w:line="240" w:lineRule="exact"/>
              <w:rPr>
                <w:rFonts w:ascii="仿宋" w:hAnsi="仿宋" w:eastAsia="仿宋" w:cs="仿宋"/>
                <w:bCs/>
                <w:szCs w:val="21"/>
              </w:rPr>
            </w:pPr>
            <w:r>
              <w:rPr>
                <w:rFonts w:hint="eastAsia" w:ascii="仿宋" w:hAnsi="仿宋" w:eastAsia="仿宋" w:cs="仿宋"/>
                <w:bCs/>
                <w:szCs w:val="21"/>
              </w:rPr>
              <w:t>爆炸上限（%，v/v）：7</w:t>
            </w:r>
          </w:p>
          <w:p>
            <w:pPr>
              <w:widowControl/>
              <w:spacing w:line="240" w:lineRule="exact"/>
              <w:rPr>
                <w:rFonts w:ascii="仿宋" w:hAnsi="仿宋" w:eastAsia="仿宋" w:cs="仿宋"/>
                <w:bCs/>
                <w:szCs w:val="21"/>
              </w:rPr>
            </w:pPr>
            <w:r>
              <w:rPr>
                <w:rFonts w:hint="eastAsia" w:ascii="仿宋" w:hAnsi="仿宋" w:eastAsia="仿宋" w:cs="仿宋"/>
                <w:bCs/>
                <w:szCs w:val="21"/>
              </w:rPr>
              <w:t>爆炸下限（%，v/v）：1.1</w:t>
            </w:r>
          </w:p>
          <w:p>
            <w:pPr>
              <w:widowControl/>
              <w:spacing w:line="240" w:lineRule="exact"/>
              <w:rPr>
                <w:rFonts w:ascii="仿宋" w:hAnsi="仿宋" w:eastAsia="仿宋" w:cs="仿宋"/>
                <w:bCs/>
                <w:szCs w:val="21"/>
              </w:rPr>
            </w:pPr>
            <w:r>
              <w:rPr>
                <w:rFonts w:ascii="仿宋" w:hAnsi="仿宋" w:eastAsia="仿宋" w:cs="仿宋"/>
                <w:bCs/>
                <w:szCs w:val="21"/>
              </w:rPr>
              <w:t>溶解性</w:t>
            </w:r>
            <w:r>
              <w:rPr>
                <w:rFonts w:hint="eastAsia" w:ascii="仿宋" w:hAnsi="仿宋" w:eastAsia="仿宋" w:cs="仿宋"/>
                <w:bCs/>
                <w:szCs w:val="21"/>
              </w:rPr>
              <w:t>：</w:t>
            </w:r>
            <w:r>
              <w:rPr>
                <w:rFonts w:ascii="仿宋" w:hAnsi="仿宋" w:eastAsia="仿宋" w:cs="仿宋"/>
                <w:bCs/>
                <w:szCs w:val="21"/>
              </w:rPr>
              <w:t>能与乙醇、乙醚、三氯甲烷等多种有机溶剂相混溶，不溶于水</w:t>
            </w:r>
          </w:p>
        </w:tc>
        <w:tc>
          <w:tcPr>
            <w:tcW w:w="3229" w:type="dxa"/>
            <w:shd w:val="clear" w:color="auto" w:fill="auto"/>
            <w:vAlign w:val="center"/>
          </w:tcPr>
          <w:p>
            <w:pPr>
              <w:widowControl/>
              <w:spacing w:line="240" w:lineRule="exact"/>
              <w:jc w:val="center"/>
              <w:rPr>
                <w:rFonts w:ascii="仿宋" w:hAnsi="仿宋" w:eastAsia="仿宋" w:cs="仿宋"/>
                <w:bCs/>
                <w:szCs w:val="21"/>
              </w:rPr>
            </w:pPr>
            <w:r>
              <w:rPr>
                <w:rFonts w:ascii="仿宋" w:hAnsi="仿宋" w:eastAsia="仿宋" w:cs="仿宋"/>
                <w:bCs/>
                <w:szCs w:val="21"/>
              </w:rPr>
              <w:t>LD</w:t>
            </w:r>
            <w:r>
              <w:rPr>
                <w:rFonts w:ascii="仿宋" w:hAnsi="仿宋" w:eastAsia="仿宋" w:cs="仿宋"/>
                <w:bCs/>
                <w:szCs w:val="21"/>
                <w:vertAlign w:val="subscript"/>
              </w:rPr>
              <w:t>50</w:t>
            </w:r>
            <w:r>
              <w:rPr>
                <w:rFonts w:ascii="仿宋" w:hAnsi="仿宋" w:eastAsia="仿宋" w:cs="仿宋"/>
                <w:bCs/>
                <w:szCs w:val="21"/>
              </w:rPr>
              <w:t>：</w:t>
            </w:r>
            <w:r>
              <w:rPr>
                <w:rFonts w:hint="eastAsia" w:ascii="仿宋" w:hAnsi="仿宋" w:eastAsia="仿宋" w:cs="仿宋"/>
                <w:bCs/>
                <w:szCs w:val="21"/>
              </w:rPr>
              <w:t>43</w:t>
            </w:r>
            <w:r>
              <w:rPr>
                <w:rFonts w:ascii="仿宋" w:hAnsi="仿宋" w:eastAsia="仿宋" w:cs="仿宋"/>
                <w:bCs/>
                <w:szCs w:val="21"/>
              </w:rPr>
              <w:t>00mg/kg(大鼠经口)；</w:t>
            </w:r>
          </w:p>
          <w:p>
            <w:pPr>
              <w:widowControl/>
              <w:spacing w:line="240" w:lineRule="exact"/>
              <w:jc w:val="center"/>
              <w:rPr>
                <w:rFonts w:ascii="仿宋" w:hAnsi="仿宋" w:eastAsia="仿宋" w:cs="仿宋"/>
                <w:bCs/>
                <w:szCs w:val="21"/>
              </w:rPr>
            </w:pPr>
            <w:r>
              <w:rPr>
                <w:rFonts w:ascii="仿宋" w:hAnsi="仿宋" w:eastAsia="仿宋" w:cs="仿宋"/>
                <w:bCs/>
                <w:szCs w:val="21"/>
              </w:rPr>
              <w:t>LC</w:t>
            </w:r>
            <w:r>
              <w:rPr>
                <w:rFonts w:ascii="仿宋" w:hAnsi="仿宋" w:eastAsia="仿宋" w:cs="仿宋"/>
                <w:bCs/>
                <w:szCs w:val="21"/>
                <w:vertAlign w:val="subscript"/>
              </w:rPr>
              <w:t>50</w:t>
            </w:r>
            <w:r>
              <w:rPr>
                <w:rFonts w:ascii="仿宋" w:hAnsi="仿宋" w:eastAsia="仿宋" w:cs="仿宋"/>
                <w:bCs/>
                <w:szCs w:val="21"/>
              </w:rPr>
              <w:t>：</w:t>
            </w:r>
            <w:r>
              <w:rPr>
                <w:rFonts w:hint="eastAsia" w:ascii="仿宋" w:hAnsi="仿宋" w:eastAsia="仿宋" w:cs="仿宋"/>
                <w:bCs/>
                <w:szCs w:val="21"/>
              </w:rPr>
              <w:t>2119</w:t>
            </w:r>
            <w:r>
              <w:rPr>
                <w:rFonts w:ascii="仿宋" w:hAnsi="仿宋" w:eastAsia="仿宋" w:cs="仿宋"/>
                <w:bCs/>
                <w:szCs w:val="21"/>
              </w:rPr>
              <w:t>mg/kg（小鼠经口）</w:t>
            </w:r>
          </w:p>
        </w:tc>
        <w:tc>
          <w:tcPr>
            <w:tcW w:w="3008" w:type="dxa"/>
            <w:shd w:val="clear" w:color="auto" w:fill="auto"/>
            <w:vAlign w:val="center"/>
          </w:tcPr>
          <w:p>
            <w:pPr>
              <w:widowControl/>
              <w:spacing w:line="240" w:lineRule="exact"/>
              <w:jc w:val="center"/>
              <w:rPr>
                <w:rFonts w:ascii="仿宋" w:hAnsi="仿宋" w:eastAsia="仿宋" w:cs="仿宋"/>
                <w:bCs/>
                <w:szCs w:val="21"/>
              </w:rPr>
            </w:pPr>
            <w:r>
              <w:rPr>
                <w:rFonts w:ascii="仿宋" w:hAnsi="仿宋" w:eastAsia="仿宋" w:cs="仿宋"/>
                <w:bCs/>
                <w:szCs w:val="21"/>
              </w:rPr>
              <w:t>可燃，遇明火、高热能燃烧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459"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乙醇</w:t>
            </w:r>
          </w:p>
        </w:tc>
        <w:tc>
          <w:tcPr>
            <w:tcW w:w="1513"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64-17-5</w:t>
            </w:r>
          </w:p>
        </w:tc>
        <w:tc>
          <w:tcPr>
            <w:tcW w:w="4678" w:type="dxa"/>
            <w:shd w:val="clear" w:color="auto" w:fill="auto"/>
            <w:vAlign w:val="center"/>
          </w:tcPr>
          <w:p>
            <w:pPr>
              <w:widowControl/>
              <w:spacing w:line="240" w:lineRule="exact"/>
              <w:rPr>
                <w:rFonts w:ascii="仿宋" w:hAnsi="仿宋" w:eastAsia="仿宋" w:cs="仿宋"/>
                <w:bCs/>
                <w:szCs w:val="21"/>
              </w:rPr>
            </w:pPr>
            <w:r>
              <w:rPr>
                <w:rFonts w:hint="eastAsia" w:ascii="仿宋" w:hAnsi="仿宋" w:eastAsia="仿宋" w:cs="仿宋"/>
                <w:bCs/>
                <w:szCs w:val="21"/>
              </w:rPr>
              <w:t>分子式：</w:t>
            </w:r>
            <w:r>
              <w:rPr>
                <w:rFonts w:ascii="仿宋" w:hAnsi="仿宋" w:eastAsia="仿宋" w:cs="仿宋"/>
                <w:bCs/>
                <w:szCs w:val="21"/>
              </w:rPr>
              <w:t>C</w:t>
            </w:r>
            <w:r>
              <w:rPr>
                <w:rFonts w:hint="eastAsia" w:ascii="仿宋" w:hAnsi="仿宋" w:eastAsia="仿宋" w:cs="仿宋"/>
                <w:bCs/>
                <w:szCs w:val="21"/>
                <w:vertAlign w:val="subscript"/>
              </w:rPr>
              <w:t>2</w:t>
            </w:r>
            <w:r>
              <w:rPr>
                <w:rFonts w:ascii="仿宋" w:hAnsi="仿宋" w:eastAsia="仿宋" w:cs="仿宋"/>
                <w:bCs/>
                <w:szCs w:val="21"/>
              </w:rPr>
              <w:t>H</w:t>
            </w:r>
            <w:r>
              <w:rPr>
                <w:rFonts w:hint="eastAsia" w:ascii="仿宋" w:hAnsi="仿宋" w:eastAsia="仿宋" w:cs="仿宋"/>
                <w:bCs/>
                <w:szCs w:val="21"/>
                <w:vertAlign w:val="subscript"/>
              </w:rPr>
              <w:t>6</w:t>
            </w:r>
            <w:r>
              <w:rPr>
                <w:rFonts w:hint="eastAsia" w:ascii="仿宋" w:hAnsi="仿宋" w:eastAsia="仿宋" w:cs="仿宋"/>
                <w:bCs/>
                <w:szCs w:val="21"/>
              </w:rPr>
              <w:t>O</w:t>
            </w:r>
          </w:p>
          <w:p>
            <w:pPr>
              <w:widowControl/>
              <w:spacing w:line="240" w:lineRule="exact"/>
              <w:rPr>
                <w:rFonts w:ascii="仿宋" w:hAnsi="仿宋" w:eastAsia="仿宋" w:cs="仿宋"/>
                <w:bCs/>
                <w:szCs w:val="21"/>
              </w:rPr>
            </w:pPr>
            <w:r>
              <w:rPr>
                <w:rFonts w:ascii="仿宋" w:hAnsi="仿宋" w:eastAsia="仿宋" w:cs="仿宋"/>
                <w:bCs/>
                <w:szCs w:val="21"/>
              </w:rPr>
              <w:t>分子量</w:t>
            </w:r>
            <w:r>
              <w:rPr>
                <w:rFonts w:hint="eastAsia" w:ascii="仿宋" w:hAnsi="仿宋" w:eastAsia="仿宋" w:cs="仿宋"/>
                <w:bCs/>
                <w:szCs w:val="21"/>
              </w:rPr>
              <w:t>：46.068</w:t>
            </w:r>
          </w:p>
          <w:p>
            <w:pPr>
              <w:widowControl/>
              <w:spacing w:line="240" w:lineRule="exact"/>
              <w:rPr>
                <w:rFonts w:ascii="仿宋" w:hAnsi="仿宋" w:eastAsia="仿宋" w:cs="仿宋"/>
                <w:bCs/>
                <w:szCs w:val="21"/>
              </w:rPr>
            </w:pPr>
            <w:r>
              <w:rPr>
                <w:rFonts w:ascii="仿宋" w:hAnsi="仿宋" w:eastAsia="仿宋" w:cs="仿宋"/>
                <w:bCs/>
                <w:szCs w:val="21"/>
              </w:rPr>
              <w:t>性状</w:t>
            </w:r>
            <w:r>
              <w:rPr>
                <w:rFonts w:hint="eastAsia" w:ascii="仿宋" w:hAnsi="仿宋" w:eastAsia="仿宋" w:cs="仿宋"/>
                <w:bCs/>
                <w:szCs w:val="21"/>
              </w:rPr>
              <w:t>：</w:t>
            </w:r>
            <w:r>
              <w:rPr>
                <w:rFonts w:ascii="仿宋" w:hAnsi="仿宋" w:eastAsia="仿宋" w:cs="仿宋"/>
                <w:bCs/>
                <w:szCs w:val="21"/>
              </w:rPr>
              <w:t>无色</w:t>
            </w:r>
            <w:r>
              <w:rPr>
                <w:rFonts w:hint="eastAsia" w:ascii="仿宋" w:hAnsi="仿宋" w:eastAsia="仿宋" w:cs="仿宋"/>
                <w:bCs/>
                <w:szCs w:val="21"/>
              </w:rPr>
              <w:t>透明液体</w:t>
            </w:r>
          </w:p>
          <w:p>
            <w:pPr>
              <w:widowControl/>
              <w:spacing w:line="240" w:lineRule="exact"/>
              <w:rPr>
                <w:rFonts w:ascii="仿宋" w:hAnsi="仿宋" w:eastAsia="仿宋" w:cs="仿宋"/>
                <w:bCs/>
                <w:szCs w:val="21"/>
              </w:rPr>
            </w:pPr>
            <w:r>
              <w:rPr>
                <w:rFonts w:ascii="仿宋" w:hAnsi="仿宋" w:eastAsia="仿宋" w:cs="仿宋"/>
                <w:bCs/>
                <w:szCs w:val="21"/>
              </w:rPr>
              <w:t>熔点</w:t>
            </w:r>
            <w:r>
              <w:rPr>
                <w:rFonts w:hint="eastAsia" w:ascii="仿宋" w:hAnsi="仿宋" w:eastAsia="仿宋" w:cs="仿宋"/>
                <w:bCs/>
                <w:szCs w:val="21"/>
              </w:rPr>
              <w:t>：-114℃</w:t>
            </w:r>
          </w:p>
          <w:p>
            <w:pPr>
              <w:widowControl/>
              <w:spacing w:line="240" w:lineRule="exact"/>
              <w:rPr>
                <w:rFonts w:ascii="仿宋" w:hAnsi="仿宋" w:eastAsia="仿宋" w:cs="仿宋"/>
                <w:bCs/>
                <w:szCs w:val="21"/>
              </w:rPr>
            </w:pPr>
            <w:r>
              <w:rPr>
                <w:rFonts w:ascii="仿宋" w:hAnsi="仿宋" w:eastAsia="仿宋" w:cs="仿宋"/>
                <w:bCs/>
                <w:szCs w:val="21"/>
              </w:rPr>
              <w:t>沸点</w:t>
            </w:r>
            <w:r>
              <w:rPr>
                <w:rFonts w:hint="eastAsia" w:ascii="仿宋" w:hAnsi="仿宋" w:eastAsia="仿宋" w:cs="仿宋"/>
                <w:bCs/>
                <w:szCs w:val="21"/>
              </w:rPr>
              <w:t>：72.6℃</w:t>
            </w:r>
          </w:p>
          <w:p>
            <w:pPr>
              <w:widowControl/>
              <w:spacing w:line="240" w:lineRule="exact"/>
              <w:rPr>
                <w:rFonts w:ascii="仿宋" w:hAnsi="仿宋" w:eastAsia="仿宋" w:cs="仿宋"/>
                <w:bCs/>
                <w:szCs w:val="21"/>
              </w:rPr>
            </w:pPr>
            <w:r>
              <w:rPr>
                <w:rFonts w:ascii="仿宋" w:hAnsi="仿宋" w:eastAsia="仿宋" w:cs="仿宋"/>
                <w:bCs/>
                <w:szCs w:val="21"/>
              </w:rPr>
              <w:t>相对密度（水=1）0.</w:t>
            </w:r>
            <w:r>
              <w:rPr>
                <w:rFonts w:hint="eastAsia" w:ascii="仿宋" w:hAnsi="仿宋" w:eastAsia="仿宋" w:cs="仿宋"/>
                <w:bCs/>
                <w:szCs w:val="21"/>
              </w:rPr>
              <w:t>79</w:t>
            </w:r>
          </w:p>
          <w:p>
            <w:pPr>
              <w:widowControl/>
              <w:spacing w:line="240" w:lineRule="exact"/>
              <w:rPr>
                <w:rFonts w:ascii="仿宋" w:hAnsi="仿宋" w:eastAsia="仿宋" w:cs="仿宋"/>
                <w:bCs/>
                <w:szCs w:val="21"/>
              </w:rPr>
            </w:pPr>
            <w:r>
              <w:rPr>
                <w:rFonts w:ascii="仿宋" w:hAnsi="仿宋" w:eastAsia="仿宋" w:cs="仿宋"/>
                <w:bCs/>
                <w:szCs w:val="21"/>
              </w:rPr>
              <w:t>闪点</w:t>
            </w:r>
            <w:r>
              <w:rPr>
                <w:rFonts w:hint="eastAsia" w:ascii="仿宋" w:hAnsi="仿宋" w:eastAsia="仿宋" w:cs="仿宋"/>
                <w:bCs/>
                <w:szCs w:val="21"/>
              </w:rPr>
              <w:t>：13℃</w:t>
            </w:r>
          </w:p>
          <w:p>
            <w:pPr>
              <w:widowControl/>
              <w:spacing w:line="240" w:lineRule="exact"/>
              <w:rPr>
                <w:rFonts w:ascii="仿宋" w:hAnsi="仿宋" w:eastAsia="仿宋" w:cs="仿宋"/>
                <w:bCs/>
                <w:szCs w:val="21"/>
              </w:rPr>
            </w:pPr>
            <w:r>
              <w:rPr>
                <w:rFonts w:hint="eastAsia" w:ascii="仿宋" w:hAnsi="仿宋" w:eastAsia="仿宋" w:cs="仿宋"/>
                <w:bCs/>
                <w:szCs w:val="21"/>
              </w:rPr>
              <w:t>爆炸上限（%，v/v）：19.0</w:t>
            </w:r>
          </w:p>
          <w:p>
            <w:pPr>
              <w:widowControl/>
              <w:spacing w:line="240" w:lineRule="exact"/>
              <w:rPr>
                <w:rFonts w:ascii="仿宋" w:hAnsi="仿宋" w:eastAsia="仿宋" w:cs="仿宋"/>
                <w:bCs/>
                <w:szCs w:val="21"/>
              </w:rPr>
            </w:pPr>
            <w:r>
              <w:rPr>
                <w:rFonts w:hint="eastAsia" w:ascii="仿宋" w:hAnsi="仿宋" w:eastAsia="仿宋" w:cs="仿宋"/>
                <w:bCs/>
                <w:szCs w:val="21"/>
              </w:rPr>
              <w:t>爆炸下限（%，v/v）：3.3</w:t>
            </w:r>
          </w:p>
          <w:p>
            <w:pPr>
              <w:widowControl/>
              <w:spacing w:line="240" w:lineRule="exact"/>
              <w:jc w:val="left"/>
              <w:rPr>
                <w:rFonts w:ascii="仿宋" w:hAnsi="仿宋" w:eastAsia="仿宋" w:cs="仿宋"/>
                <w:bCs/>
                <w:szCs w:val="21"/>
              </w:rPr>
            </w:pPr>
            <w:r>
              <w:rPr>
                <w:rFonts w:ascii="仿宋" w:hAnsi="仿宋" w:eastAsia="仿宋" w:cs="仿宋"/>
                <w:bCs/>
                <w:szCs w:val="21"/>
              </w:rPr>
              <w:t>溶解性</w:t>
            </w:r>
            <w:r>
              <w:rPr>
                <w:rFonts w:hint="eastAsia" w:ascii="仿宋" w:hAnsi="仿宋" w:eastAsia="仿宋" w:cs="仿宋"/>
                <w:bCs/>
                <w:szCs w:val="21"/>
              </w:rPr>
              <w:t>：</w:t>
            </w:r>
            <w:r>
              <w:rPr>
                <w:rFonts w:ascii="仿宋" w:hAnsi="仿宋" w:eastAsia="仿宋" w:cs="仿宋"/>
                <w:bCs/>
                <w:szCs w:val="21"/>
              </w:rPr>
              <w:t>与水混溶，可混溶于乙醚、氯仿、甘油、甲醇等多数有机溶剂</w:t>
            </w:r>
          </w:p>
        </w:tc>
        <w:tc>
          <w:tcPr>
            <w:tcW w:w="3229" w:type="dxa"/>
            <w:shd w:val="clear" w:color="auto" w:fill="auto"/>
            <w:vAlign w:val="center"/>
          </w:tcPr>
          <w:p>
            <w:pPr>
              <w:widowControl/>
              <w:spacing w:line="240" w:lineRule="exact"/>
              <w:jc w:val="center"/>
              <w:rPr>
                <w:rFonts w:ascii="仿宋" w:hAnsi="仿宋" w:eastAsia="仿宋" w:cs="仿宋"/>
                <w:bCs/>
                <w:szCs w:val="21"/>
              </w:rPr>
            </w:pPr>
            <w:r>
              <w:rPr>
                <w:rFonts w:ascii="仿宋" w:hAnsi="仿宋" w:eastAsia="仿宋" w:cs="仿宋"/>
                <w:bCs/>
                <w:szCs w:val="21"/>
              </w:rPr>
              <w:t>LD</w:t>
            </w:r>
            <w:r>
              <w:rPr>
                <w:rFonts w:ascii="仿宋" w:hAnsi="仿宋" w:eastAsia="仿宋" w:cs="仿宋"/>
                <w:bCs/>
                <w:szCs w:val="21"/>
                <w:vertAlign w:val="subscript"/>
              </w:rPr>
              <w:t>50</w:t>
            </w:r>
            <w:r>
              <w:rPr>
                <w:rFonts w:ascii="仿宋" w:hAnsi="仿宋" w:eastAsia="仿宋" w:cs="仿宋"/>
                <w:bCs/>
                <w:szCs w:val="21"/>
              </w:rPr>
              <w:t>：</w:t>
            </w:r>
            <w:r>
              <w:rPr>
                <w:rFonts w:hint="eastAsia" w:ascii="仿宋" w:hAnsi="仿宋" w:eastAsia="仿宋" w:cs="仿宋"/>
                <w:bCs/>
                <w:szCs w:val="21"/>
              </w:rPr>
              <w:t>7060</w:t>
            </w:r>
            <w:r>
              <w:rPr>
                <w:rFonts w:ascii="仿宋" w:hAnsi="仿宋" w:eastAsia="仿宋" w:cs="仿宋"/>
                <w:bCs/>
                <w:szCs w:val="21"/>
              </w:rPr>
              <w:t>mg/kg(</w:t>
            </w:r>
            <w:r>
              <w:rPr>
                <w:rFonts w:hint="eastAsia" w:ascii="仿宋" w:hAnsi="仿宋" w:eastAsia="仿宋" w:cs="仿宋"/>
                <w:bCs/>
                <w:szCs w:val="21"/>
              </w:rPr>
              <w:t>兔</w:t>
            </w:r>
            <w:r>
              <w:rPr>
                <w:rFonts w:ascii="仿宋" w:hAnsi="仿宋" w:eastAsia="仿宋" w:cs="仿宋"/>
                <w:bCs/>
                <w:szCs w:val="21"/>
              </w:rPr>
              <w:t>经口)；</w:t>
            </w:r>
          </w:p>
          <w:p>
            <w:pPr>
              <w:widowControl/>
              <w:spacing w:line="240" w:lineRule="exact"/>
              <w:jc w:val="center"/>
              <w:rPr>
                <w:rFonts w:ascii="仿宋" w:hAnsi="仿宋" w:eastAsia="仿宋" w:cs="仿宋"/>
                <w:bCs/>
                <w:szCs w:val="21"/>
              </w:rPr>
            </w:pPr>
            <w:r>
              <w:rPr>
                <w:rFonts w:ascii="仿宋" w:hAnsi="仿宋" w:eastAsia="仿宋" w:cs="仿宋"/>
                <w:bCs/>
                <w:szCs w:val="21"/>
              </w:rPr>
              <w:t>LC</w:t>
            </w:r>
            <w:r>
              <w:rPr>
                <w:rFonts w:ascii="仿宋" w:hAnsi="仿宋" w:eastAsia="仿宋" w:cs="仿宋"/>
                <w:bCs/>
                <w:szCs w:val="21"/>
                <w:vertAlign w:val="subscript"/>
              </w:rPr>
              <w:t>50</w:t>
            </w:r>
            <w:r>
              <w:rPr>
                <w:rFonts w:ascii="仿宋" w:hAnsi="仿宋" w:eastAsia="仿宋" w:cs="仿宋"/>
                <w:bCs/>
                <w:szCs w:val="21"/>
              </w:rPr>
              <w:t>：</w:t>
            </w:r>
            <w:r>
              <w:rPr>
                <w:rFonts w:hint="eastAsia" w:ascii="仿宋" w:hAnsi="仿宋" w:eastAsia="仿宋" w:cs="仿宋"/>
                <w:bCs/>
                <w:szCs w:val="21"/>
              </w:rPr>
              <w:t>37620mg/m</w:t>
            </w:r>
            <w:r>
              <w:rPr>
                <w:rFonts w:hint="eastAsia" w:ascii="仿宋" w:hAnsi="仿宋" w:eastAsia="仿宋" w:cs="仿宋"/>
                <w:bCs/>
                <w:szCs w:val="21"/>
                <w:vertAlign w:val="superscript"/>
              </w:rPr>
              <w:t>3</w:t>
            </w:r>
            <w:r>
              <w:rPr>
                <w:rFonts w:ascii="仿宋" w:hAnsi="仿宋" w:eastAsia="仿宋" w:cs="仿宋"/>
                <w:bCs/>
                <w:szCs w:val="21"/>
              </w:rPr>
              <w:t>（</w:t>
            </w:r>
            <w:r>
              <w:rPr>
                <w:rFonts w:hint="eastAsia" w:ascii="仿宋" w:hAnsi="仿宋" w:eastAsia="仿宋" w:cs="仿宋"/>
                <w:bCs/>
                <w:szCs w:val="21"/>
              </w:rPr>
              <w:t>大</w:t>
            </w:r>
            <w:r>
              <w:rPr>
                <w:rFonts w:ascii="仿宋" w:hAnsi="仿宋" w:eastAsia="仿宋" w:cs="仿宋"/>
                <w:bCs/>
                <w:szCs w:val="21"/>
              </w:rPr>
              <w:t>鼠</w:t>
            </w:r>
            <w:r>
              <w:rPr>
                <w:rFonts w:hint="eastAsia" w:ascii="仿宋" w:hAnsi="仿宋" w:eastAsia="仿宋" w:cs="仿宋"/>
                <w:bCs/>
                <w:szCs w:val="21"/>
              </w:rPr>
              <w:t>吸入</w:t>
            </w:r>
            <w:r>
              <w:rPr>
                <w:rFonts w:ascii="仿宋" w:hAnsi="仿宋" w:eastAsia="仿宋" w:cs="仿宋"/>
                <w:bCs/>
                <w:szCs w:val="21"/>
              </w:rPr>
              <w:t>）</w:t>
            </w:r>
          </w:p>
        </w:tc>
        <w:tc>
          <w:tcPr>
            <w:tcW w:w="3008" w:type="dxa"/>
            <w:shd w:val="clear" w:color="auto" w:fill="auto"/>
            <w:vAlign w:val="center"/>
          </w:tcPr>
          <w:p>
            <w:pPr>
              <w:widowControl/>
              <w:spacing w:line="240" w:lineRule="exact"/>
              <w:jc w:val="center"/>
              <w:rPr>
                <w:rFonts w:ascii="仿宋" w:hAnsi="仿宋" w:eastAsia="仿宋" w:cs="仿宋"/>
                <w:bCs/>
                <w:szCs w:val="21"/>
              </w:rPr>
            </w:pPr>
            <w:r>
              <w:rPr>
                <w:rFonts w:ascii="仿宋" w:hAnsi="仿宋" w:eastAsia="仿宋" w:cs="仿宋"/>
                <w:bCs/>
                <w:szCs w:val="21"/>
              </w:rPr>
              <w:t>易燃，其蒸气与空气可形成爆炸性混合物，遇明火、高热能引起燃烧爆炸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459"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PET</w:t>
            </w:r>
          </w:p>
          <w:p>
            <w:pPr>
              <w:spacing w:line="240" w:lineRule="exact"/>
              <w:jc w:val="center"/>
              <w:rPr>
                <w:rFonts w:ascii="仿宋" w:hAnsi="仿宋" w:eastAsia="仿宋" w:cs="仿宋"/>
                <w:bCs/>
                <w:szCs w:val="21"/>
              </w:rPr>
            </w:pPr>
            <w:r>
              <w:rPr>
                <w:rFonts w:hint="eastAsia" w:ascii="仿宋" w:hAnsi="仿宋" w:eastAsia="仿宋" w:cs="仿宋"/>
                <w:bCs/>
                <w:szCs w:val="21"/>
              </w:rPr>
              <w:t>(</w:t>
            </w:r>
            <w:r>
              <w:rPr>
                <w:rFonts w:ascii="仿宋" w:hAnsi="仿宋" w:eastAsia="仿宋" w:cs="仿宋"/>
                <w:bCs/>
                <w:szCs w:val="21"/>
              </w:rPr>
              <w:t>聚对苯二甲酸乙二酯</w:t>
            </w:r>
            <w:r>
              <w:rPr>
                <w:rFonts w:hint="eastAsia" w:ascii="仿宋" w:hAnsi="仿宋" w:eastAsia="仿宋" w:cs="仿宋"/>
                <w:bCs/>
                <w:szCs w:val="21"/>
              </w:rPr>
              <w:t>)</w:t>
            </w:r>
          </w:p>
        </w:tc>
        <w:tc>
          <w:tcPr>
            <w:tcW w:w="1513"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25038-59-9</w:t>
            </w:r>
          </w:p>
        </w:tc>
        <w:tc>
          <w:tcPr>
            <w:tcW w:w="4678" w:type="dxa"/>
            <w:shd w:val="clear" w:color="auto" w:fill="auto"/>
            <w:vAlign w:val="center"/>
          </w:tcPr>
          <w:p>
            <w:pPr>
              <w:widowControl/>
              <w:spacing w:line="240" w:lineRule="exact"/>
              <w:rPr>
                <w:rFonts w:ascii="仿宋" w:hAnsi="仿宋" w:eastAsia="仿宋" w:cs="仿宋"/>
                <w:bCs/>
                <w:szCs w:val="21"/>
              </w:rPr>
            </w:pPr>
            <w:r>
              <w:rPr>
                <w:rFonts w:hint="eastAsia" w:ascii="仿宋" w:hAnsi="仿宋" w:eastAsia="仿宋" w:cs="仿宋"/>
                <w:bCs/>
                <w:szCs w:val="21"/>
              </w:rPr>
              <w:t>分子式：</w:t>
            </w:r>
            <w:r>
              <w:rPr>
                <w:rFonts w:ascii="仿宋" w:hAnsi="仿宋" w:eastAsia="仿宋" w:cs="仿宋"/>
                <w:bCs/>
                <w:szCs w:val="21"/>
              </w:rPr>
              <w:t>(C</w:t>
            </w:r>
            <w:r>
              <w:rPr>
                <w:rFonts w:ascii="仿宋" w:hAnsi="仿宋" w:eastAsia="仿宋" w:cs="仿宋"/>
                <w:bCs/>
                <w:szCs w:val="21"/>
                <w:vertAlign w:val="subscript"/>
              </w:rPr>
              <w:t>10</w:t>
            </w:r>
            <w:r>
              <w:rPr>
                <w:rFonts w:ascii="仿宋" w:hAnsi="仿宋" w:eastAsia="仿宋" w:cs="仿宋"/>
                <w:bCs/>
                <w:szCs w:val="21"/>
              </w:rPr>
              <w:t>H</w:t>
            </w:r>
            <w:r>
              <w:rPr>
                <w:rFonts w:ascii="仿宋" w:hAnsi="仿宋" w:eastAsia="仿宋" w:cs="仿宋"/>
                <w:bCs/>
                <w:szCs w:val="21"/>
                <w:vertAlign w:val="subscript"/>
              </w:rPr>
              <w:t>8</w:t>
            </w:r>
            <w:r>
              <w:rPr>
                <w:rFonts w:ascii="仿宋" w:hAnsi="仿宋" w:eastAsia="仿宋" w:cs="仿宋"/>
                <w:bCs/>
                <w:szCs w:val="21"/>
              </w:rPr>
              <w:t>O</w:t>
            </w:r>
            <w:r>
              <w:rPr>
                <w:rFonts w:ascii="仿宋" w:hAnsi="仿宋" w:eastAsia="仿宋" w:cs="仿宋"/>
                <w:bCs/>
                <w:szCs w:val="21"/>
                <w:vertAlign w:val="subscript"/>
              </w:rPr>
              <w:t>4</w:t>
            </w:r>
            <w:r>
              <w:rPr>
                <w:rFonts w:ascii="仿宋" w:hAnsi="仿宋" w:eastAsia="仿宋" w:cs="仿宋"/>
                <w:bCs/>
                <w:szCs w:val="21"/>
              </w:rPr>
              <w:t>)n</w:t>
            </w:r>
          </w:p>
          <w:p>
            <w:pPr>
              <w:widowControl/>
              <w:spacing w:line="240" w:lineRule="exact"/>
              <w:rPr>
                <w:rFonts w:ascii="仿宋" w:hAnsi="仿宋" w:eastAsia="仿宋" w:cs="仿宋"/>
                <w:bCs/>
                <w:szCs w:val="21"/>
              </w:rPr>
            </w:pPr>
            <w:r>
              <w:rPr>
                <w:rFonts w:ascii="仿宋" w:hAnsi="仿宋" w:eastAsia="仿宋" w:cs="仿宋"/>
                <w:bCs/>
                <w:szCs w:val="21"/>
              </w:rPr>
              <w:t>分子量</w:t>
            </w:r>
            <w:r>
              <w:rPr>
                <w:rFonts w:hint="eastAsia" w:ascii="仿宋" w:hAnsi="仿宋" w:eastAsia="仿宋" w:cs="仿宋"/>
                <w:bCs/>
                <w:szCs w:val="21"/>
              </w:rPr>
              <w:t>：/</w:t>
            </w:r>
          </w:p>
          <w:p>
            <w:pPr>
              <w:widowControl/>
              <w:spacing w:line="240" w:lineRule="exact"/>
              <w:rPr>
                <w:rFonts w:ascii="仿宋" w:hAnsi="仿宋" w:eastAsia="仿宋" w:cs="仿宋"/>
                <w:bCs/>
                <w:szCs w:val="21"/>
              </w:rPr>
            </w:pPr>
            <w:r>
              <w:rPr>
                <w:rFonts w:ascii="仿宋" w:hAnsi="仿宋" w:eastAsia="仿宋" w:cs="仿宋"/>
                <w:bCs/>
                <w:szCs w:val="21"/>
              </w:rPr>
              <w:t>性状</w:t>
            </w:r>
            <w:r>
              <w:rPr>
                <w:rFonts w:hint="eastAsia" w:ascii="仿宋" w:hAnsi="仿宋" w:eastAsia="仿宋" w:cs="仿宋"/>
                <w:bCs/>
                <w:szCs w:val="21"/>
              </w:rPr>
              <w:t>：颗粒状</w:t>
            </w:r>
          </w:p>
          <w:p>
            <w:pPr>
              <w:widowControl/>
              <w:spacing w:line="240" w:lineRule="exact"/>
              <w:rPr>
                <w:rFonts w:ascii="仿宋" w:hAnsi="仿宋" w:eastAsia="仿宋" w:cs="仿宋"/>
                <w:bCs/>
                <w:szCs w:val="21"/>
              </w:rPr>
            </w:pPr>
            <w:r>
              <w:rPr>
                <w:rFonts w:ascii="仿宋" w:hAnsi="仿宋" w:eastAsia="仿宋" w:cs="仿宋"/>
                <w:bCs/>
                <w:szCs w:val="21"/>
              </w:rPr>
              <w:t>熔点</w:t>
            </w:r>
            <w:r>
              <w:rPr>
                <w:rFonts w:hint="eastAsia" w:ascii="仿宋" w:hAnsi="仿宋" w:eastAsia="仿宋" w:cs="仿宋"/>
                <w:bCs/>
                <w:szCs w:val="21"/>
              </w:rPr>
              <w:t>：250℃</w:t>
            </w:r>
          </w:p>
          <w:p>
            <w:pPr>
              <w:widowControl/>
              <w:spacing w:line="240" w:lineRule="exact"/>
              <w:rPr>
                <w:rFonts w:ascii="仿宋" w:hAnsi="仿宋" w:eastAsia="仿宋" w:cs="仿宋"/>
                <w:bCs/>
                <w:szCs w:val="21"/>
              </w:rPr>
            </w:pPr>
            <w:r>
              <w:rPr>
                <w:rFonts w:ascii="仿宋" w:hAnsi="仿宋" w:eastAsia="仿宋" w:cs="仿宋"/>
                <w:bCs/>
                <w:szCs w:val="21"/>
              </w:rPr>
              <w:t>沸点</w:t>
            </w:r>
            <w:r>
              <w:rPr>
                <w:rFonts w:hint="eastAsia" w:ascii="仿宋" w:hAnsi="仿宋" w:eastAsia="仿宋" w:cs="仿宋"/>
                <w:bCs/>
                <w:szCs w:val="21"/>
              </w:rPr>
              <w:t>：/</w:t>
            </w:r>
          </w:p>
          <w:p>
            <w:pPr>
              <w:widowControl/>
              <w:spacing w:line="240" w:lineRule="exact"/>
              <w:rPr>
                <w:rFonts w:ascii="仿宋" w:hAnsi="仿宋" w:eastAsia="仿宋" w:cs="仿宋"/>
                <w:bCs/>
                <w:szCs w:val="21"/>
              </w:rPr>
            </w:pPr>
            <w:r>
              <w:rPr>
                <w:rFonts w:ascii="仿宋" w:hAnsi="仿宋" w:eastAsia="仿宋" w:cs="仿宋"/>
                <w:bCs/>
                <w:szCs w:val="21"/>
              </w:rPr>
              <w:t>相对密度（水=1）</w:t>
            </w:r>
            <w:r>
              <w:rPr>
                <w:rFonts w:hint="eastAsia" w:ascii="仿宋" w:hAnsi="仿宋" w:eastAsia="仿宋" w:cs="仿宋"/>
                <w:bCs/>
                <w:szCs w:val="21"/>
              </w:rPr>
              <w:t>:1.68</w:t>
            </w:r>
          </w:p>
          <w:p>
            <w:pPr>
              <w:widowControl/>
              <w:spacing w:line="240" w:lineRule="exact"/>
              <w:rPr>
                <w:rFonts w:ascii="仿宋" w:hAnsi="仿宋" w:eastAsia="仿宋" w:cs="仿宋"/>
                <w:bCs/>
                <w:szCs w:val="21"/>
              </w:rPr>
            </w:pPr>
            <w:r>
              <w:rPr>
                <w:rFonts w:ascii="仿宋" w:hAnsi="仿宋" w:eastAsia="仿宋" w:cs="仿宋"/>
                <w:bCs/>
                <w:szCs w:val="21"/>
              </w:rPr>
              <w:t>闪点</w:t>
            </w:r>
            <w:r>
              <w:rPr>
                <w:rFonts w:hint="eastAsia" w:ascii="仿宋" w:hAnsi="仿宋" w:eastAsia="仿宋" w:cs="仿宋"/>
                <w:bCs/>
                <w:szCs w:val="21"/>
              </w:rPr>
              <w:t>：/</w:t>
            </w:r>
          </w:p>
          <w:p>
            <w:pPr>
              <w:widowControl/>
              <w:spacing w:line="240" w:lineRule="exact"/>
              <w:rPr>
                <w:rFonts w:ascii="仿宋" w:hAnsi="仿宋" w:eastAsia="仿宋" w:cs="仿宋"/>
                <w:bCs/>
                <w:szCs w:val="21"/>
              </w:rPr>
            </w:pPr>
            <w:r>
              <w:rPr>
                <w:rFonts w:hint="eastAsia" w:ascii="仿宋" w:hAnsi="仿宋" w:eastAsia="仿宋" w:cs="仿宋"/>
                <w:bCs/>
                <w:szCs w:val="21"/>
              </w:rPr>
              <w:t>爆炸上限（%，v/v）：/</w:t>
            </w:r>
          </w:p>
          <w:p>
            <w:pPr>
              <w:widowControl/>
              <w:spacing w:line="240" w:lineRule="exact"/>
              <w:rPr>
                <w:rFonts w:ascii="仿宋" w:hAnsi="仿宋" w:eastAsia="仿宋" w:cs="仿宋"/>
                <w:bCs/>
                <w:szCs w:val="21"/>
              </w:rPr>
            </w:pPr>
            <w:r>
              <w:rPr>
                <w:rFonts w:hint="eastAsia" w:ascii="仿宋" w:hAnsi="仿宋" w:eastAsia="仿宋" w:cs="仿宋"/>
                <w:bCs/>
                <w:szCs w:val="21"/>
              </w:rPr>
              <w:t>爆炸下限（%，v/v）：/</w:t>
            </w:r>
          </w:p>
          <w:p>
            <w:pPr>
              <w:widowControl/>
              <w:spacing w:line="240" w:lineRule="exact"/>
              <w:rPr>
                <w:rFonts w:ascii="仿宋" w:hAnsi="仿宋" w:eastAsia="仿宋" w:cs="仿宋"/>
                <w:bCs/>
                <w:szCs w:val="21"/>
              </w:rPr>
            </w:pPr>
            <w:r>
              <w:rPr>
                <w:rFonts w:ascii="仿宋" w:hAnsi="仿宋" w:eastAsia="仿宋" w:cs="仿宋"/>
                <w:bCs/>
                <w:szCs w:val="21"/>
              </w:rPr>
              <w:t>溶解性</w:t>
            </w:r>
            <w:r>
              <w:rPr>
                <w:rFonts w:hint="eastAsia" w:ascii="仿宋" w:hAnsi="仿宋" w:eastAsia="仿宋" w:cs="仿宋"/>
                <w:bCs/>
                <w:szCs w:val="21"/>
              </w:rPr>
              <w:t>：/</w:t>
            </w:r>
          </w:p>
        </w:tc>
        <w:tc>
          <w:tcPr>
            <w:tcW w:w="3229" w:type="dxa"/>
            <w:shd w:val="clear" w:color="auto" w:fill="auto"/>
            <w:vAlign w:val="center"/>
          </w:tcPr>
          <w:p>
            <w:pPr>
              <w:widowControl/>
              <w:spacing w:line="240" w:lineRule="exact"/>
              <w:jc w:val="center"/>
              <w:rPr>
                <w:rFonts w:ascii="仿宋" w:hAnsi="仿宋" w:eastAsia="仿宋" w:cs="仿宋"/>
                <w:bCs/>
                <w:szCs w:val="21"/>
              </w:rPr>
            </w:pPr>
            <w:r>
              <w:rPr>
                <w:rFonts w:hint="eastAsia" w:ascii="仿宋" w:hAnsi="仿宋" w:eastAsia="仿宋" w:cs="仿宋"/>
                <w:bCs/>
                <w:szCs w:val="21"/>
              </w:rPr>
              <w:t>/</w:t>
            </w:r>
          </w:p>
        </w:tc>
        <w:tc>
          <w:tcPr>
            <w:tcW w:w="3008" w:type="dxa"/>
            <w:shd w:val="clear" w:color="auto" w:fill="auto"/>
            <w:vAlign w:val="center"/>
          </w:tcPr>
          <w:p>
            <w:pPr>
              <w:widowControl/>
              <w:spacing w:line="240" w:lineRule="exact"/>
              <w:jc w:val="center"/>
              <w:rPr>
                <w:rFonts w:ascii="仿宋" w:hAnsi="仿宋" w:eastAsia="仿宋" w:cs="仿宋"/>
                <w:bCs/>
                <w:szCs w:val="21"/>
              </w:rPr>
            </w:pPr>
            <w:r>
              <w:rPr>
                <w:rFonts w:hint="eastAsia" w:ascii="仿宋" w:hAnsi="仿宋" w:eastAsia="仿宋" w:cs="仿宋"/>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459"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PI</w:t>
            </w:r>
          </w:p>
          <w:p>
            <w:pPr>
              <w:spacing w:line="240" w:lineRule="exact"/>
              <w:jc w:val="center"/>
              <w:rPr>
                <w:rFonts w:ascii="仿宋" w:hAnsi="仿宋" w:eastAsia="仿宋" w:cs="仿宋"/>
                <w:bCs/>
                <w:szCs w:val="21"/>
              </w:rPr>
            </w:pPr>
            <w:r>
              <w:rPr>
                <w:rFonts w:hint="eastAsia" w:ascii="仿宋" w:hAnsi="仿宋" w:eastAsia="仿宋" w:cs="仿宋"/>
                <w:bCs/>
                <w:szCs w:val="21"/>
              </w:rPr>
              <w:t>(</w:t>
            </w:r>
            <w:r>
              <w:rPr>
                <w:rFonts w:ascii="仿宋" w:hAnsi="仿宋" w:eastAsia="仿宋" w:cs="仿宋"/>
                <w:bCs/>
                <w:szCs w:val="21"/>
              </w:rPr>
              <w:t>聚酰亚胺</w:t>
            </w:r>
            <w:r>
              <w:rPr>
                <w:rFonts w:hint="eastAsia" w:ascii="仿宋" w:hAnsi="仿宋" w:eastAsia="仿宋" w:cs="仿宋"/>
                <w:bCs/>
                <w:szCs w:val="21"/>
              </w:rPr>
              <w:t>)</w:t>
            </w:r>
          </w:p>
        </w:tc>
        <w:tc>
          <w:tcPr>
            <w:tcW w:w="1513"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62929-02-6</w:t>
            </w:r>
          </w:p>
        </w:tc>
        <w:tc>
          <w:tcPr>
            <w:tcW w:w="4678" w:type="dxa"/>
            <w:shd w:val="clear" w:color="auto" w:fill="auto"/>
            <w:vAlign w:val="center"/>
          </w:tcPr>
          <w:p>
            <w:pPr>
              <w:widowControl/>
              <w:spacing w:line="240" w:lineRule="exact"/>
              <w:rPr>
                <w:rFonts w:ascii="仿宋" w:hAnsi="仿宋" w:eastAsia="仿宋" w:cs="仿宋"/>
                <w:bCs/>
                <w:szCs w:val="21"/>
              </w:rPr>
            </w:pPr>
            <w:r>
              <w:rPr>
                <w:rFonts w:hint="eastAsia" w:ascii="仿宋" w:hAnsi="仿宋" w:eastAsia="仿宋" w:cs="仿宋"/>
                <w:bCs/>
                <w:szCs w:val="21"/>
              </w:rPr>
              <w:t>分子式：</w:t>
            </w:r>
            <w:r>
              <w:rPr>
                <w:rFonts w:ascii="仿宋" w:hAnsi="仿宋" w:eastAsia="仿宋" w:cs="仿宋"/>
                <w:bCs/>
                <w:szCs w:val="21"/>
              </w:rPr>
              <w:t>C</w:t>
            </w:r>
            <w:r>
              <w:rPr>
                <w:rFonts w:hint="eastAsia" w:ascii="仿宋" w:hAnsi="仿宋" w:eastAsia="仿宋" w:cs="仿宋"/>
                <w:bCs/>
                <w:szCs w:val="21"/>
                <w:vertAlign w:val="subscript"/>
              </w:rPr>
              <w:t>35</w:t>
            </w:r>
            <w:r>
              <w:rPr>
                <w:rFonts w:ascii="仿宋" w:hAnsi="仿宋" w:eastAsia="仿宋" w:cs="仿宋"/>
                <w:bCs/>
                <w:szCs w:val="21"/>
              </w:rPr>
              <w:t>H</w:t>
            </w:r>
            <w:r>
              <w:rPr>
                <w:rFonts w:hint="eastAsia" w:ascii="仿宋" w:hAnsi="仿宋" w:eastAsia="仿宋" w:cs="仿宋"/>
                <w:bCs/>
                <w:szCs w:val="21"/>
                <w:vertAlign w:val="subscript"/>
              </w:rPr>
              <w:t>2</w:t>
            </w:r>
            <w:r>
              <w:rPr>
                <w:rFonts w:ascii="仿宋" w:hAnsi="仿宋" w:eastAsia="仿宋" w:cs="仿宋"/>
                <w:bCs/>
                <w:szCs w:val="21"/>
                <w:vertAlign w:val="subscript"/>
              </w:rPr>
              <w:t>8</w:t>
            </w:r>
            <w:r>
              <w:rPr>
                <w:rFonts w:ascii="仿宋" w:hAnsi="仿宋" w:eastAsia="仿宋" w:cs="仿宋"/>
                <w:bCs/>
                <w:szCs w:val="21"/>
              </w:rPr>
              <w:t>O</w:t>
            </w:r>
            <w:r>
              <w:rPr>
                <w:rFonts w:ascii="仿宋" w:hAnsi="仿宋" w:eastAsia="仿宋" w:cs="仿宋"/>
                <w:bCs/>
                <w:szCs w:val="21"/>
                <w:vertAlign w:val="subscript"/>
              </w:rPr>
              <w:t>4</w:t>
            </w:r>
            <w:r>
              <w:rPr>
                <w:rFonts w:hint="eastAsia" w:ascii="仿宋" w:hAnsi="仿宋" w:eastAsia="仿宋" w:cs="仿宋"/>
                <w:bCs/>
                <w:szCs w:val="21"/>
              </w:rPr>
              <w:t>N</w:t>
            </w:r>
            <w:r>
              <w:rPr>
                <w:rFonts w:hint="eastAsia" w:ascii="仿宋" w:hAnsi="仿宋" w:eastAsia="仿宋" w:cs="仿宋"/>
                <w:bCs/>
                <w:szCs w:val="21"/>
                <w:vertAlign w:val="subscript"/>
              </w:rPr>
              <w:t>2</w:t>
            </w:r>
            <w:r>
              <w:rPr>
                <w:rFonts w:hint="eastAsia" w:ascii="仿宋" w:hAnsi="仿宋" w:eastAsia="仿宋" w:cs="仿宋"/>
                <w:bCs/>
                <w:szCs w:val="21"/>
              </w:rPr>
              <w:t>O</w:t>
            </w:r>
            <w:r>
              <w:rPr>
                <w:rFonts w:hint="eastAsia" w:ascii="仿宋" w:hAnsi="仿宋" w:eastAsia="仿宋" w:cs="仿宋"/>
                <w:bCs/>
                <w:szCs w:val="21"/>
                <w:vertAlign w:val="subscript"/>
              </w:rPr>
              <w:t>7</w:t>
            </w:r>
          </w:p>
          <w:p>
            <w:pPr>
              <w:widowControl/>
              <w:spacing w:line="240" w:lineRule="exact"/>
              <w:rPr>
                <w:rFonts w:ascii="仿宋" w:hAnsi="仿宋" w:eastAsia="仿宋" w:cs="仿宋"/>
                <w:bCs/>
                <w:szCs w:val="21"/>
              </w:rPr>
            </w:pPr>
            <w:r>
              <w:rPr>
                <w:rFonts w:ascii="仿宋" w:hAnsi="仿宋" w:eastAsia="仿宋" w:cs="仿宋"/>
                <w:bCs/>
                <w:szCs w:val="21"/>
              </w:rPr>
              <w:t>分子量</w:t>
            </w:r>
            <w:r>
              <w:rPr>
                <w:rFonts w:hint="eastAsia" w:ascii="仿宋" w:hAnsi="仿宋" w:eastAsia="仿宋" w:cs="仿宋"/>
                <w:bCs/>
                <w:szCs w:val="21"/>
              </w:rPr>
              <w:t>：588.606</w:t>
            </w:r>
          </w:p>
          <w:p>
            <w:pPr>
              <w:widowControl/>
              <w:spacing w:line="240" w:lineRule="exact"/>
              <w:rPr>
                <w:rFonts w:ascii="仿宋" w:hAnsi="仿宋" w:eastAsia="仿宋" w:cs="仿宋"/>
                <w:bCs/>
                <w:szCs w:val="21"/>
              </w:rPr>
            </w:pPr>
            <w:r>
              <w:rPr>
                <w:rFonts w:ascii="仿宋" w:hAnsi="仿宋" w:eastAsia="仿宋" w:cs="仿宋"/>
                <w:bCs/>
                <w:szCs w:val="21"/>
              </w:rPr>
              <w:t>性状</w:t>
            </w:r>
            <w:r>
              <w:rPr>
                <w:rFonts w:hint="eastAsia" w:ascii="仿宋" w:hAnsi="仿宋" w:eastAsia="仿宋" w:cs="仿宋"/>
                <w:bCs/>
                <w:szCs w:val="21"/>
              </w:rPr>
              <w:t>：颗粒状</w:t>
            </w:r>
          </w:p>
          <w:p>
            <w:pPr>
              <w:widowControl/>
              <w:spacing w:line="240" w:lineRule="exact"/>
              <w:rPr>
                <w:rFonts w:ascii="仿宋" w:hAnsi="仿宋" w:eastAsia="仿宋" w:cs="仿宋"/>
                <w:bCs/>
                <w:szCs w:val="21"/>
              </w:rPr>
            </w:pPr>
            <w:r>
              <w:rPr>
                <w:rFonts w:ascii="仿宋" w:hAnsi="仿宋" w:eastAsia="仿宋" w:cs="仿宋"/>
                <w:bCs/>
                <w:szCs w:val="21"/>
              </w:rPr>
              <w:t>熔点</w:t>
            </w:r>
            <w:r>
              <w:rPr>
                <w:rFonts w:hint="eastAsia" w:ascii="仿宋" w:hAnsi="仿宋" w:eastAsia="仿宋" w:cs="仿宋"/>
                <w:bCs/>
                <w:szCs w:val="21"/>
              </w:rPr>
              <w:t>：&gt;300℃</w:t>
            </w:r>
          </w:p>
          <w:p>
            <w:pPr>
              <w:widowControl/>
              <w:spacing w:line="240" w:lineRule="exact"/>
              <w:rPr>
                <w:rFonts w:ascii="仿宋" w:hAnsi="仿宋" w:eastAsia="仿宋" w:cs="仿宋"/>
                <w:bCs/>
                <w:szCs w:val="21"/>
              </w:rPr>
            </w:pPr>
            <w:r>
              <w:rPr>
                <w:rFonts w:ascii="仿宋" w:hAnsi="仿宋" w:eastAsia="仿宋" w:cs="仿宋"/>
                <w:bCs/>
                <w:szCs w:val="21"/>
              </w:rPr>
              <w:t>沸点</w:t>
            </w:r>
            <w:r>
              <w:rPr>
                <w:rFonts w:hint="eastAsia" w:ascii="仿宋" w:hAnsi="仿宋" w:eastAsia="仿宋" w:cs="仿宋"/>
                <w:bCs/>
                <w:szCs w:val="21"/>
              </w:rPr>
              <w:t>：638.8℃</w:t>
            </w:r>
          </w:p>
          <w:p>
            <w:pPr>
              <w:widowControl/>
              <w:spacing w:line="240" w:lineRule="exact"/>
              <w:rPr>
                <w:rFonts w:ascii="仿宋" w:hAnsi="仿宋" w:eastAsia="仿宋" w:cs="仿宋"/>
                <w:bCs/>
                <w:szCs w:val="21"/>
              </w:rPr>
            </w:pPr>
            <w:r>
              <w:rPr>
                <w:rFonts w:ascii="仿宋" w:hAnsi="仿宋" w:eastAsia="仿宋" w:cs="仿宋"/>
                <w:bCs/>
                <w:szCs w:val="21"/>
              </w:rPr>
              <w:t>相对密度（水=1）</w:t>
            </w:r>
            <w:r>
              <w:rPr>
                <w:rFonts w:hint="eastAsia" w:ascii="仿宋" w:hAnsi="仿宋" w:eastAsia="仿宋" w:cs="仿宋"/>
                <w:bCs/>
                <w:szCs w:val="21"/>
              </w:rPr>
              <w:t>:1.2</w:t>
            </w:r>
          </w:p>
          <w:p>
            <w:pPr>
              <w:widowControl/>
              <w:spacing w:line="240" w:lineRule="exact"/>
              <w:rPr>
                <w:rFonts w:ascii="仿宋" w:hAnsi="仿宋" w:eastAsia="仿宋" w:cs="仿宋"/>
                <w:bCs/>
                <w:szCs w:val="21"/>
              </w:rPr>
            </w:pPr>
            <w:r>
              <w:rPr>
                <w:rFonts w:ascii="仿宋" w:hAnsi="仿宋" w:eastAsia="仿宋" w:cs="仿宋"/>
                <w:bCs/>
                <w:szCs w:val="21"/>
              </w:rPr>
              <w:t>闪点</w:t>
            </w:r>
            <w:r>
              <w:rPr>
                <w:rFonts w:hint="eastAsia" w:ascii="仿宋" w:hAnsi="仿宋" w:eastAsia="仿宋" w:cs="仿宋"/>
                <w:bCs/>
                <w:szCs w:val="21"/>
              </w:rPr>
              <w:t>：286.2</w:t>
            </w:r>
          </w:p>
          <w:p>
            <w:pPr>
              <w:widowControl/>
              <w:spacing w:line="240" w:lineRule="exact"/>
              <w:rPr>
                <w:rFonts w:ascii="仿宋" w:hAnsi="仿宋" w:eastAsia="仿宋" w:cs="仿宋"/>
                <w:bCs/>
                <w:szCs w:val="21"/>
              </w:rPr>
            </w:pPr>
            <w:r>
              <w:rPr>
                <w:rFonts w:hint="eastAsia" w:ascii="仿宋" w:hAnsi="仿宋" w:eastAsia="仿宋" w:cs="仿宋"/>
                <w:bCs/>
                <w:szCs w:val="21"/>
              </w:rPr>
              <w:t>爆炸上限（%，v/v）：/</w:t>
            </w:r>
          </w:p>
          <w:p>
            <w:pPr>
              <w:widowControl/>
              <w:spacing w:line="240" w:lineRule="exact"/>
              <w:rPr>
                <w:rFonts w:ascii="仿宋" w:hAnsi="仿宋" w:eastAsia="仿宋" w:cs="仿宋"/>
                <w:bCs/>
                <w:szCs w:val="21"/>
              </w:rPr>
            </w:pPr>
            <w:r>
              <w:rPr>
                <w:rFonts w:hint="eastAsia" w:ascii="仿宋" w:hAnsi="仿宋" w:eastAsia="仿宋" w:cs="仿宋"/>
                <w:bCs/>
                <w:szCs w:val="21"/>
              </w:rPr>
              <w:t>爆炸下限（%，v/v）：/</w:t>
            </w:r>
          </w:p>
          <w:p>
            <w:pPr>
              <w:spacing w:line="240" w:lineRule="exact"/>
              <w:rPr>
                <w:rFonts w:ascii="仿宋" w:hAnsi="仿宋" w:eastAsia="仿宋" w:cs="仿宋"/>
                <w:bCs/>
                <w:szCs w:val="21"/>
              </w:rPr>
            </w:pPr>
            <w:r>
              <w:rPr>
                <w:rFonts w:ascii="仿宋" w:hAnsi="仿宋" w:eastAsia="仿宋" w:cs="仿宋"/>
                <w:bCs/>
                <w:szCs w:val="21"/>
              </w:rPr>
              <w:t>溶解性</w:t>
            </w:r>
            <w:r>
              <w:rPr>
                <w:rFonts w:hint="eastAsia" w:ascii="仿宋" w:hAnsi="仿宋" w:eastAsia="仿宋" w:cs="仿宋"/>
                <w:bCs/>
                <w:szCs w:val="21"/>
              </w:rPr>
              <w:t>：/</w:t>
            </w:r>
          </w:p>
        </w:tc>
        <w:tc>
          <w:tcPr>
            <w:tcW w:w="3229"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w:t>
            </w:r>
          </w:p>
        </w:tc>
        <w:tc>
          <w:tcPr>
            <w:tcW w:w="3008"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459"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ABS</w:t>
            </w:r>
          </w:p>
          <w:p>
            <w:pPr>
              <w:spacing w:line="240" w:lineRule="exact"/>
              <w:jc w:val="center"/>
              <w:rPr>
                <w:rFonts w:ascii="仿宋" w:hAnsi="仿宋" w:eastAsia="仿宋" w:cs="仿宋"/>
                <w:bCs/>
                <w:szCs w:val="21"/>
              </w:rPr>
            </w:pPr>
            <w:r>
              <w:rPr>
                <w:rFonts w:hint="eastAsia" w:ascii="仿宋" w:hAnsi="仿宋" w:eastAsia="仿宋" w:cs="仿宋"/>
                <w:bCs/>
                <w:szCs w:val="21"/>
              </w:rPr>
              <w:t>(</w:t>
            </w:r>
            <w:r>
              <w:rPr>
                <w:rFonts w:ascii="仿宋" w:hAnsi="仿宋" w:eastAsia="仿宋" w:cs="仿宋"/>
                <w:bCs/>
                <w:szCs w:val="21"/>
              </w:rPr>
              <w:t>丙烯腈-丁二烯-苯乙烯共聚物</w:t>
            </w:r>
            <w:r>
              <w:rPr>
                <w:rFonts w:hint="eastAsia" w:ascii="仿宋" w:hAnsi="仿宋" w:eastAsia="仿宋" w:cs="仿宋"/>
                <w:bCs/>
                <w:szCs w:val="21"/>
              </w:rPr>
              <w:t>)</w:t>
            </w:r>
          </w:p>
        </w:tc>
        <w:tc>
          <w:tcPr>
            <w:tcW w:w="1513"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9003-56-9</w:t>
            </w:r>
          </w:p>
        </w:tc>
        <w:tc>
          <w:tcPr>
            <w:tcW w:w="4678" w:type="dxa"/>
            <w:shd w:val="clear" w:color="auto" w:fill="auto"/>
            <w:vAlign w:val="center"/>
          </w:tcPr>
          <w:p>
            <w:pPr>
              <w:widowControl/>
              <w:spacing w:line="240" w:lineRule="exact"/>
              <w:rPr>
                <w:rFonts w:ascii="仿宋" w:hAnsi="仿宋" w:eastAsia="仿宋" w:cs="仿宋"/>
                <w:bCs/>
                <w:szCs w:val="21"/>
              </w:rPr>
            </w:pPr>
            <w:r>
              <w:rPr>
                <w:rFonts w:hint="eastAsia" w:ascii="仿宋" w:hAnsi="仿宋" w:eastAsia="仿宋" w:cs="仿宋"/>
                <w:bCs/>
                <w:szCs w:val="21"/>
              </w:rPr>
              <w:t>分子式：</w:t>
            </w:r>
            <w:r>
              <w:rPr>
                <w:rFonts w:ascii="仿宋" w:hAnsi="仿宋" w:eastAsia="仿宋" w:cs="仿宋"/>
                <w:bCs/>
                <w:szCs w:val="21"/>
              </w:rPr>
              <w:t>(C</w:t>
            </w:r>
            <w:r>
              <w:rPr>
                <w:rFonts w:ascii="仿宋" w:hAnsi="仿宋" w:eastAsia="仿宋" w:cs="仿宋"/>
                <w:bCs/>
                <w:szCs w:val="21"/>
                <w:vertAlign w:val="subscript"/>
              </w:rPr>
              <w:t>8</w:t>
            </w:r>
            <w:r>
              <w:rPr>
                <w:rFonts w:ascii="仿宋" w:hAnsi="仿宋" w:eastAsia="仿宋" w:cs="仿宋"/>
                <w:bCs/>
                <w:szCs w:val="21"/>
              </w:rPr>
              <w:t>H</w:t>
            </w:r>
            <w:r>
              <w:rPr>
                <w:rFonts w:ascii="仿宋" w:hAnsi="仿宋" w:eastAsia="仿宋" w:cs="仿宋"/>
                <w:bCs/>
                <w:szCs w:val="21"/>
                <w:vertAlign w:val="subscript"/>
              </w:rPr>
              <w:t>8</w:t>
            </w:r>
            <w:r>
              <w:rPr>
                <w:rFonts w:ascii="仿宋" w:hAnsi="仿宋" w:eastAsia="仿宋" w:cs="仿宋"/>
                <w:bCs/>
                <w:szCs w:val="21"/>
              </w:rPr>
              <w:t>.C</w:t>
            </w:r>
            <w:r>
              <w:rPr>
                <w:rFonts w:ascii="仿宋" w:hAnsi="仿宋" w:eastAsia="仿宋" w:cs="仿宋"/>
                <w:bCs/>
                <w:szCs w:val="21"/>
                <w:vertAlign w:val="subscript"/>
              </w:rPr>
              <w:t>4</w:t>
            </w:r>
            <w:r>
              <w:rPr>
                <w:rFonts w:ascii="仿宋" w:hAnsi="仿宋" w:eastAsia="仿宋" w:cs="仿宋"/>
                <w:bCs/>
                <w:szCs w:val="21"/>
              </w:rPr>
              <w:t>H</w:t>
            </w:r>
            <w:r>
              <w:rPr>
                <w:rFonts w:ascii="仿宋" w:hAnsi="仿宋" w:eastAsia="仿宋" w:cs="仿宋"/>
                <w:bCs/>
                <w:szCs w:val="21"/>
                <w:vertAlign w:val="subscript"/>
              </w:rPr>
              <w:t>6</w:t>
            </w:r>
            <w:r>
              <w:rPr>
                <w:rFonts w:ascii="仿宋" w:hAnsi="仿宋" w:eastAsia="仿宋" w:cs="仿宋"/>
                <w:bCs/>
                <w:szCs w:val="21"/>
              </w:rPr>
              <w:t>.C</w:t>
            </w:r>
            <w:r>
              <w:rPr>
                <w:rFonts w:ascii="仿宋" w:hAnsi="仿宋" w:eastAsia="仿宋" w:cs="仿宋"/>
                <w:bCs/>
                <w:szCs w:val="21"/>
                <w:vertAlign w:val="subscript"/>
              </w:rPr>
              <w:t>3</w:t>
            </w:r>
            <w:r>
              <w:rPr>
                <w:rFonts w:ascii="仿宋" w:hAnsi="仿宋" w:eastAsia="仿宋" w:cs="仿宋"/>
                <w:bCs/>
                <w:szCs w:val="21"/>
              </w:rPr>
              <w:t>H</w:t>
            </w:r>
            <w:r>
              <w:rPr>
                <w:rFonts w:ascii="仿宋" w:hAnsi="仿宋" w:eastAsia="仿宋" w:cs="仿宋"/>
                <w:bCs/>
                <w:szCs w:val="21"/>
                <w:vertAlign w:val="subscript"/>
              </w:rPr>
              <w:t>3</w:t>
            </w:r>
            <w:r>
              <w:rPr>
                <w:rFonts w:ascii="仿宋" w:hAnsi="仿宋" w:eastAsia="仿宋" w:cs="仿宋"/>
                <w:bCs/>
                <w:szCs w:val="21"/>
              </w:rPr>
              <w:t>N)x</w:t>
            </w:r>
          </w:p>
          <w:p>
            <w:pPr>
              <w:widowControl/>
              <w:spacing w:line="240" w:lineRule="exact"/>
              <w:rPr>
                <w:rFonts w:ascii="仿宋" w:hAnsi="仿宋" w:eastAsia="仿宋" w:cs="仿宋"/>
                <w:bCs/>
                <w:szCs w:val="21"/>
              </w:rPr>
            </w:pPr>
            <w:r>
              <w:rPr>
                <w:rFonts w:ascii="仿宋" w:hAnsi="仿宋" w:eastAsia="仿宋" w:cs="仿宋"/>
                <w:bCs/>
                <w:szCs w:val="21"/>
              </w:rPr>
              <w:t>分子量</w:t>
            </w:r>
            <w:r>
              <w:rPr>
                <w:rFonts w:hint="eastAsia" w:ascii="仿宋" w:hAnsi="仿宋" w:eastAsia="仿宋" w:cs="仿宋"/>
                <w:bCs/>
                <w:szCs w:val="21"/>
              </w:rPr>
              <w:t>：211.302</w:t>
            </w:r>
          </w:p>
          <w:p>
            <w:pPr>
              <w:widowControl/>
              <w:spacing w:line="240" w:lineRule="exact"/>
              <w:rPr>
                <w:rFonts w:ascii="仿宋" w:hAnsi="仿宋" w:eastAsia="仿宋" w:cs="仿宋"/>
                <w:bCs/>
                <w:szCs w:val="21"/>
              </w:rPr>
            </w:pPr>
            <w:r>
              <w:rPr>
                <w:rFonts w:ascii="仿宋" w:hAnsi="仿宋" w:eastAsia="仿宋" w:cs="仿宋"/>
                <w:bCs/>
                <w:szCs w:val="21"/>
              </w:rPr>
              <w:t>性状</w:t>
            </w:r>
            <w:r>
              <w:rPr>
                <w:rFonts w:hint="eastAsia" w:ascii="仿宋" w:hAnsi="仿宋" w:eastAsia="仿宋" w:cs="仿宋"/>
                <w:bCs/>
                <w:szCs w:val="21"/>
              </w:rPr>
              <w:t>：白色颗粒状</w:t>
            </w:r>
          </w:p>
          <w:p>
            <w:pPr>
              <w:widowControl/>
              <w:spacing w:line="240" w:lineRule="exact"/>
              <w:rPr>
                <w:rFonts w:ascii="仿宋" w:hAnsi="仿宋" w:eastAsia="仿宋" w:cs="仿宋"/>
                <w:bCs/>
                <w:szCs w:val="21"/>
              </w:rPr>
            </w:pPr>
            <w:r>
              <w:rPr>
                <w:rFonts w:ascii="仿宋" w:hAnsi="仿宋" w:eastAsia="仿宋" w:cs="仿宋"/>
                <w:bCs/>
                <w:szCs w:val="21"/>
              </w:rPr>
              <w:t>熔点</w:t>
            </w:r>
            <w:r>
              <w:rPr>
                <w:rFonts w:hint="eastAsia" w:ascii="仿宋" w:hAnsi="仿宋" w:eastAsia="仿宋" w:cs="仿宋"/>
                <w:bCs/>
                <w:szCs w:val="21"/>
              </w:rPr>
              <w:t>：58.54℃</w:t>
            </w:r>
          </w:p>
          <w:p>
            <w:pPr>
              <w:widowControl/>
              <w:spacing w:line="240" w:lineRule="exact"/>
              <w:rPr>
                <w:rFonts w:ascii="仿宋" w:hAnsi="仿宋" w:eastAsia="仿宋" w:cs="仿宋"/>
                <w:bCs/>
                <w:szCs w:val="21"/>
              </w:rPr>
            </w:pPr>
            <w:r>
              <w:rPr>
                <w:rFonts w:ascii="仿宋" w:hAnsi="仿宋" w:eastAsia="仿宋" w:cs="仿宋"/>
                <w:bCs/>
                <w:szCs w:val="21"/>
              </w:rPr>
              <w:t>沸点</w:t>
            </w:r>
            <w:r>
              <w:rPr>
                <w:rFonts w:hint="eastAsia" w:ascii="仿宋" w:hAnsi="仿宋" w:eastAsia="仿宋" w:cs="仿宋"/>
                <w:bCs/>
                <w:szCs w:val="21"/>
              </w:rPr>
              <w:t>：145.2℃</w:t>
            </w:r>
          </w:p>
          <w:p>
            <w:pPr>
              <w:widowControl/>
              <w:spacing w:line="240" w:lineRule="exact"/>
              <w:rPr>
                <w:rFonts w:ascii="仿宋" w:hAnsi="仿宋" w:eastAsia="仿宋" w:cs="仿宋"/>
                <w:bCs/>
                <w:szCs w:val="21"/>
              </w:rPr>
            </w:pPr>
            <w:r>
              <w:rPr>
                <w:rFonts w:ascii="仿宋" w:hAnsi="仿宋" w:eastAsia="仿宋" w:cs="仿宋"/>
                <w:bCs/>
                <w:szCs w:val="21"/>
              </w:rPr>
              <w:t>相对密度（水=1）</w:t>
            </w:r>
            <w:r>
              <w:rPr>
                <w:rFonts w:hint="eastAsia" w:ascii="仿宋" w:hAnsi="仿宋" w:eastAsia="仿宋" w:cs="仿宋"/>
                <w:bCs/>
                <w:szCs w:val="21"/>
              </w:rPr>
              <w:t>:1.05</w:t>
            </w:r>
          </w:p>
          <w:p>
            <w:pPr>
              <w:widowControl/>
              <w:spacing w:line="240" w:lineRule="exact"/>
              <w:rPr>
                <w:rFonts w:ascii="仿宋" w:hAnsi="仿宋" w:eastAsia="仿宋" w:cs="仿宋"/>
                <w:bCs/>
                <w:szCs w:val="21"/>
              </w:rPr>
            </w:pPr>
            <w:r>
              <w:rPr>
                <w:rFonts w:ascii="仿宋" w:hAnsi="仿宋" w:eastAsia="仿宋" w:cs="仿宋"/>
                <w:bCs/>
                <w:szCs w:val="21"/>
              </w:rPr>
              <w:t>闪点</w:t>
            </w:r>
            <w:r>
              <w:rPr>
                <w:rFonts w:hint="eastAsia" w:ascii="仿宋" w:hAnsi="仿宋" w:eastAsia="仿宋" w:cs="仿宋"/>
                <w:bCs/>
                <w:szCs w:val="21"/>
              </w:rPr>
              <w:t>：/</w:t>
            </w:r>
          </w:p>
          <w:p>
            <w:pPr>
              <w:widowControl/>
              <w:spacing w:line="240" w:lineRule="exact"/>
              <w:rPr>
                <w:rFonts w:ascii="仿宋" w:hAnsi="仿宋" w:eastAsia="仿宋" w:cs="仿宋"/>
                <w:bCs/>
                <w:szCs w:val="21"/>
              </w:rPr>
            </w:pPr>
            <w:r>
              <w:rPr>
                <w:rFonts w:hint="eastAsia" w:ascii="仿宋" w:hAnsi="仿宋" w:eastAsia="仿宋" w:cs="仿宋"/>
                <w:bCs/>
                <w:szCs w:val="21"/>
              </w:rPr>
              <w:t>爆炸上限（%，v/v）：/</w:t>
            </w:r>
          </w:p>
          <w:p>
            <w:pPr>
              <w:widowControl/>
              <w:spacing w:line="240" w:lineRule="exact"/>
              <w:rPr>
                <w:rFonts w:ascii="仿宋" w:hAnsi="仿宋" w:eastAsia="仿宋" w:cs="仿宋"/>
                <w:bCs/>
                <w:szCs w:val="21"/>
              </w:rPr>
            </w:pPr>
            <w:r>
              <w:rPr>
                <w:rFonts w:hint="eastAsia" w:ascii="仿宋" w:hAnsi="仿宋" w:eastAsia="仿宋" w:cs="仿宋"/>
                <w:bCs/>
                <w:szCs w:val="21"/>
              </w:rPr>
              <w:t>爆炸下限（%，v/v）：/</w:t>
            </w:r>
          </w:p>
          <w:p>
            <w:pPr>
              <w:spacing w:line="240" w:lineRule="exact"/>
              <w:rPr>
                <w:rFonts w:ascii="仿宋" w:hAnsi="仿宋" w:eastAsia="仿宋" w:cs="仿宋"/>
                <w:bCs/>
                <w:szCs w:val="21"/>
              </w:rPr>
            </w:pPr>
            <w:r>
              <w:rPr>
                <w:rFonts w:ascii="仿宋" w:hAnsi="仿宋" w:eastAsia="仿宋" w:cs="仿宋"/>
                <w:bCs/>
                <w:szCs w:val="21"/>
              </w:rPr>
              <w:t>溶解性</w:t>
            </w:r>
            <w:r>
              <w:rPr>
                <w:rFonts w:hint="eastAsia" w:ascii="仿宋" w:hAnsi="仿宋" w:eastAsia="仿宋" w:cs="仿宋"/>
                <w:bCs/>
                <w:szCs w:val="21"/>
              </w:rPr>
              <w:t>：/</w:t>
            </w:r>
          </w:p>
        </w:tc>
        <w:tc>
          <w:tcPr>
            <w:tcW w:w="3229"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w:t>
            </w:r>
          </w:p>
        </w:tc>
        <w:tc>
          <w:tcPr>
            <w:tcW w:w="3008"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w:t>
            </w:r>
          </w:p>
        </w:tc>
      </w:tr>
    </w:tbl>
    <w:p>
      <w:pPr>
        <w:pStyle w:val="123"/>
        <w:ind w:firstLine="0" w:firstLineChars="0"/>
        <w:rPr>
          <w:rFonts w:ascii="Times New Roman"/>
          <w:highlight w:val="yellow"/>
        </w:rPr>
        <w:sectPr>
          <w:pgSz w:w="16838" w:h="11906" w:orient="landscape"/>
          <w:pgMar w:top="1440" w:right="1800" w:bottom="1440" w:left="1800" w:header="851" w:footer="992" w:gutter="0"/>
          <w:cols w:space="425" w:num="1"/>
          <w:docGrid w:linePitch="326" w:charSpace="0"/>
        </w:sectPr>
      </w:pPr>
    </w:p>
    <w:p>
      <w:pPr>
        <w:pStyle w:val="4"/>
        <w:keepLines w:val="0"/>
        <w:numPr>
          <w:ilvl w:val="2"/>
          <w:numId w:val="1"/>
        </w:numPr>
        <w:tabs>
          <w:tab w:val="left" w:pos="709"/>
        </w:tabs>
        <w:spacing w:before="120" w:beforeLines="50" w:after="120" w:afterLines="50" w:line="500" w:lineRule="exact"/>
        <w:ind w:left="422" w:hanging="422" w:hangingChars="150"/>
        <w:rPr>
          <w:rFonts w:eastAsia="仿宋_GB2312"/>
          <w:sz w:val="28"/>
          <w:szCs w:val="28"/>
        </w:rPr>
      </w:pPr>
      <w:r>
        <w:rPr>
          <w:rFonts w:eastAsia="仿宋_GB2312"/>
          <w:sz w:val="28"/>
          <w:szCs w:val="28"/>
        </w:rPr>
        <w:t>主要生产设备汇总</w:t>
      </w:r>
    </w:p>
    <w:p>
      <w:pPr>
        <w:pStyle w:val="123"/>
        <w:ind w:firstLine="560"/>
        <w:jc w:val="both"/>
        <w:rPr>
          <w:rFonts w:ascii="Times New Roman"/>
          <w:b w:val="0"/>
          <w:sz w:val="28"/>
          <w:szCs w:val="28"/>
        </w:rPr>
      </w:pPr>
      <w:r>
        <w:rPr>
          <w:rFonts w:ascii="Times New Roman"/>
          <w:b w:val="0"/>
          <w:sz w:val="28"/>
          <w:szCs w:val="28"/>
        </w:rPr>
        <w:t>本项目主要生产设备见下表。</w:t>
      </w:r>
      <w:bookmarkStart w:id="239" w:name="_Ref383202022"/>
    </w:p>
    <w:p>
      <w:pPr>
        <w:jc w:val="center"/>
        <w:rPr>
          <w:rFonts w:eastAsia="仿宋_GB2312"/>
          <w:b/>
          <w:bCs/>
          <w:sz w:val="24"/>
        </w:rPr>
      </w:pPr>
      <w:r>
        <w:rPr>
          <w:rFonts w:eastAsia="仿宋_GB2312"/>
          <w:b/>
          <w:bCs/>
          <w:sz w:val="24"/>
        </w:rPr>
        <w:t>表</w:t>
      </w:r>
      <w:bookmarkEnd w:id="239"/>
      <w:r>
        <w:rPr>
          <w:rFonts w:eastAsia="仿宋_GB2312"/>
          <w:b/>
          <w:bCs/>
          <w:sz w:val="24"/>
        </w:rPr>
        <w:t>3.</w:t>
      </w:r>
      <w:r>
        <w:rPr>
          <w:rFonts w:hint="eastAsia" w:eastAsia="仿宋_GB2312"/>
          <w:b/>
          <w:bCs/>
          <w:sz w:val="24"/>
        </w:rPr>
        <w:t>1</w:t>
      </w:r>
      <w:r>
        <w:rPr>
          <w:rFonts w:eastAsia="仿宋_GB2312"/>
          <w:b/>
          <w:bCs/>
          <w:sz w:val="24"/>
        </w:rPr>
        <w:t>-</w:t>
      </w:r>
      <w:r>
        <w:rPr>
          <w:rFonts w:hint="eastAsia" w:eastAsia="仿宋_GB2312"/>
          <w:b/>
          <w:bCs/>
          <w:sz w:val="24"/>
        </w:rPr>
        <w:t>1</w:t>
      </w:r>
      <w:r>
        <w:rPr>
          <w:rFonts w:eastAsia="仿宋_GB2312"/>
          <w:b/>
          <w:bCs/>
          <w:sz w:val="24"/>
        </w:rPr>
        <w:t>7  主要生产设备使用情况汇总表</w:t>
      </w:r>
    </w:p>
    <w:tbl>
      <w:tblPr>
        <w:tblStyle w:val="87"/>
        <w:tblpPr w:leftFromText="180" w:rightFromText="180" w:vertAnchor="text" w:tblpXSpec="center" w:tblpY="1"/>
        <w:tblOverlap w:val="never"/>
        <w:tblW w:w="91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9"/>
        <w:gridCol w:w="2115"/>
        <w:gridCol w:w="1896"/>
        <w:gridCol w:w="1133"/>
        <w:gridCol w:w="1383"/>
        <w:gridCol w:w="1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0" w:type="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类别</w:t>
            </w:r>
          </w:p>
        </w:tc>
        <w:tc>
          <w:tcPr>
            <w:tcW w:w="2115" w:type="dxa"/>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设备名称</w:t>
            </w:r>
          </w:p>
        </w:tc>
        <w:tc>
          <w:tcPr>
            <w:tcW w:w="1876" w:type="dxa"/>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型号及参数</w:t>
            </w:r>
          </w:p>
        </w:tc>
        <w:tc>
          <w:tcPr>
            <w:tcW w:w="0" w:type="auto"/>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数量</w:t>
            </w:r>
            <w:r>
              <w:rPr>
                <w:rFonts w:hint="eastAsia" w:ascii="仿宋" w:hAnsi="仿宋" w:eastAsia="仿宋" w:cs="仿宋"/>
                <w:bCs/>
                <w:szCs w:val="21"/>
              </w:rPr>
              <w:t>（台套）</w:t>
            </w:r>
          </w:p>
        </w:tc>
        <w:tc>
          <w:tcPr>
            <w:tcW w:w="0" w:type="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位置</w:t>
            </w:r>
          </w:p>
        </w:tc>
        <w:tc>
          <w:tcPr>
            <w:tcW w:w="0" w:type="auto"/>
            <w:vAlign w:val="center"/>
          </w:tcPr>
          <w:p>
            <w:pPr>
              <w:spacing w:line="240" w:lineRule="exact"/>
              <w:jc w:val="center"/>
              <w:rPr>
                <w:rFonts w:ascii="仿宋" w:hAnsi="仿宋" w:eastAsia="仿宋" w:cs="仿宋"/>
                <w:bCs/>
                <w:szCs w:val="21"/>
              </w:rPr>
            </w:pPr>
            <w:r>
              <w:rPr>
                <w:rFonts w:ascii="仿宋" w:hAnsi="仿宋" w:eastAsia="仿宋" w:cs="仿宋"/>
                <w:bCs/>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0" w:type="auto"/>
            <w:vMerge w:val="restar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生产</w:t>
            </w:r>
            <w:r>
              <w:rPr>
                <w:rFonts w:ascii="仿宋" w:hAnsi="仿宋" w:eastAsia="仿宋" w:cs="仿宋"/>
                <w:bCs/>
                <w:szCs w:val="21"/>
              </w:rPr>
              <w:t>设备</w:t>
            </w:r>
          </w:p>
        </w:tc>
        <w:tc>
          <w:tcPr>
            <w:tcW w:w="2115" w:type="dxa"/>
            <w:shd w:val="clear" w:color="auto" w:fill="auto"/>
            <w:vAlign w:val="center"/>
          </w:tcPr>
          <w:p>
            <w:pPr>
              <w:tabs>
                <w:tab w:val="center" w:pos="900"/>
              </w:tabs>
              <w:jc w:val="center"/>
              <w:rPr>
                <w:rFonts w:ascii="仿宋" w:hAnsi="仿宋" w:eastAsia="仿宋" w:cs="仿宋"/>
                <w:bCs/>
                <w:szCs w:val="21"/>
              </w:rPr>
            </w:pPr>
            <w:r>
              <w:rPr>
                <w:rFonts w:ascii="仿宋" w:hAnsi="仿宋" w:eastAsia="仿宋" w:cs="仿宋"/>
                <w:bCs/>
                <w:szCs w:val="21"/>
              </w:rPr>
              <w:t>自动精密涂布生产线</w:t>
            </w:r>
          </w:p>
        </w:tc>
        <w:tc>
          <w:tcPr>
            <w:tcW w:w="1876" w:type="dxa"/>
            <w:shd w:val="clear" w:color="auto" w:fill="auto"/>
            <w:vAlign w:val="center"/>
          </w:tcPr>
          <w:p>
            <w:pPr>
              <w:jc w:val="center"/>
              <w:rPr>
                <w:rFonts w:ascii="仿宋" w:hAnsi="仿宋" w:eastAsia="仿宋" w:cs="仿宋"/>
                <w:bCs/>
                <w:szCs w:val="21"/>
              </w:rPr>
            </w:pPr>
            <w:r>
              <w:rPr>
                <w:rFonts w:hint="eastAsia" w:ascii="仿宋" w:hAnsi="仿宋" w:eastAsia="仿宋" w:cs="仿宋"/>
                <w:bCs/>
                <w:szCs w:val="21"/>
              </w:rPr>
              <w:t>1320型</w:t>
            </w:r>
          </w:p>
        </w:tc>
        <w:tc>
          <w:tcPr>
            <w:tcW w:w="0" w:type="auto"/>
            <w:shd w:val="clear" w:color="auto" w:fill="auto"/>
            <w:vAlign w:val="center"/>
          </w:tcPr>
          <w:p>
            <w:pPr>
              <w:tabs>
                <w:tab w:val="center" w:pos="900"/>
              </w:tabs>
              <w:jc w:val="center"/>
              <w:rPr>
                <w:rFonts w:ascii="仿宋" w:hAnsi="仿宋" w:eastAsia="仿宋" w:cs="仿宋"/>
                <w:bCs/>
                <w:szCs w:val="21"/>
              </w:rPr>
            </w:pPr>
            <w:r>
              <w:rPr>
                <w:rFonts w:ascii="仿宋" w:hAnsi="仿宋" w:eastAsia="仿宋" w:cs="仿宋"/>
                <w:bCs/>
                <w:szCs w:val="21"/>
              </w:rPr>
              <w:t>3</w:t>
            </w:r>
          </w:p>
        </w:tc>
        <w:tc>
          <w:tcPr>
            <w:tcW w:w="0" w:type="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生产车间涂布</w:t>
            </w:r>
            <w:r>
              <w:rPr>
                <w:rFonts w:ascii="仿宋" w:hAnsi="仿宋" w:eastAsia="仿宋" w:cs="仿宋"/>
                <w:bCs/>
                <w:szCs w:val="21"/>
              </w:rPr>
              <w:t>区</w:t>
            </w:r>
          </w:p>
        </w:tc>
        <w:tc>
          <w:tcPr>
            <w:tcW w:w="0" w:type="auto"/>
            <w:vMerge w:val="restar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0" w:type="auto"/>
            <w:vMerge w:val="continue"/>
            <w:vAlign w:val="center"/>
          </w:tcPr>
          <w:p>
            <w:pPr>
              <w:spacing w:line="240" w:lineRule="exact"/>
              <w:jc w:val="center"/>
              <w:rPr>
                <w:rFonts w:ascii="仿宋" w:hAnsi="仿宋" w:eastAsia="仿宋" w:cs="仿宋"/>
                <w:bCs/>
                <w:szCs w:val="21"/>
              </w:rPr>
            </w:pPr>
          </w:p>
        </w:tc>
        <w:tc>
          <w:tcPr>
            <w:tcW w:w="2115" w:type="dxa"/>
            <w:shd w:val="clear" w:color="auto" w:fill="auto"/>
            <w:vAlign w:val="center"/>
          </w:tcPr>
          <w:p>
            <w:pPr>
              <w:tabs>
                <w:tab w:val="center" w:pos="900"/>
              </w:tabs>
              <w:jc w:val="center"/>
              <w:rPr>
                <w:rFonts w:ascii="仿宋" w:hAnsi="仿宋" w:eastAsia="仿宋" w:cs="仿宋"/>
                <w:bCs/>
                <w:szCs w:val="21"/>
              </w:rPr>
            </w:pPr>
            <w:r>
              <w:rPr>
                <w:rFonts w:ascii="仿宋" w:hAnsi="仿宋" w:eastAsia="仿宋" w:cs="仿宋"/>
                <w:bCs/>
                <w:szCs w:val="21"/>
              </w:rPr>
              <w:t>分切机</w:t>
            </w:r>
          </w:p>
        </w:tc>
        <w:tc>
          <w:tcPr>
            <w:tcW w:w="1876" w:type="dxa"/>
            <w:shd w:val="clear" w:color="auto" w:fill="auto"/>
            <w:vAlign w:val="center"/>
          </w:tcPr>
          <w:p>
            <w:pPr>
              <w:jc w:val="center"/>
              <w:rPr>
                <w:rFonts w:ascii="仿宋" w:hAnsi="仿宋" w:eastAsia="仿宋" w:cs="仿宋"/>
                <w:bCs/>
                <w:szCs w:val="21"/>
              </w:rPr>
            </w:pPr>
            <w:r>
              <w:rPr>
                <w:rFonts w:hint="eastAsia" w:ascii="仿宋" w:hAnsi="仿宋" w:eastAsia="仿宋" w:cs="仿宋"/>
                <w:bCs/>
                <w:szCs w:val="21"/>
              </w:rPr>
              <w:t>1320型</w:t>
            </w:r>
          </w:p>
        </w:tc>
        <w:tc>
          <w:tcPr>
            <w:tcW w:w="0" w:type="auto"/>
            <w:shd w:val="clear" w:color="auto" w:fill="auto"/>
            <w:vAlign w:val="center"/>
          </w:tcPr>
          <w:p>
            <w:pPr>
              <w:tabs>
                <w:tab w:val="center" w:pos="900"/>
              </w:tabs>
              <w:jc w:val="center"/>
              <w:rPr>
                <w:rFonts w:ascii="仿宋" w:hAnsi="仿宋" w:eastAsia="仿宋" w:cs="仿宋"/>
                <w:bCs/>
                <w:szCs w:val="21"/>
              </w:rPr>
            </w:pPr>
            <w:r>
              <w:rPr>
                <w:rFonts w:ascii="仿宋" w:hAnsi="仿宋" w:eastAsia="仿宋" w:cs="仿宋"/>
                <w:bCs/>
                <w:szCs w:val="21"/>
              </w:rPr>
              <w:t>10</w:t>
            </w:r>
          </w:p>
        </w:tc>
        <w:tc>
          <w:tcPr>
            <w:tcW w:w="0" w:type="auto"/>
            <w:vMerge w:val="restart"/>
          </w:tcPr>
          <w:p>
            <w:pPr>
              <w:spacing w:line="240" w:lineRule="exact"/>
              <w:jc w:val="center"/>
              <w:rPr>
                <w:rFonts w:ascii="仿宋" w:hAnsi="仿宋" w:eastAsia="仿宋" w:cs="仿宋"/>
                <w:bCs/>
                <w:szCs w:val="21"/>
              </w:rPr>
            </w:pPr>
            <w:r>
              <w:rPr>
                <w:rFonts w:hint="eastAsia" w:ascii="仿宋" w:hAnsi="仿宋" w:eastAsia="仿宋" w:cs="仿宋"/>
                <w:bCs/>
                <w:szCs w:val="21"/>
              </w:rPr>
              <w:t>生产</w:t>
            </w:r>
            <w:r>
              <w:rPr>
                <w:rFonts w:ascii="仿宋" w:hAnsi="仿宋" w:eastAsia="仿宋" w:cs="仿宋"/>
                <w:bCs/>
                <w:szCs w:val="21"/>
              </w:rPr>
              <w:t>车间分切区</w:t>
            </w:r>
          </w:p>
        </w:tc>
        <w:tc>
          <w:tcPr>
            <w:tcW w:w="0" w:type="auto"/>
            <w:vMerge w:val="continue"/>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0" w:type="auto"/>
            <w:vMerge w:val="continue"/>
            <w:vAlign w:val="center"/>
          </w:tcPr>
          <w:p>
            <w:pPr>
              <w:spacing w:line="240" w:lineRule="exact"/>
              <w:jc w:val="center"/>
              <w:rPr>
                <w:rFonts w:ascii="仿宋" w:hAnsi="仿宋" w:eastAsia="仿宋" w:cs="仿宋"/>
                <w:bCs/>
                <w:szCs w:val="21"/>
              </w:rPr>
            </w:pPr>
          </w:p>
        </w:tc>
        <w:tc>
          <w:tcPr>
            <w:tcW w:w="2115" w:type="dxa"/>
            <w:shd w:val="clear" w:color="auto" w:fill="auto"/>
            <w:vAlign w:val="center"/>
          </w:tcPr>
          <w:p>
            <w:pPr>
              <w:tabs>
                <w:tab w:val="center" w:pos="900"/>
              </w:tabs>
              <w:jc w:val="center"/>
              <w:rPr>
                <w:rFonts w:ascii="仿宋" w:hAnsi="仿宋" w:eastAsia="仿宋" w:cs="仿宋"/>
                <w:bCs/>
                <w:szCs w:val="21"/>
              </w:rPr>
            </w:pPr>
            <w:r>
              <w:rPr>
                <w:rFonts w:ascii="仿宋" w:hAnsi="仿宋" w:eastAsia="仿宋" w:cs="仿宋"/>
                <w:bCs/>
                <w:szCs w:val="21"/>
              </w:rPr>
              <w:t>裁切机</w:t>
            </w:r>
          </w:p>
        </w:tc>
        <w:tc>
          <w:tcPr>
            <w:tcW w:w="1876" w:type="dxa"/>
            <w:shd w:val="clear" w:color="auto" w:fill="auto"/>
            <w:vAlign w:val="center"/>
          </w:tcPr>
          <w:p>
            <w:pPr>
              <w:jc w:val="center"/>
              <w:rPr>
                <w:rFonts w:ascii="仿宋" w:hAnsi="仿宋" w:eastAsia="仿宋" w:cs="仿宋"/>
                <w:bCs/>
                <w:szCs w:val="21"/>
              </w:rPr>
            </w:pPr>
            <w:r>
              <w:rPr>
                <w:rFonts w:hint="eastAsia" w:ascii="仿宋" w:hAnsi="仿宋" w:eastAsia="仿宋" w:cs="仿宋"/>
                <w:bCs/>
                <w:szCs w:val="21"/>
              </w:rPr>
              <w:t>1320型</w:t>
            </w:r>
          </w:p>
        </w:tc>
        <w:tc>
          <w:tcPr>
            <w:tcW w:w="0" w:type="auto"/>
            <w:shd w:val="clear" w:color="auto" w:fill="auto"/>
            <w:vAlign w:val="center"/>
          </w:tcPr>
          <w:p>
            <w:pPr>
              <w:tabs>
                <w:tab w:val="center" w:pos="900"/>
              </w:tabs>
              <w:jc w:val="center"/>
              <w:rPr>
                <w:rFonts w:ascii="仿宋" w:hAnsi="仿宋" w:eastAsia="仿宋" w:cs="仿宋"/>
                <w:bCs/>
                <w:szCs w:val="21"/>
              </w:rPr>
            </w:pPr>
            <w:r>
              <w:rPr>
                <w:rFonts w:ascii="仿宋" w:hAnsi="仿宋" w:eastAsia="仿宋" w:cs="仿宋"/>
                <w:bCs/>
                <w:szCs w:val="21"/>
              </w:rPr>
              <w:t>5</w:t>
            </w:r>
          </w:p>
        </w:tc>
        <w:tc>
          <w:tcPr>
            <w:tcW w:w="0" w:type="auto"/>
            <w:vMerge w:val="continue"/>
          </w:tcPr>
          <w:p>
            <w:pPr>
              <w:spacing w:line="240" w:lineRule="exact"/>
              <w:jc w:val="center"/>
              <w:rPr>
                <w:rFonts w:ascii="仿宋" w:hAnsi="仿宋" w:eastAsia="仿宋" w:cs="仿宋"/>
                <w:bCs/>
                <w:szCs w:val="21"/>
              </w:rPr>
            </w:pPr>
          </w:p>
        </w:tc>
        <w:tc>
          <w:tcPr>
            <w:tcW w:w="0" w:type="auto"/>
            <w:vMerge w:val="continue"/>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0" w:type="auto"/>
            <w:vMerge w:val="continue"/>
            <w:vAlign w:val="center"/>
          </w:tcPr>
          <w:p>
            <w:pPr>
              <w:spacing w:line="240" w:lineRule="exact"/>
              <w:jc w:val="center"/>
              <w:rPr>
                <w:rFonts w:ascii="仿宋" w:hAnsi="仿宋" w:eastAsia="仿宋" w:cs="仿宋"/>
                <w:bCs/>
                <w:szCs w:val="21"/>
              </w:rPr>
            </w:pPr>
          </w:p>
        </w:tc>
        <w:tc>
          <w:tcPr>
            <w:tcW w:w="2115" w:type="dxa"/>
            <w:shd w:val="clear" w:color="auto" w:fill="auto"/>
            <w:vAlign w:val="center"/>
          </w:tcPr>
          <w:p>
            <w:pPr>
              <w:tabs>
                <w:tab w:val="center" w:pos="900"/>
              </w:tabs>
              <w:jc w:val="center"/>
              <w:rPr>
                <w:rFonts w:ascii="仿宋" w:hAnsi="仿宋" w:eastAsia="仿宋" w:cs="仿宋"/>
                <w:bCs/>
                <w:szCs w:val="21"/>
              </w:rPr>
            </w:pPr>
            <w:r>
              <w:rPr>
                <w:rFonts w:hint="eastAsia" w:ascii="仿宋" w:hAnsi="仿宋" w:eastAsia="仿宋" w:cs="仿宋"/>
                <w:bCs/>
                <w:szCs w:val="21"/>
              </w:rPr>
              <w:t>无气泡</w:t>
            </w:r>
            <w:r>
              <w:rPr>
                <w:rFonts w:ascii="仿宋" w:hAnsi="仿宋" w:eastAsia="仿宋" w:cs="仿宋"/>
                <w:bCs/>
                <w:szCs w:val="21"/>
              </w:rPr>
              <w:t>复卷机</w:t>
            </w:r>
          </w:p>
        </w:tc>
        <w:tc>
          <w:tcPr>
            <w:tcW w:w="1876" w:type="dxa"/>
            <w:shd w:val="clear" w:color="auto" w:fill="auto"/>
            <w:vAlign w:val="center"/>
          </w:tcPr>
          <w:p>
            <w:pPr>
              <w:jc w:val="center"/>
              <w:rPr>
                <w:rFonts w:ascii="仿宋" w:hAnsi="仿宋" w:eastAsia="仿宋" w:cs="仿宋"/>
                <w:bCs/>
                <w:szCs w:val="21"/>
              </w:rPr>
            </w:pPr>
            <w:r>
              <w:rPr>
                <w:rFonts w:hint="eastAsia" w:ascii="仿宋" w:hAnsi="仿宋" w:eastAsia="仿宋" w:cs="仿宋"/>
                <w:bCs/>
                <w:szCs w:val="21"/>
              </w:rPr>
              <w:t>1320型</w:t>
            </w:r>
          </w:p>
        </w:tc>
        <w:tc>
          <w:tcPr>
            <w:tcW w:w="0" w:type="auto"/>
            <w:shd w:val="clear" w:color="auto" w:fill="auto"/>
            <w:vAlign w:val="center"/>
          </w:tcPr>
          <w:p>
            <w:pPr>
              <w:tabs>
                <w:tab w:val="center" w:pos="900"/>
              </w:tabs>
              <w:jc w:val="center"/>
              <w:rPr>
                <w:rFonts w:ascii="仿宋" w:hAnsi="仿宋" w:eastAsia="仿宋" w:cs="仿宋"/>
                <w:bCs/>
                <w:szCs w:val="21"/>
              </w:rPr>
            </w:pPr>
            <w:r>
              <w:rPr>
                <w:rFonts w:ascii="仿宋" w:hAnsi="仿宋" w:eastAsia="仿宋" w:cs="仿宋"/>
                <w:bCs/>
                <w:szCs w:val="21"/>
              </w:rPr>
              <w:t>5</w:t>
            </w:r>
          </w:p>
        </w:tc>
        <w:tc>
          <w:tcPr>
            <w:tcW w:w="0" w:type="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生产车间</w:t>
            </w:r>
            <w:r>
              <w:rPr>
                <w:rFonts w:ascii="仿宋" w:hAnsi="仿宋" w:eastAsia="仿宋" w:cs="仿宋"/>
                <w:bCs/>
                <w:szCs w:val="21"/>
              </w:rPr>
              <w:t>复卷区</w:t>
            </w:r>
          </w:p>
        </w:tc>
        <w:tc>
          <w:tcPr>
            <w:tcW w:w="0" w:type="auto"/>
            <w:vMerge w:val="continue"/>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0" w:type="auto"/>
            <w:vMerge w:val="continue"/>
            <w:vAlign w:val="center"/>
          </w:tcPr>
          <w:p>
            <w:pPr>
              <w:spacing w:line="240" w:lineRule="exact"/>
              <w:jc w:val="center"/>
              <w:rPr>
                <w:rFonts w:ascii="仿宋" w:hAnsi="仿宋" w:eastAsia="仿宋" w:cs="仿宋"/>
                <w:bCs/>
                <w:szCs w:val="21"/>
              </w:rPr>
            </w:pPr>
          </w:p>
        </w:tc>
        <w:tc>
          <w:tcPr>
            <w:tcW w:w="2115" w:type="dxa"/>
            <w:shd w:val="clear" w:color="auto" w:fill="auto"/>
            <w:vAlign w:val="center"/>
          </w:tcPr>
          <w:p>
            <w:pPr>
              <w:tabs>
                <w:tab w:val="center" w:pos="900"/>
              </w:tabs>
              <w:jc w:val="center"/>
              <w:rPr>
                <w:rFonts w:ascii="仿宋" w:hAnsi="仿宋" w:eastAsia="仿宋" w:cs="仿宋"/>
                <w:bCs/>
                <w:szCs w:val="21"/>
              </w:rPr>
            </w:pPr>
            <w:r>
              <w:rPr>
                <w:rFonts w:ascii="仿宋" w:hAnsi="仿宋" w:eastAsia="仿宋" w:cs="仿宋"/>
                <w:bCs/>
                <w:szCs w:val="21"/>
              </w:rPr>
              <w:t>分散机</w:t>
            </w:r>
          </w:p>
        </w:tc>
        <w:tc>
          <w:tcPr>
            <w:tcW w:w="1876" w:type="dxa"/>
            <w:shd w:val="clear" w:color="auto" w:fill="auto"/>
            <w:vAlign w:val="center"/>
          </w:tcPr>
          <w:p>
            <w:pPr>
              <w:jc w:val="center"/>
              <w:rPr>
                <w:rFonts w:ascii="仿宋" w:hAnsi="仿宋" w:eastAsia="仿宋" w:cs="仿宋"/>
                <w:bCs/>
                <w:szCs w:val="21"/>
              </w:rPr>
            </w:pPr>
            <w:r>
              <w:rPr>
                <w:rFonts w:hint="eastAsia" w:ascii="仿宋" w:hAnsi="仿宋" w:eastAsia="仿宋" w:cs="仿宋"/>
                <w:bCs/>
                <w:szCs w:val="21"/>
              </w:rPr>
              <w:t>7.5千瓦</w:t>
            </w:r>
          </w:p>
        </w:tc>
        <w:tc>
          <w:tcPr>
            <w:tcW w:w="0" w:type="auto"/>
            <w:shd w:val="clear" w:color="auto" w:fill="auto"/>
            <w:vAlign w:val="center"/>
          </w:tcPr>
          <w:p>
            <w:pPr>
              <w:tabs>
                <w:tab w:val="center" w:pos="900"/>
              </w:tabs>
              <w:jc w:val="center"/>
              <w:rPr>
                <w:rFonts w:ascii="仿宋" w:hAnsi="仿宋" w:eastAsia="仿宋" w:cs="仿宋"/>
                <w:bCs/>
                <w:szCs w:val="21"/>
              </w:rPr>
            </w:pPr>
            <w:r>
              <w:rPr>
                <w:rFonts w:ascii="仿宋" w:hAnsi="仿宋" w:eastAsia="仿宋" w:cs="仿宋"/>
                <w:bCs/>
                <w:szCs w:val="21"/>
              </w:rPr>
              <w:t>5</w:t>
            </w:r>
          </w:p>
        </w:tc>
        <w:tc>
          <w:tcPr>
            <w:tcW w:w="0" w:type="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生产车间分散区</w:t>
            </w:r>
          </w:p>
        </w:tc>
        <w:tc>
          <w:tcPr>
            <w:tcW w:w="0" w:type="auto"/>
            <w:vMerge w:val="continue"/>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0" w:type="auto"/>
            <w:vMerge w:val="continue"/>
            <w:vAlign w:val="center"/>
          </w:tcPr>
          <w:p>
            <w:pPr>
              <w:spacing w:line="240" w:lineRule="exact"/>
              <w:jc w:val="center"/>
              <w:rPr>
                <w:rFonts w:ascii="仿宋" w:hAnsi="仿宋" w:eastAsia="仿宋" w:cs="仿宋"/>
                <w:bCs/>
                <w:szCs w:val="21"/>
              </w:rPr>
            </w:pPr>
          </w:p>
        </w:tc>
        <w:tc>
          <w:tcPr>
            <w:tcW w:w="2115" w:type="dxa"/>
            <w:shd w:val="clear" w:color="auto" w:fill="auto"/>
            <w:vAlign w:val="center"/>
          </w:tcPr>
          <w:p>
            <w:pPr>
              <w:tabs>
                <w:tab w:val="center" w:pos="900"/>
              </w:tabs>
              <w:jc w:val="center"/>
              <w:rPr>
                <w:rFonts w:ascii="仿宋" w:hAnsi="仿宋" w:eastAsia="仿宋" w:cs="仿宋"/>
                <w:bCs/>
                <w:szCs w:val="21"/>
              </w:rPr>
            </w:pPr>
            <w:r>
              <w:rPr>
                <w:rFonts w:hint="eastAsia" w:ascii="仿宋" w:hAnsi="仿宋" w:eastAsia="仿宋" w:cs="仿宋"/>
                <w:bCs/>
                <w:szCs w:val="21"/>
              </w:rPr>
              <w:t>塑封机</w:t>
            </w:r>
          </w:p>
        </w:tc>
        <w:tc>
          <w:tcPr>
            <w:tcW w:w="1876" w:type="dxa"/>
            <w:shd w:val="clear" w:color="auto" w:fill="auto"/>
            <w:vAlign w:val="center"/>
          </w:tcPr>
          <w:p>
            <w:pPr>
              <w:jc w:val="center"/>
              <w:rPr>
                <w:rFonts w:ascii="仿宋" w:hAnsi="仿宋" w:eastAsia="仿宋" w:cs="仿宋"/>
                <w:bCs/>
                <w:szCs w:val="21"/>
              </w:rPr>
            </w:pPr>
            <w:r>
              <w:rPr>
                <w:rFonts w:hint="eastAsia" w:ascii="仿宋" w:hAnsi="仿宋" w:eastAsia="仿宋" w:cs="仿宋"/>
                <w:bCs/>
                <w:szCs w:val="21"/>
              </w:rPr>
              <w:t>28KV</w:t>
            </w:r>
          </w:p>
        </w:tc>
        <w:tc>
          <w:tcPr>
            <w:tcW w:w="0" w:type="auto"/>
            <w:shd w:val="clear" w:color="auto" w:fill="auto"/>
            <w:vAlign w:val="center"/>
          </w:tcPr>
          <w:p>
            <w:pPr>
              <w:tabs>
                <w:tab w:val="center" w:pos="900"/>
              </w:tabs>
              <w:jc w:val="center"/>
              <w:rPr>
                <w:rFonts w:ascii="仿宋" w:hAnsi="仿宋" w:eastAsia="仿宋" w:cs="仿宋"/>
                <w:bCs/>
                <w:szCs w:val="21"/>
              </w:rPr>
            </w:pPr>
            <w:r>
              <w:rPr>
                <w:rFonts w:hint="eastAsia" w:ascii="仿宋" w:hAnsi="仿宋" w:eastAsia="仿宋" w:cs="仿宋"/>
                <w:bCs/>
                <w:szCs w:val="21"/>
              </w:rPr>
              <w:t>1</w:t>
            </w:r>
          </w:p>
        </w:tc>
        <w:tc>
          <w:tcPr>
            <w:tcW w:w="0" w:type="auto"/>
            <w:vMerge w:val="restar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发货区</w:t>
            </w:r>
          </w:p>
        </w:tc>
        <w:tc>
          <w:tcPr>
            <w:tcW w:w="0" w:type="auto"/>
            <w:vMerge w:val="continue"/>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0" w:type="auto"/>
            <w:vMerge w:val="continue"/>
            <w:vAlign w:val="center"/>
          </w:tcPr>
          <w:p>
            <w:pPr>
              <w:spacing w:line="240" w:lineRule="exact"/>
              <w:jc w:val="center"/>
              <w:rPr>
                <w:rFonts w:ascii="仿宋" w:hAnsi="仿宋" w:eastAsia="仿宋" w:cs="仿宋"/>
                <w:bCs/>
                <w:szCs w:val="21"/>
              </w:rPr>
            </w:pPr>
          </w:p>
        </w:tc>
        <w:tc>
          <w:tcPr>
            <w:tcW w:w="2115" w:type="dxa"/>
            <w:shd w:val="clear" w:color="auto" w:fill="auto"/>
            <w:vAlign w:val="center"/>
          </w:tcPr>
          <w:p>
            <w:pPr>
              <w:tabs>
                <w:tab w:val="center" w:pos="900"/>
              </w:tabs>
              <w:jc w:val="center"/>
              <w:rPr>
                <w:rFonts w:ascii="仿宋" w:hAnsi="仿宋" w:eastAsia="仿宋" w:cs="仿宋"/>
                <w:bCs/>
                <w:szCs w:val="21"/>
              </w:rPr>
            </w:pPr>
            <w:r>
              <w:rPr>
                <w:rFonts w:hint="eastAsia" w:ascii="仿宋" w:hAnsi="仿宋" w:eastAsia="仿宋" w:cs="仿宋"/>
                <w:bCs/>
                <w:szCs w:val="21"/>
              </w:rPr>
              <w:t>电子秤</w:t>
            </w:r>
          </w:p>
        </w:tc>
        <w:tc>
          <w:tcPr>
            <w:tcW w:w="1876" w:type="dxa"/>
            <w:shd w:val="clear" w:color="auto" w:fill="auto"/>
            <w:vAlign w:val="center"/>
          </w:tcPr>
          <w:p>
            <w:pPr>
              <w:jc w:val="center"/>
              <w:rPr>
                <w:rFonts w:ascii="仿宋" w:hAnsi="仿宋" w:eastAsia="仿宋" w:cs="仿宋"/>
                <w:bCs/>
                <w:szCs w:val="21"/>
              </w:rPr>
            </w:pPr>
            <w:r>
              <w:rPr>
                <w:rFonts w:hint="eastAsia" w:ascii="仿宋" w:hAnsi="仿宋" w:eastAsia="仿宋" w:cs="仿宋"/>
                <w:bCs/>
                <w:szCs w:val="21"/>
              </w:rPr>
              <w:t>5kg/200kg</w:t>
            </w:r>
          </w:p>
        </w:tc>
        <w:tc>
          <w:tcPr>
            <w:tcW w:w="0" w:type="auto"/>
            <w:shd w:val="clear" w:color="auto" w:fill="auto"/>
            <w:vAlign w:val="center"/>
          </w:tcPr>
          <w:p>
            <w:pPr>
              <w:tabs>
                <w:tab w:val="center" w:pos="900"/>
              </w:tabs>
              <w:jc w:val="center"/>
              <w:rPr>
                <w:rFonts w:ascii="仿宋" w:hAnsi="仿宋" w:eastAsia="仿宋" w:cs="仿宋"/>
                <w:bCs/>
                <w:szCs w:val="21"/>
              </w:rPr>
            </w:pPr>
            <w:r>
              <w:rPr>
                <w:rFonts w:hint="eastAsia" w:ascii="仿宋" w:hAnsi="仿宋" w:eastAsia="仿宋" w:cs="仿宋"/>
                <w:bCs/>
                <w:szCs w:val="21"/>
              </w:rPr>
              <w:t>6</w:t>
            </w:r>
          </w:p>
        </w:tc>
        <w:tc>
          <w:tcPr>
            <w:tcW w:w="0" w:type="auto"/>
            <w:vMerge w:val="continue"/>
            <w:vAlign w:val="center"/>
          </w:tcPr>
          <w:p>
            <w:pPr>
              <w:spacing w:line="240" w:lineRule="exact"/>
              <w:jc w:val="center"/>
              <w:rPr>
                <w:rFonts w:ascii="仿宋" w:hAnsi="仿宋" w:eastAsia="仿宋" w:cs="仿宋"/>
                <w:bCs/>
                <w:szCs w:val="21"/>
              </w:rPr>
            </w:pPr>
          </w:p>
        </w:tc>
        <w:tc>
          <w:tcPr>
            <w:tcW w:w="0" w:type="auto"/>
            <w:vMerge w:val="continue"/>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0" w:type="auto"/>
            <w:vMerge w:val="restar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辅助</w:t>
            </w:r>
            <w:r>
              <w:rPr>
                <w:rFonts w:ascii="仿宋" w:hAnsi="仿宋" w:eastAsia="仿宋" w:cs="仿宋"/>
                <w:bCs/>
                <w:szCs w:val="21"/>
              </w:rPr>
              <w:t>设备</w:t>
            </w:r>
          </w:p>
        </w:tc>
        <w:tc>
          <w:tcPr>
            <w:tcW w:w="2115" w:type="dxa"/>
            <w:shd w:val="clear" w:color="auto" w:fill="auto"/>
            <w:vAlign w:val="center"/>
          </w:tcPr>
          <w:p>
            <w:pPr>
              <w:tabs>
                <w:tab w:val="center" w:pos="900"/>
              </w:tabs>
              <w:jc w:val="center"/>
              <w:rPr>
                <w:rFonts w:ascii="仿宋" w:hAnsi="仿宋" w:eastAsia="仿宋" w:cs="仿宋"/>
                <w:bCs/>
                <w:szCs w:val="21"/>
              </w:rPr>
            </w:pPr>
            <w:r>
              <w:rPr>
                <w:rFonts w:ascii="仿宋" w:hAnsi="仿宋" w:eastAsia="仿宋" w:cs="仿宋"/>
                <w:bCs/>
                <w:szCs w:val="21"/>
              </w:rPr>
              <w:t>电动</w:t>
            </w:r>
            <w:r>
              <w:rPr>
                <w:rFonts w:hint="eastAsia" w:ascii="仿宋" w:hAnsi="仿宋" w:eastAsia="仿宋" w:cs="仿宋"/>
                <w:bCs/>
                <w:szCs w:val="21"/>
              </w:rPr>
              <w:t>堆</w:t>
            </w:r>
            <w:r>
              <w:rPr>
                <w:rFonts w:ascii="仿宋" w:hAnsi="仿宋" w:eastAsia="仿宋" w:cs="仿宋"/>
                <w:bCs/>
                <w:szCs w:val="21"/>
              </w:rPr>
              <w:t>高车</w:t>
            </w:r>
          </w:p>
        </w:tc>
        <w:tc>
          <w:tcPr>
            <w:tcW w:w="1876" w:type="dxa"/>
            <w:shd w:val="clear" w:color="auto" w:fill="auto"/>
            <w:vAlign w:val="center"/>
          </w:tcPr>
          <w:p>
            <w:pPr>
              <w:jc w:val="center"/>
              <w:rPr>
                <w:rFonts w:ascii="仿宋" w:hAnsi="仿宋" w:eastAsia="仿宋" w:cs="仿宋"/>
                <w:bCs/>
                <w:szCs w:val="21"/>
              </w:rPr>
            </w:pPr>
            <w:r>
              <w:rPr>
                <w:rFonts w:hint="eastAsia" w:ascii="仿宋" w:hAnsi="仿宋" w:eastAsia="仿宋" w:cs="仿宋"/>
                <w:bCs/>
                <w:szCs w:val="21"/>
              </w:rPr>
              <w:t>1.5t</w:t>
            </w:r>
          </w:p>
        </w:tc>
        <w:tc>
          <w:tcPr>
            <w:tcW w:w="1133"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w:t>
            </w:r>
          </w:p>
        </w:tc>
        <w:tc>
          <w:tcPr>
            <w:tcW w:w="0" w:type="auto"/>
            <w:vMerge w:val="restar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生产</w:t>
            </w:r>
            <w:r>
              <w:rPr>
                <w:rFonts w:ascii="仿宋" w:hAnsi="仿宋" w:eastAsia="仿宋" w:cs="仿宋"/>
                <w:bCs/>
                <w:szCs w:val="21"/>
              </w:rPr>
              <w:t>车间内</w:t>
            </w:r>
          </w:p>
        </w:tc>
        <w:tc>
          <w:tcPr>
            <w:tcW w:w="0" w:type="auto"/>
            <w:vMerge w:val="continue"/>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0" w:type="auto"/>
            <w:vMerge w:val="continue"/>
            <w:vAlign w:val="center"/>
          </w:tcPr>
          <w:p>
            <w:pPr>
              <w:spacing w:line="240" w:lineRule="exact"/>
              <w:jc w:val="center"/>
              <w:rPr>
                <w:rFonts w:ascii="仿宋" w:hAnsi="仿宋" w:eastAsia="仿宋" w:cs="仿宋"/>
                <w:bCs/>
                <w:szCs w:val="21"/>
              </w:rPr>
            </w:pPr>
          </w:p>
        </w:tc>
        <w:tc>
          <w:tcPr>
            <w:tcW w:w="2115" w:type="dxa"/>
            <w:shd w:val="clear" w:color="auto" w:fill="auto"/>
            <w:vAlign w:val="center"/>
          </w:tcPr>
          <w:p>
            <w:pPr>
              <w:tabs>
                <w:tab w:val="center" w:pos="900"/>
              </w:tabs>
              <w:jc w:val="center"/>
              <w:rPr>
                <w:rFonts w:ascii="仿宋" w:hAnsi="仿宋" w:eastAsia="仿宋" w:cs="仿宋"/>
                <w:bCs/>
                <w:szCs w:val="21"/>
              </w:rPr>
            </w:pPr>
            <w:r>
              <w:rPr>
                <w:rFonts w:hint="eastAsia" w:ascii="仿宋" w:hAnsi="仿宋" w:eastAsia="仿宋" w:cs="仿宋"/>
                <w:bCs/>
                <w:szCs w:val="21"/>
              </w:rPr>
              <w:t>液压升高车</w:t>
            </w:r>
          </w:p>
        </w:tc>
        <w:tc>
          <w:tcPr>
            <w:tcW w:w="1876" w:type="dxa"/>
            <w:shd w:val="clear" w:color="auto" w:fill="auto"/>
            <w:vAlign w:val="center"/>
          </w:tcPr>
          <w:p>
            <w:pPr>
              <w:jc w:val="center"/>
              <w:rPr>
                <w:rFonts w:ascii="仿宋" w:hAnsi="仿宋" w:eastAsia="仿宋" w:cs="仿宋"/>
                <w:bCs/>
                <w:szCs w:val="21"/>
              </w:rPr>
            </w:pPr>
            <w:r>
              <w:rPr>
                <w:rFonts w:hint="eastAsia" w:ascii="仿宋" w:hAnsi="仿宋" w:eastAsia="仿宋" w:cs="仿宋"/>
                <w:bCs/>
                <w:szCs w:val="21"/>
              </w:rPr>
              <w:t>3t</w:t>
            </w:r>
          </w:p>
        </w:tc>
        <w:tc>
          <w:tcPr>
            <w:tcW w:w="1133"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w:t>
            </w:r>
          </w:p>
        </w:tc>
        <w:tc>
          <w:tcPr>
            <w:tcW w:w="1383" w:type="dxa"/>
            <w:vMerge w:val="continue"/>
            <w:vAlign w:val="center"/>
          </w:tcPr>
          <w:p>
            <w:pPr>
              <w:spacing w:line="240" w:lineRule="exact"/>
              <w:jc w:val="center"/>
              <w:rPr>
                <w:rFonts w:ascii="仿宋" w:hAnsi="仿宋" w:eastAsia="仿宋" w:cs="仿宋"/>
                <w:bCs/>
                <w:szCs w:val="21"/>
              </w:rPr>
            </w:pPr>
          </w:p>
        </w:tc>
        <w:tc>
          <w:tcPr>
            <w:tcW w:w="1385" w:type="dxa"/>
            <w:vMerge w:val="continue"/>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0" w:type="auto"/>
            <w:vMerge w:val="continue"/>
            <w:vAlign w:val="center"/>
          </w:tcPr>
          <w:p>
            <w:pPr>
              <w:spacing w:line="240" w:lineRule="exact"/>
              <w:jc w:val="center"/>
              <w:rPr>
                <w:rFonts w:ascii="仿宋" w:hAnsi="仿宋" w:eastAsia="仿宋" w:cs="仿宋"/>
                <w:bCs/>
                <w:szCs w:val="21"/>
              </w:rPr>
            </w:pPr>
          </w:p>
        </w:tc>
        <w:tc>
          <w:tcPr>
            <w:tcW w:w="2115" w:type="dxa"/>
            <w:shd w:val="clear" w:color="auto" w:fill="auto"/>
            <w:vAlign w:val="center"/>
          </w:tcPr>
          <w:p>
            <w:pPr>
              <w:tabs>
                <w:tab w:val="center" w:pos="900"/>
              </w:tabs>
              <w:jc w:val="center"/>
              <w:rPr>
                <w:rFonts w:ascii="仿宋" w:hAnsi="仿宋" w:eastAsia="仿宋" w:cs="仿宋"/>
                <w:bCs/>
                <w:szCs w:val="21"/>
              </w:rPr>
            </w:pPr>
            <w:r>
              <w:rPr>
                <w:rFonts w:hint="eastAsia" w:ascii="仿宋" w:hAnsi="仿宋" w:eastAsia="仿宋" w:cs="仿宋"/>
                <w:bCs/>
                <w:szCs w:val="21"/>
              </w:rPr>
              <w:t>冷却池</w:t>
            </w:r>
          </w:p>
        </w:tc>
        <w:tc>
          <w:tcPr>
            <w:tcW w:w="1876" w:type="dxa"/>
            <w:shd w:val="clear" w:color="auto" w:fill="auto"/>
            <w:vAlign w:val="center"/>
          </w:tcPr>
          <w:p>
            <w:pPr>
              <w:jc w:val="center"/>
              <w:rPr>
                <w:rFonts w:ascii="仿宋" w:hAnsi="仿宋" w:eastAsia="仿宋" w:cs="仿宋"/>
                <w:bCs/>
                <w:szCs w:val="21"/>
              </w:rPr>
            </w:pPr>
            <w:r>
              <w:rPr>
                <w:rFonts w:hint="eastAsia" w:ascii="仿宋" w:hAnsi="仿宋" w:eastAsia="仿宋" w:cs="仿宋"/>
                <w:bCs/>
                <w:szCs w:val="21"/>
              </w:rPr>
              <w:t>/</w:t>
            </w:r>
          </w:p>
        </w:tc>
        <w:tc>
          <w:tcPr>
            <w:tcW w:w="1133"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w:t>
            </w:r>
          </w:p>
        </w:tc>
        <w:tc>
          <w:tcPr>
            <w:tcW w:w="1383"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车间</w:t>
            </w:r>
            <w:r>
              <w:rPr>
                <w:rFonts w:ascii="仿宋" w:hAnsi="仿宋" w:eastAsia="仿宋" w:cs="仿宋"/>
                <w:bCs/>
                <w:szCs w:val="21"/>
              </w:rPr>
              <w:t>南侧</w:t>
            </w:r>
          </w:p>
        </w:tc>
        <w:tc>
          <w:tcPr>
            <w:tcW w:w="1385"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依托威斯双联有限公司的冷却池，设计循环量10000t/a,本项目循环量5000t/a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0" w:type="auto"/>
            <w:vMerge w:val="restart"/>
            <w:vAlign w:val="center"/>
          </w:tcPr>
          <w:p>
            <w:pPr>
              <w:spacing w:line="240" w:lineRule="exact"/>
              <w:jc w:val="center"/>
              <w:rPr>
                <w:rFonts w:ascii="仿宋" w:hAnsi="仿宋" w:eastAsia="仿宋" w:cs="仿宋"/>
                <w:bCs/>
                <w:szCs w:val="21"/>
              </w:rPr>
            </w:pPr>
            <w:r>
              <w:rPr>
                <w:rFonts w:ascii="仿宋" w:hAnsi="仿宋" w:eastAsia="仿宋" w:cs="仿宋"/>
                <w:bCs/>
                <w:szCs w:val="21"/>
              </w:rPr>
              <w:t>环保设备</w:t>
            </w:r>
          </w:p>
        </w:tc>
        <w:tc>
          <w:tcPr>
            <w:tcW w:w="2115" w:type="dxa"/>
            <w:shd w:val="clear" w:color="auto" w:fill="auto"/>
            <w:vAlign w:val="center"/>
          </w:tcPr>
          <w:p>
            <w:pPr>
              <w:tabs>
                <w:tab w:val="center" w:pos="900"/>
              </w:tabs>
              <w:jc w:val="center"/>
              <w:rPr>
                <w:rFonts w:ascii="仿宋" w:hAnsi="仿宋" w:eastAsia="仿宋" w:cs="仿宋"/>
                <w:bCs/>
                <w:szCs w:val="21"/>
              </w:rPr>
            </w:pPr>
            <w:r>
              <w:rPr>
                <w:rFonts w:ascii="仿宋" w:hAnsi="仿宋" w:eastAsia="仿宋" w:cs="仿宋"/>
                <w:bCs/>
                <w:szCs w:val="21"/>
              </w:rPr>
              <w:t>RTO废气处理设备</w:t>
            </w:r>
          </w:p>
        </w:tc>
        <w:tc>
          <w:tcPr>
            <w:tcW w:w="1876"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50000m</w:t>
            </w:r>
            <w:r>
              <w:rPr>
                <w:rFonts w:ascii="仿宋" w:hAnsi="仿宋" w:eastAsia="仿宋" w:cs="仿宋"/>
                <w:bCs/>
                <w:szCs w:val="21"/>
                <w:vertAlign w:val="superscript"/>
              </w:rPr>
              <w:t>3</w:t>
            </w:r>
            <w:r>
              <w:rPr>
                <w:rFonts w:hint="eastAsia" w:ascii="仿宋" w:hAnsi="仿宋" w:eastAsia="仿宋" w:cs="仿宋"/>
                <w:bCs/>
                <w:szCs w:val="21"/>
              </w:rPr>
              <w:t>/h</w:t>
            </w:r>
          </w:p>
        </w:tc>
        <w:tc>
          <w:tcPr>
            <w:tcW w:w="1133"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w:t>
            </w:r>
          </w:p>
        </w:tc>
        <w:tc>
          <w:tcPr>
            <w:tcW w:w="1383" w:type="dxa"/>
            <w:vMerge w:val="restar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车间</w:t>
            </w:r>
            <w:r>
              <w:rPr>
                <w:rFonts w:ascii="仿宋" w:hAnsi="仿宋" w:eastAsia="仿宋" w:cs="仿宋"/>
                <w:bCs/>
                <w:szCs w:val="21"/>
              </w:rPr>
              <w:t>南侧</w:t>
            </w:r>
          </w:p>
        </w:tc>
        <w:tc>
          <w:tcPr>
            <w:tcW w:w="1385" w:type="dxa"/>
            <w:vMerge w:val="restar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0" w:type="auto"/>
            <w:vMerge w:val="continue"/>
            <w:vAlign w:val="center"/>
          </w:tcPr>
          <w:p>
            <w:pPr>
              <w:spacing w:line="240" w:lineRule="exact"/>
              <w:jc w:val="center"/>
              <w:rPr>
                <w:rFonts w:ascii="仿宋" w:hAnsi="仿宋" w:eastAsia="仿宋" w:cs="仿宋"/>
                <w:bCs/>
                <w:szCs w:val="21"/>
              </w:rPr>
            </w:pPr>
          </w:p>
        </w:tc>
        <w:tc>
          <w:tcPr>
            <w:tcW w:w="2115" w:type="dxa"/>
            <w:shd w:val="clear" w:color="auto" w:fill="auto"/>
            <w:vAlign w:val="center"/>
          </w:tcPr>
          <w:p>
            <w:pPr>
              <w:tabs>
                <w:tab w:val="center" w:pos="900"/>
              </w:tabs>
              <w:jc w:val="center"/>
              <w:rPr>
                <w:rFonts w:ascii="仿宋" w:hAnsi="仿宋" w:eastAsia="仿宋" w:cs="仿宋"/>
                <w:bCs/>
                <w:szCs w:val="21"/>
              </w:rPr>
            </w:pPr>
            <w:r>
              <w:rPr>
                <w:rFonts w:hint="eastAsia" w:ascii="仿宋" w:hAnsi="仿宋" w:eastAsia="仿宋" w:cs="仿宋"/>
                <w:bCs/>
                <w:szCs w:val="21"/>
              </w:rPr>
              <w:t>导热油炉</w:t>
            </w:r>
          </w:p>
        </w:tc>
        <w:tc>
          <w:tcPr>
            <w:tcW w:w="1876"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尺寸：3.1m*2.8m*3.4m，额定热功率2350kw</w:t>
            </w:r>
          </w:p>
        </w:tc>
        <w:tc>
          <w:tcPr>
            <w:tcW w:w="1133"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w:t>
            </w:r>
          </w:p>
        </w:tc>
        <w:tc>
          <w:tcPr>
            <w:tcW w:w="1383" w:type="dxa"/>
            <w:vMerge w:val="continue"/>
            <w:vAlign w:val="center"/>
          </w:tcPr>
          <w:p>
            <w:pPr>
              <w:spacing w:line="240" w:lineRule="exact"/>
              <w:jc w:val="center"/>
              <w:rPr>
                <w:rFonts w:ascii="仿宋" w:hAnsi="仿宋" w:eastAsia="仿宋" w:cs="仿宋"/>
                <w:bCs/>
                <w:szCs w:val="21"/>
              </w:rPr>
            </w:pPr>
          </w:p>
        </w:tc>
        <w:tc>
          <w:tcPr>
            <w:tcW w:w="1385" w:type="dxa"/>
            <w:vMerge w:val="continue"/>
            <w:vAlign w:val="center"/>
          </w:tcPr>
          <w:p>
            <w:pPr>
              <w:spacing w:line="240" w:lineRule="exact"/>
              <w:jc w:val="center"/>
              <w:rPr>
                <w:rFonts w:ascii="仿宋" w:hAnsi="仿宋" w:eastAsia="仿宋" w:cs="仿宋"/>
                <w:bCs/>
                <w:szCs w:val="21"/>
              </w:rPr>
            </w:pPr>
          </w:p>
        </w:tc>
      </w:tr>
    </w:tbl>
    <w:p>
      <w:pPr>
        <w:pStyle w:val="4"/>
        <w:keepLines w:val="0"/>
        <w:numPr>
          <w:ilvl w:val="2"/>
          <w:numId w:val="1"/>
        </w:numPr>
        <w:tabs>
          <w:tab w:val="left" w:pos="709"/>
        </w:tabs>
        <w:spacing w:before="120" w:beforeLines="50" w:after="120" w:afterLines="50" w:line="500" w:lineRule="exact"/>
        <w:ind w:left="452" w:hanging="452" w:hangingChars="150"/>
        <w:rPr>
          <w:rFonts w:eastAsia="仿宋_GB2312"/>
          <w:sz w:val="30"/>
          <w:szCs w:val="30"/>
        </w:rPr>
      </w:pPr>
      <w:r>
        <w:rPr>
          <w:rFonts w:eastAsia="仿宋_GB2312"/>
          <w:sz w:val="30"/>
          <w:szCs w:val="30"/>
        </w:rPr>
        <w:t>公用及辅助工程</w:t>
      </w:r>
    </w:p>
    <w:p>
      <w:pPr>
        <w:spacing w:line="500" w:lineRule="exact"/>
        <w:ind w:firstLine="560" w:firstLineChars="200"/>
        <w:rPr>
          <w:rFonts w:eastAsia="仿宋_GB2312"/>
          <w:sz w:val="28"/>
          <w:szCs w:val="28"/>
        </w:rPr>
      </w:pPr>
      <w:r>
        <w:rPr>
          <w:rFonts w:hint="eastAsia" w:eastAsia="仿宋_GB2312"/>
          <w:sz w:val="28"/>
          <w:szCs w:val="28"/>
        </w:rPr>
        <w:t>本项目</w:t>
      </w:r>
      <w:r>
        <w:rPr>
          <w:rFonts w:eastAsia="仿宋_GB2312"/>
          <w:sz w:val="28"/>
          <w:szCs w:val="28"/>
        </w:rPr>
        <w:t>公用、辅助及环保工程</w:t>
      </w:r>
      <w:r>
        <w:rPr>
          <w:rFonts w:hint="eastAsia" w:eastAsia="仿宋_GB2312"/>
          <w:sz w:val="28"/>
          <w:szCs w:val="28"/>
        </w:rPr>
        <w:t>见</w:t>
      </w:r>
      <w:r>
        <w:rPr>
          <w:rFonts w:eastAsia="仿宋_GB2312"/>
          <w:sz w:val="28"/>
          <w:szCs w:val="28"/>
        </w:rPr>
        <w:t>表</w:t>
      </w:r>
      <w:r>
        <w:rPr>
          <w:rFonts w:hint="eastAsia" w:eastAsia="仿宋_GB2312"/>
          <w:sz w:val="28"/>
          <w:szCs w:val="28"/>
        </w:rPr>
        <w:t>3.1-1</w:t>
      </w:r>
      <w:r>
        <w:rPr>
          <w:rFonts w:eastAsia="仿宋_GB2312"/>
          <w:sz w:val="28"/>
          <w:szCs w:val="28"/>
        </w:rPr>
        <w:t>8</w:t>
      </w:r>
      <w:r>
        <w:rPr>
          <w:rFonts w:hint="eastAsia" w:eastAsia="仿宋_GB2312"/>
          <w:sz w:val="28"/>
          <w:szCs w:val="28"/>
        </w:rPr>
        <w:t>。</w:t>
      </w:r>
    </w:p>
    <w:p>
      <w:pPr>
        <w:jc w:val="center"/>
        <w:rPr>
          <w:rFonts w:eastAsia="仿宋_GB2312"/>
          <w:b/>
          <w:bCs/>
          <w:sz w:val="24"/>
        </w:rPr>
      </w:pPr>
      <w:r>
        <w:rPr>
          <w:rFonts w:eastAsia="仿宋_GB2312"/>
          <w:b/>
          <w:bCs/>
          <w:sz w:val="24"/>
        </w:rPr>
        <w:t>表3.</w:t>
      </w:r>
      <w:r>
        <w:rPr>
          <w:rFonts w:hint="eastAsia" w:eastAsia="仿宋_GB2312"/>
          <w:b/>
          <w:bCs/>
          <w:sz w:val="24"/>
        </w:rPr>
        <w:t>1</w:t>
      </w:r>
      <w:r>
        <w:rPr>
          <w:rFonts w:eastAsia="仿宋_GB2312"/>
          <w:b/>
          <w:bCs/>
          <w:sz w:val="24"/>
        </w:rPr>
        <w:t>-</w:t>
      </w:r>
      <w:r>
        <w:rPr>
          <w:rFonts w:hint="eastAsia" w:eastAsia="仿宋_GB2312"/>
          <w:b/>
          <w:bCs/>
          <w:sz w:val="24"/>
        </w:rPr>
        <w:t>1</w:t>
      </w:r>
      <w:r>
        <w:rPr>
          <w:rFonts w:eastAsia="仿宋_GB2312"/>
          <w:b/>
          <w:bCs/>
          <w:sz w:val="24"/>
        </w:rPr>
        <w:t xml:space="preserve">8 </w:t>
      </w:r>
      <w:r>
        <w:rPr>
          <w:rFonts w:hint="eastAsia" w:eastAsia="仿宋_GB2312"/>
          <w:b/>
          <w:bCs/>
          <w:sz w:val="24"/>
        </w:rPr>
        <w:t>本</w:t>
      </w:r>
      <w:r>
        <w:rPr>
          <w:rFonts w:eastAsia="仿宋_GB2312"/>
          <w:b/>
          <w:bCs/>
          <w:sz w:val="24"/>
        </w:rPr>
        <w:t>项目</w:t>
      </w:r>
      <w:r>
        <w:rPr>
          <w:rFonts w:hint="eastAsia" w:eastAsia="仿宋_GB2312"/>
          <w:b/>
          <w:bCs/>
          <w:sz w:val="24"/>
        </w:rPr>
        <w:t>公用及辅助工程</w:t>
      </w:r>
    </w:p>
    <w:tbl>
      <w:tblPr>
        <w:tblStyle w:val="87"/>
        <w:tblW w:w="1027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30" w:type="dxa"/>
          <w:bottom w:w="0" w:type="dxa"/>
          <w:right w:w="30" w:type="dxa"/>
        </w:tblCellMar>
      </w:tblPr>
      <w:tblGrid>
        <w:gridCol w:w="728"/>
        <w:gridCol w:w="1478"/>
        <w:gridCol w:w="5201"/>
        <w:gridCol w:w="28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59" w:hRule="atLeast"/>
          <w:jc w:val="center"/>
        </w:trPr>
        <w:tc>
          <w:tcPr>
            <w:tcW w:w="728" w:type="dxa"/>
            <w:shd w:val="solid" w:color="FFFFFF" w:fill="FFFFFF"/>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工程</w:t>
            </w:r>
          </w:p>
          <w:p>
            <w:pPr>
              <w:spacing w:line="240" w:lineRule="exact"/>
              <w:jc w:val="center"/>
              <w:rPr>
                <w:rFonts w:ascii="仿宋" w:hAnsi="仿宋" w:eastAsia="仿宋" w:cs="仿宋"/>
                <w:bCs/>
                <w:szCs w:val="21"/>
              </w:rPr>
            </w:pPr>
            <w:r>
              <w:rPr>
                <w:rFonts w:hint="eastAsia" w:ascii="仿宋" w:hAnsi="仿宋" w:eastAsia="仿宋" w:cs="仿宋"/>
                <w:bCs/>
                <w:szCs w:val="21"/>
              </w:rPr>
              <w:t>类别</w:t>
            </w:r>
          </w:p>
        </w:tc>
        <w:tc>
          <w:tcPr>
            <w:tcW w:w="1478"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建设名称</w:t>
            </w:r>
          </w:p>
        </w:tc>
        <w:tc>
          <w:tcPr>
            <w:tcW w:w="5201" w:type="dxa"/>
            <w:tcBorders>
              <w:righ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设计能力</w:t>
            </w:r>
          </w:p>
        </w:tc>
        <w:tc>
          <w:tcPr>
            <w:tcW w:w="2872" w:type="dxa"/>
            <w:tcBorders>
              <w:lef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70" w:hRule="atLeast"/>
          <w:jc w:val="center"/>
        </w:trPr>
        <w:tc>
          <w:tcPr>
            <w:tcW w:w="728" w:type="dxa"/>
            <w:vMerge w:val="restart"/>
            <w:shd w:val="solid" w:color="FFFFFF" w:fill="FFFFFF"/>
            <w:vAlign w:val="center"/>
          </w:tcPr>
          <w:p>
            <w:pPr>
              <w:spacing w:line="240" w:lineRule="exact"/>
              <w:jc w:val="center"/>
              <w:rPr>
                <w:rFonts w:ascii="仿宋" w:hAnsi="仿宋" w:eastAsia="仿宋" w:cs="仿宋"/>
                <w:szCs w:val="21"/>
              </w:rPr>
            </w:pPr>
            <w:r>
              <w:rPr>
                <w:rFonts w:hint="eastAsia" w:ascii="仿宋" w:hAnsi="仿宋" w:eastAsia="仿宋" w:cs="仿宋"/>
                <w:szCs w:val="21"/>
              </w:rPr>
              <w:t>贮运</w:t>
            </w:r>
          </w:p>
          <w:p>
            <w:pPr>
              <w:spacing w:line="240" w:lineRule="exact"/>
              <w:jc w:val="center"/>
              <w:rPr>
                <w:rFonts w:ascii="仿宋" w:hAnsi="仿宋" w:eastAsia="仿宋" w:cs="仿宋"/>
                <w:szCs w:val="21"/>
              </w:rPr>
            </w:pPr>
            <w:r>
              <w:rPr>
                <w:rFonts w:hint="eastAsia" w:ascii="仿宋" w:hAnsi="仿宋" w:eastAsia="仿宋" w:cs="仿宋"/>
                <w:szCs w:val="21"/>
              </w:rPr>
              <w:t>工程</w:t>
            </w:r>
          </w:p>
        </w:tc>
        <w:tc>
          <w:tcPr>
            <w:tcW w:w="1478" w:type="dxa"/>
            <w:tcBorders>
              <w:bottom w:val="single" w:color="auto" w:sz="6" w:space="0"/>
            </w:tcBorders>
            <w:vAlign w:val="center"/>
          </w:tcPr>
          <w:p>
            <w:pPr>
              <w:spacing w:line="240" w:lineRule="exact"/>
              <w:jc w:val="center"/>
              <w:rPr>
                <w:rFonts w:ascii="仿宋" w:hAnsi="仿宋" w:eastAsia="仿宋" w:cs="仿宋"/>
                <w:szCs w:val="21"/>
              </w:rPr>
            </w:pPr>
            <w:r>
              <w:rPr>
                <w:rFonts w:hint="eastAsia" w:ascii="仿宋" w:hAnsi="仿宋" w:eastAsia="仿宋" w:cs="仿宋"/>
                <w:szCs w:val="21"/>
              </w:rPr>
              <w:t>原料仓库</w:t>
            </w:r>
          </w:p>
        </w:tc>
        <w:tc>
          <w:tcPr>
            <w:tcW w:w="5201" w:type="dxa"/>
            <w:tcBorders>
              <w:bottom w:val="single" w:color="auto" w:sz="6" w:space="0"/>
              <w:right w:val="single" w:color="auto" w:sz="4" w:space="0"/>
            </w:tcBorders>
            <w:vAlign w:val="center"/>
          </w:tcPr>
          <w:p>
            <w:pPr>
              <w:pStyle w:val="124"/>
              <w:spacing w:line="240" w:lineRule="exact"/>
              <w:rPr>
                <w:rFonts w:ascii="仿宋" w:hAnsi="仿宋" w:eastAsia="仿宋" w:cs="仿宋"/>
                <w:szCs w:val="21"/>
              </w:rPr>
            </w:pPr>
            <w:r>
              <w:rPr>
                <w:rFonts w:hint="eastAsia" w:ascii="仿宋" w:hAnsi="仿宋" w:eastAsia="仿宋" w:cs="仿宋"/>
                <w:szCs w:val="21"/>
              </w:rPr>
              <w:t>占地</w:t>
            </w:r>
            <w:r>
              <w:rPr>
                <w:rFonts w:ascii="仿宋" w:hAnsi="仿宋" w:eastAsia="仿宋" w:cs="仿宋"/>
                <w:szCs w:val="21"/>
              </w:rPr>
              <w:t>面积</w:t>
            </w:r>
            <w:r>
              <w:rPr>
                <w:rFonts w:hint="eastAsia" w:ascii="仿宋" w:hAnsi="仿宋" w:eastAsia="仿宋" w:cs="仿宋"/>
                <w:szCs w:val="21"/>
              </w:rPr>
              <w:t>432m</w:t>
            </w:r>
            <w:r>
              <w:rPr>
                <w:rFonts w:ascii="仿宋" w:hAnsi="仿宋" w:eastAsia="仿宋" w:cs="仿宋"/>
                <w:szCs w:val="21"/>
                <w:vertAlign w:val="superscript"/>
              </w:rPr>
              <w:t>2</w:t>
            </w:r>
          </w:p>
        </w:tc>
        <w:tc>
          <w:tcPr>
            <w:tcW w:w="2872" w:type="dxa"/>
            <w:tcBorders>
              <w:left w:val="single" w:color="auto" w:sz="4" w:space="0"/>
              <w:bottom w:val="single" w:color="auto" w:sz="6" w:space="0"/>
            </w:tcBorders>
            <w:vAlign w:val="center"/>
          </w:tcPr>
          <w:p>
            <w:pPr>
              <w:spacing w:line="240" w:lineRule="exact"/>
              <w:jc w:val="center"/>
              <w:rPr>
                <w:rFonts w:ascii="仿宋" w:hAnsi="仿宋" w:eastAsia="仿宋" w:cs="仿宋"/>
                <w:szCs w:val="21"/>
              </w:rPr>
            </w:pPr>
            <w:r>
              <w:rPr>
                <w:rFonts w:hint="eastAsia" w:ascii="仿宋" w:hAnsi="仿宋" w:eastAsia="仿宋" w:cs="仿宋"/>
                <w:szCs w:val="21"/>
              </w:rPr>
              <w:t>位于</w:t>
            </w:r>
            <w:r>
              <w:rPr>
                <w:rFonts w:ascii="仿宋" w:hAnsi="仿宋" w:eastAsia="仿宋" w:cs="仿宋"/>
                <w:szCs w:val="21"/>
              </w:rPr>
              <w:t>车间东侧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213" w:hRule="atLeast"/>
          <w:jc w:val="center"/>
        </w:trPr>
        <w:tc>
          <w:tcPr>
            <w:tcW w:w="728" w:type="dxa"/>
            <w:vMerge w:val="continue"/>
            <w:shd w:val="solid" w:color="FFFFFF" w:fill="FFFFFF"/>
            <w:vAlign w:val="center"/>
          </w:tcPr>
          <w:p>
            <w:pPr>
              <w:spacing w:line="240" w:lineRule="exact"/>
              <w:jc w:val="center"/>
              <w:rPr>
                <w:rFonts w:ascii="仿宋" w:hAnsi="仿宋" w:eastAsia="仿宋" w:cs="仿宋"/>
                <w:szCs w:val="21"/>
              </w:rPr>
            </w:pPr>
          </w:p>
        </w:tc>
        <w:tc>
          <w:tcPr>
            <w:tcW w:w="1478" w:type="dxa"/>
            <w:tcBorders>
              <w:bottom w:val="single" w:color="auto" w:sz="4" w:space="0"/>
            </w:tcBorders>
            <w:vAlign w:val="center"/>
          </w:tcPr>
          <w:p>
            <w:pPr>
              <w:spacing w:line="240" w:lineRule="exact"/>
              <w:jc w:val="center"/>
              <w:rPr>
                <w:rFonts w:ascii="仿宋" w:hAnsi="仿宋" w:eastAsia="仿宋" w:cs="仿宋"/>
                <w:szCs w:val="21"/>
              </w:rPr>
            </w:pPr>
            <w:r>
              <w:rPr>
                <w:rFonts w:hint="eastAsia" w:ascii="仿宋" w:hAnsi="仿宋" w:eastAsia="仿宋" w:cs="仿宋"/>
                <w:szCs w:val="21"/>
              </w:rPr>
              <w:t>成品仓库</w:t>
            </w:r>
          </w:p>
        </w:tc>
        <w:tc>
          <w:tcPr>
            <w:tcW w:w="5201" w:type="dxa"/>
            <w:tcBorders>
              <w:bottom w:val="single" w:color="auto" w:sz="4" w:space="0"/>
              <w:right w:val="single" w:color="auto" w:sz="4" w:space="0"/>
            </w:tcBorders>
            <w:vAlign w:val="center"/>
          </w:tcPr>
          <w:p>
            <w:pPr>
              <w:pStyle w:val="124"/>
              <w:spacing w:line="240" w:lineRule="exact"/>
              <w:rPr>
                <w:rFonts w:ascii="仿宋" w:hAnsi="仿宋" w:eastAsia="仿宋" w:cs="仿宋"/>
                <w:szCs w:val="21"/>
              </w:rPr>
            </w:pPr>
            <w:r>
              <w:rPr>
                <w:rFonts w:hint="eastAsia" w:ascii="仿宋" w:hAnsi="仿宋" w:eastAsia="仿宋" w:cs="仿宋"/>
                <w:szCs w:val="21"/>
              </w:rPr>
              <w:t>占地</w:t>
            </w:r>
            <w:r>
              <w:rPr>
                <w:rFonts w:ascii="仿宋" w:hAnsi="仿宋" w:eastAsia="仿宋" w:cs="仿宋"/>
                <w:szCs w:val="21"/>
              </w:rPr>
              <w:t>面积</w:t>
            </w:r>
            <w:r>
              <w:rPr>
                <w:rFonts w:hint="eastAsia" w:ascii="仿宋" w:hAnsi="仿宋" w:eastAsia="仿宋" w:cs="仿宋"/>
                <w:szCs w:val="21"/>
              </w:rPr>
              <w:t>80</w:t>
            </w:r>
            <w:r>
              <w:rPr>
                <w:rFonts w:ascii="仿宋" w:hAnsi="仿宋" w:eastAsia="仿宋" w:cs="仿宋"/>
                <w:szCs w:val="21"/>
              </w:rPr>
              <w:t>m</w:t>
            </w:r>
            <w:r>
              <w:rPr>
                <w:rFonts w:ascii="仿宋" w:hAnsi="仿宋" w:eastAsia="仿宋" w:cs="仿宋"/>
                <w:szCs w:val="21"/>
                <w:vertAlign w:val="superscript"/>
              </w:rPr>
              <w:t>2</w:t>
            </w:r>
          </w:p>
        </w:tc>
        <w:tc>
          <w:tcPr>
            <w:tcW w:w="2872" w:type="dxa"/>
            <w:tcBorders>
              <w:left w:val="single" w:color="auto" w:sz="4" w:space="0"/>
              <w:bottom w:val="single" w:color="auto" w:sz="4" w:space="0"/>
            </w:tcBorders>
            <w:vAlign w:val="center"/>
          </w:tcPr>
          <w:p>
            <w:pPr>
              <w:spacing w:line="240" w:lineRule="exact"/>
              <w:jc w:val="center"/>
              <w:rPr>
                <w:rFonts w:ascii="仿宋" w:hAnsi="仿宋" w:eastAsia="仿宋" w:cs="仿宋"/>
                <w:szCs w:val="21"/>
              </w:rPr>
            </w:pPr>
            <w:r>
              <w:rPr>
                <w:rFonts w:hint="eastAsia" w:ascii="仿宋" w:hAnsi="仿宋" w:eastAsia="仿宋" w:cs="仿宋"/>
                <w:szCs w:val="21"/>
              </w:rPr>
              <w:t>位于</w:t>
            </w:r>
            <w:r>
              <w:rPr>
                <w:rFonts w:ascii="仿宋" w:hAnsi="仿宋" w:eastAsia="仿宋" w:cs="仿宋"/>
                <w:szCs w:val="21"/>
              </w:rPr>
              <w:t>车间西南侧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59" w:hRule="atLeast"/>
          <w:jc w:val="center"/>
        </w:trPr>
        <w:tc>
          <w:tcPr>
            <w:tcW w:w="728" w:type="dxa"/>
            <w:vMerge w:val="restart"/>
            <w:shd w:val="solid" w:color="FFFFFF" w:fill="FFFFFF"/>
            <w:vAlign w:val="center"/>
          </w:tcPr>
          <w:p>
            <w:pPr>
              <w:spacing w:line="240" w:lineRule="exact"/>
              <w:jc w:val="center"/>
              <w:rPr>
                <w:rFonts w:ascii="仿宋" w:hAnsi="仿宋" w:eastAsia="仿宋" w:cs="仿宋"/>
                <w:szCs w:val="21"/>
              </w:rPr>
            </w:pPr>
            <w:r>
              <w:rPr>
                <w:rFonts w:hint="eastAsia" w:ascii="仿宋" w:hAnsi="仿宋" w:eastAsia="仿宋" w:cs="仿宋"/>
                <w:szCs w:val="21"/>
              </w:rPr>
              <w:t>公用</w:t>
            </w:r>
          </w:p>
          <w:p>
            <w:pPr>
              <w:spacing w:line="240" w:lineRule="exact"/>
              <w:jc w:val="center"/>
              <w:rPr>
                <w:rFonts w:ascii="仿宋" w:hAnsi="仿宋" w:eastAsia="仿宋" w:cs="仿宋"/>
                <w:szCs w:val="21"/>
              </w:rPr>
            </w:pPr>
            <w:r>
              <w:rPr>
                <w:rFonts w:hint="eastAsia" w:ascii="仿宋" w:hAnsi="仿宋" w:eastAsia="仿宋" w:cs="仿宋"/>
                <w:szCs w:val="21"/>
              </w:rPr>
              <w:t>工程</w:t>
            </w:r>
          </w:p>
        </w:tc>
        <w:tc>
          <w:tcPr>
            <w:tcW w:w="1478" w:type="dxa"/>
            <w:tcBorders>
              <w:top w:val="single" w:color="auto" w:sz="4" w:space="0"/>
            </w:tcBorders>
            <w:vAlign w:val="center"/>
          </w:tcPr>
          <w:p>
            <w:pPr>
              <w:spacing w:line="240" w:lineRule="exact"/>
              <w:jc w:val="center"/>
              <w:rPr>
                <w:rFonts w:ascii="仿宋" w:hAnsi="仿宋" w:eastAsia="仿宋" w:cs="仿宋"/>
                <w:szCs w:val="21"/>
              </w:rPr>
            </w:pPr>
            <w:r>
              <w:rPr>
                <w:rFonts w:hint="eastAsia" w:ascii="仿宋" w:hAnsi="仿宋" w:eastAsia="仿宋" w:cs="仿宋"/>
                <w:szCs w:val="21"/>
              </w:rPr>
              <w:t>给水</w:t>
            </w:r>
          </w:p>
        </w:tc>
        <w:tc>
          <w:tcPr>
            <w:tcW w:w="5201" w:type="dxa"/>
            <w:tcBorders>
              <w:top w:val="single" w:color="auto" w:sz="4" w:space="0"/>
              <w:right w:val="single" w:color="auto" w:sz="4" w:space="0"/>
            </w:tcBorders>
            <w:vAlign w:val="center"/>
          </w:tcPr>
          <w:p>
            <w:pPr>
              <w:spacing w:line="240" w:lineRule="exact"/>
              <w:jc w:val="center"/>
              <w:rPr>
                <w:rFonts w:ascii="仿宋" w:hAnsi="仿宋" w:eastAsia="仿宋" w:cs="仿宋"/>
                <w:szCs w:val="21"/>
              </w:rPr>
            </w:pPr>
            <w:r>
              <w:rPr>
                <w:rFonts w:hint="eastAsia" w:ascii="仿宋" w:hAnsi="仿宋" w:eastAsia="仿宋" w:cs="仿宋"/>
                <w:szCs w:val="21"/>
              </w:rPr>
              <w:t>本项目新鲜水来自于城市自来水厂，总用水量</w:t>
            </w:r>
            <w:r>
              <w:rPr>
                <w:rFonts w:ascii="仿宋" w:hAnsi="仿宋" w:eastAsia="仿宋" w:cs="仿宋"/>
                <w:szCs w:val="21"/>
              </w:rPr>
              <w:t>13550</w:t>
            </w:r>
            <w:r>
              <w:rPr>
                <w:rFonts w:hint="eastAsia" w:ascii="仿宋" w:hAnsi="仿宋" w:eastAsia="仿宋" w:cs="仿宋"/>
                <w:szCs w:val="21"/>
              </w:rPr>
              <w:t>t/a</w:t>
            </w:r>
          </w:p>
        </w:tc>
        <w:tc>
          <w:tcPr>
            <w:tcW w:w="2872" w:type="dxa"/>
            <w:tcBorders>
              <w:top w:val="single" w:color="auto" w:sz="4" w:space="0"/>
              <w:left w:val="single" w:color="auto" w:sz="4" w:space="0"/>
            </w:tcBorders>
            <w:vAlign w:val="center"/>
          </w:tcPr>
          <w:p>
            <w:pPr>
              <w:spacing w:line="240" w:lineRule="exact"/>
              <w:jc w:val="center"/>
              <w:rPr>
                <w:rFonts w:ascii="仿宋" w:hAnsi="仿宋" w:eastAsia="仿宋" w:cs="仿宋"/>
                <w:szCs w:val="21"/>
              </w:rPr>
            </w:pPr>
            <w:r>
              <w:rPr>
                <w:rFonts w:hint="eastAsia" w:ascii="仿宋" w:hAnsi="仿宋" w:eastAsia="仿宋" w:cs="仿宋"/>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59" w:hRule="atLeast"/>
          <w:jc w:val="center"/>
        </w:trPr>
        <w:tc>
          <w:tcPr>
            <w:tcW w:w="728" w:type="dxa"/>
            <w:vMerge w:val="continue"/>
            <w:shd w:val="solid" w:color="FFFFFF" w:fill="FFFFFF"/>
            <w:vAlign w:val="center"/>
          </w:tcPr>
          <w:p>
            <w:pPr>
              <w:spacing w:line="240" w:lineRule="exact"/>
              <w:jc w:val="center"/>
              <w:rPr>
                <w:rFonts w:ascii="仿宋" w:hAnsi="仿宋" w:eastAsia="仿宋" w:cs="仿宋"/>
                <w:szCs w:val="21"/>
              </w:rPr>
            </w:pPr>
          </w:p>
        </w:tc>
        <w:tc>
          <w:tcPr>
            <w:tcW w:w="1478" w:type="dxa"/>
            <w:vAlign w:val="center"/>
          </w:tcPr>
          <w:p>
            <w:pPr>
              <w:spacing w:line="240" w:lineRule="exact"/>
              <w:jc w:val="center"/>
              <w:rPr>
                <w:rFonts w:ascii="仿宋" w:hAnsi="仿宋" w:eastAsia="仿宋" w:cs="仿宋"/>
                <w:szCs w:val="21"/>
              </w:rPr>
            </w:pPr>
            <w:r>
              <w:rPr>
                <w:rFonts w:hint="eastAsia" w:ascii="仿宋" w:hAnsi="仿宋" w:eastAsia="仿宋" w:cs="仿宋"/>
                <w:szCs w:val="21"/>
              </w:rPr>
              <w:t>排水</w:t>
            </w:r>
          </w:p>
        </w:tc>
        <w:tc>
          <w:tcPr>
            <w:tcW w:w="5201" w:type="dxa"/>
            <w:tcBorders>
              <w:right w:val="single" w:color="auto" w:sz="4" w:space="0"/>
            </w:tcBorders>
            <w:vAlign w:val="center"/>
          </w:tcPr>
          <w:p>
            <w:pPr>
              <w:spacing w:line="240" w:lineRule="exact"/>
              <w:jc w:val="center"/>
              <w:rPr>
                <w:rFonts w:ascii="仿宋" w:hAnsi="仿宋" w:eastAsia="仿宋" w:cs="仿宋"/>
                <w:szCs w:val="21"/>
              </w:rPr>
            </w:pPr>
            <w:r>
              <w:rPr>
                <w:rFonts w:hint="eastAsia" w:ascii="仿宋" w:hAnsi="仿宋" w:eastAsia="仿宋" w:cs="仿宋"/>
                <w:szCs w:val="21"/>
              </w:rPr>
              <w:t>生活污水接入市政</w:t>
            </w:r>
            <w:r>
              <w:rPr>
                <w:rFonts w:ascii="仿宋" w:hAnsi="仿宋" w:eastAsia="仿宋" w:cs="仿宋"/>
                <w:szCs w:val="21"/>
              </w:rPr>
              <w:t>污水管网，</w:t>
            </w:r>
            <w:r>
              <w:rPr>
                <w:rFonts w:hint="eastAsia" w:ascii="仿宋" w:hAnsi="仿宋" w:eastAsia="仿宋" w:cs="仿宋"/>
                <w:szCs w:val="21"/>
              </w:rPr>
              <w:t>进金坛</w:t>
            </w:r>
            <w:r>
              <w:rPr>
                <w:rFonts w:ascii="仿宋" w:hAnsi="仿宋" w:eastAsia="仿宋" w:cs="仿宋"/>
                <w:szCs w:val="21"/>
              </w:rPr>
              <w:t>第二污水处理厂集中处理</w:t>
            </w:r>
            <w:r>
              <w:rPr>
                <w:rFonts w:hint="eastAsia" w:ascii="仿宋" w:hAnsi="仿宋" w:eastAsia="仿宋" w:cs="仿宋"/>
                <w:szCs w:val="21"/>
              </w:rPr>
              <w:t>，排水量1080t/a.</w:t>
            </w:r>
          </w:p>
        </w:tc>
        <w:tc>
          <w:tcPr>
            <w:tcW w:w="2872" w:type="dxa"/>
            <w:tcBorders>
              <w:left w:val="single" w:color="auto" w:sz="4" w:space="0"/>
            </w:tcBorders>
            <w:vAlign w:val="center"/>
          </w:tcPr>
          <w:p>
            <w:pPr>
              <w:spacing w:line="240" w:lineRule="exact"/>
              <w:jc w:val="center"/>
              <w:rPr>
                <w:rFonts w:ascii="仿宋" w:hAnsi="仿宋" w:eastAsia="仿宋" w:cs="仿宋"/>
                <w:szCs w:val="21"/>
              </w:rPr>
            </w:pPr>
            <w:r>
              <w:rPr>
                <w:rFonts w:hint="eastAsia" w:ascii="仿宋" w:hAnsi="仿宋" w:eastAsia="仿宋" w:cs="仿宋"/>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59" w:hRule="atLeast"/>
          <w:jc w:val="center"/>
        </w:trPr>
        <w:tc>
          <w:tcPr>
            <w:tcW w:w="728" w:type="dxa"/>
            <w:vMerge w:val="continue"/>
            <w:shd w:val="solid" w:color="FFFFFF" w:fill="FFFFFF"/>
            <w:vAlign w:val="center"/>
          </w:tcPr>
          <w:p>
            <w:pPr>
              <w:spacing w:line="240" w:lineRule="exact"/>
              <w:jc w:val="center"/>
              <w:rPr>
                <w:rFonts w:ascii="仿宋" w:hAnsi="仿宋" w:eastAsia="仿宋" w:cs="仿宋"/>
                <w:szCs w:val="21"/>
              </w:rPr>
            </w:pPr>
          </w:p>
        </w:tc>
        <w:tc>
          <w:tcPr>
            <w:tcW w:w="1478" w:type="dxa"/>
            <w:vAlign w:val="center"/>
          </w:tcPr>
          <w:p>
            <w:pPr>
              <w:spacing w:line="240" w:lineRule="exact"/>
              <w:jc w:val="center"/>
              <w:rPr>
                <w:rFonts w:ascii="仿宋" w:hAnsi="仿宋" w:eastAsia="仿宋" w:cs="仿宋"/>
                <w:kern w:val="0"/>
                <w:szCs w:val="21"/>
              </w:rPr>
            </w:pPr>
            <w:r>
              <w:rPr>
                <w:rFonts w:hint="eastAsia" w:ascii="仿宋" w:hAnsi="仿宋" w:eastAsia="仿宋" w:cs="仿宋"/>
                <w:kern w:val="0"/>
                <w:szCs w:val="21"/>
              </w:rPr>
              <w:t>供电</w:t>
            </w:r>
          </w:p>
        </w:tc>
        <w:tc>
          <w:tcPr>
            <w:tcW w:w="5201" w:type="dxa"/>
            <w:tcBorders>
              <w:right w:val="single" w:color="auto" w:sz="4" w:space="0"/>
            </w:tcBorders>
            <w:vAlign w:val="center"/>
          </w:tcPr>
          <w:p>
            <w:pPr>
              <w:spacing w:line="240" w:lineRule="exact"/>
              <w:jc w:val="center"/>
              <w:rPr>
                <w:rFonts w:ascii="仿宋" w:hAnsi="仿宋" w:eastAsia="仿宋" w:cs="仿宋"/>
                <w:szCs w:val="21"/>
              </w:rPr>
            </w:pPr>
            <w:r>
              <w:rPr>
                <w:rFonts w:hint="eastAsia" w:ascii="仿宋" w:hAnsi="仿宋" w:eastAsia="仿宋" w:cs="仿宋"/>
                <w:szCs w:val="21"/>
              </w:rPr>
              <w:t>城市电网供应,用电量300万kw</w:t>
            </w:r>
            <w:r>
              <w:rPr>
                <w:rFonts w:ascii="Arial" w:hAnsi="Arial" w:cs="Arial"/>
                <w:sz w:val="20"/>
                <w:szCs w:val="20"/>
                <w:shd w:val="clear" w:color="auto" w:fill="FFFFFF"/>
              </w:rPr>
              <w:t>/</w:t>
            </w:r>
            <w:r>
              <w:rPr>
                <w:rFonts w:hint="eastAsia" w:ascii="Arial" w:hAnsi="Arial" w:cs="Arial"/>
                <w:sz w:val="20"/>
                <w:szCs w:val="20"/>
                <w:shd w:val="clear" w:color="auto" w:fill="FFFFFF"/>
              </w:rPr>
              <w:t>h</w:t>
            </w:r>
          </w:p>
        </w:tc>
        <w:tc>
          <w:tcPr>
            <w:tcW w:w="2872" w:type="dxa"/>
            <w:tcBorders>
              <w:left w:val="single" w:color="auto" w:sz="4" w:space="0"/>
            </w:tcBorders>
            <w:vAlign w:val="center"/>
          </w:tcPr>
          <w:p>
            <w:pPr>
              <w:spacing w:line="240" w:lineRule="exact"/>
              <w:jc w:val="center"/>
              <w:rPr>
                <w:rFonts w:ascii="仿宋" w:hAnsi="仿宋" w:eastAsia="仿宋" w:cs="仿宋"/>
                <w:szCs w:val="21"/>
              </w:rPr>
            </w:pPr>
            <w:r>
              <w:rPr>
                <w:rFonts w:hint="eastAsia" w:ascii="仿宋" w:hAnsi="仿宋" w:eastAsia="仿宋" w:cs="仿宋"/>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59" w:hRule="atLeast"/>
          <w:jc w:val="center"/>
        </w:trPr>
        <w:tc>
          <w:tcPr>
            <w:tcW w:w="728" w:type="dxa"/>
            <w:vMerge w:val="continue"/>
            <w:shd w:val="solid" w:color="FFFFFF" w:fill="FFFFFF"/>
            <w:vAlign w:val="center"/>
          </w:tcPr>
          <w:p>
            <w:pPr>
              <w:spacing w:line="240" w:lineRule="exact"/>
              <w:jc w:val="center"/>
              <w:rPr>
                <w:rFonts w:ascii="仿宋" w:hAnsi="仿宋" w:eastAsia="仿宋" w:cs="仿宋"/>
                <w:szCs w:val="21"/>
              </w:rPr>
            </w:pPr>
          </w:p>
        </w:tc>
        <w:tc>
          <w:tcPr>
            <w:tcW w:w="1478" w:type="dxa"/>
            <w:vAlign w:val="center"/>
          </w:tcPr>
          <w:p>
            <w:pPr>
              <w:spacing w:line="240" w:lineRule="exact"/>
              <w:jc w:val="center"/>
              <w:rPr>
                <w:rFonts w:ascii="仿宋" w:hAnsi="仿宋" w:eastAsia="仿宋" w:cs="仿宋"/>
                <w:kern w:val="0"/>
                <w:szCs w:val="21"/>
              </w:rPr>
            </w:pPr>
            <w:r>
              <w:rPr>
                <w:rFonts w:hint="eastAsia" w:ascii="仿宋" w:hAnsi="仿宋" w:eastAsia="仿宋" w:cs="仿宋"/>
                <w:kern w:val="0"/>
                <w:szCs w:val="21"/>
              </w:rPr>
              <w:t>供气</w:t>
            </w:r>
          </w:p>
        </w:tc>
        <w:tc>
          <w:tcPr>
            <w:tcW w:w="5201" w:type="dxa"/>
            <w:tcBorders>
              <w:right w:val="single" w:color="auto" w:sz="4" w:space="0"/>
            </w:tcBorders>
            <w:vAlign w:val="center"/>
          </w:tcPr>
          <w:p>
            <w:pPr>
              <w:spacing w:line="240" w:lineRule="exact"/>
              <w:jc w:val="center"/>
              <w:rPr>
                <w:rFonts w:ascii="仿宋" w:hAnsi="仿宋" w:eastAsia="仿宋" w:cs="仿宋"/>
                <w:szCs w:val="21"/>
              </w:rPr>
            </w:pPr>
            <w:r>
              <w:rPr>
                <w:rFonts w:hint="eastAsia" w:ascii="仿宋" w:hAnsi="仿宋" w:eastAsia="仿宋" w:cs="仿宋"/>
                <w:szCs w:val="21"/>
              </w:rPr>
              <w:t>由港华</w:t>
            </w:r>
            <w:r>
              <w:rPr>
                <w:rFonts w:ascii="仿宋" w:hAnsi="仿宋" w:eastAsia="仿宋" w:cs="仿宋"/>
                <w:szCs w:val="21"/>
              </w:rPr>
              <w:t>燃气供应</w:t>
            </w:r>
            <w:r>
              <w:rPr>
                <w:rFonts w:hint="eastAsia" w:ascii="仿宋" w:hAnsi="仿宋" w:eastAsia="仿宋" w:cs="仿宋"/>
                <w:szCs w:val="21"/>
              </w:rPr>
              <w:t>，</w:t>
            </w:r>
            <w:r>
              <w:rPr>
                <w:rFonts w:ascii="仿宋" w:hAnsi="仿宋" w:eastAsia="仿宋" w:cs="仿宋"/>
                <w:szCs w:val="21"/>
              </w:rPr>
              <w:t>供应量</w:t>
            </w:r>
            <w:r>
              <w:rPr>
                <w:rFonts w:hint="eastAsia" w:ascii="仿宋" w:hAnsi="仿宋" w:eastAsia="仿宋" w:cs="仿宋"/>
                <w:szCs w:val="21"/>
              </w:rPr>
              <w:t>24万m</w:t>
            </w:r>
            <w:r>
              <w:rPr>
                <w:rFonts w:hint="eastAsia" w:ascii="仿宋" w:hAnsi="仿宋" w:eastAsia="仿宋" w:cs="仿宋"/>
                <w:szCs w:val="21"/>
                <w:vertAlign w:val="superscript"/>
              </w:rPr>
              <w:t>3</w:t>
            </w:r>
            <w:r>
              <w:rPr>
                <w:rFonts w:hint="eastAsia" w:ascii="仿宋" w:hAnsi="仿宋" w:eastAsia="仿宋" w:cs="仿宋"/>
                <w:szCs w:val="21"/>
              </w:rPr>
              <w:t>/a</w:t>
            </w:r>
          </w:p>
        </w:tc>
        <w:tc>
          <w:tcPr>
            <w:tcW w:w="2872" w:type="dxa"/>
            <w:tcBorders>
              <w:left w:val="single" w:color="auto" w:sz="4" w:space="0"/>
            </w:tcBorders>
            <w:vAlign w:val="center"/>
          </w:tcPr>
          <w:p>
            <w:pPr>
              <w:spacing w:line="240" w:lineRule="exact"/>
              <w:jc w:val="center"/>
              <w:rPr>
                <w:rFonts w:ascii="仿宋" w:hAnsi="仿宋" w:eastAsia="仿宋" w:cs="仿宋"/>
                <w:szCs w:val="21"/>
              </w:rPr>
            </w:pPr>
            <w:r>
              <w:rPr>
                <w:rFonts w:hint="eastAsia" w:ascii="仿宋" w:hAnsi="仿宋" w:eastAsia="仿宋" w:cs="仿宋"/>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59" w:hRule="atLeast"/>
          <w:jc w:val="center"/>
        </w:trPr>
        <w:tc>
          <w:tcPr>
            <w:tcW w:w="728" w:type="dxa"/>
            <w:vMerge w:val="continue"/>
            <w:shd w:val="solid" w:color="FFFFFF" w:fill="FFFFFF"/>
            <w:vAlign w:val="center"/>
          </w:tcPr>
          <w:p>
            <w:pPr>
              <w:spacing w:line="240" w:lineRule="exact"/>
              <w:jc w:val="center"/>
              <w:rPr>
                <w:rFonts w:ascii="仿宋" w:hAnsi="仿宋" w:eastAsia="仿宋" w:cs="仿宋"/>
                <w:szCs w:val="21"/>
              </w:rPr>
            </w:pPr>
          </w:p>
        </w:tc>
        <w:tc>
          <w:tcPr>
            <w:tcW w:w="1478" w:type="dxa"/>
            <w:vAlign w:val="center"/>
          </w:tcPr>
          <w:p>
            <w:pPr>
              <w:spacing w:line="240" w:lineRule="exact"/>
              <w:jc w:val="center"/>
              <w:rPr>
                <w:rFonts w:ascii="仿宋" w:hAnsi="仿宋" w:eastAsia="仿宋" w:cs="仿宋"/>
                <w:kern w:val="0"/>
                <w:szCs w:val="21"/>
              </w:rPr>
            </w:pPr>
            <w:r>
              <w:rPr>
                <w:rFonts w:hint="eastAsia" w:ascii="仿宋" w:hAnsi="仿宋" w:eastAsia="仿宋" w:cs="仿宋"/>
                <w:kern w:val="0"/>
                <w:szCs w:val="21"/>
              </w:rPr>
              <w:t>供热</w:t>
            </w:r>
          </w:p>
        </w:tc>
        <w:tc>
          <w:tcPr>
            <w:tcW w:w="5201" w:type="dxa"/>
            <w:tcBorders>
              <w:right w:val="single" w:color="auto" w:sz="4" w:space="0"/>
            </w:tcBorders>
            <w:vAlign w:val="center"/>
          </w:tcPr>
          <w:p>
            <w:pPr>
              <w:spacing w:line="240" w:lineRule="exact"/>
              <w:jc w:val="center"/>
              <w:rPr>
                <w:rFonts w:ascii="仿宋" w:hAnsi="仿宋" w:eastAsia="仿宋" w:cs="仿宋"/>
                <w:szCs w:val="21"/>
              </w:rPr>
            </w:pPr>
            <w:r>
              <w:rPr>
                <w:rFonts w:hint="eastAsia" w:ascii="仿宋" w:hAnsi="仿宋" w:eastAsia="仿宋" w:cs="仿宋"/>
                <w:szCs w:val="21"/>
              </w:rPr>
              <w:t>导热油炉热源为RTO燃烧过程中产生的高温烟气</w:t>
            </w:r>
          </w:p>
        </w:tc>
        <w:tc>
          <w:tcPr>
            <w:tcW w:w="2872" w:type="dxa"/>
            <w:tcBorders>
              <w:left w:val="single" w:color="auto" w:sz="4" w:space="0"/>
            </w:tcBorders>
            <w:vAlign w:val="center"/>
          </w:tcPr>
          <w:p>
            <w:pPr>
              <w:spacing w:line="240" w:lineRule="exact"/>
              <w:jc w:val="center"/>
              <w:rPr>
                <w:rFonts w:ascii="仿宋" w:hAnsi="仿宋" w:eastAsia="仿宋" w:cs="仿宋"/>
                <w:szCs w:val="21"/>
              </w:rPr>
            </w:pPr>
            <w:r>
              <w:rPr>
                <w:rFonts w:hint="eastAsia" w:ascii="仿宋" w:hAnsi="仿宋" w:eastAsia="仿宋" w:cs="仿宋"/>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59" w:hRule="atLeast"/>
          <w:jc w:val="center"/>
        </w:trPr>
        <w:tc>
          <w:tcPr>
            <w:tcW w:w="728" w:type="dxa"/>
            <w:vMerge w:val="continue"/>
            <w:shd w:val="solid" w:color="FFFFFF" w:fill="FFFFFF"/>
            <w:vAlign w:val="center"/>
          </w:tcPr>
          <w:p>
            <w:pPr>
              <w:spacing w:line="240" w:lineRule="exact"/>
              <w:jc w:val="center"/>
              <w:rPr>
                <w:rFonts w:ascii="仿宋" w:hAnsi="仿宋" w:eastAsia="仿宋" w:cs="仿宋"/>
                <w:szCs w:val="21"/>
              </w:rPr>
            </w:pPr>
          </w:p>
        </w:tc>
        <w:tc>
          <w:tcPr>
            <w:tcW w:w="1478" w:type="dxa"/>
            <w:vAlign w:val="center"/>
          </w:tcPr>
          <w:p>
            <w:pPr>
              <w:spacing w:line="240" w:lineRule="exact"/>
              <w:jc w:val="center"/>
              <w:rPr>
                <w:rFonts w:ascii="仿宋" w:hAnsi="仿宋" w:eastAsia="仿宋" w:cs="仿宋"/>
                <w:kern w:val="0"/>
                <w:szCs w:val="21"/>
              </w:rPr>
            </w:pPr>
            <w:r>
              <w:rPr>
                <w:rFonts w:hint="eastAsia" w:ascii="仿宋" w:hAnsi="仿宋" w:eastAsia="仿宋" w:cs="仿宋"/>
                <w:kern w:val="0"/>
                <w:szCs w:val="21"/>
              </w:rPr>
              <w:t>空压系统</w:t>
            </w:r>
          </w:p>
        </w:tc>
        <w:tc>
          <w:tcPr>
            <w:tcW w:w="5201" w:type="dxa"/>
            <w:tcBorders>
              <w:right w:val="single" w:color="auto" w:sz="4" w:space="0"/>
            </w:tcBorders>
            <w:vAlign w:val="center"/>
          </w:tcPr>
          <w:p>
            <w:pPr>
              <w:spacing w:line="240" w:lineRule="exact"/>
              <w:jc w:val="center"/>
              <w:rPr>
                <w:rFonts w:ascii="仿宋" w:hAnsi="仿宋" w:eastAsia="仿宋" w:cs="仿宋"/>
                <w:szCs w:val="21"/>
              </w:rPr>
            </w:pPr>
            <w:r>
              <w:rPr>
                <w:rFonts w:hint="eastAsia" w:ascii="仿宋" w:hAnsi="仿宋" w:eastAsia="仿宋" w:cs="仿宋"/>
                <w:szCs w:val="21"/>
              </w:rPr>
              <w:t>本项目有1压缩螺杆机，1个</w:t>
            </w:r>
            <w:r>
              <w:rPr>
                <w:rFonts w:ascii="仿宋" w:hAnsi="仿宋" w:eastAsia="仿宋" w:cs="仿宋"/>
                <w:szCs w:val="21"/>
              </w:rPr>
              <w:t>压缩空气储罐</w:t>
            </w:r>
            <w:r>
              <w:rPr>
                <w:rFonts w:hint="eastAsia" w:ascii="仿宋" w:hAnsi="仿宋" w:eastAsia="仿宋" w:cs="仿宋"/>
                <w:szCs w:val="21"/>
              </w:rPr>
              <w:t>，</w:t>
            </w:r>
            <w:r>
              <w:rPr>
                <w:rFonts w:ascii="仿宋" w:hAnsi="仿宋" w:eastAsia="仿宋" w:cs="仿宋"/>
                <w:szCs w:val="21"/>
              </w:rPr>
              <w:t>规格为</w:t>
            </w:r>
            <w:r>
              <w:rPr>
                <w:rFonts w:hint="eastAsia" w:ascii="仿宋" w:hAnsi="仿宋" w:eastAsia="仿宋" w:cs="仿宋"/>
                <w:szCs w:val="21"/>
              </w:rPr>
              <w:t>1m</w:t>
            </w:r>
            <w:r>
              <w:rPr>
                <w:rFonts w:hint="eastAsia" w:ascii="仿宋" w:hAnsi="仿宋" w:eastAsia="仿宋" w:cs="仿宋"/>
                <w:szCs w:val="21"/>
                <w:vertAlign w:val="superscript"/>
              </w:rPr>
              <w:t>3</w:t>
            </w:r>
            <w:r>
              <w:rPr>
                <w:rFonts w:ascii="仿宋" w:hAnsi="仿宋" w:eastAsia="仿宋" w:cs="仿宋"/>
                <w:szCs w:val="21"/>
              </w:rPr>
              <w:t>/0.8MPa</w:t>
            </w:r>
            <w:r>
              <w:rPr>
                <w:rFonts w:hint="eastAsia" w:ascii="仿宋" w:hAnsi="仿宋" w:eastAsia="仿宋" w:cs="仿宋"/>
                <w:szCs w:val="21"/>
              </w:rPr>
              <w:t>。</w:t>
            </w:r>
          </w:p>
        </w:tc>
        <w:tc>
          <w:tcPr>
            <w:tcW w:w="2872" w:type="dxa"/>
            <w:tcBorders>
              <w:left w:val="single" w:color="auto" w:sz="4" w:space="0"/>
            </w:tcBorders>
            <w:vAlign w:val="center"/>
          </w:tcPr>
          <w:p>
            <w:pPr>
              <w:spacing w:line="240" w:lineRule="exact"/>
              <w:jc w:val="center"/>
              <w:rPr>
                <w:rFonts w:ascii="仿宋" w:hAnsi="仿宋" w:eastAsia="仿宋" w:cs="仿宋"/>
                <w:szCs w:val="21"/>
              </w:rPr>
            </w:pPr>
            <w:r>
              <w:rPr>
                <w:rFonts w:hint="eastAsia" w:ascii="仿宋" w:hAnsi="仿宋" w:eastAsia="仿宋" w:cs="仿宋"/>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513" w:hRule="atLeast"/>
          <w:jc w:val="center"/>
        </w:trPr>
        <w:tc>
          <w:tcPr>
            <w:tcW w:w="728" w:type="dxa"/>
            <w:vMerge w:val="restart"/>
            <w:shd w:val="solid" w:color="FFFFFF" w:fill="FFFFFF"/>
            <w:vAlign w:val="center"/>
          </w:tcPr>
          <w:p>
            <w:pPr>
              <w:spacing w:line="240" w:lineRule="exact"/>
              <w:jc w:val="center"/>
              <w:rPr>
                <w:rFonts w:ascii="仿宋" w:hAnsi="仿宋" w:eastAsia="仿宋" w:cs="仿宋"/>
                <w:szCs w:val="21"/>
              </w:rPr>
            </w:pPr>
            <w:r>
              <w:rPr>
                <w:rFonts w:hint="eastAsia" w:ascii="仿宋" w:hAnsi="仿宋" w:eastAsia="仿宋" w:cs="仿宋"/>
                <w:szCs w:val="21"/>
              </w:rPr>
              <w:t>环保</w:t>
            </w:r>
          </w:p>
          <w:p>
            <w:pPr>
              <w:spacing w:line="240" w:lineRule="exact"/>
              <w:jc w:val="center"/>
              <w:rPr>
                <w:rFonts w:ascii="仿宋" w:hAnsi="仿宋" w:eastAsia="仿宋" w:cs="仿宋"/>
                <w:szCs w:val="21"/>
              </w:rPr>
            </w:pPr>
            <w:r>
              <w:rPr>
                <w:rFonts w:hint="eastAsia" w:ascii="仿宋" w:hAnsi="仿宋" w:eastAsia="仿宋" w:cs="仿宋"/>
                <w:szCs w:val="21"/>
              </w:rPr>
              <w:t>工程</w:t>
            </w:r>
          </w:p>
        </w:tc>
        <w:tc>
          <w:tcPr>
            <w:tcW w:w="1478" w:type="dxa"/>
            <w:vAlign w:val="center"/>
          </w:tcPr>
          <w:p>
            <w:pPr>
              <w:spacing w:line="240" w:lineRule="exact"/>
              <w:jc w:val="center"/>
              <w:rPr>
                <w:rFonts w:ascii="仿宋" w:hAnsi="仿宋" w:eastAsia="仿宋" w:cs="仿宋"/>
                <w:szCs w:val="21"/>
              </w:rPr>
            </w:pPr>
            <w:r>
              <w:rPr>
                <w:rFonts w:hint="eastAsia" w:ascii="仿宋" w:hAnsi="仿宋" w:eastAsia="仿宋" w:cs="仿宋"/>
                <w:szCs w:val="21"/>
              </w:rPr>
              <w:t>废气处理</w:t>
            </w:r>
          </w:p>
        </w:tc>
        <w:tc>
          <w:tcPr>
            <w:tcW w:w="5201" w:type="dxa"/>
            <w:tcBorders>
              <w:right w:val="single" w:color="auto" w:sz="4" w:space="0"/>
            </w:tcBorders>
            <w:vAlign w:val="center"/>
          </w:tcPr>
          <w:p>
            <w:pPr>
              <w:spacing w:line="240" w:lineRule="exact"/>
              <w:rPr>
                <w:rFonts w:ascii="仿宋" w:hAnsi="仿宋" w:eastAsia="仿宋" w:cs="仿宋"/>
                <w:bCs/>
                <w:szCs w:val="21"/>
              </w:rPr>
            </w:pPr>
            <w:r>
              <w:rPr>
                <w:rFonts w:hint="eastAsia" w:ascii="仿宋" w:hAnsi="仿宋" w:eastAsia="仿宋" w:cs="仿宋"/>
                <w:bCs/>
                <w:szCs w:val="21"/>
              </w:rPr>
              <w:t>1</w:t>
            </w:r>
            <w:r>
              <w:rPr>
                <w:rFonts w:ascii="仿宋" w:hAnsi="仿宋" w:eastAsia="仿宋" w:cs="仿宋"/>
                <w:bCs/>
                <w:szCs w:val="21"/>
              </w:rPr>
              <w:t>#排气筒</w:t>
            </w:r>
            <w:r>
              <w:rPr>
                <w:rFonts w:hint="eastAsia" w:ascii="仿宋" w:hAnsi="仿宋" w:eastAsia="仿宋" w:cs="仿宋"/>
                <w:bCs/>
                <w:szCs w:val="21"/>
              </w:rPr>
              <w:t>：配胶</w:t>
            </w:r>
            <w:r>
              <w:rPr>
                <w:rFonts w:ascii="仿宋" w:hAnsi="仿宋" w:eastAsia="仿宋" w:cs="仿宋"/>
                <w:bCs/>
                <w:szCs w:val="21"/>
              </w:rPr>
              <w:t>废气、涂布干燥废气、清洗废气进</w:t>
            </w:r>
            <w:r>
              <w:rPr>
                <w:rFonts w:hint="eastAsia" w:ascii="仿宋" w:hAnsi="仿宋" w:eastAsia="仿宋" w:cs="仿宋"/>
                <w:bCs/>
                <w:szCs w:val="21"/>
              </w:rPr>
              <w:t>RTO装置</w:t>
            </w:r>
            <w:r>
              <w:rPr>
                <w:rFonts w:ascii="仿宋" w:hAnsi="仿宋" w:eastAsia="仿宋" w:cs="仿宋"/>
                <w:bCs/>
                <w:szCs w:val="21"/>
              </w:rPr>
              <w:t>处理，排气量</w:t>
            </w:r>
            <w:r>
              <w:rPr>
                <w:rFonts w:hint="eastAsia" w:ascii="仿宋" w:hAnsi="仿宋" w:eastAsia="仿宋" w:cs="仿宋"/>
                <w:bCs/>
                <w:szCs w:val="21"/>
              </w:rPr>
              <w:t>50000</w:t>
            </w:r>
            <w:r>
              <w:rPr>
                <w:rFonts w:ascii="仿宋" w:hAnsi="仿宋" w:eastAsia="仿宋" w:cs="仿宋"/>
                <w:bCs/>
                <w:szCs w:val="21"/>
              </w:rPr>
              <w:t>m</w:t>
            </w:r>
            <w:r>
              <w:rPr>
                <w:rFonts w:ascii="仿宋" w:hAnsi="仿宋" w:eastAsia="仿宋" w:cs="仿宋"/>
                <w:bCs/>
                <w:szCs w:val="21"/>
                <w:vertAlign w:val="superscript"/>
              </w:rPr>
              <w:t>3</w:t>
            </w:r>
            <w:r>
              <w:rPr>
                <w:rFonts w:ascii="仿宋" w:hAnsi="仿宋" w:eastAsia="仿宋" w:cs="仿宋"/>
                <w:bCs/>
                <w:szCs w:val="21"/>
              </w:rPr>
              <w:t>/h</w:t>
            </w:r>
          </w:p>
          <w:p>
            <w:pPr>
              <w:spacing w:line="240" w:lineRule="exact"/>
              <w:rPr>
                <w:rFonts w:ascii="仿宋" w:hAnsi="仿宋" w:eastAsia="仿宋" w:cs="仿宋"/>
                <w:bCs/>
                <w:szCs w:val="21"/>
              </w:rPr>
            </w:pPr>
            <w:r>
              <w:rPr>
                <w:rFonts w:hint="eastAsia" w:ascii="仿宋" w:hAnsi="仿宋" w:eastAsia="仿宋" w:cs="仿宋"/>
                <w:bCs/>
                <w:szCs w:val="21"/>
              </w:rPr>
              <w:t>2#排气筒：危废仓库废气进两级活性炭吸附装置处理，</w:t>
            </w:r>
            <w:r>
              <w:rPr>
                <w:rFonts w:ascii="仿宋" w:hAnsi="仿宋" w:eastAsia="仿宋" w:cs="仿宋"/>
                <w:bCs/>
                <w:szCs w:val="21"/>
              </w:rPr>
              <w:t>排气量</w:t>
            </w:r>
            <w:r>
              <w:rPr>
                <w:rFonts w:hint="eastAsia" w:ascii="仿宋" w:hAnsi="仿宋" w:eastAsia="仿宋" w:cs="仿宋"/>
                <w:bCs/>
                <w:szCs w:val="21"/>
              </w:rPr>
              <w:t>2000</w:t>
            </w:r>
            <w:r>
              <w:rPr>
                <w:rFonts w:ascii="仿宋" w:hAnsi="仿宋" w:eastAsia="仿宋" w:cs="仿宋"/>
                <w:bCs/>
                <w:szCs w:val="21"/>
              </w:rPr>
              <w:t>m</w:t>
            </w:r>
            <w:r>
              <w:rPr>
                <w:rFonts w:ascii="仿宋" w:hAnsi="仿宋" w:eastAsia="仿宋" w:cs="仿宋"/>
                <w:bCs/>
                <w:szCs w:val="21"/>
                <w:vertAlign w:val="superscript"/>
              </w:rPr>
              <w:t>3</w:t>
            </w:r>
            <w:r>
              <w:rPr>
                <w:rFonts w:ascii="仿宋" w:hAnsi="仿宋" w:eastAsia="仿宋" w:cs="仿宋"/>
                <w:bCs/>
                <w:szCs w:val="21"/>
              </w:rPr>
              <w:t>/h</w:t>
            </w:r>
          </w:p>
        </w:tc>
        <w:tc>
          <w:tcPr>
            <w:tcW w:w="2872" w:type="dxa"/>
            <w:tcBorders>
              <w:left w:val="single" w:color="auto" w:sz="4" w:space="0"/>
            </w:tcBorders>
            <w:vAlign w:val="center"/>
          </w:tcPr>
          <w:p>
            <w:pPr>
              <w:spacing w:line="240" w:lineRule="exact"/>
              <w:jc w:val="center"/>
              <w:rPr>
                <w:rFonts w:ascii="仿宋" w:hAnsi="仿宋" w:eastAsia="仿宋" w:cs="仿宋"/>
                <w:szCs w:val="21"/>
              </w:rPr>
            </w:pPr>
            <w:r>
              <w:rPr>
                <w:rFonts w:hint="eastAsia" w:ascii="仿宋" w:hAnsi="仿宋" w:eastAsia="仿宋" w:cs="仿宋"/>
                <w:szCs w:val="21"/>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287" w:hRule="atLeast"/>
          <w:jc w:val="center"/>
        </w:trPr>
        <w:tc>
          <w:tcPr>
            <w:tcW w:w="728" w:type="dxa"/>
            <w:vMerge w:val="continue"/>
            <w:shd w:val="solid" w:color="FFFFFF" w:fill="FFFFFF"/>
            <w:vAlign w:val="center"/>
          </w:tcPr>
          <w:p>
            <w:pPr>
              <w:spacing w:line="240" w:lineRule="exact"/>
              <w:jc w:val="center"/>
              <w:rPr>
                <w:rFonts w:ascii="仿宋" w:hAnsi="仿宋" w:eastAsia="仿宋" w:cs="仿宋"/>
                <w:szCs w:val="21"/>
              </w:rPr>
            </w:pPr>
          </w:p>
        </w:tc>
        <w:tc>
          <w:tcPr>
            <w:tcW w:w="1478" w:type="dxa"/>
            <w:vAlign w:val="center"/>
          </w:tcPr>
          <w:p>
            <w:pPr>
              <w:spacing w:line="240" w:lineRule="exact"/>
              <w:jc w:val="center"/>
              <w:rPr>
                <w:rFonts w:ascii="仿宋" w:hAnsi="仿宋" w:eastAsia="仿宋" w:cs="仿宋"/>
                <w:szCs w:val="21"/>
              </w:rPr>
            </w:pPr>
            <w:r>
              <w:rPr>
                <w:rFonts w:hint="eastAsia" w:ascii="仿宋" w:hAnsi="仿宋" w:eastAsia="仿宋" w:cs="仿宋"/>
                <w:szCs w:val="21"/>
              </w:rPr>
              <w:t>废水</w:t>
            </w:r>
          </w:p>
        </w:tc>
        <w:tc>
          <w:tcPr>
            <w:tcW w:w="5201" w:type="dxa"/>
            <w:tcBorders>
              <w:right w:val="single" w:color="auto" w:sz="4" w:space="0"/>
            </w:tcBorders>
            <w:vAlign w:val="center"/>
          </w:tcPr>
          <w:p>
            <w:pPr>
              <w:spacing w:line="240" w:lineRule="exact"/>
              <w:jc w:val="center"/>
              <w:rPr>
                <w:rFonts w:ascii="仿宋" w:hAnsi="仿宋" w:eastAsia="仿宋" w:cs="仿宋"/>
                <w:szCs w:val="21"/>
              </w:rPr>
            </w:pPr>
            <w:r>
              <w:rPr>
                <w:rFonts w:hint="eastAsia" w:ascii="仿宋" w:hAnsi="仿宋" w:eastAsia="仿宋" w:cs="仿宋"/>
                <w:szCs w:val="21"/>
              </w:rPr>
              <w:t>生活污水</w:t>
            </w:r>
            <w:r>
              <w:rPr>
                <w:rFonts w:ascii="仿宋" w:hAnsi="仿宋" w:eastAsia="仿宋" w:cs="仿宋"/>
                <w:szCs w:val="21"/>
              </w:rPr>
              <w:t>接入市政污水管网</w:t>
            </w:r>
          </w:p>
        </w:tc>
        <w:tc>
          <w:tcPr>
            <w:tcW w:w="2872" w:type="dxa"/>
            <w:tcBorders>
              <w:left w:val="single" w:color="auto" w:sz="4" w:space="0"/>
            </w:tcBorders>
            <w:vAlign w:val="center"/>
          </w:tcPr>
          <w:p>
            <w:pPr>
              <w:spacing w:line="240" w:lineRule="exact"/>
              <w:jc w:val="center"/>
              <w:rPr>
                <w:rFonts w:ascii="仿宋" w:hAnsi="仿宋" w:eastAsia="仿宋" w:cs="仿宋"/>
                <w:szCs w:val="21"/>
              </w:rPr>
            </w:pPr>
            <w:r>
              <w:rPr>
                <w:rFonts w:hint="eastAsia" w:ascii="仿宋" w:hAnsi="仿宋" w:eastAsia="仿宋" w:cs="仿宋"/>
                <w:szCs w:val="21"/>
              </w:rPr>
              <w:t>依托</w:t>
            </w:r>
            <w:r>
              <w:rPr>
                <w:rFonts w:ascii="仿宋" w:hAnsi="仿宋" w:eastAsia="仿宋" w:cs="仿宋"/>
                <w:szCs w:val="21"/>
              </w:rPr>
              <w:t>租赁</w:t>
            </w:r>
            <w:r>
              <w:rPr>
                <w:rFonts w:hint="eastAsia" w:ascii="仿宋" w:hAnsi="仿宋" w:eastAsia="仿宋" w:cs="仿宋"/>
                <w:szCs w:val="21"/>
              </w:rPr>
              <w:t>方</w:t>
            </w:r>
            <w:r>
              <w:rPr>
                <w:rFonts w:ascii="仿宋" w:hAnsi="仿宋" w:eastAsia="仿宋" w:cs="仿宋"/>
                <w:szCs w:val="21"/>
              </w:rPr>
              <w:t>污水管网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70" w:hRule="atLeast"/>
          <w:jc w:val="center"/>
        </w:trPr>
        <w:tc>
          <w:tcPr>
            <w:tcW w:w="728" w:type="dxa"/>
            <w:vMerge w:val="continue"/>
            <w:shd w:val="solid" w:color="FFFFFF" w:fill="FFFFFF"/>
            <w:vAlign w:val="center"/>
          </w:tcPr>
          <w:p>
            <w:pPr>
              <w:spacing w:line="240" w:lineRule="exact"/>
              <w:jc w:val="center"/>
              <w:rPr>
                <w:rFonts w:ascii="仿宋" w:hAnsi="仿宋" w:eastAsia="仿宋" w:cs="仿宋"/>
                <w:szCs w:val="21"/>
              </w:rPr>
            </w:pPr>
          </w:p>
        </w:tc>
        <w:tc>
          <w:tcPr>
            <w:tcW w:w="1478" w:type="dxa"/>
            <w:vAlign w:val="center"/>
          </w:tcPr>
          <w:p>
            <w:pPr>
              <w:spacing w:line="240" w:lineRule="exact"/>
              <w:jc w:val="center"/>
              <w:rPr>
                <w:rFonts w:ascii="仿宋" w:hAnsi="仿宋" w:eastAsia="仿宋" w:cs="仿宋"/>
                <w:szCs w:val="21"/>
              </w:rPr>
            </w:pPr>
            <w:r>
              <w:rPr>
                <w:rFonts w:hint="eastAsia" w:ascii="仿宋" w:hAnsi="仿宋" w:eastAsia="仿宋" w:cs="仿宋"/>
                <w:szCs w:val="21"/>
              </w:rPr>
              <w:t>噪声</w:t>
            </w:r>
          </w:p>
        </w:tc>
        <w:tc>
          <w:tcPr>
            <w:tcW w:w="5201" w:type="dxa"/>
            <w:tcBorders>
              <w:right w:val="single" w:color="auto" w:sz="4" w:space="0"/>
            </w:tcBorders>
            <w:vAlign w:val="center"/>
          </w:tcPr>
          <w:p>
            <w:pPr>
              <w:spacing w:line="240" w:lineRule="exact"/>
              <w:jc w:val="center"/>
              <w:rPr>
                <w:rFonts w:ascii="仿宋" w:hAnsi="仿宋" w:eastAsia="仿宋" w:cs="仿宋"/>
                <w:szCs w:val="21"/>
              </w:rPr>
            </w:pPr>
            <w:r>
              <w:rPr>
                <w:rFonts w:hint="eastAsia" w:ascii="仿宋" w:hAnsi="仿宋" w:eastAsia="仿宋" w:cs="仿宋"/>
                <w:szCs w:val="21"/>
              </w:rPr>
              <w:t>设备隔音、减振设施</w:t>
            </w:r>
          </w:p>
        </w:tc>
        <w:tc>
          <w:tcPr>
            <w:tcW w:w="2872" w:type="dxa"/>
            <w:tcBorders>
              <w:left w:val="single" w:color="auto" w:sz="4" w:space="0"/>
            </w:tcBorders>
            <w:vAlign w:val="center"/>
          </w:tcPr>
          <w:p>
            <w:pPr>
              <w:spacing w:line="240" w:lineRule="exact"/>
              <w:jc w:val="center"/>
              <w:rPr>
                <w:rFonts w:ascii="仿宋" w:hAnsi="仿宋" w:eastAsia="仿宋" w:cs="仿宋"/>
                <w:szCs w:val="21"/>
              </w:rPr>
            </w:pPr>
            <w:r>
              <w:rPr>
                <w:rFonts w:hint="eastAsia" w:ascii="仿宋" w:hAnsi="仿宋" w:eastAsia="仿宋" w:cs="仿宋"/>
                <w:bCs/>
                <w:szCs w:val="21"/>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70" w:hRule="atLeast"/>
          <w:jc w:val="center"/>
        </w:trPr>
        <w:tc>
          <w:tcPr>
            <w:tcW w:w="728" w:type="dxa"/>
            <w:vMerge w:val="continue"/>
            <w:shd w:val="solid" w:color="FFFFFF" w:fill="FFFFFF"/>
            <w:vAlign w:val="center"/>
          </w:tcPr>
          <w:p>
            <w:pPr>
              <w:spacing w:line="240" w:lineRule="exact"/>
              <w:jc w:val="center"/>
              <w:rPr>
                <w:rFonts w:ascii="仿宋" w:hAnsi="仿宋" w:eastAsia="仿宋" w:cs="仿宋"/>
                <w:szCs w:val="21"/>
              </w:rPr>
            </w:pPr>
          </w:p>
        </w:tc>
        <w:tc>
          <w:tcPr>
            <w:tcW w:w="1478" w:type="dxa"/>
            <w:vMerge w:val="restart"/>
            <w:vAlign w:val="center"/>
          </w:tcPr>
          <w:p>
            <w:pPr>
              <w:spacing w:line="240" w:lineRule="exact"/>
              <w:jc w:val="center"/>
              <w:rPr>
                <w:rFonts w:ascii="仿宋" w:hAnsi="仿宋" w:eastAsia="仿宋" w:cs="仿宋"/>
                <w:szCs w:val="21"/>
              </w:rPr>
            </w:pPr>
            <w:r>
              <w:rPr>
                <w:rFonts w:hint="eastAsia" w:ascii="仿宋" w:hAnsi="仿宋" w:eastAsia="仿宋" w:cs="仿宋"/>
                <w:szCs w:val="21"/>
              </w:rPr>
              <w:t>固废</w:t>
            </w:r>
          </w:p>
        </w:tc>
        <w:tc>
          <w:tcPr>
            <w:tcW w:w="5201" w:type="dxa"/>
            <w:tcBorders>
              <w:bottom w:val="single" w:color="auto" w:sz="4" w:space="0"/>
              <w:right w:val="single" w:color="auto" w:sz="4" w:space="0"/>
            </w:tcBorders>
            <w:vAlign w:val="center"/>
          </w:tcPr>
          <w:p>
            <w:pPr>
              <w:spacing w:line="240" w:lineRule="exact"/>
              <w:jc w:val="center"/>
              <w:rPr>
                <w:rFonts w:ascii="仿宋" w:hAnsi="仿宋" w:eastAsia="仿宋" w:cs="仿宋"/>
                <w:szCs w:val="21"/>
              </w:rPr>
            </w:pPr>
            <w:r>
              <w:rPr>
                <w:rFonts w:hint="eastAsia" w:ascii="仿宋" w:hAnsi="仿宋" w:eastAsia="仿宋" w:cs="仿宋"/>
                <w:szCs w:val="21"/>
              </w:rPr>
              <w:t>危险废物堆场位于厂区西南侧，占地面积约为15</w:t>
            </w:r>
            <w:r>
              <w:rPr>
                <w:rFonts w:ascii="仿宋" w:hAnsi="仿宋" w:eastAsia="仿宋" w:cs="仿宋"/>
                <w:szCs w:val="21"/>
              </w:rPr>
              <w:t>m</w:t>
            </w:r>
            <w:r>
              <w:rPr>
                <w:rFonts w:ascii="仿宋" w:hAnsi="仿宋" w:eastAsia="仿宋" w:cs="仿宋"/>
                <w:szCs w:val="21"/>
                <w:vertAlign w:val="superscript"/>
              </w:rPr>
              <w:t>2</w:t>
            </w:r>
          </w:p>
        </w:tc>
        <w:tc>
          <w:tcPr>
            <w:tcW w:w="2872" w:type="dxa"/>
            <w:tcBorders>
              <w:left w:val="single" w:color="auto" w:sz="4" w:space="0"/>
              <w:bottom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依托</w:t>
            </w:r>
            <w:r>
              <w:rPr>
                <w:rFonts w:ascii="仿宋" w:hAnsi="仿宋" w:eastAsia="仿宋" w:cs="仿宋"/>
                <w:bCs/>
                <w:szCs w:val="21"/>
              </w:rPr>
              <w:t>威斯双联科技有限公司</w:t>
            </w:r>
            <w:r>
              <w:rPr>
                <w:rFonts w:hint="eastAsia" w:ascii="仿宋" w:hAnsi="仿宋" w:eastAsia="仿宋" w:cs="仿宋"/>
                <w:bCs/>
                <w:szCs w:val="21"/>
              </w:rPr>
              <w:t>3</w:t>
            </w:r>
            <w:r>
              <w:rPr>
                <w:rFonts w:ascii="仿宋" w:hAnsi="仿宋" w:eastAsia="仿宋" w:cs="仿宋"/>
                <w:bCs/>
                <w:szCs w:val="21"/>
              </w:rPr>
              <w:t>5</w:t>
            </w:r>
            <w:r>
              <w:rPr>
                <w:rFonts w:hint="eastAsia" w:ascii="仿宋" w:hAnsi="仿宋" w:eastAsia="仿宋" w:cs="仿宋"/>
                <w:bCs/>
                <w:szCs w:val="21"/>
              </w:rPr>
              <w:t>m</w:t>
            </w:r>
            <w:r>
              <w:rPr>
                <w:rFonts w:ascii="仿宋" w:hAnsi="仿宋" w:eastAsia="仿宋" w:cs="仿宋"/>
                <w:bCs/>
                <w:szCs w:val="21"/>
                <w:vertAlign w:val="superscript"/>
              </w:rPr>
              <w:t>2</w:t>
            </w:r>
            <w:r>
              <w:rPr>
                <w:rFonts w:hint="eastAsia" w:ascii="仿宋" w:hAnsi="仿宋" w:eastAsia="仿宋" w:cs="仿宋"/>
                <w:bCs/>
                <w:szCs w:val="21"/>
              </w:rPr>
              <w:t>的危废仓库，本项目使用面积1</w:t>
            </w:r>
            <w:r>
              <w:rPr>
                <w:rFonts w:ascii="仿宋" w:hAnsi="仿宋" w:eastAsia="仿宋" w:cs="仿宋"/>
                <w:bCs/>
                <w:szCs w:val="21"/>
              </w:rPr>
              <w:t>5</w:t>
            </w:r>
            <w:r>
              <w:rPr>
                <w:rFonts w:hint="eastAsia" w:ascii="仿宋" w:hAnsi="仿宋" w:eastAsia="仿宋" w:cs="仿宋"/>
                <w:bCs/>
                <w:szCs w:val="21"/>
              </w:rPr>
              <w:t>m</w:t>
            </w:r>
            <w:r>
              <w:rPr>
                <w:rFonts w:ascii="仿宋" w:hAnsi="仿宋" w:eastAsia="仿宋" w:cs="仿宋"/>
                <w:bCs/>
                <w:szCs w:val="21"/>
                <w:vertAlign w:val="superscript"/>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675" w:hRule="atLeast"/>
          <w:jc w:val="center"/>
        </w:trPr>
        <w:tc>
          <w:tcPr>
            <w:tcW w:w="728" w:type="dxa"/>
            <w:vMerge w:val="continue"/>
            <w:shd w:val="solid" w:color="FFFFFF" w:fill="FFFFFF"/>
            <w:vAlign w:val="center"/>
          </w:tcPr>
          <w:p>
            <w:pPr>
              <w:spacing w:line="240" w:lineRule="exact"/>
              <w:jc w:val="center"/>
              <w:rPr>
                <w:rFonts w:ascii="仿宋" w:hAnsi="仿宋" w:eastAsia="仿宋" w:cs="仿宋"/>
                <w:szCs w:val="21"/>
              </w:rPr>
            </w:pPr>
          </w:p>
        </w:tc>
        <w:tc>
          <w:tcPr>
            <w:tcW w:w="1478" w:type="dxa"/>
            <w:vMerge w:val="continue"/>
            <w:vAlign w:val="center"/>
          </w:tcPr>
          <w:p>
            <w:pPr>
              <w:spacing w:line="240" w:lineRule="exact"/>
              <w:jc w:val="center"/>
              <w:rPr>
                <w:rFonts w:ascii="仿宋" w:hAnsi="仿宋" w:eastAsia="仿宋" w:cs="仿宋"/>
                <w:szCs w:val="21"/>
              </w:rPr>
            </w:pPr>
          </w:p>
        </w:tc>
        <w:tc>
          <w:tcPr>
            <w:tcW w:w="5201" w:type="dxa"/>
            <w:tcBorders>
              <w:top w:val="single" w:color="auto" w:sz="4" w:space="0"/>
              <w:bottom w:val="single" w:color="auto" w:sz="4" w:space="0"/>
              <w:right w:val="single" w:color="auto" w:sz="4" w:space="0"/>
            </w:tcBorders>
            <w:vAlign w:val="center"/>
          </w:tcPr>
          <w:p>
            <w:pPr>
              <w:spacing w:line="240" w:lineRule="exact"/>
              <w:jc w:val="center"/>
              <w:rPr>
                <w:rFonts w:ascii="仿宋" w:hAnsi="仿宋" w:eastAsia="仿宋" w:cs="仿宋"/>
                <w:kern w:val="0"/>
                <w:szCs w:val="21"/>
              </w:rPr>
            </w:pPr>
            <w:r>
              <w:rPr>
                <w:rFonts w:hint="eastAsia" w:ascii="仿宋" w:hAnsi="仿宋" w:eastAsia="仿宋" w:cs="仿宋"/>
                <w:szCs w:val="21"/>
              </w:rPr>
              <w:t>一般固废堆场位于厂西南侧，占地面积约为40</w:t>
            </w:r>
            <w:r>
              <w:rPr>
                <w:rFonts w:ascii="仿宋" w:hAnsi="仿宋" w:eastAsia="仿宋" w:cs="仿宋"/>
                <w:szCs w:val="21"/>
              </w:rPr>
              <w:t>m</w:t>
            </w:r>
            <w:r>
              <w:rPr>
                <w:rFonts w:ascii="仿宋" w:hAnsi="仿宋" w:eastAsia="仿宋" w:cs="仿宋"/>
                <w:szCs w:val="21"/>
                <w:vertAlign w:val="superscript"/>
              </w:rPr>
              <w:t>2</w:t>
            </w:r>
          </w:p>
        </w:tc>
        <w:tc>
          <w:tcPr>
            <w:tcW w:w="2872" w:type="dxa"/>
            <w:tcBorders>
              <w:top w:val="single" w:color="auto" w:sz="4" w:space="0"/>
              <w:left w:val="single" w:color="auto" w:sz="4" w:space="0"/>
              <w:bottom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依托</w:t>
            </w:r>
            <w:r>
              <w:rPr>
                <w:rFonts w:ascii="仿宋" w:hAnsi="仿宋" w:eastAsia="仿宋" w:cs="仿宋"/>
                <w:bCs/>
                <w:szCs w:val="21"/>
              </w:rPr>
              <w:t>威斯双联科技有限公司80</w:t>
            </w:r>
            <w:r>
              <w:rPr>
                <w:rFonts w:hint="eastAsia" w:ascii="仿宋" w:hAnsi="仿宋" w:eastAsia="仿宋" w:cs="仿宋"/>
                <w:bCs/>
                <w:szCs w:val="21"/>
              </w:rPr>
              <w:t>m</w:t>
            </w:r>
            <w:r>
              <w:rPr>
                <w:rFonts w:ascii="仿宋" w:hAnsi="仿宋" w:eastAsia="仿宋" w:cs="仿宋"/>
                <w:bCs/>
                <w:szCs w:val="21"/>
                <w:vertAlign w:val="superscript"/>
              </w:rPr>
              <w:t>2</w:t>
            </w:r>
            <w:r>
              <w:rPr>
                <w:rFonts w:hint="eastAsia" w:ascii="仿宋" w:hAnsi="仿宋" w:eastAsia="仿宋" w:cs="仿宋"/>
                <w:bCs/>
                <w:szCs w:val="21"/>
              </w:rPr>
              <w:t>的一般固废仓库，本项目使用面积</w:t>
            </w:r>
            <w:r>
              <w:rPr>
                <w:rFonts w:ascii="仿宋" w:hAnsi="仿宋" w:eastAsia="仿宋" w:cs="仿宋"/>
                <w:bCs/>
                <w:szCs w:val="21"/>
              </w:rPr>
              <w:t>40</w:t>
            </w:r>
            <w:r>
              <w:rPr>
                <w:rFonts w:hint="eastAsia" w:ascii="仿宋" w:hAnsi="仿宋" w:eastAsia="仿宋" w:cs="仿宋"/>
                <w:bCs/>
                <w:szCs w:val="21"/>
              </w:rPr>
              <w:t>m</w:t>
            </w:r>
            <w:r>
              <w:rPr>
                <w:rFonts w:ascii="仿宋" w:hAnsi="仿宋" w:eastAsia="仿宋" w:cs="仿宋"/>
                <w:bCs/>
                <w:szCs w:val="21"/>
                <w:vertAlign w:val="superscript"/>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675" w:hRule="atLeast"/>
          <w:jc w:val="center"/>
        </w:trPr>
        <w:tc>
          <w:tcPr>
            <w:tcW w:w="728" w:type="dxa"/>
            <w:vMerge w:val="continue"/>
            <w:shd w:val="solid" w:color="FFFFFF" w:fill="FFFFFF"/>
            <w:vAlign w:val="center"/>
          </w:tcPr>
          <w:p>
            <w:pPr>
              <w:spacing w:line="240" w:lineRule="exact"/>
              <w:jc w:val="center"/>
              <w:rPr>
                <w:rFonts w:ascii="仿宋" w:hAnsi="仿宋" w:eastAsia="仿宋" w:cs="仿宋"/>
                <w:szCs w:val="21"/>
              </w:rPr>
            </w:pPr>
          </w:p>
        </w:tc>
        <w:tc>
          <w:tcPr>
            <w:tcW w:w="1478" w:type="dxa"/>
            <w:vAlign w:val="center"/>
          </w:tcPr>
          <w:p>
            <w:pPr>
              <w:spacing w:line="240" w:lineRule="exact"/>
              <w:jc w:val="center"/>
              <w:rPr>
                <w:rFonts w:ascii="仿宋" w:hAnsi="仿宋" w:eastAsia="仿宋" w:cs="仿宋"/>
                <w:szCs w:val="21"/>
              </w:rPr>
            </w:pPr>
            <w:r>
              <w:rPr>
                <w:rFonts w:hint="eastAsia" w:ascii="仿宋" w:hAnsi="仿宋" w:eastAsia="仿宋" w:cs="仿宋"/>
                <w:szCs w:val="21"/>
              </w:rPr>
              <w:t>地下水、土壤</w:t>
            </w:r>
          </w:p>
        </w:tc>
        <w:tc>
          <w:tcPr>
            <w:tcW w:w="5201" w:type="dxa"/>
            <w:tcBorders>
              <w:top w:val="single" w:color="auto" w:sz="4" w:space="0"/>
              <w:bottom w:val="single" w:color="auto" w:sz="4" w:space="0"/>
              <w:right w:val="single" w:color="auto" w:sz="4" w:space="0"/>
            </w:tcBorders>
            <w:vAlign w:val="center"/>
          </w:tcPr>
          <w:p>
            <w:pPr>
              <w:spacing w:line="240" w:lineRule="exact"/>
              <w:jc w:val="center"/>
              <w:rPr>
                <w:rFonts w:ascii="仿宋" w:hAnsi="仿宋" w:eastAsia="仿宋" w:cs="仿宋"/>
                <w:szCs w:val="21"/>
              </w:rPr>
            </w:pPr>
            <w:r>
              <w:rPr>
                <w:rFonts w:hint="eastAsia" w:ascii="仿宋" w:hAnsi="仿宋" w:eastAsia="仿宋" w:cs="仿宋"/>
                <w:szCs w:val="21"/>
              </w:rPr>
              <w:t>项目区实行雨污分流制和分区防渗措施:其中原料仓库、危废堆场、废气处理设施区域及涉及使用化学品的生产车间为重点防渗区，防渗层采用厚度在2毫米的环氧树脂层组成，渗透系数小于1.0×10</w:t>
            </w:r>
            <w:r>
              <w:rPr>
                <w:rFonts w:hint="eastAsia" w:ascii="仿宋" w:hAnsi="仿宋" w:eastAsia="仿宋" w:cs="仿宋"/>
                <w:szCs w:val="21"/>
                <w:vertAlign w:val="superscript"/>
              </w:rPr>
              <w:t>-10</w:t>
            </w:r>
            <w:r>
              <w:rPr>
                <w:rFonts w:hint="eastAsia" w:ascii="仿宋" w:hAnsi="仿宋" w:eastAsia="仿宋" w:cs="仿宋"/>
                <w:szCs w:val="21"/>
              </w:rPr>
              <w:t>厘米/秒。</w:t>
            </w:r>
          </w:p>
        </w:tc>
        <w:tc>
          <w:tcPr>
            <w:tcW w:w="2872" w:type="dxa"/>
            <w:tcBorders>
              <w:top w:val="single" w:color="auto" w:sz="4" w:space="0"/>
              <w:left w:val="single" w:color="auto" w:sz="4" w:space="0"/>
              <w:bottom w:val="single" w:color="auto" w:sz="4" w:space="0"/>
            </w:tcBorders>
            <w:vAlign w:val="center"/>
          </w:tcPr>
          <w:p>
            <w:pPr>
              <w:spacing w:line="240" w:lineRule="exact"/>
              <w:jc w:val="center"/>
              <w:rPr>
                <w:rFonts w:ascii="仿宋" w:hAnsi="仿宋" w:eastAsia="仿宋" w:cs="仿宋"/>
                <w:kern w:val="0"/>
                <w:szCs w:val="21"/>
              </w:rPr>
            </w:pPr>
            <w:r>
              <w:rPr>
                <w:rFonts w:hint="eastAsia" w:ascii="仿宋" w:hAnsi="仿宋" w:eastAsia="仿宋" w:cs="仿宋"/>
                <w:szCs w:val="21"/>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675" w:hRule="atLeast"/>
          <w:jc w:val="center"/>
        </w:trPr>
        <w:tc>
          <w:tcPr>
            <w:tcW w:w="728" w:type="dxa"/>
            <w:shd w:val="solid" w:color="FFFFFF" w:fill="FFFFFF"/>
            <w:vAlign w:val="center"/>
          </w:tcPr>
          <w:p>
            <w:pPr>
              <w:spacing w:line="240" w:lineRule="exact"/>
              <w:jc w:val="center"/>
              <w:rPr>
                <w:rFonts w:ascii="仿宋" w:hAnsi="仿宋" w:eastAsia="仿宋" w:cs="仿宋"/>
                <w:szCs w:val="21"/>
              </w:rPr>
            </w:pPr>
            <w:r>
              <w:rPr>
                <w:rFonts w:hint="eastAsia" w:ascii="仿宋" w:hAnsi="仿宋" w:eastAsia="仿宋" w:cs="仿宋"/>
                <w:szCs w:val="21"/>
              </w:rPr>
              <w:t>应急工程</w:t>
            </w:r>
          </w:p>
        </w:tc>
        <w:tc>
          <w:tcPr>
            <w:tcW w:w="1478" w:type="dxa"/>
            <w:vAlign w:val="center"/>
          </w:tcPr>
          <w:p>
            <w:pPr>
              <w:spacing w:line="240" w:lineRule="exact"/>
              <w:jc w:val="center"/>
              <w:rPr>
                <w:rFonts w:ascii="仿宋" w:hAnsi="仿宋" w:eastAsia="仿宋" w:cs="仿宋"/>
                <w:szCs w:val="21"/>
              </w:rPr>
            </w:pPr>
            <w:r>
              <w:rPr>
                <w:rFonts w:hint="eastAsia" w:ascii="仿宋" w:hAnsi="仿宋" w:eastAsia="仿宋" w:cs="仿宋"/>
                <w:szCs w:val="21"/>
              </w:rPr>
              <w:t>应急措施</w:t>
            </w:r>
          </w:p>
        </w:tc>
        <w:tc>
          <w:tcPr>
            <w:tcW w:w="5201" w:type="dxa"/>
            <w:tcBorders>
              <w:top w:val="single" w:color="auto" w:sz="4" w:space="0"/>
              <w:right w:val="single" w:color="auto" w:sz="4" w:space="0"/>
            </w:tcBorders>
            <w:vAlign w:val="center"/>
          </w:tcPr>
          <w:p>
            <w:pPr>
              <w:spacing w:line="240" w:lineRule="exact"/>
              <w:jc w:val="center"/>
              <w:rPr>
                <w:rFonts w:ascii="仿宋" w:hAnsi="仿宋" w:eastAsia="仿宋" w:cs="仿宋"/>
                <w:szCs w:val="21"/>
              </w:rPr>
            </w:pPr>
            <w:r>
              <w:rPr>
                <w:rFonts w:hint="eastAsia" w:ascii="仿宋" w:hAnsi="仿宋" w:eastAsia="仿宋" w:cs="仿宋"/>
                <w:szCs w:val="21"/>
              </w:rPr>
              <w:t>本项目设置应急事故池100</w:t>
            </w:r>
            <w:r>
              <w:rPr>
                <w:rFonts w:ascii="仿宋" w:hAnsi="仿宋" w:eastAsia="仿宋" w:cs="仿宋"/>
                <w:szCs w:val="21"/>
              </w:rPr>
              <w:t>m</w:t>
            </w:r>
            <w:r>
              <w:rPr>
                <w:rFonts w:ascii="仿宋" w:hAnsi="仿宋" w:eastAsia="仿宋" w:cs="仿宋"/>
                <w:szCs w:val="21"/>
                <w:vertAlign w:val="superscript"/>
              </w:rPr>
              <w:t>3</w:t>
            </w:r>
            <w:r>
              <w:rPr>
                <w:rFonts w:hint="eastAsia" w:ascii="仿宋" w:hAnsi="仿宋" w:eastAsia="仿宋" w:cs="仿宋"/>
                <w:szCs w:val="21"/>
              </w:rPr>
              <w:t>，在发生事故时关闭雨水排放口的节流阀，经现有雨水管网，将事故废水截留在事故应急池内以待进一步处理</w:t>
            </w:r>
          </w:p>
        </w:tc>
        <w:tc>
          <w:tcPr>
            <w:tcW w:w="2872" w:type="dxa"/>
            <w:tcBorders>
              <w:top w:val="single" w:color="auto" w:sz="4" w:space="0"/>
              <w:left w:val="single" w:color="auto" w:sz="4" w:space="0"/>
            </w:tcBorders>
            <w:vAlign w:val="center"/>
          </w:tcPr>
          <w:p>
            <w:pPr>
              <w:spacing w:line="240" w:lineRule="exact"/>
              <w:jc w:val="center"/>
              <w:rPr>
                <w:rFonts w:ascii="仿宋" w:hAnsi="仿宋" w:eastAsia="仿宋" w:cs="仿宋"/>
                <w:kern w:val="0"/>
                <w:szCs w:val="21"/>
              </w:rPr>
            </w:pPr>
            <w:r>
              <w:rPr>
                <w:rFonts w:hint="eastAsia" w:ascii="仿宋" w:hAnsi="仿宋" w:eastAsia="仿宋" w:cs="仿宋"/>
                <w:kern w:val="0"/>
                <w:szCs w:val="21"/>
              </w:rPr>
              <w:t>依托</w:t>
            </w:r>
          </w:p>
        </w:tc>
      </w:tr>
    </w:tbl>
    <w:p>
      <w:pPr>
        <w:pStyle w:val="5"/>
        <w:keepLines w:val="0"/>
        <w:widowControl/>
        <w:numPr>
          <w:ilvl w:val="3"/>
          <w:numId w:val="1"/>
        </w:numPr>
        <w:adjustRightInd w:val="0"/>
        <w:snapToGrid w:val="0"/>
        <w:spacing w:after="120" w:afterLines="50"/>
        <w:ind w:left="0" w:firstLine="0"/>
        <w:jc w:val="left"/>
        <w:rPr>
          <w:rFonts w:ascii="Times New Roman" w:hAnsi="Times New Roman"/>
          <w:b/>
        </w:rPr>
      </w:pPr>
      <w:r>
        <w:rPr>
          <w:rFonts w:ascii="Times New Roman" w:hAnsi="Times New Roman"/>
          <w:b/>
        </w:rPr>
        <w:t>供电系统</w:t>
      </w:r>
    </w:p>
    <w:p>
      <w:pPr>
        <w:snapToGrid w:val="0"/>
        <w:spacing w:line="500" w:lineRule="exact"/>
        <w:ind w:firstLine="560" w:firstLineChars="200"/>
        <w:rPr>
          <w:rFonts w:eastAsia="仿宋_GB2312"/>
          <w:sz w:val="28"/>
          <w:szCs w:val="28"/>
        </w:rPr>
      </w:pPr>
      <w:r>
        <w:rPr>
          <w:rFonts w:hint="eastAsia" w:eastAsia="仿宋_GB2312"/>
          <w:sz w:val="28"/>
          <w:szCs w:val="28"/>
        </w:rPr>
        <w:t>本项目供电</w:t>
      </w:r>
      <w:r>
        <w:rPr>
          <w:rFonts w:eastAsia="仿宋_GB2312"/>
          <w:sz w:val="28"/>
          <w:szCs w:val="28"/>
        </w:rPr>
        <w:t>电由金城镇供电所提供，本项目接入电压10kV。</w:t>
      </w:r>
      <w:r>
        <w:rPr>
          <w:rFonts w:hint="eastAsia" w:eastAsia="仿宋_GB2312"/>
          <w:sz w:val="28"/>
          <w:szCs w:val="28"/>
        </w:rPr>
        <w:t>依托车间西</w:t>
      </w:r>
      <w:r>
        <w:rPr>
          <w:rFonts w:eastAsia="仿宋_GB2312"/>
          <w:sz w:val="28"/>
          <w:szCs w:val="28"/>
        </w:rPr>
        <w:t>侧</w:t>
      </w:r>
      <w:r>
        <w:rPr>
          <w:rFonts w:hint="eastAsia" w:eastAsia="仿宋_GB2312"/>
          <w:sz w:val="28"/>
          <w:szCs w:val="28"/>
        </w:rPr>
        <w:t>原有</w:t>
      </w:r>
      <w:r>
        <w:rPr>
          <w:rFonts w:eastAsia="仿宋_GB2312"/>
          <w:sz w:val="28"/>
          <w:szCs w:val="28"/>
        </w:rPr>
        <w:t>配电间，内设置1台</w:t>
      </w:r>
      <w:r>
        <w:rPr>
          <w:rFonts w:hint="eastAsia" w:eastAsia="仿宋_GB2312"/>
          <w:sz w:val="28"/>
          <w:szCs w:val="28"/>
        </w:rPr>
        <w:t>型号为SCB12-1000/10</w:t>
      </w:r>
      <w:r>
        <w:rPr>
          <w:rFonts w:eastAsia="仿宋_GB2312"/>
          <w:sz w:val="28"/>
          <w:szCs w:val="28"/>
        </w:rPr>
        <w:t>的干式</w:t>
      </w:r>
      <w:r>
        <w:rPr>
          <w:rFonts w:hint="eastAsia" w:eastAsia="仿宋_GB2312"/>
          <w:sz w:val="28"/>
          <w:szCs w:val="28"/>
        </w:rPr>
        <w:t>电力</w:t>
      </w:r>
      <w:r>
        <w:rPr>
          <w:rFonts w:eastAsia="仿宋_GB2312"/>
          <w:sz w:val="28"/>
          <w:szCs w:val="28"/>
        </w:rPr>
        <w:t>变压器，将电压转化为220V/380V后引入本项目，全年用电量约为</w:t>
      </w:r>
      <w:r>
        <w:rPr>
          <w:rFonts w:hint="eastAsia" w:eastAsia="仿宋_GB2312"/>
          <w:sz w:val="28"/>
          <w:szCs w:val="28"/>
        </w:rPr>
        <w:t>300</w:t>
      </w:r>
      <w:r>
        <w:rPr>
          <w:rFonts w:eastAsia="仿宋_GB2312"/>
          <w:sz w:val="28"/>
          <w:szCs w:val="28"/>
        </w:rPr>
        <w:t>万KWh/a。</w:t>
      </w:r>
    </w:p>
    <w:p>
      <w:pPr>
        <w:pStyle w:val="5"/>
        <w:keepLines w:val="0"/>
        <w:widowControl/>
        <w:numPr>
          <w:ilvl w:val="3"/>
          <w:numId w:val="1"/>
        </w:numPr>
        <w:tabs>
          <w:tab w:val="left" w:pos="993"/>
        </w:tabs>
        <w:adjustRightInd w:val="0"/>
        <w:snapToGrid w:val="0"/>
        <w:spacing w:after="120" w:afterLines="50"/>
        <w:ind w:left="0" w:firstLine="0"/>
        <w:jc w:val="left"/>
        <w:rPr>
          <w:rFonts w:ascii="Times New Roman" w:hAnsi="Times New Roman"/>
          <w:b/>
        </w:rPr>
      </w:pPr>
      <w:r>
        <w:rPr>
          <w:rFonts w:ascii="Times New Roman" w:hAnsi="Times New Roman"/>
          <w:b/>
        </w:rPr>
        <w:t>给排水系统</w:t>
      </w:r>
    </w:p>
    <w:p>
      <w:pPr>
        <w:snapToGrid w:val="0"/>
        <w:spacing w:line="500" w:lineRule="exact"/>
        <w:ind w:firstLine="560" w:firstLineChars="200"/>
        <w:rPr>
          <w:rFonts w:eastAsia="仿宋_GB2312"/>
          <w:sz w:val="28"/>
          <w:szCs w:val="28"/>
        </w:rPr>
      </w:pPr>
      <w:r>
        <w:rPr>
          <w:rFonts w:eastAsia="仿宋_GB2312"/>
          <w:sz w:val="28"/>
          <w:szCs w:val="28"/>
        </w:rPr>
        <w:t>1、给水系统</w:t>
      </w:r>
    </w:p>
    <w:p>
      <w:pPr>
        <w:spacing w:line="500" w:lineRule="exact"/>
        <w:ind w:firstLine="560" w:firstLineChars="200"/>
        <w:rPr>
          <w:rFonts w:eastAsia="仿宋_GB2312"/>
          <w:sz w:val="28"/>
          <w:szCs w:val="28"/>
        </w:rPr>
      </w:pPr>
      <w:r>
        <w:rPr>
          <w:rFonts w:eastAsia="仿宋_GB2312"/>
          <w:sz w:val="28"/>
          <w:szCs w:val="28"/>
        </w:rPr>
        <w:t>本项目建成后全厂自来水用量</w:t>
      </w:r>
      <w:r>
        <w:rPr>
          <w:rFonts w:hint="eastAsia" w:eastAsia="仿宋_GB2312"/>
          <w:sz w:val="28"/>
          <w:szCs w:val="28"/>
        </w:rPr>
        <w:t>1</w:t>
      </w:r>
      <w:r>
        <w:rPr>
          <w:rFonts w:eastAsia="仿宋_GB2312"/>
          <w:sz w:val="28"/>
          <w:szCs w:val="28"/>
        </w:rPr>
        <w:t>400m</w:t>
      </w:r>
      <w:r>
        <w:rPr>
          <w:rFonts w:eastAsia="仿宋_GB2312"/>
          <w:sz w:val="28"/>
          <w:szCs w:val="28"/>
          <w:vertAlign w:val="superscript"/>
        </w:rPr>
        <w:t>3</w:t>
      </w:r>
      <w:r>
        <w:rPr>
          <w:rFonts w:eastAsia="仿宋_GB2312"/>
          <w:sz w:val="28"/>
          <w:szCs w:val="28"/>
        </w:rPr>
        <w:t>/a，由园区市政供水管网供给。</w:t>
      </w:r>
    </w:p>
    <w:p>
      <w:pPr>
        <w:snapToGrid w:val="0"/>
        <w:spacing w:line="500" w:lineRule="exact"/>
        <w:ind w:firstLine="560" w:firstLineChars="200"/>
        <w:rPr>
          <w:rFonts w:eastAsia="仿宋_GB2312"/>
          <w:sz w:val="28"/>
          <w:szCs w:val="28"/>
        </w:rPr>
      </w:pPr>
      <w:r>
        <w:rPr>
          <w:rFonts w:eastAsia="仿宋_GB2312"/>
          <w:sz w:val="28"/>
          <w:szCs w:val="28"/>
        </w:rPr>
        <w:t>2、排水系统</w:t>
      </w:r>
    </w:p>
    <w:p>
      <w:pPr>
        <w:snapToGrid w:val="0"/>
        <w:spacing w:line="500" w:lineRule="exact"/>
        <w:ind w:firstLine="560" w:firstLineChars="200"/>
        <w:rPr>
          <w:rFonts w:eastAsia="仿宋_GB2312"/>
          <w:sz w:val="28"/>
          <w:szCs w:val="28"/>
        </w:rPr>
      </w:pPr>
      <w:r>
        <w:rPr>
          <w:rFonts w:eastAsia="仿宋_GB2312"/>
          <w:sz w:val="28"/>
          <w:szCs w:val="28"/>
        </w:rPr>
        <w:t>本项目生活污水接管进入</w:t>
      </w:r>
      <w:r>
        <w:rPr>
          <w:rFonts w:hint="eastAsia" w:eastAsia="仿宋_GB2312"/>
          <w:sz w:val="28"/>
          <w:szCs w:val="28"/>
        </w:rPr>
        <w:t>金坛第二污水处理厂</w:t>
      </w:r>
      <w:r>
        <w:rPr>
          <w:rFonts w:eastAsia="仿宋_GB2312"/>
          <w:sz w:val="28"/>
          <w:szCs w:val="28"/>
        </w:rPr>
        <w:t>集中处理</w:t>
      </w:r>
      <w:r>
        <w:rPr>
          <w:rFonts w:hint="eastAsia" w:eastAsia="仿宋_GB2312"/>
          <w:sz w:val="28"/>
          <w:szCs w:val="28"/>
        </w:rPr>
        <w:t>。</w:t>
      </w:r>
    </w:p>
    <w:p>
      <w:pPr>
        <w:snapToGrid w:val="0"/>
        <w:spacing w:line="500" w:lineRule="exact"/>
        <w:ind w:firstLine="560" w:firstLineChars="200"/>
        <w:rPr>
          <w:rFonts w:eastAsia="仿宋_GB2312"/>
          <w:sz w:val="28"/>
          <w:szCs w:val="28"/>
        </w:rPr>
      </w:pPr>
      <w:r>
        <w:rPr>
          <w:rFonts w:eastAsia="仿宋_GB2312"/>
          <w:sz w:val="28"/>
          <w:szCs w:val="28"/>
        </w:rPr>
        <w:t>全厂水平衡图见图3.2-1。</w:t>
      </w:r>
    </w:p>
    <w:p>
      <w:pPr>
        <w:snapToGrid w:val="0"/>
        <w:ind w:firstLine="420" w:firstLineChars="200"/>
      </w:pPr>
      <w:r>
        <w:drawing>
          <wp:inline distT="0" distB="0" distL="0" distR="0">
            <wp:extent cx="5274310" cy="1936115"/>
            <wp:effectExtent l="0" t="0" r="0"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5"/>
                    <a:stretch>
                      <a:fillRect/>
                    </a:stretch>
                  </pic:blipFill>
                  <pic:spPr>
                    <a:xfrm>
                      <a:off x="0" y="0"/>
                      <a:ext cx="5274310" cy="1936115"/>
                    </a:xfrm>
                    <a:prstGeom prst="rect">
                      <a:avLst/>
                    </a:prstGeom>
                  </pic:spPr>
                </pic:pic>
              </a:graphicData>
            </a:graphic>
          </wp:inline>
        </w:drawing>
      </w:r>
    </w:p>
    <w:p>
      <w:pPr>
        <w:pStyle w:val="33"/>
        <w:jc w:val="center"/>
        <w:rPr>
          <w:rFonts w:eastAsia="仿宋_GB2312"/>
        </w:rPr>
      </w:pPr>
      <w:r>
        <w:rPr>
          <w:rFonts w:hint="eastAsia" w:eastAsia="仿宋_GB2312"/>
          <w:b/>
          <w:sz w:val="24"/>
        </w:rPr>
        <w:t>图3.2-1 全厂水平衡图 单位</w:t>
      </w:r>
      <w:r>
        <w:rPr>
          <w:rFonts w:eastAsia="仿宋_GB2312"/>
          <w:b/>
          <w:sz w:val="24"/>
        </w:rPr>
        <w:t>t/a</w:t>
      </w:r>
    </w:p>
    <w:p>
      <w:pPr>
        <w:pStyle w:val="5"/>
        <w:keepLines w:val="0"/>
        <w:widowControl/>
        <w:numPr>
          <w:ilvl w:val="3"/>
          <w:numId w:val="1"/>
        </w:numPr>
        <w:adjustRightInd w:val="0"/>
        <w:snapToGrid w:val="0"/>
        <w:spacing w:after="120" w:afterLines="50"/>
        <w:ind w:left="0" w:firstLine="0"/>
        <w:jc w:val="left"/>
        <w:rPr>
          <w:rFonts w:ascii="Times New Roman" w:hAnsi="Times New Roman"/>
          <w:b/>
        </w:rPr>
      </w:pPr>
      <w:r>
        <w:rPr>
          <w:rFonts w:hint="eastAsia" w:ascii="Times New Roman" w:hAnsi="Times New Roman"/>
          <w:b/>
        </w:rPr>
        <w:t>供气系统</w:t>
      </w:r>
    </w:p>
    <w:p>
      <w:pPr>
        <w:spacing w:line="500" w:lineRule="exact"/>
        <w:ind w:firstLine="560" w:firstLineChars="200"/>
        <w:rPr>
          <w:rFonts w:eastAsia="仿宋_GB2312"/>
          <w:sz w:val="28"/>
          <w:szCs w:val="28"/>
        </w:rPr>
      </w:pPr>
      <w:bookmarkStart w:id="240" w:name="_Ref369213964"/>
      <w:r>
        <w:rPr>
          <w:rFonts w:hint="eastAsia" w:eastAsia="仿宋_GB2312"/>
          <w:sz w:val="28"/>
          <w:szCs w:val="28"/>
        </w:rPr>
        <w:t>本项目RTO装置使用天然气做助燃气体，天然气来源于市政燃气管网，通过燃气调压柜调压后调压至0.09MPa，通过DN125、DN65管道输送至用气点。每年供气量为24万m</w:t>
      </w:r>
      <w:r>
        <w:rPr>
          <w:rFonts w:hint="eastAsia" w:eastAsia="仿宋_GB2312"/>
          <w:sz w:val="28"/>
          <w:szCs w:val="28"/>
          <w:vertAlign w:val="superscript"/>
        </w:rPr>
        <w:t>3</w:t>
      </w:r>
      <w:r>
        <w:rPr>
          <w:rFonts w:hint="eastAsia" w:eastAsia="仿宋_GB2312"/>
          <w:sz w:val="28"/>
          <w:szCs w:val="28"/>
        </w:rPr>
        <w:t>，天然气供气量满足需求。</w:t>
      </w:r>
    </w:p>
    <w:p>
      <w:pPr>
        <w:pStyle w:val="5"/>
        <w:keepLines w:val="0"/>
        <w:widowControl/>
        <w:numPr>
          <w:ilvl w:val="3"/>
          <w:numId w:val="1"/>
        </w:numPr>
        <w:adjustRightInd w:val="0"/>
        <w:snapToGrid w:val="0"/>
        <w:spacing w:after="120" w:afterLines="50"/>
        <w:ind w:left="0" w:firstLine="0"/>
        <w:jc w:val="left"/>
        <w:rPr>
          <w:rFonts w:ascii="Times New Roman" w:hAnsi="Times New Roman"/>
          <w:b/>
        </w:rPr>
      </w:pPr>
      <w:r>
        <w:rPr>
          <w:rFonts w:hint="eastAsia" w:ascii="Times New Roman" w:hAnsi="Times New Roman"/>
          <w:b/>
        </w:rPr>
        <w:t>循环冷却系统</w:t>
      </w:r>
    </w:p>
    <w:p>
      <w:pPr>
        <w:spacing w:line="500" w:lineRule="exact"/>
        <w:ind w:firstLine="560" w:firstLineChars="200"/>
        <w:rPr>
          <w:rFonts w:eastAsia="仿宋_GB2312"/>
          <w:sz w:val="28"/>
          <w:szCs w:val="28"/>
        </w:rPr>
      </w:pPr>
      <w:r>
        <w:rPr>
          <w:rFonts w:hint="eastAsia" w:eastAsia="仿宋_GB2312"/>
          <w:sz w:val="28"/>
          <w:szCs w:val="28"/>
        </w:rPr>
        <w:t>本项目依托厂内原有冷却池，循环</w:t>
      </w:r>
      <w:r>
        <w:rPr>
          <w:rFonts w:eastAsia="仿宋_GB2312"/>
          <w:sz w:val="28"/>
          <w:szCs w:val="28"/>
        </w:rPr>
        <w:t>水量</w:t>
      </w:r>
      <w:r>
        <w:rPr>
          <w:rFonts w:hint="eastAsia" w:eastAsia="仿宋_GB2312"/>
          <w:sz w:val="28"/>
          <w:szCs w:val="28"/>
        </w:rPr>
        <w:t>约5000</w:t>
      </w:r>
      <w:r>
        <w:rPr>
          <w:rFonts w:eastAsia="仿宋_GB2312"/>
          <w:sz w:val="28"/>
          <w:szCs w:val="28"/>
        </w:rPr>
        <w:t>t/a，循环冷却水</w:t>
      </w:r>
      <w:r>
        <w:rPr>
          <w:rFonts w:hint="eastAsia" w:eastAsia="仿宋_GB2312"/>
          <w:sz w:val="28"/>
          <w:szCs w:val="28"/>
        </w:rPr>
        <w:t>不外排</w:t>
      </w:r>
      <w:r>
        <w:rPr>
          <w:rFonts w:eastAsia="仿宋_GB2312"/>
          <w:sz w:val="28"/>
          <w:szCs w:val="28"/>
        </w:rPr>
        <w:t>。</w:t>
      </w:r>
    </w:p>
    <w:p>
      <w:pPr>
        <w:pStyle w:val="5"/>
        <w:keepLines w:val="0"/>
        <w:widowControl/>
        <w:numPr>
          <w:ilvl w:val="3"/>
          <w:numId w:val="1"/>
        </w:numPr>
        <w:adjustRightInd w:val="0"/>
        <w:snapToGrid w:val="0"/>
        <w:spacing w:after="120" w:afterLines="50"/>
        <w:ind w:left="0" w:firstLine="0"/>
        <w:jc w:val="left"/>
        <w:rPr>
          <w:rFonts w:ascii="Times New Roman" w:hAnsi="Times New Roman"/>
          <w:b/>
        </w:rPr>
      </w:pPr>
      <w:r>
        <w:rPr>
          <w:rFonts w:hint="eastAsia" w:ascii="Times New Roman" w:hAnsi="Times New Roman"/>
          <w:b/>
        </w:rPr>
        <w:t>消防系统</w:t>
      </w:r>
    </w:p>
    <w:p>
      <w:pPr>
        <w:spacing w:line="500" w:lineRule="exact"/>
        <w:ind w:firstLine="560" w:firstLineChars="200"/>
        <w:rPr>
          <w:rFonts w:eastAsia="仿宋_GB2312"/>
          <w:sz w:val="28"/>
          <w:szCs w:val="28"/>
        </w:rPr>
      </w:pPr>
      <w:r>
        <w:rPr>
          <w:rFonts w:hint="eastAsia" w:eastAsia="仿宋_GB2312"/>
          <w:sz w:val="28"/>
          <w:szCs w:val="28"/>
        </w:rPr>
        <w:t>本项目室内消防用水采用临时高压供水，设置消防泵组。</w:t>
      </w:r>
    </w:p>
    <w:bookmarkEnd w:id="240"/>
    <w:p>
      <w:pPr>
        <w:pStyle w:val="4"/>
        <w:keepLines w:val="0"/>
        <w:numPr>
          <w:ilvl w:val="2"/>
          <w:numId w:val="1"/>
        </w:numPr>
        <w:tabs>
          <w:tab w:val="left" w:pos="709"/>
        </w:tabs>
        <w:spacing w:before="120" w:beforeLines="50" w:after="120" w:afterLines="50" w:line="500" w:lineRule="exact"/>
        <w:ind w:left="452" w:hanging="452" w:hangingChars="150"/>
        <w:rPr>
          <w:rFonts w:eastAsia="仿宋_GB2312"/>
          <w:sz w:val="30"/>
          <w:szCs w:val="30"/>
        </w:rPr>
      </w:pPr>
      <w:r>
        <w:rPr>
          <w:rFonts w:eastAsia="仿宋_GB2312"/>
          <w:sz w:val="30"/>
          <w:szCs w:val="30"/>
        </w:rPr>
        <w:t>总图布置</w:t>
      </w:r>
    </w:p>
    <w:p>
      <w:pPr>
        <w:pStyle w:val="5"/>
        <w:keepLines w:val="0"/>
        <w:widowControl/>
        <w:numPr>
          <w:ilvl w:val="3"/>
          <w:numId w:val="1"/>
        </w:numPr>
        <w:adjustRightInd w:val="0"/>
        <w:snapToGrid w:val="0"/>
        <w:spacing w:after="120" w:afterLines="50"/>
        <w:ind w:left="0" w:firstLine="0"/>
        <w:jc w:val="left"/>
        <w:rPr>
          <w:rFonts w:ascii="Times New Roman" w:hAnsi="Times New Roman"/>
          <w:b/>
        </w:rPr>
      </w:pPr>
      <w:r>
        <w:rPr>
          <w:rFonts w:hint="eastAsia" w:ascii="Times New Roman" w:hAnsi="Times New Roman"/>
          <w:b/>
        </w:rPr>
        <w:t>总平面图布置原则</w:t>
      </w:r>
    </w:p>
    <w:p>
      <w:pPr>
        <w:spacing w:line="500" w:lineRule="exact"/>
        <w:ind w:firstLine="560" w:firstLineChars="200"/>
        <w:rPr>
          <w:rFonts w:eastAsia="仿宋_GB2312"/>
          <w:sz w:val="28"/>
          <w:szCs w:val="28"/>
        </w:rPr>
      </w:pPr>
      <w:r>
        <w:rPr>
          <w:rFonts w:hint="eastAsia" w:eastAsia="仿宋_GB2312"/>
          <w:sz w:val="28"/>
          <w:szCs w:val="28"/>
        </w:rPr>
        <w:t>⑴功能分区明确合理</w:t>
      </w:r>
    </w:p>
    <w:p>
      <w:pPr>
        <w:spacing w:line="500" w:lineRule="exact"/>
        <w:ind w:firstLine="560" w:firstLineChars="200"/>
        <w:rPr>
          <w:rFonts w:eastAsia="仿宋_GB2312"/>
          <w:sz w:val="28"/>
          <w:szCs w:val="28"/>
        </w:rPr>
      </w:pPr>
      <w:r>
        <w:rPr>
          <w:rFonts w:hint="eastAsia" w:eastAsia="仿宋_GB2312"/>
          <w:sz w:val="28"/>
          <w:szCs w:val="28"/>
        </w:rPr>
        <w:t>⑵平面布置符合消防和安全卫生要求</w:t>
      </w:r>
    </w:p>
    <w:p>
      <w:pPr>
        <w:spacing w:line="500" w:lineRule="exact"/>
        <w:ind w:firstLine="560" w:firstLineChars="200"/>
        <w:rPr>
          <w:rFonts w:eastAsia="仿宋_GB2312"/>
          <w:sz w:val="28"/>
          <w:szCs w:val="28"/>
        </w:rPr>
      </w:pPr>
      <w:r>
        <w:rPr>
          <w:rFonts w:hint="eastAsia" w:eastAsia="仿宋_GB2312"/>
          <w:sz w:val="28"/>
          <w:szCs w:val="28"/>
        </w:rPr>
        <w:t>⑶满足生产工艺流程及交通运输通畅安全</w:t>
      </w:r>
    </w:p>
    <w:p>
      <w:pPr>
        <w:spacing w:line="500" w:lineRule="exact"/>
        <w:ind w:firstLine="560" w:firstLineChars="200"/>
        <w:rPr>
          <w:rFonts w:eastAsia="仿宋_GB2312"/>
          <w:sz w:val="28"/>
          <w:szCs w:val="28"/>
        </w:rPr>
      </w:pPr>
      <w:r>
        <w:rPr>
          <w:rFonts w:hint="eastAsia" w:eastAsia="仿宋_GB2312"/>
          <w:sz w:val="28"/>
          <w:szCs w:val="28"/>
        </w:rPr>
        <w:t>⑷经济效益与环境效益相结合</w:t>
      </w:r>
    </w:p>
    <w:p>
      <w:pPr>
        <w:pStyle w:val="5"/>
        <w:keepLines w:val="0"/>
        <w:widowControl/>
        <w:numPr>
          <w:ilvl w:val="3"/>
          <w:numId w:val="1"/>
        </w:numPr>
        <w:adjustRightInd w:val="0"/>
        <w:snapToGrid w:val="0"/>
        <w:spacing w:after="120" w:afterLines="50"/>
        <w:ind w:left="0" w:firstLine="0"/>
        <w:jc w:val="left"/>
        <w:rPr>
          <w:rFonts w:ascii="Times New Roman" w:hAnsi="Times New Roman"/>
          <w:b/>
        </w:rPr>
      </w:pPr>
      <w:r>
        <w:rPr>
          <w:rFonts w:hint="eastAsia" w:ascii="Times New Roman" w:hAnsi="Times New Roman"/>
          <w:b/>
        </w:rPr>
        <w:t>总平面图布置方案</w:t>
      </w:r>
    </w:p>
    <w:p>
      <w:pPr>
        <w:spacing w:line="500" w:lineRule="exact"/>
        <w:ind w:firstLine="560" w:firstLineChars="200"/>
        <w:rPr>
          <w:rFonts w:eastAsia="仿宋_GB2312"/>
          <w:sz w:val="28"/>
          <w:szCs w:val="28"/>
        </w:rPr>
      </w:pPr>
      <w:r>
        <w:rPr>
          <w:rFonts w:hint="eastAsia" w:eastAsia="仿宋_GB2312"/>
          <w:sz w:val="28"/>
          <w:szCs w:val="28"/>
        </w:rPr>
        <w:t>本项目厂区总建筑面积2336m</w:t>
      </w:r>
      <w:r>
        <w:rPr>
          <w:rFonts w:hint="eastAsia" w:eastAsia="仿宋_GB2312"/>
          <w:sz w:val="28"/>
          <w:szCs w:val="28"/>
          <w:vertAlign w:val="superscript"/>
        </w:rPr>
        <w:t>2</w:t>
      </w:r>
      <w:r>
        <w:rPr>
          <w:rFonts w:eastAsia="仿宋_GB2312"/>
          <w:sz w:val="28"/>
          <w:szCs w:val="28"/>
        </w:rPr>
        <w:t>。</w:t>
      </w:r>
      <w:r>
        <w:rPr>
          <w:rFonts w:hint="eastAsia" w:eastAsia="仿宋_GB2312"/>
          <w:b/>
          <w:sz w:val="28"/>
          <w:szCs w:val="28"/>
        </w:rPr>
        <w:t>项目总平面布置图见图3.</w:t>
      </w:r>
      <w:r>
        <w:rPr>
          <w:rFonts w:eastAsia="仿宋_GB2312"/>
          <w:b/>
          <w:sz w:val="28"/>
          <w:szCs w:val="28"/>
        </w:rPr>
        <w:t>1</w:t>
      </w:r>
      <w:r>
        <w:rPr>
          <w:rFonts w:hint="eastAsia" w:eastAsia="仿宋_GB2312"/>
          <w:b/>
          <w:sz w:val="28"/>
          <w:szCs w:val="28"/>
        </w:rPr>
        <w:t>-</w:t>
      </w:r>
      <w:r>
        <w:rPr>
          <w:rFonts w:eastAsia="仿宋_GB2312"/>
          <w:b/>
          <w:sz w:val="28"/>
          <w:szCs w:val="28"/>
        </w:rPr>
        <w:t>1</w:t>
      </w:r>
      <w:r>
        <w:rPr>
          <w:rFonts w:hint="eastAsia" w:eastAsia="仿宋_GB2312"/>
          <w:sz w:val="28"/>
          <w:szCs w:val="28"/>
        </w:rPr>
        <w:t>。周围500m土地利用现状</w:t>
      </w:r>
      <w:r>
        <w:rPr>
          <w:rFonts w:hint="eastAsia" w:eastAsia="仿宋_GB2312"/>
          <w:b/>
          <w:sz w:val="28"/>
          <w:szCs w:val="28"/>
        </w:rPr>
        <w:t>见图3.</w:t>
      </w:r>
      <w:r>
        <w:rPr>
          <w:rFonts w:eastAsia="仿宋_GB2312"/>
          <w:b/>
          <w:sz w:val="28"/>
          <w:szCs w:val="28"/>
        </w:rPr>
        <w:t>1</w:t>
      </w:r>
      <w:r>
        <w:rPr>
          <w:rFonts w:hint="eastAsia" w:eastAsia="仿宋_GB2312"/>
          <w:b/>
          <w:sz w:val="28"/>
          <w:szCs w:val="28"/>
        </w:rPr>
        <w:t>-2。</w:t>
      </w:r>
    </w:p>
    <w:p>
      <w:pPr>
        <w:spacing w:line="500" w:lineRule="exact"/>
        <w:ind w:firstLine="560" w:firstLineChars="200"/>
        <w:rPr>
          <w:rFonts w:eastAsia="仿宋_GB2312"/>
          <w:sz w:val="28"/>
          <w:szCs w:val="28"/>
        </w:rPr>
      </w:pPr>
      <w:r>
        <w:rPr>
          <w:rFonts w:hint="eastAsia" w:eastAsia="仿宋_GB2312"/>
          <w:sz w:val="28"/>
          <w:szCs w:val="28"/>
        </w:rPr>
        <w:t>（1）生产车间</w:t>
      </w:r>
    </w:p>
    <w:p>
      <w:pPr>
        <w:spacing w:line="500" w:lineRule="exact"/>
        <w:ind w:firstLine="562" w:firstLineChars="200"/>
        <w:rPr>
          <w:rFonts w:eastAsia="仿宋_GB2312"/>
          <w:b/>
          <w:sz w:val="28"/>
          <w:szCs w:val="28"/>
        </w:rPr>
      </w:pPr>
      <w:r>
        <w:rPr>
          <w:rFonts w:eastAsia="仿宋_GB2312"/>
          <w:b/>
          <w:sz w:val="28"/>
          <w:szCs w:val="28"/>
        </w:rPr>
        <w:t>车间平面布置图见图3.1-</w:t>
      </w:r>
      <w:r>
        <w:rPr>
          <w:rFonts w:hint="eastAsia" w:eastAsia="仿宋_GB2312"/>
          <w:b/>
          <w:sz w:val="28"/>
          <w:szCs w:val="28"/>
        </w:rPr>
        <w:t>3</w:t>
      </w:r>
      <w:r>
        <w:rPr>
          <w:rFonts w:hint="eastAsia" w:eastAsia="仿宋_GB2312"/>
          <w:sz w:val="28"/>
          <w:szCs w:val="28"/>
        </w:rPr>
        <w:t>。</w:t>
      </w:r>
    </w:p>
    <w:p>
      <w:pPr>
        <w:spacing w:line="500" w:lineRule="exact"/>
        <w:ind w:firstLine="560" w:firstLineChars="200"/>
        <w:rPr>
          <w:rFonts w:eastAsia="仿宋_GB2312"/>
          <w:sz w:val="28"/>
          <w:szCs w:val="28"/>
        </w:rPr>
      </w:pPr>
      <w:r>
        <w:rPr>
          <w:rFonts w:hint="eastAsia" w:eastAsia="仿宋_GB2312"/>
          <w:sz w:val="28"/>
          <w:szCs w:val="28"/>
        </w:rPr>
        <w:t>（2）原料库</w:t>
      </w:r>
    </w:p>
    <w:p>
      <w:pPr>
        <w:spacing w:line="500" w:lineRule="exact"/>
        <w:ind w:firstLine="560" w:firstLineChars="200"/>
        <w:rPr>
          <w:rFonts w:eastAsia="仿宋_GB2312"/>
          <w:sz w:val="28"/>
          <w:szCs w:val="28"/>
        </w:rPr>
      </w:pPr>
      <w:r>
        <w:rPr>
          <w:rFonts w:hint="eastAsia" w:eastAsia="仿宋_GB2312"/>
          <w:sz w:val="28"/>
          <w:szCs w:val="28"/>
        </w:rPr>
        <w:t>原料库</w:t>
      </w:r>
      <w:r>
        <w:rPr>
          <w:rFonts w:eastAsia="仿宋_GB2312"/>
          <w:sz w:val="28"/>
          <w:szCs w:val="28"/>
        </w:rPr>
        <w:t>位于</w:t>
      </w:r>
      <w:r>
        <w:rPr>
          <w:rFonts w:hint="eastAsia" w:eastAsia="仿宋_GB2312"/>
          <w:sz w:val="28"/>
          <w:szCs w:val="28"/>
        </w:rPr>
        <w:t>车间</w:t>
      </w:r>
      <w:r>
        <w:rPr>
          <w:rFonts w:eastAsia="仿宋_GB2312"/>
          <w:sz w:val="28"/>
          <w:szCs w:val="28"/>
        </w:rPr>
        <w:t>东侧，</w:t>
      </w:r>
      <w:r>
        <w:rPr>
          <w:rFonts w:hint="eastAsia" w:eastAsia="仿宋_GB2312"/>
          <w:sz w:val="28"/>
          <w:szCs w:val="28"/>
        </w:rPr>
        <w:t>用于暂</w:t>
      </w:r>
      <w:r>
        <w:rPr>
          <w:rFonts w:eastAsia="仿宋_GB2312"/>
          <w:sz w:val="28"/>
          <w:szCs w:val="28"/>
        </w:rPr>
        <w:t>存</w:t>
      </w:r>
      <w:r>
        <w:rPr>
          <w:rFonts w:hint="eastAsia" w:eastAsia="仿宋_GB2312"/>
          <w:sz w:val="28"/>
          <w:szCs w:val="28"/>
        </w:rPr>
        <w:t>胶粘剂</w:t>
      </w:r>
      <w:r>
        <w:rPr>
          <w:rFonts w:eastAsia="仿宋_GB2312"/>
          <w:sz w:val="28"/>
          <w:szCs w:val="28"/>
        </w:rPr>
        <w:t>、固化剂等</w:t>
      </w:r>
      <w:r>
        <w:rPr>
          <w:rFonts w:hint="eastAsia" w:eastAsia="仿宋_GB2312"/>
          <w:sz w:val="28"/>
          <w:szCs w:val="28"/>
        </w:rPr>
        <w:t>，占地面积</w:t>
      </w:r>
      <w:r>
        <w:rPr>
          <w:rFonts w:eastAsia="仿宋_GB2312"/>
          <w:sz w:val="28"/>
          <w:szCs w:val="28"/>
        </w:rPr>
        <w:t>43</w:t>
      </w:r>
      <w:r>
        <w:rPr>
          <w:rFonts w:hint="eastAsia" w:eastAsia="仿宋_GB2312"/>
          <w:sz w:val="28"/>
          <w:szCs w:val="28"/>
        </w:rPr>
        <w:t>0</w:t>
      </w:r>
      <w:r>
        <w:rPr>
          <w:rFonts w:eastAsia="仿宋_GB2312"/>
          <w:sz w:val="28"/>
          <w:szCs w:val="28"/>
        </w:rPr>
        <w:t>m</w:t>
      </w:r>
      <w:r>
        <w:rPr>
          <w:rFonts w:eastAsia="仿宋_GB2312"/>
          <w:sz w:val="28"/>
          <w:szCs w:val="28"/>
          <w:vertAlign w:val="superscript"/>
        </w:rPr>
        <w:t>2</w:t>
      </w:r>
      <w:r>
        <w:rPr>
          <w:rFonts w:hint="eastAsia" w:eastAsia="仿宋_GB2312"/>
          <w:sz w:val="28"/>
          <w:szCs w:val="28"/>
        </w:rPr>
        <w:t>。</w:t>
      </w:r>
    </w:p>
    <w:p>
      <w:pPr>
        <w:spacing w:line="500" w:lineRule="exact"/>
        <w:ind w:firstLine="560" w:firstLineChars="200"/>
        <w:rPr>
          <w:rFonts w:eastAsia="仿宋_GB2312"/>
          <w:sz w:val="28"/>
          <w:szCs w:val="28"/>
        </w:rPr>
      </w:pPr>
      <w:r>
        <w:rPr>
          <w:rFonts w:hint="eastAsia" w:eastAsia="仿宋_GB2312"/>
          <w:sz w:val="28"/>
          <w:szCs w:val="28"/>
        </w:rPr>
        <w:t>（3）一般固废库</w:t>
      </w:r>
    </w:p>
    <w:p>
      <w:pPr>
        <w:spacing w:line="500" w:lineRule="exact"/>
        <w:ind w:firstLine="560" w:firstLineChars="200"/>
        <w:rPr>
          <w:rFonts w:eastAsia="仿宋_GB2312"/>
          <w:sz w:val="28"/>
          <w:szCs w:val="28"/>
        </w:rPr>
      </w:pPr>
      <w:r>
        <w:rPr>
          <w:rFonts w:hint="eastAsia" w:eastAsia="仿宋_GB2312"/>
          <w:sz w:val="28"/>
          <w:szCs w:val="28"/>
        </w:rPr>
        <w:t>一般固废库</w:t>
      </w:r>
      <w:r>
        <w:rPr>
          <w:rFonts w:eastAsia="仿宋_GB2312"/>
          <w:sz w:val="28"/>
          <w:szCs w:val="28"/>
        </w:rPr>
        <w:t>位于厂区</w:t>
      </w:r>
      <w:r>
        <w:rPr>
          <w:rFonts w:hint="eastAsia" w:eastAsia="仿宋_GB2312"/>
          <w:sz w:val="28"/>
          <w:szCs w:val="28"/>
        </w:rPr>
        <w:t>西侧</w:t>
      </w:r>
      <w:r>
        <w:rPr>
          <w:rFonts w:eastAsia="仿宋_GB2312"/>
          <w:sz w:val="28"/>
          <w:szCs w:val="28"/>
        </w:rPr>
        <w:t>，</w:t>
      </w:r>
      <w:r>
        <w:rPr>
          <w:rFonts w:hint="eastAsia" w:eastAsia="仿宋_GB2312"/>
          <w:sz w:val="28"/>
          <w:szCs w:val="28"/>
        </w:rPr>
        <w:t>依托常州</w:t>
      </w:r>
      <w:r>
        <w:rPr>
          <w:rFonts w:eastAsia="仿宋_GB2312"/>
          <w:sz w:val="28"/>
          <w:szCs w:val="28"/>
        </w:rPr>
        <w:t>威斯双联科技有限公司的一般固废库，</w:t>
      </w:r>
      <w:r>
        <w:rPr>
          <w:rFonts w:hint="eastAsia" w:eastAsia="仿宋_GB2312"/>
          <w:sz w:val="28"/>
          <w:szCs w:val="28"/>
        </w:rPr>
        <w:t>用于暂</w:t>
      </w:r>
      <w:r>
        <w:rPr>
          <w:rFonts w:eastAsia="仿宋_GB2312"/>
          <w:sz w:val="28"/>
          <w:szCs w:val="28"/>
        </w:rPr>
        <w:t>存</w:t>
      </w:r>
      <w:r>
        <w:rPr>
          <w:rFonts w:hint="eastAsia" w:eastAsia="仿宋_GB2312"/>
          <w:sz w:val="28"/>
          <w:szCs w:val="28"/>
        </w:rPr>
        <w:t>一般工业</w:t>
      </w:r>
      <w:r>
        <w:rPr>
          <w:rFonts w:eastAsia="仿宋_GB2312"/>
          <w:sz w:val="28"/>
          <w:szCs w:val="28"/>
        </w:rPr>
        <w:t>固废，</w:t>
      </w:r>
      <w:r>
        <w:rPr>
          <w:rFonts w:hint="eastAsia" w:eastAsia="仿宋_GB2312"/>
          <w:sz w:val="28"/>
          <w:szCs w:val="28"/>
        </w:rPr>
        <w:t>占地面积4</w:t>
      </w:r>
      <w:r>
        <w:rPr>
          <w:rFonts w:eastAsia="仿宋_GB2312"/>
          <w:sz w:val="28"/>
          <w:szCs w:val="28"/>
        </w:rPr>
        <w:t>0m</w:t>
      </w:r>
      <w:r>
        <w:rPr>
          <w:rFonts w:eastAsia="仿宋_GB2312"/>
          <w:sz w:val="28"/>
          <w:szCs w:val="28"/>
          <w:vertAlign w:val="superscript"/>
        </w:rPr>
        <w:t>2</w:t>
      </w:r>
      <w:r>
        <w:rPr>
          <w:rFonts w:hint="eastAsia" w:eastAsia="仿宋_GB2312"/>
          <w:sz w:val="28"/>
          <w:szCs w:val="28"/>
        </w:rPr>
        <w:t>。</w:t>
      </w:r>
    </w:p>
    <w:p>
      <w:pPr>
        <w:spacing w:line="500" w:lineRule="exact"/>
        <w:ind w:firstLine="560" w:firstLineChars="200"/>
        <w:rPr>
          <w:rFonts w:eastAsia="仿宋_GB2312"/>
          <w:sz w:val="28"/>
          <w:szCs w:val="28"/>
        </w:rPr>
      </w:pPr>
      <w:r>
        <w:rPr>
          <w:rFonts w:hint="eastAsia" w:eastAsia="仿宋_GB2312"/>
          <w:sz w:val="28"/>
          <w:szCs w:val="28"/>
        </w:rPr>
        <w:t>（4）危废</w:t>
      </w:r>
      <w:r>
        <w:rPr>
          <w:rFonts w:eastAsia="仿宋_GB2312"/>
          <w:sz w:val="28"/>
          <w:szCs w:val="28"/>
        </w:rPr>
        <w:t>库</w:t>
      </w:r>
    </w:p>
    <w:p>
      <w:pPr>
        <w:spacing w:line="500" w:lineRule="exact"/>
        <w:ind w:firstLine="560" w:firstLineChars="200"/>
        <w:rPr>
          <w:rFonts w:eastAsia="仿宋_GB2312"/>
          <w:sz w:val="28"/>
          <w:szCs w:val="28"/>
        </w:rPr>
      </w:pPr>
      <w:r>
        <w:rPr>
          <w:rFonts w:hint="eastAsia" w:eastAsia="仿宋_GB2312"/>
          <w:sz w:val="28"/>
          <w:szCs w:val="28"/>
        </w:rPr>
        <w:t>危废库</w:t>
      </w:r>
      <w:r>
        <w:rPr>
          <w:rFonts w:eastAsia="仿宋_GB2312"/>
          <w:sz w:val="28"/>
          <w:szCs w:val="28"/>
        </w:rPr>
        <w:t>位于厂区</w:t>
      </w:r>
      <w:r>
        <w:rPr>
          <w:rFonts w:hint="eastAsia" w:eastAsia="仿宋_GB2312"/>
          <w:sz w:val="28"/>
          <w:szCs w:val="28"/>
        </w:rPr>
        <w:t>西南侧</w:t>
      </w:r>
      <w:r>
        <w:rPr>
          <w:rFonts w:eastAsia="仿宋_GB2312"/>
          <w:sz w:val="28"/>
          <w:szCs w:val="28"/>
        </w:rPr>
        <w:t>，</w:t>
      </w:r>
      <w:r>
        <w:rPr>
          <w:rFonts w:hint="eastAsia" w:eastAsia="仿宋_GB2312"/>
          <w:sz w:val="28"/>
          <w:szCs w:val="28"/>
        </w:rPr>
        <w:t>依托常州</w:t>
      </w:r>
      <w:r>
        <w:rPr>
          <w:rFonts w:eastAsia="仿宋_GB2312"/>
          <w:sz w:val="28"/>
          <w:szCs w:val="28"/>
        </w:rPr>
        <w:t>威斯双联科技有限公司的</w:t>
      </w:r>
      <w:r>
        <w:rPr>
          <w:rFonts w:hint="eastAsia" w:eastAsia="仿宋_GB2312"/>
          <w:sz w:val="28"/>
          <w:szCs w:val="28"/>
        </w:rPr>
        <w:t>危废仓库</w:t>
      </w:r>
      <w:r>
        <w:rPr>
          <w:rFonts w:eastAsia="仿宋_GB2312"/>
          <w:sz w:val="28"/>
          <w:szCs w:val="28"/>
        </w:rPr>
        <w:t>，</w:t>
      </w:r>
      <w:r>
        <w:rPr>
          <w:rFonts w:hint="eastAsia" w:eastAsia="仿宋_GB2312"/>
          <w:sz w:val="28"/>
          <w:szCs w:val="28"/>
        </w:rPr>
        <w:t>用于暂</w:t>
      </w:r>
      <w:r>
        <w:rPr>
          <w:rFonts w:eastAsia="仿宋_GB2312"/>
          <w:sz w:val="28"/>
          <w:szCs w:val="28"/>
        </w:rPr>
        <w:t>存</w:t>
      </w:r>
      <w:r>
        <w:rPr>
          <w:rFonts w:hint="eastAsia" w:eastAsia="仿宋_GB2312"/>
          <w:sz w:val="28"/>
          <w:szCs w:val="28"/>
        </w:rPr>
        <w:t>本项目</w:t>
      </w:r>
      <w:r>
        <w:rPr>
          <w:rFonts w:eastAsia="仿宋_GB2312"/>
          <w:sz w:val="28"/>
          <w:szCs w:val="28"/>
        </w:rPr>
        <w:t>产生的危险废物</w:t>
      </w:r>
      <w:r>
        <w:rPr>
          <w:rFonts w:hint="eastAsia" w:eastAsia="仿宋_GB2312"/>
          <w:sz w:val="28"/>
          <w:szCs w:val="28"/>
        </w:rPr>
        <w:t>，占地面积15</w:t>
      </w:r>
      <w:r>
        <w:rPr>
          <w:rFonts w:eastAsia="仿宋_GB2312"/>
          <w:sz w:val="28"/>
          <w:szCs w:val="28"/>
        </w:rPr>
        <w:t>m</w:t>
      </w:r>
      <w:r>
        <w:rPr>
          <w:rFonts w:eastAsia="仿宋_GB2312"/>
          <w:sz w:val="28"/>
          <w:szCs w:val="28"/>
          <w:vertAlign w:val="superscript"/>
        </w:rPr>
        <w:t>2</w:t>
      </w:r>
      <w:r>
        <w:rPr>
          <w:rFonts w:hint="eastAsia" w:eastAsia="仿宋_GB2312"/>
          <w:sz w:val="28"/>
          <w:szCs w:val="28"/>
        </w:rPr>
        <w:t>。</w:t>
      </w:r>
    </w:p>
    <w:p>
      <w:pPr>
        <w:pStyle w:val="5"/>
        <w:keepLines w:val="0"/>
        <w:widowControl/>
        <w:numPr>
          <w:ilvl w:val="3"/>
          <w:numId w:val="1"/>
        </w:numPr>
        <w:adjustRightInd w:val="0"/>
        <w:snapToGrid w:val="0"/>
        <w:spacing w:after="120" w:afterLines="50"/>
        <w:ind w:left="0" w:firstLine="0"/>
        <w:jc w:val="left"/>
        <w:rPr>
          <w:rFonts w:ascii="Times New Roman" w:hAnsi="Times New Roman"/>
          <w:b/>
        </w:rPr>
      </w:pPr>
      <w:r>
        <w:rPr>
          <w:rFonts w:hint="eastAsia" w:ascii="Times New Roman" w:hAnsi="Times New Roman"/>
          <w:b/>
        </w:rPr>
        <w:t>占地面积及主要构筑物</w:t>
      </w:r>
    </w:p>
    <w:p>
      <w:pPr>
        <w:spacing w:line="500" w:lineRule="exact"/>
        <w:ind w:firstLine="560" w:firstLineChars="200"/>
        <w:rPr>
          <w:rFonts w:eastAsia="仿宋_GB2312"/>
          <w:sz w:val="28"/>
          <w:szCs w:val="28"/>
        </w:rPr>
      </w:pPr>
      <w:r>
        <w:rPr>
          <w:rFonts w:hint="eastAsia" w:eastAsia="仿宋_GB2312"/>
          <w:sz w:val="28"/>
          <w:szCs w:val="28"/>
        </w:rPr>
        <w:t>本项目主要构筑物情况见表3</w:t>
      </w:r>
      <w:r>
        <w:rPr>
          <w:rFonts w:eastAsia="仿宋_GB2312"/>
          <w:sz w:val="28"/>
          <w:szCs w:val="28"/>
        </w:rPr>
        <w:t>.</w:t>
      </w:r>
      <w:r>
        <w:rPr>
          <w:rFonts w:hint="eastAsia" w:eastAsia="仿宋_GB2312"/>
          <w:sz w:val="28"/>
          <w:szCs w:val="28"/>
        </w:rPr>
        <w:t>1</w:t>
      </w:r>
      <w:r>
        <w:rPr>
          <w:rFonts w:eastAsia="仿宋_GB2312"/>
          <w:sz w:val="28"/>
          <w:szCs w:val="28"/>
        </w:rPr>
        <w:t>-19</w:t>
      </w:r>
      <w:r>
        <w:rPr>
          <w:rFonts w:hint="eastAsia" w:eastAsia="仿宋_GB2312"/>
          <w:sz w:val="28"/>
          <w:szCs w:val="28"/>
        </w:rPr>
        <w:t>。</w:t>
      </w:r>
    </w:p>
    <w:p>
      <w:pPr>
        <w:spacing w:line="500" w:lineRule="exact"/>
        <w:ind w:firstLine="482" w:firstLineChars="200"/>
        <w:jc w:val="center"/>
        <w:rPr>
          <w:rFonts w:eastAsia="仿宋_GB2312"/>
          <w:b/>
          <w:sz w:val="24"/>
        </w:rPr>
      </w:pPr>
      <w:r>
        <w:rPr>
          <w:rFonts w:eastAsia="仿宋_GB2312"/>
          <w:b/>
          <w:sz w:val="24"/>
        </w:rPr>
        <w:t>表3.</w:t>
      </w:r>
      <w:r>
        <w:rPr>
          <w:rFonts w:hint="eastAsia" w:eastAsia="仿宋_GB2312"/>
          <w:b/>
          <w:sz w:val="24"/>
        </w:rPr>
        <w:t>1</w:t>
      </w:r>
      <w:r>
        <w:rPr>
          <w:rFonts w:eastAsia="仿宋_GB2312"/>
          <w:b/>
          <w:sz w:val="24"/>
        </w:rPr>
        <w:t>-19 本项目厂区主要构筑物</w:t>
      </w:r>
      <w:r>
        <w:rPr>
          <w:rFonts w:hint="eastAsia" w:eastAsia="仿宋_GB2312"/>
          <w:b/>
          <w:sz w:val="24"/>
        </w:rPr>
        <w:t xml:space="preserve"> </w:t>
      </w:r>
    </w:p>
    <w:tbl>
      <w:tblPr>
        <w:tblStyle w:val="87"/>
        <w:tblW w:w="568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44"/>
        <w:gridCol w:w="1416"/>
        <w:gridCol w:w="973"/>
        <w:gridCol w:w="1285"/>
        <w:gridCol w:w="1285"/>
        <w:gridCol w:w="1327"/>
        <w:gridCol w:w="1327"/>
        <w:gridCol w:w="13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0" w:hRule="atLeast"/>
          <w:jc w:val="center"/>
        </w:trPr>
        <w:tc>
          <w:tcPr>
            <w:tcW w:w="740" w:type="dxa"/>
            <w:vAlign w:val="center"/>
          </w:tcPr>
          <w:p>
            <w:pPr>
              <w:spacing w:line="240" w:lineRule="exact"/>
              <w:jc w:val="center"/>
              <w:rPr>
                <w:rFonts w:ascii="仿宋" w:hAnsi="仿宋" w:eastAsia="仿宋" w:cs="仿宋"/>
                <w:bCs/>
                <w:szCs w:val="21"/>
              </w:rPr>
            </w:pPr>
            <w:r>
              <w:rPr>
                <w:rFonts w:ascii="仿宋" w:hAnsi="仿宋" w:eastAsia="仿宋" w:cs="仿宋"/>
                <w:bCs/>
                <w:szCs w:val="21"/>
              </w:rPr>
              <w:t>序号</w:t>
            </w:r>
          </w:p>
        </w:tc>
        <w:tc>
          <w:tcPr>
            <w:tcW w:w="1418" w:type="dxa"/>
            <w:vAlign w:val="center"/>
          </w:tcPr>
          <w:p>
            <w:pPr>
              <w:spacing w:line="240" w:lineRule="exact"/>
              <w:jc w:val="center"/>
              <w:rPr>
                <w:rFonts w:ascii="仿宋" w:hAnsi="仿宋" w:eastAsia="仿宋" w:cs="仿宋"/>
                <w:bCs/>
                <w:szCs w:val="21"/>
              </w:rPr>
            </w:pPr>
            <w:r>
              <w:rPr>
                <w:rFonts w:ascii="仿宋" w:hAnsi="仿宋" w:eastAsia="仿宋" w:cs="仿宋"/>
                <w:bCs/>
                <w:szCs w:val="21"/>
              </w:rPr>
              <w:t>建筑名称</w:t>
            </w:r>
          </w:p>
        </w:tc>
        <w:tc>
          <w:tcPr>
            <w:tcW w:w="971" w:type="dxa"/>
            <w:vAlign w:val="center"/>
          </w:tcPr>
          <w:p>
            <w:pPr>
              <w:spacing w:line="240" w:lineRule="exact"/>
              <w:jc w:val="center"/>
              <w:rPr>
                <w:rFonts w:ascii="仿宋" w:hAnsi="仿宋" w:eastAsia="仿宋" w:cs="仿宋"/>
                <w:bCs/>
                <w:szCs w:val="21"/>
              </w:rPr>
            </w:pPr>
            <w:r>
              <w:rPr>
                <w:rFonts w:ascii="仿宋" w:hAnsi="仿宋" w:eastAsia="仿宋" w:cs="仿宋"/>
                <w:bCs/>
                <w:szCs w:val="21"/>
              </w:rPr>
              <w:t>层数</w:t>
            </w:r>
          </w:p>
        </w:tc>
        <w:tc>
          <w:tcPr>
            <w:tcW w:w="1286" w:type="dxa"/>
            <w:vAlign w:val="center"/>
          </w:tcPr>
          <w:p>
            <w:pPr>
              <w:spacing w:line="240" w:lineRule="exact"/>
              <w:jc w:val="center"/>
              <w:rPr>
                <w:rFonts w:ascii="仿宋" w:hAnsi="仿宋" w:eastAsia="仿宋" w:cs="仿宋"/>
                <w:bCs/>
                <w:szCs w:val="21"/>
              </w:rPr>
            </w:pPr>
            <w:r>
              <w:rPr>
                <w:rFonts w:ascii="仿宋" w:hAnsi="仿宋" w:eastAsia="仿宋" w:cs="仿宋"/>
                <w:bCs/>
                <w:szCs w:val="21"/>
              </w:rPr>
              <w:t>占地面积</w:t>
            </w:r>
            <w:r>
              <w:rPr>
                <w:rFonts w:hint="eastAsia" w:ascii="仿宋" w:hAnsi="仿宋" w:eastAsia="仿宋" w:cs="仿宋"/>
                <w:bCs/>
                <w:szCs w:val="21"/>
              </w:rPr>
              <w:t>（m</w:t>
            </w:r>
            <w:r>
              <w:rPr>
                <w:rFonts w:ascii="仿宋" w:hAnsi="仿宋" w:eastAsia="仿宋" w:cs="仿宋"/>
                <w:bCs/>
                <w:szCs w:val="21"/>
                <w:vertAlign w:val="superscript"/>
              </w:rPr>
              <w:t>2</w:t>
            </w:r>
            <w:r>
              <w:rPr>
                <w:rFonts w:hint="eastAsia" w:ascii="仿宋" w:hAnsi="仿宋" w:eastAsia="仿宋" w:cs="仿宋"/>
                <w:bCs/>
                <w:szCs w:val="21"/>
              </w:rPr>
              <w:t>）</w:t>
            </w:r>
          </w:p>
        </w:tc>
        <w:tc>
          <w:tcPr>
            <w:tcW w:w="1286" w:type="dxa"/>
            <w:vAlign w:val="center"/>
          </w:tcPr>
          <w:p>
            <w:pPr>
              <w:spacing w:line="240" w:lineRule="exact"/>
              <w:jc w:val="center"/>
              <w:rPr>
                <w:rFonts w:ascii="仿宋" w:hAnsi="仿宋" w:eastAsia="仿宋" w:cs="仿宋"/>
                <w:bCs/>
                <w:szCs w:val="21"/>
              </w:rPr>
            </w:pPr>
            <w:r>
              <w:rPr>
                <w:rFonts w:ascii="仿宋" w:hAnsi="仿宋" w:eastAsia="仿宋" w:cs="仿宋"/>
                <w:bCs/>
                <w:szCs w:val="21"/>
              </w:rPr>
              <w:t>建筑面积</w:t>
            </w:r>
            <w:r>
              <w:rPr>
                <w:rFonts w:hint="eastAsia" w:ascii="仿宋" w:hAnsi="仿宋" w:eastAsia="仿宋" w:cs="仿宋"/>
                <w:bCs/>
                <w:szCs w:val="21"/>
              </w:rPr>
              <w:t>（m</w:t>
            </w:r>
            <w:r>
              <w:rPr>
                <w:rFonts w:ascii="仿宋" w:hAnsi="仿宋" w:eastAsia="仿宋" w:cs="仿宋"/>
                <w:bCs/>
                <w:szCs w:val="21"/>
                <w:vertAlign w:val="superscript"/>
              </w:rPr>
              <w:t>2</w:t>
            </w:r>
            <w:r>
              <w:rPr>
                <w:rFonts w:hint="eastAsia" w:ascii="仿宋" w:hAnsi="仿宋" w:eastAsia="仿宋" w:cs="仿宋"/>
                <w:bCs/>
                <w:szCs w:val="21"/>
              </w:rPr>
              <w:t>）</w:t>
            </w:r>
          </w:p>
        </w:tc>
        <w:tc>
          <w:tcPr>
            <w:tcW w:w="1328"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高度（m）</w:t>
            </w:r>
          </w:p>
        </w:tc>
        <w:tc>
          <w:tcPr>
            <w:tcW w:w="1328"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耐火</w:t>
            </w:r>
            <w:r>
              <w:rPr>
                <w:rFonts w:ascii="仿宋" w:hAnsi="仿宋" w:eastAsia="仿宋" w:cs="仿宋"/>
                <w:bCs/>
                <w:szCs w:val="21"/>
              </w:rPr>
              <w:t>等级</w:t>
            </w:r>
          </w:p>
        </w:tc>
        <w:tc>
          <w:tcPr>
            <w:tcW w:w="1328"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0" w:hRule="atLeast"/>
          <w:jc w:val="center"/>
        </w:trPr>
        <w:tc>
          <w:tcPr>
            <w:tcW w:w="740" w:type="dxa"/>
            <w:vAlign w:val="center"/>
          </w:tcPr>
          <w:p>
            <w:pPr>
              <w:spacing w:line="240" w:lineRule="exact"/>
              <w:jc w:val="center"/>
              <w:rPr>
                <w:rFonts w:ascii="仿宋" w:hAnsi="仿宋" w:eastAsia="仿宋" w:cs="仿宋"/>
                <w:bCs/>
                <w:szCs w:val="21"/>
              </w:rPr>
            </w:pPr>
            <w:r>
              <w:rPr>
                <w:rFonts w:ascii="仿宋" w:hAnsi="仿宋" w:eastAsia="仿宋" w:cs="仿宋"/>
                <w:bCs/>
                <w:szCs w:val="21"/>
              </w:rPr>
              <w:t>1</w:t>
            </w:r>
          </w:p>
        </w:tc>
        <w:tc>
          <w:tcPr>
            <w:tcW w:w="1418"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车间一</w:t>
            </w:r>
          </w:p>
        </w:tc>
        <w:tc>
          <w:tcPr>
            <w:tcW w:w="971"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w:t>
            </w:r>
          </w:p>
        </w:tc>
        <w:tc>
          <w:tcPr>
            <w:tcW w:w="1286"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2336</w:t>
            </w:r>
          </w:p>
        </w:tc>
        <w:tc>
          <w:tcPr>
            <w:tcW w:w="1286"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2336</w:t>
            </w:r>
          </w:p>
        </w:tc>
        <w:tc>
          <w:tcPr>
            <w:tcW w:w="1328"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10</w:t>
            </w:r>
          </w:p>
        </w:tc>
        <w:tc>
          <w:tcPr>
            <w:tcW w:w="1328"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二级</w:t>
            </w:r>
          </w:p>
        </w:tc>
        <w:tc>
          <w:tcPr>
            <w:tcW w:w="1328"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租赁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0" w:hRule="atLeast"/>
          <w:jc w:val="center"/>
        </w:trPr>
        <w:tc>
          <w:tcPr>
            <w:tcW w:w="740" w:type="dxa"/>
            <w:vAlign w:val="center"/>
          </w:tcPr>
          <w:p>
            <w:pPr>
              <w:spacing w:line="240" w:lineRule="exact"/>
              <w:jc w:val="center"/>
              <w:rPr>
                <w:rFonts w:ascii="仿宋" w:hAnsi="仿宋" w:eastAsia="仿宋" w:cs="仿宋"/>
                <w:bCs/>
                <w:szCs w:val="21"/>
              </w:rPr>
            </w:pPr>
            <w:r>
              <w:rPr>
                <w:rFonts w:ascii="仿宋" w:hAnsi="仿宋" w:eastAsia="仿宋" w:cs="仿宋"/>
                <w:bCs/>
                <w:szCs w:val="21"/>
              </w:rPr>
              <w:t>2</w:t>
            </w:r>
          </w:p>
        </w:tc>
        <w:tc>
          <w:tcPr>
            <w:tcW w:w="1418"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危废仓库</w:t>
            </w:r>
          </w:p>
        </w:tc>
        <w:tc>
          <w:tcPr>
            <w:tcW w:w="971"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w:t>
            </w:r>
          </w:p>
        </w:tc>
        <w:tc>
          <w:tcPr>
            <w:tcW w:w="1286"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15</w:t>
            </w:r>
          </w:p>
        </w:tc>
        <w:tc>
          <w:tcPr>
            <w:tcW w:w="1286"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15</w:t>
            </w:r>
          </w:p>
        </w:tc>
        <w:tc>
          <w:tcPr>
            <w:tcW w:w="1328"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w:t>
            </w:r>
          </w:p>
        </w:tc>
        <w:tc>
          <w:tcPr>
            <w:tcW w:w="1328"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二级</w:t>
            </w:r>
          </w:p>
        </w:tc>
        <w:tc>
          <w:tcPr>
            <w:tcW w:w="1328"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依托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0" w:hRule="atLeast"/>
          <w:jc w:val="center"/>
        </w:trPr>
        <w:tc>
          <w:tcPr>
            <w:tcW w:w="740"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w:t>
            </w:r>
          </w:p>
        </w:tc>
        <w:tc>
          <w:tcPr>
            <w:tcW w:w="1418"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一般固废库</w:t>
            </w:r>
          </w:p>
        </w:tc>
        <w:tc>
          <w:tcPr>
            <w:tcW w:w="971"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w:t>
            </w:r>
          </w:p>
        </w:tc>
        <w:tc>
          <w:tcPr>
            <w:tcW w:w="1286"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40</w:t>
            </w:r>
          </w:p>
        </w:tc>
        <w:tc>
          <w:tcPr>
            <w:tcW w:w="1286"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40</w:t>
            </w:r>
          </w:p>
        </w:tc>
        <w:tc>
          <w:tcPr>
            <w:tcW w:w="1328"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w:t>
            </w:r>
          </w:p>
        </w:tc>
        <w:tc>
          <w:tcPr>
            <w:tcW w:w="1328"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二级</w:t>
            </w:r>
          </w:p>
        </w:tc>
        <w:tc>
          <w:tcPr>
            <w:tcW w:w="1328"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依托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0" w:hRule="atLeast"/>
          <w:jc w:val="center"/>
        </w:trPr>
        <w:tc>
          <w:tcPr>
            <w:tcW w:w="740"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4</w:t>
            </w:r>
          </w:p>
        </w:tc>
        <w:tc>
          <w:tcPr>
            <w:tcW w:w="1418"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事故</w:t>
            </w:r>
            <w:r>
              <w:rPr>
                <w:rFonts w:ascii="仿宋" w:hAnsi="仿宋" w:eastAsia="仿宋" w:cs="仿宋"/>
                <w:bCs/>
                <w:szCs w:val="21"/>
              </w:rPr>
              <w:t>应急池</w:t>
            </w:r>
          </w:p>
        </w:tc>
        <w:tc>
          <w:tcPr>
            <w:tcW w:w="971"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w:t>
            </w:r>
          </w:p>
        </w:tc>
        <w:tc>
          <w:tcPr>
            <w:tcW w:w="1286"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100</w:t>
            </w:r>
          </w:p>
        </w:tc>
        <w:tc>
          <w:tcPr>
            <w:tcW w:w="1286"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100</w:t>
            </w:r>
          </w:p>
        </w:tc>
        <w:tc>
          <w:tcPr>
            <w:tcW w:w="1328"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w:t>
            </w:r>
          </w:p>
        </w:tc>
        <w:tc>
          <w:tcPr>
            <w:tcW w:w="1328"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w:t>
            </w:r>
          </w:p>
        </w:tc>
        <w:tc>
          <w:tcPr>
            <w:tcW w:w="1328"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依托</w:t>
            </w:r>
          </w:p>
        </w:tc>
      </w:tr>
    </w:tbl>
    <w:p>
      <w:pPr>
        <w:pStyle w:val="3"/>
        <w:spacing w:before="120" w:after="120"/>
      </w:pPr>
      <w:bookmarkStart w:id="241" w:name="_Toc140565263"/>
      <w:r>
        <w:t>影响因素分析</w:t>
      </w:r>
      <w:bookmarkEnd w:id="241"/>
    </w:p>
    <w:p>
      <w:pPr>
        <w:pStyle w:val="4"/>
        <w:keepLines w:val="0"/>
        <w:tabs>
          <w:tab w:val="left" w:pos="709"/>
        </w:tabs>
        <w:spacing w:before="120" w:beforeLines="50" w:after="120" w:afterLines="50" w:line="500" w:lineRule="exact"/>
        <w:rPr>
          <w:rFonts w:eastAsia="仿宋_GB2312"/>
          <w:sz w:val="28"/>
          <w:szCs w:val="28"/>
        </w:rPr>
      </w:pPr>
      <w:r>
        <w:rPr>
          <w:rFonts w:hint="eastAsia" w:eastAsia="仿宋_GB2312"/>
          <w:sz w:val="28"/>
          <w:szCs w:val="28"/>
        </w:rPr>
        <w:t>3.2.1</w:t>
      </w:r>
      <w:r>
        <w:rPr>
          <w:rFonts w:eastAsia="仿宋_GB2312"/>
          <w:sz w:val="28"/>
          <w:szCs w:val="28"/>
        </w:rPr>
        <w:t>工程分析</w:t>
      </w:r>
    </w:p>
    <w:p>
      <w:pPr>
        <w:pStyle w:val="5"/>
        <w:keepLines w:val="0"/>
        <w:widowControl/>
        <w:numPr>
          <w:ilvl w:val="3"/>
          <w:numId w:val="1"/>
        </w:numPr>
        <w:tabs>
          <w:tab w:val="left" w:pos="993"/>
        </w:tabs>
        <w:adjustRightInd w:val="0"/>
        <w:snapToGrid w:val="0"/>
        <w:spacing w:after="120" w:afterLines="50"/>
        <w:ind w:left="0" w:firstLine="0"/>
        <w:jc w:val="left"/>
        <w:rPr>
          <w:rFonts w:ascii="Times New Roman" w:hAnsi="Times New Roman"/>
          <w:b/>
        </w:rPr>
      </w:pPr>
      <w:r>
        <w:rPr>
          <w:rFonts w:ascii="Times New Roman" w:hAnsi="Times New Roman"/>
          <w:b/>
        </w:rPr>
        <w:t>生产工艺流程</w:t>
      </w:r>
    </w:p>
    <w:p>
      <w:pPr>
        <w:spacing w:line="500" w:lineRule="exact"/>
        <w:ind w:firstLine="560" w:firstLineChars="200"/>
        <w:rPr>
          <w:rFonts w:eastAsia="仿宋_GB2312"/>
          <w:bCs/>
          <w:sz w:val="28"/>
          <w:szCs w:val="28"/>
        </w:rPr>
      </w:pPr>
      <w:r>
        <w:rPr>
          <w:rFonts w:hint="eastAsia" w:eastAsia="仿宋_GB2312"/>
          <w:bCs/>
          <w:sz w:val="28"/>
          <w:szCs w:val="28"/>
        </w:rPr>
        <w:t>本项目</w:t>
      </w:r>
      <w:r>
        <w:rPr>
          <w:rFonts w:eastAsia="仿宋_GB2312"/>
          <w:bCs/>
          <w:sz w:val="28"/>
          <w:szCs w:val="28"/>
        </w:rPr>
        <w:t>工艺流程图见</w:t>
      </w:r>
      <w:r>
        <w:rPr>
          <w:rFonts w:hint="eastAsia" w:eastAsia="仿宋_GB2312"/>
          <w:bCs/>
          <w:sz w:val="28"/>
          <w:szCs w:val="28"/>
        </w:rPr>
        <w:t>图3.3</w:t>
      </w:r>
      <w:r>
        <w:rPr>
          <w:rFonts w:eastAsia="仿宋_GB2312"/>
          <w:bCs/>
          <w:sz w:val="28"/>
          <w:szCs w:val="28"/>
        </w:rPr>
        <w:t>-</w:t>
      </w:r>
      <w:r>
        <w:rPr>
          <w:rFonts w:hint="eastAsia" w:eastAsia="仿宋_GB2312"/>
          <w:bCs/>
          <w:sz w:val="28"/>
          <w:szCs w:val="28"/>
        </w:rPr>
        <w:t>4。</w:t>
      </w:r>
    </w:p>
    <w:p>
      <w:pPr>
        <w:jc w:val="left"/>
      </w:pPr>
      <w:r>
        <w:drawing>
          <wp:inline distT="0" distB="0" distL="0" distR="0">
            <wp:extent cx="5943600" cy="1691640"/>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6"/>
                    <a:stretch>
                      <a:fillRect/>
                    </a:stretch>
                  </pic:blipFill>
                  <pic:spPr>
                    <a:xfrm>
                      <a:off x="0" y="0"/>
                      <a:ext cx="5940737" cy="1691459"/>
                    </a:xfrm>
                    <a:prstGeom prst="rect">
                      <a:avLst/>
                    </a:prstGeom>
                  </pic:spPr>
                </pic:pic>
              </a:graphicData>
            </a:graphic>
          </wp:inline>
        </w:drawing>
      </w:r>
    </w:p>
    <w:p>
      <w:pPr>
        <w:jc w:val="center"/>
        <w:rPr>
          <w:rFonts w:hAnsi="仿宋" w:eastAsia="仿宋"/>
          <w:b/>
          <w:sz w:val="24"/>
        </w:rPr>
      </w:pPr>
      <w:r>
        <w:rPr>
          <w:rFonts w:hAnsi="仿宋" w:eastAsia="仿宋"/>
          <w:b/>
          <w:sz w:val="24"/>
        </w:rPr>
        <w:t>图</w:t>
      </w:r>
      <w:r>
        <w:rPr>
          <w:rFonts w:hint="eastAsia" w:hAnsi="仿宋" w:eastAsia="仿宋"/>
          <w:b/>
          <w:sz w:val="24"/>
        </w:rPr>
        <w:t>3</w:t>
      </w:r>
      <w:r>
        <w:rPr>
          <w:rFonts w:hAnsi="仿宋" w:eastAsia="仿宋"/>
          <w:b/>
          <w:sz w:val="24"/>
        </w:rPr>
        <w:t>.</w:t>
      </w:r>
      <w:r>
        <w:rPr>
          <w:rFonts w:hint="eastAsia" w:hAnsi="仿宋" w:eastAsia="仿宋"/>
          <w:b/>
          <w:sz w:val="24"/>
        </w:rPr>
        <w:t>3</w:t>
      </w:r>
      <w:r>
        <w:rPr>
          <w:rFonts w:hAnsi="仿宋" w:eastAsia="仿宋"/>
          <w:b/>
          <w:sz w:val="24"/>
        </w:rPr>
        <w:t>-</w:t>
      </w:r>
      <w:r>
        <w:rPr>
          <w:rFonts w:hint="eastAsia" w:hAnsi="仿宋" w:eastAsia="仿宋"/>
          <w:b/>
          <w:sz w:val="24"/>
        </w:rPr>
        <w:t>4新能源电子材料生产工艺流程图</w:t>
      </w:r>
    </w:p>
    <w:p>
      <w:pPr>
        <w:spacing w:line="500" w:lineRule="exact"/>
        <w:ind w:firstLine="560" w:firstLineChars="200"/>
        <w:rPr>
          <w:rFonts w:eastAsia="仿宋_GB2312"/>
          <w:kern w:val="0"/>
          <w:sz w:val="28"/>
          <w:szCs w:val="28"/>
        </w:rPr>
      </w:pPr>
      <w:r>
        <w:rPr>
          <w:rFonts w:eastAsia="仿宋_GB2312"/>
          <w:kern w:val="0"/>
          <w:sz w:val="28"/>
          <w:szCs w:val="28"/>
        </w:rPr>
        <w:t>工艺简介如下：</w:t>
      </w:r>
    </w:p>
    <w:p>
      <w:pPr>
        <w:spacing w:line="500" w:lineRule="exact"/>
        <w:ind w:firstLine="560" w:firstLineChars="200"/>
        <w:rPr>
          <w:rFonts w:eastAsia="仿宋_GB2312"/>
          <w:sz w:val="28"/>
          <w:szCs w:val="28"/>
        </w:rPr>
      </w:pPr>
      <w:r>
        <w:rPr>
          <w:rFonts w:eastAsia="仿宋_GB2312"/>
          <w:sz w:val="28"/>
          <w:szCs w:val="28"/>
        </w:rPr>
        <w:t>1.</w:t>
      </w:r>
      <w:r>
        <w:rPr>
          <w:rFonts w:hint="eastAsia" w:eastAsia="仿宋_GB2312"/>
          <w:sz w:val="28"/>
          <w:szCs w:val="28"/>
        </w:rPr>
        <w:t>配</w:t>
      </w:r>
      <w:r>
        <w:rPr>
          <w:rFonts w:eastAsia="仿宋_GB2312"/>
          <w:sz w:val="28"/>
          <w:szCs w:val="28"/>
        </w:rPr>
        <w:t>胶</w:t>
      </w:r>
    </w:p>
    <w:p>
      <w:pPr>
        <w:spacing w:line="500" w:lineRule="exact"/>
        <w:ind w:firstLine="560" w:firstLineChars="200"/>
        <w:rPr>
          <w:rFonts w:eastAsia="仿宋_GB2312"/>
          <w:bCs/>
          <w:sz w:val="28"/>
          <w:szCs w:val="28"/>
        </w:rPr>
      </w:pPr>
      <w:r>
        <w:rPr>
          <w:rFonts w:hint="eastAsia" w:eastAsia="仿宋_GB2312"/>
          <w:sz w:val="28"/>
          <w:szCs w:val="28"/>
        </w:rPr>
        <w:t>本项目使用的胶粘剂即配即用，首先将委外配比完成后的桶装胶粘剂人工</w:t>
      </w:r>
      <w:r>
        <w:rPr>
          <w:rFonts w:eastAsia="仿宋_GB2312"/>
          <w:bCs/>
          <w:sz w:val="28"/>
          <w:szCs w:val="28"/>
        </w:rPr>
        <w:t>从</w:t>
      </w:r>
      <w:r>
        <w:rPr>
          <w:rFonts w:hint="eastAsia" w:eastAsia="仿宋_GB2312"/>
          <w:bCs/>
          <w:sz w:val="28"/>
          <w:szCs w:val="28"/>
        </w:rPr>
        <w:t>原辅料</w:t>
      </w:r>
      <w:r>
        <w:rPr>
          <w:rFonts w:eastAsia="仿宋_GB2312"/>
          <w:bCs/>
          <w:sz w:val="28"/>
          <w:szCs w:val="28"/>
        </w:rPr>
        <w:t>库</w:t>
      </w:r>
      <w:r>
        <w:rPr>
          <w:rFonts w:hint="eastAsia" w:eastAsia="仿宋_GB2312"/>
          <w:bCs/>
          <w:sz w:val="28"/>
          <w:szCs w:val="28"/>
        </w:rPr>
        <w:t>取出，密闭运输至配胶间（配角间密闭），与固化剂一起开盖</w:t>
      </w:r>
      <w:r>
        <w:rPr>
          <w:rFonts w:eastAsia="仿宋_GB2312"/>
          <w:bCs/>
          <w:sz w:val="28"/>
          <w:szCs w:val="28"/>
        </w:rPr>
        <w:t>插入吸料泵</w:t>
      </w:r>
      <w:r>
        <w:rPr>
          <w:rFonts w:hint="eastAsia" w:eastAsia="仿宋_GB2312"/>
          <w:bCs/>
          <w:sz w:val="28"/>
          <w:szCs w:val="28"/>
        </w:rPr>
        <w:t>按比例将原料输送</w:t>
      </w:r>
      <w:r>
        <w:rPr>
          <w:rFonts w:eastAsia="仿宋_GB2312"/>
          <w:bCs/>
          <w:sz w:val="28"/>
          <w:szCs w:val="28"/>
        </w:rPr>
        <w:t>至</w:t>
      </w:r>
      <w:r>
        <w:rPr>
          <w:rFonts w:hint="eastAsia" w:eastAsia="仿宋_GB2312"/>
          <w:bCs/>
          <w:sz w:val="28"/>
          <w:szCs w:val="28"/>
        </w:rPr>
        <w:t>密闭的</w:t>
      </w:r>
      <w:r>
        <w:rPr>
          <w:rFonts w:eastAsia="仿宋_GB2312"/>
          <w:bCs/>
          <w:sz w:val="28"/>
          <w:szCs w:val="28"/>
        </w:rPr>
        <w:t>配料设备，输送方式采用管道密闭输送</w:t>
      </w:r>
      <w:r>
        <w:rPr>
          <w:rFonts w:hint="eastAsia" w:eastAsia="仿宋_GB2312"/>
          <w:bCs/>
          <w:sz w:val="28"/>
          <w:szCs w:val="28"/>
        </w:rPr>
        <w:t>。胶粘剂和固化剂</w:t>
      </w:r>
      <w:r>
        <w:rPr>
          <w:rFonts w:eastAsia="仿宋_GB2312"/>
          <w:bCs/>
          <w:sz w:val="28"/>
          <w:szCs w:val="28"/>
        </w:rPr>
        <w:t>在配料设备中混合均匀后</w:t>
      </w:r>
      <w:r>
        <w:rPr>
          <w:rFonts w:hint="eastAsia" w:eastAsia="仿宋_GB2312"/>
          <w:bCs/>
          <w:sz w:val="28"/>
          <w:szCs w:val="28"/>
        </w:rPr>
        <w:t>（</w:t>
      </w:r>
      <w:r>
        <w:rPr>
          <w:rFonts w:eastAsia="仿宋_GB2312"/>
          <w:sz w:val="28"/>
          <w:szCs w:val="28"/>
        </w:rPr>
        <w:t>胶粘剂</w:t>
      </w:r>
      <w:r>
        <w:rPr>
          <w:rFonts w:hint="eastAsia" w:eastAsia="仿宋_GB2312"/>
          <w:sz w:val="28"/>
          <w:szCs w:val="28"/>
        </w:rPr>
        <w:t>、</w:t>
      </w:r>
      <w:r>
        <w:rPr>
          <w:rFonts w:eastAsia="仿宋_GB2312"/>
          <w:sz w:val="28"/>
          <w:szCs w:val="28"/>
        </w:rPr>
        <w:t>固化剂按照</w:t>
      </w:r>
      <w:r>
        <w:rPr>
          <w:rFonts w:hint="eastAsia" w:eastAsia="仿宋_GB2312"/>
          <w:sz w:val="28"/>
          <w:szCs w:val="28"/>
        </w:rPr>
        <w:t>100:2比例</w:t>
      </w:r>
      <w:r>
        <w:rPr>
          <w:rFonts w:eastAsia="仿宋_GB2312"/>
          <w:sz w:val="28"/>
          <w:szCs w:val="28"/>
        </w:rPr>
        <w:t>混合</w:t>
      </w:r>
      <w:r>
        <w:rPr>
          <w:rFonts w:hint="eastAsia" w:eastAsia="仿宋_GB2312"/>
          <w:bCs/>
          <w:sz w:val="28"/>
          <w:szCs w:val="28"/>
        </w:rPr>
        <w:t>）</w:t>
      </w:r>
      <w:r>
        <w:rPr>
          <w:rFonts w:eastAsia="仿宋_GB2312"/>
          <w:bCs/>
          <w:sz w:val="28"/>
          <w:szCs w:val="28"/>
        </w:rPr>
        <w:t>，</w:t>
      </w:r>
      <w:r>
        <w:rPr>
          <w:rFonts w:hint="eastAsia" w:eastAsia="仿宋_GB2312"/>
          <w:bCs/>
          <w:sz w:val="28"/>
          <w:szCs w:val="28"/>
        </w:rPr>
        <w:t>由</w:t>
      </w:r>
      <w:r>
        <w:rPr>
          <w:rFonts w:eastAsia="仿宋_GB2312"/>
          <w:bCs/>
          <w:sz w:val="28"/>
          <w:szCs w:val="28"/>
        </w:rPr>
        <w:t>设备</w:t>
      </w:r>
      <w:r>
        <w:rPr>
          <w:rFonts w:hint="eastAsia" w:eastAsia="仿宋_GB2312"/>
          <w:bCs/>
          <w:sz w:val="28"/>
          <w:szCs w:val="28"/>
        </w:rPr>
        <w:t>密闭</w:t>
      </w:r>
      <w:r>
        <w:rPr>
          <w:rFonts w:eastAsia="仿宋_GB2312"/>
          <w:bCs/>
          <w:sz w:val="28"/>
          <w:szCs w:val="28"/>
        </w:rPr>
        <w:t>的管道输送至涂头处</w:t>
      </w:r>
      <w:r>
        <w:rPr>
          <w:rFonts w:hint="eastAsia" w:eastAsia="仿宋_GB2312"/>
          <w:sz w:val="28"/>
          <w:szCs w:val="28"/>
        </w:rPr>
        <w:t>，混合</w:t>
      </w:r>
      <w:r>
        <w:rPr>
          <w:rFonts w:eastAsia="仿宋_GB2312"/>
          <w:sz w:val="28"/>
          <w:szCs w:val="28"/>
        </w:rPr>
        <w:t>过程中产生非甲烷总烃废气</w:t>
      </w:r>
      <w:r>
        <w:rPr>
          <w:rFonts w:hint="eastAsia" w:eastAsia="仿宋_GB2312"/>
          <w:sz w:val="28"/>
          <w:szCs w:val="28"/>
        </w:rPr>
        <w:t>G1，</w:t>
      </w:r>
      <w:r>
        <w:rPr>
          <w:rFonts w:eastAsia="仿宋_GB2312"/>
          <w:sz w:val="28"/>
          <w:szCs w:val="28"/>
        </w:rPr>
        <w:t>配</w:t>
      </w:r>
      <w:r>
        <w:rPr>
          <w:rFonts w:hint="eastAsia" w:eastAsia="仿宋_GB2312"/>
          <w:sz w:val="28"/>
          <w:szCs w:val="28"/>
        </w:rPr>
        <w:t>胶过程产生</w:t>
      </w:r>
      <w:r>
        <w:rPr>
          <w:rFonts w:eastAsia="仿宋_GB2312"/>
          <w:sz w:val="28"/>
          <w:szCs w:val="28"/>
        </w:rPr>
        <w:t>废胶水</w:t>
      </w:r>
      <w:r>
        <w:rPr>
          <w:rFonts w:hint="eastAsia" w:eastAsia="仿宋_GB2312"/>
          <w:sz w:val="28"/>
          <w:szCs w:val="28"/>
        </w:rPr>
        <w:t>S1</w:t>
      </w:r>
      <w:r>
        <w:rPr>
          <w:rFonts w:eastAsia="仿宋_GB2312"/>
          <w:sz w:val="28"/>
          <w:szCs w:val="28"/>
        </w:rPr>
        <w:t>。</w:t>
      </w:r>
    </w:p>
    <w:p>
      <w:pPr>
        <w:spacing w:line="500" w:lineRule="exact"/>
        <w:ind w:firstLine="560" w:firstLineChars="200"/>
        <w:rPr>
          <w:rFonts w:eastAsia="仿宋_GB2312"/>
          <w:sz w:val="28"/>
          <w:szCs w:val="28"/>
        </w:rPr>
      </w:pPr>
      <w:r>
        <w:rPr>
          <w:rFonts w:hint="eastAsia" w:eastAsia="仿宋_GB2312"/>
          <w:sz w:val="28"/>
          <w:szCs w:val="28"/>
        </w:rPr>
        <w:t>2.涂布干燥</w:t>
      </w:r>
    </w:p>
    <w:p>
      <w:pPr>
        <w:spacing w:line="500" w:lineRule="exact"/>
        <w:ind w:firstLine="560" w:firstLineChars="200"/>
        <w:rPr>
          <w:rFonts w:eastAsia="仿宋_GB2312"/>
          <w:sz w:val="28"/>
          <w:szCs w:val="28"/>
        </w:rPr>
      </w:pPr>
      <w:r>
        <w:rPr>
          <w:rFonts w:hint="eastAsia" w:eastAsia="仿宋_GB2312"/>
          <w:sz w:val="28"/>
          <w:szCs w:val="28"/>
        </w:rPr>
        <w:t>涂布干燥过程在密闭的涂布干燥间内进行，首先人工将PET膜或PI膜上料</w:t>
      </w:r>
      <w:r>
        <w:rPr>
          <w:rFonts w:eastAsia="仿宋_GB2312"/>
          <w:sz w:val="28"/>
          <w:szCs w:val="28"/>
        </w:rPr>
        <w:t>至</w:t>
      </w:r>
      <w:r>
        <w:rPr>
          <w:rFonts w:hint="eastAsia" w:eastAsia="仿宋_GB2312"/>
          <w:bCs/>
          <w:sz w:val="28"/>
          <w:szCs w:val="28"/>
        </w:rPr>
        <w:t>涂布干燥</w:t>
      </w:r>
      <w:r>
        <w:rPr>
          <w:rFonts w:eastAsia="仿宋_GB2312"/>
          <w:bCs/>
          <w:sz w:val="28"/>
          <w:szCs w:val="28"/>
        </w:rPr>
        <w:t>设备的</w:t>
      </w:r>
      <w:r>
        <w:rPr>
          <w:rFonts w:hint="eastAsia" w:eastAsia="仿宋_GB2312"/>
          <w:iCs/>
          <w:kern w:val="0"/>
          <w:sz w:val="28"/>
          <w:szCs w:val="28"/>
        </w:rPr>
        <w:t>放卷部</w:t>
      </w:r>
      <w:r>
        <w:rPr>
          <w:rFonts w:hint="eastAsia" w:eastAsia="仿宋_GB2312"/>
          <w:bCs/>
          <w:sz w:val="28"/>
          <w:szCs w:val="28"/>
        </w:rPr>
        <w:t>，薄膜</w:t>
      </w:r>
      <w:r>
        <w:rPr>
          <w:rFonts w:eastAsia="仿宋_GB2312"/>
          <w:bCs/>
          <w:sz w:val="28"/>
          <w:szCs w:val="28"/>
        </w:rPr>
        <w:t>通过设备牵引至</w:t>
      </w:r>
      <w:r>
        <w:rPr>
          <w:rFonts w:hint="eastAsia" w:eastAsia="仿宋_GB2312"/>
          <w:bCs/>
          <w:sz w:val="28"/>
          <w:szCs w:val="28"/>
        </w:rPr>
        <w:t>涂布干燥线</w:t>
      </w:r>
      <w:r>
        <w:rPr>
          <w:rFonts w:eastAsia="仿宋_GB2312"/>
          <w:bCs/>
          <w:sz w:val="28"/>
          <w:szCs w:val="28"/>
        </w:rPr>
        <w:t>的涂头</w:t>
      </w:r>
      <w:r>
        <w:rPr>
          <w:rFonts w:hint="eastAsia" w:eastAsia="仿宋_GB2312"/>
          <w:bCs/>
          <w:sz w:val="28"/>
          <w:szCs w:val="28"/>
        </w:rPr>
        <w:t>处。混合</w:t>
      </w:r>
      <w:r>
        <w:rPr>
          <w:rFonts w:eastAsia="仿宋_GB2312"/>
          <w:bCs/>
          <w:sz w:val="28"/>
          <w:szCs w:val="28"/>
        </w:rPr>
        <w:t>后的</w:t>
      </w:r>
      <w:r>
        <w:rPr>
          <w:rFonts w:hint="eastAsia" w:eastAsia="仿宋_GB2312"/>
          <w:bCs/>
          <w:sz w:val="28"/>
          <w:szCs w:val="28"/>
        </w:rPr>
        <w:t>胶粘剂先由</w:t>
      </w:r>
      <w:r>
        <w:rPr>
          <w:rFonts w:eastAsia="仿宋_GB2312"/>
          <w:bCs/>
          <w:sz w:val="28"/>
          <w:szCs w:val="28"/>
        </w:rPr>
        <w:t>设备</w:t>
      </w:r>
      <w:r>
        <w:rPr>
          <w:rFonts w:hint="eastAsia" w:eastAsia="仿宋_GB2312"/>
          <w:bCs/>
          <w:sz w:val="28"/>
          <w:szCs w:val="28"/>
        </w:rPr>
        <w:t>密闭</w:t>
      </w:r>
      <w:r>
        <w:rPr>
          <w:rFonts w:eastAsia="仿宋_GB2312"/>
          <w:bCs/>
          <w:sz w:val="28"/>
          <w:szCs w:val="28"/>
        </w:rPr>
        <w:t>的管道输送至涂头处</w:t>
      </w:r>
      <w:r>
        <w:rPr>
          <w:rFonts w:hint="eastAsia" w:eastAsia="仿宋_GB2312"/>
          <w:bCs/>
          <w:sz w:val="28"/>
          <w:szCs w:val="28"/>
        </w:rPr>
        <w:t>，再</w:t>
      </w:r>
      <w:r>
        <w:rPr>
          <w:rFonts w:eastAsia="仿宋_GB2312"/>
          <w:iCs/>
          <w:kern w:val="0"/>
          <w:sz w:val="28"/>
          <w:szCs w:val="28"/>
        </w:rPr>
        <w:t>通过涂布辊以设定参数压辊到薄膜的处理面</w:t>
      </w:r>
      <w:r>
        <w:rPr>
          <w:rFonts w:eastAsia="仿宋_GB2312"/>
          <w:sz w:val="28"/>
          <w:szCs w:val="28"/>
        </w:rPr>
        <w:t>。</w:t>
      </w:r>
      <w:r>
        <w:rPr>
          <w:rFonts w:hint="eastAsia" w:eastAsia="仿宋_GB2312"/>
          <w:sz w:val="28"/>
          <w:szCs w:val="28"/>
        </w:rPr>
        <w:t>胶粘剂与</w:t>
      </w:r>
      <w:r>
        <w:rPr>
          <w:rFonts w:eastAsia="仿宋_GB2312"/>
          <w:sz w:val="28"/>
          <w:szCs w:val="28"/>
        </w:rPr>
        <w:t>薄膜粘接在一起后</w:t>
      </w:r>
      <w:r>
        <w:rPr>
          <w:rFonts w:hint="eastAsia" w:eastAsia="仿宋_GB2312"/>
          <w:iCs/>
          <w:kern w:val="0"/>
          <w:sz w:val="28"/>
          <w:szCs w:val="28"/>
        </w:rPr>
        <w:t>由</w:t>
      </w:r>
      <w:r>
        <w:rPr>
          <w:rFonts w:eastAsia="仿宋_GB2312"/>
          <w:iCs/>
          <w:kern w:val="0"/>
          <w:sz w:val="28"/>
          <w:szCs w:val="28"/>
        </w:rPr>
        <w:t>设备</w:t>
      </w:r>
      <w:r>
        <w:rPr>
          <w:rFonts w:hint="eastAsia" w:eastAsia="仿宋_GB2312"/>
          <w:iCs/>
          <w:kern w:val="0"/>
          <w:sz w:val="28"/>
          <w:szCs w:val="28"/>
        </w:rPr>
        <w:t>密闭</w:t>
      </w:r>
      <w:r>
        <w:rPr>
          <w:rFonts w:eastAsia="仿宋_GB2312"/>
          <w:iCs/>
          <w:kern w:val="0"/>
          <w:sz w:val="28"/>
          <w:szCs w:val="28"/>
        </w:rPr>
        <w:t>牵引进入</w:t>
      </w:r>
      <w:r>
        <w:rPr>
          <w:rFonts w:hint="eastAsia" w:eastAsia="仿宋_GB2312"/>
          <w:iCs/>
          <w:kern w:val="0"/>
          <w:sz w:val="28"/>
          <w:szCs w:val="28"/>
        </w:rPr>
        <w:t>烘道进行</w:t>
      </w:r>
      <w:r>
        <w:rPr>
          <w:rFonts w:eastAsia="仿宋_GB2312"/>
          <w:iCs/>
          <w:kern w:val="0"/>
          <w:sz w:val="28"/>
          <w:szCs w:val="28"/>
        </w:rPr>
        <w:t>干燥</w:t>
      </w:r>
      <w:r>
        <w:rPr>
          <w:rFonts w:hint="eastAsia" w:eastAsia="仿宋_GB2312"/>
          <w:iCs/>
          <w:kern w:val="0"/>
          <w:sz w:val="28"/>
          <w:szCs w:val="28"/>
        </w:rPr>
        <w:t>，</w:t>
      </w:r>
      <w:r>
        <w:rPr>
          <w:rFonts w:eastAsia="仿宋_GB2312"/>
          <w:iCs/>
          <w:kern w:val="0"/>
          <w:sz w:val="28"/>
          <w:szCs w:val="28"/>
        </w:rPr>
        <w:t>烘干过程中温度维持在</w:t>
      </w:r>
      <w:r>
        <w:rPr>
          <w:rFonts w:hint="eastAsia" w:eastAsia="仿宋_GB2312"/>
          <w:iCs/>
          <w:kern w:val="0"/>
          <w:sz w:val="28"/>
          <w:szCs w:val="28"/>
        </w:rPr>
        <w:t>100</w:t>
      </w:r>
      <w:r>
        <w:rPr>
          <w:rFonts w:eastAsia="仿宋_GB2312"/>
          <w:iCs/>
          <w:kern w:val="0"/>
          <w:sz w:val="28"/>
          <w:szCs w:val="28"/>
        </w:rPr>
        <w:t>-110</w:t>
      </w:r>
      <w:r>
        <w:rPr>
          <w:rFonts w:hint="eastAsia" w:ascii="宋体" w:hAnsi="宋体" w:cs="宋体"/>
          <w:iCs/>
          <w:kern w:val="0"/>
          <w:sz w:val="28"/>
          <w:szCs w:val="28"/>
          <w:lang w:eastAsia="ja-JP"/>
        </w:rPr>
        <w:t>℃</w:t>
      </w:r>
      <w:r>
        <w:rPr>
          <w:rFonts w:ascii="宋体" w:hAnsi="宋体" w:eastAsia="MS Mincho" w:cs="宋体"/>
          <w:iCs/>
          <w:kern w:val="0"/>
          <w:sz w:val="28"/>
          <w:szCs w:val="28"/>
          <w:lang w:eastAsia="ja-JP"/>
        </w:rPr>
        <w:t>，</w:t>
      </w:r>
      <w:r>
        <w:rPr>
          <w:rFonts w:eastAsia="仿宋_GB2312"/>
          <w:sz w:val="28"/>
          <w:szCs w:val="28"/>
        </w:rPr>
        <w:t>时间为</w:t>
      </w:r>
      <w:r>
        <w:rPr>
          <w:rFonts w:hint="eastAsia" w:eastAsia="仿宋_GB2312"/>
          <w:sz w:val="28"/>
          <w:szCs w:val="28"/>
        </w:rPr>
        <w:t>1</w:t>
      </w:r>
      <w:r>
        <w:rPr>
          <w:rFonts w:eastAsia="仿宋_GB2312"/>
          <w:sz w:val="28"/>
          <w:szCs w:val="28"/>
        </w:rPr>
        <w:t>min</w:t>
      </w:r>
      <w:r>
        <w:rPr>
          <w:rFonts w:hint="eastAsia" w:eastAsia="仿宋_GB2312"/>
          <w:sz w:val="28"/>
          <w:szCs w:val="28"/>
        </w:rPr>
        <w:t>，烘干借助导热油炉加热，热源为RTO燃烧过程中产生的高温烟气，换热后的烟气回RTO排气筒排放</w:t>
      </w:r>
      <w:r>
        <w:rPr>
          <w:rFonts w:eastAsia="仿宋_GB2312"/>
          <w:sz w:val="28"/>
          <w:szCs w:val="28"/>
        </w:rPr>
        <w:t>，干燥过程产生非甲烷总烃废气</w:t>
      </w:r>
      <w:r>
        <w:rPr>
          <w:rFonts w:hint="eastAsia" w:eastAsia="仿宋_GB2312"/>
          <w:sz w:val="28"/>
          <w:szCs w:val="28"/>
        </w:rPr>
        <w:t>G2，RTO焚烧</w:t>
      </w:r>
      <w:r>
        <w:rPr>
          <w:rFonts w:eastAsia="仿宋_GB2312"/>
          <w:sz w:val="28"/>
          <w:szCs w:val="28"/>
        </w:rPr>
        <w:t>装置</w:t>
      </w:r>
      <w:r>
        <w:rPr>
          <w:rFonts w:hint="eastAsia" w:eastAsia="仿宋_GB2312"/>
          <w:sz w:val="28"/>
          <w:szCs w:val="28"/>
        </w:rPr>
        <w:t>燃烧产生</w:t>
      </w:r>
      <w:r>
        <w:rPr>
          <w:rFonts w:eastAsia="仿宋_GB2312"/>
          <w:sz w:val="28"/>
          <w:szCs w:val="28"/>
        </w:rPr>
        <w:t>天然气</w:t>
      </w:r>
      <w:r>
        <w:rPr>
          <w:rFonts w:hint="eastAsia" w:eastAsia="仿宋_GB2312"/>
          <w:sz w:val="28"/>
          <w:szCs w:val="28"/>
        </w:rPr>
        <w:t>燃烧</w:t>
      </w:r>
      <w:r>
        <w:rPr>
          <w:rFonts w:eastAsia="仿宋_GB2312"/>
          <w:sz w:val="28"/>
          <w:szCs w:val="28"/>
        </w:rPr>
        <w:t>废气</w:t>
      </w:r>
      <w:r>
        <w:rPr>
          <w:rFonts w:hint="eastAsia" w:eastAsia="仿宋_GB2312"/>
          <w:sz w:val="28"/>
          <w:szCs w:val="28"/>
        </w:rPr>
        <w:t>G4。</w:t>
      </w:r>
      <w:r>
        <w:rPr>
          <w:rFonts w:hint="eastAsia" w:eastAsia="仿宋_GB2312"/>
          <w:iCs/>
          <w:kern w:val="0"/>
          <w:sz w:val="28"/>
          <w:szCs w:val="28"/>
        </w:rPr>
        <w:t>由于PET膜、PI膜的分解温度均高于110℃，因此不考虑分解产生的废气。</w:t>
      </w:r>
    </w:p>
    <w:p>
      <w:pPr>
        <w:spacing w:line="500" w:lineRule="exact"/>
        <w:ind w:firstLine="560" w:firstLineChars="200"/>
        <w:rPr>
          <w:rFonts w:eastAsia="仿宋_GB2312"/>
          <w:sz w:val="28"/>
          <w:szCs w:val="28"/>
        </w:rPr>
      </w:pPr>
      <w:r>
        <w:rPr>
          <w:rFonts w:hint="eastAsia" w:eastAsia="仿宋_GB2312"/>
          <w:sz w:val="28"/>
          <w:szCs w:val="28"/>
        </w:rPr>
        <w:t>3.清洗</w:t>
      </w:r>
    </w:p>
    <w:p>
      <w:pPr>
        <w:spacing w:line="500" w:lineRule="exact"/>
        <w:ind w:firstLine="560" w:firstLineChars="200"/>
        <w:rPr>
          <w:rFonts w:eastAsia="仿宋_GB2312"/>
          <w:bCs/>
          <w:sz w:val="28"/>
          <w:szCs w:val="28"/>
        </w:rPr>
      </w:pPr>
      <w:r>
        <w:rPr>
          <w:rFonts w:eastAsia="仿宋_GB2312"/>
          <w:iCs/>
          <w:kern w:val="0"/>
          <w:sz w:val="28"/>
          <w:szCs w:val="28"/>
        </w:rPr>
        <w:t>干燥复合线设备</w:t>
      </w:r>
      <w:r>
        <w:rPr>
          <w:rFonts w:hint="eastAsia" w:eastAsia="仿宋_GB2312"/>
          <w:iCs/>
          <w:kern w:val="0"/>
          <w:sz w:val="28"/>
          <w:szCs w:val="28"/>
        </w:rPr>
        <w:t>停产复工后需要清洗</w:t>
      </w:r>
      <w:r>
        <w:rPr>
          <w:rFonts w:eastAsia="仿宋_GB2312"/>
          <w:iCs/>
          <w:kern w:val="0"/>
          <w:sz w:val="28"/>
          <w:szCs w:val="28"/>
        </w:rPr>
        <w:t>，</w:t>
      </w:r>
      <w:r>
        <w:rPr>
          <w:rFonts w:hint="eastAsia" w:eastAsia="仿宋_GB2312"/>
          <w:iCs/>
          <w:kern w:val="0"/>
          <w:sz w:val="28"/>
          <w:szCs w:val="28"/>
        </w:rPr>
        <w:t>清洗环节在密闭的涂布干燥间内进行，</w:t>
      </w:r>
      <w:r>
        <w:rPr>
          <w:rFonts w:eastAsia="仿宋_GB2312"/>
          <w:iCs/>
          <w:kern w:val="0"/>
          <w:sz w:val="28"/>
          <w:szCs w:val="28"/>
        </w:rPr>
        <w:t>清洗使用</w:t>
      </w:r>
      <w:r>
        <w:rPr>
          <w:rFonts w:hint="eastAsia" w:eastAsia="仿宋_GB2312"/>
          <w:iCs/>
          <w:kern w:val="0"/>
          <w:sz w:val="28"/>
          <w:szCs w:val="28"/>
        </w:rPr>
        <w:t>委外</w:t>
      </w:r>
      <w:r>
        <w:rPr>
          <w:rFonts w:eastAsia="仿宋_GB2312"/>
          <w:iCs/>
          <w:kern w:val="0"/>
          <w:sz w:val="28"/>
          <w:szCs w:val="28"/>
        </w:rPr>
        <w:t>配料</w:t>
      </w:r>
      <w:r>
        <w:rPr>
          <w:rFonts w:hint="eastAsia" w:eastAsia="仿宋_GB2312"/>
          <w:iCs/>
          <w:kern w:val="0"/>
          <w:sz w:val="28"/>
          <w:szCs w:val="28"/>
        </w:rPr>
        <w:t>中</w:t>
      </w:r>
      <w:r>
        <w:rPr>
          <w:rFonts w:eastAsia="仿宋_GB2312"/>
          <w:iCs/>
          <w:kern w:val="0"/>
          <w:sz w:val="28"/>
          <w:szCs w:val="28"/>
        </w:rPr>
        <w:t>的溶剂</w:t>
      </w:r>
      <w:r>
        <w:rPr>
          <w:rFonts w:hint="eastAsia" w:eastAsia="仿宋_GB2312"/>
          <w:iCs/>
          <w:kern w:val="0"/>
          <w:sz w:val="28"/>
          <w:szCs w:val="28"/>
        </w:rPr>
        <w:t>乙酸乙酯</w:t>
      </w:r>
      <w:r>
        <w:rPr>
          <w:rFonts w:eastAsia="仿宋_GB2312"/>
          <w:iCs/>
          <w:kern w:val="0"/>
          <w:sz w:val="28"/>
          <w:szCs w:val="28"/>
        </w:rPr>
        <w:t>，</w:t>
      </w:r>
      <w:r>
        <w:rPr>
          <w:rFonts w:hint="eastAsia" w:eastAsia="仿宋_GB2312"/>
          <w:iCs/>
          <w:kern w:val="0"/>
          <w:sz w:val="28"/>
          <w:szCs w:val="28"/>
        </w:rPr>
        <w:t>由</w:t>
      </w:r>
      <w:r>
        <w:rPr>
          <w:rFonts w:eastAsia="仿宋_GB2312"/>
          <w:iCs/>
          <w:kern w:val="0"/>
          <w:sz w:val="28"/>
          <w:szCs w:val="28"/>
        </w:rPr>
        <w:t>密闭管道将溶剂</w:t>
      </w:r>
      <w:r>
        <w:rPr>
          <w:rFonts w:hint="eastAsia" w:eastAsia="仿宋_GB2312"/>
          <w:iCs/>
          <w:kern w:val="0"/>
          <w:sz w:val="28"/>
          <w:szCs w:val="28"/>
        </w:rPr>
        <w:t>通过泵</w:t>
      </w:r>
      <w:r>
        <w:rPr>
          <w:rFonts w:eastAsia="仿宋_GB2312"/>
          <w:iCs/>
          <w:kern w:val="0"/>
          <w:sz w:val="28"/>
          <w:szCs w:val="28"/>
        </w:rPr>
        <w:t>从原料桶中泵</w:t>
      </w:r>
      <w:r>
        <w:rPr>
          <w:rFonts w:hint="eastAsia" w:eastAsia="仿宋_GB2312"/>
          <w:iCs/>
          <w:kern w:val="0"/>
          <w:sz w:val="28"/>
          <w:szCs w:val="28"/>
        </w:rPr>
        <w:t>入</w:t>
      </w:r>
      <w:r>
        <w:rPr>
          <w:rFonts w:eastAsia="仿宋_GB2312"/>
          <w:iCs/>
          <w:kern w:val="0"/>
          <w:sz w:val="28"/>
          <w:szCs w:val="28"/>
        </w:rPr>
        <w:t>设备</w:t>
      </w:r>
      <w:r>
        <w:rPr>
          <w:rFonts w:hint="eastAsia" w:eastAsia="仿宋_GB2312"/>
          <w:iCs/>
          <w:kern w:val="0"/>
          <w:sz w:val="28"/>
          <w:szCs w:val="28"/>
        </w:rPr>
        <w:t>，在涂布设备的密闭空间</w:t>
      </w:r>
      <w:r>
        <w:rPr>
          <w:rFonts w:eastAsia="仿宋_GB2312"/>
          <w:iCs/>
          <w:kern w:val="0"/>
          <w:sz w:val="28"/>
          <w:szCs w:val="28"/>
        </w:rPr>
        <w:t>里清洗</w:t>
      </w:r>
      <w:r>
        <w:rPr>
          <w:rFonts w:hint="eastAsia" w:eastAsia="仿宋_GB2312"/>
          <w:iCs/>
          <w:kern w:val="0"/>
          <w:sz w:val="28"/>
          <w:szCs w:val="28"/>
        </w:rPr>
        <w:t>，</w:t>
      </w:r>
      <w:r>
        <w:rPr>
          <w:rFonts w:eastAsia="仿宋_GB2312"/>
          <w:iCs/>
          <w:kern w:val="0"/>
          <w:sz w:val="28"/>
          <w:szCs w:val="28"/>
        </w:rPr>
        <w:t>然后</w:t>
      </w:r>
      <w:r>
        <w:rPr>
          <w:rFonts w:hint="eastAsia" w:eastAsia="仿宋_GB2312"/>
          <w:iCs/>
          <w:kern w:val="0"/>
          <w:sz w:val="28"/>
          <w:szCs w:val="28"/>
        </w:rPr>
        <w:t>通过密闭</w:t>
      </w:r>
      <w:r>
        <w:rPr>
          <w:rFonts w:eastAsia="仿宋_GB2312"/>
          <w:iCs/>
          <w:kern w:val="0"/>
          <w:sz w:val="28"/>
          <w:szCs w:val="28"/>
        </w:rPr>
        <w:t>管道</w:t>
      </w:r>
      <w:r>
        <w:rPr>
          <w:rFonts w:hint="eastAsia" w:eastAsia="仿宋_GB2312"/>
          <w:iCs/>
          <w:kern w:val="0"/>
          <w:sz w:val="28"/>
          <w:szCs w:val="28"/>
        </w:rPr>
        <w:t>从涂头处</w:t>
      </w:r>
      <w:r>
        <w:rPr>
          <w:rFonts w:eastAsia="仿宋_GB2312"/>
          <w:iCs/>
          <w:kern w:val="0"/>
          <w:sz w:val="28"/>
          <w:szCs w:val="28"/>
        </w:rPr>
        <w:t>泵回溶剂桶</w:t>
      </w:r>
      <w:r>
        <w:rPr>
          <w:rFonts w:hint="eastAsia" w:eastAsia="仿宋_GB2312"/>
          <w:iCs/>
          <w:kern w:val="0"/>
          <w:sz w:val="28"/>
          <w:szCs w:val="28"/>
        </w:rPr>
        <w:t>收集，</w:t>
      </w:r>
      <w:r>
        <w:rPr>
          <w:rFonts w:eastAsia="仿宋_GB2312"/>
          <w:iCs/>
          <w:kern w:val="0"/>
          <w:sz w:val="28"/>
          <w:szCs w:val="28"/>
        </w:rPr>
        <w:t>产生少量清洗废</w:t>
      </w:r>
      <w:r>
        <w:rPr>
          <w:rFonts w:hint="eastAsia" w:eastAsia="仿宋_GB2312"/>
          <w:iCs/>
          <w:kern w:val="0"/>
          <w:sz w:val="28"/>
          <w:szCs w:val="28"/>
        </w:rPr>
        <w:t>液S2</w:t>
      </w:r>
      <w:r>
        <w:rPr>
          <w:rFonts w:eastAsia="仿宋_GB2312"/>
          <w:iCs/>
          <w:kern w:val="0"/>
          <w:sz w:val="28"/>
          <w:szCs w:val="28"/>
        </w:rPr>
        <w:t>和清洗废气</w:t>
      </w:r>
      <w:r>
        <w:rPr>
          <w:rFonts w:hint="eastAsia" w:eastAsia="仿宋_GB2312"/>
          <w:iCs/>
          <w:kern w:val="0"/>
          <w:sz w:val="28"/>
          <w:szCs w:val="28"/>
        </w:rPr>
        <w:t>G3。</w:t>
      </w:r>
    </w:p>
    <w:p>
      <w:pPr>
        <w:spacing w:line="500" w:lineRule="exact"/>
        <w:ind w:firstLine="560" w:firstLineChars="200"/>
        <w:rPr>
          <w:rFonts w:eastAsia="仿宋_GB2312"/>
          <w:sz w:val="28"/>
          <w:szCs w:val="28"/>
        </w:rPr>
      </w:pPr>
      <w:r>
        <w:rPr>
          <w:rFonts w:hint="eastAsia" w:eastAsia="仿宋_GB2312"/>
          <w:sz w:val="28"/>
          <w:szCs w:val="28"/>
        </w:rPr>
        <w:t>4</w:t>
      </w:r>
      <w:r>
        <w:rPr>
          <w:rFonts w:eastAsia="仿宋_GB2312"/>
          <w:sz w:val="28"/>
          <w:szCs w:val="28"/>
        </w:rPr>
        <w:t>.</w:t>
      </w:r>
      <w:r>
        <w:rPr>
          <w:rFonts w:hint="eastAsia" w:eastAsia="仿宋_GB2312"/>
          <w:sz w:val="28"/>
          <w:szCs w:val="28"/>
        </w:rPr>
        <w:t>复合</w:t>
      </w:r>
      <w:r>
        <w:rPr>
          <w:rFonts w:eastAsia="仿宋_GB2312"/>
          <w:sz w:val="28"/>
          <w:szCs w:val="28"/>
        </w:rPr>
        <w:t>收卷</w:t>
      </w:r>
    </w:p>
    <w:p>
      <w:pPr>
        <w:spacing w:line="500" w:lineRule="exact"/>
        <w:ind w:firstLine="560" w:firstLineChars="200"/>
        <w:rPr>
          <w:rFonts w:eastAsia="仿宋_GB2312"/>
          <w:sz w:val="28"/>
          <w:szCs w:val="28"/>
        </w:rPr>
      </w:pPr>
      <w:r>
        <w:rPr>
          <w:rFonts w:hint="eastAsia" w:eastAsia="仿宋_GB2312"/>
          <w:sz w:val="28"/>
          <w:szCs w:val="28"/>
        </w:rPr>
        <w:t>按照</w:t>
      </w:r>
      <w:r>
        <w:rPr>
          <w:rFonts w:eastAsia="仿宋_GB2312"/>
          <w:sz w:val="28"/>
          <w:szCs w:val="28"/>
        </w:rPr>
        <w:t>不同</w:t>
      </w:r>
      <w:r>
        <w:rPr>
          <w:rFonts w:hint="eastAsia" w:eastAsia="仿宋_GB2312"/>
          <w:sz w:val="28"/>
          <w:szCs w:val="28"/>
        </w:rPr>
        <w:t>产品</w:t>
      </w:r>
      <w:r>
        <w:rPr>
          <w:rFonts w:eastAsia="仿宋_GB2312"/>
          <w:sz w:val="28"/>
          <w:szCs w:val="28"/>
        </w:rPr>
        <w:t>的需求，</w:t>
      </w:r>
      <w:r>
        <w:rPr>
          <w:rFonts w:hint="eastAsia" w:eastAsia="仿宋_GB2312"/>
          <w:sz w:val="28"/>
          <w:szCs w:val="28"/>
        </w:rPr>
        <w:t>人工</w:t>
      </w:r>
      <w:r>
        <w:rPr>
          <w:rFonts w:eastAsia="仿宋_GB2312"/>
          <w:sz w:val="28"/>
          <w:szCs w:val="28"/>
        </w:rPr>
        <w:t>将涂布干燥完成的薄膜</w:t>
      </w:r>
      <w:r>
        <w:rPr>
          <w:rFonts w:hint="eastAsia" w:eastAsia="仿宋_GB2312"/>
          <w:sz w:val="28"/>
          <w:szCs w:val="28"/>
        </w:rPr>
        <w:t>上</w:t>
      </w:r>
      <w:r>
        <w:rPr>
          <w:rFonts w:eastAsia="仿宋_GB2312"/>
          <w:sz w:val="28"/>
          <w:szCs w:val="28"/>
        </w:rPr>
        <w:t>料至</w:t>
      </w:r>
      <w:r>
        <w:rPr>
          <w:rFonts w:hint="eastAsia" w:eastAsia="仿宋_GB2312"/>
          <w:sz w:val="28"/>
          <w:szCs w:val="28"/>
        </w:rPr>
        <w:t>复合线</w:t>
      </w:r>
      <w:r>
        <w:rPr>
          <w:rFonts w:eastAsia="仿宋_GB2312"/>
          <w:sz w:val="28"/>
          <w:szCs w:val="28"/>
        </w:rPr>
        <w:t>设备的</w:t>
      </w:r>
      <w:r>
        <w:rPr>
          <w:rFonts w:hint="eastAsia" w:eastAsia="仿宋_GB2312"/>
          <w:sz w:val="28"/>
          <w:szCs w:val="28"/>
        </w:rPr>
        <w:t>放</w:t>
      </w:r>
      <w:r>
        <w:rPr>
          <w:rFonts w:eastAsia="仿宋_GB2312"/>
          <w:sz w:val="28"/>
          <w:szCs w:val="28"/>
        </w:rPr>
        <w:t>卷部</w:t>
      </w:r>
      <w:r>
        <w:rPr>
          <w:rFonts w:hint="eastAsia" w:eastAsia="仿宋_GB2312"/>
          <w:sz w:val="28"/>
          <w:szCs w:val="28"/>
        </w:rPr>
        <w:t>，</w:t>
      </w:r>
      <w:r>
        <w:rPr>
          <w:rFonts w:eastAsia="仿宋_GB2312"/>
          <w:sz w:val="28"/>
          <w:szCs w:val="28"/>
        </w:rPr>
        <w:t>在复合收卷</w:t>
      </w:r>
      <w:r>
        <w:rPr>
          <w:rFonts w:hint="eastAsia" w:eastAsia="仿宋_GB2312"/>
          <w:sz w:val="28"/>
          <w:szCs w:val="28"/>
        </w:rPr>
        <w:t>线</w:t>
      </w:r>
      <w:r>
        <w:rPr>
          <w:rFonts w:eastAsia="仿宋_GB2312"/>
          <w:sz w:val="28"/>
          <w:szCs w:val="28"/>
        </w:rPr>
        <w:t>设备</w:t>
      </w:r>
      <w:r>
        <w:rPr>
          <w:rFonts w:hint="eastAsia" w:eastAsia="仿宋_GB2312"/>
          <w:sz w:val="28"/>
          <w:szCs w:val="28"/>
        </w:rPr>
        <w:t>末端</w:t>
      </w:r>
      <w:r>
        <w:rPr>
          <w:rFonts w:eastAsia="仿宋_GB2312"/>
          <w:sz w:val="28"/>
          <w:szCs w:val="28"/>
        </w:rPr>
        <w:t>添加</w:t>
      </w:r>
      <w:r>
        <w:rPr>
          <w:rFonts w:hint="eastAsia" w:eastAsia="仿宋_GB2312"/>
          <w:sz w:val="28"/>
          <w:szCs w:val="28"/>
        </w:rPr>
        <w:t>ABS管芯</w:t>
      </w:r>
      <w:r>
        <w:rPr>
          <w:rFonts w:eastAsia="仿宋_GB2312"/>
          <w:sz w:val="28"/>
          <w:szCs w:val="28"/>
        </w:rPr>
        <w:t>或者纸</w:t>
      </w:r>
      <w:r>
        <w:rPr>
          <w:rFonts w:hint="eastAsia" w:eastAsia="仿宋_GB2312"/>
          <w:sz w:val="28"/>
          <w:szCs w:val="28"/>
        </w:rPr>
        <w:t>芯</w:t>
      </w:r>
      <w:r>
        <w:rPr>
          <w:rFonts w:eastAsia="仿宋_GB2312"/>
          <w:sz w:val="28"/>
          <w:szCs w:val="28"/>
        </w:rPr>
        <w:t>，</w:t>
      </w:r>
      <w:r>
        <w:rPr>
          <w:rFonts w:hint="eastAsia" w:eastAsia="仿宋_GB2312"/>
          <w:sz w:val="28"/>
          <w:szCs w:val="28"/>
        </w:rPr>
        <w:t>由</w:t>
      </w:r>
      <w:r>
        <w:rPr>
          <w:rFonts w:eastAsia="仿宋_GB2312"/>
          <w:sz w:val="28"/>
          <w:szCs w:val="28"/>
        </w:rPr>
        <w:t>末端收卷设备</w:t>
      </w:r>
      <w:r>
        <w:rPr>
          <w:rFonts w:hint="eastAsia" w:eastAsia="仿宋_GB2312"/>
          <w:sz w:val="28"/>
          <w:szCs w:val="28"/>
        </w:rPr>
        <w:t>进行</w:t>
      </w:r>
      <w:r>
        <w:rPr>
          <w:rFonts w:eastAsia="仿宋_GB2312"/>
          <w:sz w:val="28"/>
          <w:szCs w:val="28"/>
        </w:rPr>
        <w:t>复合收卷</w:t>
      </w:r>
      <w:r>
        <w:rPr>
          <w:rFonts w:hint="eastAsia" w:eastAsia="仿宋_GB2312"/>
          <w:sz w:val="28"/>
          <w:szCs w:val="28"/>
        </w:rPr>
        <w:t>，</w:t>
      </w:r>
      <w:r>
        <w:rPr>
          <w:rFonts w:eastAsia="仿宋_GB2312"/>
          <w:sz w:val="28"/>
          <w:szCs w:val="28"/>
        </w:rPr>
        <w:t>得到胶带的母</w:t>
      </w:r>
      <w:r>
        <w:rPr>
          <w:rFonts w:hint="eastAsia" w:eastAsia="仿宋_GB2312"/>
          <w:sz w:val="28"/>
          <w:szCs w:val="28"/>
        </w:rPr>
        <w:t>卷</w:t>
      </w:r>
      <w:r>
        <w:rPr>
          <w:rFonts w:eastAsia="仿宋_GB2312"/>
          <w:sz w:val="28"/>
          <w:szCs w:val="28"/>
        </w:rPr>
        <w:t>。</w:t>
      </w:r>
    </w:p>
    <w:p>
      <w:pPr>
        <w:spacing w:line="500" w:lineRule="exact"/>
        <w:ind w:firstLine="560" w:firstLineChars="200"/>
        <w:rPr>
          <w:rFonts w:eastAsia="仿宋_GB2312"/>
          <w:sz w:val="28"/>
          <w:szCs w:val="28"/>
        </w:rPr>
      </w:pPr>
      <w:r>
        <w:rPr>
          <w:rFonts w:hint="eastAsia" w:eastAsia="仿宋_GB2312"/>
          <w:sz w:val="28"/>
          <w:szCs w:val="28"/>
        </w:rPr>
        <w:t>5.分切</w:t>
      </w:r>
    </w:p>
    <w:p>
      <w:pPr>
        <w:spacing w:line="500" w:lineRule="exact"/>
        <w:ind w:firstLine="560" w:firstLineChars="200"/>
        <w:rPr>
          <w:rFonts w:eastAsia="仿宋_GB2312"/>
          <w:sz w:val="28"/>
          <w:szCs w:val="28"/>
        </w:rPr>
      </w:pPr>
      <w:r>
        <w:rPr>
          <w:rFonts w:hint="eastAsia" w:eastAsia="仿宋_GB2312"/>
          <w:sz w:val="28"/>
          <w:szCs w:val="28"/>
        </w:rPr>
        <w:t>将</w:t>
      </w:r>
      <w:r>
        <w:rPr>
          <w:rFonts w:eastAsia="仿宋_GB2312"/>
          <w:sz w:val="28"/>
          <w:szCs w:val="28"/>
        </w:rPr>
        <w:t>复合收卷得到的母卷</w:t>
      </w:r>
      <w:r>
        <w:rPr>
          <w:rFonts w:hint="eastAsia" w:eastAsia="仿宋_GB2312"/>
          <w:sz w:val="28"/>
          <w:szCs w:val="28"/>
        </w:rPr>
        <w:t>通过</w:t>
      </w:r>
      <w:r>
        <w:rPr>
          <w:rFonts w:eastAsia="仿宋_GB2312"/>
          <w:sz w:val="28"/>
          <w:szCs w:val="28"/>
        </w:rPr>
        <w:t>裁切</w:t>
      </w:r>
      <w:r>
        <w:rPr>
          <w:rFonts w:hint="eastAsia" w:eastAsia="仿宋_GB2312"/>
          <w:sz w:val="28"/>
          <w:szCs w:val="28"/>
        </w:rPr>
        <w:t>机切成</w:t>
      </w:r>
      <w:r>
        <w:rPr>
          <w:rFonts w:eastAsia="仿宋_GB2312"/>
          <w:sz w:val="28"/>
          <w:szCs w:val="28"/>
        </w:rPr>
        <w:t>相应的型号，此工段产生废胶带</w:t>
      </w:r>
      <w:r>
        <w:rPr>
          <w:rFonts w:hint="eastAsia" w:eastAsia="仿宋_GB2312"/>
          <w:sz w:val="28"/>
          <w:szCs w:val="28"/>
        </w:rPr>
        <w:t>S3。</w:t>
      </w:r>
    </w:p>
    <w:p>
      <w:pPr>
        <w:spacing w:line="500" w:lineRule="exact"/>
        <w:ind w:firstLine="560" w:firstLineChars="200"/>
        <w:rPr>
          <w:rFonts w:eastAsia="仿宋_GB2312"/>
          <w:sz w:val="28"/>
          <w:szCs w:val="28"/>
        </w:rPr>
      </w:pPr>
      <w:r>
        <w:rPr>
          <w:rFonts w:hint="eastAsia" w:eastAsia="仿宋_GB2312"/>
          <w:sz w:val="28"/>
          <w:szCs w:val="28"/>
        </w:rPr>
        <w:t>6</w:t>
      </w:r>
      <w:r>
        <w:rPr>
          <w:rFonts w:eastAsia="仿宋_GB2312"/>
          <w:sz w:val="28"/>
          <w:szCs w:val="28"/>
        </w:rPr>
        <w:t>.</w:t>
      </w:r>
      <w:r>
        <w:rPr>
          <w:rFonts w:hint="eastAsia" w:eastAsia="仿宋_GB2312"/>
          <w:sz w:val="28"/>
          <w:szCs w:val="28"/>
        </w:rPr>
        <w:t>分检/包装</w:t>
      </w:r>
    </w:p>
    <w:p>
      <w:pPr>
        <w:spacing w:line="500" w:lineRule="exact"/>
        <w:ind w:firstLine="560" w:firstLineChars="200"/>
        <w:rPr>
          <w:rFonts w:eastAsia="仿宋_GB2312"/>
          <w:sz w:val="28"/>
          <w:szCs w:val="28"/>
        </w:rPr>
      </w:pPr>
      <w:r>
        <w:rPr>
          <w:rFonts w:hint="eastAsia" w:eastAsia="仿宋_GB2312"/>
          <w:sz w:val="28"/>
          <w:szCs w:val="28"/>
        </w:rPr>
        <w:t>人工将</w:t>
      </w:r>
      <w:r>
        <w:rPr>
          <w:rFonts w:eastAsia="仿宋_GB2312"/>
          <w:sz w:val="28"/>
          <w:szCs w:val="28"/>
        </w:rPr>
        <w:t>分切完成后的</w:t>
      </w:r>
      <w:r>
        <w:rPr>
          <w:rFonts w:hint="eastAsia" w:eastAsia="仿宋_GB2312"/>
          <w:sz w:val="28"/>
          <w:szCs w:val="28"/>
        </w:rPr>
        <w:t>胶带</w:t>
      </w:r>
      <w:r>
        <w:rPr>
          <w:rFonts w:eastAsia="仿宋_GB2312"/>
          <w:sz w:val="28"/>
          <w:szCs w:val="28"/>
        </w:rPr>
        <w:t>根据不同型号进行</w:t>
      </w:r>
      <w:r>
        <w:rPr>
          <w:rFonts w:hint="eastAsia" w:eastAsia="仿宋_GB2312"/>
          <w:sz w:val="28"/>
          <w:szCs w:val="28"/>
        </w:rPr>
        <w:t>分类</w:t>
      </w:r>
      <w:r>
        <w:rPr>
          <w:rFonts w:eastAsia="仿宋_GB2312"/>
          <w:sz w:val="28"/>
          <w:szCs w:val="28"/>
        </w:rPr>
        <w:t>，分类</w:t>
      </w:r>
      <w:r>
        <w:rPr>
          <w:rFonts w:hint="eastAsia" w:eastAsia="仿宋_GB2312"/>
          <w:sz w:val="28"/>
          <w:szCs w:val="28"/>
        </w:rPr>
        <w:t>后</w:t>
      </w:r>
      <w:r>
        <w:rPr>
          <w:rFonts w:eastAsia="仿宋_GB2312"/>
          <w:sz w:val="28"/>
          <w:szCs w:val="28"/>
        </w:rPr>
        <w:t>进行整体打包。</w:t>
      </w:r>
    </w:p>
    <w:p>
      <w:pPr>
        <w:spacing w:line="500" w:lineRule="exact"/>
        <w:ind w:firstLine="560" w:firstLineChars="200"/>
        <w:rPr>
          <w:rFonts w:eastAsia="仿宋_GB2312"/>
          <w:sz w:val="28"/>
          <w:szCs w:val="28"/>
        </w:rPr>
      </w:pPr>
      <w:r>
        <w:rPr>
          <w:rFonts w:hint="eastAsia" w:eastAsia="仿宋_GB2312"/>
          <w:sz w:val="28"/>
          <w:szCs w:val="28"/>
        </w:rPr>
        <w:t>7</w:t>
      </w:r>
      <w:r>
        <w:rPr>
          <w:rFonts w:eastAsia="仿宋_GB2312"/>
          <w:sz w:val="28"/>
          <w:szCs w:val="28"/>
        </w:rPr>
        <w:t>.</w:t>
      </w:r>
      <w:r>
        <w:rPr>
          <w:rFonts w:hint="eastAsia" w:eastAsia="仿宋_GB2312"/>
          <w:sz w:val="28"/>
          <w:szCs w:val="28"/>
        </w:rPr>
        <w:t>入库</w:t>
      </w:r>
    </w:p>
    <w:p>
      <w:pPr>
        <w:spacing w:line="500" w:lineRule="exact"/>
        <w:ind w:firstLine="560" w:firstLineChars="200"/>
        <w:rPr>
          <w:rFonts w:eastAsia="仿宋_GB2312"/>
          <w:sz w:val="28"/>
          <w:szCs w:val="28"/>
        </w:rPr>
      </w:pPr>
      <w:r>
        <w:rPr>
          <w:rFonts w:hint="eastAsia" w:eastAsia="仿宋_GB2312"/>
          <w:sz w:val="28"/>
          <w:szCs w:val="28"/>
        </w:rPr>
        <w:t>将</w:t>
      </w:r>
      <w:r>
        <w:rPr>
          <w:rFonts w:eastAsia="仿宋_GB2312"/>
          <w:sz w:val="28"/>
          <w:szCs w:val="28"/>
        </w:rPr>
        <w:t>打包完成的成品胶带</w:t>
      </w:r>
      <w:r>
        <w:rPr>
          <w:rFonts w:hint="eastAsia" w:eastAsia="仿宋_GB2312"/>
          <w:sz w:val="28"/>
          <w:szCs w:val="28"/>
        </w:rPr>
        <w:t>放入</w:t>
      </w:r>
      <w:r>
        <w:rPr>
          <w:rFonts w:eastAsia="仿宋_GB2312"/>
          <w:sz w:val="28"/>
          <w:szCs w:val="28"/>
        </w:rPr>
        <w:t>库房保存</w:t>
      </w:r>
      <w:r>
        <w:rPr>
          <w:rFonts w:hint="eastAsia" w:eastAsia="仿宋_GB2312"/>
          <w:sz w:val="28"/>
          <w:szCs w:val="28"/>
        </w:rPr>
        <w:t>。</w:t>
      </w:r>
    </w:p>
    <w:p>
      <w:pPr>
        <w:pStyle w:val="5"/>
        <w:keepLines w:val="0"/>
        <w:widowControl/>
        <w:numPr>
          <w:ilvl w:val="3"/>
          <w:numId w:val="1"/>
        </w:numPr>
        <w:tabs>
          <w:tab w:val="left" w:pos="993"/>
        </w:tabs>
        <w:adjustRightInd w:val="0"/>
        <w:snapToGrid w:val="0"/>
        <w:spacing w:after="120" w:afterLines="50"/>
        <w:ind w:left="0" w:firstLine="0"/>
        <w:jc w:val="left"/>
        <w:rPr>
          <w:rFonts w:ascii="Times New Roman" w:hAnsi="Times New Roman"/>
          <w:b/>
          <w:lang w:val="zh-CN"/>
        </w:rPr>
      </w:pPr>
      <w:r>
        <w:rPr>
          <w:rFonts w:ascii="Times New Roman" w:hAnsi="Times New Roman"/>
          <w:b/>
          <w:lang w:val="zh-CN"/>
        </w:rPr>
        <w:t>有机溶剂平衡</w:t>
      </w:r>
    </w:p>
    <w:p>
      <w:pPr>
        <w:spacing w:line="500" w:lineRule="exact"/>
        <w:ind w:firstLine="560" w:firstLineChars="200"/>
        <w:rPr>
          <w:rFonts w:eastAsia="仿宋_GB2312"/>
          <w:b/>
          <w:sz w:val="24"/>
        </w:rPr>
      </w:pPr>
      <w:r>
        <w:rPr>
          <w:rFonts w:hint="eastAsia" w:eastAsia="仿宋_GB2312"/>
          <w:sz w:val="28"/>
          <w:szCs w:val="28"/>
        </w:rPr>
        <w:t>本项目正常</w:t>
      </w:r>
      <w:r>
        <w:rPr>
          <w:rFonts w:eastAsia="仿宋_GB2312"/>
          <w:sz w:val="28"/>
          <w:szCs w:val="28"/>
        </w:rPr>
        <w:t>生产中有机溶剂平衡情况见表</w:t>
      </w:r>
      <w:r>
        <w:rPr>
          <w:rFonts w:hint="eastAsia" w:eastAsia="仿宋_GB2312"/>
          <w:sz w:val="28"/>
          <w:szCs w:val="28"/>
        </w:rPr>
        <w:t>3.</w:t>
      </w:r>
      <w:r>
        <w:rPr>
          <w:rFonts w:eastAsia="仿宋_GB2312"/>
          <w:sz w:val="28"/>
          <w:szCs w:val="28"/>
        </w:rPr>
        <w:t>2</w:t>
      </w:r>
      <w:r>
        <w:rPr>
          <w:rFonts w:hint="eastAsia" w:eastAsia="仿宋_GB2312"/>
          <w:sz w:val="28"/>
          <w:szCs w:val="28"/>
        </w:rPr>
        <w:t>-</w:t>
      </w:r>
      <w:r>
        <w:rPr>
          <w:rFonts w:eastAsia="仿宋_GB2312"/>
          <w:sz w:val="28"/>
          <w:szCs w:val="28"/>
        </w:rPr>
        <w:t>1</w:t>
      </w:r>
      <w:r>
        <w:rPr>
          <w:rFonts w:hint="eastAsia" w:eastAsia="仿宋_GB2312"/>
          <w:sz w:val="28"/>
          <w:szCs w:val="28"/>
        </w:rPr>
        <w:t>~3.</w:t>
      </w:r>
      <w:r>
        <w:rPr>
          <w:rFonts w:eastAsia="仿宋_GB2312"/>
          <w:sz w:val="28"/>
          <w:szCs w:val="28"/>
        </w:rPr>
        <w:t>2</w:t>
      </w:r>
      <w:r>
        <w:rPr>
          <w:rFonts w:hint="eastAsia" w:eastAsia="仿宋_GB2312"/>
          <w:sz w:val="28"/>
          <w:szCs w:val="28"/>
        </w:rPr>
        <w:t>-4，V</w:t>
      </w:r>
      <w:r>
        <w:rPr>
          <w:rFonts w:eastAsia="仿宋_GB2312"/>
          <w:sz w:val="28"/>
          <w:szCs w:val="28"/>
        </w:rPr>
        <w:t>OCs</w:t>
      </w:r>
      <w:r>
        <w:rPr>
          <w:rFonts w:hint="eastAsia" w:eastAsia="仿宋_GB2312"/>
          <w:sz w:val="28"/>
          <w:szCs w:val="28"/>
        </w:rPr>
        <w:t>平衡图见图3.</w:t>
      </w:r>
      <w:r>
        <w:rPr>
          <w:rFonts w:eastAsia="仿宋_GB2312"/>
          <w:sz w:val="28"/>
          <w:szCs w:val="28"/>
        </w:rPr>
        <w:t>3</w:t>
      </w:r>
      <w:r>
        <w:rPr>
          <w:rFonts w:hint="eastAsia" w:eastAsia="仿宋_GB2312"/>
          <w:sz w:val="28"/>
          <w:szCs w:val="28"/>
        </w:rPr>
        <w:t>-</w:t>
      </w:r>
      <w:r>
        <w:rPr>
          <w:rFonts w:eastAsia="仿宋_GB2312"/>
          <w:sz w:val="28"/>
          <w:szCs w:val="28"/>
        </w:rPr>
        <w:t>2</w:t>
      </w:r>
      <w:r>
        <w:rPr>
          <w:rFonts w:hint="eastAsia" w:eastAsia="仿宋_GB2312"/>
          <w:sz w:val="28"/>
          <w:szCs w:val="28"/>
        </w:rPr>
        <w:t>。</w:t>
      </w:r>
    </w:p>
    <w:p>
      <w:pPr>
        <w:spacing w:line="500" w:lineRule="exact"/>
        <w:ind w:firstLine="482" w:firstLineChars="200"/>
        <w:jc w:val="center"/>
        <w:rPr>
          <w:rFonts w:eastAsia="仿宋_GB2312"/>
          <w:b/>
          <w:sz w:val="24"/>
        </w:rPr>
      </w:pPr>
      <w:r>
        <w:rPr>
          <w:rFonts w:eastAsia="仿宋_GB2312"/>
          <w:b/>
          <w:sz w:val="24"/>
        </w:rPr>
        <w:t>表</w:t>
      </w:r>
      <w:r>
        <w:rPr>
          <w:rFonts w:hint="eastAsia" w:eastAsia="仿宋_GB2312"/>
          <w:b/>
          <w:sz w:val="24"/>
        </w:rPr>
        <w:t>3.2</w:t>
      </w:r>
      <w:r>
        <w:rPr>
          <w:rFonts w:eastAsia="仿宋_GB2312"/>
          <w:b/>
          <w:sz w:val="24"/>
        </w:rPr>
        <w:t>-</w:t>
      </w:r>
      <w:r>
        <w:rPr>
          <w:rFonts w:hint="eastAsia" w:eastAsia="仿宋_GB2312"/>
          <w:b/>
          <w:sz w:val="24"/>
        </w:rPr>
        <w:t>1</w:t>
      </w:r>
      <w:r>
        <w:rPr>
          <w:rFonts w:eastAsia="仿宋_GB2312"/>
          <w:b/>
          <w:sz w:val="24"/>
        </w:rPr>
        <w:t xml:space="preserve"> </w:t>
      </w:r>
      <w:r>
        <w:rPr>
          <w:rFonts w:hint="eastAsia" w:eastAsia="仿宋_GB2312"/>
          <w:b/>
          <w:sz w:val="24"/>
        </w:rPr>
        <w:t xml:space="preserve"> 本</w:t>
      </w:r>
      <w:r>
        <w:rPr>
          <w:rFonts w:eastAsia="仿宋_GB2312"/>
          <w:b/>
          <w:sz w:val="24"/>
        </w:rPr>
        <w:t>项目</w:t>
      </w:r>
      <w:r>
        <w:rPr>
          <w:rFonts w:hint="eastAsia" w:eastAsia="仿宋_GB2312"/>
          <w:b/>
          <w:sz w:val="24"/>
        </w:rPr>
        <w:t>乙酸乙酯平衡表</w:t>
      </w:r>
      <w:r>
        <w:rPr>
          <w:rFonts w:eastAsia="仿宋_GB2312"/>
          <w:b/>
          <w:sz w:val="24"/>
        </w:rPr>
        <w:t>平衡表  单位：t/a</w:t>
      </w:r>
    </w:p>
    <w:tbl>
      <w:tblPr>
        <w:tblStyle w:val="87"/>
        <w:tblW w:w="102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986"/>
        <w:gridCol w:w="849"/>
        <w:gridCol w:w="1055"/>
        <w:gridCol w:w="884"/>
        <w:gridCol w:w="872"/>
        <w:gridCol w:w="1401"/>
        <w:gridCol w:w="1149"/>
        <w:gridCol w:w="1129"/>
        <w:gridCol w:w="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093" w:type="dxa"/>
            <w:vMerge w:val="restart"/>
            <w:noWrap/>
            <w:vAlign w:val="center"/>
          </w:tcPr>
          <w:p>
            <w:pPr>
              <w:spacing w:line="240" w:lineRule="exact"/>
              <w:jc w:val="center"/>
              <w:rPr>
                <w:rFonts w:ascii="仿宋" w:hAnsi="仿宋" w:eastAsia="仿宋" w:cs="仿宋"/>
                <w:bCs/>
                <w:szCs w:val="21"/>
              </w:rPr>
            </w:pPr>
            <w:r>
              <w:rPr>
                <w:rFonts w:ascii="仿宋" w:hAnsi="仿宋" w:eastAsia="仿宋" w:cs="仿宋"/>
                <w:bCs/>
                <w:szCs w:val="21"/>
              </w:rPr>
              <w:t>来源</w:t>
            </w:r>
          </w:p>
        </w:tc>
        <w:tc>
          <w:tcPr>
            <w:tcW w:w="986" w:type="dxa"/>
            <w:vMerge w:val="restart"/>
            <w:noWrap/>
            <w:vAlign w:val="center"/>
          </w:tcPr>
          <w:p>
            <w:pPr>
              <w:widowControl/>
              <w:jc w:val="center"/>
              <w:rPr>
                <w:rFonts w:ascii="仿宋" w:hAnsi="仿宋" w:eastAsia="仿宋" w:cs="仿宋"/>
                <w:bCs/>
                <w:szCs w:val="21"/>
              </w:rPr>
            </w:pPr>
            <w:r>
              <w:rPr>
                <w:rFonts w:ascii="仿宋" w:hAnsi="仿宋" w:eastAsia="仿宋" w:cs="仿宋"/>
                <w:bCs/>
                <w:szCs w:val="21"/>
              </w:rPr>
              <w:t>用量</w:t>
            </w:r>
          </w:p>
        </w:tc>
        <w:tc>
          <w:tcPr>
            <w:tcW w:w="849" w:type="dxa"/>
            <w:vMerge w:val="restart"/>
            <w:noWrap/>
            <w:vAlign w:val="center"/>
          </w:tcPr>
          <w:p>
            <w:pPr>
              <w:widowControl/>
              <w:jc w:val="center"/>
              <w:rPr>
                <w:rFonts w:ascii="仿宋" w:hAnsi="仿宋" w:eastAsia="仿宋" w:cs="仿宋"/>
                <w:bCs/>
                <w:szCs w:val="21"/>
              </w:rPr>
            </w:pPr>
            <w:r>
              <w:rPr>
                <w:rFonts w:ascii="仿宋" w:hAnsi="仿宋" w:eastAsia="仿宋" w:cs="仿宋"/>
                <w:bCs/>
                <w:szCs w:val="21"/>
              </w:rPr>
              <w:t>含量成分（%）</w:t>
            </w:r>
          </w:p>
        </w:tc>
        <w:tc>
          <w:tcPr>
            <w:tcW w:w="1055" w:type="dxa"/>
            <w:vMerge w:val="restart"/>
            <w:noWrap/>
            <w:vAlign w:val="center"/>
          </w:tcPr>
          <w:p>
            <w:pPr>
              <w:spacing w:line="240" w:lineRule="exact"/>
              <w:jc w:val="center"/>
              <w:rPr>
                <w:rFonts w:ascii="仿宋" w:hAnsi="仿宋" w:eastAsia="仿宋" w:cs="仿宋"/>
                <w:bCs/>
                <w:szCs w:val="21"/>
              </w:rPr>
            </w:pPr>
            <w:r>
              <w:rPr>
                <w:rFonts w:ascii="仿宋" w:hAnsi="仿宋" w:eastAsia="仿宋" w:cs="仿宋"/>
                <w:bCs/>
                <w:szCs w:val="21"/>
              </w:rPr>
              <w:t>含乙酸</w:t>
            </w:r>
            <w:r>
              <w:rPr>
                <w:rFonts w:hint="eastAsia" w:ascii="仿宋" w:hAnsi="仿宋" w:eastAsia="仿宋" w:cs="仿宋"/>
                <w:bCs/>
                <w:szCs w:val="21"/>
              </w:rPr>
              <w:t>乙</w:t>
            </w:r>
            <w:r>
              <w:rPr>
                <w:rFonts w:ascii="仿宋" w:hAnsi="仿宋" w:eastAsia="仿宋" w:cs="仿宋"/>
                <w:bCs/>
                <w:szCs w:val="21"/>
              </w:rPr>
              <w:t>酯量</w:t>
            </w:r>
          </w:p>
        </w:tc>
        <w:tc>
          <w:tcPr>
            <w:tcW w:w="3157" w:type="dxa"/>
            <w:gridSpan w:val="3"/>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入方</w:t>
            </w:r>
          </w:p>
        </w:tc>
        <w:tc>
          <w:tcPr>
            <w:tcW w:w="3157" w:type="dxa"/>
            <w:gridSpan w:val="3"/>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出方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093" w:type="dxa"/>
            <w:vMerge w:val="continue"/>
            <w:noWrap/>
            <w:vAlign w:val="center"/>
          </w:tcPr>
          <w:p>
            <w:pPr>
              <w:spacing w:line="240" w:lineRule="exact"/>
              <w:jc w:val="center"/>
              <w:rPr>
                <w:rFonts w:ascii="仿宋" w:hAnsi="仿宋" w:eastAsia="仿宋" w:cs="仿宋"/>
                <w:bCs/>
                <w:szCs w:val="21"/>
              </w:rPr>
            </w:pPr>
          </w:p>
        </w:tc>
        <w:tc>
          <w:tcPr>
            <w:tcW w:w="986" w:type="dxa"/>
            <w:vMerge w:val="continue"/>
            <w:noWrap/>
            <w:vAlign w:val="center"/>
          </w:tcPr>
          <w:p>
            <w:pPr>
              <w:widowControl/>
              <w:jc w:val="center"/>
              <w:rPr>
                <w:rFonts w:ascii="仿宋" w:hAnsi="仿宋" w:eastAsia="仿宋" w:cs="仿宋"/>
                <w:bCs/>
                <w:szCs w:val="21"/>
              </w:rPr>
            </w:pPr>
          </w:p>
        </w:tc>
        <w:tc>
          <w:tcPr>
            <w:tcW w:w="849" w:type="dxa"/>
            <w:vMerge w:val="continue"/>
            <w:noWrap/>
            <w:vAlign w:val="center"/>
          </w:tcPr>
          <w:p>
            <w:pPr>
              <w:widowControl/>
              <w:jc w:val="center"/>
              <w:rPr>
                <w:rFonts w:ascii="仿宋" w:hAnsi="仿宋" w:eastAsia="仿宋" w:cs="仿宋"/>
                <w:bCs/>
                <w:szCs w:val="21"/>
              </w:rPr>
            </w:pPr>
          </w:p>
        </w:tc>
        <w:tc>
          <w:tcPr>
            <w:tcW w:w="1055" w:type="dxa"/>
            <w:vMerge w:val="continue"/>
            <w:noWrap/>
            <w:vAlign w:val="center"/>
          </w:tcPr>
          <w:p>
            <w:pPr>
              <w:spacing w:line="240" w:lineRule="exact"/>
              <w:jc w:val="center"/>
              <w:rPr>
                <w:rFonts w:ascii="仿宋" w:hAnsi="仿宋" w:eastAsia="仿宋" w:cs="仿宋"/>
                <w:bCs/>
                <w:szCs w:val="21"/>
              </w:rPr>
            </w:pPr>
          </w:p>
        </w:tc>
        <w:tc>
          <w:tcPr>
            <w:tcW w:w="884"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比例</w:t>
            </w:r>
          </w:p>
        </w:tc>
        <w:tc>
          <w:tcPr>
            <w:tcW w:w="872" w:type="dxa"/>
            <w:noWrap/>
            <w:vAlign w:val="center"/>
          </w:tcPr>
          <w:p>
            <w:pPr>
              <w:spacing w:line="240" w:lineRule="exact"/>
              <w:jc w:val="center"/>
              <w:rPr>
                <w:rFonts w:ascii="仿宋" w:hAnsi="仿宋" w:eastAsia="仿宋" w:cs="仿宋"/>
                <w:bCs/>
                <w:szCs w:val="21"/>
              </w:rPr>
            </w:pPr>
            <w:r>
              <w:rPr>
                <w:rFonts w:ascii="仿宋" w:hAnsi="仿宋" w:eastAsia="仿宋" w:cs="仿宋"/>
                <w:bCs/>
                <w:szCs w:val="21"/>
              </w:rPr>
              <w:t>去向</w:t>
            </w:r>
          </w:p>
        </w:tc>
        <w:tc>
          <w:tcPr>
            <w:tcW w:w="1401" w:type="dxa"/>
            <w:noWrap/>
            <w:vAlign w:val="center"/>
          </w:tcPr>
          <w:p>
            <w:pPr>
              <w:spacing w:line="240" w:lineRule="exact"/>
              <w:jc w:val="center"/>
              <w:rPr>
                <w:rFonts w:ascii="仿宋" w:hAnsi="仿宋" w:eastAsia="仿宋" w:cs="仿宋"/>
                <w:bCs/>
                <w:szCs w:val="21"/>
              </w:rPr>
            </w:pPr>
            <w:r>
              <w:rPr>
                <w:rFonts w:ascii="仿宋" w:hAnsi="仿宋" w:eastAsia="仿宋" w:cs="仿宋"/>
                <w:bCs/>
                <w:szCs w:val="21"/>
              </w:rPr>
              <w:t>含乙酸</w:t>
            </w:r>
            <w:r>
              <w:rPr>
                <w:rFonts w:hint="eastAsia" w:ascii="仿宋" w:hAnsi="仿宋" w:eastAsia="仿宋" w:cs="仿宋"/>
                <w:bCs/>
                <w:szCs w:val="21"/>
              </w:rPr>
              <w:t>乙</w:t>
            </w:r>
            <w:r>
              <w:rPr>
                <w:rFonts w:ascii="仿宋" w:hAnsi="仿宋" w:eastAsia="仿宋" w:cs="仿宋"/>
                <w:bCs/>
                <w:szCs w:val="21"/>
              </w:rPr>
              <w:t>酯量</w:t>
            </w:r>
          </w:p>
        </w:tc>
        <w:tc>
          <w:tcPr>
            <w:tcW w:w="1149" w:type="dxa"/>
            <w:noWrap/>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去向</w:t>
            </w:r>
          </w:p>
        </w:tc>
        <w:tc>
          <w:tcPr>
            <w:tcW w:w="2008" w:type="dxa"/>
            <w:gridSpan w:val="2"/>
            <w:noWrap/>
            <w:vAlign w:val="center"/>
          </w:tcPr>
          <w:p>
            <w:pPr>
              <w:spacing w:line="240" w:lineRule="exact"/>
              <w:jc w:val="center"/>
              <w:rPr>
                <w:rFonts w:ascii="仿宋" w:hAnsi="仿宋" w:eastAsia="仿宋" w:cs="仿宋"/>
                <w:bCs/>
                <w:szCs w:val="21"/>
              </w:rPr>
            </w:pPr>
            <w:r>
              <w:rPr>
                <w:rFonts w:ascii="仿宋" w:hAnsi="仿宋" w:eastAsia="仿宋" w:cs="仿宋"/>
                <w:bCs/>
                <w:szCs w:val="21"/>
              </w:rPr>
              <w:t>含乙酸</w:t>
            </w:r>
            <w:r>
              <w:rPr>
                <w:rFonts w:hint="eastAsia" w:ascii="仿宋" w:hAnsi="仿宋" w:eastAsia="仿宋" w:cs="仿宋"/>
                <w:bCs/>
                <w:szCs w:val="21"/>
              </w:rPr>
              <w:t>乙</w:t>
            </w:r>
            <w:r>
              <w:rPr>
                <w:rFonts w:ascii="仿宋" w:hAnsi="仿宋" w:eastAsia="仿宋" w:cs="仿宋"/>
                <w:bCs/>
                <w:szCs w:val="21"/>
              </w:rPr>
              <w:t>酯量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093" w:type="dxa"/>
            <w:vMerge w:val="restart"/>
            <w:noWrap/>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原料胶粘剂</w:t>
            </w:r>
          </w:p>
        </w:tc>
        <w:tc>
          <w:tcPr>
            <w:tcW w:w="986" w:type="dxa"/>
            <w:vMerge w:val="restart"/>
            <w:noWrap/>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7</w:t>
            </w:r>
            <w:r>
              <w:rPr>
                <w:rFonts w:ascii="仿宋" w:hAnsi="仿宋" w:eastAsia="仿宋" w:cs="仿宋"/>
                <w:bCs/>
                <w:szCs w:val="21"/>
              </w:rPr>
              <w:t>37.5</w:t>
            </w:r>
          </w:p>
        </w:tc>
        <w:tc>
          <w:tcPr>
            <w:tcW w:w="849" w:type="dxa"/>
            <w:vMerge w:val="restart"/>
            <w:noWrap/>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44.8</w:t>
            </w:r>
          </w:p>
        </w:tc>
        <w:tc>
          <w:tcPr>
            <w:tcW w:w="1055" w:type="dxa"/>
            <w:vMerge w:val="restart"/>
            <w:noWrap/>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w:t>
            </w:r>
            <w:r>
              <w:rPr>
                <w:rFonts w:ascii="仿宋" w:hAnsi="仿宋" w:eastAsia="仿宋" w:cs="仿宋"/>
                <w:bCs/>
                <w:szCs w:val="21"/>
              </w:rPr>
              <w:t>30.4</w:t>
            </w:r>
          </w:p>
        </w:tc>
        <w:tc>
          <w:tcPr>
            <w:tcW w:w="884"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0.3</w:t>
            </w:r>
          </w:p>
        </w:tc>
        <w:tc>
          <w:tcPr>
            <w:tcW w:w="872" w:type="dxa"/>
            <w:noWrap/>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配胶</w:t>
            </w:r>
            <w:r>
              <w:rPr>
                <w:rFonts w:ascii="仿宋" w:hAnsi="仿宋" w:eastAsia="仿宋" w:cs="仿宋"/>
                <w:bCs/>
                <w:szCs w:val="21"/>
              </w:rPr>
              <w:t>废气</w:t>
            </w:r>
          </w:p>
        </w:tc>
        <w:tc>
          <w:tcPr>
            <w:tcW w:w="1401" w:type="dxa"/>
            <w:noWrap/>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99.1</w:t>
            </w:r>
            <w:r>
              <w:rPr>
                <w:rFonts w:ascii="仿宋" w:hAnsi="仿宋" w:eastAsia="仿宋" w:cs="仿宋"/>
                <w:bCs/>
                <w:szCs w:val="21"/>
              </w:rPr>
              <w:t>2</w:t>
            </w:r>
          </w:p>
        </w:tc>
        <w:tc>
          <w:tcPr>
            <w:tcW w:w="1149" w:type="dxa"/>
            <w:vMerge w:val="restart"/>
            <w:noWrap/>
            <w:vAlign w:val="center"/>
          </w:tcPr>
          <w:p>
            <w:pPr>
              <w:spacing w:line="240" w:lineRule="exact"/>
              <w:jc w:val="center"/>
              <w:rPr>
                <w:rFonts w:ascii="仿宋" w:hAnsi="仿宋" w:eastAsia="仿宋" w:cs="仿宋"/>
                <w:bCs/>
                <w:szCs w:val="21"/>
              </w:rPr>
            </w:pPr>
            <w:r>
              <w:rPr>
                <w:rFonts w:ascii="仿宋" w:hAnsi="仿宋" w:eastAsia="仿宋" w:cs="仿宋"/>
                <w:bCs/>
                <w:szCs w:val="21"/>
              </w:rPr>
              <w:t>大气环境</w:t>
            </w:r>
          </w:p>
        </w:tc>
        <w:tc>
          <w:tcPr>
            <w:tcW w:w="1129" w:type="dxa"/>
            <w:noWrap/>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有组织废气</w:t>
            </w:r>
          </w:p>
        </w:tc>
        <w:tc>
          <w:tcPr>
            <w:tcW w:w="879" w:type="dxa"/>
            <w:noWrap/>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w:t>
            </w:r>
            <w:r>
              <w:rPr>
                <w:rFonts w:ascii="仿宋" w:hAnsi="仿宋" w:eastAsia="仿宋" w:cs="仿宋"/>
                <w:bCs/>
                <w:szCs w:val="21"/>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1093" w:type="dxa"/>
            <w:vMerge w:val="continue"/>
            <w:noWrap/>
            <w:vAlign w:val="center"/>
          </w:tcPr>
          <w:p>
            <w:pPr>
              <w:spacing w:line="240" w:lineRule="exact"/>
              <w:jc w:val="center"/>
              <w:rPr>
                <w:rFonts w:ascii="仿宋" w:hAnsi="仿宋" w:eastAsia="仿宋" w:cs="仿宋"/>
                <w:bCs/>
                <w:szCs w:val="21"/>
              </w:rPr>
            </w:pPr>
          </w:p>
        </w:tc>
        <w:tc>
          <w:tcPr>
            <w:tcW w:w="986" w:type="dxa"/>
            <w:vMerge w:val="continue"/>
            <w:noWrap/>
            <w:vAlign w:val="center"/>
          </w:tcPr>
          <w:p>
            <w:pPr>
              <w:spacing w:line="240" w:lineRule="exact"/>
              <w:jc w:val="center"/>
              <w:rPr>
                <w:rFonts w:ascii="仿宋" w:hAnsi="仿宋" w:eastAsia="仿宋" w:cs="仿宋"/>
                <w:bCs/>
                <w:szCs w:val="21"/>
              </w:rPr>
            </w:pPr>
          </w:p>
        </w:tc>
        <w:tc>
          <w:tcPr>
            <w:tcW w:w="849" w:type="dxa"/>
            <w:vMerge w:val="continue"/>
            <w:noWrap/>
            <w:vAlign w:val="center"/>
          </w:tcPr>
          <w:p>
            <w:pPr>
              <w:spacing w:line="240" w:lineRule="exact"/>
              <w:jc w:val="center"/>
              <w:rPr>
                <w:rFonts w:ascii="仿宋" w:hAnsi="仿宋" w:eastAsia="仿宋" w:cs="仿宋"/>
                <w:bCs/>
                <w:szCs w:val="21"/>
              </w:rPr>
            </w:pPr>
          </w:p>
        </w:tc>
        <w:tc>
          <w:tcPr>
            <w:tcW w:w="1055" w:type="dxa"/>
            <w:vMerge w:val="continue"/>
            <w:noWrap/>
            <w:vAlign w:val="center"/>
          </w:tcPr>
          <w:p>
            <w:pPr>
              <w:spacing w:line="240" w:lineRule="exact"/>
              <w:jc w:val="center"/>
              <w:rPr>
                <w:rFonts w:ascii="仿宋" w:hAnsi="仿宋" w:eastAsia="仿宋" w:cs="仿宋"/>
                <w:bCs/>
                <w:szCs w:val="21"/>
              </w:rPr>
            </w:pPr>
          </w:p>
        </w:tc>
        <w:tc>
          <w:tcPr>
            <w:tcW w:w="884"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0.7</w:t>
            </w:r>
          </w:p>
        </w:tc>
        <w:tc>
          <w:tcPr>
            <w:tcW w:w="872" w:type="dxa"/>
            <w:noWrap/>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涂布</w:t>
            </w:r>
            <w:r>
              <w:rPr>
                <w:rFonts w:ascii="仿宋" w:hAnsi="仿宋" w:eastAsia="仿宋" w:cs="仿宋"/>
                <w:bCs/>
                <w:szCs w:val="21"/>
              </w:rPr>
              <w:t>干燥废气</w:t>
            </w:r>
          </w:p>
        </w:tc>
        <w:tc>
          <w:tcPr>
            <w:tcW w:w="1401" w:type="dxa"/>
            <w:noWrap/>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w:t>
            </w:r>
            <w:r>
              <w:rPr>
                <w:rFonts w:ascii="仿宋" w:hAnsi="仿宋" w:eastAsia="仿宋" w:cs="仿宋"/>
                <w:bCs/>
                <w:szCs w:val="21"/>
              </w:rPr>
              <w:t>31.28</w:t>
            </w:r>
          </w:p>
        </w:tc>
        <w:tc>
          <w:tcPr>
            <w:tcW w:w="1149" w:type="dxa"/>
            <w:vMerge w:val="continue"/>
            <w:noWrap/>
            <w:vAlign w:val="center"/>
          </w:tcPr>
          <w:p>
            <w:pPr>
              <w:spacing w:line="240" w:lineRule="exact"/>
              <w:jc w:val="center"/>
              <w:rPr>
                <w:rFonts w:ascii="仿宋" w:hAnsi="仿宋" w:eastAsia="仿宋" w:cs="仿宋"/>
                <w:bCs/>
                <w:szCs w:val="21"/>
              </w:rPr>
            </w:pPr>
          </w:p>
        </w:tc>
        <w:tc>
          <w:tcPr>
            <w:tcW w:w="1129" w:type="dxa"/>
            <w:noWrap/>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无组织废气</w:t>
            </w:r>
          </w:p>
        </w:tc>
        <w:tc>
          <w:tcPr>
            <w:tcW w:w="879" w:type="dxa"/>
            <w:noWrap/>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w:t>
            </w:r>
            <w:r>
              <w:rPr>
                <w:rFonts w:ascii="仿宋" w:hAnsi="仿宋" w:eastAsia="仿宋" w:cs="仿宋"/>
                <w:bCs/>
                <w:szCs w:val="21"/>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7" w:hRule="atLeast"/>
          <w:jc w:val="center"/>
        </w:trPr>
        <w:tc>
          <w:tcPr>
            <w:tcW w:w="1093" w:type="dxa"/>
            <w:vMerge w:val="restart"/>
            <w:noWrap/>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清洗剂（乙酸乙酯）</w:t>
            </w:r>
          </w:p>
        </w:tc>
        <w:tc>
          <w:tcPr>
            <w:tcW w:w="986" w:type="dxa"/>
            <w:vMerge w:val="restart"/>
            <w:noWrap/>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3.79</w:t>
            </w:r>
          </w:p>
        </w:tc>
        <w:tc>
          <w:tcPr>
            <w:tcW w:w="849" w:type="dxa"/>
            <w:noWrap/>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5</w:t>
            </w:r>
          </w:p>
        </w:tc>
        <w:tc>
          <w:tcPr>
            <w:tcW w:w="1055" w:type="dxa"/>
            <w:noWrap/>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0.19</w:t>
            </w:r>
          </w:p>
        </w:tc>
        <w:tc>
          <w:tcPr>
            <w:tcW w:w="884"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w:t>
            </w:r>
          </w:p>
        </w:tc>
        <w:tc>
          <w:tcPr>
            <w:tcW w:w="872" w:type="dxa"/>
            <w:noWrap/>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清洗</w:t>
            </w:r>
          </w:p>
        </w:tc>
        <w:tc>
          <w:tcPr>
            <w:tcW w:w="1401" w:type="dxa"/>
            <w:noWrap/>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0.19</w:t>
            </w:r>
          </w:p>
        </w:tc>
        <w:tc>
          <w:tcPr>
            <w:tcW w:w="1149" w:type="dxa"/>
            <w:noWrap/>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废气处理设备</w:t>
            </w:r>
          </w:p>
        </w:tc>
        <w:tc>
          <w:tcPr>
            <w:tcW w:w="1129" w:type="dxa"/>
            <w:noWrap/>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RTO去除</w:t>
            </w:r>
          </w:p>
        </w:tc>
        <w:tc>
          <w:tcPr>
            <w:tcW w:w="879" w:type="dxa"/>
            <w:noWrap/>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32</w:t>
            </w:r>
            <w:r>
              <w:rPr>
                <w:rFonts w:ascii="仿宋" w:hAnsi="仿宋" w:eastAsia="仿宋" w:cs="仿宋"/>
                <w:bCs/>
                <w:szCs w:val="21"/>
              </w:rPr>
              <w:t>7.29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1093" w:type="dxa"/>
            <w:vMerge w:val="continue"/>
            <w:noWrap/>
            <w:vAlign w:val="center"/>
          </w:tcPr>
          <w:p>
            <w:pPr>
              <w:spacing w:line="240" w:lineRule="exact"/>
              <w:jc w:val="center"/>
            </w:pPr>
          </w:p>
        </w:tc>
        <w:tc>
          <w:tcPr>
            <w:tcW w:w="986" w:type="dxa"/>
            <w:vMerge w:val="continue"/>
            <w:noWrap/>
            <w:vAlign w:val="center"/>
          </w:tcPr>
          <w:p>
            <w:pPr>
              <w:spacing w:line="240" w:lineRule="exact"/>
              <w:jc w:val="center"/>
            </w:pPr>
          </w:p>
        </w:tc>
        <w:tc>
          <w:tcPr>
            <w:tcW w:w="849" w:type="dxa"/>
            <w:noWrap/>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95</w:t>
            </w:r>
          </w:p>
        </w:tc>
        <w:tc>
          <w:tcPr>
            <w:tcW w:w="1055" w:type="dxa"/>
            <w:noWrap/>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3.6</w:t>
            </w:r>
          </w:p>
        </w:tc>
        <w:tc>
          <w:tcPr>
            <w:tcW w:w="884"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w:t>
            </w:r>
          </w:p>
        </w:tc>
        <w:tc>
          <w:tcPr>
            <w:tcW w:w="872" w:type="dxa"/>
            <w:noWrap/>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废清洗剂</w:t>
            </w:r>
          </w:p>
        </w:tc>
        <w:tc>
          <w:tcPr>
            <w:tcW w:w="1401" w:type="dxa"/>
            <w:noWrap/>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3.6</w:t>
            </w:r>
          </w:p>
        </w:tc>
        <w:tc>
          <w:tcPr>
            <w:tcW w:w="1149" w:type="dxa"/>
            <w:noWrap/>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危废</w:t>
            </w:r>
          </w:p>
        </w:tc>
        <w:tc>
          <w:tcPr>
            <w:tcW w:w="1129" w:type="dxa"/>
            <w:noWrap/>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废清洗剂</w:t>
            </w:r>
          </w:p>
        </w:tc>
        <w:tc>
          <w:tcPr>
            <w:tcW w:w="879" w:type="dxa"/>
            <w:noWrap/>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093" w:type="dxa"/>
            <w:noWrap/>
            <w:vAlign w:val="center"/>
          </w:tcPr>
          <w:p>
            <w:pPr>
              <w:spacing w:line="240" w:lineRule="exact"/>
              <w:jc w:val="center"/>
              <w:rPr>
                <w:rFonts w:ascii="仿宋" w:hAnsi="仿宋" w:eastAsia="仿宋" w:cs="仿宋"/>
                <w:bCs/>
                <w:szCs w:val="21"/>
              </w:rPr>
            </w:pPr>
            <w:r>
              <w:rPr>
                <w:rFonts w:ascii="仿宋" w:hAnsi="仿宋" w:eastAsia="仿宋" w:cs="仿宋"/>
                <w:bCs/>
                <w:szCs w:val="21"/>
              </w:rPr>
              <w:t>合计</w:t>
            </w:r>
          </w:p>
        </w:tc>
        <w:tc>
          <w:tcPr>
            <w:tcW w:w="986" w:type="dxa"/>
            <w:noWrap/>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w:t>
            </w:r>
          </w:p>
        </w:tc>
        <w:tc>
          <w:tcPr>
            <w:tcW w:w="849" w:type="dxa"/>
            <w:noWrap/>
            <w:vAlign w:val="center"/>
          </w:tcPr>
          <w:p>
            <w:pPr>
              <w:spacing w:line="240" w:lineRule="exact"/>
              <w:jc w:val="center"/>
              <w:rPr>
                <w:rFonts w:ascii="仿宋" w:hAnsi="仿宋" w:eastAsia="仿宋" w:cs="仿宋"/>
                <w:bCs/>
                <w:szCs w:val="21"/>
              </w:rPr>
            </w:pPr>
            <w:r>
              <w:rPr>
                <w:rFonts w:ascii="仿宋" w:hAnsi="仿宋" w:eastAsia="仿宋" w:cs="仿宋"/>
                <w:bCs/>
                <w:szCs w:val="21"/>
              </w:rPr>
              <w:t>/</w:t>
            </w:r>
          </w:p>
        </w:tc>
        <w:tc>
          <w:tcPr>
            <w:tcW w:w="1055" w:type="dxa"/>
            <w:noWrap/>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w:t>
            </w:r>
            <w:r>
              <w:rPr>
                <w:rFonts w:ascii="仿宋" w:hAnsi="仿宋" w:eastAsia="仿宋" w:cs="仿宋"/>
                <w:bCs/>
                <w:szCs w:val="21"/>
              </w:rPr>
              <w:t>34.19</w:t>
            </w:r>
          </w:p>
        </w:tc>
        <w:tc>
          <w:tcPr>
            <w:tcW w:w="884"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w:t>
            </w:r>
          </w:p>
        </w:tc>
        <w:tc>
          <w:tcPr>
            <w:tcW w:w="872" w:type="dxa"/>
            <w:noWrap/>
            <w:vAlign w:val="center"/>
          </w:tcPr>
          <w:p>
            <w:pPr>
              <w:spacing w:line="240" w:lineRule="exact"/>
              <w:jc w:val="center"/>
              <w:rPr>
                <w:rFonts w:ascii="仿宋" w:hAnsi="仿宋" w:eastAsia="仿宋" w:cs="仿宋"/>
                <w:bCs/>
                <w:szCs w:val="21"/>
              </w:rPr>
            </w:pPr>
            <w:r>
              <w:rPr>
                <w:rFonts w:ascii="仿宋" w:hAnsi="仿宋" w:eastAsia="仿宋" w:cs="仿宋"/>
                <w:bCs/>
                <w:szCs w:val="21"/>
              </w:rPr>
              <w:t>/</w:t>
            </w:r>
          </w:p>
        </w:tc>
        <w:tc>
          <w:tcPr>
            <w:tcW w:w="1401" w:type="dxa"/>
            <w:noWrap/>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w:t>
            </w:r>
            <w:r>
              <w:rPr>
                <w:rFonts w:ascii="仿宋" w:hAnsi="仿宋" w:eastAsia="仿宋" w:cs="仿宋"/>
                <w:bCs/>
                <w:szCs w:val="21"/>
              </w:rPr>
              <w:t>34.19</w:t>
            </w:r>
          </w:p>
        </w:tc>
        <w:tc>
          <w:tcPr>
            <w:tcW w:w="1149" w:type="dxa"/>
            <w:noWrap/>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w:t>
            </w:r>
          </w:p>
        </w:tc>
        <w:tc>
          <w:tcPr>
            <w:tcW w:w="2008" w:type="dxa"/>
            <w:gridSpan w:val="2"/>
            <w:noWrap/>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w:t>
            </w:r>
            <w:r>
              <w:rPr>
                <w:rFonts w:ascii="仿宋" w:hAnsi="仿宋" w:eastAsia="仿宋" w:cs="仿宋"/>
                <w:bCs/>
                <w:szCs w:val="21"/>
              </w:rPr>
              <w:t>34.19</w:t>
            </w:r>
          </w:p>
        </w:tc>
      </w:tr>
    </w:tbl>
    <w:p>
      <w:pPr>
        <w:spacing w:line="500" w:lineRule="exact"/>
        <w:ind w:firstLine="482" w:firstLineChars="200"/>
        <w:jc w:val="center"/>
        <w:rPr>
          <w:rFonts w:eastAsia="仿宋_GB2312"/>
          <w:b/>
          <w:sz w:val="24"/>
        </w:rPr>
      </w:pPr>
      <w:r>
        <w:rPr>
          <w:rFonts w:eastAsia="仿宋_GB2312"/>
          <w:b/>
          <w:sz w:val="24"/>
        </w:rPr>
        <w:t>表</w:t>
      </w:r>
      <w:r>
        <w:rPr>
          <w:rFonts w:hint="eastAsia" w:eastAsia="仿宋_GB2312"/>
          <w:b/>
          <w:sz w:val="24"/>
        </w:rPr>
        <w:t>3.2</w:t>
      </w:r>
      <w:r>
        <w:rPr>
          <w:rFonts w:eastAsia="仿宋_GB2312"/>
          <w:b/>
          <w:sz w:val="24"/>
        </w:rPr>
        <w:t>-</w:t>
      </w:r>
      <w:r>
        <w:rPr>
          <w:rFonts w:hint="eastAsia" w:eastAsia="仿宋_GB2312"/>
          <w:b/>
          <w:sz w:val="24"/>
        </w:rPr>
        <w:t>2</w:t>
      </w:r>
      <w:r>
        <w:rPr>
          <w:rFonts w:eastAsia="仿宋_GB2312"/>
          <w:b/>
          <w:sz w:val="24"/>
        </w:rPr>
        <w:t xml:space="preserve"> </w:t>
      </w:r>
      <w:r>
        <w:rPr>
          <w:rFonts w:hint="eastAsia" w:eastAsia="仿宋_GB2312"/>
          <w:b/>
          <w:sz w:val="24"/>
        </w:rPr>
        <w:t xml:space="preserve"> 本</w:t>
      </w:r>
      <w:r>
        <w:rPr>
          <w:rFonts w:eastAsia="仿宋_GB2312"/>
          <w:b/>
          <w:sz w:val="24"/>
        </w:rPr>
        <w:t>项目</w:t>
      </w:r>
      <w:r>
        <w:rPr>
          <w:rFonts w:hint="eastAsia" w:eastAsia="仿宋_GB2312"/>
          <w:b/>
          <w:sz w:val="24"/>
        </w:rPr>
        <w:t>二甲苯平衡表</w:t>
      </w:r>
      <w:r>
        <w:rPr>
          <w:rFonts w:eastAsia="仿宋_GB2312"/>
          <w:b/>
          <w:sz w:val="24"/>
        </w:rPr>
        <w:t>平衡表  单位：t/a</w:t>
      </w:r>
    </w:p>
    <w:tbl>
      <w:tblPr>
        <w:tblStyle w:val="87"/>
        <w:tblW w:w="102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5"/>
        <w:gridCol w:w="962"/>
        <w:gridCol w:w="785"/>
        <w:gridCol w:w="1063"/>
        <w:gridCol w:w="887"/>
        <w:gridCol w:w="888"/>
        <w:gridCol w:w="1400"/>
        <w:gridCol w:w="1215"/>
        <w:gridCol w:w="1075"/>
        <w:gridCol w:w="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075" w:type="dxa"/>
            <w:vMerge w:val="restart"/>
            <w:noWrap/>
            <w:vAlign w:val="center"/>
          </w:tcPr>
          <w:p>
            <w:pPr>
              <w:spacing w:line="240" w:lineRule="exact"/>
              <w:jc w:val="center"/>
              <w:rPr>
                <w:rFonts w:ascii="仿宋" w:hAnsi="仿宋" w:eastAsia="仿宋" w:cs="仿宋"/>
                <w:bCs/>
                <w:szCs w:val="21"/>
              </w:rPr>
            </w:pPr>
            <w:r>
              <w:rPr>
                <w:rFonts w:ascii="仿宋" w:hAnsi="仿宋" w:eastAsia="仿宋" w:cs="仿宋"/>
                <w:bCs/>
                <w:szCs w:val="21"/>
              </w:rPr>
              <w:t>来源</w:t>
            </w:r>
          </w:p>
        </w:tc>
        <w:tc>
          <w:tcPr>
            <w:tcW w:w="962" w:type="dxa"/>
            <w:vMerge w:val="restart"/>
            <w:noWrap/>
            <w:vAlign w:val="center"/>
          </w:tcPr>
          <w:p>
            <w:pPr>
              <w:widowControl/>
              <w:jc w:val="center"/>
              <w:rPr>
                <w:rFonts w:ascii="仿宋" w:hAnsi="仿宋" w:eastAsia="仿宋" w:cs="仿宋"/>
                <w:bCs/>
                <w:szCs w:val="21"/>
              </w:rPr>
            </w:pPr>
            <w:r>
              <w:rPr>
                <w:rFonts w:ascii="仿宋" w:hAnsi="仿宋" w:eastAsia="仿宋" w:cs="仿宋"/>
                <w:bCs/>
                <w:szCs w:val="21"/>
              </w:rPr>
              <w:t>用量</w:t>
            </w:r>
          </w:p>
        </w:tc>
        <w:tc>
          <w:tcPr>
            <w:tcW w:w="785" w:type="dxa"/>
            <w:vMerge w:val="restart"/>
            <w:noWrap/>
            <w:vAlign w:val="center"/>
          </w:tcPr>
          <w:p>
            <w:pPr>
              <w:widowControl/>
              <w:jc w:val="center"/>
              <w:rPr>
                <w:rFonts w:ascii="仿宋" w:hAnsi="仿宋" w:eastAsia="仿宋" w:cs="仿宋"/>
                <w:bCs/>
                <w:szCs w:val="21"/>
              </w:rPr>
            </w:pPr>
            <w:r>
              <w:rPr>
                <w:rFonts w:ascii="仿宋" w:hAnsi="仿宋" w:eastAsia="仿宋" w:cs="仿宋"/>
                <w:bCs/>
                <w:szCs w:val="21"/>
              </w:rPr>
              <w:t>含量成分（%）</w:t>
            </w:r>
          </w:p>
        </w:tc>
        <w:tc>
          <w:tcPr>
            <w:tcW w:w="1063" w:type="dxa"/>
            <w:vMerge w:val="restart"/>
            <w:noWrap/>
            <w:vAlign w:val="center"/>
          </w:tcPr>
          <w:p>
            <w:pPr>
              <w:spacing w:line="240" w:lineRule="exact"/>
              <w:jc w:val="center"/>
              <w:rPr>
                <w:rFonts w:ascii="仿宋" w:hAnsi="仿宋" w:eastAsia="仿宋" w:cs="仿宋"/>
                <w:bCs/>
                <w:szCs w:val="21"/>
              </w:rPr>
            </w:pPr>
            <w:r>
              <w:rPr>
                <w:rFonts w:ascii="仿宋" w:hAnsi="仿宋" w:eastAsia="仿宋" w:cs="仿宋"/>
                <w:bCs/>
                <w:szCs w:val="21"/>
              </w:rPr>
              <w:t>含</w:t>
            </w:r>
            <w:r>
              <w:rPr>
                <w:rFonts w:hint="eastAsia" w:ascii="仿宋" w:hAnsi="仿宋" w:eastAsia="仿宋" w:cs="仿宋"/>
                <w:bCs/>
                <w:szCs w:val="21"/>
              </w:rPr>
              <w:t>二</w:t>
            </w:r>
            <w:r>
              <w:rPr>
                <w:rFonts w:ascii="仿宋" w:hAnsi="仿宋" w:eastAsia="仿宋" w:cs="仿宋"/>
                <w:bCs/>
                <w:szCs w:val="21"/>
              </w:rPr>
              <w:t>甲苯量</w:t>
            </w:r>
          </w:p>
        </w:tc>
        <w:tc>
          <w:tcPr>
            <w:tcW w:w="3175" w:type="dxa"/>
            <w:gridSpan w:val="3"/>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入方</w:t>
            </w:r>
          </w:p>
        </w:tc>
        <w:tc>
          <w:tcPr>
            <w:tcW w:w="3175" w:type="dxa"/>
            <w:gridSpan w:val="3"/>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出方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075" w:type="dxa"/>
            <w:vMerge w:val="continue"/>
            <w:noWrap/>
            <w:vAlign w:val="center"/>
          </w:tcPr>
          <w:p>
            <w:pPr>
              <w:spacing w:line="240" w:lineRule="exact"/>
              <w:jc w:val="center"/>
              <w:rPr>
                <w:rFonts w:ascii="仿宋" w:hAnsi="仿宋" w:eastAsia="仿宋" w:cs="仿宋"/>
                <w:bCs/>
                <w:szCs w:val="21"/>
              </w:rPr>
            </w:pPr>
          </w:p>
        </w:tc>
        <w:tc>
          <w:tcPr>
            <w:tcW w:w="962" w:type="dxa"/>
            <w:vMerge w:val="continue"/>
            <w:noWrap/>
            <w:vAlign w:val="center"/>
          </w:tcPr>
          <w:p>
            <w:pPr>
              <w:widowControl/>
              <w:jc w:val="center"/>
              <w:rPr>
                <w:rFonts w:ascii="仿宋" w:hAnsi="仿宋" w:eastAsia="仿宋" w:cs="仿宋"/>
                <w:bCs/>
                <w:szCs w:val="21"/>
              </w:rPr>
            </w:pPr>
          </w:p>
        </w:tc>
        <w:tc>
          <w:tcPr>
            <w:tcW w:w="785" w:type="dxa"/>
            <w:vMerge w:val="continue"/>
            <w:noWrap/>
            <w:vAlign w:val="center"/>
          </w:tcPr>
          <w:p>
            <w:pPr>
              <w:widowControl/>
              <w:jc w:val="center"/>
              <w:rPr>
                <w:rFonts w:ascii="仿宋" w:hAnsi="仿宋" w:eastAsia="仿宋" w:cs="仿宋"/>
                <w:bCs/>
                <w:szCs w:val="21"/>
              </w:rPr>
            </w:pPr>
          </w:p>
        </w:tc>
        <w:tc>
          <w:tcPr>
            <w:tcW w:w="1063" w:type="dxa"/>
            <w:vMerge w:val="continue"/>
            <w:noWrap/>
            <w:vAlign w:val="center"/>
          </w:tcPr>
          <w:p>
            <w:pPr>
              <w:spacing w:line="240" w:lineRule="exact"/>
              <w:jc w:val="center"/>
              <w:rPr>
                <w:rFonts w:ascii="仿宋" w:hAnsi="仿宋" w:eastAsia="仿宋" w:cs="仿宋"/>
                <w:bCs/>
                <w:szCs w:val="21"/>
              </w:rPr>
            </w:pPr>
          </w:p>
        </w:tc>
        <w:tc>
          <w:tcPr>
            <w:tcW w:w="88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比例</w:t>
            </w:r>
          </w:p>
        </w:tc>
        <w:tc>
          <w:tcPr>
            <w:tcW w:w="888" w:type="dxa"/>
            <w:noWrap/>
            <w:vAlign w:val="center"/>
          </w:tcPr>
          <w:p>
            <w:pPr>
              <w:spacing w:line="240" w:lineRule="exact"/>
              <w:jc w:val="center"/>
              <w:rPr>
                <w:rFonts w:ascii="仿宋" w:hAnsi="仿宋" w:eastAsia="仿宋" w:cs="仿宋"/>
                <w:bCs/>
                <w:szCs w:val="21"/>
              </w:rPr>
            </w:pPr>
            <w:r>
              <w:rPr>
                <w:rFonts w:ascii="仿宋" w:hAnsi="仿宋" w:eastAsia="仿宋" w:cs="仿宋"/>
                <w:bCs/>
                <w:szCs w:val="21"/>
              </w:rPr>
              <w:t>去向</w:t>
            </w:r>
          </w:p>
        </w:tc>
        <w:tc>
          <w:tcPr>
            <w:tcW w:w="1400" w:type="dxa"/>
            <w:noWrap/>
            <w:vAlign w:val="center"/>
          </w:tcPr>
          <w:p>
            <w:pPr>
              <w:spacing w:line="240" w:lineRule="exact"/>
              <w:jc w:val="center"/>
              <w:rPr>
                <w:rFonts w:ascii="仿宋" w:hAnsi="仿宋" w:eastAsia="仿宋" w:cs="仿宋"/>
                <w:bCs/>
                <w:szCs w:val="21"/>
              </w:rPr>
            </w:pPr>
            <w:r>
              <w:rPr>
                <w:rFonts w:ascii="仿宋" w:hAnsi="仿宋" w:eastAsia="仿宋" w:cs="仿宋"/>
                <w:bCs/>
                <w:szCs w:val="21"/>
              </w:rPr>
              <w:t>含</w:t>
            </w:r>
            <w:r>
              <w:rPr>
                <w:rFonts w:hint="eastAsia" w:ascii="仿宋" w:hAnsi="仿宋" w:eastAsia="仿宋" w:cs="仿宋"/>
                <w:bCs/>
                <w:szCs w:val="21"/>
              </w:rPr>
              <w:t>二甲苯</w:t>
            </w:r>
            <w:r>
              <w:rPr>
                <w:rFonts w:ascii="仿宋" w:hAnsi="仿宋" w:eastAsia="仿宋" w:cs="仿宋"/>
                <w:bCs/>
                <w:szCs w:val="21"/>
              </w:rPr>
              <w:t>量</w:t>
            </w:r>
          </w:p>
        </w:tc>
        <w:tc>
          <w:tcPr>
            <w:tcW w:w="1215" w:type="dxa"/>
            <w:noWrap/>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去向</w:t>
            </w:r>
          </w:p>
        </w:tc>
        <w:tc>
          <w:tcPr>
            <w:tcW w:w="1960" w:type="dxa"/>
            <w:gridSpan w:val="2"/>
            <w:noWrap/>
            <w:vAlign w:val="center"/>
          </w:tcPr>
          <w:p>
            <w:pPr>
              <w:spacing w:line="240" w:lineRule="exact"/>
              <w:jc w:val="center"/>
              <w:rPr>
                <w:rFonts w:ascii="仿宋" w:hAnsi="仿宋" w:eastAsia="仿宋" w:cs="仿宋"/>
                <w:bCs/>
                <w:szCs w:val="21"/>
              </w:rPr>
            </w:pPr>
            <w:r>
              <w:rPr>
                <w:rFonts w:ascii="仿宋" w:hAnsi="仿宋" w:eastAsia="仿宋" w:cs="仿宋"/>
                <w:bCs/>
                <w:szCs w:val="21"/>
              </w:rPr>
              <w:t>含</w:t>
            </w:r>
            <w:r>
              <w:rPr>
                <w:rFonts w:hint="eastAsia" w:ascii="仿宋" w:hAnsi="仿宋" w:eastAsia="仿宋" w:cs="仿宋"/>
                <w:bCs/>
                <w:szCs w:val="21"/>
              </w:rPr>
              <w:t>二甲苯</w:t>
            </w:r>
            <w:r>
              <w:rPr>
                <w:rFonts w:ascii="仿宋" w:hAnsi="仿宋" w:eastAsia="仿宋" w:cs="仿宋"/>
                <w:bCs/>
                <w:szCs w:val="21"/>
              </w:rPr>
              <w:t>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1075" w:type="dxa"/>
            <w:vMerge w:val="restart"/>
            <w:noWrap/>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原料胶粘剂</w:t>
            </w:r>
          </w:p>
        </w:tc>
        <w:tc>
          <w:tcPr>
            <w:tcW w:w="962" w:type="dxa"/>
            <w:vMerge w:val="restart"/>
            <w:noWrap/>
            <w:vAlign w:val="center"/>
          </w:tcPr>
          <w:p>
            <w:pPr>
              <w:spacing w:line="240" w:lineRule="exact"/>
              <w:jc w:val="center"/>
              <w:rPr>
                <w:rFonts w:ascii="仿宋" w:hAnsi="仿宋" w:eastAsia="仿宋" w:cs="仿宋"/>
                <w:bCs/>
                <w:szCs w:val="21"/>
              </w:rPr>
            </w:pPr>
            <w:r>
              <w:rPr>
                <w:rFonts w:ascii="仿宋" w:hAnsi="仿宋" w:eastAsia="仿宋" w:cs="仿宋"/>
                <w:bCs/>
                <w:szCs w:val="21"/>
              </w:rPr>
              <w:t>737.5</w:t>
            </w:r>
          </w:p>
        </w:tc>
        <w:tc>
          <w:tcPr>
            <w:tcW w:w="785" w:type="dxa"/>
            <w:vMerge w:val="restart"/>
            <w:noWrap/>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4.95</w:t>
            </w:r>
          </w:p>
        </w:tc>
        <w:tc>
          <w:tcPr>
            <w:tcW w:w="1063" w:type="dxa"/>
            <w:vMerge w:val="restart"/>
            <w:noWrap/>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w:t>
            </w:r>
            <w:r>
              <w:rPr>
                <w:rFonts w:ascii="仿宋" w:hAnsi="仿宋" w:eastAsia="仿宋" w:cs="仿宋"/>
                <w:bCs/>
                <w:szCs w:val="21"/>
              </w:rPr>
              <w:t>6.5</w:t>
            </w:r>
          </w:p>
        </w:tc>
        <w:tc>
          <w:tcPr>
            <w:tcW w:w="887" w:type="dxa"/>
            <w:vMerge w:val="restar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0.3</w:t>
            </w:r>
          </w:p>
        </w:tc>
        <w:tc>
          <w:tcPr>
            <w:tcW w:w="888" w:type="dxa"/>
            <w:vMerge w:val="restart"/>
            <w:noWrap/>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配胶</w:t>
            </w:r>
            <w:r>
              <w:rPr>
                <w:rFonts w:ascii="仿宋" w:hAnsi="仿宋" w:eastAsia="仿宋" w:cs="仿宋"/>
                <w:bCs/>
                <w:szCs w:val="21"/>
              </w:rPr>
              <w:t>废气</w:t>
            </w:r>
          </w:p>
        </w:tc>
        <w:tc>
          <w:tcPr>
            <w:tcW w:w="1400" w:type="dxa"/>
            <w:vMerge w:val="restart"/>
            <w:noWrap/>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w:t>
            </w:r>
            <w:r>
              <w:rPr>
                <w:rFonts w:ascii="仿宋" w:hAnsi="仿宋" w:eastAsia="仿宋" w:cs="仿宋"/>
                <w:bCs/>
                <w:szCs w:val="21"/>
              </w:rPr>
              <w:t>0.95</w:t>
            </w:r>
          </w:p>
        </w:tc>
        <w:tc>
          <w:tcPr>
            <w:tcW w:w="1215" w:type="dxa"/>
            <w:vMerge w:val="restart"/>
            <w:noWrap/>
            <w:vAlign w:val="center"/>
          </w:tcPr>
          <w:p>
            <w:pPr>
              <w:spacing w:line="240" w:lineRule="exact"/>
              <w:jc w:val="center"/>
              <w:rPr>
                <w:rFonts w:ascii="仿宋" w:hAnsi="仿宋" w:eastAsia="仿宋" w:cs="仿宋"/>
                <w:bCs/>
                <w:szCs w:val="21"/>
              </w:rPr>
            </w:pPr>
            <w:r>
              <w:rPr>
                <w:rFonts w:ascii="仿宋" w:hAnsi="仿宋" w:eastAsia="仿宋" w:cs="仿宋"/>
                <w:bCs/>
                <w:szCs w:val="21"/>
              </w:rPr>
              <w:t>大气环境</w:t>
            </w:r>
          </w:p>
        </w:tc>
        <w:tc>
          <w:tcPr>
            <w:tcW w:w="1075" w:type="dxa"/>
            <w:noWrap/>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有组织废气</w:t>
            </w:r>
          </w:p>
        </w:tc>
        <w:tc>
          <w:tcPr>
            <w:tcW w:w="885" w:type="dxa"/>
            <w:noWrap/>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1075" w:type="dxa"/>
            <w:vMerge w:val="continue"/>
            <w:noWrap/>
            <w:vAlign w:val="center"/>
          </w:tcPr>
          <w:p>
            <w:pPr>
              <w:spacing w:line="240" w:lineRule="exact"/>
              <w:jc w:val="center"/>
            </w:pPr>
          </w:p>
        </w:tc>
        <w:tc>
          <w:tcPr>
            <w:tcW w:w="962" w:type="dxa"/>
            <w:vMerge w:val="continue"/>
            <w:noWrap/>
            <w:vAlign w:val="center"/>
          </w:tcPr>
          <w:p>
            <w:pPr>
              <w:spacing w:line="240" w:lineRule="exact"/>
              <w:jc w:val="center"/>
            </w:pPr>
          </w:p>
        </w:tc>
        <w:tc>
          <w:tcPr>
            <w:tcW w:w="785" w:type="dxa"/>
            <w:vMerge w:val="continue"/>
            <w:noWrap/>
            <w:vAlign w:val="center"/>
          </w:tcPr>
          <w:p>
            <w:pPr>
              <w:spacing w:line="240" w:lineRule="exact"/>
              <w:jc w:val="center"/>
            </w:pPr>
          </w:p>
        </w:tc>
        <w:tc>
          <w:tcPr>
            <w:tcW w:w="1063" w:type="dxa"/>
            <w:vMerge w:val="continue"/>
            <w:noWrap/>
            <w:vAlign w:val="center"/>
          </w:tcPr>
          <w:p>
            <w:pPr>
              <w:spacing w:line="240" w:lineRule="exact"/>
              <w:jc w:val="center"/>
            </w:pPr>
          </w:p>
        </w:tc>
        <w:tc>
          <w:tcPr>
            <w:tcW w:w="887" w:type="dxa"/>
            <w:vMerge w:val="continue"/>
            <w:vAlign w:val="center"/>
          </w:tcPr>
          <w:p>
            <w:pPr>
              <w:spacing w:line="240" w:lineRule="exact"/>
              <w:jc w:val="center"/>
            </w:pPr>
          </w:p>
        </w:tc>
        <w:tc>
          <w:tcPr>
            <w:tcW w:w="888" w:type="dxa"/>
            <w:vMerge w:val="continue"/>
            <w:noWrap/>
            <w:vAlign w:val="center"/>
          </w:tcPr>
          <w:p>
            <w:pPr>
              <w:spacing w:line="240" w:lineRule="exact"/>
              <w:jc w:val="center"/>
            </w:pPr>
          </w:p>
        </w:tc>
        <w:tc>
          <w:tcPr>
            <w:tcW w:w="1400" w:type="dxa"/>
            <w:vMerge w:val="continue"/>
            <w:noWrap/>
            <w:vAlign w:val="center"/>
          </w:tcPr>
          <w:p>
            <w:pPr>
              <w:spacing w:line="240" w:lineRule="exact"/>
              <w:jc w:val="center"/>
            </w:pPr>
          </w:p>
        </w:tc>
        <w:tc>
          <w:tcPr>
            <w:tcW w:w="1215" w:type="dxa"/>
            <w:vMerge w:val="continue"/>
            <w:noWrap/>
            <w:vAlign w:val="center"/>
          </w:tcPr>
          <w:p>
            <w:pPr>
              <w:spacing w:line="240" w:lineRule="exact"/>
              <w:jc w:val="center"/>
            </w:pPr>
          </w:p>
        </w:tc>
        <w:tc>
          <w:tcPr>
            <w:tcW w:w="1075" w:type="dxa"/>
            <w:noWrap/>
            <w:vAlign w:val="center"/>
          </w:tcPr>
          <w:p>
            <w:pPr>
              <w:spacing w:line="240" w:lineRule="exact"/>
              <w:jc w:val="center"/>
            </w:pPr>
            <w:r>
              <w:rPr>
                <w:rFonts w:hint="eastAsia" w:ascii="仿宋" w:hAnsi="仿宋" w:eastAsia="仿宋" w:cs="仿宋"/>
                <w:bCs/>
                <w:szCs w:val="21"/>
              </w:rPr>
              <w:t>无组织废气</w:t>
            </w:r>
          </w:p>
        </w:tc>
        <w:tc>
          <w:tcPr>
            <w:tcW w:w="885" w:type="dxa"/>
            <w:noWrap/>
            <w:vAlign w:val="center"/>
          </w:tcPr>
          <w:p>
            <w:pPr>
              <w:spacing w:line="240" w:lineRule="exact"/>
              <w:jc w:val="center"/>
            </w:pPr>
            <w:r>
              <w:rPr>
                <w:rFonts w:hint="eastAsia"/>
              </w:rPr>
              <w:t>0</w:t>
            </w:r>
            <w: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1075" w:type="dxa"/>
            <w:vMerge w:val="continue"/>
            <w:noWrap/>
            <w:vAlign w:val="center"/>
          </w:tcPr>
          <w:p>
            <w:pPr>
              <w:spacing w:line="240" w:lineRule="exact"/>
              <w:jc w:val="center"/>
              <w:rPr>
                <w:rFonts w:ascii="仿宋" w:hAnsi="仿宋" w:eastAsia="仿宋" w:cs="仿宋"/>
                <w:bCs/>
                <w:szCs w:val="21"/>
              </w:rPr>
            </w:pPr>
          </w:p>
        </w:tc>
        <w:tc>
          <w:tcPr>
            <w:tcW w:w="962" w:type="dxa"/>
            <w:vMerge w:val="continue"/>
            <w:noWrap/>
            <w:vAlign w:val="center"/>
          </w:tcPr>
          <w:p>
            <w:pPr>
              <w:spacing w:line="240" w:lineRule="exact"/>
              <w:jc w:val="center"/>
              <w:rPr>
                <w:rFonts w:ascii="仿宋" w:hAnsi="仿宋" w:eastAsia="仿宋" w:cs="仿宋"/>
                <w:bCs/>
                <w:szCs w:val="21"/>
              </w:rPr>
            </w:pPr>
          </w:p>
        </w:tc>
        <w:tc>
          <w:tcPr>
            <w:tcW w:w="785" w:type="dxa"/>
            <w:vMerge w:val="continue"/>
            <w:noWrap/>
            <w:vAlign w:val="center"/>
          </w:tcPr>
          <w:p>
            <w:pPr>
              <w:spacing w:line="240" w:lineRule="exact"/>
              <w:jc w:val="center"/>
              <w:rPr>
                <w:rFonts w:ascii="仿宋" w:hAnsi="仿宋" w:eastAsia="仿宋" w:cs="仿宋"/>
                <w:bCs/>
                <w:szCs w:val="21"/>
              </w:rPr>
            </w:pPr>
          </w:p>
        </w:tc>
        <w:tc>
          <w:tcPr>
            <w:tcW w:w="1063" w:type="dxa"/>
            <w:vMerge w:val="continue"/>
            <w:noWrap/>
            <w:vAlign w:val="center"/>
          </w:tcPr>
          <w:p>
            <w:pPr>
              <w:spacing w:line="240" w:lineRule="exact"/>
              <w:jc w:val="center"/>
              <w:rPr>
                <w:rFonts w:ascii="仿宋" w:hAnsi="仿宋" w:eastAsia="仿宋" w:cs="仿宋"/>
                <w:bCs/>
                <w:szCs w:val="21"/>
              </w:rPr>
            </w:pPr>
          </w:p>
        </w:tc>
        <w:tc>
          <w:tcPr>
            <w:tcW w:w="88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0.7</w:t>
            </w:r>
          </w:p>
        </w:tc>
        <w:tc>
          <w:tcPr>
            <w:tcW w:w="888" w:type="dxa"/>
            <w:noWrap/>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涂布</w:t>
            </w:r>
            <w:r>
              <w:rPr>
                <w:rFonts w:ascii="仿宋" w:hAnsi="仿宋" w:eastAsia="仿宋" w:cs="仿宋"/>
                <w:bCs/>
                <w:szCs w:val="21"/>
              </w:rPr>
              <w:t>干燥废气</w:t>
            </w:r>
          </w:p>
        </w:tc>
        <w:tc>
          <w:tcPr>
            <w:tcW w:w="1400" w:type="dxa"/>
            <w:noWrap/>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w:t>
            </w:r>
            <w:r>
              <w:rPr>
                <w:rFonts w:ascii="仿宋" w:hAnsi="仿宋" w:eastAsia="仿宋" w:cs="仿宋"/>
                <w:bCs/>
                <w:szCs w:val="21"/>
              </w:rPr>
              <w:t>5.55</w:t>
            </w:r>
          </w:p>
        </w:tc>
        <w:tc>
          <w:tcPr>
            <w:tcW w:w="1215" w:type="dxa"/>
            <w:noWrap/>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废气处理设备</w:t>
            </w:r>
          </w:p>
        </w:tc>
        <w:tc>
          <w:tcPr>
            <w:tcW w:w="1075" w:type="dxa"/>
            <w:noWrap/>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RTO去除</w:t>
            </w:r>
          </w:p>
        </w:tc>
        <w:tc>
          <w:tcPr>
            <w:tcW w:w="885" w:type="dxa"/>
            <w:noWrap/>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w:t>
            </w:r>
            <w:r>
              <w:rPr>
                <w:rFonts w:ascii="仿宋" w:hAnsi="仿宋" w:eastAsia="仿宋" w:cs="仿宋"/>
                <w:bCs/>
                <w:szCs w:val="21"/>
              </w:rPr>
              <w:t>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075" w:type="dxa"/>
            <w:noWrap/>
            <w:vAlign w:val="center"/>
          </w:tcPr>
          <w:p>
            <w:pPr>
              <w:spacing w:line="240" w:lineRule="exact"/>
              <w:jc w:val="center"/>
              <w:rPr>
                <w:rFonts w:ascii="仿宋" w:hAnsi="仿宋" w:eastAsia="仿宋" w:cs="仿宋"/>
                <w:bCs/>
                <w:szCs w:val="21"/>
              </w:rPr>
            </w:pPr>
            <w:r>
              <w:rPr>
                <w:rFonts w:ascii="仿宋" w:hAnsi="仿宋" w:eastAsia="仿宋" w:cs="仿宋"/>
                <w:bCs/>
                <w:szCs w:val="21"/>
              </w:rPr>
              <w:t>合计</w:t>
            </w:r>
          </w:p>
        </w:tc>
        <w:tc>
          <w:tcPr>
            <w:tcW w:w="962" w:type="dxa"/>
            <w:noWrap/>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w:t>
            </w:r>
          </w:p>
        </w:tc>
        <w:tc>
          <w:tcPr>
            <w:tcW w:w="785" w:type="dxa"/>
            <w:noWrap/>
            <w:vAlign w:val="center"/>
          </w:tcPr>
          <w:p>
            <w:pPr>
              <w:spacing w:line="240" w:lineRule="exact"/>
              <w:jc w:val="center"/>
              <w:rPr>
                <w:rFonts w:ascii="仿宋" w:hAnsi="仿宋" w:eastAsia="仿宋" w:cs="仿宋"/>
                <w:bCs/>
                <w:szCs w:val="21"/>
              </w:rPr>
            </w:pPr>
            <w:r>
              <w:rPr>
                <w:rFonts w:ascii="仿宋" w:hAnsi="仿宋" w:eastAsia="仿宋" w:cs="仿宋"/>
                <w:bCs/>
                <w:szCs w:val="21"/>
              </w:rPr>
              <w:t>/</w:t>
            </w:r>
          </w:p>
        </w:tc>
        <w:tc>
          <w:tcPr>
            <w:tcW w:w="1063" w:type="dxa"/>
            <w:noWrap/>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w:t>
            </w:r>
            <w:r>
              <w:rPr>
                <w:rFonts w:ascii="仿宋" w:hAnsi="仿宋" w:eastAsia="仿宋" w:cs="仿宋"/>
                <w:bCs/>
                <w:szCs w:val="21"/>
              </w:rPr>
              <w:t>6.5</w:t>
            </w:r>
          </w:p>
        </w:tc>
        <w:tc>
          <w:tcPr>
            <w:tcW w:w="88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w:t>
            </w:r>
          </w:p>
        </w:tc>
        <w:tc>
          <w:tcPr>
            <w:tcW w:w="888" w:type="dxa"/>
            <w:noWrap/>
            <w:vAlign w:val="center"/>
          </w:tcPr>
          <w:p>
            <w:pPr>
              <w:spacing w:line="240" w:lineRule="exact"/>
              <w:jc w:val="center"/>
              <w:rPr>
                <w:rFonts w:ascii="仿宋" w:hAnsi="仿宋" w:eastAsia="仿宋" w:cs="仿宋"/>
                <w:bCs/>
                <w:szCs w:val="21"/>
              </w:rPr>
            </w:pPr>
            <w:r>
              <w:rPr>
                <w:rFonts w:ascii="仿宋" w:hAnsi="仿宋" w:eastAsia="仿宋" w:cs="仿宋"/>
                <w:bCs/>
                <w:szCs w:val="21"/>
              </w:rPr>
              <w:t>/</w:t>
            </w:r>
          </w:p>
        </w:tc>
        <w:tc>
          <w:tcPr>
            <w:tcW w:w="1400" w:type="dxa"/>
            <w:noWrap/>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w:t>
            </w:r>
            <w:r>
              <w:rPr>
                <w:rFonts w:ascii="仿宋" w:hAnsi="仿宋" w:eastAsia="仿宋" w:cs="仿宋"/>
                <w:bCs/>
                <w:szCs w:val="21"/>
              </w:rPr>
              <w:t>6.5</w:t>
            </w:r>
          </w:p>
        </w:tc>
        <w:tc>
          <w:tcPr>
            <w:tcW w:w="1215" w:type="dxa"/>
            <w:noWrap/>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w:t>
            </w:r>
          </w:p>
        </w:tc>
        <w:tc>
          <w:tcPr>
            <w:tcW w:w="1960" w:type="dxa"/>
            <w:gridSpan w:val="2"/>
            <w:noWrap/>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w:t>
            </w:r>
            <w:r>
              <w:rPr>
                <w:rFonts w:ascii="仿宋" w:hAnsi="仿宋" w:eastAsia="仿宋" w:cs="仿宋"/>
                <w:bCs/>
                <w:szCs w:val="21"/>
              </w:rPr>
              <w:t>6.5</w:t>
            </w:r>
          </w:p>
        </w:tc>
      </w:tr>
    </w:tbl>
    <w:p>
      <w:pPr>
        <w:spacing w:line="500" w:lineRule="exact"/>
        <w:rPr>
          <w:rFonts w:eastAsia="仿宋_GB2312"/>
          <w:b/>
          <w:sz w:val="24"/>
        </w:rPr>
      </w:pPr>
    </w:p>
    <w:p>
      <w:pPr>
        <w:spacing w:line="500" w:lineRule="exact"/>
        <w:rPr>
          <w:rFonts w:eastAsia="仿宋_GB2312"/>
          <w:b/>
          <w:sz w:val="24"/>
        </w:rPr>
      </w:pPr>
    </w:p>
    <w:p>
      <w:pPr>
        <w:spacing w:line="500" w:lineRule="exact"/>
        <w:jc w:val="center"/>
        <w:rPr>
          <w:rFonts w:eastAsia="仿宋_GB2312"/>
          <w:b/>
          <w:sz w:val="24"/>
        </w:rPr>
      </w:pPr>
      <w:r>
        <w:rPr>
          <w:rFonts w:eastAsia="仿宋_GB2312"/>
          <w:b/>
          <w:sz w:val="24"/>
        </w:rPr>
        <w:t>表</w:t>
      </w:r>
      <w:r>
        <w:rPr>
          <w:rFonts w:hint="eastAsia" w:eastAsia="仿宋_GB2312"/>
          <w:b/>
          <w:sz w:val="24"/>
        </w:rPr>
        <w:t>3.2</w:t>
      </w:r>
      <w:r>
        <w:rPr>
          <w:rFonts w:eastAsia="仿宋_GB2312"/>
          <w:b/>
          <w:sz w:val="24"/>
        </w:rPr>
        <w:t xml:space="preserve">-3 </w:t>
      </w:r>
      <w:r>
        <w:rPr>
          <w:rFonts w:hint="eastAsia" w:eastAsia="仿宋_GB2312"/>
          <w:b/>
          <w:sz w:val="24"/>
        </w:rPr>
        <w:t>全厂V</w:t>
      </w:r>
      <w:r>
        <w:rPr>
          <w:rFonts w:eastAsia="仿宋_GB2312"/>
          <w:b/>
          <w:sz w:val="24"/>
        </w:rPr>
        <w:t>OCs</w:t>
      </w:r>
      <w:r>
        <w:rPr>
          <w:rFonts w:hint="eastAsia" w:eastAsia="仿宋_GB2312"/>
          <w:b/>
          <w:sz w:val="24"/>
        </w:rPr>
        <w:t>（非甲烷总烃）</w:t>
      </w:r>
      <w:r>
        <w:rPr>
          <w:rFonts w:eastAsia="仿宋_GB2312"/>
          <w:b/>
          <w:sz w:val="24"/>
        </w:rPr>
        <w:t>平衡表</w:t>
      </w:r>
      <w:r>
        <w:rPr>
          <w:rFonts w:hint="eastAsia" w:eastAsia="仿宋_GB2312"/>
          <w:b/>
          <w:sz w:val="24"/>
        </w:rPr>
        <w:t xml:space="preserve">    </w:t>
      </w:r>
      <w:r>
        <w:rPr>
          <w:rFonts w:eastAsia="仿宋_GB2312"/>
          <w:b/>
          <w:sz w:val="24"/>
        </w:rPr>
        <w:t>单位：t/a</w:t>
      </w:r>
    </w:p>
    <w:tbl>
      <w:tblPr>
        <w:tblStyle w:val="87"/>
        <w:tblW w:w="105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68"/>
        <w:gridCol w:w="1232"/>
        <w:gridCol w:w="787"/>
        <w:gridCol w:w="1065"/>
        <w:gridCol w:w="804"/>
        <w:gridCol w:w="960"/>
        <w:gridCol w:w="791"/>
        <w:gridCol w:w="826"/>
        <w:gridCol w:w="983"/>
        <w:gridCol w:w="1002"/>
        <w:gridCol w:w="798"/>
        <w:gridCol w:w="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9" w:hRule="atLeast"/>
          <w:jc w:val="center"/>
        </w:trPr>
        <w:tc>
          <w:tcPr>
            <w:tcW w:w="1700" w:type="dxa"/>
            <w:gridSpan w:val="2"/>
            <w:vMerge w:val="restart"/>
            <w:vAlign w:val="center"/>
          </w:tcPr>
          <w:p>
            <w:pPr>
              <w:widowControl/>
              <w:jc w:val="center"/>
              <w:rPr>
                <w:rFonts w:ascii="仿宋" w:hAnsi="仿宋" w:eastAsia="仿宋" w:cs="仿宋"/>
                <w:bCs/>
                <w:szCs w:val="21"/>
              </w:rPr>
            </w:pPr>
            <w:r>
              <w:rPr>
                <w:rFonts w:hint="eastAsia" w:ascii="仿宋" w:hAnsi="仿宋" w:eastAsia="仿宋" w:cs="仿宋"/>
                <w:bCs/>
                <w:szCs w:val="21"/>
              </w:rPr>
              <w:t>来源</w:t>
            </w:r>
          </w:p>
        </w:tc>
        <w:tc>
          <w:tcPr>
            <w:tcW w:w="787" w:type="dxa"/>
            <w:vMerge w:val="restart"/>
            <w:vAlign w:val="center"/>
          </w:tcPr>
          <w:p>
            <w:pPr>
              <w:widowControl/>
              <w:jc w:val="center"/>
              <w:rPr>
                <w:rFonts w:ascii="仿宋" w:hAnsi="仿宋" w:eastAsia="仿宋" w:cs="仿宋"/>
                <w:bCs/>
                <w:szCs w:val="21"/>
              </w:rPr>
            </w:pPr>
            <w:r>
              <w:rPr>
                <w:rFonts w:hint="eastAsia" w:ascii="仿宋" w:hAnsi="仿宋" w:eastAsia="仿宋" w:cs="仿宋"/>
                <w:bCs/>
                <w:szCs w:val="21"/>
              </w:rPr>
              <w:t>用量</w:t>
            </w:r>
          </w:p>
        </w:tc>
        <w:tc>
          <w:tcPr>
            <w:tcW w:w="1869" w:type="dxa"/>
            <w:gridSpan w:val="2"/>
            <w:vMerge w:val="restart"/>
            <w:vAlign w:val="center"/>
          </w:tcPr>
          <w:p>
            <w:pPr>
              <w:widowControl/>
              <w:jc w:val="center"/>
              <w:rPr>
                <w:rFonts w:ascii="仿宋" w:hAnsi="仿宋" w:eastAsia="仿宋" w:cs="仿宋"/>
                <w:bCs/>
                <w:szCs w:val="21"/>
              </w:rPr>
            </w:pPr>
            <w:r>
              <w:rPr>
                <w:rFonts w:hint="eastAsia" w:ascii="仿宋" w:hAnsi="仿宋" w:eastAsia="仿宋" w:cs="仿宋"/>
                <w:bCs/>
                <w:szCs w:val="21"/>
              </w:rPr>
              <w:t>有机溶剂占比（%）</w:t>
            </w:r>
          </w:p>
        </w:tc>
        <w:tc>
          <w:tcPr>
            <w:tcW w:w="960" w:type="dxa"/>
            <w:vMerge w:val="restart"/>
            <w:vAlign w:val="center"/>
          </w:tcPr>
          <w:p>
            <w:pPr>
              <w:widowControl/>
              <w:jc w:val="center"/>
              <w:rPr>
                <w:rFonts w:ascii="仿宋" w:hAnsi="仿宋" w:eastAsia="仿宋" w:cs="仿宋"/>
                <w:bCs/>
                <w:szCs w:val="21"/>
              </w:rPr>
            </w:pPr>
            <w:r>
              <w:rPr>
                <w:rFonts w:hint="eastAsia" w:ascii="仿宋" w:hAnsi="仿宋" w:eastAsia="仿宋" w:cs="仿宋"/>
                <w:bCs/>
                <w:szCs w:val="21"/>
              </w:rPr>
              <w:t>含VOCs量</w:t>
            </w:r>
          </w:p>
        </w:tc>
        <w:tc>
          <w:tcPr>
            <w:tcW w:w="2600" w:type="dxa"/>
            <w:gridSpan w:val="3"/>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入方</w:t>
            </w:r>
          </w:p>
        </w:tc>
        <w:tc>
          <w:tcPr>
            <w:tcW w:w="2600" w:type="dxa"/>
            <w:gridSpan w:val="3"/>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出方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9" w:hRule="atLeast"/>
          <w:jc w:val="center"/>
        </w:trPr>
        <w:tc>
          <w:tcPr>
            <w:tcW w:w="1700" w:type="dxa"/>
            <w:gridSpan w:val="2"/>
            <w:vMerge w:val="continue"/>
            <w:vAlign w:val="center"/>
          </w:tcPr>
          <w:p>
            <w:pPr>
              <w:widowControl/>
              <w:jc w:val="center"/>
              <w:rPr>
                <w:rFonts w:ascii="仿宋" w:hAnsi="仿宋" w:eastAsia="仿宋" w:cs="仿宋"/>
                <w:bCs/>
                <w:szCs w:val="21"/>
              </w:rPr>
            </w:pPr>
          </w:p>
        </w:tc>
        <w:tc>
          <w:tcPr>
            <w:tcW w:w="787" w:type="dxa"/>
            <w:vMerge w:val="continue"/>
            <w:vAlign w:val="center"/>
          </w:tcPr>
          <w:p>
            <w:pPr>
              <w:widowControl/>
              <w:jc w:val="center"/>
              <w:rPr>
                <w:rFonts w:ascii="仿宋" w:hAnsi="仿宋" w:eastAsia="仿宋" w:cs="仿宋"/>
                <w:bCs/>
                <w:szCs w:val="21"/>
              </w:rPr>
            </w:pPr>
          </w:p>
        </w:tc>
        <w:tc>
          <w:tcPr>
            <w:tcW w:w="1869" w:type="dxa"/>
            <w:gridSpan w:val="2"/>
            <w:vMerge w:val="continue"/>
            <w:vAlign w:val="center"/>
          </w:tcPr>
          <w:p>
            <w:pPr>
              <w:widowControl/>
              <w:jc w:val="center"/>
              <w:rPr>
                <w:rFonts w:ascii="仿宋" w:hAnsi="仿宋" w:eastAsia="仿宋" w:cs="仿宋"/>
                <w:bCs/>
                <w:szCs w:val="21"/>
              </w:rPr>
            </w:pPr>
          </w:p>
        </w:tc>
        <w:tc>
          <w:tcPr>
            <w:tcW w:w="960" w:type="dxa"/>
            <w:vMerge w:val="continue"/>
            <w:vAlign w:val="center"/>
          </w:tcPr>
          <w:p>
            <w:pPr>
              <w:widowControl/>
              <w:jc w:val="center"/>
              <w:rPr>
                <w:rFonts w:ascii="仿宋" w:hAnsi="仿宋" w:eastAsia="仿宋" w:cs="仿宋"/>
                <w:bCs/>
                <w:szCs w:val="21"/>
              </w:rPr>
            </w:pPr>
          </w:p>
        </w:tc>
        <w:tc>
          <w:tcPr>
            <w:tcW w:w="791" w:type="dxa"/>
            <w:vAlign w:val="center"/>
          </w:tcPr>
          <w:p>
            <w:pPr>
              <w:widowControl/>
              <w:jc w:val="center"/>
              <w:rPr>
                <w:rFonts w:ascii="仿宋" w:hAnsi="仿宋" w:eastAsia="仿宋" w:cs="仿宋"/>
                <w:bCs/>
                <w:szCs w:val="21"/>
              </w:rPr>
            </w:pPr>
            <w:r>
              <w:rPr>
                <w:rFonts w:hint="eastAsia" w:ascii="仿宋" w:hAnsi="仿宋" w:eastAsia="仿宋" w:cs="仿宋"/>
                <w:bCs/>
                <w:szCs w:val="21"/>
              </w:rPr>
              <w:t>比例</w:t>
            </w:r>
          </w:p>
        </w:tc>
        <w:tc>
          <w:tcPr>
            <w:tcW w:w="826" w:type="dxa"/>
            <w:vAlign w:val="center"/>
          </w:tcPr>
          <w:p>
            <w:pPr>
              <w:widowControl/>
              <w:jc w:val="center"/>
              <w:rPr>
                <w:rFonts w:ascii="仿宋" w:hAnsi="仿宋" w:eastAsia="仿宋" w:cs="仿宋"/>
                <w:bCs/>
                <w:szCs w:val="21"/>
              </w:rPr>
            </w:pPr>
            <w:r>
              <w:rPr>
                <w:rFonts w:hint="eastAsia" w:ascii="仿宋" w:hAnsi="仿宋" w:eastAsia="仿宋" w:cs="仿宋"/>
                <w:bCs/>
                <w:szCs w:val="21"/>
              </w:rPr>
              <w:t>去向</w:t>
            </w:r>
          </w:p>
        </w:tc>
        <w:tc>
          <w:tcPr>
            <w:tcW w:w="983" w:type="dxa"/>
            <w:vAlign w:val="center"/>
          </w:tcPr>
          <w:p>
            <w:pPr>
              <w:widowControl/>
              <w:jc w:val="center"/>
              <w:rPr>
                <w:rFonts w:ascii="仿宋" w:hAnsi="仿宋" w:eastAsia="仿宋" w:cs="仿宋"/>
                <w:bCs/>
                <w:szCs w:val="21"/>
              </w:rPr>
            </w:pPr>
            <w:r>
              <w:rPr>
                <w:rFonts w:hint="eastAsia" w:ascii="仿宋" w:hAnsi="仿宋" w:eastAsia="仿宋" w:cs="仿宋"/>
                <w:bCs/>
                <w:szCs w:val="21"/>
              </w:rPr>
              <w:t>含VOCs量</w:t>
            </w:r>
          </w:p>
        </w:tc>
        <w:tc>
          <w:tcPr>
            <w:tcW w:w="1002" w:type="dxa"/>
            <w:vAlign w:val="center"/>
          </w:tcPr>
          <w:p>
            <w:pPr>
              <w:widowControl/>
              <w:jc w:val="center"/>
              <w:rPr>
                <w:rFonts w:ascii="仿宋" w:hAnsi="仿宋" w:eastAsia="仿宋" w:cs="仿宋"/>
                <w:bCs/>
                <w:szCs w:val="21"/>
              </w:rPr>
            </w:pPr>
            <w:r>
              <w:rPr>
                <w:rFonts w:hint="eastAsia" w:ascii="仿宋" w:hAnsi="仿宋" w:eastAsia="仿宋" w:cs="仿宋"/>
                <w:bCs/>
                <w:szCs w:val="21"/>
              </w:rPr>
              <w:t>去向</w:t>
            </w:r>
          </w:p>
        </w:tc>
        <w:tc>
          <w:tcPr>
            <w:tcW w:w="1598" w:type="dxa"/>
            <w:gridSpan w:val="2"/>
            <w:vAlign w:val="center"/>
          </w:tcPr>
          <w:p>
            <w:pPr>
              <w:widowControl/>
              <w:jc w:val="center"/>
              <w:rPr>
                <w:rFonts w:ascii="仿宋" w:hAnsi="仿宋" w:eastAsia="仿宋" w:cs="仿宋"/>
                <w:bCs/>
                <w:szCs w:val="21"/>
              </w:rPr>
            </w:pPr>
            <w:r>
              <w:rPr>
                <w:rFonts w:hint="eastAsia" w:ascii="仿宋" w:hAnsi="仿宋" w:eastAsia="仿宋" w:cs="仿宋"/>
                <w:bCs/>
                <w:szCs w:val="21"/>
              </w:rPr>
              <w:t>含VOCs量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96" w:hRule="atLeast"/>
          <w:jc w:val="center"/>
        </w:trPr>
        <w:tc>
          <w:tcPr>
            <w:tcW w:w="468" w:type="dxa"/>
            <w:vMerge w:val="restart"/>
            <w:tcMar>
              <w:left w:w="0" w:type="dxa"/>
              <w:right w:w="0" w:type="dxa"/>
            </w:tcMar>
            <w:vAlign w:val="center"/>
          </w:tcPr>
          <w:p>
            <w:pPr>
              <w:jc w:val="center"/>
              <w:rPr>
                <w:rFonts w:ascii="华文仿宋" w:hAnsi="华文仿宋" w:eastAsia="华文仿宋" w:cs="华文仿宋"/>
                <w:szCs w:val="21"/>
              </w:rPr>
            </w:pPr>
            <w:r>
              <w:rPr>
                <w:rFonts w:hint="eastAsia" w:ascii="仿宋" w:hAnsi="仿宋" w:eastAsia="仿宋" w:cs="仿宋"/>
                <w:bCs/>
                <w:szCs w:val="21"/>
              </w:rPr>
              <w:t>涂布</w:t>
            </w:r>
            <w:r>
              <w:rPr>
                <w:rFonts w:ascii="仿宋" w:hAnsi="仿宋" w:eastAsia="仿宋" w:cs="仿宋"/>
                <w:bCs/>
                <w:szCs w:val="21"/>
              </w:rPr>
              <w:t>线</w:t>
            </w:r>
          </w:p>
        </w:tc>
        <w:tc>
          <w:tcPr>
            <w:tcW w:w="1232" w:type="dxa"/>
            <w:vMerge w:val="restart"/>
            <w:tcMar>
              <w:left w:w="0" w:type="dxa"/>
              <w:right w:w="0" w:type="dxa"/>
            </w:tcMar>
            <w:vAlign w:val="center"/>
          </w:tcPr>
          <w:p>
            <w:pPr>
              <w:widowControl/>
              <w:jc w:val="center"/>
              <w:rPr>
                <w:rFonts w:ascii="仿宋" w:hAnsi="仿宋" w:eastAsia="仿宋" w:cs="仿宋"/>
                <w:bCs/>
                <w:szCs w:val="21"/>
              </w:rPr>
            </w:pPr>
            <w:r>
              <w:rPr>
                <w:rFonts w:hint="eastAsia" w:ascii="仿宋" w:hAnsi="仿宋" w:eastAsia="仿宋" w:cs="仿宋"/>
                <w:bCs/>
                <w:szCs w:val="21"/>
              </w:rPr>
              <w:t>原料胶粘剂</w:t>
            </w:r>
          </w:p>
        </w:tc>
        <w:tc>
          <w:tcPr>
            <w:tcW w:w="787" w:type="dxa"/>
            <w:vMerge w:val="restart"/>
            <w:vAlign w:val="center"/>
          </w:tcPr>
          <w:p>
            <w:pPr>
              <w:jc w:val="center"/>
              <w:rPr>
                <w:rFonts w:ascii="仿宋" w:hAnsi="仿宋" w:eastAsia="仿宋" w:cs="仿宋"/>
                <w:bCs/>
                <w:szCs w:val="21"/>
              </w:rPr>
            </w:pPr>
            <w:r>
              <w:rPr>
                <w:rFonts w:hint="eastAsia" w:ascii="仿宋" w:hAnsi="仿宋" w:eastAsia="仿宋" w:cs="仿宋"/>
                <w:bCs/>
                <w:szCs w:val="21"/>
              </w:rPr>
              <w:t>7</w:t>
            </w:r>
            <w:r>
              <w:rPr>
                <w:rFonts w:ascii="仿宋" w:hAnsi="仿宋" w:eastAsia="仿宋" w:cs="仿宋"/>
                <w:bCs/>
                <w:szCs w:val="21"/>
              </w:rPr>
              <w:t>37.5</w:t>
            </w:r>
          </w:p>
        </w:tc>
        <w:tc>
          <w:tcPr>
            <w:tcW w:w="1065" w:type="dxa"/>
            <w:vAlign w:val="center"/>
          </w:tcPr>
          <w:p>
            <w:pPr>
              <w:widowControl/>
              <w:jc w:val="center"/>
              <w:rPr>
                <w:rFonts w:ascii="仿宋" w:hAnsi="仿宋" w:eastAsia="仿宋" w:cs="仿宋"/>
                <w:bCs/>
                <w:szCs w:val="21"/>
              </w:rPr>
            </w:pPr>
            <w:r>
              <w:rPr>
                <w:rFonts w:hint="eastAsia" w:ascii="仿宋" w:hAnsi="仿宋" w:eastAsia="仿宋" w:cs="仿宋"/>
                <w:bCs/>
                <w:szCs w:val="21"/>
              </w:rPr>
              <w:t>乙酸乙酯</w:t>
            </w:r>
          </w:p>
        </w:tc>
        <w:tc>
          <w:tcPr>
            <w:tcW w:w="804" w:type="dxa"/>
            <w:vAlign w:val="center"/>
          </w:tcPr>
          <w:p>
            <w:pPr>
              <w:pStyle w:val="275"/>
              <w:snapToGrid w:val="0"/>
              <w:spacing w:line="240" w:lineRule="auto"/>
              <w:rPr>
                <w:rFonts w:ascii="仿宋" w:hAnsi="仿宋" w:eastAsia="仿宋" w:cs="仿宋"/>
                <w:bCs/>
                <w:szCs w:val="21"/>
              </w:rPr>
            </w:pPr>
            <w:r>
              <w:rPr>
                <w:rFonts w:hint="eastAsia" w:ascii="仿宋" w:hAnsi="仿宋" w:eastAsia="仿宋" w:cs="仿宋"/>
                <w:bCs/>
                <w:szCs w:val="21"/>
              </w:rPr>
              <w:t>44.8</w:t>
            </w:r>
          </w:p>
        </w:tc>
        <w:tc>
          <w:tcPr>
            <w:tcW w:w="960" w:type="dxa"/>
            <w:vAlign w:val="center"/>
          </w:tcPr>
          <w:p>
            <w:pPr>
              <w:pStyle w:val="275"/>
              <w:snapToGrid w:val="0"/>
              <w:spacing w:line="240" w:lineRule="auto"/>
              <w:rPr>
                <w:rFonts w:ascii="华文仿宋" w:hAnsi="华文仿宋" w:eastAsia="华文仿宋" w:cs="华文仿宋"/>
                <w:szCs w:val="21"/>
              </w:rPr>
            </w:pPr>
            <w:r>
              <w:rPr>
                <w:rFonts w:hint="eastAsia" w:ascii="仿宋" w:hAnsi="仿宋" w:eastAsia="仿宋" w:cs="仿宋"/>
                <w:bCs/>
                <w:szCs w:val="21"/>
              </w:rPr>
              <w:t>3</w:t>
            </w:r>
            <w:r>
              <w:rPr>
                <w:rFonts w:ascii="仿宋" w:hAnsi="仿宋" w:eastAsia="仿宋" w:cs="仿宋"/>
                <w:bCs/>
                <w:szCs w:val="21"/>
              </w:rPr>
              <w:t>30.4</w:t>
            </w:r>
          </w:p>
        </w:tc>
        <w:tc>
          <w:tcPr>
            <w:tcW w:w="791" w:type="dxa"/>
            <w:vMerge w:val="restar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0.3</w:t>
            </w:r>
          </w:p>
        </w:tc>
        <w:tc>
          <w:tcPr>
            <w:tcW w:w="826" w:type="dxa"/>
            <w:vMerge w:val="restar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配胶</w:t>
            </w:r>
            <w:r>
              <w:rPr>
                <w:rFonts w:ascii="仿宋" w:hAnsi="仿宋" w:eastAsia="仿宋" w:cs="仿宋"/>
                <w:bCs/>
                <w:szCs w:val="21"/>
              </w:rPr>
              <w:t>废气</w:t>
            </w:r>
          </w:p>
        </w:tc>
        <w:tc>
          <w:tcPr>
            <w:tcW w:w="983" w:type="dxa"/>
            <w:vMerge w:val="restart"/>
            <w:vAlign w:val="center"/>
          </w:tcPr>
          <w:p>
            <w:pPr>
              <w:jc w:val="center"/>
              <w:rPr>
                <w:rFonts w:ascii="仿宋" w:hAnsi="仿宋" w:eastAsia="仿宋" w:cs="仿宋"/>
                <w:bCs/>
                <w:szCs w:val="21"/>
              </w:rPr>
            </w:pPr>
            <w:r>
              <w:rPr>
                <w:rFonts w:hint="eastAsia" w:ascii="仿宋" w:hAnsi="仿宋" w:eastAsia="仿宋" w:cs="仿宋"/>
                <w:bCs/>
                <w:szCs w:val="21"/>
              </w:rPr>
              <w:t>114.26</w:t>
            </w:r>
          </w:p>
        </w:tc>
        <w:tc>
          <w:tcPr>
            <w:tcW w:w="1002" w:type="dxa"/>
            <w:vMerge w:val="restart"/>
            <w:vAlign w:val="center"/>
          </w:tcPr>
          <w:p>
            <w:pPr>
              <w:jc w:val="center"/>
              <w:rPr>
                <w:rFonts w:ascii="仿宋" w:hAnsi="仿宋" w:eastAsia="仿宋" w:cs="仿宋"/>
                <w:bCs/>
                <w:szCs w:val="21"/>
              </w:rPr>
            </w:pPr>
            <w:r>
              <w:rPr>
                <w:rFonts w:hint="eastAsia" w:ascii="仿宋" w:hAnsi="仿宋" w:eastAsia="仿宋" w:cs="仿宋"/>
                <w:bCs/>
                <w:szCs w:val="21"/>
              </w:rPr>
              <w:t>大气环境</w:t>
            </w:r>
          </w:p>
        </w:tc>
        <w:tc>
          <w:tcPr>
            <w:tcW w:w="798"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有组织废气</w:t>
            </w:r>
          </w:p>
        </w:tc>
        <w:tc>
          <w:tcPr>
            <w:tcW w:w="800"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w:t>
            </w:r>
            <w:r>
              <w:rPr>
                <w:rFonts w:ascii="仿宋" w:hAnsi="仿宋" w:eastAsia="仿宋" w:cs="仿宋"/>
                <w:bCs/>
                <w:szCs w:val="21"/>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96" w:hRule="atLeast"/>
          <w:jc w:val="center"/>
        </w:trPr>
        <w:tc>
          <w:tcPr>
            <w:tcW w:w="468" w:type="dxa"/>
            <w:vMerge w:val="continue"/>
            <w:tcMar>
              <w:left w:w="0" w:type="dxa"/>
              <w:right w:w="0" w:type="dxa"/>
            </w:tcMar>
            <w:vAlign w:val="center"/>
          </w:tcPr>
          <w:p>
            <w:pPr>
              <w:jc w:val="center"/>
              <w:rPr>
                <w:rFonts w:ascii="华文仿宋" w:hAnsi="华文仿宋" w:eastAsia="华文仿宋" w:cs="华文仿宋"/>
                <w:szCs w:val="21"/>
              </w:rPr>
            </w:pPr>
          </w:p>
        </w:tc>
        <w:tc>
          <w:tcPr>
            <w:tcW w:w="1232" w:type="dxa"/>
            <w:vMerge w:val="continue"/>
            <w:tcMar>
              <w:left w:w="0" w:type="dxa"/>
              <w:right w:w="0" w:type="dxa"/>
            </w:tcMar>
            <w:vAlign w:val="center"/>
          </w:tcPr>
          <w:p>
            <w:pPr>
              <w:widowControl/>
              <w:jc w:val="center"/>
              <w:rPr>
                <w:rFonts w:ascii="仿宋" w:hAnsi="仿宋" w:eastAsia="仿宋" w:cs="仿宋"/>
                <w:bCs/>
                <w:szCs w:val="21"/>
              </w:rPr>
            </w:pPr>
          </w:p>
        </w:tc>
        <w:tc>
          <w:tcPr>
            <w:tcW w:w="787" w:type="dxa"/>
            <w:vMerge w:val="continue"/>
            <w:vAlign w:val="center"/>
          </w:tcPr>
          <w:p>
            <w:pPr>
              <w:jc w:val="center"/>
              <w:rPr>
                <w:rFonts w:ascii="仿宋" w:hAnsi="仿宋" w:eastAsia="仿宋" w:cs="仿宋"/>
                <w:bCs/>
                <w:szCs w:val="21"/>
              </w:rPr>
            </w:pPr>
          </w:p>
        </w:tc>
        <w:tc>
          <w:tcPr>
            <w:tcW w:w="1065" w:type="dxa"/>
            <w:vAlign w:val="center"/>
          </w:tcPr>
          <w:p>
            <w:pPr>
              <w:widowControl/>
              <w:jc w:val="center"/>
              <w:rPr>
                <w:rFonts w:ascii="仿宋" w:hAnsi="仿宋" w:eastAsia="仿宋" w:cs="仿宋"/>
                <w:bCs/>
                <w:szCs w:val="21"/>
              </w:rPr>
            </w:pPr>
            <w:r>
              <w:rPr>
                <w:rFonts w:hint="eastAsia" w:ascii="仿宋" w:hAnsi="仿宋" w:eastAsia="仿宋" w:cs="仿宋"/>
                <w:bCs/>
                <w:szCs w:val="21"/>
              </w:rPr>
              <w:t>二甲苯</w:t>
            </w:r>
          </w:p>
        </w:tc>
        <w:tc>
          <w:tcPr>
            <w:tcW w:w="804" w:type="dxa"/>
            <w:vAlign w:val="center"/>
          </w:tcPr>
          <w:p>
            <w:pPr>
              <w:pStyle w:val="275"/>
              <w:snapToGrid w:val="0"/>
              <w:spacing w:line="240" w:lineRule="auto"/>
              <w:rPr>
                <w:rFonts w:ascii="仿宋" w:hAnsi="仿宋" w:eastAsia="仿宋" w:cs="仿宋"/>
                <w:bCs/>
                <w:szCs w:val="21"/>
              </w:rPr>
            </w:pPr>
            <w:r>
              <w:rPr>
                <w:rFonts w:hint="eastAsia" w:ascii="仿宋" w:hAnsi="仿宋" w:eastAsia="仿宋" w:cs="仿宋"/>
                <w:bCs/>
                <w:szCs w:val="21"/>
              </w:rPr>
              <w:t>4.95</w:t>
            </w:r>
          </w:p>
        </w:tc>
        <w:tc>
          <w:tcPr>
            <w:tcW w:w="960" w:type="dxa"/>
            <w:vAlign w:val="center"/>
          </w:tcPr>
          <w:p>
            <w:pPr>
              <w:pStyle w:val="275"/>
              <w:snapToGrid w:val="0"/>
              <w:spacing w:line="240" w:lineRule="auto"/>
              <w:rPr>
                <w:rFonts w:ascii="仿宋" w:hAnsi="仿宋" w:eastAsia="仿宋" w:cs="仿宋"/>
                <w:bCs/>
                <w:szCs w:val="21"/>
              </w:rPr>
            </w:pPr>
            <w:r>
              <w:rPr>
                <w:rFonts w:hint="eastAsia" w:ascii="仿宋" w:hAnsi="仿宋" w:eastAsia="仿宋" w:cs="仿宋"/>
                <w:bCs/>
                <w:szCs w:val="21"/>
              </w:rPr>
              <w:t>3</w:t>
            </w:r>
            <w:r>
              <w:rPr>
                <w:rFonts w:ascii="仿宋" w:hAnsi="仿宋" w:eastAsia="仿宋" w:cs="仿宋"/>
                <w:bCs/>
                <w:szCs w:val="21"/>
              </w:rPr>
              <w:t>6.5</w:t>
            </w:r>
          </w:p>
        </w:tc>
        <w:tc>
          <w:tcPr>
            <w:tcW w:w="791" w:type="dxa"/>
            <w:vMerge w:val="continue"/>
            <w:vAlign w:val="center"/>
          </w:tcPr>
          <w:p>
            <w:pPr>
              <w:jc w:val="center"/>
              <w:rPr>
                <w:rFonts w:ascii="华文仿宋" w:hAnsi="华文仿宋" w:eastAsia="华文仿宋" w:cs="华文仿宋"/>
                <w:szCs w:val="21"/>
              </w:rPr>
            </w:pPr>
          </w:p>
        </w:tc>
        <w:tc>
          <w:tcPr>
            <w:tcW w:w="826" w:type="dxa"/>
            <w:vMerge w:val="continue"/>
            <w:vAlign w:val="center"/>
          </w:tcPr>
          <w:p>
            <w:pPr>
              <w:jc w:val="center"/>
              <w:rPr>
                <w:rFonts w:ascii="华文仿宋" w:hAnsi="华文仿宋" w:eastAsia="华文仿宋" w:cs="华文仿宋"/>
                <w:szCs w:val="21"/>
              </w:rPr>
            </w:pPr>
          </w:p>
        </w:tc>
        <w:tc>
          <w:tcPr>
            <w:tcW w:w="983" w:type="dxa"/>
            <w:vMerge w:val="continue"/>
            <w:vAlign w:val="center"/>
          </w:tcPr>
          <w:p>
            <w:pPr>
              <w:jc w:val="center"/>
              <w:rPr>
                <w:rFonts w:ascii="华文仿宋" w:hAnsi="华文仿宋" w:eastAsia="华文仿宋" w:cs="华文仿宋"/>
                <w:szCs w:val="21"/>
              </w:rPr>
            </w:pPr>
          </w:p>
        </w:tc>
        <w:tc>
          <w:tcPr>
            <w:tcW w:w="1002" w:type="dxa"/>
            <w:vMerge w:val="continue"/>
            <w:vAlign w:val="center"/>
          </w:tcPr>
          <w:p>
            <w:pPr>
              <w:jc w:val="center"/>
              <w:rPr>
                <w:rFonts w:ascii="华文仿宋" w:hAnsi="华文仿宋" w:eastAsia="华文仿宋" w:cs="华文仿宋"/>
                <w:szCs w:val="21"/>
              </w:rPr>
            </w:pPr>
          </w:p>
        </w:tc>
        <w:tc>
          <w:tcPr>
            <w:tcW w:w="798" w:type="dxa"/>
            <w:vAlign w:val="center"/>
          </w:tcPr>
          <w:p>
            <w:pPr>
              <w:spacing w:line="240" w:lineRule="exact"/>
              <w:jc w:val="center"/>
              <w:rPr>
                <w:rFonts w:ascii="华文仿宋" w:hAnsi="华文仿宋" w:eastAsia="华文仿宋" w:cs="华文仿宋"/>
                <w:szCs w:val="21"/>
              </w:rPr>
            </w:pPr>
            <w:r>
              <w:rPr>
                <w:rFonts w:hint="eastAsia" w:ascii="仿宋" w:hAnsi="仿宋" w:eastAsia="仿宋" w:cs="仿宋"/>
                <w:bCs/>
                <w:szCs w:val="21"/>
              </w:rPr>
              <w:t>无组织废气</w:t>
            </w:r>
          </w:p>
        </w:tc>
        <w:tc>
          <w:tcPr>
            <w:tcW w:w="800"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w:t>
            </w:r>
            <w:r>
              <w:rPr>
                <w:rFonts w:ascii="仿宋" w:hAnsi="仿宋" w:eastAsia="仿宋" w:cs="仿宋"/>
                <w:bCs/>
                <w:szCs w:val="21"/>
              </w:rPr>
              <w:t>.91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10" w:hRule="atLeast"/>
          <w:jc w:val="center"/>
        </w:trPr>
        <w:tc>
          <w:tcPr>
            <w:tcW w:w="468" w:type="dxa"/>
            <w:vMerge w:val="continue"/>
            <w:tcMar>
              <w:left w:w="0" w:type="dxa"/>
              <w:right w:w="0" w:type="dxa"/>
            </w:tcMar>
            <w:vAlign w:val="center"/>
          </w:tcPr>
          <w:p>
            <w:pPr>
              <w:jc w:val="center"/>
              <w:rPr>
                <w:rFonts w:ascii="华文仿宋" w:hAnsi="华文仿宋" w:eastAsia="华文仿宋" w:cs="华文仿宋"/>
                <w:szCs w:val="21"/>
              </w:rPr>
            </w:pPr>
          </w:p>
        </w:tc>
        <w:tc>
          <w:tcPr>
            <w:tcW w:w="1232" w:type="dxa"/>
            <w:tcMar>
              <w:left w:w="0" w:type="dxa"/>
              <w:right w:w="0" w:type="dxa"/>
            </w:tcMar>
            <w:vAlign w:val="center"/>
          </w:tcPr>
          <w:p>
            <w:pPr>
              <w:widowControl/>
              <w:jc w:val="center"/>
              <w:rPr>
                <w:rFonts w:ascii="仿宋" w:hAnsi="仿宋" w:eastAsia="仿宋" w:cs="仿宋"/>
                <w:bCs/>
                <w:szCs w:val="21"/>
              </w:rPr>
            </w:pPr>
            <w:r>
              <w:rPr>
                <w:rFonts w:hint="eastAsia" w:ascii="仿宋" w:hAnsi="仿宋" w:eastAsia="仿宋" w:cs="仿宋"/>
                <w:bCs/>
                <w:szCs w:val="21"/>
              </w:rPr>
              <w:t>固化剂</w:t>
            </w:r>
          </w:p>
        </w:tc>
        <w:tc>
          <w:tcPr>
            <w:tcW w:w="787" w:type="dxa"/>
            <w:vAlign w:val="center"/>
          </w:tcPr>
          <w:p>
            <w:pPr>
              <w:jc w:val="center"/>
              <w:rPr>
                <w:rFonts w:ascii="仿宋" w:hAnsi="仿宋" w:eastAsia="仿宋" w:cs="仿宋"/>
                <w:bCs/>
                <w:szCs w:val="21"/>
              </w:rPr>
            </w:pPr>
            <w:r>
              <w:rPr>
                <w:rFonts w:hint="eastAsia" w:ascii="仿宋" w:hAnsi="仿宋" w:eastAsia="仿宋" w:cs="仿宋"/>
                <w:bCs/>
                <w:szCs w:val="21"/>
              </w:rPr>
              <w:t>1</w:t>
            </w:r>
            <w:r>
              <w:rPr>
                <w:rFonts w:ascii="仿宋" w:hAnsi="仿宋" w:eastAsia="仿宋" w:cs="仿宋"/>
                <w:bCs/>
                <w:szCs w:val="21"/>
              </w:rPr>
              <w:t>4.722</w:t>
            </w:r>
          </w:p>
        </w:tc>
        <w:tc>
          <w:tcPr>
            <w:tcW w:w="1065" w:type="dxa"/>
            <w:vAlign w:val="center"/>
          </w:tcPr>
          <w:p>
            <w:pPr>
              <w:widowControl/>
              <w:jc w:val="center"/>
              <w:rPr>
                <w:rFonts w:ascii="仿宋" w:hAnsi="仿宋" w:eastAsia="仿宋" w:cs="仿宋"/>
                <w:bCs/>
                <w:szCs w:val="21"/>
              </w:rPr>
            </w:pPr>
            <w:r>
              <w:rPr>
                <w:rFonts w:hint="eastAsia" w:ascii="仿宋" w:hAnsi="仿宋" w:eastAsia="仿宋" w:cs="仿宋"/>
                <w:bCs/>
                <w:szCs w:val="21"/>
              </w:rPr>
              <w:t>乙醇</w:t>
            </w:r>
          </w:p>
        </w:tc>
        <w:tc>
          <w:tcPr>
            <w:tcW w:w="804" w:type="dxa"/>
            <w:vAlign w:val="center"/>
          </w:tcPr>
          <w:p>
            <w:pPr>
              <w:pStyle w:val="275"/>
              <w:snapToGrid w:val="0"/>
              <w:spacing w:line="240" w:lineRule="auto"/>
              <w:rPr>
                <w:rFonts w:ascii="仿宋" w:hAnsi="仿宋" w:eastAsia="仿宋" w:cs="仿宋"/>
                <w:bCs/>
                <w:szCs w:val="21"/>
              </w:rPr>
            </w:pPr>
            <w:r>
              <w:rPr>
                <w:rFonts w:hint="eastAsia" w:ascii="仿宋" w:hAnsi="仿宋" w:eastAsia="仿宋" w:cs="仿宋"/>
                <w:bCs/>
                <w:szCs w:val="21"/>
              </w:rPr>
              <w:t>95</w:t>
            </w:r>
          </w:p>
        </w:tc>
        <w:tc>
          <w:tcPr>
            <w:tcW w:w="960" w:type="dxa"/>
            <w:vAlign w:val="center"/>
          </w:tcPr>
          <w:p>
            <w:pPr>
              <w:pStyle w:val="275"/>
              <w:snapToGrid w:val="0"/>
              <w:spacing w:line="240" w:lineRule="auto"/>
              <w:rPr>
                <w:rFonts w:ascii="仿宋" w:hAnsi="仿宋" w:eastAsia="仿宋" w:cs="仿宋"/>
                <w:bCs/>
                <w:szCs w:val="21"/>
              </w:rPr>
            </w:pPr>
            <w:r>
              <w:rPr>
                <w:rFonts w:hint="eastAsia" w:ascii="仿宋" w:hAnsi="仿宋" w:eastAsia="仿宋" w:cs="仿宋"/>
                <w:bCs/>
                <w:szCs w:val="21"/>
              </w:rPr>
              <w:t>1</w:t>
            </w:r>
            <w:r>
              <w:rPr>
                <w:rFonts w:ascii="仿宋" w:hAnsi="仿宋" w:eastAsia="仿宋" w:cs="仿宋"/>
                <w:bCs/>
                <w:szCs w:val="21"/>
              </w:rPr>
              <w:t>3.98</w:t>
            </w:r>
          </w:p>
        </w:tc>
        <w:tc>
          <w:tcPr>
            <w:tcW w:w="791"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0.7</w:t>
            </w:r>
          </w:p>
        </w:tc>
        <w:tc>
          <w:tcPr>
            <w:tcW w:w="826"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涂布</w:t>
            </w:r>
            <w:r>
              <w:rPr>
                <w:rFonts w:ascii="仿宋" w:hAnsi="仿宋" w:eastAsia="仿宋" w:cs="仿宋"/>
                <w:bCs/>
                <w:szCs w:val="21"/>
              </w:rPr>
              <w:t>干燥废气</w:t>
            </w:r>
          </w:p>
        </w:tc>
        <w:tc>
          <w:tcPr>
            <w:tcW w:w="983" w:type="dxa"/>
            <w:vAlign w:val="center"/>
          </w:tcPr>
          <w:p>
            <w:pPr>
              <w:jc w:val="center"/>
              <w:rPr>
                <w:rFonts w:ascii="仿宋" w:hAnsi="仿宋" w:eastAsia="仿宋" w:cs="仿宋"/>
                <w:bCs/>
                <w:szCs w:val="21"/>
              </w:rPr>
            </w:pPr>
            <w:r>
              <w:rPr>
                <w:rFonts w:hint="eastAsia" w:ascii="仿宋" w:hAnsi="仿宋" w:eastAsia="仿宋" w:cs="仿宋"/>
                <w:bCs/>
                <w:szCs w:val="21"/>
              </w:rPr>
              <w:t>266.62</w:t>
            </w:r>
          </w:p>
        </w:tc>
        <w:tc>
          <w:tcPr>
            <w:tcW w:w="1002" w:type="dxa"/>
            <w:vMerge w:val="restar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废气处理设备</w:t>
            </w:r>
          </w:p>
        </w:tc>
        <w:tc>
          <w:tcPr>
            <w:tcW w:w="798" w:type="dxa"/>
            <w:vMerge w:val="restar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RTO去除</w:t>
            </w:r>
          </w:p>
        </w:tc>
        <w:tc>
          <w:tcPr>
            <w:tcW w:w="800" w:type="dxa"/>
            <w:vMerge w:val="restart"/>
            <w:vAlign w:val="center"/>
          </w:tcPr>
          <w:p>
            <w:pPr>
              <w:jc w:val="center"/>
              <w:rPr>
                <w:rFonts w:ascii="仿宋" w:hAnsi="仿宋" w:eastAsia="仿宋" w:cs="仿宋"/>
                <w:bCs/>
                <w:szCs w:val="21"/>
              </w:rPr>
            </w:pPr>
            <w:r>
              <w:rPr>
                <w:rFonts w:hint="eastAsia" w:ascii="仿宋" w:hAnsi="仿宋" w:eastAsia="仿宋" w:cs="仿宋"/>
                <w:bCs/>
                <w:szCs w:val="21"/>
              </w:rPr>
              <w:t>3</w:t>
            </w:r>
            <w:r>
              <w:rPr>
                <w:rFonts w:ascii="仿宋" w:hAnsi="仿宋" w:eastAsia="仿宋" w:cs="仿宋"/>
                <w:bCs/>
                <w:szCs w:val="21"/>
              </w:rPr>
              <w:t>77.27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03" w:hRule="atLeast"/>
          <w:jc w:val="center"/>
        </w:trPr>
        <w:tc>
          <w:tcPr>
            <w:tcW w:w="468" w:type="dxa"/>
            <w:vMerge w:val="continue"/>
            <w:tcMar>
              <w:left w:w="0" w:type="dxa"/>
              <w:right w:w="0" w:type="dxa"/>
            </w:tcMar>
            <w:vAlign w:val="center"/>
          </w:tcPr>
          <w:p>
            <w:pPr>
              <w:jc w:val="center"/>
              <w:rPr>
                <w:rFonts w:ascii="华文仿宋" w:hAnsi="华文仿宋" w:eastAsia="华文仿宋" w:cs="华文仿宋"/>
                <w:szCs w:val="21"/>
              </w:rPr>
            </w:pPr>
          </w:p>
        </w:tc>
        <w:tc>
          <w:tcPr>
            <w:tcW w:w="1232" w:type="dxa"/>
            <w:vMerge w:val="restart"/>
            <w:tcMar>
              <w:left w:w="0" w:type="dxa"/>
              <w:right w:w="0" w:type="dxa"/>
            </w:tcMar>
            <w:vAlign w:val="center"/>
          </w:tcPr>
          <w:p>
            <w:pPr>
              <w:widowControl/>
              <w:jc w:val="center"/>
              <w:rPr>
                <w:rFonts w:ascii="仿宋" w:hAnsi="仿宋" w:eastAsia="仿宋" w:cs="仿宋"/>
                <w:bCs/>
                <w:szCs w:val="21"/>
              </w:rPr>
            </w:pPr>
            <w:r>
              <w:rPr>
                <w:rFonts w:hint="eastAsia" w:ascii="仿宋" w:hAnsi="仿宋" w:eastAsia="仿宋" w:cs="仿宋"/>
                <w:bCs/>
                <w:szCs w:val="21"/>
              </w:rPr>
              <w:t>清洗剂（乙酸乙酯）</w:t>
            </w:r>
          </w:p>
        </w:tc>
        <w:tc>
          <w:tcPr>
            <w:tcW w:w="787" w:type="dxa"/>
            <w:vMerge w:val="restart"/>
            <w:vAlign w:val="center"/>
          </w:tcPr>
          <w:p>
            <w:pPr>
              <w:jc w:val="center"/>
              <w:rPr>
                <w:rFonts w:ascii="仿宋" w:hAnsi="仿宋" w:eastAsia="仿宋" w:cs="仿宋"/>
                <w:bCs/>
                <w:szCs w:val="21"/>
              </w:rPr>
            </w:pPr>
            <w:r>
              <w:rPr>
                <w:rFonts w:hint="eastAsia" w:ascii="仿宋" w:hAnsi="仿宋" w:eastAsia="仿宋" w:cs="仿宋"/>
                <w:bCs/>
                <w:szCs w:val="21"/>
              </w:rPr>
              <w:t>3.79</w:t>
            </w:r>
          </w:p>
        </w:tc>
        <w:tc>
          <w:tcPr>
            <w:tcW w:w="1065" w:type="dxa"/>
            <w:vMerge w:val="restart"/>
            <w:vAlign w:val="center"/>
          </w:tcPr>
          <w:p>
            <w:pPr>
              <w:widowControl/>
              <w:jc w:val="center"/>
              <w:rPr>
                <w:rFonts w:ascii="仿宋" w:hAnsi="仿宋" w:eastAsia="仿宋" w:cs="仿宋"/>
                <w:bCs/>
                <w:szCs w:val="21"/>
              </w:rPr>
            </w:pPr>
            <w:r>
              <w:rPr>
                <w:rFonts w:hint="eastAsia" w:ascii="仿宋" w:hAnsi="仿宋" w:eastAsia="仿宋" w:cs="仿宋"/>
                <w:bCs/>
                <w:szCs w:val="21"/>
              </w:rPr>
              <w:t>乙酸乙酯</w:t>
            </w:r>
          </w:p>
        </w:tc>
        <w:tc>
          <w:tcPr>
            <w:tcW w:w="804" w:type="dxa"/>
            <w:vAlign w:val="center"/>
          </w:tcPr>
          <w:p>
            <w:pPr>
              <w:pStyle w:val="275"/>
              <w:snapToGrid w:val="0"/>
              <w:spacing w:line="240" w:lineRule="auto"/>
              <w:rPr>
                <w:rFonts w:ascii="仿宋" w:hAnsi="仿宋" w:eastAsia="仿宋" w:cs="仿宋"/>
                <w:bCs/>
                <w:szCs w:val="21"/>
              </w:rPr>
            </w:pPr>
            <w:r>
              <w:rPr>
                <w:rFonts w:hint="eastAsia" w:ascii="仿宋" w:hAnsi="仿宋" w:eastAsia="仿宋" w:cs="仿宋"/>
                <w:bCs/>
                <w:szCs w:val="21"/>
              </w:rPr>
              <w:t>5</w:t>
            </w:r>
          </w:p>
        </w:tc>
        <w:tc>
          <w:tcPr>
            <w:tcW w:w="960" w:type="dxa"/>
            <w:vAlign w:val="center"/>
          </w:tcPr>
          <w:p>
            <w:pPr>
              <w:pStyle w:val="275"/>
              <w:snapToGrid w:val="0"/>
              <w:spacing w:line="240" w:lineRule="auto"/>
              <w:rPr>
                <w:rFonts w:ascii="仿宋" w:hAnsi="仿宋" w:eastAsia="仿宋" w:cs="仿宋"/>
                <w:bCs/>
                <w:szCs w:val="21"/>
              </w:rPr>
            </w:pPr>
            <w:r>
              <w:rPr>
                <w:rFonts w:hint="eastAsia" w:ascii="仿宋" w:hAnsi="仿宋" w:eastAsia="仿宋" w:cs="仿宋"/>
                <w:bCs/>
                <w:szCs w:val="21"/>
              </w:rPr>
              <w:t>0.19</w:t>
            </w:r>
          </w:p>
        </w:tc>
        <w:tc>
          <w:tcPr>
            <w:tcW w:w="791"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w:t>
            </w:r>
          </w:p>
        </w:tc>
        <w:tc>
          <w:tcPr>
            <w:tcW w:w="826"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清洗废气</w:t>
            </w:r>
          </w:p>
        </w:tc>
        <w:tc>
          <w:tcPr>
            <w:tcW w:w="983" w:type="dxa"/>
            <w:vAlign w:val="center"/>
          </w:tcPr>
          <w:p>
            <w:pPr>
              <w:jc w:val="center"/>
              <w:rPr>
                <w:rFonts w:ascii="仿宋" w:hAnsi="仿宋" w:eastAsia="仿宋" w:cs="仿宋"/>
                <w:bCs/>
                <w:szCs w:val="21"/>
              </w:rPr>
            </w:pPr>
            <w:r>
              <w:rPr>
                <w:rFonts w:hint="eastAsia" w:ascii="仿宋" w:hAnsi="仿宋" w:eastAsia="仿宋" w:cs="仿宋"/>
                <w:bCs/>
                <w:szCs w:val="21"/>
              </w:rPr>
              <w:t>0.19</w:t>
            </w:r>
          </w:p>
        </w:tc>
        <w:tc>
          <w:tcPr>
            <w:tcW w:w="1002" w:type="dxa"/>
            <w:vMerge w:val="continue"/>
            <w:vAlign w:val="center"/>
          </w:tcPr>
          <w:p>
            <w:pPr>
              <w:jc w:val="center"/>
              <w:rPr>
                <w:rFonts w:ascii="仿宋" w:hAnsi="仿宋" w:eastAsia="仿宋" w:cs="仿宋"/>
                <w:bCs/>
                <w:szCs w:val="21"/>
              </w:rPr>
            </w:pPr>
          </w:p>
        </w:tc>
        <w:tc>
          <w:tcPr>
            <w:tcW w:w="798" w:type="dxa"/>
            <w:vMerge w:val="continue"/>
            <w:vAlign w:val="center"/>
          </w:tcPr>
          <w:p>
            <w:pPr>
              <w:jc w:val="center"/>
              <w:rPr>
                <w:rFonts w:ascii="仿宋" w:hAnsi="仿宋" w:eastAsia="仿宋" w:cs="仿宋"/>
                <w:bCs/>
                <w:szCs w:val="21"/>
              </w:rPr>
            </w:pPr>
          </w:p>
        </w:tc>
        <w:tc>
          <w:tcPr>
            <w:tcW w:w="800" w:type="dxa"/>
            <w:vMerge w:val="continue"/>
            <w:vAlign w:val="center"/>
          </w:tcPr>
          <w:p>
            <w:pPr>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03" w:hRule="atLeast"/>
          <w:jc w:val="center"/>
        </w:trPr>
        <w:tc>
          <w:tcPr>
            <w:tcW w:w="468" w:type="dxa"/>
            <w:vMerge w:val="continue"/>
            <w:tcMar>
              <w:left w:w="0" w:type="dxa"/>
              <w:right w:w="0" w:type="dxa"/>
            </w:tcMar>
            <w:vAlign w:val="center"/>
          </w:tcPr>
          <w:p>
            <w:pPr>
              <w:jc w:val="center"/>
              <w:rPr>
                <w:rFonts w:ascii="华文仿宋" w:hAnsi="华文仿宋" w:eastAsia="华文仿宋" w:cs="华文仿宋"/>
                <w:szCs w:val="21"/>
              </w:rPr>
            </w:pPr>
          </w:p>
        </w:tc>
        <w:tc>
          <w:tcPr>
            <w:tcW w:w="1232" w:type="dxa"/>
            <w:vMerge w:val="continue"/>
            <w:tcMar>
              <w:left w:w="0" w:type="dxa"/>
              <w:right w:w="0" w:type="dxa"/>
            </w:tcMar>
            <w:vAlign w:val="center"/>
          </w:tcPr>
          <w:p>
            <w:pPr>
              <w:widowControl/>
              <w:jc w:val="center"/>
              <w:rPr>
                <w:rFonts w:ascii="仿宋" w:hAnsi="仿宋" w:eastAsia="仿宋" w:cs="仿宋"/>
                <w:bCs/>
                <w:szCs w:val="21"/>
              </w:rPr>
            </w:pPr>
          </w:p>
        </w:tc>
        <w:tc>
          <w:tcPr>
            <w:tcW w:w="787" w:type="dxa"/>
            <w:vMerge w:val="continue"/>
            <w:vAlign w:val="center"/>
          </w:tcPr>
          <w:p>
            <w:pPr>
              <w:jc w:val="center"/>
              <w:rPr>
                <w:rFonts w:ascii="仿宋" w:hAnsi="仿宋" w:eastAsia="仿宋" w:cs="仿宋"/>
                <w:bCs/>
                <w:szCs w:val="21"/>
              </w:rPr>
            </w:pPr>
          </w:p>
        </w:tc>
        <w:tc>
          <w:tcPr>
            <w:tcW w:w="1065" w:type="dxa"/>
            <w:vMerge w:val="continue"/>
            <w:vAlign w:val="center"/>
          </w:tcPr>
          <w:p>
            <w:pPr>
              <w:widowControl/>
              <w:jc w:val="center"/>
              <w:rPr>
                <w:rFonts w:ascii="仿宋" w:hAnsi="仿宋" w:eastAsia="仿宋" w:cs="仿宋"/>
                <w:bCs/>
                <w:szCs w:val="21"/>
              </w:rPr>
            </w:pPr>
          </w:p>
        </w:tc>
        <w:tc>
          <w:tcPr>
            <w:tcW w:w="804" w:type="dxa"/>
            <w:vAlign w:val="center"/>
          </w:tcPr>
          <w:p>
            <w:pPr>
              <w:pStyle w:val="275"/>
              <w:snapToGrid w:val="0"/>
              <w:spacing w:line="240" w:lineRule="auto"/>
              <w:rPr>
                <w:rFonts w:ascii="仿宋" w:hAnsi="仿宋" w:eastAsia="仿宋" w:cs="仿宋"/>
                <w:bCs/>
                <w:szCs w:val="21"/>
              </w:rPr>
            </w:pPr>
            <w:r>
              <w:rPr>
                <w:rFonts w:hint="eastAsia" w:ascii="仿宋" w:hAnsi="仿宋" w:eastAsia="仿宋" w:cs="仿宋"/>
                <w:bCs/>
                <w:szCs w:val="21"/>
              </w:rPr>
              <w:t>95</w:t>
            </w:r>
          </w:p>
        </w:tc>
        <w:tc>
          <w:tcPr>
            <w:tcW w:w="960" w:type="dxa"/>
            <w:vAlign w:val="center"/>
          </w:tcPr>
          <w:p>
            <w:pPr>
              <w:pStyle w:val="275"/>
              <w:snapToGrid w:val="0"/>
              <w:spacing w:line="240" w:lineRule="auto"/>
              <w:rPr>
                <w:rFonts w:ascii="仿宋" w:hAnsi="仿宋" w:eastAsia="仿宋" w:cs="仿宋"/>
                <w:bCs/>
                <w:szCs w:val="21"/>
              </w:rPr>
            </w:pPr>
            <w:r>
              <w:rPr>
                <w:rFonts w:hint="eastAsia" w:ascii="仿宋" w:hAnsi="仿宋" w:eastAsia="仿宋" w:cs="仿宋"/>
                <w:bCs/>
                <w:szCs w:val="21"/>
              </w:rPr>
              <w:t>3.6</w:t>
            </w:r>
          </w:p>
        </w:tc>
        <w:tc>
          <w:tcPr>
            <w:tcW w:w="791"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w:t>
            </w:r>
          </w:p>
        </w:tc>
        <w:tc>
          <w:tcPr>
            <w:tcW w:w="826"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废清洗剂</w:t>
            </w:r>
          </w:p>
        </w:tc>
        <w:tc>
          <w:tcPr>
            <w:tcW w:w="983"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3.6</w:t>
            </w:r>
          </w:p>
        </w:tc>
        <w:tc>
          <w:tcPr>
            <w:tcW w:w="1002"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危废</w:t>
            </w:r>
          </w:p>
        </w:tc>
        <w:tc>
          <w:tcPr>
            <w:tcW w:w="798"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废清洗剂</w:t>
            </w:r>
          </w:p>
        </w:tc>
        <w:tc>
          <w:tcPr>
            <w:tcW w:w="800"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9" w:hRule="atLeast"/>
          <w:jc w:val="center"/>
        </w:trPr>
        <w:tc>
          <w:tcPr>
            <w:tcW w:w="1700" w:type="dxa"/>
            <w:gridSpan w:val="2"/>
            <w:vAlign w:val="center"/>
          </w:tcPr>
          <w:p>
            <w:pPr>
              <w:jc w:val="center"/>
              <w:rPr>
                <w:rFonts w:ascii="仿宋" w:hAnsi="仿宋" w:eastAsia="仿宋" w:cs="仿宋"/>
                <w:bCs/>
                <w:szCs w:val="21"/>
              </w:rPr>
            </w:pPr>
            <w:r>
              <w:rPr>
                <w:rFonts w:hint="eastAsia" w:ascii="仿宋" w:hAnsi="仿宋" w:eastAsia="仿宋" w:cs="仿宋"/>
                <w:bCs/>
                <w:szCs w:val="21"/>
              </w:rPr>
              <w:t>合计</w:t>
            </w:r>
          </w:p>
        </w:tc>
        <w:tc>
          <w:tcPr>
            <w:tcW w:w="787" w:type="dxa"/>
            <w:vAlign w:val="center"/>
          </w:tcPr>
          <w:p>
            <w:pPr>
              <w:jc w:val="center"/>
              <w:rPr>
                <w:rFonts w:ascii="仿宋" w:hAnsi="仿宋" w:eastAsia="仿宋" w:cs="仿宋"/>
                <w:bCs/>
                <w:szCs w:val="21"/>
              </w:rPr>
            </w:pPr>
            <w:r>
              <w:rPr>
                <w:rFonts w:hint="eastAsia" w:ascii="仿宋" w:hAnsi="仿宋" w:eastAsia="仿宋" w:cs="仿宋"/>
                <w:bCs/>
                <w:szCs w:val="21"/>
              </w:rPr>
              <w:t>7</w:t>
            </w:r>
            <w:r>
              <w:rPr>
                <w:rFonts w:ascii="仿宋" w:hAnsi="仿宋" w:eastAsia="仿宋" w:cs="仿宋"/>
                <w:bCs/>
                <w:szCs w:val="21"/>
              </w:rPr>
              <w:t>56.012</w:t>
            </w:r>
          </w:p>
        </w:tc>
        <w:tc>
          <w:tcPr>
            <w:tcW w:w="1869" w:type="dxa"/>
            <w:gridSpan w:val="2"/>
            <w:vAlign w:val="center"/>
          </w:tcPr>
          <w:p>
            <w:pPr>
              <w:jc w:val="center"/>
              <w:rPr>
                <w:rFonts w:ascii="仿宋" w:hAnsi="仿宋" w:eastAsia="仿宋" w:cs="仿宋"/>
                <w:bCs/>
                <w:szCs w:val="21"/>
              </w:rPr>
            </w:pPr>
            <w:r>
              <w:rPr>
                <w:rFonts w:hint="eastAsia" w:ascii="仿宋" w:hAnsi="仿宋" w:eastAsia="仿宋" w:cs="仿宋"/>
                <w:bCs/>
                <w:szCs w:val="21"/>
              </w:rPr>
              <w:t>/</w:t>
            </w:r>
          </w:p>
        </w:tc>
        <w:tc>
          <w:tcPr>
            <w:tcW w:w="960" w:type="dxa"/>
            <w:vAlign w:val="center"/>
          </w:tcPr>
          <w:p>
            <w:pPr>
              <w:jc w:val="center"/>
              <w:rPr>
                <w:rFonts w:ascii="仿宋" w:hAnsi="仿宋" w:eastAsia="仿宋" w:cs="仿宋"/>
                <w:bCs/>
                <w:szCs w:val="21"/>
              </w:rPr>
            </w:pPr>
            <w:r>
              <w:rPr>
                <w:rFonts w:hint="eastAsia" w:ascii="仿宋" w:hAnsi="仿宋" w:eastAsia="仿宋" w:cs="仿宋"/>
                <w:bCs/>
                <w:szCs w:val="21"/>
              </w:rPr>
              <w:t>3</w:t>
            </w:r>
            <w:r>
              <w:rPr>
                <w:rFonts w:ascii="仿宋" w:hAnsi="仿宋" w:eastAsia="仿宋" w:cs="仿宋"/>
                <w:bCs/>
                <w:szCs w:val="21"/>
              </w:rPr>
              <w:t>84.67</w:t>
            </w:r>
          </w:p>
        </w:tc>
        <w:tc>
          <w:tcPr>
            <w:tcW w:w="791" w:type="dxa"/>
            <w:vAlign w:val="center"/>
          </w:tcPr>
          <w:p>
            <w:pPr>
              <w:jc w:val="center"/>
              <w:rPr>
                <w:rFonts w:ascii="仿宋" w:hAnsi="仿宋" w:eastAsia="仿宋" w:cs="仿宋"/>
                <w:bCs/>
                <w:szCs w:val="21"/>
              </w:rPr>
            </w:pPr>
            <w:r>
              <w:rPr>
                <w:rFonts w:hint="eastAsia" w:ascii="仿宋" w:hAnsi="仿宋" w:eastAsia="仿宋" w:cs="仿宋"/>
                <w:bCs/>
                <w:szCs w:val="21"/>
              </w:rPr>
              <w:t>/</w:t>
            </w:r>
          </w:p>
        </w:tc>
        <w:tc>
          <w:tcPr>
            <w:tcW w:w="1809" w:type="dxa"/>
            <w:gridSpan w:val="2"/>
            <w:vAlign w:val="center"/>
          </w:tcPr>
          <w:p>
            <w:pPr>
              <w:jc w:val="center"/>
              <w:rPr>
                <w:rFonts w:ascii="仿宋" w:hAnsi="仿宋" w:eastAsia="仿宋" w:cs="仿宋"/>
                <w:bCs/>
                <w:szCs w:val="21"/>
              </w:rPr>
            </w:pPr>
            <w:r>
              <w:rPr>
                <w:rFonts w:hint="eastAsia" w:ascii="仿宋" w:hAnsi="仿宋" w:eastAsia="仿宋" w:cs="仿宋"/>
                <w:bCs/>
                <w:szCs w:val="21"/>
              </w:rPr>
              <w:t>3</w:t>
            </w:r>
            <w:r>
              <w:rPr>
                <w:rFonts w:ascii="仿宋" w:hAnsi="仿宋" w:eastAsia="仿宋" w:cs="仿宋"/>
                <w:bCs/>
                <w:szCs w:val="21"/>
              </w:rPr>
              <w:t>84.67</w:t>
            </w:r>
          </w:p>
        </w:tc>
        <w:tc>
          <w:tcPr>
            <w:tcW w:w="2600" w:type="dxa"/>
            <w:gridSpan w:val="3"/>
            <w:vAlign w:val="center"/>
          </w:tcPr>
          <w:p>
            <w:pPr>
              <w:jc w:val="center"/>
              <w:rPr>
                <w:rFonts w:ascii="仿宋" w:hAnsi="仿宋" w:eastAsia="仿宋" w:cs="仿宋"/>
                <w:bCs/>
                <w:szCs w:val="21"/>
              </w:rPr>
            </w:pPr>
            <w:r>
              <w:rPr>
                <w:rFonts w:hint="eastAsia" w:ascii="仿宋" w:hAnsi="仿宋" w:eastAsia="仿宋" w:cs="仿宋"/>
                <w:bCs/>
                <w:szCs w:val="21"/>
              </w:rPr>
              <w:t>3</w:t>
            </w:r>
            <w:r>
              <w:rPr>
                <w:rFonts w:ascii="仿宋" w:hAnsi="仿宋" w:eastAsia="仿宋" w:cs="仿宋"/>
                <w:bCs/>
                <w:szCs w:val="21"/>
              </w:rPr>
              <w:t>84.67</w:t>
            </w:r>
          </w:p>
        </w:tc>
      </w:tr>
    </w:tbl>
    <w:p>
      <w:pPr>
        <w:spacing w:line="500" w:lineRule="exact"/>
        <w:ind w:firstLine="560" w:firstLineChars="200"/>
        <w:rPr>
          <w:rFonts w:eastAsia="仿宋_GB2312"/>
          <w:b/>
          <w:sz w:val="24"/>
        </w:rPr>
      </w:pPr>
      <w:r>
        <w:rPr>
          <w:rFonts w:hint="eastAsia" w:eastAsia="仿宋_GB2312"/>
          <w:sz w:val="28"/>
          <w:szCs w:val="28"/>
        </w:rPr>
        <w:t>V</w:t>
      </w:r>
      <w:r>
        <w:rPr>
          <w:rFonts w:eastAsia="仿宋_GB2312"/>
          <w:sz w:val="28"/>
          <w:szCs w:val="28"/>
        </w:rPr>
        <w:t>OCs</w:t>
      </w:r>
      <w:r>
        <w:rPr>
          <w:rFonts w:hint="eastAsia" w:eastAsia="仿宋_GB2312"/>
          <w:sz w:val="28"/>
          <w:szCs w:val="28"/>
        </w:rPr>
        <w:t>平衡图见图3.3-2。</w:t>
      </w:r>
    </w:p>
    <w:p>
      <w:pPr>
        <w:rPr>
          <w:rFonts w:eastAsia="仿宋_GB2312"/>
          <w:sz w:val="28"/>
          <w:szCs w:val="28"/>
        </w:rPr>
        <w:sectPr>
          <w:footerReference r:id="rId12" w:type="default"/>
          <w:pgSz w:w="11906" w:h="16838"/>
          <w:pgMar w:top="1440" w:right="1800" w:bottom="1440" w:left="1800" w:header="1191" w:footer="992" w:gutter="0"/>
          <w:cols w:space="425" w:num="1"/>
          <w:docGrid w:linePitch="312" w:charSpace="0"/>
        </w:sectPr>
      </w:pPr>
    </w:p>
    <w:p>
      <w:pPr>
        <w:pStyle w:val="33"/>
        <w:jc w:val="center"/>
        <w:rPr>
          <w:rFonts w:eastAsia="仿宋_GB2312"/>
          <w:b/>
          <w:sz w:val="24"/>
        </w:rPr>
      </w:pPr>
      <w:r>
        <w:rPr>
          <w:rFonts w:eastAsia="仿宋_GB2312"/>
          <w:b/>
          <w:sz w:val="24"/>
        </w:rPr>
        <w:drawing>
          <wp:inline distT="0" distB="0" distL="0" distR="0">
            <wp:extent cx="8863330" cy="4511040"/>
            <wp:effectExtent l="0" t="0" r="0" b="3810"/>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47"/>
                    <a:stretch>
                      <a:fillRect/>
                    </a:stretch>
                  </pic:blipFill>
                  <pic:spPr>
                    <a:xfrm>
                      <a:off x="0" y="0"/>
                      <a:ext cx="8863330" cy="4511040"/>
                    </a:xfrm>
                    <a:prstGeom prst="rect">
                      <a:avLst/>
                    </a:prstGeom>
                  </pic:spPr>
                </pic:pic>
              </a:graphicData>
            </a:graphic>
          </wp:inline>
        </w:drawing>
      </w:r>
    </w:p>
    <w:p>
      <w:pPr>
        <w:spacing w:line="500" w:lineRule="exact"/>
        <w:ind w:firstLine="482" w:firstLineChars="200"/>
        <w:jc w:val="center"/>
        <w:rPr>
          <w:rFonts w:eastAsia="仿宋_GB2312"/>
          <w:b/>
          <w:sz w:val="24"/>
        </w:rPr>
        <w:sectPr>
          <w:pgSz w:w="16838" w:h="11906" w:orient="landscape"/>
          <w:pgMar w:top="1800" w:right="1440" w:bottom="1800" w:left="1440" w:header="1191" w:footer="992" w:gutter="0"/>
          <w:cols w:space="425" w:num="1"/>
          <w:docGrid w:linePitch="312" w:charSpace="0"/>
        </w:sectPr>
      </w:pPr>
      <w:r>
        <w:rPr>
          <w:rFonts w:hint="eastAsia" w:eastAsia="仿宋_GB2312"/>
          <w:b/>
          <w:sz w:val="24"/>
        </w:rPr>
        <w:t>图3.3-2 VOC</w:t>
      </w:r>
      <w:r>
        <w:rPr>
          <w:rFonts w:eastAsia="仿宋_GB2312"/>
          <w:b/>
          <w:sz w:val="24"/>
        </w:rPr>
        <w:t>s平衡图</w:t>
      </w:r>
      <w:r>
        <w:rPr>
          <w:rFonts w:hint="eastAsia" w:eastAsia="仿宋_GB2312"/>
          <w:b/>
          <w:sz w:val="24"/>
        </w:rPr>
        <w:t xml:space="preserve">  单位</w:t>
      </w:r>
      <w:r>
        <w:rPr>
          <w:rFonts w:eastAsia="仿宋_GB2312"/>
          <w:b/>
          <w:sz w:val="24"/>
        </w:rPr>
        <w:t>t/a</w:t>
      </w:r>
    </w:p>
    <w:p>
      <w:pPr>
        <w:pStyle w:val="4"/>
        <w:keepLines w:val="0"/>
        <w:tabs>
          <w:tab w:val="left" w:pos="709"/>
        </w:tabs>
        <w:spacing w:before="120" w:beforeLines="50" w:after="120" w:afterLines="50" w:line="500" w:lineRule="exact"/>
        <w:rPr>
          <w:rFonts w:eastAsia="仿宋_GB2312"/>
          <w:sz w:val="28"/>
          <w:szCs w:val="28"/>
        </w:rPr>
      </w:pPr>
      <w:r>
        <w:rPr>
          <w:rFonts w:hint="eastAsia" w:eastAsia="仿宋_GB2312"/>
          <w:sz w:val="28"/>
          <w:szCs w:val="28"/>
        </w:rPr>
        <w:t>3</w:t>
      </w:r>
      <w:r>
        <w:rPr>
          <w:rFonts w:eastAsia="仿宋_GB2312"/>
          <w:sz w:val="28"/>
          <w:szCs w:val="28"/>
        </w:rPr>
        <w:t>.2.2工艺产污分析</w:t>
      </w:r>
    </w:p>
    <w:p>
      <w:pPr>
        <w:pStyle w:val="5"/>
        <w:keepLines w:val="0"/>
        <w:widowControl/>
        <w:numPr>
          <w:ilvl w:val="3"/>
          <w:numId w:val="1"/>
        </w:numPr>
        <w:tabs>
          <w:tab w:val="left" w:pos="993"/>
        </w:tabs>
        <w:adjustRightInd w:val="0"/>
        <w:snapToGrid w:val="0"/>
        <w:spacing w:after="120" w:afterLines="50"/>
        <w:ind w:left="0" w:firstLine="0"/>
        <w:jc w:val="left"/>
        <w:rPr>
          <w:rFonts w:ascii="Times New Roman" w:hAnsi="Times New Roman"/>
          <w:b/>
        </w:rPr>
      </w:pPr>
      <w:r>
        <w:rPr>
          <w:rFonts w:ascii="Times New Roman" w:hAnsi="Times New Roman"/>
          <w:b/>
        </w:rPr>
        <w:t>废水污染物源强</w:t>
      </w:r>
    </w:p>
    <w:p>
      <w:pPr>
        <w:spacing w:line="500" w:lineRule="exact"/>
        <w:ind w:firstLine="700" w:firstLineChars="250"/>
        <w:jc w:val="left"/>
        <w:rPr>
          <w:rFonts w:eastAsia="仿宋_GB2312"/>
          <w:sz w:val="28"/>
          <w:szCs w:val="28"/>
        </w:rPr>
      </w:pPr>
      <w:r>
        <w:rPr>
          <w:rFonts w:hint="eastAsia" w:eastAsia="仿宋_GB2312"/>
          <w:sz w:val="28"/>
          <w:szCs w:val="28"/>
        </w:rPr>
        <w:t>本项目车间</w:t>
      </w:r>
      <w:r>
        <w:rPr>
          <w:rFonts w:eastAsia="仿宋_GB2312"/>
          <w:sz w:val="28"/>
          <w:szCs w:val="28"/>
        </w:rPr>
        <w:t>采用工业吸尘器清理，</w:t>
      </w:r>
      <w:r>
        <w:rPr>
          <w:rFonts w:hint="eastAsia" w:eastAsia="仿宋_GB2312"/>
          <w:sz w:val="28"/>
          <w:szCs w:val="28"/>
        </w:rPr>
        <w:t>无车间</w:t>
      </w:r>
      <w:r>
        <w:rPr>
          <w:rFonts w:eastAsia="仿宋_GB2312"/>
          <w:sz w:val="28"/>
          <w:szCs w:val="28"/>
        </w:rPr>
        <w:t>清洗废水，生活污水接管进</w:t>
      </w:r>
      <w:r>
        <w:rPr>
          <w:rFonts w:hint="eastAsia" w:eastAsia="仿宋_GB2312"/>
          <w:sz w:val="28"/>
          <w:szCs w:val="28"/>
        </w:rPr>
        <w:t>金坛第二污水处理厂处理</w:t>
      </w:r>
      <w:r>
        <w:rPr>
          <w:rFonts w:eastAsia="仿宋_GB2312"/>
          <w:sz w:val="28"/>
          <w:szCs w:val="28"/>
        </w:rPr>
        <w:t>。</w:t>
      </w:r>
    </w:p>
    <w:p>
      <w:pPr>
        <w:spacing w:line="500" w:lineRule="exact"/>
        <w:ind w:firstLine="700" w:firstLineChars="250"/>
        <w:jc w:val="left"/>
        <w:rPr>
          <w:rFonts w:eastAsia="仿宋_GB2312"/>
          <w:sz w:val="28"/>
          <w:szCs w:val="28"/>
        </w:rPr>
      </w:pPr>
      <w:r>
        <w:rPr>
          <w:rFonts w:eastAsia="仿宋_GB2312"/>
          <w:sz w:val="28"/>
          <w:szCs w:val="28"/>
        </w:rPr>
        <w:t>1</w:t>
      </w:r>
      <w:r>
        <w:rPr>
          <w:rFonts w:hint="eastAsia" w:eastAsia="仿宋_GB2312"/>
          <w:sz w:val="28"/>
          <w:szCs w:val="28"/>
        </w:rPr>
        <w:t>、</w:t>
      </w:r>
      <w:r>
        <w:rPr>
          <w:rFonts w:eastAsia="仿宋_GB2312"/>
          <w:sz w:val="28"/>
          <w:szCs w:val="28"/>
        </w:rPr>
        <w:t>生活污水</w:t>
      </w:r>
    </w:p>
    <w:p>
      <w:pPr>
        <w:spacing w:line="500" w:lineRule="exact"/>
        <w:ind w:firstLine="700" w:firstLineChars="250"/>
        <w:jc w:val="left"/>
        <w:rPr>
          <w:rFonts w:eastAsia="仿宋_GB2312"/>
          <w:bCs/>
          <w:sz w:val="28"/>
          <w:szCs w:val="28"/>
        </w:rPr>
      </w:pPr>
      <w:r>
        <w:rPr>
          <w:rFonts w:hint="eastAsia" w:eastAsia="仿宋_GB2312"/>
          <w:sz w:val="28"/>
          <w:szCs w:val="28"/>
        </w:rPr>
        <w:t>本项目</w:t>
      </w:r>
      <w:r>
        <w:rPr>
          <w:rFonts w:eastAsia="仿宋_GB2312"/>
          <w:sz w:val="28"/>
          <w:szCs w:val="28"/>
        </w:rPr>
        <w:t>员工</w:t>
      </w:r>
      <w:r>
        <w:rPr>
          <w:rFonts w:hint="eastAsia" w:eastAsia="仿宋_GB2312"/>
          <w:sz w:val="28"/>
          <w:szCs w:val="28"/>
        </w:rPr>
        <w:t>45人</w:t>
      </w:r>
      <w:r>
        <w:rPr>
          <w:rFonts w:eastAsia="仿宋_GB2312"/>
          <w:sz w:val="28"/>
          <w:szCs w:val="28"/>
        </w:rPr>
        <w:t>，年均工作日为300天</w:t>
      </w:r>
      <w:r>
        <w:rPr>
          <w:rFonts w:hint="eastAsia" w:eastAsia="仿宋_GB2312"/>
          <w:sz w:val="28"/>
          <w:szCs w:val="28"/>
        </w:rPr>
        <w:t>,</w:t>
      </w:r>
      <w:r>
        <w:rPr>
          <w:rFonts w:eastAsia="仿宋_GB2312"/>
          <w:sz w:val="28"/>
          <w:szCs w:val="28"/>
        </w:rPr>
        <w:t>根据《常州市工业和城市生活用水定额》，每人每天用水量约100L</w:t>
      </w:r>
      <w:r>
        <w:rPr>
          <w:rFonts w:hint="eastAsia" w:eastAsia="仿宋_GB2312"/>
          <w:sz w:val="28"/>
          <w:szCs w:val="28"/>
        </w:rPr>
        <w:t>。本项目生活用水</w:t>
      </w:r>
      <w:r>
        <w:rPr>
          <w:rFonts w:eastAsia="仿宋_GB2312"/>
          <w:sz w:val="28"/>
          <w:szCs w:val="28"/>
        </w:rPr>
        <w:t>年用量</w:t>
      </w:r>
      <w:r>
        <w:rPr>
          <w:rFonts w:hint="eastAsia" w:eastAsia="仿宋_GB2312"/>
          <w:sz w:val="28"/>
          <w:szCs w:val="28"/>
        </w:rPr>
        <w:t>约</w:t>
      </w:r>
      <w:r>
        <w:rPr>
          <w:rFonts w:hint="eastAsia" w:eastAsia="仿宋_GB2312"/>
          <w:bCs/>
          <w:sz w:val="28"/>
          <w:szCs w:val="28"/>
        </w:rPr>
        <w:t>1350</w:t>
      </w:r>
      <w:r>
        <w:rPr>
          <w:rFonts w:eastAsia="仿宋_GB2312"/>
          <w:bCs/>
          <w:sz w:val="28"/>
          <w:szCs w:val="28"/>
        </w:rPr>
        <w:t>t/a，</w:t>
      </w:r>
      <w:r>
        <w:rPr>
          <w:rFonts w:hint="eastAsia" w:eastAsia="仿宋_GB2312"/>
          <w:bCs/>
          <w:sz w:val="28"/>
          <w:szCs w:val="28"/>
        </w:rPr>
        <w:t>生活污水量</w:t>
      </w:r>
      <w:r>
        <w:rPr>
          <w:rFonts w:eastAsia="仿宋_GB2312"/>
          <w:bCs/>
          <w:sz w:val="28"/>
          <w:szCs w:val="28"/>
        </w:rPr>
        <w:t>按</w:t>
      </w:r>
      <w:r>
        <w:rPr>
          <w:rFonts w:hint="eastAsia" w:eastAsia="仿宋_GB2312"/>
          <w:bCs/>
          <w:sz w:val="28"/>
          <w:szCs w:val="28"/>
        </w:rPr>
        <w:t>用水量80</w:t>
      </w:r>
      <w:r>
        <w:rPr>
          <w:rFonts w:eastAsia="仿宋_GB2312"/>
          <w:bCs/>
          <w:sz w:val="28"/>
          <w:szCs w:val="28"/>
        </w:rPr>
        <w:t>%</w:t>
      </w:r>
      <w:r>
        <w:rPr>
          <w:rFonts w:hint="eastAsia" w:eastAsia="仿宋_GB2312"/>
          <w:bCs/>
          <w:sz w:val="28"/>
          <w:szCs w:val="28"/>
        </w:rPr>
        <w:t>计算</w:t>
      </w:r>
      <w:r>
        <w:rPr>
          <w:rFonts w:eastAsia="仿宋_GB2312"/>
          <w:bCs/>
          <w:sz w:val="28"/>
          <w:szCs w:val="28"/>
        </w:rPr>
        <w:t>，</w:t>
      </w:r>
      <w:r>
        <w:rPr>
          <w:rFonts w:hint="eastAsia" w:eastAsia="仿宋_GB2312"/>
          <w:bCs/>
          <w:sz w:val="28"/>
          <w:szCs w:val="28"/>
        </w:rPr>
        <w:t>则</w:t>
      </w:r>
      <w:r>
        <w:rPr>
          <w:rFonts w:eastAsia="仿宋_GB2312"/>
          <w:bCs/>
          <w:sz w:val="28"/>
          <w:szCs w:val="28"/>
        </w:rPr>
        <w:t>本项目</w:t>
      </w:r>
      <w:r>
        <w:rPr>
          <w:rFonts w:hint="eastAsia" w:eastAsia="仿宋_GB2312"/>
          <w:bCs/>
          <w:sz w:val="28"/>
          <w:szCs w:val="28"/>
        </w:rPr>
        <w:t>生活</w:t>
      </w:r>
      <w:r>
        <w:rPr>
          <w:rFonts w:eastAsia="仿宋_GB2312"/>
          <w:bCs/>
          <w:sz w:val="28"/>
          <w:szCs w:val="28"/>
        </w:rPr>
        <w:t>污水产生量为</w:t>
      </w:r>
      <w:r>
        <w:rPr>
          <w:rFonts w:hint="eastAsia" w:eastAsia="仿宋_GB2312"/>
          <w:bCs/>
          <w:sz w:val="28"/>
          <w:szCs w:val="28"/>
        </w:rPr>
        <w:t>1080</w:t>
      </w:r>
      <w:r>
        <w:rPr>
          <w:rFonts w:eastAsia="仿宋_GB2312"/>
          <w:bCs/>
          <w:sz w:val="28"/>
          <w:szCs w:val="28"/>
        </w:rPr>
        <w:t>t/a。</w:t>
      </w:r>
      <w:r>
        <w:rPr>
          <w:rFonts w:hint="eastAsia" w:eastAsia="仿宋_GB2312"/>
          <w:bCs/>
          <w:sz w:val="28"/>
          <w:szCs w:val="28"/>
        </w:rPr>
        <w:t>污水中</w:t>
      </w:r>
      <w:r>
        <w:rPr>
          <w:rFonts w:eastAsia="仿宋_GB2312"/>
          <w:bCs/>
          <w:sz w:val="28"/>
          <w:szCs w:val="28"/>
        </w:rPr>
        <w:t>COD、SS、NH</w:t>
      </w:r>
      <w:r>
        <w:rPr>
          <w:rFonts w:eastAsia="仿宋_GB2312"/>
          <w:bCs/>
          <w:sz w:val="28"/>
          <w:szCs w:val="28"/>
          <w:vertAlign w:val="subscript"/>
        </w:rPr>
        <w:t>3</w:t>
      </w:r>
      <w:r>
        <w:rPr>
          <w:rFonts w:eastAsia="仿宋_GB2312"/>
          <w:bCs/>
          <w:sz w:val="28"/>
          <w:szCs w:val="28"/>
        </w:rPr>
        <w:t>-N、TP、</w:t>
      </w:r>
      <w:r>
        <w:rPr>
          <w:rFonts w:hint="eastAsia" w:eastAsia="仿宋_GB2312"/>
          <w:bCs/>
          <w:sz w:val="28"/>
          <w:szCs w:val="28"/>
        </w:rPr>
        <w:t>TN</w:t>
      </w:r>
      <w:r>
        <w:rPr>
          <w:rFonts w:eastAsia="仿宋_GB2312"/>
          <w:bCs/>
          <w:sz w:val="28"/>
          <w:szCs w:val="28"/>
        </w:rPr>
        <w:t>的产生浓度分别为400mg/L、250mg/L、25mg/L、3mg/L、</w:t>
      </w:r>
      <w:r>
        <w:rPr>
          <w:rFonts w:hint="eastAsia" w:eastAsia="仿宋_GB2312"/>
          <w:bCs/>
          <w:sz w:val="28"/>
          <w:szCs w:val="28"/>
        </w:rPr>
        <w:t>40</w:t>
      </w:r>
      <w:r>
        <w:rPr>
          <w:rFonts w:eastAsia="仿宋_GB2312"/>
          <w:bCs/>
          <w:sz w:val="28"/>
          <w:szCs w:val="28"/>
        </w:rPr>
        <w:t>mg/L，产生量分别为</w:t>
      </w:r>
      <w:r>
        <w:rPr>
          <w:rFonts w:hint="eastAsia" w:eastAsia="仿宋_GB2312"/>
          <w:bCs/>
          <w:sz w:val="28"/>
          <w:szCs w:val="28"/>
        </w:rPr>
        <w:t>0</w:t>
      </w:r>
      <w:r>
        <w:rPr>
          <w:rFonts w:eastAsia="仿宋_GB2312"/>
          <w:bCs/>
          <w:sz w:val="28"/>
          <w:szCs w:val="28"/>
        </w:rPr>
        <w:t>.</w:t>
      </w:r>
      <w:r>
        <w:rPr>
          <w:rFonts w:hint="eastAsia" w:eastAsia="仿宋_GB2312"/>
          <w:bCs/>
          <w:sz w:val="28"/>
          <w:szCs w:val="28"/>
        </w:rPr>
        <w:t>43</w:t>
      </w:r>
      <w:r>
        <w:rPr>
          <w:rFonts w:eastAsia="仿宋_GB2312"/>
          <w:bCs/>
          <w:sz w:val="28"/>
          <w:szCs w:val="28"/>
        </w:rPr>
        <w:t>t/a、</w:t>
      </w:r>
      <w:r>
        <w:rPr>
          <w:rFonts w:hint="eastAsia" w:eastAsia="仿宋_GB2312"/>
          <w:bCs/>
          <w:sz w:val="28"/>
          <w:szCs w:val="28"/>
        </w:rPr>
        <w:t>0</w:t>
      </w:r>
      <w:r>
        <w:rPr>
          <w:rFonts w:eastAsia="仿宋_GB2312"/>
          <w:bCs/>
          <w:sz w:val="28"/>
          <w:szCs w:val="28"/>
        </w:rPr>
        <w:t>.</w:t>
      </w:r>
      <w:r>
        <w:rPr>
          <w:rFonts w:hint="eastAsia" w:eastAsia="仿宋_GB2312"/>
          <w:bCs/>
          <w:sz w:val="28"/>
          <w:szCs w:val="28"/>
        </w:rPr>
        <w:t>27</w:t>
      </w:r>
      <w:r>
        <w:rPr>
          <w:rFonts w:eastAsia="仿宋_GB2312"/>
          <w:bCs/>
          <w:sz w:val="28"/>
          <w:szCs w:val="28"/>
        </w:rPr>
        <w:t>t/a、</w:t>
      </w:r>
      <w:r>
        <w:rPr>
          <w:rFonts w:hint="eastAsia" w:eastAsia="仿宋_GB2312"/>
          <w:bCs/>
          <w:sz w:val="28"/>
          <w:szCs w:val="28"/>
        </w:rPr>
        <w:t>0.</w:t>
      </w:r>
      <w:r>
        <w:rPr>
          <w:rFonts w:eastAsia="仿宋_GB2312"/>
          <w:bCs/>
          <w:sz w:val="28"/>
          <w:szCs w:val="28"/>
        </w:rPr>
        <w:t>03t/a、</w:t>
      </w:r>
      <w:r>
        <w:rPr>
          <w:rFonts w:hint="eastAsia" w:eastAsia="仿宋_GB2312"/>
          <w:bCs/>
          <w:sz w:val="28"/>
          <w:szCs w:val="28"/>
        </w:rPr>
        <w:t>0.0</w:t>
      </w:r>
      <w:r>
        <w:rPr>
          <w:rFonts w:eastAsia="仿宋_GB2312"/>
          <w:bCs/>
          <w:sz w:val="28"/>
          <w:szCs w:val="28"/>
        </w:rPr>
        <w:t>0</w:t>
      </w:r>
      <w:r>
        <w:rPr>
          <w:rFonts w:hint="eastAsia" w:eastAsia="仿宋_GB2312"/>
          <w:bCs/>
          <w:sz w:val="28"/>
          <w:szCs w:val="28"/>
        </w:rPr>
        <w:t>3</w:t>
      </w:r>
      <w:r>
        <w:rPr>
          <w:rFonts w:eastAsia="仿宋_GB2312"/>
          <w:bCs/>
          <w:sz w:val="28"/>
          <w:szCs w:val="28"/>
        </w:rPr>
        <w:t>t/a、</w:t>
      </w:r>
      <w:r>
        <w:rPr>
          <w:rFonts w:hint="eastAsia" w:eastAsia="仿宋_GB2312"/>
          <w:bCs/>
          <w:sz w:val="28"/>
          <w:szCs w:val="28"/>
        </w:rPr>
        <w:t>0.</w:t>
      </w:r>
      <w:r>
        <w:rPr>
          <w:rFonts w:eastAsia="仿宋_GB2312"/>
          <w:bCs/>
          <w:sz w:val="28"/>
          <w:szCs w:val="28"/>
        </w:rPr>
        <w:t>0</w:t>
      </w:r>
      <w:r>
        <w:rPr>
          <w:rFonts w:hint="eastAsia" w:eastAsia="仿宋_GB2312"/>
          <w:bCs/>
          <w:sz w:val="28"/>
          <w:szCs w:val="28"/>
        </w:rPr>
        <w:t>4</w:t>
      </w:r>
      <w:r>
        <w:rPr>
          <w:rFonts w:eastAsia="仿宋_GB2312"/>
          <w:bCs/>
          <w:sz w:val="28"/>
          <w:szCs w:val="28"/>
        </w:rPr>
        <w:t>t/a。</w:t>
      </w:r>
    </w:p>
    <w:p>
      <w:pPr>
        <w:autoSpaceDE w:val="0"/>
        <w:autoSpaceDN w:val="0"/>
        <w:adjustRightInd w:val="0"/>
        <w:spacing w:line="440" w:lineRule="atLeast"/>
        <w:ind w:firstLine="482"/>
        <w:jc w:val="center"/>
        <w:textAlignment w:val="baseline"/>
        <w:rPr>
          <w:rFonts w:eastAsia="仿宋_GB2312"/>
          <w:b/>
          <w:bCs/>
          <w:kern w:val="0"/>
          <w:sz w:val="24"/>
          <w:szCs w:val="28"/>
        </w:rPr>
      </w:pPr>
      <w:r>
        <w:rPr>
          <w:rFonts w:eastAsia="仿宋_GB2312"/>
          <w:b/>
          <w:bCs/>
          <w:kern w:val="0"/>
          <w:sz w:val="24"/>
          <w:szCs w:val="28"/>
        </w:rPr>
        <w:t>表3.</w:t>
      </w:r>
      <w:r>
        <w:rPr>
          <w:rFonts w:hint="eastAsia" w:eastAsia="仿宋_GB2312"/>
          <w:b/>
          <w:bCs/>
          <w:kern w:val="0"/>
          <w:sz w:val="24"/>
          <w:szCs w:val="28"/>
        </w:rPr>
        <w:t>2</w:t>
      </w:r>
      <w:r>
        <w:rPr>
          <w:rFonts w:eastAsia="仿宋_GB2312"/>
          <w:b/>
          <w:bCs/>
          <w:kern w:val="0"/>
          <w:sz w:val="24"/>
          <w:szCs w:val="28"/>
        </w:rPr>
        <w:t>-</w:t>
      </w:r>
      <w:r>
        <w:rPr>
          <w:rFonts w:hint="eastAsia" w:eastAsia="仿宋_GB2312"/>
          <w:b/>
          <w:bCs/>
          <w:kern w:val="0"/>
          <w:sz w:val="24"/>
          <w:szCs w:val="28"/>
        </w:rPr>
        <w:t>4</w:t>
      </w:r>
      <w:r>
        <w:rPr>
          <w:rFonts w:eastAsia="仿宋_GB2312"/>
          <w:b/>
          <w:bCs/>
          <w:kern w:val="0"/>
          <w:sz w:val="24"/>
          <w:szCs w:val="28"/>
        </w:rPr>
        <w:t xml:space="preserve">  本项目水污染物源强及排放情况</w:t>
      </w:r>
    </w:p>
    <w:tbl>
      <w:tblPr>
        <w:tblStyle w:val="87"/>
        <w:tblW w:w="500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60"/>
        <w:gridCol w:w="1801"/>
        <w:gridCol w:w="1288"/>
        <w:gridCol w:w="1461"/>
        <w:gridCol w:w="1459"/>
        <w:gridCol w:w="1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517" w:type="pct"/>
            <w:vMerge w:val="restart"/>
            <w:vAlign w:val="center"/>
          </w:tcPr>
          <w:p>
            <w:pPr>
              <w:spacing w:line="240" w:lineRule="exact"/>
              <w:jc w:val="center"/>
              <w:rPr>
                <w:rFonts w:ascii="仿宋" w:hAnsi="仿宋" w:eastAsia="仿宋" w:cs="仿宋"/>
                <w:bCs/>
                <w:szCs w:val="21"/>
              </w:rPr>
            </w:pPr>
            <w:r>
              <w:rPr>
                <w:rFonts w:ascii="仿宋" w:hAnsi="仿宋" w:eastAsia="仿宋" w:cs="仿宋"/>
                <w:bCs/>
                <w:szCs w:val="21"/>
              </w:rPr>
              <w:t>类别</w:t>
            </w:r>
          </w:p>
        </w:tc>
        <w:tc>
          <w:tcPr>
            <w:tcW w:w="1081" w:type="pct"/>
            <w:vMerge w:val="restart"/>
            <w:vAlign w:val="center"/>
          </w:tcPr>
          <w:p>
            <w:pPr>
              <w:spacing w:line="240" w:lineRule="exact"/>
              <w:jc w:val="center"/>
              <w:rPr>
                <w:rFonts w:ascii="仿宋" w:hAnsi="仿宋" w:eastAsia="仿宋" w:cs="仿宋"/>
                <w:bCs/>
                <w:szCs w:val="21"/>
              </w:rPr>
            </w:pPr>
            <w:r>
              <w:rPr>
                <w:rFonts w:ascii="仿宋" w:hAnsi="仿宋" w:eastAsia="仿宋" w:cs="仿宋"/>
                <w:bCs/>
                <w:szCs w:val="21"/>
              </w:rPr>
              <w:t>污染源</w:t>
            </w:r>
          </w:p>
        </w:tc>
        <w:tc>
          <w:tcPr>
            <w:tcW w:w="773" w:type="pct"/>
            <w:vMerge w:val="restart"/>
            <w:vAlign w:val="center"/>
          </w:tcPr>
          <w:p>
            <w:pPr>
              <w:spacing w:line="240" w:lineRule="exact"/>
              <w:jc w:val="center"/>
              <w:rPr>
                <w:rFonts w:ascii="仿宋" w:hAnsi="仿宋" w:eastAsia="仿宋" w:cs="仿宋"/>
                <w:bCs/>
                <w:szCs w:val="21"/>
              </w:rPr>
            </w:pPr>
            <w:r>
              <w:rPr>
                <w:rFonts w:ascii="仿宋" w:hAnsi="仿宋" w:eastAsia="仿宋" w:cs="仿宋"/>
                <w:bCs/>
                <w:szCs w:val="21"/>
              </w:rPr>
              <w:t>废水量t/a</w:t>
            </w:r>
          </w:p>
        </w:tc>
        <w:tc>
          <w:tcPr>
            <w:tcW w:w="2628" w:type="pct"/>
            <w:gridSpan w:val="3"/>
            <w:vAlign w:val="center"/>
          </w:tcPr>
          <w:p>
            <w:pPr>
              <w:spacing w:line="240" w:lineRule="exact"/>
              <w:jc w:val="center"/>
              <w:rPr>
                <w:rFonts w:ascii="仿宋" w:hAnsi="仿宋" w:eastAsia="仿宋" w:cs="仿宋"/>
                <w:bCs/>
                <w:szCs w:val="21"/>
              </w:rPr>
            </w:pPr>
            <w:r>
              <w:rPr>
                <w:rFonts w:ascii="仿宋" w:hAnsi="仿宋" w:eastAsia="仿宋" w:cs="仿宋"/>
                <w:bCs/>
                <w:szCs w:val="21"/>
              </w:rPr>
              <w:t>污染物产生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517" w:type="pct"/>
            <w:vMerge w:val="continue"/>
            <w:vAlign w:val="center"/>
          </w:tcPr>
          <w:p>
            <w:pPr>
              <w:spacing w:line="240" w:lineRule="exact"/>
              <w:jc w:val="center"/>
              <w:rPr>
                <w:rFonts w:ascii="仿宋" w:hAnsi="仿宋" w:eastAsia="仿宋" w:cs="仿宋"/>
                <w:bCs/>
                <w:szCs w:val="21"/>
              </w:rPr>
            </w:pPr>
          </w:p>
        </w:tc>
        <w:tc>
          <w:tcPr>
            <w:tcW w:w="1081" w:type="pct"/>
            <w:vMerge w:val="continue"/>
            <w:vAlign w:val="center"/>
          </w:tcPr>
          <w:p>
            <w:pPr>
              <w:spacing w:line="240" w:lineRule="exact"/>
              <w:jc w:val="center"/>
              <w:rPr>
                <w:rFonts w:ascii="仿宋" w:hAnsi="仿宋" w:eastAsia="仿宋" w:cs="仿宋"/>
                <w:bCs/>
                <w:szCs w:val="21"/>
              </w:rPr>
            </w:pPr>
          </w:p>
        </w:tc>
        <w:tc>
          <w:tcPr>
            <w:tcW w:w="773" w:type="pct"/>
            <w:vMerge w:val="continue"/>
            <w:vAlign w:val="center"/>
          </w:tcPr>
          <w:p>
            <w:pPr>
              <w:spacing w:line="240" w:lineRule="exact"/>
              <w:jc w:val="center"/>
              <w:rPr>
                <w:rFonts w:ascii="仿宋" w:hAnsi="仿宋" w:eastAsia="仿宋" w:cs="仿宋"/>
                <w:bCs/>
                <w:szCs w:val="21"/>
              </w:rPr>
            </w:pPr>
          </w:p>
        </w:tc>
        <w:tc>
          <w:tcPr>
            <w:tcW w:w="877" w:type="pct"/>
            <w:vAlign w:val="center"/>
          </w:tcPr>
          <w:p>
            <w:pPr>
              <w:spacing w:line="240" w:lineRule="exact"/>
              <w:jc w:val="center"/>
              <w:rPr>
                <w:rFonts w:ascii="仿宋" w:hAnsi="仿宋" w:eastAsia="仿宋" w:cs="仿宋"/>
                <w:bCs/>
                <w:szCs w:val="21"/>
              </w:rPr>
            </w:pPr>
            <w:r>
              <w:rPr>
                <w:rFonts w:ascii="仿宋" w:hAnsi="仿宋" w:eastAsia="仿宋" w:cs="仿宋"/>
                <w:bCs/>
                <w:szCs w:val="21"/>
              </w:rPr>
              <w:t>污染物</w:t>
            </w:r>
          </w:p>
        </w:tc>
        <w:tc>
          <w:tcPr>
            <w:tcW w:w="876" w:type="pct"/>
            <w:vAlign w:val="center"/>
          </w:tcPr>
          <w:p>
            <w:pPr>
              <w:spacing w:line="240" w:lineRule="exact"/>
              <w:jc w:val="center"/>
              <w:rPr>
                <w:rFonts w:ascii="仿宋" w:hAnsi="仿宋" w:eastAsia="仿宋" w:cs="仿宋"/>
                <w:bCs/>
                <w:szCs w:val="21"/>
              </w:rPr>
            </w:pPr>
            <w:r>
              <w:rPr>
                <w:rFonts w:ascii="仿宋" w:hAnsi="仿宋" w:eastAsia="仿宋" w:cs="仿宋"/>
                <w:bCs/>
                <w:szCs w:val="21"/>
              </w:rPr>
              <w:t>浓度mg/L</w:t>
            </w:r>
          </w:p>
        </w:tc>
        <w:tc>
          <w:tcPr>
            <w:tcW w:w="874" w:type="pct"/>
            <w:vAlign w:val="center"/>
          </w:tcPr>
          <w:p>
            <w:pPr>
              <w:spacing w:line="240" w:lineRule="exact"/>
              <w:jc w:val="center"/>
              <w:rPr>
                <w:rFonts w:ascii="仿宋" w:hAnsi="仿宋" w:eastAsia="仿宋" w:cs="仿宋"/>
                <w:bCs/>
                <w:szCs w:val="21"/>
              </w:rPr>
            </w:pPr>
            <w:r>
              <w:rPr>
                <w:rFonts w:ascii="仿宋" w:hAnsi="仿宋" w:eastAsia="仿宋" w:cs="仿宋"/>
                <w:bCs/>
                <w:szCs w:val="21"/>
              </w:rPr>
              <w:t>产生量t/a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517" w:type="pct"/>
            <w:vMerge w:val="restart"/>
            <w:vAlign w:val="center"/>
          </w:tcPr>
          <w:p>
            <w:pPr>
              <w:spacing w:line="240" w:lineRule="exact"/>
              <w:jc w:val="center"/>
              <w:rPr>
                <w:rFonts w:ascii="仿宋" w:hAnsi="仿宋" w:eastAsia="仿宋" w:cs="仿宋"/>
                <w:bCs/>
                <w:szCs w:val="21"/>
              </w:rPr>
            </w:pPr>
            <w:bookmarkStart w:id="242" w:name="_Hlk450664335"/>
            <w:r>
              <w:rPr>
                <w:rFonts w:ascii="仿宋" w:hAnsi="仿宋" w:eastAsia="仿宋" w:cs="仿宋"/>
                <w:bCs/>
                <w:szCs w:val="21"/>
              </w:rPr>
              <w:t>生活</w:t>
            </w:r>
            <w:r>
              <w:rPr>
                <w:rFonts w:hint="eastAsia" w:ascii="仿宋" w:hAnsi="仿宋" w:eastAsia="仿宋" w:cs="仿宋"/>
                <w:bCs/>
                <w:szCs w:val="21"/>
              </w:rPr>
              <w:t>污水</w:t>
            </w:r>
          </w:p>
        </w:tc>
        <w:tc>
          <w:tcPr>
            <w:tcW w:w="1081" w:type="pct"/>
            <w:vMerge w:val="restart"/>
            <w:vAlign w:val="center"/>
          </w:tcPr>
          <w:p>
            <w:pPr>
              <w:spacing w:line="240" w:lineRule="exact"/>
              <w:jc w:val="center"/>
              <w:rPr>
                <w:rFonts w:ascii="仿宋" w:hAnsi="仿宋" w:eastAsia="仿宋" w:cs="仿宋"/>
                <w:bCs/>
                <w:szCs w:val="21"/>
              </w:rPr>
            </w:pPr>
            <w:r>
              <w:rPr>
                <w:rFonts w:ascii="仿宋" w:hAnsi="仿宋" w:eastAsia="仿宋" w:cs="仿宋"/>
                <w:bCs/>
                <w:szCs w:val="21"/>
              </w:rPr>
              <w:t>生活污水</w:t>
            </w:r>
          </w:p>
        </w:tc>
        <w:tc>
          <w:tcPr>
            <w:tcW w:w="773" w:type="pct"/>
            <w:vMerge w:val="restar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1080</w:t>
            </w:r>
          </w:p>
        </w:tc>
        <w:tc>
          <w:tcPr>
            <w:tcW w:w="877" w:type="pct"/>
            <w:vAlign w:val="center"/>
          </w:tcPr>
          <w:p>
            <w:pPr>
              <w:spacing w:line="240" w:lineRule="exact"/>
              <w:jc w:val="center"/>
              <w:rPr>
                <w:rFonts w:ascii="仿宋" w:hAnsi="仿宋" w:eastAsia="仿宋" w:cs="仿宋"/>
                <w:bCs/>
                <w:szCs w:val="21"/>
              </w:rPr>
            </w:pPr>
            <w:r>
              <w:rPr>
                <w:rFonts w:ascii="仿宋" w:hAnsi="仿宋" w:eastAsia="仿宋" w:cs="仿宋"/>
                <w:bCs/>
                <w:szCs w:val="21"/>
              </w:rPr>
              <w:t>COD</w:t>
            </w:r>
          </w:p>
        </w:tc>
        <w:tc>
          <w:tcPr>
            <w:tcW w:w="1459" w:type="dxa"/>
            <w:vAlign w:val="center"/>
          </w:tcPr>
          <w:p>
            <w:pPr>
              <w:spacing w:line="240" w:lineRule="exact"/>
              <w:jc w:val="center"/>
              <w:rPr>
                <w:rFonts w:ascii="仿宋" w:hAnsi="仿宋" w:eastAsia="仿宋" w:cs="仿宋"/>
                <w:bCs/>
                <w:szCs w:val="21"/>
              </w:rPr>
            </w:pPr>
            <w:r>
              <w:rPr>
                <w:rFonts w:ascii="仿宋" w:hAnsi="仿宋" w:eastAsia="仿宋" w:cs="仿宋"/>
                <w:bCs/>
                <w:szCs w:val="21"/>
              </w:rPr>
              <w:t>400</w:t>
            </w:r>
          </w:p>
        </w:tc>
        <w:tc>
          <w:tcPr>
            <w:tcW w:w="1457" w:type="dxa"/>
            <w:vAlign w:val="center"/>
          </w:tcPr>
          <w:p>
            <w:pPr>
              <w:adjustRightInd w:val="0"/>
              <w:snapToGrid w:val="0"/>
              <w:spacing w:line="240" w:lineRule="exact"/>
              <w:jc w:val="center"/>
              <w:rPr>
                <w:rFonts w:ascii="仿宋" w:hAnsi="仿宋" w:eastAsia="仿宋" w:cs="仿宋"/>
                <w:bCs/>
                <w:szCs w:val="21"/>
              </w:rPr>
            </w:pPr>
            <w:r>
              <w:rPr>
                <w:rFonts w:ascii="仿宋" w:hAnsi="仿宋" w:eastAsia="仿宋" w:cs="仿宋"/>
                <w:bCs/>
                <w:szCs w:val="21"/>
              </w:rPr>
              <w:t>0.43</w:t>
            </w:r>
          </w:p>
        </w:tc>
      </w:tr>
      <w:bookmarkEnd w:id="24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517" w:type="pct"/>
            <w:vMerge w:val="continue"/>
            <w:vAlign w:val="center"/>
          </w:tcPr>
          <w:p>
            <w:pPr>
              <w:spacing w:line="240" w:lineRule="exact"/>
              <w:jc w:val="center"/>
              <w:rPr>
                <w:rFonts w:ascii="仿宋" w:hAnsi="仿宋" w:eastAsia="仿宋" w:cs="仿宋"/>
                <w:bCs/>
                <w:szCs w:val="21"/>
              </w:rPr>
            </w:pPr>
          </w:p>
        </w:tc>
        <w:tc>
          <w:tcPr>
            <w:tcW w:w="1081" w:type="pct"/>
            <w:vMerge w:val="continue"/>
            <w:vAlign w:val="center"/>
          </w:tcPr>
          <w:p>
            <w:pPr>
              <w:spacing w:line="240" w:lineRule="exact"/>
              <w:jc w:val="center"/>
              <w:rPr>
                <w:rFonts w:ascii="仿宋" w:hAnsi="仿宋" w:eastAsia="仿宋" w:cs="仿宋"/>
                <w:bCs/>
                <w:szCs w:val="21"/>
              </w:rPr>
            </w:pPr>
          </w:p>
        </w:tc>
        <w:tc>
          <w:tcPr>
            <w:tcW w:w="773" w:type="pct"/>
            <w:vMerge w:val="continue"/>
            <w:vAlign w:val="center"/>
          </w:tcPr>
          <w:p>
            <w:pPr>
              <w:spacing w:line="240" w:lineRule="exact"/>
              <w:jc w:val="center"/>
              <w:rPr>
                <w:rFonts w:ascii="仿宋" w:hAnsi="仿宋" w:eastAsia="仿宋" w:cs="仿宋"/>
                <w:bCs/>
                <w:szCs w:val="21"/>
              </w:rPr>
            </w:pPr>
          </w:p>
        </w:tc>
        <w:tc>
          <w:tcPr>
            <w:tcW w:w="877" w:type="pct"/>
            <w:vAlign w:val="center"/>
          </w:tcPr>
          <w:p>
            <w:pPr>
              <w:spacing w:line="240" w:lineRule="exact"/>
              <w:jc w:val="center"/>
              <w:rPr>
                <w:rFonts w:ascii="仿宋" w:hAnsi="仿宋" w:eastAsia="仿宋" w:cs="仿宋"/>
                <w:bCs/>
                <w:szCs w:val="21"/>
              </w:rPr>
            </w:pPr>
            <w:r>
              <w:rPr>
                <w:rFonts w:ascii="仿宋" w:hAnsi="仿宋" w:eastAsia="仿宋" w:cs="仿宋"/>
                <w:bCs/>
                <w:szCs w:val="21"/>
              </w:rPr>
              <w:t>SS</w:t>
            </w:r>
          </w:p>
        </w:tc>
        <w:tc>
          <w:tcPr>
            <w:tcW w:w="1459"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250</w:t>
            </w:r>
          </w:p>
        </w:tc>
        <w:tc>
          <w:tcPr>
            <w:tcW w:w="1457" w:type="dxa"/>
            <w:vAlign w:val="center"/>
          </w:tcPr>
          <w:p>
            <w:pPr>
              <w:spacing w:line="240" w:lineRule="exact"/>
              <w:jc w:val="center"/>
              <w:rPr>
                <w:rFonts w:ascii="仿宋" w:hAnsi="仿宋" w:eastAsia="仿宋" w:cs="仿宋"/>
                <w:bCs/>
                <w:szCs w:val="21"/>
              </w:rPr>
            </w:pPr>
            <w:r>
              <w:rPr>
                <w:rFonts w:eastAsia="仿宋_GB2312"/>
                <w:kern w:val="0"/>
                <w:szCs w:val="21"/>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517" w:type="pct"/>
            <w:vMerge w:val="continue"/>
            <w:vAlign w:val="center"/>
          </w:tcPr>
          <w:p>
            <w:pPr>
              <w:spacing w:line="240" w:lineRule="exact"/>
              <w:jc w:val="center"/>
              <w:rPr>
                <w:rFonts w:ascii="仿宋" w:hAnsi="仿宋" w:eastAsia="仿宋" w:cs="仿宋"/>
                <w:bCs/>
                <w:szCs w:val="21"/>
              </w:rPr>
            </w:pPr>
          </w:p>
        </w:tc>
        <w:tc>
          <w:tcPr>
            <w:tcW w:w="1081" w:type="pct"/>
            <w:vMerge w:val="continue"/>
            <w:vAlign w:val="center"/>
          </w:tcPr>
          <w:p>
            <w:pPr>
              <w:spacing w:line="240" w:lineRule="exact"/>
              <w:jc w:val="center"/>
              <w:rPr>
                <w:rFonts w:ascii="仿宋" w:hAnsi="仿宋" w:eastAsia="仿宋" w:cs="仿宋"/>
                <w:bCs/>
                <w:szCs w:val="21"/>
              </w:rPr>
            </w:pPr>
          </w:p>
        </w:tc>
        <w:tc>
          <w:tcPr>
            <w:tcW w:w="773" w:type="pct"/>
            <w:vMerge w:val="continue"/>
            <w:vAlign w:val="center"/>
          </w:tcPr>
          <w:p>
            <w:pPr>
              <w:spacing w:line="240" w:lineRule="exact"/>
              <w:jc w:val="center"/>
              <w:rPr>
                <w:rFonts w:ascii="仿宋" w:hAnsi="仿宋" w:eastAsia="仿宋" w:cs="仿宋"/>
                <w:bCs/>
                <w:szCs w:val="21"/>
              </w:rPr>
            </w:pPr>
          </w:p>
        </w:tc>
        <w:tc>
          <w:tcPr>
            <w:tcW w:w="877" w:type="pct"/>
            <w:vAlign w:val="center"/>
          </w:tcPr>
          <w:p>
            <w:pPr>
              <w:spacing w:line="240" w:lineRule="exact"/>
              <w:jc w:val="center"/>
              <w:rPr>
                <w:rFonts w:ascii="仿宋" w:hAnsi="仿宋" w:eastAsia="仿宋" w:cs="仿宋"/>
                <w:bCs/>
                <w:szCs w:val="21"/>
              </w:rPr>
            </w:pPr>
            <w:r>
              <w:rPr>
                <w:rFonts w:ascii="仿宋" w:hAnsi="仿宋" w:eastAsia="仿宋" w:cs="仿宋"/>
                <w:bCs/>
                <w:szCs w:val="21"/>
              </w:rPr>
              <w:t>NH</w:t>
            </w:r>
            <w:r>
              <w:rPr>
                <w:rFonts w:ascii="仿宋" w:hAnsi="仿宋" w:eastAsia="仿宋" w:cs="仿宋"/>
                <w:bCs/>
                <w:szCs w:val="21"/>
                <w:vertAlign w:val="subscript"/>
              </w:rPr>
              <w:t>3</w:t>
            </w:r>
            <w:r>
              <w:rPr>
                <w:rFonts w:ascii="仿宋" w:hAnsi="仿宋" w:eastAsia="仿宋" w:cs="仿宋"/>
                <w:bCs/>
                <w:szCs w:val="21"/>
              </w:rPr>
              <w:t>-N</w:t>
            </w:r>
          </w:p>
        </w:tc>
        <w:tc>
          <w:tcPr>
            <w:tcW w:w="1459"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25</w:t>
            </w:r>
          </w:p>
        </w:tc>
        <w:tc>
          <w:tcPr>
            <w:tcW w:w="1457" w:type="dxa"/>
            <w:vAlign w:val="center"/>
          </w:tcPr>
          <w:p>
            <w:pPr>
              <w:spacing w:line="240" w:lineRule="exact"/>
              <w:jc w:val="center"/>
              <w:rPr>
                <w:rFonts w:ascii="仿宋" w:hAnsi="仿宋" w:eastAsia="仿宋" w:cs="仿宋"/>
                <w:bCs/>
                <w:szCs w:val="21"/>
              </w:rPr>
            </w:pPr>
            <w:r>
              <w:rPr>
                <w:rFonts w:hint="eastAsia" w:eastAsia="仿宋_GB2312"/>
                <w:kern w:val="0"/>
                <w:szCs w:val="21"/>
              </w:rPr>
              <w:t>0.</w:t>
            </w:r>
            <w:r>
              <w:rPr>
                <w:rFonts w:eastAsia="仿宋_GB2312"/>
                <w:kern w:val="0"/>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517" w:type="pct"/>
            <w:vMerge w:val="continue"/>
            <w:vAlign w:val="center"/>
          </w:tcPr>
          <w:p>
            <w:pPr>
              <w:spacing w:line="240" w:lineRule="exact"/>
              <w:jc w:val="center"/>
              <w:rPr>
                <w:rFonts w:ascii="仿宋" w:hAnsi="仿宋" w:eastAsia="仿宋" w:cs="仿宋"/>
                <w:bCs/>
                <w:szCs w:val="21"/>
              </w:rPr>
            </w:pPr>
          </w:p>
        </w:tc>
        <w:tc>
          <w:tcPr>
            <w:tcW w:w="1081" w:type="pct"/>
            <w:vMerge w:val="continue"/>
            <w:vAlign w:val="center"/>
          </w:tcPr>
          <w:p>
            <w:pPr>
              <w:spacing w:line="240" w:lineRule="exact"/>
              <w:jc w:val="center"/>
              <w:rPr>
                <w:rFonts w:ascii="仿宋" w:hAnsi="仿宋" w:eastAsia="仿宋" w:cs="仿宋"/>
                <w:bCs/>
                <w:szCs w:val="21"/>
              </w:rPr>
            </w:pPr>
          </w:p>
        </w:tc>
        <w:tc>
          <w:tcPr>
            <w:tcW w:w="773" w:type="pct"/>
            <w:vMerge w:val="continue"/>
            <w:vAlign w:val="center"/>
          </w:tcPr>
          <w:p>
            <w:pPr>
              <w:spacing w:line="240" w:lineRule="exact"/>
              <w:jc w:val="center"/>
              <w:rPr>
                <w:rFonts w:ascii="仿宋" w:hAnsi="仿宋" w:eastAsia="仿宋" w:cs="仿宋"/>
                <w:bCs/>
                <w:szCs w:val="21"/>
              </w:rPr>
            </w:pPr>
          </w:p>
        </w:tc>
        <w:tc>
          <w:tcPr>
            <w:tcW w:w="877" w:type="pct"/>
            <w:vAlign w:val="center"/>
          </w:tcPr>
          <w:p>
            <w:pPr>
              <w:spacing w:line="240" w:lineRule="exact"/>
              <w:jc w:val="center"/>
              <w:rPr>
                <w:rFonts w:ascii="仿宋" w:hAnsi="仿宋" w:eastAsia="仿宋" w:cs="仿宋"/>
                <w:bCs/>
                <w:szCs w:val="21"/>
              </w:rPr>
            </w:pPr>
            <w:r>
              <w:rPr>
                <w:rFonts w:ascii="仿宋" w:hAnsi="仿宋" w:eastAsia="仿宋" w:cs="仿宋"/>
                <w:bCs/>
                <w:szCs w:val="21"/>
              </w:rPr>
              <w:t>TP</w:t>
            </w:r>
          </w:p>
        </w:tc>
        <w:tc>
          <w:tcPr>
            <w:tcW w:w="1459"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w:t>
            </w:r>
          </w:p>
        </w:tc>
        <w:tc>
          <w:tcPr>
            <w:tcW w:w="1457" w:type="dxa"/>
            <w:vAlign w:val="center"/>
          </w:tcPr>
          <w:p>
            <w:pPr>
              <w:spacing w:line="240" w:lineRule="exact"/>
              <w:jc w:val="center"/>
              <w:rPr>
                <w:rFonts w:ascii="仿宋" w:hAnsi="仿宋" w:eastAsia="仿宋" w:cs="仿宋"/>
                <w:bCs/>
                <w:szCs w:val="21"/>
              </w:rPr>
            </w:pPr>
            <w:r>
              <w:rPr>
                <w:rFonts w:hint="eastAsia" w:eastAsia="仿宋_GB2312"/>
                <w:kern w:val="0"/>
                <w:szCs w:val="21"/>
              </w:rPr>
              <w:t>0.0</w:t>
            </w:r>
            <w:r>
              <w:rPr>
                <w:rFonts w:eastAsia="仿宋_GB2312"/>
                <w:kern w:val="0"/>
                <w:szCs w:val="21"/>
              </w:rPr>
              <w:t>0</w:t>
            </w:r>
            <w:r>
              <w:rPr>
                <w:rFonts w:hint="eastAsia" w:eastAsia="仿宋_GB2312"/>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517" w:type="pct"/>
            <w:vMerge w:val="continue"/>
            <w:vAlign w:val="center"/>
          </w:tcPr>
          <w:p>
            <w:pPr>
              <w:spacing w:line="240" w:lineRule="exact"/>
              <w:jc w:val="center"/>
              <w:rPr>
                <w:rFonts w:ascii="仿宋" w:hAnsi="仿宋" w:eastAsia="仿宋" w:cs="仿宋"/>
                <w:bCs/>
                <w:szCs w:val="21"/>
              </w:rPr>
            </w:pPr>
          </w:p>
        </w:tc>
        <w:tc>
          <w:tcPr>
            <w:tcW w:w="1081" w:type="pct"/>
            <w:vMerge w:val="continue"/>
            <w:vAlign w:val="center"/>
          </w:tcPr>
          <w:p>
            <w:pPr>
              <w:spacing w:line="240" w:lineRule="exact"/>
              <w:jc w:val="center"/>
              <w:rPr>
                <w:rFonts w:ascii="仿宋" w:hAnsi="仿宋" w:eastAsia="仿宋" w:cs="仿宋"/>
                <w:bCs/>
                <w:szCs w:val="21"/>
              </w:rPr>
            </w:pPr>
          </w:p>
        </w:tc>
        <w:tc>
          <w:tcPr>
            <w:tcW w:w="773" w:type="pct"/>
            <w:vMerge w:val="continue"/>
            <w:vAlign w:val="center"/>
          </w:tcPr>
          <w:p>
            <w:pPr>
              <w:spacing w:line="240" w:lineRule="exact"/>
              <w:jc w:val="center"/>
              <w:rPr>
                <w:rFonts w:ascii="仿宋" w:hAnsi="仿宋" w:eastAsia="仿宋" w:cs="仿宋"/>
                <w:bCs/>
                <w:szCs w:val="21"/>
              </w:rPr>
            </w:pPr>
          </w:p>
        </w:tc>
        <w:tc>
          <w:tcPr>
            <w:tcW w:w="877"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TN</w:t>
            </w:r>
          </w:p>
        </w:tc>
        <w:tc>
          <w:tcPr>
            <w:tcW w:w="1459"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40</w:t>
            </w:r>
          </w:p>
        </w:tc>
        <w:tc>
          <w:tcPr>
            <w:tcW w:w="1457" w:type="dxa"/>
            <w:vAlign w:val="center"/>
          </w:tcPr>
          <w:p>
            <w:pPr>
              <w:spacing w:line="240" w:lineRule="exact"/>
              <w:jc w:val="center"/>
              <w:rPr>
                <w:rFonts w:ascii="仿宋" w:hAnsi="仿宋" w:eastAsia="仿宋" w:cs="仿宋"/>
                <w:bCs/>
                <w:szCs w:val="21"/>
              </w:rPr>
            </w:pPr>
            <w:r>
              <w:rPr>
                <w:rFonts w:hint="eastAsia" w:eastAsia="仿宋_GB2312"/>
                <w:kern w:val="0"/>
                <w:szCs w:val="21"/>
              </w:rPr>
              <w:t>0.</w:t>
            </w:r>
            <w:r>
              <w:rPr>
                <w:rFonts w:eastAsia="仿宋_GB2312"/>
                <w:kern w:val="0"/>
                <w:szCs w:val="21"/>
              </w:rPr>
              <w:t>0</w:t>
            </w:r>
            <w:r>
              <w:rPr>
                <w:rFonts w:hint="eastAsia" w:eastAsia="仿宋_GB2312"/>
                <w:kern w:val="0"/>
                <w:szCs w:val="21"/>
              </w:rPr>
              <w:t>4</w:t>
            </w:r>
          </w:p>
        </w:tc>
      </w:tr>
    </w:tbl>
    <w:p>
      <w:pPr>
        <w:adjustRightInd w:val="0"/>
        <w:snapToGrid w:val="0"/>
        <w:spacing w:line="500" w:lineRule="exact"/>
        <w:ind w:firstLine="480" w:firstLineChars="200"/>
        <w:rPr>
          <w:rFonts w:eastAsia="仿宋_GB2312"/>
          <w:sz w:val="24"/>
        </w:rPr>
        <w:sectPr>
          <w:pgSz w:w="11906" w:h="16838"/>
          <w:pgMar w:top="1440" w:right="1800" w:bottom="1440" w:left="1800" w:header="1191" w:footer="992" w:gutter="0"/>
          <w:cols w:space="425" w:num="1"/>
          <w:docGrid w:linePitch="312" w:charSpace="0"/>
        </w:sectPr>
      </w:pPr>
    </w:p>
    <w:p>
      <w:pPr>
        <w:pStyle w:val="5"/>
        <w:keepLines w:val="0"/>
        <w:widowControl/>
        <w:numPr>
          <w:ilvl w:val="3"/>
          <w:numId w:val="1"/>
        </w:numPr>
        <w:tabs>
          <w:tab w:val="left" w:pos="993"/>
        </w:tabs>
        <w:adjustRightInd w:val="0"/>
        <w:snapToGrid w:val="0"/>
        <w:spacing w:after="120" w:afterLines="50"/>
        <w:ind w:left="0" w:firstLine="0"/>
        <w:jc w:val="left"/>
        <w:rPr>
          <w:rFonts w:ascii="Times New Roman" w:hAnsi="Times New Roman"/>
          <w:b/>
        </w:rPr>
      </w:pPr>
      <w:r>
        <w:rPr>
          <w:rFonts w:ascii="Times New Roman" w:hAnsi="Times New Roman"/>
          <w:b/>
        </w:rPr>
        <w:t>废气污染物源强</w:t>
      </w:r>
    </w:p>
    <w:p>
      <w:pPr>
        <w:keepNext/>
        <w:keepLines/>
        <w:spacing w:before="48" w:beforeLines="20" w:after="48" w:afterLines="20" w:line="500" w:lineRule="exact"/>
        <w:jc w:val="left"/>
        <w:outlineLvl w:val="4"/>
        <w:rPr>
          <w:rFonts w:eastAsia="仿宋_GB2312"/>
          <w:b/>
          <w:bCs/>
          <w:sz w:val="28"/>
        </w:rPr>
      </w:pPr>
      <w:r>
        <w:rPr>
          <w:rFonts w:eastAsia="仿宋_GB2312"/>
          <w:b/>
          <w:bCs/>
          <w:sz w:val="28"/>
        </w:rPr>
        <w:t>3.3.2.2.1正常工况下有组织废气源强</w:t>
      </w:r>
    </w:p>
    <w:p>
      <w:pPr>
        <w:adjustRightInd w:val="0"/>
        <w:snapToGrid w:val="0"/>
        <w:spacing w:line="500" w:lineRule="exact"/>
        <w:ind w:right="561" w:firstLine="560" w:firstLineChars="200"/>
        <w:rPr>
          <w:rFonts w:eastAsia="仿宋_GB2312"/>
          <w:sz w:val="28"/>
          <w:szCs w:val="28"/>
        </w:rPr>
      </w:pPr>
      <w:r>
        <w:rPr>
          <w:rFonts w:hint="eastAsia" w:eastAsia="仿宋_GB2312"/>
          <w:sz w:val="28"/>
          <w:szCs w:val="28"/>
        </w:rPr>
        <w:t>本项目废气主要包括新能源电子材料生产工艺产生的废气</w:t>
      </w:r>
      <w:r>
        <w:rPr>
          <w:rFonts w:hint="eastAsia" w:eastAsia="仿宋_GB2312"/>
          <w:kern w:val="0"/>
          <w:sz w:val="28"/>
          <w:szCs w:val="28"/>
        </w:rPr>
        <w:t>。</w:t>
      </w:r>
    </w:p>
    <w:p>
      <w:pPr>
        <w:adjustRightInd w:val="0"/>
        <w:snapToGrid w:val="0"/>
        <w:spacing w:line="500" w:lineRule="exact"/>
        <w:ind w:right="561" w:firstLine="560" w:firstLineChars="200"/>
        <w:rPr>
          <w:rFonts w:eastAsia="仿宋_GB2312"/>
          <w:sz w:val="28"/>
          <w:szCs w:val="28"/>
        </w:rPr>
      </w:pPr>
      <w:r>
        <w:rPr>
          <w:rFonts w:hint="eastAsia" w:eastAsia="仿宋_GB2312"/>
          <w:sz w:val="28"/>
          <w:szCs w:val="28"/>
        </w:rPr>
        <w:t>1、配胶</w:t>
      </w:r>
      <w:r>
        <w:rPr>
          <w:rFonts w:eastAsia="仿宋_GB2312"/>
          <w:sz w:val="28"/>
          <w:szCs w:val="28"/>
        </w:rPr>
        <w:t>废气</w:t>
      </w:r>
      <w:r>
        <w:rPr>
          <w:rFonts w:hint="eastAsia" w:eastAsia="仿宋_GB2312"/>
          <w:sz w:val="28"/>
          <w:szCs w:val="28"/>
        </w:rPr>
        <w:t>G1</w:t>
      </w:r>
    </w:p>
    <w:p>
      <w:pPr>
        <w:adjustRightInd w:val="0"/>
        <w:snapToGrid w:val="0"/>
        <w:spacing w:line="500" w:lineRule="exact"/>
        <w:ind w:firstLine="560" w:firstLineChars="200"/>
        <w:rPr>
          <w:rFonts w:eastAsia="仿宋_GB2312"/>
          <w:sz w:val="28"/>
          <w:szCs w:val="28"/>
        </w:rPr>
      </w:pPr>
      <w:r>
        <w:rPr>
          <w:rFonts w:hint="eastAsia" w:eastAsia="仿宋_GB2312"/>
          <w:sz w:val="28"/>
          <w:szCs w:val="28"/>
        </w:rPr>
        <w:t>本项目配胶</w:t>
      </w:r>
      <w:r>
        <w:rPr>
          <w:rFonts w:eastAsia="仿宋_GB2312"/>
          <w:sz w:val="28"/>
          <w:szCs w:val="28"/>
        </w:rPr>
        <w:t>废气</w:t>
      </w:r>
      <w:r>
        <w:rPr>
          <w:rFonts w:hint="eastAsia" w:eastAsia="仿宋_GB2312"/>
          <w:sz w:val="28"/>
          <w:szCs w:val="28"/>
        </w:rPr>
        <w:t>G1来源于</w:t>
      </w:r>
      <w:r>
        <w:rPr>
          <w:rFonts w:eastAsia="仿宋_GB2312"/>
          <w:sz w:val="28"/>
          <w:szCs w:val="28"/>
        </w:rPr>
        <w:t>原辅料中的挥发性有机物成分</w:t>
      </w:r>
      <w:r>
        <w:rPr>
          <w:rFonts w:hint="eastAsia" w:eastAsia="仿宋_GB2312"/>
          <w:sz w:val="28"/>
          <w:szCs w:val="28"/>
        </w:rPr>
        <w:t>，配胶室密闭，类比《</w:t>
      </w:r>
      <w:r>
        <w:rPr>
          <w:rFonts w:eastAsia="仿宋_GB2312"/>
          <w:sz w:val="28"/>
          <w:szCs w:val="28"/>
        </w:rPr>
        <w:t>常州威斯双联科技有限公司迁建生产涂布机械、工业胶带项目</w:t>
      </w:r>
      <w:r>
        <w:rPr>
          <w:rFonts w:hint="eastAsia" w:eastAsia="仿宋_GB2312"/>
          <w:sz w:val="28"/>
          <w:szCs w:val="28"/>
        </w:rPr>
        <w:t>》，配胶废气产生量按原料胶粘剂、固化剂使用时产生的总挥发性废气量的30%计算，则配胶废气产生量为114.26t/a</w:t>
      </w:r>
      <w:r>
        <w:rPr>
          <w:rFonts w:eastAsia="仿宋_GB2312"/>
          <w:sz w:val="28"/>
          <w:szCs w:val="28"/>
        </w:rPr>
        <w:t>。</w:t>
      </w:r>
    </w:p>
    <w:p>
      <w:pPr>
        <w:adjustRightInd w:val="0"/>
        <w:snapToGrid w:val="0"/>
        <w:spacing w:line="500" w:lineRule="exact"/>
        <w:ind w:right="561" w:firstLine="560" w:firstLineChars="200"/>
        <w:rPr>
          <w:rFonts w:eastAsia="仿宋_GB2312"/>
          <w:sz w:val="28"/>
          <w:szCs w:val="28"/>
        </w:rPr>
      </w:pPr>
      <w:r>
        <w:rPr>
          <w:rFonts w:hint="eastAsia" w:eastAsia="仿宋_GB2312"/>
          <w:sz w:val="28"/>
          <w:szCs w:val="28"/>
        </w:rPr>
        <w:t>2、涂布干燥废气G2</w:t>
      </w:r>
    </w:p>
    <w:p>
      <w:pPr>
        <w:adjustRightInd w:val="0"/>
        <w:snapToGrid w:val="0"/>
        <w:spacing w:line="500" w:lineRule="exact"/>
        <w:ind w:firstLine="560" w:firstLineChars="200"/>
        <w:rPr>
          <w:rFonts w:eastAsia="仿宋_GB2312"/>
          <w:sz w:val="28"/>
          <w:szCs w:val="28"/>
        </w:rPr>
      </w:pPr>
      <w:r>
        <w:rPr>
          <w:rFonts w:hint="eastAsia" w:eastAsia="仿宋_GB2312"/>
          <w:sz w:val="28"/>
          <w:szCs w:val="28"/>
        </w:rPr>
        <w:t>本项目涂布干燥</w:t>
      </w:r>
      <w:r>
        <w:rPr>
          <w:rFonts w:eastAsia="仿宋_GB2312"/>
          <w:sz w:val="28"/>
          <w:szCs w:val="28"/>
        </w:rPr>
        <w:t>废气</w:t>
      </w:r>
      <w:r>
        <w:rPr>
          <w:rFonts w:hint="eastAsia" w:eastAsia="仿宋_GB2312"/>
          <w:sz w:val="28"/>
          <w:szCs w:val="28"/>
        </w:rPr>
        <w:t>G2来源于</w:t>
      </w:r>
      <w:r>
        <w:rPr>
          <w:rFonts w:eastAsia="仿宋_GB2312"/>
          <w:sz w:val="28"/>
          <w:szCs w:val="28"/>
        </w:rPr>
        <w:t>原辅料中的挥发性有机物成分</w:t>
      </w:r>
      <w:r>
        <w:rPr>
          <w:rFonts w:hint="eastAsia" w:eastAsia="仿宋_GB2312"/>
          <w:sz w:val="28"/>
          <w:szCs w:val="28"/>
        </w:rPr>
        <w:t>，</w:t>
      </w:r>
      <w:r>
        <w:rPr>
          <w:rFonts w:eastAsia="仿宋_GB2312"/>
          <w:sz w:val="28"/>
          <w:szCs w:val="28"/>
        </w:rPr>
        <w:t>干燥复合设备</w:t>
      </w:r>
      <w:r>
        <w:rPr>
          <w:rFonts w:hint="eastAsia" w:eastAsia="仿宋_GB2312"/>
          <w:sz w:val="28"/>
          <w:szCs w:val="28"/>
        </w:rPr>
        <w:t>密闭，本项目涂布干燥</w:t>
      </w:r>
      <w:r>
        <w:rPr>
          <w:rFonts w:eastAsia="仿宋_GB2312"/>
          <w:sz w:val="28"/>
          <w:szCs w:val="28"/>
        </w:rPr>
        <w:t>废气</w:t>
      </w:r>
      <w:r>
        <w:rPr>
          <w:rFonts w:hint="eastAsia" w:eastAsia="仿宋_GB2312"/>
          <w:sz w:val="28"/>
          <w:szCs w:val="28"/>
        </w:rPr>
        <w:t>G2来源于</w:t>
      </w:r>
      <w:r>
        <w:rPr>
          <w:rFonts w:eastAsia="仿宋_GB2312"/>
          <w:sz w:val="28"/>
          <w:szCs w:val="28"/>
        </w:rPr>
        <w:t>原辅料中的挥发性有机物成分</w:t>
      </w:r>
      <w:r>
        <w:rPr>
          <w:rFonts w:hint="eastAsia" w:eastAsia="仿宋_GB2312"/>
          <w:sz w:val="28"/>
          <w:szCs w:val="28"/>
        </w:rPr>
        <w:t>，配胶室密闭，类比《</w:t>
      </w:r>
      <w:r>
        <w:rPr>
          <w:rFonts w:eastAsia="仿宋_GB2312"/>
          <w:sz w:val="28"/>
          <w:szCs w:val="28"/>
        </w:rPr>
        <w:t>常州威斯双联科技有限公司迁建生产涂布机械、工业胶带项目</w:t>
      </w:r>
      <w:r>
        <w:rPr>
          <w:rFonts w:hint="eastAsia" w:eastAsia="仿宋_GB2312"/>
          <w:sz w:val="28"/>
          <w:szCs w:val="28"/>
        </w:rPr>
        <w:t>》，涂布干燥废气产生量按原料胶粘剂、固化剂使用时产生的总挥发性废气量的</w:t>
      </w:r>
      <w:r>
        <w:rPr>
          <w:rFonts w:eastAsia="仿宋_GB2312"/>
          <w:sz w:val="28"/>
          <w:szCs w:val="28"/>
        </w:rPr>
        <w:t>7</w:t>
      </w:r>
      <w:r>
        <w:rPr>
          <w:rFonts w:hint="eastAsia" w:eastAsia="仿宋_GB2312"/>
          <w:sz w:val="28"/>
          <w:szCs w:val="28"/>
        </w:rPr>
        <w:t>0%计算，则涂布干燥废气产生量为</w:t>
      </w:r>
      <w:r>
        <w:rPr>
          <w:rFonts w:eastAsia="仿宋_GB2312"/>
          <w:sz w:val="28"/>
          <w:szCs w:val="28"/>
        </w:rPr>
        <w:t>266</w:t>
      </w:r>
      <w:r>
        <w:rPr>
          <w:rFonts w:hint="eastAsia" w:eastAsia="仿宋_GB2312"/>
          <w:sz w:val="28"/>
          <w:szCs w:val="28"/>
        </w:rPr>
        <w:t>.</w:t>
      </w:r>
      <w:r>
        <w:rPr>
          <w:rFonts w:eastAsia="仿宋_GB2312"/>
          <w:sz w:val="28"/>
          <w:szCs w:val="28"/>
        </w:rPr>
        <w:t>62</w:t>
      </w:r>
      <w:r>
        <w:rPr>
          <w:rFonts w:hint="eastAsia" w:eastAsia="仿宋_GB2312"/>
          <w:sz w:val="28"/>
          <w:szCs w:val="28"/>
        </w:rPr>
        <w:t>t/a</w:t>
      </w:r>
      <w:r>
        <w:rPr>
          <w:rFonts w:eastAsia="仿宋_GB2312"/>
          <w:sz w:val="28"/>
          <w:szCs w:val="28"/>
        </w:rPr>
        <w:t>。</w:t>
      </w:r>
    </w:p>
    <w:p>
      <w:pPr>
        <w:adjustRightInd w:val="0"/>
        <w:snapToGrid w:val="0"/>
        <w:spacing w:line="500" w:lineRule="exact"/>
        <w:ind w:firstLine="560" w:firstLineChars="200"/>
        <w:rPr>
          <w:rFonts w:eastAsia="仿宋_GB2312"/>
          <w:sz w:val="28"/>
          <w:szCs w:val="28"/>
        </w:rPr>
      </w:pPr>
      <w:r>
        <w:rPr>
          <w:rFonts w:hint="eastAsia" w:eastAsia="仿宋_GB2312"/>
          <w:sz w:val="28"/>
          <w:szCs w:val="28"/>
        </w:rPr>
        <w:t>3、清洗废气G3</w:t>
      </w:r>
    </w:p>
    <w:p>
      <w:pPr>
        <w:adjustRightInd w:val="0"/>
        <w:snapToGrid w:val="0"/>
        <w:spacing w:line="500" w:lineRule="exact"/>
        <w:ind w:firstLine="560" w:firstLineChars="200"/>
        <w:rPr>
          <w:rFonts w:eastAsia="仿宋_GB2312"/>
          <w:sz w:val="28"/>
          <w:szCs w:val="28"/>
        </w:rPr>
      </w:pPr>
      <w:r>
        <w:rPr>
          <w:rFonts w:hint="eastAsia" w:eastAsia="仿宋_GB2312"/>
          <w:sz w:val="28"/>
          <w:szCs w:val="28"/>
        </w:rPr>
        <w:t>本项目</w:t>
      </w:r>
      <w:r>
        <w:rPr>
          <w:rFonts w:eastAsia="仿宋_GB2312"/>
          <w:iCs/>
          <w:kern w:val="0"/>
          <w:sz w:val="28"/>
          <w:szCs w:val="28"/>
        </w:rPr>
        <w:t>干燥复合线</w:t>
      </w:r>
      <w:r>
        <w:rPr>
          <w:rFonts w:hint="eastAsia" w:eastAsia="仿宋_GB2312"/>
          <w:iCs/>
          <w:kern w:val="0"/>
          <w:sz w:val="28"/>
          <w:szCs w:val="28"/>
        </w:rPr>
        <w:t>停产复工后需要进行清洗，每年清洗5次，清洗时产生清洗废气，</w:t>
      </w:r>
      <w:r>
        <w:rPr>
          <w:rFonts w:hint="eastAsia" w:eastAsia="仿宋_GB2312"/>
          <w:sz w:val="28"/>
          <w:szCs w:val="28"/>
        </w:rPr>
        <w:t>类比《江苏睿捷</w:t>
      </w:r>
      <w:r>
        <w:rPr>
          <w:rFonts w:eastAsia="仿宋_GB2312"/>
          <w:sz w:val="28"/>
          <w:szCs w:val="28"/>
        </w:rPr>
        <w:t>新材料科技有限公司</w:t>
      </w:r>
      <w:r>
        <w:rPr>
          <w:rFonts w:hint="eastAsia" w:eastAsia="仿宋_GB2312"/>
          <w:sz w:val="28"/>
          <w:szCs w:val="28"/>
        </w:rPr>
        <w:t>动力汽车</w:t>
      </w:r>
      <w:r>
        <w:rPr>
          <w:rFonts w:eastAsia="仿宋_GB2312"/>
          <w:sz w:val="28"/>
          <w:szCs w:val="28"/>
        </w:rPr>
        <w:t>锂电池铝塑膜产业化项目</w:t>
      </w:r>
      <w:r>
        <w:rPr>
          <w:rFonts w:hint="eastAsia" w:eastAsia="仿宋_GB2312"/>
          <w:sz w:val="28"/>
          <w:szCs w:val="28"/>
        </w:rPr>
        <w:t>》中</w:t>
      </w:r>
      <w:r>
        <w:rPr>
          <w:rFonts w:eastAsia="仿宋_GB2312"/>
          <w:sz w:val="28"/>
          <w:szCs w:val="28"/>
        </w:rPr>
        <w:t>清洗废气的产生量，</w:t>
      </w:r>
      <w:r>
        <w:rPr>
          <w:rFonts w:hint="eastAsia" w:eastAsia="仿宋_GB2312"/>
          <w:sz w:val="28"/>
          <w:szCs w:val="28"/>
        </w:rPr>
        <w:t>清洗废气产生量以</w:t>
      </w:r>
      <w:r>
        <w:rPr>
          <w:rFonts w:eastAsia="仿宋_GB2312"/>
          <w:sz w:val="28"/>
          <w:szCs w:val="28"/>
        </w:rPr>
        <w:t>清洗剂</w:t>
      </w:r>
      <w:r>
        <w:rPr>
          <w:rFonts w:hint="eastAsia" w:eastAsia="仿宋_GB2312"/>
          <w:sz w:val="28"/>
          <w:szCs w:val="28"/>
        </w:rPr>
        <w:t>乙酸乙酯</w:t>
      </w:r>
      <w:r>
        <w:rPr>
          <w:rFonts w:eastAsia="仿宋_GB2312"/>
          <w:sz w:val="28"/>
          <w:szCs w:val="28"/>
        </w:rPr>
        <w:t>用量</w:t>
      </w:r>
      <w:r>
        <w:rPr>
          <w:rFonts w:hint="eastAsia" w:eastAsia="仿宋_GB2312"/>
          <w:sz w:val="28"/>
          <w:szCs w:val="28"/>
        </w:rPr>
        <w:t>3.79</w:t>
      </w:r>
      <w:r>
        <w:rPr>
          <w:rFonts w:eastAsia="仿宋_GB2312"/>
          <w:sz w:val="28"/>
          <w:szCs w:val="28"/>
        </w:rPr>
        <w:t>t/a</w:t>
      </w:r>
      <w:r>
        <w:rPr>
          <w:rFonts w:hint="eastAsia" w:eastAsia="仿宋_GB2312"/>
          <w:sz w:val="28"/>
          <w:szCs w:val="28"/>
        </w:rPr>
        <w:t>的5</w:t>
      </w:r>
      <w:r>
        <w:rPr>
          <w:rFonts w:eastAsia="仿宋_GB2312"/>
          <w:sz w:val="28"/>
          <w:szCs w:val="28"/>
        </w:rPr>
        <w:t>%挥发</w:t>
      </w:r>
      <w:r>
        <w:rPr>
          <w:rFonts w:hint="eastAsia" w:eastAsia="仿宋_GB2312"/>
          <w:sz w:val="28"/>
          <w:szCs w:val="28"/>
        </w:rPr>
        <w:t>计</w:t>
      </w:r>
      <w:r>
        <w:rPr>
          <w:rFonts w:eastAsia="仿宋_GB2312"/>
          <w:sz w:val="28"/>
          <w:szCs w:val="28"/>
        </w:rPr>
        <w:t>，</w:t>
      </w:r>
      <w:r>
        <w:rPr>
          <w:rFonts w:hint="eastAsia" w:eastAsia="仿宋_GB2312"/>
          <w:sz w:val="28"/>
          <w:szCs w:val="28"/>
        </w:rPr>
        <w:t>产生</w:t>
      </w:r>
      <w:r>
        <w:rPr>
          <w:rFonts w:eastAsia="仿宋_GB2312"/>
          <w:sz w:val="28"/>
          <w:szCs w:val="28"/>
        </w:rPr>
        <w:t>量约0.</w:t>
      </w:r>
      <w:r>
        <w:rPr>
          <w:rFonts w:hint="eastAsia" w:eastAsia="仿宋_GB2312"/>
          <w:sz w:val="28"/>
          <w:szCs w:val="28"/>
        </w:rPr>
        <w:t>19</w:t>
      </w:r>
      <w:r>
        <w:rPr>
          <w:rFonts w:eastAsia="仿宋_GB2312"/>
          <w:sz w:val="28"/>
          <w:szCs w:val="28"/>
        </w:rPr>
        <w:t>t/a</w:t>
      </w:r>
      <w:r>
        <w:rPr>
          <w:rFonts w:hint="eastAsia" w:eastAsia="仿宋_GB2312"/>
          <w:sz w:val="28"/>
          <w:szCs w:val="28"/>
        </w:rPr>
        <w:t>。</w:t>
      </w:r>
    </w:p>
    <w:p>
      <w:pPr>
        <w:adjustRightInd w:val="0"/>
        <w:snapToGrid w:val="0"/>
        <w:spacing w:line="500" w:lineRule="exact"/>
        <w:ind w:firstLine="560" w:firstLineChars="200"/>
        <w:rPr>
          <w:rFonts w:eastAsia="仿宋_GB2312"/>
          <w:sz w:val="28"/>
          <w:szCs w:val="28"/>
        </w:rPr>
      </w:pPr>
      <w:r>
        <w:rPr>
          <w:rFonts w:hint="eastAsia" w:eastAsia="仿宋_GB2312"/>
          <w:sz w:val="28"/>
          <w:szCs w:val="28"/>
        </w:rPr>
        <w:t>本项目</w:t>
      </w:r>
      <w:r>
        <w:rPr>
          <w:rFonts w:eastAsia="仿宋_GB2312"/>
          <w:sz w:val="28"/>
          <w:szCs w:val="28"/>
        </w:rPr>
        <w:t>配胶</w:t>
      </w:r>
      <w:r>
        <w:rPr>
          <w:rFonts w:hint="eastAsia" w:eastAsia="仿宋_GB2312"/>
          <w:sz w:val="28"/>
          <w:szCs w:val="28"/>
        </w:rPr>
        <w:t>在密闭配胶间内进行，配胶废气产生处主要为原料桶开盖处，本次在开盖处增设集气罩；涂布干燥、</w:t>
      </w:r>
      <w:r>
        <w:rPr>
          <w:rFonts w:eastAsia="仿宋_GB2312"/>
          <w:sz w:val="28"/>
          <w:szCs w:val="28"/>
        </w:rPr>
        <w:t>清洗皆在密闭</w:t>
      </w:r>
      <w:r>
        <w:rPr>
          <w:rFonts w:hint="eastAsia" w:eastAsia="仿宋_GB2312"/>
          <w:sz w:val="28"/>
          <w:szCs w:val="28"/>
        </w:rPr>
        <w:t>设备内进行，且设备皆位于密闭车间内</w:t>
      </w:r>
      <w:r>
        <w:rPr>
          <w:rFonts w:eastAsia="仿宋_GB2312"/>
          <w:sz w:val="28"/>
          <w:szCs w:val="28"/>
        </w:rPr>
        <w:t>，采用密闭负压的方式对有机废气进行收集</w:t>
      </w:r>
      <w:r>
        <w:rPr>
          <w:rFonts w:hint="eastAsia" w:eastAsia="仿宋_GB2312"/>
          <w:sz w:val="28"/>
          <w:szCs w:val="28"/>
        </w:rPr>
        <w:t>。配胶废气G1、涂布干燥废气G2及清洗废气G3经捕集后（捕集效率99</w:t>
      </w:r>
      <w:r>
        <w:rPr>
          <w:rFonts w:eastAsia="仿宋_GB2312"/>
          <w:sz w:val="28"/>
          <w:szCs w:val="28"/>
        </w:rPr>
        <w:t>.5</w:t>
      </w:r>
      <w:r>
        <w:rPr>
          <w:rFonts w:hint="eastAsia" w:eastAsia="仿宋_GB2312"/>
          <w:sz w:val="28"/>
          <w:szCs w:val="28"/>
        </w:rPr>
        <w:t>%）一并进入RTO废气处理装置处理（处理效率99</w:t>
      </w:r>
      <w:r>
        <w:rPr>
          <w:rFonts w:eastAsia="仿宋_GB2312"/>
          <w:sz w:val="28"/>
          <w:szCs w:val="28"/>
        </w:rPr>
        <w:t>.5</w:t>
      </w:r>
      <w:r>
        <w:rPr>
          <w:rFonts w:hint="eastAsia" w:eastAsia="仿宋_GB2312"/>
          <w:sz w:val="28"/>
          <w:szCs w:val="28"/>
        </w:rPr>
        <w:t>%），则有组织废气产生量为</w:t>
      </w:r>
      <w:r>
        <w:rPr>
          <w:rFonts w:eastAsia="仿宋_GB2312"/>
          <w:sz w:val="28"/>
          <w:szCs w:val="28"/>
        </w:rPr>
        <w:t>379.16</w:t>
      </w:r>
      <w:r>
        <w:rPr>
          <w:rFonts w:hint="eastAsia" w:eastAsia="仿宋_GB2312"/>
          <w:sz w:val="28"/>
          <w:szCs w:val="28"/>
        </w:rPr>
        <w:t>t/a（乙酸乙酯328.93t/a、二甲苯36.31t/a），处理后经一根15m高排气筒（1#）排放。</w:t>
      </w:r>
    </w:p>
    <w:p>
      <w:pPr>
        <w:adjustRightInd w:val="0"/>
        <w:snapToGrid w:val="0"/>
        <w:spacing w:line="500" w:lineRule="exact"/>
        <w:ind w:firstLine="560" w:firstLineChars="200"/>
        <w:rPr>
          <w:rFonts w:eastAsia="仿宋_GB2312"/>
          <w:sz w:val="28"/>
          <w:szCs w:val="28"/>
        </w:rPr>
      </w:pPr>
      <w:r>
        <w:rPr>
          <w:rFonts w:hint="eastAsia" w:eastAsia="仿宋_GB2312"/>
          <w:sz w:val="28"/>
          <w:szCs w:val="28"/>
        </w:rPr>
        <w:t>4、天然气燃烧废气G4</w:t>
      </w:r>
    </w:p>
    <w:p>
      <w:pPr>
        <w:adjustRightInd w:val="0"/>
        <w:snapToGrid w:val="0"/>
        <w:spacing w:line="500" w:lineRule="exact"/>
        <w:ind w:firstLine="560" w:firstLineChars="200"/>
        <w:rPr>
          <w:rFonts w:eastAsia="仿宋_GB2312"/>
          <w:sz w:val="28"/>
          <w:szCs w:val="28"/>
        </w:rPr>
      </w:pPr>
      <w:r>
        <w:rPr>
          <w:rFonts w:hint="eastAsia" w:eastAsia="仿宋_GB2312"/>
          <w:sz w:val="28"/>
          <w:szCs w:val="28"/>
        </w:rPr>
        <w:t>本项目RTO焚烧</w:t>
      </w:r>
      <w:r>
        <w:rPr>
          <w:rFonts w:eastAsia="仿宋_GB2312"/>
          <w:sz w:val="28"/>
          <w:szCs w:val="28"/>
        </w:rPr>
        <w:t>装置采用天然气燃烧供热，根据设计参数</w:t>
      </w:r>
      <w:r>
        <w:rPr>
          <w:rFonts w:hint="eastAsia" w:eastAsia="仿宋_GB2312"/>
          <w:sz w:val="28"/>
          <w:szCs w:val="28"/>
        </w:rPr>
        <w:t>，每台R</w:t>
      </w:r>
      <w:r>
        <w:rPr>
          <w:rFonts w:eastAsia="仿宋_GB2312"/>
          <w:sz w:val="28"/>
          <w:szCs w:val="28"/>
        </w:rPr>
        <w:t>TO</w:t>
      </w:r>
      <w:r>
        <w:rPr>
          <w:rFonts w:hint="eastAsia" w:eastAsia="仿宋_GB2312"/>
          <w:sz w:val="28"/>
          <w:szCs w:val="28"/>
        </w:rPr>
        <w:t>炉每年补充天然气约24万m</w:t>
      </w:r>
      <w:r>
        <w:rPr>
          <w:rFonts w:hint="eastAsia" w:eastAsia="仿宋_GB2312"/>
          <w:sz w:val="28"/>
          <w:szCs w:val="28"/>
          <w:vertAlign w:val="superscript"/>
        </w:rPr>
        <w:t>3</w:t>
      </w:r>
      <w:r>
        <w:rPr>
          <w:rFonts w:hint="eastAsia" w:eastAsia="仿宋_GB2312"/>
          <w:sz w:val="28"/>
          <w:szCs w:val="28"/>
        </w:rPr>
        <w:t>/a</w:t>
      </w:r>
      <w:r>
        <w:rPr>
          <w:rFonts w:eastAsia="仿宋_GB2312"/>
          <w:sz w:val="28"/>
          <w:szCs w:val="28"/>
        </w:rPr>
        <w:t>，</w:t>
      </w:r>
      <w:r>
        <w:rPr>
          <w:rFonts w:hint="eastAsia" w:eastAsia="仿宋_GB2312"/>
          <w:sz w:val="28"/>
          <w:szCs w:val="28"/>
        </w:rPr>
        <w:t>RTO焚烧</w:t>
      </w:r>
      <w:r>
        <w:rPr>
          <w:rFonts w:eastAsia="仿宋_GB2312"/>
          <w:sz w:val="28"/>
          <w:szCs w:val="28"/>
        </w:rPr>
        <w:t>装置</w:t>
      </w:r>
      <w:r>
        <w:rPr>
          <w:rFonts w:hint="eastAsia" w:eastAsia="仿宋_GB2312"/>
          <w:sz w:val="28"/>
          <w:szCs w:val="28"/>
        </w:rPr>
        <w:t>产生</w:t>
      </w:r>
      <w:r>
        <w:rPr>
          <w:rFonts w:eastAsia="仿宋_GB2312"/>
          <w:sz w:val="28"/>
          <w:szCs w:val="28"/>
        </w:rPr>
        <w:t>的燃气废气经</w:t>
      </w:r>
      <w:r>
        <w:rPr>
          <w:rFonts w:hint="eastAsia" w:eastAsia="仿宋_GB2312"/>
          <w:sz w:val="28"/>
          <w:szCs w:val="28"/>
        </w:rPr>
        <w:t>1根</w:t>
      </w:r>
      <w:r>
        <w:rPr>
          <w:rFonts w:eastAsia="仿宋_GB2312"/>
          <w:sz w:val="28"/>
          <w:szCs w:val="28"/>
        </w:rPr>
        <w:t>15</w:t>
      </w:r>
      <w:r>
        <w:rPr>
          <w:rFonts w:hint="eastAsia" w:eastAsia="仿宋_GB2312"/>
          <w:sz w:val="28"/>
          <w:szCs w:val="28"/>
        </w:rPr>
        <w:t>米</w:t>
      </w:r>
      <w:r>
        <w:rPr>
          <w:rFonts w:eastAsia="仿宋_GB2312"/>
          <w:sz w:val="28"/>
          <w:szCs w:val="28"/>
        </w:rPr>
        <w:t>高排气筒（</w:t>
      </w:r>
      <w:r>
        <w:rPr>
          <w:rFonts w:hint="eastAsia" w:eastAsia="仿宋_GB2312"/>
          <w:sz w:val="28"/>
          <w:szCs w:val="28"/>
        </w:rPr>
        <w:t>1#</w:t>
      </w:r>
      <w:r>
        <w:rPr>
          <w:rFonts w:eastAsia="仿宋_GB2312"/>
          <w:sz w:val="28"/>
          <w:szCs w:val="28"/>
        </w:rPr>
        <w:t>）排放</w:t>
      </w:r>
      <w:r>
        <w:rPr>
          <w:rFonts w:hint="eastAsia" w:eastAsia="仿宋_GB2312"/>
          <w:sz w:val="28"/>
          <w:szCs w:val="28"/>
        </w:rPr>
        <w:t>。</w:t>
      </w:r>
    </w:p>
    <w:p>
      <w:pPr>
        <w:adjustRightInd w:val="0"/>
        <w:snapToGrid w:val="0"/>
        <w:spacing w:line="500" w:lineRule="exact"/>
        <w:ind w:firstLine="560" w:firstLineChars="200"/>
        <w:rPr>
          <w:rFonts w:eastAsia="仿宋_GB2312"/>
          <w:sz w:val="28"/>
          <w:szCs w:val="28"/>
        </w:rPr>
      </w:pPr>
      <w:r>
        <w:rPr>
          <w:rFonts w:hint="eastAsia" w:eastAsia="仿宋_GB2312"/>
          <w:sz w:val="28"/>
          <w:szCs w:val="28"/>
        </w:rPr>
        <w:t>天然气燃烧废气参照《排污许可证申请与核发技术规范 锅炉》(HT953-2018)天然气锅炉排污系数，烟尘:2.86kg/万m</w:t>
      </w:r>
      <w:r>
        <w:rPr>
          <w:rFonts w:eastAsia="仿宋_GB2312"/>
          <w:sz w:val="28"/>
          <w:szCs w:val="28"/>
          <w:vertAlign w:val="superscript"/>
        </w:rPr>
        <w:t>3</w:t>
      </w:r>
      <w:r>
        <w:rPr>
          <w:rFonts w:hint="eastAsia" w:eastAsia="仿宋_GB2312"/>
          <w:sz w:val="28"/>
          <w:szCs w:val="28"/>
        </w:rPr>
        <w:t>-原料；S</w:t>
      </w:r>
      <w:r>
        <w:rPr>
          <w:rFonts w:eastAsia="仿宋_GB2312"/>
          <w:sz w:val="28"/>
          <w:szCs w:val="28"/>
        </w:rPr>
        <w:t>O</w:t>
      </w:r>
      <w:r>
        <w:rPr>
          <w:rFonts w:eastAsia="仿宋_GB2312"/>
          <w:sz w:val="28"/>
          <w:szCs w:val="28"/>
          <w:vertAlign w:val="subscript"/>
        </w:rPr>
        <w:t>2</w:t>
      </w:r>
      <w:r>
        <w:rPr>
          <w:rFonts w:hint="eastAsia" w:eastAsia="仿宋_GB2312"/>
          <w:sz w:val="28"/>
          <w:szCs w:val="28"/>
        </w:rPr>
        <w:t>、N</w:t>
      </w:r>
      <w:r>
        <w:rPr>
          <w:rFonts w:eastAsia="仿宋_GB2312"/>
          <w:sz w:val="28"/>
          <w:szCs w:val="28"/>
        </w:rPr>
        <w:t>O</w:t>
      </w:r>
      <w:r>
        <w:rPr>
          <w:rFonts w:hint="eastAsia" w:eastAsia="仿宋_GB2312"/>
          <w:sz w:val="28"/>
          <w:szCs w:val="28"/>
        </w:rPr>
        <w:t>x参照《排放源统计调查产排污核算方法和系数手册》中4</w:t>
      </w:r>
      <w:r>
        <w:rPr>
          <w:rFonts w:eastAsia="仿宋_GB2312"/>
          <w:sz w:val="28"/>
          <w:szCs w:val="28"/>
        </w:rPr>
        <w:t>430-</w:t>
      </w:r>
      <w:r>
        <w:rPr>
          <w:rFonts w:hint="eastAsia" w:eastAsia="仿宋_GB2312"/>
          <w:sz w:val="28"/>
          <w:szCs w:val="28"/>
        </w:rPr>
        <w:t>工业锅炉产污系数表，N</w:t>
      </w:r>
      <w:r>
        <w:rPr>
          <w:rFonts w:eastAsia="仿宋_GB2312"/>
          <w:sz w:val="28"/>
          <w:szCs w:val="28"/>
        </w:rPr>
        <w:t>O</w:t>
      </w:r>
      <w:r>
        <w:rPr>
          <w:rFonts w:hint="eastAsia" w:eastAsia="仿宋_GB2312"/>
          <w:sz w:val="28"/>
          <w:szCs w:val="28"/>
        </w:rPr>
        <w:t>x系数1</w:t>
      </w:r>
      <w:r>
        <w:rPr>
          <w:rFonts w:eastAsia="仿宋_GB2312"/>
          <w:sz w:val="28"/>
          <w:szCs w:val="28"/>
        </w:rPr>
        <w:t>5.87</w:t>
      </w:r>
      <w:r>
        <w:rPr>
          <w:rFonts w:hint="eastAsia" w:eastAsia="仿宋_GB2312"/>
          <w:sz w:val="28"/>
          <w:szCs w:val="28"/>
        </w:rPr>
        <w:t>kg/万m</w:t>
      </w:r>
      <w:r>
        <w:rPr>
          <w:rFonts w:eastAsia="仿宋_GB2312"/>
          <w:sz w:val="28"/>
          <w:szCs w:val="28"/>
          <w:vertAlign w:val="superscript"/>
        </w:rPr>
        <w:t>3</w:t>
      </w:r>
      <w:r>
        <w:rPr>
          <w:rFonts w:hint="eastAsia" w:eastAsia="仿宋_GB2312"/>
          <w:sz w:val="28"/>
          <w:szCs w:val="28"/>
        </w:rPr>
        <w:t>-原料，S</w:t>
      </w:r>
      <w:r>
        <w:rPr>
          <w:rFonts w:eastAsia="仿宋_GB2312"/>
          <w:sz w:val="28"/>
          <w:szCs w:val="28"/>
        </w:rPr>
        <w:t>O</w:t>
      </w:r>
      <w:r>
        <w:rPr>
          <w:rFonts w:eastAsia="仿宋_GB2312"/>
          <w:sz w:val="28"/>
          <w:szCs w:val="28"/>
          <w:vertAlign w:val="subscript"/>
        </w:rPr>
        <w:t>2</w:t>
      </w:r>
      <w:r>
        <w:rPr>
          <w:rFonts w:hint="eastAsia" w:eastAsia="仿宋_GB2312"/>
          <w:sz w:val="28"/>
          <w:szCs w:val="28"/>
        </w:rPr>
        <w:t>系数2kg/万m</w:t>
      </w:r>
      <w:r>
        <w:rPr>
          <w:rFonts w:eastAsia="仿宋_GB2312"/>
          <w:sz w:val="28"/>
          <w:szCs w:val="28"/>
          <w:vertAlign w:val="superscript"/>
        </w:rPr>
        <w:t>3</w:t>
      </w:r>
      <w:r>
        <w:rPr>
          <w:rFonts w:hint="eastAsia" w:eastAsia="仿宋_GB2312"/>
          <w:sz w:val="28"/>
          <w:szCs w:val="28"/>
        </w:rPr>
        <w:t>-原料（按照《天然气》(</w:t>
      </w:r>
      <w:r>
        <w:rPr>
          <w:rFonts w:eastAsia="仿宋_GB2312"/>
          <w:sz w:val="28"/>
          <w:szCs w:val="28"/>
        </w:rPr>
        <w:t>GB17820-2018)</w:t>
      </w:r>
      <w:r>
        <w:rPr>
          <w:rFonts w:hint="eastAsia" w:eastAsia="仿宋_GB2312"/>
          <w:sz w:val="28"/>
          <w:szCs w:val="28"/>
        </w:rPr>
        <w:t>中二类天然气总含硫量1</w:t>
      </w:r>
      <w:r>
        <w:rPr>
          <w:rFonts w:eastAsia="仿宋_GB2312"/>
          <w:sz w:val="28"/>
          <w:szCs w:val="28"/>
        </w:rPr>
        <w:t>00</w:t>
      </w:r>
      <w:r>
        <w:rPr>
          <w:rFonts w:hint="eastAsia" w:eastAsia="仿宋_GB2312"/>
          <w:sz w:val="28"/>
          <w:szCs w:val="28"/>
        </w:rPr>
        <w:t>mg</w:t>
      </w:r>
      <w:r>
        <w:rPr>
          <w:rFonts w:eastAsia="仿宋_GB2312"/>
          <w:sz w:val="28"/>
          <w:szCs w:val="28"/>
        </w:rPr>
        <w:t>/m</w:t>
      </w:r>
      <w:r>
        <w:rPr>
          <w:rFonts w:eastAsia="仿宋_GB2312"/>
          <w:sz w:val="28"/>
          <w:szCs w:val="28"/>
          <w:vertAlign w:val="superscript"/>
        </w:rPr>
        <w:t>3</w:t>
      </w:r>
      <w:r>
        <w:rPr>
          <w:rFonts w:hint="eastAsia" w:eastAsia="仿宋_GB2312"/>
          <w:sz w:val="28"/>
          <w:szCs w:val="28"/>
        </w:rPr>
        <w:t>）。因此本项目颗粒物产生量0</w:t>
      </w:r>
      <w:r>
        <w:rPr>
          <w:rFonts w:eastAsia="仿宋_GB2312"/>
          <w:sz w:val="28"/>
          <w:szCs w:val="28"/>
        </w:rPr>
        <w:t>.07</w:t>
      </w:r>
      <w:r>
        <w:rPr>
          <w:rFonts w:hint="eastAsia" w:eastAsia="仿宋_GB2312"/>
          <w:sz w:val="28"/>
          <w:szCs w:val="28"/>
        </w:rPr>
        <w:t>t/</w:t>
      </w:r>
      <w:r>
        <w:rPr>
          <w:rFonts w:eastAsia="仿宋_GB2312"/>
          <w:sz w:val="28"/>
          <w:szCs w:val="28"/>
        </w:rPr>
        <w:t>a</w:t>
      </w:r>
      <w:r>
        <w:rPr>
          <w:rFonts w:hint="eastAsia" w:eastAsia="仿宋_GB2312"/>
          <w:sz w:val="28"/>
          <w:szCs w:val="28"/>
        </w:rPr>
        <w:t>、N</w:t>
      </w:r>
      <w:r>
        <w:rPr>
          <w:rFonts w:eastAsia="仿宋_GB2312"/>
          <w:sz w:val="28"/>
          <w:szCs w:val="28"/>
        </w:rPr>
        <w:t>O</w:t>
      </w:r>
      <w:r>
        <w:rPr>
          <w:rFonts w:hint="eastAsia" w:eastAsia="仿宋_GB2312"/>
          <w:sz w:val="28"/>
          <w:szCs w:val="28"/>
        </w:rPr>
        <w:t>x产生量0</w:t>
      </w:r>
      <w:r>
        <w:rPr>
          <w:rFonts w:eastAsia="仿宋_GB2312"/>
          <w:sz w:val="28"/>
          <w:szCs w:val="28"/>
        </w:rPr>
        <w:t>.38</w:t>
      </w:r>
      <w:r>
        <w:rPr>
          <w:rFonts w:hint="eastAsia" w:eastAsia="仿宋_GB2312"/>
          <w:sz w:val="28"/>
          <w:szCs w:val="28"/>
        </w:rPr>
        <w:t>t/</w:t>
      </w:r>
      <w:r>
        <w:rPr>
          <w:rFonts w:eastAsia="仿宋_GB2312"/>
          <w:sz w:val="28"/>
          <w:szCs w:val="28"/>
        </w:rPr>
        <w:t>a</w:t>
      </w:r>
      <w:r>
        <w:rPr>
          <w:rFonts w:hint="eastAsia" w:eastAsia="仿宋_GB2312"/>
          <w:sz w:val="28"/>
          <w:szCs w:val="28"/>
        </w:rPr>
        <w:t>、S</w:t>
      </w:r>
      <w:r>
        <w:rPr>
          <w:rFonts w:eastAsia="仿宋_GB2312"/>
          <w:sz w:val="28"/>
          <w:szCs w:val="28"/>
        </w:rPr>
        <w:t>O</w:t>
      </w:r>
      <w:r>
        <w:rPr>
          <w:rFonts w:eastAsia="仿宋_GB2312"/>
          <w:sz w:val="28"/>
          <w:szCs w:val="28"/>
          <w:vertAlign w:val="subscript"/>
        </w:rPr>
        <w:t>2</w:t>
      </w:r>
      <w:r>
        <w:rPr>
          <w:rFonts w:hint="eastAsia" w:eastAsia="仿宋_GB2312"/>
          <w:sz w:val="28"/>
          <w:szCs w:val="28"/>
        </w:rPr>
        <w:t>产生量0</w:t>
      </w:r>
      <w:r>
        <w:rPr>
          <w:rFonts w:eastAsia="仿宋_GB2312"/>
          <w:sz w:val="28"/>
          <w:szCs w:val="28"/>
        </w:rPr>
        <w:t>.05</w:t>
      </w:r>
      <w:r>
        <w:rPr>
          <w:rFonts w:hint="eastAsia" w:eastAsia="仿宋_GB2312"/>
          <w:sz w:val="28"/>
          <w:szCs w:val="28"/>
        </w:rPr>
        <w:t>t/</w:t>
      </w:r>
      <w:r>
        <w:rPr>
          <w:rFonts w:eastAsia="仿宋_GB2312"/>
          <w:sz w:val="28"/>
          <w:szCs w:val="28"/>
        </w:rPr>
        <w:t>a</w:t>
      </w:r>
      <w:r>
        <w:rPr>
          <w:rFonts w:hint="eastAsia" w:eastAsia="仿宋_GB2312"/>
          <w:sz w:val="28"/>
          <w:szCs w:val="28"/>
        </w:rPr>
        <w:t>。</w:t>
      </w:r>
    </w:p>
    <w:p>
      <w:pPr>
        <w:adjustRightInd w:val="0"/>
        <w:snapToGrid w:val="0"/>
        <w:spacing w:line="500" w:lineRule="exact"/>
        <w:ind w:firstLine="560" w:firstLineChars="200"/>
        <w:rPr>
          <w:rFonts w:eastAsia="仿宋_GB2312"/>
          <w:sz w:val="28"/>
          <w:szCs w:val="28"/>
        </w:rPr>
      </w:pPr>
      <w:r>
        <w:rPr>
          <w:rFonts w:hint="eastAsia" w:eastAsia="仿宋_GB2312"/>
          <w:sz w:val="28"/>
          <w:szCs w:val="28"/>
        </w:rPr>
        <w:t>5、本项目危废仓库内</w:t>
      </w:r>
      <w:r>
        <w:rPr>
          <w:rFonts w:eastAsia="仿宋_GB2312"/>
          <w:sz w:val="28"/>
          <w:szCs w:val="28"/>
        </w:rPr>
        <w:t>所</w:t>
      </w:r>
      <w:r>
        <w:rPr>
          <w:rFonts w:hint="eastAsia" w:eastAsia="仿宋_GB2312"/>
          <w:sz w:val="28"/>
          <w:szCs w:val="28"/>
        </w:rPr>
        <w:t>有剩料</w:t>
      </w:r>
      <w:r>
        <w:rPr>
          <w:rFonts w:eastAsia="仿宋_GB2312"/>
          <w:sz w:val="28"/>
          <w:szCs w:val="28"/>
        </w:rPr>
        <w:t>均</w:t>
      </w:r>
      <w:r>
        <w:rPr>
          <w:rFonts w:hint="eastAsia" w:eastAsia="仿宋_GB2312"/>
          <w:sz w:val="28"/>
          <w:szCs w:val="28"/>
        </w:rPr>
        <w:t>密封</w:t>
      </w:r>
      <w:r>
        <w:rPr>
          <w:rFonts w:eastAsia="仿宋_GB2312"/>
          <w:sz w:val="28"/>
          <w:szCs w:val="28"/>
        </w:rPr>
        <w:t>存放，在库内不开盖，不分装</w:t>
      </w:r>
      <w:r>
        <w:rPr>
          <w:rFonts w:hint="eastAsia" w:eastAsia="仿宋_GB2312"/>
          <w:sz w:val="28"/>
          <w:szCs w:val="28"/>
        </w:rPr>
        <w:t>，VOCs挥发量较少，不定量分析</w:t>
      </w:r>
      <w:r>
        <w:rPr>
          <w:rFonts w:eastAsia="仿宋_GB2312"/>
          <w:sz w:val="28"/>
          <w:szCs w:val="28"/>
        </w:rPr>
        <w:t>。</w:t>
      </w:r>
      <w:r>
        <w:rPr>
          <w:rFonts w:hint="eastAsia" w:eastAsia="仿宋_GB2312"/>
          <w:sz w:val="28"/>
          <w:szCs w:val="28"/>
        </w:rPr>
        <w:t>危废库产生的废气经收集后进两级活性炭吸附装置处理后经一根15m高排气筒（</w:t>
      </w:r>
      <w:r>
        <w:rPr>
          <w:rFonts w:eastAsia="仿宋_GB2312"/>
          <w:sz w:val="28"/>
          <w:szCs w:val="28"/>
        </w:rPr>
        <w:t>2</w:t>
      </w:r>
      <w:r>
        <w:rPr>
          <w:rFonts w:hint="eastAsia" w:eastAsia="仿宋_GB2312"/>
          <w:sz w:val="28"/>
          <w:szCs w:val="28"/>
        </w:rPr>
        <w:t>#）排放。</w:t>
      </w:r>
    </w:p>
    <w:p>
      <w:pPr>
        <w:tabs>
          <w:tab w:val="left" w:pos="2835"/>
        </w:tabs>
        <w:adjustRightInd w:val="0"/>
        <w:snapToGrid w:val="0"/>
        <w:spacing w:line="500" w:lineRule="exact"/>
        <w:jc w:val="center"/>
        <w:rPr>
          <w:rFonts w:eastAsia="仿宋_GB2312"/>
          <w:b/>
          <w:sz w:val="24"/>
        </w:rPr>
      </w:pPr>
      <w:r>
        <w:rPr>
          <w:rFonts w:hint="eastAsia" w:eastAsia="仿宋_GB2312"/>
          <w:b/>
          <w:sz w:val="24"/>
        </w:rPr>
        <w:t>表3.2-5</w:t>
      </w:r>
      <w:r>
        <w:rPr>
          <w:rFonts w:eastAsia="仿宋_GB2312"/>
          <w:b/>
          <w:sz w:val="24"/>
        </w:rPr>
        <w:t xml:space="preserve"> </w:t>
      </w:r>
      <w:r>
        <w:rPr>
          <w:rFonts w:hint="eastAsia" w:eastAsia="仿宋_GB2312"/>
          <w:b/>
          <w:sz w:val="24"/>
        </w:rPr>
        <w:t>废气污染源排放情况一览表</w:t>
      </w:r>
    </w:p>
    <w:tbl>
      <w:tblPr>
        <w:tblStyle w:val="87"/>
        <w:tblW w:w="58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1"/>
        <w:gridCol w:w="1477"/>
        <w:gridCol w:w="5549"/>
        <w:gridCol w:w="1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348" w:type="dxa"/>
            <w:gridSpan w:val="2"/>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污染源</w:t>
            </w:r>
          </w:p>
        </w:tc>
        <w:tc>
          <w:tcPr>
            <w:tcW w:w="5549"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废气及编号</w:t>
            </w:r>
          </w:p>
        </w:tc>
        <w:tc>
          <w:tcPr>
            <w:tcW w:w="1990"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污染物类型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10" w:hRule="atLeast"/>
          <w:jc w:val="center"/>
        </w:trPr>
        <w:tc>
          <w:tcPr>
            <w:tcW w:w="871"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有组织排放</w:t>
            </w:r>
          </w:p>
        </w:tc>
        <w:tc>
          <w:tcPr>
            <w:tcW w:w="147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1#排气筒</w:t>
            </w:r>
          </w:p>
        </w:tc>
        <w:tc>
          <w:tcPr>
            <w:tcW w:w="5549"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配胶废气G1、涂布干燥废气G2、清洗</w:t>
            </w:r>
            <w:r>
              <w:rPr>
                <w:rFonts w:ascii="仿宋" w:hAnsi="仿宋" w:eastAsia="仿宋" w:cs="仿宋"/>
                <w:bCs/>
                <w:szCs w:val="21"/>
              </w:rPr>
              <w:t>废气</w:t>
            </w:r>
            <w:r>
              <w:rPr>
                <w:rFonts w:hint="eastAsia" w:ascii="仿宋" w:hAnsi="仿宋" w:eastAsia="仿宋" w:cs="仿宋"/>
                <w:bCs/>
                <w:szCs w:val="21"/>
              </w:rPr>
              <w:t>G3、天然气燃烧废气</w:t>
            </w:r>
          </w:p>
        </w:tc>
        <w:tc>
          <w:tcPr>
            <w:tcW w:w="1990"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非甲烷总烃、二甲苯、乙酸乙酯、颗粒物、SO</w:t>
            </w:r>
            <w:r>
              <w:rPr>
                <w:rFonts w:hint="eastAsia" w:ascii="仿宋" w:hAnsi="仿宋" w:eastAsia="仿宋" w:cs="仿宋"/>
                <w:bCs/>
                <w:szCs w:val="21"/>
                <w:vertAlign w:val="subscript"/>
              </w:rPr>
              <w:t>2</w:t>
            </w:r>
            <w:r>
              <w:rPr>
                <w:rFonts w:hint="eastAsia" w:ascii="仿宋" w:hAnsi="仿宋" w:eastAsia="仿宋" w:cs="仿宋"/>
                <w:bCs/>
                <w:szCs w:val="21"/>
              </w:rPr>
              <w:t>、NO</w:t>
            </w:r>
            <w:r>
              <w:rPr>
                <w:rFonts w:hint="eastAsia" w:ascii="仿宋" w:hAnsi="仿宋" w:eastAsia="仿宋" w:cs="仿宋"/>
                <w:bCs/>
                <w:szCs w:val="21"/>
                <w:vertAlign w:val="subscript"/>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4" w:hRule="atLeast"/>
          <w:jc w:val="center"/>
        </w:trPr>
        <w:tc>
          <w:tcPr>
            <w:tcW w:w="871"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无组织</w:t>
            </w:r>
            <w:r>
              <w:rPr>
                <w:rFonts w:ascii="仿宋" w:hAnsi="仿宋" w:eastAsia="仿宋" w:cs="仿宋"/>
                <w:bCs/>
                <w:szCs w:val="21"/>
              </w:rPr>
              <w:t>排放</w:t>
            </w:r>
          </w:p>
        </w:tc>
        <w:tc>
          <w:tcPr>
            <w:tcW w:w="1477"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生产车间</w:t>
            </w:r>
          </w:p>
        </w:tc>
        <w:tc>
          <w:tcPr>
            <w:tcW w:w="5549"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未捕集的配胶废气G1、未捕集的涂布干燥废气G2、</w:t>
            </w:r>
            <w:r>
              <w:rPr>
                <w:rFonts w:ascii="仿宋" w:hAnsi="仿宋" w:eastAsia="仿宋" w:cs="仿宋"/>
                <w:bCs/>
                <w:szCs w:val="21"/>
              </w:rPr>
              <w:t>未捕集的清洗废气</w:t>
            </w:r>
            <w:r>
              <w:rPr>
                <w:rFonts w:hint="eastAsia" w:ascii="仿宋" w:hAnsi="仿宋" w:eastAsia="仿宋" w:cs="仿宋"/>
                <w:bCs/>
                <w:szCs w:val="21"/>
              </w:rPr>
              <w:t>G3</w:t>
            </w:r>
          </w:p>
        </w:tc>
        <w:tc>
          <w:tcPr>
            <w:tcW w:w="1990"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非甲烷总烃、二甲苯、乙酸乙酯</w:t>
            </w:r>
          </w:p>
        </w:tc>
      </w:tr>
    </w:tbl>
    <w:p>
      <w:pPr>
        <w:adjustRightInd w:val="0"/>
        <w:snapToGrid w:val="0"/>
        <w:spacing w:line="500" w:lineRule="exact"/>
        <w:ind w:right="560"/>
        <w:rPr>
          <w:rFonts w:eastAsia="仿宋_GB2312"/>
          <w:sz w:val="28"/>
          <w:szCs w:val="28"/>
        </w:rPr>
        <w:sectPr>
          <w:footerReference r:id="rId13" w:type="default"/>
          <w:pgSz w:w="11907" w:h="16840"/>
          <w:pgMar w:top="1440" w:right="1800" w:bottom="1440" w:left="1800" w:header="851" w:footer="992" w:gutter="0"/>
          <w:cols w:space="425" w:num="1"/>
          <w:docGrid w:linePitch="312" w:charSpace="0"/>
        </w:sectPr>
      </w:pPr>
      <w:r>
        <w:rPr>
          <w:rFonts w:eastAsia="仿宋_GB2312"/>
          <w:sz w:val="28"/>
          <w:szCs w:val="28"/>
        </w:rPr>
        <w:t>本项目有组织废气产</w:t>
      </w:r>
      <w:r>
        <w:rPr>
          <w:rFonts w:hint="eastAsia" w:eastAsia="仿宋_GB2312"/>
          <w:sz w:val="28"/>
          <w:szCs w:val="28"/>
        </w:rPr>
        <w:t>生及</w:t>
      </w:r>
      <w:r>
        <w:rPr>
          <w:rFonts w:eastAsia="仿宋_GB2312"/>
          <w:sz w:val="28"/>
          <w:szCs w:val="28"/>
        </w:rPr>
        <w:t>排放情况具体见下表：</w:t>
      </w:r>
    </w:p>
    <w:p>
      <w:pPr>
        <w:pStyle w:val="75"/>
        <w:spacing w:line="360" w:lineRule="exact"/>
        <w:ind w:firstLine="482"/>
        <w:jc w:val="center"/>
        <w:rPr>
          <w:rFonts w:eastAsia="仿宋_GB2312"/>
          <w:b/>
          <w:sz w:val="24"/>
        </w:rPr>
      </w:pPr>
      <w:r>
        <w:rPr>
          <w:rFonts w:eastAsia="仿宋_GB2312"/>
          <w:b/>
          <w:sz w:val="24"/>
        </w:rPr>
        <w:t>表3.</w:t>
      </w:r>
      <w:r>
        <w:rPr>
          <w:rFonts w:hint="eastAsia" w:eastAsia="仿宋_GB2312"/>
          <w:b/>
          <w:sz w:val="24"/>
        </w:rPr>
        <w:t>2</w:t>
      </w:r>
      <w:r>
        <w:rPr>
          <w:rFonts w:eastAsia="仿宋_GB2312"/>
          <w:b/>
          <w:sz w:val="24"/>
        </w:rPr>
        <w:t>-</w:t>
      </w:r>
      <w:r>
        <w:rPr>
          <w:rFonts w:hint="eastAsia" w:eastAsia="仿宋_GB2312"/>
          <w:b/>
          <w:sz w:val="24"/>
        </w:rPr>
        <w:t>6</w:t>
      </w:r>
      <w:r>
        <w:rPr>
          <w:rFonts w:eastAsia="仿宋_GB2312"/>
          <w:b/>
          <w:sz w:val="24"/>
        </w:rPr>
        <w:t xml:space="preserve">  本项目工艺有组织废气产生情况汇总</w:t>
      </w:r>
    </w:p>
    <w:tbl>
      <w:tblPr>
        <w:tblStyle w:val="8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5"/>
        <w:gridCol w:w="564"/>
        <w:gridCol w:w="2192"/>
        <w:gridCol w:w="851"/>
        <w:gridCol w:w="1062"/>
        <w:gridCol w:w="986"/>
        <w:gridCol w:w="973"/>
        <w:gridCol w:w="1108"/>
        <w:gridCol w:w="1450"/>
        <w:gridCol w:w="900"/>
        <w:gridCol w:w="825"/>
        <w:gridCol w:w="862"/>
        <w:gridCol w:w="737"/>
        <w:gridCol w:w="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55" w:type="dxa"/>
            <w:vMerge w:val="restar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排气筒</w:t>
            </w:r>
            <w:r>
              <w:rPr>
                <w:rFonts w:ascii="仿宋" w:hAnsi="仿宋" w:eastAsia="仿宋" w:cs="仿宋"/>
                <w:bCs/>
                <w:szCs w:val="21"/>
              </w:rPr>
              <w:t>编号</w:t>
            </w:r>
          </w:p>
        </w:tc>
        <w:tc>
          <w:tcPr>
            <w:tcW w:w="564" w:type="dxa"/>
            <w:vMerge w:val="restar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生产线</w:t>
            </w:r>
          </w:p>
        </w:tc>
        <w:tc>
          <w:tcPr>
            <w:tcW w:w="2192" w:type="dxa"/>
            <w:vMerge w:val="restar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废气编号</w:t>
            </w:r>
          </w:p>
        </w:tc>
        <w:tc>
          <w:tcPr>
            <w:tcW w:w="851" w:type="dxa"/>
            <w:vMerge w:val="restar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排气量</w:t>
            </w:r>
            <w:r>
              <w:rPr>
                <w:rFonts w:ascii="仿宋" w:hAnsi="仿宋" w:eastAsia="仿宋" w:cs="仿宋"/>
                <w:bCs/>
                <w:szCs w:val="21"/>
              </w:rPr>
              <w:t>(m3/h)</w:t>
            </w:r>
          </w:p>
        </w:tc>
        <w:tc>
          <w:tcPr>
            <w:tcW w:w="1062" w:type="dxa"/>
            <w:vMerge w:val="restar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污染物名称</w:t>
            </w:r>
          </w:p>
        </w:tc>
        <w:tc>
          <w:tcPr>
            <w:tcW w:w="3067" w:type="dxa"/>
            <w:gridSpan w:val="3"/>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产生状况</w:t>
            </w:r>
          </w:p>
        </w:tc>
        <w:tc>
          <w:tcPr>
            <w:tcW w:w="1450" w:type="dxa"/>
            <w:vMerge w:val="restar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拟采取的措施</w:t>
            </w:r>
          </w:p>
        </w:tc>
        <w:tc>
          <w:tcPr>
            <w:tcW w:w="2587" w:type="dxa"/>
            <w:gridSpan w:val="3"/>
            <w:shd w:val="clear" w:color="auto" w:fill="auto"/>
            <w:vAlign w:val="center"/>
          </w:tcPr>
          <w:p>
            <w:pPr>
              <w:widowControl/>
              <w:jc w:val="center"/>
              <w:rPr>
                <w:rFonts w:ascii="仿宋" w:hAnsi="仿宋" w:eastAsia="仿宋" w:cs="仿宋"/>
                <w:bCs/>
                <w:szCs w:val="21"/>
              </w:rPr>
            </w:pPr>
            <w:r>
              <w:rPr>
                <w:rFonts w:hint="eastAsia" w:ascii="仿宋" w:hAnsi="仿宋" w:eastAsia="仿宋" w:cs="仿宋"/>
                <w:bCs/>
                <w:szCs w:val="21"/>
              </w:rPr>
              <w:t>排放源参数</w:t>
            </w:r>
          </w:p>
        </w:tc>
        <w:tc>
          <w:tcPr>
            <w:tcW w:w="737" w:type="dxa"/>
            <w:vMerge w:val="restart"/>
            <w:shd w:val="clear" w:color="auto" w:fill="auto"/>
            <w:vAlign w:val="center"/>
          </w:tcPr>
          <w:p>
            <w:pPr>
              <w:widowControl/>
              <w:jc w:val="center"/>
              <w:rPr>
                <w:rFonts w:ascii="仿宋" w:hAnsi="仿宋" w:eastAsia="仿宋" w:cs="仿宋"/>
                <w:bCs/>
                <w:szCs w:val="21"/>
              </w:rPr>
            </w:pPr>
            <w:r>
              <w:rPr>
                <w:rFonts w:hint="eastAsia" w:ascii="仿宋" w:hAnsi="仿宋" w:eastAsia="仿宋" w:cs="仿宋"/>
                <w:bCs/>
                <w:szCs w:val="21"/>
              </w:rPr>
              <w:t>排放方式</w:t>
            </w:r>
          </w:p>
        </w:tc>
        <w:tc>
          <w:tcPr>
            <w:tcW w:w="885" w:type="dxa"/>
            <w:vMerge w:val="restart"/>
            <w:vAlign w:val="center"/>
          </w:tcPr>
          <w:p>
            <w:pPr>
              <w:widowControl/>
              <w:jc w:val="center"/>
              <w:rPr>
                <w:rFonts w:ascii="仿宋" w:hAnsi="仿宋" w:eastAsia="仿宋" w:cs="仿宋"/>
                <w:bCs/>
                <w:szCs w:val="21"/>
              </w:rPr>
            </w:pPr>
            <w:r>
              <w:rPr>
                <w:rFonts w:hint="eastAsia" w:ascii="仿宋" w:hAnsi="仿宋" w:eastAsia="仿宋" w:cs="仿宋"/>
                <w:bCs/>
                <w:szCs w:val="21"/>
              </w:rPr>
              <w:t>时长（h）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555" w:type="dxa"/>
            <w:vMerge w:val="continue"/>
            <w:tcBorders>
              <w:bottom w:val="single" w:color="auto" w:sz="4" w:space="0"/>
            </w:tcBorders>
            <w:vAlign w:val="center"/>
          </w:tcPr>
          <w:p>
            <w:pPr>
              <w:spacing w:line="240" w:lineRule="exact"/>
              <w:jc w:val="center"/>
              <w:rPr>
                <w:rFonts w:ascii="仿宋" w:hAnsi="仿宋" w:eastAsia="仿宋" w:cs="仿宋"/>
                <w:bCs/>
                <w:szCs w:val="21"/>
              </w:rPr>
            </w:pPr>
          </w:p>
        </w:tc>
        <w:tc>
          <w:tcPr>
            <w:tcW w:w="564" w:type="dxa"/>
            <w:vMerge w:val="continue"/>
            <w:tcBorders>
              <w:bottom w:val="single" w:color="auto" w:sz="4" w:space="0"/>
            </w:tcBorders>
            <w:vAlign w:val="center"/>
          </w:tcPr>
          <w:p>
            <w:pPr>
              <w:spacing w:line="240" w:lineRule="exact"/>
              <w:jc w:val="center"/>
              <w:rPr>
                <w:rFonts w:ascii="仿宋" w:hAnsi="仿宋" w:eastAsia="仿宋" w:cs="仿宋"/>
                <w:bCs/>
                <w:szCs w:val="21"/>
              </w:rPr>
            </w:pPr>
          </w:p>
        </w:tc>
        <w:tc>
          <w:tcPr>
            <w:tcW w:w="2192" w:type="dxa"/>
            <w:vMerge w:val="continue"/>
            <w:tcBorders>
              <w:bottom w:val="single" w:color="auto" w:sz="4" w:space="0"/>
            </w:tcBorders>
            <w:vAlign w:val="center"/>
          </w:tcPr>
          <w:p>
            <w:pPr>
              <w:spacing w:line="240" w:lineRule="exact"/>
              <w:jc w:val="center"/>
              <w:rPr>
                <w:rFonts w:ascii="仿宋" w:hAnsi="仿宋" w:eastAsia="仿宋" w:cs="仿宋"/>
                <w:bCs/>
                <w:szCs w:val="21"/>
              </w:rPr>
            </w:pPr>
          </w:p>
        </w:tc>
        <w:tc>
          <w:tcPr>
            <w:tcW w:w="851" w:type="dxa"/>
            <w:vMerge w:val="continue"/>
            <w:tcBorders>
              <w:bottom w:val="single" w:color="auto" w:sz="4" w:space="0"/>
            </w:tcBorders>
            <w:vAlign w:val="center"/>
          </w:tcPr>
          <w:p>
            <w:pPr>
              <w:spacing w:line="240" w:lineRule="exact"/>
              <w:jc w:val="center"/>
              <w:rPr>
                <w:rFonts w:ascii="仿宋" w:hAnsi="仿宋" w:eastAsia="仿宋" w:cs="仿宋"/>
                <w:bCs/>
                <w:szCs w:val="21"/>
              </w:rPr>
            </w:pPr>
          </w:p>
        </w:tc>
        <w:tc>
          <w:tcPr>
            <w:tcW w:w="1062" w:type="dxa"/>
            <w:vMerge w:val="continue"/>
            <w:tcBorders>
              <w:bottom w:val="single" w:color="auto" w:sz="4" w:space="0"/>
            </w:tcBorders>
            <w:vAlign w:val="center"/>
          </w:tcPr>
          <w:p>
            <w:pPr>
              <w:spacing w:line="240" w:lineRule="exact"/>
              <w:jc w:val="center"/>
              <w:rPr>
                <w:rFonts w:ascii="仿宋" w:hAnsi="仿宋" w:eastAsia="仿宋" w:cs="仿宋"/>
                <w:bCs/>
                <w:szCs w:val="21"/>
              </w:rPr>
            </w:pPr>
          </w:p>
        </w:tc>
        <w:tc>
          <w:tcPr>
            <w:tcW w:w="986" w:type="dxa"/>
            <w:tcBorders>
              <w:bottom w:val="single" w:color="auto" w:sz="4" w:space="0"/>
            </w:tcBorders>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浓度</w:t>
            </w:r>
            <w:r>
              <w:rPr>
                <w:rFonts w:ascii="仿宋" w:hAnsi="仿宋" w:eastAsia="仿宋" w:cs="仿宋"/>
                <w:bCs/>
                <w:szCs w:val="21"/>
              </w:rPr>
              <w:t>(mg/m</w:t>
            </w:r>
            <w:r>
              <w:rPr>
                <w:rFonts w:ascii="仿宋" w:hAnsi="仿宋" w:eastAsia="仿宋" w:cs="仿宋"/>
                <w:bCs/>
                <w:szCs w:val="21"/>
                <w:vertAlign w:val="superscript"/>
              </w:rPr>
              <w:t>3</w:t>
            </w:r>
            <w:r>
              <w:rPr>
                <w:rFonts w:ascii="仿宋" w:hAnsi="仿宋" w:eastAsia="仿宋" w:cs="仿宋"/>
                <w:bCs/>
                <w:szCs w:val="21"/>
              </w:rPr>
              <w:t>)</w:t>
            </w:r>
          </w:p>
        </w:tc>
        <w:tc>
          <w:tcPr>
            <w:tcW w:w="973" w:type="dxa"/>
            <w:tcBorders>
              <w:bottom w:val="single" w:color="auto" w:sz="4" w:space="0"/>
            </w:tcBorders>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速率</w:t>
            </w:r>
            <w:r>
              <w:rPr>
                <w:rFonts w:ascii="仿宋" w:hAnsi="仿宋" w:eastAsia="仿宋" w:cs="仿宋"/>
                <w:bCs/>
                <w:szCs w:val="21"/>
              </w:rPr>
              <w:t>(kg/h)</w:t>
            </w:r>
          </w:p>
        </w:tc>
        <w:tc>
          <w:tcPr>
            <w:tcW w:w="1108" w:type="dxa"/>
            <w:tcBorders>
              <w:bottom w:val="single" w:color="auto" w:sz="4" w:space="0"/>
            </w:tcBorders>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产生量</w:t>
            </w:r>
            <w:r>
              <w:rPr>
                <w:rFonts w:ascii="仿宋" w:hAnsi="仿宋" w:eastAsia="仿宋" w:cs="仿宋"/>
                <w:bCs/>
                <w:szCs w:val="21"/>
              </w:rPr>
              <w:t>(t/a)</w:t>
            </w:r>
          </w:p>
        </w:tc>
        <w:tc>
          <w:tcPr>
            <w:tcW w:w="1450" w:type="dxa"/>
            <w:vMerge w:val="continue"/>
            <w:tcBorders>
              <w:bottom w:val="single" w:color="auto" w:sz="4" w:space="0"/>
            </w:tcBorders>
            <w:vAlign w:val="center"/>
          </w:tcPr>
          <w:p>
            <w:pPr>
              <w:spacing w:line="240" w:lineRule="exact"/>
              <w:jc w:val="center"/>
              <w:rPr>
                <w:rFonts w:ascii="仿宋" w:hAnsi="仿宋" w:eastAsia="仿宋" w:cs="仿宋"/>
                <w:bCs/>
                <w:szCs w:val="21"/>
              </w:rPr>
            </w:pPr>
          </w:p>
        </w:tc>
        <w:tc>
          <w:tcPr>
            <w:tcW w:w="900" w:type="dxa"/>
            <w:tcBorders>
              <w:bottom w:val="single" w:color="auto" w:sz="4" w:space="0"/>
            </w:tcBorders>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排放高度</w:t>
            </w:r>
            <w:r>
              <w:rPr>
                <w:rFonts w:ascii="仿宋" w:hAnsi="仿宋" w:eastAsia="仿宋" w:cs="仿宋"/>
                <w:bCs/>
                <w:szCs w:val="21"/>
              </w:rPr>
              <w:t>(m)</w:t>
            </w:r>
          </w:p>
        </w:tc>
        <w:tc>
          <w:tcPr>
            <w:tcW w:w="825" w:type="dxa"/>
            <w:tcBorders>
              <w:bottom w:val="single" w:color="auto" w:sz="4" w:space="0"/>
            </w:tcBorders>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直径(m)</w:t>
            </w:r>
          </w:p>
        </w:tc>
        <w:tc>
          <w:tcPr>
            <w:tcW w:w="862" w:type="dxa"/>
            <w:tcBorders>
              <w:bottom w:val="single" w:color="auto" w:sz="4" w:space="0"/>
            </w:tcBorders>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烟气出口温度（℃）</w:t>
            </w:r>
          </w:p>
        </w:tc>
        <w:tc>
          <w:tcPr>
            <w:tcW w:w="737" w:type="dxa"/>
            <w:vMerge w:val="continue"/>
            <w:tcBorders>
              <w:bottom w:val="single" w:color="auto" w:sz="4" w:space="0"/>
            </w:tcBorders>
            <w:vAlign w:val="center"/>
          </w:tcPr>
          <w:p>
            <w:pPr>
              <w:spacing w:line="240" w:lineRule="exact"/>
              <w:jc w:val="center"/>
              <w:rPr>
                <w:rFonts w:ascii="仿宋" w:hAnsi="仿宋" w:eastAsia="仿宋" w:cs="仿宋"/>
                <w:bCs/>
                <w:szCs w:val="21"/>
              </w:rPr>
            </w:pPr>
          </w:p>
        </w:tc>
        <w:tc>
          <w:tcPr>
            <w:tcW w:w="885" w:type="dxa"/>
            <w:vMerge w:val="continue"/>
            <w:tcBorders>
              <w:bottom w:val="single" w:color="auto" w:sz="4" w:space="0"/>
            </w:tcBorders>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555" w:type="dxa"/>
            <w:vMerge w:val="restar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w:t>
            </w:r>
            <w:r>
              <w:rPr>
                <w:rFonts w:ascii="仿宋" w:hAnsi="仿宋" w:eastAsia="仿宋" w:cs="仿宋"/>
                <w:bCs/>
                <w:szCs w:val="21"/>
              </w:rPr>
              <w:t>#</w:t>
            </w:r>
          </w:p>
        </w:tc>
        <w:tc>
          <w:tcPr>
            <w:tcW w:w="564" w:type="dxa"/>
            <w:vMerge w:val="restar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生产车间</w:t>
            </w:r>
          </w:p>
        </w:tc>
        <w:tc>
          <w:tcPr>
            <w:tcW w:w="2192" w:type="dxa"/>
            <w:vMerge w:val="restar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配胶废气G1</w:t>
            </w:r>
          </w:p>
        </w:tc>
        <w:tc>
          <w:tcPr>
            <w:tcW w:w="851" w:type="dxa"/>
            <w:vMerge w:val="restar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50000</w:t>
            </w:r>
          </w:p>
        </w:tc>
        <w:tc>
          <w:tcPr>
            <w:tcW w:w="1062"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非甲烷</w:t>
            </w:r>
            <w:r>
              <w:rPr>
                <w:rFonts w:ascii="仿宋" w:hAnsi="仿宋" w:eastAsia="仿宋" w:cs="仿宋"/>
                <w:bCs/>
                <w:szCs w:val="21"/>
              </w:rPr>
              <w:t>总烃</w:t>
            </w:r>
          </w:p>
        </w:tc>
        <w:tc>
          <w:tcPr>
            <w:tcW w:w="986"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6</w:t>
            </w:r>
            <w:r>
              <w:rPr>
                <w:rFonts w:ascii="仿宋" w:hAnsi="仿宋" w:eastAsia="仿宋" w:cs="仿宋"/>
                <w:bCs/>
                <w:szCs w:val="21"/>
              </w:rPr>
              <w:t>31.6</w:t>
            </w:r>
          </w:p>
        </w:tc>
        <w:tc>
          <w:tcPr>
            <w:tcW w:w="973"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w:t>
            </w:r>
            <w:r>
              <w:rPr>
                <w:rFonts w:ascii="仿宋" w:hAnsi="仿宋" w:eastAsia="仿宋" w:cs="仿宋"/>
                <w:bCs/>
                <w:szCs w:val="21"/>
              </w:rPr>
              <w:t>1.58</w:t>
            </w:r>
          </w:p>
        </w:tc>
        <w:tc>
          <w:tcPr>
            <w:tcW w:w="1108"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113.69</w:t>
            </w:r>
          </w:p>
        </w:tc>
        <w:tc>
          <w:tcPr>
            <w:tcW w:w="1450" w:type="dxa"/>
            <w:vMerge w:val="restar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R</w:t>
            </w:r>
            <w:r>
              <w:rPr>
                <w:rFonts w:ascii="仿宋" w:hAnsi="仿宋" w:eastAsia="仿宋" w:cs="仿宋"/>
                <w:bCs/>
                <w:szCs w:val="21"/>
              </w:rPr>
              <w:t>TO</w:t>
            </w:r>
            <w:r>
              <w:rPr>
                <w:rFonts w:hint="eastAsia" w:ascii="仿宋" w:hAnsi="仿宋" w:eastAsia="仿宋" w:cs="仿宋"/>
                <w:bCs/>
                <w:szCs w:val="21"/>
              </w:rPr>
              <w:t>焚烧</w:t>
            </w:r>
            <w:r>
              <w:rPr>
                <w:rFonts w:ascii="仿宋" w:hAnsi="仿宋" w:eastAsia="仿宋" w:cs="仿宋"/>
                <w:bCs/>
                <w:szCs w:val="21"/>
              </w:rPr>
              <w:t>处理</w:t>
            </w:r>
          </w:p>
        </w:tc>
        <w:tc>
          <w:tcPr>
            <w:tcW w:w="900" w:type="dxa"/>
            <w:vMerge w:val="restar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w:t>
            </w:r>
            <w:r>
              <w:rPr>
                <w:rFonts w:ascii="仿宋" w:hAnsi="仿宋" w:eastAsia="仿宋" w:cs="仿宋"/>
                <w:bCs/>
                <w:szCs w:val="21"/>
              </w:rPr>
              <w:t>0</w:t>
            </w:r>
          </w:p>
        </w:tc>
        <w:tc>
          <w:tcPr>
            <w:tcW w:w="825" w:type="dxa"/>
            <w:vMerge w:val="restar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1.7</w:t>
            </w:r>
          </w:p>
        </w:tc>
        <w:tc>
          <w:tcPr>
            <w:tcW w:w="862" w:type="dxa"/>
            <w:vMerge w:val="restar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25</w:t>
            </w:r>
          </w:p>
        </w:tc>
        <w:tc>
          <w:tcPr>
            <w:tcW w:w="737" w:type="dxa"/>
            <w:vMerge w:val="restar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间歇</w:t>
            </w:r>
          </w:p>
        </w:tc>
        <w:tc>
          <w:tcPr>
            <w:tcW w:w="885" w:type="dxa"/>
            <w:vMerge w:val="restar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w:t>
            </w:r>
            <w:r>
              <w:rPr>
                <w:rFonts w:ascii="仿宋" w:hAnsi="仿宋" w:eastAsia="仿宋" w:cs="仿宋"/>
                <w:bCs/>
                <w:szCs w:val="21"/>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55" w:type="dxa"/>
            <w:vMerge w:val="continue"/>
            <w:shd w:val="clear" w:color="auto" w:fill="auto"/>
            <w:vAlign w:val="center"/>
          </w:tcPr>
          <w:p>
            <w:pPr>
              <w:spacing w:line="240" w:lineRule="exact"/>
              <w:jc w:val="center"/>
              <w:rPr>
                <w:rFonts w:ascii="仿宋" w:hAnsi="仿宋" w:eastAsia="仿宋" w:cs="仿宋"/>
                <w:bCs/>
                <w:szCs w:val="21"/>
              </w:rPr>
            </w:pPr>
          </w:p>
        </w:tc>
        <w:tc>
          <w:tcPr>
            <w:tcW w:w="564" w:type="dxa"/>
            <w:vMerge w:val="continue"/>
            <w:vAlign w:val="center"/>
          </w:tcPr>
          <w:p>
            <w:pPr>
              <w:spacing w:line="240" w:lineRule="exact"/>
              <w:jc w:val="center"/>
              <w:rPr>
                <w:rFonts w:ascii="仿宋" w:hAnsi="仿宋" w:eastAsia="仿宋" w:cs="仿宋"/>
                <w:bCs/>
                <w:szCs w:val="21"/>
              </w:rPr>
            </w:pPr>
          </w:p>
        </w:tc>
        <w:tc>
          <w:tcPr>
            <w:tcW w:w="2192" w:type="dxa"/>
            <w:vMerge w:val="continue"/>
            <w:vAlign w:val="center"/>
          </w:tcPr>
          <w:p>
            <w:pPr>
              <w:spacing w:line="240" w:lineRule="exact"/>
              <w:jc w:val="center"/>
              <w:rPr>
                <w:rFonts w:ascii="仿宋" w:hAnsi="仿宋" w:eastAsia="仿宋" w:cs="仿宋"/>
                <w:bCs/>
                <w:szCs w:val="21"/>
              </w:rPr>
            </w:pPr>
          </w:p>
        </w:tc>
        <w:tc>
          <w:tcPr>
            <w:tcW w:w="851" w:type="dxa"/>
            <w:vMerge w:val="continue"/>
            <w:shd w:val="clear" w:color="auto" w:fill="auto"/>
            <w:vAlign w:val="center"/>
          </w:tcPr>
          <w:p>
            <w:pPr>
              <w:spacing w:line="240" w:lineRule="exact"/>
              <w:jc w:val="center"/>
              <w:rPr>
                <w:rFonts w:ascii="仿宋" w:hAnsi="仿宋" w:eastAsia="仿宋" w:cs="仿宋"/>
                <w:bCs/>
                <w:szCs w:val="21"/>
              </w:rPr>
            </w:pPr>
          </w:p>
        </w:tc>
        <w:tc>
          <w:tcPr>
            <w:tcW w:w="1062" w:type="dxa"/>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二甲苯</w:t>
            </w:r>
          </w:p>
        </w:tc>
        <w:tc>
          <w:tcPr>
            <w:tcW w:w="986"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6</w:t>
            </w:r>
            <w:r>
              <w:rPr>
                <w:rFonts w:ascii="仿宋" w:hAnsi="仿宋" w:eastAsia="仿宋" w:cs="仿宋"/>
                <w:bCs/>
                <w:szCs w:val="21"/>
              </w:rPr>
              <w:t>0.4</w:t>
            </w:r>
          </w:p>
        </w:tc>
        <w:tc>
          <w:tcPr>
            <w:tcW w:w="973"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w:t>
            </w:r>
            <w:r>
              <w:rPr>
                <w:rFonts w:ascii="仿宋" w:hAnsi="仿宋" w:eastAsia="仿宋" w:cs="仿宋"/>
                <w:bCs/>
                <w:szCs w:val="21"/>
              </w:rPr>
              <w:t>.02</w:t>
            </w:r>
          </w:p>
        </w:tc>
        <w:tc>
          <w:tcPr>
            <w:tcW w:w="1108"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10.89</w:t>
            </w:r>
          </w:p>
        </w:tc>
        <w:tc>
          <w:tcPr>
            <w:tcW w:w="1450" w:type="dxa"/>
            <w:vMerge w:val="continue"/>
            <w:shd w:val="clear" w:color="auto" w:fill="auto"/>
            <w:vAlign w:val="center"/>
          </w:tcPr>
          <w:p>
            <w:pPr>
              <w:spacing w:line="240" w:lineRule="exact"/>
              <w:jc w:val="center"/>
              <w:rPr>
                <w:rFonts w:ascii="仿宋" w:hAnsi="仿宋" w:eastAsia="仿宋" w:cs="仿宋"/>
                <w:bCs/>
                <w:szCs w:val="21"/>
              </w:rPr>
            </w:pPr>
          </w:p>
        </w:tc>
        <w:tc>
          <w:tcPr>
            <w:tcW w:w="900" w:type="dxa"/>
            <w:vMerge w:val="continue"/>
            <w:shd w:val="clear" w:color="auto" w:fill="auto"/>
            <w:vAlign w:val="center"/>
          </w:tcPr>
          <w:p>
            <w:pPr>
              <w:spacing w:line="240" w:lineRule="exact"/>
              <w:jc w:val="center"/>
              <w:rPr>
                <w:rFonts w:ascii="仿宋" w:hAnsi="仿宋" w:eastAsia="仿宋" w:cs="仿宋"/>
                <w:bCs/>
                <w:szCs w:val="21"/>
              </w:rPr>
            </w:pPr>
          </w:p>
        </w:tc>
        <w:tc>
          <w:tcPr>
            <w:tcW w:w="825" w:type="dxa"/>
            <w:vMerge w:val="continue"/>
            <w:shd w:val="clear" w:color="auto" w:fill="auto"/>
            <w:vAlign w:val="center"/>
          </w:tcPr>
          <w:p>
            <w:pPr>
              <w:spacing w:line="240" w:lineRule="exact"/>
              <w:jc w:val="center"/>
              <w:rPr>
                <w:rFonts w:ascii="仿宋" w:hAnsi="仿宋" w:eastAsia="仿宋" w:cs="仿宋"/>
                <w:bCs/>
                <w:szCs w:val="21"/>
              </w:rPr>
            </w:pPr>
          </w:p>
        </w:tc>
        <w:tc>
          <w:tcPr>
            <w:tcW w:w="862" w:type="dxa"/>
            <w:vMerge w:val="continue"/>
            <w:shd w:val="clear" w:color="auto" w:fill="auto"/>
            <w:vAlign w:val="center"/>
          </w:tcPr>
          <w:p>
            <w:pPr>
              <w:spacing w:line="240" w:lineRule="exact"/>
              <w:jc w:val="center"/>
              <w:rPr>
                <w:rFonts w:ascii="仿宋" w:hAnsi="仿宋" w:eastAsia="仿宋" w:cs="仿宋"/>
                <w:bCs/>
                <w:szCs w:val="21"/>
              </w:rPr>
            </w:pPr>
          </w:p>
        </w:tc>
        <w:tc>
          <w:tcPr>
            <w:tcW w:w="737" w:type="dxa"/>
            <w:vMerge w:val="continue"/>
            <w:shd w:val="clear" w:color="auto" w:fill="auto"/>
            <w:vAlign w:val="center"/>
          </w:tcPr>
          <w:p>
            <w:pPr>
              <w:spacing w:line="240" w:lineRule="exact"/>
              <w:jc w:val="center"/>
              <w:rPr>
                <w:rFonts w:ascii="仿宋" w:hAnsi="仿宋" w:eastAsia="仿宋" w:cs="仿宋"/>
                <w:bCs/>
                <w:szCs w:val="21"/>
              </w:rPr>
            </w:pPr>
          </w:p>
        </w:tc>
        <w:tc>
          <w:tcPr>
            <w:tcW w:w="885" w:type="dxa"/>
            <w:vMerge w:val="continue"/>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55" w:type="dxa"/>
            <w:vMerge w:val="continue"/>
            <w:shd w:val="clear" w:color="auto" w:fill="auto"/>
            <w:vAlign w:val="center"/>
          </w:tcPr>
          <w:p>
            <w:pPr>
              <w:spacing w:line="240" w:lineRule="exact"/>
              <w:jc w:val="center"/>
              <w:rPr>
                <w:rFonts w:ascii="仿宋" w:hAnsi="仿宋" w:eastAsia="仿宋" w:cs="仿宋"/>
                <w:bCs/>
                <w:szCs w:val="21"/>
              </w:rPr>
            </w:pPr>
          </w:p>
        </w:tc>
        <w:tc>
          <w:tcPr>
            <w:tcW w:w="564" w:type="dxa"/>
            <w:vMerge w:val="continue"/>
            <w:vAlign w:val="center"/>
          </w:tcPr>
          <w:p>
            <w:pPr>
              <w:spacing w:line="240" w:lineRule="exact"/>
              <w:jc w:val="center"/>
              <w:rPr>
                <w:rFonts w:ascii="仿宋" w:hAnsi="仿宋" w:eastAsia="仿宋" w:cs="仿宋"/>
                <w:bCs/>
                <w:szCs w:val="21"/>
              </w:rPr>
            </w:pPr>
          </w:p>
        </w:tc>
        <w:tc>
          <w:tcPr>
            <w:tcW w:w="2192" w:type="dxa"/>
            <w:vMerge w:val="continue"/>
            <w:vAlign w:val="center"/>
          </w:tcPr>
          <w:p>
            <w:pPr>
              <w:spacing w:line="240" w:lineRule="exact"/>
              <w:jc w:val="center"/>
              <w:rPr>
                <w:rFonts w:ascii="仿宋" w:hAnsi="仿宋" w:eastAsia="仿宋" w:cs="仿宋"/>
                <w:bCs/>
                <w:szCs w:val="21"/>
              </w:rPr>
            </w:pPr>
          </w:p>
        </w:tc>
        <w:tc>
          <w:tcPr>
            <w:tcW w:w="851" w:type="dxa"/>
            <w:vMerge w:val="continue"/>
            <w:shd w:val="clear" w:color="auto" w:fill="auto"/>
            <w:vAlign w:val="center"/>
          </w:tcPr>
          <w:p>
            <w:pPr>
              <w:spacing w:line="240" w:lineRule="exact"/>
              <w:jc w:val="center"/>
              <w:rPr>
                <w:rFonts w:ascii="仿宋" w:hAnsi="仿宋" w:eastAsia="仿宋" w:cs="仿宋"/>
                <w:bCs/>
                <w:szCs w:val="21"/>
              </w:rPr>
            </w:pPr>
          </w:p>
        </w:tc>
        <w:tc>
          <w:tcPr>
            <w:tcW w:w="1062"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乙酸乙酯</w:t>
            </w:r>
          </w:p>
        </w:tc>
        <w:tc>
          <w:tcPr>
            <w:tcW w:w="986"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5</w:t>
            </w:r>
            <w:r>
              <w:rPr>
                <w:rFonts w:ascii="仿宋" w:hAnsi="仿宋" w:eastAsia="仿宋" w:cs="仿宋"/>
                <w:bCs/>
                <w:szCs w:val="21"/>
              </w:rPr>
              <w:t>47.8</w:t>
            </w:r>
          </w:p>
        </w:tc>
        <w:tc>
          <w:tcPr>
            <w:tcW w:w="973"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w:t>
            </w:r>
            <w:r>
              <w:rPr>
                <w:rFonts w:ascii="仿宋" w:hAnsi="仿宋" w:eastAsia="仿宋" w:cs="仿宋"/>
                <w:bCs/>
                <w:szCs w:val="21"/>
              </w:rPr>
              <w:t>7.39</w:t>
            </w:r>
          </w:p>
        </w:tc>
        <w:tc>
          <w:tcPr>
            <w:tcW w:w="1108"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98.62</w:t>
            </w:r>
          </w:p>
        </w:tc>
        <w:tc>
          <w:tcPr>
            <w:tcW w:w="1450" w:type="dxa"/>
            <w:vMerge w:val="continue"/>
            <w:shd w:val="clear" w:color="auto" w:fill="auto"/>
            <w:vAlign w:val="center"/>
          </w:tcPr>
          <w:p>
            <w:pPr>
              <w:spacing w:line="240" w:lineRule="exact"/>
              <w:jc w:val="center"/>
              <w:rPr>
                <w:rFonts w:ascii="仿宋" w:hAnsi="仿宋" w:eastAsia="仿宋" w:cs="仿宋"/>
                <w:bCs/>
                <w:szCs w:val="21"/>
              </w:rPr>
            </w:pPr>
          </w:p>
        </w:tc>
        <w:tc>
          <w:tcPr>
            <w:tcW w:w="900" w:type="dxa"/>
            <w:vMerge w:val="continue"/>
            <w:shd w:val="clear" w:color="auto" w:fill="auto"/>
            <w:vAlign w:val="center"/>
          </w:tcPr>
          <w:p>
            <w:pPr>
              <w:spacing w:line="240" w:lineRule="exact"/>
              <w:jc w:val="center"/>
              <w:rPr>
                <w:rFonts w:ascii="仿宋" w:hAnsi="仿宋" w:eastAsia="仿宋" w:cs="仿宋"/>
                <w:bCs/>
                <w:szCs w:val="21"/>
              </w:rPr>
            </w:pPr>
          </w:p>
        </w:tc>
        <w:tc>
          <w:tcPr>
            <w:tcW w:w="825" w:type="dxa"/>
            <w:vMerge w:val="continue"/>
            <w:shd w:val="clear" w:color="auto" w:fill="auto"/>
            <w:vAlign w:val="center"/>
          </w:tcPr>
          <w:p>
            <w:pPr>
              <w:spacing w:line="240" w:lineRule="exact"/>
              <w:jc w:val="center"/>
              <w:rPr>
                <w:rFonts w:ascii="仿宋" w:hAnsi="仿宋" w:eastAsia="仿宋" w:cs="仿宋"/>
                <w:bCs/>
                <w:szCs w:val="21"/>
              </w:rPr>
            </w:pPr>
          </w:p>
        </w:tc>
        <w:tc>
          <w:tcPr>
            <w:tcW w:w="862" w:type="dxa"/>
            <w:vMerge w:val="continue"/>
            <w:shd w:val="clear" w:color="auto" w:fill="auto"/>
            <w:vAlign w:val="center"/>
          </w:tcPr>
          <w:p>
            <w:pPr>
              <w:spacing w:line="240" w:lineRule="exact"/>
              <w:jc w:val="center"/>
              <w:rPr>
                <w:rFonts w:ascii="仿宋" w:hAnsi="仿宋" w:eastAsia="仿宋" w:cs="仿宋"/>
                <w:bCs/>
                <w:szCs w:val="21"/>
              </w:rPr>
            </w:pPr>
          </w:p>
        </w:tc>
        <w:tc>
          <w:tcPr>
            <w:tcW w:w="737" w:type="dxa"/>
            <w:vMerge w:val="continue"/>
            <w:shd w:val="clear" w:color="auto" w:fill="auto"/>
            <w:vAlign w:val="center"/>
          </w:tcPr>
          <w:p>
            <w:pPr>
              <w:spacing w:line="240" w:lineRule="exact"/>
              <w:jc w:val="center"/>
              <w:rPr>
                <w:rFonts w:ascii="仿宋" w:hAnsi="仿宋" w:eastAsia="仿宋" w:cs="仿宋"/>
                <w:bCs/>
                <w:szCs w:val="21"/>
              </w:rPr>
            </w:pPr>
          </w:p>
        </w:tc>
        <w:tc>
          <w:tcPr>
            <w:tcW w:w="885" w:type="dxa"/>
            <w:vMerge w:val="continue"/>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555" w:type="dxa"/>
            <w:vMerge w:val="continue"/>
            <w:shd w:val="clear" w:color="auto" w:fill="auto"/>
            <w:vAlign w:val="center"/>
          </w:tcPr>
          <w:p>
            <w:pPr>
              <w:spacing w:line="240" w:lineRule="exact"/>
              <w:jc w:val="center"/>
              <w:rPr>
                <w:rFonts w:ascii="仿宋" w:hAnsi="仿宋" w:eastAsia="仿宋" w:cs="仿宋"/>
                <w:bCs/>
                <w:szCs w:val="21"/>
              </w:rPr>
            </w:pPr>
          </w:p>
        </w:tc>
        <w:tc>
          <w:tcPr>
            <w:tcW w:w="564" w:type="dxa"/>
            <w:vMerge w:val="continue"/>
            <w:vAlign w:val="center"/>
          </w:tcPr>
          <w:p>
            <w:pPr>
              <w:spacing w:line="240" w:lineRule="exact"/>
              <w:jc w:val="center"/>
              <w:rPr>
                <w:rFonts w:ascii="仿宋" w:hAnsi="仿宋" w:eastAsia="仿宋" w:cs="仿宋"/>
                <w:bCs/>
                <w:szCs w:val="21"/>
              </w:rPr>
            </w:pPr>
          </w:p>
        </w:tc>
        <w:tc>
          <w:tcPr>
            <w:tcW w:w="2192" w:type="dxa"/>
            <w:vMerge w:val="restar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涂布干燥废气G2</w:t>
            </w:r>
          </w:p>
        </w:tc>
        <w:tc>
          <w:tcPr>
            <w:tcW w:w="851" w:type="dxa"/>
            <w:vMerge w:val="continue"/>
            <w:shd w:val="clear" w:color="auto" w:fill="auto"/>
            <w:vAlign w:val="center"/>
          </w:tcPr>
          <w:p>
            <w:pPr>
              <w:spacing w:line="240" w:lineRule="exact"/>
              <w:jc w:val="center"/>
              <w:rPr>
                <w:rFonts w:ascii="仿宋" w:hAnsi="仿宋" w:eastAsia="仿宋" w:cs="仿宋"/>
                <w:bCs/>
                <w:szCs w:val="21"/>
              </w:rPr>
            </w:pPr>
          </w:p>
        </w:tc>
        <w:tc>
          <w:tcPr>
            <w:tcW w:w="1062"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非甲烷</w:t>
            </w:r>
            <w:r>
              <w:rPr>
                <w:rFonts w:ascii="仿宋" w:hAnsi="仿宋" w:eastAsia="仿宋" w:cs="仿宋"/>
                <w:bCs/>
                <w:szCs w:val="21"/>
              </w:rPr>
              <w:t>总烃</w:t>
            </w:r>
          </w:p>
        </w:tc>
        <w:tc>
          <w:tcPr>
            <w:tcW w:w="986"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7</w:t>
            </w:r>
            <w:r>
              <w:rPr>
                <w:rFonts w:ascii="仿宋" w:hAnsi="仿宋" w:eastAsia="仿宋" w:cs="仿宋"/>
                <w:bCs/>
                <w:szCs w:val="21"/>
              </w:rPr>
              <w:t>36.8</w:t>
            </w:r>
          </w:p>
        </w:tc>
        <w:tc>
          <w:tcPr>
            <w:tcW w:w="973"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w:t>
            </w:r>
            <w:r>
              <w:rPr>
                <w:rFonts w:ascii="仿宋" w:hAnsi="仿宋" w:eastAsia="仿宋" w:cs="仿宋"/>
                <w:bCs/>
                <w:szCs w:val="21"/>
              </w:rPr>
              <w:t>6.84</w:t>
            </w:r>
          </w:p>
        </w:tc>
        <w:tc>
          <w:tcPr>
            <w:tcW w:w="1108"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265.29</w:t>
            </w:r>
          </w:p>
        </w:tc>
        <w:tc>
          <w:tcPr>
            <w:tcW w:w="1450" w:type="dxa"/>
            <w:vMerge w:val="continue"/>
            <w:shd w:val="clear" w:color="auto" w:fill="auto"/>
            <w:vAlign w:val="center"/>
          </w:tcPr>
          <w:p>
            <w:pPr>
              <w:spacing w:line="240" w:lineRule="exact"/>
              <w:jc w:val="center"/>
              <w:rPr>
                <w:rFonts w:ascii="仿宋" w:hAnsi="仿宋" w:eastAsia="仿宋" w:cs="仿宋"/>
                <w:bCs/>
                <w:szCs w:val="21"/>
              </w:rPr>
            </w:pPr>
          </w:p>
        </w:tc>
        <w:tc>
          <w:tcPr>
            <w:tcW w:w="900" w:type="dxa"/>
            <w:vMerge w:val="continue"/>
            <w:shd w:val="clear" w:color="auto" w:fill="auto"/>
            <w:vAlign w:val="center"/>
          </w:tcPr>
          <w:p>
            <w:pPr>
              <w:spacing w:line="240" w:lineRule="exact"/>
              <w:jc w:val="center"/>
              <w:rPr>
                <w:rFonts w:ascii="仿宋" w:hAnsi="仿宋" w:eastAsia="仿宋" w:cs="仿宋"/>
                <w:bCs/>
                <w:szCs w:val="21"/>
              </w:rPr>
            </w:pPr>
          </w:p>
        </w:tc>
        <w:tc>
          <w:tcPr>
            <w:tcW w:w="825" w:type="dxa"/>
            <w:vMerge w:val="continue"/>
            <w:shd w:val="clear" w:color="auto" w:fill="auto"/>
            <w:vAlign w:val="center"/>
          </w:tcPr>
          <w:p>
            <w:pPr>
              <w:spacing w:line="240" w:lineRule="exact"/>
              <w:jc w:val="center"/>
              <w:rPr>
                <w:rFonts w:ascii="仿宋" w:hAnsi="仿宋" w:eastAsia="仿宋" w:cs="仿宋"/>
                <w:bCs/>
                <w:szCs w:val="21"/>
              </w:rPr>
            </w:pPr>
          </w:p>
        </w:tc>
        <w:tc>
          <w:tcPr>
            <w:tcW w:w="862" w:type="dxa"/>
            <w:vMerge w:val="continue"/>
            <w:shd w:val="clear" w:color="auto" w:fill="auto"/>
            <w:vAlign w:val="center"/>
          </w:tcPr>
          <w:p>
            <w:pPr>
              <w:spacing w:line="240" w:lineRule="exact"/>
              <w:jc w:val="center"/>
              <w:rPr>
                <w:rFonts w:ascii="仿宋" w:hAnsi="仿宋" w:eastAsia="仿宋" w:cs="仿宋"/>
                <w:bCs/>
                <w:szCs w:val="21"/>
              </w:rPr>
            </w:pPr>
          </w:p>
        </w:tc>
        <w:tc>
          <w:tcPr>
            <w:tcW w:w="737" w:type="dxa"/>
            <w:vMerge w:val="continue"/>
            <w:shd w:val="clear" w:color="auto" w:fill="auto"/>
            <w:vAlign w:val="center"/>
          </w:tcPr>
          <w:p>
            <w:pPr>
              <w:spacing w:line="240" w:lineRule="exact"/>
              <w:jc w:val="center"/>
              <w:rPr>
                <w:rFonts w:ascii="仿宋" w:hAnsi="仿宋" w:eastAsia="仿宋" w:cs="仿宋"/>
                <w:bCs/>
                <w:szCs w:val="21"/>
              </w:rPr>
            </w:pPr>
          </w:p>
        </w:tc>
        <w:tc>
          <w:tcPr>
            <w:tcW w:w="885" w:type="dxa"/>
            <w:vMerge w:val="restar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7</w:t>
            </w:r>
            <w:r>
              <w:rPr>
                <w:rFonts w:ascii="仿宋" w:hAnsi="仿宋" w:eastAsia="仿宋" w:cs="仿宋"/>
                <w:bCs/>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55" w:type="dxa"/>
            <w:vMerge w:val="continue"/>
            <w:shd w:val="clear" w:color="auto" w:fill="auto"/>
            <w:vAlign w:val="center"/>
          </w:tcPr>
          <w:p>
            <w:pPr>
              <w:spacing w:line="240" w:lineRule="exact"/>
              <w:jc w:val="center"/>
              <w:rPr>
                <w:rFonts w:ascii="仿宋" w:hAnsi="仿宋" w:eastAsia="仿宋" w:cs="仿宋"/>
                <w:bCs/>
                <w:szCs w:val="21"/>
              </w:rPr>
            </w:pPr>
          </w:p>
        </w:tc>
        <w:tc>
          <w:tcPr>
            <w:tcW w:w="564" w:type="dxa"/>
            <w:vMerge w:val="continue"/>
            <w:vAlign w:val="center"/>
          </w:tcPr>
          <w:p>
            <w:pPr>
              <w:spacing w:line="240" w:lineRule="exact"/>
              <w:jc w:val="center"/>
              <w:rPr>
                <w:rFonts w:ascii="仿宋" w:hAnsi="仿宋" w:eastAsia="仿宋" w:cs="仿宋"/>
                <w:bCs/>
                <w:szCs w:val="21"/>
              </w:rPr>
            </w:pPr>
          </w:p>
        </w:tc>
        <w:tc>
          <w:tcPr>
            <w:tcW w:w="2192" w:type="dxa"/>
            <w:vMerge w:val="continue"/>
            <w:vAlign w:val="center"/>
          </w:tcPr>
          <w:p>
            <w:pPr>
              <w:spacing w:line="240" w:lineRule="exact"/>
              <w:jc w:val="center"/>
              <w:rPr>
                <w:rFonts w:ascii="仿宋" w:hAnsi="仿宋" w:eastAsia="仿宋" w:cs="仿宋"/>
                <w:bCs/>
                <w:szCs w:val="21"/>
              </w:rPr>
            </w:pPr>
          </w:p>
        </w:tc>
        <w:tc>
          <w:tcPr>
            <w:tcW w:w="851" w:type="dxa"/>
            <w:vMerge w:val="continue"/>
            <w:shd w:val="clear" w:color="auto" w:fill="auto"/>
            <w:vAlign w:val="center"/>
          </w:tcPr>
          <w:p>
            <w:pPr>
              <w:spacing w:line="240" w:lineRule="exact"/>
              <w:jc w:val="center"/>
              <w:rPr>
                <w:rFonts w:ascii="仿宋" w:hAnsi="仿宋" w:eastAsia="仿宋" w:cs="仿宋"/>
                <w:bCs/>
                <w:szCs w:val="21"/>
              </w:rPr>
            </w:pPr>
          </w:p>
        </w:tc>
        <w:tc>
          <w:tcPr>
            <w:tcW w:w="1062" w:type="dxa"/>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二甲苯</w:t>
            </w:r>
          </w:p>
        </w:tc>
        <w:tc>
          <w:tcPr>
            <w:tcW w:w="986"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7</w:t>
            </w:r>
            <w:r>
              <w:rPr>
                <w:rFonts w:ascii="仿宋" w:hAnsi="仿宋" w:eastAsia="仿宋" w:cs="仿宋"/>
                <w:bCs/>
                <w:szCs w:val="21"/>
              </w:rPr>
              <w:t>0.6</w:t>
            </w:r>
          </w:p>
        </w:tc>
        <w:tc>
          <w:tcPr>
            <w:tcW w:w="973"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w:t>
            </w:r>
            <w:r>
              <w:rPr>
                <w:rFonts w:ascii="仿宋" w:hAnsi="仿宋" w:eastAsia="仿宋" w:cs="仿宋"/>
                <w:bCs/>
                <w:szCs w:val="21"/>
              </w:rPr>
              <w:t>.53</w:t>
            </w:r>
          </w:p>
        </w:tc>
        <w:tc>
          <w:tcPr>
            <w:tcW w:w="1108"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25.42</w:t>
            </w:r>
          </w:p>
        </w:tc>
        <w:tc>
          <w:tcPr>
            <w:tcW w:w="1450" w:type="dxa"/>
            <w:vMerge w:val="continue"/>
            <w:shd w:val="clear" w:color="auto" w:fill="auto"/>
            <w:vAlign w:val="center"/>
          </w:tcPr>
          <w:p>
            <w:pPr>
              <w:spacing w:line="240" w:lineRule="exact"/>
              <w:jc w:val="center"/>
              <w:rPr>
                <w:rFonts w:ascii="仿宋" w:hAnsi="仿宋" w:eastAsia="仿宋" w:cs="仿宋"/>
                <w:bCs/>
                <w:szCs w:val="21"/>
              </w:rPr>
            </w:pPr>
          </w:p>
        </w:tc>
        <w:tc>
          <w:tcPr>
            <w:tcW w:w="900" w:type="dxa"/>
            <w:vMerge w:val="continue"/>
            <w:shd w:val="clear" w:color="auto" w:fill="auto"/>
            <w:vAlign w:val="center"/>
          </w:tcPr>
          <w:p>
            <w:pPr>
              <w:spacing w:line="240" w:lineRule="exact"/>
              <w:jc w:val="center"/>
              <w:rPr>
                <w:rFonts w:ascii="仿宋" w:hAnsi="仿宋" w:eastAsia="仿宋" w:cs="仿宋"/>
                <w:bCs/>
                <w:szCs w:val="21"/>
              </w:rPr>
            </w:pPr>
          </w:p>
        </w:tc>
        <w:tc>
          <w:tcPr>
            <w:tcW w:w="825" w:type="dxa"/>
            <w:vMerge w:val="continue"/>
            <w:shd w:val="clear" w:color="auto" w:fill="auto"/>
            <w:vAlign w:val="center"/>
          </w:tcPr>
          <w:p>
            <w:pPr>
              <w:spacing w:line="240" w:lineRule="exact"/>
              <w:jc w:val="center"/>
              <w:rPr>
                <w:rFonts w:ascii="仿宋" w:hAnsi="仿宋" w:eastAsia="仿宋" w:cs="仿宋"/>
                <w:bCs/>
                <w:szCs w:val="21"/>
              </w:rPr>
            </w:pPr>
          </w:p>
        </w:tc>
        <w:tc>
          <w:tcPr>
            <w:tcW w:w="862" w:type="dxa"/>
            <w:vMerge w:val="continue"/>
            <w:shd w:val="clear" w:color="auto" w:fill="auto"/>
            <w:vAlign w:val="center"/>
          </w:tcPr>
          <w:p>
            <w:pPr>
              <w:spacing w:line="240" w:lineRule="exact"/>
              <w:jc w:val="center"/>
              <w:rPr>
                <w:rFonts w:ascii="仿宋" w:hAnsi="仿宋" w:eastAsia="仿宋" w:cs="仿宋"/>
                <w:bCs/>
                <w:szCs w:val="21"/>
              </w:rPr>
            </w:pPr>
          </w:p>
        </w:tc>
        <w:tc>
          <w:tcPr>
            <w:tcW w:w="737" w:type="dxa"/>
            <w:vMerge w:val="continue"/>
            <w:shd w:val="clear" w:color="auto" w:fill="auto"/>
            <w:vAlign w:val="center"/>
          </w:tcPr>
          <w:p>
            <w:pPr>
              <w:spacing w:line="240" w:lineRule="exact"/>
              <w:jc w:val="center"/>
              <w:rPr>
                <w:rFonts w:ascii="仿宋" w:hAnsi="仿宋" w:eastAsia="仿宋" w:cs="仿宋"/>
                <w:bCs/>
                <w:szCs w:val="21"/>
              </w:rPr>
            </w:pPr>
          </w:p>
        </w:tc>
        <w:tc>
          <w:tcPr>
            <w:tcW w:w="885" w:type="dxa"/>
            <w:vMerge w:val="continue"/>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55" w:type="dxa"/>
            <w:vMerge w:val="continue"/>
            <w:shd w:val="clear" w:color="auto" w:fill="auto"/>
            <w:vAlign w:val="center"/>
          </w:tcPr>
          <w:p>
            <w:pPr>
              <w:spacing w:line="240" w:lineRule="exact"/>
              <w:jc w:val="center"/>
              <w:rPr>
                <w:rFonts w:ascii="仿宋" w:hAnsi="仿宋" w:eastAsia="仿宋" w:cs="仿宋"/>
                <w:bCs/>
                <w:szCs w:val="21"/>
              </w:rPr>
            </w:pPr>
          </w:p>
        </w:tc>
        <w:tc>
          <w:tcPr>
            <w:tcW w:w="564" w:type="dxa"/>
            <w:vMerge w:val="continue"/>
            <w:vAlign w:val="center"/>
          </w:tcPr>
          <w:p>
            <w:pPr>
              <w:spacing w:line="240" w:lineRule="exact"/>
              <w:jc w:val="center"/>
              <w:rPr>
                <w:rFonts w:ascii="仿宋" w:hAnsi="仿宋" w:eastAsia="仿宋" w:cs="仿宋"/>
                <w:bCs/>
                <w:szCs w:val="21"/>
              </w:rPr>
            </w:pPr>
          </w:p>
        </w:tc>
        <w:tc>
          <w:tcPr>
            <w:tcW w:w="2192" w:type="dxa"/>
            <w:vMerge w:val="continue"/>
            <w:vAlign w:val="center"/>
          </w:tcPr>
          <w:p>
            <w:pPr>
              <w:spacing w:line="240" w:lineRule="exact"/>
              <w:jc w:val="center"/>
              <w:rPr>
                <w:rFonts w:ascii="仿宋" w:hAnsi="仿宋" w:eastAsia="仿宋" w:cs="仿宋"/>
                <w:bCs/>
                <w:szCs w:val="21"/>
              </w:rPr>
            </w:pPr>
          </w:p>
        </w:tc>
        <w:tc>
          <w:tcPr>
            <w:tcW w:w="851" w:type="dxa"/>
            <w:vMerge w:val="continue"/>
            <w:shd w:val="clear" w:color="auto" w:fill="auto"/>
            <w:vAlign w:val="center"/>
          </w:tcPr>
          <w:p>
            <w:pPr>
              <w:spacing w:line="240" w:lineRule="exact"/>
              <w:jc w:val="center"/>
              <w:rPr>
                <w:rFonts w:ascii="仿宋" w:hAnsi="仿宋" w:eastAsia="仿宋" w:cs="仿宋"/>
                <w:bCs/>
                <w:szCs w:val="21"/>
              </w:rPr>
            </w:pPr>
          </w:p>
        </w:tc>
        <w:tc>
          <w:tcPr>
            <w:tcW w:w="1062"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乙酸乙酯</w:t>
            </w:r>
          </w:p>
        </w:tc>
        <w:tc>
          <w:tcPr>
            <w:tcW w:w="986"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6</w:t>
            </w:r>
            <w:r>
              <w:rPr>
                <w:rFonts w:ascii="仿宋" w:hAnsi="仿宋" w:eastAsia="仿宋" w:cs="仿宋"/>
                <w:bCs/>
                <w:szCs w:val="21"/>
              </w:rPr>
              <w:t>39.2</w:t>
            </w:r>
          </w:p>
        </w:tc>
        <w:tc>
          <w:tcPr>
            <w:tcW w:w="973"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w:t>
            </w:r>
            <w:r>
              <w:rPr>
                <w:rFonts w:ascii="仿宋" w:hAnsi="仿宋" w:eastAsia="仿宋" w:cs="仿宋"/>
                <w:bCs/>
                <w:szCs w:val="21"/>
              </w:rPr>
              <w:t>1.96</w:t>
            </w:r>
          </w:p>
        </w:tc>
        <w:tc>
          <w:tcPr>
            <w:tcW w:w="1108"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230.13</w:t>
            </w:r>
          </w:p>
        </w:tc>
        <w:tc>
          <w:tcPr>
            <w:tcW w:w="1450" w:type="dxa"/>
            <w:vMerge w:val="continue"/>
            <w:shd w:val="clear" w:color="auto" w:fill="auto"/>
            <w:vAlign w:val="center"/>
          </w:tcPr>
          <w:p>
            <w:pPr>
              <w:spacing w:line="240" w:lineRule="exact"/>
              <w:jc w:val="center"/>
              <w:rPr>
                <w:rFonts w:ascii="仿宋" w:hAnsi="仿宋" w:eastAsia="仿宋" w:cs="仿宋"/>
                <w:bCs/>
                <w:szCs w:val="21"/>
              </w:rPr>
            </w:pPr>
          </w:p>
        </w:tc>
        <w:tc>
          <w:tcPr>
            <w:tcW w:w="900" w:type="dxa"/>
            <w:vMerge w:val="continue"/>
            <w:shd w:val="clear" w:color="auto" w:fill="auto"/>
            <w:vAlign w:val="center"/>
          </w:tcPr>
          <w:p>
            <w:pPr>
              <w:spacing w:line="240" w:lineRule="exact"/>
              <w:jc w:val="center"/>
              <w:rPr>
                <w:rFonts w:ascii="仿宋" w:hAnsi="仿宋" w:eastAsia="仿宋" w:cs="仿宋"/>
                <w:bCs/>
                <w:szCs w:val="21"/>
              </w:rPr>
            </w:pPr>
          </w:p>
        </w:tc>
        <w:tc>
          <w:tcPr>
            <w:tcW w:w="825" w:type="dxa"/>
            <w:vMerge w:val="continue"/>
            <w:shd w:val="clear" w:color="auto" w:fill="auto"/>
            <w:vAlign w:val="center"/>
          </w:tcPr>
          <w:p>
            <w:pPr>
              <w:spacing w:line="240" w:lineRule="exact"/>
              <w:jc w:val="center"/>
              <w:rPr>
                <w:rFonts w:ascii="仿宋" w:hAnsi="仿宋" w:eastAsia="仿宋" w:cs="仿宋"/>
                <w:bCs/>
                <w:szCs w:val="21"/>
              </w:rPr>
            </w:pPr>
          </w:p>
        </w:tc>
        <w:tc>
          <w:tcPr>
            <w:tcW w:w="862" w:type="dxa"/>
            <w:vMerge w:val="continue"/>
            <w:shd w:val="clear" w:color="auto" w:fill="auto"/>
            <w:vAlign w:val="center"/>
          </w:tcPr>
          <w:p>
            <w:pPr>
              <w:spacing w:line="240" w:lineRule="exact"/>
              <w:jc w:val="center"/>
              <w:rPr>
                <w:rFonts w:ascii="仿宋" w:hAnsi="仿宋" w:eastAsia="仿宋" w:cs="仿宋"/>
                <w:bCs/>
                <w:szCs w:val="21"/>
              </w:rPr>
            </w:pPr>
          </w:p>
        </w:tc>
        <w:tc>
          <w:tcPr>
            <w:tcW w:w="737" w:type="dxa"/>
            <w:vMerge w:val="continue"/>
            <w:shd w:val="clear" w:color="auto" w:fill="auto"/>
            <w:vAlign w:val="center"/>
          </w:tcPr>
          <w:p>
            <w:pPr>
              <w:spacing w:line="240" w:lineRule="exact"/>
              <w:jc w:val="center"/>
              <w:rPr>
                <w:rFonts w:ascii="仿宋" w:hAnsi="仿宋" w:eastAsia="仿宋" w:cs="仿宋"/>
                <w:bCs/>
                <w:szCs w:val="21"/>
              </w:rPr>
            </w:pPr>
          </w:p>
        </w:tc>
        <w:tc>
          <w:tcPr>
            <w:tcW w:w="885" w:type="dxa"/>
            <w:vMerge w:val="continue"/>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555" w:type="dxa"/>
            <w:vMerge w:val="continue"/>
            <w:tcBorders>
              <w:bottom w:val="single" w:color="auto" w:sz="4" w:space="0"/>
            </w:tcBorders>
            <w:shd w:val="clear" w:color="auto" w:fill="auto"/>
            <w:vAlign w:val="center"/>
          </w:tcPr>
          <w:p>
            <w:pPr>
              <w:spacing w:line="240" w:lineRule="exact"/>
              <w:jc w:val="center"/>
              <w:rPr>
                <w:rFonts w:ascii="仿宋" w:hAnsi="仿宋" w:eastAsia="仿宋" w:cs="仿宋"/>
                <w:bCs/>
                <w:szCs w:val="21"/>
              </w:rPr>
            </w:pPr>
          </w:p>
        </w:tc>
        <w:tc>
          <w:tcPr>
            <w:tcW w:w="564" w:type="dxa"/>
            <w:vMerge w:val="continue"/>
            <w:tcBorders>
              <w:bottom w:val="single" w:color="auto" w:sz="4" w:space="0"/>
            </w:tcBorders>
            <w:vAlign w:val="center"/>
          </w:tcPr>
          <w:p>
            <w:pPr>
              <w:spacing w:line="240" w:lineRule="exact"/>
              <w:jc w:val="center"/>
              <w:rPr>
                <w:rFonts w:ascii="仿宋" w:hAnsi="仿宋" w:eastAsia="仿宋" w:cs="仿宋"/>
                <w:bCs/>
                <w:szCs w:val="21"/>
              </w:rPr>
            </w:pPr>
          </w:p>
        </w:tc>
        <w:tc>
          <w:tcPr>
            <w:tcW w:w="2192" w:type="dxa"/>
            <w:tcBorders>
              <w:bottom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清洗废气G4</w:t>
            </w:r>
          </w:p>
        </w:tc>
        <w:tc>
          <w:tcPr>
            <w:tcW w:w="851" w:type="dxa"/>
            <w:vMerge w:val="continue"/>
            <w:tcBorders>
              <w:bottom w:val="single" w:color="auto" w:sz="4" w:space="0"/>
            </w:tcBorders>
            <w:shd w:val="clear" w:color="auto" w:fill="auto"/>
            <w:vAlign w:val="center"/>
          </w:tcPr>
          <w:p>
            <w:pPr>
              <w:spacing w:line="240" w:lineRule="exact"/>
              <w:jc w:val="center"/>
              <w:rPr>
                <w:rFonts w:ascii="仿宋" w:hAnsi="仿宋" w:eastAsia="仿宋" w:cs="仿宋"/>
                <w:bCs/>
                <w:szCs w:val="21"/>
              </w:rPr>
            </w:pPr>
          </w:p>
        </w:tc>
        <w:tc>
          <w:tcPr>
            <w:tcW w:w="1062" w:type="dxa"/>
            <w:tcBorders>
              <w:bottom w:val="single" w:color="auto" w:sz="4" w:space="0"/>
            </w:tcBorders>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非甲烷</w:t>
            </w:r>
            <w:r>
              <w:rPr>
                <w:rFonts w:ascii="仿宋" w:hAnsi="仿宋" w:eastAsia="仿宋" w:cs="仿宋"/>
                <w:bCs/>
                <w:szCs w:val="21"/>
              </w:rPr>
              <w:t>总烃</w:t>
            </w:r>
            <w:r>
              <w:rPr>
                <w:rFonts w:hint="eastAsia" w:ascii="仿宋" w:hAnsi="仿宋" w:eastAsia="仿宋" w:cs="仿宋"/>
                <w:bCs/>
                <w:szCs w:val="21"/>
              </w:rPr>
              <w:t>（乙酸乙酯）</w:t>
            </w:r>
          </w:p>
        </w:tc>
        <w:tc>
          <w:tcPr>
            <w:tcW w:w="986" w:type="dxa"/>
            <w:tcBorders>
              <w:bottom w:val="single" w:color="auto" w:sz="4" w:space="0"/>
            </w:tcBorders>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w:t>
            </w:r>
            <w:r>
              <w:rPr>
                <w:rFonts w:ascii="仿宋" w:hAnsi="仿宋" w:eastAsia="仿宋" w:cs="仿宋"/>
                <w:bCs/>
                <w:szCs w:val="21"/>
              </w:rPr>
              <w:t>.8</w:t>
            </w:r>
          </w:p>
        </w:tc>
        <w:tc>
          <w:tcPr>
            <w:tcW w:w="973" w:type="dxa"/>
            <w:tcBorders>
              <w:bottom w:val="single" w:color="auto" w:sz="4" w:space="0"/>
            </w:tcBorders>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.09</w:t>
            </w:r>
          </w:p>
        </w:tc>
        <w:tc>
          <w:tcPr>
            <w:tcW w:w="1108" w:type="dxa"/>
            <w:tcBorders>
              <w:bottom w:val="single" w:color="auto" w:sz="4" w:space="0"/>
            </w:tcBorders>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0.18</w:t>
            </w:r>
          </w:p>
        </w:tc>
        <w:tc>
          <w:tcPr>
            <w:tcW w:w="1450" w:type="dxa"/>
            <w:vMerge w:val="continue"/>
            <w:tcBorders>
              <w:bottom w:val="single" w:color="auto" w:sz="4" w:space="0"/>
            </w:tcBorders>
            <w:shd w:val="clear" w:color="auto" w:fill="auto"/>
            <w:vAlign w:val="center"/>
          </w:tcPr>
          <w:p>
            <w:pPr>
              <w:spacing w:line="240" w:lineRule="exact"/>
              <w:jc w:val="center"/>
              <w:rPr>
                <w:rFonts w:ascii="仿宋" w:hAnsi="仿宋" w:eastAsia="仿宋" w:cs="仿宋"/>
                <w:bCs/>
                <w:szCs w:val="21"/>
              </w:rPr>
            </w:pPr>
          </w:p>
        </w:tc>
        <w:tc>
          <w:tcPr>
            <w:tcW w:w="900" w:type="dxa"/>
            <w:vMerge w:val="continue"/>
            <w:tcBorders>
              <w:bottom w:val="single" w:color="auto" w:sz="4" w:space="0"/>
            </w:tcBorders>
            <w:shd w:val="clear" w:color="auto" w:fill="auto"/>
            <w:vAlign w:val="center"/>
          </w:tcPr>
          <w:p>
            <w:pPr>
              <w:spacing w:line="240" w:lineRule="exact"/>
              <w:jc w:val="center"/>
              <w:rPr>
                <w:rFonts w:ascii="仿宋" w:hAnsi="仿宋" w:eastAsia="仿宋" w:cs="仿宋"/>
                <w:bCs/>
                <w:szCs w:val="21"/>
              </w:rPr>
            </w:pPr>
          </w:p>
        </w:tc>
        <w:tc>
          <w:tcPr>
            <w:tcW w:w="825" w:type="dxa"/>
            <w:vMerge w:val="continue"/>
            <w:tcBorders>
              <w:bottom w:val="single" w:color="auto" w:sz="4" w:space="0"/>
            </w:tcBorders>
            <w:shd w:val="clear" w:color="auto" w:fill="auto"/>
            <w:vAlign w:val="center"/>
          </w:tcPr>
          <w:p>
            <w:pPr>
              <w:spacing w:line="240" w:lineRule="exact"/>
              <w:jc w:val="center"/>
              <w:rPr>
                <w:rFonts w:ascii="仿宋" w:hAnsi="仿宋" w:eastAsia="仿宋" w:cs="仿宋"/>
                <w:bCs/>
                <w:szCs w:val="21"/>
              </w:rPr>
            </w:pPr>
          </w:p>
        </w:tc>
        <w:tc>
          <w:tcPr>
            <w:tcW w:w="862" w:type="dxa"/>
            <w:vMerge w:val="continue"/>
            <w:tcBorders>
              <w:bottom w:val="single" w:color="auto" w:sz="4" w:space="0"/>
            </w:tcBorders>
            <w:shd w:val="clear" w:color="auto" w:fill="auto"/>
            <w:vAlign w:val="center"/>
          </w:tcPr>
          <w:p>
            <w:pPr>
              <w:spacing w:line="240" w:lineRule="exact"/>
              <w:jc w:val="center"/>
              <w:rPr>
                <w:rFonts w:ascii="仿宋" w:hAnsi="仿宋" w:eastAsia="仿宋" w:cs="仿宋"/>
                <w:bCs/>
                <w:szCs w:val="21"/>
              </w:rPr>
            </w:pPr>
          </w:p>
        </w:tc>
        <w:tc>
          <w:tcPr>
            <w:tcW w:w="737" w:type="dxa"/>
            <w:vMerge w:val="continue"/>
            <w:tcBorders>
              <w:bottom w:val="single" w:color="auto" w:sz="4" w:space="0"/>
            </w:tcBorders>
            <w:shd w:val="clear" w:color="auto" w:fill="auto"/>
            <w:vAlign w:val="center"/>
          </w:tcPr>
          <w:p>
            <w:pPr>
              <w:spacing w:line="240" w:lineRule="exact"/>
              <w:jc w:val="center"/>
              <w:rPr>
                <w:rFonts w:ascii="仿宋" w:hAnsi="仿宋" w:eastAsia="仿宋" w:cs="仿宋"/>
                <w:bCs/>
                <w:szCs w:val="21"/>
              </w:rPr>
            </w:pPr>
          </w:p>
        </w:tc>
        <w:tc>
          <w:tcPr>
            <w:tcW w:w="885" w:type="dxa"/>
            <w:tcBorders>
              <w:bottom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w:t>
            </w:r>
            <w:r>
              <w:rPr>
                <w:rFonts w:ascii="仿宋" w:hAnsi="仿宋" w:eastAsia="仿宋" w:cs="仿宋"/>
                <w:bCs/>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55" w:type="dxa"/>
            <w:vMerge w:val="continue"/>
            <w:shd w:val="clear" w:color="auto" w:fill="auto"/>
            <w:vAlign w:val="center"/>
          </w:tcPr>
          <w:p>
            <w:pPr>
              <w:spacing w:line="240" w:lineRule="exact"/>
              <w:jc w:val="center"/>
              <w:rPr>
                <w:rFonts w:ascii="仿宋" w:hAnsi="仿宋" w:eastAsia="仿宋" w:cs="仿宋"/>
                <w:bCs/>
                <w:szCs w:val="21"/>
              </w:rPr>
            </w:pPr>
          </w:p>
        </w:tc>
        <w:tc>
          <w:tcPr>
            <w:tcW w:w="564" w:type="dxa"/>
            <w:vMerge w:val="continue"/>
            <w:vAlign w:val="center"/>
          </w:tcPr>
          <w:p>
            <w:pPr>
              <w:spacing w:line="240" w:lineRule="exact"/>
              <w:jc w:val="center"/>
              <w:rPr>
                <w:rFonts w:ascii="仿宋" w:hAnsi="仿宋" w:eastAsia="仿宋" w:cs="仿宋"/>
                <w:bCs/>
                <w:szCs w:val="21"/>
              </w:rPr>
            </w:pPr>
          </w:p>
        </w:tc>
        <w:tc>
          <w:tcPr>
            <w:tcW w:w="2192" w:type="dxa"/>
            <w:vMerge w:val="restar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天然气废气G3</w:t>
            </w:r>
          </w:p>
        </w:tc>
        <w:tc>
          <w:tcPr>
            <w:tcW w:w="851" w:type="dxa"/>
            <w:vMerge w:val="continue"/>
            <w:shd w:val="clear" w:color="auto" w:fill="auto"/>
            <w:vAlign w:val="center"/>
          </w:tcPr>
          <w:p>
            <w:pPr>
              <w:spacing w:line="240" w:lineRule="exact"/>
              <w:jc w:val="center"/>
              <w:rPr>
                <w:rFonts w:ascii="仿宋" w:hAnsi="仿宋" w:eastAsia="仿宋" w:cs="仿宋"/>
                <w:bCs/>
                <w:szCs w:val="21"/>
              </w:rPr>
            </w:pPr>
          </w:p>
        </w:tc>
        <w:tc>
          <w:tcPr>
            <w:tcW w:w="1062"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烟尘</w:t>
            </w:r>
          </w:p>
        </w:tc>
        <w:tc>
          <w:tcPr>
            <w:tcW w:w="986"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.18</w:t>
            </w:r>
          </w:p>
        </w:tc>
        <w:tc>
          <w:tcPr>
            <w:tcW w:w="973"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.009</w:t>
            </w:r>
          </w:p>
        </w:tc>
        <w:tc>
          <w:tcPr>
            <w:tcW w:w="1108"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.07</w:t>
            </w:r>
          </w:p>
        </w:tc>
        <w:tc>
          <w:tcPr>
            <w:tcW w:w="1450" w:type="dxa"/>
            <w:vMerge w:val="restar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w:t>
            </w:r>
          </w:p>
        </w:tc>
        <w:tc>
          <w:tcPr>
            <w:tcW w:w="900" w:type="dxa"/>
            <w:vMerge w:val="continue"/>
            <w:shd w:val="clear" w:color="auto" w:fill="auto"/>
            <w:vAlign w:val="center"/>
          </w:tcPr>
          <w:p>
            <w:pPr>
              <w:spacing w:line="240" w:lineRule="exact"/>
              <w:jc w:val="center"/>
              <w:rPr>
                <w:rFonts w:ascii="仿宋" w:hAnsi="仿宋" w:eastAsia="仿宋" w:cs="仿宋"/>
                <w:bCs/>
                <w:szCs w:val="21"/>
              </w:rPr>
            </w:pPr>
          </w:p>
        </w:tc>
        <w:tc>
          <w:tcPr>
            <w:tcW w:w="825" w:type="dxa"/>
            <w:vMerge w:val="continue"/>
            <w:shd w:val="clear" w:color="auto" w:fill="auto"/>
            <w:vAlign w:val="center"/>
          </w:tcPr>
          <w:p>
            <w:pPr>
              <w:spacing w:line="240" w:lineRule="exact"/>
              <w:jc w:val="center"/>
              <w:rPr>
                <w:rFonts w:ascii="仿宋" w:hAnsi="仿宋" w:eastAsia="仿宋" w:cs="仿宋"/>
                <w:bCs/>
                <w:szCs w:val="21"/>
              </w:rPr>
            </w:pPr>
          </w:p>
        </w:tc>
        <w:tc>
          <w:tcPr>
            <w:tcW w:w="862" w:type="dxa"/>
            <w:vMerge w:val="continue"/>
            <w:shd w:val="clear" w:color="auto" w:fill="auto"/>
            <w:vAlign w:val="center"/>
          </w:tcPr>
          <w:p>
            <w:pPr>
              <w:spacing w:line="240" w:lineRule="exact"/>
              <w:jc w:val="center"/>
              <w:rPr>
                <w:rFonts w:ascii="仿宋" w:hAnsi="仿宋" w:eastAsia="仿宋" w:cs="仿宋"/>
                <w:bCs/>
                <w:szCs w:val="21"/>
              </w:rPr>
            </w:pPr>
          </w:p>
        </w:tc>
        <w:tc>
          <w:tcPr>
            <w:tcW w:w="737" w:type="dxa"/>
            <w:vMerge w:val="continue"/>
            <w:shd w:val="clear" w:color="auto" w:fill="auto"/>
            <w:vAlign w:val="center"/>
          </w:tcPr>
          <w:p>
            <w:pPr>
              <w:spacing w:line="240" w:lineRule="exact"/>
              <w:jc w:val="center"/>
              <w:rPr>
                <w:rFonts w:ascii="仿宋" w:hAnsi="仿宋" w:eastAsia="仿宋" w:cs="仿宋"/>
                <w:bCs/>
                <w:szCs w:val="21"/>
              </w:rPr>
            </w:pPr>
          </w:p>
        </w:tc>
        <w:tc>
          <w:tcPr>
            <w:tcW w:w="885" w:type="dxa"/>
            <w:vMerge w:val="restar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7200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55" w:type="dxa"/>
            <w:vMerge w:val="continue"/>
            <w:shd w:val="clear" w:color="auto" w:fill="auto"/>
            <w:vAlign w:val="center"/>
          </w:tcPr>
          <w:p>
            <w:pPr>
              <w:spacing w:line="240" w:lineRule="exact"/>
              <w:jc w:val="center"/>
              <w:rPr>
                <w:rFonts w:ascii="仿宋" w:hAnsi="仿宋" w:eastAsia="仿宋" w:cs="仿宋"/>
                <w:bCs/>
                <w:szCs w:val="21"/>
              </w:rPr>
            </w:pPr>
          </w:p>
        </w:tc>
        <w:tc>
          <w:tcPr>
            <w:tcW w:w="564" w:type="dxa"/>
            <w:vMerge w:val="continue"/>
            <w:vAlign w:val="center"/>
          </w:tcPr>
          <w:p>
            <w:pPr>
              <w:spacing w:line="240" w:lineRule="exact"/>
              <w:jc w:val="center"/>
              <w:rPr>
                <w:rFonts w:ascii="仿宋" w:hAnsi="仿宋" w:eastAsia="仿宋" w:cs="仿宋"/>
                <w:bCs/>
                <w:szCs w:val="21"/>
              </w:rPr>
            </w:pPr>
          </w:p>
        </w:tc>
        <w:tc>
          <w:tcPr>
            <w:tcW w:w="2192" w:type="dxa"/>
            <w:vMerge w:val="continue"/>
            <w:vAlign w:val="center"/>
          </w:tcPr>
          <w:p>
            <w:pPr>
              <w:spacing w:line="240" w:lineRule="exact"/>
              <w:jc w:val="center"/>
              <w:rPr>
                <w:rFonts w:ascii="仿宋" w:hAnsi="仿宋" w:eastAsia="仿宋" w:cs="仿宋"/>
                <w:bCs/>
                <w:szCs w:val="21"/>
              </w:rPr>
            </w:pPr>
          </w:p>
        </w:tc>
        <w:tc>
          <w:tcPr>
            <w:tcW w:w="851" w:type="dxa"/>
            <w:vMerge w:val="continue"/>
            <w:shd w:val="clear" w:color="auto" w:fill="auto"/>
            <w:vAlign w:val="center"/>
          </w:tcPr>
          <w:p>
            <w:pPr>
              <w:spacing w:line="240" w:lineRule="exact"/>
              <w:jc w:val="center"/>
              <w:rPr>
                <w:rFonts w:ascii="仿宋" w:hAnsi="仿宋" w:eastAsia="仿宋" w:cs="仿宋"/>
                <w:bCs/>
                <w:szCs w:val="21"/>
              </w:rPr>
            </w:pPr>
          </w:p>
        </w:tc>
        <w:tc>
          <w:tcPr>
            <w:tcW w:w="1062"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SO</w:t>
            </w:r>
            <w:r>
              <w:rPr>
                <w:rFonts w:hint="eastAsia" w:ascii="仿宋" w:hAnsi="仿宋" w:eastAsia="仿宋" w:cs="仿宋"/>
                <w:bCs/>
                <w:szCs w:val="21"/>
                <w:vertAlign w:val="subscript"/>
              </w:rPr>
              <w:t>2</w:t>
            </w:r>
          </w:p>
        </w:tc>
        <w:tc>
          <w:tcPr>
            <w:tcW w:w="986"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.14</w:t>
            </w:r>
          </w:p>
        </w:tc>
        <w:tc>
          <w:tcPr>
            <w:tcW w:w="973"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.007</w:t>
            </w:r>
          </w:p>
        </w:tc>
        <w:tc>
          <w:tcPr>
            <w:tcW w:w="1108"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.05</w:t>
            </w:r>
          </w:p>
        </w:tc>
        <w:tc>
          <w:tcPr>
            <w:tcW w:w="1450" w:type="dxa"/>
            <w:vMerge w:val="continue"/>
            <w:shd w:val="clear" w:color="auto" w:fill="auto"/>
            <w:vAlign w:val="center"/>
          </w:tcPr>
          <w:p>
            <w:pPr>
              <w:widowControl/>
              <w:jc w:val="center"/>
              <w:rPr>
                <w:rFonts w:eastAsia="仿宋_GB2312" w:cs="宋体"/>
                <w:kern w:val="0"/>
                <w:szCs w:val="21"/>
              </w:rPr>
            </w:pPr>
          </w:p>
        </w:tc>
        <w:tc>
          <w:tcPr>
            <w:tcW w:w="900" w:type="dxa"/>
            <w:vMerge w:val="continue"/>
            <w:shd w:val="clear" w:color="auto" w:fill="auto"/>
            <w:vAlign w:val="center"/>
          </w:tcPr>
          <w:p>
            <w:pPr>
              <w:widowControl/>
              <w:jc w:val="center"/>
              <w:rPr>
                <w:rFonts w:eastAsia="仿宋_GB2312"/>
                <w:kern w:val="0"/>
                <w:szCs w:val="21"/>
              </w:rPr>
            </w:pPr>
          </w:p>
        </w:tc>
        <w:tc>
          <w:tcPr>
            <w:tcW w:w="825" w:type="dxa"/>
            <w:vMerge w:val="continue"/>
            <w:shd w:val="clear" w:color="auto" w:fill="auto"/>
            <w:vAlign w:val="center"/>
          </w:tcPr>
          <w:p>
            <w:pPr>
              <w:widowControl/>
              <w:jc w:val="center"/>
              <w:rPr>
                <w:rFonts w:eastAsia="仿宋_GB2312"/>
                <w:kern w:val="0"/>
                <w:szCs w:val="21"/>
              </w:rPr>
            </w:pPr>
          </w:p>
        </w:tc>
        <w:tc>
          <w:tcPr>
            <w:tcW w:w="862" w:type="dxa"/>
            <w:vMerge w:val="continue"/>
            <w:shd w:val="clear" w:color="auto" w:fill="auto"/>
            <w:vAlign w:val="center"/>
          </w:tcPr>
          <w:p>
            <w:pPr>
              <w:widowControl/>
              <w:jc w:val="center"/>
              <w:rPr>
                <w:rFonts w:eastAsia="仿宋_GB2312"/>
                <w:kern w:val="0"/>
                <w:szCs w:val="21"/>
              </w:rPr>
            </w:pPr>
          </w:p>
        </w:tc>
        <w:tc>
          <w:tcPr>
            <w:tcW w:w="737" w:type="dxa"/>
            <w:vMerge w:val="continue"/>
            <w:shd w:val="clear" w:color="auto" w:fill="auto"/>
            <w:vAlign w:val="center"/>
          </w:tcPr>
          <w:p>
            <w:pPr>
              <w:widowControl/>
              <w:jc w:val="center"/>
              <w:rPr>
                <w:rFonts w:eastAsia="仿宋_GB2312" w:cs="宋体"/>
                <w:kern w:val="0"/>
                <w:szCs w:val="21"/>
              </w:rPr>
            </w:pPr>
          </w:p>
        </w:tc>
        <w:tc>
          <w:tcPr>
            <w:tcW w:w="885" w:type="dxa"/>
            <w:vMerge w:val="continue"/>
            <w:vAlign w:val="center"/>
          </w:tcPr>
          <w:p>
            <w:pPr>
              <w:widowControl/>
              <w:jc w:val="center"/>
              <w:rPr>
                <w:rFonts w:eastAsia="仿宋_GB2312"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55" w:type="dxa"/>
            <w:vMerge w:val="continue"/>
            <w:shd w:val="clear" w:color="auto" w:fill="auto"/>
            <w:vAlign w:val="center"/>
          </w:tcPr>
          <w:p>
            <w:pPr>
              <w:spacing w:line="240" w:lineRule="exact"/>
              <w:jc w:val="center"/>
              <w:rPr>
                <w:rFonts w:ascii="仿宋" w:hAnsi="仿宋" w:eastAsia="仿宋" w:cs="仿宋"/>
                <w:bCs/>
                <w:szCs w:val="21"/>
              </w:rPr>
            </w:pPr>
          </w:p>
        </w:tc>
        <w:tc>
          <w:tcPr>
            <w:tcW w:w="564" w:type="dxa"/>
            <w:vMerge w:val="continue"/>
            <w:vAlign w:val="center"/>
          </w:tcPr>
          <w:p>
            <w:pPr>
              <w:spacing w:line="240" w:lineRule="exact"/>
              <w:jc w:val="center"/>
              <w:rPr>
                <w:rFonts w:ascii="仿宋" w:hAnsi="仿宋" w:eastAsia="仿宋" w:cs="仿宋"/>
                <w:bCs/>
                <w:szCs w:val="21"/>
              </w:rPr>
            </w:pPr>
          </w:p>
        </w:tc>
        <w:tc>
          <w:tcPr>
            <w:tcW w:w="2192" w:type="dxa"/>
            <w:vMerge w:val="continue"/>
            <w:vAlign w:val="center"/>
          </w:tcPr>
          <w:p>
            <w:pPr>
              <w:spacing w:line="240" w:lineRule="exact"/>
              <w:jc w:val="center"/>
              <w:rPr>
                <w:rFonts w:ascii="仿宋" w:hAnsi="仿宋" w:eastAsia="仿宋" w:cs="仿宋"/>
                <w:bCs/>
                <w:szCs w:val="21"/>
              </w:rPr>
            </w:pPr>
          </w:p>
        </w:tc>
        <w:tc>
          <w:tcPr>
            <w:tcW w:w="851" w:type="dxa"/>
            <w:vMerge w:val="continue"/>
            <w:shd w:val="clear" w:color="auto" w:fill="auto"/>
            <w:vAlign w:val="center"/>
          </w:tcPr>
          <w:p>
            <w:pPr>
              <w:spacing w:line="240" w:lineRule="exact"/>
              <w:jc w:val="center"/>
              <w:rPr>
                <w:rFonts w:ascii="仿宋" w:hAnsi="仿宋" w:eastAsia="仿宋" w:cs="仿宋"/>
                <w:bCs/>
                <w:szCs w:val="21"/>
              </w:rPr>
            </w:pPr>
          </w:p>
        </w:tc>
        <w:tc>
          <w:tcPr>
            <w:tcW w:w="1062"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NO</w:t>
            </w:r>
            <w:r>
              <w:rPr>
                <w:rFonts w:hint="eastAsia" w:ascii="仿宋" w:hAnsi="仿宋" w:eastAsia="仿宋" w:cs="仿宋"/>
                <w:bCs/>
                <w:szCs w:val="21"/>
                <w:vertAlign w:val="subscript"/>
              </w:rPr>
              <w:t>x</w:t>
            </w:r>
          </w:p>
        </w:tc>
        <w:tc>
          <w:tcPr>
            <w:tcW w:w="986"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w:t>
            </w:r>
            <w:r>
              <w:rPr>
                <w:rFonts w:ascii="仿宋" w:hAnsi="仿宋" w:eastAsia="仿宋" w:cs="仿宋"/>
                <w:bCs/>
                <w:szCs w:val="21"/>
              </w:rPr>
              <w:t>.06</w:t>
            </w:r>
          </w:p>
        </w:tc>
        <w:tc>
          <w:tcPr>
            <w:tcW w:w="973"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.053</w:t>
            </w:r>
          </w:p>
        </w:tc>
        <w:tc>
          <w:tcPr>
            <w:tcW w:w="1108"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.38</w:t>
            </w:r>
          </w:p>
        </w:tc>
        <w:tc>
          <w:tcPr>
            <w:tcW w:w="1450" w:type="dxa"/>
            <w:vMerge w:val="continue"/>
            <w:shd w:val="clear" w:color="auto" w:fill="auto"/>
            <w:vAlign w:val="center"/>
          </w:tcPr>
          <w:p>
            <w:pPr>
              <w:widowControl/>
              <w:jc w:val="center"/>
              <w:rPr>
                <w:rFonts w:eastAsia="仿宋_GB2312" w:cs="宋体"/>
                <w:kern w:val="0"/>
                <w:szCs w:val="21"/>
              </w:rPr>
            </w:pPr>
          </w:p>
        </w:tc>
        <w:tc>
          <w:tcPr>
            <w:tcW w:w="900" w:type="dxa"/>
            <w:vMerge w:val="continue"/>
            <w:shd w:val="clear" w:color="auto" w:fill="auto"/>
            <w:vAlign w:val="center"/>
          </w:tcPr>
          <w:p>
            <w:pPr>
              <w:widowControl/>
              <w:jc w:val="center"/>
              <w:rPr>
                <w:rFonts w:eastAsia="仿宋_GB2312"/>
                <w:kern w:val="0"/>
                <w:szCs w:val="21"/>
              </w:rPr>
            </w:pPr>
          </w:p>
        </w:tc>
        <w:tc>
          <w:tcPr>
            <w:tcW w:w="825" w:type="dxa"/>
            <w:vMerge w:val="continue"/>
            <w:shd w:val="clear" w:color="auto" w:fill="auto"/>
            <w:vAlign w:val="center"/>
          </w:tcPr>
          <w:p>
            <w:pPr>
              <w:widowControl/>
              <w:jc w:val="center"/>
              <w:rPr>
                <w:rFonts w:eastAsia="仿宋_GB2312"/>
                <w:kern w:val="0"/>
                <w:szCs w:val="21"/>
              </w:rPr>
            </w:pPr>
          </w:p>
        </w:tc>
        <w:tc>
          <w:tcPr>
            <w:tcW w:w="862" w:type="dxa"/>
            <w:vMerge w:val="continue"/>
            <w:shd w:val="clear" w:color="auto" w:fill="auto"/>
            <w:vAlign w:val="center"/>
          </w:tcPr>
          <w:p>
            <w:pPr>
              <w:widowControl/>
              <w:jc w:val="center"/>
              <w:rPr>
                <w:rFonts w:eastAsia="仿宋_GB2312"/>
                <w:kern w:val="0"/>
                <w:szCs w:val="21"/>
              </w:rPr>
            </w:pPr>
          </w:p>
        </w:tc>
        <w:tc>
          <w:tcPr>
            <w:tcW w:w="737" w:type="dxa"/>
            <w:vMerge w:val="continue"/>
            <w:shd w:val="clear" w:color="auto" w:fill="auto"/>
            <w:vAlign w:val="center"/>
          </w:tcPr>
          <w:p>
            <w:pPr>
              <w:widowControl/>
              <w:jc w:val="center"/>
              <w:rPr>
                <w:rFonts w:eastAsia="仿宋_GB2312" w:cs="宋体"/>
                <w:kern w:val="0"/>
                <w:szCs w:val="21"/>
              </w:rPr>
            </w:pPr>
          </w:p>
        </w:tc>
        <w:tc>
          <w:tcPr>
            <w:tcW w:w="885" w:type="dxa"/>
            <w:vMerge w:val="continue"/>
            <w:vAlign w:val="center"/>
          </w:tcPr>
          <w:p>
            <w:pPr>
              <w:widowControl/>
              <w:jc w:val="center"/>
              <w:rPr>
                <w:rFonts w:eastAsia="仿宋_GB2312" w:cs="宋体"/>
                <w:kern w:val="0"/>
                <w:szCs w:val="21"/>
              </w:rPr>
            </w:pPr>
          </w:p>
        </w:tc>
      </w:tr>
    </w:tbl>
    <w:p>
      <w:pPr>
        <w:spacing w:line="360" w:lineRule="exact"/>
        <w:ind w:firstLine="422" w:firstLineChars="200"/>
        <w:jc w:val="left"/>
        <w:rPr>
          <w:rFonts w:eastAsia="仿宋_GB2312"/>
          <w:b/>
          <w:bCs/>
          <w:szCs w:val="21"/>
        </w:rPr>
        <w:sectPr>
          <w:pgSz w:w="16840" w:h="11907" w:orient="landscape"/>
          <w:pgMar w:top="1800" w:right="1440" w:bottom="1800" w:left="1440" w:header="851" w:footer="992" w:gutter="0"/>
          <w:cols w:space="425" w:num="1"/>
          <w:docGrid w:linePitch="312" w:charSpace="0"/>
        </w:sectPr>
      </w:pPr>
      <w:r>
        <w:rPr>
          <w:rFonts w:hint="eastAsia" w:eastAsia="仿宋_GB2312"/>
          <w:b/>
          <w:szCs w:val="21"/>
        </w:rPr>
        <w:t>注</w:t>
      </w:r>
      <w:r>
        <w:rPr>
          <w:rFonts w:eastAsia="仿宋_GB2312"/>
          <w:b/>
          <w:szCs w:val="21"/>
        </w:rPr>
        <w:t>：</w:t>
      </w:r>
      <w:r>
        <w:rPr>
          <w:rFonts w:eastAsia="仿宋_GB2312"/>
          <w:b/>
          <w:szCs w:val="21"/>
        </w:rPr>
        <w:fldChar w:fldCharType="begin"/>
      </w:r>
      <w:r>
        <w:rPr>
          <w:rFonts w:eastAsia="仿宋_GB2312"/>
          <w:b/>
          <w:szCs w:val="21"/>
        </w:rPr>
        <w:instrText xml:space="preserve"> </w:instrText>
      </w:r>
      <w:r>
        <w:rPr>
          <w:rFonts w:hint="eastAsia" w:eastAsia="仿宋_GB2312"/>
          <w:b/>
          <w:szCs w:val="21"/>
        </w:rPr>
        <w:instrText xml:space="preserve">= 1 \* GB3</w:instrText>
      </w:r>
      <w:r>
        <w:rPr>
          <w:rFonts w:eastAsia="仿宋_GB2312"/>
          <w:b/>
          <w:szCs w:val="21"/>
        </w:rPr>
        <w:instrText xml:space="preserve"> </w:instrText>
      </w:r>
      <w:r>
        <w:rPr>
          <w:rFonts w:eastAsia="仿宋_GB2312"/>
          <w:b/>
          <w:szCs w:val="21"/>
        </w:rPr>
        <w:fldChar w:fldCharType="separate"/>
      </w:r>
      <w:r>
        <w:rPr>
          <w:rFonts w:hint="eastAsia" w:eastAsia="仿宋_GB2312"/>
          <w:b/>
          <w:szCs w:val="21"/>
        </w:rPr>
        <w:t>①</w:t>
      </w:r>
      <w:r>
        <w:rPr>
          <w:rFonts w:eastAsia="仿宋_GB2312"/>
          <w:b/>
          <w:szCs w:val="21"/>
        </w:rPr>
        <w:fldChar w:fldCharType="end"/>
      </w:r>
      <w:r>
        <w:rPr>
          <w:rFonts w:hint="eastAsia" w:eastAsia="仿宋_GB2312"/>
          <w:b/>
          <w:bCs/>
          <w:szCs w:val="21"/>
        </w:rPr>
        <w:t>非甲烷</w:t>
      </w:r>
      <w:r>
        <w:rPr>
          <w:rFonts w:eastAsia="仿宋_GB2312"/>
          <w:b/>
          <w:bCs/>
          <w:szCs w:val="21"/>
        </w:rPr>
        <w:t>总烃包含乙酸乙酯、</w:t>
      </w:r>
      <w:r>
        <w:rPr>
          <w:rFonts w:hint="eastAsia" w:eastAsia="仿宋_GB2312"/>
          <w:b/>
          <w:bCs/>
          <w:szCs w:val="21"/>
        </w:rPr>
        <w:t>乙醇、二甲苯</w:t>
      </w:r>
      <w:r>
        <w:rPr>
          <w:rFonts w:eastAsia="仿宋_GB2312"/>
          <w:b/>
          <w:bCs/>
          <w:szCs w:val="21"/>
        </w:rPr>
        <w:t>等有机</w:t>
      </w:r>
      <w:r>
        <w:rPr>
          <w:rFonts w:hint="eastAsia" w:eastAsia="仿宋_GB2312"/>
          <w:b/>
          <w:bCs/>
          <w:szCs w:val="21"/>
        </w:rPr>
        <w:t>废气</w:t>
      </w:r>
      <w:r>
        <w:rPr>
          <w:rFonts w:eastAsia="仿宋_GB2312"/>
          <w:b/>
          <w:bCs/>
          <w:szCs w:val="21"/>
        </w:rPr>
        <w:t>。</w:t>
      </w:r>
    </w:p>
    <w:p>
      <w:pPr>
        <w:keepNext/>
        <w:keepLines/>
        <w:spacing w:before="48" w:beforeLines="20" w:after="48" w:afterLines="20" w:line="500" w:lineRule="exact"/>
        <w:jc w:val="left"/>
        <w:outlineLvl w:val="4"/>
        <w:rPr>
          <w:rFonts w:eastAsia="仿宋_GB2312"/>
          <w:b/>
          <w:bCs/>
          <w:sz w:val="28"/>
        </w:rPr>
      </w:pPr>
      <w:r>
        <w:rPr>
          <w:rFonts w:eastAsia="仿宋_GB2312"/>
          <w:b/>
          <w:bCs/>
          <w:sz w:val="28"/>
        </w:rPr>
        <w:t>3.3.2.2.1正常工况下无组织废气源强</w:t>
      </w:r>
    </w:p>
    <w:p>
      <w:pPr>
        <w:adjustRightInd w:val="0"/>
        <w:snapToGrid w:val="0"/>
        <w:spacing w:line="500" w:lineRule="exact"/>
        <w:ind w:firstLine="560" w:firstLineChars="200"/>
        <w:rPr>
          <w:rFonts w:eastAsia="仿宋_GB2312"/>
          <w:sz w:val="28"/>
          <w:szCs w:val="28"/>
        </w:rPr>
      </w:pPr>
      <w:r>
        <w:rPr>
          <w:rFonts w:hint="eastAsia" w:eastAsia="仿宋_GB2312"/>
          <w:sz w:val="28"/>
          <w:szCs w:val="28"/>
        </w:rPr>
        <w:t>本项目</w:t>
      </w:r>
      <w:r>
        <w:rPr>
          <w:rFonts w:eastAsia="仿宋_GB2312"/>
          <w:sz w:val="28"/>
          <w:szCs w:val="28"/>
        </w:rPr>
        <w:t>无组织废气</w:t>
      </w:r>
      <w:r>
        <w:rPr>
          <w:rFonts w:hint="eastAsia" w:eastAsia="仿宋_GB2312"/>
          <w:sz w:val="28"/>
          <w:szCs w:val="28"/>
        </w:rPr>
        <w:t>主要</w:t>
      </w:r>
      <w:r>
        <w:rPr>
          <w:rFonts w:eastAsia="仿宋_GB2312"/>
          <w:sz w:val="28"/>
          <w:szCs w:val="28"/>
        </w:rPr>
        <w:t>为</w:t>
      </w:r>
      <w:r>
        <w:rPr>
          <w:rFonts w:hint="eastAsia" w:eastAsia="仿宋_GB2312"/>
          <w:sz w:val="28"/>
          <w:szCs w:val="28"/>
        </w:rPr>
        <w:t>车间未</w:t>
      </w:r>
      <w:r>
        <w:rPr>
          <w:rFonts w:eastAsia="仿宋_GB2312"/>
          <w:sz w:val="28"/>
          <w:szCs w:val="28"/>
        </w:rPr>
        <w:t>捕集到的工艺废气</w:t>
      </w:r>
      <w:r>
        <w:rPr>
          <w:rFonts w:hint="eastAsia" w:eastAsia="仿宋_GB2312"/>
          <w:sz w:val="28"/>
          <w:szCs w:val="28"/>
        </w:rPr>
        <w:t>，</w:t>
      </w:r>
      <w:r>
        <w:rPr>
          <w:rFonts w:eastAsia="仿宋_GB2312"/>
          <w:sz w:val="28"/>
          <w:szCs w:val="28"/>
        </w:rPr>
        <w:t>即</w:t>
      </w:r>
      <w:r>
        <w:rPr>
          <w:rFonts w:hint="eastAsia" w:eastAsia="仿宋_GB2312"/>
          <w:sz w:val="28"/>
          <w:szCs w:val="28"/>
        </w:rPr>
        <w:t>车间配胶废气</w:t>
      </w:r>
      <w:r>
        <w:rPr>
          <w:rFonts w:hint="eastAsia" w:eastAsia="仿宋_GB2312"/>
          <w:kern w:val="0"/>
          <w:sz w:val="28"/>
          <w:szCs w:val="28"/>
        </w:rPr>
        <w:t>G1、涂布干燥废气G2及</w:t>
      </w:r>
      <w:r>
        <w:rPr>
          <w:rFonts w:eastAsia="仿宋_GB2312"/>
          <w:kern w:val="0"/>
          <w:sz w:val="28"/>
          <w:szCs w:val="28"/>
        </w:rPr>
        <w:t>清洗废气</w:t>
      </w:r>
      <w:r>
        <w:rPr>
          <w:rFonts w:hint="eastAsia" w:eastAsia="仿宋_GB2312"/>
          <w:kern w:val="0"/>
          <w:sz w:val="28"/>
          <w:szCs w:val="28"/>
        </w:rPr>
        <w:t>G3（非甲烷</w:t>
      </w:r>
      <w:r>
        <w:rPr>
          <w:rFonts w:eastAsia="仿宋_GB2312"/>
          <w:kern w:val="0"/>
          <w:sz w:val="28"/>
          <w:szCs w:val="28"/>
        </w:rPr>
        <w:t>总烃</w:t>
      </w:r>
      <w:r>
        <w:rPr>
          <w:rFonts w:hint="eastAsia" w:eastAsia="仿宋_GB2312"/>
          <w:kern w:val="0"/>
          <w:sz w:val="28"/>
          <w:szCs w:val="28"/>
        </w:rPr>
        <w:t>）</w:t>
      </w:r>
      <w:r>
        <w:rPr>
          <w:rFonts w:eastAsia="仿宋_GB2312"/>
          <w:kern w:val="0"/>
          <w:sz w:val="28"/>
          <w:szCs w:val="28"/>
        </w:rPr>
        <w:t>1.91t/a</w:t>
      </w:r>
      <w:r>
        <w:rPr>
          <w:rFonts w:hint="eastAsia" w:eastAsia="仿宋_GB2312"/>
          <w:sz w:val="28"/>
          <w:szCs w:val="28"/>
        </w:rPr>
        <w:t>。</w:t>
      </w:r>
    </w:p>
    <w:p>
      <w:pPr>
        <w:adjustRightInd w:val="0"/>
        <w:snapToGrid w:val="0"/>
        <w:spacing w:line="500" w:lineRule="exact"/>
        <w:ind w:firstLine="560" w:firstLineChars="200"/>
        <w:rPr>
          <w:rFonts w:eastAsia="仿宋_GB2312"/>
          <w:sz w:val="28"/>
          <w:szCs w:val="28"/>
        </w:rPr>
      </w:pPr>
      <w:r>
        <w:rPr>
          <w:rFonts w:hint="eastAsia" w:eastAsia="仿宋_GB2312"/>
          <w:sz w:val="28"/>
          <w:szCs w:val="28"/>
        </w:rPr>
        <w:t>本项</w:t>
      </w:r>
      <w:r>
        <w:rPr>
          <w:rFonts w:eastAsia="仿宋_GB2312"/>
          <w:sz w:val="28"/>
          <w:szCs w:val="28"/>
        </w:rPr>
        <w:t>目无组织废气产排情况见下表。</w:t>
      </w:r>
    </w:p>
    <w:p>
      <w:pPr>
        <w:adjustRightInd w:val="0"/>
        <w:snapToGrid w:val="0"/>
        <w:spacing w:line="500" w:lineRule="exact"/>
        <w:ind w:firstLine="482" w:firstLineChars="200"/>
        <w:jc w:val="center"/>
        <w:rPr>
          <w:rFonts w:eastAsia="仿宋_GB2312"/>
          <w:b/>
          <w:sz w:val="24"/>
        </w:rPr>
      </w:pPr>
      <w:r>
        <w:rPr>
          <w:rFonts w:eastAsia="仿宋_GB2312"/>
          <w:b/>
          <w:sz w:val="24"/>
        </w:rPr>
        <w:t>表3.</w:t>
      </w:r>
      <w:r>
        <w:rPr>
          <w:rFonts w:hint="eastAsia" w:eastAsia="仿宋_GB2312"/>
          <w:b/>
          <w:sz w:val="24"/>
        </w:rPr>
        <w:t>2</w:t>
      </w:r>
      <w:r>
        <w:rPr>
          <w:rFonts w:eastAsia="仿宋_GB2312"/>
          <w:b/>
          <w:sz w:val="24"/>
        </w:rPr>
        <w:t>-</w:t>
      </w:r>
      <w:r>
        <w:rPr>
          <w:rFonts w:hint="eastAsia" w:eastAsia="仿宋_GB2312"/>
          <w:b/>
          <w:sz w:val="24"/>
        </w:rPr>
        <w:t>7</w:t>
      </w:r>
      <w:r>
        <w:rPr>
          <w:rFonts w:eastAsia="仿宋_GB2312"/>
          <w:b/>
          <w:sz w:val="24"/>
        </w:rPr>
        <w:t xml:space="preserve"> 本项目</w:t>
      </w:r>
      <w:r>
        <w:rPr>
          <w:rFonts w:hint="eastAsia" w:eastAsia="仿宋_GB2312"/>
          <w:b/>
          <w:sz w:val="24"/>
        </w:rPr>
        <w:t>无组织</w:t>
      </w:r>
      <w:r>
        <w:rPr>
          <w:rFonts w:eastAsia="仿宋_GB2312"/>
          <w:b/>
          <w:sz w:val="24"/>
        </w:rPr>
        <w:t>废气产</w:t>
      </w:r>
      <w:r>
        <w:rPr>
          <w:rFonts w:hint="eastAsia" w:eastAsia="仿宋_GB2312"/>
          <w:b/>
          <w:sz w:val="24"/>
        </w:rPr>
        <w:t>生</w:t>
      </w:r>
      <w:r>
        <w:rPr>
          <w:rFonts w:eastAsia="仿宋_GB2312"/>
          <w:b/>
          <w:sz w:val="24"/>
        </w:rPr>
        <w:t>情况表</w:t>
      </w:r>
    </w:p>
    <w:tbl>
      <w:tblPr>
        <w:tblStyle w:val="87"/>
        <w:tblW w:w="53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3"/>
        <w:gridCol w:w="737"/>
        <w:gridCol w:w="1097"/>
        <w:gridCol w:w="1056"/>
        <w:gridCol w:w="1318"/>
        <w:gridCol w:w="1098"/>
        <w:gridCol w:w="1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2683" w:type="dxa"/>
            <w:shd w:val="clear" w:color="auto" w:fill="auto"/>
            <w:vAlign w:val="center"/>
          </w:tcPr>
          <w:p>
            <w:pPr>
              <w:jc w:val="center"/>
              <w:rPr>
                <w:rFonts w:ascii="仿宋" w:hAnsi="仿宋" w:eastAsia="仿宋"/>
                <w:bCs/>
                <w:szCs w:val="21"/>
              </w:rPr>
            </w:pPr>
            <w:r>
              <w:rPr>
                <w:rFonts w:hint="eastAsia" w:ascii="仿宋" w:hAnsi="仿宋" w:eastAsia="仿宋"/>
                <w:bCs/>
                <w:szCs w:val="21"/>
              </w:rPr>
              <w:t>废气</w:t>
            </w:r>
            <w:r>
              <w:rPr>
                <w:rFonts w:ascii="仿宋" w:hAnsi="仿宋" w:eastAsia="仿宋"/>
                <w:bCs/>
                <w:szCs w:val="21"/>
              </w:rPr>
              <w:t>编号</w:t>
            </w:r>
          </w:p>
        </w:tc>
        <w:tc>
          <w:tcPr>
            <w:tcW w:w="737" w:type="dxa"/>
            <w:shd w:val="clear" w:color="auto" w:fill="auto"/>
            <w:vAlign w:val="center"/>
          </w:tcPr>
          <w:p>
            <w:pPr>
              <w:jc w:val="center"/>
              <w:rPr>
                <w:rFonts w:ascii="仿宋" w:hAnsi="仿宋" w:eastAsia="仿宋"/>
                <w:bCs/>
                <w:szCs w:val="21"/>
              </w:rPr>
            </w:pPr>
            <w:r>
              <w:rPr>
                <w:rFonts w:ascii="仿宋" w:hAnsi="仿宋" w:eastAsia="仿宋"/>
                <w:bCs/>
                <w:szCs w:val="21"/>
              </w:rPr>
              <w:t>污染源位置</w:t>
            </w:r>
          </w:p>
        </w:tc>
        <w:tc>
          <w:tcPr>
            <w:tcW w:w="1097" w:type="dxa"/>
            <w:shd w:val="clear" w:color="auto" w:fill="auto"/>
            <w:vAlign w:val="center"/>
          </w:tcPr>
          <w:p>
            <w:pPr>
              <w:jc w:val="center"/>
              <w:rPr>
                <w:rFonts w:ascii="仿宋" w:hAnsi="仿宋" w:eastAsia="仿宋"/>
                <w:bCs/>
                <w:szCs w:val="21"/>
              </w:rPr>
            </w:pPr>
            <w:r>
              <w:rPr>
                <w:rFonts w:ascii="仿宋" w:hAnsi="仿宋" w:eastAsia="仿宋"/>
                <w:bCs/>
                <w:szCs w:val="21"/>
              </w:rPr>
              <w:t>污染物名称</w:t>
            </w:r>
          </w:p>
        </w:tc>
        <w:tc>
          <w:tcPr>
            <w:tcW w:w="1056" w:type="dxa"/>
            <w:vAlign w:val="center"/>
          </w:tcPr>
          <w:p>
            <w:pPr>
              <w:pStyle w:val="124"/>
              <w:spacing w:line="360" w:lineRule="exact"/>
              <w:rPr>
                <w:rFonts w:ascii="仿宋" w:hAnsi="仿宋" w:eastAsia="仿宋"/>
              </w:rPr>
            </w:pPr>
            <w:r>
              <w:rPr>
                <w:rFonts w:ascii="仿宋" w:hAnsi="仿宋" w:eastAsia="仿宋"/>
              </w:rPr>
              <w:t>污染物</w:t>
            </w:r>
            <w:r>
              <w:rPr>
                <w:rFonts w:hint="eastAsia" w:ascii="仿宋" w:hAnsi="仿宋" w:eastAsia="仿宋"/>
              </w:rPr>
              <w:t>排放</w:t>
            </w:r>
            <w:r>
              <w:rPr>
                <w:rFonts w:ascii="仿宋" w:hAnsi="仿宋" w:eastAsia="仿宋"/>
              </w:rPr>
              <w:t>速率（kg/h）</w:t>
            </w:r>
          </w:p>
        </w:tc>
        <w:tc>
          <w:tcPr>
            <w:tcW w:w="1318" w:type="dxa"/>
            <w:vAlign w:val="center"/>
          </w:tcPr>
          <w:p>
            <w:pPr>
              <w:jc w:val="center"/>
              <w:rPr>
                <w:rFonts w:ascii="仿宋" w:hAnsi="仿宋" w:eastAsia="仿宋"/>
                <w:bCs/>
                <w:szCs w:val="21"/>
              </w:rPr>
            </w:pPr>
            <w:r>
              <w:rPr>
                <w:rFonts w:ascii="仿宋" w:hAnsi="仿宋" w:eastAsia="仿宋"/>
                <w:bCs/>
                <w:szCs w:val="21"/>
              </w:rPr>
              <w:t>污染物</w:t>
            </w:r>
            <w:r>
              <w:rPr>
                <w:rFonts w:hint="eastAsia" w:ascii="仿宋" w:hAnsi="仿宋" w:eastAsia="仿宋"/>
                <w:bCs/>
                <w:szCs w:val="21"/>
              </w:rPr>
              <w:t>排放</w:t>
            </w:r>
            <w:r>
              <w:rPr>
                <w:rFonts w:ascii="仿宋" w:hAnsi="仿宋" w:eastAsia="仿宋"/>
                <w:bCs/>
                <w:szCs w:val="21"/>
              </w:rPr>
              <w:t>量（t/a）</w:t>
            </w:r>
          </w:p>
        </w:tc>
        <w:tc>
          <w:tcPr>
            <w:tcW w:w="1098" w:type="dxa"/>
            <w:shd w:val="clear" w:color="auto" w:fill="auto"/>
            <w:vAlign w:val="center"/>
          </w:tcPr>
          <w:p>
            <w:pPr>
              <w:jc w:val="center"/>
              <w:rPr>
                <w:rFonts w:ascii="仿宋" w:hAnsi="仿宋" w:eastAsia="仿宋"/>
                <w:bCs/>
                <w:szCs w:val="21"/>
              </w:rPr>
            </w:pPr>
            <w:r>
              <w:rPr>
                <w:rFonts w:ascii="仿宋" w:hAnsi="仿宋" w:eastAsia="仿宋"/>
                <w:bCs/>
                <w:szCs w:val="21"/>
              </w:rPr>
              <w:t>面源面积</w:t>
            </w:r>
          </w:p>
          <w:p>
            <w:pPr>
              <w:jc w:val="center"/>
              <w:rPr>
                <w:rFonts w:ascii="仿宋" w:hAnsi="仿宋" w:eastAsia="仿宋"/>
                <w:bCs/>
                <w:szCs w:val="21"/>
              </w:rPr>
            </w:pPr>
            <w:r>
              <w:rPr>
                <w:rFonts w:ascii="仿宋" w:hAnsi="仿宋" w:eastAsia="仿宋"/>
                <w:bCs/>
                <w:szCs w:val="21"/>
              </w:rPr>
              <w:t>（m</w:t>
            </w:r>
            <w:r>
              <w:rPr>
                <w:rFonts w:ascii="仿宋" w:hAnsi="仿宋" w:eastAsia="仿宋"/>
                <w:bCs/>
                <w:szCs w:val="21"/>
                <w:vertAlign w:val="superscript"/>
              </w:rPr>
              <w:t>2</w:t>
            </w:r>
            <w:r>
              <w:rPr>
                <w:rFonts w:ascii="仿宋" w:hAnsi="仿宋" w:eastAsia="仿宋"/>
                <w:bCs/>
                <w:szCs w:val="21"/>
              </w:rPr>
              <w:t>）</w:t>
            </w:r>
          </w:p>
        </w:tc>
        <w:tc>
          <w:tcPr>
            <w:tcW w:w="1212" w:type="dxa"/>
            <w:shd w:val="clear" w:color="auto" w:fill="auto"/>
            <w:vAlign w:val="center"/>
          </w:tcPr>
          <w:p>
            <w:pPr>
              <w:jc w:val="center"/>
              <w:rPr>
                <w:rFonts w:ascii="仿宋" w:hAnsi="仿宋" w:eastAsia="仿宋"/>
                <w:bCs/>
                <w:szCs w:val="21"/>
              </w:rPr>
            </w:pPr>
            <w:r>
              <w:rPr>
                <w:rFonts w:ascii="仿宋" w:hAnsi="仿宋" w:eastAsia="仿宋"/>
                <w:bCs/>
                <w:szCs w:val="21"/>
              </w:rPr>
              <w:t>面源高度</w:t>
            </w:r>
          </w:p>
          <w:p>
            <w:pPr>
              <w:jc w:val="center"/>
              <w:rPr>
                <w:rFonts w:ascii="仿宋" w:hAnsi="仿宋" w:eastAsia="仿宋"/>
                <w:bCs/>
                <w:szCs w:val="21"/>
              </w:rPr>
            </w:pPr>
            <w:r>
              <w:rPr>
                <w:rFonts w:ascii="仿宋" w:hAnsi="仿宋" w:eastAsia="仿宋"/>
                <w:bCs/>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2683" w:type="dxa"/>
            <w:vMerge w:val="restart"/>
            <w:shd w:val="clear" w:color="auto" w:fill="auto"/>
            <w:vAlign w:val="center"/>
          </w:tcPr>
          <w:p>
            <w:pPr>
              <w:jc w:val="center"/>
              <w:rPr>
                <w:rFonts w:ascii="仿宋" w:hAnsi="仿宋" w:eastAsia="仿宋"/>
                <w:bCs/>
                <w:szCs w:val="21"/>
              </w:rPr>
            </w:pPr>
            <w:r>
              <w:rPr>
                <w:rFonts w:hint="eastAsia" w:ascii="仿宋" w:hAnsi="仿宋" w:eastAsia="仿宋"/>
                <w:bCs/>
                <w:szCs w:val="21"/>
              </w:rPr>
              <w:t>配胶废气G1</w:t>
            </w:r>
          </w:p>
        </w:tc>
        <w:tc>
          <w:tcPr>
            <w:tcW w:w="737" w:type="dxa"/>
            <w:vMerge w:val="restart"/>
            <w:shd w:val="clear" w:color="auto" w:fill="auto"/>
            <w:vAlign w:val="center"/>
          </w:tcPr>
          <w:p>
            <w:pPr>
              <w:jc w:val="center"/>
              <w:rPr>
                <w:rFonts w:ascii="仿宋" w:hAnsi="仿宋" w:eastAsia="仿宋"/>
                <w:bCs/>
                <w:szCs w:val="21"/>
              </w:rPr>
            </w:pPr>
            <w:r>
              <w:rPr>
                <w:rFonts w:hint="eastAsia" w:ascii="仿宋" w:hAnsi="仿宋" w:eastAsia="仿宋"/>
                <w:bCs/>
                <w:szCs w:val="21"/>
              </w:rPr>
              <w:t>配胶间</w:t>
            </w:r>
          </w:p>
        </w:tc>
        <w:tc>
          <w:tcPr>
            <w:tcW w:w="1097" w:type="dxa"/>
            <w:shd w:val="clear" w:color="auto" w:fill="auto"/>
            <w:vAlign w:val="center"/>
          </w:tcPr>
          <w:p>
            <w:pPr>
              <w:jc w:val="center"/>
              <w:rPr>
                <w:rFonts w:ascii="仿宋" w:hAnsi="仿宋" w:eastAsia="仿宋"/>
                <w:bCs/>
                <w:szCs w:val="21"/>
              </w:rPr>
            </w:pPr>
            <w:r>
              <w:rPr>
                <w:rFonts w:hint="eastAsia" w:ascii="仿宋" w:hAnsi="仿宋" w:eastAsia="仿宋"/>
                <w:bCs/>
                <w:szCs w:val="21"/>
              </w:rPr>
              <w:t>非甲烷总烃</w:t>
            </w:r>
          </w:p>
        </w:tc>
        <w:tc>
          <w:tcPr>
            <w:tcW w:w="1056" w:type="dxa"/>
            <w:vAlign w:val="center"/>
          </w:tcPr>
          <w:p>
            <w:pPr>
              <w:pStyle w:val="124"/>
              <w:spacing w:line="360" w:lineRule="exact"/>
              <w:rPr>
                <w:rFonts w:ascii="仿宋" w:hAnsi="仿宋" w:eastAsia="仿宋"/>
              </w:rPr>
            </w:pPr>
            <w:r>
              <w:rPr>
                <w:rFonts w:hint="eastAsia" w:ascii="仿宋" w:hAnsi="仿宋" w:eastAsia="仿宋"/>
              </w:rPr>
              <w:t>0</w:t>
            </w:r>
            <w:r>
              <w:rPr>
                <w:rFonts w:ascii="仿宋" w:hAnsi="仿宋" w:eastAsia="仿宋"/>
              </w:rPr>
              <w:t>.16</w:t>
            </w:r>
          </w:p>
        </w:tc>
        <w:tc>
          <w:tcPr>
            <w:tcW w:w="1318" w:type="dxa"/>
            <w:vAlign w:val="center"/>
          </w:tcPr>
          <w:p>
            <w:pPr>
              <w:jc w:val="center"/>
              <w:rPr>
                <w:rFonts w:ascii="仿宋" w:hAnsi="仿宋" w:eastAsia="仿宋"/>
                <w:bCs/>
                <w:szCs w:val="21"/>
              </w:rPr>
            </w:pPr>
            <w:r>
              <w:rPr>
                <w:rFonts w:hint="eastAsia" w:ascii="仿宋" w:hAnsi="仿宋" w:eastAsia="仿宋"/>
                <w:bCs/>
                <w:szCs w:val="21"/>
              </w:rPr>
              <w:t>0.57</w:t>
            </w:r>
          </w:p>
        </w:tc>
        <w:tc>
          <w:tcPr>
            <w:tcW w:w="1098" w:type="dxa"/>
            <w:vMerge w:val="restart"/>
            <w:shd w:val="clear" w:color="auto" w:fill="auto"/>
            <w:vAlign w:val="center"/>
          </w:tcPr>
          <w:p>
            <w:pPr>
              <w:jc w:val="center"/>
              <w:rPr>
                <w:rFonts w:ascii="仿宋" w:hAnsi="仿宋" w:eastAsia="仿宋"/>
                <w:bCs/>
                <w:szCs w:val="21"/>
              </w:rPr>
            </w:pPr>
            <w:r>
              <w:rPr>
                <w:rFonts w:hint="eastAsia" w:ascii="仿宋" w:hAnsi="仿宋" w:eastAsia="仿宋"/>
                <w:bCs/>
                <w:szCs w:val="21"/>
              </w:rPr>
              <w:t>1</w:t>
            </w:r>
            <w:r>
              <w:rPr>
                <w:rFonts w:ascii="仿宋" w:hAnsi="仿宋" w:eastAsia="仿宋"/>
                <w:bCs/>
                <w:szCs w:val="21"/>
              </w:rPr>
              <w:t>08</w:t>
            </w:r>
          </w:p>
        </w:tc>
        <w:tc>
          <w:tcPr>
            <w:tcW w:w="1212" w:type="dxa"/>
            <w:vMerge w:val="restart"/>
            <w:shd w:val="clear" w:color="auto" w:fill="auto"/>
            <w:vAlign w:val="center"/>
          </w:tcPr>
          <w:p>
            <w:pPr>
              <w:jc w:val="center"/>
              <w:rPr>
                <w:rFonts w:ascii="仿宋" w:hAnsi="仿宋" w:eastAsia="仿宋"/>
                <w:bCs/>
                <w:szCs w:val="21"/>
              </w:rPr>
            </w:pPr>
            <w:r>
              <w:rPr>
                <w:rFonts w:hint="eastAsia" w:ascii="仿宋" w:hAnsi="仿宋" w:eastAsia="仿宋"/>
                <w:bCs/>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2683" w:type="dxa"/>
            <w:vMerge w:val="continue"/>
            <w:shd w:val="clear" w:color="auto" w:fill="auto"/>
            <w:vAlign w:val="center"/>
          </w:tcPr>
          <w:p>
            <w:pPr>
              <w:jc w:val="center"/>
              <w:rPr>
                <w:rFonts w:ascii="仿宋" w:hAnsi="仿宋" w:eastAsia="仿宋"/>
                <w:bCs/>
                <w:szCs w:val="21"/>
              </w:rPr>
            </w:pPr>
          </w:p>
        </w:tc>
        <w:tc>
          <w:tcPr>
            <w:tcW w:w="737" w:type="dxa"/>
            <w:vMerge w:val="continue"/>
            <w:shd w:val="clear" w:color="auto" w:fill="auto"/>
            <w:vAlign w:val="center"/>
          </w:tcPr>
          <w:p>
            <w:pPr>
              <w:jc w:val="center"/>
              <w:rPr>
                <w:rFonts w:ascii="仿宋" w:hAnsi="仿宋" w:eastAsia="仿宋"/>
                <w:bCs/>
                <w:szCs w:val="21"/>
              </w:rPr>
            </w:pPr>
          </w:p>
        </w:tc>
        <w:tc>
          <w:tcPr>
            <w:tcW w:w="1097" w:type="dxa"/>
            <w:shd w:val="clear" w:color="auto" w:fill="auto"/>
            <w:vAlign w:val="center"/>
          </w:tcPr>
          <w:p>
            <w:pPr>
              <w:jc w:val="center"/>
              <w:rPr>
                <w:rFonts w:ascii="仿宋" w:hAnsi="仿宋" w:eastAsia="仿宋"/>
                <w:bCs/>
                <w:szCs w:val="21"/>
              </w:rPr>
            </w:pPr>
            <w:r>
              <w:rPr>
                <w:rFonts w:hint="eastAsia" w:ascii="仿宋" w:hAnsi="仿宋" w:eastAsia="仿宋"/>
                <w:bCs/>
                <w:szCs w:val="21"/>
              </w:rPr>
              <w:t>二甲苯</w:t>
            </w:r>
          </w:p>
        </w:tc>
        <w:tc>
          <w:tcPr>
            <w:tcW w:w="1056" w:type="dxa"/>
            <w:vAlign w:val="center"/>
          </w:tcPr>
          <w:p>
            <w:pPr>
              <w:pStyle w:val="124"/>
              <w:spacing w:line="360" w:lineRule="exact"/>
              <w:rPr>
                <w:rFonts w:ascii="仿宋" w:hAnsi="仿宋" w:eastAsia="仿宋"/>
              </w:rPr>
            </w:pPr>
            <w:r>
              <w:rPr>
                <w:rFonts w:hint="eastAsia" w:ascii="仿宋" w:hAnsi="仿宋" w:eastAsia="仿宋"/>
              </w:rPr>
              <w:t>0</w:t>
            </w:r>
            <w:r>
              <w:rPr>
                <w:rFonts w:ascii="仿宋" w:hAnsi="仿宋" w:eastAsia="仿宋"/>
              </w:rPr>
              <w:t>.02</w:t>
            </w:r>
          </w:p>
        </w:tc>
        <w:tc>
          <w:tcPr>
            <w:tcW w:w="1318" w:type="dxa"/>
            <w:vAlign w:val="center"/>
          </w:tcPr>
          <w:p>
            <w:pPr>
              <w:jc w:val="center"/>
              <w:rPr>
                <w:rFonts w:ascii="仿宋" w:hAnsi="仿宋" w:eastAsia="仿宋"/>
                <w:bCs/>
                <w:szCs w:val="21"/>
              </w:rPr>
            </w:pPr>
            <w:r>
              <w:rPr>
                <w:rFonts w:hint="eastAsia" w:ascii="仿宋" w:hAnsi="仿宋" w:eastAsia="仿宋"/>
                <w:bCs/>
                <w:szCs w:val="21"/>
              </w:rPr>
              <w:t>0.06</w:t>
            </w:r>
          </w:p>
        </w:tc>
        <w:tc>
          <w:tcPr>
            <w:tcW w:w="1098" w:type="dxa"/>
            <w:vMerge w:val="continue"/>
            <w:shd w:val="clear" w:color="auto" w:fill="auto"/>
            <w:vAlign w:val="center"/>
          </w:tcPr>
          <w:p>
            <w:pPr>
              <w:jc w:val="center"/>
              <w:rPr>
                <w:rFonts w:ascii="仿宋" w:hAnsi="仿宋" w:eastAsia="仿宋"/>
                <w:bCs/>
                <w:szCs w:val="21"/>
              </w:rPr>
            </w:pPr>
          </w:p>
        </w:tc>
        <w:tc>
          <w:tcPr>
            <w:tcW w:w="1212" w:type="dxa"/>
            <w:vMerge w:val="continue"/>
            <w:shd w:val="clear" w:color="auto" w:fill="auto"/>
            <w:vAlign w:val="center"/>
          </w:tcPr>
          <w:p>
            <w:pPr>
              <w:jc w:val="center"/>
              <w:rPr>
                <w:rFonts w:ascii="仿宋" w:hAnsi="仿宋" w:eastAsia="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2683" w:type="dxa"/>
            <w:vMerge w:val="continue"/>
            <w:shd w:val="clear" w:color="auto" w:fill="auto"/>
            <w:vAlign w:val="center"/>
          </w:tcPr>
          <w:p>
            <w:pPr>
              <w:jc w:val="center"/>
              <w:rPr>
                <w:rFonts w:ascii="仿宋" w:hAnsi="仿宋" w:eastAsia="仿宋"/>
                <w:bCs/>
                <w:szCs w:val="21"/>
              </w:rPr>
            </w:pPr>
          </w:p>
        </w:tc>
        <w:tc>
          <w:tcPr>
            <w:tcW w:w="737" w:type="dxa"/>
            <w:vMerge w:val="continue"/>
            <w:shd w:val="clear" w:color="auto" w:fill="auto"/>
            <w:vAlign w:val="center"/>
          </w:tcPr>
          <w:p>
            <w:pPr>
              <w:jc w:val="center"/>
              <w:rPr>
                <w:rFonts w:ascii="仿宋" w:hAnsi="仿宋" w:eastAsia="仿宋"/>
                <w:bCs/>
                <w:szCs w:val="21"/>
              </w:rPr>
            </w:pPr>
          </w:p>
        </w:tc>
        <w:tc>
          <w:tcPr>
            <w:tcW w:w="1097" w:type="dxa"/>
            <w:shd w:val="clear" w:color="auto" w:fill="auto"/>
            <w:vAlign w:val="center"/>
          </w:tcPr>
          <w:p>
            <w:pPr>
              <w:jc w:val="center"/>
              <w:rPr>
                <w:rFonts w:ascii="仿宋" w:hAnsi="仿宋" w:eastAsia="仿宋"/>
                <w:bCs/>
                <w:szCs w:val="21"/>
              </w:rPr>
            </w:pPr>
            <w:r>
              <w:rPr>
                <w:rFonts w:hint="eastAsia" w:ascii="仿宋" w:hAnsi="仿宋" w:eastAsia="仿宋"/>
                <w:bCs/>
                <w:szCs w:val="21"/>
              </w:rPr>
              <w:t>乙酸乙酯</w:t>
            </w:r>
          </w:p>
        </w:tc>
        <w:tc>
          <w:tcPr>
            <w:tcW w:w="1056" w:type="dxa"/>
            <w:vAlign w:val="center"/>
          </w:tcPr>
          <w:p>
            <w:pPr>
              <w:pStyle w:val="124"/>
              <w:spacing w:line="360" w:lineRule="exact"/>
              <w:rPr>
                <w:rFonts w:ascii="仿宋" w:hAnsi="仿宋" w:eastAsia="仿宋"/>
              </w:rPr>
            </w:pPr>
            <w:r>
              <w:rPr>
                <w:rFonts w:hint="eastAsia" w:ascii="仿宋" w:hAnsi="仿宋" w:eastAsia="仿宋"/>
              </w:rPr>
              <w:t>0</w:t>
            </w:r>
            <w:r>
              <w:rPr>
                <w:rFonts w:ascii="仿宋" w:hAnsi="仿宋" w:eastAsia="仿宋"/>
              </w:rPr>
              <w:t>.14</w:t>
            </w:r>
          </w:p>
        </w:tc>
        <w:tc>
          <w:tcPr>
            <w:tcW w:w="1318" w:type="dxa"/>
            <w:vAlign w:val="center"/>
          </w:tcPr>
          <w:p>
            <w:pPr>
              <w:jc w:val="center"/>
              <w:rPr>
                <w:rFonts w:ascii="仿宋" w:hAnsi="仿宋" w:eastAsia="仿宋"/>
                <w:bCs/>
                <w:szCs w:val="21"/>
              </w:rPr>
            </w:pPr>
            <w:r>
              <w:rPr>
                <w:rFonts w:hint="eastAsia" w:ascii="仿宋" w:hAnsi="仿宋" w:eastAsia="仿宋"/>
                <w:bCs/>
                <w:szCs w:val="21"/>
              </w:rPr>
              <w:t>0.5</w:t>
            </w:r>
          </w:p>
        </w:tc>
        <w:tc>
          <w:tcPr>
            <w:tcW w:w="1098" w:type="dxa"/>
            <w:vMerge w:val="continue"/>
            <w:shd w:val="clear" w:color="auto" w:fill="auto"/>
            <w:vAlign w:val="center"/>
          </w:tcPr>
          <w:p>
            <w:pPr>
              <w:jc w:val="center"/>
              <w:rPr>
                <w:rFonts w:ascii="仿宋" w:hAnsi="仿宋" w:eastAsia="仿宋"/>
                <w:bCs/>
                <w:szCs w:val="21"/>
              </w:rPr>
            </w:pPr>
          </w:p>
        </w:tc>
        <w:tc>
          <w:tcPr>
            <w:tcW w:w="1212" w:type="dxa"/>
            <w:vMerge w:val="continue"/>
            <w:shd w:val="clear" w:color="auto" w:fill="auto"/>
            <w:vAlign w:val="center"/>
          </w:tcPr>
          <w:p>
            <w:pPr>
              <w:jc w:val="center"/>
              <w:rPr>
                <w:rFonts w:ascii="仿宋" w:hAnsi="仿宋" w:eastAsia="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2683" w:type="dxa"/>
            <w:vMerge w:val="restart"/>
            <w:shd w:val="clear" w:color="auto" w:fill="auto"/>
            <w:vAlign w:val="center"/>
          </w:tcPr>
          <w:p>
            <w:pPr>
              <w:jc w:val="center"/>
              <w:rPr>
                <w:rFonts w:ascii="仿宋" w:hAnsi="仿宋" w:eastAsia="仿宋"/>
                <w:bCs/>
                <w:szCs w:val="21"/>
              </w:rPr>
            </w:pPr>
            <w:r>
              <w:rPr>
                <w:rFonts w:hint="eastAsia" w:ascii="仿宋" w:hAnsi="仿宋" w:eastAsia="仿宋"/>
                <w:bCs/>
                <w:szCs w:val="21"/>
              </w:rPr>
              <w:t>涂布干燥废气G2、清洗废气G3</w:t>
            </w:r>
          </w:p>
        </w:tc>
        <w:tc>
          <w:tcPr>
            <w:tcW w:w="737" w:type="dxa"/>
            <w:vMerge w:val="restart"/>
            <w:shd w:val="clear" w:color="auto" w:fill="auto"/>
            <w:vAlign w:val="center"/>
          </w:tcPr>
          <w:p>
            <w:pPr>
              <w:jc w:val="center"/>
              <w:rPr>
                <w:rFonts w:ascii="仿宋" w:hAnsi="仿宋" w:eastAsia="仿宋"/>
                <w:bCs/>
                <w:szCs w:val="21"/>
              </w:rPr>
            </w:pPr>
            <w:r>
              <w:rPr>
                <w:rFonts w:hint="eastAsia" w:ascii="仿宋" w:hAnsi="仿宋" w:eastAsia="仿宋"/>
                <w:bCs/>
                <w:szCs w:val="21"/>
              </w:rPr>
              <w:t>涂布干燥间</w:t>
            </w:r>
          </w:p>
        </w:tc>
        <w:tc>
          <w:tcPr>
            <w:tcW w:w="1097" w:type="dxa"/>
            <w:shd w:val="clear" w:color="auto" w:fill="auto"/>
            <w:vAlign w:val="center"/>
          </w:tcPr>
          <w:p>
            <w:pPr>
              <w:jc w:val="center"/>
              <w:rPr>
                <w:rFonts w:ascii="仿宋" w:hAnsi="仿宋" w:eastAsia="仿宋"/>
                <w:bCs/>
                <w:szCs w:val="21"/>
              </w:rPr>
            </w:pPr>
            <w:r>
              <w:rPr>
                <w:rFonts w:hint="eastAsia" w:ascii="仿宋" w:hAnsi="仿宋" w:eastAsia="仿宋"/>
                <w:bCs/>
                <w:szCs w:val="21"/>
              </w:rPr>
              <w:t>非甲烷总烃</w:t>
            </w:r>
          </w:p>
        </w:tc>
        <w:tc>
          <w:tcPr>
            <w:tcW w:w="1056" w:type="dxa"/>
            <w:vAlign w:val="center"/>
          </w:tcPr>
          <w:p>
            <w:pPr>
              <w:pStyle w:val="124"/>
              <w:spacing w:line="360" w:lineRule="exact"/>
              <w:rPr>
                <w:rFonts w:ascii="仿宋" w:hAnsi="仿宋" w:eastAsia="仿宋"/>
              </w:rPr>
            </w:pPr>
            <w:r>
              <w:rPr>
                <w:rFonts w:ascii="仿宋" w:hAnsi="仿宋" w:eastAsia="仿宋"/>
              </w:rPr>
              <w:t>0.185</w:t>
            </w:r>
          </w:p>
        </w:tc>
        <w:tc>
          <w:tcPr>
            <w:tcW w:w="1318" w:type="dxa"/>
            <w:vAlign w:val="center"/>
          </w:tcPr>
          <w:p>
            <w:pPr>
              <w:jc w:val="center"/>
              <w:rPr>
                <w:rFonts w:ascii="仿宋" w:hAnsi="仿宋" w:eastAsia="仿宋"/>
                <w:bCs/>
                <w:szCs w:val="21"/>
              </w:rPr>
            </w:pPr>
            <w:r>
              <w:rPr>
                <w:rFonts w:hint="eastAsia" w:ascii="仿宋" w:hAnsi="仿宋" w:eastAsia="仿宋"/>
                <w:bCs/>
                <w:szCs w:val="21"/>
              </w:rPr>
              <w:t>1.34</w:t>
            </w:r>
          </w:p>
        </w:tc>
        <w:tc>
          <w:tcPr>
            <w:tcW w:w="1098" w:type="dxa"/>
            <w:vMerge w:val="restart"/>
            <w:shd w:val="clear" w:color="auto" w:fill="auto"/>
            <w:vAlign w:val="center"/>
          </w:tcPr>
          <w:p>
            <w:pPr>
              <w:jc w:val="center"/>
              <w:rPr>
                <w:rFonts w:ascii="仿宋" w:hAnsi="仿宋" w:eastAsia="仿宋"/>
                <w:bCs/>
                <w:szCs w:val="21"/>
              </w:rPr>
            </w:pPr>
            <w:r>
              <w:rPr>
                <w:rFonts w:hint="eastAsia" w:ascii="仿宋" w:hAnsi="仿宋" w:eastAsia="仿宋"/>
                <w:bCs/>
                <w:szCs w:val="21"/>
              </w:rPr>
              <w:t>1</w:t>
            </w:r>
            <w:r>
              <w:rPr>
                <w:rFonts w:ascii="仿宋" w:hAnsi="仿宋" w:eastAsia="仿宋"/>
                <w:bCs/>
                <w:szCs w:val="21"/>
              </w:rPr>
              <w:t>040</w:t>
            </w:r>
          </w:p>
        </w:tc>
        <w:tc>
          <w:tcPr>
            <w:tcW w:w="1212" w:type="dxa"/>
            <w:vMerge w:val="continue"/>
            <w:shd w:val="clear" w:color="auto" w:fill="auto"/>
            <w:vAlign w:val="center"/>
          </w:tcPr>
          <w:p>
            <w:pPr>
              <w:jc w:val="center"/>
              <w:rPr>
                <w:rFonts w:ascii="仿宋" w:hAnsi="仿宋" w:eastAsia="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2683" w:type="dxa"/>
            <w:vMerge w:val="continue"/>
            <w:shd w:val="clear" w:color="auto" w:fill="auto"/>
            <w:vAlign w:val="center"/>
          </w:tcPr>
          <w:p>
            <w:pPr>
              <w:jc w:val="center"/>
              <w:rPr>
                <w:rFonts w:ascii="仿宋" w:hAnsi="仿宋" w:eastAsia="仿宋"/>
                <w:bCs/>
                <w:szCs w:val="21"/>
              </w:rPr>
            </w:pPr>
          </w:p>
        </w:tc>
        <w:tc>
          <w:tcPr>
            <w:tcW w:w="737" w:type="dxa"/>
            <w:vMerge w:val="continue"/>
            <w:shd w:val="clear" w:color="auto" w:fill="auto"/>
            <w:vAlign w:val="center"/>
          </w:tcPr>
          <w:p>
            <w:pPr>
              <w:jc w:val="center"/>
              <w:rPr>
                <w:rFonts w:ascii="仿宋" w:hAnsi="仿宋" w:eastAsia="仿宋"/>
                <w:bCs/>
                <w:szCs w:val="21"/>
              </w:rPr>
            </w:pPr>
          </w:p>
        </w:tc>
        <w:tc>
          <w:tcPr>
            <w:tcW w:w="1097" w:type="dxa"/>
            <w:shd w:val="clear" w:color="auto" w:fill="auto"/>
            <w:vAlign w:val="center"/>
          </w:tcPr>
          <w:p>
            <w:pPr>
              <w:jc w:val="center"/>
              <w:rPr>
                <w:rFonts w:ascii="仿宋" w:hAnsi="仿宋" w:eastAsia="仿宋"/>
                <w:bCs/>
                <w:szCs w:val="21"/>
              </w:rPr>
            </w:pPr>
            <w:r>
              <w:rPr>
                <w:rFonts w:hint="eastAsia" w:ascii="仿宋" w:hAnsi="仿宋" w:eastAsia="仿宋"/>
                <w:bCs/>
                <w:szCs w:val="21"/>
              </w:rPr>
              <w:t>二甲苯</w:t>
            </w:r>
          </w:p>
        </w:tc>
        <w:tc>
          <w:tcPr>
            <w:tcW w:w="1056" w:type="dxa"/>
            <w:vAlign w:val="center"/>
          </w:tcPr>
          <w:p>
            <w:pPr>
              <w:pStyle w:val="124"/>
              <w:spacing w:line="360" w:lineRule="exact"/>
              <w:rPr>
                <w:rFonts w:ascii="仿宋" w:hAnsi="仿宋" w:eastAsia="仿宋"/>
              </w:rPr>
            </w:pPr>
            <w:r>
              <w:rPr>
                <w:rFonts w:hint="eastAsia" w:ascii="仿宋" w:hAnsi="仿宋" w:eastAsia="仿宋"/>
              </w:rPr>
              <w:t>0</w:t>
            </w:r>
            <w:r>
              <w:rPr>
                <w:rFonts w:ascii="仿宋" w:hAnsi="仿宋" w:eastAsia="仿宋"/>
              </w:rPr>
              <w:t>.018</w:t>
            </w:r>
          </w:p>
        </w:tc>
        <w:tc>
          <w:tcPr>
            <w:tcW w:w="1318" w:type="dxa"/>
            <w:vAlign w:val="center"/>
          </w:tcPr>
          <w:p>
            <w:pPr>
              <w:jc w:val="center"/>
              <w:rPr>
                <w:rFonts w:ascii="仿宋" w:hAnsi="仿宋" w:eastAsia="仿宋"/>
                <w:bCs/>
                <w:szCs w:val="21"/>
              </w:rPr>
            </w:pPr>
            <w:r>
              <w:rPr>
                <w:rFonts w:hint="eastAsia" w:ascii="仿宋" w:hAnsi="仿宋" w:eastAsia="仿宋"/>
                <w:bCs/>
                <w:szCs w:val="21"/>
              </w:rPr>
              <w:t>0.13</w:t>
            </w:r>
          </w:p>
        </w:tc>
        <w:tc>
          <w:tcPr>
            <w:tcW w:w="1098" w:type="dxa"/>
            <w:vMerge w:val="continue"/>
            <w:shd w:val="clear" w:color="auto" w:fill="auto"/>
            <w:vAlign w:val="center"/>
          </w:tcPr>
          <w:p>
            <w:pPr>
              <w:jc w:val="center"/>
              <w:rPr>
                <w:rFonts w:ascii="仿宋" w:hAnsi="仿宋" w:eastAsia="仿宋"/>
                <w:bCs/>
                <w:szCs w:val="21"/>
              </w:rPr>
            </w:pPr>
          </w:p>
        </w:tc>
        <w:tc>
          <w:tcPr>
            <w:tcW w:w="1212" w:type="dxa"/>
            <w:vMerge w:val="continue"/>
            <w:shd w:val="clear" w:color="auto" w:fill="auto"/>
            <w:vAlign w:val="center"/>
          </w:tcPr>
          <w:p>
            <w:pPr>
              <w:jc w:val="center"/>
              <w:rPr>
                <w:rFonts w:ascii="仿宋" w:hAnsi="仿宋" w:eastAsia="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683" w:type="dxa"/>
            <w:vMerge w:val="continue"/>
            <w:shd w:val="clear" w:color="auto" w:fill="auto"/>
            <w:vAlign w:val="center"/>
          </w:tcPr>
          <w:p>
            <w:pPr>
              <w:jc w:val="center"/>
              <w:rPr>
                <w:rFonts w:ascii="仿宋" w:hAnsi="仿宋" w:eastAsia="仿宋"/>
                <w:bCs/>
                <w:szCs w:val="21"/>
              </w:rPr>
            </w:pPr>
          </w:p>
        </w:tc>
        <w:tc>
          <w:tcPr>
            <w:tcW w:w="737" w:type="dxa"/>
            <w:vMerge w:val="continue"/>
            <w:shd w:val="clear" w:color="auto" w:fill="auto"/>
            <w:vAlign w:val="center"/>
          </w:tcPr>
          <w:p>
            <w:pPr>
              <w:jc w:val="center"/>
              <w:rPr>
                <w:rFonts w:ascii="仿宋" w:hAnsi="仿宋" w:eastAsia="仿宋"/>
                <w:bCs/>
                <w:szCs w:val="21"/>
              </w:rPr>
            </w:pPr>
          </w:p>
        </w:tc>
        <w:tc>
          <w:tcPr>
            <w:tcW w:w="1097" w:type="dxa"/>
            <w:shd w:val="clear" w:color="auto" w:fill="auto"/>
            <w:vAlign w:val="center"/>
          </w:tcPr>
          <w:p>
            <w:pPr>
              <w:jc w:val="center"/>
              <w:rPr>
                <w:rFonts w:ascii="仿宋" w:hAnsi="仿宋" w:eastAsia="仿宋"/>
                <w:bCs/>
                <w:szCs w:val="21"/>
              </w:rPr>
            </w:pPr>
            <w:r>
              <w:rPr>
                <w:rFonts w:hint="eastAsia" w:ascii="仿宋" w:hAnsi="仿宋" w:eastAsia="仿宋"/>
                <w:bCs/>
                <w:szCs w:val="21"/>
              </w:rPr>
              <w:t>乙酸乙酯</w:t>
            </w:r>
          </w:p>
        </w:tc>
        <w:tc>
          <w:tcPr>
            <w:tcW w:w="1056" w:type="dxa"/>
            <w:vAlign w:val="center"/>
          </w:tcPr>
          <w:p>
            <w:pPr>
              <w:pStyle w:val="124"/>
              <w:spacing w:line="360" w:lineRule="exact"/>
              <w:rPr>
                <w:rFonts w:ascii="仿宋" w:hAnsi="仿宋" w:eastAsia="仿宋"/>
              </w:rPr>
            </w:pPr>
            <w:r>
              <w:rPr>
                <w:rFonts w:hint="eastAsia" w:ascii="仿宋" w:hAnsi="仿宋" w:eastAsia="仿宋"/>
              </w:rPr>
              <w:t>0</w:t>
            </w:r>
            <w:r>
              <w:rPr>
                <w:rFonts w:ascii="仿宋" w:hAnsi="仿宋" w:eastAsia="仿宋"/>
              </w:rPr>
              <w:t>.165</w:t>
            </w:r>
          </w:p>
        </w:tc>
        <w:tc>
          <w:tcPr>
            <w:tcW w:w="1318" w:type="dxa"/>
            <w:vAlign w:val="center"/>
          </w:tcPr>
          <w:p>
            <w:pPr>
              <w:jc w:val="center"/>
              <w:rPr>
                <w:rFonts w:ascii="仿宋" w:hAnsi="仿宋" w:eastAsia="仿宋"/>
                <w:bCs/>
                <w:szCs w:val="21"/>
              </w:rPr>
            </w:pPr>
            <w:r>
              <w:rPr>
                <w:rFonts w:hint="eastAsia" w:ascii="仿宋" w:hAnsi="仿宋" w:eastAsia="仿宋"/>
                <w:bCs/>
                <w:szCs w:val="21"/>
              </w:rPr>
              <w:t>1.16</w:t>
            </w:r>
          </w:p>
        </w:tc>
        <w:tc>
          <w:tcPr>
            <w:tcW w:w="1098" w:type="dxa"/>
            <w:vMerge w:val="continue"/>
            <w:shd w:val="clear" w:color="auto" w:fill="auto"/>
            <w:vAlign w:val="center"/>
          </w:tcPr>
          <w:p>
            <w:pPr>
              <w:widowControl/>
              <w:jc w:val="center"/>
              <w:rPr>
                <w:rFonts w:eastAsia="仿宋_GB2312"/>
                <w:kern w:val="0"/>
                <w:szCs w:val="21"/>
              </w:rPr>
            </w:pPr>
          </w:p>
        </w:tc>
        <w:tc>
          <w:tcPr>
            <w:tcW w:w="1212" w:type="dxa"/>
            <w:vMerge w:val="continue"/>
            <w:shd w:val="clear" w:color="auto" w:fill="auto"/>
            <w:vAlign w:val="center"/>
          </w:tcPr>
          <w:p>
            <w:pPr>
              <w:widowControl/>
              <w:jc w:val="center"/>
              <w:rPr>
                <w:rFonts w:eastAsia="仿宋_GB2312"/>
                <w:kern w:val="0"/>
                <w:szCs w:val="21"/>
              </w:rPr>
            </w:pPr>
          </w:p>
        </w:tc>
      </w:tr>
    </w:tbl>
    <w:p>
      <w:pPr>
        <w:adjustRightInd w:val="0"/>
        <w:snapToGrid w:val="0"/>
        <w:spacing w:line="320" w:lineRule="exact"/>
        <w:rPr>
          <w:rFonts w:eastAsia="仿宋_GB2312"/>
          <w:b/>
          <w:szCs w:val="21"/>
        </w:rPr>
      </w:pPr>
      <w:r>
        <w:rPr>
          <w:rFonts w:hint="eastAsia" w:eastAsia="仿宋_GB2312"/>
          <w:b/>
          <w:szCs w:val="21"/>
        </w:rPr>
        <w:t>注</w:t>
      </w:r>
      <w:r>
        <w:rPr>
          <w:rFonts w:eastAsia="仿宋_GB2312"/>
          <w:b/>
          <w:szCs w:val="21"/>
        </w:rPr>
        <w:t>：</w:t>
      </w:r>
      <w:r>
        <w:rPr>
          <w:rFonts w:hint="eastAsia" w:eastAsia="仿宋_GB2312"/>
          <w:b/>
          <w:bCs/>
          <w:szCs w:val="21"/>
        </w:rPr>
        <w:t>非甲烷</w:t>
      </w:r>
      <w:r>
        <w:rPr>
          <w:rFonts w:eastAsia="仿宋_GB2312"/>
          <w:b/>
          <w:bCs/>
          <w:szCs w:val="21"/>
        </w:rPr>
        <w:t>总烃包含乙酸乙酯、</w:t>
      </w:r>
      <w:r>
        <w:rPr>
          <w:rFonts w:hint="eastAsia" w:eastAsia="仿宋_GB2312"/>
          <w:b/>
          <w:bCs/>
          <w:szCs w:val="21"/>
        </w:rPr>
        <w:t>二</w:t>
      </w:r>
      <w:r>
        <w:rPr>
          <w:rFonts w:eastAsia="仿宋_GB2312"/>
          <w:b/>
          <w:bCs/>
          <w:szCs w:val="21"/>
        </w:rPr>
        <w:t>甲苯</w:t>
      </w:r>
      <w:r>
        <w:rPr>
          <w:rFonts w:hint="eastAsia" w:eastAsia="仿宋_GB2312"/>
          <w:b/>
          <w:bCs/>
          <w:szCs w:val="21"/>
        </w:rPr>
        <w:t>、乙醇</w:t>
      </w:r>
      <w:r>
        <w:rPr>
          <w:rFonts w:eastAsia="仿宋_GB2312"/>
          <w:b/>
          <w:bCs/>
          <w:szCs w:val="21"/>
        </w:rPr>
        <w:t>等有机</w:t>
      </w:r>
      <w:r>
        <w:rPr>
          <w:rFonts w:hint="eastAsia" w:eastAsia="仿宋_GB2312"/>
          <w:b/>
          <w:bCs/>
          <w:szCs w:val="21"/>
        </w:rPr>
        <w:t>废气。</w:t>
      </w:r>
    </w:p>
    <w:p>
      <w:pPr>
        <w:keepNext/>
        <w:keepLines/>
        <w:spacing w:before="48" w:beforeLines="20" w:after="48" w:afterLines="20" w:line="500" w:lineRule="exact"/>
        <w:jc w:val="left"/>
        <w:outlineLvl w:val="4"/>
        <w:rPr>
          <w:rFonts w:eastAsia="仿宋_GB2312"/>
          <w:b/>
          <w:bCs/>
          <w:sz w:val="28"/>
        </w:rPr>
      </w:pPr>
      <w:r>
        <w:rPr>
          <w:rFonts w:eastAsia="仿宋_GB2312"/>
          <w:b/>
          <w:bCs/>
          <w:sz w:val="28"/>
        </w:rPr>
        <w:t>3.3.2.2.3非正常工况下废气源强</w:t>
      </w:r>
    </w:p>
    <w:p>
      <w:pPr>
        <w:spacing w:line="500" w:lineRule="exact"/>
        <w:ind w:firstLine="560" w:firstLineChars="200"/>
        <w:rPr>
          <w:rFonts w:eastAsia="仿宋_GB2312"/>
          <w:bCs/>
          <w:sz w:val="28"/>
          <w:szCs w:val="28"/>
        </w:rPr>
      </w:pPr>
      <w:r>
        <w:rPr>
          <w:rFonts w:eastAsia="仿宋_GB2312"/>
          <w:bCs/>
          <w:sz w:val="28"/>
          <w:szCs w:val="28"/>
        </w:rPr>
        <w:t>在分析本项目生产工艺的基础上可知，本项目非正常工况主要</w:t>
      </w:r>
      <w:r>
        <w:rPr>
          <w:rFonts w:hint="eastAsia" w:eastAsia="仿宋_GB2312"/>
          <w:bCs/>
          <w:sz w:val="28"/>
          <w:szCs w:val="28"/>
        </w:rPr>
        <w:t>为</w:t>
      </w:r>
      <w:r>
        <w:rPr>
          <w:rFonts w:eastAsia="仿宋_GB2312"/>
          <w:bCs/>
          <w:sz w:val="28"/>
          <w:szCs w:val="28"/>
        </w:rPr>
        <w:t>污染防治措施及装置出现故障</w:t>
      </w:r>
      <w:r>
        <w:rPr>
          <w:rFonts w:hint="eastAsia" w:eastAsia="仿宋_GB2312"/>
          <w:bCs/>
          <w:sz w:val="28"/>
          <w:szCs w:val="28"/>
        </w:rPr>
        <w:t>。</w:t>
      </w:r>
      <w:r>
        <w:rPr>
          <w:rFonts w:eastAsia="仿宋_GB2312"/>
          <w:bCs/>
          <w:sz w:val="28"/>
          <w:szCs w:val="28"/>
        </w:rPr>
        <w:t>非正常工况下，如废气防治措施未起到应有的效果</w:t>
      </w:r>
      <w:r>
        <w:rPr>
          <w:rFonts w:hint="eastAsia" w:eastAsia="仿宋_GB2312"/>
          <w:bCs/>
          <w:sz w:val="28"/>
          <w:szCs w:val="28"/>
        </w:rPr>
        <w:t>（处理效率</w:t>
      </w:r>
      <w:r>
        <w:rPr>
          <w:rFonts w:eastAsia="仿宋_GB2312"/>
          <w:bCs/>
          <w:sz w:val="28"/>
          <w:szCs w:val="28"/>
        </w:rPr>
        <w:t>为</w:t>
      </w:r>
      <w:r>
        <w:rPr>
          <w:rFonts w:hint="eastAsia" w:eastAsia="仿宋_GB2312"/>
          <w:bCs/>
          <w:sz w:val="28"/>
          <w:szCs w:val="28"/>
        </w:rPr>
        <w:t>50</w:t>
      </w:r>
      <w:r>
        <w:rPr>
          <w:rFonts w:eastAsia="仿宋_GB2312"/>
          <w:bCs/>
          <w:sz w:val="28"/>
          <w:szCs w:val="28"/>
        </w:rPr>
        <w:t>%</w:t>
      </w:r>
      <w:r>
        <w:rPr>
          <w:rFonts w:hint="eastAsia" w:eastAsia="仿宋_GB2312"/>
          <w:bCs/>
          <w:sz w:val="28"/>
          <w:szCs w:val="28"/>
        </w:rPr>
        <w:t>）</w:t>
      </w:r>
      <w:r>
        <w:rPr>
          <w:rFonts w:eastAsia="仿宋_GB2312"/>
          <w:bCs/>
          <w:sz w:val="28"/>
          <w:szCs w:val="28"/>
        </w:rPr>
        <w:t>，导致有组织废气未经有效处理直接排放作为本项目非正常工况。源强表3.2-8所示。</w:t>
      </w:r>
    </w:p>
    <w:p>
      <w:pPr>
        <w:spacing w:line="500" w:lineRule="exact"/>
        <w:ind w:firstLine="482" w:firstLineChars="200"/>
        <w:jc w:val="center"/>
        <w:rPr>
          <w:rFonts w:eastAsia="仿宋_GB2312"/>
          <w:bCs/>
          <w:sz w:val="28"/>
          <w:szCs w:val="28"/>
        </w:rPr>
      </w:pPr>
      <w:r>
        <w:rPr>
          <w:rFonts w:eastAsia="仿宋_GB2312"/>
          <w:b/>
          <w:bCs/>
          <w:sz w:val="24"/>
        </w:rPr>
        <w:t>表3.</w:t>
      </w:r>
      <w:r>
        <w:rPr>
          <w:rFonts w:hint="eastAsia" w:eastAsia="仿宋_GB2312"/>
          <w:b/>
          <w:bCs/>
          <w:sz w:val="24"/>
        </w:rPr>
        <w:t>2</w:t>
      </w:r>
      <w:r>
        <w:rPr>
          <w:rFonts w:eastAsia="仿宋_GB2312"/>
          <w:b/>
          <w:bCs/>
          <w:sz w:val="24"/>
        </w:rPr>
        <w:t>-</w:t>
      </w:r>
      <w:r>
        <w:rPr>
          <w:rFonts w:hint="eastAsia" w:eastAsia="仿宋_GB2312"/>
          <w:b/>
          <w:bCs/>
          <w:sz w:val="24"/>
        </w:rPr>
        <w:t>8</w:t>
      </w:r>
      <w:r>
        <w:rPr>
          <w:rFonts w:eastAsia="仿宋_GB2312"/>
          <w:b/>
          <w:bCs/>
          <w:sz w:val="24"/>
        </w:rPr>
        <w:t xml:space="preserve">  非正常工况时废气源强表</w:t>
      </w:r>
    </w:p>
    <w:tbl>
      <w:tblPr>
        <w:tblStyle w:val="87"/>
        <w:tblW w:w="9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2623"/>
        <w:gridCol w:w="1050"/>
        <w:gridCol w:w="1000"/>
        <w:gridCol w:w="950"/>
        <w:gridCol w:w="728"/>
        <w:gridCol w:w="675"/>
        <w:gridCol w:w="720"/>
        <w:gridCol w:w="690"/>
        <w:gridCol w:w="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4" w:type="dxa"/>
            <w:vMerge w:val="restar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ascii="仿宋" w:hAnsi="仿宋" w:eastAsia="仿宋" w:cs="仿宋"/>
                <w:bCs/>
                <w:szCs w:val="21"/>
              </w:rPr>
              <w:t>排气筒编号</w:t>
            </w:r>
          </w:p>
        </w:tc>
        <w:tc>
          <w:tcPr>
            <w:tcW w:w="2623" w:type="dxa"/>
            <w:vMerge w:val="restar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ascii="仿宋" w:hAnsi="仿宋" w:eastAsia="仿宋" w:cs="仿宋"/>
                <w:bCs/>
                <w:szCs w:val="21"/>
              </w:rPr>
              <w:t>污染源及编号</w:t>
            </w:r>
          </w:p>
        </w:tc>
        <w:tc>
          <w:tcPr>
            <w:tcW w:w="1050" w:type="dxa"/>
            <w:vMerge w:val="restar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ascii="仿宋" w:hAnsi="仿宋" w:eastAsia="仿宋" w:cs="仿宋"/>
                <w:bCs/>
                <w:szCs w:val="21"/>
              </w:rPr>
              <w:t>排气量(m</w:t>
            </w:r>
            <w:r>
              <w:rPr>
                <w:rFonts w:ascii="仿宋" w:hAnsi="仿宋" w:eastAsia="仿宋" w:cs="仿宋"/>
                <w:bCs/>
                <w:szCs w:val="21"/>
                <w:vertAlign w:val="superscript"/>
              </w:rPr>
              <w:t>3</w:t>
            </w:r>
            <w:r>
              <w:rPr>
                <w:rFonts w:ascii="仿宋" w:hAnsi="仿宋" w:eastAsia="仿宋" w:cs="仿宋"/>
                <w:bCs/>
                <w:szCs w:val="21"/>
              </w:rPr>
              <w:t>/h)</w:t>
            </w:r>
          </w:p>
        </w:tc>
        <w:tc>
          <w:tcPr>
            <w:tcW w:w="1000" w:type="dxa"/>
            <w:vMerge w:val="restar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ascii="仿宋" w:hAnsi="仿宋" w:eastAsia="仿宋" w:cs="仿宋"/>
                <w:bCs/>
                <w:szCs w:val="21"/>
              </w:rPr>
              <w:t>污染物名称</w:t>
            </w:r>
          </w:p>
        </w:tc>
        <w:tc>
          <w:tcPr>
            <w:tcW w:w="1678" w:type="dxa"/>
            <w:gridSpan w:val="2"/>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产生状况</w:t>
            </w:r>
          </w:p>
        </w:tc>
        <w:tc>
          <w:tcPr>
            <w:tcW w:w="2085" w:type="dxa"/>
            <w:gridSpan w:val="3"/>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ascii="仿宋" w:hAnsi="仿宋" w:eastAsia="仿宋" w:cs="仿宋"/>
                <w:bCs/>
                <w:szCs w:val="21"/>
              </w:rPr>
              <w:t>排放源参数</w:t>
            </w:r>
          </w:p>
        </w:tc>
        <w:tc>
          <w:tcPr>
            <w:tcW w:w="570" w:type="dxa"/>
            <w:vMerge w:val="restart"/>
            <w:shd w:val="clear" w:color="auto" w:fill="auto"/>
            <w:tcMar>
              <w:left w:w="0" w:type="dxa"/>
              <w:right w:w="0" w:type="dxa"/>
            </w:tcMar>
            <w:vAlign w:val="center"/>
          </w:tcPr>
          <w:p>
            <w:pPr>
              <w:widowControl/>
              <w:jc w:val="center"/>
              <w:rPr>
                <w:rFonts w:ascii="仿宋" w:hAnsi="仿宋" w:eastAsia="仿宋" w:cs="仿宋"/>
                <w:bCs/>
                <w:szCs w:val="21"/>
              </w:rPr>
            </w:pPr>
            <w:r>
              <w:rPr>
                <w:rFonts w:hint="eastAsia" w:ascii="仿宋" w:hAnsi="仿宋" w:eastAsia="仿宋" w:cs="仿宋"/>
                <w:bCs/>
                <w:szCs w:val="21"/>
              </w:rPr>
              <w:t>单次</w:t>
            </w:r>
            <w:r>
              <w:rPr>
                <w:rFonts w:ascii="仿宋" w:hAnsi="仿宋" w:eastAsia="仿宋" w:cs="仿宋"/>
                <w:bCs/>
                <w:szCs w:val="21"/>
              </w:rPr>
              <w:t>持续时间</w:t>
            </w:r>
            <w:r>
              <w:rPr>
                <w:rFonts w:hint="eastAsia" w:ascii="仿宋" w:hAnsi="仿宋" w:eastAsia="仿宋" w:cs="仿宋"/>
                <w:bCs/>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4" w:type="dxa"/>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c>
          <w:tcPr>
            <w:tcW w:w="2623" w:type="dxa"/>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c>
          <w:tcPr>
            <w:tcW w:w="1050" w:type="dxa"/>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c>
          <w:tcPr>
            <w:tcW w:w="1000" w:type="dxa"/>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c>
          <w:tcPr>
            <w:tcW w:w="950" w:type="dxa"/>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最大浓度（</w:t>
            </w:r>
            <w:r>
              <w:rPr>
                <w:rFonts w:ascii="仿宋" w:hAnsi="仿宋" w:eastAsia="仿宋" w:cs="仿宋"/>
                <w:bCs/>
                <w:szCs w:val="21"/>
              </w:rPr>
              <w:t>m</w:t>
            </w:r>
            <w:r>
              <w:rPr>
                <w:rFonts w:hint="eastAsia" w:ascii="仿宋" w:hAnsi="仿宋" w:eastAsia="仿宋" w:cs="仿宋"/>
                <w:bCs/>
                <w:szCs w:val="21"/>
              </w:rPr>
              <w:t>g</w:t>
            </w:r>
            <w:r>
              <w:rPr>
                <w:rFonts w:ascii="仿宋" w:hAnsi="仿宋" w:eastAsia="仿宋" w:cs="仿宋"/>
                <w:bCs/>
                <w:szCs w:val="21"/>
              </w:rPr>
              <w:t>/m</w:t>
            </w:r>
            <w:r>
              <w:rPr>
                <w:rFonts w:ascii="仿宋" w:hAnsi="仿宋" w:eastAsia="仿宋" w:cs="仿宋"/>
                <w:bCs/>
                <w:szCs w:val="21"/>
                <w:vertAlign w:val="superscript"/>
              </w:rPr>
              <w:t>3</w:t>
            </w:r>
            <w:r>
              <w:rPr>
                <w:rFonts w:hint="eastAsia" w:ascii="仿宋" w:hAnsi="仿宋" w:eastAsia="仿宋" w:cs="仿宋"/>
                <w:bCs/>
                <w:szCs w:val="21"/>
              </w:rPr>
              <w:t>）</w:t>
            </w:r>
          </w:p>
        </w:tc>
        <w:tc>
          <w:tcPr>
            <w:tcW w:w="728" w:type="dxa"/>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最大</w:t>
            </w:r>
            <w:r>
              <w:rPr>
                <w:rFonts w:ascii="仿宋" w:hAnsi="仿宋" w:eastAsia="仿宋" w:cs="仿宋"/>
                <w:bCs/>
                <w:szCs w:val="21"/>
              </w:rPr>
              <w:t>速率(kg/h)</w:t>
            </w:r>
          </w:p>
        </w:tc>
        <w:tc>
          <w:tcPr>
            <w:tcW w:w="675" w:type="dxa"/>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ascii="仿宋" w:hAnsi="仿宋" w:eastAsia="仿宋" w:cs="仿宋"/>
                <w:bCs/>
                <w:szCs w:val="21"/>
              </w:rPr>
              <w:t>排放高度(m)</w:t>
            </w:r>
          </w:p>
        </w:tc>
        <w:tc>
          <w:tcPr>
            <w:tcW w:w="720" w:type="dxa"/>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ascii="仿宋" w:hAnsi="仿宋" w:eastAsia="仿宋" w:cs="仿宋"/>
                <w:bCs/>
                <w:szCs w:val="21"/>
              </w:rPr>
              <w:t>直径</w:t>
            </w:r>
          </w:p>
          <w:p>
            <w:pPr>
              <w:spacing w:line="240" w:lineRule="exact"/>
              <w:jc w:val="center"/>
              <w:rPr>
                <w:rFonts w:ascii="仿宋" w:hAnsi="仿宋" w:eastAsia="仿宋" w:cs="仿宋"/>
                <w:bCs/>
                <w:szCs w:val="21"/>
              </w:rPr>
            </w:pPr>
            <w:r>
              <w:rPr>
                <w:rFonts w:ascii="仿宋" w:hAnsi="仿宋" w:eastAsia="仿宋" w:cs="仿宋"/>
                <w:bCs/>
                <w:szCs w:val="21"/>
              </w:rPr>
              <w:t>（m）</w:t>
            </w:r>
          </w:p>
        </w:tc>
        <w:tc>
          <w:tcPr>
            <w:tcW w:w="690" w:type="dxa"/>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ascii="仿宋" w:hAnsi="仿宋" w:eastAsia="仿宋" w:cs="仿宋"/>
                <w:bCs/>
                <w:szCs w:val="21"/>
              </w:rPr>
              <w:t>烟气出口温度（</w:t>
            </w:r>
            <w:r>
              <w:rPr>
                <w:rFonts w:hint="eastAsia" w:ascii="仿宋" w:hAnsi="仿宋" w:eastAsia="仿宋" w:cs="仿宋"/>
                <w:bCs/>
                <w:szCs w:val="21"/>
              </w:rPr>
              <w:t>℃</w:t>
            </w:r>
            <w:r>
              <w:rPr>
                <w:rFonts w:ascii="仿宋" w:hAnsi="仿宋" w:eastAsia="仿宋" w:cs="仿宋"/>
                <w:bCs/>
                <w:szCs w:val="21"/>
              </w:rPr>
              <w:t>）</w:t>
            </w:r>
          </w:p>
        </w:tc>
        <w:tc>
          <w:tcPr>
            <w:tcW w:w="570" w:type="dxa"/>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594" w:type="dxa"/>
            <w:vMerge w:val="restar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w:t>
            </w:r>
          </w:p>
        </w:tc>
        <w:tc>
          <w:tcPr>
            <w:tcW w:w="2623" w:type="dxa"/>
            <w:vMerge w:val="restar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配胶废气G1、涂布干燥废气G2、清洗废气G3</w:t>
            </w:r>
          </w:p>
        </w:tc>
        <w:tc>
          <w:tcPr>
            <w:tcW w:w="1050" w:type="dxa"/>
            <w:vMerge w:val="restar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50000</w:t>
            </w:r>
          </w:p>
        </w:tc>
        <w:tc>
          <w:tcPr>
            <w:tcW w:w="1000" w:type="dxa"/>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非甲烷总烃</w:t>
            </w:r>
          </w:p>
        </w:tc>
        <w:tc>
          <w:tcPr>
            <w:tcW w:w="950" w:type="dxa"/>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w:t>
            </w:r>
            <w:r>
              <w:rPr>
                <w:rFonts w:ascii="仿宋" w:hAnsi="仿宋" w:eastAsia="仿宋" w:cs="仿宋"/>
                <w:bCs/>
                <w:szCs w:val="21"/>
              </w:rPr>
              <w:t>370.2</w:t>
            </w:r>
          </w:p>
        </w:tc>
        <w:tc>
          <w:tcPr>
            <w:tcW w:w="728" w:type="dxa"/>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6</w:t>
            </w:r>
            <w:r>
              <w:rPr>
                <w:rFonts w:ascii="仿宋" w:hAnsi="仿宋" w:eastAsia="仿宋" w:cs="仿宋"/>
                <w:bCs/>
                <w:szCs w:val="21"/>
              </w:rPr>
              <w:t>8.51</w:t>
            </w:r>
          </w:p>
        </w:tc>
        <w:tc>
          <w:tcPr>
            <w:tcW w:w="675" w:type="dxa"/>
            <w:vMerge w:val="restart"/>
            <w:shd w:val="clear" w:color="auto" w:fill="auto"/>
            <w:tcMar>
              <w:left w:w="0" w:type="dxa"/>
              <w:right w:w="0" w:type="dxa"/>
            </w:tcMar>
            <w:vAlign w:val="center"/>
          </w:tcPr>
          <w:p>
            <w:pPr>
              <w:widowControl/>
              <w:jc w:val="center"/>
              <w:rPr>
                <w:rFonts w:eastAsia="仿宋_GB2312"/>
                <w:kern w:val="0"/>
                <w:szCs w:val="21"/>
              </w:rPr>
            </w:pPr>
            <w:r>
              <w:rPr>
                <w:rFonts w:hint="eastAsia" w:eastAsia="仿宋_GB2312"/>
                <w:kern w:val="0"/>
                <w:szCs w:val="21"/>
              </w:rPr>
              <w:t>15</w:t>
            </w:r>
          </w:p>
        </w:tc>
        <w:tc>
          <w:tcPr>
            <w:tcW w:w="720" w:type="dxa"/>
            <w:vMerge w:val="restart"/>
            <w:shd w:val="clear" w:color="auto" w:fill="auto"/>
            <w:tcMar>
              <w:left w:w="0" w:type="dxa"/>
              <w:right w:w="0" w:type="dxa"/>
            </w:tcMar>
            <w:vAlign w:val="center"/>
          </w:tcPr>
          <w:p>
            <w:pPr>
              <w:jc w:val="center"/>
              <w:rPr>
                <w:rFonts w:eastAsia="仿宋_GB2312"/>
                <w:szCs w:val="21"/>
              </w:rPr>
            </w:pPr>
            <w:r>
              <w:rPr>
                <w:rFonts w:hint="eastAsia" w:eastAsia="仿宋_GB2312"/>
                <w:szCs w:val="21"/>
              </w:rPr>
              <w:t>1.7</w:t>
            </w:r>
          </w:p>
        </w:tc>
        <w:tc>
          <w:tcPr>
            <w:tcW w:w="690" w:type="dxa"/>
            <w:vMerge w:val="restart"/>
            <w:shd w:val="clear" w:color="auto" w:fill="auto"/>
            <w:tcMar>
              <w:left w:w="0" w:type="dxa"/>
              <w:right w:w="0" w:type="dxa"/>
            </w:tcMar>
            <w:vAlign w:val="center"/>
          </w:tcPr>
          <w:p>
            <w:pPr>
              <w:jc w:val="center"/>
              <w:rPr>
                <w:rFonts w:eastAsia="仿宋_GB2312"/>
                <w:szCs w:val="21"/>
              </w:rPr>
            </w:pPr>
            <w:r>
              <w:rPr>
                <w:rFonts w:hint="eastAsia" w:eastAsia="仿宋_GB2312"/>
                <w:szCs w:val="21"/>
              </w:rPr>
              <w:t>25</w:t>
            </w:r>
          </w:p>
        </w:tc>
        <w:tc>
          <w:tcPr>
            <w:tcW w:w="570" w:type="dxa"/>
            <w:vMerge w:val="restart"/>
            <w:shd w:val="clear" w:color="auto" w:fill="auto"/>
            <w:tcMar>
              <w:left w:w="0" w:type="dxa"/>
              <w:right w:w="0" w:type="dxa"/>
            </w:tcMar>
            <w:vAlign w:val="center"/>
          </w:tcPr>
          <w:p>
            <w:pPr>
              <w:jc w:val="center"/>
              <w:rPr>
                <w:rFonts w:eastAsia="仿宋_GB2312" w:cs="宋体"/>
                <w:szCs w:val="21"/>
              </w:rPr>
            </w:pPr>
            <w:r>
              <w:rPr>
                <w:rFonts w:hint="eastAsia" w:eastAsia="仿宋_GB2312" w:cs="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594" w:type="dxa"/>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c>
          <w:tcPr>
            <w:tcW w:w="2623" w:type="dxa"/>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c>
          <w:tcPr>
            <w:tcW w:w="1050" w:type="dxa"/>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c>
          <w:tcPr>
            <w:tcW w:w="1000" w:type="dxa"/>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乙酸乙酯</w:t>
            </w:r>
          </w:p>
        </w:tc>
        <w:tc>
          <w:tcPr>
            <w:tcW w:w="950" w:type="dxa"/>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ascii="仿宋" w:hAnsi="仿宋" w:eastAsia="仿宋" w:cs="仿宋"/>
                <w:bCs/>
                <w:szCs w:val="21"/>
              </w:rPr>
              <w:t>1188.8</w:t>
            </w:r>
          </w:p>
        </w:tc>
        <w:tc>
          <w:tcPr>
            <w:tcW w:w="728" w:type="dxa"/>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5</w:t>
            </w:r>
            <w:r>
              <w:rPr>
                <w:rFonts w:ascii="仿宋" w:hAnsi="仿宋" w:eastAsia="仿宋" w:cs="仿宋"/>
                <w:bCs/>
                <w:szCs w:val="21"/>
              </w:rPr>
              <w:t>9.44</w:t>
            </w:r>
          </w:p>
        </w:tc>
        <w:tc>
          <w:tcPr>
            <w:tcW w:w="675" w:type="dxa"/>
            <w:vMerge w:val="continue"/>
            <w:shd w:val="clear" w:color="auto" w:fill="auto"/>
            <w:tcMar>
              <w:left w:w="0" w:type="dxa"/>
              <w:right w:w="0" w:type="dxa"/>
            </w:tcMar>
            <w:vAlign w:val="center"/>
          </w:tcPr>
          <w:p>
            <w:pPr>
              <w:widowControl/>
              <w:jc w:val="center"/>
              <w:rPr>
                <w:rFonts w:eastAsia="仿宋_GB2312"/>
                <w:kern w:val="0"/>
                <w:szCs w:val="21"/>
              </w:rPr>
            </w:pPr>
          </w:p>
        </w:tc>
        <w:tc>
          <w:tcPr>
            <w:tcW w:w="720" w:type="dxa"/>
            <w:vMerge w:val="continue"/>
            <w:shd w:val="clear" w:color="auto" w:fill="auto"/>
            <w:tcMar>
              <w:left w:w="0" w:type="dxa"/>
              <w:right w:w="0" w:type="dxa"/>
            </w:tcMar>
            <w:vAlign w:val="center"/>
          </w:tcPr>
          <w:p>
            <w:pPr>
              <w:jc w:val="center"/>
              <w:rPr>
                <w:rFonts w:eastAsia="仿宋_GB2312"/>
                <w:szCs w:val="21"/>
              </w:rPr>
            </w:pPr>
          </w:p>
        </w:tc>
        <w:tc>
          <w:tcPr>
            <w:tcW w:w="690" w:type="dxa"/>
            <w:vMerge w:val="continue"/>
            <w:shd w:val="clear" w:color="auto" w:fill="auto"/>
            <w:tcMar>
              <w:left w:w="0" w:type="dxa"/>
              <w:right w:w="0" w:type="dxa"/>
            </w:tcMar>
            <w:vAlign w:val="center"/>
          </w:tcPr>
          <w:p>
            <w:pPr>
              <w:jc w:val="center"/>
              <w:rPr>
                <w:rFonts w:eastAsia="仿宋_GB2312"/>
                <w:szCs w:val="21"/>
              </w:rPr>
            </w:pPr>
          </w:p>
        </w:tc>
        <w:tc>
          <w:tcPr>
            <w:tcW w:w="570" w:type="dxa"/>
            <w:vMerge w:val="continue"/>
            <w:shd w:val="clear" w:color="auto" w:fill="auto"/>
            <w:tcMar>
              <w:left w:w="0" w:type="dxa"/>
              <w:right w:w="0" w:type="dxa"/>
            </w:tcMar>
            <w:vAlign w:val="center"/>
          </w:tcPr>
          <w:p>
            <w:pPr>
              <w:jc w:val="center"/>
              <w:rPr>
                <w:rFonts w:eastAsia="仿宋_GB2312"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594" w:type="dxa"/>
            <w:vMerge w:val="continue"/>
            <w:shd w:val="clear" w:color="auto" w:fill="auto"/>
            <w:tcMar>
              <w:left w:w="0" w:type="dxa"/>
              <w:right w:w="0" w:type="dxa"/>
            </w:tcMar>
            <w:vAlign w:val="center"/>
          </w:tcPr>
          <w:p>
            <w:pPr>
              <w:widowControl/>
              <w:jc w:val="center"/>
              <w:rPr>
                <w:rFonts w:eastAsia="仿宋_GB2312"/>
                <w:kern w:val="0"/>
                <w:szCs w:val="21"/>
              </w:rPr>
            </w:pPr>
          </w:p>
        </w:tc>
        <w:tc>
          <w:tcPr>
            <w:tcW w:w="2623" w:type="dxa"/>
            <w:vMerge w:val="continue"/>
            <w:shd w:val="clear" w:color="auto" w:fill="auto"/>
            <w:tcMar>
              <w:left w:w="0" w:type="dxa"/>
              <w:right w:w="0" w:type="dxa"/>
            </w:tcMar>
            <w:vAlign w:val="center"/>
          </w:tcPr>
          <w:p>
            <w:pPr>
              <w:widowControl/>
              <w:jc w:val="center"/>
              <w:rPr>
                <w:rFonts w:eastAsia="仿宋_GB2312"/>
                <w:kern w:val="0"/>
                <w:szCs w:val="21"/>
              </w:rPr>
            </w:pPr>
          </w:p>
        </w:tc>
        <w:tc>
          <w:tcPr>
            <w:tcW w:w="1050" w:type="dxa"/>
            <w:vMerge w:val="continue"/>
            <w:shd w:val="clear" w:color="auto" w:fill="auto"/>
            <w:tcMar>
              <w:left w:w="0" w:type="dxa"/>
              <w:right w:w="0" w:type="dxa"/>
            </w:tcMar>
            <w:vAlign w:val="center"/>
          </w:tcPr>
          <w:p>
            <w:pPr>
              <w:widowControl/>
              <w:jc w:val="center"/>
              <w:rPr>
                <w:rFonts w:eastAsia="仿宋_GB2312"/>
                <w:kern w:val="0"/>
                <w:szCs w:val="21"/>
              </w:rPr>
            </w:pPr>
          </w:p>
        </w:tc>
        <w:tc>
          <w:tcPr>
            <w:tcW w:w="1000" w:type="dxa"/>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二甲苯</w:t>
            </w:r>
          </w:p>
        </w:tc>
        <w:tc>
          <w:tcPr>
            <w:tcW w:w="950" w:type="dxa"/>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w:t>
            </w:r>
            <w:r>
              <w:rPr>
                <w:rFonts w:ascii="仿宋" w:hAnsi="仿宋" w:eastAsia="仿宋" w:cs="仿宋"/>
                <w:bCs/>
                <w:szCs w:val="21"/>
              </w:rPr>
              <w:t>31</w:t>
            </w:r>
          </w:p>
        </w:tc>
        <w:tc>
          <w:tcPr>
            <w:tcW w:w="728" w:type="dxa"/>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6</w:t>
            </w:r>
            <w:r>
              <w:rPr>
                <w:rFonts w:ascii="仿宋" w:hAnsi="仿宋" w:eastAsia="仿宋" w:cs="仿宋"/>
                <w:bCs/>
                <w:szCs w:val="21"/>
              </w:rPr>
              <w:t>.55</w:t>
            </w:r>
          </w:p>
        </w:tc>
        <w:tc>
          <w:tcPr>
            <w:tcW w:w="675" w:type="dxa"/>
            <w:vMerge w:val="continue"/>
            <w:shd w:val="clear" w:color="auto" w:fill="auto"/>
            <w:tcMar>
              <w:left w:w="0" w:type="dxa"/>
              <w:right w:w="0" w:type="dxa"/>
            </w:tcMar>
            <w:vAlign w:val="center"/>
          </w:tcPr>
          <w:p>
            <w:pPr>
              <w:widowControl/>
              <w:jc w:val="center"/>
              <w:rPr>
                <w:rFonts w:eastAsia="仿宋_GB2312"/>
                <w:kern w:val="0"/>
                <w:szCs w:val="21"/>
              </w:rPr>
            </w:pPr>
          </w:p>
        </w:tc>
        <w:tc>
          <w:tcPr>
            <w:tcW w:w="720" w:type="dxa"/>
            <w:vMerge w:val="continue"/>
            <w:shd w:val="clear" w:color="auto" w:fill="auto"/>
            <w:tcMar>
              <w:left w:w="0" w:type="dxa"/>
              <w:right w:w="0" w:type="dxa"/>
            </w:tcMar>
            <w:vAlign w:val="center"/>
          </w:tcPr>
          <w:p>
            <w:pPr>
              <w:jc w:val="center"/>
              <w:rPr>
                <w:rFonts w:eastAsia="仿宋_GB2312"/>
                <w:szCs w:val="21"/>
              </w:rPr>
            </w:pPr>
          </w:p>
        </w:tc>
        <w:tc>
          <w:tcPr>
            <w:tcW w:w="690" w:type="dxa"/>
            <w:vMerge w:val="continue"/>
            <w:shd w:val="clear" w:color="auto" w:fill="auto"/>
            <w:tcMar>
              <w:left w:w="0" w:type="dxa"/>
              <w:right w:w="0" w:type="dxa"/>
            </w:tcMar>
            <w:vAlign w:val="center"/>
          </w:tcPr>
          <w:p>
            <w:pPr>
              <w:jc w:val="center"/>
              <w:rPr>
                <w:rFonts w:eastAsia="仿宋_GB2312"/>
                <w:szCs w:val="21"/>
              </w:rPr>
            </w:pPr>
          </w:p>
        </w:tc>
        <w:tc>
          <w:tcPr>
            <w:tcW w:w="570" w:type="dxa"/>
            <w:vMerge w:val="continue"/>
            <w:shd w:val="clear" w:color="auto" w:fill="auto"/>
            <w:tcMar>
              <w:left w:w="0" w:type="dxa"/>
              <w:right w:w="0" w:type="dxa"/>
            </w:tcMar>
            <w:vAlign w:val="center"/>
          </w:tcPr>
          <w:p>
            <w:pPr>
              <w:jc w:val="center"/>
              <w:rPr>
                <w:rFonts w:eastAsia="仿宋_GB2312"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594" w:type="dxa"/>
            <w:vMerge w:val="continue"/>
            <w:shd w:val="clear" w:color="auto" w:fill="auto"/>
            <w:tcMar>
              <w:left w:w="0" w:type="dxa"/>
              <w:right w:w="0" w:type="dxa"/>
            </w:tcMar>
            <w:vAlign w:val="center"/>
          </w:tcPr>
          <w:p>
            <w:pPr>
              <w:widowControl/>
              <w:jc w:val="center"/>
              <w:rPr>
                <w:rFonts w:eastAsia="仿宋_GB2312"/>
                <w:kern w:val="0"/>
                <w:szCs w:val="21"/>
              </w:rPr>
            </w:pPr>
          </w:p>
        </w:tc>
        <w:tc>
          <w:tcPr>
            <w:tcW w:w="2623" w:type="dxa"/>
            <w:vMerge w:val="restart"/>
            <w:shd w:val="clear" w:color="auto" w:fill="auto"/>
            <w:tcMar>
              <w:left w:w="0" w:type="dxa"/>
              <w:right w:w="0" w:type="dxa"/>
            </w:tcMar>
            <w:vAlign w:val="center"/>
          </w:tcPr>
          <w:p>
            <w:pPr>
              <w:spacing w:line="240" w:lineRule="exact"/>
              <w:jc w:val="center"/>
              <w:rPr>
                <w:rFonts w:eastAsia="仿宋_GB2312"/>
                <w:kern w:val="0"/>
                <w:szCs w:val="21"/>
              </w:rPr>
            </w:pPr>
            <w:r>
              <w:rPr>
                <w:rFonts w:ascii="仿宋" w:hAnsi="仿宋" w:eastAsia="仿宋" w:cs="仿宋"/>
                <w:bCs/>
                <w:szCs w:val="21"/>
              </w:rPr>
              <w:t>天然气废气</w:t>
            </w:r>
            <w:r>
              <w:rPr>
                <w:rFonts w:hint="eastAsia" w:ascii="仿宋" w:hAnsi="仿宋" w:eastAsia="仿宋" w:cs="仿宋"/>
                <w:bCs/>
                <w:szCs w:val="21"/>
              </w:rPr>
              <w:t>G4</w:t>
            </w:r>
          </w:p>
        </w:tc>
        <w:tc>
          <w:tcPr>
            <w:tcW w:w="1050" w:type="dxa"/>
            <w:vMerge w:val="continue"/>
            <w:shd w:val="clear" w:color="auto" w:fill="auto"/>
            <w:tcMar>
              <w:left w:w="0" w:type="dxa"/>
              <w:right w:w="0" w:type="dxa"/>
            </w:tcMar>
            <w:vAlign w:val="center"/>
          </w:tcPr>
          <w:p>
            <w:pPr>
              <w:widowControl/>
              <w:jc w:val="center"/>
              <w:rPr>
                <w:rFonts w:eastAsia="仿宋_GB2312"/>
                <w:kern w:val="0"/>
                <w:szCs w:val="21"/>
              </w:rPr>
            </w:pPr>
          </w:p>
        </w:tc>
        <w:tc>
          <w:tcPr>
            <w:tcW w:w="1000" w:type="dxa"/>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烟尘</w:t>
            </w:r>
          </w:p>
        </w:tc>
        <w:tc>
          <w:tcPr>
            <w:tcW w:w="950" w:type="dxa"/>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.18</w:t>
            </w:r>
          </w:p>
        </w:tc>
        <w:tc>
          <w:tcPr>
            <w:tcW w:w="728" w:type="dxa"/>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.009</w:t>
            </w:r>
          </w:p>
        </w:tc>
        <w:tc>
          <w:tcPr>
            <w:tcW w:w="675" w:type="dxa"/>
            <w:vMerge w:val="continue"/>
            <w:shd w:val="clear" w:color="auto" w:fill="auto"/>
            <w:tcMar>
              <w:left w:w="0" w:type="dxa"/>
              <w:right w:w="0" w:type="dxa"/>
            </w:tcMar>
            <w:vAlign w:val="center"/>
          </w:tcPr>
          <w:p>
            <w:pPr>
              <w:widowControl/>
              <w:jc w:val="center"/>
              <w:rPr>
                <w:rFonts w:eastAsia="仿宋_GB2312"/>
                <w:kern w:val="0"/>
                <w:szCs w:val="21"/>
              </w:rPr>
            </w:pPr>
          </w:p>
        </w:tc>
        <w:tc>
          <w:tcPr>
            <w:tcW w:w="720" w:type="dxa"/>
            <w:vMerge w:val="continue"/>
            <w:shd w:val="clear" w:color="auto" w:fill="auto"/>
            <w:tcMar>
              <w:left w:w="0" w:type="dxa"/>
              <w:right w:w="0" w:type="dxa"/>
            </w:tcMar>
            <w:vAlign w:val="center"/>
          </w:tcPr>
          <w:p>
            <w:pPr>
              <w:jc w:val="center"/>
              <w:rPr>
                <w:rFonts w:eastAsia="仿宋_GB2312"/>
                <w:szCs w:val="21"/>
              </w:rPr>
            </w:pPr>
          </w:p>
        </w:tc>
        <w:tc>
          <w:tcPr>
            <w:tcW w:w="690" w:type="dxa"/>
            <w:vMerge w:val="continue"/>
            <w:shd w:val="clear" w:color="auto" w:fill="auto"/>
            <w:tcMar>
              <w:left w:w="0" w:type="dxa"/>
              <w:right w:w="0" w:type="dxa"/>
            </w:tcMar>
            <w:vAlign w:val="center"/>
          </w:tcPr>
          <w:p>
            <w:pPr>
              <w:jc w:val="center"/>
              <w:rPr>
                <w:rFonts w:eastAsia="仿宋_GB2312"/>
                <w:szCs w:val="21"/>
              </w:rPr>
            </w:pPr>
          </w:p>
        </w:tc>
        <w:tc>
          <w:tcPr>
            <w:tcW w:w="570" w:type="dxa"/>
            <w:vMerge w:val="continue"/>
            <w:shd w:val="clear" w:color="auto" w:fill="auto"/>
            <w:tcMar>
              <w:left w:w="0" w:type="dxa"/>
              <w:right w:w="0" w:type="dxa"/>
            </w:tcMar>
            <w:vAlign w:val="center"/>
          </w:tcPr>
          <w:p>
            <w:pPr>
              <w:jc w:val="center"/>
              <w:rPr>
                <w:rFonts w:eastAsia="仿宋_GB2312"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594" w:type="dxa"/>
            <w:vMerge w:val="continue"/>
            <w:shd w:val="clear" w:color="auto" w:fill="auto"/>
            <w:tcMar>
              <w:left w:w="0" w:type="dxa"/>
              <w:right w:w="0" w:type="dxa"/>
            </w:tcMar>
            <w:vAlign w:val="center"/>
          </w:tcPr>
          <w:p>
            <w:pPr>
              <w:widowControl/>
              <w:jc w:val="center"/>
              <w:rPr>
                <w:rFonts w:eastAsia="仿宋_GB2312"/>
                <w:kern w:val="0"/>
                <w:szCs w:val="21"/>
              </w:rPr>
            </w:pPr>
          </w:p>
        </w:tc>
        <w:tc>
          <w:tcPr>
            <w:tcW w:w="2623" w:type="dxa"/>
            <w:vMerge w:val="continue"/>
            <w:shd w:val="clear" w:color="auto" w:fill="auto"/>
            <w:tcMar>
              <w:left w:w="0" w:type="dxa"/>
              <w:right w:w="0" w:type="dxa"/>
            </w:tcMar>
            <w:vAlign w:val="center"/>
          </w:tcPr>
          <w:p>
            <w:pPr>
              <w:widowControl/>
              <w:jc w:val="center"/>
              <w:rPr>
                <w:rFonts w:eastAsia="仿宋_GB2312"/>
                <w:kern w:val="0"/>
                <w:szCs w:val="21"/>
              </w:rPr>
            </w:pPr>
          </w:p>
        </w:tc>
        <w:tc>
          <w:tcPr>
            <w:tcW w:w="1050" w:type="dxa"/>
            <w:vMerge w:val="continue"/>
            <w:shd w:val="clear" w:color="auto" w:fill="auto"/>
            <w:tcMar>
              <w:left w:w="0" w:type="dxa"/>
              <w:right w:w="0" w:type="dxa"/>
            </w:tcMar>
            <w:vAlign w:val="center"/>
          </w:tcPr>
          <w:p>
            <w:pPr>
              <w:widowControl/>
              <w:jc w:val="center"/>
              <w:rPr>
                <w:rFonts w:eastAsia="仿宋_GB2312"/>
                <w:kern w:val="0"/>
                <w:szCs w:val="21"/>
              </w:rPr>
            </w:pPr>
          </w:p>
        </w:tc>
        <w:tc>
          <w:tcPr>
            <w:tcW w:w="1000" w:type="dxa"/>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SO</w:t>
            </w:r>
            <w:r>
              <w:rPr>
                <w:rFonts w:hint="eastAsia" w:ascii="仿宋" w:hAnsi="仿宋" w:eastAsia="仿宋" w:cs="仿宋"/>
                <w:bCs/>
                <w:szCs w:val="21"/>
                <w:vertAlign w:val="subscript"/>
              </w:rPr>
              <w:t>2</w:t>
            </w:r>
          </w:p>
        </w:tc>
        <w:tc>
          <w:tcPr>
            <w:tcW w:w="950" w:type="dxa"/>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.14</w:t>
            </w:r>
          </w:p>
        </w:tc>
        <w:tc>
          <w:tcPr>
            <w:tcW w:w="728" w:type="dxa"/>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.007</w:t>
            </w:r>
          </w:p>
        </w:tc>
        <w:tc>
          <w:tcPr>
            <w:tcW w:w="675" w:type="dxa"/>
            <w:vMerge w:val="continue"/>
            <w:shd w:val="clear" w:color="auto" w:fill="auto"/>
            <w:tcMar>
              <w:left w:w="0" w:type="dxa"/>
              <w:right w:w="0" w:type="dxa"/>
            </w:tcMar>
            <w:vAlign w:val="center"/>
          </w:tcPr>
          <w:p>
            <w:pPr>
              <w:widowControl/>
              <w:jc w:val="center"/>
              <w:rPr>
                <w:rFonts w:eastAsia="仿宋_GB2312"/>
                <w:kern w:val="0"/>
                <w:szCs w:val="21"/>
              </w:rPr>
            </w:pPr>
          </w:p>
        </w:tc>
        <w:tc>
          <w:tcPr>
            <w:tcW w:w="720" w:type="dxa"/>
            <w:vMerge w:val="continue"/>
            <w:shd w:val="clear" w:color="auto" w:fill="auto"/>
            <w:tcMar>
              <w:left w:w="0" w:type="dxa"/>
              <w:right w:w="0" w:type="dxa"/>
            </w:tcMar>
            <w:vAlign w:val="center"/>
          </w:tcPr>
          <w:p>
            <w:pPr>
              <w:jc w:val="center"/>
              <w:rPr>
                <w:rFonts w:eastAsia="仿宋_GB2312"/>
                <w:szCs w:val="21"/>
              </w:rPr>
            </w:pPr>
          </w:p>
        </w:tc>
        <w:tc>
          <w:tcPr>
            <w:tcW w:w="690" w:type="dxa"/>
            <w:vMerge w:val="continue"/>
            <w:shd w:val="clear" w:color="auto" w:fill="auto"/>
            <w:tcMar>
              <w:left w:w="0" w:type="dxa"/>
              <w:right w:w="0" w:type="dxa"/>
            </w:tcMar>
            <w:vAlign w:val="center"/>
          </w:tcPr>
          <w:p>
            <w:pPr>
              <w:jc w:val="center"/>
              <w:rPr>
                <w:rFonts w:eastAsia="仿宋_GB2312"/>
                <w:szCs w:val="21"/>
              </w:rPr>
            </w:pPr>
          </w:p>
        </w:tc>
        <w:tc>
          <w:tcPr>
            <w:tcW w:w="570" w:type="dxa"/>
            <w:vMerge w:val="continue"/>
            <w:shd w:val="clear" w:color="auto" w:fill="auto"/>
            <w:tcMar>
              <w:left w:w="0" w:type="dxa"/>
              <w:right w:w="0" w:type="dxa"/>
            </w:tcMar>
            <w:vAlign w:val="center"/>
          </w:tcPr>
          <w:p>
            <w:pPr>
              <w:jc w:val="center"/>
              <w:rPr>
                <w:rFonts w:eastAsia="仿宋_GB2312"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594" w:type="dxa"/>
            <w:vMerge w:val="continue"/>
            <w:shd w:val="clear" w:color="auto" w:fill="auto"/>
            <w:tcMar>
              <w:left w:w="0" w:type="dxa"/>
              <w:right w:w="0" w:type="dxa"/>
            </w:tcMar>
            <w:vAlign w:val="center"/>
          </w:tcPr>
          <w:p>
            <w:pPr>
              <w:widowControl/>
              <w:jc w:val="center"/>
              <w:rPr>
                <w:rFonts w:eastAsia="仿宋_GB2312"/>
                <w:kern w:val="0"/>
                <w:szCs w:val="21"/>
              </w:rPr>
            </w:pPr>
          </w:p>
        </w:tc>
        <w:tc>
          <w:tcPr>
            <w:tcW w:w="2623" w:type="dxa"/>
            <w:vMerge w:val="continue"/>
            <w:shd w:val="clear" w:color="auto" w:fill="auto"/>
            <w:tcMar>
              <w:left w:w="0" w:type="dxa"/>
              <w:right w:w="0" w:type="dxa"/>
            </w:tcMar>
            <w:vAlign w:val="center"/>
          </w:tcPr>
          <w:p>
            <w:pPr>
              <w:widowControl/>
              <w:jc w:val="center"/>
              <w:rPr>
                <w:rFonts w:eastAsia="仿宋_GB2312"/>
                <w:kern w:val="0"/>
                <w:szCs w:val="21"/>
              </w:rPr>
            </w:pPr>
          </w:p>
        </w:tc>
        <w:tc>
          <w:tcPr>
            <w:tcW w:w="1050" w:type="dxa"/>
            <w:vMerge w:val="continue"/>
            <w:shd w:val="clear" w:color="auto" w:fill="auto"/>
            <w:tcMar>
              <w:left w:w="0" w:type="dxa"/>
              <w:right w:w="0" w:type="dxa"/>
            </w:tcMar>
            <w:vAlign w:val="center"/>
          </w:tcPr>
          <w:p>
            <w:pPr>
              <w:widowControl/>
              <w:jc w:val="center"/>
              <w:rPr>
                <w:rFonts w:eastAsia="仿宋_GB2312"/>
                <w:kern w:val="0"/>
                <w:szCs w:val="21"/>
              </w:rPr>
            </w:pPr>
          </w:p>
        </w:tc>
        <w:tc>
          <w:tcPr>
            <w:tcW w:w="1000" w:type="dxa"/>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NOx</w:t>
            </w:r>
          </w:p>
        </w:tc>
        <w:tc>
          <w:tcPr>
            <w:tcW w:w="950" w:type="dxa"/>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w:t>
            </w:r>
            <w:r>
              <w:rPr>
                <w:rFonts w:ascii="仿宋" w:hAnsi="仿宋" w:eastAsia="仿宋" w:cs="仿宋"/>
                <w:bCs/>
                <w:szCs w:val="21"/>
              </w:rPr>
              <w:t>.06</w:t>
            </w:r>
          </w:p>
        </w:tc>
        <w:tc>
          <w:tcPr>
            <w:tcW w:w="728" w:type="dxa"/>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.053</w:t>
            </w:r>
          </w:p>
        </w:tc>
        <w:tc>
          <w:tcPr>
            <w:tcW w:w="675" w:type="dxa"/>
            <w:vMerge w:val="continue"/>
            <w:shd w:val="clear" w:color="auto" w:fill="auto"/>
            <w:tcMar>
              <w:left w:w="0" w:type="dxa"/>
              <w:right w:w="0" w:type="dxa"/>
            </w:tcMar>
            <w:vAlign w:val="center"/>
          </w:tcPr>
          <w:p>
            <w:pPr>
              <w:widowControl/>
              <w:jc w:val="center"/>
              <w:rPr>
                <w:rFonts w:eastAsia="仿宋_GB2312"/>
                <w:kern w:val="0"/>
                <w:szCs w:val="21"/>
              </w:rPr>
            </w:pPr>
          </w:p>
        </w:tc>
        <w:tc>
          <w:tcPr>
            <w:tcW w:w="720" w:type="dxa"/>
            <w:vMerge w:val="continue"/>
            <w:shd w:val="clear" w:color="auto" w:fill="auto"/>
            <w:tcMar>
              <w:left w:w="0" w:type="dxa"/>
              <w:right w:w="0" w:type="dxa"/>
            </w:tcMar>
            <w:vAlign w:val="center"/>
          </w:tcPr>
          <w:p>
            <w:pPr>
              <w:jc w:val="center"/>
              <w:rPr>
                <w:rFonts w:eastAsia="仿宋_GB2312"/>
                <w:szCs w:val="21"/>
              </w:rPr>
            </w:pPr>
          </w:p>
        </w:tc>
        <w:tc>
          <w:tcPr>
            <w:tcW w:w="690" w:type="dxa"/>
            <w:vMerge w:val="continue"/>
            <w:shd w:val="clear" w:color="auto" w:fill="auto"/>
            <w:tcMar>
              <w:left w:w="0" w:type="dxa"/>
              <w:right w:w="0" w:type="dxa"/>
            </w:tcMar>
            <w:vAlign w:val="center"/>
          </w:tcPr>
          <w:p>
            <w:pPr>
              <w:jc w:val="center"/>
              <w:rPr>
                <w:rFonts w:eastAsia="仿宋_GB2312"/>
                <w:szCs w:val="21"/>
              </w:rPr>
            </w:pPr>
          </w:p>
        </w:tc>
        <w:tc>
          <w:tcPr>
            <w:tcW w:w="570" w:type="dxa"/>
            <w:vMerge w:val="continue"/>
            <w:shd w:val="clear" w:color="auto" w:fill="auto"/>
            <w:tcMar>
              <w:left w:w="0" w:type="dxa"/>
              <w:right w:w="0" w:type="dxa"/>
            </w:tcMar>
            <w:vAlign w:val="center"/>
          </w:tcPr>
          <w:p>
            <w:pPr>
              <w:jc w:val="center"/>
              <w:rPr>
                <w:rFonts w:eastAsia="仿宋_GB2312" w:cs="宋体"/>
                <w:szCs w:val="21"/>
              </w:rPr>
            </w:pPr>
          </w:p>
        </w:tc>
      </w:tr>
    </w:tbl>
    <w:p>
      <w:pPr>
        <w:spacing w:line="500" w:lineRule="exact"/>
        <w:ind w:firstLine="560" w:firstLineChars="200"/>
        <w:rPr>
          <w:rFonts w:eastAsia="仿宋_GB2312"/>
          <w:bCs/>
          <w:sz w:val="28"/>
          <w:szCs w:val="28"/>
        </w:rPr>
      </w:pPr>
      <w:r>
        <w:rPr>
          <w:rFonts w:eastAsia="仿宋_GB2312"/>
          <w:bCs/>
          <w:sz w:val="28"/>
          <w:szCs w:val="28"/>
        </w:rPr>
        <w:t>为预防此类工况发生，除确保生产设备和施工安装质量先进可靠外，还需加强管理，做好设备的日常维护、保养工作，定期检查环保设施的运行情况，同时严格按照操作规程生产，可减少此类非正常工况的发生。</w:t>
      </w:r>
    </w:p>
    <w:p>
      <w:pPr>
        <w:pStyle w:val="5"/>
        <w:keepLines w:val="0"/>
        <w:widowControl/>
        <w:tabs>
          <w:tab w:val="left" w:pos="993"/>
        </w:tabs>
        <w:adjustRightInd w:val="0"/>
        <w:snapToGrid w:val="0"/>
        <w:spacing w:after="120" w:afterLines="50"/>
        <w:jc w:val="left"/>
        <w:rPr>
          <w:rFonts w:ascii="Times New Roman" w:hAnsi="Times New Roman"/>
          <w:b/>
        </w:rPr>
      </w:pPr>
      <w:r>
        <w:rPr>
          <w:rFonts w:hint="eastAsia" w:ascii="Times New Roman" w:hAnsi="Times New Roman"/>
          <w:b/>
        </w:rPr>
        <w:t>3.3.2.3噪声</w:t>
      </w:r>
      <w:r>
        <w:rPr>
          <w:rFonts w:ascii="Times New Roman" w:hAnsi="Times New Roman"/>
          <w:b/>
        </w:rPr>
        <w:t>源强</w:t>
      </w:r>
    </w:p>
    <w:p>
      <w:pPr>
        <w:spacing w:line="500" w:lineRule="exact"/>
        <w:ind w:firstLine="560" w:firstLineChars="200"/>
        <w:rPr>
          <w:rFonts w:eastAsia="仿宋_GB2312"/>
          <w:bCs/>
          <w:sz w:val="28"/>
          <w:szCs w:val="28"/>
        </w:rPr>
      </w:pPr>
      <w:r>
        <w:rPr>
          <w:rFonts w:hint="eastAsia" w:eastAsia="仿宋_GB2312"/>
          <w:bCs/>
          <w:sz w:val="28"/>
          <w:szCs w:val="28"/>
        </w:rPr>
        <w:t>本</w:t>
      </w:r>
      <w:r>
        <w:rPr>
          <w:rFonts w:eastAsia="仿宋_GB2312"/>
          <w:bCs/>
          <w:sz w:val="28"/>
          <w:szCs w:val="28"/>
        </w:rPr>
        <w:t>项目</w:t>
      </w:r>
      <w:r>
        <w:rPr>
          <w:rFonts w:hint="eastAsia" w:eastAsia="仿宋_GB2312"/>
          <w:bCs/>
          <w:sz w:val="28"/>
          <w:szCs w:val="28"/>
        </w:rPr>
        <w:t>各生产工段均布置生产厂房内，本</w:t>
      </w:r>
      <w:r>
        <w:rPr>
          <w:rFonts w:eastAsia="仿宋_GB2312"/>
          <w:bCs/>
          <w:sz w:val="28"/>
          <w:szCs w:val="28"/>
        </w:rPr>
        <w:t>项目</w:t>
      </w:r>
      <w:r>
        <w:rPr>
          <w:rFonts w:hint="eastAsia" w:eastAsia="仿宋_GB2312"/>
          <w:bCs/>
          <w:sz w:val="28"/>
          <w:szCs w:val="28"/>
        </w:rPr>
        <w:t>主要噪声产生源强见下表。</w:t>
      </w:r>
    </w:p>
    <w:p>
      <w:pPr>
        <w:spacing w:line="500" w:lineRule="exact"/>
        <w:ind w:firstLine="482" w:firstLineChars="200"/>
        <w:jc w:val="center"/>
        <w:rPr>
          <w:rFonts w:eastAsia="仿宋_GB2312"/>
          <w:b/>
          <w:bCs/>
          <w:sz w:val="24"/>
        </w:rPr>
      </w:pPr>
      <w:r>
        <w:rPr>
          <w:rFonts w:eastAsia="仿宋_GB2312"/>
          <w:b/>
          <w:bCs/>
          <w:sz w:val="24"/>
        </w:rPr>
        <w:t>表3.</w:t>
      </w:r>
      <w:r>
        <w:rPr>
          <w:rFonts w:hint="eastAsia" w:eastAsia="仿宋_GB2312"/>
          <w:b/>
          <w:bCs/>
          <w:sz w:val="24"/>
        </w:rPr>
        <w:t>2</w:t>
      </w:r>
      <w:r>
        <w:rPr>
          <w:rFonts w:eastAsia="仿宋_GB2312"/>
          <w:b/>
          <w:bCs/>
          <w:sz w:val="24"/>
        </w:rPr>
        <w:t>-</w:t>
      </w:r>
      <w:r>
        <w:rPr>
          <w:rFonts w:hint="eastAsia" w:eastAsia="仿宋_GB2312"/>
          <w:b/>
          <w:bCs/>
          <w:sz w:val="24"/>
        </w:rPr>
        <w:t>9</w:t>
      </w:r>
      <w:r>
        <w:rPr>
          <w:rFonts w:eastAsia="仿宋_GB2312"/>
          <w:b/>
          <w:bCs/>
          <w:sz w:val="24"/>
        </w:rPr>
        <w:t xml:space="preserve">   </w:t>
      </w:r>
      <w:r>
        <w:rPr>
          <w:rFonts w:hint="eastAsia" w:eastAsia="仿宋_GB2312"/>
          <w:b/>
          <w:bCs/>
          <w:sz w:val="24"/>
        </w:rPr>
        <w:t>工业</w:t>
      </w:r>
      <w:r>
        <w:rPr>
          <w:rFonts w:eastAsia="仿宋_GB2312"/>
          <w:b/>
          <w:bCs/>
          <w:sz w:val="24"/>
        </w:rPr>
        <w:t>企业</w:t>
      </w:r>
      <w:r>
        <w:rPr>
          <w:rFonts w:hint="eastAsia" w:eastAsia="仿宋_GB2312"/>
          <w:b/>
          <w:bCs/>
          <w:sz w:val="24"/>
        </w:rPr>
        <w:t>噪声源强调查</w:t>
      </w:r>
      <w:r>
        <w:rPr>
          <w:rFonts w:eastAsia="仿宋_GB2312"/>
          <w:b/>
          <w:bCs/>
          <w:sz w:val="24"/>
        </w:rPr>
        <w:t>清单</w:t>
      </w:r>
      <w:r>
        <w:rPr>
          <w:rFonts w:hint="eastAsia" w:eastAsia="仿宋_GB2312"/>
          <w:b/>
          <w:bCs/>
          <w:sz w:val="24"/>
        </w:rPr>
        <w:t>（室内</w:t>
      </w:r>
      <w:r>
        <w:rPr>
          <w:rFonts w:eastAsia="仿宋_GB2312"/>
          <w:b/>
          <w:bCs/>
          <w:sz w:val="24"/>
        </w:rPr>
        <w:t>声源</w:t>
      </w:r>
      <w:r>
        <w:rPr>
          <w:rFonts w:hint="eastAsia" w:eastAsia="仿宋_GB2312"/>
          <w:b/>
          <w:bCs/>
          <w:sz w:val="24"/>
        </w:rPr>
        <w:t>）</w:t>
      </w:r>
    </w:p>
    <w:tbl>
      <w:tblPr>
        <w:tblStyle w:val="88"/>
        <w:tblW w:w="96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1"/>
        <w:gridCol w:w="827"/>
        <w:gridCol w:w="1139"/>
        <w:gridCol w:w="1083"/>
        <w:gridCol w:w="854"/>
        <w:gridCol w:w="999"/>
        <w:gridCol w:w="709"/>
        <w:gridCol w:w="836"/>
        <w:gridCol w:w="865"/>
        <w:gridCol w:w="567"/>
        <w:gridCol w:w="709"/>
        <w:gridCol w:w="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441" w:type="dxa"/>
            <w:vMerge w:val="restart"/>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序号</w:t>
            </w:r>
          </w:p>
        </w:tc>
        <w:tc>
          <w:tcPr>
            <w:tcW w:w="827" w:type="dxa"/>
            <w:vMerge w:val="restart"/>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建筑物</w:t>
            </w:r>
            <w:r>
              <w:rPr>
                <w:rFonts w:ascii="仿宋" w:hAnsi="仿宋" w:eastAsia="仿宋" w:cs="仿宋"/>
                <w:bCs/>
                <w:szCs w:val="21"/>
              </w:rPr>
              <w:t>名称</w:t>
            </w:r>
          </w:p>
        </w:tc>
        <w:tc>
          <w:tcPr>
            <w:tcW w:w="1139" w:type="dxa"/>
            <w:vMerge w:val="restart"/>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声</w:t>
            </w:r>
            <w:r>
              <w:rPr>
                <w:rFonts w:ascii="仿宋" w:hAnsi="仿宋" w:eastAsia="仿宋" w:cs="仿宋"/>
                <w:bCs/>
                <w:szCs w:val="21"/>
              </w:rPr>
              <w:t>源名称</w:t>
            </w:r>
          </w:p>
        </w:tc>
        <w:tc>
          <w:tcPr>
            <w:tcW w:w="1083" w:type="dxa"/>
            <w:vMerge w:val="restart"/>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声功率级/dB(</w:t>
            </w:r>
            <w:r>
              <w:rPr>
                <w:rFonts w:ascii="仿宋" w:hAnsi="仿宋" w:eastAsia="仿宋" w:cs="仿宋"/>
                <w:bCs/>
                <w:szCs w:val="21"/>
              </w:rPr>
              <w:t>A</w:t>
            </w:r>
            <w:r>
              <w:rPr>
                <w:rFonts w:hint="eastAsia" w:ascii="仿宋" w:hAnsi="仿宋" w:eastAsia="仿宋" w:cs="仿宋"/>
                <w:bCs/>
                <w:szCs w:val="21"/>
              </w:rPr>
              <w:t>)</w:t>
            </w:r>
          </w:p>
        </w:tc>
        <w:tc>
          <w:tcPr>
            <w:tcW w:w="854" w:type="dxa"/>
            <w:vMerge w:val="restart"/>
          </w:tcPr>
          <w:p>
            <w:pPr>
              <w:spacing w:line="240" w:lineRule="atLeast"/>
              <w:jc w:val="center"/>
              <w:rPr>
                <w:rFonts w:ascii="仿宋" w:hAnsi="仿宋" w:eastAsia="仿宋" w:cs="仿宋"/>
                <w:bCs/>
                <w:szCs w:val="21"/>
              </w:rPr>
            </w:pPr>
            <w:r>
              <w:rPr>
                <w:rFonts w:hint="eastAsia" w:ascii="仿宋" w:hAnsi="仿宋" w:eastAsia="仿宋" w:cs="仿宋"/>
                <w:bCs/>
                <w:szCs w:val="21"/>
              </w:rPr>
              <w:t>同类</w:t>
            </w:r>
            <w:r>
              <w:rPr>
                <w:rFonts w:ascii="仿宋" w:hAnsi="仿宋" w:eastAsia="仿宋" w:cs="仿宋"/>
                <w:bCs/>
                <w:szCs w:val="21"/>
              </w:rPr>
              <w:t>设备叠加</w:t>
            </w:r>
            <w:r>
              <w:rPr>
                <w:rFonts w:hint="eastAsia" w:ascii="仿宋" w:hAnsi="仿宋" w:eastAsia="仿宋" w:cs="仿宋"/>
                <w:bCs/>
                <w:szCs w:val="21"/>
              </w:rPr>
              <w:t>声功率级/dB(</w:t>
            </w:r>
            <w:r>
              <w:rPr>
                <w:rFonts w:ascii="仿宋" w:hAnsi="仿宋" w:eastAsia="仿宋" w:cs="仿宋"/>
                <w:bCs/>
                <w:szCs w:val="21"/>
              </w:rPr>
              <w:t>A</w:t>
            </w:r>
            <w:r>
              <w:rPr>
                <w:rFonts w:hint="eastAsia" w:ascii="仿宋" w:hAnsi="仿宋" w:eastAsia="仿宋" w:cs="仿宋"/>
                <w:bCs/>
                <w:szCs w:val="21"/>
              </w:rPr>
              <w:t>)</w:t>
            </w:r>
          </w:p>
        </w:tc>
        <w:tc>
          <w:tcPr>
            <w:tcW w:w="999" w:type="dxa"/>
            <w:vMerge w:val="restart"/>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声</w:t>
            </w:r>
            <w:r>
              <w:rPr>
                <w:rFonts w:ascii="仿宋" w:hAnsi="仿宋" w:eastAsia="仿宋" w:cs="仿宋"/>
                <w:bCs/>
                <w:szCs w:val="21"/>
              </w:rPr>
              <w:t>源控制措施</w:t>
            </w:r>
          </w:p>
        </w:tc>
        <w:tc>
          <w:tcPr>
            <w:tcW w:w="709" w:type="dxa"/>
            <w:vMerge w:val="restart"/>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数量（台/套）</w:t>
            </w:r>
          </w:p>
        </w:tc>
        <w:tc>
          <w:tcPr>
            <w:tcW w:w="2268" w:type="dxa"/>
            <w:gridSpan w:val="3"/>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空间</w:t>
            </w:r>
            <w:r>
              <w:rPr>
                <w:rFonts w:ascii="仿宋" w:hAnsi="仿宋" w:eastAsia="仿宋" w:cs="仿宋"/>
                <w:bCs/>
                <w:szCs w:val="21"/>
              </w:rPr>
              <w:t>相对位置</w:t>
            </w:r>
            <w:r>
              <w:rPr>
                <w:rFonts w:hint="eastAsia" w:ascii="仿宋" w:hAnsi="仿宋" w:eastAsia="仿宋" w:cs="仿宋"/>
                <w:bCs/>
                <w:szCs w:val="21"/>
              </w:rPr>
              <w:t>/m</w:t>
            </w:r>
          </w:p>
        </w:tc>
        <w:tc>
          <w:tcPr>
            <w:tcW w:w="709" w:type="dxa"/>
            <w:vMerge w:val="restart"/>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源强降噪效果/dB(</w:t>
            </w:r>
            <w:r>
              <w:rPr>
                <w:rFonts w:ascii="仿宋" w:hAnsi="仿宋" w:eastAsia="仿宋" w:cs="仿宋"/>
                <w:bCs/>
                <w:szCs w:val="21"/>
              </w:rPr>
              <w:t>A</w:t>
            </w:r>
            <w:r>
              <w:rPr>
                <w:rFonts w:hint="eastAsia" w:ascii="仿宋" w:hAnsi="仿宋" w:eastAsia="仿宋" w:cs="仿宋"/>
                <w:bCs/>
                <w:szCs w:val="21"/>
              </w:rPr>
              <w:t>)</w:t>
            </w:r>
          </w:p>
        </w:tc>
        <w:tc>
          <w:tcPr>
            <w:tcW w:w="608" w:type="dxa"/>
            <w:vMerge w:val="restart"/>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运行</w:t>
            </w:r>
            <w:r>
              <w:rPr>
                <w:rFonts w:ascii="仿宋" w:hAnsi="仿宋" w:eastAsia="仿宋" w:cs="仿宋"/>
                <w:bCs/>
                <w:szCs w:val="21"/>
              </w:rPr>
              <w:t>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441" w:type="dxa"/>
            <w:vMerge w:val="continue"/>
          </w:tcPr>
          <w:p>
            <w:pPr>
              <w:pStyle w:val="33"/>
            </w:pPr>
          </w:p>
        </w:tc>
        <w:tc>
          <w:tcPr>
            <w:tcW w:w="827" w:type="dxa"/>
            <w:vMerge w:val="continue"/>
          </w:tcPr>
          <w:p>
            <w:pPr>
              <w:pStyle w:val="33"/>
            </w:pPr>
          </w:p>
        </w:tc>
        <w:tc>
          <w:tcPr>
            <w:tcW w:w="1139" w:type="dxa"/>
            <w:vMerge w:val="continue"/>
          </w:tcPr>
          <w:p>
            <w:pPr>
              <w:pStyle w:val="33"/>
            </w:pPr>
          </w:p>
        </w:tc>
        <w:tc>
          <w:tcPr>
            <w:tcW w:w="1083" w:type="dxa"/>
            <w:vMerge w:val="continue"/>
          </w:tcPr>
          <w:p>
            <w:pPr>
              <w:pStyle w:val="33"/>
            </w:pPr>
          </w:p>
        </w:tc>
        <w:tc>
          <w:tcPr>
            <w:tcW w:w="854" w:type="dxa"/>
            <w:vMerge w:val="continue"/>
          </w:tcPr>
          <w:p>
            <w:pPr>
              <w:pStyle w:val="33"/>
            </w:pPr>
          </w:p>
        </w:tc>
        <w:tc>
          <w:tcPr>
            <w:tcW w:w="999" w:type="dxa"/>
            <w:vMerge w:val="continue"/>
          </w:tcPr>
          <w:p>
            <w:pPr>
              <w:pStyle w:val="33"/>
            </w:pPr>
          </w:p>
        </w:tc>
        <w:tc>
          <w:tcPr>
            <w:tcW w:w="709" w:type="dxa"/>
            <w:vMerge w:val="continue"/>
          </w:tcPr>
          <w:p>
            <w:pPr>
              <w:spacing w:line="240" w:lineRule="atLeast"/>
              <w:jc w:val="center"/>
              <w:rPr>
                <w:rFonts w:eastAsia="仿宋_GB2312" w:cs="仿宋"/>
                <w:bCs/>
                <w:szCs w:val="21"/>
              </w:rPr>
            </w:pPr>
          </w:p>
        </w:tc>
        <w:tc>
          <w:tcPr>
            <w:tcW w:w="836" w:type="dxa"/>
            <w:vAlign w:val="center"/>
          </w:tcPr>
          <w:p>
            <w:pPr>
              <w:spacing w:line="240" w:lineRule="atLeast"/>
              <w:jc w:val="center"/>
              <w:rPr>
                <w:rFonts w:eastAsia="仿宋_GB2312" w:cs="仿宋"/>
                <w:bCs/>
                <w:szCs w:val="21"/>
              </w:rPr>
            </w:pPr>
            <w:r>
              <w:rPr>
                <w:rFonts w:hint="eastAsia" w:eastAsia="仿宋_GB2312" w:cs="仿宋"/>
                <w:bCs/>
                <w:szCs w:val="21"/>
              </w:rPr>
              <w:t>X</w:t>
            </w:r>
          </w:p>
        </w:tc>
        <w:tc>
          <w:tcPr>
            <w:tcW w:w="865" w:type="dxa"/>
            <w:vAlign w:val="center"/>
          </w:tcPr>
          <w:p>
            <w:pPr>
              <w:spacing w:line="240" w:lineRule="atLeast"/>
              <w:jc w:val="center"/>
              <w:rPr>
                <w:rFonts w:eastAsia="仿宋_GB2312" w:cs="仿宋"/>
                <w:bCs/>
                <w:szCs w:val="21"/>
              </w:rPr>
            </w:pPr>
            <w:r>
              <w:rPr>
                <w:rFonts w:hint="eastAsia" w:eastAsia="仿宋_GB2312" w:cs="仿宋"/>
                <w:bCs/>
                <w:szCs w:val="21"/>
              </w:rPr>
              <w:t>Y</w:t>
            </w:r>
          </w:p>
        </w:tc>
        <w:tc>
          <w:tcPr>
            <w:tcW w:w="567" w:type="dxa"/>
            <w:vAlign w:val="center"/>
          </w:tcPr>
          <w:p>
            <w:pPr>
              <w:spacing w:line="240" w:lineRule="atLeast"/>
              <w:jc w:val="center"/>
              <w:rPr>
                <w:rFonts w:eastAsia="仿宋_GB2312" w:cs="仿宋"/>
                <w:bCs/>
                <w:szCs w:val="21"/>
              </w:rPr>
            </w:pPr>
            <w:r>
              <w:rPr>
                <w:rFonts w:hint="eastAsia" w:eastAsia="仿宋_GB2312" w:cs="仿宋"/>
                <w:bCs/>
                <w:szCs w:val="21"/>
              </w:rPr>
              <w:t>Z</w:t>
            </w:r>
          </w:p>
        </w:tc>
        <w:tc>
          <w:tcPr>
            <w:tcW w:w="709" w:type="dxa"/>
            <w:vMerge w:val="continue"/>
          </w:tcPr>
          <w:p>
            <w:pPr>
              <w:pStyle w:val="33"/>
            </w:pPr>
          </w:p>
        </w:tc>
        <w:tc>
          <w:tcPr>
            <w:tcW w:w="608" w:type="dxa"/>
            <w:vMerge w:val="continue"/>
          </w:tcPr>
          <w:p>
            <w:pPr>
              <w:pStyle w:val="3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441" w:type="dxa"/>
            <w:vAlign w:val="center"/>
          </w:tcPr>
          <w:p>
            <w:pPr>
              <w:spacing w:line="240" w:lineRule="atLeast"/>
              <w:jc w:val="center"/>
              <w:rPr>
                <w:rFonts w:eastAsia="仿宋_GB2312" w:cs="仿宋"/>
                <w:bCs/>
                <w:szCs w:val="21"/>
              </w:rPr>
            </w:pPr>
            <w:r>
              <w:rPr>
                <w:rFonts w:hint="eastAsia" w:eastAsia="仿宋_GB2312" w:cs="仿宋"/>
                <w:bCs/>
                <w:szCs w:val="21"/>
              </w:rPr>
              <w:t>1</w:t>
            </w:r>
          </w:p>
        </w:tc>
        <w:tc>
          <w:tcPr>
            <w:tcW w:w="827" w:type="dxa"/>
            <w:vMerge w:val="restart"/>
            <w:vAlign w:val="center"/>
          </w:tcPr>
          <w:p>
            <w:pPr>
              <w:spacing w:line="240" w:lineRule="atLeast"/>
              <w:jc w:val="center"/>
              <w:rPr>
                <w:rFonts w:eastAsia="仿宋_GB2312" w:cs="仿宋"/>
                <w:bCs/>
                <w:szCs w:val="21"/>
              </w:rPr>
            </w:pPr>
            <w:r>
              <w:rPr>
                <w:rFonts w:hint="eastAsia" w:eastAsia="仿宋_GB2312" w:cs="仿宋"/>
                <w:bCs/>
                <w:szCs w:val="21"/>
              </w:rPr>
              <w:t>车间</w:t>
            </w:r>
          </w:p>
        </w:tc>
        <w:tc>
          <w:tcPr>
            <w:tcW w:w="1139" w:type="dxa"/>
            <w:vAlign w:val="center"/>
          </w:tcPr>
          <w:p>
            <w:pPr>
              <w:spacing w:line="240" w:lineRule="atLeast"/>
              <w:jc w:val="center"/>
              <w:rPr>
                <w:rFonts w:eastAsia="仿宋_GB2312" w:cs="仿宋"/>
                <w:bCs/>
                <w:szCs w:val="21"/>
              </w:rPr>
            </w:pPr>
            <w:r>
              <w:rPr>
                <w:rFonts w:ascii="仿宋" w:hAnsi="仿宋" w:eastAsia="仿宋" w:cs="仿宋"/>
                <w:bCs/>
                <w:szCs w:val="21"/>
              </w:rPr>
              <w:t>自动精密涂布生产线</w:t>
            </w:r>
          </w:p>
        </w:tc>
        <w:tc>
          <w:tcPr>
            <w:tcW w:w="1083" w:type="dxa"/>
            <w:vAlign w:val="center"/>
          </w:tcPr>
          <w:p>
            <w:pPr>
              <w:spacing w:line="240" w:lineRule="atLeast"/>
              <w:jc w:val="center"/>
              <w:rPr>
                <w:rFonts w:eastAsia="仿宋_GB2312" w:cs="仿宋"/>
                <w:bCs/>
                <w:szCs w:val="21"/>
              </w:rPr>
            </w:pPr>
            <w:r>
              <w:rPr>
                <w:rFonts w:hint="eastAsia" w:eastAsia="仿宋_GB2312" w:cs="仿宋"/>
                <w:bCs/>
                <w:szCs w:val="21"/>
              </w:rPr>
              <w:t>70</w:t>
            </w:r>
          </w:p>
        </w:tc>
        <w:tc>
          <w:tcPr>
            <w:tcW w:w="854" w:type="dxa"/>
            <w:vAlign w:val="center"/>
          </w:tcPr>
          <w:p>
            <w:pPr>
              <w:spacing w:line="240" w:lineRule="atLeast"/>
              <w:jc w:val="center"/>
              <w:rPr>
                <w:rFonts w:eastAsia="仿宋_GB2312"/>
                <w:kern w:val="0"/>
                <w:szCs w:val="21"/>
              </w:rPr>
            </w:pPr>
            <w:r>
              <w:rPr>
                <w:rFonts w:hint="eastAsia" w:eastAsia="仿宋_GB2312"/>
                <w:kern w:val="0"/>
                <w:szCs w:val="21"/>
              </w:rPr>
              <w:t>74</w:t>
            </w:r>
          </w:p>
        </w:tc>
        <w:tc>
          <w:tcPr>
            <w:tcW w:w="999" w:type="dxa"/>
            <w:vMerge w:val="restart"/>
            <w:vAlign w:val="center"/>
          </w:tcPr>
          <w:p>
            <w:pPr>
              <w:spacing w:line="240" w:lineRule="atLeast"/>
              <w:jc w:val="center"/>
              <w:rPr>
                <w:rFonts w:ascii="仿宋" w:hAnsi="仿宋" w:eastAsia="仿宋" w:cs="仿宋"/>
                <w:bCs/>
                <w:szCs w:val="21"/>
              </w:rPr>
            </w:pPr>
            <w:r>
              <w:rPr>
                <w:rFonts w:ascii="仿宋" w:hAnsi="仿宋" w:eastAsia="仿宋" w:cs="仿宋"/>
                <w:bCs/>
                <w:szCs w:val="21"/>
              </w:rPr>
              <w:t>基础减震</w:t>
            </w:r>
            <w:r>
              <w:rPr>
                <w:rFonts w:hint="eastAsia" w:ascii="仿宋" w:hAnsi="仿宋" w:eastAsia="仿宋" w:cs="仿宋"/>
                <w:bCs/>
                <w:szCs w:val="21"/>
              </w:rPr>
              <w:t>、</w:t>
            </w:r>
            <w:r>
              <w:rPr>
                <w:rFonts w:ascii="仿宋" w:hAnsi="仿宋" w:eastAsia="仿宋" w:cs="仿宋"/>
                <w:bCs/>
                <w:szCs w:val="21"/>
              </w:rPr>
              <w:t>选用低噪声设备，生产时关闭门窗</w:t>
            </w:r>
          </w:p>
        </w:tc>
        <w:tc>
          <w:tcPr>
            <w:tcW w:w="709" w:type="dxa"/>
            <w:vAlign w:val="center"/>
          </w:tcPr>
          <w:p>
            <w:pPr>
              <w:widowControl/>
              <w:jc w:val="center"/>
              <w:rPr>
                <w:rFonts w:eastAsia="仿宋_GB2312" w:cs="宋体"/>
                <w:bCs/>
                <w:kern w:val="0"/>
                <w:szCs w:val="21"/>
              </w:rPr>
            </w:pPr>
            <w:r>
              <w:rPr>
                <w:rFonts w:hint="eastAsia" w:eastAsia="仿宋_GB2312" w:cs="宋体"/>
                <w:bCs/>
                <w:kern w:val="0"/>
                <w:szCs w:val="21"/>
              </w:rPr>
              <w:t>3</w:t>
            </w:r>
          </w:p>
        </w:tc>
        <w:tc>
          <w:tcPr>
            <w:tcW w:w="836" w:type="dxa"/>
            <w:vAlign w:val="center"/>
          </w:tcPr>
          <w:p>
            <w:pPr>
              <w:spacing w:line="240" w:lineRule="atLeast"/>
              <w:jc w:val="center"/>
              <w:rPr>
                <w:rFonts w:eastAsia="仿宋_GB2312" w:cs="仿宋"/>
                <w:bCs/>
                <w:szCs w:val="21"/>
              </w:rPr>
            </w:pPr>
            <w:r>
              <w:rPr>
                <w:rFonts w:hint="eastAsia" w:eastAsia="仿宋_GB2312" w:cs="仿宋"/>
                <w:bCs/>
                <w:szCs w:val="21"/>
              </w:rPr>
              <w:t>34.14</w:t>
            </w:r>
          </w:p>
        </w:tc>
        <w:tc>
          <w:tcPr>
            <w:tcW w:w="865" w:type="dxa"/>
            <w:vAlign w:val="center"/>
          </w:tcPr>
          <w:p>
            <w:pPr>
              <w:spacing w:line="240" w:lineRule="atLeast"/>
              <w:jc w:val="center"/>
              <w:rPr>
                <w:rFonts w:eastAsia="仿宋_GB2312" w:cs="仿宋"/>
                <w:bCs/>
                <w:szCs w:val="21"/>
              </w:rPr>
            </w:pPr>
            <w:r>
              <w:rPr>
                <w:rFonts w:hint="eastAsia" w:eastAsia="仿宋_GB2312" w:cs="仿宋"/>
                <w:bCs/>
                <w:szCs w:val="21"/>
              </w:rPr>
              <w:t>121.91</w:t>
            </w:r>
          </w:p>
        </w:tc>
        <w:tc>
          <w:tcPr>
            <w:tcW w:w="567" w:type="dxa"/>
            <w:vAlign w:val="center"/>
          </w:tcPr>
          <w:p>
            <w:pPr>
              <w:spacing w:line="240" w:lineRule="atLeast"/>
              <w:jc w:val="center"/>
              <w:rPr>
                <w:rFonts w:eastAsia="仿宋_GB2312" w:cs="仿宋"/>
                <w:bCs/>
                <w:szCs w:val="21"/>
              </w:rPr>
            </w:pPr>
            <w:r>
              <w:rPr>
                <w:rFonts w:hint="eastAsia" w:eastAsia="仿宋_GB2312" w:cs="仿宋"/>
                <w:bCs/>
                <w:szCs w:val="21"/>
              </w:rPr>
              <w:t>0</w:t>
            </w:r>
          </w:p>
        </w:tc>
        <w:tc>
          <w:tcPr>
            <w:tcW w:w="709" w:type="dxa"/>
            <w:vMerge w:val="restart"/>
            <w:vAlign w:val="center"/>
          </w:tcPr>
          <w:p>
            <w:pPr>
              <w:spacing w:line="240" w:lineRule="atLeast"/>
              <w:jc w:val="center"/>
              <w:rPr>
                <w:rFonts w:eastAsia="仿宋_GB2312" w:cs="仿宋"/>
                <w:bCs/>
                <w:szCs w:val="21"/>
              </w:rPr>
            </w:pPr>
            <w:r>
              <w:rPr>
                <w:rFonts w:hint="eastAsia" w:eastAsia="仿宋_GB2312" w:cs="仿宋"/>
                <w:bCs/>
                <w:szCs w:val="21"/>
              </w:rPr>
              <w:t>25</w:t>
            </w:r>
          </w:p>
        </w:tc>
        <w:tc>
          <w:tcPr>
            <w:tcW w:w="608" w:type="dxa"/>
            <w:vMerge w:val="restart"/>
            <w:vAlign w:val="center"/>
          </w:tcPr>
          <w:p>
            <w:pPr>
              <w:spacing w:line="240" w:lineRule="atLeast"/>
              <w:jc w:val="center"/>
              <w:rPr>
                <w:rFonts w:eastAsia="仿宋_GB2312" w:cs="仿宋"/>
                <w:bCs/>
                <w:szCs w:val="21"/>
              </w:rPr>
            </w:pPr>
            <w:r>
              <w:rPr>
                <w:rFonts w:hint="eastAsia" w:eastAsia="仿宋_GB2312" w:cs="仿宋"/>
                <w:bCs/>
                <w:szCs w:val="21"/>
              </w:rPr>
              <w:t>间歇</w:t>
            </w:r>
            <w:r>
              <w:rPr>
                <w:rFonts w:eastAsia="仿宋_GB2312" w:cs="仿宋"/>
                <w:bCs/>
                <w:szCs w:val="21"/>
              </w:rPr>
              <w:t>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441" w:type="dxa"/>
            <w:vAlign w:val="center"/>
          </w:tcPr>
          <w:p>
            <w:pPr>
              <w:spacing w:line="240" w:lineRule="atLeast"/>
              <w:jc w:val="center"/>
              <w:rPr>
                <w:rFonts w:eastAsia="仿宋_GB2312" w:cs="仿宋"/>
                <w:bCs/>
                <w:szCs w:val="21"/>
              </w:rPr>
            </w:pPr>
            <w:r>
              <w:rPr>
                <w:rFonts w:hint="eastAsia" w:eastAsia="仿宋_GB2312" w:cs="仿宋"/>
                <w:bCs/>
                <w:szCs w:val="21"/>
              </w:rPr>
              <w:t>2</w:t>
            </w:r>
          </w:p>
        </w:tc>
        <w:tc>
          <w:tcPr>
            <w:tcW w:w="827" w:type="dxa"/>
            <w:vMerge w:val="continue"/>
          </w:tcPr>
          <w:p>
            <w:pPr>
              <w:spacing w:line="240" w:lineRule="atLeast"/>
              <w:jc w:val="center"/>
              <w:rPr>
                <w:rFonts w:eastAsia="仿宋_GB2312" w:cs="仿宋"/>
                <w:bCs/>
                <w:szCs w:val="21"/>
              </w:rPr>
            </w:pPr>
          </w:p>
        </w:tc>
        <w:tc>
          <w:tcPr>
            <w:tcW w:w="1139" w:type="dxa"/>
          </w:tcPr>
          <w:p>
            <w:pPr>
              <w:spacing w:line="240" w:lineRule="atLeast"/>
              <w:jc w:val="center"/>
              <w:rPr>
                <w:rFonts w:eastAsia="仿宋_GB2312" w:cs="仿宋"/>
                <w:bCs/>
                <w:szCs w:val="21"/>
              </w:rPr>
            </w:pPr>
            <w:r>
              <w:rPr>
                <w:rFonts w:ascii="仿宋" w:hAnsi="仿宋" w:eastAsia="仿宋" w:cs="仿宋"/>
                <w:bCs/>
                <w:szCs w:val="21"/>
              </w:rPr>
              <w:t>分切机</w:t>
            </w:r>
          </w:p>
        </w:tc>
        <w:tc>
          <w:tcPr>
            <w:tcW w:w="1083" w:type="dxa"/>
            <w:vAlign w:val="center"/>
          </w:tcPr>
          <w:p>
            <w:pPr>
              <w:spacing w:line="240" w:lineRule="atLeast"/>
              <w:jc w:val="center"/>
              <w:rPr>
                <w:rFonts w:eastAsia="仿宋_GB2312" w:cs="仿宋"/>
                <w:bCs/>
                <w:szCs w:val="21"/>
              </w:rPr>
            </w:pPr>
            <w:r>
              <w:rPr>
                <w:rFonts w:hint="eastAsia" w:eastAsia="仿宋_GB2312" w:cs="仿宋"/>
                <w:bCs/>
                <w:szCs w:val="21"/>
              </w:rPr>
              <w:t>65</w:t>
            </w:r>
          </w:p>
        </w:tc>
        <w:tc>
          <w:tcPr>
            <w:tcW w:w="854" w:type="dxa"/>
            <w:vAlign w:val="center"/>
          </w:tcPr>
          <w:p>
            <w:pPr>
              <w:spacing w:line="240" w:lineRule="atLeast"/>
              <w:jc w:val="center"/>
              <w:rPr>
                <w:rFonts w:eastAsia="仿宋_GB2312" w:cs="仿宋"/>
                <w:bCs/>
                <w:szCs w:val="21"/>
              </w:rPr>
            </w:pPr>
            <w:r>
              <w:rPr>
                <w:rFonts w:hint="eastAsia" w:eastAsia="仿宋_GB2312" w:cs="仿宋"/>
                <w:bCs/>
                <w:szCs w:val="21"/>
              </w:rPr>
              <w:t>67</w:t>
            </w:r>
          </w:p>
        </w:tc>
        <w:tc>
          <w:tcPr>
            <w:tcW w:w="999" w:type="dxa"/>
            <w:vMerge w:val="continue"/>
          </w:tcPr>
          <w:p>
            <w:pPr>
              <w:spacing w:line="240" w:lineRule="atLeast"/>
              <w:jc w:val="center"/>
              <w:rPr>
                <w:rFonts w:eastAsia="仿宋_GB2312" w:cs="仿宋"/>
                <w:bCs/>
                <w:szCs w:val="21"/>
              </w:rPr>
            </w:pPr>
          </w:p>
        </w:tc>
        <w:tc>
          <w:tcPr>
            <w:tcW w:w="709" w:type="dxa"/>
            <w:vAlign w:val="center"/>
          </w:tcPr>
          <w:p>
            <w:pPr>
              <w:widowControl/>
              <w:jc w:val="center"/>
              <w:rPr>
                <w:rFonts w:eastAsia="仿宋_GB2312" w:cs="宋体"/>
                <w:bCs/>
                <w:kern w:val="0"/>
                <w:szCs w:val="21"/>
              </w:rPr>
            </w:pPr>
            <w:r>
              <w:rPr>
                <w:rFonts w:hint="eastAsia" w:eastAsia="仿宋_GB2312" w:cs="宋体"/>
                <w:bCs/>
                <w:kern w:val="0"/>
                <w:szCs w:val="21"/>
              </w:rPr>
              <w:t>10</w:t>
            </w:r>
          </w:p>
        </w:tc>
        <w:tc>
          <w:tcPr>
            <w:tcW w:w="836" w:type="dxa"/>
            <w:vAlign w:val="center"/>
          </w:tcPr>
          <w:p>
            <w:pPr>
              <w:spacing w:line="240" w:lineRule="atLeast"/>
              <w:jc w:val="center"/>
              <w:rPr>
                <w:rFonts w:eastAsia="仿宋_GB2312" w:cs="仿宋"/>
                <w:bCs/>
                <w:szCs w:val="21"/>
              </w:rPr>
            </w:pPr>
            <w:r>
              <w:rPr>
                <w:rFonts w:hint="eastAsia" w:eastAsia="仿宋_GB2312" w:cs="仿宋"/>
                <w:bCs/>
                <w:szCs w:val="21"/>
              </w:rPr>
              <w:t>75.01</w:t>
            </w:r>
          </w:p>
        </w:tc>
        <w:tc>
          <w:tcPr>
            <w:tcW w:w="865" w:type="dxa"/>
            <w:vAlign w:val="center"/>
          </w:tcPr>
          <w:p>
            <w:pPr>
              <w:spacing w:line="240" w:lineRule="atLeast"/>
              <w:jc w:val="center"/>
              <w:rPr>
                <w:rFonts w:eastAsia="仿宋_GB2312" w:cs="仿宋"/>
                <w:bCs/>
                <w:szCs w:val="21"/>
              </w:rPr>
            </w:pPr>
            <w:r>
              <w:rPr>
                <w:rFonts w:hint="eastAsia" w:eastAsia="仿宋_GB2312" w:cs="仿宋"/>
                <w:bCs/>
                <w:szCs w:val="21"/>
              </w:rPr>
              <w:t>172</w:t>
            </w:r>
            <w:r>
              <w:rPr>
                <w:rFonts w:eastAsia="仿宋_GB2312" w:cs="仿宋"/>
                <w:bCs/>
                <w:szCs w:val="21"/>
              </w:rPr>
              <w:t>.22</w:t>
            </w:r>
          </w:p>
        </w:tc>
        <w:tc>
          <w:tcPr>
            <w:tcW w:w="567" w:type="dxa"/>
            <w:vAlign w:val="center"/>
          </w:tcPr>
          <w:p>
            <w:pPr>
              <w:jc w:val="center"/>
            </w:pPr>
            <w:r>
              <w:rPr>
                <w:rFonts w:hint="eastAsia" w:eastAsia="仿宋_GB2312" w:cs="仿宋"/>
                <w:bCs/>
                <w:szCs w:val="21"/>
              </w:rPr>
              <w:t>0</w:t>
            </w:r>
          </w:p>
        </w:tc>
        <w:tc>
          <w:tcPr>
            <w:tcW w:w="709" w:type="dxa"/>
            <w:vMerge w:val="continue"/>
          </w:tcPr>
          <w:p>
            <w:pPr>
              <w:spacing w:line="240" w:lineRule="atLeast"/>
              <w:jc w:val="center"/>
              <w:rPr>
                <w:rFonts w:eastAsia="仿宋_GB2312" w:cs="仿宋"/>
                <w:bCs/>
                <w:szCs w:val="21"/>
              </w:rPr>
            </w:pPr>
          </w:p>
        </w:tc>
        <w:tc>
          <w:tcPr>
            <w:tcW w:w="608" w:type="dxa"/>
            <w:vMerge w:val="continue"/>
          </w:tcPr>
          <w:p>
            <w:pPr>
              <w:spacing w:line="240" w:lineRule="atLeast"/>
              <w:jc w:val="center"/>
              <w:rPr>
                <w:rFonts w:eastAsia="仿宋_GB2312"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441" w:type="dxa"/>
            <w:vAlign w:val="center"/>
          </w:tcPr>
          <w:p>
            <w:pPr>
              <w:spacing w:line="240" w:lineRule="atLeast"/>
              <w:jc w:val="center"/>
              <w:rPr>
                <w:rFonts w:eastAsia="仿宋_GB2312" w:cs="仿宋"/>
                <w:bCs/>
                <w:szCs w:val="21"/>
              </w:rPr>
            </w:pPr>
            <w:r>
              <w:rPr>
                <w:rFonts w:hint="eastAsia" w:eastAsia="仿宋_GB2312" w:cs="仿宋"/>
                <w:bCs/>
                <w:szCs w:val="21"/>
              </w:rPr>
              <w:t>3</w:t>
            </w:r>
          </w:p>
        </w:tc>
        <w:tc>
          <w:tcPr>
            <w:tcW w:w="827" w:type="dxa"/>
            <w:vMerge w:val="continue"/>
          </w:tcPr>
          <w:p>
            <w:pPr>
              <w:spacing w:line="240" w:lineRule="atLeast"/>
              <w:jc w:val="center"/>
              <w:rPr>
                <w:rFonts w:eastAsia="仿宋_GB2312" w:cs="仿宋"/>
                <w:bCs/>
                <w:szCs w:val="21"/>
              </w:rPr>
            </w:pPr>
          </w:p>
        </w:tc>
        <w:tc>
          <w:tcPr>
            <w:tcW w:w="1139" w:type="dxa"/>
          </w:tcPr>
          <w:p>
            <w:pPr>
              <w:spacing w:line="240" w:lineRule="atLeast"/>
              <w:jc w:val="center"/>
              <w:rPr>
                <w:rFonts w:eastAsia="仿宋_GB2312" w:cs="仿宋"/>
                <w:bCs/>
                <w:szCs w:val="21"/>
              </w:rPr>
            </w:pPr>
            <w:r>
              <w:rPr>
                <w:rFonts w:hint="eastAsia" w:ascii="仿宋" w:hAnsi="仿宋" w:eastAsia="仿宋" w:cs="仿宋"/>
                <w:bCs/>
                <w:szCs w:val="21"/>
              </w:rPr>
              <w:t>无气泡</w:t>
            </w:r>
            <w:r>
              <w:rPr>
                <w:rFonts w:ascii="仿宋" w:hAnsi="仿宋" w:eastAsia="仿宋" w:cs="仿宋"/>
                <w:bCs/>
                <w:szCs w:val="21"/>
              </w:rPr>
              <w:t>复卷机</w:t>
            </w:r>
          </w:p>
        </w:tc>
        <w:tc>
          <w:tcPr>
            <w:tcW w:w="1083" w:type="dxa"/>
            <w:vAlign w:val="center"/>
          </w:tcPr>
          <w:p>
            <w:pPr>
              <w:spacing w:line="240" w:lineRule="atLeast"/>
              <w:jc w:val="center"/>
              <w:rPr>
                <w:rFonts w:eastAsia="仿宋_GB2312" w:cs="仿宋"/>
                <w:bCs/>
                <w:szCs w:val="21"/>
              </w:rPr>
            </w:pPr>
            <w:r>
              <w:rPr>
                <w:rFonts w:hint="eastAsia" w:eastAsia="仿宋_GB2312" w:cs="仿宋"/>
                <w:bCs/>
                <w:szCs w:val="21"/>
              </w:rPr>
              <w:t>70</w:t>
            </w:r>
          </w:p>
        </w:tc>
        <w:tc>
          <w:tcPr>
            <w:tcW w:w="854" w:type="dxa"/>
            <w:vAlign w:val="center"/>
          </w:tcPr>
          <w:p>
            <w:pPr>
              <w:spacing w:line="240" w:lineRule="atLeast"/>
              <w:jc w:val="center"/>
              <w:rPr>
                <w:rFonts w:eastAsia="仿宋_GB2312" w:cs="仿宋"/>
                <w:bCs/>
                <w:szCs w:val="21"/>
              </w:rPr>
            </w:pPr>
            <w:r>
              <w:rPr>
                <w:rFonts w:hint="eastAsia" w:eastAsia="仿宋_GB2312" w:cs="仿宋"/>
                <w:bCs/>
                <w:szCs w:val="21"/>
              </w:rPr>
              <w:t>71</w:t>
            </w:r>
          </w:p>
        </w:tc>
        <w:tc>
          <w:tcPr>
            <w:tcW w:w="999" w:type="dxa"/>
            <w:vMerge w:val="continue"/>
          </w:tcPr>
          <w:p>
            <w:pPr>
              <w:spacing w:line="240" w:lineRule="atLeast"/>
              <w:jc w:val="center"/>
              <w:rPr>
                <w:rFonts w:eastAsia="仿宋_GB2312" w:cs="仿宋"/>
                <w:bCs/>
                <w:szCs w:val="21"/>
              </w:rPr>
            </w:pPr>
          </w:p>
        </w:tc>
        <w:tc>
          <w:tcPr>
            <w:tcW w:w="709" w:type="dxa"/>
            <w:vAlign w:val="center"/>
          </w:tcPr>
          <w:p>
            <w:pPr>
              <w:widowControl/>
              <w:jc w:val="center"/>
              <w:rPr>
                <w:rFonts w:eastAsia="仿宋_GB2312" w:cs="宋体"/>
                <w:bCs/>
                <w:kern w:val="0"/>
                <w:szCs w:val="21"/>
              </w:rPr>
            </w:pPr>
            <w:r>
              <w:rPr>
                <w:rFonts w:hint="eastAsia" w:eastAsia="仿宋_GB2312" w:cs="宋体"/>
                <w:bCs/>
                <w:kern w:val="0"/>
                <w:szCs w:val="21"/>
              </w:rPr>
              <w:t>5</w:t>
            </w:r>
          </w:p>
        </w:tc>
        <w:tc>
          <w:tcPr>
            <w:tcW w:w="836" w:type="dxa"/>
            <w:vAlign w:val="center"/>
          </w:tcPr>
          <w:p>
            <w:pPr>
              <w:spacing w:line="240" w:lineRule="atLeast"/>
              <w:jc w:val="center"/>
              <w:rPr>
                <w:rFonts w:eastAsia="仿宋_GB2312" w:cs="仿宋"/>
                <w:bCs/>
                <w:szCs w:val="21"/>
              </w:rPr>
            </w:pPr>
            <w:r>
              <w:rPr>
                <w:rFonts w:hint="eastAsia" w:eastAsia="仿宋_GB2312" w:cs="仿宋"/>
                <w:bCs/>
                <w:szCs w:val="21"/>
              </w:rPr>
              <w:t>10</w:t>
            </w:r>
            <w:r>
              <w:rPr>
                <w:rFonts w:eastAsia="仿宋_GB2312" w:cs="仿宋"/>
                <w:bCs/>
                <w:szCs w:val="21"/>
              </w:rPr>
              <w:t>0</w:t>
            </w:r>
            <w:r>
              <w:rPr>
                <w:rFonts w:hint="eastAsia" w:eastAsia="仿宋_GB2312" w:cs="仿宋"/>
                <w:bCs/>
                <w:szCs w:val="21"/>
              </w:rPr>
              <w:t>.69</w:t>
            </w:r>
          </w:p>
        </w:tc>
        <w:tc>
          <w:tcPr>
            <w:tcW w:w="865" w:type="dxa"/>
            <w:vAlign w:val="center"/>
          </w:tcPr>
          <w:p>
            <w:pPr>
              <w:spacing w:line="240" w:lineRule="atLeast"/>
              <w:jc w:val="center"/>
              <w:rPr>
                <w:rFonts w:eastAsia="仿宋_GB2312" w:cs="仿宋"/>
                <w:bCs/>
                <w:szCs w:val="21"/>
              </w:rPr>
            </w:pPr>
            <w:r>
              <w:rPr>
                <w:rFonts w:hint="eastAsia" w:eastAsia="仿宋_GB2312" w:cs="仿宋"/>
                <w:bCs/>
                <w:szCs w:val="21"/>
              </w:rPr>
              <w:t>105.15</w:t>
            </w:r>
          </w:p>
        </w:tc>
        <w:tc>
          <w:tcPr>
            <w:tcW w:w="567" w:type="dxa"/>
            <w:vAlign w:val="center"/>
          </w:tcPr>
          <w:p>
            <w:pPr>
              <w:jc w:val="center"/>
            </w:pPr>
            <w:r>
              <w:rPr>
                <w:rFonts w:hint="eastAsia" w:eastAsia="仿宋_GB2312" w:cs="仿宋"/>
                <w:bCs/>
                <w:szCs w:val="21"/>
              </w:rPr>
              <w:t>0</w:t>
            </w:r>
          </w:p>
        </w:tc>
        <w:tc>
          <w:tcPr>
            <w:tcW w:w="709" w:type="dxa"/>
            <w:vMerge w:val="continue"/>
          </w:tcPr>
          <w:p>
            <w:pPr>
              <w:spacing w:line="240" w:lineRule="atLeast"/>
              <w:jc w:val="center"/>
              <w:rPr>
                <w:rFonts w:eastAsia="仿宋_GB2312" w:cs="仿宋"/>
                <w:bCs/>
                <w:szCs w:val="21"/>
              </w:rPr>
            </w:pPr>
          </w:p>
        </w:tc>
        <w:tc>
          <w:tcPr>
            <w:tcW w:w="608" w:type="dxa"/>
            <w:vMerge w:val="continue"/>
          </w:tcPr>
          <w:p>
            <w:pPr>
              <w:spacing w:line="240" w:lineRule="atLeast"/>
              <w:jc w:val="center"/>
              <w:rPr>
                <w:rFonts w:eastAsia="仿宋_GB2312"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441" w:type="dxa"/>
            <w:vAlign w:val="center"/>
          </w:tcPr>
          <w:p>
            <w:pPr>
              <w:spacing w:line="240" w:lineRule="atLeast"/>
              <w:jc w:val="center"/>
              <w:rPr>
                <w:rFonts w:eastAsia="仿宋_GB2312" w:cs="仿宋"/>
                <w:bCs/>
                <w:szCs w:val="21"/>
              </w:rPr>
            </w:pPr>
            <w:r>
              <w:rPr>
                <w:rFonts w:hint="eastAsia" w:eastAsia="仿宋_GB2312" w:cs="仿宋"/>
                <w:bCs/>
                <w:szCs w:val="21"/>
              </w:rPr>
              <w:t>4</w:t>
            </w:r>
          </w:p>
        </w:tc>
        <w:tc>
          <w:tcPr>
            <w:tcW w:w="827" w:type="dxa"/>
            <w:vMerge w:val="continue"/>
          </w:tcPr>
          <w:p>
            <w:pPr>
              <w:spacing w:line="240" w:lineRule="atLeast"/>
              <w:jc w:val="center"/>
              <w:rPr>
                <w:rFonts w:eastAsia="仿宋_GB2312" w:cs="仿宋"/>
                <w:bCs/>
                <w:szCs w:val="21"/>
              </w:rPr>
            </w:pPr>
          </w:p>
        </w:tc>
        <w:tc>
          <w:tcPr>
            <w:tcW w:w="1139" w:type="dxa"/>
            <w:vAlign w:val="center"/>
          </w:tcPr>
          <w:p>
            <w:pPr>
              <w:spacing w:line="240" w:lineRule="atLeast"/>
              <w:jc w:val="center"/>
              <w:rPr>
                <w:rFonts w:eastAsia="仿宋_GB2312" w:cs="仿宋"/>
                <w:bCs/>
                <w:szCs w:val="21"/>
              </w:rPr>
            </w:pPr>
            <w:r>
              <w:rPr>
                <w:rFonts w:ascii="仿宋" w:hAnsi="仿宋" w:eastAsia="仿宋" w:cs="仿宋"/>
                <w:bCs/>
                <w:szCs w:val="21"/>
              </w:rPr>
              <w:t>分散机</w:t>
            </w:r>
          </w:p>
        </w:tc>
        <w:tc>
          <w:tcPr>
            <w:tcW w:w="1083" w:type="dxa"/>
            <w:vAlign w:val="center"/>
          </w:tcPr>
          <w:p>
            <w:pPr>
              <w:spacing w:line="240" w:lineRule="atLeast"/>
              <w:jc w:val="center"/>
              <w:rPr>
                <w:rFonts w:eastAsia="仿宋_GB2312" w:cs="仿宋"/>
                <w:bCs/>
                <w:szCs w:val="21"/>
              </w:rPr>
            </w:pPr>
            <w:r>
              <w:rPr>
                <w:rFonts w:hint="eastAsia" w:eastAsia="仿宋_GB2312" w:cs="仿宋"/>
                <w:bCs/>
                <w:szCs w:val="21"/>
              </w:rPr>
              <w:t>70</w:t>
            </w:r>
          </w:p>
        </w:tc>
        <w:tc>
          <w:tcPr>
            <w:tcW w:w="854" w:type="dxa"/>
            <w:vAlign w:val="center"/>
          </w:tcPr>
          <w:p>
            <w:pPr>
              <w:spacing w:line="240" w:lineRule="atLeast"/>
              <w:jc w:val="center"/>
              <w:rPr>
                <w:rFonts w:eastAsia="仿宋_GB2312" w:cs="仿宋"/>
                <w:bCs/>
                <w:szCs w:val="21"/>
              </w:rPr>
            </w:pPr>
            <w:r>
              <w:rPr>
                <w:rFonts w:hint="eastAsia" w:eastAsia="仿宋_GB2312" w:cs="仿宋"/>
                <w:bCs/>
                <w:szCs w:val="21"/>
              </w:rPr>
              <w:t>71</w:t>
            </w:r>
          </w:p>
        </w:tc>
        <w:tc>
          <w:tcPr>
            <w:tcW w:w="999" w:type="dxa"/>
            <w:vMerge w:val="continue"/>
          </w:tcPr>
          <w:p>
            <w:pPr>
              <w:spacing w:line="240" w:lineRule="atLeast"/>
              <w:jc w:val="center"/>
              <w:rPr>
                <w:rFonts w:eastAsia="仿宋_GB2312" w:cs="仿宋"/>
                <w:bCs/>
                <w:szCs w:val="21"/>
              </w:rPr>
            </w:pPr>
          </w:p>
        </w:tc>
        <w:tc>
          <w:tcPr>
            <w:tcW w:w="709" w:type="dxa"/>
            <w:vAlign w:val="center"/>
          </w:tcPr>
          <w:p>
            <w:pPr>
              <w:widowControl/>
              <w:jc w:val="center"/>
              <w:rPr>
                <w:rFonts w:eastAsia="仿宋_GB2312" w:cs="宋体"/>
                <w:bCs/>
                <w:kern w:val="0"/>
                <w:szCs w:val="21"/>
              </w:rPr>
            </w:pPr>
            <w:r>
              <w:rPr>
                <w:rFonts w:hint="eastAsia" w:eastAsia="仿宋_GB2312" w:cs="宋体"/>
                <w:bCs/>
                <w:kern w:val="0"/>
                <w:szCs w:val="21"/>
              </w:rPr>
              <w:t>5</w:t>
            </w:r>
          </w:p>
        </w:tc>
        <w:tc>
          <w:tcPr>
            <w:tcW w:w="836" w:type="dxa"/>
            <w:vAlign w:val="center"/>
          </w:tcPr>
          <w:p>
            <w:pPr>
              <w:spacing w:line="240" w:lineRule="atLeast"/>
              <w:jc w:val="center"/>
              <w:rPr>
                <w:rFonts w:eastAsia="仿宋_GB2312" w:cs="仿宋"/>
                <w:bCs/>
                <w:szCs w:val="21"/>
              </w:rPr>
            </w:pPr>
            <w:r>
              <w:rPr>
                <w:rFonts w:hint="eastAsia" w:eastAsia="仿宋_GB2312" w:cs="仿宋"/>
                <w:bCs/>
                <w:szCs w:val="21"/>
              </w:rPr>
              <w:t>4.27</w:t>
            </w:r>
          </w:p>
        </w:tc>
        <w:tc>
          <w:tcPr>
            <w:tcW w:w="865" w:type="dxa"/>
            <w:vAlign w:val="center"/>
          </w:tcPr>
          <w:p>
            <w:pPr>
              <w:spacing w:line="240" w:lineRule="atLeast"/>
              <w:jc w:val="center"/>
              <w:rPr>
                <w:rFonts w:eastAsia="仿宋_GB2312" w:cs="仿宋"/>
                <w:bCs/>
                <w:szCs w:val="21"/>
              </w:rPr>
            </w:pPr>
            <w:r>
              <w:rPr>
                <w:rFonts w:hint="eastAsia" w:eastAsia="仿宋_GB2312" w:cs="仿宋"/>
                <w:bCs/>
                <w:szCs w:val="21"/>
              </w:rPr>
              <w:t>118.</w:t>
            </w:r>
            <w:r>
              <w:rPr>
                <w:rFonts w:eastAsia="仿宋_GB2312" w:cs="仿宋"/>
                <w:bCs/>
                <w:szCs w:val="21"/>
              </w:rPr>
              <w:t>77</w:t>
            </w:r>
          </w:p>
        </w:tc>
        <w:tc>
          <w:tcPr>
            <w:tcW w:w="567" w:type="dxa"/>
            <w:vAlign w:val="center"/>
          </w:tcPr>
          <w:p>
            <w:pPr>
              <w:jc w:val="center"/>
            </w:pPr>
            <w:r>
              <w:rPr>
                <w:rFonts w:hint="eastAsia" w:eastAsia="仿宋_GB2312" w:cs="仿宋"/>
                <w:bCs/>
                <w:szCs w:val="21"/>
              </w:rPr>
              <w:t>0</w:t>
            </w:r>
          </w:p>
        </w:tc>
        <w:tc>
          <w:tcPr>
            <w:tcW w:w="709" w:type="dxa"/>
            <w:vMerge w:val="continue"/>
          </w:tcPr>
          <w:p>
            <w:pPr>
              <w:spacing w:line="240" w:lineRule="atLeast"/>
              <w:jc w:val="center"/>
              <w:rPr>
                <w:rFonts w:eastAsia="仿宋_GB2312" w:cs="仿宋"/>
                <w:bCs/>
                <w:szCs w:val="21"/>
              </w:rPr>
            </w:pPr>
          </w:p>
        </w:tc>
        <w:tc>
          <w:tcPr>
            <w:tcW w:w="608" w:type="dxa"/>
            <w:vMerge w:val="continue"/>
          </w:tcPr>
          <w:p>
            <w:pPr>
              <w:spacing w:line="240" w:lineRule="atLeast"/>
              <w:jc w:val="center"/>
              <w:rPr>
                <w:rFonts w:eastAsia="仿宋_GB2312"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441" w:type="dxa"/>
            <w:vAlign w:val="center"/>
          </w:tcPr>
          <w:p>
            <w:pPr>
              <w:spacing w:line="240" w:lineRule="atLeast"/>
              <w:jc w:val="center"/>
              <w:rPr>
                <w:rFonts w:eastAsia="仿宋_GB2312" w:cs="仿宋"/>
                <w:bCs/>
                <w:szCs w:val="21"/>
              </w:rPr>
            </w:pPr>
            <w:r>
              <w:rPr>
                <w:rFonts w:hint="eastAsia" w:eastAsia="仿宋_GB2312" w:cs="仿宋"/>
                <w:bCs/>
                <w:szCs w:val="21"/>
              </w:rPr>
              <w:t>5</w:t>
            </w:r>
          </w:p>
        </w:tc>
        <w:tc>
          <w:tcPr>
            <w:tcW w:w="827" w:type="dxa"/>
            <w:vMerge w:val="continue"/>
          </w:tcPr>
          <w:p>
            <w:pPr>
              <w:spacing w:line="240" w:lineRule="atLeast"/>
              <w:jc w:val="center"/>
              <w:rPr>
                <w:rFonts w:eastAsia="仿宋_GB2312" w:cs="仿宋"/>
                <w:bCs/>
                <w:szCs w:val="21"/>
              </w:rPr>
            </w:pPr>
          </w:p>
        </w:tc>
        <w:tc>
          <w:tcPr>
            <w:tcW w:w="1139" w:type="dxa"/>
            <w:vAlign w:val="center"/>
          </w:tcPr>
          <w:p>
            <w:pPr>
              <w:spacing w:line="240" w:lineRule="atLeast"/>
              <w:jc w:val="center"/>
              <w:rPr>
                <w:rFonts w:eastAsia="仿宋_GB2312" w:cs="仿宋"/>
                <w:bCs/>
                <w:szCs w:val="21"/>
              </w:rPr>
            </w:pPr>
            <w:r>
              <w:rPr>
                <w:rFonts w:hint="eastAsia" w:ascii="仿宋" w:hAnsi="仿宋" w:eastAsia="仿宋" w:cs="仿宋"/>
                <w:bCs/>
                <w:szCs w:val="21"/>
              </w:rPr>
              <w:t>塑封机</w:t>
            </w:r>
          </w:p>
        </w:tc>
        <w:tc>
          <w:tcPr>
            <w:tcW w:w="1083" w:type="dxa"/>
            <w:vAlign w:val="center"/>
          </w:tcPr>
          <w:p>
            <w:pPr>
              <w:spacing w:line="240" w:lineRule="atLeast"/>
              <w:jc w:val="center"/>
              <w:rPr>
                <w:rFonts w:eastAsia="仿宋_GB2312" w:cs="仿宋"/>
                <w:bCs/>
                <w:szCs w:val="21"/>
              </w:rPr>
            </w:pPr>
            <w:r>
              <w:rPr>
                <w:rFonts w:hint="eastAsia" w:eastAsia="仿宋_GB2312" w:cs="仿宋"/>
                <w:bCs/>
                <w:szCs w:val="21"/>
              </w:rPr>
              <w:t>65</w:t>
            </w:r>
          </w:p>
        </w:tc>
        <w:tc>
          <w:tcPr>
            <w:tcW w:w="854" w:type="dxa"/>
            <w:vAlign w:val="center"/>
          </w:tcPr>
          <w:p>
            <w:pPr>
              <w:spacing w:line="240" w:lineRule="atLeast"/>
              <w:jc w:val="center"/>
              <w:rPr>
                <w:rFonts w:eastAsia="仿宋_GB2312" w:cs="仿宋"/>
                <w:bCs/>
                <w:szCs w:val="21"/>
              </w:rPr>
            </w:pPr>
            <w:r>
              <w:rPr>
                <w:rFonts w:hint="eastAsia" w:eastAsia="仿宋_GB2312" w:cs="仿宋"/>
                <w:bCs/>
                <w:szCs w:val="21"/>
              </w:rPr>
              <w:t>65</w:t>
            </w:r>
          </w:p>
        </w:tc>
        <w:tc>
          <w:tcPr>
            <w:tcW w:w="999" w:type="dxa"/>
            <w:vMerge w:val="continue"/>
          </w:tcPr>
          <w:p>
            <w:pPr>
              <w:spacing w:line="240" w:lineRule="atLeast"/>
              <w:jc w:val="center"/>
              <w:rPr>
                <w:rFonts w:eastAsia="仿宋_GB2312" w:cs="仿宋"/>
                <w:bCs/>
                <w:szCs w:val="21"/>
              </w:rPr>
            </w:pPr>
          </w:p>
        </w:tc>
        <w:tc>
          <w:tcPr>
            <w:tcW w:w="709" w:type="dxa"/>
            <w:vAlign w:val="center"/>
          </w:tcPr>
          <w:p>
            <w:pPr>
              <w:widowControl/>
              <w:jc w:val="center"/>
              <w:rPr>
                <w:rFonts w:eastAsia="仿宋_GB2312" w:cs="宋体"/>
                <w:bCs/>
                <w:kern w:val="0"/>
                <w:szCs w:val="21"/>
              </w:rPr>
            </w:pPr>
            <w:r>
              <w:rPr>
                <w:rFonts w:hint="eastAsia" w:eastAsia="仿宋_GB2312" w:cs="宋体"/>
                <w:bCs/>
                <w:kern w:val="0"/>
                <w:szCs w:val="21"/>
              </w:rPr>
              <w:t>1</w:t>
            </w:r>
          </w:p>
        </w:tc>
        <w:tc>
          <w:tcPr>
            <w:tcW w:w="836" w:type="dxa"/>
            <w:vAlign w:val="center"/>
          </w:tcPr>
          <w:p>
            <w:pPr>
              <w:spacing w:line="240" w:lineRule="atLeast"/>
              <w:jc w:val="center"/>
              <w:rPr>
                <w:rFonts w:eastAsia="仿宋_GB2312" w:cs="仿宋"/>
                <w:bCs/>
                <w:szCs w:val="21"/>
              </w:rPr>
            </w:pPr>
            <w:r>
              <w:rPr>
                <w:rFonts w:hint="eastAsia" w:eastAsia="仿宋_GB2312" w:cs="仿宋"/>
                <w:bCs/>
                <w:szCs w:val="21"/>
              </w:rPr>
              <w:t>18.42</w:t>
            </w:r>
          </w:p>
        </w:tc>
        <w:tc>
          <w:tcPr>
            <w:tcW w:w="865" w:type="dxa"/>
            <w:vAlign w:val="center"/>
          </w:tcPr>
          <w:p>
            <w:pPr>
              <w:spacing w:line="240" w:lineRule="atLeast"/>
              <w:jc w:val="center"/>
              <w:rPr>
                <w:rFonts w:eastAsia="仿宋_GB2312" w:cs="仿宋"/>
                <w:bCs/>
                <w:szCs w:val="21"/>
              </w:rPr>
            </w:pPr>
            <w:r>
              <w:rPr>
                <w:rFonts w:hint="eastAsia" w:eastAsia="仿宋_GB2312" w:cs="仿宋"/>
                <w:bCs/>
                <w:szCs w:val="21"/>
              </w:rPr>
              <w:t>152.83</w:t>
            </w:r>
          </w:p>
        </w:tc>
        <w:tc>
          <w:tcPr>
            <w:tcW w:w="567" w:type="dxa"/>
            <w:vAlign w:val="center"/>
          </w:tcPr>
          <w:p>
            <w:pPr>
              <w:jc w:val="center"/>
            </w:pPr>
            <w:r>
              <w:rPr>
                <w:rFonts w:hint="eastAsia" w:eastAsia="仿宋_GB2312" w:cs="仿宋"/>
                <w:bCs/>
                <w:szCs w:val="21"/>
              </w:rPr>
              <w:t>0</w:t>
            </w:r>
          </w:p>
        </w:tc>
        <w:tc>
          <w:tcPr>
            <w:tcW w:w="709" w:type="dxa"/>
            <w:vMerge w:val="continue"/>
          </w:tcPr>
          <w:p>
            <w:pPr>
              <w:spacing w:line="240" w:lineRule="atLeast"/>
              <w:jc w:val="center"/>
              <w:rPr>
                <w:rFonts w:eastAsia="仿宋_GB2312" w:cs="仿宋"/>
                <w:bCs/>
                <w:szCs w:val="21"/>
              </w:rPr>
            </w:pPr>
          </w:p>
        </w:tc>
        <w:tc>
          <w:tcPr>
            <w:tcW w:w="608" w:type="dxa"/>
            <w:vMerge w:val="continue"/>
          </w:tcPr>
          <w:p>
            <w:pPr>
              <w:spacing w:line="240" w:lineRule="atLeast"/>
              <w:jc w:val="center"/>
              <w:rPr>
                <w:rFonts w:eastAsia="仿宋_GB2312"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441" w:type="dxa"/>
            <w:vAlign w:val="center"/>
          </w:tcPr>
          <w:p>
            <w:pPr>
              <w:spacing w:line="240" w:lineRule="atLeast"/>
              <w:jc w:val="center"/>
              <w:rPr>
                <w:rFonts w:eastAsia="仿宋_GB2312" w:cs="仿宋"/>
                <w:bCs/>
                <w:szCs w:val="21"/>
              </w:rPr>
            </w:pPr>
            <w:r>
              <w:rPr>
                <w:rFonts w:hint="eastAsia" w:eastAsia="仿宋_GB2312" w:cs="仿宋"/>
                <w:bCs/>
                <w:szCs w:val="21"/>
              </w:rPr>
              <w:t>6</w:t>
            </w:r>
          </w:p>
        </w:tc>
        <w:tc>
          <w:tcPr>
            <w:tcW w:w="827" w:type="dxa"/>
            <w:vMerge w:val="continue"/>
          </w:tcPr>
          <w:p>
            <w:pPr>
              <w:spacing w:line="240" w:lineRule="atLeast"/>
              <w:jc w:val="center"/>
              <w:rPr>
                <w:rFonts w:eastAsia="仿宋_GB2312" w:cs="仿宋"/>
                <w:bCs/>
                <w:szCs w:val="21"/>
              </w:rPr>
            </w:pPr>
          </w:p>
        </w:tc>
        <w:tc>
          <w:tcPr>
            <w:tcW w:w="1139" w:type="dxa"/>
            <w:vAlign w:val="center"/>
          </w:tcPr>
          <w:p>
            <w:pPr>
              <w:spacing w:line="240" w:lineRule="atLeast"/>
              <w:jc w:val="center"/>
              <w:rPr>
                <w:rFonts w:eastAsia="仿宋_GB2312" w:cs="仿宋"/>
                <w:bCs/>
                <w:szCs w:val="21"/>
              </w:rPr>
            </w:pPr>
            <w:r>
              <w:rPr>
                <w:rFonts w:ascii="仿宋" w:hAnsi="仿宋" w:eastAsia="仿宋" w:cs="仿宋"/>
                <w:bCs/>
                <w:szCs w:val="21"/>
              </w:rPr>
              <w:t>裁切机</w:t>
            </w:r>
          </w:p>
        </w:tc>
        <w:tc>
          <w:tcPr>
            <w:tcW w:w="1083" w:type="dxa"/>
            <w:vAlign w:val="center"/>
          </w:tcPr>
          <w:p>
            <w:pPr>
              <w:spacing w:line="240" w:lineRule="atLeast"/>
              <w:jc w:val="center"/>
              <w:rPr>
                <w:rFonts w:eastAsia="仿宋_GB2312" w:cs="仿宋"/>
                <w:bCs/>
                <w:szCs w:val="21"/>
              </w:rPr>
            </w:pPr>
            <w:r>
              <w:rPr>
                <w:rFonts w:eastAsia="仿宋_GB2312" w:cs="仿宋"/>
                <w:bCs/>
                <w:szCs w:val="21"/>
              </w:rPr>
              <w:t>70</w:t>
            </w:r>
          </w:p>
        </w:tc>
        <w:tc>
          <w:tcPr>
            <w:tcW w:w="854" w:type="dxa"/>
            <w:vAlign w:val="center"/>
          </w:tcPr>
          <w:p>
            <w:pPr>
              <w:spacing w:line="240" w:lineRule="atLeast"/>
              <w:jc w:val="center"/>
              <w:rPr>
                <w:rFonts w:eastAsia="仿宋_GB2312" w:cs="仿宋"/>
                <w:bCs/>
                <w:szCs w:val="21"/>
              </w:rPr>
            </w:pPr>
            <w:r>
              <w:rPr>
                <w:rFonts w:hint="eastAsia" w:eastAsia="仿宋_GB2312" w:cs="仿宋"/>
                <w:bCs/>
                <w:szCs w:val="21"/>
              </w:rPr>
              <w:t>72</w:t>
            </w:r>
          </w:p>
        </w:tc>
        <w:tc>
          <w:tcPr>
            <w:tcW w:w="999" w:type="dxa"/>
            <w:vMerge w:val="continue"/>
          </w:tcPr>
          <w:p>
            <w:pPr>
              <w:spacing w:line="240" w:lineRule="atLeast"/>
              <w:jc w:val="center"/>
              <w:rPr>
                <w:rFonts w:eastAsia="仿宋_GB2312" w:cs="仿宋"/>
                <w:bCs/>
                <w:szCs w:val="21"/>
              </w:rPr>
            </w:pPr>
          </w:p>
        </w:tc>
        <w:tc>
          <w:tcPr>
            <w:tcW w:w="709" w:type="dxa"/>
            <w:vAlign w:val="center"/>
          </w:tcPr>
          <w:p>
            <w:pPr>
              <w:widowControl/>
              <w:jc w:val="center"/>
              <w:rPr>
                <w:rFonts w:eastAsia="仿宋_GB2312" w:cs="宋体"/>
                <w:bCs/>
                <w:kern w:val="0"/>
                <w:szCs w:val="21"/>
              </w:rPr>
            </w:pPr>
            <w:r>
              <w:rPr>
                <w:rFonts w:hint="eastAsia" w:eastAsia="仿宋_GB2312" w:cs="宋体"/>
                <w:bCs/>
                <w:kern w:val="0"/>
                <w:szCs w:val="21"/>
              </w:rPr>
              <w:t>5</w:t>
            </w:r>
          </w:p>
        </w:tc>
        <w:tc>
          <w:tcPr>
            <w:tcW w:w="836" w:type="dxa"/>
            <w:vAlign w:val="center"/>
          </w:tcPr>
          <w:p>
            <w:pPr>
              <w:spacing w:line="240" w:lineRule="atLeast"/>
              <w:jc w:val="center"/>
              <w:rPr>
                <w:rFonts w:eastAsia="仿宋_GB2312" w:cs="仿宋"/>
                <w:bCs/>
                <w:szCs w:val="21"/>
              </w:rPr>
            </w:pPr>
            <w:r>
              <w:rPr>
                <w:rFonts w:hint="eastAsia" w:eastAsia="仿宋_GB2312" w:cs="仿宋"/>
                <w:bCs/>
                <w:szCs w:val="21"/>
              </w:rPr>
              <w:t>24.18</w:t>
            </w:r>
          </w:p>
        </w:tc>
        <w:tc>
          <w:tcPr>
            <w:tcW w:w="865" w:type="dxa"/>
            <w:vAlign w:val="center"/>
          </w:tcPr>
          <w:p>
            <w:pPr>
              <w:spacing w:line="240" w:lineRule="atLeast"/>
              <w:jc w:val="center"/>
              <w:rPr>
                <w:rFonts w:eastAsia="仿宋_GB2312" w:cs="仿宋"/>
                <w:bCs/>
                <w:szCs w:val="21"/>
              </w:rPr>
            </w:pPr>
            <w:r>
              <w:rPr>
                <w:rFonts w:hint="eastAsia" w:eastAsia="仿宋_GB2312" w:cs="仿宋"/>
                <w:bCs/>
                <w:szCs w:val="21"/>
              </w:rPr>
              <w:t>110.39</w:t>
            </w:r>
          </w:p>
        </w:tc>
        <w:tc>
          <w:tcPr>
            <w:tcW w:w="567" w:type="dxa"/>
            <w:vAlign w:val="center"/>
          </w:tcPr>
          <w:p>
            <w:pPr>
              <w:jc w:val="center"/>
            </w:pPr>
            <w:r>
              <w:rPr>
                <w:rFonts w:hint="eastAsia" w:eastAsia="仿宋_GB2312" w:cs="仿宋"/>
                <w:bCs/>
                <w:szCs w:val="21"/>
              </w:rPr>
              <w:t>0</w:t>
            </w:r>
          </w:p>
        </w:tc>
        <w:tc>
          <w:tcPr>
            <w:tcW w:w="709" w:type="dxa"/>
            <w:vMerge w:val="continue"/>
          </w:tcPr>
          <w:p>
            <w:pPr>
              <w:spacing w:line="240" w:lineRule="atLeast"/>
              <w:jc w:val="center"/>
              <w:rPr>
                <w:rFonts w:eastAsia="仿宋_GB2312" w:cs="仿宋"/>
                <w:bCs/>
                <w:szCs w:val="21"/>
              </w:rPr>
            </w:pPr>
          </w:p>
        </w:tc>
        <w:tc>
          <w:tcPr>
            <w:tcW w:w="608" w:type="dxa"/>
            <w:vMerge w:val="continue"/>
          </w:tcPr>
          <w:p>
            <w:pPr>
              <w:spacing w:line="240" w:lineRule="atLeast"/>
              <w:jc w:val="center"/>
              <w:rPr>
                <w:rFonts w:eastAsia="仿宋_GB2312" w:cs="仿宋"/>
                <w:bCs/>
                <w:szCs w:val="21"/>
              </w:rPr>
            </w:pPr>
          </w:p>
        </w:tc>
      </w:tr>
    </w:tbl>
    <w:p>
      <w:pPr>
        <w:spacing w:line="500" w:lineRule="exact"/>
        <w:ind w:firstLine="482" w:firstLineChars="200"/>
        <w:jc w:val="center"/>
        <w:rPr>
          <w:rFonts w:eastAsia="仿宋_GB2312"/>
          <w:b/>
          <w:bCs/>
          <w:sz w:val="24"/>
        </w:rPr>
      </w:pPr>
      <w:r>
        <w:rPr>
          <w:rFonts w:eastAsia="仿宋_GB2312"/>
          <w:b/>
          <w:bCs/>
          <w:sz w:val="24"/>
        </w:rPr>
        <w:t xml:space="preserve">表3.2-10   </w:t>
      </w:r>
      <w:r>
        <w:rPr>
          <w:rFonts w:hint="eastAsia" w:eastAsia="仿宋_GB2312"/>
          <w:b/>
          <w:bCs/>
          <w:sz w:val="24"/>
        </w:rPr>
        <w:t>工业</w:t>
      </w:r>
      <w:r>
        <w:rPr>
          <w:rFonts w:eastAsia="仿宋_GB2312"/>
          <w:b/>
          <w:bCs/>
          <w:sz w:val="24"/>
        </w:rPr>
        <w:t>企业</w:t>
      </w:r>
      <w:r>
        <w:rPr>
          <w:rFonts w:hint="eastAsia" w:eastAsia="仿宋_GB2312"/>
          <w:b/>
          <w:bCs/>
          <w:sz w:val="24"/>
        </w:rPr>
        <w:t>噪声源强调查</w:t>
      </w:r>
      <w:r>
        <w:rPr>
          <w:rFonts w:eastAsia="仿宋_GB2312"/>
          <w:b/>
          <w:bCs/>
          <w:sz w:val="24"/>
        </w:rPr>
        <w:t>清单</w:t>
      </w:r>
      <w:r>
        <w:rPr>
          <w:rFonts w:hint="eastAsia" w:eastAsia="仿宋_GB2312"/>
          <w:b/>
          <w:bCs/>
          <w:sz w:val="24"/>
        </w:rPr>
        <w:t>（室外</w:t>
      </w:r>
      <w:r>
        <w:rPr>
          <w:rFonts w:eastAsia="仿宋_GB2312"/>
          <w:b/>
          <w:bCs/>
          <w:sz w:val="24"/>
        </w:rPr>
        <w:t>声源</w:t>
      </w:r>
      <w:r>
        <w:rPr>
          <w:rFonts w:hint="eastAsia" w:eastAsia="仿宋_GB2312"/>
          <w:b/>
          <w:bCs/>
          <w:sz w:val="24"/>
        </w:rPr>
        <w:t>）</w:t>
      </w:r>
    </w:p>
    <w:tbl>
      <w:tblPr>
        <w:tblStyle w:val="88"/>
        <w:tblW w:w="96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
        <w:gridCol w:w="1748"/>
        <w:gridCol w:w="997"/>
        <w:gridCol w:w="902"/>
        <w:gridCol w:w="902"/>
        <w:gridCol w:w="877"/>
        <w:gridCol w:w="863"/>
        <w:gridCol w:w="1209"/>
        <w:gridCol w:w="820"/>
        <w:gridCol w:w="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492" w:type="dxa"/>
            <w:vMerge w:val="restart"/>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序号</w:t>
            </w:r>
          </w:p>
        </w:tc>
        <w:tc>
          <w:tcPr>
            <w:tcW w:w="1748" w:type="dxa"/>
            <w:vMerge w:val="restart"/>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声</w:t>
            </w:r>
            <w:r>
              <w:rPr>
                <w:rFonts w:ascii="仿宋" w:hAnsi="仿宋" w:eastAsia="仿宋" w:cs="仿宋"/>
                <w:bCs/>
                <w:szCs w:val="21"/>
              </w:rPr>
              <w:t>源名称</w:t>
            </w:r>
          </w:p>
        </w:tc>
        <w:tc>
          <w:tcPr>
            <w:tcW w:w="997" w:type="dxa"/>
            <w:vMerge w:val="restart"/>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数量（台/套）</w:t>
            </w:r>
          </w:p>
        </w:tc>
        <w:tc>
          <w:tcPr>
            <w:tcW w:w="2681" w:type="dxa"/>
            <w:gridSpan w:val="3"/>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空间</w:t>
            </w:r>
            <w:r>
              <w:rPr>
                <w:rFonts w:ascii="仿宋" w:hAnsi="仿宋" w:eastAsia="仿宋" w:cs="仿宋"/>
                <w:bCs/>
                <w:szCs w:val="21"/>
              </w:rPr>
              <w:t>相对位置</w:t>
            </w:r>
            <w:r>
              <w:rPr>
                <w:rFonts w:hint="eastAsia" w:ascii="仿宋" w:hAnsi="仿宋" w:eastAsia="仿宋" w:cs="仿宋"/>
                <w:bCs/>
                <w:szCs w:val="21"/>
              </w:rPr>
              <w:t>/m</w:t>
            </w:r>
          </w:p>
        </w:tc>
        <w:tc>
          <w:tcPr>
            <w:tcW w:w="863" w:type="dxa"/>
            <w:vMerge w:val="restart"/>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声功率级/dB(</w:t>
            </w:r>
            <w:r>
              <w:rPr>
                <w:rFonts w:ascii="仿宋" w:hAnsi="仿宋" w:eastAsia="仿宋" w:cs="仿宋"/>
                <w:bCs/>
                <w:szCs w:val="21"/>
              </w:rPr>
              <w:t>A</w:t>
            </w:r>
            <w:r>
              <w:rPr>
                <w:rFonts w:hint="eastAsia" w:ascii="仿宋" w:hAnsi="仿宋" w:eastAsia="仿宋" w:cs="仿宋"/>
                <w:bCs/>
                <w:szCs w:val="21"/>
              </w:rPr>
              <w:t>)</w:t>
            </w:r>
          </w:p>
        </w:tc>
        <w:tc>
          <w:tcPr>
            <w:tcW w:w="1209" w:type="dxa"/>
            <w:vMerge w:val="restart"/>
          </w:tcPr>
          <w:p>
            <w:pPr>
              <w:spacing w:line="240" w:lineRule="atLeast"/>
              <w:jc w:val="center"/>
              <w:rPr>
                <w:rFonts w:ascii="仿宋" w:hAnsi="仿宋" w:eastAsia="仿宋" w:cs="仿宋"/>
                <w:bCs/>
                <w:szCs w:val="21"/>
              </w:rPr>
            </w:pPr>
            <w:r>
              <w:rPr>
                <w:rFonts w:hint="eastAsia" w:ascii="仿宋" w:hAnsi="仿宋" w:eastAsia="仿宋" w:cs="仿宋"/>
                <w:bCs/>
                <w:szCs w:val="21"/>
              </w:rPr>
              <w:t>同类</w:t>
            </w:r>
            <w:r>
              <w:rPr>
                <w:rFonts w:ascii="仿宋" w:hAnsi="仿宋" w:eastAsia="仿宋" w:cs="仿宋"/>
                <w:bCs/>
                <w:szCs w:val="21"/>
              </w:rPr>
              <w:t>设备叠加</w:t>
            </w:r>
            <w:r>
              <w:rPr>
                <w:rFonts w:hint="eastAsia" w:ascii="仿宋" w:hAnsi="仿宋" w:eastAsia="仿宋" w:cs="仿宋"/>
                <w:bCs/>
                <w:szCs w:val="21"/>
              </w:rPr>
              <w:t>声功率级/dB(</w:t>
            </w:r>
            <w:r>
              <w:rPr>
                <w:rFonts w:ascii="仿宋" w:hAnsi="仿宋" w:eastAsia="仿宋" w:cs="仿宋"/>
                <w:bCs/>
                <w:szCs w:val="21"/>
              </w:rPr>
              <w:t>A</w:t>
            </w:r>
            <w:r>
              <w:rPr>
                <w:rFonts w:hint="eastAsia" w:ascii="仿宋" w:hAnsi="仿宋" w:eastAsia="仿宋" w:cs="仿宋"/>
                <w:bCs/>
                <w:szCs w:val="21"/>
              </w:rPr>
              <w:t>)</w:t>
            </w:r>
          </w:p>
        </w:tc>
        <w:tc>
          <w:tcPr>
            <w:tcW w:w="820" w:type="dxa"/>
            <w:vMerge w:val="restart"/>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声</w:t>
            </w:r>
            <w:r>
              <w:rPr>
                <w:rFonts w:ascii="仿宋" w:hAnsi="仿宋" w:eastAsia="仿宋" w:cs="仿宋"/>
                <w:bCs/>
                <w:szCs w:val="21"/>
              </w:rPr>
              <w:t>源控制措施</w:t>
            </w:r>
          </w:p>
        </w:tc>
        <w:tc>
          <w:tcPr>
            <w:tcW w:w="856" w:type="dxa"/>
            <w:vMerge w:val="restart"/>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运行</w:t>
            </w:r>
            <w:r>
              <w:rPr>
                <w:rFonts w:ascii="仿宋" w:hAnsi="仿宋" w:eastAsia="仿宋" w:cs="仿宋"/>
                <w:bCs/>
                <w:szCs w:val="21"/>
              </w:rPr>
              <w:t>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492" w:type="dxa"/>
            <w:vMerge w:val="continue"/>
          </w:tcPr>
          <w:p>
            <w:pPr>
              <w:pStyle w:val="33"/>
              <w:rPr>
                <w:rFonts w:ascii="仿宋" w:hAnsi="仿宋" w:eastAsia="仿宋"/>
              </w:rPr>
            </w:pPr>
          </w:p>
        </w:tc>
        <w:tc>
          <w:tcPr>
            <w:tcW w:w="1748" w:type="dxa"/>
            <w:vMerge w:val="continue"/>
          </w:tcPr>
          <w:p>
            <w:pPr>
              <w:pStyle w:val="33"/>
              <w:rPr>
                <w:rFonts w:ascii="仿宋" w:hAnsi="仿宋" w:eastAsia="仿宋" w:cs="仿宋"/>
                <w:bCs/>
                <w:szCs w:val="21"/>
              </w:rPr>
            </w:pPr>
          </w:p>
        </w:tc>
        <w:tc>
          <w:tcPr>
            <w:tcW w:w="997" w:type="dxa"/>
            <w:vMerge w:val="continue"/>
          </w:tcPr>
          <w:p>
            <w:pPr>
              <w:spacing w:line="240" w:lineRule="atLeast"/>
              <w:jc w:val="center"/>
              <w:rPr>
                <w:rFonts w:ascii="仿宋" w:hAnsi="仿宋" w:eastAsia="仿宋" w:cs="仿宋"/>
                <w:bCs/>
                <w:szCs w:val="21"/>
              </w:rPr>
            </w:pPr>
          </w:p>
        </w:tc>
        <w:tc>
          <w:tcPr>
            <w:tcW w:w="902" w:type="dxa"/>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X</w:t>
            </w:r>
          </w:p>
        </w:tc>
        <w:tc>
          <w:tcPr>
            <w:tcW w:w="902" w:type="dxa"/>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Y</w:t>
            </w:r>
          </w:p>
        </w:tc>
        <w:tc>
          <w:tcPr>
            <w:tcW w:w="877" w:type="dxa"/>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Z</w:t>
            </w:r>
          </w:p>
        </w:tc>
        <w:tc>
          <w:tcPr>
            <w:tcW w:w="863" w:type="dxa"/>
            <w:vMerge w:val="continue"/>
          </w:tcPr>
          <w:p>
            <w:pPr>
              <w:pStyle w:val="33"/>
              <w:rPr>
                <w:rFonts w:ascii="仿宋" w:hAnsi="仿宋" w:eastAsia="仿宋"/>
              </w:rPr>
            </w:pPr>
          </w:p>
        </w:tc>
        <w:tc>
          <w:tcPr>
            <w:tcW w:w="1209" w:type="dxa"/>
            <w:vMerge w:val="continue"/>
          </w:tcPr>
          <w:p>
            <w:pPr>
              <w:pStyle w:val="33"/>
              <w:rPr>
                <w:rFonts w:ascii="仿宋" w:hAnsi="仿宋" w:eastAsia="仿宋"/>
              </w:rPr>
            </w:pPr>
          </w:p>
        </w:tc>
        <w:tc>
          <w:tcPr>
            <w:tcW w:w="820" w:type="dxa"/>
            <w:vMerge w:val="continue"/>
          </w:tcPr>
          <w:p>
            <w:pPr>
              <w:pStyle w:val="33"/>
              <w:rPr>
                <w:rFonts w:ascii="仿宋" w:hAnsi="仿宋" w:eastAsia="仿宋"/>
              </w:rPr>
            </w:pPr>
          </w:p>
        </w:tc>
        <w:tc>
          <w:tcPr>
            <w:tcW w:w="856" w:type="dxa"/>
            <w:vMerge w:val="continue"/>
          </w:tcPr>
          <w:p>
            <w:pPr>
              <w:pStyle w:val="33"/>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492" w:type="dxa"/>
            <w:vAlign w:val="center"/>
          </w:tcPr>
          <w:p>
            <w:pPr>
              <w:widowControl/>
              <w:jc w:val="center"/>
              <w:rPr>
                <w:rFonts w:ascii="仿宋" w:hAnsi="仿宋" w:eastAsia="仿宋" w:cs="宋体"/>
                <w:bCs/>
                <w:kern w:val="0"/>
                <w:szCs w:val="21"/>
              </w:rPr>
            </w:pPr>
            <w:r>
              <w:rPr>
                <w:rFonts w:hint="eastAsia" w:ascii="仿宋" w:hAnsi="仿宋" w:eastAsia="仿宋" w:cs="宋体"/>
                <w:bCs/>
                <w:kern w:val="0"/>
                <w:szCs w:val="21"/>
              </w:rPr>
              <w:t>1</w:t>
            </w:r>
          </w:p>
        </w:tc>
        <w:tc>
          <w:tcPr>
            <w:tcW w:w="1748" w:type="dxa"/>
            <w:vAlign w:val="center"/>
          </w:tcPr>
          <w:p>
            <w:pPr>
              <w:widowControl/>
              <w:jc w:val="center"/>
              <w:rPr>
                <w:rFonts w:ascii="仿宋" w:hAnsi="仿宋" w:eastAsia="仿宋" w:cs="宋体"/>
                <w:bCs/>
                <w:kern w:val="0"/>
                <w:szCs w:val="21"/>
              </w:rPr>
            </w:pPr>
            <w:r>
              <w:rPr>
                <w:rFonts w:hint="eastAsia" w:ascii="仿宋" w:hAnsi="仿宋" w:eastAsia="仿宋" w:cs="宋体"/>
                <w:bCs/>
                <w:kern w:val="0"/>
                <w:szCs w:val="21"/>
              </w:rPr>
              <w:t>空压机</w:t>
            </w:r>
          </w:p>
        </w:tc>
        <w:tc>
          <w:tcPr>
            <w:tcW w:w="997" w:type="dxa"/>
            <w:vAlign w:val="center"/>
          </w:tcPr>
          <w:p>
            <w:pPr>
              <w:widowControl/>
              <w:jc w:val="center"/>
              <w:rPr>
                <w:rFonts w:ascii="仿宋" w:hAnsi="仿宋" w:eastAsia="仿宋" w:cs="宋体"/>
                <w:bCs/>
                <w:kern w:val="0"/>
                <w:szCs w:val="21"/>
              </w:rPr>
            </w:pPr>
            <w:r>
              <w:rPr>
                <w:rFonts w:hint="eastAsia" w:ascii="仿宋" w:hAnsi="仿宋" w:eastAsia="仿宋" w:cs="宋体"/>
                <w:bCs/>
                <w:kern w:val="0"/>
                <w:szCs w:val="21"/>
              </w:rPr>
              <w:t>1</w:t>
            </w:r>
          </w:p>
        </w:tc>
        <w:tc>
          <w:tcPr>
            <w:tcW w:w="902" w:type="dxa"/>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123</w:t>
            </w:r>
            <w:r>
              <w:rPr>
                <w:rFonts w:ascii="仿宋" w:hAnsi="仿宋" w:eastAsia="仿宋" w:cs="仿宋"/>
                <w:bCs/>
                <w:szCs w:val="21"/>
              </w:rPr>
              <w:t>.22</w:t>
            </w:r>
          </w:p>
        </w:tc>
        <w:tc>
          <w:tcPr>
            <w:tcW w:w="902" w:type="dxa"/>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91</w:t>
            </w:r>
          </w:p>
        </w:tc>
        <w:tc>
          <w:tcPr>
            <w:tcW w:w="877" w:type="dxa"/>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0</w:t>
            </w:r>
          </w:p>
        </w:tc>
        <w:tc>
          <w:tcPr>
            <w:tcW w:w="863" w:type="dxa"/>
            <w:vAlign w:val="center"/>
          </w:tcPr>
          <w:p>
            <w:pPr>
              <w:widowControl/>
              <w:jc w:val="center"/>
              <w:textAlignment w:val="center"/>
              <w:rPr>
                <w:rFonts w:ascii="仿宋" w:hAnsi="仿宋" w:eastAsia="仿宋" w:cs="仿宋"/>
                <w:sz w:val="20"/>
                <w:szCs w:val="20"/>
              </w:rPr>
            </w:pPr>
            <w:r>
              <w:rPr>
                <w:rFonts w:hint="eastAsia" w:ascii="仿宋" w:hAnsi="仿宋" w:eastAsia="仿宋" w:cs="仿宋"/>
                <w:sz w:val="20"/>
                <w:szCs w:val="20"/>
              </w:rPr>
              <w:t>80</w:t>
            </w:r>
          </w:p>
        </w:tc>
        <w:tc>
          <w:tcPr>
            <w:tcW w:w="1209" w:type="dxa"/>
            <w:vAlign w:val="center"/>
          </w:tcPr>
          <w:p>
            <w:pPr>
              <w:widowControl/>
              <w:jc w:val="center"/>
              <w:textAlignment w:val="center"/>
              <w:rPr>
                <w:rFonts w:ascii="仿宋" w:hAnsi="仿宋" w:eastAsia="仿宋" w:cs="仿宋"/>
                <w:sz w:val="20"/>
                <w:szCs w:val="20"/>
              </w:rPr>
            </w:pPr>
            <w:r>
              <w:rPr>
                <w:rFonts w:hint="eastAsia" w:ascii="仿宋" w:hAnsi="仿宋" w:eastAsia="仿宋" w:cs="仿宋"/>
                <w:sz w:val="20"/>
                <w:szCs w:val="20"/>
              </w:rPr>
              <w:t>80</w:t>
            </w:r>
          </w:p>
        </w:tc>
        <w:tc>
          <w:tcPr>
            <w:tcW w:w="820" w:type="dxa"/>
            <w:vMerge w:val="restart"/>
            <w:vAlign w:val="center"/>
          </w:tcPr>
          <w:p>
            <w:pPr>
              <w:spacing w:line="240" w:lineRule="atLeast"/>
              <w:jc w:val="center"/>
              <w:rPr>
                <w:rFonts w:ascii="仿宋" w:hAnsi="仿宋" w:eastAsia="仿宋" w:cs="仿宋"/>
                <w:bCs/>
                <w:szCs w:val="21"/>
              </w:rPr>
            </w:pPr>
            <w:r>
              <w:rPr>
                <w:rFonts w:ascii="仿宋" w:hAnsi="仿宋" w:eastAsia="仿宋"/>
                <w:kern w:val="0"/>
                <w:szCs w:val="21"/>
              </w:rPr>
              <w:t>风机设置消音器、安装减震垫</w:t>
            </w:r>
          </w:p>
        </w:tc>
        <w:tc>
          <w:tcPr>
            <w:tcW w:w="856" w:type="dxa"/>
            <w:vMerge w:val="restart"/>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间歇</w:t>
            </w:r>
            <w:r>
              <w:rPr>
                <w:rFonts w:ascii="仿宋" w:hAnsi="仿宋" w:eastAsia="仿宋" w:cs="仿宋"/>
                <w:bCs/>
                <w:szCs w:val="21"/>
              </w:rPr>
              <w:t>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492" w:type="dxa"/>
            <w:vAlign w:val="center"/>
          </w:tcPr>
          <w:p>
            <w:pPr>
              <w:widowControl/>
              <w:jc w:val="center"/>
              <w:rPr>
                <w:rFonts w:ascii="仿宋" w:hAnsi="仿宋" w:eastAsia="仿宋" w:cs="宋体"/>
                <w:bCs/>
                <w:kern w:val="0"/>
                <w:szCs w:val="21"/>
              </w:rPr>
            </w:pPr>
            <w:r>
              <w:rPr>
                <w:rFonts w:ascii="仿宋" w:hAnsi="仿宋" w:eastAsia="仿宋" w:cs="宋体"/>
                <w:bCs/>
                <w:kern w:val="0"/>
                <w:szCs w:val="21"/>
              </w:rPr>
              <w:t>1</w:t>
            </w:r>
          </w:p>
        </w:tc>
        <w:tc>
          <w:tcPr>
            <w:tcW w:w="1748" w:type="dxa"/>
            <w:vAlign w:val="center"/>
          </w:tcPr>
          <w:p>
            <w:pPr>
              <w:widowControl/>
              <w:jc w:val="center"/>
              <w:rPr>
                <w:rFonts w:ascii="仿宋" w:hAnsi="仿宋" w:eastAsia="仿宋" w:cs="宋体"/>
                <w:bCs/>
                <w:kern w:val="0"/>
                <w:szCs w:val="21"/>
              </w:rPr>
            </w:pPr>
            <w:r>
              <w:rPr>
                <w:rFonts w:hint="eastAsia" w:ascii="仿宋" w:hAnsi="仿宋" w:eastAsia="仿宋" w:cs="宋体"/>
                <w:bCs/>
                <w:kern w:val="0"/>
                <w:szCs w:val="21"/>
              </w:rPr>
              <w:t>RTO装置配套风机</w:t>
            </w:r>
          </w:p>
        </w:tc>
        <w:tc>
          <w:tcPr>
            <w:tcW w:w="997" w:type="dxa"/>
            <w:vAlign w:val="center"/>
          </w:tcPr>
          <w:p>
            <w:pPr>
              <w:spacing w:line="240" w:lineRule="atLeast"/>
              <w:jc w:val="center"/>
              <w:rPr>
                <w:rFonts w:ascii="仿宋" w:hAnsi="仿宋" w:eastAsia="仿宋" w:cs="仿宋"/>
                <w:szCs w:val="21"/>
              </w:rPr>
            </w:pPr>
            <w:r>
              <w:rPr>
                <w:rFonts w:hint="eastAsia" w:ascii="仿宋" w:hAnsi="仿宋" w:eastAsia="仿宋" w:cs="仿宋"/>
                <w:szCs w:val="21"/>
              </w:rPr>
              <w:t>1</w:t>
            </w:r>
          </w:p>
        </w:tc>
        <w:tc>
          <w:tcPr>
            <w:tcW w:w="902" w:type="dxa"/>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116.41</w:t>
            </w:r>
          </w:p>
        </w:tc>
        <w:tc>
          <w:tcPr>
            <w:tcW w:w="902" w:type="dxa"/>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122.96</w:t>
            </w:r>
          </w:p>
        </w:tc>
        <w:tc>
          <w:tcPr>
            <w:tcW w:w="877" w:type="dxa"/>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0</w:t>
            </w:r>
          </w:p>
        </w:tc>
        <w:tc>
          <w:tcPr>
            <w:tcW w:w="863" w:type="dxa"/>
            <w:vAlign w:val="center"/>
          </w:tcPr>
          <w:p>
            <w:pPr>
              <w:widowControl/>
              <w:jc w:val="center"/>
              <w:textAlignment w:val="center"/>
              <w:rPr>
                <w:rFonts w:ascii="仿宋" w:hAnsi="仿宋" w:eastAsia="仿宋" w:cs="仿宋"/>
                <w:sz w:val="20"/>
                <w:szCs w:val="20"/>
              </w:rPr>
            </w:pPr>
            <w:r>
              <w:rPr>
                <w:rFonts w:hint="eastAsia" w:ascii="仿宋" w:hAnsi="仿宋" w:eastAsia="仿宋" w:cs="仿宋"/>
                <w:sz w:val="20"/>
                <w:szCs w:val="20"/>
              </w:rPr>
              <w:t>85</w:t>
            </w:r>
          </w:p>
        </w:tc>
        <w:tc>
          <w:tcPr>
            <w:tcW w:w="1209" w:type="dxa"/>
            <w:vAlign w:val="center"/>
          </w:tcPr>
          <w:p>
            <w:pPr>
              <w:widowControl/>
              <w:jc w:val="center"/>
              <w:textAlignment w:val="center"/>
              <w:rPr>
                <w:rFonts w:ascii="仿宋" w:hAnsi="仿宋" w:eastAsia="仿宋" w:cs="仿宋"/>
                <w:sz w:val="20"/>
                <w:szCs w:val="20"/>
              </w:rPr>
            </w:pPr>
            <w:r>
              <w:rPr>
                <w:rFonts w:hint="eastAsia" w:ascii="仿宋" w:hAnsi="仿宋" w:eastAsia="仿宋" w:cs="仿宋"/>
                <w:sz w:val="20"/>
                <w:szCs w:val="20"/>
              </w:rPr>
              <w:t>85</w:t>
            </w:r>
          </w:p>
        </w:tc>
        <w:tc>
          <w:tcPr>
            <w:tcW w:w="820" w:type="dxa"/>
            <w:vMerge w:val="continue"/>
          </w:tcPr>
          <w:p>
            <w:pPr>
              <w:pStyle w:val="33"/>
              <w:rPr>
                <w:rFonts w:ascii="仿宋" w:hAnsi="仿宋" w:eastAsia="仿宋"/>
              </w:rPr>
            </w:pPr>
          </w:p>
        </w:tc>
        <w:tc>
          <w:tcPr>
            <w:tcW w:w="856" w:type="dxa"/>
            <w:vMerge w:val="continue"/>
          </w:tcPr>
          <w:p>
            <w:pPr>
              <w:pStyle w:val="33"/>
              <w:rPr>
                <w:rFonts w:ascii="仿宋" w:hAnsi="仿宋" w:eastAsia="仿宋"/>
              </w:rPr>
            </w:pPr>
          </w:p>
        </w:tc>
      </w:tr>
    </w:tbl>
    <w:p>
      <w:pPr>
        <w:jc w:val="left"/>
        <w:rPr>
          <w:rFonts w:eastAsia="仿宋_GB2312"/>
          <w:b/>
          <w:szCs w:val="21"/>
        </w:rPr>
      </w:pPr>
      <w:r>
        <w:rPr>
          <w:rFonts w:eastAsia="仿宋_GB2312"/>
          <w:b/>
          <w:szCs w:val="21"/>
        </w:rPr>
        <w:t>表中坐标以厂界中心（119.8187027,31.7935715）为坐标原点，正东向为X轴正方向，正北向为Y轴正方向</w:t>
      </w:r>
    </w:p>
    <w:p>
      <w:pPr>
        <w:pStyle w:val="5"/>
        <w:keepLines w:val="0"/>
        <w:widowControl/>
        <w:tabs>
          <w:tab w:val="left" w:pos="993"/>
        </w:tabs>
        <w:adjustRightInd w:val="0"/>
        <w:snapToGrid w:val="0"/>
        <w:spacing w:after="120" w:afterLines="50"/>
        <w:jc w:val="left"/>
        <w:rPr>
          <w:rFonts w:ascii="Times New Roman" w:hAnsi="Times New Roman"/>
          <w:b/>
        </w:rPr>
      </w:pPr>
      <w:r>
        <w:rPr>
          <w:rFonts w:hint="eastAsia" w:ascii="Times New Roman" w:hAnsi="Times New Roman"/>
          <w:b/>
        </w:rPr>
        <w:t>3.3.2.4</w:t>
      </w:r>
      <w:r>
        <w:rPr>
          <w:rFonts w:ascii="Times New Roman" w:hAnsi="Times New Roman"/>
          <w:b/>
        </w:rPr>
        <w:t>固体废物源强</w:t>
      </w:r>
    </w:p>
    <w:p>
      <w:pPr>
        <w:spacing w:line="500" w:lineRule="exact"/>
        <w:ind w:firstLine="560" w:firstLineChars="200"/>
        <w:rPr>
          <w:rFonts w:eastAsia="仿宋_GB2312"/>
          <w:sz w:val="28"/>
          <w:szCs w:val="28"/>
        </w:rPr>
      </w:pPr>
      <w:r>
        <w:rPr>
          <w:rFonts w:eastAsia="仿宋_GB2312"/>
          <w:sz w:val="28"/>
          <w:szCs w:val="28"/>
        </w:rPr>
        <w:t>按照《</w:t>
      </w:r>
      <w:r>
        <w:rPr>
          <w:rFonts w:hint="eastAsia" w:eastAsia="仿宋_GB2312"/>
          <w:sz w:val="28"/>
          <w:szCs w:val="28"/>
        </w:rPr>
        <w:t>建设项目危险废物环境影响评价指南</w:t>
      </w:r>
      <w:r>
        <w:rPr>
          <w:rFonts w:eastAsia="仿宋_GB2312"/>
          <w:sz w:val="28"/>
          <w:szCs w:val="28"/>
        </w:rPr>
        <w:t>》（</w:t>
      </w:r>
      <w:r>
        <w:rPr>
          <w:rFonts w:hint="eastAsia" w:eastAsia="仿宋_GB2312"/>
          <w:sz w:val="28"/>
          <w:szCs w:val="28"/>
        </w:rPr>
        <w:t>公告2</w:t>
      </w:r>
      <w:r>
        <w:rPr>
          <w:rFonts w:eastAsia="仿宋_GB2312"/>
          <w:sz w:val="28"/>
          <w:szCs w:val="28"/>
        </w:rPr>
        <w:t>017</w:t>
      </w:r>
      <w:r>
        <w:rPr>
          <w:rFonts w:hint="eastAsia" w:eastAsia="仿宋_GB2312"/>
          <w:sz w:val="28"/>
          <w:szCs w:val="28"/>
        </w:rPr>
        <w:t>年 第43号</w:t>
      </w:r>
      <w:r>
        <w:rPr>
          <w:rFonts w:eastAsia="仿宋_GB2312"/>
          <w:sz w:val="28"/>
          <w:szCs w:val="28"/>
        </w:rPr>
        <w:t>）要求，本项目固体废物源强及排放状况见下：</w:t>
      </w:r>
    </w:p>
    <w:p>
      <w:pPr>
        <w:spacing w:line="500" w:lineRule="exact"/>
        <w:ind w:firstLine="560" w:firstLineChars="200"/>
        <w:rPr>
          <w:rFonts w:eastAsia="仿宋_GB2312"/>
          <w:sz w:val="28"/>
          <w:szCs w:val="28"/>
        </w:rPr>
      </w:pPr>
      <w:r>
        <w:rPr>
          <w:rFonts w:hint="eastAsia" w:eastAsia="仿宋_GB2312"/>
          <w:sz w:val="28"/>
          <w:szCs w:val="28"/>
        </w:rPr>
        <w:t>1、生活</w:t>
      </w:r>
      <w:r>
        <w:rPr>
          <w:rFonts w:eastAsia="仿宋_GB2312"/>
          <w:sz w:val="28"/>
          <w:szCs w:val="28"/>
        </w:rPr>
        <w:t>垃圾</w:t>
      </w:r>
    </w:p>
    <w:p>
      <w:pPr>
        <w:spacing w:line="500" w:lineRule="exact"/>
        <w:ind w:firstLine="560" w:firstLineChars="200"/>
        <w:rPr>
          <w:rFonts w:eastAsia="仿宋_GB2312"/>
          <w:sz w:val="28"/>
          <w:szCs w:val="28"/>
        </w:rPr>
      </w:pPr>
      <w:r>
        <w:rPr>
          <w:rFonts w:eastAsia="仿宋_GB2312"/>
          <w:sz w:val="28"/>
          <w:szCs w:val="28"/>
        </w:rPr>
        <w:t>本项目建成后全厂共有员工</w:t>
      </w:r>
      <w:r>
        <w:rPr>
          <w:rFonts w:hint="eastAsia" w:eastAsia="仿宋_GB2312"/>
          <w:sz w:val="28"/>
          <w:szCs w:val="28"/>
        </w:rPr>
        <w:t>45</w:t>
      </w:r>
      <w:r>
        <w:rPr>
          <w:rFonts w:eastAsia="仿宋_GB2312"/>
          <w:sz w:val="28"/>
          <w:szCs w:val="28"/>
        </w:rPr>
        <w:t>人，按每人每天产生0.5kg，则全厂生活垃圾产生量共计</w:t>
      </w:r>
      <w:r>
        <w:rPr>
          <w:rFonts w:hint="eastAsia" w:eastAsia="仿宋_GB2312"/>
          <w:sz w:val="28"/>
          <w:szCs w:val="28"/>
        </w:rPr>
        <w:t>6.75</w:t>
      </w:r>
      <w:r>
        <w:rPr>
          <w:rFonts w:eastAsia="仿宋_GB2312"/>
          <w:sz w:val="28"/>
          <w:szCs w:val="28"/>
        </w:rPr>
        <w:t>t/a</w:t>
      </w:r>
      <w:r>
        <w:rPr>
          <w:rFonts w:hint="eastAsia" w:eastAsia="仿宋_GB2312"/>
          <w:sz w:val="28"/>
          <w:szCs w:val="28"/>
        </w:rPr>
        <w:t>。</w:t>
      </w:r>
    </w:p>
    <w:p>
      <w:pPr>
        <w:spacing w:line="500" w:lineRule="exact"/>
        <w:ind w:firstLine="560" w:firstLineChars="200"/>
        <w:rPr>
          <w:rFonts w:eastAsia="仿宋_GB2312"/>
          <w:sz w:val="28"/>
          <w:szCs w:val="28"/>
        </w:rPr>
      </w:pPr>
      <w:r>
        <w:rPr>
          <w:rFonts w:hint="eastAsia" w:eastAsia="仿宋_GB2312"/>
          <w:sz w:val="28"/>
          <w:szCs w:val="28"/>
        </w:rPr>
        <w:t>2、废胶水S1</w:t>
      </w:r>
    </w:p>
    <w:p>
      <w:pPr>
        <w:spacing w:line="500" w:lineRule="exact"/>
        <w:ind w:firstLine="560" w:firstLineChars="200"/>
        <w:rPr>
          <w:rFonts w:eastAsia="仿宋_GB2312"/>
          <w:sz w:val="28"/>
          <w:szCs w:val="28"/>
        </w:rPr>
      </w:pPr>
      <w:r>
        <w:rPr>
          <w:rFonts w:hint="eastAsia" w:eastAsia="仿宋_GB2312"/>
          <w:sz w:val="28"/>
          <w:szCs w:val="28"/>
        </w:rPr>
        <w:t>本项目胶水配料时会产生少量的配液余量，即废胶水，本项目胶水即配即用，每天施工前进行配置，每条线每天约产生</w:t>
      </w:r>
      <w:r>
        <w:rPr>
          <w:rFonts w:eastAsia="仿宋_GB2312"/>
          <w:sz w:val="28"/>
          <w:szCs w:val="28"/>
        </w:rPr>
        <w:t>4.08</w:t>
      </w:r>
      <w:r>
        <w:rPr>
          <w:rFonts w:hint="eastAsia" w:eastAsia="仿宋_GB2312"/>
          <w:sz w:val="28"/>
          <w:szCs w:val="28"/>
        </w:rPr>
        <w:t>kg废胶水，因此本项目3条线共产生废胶水3.672t/a，</w:t>
      </w:r>
      <w:r>
        <w:rPr>
          <w:rFonts w:eastAsia="仿宋_GB2312"/>
          <w:sz w:val="28"/>
          <w:szCs w:val="28"/>
        </w:rPr>
        <w:t>其中</w:t>
      </w:r>
      <w:r>
        <w:rPr>
          <w:rFonts w:hint="eastAsia" w:eastAsia="仿宋_GB2312"/>
          <w:sz w:val="28"/>
          <w:szCs w:val="28"/>
        </w:rPr>
        <w:t>挥发性</w:t>
      </w:r>
      <w:r>
        <w:rPr>
          <w:rFonts w:eastAsia="仿宋_GB2312"/>
          <w:sz w:val="28"/>
          <w:szCs w:val="28"/>
        </w:rPr>
        <w:t>物质</w:t>
      </w:r>
      <w:r>
        <w:rPr>
          <w:rFonts w:hint="eastAsia" w:eastAsia="仿宋_GB2312"/>
          <w:sz w:val="28"/>
          <w:szCs w:val="28"/>
        </w:rPr>
        <w:t>（51</w:t>
      </w:r>
      <w:r>
        <w:rPr>
          <w:rFonts w:eastAsia="仿宋_GB2312"/>
          <w:sz w:val="28"/>
          <w:szCs w:val="28"/>
        </w:rPr>
        <w:t>%</w:t>
      </w:r>
      <w:r>
        <w:rPr>
          <w:rFonts w:hint="eastAsia" w:eastAsia="仿宋_GB2312"/>
          <w:sz w:val="28"/>
          <w:szCs w:val="28"/>
        </w:rPr>
        <w:t>）</w:t>
      </w:r>
      <w:r>
        <w:rPr>
          <w:rFonts w:eastAsia="仿宋_GB2312"/>
          <w:sz w:val="28"/>
          <w:szCs w:val="28"/>
        </w:rPr>
        <w:t>在配胶时</w:t>
      </w:r>
      <w:r>
        <w:rPr>
          <w:rFonts w:hint="eastAsia" w:eastAsia="仿宋_GB2312"/>
          <w:sz w:val="28"/>
          <w:szCs w:val="28"/>
        </w:rPr>
        <w:t>挥发</w:t>
      </w:r>
      <w:r>
        <w:rPr>
          <w:rFonts w:eastAsia="仿宋_GB2312"/>
          <w:sz w:val="28"/>
          <w:szCs w:val="28"/>
        </w:rPr>
        <w:t>，因此</w:t>
      </w:r>
      <w:r>
        <w:rPr>
          <w:rFonts w:hint="eastAsia" w:eastAsia="仿宋_GB2312"/>
          <w:sz w:val="28"/>
          <w:szCs w:val="28"/>
        </w:rPr>
        <w:t>产生</w:t>
      </w:r>
      <w:r>
        <w:rPr>
          <w:rFonts w:eastAsia="仿宋_GB2312"/>
          <w:sz w:val="28"/>
          <w:szCs w:val="28"/>
        </w:rPr>
        <w:t>废</w:t>
      </w:r>
      <w:r>
        <w:rPr>
          <w:rFonts w:hint="eastAsia" w:eastAsia="仿宋_GB2312"/>
          <w:sz w:val="28"/>
          <w:szCs w:val="28"/>
        </w:rPr>
        <w:t>胶水1.8</w:t>
      </w:r>
      <w:r>
        <w:rPr>
          <w:rFonts w:eastAsia="仿宋_GB2312"/>
          <w:sz w:val="28"/>
          <w:szCs w:val="28"/>
        </w:rPr>
        <w:t>14t/a</w:t>
      </w:r>
      <w:r>
        <w:rPr>
          <w:rFonts w:hint="eastAsia" w:eastAsia="仿宋_GB2312"/>
          <w:sz w:val="28"/>
          <w:szCs w:val="28"/>
        </w:rPr>
        <w:t>。</w:t>
      </w:r>
    </w:p>
    <w:p>
      <w:pPr>
        <w:spacing w:line="500" w:lineRule="exact"/>
        <w:ind w:firstLine="560" w:firstLineChars="200"/>
        <w:rPr>
          <w:rFonts w:eastAsia="仿宋_GB2312"/>
          <w:sz w:val="28"/>
          <w:szCs w:val="28"/>
        </w:rPr>
      </w:pPr>
      <w:r>
        <w:rPr>
          <w:rFonts w:hint="eastAsia" w:eastAsia="仿宋_GB2312"/>
          <w:sz w:val="28"/>
          <w:szCs w:val="28"/>
        </w:rPr>
        <w:t>3、废清洗液S2</w:t>
      </w:r>
    </w:p>
    <w:p>
      <w:pPr>
        <w:spacing w:line="500" w:lineRule="exact"/>
        <w:ind w:firstLine="560" w:firstLineChars="200"/>
      </w:pPr>
      <w:r>
        <w:rPr>
          <w:rFonts w:hint="eastAsia" w:eastAsia="仿宋_GB2312"/>
          <w:sz w:val="28"/>
          <w:szCs w:val="28"/>
        </w:rPr>
        <w:t>本项目涂布干燥</w:t>
      </w:r>
      <w:r>
        <w:rPr>
          <w:rFonts w:eastAsia="仿宋_GB2312"/>
          <w:iCs/>
          <w:kern w:val="0"/>
          <w:sz w:val="28"/>
          <w:szCs w:val="28"/>
        </w:rPr>
        <w:t>线设备</w:t>
      </w:r>
      <w:r>
        <w:rPr>
          <w:rFonts w:hint="eastAsia" w:eastAsia="仿宋_GB2312"/>
          <w:iCs/>
          <w:kern w:val="0"/>
          <w:sz w:val="28"/>
          <w:szCs w:val="28"/>
        </w:rPr>
        <w:t>停产复工后进行清洗</w:t>
      </w:r>
      <w:r>
        <w:rPr>
          <w:rFonts w:eastAsia="仿宋_GB2312"/>
          <w:iCs/>
          <w:kern w:val="0"/>
          <w:sz w:val="28"/>
          <w:szCs w:val="28"/>
        </w:rPr>
        <w:t>，清洗使用</w:t>
      </w:r>
      <w:r>
        <w:rPr>
          <w:rFonts w:hint="eastAsia" w:eastAsia="仿宋_GB2312"/>
          <w:iCs/>
          <w:kern w:val="0"/>
          <w:sz w:val="28"/>
          <w:szCs w:val="28"/>
        </w:rPr>
        <w:t>胶粘剂</w:t>
      </w:r>
      <w:r>
        <w:rPr>
          <w:rFonts w:eastAsia="仿宋_GB2312"/>
          <w:iCs/>
          <w:kern w:val="0"/>
          <w:sz w:val="28"/>
          <w:szCs w:val="28"/>
        </w:rPr>
        <w:t>配料的溶剂</w:t>
      </w:r>
      <w:r>
        <w:rPr>
          <w:rFonts w:hint="eastAsia" w:eastAsia="仿宋_GB2312"/>
          <w:iCs/>
          <w:kern w:val="0"/>
          <w:sz w:val="28"/>
          <w:szCs w:val="28"/>
        </w:rPr>
        <w:t>乙酸乙酯，每年进行停产检修</w:t>
      </w:r>
      <w:r>
        <w:rPr>
          <w:rFonts w:eastAsia="仿宋_GB2312"/>
          <w:iCs/>
          <w:kern w:val="0"/>
          <w:sz w:val="28"/>
          <w:szCs w:val="28"/>
        </w:rPr>
        <w:t>5</w:t>
      </w:r>
      <w:r>
        <w:rPr>
          <w:rFonts w:hint="eastAsia" w:eastAsia="仿宋_GB2312"/>
          <w:iCs/>
          <w:kern w:val="0"/>
          <w:sz w:val="28"/>
          <w:szCs w:val="28"/>
        </w:rPr>
        <w:t>次</w:t>
      </w:r>
      <w:r>
        <w:rPr>
          <w:rFonts w:eastAsia="仿宋_GB2312"/>
          <w:sz w:val="28"/>
          <w:szCs w:val="28"/>
        </w:rPr>
        <w:t>，</w:t>
      </w:r>
      <w:r>
        <w:rPr>
          <w:rFonts w:hint="eastAsia" w:eastAsia="仿宋_GB2312"/>
          <w:sz w:val="28"/>
          <w:szCs w:val="28"/>
        </w:rPr>
        <w:t>每次使用乙酸乙酯溶剂</w:t>
      </w:r>
      <w:r>
        <w:rPr>
          <w:rFonts w:eastAsia="仿宋_GB2312"/>
          <w:sz w:val="28"/>
          <w:szCs w:val="28"/>
        </w:rPr>
        <w:t>0.758</w:t>
      </w:r>
      <w:r>
        <w:rPr>
          <w:rFonts w:hint="eastAsia" w:eastAsia="仿宋_GB2312"/>
          <w:sz w:val="28"/>
          <w:szCs w:val="28"/>
        </w:rPr>
        <w:t>t，清洗时产生部分挥发性物质，根据V</w:t>
      </w:r>
      <w:r>
        <w:rPr>
          <w:rFonts w:eastAsia="仿宋_GB2312"/>
          <w:sz w:val="28"/>
          <w:szCs w:val="28"/>
        </w:rPr>
        <w:t>OC</w:t>
      </w:r>
      <w:r>
        <w:rPr>
          <w:rFonts w:hint="eastAsia" w:eastAsia="仿宋_GB2312"/>
          <w:sz w:val="28"/>
          <w:szCs w:val="28"/>
        </w:rPr>
        <w:t>s平衡，</w:t>
      </w:r>
      <w:r>
        <w:rPr>
          <w:rFonts w:hint="eastAsia" w:eastAsia="仿宋_GB2312"/>
          <w:bCs/>
          <w:sz w:val="28"/>
          <w:szCs w:val="28"/>
        </w:rPr>
        <w:t>本项目</w:t>
      </w:r>
      <w:r>
        <w:rPr>
          <w:rFonts w:hint="eastAsia" w:eastAsia="仿宋_GB2312"/>
          <w:sz w:val="28"/>
          <w:szCs w:val="28"/>
        </w:rPr>
        <w:t>共</w:t>
      </w:r>
      <w:r>
        <w:rPr>
          <w:rFonts w:eastAsia="仿宋_GB2312"/>
          <w:sz w:val="28"/>
          <w:szCs w:val="28"/>
        </w:rPr>
        <w:t>产生</w:t>
      </w:r>
      <w:r>
        <w:rPr>
          <w:rFonts w:hint="eastAsia" w:eastAsia="仿宋_GB2312"/>
          <w:sz w:val="28"/>
          <w:szCs w:val="28"/>
        </w:rPr>
        <w:t>干燥复合线清洗</w:t>
      </w:r>
      <w:r>
        <w:rPr>
          <w:rFonts w:eastAsia="仿宋_GB2312"/>
          <w:sz w:val="28"/>
          <w:szCs w:val="28"/>
        </w:rPr>
        <w:t>废液</w:t>
      </w:r>
      <w:r>
        <w:rPr>
          <w:rFonts w:hint="eastAsia" w:eastAsia="仿宋_GB2312"/>
          <w:sz w:val="28"/>
          <w:szCs w:val="28"/>
        </w:rPr>
        <w:t>3.6</w:t>
      </w:r>
      <w:r>
        <w:rPr>
          <w:rFonts w:eastAsia="仿宋_GB2312"/>
          <w:sz w:val="28"/>
          <w:szCs w:val="28"/>
        </w:rPr>
        <w:t>t/a。</w:t>
      </w:r>
    </w:p>
    <w:p>
      <w:pPr>
        <w:numPr>
          <w:ilvl w:val="0"/>
          <w:numId w:val="11"/>
        </w:numPr>
        <w:spacing w:line="500" w:lineRule="exact"/>
        <w:ind w:firstLine="560" w:firstLineChars="200"/>
        <w:rPr>
          <w:rFonts w:eastAsia="仿宋_GB2312"/>
          <w:sz w:val="28"/>
          <w:szCs w:val="28"/>
        </w:rPr>
      </w:pPr>
      <w:r>
        <w:rPr>
          <w:rFonts w:hint="eastAsia" w:eastAsia="仿宋_GB2312"/>
          <w:sz w:val="28"/>
          <w:szCs w:val="28"/>
        </w:rPr>
        <w:t>废胶带S3</w:t>
      </w:r>
    </w:p>
    <w:p>
      <w:pPr>
        <w:spacing w:line="500" w:lineRule="exact"/>
        <w:ind w:firstLine="560" w:firstLineChars="200"/>
      </w:pPr>
      <w:r>
        <w:rPr>
          <w:rFonts w:hint="eastAsia" w:eastAsia="仿宋_GB2312"/>
          <w:sz w:val="28"/>
          <w:szCs w:val="28"/>
        </w:rPr>
        <w:t>本项目</w:t>
      </w:r>
      <w:r>
        <w:rPr>
          <w:rFonts w:eastAsia="仿宋_GB2312"/>
          <w:sz w:val="28"/>
          <w:szCs w:val="28"/>
        </w:rPr>
        <w:t>分条工序</w:t>
      </w:r>
      <w:r>
        <w:rPr>
          <w:rFonts w:hint="eastAsia" w:eastAsia="仿宋_GB2312"/>
          <w:sz w:val="28"/>
          <w:szCs w:val="28"/>
        </w:rPr>
        <w:t>切除</w:t>
      </w:r>
      <w:r>
        <w:rPr>
          <w:rFonts w:eastAsia="仿宋_GB2312"/>
          <w:sz w:val="28"/>
          <w:szCs w:val="28"/>
        </w:rPr>
        <w:t>缺陷部位</w:t>
      </w:r>
      <w:r>
        <w:rPr>
          <w:rFonts w:hint="eastAsia" w:eastAsia="仿宋_GB2312"/>
          <w:sz w:val="28"/>
          <w:szCs w:val="28"/>
        </w:rPr>
        <w:t>会产生边角料，根据企业提供</w:t>
      </w:r>
      <w:r>
        <w:rPr>
          <w:rFonts w:eastAsia="仿宋_GB2312"/>
          <w:sz w:val="28"/>
          <w:szCs w:val="28"/>
        </w:rPr>
        <w:t>的</w:t>
      </w:r>
      <w:r>
        <w:rPr>
          <w:rFonts w:hint="eastAsia" w:eastAsia="仿宋_GB2312"/>
          <w:sz w:val="28"/>
          <w:szCs w:val="28"/>
        </w:rPr>
        <w:t>产品技术参数，缺陷</w:t>
      </w:r>
      <w:r>
        <w:rPr>
          <w:rFonts w:eastAsia="仿宋_GB2312"/>
          <w:sz w:val="28"/>
          <w:szCs w:val="28"/>
        </w:rPr>
        <w:t>率约</w:t>
      </w:r>
      <w:r>
        <w:rPr>
          <w:rFonts w:hint="eastAsia" w:eastAsia="仿宋_GB2312"/>
          <w:sz w:val="28"/>
          <w:szCs w:val="28"/>
        </w:rPr>
        <w:t>为3</w:t>
      </w:r>
      <w:r>
        <w:rPr>
          <w:rFonts w:eastAsia="仿宋_GB2312"/>
          <w:sz w:val="28"/>
          <w:szCs w:val="28"/>
        </w:rPr>
        <w:t>%</w:t>
      </w:r>
      <w:r>
        <w:rPr>
          <w:rFonts w:hint="eastAsia" w:eastAsia="仿宋_GB2312"/>
          <w:sz w:val="28"/>
          <w:szCs w:val="28"/>
        </w:rPr>
        <w:t>。</w:t>
      </w:r>
      <w:r>
        <w:rPr>
          <w:rFonts w:eastAsia="仿宋_GB2312"/>
          <w:sz w:val="28"/>
          <w:szCs w:val="28"/>
        </w:rPr>
        <w:t>本项目</w:t>
      </w:r>
      <w:r>
        <w:rPr>
          <w:rFonts w:hint="eastAsia" w:eastAsia="仿宋_GB2312"/>
          <w:sz w:val="28"/>
          <w:szCs w:val="28"/>
        </w:rPr>
        <w:t>胶带总用量</w:t>
      </w:r>
      <w:r>
        <w:rPr>
          <w:rFonts w:eastAsia="仿宋_GB2312"/>
          <w:sz w:val="28"/>
          <w:szCs w:val="28"/>
        </w:rPr>
        <w:t>30</w:t>
      </w:r>
      <w:r>
        <w:rPr>
          <w:rFonts w:hint="eastAsia" w:eastAsia="仿宋_GB2312"/>
          <w:sz w:val="28"/>
          <w:szCs w:val="28"/>
        </w:rPr>
        <w:t>9</w:t>
      </w:r>
      <w:r>
        <w:rPr>
          <w:rFonts w:eastAsia="仿宋_GB2312"/>
          <w:sz w:val="28"/>
          <w:szCs w:val="28"/>
        </w:rPr>
        <w:t>0</w:t>
      </w:r>
      <w:r>
        <w:rPr>
          <w:rFonts w:hint="eastAsia" w:eastAsia="仿宋_GB2312"/>
          <w:sz w:val="28"/>
          <w:szCs w:val="28"/>
        </w:rPr>
        <w:t>万</w:t>
      </w:r>
      <w:r>
        <w:rPr>
          <w:rFonts w:eastAsia="仿宋_GB2312"/>
          <w:sz w:val="28"/>
          <w:szCs w:val="28"/>
        </w:rPr>
        <w:t>平方米</w:t>
      </w:r>
      <w:r>
        <w:rPr>
          <w:rFonts w:hint="eastAsia" w:eastAsia="仿宋_GB2312"/>
          <w:sz w:val="28"/>
          <w:szCs w:val="28"/>
        </w:rPr>
        <w:t>，则废胶带产生量9</w:t>
      </w:r>
      <w:r>
        <w:rPr>
          <w:rFonts w:eastAsia="仿宋_GB2312"/>
          <w:sz w:val="28"/>
          <w:szCs w:val="28"/>
        </w:rPr>
        <w:t>0</w:t>
      </w:r>
      <w:r>
        <w:rPr>
          <w:rFonts w:hint="eastAsia" w:eastAsia="仿宋_GB2312"/>
          <w:sz w:val="28"/>
          <w:szCs w:val="28"/>
        </w:rPr>
        <w:t>万平方米，废胶带中含有的胶水重</w:t>
      </w:r>
      <w:r>
        <w:rPr>
          <w:rFonts w:eastAsia="仿宋_GB2312"/>
          <w:sz w:val="28"/>
          <w:szCs w:val="28"/>
        </w:rPr>
        <w:t>21.8</w:t>
      </w:r>
      <w:r>
        <w:rPr>
          <w:rFonts w:hint="eastAsia" w:eastAsia="仿宋_GB2312"/>
          <w:sz w:val="28"/>
          <w:szCs w:val="28"/>
        </w:rPr>
        <w:t>吨，其中挥发性</w:t>
      </w:r>
      <w:r>
        <w:rPr>
          <w:rFonts w:eastAsia="仿宋_GB2312"/>
          <w:sz w:val="28"/>
          <w:szCs w:val="28"/>
        </w:rPr>
        <w:t>物质</w:t>
      </w:r>
      <w:r>
        <w:rPr>
          <w:rFonts w:hint="eastAsia" w:eastAsia="仿宋_GB2312"/>
          <w:sz w:val="28"/>
          <w:szCs w:val="28"/>
        </w:rPr>
        <w:t>（51</w:t>
      </w:r>
      <w:r>
        <w:rPr>
          <w:rFonts w:eastAsia="仿宋_GB2312"/>
          <w:sz w:val="28"/>
          <w:szCs w:val="28"/>
        </w:rPr>
        <w:t>%</w:t>
      </w:r>
      <w:r>
        <w:rPr>
          <w:rFonts w:hint="eastAsia" w:eastAsia="仿宋_GB2312"/>
          <w:sz w:val="28"/>
          <w:szCs w:val="28"/>
        </w:rPr>
        <w:t>）</w:t>
      </w:r>
      <w:r>
        <w:rPr>
          <w:rFonts w:eastAsia="仿宋_GB2312"/>
          <w:sz w:val="28"/>
          <w:szCs w:val="28"/>
        </w:rPr>
        <w:t>在</w:t>
      </w:r>
      <w:r>
        <w:rPr>
          <w:rFonts w:hint="eastAsia" w:eastAsia="仿宋_GB2312"/>
          <w:sz w:val="28"/>
          <w:szCs w:val="28"/>
        </w:rPr>
        <w:t>涂布</w:t>
      </w:r>
      <w:r>
        <w:rPr>
          <w:rFonts w:eastAsia="仿宋_GB2312"/>
          <w:sz w:val="28"/>
          <w:szCs w:val="28"/>
        </w:rPr>
        <w:t>干燥</w:t>
      </w:r>
      <w:r>
        <w:rPr>
          <w:rFonts w:hint="eastAsia" w:eastAsia="仿宋_GB2312"/>
          <w:sz w:val="28"/>
          <w:szCs w:val="28"/>
        </w:rPr>
        <w:t>时挥发</w:t>
      </w:r>
      <w:r>
        <w:rPr>
          <w:rFonts w:eastAsia="仿宋_GB2312"/>
          <w:sz w:val="28"/>
          <w:szCs w:val="28"/>
        </w:rPr>
        <w:t>，因此废胶带中胶水重10.5</w:t>
      </w:r>
      <w:r>
        <w:rPr>
          <w:rFonts w:hint="eastAsia" w:eastAsia="仿宋_GB2312"/>
          <w:sz w:val="28"/>
          <w:szCs w:val="28"/>
        </w:rPr>
        <w:t>吨</w:t>
      </w:r>
      <w:r>
        <w:rPr>
          <w:rFonts w:eastAsia="仿宋_GB2312"/>
          <w:sz w:val="28"/>
          <w:szCs w:val="28"/>
        </w:rPr>
        <w:t>，膜</w:t>
      </w:r>
      <w:r>
        <w:rPr>
          <w:rFonts w:hint="eastAsia" w:eastAsia="仿宋_GB2312"/>
          <w:sz w:val="28"/>
          <w:szCs w:val="28"/>
        </w:rPr>
        <w:t>重37.8吨</w:t>
      </w:r>
      <w:r>
        <w:rPr>
          <w:rFonts w:eastAsia="仿宋_GB2312"/>
          <w:sz w:val="28"/>
          <w:szCs w:val="28"/>
        </w:rPr>
        <w:t>，因此废胶带</w:t>
      </w:r>
      <w:r>
        <w:rPr>
          <w:rFonts w:hint="eastAsia" w:eastAsia="仿宋_GB2312"/>
          <w:sz w:val="28"/>
          <w:szCs w:val="28"/>
        </w:rPr>
        <w:t>重</w:t>
      </w:r>
      <w:r>
        <w:rPr>
          <w:rFonts w:eastAsia="仿宋_GB2312"/>
          <w:sz w:val="28"/>
          <w:szCs w:val="28"/>
        </w:rPr>
        <w:t>48.3t/a。</w:t>
      </w:r>
    </w:p>
    <w:p>
      <w:pPr>
        <w:numPr>
          <w:ilvl w:val="0"/>
          <w:numId w:val="11"/>
        </w:numPr>
        <w:spacing w:line="500" w:lineRule="exact"/>
        <w:ind w:firstLine="560" w:firstLineChars="200"/>
        <w:rPr>
          <w:rFonts w:eastAsia="仿宋_GB2312"/>
          <w:sz w:val="28"/>
          <w:szCs w:val="28"/>
        </w:rPr>
      </w:pPr>
      <w:r>
        <w:rPr>
          <w:rFonts w:hint="eastAsia" w:eastAsia="仿宋_GB2312"/>
          <w:sz w:val="28"/>
          <w:szCs w:val="28"/>
        </w:rPr>
        <w:t>废原料桶S4</w:t>
      </w:r>
    </w:p>
    <w:p>
      <w:pPr>
        <w:spacing w:line="500" w:lineRule="exact"/>
        <w:ind w:firstLine="560" w:firstLineChars="200"/>
      </w:pPr>
      <w:r>
        <w:rPr>
          <w:rFonts w:hint="eastAsia" w:eastAsia="仿宋_GB2312"/>
          <w:sz w:val="28"/>
          <w:szCs w:val="28"/>
        </w:rPr>
        <w:t>本项目原辅料采用</w:t>
      </w:r>
      <w:r>
        <w:rPr>
          <w:rFonts w:eastAsia="仿宋_GB2312"/>
          <w:sz w:val="28"/>
          <w:szCs w:val="28"/>
        </w:rPr>
        <w:t>桶装，</w:t>
      </w:r>
      <w:r>
        <w:rPr>
          <w:rFonts w:hint="eastAsia" w:eastAsia="仿宋_GB2312"/>
          <w:sz w:val="28"/>
          <w:szCs w:val="28"/>
        </w:rPr>
        <w:t>根据</w:t>
      </w:r>
      <w:r>
        <w:rPr>
          <w:rFonts w:eastAsia="仿宋_GB2312"/>
          <w:sz w:val="28"/>
          <w:szCs w:val="28"/>
        </w:rPr>
        <w:t>原辅料表</w:t>
      </w:r>
      <w:r>
        <w:rPr>
          <w:rFonts w:hint="eastAsia" w:eastAsia="仿宋_GB2312"/>
          <w:sz w:val="28"/>
          <w:szCs w:val="28"/>
        </w:rPr>
        <w:t>原料</w:t>
      </w:r>
      <w:r>
        <w:rPr>
          <w:rFonts w:eastAsia="仿宋_GB2312"/>
          <w:sz w:val="28"/>
          <w:szCs w:val="28"/>
        </w:rPr>
        <w:t>用量及桶装</w:t>
      </w:r>
      <w:r>
        <w:rPr>
          <w:rFonts w:hint="eastAsia" w:eastAsia="仿宋_GB2312"/>
          <w:sz w:val="28"/>
          <w:szCs w:val="28"/>
        </w:rPr>
        <w:t>规格</w:t>
      </w:r>
      <w:r>
        <w:rPr>
          <w:rFonts w:eastAsia="仿宋_GB2312"/>
          <w:sz w:val="28"/>
          <w:szCs w:val="28"/>
        </w:rPr>
        <w:t>核算，</w:t>
      </w:r>
      <w:r>
        <w:rPr>
          <w:rFonts w:hint="eastAsia" w:eastAsia="仿宋_GB2312"/>
          <w:sz w:val="28"/>
          <w:szCs w:val="28"/>
        </w:rPr>
        <w:t>100</w:t>
      </w:r>
      <w:r>
        <w:rPr>
          <w:rFonts w:eastAsia="仿宋_GB2312"/>
          <w:sz w:val="28"/>
          <w:szCs w:val="28"/>
        </w:rPr>
        <w:t>kg规格</w:t>
      </w:r>
      <w:r>
        <w:rPr>
          <w:rFonts w:hint="eastAsia" w:eastAsia="仿宋_GB2312"/>
          <w:sz w:val="28"/>
          <w:szCs w:val="28"/>
        </w:rPr>
        <w:t>桶</w:t>
      </w:r>
      <w:r>
        <w:rPr>
          <w:rFonts w:eastAsia="仿宋_GB2312"/>
          <w:sz w:val="28"/>
          <w:szCs w:val="28"/>
        </w:rPr>
        <w:t>约14429</w:t>
      </w:r>
      <w:r>
        <w:rPr>
          <w:rFonts w:hint="eastAsia" w:eastAsia="仿宋_GB2312"/>
          <w:sz w:val="28"/>
          <w:szCs w:val="28"/>
        </w:rPr>
        <w:t>个</w:t>
      </w:r>
      <w:r>
        <w:rPr>
          <w:rFonts w:eastAsia="仿宋_GB2312"/>
          <w:sz w:val="28"/>
          <w:szCs w:val="28"/>
        </w:rPr>
        <w:t>，每个桶重量约</w:t>
      </w:r>
      <w:r>
        <w:rPr>
          <w:rFonts w:hint="eastAsia" w:eastAsia="仿宋_GB2312"/>
          <w:sz w:val="28"/>
          <w:szCs w:val="28"/>
        </w:rPr>
        <w:t>15</w:t>
      </w:r>
      <w:r>
        <w:rPr>
          <w:rFonts w:eastAsia="仿宋_GB2312"/>
          <w:sz w:val="28"/>
          <w:szCs w:val="28"/>
        </w:rPr>
        <w:t>kg</w:t>
      </w:r>
      <w:r>
        <w:rPr>
          <w:rFonts w:hint="eastAsia" w:eastAsia="仿宋_GB2312"/>
          <w:sz w:val="28"/>
          <w:szCs w:val="28"/>
        </w:rPr>
        <w:t>；</w:t>
      </w:r>
      <w:r>
        <w:rPr>
          <w:rFonts w:eastAsia="仿宋_GB2312"/>
          <w:sz w:val="28"/>
          <w:szCs w:val="28"/>
        </w:rPr>
        <w:t>5kg</w:t>
      </w:r>
      <w:r>
        <w:rPr>
          <w:rFonts w:hint="eastAsia" w:eastAsia="仿宋_GB2312"/>
          <w:sz w:val="28"/>
          <w:szCs w:val="28"/>
        </w:rPr>
        <w:t>规格桶</w:t>
      </w:r>
      <w:r>
        <w:rPr>
          <w:rFonts w:eastAsia="仿宋_GB2312"/>
          <w:sz w:val="28"/>
          <w:szCs w:val="28"/>
        </w:rPr>
        <w:t>约</w:t>
      </w:r>
      <w:r>
        <w:rPr>
          <w:rFonts w:hint="eastAsia" w:eastAsia="仿宋_GB2312"/>
          <w:sz w:val="28"/>
          <w:szCs w:val="28"/>
        </w:rPr>
        <w:t>5771个，</w:t>
      </w:r>
      <w:r>
        <w:rPr>
          <w:rFonts w:eastAsia="仿宋_GB2312"/>
          <w:sz w:val="28"/>
          <w:szCs w:val="28"/>
        </w:rPr>
        <w:t>每个桶重量约1kg</w:t>
      </w:r>
      <w:r>
        <w:rPr>
          <w:rFonts w:hint="eastAsia" w:eastAsia="仿宋_GB2312"/>
          <w:sz w:val="28"/>
          <w:szCs w:val="28"/>
        </w:rPr>
        <w:t>；</w:t>
      </w:r>
      <w:r>
        <w:rPr>
          <w:rFonts w:eastAsia="仿宋_GB2312"/>
          <w:sz w:val="28"/>
          <w:szCs w:val="28"/>
        </w:rPr>
        <w:t>1kg</w:t>
      </w:r>
      <w:r>
        <w:rPr>
          <w:rFonts w:hint="eastAsia" w:eastAsia="仿宋_GB2312"/>
          <w:sz w:val="28"/>
          <w:szCs w:val="28"/>
        </w:rPr>
        <w:t>规格桶</w:t>
      </w:r>
      <w:r>
        <w:rPr>
          <w:rFonts w:eastAsia="仿宋_GB2312"/>
          <w:sz w:val="28"/>
          <w:szCs w:val="28"/>
        </w:rPr>
        <w:t>约3790</w:t>
      </w:r>
      <w:r>
        <w:rPr>
          <w:rFonts w:hint="eastAsia" w:eastAsia="仿宋_GB2312"/>
          <w:sz w:val="28"/>
          <w:szCs w:val="28"/>
        </w:rPr>
        <w:t>个</w:t>
      </w:r>
      <w:r>
        <w:rPr>
          <w:rFonts w:eastAsia="仿宋_GB2312"/>
          <w:sz w:val="28"/>
          <w:szCs w:val="28"/>
        </w:rPr>
        <w:t>，每个桶重量约0.2kg。</w:t>
      </w:r>
      <w:r>
        <w:rPr>
          <w:rFonts w:hint="eastAsia" w:eastAsia="仿宋_GB2312"/>
          <w:sz w:val="28"/>
          <w:szCs w:val="28"/>
        </w:rPr>
        <w:t>其中</w:t>
      </w:r>
      <w:r>
        <w:rPr>
          <w:rFonts w:eastAsia="仿宋_GB2312"/>
          <w:sz w:val="28"/>
          <w:szCs w:val="28"/>
        </w:rPr>
        <w:t>9</w:t>
      </w:r>
      <w:r>
        <w:rPr>
          <w:rFonts w:hint="eastAsia" w:eastAsia="仿宋_GB2312"/>
          <w:sz w:val="28"/>
          <w:szCs w:val="28"/>
        </w:rPr>
        <w:t>0</w:t>
      </w:r>
      <w:r>
        <w:rPr>
          <w:rFonts w:eastAsia="仿宋_GB2312"/>
          <w:sz w:val="28"/>
          <w:szCs w:val="28"/>
        </w:rPr>
        <w:t>%的包装桶由</w:t>
      </w:r>
      <w:r>
        <w:rPr>
          <w:rFonts w:hint="eastAsia" w:eastAsia="仿宋_GB2312"/>
          <w:sz w:val="28"/>
          <w:szCs w:val="28"/>
        </w:rPr>
        <w:t>供应单位</w:t>
      </w:r>
      <w:r>
        <w:rPr>
          <w:rFonts w:eastAsia="仿宋_GB2312"/>
          <w:sz w:val="28"/>
          <w:szCs w:val="28"/>
        </w:rPr>
        <w:t>回收，1</w:t>
      </w:r>
      <w:r>
        <w:rPr>
          <w:rFonts w:hint="eastAsia" w:eastAsia="仿宋_GB2312"/>
          <w:sz w:val="28"/>
          <w:szCs w:val="28"/>
        </w:rPr>
        <w:t>0</w:t>
      </w:r>
      <w:r>
        <w:rPr>
          <w:rFonts w:eastAsia="仿宋_GB2312"/>
          <w:sz w:val="28"/>
          <w:szCs w:val="28"/>
        </w:rPr>
        <w:t>%的作为危废处理，则</w:t>
      </w:r>
      <w:r>
        <w:rPr>
          <w:rFonts w:hint="eastAsia" w:eastAsia="仿宋_GB2312"/>
          <w:sz w:val="28"/>
          <w:szCs w:val="28"/>
        </w:rPr>
        <w:t>本</w:t>
      </w:r>
      <w:r>
        <w:rPr>
          <w:rFonts w:eastAsia="仿宋_GB2312"/>
          <w:sz w:val="28"/>
          <w:szCs w:val="28"/>
        </w:rPr>
        <w:t>项目</w:t>
      </w:r>
      <w:r>
        <w:rPr>
          <w:rFonts w:hint="eastAsia" w:eastAsia="仿宋_GB2312"/>
          <w:sz w:val="28"/>
          <w:szCs w:val="28"/>
        </w:rPr>
        <w:t>共产生</w:t>
      </w:r>
      <w:r>
        <w:rPr>
          <w:rFonts w:eastAsia="仿宋_GB2312"/>
          <w:sz w:val="28"/>
          <w:szCs w:val="28"/>
        </w:rPr>
        <w:t>废原料桶约2.2t/a。</w:t>
      </w:r>
    </w:p>
    <w:p>
      <w:pPr>
        <w:spacing w:line="500" w:lineRule="exact"/>
        <w:ind w:firstLine="560" w:firstLineChars="200"/>
        <w:rPr>
          <w:rFonts w:eastAsia="仿宋_GB2312"/>
          <w:sz w:val="28"/>
          <w:szCs w:val="28"/>
        </w:rPr>
      </w:pPr>
      <w:r>
        <w:rPr>
          <w:rFonts w:hint="eastAsia" w:eastAsia="仿宋_GB2312"/>
          <w:sz w:val="28"/>
          <w:szCs w:val="28"/>
        </w:rPr>
        <w:t>6.废抹布手套S5</w:t>
      </w:r>
    </w:p>
    <w:p>
      <w:pPr>
        <w:spacing w:line="500" w:lineRule="exact"/>
        <w:ind w:firstLine="560" w:firstLineChars="200"/>
        <w:rPr>
          <w:rFonts w:eastAsia="仿宋_GB2312"/>
          <w:sz w:val="28"/>
          <w:szCs w:val="28"/>
        </w:rPr>
      </w:pPr>
      <w:r>
        <w:rPr>
          <w:rFonts w:hint="eastAsia" w:eastAsia="仿宋_GB2312"/>
          <w:sz w:val="28"/>
          <w:szCs w:val="28"/>
        </w:rPr>
        <w:t>本项目维修及设备</w:t>
      </w:r>
      <w:r>
        <w:rPr>
          <w:rFonts w:eastAsia="仿宋_GB2312"/>
          <w:sz w:val="28"/>
          <w:szCs w:val="28"/>
        </w:rPr>
        <w:t>清洗工段工人使用手套</w:t>
      </w:r>
      <w:r>
        <w:rPr>
          <w:rFonts w:hint="eastAsia" w:eastAsia="仿宋_GB2312"/>
          <w:sz w:val="28"/>
          <w:szCs w:val="28"/>
        </w:rPr>
        <w:t>及抹布</w:t>
      </w:r>
      <w:r>
        <w:rPr>
          <w:rFonts w:eastAsia="仿宋_GB2312"/>
          <w:sz w:val="28"/>
          <w:szCs w:val="28"/>
        </w:rPr>
        <w:t>，产生废抹布手套，</w:t>
      </w:r>
      <w:r>
        <w:rPr>
          <w:rFonts w:hint="eastAsia" w:eastAsia="仿宋_GB2312"/>
          <w:sz w:val="28"/>
          <w:szCs w:val="28"/>
        </w:rPr>
        <w:t>产生</w:t>
      </w:r>
      <w:r>
        <w:rPr>
          <w:rFonts w:eastAsia="仿宋_GB2312"/>
          <w:sz w:val="28"/>
          <w:szCs w:val="28"/>
        </w:rPr>
        <w:t>量约</w:t>
      </w:r>
      <w:r>
        <w:rPr>
          <w:rFonts w:hint="eastAsia" w:eastAsia="仿宋_GB2312"/>
          <w:sz w:val="28"/>
          <w:szCs w:val="28"/>
        </w:rPr>
        <w:t>1</w:t>
      </w:r>
      <w:r>
        <w:rPr>
          <w:rFonts w:eastAsia="仿宋_GB2312"/>
          <w:sz w:val="28"/>
          <w:szCs w:val="28"/>
        </w:rPr>
        <w:t>t/a。</w:t>
      </w:r>
    </w:p>
    <w:p>
      <w:pPr>
        <w:spacing w:line="500" w:lineRule="exact"/>
        <w:ind w:firstLine="560" w:firstLineChars="200"/>
        <w:rPr>
          <w:rFonts w:eastAsia="仿宋_GB2312"/>
          <w:sz w:val="28"/>
          <w:szCs w:val="28"/>
        </w:rPr>
      </w:pPr>
      <w:r>
        <w:rPr>
          <w:rFonts w:hint="eastAsia" w:eastAsia="仿宋_GB2312"/>
          <w:sz w:val="28"/>
          <w:szCs w:val="28"/>
        </w:rPr>
        <w:t>7.废</w:t>
      </w:r>
      <w:r>
        <w:rPr>
          <w:rFonts w:eastAsia="仿宋_GB2312"/>
          <w:sz w:val="28"/>
          <w:szCs w:val="28"/>
        </w:rPr>
        <w:t>机油</w:t>
      </w:r>
      <w:r>
        <w:rPr>
          <w:rFonts w:hint="eastAsia" w:eastAsia="仿宋_GB2312"/>
          <w:sz w:val="28"/>
          <w:szCs w:val="28"/>
        </w:rPr>
        <w:t>S6</w:t>
      </w:r>
    </w:p>
    <w:p>
      <w:pPr>
        <w:spacing w:line="500" w:lineRule="exact"/>
        <w:ind w:firstLine="560" w:firstLineChars="200"/>
        <w:rPr>
          <w:rFonts w:eastAsia="仿宋_GB2312"/>
          <w:sz w:val="28"/>
          <w:szCs w:val="28"/>
        </w:rPr>
      </w:pPr>
      <w:r>
        <w:rPr>
          <w:rFonts w:hint="eastAsia" w:eastAsia="仿宋_GB2312"/>
          <w:sz w:val="28"/>
          <w:szCs w:val="28"/>
        </w:rPr>
        <w:t>本项目</w:t>
      </w:r>
      <w:r>
        <w:rPr>
          <w:rFonts w:eastAsia="仿宋_GB2312"/>
          <w:sz w:val="28"/>
          <w:szCs w:val="28"/>
        </w:rPr>
        <w:t>设备维修保养会产生废机油，</w:t>
      </w:r>
      <w:r>
        <w:rPr>
          <w:rFonts w:hint="eastAsia" w:eastAsia="仿宋_GB2312"/>
          <w:sz w:val="28"/>
          <w:szCs w:val="28"/>
        </w:rPr>
        <w:t>根据</w:t>
      </w:r>
      <w:r>
        <w:rPr>
          <w:rFonts w:eastAsia="仿宋_GB2312"/>
          <w:sz w:val="28"/>
          <w:szCs w:val="28"/>
        </w:rPr>
        <w:t>本</w:t>
      </w:r>
      <w:r>
        <w:rPr>
          <w:rFonts w:hint="eastAsia" w:eastAsia="仿宋_GB2312"/>
          <w:sz w:val="28"/>
          <w:szCs w:val="28"/>
        </w:rPr>
        <w:t>项目</w:t>
      </w:r>
      <w:r>
        <w:rPr>
          <w:rFonts w:eastAsia="仿宋_GB2312"/>
          <w:sz w:val="28"/>
          <w:szCs w:val="28"/>
        </w:rPr>
        <w:t>设备情况，约产生废机油0.3t/a。</w:t>
      </w:r>
    </w:p>
    <w:p>
      <w:pPr>
        <w:spacing w:line="500" w:lineRule="exact"/>
        <w:ind w:firstLine="482" w:firstLineChars="200"/>
        <w:jc w:val="center"/>
        <w:rPr>
          <w:rFonts w:eastAsia="仿宋_GB2312"/>
          <w:b/>
          <w:bCs/>
          <w:sz w:val="24"/>
        </w:rPr>
      </w:pPr>
      <w:r>
        <w:rPr>
          <w:rFonts w:hint="eastAsia" w:eastAsia="仿宋_GB2312"/>
          <w:b/>
          <w:bCs/>
          <w:sz w:val="24"/>
        </w:rPr>
        <w:t>表3.2-1</w:t>
      </w:r>
      <w:r>
        <w:rPr>
          <w:rFonts w:eastAsia="仿宋_GB2312"/>
          <w:b/>
          <w:bCs/>
          <w:sz w:val="24"/>
        </w:rPr>
        <w:t>1 建设项目副产物产生情况汇总表</w:t>
      </w:r>
    </w:p>
    <w:tbl>
      <w:tblPr>
        <w:tblStyle w:val="87"/>
        <w:tblW w:w="9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891"/>
        <w:gridCol w:w="1134"/>
        <w:gridCol w:w="1280"/>
        <w:gridCol w:w="687"/>
        <w:gridCol w:w="1293"/>
        <w:gridCol w:w="902"/>
        <w:gridCol w:w="478"/>
        <w:gridCol w:w="529"/>
        <w:gridCol w:w="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67" w:type="dxa"/>
            <w:vMerge w:val="restart"/>
            <w:vAlign w:val="center"/>
          </w:tcPr>
          <w:p>
            <w:pPr>
              <w:widowControl/>
              <w:jc w:val="center"/>
              <w:rPr>
                <w:rFonts w:ascii="仿宋" w:hAnsi="仿宋" w:eastAsia="仿宋"/>
                <w:kern w:val="0"/>
                <w:szCs w:val="21"/>
              </w:rPr>
            </w:pPr>
            <w:r>
              <w:rPr>
                <w:rFonts w:ascii="仿宋" w:hAnsi="仿宋" w:eastAsia="仿宋"/>
                <w:kern w:val="0"/>
                <w:szCs w:val="21"/>
              </w:rPr>
              <w:t>序号</w:t>
            </w:r>
          </w:p>
        </w:tc>
        <w:tc>
          <w:tcPr>
            <w:tcW w:w="1891" w:type="dxa"/>
            <w:vMerge w:val="restart"/>
            <w:vAlign w:val="center"/>
          </w:tcPr>
          <w:p>
            <w:pPr>
              <w:widowControl/>
              <w:jc w:val="center"/>
              <w:rPr>
                <w:rFonts w:ascii="仿宋" w:hAnsi="仿宋" w:eastAsia="仿宋"/>
                <w:kern w:val="0"/>
                <w:szCs w:val="21"/>
              </w:rPr>
            </w:pPr>
            <w:r>
              <w:rPr>
                <w:rFonts w:hint="eastAsia" w:ascii="仿宋" w:hAnsi="仿宋" w:eastAsia="仿宋"/>
                <w:kern w:val="0"/>
                <w:szCs w:val="21"/>
              </w:rPr>
              <w:t>编号</w:t>
            </w:r>
          </w:p>
        </w:tc>
        <w:tc>
          <w:tcPr>
            <w:tcW w:w="1134" w:type="dxa"/>
            <w:vMerge w:val="restart"/>
            <w:vAlign w:val="center"/>
          </w:tcPr>
          <w:p>
            <w:pPr>
              <w:widowControl/>
              <w:jc w:val="center"/>
              <w:rPr>
                <w:rFonts w:ascii="仿宋" w:hAnsi="仿宋" w:eastAsia="仿宋"/>
                <w:kern w:val="0"/>
                <w:szCs w:val="21"/>
              </w:rPr>
            </w:pPr>
            <w:r>
              <w:rPr>
                <w:rFonts w:ascii="仿宋" w:hAnsi="仿宋" w:eastAsia="仿宋"/>
                <w:kern w:val="0"/>
                <w:szCs w:val="21"/>
              </w:rPr>
              <w:t>副产物名称</w:t>
            </w:r>
          </w:p>
        </w:tc>
        <w:tc>
          <w:tcPr>
            <w:tcW w:w="1280" w:type="dxa"/>
            <w:vMerge w:val="restart"/>
            <w:vAlign w:val="center"/>
          </w:tcPr>
          <w:p>
            <w:pPr>
              <w:widowControl/>
              <w:jc w:val="center"/>
              <w:rPr>
                <w:rFonts w:ascii="仿宋" w:hAnsi="仿宋" w:eastAsia="仿宋"/>
                <w:kern w:val="0"/>
                <w:szCs w:val="21"/>
              </w:rPr>
            </w:pPr>
            <w:r>
              <w:rPr>
                <w:rFonts w:ascii="仿宋" w:hAnsi="仿宋" w:eastAsia="仿宋"/>
                <w:kern w:val="0"/>
                <w:szCs w:val="21"/>
              </w:rPr>
              <w:t>产生</w:t>
            </w:r>
          </w:p>
          <w:p>
            <w:pPr>
              <w:widowControl/>
              <w:jc w:val="center"/>
              <w:rPr>
                <w:rFonts w:ascii="仿宋" w:hAnsi="仿宋" w:eastAsia="仿宋"/>
                <w:kern w:val="0"/>
                <w:szCs w:val="21"/>
              </w:rPr>
            </w:pPr>
            <w:r>
              <w:rPr>
                <w:rFonts w:ascii="仿宋" w:hAnsi="仿宋" w:eastAsia="仿宋"/>
                <w:kern w:val="0"/>
                <w:szCs w:val="21"/>
              </w:rPr>
              <w:t>工序</w:t>
            </w:r>
          </w:p>
        </w:tc>
        <w:tc>
          <w:tcPr>
            <w:tcW w:w="687" w:type="dxa"/>
            <w:vMerge w:val="restart"/>
            <w:vAlign w:val="center"/>
          </w:tcPr>
          <w:p>
            <w:pPr>
              <w:widowControl/>
              <w:jc w:val="center"/>
              <w:rPr>
                <w:rFonts w:ascii="仿宋" w:hAnsi="仿宋" w:eastAsia="仿宋"/>
                <w:kern w:val="0"/>
                <w:szCs w:val="21"/>
              </w:rPr>
            </w:pPr>
            <w:r>
              <w:rPr>
                <w:rFonts w:ascii="仿宋" w:hAnsi="仿宋" w:eastAsia="仿宋"/>
                <w:kern w:val="0"/>
                <w:szCs w:val="21"/>
              </w:rPr>
              <w:t>形态</w:t>
            </w:r>
          </w:p>
        </w:tc>
        <w:tc>
          <w:tcPr>
            <w:tcW w:w="1293" w:type="dxa"/>
            <w:vMerge w:val="restart"/>
            <w:vAlign w:val="center"/>
          </w:tcPr>
          <w:p>
            <w:pPr>
              <w:widowControl/>
              <w:jc w:val="center"/>
              <w:rPr>
                <w:rFonts w:ascii="仿宋" w:hAnsi="仿宋" w:eastAsia="仿宋"/>
                <w:kern w:val="0"/>
                <w:szCs w:val="21"/>
              </w:rPr>
            </w:pPr>
            <w:r>
              <w:rPr>
                <w:rFonts w:ascii="仿宋" w:hAnsi="仿宋" w:eastAsia="仿宋"/>
                <w:kern w:val="0"/>
                <w:szCs w:val="21"/>
              </w:rPr>
              <w:t>主要</w:t>
            </w:r>
          </w:p>
          <w:p>
            <w:pPr>
              <w:widowControl/>
              <w:jc w:val="center"/>
              <w:rPr>
                <w:rFonts w:ascii="仿宋" w:hAnsi="仿宋" w:eastAsia="仿宋"/>
                <w:kern w:val="0"/>
                <w:szCs w:val="21"/>
              </w:rPr>
            </w:pPr>
            <w:r>
              <w:rPr>
                <w:rFonts w:ascii="仿宋" w:hAnsi="仿宋" w:eastAsia="仿宋"/>
                <w:kern w:val="0"/>
                <w:szCs w:val="21"/>
              </w:rPr>
              <w:t>成分</w:t>
            </w:r>
          </w:p>
        </w:tc>
        <w:tc>
          <w:tcPr>
            <w:tcW w:w="902" w:type="dxa"/>
            <w:vMerge w:val="restart"/>
            <w:vAlign w:val="center"/>
          </w:tcPr>
          <w:p>
            <w:pPr>
              <w:widowControl/>
              <w:jc w:val="center"/>
              <w:rPr>
                <w:rFonts w:ascii="仿宋" w:hAnsi="仿宋" w:eastAsia="仿宋"/>
                <w:kern w:val="0"/>
                <w:szCs w:val="21"/>
              </w:rPr>
            </w:pPr>
            <w:r>
              <w:rPr>
                <w:rFonts w:ascii="仿宋" w:hAnsi="仿宋" w:eastAsia="仿宋"/>
                <w:kern w:val="0"/>
                <w:szCs w:val="21"/>
              </w:rPr>
              <w:t>预测产生量（吨/年）</w:t>
            </w:r>
          </w:p>
        </w:tc>
        <w:tc>
          <w:tcPr>
            <w:tcW w:w="1786" w:type="dxa"/>
            <w:gridSpan w:val="3"/>
            <w:vAlign w:val="center"/>
          </w:tcPr>
          <w:p>
            <w:pPr>
              <w:widowControl/>
              <w:jc w:val="center"/>
              <w:rPr>
                <w:rFonts w:ascii="仿宋" w:hAnsi="仿宋" w:eastAsia="仿宋"/>
                <w:kern w:val="0"/>
                <w:szCs w:val="21"/>
              </w:rPr>
            </w:pPr>
            <w:r>
              <w:rPr>
                <w:rFonts w:ascii="仿宋" w:hAnsi="仿宋" w:eastAsia="仿宋"/>
                <w:kern w:val="0"/>
                <w:szCs w:val="21"/>
              </w:rPr>
              <w:t>种类判断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67" w:type="dxa"/>
            <w:vMerge w:val="continue"/>
            <w:vAlign w:val="center"/>
          </w:tcPr>
          <w:p>
            <w:pPr>
              <w:widowControl/>
              <w:jc w:val="center"/>
              <w:rPr>
                <w:rFonts w:ascii="仿宋" w:hAnsi="仿宋" w:eastAsia="仿宋"/>
                <w:kern w:val="0"/>
                <w:szCs w:val="21"/>
              </w:rPr>
            </w:pPr>
          </w:p>
        </w:tc>
        <w:tc>
          <w:tcPr>
            <w:tcW w:w="1891" w:type="dxa"/>
            <w:vMerge w:val="continue"/>
            <w:vAlign w:val="center"/>
          </w:tcPr>
          <w:p>
            <w:pPr>
              <w:widowControl/>
              <w:jc w:val="center"/>
              <w:rPr>
                <w:rFonts w:ascii="仿宋" w:hAnsi="仿宋" w:eastAsia="仿宋"/>
                <w:kern w:val="0"/>
                <w:szCs w:val="21"/>
              </w:rPr>
            </w:pPr>
          </w:p>
        </w:tc>
        <w:tc>
          <w:tcPr>
            <w:tcW w:w="1134" w:type="dxa"/>
            <w:vMerge w:val="continue"/>
            <w:vAlign w:val="center"/>
          </w:tcPr>
          <w:p>
            <w:pPr>
              <w:widowControl/>
              <w:jc w:val="center"/>
              <w:rPr>
                <w:rFonts w:ascii="仿宋" w:hAnsi="仿宋" w:eastAsia="仿宋"/>
                <w:kern w:val="0"/>
                <w:szCs w:val="21"/>
              </w:rPr>
            </w:pPr>
          </w:p>
        </w:tc>
        <w:tc>
          <w:tcPr>
            <w:tcW w:w="1280" w:type="dxa"/>
            <w:vMerge w:val="continue"/>
            <w:vAlign w:val="center"/>
          </w:tcPr>
          <w:p>
            <w:pPr>
              <w:widowControl/>
              <w:jc w:val="center"/>
              <w:rPr>
                <w:rFonts w:ascii="仿宋" w:hAnsi="仿宋" w:eastAsia="仿宋"/>
                <w:kern w:val="0"/>
                <w:szCs w:val="21"/>
              </w:rPr>
            </w:pPr>
          </w:p>
        </w:tc>
        <w:tc>
          <w:tcPr>
            <w:tcW w:w="687" w:type="dxa"/>
            <w:vMerge w:val="continue"/>
            <w:vAlign w:val="center"/>
          </w:tcPr>
          <w:p>
            <w:pPr>
              <w:widowControl/>
              <w:jc w:val="center"/>
              <w:rPr>
                <w:rFonts w:ascii="仿宋" w:hAnsi="仿宋" w:eastAsia="仿宋"/>
                <w:kern w:val="0"/>
                <w:szCs w:val="21"/>
              </w:rPr>
            </w:pPr>
          </w:p>
        </w:tc>
        <w:tc>
          <w:tcPr>
            <w:tcW w:w="1293" w:type="dxa"/>
            <w:vMerge w:val="continue"/>
            <w:vAlign w:val="center"/>
          </w:tcPr>
          <w:p>
            <w:pPr>
              <w:widowControl/>
              <w:jc w:val="center"/>
              <w:rPr>
                <w:rFonts w:ascii="仿宋" w:hAnsi="仿宋" w:eastAsia="仿宋"/>
                <w:kern w:val="0"/>
                <w:szCs w:val="21"/>
              </w:rPr>
            </w:pPr>
          </w:p>
        </w:tc>
        <w:tc>
          <w:tcPr>
            <w:tcW w:w="902" w:type="dxa"/>
            <w:vMerge w:val="continue"/>
            <w:vAlign w:val="center"/>
          </w:tcPr>
          <w:p>
            <w:pPr>
              <w:widowControl/>
              <w:jc w:val="center"/>
              <w:rPr>
                <w:rFonts w:ascii="仿宋" w:hAnsi="仿宋" w:eastAsia="仿宋"/>
                <w:kern w:val="0"/>
                <w:szCs w:val="21"/>
              </w:rPr>
            </w:pPr>
          </w:p>
        </w:tc>
        <w:tc>
          <w:tcPr>
            <w:tcW w:w="478" w:type="dxa"/>
            <w:vAlign w:val="center"/>
          </w:tcPr>
          <w:p>
            <w:pPr>
              <w:widowControl/>
              <w:jc w:val="center"/>
              <w:rPr>
                <w:rFonts w:ascii="仿宋" w:hAnsi="仿宋" w:eastAsia="仿宋"/>
                <w:kern w:val="0"/>
                <w:szCs w:val="21"/>
              </w:rPr>
            </w:pPr>
            <w:r>
              <w:rPr>
                <w:rFonts w:ascii="仿宋" w:hAnsi="仿宋" w:eastAsia="仿宋"/>
                <w:kern w:val="0"/>
                <w:szCs w:val="21"/>
              </w:rPr>
              <w:t>固体</w:t>
            </w:r>
          </w:p>
          <w:p>
            <w:pPr>
              <w:widowControl/>
              <w:jc w:val="center"/>
              <w:rPr>
                <w:rFonts w:ascii="仿宋" w:hAnsi="仿宋" w:eastAsia="仿宋"/>
                <w:kern w:val="0"/>
                <w:szCs w:val="21"/>
              </w:rPr>
            </w:pPr>
            <w:r>
              <w:rPr>
                <w:rFonts w:ascii="仿宋" w:hAnsi="仿宋" w:eastAsia="仿宋"/>
                <w:kern w:val="0"/>
                <w:szCs w:val="21"/>
              </w:rPr>
              <w:t>废物</w:t>
            </w:r>
          </w:p>
        </w:tc>
        <w:tc>
          <w:tcPr>
            <w:tcW w:w="529" w:type="dxa"/>
            <w:vAlign w:val="center"/>
          </w:tcPr>
          <w:p>
            <w:pPr>
              <w:widowControl/>
              <w:jc w:val="center"/>
              <w:rPr>
                <w:rFonts w:ascii="仿宋" w:hAnsi="仿宋" w:eastAsia="仿宋"/>
                <w:kern w:val="0"/>
                <w:szCs w:val="21"/>
              </w:rPr>
            </w:pPr>
            <w:r>
              <w:rPr>
                <w:rFonts w:ascii="仿宋" w:hAnsi="仿宋" w:eastAsia="仿宋"/>
                <w:kern w:val="0"/>
                <w:szCs w:val="21"/>
              </w:rPr>
              <w:t>副产品</w:t>
            </w:r>
          </w:p>
        </w:tc>
        <w:tc>
          <w:tcPr>
            <w:tcW w:w="779" w:type="dxa"/>
            <w:vAlign w:val="center"/>
          </w:tcPr>
          <w:p>
            <w:pPr>
              <w:widowControl/>
              <w:jc w:val="center"/>
              <w:rPr>
                <w:rFonts w:ascii="仿宋" w:hAnsi="仿宋" w:eastAsia="仿宋"/>
                <w:kern w:val="0"/>
                <w:szCs w:val="21"/>
              </w:rPr>
            </w:pPr>
            <w:r>
              <w:rPr>
                <w:rFonts w:ascii="仿宋" w:hAnsi="仿宋" w:eastAsia="仿宋"/>
                <w:kern w:val="0"/>
                <w:szCs w:val="21"/>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67" w:type="dxa"/>
            <w:vAlign w:val="center"/>
          </w:tcPr>
          <w:p>
            <w:pPr>
              <w:widowControl/>
              <w:jc w:val="center"/>
              <w:rPr>
                <w:rFonts w:ascii="仿宋" w:hAnsi="仿宋" w:eastAsia="仿宋"/>
                <w:kern w:val="0"/>
                <w:szCs w:val="21"/>
              </w:rPr>
            </w:pPr>
            <w:r>
              <w:rPr>
                <w:rFonts w:ascii="仿宋" w:hAnsi="仿宋" w:eastAsia="仿宋"/>
                <w:kern w:val="0"/>
                <w:szCs w:val="21"/>
              </w:rPr>
              <w:t>1</w:t>
            </w:r>
          </w:p>
        </w:tc>
        <w:tc>
          <w:tcPr>
            <w:tcW w:w="1891" w:type="dxa"/>
            <w:vAlign w:val="center"/>
          </w:tcPr>
          <w:p>
            <w:pPr>
              <w:widowControl/>
              <w:jc w:val="center"/>
              <w:rPr>
                <w:rFonts w:ascii="仿宋" w:hAnsi="仿宋" w:eastAsia="仿宋"/>
                <w:kern w:val="0"/>
                <w:szCs w:val="21"/>
              </w:rPr>
            </w:pPr>
            <w:r>
              <w:rPr>
                <w:rFonts w:hint="eastAsia" w:ascii="仿宋" w:hAnsi="仿宋" w:eastAsia="仿宋"/>
                <w:kern w:val="0"/>
                <w:szCs w:val="21"/>
              </w:rPr>
              <w:t>/</w:t>
            </w:r>
          </w:p>
        </w:tc>
        <w:tc>
          <w:tcPr>
            <w:tcW w:w="1134" w:type="dxa"/>
            <w:vAlign w:val="center"/>
          </w:tcPr>
          <w:p>
            <w:pPr>
              <w:widowControl/>
              <w:jc w:val="center"/>
              <w:rPr>
                <w:rFonts w:ascii="仿宋" w:hAnsi="仿宋" w:eastAsia="仿宋"/>
                <w:kern w:val="0"/>
                <w:szCs w:val="21"/>
              </w:rPr>
            </w:pPr>
            <w:r>
              <w:rPr>
                <w:rFonts w:ascii="仿宋" w:hAnsi="仿宋" w:eastAsia="仿宋"/>
                <w:kern w:val="0"/>
                <w:szCs w:val="21"/>
              </w:rPr>
              <w:t>生活垃圾</w:t>
            </w:r>
          </w:p>
        </w:tc>
        <w:tc>
          <w:tcPr>
            <w:tcW w:w="1280" w:type="dxa"/>
            <w:vAlign w:val="center"/>
          </w:tcPr>
          <w:p>
            <w:pPr>
              <w:widowControl/>
              <w:jc w:val="center"/>
              <w:rPr>
                <w:rFonts w:ascii="仿宋" w:hAnsi="仿宋" w:eastAsia="仿宋"/>
                <w:kern w:val="0"/>
                <w:szCs w:val="21"/>
              </w:rPr>
            </w:pPr>
            <w:r>
              <w:rPr>
                <w:rFonts w:ascii="仿宋" w:hAnsi="仿宋" w:eastAsia="仿宋"/>
                <w:kern w:val="0"/>
                <w:szCs w:val="21"/>
              </w:rPr>
              <w:t>办公、生活</w:t>
            </w:r>
          </w:p>
        </w:tc>
        <w:tc>
          <w:tcPr>
            <w:tcW w:w="687" w:type="dxa"/>
            <w:vAlign w:val="center"/>
          </w:tcPr>
          <w:p>
            <w:pPr>
              <w:tabs>
                <w:tab w:val="left" w:pos="3240"/>
              </w:tabs>
              <w:adjustRightInd w:val="0"/>
              <w:snapToGrid w:val="0"/>
              <w:jc w:val="center"/>
              <w:rPr>
                <w:rFonts w:ascii="仿宋" w:hAnsi="仿宋" w:eastAsia="仿宋"/>
                <w:bCs/>
                <w:kern w:val="0"/>
                <w:szCs w:val="21"/>
              </w:rPr>
            </w:pPr>
            <w:r>
              <w:rPr>
                <w:rFonts w:ascii="仿宋" w:hAnsi="仿宋" w:eastAsia="仿宋"/>
                <w:bCs/>
                <w:kern w:val="0"/>
                <w:szCs w:val="21"/>
              </w:rPr>
              <w:t>固</w:t>
            </w:r>
          </w:p>
        </w:tc>
        <w:tc>
          <w:tcPr>
            <w:tcW w:w="1293" w:type="dxa"/>
            <w:vAlign w:val="center"/>
          </w:tcPr>
          <w:p>
            <w:pPr>
              <w:tabs>
                <w:tab w:val="left" w:pos="3240"/>
              </w:tabs>
              <w:adjustRightInd w:val="0"/>
              <w:snapToGrid w:val="0"/>
              <w:jc w:val="center"/>
              <w:rPr>
                <w:rFonts w:ascii="仿宋" w:hAnsi="仿宋" w:eastAsia="仿宋"/>
                <w:bCs/>
                <w:kern w:val="0"/>
                <w:szCs w:val="21"/>
              </w:rPr>
            </w:pPr>
            <w:r>
              <w:rPr>
                <w:rFonts w:ascii="仿宋" w:hAnsi="仿宋" w:eastAsia="仿宋"/>
                <w:bCs/>
                <w:kern w:val="0"/>
                <w:szCs w:val="21"/>
              </w:rPr>
              <w:t>生活垃圾</w:t>
            </w:r>
          </w:p>
        </w:tc>
        <w:tc>
          <w:tcPr>
            <w:tcW w:w="902" w:type="dxa"/>
            <w:vAlign w:val="center"/>
          </w:tcPr>
          <w:p>
            <w:pPr>
              <w:widowControl/>
              <w:jc w:val="center"/>
              <w:rPr>
                <w:rFonts w:ascii="仿宋" w:hAnsi="仿宋" w:eastAsia="仿宋"/>
                <w:kern w:val="0"/>
                <w:szCs w:val="21"/>
              </w:rPr>
            </w:pPr>
            <w:r>
              <w:rPr>
                <w:rFonts w:hint="eastAsia" w:ascii="仿宋" w:hAnsi="仿宋" w:eastAsia="仿宋"/>
                <w:kern w:val="0"/>
                <w:szCs w:val="21"/>
              </w:rPr>
              <w:t>6.75</w:t>
            </w:r>
          </w:p>
        </w:tc>
        <w:tc>
          <w:tcPr>
            <w:tcW w:w="478" w:type="dxa"/>
            <w:vAlign w:val="center"/>
          </w:tcPr>
          <w:p>
            <w:pPr>
              <w:widowControl/>
              <w:jc w:val="center"/>
              <w:rPr>
                <w:rFonts w:ascii="仿宋" w:hAnsi="仿宋" w:eastAsia="仿宋"/>
                <w:kern w:val="0"/>
                <w:szCs w:val="21"/>
              </w:rPr>
            </w:pPr>
            <w:r>
              <w:rPr>
                <w:rFonts w:ascii="仿宋" w:hAnsi="仿宋" w:eastAsia="仿宋"/>
                <w:kern w:val="0"/>
                <w:szCs w:val="21"/>
              </w:rPr>
              <w:t>√</w:t>
            </w:r>
          </w:p>
        </w:tc>
        <w:tc>
          <w:tcPr>
            <w:tcW w:w="529" w:type="dxa"/>
            <w:vAlign w:val="center"/>
          </w:tcPr>
          <w:p>
            <w:pPr>
              <w:widowControl/>
              <w:jc w:val="center"/>
              <w:rPr>
                <w:rFonts w:ascii="仿宋" w:hAnsi="仿宋" w:eastAsia="仿宋"/>
                <w:kern w:val="0"/>
                <w:szCs w:val="21"/>
              </w:rPr>
            </w:pPr>
          </w:p>
        </w:tc>
        <w:tc>
          <w:tcPr>
            <w:tcW w:w="779" w:type="dxa"/>
            <w:vMerge w:val="restart"/>
            <w:vAlign w:val="center"/>
          </w:tcPr>
          <w:p>
            <w:pPr>
              <w:widowControl/>
              <w:jc w:val="center"/>
              <w:rPr>
                <w:rFonts w:ascii="仿宋" w:hAnsi="仿宋" w:eastAsia="仿宋"/>
                <w:kern w:val="0"/>
                <w:szCs w:val="21"/>
              </w:rPr>
            </w:pPr>
            <w:r>
              <w:rPr>
                <w:rFonts w:hint="eastAsia" w:ascii="仿宋" w:hAnsi="仿宋" w:eastAsia="仿宋"/>
                <w:bCs/>
                <w:kern w:val="0"/>
                <w:szCs w:val="21"/>
              </w:rPr>
              <w:t>生产</w:t>
            </w:r>
            <w:r>
              <w:rPr>
                <w:rFonts w:ascii="仿宋" w:hAnsi="仿宋" w:eastAsia="仿宋"/>
                <w:bCs/>
                <w:kern w:val="0"/>
                <w:szCs w:val="21"/>
              </w:rPr>
              <w:t>过程中产生的废弃物质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67" w:type="dxa"/>
            <w:vAlign w:val="center"/>
          </w:tcPr>
          <w:p>
            <w:pPr>
              <w:widowControl/>
              <w:jc w:val="center"/>
              <w:rPr>
                <w:rFonts w:ascii="仿宋" w:hAnsi="仿宋" w:eastAsia="仿宋"/>
                <w:kern w:val="0"/>
                <w:szCs w:val="21"/>
              </w:rPr>
            </w:pPr>
            <w:r>
              <w:rPr>
                <w:rFonts w:ascii="仿宋" w:hAnsi="仿宋" w:eastAsia="仿宋"/>
                <w:kern w:val="0"/>
                <w:szCs w:val="21"/>
              </w:rPr>
              <w:t>2</w:t>
            </w:r>
          </w:p>
        </w:tc>
        <w:tc>
          <w:tcPr>
            <w:tcW w:w="1891" w:type="dxa"/>
            <w:vAlign w:val="center"/>
          </w:tcPr>
          <w:p>
            <w:pPr>
              <w:widowControl/>
              <w:jc w:val="center"/>
              <w:rPr>
                <w:rFonts w:ascii="仿宋" w:hAnsi="仿宋" w:eastAsia="仿宋"/>
                <w:kern w:val="0"/>
                <w:szCs w:val="21"/>
              </w:rPr>
            </w:pPr>
            <w:r>
              <w:rPr>
                <w:rFonts w:hint="eastAsia" w:ascii="仿宋" w:hAnsi="仿宋" w:eastAsia="仿宋"/>
                <w:kern w:val="0"/>
                <w:szCs w:val="21"/>
              </w:rPr>
              <w:t>S1</w:t>
            </w:r>
          </w:p>
        </w:tc>
        <w:tc>
          <w:tcPr>
            <w:tcW w:w="1134" w:type="dxa"/>
            <w:vAlign w:val="center"/>
          </w:tcPr>
          <w:p>
            <w:pPr>
              <w:widowControl/>
              <w:jc w:val="center"/>
              <w:rPr>
                <w:rFonts w:ascii="仿宋" w:hAnsi="仿宋" w:eastAsia="仿宋"/>
                <w:kern w:val="0"/>
                <w:szCs w:val="21"/>
              </w:rPr>
            </w:pPr>
            <w:r>
              <w:rPr>
                <w:rFonts w:hint="eastAsia" w:ascii="仿宋" w:hAnsi="仿宋" w:eastAsia="仿宋"/>
                <w:kern w:val="0"/>
                <w:szCs w:val="21"/>
              </w:rPr>
              <w:t>废胶水</w:t>
            </w:r>
          </w:p>
        </w:tc>
        <w:tc>
          <w:tcPr>
            <w:tcW w:w="1280" w:type="dxa"/>
            <w:vAlign w:val="center"/>
          </w:tcPr>
          <w:p>
            <w:pPr>
              <w:widowControl/>
              <w:jc w:val="center"/>
              <w:rPr>
                <w:rFonts w:ascii="仿宋" w:hAnsi="仿宋" w:eastAsia="仿宋"/>
                <w:kern w:val="0"/>
                <w:szCs w:val="21"/>
              </w:rPr>
            </w:pPr>
            <w:r>
              <w:rPr>
                <w:rFonts w:hint="eastAsia" w:ascii="仿宋" w:hAnsi="仿宋" w:eastAsia="仿宋"/>
                <w:kern w:val="0"/>
                <w:szCs w:val="21"/>
              </w:rPr>
              <w:t>配胶</w:t>
            </w:r>
          </w:p>
        </w:tc>
        <w:tc>
          <w:tcPr>
            <w:tcW w:w="687" w:type="dxa"/>
            <w:vAlign w:val="center"/>
          </w:tcPr>
          <w:p>
            <w:pPr>
              <w:tabs>
                <w:tab w:val="left" w:pos="3240"/>
              </w:tabs>
              <w:adjustRightInd w:val="0"/>
              <w:snapToGrid w:val="0"/>
              <w:jc w:val="center"/>
              <w:rPr>
                <w:rFonts w:ascii="仿宋" w:hAnsi="仿宋" w:eastAsia="仿宋"/>
                <w:bCs/>
                <w:kern w:val="0"/>
                <w:szCs w:val="21"/>
              </w:rPr>
            </w:pPr>
            <w:r>
              <w:rPr>
                <w:rFonts w:hint="eastAsia" w:ascii="仿宋" w:hAnsi="仿宋" w:eastAsia="仿宋"/>
                <w:bCs/>
                <w:kern w:val="0"/>
                <w:szCs w:val="21"/>
              </w:rPr>
              <w:t>液</w:t>
            </w:r>
          </w:p>
        </w:tc>
        <w:tc>
          <w:tcPr>
            <w:tcW w:w="1293" w:type="dxa"/>
            <w:vAlign w:val="center"/>
          </w:tcPr>
          <w:p>
            <w:pPr>
              <w:tabs>
                <w:tab w:val="left" w:pos="3240"/>
              </w:tabs>
              <w:adjustRightInd w:val="0"/>
              <w:snapToGrid w:val="0"/>
              <w:jc w:val="center"/>
              <w:rPr>
                <w:rFonts w:ascii="仿宋" w:hAnsi="仿宋" w:eastAsia="仿宋"/>
                <w:bCs/>
                <w:kern w:val="0"/>
                <w:szCs w:val="21"/>
              </w:rPr>
            </w:pPr>
            <w:r>
              <w:rPr>
                <w:rFonts w:hint="eastAsia" w:ascii="仿宋" w:hAnsi="仿宋" w:eastAsia="仿宋"/>
                <w:bCs/>
                <w:kern w:val="0"/>
                <w:szCs w:val="21"/>
              </w:rPr>
              <w:t>有机溶剂</w:t>
            </w:r>
          </w:p>
        </w:tc>
        <w:tc>
          <w:tcPr>
            <w:tcW w:w="902" w:type="dxa"/>
            <w:vAlign w:val="center"/>
          </w:tcPr>
          <w:p>
            <w:pPr>
              <w:widowControl/>
              <w:jc w:val="center"/>
              <w:rPr>
                <w:rFonts w:ascii="仿宋" w:hAnsi="仿宋" w:eastAsia="仿宋"/>
                <w:kern w:val="0"/>
                <w:szCs w:val="21"/>
              </w:rPr>
            </w:pPr>
            <w:r>
              <w:rPr>
                <w:rFonts w:ascii="仿宋" w:hAnsi="仿宋" w:eastAsia="仿宋"/>
                <w:kern w:val="0"/>
                <w:szCs w:val="21"/>
              </w:rPr>
              <w:t>1.814</w:t>
            </w:r>
          </w:p>
        </w:tc>
        <w:tc>
          <w:tcPr>
            <w:tcW w:w="478" w:type="dxa"/>
            <w:vAlign w:val="center"/>
          </w:tcPr>
          <w:p>
            <w:pPr>
              <w:widowControl/>
              <w:jc w:val="center"/>
              <w:rPr>
                <w:rFonts w:ascii="仿宋" w:hAnsi="仿宋" w:eastAsia="仿宋"/>
                <w:kern w:val="0"/>
                <w:szCs w:val="21"/>
              </w:rPr>
            </w:pPr>
            <w:r>
              <w:rPr>
                <w:rFonts w:ascii="仿宋" w:hAnsi="仿宋" w:eastAsia="仿宋"/>
                <w:kern w:val="0"/>
                <w:szCs w:val="21"/>
              </w:rPr>
              <w:t>√</w:t>
            </w:r>
          </w:p>
        </w:tc>
        <w:tc>
          <w:tcPr>
            <w:tcW w:w="529" w:type="dxa"/>
            <w:vAlign w:val="center"/>
          </w:tcPr>
          <w:p>
            <w:pPr>
              <w:widowControl/>
              <w:jc w:val="center"/>
              <w:rPr>
                <w:rFonts w:ascii="仿宋" w:hAnsi="仿宋" w:eastAsia="仿宋"/>
                <w:kern w:val="0"/>
                <w:szCs w:val="21"/>
              </w:rPr>
            </w:pPr>
          </w:p>
        </w:tc>
        <w:tc>
          <w:tcPr>
            <w:tcW w:w="779" w:type="dxa"/>
            <w:vMerge w:val="continue"/>
            <w:vAlign w:val="center"/>
          </w:tcPr>
          <w:p>
            <w:pPr>
              <w:widowControl/>
              <w:jc w:val="center"/>
              <w:rPr>
                <w:rFonts w:ascii="仿宋" w:hAnsi="仿宋"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67" w:type="dxa"/>
            <w:vAlign w:val="center"/>
          </w:tcPr>
          <w:p>
            <w:pPr>
              <w:widowControl/>
              <w:jc w:val="center"/>
              <w:rPr>
                <w:rFonts w:ascii="仿宋" w:hAnsi="仿宋" w:eastAsia="仿宋"/>
                <w:kern w:val="0"/>
                <w:szCs w:val="21"/>
              </w:rPr>
            </w:pPr>
            <w:r>
              <w:rPr>
                <w:rFonts w:hint="eastAsia" w:ascii="仿宋" w:hAnsi="仿宋" w:eastAsia="仿宋"/>
                <w:kern w:val="0"/>
                <w:szCs w:val="21"/>
              </w:rPr>
              <w:t>3</w:t>
            </w:r>
          </w:p>
        </w:tc>
        <w:tc>
          <w:tcPr>
            <w:tcW w:w="1891" w:type="dxa"/>
            <w:vAlign w:val="center"/>
          </w:tcPr>
          <w:p>
            <w:pPr>
              <w:widowControl/>
              <w:jc w:val="center"/>
              <w:rPr>
                <w:rFonts w:ascii="仿宋" w:hAnsi="仿宋" w:eastAsia="仿宋"/>
                <w:kern w:val="0"/>
                <w:szCs w:val="21"/>
              </w:rPr>
            </w:pPr>
            <w:r>
              <w:rPr>
                <w:rFonts w:hint="eastAsia" w:ascii="仿宋" w:hAnsi="仿宋" w:eastAsia="仿宋"/>
                <w:kern w:val="0"/>
                <w:szCs w:val="21"/>
              </w:rPr>
              <w:t>S2</w:t>
            </w:r>
          </w:p>
        </w:tc>
        <w:tc>
          <w:tcPr>
            <w:tcW w:w="1134" w:type="dxa"/>
            <w:vAlign w:val="center"/>
          </w:tcPr>
          <w:p>
            <w:pPr>
              <w:widowControl/>
              <w:jc w:val="center"/>
              <w:rPr>
                <w:rFonts w:ascii="仿宋" w:hAnsi="仿宋" w:eastAsia="仿宋"/>
                <w:kern w:val="0"/>
                <w:szCs w:val="21"/>
              </w:rPr>
            </w:pPr>
            <w:r>
              <w:rPr>
                <w:rFonts w:hint="eastAsia" w:ascii="仿宋" w:hAnsi="仿宋" w:eastAsia="仿宋"/>
                <w:kern w:val="0"/>
                <w:szCs w:val="21"/>
              </w:rPr>
              <w:t>废清洗液</w:t>
            </w:r>
          </w:p>
        </w:tc>
        <w:tc>
          <w:tcPr>
            <w:tcW w:w="1280" w:type="dxa"/>
            <w:vAlign w:val="center"/>
          </w:tcPr>
          <w:p>
            <w:pPr>
              <w:widowControl/>
              <w:jc w:val="center"/>
              <w:rPr>
                <w:rFonts w:ascii="仿宋" w:hAnsi="仿宋" w:eastAsia="仿宋"/>
                <w:kern w:val="0"/>
                <w:szCs w:val="21"/>
              </w:rPr>
            </w:pPr>
            <w:r>
              <w:rPr>
                <w:rFonts w:hint="eastAsia" w:ascii="仿宋" w:hAnsi="仿宋" w:eastAsia="仿宋"/>
                <w:kern w:val="0"/>
                <w:szCs w:val="21"/>
              </w:rPr>
              <w:t>清洗</w:t>
            </w:r>
          </w:p>
        </w:tc>
        <w:tc>
          <w:tcPr>
            <w:tcW w:w="687" w:type="dxa"/>
            <w:vAlign w:val="center"/>
          </w:tcPr>
          <w:p>
            <w:pPr>
              <w:tabs>
                <w:tab w:val="left" w:pos="3240"/>
              </w:tabs>
              <w:adjustRightInd w:val="0"/>
              <w:snapToGrid w:val="0"/>
              <w:jc w:val="center"/>
              <w:rPr>
                <w:rFonts w:ascii="仿宋" w:hAnsi="仿宋" w:eastAsia="仿宋"/>
                <w:bCs/>
                <w:kern w:val="0"/>
                <w:szCs w:val="21"/>
              </w:rPr>
            </w:pPr>
            <w:r>
              <w:rPr>
                <w:rFonts w:hint="eastAsia" w:ascii="仿宋" w:hAnsi="仿宋" w:eastAsia="仿宋"/>
                <w:bCs/>
                <w:kern w:val="0"/>
                <w:szCs w:val="21"/>
              </w:rPr>
              <w:t>液</w:t>
            </w:r>
          </w:p>
        </w:tc>
        <w:tc>
          <w:tcPr>
            <w:tcW w:w="1293" w:type="dxa"/>
            <w:vAlign w:val="center"/>
          </w:tcPr>
          <w:p>
            <w:pPr>
              <w:tabs>
                <w:tab w:val="left" w:pos="3240"/>
              </w:tabs>
              <w:adjustRightInd w:val="0"/>
              <w:snapToGrid w:val="0"/>
              <w:jc w:val="center"/>
              <w:rPr>
                <w:rFonts w:ascii="仿宋" w:hAnsi="仿宋" w:eastAsia="仿宋"/>
                <w:bCs/>
                <w:kern w:val="0"/>
                <w:szCs w:val="21"/>
              </w:rPr>
            </w:pPr>
            <w:r>
              <w:rPr>
                <w:rFonts w:ascii="仿宋" w:hAnsi="仿宋" w:eastAsia="仿宋"/>
                <w:bCs/>
                <w:kern w:val="0"/>
                <w:szCs w:val="21"/>
              </w:rPr>
              <w:t>有机溶剂</w:t>
            </w:r>
          </w:p>
        </w:tc>
        <w:tc>
          <w:tcPr>
            <w:tcW w:w="902" w:type="dxa"/>
            <w:vAlign w:val="center"/>
          </w:tcPr>
          <w:p>
            <w:pPr>
              <w:widowControl/>
              <w:jc w:val="center"/>
              <w:rPr>
                <w:rFonts w:ascii="仿宋" w:hAnsi="仿宋" w:eastAsia="仿宋"/>
                <w:kern w:val="0"/>
                <w:szCs w:val="21"/>
              </w:rPr>
            </w:pPr>
            <w:r>
              <w:rPr>
                <w:rFonts w:hint="eastAsia" w:ascii="仿宋" w:hAnsi="仿宋" w:eastAsia="仿宋"/>
                <w:kern w:val="0"/>
                <w:szCs w:val="21"/>
              </w:rPr>
              <w:t>3.6</w:t>
            </w:r>
          </w:p>
        </w:tc>
        <w:tc>
          <w:tcPr>
            <w:tcW w:w="478" w:type="dxa"/>
            <w:vAlign w:val="center"/>
          </w:tcPr>
          <w:p>
            <w:pPr>
              <w:widowControl/>
              <w:jc w:val="center"/>
              <w:rPr>
                <w:rFonts w:ascii="仿宋" w:hAnsi="仿宋" w:eastAsia="仿宋"/>
                <w:kern w:val="0"/>
                <w:szCs w:val="21"/>
              </w:rPr>
            </w:pPr>
            <w:r>
              <w:rPr>
                <w:rFonts w:ascii="仿宋" w:hAnsi="仿宋" w:eastAsia="仿宋"/>
                <w:kern w:val="0"/>
                <w:szCs w:val="21"/>
              </w:rPr>
              <w:t>√</w:t>
            </w:r>
          </w:p>
        </w:tc>
        <w:tc>
          <w:tcPr>
            <w:tcW w:w="529" w:type="dxa"/>
            <w:vAlign w:val="center"/>
          </w:tcPr>
          <w:p>
            <w:pPr>
              <w:widowControl/>
              <w:jc w:val="center"/>
              <w:rPr>
                <w:rFonts w:ascii="仿宋" w:hAnsi="仿宋" w:eastAsia="仿宋"/>
                <w:kern w:val="0"/>
                <w:szCs w:val="21"/>
              </w:rPr>
            </w:pPr>
          </w:p>
        </w:tc>
        <w:tc>
          <w:tcPr>
            <w:tcW w:w="779" w:type="dxa"/>
            <w:vMerge w:val="continue"/>
            <w:vAlign w:val="center"/>
          </w:tcPr>
          <w:p>
            <w:pPr>
              <w:widowControl/>
              <w:jc w:val="center"/>
              <w:rPr>
                <w:rFonts w:ascii="仿宋" w:hAnsi="仿宋"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67" w:type="dxa"/>
            <w:vAlign w:val="center"/>
          </w:tcPr>
          <w:p>
            <w:pPr>
              <w:widowControl/>
              <w:jc w:val="center"/>
              <w:rPr>
                <w:rFonts w:ascii="仿宋" w:hAnsi="仿宋" w:eastAsia="仿宋"/>
                <w:kern w:val="0"/>
                <w:szCs w:val="21"/>
              </w:rPr>
            </w:pPr>
            <w:r>
              <w:rPr>
                <w:rFonts w:hint="eastAsia" w:ascii="仿宋" w:hAnsi="仿宋" w:eastAsia="仿宋"/>
                <w:kern w:val="0"/>
                <w:szCs w:val="21"/>
              </w:rPr>
              <w:t>4</w:t>
            </w:r>
          </w:p>
        </w:tc>
        <w:tc>
          <w:tcPr>
            <w:tcW w:w="1891" w:type="dxa"/>
            <w:vAlign w:val="center"/>
          </w:tcPr>
          <w:p>
            <w:pPr>
              <w:widowControl/>
              <w:jc w:val="center"/>
              <w:rPr>
                <w:rFonts w:ascii="仿宋" w:hAnsi="仿宋" w:eastAsia="仿宋"/>
                <w:kern w:val="0"/>
                <w:szCs w:val="21"/>
              </w:rPr>
            </w:pPr>
            <w:r>
              <w:rPr>
                <w:rFonts w:hint="eastAsia" w:ascii="仿宋" w:hAnsi="仿宋" w:eastAsia="仿宋"/>
                <w:kern w:val="0"/>
                <w:szCs w:val="21"/>
              </w:rPr>
              <w:t>S3</w:t>
            </w:r>
          </w:p>
        </w:tc>
        <w:tc>
          <w:tcPr>
            <w:tcW w:w="1134" w:type="dxa"/>
            <w:vAlign w:val="center"/>
          </w:tcPr>
          <w:p>
            <w:pPr>
              <w:widowControl/>
              <w:jc w:val="center"/>
              <w:rPr>
                <w:rFonts w:ascii="仿宋" w:hAnsi="仿宋" w:eastAsia="仿宋"/>
                <w:kern w:val="0"/>
                <w:szCs w:val="21"/>
              </w:rPr>
            </w:pPr>
            <w:r>
              <w:rPr>
                <w:rFonts w:hint="eastAsia" w:ascii="仿宋" w:hAnsi="仿宋" w:eastAsia="仿宋"/>
                <w:kern w:val="0"/>
                <w:szCs w:val="21"/>
              </w:rPr>
              <w:t>废胶带</w:t>
            </w:r>
          </w:p>
        </w:tc>
        <w:tc>
          <w:tcPr>
            <w:tcW w:w="1280" w:type="dxa"/>
            <w:vAlign w:val="center"/>
          </w:tcPr>
          <w:p>
            <w:pPr>
              <w:widowControl/>
              <w:jc w:val="center"/>
              <w:rPr>
                <w:rFonts w:ascii="仿宋" w:hAnsi="仿宋" w:eastAsia="仿宋"/>
                <w:kern w:val="0"/>
                <w:szCs w:val="21"/>
              </w:rPr>
            </w:pPr>
            <w:r>
              <w:rPr>
                <w:rFonts w:hint="eastAsia" w:ascii="仿宋" w:hAnsi="仿宋" w:eastAsia="仿宋"/>
                <w:kern w:val="0"/>
                <w:szCs w:val="21"/>
              </w:rPr>
              <w:t>分切</w:t>
            </w:r>
          </w:p>
        </w:tc>
        <w:tc>
          <w:tcPr>
            <w:tcW w:w="687" w:type="dxa"/>
            <w:vAlign w:val="center"/>
          </w:tcPr>
          <w:p>
            <w:pPr>
              <w:tabs>
                <w:tab w:val="left" w:pos="3240"/>
              </w:tabs>
              <w:adjustRightInd w:val="0"/>
              <w:snapToGrid w:val="0"/>
              <w:jc w:val="center"/>
              <w:rPr>
                <w:rFonts w:ascii="仿宋" w:hAnsi="仿宋" w:eastAsia="仿宋"/>
                <w:bCs/>
                <w:kern w:val="0"/>
                <w:szCs w:val="21"/>
              </w:rPr>
            </w:pPr>
            <w:r>
              <w:rPr>
                <w:rFonts w:hint="eastAsia" w:ascii="仿宋" w:hAnsi="仿宋" w:eastAsia="仿宋"/>
                <w:bCs/>
                <w:kern w:val="0"/>
                <w:szCs w:val="21"/>
              </w:rPr>
              <w:t>固</w:t>
            </w:r>
          </w:p>
        </w:tc>
        <w:tc>
          <w:tcPr>
            <w:tcW w:w="1293" w:type="dxa"/>
            <w:vAlign w:val="center"/>
          </w:tcPr>
          <w:p>
            <w:pPr>
              <w:tabs>
                <w:tab w:val="left" w:pos="3240"/>
              </w:tabs>
              <w:adjustRightInd w:val="0"/>
              <w:snapToGrid w:val="0"/>
              <w:jc w:val="center"/>
              <w:rPr>
                <w:rFonts w:ascii="仿宋" w:hAnsi="仿宋" w:eastAsia="仿宋"/>
                <w:bCs/>
                <w:kern w:val="0"/>
                <w:szCs w:val="21"/>
              </w:rPr>
            </w:pPr>
            <w:r>
              <w:rPr>
                <w:rFonts w:hint="eastAsia" w:ascii="仿宋" w:hAnsi="仿宋" w:eastAsia="仿宋"/>
                <w:bCs/>
                <w:kern w:val="0"/>
                <w:szCs w:val="21"/>
              </w:rPr>
              <w:t>膜、胶粘剂固份</w:t>
            </w:r>
          </w:p>
        </w:tc>
        <w:tc>
          <w:tcPr>
            <w:tcW w:w="902" w:type="dxa"/>
            <w:vAlign w:val="center"/>
          </w:tcPr>
          <w:p>
            <w:pPr>
              <w:widowControl/>
              <w:jc w:val="center"/>
              <w:rPr>
                <w:rFonts w:ascii="仿宋" w:hAnsi="仿宋" w:eastAsia="仿宋"/>
                <w:kern w:val="0"/>
                <w:szCs w:val="21"/>
              </w:rPr>
            </w:pPr>
            <w:r>
              <w:rPr>
                <w:rFonts w:ascii="仿宋" w:hAnsi="仿宋" w:eastAsia="仿宋"/>
                <w:kern w:val="0"/>
                <w:szCs w:val="21"/>
              </w:rPr>
              <w:t>48.3</w:t>
            </w:r>
          </w:p>
        </w:tc>
        <w:tc>
          <w:tcPr>
            <w:tcW w:w="478" w:type="dxa"/>
            <w:vAlign w:val="center"/>
          </w:tcPr>
          <w:p>
            <w:pPr>
              <w:widowControl/>
              <w:jc w:val="center"/>
              <w:rPr>
                <w:rFonts w:ascii="仿宋" w:hAnsi="仿宋" w:eastAsia="仿宋"/>
                <w:kern w:val="0"/>
                <w:szCs w:val="21"/>
              </w:rPr>
            </w:pPr>
            <w:r>
              <w:rPr>
                <w:rFonts w:ascii="仿宋" w:hAnsi="仿宋" w:eastAsia="仿宋"/>
                <w:kern w:val="0"/>
                <w:szCs w:val="21"/>
              </w:rPr>
              <w:t>√</w:t>
            </w:r>
          </w:p>
        </w:tc>
        <w:tc>
          <w:tcPr>
            <w:tcW w:w="529" w:type="dxa"/>
            <w:vAlign w:val="center"/>
          </w:tcPr>
          <w:p>
            <w:pPr>
              <w:widowControl/>
              <w:jc w:val="center"/>
              <w:rPr>
                <w:rFonts w:ascii="仿宋" w:hAnsi="仿宋" w:eastAsia="仿宋"/>
                <w:kern w:val="0"/>
                <w:szCs w:val="21"/>
              </w:rPr>
            </w:pPr>
          </w:p>
        </w:tc>
        <w:tc>
          <w:tcPr>
            <w:tcW w:w="779" w:type="dxa"/>
            <w:vMerge w:val="continue"/>
            <w:vAlign w:val="center"/>
          </w:tcPr>
          <w:p>
            <w:pPr>
              <w:widowControl/>
              <w:jc w:val="center"/>
              <w:rPr>
                <w:rFonts w:ascii="仿宋" w:hAnsi="仿宋"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567" w:type="dxa"/>
            <w:vAlign w:val="center"/>
          </w:tcPr>
          <w:p>
            <w:pPr>
              <w:widowControl/>
              <w:jc w:val="center"/>
              <w:rPr>
                <w:rFonts w:ascii="仿宋" w:hAnsi="仿宋" w:eastAsia="仿宋"/>
                <w:kern w:val="0"/>
                <w:szCs w:val="21"/>
              </w:rPr>
            </w:pPr>
            <w:r>
              <w:rPr>
                <w:rFonts w:hint="eastAsia" w:ascii="仿宋" w:hAnsi="仿宋" w:eastAsia="仿宋"/>
                <w:kern w:val="0"/>
                <w:szCs w:val="21"/>
              </w:rPr>
              <w:t>5</w:t>
            </w:r>
          </w:p>
        </w:tc>
        <w:tc>
          <w:tcPr>
            <w:tcW w:w="1891" w:type="dxa"/>
            <w:vAlign w:val="center"/>
          </w:tcPr>
          <w:p>
            <w:pPr>
              <w:widowControl/>
              <w:jc w:val="center"/>
              <w:rPr>
                <w:rFonts w:ascii="仿宋" w:hAnsi="仿宋" w:eastAsia="仿宋"/>
                <w:kern w:val="0"/>
                <w:szCs w:val="21"/>
              </w:rPr>
            </w:pPr>
            <w:r>
              <w:rPr>
                <w:rFonts w:hint="eastAsia" w:ascii="仿宋" w:hAnsi="仿宋" w:eastAsia="仿宋"/>
                <w:kern w:val="0"/>
                <w:szCs w:val="21"/>
              </w:rPr>
              <w:t>S4</w:t>
            </w:r>
          </w:p>
        </w:tc>
        <w:tc>
          <w:tcPr>
            <w:tcW w:w="1134" w:type="dxa"/>
            <w:vAlign w:val="center"/>
          </w:tcPr>
          <w:p>
            <w:pPr>
              <w:widowControl/>
              <w:jc w:val="center"/>
              <w:rPr>
                <w:rFonts w:ascii="仿宋" w:hAnsi="仿宋" w:eastAsia="仿宋"/>
                <w:kern w:val="0"/>
                <w:szCs w:val="21"/>
              </w:rPr>
            </w:pPr>
            <w:r>
              <w:rPr>
                <w:rFonts w:hint="eastAsia" w:ascii="仿宋" w:hAnsi="仿宋" w:eastAsia="仿宋"/>
                <w:kern w:val="0"/>
                <w:szCs w:val="21"/>
              </w:rPr>
              <w:t>废原料桶</w:t>
            </w:r>
          </w:p>
        </w:tc>
        <w:tc>
          <w:tcPr>
            <w:tcW w:w="1280" w:type="dxa"/>
            <w:vAlign w:val="center"/>
          </w:tcPr>
          <w:p>
            <w:pPr>
              <w:widowControl/>
              <w:jc w:val="center"/>
              <w:rPr>
                <w:rFonts w:ascii="仿宋" w:hAnsi="仿宋" w:eastAsia="仿宋"/>
                <w:kern w:val="0"/>
                <w:szCs w:val="21"/>
              </w:rPr>
            </w:pPr>
            <w:r>
              <w:rPr>
                <w:rFonts w:hint="eastAsia" w:ascii="仿宋" w:hAnsi="仿宋" w:eastAsia="仿宋"/>
                <w:kern w:val="0"/>
                <w:szCs w:val="21"/>
              </w:rPr>
              <w:t>存储</w:t>
            </w:r>
          </w:p>
        </w:tc>
        <w:tc>
          <w:tcPr>
            <w:tcW w:w="687" w:type="dxa"/>
            <w:vAlign w:val="center"/>
          </w:tcPr>
          <w:p>
            <w:pPr>
              <w:tabs>
                <w:tab w:val="left" w:pos="3240"/>
              </w:tabs>
              <w:adjustRightInd w:val="0"/>
              <w:snapToGrid w:val="0"/>
              <w:jc w:val="center"/>
              <w:rPr>
                <w:rFonts w:ascii="仿宋" w:hAnsi="仿宋" w:eastAsia="仿宋"/>
                <w:bCs/>
                <w:kern w:val="0"/>
                <w:szCs w:val="21"/>
              </w:rPr>
            </w:pPr>
            <w:r>
              <w:rPr>
                <w:rFonts w:hint="eastAsia" w:ascii="仿宋" w:hAnsi="仿宋" w:eastAsia="仿宋"/>
                <w:bCs/>
                <w:kern w:val="0"/>
                <w:szCs w:val="21"/>
              </w:rPr>
              <w:t>固</w:t>
            </w:r>
          </w:p>
        </w:tc>
        <w:tc>
          <w:tcPr>
            <w:tcW w:w="1293" w:type="dxa"/>
            <w:vAlign w:val="center"/>
          </w:tcPr>
          <w:p>
            <w:pPr>
              <w:tabs>
                <w:tab w:val="left" w:pos="3240"/>
              </w:tabs>
              <w:adjustRightInd w:val="0"/>
              <w:snapToGrid w:val="0"/>
              <w:jc w:val="center"/>
              <w:rPr>
                <w:rFonts w:ascii="仿宋" w:hAnsi="仿宋" w:eastAsia="仿宋"/>
                <w:bCs/>
                <w:kern w:val="0"/>
                <w:szCs w:val="21"/>
              </w:rPr>
            </w:pPr>
            <w:r>
              <w:rPr>
                <w:rFonts w:hint="eastAsia" w:ascii="仿宋" w:hAnsi="仿宋" w:eastAsia="仿宋"/>
                <w:bCs/>
                <w:kern w:val="0"/>
                <w:szCs w:val="21"/>
              </w:rPr>
              <w:t>胶粘剂、固化剂</w:t>
            </w:r>
          </w:p>
        </w:tc>
        <w:tc>
          <w:tcPr>
            <w:tcW w:w="902" w:type="dxa"/>
            <w:vAlign w:val="center"/>
          </w:tcPr>
          <w:p>
            <w:pPr>
              <w:widowControl/>
              <w:jc w:val="center"/>
              <w:rPr>
                <w:rFonts w:ascii="仿宋" w:hAnsi="仿宋" w:eastAsia="仿宋"/>
                <w:kern w:val="0"/>
                <w:szCs w:val="21"/>
              </w:rPr>
            </w:pPr>
            <w:r>
              <w:rPr>
                <w:rFonts w:hint="eastAsia" w:ascii="仿宋" w:hAnsi="仿宋" w:eastAsia="仿宋"/>
                <w:kern w:val="0"/>
                <w:szCs w:val="21"/>
              </w:rPr>
              <w:t>2.2</w:t>
            </w:r>
          </w:p>
        </w:tc>
        <w:tc>
          <w:tcPr>
            <w:tcW w:w="478" w:type="dxa"/>
            <w:vAlign w:val="center"/>
          </w:tcPr>
          <w:p>
            <w:pPr>
              <w:widowControl/>
              <w:jc w:val="center"/>
              <w:rPr>
                <w:rFonts w:ascii="仿宋" w:hAnsi="仿宋" w:eastAsia="仿宋"/>
                <w:kern w:val="0"/>
                <w:szCs w:val="21"/>
              </w:rPr>
            </w:pPr>
            <w:r>
              <w:rPr>
                <w:rFonts w:ascii="仿宋" w:hAnsi="仿宋" w:eastAsia="仿宋"/>
                <w:kern w:val="0"/>
                <w:szCs w:val="21"/>
              </w:rPr>
              <w:t>√</w:t>
            </w:r>
          </w:p>
        </w:tc>
        <w:tc>
          <w:tcPr>
            <w:tcW w:w="529" w:type="dxa"/>
            <w:vAlign w:val="center"/>
          </w:tcPr>
          <w:p>
            <w:pPr>
              <w:widowControl/>
              <w:jc w:val="center"/>
              <w:rPr>
                <w:rFonts w:ascii="仿宋" w:hAnsi="仿宋" w:eastAsia="仿宋"/>
                <w:kern w:val="0"/>
                <w:szCs w:val="21"/>
              </w:rPr>
            </w:pPr>
          </w:p>
        </w:tc>
        <w:tc>
          <w:tcPr>
            <w:tcW w:w="779" w:type="dxa"/>
            <w:vMerge w:val="continue"/>
            <w:vAlign w:val="center"/>
          </w:tcPr>
          <w:p>
            <w:pPr>
              <w:widowControl/>
              <w:jc w:val="center"/>
              <w:rPr>
                <w:rFonts w:ascii="仿宋" w:hAnsi="仿宋"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67" w:type="dxa"/>
            <w:vAlign w:val="center"/>
          </w:tcPr>
          <w:p>
            <w:pPr>
              <w:widowControl/>
              <w:jc w:val="center"/>
              <w:rPr>
                <w:rFonts w:ascii="仿宋" w:hAnsi="仿宋" w:eastAsia="仿宋"/>
                <w:kern w:val="0"/>
                <w:szCs w:val="21"/>
              </w:rPr>
            </w:pPr>
            <w:r>
              <w:rPr>
                <w:rFonts w:hint="eastAsia" w:ascii="仿宋" w:hAnsi="仿宋" w:eastAsia="仿宋"/>
                <w:kern w:val="0"/>
                <w:szCs w:val="21"/>
              </w:rPr>
              <w:t>6</w:t>
            </w:r>
          </w:p>
        </w:tc>
        <w:tc>
          <w:tcPr>
            <w:tcW w:w="1891" w:type="dxa"/>
            <w:vAlign w:val="center"/>
          </w:tcPr>
          <w:p>
            <w:pPr>
              <w:widowControl/>
              <w:jc w:val="center"/>
              <w:rPr>
                <w:rFonts w:ascii="仿宋" w:hAnsi="仿宋" w:eastAsia="仿宋"/>
                <w:kern w:val="0"/>
                <w:szCs w:val="21"/>
              </w:rPr>
            </w:pPr>
            <w:r>
              <w:rPr>
                <w:rFonts w:hint="eastAsia" w:ascii="仿宋" w:hAnsi="仿宋" w:eastAsia="仿宋"/>
                <w:kern w:val="0"/>
                <w:szCs w:val="21"/>
              </w:rPr>
              <w:t>S5</w:t>
            </w:r>
          </w:p>
        </w:tc>
        <w:tc>
          <w:tcPr>
            <w:tcW w:w="1134" w:type="dxa"/>
            <w:vAlign w:val="center"/>
          </w:tcPr>
          <w:p>
            <w:pPr>
              <w:widowControl/>
              <w:jc w:val="center"/>
              <w:rPr>
                <w:rFonts w:ascii="仿宋" w:hAnsi="仿宋" w:eastAsia="仿宋"/>
                <w:kern w:val="0"/>
                <w:szCs w:val="21"/>
              </w:rPr>
            </w:pPr>
            <w:r>
              <w:rPr>
                <w:rFonts w:hint="eastAsia" w:ascii="仿宋" w:hAnsi="仿宋" w:eastAsia="仿宋"/>
                <w:kern w:val="0"/>
                <w:szCs w:val="21"/>
              </w:rPr>
              <w:t>废抹布手套</w:t>
            </w:r>
          </w:p>
        </w:tc>
        <w:tc>
          <w:tcPr>
            <w:tcW w:w="1280" w:type="dxa"/>
            <w:vAlign w:val="center"/>
          </w:tcPr>
          <w:p>
            <w:pPr>
              <w:widowControl/>
              <w:jc w:val="center"/>
              <w:rPr>
                <w:rFonts w:ascii="仿宋" w:hAnsi="仿宋" w:eastAsia="仿宋"/>
                <w:kern w:val="0"/>
                <w:szCs w:val="21"/>
              </w:rPr>
            </w:pPr>
            <w:r>
              <w:rPr>
                <w:rFonts w:hint="eastAsia" w:ascii="仿宋" w:hAnsi="仿宋" w:eastAsia="仿宋"/>
                <w:kern w:val="0"/>
                <w:szCs w:val="21"/>
              </w:rPr>
              <w:t>维修、清洗</w:t>
            </w:r>
          </w:p>
        </w:tc>
        <w:tc>
          <w:tcPr>
            <w:tcW w:w="687" w:type="dxa"/>
            <w:vAlign w:val="center"/>
          </w:tcPr>
          <w:p>
            <w:pPr>
              <w:tabs>
                <w:tab w:val="left" w:pos="3240"/>
              </w:tabs>
              <w:adjustRightInd w:val="0"/>
              <w:snapToGrid w:val="0"/>
              <w:jc w:val="center"/>
              <w:rPr>
                <w:rFonts w:ascii="仿宋" w:hAnsi="仿宋" w:eastAsia="仿宋"/>
                <w:bCs/>
                <w:kern w:val="0"/>
                <w:szCs w:val="21"/>
              </w:rPr>
            </w:pPr>
            <w:r>
              <w:rPr>
                <w:rFonts w:hint="eastAsia" w:ascii="仿宋" w:hAnsi="仿宋" w:eastAsia="仿宋"/>
                <w:bCs/>
                <w:kern w:val="0"/>
                <w:szCs w:val="21"/>
              </w:rPr>
              <w:t>固</w:t>
            </w:r>
          </w:p>
        </w:tc>
        <w:tc>
          <w:tcPr>
            <w:tcW w:w="1293" w:type="dxa"/>
            <w:vAlign w:val="center"/>
          </w:tcPr>
          <w:p>
            <w:pPr>
              <w:tabs>
                <w:tab w:val="left" w:pos="3240"/>
              </w:tabs>
              <w:adjustRightInd w:val="0"/>
              <w:snapToGrid w:val="0"/>
              <w:jc w:val="center"/>
              <w:rPr>
                <w:rFonts w:ascii="仿宋" w:hAnsi="仿宋" w:eastAsia="仿宋"/>
                <w:bCs/>
                <w:kern w:val="0"/>
                <w:szCs w:val="21"/>
              </w:rPr>
            </w:pPr>
            <w:r>
              <w:rPr>
                <w:rFonts w:hint="eastAsia" w:ascii="仿宋" w:hAnsi="仿宋" w:eastAsia="仿宋"/>
                <w:bCs/>
                <w:kern w:val="0"/>
                <w:szCs w:val="21"/>
              </w:rPr>
              <w:t>棉、有机物</w:t>
            </w:r>
          </w:p>
        </w:tc>
        <w:tc>
          <w:tcPr>
            <w:tcW w:w="902" w:type="dxa"/>
            <w:vAlign w:val="center"/>
          </w:tcPr>
          <w:p>
            <w:pPr>
              <w:widowControl/>
              <w:jc w:val="center"/>
              <w:rPr>
                <w:rFonts w:ascii="仿宋" w:hAnsi="仿宋" w:eastAsia="仿宋"/>
                <w:kern w:val="0"/>
                <w:szCs w:val="21"/>
              </w:rPr>
            </w:pPr>
            <w:r>
              <w:rPr>
                <w:rFonts w:hint="eastAsia" w:ascii="仿宋" w:hAnsi="仿宋" w:eastAsia="仿宋"/>
                <w:kern w:val="0"/>
                <w:szCs w:val="21"/>
              </w:rPr>
              <w:t>1</w:t>
            </w:r>
          </w:p>
        </w:tc>
        <w:tc>
          <w:tcPr>
            <w:tcW w:w="478" w:type="dxa"/>
            <w:vAlign w:val="center"/>
          </w:tcPr>
          <w:p>
            <w:pPr>
              <w:widowControl/>
              <w:jc w:val="center"/>
              <w:rPr>
                <w:rFonts w:ascii="仿宋" w:hAnsi="仿宋" w:eastAsia="仿宋"/>
                <w:kern w:val="0"/>
                <w:szCs w:val="21"/>
              </w:rPr>
            </w:pPr>
            <w:r>
              <w:rPr>
                <w:rFonts w:ascii="仿宋" w:hAnsi="仿宋" w:eastAsia="仿宋"/>
                <w:kern w:val="0"/>
                <w:szCs w:val="21"/>
              </w:rPr>
              <w:t>√</w:t>
            </w:r>
          </w:p>
        </w:tc>
        <w:tc>
          <w:tcPr>
            <w:tcW w:w="529" w:type="dxa"/>
            <w:vAlign w:val="center"/>
          </w:tcPr>
          <w:p>
            <w:pPr>
              <w:widowControl/>
              <w:jc w:val="center"/>
              <w:rPr>
                <w:rFonts w:ascii="仿宋" w:hAnsi="仿宋" w:eastAsia="仿宋"/>
                <w:kern w:val="0"/>
                <w:szCs w:val="21"/>
              </w:rPr>
            </w:pPr>
          </w:p>
        </w:tc>
        <w:tc>
          <w:tcPr>
            <w:tcW w:w="779" w:type="dxa"/>
            <w:vMerge w:val="continue"/>
            <w:vAlign w:val="center"/>
          </w:tcPr>
          <w:p>
            <w:pPr>
              <w:widowControl/>
              <w:jc w:val="center"/>
              <w:rPr>
                <w:rFonts w:ascii="仿宋" w:hAnsi="仿宋"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67" w:type="dxa"/>
            <w:vAlign w:val="center"/>
          </w:tcPr>
          <w:p>
            <w:pPr>
              <w:widowControl/>
              <w:jc w:val="center"/>
              <w:rPr>
                <w:rFonts w:ascii="仿宋" w:hAnsi="仿宋" w:eastAsia="仿宋"/>
                <w:kern w:val="0"/>
                <w:szCs w:val="21"/>
              </w:rPr>
            </w:pPr>
            <w:r>
              <w:rPr>
                <w:rFonts w:hint="eastAsia" w:ascii="仿宋" w:hAnsi="仿宋" w:eastAsia="仿宋"/>
                <w:kern w:val="0"/>
                <w:szCs w:val="21"/>
              </w:rPr>
              <w:t>7</w:t>
            </w:r>
          </w:p>
        </w:tc>
        <w:tc>
          <w:tcPr>
            <w:tcW w:w="1891" w:type="dxa"/>
            <w:vAlign w:val="center"/>
          </w:tcPr>
          <w:p>
            <w:pPr>
              <w:widowControl/>
              <w:jc w:val="center"/>
              <w:rPr>
                <w:rFonts w:ascii="仿宋" w:hAnsi="仿宋" w:eastAsia="仿宋"/>
                <w:kern w:val="0"/>
                <w:szCs w:val="21"/>
              </w:rPr>
            </w:pPr>
            <w:r>
              <w:rPr>
                <w:rFonts w:hint="eastAsia" w:ascii="仿宋" w:hAnsi="仿宋" w:eastAsia="仿宋"/>
                <w:kern w:val="0"/>
                <w:szCs w:val="21"/>
              </w:rPr>
              <w:t>S6</w:t>
            </w:r>
          </w:p>
        </w:tc>
        <w:tc>
          <w:tcPr>
            <w:tcW w:w="1134" w:type="dxa"/>
            <w:vAlign w:val="center"/>
          </w:tcPr>
          <w:p>
            <w:pPr>
              <w:widowControl/>
              <w:jc w:val="center"/>
              <w:rPr>
                <w:rFonts w:ascii="仿宋" w:hAnsi="仿宋" w:eastAsia="仿宋"/>
                <w:kern w:val="0"/>
                <w:szCs w:val="21"/>
              </w:rPr>
            </w:pPr>
            <w:r>
              <w:rPr>
                <w:rFonts w:hint="eastAsia" w:ascii="仿宋" w:hAnsi="仿宋" w:eastAsia="仿宋"/>
                <w:kern w:val="0"/>
                <w:szCs w:val="21"/>
              </w:rPr>
              <w:t>废机油</w:t>
            </w:r>
          </w:p>
        </w:tc>
        <w:tc>
          <w:tcPr>
            <w:tcW w:w="1280" w:type="dxa"/>
            <w:vAlign w:val="center"/>
          </w:tcPr>
          <w:p>
            <w:pPr>
              <w:widowControl/>
              <w:jc w:val="center"/>
              <w:rPr>
                <w:rFonts w:ascii="仿宋" w:hAnsi="仿宋" w:eastAsia="仿宋"/>
                <w:kern w:val="0"/>
                <w:szCs w:val="21"/>
              </w:rPr>
            </w:pPr>
            <w:r>
              <w:rPr>
                <w:rFonts w:hint="eastAsia" w:ascii="仿宋" w:hAnsi="仿宋" w:eastAsia="仿宋"/>
                <w:kern w:val="0"/>
                <w:szCs w:val="21"/>
              </w:rPr>
              <w:t>维修</w:t>
            </w:r>
          </w:p>
        </w:tc>
        <w:tc>
          <w:tcPr>
            <w:tcW w:w="687" w:type="dxa"/>
            <w:vAlign w:val="center"/>
          </w:tcPr>
          <w:p>
            <w:pPr>
              <w:tabs>
                <w:tab w:val="left" w:pos="3240"/>
              </w:tabs>
              <w:adjustRightInd w:val="0"/>
              <w:snapToGrid w:val="0"/>
              <w:jc w:val="center"/>
              <w:rPr>
                <w:rFonts w:ascii="仿宋" w:hAnsi="仿宋" w:eastAsia="仿宋"/>
                <w:bCs/>
                <w:kern w:val="0"/>
                <w:szCs w:val="21"/>
              </w:rPr>
            </w:pPr>
            <w:r>
              <w:rPr>
                <w:rFonts w:hint="eastAsia" w:ascii="仿宋" w:hAnsi="仿宋" w:eastAsia="仿宋"/>
                <w:bCs/>
                <w:kern w:val="0"/>
                <w:szCs w:val="21"/>
              </w:rPr>
              <w:t>液</w:t>
            </w:r>
          </w:p>
        </w:tc>
        <w:tc>
          <w:tcPr>
            <w:tcW w:w="1293" w:type="dxa"/>
            <w:vAlign w:val="center"/>
          </w:tcPr>
          <w:p>
            <w:pPr>
              <w:tabs>
                <w:tab w:val="left" w:pos="3240"/>
              </w:tabs>
              <w:adjustRightInd w:val="0"/>
              <w:snapToGrid w:val="0"/>
              <w:jc w:val="center"/>
              <w:rPr>
                <w:rFonts w:ascii="仿宋" w:hAnsi="仿宋" w:eastAsia="仿宋"/>
                <w:bCs/>
                <w:kern w:val="0"/>
                <w:szCs w:val="21"/>
              </w:rPr>
            </w:pPr>
            <w:r>
              <w:rPr>
                <w:rFonts w:hint="eastAsia" w:ascii="仿宋" w:hAnsi="仿宋" w:eastAsia="仿宋"/>
                <w:bCs/>
                <w:kern w:val="0"/>
                <w:szCs w:val="21"/>
              </w:rPr>
              <w:t>机油</w:t>
            </w:r>
          </w:p>
        </w:tc>
        <w:tc>
          <w:tcPr>
            <w:tcW w:w="902" w:type="dxa"/>
            <w:vAlign w:val="center"/>
          </w:tcPr>
          <w:p>
            <w:pPr>
              <w:widowControl/>
              <w:jc w:val="center"/>
              <w:rPr>
                <w:rFonts w:ascii="仿宋" w:hAnsi="仿宋" w:eastAsia="仿宋"/>
                <w:kern w:val="0"/>
                <w:szCs w:val="21"/>
              </w:rPr>
            </w:pPr>
            <w:r>
              <w:rPr>
                <w:rFonts w:hint="eastAsia" w:ascii="仿宋" w:hAnsi="仿宋" w:eastAsia="仿宋"/>
                <w:kern w:val="0"/>
                <w:szCs w:val="21"/>
              </w:rPr>
              <w:t>0.3</w:t>
            </w:r>
          </w:p>
        </w:tc>
        <w:tc>
          <w:tcPr>
            <w:tcW w:w="478" w:type="dxa"/>
            <w:vAlign w:val="center"/>
          </w:tcPr>
          <w:p>
            <w:pPr>
              <w:widowControl/>
              <w:jc w:val="center"/>
              <w:rPr>
                <w:rFonts w:ascii="仿宋" w:hAnsi="仿宋" w:eastAsia="仿宋"/>
                <w:kern w:val="0"/>
                <w:szCs w:val="21"/>
              </w:rPr>
            </w:pPr>
            <w:r>
              <w:rPr>
                <w:rFonts w:ascii="仿宋" w:hAnsi="仿宋" w:eastAsia="仿宋"/>
                <w:kern w:val="0"/>
                <w:szCs w:val="21"/>
              </w:rPr>
              <w:t>√</w:t>
            </w:r>
          </w:p>
        </w:tc>
        <w:tc>
          <w:tcPr>
            <w:tcW w:w="529" w:type="dxa"/>
            <w:vAlign w:val="center"/>
          </w:tcPr>
          <w:p>
            <w:pPr>
              <w:widowControl/>
              <w:jc w:val="center"/>
              <w:rPr>
                <w:rFonts w:ascii="仿宋" w:hAnsi="仿宋" w:eastAsia="仿宋"/>
                <w:kern w:val="0"/>
                <w:szCs w:val="21"/>
              </w:rPr>
            </w:pPr>
          </w:p>
        </w:tc>
        <w:tc>
          <w:tcPr>
            <w:tcW w:w="779" w:type="dxa"/>
            <w:vMerge w:val="continue"/>
            <w:vAlign w:val="center"/>
          </w:tcPr>
          <w:p>
            <w:pPr>
              <w:widowControl/>
              <w:jc w:val="center"/>
              <w:rPr>
                <w:rFonts w:ascii="仿宋" w:hAnsi="仿宋" w:eastAsia="仿宋"/>
                <w:kern w:val="0"/>
                <w:szCs w:val="21"/>
              </w:rPr>
            </w:pPr>
          </w:p>
        </w:tc>
      </w:tr>
    </w:tbl>
    <w:p>
      <w:pPr>
        <w:spacing w:line="500" w:lineRule="exact"/>
        <w:ind w:firstLine="482" w:firstLineChars="200"/>
        <w:jc w:val="center"/>
        <w:rPr>
          <w:rFonts w:eastAsia="仿宋_GB2312"/>
          <w:b/>
          <w:bCs/>
          <w:sz w:val="24"/>
        </w:rPr>
      </w:pPr>
      <w:r>
        <w:rPr>
          <w:rFonts w:eastAsia="仿宋_GB2312"/>
          <w:b/>
          <w:bCs/>
          <w:sz w:val="24"/>
        </w:rPr>
        <w:t>表3.</w:t>
      </w:r>
      <w:r>
        <w:rPr>
          <w:rFonts w:hint="eastAsia" w:eastAsia="仿宋_GB2312"/>
          <w:b/>
          <w:bCs/>
          <w:sz w:val="24"/>
        </w:rPr>
        <w:t>2</w:t>
      </w:r>
      <w:r>
        <w:rPr>
          <w:rFonts w:eastAsia="仿宋_GB2312"/>
          <w:b/>
          <w:bCs/>
          <w:sz w:val="24"/>
        </w:rPr>
        <w:t>-12 营运期固体废物分析结果汇总表</w:t>
      </w:r>
    </w:p>
    <w:tbl>
      <w:tblPr>
        <w:tblStyle w:val="87"/>
        <w:tblW w:w="56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3"/>
        <w:gridCol w:w="1165"/>
        <w:gridCol w:w="1019"/>
        <w:gridCol w:w="581"/>
        <w:gridCol w:w="725"/>
        <w:gridCol w:w="581"/>
        <w:gridCol w:w="728"/>
        <w:gridCol w:w="874"/>
        <w:gridCol w:w="580"/>
        <w:gridCol w:w="870"/>
        <w:gridCol w:w="879"/>
        <w:gridCol w:w="1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303" w:type="pct"/>
            <w:vAlign w:val="center"/>
          </w:tcPr>
          <w:p>
            <w:pPr>
              <w:widowControl/>
              <w:jc w:val="center"/>
              <w:rPr>
                <w:rFonts w:ascii="仿宋" w:hAnsi="仿宋" w:eastAsia="仿宋"/>
                <w:kern w:val="0"/>
                <w:szCs w:val="21"/>
              </w:rPr>
            </w:pPr>
            <w:r>
              <w:rPr>
                <w:rFonts w:hint="eastAsia" w:ascii="仿宋" w:hAnsi="仿宋" w:eastAsia="仿宋"/>
                <w:kern w:val="0"/>
                <w:szCs w:val="21"/>
              </w:rPr>
              <w:t>序号</w:t>
            </w:r>
          </w:p>
        </w:tc>
        <w:tc>
          <w:tcPr>
            <w:tcW w:w="606" w:type="pct"/>
            <w:vAlign w:val="center"/>
          </w:tcPr>
          <w:p>
            <w:pPr>
              <w:widowControl/>
              <w:jc w:val="center"/>
              <w:rPr>
                <w:rFonts w:ascii="仿宋" w:hAnsi="仿宋" w:eastAsia="仿宋"/>
                <w:kern w:val="0"/>
                <w:szCs w:val="21"/>
              </w:rPr>
            </w:pPr>
            <w:r>
              <w:rPr>
                <w:rFonts w:ascii="仿宋" w:hAnsi="仿宋" w:eastAsia="仿宋"/>
                <w:kern w:val="0"/>
                <w:szCs w:val="21"/>
              </w:rPr>
              <w:t>编号</w:t>
            </w:r>
          </w:p>
        </w:tc>
        <w:tc>
          <w:tcPr>
            <w:tcW w:w="530" w:type="pct"/>
            <w:tcMar>
              <w:left w:w="0" w:type="dxa"/>
              <w:right w:w="0" w:type="dxa"/>
            </w:tcMar>
            <w:vAlign w:val="center"/>
          </w:tcPr>
          <w:p>
            <w:pPr>
              <w:widowControl/>
              <w:jc w:val="center"/>
              <w:rPr>
                <w:rFonts w:ascii="仿宋" w:hAnsi="仿宋" w:eastAsia="仿宋"/>
                <w:kern w:val="0"/>
                <w:szCs w:val="21"/>
              </w:rPr>
            </w:pPr>
            <w:r>
              <w:rPr>
                <w:rFonts w:ascii="仿宋" w:hAnsi="仿宋" w:eastAsia="仿宋"/>
                <w:kern w:val="0"/>
                <w:szCs w:val="21"/>
              </w:rPr>
              <w:t>固废</w:t>
            </w:r>
          </w:p>
          <w:p>
            <w:pPr>
              <w:widowControl/>
              <w:jc w:val="center"/>
              <w:rPr>
                <w:rFonts w:ascii="仿宋" w:hAnsi="仿宋" w:eastAsia="仿宋"/>
                <w:kern w:val="0"/>
                <w:szCs w:val="21"/>
              </w:rPr>
            </w:pPr>
            <w:r>
              <w:rPr>
                <w:rFonts w:ascii="仿宋" w:hAnsi="仿宋" w:eastAsia="仿宋"/>
                <w:kern w:val="0"/>
                <w:szCs w:val="21"/>
              </w:rPr>
              <w:t>名称</w:t>
            </w:r>
          </w:p>
        </w:tc>
        <w:tc>
          <w:tcPr>
            <w:tcW w:w="302" w:type="pct"/>
            <w:tcMar>
              <w:left w:w="0" w:type="dxa"/>
              <w:right w:w="0" w:type="dxa"/>
            </w:tcMar>
            <w:vAlign w:val="center"/>
          </w:tcPr>
          <w:p>
            <w:pPr>
              <w:widowControl/>
              <w:jc w:val="center"/>
              <w:rPr>
                <w:rFonts w:ascii="仿宋" w:hAnsi="仿宋" w:eastAsia="仿宋"/>
                <w:kern w:val="0"/>
                <w:szCs w:val="21"/>
              </w:rPr>
            </w:pPr>
            <w:r>
              <w:rPr>
                <w:rFonts w:ascii="仿宋" w:hAnsi="仿宋" w:eastAsia="仿宋"/>
                <w:kern w:val="0"/>
                <w:szCs w:val="21"/>
              </w:rPr>
              <w:t>属性</w:t>
            </w:r>
          </w:p>
        </w:tc>
        <w:tc>
          <w:tcPr>
            <w:tcW w:w="377" w:type="pct"/>
            <w:tcMar>
              <w:left w:w="0" w:type="dxa"/>
              <w:right w:w="0" w:type="dxa"/>
            </w:tcMar>
            <w:vAlign w:val="center"/>
          </w:tcPr>
          <w:p>
            <w:pPr>
              <w:widowControl/>
              <w:jc w:val="center"/>
              <w:rPr>
                <w:rFonts w:ascii="仿宋" w:hAnsi="仿宋" w:eastAsia="仿宋"/>
                <w:kern w:val="0"/>
                <w:szCs w:val="21"/>
              </w:rPr>
            </w:pPr>
            <w:r>
              <w:rPr>
                <w:rFonts w:ascii="仿宋" w:hAnsi="仿宋" w:eastAsia="仿宋"/>
                <w:kern w:val="0"/>
                <w:szCs w:val="21"/>
              </w:rPr>
              <w:t>产生工序</w:t>
            </w:r>
          </w:p>
        </w:tc>
        <w:tc>
          <w:tcPr>
            <w:tcW w:w="302" w:type="pct"/>
            <w:tcMar>
              <w:left w:w="0" w:type="dxa"/>
              <w:right w:w="0" w:type="dxa"/>
            </w:tcMar>
            <w:vAlign w:val="center"/>
          </w:tcPr>
          <w:p>
            <w:pPr>
              <w:widowControl/>
              <w:jc w:val="center"/>
              <w:rPr>
                <w:rFonts w:ascii="仿宋" w:hAnsi="仿宋" w:eastAsia="仿宋"/>
                <w:kern w:val="0"/>
                <w:szCs w:val="21"/>
              </w:rPr>
            </w:pPr>
            <w:r>
              <w:rPr>
                <w:rFonts w:ascii="仿宋" w:hAnsi="仿宋" w:eastAsia="仿宋"/>
                <w:kern w:val="0"/>
                <w:szCs w:val="21"/>
              </w:rPr>
              <w:t>形态</w:t>
            </w:r>
          </w:p>
        </w:tc>
        <w:tc>
          <w:tcPr>
            <w:tcW w:w="379" w:type="pct"/>
            <w:tcMar>
              <w:left w:w="0" w:type="dxa"/>
              <w:right w:w="0" w:type="dxa"/>
            </w:tcMar>
            <w:vAlign w:val="center"/>
          </w:tcPr>
          <w:p>
            <w:pPr>
              <w:widowControl/>
              <w:jc w:val="center"/>
              <w:rPr>
                <w:rFonts w:ascii="仿宋" w:hAnsi="仿宋" w:eastAsia="仿宋"/>
                <w:kern w:val="0"/>
                <w:szCs w:val="21"/>
              </w:rPr>
            </w:pPr>
            <w:r>
              <w:rPr>
                <w:rFonts w:ascii="仿宋" w:hAnsi="仿宋" w:eastAsia="仿宋"/>
                <w:kern w:val="0"/>
                <w:szCs w:val="21"/>
              </w:rPr>
              <w:t>主要</w:t>
            </w:r>
          </w:p>
          <w:p>
            <w:pPr>
              <w:widowControl/>
              <w:jc w:val="center"/>
              <w:rPr>
                <w:rFonts w:ascii="仿宋" w:hAnsi="仿宋" w:eastAsia="仿宋"/>
                <w:kern w:val="0"/>
                <w:szCs w:val="21"/>
              </w:rPr>
            </w:pPr>
            <w:r>
              <w:rPr>
                <w:rFonts w:ascii="仿宋" w:hAnsi="仿宋" w:eastAsia="仿宋"/>
                <w:kern w:val="0"/>
                <w:szCs w:val="21"/>
              </w:rPr>
              <w:t>成分</w:t>
            </w:r>
          </w:p>
        </w:tc>
        <w:tc>
          <w:tcPr>
            <w:tcW w:w="455" w:type="pct"/>
            <w:tcMar>
              <w:left w:w="0" w:type="dxa"/>
              <w:right w:w="0" w:type="dxa"/>
            </w:tcMar>
            <w:vAlign w:val="center"/>
          </w:tcPr>
          <w:p>
            <w:pPr>
              <w:widowControl/>
              <w:jc w:val="center"/>
              <w:rPr>
                <w:rFonts w:ascii="仿宋" w:hAnsi="仿宋" w:eastAsia="仿宋"/>
                <w:kern w:val="0"/>
                <w:szCs w:val="21"/>
              </w:rPr>
            </w:pPr>
            <w:r>
              <w:rPr>
                <w:rFonts w:ascii="仿宋" w:hAnsi="仿宋" w:eastAsia="仿宋"/>
                <w:kern w:val="0"/>
                <w:szCs w:val="21"/>
              </w:rPr>
              <w:t>危险特性鉴别方法</w:t>
            </w:r>
          </w:p>
        </w:tc>
        <w:tc>
          <w:tcPr>
            <w:tcW w:w="302" w:type="pct"/>
            <w:vAlign w:val="center"/>
          </w:tcPr>
          <w:p>
            <w:pPr>
              <w:widowControl/>
              <w:jc w:val="center"/>
              <w:rPr>
                <w:rFonts w:ascii="仿宋" w:hAnsi="仿宋" w:eastAsia="仿宋"/>
                <w:kern w:val="0"/>
                <w:szCs w:val="21"/>
              </w:rPr>
            </w:pPr>
            <w:r>
              <w:rPr>
                <w:rFonts w:ascii="仿宋" w:hAnsi="仿宋" w:eastAsia="仿宋"/>
                <w:kern w:val="0"/>
                <w:szCs w:val="21"/>
              </w:rPr>
              <w:t>危险</w:t>
            </w:r>
          </w:p>
          <w:p>
            <w:pPr>
              <w:widowControl/>
              <w:jc w:val="center"/>
              <w:rPr>
                <w:rFonts w:ascii="仿宋" w:hAnsi="仿宋" w:eastAsia="仿宋"/>
                <w:kern w:val="0"/>
                <w:szCs w:val="21"/>
              </w:rPr>
            </w:pPr>
            <w:r>
              <w:rPr>
                <w:rFonts w:ascii="仿宋" w:hAnsi="仿宋" w:eastAsia="仿宋"/>
                <w:kern w:val="0"/>
                <w:szCs w:val="21"/>
              </w:rPr>
              <w:t>特性</w:t>
            </w:r>
          </w:p>
        </w:tc>
        <w:tc>
          <w:tcPr>
            <w:tcW w:w="453" w:type="pct"/>
            <w:vAlign w:val="center"/>
          </w:tcPr>
          <w:p>
            <w:pPr>
              <w:widowControl/>
              <w:jc w:val="center"/>
              <w:rPr>
                <w:rFonts w:ascii="仿宋" w:hAnsi="仿宋" w:eastAsia="仿宋"/>
                <w:kern w:val="0"/>
                <w:szCs w:val="21"/>
              </w:rPr>
            </w:pPr>
            <w:r>
              <w:rPr>
                <w:rFonts w:ascii="仿宋" w:hAnsi="仿宋" w:eastAsia="仿宋"/>
                <w:kern w:val="0"/>
                <w:szCs w:val="21"/>
              </w:rPr>
              <w:t>废物</w:t>
            </w:r>
          </w:p>
          <w:p>
            <w:pPr>
              <w:widowControl/>
              <w:jc w:val="center"/>
              <w:rPr>
                <w:rFonts w:ascii="仿宋" w:hAnsi="仿宋" w:eastAsia="仿宋"/>
                <w:kern w:val="0"/>
                <w:szCs w:val="21"/>
              </w:rPr>
            </w:pPr>
            <w:r>
              <w:rPr>
                <w:rFonts w:ascii="仿宋" w:hAnsi="仿宋" w:eastAsia="仿宋"/>
                <w:kern w:val="0"/>
                <w:szCs w:val="21"/>
              </w:rPr>
              <w:t>类别</w:t>
            </w:r>
          </w:p>
        </w:tc>
        <w:tc>
          <w:tcPr>
            <w:tcW w:w="456" w:type="pct"/>
            <w:vAlign w:val="center"/>
          </w:tcPr>
          <w:p>
            <w:pPr>
              <w:widowControl/>
              <w:jc w:val="center"/>
              <w:rPr>
                <w:rFonts w:ascii="仿宋" w:hAnsi="仿宋" w:eastAsia="仿宋"/>
                <w:kern w:val="0"/>
                <w:szCs w:val="21"/>
              </w:rPr>
            </w:pPr>
            <w:r>
              <w:rPr>
                <w:rFonts w:ascii="仿宋" w:hAnsi="仿宋" w:eastAsia="仿宋"/>
                <w:kern w:val="0"/>
                <w:szCs w:val="21"/>
              </w:rPr>
              <w:t>废物</w:t>
            </w:r>
          </w:p>
          <w:p>
            <w:pPr>
              <w:widowControl/>
              <w:jc w:val="center"/>
              <w:rPr>
                <w:rFonts w:ascii="仿宋" w:hAnsi="仿宋" w:eastAsia="仿宋"/>
                <w:kern w:val="0"/>
                <w:szCs w:val="21"/>
              </w:rPr>
            </w:pPr>
            <w:r>
              <w:rPr>
                <w:rFonts w:ascii="仿宋" w:hAnsi="仿宋" w:eastAsia="仿宋"/>
                <w:kern w:val="0"/>
                <w:szCs w:val="21"/>
              </w:rPr>
              <w:t>代码</w:t>
            </w:r>
          </w:p>
        </w:tc>
        <w:tc>
          <w:tcPr>
            <w:tcW w:w="529" w:type="pct"/>
            <w:vAlign w:val="center"/>
          </w:tcPr>
          <w:p>
            <w:pPr>
              <w:widowControl/>
              <w:jc w:val="center"/>
              <w:rPr>
                <w:rFonts w:ascii="仿宋" w:hAnsi="仿宋" w:eastAsia="仿宋"/>
                <w:kern w:val="0"/>
                <w:szCs w:val="21"/>
              </w:rPr>
            </w:pPr>
            <w:r>
              <w:rPr>
                <w:rFonts w:ascii="仿宋" w:hAnsi="仿宋" w:eastAsia="仿宋"/>
                <w:kern w:val="0"/>
                <w:szCs w:val="21"/>
              </w:rPr>
              <w:t>估算产生量（t/a）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303" w:type="pct"/>
            <w:vAlign w:val="center"/>
          </w:tcPr>
          <w:p>
            <w:pPr>
              <w:widowControl/>
              <w:jc w:val="center"/>
              <w:rPr>
                <w:rFonts w:ascii="仿宋" w:hAnsi="仿宋" w:eastAsia="仿宋"/>
                <w:kern w:val="0"/>
                <w:sz w:val="22"/>
                <w:szCs w:val="22"/>
              </w:rPr>
            </w:pPr>
            <w:r>
              <w:rPr>
                <w:rFonts w:hint="eastAsia" w:ascii="仿宋" w:hAnsi="仿宋" w:eastAsia="仿宋"/>
                <w:sz w:val="22"/>
                <w:szCs w:val="22"/>
              </w:rPr>
              <w:t>1</w:t>
            </w:r>
          </w:p>
        </w:tc>
        <w:tc>
          <w:tcPr>
            <w:tcW w:w="606" w:type="pct"/>
            <w:vAlign w:val="center"/>
          </w:tcPr>
          <w:p>
            <w:pPr>
              <w:jc w:val="center"/>
              <w:rPr>
                <w:rFonts w:ascii="仿宋" w:hAnsi="仿宋" w:eastAsia="仿宋"/>
                <w:szCs w:val="21"/>
              </w:rPr>
            </w:pPr>
            <w:r>
              <w:rPr>
                <w:rFonts w:ascii="仿宋" w:hAnsi="仿宋" w:eastAsia="仿宋"/>
                <w:szCs w:val="21"/>
                <w:vertAlign w:val="subscript"/>
              </w:rPr>
              <w:t>/</w:t>
            </w:r>
          </w:p>
        </w:tc>
        <w:tc>
          <w:tcPr>
            <w:tcW w:w="530" w:type="pct"/>
            <w:tcMar>
              <w:left w:w="0" w:type="dxa"/>
              <w:right w:w="0" w:type="dxa"/>
            </w:tcMar>
            <w:vAlign w:val="center"/>
          </w:tcPr>
          <w:p>
            <w:pPr>
              <w:jc w:val="center"/>
              <w:rPr>
                <w:rFonts w:ascii="仿宋" w:hAnsi="仿宋" w:eastAsia="仿宋" w:cs="宋体"/>
                <w:szCs w:val="21"/>
              </w:rPr>
            </w:pPr>
            <w:r>
              <w:rPr>
                <w:rFonts w:hint="eastAsia" w:ascii="仿宋" w:hAnsi="仿宋" w:eastAsia="仿宋"/>
                <w:szCs w:val="21"/>
              </w:rPr>
              <w:t>生活垃圾</w:t>
            </w:r>
          </w:p>
        </w:tc>
        <w:tc>
          <w:tcPr>
            <w:tcW w:w="302" w:type="pct"/>
            <w:tcMar>
              <w:left w:w="0" w:type="dxa"/>
              <w:right w:w="0" w:type="dxa"/>
            </w:tcMar>
            <w:vAlign w:val="center"/>
          </w:tcPr>
          <w:p>
            <w:pPr>
              <w:jc w:val="center"/>
              <w:rPr>
                <w:rFonts w:ascii="仿宋" w:hAnsi="仿宋" w:eastAsia="仿宋"/>
                <w:szCs w:val="21"/>
              </w:rPr>
            </w:pPr>
            <w:r>
              <w:rPr>
                <w:rFonts w:ascii="仿宋" w:hAnsi="仿宋" w:eastAsia="仿宋"/>
                <w:szCs w:val="21"/>
              </w:rPr>
              <w:t>/</w:t>
            </w:r>
          </w:p>
        </w:tc>
        <w:tc>
          <w:tcPr>
            <w:tcW w:w="377" w:type="pct"/>
            <w:tcMar>
              <w:left w:w="0" w:type="dxa"/>
              <w:right w:w="0" w:type="dxa"/>
            </w:tcMar>
            <w:vAlign w:val="center"/>
          </w:tcPr>
          <w:p>
            <w:pPr>
              <w:jc w:val="center"/>
              <w:rPr>
                <w:rFonts w:ascii="仿宋" w:hAnsi="仿宋" w:eastAsia="仿宋" w:cs="宋体"/>
                <w:szCs w:val="21"/>
              </w:rPr>
            </w:pPr>
            <w:r>
              <w:rPr>
                <w:rFonts w:hint="eastAsia" w:ascii="仿宋" w:hAnsi="仿宋" w:eastAsia="仿宋"/>
                <w:szCs w:val="21"/>
              </w:rPr>
              <w:t>办公、生活</w:t>
            </w:r>
          </w:p>
        </w:tc>
        <w:tc>
          <w:tcPr>
            <w:tcW w:w="302" w:type="pct"/>
            <w:tcMar>
              <w:left w:w="0" w:type="dxa"/>
              <w:right w:w="0" w:type="dxa"/>
            </w:tcMar>
            <w:vAlign w:val="center"/>
          </w:tcPr>
          <w:p>
            <w:pPr>
              <w:jc w:val="center"/>
              <w:rPr>
                <w:rFonts w:ascii="仿宋" w:hAnsi="仿宋" w:eastAsia="仿宋"/>
                <w:szCs w:val="21"/>
              </w:rPr>
            </w:pPr>
            <w:r>
              <w:rPr>
                <w:rFonts w:hint="eastAsia" w:ascii="仿宋" w:hAnsi="仿宋" w:eastAsia="仿宋"/>
                <w:szCs w:val="21"/>
              </w:rPr>
              <w:t>固</w:t>
            </w:r>
          </w:p>
        </w:tc>
        <w:tc>
          <w:tcPr>
            <w:tcW w:w="379" w:type="pct"/>
            <w:tcMar>
              <w:left w:w="0" w:type="dxa"/>
              <w:right w:w="0" w:type="dxa"/>
            </w:tcMar>
            <w:vAlign w:val="center"/>
          </w:tcPr>
          <w:p>
            <w:pPr>
              <w:jc w:val="center"/>
              <w:rPr>
                <w:rFonts w:ascii="仿宋" w:hAnsi="仿宋" w:eastAsia="仿宋"/>
                <w:szCs w:val="21"/>
              </w:rPr>
            </w:pPr>
            <w:r>
              <w:rPr>
                <w:rFonts w:hint="eastAsia" w:ascii="仿宋" w:hAnsi="仿宋" w:eastAsia="仿宋"/>
                <w:szCs w:val="21"/>
              </w:rPr>
              <w:t>生活垃圾</w:t>
            </w:r>
          </w:p>
        </w:tc>
        <w:tc>
          <w:tcPr>
            <w:tcW w:w="455" w:type="pct"/>
            <w:vMerge w:val="restart"/>
            <w:tcMar>
              <w:left w:w="0" w:type="dxa"/>
              <w:right w:w="0" w:type="dxa"/>
            </w:tcMar>
            <w:vAlign w:val="center"/>
          </w:tcPr>
          <w:p>
            <w:pPr>
              <w:tabs>
                <w:tab w:val="left" w:pos="3240"/>
              </w:tabs>
              <w:adjustRightInd w:val="0"/>
              <w:snapToGrid w:val="0"/>
              <w:jc w:val="center"/>
              <w:rPr>
                <w:rFonts w:ascii="仿宋" w:hAnsi="仿宋" w:eastAsia="仿宋"/>
                <w:bCs/>
                <w:kern w:val="0"/>
                <w:szCs w:val="21"/>
              </w:rPr>
            </w:pPr>
            <w:r>
              <w:rPr>
                <w:rFonts w:ascii="仿宋" w:hAnsi="仿宋" w:eastAsia="仿宋"/>
                <w:bCs/>
                <w:kern w:val="0"/>
                <w:szCs w:val="21"/>
              </w:rPr>
              <w:t>《国家危险废物名录》（2021年）</w:t>
            </w:r>
          </w:p>
        </w:tc>
        <w:tc>
          <w:tcPr>
            <w:tcW w:w="1213" w:type="pct"/>
            <w:gridSpan w:val="3"/>
            <w:vAlign w:val="center"/>
          </w:tcPr>
          <w:p>
            <w:pPr>
              <w:jc w:val="center"/>
              <w:rPr>
                <w:rFonts w:ascii="仿宋" w:hAnsi="仿宋" w:eastAsia="仿宋"/>
                <w:szCs w:val="21"/>
              </w:rPr>
            </w:pPr>
            <w:r>
              <w:rPr>
                <w:rFonts w:ascii="仿宋" w:hAnsi="仿宋" w:eastAsia="仿宋"/>
                <w:szCs w:val="21"/>
              </w:rPr>
              <w:t>/</w:t>
            </w:r>
          </w:p>
        </w:tc>
        <w:tc>
          <w:tcPr>
            <w:tcW w:w="529" w:type="pct"/>
            <w:vAlign w:val="center"/>
          </w:tcPr>
          <w:p>
            <w:pPr>
              <w:jc w:val="center"/>
              <w:rPr>
                <w:rFonts w:ascii="仿宋" w:hAnsi="仿宋" w:eastAsia="仿宋"/>
                <w:szCs w:val="21"/>
              </w:rPr>
            </w:pPr>
            <w:r>
              <w:rPr>
                <w:rFonts w:hint="eastAsia" w:ascii="仿宋" w:hAnsi="仿宋" w:eastAsia="仿宋"/>
                <w:szCs w:val="21"/>
              </w:rPr>
              <w:t>6.75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303" w:type="pct"/>
            <w:vAlign w:val="center"/>
          </w:tcPr>
          <w:p>
            <w:pPr>
              <w:jc w:val="center"/>
              <w:rPr>
                <w:rFonts w:ascii="仿宋" w:hAnsi="仿宋" w:eastAsia="仿宋"/>
                <w:sz w:val="22"/>
                <w:szCs w:val="22"/>
              </w:rPr>
            </w:pPr>
            <w:r>
              <w:rPr>
                <w:rFonts w:hint="eastAsia" w:ascii="仿宋" w:hAnsi="仿宋" w:eastAsia="仿宋"/>
                <w:sz w:val="22"/>
                <w:szCs w:val="22"/>
              </w:rPr>
              <w:t>2</w:t>
            </w:r>
          </w:p>
        </w:tc>
        <w:tc>
          <w:tcPr>
            <w:tcW w:w="606" w:type="pct"/>
            <w:vAlign w:val="center"/>
          </w:tcPr>
          <w:p>
            <w:pPr>
              <w:jc w:val="center"/>
              <w:rPr>
                <w:rFonts w:ascii="仿宋" w:hAnsi="仿宋" w:eastAsia="仿宋"/>
                <w:szCs w:val="21"/>
              </w:rPr>
            </w:pPr>
            <w:r>
              <w:rPr>
                <w:rFonts w:hint="eastAsia" w:ascii="仿宋" w:hAnsi="仿宋" w:eastAsia="仿宋"/>
                <w:kern w:val="0"/>
                <w:szCs w:val="21"/>
              </w:rPr>
              <w:t>S3</w:t>
            </w:r>
          </w:p>
        </w:tc>
        <w:tc>
          <w:tcPr>
            <w:tcW w:w="530" w:type="pct"/>
            <w:tcMar>
              <w:left w:w="0" w:type="dxa"/>
              <w:right w:w="0" w:type="dxa"/>
            </w:tcMar>
            <w:vAlign w:val="center"/>
          </w:tcPr>
          <w:p>
            <w:pPr>
              <w:jc w:val="center"/>
              <w:rPr>
                <w:rFonts w:ascii="仿宋" w:hAnsi="仿宋" w:eastAsia="仿宋" w:cs="宋体"/>
                <w:szCs w:val="21"/>
              </w:rPr>
            </w:pPr>
            <w:r>
              <w:rPr>
                <w:rFonts w:hint="eastAsia" w:ascii="仿宋" w:hAnsi="仿宋" w:eastAsia="仿宋"/>
                <w:szCs w:val="21"/>
              </w:rPr>
              <w:t>废胶带</w:t>
            </w:r>
          </w:p>
        </w:tc>
        <w:tc>
          <w:tcPr>
            <w:tcW w:w="302" w:type="pct"/>
            <w:tcMar>
              <w:left w:w="0" w:type="dxa"/>
              <w:right w:w="0" w:type="dxa"/>
            </w:tcMar>
            <w:vAlign w:val="center"/>
          </w:tcPr>
          <w:p>
            <w:pPr>
              <w:jc w:val="center"/>
              <w:rPr>
                <w:rFonts w:ascii="仿宋" w:hAnsi="仿宋" w:eastAsia="仿宋"/>
                <w:szCs w:val="21"/>
              </w:rPr>
            </w:pPr>
            <w:r>
              <w:rPr>
                <w:rFonts w:hint="eastAsia" w:ascii="仿宋" w:hAnsi="仿宋" w:eastAsia="仿宋"/>
                <w:szCs w:val="21"/>
              </w:rPr>
              <w:t>一般固废</w:t>
            </w:r>
          </w:p>
        </w:tc>
        <w:tc>
          <w:tcPr>
            <w:tcW w:w="377" w:type="pct"/>
            <w:tcMar>
              <w:left w:w="0" w:type="dxa"/>
              <w:right w:w="0" w:type="dxa"/>
            </w:tcMar>
            <w:vAlign w:val="center"/>
          </w:tcPr>
          <w:p>
            <w:pPr>
              <w:widowControl/>
              <w:jc w:val="center"/>
              <w:rPr>
                <w:rFonts w:ascii="仿宋" w:hAnsi="仿宋" w:eastAsia="仿宋"/>
                <w:kern w:val="0"/>
                <w:szCs w:val="21"/>
              </w:rPr>
            </w:pPr>
            <w:r>
              <w:rPr>
                <w:rFonts w:hint="eastAsia" w:ascii="仿宋" w:hAnsi="仿宋" w:eastAsia="仿宋"/>
                <w:kern w:val="0"/>
                <w:szCs w:val="21"/>
              </w:rPr>
              <w:t>分切</w:t>
            </w:r>
          </w:p>
        </w:tc>
        <w:tc>
          <w:tcPr>
            <w:tcW w:w="302" w:type="pct"/>
            <w:tcMar>
              <w:left w:w="0" w:type="dxa"/>
              <w:right w:w="0" w:type="dxa"/>
            </w:tcMar>
            <w:vAlign w:val="center"/>
          </w:tcPr>
          <w:p>
            <w:pPr>
              <w:tabs>
                <w:tab w:val="left" w:pos="3240"/>
              </w:tabs>
              <w:adjustRightInd w:val="0"/>
              <w:snapToGrid w:val="0"/>
              <w:jc w:val="center"/>
              <w:rPr>
                <w:rFonts w:ascii="仿宋" w:hAnsi="仿宋" w:eastAsia="仿宋"/>
                <w:bCs/>
                <w:kern w:val="0"/>
                <w:szCs w:val="21"/>
              </w:rPr>
            </w:pPr>
            <w:r>
              <w:rPr>
                <w:rFonts w:hint="eastAsia" w:ascii="仿宋" w:hAnsi="仿宋" w:eastAsia="仿宋"/>
                <w:bCs/>
                <w:kern w:val="0"/>
                <w:szCs w:val="21"/>
              </w:rPr>
              <w:t>固</w:t>
            </w:r>
          </w:p>
        </w:tc>
        <w:tc>
          <w:tcPr>
            <w:tcW w:w="379" w:type="pct"/>
            <w:tcMar>
              <w:left w:w="0" w:type="dxa"/>
              <w:right w:w="0" w:type="dxa"/>
            </w:tcMar>
            <w:vAlign w:val="center"/>
          </w:tcPr>
          <w:p>
            <w:pPr>
              <w:tabs>
                <w:tab w:val="left" w:pos="3240"/>
              </w:tabs>
              <w:adjustRightInd w:val="0"/>
              <w:snapToGrid w:val="0"/>
              <w:jc w:val="center"/>
              <w:rPr>
                <w:rFonts w:ascii="仿宋" w:hAnsi="仿宋" w:eastAsia="仿宋"/>
                <w:bCs/>
                <w:kern w:val="0"/>
                <w:szCs w:val="21"/>
              </w:rPr>
            </w:pPr>
            <w:r>
              <w:rPr>
                <w:rFonts w:hint="eastAsia" w:ascii="仿宋" w:hAnsi="仿宋" w:eastAsia="仿宋"/>
                <w:bCs/>
                <w:kern w:val="0"/>
                <w:szCs w:val="21"/>
              </w:rPr>
              <w:t>膜、胶粘剂固份</w:t>
            </w:r>
          </w:p>
        </w:tc>
        <w:tc>
          <w:tcPr>
            <w:tcW w:w="455" w:type="pct"/>
            <w:vMerge w:val="continue"/>
            <w:tcMar>
              <w:left w:w="0" w:type="dxa"/>
              <w:right w:w="0" w:type="dxa"/>
            </w:tcMar>
            <w:vAlign w:val="center"/>
          </w:tcPr>
          <w:p>
            <w:pPr>
              <w:tabs>
                <w:tab w:val="left" w:pos="3240"/>
              </w:tabs>
              <w:adjustRightInd w:val="0"/>
              <w:snapToGrid w:val="0"/>
              <w:jc w:val="center"/>
              <w:rPr>
                <w:rFonts w:ascii="仿宋" w:hAnsi="仿宋" w:eastAsia="仿宋"/>
                <w:bCs/>
                <w:kern w:val="0"/>
                <w:szCs w:val="21"/>
              </w:rPr>
            </w:pPr>
          </w:p>
        </w:tc>
        <w:tc>
          <w:tcPr>
            <w:tcW w:w="1213" w:type="pct"/>
            <w:gridSpan w:val="3"/>
            <w:vAlign w:val="center"/>
          </w:tcPr>
          <w:p>
            <w:pPr>
              <w:jc w:val="center"/>
              <w:rPr>
                <w:rFonts w:ascii="仿宋" w:hAnsi="仿宋" w:eastAsia="仿宋"/>
                <w:szCs w:val="21"/>
              </w:rPr>
            </w:pPr>
            <w:r>
              <w:rPr>
                <w:rFonts w:hint="eastAsia" w:ascii="仿宋" w:hAnsi="仿宋" w:eastAsia="仿宋"/>
                <w:szCs w:val="21"/>
              </w:rPr>
              <w:t>292</w:t>
            </w:r>
            <w:r>
              <w:rPr>
                <w:rFonts w:ascii="仿宋" w:hAnsi="仿宋" w:eastAsia="仿宋"/>
                <w:szCs w:val="21"/>
              </w:rPr>
              <w:t>-001-99</w:t>
            </w:r>
          </w:p>
        </w:tc>
        <w:tc>
          <w:tcPr>
            <w:tcW w:w="529" w:type="pct"/>
            <w:vAlign w:val="center"/>
          </w:tcPr>
          <w:p>
            <w:pPr>
              <w:jc w:val="center"/>
              <w:rPr>
                <w:rFonts w:ascii="仿宋" w:hAnsi="仿宋" w:eastAsia="仿宋"/>
                <w:szCs w:val="21"/>
              </w:rPr>
            </w:pPr>
            <w:r>
              <w:rPr>
                <w:rFonts w:ascii="仿宋" w:hAnsi="仿宋" w:eastAsia="仿宋"/>
                <w:szCs w:val="21"/>
              </w:rPr>
              <w:t>48.3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303" w:type="pct"/>
            <w:vAlign w:val="center"/>
          </w:tcPr>
          <w:p>
            <w:pPr>
              <w:jc w:val="center"/>
              <w:rPr>
                <w:rFonts w:ascii="仿宋" w:hAnsi="仿宋" w:eastAsia="仿宋"/>
                <w:sz w:val="22"/>
                <w:szCs w:val="22"/>
              </w:rPr>
            </w:pPr>
            <w:r>
              <w:rPr>
                <w:rFonts w:hint="eastAsia" w:ascii="仿宋" w:hAnsi="仿宋" w:eastAsia="仿宋"/>
                <w:sz w:val="22"/>
                <w:szCs w:val="22"/>
              </w:rPr>
              <w:t>3</w:t>
            </w:r>
          </w:p>
        </w:tc>
        <w:tc>
          <w:tcPr>
            <w:tcW w:w="606" w:type="pct"/>
            <w:vAlign w:val="center"/>
          </w:tcPr>
          <w:p>
            <w:pPr>
              <w:jc w:val="center"/>
              <w:rPr>
                <w:rFonts w:ascii="仿宋" w:hAnsi="仿宋" w:eastAsia="仿宋"/>
                <w:kern w:val="0"/>
                <w:szCs w:val="21"/>
              </w:rPr>
            </w:pPr>
            <w:r>
              <w:rPr>
                <w:rFonts w:hint="eastAsia" w:ascii="仿宋" w:hAnsi="仿宋" w:eastAsia="仿宋"/>
                <w:kern w:val="0"/>
                <w:szCs w:val="21"/>
              </w:rPr>
              <w:t>S1</w:t>
            </w:r>
          </w:p>
        </w:tc>
        <w:tc>
          <w:tcPr>
            <w:tcW w:w="530" w:type="pct"/>
            <w:tcMar>
              <w:left w:w="0" w:type="dxa"/>
              <w:right w:w="0" w:type="dxa"/>
            </w:tcMar>
            <w:vAlign w:val="center"/>
          </w:tcPr>
          <w:p>
            <w:pPr>
              <w:jc w:val="center"/>
              <w:rPr>
                <w:rFonts w:ascii="仿宋" w:hAnsi="仿宋" w:eastAsia="仿宋"/>
                <w:kern w:val="0"/>
                <w:szCs w:val="21"/>
              </w:rPr>
            </w:pPr>
            <w:r>
              <w:rPr>
                <w:rFonts w:hint="eastAsia" w:ascii="仿宋" w:hAnsi="仿宋" w:eastAsia="仿宋"/>
                <w:szCs w:val="21"/>
              </w:rPr>
              <w:t>废胶水</w:t>
            </w:r>
          </w:p>
        </w:tc>
        <w:tc>
          <w:tcPr>
            <w:tcW w:w="302" w:type="pct"/>
            <w:tcMar>
              <w:left w:w="0" w:type="dxa"/>
              <w:right w:w="0" w:type="dxa"/>
            </w:tcMar>
            <w:vAlign w:val="center"/>
          </w:tcPr>
          <w:p>
            <w:pPr>
              <w:jc w:val="center"/>
              <w:rPr>
                <w:rFonts w:ascii="仿宋" w:hAnsi="仿宋" w:eastAsia="仿宋"/>
                <w:szCs w:val="21"/>
              </w:rPr>
            </w:pPr>
            <w:r>
              <w:rPr>
                <w:rFonts w:hint="eastAsia" w:ascii="仿宋" w:hAnsi="仿宋" w:eastAsia="仿宋"/>
                <w:szCs w:val="21"/>
              </w:rPr>
              <w:t>危险固废</w:t>
            </w:r>
          </w:p>
        </w:tc>
        <w:tc>
          <w:tcPr>
            <w:tcW w:w="377" w:type="pct"/>
            <w:tcMar>
              <w:left w:w="0" w:type="dxa"/>
              <w:right w:w="0" w:type="dxa"/>
            </w:tcMar>
            <w:vAlign w:val="center"/>
          </w:tcPr>
          <w:p>
            <w:pPr>
              <w:widowControl/>
              <w:jc w:val="center"/>
              <w:rPr>
                <w:rFonts w:ascii="仿宋" w:hAnsi="仿宋" w:eastAsia="仿宋"/>
                <w:kern w:val="0"/>
                <w:szCs w:val="21"/>
              </w:rPr>
            </w:pPr>
            <w:r>
              <w:rPr>
                <w:rFonts w:hint="eastAsia" w:ascii="仿宋" w:hAnsi="仿宋" w:eastAsia="仿宋"/>
                <w:kern w:val="0"/>
                <w:szCs w:val="21"/>
              </w:rPr>
              <w:t>配胶</w:t>
            </w:r>
          </w:p>
        </w:tc>
        <w:tc>
          <w:tcPr>
            <w:tcW w:w="302" w:type="pct"/>
            <w:tcMar>
              <w:left w:w="0" w:type="dxa"/>
              <w:right w:w="0" w:type="dxa"/>
            </w:tcMar>
            <w:vAlign w:val="center"/>
          </w:tcPr>
          <w:p>
            <w:pPr>
              <w:tabs>
                <w:tab w:val="left" w:pos="3240"/>
              </w:tabs>
              <w:adjustRightInd w:val="0"/>
              <w:snapToGrid w:val="0"/>
              <w:jc w:val="center"/>
              <w:rPr>
                <w:rFonts w:ascii="仿宋" w:hAnsi="仿宋" w:eastAsia="仿宋"/>
                <w:bCs/>
                <w:kern w:val="0"/>
                <w:szCs w:val="21"/>
              </w:rPr>
            </w:pPr>
            <w:r>
              <w:rPr>
                <w:rFonts w:hint="eastAsia" w:ascii="仿宋" w:hAnsi="仿宋" w:eastAsia="仿宋"/>
                <w:bCs/>
                <w:kern w:val="0"/>
                <w:szCs w:val="21"/>
              </w:rPr>
              <w:t>液</w:t>
            </w:r>
          </w:p>
        </w:tc>
        <w:tc>
          <w:tcPr>
            <w:tcW w:w="379" w:type="pct"/>
            <w:tcMar>
              <w:left w:w="0" w:type="dxa"/>
              <w:right w:w="0" w:type="dxa"/>
            </w:tcMar>
            <w:vAlign w:val="center"/>
          </w:tcPr>
          <w:p>
            <w:pPr>
              <w:tabs>
                <w:tab w:val="left" w:pos="3240"/>
              </w:tabs>
              <w:adjustRightInd w:val="0"/>
              <w:snapToGrid w:val="0"/>
              <w:jc w:val="center"/>
              <w:rPr>
                <w:rFonts w:ascii="仿宋" w:hAnsi="仿宋" w:eastAsia="仿宋"/>
                <w:bCs/>
                <w:kern w:val="0"/>
                <w:szCs w:val="21"/>
              </w:rPr>
            </w:pPr>
            <w:r>
              <w:rPr>
                <w:rFonts w:hint="eastAsia" w:ascii="仿宋" w:hAnsi="仿宋" w:eastAsia="仿宋"/>
                <w:bCs/>
                <w:kern w:val="0"/>
                <w:szCs w:val="21"/>
              </w:rPr>
              <w:t>有机物</w:t>
            </w:r>
          </w:p>
        </w:tc>
        <w:tc>
          <w:tcPr>
            <w:tcW w:w="455" w:type="pct"/>
            <w:vMerge w:val="continue"/>
            <w:tcMar>
              <w:left w:w="0" w:type="dxa"/>
              <w:right w:w="0" w:type="dxa"/>
            </w:tcMar>
            <w:vAlign w:val="center"/>
          </w:tcPr>
          <w:p>
            <w:pPr>
              <w:tabs>
                <w:tab w:val="left" w:pos="3240"/>
              </w:tabs>
              <w:adjustRightInd w:val="0"/>
              <w:snapToGrid w:val="0"/>
              <w:jc w:val="center"/>
              <w:rPr>
                <w:rFonts w:ascii="仿宋" w:hAnsi="仿宋" w:eastAsia="仿宋"/>
                <w:bCs/>
                <w:kern w:val="0"/>
                <w:szCs w:val="21"/>
              </w:rPr>
            </w:pPr>
          </w:p>
        </w:tc>
        <w:tc>
          <w:tcPr>
            <w:tcW w:w="302" w:type="pct"/>
            <w:vAlign w:val="center"/>
          </w:tcPr>
          <w:p>
            <w:pPr>
              <w:jc w:val="center"/>
              <w:rPr>
                <w:rFonts w:ascii="仿宋" w:hAnsi="仿宋" w:eastAsia="仿宋"/>
                <w:szCs w:val="21"/>
              </w:rPr>
            </w:pPr>
            <w:r>
              <w:rPr>
                <w:rFonts w:ascii="仿宋" w:hAnsi="仿宋" w:eastAsia="仿宋"/>
                <w:szCs w:val="21"/>
              </w:rPr>
              <w:t>T</w:t>
            </w:r>
          </w:p>
        </w:tc>
        <w:tc>
          <w:tcPr>
            <w:tcW w:w="453" w:type="pct"/>
            <w:vAlign w:val="center"/>
          </w:tcPr>
          <w:p>
            <w:pPr>
              <w:jc w:val="center"/>
              <w:rPr>
                <w:rFonts w:ascii="仿宋" w:hAnsi="仿宋" w:eastAsia="仿宋"/>
                <w:szCs w:val="21"/>
              </w:rPr>
            </w:pPr>
            <w:r>
              <w:rPr>
                <w:rFonts w:ascii="仿宋" w:hAnsi="仿宋" w:eastAsia="仿宋"/>
                <w:szCs w:val="21"/>
              </w:rPr>
              <w:t>HW13</w:t>
            </w:r>
          </w:p>
        </w:tc>
        <w:tc>
          <w:tcPr>
            <w:tcW w:w="456" w:type="pct"/>
            <w:vAlign w:val="center"/>
          </w:tcPr>
          <w:p>
            <w:pPr>
              <w:jc w:val="center"/>
              <w:rPr>
                <w:rFonts w:ascii="仿宋" w:hAnsi="仿宋" w:eastAsia="仿宋"/>
                <w:szCs w:val="21"/>
              </w:rPr>
            </w:pPr>
            <w:r>
              <w:rPr>
                <w:rFonts w:ascii="仿宋" w:hAnsi="仿宋" w:eastAsia="仿宋"/>
                <w:szCs w:val="21"/>
              </w:rPr>
              <w:t>900-014-13</w:t>
            </w:r>
          </w:p>
        </w:tc>
        <w:tc>
          <w:tcPr>
            <w:tcW w:w="529" w:type="pct"/>
            <w:vAlign w:val="center"/>
          </w:tcPr>
          <w:p>
            <w:pPr>
              <w:jc w:val="center"/>
              <w:rPr>
                <w:rFonts w:ascii="仿宋" w:hAnsi="仿宋" w:eastAsia="仿宋"/>
                <w:szCs w:val="21"/>
              </w:rPr>
            </w:pPr>
            <w:r>
              <w:rPr>
                <w:rFonts w:ascii="仿宋" w:hAnsi="仿宋" w:eastAsia="仿宋"/>
                <w:szCs w:val="21"/>
              </w:rPr>
              <w:t>1.814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303" w:type="pct"/>
            <w:vAlign w:val="center"/>
          </w:tcPr>
          <w:p>
            <w:pPr>
              <w:jc w:val="center"/>
              <w:rPr>
                <w:rFonts w:ascii="仿宋" w:hAnsi="仿宋" w:eastAsia="仿宋"/>
                <w:sz w:val="22"/>
                <w:szCs w:val="22"/>
              </w:rPr>
            </w:pPr>
            <w:r>
              <w:rPr>
                <w:rFonts w:hint="eastAsia" w:ascii="仿宋" w:hAnsi="仿宋" w:eastAsia="仿宋"/>
                <w:sz w:val="22"/>
                <w:szCs w:val="22"/>
              </w:rPr>
              <w:t>4</w:t>
            </w:r>
          </w:p>
        </w:tc>
        <w:tc>
          <w:tcPr>
            <w:tcW w:w="606" w:type="pct"/>
            <w:vAlign w:val="center"/>
          </w:tcPr>
          <w:p>
            <w:pPr>
              <w:widowControl/>
              <w:jc w:val="center"/>
              <w:rPr>
                <w:rFonts w:ascii="仿宋" w:hAnsi="仿宋" w:eastAsia="仿宋"/>
                <w:kern w:val="0"/>
                <w:szCs w:val="21"/>
              </w:rPr>
            </w:pPr>
            <w:r>
              <w:rPr>
                <w:rFonts w:hint="eastAsia" w:ascii="仿宋" w:hAnsi="仿宋" w:eastAsia="仿宋"/>
                <w:kern w:val="0"/>
                <w:szCs w:val="21"/>
              </w:rPr>
              <w:t>S2</w:t>
            </w:r>
          </w:p>
        </w:tc>
        <w:tc>
          <w:tcPr>
            <w:tcW w:w="530" w:type="pct"/>
            <w:tcMar>
              <w:left w:w="0" w:type="dxa"/>
              <w:right w:w="0" w:type="dxa"/>
            </w:tcMar>
            <w:vAlign w:val="center"/>
          </w:tcPr>
          <w:p>
            <w:pPr>
              <w:widowControl/>
              <w:jc w:val="center"/>
              <w:rPr>
                <w:rFonts w:ascii="仿宋" w:hAnsi="仿宋" w:eastAsia="仿宋"/>
                <w:kern w:val="0"/>
                <w:szCs w:val="21"/>
              </w:rPr>
            </w:pPr>
            <w:r>
              <w:rPr>
                <w:rFonts w:hint="eastAsia" w:ascii="仿宋" w:hAnsi="仿宋" w:eastAsia="仿宋"/>
                <w:kern w:val="0"/>
                <w:szCs w:val="21"/>
              </w:rPr>
              <w:t>废清洗液</w:t>
            </w:r>
          </w:p>
        </w:tc>
        <w:tc>
          <w:tcPr>
            <w:tcW w:w="302" w:type="pct"/>
            <w:tcMar>
              <w:left w:w="0" w:type="dxa"/>
              <w:right w:w="0" w:type="dxa"/>
            </w:tcMar>
            <w:vAlign w:val="center"/>
          </w:tcPr>
          <w:p>
            <w:pPr>
              <w:jc w:val="center"/>
              <w:rPr>
                <w:rFonts w:ascii="仿宋" w:hAnsi="仿宋" w:eastAsia="仿宋"/>
                <w:szCs w:val="21"/>
              </w:rPr>
            </w:pPr>
            <w:r>
              <w:rPr>
                <w:rFonts w:hint="eastAsia" w:ascii="仿宋" w:hAnsi="仿宋" w:eastAsia="仿宋"/>
                <w:szCs w:val="21"/>
              </w:rPr>
              <w:t>危险废物</w:t>
            </w:r>
          </w:p>
        </w:tc>
        <w:tc>
          <w:tcPr>
            <w:tcW w:w="377" w:type="pct"/>
            <w:tcMar>
              <w:left w:w="0" w:type="dxa"/>
              <w:right w:w="0" w:type="dxa"/>
            </w:tcMar>
            <w:vAlign w:val="center"/>
          </w:tcPr>
          <w:p>
            <w:pPr>
              <w:widowControl/>
              <w:jc w:val="center"/>
              <w:rPr>
                <w:rFonts w:ascii="仿宋" w:hAnsi="仿宋" w:eastAsia="仿宋"/>
                <w:kern w:val="0"/>
                <w:szCs w:val="21"/>
              </w:rPr>
            </w:pPr>
            <w:r>
              <w:rPr>
                <w:rFonts w:hint="eastAsia" w:ascii="仿宋" w:hAnsi="仿宋" w:eastAsia="仿宋"/>
                <w:kern w:val="0"/>
                <w:szCs w:val="21"/>
              </w:rPr>
              <w:t>清洗</w:t>
            </w:r>
          </w:p>
        </w:tc>
        <w:tc>
          <w:tcPr>
            <w:tcW w:w="302" w:type="pct"/>
            <w:tcMar>
              <w:left w:w="0" w:type="dxa"/>
              <w:right w:w="0" w:type="dxa"/>
            </w:tcMar>
            <w:vAlign w:val="center"/>
          </w:tcPr>
          <w:p>
            <w:pPr>
              <w:tabs>
                <w:tab w:val="left" w:pos="3240"/>
              </w:tabs>
              <w:adjustRightInd w:val="0"/>
              <w:snapToGrid w:val="0"/>
              <w:jc w:val="center"/>
              <w:rPr>
                <w:rFonts w:ascii="仿宋" w:hAnsi="仿宋" w:eastAsia="仿宋"/>
                <w:bCs/>
                <w:kern w:val="0"/>
                <w:szCs w:val="21"/>
              </w:rPr>
            </w:pPr>
            <w:r>
              <w:rPr>
                <w:rFonts w:hint="eastAsia" w:ascii="仿宋" w:hAnsi="仿宋" w:eastAsia="仿宋"/>
                <w:bCs/>
                <w:kern w:val="0"/>
                <w:szCs w:val="21"/>
              </w:rPr>
              <w:t>液</w:t>
            </w:r>
          </w:p>
        </w:tc>
        <w:tc>
          <w:tcPr>
            <w:tcW w:w="379" w:type="pct"/>
            <w:tcMar>
              <w:left w:w="0" w:type="dxa"/>
              <w:right w:w="0" w:type="dxa"/>
            </w:tcMar>
            <w:vAlign w:val="center"/>
          </w:tcPr>
          <w:p>
            <w:pPr>
              <w:tabs>
                <w:tab w:val="left" w:pos="3240"/>
              </w:tabs>
              <w:adjustRightInd w:val="0"/>
              <w:snapToGrid w:val="0"/>
              <w:jc w:val="center"/>
              <w:rPr>
                <w:rFonts w:ascii="仿宋" w:hAnsi="仿宋" w:eastAsia="仿宋"/>
                <w:bCs/>
                <w:kern w:val="0"/>
                <w:szCs w:val="21"/>
              </w:rPr>
            </w:pPr>
            <w:r>
              <w:rPr>
                <w:rFonts w:hint="eastAsia" w:ascii="仿宋" w:hAnsi="仿宋" w:eastAsia="仿宋"/>
                <w:bCs/>
                <w:kern w:val="0"/>
                <w:szCs w:val="21"/>
              </w:rPr>
              <w:t>有机溶剂</w:t>
            </w:r>
          </w:p>
        </w:tc>
        <w:tc>
          <w:tcPr>
            <w:tcW w:w="455" w:type="pct"/>
            <w:vMerge w:val="continue"/>
            <w:tcMar>
              <w:left w:w="0" w:type="dxa"/>
              <w:right w:w="0" w:type="dxa"/>
            </w:tcMar>
            <w:vAlign w:val="center"/>
          </w:tcPr>
          <w:p>
            <w:pPr>
              <w:tabs>
                <w:tab w:val="left" w:pos="3240"/>
              </w:tabs>
              <w:adjustRightInd w:val="0"/>
              <w:snapToGrid w:val="0"/>
              <w:jc w:val="center"/>
              <w:rPr>
                <w:rFonts w:ascii="仿宋" w:hAnsi="仿宋" w:eastAsia="仿宋"/>
                <w:bCs/>
                <w:kern w:val="0"/>
                <w:szCs w:val="21"/>
              </w:rPr>
            </w:pPr>
          </w:p>
        </w:tc>
        <w:tc>
          <w:tcPr>
            <w:tcW w:w="302" w:type="pct"/>
            <w:vAlign w:val="center"/>
          </w:tcPr>
          <w:p>
            <w:pPr>
              <w:jc w:val="center"/>
              <w:rPr>
                <w:rFonts w:ascii="仿宋" w:hAnsi="仿宋" w:eastAsia="仿宋"/>
                <w:szCs w:val="21"/>
              </w:rPr>
            </w:pPr>
            <w:r>
              <w:rPr>
                <w:rFonts w:ascii="仿宋" w:hAnsi="仿宋" w:eastAsia="仿宋"/>
                <w:szCs w:val="21"/>
              </w:rPr>
              <w:t>T</w:t>
            </w:r>
          </w:p>
        </w:tc>
        <w:tc>
          <w:tcPr>
            <w:tcW w:w="453" w:type="pct"/>
            <w:vAlign w:val="center"/>
          </w:tcPr>
          <w:p>
            <w:pPr>
              <w:jc w:val="center"/>
              <w:rPr>
                <w:rFonts w:ascii="仿宋" w:hAnsi="仿宋" w:eastAsia="仿宋"/>
                <w:szCs w:val="21"/>
              </w:rPr>
            </w:pPr>
            <w:r>
              <w:rPr>
                <w:rFonts w:ascii="仿宋" w:hAnsi="仿宋" w:eastAsia="仿宋"/>
                <w:szCs w:val="21"/>
              </w:rPr>
              <w:t>HW06</w:t>
            </w:r>
          </w:p>
        </w:tc>
        <w:tc>
          <w:tcPr>
            <w:tcW w:w="456" w:type="pct"/>
            <w:vAlign w:val="center"/>
          </w:tcPr>
          <w:p>
            <w:pPr>
              <w:jc w:val="center"/>
              <w:rPr>
                <w:rFonts w:ascii="仿宋" w:hAnsi="仿宋" w:eastAsia="仿宋"/>
                <w:szCs w:val="21"/>
              </w:rPr>
            </w:pPr>
            <w:r>
              <w:rPr>
                <w:rFonts w:ascii="仿宋" w:hAnsi="仿宋" w:eastAsia="仿宋"/>
                <w:szCs w:val="21"/>
              </w:rPr>
              <w:t>900-404-06</w:t>
            </w:r>
          </w:p>
        </w:tc>
        <w:tc>
          <w:tcPr>
            <w:tcW w:w="529" w:type="pct"/>
            <w:vAlign w:val="center"/>
          </w:tcPr>
          <w:p>
            <w:pPr>
              <w:jc w:val="center"/>
              <w:rPr>
                <w:rFonts w:ascii="仿宋" w:hAnsi="仿宋" w:eastAsia="仿宋"/>
                <w:szCs w:val="21"/>
              </w:rPr>
            </w:pPr>
            <w:r>
              <w:rPr>
                <w:rFonts w:hint="eastAsia" w:ascii="仿宋" w:hAnsi="仿宋" w:eastAsia="仿宋"/>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303" w:type="pct"/>
            <w:vAlign w:val="center"/>
          </w:tcPr>
          <w:p>
            <w:pPr>
              <w:jc w:val="center"/>
              <w:rPr>
                <w:rFonts w:ascii="仿宋" w:hAnsi="仿宋" w:eastAsia="仿宋"/>
                <w:sz w:val="22"/>
                <w:szCs w:val="22"/>
              </w:rPr>
            </w:pPr>
            <w:r>
              <w:rPr>
                <w:rFonts w:hint="eastAsia" w:ascii="仿宋" w:hAnsi="仿宋" w:eastAsia="仿宋"/>
                <w:sz w:val="22"/>
                <w:szCs w:val="22"/>
              </w:rPr>
              <w:t>5</w:t>
            </w:r>
          </w:p>
        </w:tc>
        <w:tc>
          <w:tcPr>
            <w:tcW w:w="606" w:type="pct"/>
            <w:vAlign w:val="center"/>
          </w:tcPr>
          <w:p>
            <w:pPr>
              <w:widowControl/>
              <w:jc w:val="center"/>
              <w:rPr>
                <w:rFonts w:ascii="仿宋" w:hAnsi="仿宋" w:eastAsia="仿宋"/>
                <w:kern w:val="0"/>
                <w:szCs w:val="21"/>
              </w:rPr>
            </w:pPr>
            <w:r>
              <w:rPr>
                <w:rFonts w:hint="eastAsia" w:ascii="仿宋" w:hAnsi="仿宋" w:eastAsia="仿宋"/>
                <w:kern w:val="0"/>
                <w:szCs w:val="21"/>
              </w:rPr>
              <w:t>S4</w:t>
            </w:r>
          </w:p>
        </w:tc>
        <w:tc>
          <w:tcPr>
            <w:tcW w:w="530" w:type="pct"/>
            <w:tcMar>
              <w:left w:w="0" w:type="dxa"/>
              <w:right w:w="0" w:type="dxa"/>
            </w:tcMar>
            <w:vAlign w:val="center"/>
          </w:tcPr>
          <w:p>
            <w:pPr>
              <w:widowControl/>
              <w:jc w:val="center"/>
              <w:rPr>
                <w:rFonts w:ascii="仿宋" w:hAnsi="仿宋" w:eastAsia="仿宋"/>
                <w:kern w:val="0"/>
                <w:szCs w:val="21"/>
              </w:rPr>
            </w:pPr>
            <w:r>
              <w:rPr>
                <w:rFonts w:hint="eastAsia" w:ascii="仿宋" w:hAnsi="仿宋" w:eastAsia="仿宋"/>
                <w:kern w:val="0"/>
                <w:szCs w:val="21"/>
              </w:rPr>
              <w:t>废原料桶</w:t>
            </w:r>
          </w:p>
        </w:tc>
        <w:tc>
          <w:tcPr>
            <w:tcW w:w="302" w:type="pct"/>
            <w:tcMar>
              <w:left w:w="0" w:type="dxa"/>
              <w:right w:w="0" w:type="dxa"/>
            </w:tcMar>
            <w:vAlign w:val="center"/>
          </w:tcPr>
          <w:p>
            <w:pPr>
              <w:jc w:val="center"/>
              <w:rPr>
                <w:rFonts w:ascii="仿宋" w:hAnsi="仿宋" w:eastAsia="仿宋"/>
                <w:szCs w:val="21"/>
              </w:rPr>
            </w:pPr>
            <w:r>
              <w:rPr>
                <w:rFonts w:hint="eastAsia" w:ascii="仿宋" w:hAnsi="仿宋" w:eastAsia="仿宋"/>
                <w:szCs w:val="21"/>
              </w:rPr>
              <w:t>危险废物</w:t>
            </w:r>
          </w:p>
        </w:tc>
        <w:tc>
          <w:tcPr>
            <w:tcW w:w="377" w:type="pct"/>
            <w:tcMar>
              <w:left w:w="0" w:type="dxa"/>
              <w:right w:w="0" w:type="dxa"/>
            </w:tcMar>
            <w:vAlign w:val="center"/>
          </w:tcPr>
          <w:p>
            <w:pPr>
              <w:widowControl/>
              <w:jc w:val="center"/>
              <w:rPr>
                <w:rFonts w:ascii="仿宋" w:hAnsi="仿宋" w:eastAsia="仿宋"/>
                <w:kern w:val="0"/>
                <w:szCs w:val="21"/>
              </w:rPr>
            </w:pPr>
            <w:r>
              <w:rPr>
                <w:rFonts w:hint="eastAsia" w:ascii="仿宋" w:hAnsi="仿宋" w:eastAsia="仿宋"/>
                <w:kern w:val="0"/>
                <w:szCs w:val="21"/>
              </w:rPr>
              <w:t>存储</w:t>
            </w:r>
          </w:p>
        </w:tc>
        <w:tc>
          <w:tcPr>
            <w:tcW w:w="302" w:type="pct"/>
            <w:tcMar>
              <w:left w:w="0" w:type="dxa"/>
              <w:right w:w="0" w:type="dxa"/>
            </w:tcMar>
            <w:vAlign w:val="center"/>
          </w:tcPr>
          <w:p>
            <w:pPr>
              <w:tabs>
                <w:tab w:val="left" w:pos="3240"/>
              </w:tabs>
              <w:adjustRightInd w:val="0"/>
              <w:snapToGrid w:val="0"/>
              <w:jc w:val="center"/>
              <w:rPr>
                <w:rFonts w:ascii="仿宋" w:hAnsi="仿宋" w:eastAsia="仿宋"/>
                <w:bCs/>
                <w:kern w:val="0"/>
                <w:szCs w:val="21"/>
              </w:rPr>
            </w:pPr>
            <w:r>
              <w:rPr>
                <w:rFonts w:hint="eastAsia" w:ascii="仿宋" w:hAnsi="仿宋" w:eastAsia="仿宋"/>
                <w:bCs/>
                <w:kern w:val="0"/>
                <w:szCs w:val="21"/>
              </w:rPr>
              <w:t>固</w:t>
            </w:r>
          </w:p>
        </w:tc>
        <w:tc>
          <w:tcPr>
            <w:tcW w:w="379" w:type="pct"/>
            <w:tcMar>
              <w:left w:w="0" w:type="dxa"/>
              <w:right w:w="0" w:type="dxa"/>
            </w:tcMar>
            <w:vAlign w:val="center"/>
          </w:tcPr>
          <w:p>
            <w:pPr>
              <w:tabs>
                <w:tab w:val="left" w:pos="3240"/>
              </w:tabs>
              <w:adjustRightInd w:val="0"/>
              <w:snapToGrid w:val="0"/>
              <w:jc w:val="center"/>
              <w:rPr>
                <w:rFonts w:ascii="仿宋" w:hAnsi="仿宋" w:eastAsia="仿宋"/>
                <w:bCs/>
                <w:kern w:val="0"/>
                <w:szCs w:val="21"/>
              </w:rPr>
            </w:pPr>
            <w:r>
              <w:rPr>
                <w:rFonts w:hint="eastAsia" w:ascii="仿宋" w:hAnsi="仿宋" w:eastAsia="仿宋"/>
                <w:bCs/>
                <w:kern w:val="0"/>
                <w:szCs w:val="21"/>
              </w:rPr>
              <w:t>有机溶剂</w:t>
            </w:r>
          </w:p>
        </w:tc>
        <w:tc>
          <w:tcPr>
            <w:tcW w:w="455" w:type="pct"/>
            <w:vMerge w:val="continue"/>
            <w:tcMar>
              <w:left w:w="0" w:type="dxa"/>
              <w:right w:w="0" w:type="dxa"/>
            </w:tcMar>
            <w:vAlign w:val="center"/>
          </w:tcPr>
          <w:p>
            <w:pPr>
              <w:tabs>
                <w:tab w:val="left" w:pos="3240"/>
              </w:tabs>
              <w:adjustRightInd w:val="0"/>
              <w:snapToGrid w:val="0"/>
              <w:jc w:val="center"/>
              <w:rPr>
                <w:rFonts w:ascii="仿宋" w:hAnsi="仿宋" w:eastAsia="仿宋"/>
                <w:bCs/>
                <w:kern w:val="0"/>
                <w:szCs w:val="21"/>
              </w:rPr>
            </w:pPr>
          </w:p>
        </w:tc>
        <w:tc>
          <w:tcPr>
            <w:tcW w:w="302" w:type="pct"/>
            <w:vAlign w:val="center"/>
          </w:tcPr>
          <w:p>
            <w:pPr>
              <w:jc w:val="center"/>
              <w:rPr>
                <w:rFonts w:ascii="仿宋" w:hAnsi="仿宋" w:eastAsia="仿宋"/>
                <w:szCs w:val="21"/>
              </w:rPr>
            </w:pPr>
            <w:r>
              <w:rPr>
                <w:rFonts w:ascii="仿宋" w:hAnsi="仿宋" w:eastAsia="仿宋"/>
                <w:szCs w:val="21"/>
              </w:rPr>
              <w:t>T/In</w:t>
            </w:r>
          </w:p>
        </w:tc>
        <w:tc>
          <w:tcPr>
            <w:tcW w:w="453" w:type="pct"/>
            <w:vAlign w:val="center"/>
          </w:tcPr>
          <w:p>
            <w:pPr>
              <w:jc w:val="center"/>
              <w:rPr>
                <w:rFonts w:ascii="仿宋" w:hAnsi="仿宋" w:eastAsia="仿宋"/>
                <w:szCs w:val="21"/>
              </w:rPr>
            </w:pPr>
            <w:r>
              <w:rPr>
                <w:rFonts w:ascii="仿宋" w:hAnsi="仿宋" w:eastAsia="仿宋"/>
                <w:szCs w:val="21"/>
              </w:rPr>
              <w:t>HW49</w:t>
            </w:r>
          </w:p>
        </w:tc>
        <w:tc>
          <w:tcPr>
            <w:tcW w:w="456" w:type="pct"/>
            <w:vAlign w:val="center"/>
          </w:tcPr>
          <w:p>
            <w:pPr>
              <w:jc w:val="center"/>
              <w:rPr>
                <w:rFonts w:ascii="仿宋" w:hAnsi="仿宋" w:eastAsia="仿宋"/>
                <w:szCs w:val="21"/>
              </w:rPr>
            </w:pPr>
            <w:r>
              <w:rPr>
                <w:rFonts w:ascii="仿宋" w:hAnsi="仿宋" w:eastAsia="仿宋"/>
                <w:szCs w:val="21"/>
              </w:rPr>
              <w:t>900-041-49</w:t>
            </w:r>
          </w:p>
        </w:tc>
        <w:tc>
          <w:tcPr>
            <w:tcW w:w="529" w:type="pct"/>
            <w:vAlign w:val="center"/>
          </w:tcPr>
          <w:p>
            <w:pPr>
              <w:jc w:val="center"/>
              <w:rPr>
                <w:rFonts w:ascii="仿宋" w:hAnsi="仿宋" w:eastAsia="仿宋"/>
                <w:szCs w:val="21"/>
              </w:rPr>
            </w:pPr>
            <w:r>
              <w:rPr>
                <w:rFonts w:hint="eastAsia" w:ascii="仿宋" w:hAnsi="仿宋" w:eastAsia="仿宋"/>
                <w:szCs w:val="21"/>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303" w:type="pct"/>
            <w:vAlign w:val="center"/>
          </w:tcPr>
          <w:p>
            <w:pPr>
              <w:jc w:val="center"/>
              <w:rPr>
                <w:rFonts w:ascii="仿宋" w:hAnsi="仿宋" w:eastAsia="仿宋"/>
                <w:sz w:val="22"/>
                <w:szCs w:val="22"/>
              </w:rPr>
            </w:pPr>
            <w:r>
              <w:rPr>
                <w:rFonts w:hint="eastAsia" w:ascii="仿宋" w:hAnsi="仿宋" w:eastAsia="仿宋"/>
                <w:sz w:val="22"/>
                <w:szCs w:val="22"/>
              </w:rPr>
              <w:t>6</w:t>
            </w:r>
          </w:p>
        </w:tc>
        <w:tc>
          <w:tcPr>
            <w:tcW w:w="606" w:type="pct"/>
            <w:vAlign w:val="center"/>
          </w:tcPr>
          <w:p>
            <w:pPr>
              <w:widowControl/>
              <w:jc w:val="center"/>
              <w:rPr>
                <w:rFonts w:ascii="仿宋" w:hAnsi="仿宋" w:eastAsia="仿宋"/>
                <w:kern w:val="0"/>
                <w:szCs w:val="21"/>
              </w:rPr>
            </w:pPr>
            <w:r>
              <w:rPr>
                <w:rFonts w:hint="eastAsia" w:ascii="仿宋" w:hAnsi="仿宋" w:eastAsia="仿宋"/>
                <w:kern w:val="0"/>
                <w:szCs w:val="21"/>
              </w:rPr>
              <w:t>S5</w:t>
            </w:r>
          </w:p>
        </w:tc>
        <w:tc>
          <w:tcPr>
            <w:tcW w:w="530" w:type="pct"/>
            <w:tcMar>
              <w:left w:w="0" w:type="dxa"/>
              <w:right w:w="0" w:type="dxa"/>
            </w:tcMar>
            <w:vAlign w:val="center"/>
          </w:tcPr>
          <w:p>
            <w:pPr>
              <w:widowControl/>
              <w:jc w:val="center"/>
              <w:rPr>
                <w:rFonts w:ascii="仿宋" w:hAnsi="仿宋" w:eastAsia="仿宋"/>
                <w:kern w:val="0"/>
                <w:szCs w:val="21"/>
              </w:rPr>
            </w:pPr>
            <w:r>
              <w:rPr>
                <w:rFonts w:hint="eastAsia" w:ascii="仿宋" w:hAnsi="仿宋" w:eastAsia="仿宋"/>
                <w:kern w:val="0"/>
                <w:szCs w:val="21"/>
              </w:rPr>
              <w:t>废抹布手套</w:t>
            </w:r>
          </w:p>
        </w:tc>
        <w:tc>
          <w:tcPr>
            <w:tcW w:w="302" w:type="pct"/>
            <w:tcMar>
              <w:left w:w="0" w:type="dxa"/>
              <w:right w:w="0" w:type="dxa"/>
            </w:tcMar>
            <w:vAlign w:val="center"/>
          </w:tcPr>
          <w:p>
            <w:pPr>
              <w:jc w:val="center"/>
              <w:rPr>
                <w:rFonts w:ascii="仿宋" w:hAnsi="仿宋" w:eastAsia="仿宋"/>
                <w:szCs w:val="21"/>
              </w:rPr>
            </w:pPr>
            <w:r>
              <w:rPr>
                <w:rFonts w:hint="eastAsia" w:ascii="仿宋" w:hAnsi="仿宋" w:eastAsia="仿宋"/>
                <w:szCs w:val="21"/>
              </w:rPr>
              <w:t>危险废物</w:t>
            </w:r>
          </w:p>
        </w:tc>
        <w:tc>
          <w:tcPr>
            <w:tcW w:w="377" w:type="pct"/>
            <w:tcMar>
              <w:left w:w="0" w:type="dxa"/>
              <w:right w:w="0" w:type="dxa"/>
            </w:tcMar>
            <w:vAlign w:val="center"/>
          </w:tcPr>
          <w:p>
            <w:pPr>
              <w:widowControl/>
              <w:jc w:val="center"/>
              <w:rPr>
                <w:rFonts w:ascii="仿宋" w:hAnsi="仿宋" w:eastAsia="仿宋"/>
                <w:kern w:val="0"/>
                <w:szCs w:val="21"/>
              </w:rPr>
            </w:pPr>
            <w:r>
              <w:rPr>
                <w:rFonts w:hint="eastAsia" w:ascii="仿宋" w:hAnsi="仿宋" w:eastAsia="仿宋"/>
                <w:kern w:val="0"/>
                <w:szCs w:val="21"/>
              </w:rPr>
              <w:t>清洗</w:t>
            </w:r>
          </w:p>
        </w:tc>
        <w:tc>
          <w:tcPr>
            <w:tcW w:w="302" w:type="pct"/>
            <w:tcMar>
              <w:left w:w="0" w:type="dxa"/>
              <w:right w:w="0" w:type="dxa"/>
            </w:tcMar>
            <w:vAlign w:val="center"/>
          </w:tcPr>
          <w:p>
            <w:pPr>
              <w:tabs>
                <w:tab w:val="left" w:pos="3240"/>
              </w:tabs>
              <w:adjustRightInd w:val="0"/>
              <w:snapToGrid w:val="0"/>
              <w:jc w:val="center"/>
              <w:rPr>
                <w:rFonts w:ascii="仿宋" w:hAnsi="仿宋" w:eastAsia="仿宋"/>
                <w:bCs/>
                <w:kern w:val="0"/>
                <w:szCs w:val="21"/>
              </w:rPr>
            </w:pPr>
            <w:r>
              <w:rPr>
                <w:rFonts w:hint="eastAsia" w:ascii="仿宋" w:hAnsi="仿宋" w:eastAsia="仿宋"/>
                <w:bCs/>
                <w:kern w:val="0"/>
                <w:szCs w:val="21"/>
              </w:rPr>
              <w:t>固</w:t>
            </w:r>
          </w:p>
        </w:tc>
        <w:tc>
          <w:tcPr>
            <w:tcW w:w="379" w:type="pct"/>
            <w:tcMar>
              <w:left w:w="0" w:type="dxa"/>
              <w:right w:w="0" w:type="dxa"/>
            </w:tcMar>
            <w:vAlign w:val="center"/>
          </w:tcPr>
          <w:p>
            <w:pPr>
              <w:tabs>
                <w:tab w:val="left" w:pos="3240"/>
              </w:tabs>
              <w:adjustRightInd w:val="0"/>
              <w:snapToGrid w:val="0"/>
              <w:jc w:val="center"/>
              <w:rPr>
                <w:rFonts w:ascii="仿宋" w:hAnsi="仿宋" w:eastAsia="仿宋"/>
                <w:bCs/>
                <w:kern w:val="0"/>
                <w:szCs w:val="21"/>
              </w:rPr>
            </w:pPr>
            <w:r>
              <w:rPr>
                <w:rFonts w:hint="eastAsia" w:ascii="仿宋" w:hAnsi="仿宋" w:eastAsia="仿宋"/>
                <w:bCs/>
                <w:kern w:val="0"/>
                <w:szCs w:val="21"/>
              </w:rPr>
              <w:t>清洗剂</w:t>
            </w:r>
          </w:p>
        </w:tc>
        <w:tc>
          <w:tcPr>
            <w:tcW w:w="455" w:type="pct"/>
            <w:vMerge w:val="continue"/>
            <w:tcMar>
              <w:left w:w="0" w:type="dxa"/>
              <w:right w:w="0" w:type="dxa"/>
            </w:tcMar>
            <w:vAlign w:val="center"/>
          </w:tcPr>
          <w:p>
            <w:pPr>
              <w:tabs>
                <w:tab w:val="left" w:pos="3240"/>
              </w:tabs>
              <w:adjustRightInd w:val="0"/>
              <w:snapToGrid w:val="0"/>
              <w:jc w:val="center"/>
              <w:rPr>
                <w:rFonts w:ascii="仿宋" w:hAnsi="仿宋" w:eastAsia="仿宋"/>
                <w:bCs/>
                <w:kern w:val="0"/>
                <w:szCs w:val="21"/>
              </w:rPr>
            </w:pPr>
          </w:p>
        </w:tc>
        <w:tc>
          <w:tcPr>
            <w:tcW w:w="302" w:type="pct"/>
            <w:vAlign w:val="center"/>
          </w:tcPr>
          <w:p>
            <w:pPr>
              <w:jc w:val="center"/>
              <w:rPr>
                <w:rFonts w:ascii="仿宋" w:hAnsi="仿宋" w:eastAsia="仿宋"/>
                <w:szCs w:val="21"/>
              </w:rPr>
            </w:pPr>
            <w:r>
              <w:rPr>
                <w:rFonts w:ascii="仿宋" w:hAnsi="仿宋" w:eastAsia="仿宋"/>
                <w:szCs w:val="21"/>
              </w:rPr>
              <w:t>T,I</w:t>
            </w:r>
          </w:p>
        </w:tc>
        <w:tc>
          <w:tcPr>
            <w:tcW w:w="453" w:type="pct"/>
            <w:vAlign w:val="center"/>
          </w:tcPr>
          <w:p>
            <w:pPr>
              <w:jc w:val="center"/>
              <w:rPr>
                <w:rFonts w:ascii="仿宋" w:hAnsi="仿宋" w:eastAsia="仿宋"/>
                <w:szCs w:val="21"/>
              </w:rPr>
            </w:pPr>
            <w:r>
              <w:rPr>
                <w:rFonts w:ascii="仿宋" w:hAnsi="仿宋" w:eastAsia="仿宋"/>
                <w:szCs w:val="21"/>
              </w:rPr>
              <w:t>HW</w:t>
            </w:r>
            <w:r>
              <w:rPr>
                <w:rFonts w:hint="eastAsia" w:ascii="仿宋" w:hAnsi="仿宋" w:eastAsia="仿宋"/>
                <w:szCs w:val="21"/>
              </w:rPr>
              <w:t>49</w:t>
            </w:r>
          </w:p>
        </w:tc>
        <w:tc>
          <w:tcPr>
            <w:tcW w:w="456" w:type="pct"/>
            <w:vAlign w:val="center"/>
          </w:tcPr>
          <w:p>
            <w:pPr>
              <w:jc w:val="center"/>
              <w:rPr>
                <w:rFonts w:ascii="仿宋" w:hAnsi="仿宋" w:eastAsia="仿宋"/>
                <w:szCs w:val="21"/>
              </w:rPr>
            </w:pPr>
            <w:r>
              <w:rPr>
                <w:rFonts w:ascii="仿宋" w:hAnsi="仿宋" w:eastAsia="仿宋"/>
                <w:szCs w:val="21"/>
              </w:rPr>
              <w:t>900-</w:t>
            </w:r>
            <w:r>
              <w:rPr>
                <w:rFonts w:hint="eastAsia" w:ascii="仿宋" w:hAnsi="仿宋" w:eastAsia="仿宋"/>
                <w:szCs w:val="21"/>
              </w:rPr>
              <w:t>041-49</w:t>
            </w:r>
          </w:p>
        </w:tc>
        <w:tc>
          <w:tcPr>
            <w:tcW w:w="529" w:type="pct"/>
            <w:vAlign w:val="center"/>
          </w:tcPr>
          <w:p>
            <w:pPr>
              <w:jc w:val="center"/>
              <w:rPr>
                <w:rFonts w:ascii="仿宋" w:hAnsi="仿宋" w:eastAsia="仿宋"/>
                <w:szCs w:val="21"/>
              </w:rPr>
            </w:pPr>
            <w:r>
              <w:rPr>
                <w:rFonts w:hint="eastAsia" w:ascii="仿宋" w:hAnsi="仿宋" w:eastAsia="仿宋"/>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303" w:type="pct"/>
            <w:vAlign w:val="center"/>
          </w:tcPr>
          <w:p>
            <w:pPr>
              <w:jc w:val="center"/>
              <w:rPr>
                <w:rFonts w:ascii="仿宋" w:hAnsi="仿宋" w:eastAsia="仿宋"/>
                <w:sz w:val="22"/>
                <w:szCs w:val="22"/>
              </w:rPr>
            </w:pPr>
            <w:r>
              <w:rPr>
                <w:rFonts w:hint="eastAsia" w:ascii="仿宋" w:hAnsi="仿宋" w:eastAsia="仿宋"/>
                <w:sz w:val="22"/>
                <w:szCs w:val="22"/>
              </w:rPr>
              <w:t>7</w:t>
            </w:r>
          </w:p>
        </w:tc>
        <w:tc>
          <w:tcPr>
            <w:tcW w:w="606" w:type="pct"/>
            <w:vAlign w:val="center"/>
          </w:tcPr>
          <w:p>
            <w:pPr>
              <w:widowControl/>
              <w:jc w:val="center"/>
              <w:rPr>
                <w:rFonts w:ascii="仿宋" w:hAnsi="仿宋" w:eastAsia="仿宋"/>
                <w:kern w:val="0"/>
                <w:szCs w:val="21"/>
              </w:rPr>
            </w:pPr>
            <w:r>
              <w:rPr>
                <w:rFonts w:hint="eastAsia" w:ascii="仿宋" w:hAnsi="仿宋" w:eastAsia="仿宋"/>
                <w:kern w:val="0"/>
                <w:szCs w:val="21"/>
              </w:rPr>
              <w:t>S6</w:t>
            </w:r>
          </w:p>
        </w:tc>
        <w:tc>
          <w:tcPr>
            <w:tcW w:w="530" w:type="pct"/>
            <w:tcMar>
              <w:left w:w="0" w:type="dxa"/>
              <w:right w:w="0" w:type="dxa"/>
            </w:tcMar>
            <w:vAlign w:val="center"/>
          </w:tcPr>
          <w:p>
            <w:pPr>
              <w:widowControl/>
              <w:jc w:val="center"/>
              <w:rPr>
                <w:rFonts w:ascii="仿宋" w:hAnsi="仿宋" w:eastAsia="仿宋"/>
                <w:kern w:val="0"/>
                <w:szCs w:val="21"/>
              </w:rPr>
            </w:pPr>
            <w:r>
              <w:rPr>
                <w:rFonts w:hint="eastAsia" w:ascii="仿宋" w:hAnsi="仿宋" w:eastAsia="仿宋"/>
                <w:kern w:val="0"/>
                <w:szCs w:val="21"/>
              </w:rPr>
              <w:t>废机油</w:t>
            </w:r>
          </w:p>
        </w:tc>
        <w:tc>
          <w:tcPr>
            <w:tcW w:w="302" w:type="pct"/>
            <w:tcMar>
              <w:left w:w="0" w:type="dxa"/>
              <w:right w:w="0" w:type="dxa"/>
            </w:tcMar>
            <w:vAlign w:val="center"/>
          </w:tcPr>
          <w:p>
            <w:pPr>
              <w:jc w:val="center"/>
              <w:rPr>
                <w:rFonts w:ascii="仿宋" w:hAnsi="仿宋" w:eastAsia="仿宋"/>
                <w:szCs w:val="21"/>
              </w:rPr>
            </w:pPr>
            <w:r>
              <w:rPr>
                <w:rFonts w:hint="eastAsia" w:ascii="仿宋" w:hAnsi="仿宋" w:eastAsia="仿宋"/>
                <w:szCs w:val="21"/>
              </w:rPr>
              <w:t>危险废物</w:t>
            </w:r>
          </w:p>
        </w:tc>
        <w:tc>
          <w:tcPr>
            <w:tcW w:w="377" w:type="pct"/>
            <w:tcMar>
              <w:left w:w="0" w:type="dxa"/>
              <w:right w:w="0" w:type="dxa"/>
            </w:tcMar>
            <w:vAlign w:val="center"/>
          </w:tcPr>
          <w:p>
            <w:pPr>
              <w:widowControl/>
              <w:jc w:val="center"/>
              <w:rPr>
                <w:rFonts w:ascii="仿宋" w:hAnsi="仿宋" w:eastAsia="仿宋"/>
                <w:kern w:val="0"/>
                <w:szCs w:val="21"/>
              </w:rPr>
            </w:pPr>
            <w:r>
              <w:rPr>
                <w:rFonts w:hint="eastAsia" w:ascii="仿宋" w:hAnsi="仿宋" w:eastAsia="仿宋"/>
                <w:kern w:val="0"/>
                <w:szCs w:val="21"/>
              </w:rPr>
              <w:t>维修</w:t>
            </w:r>
          </w:p>
        </w:tc>
        <w:tc>
          <w:tcPr>
            <w:tcW w:w="302" w:type="pct"/>
            <w:tcMar>
              <w:left w:w="0" w:type="dxa"/>
              <w:right w:w="0" w:type="dxa"/>
            </w:tcMar>
            <w:vAlign w:val="center"/>
          </w:tcPr>
          <w:p>
            <w:pPr>
              <w:tabs>
                <w:tab w:val="left" w:pos="3240"/>
              </w:tabs>
              <w:adjustRightInd w:val="0"/>
              <w:snapToGrid w:val="0"/>
              <w:jc w:val="center"/>
              <w:rPr>
                <w:rFonts w:ascii="仿宋" w:hAnsi="仿宋" w:eastAsia="仿宋"/>
                <w:bCs/>
                <w:kern w:val="0"/>
                <w:szCs w:val="21"/>
              </w:rPr>
            </w:pPr>
            <w:r>
              <w:rPr>
                <w:rFonts w:hint="eastAsia" w:ascii="仿宋" w:hAnsi="仿宋" w:eastAsia="仿宋"/>
                <w:bCs/>
                <w:kern w:val="0"/>
                <w:szCs w:val="21"/>
              </w:rPr>
              <w:t>液</w:t>
            </w:r>
          </w:p>
        </w:tc>
        <w:tc>
          <w:tcPr>
            <w:tcW w:w="379" w:type="pct"/>
            <w:tcMar>
              <w:left w:w="0" w:type="dxa"/>
              <w:right w:w="0" w:type="dxa"/>
            </w:tcMar>
            <w:vAlign w:val="center"/>
          </w:tcPr>
          <w:p>
            <w:pPr>
              <w:tabs>
                <w:tab w:val="left" w:pos="3240"/>
              </w:tabs>
              <w:adjustRightInd w:val="0"/>
              <w:snapToGrid w:val="0"/>
              <w:jc w:val="center"/>
              <w:rPr>
                <w:rFonts w:ascii="仿宋" w:hAnsi="仿宋" w:eastAsia="仿宋"/>
                <w:bCs/>
                <w:kern w:val="0"/>
                <w:szCs w:val="21"/>
              </w:rPr>
            </w:pPr>
            <w:r>
              <w:rPr>
                <w:rFonts w:hint="eastAsia" w:ascii="仿宋" w:hAnsi="仿宋" w:eastAsia="仿宋"/>
                <w:bCs/>
                <w:kern w:val="0"/>
                <w:szCs w:val="21"/>
              </w:rPr>
              <w:t>机油</w:t>
            </w:r>
          </w:p>
        </w:tc>
        <w:tc>
          <w:tcPr>
            <w:tcW w:w="455" w:type="pct"/>
            <w:vMerge w:val="continue"/>
            <w:tcMar>
              <w:left w:w="0" w:type="dxa"/>
              <w:right w:w="0" w:type="dxa"/>
            </w:tcMar>
            <w:vAlign w:val="center"/>
          </w:tcPr>
          <w:p>
            <w:pPr>
              <w:tabs>
                <w:tab w:val="left" w:pos="3240"/>
              </w:tabs>
              <w:adjustRightInd w:val="0"/>
              <w:snapToGrid w:val="0"/>
              <w:jc w:val="center"/>
              <w:rPr>
                <w:rFonts w:ascii="仿宋" w:hAnsi="仿宋" w:eastAsia="仿宋"/>
                <w:bCs/>
                <w:kern w:val="0"/>
                <w:szCs w:val="21"/>
              </w:rPr>
            </w:pPr>
          </w:p>
        </w:tc>
        <w:tc>
          <w:tcPr>
            <w:tcW w:w="302" w:type="pct"/>
            <w:vAlign w:val="center"/>
          </w:tcPr>
          <w:p>
            <w:pPr>
              <w:jc w:val="center"/>
              <w:rPr>
                <w:rFonts w:ascii="仿宋" w:hAnsi="仿宋" w:eastAsia="仿宋"/>
                <w:szCs w:val="21"/>
              </w:rPr>
            </w:pPr>
            <w:r>
              <w:rPr>
                <w:rFonts w:ascii="仿宋" w:hAnsi="仿宋" w:eastAsia="仿宋"/>
                <w:szCs w:val="21"/>
              </w:rPr>
              <w:t>T,I</w:t>
            </w:r>
          </w:p>
        </w:tc>
        <w:tc>
          <w:tcPr>
            <w:tcW w:w="453" w:type="pct"/>
            <w:vAlign w:val="center"/>
          </w:tcPr>
          <w:p>
            <w:pPr>
              <w:jc w:val="center"/>
              <w:rPr>
                <w:rFonts w:ascii="仿宋" w:hAnsi="仿宋" w:eastAsia="仿宋"/>
                <w:szCs w:val="21"/>
              </w:rPr>
            </w:pPr>
            <w:r>
              <w:rPr>
                <w:rFonts w:hint="eastAsia" w:ascii="仿宋" w:hAnsi="仿宋" w:eastAsia="仿宋"/>
                <w:szCs w:val="21"/>
              </w:rPr>
              <w:t>HW08</w:t>
            </w:r>
          </w:p>
        </w:tc>
        <w:tc>
          <w:tcPr>
            <w:tcW w:w="456" w:type="pct"/>
            <w:vAlign w:val="center"/>
          </w:tcPr>
          <w:p>
            <w:pPr>
              <w:jc w:val="center"/>
              <w:rPr>
                <w:rFonts w:ascii="仿宋" w:hAnsi="仿宋" w:eastAsia="仿宋"/>
                <w:szCs w:val="21"/>
              </w:rPr>
            </w:pPr>
            <w:r>
              <w:rPr>
                <w:rFonts w:hint="eastAsia" w:ascii="仿宋" w:hAnsi="仿宋" w:eastAsia="仿宋"/>
                <w:szCs w:val="21"/>
              </w:rPr>
              <w:t>900-249-08</w:t>
            </w:r>
          </w:p>
        </w:tc>
        <w:tc>
          <w:tcPr>
            <w:tcW w:w="529" w:type="pct"/>
            <w:vAlign w:val="center"/>
          </w:tcPr>
          <w:p>
            <w:pPr>
              <w:jc w:val="center"/>
              <w:rPr>
                <w:rFonts w:ascii="仿宋" w:hAnsi="仿宋" w:eastAsia="仿宋"/>
                <w:szCs w:val="21"/>
              </w:rPr>
            </w:pPr>
            <w:r>
              <w:rPr>
                <w:rFonts w:hint="eastAsia" w:ascii="仿宋" w:hAnsi="仿宋" w:eastAsia="仿宋"/>
                <w:szCs w:val="21"/>
              </w:rPr>
              <w:t>0.3</w:t>
            </w:r>
          </w:p>
        </w:tc>
      </w:t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tbl>
    <w:p>
      <w:pPr>
        <w:pStyle w:val="4"/>
        <w:keepLines w:val="0"/>
        <w:tabs>
          <w:tab w:val="left" w:pos="709"/>
        </w:tabs>
        <w:spacing w:before="120" w:beforeLines="50" w:after="120" w:afterLines="50" w:line="500" w:lineRule="exact"/>
        <w:rPr>
          <w:rFonts w:eastAsia="仿宋_GB2312"/>
          <w:sz w:val="28"/>
          <w:szCs w:val="28"/>
        </w:rPr>
      </w:pPr>
      <w:bookmarkStart w:id="243" w:name="_Toc115613272"/>
      <w:bookmarkStart w:id="244" w:name="_Toc113266827"/>
      <w:r>
        <w:rPr>
          <w:rFonts w:hint="eastAsia" w:eastAsia="仿宋_GB2312"/>
          <w:sz w:val="28"/>
          <w:szCs w:val="28"/>
        </w:rPr>
        <w:t>3.2.3</w:t>
      </w:r>
      <w:r>
        <w:rPr>
          <w:rFonts w:eastAsia="仿宋_GB2312"/>
          <w:sz w:val="28"/>
          <w:szCs w:val="28"/>
        </w:rPr>
        <w:t>风险因素识别</w:t>
      </w:r>
    </w:p>
    <w:p>
      <w:pPr>
        <w:pStyle w:val="5"/>
        <w:keepLines w:val="0"/>
        <w:widowControl/>
        <w:tabs>
          <w:tab w:val="left" w:pos="993"/>
        </w:tabs>
        <w:adjustRightInd w:val="0"/>
        <w:snapToGrid w:val="0"/>
        <w:spacing w:after="120" w:afterLines="50"/>
        <w:jc w:val="left"/>
        <w:rPr>
          <w:rFonts w:ascii="Times New Roman" w:hAnsi="Times New Roman"/>
          <w:b/>
        </w:rPr>
      </w:pPr>
      <w:r>
        <w:rPr>
          <w:rFonts w:hint="eastAsia" w:ascii="Times New Roman" w:hAnsi="Times New Roman"/>
          <w:b/>
        </w:rPr>
        <w:t>3.3.3.1</w:t>
      </w:r>
      <w:r>
        <w:rPr>
          <w:rFonts w:ascii="Times New Roman" w:hAnsi="Times New Roman"/>
          <w:b/>
        </w:rPr>
        <w:t>物质风险识别</w:t>
      </w:r>
    </w:p>
    <w:p>
      <w:pPr>
        <w:spacing w:line="500" w:lineRule="exact"/>
        <w:ind w:firstLine="560" w:firstLineChars="200"/>
        <w:rPr>
          <w:rFonts w:eastAsia="仿宋_GB2312"/>
          <w:b/>
          <w:bCs/>
          <w:sz w:val="24"/>
        </w:rPr>
      </w:pPr>
      <w:r>
        <w:rPr>
          <w:rFonts w:eastAsia="仿宋_GB2312"/>
          <w:sz w:val="28"/>
          <w:szCs w:val="28"/>
        </w:rPr>
        <w:t>本项目涉及的原辅材料和产品的理化性质、毒性、燃烧爆炸性等数据判断物质危险性，主要原辅材料根据《建设项目环境风险评价技术导则》(HJ/T169-2018)进行物质危险性判定，物质危险性标准和判定结果分别见表3.2-</w:t>
      </w:r>
      <w:r>
        <w:rPr>
          <w:rFonts w:hint="eastAsia" w:eastAsia="仿宋_GB2312"/>
          <w:sz w:val="28"/>
          <w:szCs w:val="28"/>
        </w:rPr>
        <w:t>15</w:t>
      </w:r>
      <w:r>
        <w:rPr>
          <w:rFonts w:eastAsia="仿宋_GB2312"/>
          <w:sz w:val="28"/>
          <w:szCs w:val="28"/>
        </w:rPr>
        <w:t>。</w:t>
      </w:r>
    </w:p>
    <w:p>
      <w:pPr>
        <w:spacing w:line="500" w:lineRule="exact"/>
        <w:jc w:val="center"/>
        <w:rPr>
          <w:rFonts w:eastAsia="仿宋_GB2312"/>
          <w:b/>
          <w:bCs/>
          <w:sz w:val="24"/>
        </w:rPr>
      </w:pPr>
      <w:r>
        <w:rPr>
          <w:rFonts w:eastAsia="仿宋_GB2312"/>
          <w:b/>
          <w:bCs/>
          <w:sz w:val="24"/>
        </w:rPr>
        <w:t>表3.</w:t>
      </w:r>
      <w:r>
        <w:rPr>
          <w:rFonts w:hint="eastAsia" w:eastAsia="仿宋_GB2312"/>
          <w:b/>
          <w:bCs/>
          <w:sz w:val="24"/>
        </w:rPr>
        <w:t>2</w:t>
      </w:r>
      <w:r>
        <w:rPr>
          <w:rFonts w:eastAsia="仿宋_GB2312"/>
          <w:b/>
          <w:bCs/>
          <w:sz w:val="24"/>
        </w:rPr>
        <w:t>-</w:t>
      </w:r>
      <w:r>
        <w:rPr>
          <w:rFonts w:hint="eastAsia" w:eastAsia="仿宋_GB2312"/>
          <w:b/>
          <w:bCs/>
          <w:sz w:val="24"/>
        </w:rPr>
        <w:t>1</w:t>
      </w:r>
      <w:r>
        <w:rPr>
          <w:rFonts w:eastAsia="仿宋_GB2312"/>
          <w:b/>
          <w:bCs/>
          <w:sz w:val="24"/>
        </w:rPr>
        <w:t>3   物质危险性标准</w:t>
      </w:r>
    </w:p>
    <w:tbl>
      <w:tblPr>
        <w:tblStyle w:val="87"/>
        <w:tblW w:w="512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528"/>
        <w:gridCol w:w="2403"/>
        <w:gridCol w:w="2403"/>
        <w:gridCol w:w="2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gridSpan w:val="2"/>
            <w:tcBorders>
              <w:top w:val="single" w:color="auto" w:sz="4" w:space="0"/>
              <w:left w:val="single" w:color="auto" w:sz="4" w:space="0"/>
              <w:bottom w:val="single" w:color="auto" w:sz="4" w:space="0"/>
              <w:right w:val="single" w:color="auto" w:sz="4" w:space="0"/>
            </w:tcBorders>
            <w:vAlign w:val="center"/>
          </w:tcPr>
          <w:p>
            <w:pPr>
              <w:pStyle w:val="20"/>
              <w:spacing w:line="320" w:lineRule="exact"/>
              <w:ind w:firstLine="0" w:firstLineChars="0"/>
              <w:jc w:val="center"/>
              <w:rPr>
                <w:rFonts w:eastAsia="仿宋_GB2312"/>
                <w:szCs w:val="21"/>
              </w:rPr>
            </w:pPr>
            <w:r>
              <w:rPr>
                <w:rFonts w:eastAsia="仿宋_GB2312"/>
                <w:szCs w:val="21"/>
              </w:rPr>
              <w:t>类别</w:t>
            </w:r>
          </w:p>
        </w:tc>
        <w:tc>
          <w:tcPr>
            <w:tcW w:w="1375" w:type="pct"/>
            <w:tcBorders>
              <w:top w:val="single" w:color="auto" w:sz="4" w:space="0"/>
              <w:left w:val="single" w:color="auto" w:sz="4" w:space="0"/>
              <w:bottom w:val="single" w:color="auto" w:sz="4" w:space="0"/>
              <w:right w:val="single" w:color="auto" w:sz="4" w:space="0"/>
            </w:tcBorders>
            <w:vAlign w:val="center"/>
          </w:tcPr>
          <w:p>
            <w:pPr>
              <w:pStyle w:val="20"/>
              <w:spacing w:line="320" w:lineRule="exact"/>
              <w:ind w:firstLine="0" w:firstLineChars="0"/>
              <w:jc w:val="center"/>
              <w:rPr>
                <w:rFonts w:eastAsia="仿宋_GB2312"/>
                <w:szCs w:val="21"/>
              </w:rPr>
            </w:pPr>
            <w:r>
              <w:rPr>
                <w:rFonts w:eastAsia="仿宋_GB2312"/>
                <w:szCs w:val="21"/>
              </w:rPr>
              <w:t>LD</w:t>
            </w:r>
            <w:r>
              <w:rPr>
                <w:rFonts w:eastAsia="仿宋_GB2312"/>
                <w:szCs w:val="21"/>
                <w:vertAlign w:val="subscript"/>
              </w:rPr>
              <w:t>50</w:t>
            </w:r>
            <w:r>
              <w:rPr>
                <w:rFonts w:eastAsia="仿宋_GB2312"/>
                <w:szCs w:val="21"/>
              </w:rPr>
              <w:t xml:space="preserve"> (大鼠经口) mg/kg</w:t>
            </w:r>
          </w:p>
        </w:tc>
        <w:tc>
          <w:tcPr>
            <w:tcW w:w="1375" w:type="pct"/>
            <w:tcBorders>
              <w:top w:val="single" w:color="auto" w:sz="4" w:space="0"/>
              <w:left w:val="single" w:color="auto" w:sz="4" w:space="0"/>
              <w:bottom w:val="single" w:color="auto" w:sz="4" w:space="0"/>
              <w:right w:val="single" w:color="auto" w:sz="4" w:space="0"/>
            </w:tcBorders>
            <w:vAlign w:val="center"/>
          </w:tcPr>
          <w:p>
            <w:pPr>
              <w:pStyle w:val="20"/>
              <w:spacing w:line="320" w:lineRule="exact"/>
              <w:ind w:firstLine="0" w:firstLineChars="0"/>
              <w:jc w:val="center"/>
              <w:rPr>
                <w:rFonts w:eastAsia="仿宋_GB2312"/>
                <w:szCs w:val="21"/>
              </w:rPr>
            </w:pPr>
            <w:r>
              <w:rPr>
                <w:rFonts w:eastAsia="仿宋_GB2312"/>
                <w:szCs w:val="21"/>
              </w:rPr>
              <w:t>LD</w:t>
            </w:r>
            <w:r>
              <w:rPr>
                <w:rFonts w:eastAsia="仿宋_GB2312"/>
                <w:szCs w:val="21"/>
                <w:vertAlign w:val="subscript"/>
              </w:rPr>
              <w:t>50</w:t>
            </w:r>
            <w:r>
              <w:rPr>
                <w:rFonts w:eastAsia="仿宋_GB2312"/>
                <w:szCs w:val="21"/>
              </w:rPr>
              <w:t xml:space="preserve"> (大鼠经皮) mg/kg</w:t>
            </w:r>
          </w:p>
        </w:tc>
        <w:tc>
          <w:tcPr>
            <w:tcW w:w="1500" w:type="pct"/>
            <w:tcBorders>
              <w:top w:val="single" w:color="auto" w:sz="4" w:space="0"/>
              <w:left w:val="single" w:color="auto" w:sz="4" w:space="0"/>
              <w:bottom w:val="single" w:color="auto" w:sz="4" w:space="0"/>
              <w:right w:val="single" w:color="auto" w:sz="4" w:space="0"/>
            </w:tcBorders>
            <w:vAlign w:val="center"/>
          </w:tcPr>
          <w:p>
            <w:pPr>
              <w:pStyle w:val="20"/>
              <w:spacing w:line="320" w:lineRule="exact"/>
              <w:ind w:firstLine="0" w:firstLineChars="0"/>
              <w:jc w:val="center"/>
              <w:rPr>
                <w:rFonts w:eastAsia="仿宋_GB2312"/>
                <w:szCs w:val="21"/>
              </w:rPr>
            </w:pPr>
            <w:r>
              <w:rPr>
                <w:rFonts w:eastAsia="仿宋_GB2312"/>
                <w:szCs w:val="21"/>
              </w:rPr>
              <w:t>LC</w:t>
            </w:r>
            <w:r>
              <w:rPr>
                <w:rFonts w:eastAsia="仿宋_GB2312"/>
                <w:szCs w:val="21"/>
                <w:vertAlign w:val="subscript"/>
              </w:rPr>
              <w:t>50</w:t>
            </w:r>
            <w:r>
              <w:rPr>
                <w:rFonts w:eastAsia="仿宋_GB2312"/>
                <w:szCs w:val="21"/>
              </w:rPr>
              <w:t>（小鼠吸入，4小时）mg/L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47" w:type="pct"/>
            <w:vMerge w:val="restart"/>
            <w:tcBorders>
              <w:top w:val="single" w:color="auto" w:sz="4" w:space="0"/>
              <w:left w:val="single" w:color="auto" w:sz="4" w:space="0"/>
              <w:bottom w:val="single" w:color="auto" w:sz="4" w:space="0"/>
              <w:right w:val="single" w:color="auto" w:sz="4" w:space="0"/>
            </w:tcBorders>
            <w:vAlign w:val="center"/>
          </w:tcPr>
          <w:p>
            <w:pPr>
              <w:pStyle w:val="20"/>
              <w:spacing w:line="320" w:lineRule="exact"/>
              <w:ind w:firstLine="0" w:firstLineChars="0"/>
              <w:jc w:val="center"/>
              <w:rPr>
                <w:rFonts w:eastAsia="仿宋_GB2312"/>
                <w:szCs w:val="21"/>
              </w:rPr>
            </w:pPr>
            <w:r>
              <w:rPr>
                <w:rFonts w:eastAsia="仿宋_GB2312"/>
                <w:szCs w:val="21"/>
              </w:rPr>
              <w:t>有毒</w:t>
            </w:r>
          </w:p>
          <w:p>
            <w:pPr>
              <w:pStyle w:val="20"/>
              <w:spacing w:line="320" w:lineRule="exact"/>
              <w:ind w:firstLine="0" w:firstLineChars="0"/>
              <w:jc w:val="center"/>
              <w:rPr>
                <w:rFonts w:eastAsia="仿宋_GB2312"/>
                <w:szCs w:val="21"/>
              </w:rPr>
            </w:pPr>
            <w:r>
              <w:rPr>
                <w:rFonts w:eastAsia="仿宋_GB2312"/>
                <w:szCs w:val="21"/>
              </w:rPr>
              <w:t>物质</w:t>
            </w:r>
          </w:p>
        </w:tc>
        <w:tc>
          <w:tcPr>
            <w:tcW w:w="302" w:type="pct"/>
            <w:tcBorders>
              <w:top w:val="single" w:color="auto" w:sz="4" w:space="0"/>
              <w:left w:val="single" w:color="auto" w:sz="4" w:space="0"/>
              <w:bottom w:val="single" w:color="auto" w:sz="4" w:space="0"/>
              <w:right w:val="single" w:color="auto" w:sz="4" w:space="0"/>
            </w:tcBorders>
            <w:vAlign w:val="center"/>
          </w:tcPr>
          <w:p>
            <w:pPr>
              <w:pStyle w:val="20"/>
              <w:spacing w:line="320" w:lineRule="exact"/>
              <w:ind w:firstLine="0" w:firstLineChars="0"/>
              <w:jc w:val="center"/>
              <w:rPr>
                <w:rFonts w:eastAsia="仿宋_GB2312"/>
                <w:szCs w:val="21"/>
              </w:rPr>
            </w:pPr>
            <w:r>
              <w:rPr>
                <w:rFonts w:eastAsia="仿宋_GB2312"/>
                <w:szCs w:val="21"/>
              </w:rPr>
              <w:t>1</w:t>
            </w:r>
          </w:p>
        </w:tc>
        <w:tc>
          <w:tcPr>
            <w:tcW w:w="1375" w:type="pct"/>
            <w:tcBorders>
              <w:top w:val="single" w:color="auto" w:sz="4" w:space="0"/>
              <w:left w:val="single" w:color="auto" w:sz="4" w:space="0"/>
              <w:bottom w:val="single" w:color="auto" w:sz="4" w:space="0"/>
              <w:right w:val="single" w:color="auto" w:sz="4" w:space="0"/>
            </w:tcBorders>
            <w:vAlign w:val="center"/>
          </w:tcPr>
          <w:p>
            <w:pPr>
              <w:pStyle w:val="20"/>
              <w:spacing w:line="320" w:lineRule="exact"/>
              <w:ind w:firstLine="0" w:firstLineChars="0"/>
              <w:jc w:val="center"/>
              <w:rPr>
                <w:rFonts w:eastAsia="仿宋_GB2312"/>
                <w:szCs w:val="21"/>
              </w:rPr>
            </w:pPr>
            <w:r>
              <w:rPr>
                <w:rFonts w:eastAsia="仿宋_GB2312"/>
                <w:szCs w:val="21"/>
              </w:rPr>
              <w:t>＜5</w:t>
            </w:r>
          </w:p>
        </w:tc>
        <w:tc>
          <w:tcPr>
            <w:tcW w:w="1375" w:type="pct"/>
            <w:tcBorders>
              <w:top w:val="single" w:color="auto" w:sz="4" w:space="0"/>
              <w:left w:val="single" w:color="auto" w:sz="4" w:space="0"/>
              <w:bottom w:val="single" w:color="auto" w:sz="4" w:space="0"/>
              <w:right w:val="single" w:color="auto" w:sz="4" w:space="0"/>
            </w:tcBorders>
            <w:vAlign w:val="center"/>
          </w:tcPr>
          <w:p>
            <w:pPr>
              <w:pStyle w:val="20"/>
              <w:spacing w:line="320" w:lineRule="exact"/>
              <w:ind w:firstLine="0" w:firstLineChars="0"/>
              <w:jc w:val="center"/>
              <w:rPr>
                <w:rFonts w:eastAsia="仿宋_GB2312"/>
                <w:szCs w:val="21"/>
              </w:rPr>
            </w:pPr>
            <w:r>
              <w:rPr>
                <w:rFonts w:eastAsia="仿宋_GB2312"/>
                <w:szCs w:val="21"/>
              </w:rPr>
              <w:t>＜1</w:t>
            </w:r>
          </w:p>
        </w:tc>
        <w:tc>
          <w:tcPr>
            <w:tcW w:w="1500" w:type="pct"/>
            <w:tcBorders>
              <w:top w:val="single" w:color="auto" w:sz="4" w:space="0"/>
              <w:left w:val="single" w:color="auto" w:sz="4" w:space="0"/>
              <w:bottom w:val="single" w:color="auto" w:sz="4" w:space="0"/>
              <w:right w:val="single" w:color="auto" w:sz="4" w:space="0"/>
            </w:tcBorders>
            <w:vAlign w:val="center"/>
          </w:tcPr>
          <w:p>
            <w:pPr>
              <w:pStyle w:val="20"/>
              <w:spacing w:line="320" w:lineRule="exact"/>
              <w:ind w:firstLine="0" w:firstLineChars="0"/>
              <w:jc w:val="center"/>
              <w:rPr>
                <w:rFonts w:eastAsia="仿宋_GB2312"/>
                <w:szCs w:val="21"/>
              </w:rPr>
            </w:pPr>
            <w:r>
              <w:rPr>
                <w:rFonts w:eastAsia="仿宋_GB2312"/>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仿宋_GB2312"/>
                <w:szCs w:val="21"/>
              </w:rPr>
            </w:pPr>
          </w:p>
        </w:tc>
        <w:tc>
          <w:tcPr>
            <w:tcW w:w="302" w:type="pct"/>
            <w:tcBorders>
              <w:top w:val="single" w:color="auto" w:sz="4" w:space="0"/>
              <w:left w:val="single" w:color="auto" w:sz="4" w:space="0"/>
              <w:bottom w:val="single" w:color="auto" w:sz="4" w:space="0"/>
              <w:right w:val="single" w:color="auto" w:sz="4" w:space="0"/>
            </w:tcBorders>
            <w:vAlign w:val="center"/>
          </w:tcPr>
          <w:p>
            <w:pPr>
              <w:pStyle w:val="20"/>
              <w:spacing w:line="320" w:lineRule="exact"/>
              <w:ind w:firstLine="0" w:firstLineChars="0"/>
              <w:jc w:val="center"/>
              <w:rPr>
                <w:rFonts w:eastAsia="仿宋_GB2312"/>
                <w:szCs w:val="21"/>
              </w:rPr>
            </w:pPr>
            <w:r>
              <w:rPr>
                <w:rFonts w:eastAsia="仿宋_GB2312"/>
                <w:szCs w:val="21"/>
              </w:rPr>
              <w:t>2</w:t>
            </w:r>
          </w:p>
        </w:tc>
        <w:tc>
          <w:tcPr>
            <w:tcW w:w="1375" w:type="pct"/>
            <w:tcBorders>
              <w:top w:val="single" w:color="auto" w:sz="4" w:space="0"/>
              <w:left w:val="single" w:color="auto" w:sz="4" w:space="0"/>
              <w:bottom w:val="single" w:color="auto" w:sz="4" w:space="0"/>
              <w:right w:val="single" w:color="auto" w:sz="4" w:space="0"/>
            </w:tcBorders>
            <w:vAlign w:val="center"/>
          </w:tcPr>
          <w:p>
            <w:pPr>
              <w:pStyle w:val="20"/>
              <w:spacing w:line="320" w:lineRule="exact"/>
              <w:ind w:firstLine="0" w:firstLineChars="0"/>
              <w:jc w:val="center"/>
              <w:rPr>
                <w:rFonts w:eastAsia="仿宋_GB2312"/>
                <w:szCs w:val="21"/>
              </w:rPr>
            </w:pPr>
            <w:r>
              <w:rPr>
                <w:rFonts w:eastAsia="仿宋_GB2312"/>
                <w:szCs w:val="21"/>
              </w:rPr>
              <w:t>5＜LD</w:t>
            </w:r>
            <w:r>
              <w:rPr>
                <w:rFonts w:eastAsia="仿宋_GB2312"/>
                <w:szCs w:val="21"/>
                <w:vertAlign w:val="subscript"/>
              </w:rPr>
              <w:t>50</w:t>
            </w:r>
            <w:r>
              <w:rPr>
                <w:rFonts w:eastAsia="仿宋_GB2312"/>
                <w:szCs w:val="21"/>
              </w:rPr>
              <w:t>＜25</w:t>
            </w:r>
          </w:p>
        </w:tc>
        <w:tc>
          <w:tcPr>
            <w:tcW w:w="1375" w:type="pct"/>
            <w:tcBorders>
              <w:top w:val="single" w:color="auto" w:sz="4" w:space="0"/>
              <w:left w:val="single" w:color="auto" w:sz="4" w:space="0"/>
              <w:bottom w:val="single" w:color="auto" w:sz="4" w:space="0"/>
              <w:right w:val="single" w:color="auto" w:sz="4" w:space="0"/>
            </w:tcBorders>
            <w:vAlign w:val="center"/>
          </w:tcPr>
          <w:p>
            <w:pPr>
              <w:pStyle w:val="20"/>
              <w:spacing w:line="320" w:lineRule="exact"/>
              <w:ind w:firstLine="0" w:firstLineChars="0"/>
              <w:jc w:val="center"/>
              <w:rPr>
                <w:rFonts w:eastAsia="仿宋_GB2312"/>
                <w:szCs w:val="21"/>
              </w:rPr>
            </w:pPr>
            <w:r>
              <w:rPr>
                <w:rFonts w:eastAsia="仿宋_GB2312"/>
                <w:szCs w:val="21"/>
              </w:rPr>
              <w:t>10＜LD</w:t>
            </w:r>
            <w:r>
              <w:rPr>
                <w:rFonts w:eastAsia="仿宋_GB2312"/>
                <w:szCs w:val="21"/>
                <w:vertAlign w:val="subscript"/>
              </w:rPr>
              <w:t>50</w:t>
            </w:r>
            <w:r>
              <w:rPr>
                <w:rFonts w:eastAsia="仿宋_GB2312"/>
                <w:szCs w:val="21"/>
              </w:rPr>
              <w:t>＜50</w:t>
            </w:r>
          </w:p>
        </w:tc>
        <w:tc>
          <w:tcPr>
            <w:tcW w:w="1500" w:type="pct"/>
            <w:tcBorders>
              <w:top w:val="single" w:color="auto" w:sz="4" w:space="0"/>
              <w:left w:val="single" w:color="auto" w:sz="4" w:space="0"/>
              <w:bottom w:val="single" w:color="auto" w:sz="4" w:space="0"/>
              <w:right w:val="single" w:color="auto" w:sz="4" w:space="0"/>
            </w:tcBorders>
            <w:vAlign w:val="center"/>
          </w:tcPr>
          <w:p>
            <w:pPr>
              <w:pStyle w:val="20"/>
              <w:spacing w:line="320" w:lineRule="exact"/>
              <w:ind w:firstLine="0" w:firstLineChars="0"/>
              <w:jc w:val="center"/>
              <w:rPr>
                <w:rFonts w:eastAsia="仿宋_GB2312"/>
                <w:szCs w:val="21"/>
              </w:rPr>
            </w:pPr>
            <w:r>
              <w:rPr>
                <w:rFonts w:eastAsia="仿宋_GB2312"/>
                <w:szCs w:val="21"/>
              </w:rPr>
              <w:t>0.1＜LC</w:t>
            </w:r>
            <w:r>
              <w:rPr>
                <w:rFonts w:eastAsia="仿宋_GB2312"/>
                <w:szCs w:val="21"/>
                <w:vertAlign w:val="subscript"/>
              </w:rPr>
              <w:t>50</w:t>
            </w:r>
            <w:r>
              <w:rPr>
                <w:rFonts w:eastAsia="仿宋_GB2312"/>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仿宋_GB2312"/>
                <w:szCs w:val="21"/>
              </w:rPr>
            </w:pPr>
          </w:p>
        </w:tc>
        <w:tc>
          <w:tcPr>
            <w:tcW w:w="302" w:type="pct"/>
            <w:tcBorders>
              <w:top w:val="single" w:color="auto" w:sz="4" w:space="0"/>
              <w:left w:val="single" w:color="auto" w:sz="4" w:space="0"/>
              <w:bottom w:val="single" w:color="auto" w:sz="4" w:space="0"/>
              <w:right w:val="single" w:color="auto" w:sz="4" w:space="0"/>
            </w:tcBorders>
            <w:vAlign w:val="center"/>
          </w:tcPr>
          <w:p>
            <w:pPr>
              <w:pStyle w:val="20"/>
              <w:spacing w:line="320" w:lineRule="exact"/>
              <w:ind w:firstLine="0" w:firstLineChars="0"/>
              <w:jc w:val="center"/>
              <w:rPr>
                <w:rFonts w:eastAsia="仿宋_GB2312"/>
                <w:szCs w:val="21"/>
              </w:rPr>
            </w:pPr>
            <w:r>
              <w:rPr>
                <w:rFonts w:eastAsia="仿宋_GB2312"/>
                <w:szCs w:val="21"/>
              </w:rPr>
              <w:t>3</w:t>
            </w:r>
          </w:p>
        </w:tc>
        <w:tc>
          <w:tcPr>
            <w:tcW w:w="1375" w:type="pct"/>
            <w:tcBorders>
              <w:top w:val="single" w:color="auto" w:sz="4" w:space="0"/>
              <w:left w:val="single" w:color="auto" w:sz="4" w:space="0"/>
              <w:bottom w:val="single" w:color="auto" w:sz="4" w:space="0"/>
              <w:right w:val="single" w:color="auto" w:sz="4" w:space="0"/>
            </w:tcBorders>
            <w:vAlign w:val="center"/>
          </w:tcPr>
          <w:p>
            <w:pPr>
              <w:pStyle w:val="20"/>
              <w:spacing w:line="320" w:lineRule="exact"/>
              <w:ind w:firstLine="0" w:firstLineChars="0"/>
              <w:jc w:val="center"/>
              <w:rPr>
                <w:rFonts w:eastAsia="仿宋_GB2312"/>
                <w:szCs w:val="21"/>
              </w:rPr>
            </w:pPr>
            <w:r>
              <w:rPr>
                <w:rFonts w:eastAsia="仿宋_GB2312"/>
                <w:szCs w:val="21"/>
              </w:rPr>
              <w:t>25＜LD</w:t>
            </w:r>
            <w:r>
              <w:rPr>
                <w:rFonts w:eastAsia="仿宋_GB2312"/>
                <w:szCs w:val="21"/>
                <w:vertAlign w:val="subscript"/>
              </w:rPr>
              <w:t>50</w:t>
            </w:r>
            <w:r>
              <w:rPr>
                <w:rFonts w:eastAsia="仿宋_GB2312"/>
                <w:szCs w:val="21"/>
              </w:rPr>
              <w:t>＜200</w:t>
            </w:r>
          </w:p>
        </w:tc>
        <w:tc>
          <w:tcPr>
            <w:tcW w:w="1375" w:type="pct"/>
            <w:tcBorders>
              <w:top w:val="single" w:color="auto" w:sz="4" w:space="0"/>
              <w:left w:val="single" w:color="auto" w:sz="4" w:space="0"/>
              <w:bottom w:val="single" w:color="auto" w:sz="4" w:space="0"/>
              <w:right w:val="single" w:color="auto" w:sz="4" w:space="0"/>
            </w:tcBorders>
            <w:vAlign w:val="center"/>
          </w:tcPr>
          <w:p>
            <w:pPr>
              <w:pStyle w:val="20"/>
              <w:spacing w:line="320" w:lineRule="exact"/>
              <w:ind w:firstLine="0" w:firstLineChars="0"/>
              <w:jc w:val="center"/>
              <w:rPr>
                <w:rFonts w:eastAsia="仿宋_GB2312"/>
                <w:szCs w:val="21"/>
              </w:rPr>
            </w:pPr>
            <w:r>
              <w:rPr>
                <w:rFonts w:eastAsia="仿宋_GB2312"/>
                <w:szCs w:val="21"/>
              </w:rPr>
              <w:t>50＜LD</w:t>
            </w:r>
            <w:r>
              <w:rPr>
                <w:rFonts w:eastAsia="仿宋_GB2312"/>
                <w:szCs w:val="21"/>
                <w:vertAlign w:val="subscript"/>
              </w:rPr>
              <w:t>50</w:t>
            </w:r>
            <w:r>
              <w:rPr>
                <w:rFonts w:eastAsia="仿宋_GB2312"/>
                <w:szCs w:val="21"/>
              </w:rPr>
              <w:t>＜400</w:t>
            </w:r>
          </w:p>
        </w:tc>
        <w:tc>
          <w:tcPr>
            <w:tcW w:w="1500" w:type="pct"/>
            <w:tcBorders>
              <w:top w:val="single" w:color="auto" w:sz="4" w:space="0"/>
              <w:left w:val="single" w:color="auto" w:sz="4" w:space="0"/>
              <w:bottom w:val="single" w:color="auto" w:sz="4" w:space="0"/>
              <w:right w:val="single" w:color="auto" w:sz="4" w:space="0"/>
            </w:tcBorders>
            <w:vAlign w:val="center"/>
          </w:tcPr>
          <w:p>
            <w:pPr>
              <w:pStyle w:val="20"/>
              <w:spacing w:line="320" w:lineRule="exact"/>
              <w:ind w:firstLine="0" w:firstLineChars="0"/>
              <w:jc w:val="center"/>
              <w:rPr>
                <w:rFonts w:eastAsia="仿宋_GB2312"/>
                <w:szCs w:val="21"/>
              </w:rPr>
            </w:pPr>
            <w:r>
              <w:rPr>
                <w:rFonts w:eastAsia="仿宋_GB2312"/>
                <w:szCs w:val="21"/>
              </w:rPr>
              <w:t>0.5＜LC</w:t>
            </w:r>
            <w:r>
              <w:rPr>
                <w:rFonts w:eastAsia="仿宋_GB2312"/>
                <w:szCs w:val="21"/>
                <w:vertAlign w:val="subscript"/>
              </w:rPr>
              <w:t>50</w:t>
            </w:r>
            <w:r>
              <w:rPr>
                <w:rFonts w:eastAsia="仿宋_GB2312"/>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47" w:type="pct"/>
            <w:vMerge w:val="restart"/>
            <w:tcBorders>
              <w:top w:val="single" w:color="auto" w:sz="4" w:space="0"/>
              <w:left w:val="single" w:color="auto" w:sz="4" w:space="0"/>
              <w:bottom w:val="single" w:color="auto" w:sz="4" w:space="0"/>
              <w:right w:val="single" w:color="auto" w:sz="4" w:space="0"/>
            </w:tcBorders>
            <w:vAlign w:val="center"/>
          </w:tcPr>
          <w:p>
            <w:pPr>
              <w:pStyle w:val="20"/>
              <w:spacing w:line="320" w:lineRule="exact"/>
              <w:ind w:firstLine="0" w:firstLineChars="0"/>
              <w:jc w:val="center"/>
              <w:rPr>
                <w:rFonts w:eastAsia="仿宋_GB2312"/>
                <w:szCs w:val="21"/>
              </w:rPr>
            </w:pPr>
            <w:r>
              <w:rPr>
                <w:rFonts w:eastAsia="仿宋_GB2312"/>
                <w:szCs w:val="21"/>
              </w:rPr>
              <w:t>易燃</w:t>
            </w:r>
          </w:p>
          <w:p>
            <w:pPr>
              <w:pStyle w:val="20"/>
              <w:spacing w:line="320" w:lineRule="exact"/>
              <w:ind w:firstLine="0" w:firstLineChars="0"/>
              <w:jc w:val="center"/>
              <w:rPr>
                <w:rFonts w:eastAsia="仿宋_GB2312"/>
                <w:szCs w:val="21"/>
              </w:rPr>
            </w:pPr>
            <w:r>
              <w:rPr>
                <w:rFonts w:eastAsia="仿宋_GB2312"/>
                <w:szCs w:val="21"/>
              </w:rPr>
              <w:t>物质</w:t>
            </w:r>
          </w:p>
        </w:tc>
        <w:tc>
          <w:tcPr>
            <w:tcW w:w="302" w:type="pct"/>
            <w:tcBorders>
              <w:top w:val="single" w:color="auto" w:sz="4" w:space="0"/>
              <w:left w:val="single" w:color="auto" w:sz="4" w:space="0"/>
              <w:bottom w:val="single" w:color="auto" w:sz="4" w:space="0"/>
              <w:right w:val="single" w:color="auto" w:sz="4" w:space="0"/>
            </w:tcBorders>
            <w:vAlign w:val="center"/>
          </w:tcPr>
          <w:p>
            <w:pPr>
              <w:pStyle w:val="20"/>
              <w:spacing w:line="320" w:lineRule="exact"/>
              <w:ind w:firstLine="0" w:firstLineChars="0"/>
              <w:jc w:val="center"/>
              <w:rPr>
                <w:rFonts w:eastAsia="仿宋_GB2312"/>
                <w:szCs w:val="21"/>
              </w:rPr>
            </w:pPr>
            <w:r>
              <w:rPr>
                <w:rFonts w:eastAsia="仿宋_GB2312"/>
                <w:szCs w:val="21"/>
              </w:rPr>
              <w:t>1</w:t>
            </w:r>
          </w:p>
        </w:tc>
        <w:tc>
          <w:tcPr>
            <w:tcW w:w="4251" w:type="pct"/>
            <w:gridSpan w:val="3"/>
            <w:tcBorders>
              <w:top w:val="single" w:color="auto" w:sz="4" w:space="0"/>
              <w:left w:val="single" w:color="auto" w:sz="4" w:space="0"/>
              <w:bottom w:val="single" w:color="auto" w:sz="4" w:space="0"/>
              <w:right w:val="single" w:color="auto" w:sz="4" w:space="0"/>
            </w:tcBorders>
            <w:vAlign w:val="center"/>
          </w:tcPr>
          <w:p>
            <w:pPr>
              <w:pStyle w:val="20"/>
              <w:spacing w:line="320" w:lineRule="exact"/>
              <w:ind w:firstLine="0" w:firstLineChars="0"/>
              <w:jc w:val="left"/>
              <w:rPr>
                <w:rFonts w:eastAsia="仿宋_GB2312"/>
                <w:szCs w:val="21"/>
              </w:rPr>
            </w:pPr>
            <w:r>
              <w:rPr>
                <w:rFonts w:eastAsia="仿宋_GB2312"/>
                <w:szCs w:val="21"/>
              </w:rPr>
              <w:t>可燃气体—在常压下以气态存在并与空气混合形成可燃混合物；其沸点(常压下)是20</w:t>
            </w:r>
            <w:r>
              <w:rPr>
                <w:rFonts w:hint="eastAsia" w:eastAsia="仿宋_GB2312" w:cs="宋体"/>
                <w:szCs w:val="21"/>
              </w:rPr>
              <w:t>℃</w:t>
            </w:r>
            <w:r>
              <w:rPr>
                <w:rFonts w:eastAsia="仿宋_GB2312"/>
                <w:szCs w:val="21"/>
              </w:rPr>
              <w:t>或20</w:t>
            </w:r>
            <w:r>
              <w:rPr>
                <w:rFonts w:hint="eastAsia" w:eastAsia="仿宋_GB2312" w:cs="宋体"/>
                <w:szCs w:val="21"/>
              </w:rPr>
              <w:t>℃</w:t>
            </w:r>
            <w:r>
              <w:rPr>
                <w:rFonts w:eastAsia="仿宋_GB2312"/>
                <w:szCs w:val="21"/>
              </w:rPr>
              <w:t>以下的物质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仿宋_GB2312"/>
                <w:szCs w:val="21"/>
              </w:rPr>
            </w:pPr>
          </w:p>
        </w:tc>
        <w:tc>
          <w:tcPr>
            <w:tcW w:w="302" w:type="pct"/>
            <w:tcBorders>
              <w:top w:val="single" w:color="auto" w:sz="4" w:space="0"/>
              <w:left w:val="single" w:color="auto" w:sz="4" w:space="0"/>
              <w:bottom w:val="single" w:color="auto" w:sz="4" w:space="0"/>
              <w:right w:val="single" w:color="auto" w:sz="4" w:space="0"/>
            </w:tcBorders>
            <w:vAlign w:val="center"/>
          </w:tcPr>
          <w:p>
            <w:pPr>
              <w:pStyle w:val="20"/>
              <w:spacing w:line="320" w:lineRule="exact"/>
              <w:ind w:firstLine="0" w:firstLineChars="0"/>
              <w:jc w:val="center"/>
              <w:rPr>
                <w:rFonts w:eastAsia="仿宋_GB2312"/>
                <w:szCs w:val="21"/>
              </w:rPr>
            </w:pPr>
            <w:r>
              <w:rPr>
                <w:rFonts w:eastAsia="仿宋_GB2312"/>
                <w:szCs w:val="21"/>
              </w:rPr>
              <w:t>2</w:t>
            </w:r>
          </w:p>
        </w:tc>
        <w:tc>
          <w:tcPr>
            <w:tcW w:w="4251" w:type="pct"/>
            <w:gridSpan w:val="3"/>
            <w:tcBorders>
              <w:top w:val="single" w:color="auto" w:sz="4" w:space="0"/>
              <w:left w:val="single" w:color="auto" w:sz="4" w:space="0"/>
              <w:bottom w:val="single" w:color="auto" w:sz="4" w:space="0"/>
              <w:right w:val="single" w:color="auto" w:sz="4" w:space="0"/>
            </w:tcBorders>
            <w:vAlign w:val="center"/>
          </w:tcPr>
          <w:p>
            <w:pPr>
              <w:pStyle w:val="20"/>
              <w:spacing w:line="320" w:lineRule="exact"/>
              <w:ind w:firstLine="0" w:firstLineChars="0"/>
              <w:jc w:val="left"/>
              <w:rPr>
                <w:rFonts w:eastAsia="仿宋_GB2312"/>
                <w:szCs w:val="21"/>
              </w:rPr>
            </w:pPr>
            <w:r>
              <w:rPr>
                <w:rFonts w:eastAsia="仿宋_GB2312"/>
                <w:szCs w:val="21"/>
              </w:rPr>
              <w:t>易燃液体—闪点低于21</w:t>
            </w:r>
            <w:r>
              <w:rPr>
                <w:rFonts w:hint="eastAsia" w:eastAsia="仿宋_GB2312" w:cs="宋体"/>
                <w:szCs w:val="21"/>
              </w:rPr>
              <w:t>℃</w:t>
            </w:r>
            <w:r>
              <w:rPr>
                <w:rFonts w:eastAsia="仿宋_GB2312"/>
                <w:szCs w:val="21"/>
              </w:rPr>
              <w:t>，沸点高于20</w:t>
            </w:r>
            <w:r>
              <w:rPr>
                <w:rFonts w:hint="eastAsia" w:eastAsia="仿宋_GB2312" w:cs="宋体"/>
                <w:szCs w:val="21"/>
              </w:rPr>
              <w:t>℃</w:t>
            </w:r>
            <w:r>
              <w:rPr>
                <w:rFonts w:eastAsia="仿宋_GB2312"/>
                <w:szCs w:val="21"/>
              </w:rPr>
              <w:t>的物质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仿宋_GB2312"/>
                <w:szCs w:val="21"/>
              </w:rPr>
            </w:pPr>
          </w:p>
        </w:tc>
        <w:tc>
          <w:tcPr>
            <w:tcW w:w="302" w:type="pct"/>
            <w:tcBorders>
              <w:top w:val="single" w:color="auto" w:sz="4" w:space="0"/>
              <w:left w:val="single" w:color="auto" w:sz="4" w:space="0"/>
              <w:bottom w:val="single" w:color="auto" w:sz="4" w:space="0"/>
              <w:right w:val="single" w:color="auto" w:sz="4" w:space="0"/>
            </w:tcBorders>
            <w:vAlign w:val="center"/>
          </w:tcPr>
          <w:p>
            <w:pPr>
              <w:pStyle w:val="20"/>
              <w:spacing w:line="320" w:lineRule="exact"/>
              <w:ind w:firstLine="0" w:firstLineChars="0"/>
              <w:jc w:val="center"/>
              <w:rPr>
                <w:rFonts w:eastAsia="仿宋_GB2312"/>
                <w:szCs w:val="21"/>
              </w:rPr>
            </w:pPr>
            <w:r>
              <w:rPr>
                <w:rFonts w:eastAsia="仿宋_GB2312"/>
                <w:szCs w:val="21"/>
              </w:rPr>
              <w:t>3</w:t>
            </w:r>
          </w:p>
        </w:tc>
        <w:tc>
          <w:tcPr>
            <w:tcW w:w="4251" w:type="pct"/>
            <w:gridSpan w:val="3"/>
            <w:tcBorders>
              <w:top w:val="single" w:color="auto" w:sz="4" w:space="0"/>
              <w:left w:val="single" w:color="auto" w:sz="4" w:space="0"/>
              <w:bottom w:val="single" w:color="auto" w:sz="4" w:space="0"/>
              <w:right w:val="single" w:color="auto" w:sz="4" w:space="0"/>
            </w:tcBorders>
            <w:vAlign w:val="center"/>
          </w:tcPr>
          <w:p>
            <w:pPr>
              <w:pStyle w:val="20"/>
              <w:spacing w:line="320" w:lineRule="exact"/>
              <w:ind w:firstLine="0" w:firstLineChars="0"/>
              <w:jc w:val="left"/>
              <w:rPr>
                <w:rFonts w:eastAsia="仿宋_GB2312"/>
                <w:szCs w:val="21"/>
              </w:rPr>
            </w:pPr>
            <w:r>
              <w:rPr>
                <w:rFonts w:eastAsia="仿宋_GB2312"/>
                <w:szCs w:val="21"/>
              </w:rPr>
              <w:t>可燃液体—闪点低于55</w:t>
            </w:r>
            <w:r>
              <w:rPr>
                <w:rFonts w:hint="eastAsia" w:eastAsia="仿宋_GB2312" w:cs="宋体"/>
                <w:szCs w:val="21"/>
              </w:rPr>
              <w:t>℃</w:t>
            </w:r>
            <w:r>
              <w:rPr>
                <w:rFonts w:eastAsia="仿宋_GB2312"/>
                <w:szCs w:val="21"/>
              </w:rPr>
              <w:t>，压力下保持液态，在实际操作条件下(如高温高压)可以引起重大事故的物质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pct"/>
            <w:gridSpan w:val="2"/>
            <w:tcBorders>
              <w:top w:val="single" w:color="auto" w:sz="4" w:space="0"/>
              <w:left w:val="single" w:color="auto" w:sz="4" w:space="0"/>
              <w:bottom w:val="single" w:color="auto" w:sz="4" w:space="0"/>
              <w:right w:val="single" w:color="auto" w:sz="4" w:space="0"/>
            </w:tcBorders>
            <w:vAlign w:val="center"/>
          </w:tcPr>
          <w:p>
            <w:pPr>
              <w:pStyle w:val="20"/>
              <w:spacing w:line="320" w:lineRule="exact"/>
              <w:ind w:firstLine="0" w:firstLineChars="0"/>
              <w:jc w:val="center"/>
              <w:rPr>
                <w:rFonts w:eastAsia="仿宋_GB2312"/>
                <w:szCs w:val="21"/>
              </w:rPr>
            </w:pPr>
            <w:r>
              <w:rPr>
                <w:rFonts w:eastAsia="仿宋_GB2312"/>
                <w:szCs w:val="21"/>
              </w:rPr>
              <w:t>爆炸性物质</w:t>
            </w:r>
          </w:p>
        </w:tc>
        <w:tc>
          <w:tcPr>
            <w:tcW w:w="4251" w:type="pct"/>
            <w:gridSpan w:val="3"/>
            <w:tcBorders>
              <w:top w:val="single" w:color="auto" w:sz="4" w:space="0"/>
              <w:left w:val="single" w:color="auto" w:sz="4" w:space="0"/>
              <w:bottom w:val="single" w:color="auto" w:sz="4" w:space="0"/>
              <w:right w:val="single" w:color="auto" w:sz="4" w:space="0"/>
            </w:tcBorders>
            <w:vAlign w:val="center"/>
          </w:tcPr>
          <w:p>
            <w:pPr>
              <w:pStyle w:val="20"/>
              <w:spacing w:line="320" w:lineRule="exact"/>
              <w:ind w:firstLine="0" w:firstLineChars="0"/>
              <w:jc w:val="left"/>
              <w:rPr>
                <w:rFonts w:eastAsia="仿宋_GB2312"/>
                <w:szCs w:val="21"/>
              </w:rPr>
            </w:pPr>
            <w:r>
              <w:rPr>
                <w:rFonts w:eastAsia="仿宋_GB2312"/>
                <w:szCs w:val="21"/>
              </w:rPr>
              <w:t>在火焰影响下可以爆炸，或者对冲击、摩擦比硝基苯更为敏感的物质</w:t>
            </w:r>
          </w:p>
        </w:tc>
      </w:tr>
    </w:tbl>
    <w:p>
      <w:pPr>
        <w:spacing w:line="500" w:lineRule="exact"/>
        <w:jc w:val="center"/>
        <w:rPr>
          <w:rFonts w:eastAsia="仿宋_GB2312"/>
          <w:b/>
          <w:bCs/>
          <w:sz w:val="24"/>
        </w:rPr>
      </w:pPr>
      <w:r>
        <w:rPr>
          <w:rFonts w:eastAsia="仿宋_GB2312"/>
          <w:b/>
          <w:bCs/>
          <w:sz w:val="24"/>
        </w:rPr>
        <w:t>表3.</w:t>
      </w:r>
      <w:r>
        <w:rPr>
          <w:rFonts w:hint="eastAsia" w:eastAsia="仿宋_GB2312"/>
          <w:b/>
          <w:bCs/>
          <w:sz w:val="24"/>
        </w:rPr>
        <w:t>2</w:t>
      </w:r>
      <w:r>
        <w:rPr>
          <w:rFonts w:eastAsia="仿宋_GB2312"/>
          <w:b/>
          <w:bCs/>
          <w:sz w:val="24"/>
        </w:rPr>
        <w:t>-</w:t>
      </w:r>
      <w:r>
        <w:rPr>
          <w:rFonts w:hint="eastAsia" w:eastAsia="仿宋_GB2312"/>
          <w:b/>
          <w:bCs/>
          <w:sz w:val="24"/>
        </w:rPr>
        <w:t>1</w:t>
      </w:r>
      <w:r>
        <w:rPr>
          <w:rFonts w:eastAsia="仿宋_GB2312"/>
          <w:b/>
          <w:bCs/>
          <w:sz w:val="24"/>
        </w:rPr>
        <w:t>4  主要原辅材料主要性质一览表</w:t>
      </w:r>
    </w:p>
    <w:tbl>
      <w:tblPr>
        <w:tblStyle w:val="87"/>
        <w:tblW w:w="86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7"/>
        <w:gridCol w:w="1091"/>
        <w:gridCol w:w="807"/>
        <w:gridCol w:w="951"/>
        <w:gridCol w:w="916"/>
        <w:gridCol w:w="916"/>
        <w:gridCol w:w="1398"/>
        <w:gridCol w:w="1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78" w:type="dxa"/>
            <w:gridSpan w:val="2"/>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119"/>
              <w:ind w:firstLine="0" w:firstLineChars="0"/>
              <w:jc w:val="center"/>
              <w:rPr>
                <w:rFonts w:ascii="仿宋" w:hAnsi="仿宋" w:eastAsia="仿宋"/>
              </w:rPr>
            </w:pPr>
            <w:r>
              <w:rPr>
                <w:rFonts w:ascii="仿宋" w:hAnsi="仿宋" w:eastAsia="仿宋"/>
              </w:rPr>
              <w:t>物质名称</w:t>
            </w:r>
          </w:p>
        </w:tc>
        <w:tc>
          <w:tcPr>
            <w:tcW w:w="807"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119"/>
              <w:ind w:firstLine="0" w:firstLineChars="0"/>
              <w:jc w:val="center"/>
              <w:rPr>
                <w:rFonts w:ascii="仿宋" w:hAnsi="仿宋" w:eastAsia="仿宋"/>
              </w:rPr>
            </w:pPr>
            <w:r>
              <w:rPr>
                <w:rFonts w:ascii="仿宋" w:hAnsi="仿宋" w:eastAsia="仿宋"/>
              </w:rPr>
              <w:t>危规号</w:t>
            </w:r>
          </w:p>
        </w:tc>
        <w:tc>
          <w:tcPr>
            <w:tcW w:w="951"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119"/>
              <w:ind w:firstLine="0" w:firstLineChars="0"/>
              <w:jc w:val="center"/>
              <w:rPr>
                <w:rFonts w:ascii="仿宋" w:hAnsi="仿宋" w:eastAsia="仿宋"/>
              </w:rPr>
            </w:pPr>
            <w:r>
              <w:rPr>
                <w:rFonts w:ascii="仿宋" w:hAnsi="仿宋" w:eastAsia="仿宋"/>
              </w:rPr>
              <w:t>闪点</w:t>
            </w:r>
          </w:p>
          <w:p>
            <w:pPr>
              <w:pStyle w:val="119"/>
              <w:ind w:firstLine="0" w:firstLineChars="0"/>
              <w:jc w:val="center"/>
              <w:rPr>
                <w:rFonts w:ascii="仿宋" w:hAnsi="仿宋" w:eastAsia="仿宋"/>
              </w:rPr>
            </w:pPr>
            <w:r>
              <w:rPr>
                <w:rFonts w:hint="eastAsia" w:ascii="仿宋" w:hAnsi="仿宋" w:eastAsia="仿宋" w:cs="宋体"/>
              </w:rPr>
              <w:t>℃</w:t>
            </w:r>
          </w:p>
        </w:tc>
        <w:tc>
          <w:tcPr>
            <w:tcW w:w="916"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119"/>
              <w:ind w:firstLine="0" w:firstLineChars="0"/>
              <w:jc w:val="center"/>
              <w:rPr>
                <w:rFonts w:ascii="仿宋" w:hAnsi="仿宋" w:eastAsia="仿宋"/>
              </w:rPr>
            </w:pPr>
            <w:r>
              <w:rPr>
                <w:rFonts w:ascii="仿宋" w:hAnsi="仿宋" w:eastAsia="仿宋"/>
              </w:rPr>
              <w:t>沸点</w:t>
            </w:r>
            <w:r>
              <w:rPr>
                <w:rFonts w:hint="eastAsia" w:ascii="仿宋" w:hAnsi="仿宋" w:eastAsia="仿宋" w:cs="宋体"/>
              </w:rPr>
              <w:t>℃</w:t>
            </w:r>
          </w:p>
        </w:tc>
        <w:tc>
          <w:tcPr>
            <w:tcW w:w="916"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119"/>
              <w:ind w:firstLine="0" w:firstLineChars="0"/>
              <w:jc w:val="center"/>
              <w:rPr>
                <w:rFonts w:ascii="仿宋" w:hAnsi="仿宋" w:eastAsia="仿宋"/>
              </w:rPr>
            </w:pPr>
            <w:r>
              <w:rPr>
                <w:rFonts w:ascii="仿宋" w:hAnsi="仿宋" w:eastAsia="仿宋"/>
              </w:rPr>
              <w:t>熔点</w:t>
            </w:r>
            <w:r>
              <w:rPr>
                <w:rFonts w:hint="eastAsia" w:ascii="仿宋" w:hAnsi="仿宋" w:eastAsia="仿宋" w:cs="宋体"/>
              </w:rPr>
              <w:t>℃</w:t>
            </w:r>
          </w:p>
        </w:tc>
        <w:tc>
          <w:tcPr>
            <w:tcW w:w="2917" w:type="dxa"/>
            <w:gridSpan w:val="2"/>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119"/>
              <w:ind w:firstLine="0" w:firstLineChars="0"/>
              <w:jc w:val="center"/>
              <w:rPr>
                <w:rFonts w:ascii="仿宋" w:hAnsi="仿宋" w:eastAsia="仿宋"/>
              </w:rPr>
            </w:pPr>
            <w:r>
              <w:rPr>
                <w:rFonts w:ascii="仿宋" w:hAnsi="仿宋" w:eastAsia="仿宋"/>
              </w:rPr>
              <w:t>毒性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szCs w:val="21"/>
              </w:rPr>
            </w:pPr>
          </w:p>
        </w:tc>
        <w:tc>
          <w:tcPr>
            <w:tcW w:w="139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119"/>
              <w:ind w:firstLine="0" w:firstLineChars="0"/>
              <w:jc w:val="center"/>
              <w:rPr>
                <w:rFonts w:ascii="仿宋" w:hAnsi="仿宋" w:eastAsia="仿宋"/>
              </w:rPr>
            </w:pPr>
            <w:r>
              <w:rPr>
                <w:rFonts w:ascii="仿宋" w:hAnsi="仿宋" w:eastAsia="仿宋"/>
              </w:rPr>
              <w:t>LD</w:t>
            </w:r>
            <w:r>
              <w:rPr>
                <w:rFonts w:ascii="仿宋" w:hAnsi="仿宋" w:eastAsia="仿宋"/>
                <w:vertAlign w:val="subscript"/>
              </w:rPr>
              <w:t>50</w:t>
            </w:r>
            <w:r>
              <w:rPr>
                <w:rFonts w:ascii="仿宋" w:hAnsi="仿宋" w:eastAsia="仿宋"/>
              </w:rPr>
              <w:t>（经口，mg/kg）</w:t>
            </w:r>
          </w:p>
        </w:tc>
        <w:tc>
          <w:tcPr>
            <w:tcW w:w="151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119"/>
              <w:ind w:firstLine="0" w:firstLineChars="0"/>
              <w:jc w:val="center"/>
              <w:rPr>
                <w:rFonts w:ascii="仿宋" w:hAnsi="仿宋" w:eastAsia="仿宋"/>
              </w:rPr>
            </w:pPr>
            <w:r>
              <w:rPr>
                <w:rFonts w:ascii="仿宋" w:hAnsi="仿宋" w:eastAsia="仿宋"/>
              </w:rPr>
              <w:t>LC</w:t>
            </w:r>
            <w:r>
              <w:rPr>
                <w:rFonts w:ascii="仿宋" w:hAnsi="仿宋" w:eastAsia="仿宋"/>
                <w:vertAlign w:val="subscript"/>
              </w:rPr>
              <w:t>50</w:t>
            </w:r>
            <w:r>
              <w:rPr>
                <w:rFonts w:ascii="仿宋" w:hAnsi="仿宋" w:eastAsia="仿宋"/>
              </w:rPr>
              <w:t>（吸入，mg/m</w:t>
            </w:r>
            <w:r>
              <w:rPr>
                <w:rFonts w:ascii="仿宋" w:hAnsi="仿宋" w:eastAsia="仿宋"/>
                <w:vertAlign w:val="superscript"/>
              </w:rPr>
              <w:t>3</w:t>
            </w:r>
            <w:r>
              <w:rPr>
                <w:rFonts w:ascii="仿宋" w:hAnsi="仿宋" w:eastAsia="仿宋"/>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119"/>
              <w:ind w:firstLine="0" w:firstLineChars="0"/>
              <w:jc w:val="center"/>
              <w:rPr>
                <w:rFonts w:ascii="仿宋" w:hAnsi="仿宋" w:eastAsia="仿宋"/>
              </w:rPr>
            </w:pPr>
            <w:r>
              <w:rPr>
                <w:rFonts w:hint="eastAsia" w:ascii="仿宋" w:hAnsi="仿宋" w:eastAsia="仿宋"/>
              </w:rPr>
              <w:t>机油</w:t>
            </w:r>
          </w:p>
        </w:tc>
        <w:tc>
          <w:tcPr>
            <w:tcW w:w="109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119"/>
              <w:ind w:firstLine="0" w:firstLineChars="0"/>
              <w:jc w:val="center"/>
              <w:rPr>
                <w:rFonts w:ascii="仿宋" w:hAnsi="仿宋" w:eastAsia="仿宋"/>
              </w:rPr>
            </w:pPr>
            <w:r>
              <w:rPr>
                <w:rFonts w:hint="eastAsia" w:ascii="仿宋" w:hAnsi="仿宋" w:eastAsia="仿宋"/>
              </w:rPr>
              <w:t>矿物</w:t>
            </w:r>
            <w:r>
              <w:rPr>
                <w:rFonts w:ascii="仿宋" w:hAnsi="仿宋" w:eastAsia="仿宋"/>
              </w:rPr>
              <w:t>油</w:t>
            </w:r>
          </w:p>
        </w:tc>
        <w:tc>
          <w:tcPr>
            <w:tcW w:w="80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119"/>
              <w:ind w:firstLine="0" w:firstLineChars="0"/>
              <w:jc w:val="center"/>
              <w:rPr>
                <w:rFonts w:ascii="仿宋" w:hAnsi="仿宋" w:eastAsia="仿宋"/>
              </w:rPr>
            </w:pPr>
            <w:r>
              <w:rPr>
                <w:rFonts w:hint="eastAsia" w:ascii="仿宋" w:hAnsi="仿宋" w:eastAsia="仿宋"/>
              </w:rPr>
              <w:t>33501</w:t>
            </w:r>
          </w:p>
        </w:tc>
        <w:tc>
          <w:tcPr>
            <w:tcW w:w="9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119"/>
              <w:ind w:firstLine="0" w:firstLineChars="0"/>
              <w:jc w:val="center"/>
              <w:rPr>
                <w:rFonts w:ascii="仿宋" w:hAnsi="仿宋" w:eastAsia="仿宋"/>
              </w:rPr>
            </w:pPr>
            <w:r>
              <w:rPr>
                <w:rFonts w:ascii="仿宋" w:hAnsi="仿宋" w:eastAsia="仿宋"/>
              </w:rPr>
              <w:t>220</w:t>
            </w:r>
          </w:p>
        </w:tc>
        <w:tc>
          <w:tcPr>
            <w:tcW w:w="91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119"/>
              <w:ind w:firstLine="0" w:firstLineChars="0"/>
              <w:jc w:val="center"/>
              <w:rPr>
                <w:rFonts w:ascii="仿宋" w:hAnsi="仿宋" w:eastAsia="仿宋"/>
              </w:rPr>
            </w:pPr>
            <w:r>
              <w:rPr>
                <w:rFonts w:hint="eastAsia" w:ascii="仿宋" w:hAnsi="仿宋" w:eastAsia="仿宋"/>
              </w:rPr>
              <w:t>/</w:t>
            </w:r>
          </w:p>
        </w:tc>
        <w:tc>
          <w:tcPr>
            <w:tcW w:w="91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119"/>
              <w:ind w:firstLine="0" w:firstLineChars="0"/>
              <w:jc w:val="center"/>
              <w:rPr>
                <w:rFonts w:ascii="仿宋" w:hAnsi="仿宋" w:eastAsia="仿宋"/>
              </w:rPr>
            </w:pPr>
            <w:r>
              <w:rPr>
                <w:rFonts w:hint="eastAsia" w:ascii="仿宋" w:hAnsi="仿宋" w:eastAsia="仿宋"/>
              </w:rPr>
              <w:t>/</w:t>
            </w:r>
          </w:p>
        </w:tc>
        <w:tc>
          <w:tcPr>
            <w:tcW w:w="139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119"/>
              <w:ind w:firstLine="0" w:firstLineChars="0"/>
              <w:jc w:val="center"/>
              <w:rPr>
                <w:rFonts w:ascii="仿宋" w:hAnsi="仿宋" w:eastAsia="仿宋"/>
              </w:rPr>
            </w:pPr>
            <w:r>
              <w:rPr>
                <w:rFonts w:ascii="仿宋" w:hAnsi="仿宋" w:eastAsia="仿宋"/>
              </w:rPr>
              <w:t>4000</w:t>
            </w:r>
          </w:p>
        </w:tc>
        <w:tc>
          <w:tcPr>
            <w:tcW w:w="151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119"/>
              <w:ind w:firstLine="0" w:firstLineChars="0"/>
              <w:jc w:val="center"/>
              <w:rPr>
                <w:rFonts w:ascii="仿宋" w:hAnsi="仿宋" w:eastAsia="仿宋"/>
              </w:rPr>
            </w:pPr>
            <w:r>
              <w:rPr>
                <w:rFonts w:ascii="仿宋" w:hAnsi="仿宋" w:eastAsia="仿宋"/>
              </w:rPr>
              <w:t>9400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119"/>
              <w:ind w:firstLine="0" w:firstLineChars="0"/>
              <w:jc w:val="center"/>
              <w:rPr>
                <w:rFonts w:ascii="仿宋" w:hAnsi="仿宋" w:eastAsia="仿宋"/>
              </w:rPr>
            </w:pPr>
            <w:r>
              <w:rPr>
                <w:rFonts w:hint="eastAsia" w:ascii="仿宋" w:hAnsi="仿宋" w:eastAsia="仿宋"/>
              </w:rPr>
              <w:t>固化剂</w:t>
            </w:r>
          </w:p>
        </w:tc>
        <w:tc>
          <w:tcPr>
            <w:tcW w:w="109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119"/>
              <w:ind w:firstLine="0" w:firstLineChars="0"/>
              <w:jc w:val="center"/>
              <w:rPr>
                <w:rFonts w:ascii="仿宋" w:hAnsi="仿宋" w:eastAsia="仿宋"/>
              </w:rPr>
            </w:pPr>
            <w:r>
              <w:rPr>
                <w:rFonts w:hint="eastAsia" w:ascii="仿宋" w:hAnsi="仿宋" w:eastAsia="仿宋"/>
              </w:rPr>
              <w:t>乙醇</w:t>
            </w:r>
          </w:p>
        </w:tc>
        <w:tc>
          <w:tcPr>
            <w:tcW w:w="80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119"/>
              <w:ind w:firstLine="0" w:firstLineChars="0"/>
              <w:jc w:val="center"/>
              <w:rPr>
                <w:rFonts w:ascii="仿宋" w:hAnsi="仿宋" w:eastAsia="仿宋"/>
              </w:rPr>
            </w:pPr>
            <w:r>
              <w:rPr>
                <w:rFonts w:hint="eastAsia" w:ascii="仿宋" w:hAnsi="仿宋" w:eastAsia="仿宋"/>
              </w:rPr>
              <w:t>32061</w:t>
            </w:r>
          </w:p>
        </w:tc>
        <w:tc>
          <w:tcPr>
            <w:tcW w:w="9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119"/>
              <w:ind w:firstLine="0" w:firstLineChars="0"/>
              <w:jc w:val="center"/>
              <w:rPr>
                <w:rFonts w:ascii="仿宋" w:hAnsi="仿宋" w:eastAsia="仿宋"/>
              </w:rPr>
            </w:pPr>
            <w:r>
              <w:rPr>
                <w:rFonts w:hint="eastAsia" w:ascii="仿宋" w:hAnsi="仿宋" w:eastAsia="仿宋"/>
              </w:rPr>
              <w:t>8.9</w:t>
            </w:r>
          </w:p>
        </w:tc>
        <w:tc>
          <w:tcPr>
            <w:tcW w:w="91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119"/>
              <w:ind w:firstLine="0" w:firstLineChars="0"/>
              <w:jc w:val="center"/>
              <w:rPr>
                <w:rFonts w:ascii="仿宋" w:hAnsi="仿宋" w:eastAsia="仿宋"/>
              </w:rPr>
            </w:pPr>
            <w:r>
              <w:rPr>
                <w:rFonts w:hint="eastAsia" w:ascii="仿宋" w:hAnsi="仿宋" w:eastAsia="仿宋"/>
              </w:rPr>
              <w:t>72.6</w:t>
            </w:r>
          </w:p>
        </w:tc>
        <w:tc>
          <w:tcPr>
            <w:tcW w:w="91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119"/>
              <w:ind w:firstLine="0" w:firstLineChars="0"/>
              <w:jc w:val="center"/>
              <w:rPr>
                <w:rFonts w:ascii="仿宋" w:hAnsi="仿宋" w:eastAsia="仿宋"/>
              </w:rPr>
            </w:pPr>
            <w:r>
              <w:rPr>
                <w:rFonts w:hint="eastAsia" w:ascii="仿宋" w:hAnsi="仿宋" w:eastAsia="仿宋"/>
              </w:rPr>
              <w:t>-</w:t>
            </w:r>
            <w:r>
              <w:rPr>
                <w:rFonts w:ascii="仿宋" w:hAnsi="仿宋" w:eastAsia="仿宋"/>
              </w:rPr>
              <w:t>114</w:t>
            </w:r>
          </w:p>
        </w:tc>
        <w:tc>
          <w:tcPr>
            <w:tcW w:w="139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119"/>
              <w:ind w:firstLine="0" w:firstLineChars="0"/>
              <w:jc w:val="center"/>
              <w:rPr>
                <w:rFonts w:ascii="仿宋" w:hAnsi="仿宋" w:eastAsia="仿宋"/>
              </w:rPr>
            </w:pPr>
            <w:r>
              <w:rPr>
                <w:rFonts w:hint="eastAsia" w:ascii="仿宋" w:hAnsi="仿宋" w:eastAsia="仿宋"/>
              </w:rPr>
              <w:t>7060</w:t>
            </w:r>
          </w:p>
        </w:tc>
        <w:tc>
          <w:tcPr>
            <w:tcW w:w="151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119"/>
              <w:ind w:firstLine="0" w:firstLineChars="0"/>
              <w:jc w:val="center"/>
              <w:rPr>
                <w:rFonts w:ascii="仿宋" w:hAnsi="仿宋" w:eastAsia="仿宋"/>
              </w:rPr>
            </w:pPr>
            <w:r>
              <w:rPr>
                <w:rFonts w:hint="eastAsia" w:ascii="仿宋" w:hAnsi="仿宋" w:eastAsia="仿宋"/>
              </w:rPr>
              <w:t>37620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7" w:type="dxa"/>
            <w:vMerge w:val="restart"/>
            <w:tcBorders>
              <w:left w:val="single" w:color="auto" w:sz="4" w:space="0"/>
              <w:right w:val="single" w:color="auto" w:sz="4" w:space="0"/>
            </w:tcBorders>
            <w:vAlign w:val="center"/>
          </w:tcPr>
          <w:p>
            <w:pPr>
              <w:jc w:val="center"/>
              <w:rPr>
                <w:rFonts w:ascii="仿宋" w:hAnsi="仿宋" w:eastAsia="仿宋"/>
                <w:szCs w:val="21"/>
              </w:rPr>
            </w:pPr>
            <w:r>
              <w:rPr>
                <w:rFonts w:hint="eastAsia" w:ascii="仿宋" w:hAnsi="仿宋" w:eastAsia="仿宋"/>
                <w:szCs w:val="21"/>
              </w:rPr>
              <w:t>胶粘剂</w:t>
            </w:r>
          </w:p>
        </w:tc>
        <w:tc>
          <w:tcPr>
            <w:tcW w:w="109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119"/>
              <w:ind w:firstLine="0" w:firstLineChars="0"/>
              <w:jc w:val="center"/>
              <w:rPr>
                <w:rFonts w:ascii="仿宋" w:hAnsi="仿宋" w:eastAsia="仿宋"/>
              </w:rPr>
            </w:pPr>
            <w:r>
              <w:rPr>
                <w:rFonts w:ascii="仿宋" w:hAnsi="仿宋" w:eastAsia="仿宋"/>
              </w:rPr>
              <w:t>乙酸乙酯</w:t>
            </w:r>
          </w:p>
        </w:tc>
        <w:tc>
          <w:tcPr>
            <w:tcW w:w="80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119"/>
              <w:ind w:firstLine="0" w:firstLineChars="0"/>
              <w:jc w:val="center"/>
              <w:rPr>
                <w:rFonts w:ascii="仿宋" w:hAnsi="仿宋" w:eastAsia="仿宋"/>
              </w:rPr>
            </w:pPr>
            <w:r>
              <w:rPr>
                <w:rFonts w:hint="eastAsia" w:ascii="仿宋" w:hAnsi="仿宋" w:eastAsia="仿宋"/>
              </w:rPr>
              <w:t>32127</w:t>
            </w:r>
          </w:p>
        </w:tc>
        <w:tc>
          <w:tcPr>
            <w:tcW w:w="9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119"/>
              <w:ind w:firstLine="0" w:firstLineChars="0"/>
              <w:jc w:val="center"/>
              <w:rPr>
                <w:rFonts w:ascii="仿宋" w:hAnsi="仿宋" w:eastAsia="仿宋"/>
              </w:rPr>
            </w:pPr>
            <w:r>
              <w:rPr>
                <w:rFonts w:hint="eastAsia" w:ascii="仿宋" w:hAnsi="仿宋" w:eastAsia="仿宋"/>
              </w:rPr>
              <w:t>-4</w:t>
            </w:r>
          </w:p>
        </w:tc>
        <w:tc>
          <w:tcPr>
            <w:tcW w:w="91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119"/>
              <w:ind w:firstLine="0" w:firstLineChars="0"/>
              <w:jc w:val="center"/>
              <w:rPr>
                <w:rFonts w:ascii="仿宋" w:hAnsi="仿宋" w:eastAsia="仿宋"/>
              </w:rPr>
            </w:pPr>
            <w:r>
              <w:rPr>
                <w:rFonts w:hint="eastAsia" w:ascii="仿宋" w:hAnsi="仿宋" w:eastAsia="仿宋"/>
              </w:rPr>
              <w:t>77.2</w:t>
            </w:r>
          </w:p>
        </w:tc>
        <w:tc>
          <w:tcPr>
            <w:tcW w:w="91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119"/>
              <w:ind w:firstLine="0" w:firstLineChars="0"/>
              <w:jc w:val="center"/>
              <w:rPr>
                <w:rFonts w:ascii="仿宋" w:hAnsi="仿宋" w:eastAsia="仿宋"/>
              </w:rPr>
            </w:pPr>
            <w:r>
              <w:rPr>
                <w:rFonts w:hint="eastAsia" w:ascii="仿宋" w:hAnsi="仿宋" w:eastAsia="仿宋"/>
              </w:rPr>
              <w:t>-83.6</w:t>
            </w:r>
          </w:p>
        </w:tc>
        <w:tc>
          <w:tcPr>
            <w:tcW w:w="139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119"/>
              <w:ind w:firstLine="0" w:firstLineChars="0"/>
              <w:jc w:val="center"/>
              <w:rPr>
                <w:rFonts w:ascii="仿宋" w:hAnsi="仿宋" w:eastAsia="仿宋"/>
              </w:rPr>
            </w:pPr>
            <w:r>
              <w:rPr>
                <w:rFonts w:hint="eastAsia" w:ascii="仿宋" w:hAnsi="仿宋" w:eastAsia="仿宋"/>
              </w:rPr>
              <w:t>5620</w:t>
            </w:r>
          </w:p>
        </w:tc>
        <w:tc>
          <w:tcPr>
            <w:tcW w:w="151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119"/>
              <w:ind w:firstLine="0" w:firstLineChars="0"/>
              <w:jc w:val="center"/>
              <w:rPr>
                <w:rFonts w:ascii="仿宋" w:hAnsi="仿宋" w:eastAsia="仿宋"/>
              </w:rPr>
            </w:pPr>
            <w:r>
              <w:rPr>
                <w:rFonts w:hint="eastAsia" w:ascii="仿宋" w:hAnsi="仿宋" w:eastAsia="仿宋"/>
              </w:rPr>
              <w:t>5760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7" w:type="dxa"/>
            <w:vMerge w:val="continue"/>
            <w:tcBorders>
              <w:left w:val="single" w:color="auto" w:sz="4" w:space="0"/>
              <w:right w:val="single" w:color="auto" w:sz="4" w:space="0"/>
            </w:tcBorders>
            <w:vAlign w:val="center"/>
          </w:tcPr>
          <w:p>
            <w:pPr>
              <w:jc w:val="center"/>
              <w:rPr>
                <w:rFonts w:ascii="仿宋" w:hAnsi="仿宋" w:eastAsia="仿宋"/>
                <w:szCs w:val="21"/>
              </w:rPr>
            </w:pPr>
          </w:p>
        </w:tc>
        <w:tc>
          <w:tcPr>
            <w:tcW w:w="109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119"/>
              <w:ind w:firstLine="0" w:firstLineChars="0"/>
              <w:jc w:val="center"/>
              <w:rPr>
                <w:rFonts w:ascii="仿宋" w:hAnsi="仿宋" w:eastAsia="仿宋"/>
              </w:rPr>
            </w:pPr>
            <w:r>
              <w:rPr>
                <w:rFonts w:hint="eastAsia" w:ascii="仿宋" w:hAnsi="仿宋" w:eastAsia="仿宋"/>
              </w:rPr>
              <w:t>二甲苯</w:t>
            </w:r>
          </w:p>
        </w:tc>
        <w:tc>
          <w:tcPr>
            <w:tcW w:w="80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119"/>
              <w:ind w:firstLine="0" w:firstLineChars="0"/>
              <w:jc w:val="center"/>
              <w:rPr>
                <w:rFonts w:ascii="仿宋" w:hAnsi="仿宋" w:eastAsia="仿宋"/>
              </w:rPr>
            </w:pPr>
            <w:r>
              <w:rPr>
                <w:rFonts w:hint="eastAsia" w:ascii="仿宋" w:hAnsi="仿宋" w:eastAsia="仿宋"/>
              </w:rPr>
              <w:t>33535</w:t>
            </w:r>
          </w:p>
        </w:tc>
        <w:tc>
          <w:tcPr>
            <w:tcW w:w="9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119"/>
              <w:ind w:firstLine="0" w:firstLineChars="0"/>
              <w:jc w:val="center"/>
              <w:rPr>
                <w:rFonts w:ascii="仿宋" w:hAnsi="仿宋" w:eastAsia="仿宋"/>
              </w:rPr>
            </w:pPr>
            <w:r>
              <w:rPr>
                <w:rFonts w:hint="eastAsia" w:ascii="仿宋" w:hAnsi="仿宋" w:eastAsia="仿宋"/>
              </w:rPr>
              <w:t>25</w:t>
            </w:r>
          </w:p>
        </w:tc>
        <w:tc>
          <w:tcPr>
            <w:tcW w:w="91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119"/>
              <w:ind w:firstLine="0" w:firstLineChars="0"/>
              <w:jc w:val="center"/>
              <w:rPr>
                <w:rFonts w:ascii="仿宋" w:hAnsi="仿宋" w:eastAsia="仿宋"/>
              </w:rPr>
            </w:pPr>
            <w:r>
              <w:rPr>
                <w:rFonts w:hint="eastAsia" w:ascii="仿宋" w:hAnsi="仿宋" w:eastAsia="仿宋"/>
              </w:rPr>
              <w:t>145.9</w:t>
            </w:r>
          </w:p>
        </w:tc>
        <w:tc>
          <w:tcPr>
            <w:tcW w:w="91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119"/>
              <w:ind w:firstLine="0" w:firstLineChars="0"/>
              <w:jc w:val="center"/>
              <w:rPr>
                <w:rFonts w:ascii="仿宋" w:hAnsi="仿宋" w:eastAsia="仿宋"/>
              </w:rPr>
            </w:pPr>
            <w:r>
              <w:rPr>
                <w:rFonts w:hint="eastAsia" w:ascii="仿宋" w:hAnsi="仿宋" w:eastAsia="仿宋"/>
              </w:rPr>
              <w:t>-34</w:t>
            </w:r>
          </w:p>
        </w:tc>
        <w:tc>
          <w:tcPr>
            <w:tcW w:w="139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119"/>
              <w:ind w:firstLine="0" w:firstLineChars="0"/>
              <w:jc w:val="center"/>
              <w:rPr>
                <w:rFonts w:ascii="仿宋" w:hAnsi="仿宋" w:eastAsia="仿宋"/>
              </w:rPr>
            </w:pPr>
            <w:r>
              <w:rPr>
                <w:rFonts w:hint="eastAsia" w:ascii="仿宋" w:hAnsi="仿宋" w:eastAsia="仿宋"/>
              </w:rPr>
              <w:t>4300</w:t>
            </w:r>
          </w:p>
        </w:tc>
        <w:tc>
          <w:tcPr>
            <w:tcW w:w="151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119"/>
              <w:ind w:firstLine="0" w:firstLineChars="0"/>
              <w:jc w:val="center"/>
              <w:rPr>
                <w:rFonts w:ascii="仿宋" w:hAnsi="仿宋" w:eastAsia="仿宋"/>
              </w:rPr>
            </w:pPr>
            <w:r>
              <w:rPr>
                <w:rFonts w:hint="eastAsia" w:ascii="仿宋" w:hAnsi="仿宋" w:eastAsia="仿宋"/>
              </w:rPr>
              <w:t>2119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7" w:type="dxa"/>
            <w:tcBorders>
              <w:left w:val="single" w:color="auto" w:sz="4" w:space="0"/>
              <w:right w:val="single" w:color="auto" w:sz="4" w:space="0"/>
            </w:tcBorders>
            <w:vAlign w:val="center"/>
          </w:tcPr>
          <w:p>
            <w:pPr>
              <w:widowControl/>
              <w:jc w:val="center"/>
              <w:rPr>
                <w:rFonts w:ascii="仿宋" w:hAnsi="仿宋" w:eastAsia="仿宋"/>
                <w:szCs w:val="21"/>
              </w:rPr>
            </w:pPr>
            <w:r>
              <w:rPr>
                <w:rFonts w:hint="eastAsia" w:ascii="仿宋" w:hAnsi="仿宋" w:eastAsia="仿宋"/>
                <w:szCs w:val="21"/>
              </w:rPr>
              <w:t>清洗剂</w:t>
            </w:r>
          </w:p>
        </w:tc>
        <w:tc>
          <w:tcPr>
            <w:tcW w:w="109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119"/>
              <w:ind w:firstLine="0" w:firstLineChars="0"/>
              <w:jc w:val="center"/>
              <w:rPr>
                <w:rFonts w:ascii="仿宋" w:hAnsi="仿宋" w:eastAsia="仿宋"/>
                <w:bCs/>
              </w:rPr>
            </w:pPr>
            <w:r>
              <w:rPr>
                <w:rFonts w:ascii="仿宋" w:hAnsi="仿宋" w:eastAsia="仿宋"/>
              </w:rPr>
              <w:t>乙酸乙酯</w:t>
            </w:r>
          </w:p>
        </w:tc>
        <w:tc>
          <w:tcPr>
            <w:tcW w:w="80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119"/>
              <w:ind w:firstLine="0" w:firstLineChars="0"/>
              <w:jc w:val="center"/>
              <w:rPr>
                <w:rFonts w:ascii="仿宋" w:hAnsi="仿宋" w:eastAsia="仿宋"/>
              </w:rPr>
            </w:pPr>
            <w:r>
              <w:rPr>
                <w:rFonts w:hint="eastAsia" w:ascii="仿宋" w:hAnsi="仿宋" w:eastAsia="仿宋"/>
              </w:rPr>
              <w:t>32127</w:t>
            </w:r>
          </w:p>
        </w:tc>
        <w:tc>
          <w:tcPr>
            <w:tcW w:w="95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119"/>
              <w:ind w:firstLine="0" w:firstLineChars="0"/>
              <w:jc w:val="center"/>
              <w:rPr>
                <w:rFonts w:ascii="仿宋" w:hAnsi="仿宋" w:eastAsia="仿宋"/>
              </w:rPr>
            </w:pPr>
            <w:r>
              <w:rPr>
                <w:rFonts w:hint="eastAsia" w:ascii="仿宋" w:hAnsi="仿宋" w:eastAsia="仿宋"/>
              </w:rPr>
              <w:t>-4</w:t>
            </w:r>
          </w:p>
        </w:tc>
        <w:tc>
          <w:tcPr>
            <w:tcW w:w="91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119"/>
              <w:ind w:firstLine="0" w:firstLineChars="0"/>
              <w:jc w:val="center"/>
              <w:rPr>
                <w:rFonts w:ascii="仿宋" w:hAnsi="仿宋" w:eastAsia="仿宋"/>
              </w:rPr>
            </w:pPr>
            <w:r>
              <w:rPr>
                <w:rFonts w:hint="eastAsia" w:ascii="仿宋" w:hAnsi="仿宋" w:eastAsia="仿宋"/>
              </w:rPr>
              <w:t>77.2</w:t>
            </w:r>
          </w:p>
        </w:tc>
        <w:tc>
          <w:tcPr>
            <w:tcW w:w="91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119"/>
              <w:ind w:firstLine="0" w:firstLineChars="0"/>
              <w:jc w:val="center"/>
              <w:rPr>
                <w:rFonts w:ascii="仿宋" w:hAnsi="仿宋" w:eastAsia="仿宋"/>
              </w:rPr>
            </w:pPr>
            <w:r>
              <w:rPr>
                <w:rFonts w:hint="eastAsia" w:ascii="仿宋" w:hAnsi="仿宋" w:eastAsia="仿宋"/>
              </w:rPr>
              <w:t>-83.6</w:t>
            </w:r>
          </w:p>
        </w:tc>
        <w:tc>
          <w:tcPr>
            <w:tcW w:w="139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119"/>
              <w:ind w:firstLine="0" w:firstLineChars="0"/>
              <w:jc w:val="center"/>
              <w:rPr>
                <w:rFonts w:ascii="仿宋" w:hAnsi="仿宋" w:eastAsia="仿宋"/>
              </w:rPr>
            </w:pPr>
            <w:r>
              <w:rPr>
                <w:rFonts w:hint="eastAsia" w:ascii="仿宋" w:hAnsi="仿宋" w:eastAsia="仿宋"/>
              </w:rPr>
              <w:t>5620</w:t>
            </w:r>
          </w:p>
        </w:tc>
        <w:tc>
          <w:tcPr>
            <w:tcW w:w="151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119"/>
              <w:ind w:firstLine="0" w:firstLineChars="0"/>
              <w:jc w:val="center"/>
              <w:rPr>
                <w:rFonts w:ascii="仿宋" w:hAnsi="仿宋" w:eastAsia="仿宋"/>
              </w:rPr>
            </w:pPr>
            <w:r>
              <w:rPr>
                <w:rFonts w:hint="eastAsia" w:ascii="仿宋" w:hAnsi="仿宋" w:eastAsia="仿宋"/>
              </w:rPr>
              <w:t>5760</w:t>
            </w:r>
          </w:p>
        </w:tc>
      </w:tr>
    </w:tbl>
    <w:p>
      <w:pPr>
        <w:spacing w:line="500" w:lineRule="exact"/>
        <w:jc w:val="center"/>
        <w:rPr>
          <w:rFonts w:eastAsia="仿宋_GB2312"/>
          <w:b/>
          <w:bCs/>
          <w:sz w:val="24"/>
        </w:rPr>
      </w:pPr>
      <w:r>
        <w:rPr>
          <w:rFonts w:eastAsia="仿宋_GB2312"/>
          <w:b/>
          <w:bCs/>
          <w:sz w:val="24"/>
        </w:rPr>
        <w:t>表3.</w:t>
      </w:r>
      <w:r>
        <w:rPr>
          <w:rFonts w:hint="eastAsia" w:eastAsia="仿宋_GB2312"/>
          <w:b/>
          <w:bCs/>
          <w:sz w:val="24"/>
        </w:rPr>
        <w:t>2</w:t>
      </w:r>
      <w:r>
        <w:rPr>
          <w:rFonts w:eastAsia="仿宋_GB2312"/>
          <w:b/>
          <w:bCs/>
          <w:sz w:val="24"/>
        </w:rPr>
        <w:t>-</w:t>
      </w:r>
      <w:r>
        <w:rPr>
          <w:rFonts w:hint="eastAsia" w:eastAsia="仿宋_GB2312"/>
          <w:b/>
          <w:bCs/>
          <w:sz w:val="24"/>
        </w:rPr>
        <w:t>1</w:t>
      </w:r>
      <w:r>
        <w:rPr>
          <w:rFonts w:eastAsia="仿宋_GB2312"/>
          <w:b/>
          <w:bCs/>
          <w:sz w:val="24"/>
        </w:rPr>
        <w:t>5 主要化学品危险性判别</w:t>
      </w:r>
    </w:p>
    <w:tbl>
      <w:tblPr>
        <w:tblStyle w:val="87"/>
        <w:tblW w:w="102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3585"/>
        <w:gridCol w:w="1940"/>
        <w:gridCol w:w="1704"/>
        <w:gridCol w:w="1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271" w:type="dxa"/>
            <w:vAlign w:val="center"/>
          </w:tcPr>
          <w:p>
            <w:pPr>
              <w:widowControl/>
              <w:adjustRightInd w:val="0"/>
              <w:snapToGrid w:val="0"/>
              <w:jc w:val="center"/>
              <w:textAlignment w:val="baseline"/>
              <w:rPr>
                <w:rFonts w:ascii="仿宋" w:hAnsi="仿宋" w:eastAsia="仿宋"/>
                <w:szCs w:val="21"/>
              </w:rPr>
            </w:pPr>
            <w:r>
              <w:rPr>
                <w:rFonts w:ascii="仿宋" w:hAnsi="仿宋" w:eastAsia="仿宋"/>
                <w:szCs w:val="21"/>
              </w:rPr>
              <w:t>名称</w:t>
            </w:r>
          </w:p>
        </w:tc>
        <w:tc>
          <w:tcPr>
            <w:tcW w:w="3585" w:type="dxa"/>
            <w:vAlign w:val="center"/>
          </w:tcPr>
          <w:p>
            <w:pPr>
              <w:widowControl/>
              <w:adjustRightInd w:val="0"/>
              <w:snapToGrid w:val="0"/>
              <w:jc w:val="center"/>
              <w:textAlignment w:val="baseline"/>
              <w:rPr>
                <w:rFonts w:ascii="仿宋" w:hAnsi="仿宋" w:eastAsia="仿宋"/>
                <w:szCs w:val="21"/>
              </w:rPr>
            </w:pPr>
            <w:r>
              <w:rPr>
                <w:rFonts w:ascii="仿宋" w:hAnsi="仿宋" w:eastAsia="仿宋"/>
                <w:szCs w:val="21"/>
              </w:rPr>
              <w:t>毒性</w:t>
            </w:r>
          </w:p>
        </w:tc>
        <w:tc>
          <w:tcPr>
            <w:tcW w:w="1940" w:type="dxa"/>
            <w:vAlign w:val="center"/>
          </w:tcPr>
          <w:p>
            <w:pPr>
              <w:widowControl/>
              <w:adjustRightInd w:val="0"/>
              <w:snapToGrid w:val="0"/>
              <w:jc w:val="center"/>
              <w:textAlignment w:val="baseline"/>
              <w:rPr>
                <w:rFonts w:ascii="仿宋" w:hAnsi="仿宋" w:eastAsia="仿宋"/>
                <w:szCs w:val="21"/>
              </w:rPr>
            </w:pPr>
            <w:r>
              <w:rPr>
                <w:rFonts w:ascii="仿宋" w:hAnsi="仿宋" w:eastAsia="仿宋"/>
                <w:szCs w:val="21"/>
              </w:rPr>
              <w:t>燃烧性</w:t>
            </w:r>
          </w:p>
        </w:tc>
        <w:tc>
          <w:tcPr>
            <w:tcW w:w="1704" w:type="dxa"/>
            <w:vAlign w:val="center"/>
          </w:tcPr>
          <w:p>
            <w:pPr>
              <w:widowControl/>
              <w:adjustRightInd w:val="0"/>
              <w:snapToGrid w:val="0"/>
              <w:jc w:val="center"/>
              <w:textAlignment w:val="baseline"/>
              <w:rPr>
                <w:rFonts w:ascii="仿宋" w:hAnsi="仿宋" w:eastAsia="仿宋"/>
                <w:szCs w:val="21"/>
              </w:rPr>
            </w:pPr>
            <w:r>
              <w:rPr>
                <w:rFonts w:ascii="仿宋" w:hAnsi="仿宋" w:eastAsia="仿宋"/>
                <w:szCs w:val="21"/>
              </w:rPr>
              <w:t>爆炸性</w:t>
            </w:r>
          </w:p>
        </w:tc>
        <w:tc>
          <w:tcPr>
            <w:tcW w:w="1704" w:type="dxa"/>
          </w:tcPr>
          <w:p>
            <w:pPr>
              <w:widowControl/>
              <w:adjustRightInd w:val="0"/>
              <w:snapToGrid w:val="0"/>
              <w:jc w:val="center"/>
              <w:textAlignment w:val="baseline"/>
              <w:rPr>
                <w:rFonts w:ascii="仿宋" w:hAnsi="仿宋" w:eastAsia="仿宋"/>
                <w:szCs w:val="21"/>
              </w:rPr>
            </w:pPr>
            <w:r>
              <w:rPr>
                <w:rFonts w:hint="eastAsia" w:ascii="仿宋" w:hAnsi="仿宋" w:eastAsia="仿宋"/>
                <w:szCs w:val="21"/>
              </w:rPr>
              <w:t>爆炸</w:t>
            </w:r>
            <w:r>
              <w:rPr>
                <w:rFonts w:ascii="仿宋" w:hAnsi="仿宋" w:eastAsia="仿宋"/>
                <w:szCs w:val="21"/>
              </w:rPr>
              <w:t>极限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271" w:type="dxa"/>
            <w:vAlign w:val="center"/>
          </w:tcPr>
          <w:p>
            <w:pPr>
              <w:jc w:val="center"/>
              <w:rPr>
                <w:rFonts w:ascii="仿宋" w:hAnsi="仿宋" w:eastAsia="仿宋"/>
                <w:szCs w:val="21"/>
              </w:rPr>
            </w:pPr>
            <w:bookmarkStart w:id="245" w:name="_Hlk377310346"/>
            <w:r>
              <w:rPr>
                <w:rFonts w:ascii="仿宋" w:hAnsi="仿宋" w:eastAsia="仿宋"/>
                <w:szCs w:val="21"/>
              </w:rPr>
              <w:t>乙酸乙酯</w:t>
            </w:r>
          </w:p>
        </w:tc>
        <w:tc>
          <w:tcPr>
            <w:tcW w:w="3585" w:type="dxa"/>
            <w:vAlign w:val="center"/>
          </w:tcPr>
          <w:p>
            <w:pPr>
              <w:widowControl/>
              <w:adjustRightInd w:val="0"/>
              <w:snapToGrid w:val="0"/>
              <w:jc w:val="center"/>
              <w:textAlignment w:val="baseline"/>
              <w:rPr>
                <w:rFonts w:ascii="仿宋" w:hAnsi="仿宋" w:eastAsia="仿宋"/>
                <w:szCs w:val="21"/>
              </w:rPr>
            </w:pPr>
            <w:r>
              <w:rPr>
                <w:rFonts w:ascii="仿宋" w:hAnsi="仿宋" w:eastAsia="仿宋"/>
                <w:szCs w:val="21"/>
              </w:rPr>
              <w:t>低毒类</w:t>
            </w:r>
          </w:p>
        </w:tc>
        <w:tc>
          <w:tcPr>
            <w:tcW w:w="1940" w:type="dxa"/>
            <w:vAlign w:val="center"/>
          </w:tcPr>
          <w:p>
            <w:pPr>
              <w:widowControl/>
              <w:adjustRightInd w:val="0"/>
              <w:snapToGrid w:val="0"/>
              <w:jc w:val="center"/>
              <w:textAlignment w:val="baseline"/>
              <w:rPr>
                <w:rFonts w:ascii="仿宋" w:hAnsi="仿宋" w:eastAsia="仿宋"/>
                <w:szCs w:val="21"/>
              </w:rPr>
            </w:pPr>
            <w:r>
              <w:rPr>
                <w:rFonts w:ascii="仿宋" w:hAnsi="仿宋" w:eastAsia="仿宋"/>
                <w:szCs w:val="21"/>
              </w:rPr>
              <w:t>易燃，闪点-4</w:t>
            </w:r>
            <w:r>
              <w:rPr>
                <w:rFonts w:hint="eastAsia" w:ascii="仿宋" w:hAnsi="仿宋" w:eastAsia="仿宋" w:cs="宋体"/>
                <w:szCs w:val="21"/>
              </w:rPr>
              <w:t>℃</w:t>
            </w:r>
          </w:p>
        </w:tc>
        <w:tc>
          <w:tcPr>
            <w:tcW w:w="1704" w:type="dxa"/>
            <w:vAlign w:val="center"/>
          </w:tcPr>
          <w:p>
            <w:pPr>
              <w:widowControl/>
              <w:adjustRightInd w:val="0"/>
              <w:snapToGrid w:val="0"/>
              <w:jc w:val="center"/>
              <w:textAlignment w:val="baseline"/>
              <w:rPr>
                <w:rFonts w:ascii="仿宋" w:hAnsi="仿宋" w:eastAsia="仿宋"/>
                <w:szCs w:val="21"/>
              </w:rPr>
            </w:pPr>
            <w:r>
              <w:rPr>
                <w:rFonts w:ascii="仿宋" w:hAnsi="仿宋" w:eastAsia="仿宋"/>
                <w:szCs w:val="21"/>
              </w:rPr>
              <w:t>引燃温度426</w:t>
            </w:r>
            <w:r>
              <w:rPr>
                <w:rFonts w:hint="eastAsia" w:ascii="仿宋" w:hAnsi="仿宋" w:eastAsia="仿宋" w:cs="宋体"/>
                <w:szCs w:val="21"/>
              </w:rPr>
              <w:t>℃</w:t>
            </w:r>
          </w:p>
        </w:tc>
        <w:tc>
          <w:tcPr>
            <w:tcW w:w="1704" w:type="dxa"/>
          </w:tcPr>
          <w:p>
            <w:pPr>
              <w:widowControl/>
              <w:adjustRightInd w:val="0"/>
              <w:snapToGrid w:val="0"/>
              <w:jc w:val="center"/>
              <w:textAlignment w:val="baseline"/>
              <w:rPr>
                <w:rFonts w:ascii="仿宋" w:hAnsi="仿宋" w:eastAsia="仿宋"/>
                <w:szCs w:val="21"/>
              </w:rPr>
            </w:pPr>
            <w:r>
              <w:rPr>
                <w:rFonts w:ascii="仿宋" w:hAnsi="仿宋" w:eastAsia="仿宋" w:cs="华文仿宋"/>
                <w:szCs w:val="21"/>
              </w:rPr>
              <w:t>爆炸上限（%,V/V）:11.5爆炸下限（%,V/V）:2.2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271" w:type="dxa"/>
            <w:vAlign w:val="center"/>
          </w:tcPr>
          <w:p>
            <w:pPr>
              <w:jc w:val="center"/>
              <w:rPr>
                <w:rFonts w:ascii="仿宋" w:hAnsi="仿宋" w:eastAsia="仿宋"/>
                <w:szCs w:val="21"/>
              </w:rPr>
            </w:pPr>
            <w:r>
              <w:rPr>
                <w:rFonts w:hint="eastAsia" w:ascii="仿宋" w:hAnsi="仿宋" w:eastAsia="仿宋"/>
                <w:szCs w:val="21"/>
              </w:rPr>
              <w:t>二甲苯</w:t>
            </w:r>
          </w:p>
        </w:tc>
        <w:tc>
          <w:tcPr>
            <w:tcW w:w="3585" w:type="dxa"/>
            <w:vAlign w:val="center"/>
          </w:tcPr>
          <w:p>
            <w:pPr>
              <w:widowControl/>
              <w:adjustRightInd w:val="0"/>
              <w:snapToGrid w:val="0"/>
              <w:jc w:val="center"/>
              <w:textAlignment w:val="baseline"/>
              <w:rPr>
                <w:rFonts w:ascii="仿宋" w:hAnsi="仿宋" w:eastAsia="仿宋"/>
                <w:szCs w:val="21"/>
              </w:rPr>
            </w:pPr>
            <w:r>
              <w:rPr>
                <w:rFonts w:hint="eastAsia" w:ascii="仿宋" w:hAnsi="仿宋" w:eastAsia="仿宋"/>
                <w:szCs w:val="21"/>
              </w:rPr>
              <w:t>中毒类</w:t>
            </w:r>
          </w:p>
        </w:tc>
        <w:tc>
          <w:tcPr>
            <w:tcW w:w="1940" w:type="dxa"/>
            <w:vAlign w:val="center"/>
          </w:tcPr>
          <w:p>
            <w:pPr>
              <w:widowControl/>
              <w:adjustRightInd w:val="0"/>
              <w:snapToGrid w:val="0"/>
              <w:jc w:val="center"/>
              <w:textAlignment w:val="baseline"/>
              <w:rPr>
                <w:rFonts w:ascii="仿宋" w:hAnsi="仿宋" w:eastAsia="仿宋"/>
                <w:szCs w:val="21"/>
              </w:rPr>
            </w:pPr>
            <w:r>
              <w:rPr>
                <w:rFonts w:hint="eastAsia" w:ascii="仿宋" w:hAnsi="仿宋" w:eastAsia="仿宋"/>
                <w:szCs w:val="21"/>
              </w:rPr>
              <w:t>易燃，</w:t>
            </w:r>
            <w:r>
              <w:rPr>
                <w:rFonts w:ascii="仿宋" w:hAnsi="仿宋" w:eastAsia="仿宋"/>
                <w:szCs w:val="21"/>
              </w:rPr>
              <w:t>闪点</w:t>
            </w:r>
            <w:r>
              <w:rPr>
                <w:rFonts w:hint="eastAsia" w:ascii="仿宋" w:hAnsi="仿宋" w:eastAsia="仿宋"/>
                <w:szCs w:val="21"/>
              </w:rPr>
              <w:t>25</w:t>
            </w:r>
            <w:r>
              <w:rPr>
                <w:rFonts w:hint="eastAsia" w:ascii="仿宋" w:hAnsi="仿宋" w:eastAsia="仿宋" w:cs="宋体"/>
                <w:szCs w:val="21"/>
              </w:rPr>
              <w:t>℃</w:t>
            </w:r>
          </w:p>
        </w:tc>
        <w:tc>
          <w:tcPr>
            <w:tcW w:w="1704" w:type="dxa"/>
            <w:vAlign w:val="center"/>
          </w:tcPr>
          <w:p>
            <w:pPr>
              <w:widowControl/>
              <w:adjustRightInd w:val="0"/>
              <w:snapToGrid w:val="0"/>
              <w:jc w:val="center"/>
              <w:textAlignment w:val="baseline"/>
              <w:rPr>
                <w:rFonts w:ascii="仿宋" w:hAnsi="仿宋" w:eastAsia="仿宋"/>
                <w:szCs w:val="21"/>
              </w:rPr>
            </w:pPr>
            <w:r>
              <w:rPr>
                <w:rFonts w:ascii="仿宋" w:hAnsi="仿宋" w:eastAsia="仿宋"/>
                <w:szCs w:val="21"/>
              </w:rPr>
              <w:t>引燃温度4</w:t>
            </w:r>
            <w:r>
              <w:rPr>
                <w:rFonts w:hint="eastAsia" w:ascii="仿宋" w:hAnsi="仿宋" w:eastAsia="仿宋"/>
                <w:szCs w:val="21"/>
              </w:rPr>
              <w:t>80</w:t>
            </w:r>
            <w:r>
              <w:rPr>
                <w:rFonts w:hint="eastAsia" w:ascii="仿宋" w:hAnsi="仿宋" w:eastAsia="仿宋" w:cs="宋体"/>
                <w:szCs w:val="21"/>
              </w:rPr>
              <w:t>℃</w:t>
            </w:r>
          </w:p>
        </w:tc>
        <w:tc>
          <w:tcPr>
            <w:tcW w:w="1704" w:type="dxa"/>
          </w:tcPr>
          <w:p>
            <w:pPr>
              <w:widowControl/>
              <w:adjustRightInd w:val="0"/>
              <w:snapToGrid w:val="0"/>
              <w:jc w:val="center"/>
              <w:textAlignment w:val="baseline"/>
              <w:rPr>
                <w:rFonts w:ascii="仿宋" w:hAnsi="仿宋" w:eastAsia="仿宋" w:cs="华文仿宋"/>
                <w:szCs w:val="21"/>
              </w:rPr>
            </w:pPr>
            <w:r>
              <w:rPr>
                <w:rFonts w:ascii="仿宋" w:hAnsi="仿宋" w:eastAsia="仿宋" w:cs="华文仿宋"/>
                <w:szCs w:val="21"/>
              </w:rPr>
              <w:t>爆炸上限（%,V/V）:</w:t>
            </w:r>
            <w:r>
              <w:rPr>
                <w:rFonts w:hint="eastAsia" w:ascii="仿宋" w:hAnsi="仿宋" w:eastAsia="仿宋" w:cs="华文仿宋"/>
                <w:szCs w:val="21"/>
              </w:rPr>
              <w:t>7</w:t>
            </w:r>
          </w:p>
          <w:p>
            <w:pPr>
              <w:widowControl/>
              <w:adjustRightInd w:val="0"/>
              <w:snapToGrid w:val="0"/>
              <w:jc w:val="center"/>
              <w:textAlignment w:val="baseline"/>
              <w:rPr>
                <w:rFonts w:ascii="仿宋" w:hAnsi="仿宋" w:eastAsia="仿宋" w:cs="华文仿宋"/>
                <w:szCs w:val="21"/>
              </w:rPr>
            </w:pPr>
            <w:r>
              <w:rPr>
                <w:rFonts w:ascii="仿宋" w:hAnsi="仿宋" w:eastAsia="仿宋" w:cs="华文仿宋"/>
                <w:szCs w:val="21"/>
              </w:rPr>
              <w:t>爆炸下限（%,V/V）:</w:t>
            </w:r>
            <w:r>
              <w:rPr>
                <w:rFonts w:hint="eastAsia" w:ascii="仿宋" w:hAnsi="仿宋" w:eastAsia="仿宋" w:cs="华文仿宋"/>
                <w:szCs w:val="21"/>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271" w:type="dxa"/>
            <w:vAlign w:val="center"/>
          </w:tcPr>
          <w:p>
            <w:pPr>
              <w:pStyle w:val="119"/>
              <w:ind w:firstLine="0" w:firstLineChars="0"/>
              <w:jc w:val="center"/>
              <w:rPr>
                <w:rFonts w:ascii="仿宋" w:hAnsi="仿宋" w:eastAsia="仿宋"/>
              </w:rPr>
            </w:pPr>
            <w:r>
              <w:rPr>
                <w:rFonts w:hint="eastAsia" w:ascii="仿宋" w:hAnsi="仿宋" w:eastAsia="仿宋"/>
              </w:rPr>
              <w:t>乙醇</w:t>
            </w:r>
          </w:p>
        </w:tc>
        <w:tc>
          <w:tcPr>
            <w:tcW w:w="3585" w:type="dxa"/>
            <w:vAlign w:val="center"/>
          </w:tcPr>
          <w:p>
            <w:pPr>
              <w:widowControl/>
              <w:adjustRightInd w:val="0"/>
              <w:snapToGrid w:val="0"/>
              <w:jc w:val="center"/>
              <w:textAlignment w:val="baseline"/>
              <w:rPr>
                <w:rFonts w:ascii="仿宋" w:hAnsi="仿宋" w:eastAsia="仿宋"/>
                <w:szCs w:val="21"/>
              </w:rPr>
            </w:pPr>
            <w:r>
              <w:rPr>
                <w:rFonts w:ascii="仿宋" w:hAnsi="仿宋" w:eastAsia="仿宋"/>
                <w:szCs w:val="21"/>
              </w:rPr>
              <w:t>低毒类</w:t>
            </w:r>
          </w:p>
        </w:tc>
        <w:tc>
          <w:tcPr>
            <w:tcW w:w="1940" w:type="dxa"/>
            <w:vAlign w:val="center"/>
          </w:tcPr>
          <w:p>
            <w:pPr>
              <w:widowControl/>
              <w:adjustRightInd w:val="0"/>
              <w:snapToGrid w:val="0"/>
              <w:jc w:val="center"/>
              <w:textAlignment w:val="baseline"/>
              <w:rPr>
                <w:rFonts w:ascii="仿宋" w:hAnsi="仿宋" w:eastAsia="仿宋"/>
                <w:szCs w:val="21"/>
              </w:rPr>
            </w:pPr>
            <w:r>
              <w:rPr>
                <w:rFonts w:hint="eastAsia" w:ascii="仿宋" w:hAnsi="仿宋" w:eastAsia="仿宋"/>
                <w:szCs w:val="21"/>
              </w:rPr>
              <w:t>易燃</w:t>
            </w:r>
            <w:r>
              <w:rPr>
                <w:rFonts w:ascii="仿宋" w:hAnsi="仿宋" w:eastAsia="仿宋"/>
                <w:szCs w:val="21"/>
              </w:rPr>
              <w:t>，闪点</w:t>
            </w:r>
            <w:r>
              <w:rPr>
                <w:rFonts w:hint="eastAsia" w:ascii="仿宋" w:hAnsi="仿宋" w:eastAsia="仿宋"/>
                <w:szCs w:val="21"/>
              </w:rPr>
              <w:t>8.9</w:t>
            </w:r>
            <w:r>
              <w:rPr>
                <w:rFonts w:hint="eastAsia" w:ascii="仿宋" w:hAnsi="仿宋" w:eastAsia="仿宋" w:cs="宋体"/>
                <w:szCs w:val="21"/>
              </w:rPr>
              <w:t>℃</w:t>
            </w:r>
          </w:p>
        </w:tc>
        <w:tc>
          <w:tcPr>
            <w:tcW w:w="1704" w:type="dxa"/>
            <w:vAlign w:val="center"/>
          </w:tcPr>
          <w:p>
            <w:pPr>
              <w:widowControl/>
              <w:adjustRightInd w:val="0"/>
              <w:snapToGrid w:val="0"/>
              <w:jc w:val="center"/>
              <w:textAlignment w:val="baseline"/>
              <w:rPr>
                <w:rFonts w:ascii="仿宋" w:hAnsi="仿宋" w:eastAsia="仿宋"/>
                <w:szCs w:val="21"/>
              </w:rPr>
            </w:pPr>
            <w:r>
              <w:rPr>
                <w:rFonts w:ascii="仿宋" w:hAnsi="仿宋" w:eastAsia="仿宋"/>
                <w:szCs w:val="21"/>
              </w:rPr>
              <w:t>引燃温度363</w:t>
            </w:r>
            <w:r>
              <w:rPr>
                <w:rFonts w:hint="eastAsia" w:ascii="仿宋" w:hAnsi="仿宋" w:eastAsia="仿宋" w:cs="宋体"/>
                <w:szCs w:val="21"/>
              </w:rPr>
              <w:t>℃</w:t>
            </w:r>
          </w:p>
        </w:tc>
        <w:tc>
          <w:tcPr>
            <w:tcW w:w="1704" w:type="dxa"/>
            <w:vAlign w:val="center"/>
          </w:tcPr>
          <w:p>
            <w:pPr>
              <w:widowControl/>
              <w:adjustRightInd w:val="0"/>
              <w:snapToGrid w:val="0"/>
              <w:jc w:val="center"/>
              <w:textAlignment w:val="baseline"/>
              <w:rPr>
                <w:rFonts w:ascii="仿宋" w:hAnsi="仿宋" w:eastAsia="仿宋" w:cs="华文仿宋"/>
                <w:szCs w:val="21"/>
              </w:rPr>
            </w:pPr>
            <w:r>
              <w:rPr>
                <w:rFonts w:ascii="仿宋" w:hAnsi="仿宋" w:eastAsia="仿宋" w:cs="华文仿宋"/>
                <w:szCs w:val="21"/>
              </w:rPr>
              <w:t>爆炸上限（%,V/V）:19.0爆炸下限（%,V/V）:3.3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271" w:type="dxa"/>
            <w:vAlign w:val="center"/>
          </w:tcPr>
          <w:p>
            <w:pPr>
              <w:jc w:val="center"/>
              <w:rPr>
                <w:rFonts w:ascii="仿宋" w:hAnsi="仿宋" w:eastAsia="仿宋"/>
                <w:szCs w:val="21"/>
              </w:rPr>
            </w:pPr>
            <w:r>
              <w:rPr>
                <w:rFonts w:ascii="仿宋" w:hAnsi="仿宋" w:eastAsia="仿宋"/>
                <w:szCs w:val="21"/>
              </w:rPr>
              <w:t>丙烯酸树脂</w:t>
            </w:r>
          </w:p>
        </w:tc>
        <w:tc>
          <w:tcPr>
            <w:tcW w:w="3585" w:type="dxa"/>
            <w:vAlign w:val="center"/>
          </w:tcPr>
          <w:p>
            <w:pPr>
              <w:widowControl/>
              <w:adjustRightInd w:val="0"/>
              <w:snapToGrid w:val="0"/>
              <w:jc w:val="center"/>
              <w:textAlignment w:val="baseline"/>
              <w:rPr>
                <w:rFonts w:ascii="仿宋" w:hAnsi="仿宋" w:eastAsia="仿宋"/>
                <w:szCs w:val="21"/>
              </w:rPr>
            </w:pPr>
            <w:r>
              <w:rPr>
                <w:rFonts w:ascii="仿宋" w:hAnsi="仿宋" w:eastAsia="仿宋"/>
                <w:szCs w:val="21"/>
              </w:rPr>
              <w:t>/</w:t>
            </w:r>
          </w:p>
        </w:tc>
        <w:tc>
          <w:tcPr>
            <w:tcW w:w="1940" w:type="dxa"/>
            <w:vAlign w:val="center"/>
          </w:tcPr>
          <w:p>
            <w:pPr>
              <w:widowControl/>
              <w:adjustRightInd w:val="0"/>
              <w:snapToGrid w:val="0"/>
              <w:jc w:val="center"/>
              <w:textAlignment w:val="baseline"/>
              <w:rPr>
                <w:rFonts w:ascii="仿宋" w:hAnsi="仿宋" w:eastAsia="仿宋"/>
                <w:szCs w:val="21"/>
              </w:rPr>
            </w:pPr>
            <w:r>
              <w:rPr>
                <w:rFonts w:ascii="仿宋" w:hAnsi="仿宋" w:eastAsia="仿宋"/>
                <w:szCs w:val="21"/>
              </w:rPr>
              <w:t>易燃，闪点25</w:t>
            </w:r>
            <w:r>
              <w:rPr>
                <w:rFonts w:hint="eastAsia" w:ascii="仿宋" w:hAnsi="仿宋" w:eastAsia="仿宋" w:cs="宋体"/>
                <w:szCs w:val="21"/>
              </w:rPr>
              <w:t>℃</w:t>
            </w:r>
          </w:p>
        </w:tc>
        <w:tc>
          <w:tcPr>
            <w:tcW w:w="1704" w:type="dxa"/>
            <w:vAlign w:val="center"/>
          </w:tcPr>
          <w:p>
            <w:pPr>
              <w:widowControl/>
              <w:adjustRightInd w:val="0"/>
              <w:snapToGrid w:val="0"/>
              <w:jc w:val="center"/>
              <w:textAlignment w:val="baseline"/>
              <w:rPr>
                <w:rFonts w:ascii="仿宋" w:hAnsi="仿宋" w:eastAsia="仿宋"/>
                <w:szCs w:val="21"/>
              </w:rPr>
            </w:pPr>
            <w:r>
              <w:rPr>
                <w:rFonts w:ascii="仿宋" w:hAnsi="仿宋" w:eastAsia="仿宋"/>
                <w:szCs w:val="21"/>
              </w:rPr>
              <w:t>引燃温度525</w:t>
            </w:r>
            <w:r>
              <w:rPr>
                <w:rFonts w:hint="eastAsia" w:ascii="仿宋" w:hAnsi="仿宋" w:eastAsia="仿宋" w:cs="宋体"/>
                <w:szCs w:val="21"/>
              </w:rPr>
              <w:t>℃</w:t>
            </w:r>
          </w:p>
        </w:tc>
        <w:tc>
          <w:tcPr>
            <w:tcW w:w="1704" w:type="dxa"/>
          </w:tcPr>
          <w:p>
            <w:pPr>
              <w:widowControl/>
              <w:adjustRightInd w:val="0"/>
              <w:snapToGrid w:val="0"/>
              <w:jc w:val="center"/>
              <w:textAlignment w:val="baseline"/>
              <w:rPr>
                <w:rFonts w:ascii="仿宋" w:hAnsi="仿宋" w:eastAsia="仿宋"/>
                <w:szCs w:val="21"/>
              </w:rPr>
            </w:pPr>
            <w:r>
              <w:rPr>
                <w:rFonts w:hint="eastAsia" w:ascii="仿宋" w:hAnsi="仿宋" w:eastAsia="仿宋"/>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271" w:type="dxa"/>
            <w:vAlign w:val="center"/>
          </w:tcPr>
          <w:p>
            <w:pPr>
              <w:jc w:val="center"/>
              <w:rPr>
                <w:rFonts w:ascii="仿宋" w:hAnsi="仿宋" w:eastAsia="仿宋"/>
                <w:szCs w:val="21"/>
              </w:rPr>
            </w:pPr>
            <w:r>
              <w:rPr>
                <w:rFonts w:hint="eastAsia" w:ascii="仿宋" w:hAnsi="仿宋" w:eastAsia="仿宋"/>
                <w:szCs w:val="21"/>
              </w:rPr>
              <w:t>机</w:t>
            </w:r>
            <w:r>
              <w:rPr>
                <w:rFonts w:ascii="仿宋" w:hAnsi="仿宋" w:eastAsia="仿宋"/>
                <w:szCs w:val="21"/>
              </w:rPr>
              <w:t>油</w:t>
            </w:r>
          </w:p>
        </w:tc>
        <w:tc>
          <w:tcPr>
            <w:tcW w:w="3585" w:type="dxa"/>
            <w:vAlign w:val="center"/>
          </w:tcPr>
          <w:p>
            <w:pPr>
              <w:widowControl/>
              <w:adjustRightInd w:val="0"/>
              <w:snapToGrid w:val="0"/>
              <w:jc w:val="center"/>
              <w:textAlignment w:val="baseline"/>
              <w:rPr>
                <w:rFonts w:ascii="仿宋" w:hAnsi="仿宋" w:eastAsia="仿宋"/>
                <w:szCs w:val="21"/>
              </w:rPr>
            </w:pPr>
            <w:r>
              <w:rPr>
                <w:rFonts w:ascii="仿宋" w:hAnsi="仿宋" w:eastAsia="仿宋"/>
                <w:szCs w:val="21"/>
              </w:rPr>
              <w:t>/</w:t>
            </w:r>
          </w:p>
        </w:tc>
        <w:tc>
          <w:tcPr>
            <w:tcW w:w="1940" w:type="dxa"/>
            <w:vAlign w:val="center"/>
          </w:tcPr>
          <w:p>
            <w:pPr>
              <w:widowControl/>
              <w:adjustRightInd w:val="0"/>
              <w:snapToGrid w:val="0"/>
              <w:jc w:val="center"/>
              <w:textAlignment w:val="baseline"/>
              <w:rPr>
                <w:rFonts w:ascii="仿宋" w:hAnsi="仿宋" w:eastAsia="仿宋"/>
                <w:szCs w:val="21"/>
              </w:rPr>
            </w:pPr>
            <w:r>
              <w:rPr>
                <w:rFonts w:ascii="仿宋" w:hAnsi="仿宋" w:eastAsia="仿宋"/>
                <w:szCs w:val="21"/>
              </w:rPr>
              <w:t>可燃，闪点240</w:t>
            </w:r>
            <w:r>
              <w:rPr>
                <w:rFonts w:hint="eastAsia" w:ascii="仿宋" w:hAnsi="仿宋" w:eastAsia="仿宋" w:cs="宋体"/>
                <w:szCs w:val="21"/>
              </w:rPr>
              <w:t>℃</w:t>
            </w:r>
          </w:p>
        </w:tc>
        <w:tc>
          <w:tcPr>
            <w:tcW w:w="1704" w:type="dxa"/>
            <w:vAlign w:val="center"/>
          </w:tcPr>
          <w:p>
            <w:pPr>
              <w:widowControl/>
              <w:adjustRightInd w:val="0"/>
              <w:snapToGrid w:val="0"/>
              <w:jc w:val="center"/>
              <w:textAlignment w:val="baseline"/>
              <w:rPr>
                <w:rFonts w:ascii="仿宋" w:hAnsi="仿宋" w:eastAsia="仿宋"/>
                <w:szCs w:val="21"/>
              </w:rPr>
            </w:pPr>
            <w:r>
              <w:rPr>
                <w:rFonts w:ascii="仿宋" w:hAnsi="仿宋" w:eastAsia="仿宋"/>
                <w:szCs w:val="21"/>
              </w:rPr>
              <w:t>/</w:t>
            </w:r>
          </w:p>
        </w:tc>
        <w:tc>
          <w:tcPr>
            <w:tcW w:w="1704" w:type="dxa"/>
          </w:tcPr>
          <w:p>
            <w:pPr>
              <w:widowControl/>
              <w:adjustRightInd w:val="0"/>
              <w:snapToGrid w:val="0"/>
              <w:jc w:val="center"/>
              <w:textAlignment w:val="baseline"/>
              <w:rPr>
                <w:rFonts w:ascii="仿宋" w:hAnsi="仿宋" w:eastAsia="仿宋"/>
                <w:szCs w:val="21"/>
              </w:rPr>
            </w:pPr>
            <w:r>
              <w:rPr>
                <w:rFonts w:hint="eastAsia" w:ascii="仿宋" w:hAnsi="仿宋" w:eastAsia="仿宋"/>
                <w:szCs w:val="21"/>
              </w:rPr>
              <w:t>/</w:t>
            </w:r>
          </w:p>
        </w:tc>
      </w:tr>
      <w:bookmarkEnd w:id="245"/>
    </w:tbl>
    <w:p>
      <w:pPr>
        <w:pStyle w:val="4"/>
        <w:keepLines w:val="0"/>
        <w:tabs>
          <w:tab w:val="left" w:pos="709"/>
        </w:tabs>
        <w:spacing w:before="120" w:beforeLines="50" w:after="120" w:afterLines="50" w:line="500" w:lineRule="exact"/>
        <w:rPr>
          <w:rFonts w:eastAsia="仿宋_GB2312"/>
          <w:sz w:val="30"/>
          <w:szCs w:val="30"/>
        </w:rPr>
      </w:pPr>
      <w:r>
        <w:rPr>
          <w:rFonts w:hint="eastAsia" w:eastAsia="仿宋_GB2312"/>
          <w:sz w:val="30"/>
          <w:szCs w:val="30"/>
        </w:rPr>
        <w:t>3.2.4</w:t>
      </w:r>
      <w:r>
        <w:rPr>
          <w:rFonts w:eastAsia="仿宋_GB2312"/>
          <w:sz w:val="30"/>
          <w:szCs w:val="30"/>
        </w:rPr>
        <w:t>生产设施风险识别</w:t>
      </w:r>
    </w:p>
    <w:p>
      <w:pPr>
        <w:pStyle w:val="5"/>
        <w:keepLines w:val="0"/>
        <w:widowControl/>
        <w:tabs>
          <w:tab w:val="left" w:pos="993"/>
        </w:tabs>
        <w:adjustRightInd w:val="0"/>
        <w:snapToGrid w:val="0"/>
        <w:spacing w:after="120" w:afterLines="50"/>
        <w:ind w:left="141"/>
        <w:jc w:val="left"/>
        <w:rPr>
          <w:rFonts w:ascii="Times New Roman" w:hAnsi="Times New Roman"/>
          <w:b/>
        </w:rPr>
      </w:pPr>
      <w:r>
        <w:rPr>
          <w:rFonts w:hint="eastAsia" w:ascii="Times New Roman" w:hAnsi="Times New Roman"/>
          <w:b/>
        </w:rPr>
        <w:t>3.2.4.1</w:t>
      </w:r>
      <w:r>
        <w:rPr>
          <w:rFonts w:ascii="Times New Roman" w:hAnsi="Times New Roman"/>
          <w:b/>
        </w:rPr>
        <w:t>生产工艺风险识别</w:t>
      </w:r>
    </w:p>
    <w:p>
      <w:pPr>
        <w:spacing w:line="500" w:lineRule="exact"/>
        <w:ind w:firstLine="560" w:firstLineChars="200"/>
        <w:rPr>
          <w:rFonts w:eastAsia="仿宋_GB2312"/>
          <w:sz w:val="28"/>
        </w:rPr>
      </w:pPr>
      <w:r>
        <w:rPr>
          <w:rFonts w:hint="eastAsia" w:eastAsia="仿宋_GB2312" w:cs="宋体"/>
          <w:sz w:val="28"/>
        </w:rPr>
        <w:t>（1）</w:t>
      </w:r>
      <w:r>
        <w:rPr>
          <w:rFonts w:eastAsia="仿宋_GB2312"/>
          <w:sz w:val="28"/>
        </w:rPr>
        <w:t>部分原辅材料易燃，使用处理过程中会造成原辅料洒落、挥发，若生产现场通风不良、操作人员防护不当，可造成职业危害，遇点火源可引起燃爆事故；</w:t>
      </w:r>
    </w:p>
    <w:p>
      <w:pPr>
        <w:spacing w:line="500" w:lineRule="exact"/>
        <w:ind w:firstLine="560" w:firstLineChars="200"/>
        <w:rPr>
          <w:rFonts w:eastAsia="仿宋_GB2312"/>
          <w:sz w:val="28"/>
        </w:rPr>
      </w:pPr>
      <w:r>
        <w:rPr>
          <w:rFonts w:hint="eastAsia" w:eastAsia="仿宋_GB2312" w:cs="宋体"/>
          <w:sz w:val="28"/>
        </w:rPr>
        <w:t>（2）</w:t>
      </w:r>
      <w:r>
        <w:rPr>
          <w:rFonts w:hint="eastAsia" w:eastAsia="仿宋_GB2312"/>
          <w:sz w:val="28"/>
        </w:rPr>
        <w:t>采用</w:t>
      </w:r>
      <w:r>
        <w:rPr>
          <w:rFonts w:eastAsia="仿宋_GB2312"/>
          <w:sz w:val="28"/>
        </w:rPr>
        <w:t>天然气燃烧对产品进行烘干处理，</w:t>
      </w:r>
      <w:r>
        <w:rPr>
          <w:rFonts w:hint="eastAsia" w:eastAsia="仿宋_GB2312"/>
          <w:sz w:val="28"/>
        </w:rPr>
        <w:t>使用</w:t>
      </w:r>
      <w:r>
        <w:rPr>
          <w:rFonts w:eastAsia="仿宋_GB2312"/>
          <w:sz w:val="28"/>
        </w:rPr>
        <w:t>过程中若</w:t>
      </w:r>
      <w:r>
        <w:rPr>
          <w:rFonts w:hint="eastAsia" w:eastAsia="仿宋_GB2312"/>
          <w:sz w:val="28"/>
        </w:rPr>
        <w:t>管道</w:t>
      </w:r>
      <w:r>
        <w:rPr>
          <w:rFonts w:eastAsia="仿宋_GB2312"/>
          <w:sz w:val="28"/>
        </w:rPr>
        <w:t>堵塞或</w:t>
      </w:r>
      <w:r>
        <w:rPr>
          <w:rFonts w:hint="eastAsia" w:eastAsia="仿宋_GB2312"/>
          <w:sz w:val="28"/>
        </w:rPr>
        <w:t>人为</w:t>
      </w:r>
      <w:r>
        <w:rPr>
          <w:rFonts w:eastAsia="仿宋_GB2312"/>
          <w:sz w:val="28"/>
        </w:rPr>
        <w:t>的操作不当可能</w:t>
      </w:r>
      <w:r>
        <w:rPr>
          <w:rFonts w:hint="eastAsia" w:eastAsia="仿宋_GB2312"/>
          <w:sz w:val="28"/>
        </w:rPr>
        <w:t>导致</w:t>
      </w:r>
      <w:r>
        <w:rPr>
          <w:rFonts w:eastAsia="仿宋_GB2312"/>
          <w:sz w:val="28"/>
        </w:rPr>
        <w:t>烟气没有办法排</w:t>
      </w:r>
      <w:r>
        <w:rPr>
          <w:rFonts w:hint="eastAsia" w:eastAsia="仿宋_GB2312"/>
          <w:sz w:val="28"/>
        </w:rPr>
        <w:t>出，</w:t>
      </w:r>
      <w:r>
        <w:rPr>
          <w:rFonts w:eastAsia="仿宋_GB2312"/>
          <w:sz w:val="28"/>
        </w:rPr>
        <w:t>对人体的健康造成危险；</w:t>
      </w:r>
    </w:p>
    <w:p>
      <w:pPr>
        <w:spacing w:line="500" w:lineRule="exact"/>
        <w:ind w:firstLine="560" w:firstLineChars="200"/>
        <w:rPr>
          <w:rFonts w:eastAsia="仿宋_GB2312"/>
          <w:sz w:val="28"/>
        </w:rPr>
      </w:pPr>
      <w:r>
        <w:rPr>
          <w:rFonts w:hint="eastAsia" w:eastAsia="仿宋_GB2312" w:cs="宋体"/>
          <w:sz w:val="28"/>
        </w:rPr>
        <w:t>（3）</w:t>
      </w:r>
      <w:r>
        <w:rPr>
          <w:rFonts w:eastAsia="仿宋_GB2312"/>
          <w:sz w:val="28"/>
        </w:rPr>
        <w:t>部分原辅材料</w:t>
      </w:r>
      <w:r>
        <w:rPr>
          <w:rFonts w:hint="eastAsia" w:eastAsia="仿宋_GB2312"/>
          <w:sz w:val="28"/>
        </w:rPr>
        <w:t>（胶粘剂、固化剂）有毒有害</w:t>
      </w:r>
      <w:r>
        <w:rPr>
          <w:rFonts w:eastAsia="仿宋_GB2312"/>
          <w:sz w:val="28"/>
        </w:rPr>
        <w:t>，若员工操作不慎，</w:t>
      </w:r>
      <w:r>
        <w:rPr>
          <w:rFonts w:hint="eastAsia" w:eastAsia="仿宋_GB2312"/>
          <w:sz w:val="28"/>
        </w:rPr>
        <w:t>在</w:t>
      </w:r>
      <w:r>
        <w:rPr>
          <w:rFonts w:eastAsia="仿宋_GB2312"/>
          <w:sz w:val="28"/>
        </w:rPr>
        <w:t>配胶、涂布工程中导致泄露，</w:t>
      </w:r>
      <w:r>
        <w:rPr>
          <w:rFonts w:hint="eastAsia" w:eastAsia="仿宋_GB2312"/>
          <w:sz w:val="28"/>
        </w:rPr>
        <w:t>则会</w:t>
      </w:r>
      <w:r>
        <w:rPr>
          <w:rFonts w:eastAsia="仿宋_GB2312"/>
          <w:sz w:val="28"/>
        </w:rPr>
        <w:t>污染水及土壤。</w:t>
      </w:r>
    </w:p>
    <w:p>
      <w:pPr>
        <w:spacing w:line="500" w:lineRule="exact"/>
        <w:ind w:firstLine="560" w:firstLineChars="200"/>
        <w:rPr>
          <w:rFonts w:eastAsia="仿宋_GB2312" w:cs="宋体"/>
          <w:sz w:val="28"/>
        </w:rPr>
      </w:pPr>
      <w:r>
        <w:rPr>
          <w:rFonts w:hint="eastAsia" w:eastAsia="仿宋_GB2312" w:cs="宋体"/>
          <w:sz w:val="28"/>
        </w:rPr>
        <w:t>（4）若</w:t>
      </w:r>
      <w:r>
        <w:rPr>
          <w:rFonts w:eastAsia="仿宋_GB2312" w:cs="宋体"/>
          <w:sz w:val="28"/>
        </w:rPr>
        <w:t>企业</w:t>
      </w:r>
      <w:r>
        <w:rPr>
          <w:rFonts w:hint="eastAsia" w:eastAsia="仿宋_GB2312" w:cs="宋体"/>
          <w:sz w:val="28"/>
        </w:rPr>
        <w:t>废气</w:t>
      </w:r>
      <w:r>
        <w:rPr>
          <w:rFonts w:eastAsia="仿宋_GB2312" w:cs="宋体"/>
          <w:sz w:val="28"/>
        </w:rPr>
        <w:t>处理设施故障会造成废气超标排放，发生</w:t>
      </w:r>
      <w:r>
        <w:rPr>
          <w:rFonts w:hint="eastAsia" w:eastAsia="仿宋_GB2312" w:cs="宋体"/>
          <w:sz w:val="28"/>
        </w:rPr>
        <w:t>大气</w:t>
      </w:r>
      <w:r>
        <w:rPr>
          <w:rFonts w:eastAsia="仿宋_GB2312" w:cs="宋体"/>
          <w:sz w:val="28"/>
        </w:rPr>
        <w:t>环境污染事故</w:t>
      </w:r>
      <w:r>
        <w:rPr>
          <w:rFonts w:hint="eastAsia" w:eastAsia="仿宋_GB2312" w:cs="宋体"/>
          <w:sz w:val="28"/>
        </w:rPr>
        <w:t>。</w:t>
      </w:r>
    </w:p>
    <w:p>
      <w:pPr>
        <w:spacing w:line="500" w:lineRule="exact"/>
        <w:ind w:firstLine="560" w:firstLineChars="200"/>
        <w:rPr>
          <w:rFonts w:eastAsia="仿宋_GB2312" w:cs="宋体"/>
          <w:sz w:val="28"/>
        </w:rPr>
      </w:pPr>
      <w:r>
        <w:rPr>
          <w:rFonts w:hint="eastAsia" w:eastAsia="仿宋_GB2312" w:cs="宋体"/>
          <w:sz w:val="28"/>
        </w:rPr>
        <w:t>（5）本项目使用</w:t>
      </w:r>
      <w:r>
        <w:rPr>
          <w:rFonts w:eastAsia="仿宋_GB2312" w:cs="宋体"/>
          <w:sz w:val="28"/>
        </w:rPr>
        <w:t>的</w:t>
      </w:r>
      <w:r>
        <w:rPr>
          <w:rFonts w:hint="eastAsia" w:eastAsia="仿宋_GB2312" w:cs="宋体"/>
          <w:sz w:val="28"/>
        </w:rPr>
        <w:t>PI膜</w:t>
      </w:r>
      <w:r>
        <w:rPr>
          <w:rFonts w:eastAsia="仿宋_GB2312" w:cs="宋体"/>
          <w:sz w:val="28"/>
        </w:rPr>
        <w:t>及</w:t>
      </w:r>
      <w:r>
        <w:rPr>
          <w:rFonts w:hint="eastAsia" w:eastAsia="仿宋_GB2312" w:cs="宋体"/>
          <w:sz w:val="28"/>
        </w:rPr>
        <w:t>PET膜可燃，若遇</w:t>
      </w:r>
      <w:r>
        <w:rPr>
          <w:rFonts w:eastAsia="仿宋_GB2312" w:cs="宋体"/>
          <w:sz w:val="28"/>
        </w:rPr>
        <w:t>到明火，操作不当可能引发火灾事故。</w:t>
      </w:r>
    </w:p>
    <w:p>
      <w:pPr>
        <w:spacing w:line="500" w:lineRule="exact"/>
        <w:ind w:firstLine="560" w:firstLineChars="200"/>
        <w:rPr>
          <w:rFonts w:eastAsia="仿宋_GB2312" w:cs="宋体"/>
          <w:sz w:val="28"/>
        </w:rPr>
      </w:pPr>
      <w:r>
        <w:rPr>
          <w:rFonts w:hint="eastAsia" w:eastAsia="仿宋_GB2312" w:cs="宋体"/>
          <w:sz w:val="28"/>
        </w:rPr>
        <w:t>（6）本项目RTO设备配置导热油炉，导热油炉加热时，若油管道、油泵、油池等处出现泄漏，油料会泼洒在地面，导致安全隐患。此外，由于导热油炉工作时温度很高，出现泄漏问题时易发生火灾。如果导热油炉运行超载或出现故障，可能导致导热油温度升高过快，甚至过热，从而引起油料沸腾、波动、喷洒等问题。</w:t>
      </w:r>
    </w:p>
    <w:p>
      <w:pPr>
        <w:pStyle w:val="5"/>
        <w:keepLines w:val="0"/>
        <w:widowControl/>
        <w:tabs>
          <w:tab w:val="left" w:pos="993"/>
        </w:tabs>
        <w:adjustRightInd w:val="0"/>
        <w:snapToGrid w:val="0"/>
        <w:spacing w:after="120" w:afterLines="50"/>
        <w:jc w:val="left"/>
        <w:rPr>
          <w:rFonts w:ascii="Times New Roman" w:hAnsi="Times New Roman"/>
          <w:b/>
        </w:rPr>
      </w:pPr>
      <w:r>
        <w:rPr>
          <w:rFonts w:hint="eastAsia" w:ascii="Times New Roman" w:hAnsi="Times New Roman"/>
          <w:b/>
        </w:rPr>
        <w:t>3.2.4.2</w:t>
      </w:r>
      <w:r>
        <w:rPr>
          <w:rFonts w:ascii="Times New Roman" w:hAnsi="Times New Roman"/>
          <w:b/>
        </w:rPr>
        <w:t>设备装置风险识别</w:t>
      </w:r>
    </w:p>
    <w:p>
      <w:pPr>
        <w:spacing w:line="500" w:lineRule="exact"/>
        <w:ind w:firstLine="560" w:firstLineChars="200"/>
        <w:rPr>
          <w:rFonts w:eastAsia="仿宋_GB2312"/>
          <w:sz w:val="28"/>
        </w:rPr>
      </w:pPr>
      <w:r>
        <w:rPr>
          <w:rFonts w:hint="eastAsia" w:eastAsia="仿宋_GB2312" w:cs="宋体"/>
          <w:sz w:val="28"/>
        </w:rPr>
        <w:t>（1）</w:t>
      </w:r>
      <w:r>
        <w:rPr>
          <w:rFonts w:eastAsia="仿宋_GB2312"/>
          <w:sz w:val="28"/>
        </w:rPr>
        <w:t>制造问题：如果设备制造厂家或企业自己制造设备时因制造技术、工艺不过关，生产的设备存在质量隐患，设备质量不合格，会引发事故。</w:t>
      </w:r>
    </w:p>
    <w:p>
      <w:pPr>
        <w:spacing w:line="500" w:lineRule="exact"/>
        <w:ind w:firstLine="560" w:firstLineChars="200"/>
        <w:rPr>
          <w:rFonts w:eastAsia="仿宋_GB2312" w:cs="宋体"/>
          <w:sz w:val="28"/>
        </w:rPr>
      </w:pPr>
      <w:r>
        <w:rPr>
          <w:rFonts w:hint="eastAsia" w:eastAsia="仿宋_GB2312" w:cs="宋体"/>
          <w:sz w:val="28"/>
        </w:rPr>
        <w:t>（2）</w:t>
      </w:r>
      <w:r>
        <w:rPr>
          <w:rFonts w:eastAsia="仿宋_GB2312"/>
          <w:sz w:val="28"/>
        </w:rPr>
        <w:t>安全附件不全：如果设备的安全附件如防护罩、防护栏不全，会对设备的安全使用构成隐患。</w:t>
      </w:r>
    </w:p>
    <w:p>
      <w:pPr>
        <w:spacing w:line="500" w:lineRule="exact"/>
        <w:ind w:firstLine="560" w:firstLineChars="200"/>
        <w:rPr>
          <w:rFonts w:eastAsia="仿宋_GB2312"/>
          <w:sz w:val="28"/>
        </w:rPr>
      </w:pPr>
      <w:r>
        <w:rPr>
          <w:rFonts w:hint="eastAsia" w:eastAsia="仿宋_GB2312" w:cs="宋体"/>
          <w:sz w:val="28"/>
        </w:rPr>
        <w:t>（3）</w:t>
      </w:r>
      <w:r>
        <w:rPr>
          <w:rFonts w:eastAsia="仿宋_GB2312"/>
          <w:sz w:val="28"/>
        </w:rPr>
        <w:t>安装不规范：设备因安装不规范而使该设备存在隐患</w:t>
      </w:r>
      <w:r>
        <w:rPr>
          <w:rFonts w:hint="eastAsia" w:eastAsia="仿宋_GB2312"/>
          <w:sz w:val="28"/>
        </w:rPr>
        <w:t>。</w:t>
      </w:r>
    </w:p>
    <w:p>
      <w:pPr>
        <w:spacing w:line="500" w:lineRule="exact"/>
        <w:ind w:firstLine="560" w:firstLineChars="200"/>
        <w:rPr>
          <w:rFonts w:eastAsia="仿宋_GB2312"/>
          <w:sz w:val="28"/>
        </w:rPr>
      </w:pPr>
      <w:r>
        <w:rPr>
          <w:rFonts w:hint="eastAsia" w:eastAsia="仿宋_GB2312" w:cs="宋体"/>
          <w:sz w:val="28"/>
        </w:rPr>
        <w:t>（4）</w:t>
      </w:r>
      <w:r>
        <w:rPr>
          <w:rFonts w:eastAsia="仿宋_GB2312"/>
          <w:sz w:val="28"/>
        </w:rPr>
        <w:t>超期使用：设备在使用期已到后如继续使用，将对生产安全构成隐患。</w:t>
      </w:r>
    </w:p>
    <w:p>
      <w:pPr>
        <w:spacing w:line="500" w:lineRule="exact"/>
        <w:ind w:firstLine="560" w:firstLineChars="200"/>
        <w:rPr>
          <w:rFonts w:eastAsia="仿宋_GB2312"/>
          <w:sz w:val="28"/>
        </w:rPr>
      </w:pPr>
      <w:r>
        <w:rPr>
          <w:rFonts w:hint="eastAsia" w:eastAsia="仿宋_GB2312" w:cs="宋体"/>
          <w:sz w:val="28"/>
        </w:rPr>
        <w:t>（5）</w:t>
      </w:r>
      <w:r>
        <w:rPr>
          <w:rFonts w:eastAsia="仿宋_GB2312"/>
          <w:sz w:val="28"/>
        </w:rPr>
        <w:t>维修保养不当：设备在使用过程中，因维护、保养不当而导致该设备存在隐患。</w:t>
      </w:r>
    </w:p>
    <w:p>
      <w:pPr>
        <w:spacing w:line="500" w:lineRule="exact"/>
        <w:ind w:firstLine="560" w:firstLineChars="200"/>
        <w:rPr>
          <w:rFonts w:eastAsia="仿宋_GB2312"/>
          <w:sz w:val="28"/>
        </w:rPr>
      </w:pPr>
      <w:r>
        <w:rPr>
          <w:rFonts w:hint="eastAsia" w:eastAsia="仿宋_GB2312" w:cs="宋体"/>
          <w:sz w:val="28"/>
        </w:rPr>
        <w:t>（6）</w:t>
      </w:r>
      <w:r>
        <w:rPr>
          <w:rFonts w:eastAsia="仿宋_GB2312"/>
          <w:sz w:val="28"/>
        </w:rPr>
        <w:t>电缆质量不好，电缆隔热、散热不良，过载等引起电缆发热；电缆绝缘老化，接触不良；电缆沟被车辆压坏，造成瓷套管破裂损坏，潮湿（或积水）引起短路。</w:t>
      </w:r>
    </w:p>
    <w:p>
      <w:pPr>
        <w:pStyle w:val="5"/>
        <w:keepLines w:val="0"/>
        <w:widowControl/>
        <w:tabs>
          <w:tab w:val="left" w:pos="993"/>
        </w:tabs>
        <w:adjustRightInd w:val="0"/>
        <w:snapToGrid w:val="0"/>
        <w:spacing w:after="120" w:afterLines="50"/>
        <w:jc w:val="left"/>
        <w:rPr>
          <w:rFonts w:ascii="Times New Roman" w:hAnsi="Times New Roman"/>
          <w:b/>
        </w:rPr>
      </w:pPr>
      <w:r>
        <w:rPr>
          <w:rFonts w:hint="eastAsia" w:ascii="Times New Roman" w:hAnsi="Times New Roman"/>
          <w:b/>
        </w:rPr>
        <w:t>3.2.4.3</w:t>
      </w:r>
      <w:r>
        <w:rPr>
          <w:rFonts w:ascii="Times New Roman" w:hAnsi="Times New Roman"/>
          <w:b/>
        </w:rPr>
        <w:t>储运过程风险识别</w:t>
      </w:r>
    </w:p>
    <w:p>
      <w:pPr>
        <w:spacing w:line="500" w:lineRule="exact"/>
        <w:ind w:firstLine="560" w:firstLineChars="200"/>
        <w:rPr>
          <w:rFonts w:eastAsia="仿宋_GB2312"/>
          <w:sz w:val="28"/>
          <w:szCs w:val="28"/>
        </w:rPr>
      </w:pPr>
      <w:r>
        <w:rPr>
          <w:rFonts w:eastAsia="仿宋_GB2312"/>
          <w:sz w:val="28"/>
          <w:szCs w:val="28"/>
        </w:rPr>
        <w:t>1、物料运输过程潜在危险性分析</w:t>
      </w:r>
    </w:p>
    <w:p>
      <w:pPr>
        <w:spacing w:line="500" w:lineRule="exact"/>
        <w:ind w:firstLine="560" w:firstLineChars="200"/>
        <w:rPr>
          <w:rFonts w:eastAsia="仿宋_GB2312"/>
          <w:sz w:val="28"/>
          <w:szCs w:val="28"/>
        </w:rPr>
      </w:pPr>
      <w:r>
        <w:rPr>
          <w:rFonts w:hint="eastAsia" w:eastAsia="仿宋_GB2312"/>
          <w:sz w:val="28"/>
          <w:szCs w:val="28"/>
        </w:rPr>
        <w:t>本项危废</w:t>
      </w:r>
      <w:r>
        <w:rPr>
          <w:rFonts w:eastAsia="仿宋_GB2312"/>
          <w:sz w:val="28"/>
          <w:szCs w:val="28"/>
        </w:rPr>
        <w:t>委托有资质的专用车辆运输</w:t>
      </w:r>
      <w:r>
        <w:rPr>
          <w:rFonts w:hint="eastAsia" w:eastAsia="仿宋_GB2312"/>
          <w:sz w:val="28"/>
          <w:szCs w:val="28"/>
        </w:rPr>
        <w:t>，其他原辅材料用汽车运输；厂区内物料运输主要通过管道、叉车等。运输活动是防止事故发生的一个重要环节，且随运输方式、操作方式的不同危险程度也不同。</w:t>
      </w:r>
      <w:r>
        <w:rPr>
          <w:rFonts w:eastAsia="仿宋_GB2312"/>
          <w:sz w:val="28"/>
          <w:szCs w:val="28"/>
        </w:rPr>
        <w:t>危险工业废物的运输是其处理处置过程的首要环节，在运输过程中，不适当的操作或以外的事故均有可能导致运输途中的环境污染。</w:t>
      </w:r>
    </w:p>
    <w:p>
      <w:pPr>
        <w:spacing w:line="500" w:lineRule="exact"/>
        <w:ind w:firstLine="560" w:firstLineChars="200"/>
        <w:rPr>
          <w:rFonts w:eastAsia="仿宋_GB2312"/>
          <w:sz w:val="28"/>
          <w:szCs w:val="28"/>
        </w:rPr>
      </w:pPr>
      <w:r>
        <w:rPr>
          <w:rFonts w:eastAsia="仿宋_GB2312"/>
          <w:sz w:val="28"/>
          <w:szCs w:val="28"/>
        </w:rPr>
        <w:t>（1）企业的</w:t>
      </w:r>
      <w:r>
        <w:rPr>
          <w:rFonts w:hint="eastAsia" w:eastAsia="仿宋_GB2312"/>
          <w:sz w:val="28"/>
          <w:szCs w:val="28"/>
        </w:rPr>
        <w:t>危废</w:t>
      </w:r>
      <w:r>
        <w:rPr>
          <w:rFonts w:eastAsia="仿宋_GB2312"/>
          <w:sz w:val="28"/>
          <w:szCs w:val="28"/>
        </w:rPr>
        <w:t>委托有资质的专用车辆运输，装卸、运输过程中运装不合格可能会造成泄漏事件或火灾事故，造成人员中毒或是周边水体、土壤、大气污染。</w:t>
      </w:r>
    </w:p>
    <w:p>
      <w:pPr>
        <w:spacing w:line="500" w:lineRule="exact"/>
        <w:ind w:firstLine="560" w:firstLineChars="200"/>
        <w:rPr>
          <w:rFonts w:eastAsia="仿宋_GB2312"/>
          <w:sz w:val="28"/>
          <w:szCs w:val="28"/>
        </w:rPr>
      </w:pPr>
      <w:r>
        <w:rPr>
          <w:rFonts w:eastAsia="仿宋_GB2312"/>
          <w:sz w:val="28"/>
          <w:szCs w:val="28"/>
        </w:rPr>
        <w:t>（2）装卸、搬运过程中因路面不平或物料装车不稳固，可能发生物料的倾倒、翻落、撞击引起事故；作业过程中如摔、碰、撞、击、拖拉、倾倒、滚动物料，可造成物料的泄漏、产生静电等造成燃烧爆炸事故。</w:t>
      </w:r>
    </w:p>
    <w:p>
      <w:pPr>
        <w:spacing w:line="500" w:lineRule="exact"/>
        <w:ind w:firstLine="560" w:firstLineChars="200"/>
        <w:rPr>
          <w:rFonts w:eastAsia="仿宋_GB2312"/>
          <w:sz w:val="28"/>
          <w:szCs w:val="28"/>
        </w:rPr>
      </w:pPr>
      <w:r>
        <w:rPr>
          <w:rFonts w:eastAsia="仿宋_GB2312"/>
          <w:sz w:val="28"/>
          <w:szCs w:val="28"/>
        </w:rPr>
        <w:t>（3）运输过程中，开车不稳等易造成翻车，超速行驶易引起道路交通事故，如撞断架空管线，危害更大。</w:t>
      </w:r>
      <w:r>
        <w:rPr>
          <w:rFonts w:hint="eastAsia" w:eastAsia="仿宋_GB2312"/>
          <w:sz w:val="28"/>
          <w:szCs w:val="28"/>
        </w:rPr>
        <w:t>大雨天、大雾天或冰雪天会因为视线不清、路滑造成车辆碰撞或撞车而引发事故。</w:t>
      </w:r>
    </w:p>
    <w:p>
      <w:pPr>
        <w:spacing w:line="500" w:lineRule="exact"/>
        <w:ind w:firstLine="560" w:firstLineChars="200"/>
        <w:rPr>
          <w:rFonts w:eastAsia="仿宋_GB2312"/>
          <w:sz w:val="28"/>
          <w:szCs w:val="28"/>
        </w:rPr>
      </w:pPr>
      <w:r>
        <w:rPr>
          <w:rFonts w:eastAsia="仿宋_GB2312"/>
          <w:sz w:val="28"/>
          <w:szCs w:val="28"/>
        </w:rPr>
        <w:t>（4）厂区运输车辆进出频繁，安全警示、限速标志及限制车辆通行或禁止车辆通行的路段标志应设置齐全。掌握了危险品物料泄漏扩散事件的起因，即发生规律，有利于采取相应的防范措施，降低危险性。</w:t>
      </w:r>
    </w:p>
    <w:p>
      <w:pPr>
        <w:spacing w:line="500" w:lineRule="exact"/>
        <w:ind w:firstLine="560" w:firstLineChars="200"/>
        <w:rPr>
          <w:rFonts w:eastAsia="仿宋_GB2312"/>
          <w:sz w:val="28"/>
          <w:szCs w:val="28"/>
        </w:rPr>
      </w:pPr>
      <w:r>
        <w:rPr>
          <w:rFonts w:eastAsia="仿宋_GB2312"/>
          <w:sz w:val="28"/>
          <w:szCs w:val="28"/>
        </w:rPr>
        <w:t>2、物料储存过程潜在危险性分析</w:t>
      </w:r>
    </w:p>
    <w:p>
      <w:pPr>
        <w:spacing w:line="500" w:lineRule="exact"/>
        <w:ind w:firstLine="560" w:firstLineChars="200"/>
        <w:rPr>
          <w:rFonts w:eastAsia="仿宋_GB2312"/>
          <w:sz w:val="28"/>
          <w:szCs w:val="28"/>
        </w:rPr>
      </w:pPr>
      <w:r>
        <w:rPr>
          <w:rFonts w:eastAsia="仿宋_GB2312"/>
          <w:sz w:val="28"/>
          <w:szCs w:val="28"/>
        </w:rPr>
        <w:t>原辅材料、产品存储采用仓储方式，仓储中若违章将禁忌类物料混存、储存场所温度高、通风不良，不能符合物料相应的仓储条件，可引发火灾、爆炸事故。</w:t>
      </w:r>
    </w:p>
    <w:p>
      <w:pPr>
        <w:spacing w:line="500" w:lineRule="exact"/>
        <w:ind w:firstLine="560" w:firstLineChars="200"/>
        <w:rPr>
          <w:rFonts w:eastAsia="仿宋_GB2312"/>
          <w:sz w:val="28"/>
          <w:szCs w:val="28"/>
        </w:rPr>
      </w:pPr>
      <w:r>
        <w:rPr>
          <w:rFonts w:eastAsia="仿宋_GB2312"/>
          <w:sz w:val="28"/>
          <w:szCs w:val="28"/>
        </w:rPr>
        <w:t>（1）物料储存配置</w:t>
      </w:r>
    </w:p>
    <w:p>
      <w:pPr>
        <w:spacing w:line="500" w:lineRule="exact"/>
        <w:ind w:firstLine="560" w:firstLineChars="200"/>
        <w:rPr>
          <w:rFonts w:eastAsia="仿宋_GB2312"/>
          <w:sz w:val="28"/>
          <w:szCs w:val="28"/>
        </w:rPr>
      </w:pPr>
      <w:r>
        <w:rPr>
          <w:rFonts w:eastAsia="仿宋_GB2312"/>
          <w:sz w:val="28"/>
          <w:szCs w:val="28"/>
        </w:rPr>
        <w:t>a.禁忌物料的配置。仓储物料应根据其性能分区、分类、隔离储存，若禁忌类物料混合储存，则可能因物料的泄漏、挥发等原因发生物料间的化学反应而引起事故。</w:t>
      </w:r>
    </w:p>
    <w:p>
      <w:pPr>
        <w:spacing w:line="500" w:lineRule="exact"/>
        <w:ind w:firstLine="560" w:firstLineChars="200"/>
        <w:rPr>
          <w:rFonts w:eastAsia="仿宋_GB2312"/>
          <w:sz w:val="28"/>
          <w:szCs w:val="28"/>
        </w:rPr>
      </w:pPr>
      <w:r>
        <w:rPr>
          <w:rFonts w:eastAsia="仿宋_GB2312"/>
          <w:sz w:val="28"/>
          <w:szCs w:val="28"/>
        </w:rPr>
        <w:t>b.物料储存量与储存安排。物料平均单位面积储存量、单一仓储区最大储量、垛距、墙距、通道宽度、与禁忌品距离若不符合仓储要求，则事故发生的可能性和严重程度可增大。</w:t>
      </w:r>
    </w:p>
    <w:p>
      <w:pPr>
        <w:spacing w:line="500" w:lineRule="exact"/>
        <w:ind w:firstLine="560" w:firstLineChars="200"/>
        <w:rPr>
          <w:rFonts w:eastAsia="仿宋_GB2312"/>
          <w:sz w:val="28"/>
          <w:szCs w:val="28"/>
        </w:rPr>
      </w:pPr>
      <w:r>
        <w:rPr>
          <w:rFonts w:eastAsia="仿宋_GB2312"/>
          <w:sz w:val="28"/>
          <w:szCs w:val="28"/>
        </w:rPr>
        <w:t>（2）物料的泄漏、变质</w:t>
      </w:r>
    </w:p>
    <w:p>
      <w:pPr>
        <w:spacing w:line="500" w:lineRule="exact"/>
        <w:ind w:firstLine="560" w:firstLineChars="200"/>
        <w:rPr>
          <w:rFonts w:eastAsia="仿宋_GB2312"/>
          <w:sz w:val="28"/>
          <w:szCs w:val="28"/>
        </w:rPr>
      </w:pPr>
      <w:r>
        <w:rPr>
          <w:rFonts w:eastAsia="仿宋_GB2312"/>
          <w:sz w:val="28"/>
          <w:szCs w:val="28"/>
        </w:rPr>
        <w:t>a.在物料的搬运、堆码过程中若操作不当（摔、碰、撞、击、拖拉、滚动等），可能发生物料泄漏。</w:t>
      </w:r>
    </w:p>
    <w:p>
      <w:pPr>
        <w:spacing w:line="500" w:lineRule="exact"/>
        <w:ind w:firstLine="560" w:firstLineChars="200"/>
        <w:rPr>
          <w:rFonts w:eastAsia="仿宋_GB2312"/>
          <w:sz w:val="28"/>
          <w:szCs w:val="28"/>
        </w:rPr>
      </w:pPr>
      <w:r>
        <w:rPr>
          <w:rFonts w:eastAsia="仿宋_GB2312"/>
          <w:sz w:val="28"/>
          <w:szCs w:val="28"/>
        </w:rPr>
        <w:t>b.物料的包装存在缺陷（破损、不严密、超装、渗漏等）发生泄漏。</w:t>
      </w:r>
    </w:p>
    <w:p>
      <w:pPr>
        <w:spacing w:line="500" w:lineRule="exact"/>
        <w:ind w:firstLine="560" w:firstLineChars="200"/>
        <w:rPr>
          <w:rFonts w:eastAsia="仿宋_GB2312"/>
          <w:sz w:val="28"/>
          <w:szCs w:val="28"/>
        </w:rPr>
      </w:pPr>
      <w:r>
        <w:rPr>
          <w:rFonts w:eastAsia="仿宋_GB2312"/>
          <w:sz w:val="28"/>
          <w:szCs w:val="28"/>
        </w:rPr>
        <w:t>c.储运过程中最主要的危险有害因素是储运物料的泄漏而发生的火灾、爆炸、中毒事故。泄漏可能发生在装卸、运输过程中。当泄漏物料与空气混合物处于火灾爆炸极限范围内，遇点火源就会发生火灾爆炸事故。点火源可能是明火(包括违章动火)、电气火花、摩擦撞击火花、交通工具排气管火花、使用手机、静电荷积聚引起的放电火花及雷电危害等。</w:t>
      </w:r>
    </w:p>
    <w:p>
      <w:pPr>
        <w:spacing w:line="500" w:lineRule="exact"/>
        <w:ind w:firstLine="560" w:firstLineChars="200"/>
        <w:rPr>
          <w:rFonts w:eastAsia="仿宋_GB2312"/>
          <w:sz w:val="28"/>
          <w:szCs w:val="28"/>
        </w:rPr>
      </w:pPr>
      <w:r>
        <w:rPr>
          <w:rFonts w:eastAsia="仿宋_GB2312"/>
          <w:sz w:val="28"/>
          <w:szCs w:val="28"/>
        </w:rPr>
        <w:t>（3）仓储场所条件</w:t>
      </w:r>
    </w:p>
    <w:p>
      <w:pPr>
        <w:spacing w:line="500" w:lineRule="exact"/>
        <w:ind w:firstLine="560" w:firstLineChars="200"/>
        <w:rPr>
          <w:rFonts w:eastAsia="仿宋_GB2312"/>
          <w:sz w:val="28"/>
          <w:szCs w:val="28"/>
        </w:rPr>
      </w:pPr>
      <w:r>
        <w:rPr>
          <w:rFonts w:eastAsia="仿宋_GB2312"/>
          <w:sz w:val="28"/>
          <w:szCs w:val="28"/>
        </w:rPr>
        <w:t>a.仓储温度。仓储温度应根据储存物料的理化特性相应确定。若超温（夏季高温、违章露天存放等），则可能引起储存物料容器超压爆破等事故。</w:t>
      </w:r>
    </w:p>
    <w:p>
      <w:pPr>
        <w:spacing w:line="500" w:lineRule="exact"/>
        <w:ind w:firstLine="560" w:firstLineChars="200"/>
        <w:rPr>
          <w:rFonts w:eastAsia="仿宋_GB2312"/>
          <w:sz w:val="28"/>
          <w:szCs w:val="28"/>
        </w:rPr>
      </w:pPr>
      <w:r>
        <w:rPr>
          <w:rFonts w:eastAsia="仿宋_GB2312"/>
          <w:sz w:val="28"/>
          <w:szCs w:val="28"/>
        </w:rPr>
        <w:t>b.仓储积水、温度。若雨天库房进水、屋漏等造成的库房积水、库房湿度大、违章露天存放遇水等，仓储物料尤其是固体物料可因遇水造成危害。</w:t>
      </w:r>
    </w:p>
    <w:p>
      <w:pPr>
        <w:spacing w:line="500" w:lineRule="exact"/>
        <w:ind w:firstLine="560" w:firstLineChars="200"/>
        <w:rPr>
          <w:rFonts w:eastAsia="仿宋_GB2312"/>
          <w:sz w:val="28"/>
          <w:szCs w:val="28"/>
        </w:rPr>
      </w:pPr>
      <w:r>
        <w:rPr>
          <w:rFonts w:eastAsia="仿宋_GB2312"/>
          <w:sz w:val="28"/>
          <w:szCs w:val="28"/>
        </w:rPr>
        <w:t>c.仓储光照。库房应保持阴凉避免阳光直射，否则可引起仓储物料温度升高而造成事故。</w:t>
      </w:r>
    </w:p>
    <w:p>
      <w:pPr>
        <w:spacing w:line="500" w:lineRule="exact"/>
        <w:ind w:firstLine="560" w:firstLineChars="200"/>
        <w:rPr>
          <w:rFonts w:eastAsia="仿宋_GB2312"/>
          <w:sz w:val="28"/>
          <w:szCs w:val="28"/>
        </w:rPr>
      </w:pPr>
      <w:r>
        <w:rPr>
          <w:rFonts w:eastAsia="仿宋_GB2312"/>
          <w:sz w:val="28"/>
          <w:szCs w:val="28"/>
        </w:rPr>
        <w:t>d.通风。物料储存中因泄漏、挥发，其蒸汽或粉尘可与空气形成爆炸性混合物或其毒性可对人体造成健康危害。若通风不良，混合物则可能处于爆炸极限范围之内对人体造成健康危害。</w:t>
      </w:r>
    </w:p>
    <w:p>
      <w:pPr>
        <w:pStyle w:val="5"/>
        <w:keepLines w:val="0"/>
        <w:widowControl/>
        <w:tabs>
          <w:tab w:val="left" w:pos="993"/>
        </w:tabs>
        <w:adjustRightInd w:val="0"/>
        <w:snapToGrid w:val="0"/>
        <w:spacing w:after="120" w:afterLines="50"/>
        <w:jc w:val="left"/>
        <w:rPr>
          <w:rFonts w:ascii="Times New Roman" w:hAnsi="Times New Roman"/>
          <w:b/>
        </w:rPr>
      </w:pPr>
      <w:r>
        <w:rPr>
          <w:rFonts w:hint="eastAsia" w:ascii="Times New Roman" w:hAnsi="Times New Roman"/>
          <w:b/>
        </w:rPr>
        <w:t>3.2.4.4</w:t>
      </w:r>
      <w:r>
        <w:rPr>
          <w:rFonts w:ascii="Times New Roman" w:hAnsi="Times New Roman"/>
          <w:b/>
        </w:rPr>
        <w:t>公用工程风险识别</w:t>
      </w:r>
    </w:p>
    <w:p>
      <w:pPr>
        <w:spacing w:line="500" w:lineRule="exact"/>
        <w:ind w:firstLine="560" w:firstLineChars="200"/>
        <w:rPr>
          <w:rFonts w:eastAsia="仿宋_GB2312"/>
          <w:sz w:val="28"/>
        </w:rPr>
      </w:pPr>
      <w:r>
        <w:rPr>
          <w:rFonts w:eastAsia="仿宋_GB2312"/>
          <w:sz w:val="28"/>
        </w:rPr>
        <w:t>全厂公用工程包括供排水、供配电。</w:t>
      </w:r>
    </w:p>
    <w:p>
      <w:pPr>
        <w:spacing w:line="500" w:lineRule="exact"/>
        <w:ind w:firstLine="560" w:firstLineChars="200"/>
        <w:rPr>
          <w:rFonts w:eastAsia="仿宋_GB2312"/>
          <w:sz w:val="28"/>
        </w:rPr>
      </w:pPr>
      <w:r>
        <w:rPr>
          <w:rFonts w:eastAsia="仿宋_GB2312"/>
          <w:sz w:val="28"/>
        </w:rPr>
        <w:fldChar w:fldCharType="begin"/>
      </w:r>
      <w:r>
        <w:rPr>
          <w:rFonts w:eastAsia="仿宋_GB2312"/>
          <w:sz w:val="28"/>
        </w:rPr>
        <w:instrText xml:space="preserve"> = 1 \* GB2 </w:instrText>
      </w:r>
      <w:r>
        <w:rPr>
          <w:rFonts w:eastAsia="仿宋_GB2312"/>
          <w:sz w:val="28"/>
        </w:rPr>
        <w:fldChar w:fldCharType="separate"/>
      </w:r>
      <w:r>
        <w:rPr>
          <w:rFonts w:hint="eastAsia" w:eastAsia="仿宋_GB2312" w:cs="宋体"/>
          <w:sz w:val="28"/>
        </w:rPr>
        <w:t>⑴</w:t>
      </w:r>
      <w:r>
        <w:rPr>
          <w:rFonts w:eastAsia="仿宋_GB2312"/>
          <w:sz w:val="28"/>
        </w:rPr>
        <w:fldChar w:fldCharType="end"/>
      </w:r>
      <w:r>
        <w:rPr>
          <w:rFonts w:eastAsia="仿宋_GB2312"/>
          <w:sz w:val="28"/>
        </w:rPr>
        <w:t>供水系统的建筑地下供排水管网发生泄露会导致建筑基础破坏；排水管道若无覆盖装置容易导致人员坠跌伤害等；冷却循环水系统若遭遇停电、故障等，会导致有毒物料等物质蒸汽外逸，引起中毒事故。</w:t>
      </w:r>
    </w:p>
    <w:p>
      <w:pPr>
        <w:spacing w:line="500" w:lineRule="exact"/>
        <w:ind w:firstLine="560" w:firstLineChars="200"/>
        <w:rPr>
          <w:rFonts w:eastAsia="仿宋_GB2312"/>
          <w:sz w:val="28"/>
        </w:rPr>
      </w:pPr>
      <w:r>
        <w:rPr>
          <w:rFonts w:eastAsia="仿宋_GB2312"/>
          <w:sz w:val="28"/>
        </w:rPr>
        <w:fldChar w:fldCharType="begin"/>
      </w:r>
      <w:r>
        <w:rPr>
          <w:rFonts w:eastAsia="仿宋_GB2312"/>
          <w:sz w:val="28"/>
        </w:rPr>
        <w:instrText xml:space="preserve"> = 2 \* GB2 </w:instrText>
      </w:r>
      <w:r>
        <w:rPr>
          <w:rFonts w:eastAsia="仿宋_GB2312"/>
          <w:sz w:val="28"/>
        </w:rPr>
        <w:fldChar w:fldCharType="separate"/>
      </w:r>
      <w:r>
        <w:rPr>
          <w:rFonts w:hint="eastAsia" w:eastAsia="仿宋_GB2312" w:cs="宋体"/>
          <w:sz w:val="28"/>
        </w:rPr>
        <w:t>⑵</w:t>
      </w:r>
      <w:r>
        <w:rPr>
          <w:rFonts w:eastAsia="仿宋_GB2312"/>
          <w:sz w:val="28"/>
        </w:rPr>
        <w:fldChar w:fldCharType="end"/>
      </w:r>
      <w:r>
        <w:rPr>
          <w:rFonts w:eastAsia="仿宋_GB2312"/>
          <w:sz w:val="28"/>
        </w:rPr>
        <w:t>供电系统主要危险有害因素是人员的触电，导致触电的原因可能由于操作人员的失误、设备的漏电、防护距离的不足等；电缆线路遭遇腐蚀老化会发生短路引起火灾事故；停电会导致用电设备无法运行，引起一系列事故。</w:t>
      </w:r>
    </w:p>
    <w:p>
      <w:pPr>
        <w:spacing w:line="500" w:lineRule="exact"/>
        <w:ind w:firstLine="560" w:firstLineChars="200"/>
        <w:rPr>
          <w:rFonts w:eastAsia="仿宋_GB2312"/>
          <w:sz w:val="28"/>
        </w:rPr>
      </w:pPr>
      <w:r>
        <w:rPr>
          <w:rFonts w:eastAsia="仿宋_GB2312"/>
          <w:sz w:val="28"/>
        </w:rPr>
        <w:fldChar w:fldCharType="begin"/>
      </w:r>
      <w:r>
        <w:rPr>
          <w:rFonts w:eastAsia="仿宋_GB2312"/>
          <w:sz w:val="28"/>
        </w:rPr>
        <w:instrText xml:space="preserve"> = 3 \* GB2 </w:instrText>
      </w:r>
      <w:r>
        <w:rPr>
          <w:rFonts w:eastAsia="仿宋_GB2312"/>
          <w:sz w:val="28"/>
        </w:rPr>
        <w:fldChar w:fldCharType="separate"/>
      </w:r>
      <w:r>
        <w:rPr>
          <w:rFonts w:hint="eastAsia" w:eastAsia="仿宋_GB2312" w:cs="宋体"/>
          <w:sz w:val="28"/>
        </w:rPr>
        <w:t>⑶</w:t>
      </w:r>
      <w:r>
        <w:rPr>
          <w:rFonts w:eastAsia="仿宋_GB2312"/>
          <w:sz w:val="28"/>
        </w:rPr>
        <w:fldChar w:fldCharType="end"/>
      </w:r>
      <w:r>
        <w:rPr>
          <w:rFonts w:eastAsia="仿宋_GB2312"/>
          <w:sz w:val="28"/>
        </w:rPr>
        <w:t>生产过程中突然停电，会导致工艺失控，引起火灾爆炸的危险。</w:t>
      </w:r>
    </w:p>
    <w:p>
      <w:pPr>
        <w:pStyle w:val="5"/>
        <w:keepLines w:val="0"/>
        <w:widowControl/>
        <w:tabs>
          <w:tab w:val="left" w:pos="993"/>
        </w:tabs>
        <w:adjustRightInd w:val="0"/>
        <w:snapToGrid w:val="0"/>
        <w:spacing w:after="120" w:afterLines="50"/>
        <w:jc w:val="left"/>
        <w:rPr>
          <w:rFonts w:ascii="Times New Roman" w:hAnsi="Times New Roman"/>
          <w:b/>
        </w:rPr>
      </w:pPr>
      <w:r>
        <w:rPr>
          <w:rFonts w:hint="eastAsia" w:ascii="Times New Roman" w:hAnsi="Times New Roman"/>
          <w:b/>
        </w:rPr>
        <w:t>3.2.4.5</w:t>
      </w:r>
      <w:r>
        <w:rPr>
          <w:rFonts w:ascii="Times New Roman" w:hAnsi="Times New Roman"/>
          <w:b/>
        </w:rPr>
        <w:t>环保设施风险识别</w:t>
      </w:r>
    </w:p>
    <w:p>
      <w:pPr>
        <w:spacing w:line="500" w:lineRule="exact"/>
        <w:ind w:firstLine="560" w:firstLineChars="200"/>
        <w:rPr>
          <w:rFonts w:eastAsia="仿宋_GB2312"/>
          <w:sz w:val="28"/>
        </w:rPr>
      </w:pPr>
      <w:r>
        <w:rPr>
          <w:rFonts w:eastAsia="仿宋_GB2312"/>
          <w:sz w:val="28"/>
        </w:rPr>
        <w:fldChar w:fldCharType="begin"/>
      </w:r>
      <w:r>
        <w:rPr>
          <w:rFonts w:eastAsia="仿宋_GB2312"/>
          <w:sz w:val="28"/>
        </w:rPr>
        <w:instrText xml:space="preserve"> = 1 \* GB2 </w:instrText>
      </w:r>
      <w:r>
        <w:rPr>
          <w:rFonts w:eastAsia="仿宋_GB2312"/>
          <w:sz w:val="28"/>
        </w:rPr>
        <w:fldChar w:fldCharType="separate"/>
      </w:r>
      <w:r>
        <w:rPr>
          <w:rFonts w:hint="eastAsia" w:eastAsia="仿宋_GB2312" w:cs="宋体"/>
          <w:sz w:val="28"/>
        </w:rPr>
        <w:t>⑴</w:t>
      </w:r>
      <w:r>
        <w:rPr>
          <w:rFonts w:eastAsia="仿宋_GB2312"/>
          <w:sz w:val="28"/>
        </w:rPr>
        <w:fldChar w:fldCharType="end"/>
      </w:r>
      <w:r>
        <w:rPr>
          <w:rFonts w:eastAsia="仿宋_GB2312"/>
          <w:sz w:val="28"/>
        </w:rPr>
        <w:t>各废气处理系统出现故障可能导致废气的事故排放。</w:t>
      </w:r>
    </w:p>
    <w:p>
      <w:pPr>
        <w:spacing w:line="500" w:lineRule="exact"/>
        <w:ind w:firstLine="560" w:firstLineChars="200"/>
        <w:rPr>
          <w:rFonts w:eastAsia="仿宋_GB2312"/>
          <w:sz w:val="28"/>
        </w:rPr>
      </w:pPr>
      <w:r>
        <w:rPr>
          <w:rFonts w:eastAsia="仿宋_GB2312"/>
          <w:sz w:val="28"/>
        </w:rPr>
        <w:fldChar w:fldCharType="begin"/>
      </w:r>
      <w:r>
        <w:rPr>
          <w:rFonts w:eastAsia="仿宋_GB2312"/>
          <w:sz w:val="28"/>
        </w:rPr>
        <w:instrText xml:space="preserve"> = 2 \* GB2 </w:instrText>
      </w:r>
      <w:r>
        <w:rPr>
          <w:rFonts w:eastAsia="仿宋_GB2312"/>
          <w:sz w:val="28"/>
        </w:rPr>
        <w:fldChar w:fldCharType="separate"/>
      </w:r>
      <w:r>
        <w:rPr>
          <w:rFonts w:hint="eastAsia" w:eastAsia="仿宋_GB2312" w:cs="宋体"/>
          <w:sz w:val="28"/>
        </w:rPr>
        <w:t>⑵</w:t>
      </w:r>
      <w:r>
        <w:rPr>
          <w:rFonts w:eastAsia="仿宋_GB2312"/>
          <w:sz w:val="28"/>
        </w:rPr>
        <w:fldChar w:fldCharType="end"/>
      </w:r>
      <w:r>
        <w:rPr>
          <w:rFonts w:hint="eastAsia" w:eastAsia="仿宋_GB2312"/>
          <w:sz w:val="28"/>
        </w:rPr>
        <w:t>本项目涉及1套</w:t>
      </w:r>
      <w:r>
        <w:rPr>
          <w:rFonts w:eastAsia="仿宋_GB2312"/>
          <w:sz w:val="28"/>
        </w:rPr>
        <w:t>VOCs</w:t>
      </w:r>
      <w:r>
        <w:rPr>
          <w:rFonts w:hint="eastAsia" w:eastAsia="仿宋_GB2312"/>
          <w:sz w:val="28"/>
        </w:rPr>
        <w:t>处理</w:t>
      </w:r>
      <w:r>
        <w:rPr>
          <w:rFonts w:eastAsia="仿宋_GB2312"/>
          <w:sz w:val="28"/>
        </w:rPr>
        <w:t>设备，</w:t>
      </w:r>
      <w:r>
        <w:rPr>
          <w:rFonts w:hint="eastAsia" w:eastAsia="仿宋_GB2312"/>
          <w:sz w:val="28"/>
        </w:rPr>
        <w:t>为RTO</w:t>
      </w:r>
      <w:r>
        <w:rPr>
          <w:rFonts w:eastAsia="仿宋_GB2312"/>
          <w:sz w:val="28"/>
        </w:rPr>
        <w:t>燃烧，</w:t>
      </w:r>
      <w:r>
        <w:rPr>
          <w:rFonts w:hint="eastAsia" w:eastAsia="仿宋_GB2312"/>
          <w:sz w:val="28"/>
        </w:rPr>
        <w:t>高温</w:t>
      </w:r>
      <w:r>
        <w:rPr>
          <w:rFonts w:eastAsia="仿宋_GB2312"/>
          <w:sz w:val="28"/>
        </w:rPr>
        <w:t>且涉及易燃易爆物质，若操作不慎，</w:t>
      </w:r>
      <w:r>
        <w:rPr>
          <w:rFonts w:hint="eastAsia" w:eastAsia="仿宋_GB2312"/>
          <w:sz w:val="28"/>
        </w:rPr>
        <w:t>造成</w:t>
      </w:r>
      <w:r>
        <w:rPr>
          <w:rFonts w:eastAsia="仿宋_GB2312"/>
          <w:sz w:val="28"/>
        </w:rPr>
        <w:t>设备故障可能会发生</w:t>
      </w:r>
      <w:r>
        <w:rPr>
          <w:rFonts w:hint="eastAsia" w:eastAsia="仿宋_GB2312"/>
          <w:sz w:val="28"/>
        </w:rPr>
        <w:t>火灾</w:t>
      </w:r>
      <w:r>
        <w:rPr>
          <w:rFonts w:eastAsia="仿宋_GB2312"/>
          <w:sz w:val="28"/>
        </w:rPr>
        <w:t>或爆炸事故。</w:t>
      </w:r>
    </w:p>
    <w:p>
      <w:pPr>
        <w:spacing w:line="500" w:lineRule="exact"/>
        <w:ind w:firstLine="560" w:firstLineChars="200"/>
        <w:rPr>
          <w:rFonts w:eastAsia="仿宋_GB2312"/>
          <w:sz w:val="28"/>
        </w:rPr>
      </w:pPr>
      <w:r>
        <w:rPr>
          <w:rFonts w:eastAsia="仿宋_GB2312"/>
          <w:sz w:val="28"/>
        </w:rPr>
        <w:fldChar w:fldCharType="begin"/>
      </w:r>
      <w:r>
        <w:rPr>
          <w:rFonts w:eastAsia="仿宋_GB2312"/>
          <w:sz w:val="28"/>
        </w:rPr>
        <w:instrText xml:space="preserve"> </w:instrText>
      </w:r>
      <w:r>
        <w:rPr>
          <w:rFonts w:hint="eastAsia" w:eastAsia="仿宋_GB2312"/>
          <w:sz w:val="28"/>
        </w:rPr>
        <w:instrText xml:space="preserve">= 3 \* GB2</w:instrText>
      </w:r>
      <w:r>
        <w:rPr>
          <w:rFonts w:eastAsia="仿宋_GB2312"/>
          <w:sz w:val="28"/>
        </w:rPr>
        <w:instrText xml:space="preserve"> </w:instrText>
      </w:r>
      <w:r>
        <w:rPr>
          <w:rFonts w:eastAsia="仿宋_GB2312"/>
          <w:sz w:val="28"/>
        </w:rPr>
        <w:fldChar w:fldCharType="separate"/>
      </w:r>
      <w:r>
        <w:rPr>
          <w:rFonts w:hint="eastAsia" w:eastAsia="仿宋_GB2312"/>
          <w:sz w:val="28"/>
        </w:rPr>
        <w:t>⑶</w:t>
      </w:r>
      <w:r>
        <w:rPr>
          <w:rFonts w:eastAsia="仿宋_GB2312"/>
          <w:sz w:val="28"/>
        </w:rPr>
        <w:fldChar w:fldCharType="end"/>
      </w:r>
      <w:r>
        <w:rPr>
          <w:rFonts w:eastAsia="仿宋_GB2312"/>
          <w:sz w:val="28"/>
        </w:rPr>
        <w:t>突发性泄漏和火灾爆炸事故泄漏、伴生和次生的泄漏物料</w:t>
      </w:r>
      <w:r>
        <w:rPr>
          <w:rFonts w:hint="eastAsia" w:eastAsia="仿宋_GB2312"/>
          <w:sz w:val="28"/>
        </w:rPr>
        <w:t>、</w:t>
      </w:r>
      <w:r>
        <w:rPr>
          <w:rFonts w:eastAsia="仿宋_GB2312"/>
          <w:sz w:val="28"/>
        </w:rPr>
        <w:t>消防水可能直接进入厂内污雨水管网，</w:t>
      </w:r>
      <w:r>
        <w:rPr>
          <w:rFonts w:hint="eastAsia" w:eastAsia="仿宋_GB2312"/>
          <w:sz w:val="28"/>
        </w:rPr>
        <w:t>对</w:t>
      </w:r>
      <w:r>
        <w:rPr>
          <w:rFonts w:eastAsia="仿宋_GB2312"/>
          <w:sz w:val="28"/>
        </w:rPr>
        <w:t>周边水环境</w:t>
      </w:r>
      <w:r>
        <w:rPr>
          <w:rFonts w:hint="eastAsia" w:eastAsia="仿宋_GB2312"/>
          <w:sz w:val="28"/>
        </w:rPr>
        <w:t>造成</w:t>
      </w:r>
      <w:r>
        <w:rPr>
          <w:rFonts w:eastAsia="仿宋_GB2312"/>
          <w:sz w:val="28"/>
        </w:rPr>
        <w:t>污染。</w:t>
      </w:r>
    </w:p>
    <w:p>
      <w:pPr>
        <w:pStyle w:val="5"/>
        <w:keepLines w:val="0"/>
        <w:widowControl/>
        <w:tabs>
          <w:tab w:val="left" w:pos="993"/>
        </w:tabs>
        <w:adjustRightInd w:val="0"/>
        <w:snapToGrid w:val="0"/>
        <w:spacing w:after="120" w:afterLines="50"/>
        <w:jc w:val="left"/>
        <w:rPr>
          <w:rFonts w:ascii="Times New Roman" w:hAnsi="Times New Roman"/>
          <w:b/>
        </w:rPr>
      </w:pPr>
      <w:bookmarkStart w:id="246" w:name="_Toc396374792"/>
      <w:r>
        <w:rPr>
          <w:rFonts w:hint="eastAsia" w:ascii="Times New Roman" w:hAnsi="Times New Roman"/>
          <w:b/>
        </w:rPr>
        <w:t>3.2.4.6</w:t>
      </w:r>
      <w:r>
        <w:rPr>
          <w:rFonts w:ascii="Times New Roman" w:hAnsi="Times New Roman"/>
          <w:b/>
        </w:rPr>
        <w:t>可能存在的伴生、次生风险识别</w:t>
      </w:r>
    </w:p>
    <w:bookmarkEnd w:id="246"/>
    <w:p>
      <w:pPr>
        <w:pStyle w:val="44"/>
        <w:spacing w:line="500" w:lineRule="exact"/>
        <w:ind w:left="851"/>
        <w:rPr>
          <w:rFonts w:ascii="Times New Roman" w:hAnsi="Times New Roman" w:eastAsia="仿宋"/>
          <w:sz w:val="28"/>
          <w:szCs w:val="28"/>
        </w:rPr>
      </w:pPr>
      <w:r>
        <w:rPr>
          <w:rFonts w:eastAsia="仿宋_GB2312"/>
          <w:sz w:val="28"/>
        </w:rPr>
        <w:fldChar w:fldCharType="begin"/>
      </w:r>
      <w:r>
        <w:rPr>
          <w:rFonts w:eastAsia="仿宋_GB2312"/>
          <w:sz w:val="28"/>
        </w:rPr>
        <w:instrText xml:space="preserve"> = 1 \* GB2 </w:instrText>
      </w:r>
      <w:r>
        <w:rPr>
          <w:rFonts w:eastAsia="仿宋_GB2312"/>
          <w:sz w:val="28"/>
        </w:rPr>
        <w:fldChar w:fldCharType="separate"/>
      </w:r>
      <w:r>
        <w:rPr>
          <w:rFonts w:hint="eastAsia" w:eastAsia="仿宋_GB2312" w:cs="宋体"/>
          <w:sz w:val="28"/>
        </w:rPr>
        <w:t>⑴</w:t>
      </w:r>
      <w:r>
        <w:rPr>
          <w:rFonts w:eastAsia="仿宋_GB2312"/>
          <w:sz w:val="28"/>
        </w:rPr>
        <w:fldChar w:fldCharType="end"/>
      </w:r>
      <w:r>
        <w:rPr>
          <w:rFonts w:ascii="Times New Roman" w:hAnsi="Times New Roman" w:eastAsia="仿宋"/>
          <w:sz w:val="28"/>
          <w:szCs w:val="28"/>
        </w:rPr>
        <w:t>对大气环境的影响</w:t>
      </w:r>
    </w:p>
    <w:p>
      <w:pPr>
        <w:spacing w:line="500" w:lineRule="exact"/>
        <w:ind w:firstLine="560" w:firstLineChars="200"/>
        <w:rPr>
          <w:rFonts w:eastAsia="仿宋_GB2312"/>
          <w:sz w:val="28"/>
        </w:rPr>
      </w:pPr>
      <w:r>
        <w:rPr>
          <w:rFonts w:eastAsia="仿宋_GB2312"/>
          <w:sz w:val="28"/>
        </w:rPr>
        <w:t>危险物质泄漏、火灾爆炸事故等引发的伴生/次生污染物排放对大气环境造成影响。</w:t>
      </w:r>
    </w:p>
    <w:p>
      <w:pPr>
        <w:spacing w:line="500" w:lineRule="exact"/>
        <w:ind w:firstLine="560" w:firstLineChars="200"/>
        <w:rPr>
          <w:rFonts w:eastAsia="仿宋_GB2312"/>
          <w:sz w:val="28"/>
        </w:rPr>
      </w:pPr>
      <w:r>
        <w:rPr>
          <w:rFonts w:eastAsia="仿宋_GB2312"/>
          <w:sz w:val="28"/>
        </w:rPr>
        <w:t>本项目涉及的有毒有害物质泄漏后挥发至大气环境中，或泄漏后遇明火等发生火灾、爆炸事故引起次生的CO排放至大气环境中，对大气环境造成影响，从而造成对厂外环境敏感点和人群的影响。</w:t>
      </w:r>
    </w:p>
    <w:p>
      <w:pPr>
        <w:pStyle w:val="44"/>
        <w:spacing w:line="500" w:lineRule="exact"/>
        <w:ind w:left="851"/>
        <w:rPr>
          <w:rFonts w:ascii="Times New Roman" w:hAnsi="Times New Roman" w:eastAsia="仿宋"/>
          <w:sz w:val="28"/>
        </w:rPr>
      </w:pPr>
      <w:r>
        <w:rPr>
          <w:rFonts w:eastAsia="仿宋_GB2312"/>
          <w:sz w:val="28"/>
        </w:rPr>
        <w:fldChar w:fldCharType="begin"/>
      </w:r>
      <w:r>
        <w:rPr>
          <w:rFonts w:eastAsia="仿宋_GB2312"/>
          <w:sz w:val="28"/>
        </w:rPr>
        <w:instrText xml:space="preserve"> = 2 \* GB2 </w:instrText>
      </w:r>
      <w:r>
        <w:rPr>
          <w:rFonts w:eastAsia="仿宋_GB2312"/>
          <w:sz w:val="28"/>
        </w:rPr>
        <w:fldChar w:fldCharType="separate"/>
      </w:r>
      <w:r>
        <w:rPr>
          <w:rFonts w:hint="eastAsia" w:eastAsia="仿宋_GB2312" w:cs="宋体"/>
          <w:sz w:val="28"/>
        </w:rPr>
        <w:t>⑵</w:t>
      </w:r>
      <w:r>
        <w:rPr>
          <w:rFonts w:eastAsia="仿宋_GB2312"/>
          <w:sz w:val="28"/>
        </w:rPr>
        <w:fldChar w:fldCharType="end"/>
      </w:r>
      <w:r>
        <w:rPr>
          <w:rFonts w:ascii="Times New Roman" w:hAnsi="Times New Roman" w:eastAsia="仿宋"/>
          <w:sz w:val="28"/>
        </w:rPr>
        <w:t>对地表水环境的影响</w:t>
      </w:r>
    </w:p>
    <w:p>
      <w:pPr>
        <w:spacing w:line="500" w:lineRule="exact"/>
        <w:ind w:firstLine="560" w:firstLineChars="200"/>
        <w:rPr>
          <w:rFonts w:eastAsia="仿宋_GB2312"/>
          <w:sz w:val="28"/>
        </w:rPr>
      </w:pPr>
      <w:r>
        <w:rPr>
          <w:rFonts w:eastAsia="仿宋_GB2312"/>
          <w:sz w:val="28"/>
        </w:rPr>
        <w:t>火灾、爆炸事故发生时产生的消防废水处理不当而排入附近地表水体时，将对周边地表水环境产生影响。</w:t>
      </w:r>
    </w:p>
    <w:p>
      <w:pPr>
        <w:pStyle w:val="44"/>
        <w:spacing w:line="500" w:lineRule="exact"/>
        <w:ind w:left="851"/>
        <w:rPr>
          <w:rFonts w:ascii="Times New Roman" w:hAnsi="Times New Roman" w:eastAsia="仿宋"/>
          <w:sz w:val="28"/>
        </w:rPr>
      </w:pPr>
      <w:r>
        <w:rPr>
          <w:rFonts w:eastAsia="仿宋_GB2312"/>
          <w:sz w:val="28"/>
        </w:rPr>
        <w:fldChar w:fldCharType="begin"/>
      </w:r>
      <w:r>
        <w:rPr>
          <w:rFonts w:eastAsia="仿宋_GB2312"/>
          <w:sz w:val="28"/>
        </w:rPr>
        <w:instrText xml:space="preserve"> </w:instrText>
      </w:r>
      <w:r>
        <w:rPr>
          <w:rFonts w:hint="eastAsia" w:eastAsia="仿宋_GB2312"/>
          <w:sz w:val="28"/>
        </w:rPr>
        <w:instrText xml:space="preserve">= 3 \* GB2</w:instrText>
      </w:r>
      <w:r>
        <w:rPr>
          <w:rFonts w:eastAsia="仿宋_GB2312"/>
          <w:sz w:val="28"/>
        </w:rPr>
        <w:instrText xml:space="preserve"> </w:instrText>
      </w:r>
      <w:r>
        <w:rPr>
          <w:rFonts w:eastAsia="仿宋_GB2312"/>
          <w:sz w:val="28"/>
        </w:rPr>
        <w:fldChar w:fldCharType="separate"/>
      </w:r>
      <w:r>
        <w:rPr>
          <w:rFonts w:hint="eastAsia" w:eastAsia="仿宋_GB2312"/>
          <w:sz w:val="28"/>
        </w:rPr>
        <w:t>⑶</w:t>
      </w:r>
      <w:r>
        <w:rPr>
          <w:rFonts w:eastAsia="仿宋_GB2312"/>
          <w:sz w:val="28"/>
        </w:rPr>
        <w:fldChar w:fldCharType="end"/>
      </w:r>
      <w:r>
        <w:rPr>
          <w:rFonts w:ascii="Times New Roman" w:hAnsi="Times New Roman" w:eastAsia="仿宋"/>
          <w:sz w:val="28"/>
        </w:rPr>
        <w:t>对地下水环境的影响</w:t>
      </w:r>
    </w:p>
    <w:p>
      <w:pPr>
        <w:spacing w:line="500" w:lineRule="exact"/>
        <w:ind w:firstLine="560" w:firstLineChars="200"/>
        <w:rPr>
          <w:rFonts w:eastAsia="仿宋_GB2312"/>
          <w:sz w:val="28"/>
        </w:rPr>
      </w:pPr>
      <w:r>
        <w:rPr>
          <w:rFonts w:eastAsia="仿宋_GB2312"/>
          <w:sz w:val="28"/>
        </w:rPr>
        <w:t>有毒有害物质在储存或厂内转移过程中由于操作不当、防渗材料破裂等原因而下渗，将对地下水环境产生影响。</w:t>
      </w:r>
    </w:p>
    <w:p>
      <w:pPr>
        <w:pStyle w:val="5"/>
        <w:keepLines w:val="0"/>
        <w:widowControl/>
        <w:tabs>
          <w:tab w:val="left" w:pos="993"/>
        </w:tabs>
        <w:adjustRightInd w:val="0"/>
        <w:snapToGrid w:val="0"/>
        <w:spacing w:after="120" w:afterLines="50"/>
        <w:jc w:val="left"/>
        <w:rPr>
          <w:rFonts w:ascii="Times New Roman" w:hAnsi="Times New Roman"/>
          <w:b/>
        </w:rPr>
      </w:pPr>
      <w:r>
        <w:rPr>
          <w:rFonts w:hint="eastAsia" w:ascii="Times New Roman" w:hAnsi="Times New Roman"/>
          <w:b/>
        </w:rPr>
        <w:t>3.2.4.7</w:t>
      </w:r>
      <w:r>
        <w:rPr>
          <w:rFonts w:ascii="Times New Roman" w:hAnsi="Times New Roman"/>
          <w:b/>
        </w:rPr>
        <w:t>影响人群健康的潜在环境风险因素识别</w:t>
      </w:r>
    </w:p>
    <w:p>
      <w:pPr>
        <w:spacing w:line="500" w:lineRule="exact"/>
        <w:ind w:firstLine="560" w:firstLineChars="200"/>
        <w:rPr>
          <w:rFonts w:eastAsia="仿宋_GB2312"/>
          <w:sz w:val="28"/>
          <w:szCs w:val="28"/>
        </w:rPr>
      </w:pPr>
      <w:r>
        <w:rPr>
          <w:rFonts w:eastAsia="仿宋_GB2312"/>
          <w:sz w:val="28"/>
        </w:rPr>
        <w:t>（1）正常情况下本项目</w:t>
      </w:r>
      <w:r>
        <w:rPr>
          <w:rFonts w:hint="eastAsia" w:eastAsia="仿宋_GB2312"/>
          <w:sz w:val="28"/>
        </w:rPr>
        <w:t>废气</w:t>
      </w:r>
      <w:r>
        <w:rPr>
          <w:rFonts w:hint="eastAsia" w:eastAsia="仿宋_GB2312" w:cs="仿宋_GB2312"/>
          <w:sz w:val="28"/>
        </w:rPr>
        <w:t>排放</w:t>
      </w:r>
      <w:r>
        <w:rPr>
          <w:rFonts w:eastAsia="仿宋_GB2312" w:cs="仿宋_GB2312"/>
          <w:sz w:val="28"/>
        </w:rPr>
        <w:t>达标</w:t>
      </w:r>
      <w:r>
        <w:rPr>
          <w:rFonts w:hint="eastAsia" w:eastAsia="仿宋_GB2312" w:cs="仿宋_GB2312"/>
          <w:sz w:val="28"/>
        </w:rPr>
        <w:t>，不会对周围人群健康造成严重影响。但事故工况下，废气不经处理直接排放或处理不到位非正常排放会对</w:t>
      </w:r>
      <w:r>
        <w:rPr>
          <w:rFonts w:eastAsia="仿宋_GB2312"/>
          <w:sz w:val="28"/>
          <w:szCs w:val="28"/>
        </w:rPr>
        <w:t>人体健康产生危害。</w:t>
      </w:r>
    </w:p>
    <w:p>
      <w:pPr>
        <w:spacing w:line="500" w:lineRule="exact"/>
        <w:ind w:firstLine="560" w:firstLineChars="200"/>
        <w:rPr>
          <w:rFonts w:eastAsia="仿宋_GB2312"/>
          <w:sz w:val="28"/>
        </w:rPr>
      </w:pPr>
      <w:r>
        <w:rPr>
          <w:rFonts w:eastAsia="仿宋_GB2312"/>
          <w:sz w:val="28"/>
          <w:szCs w:val="28"/>
        </w:rPr>
        <w:t>（2）</w:t>
      </w:r>
      <w:r>
        <w:rPr>
          <w:rFonts w:hint="eastAsia" w:eastAsia="仿宋_GB2312"/>
          <w:sz w:val="28"/>
          <w:szCs w:val="28"/>
        </w:rPr>
        <w:t>本项目</w:t>
      </w:r>
      <w:r>
        <w:rPr>
          <w:rFonts w:eastAsia="仿宋_GB2312"/>
          <w:sz w:val="28"/>
          <w:szCs w:val="28"/>
        </w:rPr>
        <w:t>原辅料（</w:t>
      </w:r>
      <w:r>
        <w:rPr>
          <w:rFonts w:hint="eastAsia" w:eastAsia="仿宋_GB2312"/>
          <w:sz w:val="28"/>
          <w:szCs w:val="28"/>
        </w:rPr>
        <w:t>胶粘剂</w:t>
      </w:r>
      <w:r>
        <w:rPr>
          <w:rFonts w:hint="eastAsia" w:eastAsia="仿宋_GB2312"/>
          <w:sz w:val="28"/>
        </w:rPr>
        <w:t>、固化剂</w:t>
      </w:r>
      <w:r>
        <w:rPr>
          <w:rFonts w:eastAsia="仿宋_GB2312"/>
          <w:sz w:val="28"/>
        </w:rPr>
        <w:t>等</w:t>
      </w:r>
      <w:r>
        <w:rPr>
          <w:rFonts w:eastAsia="仿宋_GB2312"/>
          <w:sz w:val="28"/>
          <w:szCs w:val="28"/>
        </w:rPr>
        <w:t>）</w:t>
      </w:r>
      <w:r>
        <w:rPr>
          <w:rFonts w:eastAsia="仿宋_GB2312"/>
          <w:sz w:val="28"/>
        </w:rPr>
        <w:t>若发生泄漏，</w:t>
      </w:r>
      <w:r>
        <w:rPr>
          <w:rFonts w:hint="eastAsia" w:eastAsia="仿宋_GB2312"/>
          <w:sz w:val="28"/>
        </w:rPr>
        <w:t>遇</w:t>
      </w:r>
      <w:r>
        <w:rPr>
          <w:rFonts w:eastAsia="仿宋_GB2312"/>
          <w:sz w:val="28"/>
        </w:rPr>
        <w:t>火源会发生火灾爆炸事故。</w:t>
      </w:r>
      <w:r>
        <w:rPr>
          <w:rFonts w:hint="eastAsia" w:eastAsia="仿宋_GB2312"/>
          <w:sz w:val="28"/>
        </w:rPr>
        <w:t>原辅料</w:t>
      </w:r>
      <w:r>
        <w:rPr>
          <w:rFonts w:eastAsia="仿宋_GB2312"/>
          <w:sz w:val="28"/>
        </w:rPr>
        <w:t>泄漏有有毒气体挥发，会发生大气环境污染事故，同时会污染水及土壤</w:t>
      </w:r>
      <w:r>
        <w:rPr>
          <w:rFonts w:hint="eastAsia" w:eastAsia="仿宋_GB2312"/>
          <w:sz w:val="28"/>
        </w:rPr>
        <w:t>，</w:t>
      </w:r>
      <w:r>
        <w:rPr>
          <w:rFonts w:eastAsia="仿宋_GB2312"/>
          <w:sz w:val="28"/>
        </w:rPr>
        <w:t>继而对人体健康产生危害。</w:t>
      </w:r>
    </w:p>
    <w:p>
      <w:pPr>
        <w:pStyle w:val="4"/>
        <w:keepLines w:val="0"/>
        <w:tabs>
          <w:tab w:val="left" w:pos="709"/>
        </w:tabs>
        <w:spacing w:before="120" w:beforeLines="50" w:after="120" w:afterLines="50" w:line="500" w:lineRule="exact"/>
        <w:rPr>
          <w:rFonts w:eastAsia="仿宋_GB2312"/>
          <w:sz w:val="30"/>
          <w:szCs w:val="30"/>
        </w:rPr>
      </w:pPr>
      <w:r>
        <w:rPr>
          <w:rFonts w:hint="eastAsia" w:eastAsia="仿宋_GB2312"/>
          <w:sz w:val="30"/>
          <w:szCs w:val="30"/>
        </w:rPr>
        <w:t>3.2.5环境风险</w:t>
      </w:r>
      <w:r>
        <w:rPr>
          <w:rFonts w:eastAsia="仿宋_GB2312"/>
          <w:sz w:val="30"/>
          <w:szCs w:val="30"/>
        </w:rPr>
        <w:t>类型及危害</w:t>
      </w:r>
      <w:r>
        <w:rPr>
          <w:rFonts w:hint="eastAsia" w:eastAsia="仿宋_GB2312"/>
          <w:sz w:val="30"/>
          <w:szCs w:val="30"/>
        </w:rPr>
        <w:t>分析</w:t>
      </w:r>
    </w:p>
    <w:p>
      <w:pPr>
        <w:pStyle w:val="5"/>
        <w:keepLines w:val="0"/>
        <w:widowControl/>
        <w:tabs>
          <w:tab w:val="left" w:pos="993"/>
        </w:tabs>
        <w:adjustRightInd w:val="0"/>
        <w:snapToGrid w:val="0"/>
        <w:spacing w:after="120" w:afterLines="50"/>
        <w:jc w:val="left"/>
        <w:rPr>
          <w:rFonts w:ascii="Times New Roman" w:hAnsi="Times New Roman"/>
          <w:b/>
        </w:rPr>
      </w:pPr>
      <w:r>
        <w:rPr>
          <w:rFonts w:hint="eastAsia" w:ascii="Times New Roman" w:hAnsi="Times New Roman"/>
          <w:b/>
        </w:rPr>
        <w:t>3.2.5.1环境风险类型</w:t>
      </w:r>
    </w:p>
    <w:p>
      <w:pPr>
        <w:spacing w:line="500" w:lineRule="exact"/>
        <w:ind w:firstLine="560" w:firstLineChars="200"/>
        <w:rPr>
          <w:rFonts w:eastAsia="仿宋_GB2312"/>
          <w:sz w:val="28"/>
          <w:szCs w:val="28"/>
        </w:rPr>
      </w:pPr>
      <w:r>
        <w:rPr>
          <w:rFonts w:eastAsia="仿宋_GB2312"/>
          <w:sz w:val="28"/>
          <w:szCs w:val="28"/>
        </w:rPr>
        <w:t>根据危险物质及生产系统的风险识别结果，本项目环境风险类型包括危险物质泄漏、火灾爆炸事故等引发的伴生/次生污染物排放</w:t>
      </w:r>
      <w:r>
        <w:rPr>
          <w:rFonts w:hint="eastAsia" w:eastAsia="仿宋_GB2312"/>
          <w:sz w:val="28"/>
          <w:szCs w:val="28"/>
        </w:rPr>
        <w:t>。</w:t>
      </w:r>
    </w:p>
    <w:p>
      <w:pPr>
        <w:pStyle w:val="5"/>
        <w:keepLines w:val="0"/>
        <w:widowControl/>
        <w:tabs>
          <w:tab w:val="left" w:pos="993"/>
        </w:tabs>
        <w:adjustRightInd w:val="0"/>
        <w:snapToGrid w:val="0"/>
        <w:spacing w:after="120" w:afterLines="50"/>
        <w:jc w:val="left"/>
        <w:rPr>
          <w:rFonts w:ascii="Times New Roman" w:hAnsi="Times New Roman"/>
          <w:b/>
        </w:rPr>
      </w:pPr>
      <w:r>
        <w:rPr>
          <w:rFonts w:hint="eastAsia" w:ascii="Times New Roman" w:hAnsi="Times New Roman"/>
          <w:b/>
        </w:rPr>
        <w:t>3.2.5.2风险</w:t>
      </w:r>
      <w:r>
        <w:rPr>
          <w:rFonts w:ascii="Times New Roman" w:hAnsi="Times New Roman"/>
          <w:b/>
        </w:rPr>
        <w:t>危害分析</w:t>
      </w:r>
    </w:p>
    <w:p>
      <w:pPr>
        <w:spacing w:line="500" w:lineRule="exact"/>
        <w:ind w:firstLine="560" w:firstLineChars="200"/>
        <w:rPr>
          <w:rFonts w:eastAsia="仿宋_GB2312"/>
          <w:sz w:val="28"/>
          <w:szCs w:val="28"/>
        </w:rPr>
      </w:pPr>
      <w:r>
        <w:rPr>
          <w:rFonts w:eastAsia="仿宋_GB2312"/>
          <w:sz w:val="28"/>
          <w:szCs w:val="28"/>
        </w:rPr>
        <w:t>（1）对大气环境的影响</w:t>
      </w:r>
    </w:p>
    <w:p>
      <w:pPr>
        <w:spacing w:line="500" w:lineRule="exact"/>
        <w:ind w:firstLine="560" w:firstLineChars="200"/>
        <w:rPr>
          <w:rFonts w:eastAsia="仿宋_GB2312"/>
          <w:sz w:val="28"/>
          <w:szCs w:val="28"/>
        </w:rPr>
      </w:pPr>
      <w:r>
        <w:rPr>
          <w:rFonts w:eastAsia="仿宋_GB2312"/>
          <w:sz w:val="28"/>
          <w:szCs w:val="28"/>
        </w:rPr>
        <w:t>危险物质泄漏、火灾爆炸事故等引发的伴生/次生污染物排放对大气环境造成影响。</w:t>
      </w:r>
    </w:p>
    <w:p>
      <w:pPr>
        <w:spacing w:line="500" w:lineRule="exact"/>
        <w:ind w:firstLine="560" w:firstLineChars="200"/>
        <w:rPr>
          <w:rFonts w:eastAsia="仿宋_GB2312"/>
          <w:sz w:val="28"/>
          <w:szCs w:val="28"/>
        </w:rPr>
      </w:pPr>
      <w:r>
        <w:rPr>
          <w:rFonts w:eastAsia="仿宋_GB2312"/>
          <w:sz w:val="28"/>
          <w:szCs w:val="28"/>
        </w:rPr>
        <w:t>本项目涉及的</w:t>
      </w:r>
      <w:r>
        <w:rPr>
          <w:rFonts w:hint="eastAsia" w:eastAsia="仿宋_GB2312"/>
          <w:sz w:val="28"/>
          <w:szCs w:val="28"/>
        </w:rPr>
        <w:t>溶剂型胶粘剂</w:t>
      </w:r>
      <w:r>
        <w:rPr>
          <w:rFonts w:eastAsia="仿宋_GB2312"/>
          <w:sz w:val="28"/>
          <w:szCs w:val="28"/>
        </w:rPr>
        <w:t>、</w:t>
      </w:r>
      <w:r>
        <w:rPr>
          <w:rFonts w:hint="eastAsia" w:eastAsia="仿宋_GB2312"/>
          <w:sz w:val="28"/>
          <w:szCs w:val="28"/>
        </w:rPr>
        <w:t>固化</w:t>
      </w:r>
      <w:r>
        <w:rPr>
          <w:rFonts w:eastAsia="仿宋_GB2312"/>
          <w:sz w:val="28"/>
          <w:szCs w:val="28"/>
        </w:rPr>
        <w:t>剂等泄漏后挥发至大气环境中，或泄漏后遇明火等发生火灾、爆炸事故次生产生的CO排放至大气环境中，对大气环境造成影响，从而造成对厂外环境敏感点和人群的影响。</w:t>
      </w:r>
    </w:p>
    <w:p>
      <w:pPr>
        <w:spacing w:line="500" w:lineRule="exact"/>
        <w:ind w:firstLine="560" w:firstLineChars="200"/>
        <w:rPr>
          <w:rFonts w:eastAsia="仿宋_GB2312"/>
          <w:sz w:val="28"/>
          <w:szCs w:val="28"/>
        </w:rPr>
      </w:pPr>
      <w:r>
        <w:rPr>
          <w:rFonts w:eastAsia="仿宋_GB2312"/>
          <w:sz w:val="28"/>
          <w:szCs w:val="28"/>
        </w:rPr>
        <w:t>（2）对地表水环境的影响</w:t>
      </w:r>
    </w:p>
    <w:p>
      <w:pPr>
        <w:spacing w:line="500" w:lineRule="exact"/>
        <w:ind w:firstLine="560" w:firstLineChars="200"/>
        <w:rPr>
          <w:rFonts w:eastAsia="仿宋_GB2312"/>
          <w:sz w:val="28"/>
          <w:szCs w:val="28"/>
        </w:rPr>
      </w:pPr>
      <w:r>
        <w:rPr>
          <w:rFonts w:eastAsia="仿宋_GB2312"/>
          <w:sz w:val="28"/>
          <w:szCs w:val="28"/>
        </w:rPr>
        <w:t>火灾、爆炸事故发生时产生的消防废水处理不当而排入附近地表水体时，将对周边地表水环境产生影响。</w:t>
      </w:r>
    </w:p>
    <w:p>
      <w:pPr>
        <w:spacing w:line="500" w:lineRule="exact"/>
        <w:ind w:firstLine="560" w:firstLineChars="200"/>
        <w:rPr>
          <w:rFonts w:eastAsia="仿宋_GB2312"/>
          <w:sz w:val="28"/>
          <w:szCs w:val="28"/>
        </w:rPr>
      </w:pPr>
      <w:r>
        <w:rPr>
          <w:rFonts w:eastAsia="仿宋_GB2312"/>
          <w:sz w:val="28"/>
          <w:szCs w:val="28"/>
        </w:rPr>
        <w:t>（3）对地下水环境的影响</w:t>
      </w:r>
    </w:p>
    <w:p>
      <w:pPr>
        <w:spacing w:line="500" w:lineRule="exact"/>
        <w:ind w:firstLine="560" w:firstLineChars="200"/>
        <w:rPr>
          <w:rFonts w:eastAsia="仿宋_GB2312"/>
          <w:sz w:val="28"/>
          <w:szCs w:val="28"/>
        </w:rPr>
      </w:pPr>
      <w:r>
        <w:rPr>
          <w:rFonts w:eastAsia="仿宋_GB2312"/>
          <w:sz w:val="28"/>
          <w:szCs w:val="28"/>
        </w:rPr>
        <w:t>有毒有害物质在储存或厂内转移过程中由于操作不当、防渗材料破裂等原因而下渗，将对地下水环境产生影响。</w:t>
      </w:r>
    </w:p>
    <w:p>
      <w:pPr>
        <w:pStyle w:val="4"/>
        <w:keepLines w:val="0"/>
        <w:tabs>
          <w:tab w:val="left" w:pos="709"/>
        </w:tabs>
        <w:spacing w:before="120" w:beforeLines="50" w:after="120" w:afterLines="50" w:line="500" w:lineRule="exact"/>
        <w:rPr>
          <w:rFonts w:eastAsia="仿宋_GB2312"/>
          <w:sz w:val="30"/>
          <w:szCs w:val="30"/>
        </w:rPr>
      </w:pPr>
      <w:r>
        <w:rPr>
          <w:rFonts w:hint="eastAsia" w:eastAsia="仿宋_GB2312"/>
          <w:sz w:val="30"/>
          <w:szCs w:val="30"/>
        </w:rPr>
        <w:t>3.2.6环境风险</w:t>
      </w:r>
      <w:r>
        <w:rPr>
          <w:rFonts w:eastAsia="仿宋_GB2312"/>
          <w:sz w:val="30"/>
          <w:szCs w:val="30"/>
        </w:rPr>
        <w:t>类型及危害</w:t>
      </w:r>
      <w:r>
        <w:rPr>
          <w:rFonts w:hint="eastAsia" w:eastAsia="仿宋_GB2312"/>
          <w:sz w:val="30"/>
          <w:szCs w:val="30"/>
        </w:rPr>
        <w:t>分析</w:t>
      </w:r>
    </w:p>
    <w:p>
      <w:pPr>
        <w:spacing w:line="500" w:lineRule="exact"/>
        <w:ind w:firstLine="560" w:firstLineChars="200"/>
        <w:rPr>
          <w:rFonts w:eastAsia="仿宋_GB2312"/>
          <w:sz w:val="28"/>
          <w:szCs w:val="28"/>
        </w:rPr>
      </w:pPr>
      <w:r>
        <w:rPr>
          <w:rFonts w:eastAsia="仿宋_GB2312"/>
          <w:sz w:val="28"/>
          <w:szCs w:val="28"/>
        </w:rPr>
        <w:t>综上，本项目环境风险识别结果汇总情况见下表。</w:t>
      </w:r>
    </w:p>
    <w:p>
      <w:pPr>
        <w:spacing w:line="500" w:lineRule="exact"/>
        <w:ind w:firstLine="482" w:firstLineChars="200"/>
        <w:jc w:val="center"/>
        <w:rPr>
          <w:rFonts w:eastAsia="仿宋_GB2312"/>
          <w:b/>
          <w:bCs/>
          <w:sz w:val="24"/>
        </w:rPr>
      </w:pPr>
      <w:r>
        <w:rPr>
          <w:rFonts w:eastAsia="仿宋_GB2312"/>
          <w:b/>
          <w:bCs/>
          <w:sz w:val="24"/>
        </w:rPr>
        <w:t>表3.2-15 本项目及环保设施风险识别表</w:t>
      </w:r>
    </w:p>
    <w:tbl>
      <w:tblPr>
        <w:tblStyle w:val="87"/>
        <w:tblW w:w="552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84"/>
        <w:gridCol w:w="744"/>
        <w:gridCol w:w="1588"/>
        <w:gridCol w:w="1652"/>
        <w:gridCol w:w="1654"/>
        <w:gridCol w:w="1652"/>
        <w:gridCol w:w="164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9" w:hRule="atLeast"/>
          <w:tblHeader/>
          <w:jc w:val="center"/>
        </w:trPr>
        <w:tc>
          <w:tcPr>
            <w:tcW w:w="257" w:type="pct"/>
            <w:shd w:val="clear" w:color="auto" w:fill="auto"/>
            <w:vAlign w:val="center"/>
          </w:tcPr>
          <w:p>
            <w:pPr>
              <w:widowControl/>
              <w:jc w:val="center"/>
              <w:rPr>
                <w:rFonts w:ascii="仿宋" w:hAnsi="仿宋" w:eastAsia="仿宋"/>
                <w:kern w:val="0"/>
                <w:szCs w:val="21"/>
              </w:rPr>
            </w:pPr>
            <w:r>
              <w:rPr>
                <w:rFonts w:ascii="仿宋" w:hAnsi="仿宋" w:eastAsia="仿宋"/>
                <w:kern w:val="0"/>
                <w:szCs w:val="21"/>
              </w:rPr>
              <w:t>序号</w:t>
            </w:r>
          </w:p>
        </w:tc>
        <w:tc>
          <w:tcPr>
            <w:tcW w:w="395" w:type="pct"/>
            <w:shd w:val="clear" w:color="auto" w:fill="auto"/>
            <w:vAlign w:val="center"/>
          </w:tcPr>
          <w:p>
            <w:pPr>
              <w:widowControl/>
              <w:jc w:val="center"/>
              <w:rPr>
                <w:rFonts w:ascii="仿宋" w:hAnsi="仿宋" w:eastAsia="仿宋"/>
                <w:kern w:val="0"/>
                <w:szCs w:val="21"/>
              </w:rPr>
            </w:pPr>
            <w:r>
              <w:rPr>
                <w:rFonts w:ascii="仿宋" w:hAnsi="仿宋" w:eastAsia="仿宋"/>
                <w:kern w:val="0"/>
                <w:szCs w:val="21"/>
              </w:rPr>
              <w:t>风险单元</w:t>
            </w:r>
          </w:p>
        </w:tc>
        <w:tc>
          <w:tcPr>
            <w:tcW w:w="843" w:type="pct"/>
            <w:shd w:val="clear" w:color="auto" w:fill="auto"/>
            <w:vAlign w:val="center"/>
          </w:tcPr>
          <w:p>
            <w:pPr>
              <w:widowControl/>
              <w:jc w:val="center"/>
              <w:rPr>
                <w:rFonts w:ascii="仿宋" w:hAnsi="仿宋" w:eastAsia="仿宋"/>
                <w:kern w:val="0"/>
                <w:szCs w:val="21"/>
              </w:rPr>
            </w:pPr>
            <w:r>
              <w:rPr>
                <w:rFonts w:ascii="仿宋" w:hAnsi="仿宋" w:eastAsia="仿宋"/>
                <w:kern w:val="0"/>
                <w:szCs w:val="21"/>
              </w:rPr>
              <w:t>主要危险源</w:t>
            </w:r>
          </w:p>
        </w:tc>
        <w:tc>
          <w:tcPr>
            <w:tcW w:w="877" w:type="pct"/>
            <w:shd w:val="clear" w:color="auto" w:fill="auto"/>
            <w:vAlign w:val="center"/>
          </w:tcPr>
          <w:p>
            <w:pPr>
              <w:widowControl/>
              <w:jc w:val="center"/>
              <w:rPr>
                <w:rFonts w:ascii="仿宋" w:hAnsi="仿宋" w:eastAsia="仿宋"/>
                <w:kern w:val="0"/>
                <w:szCs w:val="21"/>
              </w:rPr>
            </w:pPr>
            <w:r>
              <w:rPr>
                <w:rFonts w:ascii="仿宋" w:hAnsi="仿宋" w:eastAsia="仿宋"/>
                <w:kern w:val="0"/>
                <w:szCs w:val="21"/>
              </w:rPr>
              <w:t>主要危险物质</w:t>
            </w:r>
          </w:p>
        </w:tc>
        <w:tc>
          <w:tcPr>
            <w:tcW w:w="878" w:type="pct"/>
            <w:shd w:val="clear" w:color="auto" w:fill="auto"/>
            <w:vAlign w:val="center"/>
          </w:tcPr>
          <w:p>
            <w:pPr>
              <w:widowControl/>
              <w:jc w:val="center"/>
              <w:rPr>
                <w:rFonts w:ascii="仿宋" w:hAnsi="仿宋" w:eastAsia="仿宋"/>
                <w:kern w:val="0"/>
                <w:szCs w:val="21"/>
              </w:rPr>
            </w:pPr>
            <w:r>
              <w:rPr>
                <w:rFonts w:ascii="仿宋" w:hAnsi="仿宋" w:eastAsia="仿宋"/>
                <w:kern w:val="0"/>
                <w:szCs w:val="21"/>
              </w:rPr>
              <w:t>环境风险类型</w:t>
            </w:r>
          </w:p>
        </w:tc>
        <w:tc>
          <w:tcPr>
            <w:tcW w:w="877" w:type="pct"/>
            <w:shd w:val="clear" w:color="auto" w:fill="auto"/>
            <w:vAlign w:val="center"/>
          </w:tcPr>
          <w:p>
            <w:pPr>
              <w:widowControl/>
              <w:jc w:val="center"/>
              <w:rPr>
                <w:rFonts w:ascii="仿宋" w:hAnsi="仿宋" w:eastAsia="仿宋"/>
                <w:kern w:val="0"/>
                <w:szCs w:val="21"/>
              </w:rPr>
            </w:pPr>
            <w:r>
              <w:rPr>
                <w:rFonts w:ascii="仿宋" w:hAnsi="仿宋" w:eastAsia="仿宋"/>
                <w:kern w:val="0"/>
                <w:szCs w:val="21"/>
              </w:rPr>
              <w:t>环境影响途径</w:t>
            </w:r>
          </w:p>
        </w:tc>
        <w:tc>
          <w:tcPr>
            <w:tcW w:w="873" w:type="pct"/>
            <w:shd w:val="clear" w:color="auto" w:fill="auto"/>
            <w:vAlign w:val="center"/>
          </w:tcPr>
          <w:p>
            <w:pPr>
              <w:widowControl/>
              <w:jc w:val="center"/>
              <w:rPr>
                <w:rFonts w:ascii="仿宋" w:hAnsi="仿宋" w:eastAsia="仿宋"/>
                <w:kern w:val="0"/>
                <w:szCs w:val="21"/>
              </w:rPr>
            </w:pPr>
            <w:r>
              <w:rPr>
                <w:rFonts w:ascii="仿宋" w:hAnsi="仿宋" w:eastAsia="仿宋"/>
                <w:kern w:val="0"/>
                <w:szCs w:val="21"/>
              </w:rPr>
              <w:t>可能受影响的环境敏感目标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23" w:hRule="atLeast"/>
          <w:jc w:val="center"/>
        </w:trPr>
        <w:tc>
          <w:tcPr>
            <w:tcW w:w="257" w:type="pct"/>
            <w:shd w:val="clear" w:color="auto" w:fill="auto"/>
            <w:vAlign w:val="center"/>
          </w:tcPr>
          <w:p>
            <w:pPr>
              <w:widowControl/>
              <w:jc w:val="center"/>
              <w:rPr>
                <w:rFonts w:ascii="仿宋" w:hAnsi="仿宋" w:eastAsia="仿宋"/>
                <w:kern w:val="0"/>
                <w:szCs w:val="21"/>
              </w:rPr>
            </w:pPr>
            <w:r>
              <w:rPr>
                <w:rFonts w:ascii="仿宋" w:hAnsi="仿宋" w:eastAsia="仿宋"/>
                <w:kern w:val="0"/>
                <w:szCs w:val="21"/>
              </w:rPr>
              <w:t>1</w:t>
            </w:r>
          </w:p>
        </w:tc>
        <w:tc>
          <w:tcPr>
            <w:tcW w:w="395" w:type="pct"/>
            <w:shd w:val="clear" w:color="auto" w:fill="auto"/>
            <w:vAlign w:val="center"/>
          </w:tcPr>
          <w:p>
            <w:pPr>
              <w:widowControl/>
              <w:jc w:val="center"/>
              <w:rPr>
                <w:rFonts w:ascii="仿宋" w:hAnsi="仿宋" w:eastAsia="仿宋"/>
                <w:kern w:val="0"/>
                <w:szCs w:val="21"/>
              </w:rPr>
            </w:pPr>
            <w:r>
              <w:rPr>
                <w:rFonts w:ascii="仿宋" w:hAnsi="仿宋" w:eastAsia="仿宋"/>
                <w:kern w:val="0"/>
                <w:szCs w:val="21"/>
              </w:rPr>
              <w:t>生产过程</w:t>
            </w:r>
          </w:p>
        </w:tc>
        <w:tc>
          <w:tcPr>
            <w:tcW w:w="843" w:type="pct"/>
            <w:shd w:val="clear" w:color="auto" w:fill="auto"/>
            <w:vAlign w:val="center"/>
          </w:tcPr>
          <w:p>
            <w:pPr>
              <w:widowControl/>
              <w:jc w:val="center"/>
              <w:rPr>
                <w:rFonts w:ascii="仿宋" w:hAnsi="仿宋" w:eastAsia="仿宋"/>
                <w:kern w:val="0"/>
                <w:szCs w:val="21"/>
              </w:rPr>
            </w:pPr>
            <w:r>
              <w:rPr>
                <w:rFonts w:hint="eastAsia" w:ascii="仿宋" w:hAnsi="仿宋" w:eastAsia="仿宋"/>
                <w:kern w:val="0"/>
                <w:szCs w:val="21"/>
              </w:rPr>
              <w:t>涂布干燥</w:t>
            </w:r>
          </w:p>
        </w:tc>
        <w:tc>
          <w:tcPr>
            <w:tcW w:w="877" w:type="pct"/>
            <w:shd w:val="clear" w:color="auto" w:fill="auto"/>
            <w:vAlign w:val="center"/>
          </w:tcPr>
          <w:p>
            <w:pPr>
              <w:widowControl/>
              <w:jc w:val="center"/>
              <w:rPr>
                <w:rFonts w:ascii="仿宋" w:hAnsi="仿宋" w:eastAsia="仿宋"/>
                <w:kern w:val="0"/>
                <w:szCs w:val="21"/>
              </w:rPr>
            </w:pPr>
            <w:r>
              <w:rPr>
                <w:rFonts w:ascii="仿宋" w:hAnsi="仿宋" w:eastAsia="仿宋"/>
                <w:kern w:val="0"/>
                <w:szCs w:val="21"/>
              </w:rPr>
              <w:t>原料中含有的有机物</w:t>
            </w:r>
            <w:r>
              <w:rPr>
                <w:rFonts w:hint="eastAsia" w:ascii="仿宋" w:hAnsi="仿宋" w:eastAsia="仿宋"/>
                <w:kern w:val="0"/>
                <w:szCs w:val="21"/>
              </w:rPr>
              <w:t>、二甲苯等</w:t>
            </w:r>
          </w:p>
        </w:tc>
        <w:tc>
          <w:tcPr>
            <w:tcW w:w="878" w:type="pct"/>
            <w:shd w:val="clear" w:color="auto" w:fill="auto"/>
            <w:vAlign w:val="center"/>
          </w:tcPr>
          <w:p>
            <w:pPr>
              <w:widowControl/>
              <w:jc w:val="center"/>
              <w:rPr>
                <w:rFonts w:ascii="仿宋" w:hAnsi="仿宋" w:eastAsia="仿宋"/>
                <w:kern w:val="0"/>
                <w:szCs w:val="21"/>
              </w:rPr>
            </w:pPr>
            <w:r>
              <w:rPr>
                <w:rFonts w:ascii="仿宋" w:hAnsi="仿宋" w:eastAsia="仿宋"/>
                <w:kern w:val="0"/>
                <w:szCs w:val="21"/>
              </w:rPr>
              <w:t>泄漏、火灾、爆炸</w:t>
            </w:r>
          </w:p>
        </w:tc>
        <w:tc>
          <w:tcPr>
            <w:tcW w:w="877" w:type="pct"/>
            <w:shd w:val="clear" w:color="auto" w:fill="auto"/>
            <w:vAlign w:val="center"/>
          </w:tcPr>
          <w:p>
            <w:pPr>
              <w:widowControl/>
              <w:jc w:val="center"/>
              <w:rPr>
                <w:rFonts w:ascii="仿宋" w:hAnsi="仿宋" w:eastAsia="仿宋"/>
                <w:kern w:val="0"/>
                <w:szCs w:val="21"/>
              </w:rPr>
            </w:pPr>
            <w:r>
              <w:rPr>
                <w:rFonts w:ascii="仿宋" w:hAnsi="仿宋" w:eastAsia="仿宋"/>
                <w:kern w:val="0"/>
                <w:szCs w:val="21"/>
              </w:rPr>
              <w:t>大气、土壤、地表水与地下水</w:t>
            </w:r>
          </w:p>
        </w:tc>
        <w:tc>
          <w:tcPr>
            <w:tcW w:w="873" w:type="pct"/>
            <w:shd w:val="clear" w:color="auto" w:fill="auto"/>
            <w:vAlign w:val="center"/>
          </w:tcPr>
          <w:p>
            <w:pPr>
              <w:widowControl/>
              <w:jc w:val="center"/>
              <w:rPr>
                <w:rFonts w:ascii="仿宋" w:hAnsi="仿宋" w:eastAsia="仿宋"/>
                <w:kern w:val="0"/>
                <w:szCs w:val="21"/>
              </w:rPr>
            </w:pPr>
            <w:r>
              <w:rPr>
                <w:rFonts w:ascii="仿宋" w:hAnsi="仿宋" w:eastAsia="仿宋"/>
                <w:kern w:val="0"/>
                <w:szCs w:val="21"/>
              </w:rPr>
              <w:t>周边居住区及河流，周边分散式水井</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38" w:hRule="atLeast"/>
          <w:jc w:val="center"/>
        </w:trPr>
        <w:tc>
          <w:tcPr>
            <w:tcW w:w="257" w:type="pct"/>
            <w:shd w:val="clear" w:color="auto" w:fill="auto"/>
            <w:vAlign w:val="center"/>
          </w:tcPr>
          <w:p>
            <w:pPr>
              <w:widowControl/>
              <w:jc w:val="center"/>
              <w:rPr>
                <w:rFonts w:ascii="仿宋" w:hAnsi="仿宋" w:eastAsia="仿宋"/>
                <w:kern w:val="0"/>
                <w:szCs w:val="21"/>
              </w:rPr>
            </w:pPr>
            <w:r>
              <w:rPr>
                <w:rFonts w:ascii="仿宋" w:hAnsi="仿宋" w:eastAsia="仿宋"/>
                <w:kern w:val="0"/>
                <w:szCs w:val="21"/>
              </w:rPr>
              <w:t>2</w:t>
            </w:r>
          </w:p>
        </w:tc>
        <w:tc>
          <w:tcPr>
            <w:tcW w:w="395" w:type="pct"/>
            <w:shd w:val="clear" w:color="auto" w:fill="auto"/>
            <w:vAlign w:val="center"/>
          </w:tcPr>
          <w:p>
            <w:pPr>
              <w:widowControl/>
              <w:jc w:val="center"/>
              <w:rPr>
                <w:rFonts w:ascii="仿宋" w:hAnsi="仿宋" w:eastAsia="仿宋"/>
                <w:kern w:val="0"/>
                <w:szCs w:val="21"/>
              </w:rPr>
            </w:pPr>
            <w:r>
              <w:rPr>
                <w:rFonts w:ascii="仿宋" w:hAnsi="仿宋" w:eastAsia="仿宋"/>
                <w:kern w:val="0"/>
                <w:szCs w:val="21"/>
              </w:rPr>
              <w:t>贮存区域</w:t>
            </w:r>
          </w:p>
        </w:tc>
        <w:tc>
          <w:tcPr>
            <w:tcW w:w="843" w:type="pct"/>
            <w:shd w:val="clear" w:color="auto" w:fill="auto"/>
            <w:vAlign w:val="center"/>
          </w:tcPr>
          <w:p>
            <w:pPr>
              <w:widowControl/>
              <w:jc w:val="center"/>
              <w:rPr>
                <w:rFonts w:ascii="仿宋" w:hAnsi="仿宋" w:eastAsia="仿宋"/>
                <w:kern w:val="0"/>
                <w:szCs w:val="21"/>
              </w:rPr>
            </w:pPr>
            <w:r>
              <w:rPr>
                <w:rFonts w:hint="eastAsia" w:ascii="仿宋" w:hAnsi="仿宋" w:eastAsia="仿宋"/>
                <w:kern w:val="0"/>
                <w:szCs w:val="21"/>
              </w:rPr>
              <w:t>原料库</w:t>
            </w:r>
          </w:p>
        </w:tc>
        <w:tc>
          <w:tcPr>
            <w:tcW w:w="877" w:type="pct"/>
            <w:shd w:val="clear" w:color="auto" w:fill="auto"/>
            <w:vAlign w:val="center"/>
          </w:tcPr>
          <w:p>
            <w:pPr>
              <w:widowControl/>
              <w:jc w:val="center"/>
              <w:rPr>
                <w:rFonts w:ascii="仿宋" w:hAnsi="仿宋" w:eastAsia="仿宋"/>
                <w:kern w:val="0"/>
                <w:szCs w:val="21"/>
              </w:rPr>
            </w:pPr>
            <w:r>
              <w:rPr>
                <w:rFonts w:ascii="仿宋" w:hAnsi="仿宋" w:eastAsia="仿宋"/>
                <w:kern w:val="0"/>
                <w:szCs w:val="21"/>
              </w:rPr>
              <w:t>原料中含有的有机物</w:t>
            </w:r>
            <w:r>
              <w:rPr>
                <w:rFonts w:hint="eastAsia" w:ascii="仿宋" w:hAnsi="仿宋" w:eastAsia="仿宋"/>
                <w:kern w:val="0"/>
                <w:szCs w:val="21"/>
              </w:rPr>
              <w:t>、二甲苯等</w:t>
            </w:r>
          </w:p>
        </w:tc>
        <w:tc>
          <w:tcPr>
            <w:tcW w:w="878" w:type="pct"/>
            <w:shd w:val="clear" w:color="auto" w:fill="auto"/>
            <w:vAlign w:val="center"/>
          </w:tcPr>
          <w:p>
            <w:pPr>
              <w:widowControl/>
              <w:jc w:val="center"/>
              <w:rPr>
                <w:rFonts w:ascii="仿宋" w:hAnsi="仿宋" w:eastAsia="仿宋"/>
                <w:kern w:val="0"/>
                <w:szCs w:val="21"/>
              </w:rPr>
            </w:pPr>
            <w:r>
              <w:rPr>
                <w:rFonts w:ascii="仿宋" w:hAnsi="仿宋" w:eastAsia="仿宋"/>
                <w:kern w:val="0"/>
                <w:szCs w:val="21"/>
              </w:rPr>
              <w:t>泄漏、火灾、爆炸</w:t>
            </w:r>
          </w:p>
        </w:tc>
        <w:tc>
          <w:tcPr>
            <w:tcW w:w="877" w:type="pct"/>
            <w:shd w:val="clear" w:color="auto" w:fill="auto"/>
            <w:vAlign w:val="center"/>
          </w:tcPr>
          <w:p>
            <w:pPr>
              <w:widowControl/>
              <w:jc w:val="center"/>
              <w:rPr>
                <w:rFonts w:ascii="仿宋" w:hAnsi="仿宋" w:eastAsia="仿宋"/>
                <w:kern w:val="0"/>
                <w:szCs w:val="21"/>
              </w:rPr>
            </w:pPr>
            <w:r>
              <w:rPr>
                <w:rFonts w:ascii="仿宋" w:hAnsi="仿宋" w:eastAsia="仿宋"/>
                <w:kern w:val="0"/>
                <w:szCs w:val="21"/>
              </w:rPr>
              <w:t>大气、土壤、地表水与地下水</w:t>
            </w:r>
          </w:p>
        </w:tc>
        <w:tc>
          <w:tcPr>
            <w:tcW w:w="873" w:type="pct"/>
            <w:shd w:val="clear" w:color="auto" w:fill="auto"/>
            <w:vAlign w:val="center"/>
          </w:tcPr>
          <w:p>
            <w:pPr>
              <w:widowControl/>
              <w:jc w:val="center"/>
              <w:rPr>
                <w:rFonts w:ascii="仿宋" w:hAnsi="仿宋" w:eastAsia="仿宋"/>
                <w:kern w:val="0"/>
                <w:szCs w:val="21"/>
              </w:rPr>
            </w:pPr>
            <w:r>
              <w:rPr>
                <w:rFonts w:ascii="仿宋" w:hAnsi="仿宋" w:eastAsia="仿宋"/>
                <w:kern w:val="0"/>
                <w:szCs w:val="21"/>
              </w:rPr>
              <w:t>周边居住区及河流，周边分散式水井</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9" w:hRule="atLeast"/>
          <w:jc w:val="center"/>
        </w:trPr>
        <w:tc>
          <w:tcPr>
            <w:tcW w:w="257" w:type="pct"/>
            <w:vMerge w:val="restart"/>
            <w:shd w:val="clear" w:color="auto" w:fill="auto"/>
            <w:vAlign w:val="center"/>
          </w:tcPr>
          <w:p>
            <w:pPr>
              <w:widowControl/>
              <w:jc w:val="center"/>
              <w:rPr>
                <w:rFonts w:ascii="仿宋" w:hAnsi="仿宋" w:eastAsia="仿宋"/>
                <w:kern w:val="0"/>
                <w:szCs w:val="21"/>
              </w:rPr>
            </w:pPr>
            <w:r>
              <w:rPr>
                <w:rFonts w:ascii="仿宋" w:hAnsi="仿宋" w:eastAsia="仿宋"/>
                <w:kern w:val="0"/>
                <w:szCs w:val="21"/>
              </w:rPr>
              <w:t>3</w:t>
            </w:r>
          </w:p>
        </w:tc>
        <w:tc>
          <w:tcPr>
            <w:tcW w:w="395" w:type="pct"/>
            <w:vMerge w:val="restart"/>
            <w:shd w:val="clear" w:color="auto" w:fill="auto"/>
            <w:vAlign w:val="center"/>
          </w:tcPr>
          <w:p>
            <w:pPr>
              <w:widowControl/>
              <w:jc w:val="center"/>
              <w:rPr>
                <w:rFonts w:ascii="仿宋" w:hAnsi="仿宋" w:eastAsia="仿宋"/>
                <w:kern w:val="0"/>
                <w:szCs w:val="21"/>
              </w:rPr>
            </w:pPr>
            <w:r>
              <w:rPr>
                <w:rFonts w:ascii="仿宋" w:hAnsi="仿宋" w:eastAsia="仿宋"/>
                <w:kern w:val="0"/>
                <w:szCs w:val="21"/>
              </w:rPr>
              <w:t>环保设施</w:t>
            </w:r>
          </w:p>
        </w:tc>
        <w:tc>
          <w:tcPr>
            <w:tcW w:w="843" w:type="pct"/>
            <w:shd w:val="clear" w:color="auto" w:fill="auto"/>
            <w:vAlign w:val="center"/>
          </w:tcPr>
          <w:p>
            <w:pPr>
              <w:widowControl/>
              <w:jc w:val="center"/>
              <w:rPr>
                <w:rFonts w:ascii="仿宋" w:hAnsi="仿宋" w:eastAsia="仿宋"/>
                <w:kern w:val="0"/>
                <w:szCs w:val="21"/>
              </w:rPr>
            </w:pPr>
            <w:r>
              <w:rPr>
                <w:rFonts w:ascii="仿宋" w:hAnsi="仿宋" w:eastAsia="仿宋"/>
                <w:kern w:val="0"/>
                <w:szCs w:val="21"/>
              </w:rPr>
              <w:t>废气处理设施</w:t>
            </w:r>
          </w:p>
        </w:tc>
        <w:tc>
          <w:tcPr>
            <w:tcW w:w="877" w:type="pct"/>
            <w:shd w:val="clear" w:color="auto" w:fill="auto"/>
            <w:vAlign w:val="center"/>
          </w:tcPr>
          <w:p>
            <w:pPr>
              <w:widowControl/>
              <w:jc w:val="center"/>
              <w:rPr>
                <w:rFonts w:ascii="仿宋" w:hAnsi="仿宋" w:eastAsia="仿宋"/>
                <w:kern w:val="0"/>
                <w:szCs w:val="21"/>
              </w:rPr>
            </w:pPr>
            <w:r>
              <w:rPr>
                <w:rFonts w:ascii="仿宋" w:hAnsi="仿宋" w:eastAsia="仿宋"/>
                <w:kern w:val="0"/>
                <w:szCs w:val="21"/>
              </w:rPr>
              <w:t>非甲烷总烃</w:t>
            </w:r>
          </w:p>
        </w:tc>
        <w:tc>
          <w:tcPr>
            <w:tcW w:w="878" w:type="pct"/>
            <w:shd w:val="clear" w:color="auto" w:fill="auto"/>
            <w:vAlign w:val="center"/>
          </w:tcPr>
          <w:p>
            <w:pPr>
              <w:widowControl/>
              <w:jc w:val="center"/>
              <w:rPr>
                <w:rFonts w:ascii="仿宋" w:hAnsi="仿宋" w:eastAsia="仿宋"/>
                <w:kern w:val="0"/>
                <w:szCs w:val="21"/>
              </w:rPr>
            </w:pPr>
            <w:r>
              <w:rPr>
                <w:rFonts w:ascii="仿宋" w:hAnsi="仿宋" w:eastAsia="仿宋"/>
                <w:kern w:val="0"/>
                <w:szCs w:val="21"/>
              </w:rPr>
              <w:t>非正常排放、火灾</w:t>
            </w:r>
          </w:p>
        </w:tc>
        <w:tc>
          <w:tcPr>
            <w:tcW w:w="877" w:type="pct"/>
            <w:shd w:val="clear" w:color="auto" w:fill="auto"/>
            <w:vAlign w:val="center"/>
          </w:tcPr>
          <w:p>
            <w:pPr>
              <w:widowControl/>
              <w:jc w:val="center"/>
              <w:rPr>
                <w:rFonts w:ascii="仿宋" w:hAnsi="仿宋" w:eastAsia="仿宋"/>
                <w:kern w:val="0"/>
                <w:szCs w:val="21"/>
              </w:rPr>
            </w:pPr>
            <w:r>
              <w:rPr>
                <w:rFonts w:ascii="仿宋" w:hAnsi="仿宋" w:eastAsia="仿宋"/>
                <w:kern w:val="0"/>
                <w:szCs w:val="21"/>
              </w:rPr>
              <w:t>大气</w:t>
            </w:r>
          </w:p>
        </w:tc>
        <w:tc>
          <w:tcPr>
            <w:tcW w:w="873" w:type="pct"/>
            <w:shd w:val="clear" w:color="auto" w:fill="auto"/>
            <w:vAlign w:val="center"/>
          </w:tcPr>
          <w:p>
            <w:pPr>
              <w:widowControl/>
              <w:jc w:val="center"/>
              <w:rPr>
                <w:rFonts w:ascii="仿宋" w:hAnsi="仿宋" w:eastAsia="仿宋"/>
                <w:kern w:val="0"/>
                <w:szCs w:val="21"/>
              </w:rPr>
            </w:pPr>
            <w:r>
              <w:rPr>
                <w:rFonts w:ascii="仿宋" w:hAnsi="仿宋" w:eastAsia="仿宋"/>
                <w:kern w:val="0"/>
                <w:szCs w:val="21"/>
              </w:rPr>
              <w:t>周边居住区及村庄</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54" w:hRule="atLeast"/>
          <w:jc w:val="center"/>
        </w:trPr>
        <w:tc>
          <w:tcPr>
            <w:tcW w:w="257" w:type="pct"/>
            <w:vMerge w:val="continue"/>
            <w:shd w:val="clear" w:color="auto" w:fill="auto"/>
            <w:vAlign w:val="center"/>
          </w:tcPr>
          <w:p>
            <w:pPr>
              <w:widowControl/>
              <w:jc w:val="center"/>
              <w:rPr>
                <w:rFonts w:ascii="仿宋" w:hAnsi="仿宋" w:eastAsia="仿宋"/>
                <w:kern w:val="0"/>
                <w:szCs w:val="21"/>
              </w:rPr>
            </w:pPr>
          </w:p>
        </w:tc>
        <w:tc>
          <w:tcPr>
            <w:tcW w:w="395" w:type="pct"/>
            <w:vMerge w:val="continue"/>
            <w:shd w:val="clear" w:color="auto" w:fill="auto"/>
            <w:vAlign w:val="center"/>
          </w:tcPr>
          <w:p>
            <w:pPr>
              <w:widowControl/>
              <w:jc w:val="center"/>
              <w:rPr>
                <w:rFonts w:ascii="仿宋" w:hAnsi="仿宋" w:eastAsia="仿宋"/>
                <w:kern w:val="0"/>
                <w:szCs w:val="21"/>
              </w:rPr>
            </w:pPr>
          </w:p>
        </w:tc>
        <w:tc>
          <w:tcPr>
            <w:tcW w:w="843" w:type="pct"/>
            <w:shd w:val="clear" w:color="auto" w:fill="auto"/>
            <w:vAlign w:val="center"/>
          </w:tcPr>
          <w:p>
            <w:pPr>
              <w:widowControl/>
              <w:jc w:val="center"/>
              <w:rPr>
                <w:rFonts w:ascii="仿宋" w:hAnsi="仿宋" w:eastAsia="仿宋"/>
                <w:kern w:val="0"/>
                <w:szCs w:val="21"/>
              </w:rPr>
            </w:pPr>
            <w:r>
              <w:rPr>
                <w:rFonts w:ascii="仿宋" w:hAnsi="仿宋" w:eastAsia="仿宋"/>
                <w:kern w:val="0"/>
                <w:szCs w:val="21"/>
              </w:rPr>
              <w:t>污水管线</w:t>
            </w:r>
          </w:p>
        </w:tc>
        <w:tc>
          <w:tcPr>
            <w:tcW w:w="877" w:type="pct"/>
            <w:shd w:val="clear" w:color="auto" w:fill="auto"/>
            <w:vAlign w:val="center"/>
          </w:tcPr>
          <w:p>
            <w:pPr>
              <w:widowControl/>
              <w:jc w:val="center"/>
              <w:rPr>
                <w:rFonts w:ascii="仿宋" w:hAnsi="仿宋" w:eastAsia="仿宋"/>
                <w:kern w:val="0"/>
                <w:szCs w:val="21"/>
              </w:rPr>
            </w:pPr>
            <w:r>
              <w:rPr>
                <w:rFonts w:ascii="仿宋" w:hAnsi="仿宋" w:eastAsia="仿宋"/>
                <w:kern w:val="0"/>
                <w:szCs w:val="21"/>
              </w:rPr>
              <w:t>COD、SS、NH</w:t>
            </w:r>
            <w:r>
              <w:rPr>
                <w:rFonts w:ascii="仿宋" w:hAnsi="仿宋" w:eastAsia="仿宋"/>
                <w:kern w:val="0"/>
                <w:szCs w:val="21"/>
                <w:vertAlign w:val="subscript"/>
              </w:rPr>
              <w:t>3</w:t>
            </w:r>
            <w:r>
              <w:rPr>
                <w:rFonts w:ascii="仿宋" w:hAnsi="仿宋" w:eastAsia="仿宋"/>
                <w:kern w:val="0"/>
                <w:szCs w:val="21"/>
              </w:rPr>
              <w:t>-N、</w:t>
            </w:r>
            <w:r>
              <w:rPr>
                <w:rFonts w:hint="eastAsia" w:ascii="仿宋" w:hAnsi="仿宋" w:eastAsia="仿宋"/>
                <w:kern w:val="0"/>
                <w:szCs w:val="21"/>
              </w:rPr>
              <w:t>TN、</w:t>
            </w:r>
            <w:r>
              <w:rPr>
                <w:rFonts w:ascii="仿宋" w:hAnsi="仿宋" w:eastAsia="仿宋"/>
                <w:kern w:val="0"/>
                <w:szCs w:val="21"/>
              </w:rPr>
              <w:t>TP</w:t>
            </w:r>
          </w:p>
        </w:tc>
        <w:tc>
          <w:tcPr>
            <w:tcW w:w="878" w:type="pct"/>
            <w:shd w:val="clear" w:color="auto" w:fill="auto"/>
            <w:vAlign w:val="center"/>
          </w:tcPr>
          <w:p>
            <w:pPr>
              <w:widowControl/>
              <w:jc w:val="center"/>
              <w:rPr>
                <w:rFonts w:ascii="仿宋" w:hAnsi="仿宋" w:eastAsia="仿宋"/>
                <w:kern w:val="0"/>
                <w:szCs w:val="21"/>
              </w:rPr>
            </w:pPr>
            <w:r>
              <w:rPr>
                <w:rFonts w:ascii="仿宋" w:hAnsi="仿宋" w:eastAsia="仿宋"/>
                <w:kern w:val="0"/>
                <w:szCs w:val="21"/>
              </w:rPr>
              <w:t>非正常排放</w:t>
            </w:r>
          </w:p>
        </w:tc>
        <w:tc>
          <w:tcPr>
            <w:tcW w:w="877" w:type="pct"/>
            <w:shd w:val="clear" w:color="auto" w:fill="auto"/>
            <w:vAlign w:val="center"/>
          </w:tcPr>
          <w:p>
            <w:pPr>
              <w:widowControl/>
              <w:jc w:val="center"/>
              <w:rPr>
                <w:rFonts w:ascii="仿宋" w:hAnsi="仿宋" w:eastAsia="仿宋"/>
                <w:kern w:val="0"/>
                <w:szCs w:val="21"/>
              </w:rPr>
            </w:pPr>
            <w:r>
              <w:rPr>
                <w:rFonts w:ascii="仿宋" w:hAnsi="仿宋" w:eastAsia="仿宋"/>
                <w:kern w:val="0"/>
                <w:szCs w:val="21"/>
              </w:rPr>
              <w:t>地表水、地下水</w:t>
            </w:r>
          </w:p>
        </w:tc>
        <w:tc>
          <w:tcPr>
            <w:tcW w:w="873" w:type="pct"/>
            <w:shd w:val="clear" w:color="auto" w:fill="auto"/>
            <w:vAlign w:val="center"/>
          </w:tcPr>
          <w:p>
            <w:pPr>
              <w:widowControl/>
              <w:jc w:val="center"/>
              <w:rPr>
                <w:rFonts w:ascii="仿宋" w:hAnsi="仿宋" w:eastAsia="仿宋"/>
                <w:kern w:val="0"/>
                <w:szCs w:val="21"/>
              </w:rPr>
            </w:pPr>
            <w:r>
              <w:rPr>
                <w:rFonts w:ascii="仿宋" w:hAnsi="仿宋" w:eastAsia="仿宋"/>
                <w:kern w:val="0"/>
                <w:szCs w:val="21"/>
              </w:rPr>
              <w:t>周边居住区及周边分散式水井</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38" w:hRule="atLeast"/>
          <w:jc w:val="center"/>
        </w:trPr>
        <w:tc>
          <w:tcPr>
            <w:tcW w:w="257" w:type="pct"/>
            <w:vMerge w:val="continue"/>
            <w:shd w:val="clear" w:color="auto" w:fill="auto"/>
            <w:vAlign w:val="center"/>
          </w:tcPr>
          <w:p>
            <w:pPr>
              <w:widowControl/>
              <w:jc w:val="center"/>
              <w:rPr>
                <w:rFonts w:ascii="仿宋" w:hAnsi="仿宋" w:eastAsia="仿宋"/>
                <w:kern w:val="0"/>
                <w:szCs w:val="21"/>
              </w:rPr>
            </w:pPr>
          </w:p>
        </w:tc>
        <w:tc>
          <w:tcPr>
            <w:tcW w:w="395" w:type="pct"/>
            <w:vMerge w:val="continue"/>
            <w:shd w:val="clear" w:color="auto" w:fill="auto"/>
            <w:vAlign w:val="center"/>
          </w:tcPr>
          <w:p>
            <w:pPr>
              <w:widowControl/>
              <w:jc w:val="center"/>
              <w:rPr>
                <w:rFonts w:ascii="仿宋" w:hAnsi="仿宋" w:eastAsia="仿宋"/>
                <w:kern w:val="0"/>
                <w:szCs w:val="21"/>
              </w:rPr>
            </w:pPr>
          </w:p>
        </w:tc>
        <w:tc>
          <w:tcPr>
            <w:tcW w:w="843" w:type="pct"/>
            <w:shd w:val="clear" w:color="auto" w:fill="auto"/>
            <w:vAlign w:val="center"/>
          </w:tcPr>
          <w:p>
            <w:pPr>
              <w:widowControl/>
              <w:jc w:val="center"/>
              <w:rPr>
                <w:rFonts w:ascii="仿宋" w:hAnsi="仿宋" w:eastAsia="仿宋"/>
                <w:kern w:val="0"/>
                <w:szCs w:val="21"/>
              </w:rPr>
            </w:pPr>
            <w:r>
              <w:rPr>
                <w:rFonts w:ascii="仿宋" w:hAnsi="仿宋" w:eastAsia="仿宋"/>
                <w:kern w:val="0"/>
                <w:szCs w:val="21"/>
              </w:rPr>
              <w:t>危废仓库</w:t>
            </w:r>
          </w:p>
        </w:tc>
        <w:tc>
          <w:tcPr>
            <w:tcW w:w="877" w:type="pct"/>
            <w:shd w:val="clear" w:color="auto" w:fill="auto"/>
            <w:vAlign w:val="center"/>
          </w:tcPr>
          <w:p>
            <w:pPr>
              <w:widowControl/>
              <w:jc w:val="center"/>
              <w:rPr>
                <w:rFonts w:ascii="仿宋" w:hAnsi="仿宋" w:eastAsia="仿宋"/>
                <w:kern w:val="0"/>
                <w:szCs w:val="21"/>
              </w:rPr>
            </w:pPr>
            <w:r>
              <w:rPr>
                <w:rFonts w:ascii="仿宋" w:hAnsi="仿宋" w:eastAsia="仿宋"/>
                <w:kern w:val="0"/>
                <w:szCs w:val="21"/>
              </w:rPr>
              <w:t>危险废物</w:t>
            </w:r>
          </w:p>
        </w:tc>
        <w:tc>
          <w:tcPr>
            <w:tcW w:w="878" w:type="pct"/>
            <w:shd w:val="clear" w:color="auto" w:fill="auto"/>
            <w:vAlign w:val="center"/>
          </w:tcPr>
          <w:p>
            <w:pPr>
              <w:widowControl/>
              <w:jc w:val="center"/>
              <w:rPr>
                <w:rFonts w:ascii="仿宋" w:hAnsi="仿宋" w:eastAsia="仿宋"/>
                <w:kern w:val="0"/>
                <w:szCs w:val="21"/>
              </w:rPr>
            </w:pPr>
            <w:r>
              <w:rPr>
                <w:rFonts w:ascii="仿宋" w:hAnsi="仿宋" w:eastAsia="仿宋"/>
                <w:kern w:val="0"/>
                <w:szCs w:val="21"/>
              </w:rPr>
              <w:t>渗漏、污染土壤与地下水</w:t>
            </w:r>
          </w:p>
        </w:tc>
        <w:tc>
          <w:tcPr>
            <w:tcW w:w="877" w:type="pct"/>
            <w:shd w:val="clear" w:color="auto" w:fill="auto"/>
            <w:vAlign w:val="center"/>
          </w:tcPr>
          <w:p>
            <w:pPr>
              <w:widowControl/>
              <w:jc w:val="center"/>
              <w:rPr>
                <w:rFonts w:ascii="仿宋" w:hAnsi="仿宋" w:eastAsia="仿宋"/>
                <w:kern w:val="0"/>
                <w:szCs w:val="21"/>
              </w:rPr>
            </w:pPr>
            <w:r>
              <w:rPr>
                <w:rFonts w:ascii="仿宋" w:hAnsi="仿宋" w:eastAsia="仿宋"/>
                <w:kern w:val="0"/>
                <w:szCs w:val="21"/>
              </w:rPr>
              <w:t>土壤、地下水</w:t>
            </w:r>
          </w:p>
        </w:tc>
        <w:tc>
          <w:tcPr>
            <w:tcW w:w="873" w:type="pct"/>
            <w:shd w:val="clear" w:color="auto" w:fill="auto"/>
            <w:vAlign w:val="center"/>
          </w:tcPr>
          <w:p>
            <w:pPr>
              <w:widowControl/>
              <w:jc w:val="center"/>
              <w:rPr>
                <w:rFonts w:ascii="仿宋" w:hAnsi="仿宋" w:eastAsia="仿宋"/>
                <w:kern w:val="0"/>
                <w:szCs w:val="21"/>
              </w:rPr>
            </w:pPr>
            <w:r>
              <w:rPr>
                <w:rFonts w:ascii="仿宋" w:hAnsi="仿宋" w:eastAsia="仿宋"/>
                <w:kern w:val="0"/>
                <w:szCs w:val="21"/>
              </w:rPr>
              <w:t>周边居住区及周边分散式水井</w:t>
            </w:r>
          </w:p>
        </w:tc>
      </w:tr>
    </w:tbl>
    <w:p>
      <w:pPr>
        <w:spacing w:line="500" w:lineRule="exact"/>
        <w:rPr>
          <w:rFonts w:eastAsia="仿宋_GB2312"/>
        </w:rPr>
      </w:pPr>
      <w:r>
        <w:rPr>
          <w:rFonts w:eastAsia="仿宋_GB2312"/>
        </w:rPr>
        <w:br w:type="page"/>
      </w:r>
    </w:p>
    <w:bookmarkEnd w:id="243"/>
    <w:bookmarkEnd w:id="244"/>
    <w:p>
      <w:pPr>
        <w:pStyle w:val="3"/>
        <w:spacing w:before="120" w:after="120"/>
      </w:pPr>
      <w:bookmarkStart w:id="247" w:name="_Toc140565264"/>
      <w:bookmarkStart w:id="248" w:name="_Ref381089222"/>
      <w:r>
        <w:t>建设项目污染源强及排放情况</w:t>
      </w:r>
      <w:bookmarkEnd w:id="247"/>
    </w:p>
    <w:p>
      <w:pPr>
        <w:pStyle w:val="4"/>
        <w:keepLines w:val="0"/>
        <w:numPr>
          <w:ilvl w:val="2"/>
          <w:numId w:val="1"/>
        </w:numPr>
        <w:tabs>
          <w:tab w:val="left" w:pos="709"/>
        </w:tabs>
        <w:spacing w:before="120" w:beforeLines="50" w:after="120" w:afterLines="50" w:line="500" w:lineRule="exact"/>
        <w:ind w:left="452" w:hanging="452" w:hangingChars="150"/>
        <w:rPr>
          <w:rFonts w:eastAsia="仿宋_GB2312"/>
          <w:sz w:val="30"/>
          <w:szCs w:val="30"/>
        </w:rPr>
      </w:pPr>
      <w:r>
        <w:rPr>
          <w:rFonts w:eastAsia="仿宋_GB2312"/>
          <w:sz w:val="30"/>
          <w:szCs w:val="30"/>
        </w:rPr>
        <w:t>废水污染物源强及排放情况</w:t>
      </w:r>
    </w:p>
    <w:p>
      <w:pPr>
        <w:spacing w:line="500" w:lineRule="exact"/>
        <w:ind w:firstLine="560" w:firstLineChars="200"/>
        <w:rPr>
          <w:rFonts w:eastAsia="仿宋_GB2312"/>
          <w:bCs/>
          <w:sz w:val="28"/>
          <w:szCs w:val="28"/>
        </w:rPr>
      </w:pPr>
      <w:r>
        <w:rPr>
          <w:rFonts w:eastAsia="仿宋_GB2312"/>
          <w:bCs/>
          <w:sz w:val="28"/>
          <w:szCs w:val="28"/>
        </w:rPr>
        <w:t>本项目建成后全厂水污染物源强及排放状况见表3.</w:t>
      </w:r>
      <w:r>
        <w:rPr>
          <w:rFonts w:hint="eastAsia" w:eastAsia="仿宋_GB2312"/>
          <w:bCs/>
          <w:sz w:val="28"/>
          <w:szCs w:val="28"/>
        </w:rPr>
        <w:t>3</w:t>
      </w:r>
      <w:r>
        <w:rPr>
          <w:rFonts w:eastAsia="仿宋_GB2312"/>
          <w:bCs/>
          <w:sz w:val="28"/>
          <w:szCs w:val="28"/>
        </w:rPr>
        <w:t>-1。</w:t>
      </w:r>
    </w:p>
    <w:p>
      <w:pPr>
        <w:spacing w:line="500" w:lineRule="exact"/>
        <w:ind w:firstLine="482" w:firstLineChars="200"/>
        <w:jc w:val="center"/>
        <w:rPr>
          <w:rFonts w:eastAsia="仿宋_GB2312"/>
          <w:b/>
          <w:bCs/>
          <w:sz w:val="24"/>
        </w:rPr>
      </w:pPr>
      <w:r>
        <w:rPr>
          <w:rFonts w:eastAsia="仿宋_GB2312"/>
          <w:b/>
          <w:bCs/>
          <w:sz w:val="24"/>
        </w:rPr>
        <w:t>表3.</w:t>
      </w:r>
      <w:r>
        <w:rPr>
          <w:rFonts w:hint="eastAsia" w:eastAsia="仿宋_GB2312"/>
          <w:b/>
          <w:bCs/>
          <w:sz w:val="24"/>
        </w:rPr>
        <w:t>3</w:t>
      </w:r>
      <w:r>
        <w:rPr>
          <w:rFonts w:eastAsia="仿宋_GB2312"/>
          <w:b/>
          <w:bCs/>
          <w:sz w:val="24"/>
        </w:rPr>
        <w:t>-1   本项目建成后水污染物源强汇总表</w:t>
      </w:r>
    </w:p>
    <w:tbl>
      <w:tblPr>
        <w:tblStyle w:val="87"/>
        <w:tblW w:w="9970" w:type="dxa"/>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709"/>
        <w:gridCol w:w="785"/>
        <w:gridCol w:w="868"/>
        <w:gridCol w:w="805"/>
        <w:gridCol w:w="859"/>
        <w:gridCol w:w="1138"/>
        <w:gridCol w:w="884"/>
        <w:gridCol w:w="708"/>
        <w:gridCol w:w="906"/>
        <w:gridCol w:w="578"/>
        <w:gridCol w:w="1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710" w:type="dxa"/>
            <w:vMerge w:val="restart"/>
            <w:shd w:val="clear" w:color="auto" w:fill="auto"/>
            <w:vAlign w:val="center"/>
          </w:tcPr>
          <w:p>
            <w:pPr>
              <w:widowControl/>
              <w:jc w:val="center"/>
              <w:rPr>
                <w:rFonts w:ascii="仿宋" w:hAnsi="仿宋" w:eastAsia="仿宋"/>
                <w:kern w:val="0"/>
                <w:szCs w:val="21"/>
              </w:rPr>
            </w:pPr>
            <w:r>
              <w:rPr>
                <w:rFonts w:ascii="仿宋" w:hAnsi="仿宋" w:eastAsia="仿宋"/>
                <w:kern w:val="0"/>
                <w:szCs w:val="21"/>
              </w:rPr>
              <w:t>废水</w:t>
            </w:r>
          </w:p>
          <w:p>
            <w:pPr>
              <w:widowControl/>
              <w:jc w:val="center"/>
              <w:rPr>
                <w:rFonts w:ascii="仿宋" w:hAnsi="仿宋" w:eastAsia="仿宋"/>
                <w:kern w:val="0"/>
                <w:szCs w:val="21"/>
              </w:rPr>
            </w:pPr>
            <w:r>
              <w:rPr>
                <w:rFonts w:ascii="仿宋" w:hAnsi="仿宋" w:eastAsia="仿宋"/>
                <w:kern w:val="0"/>
                <w:szCs w:val="21"/>
              </w:rPr>
              <w:t>来源</w:t>
            </w:r>
          </w:p>
        </w:tc>
        <w:tc>
          <w:tcPr>
            <w:tcW w:w="709" w:type="dxa"/>
            <w:vMerge w:val="restart"/>
            <w:shd w:val="clear" w:color="auto" w:fill="auto"/>
            <w:vAlign w:val="center"/>
          </w:tcPr>
          <w:p>
            <w:pPr>
              <w:jc w:val="center"/>
              <w:rPr>
                <w:rFonts w:ascii="仿宋" w:hAnsi="仿宋" w:eastAsia="仿宋"/>
                <w:kern w:val="0"/>
                <w:szCs w:val="21"/>
              </w:rPr>
            </w:pPr>
            <w:r>
              <w:rPr>
                <w:rFonts w:ascii="仿宋" w:hAnsi="仿宋" w:eastAsia="仿宋"/>
                <w:kern w:val="0"/>
                <w:szCs w:val="21"/>
              </w:rPr>
              <w:t>类别</w:t>
            </w:r>
          </w:p>
        </w:tc>
        <w:tc>
          <w:tcPr>
            <w:tcW w:w="785" w:type="dxa"/>
            <w:vMerge w:val="restart"/>
            <w:shd w:val="clear" w:color="auto" w:fill="auto"/>
            <w:vAlign w:val="center"/>
          </w:tcPr>
          <w:p>
            <w:pPr>
              <w:widowControl/>
              <w:jc w:val="center"/>
              <w:rPr>
                <w:rFonts w:ascii="仿宋" w:hAnsi="仿宋" w:eastAsia="仿宋"/>
                <w:kern w:val="0"/>
                <w:szCs w:val="21"/>
              </w:rPr>
            </w:pPr>
            <w:r>
              <w:rPr>
                <w:rFonts w:ascii="仿宋" w:hAnsi="仿宋" w:eastAsia="仿宋"/>
                <w:kern w:val="0"/>
                <w:szCs w:val="21"/>
              </w:rPr>
              <w:t>废水量</w:t>
            </w:r>
          </w:p>
          <w:p>
            <w:pPr>
              <w:jc w:val="center"/>
              <w:rPr>
                <w:rFonts w:ascii="仿宋" w:hAnsi="仿宋" w:eastAsia="仿宋"/>
                <w:kern w:val="0"/>
                <w:szCs w:val="21"/>
              </w:rPr>
            </w:pPr>
            <w:r>
              <w:rPr>
                <w:rFonts w:ascii="仿宋" w:hAnsi="仿宋" w:eastAsia="仿宋"/>
                <w:kern w:val="0"/>
                <w:szCs w:val="21"/>
              </w:rPr>
              <w:t>(m</w:t>
            </w:r>
            <w:r>
              <w:rPr>
                <w:rFonts w:ascii="仿宋" w:hAnsi="仿宋" w:eastAsia="仿宋"/>
                <w:kern w:val="0"/>
                <w:szCs w:val="21"/>
                <w:vertAlign w:val="superscript"/>
              </w:rPr>
              <w:t>3</w:t>
            </w:r>
            <w:r>
              <w:rPr>
                <w:rFonts w:ascii="仿宋" w:hAnsi="仿宋" w:eastAsia="仿宋"/>
                <w:kern w:val="0"/>
                <w:szCs w:val="21"/>
              </w:rPr>
              <w:t>/a)</w:t>
            </w:r>
          </w:p>
        </w:tc>
        <w:tc>
          <w:tcPr>
            <w:tcW w:w="2532" w:type="dxa"/>
            <w:gridSpan w:val="3"/>
            <w:shd w:val="clear" w:color="auto" w:fill="auto"/>
            <w:vAlign w:val="center"/>
          </w:tcPr>
          <w:p>
            <w:pPr>
              <w:jc w:val="center"/>
              <w:rPr>
                <w:rFonts w:ascii="仿宋" w:hAnsi="仿宋" w:eastAsia="仿宋"/>
                <w:kern w:val="0"/>
                <w:szCs w:val="21"/>
              </w:rPr>
            </w:pPr>
            <w:r>
              <w:rPr>
                <w:rFonts w:hint="eastAsia" w:ascii="仿宋" w:hAnsi="仿宋" w:eastAsia="仿宋"/>
                <w:kern w:val="0"/>
                <w:szCs w:val="21"/>
              </w:rPr>
              <w:t>污染物</w:t>
            </w:r>
            <w:r>
              <w:rPr>
                <w:rFonts w:ascii="仿宋" w:hAnsi="仿宋" w:eastAsia="仿宋"/>
                <w:kern w:val="0"/>
                <w:szCs w:val="21"/>
              </w:rPr>
              <w:t>产生量</w:t>
            </w:r>
          </w:p>
        </w:tc>
        <w:tc>
          <w:tcPr>
            <w:tcW w:w="1138" w:type="dxa"/>
            <w:vMerge w:val="restart"/>
            <w:shd w:val="clear" w:color="auto" w:fill="auto"/>
            <w:vAlign w:val="center"/>
          </w:tcPr>
          <w:p>
            <w:pPr>
              <w:widowControl/>
              <w:jc w:val="center"/>
              <w:rPr>
                <w:rFonts w:ascii="仿宋" w:hAnsi="仿宋" w:eastAsia="仿宋"/>
                <w:kern w:val="0"/>
                <w:szCs w:val="21"/>
              </w:rPr>
            </w:pPr>
            <w:r>
              <w:rPr>
                <w:rFonts w:ascii="仿宋" w:hAnsi="仿宋" w:eastAsia="仿宋"/>
                <w:kern w:val="0"/>
                <w:szCs w:val="21"/>
              </w:rPr>
              <w:t>拟采取的防治措施</w:t>
            </w:r>
          </w:p>
        </w:tc>
        <w:tc>
          <w:tcPr>
            <w:tcW w:w="2498" w:type="dxa"/>
            <w:gridSpan w:val="3"/>
            <w:vAlign w:val="center"/>
          </w:tcPr>
          <w:p>
            <w:pPr>
              <w:widowControl/>
              <w:jc w:val="center"/>
              <w:rPr>
                <w:rFonts w:ascii="仿宋" w:hAnsi="仿宋" w:eastAsia="仿宋"/>
                <w:kern w:val="0"/>
                <w:szCs w:val="21"/>
              </w:rPr>
            </w:pPr>
            <w:r>
              <w:rPr>
                <w:rFonts w:hint="eastAsia" w:ascii="仿宋" w:hAnsi="仿宋" w:eastAsia="仿宋"/>
                <w:kern w:val="0"/>
                <w:szCs w:val="21"/>
              </w:rPr>
              <w:t>污染物排放</w:t>
            </w:r>
            <w:r>
              <w:rPr>
                <w:rFonts w:ascii="仿宋" w:hAnsi="仿宋" w:eastAsia="仿宋"/>
                <w:kern w:val="0"/>
                <w:szCs w:val="21"/>
              </w:rPr>
              <w:t>量</w:t>
            </w:r>
          </w:p>
        </w:tc>
        <w:tc>
          <w:tcPr>
            <w:tcW w:w="578" w:type="dxa"/>
            <w:vMerge w:val="restart"/>
            <w:vAlign w:val="center"/>
          </w:tcPr>
          <w:p>
            <w:pPr>
              <w:widowControl/>
              <w:jc w:val="center"/>
              <w:rPr>
                <w:rFonts w:ascii="仿宋" w:hAnsi="仿宋" w:eastAsia="仿宋"/>
                <w:kern w:val="0"/>
                <w:szCs w:val="21"/>
              </w:rPr>
            </w:pPr>
            <w:r>
              <w:rPr>
                <w:rFonts w:hint="eastAsia" w:ascii="仿宋" w:hAnsi="仿宋" w:eastAsia="仿宋"/>
                <w:kern w:val="0"/>
                <w:szCs w:val="21"/>
              </w:rPr>
              <w:t>排放</w:t>
            </w:r>
            <w:r>
              <w:rPr>
                <w:rFonts w:ascii="仿宋" w:hAnsi="仿宋" w:eastAsia="仿宋"/>
                <w:kern w:val="0"/>
                <w:szCs w:val="21"/>
              </w:rPr>
              <w:t>标准</w:t>
            </w:r>
          </w:p>
        </w:tc>
        <w:tc>
          <w:tcPr>
            <w:tcW w:w="1020" w:type="dxa"/>
            <w:vMerge w:val="restart"/>
            <w:vAlign w:val="center"/>
          </w:tcPr>
          <w:p>
            <w:pPr>
              <w:widowControl/>
              <w:jc w:val="center"/>
              <w:rPr>
                <w:rFonts w:ascii="仿宋" w:hAnsi="仿宋" w:eastAsia="仿宋"/>
                <w:kern w:val="0"/>
                <w:szCs w:val="21"/>
              </w:rPr>
            </w:pPr>
            <w:r>
              <w:rPr>
                <w:rFonts w:hint="eastAsia" w:ascii="仿宋" w:hAnsi="仿宋" w:eastAsia="仿宋"/>
                <w:kern w:val="0"/>
                <w:szCs w:val="21"/>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710" w:type="dxa"/>
            <w:vMerge w:val="continue"/>
            <w:shd w:val="clear" w:color="auto" w:fill="auto"/>
            <w:vAlign w:val="center"/>
          </w:tcPr>
          <w:p>
            <w:pPr>
              <w:widowControl/>
              <w:jc w:val="center"/>
              <w:rPr>
                <w:rFonts w:ascii="仿宋" w:hAnsi="仿宋" w:eastAsia="仿宋"/>
                <w:kern w:val="0"/>
                <w:szCs w:val="21"/>
              </w:rPr>
            </w:pPr>
          </w:p>
        </w:tc>
        <w:tc>
          <w:tcPr>
            <w:tcW w:w="709" w:type="dxa"/>
            <w:vMerge w:val="continue"/>
            <w:shd w:val="clear" w:color="auto" w:fill="auto"/>
            <w:vAlign w:val="center"/>
          </w:tcPr>
          <w:p>
            <w:pPr>
              <w:jc w:val="center"/>
              <w:rPr>
                <w:rFonts w:ascii="仿宋" w:hAnsi="仿宋" w:eastAsia="仿宋"/>
                <w:kern w:val="0"/>
                <w:szCs w:val="21"/>
              </w:rPr>
            </w:pPr>
          </w:p>
        </w:tc>
        <w:tc>
          <w:tcPr>
            <w:tcW w:w="785" w:type="dxa"/>
            <w:vMerge w:val="continue"/>
            <w:shd w:val="clear" w:color="auto" w:fill="auto"/>
            <w:vAlign w:val="center"/>
          </w:tcPr>
          <w:p>
            <w:pPr>
              <w:widowControl/>
              <w:jc w:val="center"/>
              <w:rPr>
                <w:rFonts w:ascii="仿宋" w:hAnsi="仿宋" w:eastAsia="仿宋"/>
                <w:kern w:val="0"/>
                <w:szCs w:val="21"/>
              </w:rPr>
            </w:pPr>
          </w:p>
        </w:tc>
        <w:tc>
          <w:tcPr>
            <w:tcW w:w="868" w:type="dxa"/>
            <w:shd w:val="clear" w:color="auto" w:fill="auto"/>
            <w:vAlign w:val="center"/>
          </w:tcPr>
          <w:p>
            <w:pPr>
              <w:widowControl/>
              <w:jc w:val="center"/>
              <w:rPr>
                <w:rFonts w:ascii="仿宋" w:hAnsi="仿宋" w:eastAsia="仿宋"/>
                <w:kern w:val="0"/>
                <w:szCs w:val="21"/>
              </w:rPr>
            </w:pPr>
            <w:r>
              <w:rPr>
                <w:rFonts w:ascii="仿宋" w:hAnsi="仿宋" w:eastAsia="仿宋"/>
                <w:kern w:val="0"/>
                <w:szCs w:val="21"/>
              </w:rPr>
              <w:t>污染物名称</w:t>
            </w:r>
          </w:p>
        </w:tc>
        <w:tc>
          <w:tcPr>
            <w:tcW w:w="805" w:type="dxa"/>
            <w:shd w:val="clear" w:color="auto" w:fill="auto"/>
            <w:vAlign w:val="center"/>
          </w:tcPr>
          <w:p>
            <w:pPr>
              <w:widowControl/>
              <w:jc w:val="center"/>
              <w:rPr>
                <w:rFonts w:ascii="仿宋" w:hAnsi="仿宋" w:eastAsia="仿宋"/>
                <w:kern w:val="0"/>
                <w:szCs w:val="21"/>
              </w:rPr>
            </w:pPr>
            <w:r>
              <w:rPr>
                <w:rFonts w:ascii="仿宋" w:hAnsi="仿宋" w:eastAsia="仿宋"/>
                <w:kern w:val="0"/>
                <w:szCs w:val="21"/>
              </w:rPr>
              <w:t>浓度</w:t>
            </w:r>
          </w:p>
          <w:p>
            <w:pPr>
              <w:jc w:val="center"/>
              <w:rPr>
                <w:rFonts w:ascii="仿宋" w:hAnsi="仿宋" w:eastAsia="仿宋"/>
                <w:kern w:val="0"/>
                <w:szCs w:val="21"/>
              </w:rPr>
            </w:pPr>
            <w:r>
              <w:rPr>
                <w:rFonts w:ascii="仿宋" w:hAnsi="仿宋" w:eastAsia="仿宋"/>
                <w:kern w:val="0"/>
                <w:szCs w:val="21"/>
              </w:rPr>
              <w:t>（mg/L）</w:t>
            </w:r>
          </w:p>
        </w:tc>
        <w:tc>
          <w:tcPr>
            <w:tcW w:w="859" w:type="dxa"/>
            <w:shd w:val="clear" w:color="auto" w:fill="auto"/>
            <w:vAlign w:val="center"/>
          </w:tcPr>
          <w:p>
            <w:pPr>
              <w:widowControl/>
              <w:jc w:val="center"/>
              <w:rPr>
                <w:rFonts w:ascii="仿宋" w:hAnsi="仿宋" w:eastAsia="仿宋"/>
                <w:kern w:val="0"/>
                <w:szCs w:val="21"/>
              </w:rPr>
            </w:pPr>
            <w:r>
              <w:rPr>
                <w:rFonts w:ascii="仿宋" w:hAnsi="仿宋" w:eastAsia="仿宋"/>
                <w:kern w:val="0"/>
                <w:szCs w:val="21"/>
              </w:rPr>
              <w:t>产生量</w:t>
            </w:r>
          </w:p>
          <w:p>
            <w:pPr>
              <w:jc w:val="center"/>
              <w:rPr>
                <w:rFonts w:ascii="仿宋" w:hAnsi="仿宋" w:eastAsia="仿宋"/>
                <w:kern w:val="0"/>
                <w:szCs w:val="21"/>
              </w:rPr>
            </w:pPr>
            <w:r>
              <w:rPr>
                <w:rFonts w:ascii="仿宋" w:hAnsi="仿宋" w:eastAsia="仿宋"/>
                <w:kern w:val="0"/>
                <w:szCs w:val="21"/>
              </w:rPr>
              <w:t>（t/a）</w:t>
            </w:r>
          </w:p>
        </w:tc>
        <w:tc>
          <w:tcPr>
            <w:tcW w:w="1138" w:type="dxa"/>
            <w:vMerge w:val="continue"/>
            <w:shd w:val="clear" w:color="auto" w:fill="auto"/>
            <w:vAlign w:val="center"/>
          </w:tcPr>
          <w:p>
            <w:pPr>
              <w:widowControl/>
              <w:jc w:val="center"/>
              <w:rPr>
                <w:rFonts w:ascii="仿宋" w:hAnsi="仿宋" w:eastAsia="仿宋"/>
                <w:kern w:val="0"/>
                <w:szCs w:val="21"/>
              </w:rPr>
            </w:pPr>
          </w:p>
        </w:tc>
        <w:tc>
          <w:tcPr>
            <w:tcW w:w="884" w:type="dxa"/>
            <w:vAlign w:val="center"/>
          </w:tcPr>
          <w:p>
            <w:pPr>
              <w:widowControl/>
              <w:jc w:val="center"/>
              <w:rPr>
                <w:rFonts w:ascii="仿宋" w:hAnsi="仿宋" w:eastAsia="仿宋"/>
                <w:kern w:val="0"/>
                <w:szCs w:val="21"/>
              </w:rPr>
            </w:pPr>
            <w:r>
              <w:rPr>
                <w:rFonts w:ascii="仿宋" w:hAnsi="仿宋" w:eastAsia="仿宋"/>
                <w:kern w:val="0"/>
                <w:szCs w:val="21"/>
              </w:rPr>
              <w:t>污染物名称</w:t>
            </w:r>
          </w:p>
        </w:tc>
        <w:tc>
          <w:tcPr>
            <w:tcW w:w="708" w:type="dxa"/>
            <w:vAlign w:val="center"/>
          </w:tcPr>
          <w:p>
            <w:pPr>
              <w:widowControl/>
              <w:jc w:val="center"/>
              <w:rPr>
                <w:rFonts w:ascii="仿宋" w:hAnsi="仿宋" w:eastAsia="仿宋"/>
                <w:kern w:val="0"/>
                <w:szCs w:val="21"/>
              </w:rPr>
            </w:pPr>
            <w:r>
              <w:rPr>
                <w:rFonts w:ascii="仿宋" w:hAnsi="仿宋" w:eastAsia="仿宋"/>
                <w:kern w:val="0"/>
                <w:szCs w:val="21"/>
              </w:rPr>
              <w:t>浓度</w:t>
            </w:r>
          </w:p>
          <w:p>
            <w:pPr>
              <w:jc w:val="center"/>
              <w:rPr>
                <w:rFonts w:ascii="仿宋" w:hAnsi="仿宋" w:eastAsia="仿宋"/>
                <w:kern w:val="0"/>
                <w:szCs w:val="21"/>
              </w:rPr>
            </w:pPr>
            <w:r>
              <w:rPr>
                <w:rFonts w:ascii="仿宋" w:hAnsi="仿宋" w:eastAsia="仿宋"/>
                <w:kern w:val="0"/>
                <w:szCs w:val="21"/>
              </w:rPr>
              <w:t>（mg/L）</w:t>
            </w:r>
          </w:p>
        </w:tc>
        <w:tc>
          <w:tcPr>
            <w:tcW w:w="906" w:type="dxa"/>
            <w:vAlign w:val="center"/>
          </w:tcPr>
          <w:p>
            <w:pPr>
              <w:widowControl/>
              <w:jc w:val="center"/>
              <w:rPr>
                <w:rFonts w:ascii="仿宋" w:hAnsi="仿宋" w:eastAsia="仿宋"/>
                <w:kern w:val="0"/>
                <w:szCs w:val="21"/>
              </w:rPr>
            </w:pPr>
            <w:r>
              <w:rPr>
                <w:rFonts w:ascii="仿宋" w:hAnsi="仿宋" w:eastAsia="仿宋"/>
                <w:kern w:val="0"/>
                <w:szCs w:val="21"/>
              </w:rPr>
              <w:t>排放量</w:t>
            </w:r>
          </w:p>
          <w:p>
            <w:pPr>
              <w:jc w:val="center"/>
              <w:rPr>
                <w:rFonts w:ascii="仿宋" w:hAnsi="仿宋" w:eastAsia="仿宋"/>
                <w:kern w:val="0"/>
                <w:szCs w:val="21"/>
              </w:rPr>
            </w:pPr>
            <w:r>
              <w:rPr>
                <w:rFonts w:ascii="仿宋" w:hAnsi="仿宋" w:eastAsia="仿宋"/>
                <w:kern w:val="0"/>
                <w:szCs w:val="21"/>
              </w:rPr>
              <w:t>（t/a）</w:t>
            </w:r>
          </w:p>
        </w:tc>
        <w:tc>
          <w:tcPr>
            <w:tcW w:w="578" w:type="dxa"/>
            <w:vMerge w:val="continue"/>
            <w:vAlign w:val="center"/>
          </w:tcPr>
          <w:p>
            <w:pPr>
              <w:widowControl/>
              <w:jc w:val="center"/>
              <w:rPr>
                <w:rFonts w:ascii="仿宋" w:hAnsi="仿宋" w:eastAsia="仿宋"/>
                <w:kern w:val="0"/>
                <w:szCs w:val="21"/>
              </w:rPr>
            </w:pPr>
          </w:p>
        </w:tc>
        <w:tc>
          <w:tcPr>
            <w:tcW w:w="1020" w:type="dxa"/>
            <w:vMerge w:val="continue"/>
            <w:vAlign w:val="center"/>
          </w:tcPr>
          <w:p>
            <w:pPr>
              <w:widowControl/>
              <w:jc w:val="center"/>
              <w:rPr>
                <w:rFonts w:ascii="仿宋" w:hAnsi="仿宋"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vMerge w:val="restart"/>
            <w:shd w:val="clear" w:color="auto" w:fill="auto"/>
            <w:vAlign w:val="center"/>
          </w:tcPr>
          <w:p>
            <w:pPr>
              <w:widowControl/>
              <w:jc w:val="center"/>
              <w:rPr>
                <w:rFonts w:ascii="仿宋" w:hAnsi="仿宋" w:eastAsia="仿宋"/>
                <w:kern w:val="0"/>
                <w:szCs w:val="21"/>
              </w:rPr>
            </w:pPr>
            <w:r>
              <w:rPr>
                <w:rFonts w:hint="eastAsia" w:ascii="仿宋" w:hAnsi="仿宋" w:eastAsia="仿宋"/>
                <w:kern w:val="0"/>
                <w:szCs w:val="21"/>
              </w:rPr>
              <w:t>生活</w:t>
            </w:r>
          </w:p>
        </w:tc>
        <w:tc>
          <w:tcPr>
            <w:tcW w:w="709" w:type="dxa"/>
            <w:vMerge w:val="restart"/>
            <w:shd w:val="clear" w:color="auto" w:fill="auto"/>
            <w:vAlign w:val="center"/>
          </w:tcPr>
          <w:p>
            <w:pPr>
              <w:widowControl/>
              <w:jc w:val="center"/>
              <w:rPr>
                <w:rFonts w:ascii="仿宋" w:hAnsi="仿宋" w:eastAsia="仿宋"/>
                <w:kern w:val="0"/>
                <w:szCs w:val="21"/>
              </w:rPr>
            </w:pPr>
            <w:r>
              <w:rPr>
                <w:rFonts w:ascii="仿宋" w:hAnsi="仿宋" w:eastAsia="仿宋"/>
                <w:kern w:val="0"/>
                <w:szCs w:val="21"/>
              </w:rPr>
              <w:t>生活污水</w:t>
            </w:r>
          </w:p>
        </w:tc>
        <w:tc>
          <w:tcPr>
            <w:tcW w:w="785" w:type="dxa"/>
            <w:vMerge w:val="restart"/>
            <w:shd w:val="clear" w:color="auto" w:fill="auto"/>
            <w:vAlign w:val="center"/>
          </w:tcPr>
          <w:p>
            <w:pPr>
              <w:widowControl/>
              <w:jc w:val="center"/>
              <w:rPr>
                <w:rFonts w:ascii="仿宋" w:hAnsi="仿宋" w:eastAsia="仿宋"/>
                <w:kern w:val="0"/>
                <w:szCs w:val="21"/>
              </w:rPr>
            </w:pPr>
            <w:r>
              <w:rPr>
                <w:rFonts w:hint="eastAsia" w:ascii="仿宋" w:hAnsi="仿宋" w:eastAsia="仿宋"/>
                <w:kern w:val="0"/>
                <w:szCs w:val="21"/>
              </w:rPr>
              <w:t>1080</w:t>
            </w:r>
          </w:p>
        </w:tc>
        <w:tc>
          <w:tcPr>
            <w:tcW w:w="868" w:type="dxa"/>
            <w:shd w:val="clear" w:color="auto" w:fill="auto"/>
            <w:vAlign w:val="center"/>
          </w:tcPr>
          <w:p>
            <w:pPr>
              <w:widowControl/>
              <w:jc w:val="center"/>
              <w:rPr>
                <w:rFonts w:ascii="仿宋" w:hAnsi="仿宋" w:eastAsia="仿宋"/>
                <w:kern w:val="0"/>
                <w:szCs w:val="21"/>
              </w:rPr>
            </w:pPr>
            <w:r>
              <w:rPr>
                <w:rFonts w:ascii="仿宋" w:hAnsi="仿宋" w:eastAsia="仿宋"/>
                <w:kern w:val="0"/>
                <w:szCs w:val="21"/>
              </w:rPr>
              <w:t>COD</w:t>
            </w:r>
          </w:p>
        </w:tc>
        <w:tc>
          <w:tcPr>
            <w:tcW w:w="805" w:type="dxa"/>
            <w:shd w:val="clear" w:color="auto" w:fill="auto"/>
            <w:vAlign w:val="center"/>
          </w:tcPr>
          <w:p>
            <w:pPr>
              <w:spacing w:line="240" w:lineRule="exact"/>
              <w:jc w:val="center"/>
              <w:rPr>
                <w:rFonts w:ascii="仿宋" w:hAnsi="仿宋" w:eastAsia="仿宋"/>
                <w:kern w:val="0"/>
                <w:szCs w:val="21"/>
              </w:rPr>
            </w:pPr>
            <w:r>
              <w:rPr>
                <w:rFonts w:ascii="仿宋" w:hAnsi="仿宋" w:eastAsia="仿宋" w:cs="仿宋"/>
                <w:bCs/>
                <w:szCs w:val="21"/>
              </w:rPr>
              <w:t>400</w:t>
            </w:r>
          </w:p>
        </w:tc>
        <w:tc>
          <w:tcPr>
            <w:tcW w:w="859" w:type="dxa"/>
            <w:shd w:val="clear" w:color="auto" w:fill="auto"/>
            <w:vAlign w:val="center"/>
          </w:tcPr>
          <w:p>
            <w:pPr>
              <w:adjustRightInd w:val="0"/>
              <w:snapToGrid w:val="0"/>
              <w:spacing w:line="240" w:lineRule="exact"/>
              <w:jc w:val="center"/>
              <w:rPr>
                <w:rFonts w:ascii="仿宋" w:hAnsi="仿宋" w:eastAsia="仿宋" w:cs="仿宋"/>
                <w:bCs/>
                <w:szCs w:val="21"/>
              </w:rPr>
            </w:pPr>
            <w:r>
              <w:rPr>
                <w:rFonts w:ascii="仿宋" w:hAnsi="仿宋" w:eastAsia="仿宋" w:cs="仿宋"/>
                <w:bCs/>
                <w:szCs w:val="21"/>
              </w:rPr>
              <w:t>0.43</w:t>
            </w:r>
          </w:p>
        </w:tc>
        <w:tc>
          <w:tcPr>
            <w:tcW w:w="1138" w:type="dxa"/>
            <w:vMerge w:val="restart"/>
            <w:shd w:val="clear" w:color="auto" w:fill="auto"/>
            <w:vAlign w:val="center"/>
          </w:tcPr>
          <w:p>
            <w:pPr>
              <w:jc w:val="center"/>
              <w:rPr>
                <w:rFonts w:ascii="仿宋" w:hAnsi="仿宋" w:eastAsia="仿宋"/>
                <w:kern w:val="0"/>
                <w:szCs w:val="21"/>
              </w:rPr>
            </w:pPr>
            <w:r>
              <w:rPr>
                <w:rFonts w:hint="eastAsia" w:ascii="仿宋" w:hAnsi="仿宋" w:eastAsia="仿宋"/>
                <w:kern w:val="0"/>
                <w:szCs w:val="21"/>
              </w:rPr>
              <w:t>接入市政</w:t>
            </w:r>
            <w:r>
              <w:rPr>
                <w:rFonts w:ascii="仿宋" w:hAnsi="仿宋" w:eastAsia="仿宋"/>
                <w:kern w:val="0"/>
                <w:szCs w:val="21"/>
              </w:rPr>
              <w:t>污水管网</w:t>
            </w:r>
          </w:p>
        </w:tc>
        <w:tc>
          <w:tcPr>
            <w:tcW w:w="884" w:type="dxa"/>
            <w:vAlign w:val="center"/>
          </w:tcPr>
          <w:p>
            <w:pPr>
              <w:widowControl/>
              <w:jc w:val="center"/>
              <w:rPr>
                <w:rFonts w:ascii="仿宋" w:hAnsi="仿宋" w:eastAsia="仿宋"/>
                <w:kern w:val="0"/>
                <w:szCs w:val="21"/>
              </w:rPr>
            </w:pPr>
            <w:r>
              <w:rPr>
                <w:rFonts w:ascii="仿宋" w:hAnsi="仿宋" w:eastAsia="仿宋"/>
                <w:kern w:val="0"/>
                <w:szCs w:val="21"/>
              </w:rPr>
              <w:t>COD</w:t>
            </w:r>
          </w:p>
        </w:tc>
        <w:tc>
          <w:tcPr>
            <w:tcW w:w="708" w:type="dxa"/>
            <w:vAlign w:val="center"/>
          </w:tcPr>
          <w:p>
            <w:pPr>
              <w:spacing w:line="240" w:lineRule="exact"/>
              <w:jc w:val="center"/>
              <w:rPr>
                <w:rFonts w:ascii="仿宋" w:hAnsi="仿宋" w:eastAsia="仿宋"/>
                <w:kern w:val="0"/>
                <w:szCs w:val="21"/>
              </w:rPr>
            </w:pPr>
            <w:r>
              <w:rPr>
                <w:rFonts w:ascii="仿宋" w:hAnsi="仿宋" w:eastAsia="仿宋" w:cs="仿宋"/>
                <w:bCs/>
                <w:szCs w:val="21"/>
              </w:rPr>
              <w:t>400</w:t>
            </w:r>
          </w:p>
        </w:tc>
        <w:tc>
          <w:tcPr>
            <w:tcW w:w="906" w:type="dxa"/>
            <w:vAlign w:val="center"/>
          </w:tcPr>
          <w:p>
            <w:pPr>
              <w:adjustRightInd w:val="0"/>
              <w:snapToGrid w:val="0"/>
              <w:spacing w:line="240" w:lineRule="exact"/>
              <w:jc w:val="center"/>
              <w:rPr>
                <w:rFonts w:ascii="仿宋" w:hAnsi="仿宋" w:eastAsia="仿宋" w:cs="仿宋"/>
                <w:bCs/>
                <w:szCs w:val="21"/>
              </w:rPr>
            </w:pPr>
            <w:r>
              <w:rPr>
                <w:rFonts w:ascii="仿宋" w:hAnsi="仿宋" w:eastAsia="仿宋" w:cs="仿宋"/>
                <w:bCs/>
                <w:szCs w:val="21"/>
              </w:rPr>
              <w:t>0.43</w:t>
            </w:r>
          </w:p>
        </w:tc>
        <w:tc>
          <w:tcPr>
            <w:tcW w:w="578" w:type="dxa"/>
            <w:vAlign w:val="center"/>
          </w:tcPr>
          <w:p>
            <w:pPr>
              <w:jc w:val="center"/>
              <w:rPr>
                <w:rFonts w:ascii="仿宋" w:hAnsi="仿宋" w:eastAsia="仿宋"/>
                <w:kern w:val="0"/>
                <w:szCs w:val="21"/>
              </w:rPr>
            </w:pPr>
            <w:r>
              <w:rPr>
                <w:rFonts w:hint="eastAsia" w:ascii="仿宋" w:hAnsi="仿宋" w:eastAsia="仿宋"/>
                <w:kern w:val="0"/>
                <w:szCs w:val="21"/>
              </w:rPr>
              <w:t>500</w:t>
            </w:r>
          </w:p>
        </w:tc>
        <w:tc>
          <w:tcPr>
            <w:tcW w:w="1020" w:type="dxa"/>
            <w:vMerge w:val="restart"/>
            <w:vAlign w:val="center"/>
          </w:tcPr>
          <w:p>
            <w:pPr>
              <w:jc w:val="center"/>
              <w:rPr>
                <w:rFonts w:ascii="仿宋" w:hAnsi="仿宋" w:eastAsia="仿宋"/>
                <w:kern w:val="0"/>
                <w:szCs w:val="21"/>
              </w:rPr>
            </w:pPr>
            <w:r>
              <w:rPr>
                <w:rFonts w:ascii="仿宋" w:hAnsi="仿宋" w:eastAsia="仿宋"/>
              </w:rPr>
              <w:t>厂区收集后接管至金坛区第二污水处理厂集中处理</w:t>
            </w:r>
            <w:r>
              <w:rPr>
                <w:rFonts w:hint="eastAsia" w:ascii="仿宋" w:hAnsi="仿宋" w:eastAsia="仿宋"/>
              </w:rPr>
              <w:t>，尾水排入尧塘河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vMerge w:val="continue"/>
            <w:vAlign w:val="center"/>
          </w:tcPr>
          <w:p>
            <w:pPr>
              <w:widowControl/>
              <w:jc w:val="center"/>
              <w:rPr>
                <w:rFonts w:ascii="仿宋" w:hAnsi="仿宋" w:eastAsia="仿宋"/>
                <w:kern w:val="0"/>
                <w:szCs w:val="21"/>
              </w:rPr>
            </w:pPr>
          </w:p>
        </w:tc>
        <w:tc>
          <w:tcPr>
            <w:tcW w:w="709" w:type="dxa"/>
            <w:vMerge w:val="continue"/>
            <w:vAlign w:val="center"/>
          </w:tcPr>
          <w:p>
            <w:pPr>
              <w:widowControl/>
              <w:jc w:val="center"/>
              <w:rPr>
                <w:rFonts w:ascii="仿宋" w:hAnsi="仿宋" w:eastAsia="仿宋"/>
                <w:kern w:val="0"/>
                <w:szCs w:val="21"/>
              </w:rPr>
            </w:pPr>
          </w:p>
        </w:tc>
        <w:tc>
          <w:tcPr>
            <w:tcW w:w="785" w:type="dxa"/>
            <w:vMerge w:val="continue"/>
            <w:vAlign w:val="center"/>
          </w:tcPr>
          <w:p>
            <w:pPr>
              <w:widowControl/>
              <w:jc w:val="center"/>
              <w:rPr>
                <w:rFonts w:ascii="仿宋" w:hAnsi="仿宋" w:eastAsia="仿宋"/>
                <w:kern w:val="0"/>
                <w:szCs w:val="21"/>
              </w:rPr>
            </w:pPr>
          </w:p>
        </w:tc>
        <w:tc>
          <w:tcPr>
            <w:tcW w:w="868" w:type="dxa"/>
            <w:shd w:val="clear" w:color="auto" w:fill="auto"/>
            <w:vAlign w:val="center"/>
          </w:tcPr>
          <w:p>
            <w:pPr>
              <w:widowControl/>
              <w:jc w:val="center"/>
              <w:rPr>
                <w:rFonts w:ascii="仿宋" w:hAnsi="仿宋" w:eastAsia="仿宋"/>
                <w:kern w:val="0"/>
                <w:szCs w:val="21"/>
              </w:rPr>
            </w:pPr>
            <w:r>
              <w:rPr>
                <w:rFonts w:ascii="仿宋" w:hAnsi="仿宋" w:eastAsia="仿宋"/>
                <w:kern w:val="0"/>
                <w:szCs w:val="21"/>
              </w:rPr>
              <w:t>SS</w:t>
            </w:r>
          </w:p>
        </w:tc>
        <w:tc>
          <w:tcPr>
            <w:tcW w:w="805" w:type="dxa"/>
            <w:shd w:val="clear" w:color="auto" w:fill="auto"/>
            <w:vAlign w:val="center"/>
          </w:tcPr>
          <w:p>
            <w:pPr>
              <w:spacing w:line="240" w:lineRule="exact"/>
              <w:jc w:val="center"/>
              <w:rPr>
                <w:rFonts w:ascii="仿宋" w:hAnsi="仿宋" w:eastAsia="仿宋"/>
                <w:kern w:val="0"/>
                <w:szCs w:val="21"/>
              </w:rPr>
            </w:pPr>
            <w:r>
              <w:rPr>
                <w:rFonts w:hint="eastAsia" w:ascii="仿宋" w:hAnsi="仿宋" w:eastAsia="仿宋" w:cs="仿宋"/>
                <w:bCs/>
                <w:szCs w:val="21"/>
              </w:rPr>
              <w:t>25</w:t>
            </w:r>
            <w:r>
              <w:rPr>
                <w:rFonts w:ascii="仿宋" w:hAnsi="仿宋" w:eastAsia="仿宋" w:cs="仿宋"/>
                <w:bCs/>
                <w:szCs w:val="21"/>
              </w:rPr>
              <w:t>0</w:t>
            </w:r>
          </w:p>
        </w:tc>
        <w:tc>
          <w:tcPr>
            <w:tcW w:w="859" w:type="dxa"/>
            <w:shd w:val="clear" w:color="auto" w:fill="auto"/>
            <w:vAlign w:val="center"/>
          </w:tcPr>
          <w:p>
            <w:pPr>
              <w:spacing w:line="240" w:lineRule="exact"/>
              <w:jc w:val="center"/>
              <w:rPr>
                <w:rFonts w:ascii="仿宋" w:hAnsi="仿宋" w:eastAsia="仿宋" w:cs="仿宋"/>
                <w:bCs/>
                <w:szCs w:val="21"/>
              </w:rPr>
            </w:pPr>
            <w:r>
              <w:rPr>
                <w:rFonts w:eastAsia="仿宋_GB2312"/>
                <w:kern w:val="0"/>
                <w:szCs w:val="21"/>
              </w:rPr>
              <w:t>0.27</w:t>
            </w:r>
          </w:p>
        </w:tc>
        <w:tc>
          <w:tcPr>
            <w:tcW w:w="1138" w:type="dxa"/>
            <w:vMerge w:val="continue"/>
            <w:shd w:val="clear" w:color="auto" w:fill="auto"/>
            <w:vAlign w:val="center"/>
          </w:tcPr>
          <w:p>
            <w:pPr>
              <w:jc w:val="center"/>
              <w:rPr>
                <w:rFonts w:ascii="仿宋" w:hAnsi="仿宋" w:eastAsia="仿宋"/>
                <w:kern w:val="0"/>
                <w:szCs w:val="21"/>
              </w:rPr>
            </w:pPr>
          </w:p>
        </w:tc>
        <w:tc>
          <w:tcPr>
            <w:tcW w:w="884" w:type="dxa"/>
            <w:vAlign w:val="center"/>
          </w:tcPr>
          <w:p>
            <w:pPr>
              <w:widowControl/>
              <w:jc w:val="center"/>
              <w:rPr>
                <w:rFonts w:ascii="仿宋" w:hAnsi="仿宋" w:eastAsia="仿宋"/>
                <w:kern w:val="0"/>
                <w:szCs w:val="21"/>
              </w:rPr>
            </w:pPr>
            <w:r>
              <w:rPr>
                <w:rFonts w:ascii="仿宋" w:hAnsi="仿宋" w:eastAsia="仿宋"/>
                <w:kern w:val="0"/>
                <w:szCs w:val="21"/>
              </w:rPr>
              <w:t>SS</w:t>
            </w:r>
          </w:p>
        </w:tc>
        <w:tc>
          <w:tcPr>
            <w:tcW w:w="708" w:type="dxa"/>
            <w:vAlign w:val="center"/>
          </w:tcPr>
          <w:p>
            <w:pPr>
              <w:spacing w:line="240" w:lineRule="exact"/>
              <w:jc w:val="center"/>
              <w:rPr>
                <w:rFonts w:ascii="仿宋" w:hAnsi="仿宋" w:eastAsia="仿宋"/>
                <w:kern w:val="0"/>
                <w:szCs w:val="21"/>
              </w:rPr>
            </w:pPr>
            <w:r>
              <w:rPr>
                <w:rFonts w:hint="eastAsia" w:ascii="仿宋" w:hAnsi="仿宋" w:eastAsia="仿宋" w:cs="仿宋"/>
                <w:bCs/>
                <w:szCs w:val="21"/>
              </w:rPr>
              <w:t>25</w:t>
            </w:r>
            <w:r>
              <w:rPr>
                <w:rFonts w:ascii="仿宋" w:hAnsi="仿宋" w:eastAsia="仿宋" w:cs="仿宋"/>
                <w:bCs/>
                <w:szCs w:val="21"/>
              </w:rPr>
              <w:t>0</w:t>
            </w:r>
          </w:p>
        </w:tc>
        <w:tc>
          <w:tcPr>
            <w:tcW w:w="906" w:type="dxa"/>
            <w:vAlign w:val="center"/>
          </w:tcPr>
          <w:p>
            <w:pPr>
              <w:spacing w:line="240" w:lineRule="exact"/>
              <w:jc w:val="center"/>
              <w:rPr>
                <w:rFonts w:ascii="仿宋" w:hAnsi="仿宋" w:eastAsia="仿宋" w:cs="仿宋"/>
                <w:bCs/>
                <w:szCs w:val="21"/>
              </w:rPr>
            </w:pPr>
            <w:r>
              <w:rPr>
                <w:rFonts w:eastAsia="仿宋_GB2312"/>
                <w:kern w:val="0"/>
                <w:szCs w:val="21"/>
              </w:rPr>
              <w:t>0.27</w:t>
            </w:r>
          </w:p>
        </w:tc>
        <w:tc>
          <w:tcPr>
            <w:tcW w:w="578" w:type="dxa"/>
            <w:vAlign w:val="center"/>
          </w:tcPr>
          <w:p>
            <w:pPr>
              <w:jc w:val="center"/>
              <w:rPr>
                <w:rFonts w:ascii="仿宋" w:hAnsi="仿宋" w:eastAsia="仿宋"/>
                <w:kern w:val="0"/>
                <w:szCs w:val="21"/>
              </w:rPr>
            </w:pPr>
            <w:r>
              <w:rPr>
                <w:rFonts w:hint="eastAsia" w:ascii="仿宋" w:hAnsi="仿宋" w:eastAsia="仿宋"/>
                <w:kern w:val="0"/>
                <w:szCs w:val="21"/>
              </w:rPr>
              <w:t>250</w:t>
            </w:r>
          </w:p>
        </w:tc>
        <w:tc>
          <w:tcPr>
            <w:tcW w:w="1020" w:type="dxa"/>
            <w:vMerge w:val="continue"/>
            <w:vAlign w:val="center"/>
          </w:tcPr>
          <w:p>
            <w:pPr>
              <w:jc w:val="center"/>
              <w:rPr>
                <w:rFonts w:ascii="仿宋" w:hAnsi="仿宋"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vMerge w:val="continue"/>
            <w:vAlign w:val="center"/>
          </w:tcPr>
          <w:p>
            <w:pPr>
              <w:widowControl/>
              <w:jc w:val="center"/>
              <w:rPr>
                <w:rFonts w:ascii="仿宋" w:hAnsi="仿宋" w:eastAsia="仿宋"/>
                <w:kern w:val="0"/>
                <w:szCs w:val="21"/>
              </w:rPr>
            </w:pPr>
          </w:p>
        </w:tc>
        <w:tc>
          <w:tcPr>
            <w:tcW w:w="709" w:type="dxa"/>
            <w:vMerge w:val="continue"/>
            <w:vAlign w:val="center"/>
          </w:tcPr>
          <w:p>
            <w:pPr>
              <w:widowControl/>
              <w:jc w:val="center"/>
              <w:rPr>
                <w:rFonts w:ascii="仿宋" w:hAnsi="仿宋" w:eastAsia="仿宋"/>
                <w:kern w:val="0"/>
                <w:szCs w:val="21"/>
              </w:rPr>
            </w:pPr>
          </w:p>
        </w:tc>
        <w:tc>
          <w:tcPr>
            <w:tcW w:w="785" w:type="dxa"/>
            <w:vMerge w:val="continue"/>
            <w:vAlign w:val="center"/>
          </w:tcPr>
          <w:p>
            <w:pPr>
              <w:widowControl/>
              <w:jc w:val="center"/>
              <w:rPr>
                <w:rFonts w:ascii="仿宋" w:hAnsi="仿宋" w:eastAsia="仿宋"/>
                <w:kern w:val="0"/>
                <w:szCs w:val="21"/>
              </w:rPr>
            </w:pPr>
          </w:p>
        </w:tc>
        <w:tc>
          <w:tcPr>
            <w:tcW w:w="868" w:type="dxa"/>
            <w:shd w:val="clear" w:color="auto" w:fill="auto"/>
            <w:vAlign w:val="center"/>
          </w:tcPr>
          <w:p>
            <w:pPr>
              <w:widowControl/>
              <w:jc w:val="center"/>
              <w:rPr>
                <w:rFonts w:ascii="仿宋" w:hAnsi="仿宋" w:eastAsia="仿宋"/>
                <w:kern w:val="0"/>
                <w:szCs w:val="21"/>
              </w:rPr>
            </w:pPr>
            <w:r>
              <w:rPr>
                <w:rFonts w:ascii="仿宋" w:hAnsi="仿宋" w:eastAsia="仿宋"/>
                <w:kern w:val="0"/>
                <w:szCs w:val="21"/>
              </w:rPr>
              <w:t>NH</w:t>
            </w:r>
            <w:r>
              <w:rPr>
                <w:rFonts w:ascii="仿宋" w:hAnsi="仿宋" w:eastAsia="仿宋"/>
                <w:kern w:val="0"/>
                <w:szCs w:val="21"/>
                <w:vertAlign w:val="subscript"/>
              </w:rPr>
              <w:t>3</w:t>
            </w:r>
            <w:r>
              <w:rPr>
                <w:rFonts w:ascii="仿宋" w:hAnsi="仿宋" w:eastAsia="仿宋"/>
                <w:kern w:val="0"/>
                <w:szCs w:val="21"/>
              </w:rPr>
              <w:t>-N</w:t>
            </w:r>
          </w:p>
        </w:tc>
        <w:tc>
          <w:tcPr>
            <w:tcW w:w="805" w:type="dxa"/>
            <w:shd w:val="clear" w:color="auto" w:fill="auto"/>
            <w:vAlign w:val="center"/>
          </w:tcPr>
          <w:p>
            <w:pPr>
              <w:spacing w:line="240" w:lineRule="exact"/>
              <w:jc w:val="center"/>
              <w:rPr>
                <w:rFonts w:ascii="仿宋" w:hAnsi="仿宋" w:eastAsia="仿宋"/>
                <w:kern w:val="0"/>
                <w:szCs w:val="21"/>
              </w:rPr>
            </w:pPr>
            <w:r>
              <w:rPr>
                <w:rFonts w:hint="eastAsia" w:ascii="仿宋" w:hAnsi="仿宋" w:eastAsia="仿宋" w:cs="仿宋"/>
                <w:bCs/>
                <w:szCs w:val="21"/>
              </w:rPr>
              <w:t>25</w:t>
            </w:r>
          </w:p>
        </w:tc>
        <w:tc>
          <w:tcPr>
            <w:tcW w:w="859" w:type="dxa"/>
            <w:shd w:val="clear" w:color="auto" w:fill="auto"/>
            <w:vAlign w:val="center"/>
          </w:tcPr>
          <w:p>
            <w:pPr>
              <w:spacing w:line="240" w:lineRule="exact"/>
              <w:jc w:val="center"/>
              <w:rPr>
                <w:rFonts w:ascii="仿宋" w:hAnsi="仿宋" w:eastAsia="仿宋" w:cs="仿宋"/>
                <w:bCs/>
                <w:szCs w:val="21"/>
              </w:rPr>
            </w:pPr>
            <w:r>
              <w:rPr>
                <w:rFonts w:hint="eastAsia" w:eastAsia="仿宋_GB2312"/>
                <w:kern w:val="0"/>
                <w:szCs w:val="21"/>
              </w:rPr>
              <w:t>0.</w:t>
            </w:r>
            <w:r>
              <w:rPr>
                <w:rFonts w:eastAsia="仿宋_GB2312"/>
                <w:kern w:val="0"/>
                <w:szCs w:val="21"/>
              </w:rPr>
              <w:t>03</w:t>
            </w:r>
          </w:p>
        </w:tc>
        <w:tc>
          <w:tcPr>
            <w:tcW w:w="1138" w:type="dxa"/>
            <w:vMerge w:val="continue"/>
            <w:shd w:val="clear" w:color="auto" w:fill="auto"/>
            <w:vAlign w:val="center"/>
          </w:tcPr>
          <w:p>
            <w:pPr>
              <w:jc w:val="center"/>
              <w:rPr>
                <w:rFonts w:ascii="仿宋" w:hAnsi="仿宋" w:eastAsia="仿宋"/>
                <w:kern w:val="0"/>
                <w:szCs w:val="21"/>
              </w:rPr>
            </w:pPr>
          </w:p>
        </w:tc>
        <w:tc>
          <w:tcPr>
            <w:tcW w:w="884" w:type="dxa"/>
            <w:vAlign w:val="center"/>
          </w:tcPr>
          <w:p>
            <w:pPr>
              <w:widowControl/>
              <w:jc w:val="center"/>
              <w:rPr>
                <w:rFonts w:ascii="仿宋" w:hAnsi="仿宋" w:eastAsia="仿宋"/>
                <w:kern w:val="0"/>
                <w:szCs w:val="21"/>
              </w:rPr>
            </w:pPr>
            <w:r>
              <w:rPr>
                <w:rFonts w:ascii="仿宋" w:hAnsi="仿宋" w:eastAsia="仿宋"/>
                <w:kern w:val="0"/>
                <w:szCs w:val="21"/>
              </w:rPr>
              <w:t>NH</w:t>
            </w:r>
            <w:r>
              <w:rPr>
                <w:rFonts w:ascii="仿宋" w:hAnsi="仿宋" w:eastAsia="仿宋"/>
                <w:kern w:val="0"/>
                <w:szCs w:val="21"/>
                <w:vertAlign w:val="subscript"/>
              </w:rPr>
              <w:t>3</w:t>
            </w:r>
            <w:r>
              <w:rPr>
                <w:rFonts w:ascii="仿宋" w:hAnsi="仿宋" w:eastAsia="仿宋"/>
                <w:kern w:val="0"/>
                <w:szCs w:val="21"/>
              </w:rPr>
              <w:t>-N</w:t>
            </w:r>
          </w:p>
        </w:tc>
        <w:tc>
          <w:tcPr>
            <w:tcW w:w="708" w:type="dxa"/>
            <w:vAlign w:val="center"/>
          </w:tcPr>
          <w:p>
            <w:pPr>
              <w:spacing w:line="240" w:lineRule="exact"/>
              <w:jc w:val="center"/>
              <w:rPr>
                <w:rFonts w:ascii="仿宋" w:hAnsi="仿宋" w:eastAsia="仿宋"/>
                <w:kern w:val="0"/>
                <w:szCs w:val="21"/>
              </w:rPr>
            </w:pPr>
            <w:r>
              <w:rPr>
                <w:rFonts w:hint="eastAsia" w:ascii="仿宋" w:hAnsi="仿宋" w:eastAsia="仿宋" w:cs="仿宋"/>
                <w:bCs/>
                <w:szCs w:val="21"/>
              </w:rPr>
              <w:t>25</w:t>
            </w:r>
          </w:p>
        </w:tc>
        <w:tc>
          <w:tcPr>
            <w:tcW w:w="906" w:type="dxa"/>
            <w:vAlign w:val="center"/>
          </w:tcPr>
          <w:p>
            <w:pPr>
              <w:spacing w:line="240" w:lineRule="exact"/>
              <w:jc w:val="center"/>
              <w:rPr>
                <w:rFonts w:ascii="仿宋" w:hAnsi="仿宋" w:eastAsia="仿宋" w:cs="仿宋"/>
                <w:bCs/>
                <w:szCs w:val="21"/>
              </w:rPr>
            </w:pPr>
            <w:r>
              <w:rPr>
                <w:rFonts w:hint="eastAsia" w:eastAsia="仿宋_GB2312"/>
                <w:kern w:val="0"/>
                <w:szCs w:val="21"/>
              </w:rPr>
              <w:t>0.</w:t>
            </w:r>
            <w:r>
              <w:rPr>
                <w:rFonts w:eastAsia="仿宋_GB2312"/>
                <w:kern w:val="0"/>
                <w:szCs w:val="21"/>
              </w:rPr>
              <w:t>03</w:t>
            </w:r>
          </w:p>
        </w:tc>
        <w:tc>
          <w:tcPr>
            <w:tcW w:w="578" w:type="dxa"/>
            <w:vAlign w:val="center"/>
          </w:tcPr>
          <w:p>
            <w:pPr>
              <w:jc w:val="center"/>
              <w:rPr>
                <w:rFonts w:ascii="仿宋" w:hAnsi="仿宋" w:eastAsia="仿宋"/>
                <w:kern w:val="0"/>
                <w:szCs w:val="21"/>
              </w:rPr>
            </w:pPr>
            <w:r>
              <w:rPr>
                <w:rFonts w:hint="eastAsia" w:ascii="仿宋" w:hAnsi="仿宋" w:eastAsia="仿宋"/>
                <w:kern w:val="0"/>
                <w:szCs w:val="21"/>
              </w:rPr>
              <w:t>35</w:t>
            </w:r>
          </w:p>
        </w:tc>
        <w:tc>
          <w:tcPr>
            <w:tcW w:w="1020" w:type="dxa"/>
            <w:vMerge w:val="continue"/>
            <w:vAlign w:val="center"/>
          </w:tcPr>
          <w:p>
            <w:pPr>
              <w:jc w:val="center"/>
              <w:rPr>
                <w:rFonts w:ascii="仿宋" w:hAnsi="仿宋"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vMerge w:val="continue"/>
            <w:vAlign w:val="center"/>
          </w:tcPr>
          <w:p>
            <w:pPr>
              <w:widowControl/>
              <w:jc w:val="center"/>
              <w:rPr>
                <w:rFonts w:ascii="仿宋" w:hAnsi="仿宋" w:eastAsia="仿宋"/>
                <w:kern w:val="0"/>
                <w:szCs w:val="21"/>
              </w:rPr>
            </w:pPr>
          </w:p>
        </w:tc>
        <w:tc>
          <w:tcPr>
            <w:tcW w:w="709" w:type="dxa"/>
            <w:vMerge w:val="continue"/>
            <w:vAlign w:val="center"/>
          </w:tcPr>
          <w:p>
            <w:pPr>
              <w:widowControl/>
              <w:jc w:val="center"/>
              <w:rPr>
                <w:rFonts w:ascii="仿宋" w:hAnsi="仿宋" w:eastAsia="仿宋"/>
                <w:kern w:val="0"/>
                <w:szCs w:val="21"/>
              </w:rPr>
            </w:pPr>
          </w:p>
        </w:tc>
        <w:tc>
          <w:tcPr>
            <w:tcW w:w="785" w:type="dxa"/>
            <w:vMerge w:val="continue"/>
            <w:vAlign w:val="center"/>
          </w:tcPr>
          <w:p>
            <w:pPr>
              <w:widowControl/>
              <w:jc w:val="center"/>
              <w:rPr>
                <w:rFonts w:ascii="仿宋" w:hAnsi="仿宋" w:eastAsia="仿宋"/>
                <w:kern w:val="0"/>
                <w:szCs w:val="21"/>
              </w:rPr>
            </w:pPr>
          </w:p>
        </w:tc>
        <w:tc>
          <w:tcPr>
            <w:tcW w:w="868" w:type="dxa"/>
            <w:shd w:val="clear" w:color="auto" w:fill="auto"/>
            <w:vAlign w:val="center"/>
          </w:tcPr>
          <w:p>
            <w:pPr>
              <w:widowControl/>
              <w:jc w:val="center"/>
              <w:rPr>
                <w:rFonts w:ascii="仿宋" w:hAnsi="仿宋" w:eastAsia="仿宋"/>
                <w:kern w:val="0"/>
                <w:szCs w:val="21"/>
              </w:rPr>
            </w:pPr>
            <w:r>
              <w:rPr>
                <w:rFonts w:ascii="仿宋" w:hAnsi="仿宋" w:eastAsia="仿宋"/>
                <w:kern w:val="0"/>
                <w:szCs w:val="21"/>
              </w:rPr>
              <w:t>TP</w:t>
            </w:r>
          </w:p>
        </w:tc>
        <w:tc>
          <w:tcPr>
            <w:tcW w:w="805" w:type="dxa"/>
            <w:shd w:val="clear" w:color="auto" w:fill="auto"/>
            <w:vAlign w:val="center"/>
          </w:tcPr>
          <w:p>
            <w:pPr>
              <w:spacing w:line="240" w:lineRule="exact"/>
              <w:jc w:val="center"/>
              <w:rPr>
                <w:rFonts w:ascii="仿宋" w:hAnsi="仿宋" w:eastAsia="仿宋"/>
                <w:kern w:val="0"/>
                <w:szCs w:val="21"/>
              </w:rPr>
            </w:pPr>
            <w:r>
              <w:rPr>
                <w:rFonts w:hint="eastAsia" w:ascii="仿宋" w:hAnsi="仿宋" w:eastAsia="仿宋" w:cs="仿宋"/>
                <w:bCs/>
                <w:szCs w:val="21"/>
              </w:rPr>
              <w:t>3</w:t>
            </w:r>
          </w:p>
        </w:tc>
        <w:tc>
          <w:tcPr>
            <w:tcW w:w="859" w:type="dxa"/>
            <w:shd w:val="clear" w:color="auto" w:fill="auto"/>
            <w:vAlign w:val="center"/>
          </w:tcPr>
          <w:p>
            <w:pPr>
              <w:spacing w:line="240" w:lineRule="exact"/>
              <w:jc w:val="center"/>
              <w:rPr>
                <w:rFonts w:ascii="仿宋" w:hAnsi="仿宋" w:eastAsia="仿宋" w:cs="仿宋"/>
                <w:bCs/>
                <w:szCs w:val="21"/>
              </w:rPr>
            </w:pPr>
            <w:r>
              <w:rPr>
                <w:rFonts w:hint="eastAsia" w:eastAsia="仿宋_GB2312"/>
                <w:kern w:val="0"/>
                <w:szCs w:val="21"/>
              </w:rPr>
              <w:t>0.0</w:t>
            </w:r>
            <w:r>
              <w:rPr>
                <w:rFonts w:eastAsia="仿宋_GB2312"/>
                <w:kern w:val="0"/>
                <w:szCs w:val="21"/>
              </w:rPr>
              <w:t>0</w:t>
            </w:r>
            <w:r>
              <w:rPr>
                <w:rFonts w:hint="eastAsia" w:eastAsia="仿宋_GB2312"/>
                <w:kern w:val="0"/>
                <w:szCs w:val="21"/>
              </w:rPr>
              <w:t>3</w:t>
            </w:r>
          </w:p>
        </w:tc>
        <w:tc>
          <w:tcPr>
            <w:tcW w:w="1138" w:type="dxa"/>
            <w:vMerge w:val="continue"/>
            <w:shd w:val="clear" w:color="auto" w:fill="auto"/>
            <w:vAlign w:val="center"/>
          </w:tcPr>
          <w:p>
            <w:pPr>
              <w:jc w:val="center"/>
              <w:rPr>
                <w:rFonts w:ascii="仿宋" w:hAnsi="仿宋" w:eastAsia="仿宋"/>
                <w:kern w:val="0"/>
                <w:szCs w:val="21"/>
              </w:rPr>
            </w:pPr>
          </w:p>
        </w:tc>
        <w:tc>
          <w:tcPr>
            <w:tcW w:w="884" w:type="dxa"/>
            <w:vAlign w:val="center"/>
          </w:tcPr>
          <w:p>
            <w:pPr>
              <w:widowControl/>
              <w:jc w:val="center"/>
              <w:rPr>
                <w:rFonts w:ascii="仿宋" w:hAnsi="仿宋" w:eastAsia="仿宋"/>
                <w:kern w:val="0"/>
                <w:szCs w:val="21"/>
              </w:rPr>
            </w:pPr>
            <w:r>
              <w:rPr>
                <w:rFonts w:ascii="仿宋" w:hAnsi="仿宋" w:eastAsia="仿宋"/>
                <w:kern w:val="0"/>
                <w:szCs w:val="21"/>
              </w:rPr>
              <w:t>TP</w:t>
            </w:r>
          </w:p>
        </w:tc>
        <w:tc>
          <w:tcPr>
            <w:tcW w:w="708" w:type="dxa"/>
            <w:vAlign w:val="center"/>
          </w:tcPr>
          <w:p>
            <w:pPr>
              <w:spacing w:line="240" w:lineRule="exact"/>
              <w:jc w:val="center"/>
              <w:rPr>
                <w:rFonts w:ascii="仿宋" w:hAnsi="仿宋" w:eastAsia="仿宋"/>
                <w:kern w:val="0"/>
                <w:szCs w:val="21"/>
              </w:rPr>
            </w:pPr>
            <w:r>
              <w:rPr>
                <w:rFonts w:hint="eastAsia" w:ascii="仿宋" w:hAnsi="仿宋" w:eastAsia="仿宋" w:cs="仿宋"/>
                <w:bCs/>
                <w:szCs w:val="21"/>
              </w:rPr>
              <w:t>3</w:t>
            </w:r>
          </w:p>
        </w:tc>
        <w:tc>
          <w:tcPr>
            <w:tcW w:w="906" w:type="dxa"/>
            <w:vAlign w:val="center"/>
          </w:tcPr>
          <w:p>
            <w:pPr>
              <w:spacing w:line="240" w:lineRule="exact"/>
              <w:jc w:val="center"/>
              <w:rPr>
                <w:rFonts w:ascii="仿宋" w:hAnsi="仿宋" w:eastAsia="仿宋" w:cs="仿宋"/>
                <w:bCs/>
                <w:szCs w:val="21"/>
              </w:rPr>
            </w:pPr>
            <w:r>
              <w:rPr>
                <w:rFonts w:hint="eastAsia" w:eastAsia="仿宋_GB2312"/>
                <w:kern w:val="0"/>
                <w:szCs w:val="21"/>
              </w:rPr>
              <w:t>0.0</w:t>
            </w:r>
            <w:r>
              <w:rPr>
                <w:rFonts w:eastAsia="仿宋_GB2312"/>
                <w:kern w:val="0"/>
                <w:szCs w:val="21"/>
              </w:rPr>
              <w:t>0</w:t>
            </w:r>
            <w:r>
              <w:rPr>
                <w:rFonts w:hint="eastAsia" w:eastAsia="仿宋_GB2312"/>
                <w:kern w:val="0"/>
                <w:szCs w:val="21"/>
              </w:rPr>
              <w:t>3</w:t>
            </w:r>
          </w:p>
        </w:tc>
        <w:tc>
          <w:tcPr>
            <w:tcW w:w="578" w:type="dxa"/>
            <w:vAlign w:val="center"/>
          </w:tcPr>
          <w:p>
            <w:pPr>
              <w:jc w:val="center"/>
              <w:rPr>
                <w:rFonts w:ascii="仿宋" w:hAnsi="仿宋" w:eastAsia="仿宋"/>
                <w:kern w:val="0"/>
                <w:szCs w:val="21"/>
              </w:rPr>
            </w:pPr>
            <w:r>
              <w:rPr>
                <w:rFonts w:hint="eastAsia" w:ascii="仿宋" w:hAnsi="仿宋" w:eastAsia="仿宋"/>
                <w:kern w:val="0"/>
                <w:szCs w:val="21"/>
              </w:rPr>
              <w:t>3</w:t>
            </w:r>
          </w:p>
        </w:tc>
        <w:tc>
          <w:tcPr>
            <w:tcW w:w="1020" w:type="dxa"/>
            <w:vMerge w:val="continue"/>
            <w:vAlign w:val="center"/>
          </w:tcPr>
          <w:p>
            <w:pPr>
              <w:jc w:val="center"/>
              <w:rPr>
                <w:rFonts w:ascii="仿宋" w:hAnsi="仿宋"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vMerge w:val="continue"/>
            <w:vAlign w:val="center"/>
          </w:tcPr>
          <w:p>
            <w:pPr>
              <w:widowControl/>
              <w:jc w:val="center"/>
              <w:rPr>
                <w:rFonts w:ascii="仿宋" w:hAnsi="仿宋" w:eastAsia="仿宋"/>
                <w:kern w:val="0"/>
                <w:szCs w:val="21"/>
              </w:rPr>
            </w:pPr>
          </w:p>
        </w:tc>
        <w:tc>
          <w:tcPr>
            <w:tcW w:w="709" w:type="dxa"/>
            <w:vMerge w:val="continue"/>
            <w:vAlign w:val="center"/>
          </w:tcPr>
          <w:p>
            <w:pPr>
              <w:widowControl/>
              <w:jc w:val="center"/>
              <w:rPr>
                <w:rFonts w:ascii="仿宋" w:hAnsi="仿宋" w:eastAsia="仿宋"/>
                <w:kern w:val="0"/>
                <w:szCs w:val="21"/>
              </w:rPr>
            </w:pPr>
          </w:p>
        </w:tc>
        <w:tc>
          <w:tcPr>
            <w:tcW w:w="785" w:type="dxa"/>
            <w:vMerge w:val="continue"/>
            <w:vAlign w:val="center"/>
          </w:tcPr>
          <w:p>
            <w:pPr>
              <w:widowControl/>
              <w:jc w:val="center"/>
              <w:rPr>
                <w:rFonts w:ascii="仿宋" w:hAnsi="仿宋" w:eastAsia="仿宋"/>
                <w:kern w:val="0"/>
                <w:szCs w:val="21"/>
              </w:rPr>
            </w:pPr>
          </w:p>
        </w:tc>
        <w:tc>
          <w:tcPr>
            <w:tcW w:w="868" w:type="dxa"/>
            <w:shd w:val="clear" w:color="auto" w:fill="auto"/>
            <w:vAlign w:val="center"/>
          </w:tcPr>
          <w:p>
            <w:pPr>
              <w:widowControl/>
              <w:jc w:val="center"/>
              <w:rPr>
                <w:rFonts w:ascii="仿宋" w:hAnsi="仿宋" w:eastAsia="仿宋"/>
                <w:kern w:val="0"/>
                <w:szCs w:val="21"/>
              </w:rPr>
            </w:pPr>
            <w:r>
              <w:rPr>
                <w:rFonts w:hint="eastAsia" w:ascii="仿宋" w:hAnsi="仿宋" w:eastAsia="仿宋"/>
                <w:kern w:val="0"/>
                <w:szCs w:val="21"/>
              </w:rPr>
              <w:t>TN</w:t>
            </w:r>
          </w:p>
        </w:tc>
        <w:tc>
          <w:tcPr>
            <w:tcW w:w="805" w:type="dxa"/>
            <w:shd w:val="clear" w:color="auto" w:fill="auto"/>
            <w:vAlign w:val="center"/>
          </w:tcPr>
          <w:p>
            <w:pPr>
              <w:spacing w:line="240" w:lineRule="exact"/>
              <w:jc w:val="center"/>
              <w:rPr>
                <w:rFonts w:ascii="仿宋" w:hAnsi="仿宋" w:eastAsia="仿宋"/>
                <w:kern w:val="0"/>
                <w:szCs w:val="21"/>
              </w:rPr>
            </w:pPr>
            <w:r>
              <w:rPr>
                <w:rFonts w:hint="eastAsia" w:ascii="仿宋" w:hAnsi="仿宋" w:eastAsia="仿宋" w:cs="仿宋"/>
                <w:bCs/>
                <w:szCs w:val="21"/>
              </w:rPr>
              <w:t>40</w:t>
            </w:r>
          </w:p>
        </w:tc>
        <w:tc>
          <w:tcPr>
            <w:tcW w:w="859" w:type="dxa"/>
            <w:shd w:val="clear" w:color="auto" w:fill="auto"/>
            <w:vAlign w:val="center"/>
          </w:tcPr>
          <w:p>
            <w:pPr>
              <w:spacing w:line="240" w:lineRule="exact"/>
              <w:jc w:val="center"/>
              <w:rPr>
                <w:rFonts w:ascii="仿宋" w:hAnsi="仿宋" w:eastAsia="仿宋" w:cs="仿宋"/>
                <w:bCs/>
                <w:szCs w:val="21"/>
              </w:rPr>
            </w:pPr>
            <w:r>
              <w:rPr>
                <w:rFonts w:hint="eastAsia" w:eastAsia="仿宋_GB2312"/>
                <w:kern w:val="0"/>
                <w:szCs w:val="21"/>
              </w:rPr>
              <w:t>0.</w:t>
            </w:r>
            <w:r>
              <w:rPr>
                <w:rFonts w:eastAsia="仿宋_GB2312"/>
                <w:kern w:val="0"/>
                <w:szCs w:val="21"/>
              </w:rPr>
              <w:t>0</w:t>
            </w:r>
            <w:r>
              <w:rPr>
                <w:rFonts w:hint="eastAsia" w:eastAsia="仿宋_GB2312"/>
                <w:kern w:val="0"/>
                <w:szCs w:val="21"/>
              </w:rPr>
              <w:t>4</w:t>
            </w:r>
          </w:p>
        </w:tc>
        <w:tc>
          <w:tcPr>
            <w:tcW w:w="1138" w:type="dxa"/>
            <w:vMerge w:val="continue"/>
            <w:shd w:val="clear" w:color="auto" w:fill="auto"/>
            <w:vAlign w:val="center"/>
          </w:tcPr>
          <w:p>
            <w:pPr>
              <w:jc w:val="center"/>
              <w:rPr>
                <w:rFonts w:ascii="仿宋" w:hAnsi="仿宋" w:eastAsia="仿宋"/>
                <w:kern w:val="0"/>
                <w:szCs w:val="21"/>
              </w:rPr>
            </w:pPr>
          </w:p>
        </w:tc>
        <w:tc>
          <w:tcPr>
            <w:tcW w:w="884" w:type="dxa"/>
            <w:vAlign w:val="center"/>
          </w:tcPr>
          <w:p>
            <w:pPr>
              <w:widowControl/>
              <w:jc w:val="center"/>
              <w:rPr>
                <w:rFonts w:ascii="仿宋" w:hAnsi="仿宋" w:eastAsia="仿宋"/>
                <w:kern w:val="0"/>
                <w:szCs w:val="21"/>
              </w:rPr>
            </w:pPr>
            <w:r>
              <w:rPr>
                <w:rFonts w:hint="eastAsia" w:ascii="仿宋" w:hAnsi="仿宋" w:eastAsia="仿宋"/>
                <w:kern w:val="0"/>
                <w:szCs w:val="21"/>
              </w:rPr>
              <w:t>TN</w:t>
            </w:r>
          </w:p>
        </w:tc>
        <w:tc>
          <w:tcPr>
            <w:tcW w:w="708" w:type="dxa"/>
            <w:vAlign w:val="center"/>
          </w:tcPr>
          <w:p>
            <w:pPr>
              <w:spacing w:line="240" w:lineRule="exact"/>
              <w:jc w:val="center"/>
              <w:rPr>
                <w:rFonts w:ascii="仿宋" w:hAnsi="仿宋" w:eastAsia="仿宋"/>
                <w:kern w:val="0"/>
                <w:szCs w:val="21"/>
              </w:rPr>
            </w:pPr>
            <w:r>
              <w:rPr>
                <w:rFonts w:hint="eastAsia" w:ascii="仿宋" w:hAnsi="仿宋" w:eastAsia="仿宋" w:cs="仿宋"/>
                <w:bCs/>
                <w:szCs w:val="21"/>
              </w:rPr>
              <w:t>40</w:t>
            </w:r>
          </w:p>
        </w:tc>
        <w:tc>
          <w:tcPr>
            <w:tcW w:w="906" w:type="dxa"/>
            <w:vAlign w:val="center"/>
          </w:tcPr>
          <w:p>
            <w:pPr>
              <w:spacing w:line="240" w:lineRule="exact"/>
              <w:jc w:val="center"/>
              <w:rPr>
                <w:rFonts w:ascii="仿宋" w:hAnsi="仿宋" w:eastAsia="仿宋" w:cs="仿宋"/>
                <w:bCs/>
                <w:szCs w:val="21"/>
              </w:rPr>
            </w:pPr>
            <w:r>
              <w:rPr>
                <w:rFonts w:hint="eastAsia" w:eastAsia="仿宋_GB2312"/>
                <w:kern w:val="0"/>
                <w:szCs w:val="21"/>
              </w:rPr>
              <w:t>0.</w:t>
            </w:r>
            <w:r>
              <w:rPr>
                <w:rFonts w:eastAsia="仿宋_GB2312"/>
                <w:kern w:val="0"/>
                <w:szCs w:val="21"/>
              </w:rPr>
              <w:t>0</w:t>
            </w:r>
            <w:r>
              <w:rPr>
                <w:rFonts w:hint="eastAsia" w:eastAsia="仿宋_GB2312"/>
                <w:kern w:val="0"/>
                <w:szCs w:val="21"/>
              </w:rPr>
              <w:t>4</w:t>
            </w:r>
          </w:p>
        </w:tc>
        <w:tc>
          <w:tcPr>
            <w:tcW w:w="578" w:type="dxa"/>
            <w:vAlign w:val="center"/>
          </w:tcPr>
          <w:p>
            <w:pPr>
              <w:jc w:val="center"/>
              <w:rPr>
                <w:rFonts w:ascii="仿宋" w:hAnsi="仿宋" w:eastAsia="仿宋"/>
                <w:kern w:val="0"/>
                <w:szCs w:val="21"/>
              </w:rPr>
            </w:pPr>
            <w:r>
              <w:rPr>
                <w:rFonts w:hint="eastAsia" w:ascii="仿宋" w:hAnsi="仿宋" w:eastAsia="仿宋"/>
                <w:kern w:val="0"/>
                <w:szCs w:val="21"/>
              </w:rPr>
              <w:t>50</w:t>
            </w:r>
          </w:p>
        </w:tc>
        <w:tc>
          <w:tcPr>
            <w:tcW w:w="1020" w:type="dxa"/>
            <w:vMerge w:val="continue"/>
            <w:vAlign w:val="center"/>
          </w:tcPr>
          <w:p>
            <w:pPr>
              <w:jc w:val="center"/>
              <w:rPr>
                <w:rFonts w:ascii="仿宋" w:hAnsi="仿宋" w:eastAsia="仿宋"/>
                <w:kern w:val="0"/>
                <w:szCs w:val="21"/>
              </w:rPr>
            </w:pPr>
          </w:p>
        </w:tc>
      </w:tr>
    </w:tbl>
    <w:p>
      <w:pPr>
        <w:pStyle w:val="4"/>
        <w:keepLines w:val="0"/>
        <w:numPr>
          <w:ilvl w:val="2"/>
          <w:numId w:val="1"/>
        </w:numPr>
        <w:tabs>
          <w:tab w:val="left" w:pos="709"/>
        </w:tabs>
        <w:spacing w:before="120" w:beforeLines="50" w:after="120" w:afterLines="50" w:line="500" w:lineRule="exact"/>
        <w:ind w:left="452" w:hanging="452" w:hangingChars="150"/>
        <w:rPr>
          <w:rFonts w:eastAsia="仿宋_GB2312"/>
          <w:sz w:val="30"/>
          <w:szCs w:val="30"/>
        </w:rPr>
      </w:pPr>
      <w:r>
        <w:rPr>
          <w:rFonts w:eastAsia="仿宋_GB2312"/>
          <w:sz w:val="30"/>
          <w:szCs w:val="30"/>
        </w:rPr>
        <w:t>废气污染物源强及排放情况</w:t>
      </w:r>
    </w:p>
    <w:bookmarkEnd w:id="248"/>
    <w:p>
      <w:pPr>
        <w:spacing w:line="500" w:lineRule="exact"/>
        <w:ind w:firstLine="562" w:firstLineChars="200"/>
        <w:rPr>
          <w:rFonts w:eastAsia="仿宋_GB2312"/>
          <w:b/>
          <w:bCs/>
          <w:sz w:val="28"/>
          <w:szCs w:val="28"/>
        </w:rPr>
      </w:pPr>
      <w:r>
        <w:rPr>
          <w:rFonts w:hint="eastAsia" w:eastAsia="仿宋_GB2312"/>
          <w:b/>
          <w:bCs/>
          <w:sz w:val="28"/>
          <w:szCs w:val="28"/>
        </w:rPr>
        <w:t>一、</w:t>
      </w:r>
      <w:r>
        <w:rPr>
          <w:rFonts w:eastAsia="仿宋_GB2312"/>
          <w:b/>
          <w:bCs/>
          <w:sz w:val="28"/>
          <w:szCs w:val="28"/>
        </w:rPr>
        <w:t>正常工况</w:t>
      </w:r>
    </w:p>
    <w:p>
      <w:pPr>
        <w:spacing w:line="500" w:lineRule="exact"/>
        <w:ind w:firstLine="560" w:firstLineChars="200"/>
        <w:rPr>
          <w:rFonts w:eastAsia="仿宋_GB2312"/>
          <w:bCs/>
          <w:sz w:val="28"/>
          <w:szCs w:val="28"/>
        </w:rPr>
        <w:sectPr>
          <w:pgSz w:w="11907" w:h="16840"/>
          <w:pgMar w:top="1440" w:right="1800" w:bottom="1440" w:left="1800" w:header="851" w:footer="992" w:gutter="0"/>
          <w:cols w:space="425" w:num="1"/>
          <w:docGrid w:linePitch="312" w:charSpace="0"/>
        </w:sectPr>
      </w:pPr>
      <w:bookmarkStart w:id="249" w:name="_Ref472687671"/>
      <w:r>
        <w:rPr>
          <w:rFonts w:eastAsia="仿宋_GB2312"/>
          <w:bCs/>
          <w:sz w:val="28"/>
          <w:szCs w:val="28"/>
        </w:rPr>
        <w:t>本项目建成后有组织废气产排情况见表3.</w:t>
      </w:r>
      <w:r>
        <w:rPr>
          <w:rFonts w:hint="eastAsia" w:eastAsia="仿宋_GB2312"/>
          <w:bCs/>
          <w:sz w:val="28"/>
          <w:szCs w:val="28"/>
        </w:rPr>
        <w:t>3</w:t>
      </w:r>
      <w:r>
        <w:rPr>
          <w:rFonts w:eastAsia="仿宋_GB2312"/>
          <w:bCs/>
          <w:sz w:val="28"/>
          <w:szCs w:val="28"/>
        </w:rPr>
        <w:t>-2</w:t>
      </w:r>
      <w:r>
        <w:rPr>
          <w:rFonts w:hint="eastAsia" w:eastAsia="仿宋_GB2312"/>
          <w:bCs/>
          <w:sz w:val="28"/>
          <w:szCs w:val="28"/>
        </w:rPr>
        <w:t>，</w:t>
      </w:r>
      <w:r>
        <w:rPr>
          <w:rFonts w:eastAsia="仿宋_GB2312"/>
          <w:bCs/>
          <w:sz w:val="28"/>
          <w:szCs w:val="28"/>
        </w:rPr>
        <w:t>无组织废气</w:t>
      </w:r>
      <w:r>
        <w:rPr>
          <w:rFonts w:hint="eastAsia" w:eastAsia="仿宋_GB2312"/>
          <w:bCs/>
          <w:sz w:val="28"/>
          <w:szCs w:val="28"/>
        </w:rPr>
        <w:t>产排情况</w:t>
      </w:r>
      <w:r>
        <w:rPr>
          <w:rFonts w:eastAsia="仿宋_GB2312"/>
          <w:bCs/>
          <w:sz w:val="28"/>
          <w:szCs w:val="28"/>
        </w:rPr>
        <w:t>见表3.</w:t>
      </w:r>
      <w:r>
        <w:rPr>
          <w:rFonts w:hint="eastAsia" w:eastAsia="仿宋_GB2312"/>
          <w:bCs/>
          <w:sz w:val="28"/>
          <w:szCs w:val="28"/>
        </w:rPr>
        <w:t>3</w:t>
      </w:r>
      <w:r>
        <w:rPr>
          <w:rFonts w:eastAsia="仿宋_GB2312"/>
          <w:bCs/>
          <w:sz w:val="28"/>
          <w:szCs w:val="28"/>
        </w:rPr>
        <w:t>-3</w:t>
      </w:r>
      <w:r>
        <w:rPr>
          <w:rFonts w:hint="eastAsia" w:eastAsia="仿宋_GB2312"/>
          <w:bCs/>
          <w:sz w:val="28"/>
          <w:szCs w:val="28"/>
        </w:rPr>
        <w:t>。</w:t>
      </w:r>
    </w:p>
    <w:p>
      <w:pPr>
        <w:spacing w:line="500" w:lineRule="exact"/>
        <w:jc w:val="center"/>
        <w:rPr>
          <w:rFonts w:eastAsia="仿宋_GB2312"/>
          <w:b/>
          <w:sz w:val="24"/>
        </w:rPr>
      </w:pPr>
      <w:r>
        <w:rPr>
          <w:rFonts w:eastAsia="仿宋_GB2312"/>
          <w:b/>
          <w:sz w:val="24"/>
        </w:rPr>
        <w:t>表</w:t>
      </w:r>
      <w:bookmarkEnd w:id="249"/>
      <w:r>
        <w:rPr>
          <w:rFonts w:eastAsia="仿宋_GB2312"/>
          <w:b/>
          <w:sz w:val="24"/>
        </w:rPr>
        <w:t>3.</w:t>
      </w:r>
      <w:r>
        <w:rPr>
          <w:rFonts w:hint="eastAsia" w:eastAsia="仿宋_GB2312"/>
          <w:b/>
          <w:sz w:val="24"/>
        </w:rPr>
        <w:t>3</w:t>
      </w:r>
      <w:r>
        <w:rPr>
          <w:rFonts w:eastAsia="仿宋_GB2312"/>
          <w:b/>
          <w:sz w:val="24"/>
        </w:rPr>
        <w:t>-2  本项目有组织废气产生源强及排放情况</w:t>
      </w:r>
    </w:p>
    <w:tbl>
      <w:tblPr>
        <w:tblStyle w:val="87"/>
        <w:tblW w:w="5140" w:type="pct"/>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5"/>
        <w:gridCol w:w="422"/>
        <w:gridCol w:w="678"/>
        <w:gridCol w:w="763"/>
        <w:gridCol w:w="1079"/>
        <w:gridCol w:w="802"/>
        <w:gridCol w:w="927"/>
        <w:gridCol w:w="993"/>
        <w:gridCol w:w="684"/>
        <w:gridCol w:w="841"/>
        <w:gridCol w:w="1069"/>
        <w:gridCol w:w="775"/>
        <w:gridCol w:w="750"/>
        <w:gridCol w:w="901"/>
        <w:gridCol w:w="720"/>
        <w:gridCol w:w="625"/>
        <w:gridCol w:w="698"/>
        <w:gridCol w:w="730"/>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24" w:type="dxa"/>
            <w:gridSpan w:val="2"/>
            <w:vMerge w:val="restart"/>
            <w:shd w:val="clear" w:color="auto" w:fill="auto"/>
            <w:vAlign w:val="center"/>
          </w:tcPr>
          <w:p>
            <w:pPr>
              <w:widowControl/>
              <w:jc w:val="center"/>
              <w:rPr>
                <w:rFonts w:ascii="仿宋" w:hAnsi="仿宋" w:eastAsia="仿宋" w:cs="宋体"/>
                <w:bCs/>
                <w:kern w:val="0"/>
                <w:sz w:val="18"/>
                <w:szCs w:val="18"/>
              </w:rPr>
            </w:pPr>
            <w:r>
              <w:rPr>
                <w:rFonts w:hint="eastAsia" w:ascii="仿宋" w:hAnsi="仿宋" w:eastAsia="仿宋" w:cs="宋体"/>
                <w:bCs/>
                <w:kern w:val="0"/>
                <w:sz w:val="18"/>
                <w:szCs w:val="18"/>
              </w:rPr>
              <w:t>污染源及编号</w:t>
            </w:r>
          </w:p>
        </w:tc>
        <w:tc>
          <w:tcPr>
            <w:tcW w:w="677" w:type="dxa"/>
            <w:vMerge w:val="restart"/>
            <w:shd w:val="clear" w:color="auto" w:fill="auto"/>
            <w:vAlign w:val="center"/>
          </w:tcPr>
          <w:p>
            <w:pPr>
              <w:widowControl/>
              <w:jc w:val="center"/>
              <w:rPr>
                <w:rFonts w:ascii="仿宋" w:hAnsi="仿宋" w:eastAsia="仿宋" w:cs="宋体"/>
                <w:bCs/>
                <w:kern w:val="0"/>
                <w:sz w:val="18"/>
                <w:szCs w:val="18"/>
              </w:rPr>
            </w:pPr>
            <w:r>
              <w:rPr>
                <w:rFonts w:hint="eastAsia" w:ascii="仿宋" w:hAnsi="仿宋" w:eastAsia="仿宋" w:cs="宋体"/>
                <w:bCs/>
                <w:kern w:val="0"/>
                <w:sz w:val="18"/>
                <w:szCs w:val="18"/>
              </w:rPr>
              <w:t>排气量</w:t>
            </w:r>
            <w:r>
              <w:rPr>
                <w:rFonts w:ascii="仿宋" w:hAnsi="仿宋" w:eastAsia="仿宋"/>
                <w:bCs/>
                <w:kern w:val="0"/>
                <w:sz w:val="18"/>
                <w:szCs w:val="18"/>
              </w:rPr>
              <w:t>(m</w:t>
            </w:r>
            <w:r>
              <w:rPr>
                <w:rFonts w:ascii="仿宋" w:hAnsi="仿宋" w:eastAsia="仿宋"/>
                <w:bCs/>
                <w:kern w:val="0"/>
                <w:sz w:val="18"/>
                <w:szCs w:val="18"/>
                <w:vertAlign w:val="superscript"/>
              </w:rPr>
              <w:t>3</w:t>
            </w:r>
            <w:r>
              <w:rPr>
                <w:rFonts w:ascii="仿宋" w:hAnsi="仿宋" w:eastAsia="仿宋"/>
                <w:bCs/>
                <w:kern w:val="0"/>
                <w:sz w:val="18"/>
                <w:szCs w:val="18"/>
              </w:rPr>
              <w:t>/h)</w:t>
            </w:r>
          </w:p>
        </w:tc>
        <w:tc>
          <w:tcPr>
            <w:tcW w:w="763" w:type="dxa"/>
            <w:vMerge w:val="restart"/>
            <w:shd w:val="clear" w:color="auto" w:fill="auto"/>
            <w:vAlign w:val="center"/>
          </w:tcPr>
          <w:p>
            <w:pPr>
              <w:widowControl/>
              <w:jc w:val="center"/>
              <w:rPr>
                <w:rFonts w:ascii="仿宋" w:hAnsi="仿宋" w:eastAsia="仿宋" w:cs="宋体"/>
                <w:bCs/>
                <w:kern w:val="0"/>
                <w:sz w:val="18"/>
                <w:szCs w:val="18"/>
              </w:rPr>
            </w:pPr>
            <w:r>
              <w:rPr>
                <w:rFonts w:hint="eastAsia" w:ascii="仿宋" w:hAnsi="仿宋" w:eastAsia="仿宋" w:cs="宋体"/>
                <w:bCs/>
                <w:kern w:val="0"/>
                <w:sz w:val="18"/>
                <w:szCs w:val="18"/>
              </w:rPr>
              <w:t>污染物名称</w:t>
            </w:r>
          </w:p>
        </w:tc>
        <w:tc>
          <w:tcPr>
            <w:tcW w:w="2811" w:type="dxa"/>
            <w:gridSpan w:val="3"/>
            <w:shd w:val="clear" w:color="auto" w:fill="auto"/>
            <w:vAlign w:val="center"/>
          </w:tcPr>
          <w:p>
            <w:pPr>
              <w:widowControl/>
              <w:jc w:val="center"/>
              <w:rPr>
                <w:rFonts w:ascii="仿宋" w:hAnsi="仿宋" w:eastAsia="仿宋" w:cs="宋体"/>
                <w:bCs/>
                <w:kern w:val="0"/>
                <w:sz w:val="18"/>
                <w:szCs w:val="18"/>
              </w:rPr>
            </w:pPr>
            <w:r>
              <w:rPr>
                <w:rFonts w:hint="eastAsia" w:ascii="仿宋" w:hAnsi="仿宋" w:eastAsia="仿宋" w:cs="宋体"/>
                <w:bCs/>
                <w:kern w:val="0"/>
                <w:sz w:val="18"/>
                <w:szCs w:val="18"/>
              </w:rPr>
              <w:t>产生状况</w:t>
            </w:r>
          </w:p>
        </w:tc>
        <w:tc>
          <w:tcPr>
            <w:tcW w:w="994" w:type="dxa"/>
            <w:vMerge w:val="restart"/>
            <w:shd w:val="clear" w:color="auto" w:fill="auto"/>
            <w:vAlign w:val="center"/>
          </w:tcPr>
          <w:p>
            <w:pPr>
              <w:widowControl/>
              <w:jc w:val="center"/>
              <w:rPr>
                <w:rFonts w:ascii="仿宋" w:hAnsi="仿宋" w:eastAsia="仿宋" w:cs="宋体"/>
                <w:bCs/>
                <w:kern w:val="0"/>
                <w:sz w:val="18"/>
                <w:szCs w:val="18"/>
              </w:rPr>
            </w:pPr>
            <w:r>
              <w:rPr>
                <w:rFonts w:hint="eastAsia" w:ascii="仿宋" w:hAnsi="仿宋" w:eastAsia="仿宋" w:cs="宋体"/>
                <w:bCs/>
                <w:kern w:val="0"/>
                <w:sz w:val="18"/>
                <w:szCs w:val="18"/>
              </w:rPr>
              <w:t>拟采取的措施</w:t>
            </w:r>
          </w:p>
        </w:tc>
        <w:tc>
          <w:tcPr>
            <w:tcW w:w="683" w:type="dxa"/>
            <w:vMerge w:val="restart"/>
            <w:shd w:val="clear" w:color="auto" w:fill="auto"/>
            <w:vAlign w:val="center"/>
          </w:tcPr>
          <w:p>
            <w:pPr>
              <w:widowControl/>
              <w:jc w:val="center"/>
              <w:rPr>
                <w:rFonts w:ascii="仿宋" w:hAnsi="仿宋" w:eastAsia="仿宋" w:cs="宋体"/>
                <w:bCs/>
                <w:kern w:val="0"/>
                <w:sz w:val="18"/>
                <w:szCs w:val="18"/>
              </w:rPr>
            </w:pPr>
            <w:r>
              <w:rPr>
                <w:rFonts w:hint="eastAsia" w:ascii="仿宋" w:hAnsi="仿宋" w:eastAsia="仿宋" w:cs="宋体"/>
                <w:bCs/>
                <w:kern w:val="0"/>
                <w:sz w:val="18"/>
                <w:szCs w:val="18"/>
              </w:rPr>
              <w:t>去除率</w:t>
            </w:r>
            <w:r>
              <w:rPr>
                <w:rFonts w:ascii="仿宋" w:hAnsi="仿宋" w:eastAsia="仿宋"/>
                <w:bCs/>
                <w:kern w:val="0"/>
                <w:sz w:val="18"/>
                <w:szCs w:val="18"/>
              </w:rPr>
              <w:t>(%)</w:t>
            </w:r>
          </w:p>
        </w:tc>
        <w:tc>
          <w:tcPr>
            <w:tcW w:w="3438" w:type="dxa"/>
            <w:gridSpan w:val="4"/>
            <w:shd w:val="clear" w:color="auto" w:fill="auto"/>
            <w:vAlign w:val="center"/>
          </w:tcPr>
          <w:p>
            <w:pPr>
              <w:widowControl/>
              <w:jc w:val="center"/>
              <w:rPr>
                <w:rFonts w:ascii="仿宋" w:hAnsi="仿宋" w:eastAsia="仿宋" w:cs="宋体"/>
                <w:bCs/>
                <w:kern w:val="0"/>
                <w:sz w:val="18"/>
                <w:szCs w:val="18"/>
              </w:rPr>
            </w:pPr>
            <w:r>
              <w:rPr>
                <w:rFonts w:hint="eastAsia" w:ascii="仿宋" w:hAnsi="仿宋" w:eastAsia="仿宋" w:cs="宋体"/>
                <w:bCs/>
                <w:kern w:val="0"/>
                <w:sz w:val="18"/>
                <w:szCs w:val="18"/>
              </w:rPr>
              <w:t>排放状况</w:t>
            </w:r>
          </w:p>
        </w:tc>
        <w:tc>
          <w:tcPr>
            <w:tcW w:w="1622" w:type="dxa"/>
            <w:gridSpan w:val="2"/>
            <w:shd w:val="clear" w:color="auto" w:fill="auto"/>
            <w:vAlign w:val="center"/>
          </w:tcPr>
          <w:p>
            <w:pPr>
              <w:widowControl/>
              <w:jc w:val="center"/>
              <w:rPr>
                <w:rFonts w:ascii="仿宋" w:hAnsi="仿宋" w:eastAsia="仿宋" w:cs="宋体"/>
                <w:bCs/>
                <w:kern w:val="0"/>
                <w:sz w:val="18"/>
                <w:szCs w:val="18"/>
              </w:rPr>
            </w:pPr>
            <w:r>
              <w:rPr>
                <w:rFonts w:hint="eastAsia" w:ascii="仿宋" w:hAnsi="仿宋" w:eastAsia="仿宋" w:cs="宋体"/>
                <w:bCs/>
                <w:kern w:val="0"/>
                <w:sz w:val="18"/>
                <w:szCs w:val="18"/>
              </w:rPr>
              <w:t>执行标准</w:t>
            </w:r>
          </w:p>
        </w:tc>
        <w:tc>
          <w:tcPr>
            <w:tcW w:w="2051" w:type="dxa"/>
            <w:gridSpan w:val="3"/>
            <w:shd w:val="clear" w:color="auto" w:fill="auto"/>
            <w:vAlign w:val="center"/>
          </w:tcPr>
          <w:p>
            <w:pPr>
              <w:widowControl/>
              <w:jc w:val="center"/>
              <w:rPr>
                <w:rFonts w:ascii="仿宋" w:hAnsi="仿宋" w:eastAsia="仿宋" w:cs="宋体"/>
                <w:bCs/>
                <w:kern w:val="0"/>
                <w:sz w:val="18"/>
                <w:szCs w:val="18"/>
              </w:rPr>
            </w:pPr>
            <w:r>
              <w:rPr>
                <w:rFonts w:hint="eastAsia" w:ascii="仿宋" w:hAnsi="仿宋" w:eastAsia="仿宋" w:cs="宋体"/>
                <w:bCs/>
                <w:kern w:val="0"/>
                <w:sz w:val="18"/>
                <w:szCs w:val="18"/>
              </w:rPr>
              <w:t>排放源参数</w:t>
            </w:r>
          </w:p>
        </w:tc>
        <w:tc>
          <w:tcPr>
            <w:tcW w:w="709" w:type="dxa"/>
            <w:vMerge w:val="restart"/>
            <w:shd w:val="clear" w:color="auto" w:fill="auto"/>
            <w:vAlign w:val="center"/>
          </w:tcPr>
          <w:p>
            <w:pPr>
              <w:widowControl/>
              <w:jc w:val="center"/>
              <w:rPr>
                <w:rFonts w:ascii="仿宋" w:hAnsi="仿宋" w:eastAsia="仿宋" w:cs="宋体"/>
                <w:bCs/>
                <w:kern w:val="0"/>
                <w:sz w:val="18"/>
                <w:szCs w:val="18"/>
              </w:rPr>
            </w:pPr>
            <w:r>
              <w:rPr>
                <w:rFonts w:hint="eastAsia" w:ascii="仿宋" w:hAnsi="仿宋" w:eastAsia="仿宋" w:cs="宋体"/>
                <w:bCs/>
                <w:kern w:val="0"/>
                <w:sz w:val="18"/>
                <w:szCs w:val="18"/>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824" w:type="dxa"/>
            <w:gridSpan w:val="2"/>
            <w:vMerge w:val="continue"/>
            <w:vAlign w:val="center"/>
          </w:tcPr>
          <w:p>
            <w:pPr>
              <w:widowControl/>
              <w:jc w:val="center"/>
              <w:rPr>
                <w:rFonts w:ascii="仿宋" w:hAnsi="仿宋" w:eastAsia="仿宋" w:cs="宋体"/>
                <w:b/>
                <w:bCs/>
                <w:kern w:val="0"/>
                <w:sz w:val="18"/>
                <w:szCs w:val="18"/>
              </w:rPr>
            </w:pPr>
          </w:p>
        </w:tc>
        <w:tc>
          <w:tcPr>
            <w:tcW w:w="677" w:type="dxa"/>
            <w:vMerge w:val="continue"/>
            <w:vAlign w:val="center"/>
          </w:tcPr>
          <w:p>
            <w:pPr>
              <w:widowControl/>
              <w:jc w:val="center"/>
              <w:rPr>
                <w:rFonts w:ascii="仿宋" w:hAnsi="仿宋" w:eastAsia="仿宋" w:cs="宋体"/>
                <w:b/>
                <w:bCs/>
                <w:kern w:val="0"/>
                <w:sz w:val="18"/>
                <w:szCs w:val="18"/>
              </w:rPr>
            </w:pPr>
          </w:p>
        </w:tc>
        <w:tc>
          <w:tcPr>
            <w:tcW w:w="763" w:type="dxa"/>
            <w:vMerge w:val="continue"/>
            <w:vAlign w:val="center"/>
          </w:tcPr>
          <w:p>
            <w:pPr>
              <w:widowControl/>
              <w:jc w:val="center"/>
              <w:rPr>
                <w:rFonts w:ascii="仿宋" w:hAnsi="仿宋" w:eastAsia="仿宋" w:cs="宋体"/>
                <w:b/>
                <w:bCs/>
                <w:kern w:val="0"/>
                <w:sz w:val="18"/>
                <w:szCs w:val="18"/>
              </w:rPr>
            </w:pPr>
          </w:p>
        </w:tc>
        <w:tc>
          <w:tcPr>
            <w:tcW w:w="1081" w:type="dxa"/>
            <w:shd w:val="clear" w:color="auto" w:fill="auto"/>
            <w:vAlign w:val="center"/>
          </w:tcPr>
          <w:p>
            <w:pPr>
              <w:widowControl/>
              <w:jc w:val="center"/>
              <w:rPr>
                <w:rFonts w:ascii="仿宋" w:hAnsi="仿宋" w:eastAsia="仿宋" w:cs="宋体"/>
                <w:bCs/>
                <w:kern w:val="0"/>
                <w:sz w:val="18"/>
                <w:szCs w:val="18"/>
              </w:rPr>
            </w:pPr>
            <w:r>
              <w:rPr>
                <w:rFonts w:hint="eastAsia" w:ascii="仿宋" w:hAnsi="仿宋" w:eastAsia="仿宋" w:cs="宋体"/>
                <w:bCs/>
                <w:kern w:val="0"/>
                <w:sz w:val="18"/>
                <w:szCs w:val="18"/>
              </w:rPr>
              <w:t>最大浓度</w:t>
            </w:r>
            <w:r>
              <w:rPr>
                <w:rFonts w:ascii="仿宋" w:hAnsi="仿宋" w:eastAsia="仿宋"/>
                <w:bCs/>
                <w:kern w:val="0"/>
                <w:sz w:val="18"/>
                <w:szCs w:val="18"/>
              </w:rPr>
              <w:t>(mg/m</w:t>
            </w:r>
            <w:r>
              <w:rPr>
                <w:rFonts w:ascii="仿宋" w:hAnsi="仿宋" w:eastAsia="仿宋"/>
                <w:bCs/>
                <w:kern w:val="0"/>
                <w:sz w:val="18"/>
                <w:szCs w:val="18"/>
                <w:vertAlign w:val="superscript"/>
              </w:rPr>
              <w:t>3</w:t>
            </w:r>
            <w:r>
              <w:rPr>
                <w:rFonts w:ascii="仿宋" w:hAnsi="仿宋" w:eastAsia="仿宋"/>
                <w:bCs/>
                <w:kern w:val="0"/>
                <w:sz w:val="18"/>
                <w:szCs w:val="18"/>
              </w:rPr>
              <w:t>)</w:t>
            </w:r>
          </w:p>
        </w:tc>
        <w:tc>
          <w:tcPr>
            <w:tcW w:w="802" w:type="dxa"/>
            <w:shd w:val="clear" w:color="auto" w:fill="auto"/>
            <w:vAlign w:val="center"/>
          </w:tcPr>
          <w:p>
            <w:pPr>
              <w:widowControl/>
              <w:jc w:val="center"/>
              <w:rPr>
                <w:rFonts w:ascii="仿宋" w:hAnsi="仿宋" w:eastAsia="仿宋" w:cs="宋体"/>
                <w:bCs/>
                <w:kern w:val="0"/>
                <w:sz w:val="18"/>
                <w:szCs w:val="18"/>
              </w:rPr>
            </w:pPr>
            <w:r>
              <w:rPr>
                <w:rFonts w:hint="eastAsia" w:ascii="仿宋" w:hAnsi="仿宋" w:eastAsia="仿宋" w:cs="宋体"/>
                <w:bCs/>
                <w:kern w:val="0"/>
                <w:sz w:val="18"/>
                <w:szCs w:val="18"/>
              </w:rPr>
              <w:t>最大速率</w:t>
            </w:r>
            <w:r>
              <w:rPr>
                <w:rFonts w:ascii="仿宋" w:hAnsi="仿宋" w:eastAsia="仿宋"/>
                <w:bCs/>
                <w:kern w:val="0"/>
                <w:sz w:val="18"/>
                <w:szCs w:val="18"/>
              </w:rPr>
              <w:t>(kg/h)</w:t>
            </w:r>
          </w:p>
        </w:tc>
        <w:tc>
          <w:tcPr>
            <w:tcW w:w="928" w:type="dxa"/>
            <w:shd w:val="clear" w:color="auto" w:fill="auto"/>
            <w:vAlign w:val="center"/>
          </w:tcPr>
          <w:p>
            <w:pPr>
              <w:widowControl/>
              <w:jc w:val="center"/>
              <w:rPr>
                <w:rFonts w:ascii="仿宋" w:hAnsi="仿宋" w:eastAsia="仿宋" w:cs="宋体"/>
                <w:bCs/>
                <w:kern w:val="0"/>
                <w:sz w:val="18"/>
                <w:szCs w:val="18"/>
              </w:rPr>
            </w:pPr>
            <w:r>
              <w:rPr>
                <w:rFonts w:hint="eastAsia" w:ascii="仿宋" w:hAnsi="仿宋" w:eastAsia="仿宋" w:cs="宋体"/>
                <w:bCs/>
                <w:kern w:val="0"/>
                <w:sz w:val="18"/>
                <w:szCs w:val="18"/>
              </w:rPr>
              <w:t>产生量</w:t>
            </w:r>
            <w:r>
              <w:rPr>
                <w:rFonts w:ascii="仿宋" w:hAnsi="仿宋" w:eastAsia="仿宋"/>
                <w:bCs/>
                <w:kern w:val="0"/>
                <w:sz w:val="18"/>
                <w:szCs w:val="18"/>
              </w:rPr>
              <w:t>(t/a)</w:t>
            </w:r>
          </w:p>
        </w:tc>
        <w:tc>
          <w:tcPr>
            <w:tcW w:w="994" w:type="dxa"/>
            <w:vMerge w:val="continue"/>
            <w:vAlign w:val="center"/>
          </w:tcPr>
          <w:p>
            <w:pPr>
              <w:widowControl/>
              <w:jc w:val="center"/>
              <w:rPr>
                <w:rFonts w:ascii="仿宋" w:hAnsi="仿宋" w:eastAsia="仿宋" w:cs="宋体"/>
                <w:bCs/>
                <w:kern w:val="0"/>
                <w:sz w:val="18"/>
                <w:szCs w:val="18"/>
              </w:rPr>
            </w:pPr>
          </w:p>
        </w:tc>
        <w:tc>
          <w:tcPr>
            <w:tcW w:w="683" w:type="dxa"/>
            <w:vMerge w:val="continue"/>
            <w:vAlign w:val="center"/>
          </w:tcPr>
          <w:p>
            <w:pPr>
              <w:widowControl/>
              <w:jc w:val="center"/>
              <w:rPr>
                <w:rFonts w:ascii="仿宋" w:hAnsi="仿宋" w:eastAsia="仿宋" w:cs="宋体"/>
                <w:bCs/>
                <w:kern w:val="0"/>
                <w:sz w:val="18"/>
                <w:szCs w:val="18"/>
              </w:rPr>
            </w:pPr>
          </w:p>
        </w:tc>
        <w:tc>
          <w:tcPr>
            <w:tcW w:w="842" w:type="dxa"/>
            <w:shd w:val="clear" w:color="auto" w:fill="auto"/>
            <w:vAlign w:val="center"/>
          </w:tcPr>
          <w:p>
            <w:pPr>
              <w:widowControl/>
              <w:jc w:val="center"/>
              <w:rPr>
                <w:rFonts w:ascii="仿宋" w:hAnsi="仿宋" w:eastAsia="仿宋" w:cs="宋体"/>
                <w:bCs/>
                <w:kern w:val="0"/>
                <w:sz w:val="18"/>
                <w:szCs w:val="18"/>
              </w:rPr>
            </w:pPr>
            <w:r>
              <w:rPr>
                <w:rFonts w:hint="eastAsia" w:ascii="仿宋" w:hAnsi="仿宋" w:eastAsia="仿宋" w:cs="宋体"/>
                <w:bCs/>
                <w:kern w:val="0"/>
                <w:sz w:val="18"/>
                <w:szCs w:val="18"/>
              </w:rPr>
              <w:t>最大浓度</w:t>
            </w:r>
            <w:r>
              <w:rPr>
                <w:rFonts w:ascii="仿宋" w:hAnsi="仿宋" w:eastAsia="仿宋"/>
                <w:bCs/>
                <w:kern w:val="0"/>
                <w:sz w:val="18"/>
                <w:szCs w:val="18"/>
              </w:rPr>
              <w:t>(mg/m</w:t>
            </w:r>
            <w:r>
              <w:rPr>
                <w:rFonts w:ascii="仿宋" w:hAnsi="仿宋" w:eastAsia="仿宋"/>
                <w:bCs/>
                <w:kern w:val="0"/>
                <w:sz w:val="18"/>
                <w:szCs w:val="18"/>
                <w:vertAlign w:val="superscript"/>
              </w:rPr>
              <w:t>3</w:t>
            </w:r>
            <w:r>
              <w:rPr>
                <w:rFonts w:ascii="仿宋" w:hAnsi="仿宋" w:eastAsia="仿宋"/>
                <w:bCs/>
                <w:kern w:val="0"/>
                <w:sz w:val="18"/>
                <w:szCs w:val="18"/>
              </w:rPr>
              <w:t>)</w:t>
            </w:r>
          </w:p>
        </w:tc>
        <w:tc>
          <w:tcPr>
            <w:tcW w:w="1071" w:type="dxa"/>
            <w:shd w:val="clear" w:color="auto" w:fill="auto"/>
            <w:vAlign w:val="center"/>
          </w:tcPr>
          <w:p>
            <w:pPr>
              <w:widowControl/>
              <w:jc w:val="center"/>
              <w:rPr>
                <w:rFonts w:ascii="仿宋" w:hAnsi="仿宋" w:eastAsia="仿宋" w:cs="宋体"/>
                <w:bCs/>
                <w:kern w:val="0"/>
                <w:sz w:val="18"/>
                <w:szCs w:val="18"/>
              </w:rPr>
            </w:pPr>
            <w:r>
              <w:rPr>
                <w:rFonts w:hint="eastAsia" w:ascii="仿宋" w:hAnsi="仿宋" w:eastAsia="仿宋" w:cs="宋体"/>
                <w:bCs/>
                <w:kern w:val="0"/>
                <w:sz w:val="18"/>
                <w:szCs w:val="18"/>
              </w:rPr>
              <w:t>折算基准含</w:t>
            </w:r>
            <w:r>
              <w:rPr>
                <w:rFonts w:ascii="仿宋" w:hAnsi="仿宋" w:eastAsia="仿宋" w:cs="宋体"/>
                <w:bCs/>
                <w:kern w:val="0"/>
                <w:sz w:val="18"/>
                <w:szCs w:val="18"/>
              </w:rPr>
              <w:t>氧量后浓度（mg/m</w:t>
            </w:r>
            <w:r>
              <w:rPr>
                <w:rFonts w:ascii="仿宋" w:hAnsi="仿宋" w:eastAsia="仿宋" w:cs="宋体"/>
                <w:bCs/>
                <w:kern w:val="0"/>
                <w:sz w:val="18"/>
                <w:szCs w:val="18"/>
                <w:vertAlign w:val="superscript"/>
              </w:rPr>
              <w:t>3</w:t>
            </w:r>
            <w:r>
              <w:rPr>
                <w:rFonts w:ascii="仿宋" w:hAnsi="仿宋" w:eastAsia="仿宋" w:cs="宋体"/>
                <w:bCs/>
                <w:kern w:val="0"/>
                <w:sz w:val="18"/>
                <w:szCs w:val="18"/>
              </w:rPr>
              <w:t>）</w:t>
            </w:r>
          </w:p>
        </w:tc>
        <w:tc>
          <w:tcPr>
            <w:tcW w:w="775" w:type="dxa"/>
            <w:shd w:val="clear" w:color="auto" w:fill="auto"/>
            <w:vAlign w:val="center"/>
          </w:tcPr>
          <w:p>
            <w:pPr>
              <w:widowControl/>
              <w:jc w:val="center"/>
              <w:rPr>
                <w:rFonts w:ascii="仿宋" w:hAnsi="仿宋" w:eastAsia="仿宋" w:cs="宋体"/>
                <w:bCs/>
                <w:kern w:val="0"/>
                <w:sz w:val="18"/>
                <w:szCs w:val="18"/>
              </w:rPr>
            </w:pPr>
            <w:r>
              <w:rPr>
                <w:rFonts w:hint="eastAsia" w:ascii="仿宋" w:hAnsi="仿宋" w:eastAsia="仿宋" w:cs="宋体"/>
                <w:bCs/>
                <w:kern w:val="0"/>
                <w:sz w:val="18"/>
                <w:szCs w:val="18"/>
              </w:rPr>
              <w:t>最大速率</w:t>
            </w:r>
            <w:r>
              <w:rPr>
                <w:rFonts w:ascii="仿宋" w:hAnsi="仿宋" w:eastAsia="仿宋"/>
                <w:bCs/>
                <w:kern w:val="0"/>
                <w:sz w:val="18"/>
                <w:szCs w:val="18"/>
              </w:rPr>
              <w:t>(kg/h)</w:t>
            </w:r>
          </w:p>
        </w:tc>
        <w:tc>
          <w:tcPr>
            <w:tcW w:w="750" w:type="dxa"/>
            <w:shd w:val="clear" w:color="auto" w:fill="auto"/>
            <w:vAlign w:val="center"/>
          </w:tcPr>
          <w:p>
            <w:pPr>
              <w:widowControl/>
              <w:jc w:val="center"/>
              <w:rPr>
                <w:rFonts w:ascii="仿宋" w:hAnsi="仿宋" w:eastAsia="仿宋" w:cs="宋体"/>
                <w:bCs/>
                <w:kern w:val="0"/>
                <w:sz w:val="18"/>
                <w:szCs w:val="18"/>
              </w:rPr>
            </w:pPr>
            <w:r>
              <w:rPr>
                <w:rFonts w:hint="eastAsia" w:ascii="仿宋" w:hAnsi="仿宋" w:eastAsia="仿宋" w:cs="宋体"/>
                <w:bCs/>
                <w:kern w:val="0"/>
                <w:sz w:val="18"/>
                <w:szCs w:val="18"/>
              </w:rPr>
              <w:t>排放量</w:t>
            </w:r>
            <w:r>
              <w:rPr>
                <w:rFonts w:ascii="仿宋" w:hAnsi="仿宋" w:eastAsia="仿宋"/>
                <w:bCs/>
                <w:kern w:val="0"/>
                <w:sz w:val="18"/>
                <w:szCs w:val="18"/>
              </w:rPr>
              <w:t>(t/a)</w:t>
            </w:r>
          </w:p>
        </w:tc>
        <w:tc>
          <w:tcPr>
            <w:tcW w:w="902" w:type="dxa"/>
            <w:shd w:val="clear" w:color="auto" w:fill="auto"/>
            <w:vAlign w:val="center"/>
          </w:tcPr>
          <w:p>
            <w:pPr>
              <w:widowControl/>
              <w:jc w:val="center"/>
              <w:rPr>
                <w:rFonts w:ascii="仿宋" w:hAnsi="仿宋" w:eastAsia="仿宋" w:cs="宋体"/>
                <w:bCs/>
                <w:kern w:val="0"/>
                <w:sz w:val="18"/>
                <w:szCs w:val="18"/>
              </w:rPr>
            </w:pPr>
            <w:r>
              <w:rPr>
                <w:rFonts w:hint="eastAsia" w:ascii="仿宋" w:hAnsi="仿宋" w:eastAsia="仿宋" w:cs="宋体"/>
                <w:bCs/>
                <w:kern w:val="0"/>
                <w:sz w:val="18"/>
                <w:szCs w:val="18"/>
              </w:rPr>
              <w:t>浓度</w:t>
            </w:r>
            <w:r>
              <w:rPr>
                <w:rFonts w:ascii="仿宋" w:hAnsi="仿宋" w:eastAsia="仿宋"/>
                <w:bCs/>
                <w:kern w:val="0"/>
                <w:sz w:val="18"/>
                <w:szCs w:val="18"/>
              </w:rPr>
              <w:t>(mg/m</w:t>
            </w:r>
            <w:r>
              <w:rPr>
                <w:rFonts w:ascii="仿宋" w:hAnsi="仿宋" w:eastAsia="仿宋"/>
                <w:bCs/>
                <w:kern w:val="0"/>
                <w:sz w:val="18"/>
                <w:szCs w:val="18"/>
                <w:vertAlign w:val="superscript"/>
              </w:rPr>
              <w:t>3</w:t>
            </w:r>
            <w:r>
              <w:rPr>
                <w:rFonts w:ascii="仿宋" w:hAnsi="仿宋" w:eastAsia="仿宋"/>
                <w:bCs/>
                <w:kern w:val="0"/>
                <w:sz w:val="18"/>
                <w:szCs w:val="18"/>
              </w:rPr>
              <w:t>)</w:t>
            </w:r>
          </w:p>
        </w:tc>
        <w:tc>
          <w:tcPr>
            <w:tcW w:w="720" w:type="dxa"/>
            <w:shd w:val="clear" w:color="auto" w:fill="auto"/>
            <w:vAlign w:val="center"/>
          </w:tcPr>
          <w:p>
            <w:pPr>
              <w:widowControl/>
              <w:jc w:val="center"/>
              <w:rPr>
                <w:rFonts w:ascii="仿宋" w:hAnsi="仿宋" w:eastAsia="仿宋" w:cs="宋体"/>
                <w:bCs/>
                <w:kern w:val="0"/>
                <w:sz w:val="18"/>
                <w:szCs w:val="18"/>
              </w:rPr>
            </w:pPr>
            <w:r>
              <w:rPr>
                <w:rFonts w:hint="eastAsia" w:ascii="仿宋" w:hAnsi="仿宋" w:eastAsia="仿宋" w:cs="宋体"/>
                <w:bCs/>
                <w:kern w:val="0"/>
                <w:sz w:val="18"/>
                <w:szCs w:val="18"/>
              </w:rPr>
              <w:t>速率</w:t>
            </w:r>
            <w:r>
              <w:rPr>
                <w:rFonts w:ascii="仿宋" w:hAnsi="仿宋" w:eastAsia="仿宋"/>
                <w:bCs/>
                <w:kern w:val="0"/>
                <w:sz w:val="18"/>
                <w:szCs w:val="18"/>
              </w:rPr>
              <w:t>(kg/h)</w:t>
            </w:r>
          </w:p>
        </w:tc>
        <w:tc>
          <w:tcPr>
            <w:tcW w:w="624" w:type="dxa"/>
            <w:shd w:val="clear" w:color="auto" w:fill="auto"/>
            <w:vAlign w:val="center"/>
          </w:tcPr>
          <w:p>
            <w:pPr>
              <w:widowControl/>
              <w:jc w:val="center"/>
              <w:rPr>
                <w:rFonts w:ascii="仿宋" w:hAnsi="仿宋" w:eastAsia="仿宋" w:cs="宋体"/>
                <w:bCs/>
                <w:kern w:val="0"/>
                <w:sz w:val="18"/>
                <w:szCs w:val="18"/>
              </w:rPr>
            </w:pPr>
            <w:r>
              <w:rPr>
                <w:rFonts w:hint="eastAsia" w:ascii="仿宋" w:hAnsi="仿宋" w:eastAsia="仿宋" w:cs="宋体"/>
                <w:bCs/>
                <w:kern w:val="0"/>
                <w:sz w:val="18"/>
                <w:szCs w:val="18"/>
              </w:rPr>
              <w:t>排放高度</w:t>
            </w:r>
            <w:r>
              <w:rPr>
                <w:rFonts w:ascii="仿宋" w:hAnsi="仿宋" w:eastAsia="仿宋"/>
                <w:bCs/>
                <w:kern w:val="0"/>
                <w:sz w:val="18"/>
                <w:szCs w:val="18"/>
              </w:rPr>
              <w:t>(m)</w:t>
            </w:r>
          </w:p>
        </w:tc>
        <w:tc>
          <w:tcPr>
            <w:tcW w:w="698" w:type="dxa"/>
            <w:shd w:val="clear" w:color="auto" w:fill="auto"/>
            <w:vAlign w:val="center"/>
          </w:tcPr>
          <w:p>
            <w:pPr>
              <w:widowControl/>
              <w:jc w:val="center"/>
              <w:rPr>
                <w:rFonts w:ascii="仿宋" w:hAnsi="仿宋" w:eastAsia="仿宋" w:cs="宋体"/>
                <w:bCs/>
                <w:kern w:val="0"/>
                <w:sz w:val="18"/>
                <w:szCs w:val="18"/>
              </w:rPr>
            </w:pPr>
            <w:r>
              <w:rPr>
                <w:rFonts w:hint="eastAsia" w:ascii="仿宋" w:hAnsi="仿宋" w:eastAsia="仿宋" w:cs="宋体"/>
                <w:bCs/>
                <w:kern w:val="0"/>
                <w:sz w:val="18"/>
                <w:szCs w:val="18"/>
              </w:rPr>
              <w:t>直径(m)</w:t>
            </w:r>
          </w:p>
        </w:tc>
        <w:tc>
          <w:tcPr>
            <w:tcW w:w="729" w:type="dxa"/>
            <w:shd w:val="clear" w:color="auto" w:fill="auto"/>
            <w:vAlign w:val="center"/>
          </w:tcPr>
          <w:p>
            <w:pPr>
              <w:widowControl/>
              <w:jc w:val="center"/>
              <w:rPr>
                <w:rFonts w:ascii="仿宋" w:hAnsi="仿宋" w:eastAsia="仿宋" w:cs="宋体"/>
                <w:bCs/>
                <w:kern w:val="0"/>
                <w:sz w:val="18"/>
                <w:szCs w:val="18"/>
              </w:rPr>
            </w:pPr>
            <w:r>
              <w:rPr>
                <w:rFonts w:hint="eastAsia" w:ascii="仿宋" w:hAnsi="仿宋" w:eastAsia="仿宋" w:cs="宋体"/>
                <w:bCs/>
                <w:kern w:val="0"/>
                <w:sz w:val="18"/>
                <w:szCs w:val="18"/>
              </w:rPr>
              <w:t>烟气出口温度（℃）</w:t>
            </w:r>
          </w:p>
        </w:tc>
        <w:tc>
          <w:tcPr>
            <w:tcW w:w="709" w:type="dxa"/>
            <w:vMerge w:val="continue"/>
            <w:vAlign w:val="center"/>
          </w:tcPr>
          <w:p>
            <w:pPr>
              <w:widowControl/>
              <w:jc w:val="center"/>
              <w:rPr>
                <w:rFonts w:ascii="仿宋" w:hAnsi="仿宋" w:eastAsia="仿宋" w:cs="宋体"/>
                <w:b/>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404" w:type="dxa"/>
            <w:vMerge w:val="restart"/>
            <w:vAlign w:val="center"/>
          </w:tcPr>
          <w:p>
            <w:pPr>
              <w:widowControl/>
              <w:jc w:val="center"/>
              <w:rPr>
                <w:rFonts w:ascii="仿宋" w:hAnsi="仿宋" w:eastAsia="仿宋"/>
                <w:kern w:val="0"/>
                <w:sz w:val="18"/>
                <w:szCs w:val="18"/>
              </w:rPr>
            </w:pPr>
            <w:r>
              <w:rPr>
                <w:rFonts w:hint="eastAsia" w:ascii="仿宋" w:hAnsi="仿宋" w:eastAsia="仿宋" w:cs="宋体"/>
                <w:bCs/>
                <w:kern w:val="0"/>
                <w:sz w:val="18"/>
                <w:szCs w:val="18"/>
              </w:rPr>
              <w:t>车间</w:t>
            </w:r>
          </w:p>
        </w:tc>
        <w:tc>
          <w:tcPr>
            <w:tcW w:w="420" w:type="dxa"/>
            <w:vMerge w:val="restart"/>
            <w:vAlign w:val="center"/>
          </w:tcPr>
          <w:p>
            <w:pPr>
              <w:widowControl/>
              <w:jc w:val="center"/>
              <w:rPr>
                <w:rFonts w:ascii="仿宋" w:hAnsi="仿宋" w:eastAsia="仿宋"/>
                <w:kern w:val="0"/>
                <w:sz w:val="18"/>
                <w:szCs w:val="18"/>
              </w:rPr>
            </w:pPr>
            <w:r>
              <w:rPr>
                <w:rFonts w:hint="eastAsia" w:ascii="仿宋" w:hAnsi="仿宋" w:eastAsia="仿宋"/>
                <w:kern w:val="0"/>
                <w:sz w:val="18"/>
                <w:szCs w:val="18"/>
              </w:rPr>
              <w:t>1#</w:t>
            </w:r>
          </w:p>
        </w:tc>
        <w:tc>
          <w:tcPr>
            <w:tcW w:w="677" w:type="dxa"/>
            <w:vMerge w:val="restart"/>
            <w:vAlign w:val="center"/>
          </w:tcPr>
          <w:p>
            <w:pPr>
              <w:widowControl/>
              <w:jc w:val="center"/>
              <w:rPr>
                <w:rFonts w:ascii="仿宋" w:hAnsi="仿宋" w:eastAsia="仿宋"/>
                <w:kern w:val="0"/>
                <w:sz w:val="18"/>
                <w:szCs w:val="18"/>
              </w:rPr>
            </w:pPr>
            <w:r>
              <w:rPr>
                <w:rFonts w:hint="eastAsia" w:ascii="仿宋" w:hAnsi="仿宋" w:eastAsia="仿宋"/>
                <w:kern w:val="0"/>
                <w:sz w:val="18"/>
                <w:szCs w:val="18"/>
              </w:rPr>
              <w:t>50000</w:t>
            </w:r>
          </w:p>
        </w:tc>
        <w:tc>
          <w:tcPr>
            <w:tcW w:w="763" w:type="dxa"/>
            <w:vAlign w:val="center"/>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非甲烷总烃</w:t>
            </w:r>
          </w:p>
        </w:tc>
        <w:tc>
          <w:tcPr>
            <w:tcW w:w="1081"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w:t>
            </w:r>
            <w:r>
              <w:rPr>
                <w:rFonts w:ascii="仿宋" w:hAnsi="仿宋" w:eastAsia="仿宋" w:cs="仿宋"/>
                <w:bCs/>
                <w:szCs w:val="21"/>
              </w:rPr>
              <w:t>370.2</w:t>
            </w:r>
          </w:p>
        </w:tc>
        <w:tc>
          <w:tcPr>
            <w:tcW w:w="802"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6</w:t>
            </w:r>
            <w:r>
              <w:rPr>
                <w:rFonts w:ascii="仿宋" w:hAnsi="仿宋" w:eastAsia="仿宋" w:cs="仿宋"/>
                <w:bCs/>
                <w:szCs w:val="21"/>
              </w:rPr>
              <w:t>8.51</w:t>
            </w:r>
          </w:p>
        </w:tc>
        <w:tc>
          <w:tcPr>
            <w:tcW w:w="928"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379.16</w:t>
            </w:r>
          </w:p>
        </w:tc>
        <w:tc>
          <w:tcPr>
            <w:tcW w:w="994" w:type="dxa"/>
            <w:vMerge w:val="restart"/>
            <w:vAlign w:val="center"/>
          </w:tcPr>
          <w:p>
            <w:pPr>
              <w:widowControl/>
              <w:jc w:val="center"/>
              <w:rPr>
                <w:rFonts w:ascii="仿宋" w:hAnsi="仿宋" w:eastAsia="仿宋" w:cs="宋体"/>
                <w:bCs/>
                <w:kern w:val="0"/>
                <w:sz w:val="18"/>
                <w:szCs w:val="18"/>
              </w:rPr>
            </w:pPr>
            <w:r>
              <w:rPr>
                <w:rFonts w:hint="eastAsia" w:ascii="仿宋" w:hAnsi="仿宋" w:eastAsia="仿宋" w:cs="宋体"/>
                <w:bCs/>
                <w:kern w:val="0"/>
                <w:sz w:val="18"/>
                <w:szCs w:val="18"/>
              </w:rPr>
              <w:t>RTO燃烧</w:t>
            </w:r>
          </w:p>
        </w:tc>
        <w:tc>
          <w:tcPr>
            <w:tcW w:w="683" w:type="dxa"/>
            <w:vMerge w:val="restart"/>
            <w:vAlign w:val="center"/>
          </w:tcPr>
          <w:p>
            <w:pPr>
              <w:widowControl/>
              <w:jc w:val="center"/>
              <w:rPr>
                <w:rFonts w:ascii="仿宋" w:hAnsi="仿宋" w:eastAsia="仿宋" w:cs="宋体"/>
                <w:bCs/>
                <w:kern w:val="0"/>
                <w:sz w:val="18"/>
                <w:szCs w:val="18"/>
              </w:rPr>
            </w:pPr>
            <w:r>
              <w:rPr>
                <w:rFonts w:hint="eastAsia" w:ascii="仿宋" w:hAnsi="仿宋" w:eastAsia="仿宋" w:cs="宋体"/>
                <w:bCs/>
                <w:kern w:val="0"/>
                <w:sz w:val="18"/>
                <w:szCs w:val="18"/>
              </w:rPr>
              <w:t>99</w:t>
            </w:r>
            <w:r>
              <w:rPr>
                <w:rFonts w:ascii="仿宋" w:hAnsi="仿宋" w:eastAsia="仿宋" w:cs="宋体"/>
                <w:bCs/>
                <w:kern w:val="0"/>
                <w:sz w:val="18"/>
                <w:szCs w:val="18"/>
              </w:rPr>
              <w:t>.5</w:t>
            </w:r>
          </w:p>
        </w:tc>
        <w:tc>
          <w:tcPr>
            <w:tcW w:w="842"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6</w:t>
            </w:r>
            <w:r>
              <w:rPr>
                <w:rFonts w:ascii="仿宋" w:hAnsi="仿宋" w:eastAsia="仿宋" w:cs="仿宋"/>
                <w:bCs/>
                <w:szCs w:val="21"/>
              </w:rPr>
              <w:t>.8</w:t>
            </w:r>
          </w:p>
        </w:tc>
        <w:tc>
          <w:tcPr>
            <w:tcW w:w="1071"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9</w:t>
            </w:r>
            <w:r>
              <w:rPr>
                <w:rFonts w:ascii="仿宋" w:hAnsi="仿宋" w:eastAsia="仿宋" w:cs="仿宋"/>
                <w:bCs/>
                <w:szCs w:val="21"/>
              </w:rPr>
              <w:t>.42</w:t>
            </w:r>
          </w:p>
        </w:tc>
        <w:tc>
          <w:tcPr>
            <w:tcW w:w="775"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.34</w:t>
            </w:r>
          </w:p>
        </w:tc>
        <w:tc>
          <w:tcPr>
            <w:tcW w:w="750"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1.89</w:t>
            </w:r>
          </w:p>
        </w:tc>
        <w:tc>
          <w:tcPr>
            <w:tcW w:w="902" w:type="dxa"/>
            <w:vMerge w:val="restar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60</w:t>
            </w:r>
          </w:p>
        </w:tc>
        <w:tc>
          <w:tcPr>
            <w:tcW w:w="720" w:type="dxa"/>
            <w:vMerge w:val="restar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w:t>
            </w:r>
          </w:p>
        </w:tc>
        <w:tc>
          <w:tcPr>
            <w:tcW w:w="624" w:type="dxa"/>
            <w:vMerge w:val="restart"/>
            <w:shd w:val="clear" w:color="auto" w:fill="auto"/>
            <w:vAlign w:val="center"/>
          </w:tcPr>
          <w:p>
            <w:pPr>
              <w:widowControl/>
              <w:jc w:val="center"/>
              <w:rPr>
                <w:rFonts w:ascii="仿宋" w:hAnsi="仿宋" w:eastAsia="仿宋" w:cs="宋体"/>
                <w:bCs/>
                <w:kern w:val="0"/>
                <w:sz w:val="18"/>
                <w:szCs w:val="18"/>
              </w:rPr>
            </w:pPr>
            <w:r>
              <w:rPr>
                <w:rFonts w:hint="eastAsia" w:ascii="仿宋" w:hAnsi="仿宋" w:eastAsia="仿宋" w:cs="宋体"/>
                <w:bCs/>
                <w:kern w:val="0"/>
                <w:sz w:val="18"/>
                <w:szCs w:val="18"/>
              </w:rPr>
              <w:t>15</w:t>
            </w:r>
          </w:p>
        </w:tc>
        <w:tc>
          <w:tcPr>
            <w:tcW w:w="698" w:type="dxa"/>
            <w:vMerge w:val="restart"/>
            <w:shd w:val="clear" w:color="auto" w:fill="auto"/>
            <w:vAlign w:val="center"/>
          </w:tcPr>
          <w:p>
            <w:pPr>
              <w:widowControl/>
              <w:jc w:val="center"/>
              <w:rPr>
                <w:rFonts w:ascii="仿宋" w:hAnsi="仿宋" w:eastAsia="仿宋" w:cs="宋体"/>
                <w:bCs/>
                <w:kern w:val="0"/>
                <w:sz w:val="18"/>
                <w:szCs w:val="18"/>
              </w:rPr>
            </w:pPr>
            <w:r>
              <w:rPr>
                <w:rFonts w:hint="eastAsia" w:ascii="仿宋" w:hAnsi="仿宋" w:eastAsia="仿宋" w:cs="宋体"/>
                <w:bCs/>
                <w:kern w:val="0"/>
                <w:sz w:val="18"/>
                <w:szCs w:val="18"/>
              </w:rPr>
              <w:t>1.7</w:t>
            </w:r>
          </w:p>
        </w:tc>
        <w:tc>
          <w:tcPr>
            <w:tcW w:w="729" w:type="dxa"/>
            <w:vMerge w:val="restart"/>
            <w:shd w:val="clear" w:color="auto" w:fill="auto"/>
            <w:vAlign w:val="center"/>
          </w:tcPr>
          <w:p>
            <w:pPr>
              <w:widowControl/>
              <w:jc w:val="center"/>
              <w:rPr>
                <w:rFonts w:ascii="仿宋" w:hAnsi="仿宋" w:eastAsia="仿宋" w:cs="宋体"/>
                <w:bCs/>
                <w:kern w:val="0"/>
                <w:sz w:val="18"/>
                <w:szCs w:val="18"/>
              </w:rPr>
            </w:pPr>
            <w:r>
              <w:rPr>
                <w:rFonts w:hint="eastAsia" w:ascii="仿宋" w:hAnsi="仿宋" w:eastAsia="仿宋" w:cs="宋体"/>
                <w:bCs/>
                <w:kern w:val="0"/>
                <w:sz w:val="18"/>
                <w:szCs w:val="18"/>
              </w:rPr>
              <w:t>50</w:t>
            </w:r>
          </w:p>
        </w:tc>
        <w:tc>
          <w:tcPr>
            <w:tcW w:w="709" w:type="dxa"/>
            <w:vMerge w:val="restart"/>
            <w:vAlign w:val="center"/>
          </w:tcPr>
          <w:p>
            <w:pPr>
              <w:widowControl/>
              <w:jc w:val="center"/>
              <w:rPr>
                <w:rFonts w:ascii="仿宋" w:hAnsi="仿宋" w:eastAsia="仿宋" w:cs="宋体"/>
                <w:bCs/>
                <w:kern w:val="0"/>
                <w:sz w:val="18"/>
                <w:szCs w:val="18"/>
              </w:rPr>
            </w:pPr>
            <w:r>
              <w:rPr>
                <w:rFonts w:hint="eastAsia" w:ascii="仿宋" w:hAnsi="仿宋" w:eastAsia="仿宋" w:cs="宋体"/>
                <w:bCs/>
                <w:kern w:val="0"/>
                <w:sz w:val="18"/>
                <w:szCs w:val="18"/>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404" w:type="dxa"/>
            <w:vMerge w:val="continue"/>
            <w:vAlign w:val="center"/>
          </w:tcPr>
          <w:p>
            <w:pPr>
              <w:widowControl/>
              <w:jc w:val="center"/>
              <w:rPr>
                <w:rFonts w:ascii="仿宋" w:hAnsi="仿宋" w:eastAsia="仿宋" w:cs="宋体"/>
                <w:bCs/>
                <w:kern w:val="0"/>
                <w:sz w:val="18"/>
                <w:szCs w:val="18"/>
              </w:rPr>
            </w:pPr>
          </w:p>
        </w:tc>
        <w:tc>
          <w:tcPr>
            <w:tcW w:w="420" w:type="dxa"/>
            <w:vMerge w:val="continue"/>
            <w:vAlign w:val="center"/>
          </w:tcPr>
          <w:p>
            <w:pPr>
              <w:widowControl/>
              <w:jc w:val="center"/>
              <w:rPr>
                <w:rFonts w:ascii="仿宋" w:hAnsi="仿宋" w:eastAsia="仿宋"/>
                <w:kern w:val="0"/>
                <w:sz w:val="18"/>
                <w:szCs w:val="18"/>
              </w:rPr>
            </w:pPr>
          </w:p>
        </w:tc>
        <w:tc>
          <w:tcPr>
            <w:tcW w:w="677" w:type="dxa"/>
            <w:vMerge w:val="continue"/>
            <w:vAlign w:val="center"/>
          </w:tcPr>
          <w:p>
            <w:pPr>
              <w:widowControl/>
              <w:jc w:val="center"/>
              <w:rPr>
                <w:rFonts w:ascii="仿宋" w:hAnsi="仿宋" w:eastAsia="仿宋"/>
                <w:kern w:val="0"/>
                <w:sz w:val="18"/>
                <w:szCs w:val="18"/>
              </w:rPr>
            </w:pPr>
          </w:p>
        </w:tc>
        <w:tc>
          <w:tcPr>
            <w:tcW w:w="763" w:type="dxa"/>
            <w:vAlign w:val="center"/>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乙酸乙酯</w:t>
            </w:r>
          </w:p>
        </w:tc>
        <w:tc>
          <w:tcPr>
            <w:tcW w:w="1081"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w:t>
            </w:r>
            <w:r>
              <w:rPr>
                <w:rFonts w:ascii="仿宋" w:hAnsi="仿宋" w:eastAsia="仿宋" w:cs="仿宋"/>
                <w:bCs/>
                <w:szCs w:val="21"/>
              </w:rPr>
              <w:t>188.8</w:t>
            </w:r>
          </w:p>
        </w:tc>
        <w:tc>
          <w:tcPr>
            <w:tcW w:w="802"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5</w:t>
            </w:r>
            <w:r>
              <w:rPr>
                <w:rFonts w:ascii="仿宋" w:hAnsi="仿宋" w:eastAsia="仿宋" w:cs="仿宋"/>
                <w:bCs/>
                <w:szCs w:val="21"/>
              </w:rPr>
              <w:t>9.44</w:t>
            </w:r>
          </w:p>
        </w:tc>
        <w:tc>
          <w:tcPr>
            <w:tcW w:w="928"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328.93</w:t>
            </w:r>
          </w:p>
        </w:tc>
        <w:tc>
          <w:tcPr>
            <w:tcW w:w="994" w:type="dxa"/>
            <w:vMerge w:val="continue"/>
            <w:vAlign w:val="center"/>
          </w:tcPr>
          <w:p>
            <w:pPr>
              <w:widowControl/>
              <w:jc w:val="center"/>
              <w:rPr>
                <w:rFonts w:ascii="仿宋" w:hAnsi="仿宋" w:eastAsia="仿宋" w:cs="宋体"/>
                <w:bCs/>
                <w:kern w:val="0"/>
                <w:sz w:val="18"/>
                <w:szCs w:val="18"/>
              </w:rPr>
            </w:pPr>
          </w:p>
        </w:tc>
        <w:tc>
          <w:tcPr>
            <w:tcW w:w="683" w:type="dxa"/>
            <w:vMerge w:val="continue"/>
            <w:vAlign w:val="center"/>
          </w:tcPr>
          <w:p>
            <w:pPr>
              <w:widowControl/>
              <w:jc w:val="center"/>
              <w:rPr>
                <w:rFonts w:ascii="仿宋" w:hAnsi="仿宋" w:eastAsia="仿宋" w:cs="宋体"/>
                <w:bCs/>
                <w:kern w:val="0"/>
                <w:sz w:val="18"/>
                <w:szCs w:val="18"/>
              </w:rPr>
            </w:pPr>
          </w:p>
        </w:tc>
        <w:tc>
          <w:tcPr>
            <w:tcW w:w="842"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5</w:t>
            </w:r>
            <w:r>
              <w:rPr>
                <w:rFonts w:ascii="仿宋" w:hAnsi="仿宋" w:eastAsia="仿宋" w:cs="仿宋"/>
                <w:bCs/>
                <w:szCs w:val="21"/>
              </w:rPr>
              <w:t>.8</w:t>
            </w:r>
          </w:p>
        </w:tc>
        <w:tc>
          <w:tcPr>
            <w:tcW w:w="1071"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8</w:t>
            </w:r>
            <w:r>
              <w:rPr>
                <w:rFonts w:ascii="仿宋" w:hAnsi="仿宋" w:eastAsia="仿宋" w:cs="仿宋"/>
                <w:bCs/>
                <w:szCs w:val="21"/>
              </w:rPr>
              <w:t>.03</w:t>
            </w:r>
          </w:p>
        </w:tc>
        <w:tc>
          <w:tcPr>
            <w:tcW w:w="775"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.29</w:t>
            </w:r>
          </w:p>
        </w:tc>
        <w:tc>
          <w:tcPr>
            <w:tcW w:w="750"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1.64</w:t>
            </w:r>
          </w:p>
        </w:tc>
        <w:tc>
          <w:tcPr>
            <w:tcW w:w="902" w:type="dxa"/>
            <w:vMerge w:val="continue"/>
            <w:shd w:val="clear" w:color="auto" w:fill="auto"/>
            <w:vAlign w:val="center"/>
          </w:tcPr>
          <w:p>
            <w:pPr>
              <w:spacing w:line="240" w:lineRule="exact"/>
              <w:jc w:val="center"/>
              <w:rPr>
                <w:rFonts w:ascii="仿宋" w:hAnsi="仿宋" w:eastAsia="仿宋" w:cs="仿宋"/>
                <w:bCs/>
                <w:szCs w:val="21"/>
              </w:rPr>
            </w:pPr>
          </w:p>
        </w:tc>
        <w:tc>
          <w:tcPr>
            <w:tcW w:w="720" w:type="dxa"/>
            <w:vMerge w:val="continue"/>
            <w:shd w:val="clear" w:color="auto" w:fill="auto"/>
            <w:vAlign w:val="center"/>
          </w:tcPr>
          <w:p>
            <w:pPr>
              <w:spacing w:line="240" w:lineRule="exact"/>
              <w:jc w:val="center"/>
              <w:rPr>
                <w:rFonts w:ascii="仿宋" w:hAnsi="仿宋" w:eastAsia="仿宋" w:cs="仿宋"/>
                <w:bCs/>
                <w:szCs w:val="21"/>
              </w:rPr>
            </w:pPr>
          </w:p>
        </w:tc>
        <w:tc>
          <w:tcPr>
            <w:tcW w:w="624" w:type="dxa"/>
            <w:vMerge w:val="continue"/>
            <w:shd w:val="clear" w:color="auto" w:fill="auto"/>
            <w:vAlign w:val="center"/>
          </w:tcPr>
          <w:p>
            <w:pPr>
              <w:widowControl/>
              <w:jc w:val="center"/>
              <w:rPr>
                <w:rFonts w:ascii="仿宋" w:hAnsi="仿宋" w:eastAsia="仿宋" w:cs="宋体"/>
                <w:bCs/>
                <w:kern w:val="0"/>
                <w:sz w:val="18"/>
                <w:szCs w:val="18"/>
              </w:rPr>
            </w:pPr>
          </w:p>
        </w:tc>
        <w:tc>
          <w:tcPr>
            <w:tcW w:w="698" w:type="dxa"/>
            <w:vMerge w:val="continue"/>
            <w:shd w:val="clear" w:color="auto" w:fill="auto"/>
            <w:vAlign w:val="center"/>
          </w:tcPr>
          <w:p>
            <w:pPr>
              <w:widowControl/>
              <w:jc w:val="center"/>
              <w:rPr>
                <w:rFonts w:ascii="仿宋" w:hAnsi="仿宋" w:eastAsia="仿宋" w:cs="宋体"/>
                <w:bCs/>
                <w:kern w:val="0"/>
                <w:sz w:val="18"/>
                <w:szCs w:val="18"/>
              </w:rPr>
            </w:pPr>
          </w:p>
        </w:tc>
        <w:tc>
          <w:tcPr>
            <w:tcW w:w="729" w:type="dxa"/>
            <w:vMerge w:val="continue"/>
            <w:shd w:val="clear" w:color="auto" w:fill="auto"/>
            <w:vAlign w:val="center"/>
          </w:tcPr>
          <w:p>
            <w:pPr>
              <w:widowControl/>
              <w:jc w:val="center"/>
              <w:rPr>
                <w:rFonts w:ascii="仿宋" w:hAnsi="仿宋" w:eastAsia="仿宋" w:cs="宋体"/>
                <w:bCs/>
                <w:kern w:val="0"/>
                <w:sz w:val="18"/>
                <w:szCs w:val="18"/>
              </w:rPr>
            </w:pPr>
          </w:p>
        </w:tc>
        <w:tc>
          <w:tcPr>
            <w:tcW w:w="709" w:type="dxa"/>
            <w:vMerge w:val="continue"/>
            <w:vAlign w:val="center"/>
          </w:tcPr>
          <w:p>
            <w:pPr>
              <w:widowControl/>
              <w:jc w:val="center"/>
              <w:rPr>
                <w:rFonts w:ascii="仿宋" w:hAnsi="仿宋" w:eastAsia="仿宋" w:cs="宋体"/>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404" w:type="dxa"/>
            <w:vMerge w:val="continue"/>
            <w:vAlign w:val="center"/>
          </w:tcPr>
          <w:p>
            <w:pPr>
              <w:widowControl/>
              <w:jc w:val="center"/>
              <w:rPr>
                <w:rFonts w:ascii="仿宋" w:hAnsi="仿宋" w:eastAsia="仿宋" w:cs="宋体"/>
                <w:bCs/>
                <w:kern w:val="0"/>
                <w:sz w:val="18"/>
                <w:szCs w:val="18"/>
              </w:rPr>
            </w:pPr>
          </w:p>
        </w:tc>
        <w:tc>
          <w:tcPr>
            <w:tcW w:w="420" w:type="dxa"/>
            <w:vMerge w:val="continue"/>
            <w:vAlign w:val="center"/>
          </w:tcPr>
          <w:p>
            <w:pPr>
              <w:widowControl/>
              <w:jc w:val="center"/>
              <w:rPr>
                <w:rFonts w:ascii="仿宋" w:hAnsi="仿宋" w:eastAsia="仿宋"/>
                <w:kern w:val="0"/>
                <w:sz w:val="18"/>
                <w:szCs w:val="18"/>
              </w:rPr>
            </w:pPr>
          </w:p>
        </w:tc>
        <w:tc>
          <w:tcPr>
            <w:tcW w:w="677" w:type="dxa"/>
            <w:vMerge w:val="continue"/>
            <w:vAlign w:val="center"/>
          </w:tcPr>
          <w:p>
            <w:pPr>
              <w:widowControl/>
              <w:jc w:val="center"/>
              <w:rPr>
                <w:rFonts w:ascii="仿宋" w:hAnsi="仿宋" w:eastAsia="仿宋"/>
                <w:kern w:val="0"/>
                <w:sz w:val="18"/>
                <w:szCs w:val="18"/>
              </w:rPr>
            </w:pPr>
          </w:p>
        </w:tc>
        <w:tc>
          <w:tcPr>
            <w:tcW w:w="763" w:type="dxa"/>
            <w:vAlign w:val="center"/>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二甲苯</w:t>
            </w:r>
          </w:p>
        </w:tc>
        <w:tc>
          <w:tcPr>
            <w:tcW w:w="1081"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w:t>
            </w:r>
            <w:r>
              <w:rPr>
                <w:rFonts w:ascii="仿宋" w:hAnsi="仿宋" w:eastAsia="仿宋" w:cs="仿宋"/>
                <w:bCs/>
                <w:szCs w:val="21"/>
              </w:rPr>
              <w:t>31</w:t>
            </w:r>
          </w:p>
        </w:tc>
        <w:tc>
          <w:tcPr>
            <w:tcW w:w="802"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6</w:t>
            </w:r>
            <w:r>
              <w:rPr>
                <w:rFonts w:ascii="仿宋" w:hAnsi="仿宋" w:eastAsia="仿宋" w:cs="仿宋"/>
                <w:bCs/>
                <w:szCs w:val="21"/>
              </w:rPr>
              <w:t>.55</w:t>
            </w:r>
          </w:p>
        </w:tc>
        <w:tc>
          <w:tcPr>
            <w:tcW w:w="928"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36.31</w:t>
            </w:r>
          </w:p>
        </w:tc>
        <w:tc>
          <w:tcPr>
            <w:tcW w:w="994" w:type="dxa"/>
            <w:vMerge w:val="continue"/>
            <w:vAlign w:val="center"/>
          </w:tcPr>
          <w:p>
            <w:pPr>
              <w:widowControl/>
              <w:jc w:val="center"/>
              <w:rPr>
                <w:rFonts w:ascii="仿宋" w:hAnsi="仿宋" w:eastAsia="仿宋" w:cs="宋体"/>
                <w:bCs/>
                <w:kern w:val="0"/>
                <w:sz w:val="18"/>
                <w:szCs w:val="18"/>
              </w:rPr>
            </w:pPr>
          </w:p>
        </w:tc>
        <w:tc>
          <w:tcPr>
            <w:tcW w:w="683" w:type="dxa"/>
            <w:vMerge w:val="continue"/>
            <w:vAlign w:val="center"/>
          </w:tcPr>
          <w:p>
            <w:pPr>
              <w:widowControl/>
              <w:jc w:val="center"/>
              <w:rPr>
                <w:rFonts w:ascii="仿宋" w:hAnsi="仿宋" w:eastAsia="仿宋" w:cs="宋体"/>
                <w:bCs/>
                <w:kern w:val="0"/>
                <w:sz w:val="18"/>
                <w:szCs w:val="18"/>
              </w:rPr>
            </w:pPr>
          </w:p>
        </w:tc>
        <w:tc>
          <w:tcPr>
            <w:tcW w:w="842"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.6</w:t>
            </w:r>
          </w:p>
        </w:tc>
        <w:tc>
          <w:tcPr>
            <w:tcW w:w="1071"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.83</w:t>
            </w:r>
          </w:p>
        </w:tc>
        <w:tc>
          <w:tcPr>
            <w:tcW w:w="775"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.03</w:t>
            </w:r>
          </w:p>
        </w:tc>
        <w:tc>
          <w:tcPr>
            <w:tcW w:w="750"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0.18</w:t>
            </w:r>
          </w:p>
        </w:tc>
        <w:tc>
          <w:tcPr>
            <w:tcW w:w="902"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10</w:t>
            </w:r>
          </w:p>
        </w:tc>
        <w:tc>
          <w:tcPr>
            <w:tcW w:w="720"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0.72</w:t>
            </w:r>
          </w:p>
        </w:tc>
        <w:tc>
          <w:tcPr>
            <w:tcW w:w="624" w:type="dxa"/>
            <w:vMerge w:val="continue"/>
            <w:shd w:val="clear" w:color="auto" w:fill="auto"/>
            <w:vAlign w:val="center"/>
          </w:tcPr>
          <w:p>
            <w:pPr>
              <w:widowControl/>
              <w:jc w:val="center"/>
              <w:rPr>
                <w:rFonts w:ascii="仿宋" w:hAnsi="仿宋" w:eastAsia="仿宋" w:cs="宋体"/>
                <w:bCs/>
                <w:kern w:val="0"/>
                <w:sz w:val="18"/>
                <w:szCs w:val="18"/>
              </w:rPr>
            </w:pPr>
          </w:p>
        </w:tc>
        <w:tc>
          <w:tcPr>
            <w:tcW w:w="698" w:type="dxa"/>
            <w:vMerge w:val="continue"/>
            <w:shd w:val="clear" w:color="auto" w:fill="auto"/>
            <w:vAlign w:val="center"/>
          </w:tcPr>
          <w:p>
            <w:pPr>
              <w:widowControl/>
              <w:jc w:val="center"/>
              <w:rPr>
                <w:rFonts w:ascii="仿宋" w:hAnsi="仿宋" w:eastAsia="仿宋" w:cs="宋体"/>
                <w:bCs/>
                <w:kern w:val="0"/>
                <w:sz w:val="18"/>
                <w:szCs w:val="18"/>
              </w:rPr>
            </w:pPr>
          </w:p>
        </w:tc>
        <w:tc>
          <w:tcPr>
            <w:tcW w:w="729" w:type="dxa"/>
            <w:vMerge w:val="continue"/>
            <w:shd w:val="clear" w:color="auto" w:fill="auto"/>
            <w:vAlign w:val="center"/>
          </w:tcPr>
          <w:p>
            <w:pPr>
              <w:widowControl/>
              <w:jc w:val="center"/>
              <w:rPr>
                <w:rFonts w:ascii="仿宋" w:hAnsi="仿宋" w:eastAsia="仿宋" w:cs="宋体"/>
                <w:bCs/>
                <w:kern w:val="0"/>
                <w:sz w:val="18"/>
                <w:szCs w:val="18"/>
              </w:rPr>
            </w:pPr>
          </w:p>
        </w:tc>
        <w:tc>
          <w:tcPr>
            <w:tcW w:w="709" w:type="dxa"/>
            <w:vMerge w:val="continue"/>
            <w:vAlign w:val="center"/>
          </w:tcPr>
          <w:p>
            <w:pPr>
              <w:widowControl/>
              <w:jc w:val="center"/>
              <w:rPr>
                <w:rFonts w:ascii="仿宋" w:hAnsi="仿宋" w:eastAsia="仿宋" w:cs="宋体"/>
                <w:b/>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404" w:type="dxa"/>
            <w:vMerge w:val="continue"/>
            <w:vAlign w:val="center"/>
          </w:tcPr>
          <w:p>
            <w:pPr>
              <w:widowControl/>
              <w:jc w:val="center"/>
              <w:rPr>
                <w:rFonts w:ascii="仿宋" w:hAnsi="仿宋" w:eastAsia="仿宋" w:cs="宋体"/>
                <w:bCs/>
                <w:kern w:val="0"/>
                <w:sz w:val="18"/>
                <w:szCs w:val="18"/>
              </w:rPr>
            </w:pPr>
          </w:p>
        </w:tc>
        <w:tc>
          <w:tcPr>
            <w:tcW w:w="420" w:type="dxa"/>
            <w:vMerge w:val="continue"/>
            <w:vAlign w:val="center"/>
          </w:tcPr>
          <w:p>
            <w:pPr>
              <w:widowControl/>
              <w:jc w:val="center"/>
              <w:rPr>
                <w:rFonts w:ascii="仿宋" w:hAnsi="仿宋" w:eastAsia="仿宋"/>
                <w:kern w:val="0"/>
                <w:sz w:val="18"/>
                <w:szCs w:val="18"/>
              </w:rPr>
            </w:pPr>
          </w:p>
        </w:tc>
        <w:tc>
          <w:tcPr>
            <w:tcW w:w="677" w:type="dxa"/>
            <w:vMerge w:val="continue"/>
            <w:vAlign w:val="center"/>
          </w:tcPr>
          <w:p>
            <w:pPr>
              <w:widowControl/>
              <w:jc w:val="center"/>
              <w:rPr>
                <w:rFonts w:ascii="仿宋" w:hAnsi="仿宋" w:eastAsia="仿宋"/>
                <w:kern w:val="0"/>
                <w:sz w:val="18"/>
                <w:szCs w:val="18"/>
              </w:rPr>
            </w:pPr>
          </w:p>
        </w:tc>
        <w:tc>
          <w:tcPr>
            <w:tcW w:w="763" w:type="dxa"/>
            <w:vAlign w:val="center"/>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烟尘</w:t>
            </w:r>
          </w:p>
        </w:tc>
        <w:tc>
          <w:tcPr>
            <w:tcW w:w="1081"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.18</w:t>
            </w:r>
          </w:p>
        </w:tc>
        <w:tc>
          <w:tcPr>
            <w:tcW w:w="802"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.009</w:t>
            </w:r>
          </w:p>
        </w:tc>
        <w:tc>
          <w:tcPr>
            <w:tcW w:w="928"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.07</w:t>
            </w:r>
          </w:p>
        </w:tc>
        <w:tc>
          <w:tcPr>
            <w:tcW w:w="994" w:type="dxa"/>
            <w:vMerge w:val="restart"/>
            <w:vAlign w:val="center"/>
          </w:tcPr>
          <w:p>
            <w:pPr>
              <w:widowControl/>
              <w:jc w:val="center"/>
              <w:rPr>
                <w:rFonts w:ascii="仿宋" w:hAnsi="仿宋" w:eastAsia="仿宋" w:cs="宋体"/>
                <w:bCs/>
                <w:kern w:val="0"/>
                <w:sz w:val="18"/>
                <w:szCs w:val="18"/>
              </w:rPr>
            </w:pPr>
            <w:r>
              <w:rPr>
                <w:rFonts w:hint="eastAsia" w:ascii="仿宋" w:hAnsi="仿宋" w:eastAsia="仿宋" w:cs="宋体"/>
                <w:bCs/>
                <w:kern w:val="0"/>
                <w:sz w:val="18"/>
                <w:szCs w:val="18"/>
              </w:rPr>
              <w:t>/</w:t>
            </w:r>
          </w:p>
        </w:tc>
        <w:tc>
          <w:tcPr>
            <w:tcW w:w="683" w:type="dxa"/>
            <w:vMerge w:val="restart"/>
            <w:vAlign w:val="center"/>
          </w:tcPr>
          <w:p>
            <w:pPr>
              <w:widowControl/>
              <w:jc w:val="center"/>
              <w:rPr>
                <w:rFonts w:ascii="仿宋" w:hAnsi="仿宋" w:eastAsia="仿宋" w:cs="宋体"/>
                <w:bCs/>
                <w:kern w:val="0"/>
                <w:sz w:val="18"/>
                <w:szCs w:val="18"/>
              </w:rPr>
            </w:pPr>
            <w:r>
              <w:rPr>
                <w:rFonts w:hint="eastAsia" w:ascii="仿宋" w:hAnsi="仿宋" w:eastAsia="仿宋" w:cs="宋体"/>
                <w:bCs/>
                <w:kern w:val="0"/>
                <w:sz w:val="18"/>
                <w:szCs w:val="18"/>
              </w:rPr>
              <w:t>/</w:t>
            </w:r>
          </w:p>
        </w:tc>
        <w:tc>
          <w:tcPr>
            <w:tcW w:w="842"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.18</w:t>
            </w:r>
          </w:p>
        </w:tc>
        <w:tc>
          <w:tcPr>
            <w:tcW w:w="1071"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w:t>
            </w:r>
          </w:p>
        </w:tc>
        <w:tc>
          <w:tcPr>
            <w:tcW w:w="775"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.009</w:t>
            </w:r>
          </w:p>
        </w:tc>
        <w:tc>
          <w:tcPr>
            <w:tcW w:w="750"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.07</w:t>
            </w:r>
          </w:p>
        </w:tc>
        <w:tc>
          <w:tcPr>
            <w:tcW w:w="902"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20</w:t>
            </w:r>
          </w:p>
        </w:tc>
        <w:tc>
          <w:tcPr>
            <w:tcW w:w="720"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w:t>
            </w:r>
          </w:p>
        </w:tc>
        <w:tc>
          <w:tcPr>
            <w:tcW w:w="624" w:type="dxa"/>
            <w:vMerge w:val="continue"/>
            <w:shd w:val="clear" w:color="auto" w:fill="auto"/>
            <w:vAlign w:val="center"/>
          </w:tcPr>
          <w:p>
            <w:pPr>
              <w:widowControl/>
              <w:jc w:val="center"/>
              <w:rPr>
                <w:rFonts w:ascii="仿宋" w:hAnsi="仿宋" w:eastAsia="仿宋" w:cs="宋体"/>
                <w:bCs/>
                <w:kern w:val="0"/>
                <w:sz w:val="18"/>
                <w:szCs w:val="18"/>
              </w:rPr>
            </w:pPr>
          </w:p>
        </w:tc>
        <w:tc>
          <w:tcPr>
            <w:tcW w:w="698" w:type="dxa"/>
            <w:vMerge w:val="continue"/>
            <w:shd w:val="clear" w:color="auto" w:fill="auto"/>
            <w:vAlign w:val="center"/>
          </w:tcPr>
          <w:p>
            <w:pPr>
              <w:widowControl/>
              <w:jc w:val="center"/>
              <w:rPr>
                <w:rFonts w:ascii="仿宋" w:hAnsi="仿宋" w:eastAsia="仿宋" w:cs="宋体"/>
                <w:bCs/>
                <w:kern w:val="0"/>
                <w:sz w:val="18"/>
                <w:szCs w:val="18"/>
              </w:rPr>
            </w:pPr>
          </w:p>
        </w:tc>
        <w:tc>
          <w:tcPr>
            <w:tcW w:w="729" w:type="dxa"/>
            <w:vMerge w:val="continue"/>
            <w:shd w:val="clear" w:color="auto" w:fill="auto"/>
            <w:vAlign w:val="center"/>
          </w:tcPr>
          <w:p>
            <w:pPr>
              <w:widowControl/>
              <w:jc w:val="center"/>
              <w:rPr>
                <w:rFonts w:ascii="仿宋" w:hAnsi="仿宋" w:eastAsia="仿宋" w:cs="宋体"/>
                <w:bCs/>
                <w:kern w:val="0"/>
                <w:sz w:val="18"/>
                <w:szCs w:val="18"/>
              </w:rPr>
            </w:pPr>
          </w:p>
        </w:tc>
        <w:tc>
          <w:tcPr>
            <w:tcW w:w="709" w:type="dxa"/>
            <w:vMerge w:val="continue"/>
            <w:vAlign w:val="center"/>
          </w:tcPr>
          <w:p>
            <w:pPr>
              <w:widowControl/>
              <w:jc w:val="center"/>
              <w:rPr>
                <w:rFonts w:ascii="仿宋" w:hAnsi="仿宋" w:eastAsia="仿宋" w:cs="宋体"/>
                <w:b/>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404" w:type="dxa"/>
            <w:vMerge w:val="continue"/>
            <w:vAlign w:val="center"/>
          </w:tcPr>
          <w:p>
            <w:pPr>
              <w:widowControl/>
              <w:jc w:val="center"/>
              <w:rPr>
                <w:rFonts w:ascii="仿宋" w:hAnsi="仿宋" w:eastAsia="仿宋" w:cs="宋体"/>
                <w:bCs/>
                <w:kern w:val="0"/>
                <w:sz w:val="18"/>
                <w:szCs w:val="18"/>
              </w:rPr>
            </w:pPr>
          </w:p>
        </w:tc>
        <w:tc>
          <w:tcPr>
            <w:tcW w:w="420" w:type="dxa"/>
            <w:vMerge w:val="continue"/>
            <w:vAlign w:val="center"/>
          </w:tcPr>
          <w:p>
            <w:pPr>
              <w:widowControl/>
              <w:jc w:val="center"/>
              <w:rPr>
                <w:rFonts w:ascii="仿宋" w:hAnsi="仿宋" w:eastAsia="仿宋"/>
                <w:kern w:val="0"/>
                <w:sz w:val="18"/>
                <w:szCs w:val="18"/>
              </w:rPr>
            </w:pPr>
          </w:p>
        </w:tc>
        <w:tc>
          <w:tcPr>
            <w:tcW w:w="677" w:type="dxa"/>
            <w:vMerge w:val="continue"/>
            <w:vAlign w:val="center"/>
          </w:tcPr>
          <w:p>
            <w:pPr>
              <w:widowControl/>
              <w:jc w:val="center"/>
              <w:rPr>
                <w:rFonts w:ascii="仿宋" w:hAnsi="仿宋" w:eastAsia="仿宋"/>
                <w:kern w:val="0"/>
                <w:sz w:val="18"/>
                <w:szCs w:val="18"/>
              </w:rPr>
            </w:pPr>
          </w:p>
        </w:tc>
        <w:tc>
          <w:tcPr>
            <w:tcW w:w="763" w:type="dxa"/>
            <w:vAlign w:val="center"/>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SO</w:t>
            </w:r>
            <w:r>
              <w:rPr>
                <w:rFonts w:hint="eastAsia" w:ascii="仿宋" w:hAnsi="仿宋" w:eastAsia="仿宋" w:cs="宋体"/>
                <w:kern w:val="0"/>
                <w:sz w:val="18"/>
                <w:szCs w:val="18"/>
                <w:vertAlign w:val="subscript"/>
              </w:rPr>
              <w:t>2</w:t>
            </w:r>
          </w:p>
        </w:tc>
        <w:tc>
          <w:tcPr>
            <w:tcW w:w="1081"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.14</w:t>
            </w:r>
          </w:p>
        </w:tc>
        <w:tc>
          <w:tcPr>
            <w:tcW w:w="802"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.007</w:t>
            </w:r>
          </w:p>
        </w:tc>
        <w:tc>
          <w:tcPr>
            <w:tcW w:w="928"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.05</w:t>
            </w:r>
          </w:p>
        </w:tc>
        <w:tc>
          <w:tcPr>
            <w:tcW w:w="994" w:type="dxa"/>
            <w:vMerge w:val="continue"/>
            <w:vAlign w:val="center"/>
          </w:tcPr>
          <w:p>
            <w:pPr>
              <w:widowControl/>
              <w:jc w:val="center"/>
              <w:rPr>
                <w:rFonts w:ascii="仿宋" w:hAnsi="仿宋" w:eastAsia="仿宋" w:cs="宋体"/>
                <w:bCs/>
                <w:kern w:val="0"/>
                <w:sz w:val="18"/>
                <w:szCs w:val="18"/>
              </w:rPr>
            </w:pPr>
          </w:p>
        </w:tc>
        <w:tc>
          <w:tcPr>
            <w:tcW w:w="683" w:type="dxa"/>
            <w:vMerge w:val="continue"/>
            <w:vAlign w:val="center"/>
          </w:tcPr>
          <w:p>
            <w:pPr>
              <w:widowControl/>
              <w:jc w:val="center"/>
              <w:rPr>
                <w:rFonts w:ascii="仿宋" w:hAnsi="仿宋" w:eastAsia="仿宋" w:cs="宋体"/>
                <w:bCs/>
                <w:kern w:val="0"/>
                <w:sz w:val="18"/>
                <w:szCs w:val="18"/>
              </w:rPr>
            </w:pPr>
          </w:p>
        </w:tc>
        <w:tc>
          <w:tcPr>
            <w:tcW w:w="842"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.14</w:t>
            </w:r>
          </w:p>
        </w:tc>
        <w:tc>
          <w:tcPr>
            <w:tcW w:w="1071"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w:t>
            </w:r>
          </w:p>
        </w:tc>
        <w:tc>
          <w:tcPr>
            <w:tcW w:w="775"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.007</w:t>
            </w:r>
          </w:p>
        </w:tc>
        <w:tc>
          <w:tcPr>
            <w:tcW w:w="750"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.05</w:t>
            </w:r>
          </w:p>
        </w:tc>
        <w:tc>
          <w:tcPr>
            <w:tcW w:w="902" w:type="dxa"/>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200</w:t>
            </w:r>
          </w:p>
        </w:tc>
        <w:tc>
          <w:tcPr>
            <w:tcW w:w="720"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w:t>
            </w:r>
          </w:p>
        </w:tc>
        <w:tc>
          <w:tcPr>
            <w:tcW w:w="624" w:type="dxa"/>
            <w:vMerge w:val="continue"/>
            <w:shd w:val="clear" w:color="auto" w:fill="auto"/>
            <w:vAlign w:val="center"/>
          </w:tcPr>
          <w:p>
            <w:pPr>
              <w:widowControl/>
              <w:jc w:val="center"/>
              <w:rPr>
                <w:rFonts w:ascii="仿宋" w:hAnsi="仿宋" w:eastAsia="仿宋" w:cs="宋体"/>
                <w:bCs/>
                <w:kern w:val="0"/>
                <w:sz w:val="18"/>
                <w:szCs w:val="18"/>
              </w:rPr>
            </w:pPr>
          </w:p>
        </w:tc>
        <w:tc>
          <w:tcPr>
            <w:tcW w:w="698" w:type="dxa"/>
            <w:vMerge w:val="continue"/>
            <w:shd w:val="clear" w:color="auto" w:fill="auto"/>
            <w:vAlign w:val="center"/>
          </w:tcPr>
          <w:p>
            <w:pPr>
              <w:widowControl/>
              <w:jc w:val="center"/>
              <w:rPr>
                <w:rFonts w:ascii="仿宋" w:hAnsi="仿宋" w:eastAsia="仿宋" w:cs="宋体"/>
                <w:bCs/>
                <w:kern w:val="0"/>
                <w:sz w:val="18"/>
                <w:szCs w:val="18"/>
              </w:rPr>
            </w:pPr>
          </w:p>
        </w:tc>
        <w:tc>
          <w:tcPr>
            <w:tcW w:w="729" w:type="dxa"/>
            <w:vMerge w:val="continue"/>
            <w:shd w:val="clear" w:color="auto" w:fill="auto"/>
            <w:vAlign w:val="center"/>
          </w:tcPr>
          <w:p>
            <w:pPr>
              <w:widowControl/>
              <w:jc w:val="center"/>
              <w:rPr>
                <w:rFonts w:ascii="仿宋" w:hAnsi="仿宋" w:eastAsia="仿宋" w:cs="宋体"/>
                <w:bCs/>
                <w:kern w:val="0"/>
                <w:sz w:val="18"/>
                <w:szCs w:val="18"/>
              </w:rPr>
            </w:pPr>
          </w:p>
        </w:tc>
        <w:tc>
          <w:tcPr>
            <w:tcW w:w="709" w:type="dxa"/>
            <w:vMerge w:val="continue"/>
            <w:vAlign w:val="center"/>
          </w:tcPr>
          <w:p>
            <w:pPr>
              <w:widowControl/>
              <w:jc w:val="center"/>
              <w:rPr>
                <w:rFonts w:ascii="仿宋" w:hAnsi="仿宋" w:eastAsia="仿宋" w:cs="宋体"/>
                <w:b/>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404" w:type="dxa"/>
            <w:vMerge w:val="continue"/>
            <w:vAlign w:val="center"/>
          </w:tcPr>
          <w:p>
            <w:pPr>
              <w:widowControl/>
              <w:jc w:val="center"/>
              <w:rPr>
                <w:rFonts w:ascii="仿宋" w:hAnsi="仿宋" w:eastAsia="仿宋" w:cs="宋体"/>
                <w:bCs/>
                <w:kern w:val="0"/>
                <w:sz w:val="18"/>
                <w:szCs w:val="18"/>
              </w:rPr>
            </w:pPr>
          </w:p>
        </w:tc>
        <w:tc>
          <w:tcPr>
            <w:tcW w:w="420" w:type="dxa"/>
            <w:vMerge w:val="continue"/>
            <w:vAlign w:val="center"/>
          </w:tcPr>
          <w:p>
            <w:pPr>
              <w:widowControl/>
              <w:jc w:val="center"/>
              <w:rPr>
                <w:rFonts w:ascii="仿宋" w:hAnsi="仿宋" w:eastAsia="仿宋"/>
                <w:kern w:val="0"/>
                <w:sz w:val="18"/>
                <w:szCs w:val="18"/>
              </w:rPr>
            </w:pPr>
          </w:p>
        </w:tc>
        <w:tc>
          <w:tcPr>
            <w:tcW w:w="677" w:type="dxa"/>
            <w:vMerge w:val="continue"/>
            <w:vAlign w:val="center"/>
          </w:tcPr>
          <w:p>
            <w:pPr>
              <w:widowControl/>
              <w:jc w:val="center"/>
              <w:rPr>
                <w:rFonts w:ascii="仿宋" w:hAnsi="仿宋" w:eastAsia="仿宋"/>
                <w:kern w:val="0"/>
                <w:sz w:val="18"/>
                <w:szCs w:val="18"/>
              </w:rPr>
            </w:pPr>
          </w:p>
        </w:tc>
        <w:tc>
          <w:tcPr>
            <w:tcW w:w="763" w:type="dxa"/>
            <w:vAlign w:val="center"/>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NOx</w:t>
            </w:r>
          </w:p>
        </w:tc>
        <w:tc>
          <w:tcPr>
            <w:tcW w:w="1081"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w:t>
            </w:r>
            <w:r>
              <w:rPr>
                <w:rFonts w:ascii="仿宋" w:hAnsi="仿宋" w:eastAsia="仿宋" w:cs="仿宋"/>
                <w:bCs/>
                <w:szCs w:val="21"/>
              </w:rPr>
              <w:t>.06</w:t>
            </w:r>
          </w:p>
        </w:tc>
        <w:tc>
          <w:tcPr>
            <w:tcW w:w="802"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.053</w:t>
            </w:r>
          </w:p>
        </w:tc>
        <w:tc>
          <w:tcPr>
            <w:tcW w:w="928"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.38</w:t>
            </w:r>
          </w:p>
        </w:tc>
        <w:tc>
          <w:tcPr>
            <w:tcW w:w="994" w:type="dxa"/>
            <w:vMerge w:val="continue"/>
            <w:vAlign w:val="center"/>
          </w:tcPr>
          <w:p>
            <w:pPr>
              <w:widowControl/>
              <w:jc w:val="center"/>
              <w:rPr>
                <w:rFonts w:ascii="仿宋" w:hAnsi="仿宋" w:eastAsia="仿宋" w:cs="宋体"/>
                <w:bCs/>
                <w:kern w:val="0"/>
                <w:sz w:val="18"/>
                <w:szCs w:val="18"/>
              </w:rPr>
            </w:pPr>
          </w:p>
        </w:tc>
        <w:tc>
          <w:tcPr>
            <w:tcW w:w="683" w:type="dxa"/>
            <w:vMerge w:val="continue"/>
            <w:vAlign w:val="center"/>
          </w:tcPr>
          <w:p>
            <w:pPr>
              <w:widowControl/>
              <w:jc w:val="center"/>
              <w:rPr>
                <w:rFonts w:ascii="仿宋" w:hAnsi="仿宋" w:eastAsia="仿宋" w:cs="宋体"/>
                <w:bCs/>
                <w:kern w:val="0"/>
                <w:sz w:val="18"/>
                <w:szCs w:val="18"/>
              </w:rPr>
            </w:pPr>
          </w:p>
        </w:tc>
        <w:tc>
          <w:tcPr>
            <w:tcW w:w="842"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w:t>
            </w:r>
            <w:r>
              <w:rPr>
                <w:rFonts w:ascii="仿宋" w:hAnsi="仿宋" w:eastAsia="仿宋" w:cs="仿宋"/>
                <w:bCs/>
                <w:szCs w:val="21"/>
              </w:rPr>
              <w:t>.06</w:t>
            </w:r>
          </w:p>
        </w:tc>
        <w:tc>
          <w:tcPr>
            <w:tcW w:w="1071"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w:t>
            </w:r>
          </w:p>
        </w:tc>
        <w:tc>
          <w:tcPr>
            <w:tcW w:w="775"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.053</w:t>
            </w:r>
          </w:p>
        </w:tc>
        <w:tc>
          <w:tcPr>
            <w:tcW w:w="750"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.38</w:t>
            </w:r>
          </w:p>
        </w:tc>
        <w:tc>
          <w:tcPr>
            <w:tcW w:w="902" w:type="dxa"/>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2</w:t>
            </w:r>
            <w:r>
              <w:rPr>
                <w:rFonts w:hint="eastAsia" w:ascii="仿宋" w:hAnsi="仿宋" w:eastAsia="仿宋" w:cs="仿宋"/>
                <w:bCs/>
                <w:szCs w:val="21"/>
              </w:rPr>
              <w:t>00</w:t>
            </w:r>
          </w:p>
        </w:tc>
        <w:tc>
          <w:tcPr>
            <w:tcW w:w="720"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w:t>
            </w:r>
          </w:p>
        </w:tc>
        <w:tc>
          <w:tcPr>
            <w:tcW w:w="624" w:type="dxa"/>
            <w:vMerge w:val="continue"/>
            <w:shd w:val="clear" w:color="auto" w:fill="auto"/>
            <w:vAlign w:val="center"/>
          </w:tcPr>
          <w:p>
            <w:pPr>
              <w:widowControl/>
              <w:jc w:val="center"/>
              <w:rPr>
                <w:rFonts w:ascii="仿宋" w:hAnsi="仿宋" w:eastAsia="仿宋" w:cs="宋体"/>
                <w:bCs/>
                <w:kern w:val="0"/>
                <w:sz w:val="18"/>
                <w:szCs w:val="18"/>
              </w:rPr>
            </w:pPr>
          </w:p>
        </w:tc>
        <w:tc>
          <w:tcPr>
            <w:tcW w:w="698" w:type="dxa"/>
            <w:vMerge w:val="continue"/>
            <w:shd w:val="clear" w:color="auto" w:fill="auto"/>
            <w:vAlign w:val="center"/>
          </w:tcPr>
          <w:p>
            <w:pPr>
              <w:widowControl/>
              <w:jc w:val="center"/>
              <w:rPr>
                <w:rFonts w:ascii="仿宋" w:hAnsi="仿宋" w:eastAsia="仿宋" w:cs="宋体"/>
                <w:bCs/>
                <w:kern w:val="0"/>
                <w:sz w:val="18"/>
                <w:szCs w:val="18"/>
              </w:rPr>
            </w:pPr>
          </w:p>
        </w:tc>
        <w:tc>
          <w:tcPr>
            <w:tcW w:w="729" w:type="dxa"/>
            <w:vMerge w:val="continue"/>
            <w:shd w:val="clear" w:color="auto" w:fill="auto"/>
            <w:vAlign w:val="center"/>
          </w:tcPr>
          <w:p>
            <w:pPr>
              <w:widowControl/>
              <w:jc w:val="center"/>
              <w:rPr>
                <w:rFonts w:ascii="仿宋" w:hAnsi="仿宋" w:eastAsia="仿宋" w:cs="宋体"/>
                <w:bCs/>
                <w:kern w:val="0"/>
                <w:sz w:val="18"/>
                <w:szCs w:val="18"/>
              </w:rPr>
            </w:pPr>
          </w:p>
        </w:tc>
        <w:tc>
          <w:tcPr>
            <w:tcW w:w="709" w:type="dxa"/>
            <w:vMerge w:val="continue"/>
            <w:vAlign w:val="center"/>
          </w:tcPr>
          <w:p>
            <w:pPr>
              <w:widowControl/>
              <w:jc w:val="center"/>
              <w:rPr>
                <w:rFonts w:ascii="仿宋" w:hAnsi="仿宋" w:eastAsia="仿宋" w:cs="宋体"/>
                <w:b/>
                <w:bCs/>
                <w:kern w:val="0"/>
                <w:sz w:val="18"/>
                <w:szCs w:val="18"/>
              </w:rPr>
            </w:pPr>
          </w:p>
        </w:tc>
      </w:tr>
    </w:tbl>
    <w:p>
      <w:pPr>
        <w:adjustRightInd w:val="0"/>
        <w:snapToGrid w:val="0"/>
        <w:spacing w:line="320" w:lineRule="exact"/>
        <w:rPr>
          <w:rFonts w:eastAsia="仿宋_GB2312"/>
          <w:b/>
          <w:szCs w:val="21"/>
        </w:rPr>
      </w:pPr>
      <w:r>
        <w:rPr>
          <w:rFonts w:hint="eastAsia" w:eastAsia="仿宋_GB2312"/>
          <w:b/>
          <w:szCs w:val="21"/>
        </w:rPr>
        <w:t>注：本项目配胶工段年运行时间3</w:t>
      </w:r>
      <w:r>
        <w:rPr>
          <w:rFonts w:eastAsia="仿宋_GB2312"/>
          <w:b/>
          <w:szCs w:val="21"/>
        </w:rPr>
        <w:t>600</w:t>
      </w:r>
      <w:r>
        <w:rPr>
          <w:rFonts w:hint="eastAsia" w:eastAsia="仿宋_GB2312"/>
          <w:b/>
          <w:szCs w:val="21"/>
        </w:rPr>
        <w:t>h，涂布干燥工段运行时7</w:t>
      </w:r>
      <w:r>
        <w:rPr>
          <w:rFonts w:eastAsia="仿宋_GB2312"/>
          <w:b/>
          <w:szCs w:val="21"/>
        </w:rPr>
        <w:t>200</w:t>
      </w:r>
      <w:r>
        <w:rPr>
          <w:rFonts w:hint="eastAsia" w:eastAsia="仿宋_GB2312"/>
          <w:b/>
          <w:szCs w:val="21"/>
        </w:rPr>
        <w:t>h，清洗工段运行时间2</w:t>
      </w:r>
      <w:r>
        <w:rPr>
          <w:rFonts w:eastAsia="仿宋_GB2312"/>
          <w:b/>
          <w:szCs w:val="21"/>
        </w:rPr>
        <w:t>000</w:t>
      </w:r>
      <w:r>
        <w:rPr>
          <w:rFonts w:hint="eastAsia" w:eastAsia="仿宋_GB2312"/>
          <w:b/>
          <w:szCs w:val="21"/>
        </w:rPr>
        <w:t>h。</w:t>
      </w:r>
    </w:p>
    <w:p>
      <w:pPr>
        <w:adjustRightInd w:val="0"/>
        <w:snapToGrid w:val="0"/>
        <w:spacing w:line="320" w:lineRule="exact"/>
        <w:rPr>
          <w:rFonts w:eastAsia="仿宋_GB2312"/>
          <w:b/>
          <w:szCs w:val="21"/>
        </w:rPr>
      </w:pPr>
      <w:r>
        <w:rPr>
          <w:rFonts w:hint="eastAsia" w:eastAsia="仿宋_GB2312"/>
          <w:b/>
          <w:szCs w:val="21"/>
        </w:rPr>
        <w:t>进入</w:t>
      </w:r>
      <w:r>
        <w:rPr>
          <w:rFonts w:eastAsia="仿宋_GB2312"/>
          <w:b/>
          <w:szCs w:val="21"/>
        </w:rPr>
        <w:t xml:space="preserve">VOCs </w:t>
      </w:r>
      <w:r>
        <w:rPr>
          <w:rFonts w:hint="eastAsia" w:eastAsia="仿宋_GB2312"/>
          <w:b/>
          <w:szCs w:val="21"/>
        </w:rPr>
        <w:t>燃烧（焚烧、氧化）装置的废气需要补充空气进行燃烧、氧化反应的，排气筒中实测大气污染物排放浓度，应按下式换算为基准含氧量为</w:t>
      </w:r>
      <w:r>
        <w:rPr>
          <w:rFonts w:eastAsia="仿宋_GB2312"/>
          <w:b/>
          <w:szCs w:val="21"/>
        </w:rPr>
        <w:t>3%</w:t>
      </w:r>
      <w:r>
        <w:rPr>
          <w:rFonts w:hint="eastAsia" w:eastAsia="仿宋_GB2312"/>
          <w:b/>
          <w:szCs w:val="21"/>
        </w:rPr>
        <w:t>的大气污染物基准排放浓度。</w:t>
      </w:r>
    </w:p>
    <w:p>
      <w:pPr>
        <w:pStyle w:val="45"/>
      </w:pPr>
      <w:r>
        <w:drawing>
          <wp:inline distT="0" distB="0" distL="114300" distR="114300">
            <wp:extent cx="1914525" cy="885825"/>
            <wp:effectExtent l="0" t="0" r="9525" b="9525"/>
            <wp:docPr id="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pic:cNvPicPr>
                      <a:picLocks noChangeAspect="1"/>
                    </pic:cNvPicPr>
                  </pic:nvPicPr>
                  <pic:blipFill>
                    <a:blip r:embed="rId48"/>
                    <a:stretch>
                      <a:fillRect/>
                    </a:stretch>
                  </pic:blipFill>
                  <pic:spPr>
                    <a:xfrm>
                      <a:off x="0" y="0"/>
                      <a:ext cx="1914525" cy="885825"/>
                    </a:xfrm>
                    <a:prstGeom prst="rect">
                      <a:avLst/>
                    </a:prstGeom>
                    <a:noFill/>
                    <a:ln>
                      <a:noFill/>
                    </a:ln>
                  </pic:spPr>
                </pic:pic>
              </a:graphicData>
            </a:graphic>
          </wp:inline>
        </w:drawing>
      </w:r>
    </w:p>
    <w:p>
      <w:pPr>
        <w:adjustRightInd w:val="0"/>
        <w:snapToGrid w:val="0"/>
        <w:spacing w:line="320" w:lineRule="exact"/>
        <w:rPr>
          <w:rFonts w:eastAsia="仿宋_GB2312"/>
          <w:b/>
          <w:szCs w:val="21"/>
        </w:rPr>
      </w:pPr>
      <w:r>
        <w:rPr>
          <w:rFonts w:hint="eastAsia" w:eastAsia="仿宋_GB2312"/>
          <w:b/>
          <w:szCs w:val="21"/>
        </w:rPr>
        <w:t>式中：ρ基——大气污染物基准排放质量浓度，mg/m</w:t>
      </w:r>
      <w:r>
        <w:rPr>
          <w:rFonts w:hint="eastAsia" w:eastAsia="仿宋_GB2312"/>
          <w:b/>
          <w:szCs w:val="21"/>
          <w:vertAlign w:val="superscript"/>
        </w:rPr>
        <w:t>3</w:t>
      </w:r>
      <w:r>
        <w:rPr>
          <w:rFonts w:hint="eastAsia" w:eastAsia="仿宋_GB2312"/>
          <w:b/>
          <w:szCs w:val="21"/>
        </w:rPr>
        <w:t>；</w:t>
      </w:r>
    </w:p>
    <w:p>
      <w:pPr>
        <w:adjustRightInd w:val="0"/>
        <w:snapToGrid w:val="0"/>
        <w:spacing w:line="320" w:lineRule="exact"/>
        <w:rPr>
          <w:rFonts w:eastAsia="仿宋_GB2312"/>
          <w:b/>
          <w:szCs w:val="21"/>
        </w:rPr>
      </w:pPr>
      <w:r>
        <w:rPr>
          <w:rFonts w:hint="eastAsia" w:eastAsia="仿宋_GB2312"/>
          <w:b/>
          <w:szCs w:val="21"/>
        </w:rPr>
        <w:t>ρ实——实测大气污染物排放质量浓度，mg/m</w:t>
      </w:r>
      <w:r>
        <w:rPr>
          <w:rFonts w:hint="eastAsia" w:eastAsia="仿宋_GB2312"/>
          <w:b/>
          <w:szCs w:val="21"/>
          <w:vertAlign w:val="superscript"/>
        </w:rPr>
        <w:t>3</w:t>
      </w:r>
      <w:r>
        <w:rPr>
          <w:rFonts w:hint="eastAsia" w:eastAsia="仿宋_GB2312"/>
          <w:b/>
          <w:szCs w:val="21"/>
        </w:rPr>
        <w:t>；</w:t>
      </w:r>
    </w:p>
    <w:p>
      <w:pPr>
        <w:adjustRightInd w:val="0"/>
        <w:snapToGrid w:val="0"/>
        <w:spacing w:line="320" w:lineRule="exact"/>
        <w:rPr>
          <w:rFonts w:eastAsia="仿宋_GB2312"/>
          <w:b/>
          <w:szCs w:val="21"/>
        </w:rPr>
      </w:pPr>
      <w:r>
        <w:rPr>
          <w:rFonts w:hint="eastAsia" w:eastAsia="仿宋_GB2312"/>
          <w:b/>
          <w:szCs w:val="21"/>
        </w:rPr>
        <w:t>O基——干烟气基准含氧量，%；取值3%；</w:t>
      </w:r>
    </w:p>
    <w:p>
      <w:pPr>
        <w:adjustRightInd w:val="0"/>
        <w:snapToGrid w:val="0"/>
        <w:spacing w:line="320" w:lineRule="exact"/>
        <w:rPr>
          <w:rFonts w:eastAsia="仿宋_GB2312"/>
          <w:b/>
          <w:szCs w:val="21"/>
        </w:rPr>
        <w:sectPr>
          <w:footerReference r:id="rId14" w:type="default"/>
          <w:pgSz w:w="16839" w:h="11907" w:orient="landscape"/>
          <w:pgMar w:top="1800" w:right="1440" w:bottom="1800" w:left="1440" w:header="851" w:footer="992" w:gutter="0"/>
          <w:cols w:space="425" w:num="1"/>
          <w:docGrid w:linePitch="312" w:charSpace="0"/>
        </w:sectPr>
      </w:pPr>
      <w:r>
        <w:rPr>
          <w:rFonts w:hint="eastAsia" w:eastAsia="仿宋_GB2312"/>
          <w:b/>
          <w:szCs w:val="21"/>
        </w:rPr>
        <w:t>O实——实测的干烟气含氧量，%。类比同行业取值8%。</w:t>
      </w:r>
    </w:p>
    <w:p>
      <w:pPr>
        <w:spacing w:line="500" w:lineRule="exact"/>
        <w:ind w:firstLine="560" w:firstLineChars="200"/>
        <w:rPr>
          <w:rFonts w:eastAsia="仿宋_GB2312"/>
          <w:bCs/>
          <w:sz w:val="28"/>
          <w:szCs w:val="28"/>
        </w:rPr>
      </w:pPr>
      <w:r>
        <w:rPr>
          <w:rFonts w:hint="eastAsia" w:eastAsia="仿宋_GB2312"/>
          <w:bCs/>
          <w:sz w:val="28"/>
          <w:szCs w:val="28"/>
        </w:rPr>
        <w:t>由</w:t>
      </w:r>
      <w:r>
        <w:rPr>
          <w:rFonts w:eastAsia="仿宋_GB2312"/>
          <w:bCs/>
          <w:sz w:val="28"/>
          <w:szCs w:val="28"/>
        </w:rPr>
        <w:t>上表可知本项目</w:t>
      </w:r>
      <w:r>
        <w:rPr>
          <w:rFonts w:hint="eastAsia" w:eastAsia="仿宋_GB2312"/>
          <w:bCs/>
          <w:sz w:val="28"/>
          <w:szCs w:val="28"/>
        </w:rPr>
        <w:t>各</w:t>
      </w:r>
      <w:r>
        <w:rPr>
          <w:rFonts w:eastAsia="仿宋_GB2312"/>
          <w:bCs/>
          <w:sz w:val="28"/>
          <w:szCs w:val="28"/>
        </w:rPr>
        <w:t>排气筒</w:t>
      </w:r>
      <w:r>
        <w:rPr>
          <w:rFonts w:hint="eastAsia" w:eastAsia="仿宋_GB2312"/>
          <w:bCs/>
          <w:sz w:val="28"/>
          <w:szCs w:val="28"/>
        </w:rPr>
        <w:t>污染物</w:t>
      </w:r>
      <w:r>
        <w:rPr>
          <w:rFonts w:eastAsia="仿宋_GB2312"/>
          <w:bCs/>
          <w:sz w:val="28"/>
          <w:szCs w:val="28"/>
        </w:rPr>
        <w:t>排放</w:t>
      </w:r>
      <w:r>
        <w:rPr>
          <w:rFonts w:hint="eastAsia" w:eastAsia="仿宋_GB2312"/>
          <w:bCs/>
          <w:sz w:val="28"/>
          <w:szCs w:val="28"/>
        </w:rPr>
        <w:t>速率、浓度</w:t>
      </w:r>
      <w:r>
        <w:rPr>
          <w:rFonts w:eastAsia="仿宋_GB2312"/>
          <w:bCs/>
          <w:sz w:val="28"/>
          <w:szCs w:val="28"/>
        </w:rPr>
        <w:t>均</w:t>
      </w:r>
      <w:r>
        <w:rPr>
          <w:rFonts w:hint="eastAsia" w:eastAsia="仿宋_GB2312"/>
          <w:bCs/>
          <w:sz w:val="28"/>
          <w:szCs w:val="28"/>
        </w:rPr>
        <w:t>达到</w:t>
      </w:r>
      <w:r>
        <w:rPr>
          <w:rFonts w:eastAsia="仿宋_GB2312"/>
          <w:bCs/>
          <w:sz w:val="28"/>
          <w:szCs w:val="28"/>
        </w:rPr>
        <w:t>相应标准。</w:t>
      </w:r>
    </w:p>
    <w:p>
      <w:pPr>
        <w:tabs>
          <w:tab w:val="left" w:pos="2985"/>
          <w:tab w:val="center" w:pos="10465"/>
        </w:tabs>
        <w:spacing w:line="500" w:lineRule="exact"/>
        <w:jc w:val="center"/>
        <w:rPr>
          <w:rFonts w:eastAsia="仿宋_GB2312"/>
          <w:b/>
          <w:sz w:val="24"/>
        </w:rPr>
      </w:pPr>
      <w:r>
        <w:rPr>
          <w:rFonts w:eastAsia="仿宋_GB2312"/>
          <w:b/>
          <w:sz w:val="24"/>
        </w:rPr>
        <w:t>表3.</w:t>
      </w:r>
      <w:r>
        <w:rPr>
          <w:rFonts w:hint="eastAsia" w:eastAsia="仿宋_GB2312"/>
          <w:b/>
          <w:sz w:val="24"/>
        </w:rPr>
        <w:t>3</w:t>
      </w:r>
      <w:r>
        <w:rPr>
          <w:rFonts w:eastAsia="仿宋_GB2312"/>
          <w:b/>
          <w:sz w:val="24"/>
        </w:rPr>
        <w:t>-3  本项目无组织废气产生源强及排放情况</w:t>
      </w:r>
    </w:p>
    <w:tbl>
      <w:tblPr>
        <w:tblStyle w:val="87"/>
        <w:tblW w:w="53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10"/>
        <w:gridCol w:w="799"/>
        <w:gridCol w:w="1190"/>
        <w:gridCol w:w="1145"/>
        <w:gridCol w:w="1429"/>
        <w:gridCol w:w="1191"/>
        <w:gridCol w:w="1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2910" w:type="dxa"/>
            <w:shd w:val="clear" w:color="auto" w:fill="auto"/>
            <w:vAlign w:val="center"/>
          </w:tcPr>
          <w:p>
            <w:pPr>
              <w:jc w:val="center"/>
              <w:rPr>
                <w:rFonts w:ascii="仿宋" w:hAnsi="仿宋" w:eastAsia="仿宋"/>
                <w:bCs/>
                <w:szCs w:val="21"/>
              </w:rPr>
            </w:pPr>
            <w:r>
              <w:rPr>
                <w:rFonts w:hint="eastAsia" w:ascii="仿宋" w:hAnsi="仿宋" w:eastAsia="仿宋"/>
                <w:bCs/>
                <w:szCs w:val="21"/>
              </w:rPr>
              <w:t>废气</w:t>
            </w:r>
            <w:r>
              <w:rPr>
                <w:rFonts w:ascii="仿宋" w:hAnsi="仿宋" w:eastAsia="仿宋"/>
                <w:bCs/>
                <w:szCs w:val="21"/>
              </w:rPr>
              <w:t>编号</w:t>
            </w:r>
          </w:p>
        </w:tc>
        <w:tc>
          <w:tcPr>
            <w:tcW w:w="799" w:type="dxa"/>
            <w:shd w:val="clear" w:color="auto" w:fill="auto"/>
            <w:vAlign w:val="center"/>
          </w:tcPr>
          <w:p>
            <w:pPr>
              <w:jc w:val="center"/>
              <w:rPr>
                <w:rFonts w:ascii="仿宋" w:hAnsi="仿宋" w:eastAsia="仿宋"/>
                <w:bCs/>
                <w:szCs w:val="21"/>
              </w:rPr>
            </w:pPr>
            <w:r>
              <w:rPr>
                <w:rFonts w:ascii="仿宋" w:hAnsi="仿宋" w:eastAsia="仿宋"/>
                <w:bCs/>
                <w:szCs w:val="21"/>
              </w:rPr>
              <w:t>污染源位置</w:t>
            </w:r>
          </w:p>
        </w:tc>
        <w:tc>
          <w:tcPr>
            <w:tcW w:w="1190" w:type="dxa"/>
            <w:shd w:val="clear" w:color="auto" w:fill="auto"/>
            <w:vAlign w:val="center"/>
          </w:tcPr>
          <w:p>
            <w:pPr>
              <w:jc w:val="center"/>
              <w:rPr>
                <w:rFonts w:ascii="仿宋" w:hAnsi="仿宋" w:eastAsia="仿宋"/>
                <w:bCs/>
                <w:szCs w:val="21"/>
              </w:rPr>
            </w:pPr>
            <w:r>
              <w:rPr>
                <w:rFonts w:ascii="仿宋" w:hAnsi="仿宋" w:eastAsia="仿宋"/>
                <w:bCs/>
                <w:szCs w:val="21"/>
              </w:rPr>
              <w:t>污染物名称</w:t>
            </w:r>
          </w:p>
        </w:tc>
        <w:tc>
          <w:tcPr>
            <w:tcW w:w="1145" w:type="dxa"/>
            <w:vAlign w:val="center"/>
          </w:tcPr>
          <w:p>
            <w:pPr>
              <w:pStyle w:val="124"/>
              <w:spacing w:line="360" w:lineRule="exact"/>
              <w:rPr>
                <w:rFonts w:ascii="仿宋" w:hAnsi="仿宋" w:eastAsia="仿宋"/>
              </w:rPr>
            </w:pPr>
            <w:r>
              <w:rPr>
                <w:rFonts w:ascii="仿宋" w:hAnsi="仿宋" w:eastAsia="仿宋"/>
              </w:rPr>
              <w:t>污染物</w:t>
            </w:r>
            <w:r>
              <w:rPr>
                <w:rFonts w:hint="eastAsia" w:ascii="仿宋" w:hAnsi="仿宋" w:eastAsia="仿宋"/>
              </w:rPr>
              <w:t>排放</w:t>
            </w:r>
            <w:r>
              <w:rPr>
                <w:rFonts w:ascii="仿宋" w:hAnsi="仿宋" w:eastAsia="仿宋"/>
              </w:rPr>
              <w:t>速率（kg/h）</w:t>
            </w:r>
          </w:p>
        </w:tc>
        <w:tc>
          <w:tcPr>
            <w:tcW w:w="1429" w:type="dxa"/>
            <w:vAlign w:val="center"/>
          </w:tcPr>
          <w:p>
            <w:pPr>
              <w:jc w:val="center"/>
              <w:rPr>
                <w:rFonts w:ascii="仿宋" w:hAnsi="仿宋" w:eastAsia="仿宋"/>
                <w:bCs/>
                <w:szCs w:val="21"/>
              </w:rPr>
            </w:pPr>
            <w:r>
              <w:rPr>
                <w:rFonts w:ascii="仿宋" w:hAnsi="仿宋" w:eastAsia="仿宋"/>
                <w:bCs/>
                <w:szCs w:val="21"/>
              </w:rPr>
              <w:t>污染物</w:t>
            </w:r>
            <w:r>
              <w:rPr>
                <w:rFonts w:hint="eastAsia" w:ascii="仿宋" w:hAnsi="仿宋" w:eastAsia="仿宋"/>
                <w:bCs/>
                <w:szCs w:val="21"/>
              </w:rPr>
              <w:t>排放</w:t>
            </w:r>
            <w:r>
              <w:rPr>
                <w:rFonts w:ascii="仿宋" w:hAnsi="仿宋" w:eastAsia="仿宋"/>
                <w:bCs/>
                <w:szCs w:val="21"/>
              </w:rPr>
              <w:t>量（t/a）</w:t>
            </w:r>
          </w:p>
        </w:tc>
        <w:tc>
          <w:tcPr>
            <w:tcW w:w="1191" w:type="dxa"/>
            <w:shd w:val="clear" w:color="auto" w:fill="auto"/>
            <w:vAlign w:val="center"/>
          </w:tcPr>
          <w:p>
            <w:pPr>
              <w:jc w:val="center"/>
              <w:rPr>
                <w:rFonts w:ascii="仿宋" w:hAnsi="仿宋" w:eastAsia="仿宋"/>
                <w:bCs/>
                <w:szCs w:val="21"/>
              </w:rPr>
            </w:pPr>
            <w:r>
              <w:rPr>
                <w:rFonts w:ascii="仿宋" w:hAnsi="仿宋" w:eastAsia="仿宋"/>
                <w:bCs/>
                <w:szCs w:val="21"/>
              </w:rPr>
              <w:t>面源面积</w:t>
            </w:r>
          </w:p>
          <w:p>
            <w:pPr>
              <w:jc w:val="center"/>
              <w:rPr>
                <w:rFonts w:ascii="仿宋" w:hAnsi="仿宋" w:eastAsia="仿宋"/>
                <w:bCs/>
                <w:szCs w:val="21"/>
              </w:rPr>
            </w:pPr>
            <w:r>
              <w:rPr>
                <w:rFonts w:ascii="仿宋" w:hAnsi="仿宋" w:eastAsia="仿宋"/>
                <w:bCs/>
                <w:szCs w:val="21"/>
              </w:rPr>
              <w:t>（m</w:t>
            </w:r>
            <w:r>
              <w:rPr>
                <w:rFonts w:ascii="仿宋" w:hAnsi="仿宋" w:eastAsia="仿宋"/>
                <w:bCs/>
                <w:szCs w:val="21"/>
                <w:vertAlign w:val="superscript"/>
              </w:rPr>
              <w:t>2</w:t>
            </w:r>
            <w:r>
              <w:rPr>
                <w:rFonts w:ascii="仿宋" w:hAnsi="仿宋" w:eastAsia="仿宋"/>
                <w:bCs/>
                <w:szCs w:val="21"/>
              </w:rPr>
              <w:t>）</w:t>
            </w:r>
          </w:p>
        </w:tc>
        <w:tc>
          <w:tcPr>
            <w:tcW w:w="1314" w:type="dxa"/>
            <w:shd w:val="clear" w:color="auto" w:fill="auto"/>
            <w:vAlign w:val="center"/>
          </w:tcPr>
          <w:p>
            <w:pPr>
              <w:jc w:val="center"/>
              <w:rPr>
                <w:rFonts w:ascii="仿宋" w:hAnsi="仿宋" w:eastAsia="仿宋"/>
                <w:bCs/>
                <w:szCs w:val="21"/>
              </w:rPr>
            </w:pPr>
            <w:r>
              <w:rPr>
                <w:rFonts w:ascii="仿宋" w:hAnsi="仿宋" w:eastAsia="仿宋"/>
                <w:bCs/>
                <w:szCs w:val="21"/>
              </w:rPr>
              <w:t>面源高度</w:t>
            </w:r>
          </w:p>
          <w:p>
            <w:pPr>
              <w:jc w:val="center"/>
              <w:rPr>
                <w:rFonts w:ascii="仿宋" w:hAnsi="仿宋" w:eastAsia="仿宋"/>
                <w:bCs/>
                <w:szCs w:val="21"/>
              </w:rPr>
            </w:pPr>
            <w:r>
              <w:rPr>
                <w:rFonts w:ascii="仿宋" w:hAnsi="仿宋" w:eastAsia="仿宋"/>
                <w:bCs/>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2910" w:type="dxa"/>
            <w:vMerge w:val="restart"/>
            <w:shd w:val="clear" w:color="auto" w:fill="auto"/>
            <w:vAlign w:val="center"/>
          </w:tcPr>
          <w:p>
            <w:pPr>
              <w:jc w:val="center"/>
              <w:rPr>
                <w:rFonts w:ascii="仿宋" w:hAnsi="仿宋" w:eastAsia="仿宋"/>
                <w:bCs/>
                <w:szCs w:val="21"/>
              </w:rPr>
            </w:pPr>
            <w:r>
              <w:rPr>
                <w:rFonts w:hint="eastAsia" w:ascii="仿宋" w:hAnsi="仿宋" w:eastAsia="仿宋"/>
                <w:bCs/>
                <w:szCs w:val="21"/>
              </w:rPr>
              <w:t>配胶废气G1</w:t>
            </w:r>
          </w:p>
        </w:tc>
        <w:tc>
          <w:tcPr>
            <w:tcW w:w="799" w:type="dxa"/>
            <w:vMerge w:val="restart"/>
            <w:shd w:val="clear" w:color="auto" w:fill="auto"/>
            <w:vAlign w:val="center"/>
          </w:tcPr>
          <w:p>
            <w:pPr>
              <w:jc w:val="center"/>
              <w:rPr>
                <w:rFonts w:ascii="仿宋" w:hAnsi="仿宋" w:eastAsia="仿宋"/>
                <w:bCs/>
                <w:szCs w:val="21"/>
              </w:rPr>
            </w:pPr>
            <w:r>
              <w:rPr>
                <w:rFonts w:hint="eastAsia" w:ascii="仿宋" w:hAnsi="仿宋" w:eastAsia="仿宋"/>
                <w:bCs/>
                <w:szCs w:val="21"/>
              </w:rPr>
              <w:t>配胶间</w:t>
            </w:r>
          </w:p>
        </w:tc>
        <w:tc>
          <w:tcPr>
            <w:tcW w:w="1190" w:type="dxa"/>
            <w:shd w:val="clear" w:color="auto" w:fill="auto"/>
            <w:vAlign w:val="center"/>
          </w:tcPr>
          <w:p>
            <w:pPr>
              <w:jc w:val="center"/>
              <w:rPr>
                <w:rFonts w:ascii="仿宋" w:hAnsi="仿宋" w:eastAsia="仿宋"/>
                <w:bCs/>
                <w:szCs w:val="21"/>
              </w:rPr>
            </w:pPr>
            <w:r>
              <w:rPr>
                <w:rFonts w:hint="eastAsia" w:ascii="仿宋" w:hAnsi="仿宋" w:eastAsia="仿宋"/>
                <w:bCs/>
                <w:szCs w:val="21"/>
              </w:rPr>
              <w:t>非甲烷总烃</w:t>
            </w:r>
          </w:p>
        </w:tc>
        <w:tc>
          <w:tcPr>
            <w:tcW w:w="1145" w:type="dxa"/>
            <w:vAlign w:val="center"/>
          </w:tcPr>
          <w:p>
            <w:pPr>
              <w:pStyle w:val="124"/>
              <w:spacing w:line="360" w:lineRule="exact"/>
              <w:rPr>
                <w:rFonts w:ascii="仿宋" w:hAnsi="仿宋" w:eastAsia="仿宋"/>
              </w:rPr>
            </w:pPr>
            <w:r>
              <w:rPr>
                <w:rFonts w:hint="eastAsia" w:ascii="仿宋" w:hAnsi="仿宋" w:eastAsia="仿宋"/>
              </w:rPr>
              <w:t>0</w:t>
            </w:r>
            <w:r>
              <w:rPr>
                <w:rFonts w:ascii="仿宋" w:hAnsi="仿宋" w:eastAsia="仿宋"/>
              </w:rPr>
              <w:t>.16</w:t>
            </w:r>
          </w:p>
        </w:tc>
        <w:tc>
          <w:tcPr>
            <w:tcW w:w="1429" w:type="dxa"/>
            <w:vAlign w:val="center"/>
          </w:tcPr>
          <w:p>
            <w:pPr>
              <w:jc w:val="center"/>
              <w:rPr>
                <w:rFonts w:ascii="仿宋" w:hAnsi="仿宋" w:eastAsia="仿宋"/>
                <w:bCs/>
                <w:szCs w:val="21"/>
              </w:rPr>
            </w:pPr>
            <w:r>
              <w:rPr>
                <w:rFonts w:hint="eastAsia" w:ascii="仿宋" w:hAnsi="仿宋" w:eastAsia="仿宋"/>
                <w:bCs/>
                <w:szCs w:val="21"/>
              </w:rPr>
              <w:t>0.57</w:t>
            </w:r>
          </w:p>
        </w:tc>
        <w:tc>
          <w:tcPr>
            <w:tcW w:w="1191" w:type="dxa"/>
            <w:vMerge w:val="restart"/>
            <w:shd w:val="clear" w:color="auto" w:fill="auto"/>
            <w:vAlign w:val="center"/>
          </w:tcPr>
          <w:p>
            <w:pPr>
              <w:jc w:val="center"/>
              <w:rPr>
                <w:rFonts w:ascii="仿宋" w:hAnsi="仿宋" w:eastAsia="仿宋"/>
                <w:bCs/>
                <w:szCs w:val="21"/>
              </w:rPr>
            </w:pPr>
            <w:r>
              <w:rPr>
                <w:rFonts w:hint="eastAsia" w:ascii="仿宋" w:hAnsi="仿宋" w:eastAsia="仿宋"/>
                <w:bCs/>
                <w:szCs w:val="21"/>
              </w:rPr>
              <w:t>1</w:t>
            </w:r>
            <w:r>
              <w:rPr>
                <w:rFonts w:ascii="仿宋" w:hAnsi="仿宋" w:eastAsia="仿宋"/>
                <w:bCs/>
                <w:szCs w:val="21"/>
              </w:rPr>
              <w:t>08</w:t>
            </w:r>
          </w:p>
        </w:tc>
        <w:tc>
          <w:tcPr>
            <w:tcW w:w="1314" w:type="dxa"/>
            <w:vMerge w:val="restart"/>
            <w:shd w:val="clear" w:color="auto" w:fill="auto"/>
            <w:vAlign w:val="center"/>
          </w:tcPr>
          <w:p>
            <w:pPr>
              <w:jc w:val="center"/>
              <w:rPr>
                <w:rFonts w:ascii="仿宋" w:hAnsi="仿宋" w:eastAsia="仿宋"/>
                <w:bCs/>
                <w:szCs w:val="21"/>
              </w:rPr>
            </w:pPr>
            <w:r>
              <w:rPr>
                <w:rFonts w:hint="eastAsia" w:ascii="仿宋" w:hAnsi="仿宋" w:eastAsia="仿宋"/>
                <w:bCs/>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2910" w:type="dxa"/>
            <w:vMerge w:val="continue"/>
            <w:shd w:val="clear" w:color="auto" w:fill="auto"/>
            <w:vAlign w:val="center"/>
          </w:tcPr>
          <w:p>
            <w:pPr>
              <w:jc w:val="center"/>
              <w:rPr>
                <w:rFonts w:ascii="仿宋" w:hAnsi="仿宋" w:eastAsia="仿宋"/>
                <w:bCs/>
                <w:szCs w:val="21"/>
              </w:rPr>
            </w:pPr>
          </w:p>
        </w:tc>
        <w:tc>
          <w:tcPr>
            <w:tcW w:w="799" w:type="dxa"/>
            <w:vMerge w:val="continue"/>
            <w:shd w:val="clear" w:color="auto" w:fill="auto"/>
            <w:vAlign w:val="center"/>
          </w:tcPr>
          <w:p>
            <w:pPr>
              <w:jc w:val="center"/>
              <w:rPr>
                <w:rFonts w:ascii="仿宋" w:hAnsi="仿宋" w:eastAsia="仿宋"/>
                <w:bCs/>
                <w:szCs w:val="21"/>
              </w:rPr>
            </w:pPr>
          </w:p>
        </w:tc>
        <w:tc>
          <w:tcPr>
            <w:tcW w:w="1190" w:type="dxa"/>
            <w:shd w:val="clear" w:color="auto" w:fill="auto"/>
            <w:vAlign w:val="center"/>
          </w:tcPr>
          <w:p>
            <w:pPr>
              <w:jc w:val="center"/>
              <w:rPr>
                <w:rFonts w:ascii="仿宋" w:hAnsi="仿宋" w:eastAsia="仿宋"/>
                <w:bCs/>
                <w:szCs w:val="21"/>
              </w:rPr>
            </w:pPr>
            <w:r>
              <w:rPr>
                <w:rFonts w:hint="eastAsia" w:ascii="仿宋" w:hAnsi="仿宋" w:eastAsia="仿宋"/>
                <w:bCs/>
                <w:szCs w:val="21"/>
              </w:rPr>
              <w:t>二甲苯</w:t>
            </w:r>
          </w:p>
        </w:tc>
        <w:tc>
          <w:tcPr>
            <w:tcW w:w="1145" w:type="dxa"/>
            <w:vAlign w:val="center"/>
          </w:tcPr>
          <w:p>
            <w:pPr>
              <w:pStyle w:val="124"/>
              <w:spacing w:line="360" w:lineRule="exact"/>
              <w:rPr>
                <w:rFonts w:ascii="仿宋" w:hAnsi="仿宋" w:eastAsia="仿宋"/>
              </w:rPr>
            </w:pPr>
            <w:r>
              <w:rPr>
                <w:rFonts w:hint="eastAsia" w:ascii="仿宋" w:hAnsi="仿宋" w:eastAsia="仿宋"/>
              </w:rPr>
              <w:t>0</w:t>
            </w:r>
            <w:r>
              <w:rPr>
                <w:rFonts w:ascii="仿宋" w:hAnsi="仿宋" w:eastAsia="仿宋"/>
              </w:rPr>
              <w:t>.02</w:t>
            </w:r>
          </w:p>
        </w:tc>
        <w:tc>
          <w:tcPr>
            <w:tcW w:w="1429" w:type="dxa"/>
            <w:vAlign w:val="center"/>
          </w:tcPr>
          <w:p>
            <w:pPr>
              <w:jc w:val="center"/>
              <w:rPr>
                <w:rFonts w:ascii="仿宋" w:hAnsi="仿宋" w:eastAsia="仿宋"/>
                <w:bCs/>
                <w:szCs w:val="21"/>
              </w:rPr>
            </w:pPr>
            <w:r>
              <w:rPr>
                <w:rFonts w:hint="eastAsia" w:ascii="仿宋" w:hAnsi="仿宋" w:eastAsia="仿宋"/>
                <w:bCs/>
                <w:szCs w:val="21"/>
              </w:rPr>
              <w:t>0.06</w:t>
            </w:r>
          </w:p>
        </w:tc>
        <w:tc>
          <w:tcPr>
            <w:tcW w:w="1191" w:type="dxa"/>
            <w:vMerge w:val="continue"/>
            <w:shd w:val="clear" w:color="auto" w:fill="auto"/>
            <w:vAlign w:val="center"/>
          </w:tcPr>
          <w:p>
            <w:pPr>
              <w:jc w:val="center"/>
              <w:rPr>
                <w:rFonts w:ascii="仿宋" w:hAnsi="仿宋" w:eastAsia="仿宋"/>
                <w:bCs/>
                <w:szCs w:val="21"/>
              </w:rPr>
            </w:pPr>
          </w:p>
        </w:tc>
        <w:tc>
          <w:tcPr>
            <w:tcW w:w="1314" w:type="dxa"/>
            <w:vMerge w:val="continue"/>
            <w:shd w:val="clear" w:color="auto" w:fill="auto"/>
            <w:vAlign w:val="center"/>
          </w:tcPr>
          <w:p>
            <w:pPr>
              <w:jc w:val="center"/>
              <w:rPr>
                <w:rFonts w:ascii="仿宋" w:hAnsi="仿宋" w:eastAsia="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2910" w:type="dxa"/>
            <w:vMerge w:val="continue"/>
            <w:shd w:val="clear" w:color="auto" w:fill="auto"/>
            <w:vAlign w:val="center"/>
          </w:tcPr>
          <w:p>
            <w:pPr>
              <w:jc w:val="center"/>
              <w:rPr>
                <w:rFonts w:ascii="仿宋" w:hAnsi="仿宋" w:eastAsia="仿宋"/>
                <w:bCs/>
                <w:szCs w:val="21"/>
              </w:rPr>
            </w:pPr>
          </w:p>
        </w:tc>
        <w:tc>
          <w:tcPr>
            <w:tcW w:w="799" w:type="dxa"/>
            <w:vMerge w:val="continue"/>
            <w:shd w:val="clear" w:color="auto" w:fill="auto"/>
            <w:vAlign w:val="center"/>
          </w:tcPr>
          <w:p>
            <w:pPr>
              <w:jc w:val="center"/>
              <w:rPr>
                <w:rFonts w:ascii="仿宋" w:hAnsi="仿宋" w:eastAsia="仿宋"/>
                <w:bCs/>
                <w:szCs w:val="21"/>
              </w:rPr>
            </w:pPr>
          </w:p>
        </w:tc>
        <w:tc>
          <w:tcPr>
            <w:tcW w:w="1190" w:type="dxa"/>
            <w:shd w:val="clear" w:color="auto" w:fill="auto"/>
            <w:vAlign w:val="center"/>
          </w:tcPr>
          <w:p>
            <w:pPr>
              <w:jc w:val="center"/>
              <w:rPr>
                <w:rFonts w:ascii="仿宋" w:hAnsi="仿宋" w:eastAsia="仿宋"/>
                <w:bCs/>
                <w:szCs w:val="21"/>
              </w:rPr>
            </w:pPr>
            <w:r>
              <w:rPr>
                <w:rFonts w:hint="eastAsia" w:ascii="仿宋" w:hAnsi="仿宋" w:eastAsia="仿宋"/>
                <w:bCs/>
                <w:szCs w:val="21"/>
              </w:rPr>
              <w:t>乙酸乙酯</w:t>
            </w:r>
          </w:p>
        </w:tc>
        <w:tc>
          <w:tcPr>
            <w:tcW w:w="1145" w:type="dxa"/>
            <w:vAlign w:val="center"/>
          </w:tcPr>
          <w:p>
            <w:pPr>
              <w:pStyle w:val="124"/>
              <w:spacing w:line="360" w:lineRule="exact"/>
              <w:rPr>
                <w:rFonts w:ascii="仿宋" w:hAnsi="仿宋" w:eastAsia="仿宋"/>
              </w:rPr>
            </w:pPr>
            <w:r>
              <w:rPr>
                <w:rFonts w:hint="eastAsia" w:ascii="仿宋" w:hAnsi="仿宋" w:eastAsia="仿宋"/>
              </w:rPr>
              <w:t>0</w:t>
            </w:r>
            <w:r>
              <w:rPr>
                <w:rFonts w:ascii="仿宋" w:hAnsi="仿宋" w:eastAsia="仿宋"/>
              </w:rPr>
              <w:t>.14</w:t>
            </w:r>
          </w:p>
        </w:tc>
        <w:tc>
          <w:tcPr>
            <w:tcW w:w="1429" w:type="dxa"/>
            <w:vAlign w:val="center"/>
          </w:tcPr>
          <w:p>
            <w:pPr>
              <w:jc w:val="center"/>
              <w:rPr>
                <w:rFonts w:ascii="仿宋" w:hAnsi="仿宋" w:eastAsia="仿宋"/>
                <w:bCs/>
                <w:szCs w:val="21"/>
              </w:rPr>
            </w:pPr>
            <w:r>
              <w:rPr>
                <w:rFonts w:hint="eastAsia" w:ascii="仿宋" w:hAnsi="仿宋" w:eastAsia="仿宋"/>
                <w:bCs/>
                <w:szCs w:val="21"/>
              </w:rPr>
              <w:t>0.5</w:t>
            </w:r>
          </w:p>
        </w:tc>
        <w:tc>
          <w:tcPr>
            <w:tcW w:w="1191" w:type="dxa"/>
            <w:vMerge w:val="continue"/>
            <w:shd w:val="clear" w:color="auto" w:fill="auto"/>
            <w:vAlign w:val="center"/>
          </w:tcPr>
          <w:p>
            <w:pPr>
              <w:jc w:val="center"/>
              <w:rPr>
                <w:rFonts w:ascii="仿宋" w:hAnsi="仿宋" w:eastAsia="仿宋"/>
                <w:bCs/>
                <w:szCs w:val="21"/>
              </w:rPr>
            </w:pPr>
          </w:p>
        </w:tc>
        <w:tc>
          <w:tcPr>
            <w:tcW w:w="1314" w:type="dxa"/>
            <w:vMerge w:val="continue"/>
            <w:shd w:val="clear" w:color="auto" w:fill="auto"/>
            <w:vAlign w:val="center"/>
          </w:tcPr>
          <w:p>
            <w:pPr>
              <w:jc w:val="center"/>
              <w:rPr>
                <w:rFonts w:ascii="仿宋" w:hAnsi="仿宋" w:eastAsia="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2910" w:type="dxa"/>
            <w:vMerge w:val="restart"/>
            <w:shd w:val="clear" w:color="auto" w:fill="auto"/>
            <w:vAlign w:val="center"/>
          </w:tcPr>
          <w:p>
            <w:pPr>
              <w:jc w:val="center"/>
              <w:rPr>
                <w:rFonts w:ascii="仿宋" w:hAnsi="仿宋" w:eastAsia="仿宋"/>
                <w:bCs/>
                <w:szCs w:val="21"/>
              </w:rPr>
            </w:pPr>
            <w:r>
              <w:rPr>
                <w:rFonts w:hint="eastAsia" w:ascii="仿宋" w:hAnsi="仿宋" w:eastAsia="仿宋"/>
                <w:bCs/>
                <w:szCs w:val="21"/>
              </w:rPr>
              <w:t>涂布干燥废气G2、清洗废气G3</w:t>
            </w:r>
          </w:p>
        </w:tc>
        <w:tc>
          <w:tcPr>
            <w:tcW w:w="799" w:type="dxa"/>
            <w:vMerge w:val="restart"/>
            <w:shd w:val="clear" w:color="auto" w:fill="auto"/>
            <w:vAlign w:val="center"/>
          </w:tcPr>
          <w:p>
            <w:pPr>
              <w:jc w:val="center"/>
              <w:rPr>
                <w:rFonts w:ascii="仿宋" w:hAnsi="仿宋" w:eastAsia="仿宋"/>
                <w:bCs/>
                <w:szCs w:val="21"/>
              </w:rPr>
            </w:pPr>
            <w:r>
              <w:rPr>
                <w:rFonts w:hint="eastAsia" w:ascii="仿宋" w:hAnsi="仿宋" w:eastAsia="仿宋"/>
                <w:bCs/>
                <w:szCs w:val="21"/>
              </w:rPr>
              <w:t>涂布干燥间</w:t>
            </w:r>
          </w:p>
        </w:tc>
        <w:tc>
          <w:tcPr>
            <w:tcW w:w="1190" w:type="dxa"/>
            <w:shd w:val="clear" w:color="auto" w:fill="auto"/>
            <w:vAlign w:val="center"/>
          </w:tcPr>
          <w:p>
            <w:pPr>
              <w:jc w:val="center"/>
              <w:rPr>
                <w:rFonts w:ascii="仿宋" w:hAnsi="仿宋" w:eastAsia="仿宋"/>
                <w:bCs/>
                <w:szCs w:val="21"/>
              </w:rPr>
            </w:pPr>
            <w:r>
              <w:rPr>
                <w:rFonts w:hint="eastAsia" w:ascii="仿宋" w:hAnsi="仿宋" w:eastAsia="仿宋"/>
                <w:bCs/>
                <w:szCs w:val="21"/>
              </w:rPr>
              <w:t>非甲烷总烃</w:t>
            </w:r>
          </w:p>
        </w:tc>
        <w:tc>
          <w:tcPr>
            <w:tcW w:w="1145" w:type="dxa"/>
            <w:vAlign w:val="center"/>
          </w:tcPr>
          <w:p>
            <w:pPr>
              <w:pStyle w:val="124"/>
              <w:spacing w:line="360" w:lineRule="exact"/>
              <w:rPr>
                <w:rFonts w:ascii="仿宋" w:hAnsi="仿宋" w:eastAsia="仿宋"/>
              </w:rPr>
            </w:pPr>
            <w:r>
              <w:rPr>
                <w:rFonts w:ascii="仿宋" w:hAnsi="仿宋" w:eastAsia="仿宋"/>
              </w:rPr>
              <w:t>0.185</w:t>
            </w:r>
          </w:p>
        </w:tc>
        <w:tc>
          <w:tcPr>
            <w:tcW w:w="1429" w:type="dxa"/>
            <w:vAlign w:val="center"/>
          </w:tcPr>
          <w:p>
            <w:pPr>
              <w:jc w:val="center"/>
              <w:rPr>
                <w:rFonts w:ascii="仿宋" w:hAnsi="仿宋" w:eastAsia="仿宋"/>
                <w:bCs/>
                <w:szCs w:val="21"/>
              </w:rPr>
            </w:pPr>
            <w:r>
              <w:rPr>
                <w:rFonts w:hint="eastAsia" w:ascii="仿宋" w:hAnsi="仿宋" w:eastAsia="仿宋"/>
                <w:bCs/>
                <w:szCs w:val="21"/>
              </w:rPr>
              <w:t>1.34</w:t>
            </w:r>
          </w:p>
        </w:tc>
        <w:tc>
          <w:tcPr>
            <w:tcW w:w="1191" w:type="dxa"/>
            <w:vMerge w:val="restart"/>
            <w:shd w:val="clear" w:color="auto" w:fill="auto"/>
            <w:vAlign w:val="center"/>
          </w:tcPr>
          <w:p>
            <w:pPr>
              <w:jc w:val="center"/>
              <w:rPr>
                <w:rFonts w:ascii="仿宋" w:hAnsi="仿宋" w:eastAsia="仿宋"/>
                <w:bCs/>
                <w:szCs w:val="21"/>
              </w:rPr>
            </w:pPr>
            <w:r>
              <w:rPr>
                <w:rFonts w:hint="eastAsia" w:ascii="仿宋" w:hAnsi="仿宋" w:eastAsia="仿宋"/>
                <w:bCs/>
                <w:szCs w:val="21"/>
              </w:rPr>
              <w:t>1</w:t>
            </w:r>
            <w:r>
              <w:rPr>
                <w:rFonts w:ascii="仿宋" w:hAnsi="仿宋" w:eastAsia="仿宋"/>
                <w:bCs/>
                <w:szCs w:val="21"/>
              </w:rPr>
              <w:t>040</w:t>
            </w:r>
          </w:p>
        </w:tc>
        <w:tc>
          <w:tcPr>
            <w:tcW w:w="1314" w:type="dxa"/>
            <w:vMerge w:val="continue"/>
            <w:shd w:val="clear" w:color="auto" w:fill="auto"/>
            <w:vAlign w:val="center"/>
          </w:tcPr>
          <w:p>
            <w:pPr>
              <w:jc w:val="center"/>
              <w:rPr>
                <w:rFonts w:ascii="仿宋" w:hAnsi="仿宋" w:eastAsia="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2910" w:type="dxa"/>
            <w:vMerge w:val="continue"/>
            <w:shd w:val="clear" w:color="auto" w:fill="auto"/>
            <w:vAlign w:val="center"/>
          </w:tcPr>
          <w:p>
            <w:pPr>
              <w:jc w:val="center"/>
              <w:rPr>
                <w:rFonts w:ascii="仿宋" w:hAnsi="仿宋" w:eastAsia="仿宋"/>
                <w:bCs/>
                <w:szCs w:val="21"/>
              </w:rPr>
            </w:pPr>
          </w:p>
        </w:tc>
        <w:tc>
          <w:tcPr>
            <w:tcW w:w="799" w:type="dxa"/>
            <w:vMerge w:val="continue"/>
            <w:shd w:val="clear" w:color="auto" w:fill="auto"/>
            <w:vAlign w:val="center"/>
          </w:tcPr>
          <w:p>
            <w:pPr>
              <w:jc w:val="center"/>
              <w:rPr>
                <w:rFonts w:ascii="仿宋" w:hAnsi="仿宋" w:eastAsia="仿宋"/>
                <w:bCs/>
                <w:szCs w:val="21"/>
              </w:rPr>
            </w:pPr>
          </w:p>
        </w:tc>
        <w:tc>
          <w:tcPr>
            <w:tcW w:w="1190" w:type="dxa"/>
            <w:shd w:val="clear" w:color="auto" w:fill="auto"/>
            <w:vAlign w:val="center"/>
          </w:tcPr>
          <w:p>
            <w:pPr>
              <w:jc w:val="center"/>
              <w:rPr>
                <w:rFonts w:ascii="仿宋" w:hAnsi="仿宋" w:eastAsia="仿宋"/>
                <w:bCs/>
                <w:szCs w:val="21"/>
              </w:rPr>
            </w:pPr>
            <w:r>
              <w:rPr>
                <w:rFonts w:hint="eastAsia" w:ascii="仿宋" w:hAnsi="仿宋" w:eastAsia="仿宋"/>
                <w:bCs/>
                <w:szCs w:val="21"/>
              </w:rPr>
              <w:t>二甲苯</w:t>
            </w:r>
          </w:p>
        </w:tc>
        <w:tc>
          <w:tcPr>
            <w:tcW w:w="1145" w:type="dxa"/>
            <w:vAlign w:val="center"/>
          </w:tcPr>
          <w:p>
            <w:pPr>
              <w:pStyle w:val="124"/>
              <w:spacing w:line="360" w:lineRule="exact"/>
              <w:rPr>
                <w:rFonts w:ascii="仿宋" w:hAnsi="仿宋" w:eastAsia="仿宋"/>
              </w:rPr>
            </w:pPr>
            <w:r>
              <w:rPr>
                <w:rFonts w:hint="eastAsia" w:ascii="仿宋" w:hAnsi="仿宋" w:eastAsia="仿宋"/>
              </w:rPr>
              <w:t>0</w:t>
            </w:r>
            <w:r>
              <w:rPr>
                <w:rFonts w:ascii="仿宋" w:hAnsi="仿宋" w:eastAsia="仿宋"/>
              </w:rPr>
              <w:t>.018</w:t>
            </w:r>
          </w:p>
        </w:tc>
        <w:tc>
          <w:tcPr>
            <w:tcW w:w="1429" w:type="dxa"/>
            <w:vAlign w:val="center"/>
          </w:tcPr>
          <w:p>
            <w:pPr>
              <w:jc w:val="center"/>
              <w:rPr>
                <w:rFonts w:ascii="仿宋" w:hAnsi="仿宋" w:eastAsia="仿宋"/>
                <w:bCs/>
                <w:szCs w:val="21"/>
              </w:rPr>
            </w:pPr>
            <w:r>
              <w:rPr>
                <w:rFonts w:hint="eastAsia" w:ascii="仿宋" w:hAnsi="仿宋" w:eastAsia="仿宋"/>
                <w:bCs/>
                <w:szCs w:val="21"/>
              </w:rPr>
              <w:t>0.13</w:t>
            </w:r>
          </w:p>
        </w:tc>
        <w:tc>
          <w:tcPr>
            <w:tcW w:w="1191" w:type="dxa"/>
            <w:vMerge w:val="continue"/>
            <w:shd w:val="clear" w:color="auto" w:fill="auto"/>
            <w:vAlign w:val="center"/>
          </w:tcPr>
          <w:p>
            <w:pPr>
              <w:jc w:val="center"/>
              <w:rPr>
                <w:rFonts w:ascii="仿宋" w:hAnsi="仿宋" w:eastAsia="仿宋"/>
                <w:bCs/>
                <w:szCs w:val="21"/>
              </w:rPr>
            </w:pPr>
          </w:p>
        </w:tc>
        <w:tc>
          <w:tcPr>
            <w:tcW w:w="1314" w:type="dxa"/>
            <w:vMerge w:val="continue"/>
            <w:shd w:val="clear" w:color="auto" w:fill="auto"/>
            <w:vAlign w:val="center"/>
          </w:tcPr>
          <w:p>
            <w:pPr>
              <w:jc w:val="center"/>
              <w:rPr>
                <w:rFonts w:ascii="仿宋" w:hAnsi="仿宋" w:eastAsia="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910" w:type="dxa"/>
            <w:vMerge w:val="continue"/>
            <w:shd w:val="clear" w:color="auto" w:fill="auto"/>
            <w:vAlign w:val="center"/>
          </w:tcPr>
          <w:p>
            <w:pPr>
              <w:jc w:val="center"/>
              <w:rPr>
                <w:rFonts w:ascii="仿宋" w:hAnsi="仿宋" w:eastAsia="仿宋"/>
                <w:bCs/>
                <w:szCs w:val="21"/>
              </w:rPr>
            </w:pPr>
          </w:p>
        </w:tc>
        <w:tc>
          <w:tcPr>
            <w:tcW w:w="799" w:type="dxa"/>
            <w:vMerge w:val="continue"/>
            <w:shd w:val="clear" w:color="auto" w:fill="auto"/>
            <w:vAlign w:val="center"/>
          </w:tcPr>
          <w:p>
            <w:pPr>
              <w:jc w:val="center"/>
              <w:rPr>
                <w:rFonts w:ascii="仿宋" w:hAnsi="仿宋" w:eastAsia="仿宋"/>
                <w:bCs/>
                <w:szCs w:val="21"/>
              </w:rPr>
            </w:pPr>
          </w:p>
        </w:tc>
        <w:tc>
          <w:tcPr>
            <w:tcW w:w="1190" w:type="dxa"/>
            <w:shd w:val="clear" w:color="auto" w:fill="auto"/>
            <w:vAlign w:val="center"/>
          </w:tcPr>
          <w:p>
            <w:pPr>
              <w:jc w:val="center"/>
              <w:rPr>
                <w:rFonts w:ascii="仿宋" w:hAnsi="仿宋" w:eastAsia="仿宋"/>
                <w:bCs/>
                <w:szCs w:val="21"/>
              </w:rPr>
            </w:pPr>
            <w:r>
              <w:rPr>
                <w:rFonts w:hint="eastAsia" w:ascii="仿宋" w:hAnsi="仿宋" w:eastAsia="仿宋"/>
                <w:bCs/>
                <w:szCs w:val="21"/>
              </w:rPr>
              <w:t>乙酸乙酯</w:t>
            </w:r>
          </w:p>
        </w:tc>
        <w:tc>
          <w:tcPr>
            <w:tcW w:w="1145" w:type="dxa"/>
            <w:vAlign w:val="center"/>
          </w:tcPr>
          <w:p>
            <w:pPr>
              <w:pStyle w:val="124"/>
              <w:spacing w:line="360" w:lineRule="exact"/>
              <w:rPr>
                <w:rFonts w:ascii="仿宋" w:hAnsi="仿宋" w:eastAsia="仿宋"/>
              </w:rPr>
            </w:pPr>
            <w:r>
              <w:rPr>
                <w:rFonts w:hint="eastAsia" w:ascii="仿宋" w:hAnsi="仿宋" w:eastAsia="仿宋"/>
              </w:rPr>
              <w:t>0</w:t>
            </w:r>
            <w:r>
              <w:rPr>
                <w:rFonts w:ascii="仿宋" w:hAnsi="仿宋" w:eastAsia="仿宋"/>
              </w:rPr>
              <w:t>.165</w:t>
            </w:r>
          </w:p>
        </w:tc>
        <w:tc>
          <w:tcPr>
            <w:tcW w:w="1429" w:type="dxa"/>
            <w:vAlign w:val="center"/>
          </w:tcPr>
          <w:p>
            <w:pPr>
              <w:jc w:val="center"/>
              <w:rPr>
                <w:rFonts w:ascii="仿宋" w:hAnsi="仿宋" w:eastAsia="仿宋"/>
                <w:bCs/>
                <w:szCs w:val="21"/>
              </w:rPr>
            </w:pPr>
            <w:r>
              <w:rPr>
                <w:rFonts w:hint="eastAsia" w:ascii="仿宋" w:hAnsi="仿宋" w:eastAsia="仿宋"/>
                <w:bCs/>
                <w:szCs w:val="21"/>
              </w:rPr>
              <w:t>1.16</w:t>
            </w:r>
          </w:p>
        </w:tc>
        <w:tc>
          <w:tcPr>
            <w:tcW w:w="1191" w:type="dxa"/>
            <w:vMerge w:val="continue"/>
            <w:shd w:val="clear" w:color="auto" w:fill="auto"/>
            <w:vAlign w:val="center"/>
          </w:tcPr>
          <w:p>
            <w:pPr>
              <w:widowControl/>
              <w:jc w:val="center"/>
              <w:rPr>
                <w:rFonts w:eastAsia="仿宋_GB2312"/>
                <w:kern w:val="0"/>
                <w:szCs w:val="21"/>
              </w:rPr>
            </w:pPr>
          </w:p>
        </w:tc>
        <w:tc>
          <w:tcPr>
            <w:tcW w:w="1314" w:type="dxa"/>
            <w:vMerge w:val="continue"/>
            <w:shd w:val="clear" w:color="auto" w:fill="auto"/>
            <w:vAlign w:val="center"/>
          </w:tcPr>
          <w:p>
            <w:pPr>
              <w:widowControl/>
              <w:jc w:val="center"/>
              <w:rPr>
                <w:rFonts w:eastAsia="仿宋_GB2312"/>
                <w:kern w:val="0"/>
                <w:szCs w:val="21"/>
              </w:rPr>
            </w:pPr>
          </w:p>
        </w:tc>
      </w:tr>
    </w:tbl>
    <w:p>
      <w:pPr>
        <w:adjustRightInd w:val="0"/>
        <w:snapToGrid w:val="0"/>
        <w:spacing w:line="320" w:lineRule="exact"/>
        <w:rPr>
          <w:rFonts w:eastAsia="仿宋_GB2312"/>
          <w:b/>
          <w:szCs w:val="21"/>
        </w:rPr>
      </w:pPr>
      <w:r>
        <w:rPr>
          <w:rFonts w:hint="eastAsia" w:eastAsia="仿宋_GB2312"/>
          <w:b/>
          <w:szCs w:val="21"/>
        </w:rPr>
        <w:t>注</w:t>
      </w:r>
      <w:r>
        <w:rPr>
          <w:rFonts w:eastAsia="仿宋_GB2312"/>
          <w:b/>
          <w:szCs w:val="21"/>
        </w:rPr>
        <w:t>：</w:t>
      </w:r>
      <w:r>
        <w:rPr>
          <w:rFonts w:hint="eastAsia" w:eastAsia="仿宋_GB2312"/>
          <w:b/>
          <w:bCs/>
          <w:szCs w:val="21"/>
        </w:rPr>
        <w:t>非甲烷</w:t>
      </w:r>
      <w:r>
        <w:rPr>
          <w:rFonts w:eastAsia="仿宋_GB2312"/>
          <w:b/>
          <w:bCs/>
          <w:szCs w:val="21"/>
        </w:rPr>
        <w:t>总烃包含乙酸乙酯、</w:t>
      </w:r>
      <w:r>
        <w:rPr>
          <w:rFonts w:hint="eastAsia" w:eastAsia="仿宋_GB2312"/>
          <w:b/>
          <w:bCs/>
          <w:szCs w:val="21"/>
        </w:rPr>
        <w:t>二</w:t>
      </w:r>
      <w:r>
        <w:rPr>
          <w:rFonts w:eastAsia="仿宋_GB2312"/>
          <w:b/>
          <w:bCs/>
          <w:szCs w:val="21"/>
        </w:rPr>
        <w:t>甲苯</w:t>
      </w:r>
      <w:r>
        <w:rPr>
          <w:rFonts w:hint="eastAsia" w:eastAsia="仿宋_GB2312"/>
          <w:b/>
          <w:bCs/>
          <w:szCs w:val="21"/>
        </w:rPr>
        <w:t>、乙醇</w:t>
      </w:r>
      <w:r>
        <w:rPr>
          <w:rFonts w:eastAsia="仿宋_GB2312"/>
          <w:b/>
          <w:bCs/>
          <w:szCs w:val="21"/>
        </w:rPr>
        <w:t>等有机</w:t>
      </w:r>
      <w:r>
        <w:rPr>
          <w:rFonts w:hint="eastAsia" w:eastAsia="仿宋_GB2312"/>
          <w:b/>
          <w:bCs/>
          <w:szCs w:val="21"/>
        </w:rPr>
        <w:t>废气。</w:t>
      </w:r>
    </w:p>
    <w:p>
      <w:pPr>
        <w:spacing w:line="500" w:lineRule="exact"/>
        <w:ind w:firstLine="562" w:firstLineChars="200"/>
        <w:rPr>
          <w:rFonts w:eastAsia="仿宋_GB2312"/>
          <w:b/>
          <w:bCs/>
          <w:sz w:val="28"/>
          <w:szCs w:val="28"/>
        </w:rPr>
      </w:pPr>
      <w:r>
        <w:rPr>
          <w:rFonts w:eastAsia="仿宋_GB2312"/>
          <w:b/>
          <w:bCs/>
          <w:sz w:val="28"/>
          <w:szCs w:val="28"/>
        </w:rPr>
        <w:t>二、非</w:t>
      </w:r>
      <w:r>
        <w:rPr>
          <w:rFonts w:hint="eastAsia" w:eastAsia="仿宋_GB2312"/>
          <w:b/>
          <w:bCs/>
          <w:sz w:val="28"/>
          <w:szCs w:val="28"/>
        </w:rPr>
        <w:t>正常</w:t>
      </w:r>
      <w:r>
        <w:rPr>
          <w:rFonts w:eastAsia="仿宋_GB2312"/>
          <w:b/>
          <w:bCs/>
          <w:sz w:val="28"/>
          <w:szCs w:val="28"/>
        </w:rPr>
        <w:t>工况</w:t>
      </w:r>
    </w:p>
    <w:p>
      <w:pPr>
        <w:spacing w:line="500" w:lineRule="exact"/>
        <w:ind w:firstLine="560" w:firstLineChars="200"/>
        <w:rPr>
          <w:rFonts w:eastAsia="仿宋_GB2312"/>
          <w:bCs/>
          <w:sz w:val="28"/>
          <w:szCs w:val="28"/>
        </w:rPr>
      </w:pPr>
      <w:r>
        <w:rPr>
          <w:rFonts w:eastAsia="仿宋_GB2312"/>
          <w:bCs/>
          <w:sz w:val="28"/>
          <w:szCs w:val="28"/>
        </w:rPr>
        <w:t>非正常工况下，如废气防治措施未起到应有的效果</w:t>
      </w:r>
      <w:r>
        <w:rPr>
          <w:rFonts w:hint="eastAsia" w:eastAsia="仿宋_GB2312"/>
          <w:bCs/>
          <w:sz w:val="28"/>
          <w:szCs w:val="28"/>
        </w:rPr>
        <w:t>（处理效率</w:t>
      </w:r>
      <w:r>
        <w:rPr>
          <w:rFonts w:eastAsia="仿宋_GB2312"/>
          <w:bCs/>
          <w:sz w:val="28"/>
          <w:szCs w:val="28"/>
        </w:rPr>
        <w:t>为</w:t>
      </w:r>
      <w:r>
        <w:rPr>
          <w:rFonts w:hint="eastAsia" w:eastAsia="仿宋_GB2312"/>
          <w:bCs/>
          <w:sz w:val="28"/>
          <w:szCs w:val="28"/>
        </w:rPr>
        <w:t>50</w:t>
      </w:r>
      <w:r>
        <w:rPr>
          <w:rFonts w:eastAsia="仿宋_GB2312"/>
          <w:bCs/>
          <w:sz w:val="28"/>
          <w:szCs w:val="28"/>
        </w:rPr>
        <w:t>%</w:t>
      </w:r>
      <w:r>
        <w:rPr>
          <w:rFonts w:hint="eastAsia" w:eastAsia="仿宋_GB2312"/>
          <w:bCs/>
          <w:sz w:val="28"/>
          <w:szCs w:val="28"/>
        </w:rPr>
        <w:t>）</w:t>
      </w:r>
      <w:r>
        <w:rPr>
          <w:rFonts w:eastAsia="仿宋_GB2312"/>
          <w:bCs/>
          <w:sz w:val="28"/>
          <w:szCs w:val="28"/>
        </w:rPr>
        <w:t>，导致有组织废气未经有效处理直接排放作为本项目非正常工况。源强表3.4-4所示。</w:t>
      </w:r>
    </w:p>
    <w:p>
      <w:pPr>
        <w:spacing w:line="500" w:lineRule="exact"/>
        <w:ind w:firstLine="482" w:firstLineChars="200"/>
        <w:jc w:val="center"/>
        <w:rPr>
          <w:rFonts w:eastAsia="仿宋_GB2312"/>
          <w:b/>
          <w:bCs/>
          <w:sz w:val="24"/>
        </w:rPr>
      </w:pPr>
      <w:r>
        <w:rPr>
          <w:rFonts w:eastAsia="仿宋_GB2312"/>
          <w:b/>
          <w:bCs/>
          <w:sz w:val="24"/>
        </w:rPr>
        <w:br w:type="page"/>
      </w:r>
      <w:r>
        <w:rPr>
          <w:rFonts w:eastAsia="仿宋_GB2312"/>
          <w:b/>
          <w:bCs/>
          <w:sz w:val="24"/>
        </w:rPr>
        <w:t>表3.</w:t>
      </w:r>
      <w:r>
        <w:rPr>
          <w:rFonts w:hint="eastAsia" w:eastAsia="仿宋_GB2312"/>
          <w:b/>
          <w:bCs/>
          <w:sz w:val="24"/>
        </w:rPr>
        <w:t>3</w:t>
      </w:r>
      <w:r>
        <w:rPr>
          <w:rFonts w:eastAsia="仿宋_GB2312"/>
          <w:b/>
          <w:bCs/>
          <w:sz w:val="24"/>
        </w:rPr>
        <w:t>-4 非正常工况时废气</w:t>
      </w:r>
      <w:r>
        <w:rPr>
          <w:rFonts w:hint="eastAsia" w:eastAsia="仿宋_GB2312"/>
          <w:b/>
          <w:bCs/>
          <w:sz w:val="24"/>
        </w:rPr>
        <w:t>排放</w:t>
      </w:r>
      <w:r>
        <w:rPr>
          <w:rFonts w:eastAsia="仿宋_GB2312"/>
          <w:b/>
          <w:bCs/>
          <w:sz w:val="24"/>
        </w:rPr>
        <w:t>表</w:t>
      </w:r>
    </w:p>
    <w:tbl>
      <w:tblPr>
        <w:tblStyle w:val="87"/>
        <w:tblW w:w="97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6"/>
        <w:gridCol w:w="2677"/>
        <w:gridCol w:w="1071"/>
        <w:gridCol w:w="1020"/>
        <w:gridCol w:w="1000"/>
        <w:gridCol w:w="712"/>
        <w:gridCol w:w="689"/>
        <w:gridCol w:w="734"/>
        <w:gridCol w:w="705"/>
        <w:gridCol w:w="5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606" w:type="dxa"/>
            <w:vMerge w:val="restart"/>
            <w:shd w:val="clear" w:color="auto" w:fill="auto"/>
            <w:tcMar>
              <w:left w:w="0" w:type="dxa"/>
              <w:right w:w="0" w:type="dxa"/>
            </w:tcMar>
            <w:vAlign w:val="center"/>
          </w:tcPr>
          <w:p>
            <w:pPr>
              <w:widowControl/>
              <w:jc w:val="center"/>
              <w:rPr>
                <w:rFonts w:ascii="仿宋" w:hAnsi="仿宋" w:eastAsia="仿宋"/>
                <w:kern w:val="0"/>
                <w:szCs w:val="21"/>
              </w:rPr>
            </w:pPr>
            <w:r>
              <w:rPr>
                <w:rFonts w:ascii="仿宋" w:hAnsi="仿宋" w:eastAsia="仿宋"/>
                <w:kern w:val="0"/>
                <w:szCs w:val="21"/>
              </w:rPr>
              <w:t>排气筒编号</w:t>
            </w:r>
          </w:p>
        </w:tc>
        <w:tc>
          <w:tcPr>
            <w:tcW w:w="2677" w:type="dxa"/>
            <w:vMerge w:val="restart"/>
            <w:shd w:val="clear" w:color="auto" w:fill="auto"/>
            <w:tcMar>
              <w:left w:w="0" w:type="dxa"/>
              <w:right w:w="0" w:type="dxa"/>
            </w:tcMar>
            <w:vAlign w:val="center"/>
          </w:tcPr>
          <w:p>
            <w:pPr>
              <w:widowControl/>
              <w:jc w:val="center"/>
              <w:rPr>
                <w:rFonts w:ascii="仿宋" w:hAnsi="仿宋" w:eastAsia="仿宋"/>
                <w:kern w:val="0"/>
                <w:szCs w:val="21"/>
              </w:rPr>
            </w:pPr>
            <w:r>
              <w:rPr>
                <w:rFonts w:ascii="仿宋" w:hAnsi="仿宋" w:eastAsia="仿宋"/>
                <w:kern w:val="0"/>
                <w:szCs w:val="21"/>
              </w:rPr>
              <w:t>污染源及编号</w:t>
            </w:r>
          </w:p>
        </w:tc>
        <w:tc>
          <w:tcPr>
            <w:tcW w:w="1071" w:type="dxa"/>
            <w:vMerge w:val="restart"/>
            <w:shd w:val="clear" w:color="auto" w:fill="auto"/>
            <w:tcMar>
              <w:left w:w="0" w:type="dxa"/>
              <w:right w:w="0" w:type="dxa"/>
            </w:tcMar>
            <w:vAlign w:val="center"/>
          </w:tcPr>
          <w:p>
            <w:pPr>
              <w:widowControl/>
              <w:jc w:val="center"/>
              <w:rPr>
                <w:rFonts w:ascii="仿宋" w:hAnsi="仿宋" w:eastAsia="仿宋"/>
                <w:kern w:val="0"/>
                <w:szCs w:val="21"/>
              </w:rPr>
            </w:pPr>
            <w:r>
              <w:rPr>
                <w:rFonts w:ascii="仿宋" w:hAnsi="仿宋" w:eastAsia="仿宋"/>
                <w:kern w:val="0"/>
                <w:szCs w:val="21"/>
              </w:rPr>
              <w:t>排气量(m</w:t>
            </w:r>
            <w:r>
              <w:rPr>
                <w:rFonts w:ascii="仿宋" w:hAnsi="仿宋" w:eastAsia="仿宋"/>
                <w:kern w:val="0"/>
                <w:szCs w:val="21"/>
                <w:vertAlign w:val="superscript"/>
              </w:rPr>
              <w:t>3</w:t>
            </w:r>
            <w:r>
              <w:rPr>
                <w:rFonts w:ascii="仿宋" w:hAnsi="仿宋" w:eastAsia="仿宋"/>
                <w:kern w:val="0"/>
                <w:szCs w:val="21"/>
              </w:rPr>
              <w:t>/h)</w:t>
            </w:r>
          </w:p>
        </w:tc>
        <w:tc>
          <w:tcPr>
            <w:tcW w:w="1020" w:type="dxa"/>
            <w:vMerge w:val="restart"/>
            <w:shd w:val="clear" w:color="auto" w:fill="auto"/>
            <w:tcMar>
              <w:left w:w="0" w:type="dxa"/>
              <w:right w:w="0" w:type="dxa"/>
            </w:tcMar>
            <w:vAlign w:val="center"/>
          </w:tcPr>
          <w:p>
            <w:pPr>
              <w:widowControl/>
              <w:jc w:val="center"/>
              <w:rPr>
                <w:rFonts w:ascii="仿宋" w:hAnsi="仿宋" w:eastAsia="仿宋"/>
                <w:kern w:val="0"/>
                <w:szCs w:val="21"/>
              </w:rPr>
            </w:pPr>
            <w:r>
              <w:rPr>
                <w:rFonts w:ascii="仿宋" w:hAnsi="仿宋" w:eastAsia="仿宋"/>
                <w:kern w:val="0"/>
                <w:szCs w:val="21"/>
              </w:rPr>
              <w:t>污染物名称</w:t>
            </w:r>
          </w:p>
        </w:tc>
        <w:tc>
          <w:tcPr>
            <w:tcW w:w="1712" w:type="dxa"/>
            <w:gridSpan w:val="2"/>
            <w:shd w:val="clear" w:color="auto" w:fill="auto"/>
            <w:vAlign w:val="center"/>
          </w:tcPr>
          <w:p>
            <w:pPr>
              <w:widowControl/>
              <w:jc w:val="center"/>
              <w:rPr>
                <w:rFonts w:ascii="仿宋" w:hAnsi="仿宋" w:eastAsia="仿宋"/>
                <w:kern w:val="0"/>
                <w:szCs w:val="21"/>
              </w:rPr>
            </w:pPr>
            <w:r>
              <w:rPr>
                <w:rFonts w:ascii="仿宋" w:hAnsi="仿宋" w:eastAsia="仿宋"/>
                <w:kern w:val="0"/>
                <w:szCs w:val="21"/>
              </w:rPr>
              <w:t>产生状况</w:t>
            </w:r>
          </w:p>
        </w:tc>
        <w:tc>
          <w:tcPr>
            <w:tcW w:w="2128" w:type="dxa"/>
            <w:gridSpan w:val="3"/>
            <w:shd w:val="clear" w:color="auto" w:fill="auto"/>
            <w:tcMar>
              <w:left w:w="0" w:type="dxa"/>
              <w:right w:w="0" w:type="dxa"/>
            </w:tcMar>
            <w:vAlign w:val="center"/>
          </w:tcPr>
          <w:p>
            <w:pPr>
              <w:widowControl/>
              <w:jc w:val="center"/>
              <w:rPr>
                <w:rFonts w:ascii="仿宋" w:hAnsi="仿宋" w:eastAsia="仿宋"/>
                <w:kern w:val="0"/>
                <w:szCs w:val="21"/>
              </w:rPr>
            </w:pPr>
            <w:r>
              <w:rPr>
                <w:rFonts w:ascii="仿宋" w:hAnsi="仿宋" w:eastAsia="仿宋"/>
                <w:kern w:val="0"/>
                <w:szCs w:val="21"/>
              </w:rPr>
              <w:t>排放源参数</w:t>
            </w:r>
          </w:p>
        </w:tc>
        <w:tc>
          <w:tcPr>
            <w:tcW w:w="581" w:type="dxa"/>
            <w:vMerge w:val="restart"/>
            <w:shd w:val="clear" w:color="auto" w:fill="auto"/>
            <w:tcMar>
              <w:left w:w="0" w:type="dxa"/>
              <w:right w:w="0" w:type="dxa"/>
            </w:tcMar>
            <w:vAlign w:val="center"/>
          </w:tcPr>
          <w:p>
            <w:pPr>
              <w:widowControl/>
              <w:jc w:val="center"/>
              <w:rPr>
                <w:rFonts w:ascii="仿宋" w:hAnsi="仿宋" w:eastAsia="仿宋"/>
                <w:kern w:val="0"/>
                <w:szCs w:val="21"/>
              </w:rPr>
            </w:pPr>
            <w:r>
              <w:rPr>
                <w:rFonts w:hint="eastAsia" w:ascii="仿宋" w:hAnsi="仿宋" w:eastAsia="仿宋"/>
                <w:kern w:val="0"/>
                <w:szCs w:val="21"/>
              </w:rPr>
              <w:t>单次</w:t>
            </w:r>
            <w:r>
              <w:rPr>
                <w:rFonts w:ascii="仿宋" w:hAnsi="仿宋" w:eastAsia="仿宋"/>
                <w:kern w:val="0"/>
                <w:szCs w:val="21"/>
              </w:rPr>
              <w:t>持续时间</w:t>
            </w:r>
            <w:r>
              <w:rPr>
                <w:rFonts w:hint="eastAsia" w:ascii="仿宋" w:hAnsi="仿宋" w:eastAsia="仿宋"/>
                <w:kern w:val="0"/>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606" w:type="dxa"/>
            <w:vMerge w:val="continue"/>
            <w:shd w:val="clear" w:color="auto" w:fill="auto"/>
            <w:tcMar>
              <w:left w:w="0" w:type="dxa"/>
              <w:right w:w="0" w:type="dxa"/>
            </w:tcMar>
            <w:vAlign w:val="center"/>
          </w:tcPr>
          <w:p>
            <w:pPr>
              <w:widowControl/>
              <w:jc w:val="center"/>
              <w:rPr>
                <w:rFonts w:ascii="仿宋" w:hAnsi="仿宋" w:eastAsia="仿宋"/>
                <w:kern w:val="0"/>
                <w:szCs w:val="21"/>
              </w:rPr>
            </w:pPr>
          </w:p>
        </w:tc>
        <w:tc>
          <w:tcPr>
            <w:tcW w:w="2677" w:type="dxa"/>
            <w:vMerge w:val="continue"/>
            <w:shd w:val="clear" w:color="auto" w:fill="auto"/>
            <w:tcMar>
              <w:left w:w="0" w:type="dxa"/>
              <w:right w:w="0" w:type="dxa"/>
            </w:tcMar>
            <w:vAlign w:val="center"/>
          </w:tcPr>
          <w:p>
            <w:pPr>
              <w:widowControl/>
              <w:jc w:val="center"/>
              <w:rPr>
                <w:rFonts w:ascii="仿宋" w:hAnsi="仿宋" w:eastAsia="仿宋"/>
                <w:kern w:val="0"/>
                <w:szCs w:val="21"/>
              </w:rPr>
            </w:pPr>
          </w:p>
        </w:tc>
        <w:tc>
          <w:tcPr>
            <w:tcW w:w="1071" w:type="dxa"/>
            <w:vMerge w:val="continue"/>
            <w:shd w:val="clear" w:color="auto" w:fill="auto"/>
            <w:tcMar>
              <w:left w:w="0" w:type="dxa"/>
              <w:right w:w="0" w:type="dxa"/>
            </w:tcMar>
            <w:vAlign w:val="center"/>
          </w:tcPr>
          <w:p>
            <w:pPr>
              <w:widowControl/>
              <w:jc w:val="center"/>
              <w:rPr>
                <w:rFonts w:ascii="仿宋" w:hAnsi="仿宋" w:eastAsia="仿宋"/>
                <w:kern w:val="0"/>
                <w:szCs w:val="21"/>
              </w:rPr>
            </w:pPr>
          </w:p>
        </w:tc>
        <w:tc>
          <w:tcPr>
            <w:tcW w:w="1020" w:type="dxa"/>
            <w:vMerge w:val="continue"/>
            <w:shd w:val="clear" w:color="auto" w:fill="auto"/>
            <w:tcMar>
              <w:left w:w="0" w:type="dxa"/>
              <w:right w:w="0" w:type="dxa"/>
            </w:tcMar>
            <w:vAlign w:val="center"/>
          </w:tcPr>
          <w:p>
            <w:pPr>
              <w:widowControl/>
              <w:jc w:val="center"/>
              <w:rPr>
                <w:rFonts w:ascii="仿宋" w:hAnsi="仿宋" w:eastAsia="仿宋"/>
                <w:kern w:val="0"/>
                <w:szCs w:val="21"/>
              </w:rPr>
            </w:pPr>
          </w:p>
        </w:tc>
        <w:tc>
          <w:tcPr>
            <w:tcW w:w="1000" w:type="dxa"/>
            <w:shd w:val="clear" w:color="auto" w:fill="auto"/>
            <w:tcMar>
              <w:left w:w="0" w:type="dxa"/>
              <w:right w:w="0" w:type="dxa"/>
            </w:tcMar>
            <w:vAlign w:val="center"/>
          </w:tcPr>
          <w:p>
            <w:pPr>
              <w:widowControl/>
              <w:jc w:val="center"/>
              <w:rPr>
                <w:rFonts w:ascii="仿宋" w:hAnsi="仿宋" w:eastAsia="仿宋"/>
                <w:kern w:val="0"/>
                <w:szCs w:val="21"/>
              </w:rPr>
            </w:pPr>
            <w:r>
              <w:rPr>
                <w:rFonts w:hint="eastAsia" w:ascii="仿宋" w:hAnsi="仿宋" w:eastAsia="仿宋"/>
                <w:kern w:val="0"/>
                <w:szCs w:val="21"/>
              </w:rPr>
              <w:t>最大浓度（</w:t>
            </w:r>
            <w:r>
              <w:rPr>
                <w:rFonts w:ascii="仿宋" w:hAnsi="仿宋" w:eastAsia="仿宋"/>
                <w:kern w:val="0"/>
                <w:szCs w:val="21"/>
              </w:rPr>
              <w:t>m</w:t>
            </w:r>
            <w:r>
              <w:rPr>
                <w:rFonts w:hint="eastAsia" w:ascii="仿宋" w:hAnsi="仿宋" w:eastAsia="仿宋"/>
                <w:kern w:val="0"/>
                <w:szCs w:val="21"/>
              </w:rPr>
              <w:t>g</w:t>
            </w:r>
            <w:r>
              <w:rPr>
                <w:rFonts w:ascii="仿宋" w:hAnsi="仿宋" w:eastAsia="仿宋"/>
                <w:kern w:val="0"/>
                <w:szCs w:val="21"/>
              </w:rPr>
              <w:t>/m</w:t>
            </w:r>
            <w:r>
              <w:rPr>
                <w:rFonts w:ascii="仿宋" w:hAnsi="仿宋" w:eastAsia="仿宋"/>
                <w:kern w:val="0"/>
                <w:szCs w:val="21"/>
                <w:vertAlign w:val="superscript"/>
              </w:rPr>
              <w:t>3</w:t>
            </w:r>
            <w:r>
              <w:rPr>
                <w:rFonts w:hint="eastAsia" w:ascii="仿宋" w:hAnsi="仿宋" w:eastAsia="仿宋"/>
                <w:kern w:val="0"/>
                <w:szCs w:val="21"/>
              </w:rPr>
              <w:t>）</w:t>
            </w:r>
          </w:p>
        </w:tc>
        <w:tc>
          <w:tcPr>
            <w:tcW w:w="712" w:type="dxa"/>
            <w:shd w:val="clear" w:color="auto" w:fill="auto"/>
            <w:tcMar>
              <w:left w:w="0" w:type="dxa"/>
              <w:right w:w="0" w:type="dxa"/>
            </w:tcMar>
            <w:vAlign w:val="center"/>
          </w:tcPr>
          <w:p>
            <w:pPr>
              <w:widowControl/>
              <w:jc w:val="center"/>
              <w:rPr>
                <w:rFonts w:ascii="仿宋" w:hAnsi="仿宋" w:eastAsia="仿宋"/>
                <w:kern w:val="0"/>
                <w:szCs w:val="21"/>
              </w:rPr>
            </w:pPr>
            <w:r>
              <w:rPr>
                <w:rFonts w:hint="eastAsia" w:ascii="仿宋" w:hAnsi="仿宋" w:eastAsia="仿宋"/>
                <w:kern w:val="0"/>
                <w:szCs w:val="21"/>
              </w:rPr>
              <w:t>最大</w:t>
            </w:r>
            <w:r>
              <w:rPr>
                <w:rFonts w:ascii="仿宋" w:hAnsi="仿宋" w:eastAsia="仿宋"/>
                <w:kern w:val="0"/>
                <w:szCs w:val="21"/>
              </w:rPr>
              <w:t>速率(kg/h)</w:t>
            </w:r>
          </w:p>
        </w:tc>
        <w:tc>
          <w:tcPr>
            <w:tcW w:w="689" w:type="dxa"/>
            <w:shd w:val="clear" w:color="auto" w:fill="auto"/>
            <w:tcMar>
              <w:left w:w="0" w:type="dxa"/>
              <w:right w:w="0" w:type="dxa"/>
            </w:tcMar>
            <w:vAlign w:val="center"/>
          </w:tcPr>
          <w:p>
            <w:pPr>
              <w:widowControl/>
              <w:jc w:val="center"/>
              <w:rPr>
                <w:rFonts w:ascii="仿宋" w:hAnsi="仿宋" w:eastAsia="仿宋"/>
                <w:kern w:val="0"/>
                <w:szCs w:val="21"/>
              </w:rPr>
            </w:pPr>
            <w:r>
              <w:rPr>
                <w:rFonts w:ascii="仿宋" w:hAnsi="仿宋" w:eastAsia="仿宋"/>
                <w:kern w:val="0"/>
                <w:szCs w:val="21"/>
              </w:rPr>
              <w:t>排放高度(m)</w:t>
            </w:r>
          </w:p>
        </w:tc>
        <w:tc>
          <w:tcPr>
            <w:tcW w:w="734" w:type="dxa"/>
            <w:shd w:val="clear" w:color="auto" w:fill="auto"/>
            <w:tcMar>
              <w:left w:w="0" w:type="dxa"/>
              <w:right w:w="0" w:type="dxa"/>
            </w:tcMar>
            <w:vAlign w:val="center"/>
          </w:tcPr>
          <w:p>
            <w:pPr>
              <w:widowControl/>
              <w:jc w:val="center"/>
              <w:rPr>
                <w:rFonts w:ascii="仿宋" w:hAnsi="仿宋" w:eastAsia="仿宋"/>
                <w:kern w:val="0"/>
                <w:szCs w:val="21"/>
              </w:rPr>
            </w:pPr>
            <w:r>
              <w:rPr>
                <w:rFonts w:ascii="仿宋" w:hAnsi="仿宋" w:eastAsia="仿宋"/>
                <w:kern w:val="0"/>
                <w:szCs w:val="21"/>
              </w:rPr>
              <w:t>直径</w:t>
            </w:r>
          </w:p>
          <w:p>
            <w:pPr>
              <w:jc w:val="center"/>
              <w:rPr>
                <w:rFonts w:ascii="仿宋" w:hAnsi="仿宋" w:eastAsia="仿宋"/>
                <w:kern w:val="0"/>
                <w:szCs w:val="21"/>
              </w:rPr>
            </w:pPr>
            <w:r>
              <w:rPr>
                <w:rFonts w:ascii="仿宋" w:hAnsi="仿宋" w:eastAsia="仿宋"/>
                <w:kern w:val="0"/>
                <w:szCs w:val="21"/>
              </w:rPr>
              <w:t>（m）</w:t>
            </w:r>
          </w:p>
        </w:tc>
        <w:tc>
          <w:tcPr>
            <w:tcW w:w="705" w:type="dxa"/>
            <w:shd w:val="clear" w:color="auto" w:fill="auto"/>
            <w:tcMar>
              <w:left w:w="0" w:type="dxa"/>
              <w:right w:w="0" w:type="dxa"/>
            </w:tcMar>
            <w:vAlign w:val="center"/>
          </w:tcPr>
          <w:p>
            <w:pPr>
              <w:widowControl/>
              <w:jc w:val="center"/>
              <w:rPr>
                <w:rFonts w:ascii="仿宋" w:hAnsi="仿宋" w:eastAsia="仿宋"/>
                <w:kern w:val="0"/>
                <w:szCs w:val="21"/>
              </w:rPr>
            </w:pPr>
            <w:r>
              <w:rPr>
                <w:rFonts w:ascii="仿宋" w:hAnsi="仿宋" w:eastAsia="仿宋"/>
                <w:kern w:val="0"/>
                <w:szCs w:val="21"/>
              </w:rPr>
              <w:t>烟气出口温度（</w:t>
            </w:r>
            <w:r>
              <w:rPr>
                <w:rFonts w:hint="eastAsia" w:ascii="仿宋" w:hAnsi="仿宋" w:eastAsia="仿宋" w:cs="宋体"/>
                <w:kern w:val="0"/>
                <w:szCs w:val="21"/>
                <w:lang w:eastAsia="ja-JP"/>
              </w:rPr>
              <w:t>℃</w:t>
            </w:r>
            <w:r>
              <w:rPr>
                <w:rFonts w:ascii="仿宋" w:hAnsi="仿宋" w:eastAsia="仿宋"/>
                <w:kern w:val="0"/>
                <w:szCs w:val="21"/>
              </w:rPr>
              <w:t>）</w:t>
            </w:r>
          </w:p>
        </w:tc>
        <w:tc>
          <w:tcPr>
            <w:tcW w:w="581" w:type="dxa"/>
            <w:vMerge w:val="continue"/>
            <w:shd w:val="clear" w:color="auto" w:fill="auto"/>
            <w:tcMar>
              <w:left w:w="0" w:type="dxa"/>
              <w:right w:w="0" w:type="dxa"/>
            </w:tcMar>
            <w:vAlign w:val="center"/>
          </w:tcPr>
          <w:p>
            <w:pPr>
              <w:widowControl/>
              <w:jc w:val="center"/>
              <w:rPr>
                <w:rFonts w:ascii="仿宋" w:hAnsi="仿宋"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606" w:type="dxa"/>
            <w:vMerge w:val="restart"/>
            <w:shd w:val="clear" w:color="auto" w:fill="auto"/>
            <w:tcMar>
              <w:left w:w="0" w:type="dxa"/>
              <w:right w:w="0" w:type="dxa"/>
            </w:tcMar>
            <w:vAlign w:val="center"/>
          </w:tcPr>
          <w:p>
            <w:pPr>
              <w:widowControl/>
              <w:jc w:val="center"/>
              <w:rPr>
                <w:rFonts w:ascii="仿宋" w:hAnsi="仿宋" w:eastAsia="仿宋"/>
                <w:kern w:val="0"/>
                <w:szCs w:val="21"/>
              </w:rPr>
            </w:pPr>
            <w:r>
              <w:rPr>
                <w:rFonts w:hint="eastAsia" w:ascii="仿宋" w:hAnsi="仿宋" w:eastAsia="仿宋"/>
                <w:kern w:val="0"/>
                <w:szCs w:val="21"/>
              </w:rPr>
              <w:t>1#</w:t>
            </w:r>
          </w:p>
        </w:tc>
        <w:tc>
          <w:tcPr>
            <w:tcW w:w="2677" w:type="dxa"/>
            <w:vMerge w:val="restart"/>
            <w:shd w:val="clear" w:color="auto" w:fill="auto"/>
            <w:tcMar>
              <w:left w:w="0" w:type="dxa"/>
              <w:right w:w="0" w:type="dxa"/>
            </w:tcMar>
            <w:vAlign w:val="center"/>
          </w:tcPr>
          <w:p>
            <w:pPr>
              <w:widowControl/>
              <w:jc w:val="center"/>
              <w:rPr>
                <w:rFonts w:ascii="仿宋" w:hAnsi="仿宋" w:eastAsia="仿宋"/>
                <w:kern w:val="0"/>
                <w:szCs w:val="21"/>
              </w:rPr>
            </w:pPr>
            <w:r>
              <w:rPr>
                <w:rFonts w:hint="eastAsia" w:ascii="仿宋" w:hAnsi="仿宋" w:eastAsia="仿宋"/>
                <w:kern w:val="0"/>
                <w:szCs w:val="21"/>
              </w:rPr>
              <w:t>配胶废气G1、涂布干燥废气G2、清洗废气G3</w:t>
            </w:r>
          </w:p>
        </w:tc>
        <w:tc>
          <w:tcPr>
            <w:tcW w:w="1071" w:type="dxa"/>
            <w:vMerge w:val="restart"/>
            <w:shd w:val="clear" w:color="auto" w:fill="auto"/>
            <w:tcMar>
              <w:left w:w="0" w:type="dxa"/>
              <w:right w:w="0" w:type="dxa"/>
            </w:tcMar>
            <w:vAlign w:val="center"/>
          </w:tcPr>
          <w:p>
            <w:pPr>
              <w:widowControl/>
              <w:jc w:val="center"/>
              <w:rPr>
                <w:rFonts w:ascii="仿宋" w:hAnsi="仿宋" w:eastAsia="仿宋"/>
                <w:kern w:val="0"/>
                <w:szCs w:val="21"/>
              </w:rPr>
            </w:pPr>
            <w:r>
              <w:rPr>
                <w:rFonts w:hint="eastAsia" w:ascii="仿宋" w:hAnsi="仿宋" w:eastAsia="仿宋"/>
                <w:kern w:val="0"/>
                <w:szCs w:val="21"/>
              </w:rPr>
              <w:t>50000</w:t>
            </w:r>
          </w:p>
        </w:tc>
        <w:tc>
          <w:tcPr>
            <w:tcW w:w="1020" w:type="dxa"/>
            <w:shd w:val="clear" w:color="auto" w:fill="auto"/>
            <w:tcMar>
              <w:left w:w="0" w:type="dxa"/>
              <w:right w:w="0" w:type="dxa"/>
            </w:tcMar>
            <w:vAlign w:val="center"/>
          </w:tcPr>
          <w:p>
            <w:pPr>
              <w:widowControl/>
              <w:jc w:val="center"/>
              <w:rPr>
                <w:rFonts w:ascii="仿宋" w:hAnsi="仿宋" w:eastAsia="仿宋" w:cs="宋体"/>
                <w:kern w:val="0"/>
                <w:szCs w:val="21"/>
              </w:rPr>
            </w:pPr>
            <w:r>
              <w:rPr>
                <w:rFonts w:hint="eastAsia" w:ascii="仿宋" w:hAnsi="仿宋" w:eastAsia="仿宋" w:cs="宋体"/>
                <w:kern w:val="0"/>
                <w:szCs w:val="21"/>
              </w:rPr>
              <w:t>非甲烷总烃</w:t>
            </w:r>
          </w:p>
        </w:tc>
        <w:tc>
          <w:tcPr>
            <w:tcW w:w="1000" w:type="dxa"/>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w:t>
            </w:r>
            <w:r>
              <w:rPr>
                <w:rFonts w:ascii="仿宋" w:hAnsi="仿宋" w:eastAsia="仿宋" w:cs="仿宋"/>
                <w:bCs/>
                <w:szCs w:val="21"/>
              </w:rPr>
              <w:t>370.2</w:t>
            </w:r>
          </w:p>
        </w:tc>
        <w:tc>
          <w:tcPr>
            <w:tcW w:w="712" w:type="dxa"/>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6</w:t>
            </w:r>
            <w:r>
              <w:rPr>
                <w:rFonts w:ascii="仿宋" w:hAnsi="仿宋" w:eastAsia="仿宋" w:cs="仿宋"/>
                <w:bCs/>
                <w:szCs w:val="21"/>
              </w:rPr>
              <w:t>8.51</w:t>
            </w:r>
          </w:p>
        </w:tc>
        <w:tc>
          <w:tcPr>
            <w:tcW w:w="689" w:type="dxa"/>
            <w:vMerge w:val="restart"/>
            <w:shd w:val="clear" w:color="auto" w:fill="auto"/>
            <w:tcMar>
              <w:left w:w="0" w:type="dxa"/>
              <w:right w:w="0" w:type="dxa"/>
            </w:tcMar>
            <w:vAlign w:val="center"/>
          </w:tcPr>
          <w:p>
            <w:pPr>
              <w:widowControl/>
              <w:jc w:val="center"/>
              <w:rPr>
                <w:rFonts w:ascii="仿宋" w:hAnsi="仿宋" w:eastAsia="仿宋"/>
                <w:kern w:val="0"/>
                <w:szCs w:val="21"/>
              </w:rPr>
            </w:pPr>
            <w:r>
              <w:rPr>
                <w:rFonts w:hint="eastAsia" w:ascii="仿宋" w:hAnsi="仿宋" w:eastAsia="仿宋"/>
                <w:kern w:val="0"/>
                <w:szCs w:val="21"/>
              </w:rPr>
              <w:t>15</w:t>
            </w:r>
          </w:p>
        </w:tc>
        <w:tc>
          <w:tcPr>
            <w:tcW w:w="734" w:type="dxa"/>
            <w:vMerge w:val="restart"/>
            <w:shd w:val="clear" w:color="auto" w:fill="auto"/>
            <w:tcMar>
              <w:left w:w="0" w:type="dxa"/>
              <w:right w:w="0" w:type="dxa"/>
            </w:tcMar>
            <w:vAlign w:val="center"/>
          </w:tcPr>
          <w:p>
            <w:pPr>
              <w:jc w:val="center"/>
              <w:rPr>
                <w:rFonts w:ascii="仿宋" w:hAnsi="仿宋" w:eastAsia="仿宋"/>
                <w:szCs w:val="21"/>
              </w:rPr>
            </w:pPr>
            <w:r>
              <w:rPr>
                <w:rFonts w:hint="eastAsia" w:ascii="仿宋" w:hAnsi="仿宋" w:eastAsia="仿宋"/>
                <w:szCs w:val="21"/>
              </w:rPr>
              <w:t>1.7</w:t>
            </w:r>
          </w:p>
        </w:tc>
        <w:tc>
          <w:tcPr>
            <w:tcW w:w="705" w:type="dxa"/>
            <w:vMerge w:val="restart"/>
            <w:shd w:val="clear" w:color="auto" w:fill="auto"/>
            <w:tcMar>
              <w:left w:w="0" w:type="dxa"/>
              <w:right w:w="0" w:type="dxa"/>
            </w:tcMar>
            <w:vAlign w:val="center"/>
          </w:tcPr>
          <w:p>
            <w:pPr>
              <w:jc w:val="center"/>
              <w:rPr>
                <w:rFonts w:ascii="仿宋" w:hAnsi="仿宋" w:eastAsia="仿宋"/>
                <w:szCs w:val="21"/>
              </w:rPr>
            </w:pPr>
            <w:r>
              <w:rPr>
                <w:rFonts w:hint="eastAsia" w:ascii="仿宋" w:hAnsi="仿宋" w:eastAsia="仿宋"/>
                <w:szCs w:val="21"/>
              </w:rPr>
              <w:t>25</w:t>
            </w:r>
          </w:p>
        </w:tc>
        <w:tc>
          <w:tcPr>
            <w:tcW w:w="581" w:type="dxa"/>
            <w:vMerge w:val="restart"/>
            <w:shd w:val="clear" w:color="auto" w:fill="auto"/>
            <w:tcMar>
              <w:left w:w="0" w:type="dxa"/>
              <w:right w:w="0" w:type="dxa"/>
            </w:tcMar>
            <w:vAlign w:val="center"/>
          </w:tcPr>
          <w:p>
            <w:pPr>
              <w:jc w:val="center"/>
              <w:rPr>
                <w:rFonts w:ascii="仿宋" w:hAnsi="仿宋" w:eastAsia="仿宋" w:cs="宋体"/>
                <w:szCs w:val="21"/>
              </w:rPr>
            </w:pPr>
            <w:r>
              <w:rPr>
                <w:rFonts w:hint="eastAsia" w:ascii="仿宋" w:hAnsi="仿宋" w:eastAsia="仿宋" w:cs="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606" w:type="dxa"/>
            <w:vMerge w:val="continue"/>
            <w:shd w:val="clear" w:color="auto" w:fill="auto"/>
            <w:tcMar>
              <w:left w:w="0" w:type="dxa"/>
              <w:right w:w="0" w:type="dxa"/>
            </w:tcMar>
            <w:vAlign w:val="center"/>
          </w:tcPr>
          <w:p>
            <w:pPr>
              <w:widowControl/>
              <w:jc w:val="center"/>
              <w:rPr>
                <w:rFonts w:ascii="仿宋" w:hAnsi="仿宋" w:eastAsia="仿宋"/>
                <w:kern w:val="0"/>
                <w:szCs w:val="21"/>
              </w:rPr>
            </w:pPr>
          </w:p>
        </w:tc>
        <w:tc>
          <w:tcPr>
            <w:tcW w:w="2677" w:type="dxa"/>
            <w:vMerge w:val="continue"/>
            <w:shd w:val="clear" w:color="auto" w:fill="auto"/>
            <w:tcMar>
              <w:left w:w="0" w:type="dxa"/>
              <w:right w:w="0" w:type="dxa"/>
            </w:tcMar>
            <w:vAlign w:val="center"/>
          </w:tcPr>
          <w:p>
            <w:pPr>
              <w:widowControl/>
              <w:jc w:val="center"/>
              <w:rPr>
                <w:rFonts w:ascii="仿宋" w:hAnsi="仿宋" w:eastAsia="仿宋"/>
                <w:kern w:val="0"/>
                <w:szCs w:val="21"/>
              </w:rPr>
            </w:pPr>
          </w:p>
        </w:tc>
        <w:tc>
          <w:tcPr>
            <w:tcW w:w="1071" w:type="dxa"/>
            <w:vMerge w:val="continue"/>
            <w:shd w:val="clear" w:color="auto" w:fill="auto"/>
            <w:tcMar>
              <w:left w:w="0" w:type="dxa"/>
              <w:right w:w="0" w:type="dxa"/>
            </w:tcMar>
            <w:vAlign w:val="center"/>
          </w:tcPr>
          <w:p>
            <w:pPr>
              <w:widowControl/>
              <w:jc w:val="center"/>
              <w:rPr>
                <w:rFonts w:ascii="仿宋" w:hAnsi="仿宋" w:eastAsia="仿宋"/>
                <w:kern w:val="0"/>
                <w:szCs w:val="21"/>
              </w:rPr>
            </w:pPr>
          </w:p>
        </w:tc>
        <w:tc>
          <w:tcPr>
            <w:tcW w:w="1020" w:type="dxa"/>
            <w:shd w:val="clear" w:color="auto" w:fill="auto"/>
            <w:tcMar>
              <w:left w:w="0" w:type="dxa"/>
              <w:right w:w="0" w:type="dxa"/>
            </w:tcMar>
            <w:vAlign w:val="center"/>
          </w:tcPr>
          <w:p>
            <w:pPr>
              <w:widowControl/>
              <w:jc w:val="center"/>
              <w:rPr>
                <w:rFonts w:ascii="仿宋" w:hAnsi="仿宋" w:eastAsia="仿宋" w:cs="宋体"/>
                <w:kern w:val="0"/>
                <w:szCs w:val="21"/>
              </w:rPr>
            </w:pPr>
            <w:r>
              <w:rPr>
                <w:rFonts w:hint="eastAsia" w:ascii="仿宋" w:hAnsi="仿宋" w:eastAsia="仿宋" w:cs="宋体"/>
                <w:kern w:val="0"/>
                <w:szCs w:val="21"/>
              </w:rPr>
              <w:t>乙酸乙酯</w:t>
            </w:r>
          </w:p>
        </w:tc>
        <w:tc>
          <w:tcPr>
            <w:tcW w:w="1000" w:type="dxa"/>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ascii="仿宋" w:hAnsi="仿宋" w:eastAsia="仿宋" w:cs="仿宋"/>
                <w:bCs/>
                <w:szCs w:val="21"/>
              </w:rPr>
              <w:t>1188.8</w:t>
            </w:r>
          </w:p>
        </w:tc>
        <w:tc>
          <w:tcPr>
            <w:tcW w:w="712" w:type="dxa"/>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5</w:t>
            </w:r>
            <w:r>
              <w:rPr>
                <w:rFonts w:ascii="仿宋" w:hAnsi="仿宋" w:eastAsia="仿宋" w:cs="仿宋"/>
                <w:bCs/>
                <w:szCs w:val="21"/>
              </w:rPr>
              <w:t>9.44</w:t>
            </w:r>
          </w:p>
        </w:tc>
        <w:tc>
          <w:tcPr>
            <w:tcW w:w="689" w:type="dxa"/>
            <w:vMerge w:val="continue"/>
            <w:shd w:val="clear" w:color="auto" w:fill="auto"/>
            <w:tcMar>
              <w:left w:w="0" w:type="dxa"/>
              <w:right w:w="0" w:type="dxa"/>
            </w:tcMar>
            <w:vAlign w:val="center"/>
          </w:tcPr>
          <w:p>
            <w:pPr>
              <w:widowControl/>
              <w:jc w:val="center"/>
              <w:rPr>
                <w:rFonts w:ascii="仿宋" w:hAnsi="仿宋" w:eastAsia="仿宋"/>
                <w:kern w:val="0"/>
                <w:szCs w:val="21"/>
              </w:rPr>
            </w:pPr>
          </w:p>
        </w:tc>
        <w:tc>
          <w:tcPr>
            <w:tcW w:w="734" w:type="dxa"/>
            <w:vMerge w:val="continue"/>
            <w:shd w:val="clear" w:color="auto" w:fill="auto"/>
            <w:tcMar>
              <w:left w:w="0" w:type="dxa"/>
              <w:right w:w="0" w:type="dxa"/>
            </w:tcMar>
            <w:vAlign w:val="center"/>
          </w:tcPr>
          <w:p>
            <w:pPr>
              <w:jc w:val="center"/>
              <w:rPr>
                <w:rFonts w:ascii="仿宋" w:hAnsi="仿宋" w:eastAsia="仿宋"/>
                <w:szCs w:val="21"/>
              </w:rPr>
            </w:pPr>
          </w:p>
        </w:tc>
        <w:tc>
          <w:tcPr>
            <w:tcW w:w="705" w:type="dxa"/>
            <w:vMerge w:val="continue"/>
            <w:shd w:val="clear" w:color="auto" w:fill="auto"/>
            <w:tcMar>
              <w:left w:w="0" w:type="dxa"/>
              <w:right w:w="0" w:type="dxa"/>
            </w:tcMar>
            <w:vAlign w:val="center"/>
          </w:tcPr>
          <w:p>
            <w:pPr>
              <w:jc w:val="center"/>
              <w:rPr>
                <w:rFonts w:ascii="仿宋" w:hAnsi="仿宋" w:eastAsia="仿宋"/>
                <w:szCs w:val="21"/>
              </w:rPr>
            </w:pPr>
          </w:p>
        </w:tc>
        <w:tc>
          <w:tcPr>
            <w:tcW w:w="581" w:type="dxa"/>
            <w:vMerge w:val="continue"/>
            <w:shd w:val="clear" w:color="auto" w:fill="auto"/>
            <w:tcMar>
              <w:left w:w="0" w:type="dxa"/>
              <w:right w:w="0" w:type="dxa"/>
            </w:tcMar>
            <w:vAlign w:val="center"/>
          </w:tcPr>
          <w:p>
            <w:pPr>
              <w:jc w:val="center"/>
              <w:rPr>
                <w:rFonts w:ascii="仿宋" w:hAnsi="仿宋" w:eastAsia="仿宋"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606" w:type="dxa"/>
            <w:vMerge w:val="continue"/>
            <w:shd w:val="clear" w:color="auto" w:fill="auto"/>
            <w:tcMar>
              <w:left w:w="0" w:type="dxa"/>
              <w:right w:w="0" w:type="dxa"/>
            </w:tcMar>
            <w:vAlign w:val="center"/>
          </w:tcPr>
          <w:p>
            <w:pPr>
              <w:widowControl/>
              <w:jc w:val="center"/>
              <w:rPr>
                <w:rFonts w:ascii="仿宋" w:hAnsi="仿宋" w:eastAsia="仿宋"/>
                <w:kern w:val="0"/>
                <w:szCs w:val="21"/>
              </w:rPr>
            </w:pPr>
          </w:p>
        </w:tc>
        <w:tc>
          <w:tcPr>
            <w:tcW w:w="2677" w:type="dxa"/>
            <w:vMerge w:val="continue"/>
            <w:shd w:val="clear" w:color="auto" w:fill="auto"/>
            <w:tcMar>
              <w:left w:w="0" w:type="dxa"/>
              <w:right w:w="0" w:type="dxa"/>
            </w:tcMar>
            <w:vAlign w:val="center"/>
          </w:tcPr>
          <w:p>
            <w:pPr>
              <w:widowControl/>
              <w:jc w:val="center"/>
              <w:rPr>
                <w:rFonts w:ascii="仿宋" w:hAnsi="仿宋" w:eastAsia="仿宋"/>
                <w:kern w:val="0"/>
                <w:szCs w:val="21"/>
              </w:rPr>
            </w:pPr>
          </w:p>
        </w:tc>
        <w:tc>
          <w:tcPr>
            <w:tcW w:w="1071" w:type="dxa"/>
            <w:vMerge w:val="continue"/>
            <w:shd w:val="clear" w:color="auto" w:fill="auto"/>
            <w:tcMar>
              <w:left w:w="0" w:type="dxa"/>
              <w:right w:w="0" w:type="dxa"/>
            </w:tcMar>
            <w:vAlign w:val="center"/>
          </w:tcPr>
          <w:p>
            <w:pPr>
              <w:widowControl/>
              <w:jc w:val="center"/>
              <w:rPr>
                <w:rFonts w:ascii="仿宋" w:hAnsi="仿宋" w:eastAsia="仿宋"/>
                <w:kern w:val="0"/>
                <w:szCs w:val="21"/>
              </w:rPr>
            </w:pPr>
          </w:p>
        </w:tc>
        <w:tc>
          <w:tcPr>
            <w:tcW w:w="1020" w:type="dxa"/>
            <w:shd w:val="clear" w:color="auto" w:fill="auto"/>
            <w:tcMar>
              <w:left w:w="0" w:type="dxa"/>
              <w:right w:w="0" w:type="dxa"/>
            </w:tcMar>
            <w:vAlign w:val="center"/>
          </w:tcPr>
          <w:p>
            <w:pPr>
              <w:widowControl/>
              <w:jc w:val="center"/>
              <w:rPr>
                <w:rFonts w:ascii="仿宋" w:hAnsi="仿宋" w:eastAsia="仿宋" w:cs="宋体"/>
                <w:kern w:val="0"/>
                <w:szCs w:val="21"/>
              </w:rPr>
            </w:pPr>
            <w:r>
              <w:rPr>
                <w:rFonts w:hint="eastAsia" w:ascii="仿宋" w:hAnsi="仿宋" w:eastAsia="仿宋" w:cs="宋体"/>
                <w:kern w:val="0"/>
                <w:szCs w:val="21"/>
              </w:rPr>
              <w:t>二甲苯</w:t>
            </w:r>
          </w:p>
        </w:tc>
        <w:tc>
          <w:tcPr>
            <w:tcW w:w="1000" w:type="dxa"/>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w:t>
            </w:r>
            <w:r>
              <w:rPr>
                <w:rFonts w:ascii="仿宋" w:hAnsi="仿宋" w:eastAsia="仿宋" w:cs="仿宋"/>
                <w:bCs/>
                <w:szCs w:val="21"/>
              </w:rPr>
              <w:t>31</w:t>
            </w:r>
          </w:p>
        </w:tc>
        <w:tc>
          <w:tcPr>
            <w:tcW w:w="712" w:type="dxa"/>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6</w:t>
            </w:r>
            <w:r>
              <w:rPr>
                <w:rFonts w:ascii="仿宋" w:hAnsi="仿宋" w:eastAsia="仿宋" w:cs="仿宋"/>
                <w:bCs/>
                <w:szCs w:val="21"/>
              </w:rPr>
              <w:t>.55</w:t>
            </w:r>
          </w:p>
        </w:tc>
        <w:tc>
          <w:tcPr>
            <w:tcW w:w="689" w:type="dxa"/>
            <w:vMerge w:val="continue"/>
            <w:shd w:val="clear" w:color="auto" w:fill="auto"/>
            <w:tcMar>
              <w:left w:w="0" w:type="dxa"/>
              <w:right w:w="0" w:type="dxa"/>
            </w:tcMar>
            <w:vAlign w:val="center"/>
          </w:tcPr>
          <w:p>
            <w:pPr>
              <w:widowControl/>
              <w:jc w:val="center"/>
              <w:rPr>
                <w:rFonts w:ascii="仿宋" w:hAnsi="仿宋" w:eastAsia="仿宋"/>
                <w:kern w:val="0"/>
                <w:szCs w:val="21"/>
              </w:rPr>
            </w:pPr>
          </w:p>
        </w:tc>
        <w:tc>
          <w:tcPr>
            <w:tcW w:w="734" w:type="dxa"/>
            <w:vMerge w:val="continue"/>
            <w:shd w:val="clear" w:color="auto" w:fill="auto"/>
            <w:tcMar>
              <w:left w:w="0" w:type="dxa"/>
              <w:right w:w="0" w:type="dxa"/>
            </w:tcMar>
            <w:vAlign w:val="center"/>
          </w:tcPr>
          <w:p>
            <w:pPr>
              <w:jc w:val="center"/>
              <w:rPr>
                <w:rFonts w:ascii="仿宋" w:hAnsi="仿宋" w:eastAsia="仿宋"/>
                <w:szCs w:val="21"/>
              </w:rPr>
            </w:pPr>
          </w:p>
        </w:tc>
        <w:tc>
          <w:tcPr>
            <w:tcW w:w="705" w:type="dxa"/>
            <w:vMerge w:val="continue"/>
            <w:shd w:val="clear" w:color="auto" w:fill="auto"/>
            <w:tcMar>
              <w:left w:w="0" w:type="dxa"/>
              <w:right w:w="0" w:type="dxa"/>
            </w:tcMar>
            <w:vAlign w:val="center"/>
          </w:tcPr>
          <w:p>
            <w:pPr>
              <w:jc w:val="center"/>
              <w:rPr>
                <w:rFonts w:ascii="仿宋" w:hAnsi="仿宋" w:eastAsia="仿宋"/>
                <w:szCs w:val="21"/>
              </w:rPr>
            </w:pPr>
          </w:p>
        </w:tc>
        <w:tc>
          <w:tcPr>
            <w:tcW w:w="581" w:type="dxa"/>
            <w:vMerge w:val="continue"/>
            <w:shd w:val="clear" w:color="auto" w:fill="auto"/>
            <w:tcMar>
              <w:left w:w="0" w:type="dxa"/>
              <w:right w:w="0" w:type="dxa"/>
            </w:tcMar>
            <w:vAlign w:val="center"/>
          </w:tcPr>
          <w:p>
            <w:pPr>
              <w:jc w:val="center"/>
              <w:rPr>
                <w:rFonts w:ascii="仿宋" w:hAnsi="仿宋" w:eastAsia="仿宋"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606" w:type="dxa"/>
            <w:vMerge w:val="continue"/>
            <w:shd w:val="clear" w:color="auto" w:fill="auto"/>
            <w:tcMar>
              <w:left w:w="0" w:type="dxa"/>
              <w:right w:w="0" w:type="dxa"/>
            </w:tcMar>
            <w:vAlign w:val="center"/>
          </w:tcPr>
          <w:p>
            <w:pPr>
              <w:widowControl/>
              <w:jc w:val="center"/>
              <w:rPr>
                <w:rFonts w:ascii="仿宋" w:hAnsi="仿宋" w:eastAsia="仿宋"/>
                <w:kern w:val="0"/>
                <w:szCs w:val="21"/>
              </w:rPr>
            </w:pPr>
          </w:p>
        </w:tc>
        <w:tc>
          <w:tcPr>
            <w:tcW w:w="2677" w:type="dxa"/>
            <w:vMerge w:val="restart"/>
            <w:shd w:val="clear" w:color="auto" w:fill="auto"/>
            <w:tcMar>
              <w:left w:w="0" w:type="dxa"/>
              <w:right w:w="0" w:type="dxa"/>
            </w:tcMar>
            <w:vAlign w:val="center"/>
          </w:tcPr>
          <w:p>
            <w:pPr>
              <w:widowControl/>
              <w:jc w:val="center"/>
              <w:rPr>
                <w:rFonts w:ascii="仿宋" w:hAnsi="仿宋" w:eastAsia="仿宋"/>
                <w:kern w:val="0"/>
                <w:szCs w:val="21"/>
              </w:rPr>
            </w:pPr>
            <w:r>
              <w:rPr>
                <w:rFonts w:ascii="仿宋" w:hAnsi="仿宋" w:eastAsia="仿宋"/>
                <w:kern w:val="0"/>
                <w:szCs w:val="21"/>
              </w:rPr>
              <w:t>天然气废气</w:t>
            </w:r>
            <w:r>
              <w:rPr>
                <w:rFonts w:hint="eastAsia" w:ascii="仿宋" w:hAnsi="仿宋" w:eastAsia="仿宋"/>
                <w:kern w:val="0"/>
                <w:szCs w:val="21"/>
              </w:rPr>
              <w:t>G4</w:t>
            </w:r>
          </w:p>
        </w:tc>
        <w:tc>
          <w:tcPr>
            <w:tcW w:w="1071" w:type="dxa"/>
            <w:vMerge w:val="continue"/>
            <w:shd w:val="clear" w:color="auto" w:fill="auto"/>
            <w:tcMar>
              <w:left w:w="0" w:type="dxa"/>
              <w:right w:w="0" w:type="dxa"/>
            </w:tcMar>
            <w:vAlign w:val="center"/>
          </w:tcPr>
          <w:p>
            <w:pPr>
              <w:widowControl/>
              <w:jc w:val="center"/>
              <w:rPr>
                <w:rFonts w:ascii="仿宋" w:hAnsi="仿宋" w:eastAsia="仿宋"/>
                <w:kern w:val="0"/>
                <w:szCs w:val="21"/>
              </w:rPr>
            </w:pPr>
          </w:p>
        </w:tc>
        <w:tc>
          <w:tcPr>
            <w:tcW w:w="1020" w:type="dxa"/>
            <w:shd w:val="clear" w:color="auto" w:fill="auto"/>
            <w:tcMar>
              <w:left w:w="0" w:type="dxa"/>
              <w:right w:w="0" w:type="dxa"/>
            </w:tcMar>
            <w:vAlign w:val="center"/>
          </w:tcPr>
          <w:p>
            <w:pPr>
              <w:widowControl/>
              <w:jc w:val="center"/>
              <w:rPr>
                <w:rFonts w:ascii="仿宋" w:hAnsi="仿宋" w:eastAsia="仿宋" w:cs="宋体"/>
                <w:kern w:val="0"/>
                <w:szCs w:val="21"/>
              </w:rPr>
            </w:pPr>
            <w:r>
              <w:rPr>
                <w:rFonts w:hint="eastAsia" w:ascii="仿宋" w:hAnsi="仿宋" w:eastAsia="仿宋" w:cs="宋体"/>
                <w:kern w:val="0"/>
                <w:szCs w:val="21"/>
              </w:rPr>
              <w:t>烟尘</w:t>
            </w:r>
          </w:p>
        </w:tc>
        <w:tc>
          <w:tcPr>
            <w:tcW w:w="1000" w:type="dxa"/>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.18</w:t>
            </w:r>
          </w:p>
        </w:tc>
        <w:tc>
          <w:tcPr>
            <w:tcW w:w="712" w:type="dxa"/>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.009</w:t>
            </w:r>
          </w:p>
        </w:tc>
        <w:tc>
          <w:tcPr>
            <w:tcW w:w="689" w:type="dxa"/>
            <w:vMerge w:val="continue"/>
            <w:shd w:val="clear" w:color="auto" w:fill="auto"/>
            <w:tcMar>
              <w:left w:w="0" w:type="dxa"/>
              <w:right w:w="0" w:type="dxa"/>
            </w:tcMar>
            <w:vAlign w:val="center"/>
          </w:tcPr>
          <w:p>
            <w:pPr>
              <w:widowControl/>
              <w:jc w:val="center"/>
              <w:rPr>
                <w:rFonts w:ascii="仿宋" w:hAnsi="仿宋" w:eastAsia="仿宋"/>
                <w:kern w:val="0"/>
                <w:szCs w:val="21"/>
              </w:rPr>
            </w:pPr>
          </w:p>
        </w:tc>
        <w:tc>
          <w:tcPr>
            <w:tcW w:w="734" w:type="dxa"/>
            <w:vMerge w:val="continue"/>
            <w:shd w:val="clear" w:color="auto" w:fill="auto"/>
            <w:tcMar>
              <w:left w:w="0" w:type="dxa"/>
              <w:right w:w="0" w:type="dxa"/>
            </w:tcMar>
            <w:vAlign w:val="center"/>
          </w:tcPr>
          <w:p>
            <w:pPr>
              <w:jc w:val="center"/>
              <w:rPr>
                <w:rFonts w:ascii="仿宋" w:hAnsi="仿宋" w:eastAsia="仿宋"/>
                <w:szCs w:val="21"/>
              </w:rPr>
            </w:pPr>
          </w:p>
        </w:tc>
        <w:tc>
          <w:tcPr>
            <w:tcW w:w="705" w:type="dxa"/>
            <w:vMerge w:val="continue"/>
            <w:shd w:val="clear" w:color="auto" w:fill="auto"/>
            <w:tcMar>
              <w:left w:w="0" w:type="dxa"/>
              <w:right w:w="0" w:type="dxa"/>
            </w:tcMar>
            <w:vAlign w:val="center"/>
          </w:tcPr>
          <w:p>
            <w:pPr>
              <w:jc w:val="center"/>
              <w:rPr>
                <w:rFonts w:ascii="仿宋" w:hAnsi="仿宋" w:eastAsia="仿宋"/>
                <w:szCs w:val="21"/>
              </w:rPr>
            </w:pPr>
          </w:p>
        </w:tc>
        <w:tc>
          <w:tcPr>
            <w:tcW w:w="581" w:type="dxa"/>
            <w:vMerge w:val="continue"/>
            <w:shd w:val="clear" w:color="auto" w:fill="auto"/>
            <w:tcMar>
              <w:left w:w="0" w:type="dxa"/>
              <w:right w:w="0" w:type="dxa"/>
            </w:tcMar>
            <w:vAlign w:val="center"/>
          </w:tcPr>
          <w:p>
            <w:pPr>
              <w:jc w:val="center"/>
              <w:rPr>
                <w:rFonts w:ascii="仿宋" w:hAnsi="仿宋" w:eastAsia="仿宋"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606" w:type="dxa"/>
            <w:vMerge w:val="continue"/>
            <w:shd w:val="clear" w:color="auto" w:fill="auto"/>
            <w:tcMar>
              <w:left w:w="0" w:type="dxa"/>
              <w:right w:w="0" w:type="dxa"/>
            </w:tcMar>
            <w:vAlign w:val="center"/>
          </w:tcPr>
          <w:p>
            <w:pPr>
              <w:widowControl/>
              <w:jc w:val="center"/>
              <w:rPr>
                <w:rFonts w:ascii="仿宋" w:hAnsi="仿宋" w:eastAsia="仿宋"/>
                <w:kern w:val="0"/>
                <w:szCs w:val="21"/>
              </w:rPr>
            </w:pPr>
          </w:p>
        </w:tc>
        <w:tc>
          <w:tcPr>
            <w:tcW w:w="2677" w:type="dxa"/>
            <w:vMerge w:val="continue"/>
            <w:shd w:val="clear" w:color="auto" w:fill="auto"/>
            <w:tcMar>
              <w:left w:w="0" w:type="dxa"/>
              <w:right w:w="0" w:type="dxa"/>
            </w:tcMar>
            <w:vAlign w:val="center"/>
          </w:tcPr>
          <w:p>
            <w:pPr>
              <w:widowControl/>
              <w:jc w:val="center"/>
              <w:rPr>
                <w:rFonts w:ascii="仿宋" w:hAnsi="仿宋" w:eastAsia="仿宋"/>
                <w:kern w:val="0"/>
                <w:szCs w:val="21"/>
              </w:rPr>
            </w:pPr>
          </w:p>
        </w:tc>
        <w:tc>
          <w:tcPr>
            <w:tcW w:w="1071" w:type="dxa"/>
            <w:vMerge w:val="continue"/>
            <w:shd w:val="clear" w:color="auto" w:fill="auto"/>
            <w:tcMar>
              <w:left w:w="0" w:type="dxa"/>
              <w:right w:w="0" w:type="dxa"/>
            </w:tcMar>
            <w:vAlign w:val="center"/>
          </w:tcPr>
          <w:p>
            <w:pPr>
              <w:widowControl/>
              <w:jc w:val="center"/>
              <w:rPr>
                <w:rFonts w:ascii="仿宋" w:hAnsi="仿宋" w:eastAsia="仿宋"/>
                <w:kern w:val="0"/>
                <w:szCs w:val="21"/>
              </w:rPr>
            </w:pPr>
          </w:p>
        </w:tc>
        <w:tc>
          <w:tcPr>
            <w:tcW w:w="1020" w:type="dxa"/>
            <w:shd w:val="clear" w:color="auto" w:fill="auto"/>
            <w:tcMar>
              <w:left w:w="0" w:type="dxa"/>
              <w:right w:w="0" w:type="dxa"/>
            </w:tcMar>
            <w:vAlign w:val="center"/>
          </w:tcPr>
          <w:p>
            <w:pPr>
              <w:widowControl/>
              <w:jc w:val="center"/>
              <w:rPr>
                <w:rFonts w:ascii="仿宋" w:hAnsi="仿宋" w:eastAsia="仿宋" w:cs="宋体"/>
                <w:kern w:val="0"/>
                <w:szCs w:val="21"/>
              </w:rPr>
            </w:pPr>
            <w:r>
              <w:rPr>
                <w:rFonts w:hint="eastAsia" w:ascii="仿宋" w:hAnsi="仿宋" w:eastAsia="仿宋"/>
                <w:kern w:val="0"/>
                <w:szCs w:val="21"/>
              </w:rPr>
              <w:t>SO</w:t>
            </w:r>
            <w:r>
              <w:rPr>
                <w:rFonts w:hint="eastAsia" w:ascii="仿宋" w:hAnsi="仿宋" w:eastAsia="仿宋"/>
                <w:kern w:val="0"/>
                <w:szCs w:val="21"/>
                <w:vertAlign w:val="subscript"/>
              </w:rPr>
              <w:t>2</w:t>
            </w:r>
          </w:p>
        </w:tc>
        <w:tc>
          <w:tcPr>
            <w:tcW w:w="1000" w:type="dxa"/>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.14</w:t>
            </w:r>
          </w:p>
        </w:tc>
        <w:tc>
          <w:tcPr>
            <w:tcW w:w="712" w:type="dxa"/>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.007</w:t>
            </w:r>
          </w:p>
        </w:tc>
        <w:tc>
          <w:tcPr>
            <w:tcW w:w="689" w:type="dxa"/>
            <w:vMerge w:val="continue"/>
            <w:shd w:val="clear" w:color="auto" w:fill="auto"/>
            <w:tcMar>
              <w:left w:w="0" w:type="dxa"/>
              <w:right w:w="0" w:type="dxa"/>
            </w:tcMar>
            <w:vAlign w:val="center"/>
          </w:tcPr>
          <w:p>
            <w:pPr>
              <w:widowControl/>
              <w:jc w:val="center"/>
              <w:rPr>
                <w:rFonts w:ascii="仿宋" w:hAnsi="仿宋" w:eastAsia="仿宋"/>
                <w:kern w:val="0"/>
                <w:szCs w:val="21"/>
              </w:rPr>
            </w:pPr>
          </w:p>
        </w:tc>
        <w:tc>
          <w:tcPr>
            <w:tcW w:w="734" w:type="dxa"/>
            <w:vMerge w:val="continue"/>
            <w:shd w:val="clear" w:color="auto" w:fill="auto"/>
            <w:tcMar>
              <w:left w:w="0" w:type="dxa"/>
              <w:right w:w="0" w:type="dxa"/>
            </w:tcMar>
            <w:vAlign w:val="center"/>
          </w:tcPr>
          <w:p>
            <w:pPr>
              <w:jc w:val="center"/>
              <w:rPr>
                <w:rFonts w:ascii="仿宋" w:hAnsi="仿宋" w:eastAsia="仿宋"/>
                <w:szCs w:val="21"/>
              </w:rPr>
            </w:pPr>
          </w:p>
        </w:tc>
        <w:tc>
          <w:tcPr>
            <w:tcW w:w="705" w:type="dxa"/>
            <w:vMerge w:val="continue"/>
            <w:shd w:val="clear" w:color="auto" w:fill="auto"/>
            <w:tcMar>
              <w:left w:w="0" w:type="dxa"/>
              <w:right w:w="0" w:type="dxa"/>
            </w:tcMar>
            <w:vAlign w:val="center"/>
          </w:tcPr>
          <w:p>
            <w:pPr>
              <w:jc w:val="center"/>
              <w:rPr>
                <w:rFonts w:ascii="仿宋" w:hAnsi="仿宋" w:eastAsia="仿宋"/>
                <w:szCs w:val="21"/>
              </w:rPr>
            </w:pPr>
          </w:p>
        </w:tc>
        <w:tc>
          <w:tcPr>
            <w:tcW w:w="581" w:type="dxa"/>
            <w:vMerge w:val="continue"/>
            <w:shd w:val="clear" w:color="auto" w:fill="auto"/>
            <w:tcMar>
              <w:left w:w="0" w:type="dxa"/>
              <w:right w:w="0" w:type="dxa"/>
            </w:tcMar>
            <w:vAlign w:val="center"/>
          </w:tcPr>
          <w:p>
            <w:pPr>
              <w:jc w:val="center"/>
              <w:rPr>
                <w:rFonts w:ascii="仿宋" w:hAnsi="仿宋" w:eastAsia="仿宋"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606" w:type="dxa"/>
            <w:vMerge w:val="continue"/>
            <w:shd w:val="clear" w:color="auto" w:fill="auto"/>
            <w:tcMar>
              <w:left w:w="0" w:type="dxa"/>
              <w:right w:w="0" w:type="dxa"/>
            </w:tcMar>
            <w:vAlign w:val="center"/>
          </w:tcPr>
          <w:p>
            <w:pPr>
              <w:widowControl/>
              <w:jc w:val="center"/>
              <w:rPr>
                <w:rFonts w:ascii="仿宋" w:hAnsi="仿宋" w:eastAsia="仿宋"/>
                <w:kern w:val="0"/>
                <w:szCs w:val="21"/>
              </w:rPr>
            </w:pPr>
          </w:p>
        </w:tc>
        <w:tc>
          <w:tcPr>
            <w:tcW w:w="2677" w:type="dxa"/>
            <w:vMerge w:val="continue"/>
            <w:shd w:val="clear" w:color="auto" w:fill="auto"/>
            <w:tcMar>
              <w:left w:w="0" w:type="dxa"/>
              <w:right w:w="0" w:type="dxa"/>
            </w:tcMar>
            <w:vAlign w:val="center"/>
          </w:tcPr>
          <w:p>
            <w:pPr>
              <w:widowControl/>
              <w:jc w:val="center"/>
              <w:rPr>
                <w:rFonts w:ascii="仿宋" w:hAnsi="仿宋" w:eastAsia="仿宋"/>
                <w:kern w:val="0"/>
                <w:szCs w:val="21"/>
              </w:rPr>
            </w:pPr>
          </w:p>
        </w:tc>
        <w:tc>
          <w:tcPr>
            <w:tcW w:w="1071" w:type="dxa"/>
            <w:vMerge w:val="continue"/>
            <w:shd w:val="clear" w:color="auto" w:fill="auto"/>
            <w:tcMar>
              <w:left w:w="0" w:type="dxa"/>
              <w:right w:w="0" w:type="dxa"/>
            </w:tcMar>
            <w:vAlign w:val="center"/>
          </w:tcPr>
          <w:p>
            <w:pPr>
              <w:widowControl/>
              <w:jc w:val="center"/>
              <w:rPr>
                <w:rFonts w:ascii="仿宋" w:hAnsi="仿宋" w:eastAsia="仿宋"/>
                <w:kern w:val="0"/>
                <w:szCs w:val="21"/>
              </w:rPr>
            </w:pPr>
          </w:p>
        </w:tc>
        <w:tc>
          <w:tcPr>
            <w:tcW w:w="1020" w:type="dxa"/>
            <w:shd w:val="clear" w:color="auto" w:fill="auto"/>
            <w:tcMar>
              <w:left w:w="0" w:type="dxa"/>
              <w:right w:w="0" w:type="dxa"/>
            </w:tcMar>
            <w:vAlign w:val="center"/>
          </w:tcPr>
          <w:p>
            <w:pPr>
              <w:widowControl/>
              <w:jc w:val="center"/>
              <w:rPr>
                <w:rFonts w:ascii="仿宋" w:hAnsi="仿宋" w:eastAsia="仿宋" w:cs="宋体"/>
                <w:kern w:val="0"/>
                <w:szCs w:val="21"/>
              </w:rPr>
            </w:pPr>
            <w:r>
              <w:rPr>
                <w:rFonts w:hint="eastAsia" w:ascii="仿宋" w:hAnsi="仿宋" w:eastAsia="仿宋"/>
                <w:kern w:val="0"/>
                <w:szCs w:val="21"/>
              </w:rPr>
              <w:t>NOx</w:t>
            </w:r>
          </w:p>
        </w:tc>
        <w:tc>
          <w:tcPr>
            <w:tcW w:w="1000" w:type="dxa"/>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w:t>
            </w:r>
            <w:r>
              <w:rPr>
                <w:rFonts w:ascii="仿宋" w:hAnsi="仿宋" w:eastAsia="仿宋" w:cs="仿宋"/>
                <w:bCs/>
                <w:szCs w:val="21"/>
              </w:rPr>
              <w:t>.06</w:t>
            </w:r>
          </w:p>
        </w:tc>
        <w:tc>
          <w:tcPr>
            <w:tcW w:w="712" w:type="dxa"/>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.053</w:t>
            </w:r>
          </w:p>
        </w:tc>
        <w:tc>
          <w:tcPr>
            <w:tcW w:w="689" w:type="dxa"/>
            <w:vMerge w:val="continue"/>
            <w:shd w:val="clear" w:color="auto" w:fill="auto"/>
            <w:tcMar>
              <w:left w:w="0" w:type="dxa"/>
              <w:right w:w="0" w:type="dxa"/>
            </w:tcMar>
            <w:vAlign w:val="center"/>
          </w:tcPr>
          <w:p>
            <w:pPr>
              <w:widowControl/>
              <w:jc w:val="center"/>
              <w:rPr>
                <w:rFonts w:ascii="仿宋" w:hAnsi="仿宋" w:eastAsia="仿宋"/>
                <w:kern w:val="0"/>
                <w:szCs w:val="21"/>
              </w:rPr>
            </w:pPr>
          </w:p>
        </w:tc>
        <w:tc>
          <w:tcPr>
            <w:tcW w:w="734" w:type="dxa"/>
            <w:vMerge w:val="continue"/>
            <w:shd w:val="clear" w:color="auto" w:fill="auto"/>
            <w:tcMar>
              <w:left w:w="0" w:type="dxa"/>
              <w:right w:w="0" w:type="dxa"/>
            </w:tcMar>
            <w:vAlign w:val="center"/>
          </w:tcPr>
          <w:p>
            <w:pPr>
              <w:jc w:val="center"/>
              <w:rPr>
                <w:rFonts w:ascii="仿宋" w:hAnsi="仿宋" w:eastAsia="仿宋"/>
                <w:szCs w:val="21"/>
              </w:rPr>
            </w:pPr>
          </w:p>
        </w:tc>
        <w:tc>
          <w:tcPr>
            <w:tcW w:w="705" w:type="dxa"/>
            <w:vMerge w:val="continue"/>
            <w:shd w:val="clear" w:color="auto" w:fill="auto"/>
            <w:tcMar>
              <w:left w:w="0" w:type="dxa"/>
              <w:right w:w="0" w:type="dxa"/>
            </w:tcMar>
            <w:vAlign w:val="center"/>
          </w:tcPr>
          <w:p>
            <w:pPr>
              <w:jc w:val="center"/>
              <w:rPr>
                <w:rFonts w:ascii="仿宋" w:hAnsi="仿宋" w:eastAsia="仿宋"/>
                <w:szCs w:val="21"/>
              </w:rPr>
            </w:pPr>
          </w:p>
        </w:tc>
        <w:tc>
          <w:tcPr>
            <w:tcW w:w="581" w:type="dxa"/>
            <w:vMerge w:val="continue"/>
            <w:shd w:val="clear" w:color="auto" w:fill="auto"/>
            <w:tcMar>
              <w:left w:w="0" w:type="dxa"/>
              <w:right w:w="0" w:type="dxa"/>
            </w:tcMar>
            <w:vAlign w:val="center"/>
          </w:tcPr>
          <w:p>
            <w:pPr>
              <w:jc w:val="center"/>
              <w:rPr>
                <w:rFonts w:ascii="仿宋" w:hAnsi="仿宋" w:eastAsia="仿宋" w:cs="宋体"/>
                <w:szCs w:val="21"/>
              </w:rPr>
            </w:pPr>
          </w:p>
        </w:tc>
      </w:tr>
    </w:tbl>
    <w:p>
      <w:pPr>
        <w:spacing w:line="500" w:lineRule="exact"/>
        <w:ind w:firstLine="560" w:firstLineChars="200"/>
        <w:rPr>
          <w:rFonts w:eastAsia="仿宋_GB2312"/>
          <w:bCs/>
          <w:sz w:val="28"/>
          <w:szCs w:val="28"/>
        </w:rPr>
      </w:pPr>
      <w:r>
        <w:rPr>
          <w:rFonts w:eastAsia="仿宋_GB2312"/>
          <w:bCs/>
          <w:sz w:val="28"/>
          <w:szCs w:val="28"/>
        </w:rPr>
        <w:t>为预防此类工况发生，除确保生产设备和施工安装质量先进可靠外，还需加强管理，做好设备的日常维护、保养工作，定期检查设施的运行情况，同时严格按照操作规程生产，可减少此类非正常工况的发生。</w:t>
      </w:r>
    </w:p>
    <w:p>
      <w:pPr>
        <w:pStyle w:val="4"/>
        <w:keepLines w:val="0"/>
        <w:numPr>
          <w:ilvl w:val="3"/>
          <w:numId w:val="1"/>
        </w:numPr>
        <w:tabs>
          <w:tab w:val="left" w:pos="709"/>
        </w:tabs>
        <w:spacing w:before="120" w:beforeLines="50" w:after="120" w:afterLines="50" w:line="500" w:lineRule="exact"/>
        <w:rPr>
          <w:rFonts w:eastAsia="仿宋_GB2312"/>
          <w:sz w:val="30"/>
          <w:szCs w:val="30"/>
        </w:rPr>
      </w:pPr>
      <w:r>
        <w:rPr>
          <w:rFonts w:eastAsia="仿宋_GB2312"/>
          <w:sz w:val="30"/>
          <w:szCs w:val="30"/>
        </w:rPr>
        <w:t>噪声污染物源强及排放情况</w:t>
      </w:r>
    </w:p>
    <w:p>
      <w:pPr>
        <w:spacing w:line="500" w:lineRule="exact"/>
        <w:ind w:firstLine="560" w:firstLineChars="200"/>
      </w:pPr>
      <w:r>
        <w:rPr>
          <w:rFonts w:eastAsia="仿宋_GB2312"/>
          <w:bCs/>
          <w:sz w:val="28"/>
          <w:szCs w:val="28"/>
        </w:rPr>
        <w:t>本项目噪声产生及排放情况见下表。</w:t>
      </w:r>
      <w:bookmarkStart w:id="250" w:name="_Ref381089991"/>
    </w:p>
    <w:p>
      <w:pPr>
        <w:spacing w:line="500" w:lineRule="exact"/>
        <w:ind w:firstLine="482" w:firstLineChars="200"/>
        <w:jc w:val="center"/>
        <w:rPr>
          <w:rFonts w:eastAsia="仿宋_GB2312"/>
          <w:b/>
          <w:bCs/>
          <w:sz w:val="24"/>
        </w:rPr>
      </w:pPr>
      <w:r>
        <w:rPr>
          <w:rFonts w:eastAsia="仿宋_GB2312"/>
          <w:b/>
          <w:bCs/>
          <w:sz w:val="24"/>
        </w:rPr>
        <w:t>表</w:t>
      </w:r>
      <w:bookmarkEnd w:id="250"/>
      <w:r>
        <w:rPr>
          <w:rFonts w:eastAsia="仿宋_GB2312"/>
          <w:b/>
          <w:bCs/>
          <w:sz w:val="24"/>
        </w:rPr>
        <w:t>3.</w:t>
      </w:r>
      <w:r>
        <w:rPr>
          <w:rFonts w:hint="eastAsia" w:eastAsia="仿宋_GB2312"/>
          <w:b/>
          <w:bCs/>
          <w:sz w:val="24"/>
        </w:rPr>
        <w:t>3</w:t>
      </w:r>
      <w:r>
        <w:rPr>
          <w:rFonts w:eastAsia="仿宋_GB2312"/>
          <w:b/>
          <w:bCs/>
          <w:sz w:val="24"/>
        </w:rPr>
        <w:t xml:space="preserve">-5   </w:t>
      </w:r>
      <w:r>
        <w:rPr>
          <w:rFonts w:hint="eastAsia" w:eastAsia="仿宋_GB2312"/>
          <w:b/>
          <w:bCs/>
          <w:sz w:val="24"/>
        </w:rPr>
        <w:t>工业</w:t>
      </w:r>
      <w:r>
        <w:rPr>
          <w:rFonts w:eastAsia="仿宋_GB2312"/>
          <w:b/>
          <w:bCs/>
          <w:sz w:val="24"/>
        </w:rPr>
        <w:t>企业</w:t>
      </w:r>
      <w:r>
        <w:rPr>
          <w:rFonts w:hint="eastAsia" w:eastAsia="仿宋_GB2312"/>
          <w:b/>
          <w:bCs/>
          <w:sz w:val="24"/>
        </w:rPr>
        <w:t>噪声源强调查</w:t>
      </w:r>
      <w:r>
        <w:rPr>
          <w:rFonts w:eastAsia="仿宋_GB2312"/>
          <w:b/>
          <w:bCs/>
          <w:sz w:val="24"/>
        </w:rPr>
        <w:t>清单</w:t>
      </w:r>
      <w:r>
        <w:rPr>
          <w:rFonts w:hint="eastAsia" w:eastAsia="仿宋_GB2312"/>
          <w:b/>
          <w:bCs/>
          <w:sz w:val="24"/>
        </w:rPr>
        <w:t>（室内</w:t>
      </w:r>
      <w:r>
        <w:rPr>
          <w:rFonts w:eastAsia="仿宋_GB2312"/>
          <w:b/>
          <w:bCs/>
          <w:sz w:val="24"/>
        </w:rPr>
        <w:t>声源</w:t>
      </w:r>
      <w:r>
        <w:rPr>
          <w:rFonts w:hint="eastAsia" w:eastAsia="仿宋_GB2312"/>
          <w:b/>
          <w:bCs/>
          <w:sz w:val="24"/>
        </w:rPr>
        <w:t>）</w:t>
      </w:r>
    </w:p>
    <w:tbl>
      <w:tblPr>
        <w:tblStyle w:val="88"/>
        <w:tblW w:w="96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1"/>
        <w:gridCol w:w="827"/>
        <w:gridCol w:w="1139"/>
        <w:gridCol w:w="1083"/>
        <w:gridCol w:w="854"/>
        <w:gridCol w:w="999"/>
        <w:gridCol w:w="709"/>
        <w:gridCol w:w="836"/>
        <w:gridCol w:w="865"/>
        <w:gridCol w:w="567"/>
        <w:gridCol w:w="709"/>
        <w:gridCol w:w="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441" w:type="dxa"/>
            <w:vMerge w:val="restart"/>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序号</w:t>
            </w:r>
          </w:p>
        </w:tc>
        <w:tc>
          <w:tcPr>
            <w:tcW w:w="827" w:type="dxa"/>
            <w:vMerge w:val="restart"/>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建筑物</w:t>
            </w:r>
            <w:r>
              <w:rPr>
                <w:rFonts w:ascii="仿宋" w:hAnsi="仿宋" w:eastAsia="仿宋" w:cs="仿宋"/>
                <w:bCs/>
                <w:szCs w:val="21"/>
              </w:rPr>
              <w:t>名称</w:t>
            </w:r>
          </w:p>
        </w:tc>
        <w:tc>
          <w:tcPr>
            <w:tcW w:w="1139" w:type="dxa"/>
            <w:vMerge w:val="restart"/>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声</w:t>
            </w:r>
            <w:r>
              <w:rPr>
                <w:rFonts w:ascii="仿宋" w:hAnsi="仿宋" w:eastAsia="仿宋" w:cs="仿宋"/>
                <w:bCs/>
                <w:szCs w:val="21"/>
              </w:rPr>
              <w:t>源名称</w:t>
            </w:r>
          </w:p>
        </w:tc>
        <w:tc>
          <w:tcPr>
            <w:tcW w:w="1083" w:type="dxa"/>
            <w:vMerge w:val="restart"/>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声功率级/dB(</w:t>
            </w:r>
            <w:r>
              <w:rPr>
                <w:rFonts w:ascii="仿宋" w:hAnsi="仿宋" w:eastAsia="仿宋" w:cs="仿宋"/>
                <w:bCs/>
                <w:szCs w:val="21"/>
              </w:rPr>
              <w:t>A</w:t>
            </w:r>
            <w:r>
              <w:rPr>
                <w:rFonts w:hint="eastAsia" w:ascii="仿宋" w:hAnsi="仿宋" w:eastAsia="仿宋" w:cs="仿宋"/>
                <w:bCs/>
                <w:szCs w:val="21"/>
              </w:rPr>
              <w:t>)</w:t>
            </w:r>
          </w:p>
        </w:tc>
        <w:tc>
          <w:tcPr>
            <w:tcW w:w="854" w:type="dxa"/>
            <w:vMerge w:val="restart"/>
          </w:tcPr>
          <w:p>
            <w:pPr>
              <w:spacing w:line="240" w:lineRule="atLeast"/>
              <w:jc w:val="center"/>
              <w:rPr>
                <w:rFonts w:ascii="仿宋" w:hAnsi="仿宋" w:eastAsia="仿宋" w:cs="仿宋"/>
                <w:bCs/>
                <w:szCs w:val="21"/>
              </w:rPr>
            </w:pPr>
            <w:r>
              <w:rPr>
                <w:rFonts w:hint="eastAsia" w:ascii="仿宋" w:hAnsi="仿宋" w:eastAsia="仿宋" w:cs="仿宋"/>
                <w:bCs/>
                <w:szCs w:val="21"/>
              </w:rPr>
              <w:t>同类</w:t>
            </w:r>
            <w:r>
              <w:rPr>
                <w:rFonts w:ascii="仿宋" w:hAnsi="仿宋" w:eastAsia="仿宋" w:cs="仿宋"/>
                <w:bCs/>
                <w:szCs w:val="21"/>
              </w:rPr>
              <w:t>设备叠加</w:t>
            </w:r>
            <w:r>
              <w:rPr>
                <w:rFonts w:hint="eastAsia" w:ascii="仿宋" w:hAnsi="仿宋" w:eastAsia="仿宋" w:cs="仿宋"/>
                <w:bCs/>
                <w:szCs w:val="21"/>
              </w:rPr>
              <w:t>声功率级/dB(</w:t>
            </w:r>
            <w:r>
              <w:rPr>
                <w:rFonts w:ascii="仿宋" w:hAnsi="仿宋" w:eastAsia="仿宋" w:cs="仿宋"/>
                <w:bCs/>
                <w:szCs w:val="21"/>
              </w:rPr>
              <w:t>A</w:t>
            </w:r>
            <w:r>
              <w:rPr>
                <w:rFonts w:hint="eastAsia" w:ascii="仿宋" w:hAnsi="仿宋" w:eastAsia="仿宋" w:cs="仿宋"/>
                <w:bCs/>
                <w:szCs w:val="21"/>
              </w:rPr>
              <w:t>)</w:t>
            </w:r>
          </w:p>
        </w:tc>
        <w:tc>
          <w:tcPr>
            <w:tcW w:w="999" w:type="dxa"/>
            <w:vMerge w:val="restart"/>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声</w:t>
            </w:r>
            <w:r>
              <w:rPr>
                <w:rFonts w:ascii="仿宋" w:hAnsi="仿宋" w:eastAsia="仿宋" w:cs="仿宋"/>
                <w:bCs/>
                <w:szCs w:val="21"/>
              </w:rPr>
              <w:t>源控制措施</w:t>
            </w:r>
          </w:p>
        </w:tc>
        <w:tc>
          <w:tcPr>
            <w:tcW w:w="709" w:type="dxa"/>
            <w:vMerge w:val="restart"/>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数量（台/套）</w:t>
            </w:r>
          </w:p>
        </w:tc>
        <w:tc>
          <w:tcPr>
            <w:tcW w:w="2268" w:type="dxa"/>
            <w:gridSpan w:val="3"/>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空间</w:t>
            </w:r>
            <w:r>
              <w:rPr>
                <w:rFonts w:ascii="仿宋" w:hAnsi="仿宋" w:eastAsia="仿宋" w:cs="仿宋"/>
                <w:bCs/>
                <w:szCs w:val="21"/>
              </w:rPr>
              <w:t>相对位置</w:t>
            </w:r>
            <w:r>
              <w:rPr>
                <w:rFonts w:hint="eastAsia" w:ascii="仿宋" w:hAnsi="仿宋" w:eastAsia="仿宋" w:cs="仿宋"/>
                <w:bCs/>
                <w:szCs w:val="21"/>
              </w:rPr>
              <w:t>/m</w:t>
            </w:r>
          </w:p>
        </w:tc>
        <w:tc>
          <w:tcPr>
            <w:tcW w:w="709" w:type="dxa"/>
            <w:vMerge w:val="restart"/>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源强降噪效果/dB(</w:t>
            </w:r>
            <w:r>
              <w:rPr>
                <w:rFonts w:ascii="仿宋" w:hAnsi="仿宋" w:eastAsia="仿宋" w:cs="仿宋"/>
                <w:bCs/>
                <w:szCs w:val="21"/>
              </w:rPr>
              <w:t>A</w:t>
            </w:r>
            <w:r>
              <w:rPr>
                <w:rFonts w:hint="eastAsia" w:ascii="仿宋" w:hAnsi="仿宋" w:eastAsia="仿宋" w:cs="仿宋"/>
                <w:bCs/>
                <w:szCs w:val="21"/>
              </w:rPr>
              <w:t>)</w:t>
            </w:r>
          </w:p>
        </w:tc>
        <w:tc>
          <w:tcPr>
            <w:tcW w:w="608" w:type="dxa"/>
            <w:vMerge w:val="restart"/>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运行</w:t>
            </w:r>
            <w:r>
              <w:rPr>
                <w:rFonts w:ascii="仿宋" w:hAnsi="仿宋" w:eastAsia="仿宋" w:cs="仿宋"/>
                <w:bCs/>
                <w:szCs w:val="21"/>
              </w:rPr>
              <w:t>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441" w:type="dxa"/>
            <w:vMerge w:val="continue"/>
          </w:tcPr>
          <w:p>
            <w:pPr>
              <w:pStyle w:val="33"/>
              <w:rPr>
                <w:rFonts w:ascii="仿宋" w:hAnsi="仿宋" w:eastAsia="仿宋"/>
              </w:rPr>
            </w:pPr>
          </w:p>
        </w:tc>
        <w:tc>
          <w:tcPr>
            <w:tcW w:w="827" w:type="dxa"/>
            <w:vMerge w:val="continue"/>
          </w:tcPr>
          <w:p>
            <w:pPr>
              <w:pStyle w:val="33"/>
              <w:rPr>
                <w:rFonts w:ascii="仿宋" w:hAnsi="仿宋" w:eastAsia="仿宋"/>
              </w:rPr>
            </w:pPr>
          </w:p>
        </w:tc>
        <w:tc>
          <w:tcPr>
            <w:tcW w:w="1139" w:type="dxa"/>
            <w:vMerge w:val="continue"/>
          </w:tcPr>
          <w:p>
            <w:pPr>
              <w:pStyle w:val="33"/>
              <w:rPr>
                <w:rFonts w:ascii="仿宋" w:hAnsi="仿宋" w:eastAsia="仿宋"/>
              </w:rPr>
            </w:pPr>
          </w:p>
        </w:tc>
        <w:tc>
          <w:tcPr>
            <w:tcW w:w="1083" w:type="dxa"/>
            <w:vMerge w:val="continue"/>
          </w:tcPr>
          <w:p>
            <w:pPr>
              <w:pStyle w:val="33"/>
              <w:rPr>
                <w:rFonts w:ascii="仿宋" w:hAnsi="仿宋" w:eastAsia="仿宋"/>
              </w:rPr>
            </w:pPr>
          </w:p>
        </w:tc>
        <w:tc>
          <w:tcPr>
            <w:tcW w:w="854" w:type="dxa"/>
            <w:vMerge w:val="continue"/>
          </w:tcPr>
          <w:p>
            <w:pPr>
              <w:pStyle w:val="33"/>
              <w:rPr>
                <w:rFonts w:ascii="仿宋" w:hAnsi="仿宋" w:eastAsia="仿宋"/>
              </w:rPr>
            </w:pPr>
          </w:p>
        </w:tc>
        <w:tc>
          <w:tcPr>
            <w:tcW w:w="999" w:type="dxa"/>
            <w:vMerge w:val="continue"/>
          </w:tcPr>
          <w:p>
            <w:pPr>
              <w:pStyle w:val="33"/>
              <w:rPr>
                <w:rFonts w:ascii="仿宋" w:hAnsi="仿宋" w:eastAsia="仿宋"/>
              </w:rPr>
            </w:pPr>
          </w:p>
        </w:tc>
        <w:tc>
          <w:tcPr>
            <w:tcW w:w="709" w:type="dxa"/>
            <w:vMerge w:val="continue"/>
          </w:tcPr>
          <w:p>
            <w:pPr>
              <w:spacing w:line="240" w:lineRule="atLeast"/>
              <w:jc w:val="center"/>
              <w:rPr>
                <w:rFonts w:ascii="仿宋" w:hAnsi="仿宋" w:eastAsia="仿宋" w:cs="仿宋"/>
                <w:bCs/>
                <w:szCs w:val="21"/>
              </w:rPr>
            </w:pPr>
          </w:p>
        </w:tc>
        <w:tc>
          <w:tcPr>
            <w:tcW w:w="836" w:type="dxa"/>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X</w:t>
            </w:r>
          </w:p>
        </w:tc>
        <w:tc>
          <w:tcPr>
            <w:tcW w:w="865" w:type="dxa"/>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Y</w:t>
            </w:r>
          </w:p>
        </w:tc>
        <w:tc>
          <w:tcPr>
            <w:tcW w:w="567" w:type="dxa"/>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Z</w:t>
            </w:r>
          </w:p>
        </w:tc>
        <w:tc>
          <w:tcPr>
            <w:tcW w:w="709" w:type="dxa"/>
            <w:vMerge w:val="continue"/>
          </w:tcPr>
          <w:p>
            <w:pPr>
              <w:pStyle w:val="33"/>
              <w:rPr>
                <w:rFonts w:ascii="仿宋" w:hAnsi="仿宋" w:eastAsia="仿宋"/>
              </w:rPr>
            </w:pPr>
          </w:p>
        </w:tc>
        <w:tc>
          <w:tcPr>
            <w:tcW w:w="608" w:type="dxa"/>
            <w:vMerge w:val="continue"/>
          </w:tcPr>
          <w:p>
            <w:pPr>
              <w:pStyle w:val="33"/>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441" w:type="dxa"/>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1</w:t>
            </w:r>
          </w:p>
        </w:tc>
        <w:tc>
          <w:tcPr>
            <w:tcW w:w="827" w:type="dxa"/>
            <w:vMerge w:val="restart"/>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车间</w:t>
            </w:r>
          </w:p>
        </w:tc>
        <w:tc>
          <w:tcPr>
            <w:tcW w:w="1139" w:type="dxa"/>
            <w:vAlign w:val="center"/>
          </w:tcPr>
          <w:p>
            <w:pPr>
              <w:spacing w:line="240" w:lineRule="atLeast"/>
              <w:jc w:val="center"/>
              <w:rPr>
                <w:rFonts w:ascii="仿宋" w:hAnsi="仿宋" w:eastAsia="仿宋" w:cs="仿宋"/>
                <w:bCs/>
                <w:szCs w:val="21"/>
              </w:rPr>
            </w:pPr>
            <w:r>
              <w:rPr>
                <w:rFonts w:ascii="仿宋" w:hAnsi="仿宋" w:eastAsia="仿宋" w:cs="仿宋"/>
                <w:bCs/>
                <w:szCs w:val="21"/>
              </w:rPr>
              <w:t>自动精密涂布生产线</w:t>
            </w:r>
          </w:p>
        </w:tc>
        <w:tc>
          <w:tcPr>
            <w:tcW w:w="1083" w:type="dxa"/>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70</w:t>
            </w:r>
          </w:p>
        </w:tc>
        <w:tc>
          <w:tcPr>
            <w:tcW w:w="854" w:type="dxa"/>
            <w:vAlign w:val="center"/>
          </w:tcPr>
          <w:p>
            <w:pPr>
              <w:spacing w:line="240" w:lineRule="atLeast"/>
              <w:jc w:val="center"/>
              <w:rPr>
                <w:rFonts w:ascii="仿宋" w:hAnsi="仿宋" w:eastAsia="仿宋"/>
                <w:kern w:val="0"/>
                <w:szCs w:val="21"/>
              </w:rPr>
            </w:pPr>
            <w:r>
              <w:rPr>
                <w:rFonts w:hint="eastAsia" w:ascii="仿宋" w:hAnsi="仿宋" w:eastAsia="仿宋"/>
                <w:kern w:val="0"/>
                <w:szCs w:val="21"/>
              </w:rPr>
              <w:t>74</w:t>
            </w:r>
          </w:p>
        </w:tc>
        <w:tc>
          <w:tcPr>
            <w:tcW w:w="999" w:type="dxa"/>
            <w:vMerge w:val="restart"/>
            <w:vAlign w:val="center"/>
          </w:tcPr>
          <w:p>
            <w:pPr>
              <w:spacing w:line="240" w:lineRule="atLeast"/>
              <w:jc w:val="center"/>
              <w:rPr>
                <w:rFonts w:ascii="仿宋" w:hAnsi="仿宋" w:eastAsia="仿宋" w:cs="仿宋"/>
                <w:bCs/>
                <w:szCs w:val="21"/>
              </w:rPr>
            </w:pPr>
            <w:r>
              <w:rPr>
                <w:rFonts w:ascii="仿宋" w:hAnsi="仿宋" w:eastAsia="仿宋"/>
                <w:kern w:val="0"/>
                <w:szCs w:val="21"/>
              </w:rPr>
              <w:t>基础减震</w:t>
            </w:r>
            <w:r>
              <w:rPr>
                <w:rFonts w:hint="eastAsia" w:ascii="仿宋" w:hAnsi="仿宋" w:eastAsia="仿宋"/>
                <w:kern w:val="0"/>
                <w:szCs w:val="21"/>
              </w:rPr>
              <w:t>、</w:t>
            </w:r>
            <w:r>
              <w:rPr>
                <w:rFonts w:ascii="仿宋" w:hAnsi="仿宋" w:eastAsia="仿宋"/>
                <w:kern w:val="0"/>
                <w:szCs w:val="21"/>
              </w:rPr>
              <w:t>选用低噪声设备，生产时关闭门窗</w:t>
            </w:r>
          </w:p>
        </w:tc>
        <w:tc>
          <w:tcPr>
            <w:tcW w:w="709" w:type="dxa"/>
            <w:vAlign w:val="center"/>
          </w:tcPr>
          <w:p>
            <w:pPr>
              <w:widowControl/>
              <w:jc w:val="center"/>
              <w:rPr>
                <w:rFonts w:ascii="仿宋" w:hAnsi="仿宋" w:eastAsia="仿宋" w:cs="宋体"/>
                <w:bCs/>
                <w:kern w:val="0"/>
                <w:szCs w:val="21"/>
              </w:rPr>
            </w:pPr>
            <w:r>
              <w:rPr>
                <w:rFonts w:hint="eastAsia" w:ascii="仿宋" w:hAnsi="仿宋" w:eastAsia="仿宋" w:cs="宋体"/>
                <w:bCs/>
                <w:kern w:val="0"/>
                <w:szCs w:val="21"/>
              </w:rPr>
              <w:t>3</w:t>
            </w:r>
          </w:p>
        </w:tc>
        <w:tc>
          <w:tcPr>
            <w:tcW w:w="836" w:type="dxa"/>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34.14</w:t>
            </w:r>
          </w:p>
        </w:tc>
        <w:tc>
          <w:tcPr>
            <w:tcW w:w="865" w:type="dxa"/>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121.91</w:t>
            </w:r>
          </w:p>
        </w:tc>
        <w:tc>
          <w:tcPr>
            <w:tcW w:w="567" w:type="dxa"/>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0</w:t>
            </w:r>
          </w:p>
        </w:tc>
        <w:tc>
          <w:tcPr>
            <w:tcW w:w="709" w:type="dxa"/>
            <w:vMerge w:val="restart"/>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25</w:t>
            </w:r>
          </w:p>
        </w:tc>
        <w:tc>
          <w:tcPr>
            <w:tcW w:w="608" w:type="dxa"/>
            <w:vMerge w:val="restart"/>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间歇</w:t>
            </w:r>
            <w:r>
              <w:rPr>
                <w:rFonts w:ascii="仿宋" w:hAnsi="仿宋" w:eastAsia="仿宋" w:cs="仿宋"/>
                <w:bCs/>
                <w:szCs w:val="21"/>
              </w:rPr>
              <w:t>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441" w:type="dxa"/>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2</w:t>
            </w:r>
          </w:p>
        </w:tc>
        <w:tc>
          <w:tcPr>
            <w:tcW w:w="827" w:type="dxa"/>
            <w:vMerge w:val="continue"/>
          </w:tcPr>
          <w:p>
            <w:pPr>
              <w:spacing w:line="240" w:lineRule="atLeast"/>
              <w:jc w:val="center"/>
              <w:rPr>
                <w:rFonts w:ascii="仿宋" w:hAnsi="仿宋" w:eastAsia="仿宋" w:cs="仿宋"/>
                <w:bCs/>
                <w:szCs w:val="21"/>
              </w:rPr>
            </w:pPr>
          </w:p>
        </w:tc>
        <w:tc>
          <w:tcPr>
            <w:tcW w:w="1139" w:type="dxa"/>
          </w:tcPr>
          <w:p>
            <w:pPr>
              <w:spacing w:line="240" w:lineRule="atLeast"/>
              <w:jc w:val="center"/>
              <w:rPr>
                <w:rFonts w:ascii="仿宋" w:hAnsi="仿宋" w:eastAsia="仿宋" w:cs="仿宋"/>
                <w:bCs/>
                <w:szCs w:val="21"/>
              </w:rPr>
            </w:pPr>
            <w:r>
              <w:rPr>
                <w:rFonts w:ascii="仿宋" w:hAnsi="仿宋" w:eastAsia="仿宋" w:cs="仿宋"/>
                <w:bCs/>
                <w:szCs w:val="21"/>
              </w:rPr>
              <w:t>分切机</w:t>
            </w:r>
          </w:p>
        </w:tc>
        <w:tc>
          <w:tcPr>
            <w:tcW w:w="1083" w:type="dxa"/>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65</w:t>
            </w:r>
          </w:p>
        </w:tc>
        <w:tc>
          <w:tcPr>
            <w:tcW w:w="854" w:type="dxa"/>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67</w:t>
            </w:r>
          </w:p>
        </w:tc>
        <w:tc>
          <w:tcPr>
            <w:tcW w:w="999" w:type="dxa"/>
            <w:vMerge w:val="continue"/>
          </w:tcPr>
          <w:p>
            <w:pPr>
              <w:spacing w:line="240" w:lineRule="atLeast"/>
              <w:jc w:val="center"/>
              <w:rPr>
                <w:rFonts w:ascii="仿宋" w:hAnsi="仿宋" w:eastAsia="仿宋" w:cs="仿宋"/>
                <w:bCs/>
                <w:szCs w:val="21"/>
              </w:rPr>
            </w:pPr>
          </w:p>
        </w:tc>
        <w:tc>
          <w:tcPr>
            <w:tcW w:w="709" w:type="dxa"/>
            <w:vAlign w:val="center"/>
          </w:tcPr>
          <w:p>
            <w:pPr>
              <w:widowControl/>
              <w:jc w:val="center"/>
              <w:rPr>
                <w:rFonts w:ascii="仿宋" w:hAnsi="仿宋" w:eastAsia="仿宋" w:cs="宋体"/>
                <w:bCs/>
                <w:kern w:val="0"/>
                <w:szCs w:val="21"/>
              </w:rPr>
            </w:pPr>
            <w:r>
              <w:rPr>
                <w:rFonts w:hint="eastAsia" w:ascii="仿宋" w:hAnsi="仿宋" w:eastAsia="仿宋" w:cs="宋体"/>
                <w:bCs/>
                <w:kern w:val="0"/>
                <w:szCs w:val="21"/>
              </w:rPr>
              <w:t>10</w:t>
            </w:r>
          </w:p>
        </w:tc>
        <w:tc>
          <w:tcPr>
            <w:tcW w:w="836" w:type="dxa"/>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75.01</w:t>
            </w:r>
          </w:p>
        </w:tc>
        <w:tc>
          <w:tcPr>
            <w:tcW w:w="865" w:type="dxa"/>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172</w:t>
            </w:r>
            <w:r>
              <w:rPr>
                <w:rFonts w:ascii="仿宋" w:hAnsi="仿宋" w:eastAsia="仿宋" w:cs="仿宋"/>
                <w:bCs/>
                <w:szCs w:val="21"/>
              </w:rPr>
              <w:t>.22</w:t>
            </w:r>
          </w:p>
        </w:tc>
        <w:tc>
          <w:tcPr>
            <w:tcW w:w="567" w:type="dxa"/>
            <w:vAlign w:val="center"/>
          </w:tcPr>
          <w:p>
            <w:pPr>
              <w:jc w:val="center"/>
              <w:rPr>
                <w:rFonts w:ascii="仿宋" w:hAnsi="仿宋" w:eastAsia="仿宋"/>
              </w:rPr>
            </w:pPr>
            <w:r>
              <w:rPr>
                <w:rFonts w:hint="eastAsia" w:ascii="仿宋" w:hAnsi="仿宋" w:eastAsia="仿宋" w:cs="仿宋"/>
                <w:bCs/>
                <w:szCs w:val="21"/>
              </w:rPr>
              <w:t>0</w:t>
            </w:r>
          </w:p>
        </w:tc>
        <w:tc>
          <w:tcPr>
            <w:tcW w:w="709" w:type="dxa"/>
            <w:vMerge w:val="continue"/>
          </w:tcPr>
          <w:p>
            <w:pPr>
              <w:spacing w:line="240" w:lineRule="atLeast"/>
              <w:jc w:val="center"/>
              <w:rPr>
                <w:rFonts w:ascii="仿宋" w:hAnsi="仿宋" w:eastAsia="仿宋" w:cs="仿宋"/>
                <w:bCs/>
                <w:szCs w:val="21"/>
              </w:rPr>
            </w:pPr>
          </w:p>
        </w:tc>
        <w:tc>
          <w:tcPr>
            <w:tcW w:w="608" w:type="dxa"/>
            <w:vMerge w:val="continue"/>
          </w:tcPr>
          <w:p>
            <w:pPr>
              <w:spacing w:line="240" w:lineRule="atLeas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441" w:type="dxa"/>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3</w:t>
            </w:r>
          </w:p>
        </w:tc>
        <w:tc>
          <w:tcPr>
            <w:tcW w:w="827" w:type="dxa"/>
            <w:vMerge w:val="continue"/>
          </w:tcPr>
          <w:p>
            <w:pPr>
              <w:spacing w:line="240" w:lineRule="atLeast"/>
              <w:jc w:val="center"/>
              <w:rPr>
                <w:rFonts w:ascii="仿宋" w:hAnsi="仿宋" w:eastAsia="仿宋" w:cs="仿宋"/>
                <w:bCs/>
                <w:szCs w:val="21"/>
              </w:rPr>
            </w:pPr>
          </w:p>
        </w:tc>
        <w:tc>
          <w:tcPr>
            <w:tcW w:w="1139" w:type="dxa"/>
          </w:tcPr>
          <w:p>
            <w:pPr>
              <w:spacing w:line="240" w:lineRule="atLeast"/>
              <w:jc w:val="center"/>
              <w:rPr>
                <w:rFonts w:ascii="仿宋" w:hAnsi="仿宋" w:eastAsia="仿宋" w:cs="仿宋"/>
                <w:bCs/>
                <w:szCs w:val="21"/>
              </w:rPr>
            </w:pPr>
            <w:r>
              <w:rPr>
                <w:rFonts w:hint="eastAsia" w:ascii="仿宋" w:hAnsi="仿宋" w:eastAsia="仿宋" w:cs="仿宋"/>
                <w:bCs/>
                <w:szCs w:val="21"/>
              </w:rPr>
              <w:t>无气泡</w:t>
            </w:r>
            <w:r>
              <w:rPr>
                <w:rFonts w:ascii="仿宋" w:hAnsi="仿宋" w:eastAsia="仿宋" w:cs="仿宋"/>
                <w:bCs/>
                <w:szCs w:val="21"/>
              </w:rPr>
              <w:t>复卷机</w:t>
            </w:r>
          </w:p>
        </w:tc>
        <w:tc>
          <w:tcPr>
            <w:tcW w:w="1083" w:type="dxa"/>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70</w:t>
            </w:r>
          </w:p>
        </w:tc>
        <w:tc>
          <w:tcPr>
            <w:tcW w:w="854" w:type="dxa"/>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71</w:t>
            </w:r>
          </w:p>
        </w:tc>
        <w:tc>
          <w:tcPr>
            <w:tcW w:w="999" w:type="dxa"/>
            <w:vMerge w:val="continue"/>
          </w:tcPr>
          <w:p>
            <w:pPr>
              <w:spacing w:line="240" w:lineRule="atLeast"/>
              <w:jc w:val="center"/>
              <w:rPr>
                <w:rFonts w:ascii="仿宋" w:hAnsi="仿宋" w:eastAsia="仿宋" w:cs="仿宋"/>
                <w:bCs/>
                <w:szCs w:val="21"/>
              </w:rPr>
            </w:pPr>
          </w:p>
        </w:tc>
        <w:tc>
          <w:tcPr>
            <w:tcW w:w="709" w:type="dxa"/>
            <w:vAlign w:val="center"/>
          </w:tcPr>
          <w:p>
            <w:pPr>
              <w:widowControl/>
              <w:jc w:val="center"/>
              <w:rPr>
                <w:rFonts w:ascii="仿宋" w:hAnsi="仿宋" w:eastAsia="仿宋" w:cs="宋体"/>
                <w:bCs/>
                <w:kern w:val="0"/>
                <w:szCs w:val="21"/>
              </w:rPr>
            </w:pPr>
            <w:r>
              <w:rPr>
                <w:rFonts w:hint="eastAsia" w:ascii="仿宋" w:hAnsi="仿宋" w:eastAsia="仿宋" w:cs="宋体"/>
                <w:bCs/>
                <w:kern w:val="0"/>
                <w:szCs w:val="21"/>
              </w:rPr>
              <w:t>5</w:t>
            </w:r>
          </w:p>
        </w:tc>
        <w:tc>
          <w:tcPr>
            <w:tcW w:w="836" w:type="dxa"/>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10</w:t>
            </w:r>
            <w:r>
              <w:rPr>
                <w:rFonts w:ascii="仿宋" w:hAnsi="仿宋" w:eastAsia="仿宋" w:cs="仿宋"/>
                <w:bCs/>
                <w:szCs w:val="21"/>
              </w:rPr>
              <w:t>0</w:t>
            </w:r>
            <w:r>
              <w:rPr>
                <w:rFonts w:hint="eastAsia" w:ascii="仿宋" w:hAnsi="仿宋" w:eastAsia="仿宋" w:cs="仿宋"/>
                <w:bCs/>
                <w:szCs w:val="21"/>
              </w:rPr>
              <w:t>.69</w:t>
            </w:r>
          </w:p>
        </w:tc>
        <w:tc>
          <w:tcPr>
            <w:tcW w:w="865" w:type="dxa"/>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105.15</w:t>
            </w:r>
          </w:p>
        </w:tc>
        <w:tc>
          <w:tcPr>
            <w:tcW w:w="567" w:type="dxa"/>
            <w:vAlign w:val="center"/>
          </w:tcPr>
          <w:p>
            <w:pPr>
              <w:jc w:val="center"/>
              <w:rPr>
                <w:rFonts w:ascii="仿宋" w:hAnsi="仿宋" w:eastAsia="仿宋"/>
              </w:rPr>
            </w:pPr>
            <w:r>
              <w:rPr>
                <w:rFonts w:hint="eastAsia" w:ascii="仿宋" w:hAnsi="仿宋" w:eastAsia="仿宋" w:cs="仿宋"/>
                <w:bCs/>
                <w:szCs w:val="21"/>
              </w:rPr>
              <w:t>0</w:t>
            </w:r>
          </w:p>
        </w:tc>
        <w:tc>
          <w:tcPr>
            <w:tcW w:w="709" w:type="dxa"/>
            <w:vMerge w:val="continue"/>
          </w:tcPr>
          <w:p>
            <w:pPr>
              <w:spacing w:line="240" w:lineRule="atLeast"/>
              <w:jc w:val="center"/>
              <w:rPr>
                <w:rFonts w:ascii="仿宋" w:hAnsi="仿宋" w:eastAsia="仿宋" w:cs="仿宋"/>
                <w:bCs/>
                <w:szCs w:val="21"/>
              </w:rPr>
            </w:pPr>
          </w:p>
        </w:tc>
        <w:tc>
          <w:tcPr>
            <w:tcW w:w="608" w:type="dxa"/>
            <w:vMerge w:val="continue"/>
          </w:tcPr>
          <w:p>
            <w:pPr>
              <w:spacing w:line="240" w:lineRule="atLeas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441" w:type="dxa"/>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4</w:t>
            </w:r>
          </w:p>
        </w:tc>
        <w:tc>
          <w:tcPr>
            <w:tcW w:w="827" w:type="dxa"/>
            <w:vMerge w:val="continue"/>
          </w:tcPr>
          <w:p>
            <w:pPr>
              <w:spacing w:line="240" w:lineRule="atLeast"/>
              <w:jc w:val="center"/>
              <w:rPr>
                <w:rFonts w:ascii="仿宋" w:hAnsi="仿宋" w:eastAsia="仿宋" w:cs="仿宋"/>
                <w:bCs/>
                <w:szCs w:val="21"/>
              </w:rPr>
            </w:pPr>
          </w:p>
        </w:tc>
        <w:tc>
          <w:tcPr>
            <w:tcW w:w="1139" w:type="dxa"/>
            <w:vAlign w:val="center"/>
          </w:tcPr>
          <w:p>
            <w:pPr>
              <w:spacing w:line="240" w:lineRule="atLeast"/>
              <w:jc w:val="center"/>
              <w:rPr>
                <w:rFonts w:ascii="仿宋" w:hAnsi="仿宋" w:eastAsia="仿宋" w:cs="仿宋"/>
                <w:bCs/>
                <w:szCs w:val="21"/>
              </w:rPr>
            </w:pPr>
            <w:r>
              <w:rPr>
                <w:rFonts w:ascii="仿宋" w:hAnsi="仿宋" w:eastAsia="仿宋" w:cs="仿宋"/>
                <w:bCs/>
                <w:szCs w:val="21"/>
              </w:rPr>
              <w:t>分散机</w:t>
            </w:r>
          </w:p>
        </w:tc>
        <w:tc>
          <w:tcPr>
            <w:tcW w:w="1083" w:type="dxa"/>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70</w:t>
            </w:r>
          </w:p>
        </w:tc>
        <w:tc>
          <w:tcPr>
            <w:tcW w:w="854" w:type="dxa"/>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71</w:t>
            </w:r>
          </w:p>
        </w:tc>
        <w:tc>
          <w:tcPr>
            <w:tcW w:w="999" w:type="dxa"/>
            <w:vMerge w:val="continue"/>
          </w:tcPr>
          <w:p>
            <w:pPr>
              <w:spacing w:line="240" w:lineRule="atLeast"/>
              <w:jc w:val="center"/>
              <w:rPr>
                <w:rFonts w:ascii="仿宋" w:hAnsi="仿宋" w:eastAsia="仿宋" w:cs="仿宋"/>
                <w:bCs/>
                <w:szCs w:val="21"/>
              </w:rPr>
            </w:pPr>
          </w:p>
        </w:tc>
        <w:tc>
          <w:tcPr>
            <w:tcW w:w="709" w:type="dxa"/>
            <w:vAlign w:val="center"/>
          </w:tcPr>
          <w:p>
            <w:pPr>
              <w:widowControl/>
              <w:jc w:val="center"/>
              <w:rPr>
                <w:rFonts w:ascii="仿宋" w:hAnsi="仿宋" w:eastAsia="仿宋" w:cs="宋体"/>
                <w:bCs/>
                <w:kern w:val="0"/>
                <w:szCs w:val="21"/>
              </w:rPr>
            </w:pPr>
            <w:r>
              <w:rPr>
                <w:rFonts w:hint="eastAsia" w:ascii="仿宋" w:hAnsi="仿宋" w:eastAsia="仿宋" w:cs="宋体"/>
                <w:bCs/>
                <w:kern w:val="0"/>
                <w:szCs w:val="21"/>
              </w:rPr>
              <w:t>5</w:t>
            </w:r>
          </w:p>
        </w:tc>
        <w:tc>
          <w:tcPr>
            <w:tcW w:w="836" w:type="dxa"/>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4.27</w:t>
            </w:r>
          </w:p>
        </w:tc>
        <w:tc>
          <w:tcPr>
            <w:tcW w:w="865" w:type="dxa"/>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118.</w:t>
            </w:r>
            <w:r>
              <w:rPr>
                <w:rFonts w:ascii="仿宋" w:hAnsi="仿宋" w:eastAsia="仿宋" w:cs="仿宋"/>
                <w:bCs/>
                <w:szCs w:val="21"/>
              </w:rPr>
              <w:t>77</w:t>
            </w:r>
          </w:p>
        </w:tc>
        <w:tc>
          <w:tcPr>
            <w:tcW w:w="567" w:type="dxa"/>
            <w:vAlign w:val="center"/>
          </w:tcPr>
          <w:p>
            <w:pPr>
              <w:jc w:val="center"/>
              <w:rPr>
                <w:rFonts w:ascii="仿宋" w:hAnsi="仿宋" w:eastAsia="仿宋"/>
              </w:rPr>
            </w:pPr>
            <w:r>
              <w:rPr>
                <w:rFonts w:hint="eastAsia" w:ascii="仿宋" w:hAnsi="仿宋" w:eastAsia="仿宋" w:cs="仿宋"/>
                <w:bCs/>
                <w:szCs w:val="21"/>
              </w:rPr>
              <w:t>0</w:t>
            </w:r>
          </w:p>
        </w:tc>
        <w:tc>
          <w:tcPr>
            <w:tcW w:w="709" w:type="dxa"/>
            <w:vMerge w:val="continue"/>
          </w:tcPr>
          <w:p>
            <w:pPr>
              <w:spacing w:line="240" w:lineRule="atLeast"/>
              <w:jc w:val="center"/>
              <w:rPr>
                <w:rFonts w:ascii="仿宋" w:hAnsi="仿宋" w:eastAsia="仿宋" w:cs="仿宋"/>
                <w:bCs/>
                <w:szCs w:val="21"/>
              </w:rPr>
            </w:pPr>
          </w:p>
        </w:tc>
        <w:tc>
          <w:tcPr>
            <w:tcW w:w="608" w:type="dxa"/>
            <w:vMerge w:val="continue"/>
          </w:tcPr>
          <w:p>
            <w:pPr>
              <w:spacing w:line="240" w:lineRule="atLeas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441" w:type="dxa"/>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5</w:t>
            </w:r>
          </w:p>
        </w:tc>
        <w:tc>
          <w:tcPr>
            <w:tcW w:w="827" w:type="dxa"/>
            <w:vMerge w:val="continue"/>
          </w:tcPr>
          <w:p>
            <w:pPr>
              <w:spacing w:line="240" w:lineRule="atLeast"/>
              <w:jc w:val="center"/>
              <w:rPr>
                <w:rFonts w:ascii="仿宋" w:hAnsi="仿宋" w:eastAsia="仿宋" w:cs="仿宋"/>
                <w:bCs/>
                <w:szCs w:val="21"/>
              </w:rPr>
            </w:pPr>
          </w:p>
        </w:tc>
        <w:tc>
          <w:tcPr>
            <w:tcW w:w="1139" w:type="dxa"/>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塑封机</w:t>
            </w:r>
          </w:p>
        </w:tc>
        <w:tc>
          <w:tcPr>
            <w:tcW w:w="1083" w:type="dxa"/>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65</w:t>
            </w:r>
          </w:p>
        </w:tc>
        <w:tc>
          <w:tcPr>
            <w:tcW w:w="854" w:type="dxa"/>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65</w:t>
            </w:r>
          </w:p>
        </w:tc>
        <w:tc>
          <w:tcPr>
            <w:tcW w:w="999" w:type="dxa"/>
            <w:vMerge w:val="continue"/>
          </w:tcPr>
          <w:p>
            <w:pPr>
              <w:spacing w:line="240" w:lineRule="atLeast"/>
              <w:jc w:val="center"/>
              <w:rPr>
                <w:rFonts w:ascii="仿宋" w:hAnsi="仿宋" w:eastAsia="仿宋" w:cs="仿宋"/>
                <w:bCs/>
                <w:szCs w:val="21"/>
              </w:rPr>
            </w:pPr>
          </w:p>
        </w:tc>
        <w:tc>
          <w:tcPr>
            <w:tcW w:w="709" w:type="dxa"/>
            <w:vAlign w:val="center"/>
          </w:tcPr>
          <w:p>
            <w:pPr>
              <w:widowControl/>
              <w:jc w:val="center"/>
              <w:rPr>
                <w:rFonts w:ascii="仿宋" w:hAnsi="仿宋" w:eastAsia="仿宋" w:cs="宋体"/>
                <w:bCs/>
                <w:kern w:val="0"/>
                <w:szCs w:val="21"/>
              </w:rPr>
            </w:pPr>
            <w:r>
              <w:rPr>
                <w:rFonts w:hint="eastAsia" w:ascii="仿宋" w:hAnsi="仿宋" w:eastAsia="仿宋" w:cs="宋体"/>
                <w:bCs/>
                <w:kern w:val="0"/>
                <w:szCs w:val="21"/>
              </w:rPr>
              <w:t>1</w:t>
            </w:r>
          </w:p>
        </w:tc>
        <w:tc>
          <w:tcPr>
            <w:tcW w:w="836" w:type="dxa"/>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18.42</w:t>
            </w:r>
          </w:p>
        </w:tc>
        <w:tc>
          <w:tcPr>
            <w:tcW w:w="865" w:type="dxa"/>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152.83</w:t>
            </w:r>
          </w:p>
        </w:tc>
        <w:tc>
          <w:tcPr>
            <w:tcW w:w="567" w:type="dxa"/>
            <w:vAlign w:val="center"/>
          </w:tcPr>
          <w:p>
            <w:pPr>
              <w:jc w:val="center"/>
              <w:rPr>
                <w:rFonts w:ascii="仿宋" w:hAnsi="仿宋" w:eastAsia="仿宋"/>
              </w:rPr>
            </w:pPr>
            <w:r>
              <w:rPr>
                <w:rFonts w:hint="eastAsia" w:ascii="仿宋" w:hAnsi="仿宋" w:eastAsia="仿宋" w:cs="仿宋"/>
                <w:bCs/>
                <w:szCs w:val="21"/>
              </w:rPr>
              <w:t>0</w:t>
            </w:r>
          </w:p>
        </w:tc>
        <w:tc>
          <w:tcPr>
            <w:tcW w:w="709" w:type="dxa"/>
            <w:vMerge w:val="continue"/>
          </w:tcPr>
          <w:p>
            <w:pPr>
              <w:spacing w:line="240" w:lineRule="atLeast"/>
              <w:jc w:val="center"/>
              <w:rPr>
                <w:rFonts w:ascii="仿宋" w:hAnsi="仿宋" w:eastAsia="仿宋" w:cs="仿宋"/>
                <w:bCs/>
                <w:szCs w:val="21"/>
              </w:rPr>
            </w:pPr>
          </w:p>
        </w:tc>
        <w:tc>
          <w:tcPr>
            <w:tcW w:w="608" w:type="dxa"/>
            <w:vMerge w:val="continue"/>
          </w:tcPr>
          <w:p>
            <w:pPr>
              <w:spacing w:line="240" w:lineRule="atLeas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441" w:type="dxa"/>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6</w:t>
            </w:r>
          </w:p>
        </w:tc>
        <w:tc>
          <w:tcPr>
            <w:tcW w:w="827" w:type="dxa"/>
            <w:vMerge w:val="continue"/>
          </w:tcPr>
          <w:p>
            <w:pPr>
              <w:spacing w:line="240" w:lineRule="atLeast"/>
              <w:jc w:val="center"/>
              <w:rPr>
                <w:rFonts w:ascii="仿宋" w:hAnsi="仿宋" w:eastAsia="仿宋" w:cs="仿宋"/>
                <w:bCs/>
                <w:szCs w:val="21"/>
              </w:rPr>
            </w:pPr>
          </w:p>
        </w:tc>
        <w:tc>
          <w:tcPr>
            <w:tcW w:w="1139" w:type="dxa"/>
            <w:vAlign w:val="center"/>
          </w:tcPr>
          <w:p>
            <w:pPr>
              <w:spacing w:line="240" w:lineRule="atLeast"/>
              <w:jc w:val="center"/>
              <w:rPr>
                <w:rFonts w:ascii="仿宋" w:hAnsi="仿宋" w:eastAsia="仿宋" w:cs="仿宋"/>
                <w:bCs/>
                <w:szCs w:val="21"/>
              </w:rPr>
            </w:pPr>
            <w:r>
              <w:rPr>
                <w:rFonts w:ascii="仿宋" w:hAnsi="仿宋" w:eastAsia="仿宋" w:cs="仿宋"/>
                <w:bCs/>
                <w:szCs w:val="21"/>
              </w:rPr>
              <w:t>裁切机</w:t>
            </w:r>
          </w:p>
        </w:tc>
        <w:tc>
          <w:tcPr>
            <w:tcW w:w="1083" w:type="dxa"/>
            <w:vAlign w:val="center"/>
          </w:tcPr>
          <w:p>
            <w:pPr>
              <w:spacing w:line="240" w:lineRule="atLeast"/>
              <w:jc w:val="center"/>
              <w:rPr>
                <w:rFonts w:ascii="仿宋" w:hAnsi="仿宋" w:eastAsia="仿宋" w:cs="仿宋"/>
                <w:bCs/>
                <w:szCs w:val="21"/>
              </w:rPr>
            </w:pPr>
            <w:r>
              <w:rPr>
                <w:rFonts w:ascii="仿宋" w:hAnsi="仿宋" w:eastAsia="仿宋" w:cs="仿宋"/>
                <w:bCs/>
                <w:szCs w:val="21"/>
              </w:rPr>
              <w:t>70</w:t>
            </w:r>
          </w:p>
        </w:tc>
        <w:tc>
          <w:tcPr>
            <w:tcW w:w="854" w:type="dxa"/>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72</w:t>
            </w:r>
          </w:p>
        </w:tc>
        <w:tc>
          <w:tcPr>
            <w:tcW w:w="999" w:type="dxa"/>
            <w:vMerge w:val="continue"/>
          </w:tcPr>
          <w:p>
            <w:pPr>
              <w:spacing w:line="240" w:lineRule="atLeast"/>
              <w:jc w:val="center"/>
              <w:rPr>
                <w:rFonts w:ascii="仿宋" w:hAnsi="仿宋" w:eastAsia="仿宋" w:cs="仿宋"/>
                <w:bCs/>
                <w:szCs w:val="21"/>
              </w:rPr>
            </w:pPr>
          </w:p>
        </w:tc>
        <w:tc>
          <w:tcPr>
            <w:tcW w:w="709" w:type="dxa"/>
            <w:vAlign w:val="center"/>
          </w:tcPr>
          <w:p>
            <w:pPr>
              <w:widowControl/>
              <w:jc w:val="center"/>
              <w:rPr>
                <w:rFonts w:ascii="仿宋" w:hAnsi="仿宋" w:eastAsia="仿宋" w:cs="宋体"/>
                <w:bCs/>
                <w:kern w:val="0"/>
                <w:szCs w:val="21"/>
              </w:rPr>
            </w:pPr>
            <w:r>
              <w:rPr>
                <w:rFonts w:hint="eastAsia" w:ascii="仿宋" w:hAnsi="仿宋" w:eastAsia="仿宋" w:cs="宋体"/>
                <w:bCs/>
                <w:kern w:val="0"/>
                <w:szCs w:val="21"/>
              </w:rPr>
              <w:t>5</w:t>
            </w:r>
          </w:p>
        </w:tc>
        <w:tc>
          <w:tcPr>
            <w:tcW w:w="836" w:type="dxa"/>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24.18</w:t>
            </w:r>
          </w:p>
        </w:tc>
        <w:tc>
          <w:tcPr>
            <w:tcW w:w="865" w:type="dxa"/>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110.39</w:t>
            </w:r>
          </w:p>
        </w:tc>
        <w:tc>
          <w:tcPr>
            <w:tcW w:w="567" w:type="dxa"/>
            <w:vAlign w:val="center"/>
          </w:tcPr>
          <w:p>
            <w:pPr>
              <w:jc w:val="center"/>
              <w:rPr>
                <w:rFonts w:ascii="仿宋" w:hAnsi="仿宋" w:eastAsia="仿宋"/>
              </w:rPr>
            </w:pPr>
            <w:r>
              <w:rPr>
                <w:rFonts w:hint="eastAsia" w:ascii="仿宋" w:hAnsi="仿宋" w:eastAsia="仿宋" w:cs="仿宋"/>
                <w:bCs/>
                <w:szCs w:val="21"/>
              </w:rPr>
              <w:t>0</w:t>
            </w:r>
          </w:p>
        </w:tc>
        <w:tc>
          <w:tcPr>
            <w:tcW w:w="709" w:type="dxa"/>
            <w:vMerge w:val="continue"/>
          </w:tcPr>
          <w:p>
            <w:pPr>
              <w:spacing w:line="240" w:lineRule="atLeast"/>
              <w:jc w:val="center"/>
              <w:rPr>
                <w:rFonts w:ascii="仿宋" w:hAnsi="仿宋" w:eastAsia="仿宋" w:cs="仿宋"/>
                <w:bCs/>
                <w:szCs w:val="21"/>
              </w:rPr>
            </w:pPr>
          </w:p>
        </w:tc>
        <w:tc>
          <w:tcPr>
            <w:tcW w:w="608" w:type="dxa"/>
            <w:vMerge w:val="continue"/>
          </w:tcPr>
          <w:p>
            <w:pPr>
              <w:spacing w:line="240" w:lineRule="atLeast"/>
              <w:jc w:val="center"/>
              <w:rPr>
                <w:rFonts w:ascii="仿宋" w:hAnsi="仿宋" w:eastAsia="仿宋" w:cs="仿宋"/>
                <w:bCs/>
                <w:szCs w:val="21"/>
              </w:rPr>
            </w:pPr>
          </w:p>
        </w:tc>
      </w:tr>
    </w:tbl>
    <w:p>
      <w:pPr>
        <w:spacing w:line="500" w:lineRule="exact"/>
        <w:ind w:firstLine="482" w:firstLineChars="200"/>
        <w:jc w:val="center"/>
        <w:rPr>
          <w:rFonts w:eastAsia="仿宋_GB2312"/>
          <w:b/>
          <w:bCs/>
          <w:sz w:val="24"/>
        </w:rPr>
      </w:pPr>
    </w:p>
    <w:p>
      <w:pPr>
        <w:spacing w:line="500" w:lineRule="exact"/>
        <w:ind w:firstLine="482" w:firstLineChars="200"/>
        <w:jc w:val="center"/>
        <w:rPr>
          <w:rFonts w:eastAsia="仿宋_GB2312"/>
          <w:b/>
          <w:bCs/>
          <w:sz w:val="24"/>
        </w:rPr>
      </w:pPr>
    </w:p>
    <w:p>
      <w:pPr>
        <w:spacing w:line="500" w:lineRule="exact"/>
        <w:ind w:firstLine="482" w:firstLineChars="200"/>
        <w:jc w:val="center"/>
        <w:rPr>
          <w:rFonts w:eastAsia="仿宋_GB2312"/>
          <w:b/>
          <w:bCs/>
          <w:sz w:val="24"/>
        </w:rPr>
      </w:pPr>
    </w:p>
    <w:p>
      <w:pPr>
        <w:spacing w:line="500" w:lineRule="exact"/>
        <w:ind w:firstLine="482" w:firstLineChars="200"/>
        <w:jc w:val="center"/>
        <w:rPr>
          <w:rFonts w:eastAsia="仿宋_GB2312"/>
          <w:b/>
          <w:bCs/>
          <w:sz w:val="24"/>
        </w:rPr>
      </w:pPr>
      <w:r>
        <w:rPr>
          <w:rFonts w:eastAsia="仿宋_GB2312"/>
          <w:b/>
          <w:bCs/>
          <w:sz w:val="24"/>
        </w:rPr>
        <w:t>表3.</w:t>
      </w:r>
      <w:r>
        <w:rPr>
          <w:rFonts w:hint="eastAsia" w:eastAsia="仿宋_GB2312"/>
          <w:b/>
          <w:bCs/>
          <w:sz w:val="24"/>
        </w:rPr>
        <w:t>3</w:t>
      </w:r>
      <w:r>
        <w:rPr>
          <w:rFonts w:eastAsia="仿宋_GB2312"/>
          <w:b/>
          <w:bCs/>
          <w:sz w:val="24"/>
        </w:rPr>
        <w:t xml:space="preserve">-6   </w:t>
      </w:r>
      <w:r>
        <w:rPr>
          <w:rFonts w:hint="eastAsia" w:eastAsia="仿宋_GB2312"/>
          <w:b/>
          <w:bCs/>
          <w:sz w:val="24"/>
        </w:rPr>
        <w:t>工业</w:t>
      </w:r>
      <w:r>
        <w:rPr>
          <w:rFonts w:eastAsia="仿宋_GB2312"/>
          <w:b/>
          <w:bCs/>
          <w:sz w:val="24"/>
        </w:rPr>
        <w:t>企业</w:t>
      </w:r>
      <w:r>
        <w:rPr>
          <w:rFonts w:hint="eastAsia" w:eastAsia="仿宋_GB2312"/>
          <w:b/>
          <w:bCs/>
          <w:sz w:val="24"/>
        </w:rPr>
        <w:t>噪声源强调查</w:t>
      </w:r>
      <w:r>
        <w:rPr>
          <w:rFonts w:eastAsia="仿宋_GB2312"/>
          <w:b/>
          <w:bCs/>
          <w:sz w:val="24"/>
        </w:rPr>
        <w:t>清单</w:t>
      </w:r>
      <w:r>
        <w:rPr>
          <w:rFonts w:hint="eastAsia" w:eastAsia="仿宋_GB2312"/>
          <w:b/>
          <w:bCs/>
          <w:sz w:val="24"/>
        </w:rPr>
        <w:t>（室外</w:t>
      </w:r>
      <w:r>
        <w:rPr>
          <w:rFonts w:eastAsia="仿宋_GB2312"/>
          <w:b/>
          <w:bCs/>
          <w:sz w:val="24"/>
        </w:rPr>
        <w:t>声源</w:t>
      </w:r>
      <w:r>
        <w:rPr>
          <w:rFonts w:hint="eastAsia" w:eastAsia="仿宋_GB2312"/>
          <w:b/>
          <w:bCs/>
          <w:sz w:val="24"/>
        </w:rPr>
        <w:t>）</w:t>
      </w:r>
    </w:p>
    <w:tbl>
      <w:tblPr>
        <w:tblStyle w:val="88"/>
        <w:tblW w:w="98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2"/>
        <w:gridCol w:w="2430"/>
        <w:gridCol w:w="905"/>
        <w:gridCol w:w="846"/>
        <w:gridCol w:w="846"/>
        <w:gridCol w:w="794"/>
        <w:gridCol w:w="846"/>
        <w:gridCol w:w="1099"/>
        <w:gridCol w:w="745"/>
        <w:gridCol w:w="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474" w:type="dxa"/>
            <w:vMerge w:val="restart"/>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序号</w:t>
            </w:r>
          </w:p>
        </w:tc>
        <w:tc>
          <w:tcPr>
            <w:tcW w:w="2489" w:type="dxa"/>
            <w:vMerge w:val="restart"/>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声</w:t>
            </w:r>
            <w:r>
              <w:rPr>
                <w:rFonts w:ascii="仿宋" w:hAnsi="仿宋" w:eastAsia="仿宋" w:cs="仿宋"/>
                <w:bCs/>
                <w:szCs w:val="21"/>
              </w:rPr>
              <w:t>源名称</w:t>
            </w:r>
          </w:p>
        </w:tc>
        <w:tc>
          <w:tcPr>
            <w:tcW w:w="913" w:type="dxa"/>
            <w:vMerge w:val="restart"/>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数量（台/套）</w:t>
            </w:r>
          </w:p>
        </w:tc>
        <w:tc>
          <w:tcPr>
            <w:tcW w:w="2454" w:type="dxa"/>
            <w:gridSpan w:val="3"/>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空间</w:t>
            </w:r>
            <w:r>
              <w:rPr>
                <w:rFonts w:ascii="仿宋" w:hAnsi="仿宋" w:eastAsia="仿宋" w:cs="仿宋"/>
                <w:bCs/>
                <w:szCs w:val="21"/>
              </w:rPr>
              <w:t>相对位置</w:t>
            </w:r>
            <w:r>
              <w:rPr>
                <w:rFonts w:hint="eastAsia" w:ascii="仿宋" w:hAnsi="仿宋" w:eastAsia="仿宋" w:cs="仿宋"/>
                <w:bCs/>
                <w:szCs w:val="21"/>
              </w:rPr>
              <w:t>/m</w:t>
            </w:r>
          </w:p>
        </w:tc>
        <w:tc>
          <w:tcPr>
            <w:tcW w:w="786" w:type="dxa"/>
            <w:vMerge w:val="restart"/>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声功率级/dB(</w:t>
            </w:r>
            <w:r>
              <w:rPr>
                <w:rFonts w:ascii="仿宋" w:hAnsi="仿宋" w:eastAsia="仿宋" w:cs="仿宋"/>
                <w:bCs/>
                <w:szCs w:val="21"/>
              </w:rPr>
              <w:t>A</w:t>
            </w:r>
            <w:r>
              <w:rPr>
                <w:rFonts w:hint="eastAsia" w:ascii="仿宋" w:hAnsi="仿宋" w:eastAsia="仿宋" w:cs="仿宋"/>
                <w:bCs/>
                <w:szCs w:val="21"/>
              </w:rPr>
              <w:t>)</w:t>
            </w:r>
          </w:p>
        </w:tc>
        <w:tc>
          <w:tcPr>
            <w:tcW w:w="1107" w:type="dxa"/>
            <w:vMerge w:val="restart"/>
          </w:tcPr>
          <w:p>
            <w:pPr>
              <w:spacing w:line="240" w:lineRule="atLeast"/>
              <w:jc w:val="center"/>
              <w:rPr>
                <w:rFonts w:ascii="仿宋" w:hAnsi="仿宋" w:eastAsia="仿宋" w:cs="仿宋"/>
                <w:bCs/>
                <w:szCs w:val="21"/>
              </w:rPr>
            </w:pPr>
            <w:r>
              <w:rPr>
                <w:rFonts w:hint="eastAsia" w:ascii="仿宋" w:hAnsi="仿宋" w:eastAsia="仿宋" w:cs="仿宋"/>
                <w:bCs/>
                <w:szCs w:val="21"/>
              </w:rPr>
              <w:t>同类</w:t>
            </w:r>
            <w:r>
              <w:rPr>
                <w:rFonts w:ascii="仿宋" w:hAnsi="仿宋" w:eastAsia="仿宋" w:cs="仿宋"/>
                <w:bCs/>
                <w:szCs w:val="21"/>
              </w:rPr>
              <w:t>设备叠加</w:t>
            </w:r>
            <w:r>
              <w:rPr>
                <w:rFonts w:hint="eastAsia" w:ascii="仿宋" w:hAnsi="仿宋" w:eastAsia="仿宋" w:cs="仿宋"/>
                <w:bCs/>
                <w:szCs w:val="21"/>
              </w:rPr>
              <w:t>声功率级/dB(</w:t>
            </w:r>
            <w:r>
              <w:rPr>
                <w:rFonts w:ascii="仿宋" w:hAnsi="仿宋" w:eastAsia="仿宋" w:cs="仿宋"/>
                <w:bCs/>
                <w:szCs w:val="21"/>
              </w:rPr>
              <w:t>A</w:t>
            </w:r>
            <w:r>
              <w:rPr>
                <w:rFonts w:hint="eastAsia" w:ascii="仿宋" w:hAnsi="仿宋" w:eastAsia="仿宋" w:cs="仿宋"/>
                <w:bCs/>
                <w:szCs w:val="21"/>
              </w:rPr>
              <w:t>)</w:t>
            </w:r>
          </w:p>
        </w:tc>
        <w:tc>
          <w:tcPr>
            <w:tcW w:w="748" w:type="dxa"/>
            <w:vMerge w:val="restart"/>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声</w:t>
            </w:r>
            <w:r>
              <w:rPr>
                <w:rFonts w:ascii="仿宋" w:hAnsi="仿宋" w:eastAsia="仿宋" w:cs="仿宋"/>
                <w:bCs/>
                <w:szCs w:val="21"/>
              </w:rPr>
              <w:t>源控制措施</w:t>
            </w:r>
          </w:p>
        </w:tc>
        <w:tc>
          <w:tcPr>
            <w:tcW w:w="846" w:type="dxa"/>
            <w:vMerge w:val="restart"/>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运行</w:t>
            </w:r>
            <w:r>
              <w:rPr>
                <w:rFonts w:ascii="仿宋" w:hAnsi="仿宋" w:eastAsia="仿宋" w:cs="仿宋"/>
                <w:bCs/>
                <w:szCs w:val="21"/>
              </w:rPr>
              <w:t>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474" w:type="dxa"/>
            <w:vMerge w:val="continue"/>
          </w:tcPr>
          <w:p>
            <w:pPr>
              <w:pStyle w:val="33"/>
              <w:rPr>
                <w:rFonts w:ascii="仿宋" w:hAnsi="仿宋" w:eastAsia="仿宋"/>
              </w:rPr>
            </w:pPr>
          </w:p>
        </w:tc>
        <w:tc>
          <w:tcPr>
            <w:tcW w:w="2489" w:type="dxa"/>
            <w:vMerge w:val="continue"/>
          </w:tcPr>
          <w:p>
            <w:pPr>
              <w:pStyle w:val="33"/>
              <w:rPr>
                <w:rFonts w:ascii="仿宋" w:hAnsi="仿宋" w:eastAsia="仿宋" w:cs="仿宋"/>
                <w:bCs/>
                <w:szCs w:val="21"/>
              </w:rPr>
            </w:pPr>
          </w:p>
        </w:tc>
        <w:tc>
          <w:tcPr>
            <w:tcW w:w="913" w:type="dxa"/>
            <w:vMerge w:val="continue"/>
          </w:tcPr>
          <w:p>
            <w:pPr>
              <w:spacing w:line="240" w:lineRule="atLeast"/>
              <w:jc w:val="center"/>
              <w:rPr>
                <w:rFonts w:ascii="仿宋" w:hAnsi="仿宋" w:eastAsia="仿宋" w:cs="仿宋"/>
                <w:bCs/>
                <w:szCs w:val="21"/>
              </w:rPr>
            </w:pPr>
          </w:p>
        </w:tc>
        <w:tc>
          <w:tcPr>
            <w:tcW w:w="823" w:type="dxa"/>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X</w:t>
            </w:r>
          </w:p>
        </w:tc>
        <w:tc>
          <w:tcPr>
            <w:tcW w:w="823" w:type="dxa"/>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Y</w:t>
            </w:r>
          </w:p>
        </w:tc>
        <w:tc>
          <w:tcPr>
            <w:tcW w:w="808" w:type="dxa"/>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Z</w:t>
            </w:r>
          </w:p>
        </w:tc>
        <w:tc>
          <w:tcPr>
            <w:tcW w:w="786" w:type="dxa"/>
            <w:vMerge w:val="continue"/>
          </w:tcPr>
          <w:p>
            <w:pPr>
              <w:pStyle w:val="33"/>
              <w:rPr>
                <w:rFonts w:ascii="仿宋" w:hAnsi="仿宋" w:eastAsia="仿宋"/>
              </w:rPr>
            </w:pPr>
          </w:p>
        </w:tc>
        <w:tc>
          <w:tcPr>
            <w:tcW w:w="1107" w:type="dxa"/>
            <w:vMerge w:val="continue"/>
          </w:tcPr>
          <w:p>
            <w:pPr>
              <w:pStyle w:val="33"/>
              <w:rPr>
                <w:rFonts w:ascii="仿宋" w:hAnsi="仿宋" w:eastAsia="仿宋"/>
              </w:rPr>
            </w:pPr>
          </w:p>
        </w:tc>
        <w:tc>
          <w:tcPr>
            <w:tcW w:w="748" w:type="dxa"/>
            <w:vMerge w:val="continue"/>
          </w:tcPr>
          <w:p>
            <w:pPr>
              <w:pStyle w:val="33"/>
              <w:rPr>
                <w:rFonts w:ascii="仿宋" w:hAnsi="仿宋" w:eastAsia="仿宋"/>
              </w:rPr>
            </w:pPr>
          </w:p>
        </w:tc>
        <w:tc>
          <w:tcPr>
            <w:tcW w:w="846" w:type="dxa"/>
            <w:vMerge w:val="continue"/>
          </w:tcPr>
          <w:p>
            <w:pPr>
              <w:pStyle w:val="33"/>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474" w:type="dxa"/>
            <w:vAlign w:val="center"/>
          </w:tcPr>
          <w:p>
            <w:pPr>
              <w:widowControl/>
              <w:jc w:val="center"/>
              <w:rPr>
                <w:rFonts w:ascii="仿宋" w:hAnsi="仿宋" w:eastAsia="仿宋" w:cs="宋体"/>
                <w:bCs/>
                <w:kern w:val="0"/>
                <w:szCs w:val="21"/>
              </w:rPr>
            </w:pPr>
            <w:r>
              <w:rPr>
                <w:rFonts w:hint="eastAsia" w:ascii="仿宋" w:hAnsi="仿宋" w:eastAsia="仿宋" w:cs="宋体"/>
                <w:bCs/>
                <w:kern w:val="0"/>
                <w:szCs w:val="21"/>
              </w:rPr>
              <w:t>1</w:t>
            </w:r>
          </w:p>
        </w:tc>
        <w:tc>
          <w:tcPr>
            <w:tcW w:w="2489" w:type="dxa"/>
            <w:vAlign w:val="center"/>
          </w:tcPr>
          <w:p>
            <w:pPr>
              <w:widowControl/>
              <w:jc w:val="center"/>
              <w:rPr>
                <w:rFonts w:ascii="仿宋" w:hAnsi="仿宋" w:eastAsia="仿宋" w:cs="宋体"/>
                <w:bCs/>
                <w:kern w:val="0"/>
                <w:szCs w:val="21"/>
              </w:rPr>
            </w:pPr>
            <w:r>
              <w:rPr>
                <w:rFonts w:hint="eastAsia" w:ascii="仿宋" w:hAnsi="仿宋" w:eastAsia="仿宋" w:cs="宋体"/>
                <w:bCs/>
                <w:kern w:val="0"/>
                <w:szCs w:val="21"/>
              </w:rPr>
              <w:t>空压机</w:t>
            </w:r>
          </w:p>
        </w:tc>
        <w:tc>
          <w:tcPr>
            <w:tcW w:w="913" w:type="dxa"/>
            <w:vAlign w:val="center"/>
          </w:tcPr>
          <w:p>
            <w:pPr>
              <w:widowControl/>
              <w:jc w:val="center"/>
              <w:rPr>
                <w:rFonts w:ascii="仿宋" w:hAnsi="仿宋" w:eastAsia="仿宋" w:cs="宋体"/>
                <w:bCs/>
                <w:kern w:val="0"/>
                <w:szCs w:val="21"/>
              </w:rPr>
            </w:pPr>
            <w:r>
              <w:rPr>
                <w:rFonts w:hint="eastAsia" w:ascii="仿宋" w:hAnsi="仿宋" w:eastAsia="仿宋" w:cs="宋体"/>
                <w:bCs/>
                <w:kern w:val="0"/>
                <w:szCs w:val="21"/>
              </w:rPr>
              <w:t>1</w:t>
            </w:r>
          </w:p>
        </w:tc>
        <w:tc>
          <w:tcPr>
            <w:tcW w:w="823" w:type="dxa"/>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123</w:t>
            </w:r>
            <w:r>
              <w:rPr>
                <w:rFonts w:ascii="仿宋" w:hAnsi="仿宋" w:eastAsia="仿宋" w:cs="仿宋"/>
                <w:bCs/>
                <w:szCs w:val="21"/>
              </w:rPr>
              <w:t>.22</w:t>
            </w:r>
          </w:p>
        </w:tc>
        <w:tc>
          <w:tcPr>
            <w:tcW w:w="823" w:type="dxa"/>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91</w:t>
            </w:r>
          </w:p>
        </w:tc>
        <w:tc>
          <w:tcPr>
            <w:tcW w:w="808" w:type="dxa"/>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0</w:t>
            </w:r>
          </w:p>
        </w:tc>
        <w:tc>
          <w:tcPr>
            <w:tcW w:w="786" w:type="dxa"/>
            <w:vAlign w:val="center"/>
          </w:tcPr>
          <w:p>
            <w:pPr>
              <w:widowControl/>
              <w:jc w:val="center"/>
              <w:textAlignment w:val="center"/>
              <w:rPr>
                <w:rFonts w:ascii="仿宋" w:hAnsi="仿宋" w:eastAsia="仿宋" w:cs="仿宋"/>
                <w:sz w:val="20"/>
                <w:szCs w:val="20"/>
              </w:rPr>
            </w:pPr>
            <w:r>
              <w:rPr>
                <w:rFonts w:hint="eastAsia" w:ascii="仿宋" w:hAnsi="仿宋" w:eastAsia="仿宋" w:cs="仿宋"/>
                <w:sz w:val="20"/>
                <w:szCs w:val="20"/>
              </w:rPr>
              <w:t>80</w:t>
            </w:r>
          </w:p>
        </w:tc>
        <w:tc>
          <w:tcPr>
            <w:tcW w:w="1107" w:type="dxa"/>
            <w:vAlign w:val="center"/>
          </w:tcPr>
          <w:p>
            <w:pPr>
              <w:widowControl/>
              <w:jc w:val="center"/>
              <w:textAlignment w:val="center"/>
              <w:rPr>
                <w:rFonts w:ascii="仿宋" w:hAnsi="仿宋" w:eastAsia="仿宋" w:cs="仿宋"/>
                <w:sz w:val="20"/>
                <w:szCs w:val="20"/>
              </w:rPr>
            </w:pPr>
            <w:r>
              <w:rPr>
                <w:rFonts w:hint="eastAsia" w:ascii="仿宋" w:hAnsi="仿宋" w:eastAsia="仿宋" w:cs="仿宋"/>
                <w:sz w:val="20"/>
                <w:szCs w:val="20"/>
              </w:rPr>
              <w:t>80</w:t>
            </w:r>
          </w:p>
        </w:tc>
        <w:tc>
          <w:tcPr>
            <w:tcW w:w="748" w:type="dxa"/>
            <w:vMerge w:val="restart"/>
            <w:vAlign w:val="center"/>
          </w:tcPr>
          <w:p>
            <w:pPr>
              <w:spacing w:line="240" w:lineRule="atLeast"/>
              <w:jc w:val="center"/>
              <w:rPr>
                <w:rFonts w:ascii="仿宋" w:hAnsi="仿宋" w:eastAsia="仿宋" w:cs="仿宋"/>
                <w:bCs/>
                <w:szCs w:val="21"/>
              </w:rPr>
            </w:pPr>
            <w:r>
              <w:rPr>
                <w:rFonts w:ascii="仿宋" w:hAnsi="仿宋" w:eastAsia="仿宋"/>
                <w:kern w:val="0"/>
                <w:szCs w:val="21"/>
              </w:rPr>
              <w:t>风机设置消音器、安装减震垫</w:t>
            </w:r>
          </w:p>
        </w:tc>
        <w:tc>
          <w:tcPr>
            <w:tcW w:w="846" w:type="dxa"/>
            <w:vMerge w:val="restart"/>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间歇</w:t>
            </w:r>
            <w:r>
              <w:rPr>
                <w:rFonts w:ascii="仿宋" w:hAnsi="仿宋" w:eastAsia="仿宋" w:cs="仿宋"/>
                <w:bCs/>
                <w:szCs w:val="21"/>
              </w:rPr>
              <w:t>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3" w:hRule="atLeast"/>
          <w:jc w:val="center"/>
        </w:trPr>
        <w:tc>
          <w:tcPr>
            <w:tcW w:w="474" w:type="dxa"/>
            <w:vAlign w:val="center"/>
          </w:tcPr>
          <w:p>
            <w:pPr>
              <w:widowControl/>
              <w:jc w:val="center"/>
              <w:rPr>
                <w:rFonts w:ascii="仿宋" w:hAnsi="仿宋" w:eastAsia="仿宋" w:cs="宋体"/>
                <w:bCs/>
                <w:kern w:val="0"/>
                <w:szCs w:val="21"/>
              </w:rPr>
            </w:pPr>
            <w:r>
              <w:rPr>
                <w:rFonts w:hint="eastAsia" w:ascii="仿宋" w:hAnsi="仿宋" w:eastAsia="仿宋" w:cs="宋体"/>
                <w:bCs/>
                <w:kern w:val="0"/>
                <w:szCs w:val="21"/>
              </w:rPr>
              <w:t>2</w:t>
            </w:r>
          </w:p>
        </w:tc>
        <w:tc>
          <w:tcPr>
            <w:tcW w:w="2489" w:type="dxa"/>
            <w:vAlign w:val="center"/>
          </w:tcPr>
          <w:p>
            <w:pPr>
              <w:widowControl/>
              <w:jc w:val="center"/>
              <w:rPr>
                <w:rFonts w:ascii="仿宋" w:hAnsi="仿宋" w:eastAsia="仿宋" w:cs="宋体"/>
                <w:bCs/>
                <w:kern w:val="0"/>
                <w:szCs w:val="21"/>
              </w:rPr>
            </w:pPr>
            <w:r>
              <w:rPr>
                <w:rFonts w:hint="eastAsia" w:ascii="仿宋" w:hAnsi="仿宋" w:eastAsia="仿宋" w:cs="宋体"/>
                <w:bCs/>
                <w:kern w:val="0"/>
                <w:szCs w:val="21"/>
              </w:rPr>
              <w:t>RTO装置配套风机</w:t>
            </w:r>
          </w:p>
        </w:tc>
        <w:tc>
          <w:tcPr>
            <w:tcW w:w="913" w:type="dxa"/>
            <w:vAlign w:val="center"/>
          </w:tcPr>
          <w:p>
            <w:pPr>
              <w:spacing w:line="240" w:lineRule="atLeast"/>
              <w:jc w:val="center"/>
              <w:rPr>
                <w:rFonts w:ascii="仿宋" w:hAnsi="仿宋" w:eastAsia="仿宋" w:cs="仿宋"/>
                <w:szCs w:val="21"/>
              </w:rPr>
            </w:pPr>
            <w:r>
              <w:rPr>
                <w:rFonts w:hint="eastAsia" w:ascii="仿宋" w:hAnsi="仿宋" w:eastAsia="仿宋" w:cs="仿宋"/>
                <w:szCs w:val="21"/>
              </w:rPr>
              <w:t>1</w:t>
            </w:r>
          </w:p>
        </w:tc>
        <w:tc>
          <w:tcPr>
            <w:tcW w:w="823" w:type="dxa"/>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116.41</w:t>
            </w:r>
          </w:p>
        </w:tc>
        <w:tc>
          <w:tcPr>
            <w:tcW w:w="823" w:type="dxa"/>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122.96</w:t>
            </w:r>
          </w:p>
        </w:tc>
        <w:tc>
          <w:tcPr>
            <w:tcW w:w="808" w:type="dxa"/>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0</w:t>
            </w:r>
          </w:p>
        </w:tc>
        <w:tc>
          <w:tcPr>
            <w:tcW w:w="786" w:type="dxa"/>
            <w:vAlign w:val="center"/>
          </w:tcPr>
          <w:p>
            <w:pPr>
              <w:widowControl/>
              <w:jc w:val="center"/>
              <w:textAlignment w:val="center"/>
              <w:rPr>
                <w:rFonts w:ascii="仿宋" w:hAnsi="仿宋" w:eastAsia="仿宋" w:cs="仿宋"/>
                <w:sz w:val="20"/>
                <w:szCs w:val="20"/>
              </w:rPr>
            </w:pPr>
            <w:r>
              <w:rPr>
                <w:rFonts w:hint="eastAsia" w:ascii="仿宋" w:hAnsi="仿宋" w:eastAsia="仿宋" w:cs="仿宋"/>
                <w:sz w:val="20"/>
                <w:szCs w:val="20"/>
              </w:rPr>
              <w:t>85</w:t>
            </w:r>
          </w:p>
        </w:tc>
        <w:tc>
          <w:tcPr>
            <w:tcW w:w="1107" w:type="dxa"/>
            <w:vAlign w:val="center"/>
          </w:tcPr>
          <w:p>
            <w:pPr>
              <w:widowControl/>
              <w:jc w:val="center"/>
              <w:textAlignment w:val="center"/>
              <w:rPr>
                <w:rFonts w:ascii="仿宋" w:hAnsi="仿宋" w:eastAsia="仿宋" w:cs="仿宋"/>
                <w:sz w:val="20"/>
                <w:szCs w:val="20"/>
              </w:rPr>
            </w:pPr>
            <w:r>
              <w:rPr>
                <w:rFonts w:hint="eastAsia" w:ascii="仿宋" w:hAnsi="仿宋" w:eastAsia="仿宋" w:cs="仿宋"/>
                <w:sz w:val="20"/>
                <w:szCs w:val="20"/>
              </w:rPr>
              <w:t>85</w:t>
            </w:r>
          </w:p>
        </w:tc>
        <w:tc>
          <w:tcPr>
            <w:tcW w:w="748" w:type="dxa"/>
            <w:vMerge w:val="continue"/>
          </w:tcPr>
          <w:p>
            <w:pPr>
              <w:pStyle w:val="33"/>
              <w:rPr>
                <w:rFonts w:ascii="仿宋" w:hAnsi="仿宋" w:eastAsia="仿宋"/>
              </w:rPr>
            </w:pPr>
          </w:p>
        </w:tc>
        <w:tc>
          <w:tcPr>
            <w:tcW w:w="846" w:type="dxa"/>
            <w:vMerge w:val="continue"/>
          </w:tcPr>
          <w:p>
            <w:pPr>
              <w:pStyle w:val="33"/>
              <w:rPr>
                <w:rFonts w:ascii="仿宋" w:hAnsi="仿宋" w:eastAsia="仿宋"/>
              </w:rPr>
            </w:pPr>
          </w:p>
        </w:tc>
      </w:tr>
    </w:tbl>
    <w:p>
      <w:pPr>
        <w:jc w:val="left"/>
        <w:rPr>
          <w:rFonts w:eastAsia="仿宋_GB2312"/>
          <w:b/>
          <w:szCs w:val="21"/>
        </w:rPr>
      </w:pPr>
      <w:r>
        <w:rPr>
          <w:rFonts w:eastAsia="仿宋_GB2312"/>
          <w:b/>
          <w:szCs w:val="21"/>
        </w:rPr>
        <w:t>表中坐标以厂界中心（</w:t>
      </w:r>
      <w:bookmarkStart w:id="251" w:name="PO_7"/>
      <w:r>
        <w:rPr>
          <w:rFonts w:eastAsia="仿宋_GB2312"/>
          <w:b/>
          <w:szCs w:val="21"/>
        </w:rPr>
        <w:t>119.8187027,31.7935715</w:t>
      </w:r>
      <w:bookmarkEnd w:id="251"/>
      <w:r>
        <w:rPr>
          <w:rFonts w:eastAsia="仿宋_GB2312"/>
          <w:b/>
          <w:szCs w:val="21"/>
        </w:rPr>
        <w:t>）为坐标原点，正东向为X轴正方向，正北向为Y轴正方向</w:t>
      </w:r>
    </w:p>
    <w:p>
      <w:pPr>
        <w:pStyle w:val="45"/>
      </w:pPr>
    </w:p>
    <w:p>
      <w:pPr>
        <w:spacing w:line="500" w:lineRule="exact"/>
        <w:ind w:firstLine="560" w:firstLineChars="200"/>
        <w:jc w:val="left"/>
        <w:rPr>
          <w:rFonts w:eastAsia="仿宋_GB2312"/>
          <w:bCs/>
          <w:sz w:val="28"/>
          <w:szCs w:val="28"/>
          <w:highlight w:val="yellow"/>
        </w:rPr>
        <w:sectPr>
          <w:footerReference r:id="rId15" w:type="default"/>
          <w:pgSz w:w="11906" w:h="16838"/>
          <w:pgMar w:top="1800" w:right="1440" w:bottom="1800" w:left="1440" w:header="851" w:footer="992" w:gutter="0"/>
          <w:cols w:space="720" w:num="1"/>
          <w:docGrid w:linePitch="326" w:charSpace="0"/>
        </w:sectPr>
      </w:pPr>
    </w:p>
    <w:p>
      <w:pPr>
        <w:pStyle w:val="4"/>
        <w:keepLines w:val="0"/>
        <w:numPr>
          <w:ilvl w:val="2"/>
          <w:numId w:val="1"/>
        </w:numPr>
        <w:tabs>
          <w:tab w:val="left" w:pos="709"/>
        </w:tabs>
        <w:spacing w:before="156" w:beforeLines="50" w:after="156" w:afterLines="50" w:line="500" w:lineRule="exact"/>
        <w:ind w:left="452" w:hanging="450" w:hangingChars="150"/>
        <w:rPr>
          <w:rFonts w:eastAsia="仿宋_GB2312"/>
          <w:sz w:val="30"/>
          <w:szCs w:val="30"/>
        </w:rPr>
      </w:pPr>
      <w:r>
        <w:rPr>
          <w:rFonts w:eastAsia="仿宋_GB2312"/>
          <w:sz w:val="30"/>
          <w:szCs w:val="30"/>
        </w:rPr>
        <w:t>固废污染物源强及排放情况</w:t>
      </w:r>
    </w:p>
    <w:p>
      <w:pPr>
        <w:spacing w:line="500" w:lineRule="exact"/>
        <w:ind w:firstLine="560" w:firstLineChars="200"/>
        <w:jc w:val="left"/>
        <w:rPr>
          <w:rFonts w:eastAsia="仿宋_GB2312"/>
          <w:b/>
          <w:sz w:val="24"/>
        </w:rPr>
      </w:pPr>
      <w:r>
        <w:rPr>
          <w:rFonts w:eastAsia="仿宋_GB2312"/>
          <w:bCs/>
          <w:sz w:val="28"/>
          <w:szCs w:val="28"/>
        </w:rPr>
        <w:t>本项目固废产生及排放情况见下表。</w:t>
      </w:r>
    </w:p>
    <w:p>
      <w:pPr>
        <w:spacing w:line="500" w:lineRule="exact"/>
        <w:jc w:val="center"/>
        <w:rPr>
          <w:rFonts w:eastAsia="仿宋_GB2312"/>
          <w:b/>
          <w:sz w:val="24"/>
        </w:rPr>
      </w:pPr>
      <w:bookmarkStart w:id="252" w:name="_Ref437372849"/>
      <w:bookmarkStart w:id="253" w:name="_Ref381089953"/>
      <w:r>
        <w:rPr>
          <w:rFonts w:eastAsia="仿宋_GB2312"/>
          <w:b/>
          <w:sz w:val="24"/>
        </w:rPr>
        <w:t>表</w:t>
      </w:r>
      <w:bookmarkEnd w:id="252"/>
      <w:r>
        <w:rPr>
          <w:rFonts w:eastAsia="仿宋_GB2312"/>
          <w:b/>
          <w:sz w:val="24"/>
        </w:rPr>
        <w:t>3.</w:t>
      </w:r>
      <w:r>
        <w:rPr>
          <w:rFonts w:hint="eastAsia" w:eastAsia="仿宋_GB2312"/>
          <w:b/>
          <w:sz w:val="24"/>
        </w:rPr>
        <w:t>3</w:t>
      </w:r>
      <w:r>
        <w:rPr>
          <w:rFonts w:eastAsia="仿宋_GB2312"/>
          <w:b/>
          <w:sz w:val="24"/>
        </w:rPr>
        <w:t>-7 本项目固废判别情况汇总表</w:t>
      </w:r>
    </w:p>
    <w:tbl>
      <w:tblPr>
        <w:tblStyle w:val="87"/>
        <w:tblW w:w="9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891"/>
        <w:gridCol w:w="1134"/>
        <w:gridCol w:w="1280"/>
        <w:gridCol w:w="687"/>
        <w:gridCol w:w="1293"/>
        <w:gridCol w:w="902"/>
        <w:gridCol w:w="478"/>
        <w:gridCol w:w="529"/>
        <w:gridCol w:w="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67" w:type="dxa"/>
            <w:vMerge w:val="restart"/>
            <w:vAlign w:val="center"/>
          </w:tcPr>
          <w:p>
            <w:pPr>
              <w:widowControl/>
              <w:jc w:val="center"/>
              <w:rPr>
                <w:rFonts w:ascii="仿宋" w:hAnsi="仿宋" w:eastAsia="仿宋"/>
                <w:kern w:val="0"/>
                <w:szCs w:val="21"/>
              </w:rPr>
            </w:pPr>
            <w:r>
              <w:rPr>
                <w:rFonts w:ascii="仿宋" w:hAnsi="仿宋" w:eastAsia="仿宋"/>
                <w:kern w:val="0"/>
                <w:szCs w:val="21"/>
              </w:rPr>
              <w:t>序号</w:t>
            </w:r>
          </w:p>
        </w:tc>
        <w:tc>
          <w:tcPr>
            <w:tcW w:w="1891" w:type="dxa"/>
            <w:vMerge w:val="restart"/>
            <w:vAlign w:val="center"/>
          </w:tcPr>
          <w:p>
            <w:pPr>
              <w:widowControl/>
              <w:jc w:val="center"/>
              <w:rPr>
                <w:rFonts w:ascii="仿宋" w:hAnsi="仿宋" w:eastAsia="仿宋"/>
                <w:kern w:val="0"/>
                <w:szCs w:val="21"/>
              </w:rPr>
            </w:pPr>
            <w:r>
              <w:rPr>
                <w:rFonts w:hint="eastAsia" w:ascii="仿宋" w:hAnsi="仿宋" w:eastAsia="仿宋"/>
                <w:kern w:val="0"/>
                <w:szCs w:val="21"/>
              </w:rPr>
              <w:t>编号</w:t>
            </w:r>
          </w:p>
        </w:tc>
        <w:tc>
          <w:tcPr>
            <w:tcW w:w="1134" w:type="dxa"/>
            <w:vMerge w:val="restart"/>
            <w:vAlign w:val="center"/>
          </w:tcPr>
          <w:p>
            <w:pPr>
              <w:widowControl/>
              <w:jc w:val="center"/>
              <w:rPr>
                <w:rFonts w:ascii="仿宋" w:hAnsi="仿宋" w:eastAsia="仿宋"/>
                <w:kern w:val="0"/>
                <w:szCs w:val="21"/>
              </w:rPr>
            </w:pPr>
            <w:r>
              <w:rPr>
                <w:rFonts w:ascii="仿宋" w:hAnsi="仿宋" w:eastAsia="仿宋"/>
                <w:kern w:val="0"/>
                <w:szCs w:val="21"/>
              </w:rPr>
              <w:t>副产物名称</w:t>
            </w:r>
          </w:p>
        </w:tc>
        <w:tc>
          <w:tcPr>
            <w:tcW w:w="1280" w:type="dxa"/>
            <w:vMerge w:val="restart"/>
            <w:vAlign w:val="center"/>
          </w:tcPr>
          <w:p>
            <w:pPr>
              <w:widowControl/>
              <w:jc w:val="center"/>
              <w:rPr>
                <w:rFonts w:ascii="仿宋" w:hAnsi="仿宋" w:eastAsia="仿宋"/>
                <w:kern w:val="0"/>
                <w:szCs w:val="21"/>
              </w:rPr>
            </w:pPr>
            <w:r>
              <w:rPr>
                <w:rFonts w:ascii="仿宋" w:hAnsi="仿宋" w:eastAsia="仿宋"/>
                <w:kern w:val="0"/>
                <w:szCs w:val="21"/>
              </w:rPr>
              <w:t>产生</w:t>
            </w:r>
          </w:p>
          <w:p>
            <w:pPr>
              <w:widowControl/>
              <w:jc w:val="center"/>
              <w:rPr>
                <w:rFonts w:ascii="仿宋" w:hAnsi="仿宋" w:eastAsia="仿宋"/>
                <w:kern w:val="0"/>
                <w:szCs w:val="21"/>
              </w:rPr>
            </w:pPr>
            <w:r>
              <w:rPr>
                <w:rFonts w:ascii="仿宋" w:hAnsi="仿宋" w:eastAsia="仿宋"/>
                <w:kern w:val="0"/>
                <w:szCs w:val="21"/>
              </w:rPr>
              <w:t>工序</w:t>
            </w:r>
          </w:p>
        </w:tc>
        <w:tc>
          <w:tcPr>
            <w:tcW w:w="687" w:type="dxa"/>
            <w:vMerge w:val="restart"/>
            <w:vAlign w:val="center"/>
          </w:tcPr>
          <w:p>
            <w:pPr>
              <w:widowControl/>
              <w:jc w:val="center"/>
              <w:rPr>
                <w:rFonts w:ascii="仿宋" w:hAnsi="仿宋" w:eastAsia="仿宋"/>
                <w:kern w:val="0"/>
                <w:szCs w:val="21"/>
              </w:rPr>
            </w:pPr>
            <w:r>
              <w:rPr>
                <w:rFonts w:ascii="仿宋" w:hAnsi="仿宋" w:eastAsia="仿宋"/>
                <w:kern w:val="0"/>
                <w:szCs w:val="21"/>
              </w:rPr>
              <w:t>形态</w:t>
            </w:r>
          </w:p>
        </w:tc>
        <w:tc>
          <w:tcPr>
            <w:tcW w:w="1293" w:type="dxa"/>
            <w:vMerge w:val="restart"/>
            <w:vAlign w:val="center"/>
          </w:tcPr>
          <w:p>
            <w:pPr>
              <w:widowControl/>
              <w:jc w:val="center"/>
              <w:rPr>
                <w:rFonts w:ascii="仿宋" w:hAnsi="仿宋" w:eastAsia="仿宋"/>
                <w:kern w:val="0"/>
                <w:szCs w:val="21"/>
              </w:rPr>
            </w:pPr>
            <w:r>
              <w:rPr>
                <w:rFonts w:ascii="仿宋" w:hAnsi="仿宋" w:eastAsia="仿宋"/>
                <w:kern w:val="0"/>
                <w:szCs w:val="21"/>
              </w:rPr>
              <w:t>主要</w:t>
            </w:r>
          </w:p>
          <w:p>
            <w:pPr>
              <w:widowControl/>
              <w:jc w:val="center"/>
              <w:rPr>
                <w:rFonts w:ascii="仿宋" w:hAnsi="仿宋" w:eastAsia="仿宋"/>
                <w:kern w:val="0"/>
                <w:szCs w:val="21"/>
              </w:rPr>
            </w:pPr>
            <w:r>
              <w:rPr>
                <w:rFonts w:ascii="仿宋" w:hAnsi="仿宋" w:eastAsia="仿宋"/>
                <w:kern w:val="0"/>
                <w:szCs w:val="21"/>
              </w:rPr>
              <w:t>成分</w:t>
            </w:r>
          </w:p>
        </w:tc>
        <w:tc>
          <w:tcPr>
            <w:tcW w:w="902" w:type="dxa"/>
            <w:vMerge w:val="restart"/>
            <w:vAlign w:val="center"/>
          </w:tcPr>
          <w:p>
            <w:pPr>
              <w:widowControl/>
              <w:jc w:val="center"/>
              <w:rPr>
                <w:rFonts w:ascii="仿宋" w:hAnsi="仿宋" w:eastAsia="仿宋"/>
                <w:kern w:val="0"/>
                <w:szCs w:val="21"/>
              </w:rPr>
            </w:pPr>
            <w:r>
              <w:rPr>
                <w:rFonts w:ascii="仿宋" w:hAnsi="仿宋" w:eastAsia="仿宋"/>
                <w:kern w:val="0"/>
                <w:szCs w:val="21"/>
              </w:rPr>
              <w:t>预测产生量（吨/年）</w:t>
            </w:r>
          </w:p>
        </w:tc>
        <w:tc>
          <w:tcPr>
            <w:tcW w:w="1786" w:type="dxa"/>
            <w:gridSpan w:val="3"/>
            <w:vAlign w:val="center"/>
          </w:tcPr>
          <w:p>
            <w:pPr>
              <w:widowControl/>
              <w:jc w:val="center"/>
              <w:rPr>
                <w:rFonts w:ascii="仿宋" w:hAnsi="仿宋" w:eastAsia="仿宋"/>
                <w:kern w:val="0"/>
                <w:szCs w:val="21"/>
              </w:rPr>
            </w:pPr>
            <w:r>
              <w:rPr>
                <w:rFonts w:ascii="仿宋" w:hAnsi="仿宋" w:eastAsia="仿宋"/>
                <w:kern w:val="0"/>
                <w:szCs w:val="21"/>
              </w:rPr>
              <w:t>种类判断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67" w:type="dxa"/>
            <w:vMerge w:val="continue"/>
            <w:vAlign w:val="center"/>
          </w:tcPr>
          <w:p>
            <w:pPr>
              <w:widowControl/>
              <w:jc w:val="center"/>
              <w:rPr>
                <w:rFonts w:ascii="仿宋" w:hAnsi="仿宋" w:eastAsia="仿宋"/>
                <w:kern w:val="0"/>
                <w:szCs w:val="21"/>
              </w:rPr>
            </w:pPr>
          </w:p>
        </w:tc>
        <w:tc>
          <w:tcPr>
            <w:tcW w:w="1891" w:type="dxa"/>
            <w:vMerge w:val="continue"/>
            <w:vAlign w:val="center"/>
          </w:tcPr>
          <w:p>
            <w:pPr>
              <w:widowControl/>
              <w:jc w:val="center"/>
              <w:rPr>
                <w:rFonts w:ascii="仿宋" w:hAnsi="仿宋" w:eastAsia="仿宋"/>
                <w:kern w:val="0"/>
                <w:szCs w:val="21"/>
              </w:rPr>
            </w:pPr>
          </w:p>
        </w:tc>
        <w:tc>
          <w:tcPr>
            <w:tcW w:w="1134" w:type="dxa"/>
            <w:vMerge w:val="continue"/>
            <w:vAlign w:val="center"/>
          </w:tcPr>
          <w:p>
            <w:pPr>
              <w:widowControl/>
              <w:jc w:val="center"/>
              <w:rPr>
                <w:rFonts w:ascii="仿宋" w:hAnsi="仿宋" w:eastAsia="仿宋"/>
                <w:kern w:val="0"/>
                <w:szCs w:val="21"/>
              </w:rPr>
            </w:pPr>
          </w:p>
        </w:tc>
        <w:tc>
          <w:tcPr>
            <w:tcW w:w="1280" w:type="dxa"/>
            <w:vMerge w:val="continue"/>
            <w:vAlign w:val="center"/>
          </w:tcPr>
          <w:p>
            <w:pPr>
              <w:widowControl/>
              <w:jc w:val="center"/>
              <w:rPr>
                <w:rFonts w:ascii="仿宋" w:hAnsi="仿宋" w:eastAsia="仿宋"/>
                <w:kern w:val="0"/>
                <w:szCs w:val="21"/>
              </w:rPr>
            </w:pPr>
          </w:p>
        </w:tc>
        <w:tc>
          <w:tcPr>
            <w:tcW w:w="687" w:type="dxa"/>
            <w:vMerge w:val="continue"/>
            <w:vAlign w:val="center"/>
          </w:tcPr>
          <w:p>
            <w:pPr>
              <w:widowControl/>
              <w:jc w:val="center"/>
              <w:rPr>
                <w:rFonts w:ascii="仿宋" w:hAnsi="仿宋" w:eastAsia="仿宋"/>
                <w:kern w:val="0"/>
                <w:szCs w:val="21"/>
              </w:rPr>
            </w:pPr>
          </w:p>
        </w:tc>
        <w:tc>
          <w:tcPr>
            <w:tcW w:w="1293" w:type="dxa"/>
            <w:vMerge w:val="continue"/>
            <w:vAlign w:val="center"/>
          </w:tcPr>
          <w:p>
            <w:pPr>
              <w:widowControl/>
              <w:jc w:val="center"/>
              <w:rPr>
                <w:rFonts w:ascii="仿宋" w:hAnsi="仿宋" w:eastAsia="仿宋"/>
                <w:kern w:val="0"/>
                <w:szCs w:val="21"/>
              </w:rPr>
            </w:pPr>
          </w:p>
        </w:tc>
        <w:tc>
          <w:tcPr>
            <w:tcW w:w="902" w:type="dxa"/>
            <w:vMerge w:val="continue"/>
            <w:vAlign w:val="center"/>
          </w:tcPr>
          <w:p>
            <w:pPr>
              <w:widowControl/>
              <w:jc w:val="center"/>
              <w:rPr>
                <w:rFonts w:ascii="仿宋" w:hAnsi="仿宋" w:eastAsia="仿宋"/>
                <w:kern w:val="0"/>
                <w:szCs w:val="21"/>
              </w:rPr>
            </w:pPr>
          </w:p>
        </w:tc>
        <w:tc>
          <w:tcPr>
            <w:tcW w:w="478" w:type="dxa"/>
            <w:vAlign w:val="center"/>
          </w:tcPr>
          <w:p>
            <w:pPr>
              <w:widowControl/>
              <w:jc w:val="center"/>
              <w:rPr>
                <w:rFonts w:ascii="仿宋" w:hAnsi="仿宋" w:eastAsia="仿宋"/>
                <w:kern w:val="0"/>
                <w:szCs w:val="21"/>
              </w:rPr>
            </w:pPr>
            <w:r>
              <w:rPr>
                <w:rFonts w:ascii="仿宋" w:hAnsi="仿宋" w:eastAsia="仿宋"/>
                <w:kern w:val="0"/>
                <w:szCs w:val="21"/>
              </w:rPr>
              <w:t>固体</w:t>
            </w:r>
          </w:p>
          <w:p>
            <w:pPr>
              <w:widowControl/>
              <w:jc w:val="center"/>
              <w:rPr>
                <w:rFonts w:ascii="仿宋" w:hAnsi="仿宋" w:eastAsia="仿宋"/>
                <w:kern w:val="0"/>
                <w:szCs w:val="21"/>
              </w:rPr>
            </w:pPr>
            <w:r>
              <w:rPr>
                <w:rFonts w:ascii="仿宋" w:hAnsi="仿宋" w:eastAsia="仿宋"/>
                <w:kern w:val="0"/>
                <w:szCs w:val="21"/>
              </w:rPr>
              <w:t>废物</w:t>
            </w:r>
          </w:p>
        </w:tc>
        <w:tc>
          <w:tcPr>
            <w:tcW w:w="529" w:type="dxa"/>
            <w:vAlign w:val="center"/>
          </w:tcPr>
          <w:p>
            <w:pPr>
              <w:widowControl/>
              <w:jc w:val="center"/>
              <w:rPr>
                <w:rFonts w:ascii="仿宋" w:hAnsi="仿宋" w:eastAsia="仿宋"/>
                <w:kern w:val="0"/>
                <w:szCs w:val="21"/>
              </w:rPr>
            </w:pPr>
            <w:r>
              <w:rPr>
                <w:rFonts w:ascii="仿宋" w:hAnsi="仿宋" w:eastAsia="仿宋"/>
                <w:kern w:val="0"/>
                <w:szCs w:val="21"/>
              </w:rPr>
              <w:t>副产品</w:t>
            </w:r>
          </w:p>
        </w:tc>
        <w:tc>
          <w:tcPr>
            <w:tcW w:w="779" w:type="dxa"/>
            <w:vAlign w:val="center"/>
          </w:tcPr>
          <w:p>
            <w:pPr>
              <w:widowControl/>
              <w:jc w:val="center"/>
              <w:rPr>
                <w:rFonts w:ascii="仿宋" w:hAnsi="仿宋" w:eastAsia="仿宋"/>
                <w:kern w:val="0"/>
                <w:szCs w:val="21"/>
              </w:rPr>
            </w:pPr>
            <w:r>
              <w:rPr>
                <w:rFonts w:ascii="仿宋" w:hAnsi="仿宋" w:eastAsia="仿宋"/>
                <w:kern w:val="0"/>
                <w:szCs w:val="21"/>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67" w:type="dxa"/>
            <w:vAlign w:val="center"/>
          </w:tcPr>
          <w:p>
            <w:pPr>
              <w:widowControl/>
              <w:jc w:val="center"/>
              <w:rPr>
                <w:rFonts w:ascii="仿宋" w:hAnsi="仿宋" w:eastAsia="仿宋"/>
                <w:kern w:val="0"/>
                <w:szCs w:val="21"/>
              </w:rPr>
            </w:pPr>
            <w:r>
              <w:rPr>
                <w:rFonts w:ascii="仿宋" w:hAnsi="仿宋" w:eastAsia="仿宋"/>
                <w:kern w:val="0"/>
                <w:szCs w:val="21"/>
              </w:rPr>
              <w:t>1</w:t>
            </w:r>
          </w:p>
        </w:tc>
        <w:tc>
          <w:tcPr>
            <w:tcW w:w="1891" w:type="dxa"/>
            <w:vAlign w:val="center"/>
          </w:tcPr>
          <w:p>
            <w:pPr>
              <w:widowControl/>
              <w:jc w:val="center"/>
              <w:rPr>
                <w:rFonts w:ascii="仿宋" w:hAnsi="仿宋" w:eastAsia="仿宋"/>
                <w:kern w:val="0"/>
                <w:szCs w:val="21"/>
              </w:rPr>
            </w:pPr>
            <w:r>
              <w:rPr>
                <w:rFonts w:hint="eastAsia" w:ascii="仿宋" w:hAnsi="仿宋" w:eastAsia="仿宋"/>
                <w:kern w:val="0"/>
                <w:szCs w:val="21"/>
              </w:rPr>
              <w:t>/</w:t>
            </w:r>
          </w:p>
        </w:tc>
        <w:tc>
          <w:tcPr>
            <w:tcW w:w="1134" w:type="dxa"/>
            <w:vAlign w:val="center"/>
          </w:tcPr>
          <w:p>
            <w:pPr>
              <w:widowControl/>
              <w:jc w:val="center"/>
              <w:rPr>
                <w:rFonts w:ascii="仿宋" w:hAnsi="仿宋" w:eastAsia="仿宋"/>
                <w:kern w:val="0"/>
                <w:szCs w:val="21"/>
              </w:rPr>
            </w:pPr>
            <w:r>
              <w:rPr>
                <w:rFonts w:ascii="仿宋" w:hAnsi="仿宋" w:eastAsia="仿宋"/>
                <w:kern w:val="0"/>
                <w:szCs w:val="21"/>
              </w:rPr>
              <w:t>生活垃圾</w:t>
            </w:r>
          </w:p>
        </w:tc>
        <w:tc>
          <w:tcPr>
            <w:tcW w:w="1280" w:type="dxa"/>
            <w:vAlign w:val="center"/>
          </w:tcPr>
          <w:p>
            <w:pPr>
              <w:widowControl/>
              <w:jc w:val="center"/>
              <w:rPr>
                <w:rFonts w:ascii="仿宋" w:hAnsi="仿宋" w:eastAsia="仿宋"/>
                <w:kern w:val="0"/>
                <w:szCs w:val="21"/>
              </w:rPr>
            </w:pPr>
            <w:r>
              <w:rPr>
                <w:rFonts w:ascii="仿宋" w:hAnsi="仿宋" w:eastAsia="仿宋"/>
                <w:kern w:val="0"/>
                <w:szCs w:val="21"/>
              </w:rPr>
              <w:t>办公、生活</w:t>
            </w:r>
          </w:p>
        </w:tc>
        <w:tc>
          <w:tcPr>
            <w:tcW w:w="687" w:type="dxa"/>
            <w:vAlign w:val="center"/>
          </w:tcPr>
          <w:p>
            <w:pPr>
              <w:tabs>
                <w:tab w:val="left" w:pos="3240"/>
              </w:tabs>
              <w:adjustRightInd w:val="0"/>
              <w:snapToGrid w:val="0"/>
              <w:jc w:val="center"/>
              <w:rPr>
                <w:rFonts w:ascii="仿宋" w:hAnsi="仿宋" w:eastAsia="仿宋"/>
                <w:bCs/>
                <w:kern w:val="0"/>
                <w:szCs w:val="21"/>
              </w:rPr>
            </w:pPr>
            <w:r>
              <w:rPr>
                <w:rFonts w:ascii="仿宋" w:hAnsi="仿宋" w:eastAsia="仿宋"/>
                <w:bCs/>
                <w:kern w:val="0"/>
                <w:szCs w:val="21"/>
              </w:rPr>
              <w:t>固</w:t>
            </w:r>
          </w:p>
        </w:tc>
        <w:tc>
          <w:tcPr>
            <w:tcW w:w="1293" w:type="dxa"/>
            <w:vAlign w:val="center"/>
          </w:tcPr>
          <w:p>
            <w:pPr>
              <w:tabs>
                <w:tab w:val="left" w:pos="3240"/>
              </w:tabs>
              <w:adjustRightInd w:val="0"/>
              <w:snapToGrid w:val="0"/>
              <w:jc w:val="center"/>
              <w:rPr>
                <w:rFonts w:ascii="仿宋" w:hAnsi="仿宋" w:eastAsia="仿宋"/>
                <w:bCs/>
                <w:kern w:val="0"/>
                <w:szCs w:val="21"/>
              </w:rPr>
            </w:pPr>
            <w:r>
              <w:rPr>
                <w:rFonts w:ascii="仿宋" w:hAnsi="仿宋" w:eastAsia="仿宋"/>
                <w:bCs/>
                <w:kern w:val="0"/>
                <w:szCs w:val="21"/>
              </w:rPr>
              <w:t>生活垃圾</w:t>
            </w:r>
          </w:p>
        </w:tc>
        <w:tc>
          <w:tcPr>
            <w:tcW w:w="902" w:type="dxa"/>
            <w:vAlign w:val="center"/>
          </w:tcPr>
          <w:p>
            <w:pPr>
              <w:widowControl/>
              <w:jc w:val="center"/>
              <w:rPr>
                <w:rFonts w:ascii="仿宋" w:hAnsi="仿宋" w:eastAsia="仿宋"/>
                <w:kern w:val="0"/>
                <w:szCs w:val="21"/>
              </w:rPr>
            </w:pPr>
            <w:r>
              <w:rPr>
                <w:rFonts w:hint="eastAsia" w:ascii="仿宋" w:hAnsi="仿宋" w:eastAsia="仿宋"/>
                <w:kern w:val="0"/>
                <w:szCs w:val="21"/>
              </w:rPr>
              <w:t>6.75</w:t>
            </w:r>
          </w:p>
        </w:tc>
        <w:tc>
          <w:tcPr>
            <w:tcW w:w="478" w:type="dxa"/>
            <w:vAlign w:val="center"/>
          </w:tcPr>
          <w:p>
            <w:pPr>
              <w:widowControl/>
              <w:jc w:val="center"/>
              <w:rPr>
                <w:rFonts w:ascii="仿宋" w:hAnsi="仿宋" w:eastAsia="仿宋"/>
                <w:kern w:val="0"/>
                <w:szCs w:val="21"/>
              </w:rPr>
            </w:pPr>
            <w:r>
              <w:rPr>
                <w:rFonts w:ascii="仿宋" w:hAnsi="仿宋" w:eastAsia="仿宋"/>
                <w:kern w:val="0"/>
                <w:szCs w:val="21"/>
              </w:rPr>
              <w:t>√</w:t>
            </w:r>
          </w:p>
        </w:tc>
        <w:tc>
          <w:tcPr>
            <w:tcW w:w="529" w:type="dxa"/>
            <w:vAlign w:val="center"/>
          </w:tcPr>
          <w:p>
            <w:pPr>
              <w:widowControl/>
              <w:jc w:val="center"/>
              <w:rPr>
                <w:rFonts w:ascii="仿宋" w:hAnsi="仿宋" w:eastAsia="仿宋"/>
                <w:kern w:val="0"/>
                <w:szCs w:val="21"/>
              </w:rPr>
            </w:pPr>
          </w:p>
        </w:tc>
        <w:tc>
          <w:tcPr>
            <w:tcW w:w="779" w:type="dxa"/>
            <w:vMerge w:val="restart"/>
            <w:vAlign w:val="center"/>
          </w:tcPr>
          <w:p>
            <w:pPr>
              <w:widowControl/>
              <w:jc w:val="center"/>
              <w:rPr>
                <w:rFonts w:ascii="仿宋" w:hAnsi="仿宋" w:eastAsia="仿宋"/>
                <w:kern w:val="0"/>
                <w:szCs w:val="21"/>
              </w:rPr>
            </w:pPr>
            <w:r>
              <w:rPr>
                <w:rFonts w:hint="eastAsia" w:ascii="仿宋" w:hAnsi="仿宋" w:eastAsia="仿宋"/>
                <w:bCs/>
                <w:kern w:val="0"/>
                <w:szCs w:val="21"/>
              </w:rPr>
              <w:t>生产</w:t>
            </w:r>
            <w:r>
              <w:rPr>
                <w:rFonts w:ascii="仿宋" w:hAnsi="仿宋" w:eastAsia="仿宋"/>
                <w:bCs/>
                <w:kern w:val="0"/>
                <w:szCs w:val="21"/>
              </w:rPr>
              <w:t>过程中产生的废弃物质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67" w:type="dxa"/>
            <w:vAlign w:val="center"/>
          </w:tcPr>
          <w:p>
            <w:pPr>
              <w:widowControl/>
              <w:jc w:val="center"/>
              <w:rPr>
                <w:rFonts w:ascii="仿宋" w:hAnsi="仿宋" w:eastAsia="仿宋"/>
                <w:kern w:val="0"/>
                <w:szCs w:val="21"/>
              </w:rPr>
            </w:pPr>
            <w:r>
              <w:rPr>
                <w:rFonts w:ascii="仿宋" w:hAnsi="仿宋" w:eastAsia="仿宋"/>
                <w:kern w:val="0"/>
                <w:szCs w:val="21"/>
              </w:rPr>
              <w:t>2</w:t>
            </w:r>
          </w:p>
        </w:tc>
        <w:tc>
          <w:tcPr>
            <w:tcW w:w="1891" w:type="dxa"/>
            <w:vAlign w:val="center"/>
          </w:tcPr>
          <w:p>
            <w:pPr>
              <w:widowControl/>
              <w:jc w:val="center"/>
              <w:rPr>
                <w:rFonts w:ascii="仿宋" w:hAnsi="仿宋" w:eastAsia="仿宋"/>
                <w:kern w:val="0"/>
                <w:szCs w:val="21"/>
              </w:rPr>
            </w:pPr>
            <w:r>
              <w:rPr>
                <w:rFonts w:hint="eastAsia" w:ascii="仿宋" w:hAnsi="仿宋" w:eastAsia="仿宋"/>
                <w:kern w:val="0"/>
                <w:szCs w:val="21"/>
              </w:rPr>
              <w:t>S1</w:t>
            </w:r>
          </w:p>
        </w:tc>
        <w:tc>
          <w:tcPr>
            <w:tcW w:w="1134" w:type="dxa"/>
            <w:vAlign w:val="center"/>
          </w:tcPr>
          <w:p>
            <w:pPr>
              <w:widowControl/>
              <w:jc w:val="center"/>
              <w:rPr>
                <w:rFonts w:ascii="仿宋" w:hAnsi="仿宋" w:eastAsia="仿宋"/>
                <w:kern w:val="0"/>
                <w:szCs w:val="21"/>
              </w:rPr>
            </w:pPr>
            <w:r>
              <w:rPr>
                <w:rFonts w:hint="eastAsia" w:ascii="仿宋" w:hAnsi="仿宋" w:eastAsia="仿宋"/>
                <w:kern w:val="0"/>
                <w:szCs w:val="21"/>
              </w:rPr>
              <w:t>废胶水</w:t>
            </w:r>
          </w:p>
        </w:tc>
        <w:tc>
          <w:tcPr>
            <w:tcW w:w="1280" w:type="dxa"/>
            <w:vAlign w:val="center"/>
          </w:tcPr>
          <w:p>
            <w:pPr>
              <w:widowControl/>
              <w:jc w:val="center"/>
              <w:rPr>
                <w:rFonts w:ascii="仿宋" w:hAnsi="仿宋" w:eastAsia="仿宋"/>
                <w:kern w:val="0"/>
                <w:szCs w:val="21"/>
              </w:rPr>
            </w:pPr>
            <w:r>
              <w:rPr>
                <w:rFonts w:hint="eastAsia" w:ascii="仿宋" w:hAnsi="仿宋" w:eastAsia="仿宋"/>
                <w:kern w:val="0"/>
                <w:szCs w:val="21"/>
              </w:rPr>
              <w:t>配胶</w:t>
            </w:r>
          </w:p>
        </w:tc>
        <w:tc>
          <w:tcPr>
            <w:tcW w:w="687" w:type="dxa"/>
            <w:vAlign w:val="center"/>
          </w:tcPr>
          <w:p>
            <w:pPr>
              <w:tabs>
                <w:tab w:val="left" w:pos="3240"/>
              </w:tabs>
              <w:adjustRightInd w:val="0"/>
              <w:snapToGrid w:val="0"/>
              <w:jc w:val="center"/>
              <w:rPr>
                <w:rFonts w:ascii="仿宋" w:hAnsi="仿宋" w:eastAsia="仿宋"/>
                <w:bCs/>
                <w:kern w:val="0"/>
                <w:szCs w:val="21"/>
              </w:rPr>
            </w:pPr>
            <w:r>
              <w:rPr>
                <w:rFonts w:hint="eastAsia" w:ascii="仿宋" w:hAnsi="仿宋" w:eastAsia="仿宋"/>
                <w:bCs/>
                <w:kern w:val="0"/>
                <w:szCs w:val="21"/>
              </w:rPr>
              <w:t>液</w:t>
            </w:r>
          </w:p>
        </w:tc>
        <w:tc>
          <w:tcPr>
            <w:tcW w:w="1293" w:type="dxa"/>
            <w:vAlign w:val="center"/>
          </w:tcPr>
          <w:p>
            <w:pPr>
              <w:tabs>
                <w:tab w:val="left" w:pos="3240"/>
              </w:tabs>
              <w:adjustRightInd w:val="0"/>
              <w:snapToGrid w:val="0"/>
              <w:jc w:val="center"/>
              <w:rPr>
                <w:rFonts w:ascii="仿宋" w:hAnsi="仿宋" w:eastAsia="仿宋"/>
                <w:bCs/>
                <w:kern w:val="0"/>
                <w:szCs w:val="21"/>
              </w:rPr>
            </w:pPr>
            <w:r>
              <w:rPr>
                <w:rFonts w:hint="eastAsia" w:ascii="仿宋" w:hAnsi="仿宋" w:eastAsia="仿宋"/>
                <w:bCs/>
                <w:kern w:val="0"/>
                <w:szCs w:val="21"/>
              </w:rPr>
              <w:t>有机溶剂</w:t>
            </w:r>
          </w:p>
        </w:tc>
        <w:tc>
          <w:tcPr>
            <w:tcW w:w="902" w:type="dxa"/>
            <w:vAlign w:val="center"/>
          </w:tcPr>
          <w:p>
            <w:pPr>
              <w:widowControl/>
              <w:jc w:val="center"/>
              <w:rPr>
                <w:rFonts w:ascii="仿宋" w:hAnsi="仿宋" w:eastAsia="仿宋"/>
                <w:kern w:val="0"/>
                <w:szCs w:val="21"/>
              </w:rPr>
            </w:pPr>
            <w:r>
              <w:rPr>
                <w:rFonts w:ascii="仿宋" w:hAnsi="仿宋" w:eastAsia="仿宋"/>
                <w:kern w:val="0"/>
                <w:szCs w:val="21"/>
              </w:rPr>
              <w:t>1.814</w:t>
            </w:r>
          </w:p>
        </w:tc>
        <w:tc>
          <w:tcPr>
            <w:tcW w:w="478" w:type="dxa"/>
            <w:vAlign w:val="center"/>
          </w:tcPr>
          <w:p>
            <w:pPr>
              <w:widowControl/>
              <w:jc w:val="center"/>
              <w:rPr>
                <w:rFonts w:ascii="仿宋" w:hAnsi="仿宋" w:eastAsia="仿宋"/>
                <w:kern w:val="0"/>
                <w:szCs w:val="21"/>
              </w:rPr>
            </w:pPr>
            <w:r>
              <w:rPr>
                <w:rFonts w:ascii="仿宋" w:hAnsi="仿宋" w:eastAsia="仿宋"/>
                <w:kern w:val="0"/>
                <w:szCs w:val="21"/>
              </w:rPr>
              <w:t>√</w:t>
            </w:r>
          </w:p>
        </w:tc>
        <w:tc>
          <w:tcPr>
            <w:tcW w:w="529" w:type="dxa"/>
            <w:vAlign w:val="center"/>
          </w:tcPr>
          <w:p>
            <w:pPr>
              <w:widowControl/>
              <w:jc w:val="center"/>
              <w:rPr>
                <w:rFonts w:ascii="仿宋" w:hAnsi="仿宋" w:eastAsia="仿宋"/>
                <w:kern w:val="0"/>
                <w:szCs w:val="21"/>
              </w:rPr>
            </w:pPr>
          </w:p>
        </w:tc>
        <w:tc>
          <w:tcPr>
            <w:tcW w:w="779" w:type="dxa"/>
            <w:vMerge w:val="continue"/>
            <w:vAlign w:val="center"/>
          </w:tcPr>
          <w:p>
            <w:pPr>
              <w:widowControl/>
              <w:jc w:val="center"/>
              <w:rPr>
                <w:rFonts w:ascii="仿宋" w:hAnsi="仿宋"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67" w:type="dxa"/>
            <w:vAlign w:val="center"/>
          </w:tcPr>
          <w:p>
            <w:pPr>
              <w:widowControl/>
              <w:jc w:val="center"/>
              <w:rPr>
                <w:rFonts w:ascii="仿宋" w:hAnsi="仿宋" w:eastAsia="仿宋"/>
                <w:kern w:val="0"/>
                <w:szCs w:val="21"/>
              </w:rPr>
            </w:pPr>
            <w:r>
              <w:rPr>
                <w:rFonts w:hint="eastAsia" w:ascii="仿宋" w:hAnsi="仿宋" w:eastAsia="仿宋"/>
                <w:kern w:val="0"/>
                <w:szCs w:val="21"/>
              </w:rPr>
              <w:t>3</w:t>
            </w:r>
          </w:p>
        </w:tc>
        <w:tc>
          <w:tcPr>
            <w:tcW w:w="1891" w:type="dxa"/>
            <w:vAlign w:val="center"/>
          </w:tcPr>
          <w:p>
            <w:pPr>
              <w:widowControl/>
              <w:jc w:val="center"/>
              <w:rPr>
                <w:rFonts w:ascii="仿宋" w:hAnsi="仿宋" w:eastAsia="仿宋"/>
                <w:kern w:val="0"/>
                <w:szCs w:val="21"/>
              </w:rPr>
            </w:pPr>
            <w:r>
              <w:rPr>
                <w:rFonts w:hint="eastAsia" w:ascii="仿宋" w:hAnsi="仿宋" w:eastAsia="仿宋"/>
                <w:kern w:val="0"/>
                <w:szCs w:val="21"/>
              </w:rPr>
              <w:t>S2</w:t>
            </w:r>
          </w:p>
        </w:tc>
        <w:tc>
          <w:tcPr>
            <w:tcW w:w="1134" w:type="dxa"/>
            <w:vAlign w:val="center"/>
          </w:tcPr>
          <w:p>
            <w:pPr>
              <w:widowControl/>
              <w:jc w:val="center"/>
              <w:rPr>
                <w:rFonts w:ascii="仿宋" w:hAnsi="仿宋" w:eastAsia="仿宋"/>
                <w:kern w:val="0"/>
                <w:szCs w:val="21"/>
              </w:rPr>
            </w:pPr>
            <w:r>
              <w:rPr>
                <w:rFonts w:hint="eastAsia" w:ascii="仿宋" w:hAnsi="仿宋" w:eastAsia="仿宋"/>
                <w:kern w:val="0"/>
                <w:szCs w:val="21"/>
              </w:rPr>
              <w:t>废清洗液</w:t>
            </w:r>
          </w:p>
        </w:tc>
        <w:tc>
          <w:tcPr>
            <w:tcW w:w="1280" w:type="dxa"/>
            <w:vAlign w:val="center"/>
          </w:tcPr>
          <w:p>
            <w:pPr>
              <w:widowControl/>
              <w:jc w:val="center"/>
              <w:rPr>
                <w:rFonts w:ascii="仿宋" w:hAnsi="仿宋" w:eastAsia="仿宋"/>
                <w:kern w:val="0"/>
                <w:szCs w:val="21"/>
              </w:rPr>
            </w:pPr>
            <w:r>
              <w:rPr>
                <w:rFonts w:hint="eastAsia" w:ascii="仿宋" w:hAnsi="仿宋" w:eastAsia="仿宋"/>
                <w:kern w:val="0"/>
                <w:szCs w:val="21"/>
              </w:rPr>
              <w:t>清洗</w:t>
            </w:r>
          </w:p>
        </w:tc>
        <w:tc>
          <w:tcPr>
            <w:tcW w:w="687" w:type="dxa"/>
            <w:vAlign w:val="center"/>
          </w:tcPr>
          <w:p>
            <w:pPr>
              <w:tabs>
                <w:tab w:val="left" w:pos="3240"/>
              </w:tabs>
              <w:adjustRightInd w:val="0"/>
              <w:snapToGrid w:val="0"/>
              <w:jc w:val="center"/>
              <w:rPr>
                <w:rFonts w:ascii="仿宋" w:hAnsi="仿宋" w:eastAsia="仿宋"/>
                <w:bCs/>
                <w:kern w:val="0"/>
                <w:szCs w:val="21"/>
              </w:rPr>
            </w:pPr>
            <w:r>
              <w:rPr>
                <w:rFonts w:hint="eastAsia" w:ascii="仿宋" w:hAnsi="仿宋" w:eastAsia="仿宋"/>
                <w:bCs/>
                <w:kern w:val="0"/>
                <w:szCs w:val="21"/>
              </w:rPr>
              <w:t>液</w:t>
            </w:r>
          </w:p>
        </w:tc>
        <w:tc>
          <w:tcPr>
            <w:tcW w:w="1293" w:type="dxa"/>
            <w:vAlign w:val="center"/>
          </w:tcPr>
          <w:p>
            <w:pPr>
              <w:tabs>
                <w:tab w:val="left" w:pos="3240"/>
              </w:tabs>
              <w:adjustRightInd w:val="0"/>
              <w:snapToGrid w:val="0"/>
              <w:jc w:val="center"/>
              <w:rPr>
                <w:rFonts w:ascii="仿宋" w:hAnsi="仿宋" w:eastAsia="仿宋"/>
                <w:bCs/>
                <w:kern w:val="0"/>
                <w:szCs w:val="21"/>
              </w:rPr>
            </w:pPr>
            <w:r>
              <w:rPr>
                <w:rFonts w:ascii="仿宋" w:hAnsi="仿宋" w:eastAsia="仿宋"/>
                <w:bCs/>
                <w:kern w:val="0"/>
                <w:szCs w:val="21"/>
              </w:rPr>
              <w:t>有机溶剂</w:t>
            </w:r>
          </w:p>
        </w:tc>
        <w:tc>
          <w:tcPr>
            <w:tcW w:w="902" w:type="dxa"/>
            <w:vAlign w:val="center"/>
          </w:tcPr>
          <w:p>
            <w:pPr>
              <w:widowControl/>
              <w:jc w:val="center"/>
              <w:rPr>
                <w:rFonts w:ascii="仿宋" w:hAnsi="仿宋" w:eastAsia="仿宋"/>
                <w:kern w:val="0"/>
                <w:szCs w:val="21"/>
              </w:rPr>
            </w:pPr>
            <w:r>
              <w:rPr>
                <w:rFonts w:hint="eastAsia" w:ascii="仿宋" w:hAnsi="仿宋" w:eastAsia="仿宋"/>
                <w:kern w:val="0"/>
                <w:szCs w:val="21"/>
              </w:rPr>
              <w:t>3.6</w:t>
            </w:r>
          </w:p>
        </w:tc>
        <w:tc>
          <w:tcPr>
            <w:tcW w:w="478" w:type="dxa"/>
            <w:vAlign w:val="center"/>
          </w:tcPr>
          <w:p>
            <w:pPr>
              <w:widowControl/>
              <w:jc w:val="center"/>
              <w:rPr>
                <w:rFonts w:ascii="仿宋" w:hAnsi="仿宋" w:eastAsia="仿宋"/>
                <w:kern w:val="0"/>
                <w:szCs w:val="21"/>
              </w:rPr>
            </w:pPr>
            <w:r>
              <w:rPr>
                <w:rFonts w:ascii="仿宋" w:hAnsi="仿宋" w:eastAsia="仿宋"/>
                <w:kern w:val="0"/>
                <w:szCs w:val="21"/>
              </w:rPr>
              <w:t>√</w:t>
            </w:r>
          </w:p>
        </w:tc>
        <w:tc>
          <w:tcPr>
            <w:tcW w:w="529" w:type="dxa"/>
            <w:vAlign w:val="center"/>
          </w:tcPr>
          <w:p>
            <w:pPr>
              <w:widowControl/>
              <w:jc w:val="center"/>
              <w:rPr>
                <w:rFonts w:ascii="仿宋" w:hAnsi="仿宋" w:eastAsia="仿宋"/>
                <w:kern w:val="0"/>
                <w:szCs w:val="21"/>
              </w:rPr>
            </w:pPr>
          </w:p>
        </w:tc>
        <w:tc>
          <w:tcPr>
            <w:tcW w:w="779" w:type="dxa"/>
            <w:vMerge w:val="continue"/>
            <w:vAlign w:val="center"/>
          </w:tcPr>
          <w:p>
            <w:pPr>
              <w:widowControl/>
              <w:jc w:val="center"/>
              <w:rPr>
                <w:rFonts w:ascii="仿宋" w:hAnsi="仿宋"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67" w:type="dxa"/>
            <w:vAlign w:val="center"/>
          </w:tcPr>
          <w:p>
            <w:pPr>
              <w:widowControl/>
              <w:jc w:val="center"/>
              <w:rPr>
                <w:rFonts w:ascii="仿宋" w:hAnsi="仿宋" w:eastAsia="仿宋"/>
                <w:kern w:val="0"/>
                <w:szCs w:val="21"/>
              </w:rPr>
            </w:pPr>
            <w:r>
              <w:rPr>
                <w:rFonts w:hint="eastAsia" w:ascii="仿宋" w:hAnsi="仿宋" w:eastAsia="仿宋"/>
                <w:kern w:val="0"/>
                <w:szCs w:val="21"/>
              </w:rPr>
              <w:t>4</w:t>
            </w:r>
          </w:p>
        </w:tc>
        <w:tc>
          <w:tcPr>
            <w:tcW w:w="1891" w:type="dxa"/>
            <w:vAlign w:val="center"/>
          </w:tcPr>
          <w:p>
            <w:pPr>
              <w:widowControl/>
              <w:jc w:val="center"/>
              <w:rPr>
                <w:rFonts w:ascii="仿宋" w:hAnsi="仿宋" w:eastAsia="仿宋"/>
                <w:kern w:val="0"/>
                <w:szCs w:val="21"/>
              </w:rPr>
            </w:pPr>
            <w:r>
              <w:rPr>
                <w:rFonts w:hint="eastAsia" w:ascii="仿宋" w:hAnsi="仿宋" w:eastAsia="仿宋"/>
                <w:kern w:val="0"/>
                <w:szCs w:val="21"/>
              </w:rPr>
              <w:t>S3</w:t>
            </w:r>
          </w:p>
        </w:tc>
        <w:tc>
          <w:tcPr>
            <w:tcW w:w="1134" w:type="dxa"/>
            <w:vAlign w:val="center"/>
          </w:tcPr>
          <w:p>
            <w:pPr>
              <w:widowControl/>
              <w:jc w:val="center"/>
              <w:rPr>
                <w:rFonts w:ascii="仿宋" w:hAnsi="仿宋" w:eastAsia="仿宋"/>
                <w:kern w:val="0"/>
                <w:szCs w:val="21"/>
              </w:rPr>
            </w:pPr>
            <w:r>
              <w:rPr>
                <w:rFonts w:hint="eastAsia" w:ascii="仿宋" w:hAnsi="仿宋" w:eastAsia="仿宋"/>
                <w:kern w:val="0"/>
                <w:szCs w:val="21"/>
              </w:rPr>
              <w:t>废胶带</w:t>
            </w:r>
          </w:p>
        </w:tc>
        <w:tc>
          <w:tcPr>
            <w:tcW w:w="1280" w:type="dxa"/>
            <w:vAlign w:val="center"/>
          </w:tcPr>
          <w:p>
            <w:pPr>
              <w:widowControl/>
              <w:jc w:val="center"/>
              <w:rPr>
                <w:rFonts w:ascii="仿宋" w:hAnsi="仿宋" w:eastAsia="仿宋"/>
                <w:kern w:val="0"/>
                <w:szCs w:val="21"/>
              </w:rPr>
            </w:pPr>
            <w:r>
              <w:rPr>
                <w:rFonts w:hint="eastAsia" w:ascii="仿宋" w:hAnsi="仿宋" w:eastAsia="仿宋"/>
                <w:kern w:val="0"/>
                <w:szCs w:val="21"/>
              </w:rPr>
              <w:t>分切</w:t>
            </w:r>
          </w:p>
        </w:tc>
        <w:tc>
          <w:tcPr>
            <w:tcW w:w="687" w:type="dxa"/>
            <w:vAlign w:val="center"/>
          </w:tcPr>
          <w:p>
            <w:pPr>
              <w:tabs>
                <w:tab w:val="left" w:pos="3240"/>
              </w:tabs>
              <w:adjustRightInd w:val="0"/>
              <w:snapToGrid w:val="0"/>
              <w:jc w:val="center"/>
              <w:rPr>
                <w:rFonts w:ascii="仿宋" w:hAnsi="仿宋" w:eastAsia="仿宋"/>
                <w:bCs/>
                <w:kern w:val="0"/>
                <w:szCs w:val="21"/>
              </w:rPr>
            </w:pPr>
            <w:r>
              <w:rPr>
                <w:rFonts w:hint="eastAsia" w:ascii="仿宋" w:hAnsi="仿宋" w:eastAsia="仿宋"/>
                <w:bCs/>
                <w:kern w:val="0"/>
                <w:szCs w:val="21"/>
              </w:rPr>
              <w:t>固</w:t>
            </w:r>
          </w:p>
        </w:tc>
        <w:tc>
          <w:tcPr>
            <w:tcW w:w="1293" w:type="dxa"/>
            <w:vAlign w:val="center"/>
          </w:tcPr>
          <w:p>
            <w:pPr>
              <w:tabs>
                <w:tab w:val="left" w:pos="3240"/>
              </w:tabs>
              <w:adjustRightInd w:val="0"/>
              <w:snapToGrid w:val="0"/>
              <w:jc w:val="center"/>
              <w:rPr>
                <w:rFonts w:ascii="仿宋" w:hAnsi="仿宋" w:eastAsia="仿宋"/>
                <w:bCs/>
                <w:kern w:val="0"/>
                <w:szCs w:val="21"/>
              </w:rPr>
            </w:pPr>
            <w:r>
              <w:rPr>
                <w:rFonts w:hint="eastAsia" w:ascii="仿宋" w:hAnsi="仿宋" w:eastAsia="仿宋"/>
                <w:bCs/>
                <w:kern w:val="0"/>
                <w:szCs w:val="21"/>
              </w:rPr>
              <w:t>膜、胶粘剂固份</w:t>
            </w:r>
          </w:p>
        </w:tc>
        <w:tc>
          <w:tcPr>
            <w:tcW w:w="902" w:type="dxa"/>
            <w:vAlign w:val="center"/>
          </w:tcPr>
          <w:p>
            <w:pPr>
              <w:widowControl/>
              <w:jc w:val="center"/>
              <w:rPr>
                <w:rFonts w:ascii="仿宋" w:hAnsi="仿宋" w:eastAsia="仿宋"/>
                <w:kern w:val="0"/>
                <w:szCs w:val="21"/>
              </w:rPr>
            </w:pPr>
            <w:r>
              <w:rPr>
                <w:rFonts w:ascii="仿宋" w:hAnsi="仿宋" w:eastAsia="仿宋"/>
                <w:kern w:val="0"/>
                <w:szCs w:val="21"/>
              </w:rPr>
              <w:t>48.3</w:t>
            </w:r>
          </w:p>
        </w:tc>
        <w:tc>
          <w:tcPr>
            <w:tcW w:w="478" w:type="dxa"/>
            <w:vAlign w:val="center"/>
          </w:tcPr>
          <w:p>
            <w:pPr>
              <w:widowControl/>
              <w:jc w:val="center"/>
              <w:rPr>
                <w:rFonts w:ascii="仿宋" w:hAnsi="仿宋" w:eastAsia="仿宋"/>
                <w:kern w:val="0"/>
                <w:szCs w:val="21"/>
              </w:rPr>
            </w:pPr>
            <w:r>
              <w:rPr>
                <w:rFonts w:ascii="仿宋" w:hAnsi="仿宋" w:eastAsia="仿宋"/>
                <w:kern w:val="0"/>
                <w:szCs w:val="21"/>
              </w:rPr>
              <w:t>√</w:t>
            </w:r>
          </w:p>
        </w:tc>
        <w:tc>
          <w:tcPr>
            <w:tcW w:w="529" w:type="dxa"/>
            <w:vAlign w:val="center"/>
          </w:tcPr>
          <w:p>
            <w:pPr>
              <w:widowControl/>
              <w:jc w:val="center"/>
              <w:rPr>
                <w:rFonts w:ascii="仿宋" w:hAnsi="仿宋" w:eastAsia="仿宋"/>
                <w:kern w:val="0"/>
                <w:szCs w:val="21"/>
              </w:rPr>
            </w:pPr>
          </w:p>
        </w:tc>
        <w:tc>
          <w:tcPr>
            <w:tcW w:w="779" w:type="dxa"/>
            <w:vMerge w:val="continue"/>
            <w:vAlign w:val="center"/>
          </w:tcPr>
          <w:p>
            <w:pPr>
              <w:widowControl/>
              <w:jc w:val="center"/>
              <w:rPr>
                <w:rFonts w:ascii="仿宋" w:hAnsi="仿宋"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567" w:type="dxa"/>
            <w:vAlign w:val="center"/>
          </w:tcPr>
          <w:p>
            <w:pPr>
              <w:widowControl/>
              <w:jc w:val="center"/>
              <w:rPr>
                <w:rFonts w:ascii="仿宋" w:hAnsi="仿宋" w:eastAsia="仿宋"/>
                <w:kern w:val="0"/>
                <w:szCs w:val="21"/>
              </w:rPr>
            </w:pPr>
            <w:r>
              <w:rPr>
                <w:rFonts w:hint="eastAsia" w:ascii="仿宋" w:hAnsi="仿宋" w:eastAsia="仿宋"/>
                <w:kern w:val="0"/>
                <w:szCs w:val="21"/>
              </w:rPr>
              <w:t>5</w:t>
            </w:r>
          </w:p>
        </w:tc>
        <w:tc>
          <w:tcPr>
            <w:tcW w:w="1891" w:type="dxa"/>
            <w:vAlign w:val="center"/>
          </w:tcPr>
          <w:p>
            <w:pPr>
              <w:widowControl/>
              <w:jc w:val="center"/>
              <w:rPr>
                <w:rFonts w:ascii="仿宋" w:hAnsi="仿宋" w:eastAsia="仿宋"/>
                <w:kern w:val="0"/>
                <w:szCs w:val="21"/>
              </w:rPr>
            </w:pPr>
            <w:r>
              <w:rPr>
                <w:rFonts w:hint="eastAsia" w:ascii="仿宋" w:hAnsi="仿宋" w:eastAsia="仿宋"/>
                <w:kern w:val="0"/>
                <w:szCs w:val="21"/>
              </w:rPr>
              <w:t>S4</w:t>
            </w:r>
          </w:p>
        </w:tc>
        <w:tc>
          <w:tcPr>
            <w:tcW w:w="1134" w:type="dxa"/>
            <w:vAlign w:val="center"/>
          </w:tcPr>
          <w:p>
            <w:pPr>
              <w:widowControl/>
              <w:jc w:val="center"/>
              <w:rPr>
                <w:rFonts w:ascii="仿宋" w:hAnsi="仿宋" w:eastAsia="仿宋"/>
                <w:kern w:val="0"/>
                <w:szCs w:val="21"/>
              </w:rPr>
            </w:pPr>
            <w:r>
              <w:rPr>
                <w:rFonts w:hint="eastAsia" w:ascii="仿宋" w:hAnsi="仿宋" w:eastAsia="仿宋"/>
                <w:kern w:val="0"/>
                <w:szCs w:val="21"/>
              </w:rPr>
              <w:t>废原料桶</w:t>
            </w:r>
          </w:p>
        </w:tc>
        <w:tc>
          <w:tcPr>
            <w:tcW w:w="1280" w:type="dxa"/>
            <w:vAlign w:val="center"/>
          </w:tcPr>
          <w:p>
            <w:pPr>
              <w:widowControl/>
              <w:jc w:val="center"/>
              <w:rPr>
                <w:rFonts w:ascii="仿宋" w:hAnsi="仿宋" w:eastAsia="仿宋"/>
                <w:kern w:val="0"/>
                <w:szCs w:val="21"/>
              </w:rPr>
            </w:pPr>
            <w:r>
              <w:rPr>
                <w:rFonts w:hint="eastAsia" w:ascii="仿宋" w:hAnsi="仿宋" w:eastAsia="仿宋"/>
                <w:kern w:val="0"/>
                <w:szCs w:val="21"/>
              </w:rPr>
              <w:t>存储</w:t>
            </w:r>
          </w:p>
        </w:tc>
        <w:tc>
          <w:tcPr>
            <w:tcW w:w="687" w:type="dxa"/>
            <w:vAlign w:val="center"/>
          </w:tcPr>
          <w:p>
            <w:pPr>
              <w:tabs>
                <w:tab w:val="left" w:pos="3240"/>
              </w:tabs>
              <w:adjustRightInd w:val="0"/>
              <w:snapToGrid w:val="0"/>
              <w:jc w:val="center"/>
              <w:rPr>
                <w:rFonts w:ascii="仿宋" w:hAnsi="仿宋" w:eastAsia="仿宋"/>
                <w:bCs/>
                <w:kern w:val="0"/>
                <w:szCs w:val="21"/>
              </w:rPr>
            </w:pPr>
            <w:r>
              <w:rPr>
                <w:rFonts w:hint="eastAsia" w:ascii="仿宋" w:hAnsi="仿宋" w:eastAsia="仿宋"/>
                <w:bCs/>
                <w:kern w:val="0"/>
                <w:szCs w:val="21"/>
              </w:rPr>
              <w:t>固</w:t>
            </w:r>
          </w:p>
        </w:tc>
        <w:tc>
          <w:tcPr>
            <w:tcW w:w="1293" w:type="dxa"/>
            <w:vAlign w:val="center"/>
          </w:tcPr>
          <w:p>
            <w:pPr>
              <w:tabs>
                <w:tab w:val="left" w:pos="3240"/>
              </w:tabs>
              <w:adjustRightInd w:val="0"/>
              <w:snapToGrid w:val="0"/>
              <w:jc w:val="center"/>
              <w:rPr>
                <w:rFonts w:ascii="仿宋" w:hAnsi="仿宋" w:eastAsia="仿宋"/>
                <w:bCs/>
                <w:kern w:val="0"/>
                <w:szCs w:val="21"/>
              </w:rPr>
            </w:pPr>
            <w:r>
              <w:rPr>
                <w:rFonts w:hint="eastAsia" w:ascii="仿宋" w:hAnsi="仿宋" w:eastAsia="仿宋"/>
                <w:bCs/>
                <w:kern w:val="0"/>
                <w:szCs w:val="21"/>
              </w:rPr>
              <w:t>胶粘剂、固化剂</w:t>
            </w:r>
          </w:p>
        </w:tc>
        <w:tc>
          <w:tcPr>
            <w:tcW w:w="902" w:type="dxa"/>
            <w:vAlign w:val="center"/>
          </w:tcPr>
          <w:p>
            <w:pPr>
              <w:widowControl/>
              <w:jc w:val="center"/>
              <w:rPr>
                <w:rFonts w:ascii="仿宋" w:hAnsi="仿宋" w:eastAsia="仿宋"/>
                <w:kern w:val="0"/>
                <w:szCs w:val="21"/>
              </w:rPr>
            </w:pPr>
            <w:r>
              <w:rPr>
                <w:rFonts w:hint="eastAsia" w:ascii="仿宋" w:hAnsi="仿宋" w:eastAsia="仿宋"/>
                <w:kern w:val="0"/>
                <w:szCs w:val="21"/>
              </w:rPr>
              <w:t>2.2</w:t>
            </w:r>
          </w:p>
        </w:tc>
        <w:tc>
          <w:tcPr>
            <w:tcW w:w="478" w:type="dxa"/>
            <w:vAlign w:val="center"/>
          </w:tcPr>
          <w:p>
            <w:pPr>
              <w:widowControl/>
              <w:jc w:val="center"/>
              <w:rPr>
                <w:rFonts w:ascii="仿宋" w:hAnsi="仿宋" w:eastAsia="仿宋"/>
                <w:kern w:val="0"/>
                <w:szCs w:val="21"/>
              </w:rPr>
            </w:pPr>
            <w:r>
              <w:rPr>
                <w:rFonts w:ascii="仿宋" w:hAnsi="仿宋" w:eastAsia="仿宋"/>
                <w:kern w:val="0"/>
                <w:szCs w:val="21"/>
              </w:rPr>
              <w:t>√</w:t>
            </w:r>
          </w:p>
        </w:tc>
        <w:tc>
          <w:tcPr>
            <w:tcW w:w="529" w:type="dxa"/>
            <w:vAlign w:val="center"/>
          </w:tcPr>
          <w:p>
            <w:pPr>
              <w:widowControl/>
              <w:jc w:val="center"/>
              <w:rPr>
                <w:rFonts w:ascii="仿宋" w:hAnsi="仿宋" w:eastAsia="仿宋"/>
                <w:kern w:val="0"/>
                <w:szCs w:val="21"/>
              </w:rPr>
            </w:pPr>
          </w:p>
        </w:tc>
        <w:tc>
          <w:tcPr>
            <w:tcW w:w="779" w:type="dxa"/>
            <w:vMerge w:val="continue"/>
            <w:vAlign w:val="center"/>
          </w:tcPr>
          <w:p>
            <w:pPr>
              <w:widowControl/>
              <w:jc w:val="center"/>
              <w:rPr>
                <w:rFonts w:ascii="仿宋" w:hAnsi="仿宋"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67" w:type="dxa"/>
            <w:vAlign w:val="center"/>
          </w:tcPr>
          <w:p>
            <w:pPr>
              <w:widowControl/>
              <w:jc w:val="center"/>
              <w:rPr>
                <w:rFonts w:ascii="仿宋" w:hAnsi="仿宋" w:eastAsia="仿宋"/>
                <w:kern w:val="0"/>
                <w:szCs w:val="21"/>
              </w:rPr>
            </w:pPr>
            <w:r>
              <w:rPr>
                <w:rFonts w:hint="eastAsia" w:ascii="仿宋" w:hAnsi="仿宋" w:eastAsia="仿宋"/>
                <w:kern w:val="0"/>
                <w:szCs w:val="21"/>
              </w:rPr>
              <w:t>6</w:t>
            </w:r>
          </w:p>
        </w:tc>
        <w:tc>
          <w:tcPr>
            <w:tcW w:w="1891" w:type="dxa"/>
            <w:vAlign w:val="center"/>
          </w:tcPr>
          <w:p>
            <w:pPr>
              <w:widowControl/>
              <w:jc w:val="center"/>
              <w:rPr>
                <w:rFonts w:ascii="仿宋" w:hAnsi="仿宋" w:eastAsia="仿宋"/>
                <w:kern w:val="0"/>
                <w:szCs w:val="21"/>
              </w:rPr>
            </w:pPr>
            <w:r>
              <w:rPr>
                <w:rFonts w:hint="eastAsia" w:ascii="仿宋" w:hAnsi="仿宋" w:eastAsia="仿宋"/>
                <w:kern w:val="0"/>
                <w:szCs w:val="21"/>
              </w:rPr>
              <w:t>S5</w:t>
            </w:r>
          </w:p>
        </w:tc>
        <w:tc>
          <w:tcPr>
            <w:tcW w:w="1134" w:type="dxa"/>
            <w:vAlign w:val="center"/>
          </w:tcPr>
          <w:p>
            <w:pPr>
              <w:widowControl/>
              <w:jc w:val="center"/>
              <w:rPr>
                <w:rFonts w:ascii="仿宋" w:hAnsi="仿宋" w:eastAsia="仿宋"/>
                <w:kern w:val="0"/>
                <w:szCs w:val="21"/>
              </w:rPr>
            </w:pPr>
            <w:r>
              <w:rPr>
                <w:rFonts w:hint="eastAsia" w:ascii="仿宋" w:hAnsi="仿宋" w:eastAsia="仿宋"/>
                <w:kern w:val="0"/>
                <w:szCs w:val="21"/>
              </w:rPr>
              <w:t>废抹布手套</w:t>
            </w:r>
          </w:p>
        </w:tc>
        <w:tc>
          <w:tcPr>
            <w:tcW w:w="1280" w:type="dxa"/>
            <w:vAlign w:val="center"/>
          </w:tcPr>
          <w:p>
            <w:pPr>
              <w:widowControl/>
              <w:jc w:val="center"/>
              <w:rPr>
                <w:rFonts w:ascii="仿宋" w:hAnsi="仿宋" w:eastAsia="仿宋"/>
                <w:kern w:val="0"/>
                <w:szCs w:val="21"/>
              </w:rPr>
            </w:pPr>
            <w:r>
              <w:rPr>
                <w:rFonts w:hint="eastAsia" w:ascii="仿宋" w:hAnsi="仿宋" w:eastAsia="仿宋"/>
                <w:kern w:val="0"/>
                <w:szCs w:val="21"/>
              </w:rPr>
              <w:t>维修、清洗</w:t>
            </w:r>
          </w:p>
        </w:tc>
        <w:tc>
          <w:tcPr>
            <w:tcW w:w="687" w:type="dxa"/>
            <w:vAlign w:val="center"/>
          </w:tcPr>
          <w:p>
            <w:pPr>
              <w:tabs>
                <w:tab w:val="left" w:pos="3240"/>
              </w:tabs>
              <w:adjustRightInd w:val="0"/>
              <w:snapToGrid w:val="0"/>
              <w:jc w:val="center"/>
              <w:rPr>
                <w:rFonts w:ascii="仿宋" w:hAnsi="仿宋" w:eastAsia="仿宋"/>
                <w:bCs/>
                <w:kern w:val="0"/>
                <w:szCs w:val="21"/>
              </w:rPr>
            </w:pPr>
            <w:r>
              <w:rPr>
                <w:rFonts w:hint="eastAsia" w:ascii="仿宋" w:hAnsi="仿宋" w:eastAsia="仿宋"/>
                <w:bCs/>
                <w:kern w:val="0"/>
                <w:szCs w:val="21"/>
              </w:rPr>
              <w:t>固</w:t>
            </w:r>
          </w:p>
        </w:tc>
        <w:tc>
          <w:tcPr>
            <w:tcW w:w="1293" w:type="dxa"/>
            <w:vAlign w:val="center"/>
          </w:tcPr>
          <w:p>
            <w:pPr>
              <w:tabs>
                <w:tab w:val="left" w:pos="3240"/>
              </w:tabs>
              <w:adjustRightInd w:val="0"/>
              <w:snapToGrid w:val="0"/>
              <w:jc w:val="center"/>
              <w:rPr>
                <w:rFonts w:ascii="仿宋" w:hAnsi="仿宋" w:eastAsia="仿宋"/>
                <w:bCs/>
                <w:kern w:val="0"/>
                <w:szCs w:val="21"/>
              </w:rPr>
            </w:pPr>
            <w:r>
              <w:rPr>
                <w:rFonts w:hint="eastAsia" w:ascii="仿宋" w:hAnsi="仿宋" w:eastAsia="仿宋"/>
                <w:bCs/>
                <w:kern w:val="0"/>
                <w:szCs w:val="21"/>
              </w:rPr>
              <w:t>棉、有机物</w:t>
            </w:r>
          </w:p>
        </w:tc>
        <w:tc>
          <w:tcPr>
            <w:tcW w:w="902" w:type="dxa"/>
            <w:vAlign w:val="center"/>
          </w:tcPr>
          <w:p>
            <w:pPr>
              <w:widowControl/>
              <w:jc w:val="center"/>
              <w:rPr>
                <w:rFonts w:ascii="仿宋" w:hAnsi="仿宋" w:eastAsia="仿宋"/>
                <w:kern w:val="0"/>
                <w:szCs w:val="21"/>
              </w:rPr>
            </w:pPr>
            <w:r>
              <w:rPr>
                <w:rFonts w:hint="eastAsia" w:ascii="仿宋" w:hAnsi="仿宋" w:eastAsia="仿宋"/>
                <w:kern w:val="0"/>
                <w:szCs w:val="21"/>
              </w:rPr>
              <w:t>1</w:t>
            </w:r>
          </w:p>
        </w:tc>
        <w:tc>
          <w:tcPr>
            <w:tcW w:w="478" w:type="dxa"/>
            <w:vAlign w:val="center"/>
          </w:tcPr>
          <w:p>
            <w:pPr>
              <w:widowControl/>
              <w:jc w:val="center"/>
              <w:rPr>
                <w:rFonts w:ascii="仿宋" w:hAnsi="仿宋" w:eastAsia="仿宋"/>
                <w:kern w:val="0"/>
                <w:szCs w:val="21"/>
              </w:rPr>
            </w:pPr>
            <w:r>
              <w:rPr>
                <w:rFonts w:ascii="仿宋" w:hAnsi="仿宋" w:eastAsia="仿宋"/>
                <w:kern w:val="0"/>
                <w:szCs w:val="21"/>
              </w:rPr>
              <w:t>√</w:t>
            </w:r>
          </w:p>
        </w:tc>
        <w:tc>
          <w:tcPr>
            <w:tcW w:w="529" w:type="dxa"/>
            <w:vAlign w:val="center"/>
          </w:tcPr>
          <w:p>
            <w:pPr>
              <w:widowControl/>
              <w:jc w:val="center"/>
              <w:rPr>
                <w:rFonts w:ascii="仿宋" w:hAnsi="仿宋" w:eastAsia="仿宋"/>
                <w:kern w:val="0"/>
                <w:szCs w:val="21"/>
              </w:rPr>
            </w:pPr>
          </w:p>
        </w:tc>
        <w:tc>
          <w:tcPr>
            <w:tcW w:w="779" w:type="dxa"/>
            <w:vMerge w:val="continue"/>
            <w:vAlign w:val="center"/>
          </w:tcPr>
          <w:p>
            <w:pPr>
              <w:widowControl/>
              <w:jc w:val="center"/>
              <w:rPr>
                <w:rFonts w:ascii="仿宋" w:hAnsi="仿宋"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67" w:type="dxa"/>
            <w:vAlign w:val="center"/>
          </w:tcPr>
          <w:p>
            <w:pPr>
              <w:widowControl/>
              <w:jc w:val="center"/>
              <w:rPr>
                <w:rFonts w:ascii="仿宋" w:hAnsi="仿宋" w:eastAsia="仿宋"/>
                <w:kern w:val="0"/>
                <w:szCs w:val="21"/>
              </w:rPr>
            </w:pPr>
            <w:r>
              <w:rPr>
                <w:rFonts w:hint="eastAsia" w:ascii="仿宋" w:hAnsi="仿宋" w:eastAsia="仿宋"/>
                <w:kern w:val="0"/>
                <w:szCs w:val="21"/>
              </w:rPr>
              <w:t>7</w:t>
            </w:r>
          </w:p>
        </w:tc>
        <w:tc>
          <w:tcPr>
            <w:tcW w:w="1891" w:type="dxa"/>
            <w:vAlign w:val="center"/>
          </w:tcPr>
          <w:p>
            <w:pPr>
              <w:widowControl/>
              <w:jc w:val="center"/>
              <w:rPr>
                <w:rFonts w:ascii="仿宋" w:hAnsi="仿宋" w:eastAsia="仿宋"/>
                <w:kern w:val="0"/>
                <w:szCs w:val="21"/>
              </w:rPr>
            </w:pPr>
            <w:r>
              <w:rPr>
                <w:rFonts w:hint="eastAsia" w:ascii="仿宋" w:hAnsi="仿宋" w:eastAsia="仿宋"/>
                <w:kern w:val="0"/>
                <w:szCs w:val="21"/>
              </w:rPr>
              <w:t>S6</w:t>
            </w:r>
          </w:p>
        </w:tc>
        <w:tc>
          <w:tcPr>
            <w:tcW w:w="1134" w:type="dxa"/>
            <w:vAlign w:val="center"/>
          </w:tcPr>
          <w:p>
            <w:pPr>
              <w:widowControl/>
              <w:jc w:val="center"/>
              <w:rPr>
                <w:rFonts w:ascii="仿宋" w:hAnsi="仿宋" w:eastAsia="仿宋"/>
                <w:kern w:val="0"/>
                <w:szCs w:val="21"/>
              </w:rPr>
            </w:pPr>
            <w:r>
              <w:rPr>
                <w:rFonts w:hint="eastAsia" w:ascii="仿宋" w:hAnsi="仿宋" w:eastAsia="仿宋"/>
                <w:kern w:val="0"/>
                <w:szCs w:val="21"/>
              </w:rPr>
              <w:t>废机油</w:t>
            </w:r>
          </w:p>
        </w:tc>
        <w:tc>
          <w:tcPr>
            <w:tcW w:w="1280" w:type="dxa"/>
            <w:vAlign w:val="center"/>
          </w:tcPr>
          <w:p>
            <w:pPr>
              <w:widowControl/>
              <w:jc w:val="center"/>
              <w:rPr>
                <w:rFonts w:ascii="仿宋" w:hAnsi="仿宋" w:eastAsia="仿宋"/>
                <w:kern w:val="0"/>
                <w:szCs w:val="21"/>
              </w:rPr>
            </w:pPr>
            <w:r>
              <w:rPr>
                <w:rFonts w:hint="eastAsia" w:ascii="仿宋" w:hAnsi="仿宋" w:eastAsia="仿宋"/>
                <w:kern w:val="0"/>
                <w:szCs w:val="21"/>
              </w:rPr>
              <w:t>维修</w:t>
            </w:r>
          </w:p>
        </w:tc>
        <w:tc>
          <w:tcPr>
            <w:tcW w:w="687" w:type="dxa"/>
            <w:vAlign w:val="center"/>
          </w:tcPr>
          <w:p>
            <w:pPr>
              <w:tabs>
                <w:tab w:val="left" w:pos="3240"/>
              </w:tabs>
              <w:adjustRightInd w:val="0"/>
              <w:snapToGrid w:val="0"/>
              <w:jc w:val="center"/>
              <w:rPr>
                <w:rFonts w:ascii="仿宋" w:hAnsi="仿宋" w:eastAsia="仿宋"/>
                <w:bCs/>
                <w:kern w:val="0"/>
                <w:szCs w:val="21"/>
              </w:rPr>
            </w:pPr>
            <w:r>
              <w:rPr>
                <w:rFonts w:hint="eastAsia" w:ascii="仿宋" w:hAnsi="仿宋" w:eastAsia="仿宋"/>
                <w:bCs/>
                <w:kern w:val="0"/>
                <w:szCs w:val="21"/>
              </w:rPr>
              <w:t>液</w:t>
            </w:r>
          </w:p>
        </w:tc>
        <w:tc>
          <w:tcPr>
            <w:tcW w:w="1293" w:type="dxa"/>
            <w:vAlign w:val="center"/>
          </w:tcPr>
          <w:p>
            <w:pPr>
              <w:tabs>
                <w:tab w:val="left" w:pos="3240"/>
              </w:tabs>
              <w:adjustRightInd w:val="0"/>
              <w:snapToGrid w:val="0"/>
              <w:jc w:val="center"/>
              <w:rPr>
                <w:rFonts w:ascii="仿宋" w:hAnsi="仿宋" w:eastAsia="仿宋"/>
                <w:bCs/>
                <w:kern w:val="0"/>
                <w:szCs w:val="21"/>
              </w:rPr>
            </w:pPr>
            <w:r>
              <w:rPr>
                <w:rFonts w:hint="eastAsia" w:ascii="仿宋" w:hAnsi="仿宋" w:eastAsia="仿宋"/>
                <w:bCs/>
                <w:kern w:val="0"/>
                <w:szCs w:val="21"/>
              </w:rPr>
              <w:t>机油</w:t>
            </w:r>
          </w:p>
        </w:tc>
        <w:tc>
          <w:tcPr>
            <w:tcW w:w="902" w:type="dxa"/>
            <w:vAlign w:val="center"/>
          </w:tcPr>
          <w:p>
            <w:pPr>
              <w:widowControl/>
              <w:jc w:val="center"/>
              <w:rPr>
                <w:rFonts w:ascii="仿宋" w:hAnsi="仿宋" w:eastAsia="仿宋"/>
                <w:kern w:val="0"/>
                <w:szCs w:val="21"/>
              </w:rPr>
            </w:pPr>
            <w:r>
              <w:rPr>
                <w:rFonts w:hint="eastAsia" w:ascii="仿宋" w:hAnsi="仿宋" w:eastAsia="仿宋"/>
                <w:kern w:val="0"/>
                <w:szCs w:val="21"/>
              </w:rPr>
              <w:t>0.3</w:t>
            </w:r>
          </w:p>
        </w:tc>
        <w:tc>
          <w:tcPr>
            <w:tcW w:w="478" w:type="dxa"/>
            <w:vAlign w:val="center"/>
          </w:tcPr>
          <w:p>
            <w:pPr>
              <w:widowControl/>
              <w:jc w:val="center"/>
              <w:rPr>
                <w:rFonts w:ascii="仿宋" w:hAnsi="仿宋" w:eastAsia="仿宋"/>
                <w:kern w:val="0"/>
                <w:szCs w:val="21"/>
              </w:rPr>
            </w:pPr>
            <w:r>
              <w:rPr>
                <w:rFonts w:ascii="仿宋" w:hAnsi="仿宋" w:eastAsia="仿宋"/>
                <w:kern w:val="0"/>
                <w:szCs w:val="21"/>
              </w:rPr>
              <w:t>√</w:t>
            </w:r>
          </w:p>
        </w:tc>
        <w:tc>
          <w:tcPr>
            <w:tcW w:w="529" w:type="dxa"/>
            <w:vAlign w:val="center"/>
          </w:tcPr>
          <w:p>
            <w:pPr>
              <w:widowControl/>
              <w:jc w:val="center"/>
              <w:rPr>
                <w:rFonts w:ascii="仿宋" w:hAnsi="仿宋" w:eastAsia="仿宋"/>
                <w:kern w:val="0"/>
                <w:szCs w:val="21"/>
              </w:rPr>
            </w:pPr>
          </w:p>
        </w:tc>
        <w:tc>
          <w:tcPr>
            <w:tcW w:w="779" w:type="dxa"/>
            <w:vMerge w:val="continue"/>
            <w:vAlign w:val="center"/>
          </w:tcPr>
          <w:p>
            <w:pPr>
              <w:widowControl/>
              <w:jc w:val="center"/>
              <w:rPr>
                <w:rFonts w:ascii="仿宋" w:hAnsi="仿宋" w:eastAsia="仿宋"/>
                <w:kern w:val="0"/>
                <w:szCs w:val="21"/>
              </w:rPr>
            </w:pPr>
          </w:p>
        </w:tc>
      </w:tr>
    </w:tbl>
    <w:p>
      <w:pPr>
        <w:spacing w:line="500" w:lineRule="exact"/>
        <w:rPr>
          <w:rFonts w:eastAsia="仿宋_GB2312"/>
          <w:b/>
          <w:sz w:val="24"/>
        </w:rPr>
        <w:sectPr>
          <w:pgSz w:w="11907" w:h="16839"/>
          <w:pgMar w:top="1800" w:right="1440" w:bottom="1800" w:left="1440" w:header="851" w:footer="992" w:gutter="0"/>
          <w:cols w:space="425" w:num="1"/>
          <w:docGrid w:type="linesAndChars" w:linePitch="312" w:charSpace="0"/>
        </w:sectPr>
      </w:pPr>
    </w:p>
    <w:p>
      <w:pPr>
        <w:spacing w:line="500" w:lineRule="exact"/>
        <w:jc w:val="center"/>
        <w:rPr>
          <w:rFonts w:eastAsia="仿宋_GB2312"/>
          <w:b/>
          <w:sz w:val="24"/>
        </w:rPr>
      </w:pPr>
      <w:bookmarkStart w:id="254" w:name="_Ref437372912"/>
      <w:r>
        <w:rPr>
          <w:rFonts w:eastAsia="仿宋_GB2312"/>
        </w:rPr>
        <w:tab/>
      </w:r>
      <w:r>
        <w:rPr>
          <w:rFonts w:eastAsia="仿宋_GB2312"/>
          <w:b/>
          <w:sz w:val="24"/>
        </w:rPr>
        <w:t>表</w:t>
      </w:r>
      <w:bookmarkEnd w:id="254"/>
      <w:r>
        <w:rPr>
          <w:rFonts w:eastAsia="仿宋_GB2312"/>
          <w:b/>
          <w:sz w:val="24"/>
        </w:rPr>
        <w:t>3.</w:t>
      </w:r>
      <w:r>
        <w:rPr>
          <w:rFonts w:hint="eastAsia" w:eastAsia="仿宋_GB2312"/>
          <w:b/>
          <w:sz w:val="24"/>
        </w:rPr>
        <w:t>3</w:t>
      </w:r>
      <w:r>
        <w:rPr>
          <w:rFonts w:eastAsia="仿宋_GB2312"/>
          <w:b/>
          <w:sz w:val="24"/>
        </w:rPr>
        <w:t>-8  本项目固废产排情况汇总表</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8"/>
        <w:gridCol w:w="1273"/>
        <w:gridCol w:w="871"/>
        <w:gridCol w:w="913"/>
        <w:gridCol w:w="673"/>
        <w:gridCol w:w="446"/>
        <w:gridCol w:w="1289"/>
        <w:gridCol w:w="703"/>
        <w:gridCol w:w="576"/>
        <w:gridCol w:w="867"/>
        <w:gridCol w:w="382"/>
        <w:gridCol w:w="920"/>
        <w:gridCol w:w="867"/>
        <w:gridCol w:w="1028"/>
        <w:gridCol w:w="1028"/>
        <w:gridCol w:w="1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222" w:type="pct"/>
            <w:vAlign w:val="center"/>
          </w:tcPr>
          <w:p>
            <w:pPr>
              <w:widowControl/>
              <w:jc w:val="center"/>
              <w:rPr>
                <w:rFonts w:ascii="仿宋" w:hAnsi="仿宋" w:eastAsia="仿宋"/>
                <w:kern w:val="0"/>
                <w:szCs w:val="21"/>
              </w:rPr>
            </w:pPr>
            <w:r>
              <w:rPr>
                <w:rFonts w:hint="eastAsia" w:ascii="仿宋" w:hAnsi="仿宋" w:eastAsia="仿宋"/>
                <w:kern w:val="0"/>
                <w:szCs w:val="21"/>
              </w:rPr>
              <w:t>序号</w:t>
            </w:r>
          </w:p>
        </w:tc>
        <w:tc>
          <w:tcPr>
            <w:tcW w:w="473" w:type="pct"/>
            <w:vAlign w:val="center"/>
          </w:tcPr>
          <w:p>
            <w:pPr>
              <w:widowControl/>
              <w:jc w:val="center"/>
              <w:rPr>
                <w:rFonts w:ascii="仿宋" w:hAnsi="仿宋" w:eastAsia="仿宋"/>
                <w:kern w:val="0"/>
                <w:szCs w:val="21"/>
              </w:rPr>
            </w:pPr>
            <w:r>
              <w:rPr>
                <w:rFonts w:ascii="仿宋" w:hAnsi="仿宋" w:eastAsia="仿宋"/>
                <w:kern w:val="0"/>
                <w:szCs w:val="21"/>
              </w:rPr>
              <w:t>编号</w:t>
            </w:r>
          </w:p>
        </w:tc>
        <w:tc>
          <w:tcPr>
            <w:tcW w:w="323" w:type="pct"/>
            <w:tcMar>
              <w:left w:w="0" w:type="dxa"/>
              <w:right w:w="0" w:type="dxa"/>
            </w:tcMar>
            <w:vAlign w:val="center"/>
          </w:tcPr>
          <w:p>
            <w:pPr>
              <w:widowControl/>
              <w:jc w:val="center"/>
              <w:rPr>
                <w:rFonts w:ascii="仿宋" w:hAnsi="仿宋" w:eastAsia="仿宋"/>
                <w:kern w:val="0"/>
                <w:szCs w:val="21"/>
              </w:rPr>
            </w:pPr>
            <w:r>
              <w:rPr>
                <w:rFonts w:ascii="仿宋" w:hAnsi="仿宋" w:eastAsia="仿宋"/>
                <w:kern w:val="0"/>
                <w:szCs w:val="21"/>
              </w:rPr>
              <w:t>固废名称</w:t>
            </w:r>
          </w:p>
        </w:tc>
        <w:tc>
          <w:tcPr>
            <w:tcW w:w="339" w:type="pct"/>
            <w:tcMar>
              <w:left w:w="0" w:type="dxa"/>
              <w:right w:w="0" w:type="dxa"/>
            </w:tcMar>
            <w:vAlign w:val="center"/>
          </w:tcPr>
          <w:p>
            <w:pPr>
              <w:widowControl/>
              <w:jc w:val="center"/>
              <w:rPr>
                <w:rFonts w:ascii="仿宋" w:hAnsi="仿宋" w:eastAsia="仿宋"/>
                <w:kern w:val="0"/>
                <w:szCs w:val="21"/>
              </w:rPr>
            </w:pPr>
            <w:r>
              <w:rPr>
                <w:rFonts w:ascii="仿宋" w:hAnsi="仿宋" w:eastAsia="仿宋"/>
                <w:kern w:val="0"/>
                <w:szCs w:val="21"/>
              </w:rPr>
              <w:t>属性</w:t>
            </w:r>
          </w:p>
        </w:tc>
        <w:tc>
          <w:tcPr>
            <w:tcW w:w="250" w:type="pct"/>
            <w:tcMar>
              <w:left w:w="0" w:type="dxa"/>
              <w:right w:w="0" w:type="dxa"/>
            </w:tcMar>
            <w:vAlign w:val="center"/>
          </w:tcPr>
          <w:p>
            <w:pPr>
              <w:widowControl/>
              <w:jc w:val="center"/>
              <w:rPr>
                <w:rFonts w:ascii="仿宋" w:hAnsi="仿宋" w:eastAsia="仿宋"/>
                <w:kern w:val="0"/>
                <w:szCs w:val="21"/>
              </w:rPr>
            </w:pPr>
            <w:r>
              <w:rPr>
                <w:rFonts w:ascii="仿宋" w:hAnsi="仿宋" w:eastAsia="仿宋"/>
                <w:kern w:val="0"/>
                <w:szCs w:val="21"/>
              </w:rPr>
              <w:t>产生工序</w:t>
            </w:r>
          </w:p>
        </w:tc>
        <w:tc>
          <w:tcPr>
            <w:tcW w:w="166" w:type="pct"/>
            <w:tcMar>
              <w:left w:w="0" w:type="dxa"/>
              <w:right w:w="0" w:type="dxa"/>
            </w:tcMar>
            <w:vAlign w:val="center"/>
          </w:tcPr>
          <w:p>
            <w:pPr>
              <w:widowControl/>
              <w:jc w:val="center"/>
              <w:rPr>
                <w:rFonts w:ascii="仿宋" w:hAnsi="仿宋" w:eastAsia="仿宋"/>
                <w:kern w:val="0"/>
                <w:szCs w:val="21"/>
              </w:rPr>
            </w:pPr>
            <w:r>
              <w:rPr>
                <w:rFonts w:ascii="仿宋" w:hAnsi="仿宋" w:eastAsia="仿宋"/>
                <w:kern w:val="0"/>
                <w:szCs w:val="21"/>
              </w:rPr>
              <w:t>形态</w:t>
            </w:r>
          </w:p>
        </w:tc>
        <w:tc>
          <w:tcPr>
            <w:tcW w:w="479" w:type="pct"/>
            <w:tcMar>
              <w:left w:w="0" w:type="dxa"/>
              <w:right w:w="0" w:type="dxa"/>
            </w:tcMar>
            <w:vAlign w:val="center"/>
          </w:tcPr>
          <w:p>
            <w:pPr>
              <w:widowControl/>
              <w:jc w:val="center"/>
              <w:rPr>
                <w:rFonts w:ascii="仿宋" w:hAnsi="仿宋" w:eastAsia="仿宋"/>
                <w:kern w:val="0"/>
                <w:szCs w:val="21"/>
              </w:rPr>
            </w:pPr>
            <w:r>
              <w:rPr>
                <w:rFonts w:ascii="仿宋" w:hAnsi="仿宋" w:eastAsia="仿宋"/>
                <w:kern w:val="0"/>
                <w:szCs w:val="21"/>
              </w:rPr>
              <w:t>主要成分</w:t>
            </w:r>
          </w:p>
        </w:tc>
        <w:tc>
          <w:tcPr>
            <w:tcW w:w="261" w:type="pct"/>
            <w:tcMar>
              <w:left w:w="0" w:type="dxa"/>
              <w:right w:w="0" w:type="dxa"/>
            </w:tcMar>
            <w:vAlign w:val="center"/>
          </w:tcPr>
          <w:p>
            <w:pPr>
              <w:widowControl/>
              <w:jc w:val="center"/>
              <w:rPr>
                <w:rFonts w:ascii="仿宋" w:hAnsi="仿宋" w:eastAsia="仿宋"/>
                <w:kern w:val="0"/>
                <w:szCs w:val="21"/>
              </w:rPr>
            </w:pPr>
            <w:r>
              <w:rPr>
                <w:rFonts w:ascii="仿宋" w:hAnsi="仿宋" w:eastAsia="仿宋"/>
                <w:kern w:val="0"/>
                <w:szCs w:val="21"/>
              </w:rPr>
              <w:t>危险特性鉴别方法</w:t>
            </w:r>
          </w:p>
        </w:tc>
        <w:tc>
          <w:tcPr>
            <w:tcW w:w="214" w:type="pct"/>
            <w:vAlign w:val="center"/>
          </w:tcPr>
          <w:p>
            <w:pPr>
              <w:widowControl/>
              <w:jc w:val="center"/>
              <w:rPr>
                <w:rFonts w:ascii="仿宋" w:hAnsi="仿宋" w:eastAsia="仿宋"/>
                <w:kern w:val="0"/>
                <w:szCs w:val="21"/>
              </w:rPr>
            </w:pPr>
            <w:r>
              <w:rPr>
                <w:rFonts w:ascii="仿宋" w:hAnsi="仿宋" w:eastAsia="仿宋"/>
                <w:kern w:val="0"/>
                <w:szCs w:val="21"/>
              </w:rPr>
              <w:t>危险特性</w:t>
            </w:r>
          </w:p>
        </w:tc>
        <w:tc>
          <w:tcPr>
            <w:tcW w:w="322" w:type="pct"/>
            <w:vAlign w:val="center"/>
          </w:tcPr>
          <w:p>
            <w:pPr>
              <w:widowControl/>
              <w:jc w:val="center"/>
              <w:rPr>
                <w:rFonts w:ascii="仿宋" w:hAnsi="仿宋" w:eastAsia="仿宋"/>
                <w:kern w:val="0"/>
                <w:szCs w:val="21"/>
              </w:rPr>
            </w:pPr>
            <w:r>
              <w:rPr>
                <w:rFonts w:ascii="仿宋" w:hAnsi="仿宋" w:eastAsia="仿宋"/>
                <w:kern w:val="0"/>
                <w:szCs w:val="21"/>
              </w:rPr>
              <w:t>废物</w:t>
            </w:r>
          </w:p>
          <w:p>
            <w:pPr>
              <w:widowControl/>
              <w:jc w:val="center"/>
              <w:rPr>
                <w:rFonts w:ascii="仿宋" w:hAnsi="仿宋" w:eastAsia="仿宋"/>
                <w:kern w:val="0"/>
                <w:szCs w:val="21"/>
              </w:rPr>
            </w:pPr>
            <w:r>
              <w:rPr>
                <w:rFonts w:ascii="仿宋" w:hAnsi="仿宋" w:eastAsia="仿宋"/>
                <w:kern w:val="0"/>
                <w:szCs w:val="21"/>
              </w:rPr>
              <w:t>类别</w:t>
            </w:r>
          </w:p>
        </w:tc>
        <w:tc>
          <w:tcPr>
            <w:tcW w:w="483" w:type="pct"/>
            <w:gridSpan w:val="2"/>
            <w:vAlign w:val="center"/>
          </w:tcPr>
          <w:p>
            <w:pPr>
              <w:widowControl/>
              <w:jc w:val="center"/>
              <w:rPr>
                <w:rFonts w:ascii="仿宋" w:hAnsi="仿宋" w:eastAsia="仿宋"/>
                <w:kern w:val="0"/>
                <w:szCs w:val="21"/>
              </w:rPr>
            </w:pPr>
            <w:r>
              <w:rPr>
                <w:rFonts w:ascii="仿宋" w:hAnsi="仿宋" w:eastAsia="仿宋"/>
                <w:kern w:val="0"/>
                <w:szCs w:val="21"/>
              </w:rPr>
              <w:t>废物</w:t>
            </w:r>
          </w:p>
          <w:p>
            <w:pPr>
              <w:widowControl/>
              <w:jc w:val="center"/>
              <w:rPr>
                <w:rFonts w:ascii="仿宋" w:hAnsi="仿宋" w:eastAsia="仿宋"/>
                <w:kern w:val="0"/>
                <w:szCs w:val="21"/>
              </w:rPr>
            </w:pPr>
            <w:r>
              <w:rPr>
                <w:rFonts w:ascii="仿宋" w:hAnsi="仿宋" w:eastAsia="仿宋"/>
                <w:kern w:val="0"/>
                <w:szCs w:val="21"/>
              </w:rPr>
              <w:t>代码</w:t>
            </w:r>
          </w:p>
        </w:tc>
        <w:tc>
          <w:tcPr>
            <w:tcW w:w="322" w:type="pct"/>
            <w:vAlign w:val="center"/>
          </w:tcPr>
          <w:p>
            <w:pPr>
              <w:widowControl/>
              <w:jc w:val="center"/>
              <w:rPr>
                <w:rFonts w:ascii="仿宋" w:hAnsi="仿宋" w:eastAsia="仿宋"/>
                <w:kern w:val="0"/>
                <w:szCs w:val="21"/>
              </w:rPr>
            </w:pPr>
            <w:r>
              <w:rPr>
                <w:rFonts w:ascii="仿宋" w:hAnsi="仿宋" w:eastAsia="仿宋"/>
                <w:kern w:val="0"/>
                <w:szCs w:val="21"/>
              </w:rPr>
              <w:t>估算产生量（t/a）</w:t>
            </w:r>
          </w:p>
        </w:tc>
        <w:tc>
          <w:tcPr>
            <w:tcW w:w="382" w:type="pct"/>
            <w:vAlign w:val="center"/>
          </w:tcPr>
          <w:p>
            <w:pPr>
              <w:widowControl/>
              <w:jc w:val="center"/>
              <w:rPr>
                <w:rFonts w:ascii="仿宋" w:hAnsi="仿宋" w:eastAsia="仿宋" w:cs="宋体"/>
                <w:bCs/>
                <w:kern w:val="0"/>
                <w:szCs w:val="21"/>
              </w:rPr>
            </w:pPr>
            <w:r>
              <w:rPr>
                <w:rFonts w:hint="eastAsia" w:ascii="仿宋" w:hAnsi="仿宋" w:eastAsia="仿宋" w:cs="宋体"/>
                <w:bCs/>
                <w:kern w:val="0"/>
                <w:szCs w:val="21"/>
              </w:rPr>
              <w:t>产废周期</w:t>
            </w:r>
          </w:p>
        </w:tc>
        <w:tc>
          <w:tcPr>
            <w:tcW w:w="382" w:type="pct"/>
            <w:vAlign w:val="center"/>
          </w:tcPr>
          <w:p>
            <w:pPr>
              <w:widowControl/>
              <w:jc w:val="center"/>
              <w:rPr>
                <w:rFonts w:ascii="仿宋" w:hAnsi="仿宋" w:eastAsia="仿宋" w:cs="宋体"/>
                <w:bCs/>
                <w:kern w:val="0"/>
                <w:szCs w:val="21"/>
              </w:rPr>
            </w:pPr>
            <w:r>
              <w:rPr>
                <w:rFonts w:hint="eastAsia" w:ascii="仿宋" w:hAnsi="仿宋" w:eastAsia="仿宋" w:cs="宋体"/>
                <w:bCs/>
                <w:kern w:val="0"/>
                <w:szCs w:val="21"/>
              </w:rPr>
              <w:t>污染物防治措施</w:t>
            </w:r>
          </w:p>
        </w:tc>
        <w:tc>
          <w:tcPr>
            <w:tcW w:w="379" w:type="pct"/>
            <w:vAlign w:val="center"/>
          </w:tcPr>
          <w:p>
            <w:pPr>
              <w:widowControl/>
              <w:jc w:val="center"/>
              <w:rPr>
                <w:rFonts w:ascii="仿宋" w:hAnsi="仿宋" w:eastAsia="仿宋" w:cs="宋体"/>
                <w:bCs/>
                <w:kern w:val="0"/>
                <w:szCs w:val="21"/>
              </w:rPr>
            </w:pPr>
            <w:r>
              <w:rPr>
                <w:rFonts w:hint="eastAsia" w:ascii="仿宋" w:hAnsi="仿宋" w:eastAsia="仿宋" w:cs="宋体"/>
                <w:bCs/>
                <w:kern w:val="0"/>
                <w:szCs w:val="21"/>
              </w:rPr>
              <w:t>排放量（</w:t>
            </w:r>
            <w:r>
              <w:rPr>
                <w:rFonts w:ascii="仿宋" w:hAnsi="仿宋" w:eastAsia="仿宋"/>
                <w:bCs/>
                <w:kern w:val="0"/>
                <w:szCs w:val="21"/>
              </w:rPr>
              <w:t>t/a</w:t>
            </w:r>
            <w:r>
              <w:rPr>
                <w:rFonts w:hint="eastAsia" w:ascii="仿宋" w:hAnsi="仿宋" w:eastAsia="仿宋" w:cs="宋体"/>
                <w:bCs/>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222" w:type="pct"/>
            <w:vAlign w:val="center"/>
          </w:tcPr>
          <w:p>
            <w:pPr>
              <w:widowControl/>
              <w:jc w:val="center"/>
              <w:rPr>
                <w:rFonts w:ascii="仿宋" w:hAnsi="仿宋" w:eastAsia="仿宋"/>
                <w:kern w:val="0"/>
                <w:sz w:val="22"/>
                <w:szCs w:val="22"/>
              </w:rPr>
            </w:pPr>
            <w:r>
              <w:rPr>
                <w:rFonts w:hint="eastAsia" w:ascii="仿宋" w:hAnsi="仿宋" w:eastAsia="仿宋"/>
                <w:sz w:val="22"/>
                <w:szCs w:val="22"/>
              </w:rPr>
              <w:t>1</w:t>
            </w:r>
          </w:p>
        </w:tc>
        <w:tc>
          <w:tcPr>
            <w:tcW w:w="473" w:type="pct"/>
            <w:vAlign w:val="center"/>
          </w:tcPr>
          <w:p>
            <w:pPr>
              <w:jc w:val="center"/>
              <w:rPr>
                <w:rFonts w:ascii="仿宋" w:hAnsi="仿宋" w:eastAsia="仿宋"/>
                <w:szCs w:val="21"/>
              </w:rPr>
            </w:pPr>
            <w:r>
              <w:rPr>
                <w:rFonts w:ascii="仿宋" w:hAnsi="仿宋" w:eastAsia="仿宋"/>
                <w:szCs w:val="21"/>
                <w:vertAlign w:val="subscript"/>
              </w:rPr>
              <w:t>/</w:t>
            </w:r>
          </w:p>
        </w:tc>
        <w:tc>
          <w:tcPr>
            <w:tcW w:w="323" w:type="pct"/>
            <w:tcMar>
              <w:left w:w="0" w:type="dxa"/>
              <w:right w:w="0" w:type="dxa"/>
            </w:tcMar>
            <w:vAlign w:val="center"/>
          </w:tcPr>
          <w:p>
            <w:pPr>
              <w:jc w:val="center"/>
              <w:rPr>
                <w:rFonts w:ascii="仿宋" w:hAnsi="仿宋" w:eastAsia="仿宋" w:cs="宋体"/>
                <w:szCs w:val="21"/>
              </w:rPr>
            </w:pPr>
            <w:r>
              <w:rPr>
                <w:rFonts w:hint="eastAsia" w:ascii="仿宋" w:hAnsi="仿宋" w:eastAsia="仿宋"/>
                <w:szCs w:val="21"/>
              </w:rPr>
              <w:t>生活垃圾</w:t>
            </w:r>
          </w:p>
        </w:tc>
        <w:tc>
          <w:tcPr>
            <w:tcW w:w="339" w:type="pct"/>
            <w:tcMar>
              <w:left w:w="0" w:type="dxa"/>
              <w:right w:w="0" w:type="dxa"/>
            </w:tcMar>
            <w:vAlign w:val="center"/>
          </w:tcPr>
          <w:p>
            <w:pPr>
              <w:jc w:val="center"/>
              <w:rPr>
                <w:rFonts w:ascii="仿宋" w:hAnsi="仿宋" w:eastAsia="仿宋"/>
                <w:szCs w:val="21"/>
              </w:rPr>
            </w:pPr>
            <w:r>
              <w:rPr>
                <w:rFonts w:ascii="仿宋" w:hAnsi="仿宋" w:eastAsia="仿宋"/>
                <w:szCs w:val="21"/>
              </w:rPr>
              <w:t>/</w:t>
            </w:r>
          </w:p>
        </w:tc>
        <w:tc>
          <w:tcPr>
            <w:tcW w:w="250" w:type="pct"/>
            <w:tcMar>
              <w:left w:w="0" w:type="dxa"/>
              <w:right w:w="0" w:type="dxa"/>
            </w:tcMar>
            <w:vAlign w:val="center"/>
          </w:tcPr>
          <w:p>
            <w:pPr>
              <w:jc w:val="center"/>
              <w:rPr>
                <w:rFonts w:ascii="仿宋" w:hAnsi="仿宋" w:eastAsia="仿宋" w:cs="宋体"/>
                <w:szCs w:val="21"/>
              </w:rPr>
            </w:pPr>
            <w:r>
              <w:rPr>
                <w:rFonts w:hint="eastAsia" w:ascii="仿宋" w:hAnsi="仿宋" w:eastAsia="仿宋"/>
                <w:szCs w:val="21"/>
              </w:rPr>
              <w:t>办公、生活</w:t>
            </w:r>
          </w:p>
        </w:tc>
        <w:tc>
          <w:tcPr>
            <w:tcW w:w="166" w:type="pct"/>
            <w:tcMar>
              <w:left w:w="0" w:type="dxa"/>
              <w:right w:w="0" w:type="dxa"/>
            </w:tcMar>
            <w:vAlign w:val="center"/>
          </w:tcPr>
          <w:p>
            <w:pPr>
              <w:jc w:val="center"/>
              <w:rPr>
                <w:rFonts w:ascii="仿宋" w:hAnsi="仿宋" w:eastAsia="仿宋"/>
                <w:szCs w:val="21"/>
              </w:rPr>
            </w:pPr>
            <w:r>
              <w:rPr>
                <w:rFonts w:hint="eastAsia" w:ascii="仿宋" w:hAnsi="仿宋" w:eastAsia="仿宋"/>
                <w:szCs w:val="21"/>
              </w:rPr>
              <w:t>固</w:t>
            </w:r>
          </w:p>
        </w:tc>
        <w:tc>
          <w:tcPr>
            <w:tcW w:w="479" w:type="pct"/>
            <w:tcMar>
              <w:left w:w="0" w:type="dxa"/>
              <w:right w:w="0" w:type="dxa"/>
            </w:tcMar>
            <w:vAlign w:val="center"/>
          </w:tcPr>
          <w:p>
            <w:pPr>
              <w:jc w:val="center"/>
              <w:rPr>
                <w:rFonts w:ascii="仿宋" w:hAnsi="仿宋" w:eastAsia="仿宋"/>
                <w:szCs w:val="21"/>
              </w:rPr>
            </w:pPr>
            <w:r>
              <w:rPr>
                <w:rFonts w:hint="eastAsia" w:ascii="仿宋" w:hAnsi="仿宋" w:eastAsia="仿宋"/>
                <w:szCs w:val="21"/>
              </w:rPr>
              <w:t>生活垃圾</w:t>
            </w:r>
          </w:p>
        </w:tc>
        <w:tc>
          <w:tcPr>
            <w:tcW w:w="261" w:type="pct"/>
            <w:vMerge w:val="restart"/>
            <w:tcMar>
              <w:left w:w="0" w:type="dxa"/>
              <w:right w:w="0" w:type="dxa"/>
            </w:tcMar>
            <w:vAlign w:val="center"/>
          </w:tcPr>
          <w:p>
            <w:pPr>
              <w:tabs>
                <w:tab w:val="left" w:pos="3240"/>
              </w:tabs>
              <w:adjustRightInd w:val="0"/>
              <w:snapToGrid w:val="0"/>
              <w:jc w:val="center"/>
              <w:rPr>
                <w:rFonts w:ascii="仿宋" w:hAnsi="仿宋" w:eastAsia="仿宋"/>
                <w:bCs/>
                <w:kern w:val="0"/>
                <w:szCs w:val="21"/>
              </w:rPr>
            </w:pPr>
            <w:r>
              <w:rPr>
                <w:rFonts w:ascii="仿宋" w:hAnsi="仿宋" w:eastAsia="仿宋"/>
                <w:bCs/>
                <w:kern w:val="0"/>
                <w:szCs w:val="21"/>
              </w:rPr>
              <w:t>《国家危险废物名录》（2021年）</w:t>
            </w:r>
          </w:p>
        </w:tc>
        <w:tc>
          <w:tcPr>
            <w:tcW w:w="1020" w:type="pct"/>
            <w:gridSpan w:val="4"/>
            <w:vAlign w:val="center"/>
          </w:tcPr>
          <w:p>
            <w:pPr>
              <w:jc w:val="center"/>
              <w:rPr>
                <w:rFonts w:ascii="仿宋" w:hAnsi="仿宋" w:eastAsia="仿宋"/>
                <w:szCs w:val="21"/>
              </w:rPr>
            </w:pPr>
            <w:r>
              <w:rPr>
                <w:rFonts w:ascii="仿宋" w:hAnsi="仿宋" w:eastAsia="仿宋"/>
                <w:szCs w:val="21"/>
              </w:rPr>
              <w:t>/</w:t>
            </w:r>
          </w:p>
        </w:tc>
        <w:tc>
          <w:tcPr>
            <w:tcW w:w="322" w:type="pct"/>
            <w:vAlign w:val="center"/>
          </w:tcPr>
          <w:p>
            <w:pPr>
              <w:jc w:val="center"/>
              <w:rPr>
                <w:rFonts w:ascii="仿宋" w:hAnsi="仿宋" w:eastAsia="仿宋"/>
                <w:szCs w:val="21"/>
              </w:rPr>
            </w:pPr>
            <w:r>
              <w:rPr>
                <w:rFonts w:hint="eastAsia" w:ascii="仿宋" w:hAnsi="仿宋" w:eastAsia="仿宋"/>
                <w:szCs w:val="21"/>
              </w:rPr>
              <w:t>6.75</w:t>
            </w:r>
          </w:p>
        </w:tc>
        <w:tc>
          <w:tcPr>
            <w:tcW w:w="382" w:type="pct"/>
            <w:vAlign w:val="center"/>
          </w:tcPr>
          <w:p>
            <w:pPr>
              <w:jc w:val="center"/>
              <w:rPr>
                <w:rFonts w:ascii="仿宋" w:hAnsi="仿宋" w:eastAsia="仿宋"/>
                <w:szCs w:val="21"/>
              </w:rPr>
            </w:pPr>
            <w:r>
              <w:rPr>
                <w:rFonts w:hint="eastAsia" w:ascii="仿宋" w:hAnsi="仿宋" w:eastAsia="仿宋"/>
                <w:szCs w:val="21"/>
              </w:rPr>
              <w:t>每天</w:t>
            </w:r>
          </w:p>
        </w:tc>
        <w:tc>
          <w:tcPr>
            <w:tcW w:w="382" w:type="pct"/>
            <w:vAlign w:val="center"/>
          </w:tcPr>
          <w:p>
            <w:pPr>
              <w:jc w:val="center"/>
              <w:rPr>
                <w:rFonts w:ascii="仿宋" w:hAnsi="仿宋" w:eastAsia="仿宋"/>
                <w:szCs w:val="21"/>
              </w:rPr>
            </w:pPr>
            <w:r>
              <w:rPr>
                <w:rFonts w:hint="eastAsia" w:ascii="仿宋" w:hAnsi="仿宋" w:eastAsia="仿宋"/>
                <w:szCs w:val="21"/>
              </w:rPr>
              <w:t>环卫</w:t>
            </w:r>
            <w:r>
              <w:rPr>
                <w:rFonts w:ascii="仿宋" w:hAnsi="仿宋" w:eastAsia="仿宋"/>
                <w:szCs w:val="21"/>
              </w:rPr>
              <w:t>部门统一收集处理</w:t>
            </w:r>
          </w:p>
        </w:tc>
        <w:tc>
          <w:tcPr>
            <w:tcW w:w="379" w:type="pct"/>
            <w:vAlign w:val="center"/>
          </w:tcPr>
          <w:p>
            <w:pPr>
              <w:jc w:val="center"/>
              <w:rPr>
                <w:rFonts w:ascii="仿宋" w:hAnsi="仿宋" w:eastAsia="仿宋"/>
                <w:szCs w:val="21"/>
              </w:rPr>
            </w:pPr>
            <w:r>
              <w:rPr>
                <w:rFonts w:hint="eastAsia" w:ascii="仿宋" w:hAnsi="仿宋" w:eastAsia="仿宋"/>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222" w:type="pct"/>
            <w:vAlign w:val="center"/>
          </w:tcPr>
          <w:p>
            <w:pPr>
              <w:jc w:val="center"/>
              <w:rPr>
                <w:rFonts w:ascii="仿宋" w:hAnsi="仿宋" w:eastAsia="仿宋"/>
                <w:sz w:val="22"/>
                <w:szCs w:val="22"/>
              </w:rPr>
            </w:pPr>
            <w:r>
              <w:rPr>
                <w:rFonts w:hint="eastAsia" w:ascii="仿宋" w:hAnsi="仿宋" w:eastAsia="仿宋"/>
                <w:sz w:val="22"/>
                <w:szCs w:val="22"/>
              </w:rPr>
              <w:t>2</w:t>
            </w:r>
          </w:p>
        </w:tc>
        <w:tc>
          <w:tcPr>
            <w:tcW w:w="473" w:type="pct"/>
            <w:vAlign w:val="center"/>
          </w:tcPr>
          <w:p>
            <w:pPr>
              <w:jc w:val="center"/>
              <w:rPr>
                <w:rFonts w:ascii="仿宋" w:hAnsi="仿宋" w:eastAsia="仿宋"/>
                <w:szCs w:val="21"/>
              </w:rPr>
            </w:pPr>
            <w:r>
              <w:rPr>
                <w:rFonts w:hint="eastAsia" w:ascii="仿宋" w:hAnsi="仿宋" w:eastAsia="仿宋"/>
                <w:kern w:val="0"/>
                <w:szCs w:val="21"/>
              </w:rPr>
              <w:t>S3</w:t>
            </w:r>
          </w:p>
        </w:tc>
        <w:tc>
          <w:tcPr>
            <w:tcW w:w="323" w:type="pct"/>
            <w:tcMar>
              <w:left w:w="0" w:type="dxa"/>
              <w:right w:w="0" w:type="dxa"/>
            </w:tcMar>
            <w:vAlign w:val="center"/>
          </w:tcPr>
          <w:p>
            <w:pPr>
              <w:jc w:val="center"/>
              <w:rPr>
                <w:rFonts w:ascii="仿宋" w:hAnsi="仿宋" w:eastAsia="仿宋" w:cs="宋体"/>
                <w:szCs w:val="21"/>
              </w:rPr>
            </w:pPr>
            <w:r>
              <w:rPr>
                <w:rFonts w:hint="eastAsia" w:ascii="仿宋" w:hAnsi="仿宋" w:eastAsia="仿宋"/>
                <w:szCs w:val="21"/>
              </w:rPr>
              <w:t>废胶带</w:t>
            </w:r>
          </w:p>
        </w:tc>
        <w:tc>
          <w:tcPr>
            <w:tcW w:w="339" w:type="pct"/>
            <w:tcMar>
              <w:left w:w="0" w:type="dxa"/>
              <w:right w:w="0" w:type="dxa"/>
            </w:tcMar>
            <w:vAlign w:val="center"/>
          </w:tcPr>
          <w:p>
            <w:pPr>
              <w:jc w:val="center"/>
              <w:rPr>
                <w:rFonts w:ascii="仿宋" w:hAnsi="仿宋" w:eastAsia="仿宋"/>
                <w:szCs w:val="21"/>
              </w:rPr>
            </w:pPr>
            <w:r>
              <w:rPr>
                <w:rFonts w:hint="eastAsia" w:ascii="仿宋" w:hAnsi="仿宋" w:eastAsia="仿宋"/>
                <w:szCs w:val="21"/>
              </w:rPr>
              <w:t>一般固废</w:t>
            </w:r>
          </w:p>
        </w:tc>
        <w:tc>
          <w:tcPr>
            <w:tcW w:w="250" w:type="pct"/>
            <w:tcMar>
              <w:left w:w="0" w:type="dxa"/>
              <w:right w:w="0" w:type="dxa"/>
            </w:tcMar>
            <w:vAlign w:val="center"/>
          </w:tcPr>
          <w:p>
            <w:pPr>
              <w:widowControl/>
              <w:jc w:val="center"/>
              <w:rPr>
                <w:rFonts w:ascii="仿宋" w:hAnsi="仿宋" w:eastAsia="仿宋"/>
                <w:szCs w:val="21"/>
              </w:rPr>
            </w:pPr>
            <w:r>
              <w:rPr>
                <w:rFonts w:hint="eastAsia" w:ascii="仿宋" w:hAnsi="仿宋" w:eastAsia="仿宋"/>
                <w:kern w:val="0"/>
                <w:szCs w:val="21"/>
              </w:rPr>
              <w:t>分切</w:t>
            </w:r>
          </w:p>
        </w:tc>
        <w:tc>
          <w:tcPr>
            <w:tcW w:w="166" w:type="pct"/>
            <w:tcMar>
              <w:left w:w="0" w:type="dxa"/>
              <w:right w:w="0" w:type="dxa"/>
            </w:tcMar>
            <w:vAlign w:val="center"/>
          </w:tcPr>
          <w:p>
            <w:pPr>
              <w:tabs>
                <w:tab w:val="left" w:pos="3240"/>
              </w:tabs>
              <w:adjustRightInd w:val="0"/>
              <w:snapToGrid w:val="0"/>
              <w:jc w:val="center"/>
              <w:rPr>
                <w:rFonts w:ascii="仿宋" w:hAnsi="仿宋" w:eastAsia="仿宋"/>
                <w:szCs w:val="21"/>
              </w:rPr>
            </w:pPr>
            <w:r>
              <w:rPr>
                <w:rFonts w:hint="eastAsia" w:ascii="仿宋" w:hAnsi="仿宋" w:eastAsia="仿宋"/>
                <w:bCs/>
                <w:kern w:val="0"/>
                <w:szCs w:val="21"/>
              </w:rPr>
              <w:t>固</w:t>
            </w:r>
          </w:p>
        </w:tc>
        <w:tc>
          <w:tcPr>
            <w:tcW w:w="479" w:type="pct"/>
            <w:tcMar>
              <w:left w:w="0" w:type="dxa"/>
              <w:right w:w="0" w:type="dxa"/>
            </w:tcMar>
            <w:vAlign w:val="center"/>
          </w:tcPr>
          <w:p>
            <w:pPr>
              <w:tabs>
                <w:tab w:val="left" w:pos="3240"/>
              </w:tabs>
              <w:adjustRightInd w:val="0"/>
              <w:snapToGrid w:val="0"/>
              <w:jc w:val="center"/>
              <w:rPr>
                <w:rFonts w:ascii="仿宋" w:hAnsi="仿宋" w:eastAsia="仿宋"/>
                <w:szCs w:val="21"/>
              </w:rPr>
            </w:pPr>
            <w:r>
              <w:rPr>
                <w:rFonts w:hint="eastAsia" w:ascii="仿宋" w:hAnsi="仿宋" w:eastAsia="仿宋"/>
                <w:bCs/>
                <w:kern w:val="0"/>
                <w:szCs w:val="21"/>
              </w:rPr>
              <w:t>膜、胶粘剂固份</w:t>
            </w:r>
          </w:p>
        </w:tc>
        <w:tc>
          <w:tcPr>
            <w:tcW w:w="261" w:type="pct"/>
            <w:vMerge w:val="continue"/>
            <w:tcMar>
              <w:left w:w="0" w:type="dxa"/>
              <w:right w:w="0" w:type="dxa"/>
            </w:tcMar>
            <w:vAlign w:val="center"/>
          </w:tcPr>
          <w:p>
            <w:pPr>
              <w:tabs>
                <w:tab w:val="left" w:pos="3240"/>
              </w:tabs>
              <w:adjustRightInd w:val="0"/>
              <w:snapToGrid w:val="0"/>
              <w:jc w:val="center"/>
              <w:rPr>
                <w:rFonts w:ascii="仿宋" w:hAnsi="仿宋" w:eastAsia="仿宋"/>
                <w:bCs/>
                <w:kern w:val="0"/>
                <w:szCs w:val="21"/>
              </w:rPr>
            </w:pPr>
          </w:p>
        </w:tc>
        <w:tc>
          <w:tcPr>
            <w:tcW w:w="1020" w:type="pct"/>
            <w:gridSpan w:val="4"/>
            <w:vAlign w:val="center"/>
          </w:tcPr>
          <w:p>
            <w:pPr>
              <w:jc w:val="center"/>
              <w:rPr>
                <w:rFonts w:ascii="仿宋" w:hAnsi="仿宋" w:eastAsia="仿宋"/>
                <w:szCs w:val="21"/>
              </w:rPr>
            </w:pPr>
            <w:r>
              <w:rPr>
                <w:rFonts w:hint="eastAsia" w:ascii="仿宋" w:hAnsi="仿宋" w:eastAsia="仿宋"/>
                <w:szCs w:val="21"/>
              </w:rPr>
              <w:t>292</w:t>
            </w:r>
            <w:r>
              <w:rPr>
                <w:rFonts w:ascii="仿宋" w:hAnsi="仿宋" w:eastAsia="仿宋"/>
                <w:szCs w:val="21"/>
              </w:rPr>
              <w:t>-001-99</w:t>
            </w:r>
          </w:p>
        </w:tc>
        <w:tc>
          <w:tcPr>
            <w:tcW w:w="322" w:type="pct"/>
            <w:vAlign w:val="center"/>
          </w:tcPr>
          <w:p>
            <w:pPr>
              <w:jc w:val="center"/>
              <w:rPr>
                <w:rFonts w:ascii="仿宋" w:hAnsi="仿宋" w:eastAsia="仿宋"/>
                <w:szCs w:val="21"/>
              </w:rPr>
            </w:pPr>
            <w:r>
              <w:rPr>
                <w:rFonts w:ascii="仿宋" w:hAnsi="仿宋" w:eastAsia="仿宋"/>
                <w:szCs w:val="21"/>
              </w:rPr>
              <w:t>48.</w:t>
            </w:r>
            <w:r>
              <w:rPr>
                <w:rFonts w:hint="eastAsia" w:ascii="仿宋" w:hAnsi="仿宋" w:eastAsia="仿宋"/>
                <w:szCs w:val="21"/>
              </w:rPr>
              <w:t>3</w:t>
            </w:r>
          </w:p>
        </w:tc>
        <w:tc>
          <w:tcPr>
            <w:tcW w:w="382" w:type="pct"/>
            <w:vAlign w:val="center"/>
          </w:tcPr>
          <w:p>
            <w:pPr>
              <w:jc w:val="center"/>
              <w:rPr>
                <w:rFonts w:ascii="仿宋" w:hAnsi="仿宋" w:eastAsia="仿宋"/>
                <w:szCs w:val="21"/>
              </w:rPr>
            </w:pPr>
            <w:r>
              <w:rPr>
                <w:rFonts w:hint="eastAsia" w:ascii="仿宋" w:hAnsi="仿宋" w:eastAsia="仿宋"/>
                <w:szCs w:val="21"/>
              </w:rPr>
              <w:t>每天</w:t>
            </w:r>
          </w:p>
        </w:tc>
        <w:tc>
          <w:tcPr>
            <w:tcW w:w="382" w:type="pct"/>
            <w:vAlign w:val="center"/>
          </w:tcPr>
          <w:p>
            <w:pPr>
              <w:jc w:val="center"/>
              <w:rPr>
                <w:rFonts w:ascii="仿宋" w:hAnsi="仿宋" w:eastAsia="仿宋"/>
                <w:szCs w:val="21"/>
              </w:rPr>
            </w:pPr>
            <w:r>
              <w:rPr>
                <w:rFonts w:hint="eastAsia" w:ascii="仿宋" w:hAnsi="仿宋" w:eastAsia="仿宋"/>
                <w:szCs w:val="21"/>
              </w:rPr>
              <w:t>外售综合利用</w:t>
            </w:r>
          </w:p>
        </w:tc>
        <w:tc>
          <w:tcPr>
            <w:tcW w:w="379" w:type="pct"/>
            <w:vAlign w:val="center"/>
          </w:tcPr>
          <w:p>
            <w:pPr>
              <w:jc w:val="center"/>
              <w:rPr>
                <w:rFonts w:ascii="仿宋" w:hAnsi="仿宋" w:eastAsia="仿宋"/>
                <w:szCs w:val="21"/>
              </w:rPr>
            </w:pPr>
            <w:r>
              <w:rPr>
                <w:rFonts w:hint="eastAsia" w:ascii="仿宋" w:hAnsi="仿宋" w:eastAsia="仿宋"/>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222" w:type="pct"/>
            <w:vAlign w:val="center"/>
          </w:tcPr>
          <w:p>
            <w:pPr>
              <w:jc w:val="center"/>
              <w:rPr>
                <w:rFonts w:ascii="仿宋" w:hAnsi="仿宋" w:eastAsia="仿宋"/>
                <w:sz w:val="22"/>
                <w:szCs w:val="22"/>
              </w:rPr>
            </w:pPr>
            <w:r>
              <w:rPr>
                <w:rFonts w:hint="eastAsia" w:ascii="仿宋" w:hAnsi="仿宋" w:eastAsia="仿宋"/>
                <w:sz w:val="22"/>
                <w:szCs w:val="22"/>
              </w:rPr>
              <w:t>3</w:t>
            </w:r>
          </w:p>
        </w:tc>
        <w:tc>
          <w:tcPr>
            <w:tcW w:w="473" w:type="pct"/>
            <w:vAlign w:val="center"/>
          </w:tcPr>
          <w:p>
            <w:pPr>
              <w:jc w:val="center"/>
              <w:rPr>
                <w:rFonts w:ascii="仿宋" w:hAnsi="仿宋" w:eastAsia="仿宋"/>
                <w:kern w:val="0"/>
                <w:szCs w:val="21"/>
              </w:rPr>
            </w:pPr>
            <w:r>
              <w:rPr>
                <w:rFonts w:hint="eastAsia" w:ascii="仿宋" w:hAnsi="仿宋" w:eastAsia="仿宋"/>
                <w:kern w:val="0"/>
                <w:szCs w:val="21"/>
              </w:rPr>
              <w:t>S1</w:t>
            </w:r>
          </w:p>
        </w:tc>
        <w:tc>
          <w:tcPr>
            <w:tcW w:w="323" w:type="pct"/>
            <w:tcMar>
              <w:left w:w="0" w:type="dxa"/>
              <w:right w:w="0" w:type="dxa"/>
            </w:tcMar>
            <w:vAlign w:val="center"/>
          </w:tcPr>
          <w:p>
            <w:pPr>
              <w:jc w:val="center"/>
              <w:rPr>
                <w:rFonts w:ascii="仿宋" w:hAnsi="仿宋" w:eastAsia="仿宋"/>
                <w:kern w:val="0"/>
                <w:szCs w:val="21"/>
              </w:rPr>
            </w:pPr>
            <w:r>
              <w:rPr>
                <w:rFonts w:hint="eastAsia" w:ascii="仿宋" w:hAnsi="仿宋" w:eastAsia="仿宋"/>
                <w:szCs w:val="21"/>
              </w:rPr>
              <w:t>废胶水</w:t>
            </w:r>
          </w:p>
        </w:tc>
        <w:tc>
          <w:tcPr>
            <w:tcW w:w="339" w:type="pct"/>
            <w:tcMar>
              <w:left w:w="0" w:type="dxa"/>
              <w:right w:w="0" w:type="dxa"/>
            </w:tcMar>
            <w:vAlign w:val="center"/>
          </w:tcPr>
          <w:p>
            <w:pPr>
              <w:jc w:val="center"/>
              <w:rPr>
                <w:rFonts w:ascii="仿宋" w:hAnsi="仿宋" w:eastAsia="仿宋"/>
                <w:szCs w:val="21"/>
              </w:rPr>
            </w:pPr>
            <w:r>
              <w:rPr>
                <w:rFonts w:hint="eastAsia" w:ascii="仿宋" w:hAnsi="仿宋" w:eastAsia="仿宋"/>
                <w:szCs w:val="21"/>
              </w:rPr>
              <w:t>危险固废</w:t>
            </w:r>
          </w:p>
        </w:tc>
        <w:tc>
          <w:tcPr>
            <w:tcW w:w="250" w:type="pct"/>
            <w:tcMar>
              <w:left w:w="0" w:type="dxa"/>
              <w:right w:w="0" w:type="dxa"/>
            </w:tcMar>
            <w:vAlign w:val="center"/>
          </w:tcPr>
          <w:p>
            <w:pPr>
              <w:widowControl/>
              <w:jc w:val="center"/>
              <w:rPr>
                <w:rFonts w:ascii="仿宋" w:hAnsi="仿宋" w:eastAsia="仿宋"/>
                <w:kern w:val="0"/>
                <w:szCs w:val="21"/>
              </w:rPr>
            </w:pPr>
            <w:r>
              <w:rPr>
                <w:rFonts w:hint="eastAsia" w:ascii="仿宋" w:hAnsi="仿宋" w:eastAsia="仿宋"/>
                <w:kern w:val="0"/>
                <w:szCs w:val="21"/>
              </w:rPr>
              <w:t>配胶</w:t>
            </w:r>
          </w:p>
        </w:tc>
        <w:tc>
          <w:tcPr>
            <w:tcW w:w="166" w:type="pct"/>
            <w:tcMar>
              <w:left w:w="0" w:type="dxa"/>
              <w:right w:w="0" w:type="dxa"/>
            </w:tcMar>
            <w:vAlign w:val="center"/>
          </w:tcPr>
          <w:p>
            <w:pPr>
              <w:tabs>
                <w:tab w:val="left" w:pos="3240"/>
              </w:tabs>
              <w:adjustRightInd w:val="0"/>
              <w:snapToGrid w:val="0"/>
              <w:jc w:val="center"/>
              <w:rPr>
                <w:rFonts w:ascii="仿宋" w:hAnsi="仿宋" w:eastAsia="仿宋"/>
                <w:bCs/>
                <w:kern w:val="0"/>
                <w:szCs w:val="21"/>
              </w:rPr>
            </w:pPr>
            <w:r>
              <w:rPr>
                <w:rFonts w:hint="eastAsia" w:ascii="仿宋" w:hAnsi="仿宋" w:eastAsia="仿宋"/>
                <w:bCs/>
                <w:kern w:val="0"/>
                <w:szCs w:val="21"/>
              </w:rPr>
              <w:t>液</w:t>
            </w:r>
          </w:p>
        </w:tc>
        <w:tc>
          <w:tcPr>
            <w:tcW w:w="479" w:type="pct"/>
            <w:tcMar>
              <w:left w:w="0" w:type="dxa"/>
              <w:right w:w="0" w:type="dxa"/>
            </w:tcMar>
            <w:vAlign w:val="center"/>
          </w:tcPr>
          <w:p>
            <w:pPr>
              <w:tabs>
                <w:tab w:val="left" w:pos="3240"/>
              </w:tabs>
              <w:adjustRightInd w:val="0"/>
              <w:snapToGrid w:val="0"/>
              <w:jc w:val="center"/>
              <w:rPr>
                <w:rFonts w:ascii="仿宋" w:hAnsi="仿宋" w:eastAsia="仿宋"/>
                <w:bCs/>
                <w:kern w:val="0"/>
                <w:szCs w:val="21"/>
              </w:rPr>
            </w:pPr>
            <w:r>
              <w:rPr>
                <w:rFonts w:hint="eastAsia" w:ascii="仿宋" w:hAnsi="仿宋" w:eastAsia="仿宋"/>
                <w:bCs/>
                <w:kern w:val="0"/>
                <w:szCs w:val="21"/>
              </w:rPr>
              <w:t>有机物</w:t>
            </w:r>
          </w:p>
        </w:tc>
        <w:tc>
          <w:tcPr>
            <w:tcW w:w="261" w:type="pct"/>
            <w:vMerge w:val="continue"/>
            <w:tcMar>
              <w:left w:w="0" w:type="dxa"/>
              <w:right w:w="0" w:type="dxa"/>
            </w:tcMar>
            <w:vAlign w:val="center"/>
          </w:tcPr>
          <w:p>
            <w:pPr>
              <w:tabs>
                <w:tab w:val="left" w:pos="3240"/>
              </w:tabs>
              <w:adjustRightInd w:val="0"/>
              <w:snapToGrid w:val="0"/>
              <w:jc w:val="center"/>
              <w:rPr>
                <w:rFonts w:ascii="仿宋" w:hAnsi="仿宋" w:eastAsia="仿宋"/>
                <w:bCs/>
                <w:kern w:val="0"/>
                <w:szCs w:val="21"/>
              </w:rPr>
            </w:pPr>
          </w:p>
        </w:tc>
        <w:tc>
          <w:tcPr>
            <w:tcW w:w="214" w:type="pct"/>
            <w:vAlign w:val="center"/>
          </w:tcPr>
          <w:p>
            <w:pPr>
              <w:jc w:val="center"/>
              <w:rPr>
                <w:rFonts w:ascii="仿宋" w:hAnsi="仿宋" w:eastAsia="仿宋"/>
                <w:szCs w:val="21"/>
              </w:rPr>
            </w:pPr>
            <w:r>
              <w:rPr>
                <w:rFonts w:ascii="仿宋" w:hAnsi="仿宋" w:eastAsia="仿宋"/>
                <w:szCs w:val="21"/>
              </w:rPr>
              <w:t>T</w:t>
            </w:r>
          </w:p>
        </w:tc>
        <w:tc>
          <w:tcPr>
            <w:tcW w:w="464" w:type="pct"/>
            <w:gridSpan w:val="2"/>
            <w:vAlign w:val="center"/>
          </w:tcPr>
          <w:p>
            <w:pPr>
              <w:jc w:val="center"/>
              <w:rPr>
                <w:rFonts w:ascii="仿宋" w:hAnsi="仿宋" w:eastAsia="仿宋"/>
                <w:szCs w:val="21"/>
              </w:rPr>
            </w:pPr>
            <w:r>
              <w:rPr>
                <w:rFonts w:ascii="仿宋" w:hAnsi="仿宋" w:eastAsia="仿宋"/>
                <w:szCs w:val="21"/>
              </w:rPr>
              <w:t>HW13</w:t>
            </w:r>
          </w:p>
        </w:tc>
        <w:tc>
          <w:tcPr>
            <w:tcW w:w="341" w:type="pct"/>
            <w:vAlign w:val="center"/>
          </w:tcPr>
          <w:p>
            <w:pPr>
              <w:jc w:val="center"/>
              <w:rPr>
                <w:rFonts w:ascii="仿宋" w:hAnsi="仿宋" w:eastAsia="仿宋"/>
                <w:szCs w:val="21"/>
              </w:rPr>
            </w:pPr>
            <w:r>
              <w:rPr>
                <w:rFonts w:ascii="仿宋" w:hAnsi="仿宋" w:eastAsia="仿宋"/>
                <w:szCs w:val="21"/>
              </w:rPr>
              <w:t>900-014-13</w:t>
            </w:r>
          </w:p>
        </w:tc>
        <w:tc>
          <w:tcPr>
            <w:tcW w:w="322" w:type="pct"/>
            <w:vAlign w:val="center"/>
          </w:tcPr>
          <w:p>
            <w:pPr>
              <w:jc w:val="center"/>
              <w:rPr>
                <w:rFonts w:ascii="仿宋" w:hAnsi="仿宋" w:eastAsia="仿宋"/>
                <w:szCs w:val="21"/>
              </w:rPr>
            </w:pPr>
            <w:r>
              <w:rPr>
                <w:rFonts w:hint="eastAsia" w:ascii="仿宋" w:hAnsi="仿宋" w:eastAsia="仿宋"/>
                <w:szCs w:val="21"/>
              </w:rPr>
              <w:t>1.8</w:t>
            </w:r>
            <w:r>
              <w:rPr>
                <w:rFonts w:ascii="仿宋" w:hAnsi="仿宋" w:eastAsia="仿宋"/>
                <w:szCs w:val="21"/>
              </w:rPr>
              <w:t>14</w:t>
            </w:r>
          </w:p>
        </w:tc>
        <w:tc>
          <w:tcPr>
            <w:tcW w:w="382" w:type="pct"/>
            <w:vAlign w:val="center"/>
          </w:tcPr>
          <w:p>
            <w:pPr>
              <w:jc w:val="center"/>
              <w:rPr>
                <w:rFonts w:ascii="仿宋" w:hAnsi="仿宋" w:eastAsia="仿宋"/>
                <w:szCs w:val="21"/>
              </w:rPr>
            </w:pPr>
            <w:r>
              <w:rPr>
                <w:rFonts w:hint="eastAsia" w:ascii="仿宋" w:hAnsi="仿宋" w:eastAsia="仿宋"/>
                <w:szCs w:val="21"/>
              </w:rPr>
              <w:t>每天</w:t>
            </w:r>
          </w:p>
        </w:tc>
        <w:tc>
          <w:tcPr>
            <w:tcW w:w="382" w:type="pct"/>
            <w:vMerge w:val="restart"/>
            <w:vAlign w:val="center"/>
          </w:tcPr>
          <w:p>
            <w:pPr>
              <w:jc w:val="center"/>
              <w:rPr>
                <w:rFonts w:ascii="仿宋" w:hAnsi="仿宋" w:eastAsia="仿宋"/>
                <w:szCs w:val="21"/>
              </w:rPr>
            </w:pPr>
            <w:r>
              <w:rPr>
                <w:rFonts w:hint="eastAsia" w:ascii="仿宋" w:hAnsi="仿宋" w:eastAsia="仿宋" w:cs="宋体"/>
                <w:kern w:val="0"/>
                <w:szCs w:val="21"/>
              </w:rPr>
              <w:t>委托有资质单位处置</w:t>
            </w:r>
          </w:p>
        </w:tc>
        <w:tc>
          <w:tcPr>
            <w:tcW w:w="379" w:type="pct"/>
            <w:vAlign w:val="center"/>
          </w:tcPr>
          <w:p>
            <w:pPr>
              <w:jc w:val="center"/>
              <w:rPr>
                <w:rFonts w:ascii="仿宋" w:hAnsi="仿宋" w:eastAsia="仿宋"/>
                <w:szCs w:val="21"/>
              </w:rPr>
            </w:pPr>
            <w:r>
              <w:rPr>
                <w:rFonts w:hint="eastAsia" w:ascii="仿宋" w:hAnsi="仿宋" w:eastAsia="仿宋"/>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222" w:type="pct"/>
            <w:vAlign w:val="center"/>
          </w:tcPr>
          <w:p>
            <w:pPr>
              <w:jc w:val="center"/>
              <w:rPr>
                <w:rFonts w:ascii="仿宋" w:hAnsi="仿宋" w:eastAsia="仿宋"/>
                <w:sz w:val="22"/>
                <w:szCs w:val="22"/>
              </w:rPr>
            </w:pPr>
            <w:r>
              <w:rPr>
                <w:rFonts w:hint="eastAsia" w:ascii="仿宋" w:hAnsi="仿宋" w:eastAsia="仿宋"/>
                <w:sz w:val="22"/>
                <w:szCs w:val="22"/>
              </w:rPr>
              <w:t>4</w:t>
            </w:r>
          </w:p>
        </w:tc>
        <w:tc>
          <w:tcPr>
            <w:tcW w:w="473" w:type="pct"/>
            <w:vAlign w:val="center"/>
          </w:tcPr>
          <w:p>
            <w:pPr>
              <w:widowControl/>
              <w:jc w:val="center"/>
              <w:rPr>
                <w:rFonts w:ascii="仿宋" w:hAnsi="仿宋" w:eastAsia="仿宋"/>
                <w:kern w:val="0"/>
                <w:szCs w:val="21"/>
              </w:rPr>
            </w:pPr>
            <w:r>
              <w:rPr>
                <w:rFonts w:hint="eastAsia" w:ascii="仿宋" w:hAnsi="仿宋" w:eastAsia="仿宋"/>
                <w:kern w:val="0"/>
                <w:szCs w:val="21"/>
              </w:rPr>
              <w:t>S2</w:t>
            </w:r>
          </w:p>
        </w:tc>
        <w:tc>
          <w:tcPr>
            <w:tcW w:w="323" w:type="pct"/>
            <w:tcMar>
              <w:left w:w="0" w:type="dxa"/>
              <w:right w:w="0" w:type="dxa"/>
            </w:tcMar>
            <w:vAlign w:val="center"/>
          </w:tcPr>
          <w:p>
            <w:pPr>
              <w:widowControl/>
              <w:jc w:val="center"/>
              <w:rPr>
                <w:rFonts w:ascii="仿宋" w:hAnsi="仿宋" w:eastAsia="仿宋"/>
                <w:kern w:val="0"/>
                <w:szCs w:val="21"/>
              </w:rPr>
            </w:pPr>
            <w:r>
              <w:rPr>
                <w:rFonts w:hint="eastAsia" w:ascii="仿宋" w:hAnsi="仿宋" w:eastAsia="仿宋"/>
                <w:kern w:val="0"/>
                <w:szCs w:val="21"/>
              </w:rPr>
              <w:t>废清洗液</w:t>
            </w:r>
          </w:p>
        </w:tc>
        <w:tc>
          <w:tcPr>
            <w:tcW w:w="339" w:type="pct"/>
            <w:tcMar>
              <w:left w:w="0" w:type="dxa"/>
              <w:right w:w="0" w:type="dxa"/>
            </w:tcMar>
            <w:vAlign w:val="center"/>
          </w:tcPr>
          <w:p>
            <w:pPr>
              <w:jc w:val="center"/>
              <w:rPr>
                <w:rFonts w:ascii="仿宋" w:hAnsi="仿宋" w:eastAsia="仿宋"/>
                <w:szCs w:val="21"/>
              </w:rPr>
            </w:pPr>
            <w:r>
              <w:rPr>
                <w:rFonts w:hint="eastAsia" w:ascii="仿宋" w:hAnsi="仿宋" w:eastAsia="仿宋"/>
                <w:szCs w:val="21"/>
              </w:rPr>
              <w:t>危险废物</w:t>
            </w:r>
          </w:p>
        </w:tc>
        <w:tc>
          <w:tcPr>
            <w:tcW w:w="250" w:type="pct"/>
            <w:tcMar>
              <w:left w:w="0" w:type="dxa"/>
              <w:right w:w="0" w:type="dxa"/>
            </w:tcMar>
            <w:vAlign w:val="center"/>
          </w:tcPr>
          <w:p>
            <w:pPr>
              <w:widowControl/>
              <w:jc w:val="center"/>
              <w:rPr>
                <w:rFonts w:ascii="仿宋" w:hAnsi="仿宋" w:eastAsia="仿宋"/>
                <w:szCs w:val="21"/>
              </w:rPr>
            </w:pPr>
            <w:r>
              <w:rPr>
                <w:rFonts w:hint="eastAsia" w:ascii="仿宋" w:hAnsi="仿宋" w:eastAsia="仿宋"/>
                <w:kern w:val="0"/>
                <w:szCs w:val="21"/>
              </w:rPr>
              <w:t>清洗</w:t>
            </w:r>
          </w:p>
        </w:tc>
        <w:tc>
          <w:tcPr>
            <w:tcW w:w="166" w:type="pct"/>
            <w:tcMar>
              <w:left w:w="0" w:type="dxa"/>
              <w:right w:w="0" w:type="dxa"/>
            </w:tcMar>
            <w:vAlign w:val="center"/>
          </w:tcPr>
          <w:p>
            <w:pPr>
              <w:tabs>
                <w:tab w:val="left" w:pos="3240"/>
              </w:tabs>
              <w:adjustRightInd w:val="0"/>
              <w:snapToGrid w:val="0"/>
              <w:jc w:val="center"/>
              <w:rPr>
                <w:rFonts w:ascii="仿宋" w:hAnsi="仿宋" w:eastAsia="仿宋"/>
                <w:szCs w:val="21"/>
              </w:rPr>
            </w:pPr>
            <w:r>
              <w:rPr>
                <w:rFonts w:hint="eastAsia" w:ascii="仿宋" w:hAnsi="仿宋" w:eastAsia="仿宋"/>
                <w:bCs/>
                <w:kern w:val="0"/>
                <w:szCs w:val="21"/>
              </w:rPr>
              <w:t>液</w:t>
            </w:r>
          </w:p>
        </w:tc>
        <w:tc>
          <w:tcPr>
            <w:tcW w:w="479" w:type="pct"/>
            <w:tcMar>
              <w:left w:w="0" w:type="dxa"/>
              <w:right w:w="0" w:type="dxa"/>
            </w:tcMar>
            <w:vAlign w:val="center"/>
          </w:tcPr>
          <w:p>
            <w:pPr>
              <w:tabs>
                <w:tab w:val="left" w:pos="3240"/>
              </w:tabs>
              <w:adjustRightInd w:val="0"/>
              <w:snapToGrid w:val="0"/>
              <w:jc w:val="center"/>
              <w:rPr>
                <w:rFonts w:ascii="仿宋" w:hAnsi="仿宋" w:eastAsia="仿宋"/>
                <w:szCs w:val="21"/>
              </w:rPr>
            </w:pPr>
            <w:r>
              <w:rPr>
                <w:rFonts w:hint="eastAsia" w:ascii="仿宋" w:hAnsi="仿宋" w:eastAsia="仿宋"/>
                <w:bCs/>
                <w:kern w:val="0"/>
                <w:szCs w:val="21"/>
              </w:rPr>
              <w:t>有机溶剂</w:t>
            </w:r>
          </w:p>
        </w:tc>
        <w:tc>
          <w:tcPr>
            <w:tcW w:w="261" w:type="pct"/>
            <w:vMerge w:val="continue"/>
            <w:tcMar>
              <w:left w:w="0" w:type="dxa"/>
              <w:right w:w="0" w:type="dxa"/>
            </w:tcMar>
            <w:vAlign w:val="center"/>
          </w:tcPr>
          <w:p>
            <w:pPr>
              <w:tabs>
                <w:tab w:val="left" w:pos="3240"/>
              </w:tabs>
              <w:adjustRightInd w:val="0"/>
              <w:snapToGrid w:val="0"/>
              <w:jc w:val="center"/>
              <w:rPr>
                <w:rFonts w:ascii="仿宋" w:hAnsi="仿宋" w:eastAsia="仿宋"/>
                <w:bCs/>
                <w:kern w:val="0"/>
                <w:szCs w:val="21"/>
              </w:rPr>
            </w:pPr>
          </w:p>
        </w:tc>
        <w:tc>
          <w:tcPr>
            <w:tcW w:w="214" w:type="pct"/>
            <w:vAlign w:val="center"/>
          </w:tcPr>
          <w:p>
            <w:pPr>
              <w:jc w:val="center"/>
              <w:rPr>
                <w:rFonts w:ascii="仿宋" w:hAnsi="仿宋" w:eastAsia="仿宋"/>
                <w:szCs w:val="21"/>
              </w:rPr>
            </w:pPr>
            <w:r>
              <w:rPr>
                <w:rFonts w:ascii="仿宋" w:hAnsi="仿宋" w:eastAsia="仿宋"/>
                <w:szCs w:val="21"/>
              </w:rPr>
              <w:t>T</w:t>
            </w:r>
          </w:p>
        </w:tc>
        <w:tc>
          <w:tcPr>
            <w:tcW w:w="464" w:type="pct"/>
            <w:gridSpan w:val="2"/>
            <w:vAlign w:val="center"/>
          </w:tcPr>
          <w:p>
            <w:pPr>
              <w:jc w:val="center"/>
              <w:rPr>
                <w:rFonts w:ascii="仿宋" w:hAnsi="仿宋" w:eastAsia="仿宋"/>
                <w:szCs w:val="21"/>
              </w:rPr>
            </w:pPr>
            <w:r>
              <w:rPr>
                <w:rFonts w:ascii="仿宋" w:hAnsi="仿宋" w:eastAsia="仿宋"/>
                <w:szCs w:val="21"/>
              </w:rPr>
              <w:t>HW06</w:t>
            </w:r>
          </w:p>
        </w:tc>
        <w:tc>
          <w:tcPr>
            <w:tcW w:w="341" w:type="pct"/>
            <w:vAlign w:val="center"/>
          </w:tcPr>
          <w:p>
            <w:pPr>
              <w:jc w:val="center"/>
              <w:rPr>
                <w:rFonts w:ascii="仿宋" w:hAnsi="仿宋" w:eastAsia="仿宋"/>
                <w:szCs w:val="21"/>
              </w:rPr>
            </w:pPr>
            <w:r>
              <w:rPr>
                <w:rFonts w:ascii="仿宋" w:hAnsi="仿宋" w:eastAsia="仿宋"/>
                <w:szCs w:val="21"/>
              </w:rPr>
              <w:t>900-404-06</w:t>
            </w:r>
          </w:p>
        </w:tc>
        <w:tc>
          <w:tcPr>
            <w:tcW w:w="322" w:type="pct"/>
            <w:vAlign w:val="center"/>
          </w:tcPr>
          <w:p>
            <w:pPr>
              <w:jc w:val="center"/>
              <w:rPr>
                <w:rFonts w:ascii="仿宋" w:hAnsi="仿宋" w:eastAsia="仿宋"/>
                <w:szCs w:val="21"/>
              </w:rPr>
            </w:pPr>
            <w:r>
              <w:rPr>
                <w:rFonts w:hint="eastAsia" w:ascii="仿宋" w:hAnsi="仿宋" w:eastAsia="仿宋"/>
                <w:szCs w:val="21"/>
              </w:rPr>
              <w:t>3.6</w:t>
            </w:r>
          </w:p>
        </w:tc>
        <w:tc>
          <w:tcPr>
            <w:tcW w:w="382" w:type="pct"/>
            <w:vAlign w:val="center"/>
          </w:tcPr>
          <w:p>
            <w:pPr>
              <w:jc w:val="center"/>
              <w:rPr>
                <w:rFonts w:ascii="仿宋" w:hAnsi="仿宋" w:eastAsia="仿宋"/>
                <w:szCs w:val="21"/>
              </w:rPr>
            </w:pPr>
            <w:r>
              <w:rPr>
                <w:rFonts w:hint="eastAsia" w:ascii="仿宋" w:hAnsi="仿宋" w:eastAsia="仿宋"/>
                <w:szCs w:val="21"/>
              </w:rPr>
              <w:t>每天</w:t>
            </w:r>
          </w:p>
        </w:tc>
        <w:tc>
          <w:tcPr>
            <w:tcW w:w="382" w:type="pct"/>
            <w:vMerge w:val="continue"/>
            <w:vAlign w:val="center"/>
          </w:tcPr>
          <w:p>
            <w:pPr>
              <w:jc w:val="center"/>
              <w:rPr>
                <w:rFonts w:ascii="仿宋" w:hAnsi="仿宋" w:eastAsia="仿宋"/>
                <w:szCs w:val="21"/>
              </w:rPr>
            </w:pPr>
          </w:p>
        </w:tc>
        <w:tc>
          <w:tcPr>
            <w:tcW w:w="379" w:type="pct"/>
            <w:vAlign w:val="center"/>
          </w:tcPr>
          <w:p>
            <w:pPr>
              <w:jc w:val="center"/>
              <w:rPr>
                <w:rFonts w:ascii="仿宋" w:hAnsi="仿宋" w:eastAsia="仿宋"/>
                <w:szCs w:val="21"/>
              </w:rPr>
            </w:pPr>
            <w:r>
              <w:rPr>
                <w:rFonts w:hint="eastAsia" w:ascii="仿宋" w:hAnsi="仿宋" w:eastAsia="仿宋"/>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222" w:type="pct"/>
            <w:vAlign w:val="center"/>
          </w:tcPr>
          <w:p>
            <w:pPr>
              <w:jc w:val="center"/>
              <w:rPr>
                <w:rFonts w:ascii="仿宋" w:hAnsi="仿宋" w:eastAsia="仿宋"/>
                <w:sz w:val="22"/>
                <w:szCs w:val="22"/>
              </w:rPr>
            </w:pPr>
            <w:r>
              <w:rPr>
                <w:rFonts w:hint="eastAsia" w:ascii="仿宋" w:hAnsi="仿宋" w:eastAsia="仿宋"/>
                <w:sz w:val="22"/>
                <w:szCs w:val="22"/>
              </w:rPr>
              <w:t>5</w:t>
            </w:r>
          </w:p>
        </w:tc>
        <w:tc>
          <w:tcPr>
            <w:tcW w:w="473" w:type="pct"/>
            <w:vAlign w:val="center"/>
          </w:tcPr>
          <w:p>
            <w:pPr>
              <w:widowControl/>
              <w:jc w:val="center"/>
              <w:rPr>
                <w:rFonts w:ascii="仿宋" w:hAnsi="仿宋" w:eastAsia="仿宋"/>
                <w:kern w:val="0"/>
                <w:szCs w:val="21"/>
              </w:rPr>
            </w:pPr>
            <w:r>
              <w:rPr>
                <w:rFonts w:hint="eastAsia" w:ascii="仿宋" w:hAnsi="仿宋" w:eastAsia="仿宋"/>
                <w:kern w:val="0"/>
                <w:szCs w:val="21"/>
              </w:rPr>
              <w:t>S4</w:t>
            </w:r>
          </w:p>
        </w:tc>
        <w:tc>
          <w:tcPr>
            <w:tcW w:w="323" w:type="pct"/>
            <w:tcMar>
              <w:left w:w="0" w:type="dxa"/>
              <w:right w:w="0" w:type="dxa"/>
            </w:tcMar>
            <w:vAlign w:val="center"/>
          </w:tcPr>
          <w:p>
            <w:pPr>
              <w:widowControl/>
              <w:jc w:val="center"/>
              <w:rPr>
                <w:rFonts w:ascii="仿宋" w:hAnsi="仿宋" w:eastAsia="仿宋"/>
                <w:kern w:val="0"/>
                <w:szCs w:val="21"/>
              </w:rPr>
            </w:pPr>
            <w:r>
              <w:rPr>
                <w:rFonts w:hint="eastAsia" w:ascii="仿宋" w:hAnsi="仿宋" w:eastAsia="仿宋"/>
                <w:kern w:val="0"/>
                <w:szCs w:val="21"/>
              </w:rPr>
              <w:t>废原料桶</w:t>
            </w:r>
          </w:p>
        </w:tc>
        <w:tc>
          <w:tcPr>
            <w:tcW w:w="339" w:type="pct"/>
            <w:tcMar>
              <w:left w:w="0" w:type="dxa"/>
              <w:right w:w="0" w:type="dxa"/>
            </w:tcMar>
            <w:vAlign w:val="center"/>
          </w:tcPr>
          <w:p>
            <w:pPr>
              <w:jc w:val="center"/>
              <w:rPr>
                <w:rFonts w:ascii="仿宋" w:hAnsi="仿宋" w:eastAsia="仿宋"/>
                <w:szCs w:val="21"/>
              </w:rPr>
            </w:pPr>
            <w:r>
              <w:rPr>
                <w:rFonts w:hint="eastAsia" w:ascii="仿宋" w:hAnsi="仿宋" w:eastAsia="仿宋"/>
                <w:szCs w:val="21"/>
              </w:rPr>
              <w:t>危险废物</w:t>
            </w:r>
          </w:p>
        </w:tc>
        <w:tc>
          <w:tcPr>
            <w:tcW w:w="250" w:type="pct"/>
            <w:tcMar>
              <w:left w:w="0" w:type="dxa"/>
              <w:right w:w="0" w:type="dxa"/>
            </w:tcMar>
            <w:vAlign w:val="center"/>
          </w:tcPr>
          <w:p>
            <w:pPr>
              <w:widowControl/>
              <w:jc w:val="center"/>
              <w:rPr>
                <w:rFonts w:ascii="仿宋" w:hAnsi="仿宋" w:eastAsia="仿宋"/>
                <w:kern w:val="0"/>
                <w:szCs w:val="21"/>
              </w:rPr>
            </w:pPr>
            <w:r>
              <w:rPr>
                <w:rFonts w:hint="eastAsia" w:ascii="仿宋" w:hAnsi="仿宋" w:eastAsia="仿宋"/>
                <w:kern w:val="0"/>
                <w:szCs w:val="21"/>
              </w:rPr>
              <w:t>存储</w:t>
            </w:r>
          </w:p>
        </w:tc>
        <w:tc>
          <w:tcPr>
            <w:tcW w:w="166" w:type="pct"/>
            <w:tcMar>
              <w:left w:w="0" w:type="dxa"/>
              <w:right w:w="0" w:type="dxa"/>
            </w:tcMar>
            <w:vAlign w:val="center"/>
          </w:tcPr>
          <w:p>
            <w:pPr>
              <w:tabs>
                <w:tab w:val="left" w:pos="3240"/>
              </w:tabs>
              <w:adjustRightInd w:val="0"/>
              <w:snapToGrid w:val="0"/>
              <w:jc w:val="center"/>
              <w:rPr>
                <w:rFonts w:ascii="仿宋" w:hAnsi="仿宋" w:eastAsia="仿宋"/>
                <w:bCs/>
                <w:kern w:val="0"/>
                <w:szCs w:val="21"/>
              </w:rPr>
            </w:pPr>
            <w:r>
              <w:rPr>
                <w:rFonts w:hint="eastAsia" w:ascii="仿宋" w:hAnsi="仿宋" w:eastAsia="仿宋"/>
                <w:bCs/>
                <w:kern w:val="0"/>
                <w:szCs w:val="21"/>
              </w:rPr>
              <w:t>固</w:t>
            </w:r>
          </w:p>
        </w:tc>
        <w:tc>
          <w:tcPr>
            <w:tcW w:w="479" w:type="pct"/>
            <w:tcMar>
              <w:left w:w="0" w:type="dxa"/>
              <w:right w:w="0" w:type="dxa"/>
            </w:tcMar>
            <w:vAlign w:val="center"/>
          </w:tcPr>
          <w:p>
            <w:pPr>
              <w:tabs>
                <w:tab w:val="left" w:pos="3240"/>
              </w:tabs>
              <w:adjustRightInd w:val="0"/>
              <w:snapToGrid w:val="0"/>
              <w:jc w:val="center"/>
              <w:rPr>
                <w:rFonts w:ascii="仿宋" w:hAnsi="仿宋" w:eastAsia="仿宋"/>
                <w:bCs/>
                <w:kern w:val="0"/>
                <w:szCs w:val="21"/>
              </w:rPr>
            </w:pPr>
            <w:r>
              <w:rPr>
                <w:rFonts w:hint="eastAsia" w:ascii="仿宋" w:hAnsi="仿宋" w:eastAsia="仿宋"/>
                <w:bCs/>
                <w:kern w:val="0"/>
                <w:szCs w:val="21"/>
              </w:rPr>
              <w:t>有机溶剂</w:t>
            </w:r>
          </w:p>
        </w:tc>
        <w:tc>
          <w:tcPr>
            <w:tcW w:w="261" w:type="pct"/>
            <w:vMerge w:val="continue"/>
            <w:tcMar>
              <w:left w:w="0" w:type="dxa"/>
              <w:right w:w="0" w:type="dxa"/>
            </w:tcMar>
            <w:vAlign w:val="center"/>
          </w:tcPr>
          <w:p>
            <w:pPr>
              <w:tabs>
                <w:tab w:val="left" w:pos="3240"/>
              </w:tabs>
              <w:adjustRightInd w:val="0"/>
              <w:snapToGrid w:val="0"/>
              <w:jc w:val="center"/>
              <w:rPr>
                <w:rFonts w:ascii="仿宋" w:hAnsi="仿宋" w:eastAsia="仿宋"/>
                <w:bCs/>
                <w:kern w:val="0"/>
                <w:szCs w:val="21"/>
              </w:rPr>
            </w:pPr>
          </w:p>
        </w:tc>
        <w:tc>
          <w:tcPr>
            <w:tcW w:w="214" w:type="pct"/>
            <w:vAlign w:val="center"/>
          </w:tcPr>
          <w:p>
            <w:pPr>
              <w:jc w:val="center"/>
              <w:rPr>
                <w:rFonts w:ascii="仿宋" w:hAnsi="仿宋" w:eastAsia="仿宋"/>
                <w:szCs w:val="21"/>
              </w:rPr>
            </w:pPr>
            <w:r>
              <w:rPr>
                <w:rFonts w:ascii="仿宋" w:hAnsi="仿宋" w:eastAsia="仿宋"/>
                <w:szCs w:val="21"/>
              </w:rPr>
              <w:t>T/In</w:t>
            </w:r>
          </w:p>
        </w:tc>
        <w:tc>
          <w:tcPr>
            <w:tcW w:w="464" w:type="pct"/>
            <w:gridSpan w:val="2"/>
            <w:vAlign w:val="center"/>
          </w:tcPr>
          <w:p>
            <w:pPr>
              <w:jc w:val="center"/>
              <w:rPr>
                <w:rFonts w:ascii="仿宋" w:hAnsi="仿宋" w:eastAsia="仿宋"/>
                <w:szCs w:val="21"/>
              </w:rPr>
            </w:pPr>
            <w:r>
              <w:rPr>
                <w:rFonts w:ascii="仿宋" w:hAnsi="仿宋" w:eastAsia="仿宋"/>
                <w:szCs w:val="21"/>
              </w:rPr>
              <w:t>HW49</w:t>
            </w:r>
          </w:p>
        </w:tc>
        <w:tc>
          <w:tcPr>
            <w:tcW w:w="341" w:type="pct"/>
            <w:vAlign w:val="center"/>
          </w:tcPr>
          <w:p>
            <w:pPr>
              <w:jc w:val="center"/>
              <w:rPr>
                <w:rFonts w:ascii="仿宋" w:hAnsi="仿宋" w:eastAsia="仿宋"/>
                <w:szCs w:val="21"/>
              </w:rPr>
            </w:pPr>
            <w:r>
              <w:rPr>
                <w:rFonts w:ascii="仿宋" w:hAnsi="仿宋" w:eastAsia="仿宋"/>
                <w:szCs w:val="21"/>
              </w:rPr>
              <w:t>900-041-49</w:t>
            </w:r>
          </w:p>
        </w:tc>
        <w:tc>
          <w:tcPr>
            <w:tcW w:w="322" w:type="pct"/>
            <w:vAlign w:val="center"/>
          </w:tcPr>
          <w:p>
            <w:pPr>
              <w:jc w:val="center"/>
              <w:rPr>
                <w:rFonts w:ascii="仿宋" w:hAnsi="仿宋" w:eastAsia="仿宋"/>
                <w:szCs w:val="21"/>
              </w:rPr>
            </w:pPr>
            <w:r>
              <w:rPr>
                <w:rFonts w:hint="eastAsia" w:ascii="仿宋" w:hAnsi="仿宋" w:eastAsia="仿宋"/>
                <w:szCs w:val="21"/>
              </w:rPr>
              <w:t>2.2</w:t>
            </w:r>
          </w:p>
        </w:tc>
        <w:tc>
          <w:tcPr>
            <w:tcW w:w="382" w:type="pct"/>
            <w:vAlign w:val="center"/>
          </w:tcPr>
          <w:p>
            <w:pPr>
              <w:jc w:val="center"/>
              <w:rPr>
                <w:rFonts w:ascii="仿宋" w:hAnsi="仿宋" w:eastAsia="仿宋"/>
                <w:szCs w:val="21"/>
              </w:rPr>
            </w:pPr>
            <w:r>
              <w:rPr>
                <w:rFonts w:hint="eastAsia" w:ascii="仿宋" w:hAnsi="仿宋" w:eastAsia="仿宋"/>
                <w:szCs w:val="21"/>
              </w:rPr>
              <w:t>每天</w:t>
            </w:r>
          </w:p>
        </w:tc>
        <w:tc>
          <w:tcPr>
            <w:tcW w:w="382" w:type="pct"/>
            <w:vMerge w:val="continue"/>
            <w:vAlign w:val="center"/>
          </w:tcPr>
          <w:p>
            <w:pPr>
              <w:jc w:val="center"/>
              <w:rPr>
                <w:rFonts w:ascii="仿宋" w:hAnsi="仿宋" w:eastAsia="仿宋"/>
                <w:szCs w:val="21"/>
              </w:rPr>
            </w:pPr>
          </w:p>
        </w:tc>
        <w:tc>
          <w:tcPr>
            <w:tcW w:w="379" w:type="pct"/>
            <w:vAlign w:val="center"/>
          </w:tcPr>
          <w:p>
            <w:pPr>
              <w:jc w:val="center"/>
              <w:rPr>
                <w:rFonts w:ascii="仿宋" w:hAnsi="仿宋" w:eastAsia="仿宋"/>
                <w:szCs w:val="21"/>
              </w:rPr>
            </w:pPr>
            <w:r>
              <w:rPr>
                <w:rFonts w:hint="eastAsia" w:ascii="仿宋" w:hAnsi="仿宋" w:eastAsia="仿宋"/>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222" w:type="pct"/>
            <w:vAlign w:val="center"/>
          </w:tcPr>
          <w:p>
            <w:pPr>
              <w:jc w:val="center"/>
              <w:rPr>
                <w:rFonts w:ascii="仿宋" w:hAnsi="仿宋" w:eastAsia="仿宋"/>
                <w:sz w:val="22"/>
                <w:szCs w:val="22"/>
              </w:rPr>
            </w:pPr>
            <w:r>
              <w:rPr>
                <w:rFonts w:hint="eastAsia" w:ascii="仿宋" w:hAnsi="仿宋" w:eastAsia="仿宋"/>
                <w:sz w:val="22"/>
                <w:szCs w:val="22"/>
              </w:rPr>
              <w:t>6</w:t>
            </w:r>
          </w:p>
        </w:tc>
        <w:tc>
          <w:tcPr>
            <w:tcW w:w="473" w:type="pct"/>
            <w:vAlign w:val="center"/>
          </w:tcPr>
          <w:p>
            <w:pPr>
              <w:widowControl/>
              <w:jc w:val="center"/>
              <w:rPr>
                <w:rFonts w:ascii="仿宋" w:hAnsi="仿宋" w:eastAsia="仿宋"/>
                <w:kern w:val="0"/>
                <w:szCs w:val="21"/>
              </w:rPr>
            </w:pPr>
            <w:r>
              <w:rPr>
                <w:rFonts w:hint="eastAsia" w:ascii="仿宋" w:hAnsi="仿宋" w:eastAsia="仿宋"/>
                <w:kern w:val="0"/>
                <w:szCs w:val="21"/>
              </w:rPr>
              <w:t>S5</w:t>
            </w:r>
          </w:p>
        </w:tc>
        <w:tc>
          <w:tcPr>
            <w:tcW w:w="323" w:type="pct"/>
            <w:tcMar>
              <w:left w:w="0" w:type="dxa"/>
              <w:right w:w="0" w:type="dxa"/>
            </w:tcMar>
            <w:vAlign w:val="center"/>
          </w:tcPr>
          <w:p>
            <w:pPr>
              <w:widowControl/>
              <w:jc w:val="center"/>
              <w:rPr>
                <w:rFonts w:ascii="仿宋" w:hAnsi="仿宋" w:eastAsia="仿宋"/>
                <w:kern w:val="0"/>
                <w:szCs w:val="21"/>
              </w:rPr>
            </w:pPr>
            <w:r>
              <w:rPr>
                <w:rFonts w:hint="eastAsia" w:ascii="仿宋" w:hAnsi="仿宋" w:eastAsia="仿宋"/>
                <w:kern w:val="0"/>
                <w:szCs w:val="21"/>
              </w:rPr>
              <w:t>废抹布手套</w:t>
            </w:r>
          </w:p>
        </w:tc>
        <w:tc>
          <w:tcPr>
            <w:tcW w:w="339" w:type="pct"/>
            <w:tcMar>
              <w:left w:w="0" w:type="dxa"/>
              <w:right w:w="0" w:type="dxa"/>
            </w:tcMar>
            <w:vAlign w:val="center"/>
          </w:tcPr>
          <w:p>
            <w:pPr>
              <w:jc w:val="center"/>
              <w:rPr>
                <w:rFonts w:ascii="仿宋" w:hAnsi="仿宋" w:eastAsia="仿宋"/>
                <w:szCs w:val="21"/>
              </w:rPr>
            </w:pPr>
            <w:r>
              <w:rPr>
                <w:rFonts w:hint="eastAsia" w:ascii="仿宋" w:hAnsi="仿宋" w:eastAsia="仿宋"/>
                <w:szCs w:val="21"/>
              </w:rPr>
              <w:t>危险废物</w:t>
            </w:r>
          </w:p>
        </w:tc>
        <w:tc>
          <w:tcPr>
            <w:tcW w:w="250" w:type="pct"/>
            <w:tcMar>
              <w:left w:w="0" w:type="dxa"/>
              <w:right w:w="0" w:type="dxa"/>
            </w:tcMar>
            <w:vAlign w:val="center"/>
          </w:tcPr>
          <w:p>
            <w:pPr>
              <w:widowControl/>
              <w:jc w:val="center"/>
              <w:rPr>
                <w:rFonts w:ascii="仿宋" w:hAnsi="仿宋" w:eastAsia="仿宋"/>
                <w:szCs w:val="21"/>
              </w:rPr>
            </w:pPr>
            <w:r>
              <w:rPr>
                <w:rFonts w:hint="eastAsia" w:ascii="仿宋" w:hAnsi="仿宋" w:eastAsia="仿宋"/>
                <w:kern w:val="0"/>
                <w:szCs w:val="21"/>
              </w:rPr>
              <w:t>清洗</w:t>
            </w:r>
          </w:p>
        </w:tc>
        <w:tc>
          <w:tcPr>
            <w:tcW w:w="166" w:type="pct"/>
            <w:tcMar>
              <w:left w:w="0" w:type="dxa"/>
              <w:right w:w="0" w:type="dxa"/>
            </w:tcMar>
            <w:vAlign w:val="center"/>
          </w:tcPr>
          <w:p>
            <w:pPr>
              <w:tabs>
                <w:tab w:val="left" w:pos="3240"/>
              </w:tabs>
              <w:adjustRightInd w:val="0"/>
              <w:snapToGrid w:val="0"/>
              <w:jc w:val="center"/>
              <w:rPr>
                <w:rFonts w:ascii="仿宋" w:hAnsi="仿宋" w:eastAsia="仿宋"/>
                <w:szCs w:val="21"/>
              </w:rPr>
            </w:pPr>
            <w:r>
              <w:rPr>
                <w:rFonts w:hint="eastAsia" w:ascii="仿宋" w:hAnsi="仿宋" w:eastAsia="仿宋"/>
                <w:bCs/>
                <w:kern w:val="0"/>
                <w:szCs w:val="21"/>
              </w:rPr>
              <w:t>固</w:t>
            </w:r>
          </w:p>
        </w:tc>
        <w:tc>
          <w:tcPr>
            <w:tcW w:w="479" w:type="pct"/>
            <w:tcMar>
              <w:left w:w="0" w:type="dxa"/>
              <w:right w:w="0" w:type="dxa"/>
            </w:tcMar>
            <w:vAlign w:val="center"/>
          </w:tcPr>
          <w:p>
            <w:pPr>
              <w:tabs>
                <w:tab w:val="left" w:pos="3240"/>
              </w:tabs>
              <w:adjustRightInd w:val="0"/>
              <w:snapToGrid w:val="0"/>
              <w:jc w:val="center"/>
              <w:rPr>
                <w:rFonts w:ascii="仿宋" w:hAnsi="仿宋" w:eastAsia="仿宋"/>
                <w:szCs w:val="21"/>
              </w:rPr>
            </w:pPr>
            <w:r>
              <w:rPr>
                <w:rFonts w:hint="eastAsia" w:ascii="仿宋" w:hAnsi="仿宋" w:eastAsia="仿宋"/>
                <w:bCs/>
                <w:kern w:val="0"/>
                <w:szCs w:val="21"/>
              </w:rPr>
              <w:t>清洗剂</w:t>
            </w:r>
          </w:p>
        </w:tc>
        <w:tc>
          <w:tcPr>
            <w:tcW w:w="261" w:type="pct"/>
            <w:vMerge w:val="continue"/>
            <w:tcMar>
              <w:left w:w="0" w:type="dxa"/>
              <w:right w:w="0" w:type="dxa"/>
            </w:tcMar>
            <w:vAlign w:val="center"/>
          </w:tcPr>
          <w:p>
            <w:pPr>
              <w:tabs>
                <w:tab w:val="left" w:pos="3240"/>
              </w:tabs>
              <w:adjustRightInd w:val="0"/>
              <w:snapToGrid w:val="0"/>
              <w:jc w:val="center"/>
              <w:rPr>
                <w:rFonts w:ascii="仿宋" w:hAnsi="仿宋" w:eastAsia="仿宋"/>
                <w:bCs/>
                <w:kern w:val="0"/>
                <w:szCs w:val="21"/>
              </w:rPr>
            </w:pPr>
          </w:p>
        </w:tc>
        <w:tc>
          <w:tcPr>
            <w:tcW w:w="214" w:type="pct"/>
            <w:vAlign w:val="center"/>
          </w:tcPr>
          <w:p>
            <w:pPr>
              <w:jc w:val="center"/>
              <w:rPr>
                <w:rFonts w:ascii="仿宋" w:hAnsi="仿宋" w:eastAsia="仿宋"/>
                <w:szCs w:val="21"/>
              </w:rPr>
            </w:pPr>
            <w:r>
              <w:rPr>
                <w:rFonts w:ascii="仿宋" w:hAnsi="仿宋" w:eastAsia="仿宋"/>
                <w:szCs w:val="21"/>
              </w:rPr>
              <w:t>T,I</w:t>
            </w:r>
          </w:p>
        </w:tc>
        <w:tc>
          <w:tcPr>
            <w:tcW w:w="464" w:type="pct"/>
            <w:gridSpan w:val="2"/>
            <w:vAlign w:val="center"/>
          </w:tcPr>
          <w:p>
            <w:pPr>
              <w:jc w:val="center"/>
              <w:rPr>
                <w:rFonts w:ascii="仿宋" w:hAnsi="仿宋" w:eastAsia="仿宋"/>
                <w:szCs w:val="21"/>
              </w:rPr>
            </w:pPr>
            <w:r>
              <w:rPr>
                <w:rFonts w:ascii="仿宋" w:hAnsi="仿宋" w:eastAsia="仿宋"/>
                <w:szCs w:val="21"/>
              </w:rPr>
              <w:t>HW</w:t>
            </w:r>
            <w:r>
              <w:rPr>
                <w:rFonts w:hint="eastAsia" w:ascii="仿宋" w:hAnsi="仿宋" w:eastAsia="仿宋"/>
                <w:szCs w:val="21"/>
              </w:rPr>
              <w:t>49</w:t>
            </w:r>
          </w:p>
        </w:tc>
        <w:tc>
          <w:tcPr>
            <w:tcW w:w="341" w:type="pct"/>
            <w:vAlign w:val="center"/>
          </w:tcPr>
          <w:p>
            <w:pPr>
              <w:jc w:val="center"/>
              <w:rPr>
                <w:rFonts w:ascii="仿宋" w:hAnsi="仿宋" w:eastAsia="仿宋"/>
                <w:szCs w:val="21"/>
              </w:rPr>
            </w:pPr>
            <w:r>
              <w:rPr>
                <w:rFonts w:ascii="仿宋" w:hAnsi="仿宋" w:eastAsia="仿宋"/>
                <w:szCs w:val="21"/>
              </w:rPr>
              <w:t>900-</w:t>
            </w:r>
            <w:r>
              <w:rPr>
                <w:rFonts w:hint="eastAsia" w:ascii="仿宋" w:hAnsi="仿宋" w:eastAsia="仿宋"/>
                <w:szCs w:val="21"/>
              </w:rPr>
              <w:t>041-49</w:t>
            </w:r>
          </w:p>
        </w:tc>
        <w:tc>
          <w:tcPr>
            <w:tcW w:w="322" w:type="pct"/>
            <w:vAlign w:val="center"/>
          </w:tcPr>
          <w:p>
            <w:pPr>
              <w:jc w:val="center"/>
              <w:rPr>
                <w:rFonts w:ascii="仿宋" w:hAnsi="仿宋" w:eastAsia="仿宋"/>
                <w:szCs w:val="21"/>
              </w:rPr>
            </w:pPr>
            <w:r>
              <w:rPr>
                <w:rFonts w:hint="eastAsia" w:ascii="仿宋" w:hAnsi="仿宋" w:eastAsia="仿宋"/>
                <w:szCs w:val="21"/>
              </w:rPr>
              <w:t>1</w:t>
            </w:r>
          </w:p>
        </w:tc>
        <w:tc>
          <w:tcPr>
            <w:tcW w:w="382" w:type="pct"/>
            <w:vAlign w:val="center"/>
          </w:tcPr>
          <w:p>
            <w:pPr>
              <w:jc w:val="center"/>
              <w:rPr>
                <w:rFonts w:ascii="仿宋" w:hAnsi="仿宋" w:eastAsia="仿宋"/>
                <w:szCs w:val="21"/>
              </w:rPr>
            </w:pPr>
            <w:r>
              <w:rPr>
                <w:rFonts w:hint="eastAsia" w:ascii="仿宋" w:hAnsi="仿宋" w:eastAsia="仿宋"/>
                <w:szCs w:val="21"/>
              </w:rPr>
              <w:t>每天</w:t>
            </w:r>
          </w:p>
        </w:tc>
        <w:tc>
          <w:tcPr>
            <w:tcW w:w="382" w:type="pct"/>
            <w:vMerge w:val="continue"/>
            <w:vAlign w:val="center"/>
          </w:tcPr>
          <w:p>
            <w:pPr>
              <w:jc w:val="center"/>
              <w:rPr>
                <w:rFonts w:ascii="仿宋" w:hAnsi="仿宋" w:eastAsia="仿宋"/>
                <w:szCs w:val="21"/>
              </w:rPr>
            </w:pPr>
          </w:p>
        </w:tc>
        <w:tc>
          <w:tcPr>
            <w:tcW w:w="379" w:type="pct"/>
            <w:vAlign w:val="center"/>
          </w:tcPr>
          <w:p>
            <w:pPr>
              <w:jc w:val="center"/>
              <w:rPr>
                <w:rFonts w:ascii="仿宋" w:hAnsi="仿宋" w:eastAsia="仿宋"/>
                <w:szCs w:val="21"/>
              </w:rPr>
            </w:pPr>
            <w:r>
              <w:rPr>
                <w:rFonts w:hint="eastAsia" w:ascii="仿宋" w:hAnsi="仿宋" w:eastAsia="仿宋"/>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222" w:type="pct"/>
            <w:vAlign w:val="center"/>
          </w:tcPr>
          <w:p>
            <w:pPr>
              <w:jc w:val="center"/>
              <w:rPr>
                <w:rFonts w:ascii="仿宋" w:hAnsi="仿宋" w:eastAsia="仿宋"/>
                <w:sz w:val="22"/>
                <w:szCs w:val="22"/>
              </w:rPr>
            </w:pPr>
            <w:r>
              <w:rPr>
                <w:rFonts w:hint="eastAsia" w:ascii="仿宋" w:hAnsi="仿宋" w:eastAsia="仿宋"/>
                <w:sz w:val="22"/>
                <w:szCs w:val="22"/>
              </w:rPr>
              <w:t>7</w:t>
            </w:r>
          </w:p>
        </w:tc>
        <w:tc>
          <w:tcPr>
            <w:tcW w:w="473" w:type="pct"/>
            <w:vAlign w:val="center"/>
          </w:tcPr>
          <w:p>
            <w:pPr>
              <w:widowControl/>
              <w:jc w:val="center"/>
              <w:rPr>
                <w:rFonts w:ascii="仿宋" w:hAnsi="仿宋" w:eastAsia="仿宋"/>
                <w:kern w:val="0"/>
                <w:szCs w:val="21"/>
              </w:rPr>
            </w:pPr>
            <w:r>
              <w:rPr>
                <w:rFonts w:hint="eastAsia" w:ascii="仿宋" w:hAnsi="仿宋" w:eastAsia="仿宋"/>
                <w:kern w:val="0"/>
                <w:szCs w:val="21"/>
              </w:rPr>
              <w:t>S6</w:t>
            </w:r>
          </w:p>
        </w:tc>
        <w:tc>
          <w:tcPr>
            <w:tcW w:w="323" w:type="pct"/>
            <w:tcMar>
              <w:left w:w="0" w:type="dxa"/>
              <w:right w:w="0" w:type="dxa"/>
            </w:tcMar>
            <w:vAlign w:val="center"/>
          </w:tcPr>
          <w:p>
            <w:pPr>
              <w:widowControl/>
              <w:jc w:val="center"/>
              <w:rPr>
                <w:rFonts w:ascii="仿宋" w:hAnsi="仿宋" w:eastAsia="仿宋"/>
                <w:kern w:val="0"/>
                <w:szCs w:val="21"/>
              </w:rPr>
            </w:pPr>
            <w:r>
              <w:rPr>
                <w:rFonts w:hint="eastAsia" w:ascii="仿宋" w:hAnsi="仿宋" w:eastAsia="仿宋"/>
                <w:kern w:val="0"/>
                <w:szCs w:val="21"/>
              </w:rPr>
              <w:t>废机油</w:t>
            </w:r>
          </w:p>
        </w:tc>
        <w:tc>
          <w:tcPr>
            <w:tcW w:w="339" w:type="pct"/>
            <w:tcMar>
              <w:left w:w="0" w:type="dxa"/>
              <w:right w:w="0" w:type="dxa"/>
            </w:tcMar>
            <w:vAlign w:val="center"/>
          </w:tcPr>
          <w:p>
            <w:pPr>
              <w:jc w:val="center"/>
              <w:rPr>
                <w:rFonts w:ascii="仿宋" w:hAnsi="仿宋" w:eastAsia="仿宋"/>
                <w:szCs w:val="21"/>
              </w:rPr>
            </w:pPr>
            <w:r>
              <w:rPr>
                <w:rFonts w:hint="eastAsia" w:ascii="仿宋" w:hAnsi="仿宋" w:eastAsia="仿宋"/>
                <w:szCs w:val="21"/>
              </w:rPr>
              <w:t>危险废物</w:t>
            </w:r>
          </w:p>
        </w:tc>
        <w:tc>
          <w:tcPr>
            <w:tcW w:w="250" w:type="pct"/>
            <w:tcMar>
              <w:left w:w="0" w:type="dxa"/>
              <w:right w:w="0" w:type="dxa"/>
            </w:tcMar>
            <w:vAlign w:val="center"/>
          </w:tcPr>
          <w:p>
            <w:pPr>
              <w:widowControl/>
              <w:jc w:val="center"/>
              <w:rPr>
                <w:rFonts w:ascii="仿宋" w:hAnsi="仿宋" w:eastAsia="仿宋"/>
                <w:szCs w:val="21"/>
              </w:rPr>
            </w:pPr>
            <w:r>
              <w:rPr>
                <w:rFonts w:hint="eastAsia" w:ascii="仿宋" w:hAnsi="仿宋" w:eastAsia="仿宋"/>
                <w:kern w:val="0"/>
                <w:szCs w:val="21"/>
              </w:rPr>
              <w:t>维修</w:t>
            </w:r>
          </w:p>
        </w:tc>
        <w:tc>
          <w:tcPr>
            <w:tcW w:w="166" w:type="pct"/>
            <w:tcMar>
              <w:left w:w="0" w:type="dxa"/>
              <w:right w:w="0" w:type="dxa"/>
            </w:tcMar>
            <w:vAlign w:val="center"/>
          </w:tcPr>
          <w:p>
            <w:pPr>
              <w:tabs>
                <w:tab w:val="left" w:pos="3240"/>
              </w:tabs>
              <w:adjustRightInd w:val="0"/>
              <w:snapToGrid w:val="0"/>
              <w:jc w:val="center"/>
              <w:rPr>
                <w:rFonts w:ascii="仿宋" w:hAnsi="仿宋" w:eastAsia="仿宋"/>
                <w:szCs w:val="21"/>
              </w:rPr>
            </w:pPr>
            <w:r>
              <w:rPr>
                <w:rFonts w:hint="eastAsia" w:ascii="仿宋" w:hAnsi="仿宋" w:eastAsia="仿宋"/>
                <w:bCs/>
                <w:kern w:val="0"/>
                <w:szCs w:val="21"/>
              </w:rPr>
              <w:t>液</w:t>
            </w:r>
          </w:p>
        </w:tc>
        <w:tc>
          <w:tcPr>
            <w:tcW w:w="479" w:type="pct"/>
            <w:tcMar>
              <w:left w:w="0" w:type="dxa"/>
              <w:right w:w="0" w:type="dxa"/>
            </w:tcMar>
            <w:vAlign w:val="center"/>
          </w:tcPr>
          <w:p>
            <w:pPr>
              <w:tabs>
                <w:tab w:val="left" w:pos="3240"/>
              </w:tabs>
              <w:adjustRightInd w:val="0"/>
              <w:snapToGrid w:val="0"/>
              <w:jc w:val="center"/>
              <w:rPr>
                <w:rFonts w:ascii="仿宋" w:hAnsi="仿宋" w:eastAsia="仿宋"/>
                <w:szCs w:val="21"/>
              </w:rPr>
            </w:pPr>
            <w:r>
              <w:rPr>
                <w:rFonts w:hint="eastAsia" w:ascii="仿宋" w:hAnsi="仿宋" w:eastAsia="仿宋"/>
                <w:bCs/>
                <w:kern w:val="0"/>
                <w:szCs w:val="21"/>
              </w:rPr>
              <w:t>机油</w:t>
            </w:r>
          </w:p>
        </w:tc>
        <w:tc>
          <w:tcPr>
            <w:tcW w:w="261" w:type="pct"/>
            <w:vMerge w:val="continue"/>
            <w:tcMar>
              <w:left w:w="0" w:type="dxa"/>
              <w:right w:w="0" w:type="dxa"/>
            </w:tcMar>
            <w:vAlign w:val="center"/>
          </w:tcPr>
          <w:p>
            <w:pPr>
              <w:tabs>
                <w:tab w:val="left" w:pos="3240"/>
              </w:tabs>
              <w:adjustRightInd w:val="0"/>
              <w:snapToGrid w:val="0"/>
              <w:jc w:val="center"/>
              <w:rPr>
                <w:rFonts w:ascii="仿宋" w:hAnsi="仿宋" w:eastAsia="仿宋"/>
                <w:bCs/>
                <w:kern w:val="0"/>
                <w:szCs w:val="21"/>
              </w:rPr>
            </w:pPr>
          </w:p>
        </w:tc>
        <w:tc>
          <w:tcPr>
            <w:tcW w:w="214" w:type="pct"/>
            <w:vAlign w:val="center"/>
          </w:tcPr>
          <w:p>
            <w:pPr>
              <w:jc w:val="center"/>
              <w:rPr>
                <w:rFonts w:ascii="仿宋" w:hAnsi="仿宋" w:eastAsia="仿宋"/>
                <w:szCs w:val="21"/>
              </w:rPr>
            </w:pPr>
            <w:r>
              <w:rPr>
                <w:rFonts w:ascii="仿宋" w:hAnsi="仿宋" w:eastAsia="仿宋"/>
                <w:szCs w:val="21"/>
              </w:rPr>
              <w:t>T,I</w:t>
            </w:r>
          </w:p>
        </w:tc>
        <w:tc>
          <w:tcPr>
            <w:tcW w:w="464" w:type="pct"/>
            <w:gridSpan w:val="2"/>
            <w:vAlign w:val="center"/>
          </w:tcPr>
          <w:p>
            <w:pPr>
              <w:jc w:val="center"/>
              <w:rPr>
                <w:rFonts w:ascii="仿宋" w:hAnsi="仿宋" w:eastAsia="仿宋"/>
                <w:szCs w:val="21"/>
              </w:rPr>
            </w:pPr>
            <w:r>
              <w:rPr>
                <w:rFonts w:hint="eastAsia" w:ascii="仿宋" w:hAnsi="仿宋" w:eastAsia="仿宋"/>
                <w:szCs w:val="21"/>
              </w:rPr>
              <w:t>HW08</w:t>
            </w:r>
          </w:p>
        </w:tc>
        <w:tc>
          <w:tcPr>
            <w:tcW w:w="341" w:type="pct"/>
            <w:vAlign w:val="center"/>
          </w:tcPr>
          <w:p>
            <w:pPr>
              <w:jc w:val="center"/>
              <w:rPr>
                <w:rFonts w:ascii="仿宋" w:hAnsi="仿宋" w:eastAsia="仿宋"/>
                <w:szCs w:val="21"/>
              </w:rPr>
            </w:pPr>
            <w:r>
              <w:rPr>
                <w:rFonts w:hint="eastAsia" w:ascii="仿宋" w:hAnsi="仿宋" w:eastAsia="仿宋"/>
                <w:szCs w:val="21"/>
              </w:rPr>
              <w:t>900-249-08</w:t>
            </w:r>
          </w:p>
        </w:tc>
        <w:tc>
          <w:tcPr>
            <w:tcW w:w="322" w:type="pct"/>
            <w:vAlign w:val="center"/>
          </w:tcPr>
          <w:p>
            <w:pPr>
              <w:jc w:val="center"/>
              <w:rPr>
                <w:rFonts w:ascii="仿宋" w:hAnsi="仿宋" w:eastAsia="仿宋"/>
                <w:szCs w:val="21"/>
              </w:rPr>
            </w:pPr>
            <w:r>
              <w:rPr>
                <w:rFonts w:hint="eastAsia" w:ascii="仿宋" w:hAnsi="仿宋" w:eastAsia="仿宋"/>
                <w:szCs w:val="21"/>
              </w:rPr>
              <w:t>0.3</w:t>
            </w:r>
          </w:p>
        </w:tc>
        <w:tc>
          <w:tcPr>
            <w:tcW w:w="382" w:type="pct"/>
            <w:vAlign w:val="center"/>
          </w:tcPr>
          <w:p>
            <w:pPr>
              <w:jc w:val="center"/>
              <w:rPr>
                <w:rFonts w:ascii="仿宋" w:hAnsi="仿宋" w:eastAsia="仿宋"/>
                <w:szCs w:val="21"/>
              </w:rPr>
            </w:pPr>
            <w:r>
              <w:rPr>
                <w:rFonts w:hint="eastAsia" w:ascii="仿宋" w:hAnsi="仿宋" w:eastAsia="仿宋"/>
                <w:szCs w:val="21"/>
              </w:rPr>
              <w:t>每天</w:t>
            </w:r>
          </w:p>
        </w:tc>
        <w:tc>
          <w:tcPr>
            <w:tcW w:w="382" w:type="pct"/>
            <w:vMerge w:val="continue"/>
            <w:vAlign w:val="center"/>
          </w:tcPr>
          <w:p>
            <w:pPr>
              <w:jc w:val="center"/>
              <w:rPr>
                <w:rFonts w:ascii="仿宋" w:hAnsi="仿宋" w:eastAsia="仿宋"/>
                <w:szCs w:val="21"/>
              </w:rPr>
            </w:pPr>
          </w:p>
        </w:tc>
        <w:tc>
          <w:tcPr>
            <w:tcW w:w="379" w:type="pct"/>
            <w:vAlign w:val="center"/>
          </w:tcPr>
          <w:p>
            <w:pPr>
              <w:jc w:val="center"/>
              <w:rPr>
                <w:rFonts w:ascii="仿宋" w:hAnsi="仿宋" w:eastAsia="仿宋"/>
                <w:szCs w:val="21"/>
              </w:rPr>
            </w:pPr>
            <w:r>
              <w:rPr>
                <w:rFonts w:hint="eastAsia" w:ascii="仿宋" w:hAnsi="仿宋" w:eastAsia="仿宋"/>
                <w:szCs w:val="21"/>
              </w:rPr>
              <w:t>0</w:t>
            </w:r>
          </w:p>
        </w:tc>
      </w:tr>
    </w:tbl>
    <w:p>
      <w:pPr>
        <w:tabs>
          <w:tab w:val="left" w:pos="1890"/>
        </w:tabs>
        <w:spacing w:line="500" w:lineRule="exact"/>
        <w:ind w:firstLine="480" w:firstLineChars="200"/>
        <w:rPr>
          <w:rFonts w:eastAsia="仿宋_GB2312"/>
          <w:sz w:val="24"/>
        </w:rPr>
        <w:sectPr>
          <w:pgSz w:w="16839" w:h="11907" w:orient="landscape"/>
          <w:pgMar w:top="1440" w:right="1800" w:bottom="1440" w:left="1800" w:header="851" w:footer="992" w:gutter="0"/>
          <w:cols w:space="425" w:num="1"/>
          <w:docGrid w:type="linesAndChars" w:linePitch="312" w:charSpace="0"/>
        </w:sectPr>
      </w:pPr>
      <w:r>
        <w:rPr>
          <w:rFonts w:eastAsia="仿宋_GB2312"/>
          <w:sz w:val="24"/>
        </w:rPr>
        <w:tab/>
      </w:r>
    </w:p>
    <w:bookmarkEnd w:id="237"/>
    <w:bookmarkEnd w:id="253"/>
    <w:p>
      <w:pPr>
        <w:pStyle w:val="3"/>
        <w:spacing w:before="120" w:after="120"/>
      </w:pPr>
      <w:bookmarkStart w:id="255" w:name="_Toc396374795"/>
      <w:bookmarkStart w:id="256" w:name="_Toc140565265"/>
      <w:r>
        <w:t>污染物</w:t>
      </w:r>
      <w:bookmarkEnd w:id="255"/>
      <w:r>
        <w:t>排放量汇总</w:t>
      </w:r>
      <w:bookmarkEnd w:id="256"/>
    </w:p>
    <w:p>
      <w:pPr>
        <w:spacing w:line="500" w:lineRule="exact"/>
        <w:ind w:firstLine="560" w:firstLineChars="200"/>
        <w:jc w:val="left"/>
        <w:rPr>
          <w:rFonts w:eastAsia="仿宋_GB2312"/>
          <w:bCs/>
          <w:sz w:val="28"/>
          <w:szCs w:val="28"/>
        </w:rPr>
      </w:pPr>
      <w:r>
        <w:rPr>
          <w:rFonts w:hint="eastAsia" w:eastAsia="仿宋_GB2312"/>
          <w:bCs/>
          <w:sz w:val="28"/>
          <w:szCs w:val="28"/>
        </w:rPr>
        <w:t>本项目</w:t>
      </w:r>
      <w:r>
        <w:rPr>
          <w:rFonts w:eastAsia="仿宋_GB2312"/>
          <w:bCs/>
          <w:sz w:val="28"/>
          <w:szCs w:val="28"/>
        </w:rPr>
        <w:t>污染物排放量汇总见下表。</w:t>
      </w:r>
    </w:p>
    <w:p>
      <w:pPr>
        <w:spacing w:line="500" w:lineRule="exact"/>
        <w:ind w:firstLine="482" w:firstLineChars="200"/>
        <w:jc w:val="center"/>
        <w:rPr>
          <w:rFonts w:eastAsia="仿宋_GB2312"/>
          <w:b/>
          <w:sz w:val="24"/>
        </w:rPr>
      </w:pPr>
      <w:bookmarkStart w:id="257" w:name="_Ref369285933"/>
      <w:r>
        <w:rPr>
          <w:rFonts w:eastAsia="仿宋_GB2312"/>
          <w:b/>
          <w:sz w:val="24"/>
        </w:rPr>
        <w:t>表3.</w:t>
      </w:r>
      <w:r>
        <w:rPr>
          <w:rFonts w:hint="eastAsia" w:eastAsia="仿宋_GB2312"/>
          <w:b/>
          <w:sz w:val="24"/>
        </w:rPr>
        <w:t>4</w:t>
      </w:r>
      <w:r>
        <w:rPr>
          <w:rFonts w:eastAsia="仿宋_GB2312"/>
          <w:b/>
          <w:sz w:val="24"/>
        </w:rPr>
        <w:t xml:space="preserve">-1  </w:t>
      </w:r>
      <w:r>
        <w:rPr>
          <w:rFonts w:hint="eastAsia" w:eastAsia="仿宋_GB2312"/>
          <w:b/>
          <w:sz w:val="24"/>
        </w:rPr>
        <w:t>本项目</w:t>
      </w:r>
      <w:r>
        <w:rPr>
          <w:rFonts w:eastAsia="仿宋_GB2312"/>
          <w:b/>
          <w:sz w:val="24"/>
        </w:rPr>
        <w:t>污染物排放量汇总  单位：t/a</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
        <w:gridCol w:w="748"/>
        <w:gridCol w:w="2304"/>
        <w:gridCol w:w="1415"/>
        <w:gridCol w:w="1866"/>
        <w:gridCol w:w="17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695" w:type="pct"/>
            <w:gridSpan w:val="2"/>
            <w:vAlign w:val="center"/>
          </w:tcPr>
          <w:p>
            <w:pPr>
              <w:spacing w:line="300" w:lineRule="exact"/>
              <w:jc w:val="center"/>
              <w:rPr>
                <w:rFonts w:ascii="仿宋" w:hAnsi="仿宋" w:eastAsia="仿宋"/>
                <w:szCs w:val="21"/>
              </w:rPr>
            </w:pPr>
            <w:r>
              <w:rPr>
                <w:rFonts w:ascii="仿宋" w:hAnsi="仿宋" w:eastAsia="仿宋"/>
                <w:szCs w:val="21"/>
              </w:rPr>
              <w:t>种类</w:t>
            </w:r>
          </w:p>
        </w:tc>
        <w:tc>
          <w:tcPr>
            <w:tcW w:w="1352" w:type="pct"/>
            <w:vAlign w:val="center"/>
          </w:tcPr>
          <w:p>
            <w:pPr>
              <w:spacing w:line="300" w:lineRule="exact"/>
              <w:jc w:val="center"/>
              <w:rPr>
                <w:rFonts w:ascii="仿宋" w:hAnsi="仿宋" w:eastAsia="仿宋"/>
                <w:szCs w:val="21"/>
              </w:rPr>
            </w:pPr>
            <w:r>
              <w:rPr>
                <w:rFonts w:ascii="仿宋" w:hAnsi="仿宋" w:eastAsia="仿宋"/>
                <w:szCs w:val="21"/>
              </w:rPr>
              <w:t>污染物名称</w:t>
            </w:r>
          </w:p>
        </w:tc>
        <w:tc>
          <w:tcPr>
            <w:tcW w:w="830" w:type="pct"/>
            <w:vAlign w:val="center"/>
          </w:tcPr>
          <w:p>
            <w:pPr>
              <w:spacing w:line="300" w:lineRule="exact"/>
              <w:jc w:val="center"/>
              <w:rPr>
                <w:rFonts w:ascii="仿宋" w:hAnsi="仿宋" w:eastAsia="仿宋"/>
                <w:szCs w:val="21"/>
              </w:rPr>
            </w:pPr>
            <w:r>
              <w:rPr>
                <w:rFonts w:ascii="仿宋" w:hAnsi="仿宋" w:eastAsia="仿宋"/>
                <w:szCs w:val="21"/>
              </w:rPr>
              <w:t>产生量</w:t>
            </w:r>
          </w:p>
        </w:tc>
        <w:tc>
          <w:tcPr>
            <w:tcW w:w="1095" w:type="pct"/>
            <w:vAlign w:val="center"/>
          </w:tcPr>
          <w:p>
            <w:pPr>
              <w:spacing w:line="300" w:lineRule="exact"/>
              <w:jc w:val="center"/>
              <w:rPr>
                <w:rFonts w:ascii="仿宋" w:hAnsi="仿宋" w:eastAsia="仿宋"/>
                <w:szCs w:val="21"/>
              </w:rPr>
            </w:pPr>
            <w:r>
              <w:rPr>
                <w:rFonts w:ascii="仿宋" w:hAnsi="仿宋" w:eastAsia="仿宋"/>
                <w:szCs w:val="21"/>
              </w:rPr>
              <w:t>削减量</w:t>
            </w:r>
          </w:p>
        </w:tc>
        <w:tc>
          <w:tcPr>
            <w:tcW w:w="1028" w:type="pct"/>
            <w:vAlign w:val="center"/>
          </w:tcPr>
          <w:p>
            <w:pPr>
              <w:spacing w:line="300" w:lineRule="exact"/>
              <w:jc w:val="center"/>
              <w:rPr>
                <w:rFonts w:ascii="仿宋" w:hAnsi="仿宋" w:eastAsia="仿宋"/>
                <w:szCs w:val="21"/>
              </w:rPr>
            </w:pPr>
            <w:r>
              <w:rPr>
                <w:rFonts w:ascii="仿宋" w:hAnsi="仿宋" w:eastAsia="仿宋"/>
                <w:szCs w:val="21"/>
              </w:rPr>
              <w:t>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95" w:type="pct"/>
            <w:gridSpan w:val="2"/>
            <w:vMerge w:val="restart"/>
            <w:vAlign w:val="center"/>
          </w:tcPr>
          <w:p>
            <w:pPr>
              <w:spacing w:line="300" w:lineRule="exact"/>
              <w:jc w:val="center"/>
              <w:rPr>
                <w:rFonts w:ascii="仿宋" w:hAnsi="仿宋" w:eastAsia="仿宋"/>
                <w:szCs w:val="21"/>
              </w:rPr>
            </w:pPr>
            <w:r>
              <w:rPr>
                <w:rFonts w:ascii="仿宋" w:hAnsi="仿宋" w:eastAsia="仿宋"/>
                <w:szCs w:val="21"/>
              </w:rPr>
              <w:t>污水</w:t>
            </w:r>
          </w:p>
          <w:p>
            <w:pPr>
              <w:spacing w:line="300" w:lineRule="exact"/>
              <w:jc w:val="center"/>
              <w:rPr>
                <w:rFonts w:ascii="仿宋" w:hAnsi="仿宋" w:eastAsia="仿宋"/>
                <w:szCs w:val="21"/>
              </w:rPr>
            </w:pPr>
            <w:r>
              <w:rPr>
                <w:rFonts w:ascii="仿宋" w:hAnsi="仿宋" w:eastAsia="仿宋"/>
                <w:szCs w:val="21"/>
              </w:rPr>
              <w:t>（接管量）</w:t>
            </w:r>
          </w:p>
        </w:tc>
        <w:tc>
          <w:tcPr>
            <w:tcW w:w="1352" w:type="pct"/>
            <w:vAlign w:val="center"/>
          </w:tcPr>
          <w:p>
            <w:pPr>
              <w:spacing w:line="300" w:lineRule="exact"/>
              <w:jc w:val="center"/>
              <w:rPr>
                <w:rFonts w:ascii="仿宋" w:hAnsi="仿宋" w:eastAsia="仿宋"/>
                <w:szCs w:val="21"/>
              </w:rPr>
            </w:pPr>
            <w:r>
              <w:rPr>
                <w:rFonts w:ascii="仿宋" w:hAnsi="仿宋" w:eastAsia="仿宋"/>
                <w:szCs w:val="21"/>
              </w:rPr>
              <w:t>污水量</w:t>
            </w:r>
          </w:p>
        </w:tc>
        <w:tc>
          <w:tcPr>
            <w:tcW w:w="830" w:type="pct"/>
            <w:vAlign w:val="center"/>
          </w:tcPr>
          <w:p>
            <w:pPr>
              <w:widowControl/>
              <w:jc w:val="center"/>
              <w:rPr>
                <w:rFonts w:ascii="仿宋" w:hAnsi="仿宋" w:eastAsia="仿宋"/>
                <w:kern w:val="0"/>
                <w:szCs w:val="21"/>
              </w:rPr>
            </w:pPr>
            <w:r>
              <w:rPr>
                <w:rFonts w:hint="eastAsia" w:ascii="仿宋" w:hAnsi="仿宋" w:eastAsia="仿宋"/>
                <w:kern w:val="0"/>
                <w:szCs w:val="21"/>
              </w:rPr>
              <w:t>1080</w:t>
            </w:r>
          </w:p>
        </w:tc>
        <w:tc>
          <w:tcPr>
            <w:tcW w:w="1095" w:type="pct"/>
            <w:vAlign w:val="center"/>
          </w:tcPr>
          <w:p>
            <w:pPr>
              <w:widowControl/>
              <w:jc w:val="center"/>
              <w:rPr>
                <w:rFonts w:ascii="仿宋" w:hAnsi="仿宋" w:eastAsia="仿宋"/>
                <w:kern w:val="0"/>
                <w:szCs w:val="21"/>
              </w:rPr>
            </w:pPr>
            <w:r>
              <w:rPr>
                <w:rFonts w:hint="eastAsia" w:ascii="仿宋" w:hAnsi="仿宋" w:eastAsia="仿宋"/>
                <w:kern w:val="0"/>
                <w:szCs w:val="21"/>
              </w:rPr>
              <w:t>0</w:t>
            </w:r>
          </w:p>
        </w:tc>
        <w:tc>
          <w:tcPr>
            <w:tcW w:w="1028" w:type="pct"/>
            <w:vAlign w:val="center"/>
          </w:tcPr>
          <w:p>
            <w:pPr>
              <w:widowControl/>
              <w:jc w:val="center"/>
              <w:rPr>
                <w:rFonts w:ascii="仿宋" w:hAnsi="仿宋" w:eastAsia="仿宋"/>
                <w:kern w:val="0"/>
                <w:szCs w:val="21"/>
              </w:rPr>
            </w:pPr>
            <w:r>
              <w:rPr>
                <w:rFonts w:hint="eastAsia" w:ascii="仿宋" w:hAnsi="仿宋" w:eastAsia="仿宋"/>
                <w:kern w:val="0"/>
                <w:szCs w:val="21"/>
              </w:rPr>
              <w:t>1080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95" w:type="pct"/>
            <w:gridSpan w:val="2"/>
            <w:vMerge w:val="continue"/>
            <w:vAlign w:val="center"/>
          </w:tcPr>
          <w:p>
            <w:pPr>
              <w:spacing w:line="300" w:lineRule="exact"/>
              <w:jc w:val="center"/>
              <w:rPr>
                <w:rFonts w:ascii="仿宋" w:hAnsi="仿宋" w:eastAsia="仿宋"/>
                <w:szCs w:val="21"/>
              </w:rPr>
            </w:pPr>
          </w:p>
        </w:tc>
        <w:tc>
          <w:tcPr>
            <w:tcW w:w="1352" w:type="pct"/>
            <w:vAlign w:val="center"/>
          </w:tcPr>
          <w:p>
            <w:pPr>
              <w:widowControl/>
              <w:jc w:val="center"/>
              <w:rPr>
                <w:rFonts w:ascii="仿宋" w:hAnsi="仿宋" w:eastAsia="仿宋"/>
                <w:kern w:val="0"/>
                <w:szCs w:val="21"/>
              </w:rPr>
            </w:pPr>
            <w:r>
              <w:rPr>
                <w:rFonts w:ascii="仿宋" w:hAnsi="仿宋" w:eastAsia="仿宋"/>
                <w:kern w:val="0"/>
                <w:szCs w:val="21"/>
              </w:rPr>
              <w:t>COD</w:t>
            </w:r>
          </w:p>
        </w:tc>
        <w:tc>
          <w:tcPr>
            <w:tcW w:w="830" w:type="pct"/>
            <w:vAlign w:val="center"/>
          </w:tcPr>
          <w:p>
            <w:pPr>
              <w:adjustRightInd w:val="0"/>
              <w:snapToGrid w:val="0"/>
              <w:spacing w:line="240" w:lineRule="exact"/>
              <w:jc w:val="center"/>
              <w:rPr>
                <w:rFonts w:ascii="仿宋" w:hAnsi="仿宋" w:eastAsia="仿宋" w:cs="仿宋"/>
                <w:bCs/>
                <w:szCs w:val="21"/>
              </w:rPr>
            </w:pPr>
            <w:r>
              <w:rPr>
                <w:rFonts w:ascii="仿宋" w:hAnsi="仿宋" w:eastAsia="仿宋" w:cs="仿宋"/>
                <w:bCs/>
                <w:szCs w:val="21"/>
              </w:rPr>
              <w:t>0.43</w:t>
            </w:r>
          </w:p>
        </w:tc>
        <w:tc>
          <w:tcPr>
            <w:tcW w:w="1095" w:type="pct"/>
            <w:vAlign w:val="center"/>
          </w:tcPr>
          <w:p>
            <w:pPr>
              <w:widowControl/>
              <w:jc w:val="center"/>
              <w:rPr>
                <w:rFonts w:ascii="仿宋" w:hAnsi="仿宋" w:eastAsia="仿宋"/>
                <w:kern w:val="0"/>
                <w:szCs w:val="21"/>
              </w:rPr>
            </w:pPr>
            <w:r>
              <w:rPr>
                <w:rFonts w:hint="eastAsia" w:ascii="仿宋" w:hAnsi="仿宋" w:eastAsia="仿宋"/>
                <w:kern w:val="0"/>
                <w:szCs w:val="21"/>
              </w:rPr>
              <w:t>0</w:t>
            </w:r>
          </w:p>
        </w:tc>
        <w:tc>
          <w:tcPr>
            <w:tcW w:w="1028" w:type="pct"/>
            <w:vAlign w:val="center"/>
          </w:tcPr>
          <w:p>
            <w:pPr>
              <w:adjustRightInd w:val="0"/>
              <w:snapToGrid w:val="0"/>
              <w:spacing w:line="240" w:lineRule="exact"/>
              <w:jc w:val="center"/>
              <w:rPr>
                <w:rFonts w:ascii="仿宋" w:hAnsi="仿宋" w:eastAsia="仿宋" w:cs="仿宋"/>
                <w:bCs/>
                <w:szCs w:val="21"/>
              </w:rPr>
            </w:pPr>
            <w:r>
              <w:rPr>
                <w:rFonts w:ascii="仿宋" w:hAnsi="仿宋" w:eastAsia="仿宋" w:cs="仿宋"/>
                <w:bCs/>
                <w:szCs w:val="21"/>
              </w:rPr>
              <w:t>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95" w:type="pct"/>
            <w:gridSpan w:val="2"/>
            <w:vMerge w:val="continue"/>
            <w:vAlign w:val="center"/>
          </w:tcPr>
          <w:p>
            <w:pPr>
              <w:spacing w:line="300" w:lineRule="exact"/>
              <w:jc w:val="center"/>
              <w:rPr>
                <w:rFonts w:ascii="仿宋" w:hAnsi="仿宋" w:eastAsia="仿宋"/>
                <w:szCs w:val="21"/>
              </w:rPr>
            </w:pPr>
          </w:p>
        </w:tc>
        <w:tc>
          <w:tcPr>
            <w:tcW w:w="1352" w:type="pct"/>
            <w:vAlign w:val="center"/>
          </w:tcPr>
          <w:p>
            <w:pPr>
              <w:widowControl/>
              <w:jc w:val="center"/>
              <w:rPr>
                <w:rFonts w:ascii="仿宋" w:hAnsi="仿宋" w:eastAsia="仿宋"/>
                <w:kern w:val="0"/>
                <w:szCs w:val="21"/>
              </w:rPr>
            </w:pPr>
            <w:r>
              <w:rPr>
                <w:rFonts w:ascii="仿宋" w:hAnsi="仿宋" w:eastAsia="仿宋"/>
                <w:kern w:val="0"/>
                <w:szCs w:val="21"/>
              </w:rPr>
              <w:t>SS</w:t>
            </w:r>
          </w:p>
        </w:tc>
        <w:tc>
          <w:tcPr>
            <w:tcW w:w="830" w:type="pct"/>
            <w:vAlign w:val="center"/>
          </w:tcPr>
          <w:p>
            <w:pPr>
              <w:spacing w:line="240" w:lineRule="exact"/>
              <w:jc w:val="center"/>
              <w:rPr>
                <w:rFonts w:ascii="仿宋" w:hAnsi="仿宋" w:eastAsia="仿宋" w:cs="仿宋"/>
                <w:bCs/>
                <w:szCs w:val="21"/>
              </w:rPr>
            </w:pPr>
            <w:r>
              <w:rPr>
                <w:rFonts w:eastAsia="仿宋_GB2312"/>
                <w:kern w:val="0"/>
                <w:szCs w:val="21"/>
              </w:rPr>
              <w:t>0.27</w:t>
            </w:r>
          </w:p>
        </w:tc>
        <w:tc>
          <w:tcPr>
            <w:tcW w:w="1095" w:type="pct"/>
            <w:vAlign w:val="center"/>
          </w:tcPr>
          <w:p>
            <w:pPr>
              <w:widowControl/>
              <w:jc w:val="center"/>
              <w:rPr>
                <w:rFonts w:ascii="仿宋" w:hAnsi="仿宋" w:eastAsia="仿宋"/>
                <w:kern w:val="0"/>
                <w:szCs w:val="21"/>
              </w:rPr>
            </w:pPr>
            <w:r>
              <w:rPr>
                <w:rFonts w:hint="eastAsia" w:ascii="仿宋" w:hAnsi="仿宋" w:eastAsia="仿宋"/>
                <w:kern w:val="0"/>
                <w:szCs w:val="21"/>
              </w:rPr>
              <w:t>0</w:t>
            </w:r>
          </w:p>
        </w:tc>
        <w:tc>
          <w:tcPr>
            <w:tcW w:w="1028" w:type="pct"/>
            <w:vAlign w:val="center"/>
          </w:tcPr>
          <w:p>
            <w:pPr>
              <w:spacing w:line="240" w:lineRule="exact"/>
              <w:jc w:val="center"/>
              <w:rPr>
                <w:rFonts w:ascii="仿宋" w:hAnsi="仿宋" w:eastAsia="仿宋" w:cs="仿宋"/>
                <w:bCs/>
                <w:szCs w:val="21"/>
              </w:rPr>
            </w:pPr>
            <w:r>
              <w:rPr>
                <w:rFonts w:eastAsia="仿宋_GB2312"/>
                <w:kern w:val="0"/>
                <w:szCs w:val="21"/>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95" w:type="pct"/>
            <w:gridSpan w:val="2"/>
            <w:vMerge w:val="continue"/>
            <w:vAlign w:val="center"/>
          </w:tcPr>
          <w:p>
            <w:pPr>
              <w:spacing w:line="300" w:lineRule="exact"/>
              <w:jc w:val="center"/>
              <w:rPr>
                <w:rFonts w:ascii="仿宋" w:hAnsi="仿宋" w:eastAsia="仿宋"/>
                <w:szCs w:val="21"/>
              </w:rPr>
            </w:pPr>
          </w:p>
        </w:tc>
        <w:tc>
          <w:tcPr>
            <w:tcW w:w="1352" w:type="pct"/>
            <w:vAlign w:val="center"/>
          </w:tcPr>
          <w:p>
            <w:pPr>
              <w:widowControl/>
              <w:jc w:val="center"/>
              <w:rPr>
                <w:rFonts w:ascii="仿宋" w:hAnsi="仿宋" w:eastAsia="仿宋"/>
                <w:kern w:val="0"/>
                <w:szCs w:val="21"/>
              </w:rPr>
            </w:pPr>
            <w:r>
              <w:rPr>
                <w:rFonts w:ascii="仿宋" w:hAnsi="仿宋" w:eastAsia="仿宋"/>
                <w:kern w:val="0"/>
                <w:szCs w:val="21"/>
              </w:rPr>
              <w:t>NH</w:t>
            </w:r>
            <w:r>
              <w:rPr>
                <w:rFonts w:ascii="仿宋" w:hAnsi="仿宋" w:eastAsia="仿宋"/>
                <w:kern w:val="0"/>
                <w:szCs w:val="21"/>
                <w:vertAlign w:val="subscript"/>
              </w:rPr>
              <w:t>3</w:t>
            </w:r>
            <w:r>
              <w:rPr>
                <w:rFonts w:ascii="仿宋" w:hAnsi="仿宋" w:eastAsia="仿宋"/>
                <w:kern w:val="0"/>
                <w:szCs w:val="21"/>
              </w:rPr>
              <w:t>-N</w:t>
            </w:r>
          </w:p>
        </w:tc>
        <w:tc>
          <w:tcPr>
            <w:tcW w:w="830" w:type="pct"/>
            <w:vAlign w:val="center"/>
          </w:tcPr>
          <w:p>
            <w:pPr>
              <w:spacing w:line="240" w:lineRule="exact"/>
              <w:jc w:val="center"/>
              <w:rPr>
                <w:rFonts w:ascii="仿宋" w:hAnsi="仿宋" w:eastAsia="仿宋" w:cs="仿宋"/>
                <w:bCs/>
                <w:szCs w:val="21"/>
              </w:rPr>
            </w:pPr>
            <w:r>
              <w:rPr>
                <w:rFonts w:hint="eastAsia" w:eastAsia="仿宋_GB2312"/>
                <w:kern w:val="0"/>
                <w:szCs w:val="21"/>
              </w:rPr>
              <w:t>0.</w:t>
            </w:r>
            <w:r>
              <w:rPr>
                <w:rFonts w:eastAsia="仿宋_GB2312"/>
                <w:kern w:val="0"/>
                <w:szCs w:val="21"/>
              </w:rPr>
              <w:t>03</w:t>
            </w:r>
          </w:p>
        </w:tc>
        <w:tc>
          <w:tcPr>
            <w:tcW w:w="1095" w:type="pct"/>
            <w:vAlign w:val="center"/>
          </w:tcPr>
          <w:p>
            <w:pPr>
              <w:widowControl/>
              <w:jc w:val="center"/>
              <w:rPr>
                <w:rFonts w:ascii="仿宋" w:hAnsi="仿宋" w:eastAsia="仿宋"/>
                <w:kern w:val="0"/>
                <w:szCs w:val="21"/>
              </w:rPr>
            </w:pPr>
            <w:r>
              <w:rPr>
                <w:rFonts w:hint="eastAsia" w:ascii="仿宋" w:hAnsi="仿宋" w:eastAsia="仿宋"/>
                <w:kern w:val="0"/>
                <w:szCs w:val="21"/>
              </w:rPr>
              <w:t>0</w:t>
            </w:r>
          </w:p>
        </w:tc>
        <w:tc>
          <w:tcPr>
            <w:tcW w:w="1028" w:type="pct"/>
            <w:vAlign w:val="center"/>
          </w:tcPr>
          <w:p>
            <w:pPr>
              <w:spacing w:line="240" w:lineRule="exact"/>
              <w:jc w:val="center"/>
              <w:rPr>
                <w:rFonts w:ascii="仿宋" w:hAnsi="仿宋" w:eastAsia="仿宋" w:cs="仿宋"/>
                <w:bCs/>
                <w:szCs w:val="21"/>
              </w:rPr>
            </w:pPr>
            <w:r>
              <w:rPr>
                <w:rFonts w:hint="eastAsia" w:eastAsia="仿宋_GB2312"/>
                <w:kern w:val="0"/>
                <w:szCs w:val="21"/>
              </w:rPr>
              <w:t>0.</w:t>
            </w:r>
            <w:r>
              <w:rPr>
                <w:rFonts w:eastAsia="仿宋_GB2312"/>
                <w:kern w:val="0"/>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95" w:type="pct"/>
            <w:gridSpan w:val="2"/>
            <w:vMerge w:val="continue"/>
            <w:vAlign w:val="center"/>
          </w:tcPr>
          <w:p>
            <w:pPr>
              <w:spacing w:line="300" w:lineRule="exact"/>
              <w:jc w:val="center"/>
              <w:rPr>
                <w:rFonts w:ascii="仿宋" w:hAnsi="仿宋" w:eastAsia="仿宋"/>
                <w:szCs w:val="21"/>
              </w:rPr>
            </w:pPr>
          </w:p>
        </w:tc>
        <w:tc>
          <w:tcPr>
            <w:tcW w:w="1352" w:type="pct"/>
            <w:vAlign w:val="center"/>
          </w:tcPr>
          <w:p>
            <w:pPr>
              <w:widowControl/>
              <w:jc w:val="center"/>
              <w:rPr>
                <w:rFonts w:ascii="仿宋" w:hAnsi="仿宋" w:eastAsia="仿宋"/>
                <w:kern w:val="0"/>
                <w:szCs w:val="21"/>
              </w:rPr>
            </w:pPr>
            <w:r>
              <w:rPr>
                <w:rFonts w:ascii="仿宋" w:hAnsi="仿宋" w:eastAsia="仿宋"/>
                <w:kern w:val="0"/>
                <w:szCs w:val="21"/>
              </w:rPr>
              <w:t>TP</w:t>
            </w:r>
          </w:p>
        </w:tc>
        <w:tc>
          <w:tcPr>
            <w:tcW w:w="830" w:type="pct"/>
            <w:vAlign w:val="center"/>
          </w:tcPr>
          <w:p>
            <w:pPr>
              <w:spacing w:line="240" w:lineRule="exact"/>
              <w:jc w:val="center"/>
              <w:rPr>
                <w:rFonts w:ascii="仿宋" w:hAnsi="仿宋" w:eastAsia="仿宋" w:cs="仿宋"/>
                <w:bCs/>
                <w:szCs w:val="21"/>
              </w:rPr>
            </w:pPr>
            <w:r>
              <w:rPr>
                <w:rFonts w:hint="eastAsia" w:eastAsia="仿宋_GB2312"/>
                <w:kern w:val="0"/>
                <w:szCs w:val="21"/>
              </w:rPr>
              <w:t>0.0</w:t>
            </w:r>
            <w:r>
              <w:rPr>
                <w:rFonts w:eastAsia="仿宋_GB2312"/>
                <w:kern w:val="0"/>
                <w:szCs w:val="21"/>
              </w:rPr>
              <w:t>0</w:t>
            </w:r>
            <w:r>
              <w:rPr>
                <w:rFonts w:hint="eastAsia" w:eastAsia="仿宋_GB2312"/>
                <w:kern w:val="0"/>
                <w:szCs w:val="21"/>
              </w:rPr>
              <w:t>3</w:t>
            </w:r>
          </w:p>
        </w:tc>
        <w:tc>
          <w:tcPr>
            <w:tcW w:w="1095" w:type="pct"/>
            <w:vAlign w:val="center"/>
          </w:tcPr>
          <w:p>
            <w:pPr>
              <w:widowControl/>
              <w:jc w:val="center"/>
              <w:rPr>
                <w:rFonts w:ascii="仿宋" w:hAnsi="仿宋" w:eastAsia="仿宋"/>
                <w:kern w:val="0"/>
                <w:szCs w:val="21"/>
              </w:rPr>
            </w:pPr>
            <w:r>
              <w:rPr>
                <w:rFonts w:hint="eastAsia" w:ascii="仿宋" w:hAnsi="仿宋" w:eastAsia="仿宋"/>
                <w:kern w:val="0"/>
                <w:szCs w:val="21"/>
              </w:rPr>
              <w:t>0</w:t>
            </w:r>
          </w:p>
        </w:tc>
        <w:tc>
          <w:tcPr>
            <w:tcW w:w="1028" w:type="pct"/>
            <w:vAlign w:val="center"/>
          </w:tcPr>
          <w:p>
            <w:pPr>
              <w:spacing w:line="240" w:lineRule="exact"/>
              <w:jc w:val="center"/>
              <w:rPr>
                <w:rFonts w:ascii="仿宋" w:hAnsi="仿宋" w:eastAsia="仿宋" w:cs="仿宋"/>
                <w:bCs/>
                <w:szCs w:val="21"/>
              </w:rPr>
            </w:pPr>
            <w:r>
              <w:rPr>
                <w:rFonts w:hint="eastAsia" w:eastAsia="仿宋_GB2312"/>
                <w:kern w:val="0"/>
                <w:szCs w:val="21"/>
              </w:rPr>
              <w:t>0.0</w:t>
            </w:r>
            <w:r>
              <w:rPr>
                <w:rFonts w:eastAsia="仿宋_GB2312"/>
                <w:kern w:val="0"/>
                <w:szCs w:val="21"/>
              </w:rPr>
              <w:t>0</w:t>
            </w:r>
            <w:r>
              <w:rPr>
                <w:rFonts w:hint="eastAsia" w:eastAsia="仿宋_GB2312"/>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95" w:type="pct"/>
            <w:gridSpan w:val="2"/>
            <w:vMerge w:val="continue"/>
            <w:vAlign w:val="center"/>
          </w:tcPr>
          <w:p>
            <w:pPr>
              <w:spacing w:line="300" w:lineRule="exact"/>
              <w:jc w:val="center"/>
              <w:rPr>
                <w:rFonts w:ascii="仿宋" w:hAnsi="仿宋" w:eastAsia="仿宋"/>
                <w:szCs w:val="21"/>
              </w:rPr>
            </w:pPr>
          </w:p>
        </w:tc>
        <w:tc>
          <w:tcPr>
            <w:tcW w:w="1352" w:type="pct"/>
            <w:vAlign w:val="center"/>
          </w:tcPr>
          <w:p>
            <w:pPr>
              <w:widowControl/>
              <w:jc w:val="center"/>
              <w:rPr>
                <w:rFonts w:ascii="仿宋" w:hAnsi="仿宋" w:eastAsia="仿宋"/>
                <w:kern w:val="0"/>
                <w:szCs w:val="21"/>
              </w:rPr>
            </w:pPr>
            <w:r>
              <w:rPr>
                <w:rFonts w:hint="eastAsia" w:ascii="仿宋" w:hAnsi="仿宋" w:eastAsia="仿宋"/>
                <w:kern w:val="0"/>
                <w:szCs w:val="21"/>
              </w:rPr>
              <w:t>TN</w:t>
            </w:r>
          </w:p>
        </w:tc>
        <w:tc>
          <w:tcPr>
            <w:tcW w:w="830" w:type="pct"/>
            <w:vAlign w:val="center"/>
          </w:tcPr>
          <w:p>
            <w:pPr>
              <w:spacing w:line="240" w:lineRule="exact"/>
              <w:jc w:val="center"/>
              <w:rPr>
                <w:rFonts w:ascii="仿宋" w:hAnsi="仿宋" w:eastAsia="仿宋" w:cs="仿宋"/>
                <w:bCs/>
                <w:szCs w:val="21"/>
              </w:rPr>
            </w:pPr>
            <w:r>
              <w:rPr>
                <w:rFonts w:hint="eastAsia" w:eastAsia="仿宋_GB2312"/>
                <w:kern w:val="0"/>
                <w:szCs w:val="21"/>
              </w:rPr>
              <w:t>0.</w:t>
            </w:r>
            <w:r>
              <w:rPr>
                <w:rFonts w:eastAsia="仿宋_GB2312"/>
                <w:kern w:val="0"/>
                <w:szCs w:val="21"/>
              </w:rPr>
              <w:t>0</w:t>
            </w:r>
            <w:r>
              <w:rPr>
                <w:rFonts w:hint="eastAsia" w:eastAsia="仿宋_GB2312"/>
                <w:kern w:val="0"/>
                <w:szCs w:val="21"/>
              </w:rPr>
              <w:t>4</w:t>
            </w:r>
          </w:p>
        </w:tc>
        <w:tc>
          <w:tcPr>
            <w:tcW w:w="1095" w:type="pct"/>
            <w:vAlign w:val="center"/>
          </w:tcPr>
          <w:p>
            <w:pPr>
              <w:widowControl/>
              <w:jc w:val="center"/>
              <w:rPr>
                <w:rFonts w:ascii="仿宋" w:hAnsi="仿宋" w:eastAsia="仿宋"/>
                <w:kern w:val="0"/>
                <w:szCs w:val="21"/>
              </w:rPr>
            </w:pPr>
            <w:r>
              <w:rPr>
                <w:rFonts w:hint="eastAsia" w:ascii="仿宋" w:hAnsi="仿宋" w:eastAsia="仿宋"/>
                <w:kern w:val="0"/>
                <w:szCs w:val="21"/>
              </w:rPr>
              <w:t>0</w:t>
            </w:r>
          </w:p>
        </w:tc>
        <w:tc>
          <w:tcPr>
            <w:tcW w:w="1028" w:type="pct"/>
            <w:vAlign w:val="center"/>
          </w:tcPr>
          <w:p>
            <w:pPr>
              <w:spacing w:line="240" w:lineRule="exact"/>
              <w:jc w:val="center"/>
              <w:rPr>
                <w:rFonts w:ascii="仿宋" w:hAnsi="仿宋" w:eastAsia="仿宋" w:cs="仿宋"/>
                <w:bCs/>
                <w:szCs w:val="21"/>
              </w:rPr>
            </w:pPr>
            <w:r>
              <w:rPr>
                <w:rFonts w:hint="eastAsia" w:eastAsia="仿宋_GB2312"/>
                <w:kern w:val="0"/>
                <w:szCs w:val="21"/>
              </w:rPr>
              <w:t>0.</w:t>
            </w:r>
            <w:r>
              <w:rPr>
                <w:rFonts w:eastAsia="仿宋_GB2312"/>
                <w:kern w:val="0"/>
                <w:szCs w:val="21"/>
              </w:rPr>
              <w:t>0</w:t>
            </w:r>
            <w:r>
              <w:rPr>
                <w:rFonts w:hint="eastAsia" w:eastAsia="仿宋_GB2312"/>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256" w:type="pct"/>
            <w:vMerge w:val="restart"/>
            <w:vAlign w:val="center"/>
          </w:tcPr>
          <w:p>
            <w:pPr>
              <w:spacing w:line="300" w:lineRule="exact"/>
              <w:jc w:val="center"/>
              <w:rPr>
                <w:rFonts w:ascii="仿宋" w:hAnsi="仿宋" w:eastAsia="仿宋"/>
                <w:szCs w:val="21"/>
              </w:rPr>
            </w:pPr>
            <w:r>
              <w:rPr>
                <w:rFonts w:ascii="仿宋" w:hAnsi="仿宋" w:eastAsia="仿宋"/>
                <w:szCs w:val="21"/>
              </w:rPr>
              <w:t>废气</w:t>
            </w:r>
          </w:p>
        </w:tc>
        <w:tc>
          <w:tcPr>
            <w:tcW w:w="439" w:type="pct"/>
            <w:vMerge w:val="restart"/>
            <w:vAlign w:val="center"/>
          </w:tcPr>
          <w:p>
            <w:pPr>
              <w:spacing w:line="300" w:lineRule="exact"/>
              <w:jc w:val="center"/>
              <w:rPr>
                <w:rFonts w:ascii="仿宋" w:hAnsi="仿宋" w:eastAsia="仿宋"/>
                <w:szCs w:val="21"/>
              </w:rPr>
            </w:pPr>
            <w:r>
              <w:rPr>
                <w:rFonts w:ascii="仿宋" w:hAnsi="仿宋" w:eastAsia="仿宋"/>
                <w:szCs w:val="21"/>
              </w:rPr>
              <w:t>有组织废气</w:t>
            </w:r>
          </w:p>
        </w:tc>
        <w:tc>
          <w:tcPr>
            <w:tcW w:w="1352" w:type="pct"/>
            <w:vAlign w:val="center"/>
          </w:tcPr>
          <w:p>
            <w:pPr>
              <w:widowControl/>
              <w:jc w:val="center"/>
              <w:rPr>
                <w:rFonts w:ascii="仿宋" w:hAnsi="仿宋" w:eastAsia="仿宋" w:cs="宋体"/>
                <w:kern w:val="0"/>
                <w:szCs w:val="21"/>
              </w:rPr>
            </w:pPr>
            <w:r>
              <w:rPr>
                <w:rFonts w:hint="eastAsia" w:ascii="仿宋" w:hAnsi="仿宋" w:eastAsia="仿宋" w:cs="宋体"/>
                <w:kern w:val="0"/>
                <w:szCs w:val="21"/>
              </w:rPr>
              <w:t>非甲烷总烃</w:t>
            </w:r>
          </w:p>
        </w:tc>
        <w:tc>
          <w:tcPr>
            <w:tcW w:w="830" w:type="pct"/>
            <w:vAlign w:val="center"/>
          </w:tcPr>
          <w:p>
            <w:pPr>
              <w:widowControl/>
              <w:jc w:val="center"/>
              <w:rPr>
                <w:rFonts w:ascii="仿宋" w:hAnsi="仿宋" w:eastAsia="仿宋"/>
                <w:kern w:val="0"/>
                <w:szCs w:val="21"/>
              </w:rPr>
            </w:pPr>
            <w:r>
              <w:rPr>
                <w:rFonts w:hint="eastAsia" w:ascii="仿宋" w:hAnsi="仿宋" w:eastAsia="仿宋"/>
                <w:kern w:val="0"/>
                <w:szCs w:val="21"/>
              </w:rPr>
              <w:t>3</w:t>
            </w:r>
            <w:r>
              <w:rPr>
                <w:rFonts w:ascii="仿宋" w:hAnsi="仿宋" w:eastAsia="仿宋"/>
                <w:kern w:val="0"/>
                <w:szCs w:val="21"/>
              </w:rPr>
              <w:t>79.16</w:t>
            </w:r>
          </w:p>
        </w:tc>
        <w:tc>
          <w:tcPr>
            <w:tcW w:w="1095" w:type="pct"/>
            <w:vAlign w:val="center"/>
          </w:tcPr>
          <w:p>
            <w:pPr>
              <w:jc w:val="center"/>
              <w:rPr>
                <w:rFonts w:ascii="仿宋" w:hAnsi="仿宋" w:eastAsia="仿宋"/>
                <w:szCs w:val="21"/>
              </w:rPr>
            </w:pPr>
            <w:r>
              <w:rPr>
                <w:rFonts w:hint="eastAsia" w:ascii="仿宋" w:hAnsi="仿宋" w:eastAsia="仿宋"/>
                <w:szCs w:val="21"/>
              </w:rPr>
              <w:t>3</w:t>
            </w:r>
            <w:r>
              <w:rPr>
                <w:rFonts w:ascii="仿宋" w:hAnsi="仿宋" w:eastAsia="仿宋"/>
                <w:szCs w:val="21"/>
              </w:rPr>
              <w:t>77.27</w:t>
            </w:r>
          </w:p>
        </w:tc>
        <w:tc>
          <w:tcPr>
            <w:tcW w:w="1028" w:type="pct"/>
            <w:vAlign w:val="center"/>
          </w:tcPr>
          <w:p>
            <w:pPr>
              <w:jc w:val="center"/>
              <w:rPr>
                <w:rFonts w:ascii="仿宋" w:hAnsi="仿宋" w:eastAsia="仿宋"/>
                <w:szCs w:val="21"/>
              </w:rPr>
            </w:pPr>
            <w:r>
              <w:rPr>
                <w:rFonts w:hint="eastAsia" w:ascii="仿宋" w:hAnsi="仿宋" w:eastAsia="仿宋"/>
                <w:szCs w:val="21"/>
              </w:rPr>
              <w:t>1</w:t>
            </w:r>
            <w:r>
              <w:rPr>
                <w:rFonts w:ascii="仿宋" w:hAnsi="仿宋" w:eastAsia="仿宋"/>
                <w:szCs w:val="21"/>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256" w:type="pct"/>
            <w:vMerge w:val="continue"/>
            <w:vAlign w:val="center"/>
          </w:tcPr>
          <w:p>
            <w:pPr>
              <w:spacing w:line="300" w:lineRule="exact"/>
              <w:jc w:val="center"/>
              <w:rPr>
                <w:rFonts w:ascii="仿宋" w:hAnsi="仿宋" w:eastAsia="仿宋"/>
                <w:szCs w:val="21"/>
              </w:rPr>
            </w:pPr>
          </w:p>
        </w:tc>
        <w:tc>
          <w:tcPr>
            <w:tcW w:w="439" w:type="pct"/>
            <w:vMerge w:val="continue"/>
            <w:vAlign w:val="center"/>
          </w:tcPr>
          <w:p>
            <w:pPr>
              <w:spacing w:line="300" w:lineRule="exact"/>
              <w:jc w:val="center"/>
              <w:rPr>
                <w:rFonts w:ascii="仿宋" w:hAnsi="仿宋" w:eastAsia="仿宋"/>
                <w:szCs w:val="21"/>
              </w:rPr>
            </w:pPr>
          </w:p>
        </w:tc>
        <w:tc>
          <w:tcPr>
            <w:tcW w:w="1352" w:type="pct"/>
            <w:vAlign w:val="center"/>
          </w:tcPr>
          <w:p>
            <w:pPr>
              <w:widowControl/>
              <w:jc w:val="center"/>
              <w:rPr>
                <w:rFonts w:ascii="仿宋" w:hAnsi="仿宋" w:eastAsia="仿宋" w:cs="宋体"/>
                <w:kern w:val="0"/>
                <w:szCs w:val="21"/>
              </w:rPr>
            </w:pPr>
            <w:r>
              <w:rPr>
                <w:rFonts w:hint="eastAsia" w:ascii="仿宋" w:hAnsi="仿宋" w:eastAsia="仿宋" w:cs="宋体"/>
                <w:kern w:val="0"/>
                <w:szCs w:val="21"/>
              </w:rPr>
              <w:t>乙酸乙酯</w:t>
            </w:r>
          </w:p>
        </w:tc>
        <w:tc>
          <w:tcPr>
            <w:tcW w:w="830" w:type="pct"/>
            <w:vAlign w:val="center"/>
          </w:tcPr>
          <w:p>
            <w:pPr>
              <w:widowControl/>
              <w:jc w:val="center"/>
              <w:rPr>
                <w:rFonts w:ascii="仿宋" w:hAnsi="仿宋" w:eastAsia="仿宋"/>
                <w:kern w:val="0"/>
                <w:szCs w:val="21"/>
              </w:rPr>
            </w:pPr>
            <w:r>
              <w:rPr>
                <w:rFonts w:hint="eastAsia" w:ascii="仿宋" w:hAnsi="仿宋" w:eastAsia="仿宋"/>
                <w:kern w:val="0"/>
                <w:szCs w:val="21"/>
              </w:rPr>
              <w:t>3</w:t>
            </w:r>
            <w:r>
              <w:rPr>
                <w:rFonts w:ascii="仿宋" w:hAnsi="仿宋" w:eastAsia="仿宋"/>
                <w:kern w:val="0"/>
                <w:szCs w:val="21"/>
              </w:rPr>
              <w:t>28.93</w:t>
            </w:r>
          </w:p>
        </w:tc>
        <w:tc>
          <w:tcPr>
            <w:tcW w:w="1095" w:type="pct"/>
            <w:vAlign w:val="center"/>
          </w:tcPr>
          <w:p>
            <w:pPr>
              <w:jc w:val="center"/>
              <w:rPr>
                <w:rFonts w:ascii="仿宋" w:hAnsi="仿宋" w:eastAsia="仿宋"/>
                <w:szCs w:val="21"/>
              </w:rPr>
            </w:pPr>
            <w:r>
              <w:rPr>
                <w:rFonts w:hint="eastAsia" w:ascii="仿宋" w:hAnsi="仿宋" w:eastAsia="仿宋"/>
                <w:szCs w:val="21"/>
              </w:rPr>
              <w:t>3</w:t>
            </w:r>
            <w:r>
              <w:rPr>
                <w:rFonts w:ascii="仿宋" w:hAnsi="仿宋" w:eastAsia="仿宋"/>
                <w:szCs w:val="21"/>
              </w:rPr>
              <w:t>27.29</w:t>
            </w:r>
          </w:p>
        </w:tc>
        <w:tc>
          <w:tcPr>
            <w:tcW w:w="1028" w:type="pct"/>
            <w:vAlign w:val="center"/>
          </w:tcPr>
          <w:p>
            <w:pPr>
              <w:jc w:val="center"/>
              <w:rPr>
                <w:rFonts w:ascii="仿宋" w:hAnsi="仿宋" w:eastAsia="仿宋"/>
                <w:szCs w:val="21"/>
              </w:rPr>
            </w:pPr>
            <w:r>
              <w:rPr>
                <w:rFonts w:hint="eastAsia" w:ascii="仿宋" w:hAnsi="仿宋" w:eastAsia="仿宋"/>
                <w:szCs w:val="21"/>
              </w:rPr>
              <w:t>1</w:t>
            </w:r>
            <w:r>
              <w:rPr>
                <w:rFonts w:ascii="仿宋" w:hAnsi="仿宋" w:eastAsia="仿宋"/>
                <w:szCs w:val="21"/>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256" w:type="pct"/>
            <w:vMerge w:val="continue"/>
            <w:vAlign w:val="center"/>
          </w:tcPr>
          <w:p>
            <w:pPr>
              <w:spacing w:line="300" w:lineRule="exact"/>
              <w:jc w:val="center"/>
              <w:rPr>
                <w:rFonts w:ascii="仿宋" w:hAnsi="仿宋" w:eastAsia="仿宋"/>
                <w:szCs w:val="21"/>
              </w:rPr>
            </w:pPr>
          </w:p>
        </w:tc>
        <w:tc>
          <w:tcPr>
            <w:tcW w:w="439" w:type="pct"/>
            <w:vMerge w:val="continue"/>
            <w:vAlign w:val="center"/>
          </w:tcPr>
          <w:p>
            <w:pPr>
              <w:spacing w:line="300" w:lineRule="exact"/>
              <w:jc w:val="center"/>
              <w:rPr>
                <w:rFonts w:ascii="仿宋" w:hAnsi="仿宋" w:eastAsia="仿宋"/>
                <w:szCs w:val="21"/>
              </w:rPr>
            </w:pPr>
          </w:p>
        </w:tc>
        <w:tc>
          <w:tcPr>
            <w:tcW w:w="1352" w:type="pct"/>
            <w:vAlign w:val="center"/>
          </w:tcPr>
          <w:p>
            <w:pPr>
              <w:widowControl/>
              <w:jc w:val="center"/>
              <w:rPr>
                <w:rFonts w:ascii="仿宋" w:hAnsi="仿宋" w:eastAsia="仿宋" w:cs="宋体"/>
                <w:kern w:val="0"/>
                <w:szCs w:val="21"/>
              </w:rPr>
            </w:pPr>
            <w:r>
              <w:rPr>
                <w:rFonts w:hint="eastAsia" w:ascii="仿宋" w:hAnsi="仿宋" w:eastAsia="仿宋" w:cs="宋体"/>
                <w:kern w:val="0"/>
                <w:szCs w:val="21"/>
              </w:rPr>
              <w:t>二甲苯</w:t>
            </w:r>
          </w:p>
        </w:tc>
        <w:tc>
          <w:tcPr>
            <w:tcW w:w="830" w:type="pct"/>
            <w:vAlign w:val="center"/>
          </w:tcPr>
          <w:p>
            <w:pPr>
              <w:widowControl/>
              <w:jc w:val="center"/>
              <w:rPr>
                <w:rFonts w:ascii="仿宋" w:hAnsi="仿宋" w:eastAsia="仿宋"/>
                <w:kern w:val="0"/>
                <w:szCs w:val="21"/>
              </w:rPr>
            </w:pPr>
            <w:r>
              <w:rPr>
                <w:rFonts w:hint="eastAsia" w:ascii="仿宋" w:hAnsi="仿宋" w:eastAsia="仿宋"/>
                <w:kern w:val="0"/>
                <w:szCs w:val="21"/>
              </w:rPr>
              <w:t>3</w:t>
            </w:r>
            <w:r>
              <w:rPr>
                <w:rFonts w:ascii="仿宋" w:hAnsi="仿宋" w:eastAsia="仿宋"/>
                <w:kern w:val="0"/>
                <w:szCs w:val="21"/>
              </w:rPr>
              <w:t>6.31</w:t>
            </w:r>
          </w:p>
        </w:tc>
        <w:tc>
          <w:tcPr>
            <w:tcW w:w="1095" w:type="pct"/>
            <w:vAlign w:val="center"/>
          </w:tcPr>
          <w:p>
            <w:pPr>
              <w:widowControl/>
              <w:jc w:val="center"/>
              <w:rPr>
                <w:rFonts w:ascii="仿宋" w:hAnsi="仿宋" w:eastAsia="仿宋"/>
                <w:kern w:val="0"/>
                <w:szCs w:val="21"/>
              </w:rPr>
            </w:pPr>
            <w:r>
              <w:rPr>
                <w:rFonts w:hint="eastAsia" w:ascii="仿宋" w:hAnsi="仿宋" w:eastAsia="仿宋"/>
                <w:kern w:val="0"/>
                <w:szCs w:val="21"/>
              </w:rPr>
              <w:t>3</w:t>
            </w:r>
            <w:r>
              <w:rPr>
                <w:rFonts w:ascii="仿宋" w:hAnsi="仿宋" w:eastAsia="仿宋"/>
                <w:kern w:val="0"/>
                <w:szCs w:val="21"/>
              </w:rPr>
              <w:t>6.13</w:t>
            </w:r>
          </w:p>
        </w:tc>
        <w:tc>
          <w:tcPr>
            <w:tcW w:w="1028" w:type="pct"/>
            <w:vAlign w:val="center"/>
          </w:tcPr>
          <w:p>
            <w:pPr>
              <w:widowControl/>
              <w:jc w:val="center"/>
              <w:rPr>
                <w:rFonts w:ascii="仿宋" w:hAnsi="仿宋" w:eastAsia="仿宋"/>
                <w:kern w:val="0"/>
                <w:szCs w:val="21"/>
              </w:rPr>
            </w:pPr>
            <w:r>
              <w:rPr>
                <w:rFonts w:hint="eastAsia" w:ascii="仿宋" w:hAnsi="仿宋" w:eastAsia="仿宋"/>
                <w:kern w:val="0"/>
                <w:szCs w:val="21"/>
              </w:rPr>
              <w:t>0</w:t>
            </w:r>
            <w:r>
              <w:rPr>
                <w:rFonts w:ascii="仿宋" w:hAnsi="仿宋" w:eastAsia="仿宋"/>
                <w:kern w:val="0"/>
                <w:szCs w:val="21"/>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256" w:type="pct"/>
            <w:vMerge w:val="continue"/>
            <w:vAlign w:val="center"/>
          </w:tcPr>
          <w:p>
            <w:pPr>
              <w:spacing w:line="300" w:lineRule="exact"/>
              <w:jc w:val="center"/>
              <w:rPr>
                <w:rFonts w:ascii="仿宋" w:hAnsi="仿宋" w:eastAsia="仿宋"/>
                <w:szCs w:val="21"/>
              </w:rPr>
            </w:pPr>
          </w:p>
        </w:tc>
        <w:tc>
          <w:tcPr>
            <w:tcW w:w="439" w:type="pct"/>
            <w:vMerge w:val="continue"/>
            <w:vAlign w:val="center"/>
          </w:tcPr>
          <w:p>
            <w:pPr>
              <w:spacing w:line="300" w:lineRule="exact"/>
              <w:jc w:val="center"/>
              <w:rPr>
                <w:rFonts w:ascii="仿宋" w:hAnsi="仿宋" w:eastAsia="仿宋"/>
                <w:szCs w:val="21"/>
              </w:rPr>
            </w:pPr>
          </w:p>
        </w:tc>
        <w:tc>
          <w:tcPr>
            <w:tcW w:w="1352" w:type="pct"/>
            <w:vAlign w:val="center"/>
          </w:tcPr>
          <w:p>
            <w:pPr>
              <w:widowControl/>
              <w:jc w:val="center"/>
              <w:rPr>
                <w:rFonts w:ascii="仿宋" w:hAnsi="仿宋" w:eastAsia="仿宋" w:cs="宋体"/>
                <w:kern w:val="0"/>
                <w:szCs w:val="21"/>
              </w:rPr>
            </w:pPr>
            <w:r>
              <w:rPr>
                <w:rFonts w:hint="eastAsia" w:ascii="仿宋" w:hAnsi="仿宋" w:eastAsia="仿宋" w:cs="宋体"/>
                <w:kern w:val="0"/>
                <w:szCs w:val="21"/>
              </w:rPr>
              <w:t>颗粒物</w:t>
            </w:r>
          </w:p>
        </w:tc>
        <w:tc>
          <w:tcPr>
            <w:tcW w:w="830"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.07</w:t>
            </w:r>
          </w:p>
        </w:tc>
        <w:tc>
          <w:tcPr>
            <w:tcW w:w="1095" w:type="pct"/>
            <w:vAlign w:val="center"/>
          </w:tcPr>
          <w:p>
            <w:pPr>
              <w:jc w:val="center"/>
              <w:rPr>
                <w:rFonts w:ascii="仿宋" w:hAnsi="仿宋" w:eastAsia="仿宋"/>
                <w:szCs w:val="21"/>
              </w:rPr>
            </w:pPr>
            <w:r>
              <w:rPr>
                <w:rFonts w:hint="eastAsia" w:ascii="仿宋" w:hAnsi="仿宋" w:eastAsia="仿宋"/>
                <w:szCs w:val="21"/>
              </w:rPr>
              <w:t>0</w:t>
            </w:r>
          </w:p>
        </w:tc>
        <w:tc>
          <w:tcPr>
            <w:tcW w:w="1028"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256" w:type="pct"/>
            <w:vMerge w:val="continue"/>
            <w:vAlign w:val="center"/>
          </w:tcPr>
          <w:p>
            <w:pPr>
              <w:spacing w:line="300" w:lineRule="exact"/>
              <w:jc w:val="center"/>
              <w:rPr>
                <w:rFonts w:ascii="仿宋" w:hAnsi="仿宋" w:eastAsia="仿宋"/>
                <w:szCs w:val="21"/>
              </w:rPr>
            </w:pPr>
          </w:p>
        </w:tc>
        <w:tc>
          <w:tcPr>
            <w:tcW w:w="439" w:type="pct"/>
            <w:vMerge w:val="continue"/>
            <w:vAlign w:val="center"/>
          </w:tcPr>
          <w:p>
            <w:pPr>
              <w:spacing w:line="300" w:lineRule="exact"/>
              <w:jc w:val="center"/>
              <w:rPr>
                <w:rFonts w:ascii="仿宋" w:hAnsi="仿宋" w:eastAsia="仿宋"/>
                <w:szCs w:val="21"/>
              </w:rPr>
            </w:pPr>
          </w:p>
        </w:tc>
        <w:tc>
          <w:tcPr>
            <w:tcW w:w="1352" w:type="pct"/>
            <w:vAlign w:val="center"/>
          </w:tcPr>
          <w:p>
            <w:pPr>
              <w:widowControl/>
              <w:jc w:val="center"/>
              <w:rPr>
                <w:rFonts w:ascii="仿宋" w:hAnsi="仿宋" w:eastAsia="仿宋" w:cs="宋体"/>
                <w:kern w:val="0"/>
                <w:szCs w:val="21"/>
              </w:rPr>
            </w:pPr>
            <w:r>
              <w:rPr>
                <w:rFonts w:hint="eastAsia" w:ascii="仿宋" w:hAnsi="仿宋" w:eastAsia="仿宋"/>
                <w:kern w:val="0"/>
                <w:szCs w:val="21"/>
              </w:rPr>
              <w:t>SO</w:t>
            </w:r>
            <w:r>
              <w:rPr>
                <w:rFonts w:hint="eastAsia" w:ascii="仿宋" w:hAnsi="仿宋" w:eastAsia="仿宋"/>
                <w:kern w:val="0"/>
                <w:szCs w:val="21"/>
                <w:vertAlign w:val="subscript"/>
              </w:rPr>
              <w:t>2</w:t>
            </w:r>
          </w:p>
        </w:tc>
        <w:tc>
          <w:tcPr>
            <w:tcW w:w="830"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.05</w:t>
            </w:r>
          </w:p>
        </w:tc>
        <w:tc>
          <w:tcPr>
            <w:tcW w:w="1095" w:type="pct"/>
            <w:vAlign w:val="center"/>
          </w:tcPr>
          <w:p>
            <w:pPr>
              <w:jc w:val="center"/>
              <w:rPr>
                <w:rFonts w:ascii="仿宋" w:hAnsi="仿宋" w:eastAsia="仿宋"/>
                <w:szCs w:val="21"/>
              </w:rPr>
            </w:pPr>
            <w:r>
              <w:rPr>
                <w:rFonts w:hint="eastAsia" w:ascii="仿宋" w:hAnsi="仿宋" w:eastAsia="仿宋"/>
                <w:szCs w:val="21"/>
              </w:rPr>
              <w:t>0</w:t>
            </w:r>
          </w:p>
        </w:tc>
        <w:tc>
          <w:tcPr>
            <w:tcW w:w="1028"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256" w:type="pct"/>
            <w:vMerge w:val="continue"/>
            <w:vAlign w:val="center"/>
          </w:tcPr>
          <w:p>
            <w:pPr>
              <w:spacing w:line="300" w:lineRule="exact"/>
              <w:jc w:val="center"/>
              <w:rPr>
                <w:rFonts w:ascii="仿宋" w:hAnsi="仿宋" w:eastAsia="仿宋"/>
                <w:szCs w:val="21"/>
              </w:rPr>
            </w:pPr>
          </w:p>
        </w:tc>
        <w:tc>
          <w:tcPr>
            <w:tcW w:w="439" w:type="pct"/>
            <w:vMerge w:val="continue"/>
            <w:vAlign w:val="center"/>
          </w:tcPr>
          <w:p>
            <w:pPr>
              <w:spacing w:line="300" w:lineRule="exact"/>
              <w:jc w:val="center"/>
              <w:rPr>
                <w:rFonts w:ascii="仿宋" w:hAnsi="仿宋" w:eastAsia="仿宋"/>
                <w:szCs w:val="21"/>
              </w:rPr>
            </w:pPr>
          </w:p>
        </w:tc>
        <w:tc>
          <w:tcPr>
            <w:tcW w:w="1352" w:type="pct"/>
            <w:vAlign w:val="center"/>
          </w:tcPr>
          <w:p>
            <w:pPr>
              <w:widowControl/>
              <w:jc w:val="center"/>
              <w:rPr>
                <w:rFonts w:ascii="仿宋" w:hAnsi="仿宋" w:eastAsia="仿宋" w:cs="宋体"/>
                <w:kern w:val="0"/>
                <w:szCs w:val="21"/>
              </w:rPr>
            </w:pPr>
            <w:r>
              <w:rPr>
                <w:rFonts w:hint="eastAsia" w:ascii="仿宋" w:hAnsi="仿宋" w:eastAsia="仿宋"/>
                <w:kern w:val="0"/>
                <w:szCs w:val="21"/>
              </w:rPr>
              <w:t>NOx</w:t>
            </w:r>
          </w:p>
        </w:tc>
        <w:tc>
          <w:tcPr>
            <w:tcW w:w="830"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.38</w:t>
            </w:r>
          </w:p>
        </w:tc>
        <w:tc>
          <w:tcPr>
            <w:tcW w:w="1095" w:type="pct"/>
            <w:vAlign w:val="center"/>
          </w:tcPr>
          <w:p>
            <w:pPr>
              <w:jc w:val="center"/>
              <w:rPr>
                <w:rFonts w:ascii="仿宋" w:hAnsi="仿宋" w:eastAsia="仿宋"/>
                <w:szCs w:val="21"/>
              </w:rPr>
            </w:pPr>
            <w:r>
              <w:rPr>
                <w:rFonts w:hint="eastAsia" w:ascii="仿宋" w:hAnsi="仿宋" w:eastAsia="仿宋"/>
                <w:szCs w:val="21"/>
              </w:rPr>
              <w:t>0</w:t>
            </w:r>
          </w:p>
        </w:tc>
        <w:tc>
          <w:tcPr>
            <w:tcW w:w="1028"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256" w:type="pct"/>
            <w:vMerge w:val="continue"/>
            <w:vAlign w:val="center"/>
          </w:tcPr>
          <w:p>
            <w:pPr>
              <w:spacing w:line="300" w:lineRule="exact"/>
              <w:jc w:val="center"/>
              <w:rPr>
                <w:rFonts w:ascii="仿宋" w:hAnsi="仿宋" w:eastAsia="仿宋"/>
                <w:szCs w:val="21"/>
              </w:rPr>
            </w:pPr>
          </w:p>
        </w:tc>
        <w:tc>
          <w:tcPr>
            <w:tcW w:w="439" w:type="pct"/>
            <w:vMerge w:val="restart"/>
            <w:vAlign w:val="center"/>
          </w:tcPr>
          <w:p>
            <w:pPr>
              <w:spacing w:line="300" w:lineRule="exact"/>
              <w:jc w:val="center"/>
              <w:rPr>
                <w:rFonts w:ascii="仿宋" w:hAnsi="仿宋" w:eastAsia="仿宋"/>
                <w:szCs w:val="21"/>
              </w:rPr>
            </w:pPr>
            <w:r>
              <w:rPr>
                <w:rFonts w:ascii="仿宋" w:hAnsi="仿宋" w:eastAsia="仿宋"/>
                <w:szCs w:val="21"/>
              </w:rPr>
              <w:t>无组织废气</w:t>
            </w:r>
          </w:p>
        </w:tc>
        <w:tc>
          <w:tcPr>
            <w:tcW w:w="1352" w:type="pct"/>
            <w:vAlign w:val="center"/>
          </w:tcPr>
          <w:p>
            <w:pPr>
              <w:widowControl/>
              <w:jc w:val="center"/>
              <w:rPr>
                <w:rFonts w:ascii="仿宋" w:hAnsi="仿宋" w:eastAsia="仿宋" w:cs="宋体"/>
                <w:kern w:val="0"/>
                <w:szCs w:val="21"/>
              </w:rPr>
            </w:pPr>
            <w:r>
              <w:rPr>
                <w:rFonts w:hint="eastAsia" w:ascii="仿宋" w:hAnsi="仿宋" w:eastAsia="仿宋" w:cs="宋体"/>
                <w:kern w:val="0"/>
                <w:szCs w:val="21"/>
              </w:rPr>
              <w:t>非甲烷总烃</w:t>
            </w:r>
          </w:p>
        </w:tc>
        <w:tc>
          <w:tcPr>
            <w:tcW w:w="830" w:type="pct"/>
            <w:vAlign w:val="center"/>
          </w:tcPr>
          <w:p>
            <w:pPr>
              <w:jc w:val="center"/>
              <w:rPr>
                <w:rFonts w:ascii="仿宋" w:hAnsi="仿宋" w:eastAsia="仿宋"/>
                <w:szCs w:val="21"/>
              </w:rPr>
            </w:pPr>
            <w:r>
              <w:rPr>
                <w:rFonts w:hint="eastAsia" w:ascii="仿宋" w:hAnsi="仿宋" w:eastAsia="仿宋"/>
                <w:szCs w:val="21"/>
              </w:rPr>
              <w:t>1</w:t>
            </w:r>
            <w:r>
              <w:rPr>
                <w:rFonts w:ascii="仿宋" w:hAnsi="仿宋" w:eastAsia="仿宋"/>
                <w:szCs w:val="21"/>
              </w:rPr>
              <w:t>.91</w:t>
            </w:r>
          </w:p>
        </w:tc>
        <w:tc>
          <w:tcPr>
            <w:tcW w:w="1095" w:type="pct"/>
            <w:vAlign w:val="center"/>
          </w:tcPr>
          <w:p>
            <w:pPr>
              <w:jc w:val="center"/>
              <w:rPr>
                <w:rFonts w:ascii="仿宋" w:hAnsi="仿宋" w:eastAsia="仿宋"/>
                <w:szCs w:val="21"/>
              </w:rPr>
            </w:pPr>
            <w:r>
              <w:rPr>
                <w:rFonts w:hint="eastAsia" w:ascii="仿宋" w:hAnsi="仿宋" w:eastAsia="仿宋"/>
                <w:szCs w:val="21"/>
              </w:rPr>
              <w:t>0</w:t>
            </w:r>
          </w:p>
        </w:tc>
        <w:tc>
          <w:tcPr>
            <w:tcW w:w="1028" w:type="pct"/>
            <w:vAlign w:val="center"/>
          </w:tcPr>
          <w:p>
            <w:pPr>
              <w:jc w:val="center"/>
              <w:rPr>
                <w:rFonts w:ascii="仿宋" w:hAnsi="仿宋" w:eastAsia="仿宋"/>
                <w:szCs w:val="21"/>
              </w:rPr>
            </w:pPr>
            <w:r>
              <w:rPr>
                <w:rFonts w:hint="eastAsia" w:ascii="仿宋" w:hAnsi="仿宋" w:eastAsia="仿宋"/>
                <w:szCs w:val="21"/>
              </w:rPr>
              <w:t>1</w:t>
            </w:r>
            <w:r>
              <w:rPr>
                <w:rFonts w:ascii="仿宋" w:hAnsi="仿宋" w:eastAsia="仿宋"/>
                <w:szCs w:val="21"/>
              </w:rPr>
              <w:t>.91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256" w:type="pct"/>
            <w:vMerge w:val="continue"/>
            <w:vAlign w:val="center"/>
          </w:tcPr>
          <w:p>
            <w:pPr>
              <w:spacing w:line="300" w:lineRule="exact"/>
              <w:jc w:val="center"/>
              <w:rPr>
                <w:rFonts w:ascii="仿宋" w:hAnsi="仿宋" w:eastAsia="仿宋"/>
                <w:szCs w:val="21"/>
              </w:rPr>
            </w:pPr>
          </w:p>
        </w:tc>
        <w:tc>
          <w:tcPr>
            <w:tcW w:w="439" w:type="pct"/>
            <w:vMerge w:val="continue"/>
            <w:vAlign w:val="center"/>
          </w:tcPr>
          <w:p>
            <w:pPr>
              <w:spacing w:line="300" w:lineRule="exact"/>
              <w:jc w:val="center"/>
              <w:rPr>
                <w:rFonts w:ascii="仿宋" w:hAnsi="仿宋" w:eastAsia="仿宋"/>
                <w:szCs w:val="21"/>
              </w:rPr>
            </w:pPr>
          </w:p>
        </w:tc>
        <w:tc>
          <w:tcPr>
            <w:tcW w:w="1352" w:type="pct"/>
            <w:vAlign w:val="center"/>
          </w:tcPr>
          <w:p>
            <w:pPr>
              <w:widowControl/>
              <w:jc w:val="center"/>
              <w:rPr>
                <w:rFonts w:ascii="仿宋" w:hAnsi="仿宋" w:eastAsia="仿宋" w:cs="宋体"/>
                <w:kern w:val="0"/>
                <w:szCs w:val="21"/>
              </w:rPr>
            </w:pPr>
            <w:r>
              <w:rPr>
                <w:rFonts w:hint="eastAsia" w:ascii="仿宋" w:hAnsi="仿宋" w:eastAsia="仿宋" w:cs="宋体"/>
                <w:kern w:val="0"/>
                <w:szCs w:val="21"/>
              </w:rPr>
              <w:t>乙酸乙酯</w:t>
            </w:r>
          </w:p>
        </w:tc>
        <w:tc>
          <w:tcPr>
            <w:tcW w:w="830" w:type="pct"/>
            <w:vAlign w:val="center"/>
          </w:tcPr>
          <w:p>
            <w:pPr>
              <w:jc w:val="center"/>
              <w:rPr>
                <w:rFonts w:ascii="仿宋" w:hAnsi="仿宋" w:eastAsia="仿宋"/>
                <w:szCs w:val="21"/>
              </w:rPr>
            </w:pPr>
            <w:r>
              <w:rPr>
                <w:rFonts w:hint="eastAsia" w:ascii="仿宋" w:hAnsi="仿宋" w:eastAsia="仿宋"/>
                <w:szCs w:val="21"/>
              </w:rPr>
              <w:t>1</w:t>
            </w:r>
            <w:r>
              <w:rPr>
                <w:rFonts w:ascii="仿宋" w:hAnsi="仿宋" w:eastAsia="仿宋"/>
                <w:szCs w:val="21"/>
              </w:rPr>
              <w:t>.66</w:t>
            </w:r>
          </w:p>
        </w:tc>
        <w:tc>
          <w:tcPr>
            <w:tcW w:w="1095" w:type="pct"/>
            <w:vAlign w:val="center"/>
          </w:tcPr>
          <w:p>
            <w:pPr>
              <w:jc w:val="center"/>
              <w:rPr>
                <w:rFonts w:ascii="仿宋" w:hAnsi="仿宋" w:eastAsia="仿宋"/>
                <w:szCs w:val="21"/>
              </w:rPr>
            </w:pPr>
            <w:r>
              <w:rPr>
                <w:rFonts w:hint="eastAsia" w:ascii="仿宋" w:hAnsi="仿宋" w:eastAsia="仿宋"/>
                <w:szCs w:val="21"/>
              </w:rPr>
              <w:t>0</w:t>
            </w:r>
          </w:p>
        </w:tc>
        <w:tc>
          <w:tcPr>
            <w:tcW w:w="1028" w:type="pct"/>
            <w:vAlign w:val="center"/>
          </w:tcPr>
          <w:p>
            <w:pPr>
              <w:jc w:val="center"/>
              <w:rPr>
                <w:rFonts w:ascii="仿宋" w:hAnsi="仿宋" w:eastAsia="仿宋"/>
                <w:szCs w:val="21"/>
              </w:rPr>
            </w:pPr>
            <w:r>
              <w:rPr>
                <w:rFonts w:hint="eastAsia" w:ascii="仿宋" w:hAnsi="仿宋" w:eastAsia="仿宋"/>
                <w:szCs w:val="21"/>
              </w:rPr>
              <w:t>1</w:t>
            </w:r>
            <w:r>
              <w:rPr>
                <w:rFonts w:ascii="仿宋" w:hAnsi="仿宋" w:eastAsia="仿宋"/>
                <w:szCs w:val="21"/>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256" w:type="pct"/>
            <w:vMerge w:val="continue"/>
            <w:vAlign w:val="center"/>
          </w:tcPr>
          <w:p>
            <w:pPr>
              <w:spacing w:line="300" w:lineRule="exact"/>
              <w:jc w:val="center"/>
              <w:rPr>
                <w:rFonts w:ascii="仿宋" w:hAnsi="仿宋" w:eastAsia="仿宋"/>
                <w:szCs w:val="21"/>
              </w:rPr>
            </w:pPr>
          </w:p>
        </w:tc>
        <w:tc>
          <w:tcPr>
            <w:tcW w:w="439" w:type="pct"/>
            <w:vMerge w:val="continue"/>
            <w:vAlign w:val="center"/>
          </w:tcPr>
          <w:p>
            <w:pPr>
              <w:spacing w:line="300" w:lineRule="exact"/>
              <w:jc w:val="center"/>
              <w:rPr>
                <w:rFonts w:ascii="仿宋" w:hAnsi="仿宋" w:eastAsia="仿宋"/>
                <w:szCs w:val="21"/>
              </w:rPr>
            </w:pPr>
          </w:p>
        </w:tc>
        <w:tc>
          <w:tcPr>
            <w:tcW w:w="1352" w:type="pct"/>
            <w:vAlign w:val="center"/>
          </w:tcPr>
          <w:p>
            <w:pPr>
              <w:widowControl/>
              <w:jc w:val="center"/>
              <w:rPr>
                <w:rFonts w:ascii="仿宋" w:hAnsi="仿宋" w:eastAsia="仿宋"/>
                <w:kern w:val="0"/>
                <w:szCs w:val="21"/>
              </w:rPr>
            </w:pPr>
            <w:r>
              <w:rPr>
                <w:rFonts w:hint="eastAsia" w:ascii="仿宋" w:hAnsi="仿宋" w:eastAsia="仿宋" w:cs="宋体"/>
                <w:kern w:val="0"/>
                <w:szCs w:val="21"/>
              </w:rPr>
              <w:t>二甲苯</w:t>
            </w:r>
          </w:p>
        </w:tc>
        <w:tc>
          <w:tcPr>
            <w:tcW w:w="830" w:type="pct"/>
            <w:vAlign w:val="center"/>
          </w:tcPr>
          <w:p>
            <w:pPr>
              <w:jc w:val="center"/>
              <w:rPr>
                <w:rFonts w:ascii="仿宋" w:hAnsi="仿宋" w:eastAsia="仿宋"/>
                <w:szCs w:val="21"/>
              </w:rPr>
            </w:pPr>
            <w:r>
              <w:rPr>
                <w:rFonts w:hint="eastAsia" w:ascii="仿宋" w:hAnsi="仿宋" w:eastAsia="仿宋"/>
                <w:szCs w:val="21"/>
              </w:rPr>
              <w:t>0</w:t>
            </w:r>
            <w:r>
              <w:rPr>
                <w:rFonts w:ascii="仿宋" w:hAnsi="仿宋" w:eastAsia="仿宋"/>
                <w:szCs w:val="21"/>
              </w:rPr>
              <w:t>.19</w:t>
            </w:r>
          </w:p>
        </w:tc>
        <w:tc>
          <w:tcPr>
            <w:tcW w:w="1095" w:type="pct"/>
            <w:vAlign w:val="center"/>
          </w:tcPr>
          <w:p>
            <w:pPr>
              <w:jc w:val="center"/>
              <w:rPr>
                <w:rFonts w:ascii="仿宋" w:hAnsi="仿宋" w:eastAsia="仿宋"/>
                <w:szCs w:val="21"/>
              </w:rPr>
            </w:pPr>
            <w:r>
              <w:rPr>
                <w:rFonts w:hint="eastAsia" w:ascii="仿宋" w:hAnsi="仿宋" w:eastAsia="仿宋"/>
                <w:szCs w:val="21"/>
              </w:rPr>
              <w:t>0</w:t>
            </w:r>
          </w:p>
        </w:tc>
        <w:tc>
          <w:tcPr>
            <w:tcW w:w="1028" w:type="pct"/>
            <w:vAlign w:val="center"/>
          </w:tcPr>
          <w:p>
            <w:pPr>
              <w:jc w:val="center"/>
              <w:rPr>
                <w:rFonts w:ascii="仿宋" w:hAnsi="仿宋" w:eastAsia="仿宋"/>
                <w:szCs w:val="21"/>
              </w:rPr>
            </w:pPr>
            <w:r>
              <w:rPr>
                <w:rFonts w:hint="eastAsia" w:ascii="仿宋" w:hAnsi="仿宋" w:eastAsia="仿宋"/>
                <w:szCs w:val="21"/>
              </w:rPr>
              <w:t>0</w:t>
            </w:r>
            <w:r>
              <w:rPr>
                <w:rFonts w:ascii="仿宋" w:hAnsi="仿宋" w:eastAsia="仿宋"/>
                <w:szCs w:val="21"/>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695" w:type="pct"/>
            <w:gridSpan w:val="2"/>
            <w:vMerge w:val="restart"/>
            <w:vAlign w:val="center"/>
          </w:tcPr>
          <w:p>
            <w:pPr>
              <w:pStyle w:val="73"/>
              <w:jc w:val="center"/>
              <w:rPr>
                <w:rFonts w:ascii="仿宋" w:hAnsi="仿宋" w:eastAsia="仿宋"/>
                <w:sz w:val="21"/>
                <w:szCs w:val="21"/>
              </w:rPr>
            </w:pPr>
            <w:r>
              <w:rPr>
                <w:rFonts w:ascii="仿宋" w:hAnsi="仿宋" w:eastAsia="仿宋"/>
                <w:sz w:val="21"/>
                <w:szCs w:val="21"/>
              </w:rPr>
              <w:t>固废</w:t>
            </w:r>
          </w:p>
        </w:tc>
        <w:tc>
          <w:tcPr>
            <w:tcW w:w="1352" w:type="pct"/>
            <w:vAlign w:val="center"/>
          </w:tcPr>
          <w:p>
            <w:pPr>
              <w:spacing w:line="300" w:lineRule="exact"/>
              <w:jc w:val="center"/>
              <w:rPr>
                <w:rFonts w:ascii="仿宋" w:hAnsi="仿宋" w:eastAsia="仿宋"/>
                <w:szCs w:val="21"/>
              </w:rPr>
            </w:pPr>
            <w:r>
              <w:rPr>
                <w:rFonts w:hint="eastAsia" w:ascii="仿宋" w:hAnsi="仿宋" w:eastAsia="仿宋"/>
                <w:szCs w:val="21"/>
              </w:rPr>
              <w:t>一般</w:t>
            </w:r>
            <w:r>
              <w:rPr>
                <w:rFonts w:ascii="仿宋" w:hAnsi="仿宋" w:eastAsia="仿宋"/>
                <w:szCs w:val="21"/>
              </w:rPr>
              <w:t>固废</w:t>
            </w:r>
          </w:p>
        </w:tc>
        <w:tc>
          <w:tcPr>
            <w:tcW w:w="830" w:type="pct"/>
            <w:vAlign w:val="center"/>
          </w:tcPr>
          <w:p>
            <w:pPr>
              <w:widowControl/>
              <w:jc w:val="center"/>
              <w:rPr>
                <w:rFonts w:ascii="仿宋" w:hAnsi="仿宋" w:eastAsia="仿宋"/>
                <w:kern w:val="0"/>
                <w:szCs w:val="21"/>
              </w:rPr>
            </w:pPr>
            <w:r>
              <w:rPr>
                <w:rFonts w:ascii="仿宋" w:hAnsi="仿宋" w:eastAsia="仿宋"/>
                <w:kern w:val="0"/>
                <w:szCs w:val="21"/>
              </w:rPr>
              <w:t>48.3</w:t>
            </w:r>
          </w:p>
        </w:tc>
        <w:tc>
          <w:tcPr>
            <w:tcW w:w="1095" w:type="pct"/>
            <w:vAlign w:val="center"/>
          </w:tcPr>
          <w:p>
            <w:pPr>
              <w:widowControl/>
              <w:jc w:val="center"/>
              <w:rPr>
                <w:rFonts w:ascii="仿宋" w:hAnsi="仿宋" w:eastAsia="仿宋"/>
                <w:kern w:val="0"/>
                <w:szCs w:val="21"/>
              </w:rPr>
            </w:pPr>
            <w:r>
              <w:rPr>
                <w:rFonts w:ascii="仿宋" w:hAnsi="仿宋" w:eastAsia="仿宋"/>
                <w:kern w:val="0"/>
                <w:szCs w:val="21"/>
              </w:rPr>
              <w:t>48.3</w:t>
            </w:r>
          </w:p>
        </w:tc>
        <w:tc>
          <w:tcPr>
            <w:tcW w:w="1028" w:type="pct"/>
            <w:vAlign w:val="center"/>
          </w:tcPr>
          <w:p>
            <w:pPr>
              <w:pStyle w:val="124"/>
              <w:rPr>
                <w:rFonts w:ascii="仿宋" w:hAnsi="仿宋" w:eastAsia="仿宋"/>
                <w:szCs w:val="21"/>
              </w:rPr>
            </w:pPr>
            <w:r>
              <w:rPr>
                <w:rFonts w:hint="eastAsia" w:ascii="仿宋" w:hAnsi="仿宋" w:eastAsia="仿宋"/>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695" w:type="pct"/>
            <w:gridSpan w:val="2"/>
            <w:vMerge w:val="continue"/>
            <w:vAlign w:val="center"/>
          </w:tcPr>
          <w:p>
            <w:pPr>
              <w:pStyle w:val="73"/>
              <w:jc w:val="center"/>
              <w:rPr>
                <w:rFonts w:ascii="仿宋" w:hAnsi="仿宋" w:eastAsia="仿宋"/>
                <w:sz w:val="21"/>
                <w:szCs w:val="21"/>
              </w:rPr>
            </w:pPr>
          </w:p>
        </w:tc>
        <w:tc>
          <w:tcPr>
            <w:tcW w:w="1352" w:type="pct"/>
            <w:vAlign w:val="center"/>
          </w:tcPr>
          <w:p>
            <w:pPr>
              <w:spacing w:line="300" w:lineRule="exact"/>
              <w:jc w:val="center"/>
              <w:rPr>
                <w:rFonts w:ascii="仿宋" w:hAnsi="仿宋" w:eastAsia="仿宋"/>
                <w:szCs w:val="21"/>
              </w:rPr>
            </w:pPr>
            <w:r>
              <w:rPr>
                <w:rFonts w:hint="eastAsia" w:ascii="仿宋" w:hAnsi="仿宋" w:eastAsia="仿宋"/>
                <w:szCs w:val="21"/>
              </w:rPr>
              <w:t>危险废物</w:t>
            </w:r>
          </w:p>
        </w:tc>
        <w:tc>
          <w:tcPr>
            <w:tcW w:w="830" w:type="pct"/>
            <w:vAlign w:val="center"/>
          </w:tcPr>
          <w:p>
            <w:pPr>
              <w:jc w:val="center"/>
              <w:rPr>
                <w:rFonts w:ascii="仿宋" w:hAnsi="仿宋" w:eastAsia="仿宋"/>
                <w:szCs w:val="21"/>
              </w:rPr>
            </w:pPr>
            <w:r>
              <w:rPr>
                <w:rFonts w:hint="eastAsia" w:ascii="仿宋" w:hAnsi="仿宋" w:eastAsia="仿宋"/>
                <w:szCs w:val="21"/>
              </w:rPr>
              <w:t>8.9</w:t>
            </w:r>
            <w:r>
              <w:rPr>
                <w:rFonts w:ascii="仿宋" w:hAnsi="仿宋" w:eastAsia="仿宋"/>
                <w:szCs w:val="21"/>
              </w:rPr>
              <w:t>14</w:t>
            </w:r>
          </w:p>
        </w:tc>
        <w:tc>
          <w:tcPr>
            <w:tcW w:w="1095" w:type="pct"/>
            <w:vAlign w:val="center"/>
          </w:tcPr>
          <w:p>
            <w:pPr>
              <w:jc w:val="center"/>
              <w:rPr>
                <w:rFonts w:ascii="仿宋" w:hAnsi="仿宋" w:eastAsia="仿宋"/>
                <w:szCs w:val="21"/>
              </w:rPr>
            </w:pPr>
            <w:r>
              <w:rPr>
                <w:rFonts w:hint="eastAsia" w:ascii="仿宋" w:hAnsi="仿宋" w:eastAsia="仿宋"/>
                <w:szCs w:val="21"/>
              </w:rPr>
              <w:t>8.914</w:t>
            </w:r>
          </w:p>
        </w:tc>
        <w:tc>
          <w:tcPr>
            <w:tcW w:w="1028" w:type="pct"/>
            <w:vAlign w:val="center"/>
          </w:tcPr>
          <w:p>
            <w:pPr>
              <w:pStyle w:val="124"/>
              <w:rPr>
                <w:rFonts w:ascii="仿宋" w:hAnsi="仿宋" w:eastAsia="仿宋"/>
                <w:szCs w:val="21"/>
              </w:rPr>
            </w:pPr>
            <w:r>
              <w:rPr>
                <w:rFonts w:hint="eastAsia" w:ascii="仿宋" w:hAnsi="仿宋" w:eastAsia="仿宋"/>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695" w:type="pct"/>
            <w:gridSpan w:val="2"/>
            <w:vMerge w:val="continue"/>
            <w:vAlign w:val="center"/>
          </w:tcPr>
          <w:p>
            <w:pPr>
              <w:pStyle w:val="73"/>
              <w:jc w:val="center"/>
              <w:rPr>
                <w:rFonts w:ascii="仿宋" w:hAnsi="仿宋" w:eastAsia="仿宋"/>
                <w:sz w:val="21"/>
                <w:szCs w:val="21"/>
              </w:rPr>
            </w:pPr>
          </w:p>
        </w:tc>
        <w:tc>
          <w:tcPr>
            <w:tcW w:w="1352" w:type="pct"/>
            <w:vAlign w:val="center"/>
          </w:tcPr>
          <w:p>
            <w:pPr>
              <w:spacing w:line="300" w:lineRule="exact"/>
              <w:jc w:val="center"/>
              <w:rPr>
                <w:rFonts w:ascii="仿宋" w:hAnsi="仿宋" w:eastAsia="仿宋"/>
                <w:szCs w:val="21"/>
              </w:rPr>
            </w:pPr>
            <w:r>
              <w:rPr>
                <w:rFonts w:ascii="仿宋" w:hAnsi="仿宋" w:eastAsia="仿宋"/>
                <w:szCs w:val="21"/>
              </w:rPr>
              <w:t>生活垃圾</w:t>
            </w:r>
          </w:p>
        </w:tc>
        <w:tc>
          <w:tcPr>
            <w:tcW w:w="830" w:type="pct"/>
            <w:vAlign w:val="center"/>
          </w:tcPr>
          <w:p>
            <w:pPr>
              <w:jc w:val="center"/>
              <w:rPr>
                <w:rFonts w:ascii="仿宋" w:hAnsi="仿宋" w:eastAsia="仿宋"/>
                <w:szCs w:val="21"/>
              </w:rPr>
            </w:pPr>
            <w:r>
              <w:rPr>
                <w:rFonts w:hint="eastAsia" w:ascii="仿宋" w:hAnsi="仿宋" w:eastAsia="仿宋"/>
                <w:szCs w:val="21"/>
              </w:rPr>
              <w:t>6.75</w:t>
            </w:r>
          </w:p>
        </w:tc>
        <w:tc>
          <w:tcPr>
            <w:tcW w:w="1095" w:type="pct"/>
            <w:vAlign w:val="center"/>
          </w:tcPr>
          <w:p>
            <w:pPr>
              <w:jc w:val="center"/>
              <w:rPr>
                <w:rFonts w:ascii="仿宋" w:hAnsi="仿宋" w:eastAsia="仿宋"/>
                <w:szCs w:val="21"/>
              </w:rPr>
            </w:pPr>
            <w:r>
              <w:rPr>
                <w:rFonts w:hint="eastAsia" w:ascii="仿宋" w:hAnsi="仿宋" w:eastAsia="仿宋"/>
                <w:szCs w:val="21"/>
              </w:rPr>
              <w:t>6.75</w:t>
            </w:r>
          </w:p>
        </w:tc>
        <w:tc>
          <w:tcPr>
            <w:tcW w:w="1028" w:type="pct"/>
            <w:vAlign w:val="center"/>
          </w:tcPr>
          <w:p>
            <w:pPr>
              <w:pStyle w:val="124"/>
              <w:rPr>
                <w:rFonts w:ascii="仿宋" w:hAnsi="仿宋" w:eastAsia="仿宋"/>
                <w:szCs w:val="21"/>
              </w:rPr>
            </w:pPr>
            <w:r>
              <w:rPr>
                <w:rFonts w:hint="eastAsia" w:ascii="仿宋" w:hAnsi="仿宋" w:eastAsia="仿宋"/>
                <w:szCs w:val="21"/>
              </w:rPr>
              <w:t>0</w:t>
            </w:r>
          </w:p>
        </w:tc>
      </w:tr>
      <w:bookmarkEnd w:id="257"/>
    </w:tbl>
    <w:p>
      <w:pPr>
        <w:pStyle w:val="45"/>
      </w:pPr>
    </w:p>
    <w:p>
      <w:pPr>
        <w:pStyle w:val="33"/>
      </w:pPr>
    </w:p>
    <w:p>
      <w:pPr>
        <w:pStyle w:val="45"/>
      </w:pPr>
    </w:p>
    <w:p>
      <w:pPr>
        <w:pStyle w:val="33"/>
        <w:sectPr>
          <w:footerReference r:id="rId17" w:type="default"/>
          <w:headerReference r:id="rId16" w:type="even"/>
          <w:footerReference r:id="rId18" w:type="even"/>
          <w:pgSz w:w="11906" w:h="16838"/>
          <w:pgMar w:top="1440" w:right="1800" w:bottom="1440" w:left="1800" w:header="850" w:footer="992" w:gutter="0"/>
          <w:cols w:space="425" w:num="1"/>
          <w:docGrid w:linePitch="312" w:charSpace="0"/>
        </w:sectPr>
      </w:pPr>
    </w:p>
    <w:p>
      <w:pPr>
        <w:pStyle w:val="2"/>
        <w:numPr>
          <w:ilvl w:val="0"/>
          <w:numId w:val="1"/>
        </w:numPr>
        <w:spacing w:before="120" w:beforeLines="50" w:after="120" w:afterLines="50" w:line="500" w:lineRule="exact"/>
        <w:ind w:left="282" w:hanging="282" w:hangingChars="78"/>
        <w:rPr>
          <w:rFonts w:eastAsia="仿宋_GB2312"/>
          <w:sz w:val="36"/>
          <w:szCs w:val="36"/>
        </w:rPr>
      </w:pPr>
      <w:bookmarkStart w:id="258" w:name="_Toc140565266"/>
      <w:r>
        <w:rPr>
          <w:rFonts w:eastAsia="仿宋_GB2312"/>
          <w:sz w:val="36"/>
          <w:szCs w:val="36"/>
        </w:rPr>
        <w:t>环境现状调查与评价</w:t>
      </w:r>
      <w:bookmarkEnd w:id="258"/>
    </w:p>
    <w:p>
      <w:pPr>
        <w:pStyle w:val="3"/>
        <w:spacing w:before="120" w:after="120"/>
      </w:pPr>
      <w:bookmarkStart w:id="259" w:name="_Toc160271880"/>
      <w:bookmarkStart w:id="260" w:name="_Toc140565267"/>
      <w:bookmarkStart w:id="261" w:name="_Toc328747123"/>
      <w:r>
        <w:t>自然环境现状调查概况</w:t>
      </w:r>
      <w:bookmarkEnd w:id="259"/>
      <w:bookmarkEnd w:id="260"/>
      <w:bookmarkEnd w:id="261"/>
    </w:p>
    <w:p>
      <w:pPr>
        <w:pStyle w:val="4"/>
        <w:keepLines w:val="0"/>
        <w:numPr>
          <w:ilvl w:val="2"/>
          <w:numId w:val="12"/>
        </w:numPr>
        <w:tabs>
          <w:tab w:val="left" w:pos="709"/>
        </w:tabs>
        <w:spacing w:before="120" w:beforeLines="50" w:after="120" w:afterLines="50" w:line="500" w:lineRule="exact"/>
        <w:ind w:left="452" w:hanging="452" w:hangingChars="150"/>
        <w:rPr>
          <w:rFonts w:eastAsia="仿宋_GB2312"/>
          <w:sz w:val="30"/>
          <w:szCs w:val="30"/>
        </w:rPr>
      </w:pPr>
      <w:r>
        <w:rPr>
          <w:rFonts w:eastAsia="仿宋_GB2312"/>
          <w:sz w:val="30"/>
          <w:szCs w:val="30"/>
        </w:rPr>
        <w:t>地理位置</w:t>
      </w:r>
    </w:p>
    <w:p>
      <w:pPr>
        <w:adjustRightInd w:val="0"/>
        <w:snapToGrid w:val="0"/>
        <w:spacing w:line="500" w:lineRule="exact"/>
        <w:ind w:firstLine="560" w:firstLineChars="200"/>
        <w:rPr>
          <w:rFonts w:eastAsia="仿宋_GB2312"/>
          <w:sz w:val="28"/>
        </w:rPr>
      </w:pPr>
      <w:r>
        <w:rPr>
          <w:rFonts w:eastAsia="仿宋_GB2312"/>
          <w:sz w:val="28"/>
        </w:rPr>
        <w:t>本项目位于</w:t>
      </w:r>
      <w:r>
        <w:rPr>
          <w:rFonts w:eastAsia="仿宋_GB2312"/>
          <w:kern w:val="0"/>
          <w:sz w:val="28"/>
          <w:szCs w:val="28"/>
        </w:rPr>
        <w:t>常州市</w:t>
      </w:r>
      <w:r>
        <w:rPr>
          <w:rFonts w:hint="eastAsia" w:eastAsia="仿宋_GB2312"/>
          <w:kern w:val="0"/>
          <w:sz w:val="28"/>
          <w:szCs w:val="28"/>
        </w:rPr>
        <w:t>金坛区</w:t>
      </w:r>
      <w:r>
        <w:rPr>
          <w:rFonts w:eastAsia="仿宋_GB2312"/>
          <w:sz w:val="28"/>
          <w:szCs w:val="28"/>
        </w:rPr>
        <w:t>金城镇红山路29号</w:t>
      </w:r>
      <w:r>
        <w:rPr>
          <w:rFonts w:eastAsia="仿宋_GB2312"/>
          <w:sz w:val="28"/>
        </w:rPr>
        <w:t>。</w:t>
      </w:r>
    </w:p>
    <w:p>
      <w:pPr>
        <w:adjustRightInd w:val="0"/>
        <w:snapToGrid w:val="0"/>
        <w:spacing w:line="500" w:lineRule="exact"/>
        <w:ind w:firstLine="560" w:firstLineChars="200"/>
        <w:rPr>
          <w:rFonts w:eastAsia="仿宋_GB2312"/>
          <w:sz w:val="28"/>
        </w:rPr>
      </w:pPr>
      <w:r>
        <w:rPr>
          <w:rFonts w:eastAsia="仿宋_GB2312"/>
          <w:sz w:val="28"/>
        </w:rPr>
        <w:t>常州市位于江苏省南部，北纬31°09′～32°04′，东经119°08′～120°12′，地处华东沿海长江三角洲，北携长江，南衔太湖，东邻上海，西近南京，沪宁铁路和京杭运河自西北向东南斜贯全境。</w:t>
      </w:r>
    </w:p>
    <w:p>
      <w:pPr>
        <w:adjustRightInd w:val="0"/>
        <w:snapToGrid w:val="0"/>
        <w:spacing w:line="500" w:lineRule="exact"/>
        <w:ind w:firstLine="560" w:firstLineChars="200"/>
        <w:rPr>
          <w:rFonts w:eastAsia="仿宋_GB2312"/>
          <w:sz w:val="28"/>
        </w:rPr>
      </w:pPr>
      <w:r>
        <w:rPr>
          <w:rFonts w:hint="eastAsia" w:eastAsia="仿宋_GB2312"/>
          <w:sz w:val="28"/>
        </w:rPr>
        <w:t>常州市金坛区地处江苏省南部、茅山东麓，东邻武进区，西接句容市，南连溧阳市、宜兴市，北接丹阳市、丹徒区，属于苏锡常都市圈与南京都市圈交界地带。</w:t>
      </w:r>
      <w:r>
        <w:rPr>
          <w:rFonts w:eastAsia="仿宋_GB2312"/>
          <w:sz w:val="28"/>
        </w:rPr>
        <w:t>江苏金坛经济开发区位于金坛市区东部，东至河头，北临柘荡河，西界下塘河，南以钱资荡东端的尧塘河为界，总面积约为68平方公里。</w:t>
      </w:r>
    </w:p>
    <w:p>
      <w:pPr>
        <w:pStyle w:val="4"/>
        <w:keepLines w:val="0"/>
        <w:numPr>
          <w:ilvl w:val="2"/>
          <w:numId w:val="12"/>
        </w:numPr>
        <w:tabs>
          <w:tab w:val="left" w:pos="709"/>
        </w:tabs>
        <w:spacing w:before="120" w:beforeLines="50" w:after="120" w:afterLines="50" w:line="500" w:lineRule="exact"/>
        <w:ind w:left="0" w:firstLine="0"/>
        <w:rPr>
          <w:rFonts w:eastAsia="仿宋_GB2312"/>
          <w:sz w:val="30"/>
          <w:szCs w:val="30"/>
        </w:rPr>
      </w:pPr>
      <w:r>
        <w:rPr>
          <w:rFonts w:eastAsia="仿宋_GB2312"/>
          <w:sz w:val="30"/>
          <w:szCs w:val="30"/>
        </w:rPr>
        <w:t>地形、地貌</w:t>
      </w:r>
    </w:p>
    <w:p>
      <w:pPr>
        <w:adjustRightInd w:val="0"/>
        <w:snapToGrid w:val="0"/>
        <w:spacing w:line="500" w:lineRule="exact"/>
        <w:ind w:firstLine="560" w:firstLineChars="200"/>
        <w:rPr>
          <w:rFonts w:eastAsia="仿宋_GB2312"/>
          <w:sz w:val="28"/>
        </w:rPr>
      </w:pPr>
      <w:r>
        <w:rPr>
          <w:rFonts w:eastAsia="仿宋_GB2312"/>
          <w:sz w:val="28"/>
        </w:rPr>
        <w:t>本项目所在地为</w:t>
      </w:r>
      <w:r>
        <w:rPr>
          <w:rFonts w:hint="eastAsia" w:eastAsia="仿宋_GB2312"/>
          <w:sz w:val="28"/>
        </w:rPr>
        <w:t>金坛</w:t>
      </w:r>
      <w:r>
        <w:rPr>
          <w:rFonts w:eastAsia="仿宋_GB2312"/>
          <w:sz w:val="28"/>
        </w:rPr>
        <w:t>区，属农村平原，地势平坦，河网密布。自然地平面标高2.6-3.6米（青岛高程）。据区域地质资料，该地区属长江三角洲沉积，第四季以来该区堆积了160-200米的松散沉积物，地貌单元属冲积平原。该地区的地震基本烈度为6度。</w:t>
      </w:r>
    </w:p>
    <w:p>
      <w:pPr>
        <w:adjustRightInd w:val="0"/>
        <w:snapToGrid w:val="0"/>
        <w:spacing w:line="500" w:lineRule="exact"/>
        <w:ind w:firstLine="560" w:firstLineChars="200"/>
        <w:rPr>
          <w:rFonts w:eastAsia="仿宋_GB2312"/>
          <w:sz w:val="28"/>
        </w:rPr>
      </w:pPr>
      <w:r>
        <w:rPr>
          <w:rFonts w:eastAsia="仿宋_GB2312"/>
          <w:sz w:val="28"/>
        </w:rPr>
        <w:t>常州市地貌类型属高沙平原，山丘平圩兼有。市区属长江下游冲积平原，地势平坦，西北部较高，略向东南倾斜，地面标高一般在6～8米（吴淞基面）。</w:t>
      </w:r>
    </w:p>
    <w:p>
      <w:pPr>
        <w:spacing w:line="500" w:lineRule="exact"/>
        <w:ind w:firstLine="551" w:firstLineChars="196"/>
        <w:rPr>
          <w:rFonts w:eastAsia="仿宋_GB2312"/>
          <w:b/>
          <w:sz w:val="28"/>
        </w:rPr>
      </w:pPr>
      <w:r>
        <w:rPr>
          <w:rFonts w:eastAsia="仿宋_GB2312"/>
          <w:b/>
          <w:sz w:val="28"/>
        </w:rPr>
        <w:t>环境水文地质条件：</w:t>
      </w:r>
      <w:r>
        <w:rPr>
          <w:rFonts w:eastAsia="仿宋_GB2312"/>
          <w:sz w:val="28"/>
        </w:rPr>
        <w:t>常州在大地构造上属我国东部扬子古陆江南褶皱带，该褶皱带主要由青明山—凤凰山为中心的隆起和两侧常州、无锡凹陷组成，凹陷内沉积了白垩系和第三系，该场地位于常州凹陷内。项目所在地及附近无全新活动断裂，场区基底稳定，处于地质构造稳定地段，未发现对场地稳定性构成危险的不良地质现象，该场地是稳定的。</w:t>
      </w:r>
    </w:p>
    <w:p>
      <w:pPr>
        <w:adjustRightInd w:val="0"/>
        <w:snapToGrid w:val="0"/>
        <w:spacing w:line="500" w:lineRule="exact"/>
        <w:ind w:firstLine="560" w:firstLineChars="200"/>
        <w:rPr>
          <w:rFonts w:eastAsia="仿宋_GB2312"/>
          <w:sz w:val="28"/>
          <w:szCs w:val="28"/>
        </w:rPr>
      </w:pPr>
      <w:r>
        <w:rPr>
          <w:rFonts w:eastAsia="仿宋_GB2312"/>
          <w:sz w:val="28"/>
        </w:rPr>
        <w:t>该区地形平坦，潜水含水层主要由全新世与晚更新世时期形成的冲积相、冲湖积相灰黄色、灰色粉质粘土、粉土组成，局部有粉砂透镜体，一般埋于8-12m之间。由于区域长期以来处在河床相的沉积环境中，微承压含水层岩性多为颗粒较粗的粉砂、粉细砂，顶板埋深多在10m左右，砂层厚度多在10-15·m之间。第</w:t>
      </w:r>
      <w:r>
        <w:rPr>
          <w:rFonts w:hint="eastAsia" w:eastAsia="仿宋_GB2312" w:cs="宋体"/>
          <w:sz w:val="28"/>
        </w:rPr>
        <w:t>Ⅰ</w:t>
      </w:r>
      <w:r>
        <w:rPr>
          <w:rFonts w:eastAsia="仿宋_GB2312"/>
          <w:sz w:val="28"/>
        </w:rPr>
        <w:t>承压含水砂层呈面状稳定分布，岩性为晚更新世早期海侵期间河口相沉积的灰、灰黄色粉细砂、中细砂，结构松散，分选性、透水性均较好，顶板埋深一般在30-40m，厚度向沿江方向增大，至60m处含水砂层均呈连续分布，60m以浅砂层厚度一般超过15m，沿江地带大于20m，局部地区该层水与下部</w:t>
      </w:r>
      <w:r>
        <w:rPr>
          <w:rFonts w:hint="eastAsia" w:eastAsia="仿宋_GB2312" w:cs="宋体"/>
          <w:sz w:val="28"/>
        </w:rPr>
        <w:t>Ⅱ</w:t>
      </w:r>
      <w:r>
        <w:rPr>
          <w:rFonts w:eastAsia="仿宋_GB2312"/>
          <w:sz w:val="28"/>
        </w:rPr>
        <w:t>承压含水层之间缺乏稳定的隔水层，基本处于联通状态。</w:t>
      </w:r>
    </w:p>
    <w:p>
      <w:pPr>
        <w:pStyle w:val="4"/>
        <w:keepLines w:val="0"/>
        <w:numPr>
          <w:ilvl w:val="2"/>
          <w:numId w:val="12"/>
        </w:numPr>
        <w:tabs>
          <w:tab w:val="left" w:pos="709"/>
        </w:tabs>
        <w:spacing w:before="120" w:beforeLines="50" w:after="120" w:afterLines="50" w:line="500" w:lineRule="exact"/>
        <w:ind w:left="0" w:firstLine="0"/>
        <w:rPr>
          <w:rFonts w:eastAsia="仿宋_GB2312"/>
          <w:sz w:val="30"/>
          <w:szCs w:val="30"/>
        </w:rPr>
      </w:pPr>
      <w:bookmarkStart w:id="262" w:name="_Toc53396310"/>
      <w:bookmarkStart w:id="263" w:name="_Toc51583799"/>
      <w:bookmarkStart w:id="264" w:name="_Toc85180761"/>
      <w:bookmarkStart w:id="265" w:name="_Toc51146455"/>
      <w:bookmarkStart w:id="266" w:name="_Toc75316705"/>
      <w:bookmarkStart w:id="267" w:name="_Toc87426573"/>
      <w:bookmarkStart w:id="268" w:name="_Toc51932987"/>
      <w:bookmarkStart w:id="269" w:name="_Toc53416250"/>
      <w:bookmarkStart w:id="270" w:name="_Toc85012463"/>
      <w:r>
        <w:rPr>
          <w:rFonts w:eastAsia="仿宋_GB2312"/>
          <w:sz w:val="30"/>
          <w:szCs w:val="30"/>
        </w:rPr>
        <w:t>气象气候</w:t>
      </w:r>
      <w:bookmarkEnd w:id="262"/>
      <w:bookmarkEnd w:id="263"/>
      <w:bookmarkEnd w:id="264"/>
      <w:bookmarkEnd w:id="265"/>
      <w:bookmarkEnd w:id="266"/>
      <w:bookmarkEnd w:id="267"/>
      <w:bookmarkEnd w:id="268"/>
      <w:bookmarkEnd w:id="269"/>
      <w:bookmarkEnd w:id="270"/>
    </w:p>
    <w:p>
      <w:pPr>
        <w:spacing w:line="500" w:lineRule="exact"/>
        <w:ind w:firstLine="560" w:firstLineChars="200"/>
        <w:rPr>
          <w:rFonts w:eastAsia="仿宋_GB2312"/>
          <w:sz w:val="28"/>
        </w:rPr>
      </w:pPr>
      <w:bookmarkStart w:id="271" w:name="_Toc85180762"/>
      <w:bookmarkStart w:id="272" w:name="_Toc75316706"/>
      <w:bookmarkStart w:id="273" w:name="_Toc53416251"/>
      <w:bookmarkStart w:id="274" w:name="_Toc87426574"/>
      <w:bookmarkStart w:id="275" w:name="_Toc51146456"/>
      <w:bookmarkStart w:id="276" w:name="_Toc85012464"/>
      <w:bookmarkStart w:id="277" w:name="_Toc51932988"/>
      <w:bookmarkStart w:id="278" w:name="_Toc53396311"/>
      <w:bookmarkStart w:id="279" w:name="_Toc51583800"/>
      <w:r>
        <w:rPr>
          <w:rFonts w:hint="eastAsia" w:eastAsia="仿宋_GB2312"/>
          <w:sz w:val="28"/>
        </w:rPr>
        <w:t>金坛</w:t>
      </w:r>
      <w:r>
        <w:rPr>
          <w:rFonts w:eastAsia="仿宋_GB2312"/>
          <w:sz w:val="28"/>
        </w:rPr>
        <w:t>区属北亚热带季风区，又处于长江和太湖、</w:t>
      </w:r>
      <w:r>
        <w:rPr>
          <w:rFonts w:hint="eastAsia" w:ascii="微软雅黑" w:hAnsi="微软雅黑" w:eastAsia="微软雅黑" w:cs="微软雅黑"/>
          <w:sz w:val="28"/>
        </w:rPr>
        <w:t>滆</w:t>
      </w:r>
      <w:r>
        <w:rPr>
          <w:rFonts w:hint="eastAsia" w:ascii="仿宋_GB2312" w:hAnsi="仿宋_GB2312" w:eastAsia="仿宋_GB2312" w:cs="仿宋_GB2312"/>
          <w:sz w:val="28"/>
        </w:rPr>
        <w:t>湖之间，水气调节适宜，四季分明，气候湿润，雨量充沛，日照充足，无霜期长，据气象统计资料，常州市多年平均气温</w:t>
      </w:r>
      <w:r>
        <w:rPr>
          <w:rFonts w:eastAsia="仿宋_GB2312"/>
          <w:sz w:val="28"/>
        </w:rPr>
        <w:t>16.6</w:t>
      </w:r>
      <w:r>
        <w:rPr>
          <w:rFonts w:hint="eastAsia" w:eastAsia="仿宋_GB2312" w:cs="宋体"/>
          <w:sz w:val="28"/>
        </w:rPr>
        <w:t>℃</w:t>
      </w:r>
      <w:r>
        <w:rPr>
          <w:rFonts w:eastAsia="仿宋_GB2312"/>
          <w:sz w:val="28"/>
        </w:rPr>
        <w:t>，极端最高气温37.8</w:t>
      </w:r>
      <w:r>
        <w:rPr>
          <w:rFonts w:hint="eastAsia" w:eastAsia="仿宋_GB2312" w:cs="宋体"/>
          <w:sz w:val="28"/>
        </w:rPr>
        <w:t>℃</w:t>
      </w:r>
      <w:r>
        <w:rPr>
          <w:rFonts w:eastAsia="仿宋_GB2312"/>
          <w:sz w:val="28"/>
        </w:rPr>
        <w:t>，极端最低气温-5.9</w:t>
      </w:r>
      <w:r>
        <w:rPr>
          <w:rFonts w:hint="eastAsia" w:eastAsia="仿宋_GB2312" w:cs="宋体"/>
          <w:sz w:val="28"/>
        </w:rPr>
        <w:t>℃</w:t>
      </w:r>
      <w:r>
        <w:rPr>
          <w:rFonts w:eastAsia="仿宋_GB2312"/>
          <w:sz w:val="28"/>
        </w:rPr>
        <w:t>，无霜期226天，多年平均雾日30天，多年平均降雨量1172.9mm，主要集中在夏秋两季，汛期雨量为573.6mm，6~9月雨量占全年雨量的52.3%，年降水量年度间变幅较大，全年雨量分配也极度不平衡，多年平均降雨天数120天，年最大降水量1888.3mm（1991年），年最小降水量515.4mm（1924年），多年平均水面蒸发量（小河站）为916.0mm，年平均最大风速8.6m/s，历年最大风速达24m/s，多年平均风速2.6m/s。</w:t>
      </w:r>
    </w:p>
    <w:p>
      <w:pPr>
        <w:pStyle w:val="4"/>
        <w:keepLines w:val="0"/>
        <w:numPr>
          <w:ilvl w:val="2"/>
          <w:numId w:val="12"/>
        </w:numPr>
        <w:tabs>
          <w:tab w:val="left" w:pos="709"/>
        </w:tabs>
        <w:spacing w:before="120" w:beforeLines="50" w:after="120" w:afterLines="50" w:line="500" w:lineRule="exact"/>
        <w:ind w:left="452" w:hanging="452" w:hangingChars="150"/>
        <w:rPr>
          <w:rFonts w:eastAsia="仿宋_GB2312"/>
          <w:sz w:val="30"/>
          <w:szCs w:val="30"/>
        </w:rPr>
      </w:pPr>
      <w:r>
        <w:rPr>
          <w:rFonts w:eastAsia="仿宋_GB2312"/>
          <w:sz w:val="30"/>
          <w:szCs w:val="30"/>
        </w:rPr>
        <w:t>水文特征</w:t>
      </w:r>
      <w:bookmarkEnd w:id="271"/>
      <w:bookmarkEnd w:id="272"/>
      <w:bookmarkEnd w:id="273"/>
      <w:bookmarkEnd w:id="274"/>
      <w:bookmarkEnd w:id="275"/>
      <w:bookmarkEnd w:id="276"/>
      <w:bookmarkEnd w:id="277"/>
      <w:bookmarkEnd w:id="278"/>
      <w:bookmarkEnd w:id="279"/>
      <w:bookmarkStart w:id="280" w:name="_Hlt111974679"/>
      <w:bookmarkEnd w:id="280"/>
    </w:p>
    <w:p>
      <w:pPr>
        <w:pStyle w:val="50"/>
        <w:adjustRightInd w:val="0"/>
        <w:snapToGrid w:val="0"/>
        <w:rPr>
          <w:szCs w:val="28"/>
        </w:rPr>
      </w:pPr>
      <w:r>
        <w:rPr>
          <w:szCs w:val="28"/>
        </w:rPr>
        <w:t>金坛区的水系以丹金溧漕河为主，上游接丹阳境内大运河，下游向南连长荡湖、</w:t>
      </w:r>
      <w:r>
        <w:rPr>
          <w:rFonts w:hint="eastAsia" w:ascii="微软雅黑" w:hAnsi="微软雅黑" w:eastAsia="微软雅黑" w:cs="微软雅黑"/>
          <w:szCs w:val="28"/>
        </w:rPr>
        <w:t>滆</w:t>
      </w:r>
      <w:r>
        <w:rPr>
          <w:szCs w:val="28"/>
        </w:rPr>
        <w:t>湖，注入太湖，市区内有通济河、运粮河、社桥河，东有尧塘河、下丘河，南有老鸭河及东、西城河。老城河仅在北部及东南部尚有残留河段，其余均已填没。金坛市区以外还有许多湖泊，主要包括长荡湖、小型湖泊（如钱资荡）、湖荡（如天荒湖）三种。丹金溧漕河、钱资荡为市区地表水水源。</w:t>
      </w:r>
    </w:p>
    <w:p>
      <w:pPr>
        <w:pStyle w:val="50"/>
        <w:adjustRightInd w:val="0"/>
        <w:snapToGrid w:val="0"/>
        <w:rPr>
          <w:szCs w:val="28"/>
        </w:rPr>
      </w:pPr>
      <w:r>
        <w:rPr>
          <w:szCs w:val="28"/>
        </w:rPr>
        <w:t>丹金溧漕河：该河为太湖流域地区排洪、引水、航运的骨干河流，北接京杭运河，南入长荡湖。市区段河面宽60m，底宽20m，航道等级为4级。2000年汛期入境水量为6.992亿立方米，年平均流量为28.8m</w:t>
      </w:r>
      <w:r>
        <w:rPr>
          <w:szCs w:val="28"/>
          <w:vertAlign w:val="superscript"/>
        </w:rPr>
        <w:t>3</w:t>
      </w:r>
      <w:r>
        <w:rPr>
          <w:szCs w:val="28"/>
        </w:rPr>
        <w:t>/s，最高洪水水位为6.4m，最低枯水水位为2.12m，常年平均水位为3.49m。</w:t>
      </w:r>
    </w:p>
    <w:p>
      <w:pPr>
        <w:pStyle w:val="50"/>
        <w:adjustRightInd w:val="0"/>
        <w:snapToGrid w:val="0"/>
        <w:rPr>
          <w:szCs w:val="28"/>
        </w:rPr>
      </w:pPr>
      <w:r>
        <w:rPr>
          <w:szCs w:val="28"/>
        </w:rPr>
        <w:t>钱资荡：位于市区南部3公里，东西长5.3公里，南北最阔有1.2公里，荡底标高一般在1.4~1.6米，平均水深2.0米，正常蓄水量1000万立方米，冬季约为750立方米，该湖具有灌溉、养殖和少量航运功能。</w:t>
      </w:r>
    </w:p>
    <w:p>
      <w:pPr>
        <w:pStyle w:val="50"/>
        <w:adjustRightInd w:val="0"/>
        <w:snapToGrid w:val="0"/>
      </w:pPr>
      <w:r>
        <w:rPr>
          <w:szCs w:val="28"/>
        </w:rPr>
        <w:t>尧塘河：该河为丹金溧漕河的支流，水面宽32m，平均水深1.5m，流速0.16m/s，河道坡度2.5×10</w:t>
      </w:r>
      <w:r>
        <w:rPr>
          <w:szCs w:val="28"/>
          <w:vertAlign w:val="superscript"/>
        </w:rPr>
        <w:t>-5</w:t>
      </w:r>
      <w:r>
        <w:rPr>
          <w:szCs w:val="28"/>
        </w:rPr>
        <w:t>。</w:t>
      </w:r>
    </w:p>
    <w:p>
      <w:pPr>
        <w:spacing w:line="500" w:lineRule="exact"/>
        <w:ind w:firstLine="560" w:firstLineChars="200"/>
        <w:rPr>
          <w:rFonts w:eastAsia="仿宋_GB2312"/>
          <w:sz w:val="28"/>
        </w:rPr>
      </w:pPr>
      <w:r>
        <w:rPr>
          <w:rFonts w:eastAsia="仿宋_GB2312"/>
          <w:sz w:val="28"/>
        </w:rPr>
        <w:t>建设项目所在地及周边水系概化示意图见</w:t>
      </w:r>
      <w:r>
        <w:rPr>
          <w:rFonts w:eastAsia="仿宋_GB2312"/>
          <w:b/>
          <w:sz w:val="28"/>
        </w:rPr>
        <w:t>图4.1-1。</w:t>
      </w:r>
    </w:p>
    <w:p>
      <w:pPr>
        <w:pStyle w:val="4"/>
        <w:keepLines w:val="0"/>
        <w:numPr>
          <w:ilvl w:val="2"/>
          <w:numId w:val="12"/>
        </w:numPr>
        <w:tabs>
          <w:tab w:val="left" w:pos="709"/>
        </w:tabs>
        <w:spacing w:before="120" w:beforeLines="50" w:after="120" w:afterLines="50" w:line="500" w:lineRule="exact"/>
        <w:ind w:left="452" w:hanging="452" w:hangingChars="150"/>
        <w:rPr>
          <w:rFonts w:eastAsia="仿宋_GB2312"/>
          <w:sz w:val="30"/>
          <w:szCs w:val="30"/>
        </w:rPr>
      </w:pPr>
      <w:r>
        <w:rPr>
          <w:rFonts w:eastAsia="仿宋_GB2312"/>
          <w:sz w:val="30"/>
          <w:szCs w:val="30"/>
        </w:rPr>
        <w:t>陆生生态</w:t>
      </w:r>
    </w:p>
    <w:p>
      <w:pPr>
        <w:spacing w:line="500" w:lineRule="exact"/>
        <w:ind w:firstLine="560" w:firstLineChars="200"/>
        <w:rPr>
          <w:rFonts w:eastAsia="仿宋_GB2312"/>
          <w:sz w:val="28"/>
        </w:rPr>
      </w:pPr>
      <w:r>
        <w:rPr>
          <w:rFonts w:eastAsia="仿宋_GB2312"/>
          <w:sz w:val="28"/>
        </w:rPr>
        <w:t>本地区植物类型主要有栽培植被、山地森林植被、沼泽植被和水生植被四种植被类型。</w:t>
      </w:r>
    </w:p>
    <w:p>
      <w:pPr>
        <w:spacing w:line="500" w:lineRule="exact"/>
        <w:ind w:firstLine="560" w:firstLineChars="200"/>
        <w:rPr>
          <w:rFonts w:eastAsia="仿宋_GB2312"/>
          <w:sz w:val="28"/>
        </w:rPr>
      </w:pPr>
      <w:r>
        <w:rPr>
          <w:rFonts w:eastAsia="仿宋_GB2312"/>
          <w:sz w:val="28"/>
        </w:rPr>
        <w:t>本地区为农业垦作区，有大面积的农业栽培植物，主要农作物品种有小麦、水稻、油菜、棉花、大麦等，按季播种，多为一年两作，以稻麦两熟为主。山地森林植被包括针叶林、落地阔叶林、常绿针叶落叶阔叶混交林、竹林、灌丛等。沼泽植被主要优势品种有草、芦苇、芦竹、荻和垂穗苔草等，在整个江滩上分段分片镶嵌分布，对防泄固堤起重要作用。水生植被是非地带性植被，分布零散，发育不良。</w:t>
      </w:r>
    </w:p>
    <w:p>
      <w:pPr>
        <w:pStyle w:val="50"/>
        <w:adjustRightInd w:val="0"/>
        <w:snapToGrid w:val="0"/>
        <w:rPr>
          <w:rFonts w:ascii="Times New Roman"/>
          <w:szCs w:val="28"/>
        </w:rPr>
      </w:pPr>
      <w:r>
        <w:rPr>
          <w:rFonts w:ascii="Times New Roman"/>
        </w:rPr>
        <w:t>本地区野生动物随着工业发展和经济开发，无论数量和种类都逐渐减少，现仅有少量野兔、蛇等小动物。</w:t>
      </w:r>
    </w:p>
    <w:p>
      <w:pPr>
        <w:pStyle w:val="3"/>
        <w:spacing w:before="120" w:after="120"/>
      </w:pPr>
      <w:bookmarkStart w:id="281" w:name="_Toc140565268"/>
      <w:r>
        <w:t>环境现状调查与评价</w:t>
      </w:r>
      <w:bookmarkEnd w:id="281"/>
    </w:p>
    <w:p>
      <w:pPr>
        <w:pStyle w:val="4"/>
        <w:keepLines w:val="0"/>
        <w:numPr>
          <w:ilvl w:val="2"/>
          <w:numId w:val="12"/>
        </w:numPr>
        <w:tabs>
          <w:tab w:val="left" w:pos="709"/>
        </w:tabs>
        <w:spacing w:before="120" w:beforeLines="50" w:after="120" w:afterLines="50" w:line="500" w:lineRule="exact"/>
        <w:ind w:left="452" w:hanging="452" w:hangingChars="150"/>
        <w:rPr>
          <w:rFonts w:eastAsia="仿宋_GB2312"/>
          <w:sz w:val="30"/>
          <w:szCs w:val="30"/>
        </w:rPr>
      </w:pPr>
      <w:bookmarkStart w:id="282" w:name="_Toc162858158"/>
      <w:bookmarkStart w:id="283" w:name="_Toc162772282"/>
      <w:bookmarkStart w:id="284" w:name="_Toc228541071"/>
      <w:bookmarkStart w:id="285" w:name="_Toc230013714"/>
      <w:bookmarkStart w:id="286" w:name="_Toc229900203"/>
      <w:bookmarkStart w:id="287" w:name="_Toc228779790"/>
      <w:bookmarkStart w:id="288" w:name="_Toc229910561"/>
      <w:bookmarkStart w:id="289" w:name="_Toc158775292"/>
      <w:bookmarkStart w:id="290" w:name="_Toc228754644"/>
      <w:bookmarkStart w:id="291" w:name="_Toc162926607"/>
      <w:r>
        <w:rPr>
          <w:rFonts w:eastAsia="仿宋_GB2312"/>
          <w:sz w:val="30"/>
          <w:szCs w:val="30"/>
        </w:rPr>
        <w:t>大气环境质量现状</w:t>
      </w:r>
      <w:r>
        <w:rPr>
          <w:rFonts w:hint="eastAsia" w:eastAsia="仿宋_GB2312"/>
          <w:sz w:val="30"/>
          <w:szCs w:val="30"/>
        </w:rPr>
        <w:t>调查</w:t>
      </w:r>
      <w:r>
        <w:rPr>
          <w:rFonts w:eastAsia="仿宋_GB2312"/>
          <w:sz w:val="30"/>
          <w:szCs w:val="30"/>
        </w:rPr>
        <w:t>与评价</w:t>
      </w:r>
      <w:bookmarkEnd w:id="282"/>
      <w:bookmarkEnd w:id="283"/>
      <w:bookmarkEnd w:id="284"/>
      <w:bookmarkEnd w:id="285"/>
      <w:bookmarkEnd w:id="286"/>
      <w:bookmarkEnd w:id="287"/>
      <w:bookmarkEnd w:id="288"/>
      <w:bookmarkEnd w:id="289"/>
      <w:bookmarkEnd w:id="290"/>
      <w:bookmarkEnd w:id="291"/>
    </w:p>
    <w:p>
      <w:pPr>
        <w:pStyle w:val="5"/>
        <w:keepLines w:val="0"/>
        <w:widowControl/>
        <w:numPr>
          <w:ilvl w:val="3"/>
          <w:numId w:val="12"/>
        </w:numPr>
        <w:adjustRightInd w:val="0"/>
        <w:snapToGrid w:val="0"/>
        <w:spacing w:after="120" w:afterLines="50"/>
        <w:ind w:left="0" w:firstLine="0"/>
        <w:jc w:val="left"/>
        <w:rPr>
          <w:rFonts w:ascii="Times New Roman" w:hAnsi="Times New Roman"/>
          <w:b/>
        </w:rPr>
      </w:pPr>
      <w:r>
        <w:rPr>
          <w:rFonts w:hint="eastAsia" w:ascii="Times New Roman" w:hAnsi="Times New Roman"/>
          <w:b/>
        </w:rPr>
        <w:t>环境空气质量达标区</w:t>
      </w:r>
      <w:r>
        <w:rPr>
          <w:rFonts w:ascii="Times New Roman" w:hAnsi="Times New Roman"/>
          <w:b/>
        </w:rPr>
        <w:t>判定</w:t>
      </w:r>
    </w:p>
    <w:p>
      <w:pPr>
        <w:spacing w:line="500" w:lineRule="exact"/>
        <w:ind w:firstLine="560" w:firstLineChars="200"/>
        <w:rPr>
          <w:rFonts w:eastAsia="仿宋_GB2312"/>
          <w:sz w:val="28"/>
          <w:szCs w:val="28"/>
        </w:rPr>
      </w:pPr>
      <w:bookmarkStart w:id="292" w:name="_Ref326087224"/>
      <w:r>
        <w:rPr>
          <w:rFonts w:eastAsia="仿宋_GB2312"/>
          <w:sz w:val="28"/>
          <w:szCs w:val="28"/>
        </w:rPr>
        <w:t>根据《环境影响评价技术导则 大气环境》(HJ2.2-2018)分级判据，确定本项目大气环境影响评价工作等级为</w:t>
      </w:r>
      <w:r>
        <w:rPr>
          <w:rFonts w:hint="eastAsia" w:eastAsia="仿宋_GB2312"/>
          <w:sz w:val="28"/>
          <w:szCs w:val="28"/>
        </w:rPr>
        <w:t>二</w:t>
      </w:r>
      <w:r>
        <w:rPr>
          <w:rFonts w:eastAsia="仿宋_GB2312"/>
          <w:sz w:val="28"/>
          <w:szCs w:val="28"/>
        </w:rPr>
        <w:t>级</w:t>
      </w:r>
      <w:r>
        <w:rPr>
          <w:rFonts w:hint="eastAsia" w:eastAsia="仿宋_GB2312"/>
          <w:sz w:val="28"/>
          <w:szCs w:val="28"/>
        </w:rPr>
        <w:t>，调查内容包括：①</w:t>
      </w:r>
      <w:r>
        <w:rPr>
          <w:rFonts w:eastAsia="仿宋_GB2312"/>
          <w:sz w:val="28"/>
          <w:szCs w:val="28"/>
        </w:rPr>
        <w:t>调查项目</w:t>
      </w:r>
      <w:r>
        <w:rPr>
          <w:rFonts w:hint="eastAsia" w:eastAsia="仿宋_GB2312"/>
          <w:sz w:val="28"/>
          <w:szCs w:val="28"/>
        </w:rPr>
        <w:t>所在</w:t>
      </w:r>
      <w:r>
        <w:rPr>
          <w:rFonts w:eastAsia="仿宋_GB2312"/>
          <w:sz w:val="28"/>
          <w:szCs w:val="28"/>
        </w:rPr>
        <w:t>区域环境质量</w:t>
      </w:r>
      <w:r>
        <w:rPr>
          <w:rFonts w:hint="eastAsia" w:eastAsia="仿宋_GB2312"/>
          <w:sz w:val="28"/>
          <w:szCs w:val="28"/>
        </w:rPr>
        <w:t>达标</w:t>
      </w:r>
      <w:r>
        <w:rPr>
          <w:rFonts w:eastAsia="仿宋_GB2312"/>
          <w:sz w:val="28"/>
          <w:szCs w:val="28"/>
        </w:rPr>
        <w:t>情况。</w:t>
      </w:r>
      <w:r>
        <w:rPr>
          <w:rFonts w:hint="eastAsia" w:eastAsia="仿宋_GB2312"/>
          <w:sz w:val="28"/>
          <w:szCs w:val="28"/>
        </w:rPr>
        <w:t>②调查评价范围内有环境质量标准的评价因子的环境质量监测数据或进行补充监测，用于评价项目所在区域污染物环境质量现状。</w:t>
      </w:r>
    </w:p>
    <w:bookmarkEnd w:id="292"/>
    <w:p>
      <w:pPr>
        <w:pStyle w:val="5"/>
        <w:keepLines w:val="0"/>
        <w:widowControl/>
        <w:numPr>
          <w:ilvl w:val="3"/>
          <w:numId w:val="12"/>
        </w:numPr>
        <w:adjustRightInd w:val="0"/>
        <w:snapToGrid w:val="0"/>
        <w:spacing w:after="120" w:afterLines="50"/>
        <w:ind w:left="0" w:firstLine="0"/>
        <w:jc w:val="left"/>
        <w:rPr>
          <w:rFonts w:ascii="Times New Roman" w:hAnsi="Times New Roman"/>
          <w:b/>
        </w:rPr>
      </w:pPr>
      <w:r>
        <w:rPr>
          <w:rFonts w:hint="eastAsia" w:ascii="Times New Roman" w:hAnsi="Times New Roman"/>
          <w:b/>
        </w:rPr>
        <w:t>基本污染物</w:t>
      </w:r>
      <w:r>
        <w:rPr>
          <w:rFonts w:ascii="Times New Roman" w:hAnsi="Times New Roman"/>
          <w:b/>
        </w:rPr>
        <w:t>环境质量现状</w:t>
      </w:r>
    </w:p>
    <w:p>
      <w:pPr>
        <w:spacing w:line="500" w:lineRule="exact"/>
        <w:ind w:firstLine="560" w:firstLineChars="200"/>
        <w:rPr>
          <w:rFonts w:eastAsia="仿宋_GB2312"/>
          <w:bCs/>
          <w:sz w:val="28"/>
          <w:szCs w:val="28"/>
        </w:rPr>
      </w:pPr>
      <w:r>
        <w:rPr>
          <w:rFonts w:hint="eastAsia" w:eastAsia="仿宋_GB2312"/>
          <w:sz w:val="28"/>
          <w:szCs w:val="28"/>
        </w:rPr>
        <w:t>根据</w:t>
      </w:r>
      <w:r>
        <w:rPr>
          <w:rFonts w:eastAsia="仿宋_GB2312"/>
          <w:sz w:val="28"/>
          <w:szCs w:val="28"/>
        </w:rPr>
        <w:t>《2022年常州市生态环境状况公报》中的数据，</w:t>
      </w:r>
      <w:r>
        <w:rPr>
          <w:rFonts w:eastAsia="仿宋_GB2312"/>
          <w:bCs/>
          <w:sz w:val="28"/>
          <w:szCs w:val="28"/>
        </w:rPr>
        <w:t>基本污染物环境质量现状评价结果见下表。</w:t>
      </w:r>
    </w:p>
    <w:p>
      <w:pPr>
        <w:spacing w:line="500" w:lineRule="exact"/>
        <w:ind w:firstLine="482" w:firstLineChars="200"/>
        <w:jc w:val="center"/>
        <w:rPr>
          <w:rFonts w:eastAsia="仿宋_GB2312"/>
          <w:b/>
          <w:bCs/>
          <w:sz w:val="24"/>
        </w:rPr>
      </w:pPr>
      <w:r>
        <w:rPr>
          <w:rFonts w:eastAsia="仿宋_GB2312"/>
          <w:b/>
          <w:sz w:val="24"/>
        </w:rPr>
        <w:t xml:space="preserve">表4.2-1  </w:t>
      </w:r>
      <w:r>
        <w:rPr>
          <w:rFonts w:hint="eastAsia" w:eastAsia="仿宋_GB2312"/>
          <w:b/>
          <w:bCs/>
          <w:sz w:val="24"/>
        </w:rPr>
        <w:t>基本污染物环境质量现状评价表</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7"/>
        <w:gridCol w:w="3439"/>
        <w:gridCol w:w="1695"/>
        <w:gridCol w:w="1326"/>
        <w:gridCol w:w="958"/>
        <w:gridCol w:w="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24" w:type="dxa"/>
            <w:vAlign w:val="center"/>
          </w:tcPr>
          <w:p>
            <w:pPr>
              <w:widowControl/>
              <w:jc w:val="center"/>
              <w:rPr>
                <w:rFonts w:ascii="仿宋" w:hAnsi="仿宋" w:eastAsia="仿宋"/>
                <w:kern w:val="0"/>
                <w:szCs w:val="21"/>
              </w:rPr>
            </w:pPr>
            <w:r>
              <w:rPr>
                <w:rFonts w:ascii="仿宋" w:hAnsi="仿宋" w:eastAsia="仿宋"/>
                <w:kern w:val="0"/>
                <w:szCs w:val="21"/>
              </w:rPr>
              <w:t>污染物</w:t>
            </w:r>
          </w:p>
        </w:tc>
        <w:tc>
          <w:tcPr>
            <w:tcW w:w="3448" w:type="dxa"/>
            <w:vAlign w:val="center"/>
          </w:tcPr>
          <w:p>
            <w:pPr>
              <w:widowControl/>
              <w:jc w:val="center"/>
              <w:rPr>
                <w:rFonts w:ascii="仿宋" w:hAnsi="仿宋" w:eastAsia="仿宋"/>
                <w:kern w:val="0"/>
                <w:szCs w:val="21"/>
              </w:rPr>
            </w:pPr>
            <w:r>
              <w:rPr>
                <w:rFonts w:ascii="仿宋" w:hAnsi="仿宋" w:eastAsia="仿宋"/>
                <w:kern w:val="0"/>
                <w:szCs w:val="21"/>
              </w:rPr>
              <w:t>年评价指标</w:t>
            </w:r>
          </w:p>
        </w:tc>
        <w:tc>
          <w:tcPr>
            <w:tcW w:w="1696" w:type="dxa"/>
            <w:vAlign w:val="center"/>
          </w:tcPr>
          <w:p>
            <w:pPr>
              <w:widowControl/>
              <w:jc w:val="center"/>
              <w:rPr>
                <w:rFonts w:ascii="仿宋" w:hAnsi="仿宋" w:eastAsia="仿宋"/>
                <w:kern w:val="0"/>
                <w:szCs w:val="21"/>
              </w:rPr>
            </w:pPr>
            <w:r>
              <w:rPr>
                <w:rFonts w:ascii="仿宋" w:hAnsi="仿宋" w:eastAsia="仿宋"/>
                <w:kern w:val="0"/>
                <w:szCs w:val="21"/>
              </w:rPr>
              <w:t>环境浓度/（μg/m</w:t>
            </w:r>
            <w:r>
              <w:rPr>
                <w:rFonts w:ascii="仿宋" w:hAnsi="仿宋" w:eastAsia="仿宋"/>
                <w:kern w:val="0"/>
                <w:szCs w:val="21"/>
                <w:vertAlign w:val="superscript"/>
              </w:rPr>
              <w:t>3</w:t>
            </w:r>
            <w:r>
              <w:rPr>
                <w:rFonts w:ascii="仿宋" w:hAnsi="仿宋" w:eastAsia="仿宋"/>
                <w:kern w:val="0"/>
                <w:szCs w:val="21"/>
              </w:rPr>
              <w:t>）</w:t>
            </w:r>
          </w:p>
        </w:tc>
        <w:tc>
          <w:tcPr>
            <w:tcW w:w="1325" w:type="dxa"/>
            <w:vAlign w:val="center"/>
          </w:tcPr>
          <w:p>
            <w:pPr>
              <w:widowControl/>
              <w:jc w:val="center"/>
              <w:rPr>
                <w:rFonts w:ascii="仿宋" w:hAnsi="仿宋" w:eastAsia="仿宋"/>
                <w:kern w:val="0"/>
                <w:szCs w:val="21"/>
              </w:rPr>
            </w:pPr>
            <w:r>
              <w:rPr>
                <w:rFonts w:ascii="仿宋" w:hAnsi="仿宋" w:eastAsia="仿宋"/>
                <w:kern w:val="0"/>
                <w:szCs w:val="21"/>
              </w:rPr>
              <w:t>标准值/（μg/m</w:t>
            </w:r>
            <w:r>
              <w:rPr>
                <w:rFonts w:ascii="仿宋" w:hAnsi="仿宋" w:eastAsia="仿宋"/>
                <w:kern w:val="0"/>
                <w:szCs w:val="21"/>
                <w:vertAlign w:val="superscript"/>
              </w:rPr>
              <w:t>3</w:t>
            </w:r>
            <w:r>
              <w:rPr>
                <w:rFonts w:ascii="仿宋" w:hAnsi="仿宋" w:eastAsia="仿宋"/>
                <w:kern w:val="0"/>
                <w:szCs w:val="21"/>
              </w:rPr>
              <w:t>）</w:t>
            </w:r>
          </w:p>
        </w:tc>
        <w:tc>
          <w:tcPr>
            <w:tcW w:w="956" w:type="dxa"/>
            <w:vAlign w:val="center"/>
          </w:tcPr>
          <w:p>
            <w:pPr>
              <w:widowControl/>
              <w:jc w:val="center"/>
              <w:rPr>
                <w:rFonts w:ascii="仿宋" w:hAnsi="仿宋" w:eastAsia="仿宋"/>
                <w:kern w:val="0"/>
                <w:szCs w:val="21"/>
              </w:rPr>
            </w:pPr>
            <w:r>
              <w:rPr>
                <w:rFonts w:ascii="仿宋" w:hAnsi="仿宋" w:eastAsia="仿宋"/>
                <w:kern w:val="0"/>
                <w:szCs w:val="21"/>
              </w:rPr>
              <w:t>达标率%</w:t>
            </w:r>
          </w:p>
        </w:tc>
        <w:tc>
          <w:tcPr>
            <w:tcW w:w="893" w:type="dxa"/>
            <w:vAlign w:val="center"/>
          </w:tcPr>
          <w:p>
            <w:pPr>
              <w:widowControl/>
              <w:jc w:val="center"/>
              <w:rPr>
                <w:rFonts w:ascii="仿宋" w:hAnsi="仿宋" w:eastAsia="仿宋"/>
                <w:kern w:val="0"/>
                <w:szCs w:val="21"/>
              </w:rPr>
            </w:pPr>
            <w:r>
              <w:rPr>
                <w:rFonts w:ascii="仿宋" w:hAnsi="仿宋" w:eastAsia="仿宋"/>
                <w:kern w:val="0"/>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4" w:type="dxa"/>
            <w:vMerge w:val="restart"/>
            <w:vAlign w:val="center"/>
          </w:tcPr>
          <w:p>
            <w:pPr>
              <w:widowControl/>
              <w:jc w:val="center"/>
              <w:rPr>
                <w:rFonts w:ascii="仿宋" w:hAnsi="仿宋" w:eastAsia="仿宋"/>
                <w:kern w:val="0"/>
                <w:szCs w:val="21"/>
              </w:rPr>
            </w:pPr>
            <w:r>
              <w:rPr>
                <w:rFonts w:ascii="仿宋" w:hAnsi="仿宋" w:eastAsia="仿宋"/>
                <w:kern w:val="0"/>
                <w:szCs w:val="21"/>
              </w:rPr>
              <w:t>SO</w:t>
            </w:r>
            <w:r>
              <w:rPr>
                <w:rFonts w:ascii="仿宋" w:hAnsi="仿宋" w:eastAsia="仿宋"/>
                <w:kern w:val="0"/>
                <w:szCs w:val="21"/>
                <w:vertAlign w:val="subscript"/>
              </w:rPr>
              <w:t>2</w:t>
            </w:r>
          </w:p>
        </w:tc>
        <w:tc>
          <w:tcPr>
            <w:tcW w:w="3448" w:type="dxa"/>
            <w:vAlign w:val="center"/>
          </w:tcPr>
          <w:p>
            <w:pPr>
              <w:widowControl/>
              <w:jc w:val="center"/>
              <w:rPr>
                <w:rFonts w:ascii="仿宋" w:hAnsi="仿宋" w:eastAsia="仿宋"/>
                <w:kern w:val="0"/>
                <w:szCs w:val="21"/>
              </w:rPr>
            </w:pPr>
            <w:r>
              <w:rPr>
                <w:rFonts w:ascii="仿宋" w:hAnsi="仿宋" w:eastAsia="仿宋"/>
                <w:kern w:val="0"/>
                <w:szCs w:val="21"/>
              </w:rPr>
              <w:t>年平均质量浓度</w:t>
            </w:r>
          </w:p>
        </w:tc>
        <w:tc>
          <w:tcPr>
            <w:tcW w:w="1696" w:type="dxa"/>
            <w:vAlign w:val="center"/>
          </w:tcPr>
          <w:p>
            <w:pPr>
              <w:widowControl/>
              <w:jc w:val="center"/>
              <w:rPr>
                <w:rFonts w:ascii="仿宋" w:hAnsi="仿宋" w:eastAsia="仿宋"/>
                <w:kern w:val="0"/>
                <w:szCs w:val="21"/>
              </w:rPr>
            </w:pPr>
            <w:r>
              <w:rPr>
                <w:rFonts w:ascii="仿宋" w:hAnsi="仿宋" w:eastAsia="仿宋"/>
                <w:kern w:val="0"/>
                <w:szCs w:val="21"/>
              </w:rPr>
              <w:t>7</w:t>
            </w:r>
          </w:p>
        </w:tc>
        <w:tc>
          <w:tcPr>
            <w:tcW w:w="1325" w:type="dxa"/>
            <w:vAlign w:val="center"/>
          </w:tcPr>
          <w:p>
            <w:pPr>
              <w:widowControl/>
              <w:jc w:val="center"/>
              <w:rPr>
                <w:rFonts w:ascii="仿宋" w:hAnsi="仿宋" w:eastAsia="仿宋"/>
                <w:kern w:val="0"/>
                <w:szCs w:val="21"/>
              </w:rPr>
            </w:pPr>
            <w:r>
              <w:rPr>
                <w:rFonts w:ascii="仿宋" w:hAnsi="仿宋" w:eastAsia="仿宋"/>
                <w:kern w:val="0"/>
                <w:szCs w:val="21"/>
              </w:rPr>
              <w:t>60</w:t>
            </w:r>
          </w:p>
        </w:tc>
        <w:tc>
          <w:tcPr>
            <w:tcW w:w="956" w:type="dxa"/>
            <w:vAlign w:val="center"/>
          </w:tcPr>
          <w:p>
            <w:pPr>
              <w:widowControl/>
              <w:jc w:val="center"/>
              <w:rPr>
                <w:rFonts w:ascii="仿宋" w:hAnsi="仿宋" w:eastAsia="仿宋"/>
                <w:kern w:val="0"/>
                <w:szCs w:val="21"/>
              </w:rPr>
            </w:pPr>
            <w:r>
              <w:rPr>
                <w:rFonts w:hint="eastAsia" w:ascii="仿宋" w:hAnsi="仿宋" w:eastAsia="仿宋"/>
                <w:kern w:val="0"/>
                <w:szCs w:val="21"/>
              </w:rPr>
              <w:t>100</w:t>
            </w:r>
          </w:p>
        </w:tc>
        <w:tc>
          <w:tcPr>
            <w:tcW w:w="893" w:type="dxa"/>
            <w:vMerge w:val="restart"/>
            <w:vAlign w:val="center"/>
          </w:tcPr>
          <w:p>
            <w:pPr>
              <w:widowControl/>
              <w:jc w:val="center"/>
              <w:rPr>
                <w:rFonts w:ascii="仿宋" w:hAnsi="仿宋" w:eastAsia="仿宋"/>
                <w:kern w:val="0"/>
                <w:szCs w:val="21"/>
              </w:rPr>
            </w:pPr>
            <w:r>
              <w:rPr>
                <w:rFonts w:ascii="仿宋" w:hAnsi="仿宋" w:eastAsia="仿宋"/>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4" w:type="dxa"/>
            <w:vMerge w:val="continue"/>
            <w:vAlign w:val="center"/>
          </w:tcPr>
          <w:p>
            <w:pPr>
              <w:widowControl/>
              <w:jc w:val="center"/>
              <w:rPr>
                <w:rFonts w:ascii="仿宋" w:hAnsi="仿宋" w:eastAsia="仿宋"/>
                <w:kern w:val="0"/>
                <w:szCs w:val="21"/>
              </w:rPr>
            </w:pPr>
          </w:p>
        </w:tc>
        <w:tc>
          <w:tcPr>
            <w:tcW w:w="3448" w:type="dxa"/>
            <w:vAlign w:val="center"/>
          </w:tcPr>
          <w:p>
            <w:pPr>
              <w:widowControl/>
              <w:jc w:val="center"/>
              <w:rPr>
                <w:rFonts w:ascii="仿宋" w:hAnsi="仿宋" w:eastAsia="仿宋"/>
                <w:kern w:val="0"/>
                <w:szCs w:val="21"/>
              </w:rPr>
            </w:pPr>
            <w:r>
              <w:rPr>
                <w:rFonts w:ascii="仿宋" w:hAnsi="仿宋" w:eastAsia="仿宋"/>
                <w:kern w:val="0"/>
                <w:szCs w:val="21"/>
              </w:rPr>
              <w:t>日平均质量浓度</w:t>
            </w:r>
          </w:p>
        </w:tc>
        <w:tc>
          <w:tcPr>
            <w:tcW w:w="1696" w:type="dxa"/>
            <w:vAlign w:val="center"/>
          </w:tcPr>
          <w:p>
            <w:pPr>
              <w:widowControl/>
              <w:jc w:val="center"/>
              <w:rPr>
                <w:rFonts w:ascii="仿宋" w:hAnsi="仿宋" w:eastAsia="仿宋"/>
                <w:kern w:val="0"/>
                <w:szCs w:val="21"/>
              </w:rPr>
            </w:pPr>
            <w:r>
              <w:rPr>
                <w:rFonts w:ascii="仿宋" w:hAnsi="仿宋" w:eastAsia="仿宋"/>
                <w:kern w:val="0"/>
                <w:szCs w:val="21"/>
              </w:rPr>
              <w:t>4-13</w:t>
            </w:r>
          </w:p>
        </w:tc>
        <w:tc>
          <w:tcPr>
            <w:tcW w:w="1325" w:type="dxa"/>
            <w:vAlign w:val="center"/>
          </w:tcPr>
          <w:p>
            <w:pPr>
              <w:widowControl/>
              <w:jc w:val="center"/>
              <w:rPr>
                <w:rFonts w:ascii="仿宋" w:hAnsi="仿宋" w:eastAsia="仿宋"/>
                <w:kern w:val="0"/>
                <w:szCs w:val="21"/>
              </w:rPr>
            </w:pPr>
            <w:r>
              <w:rPr>
                <w:rFonts w:ascii="仿宋" w:hAnsi="仿宋" w:eastAsia="仿宋"/>
                <w:kern w:val="0"/>
                <w:szCs w:val="21"/>
              </w:rPr>
              <w:t>150</w:t>
            </w:r>
          </w:p>
        </w:tc>
        <w:tc>
          <w:tcPr>
            <w:tcW w:w="956" w:type="dxa"/>
            <w:vAlign w:val="center"/>
          </w:tcPr>
          <w:p>
            <w:pPr>
              <w:widowControl/>
              <w:jc w:val="center"/>
              <w:rPr>
                <w:rFonts w:ascii="仿宋" w:hAnsi="仿宋" w:eastAsia="仿宋"/>
                <w:kern w:val="0"/>
                <w:szCs w:val="21"/>
              </w:rPr>
            </w:pPr>
            <w:r>
              <w:rPr>
                <w:rFonts w:hint="eastAsia" w:ascii="仿宋" w:hAnsi="仿宋" w:eastAsia="仿宋"/>
                <w:kern w:val="0"/>
                <w:szCs w:val="21"/>
              </w:rPr>
              <w:t>100</w:t>
            </w:r>
          </w:p>
        </w:tc>
        <w:tc>
          <w:tcPr>
            <w:tcW w:w="893" w:type="dxa"/>
            <w:vMerge w:val="continue"/>
            <w:vAlign w:val="center"/>
          </w:tcPr>
          <w:p>
            <w:pPr>
              <w:widowControl/>
              <w:jc w:val="center"/>
              <w:rPr>
                <w:rFonts w:ascii="仿宋" w:hAnsi="仿宋"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4" w:type="dxa"/>
            <w:vMerge w:val="restart"/>
            <w:vAlign w:val="center"/>
          </w:tcPr>
          <w:p>
            <w:pPr>
              <w:widowControl/>
              <w:jc w:val="center"/>
              <w:rPr>
                <w:rFonts w:ascii="仿宋" w:hAnsi="仿宋" w:eastAsia="仿宋"/>
                <w:kern w:val="0"/>
                <w:szCs w:val="21"/>
              </w:rPr>
            </w:pPr>
            <w:r>
              <w:rPr>
                <w:rFonts w:ascii="仿宋" w:hAnsi="仿宋" w:eastAsia="仿宋"/>
                <w:kern w:val="0"/>
                <w:szCs w:val="21"/>
              </w:rPr>
              <w:t>NO</w:t>
            </w:r>
            <w:r>
              <w:rPr>
                <w:rFonts w:ascii="仿宋" w:hAnsi="仿宋" w:eastAsia="仿宋"/>
                <w:kern w:val="0"/>
                <w:szCs w:val="21"/>
                <w:vertAlign w:val="subscript"/>
              </w:rPr>
              <w:t>2</w:t>
            </w:r>
          </w:p>
        </w:tc>
        <w:tc>
          <w:tcPr>
            <w:tcW w:w="3448" w:type="dxa"/>
            <w:vAlign w:val="center"/>
          </w:tcPr>
          <w:p>
            <w:pPr>
              <w:widowControl/>
              <w:jc w:val="center"/>
              <w:rPr>
                <w:rFonts w:ascii="仿宋" w:hAnsi="仿宋" w:eastAsia="仿宋"/>
                <w:kern w:val="0"/>
                <w:szCs w:val="21"/>
              </w:rPr>
            </w:pPr>
            <w:r>
              <w:rPr>
                <w:rFonts w:ascii="仿宋" w:hAnsi="仿宋" w:eastAsia="仿宋"/>
                <w:kern w:val="0"/>
                <w:szCs w:val="21"/>
              </w:rPr>
              <w:t>年平均质量浓度</w:t>
            </w:r>
          </w:p>
        </w:tc>
        <w:tc>
          <w:tcPr>
            <w:tcW w:w="1696" w:type="dxa"/>
            <w:vAlign w:val="center"/>
          </w:tcPr>
          <w:p>
            <w:pPr>
              <w:widowControl/>
              <w:jc w:val="center"/>
              <w:rPr>
                <w:rFonts w:ascii="仿宋" w:hAnsi="仿宋" w:eastAsia="仿宋"/>
                <w:kern w:val="0"/>
                <w:szCs w:val="21"/>
              </w:rPr>
            </w:pPr>
            <w:r>
              <w:rPr>
                <w:rFonts w:ascii="仿宋" w:hAnsi="仿宋" w:eastAsia="仿宋"/>
                <w:kern w:val="0"/>
                <w:szCs w:val="21"/>
              </w:rPr>
              <w:t>28</w:t>
            </w:r>
          </w:p>
        </w:tc>
        <w:tc>
          <w:tcPr>
            <w:tcW w:w="1325" w:type="dxa"/>
            <w:vAlign w:val="center"/>
          </w:tcPr>
          <w:p>
            <w:pPr>
              <w:widowControl/>
              <w:jc w:val="center"/>
              <w:rPr>
                <w:rFonts w:ascii="仿宋" w:hAnsi="仿宋" w:eastAsia="仿宋"/>
                <w:kern w:val="0"/>
                <w:szCs w:val="21"/>
              </w:rPr>
            </w:pPr>
            <w:r>
              <w:rPr>
                <w:rFonts w:ascii="仿宋" w:hAnsi="仿宋" w:eastAsia="仿宋"/>
                <w:kern w:val="0"/>
                <w:szCs w:val="21"/>
              </w:rPr>
              <w:t>40</w:t>
            </w:r>
          </w:p>
        </w:tc>
        <w:tc>
          <w:tcPr>
            <w:tcW w:w="956" w:type="dxa"/>
            <w:vAlign w:val="center"/>
          </w:tcPr>
          <w:p>
            <w:pPr>
              <w:widowControl/>
              <w:jc w:val="center"/>
              <w:rPr>
                <w:rFonts w:ascii="仿宋" w:hAnsi="仿宋" w:eastAsia="仿宋"/>
                <w:kern w:val="0"/>
                <w:szCs w:val="21"/>
              </w:rPr>
            </w:pPr>
            <w:r>
              <w:rPr>
                <w:rFonts w:hint="eastAsia" w:ascii="仿宋" w:hAnsi="仿宋" w:eastAsia="仿宋"/>
                <w:kern w:val="0"/>
                <w:szCs w:val="21"/>
              </w:rPr>
              <w:t>100</w:t>
            </w:r>
          </w:p>
        </w:tc>
        <w:tc>
          <w:tcPr>
            <w:tcW w:w="893" w:type="dxa"/>
            <w:vMerge w:val="restart"/>
            <w:vAlign w:val="center"/>
          </w:tcPr>
          <w:p>
            <w:pPr>
              <w:widowControl/>
              <w:jc w:val="center"/>
              <w:rPr>
                <w:rFonts w:ascii="仿宋" w:hAnsi="仿宋" w:eastAsia="仿宋"/>
                <w:kern w:val="0"/>
                <w:szCs w:val="21"/>
              </w:rPr>
            </w:pPr>
            <w:r>
              <w:rPr>
                <w:rFonts w:ascii="仿宋" w:hAnsi="仿宋" w:eastAsia="仿宋"/>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4" w:type="dxa"/>
            <w:vMerge w:val="continue"/>
            <w:vAlign w:val="center"/>
          </w:tcPr>
          <w:p>
            <w:pPr>
              <w:widowControl/>
              <w:jc w:val="center"/>
              <w:rPr>
                <w:rFonts w:ascii="仿宋" w:hAnsi="仿宋" w:eastAsia="仿宋"/>
                <w:kern w:val="0"/>
                <w:szCs w:val="21"/>
              </w:rPr>
            </w:pPr>
          </w:p>
        </w:tc>
        <w:tc>
          <w:tcPr>
            <w:tcW w:w="3448" w:type="dxa"/>
            <w:vAlign w:val="center"/>
          </w:tcPr>
          <w:p>
            <w:pPr>
              <w:widowControl/>
              <w:jc w:val="center"/>
              <w:rPr>
                <w:rFonts w:ascii="仿宋" w:hAnsi="仿宋" w:eastAsia="仿宋"/>
                <w:kern w:val="0"/>
                <w:szCs w:val="21"/>
              </w:rPr>
            </w:pPr>
            <w:r>
              <w:rPr>
                <w:rFonts w:ascii="仿宋" w:hAnsi="仿宋" w:eastAsia="仿宋"/>
                <w:kern w:val="0"/>
                <w:szCs w:val="21"/>
              </w:rPr>
              <w:t>日平均质量浓度</w:t>
            </w:r>
          </w:p>
        </w:tc>
        <w:tc>
          <w:tcPr>
            <w:tcW w:w="1696" w:type="dxa"/>
            <w:vAlign w:val="center"/>
          </w:tcPr>
          <w:p>
            <w:pPr>
              <w:widowControl/>
              <w:jc w:val="center"/>
              <w:rPr>
                <w:rFonts w:ascii="仿宋" w:hAnsi="仿宋" w:eastAsia="仿宋"/>
                <w:kern w:val="0"/>
                <w:szCs w:val="21"/>
              </w:rPr>
            </w:pPr>
            <w:r>
              <w:rPr>
                <w:rFonts w:ascii="仿宋" w:hAnsi="仿宋" w:eastAsia="仿宋"/>
                <w:kern w:val="0"/>
                <w:szCs w:val="21"/>
              </w:rPr>
              <w:t>8-82</w:t>
            </w:r>
          </w:p>
        </w:tc>
        <w:tc>
          <w:tcPr>
            <w:tcW w:w="1325" w:type="dxa"/>
            <w:vAlign w:val="center"/>
          </w:tcPr>
          <w:p>
            <w:pPr>
              <w:widowControl/>
              <w:jc w:val="center"/>
              <w:rPr>
                <w:rFonts w:ascii="仿宋" w:hAnsi="仿宋" w:eastAsia="仿宋"/>
                <w:kern w:val="0"/>
                <w:szCs w:val="21"/>
              </w:rPr>
            </w:pPr>
            <w:r>
              <w:rPr>
                <w:rFonts w:ascii="仿宋" w:hAnsi="仿宋" w:eastAsia="仿宋"/>
                <w:kern w:val="0"/>
                <w:szCs w:val="21"/>
              </w:rPr>
              <w:t>80</w:t>
            </w:r>
          </w:p>
        </w:tc>
        <w:tc>
          <w:tcPr>
            <w:tcW w:w="956" w:type="dxa"/>
            <w:vAlign w:val="center"/>
          </w:tcPr>
          <w:p>
            <w:pPr>
              <w:widowControl/>
              <w:jc w:val="center"/>
              <w:rPr>
                <w:rFonts w:ascii="仿宋" w:hAnsi="仿宋" w:eastAsia="仿宋"/>
                <w:kern w:val="0"/>
                <w:szCs w:val="21"/>
              </w:rPr>
            </w:pPr>
            <w:r>
              <w:rPr>
                <w:rFonts w:hint="eastAsia" w:ascii="仿宋" w:hAnsi="仿宋" w:eastAsia="仿宋"/>
                <w:kern w:val="0"/>
                <w:szCs w:val="21"/>
              </w:rPr>
              <w:t>99.5</w:t>
            </w:r>
          </w:p>
        </w:tc>
        <w:tc>
          <w:tcPr>
            <w:tcW w:w="893" w:type="dxa"/>
            <w:vMerge w:val="continue"/>
            <w:vAlign w:val="center"/>
          </w:tcPr>
          <w:p>
            <w:pPr>
              <w:widowControl/>
              <w:jc w:val="center"/>
              <w:rPr>
                <w:rFonts w:ascii="仿宋" w:hAnsi="仿宋"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4" w:type="dxa"/>
            <w:vMerge w:val="restart"/>
            <w:vAlign w:val="center"/>
          </w:tcPr>
          <w:p>
            <w:pPr>
              <w:widowControl/>
              <w:jc w:val="center"/>
              <w:rPr>
                <w:rFonts w:ascii="仿宋" w:hAnsi="仿宋" w:eastAsia="仿宋"/>
                <w:kern w:val="0"/>
                <w:szCs w:val="21"/>
              </w:rPr>
            </w:pPr>
            <w:r>
              <w:rPr>
                <w:rFonts w:ascii="仿宋" w:hAnsi="仿宋" w:eastAsia="仿宋"/>
                <w:kern w:val="0"/>
                <w:szCs w:val="21"/>
              </w:rPr>
              <w:t>PM</w:t>
            </w:r>
            <w:r>
              <w:rPr>
                <w:rFonts w:ascii="仿宋" w:hAnsi="仿宋" w:eastAsia="仿宋"/>
                <w:kern w:val="0"/>
                <w:szCs w:val="21"/>
                <w:vertAlign w:val="subscript"/>
              </w:rPr>
              <w:t>10</w:t>
            </w:r>
          </w:p>
        </w:tc>
        <w:tc>
          <w:tcPr>
            <w:tcW w:w="3448" w:type="dxa"/>
            <w:vAlign w:val="center"/>
          </w:tcPr>
          <w:p>
            <w:pPr>
              <w:widowControl/>
              <w:jc w:val="center"/>
              <w:rPr>
                <w:rFonts w:ascii="仿宋" w:hAnsi="仿宋" w:eastAsia="仿宋"/>
                <w:kern w:val="0"/>
                <w:szCs w:val="21"/>
              </w:rPr>
            </w:pPr>
            <w:r>
              <w:rPr>
                <w:rFonts w:ascii="仿宋" w:hAnsi="仿宋" w:eastAsia="仿宋"/>
                <w:kern w:val="0"/>
                <w:szCs w:val="21"/>
              </w:rPr>
              <w:t>年平均质量浓度</w:t>
            </w:r>
          </w:p>
        </w:tc>
        <w:tc>
          <w:tcPr>
            <w:tcW w:w="1696" w:type="dxa"/>
            <w:vAlign w:val="center"/>
          </w:tcPr>
          <w:p>
            <w:pPr>
              <w:widowControl/>
              <w:jc w:val="center"/>
              <w:rPr>
                <w:rFonts w:ascii="仿宋" w:hAnsi="仿宋" w:eastAsia="仿宋"/>
                <w:kern w:val="0"/>
                <w:szCs w:val="21"/>
              </w:rPr>
            </w:pPr>
            <w:r>
              <w:rPr>
                <w:rFonts w:ascii="仿宋" w:hAnsi="仿宋" w:eastAsia="仿宋"/>
                <w:kern w:val="0"/>
                <w:szCs w:val="21"/>
              </w:rPr>
              <w:t>55</w:t>
            </w:r>
          </w:p>
        </w:tc>
        <w:tc>
          <w:tcPr>
            <w:tcW w:w="1325" w:type="dxa"/>
            <w:vAlign w:val="center"/>
          </w:tcPr>
          <w:p>
            <w:pPr>
              <w:widowControl/>
              <w:jc w:val="center"/>
              <w:rPr>
                <w:rFonts w:ascii="仿宋" w:hAnsi="仿宋" w:eastAsia="仿宋"/>
                <w:kern w:val="0"/>
                <w:szCs w:val="21"/>
              </w:rPr>
            </w:pPr>
            <w:r>
              <w:rPr>
                <w:rFonts w:ascii="仿宋" w:hAnsi="仿宋" w:eastAsia="仿宋"/>
                <w:kern w:val="0"/>
                <w:szCs w:val="21"/>
              </w:rPr>
              <w:t>70</w:t>
            </w:r>
          </w:p>
        </w:tc>
        <w:tc>
          <w:tcPr>
            <w:tcW w:w="956" w:type="dxa"/>
            <w:vAlign w:val="center"/>
          </w:tcPr>
          <w:p>
            <w:pPr>
              <w:widowControl/>
              <w:jc w:val="center"/>
              <w:rPr>
                <w:rFonts w:ascii="仿宋" w:hAnsi="仿宋" w:eastAsia="仿宋"/>
                <w:kern w:val="0"/>
                <w:szCs w:val="21"/>
              </w:rPr>
            </w:pPr>
            <w:r>
              <w:rPr>
                <w:rFonts w:hint="eastAsia" w:ascii="仿宋" w:hAnsi="仿宋" w:eastAsia="仿宋"/>
                <w:kern w:val="0"/>
                <w:szCs w:val="21"/>
              </w:rPr>
              <w:t>100</w:t>
            </w:r>
          </w:p>
        </w:tc>
        <w:tc>
          <w:tcPr>
            <w:tcW w:w="893" w:type="dxa"/>
            <w:vMerge w:val="restart"/>
            <w:vAlign w:val="center"/>
          </w:tcPr>
          <w:p>
            <w:pPr>
              <w:widowControl/>
              <w:jc w:val="center"/>
              <w:rPr>
                <w:rFonts w:ascii="仿宋" w:hAnsi="仿宋" w:eastAsia="仿宋"/>
                <w:kern w:val="0"/>
                <w:szCs w:val="21"/>
              </w:rPr>
            </w:pPr>
            <w:r>
              <w:rPr>
                <w:rFonts w:ascii="仿宋" w:hAnsi="仿宋" w:eastAsia="仿宋"/>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4" w:type="dxa"/>
            <w:vMerge w:val="continue"/>
            <w:vAlign w:val="center"/>
          </w:tcPr>
          <w:p>
            <w:pPr>
              <w:widowControl/>
              <w:jc w:val="center"/>
              <w:rPr>
                <w:rFonts w:ascii="仿宋" w:hAnsi="仿宋" w:eastAsia="仿宋"/>
                <w:kern w:val="0"/>
                <w:szCs w:val="21"/>
              </w:rPr>
            </w:pPr>
          </w:p>
        </w:tc>
        <w:tc>
          <w:tcPr>
            <w:tcW w:w="3448" w:type="dxa"/>
            <w:vAlign w:val="center"/>
          </w:tcPr>
          <w:p>
            <w:pPr>
              <w:widowControl/>
              <w:jc w:val="center"/>
              <w:rPr>
                <w:rFonts w:ascii="仿宋" w:hAnsi="仿宋" w:eastAsia="仿宋"/>
                <w:kern w:val="0"/>
                <w:szCs w:val="21"/>
              </w:rPr>
            </w:pPr>
            <w:r>
              <w:rPr>
                <w:rFonts w:ascii="仿宋" w:hAnsi="仿宋" w:eastAsia="仿宋"/>
                <w:kern w:val="0"/>
                <w:szCs w:val="21"/>
              </w:rPr>
              <w:t>日平均质量浓度</w:t>
            </w:r>
          </w:p>
        </w:tc>
        <w:tc>
          <w:tcPr>
            <w:tcW w:w="1696" w:type="dxa"/>
            <w:vAlign w:val="center"/>
          </w:tcPr>
          <w:p>
            <w:pPr>
              <w:widowControl/>
              <w:jc w:val="center"/>
              <w:rPr>
                <w:rFonts w:ascii="仿宋" w:hAnsi="仿宋" w:eastAsia="仿宋"/>
                <w:kern w:val="0"/>
                <w:szCs w:val="21"/>
              </w:rPr>
            </w:pPr>
            <w:r>
              <w:rPr>
                <w:rFonts w:ascii="仿宋" w:hAnsi="仿宋" w:eastAsia="仿宋"/>
                <w:kern w:val="0"/>
                <w:szCs w:val="21"/>
              </w:rPr>
              <w:t>13-181</w:t>
            </w:r>
          </w:p>
        </w:tc>
        <w:tc>
          <w:tcPr>
            <w:tcW w:w="1325" w:type="dxa"/>
            <w:vAlign w:val="center"/>
          </w:tcPr>
          <w:p>
            <w:pPr>
              <w:widowControl/>
              <w:jc w:val="center"/>
              <w:rPr>
                <w:rFonts w:ascii="仿宋" w:hAnsi="仿宋" w:eastAsia="仿宋"/>
                <w:kern w:val="0"/>
                <w:szCs w:val="21"/>
              </w:rPr>
            </w:pPr>
            <w:r>
              <w:rPr>
                <w:rFonts w:ascii="仿宋" w:hAnsi="仿宋" w:eastAsia="仿宋"/>
                <w:kern w:val="0"/>
                <w:szCs w:val="21"/>
              </w:rPr>
              <w:t>150</w:t>
            </w:r>
          </w:p>
        </w:tc>
        <w:tc>
          <w:tcPr>
            <w:tcW w:w="956" w:type="dxa"/>
            <w:vAlign w:val="center"/>
          </w:tcPr>
          <w:p>
            <w:pPr>
              <w:widowControl/>
              <w:jc w:val="center"/>
              <w:rPr>
                <w:rFonts w:ascii="仿宋" w:hAnsi="仿宋" w:eastAsia="仿宋"/>
                <w:kern w:val="0"/>
                <w:szCs w:val="21"/>
              </w:rPr>
            </w:pPr>
            <w:r>
              <w:rPr>
                <w:rFonts w:hint="eastAsia" w:ascii="仿宋" w:hAnsi="仿宋" w:eastAsia="仿宋"/>
                <w:kern w:val="0"/>
                <w:szCs w:val="21"/>
              </w:rPr>
              <w:t>98.6</w:t>
            </w:r>
          </w:p>
        </w:tc>
        <w:tc>
          <w:tcPr>
            <w:tcW w:w="893" w:type="dxa"/>
            <w:vMerge w:val="continue"/>
            <w:vAlign w:val="center"/>
          </w:tcPr>
          <w:p>
            <w:pPr>
              <w:widowControl/>
              <w:jc w:val="center"/>
              <w:rPr>
                <w:rFonts w:ascii="仿宋" w:hAnsi="仿宋"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4" w:type="dxa"/>
            <w:vMerge w:val="restart"/>
            <w:vAlign w:val="center"/>
          </w:tcPr>
          <w:p>
            <w:pPr>
              <w:widowControl/>
              <w:jc w:val="center"/>
              <w:rPr>
                <w:rFonts w:ascii="仿宋" w:hAnsi="仿宋" w:eastAsia="仿宋"/>
                <w:kern w:val="0"/>
                <w:szCs w:val="21"/>
              </w:rPr>
            </w:pPr>
            <w:r>
              <w:rPr>
                <w:rFonts w:ascii="仿宋" w:hAnsi="仿宋" w:eastAsia="仿宋"/>
                <w:kern w:val="0"/>
                <w:szCs w:val="21"/>
              </w:rPr>
              <w:t>PM</w:t>
            </w:r>
            <w:r>
              <w:rPr>
                <w:rFonts w:ascii="仿宋" w:hAnsi="仿宋" w:eastAsia="仿宋"/>
                <w:kern w:val="0"/>
                <w:szCs w:val="21"/>
                <w:vertAlign w:val="subscript"/>
              </w:rPr>
              <w:t>2.5</w:t>
            </w:r>
          </w:p>
        </w:tc>
        <w:tc>
          <w:tcPr>
            <w:tcW w:w="3448" w:type="dxa"/>
            <w:vAlign w:val="center"/>
          </w:tcPr>
          <w:p>
            <w:pPr>
              <w:widowControl/>
              <w:jc w:val="center"/>
              <w:rPr>
                <w:rFonts w:ascii="仿宋" w:hAnsi="仿宋" w:eastAsia="仿宋"/>
                <w:kern w:val="0"/>
                <w:szCs w:val="21"/>
              </w:rPr>
            </w:pPr>
            <w:r>
              <w:rPr>
                <w:rFonts w:ascii="仿宋" w:hAnsi="仿宋" w:eastAsia="仿宋"/>
                <w:kern w:val="0"/>
                <w:szCs w:val="21"/>
              </w:rPr>
              <w:t>年平均质量浓度</w:t>
            </w:r>
          </w:p>
        </w:tc>
        <w:tc>
          <w:tcPr>
            <w:tcW w:w="1696" w:type="dxa"/>
            <w:vAlign w:val="center"/>
          </w:tcPr>
          <w:p>
            <w:pPr>
              <w:widowControl/>
              <w:jc w:val="center"/>
              <w:rPr>
                <w:rFonts w:ascii="仿宋" w:hAnsi="仿宋" w:eastAsia="仿宋"/>
                <w:kern w:val="0"/>
                <w:szCs w:val="21"/>
              </w:rPr>
            </w:pPr>
            <w:r>
              <w:rPr>
                <w:rFonts w:ascii="仿宋" w:hAnsi="仿宋" w:eastAsia="仿宋"/>
                <w:kern w:val="0"/>
                <w:szCs w:val="21"/>
              </w:rPr>
              <w:t>33</w:t>
            </w:r>
          </w:p>
        </w:tc>
        <w:tc>
          <w:tcPr>
            <w:tcW w:w="1325" w:type="dxa"/>
            <w:vAlign w:val="center"/>
          </w:tcPr>
          <w:p>
            <w:pPr>
              <w:widowControl/>
              <w:jc w:val="center"/>
              <w:rPr>
                <w:rFonts w:ascii="仿宋" w:hAnsi="仿宋" w:eastAsia="仿宋"/>
                <w:kern w:val="0"/>
                <w:szCs w:val="21"/>
              </w:rPr>
            </w:pPr>
            <w:r>
              <w:rPr>
                <w:rFonts w:ascii="仿宋" w:hAnsi="仿宋" w:eastAsia="仿宋"/>
                <w:kern w:val="0"/>
                <w:szCs w:val="21"/>
              </w:rPr>
              <w:t>35</w:t>
            </w:r>
          </w:p>
        </w:tc>
        <w:tc>
          <w:tcPr>
            <w:tcW w:w="956" w:type="dxa"/>
            <w:vAlign w:val="center"/>
          </w:tcPr>
          <w:p>
            <w:pPr>
              <w:widowControl/>
              <w:jc w:val="center"/>
              <w:rPr>
                <w:rFonts w:ascii="仿宋" w:hAnsi="仿宋" w:eastAsia="仿宋"/>
                <w:kern w:val="0"/>
                <w:szCs w:val="21"/>
              </w:rPr>
            </w:pPr>
            <w:r>
              <w:rPr>
                <w:rFonts w:hint="eastAsia" w:ascii="仿宋" w:hAnsi="仿宋" w:eastAsia="仿宋"/>
                <w:kern w:val="0"/>
                <w:szCs w:val="21"/>
              </w:rPr>
              <w:t>100</w:t>
            </w:r>
          </w:p>
        </w:tc>
        <w:tc>
          <w:tcPr>
            <w:tcW w:w="893" w:type="dxa"/>
            <w:vMerge w:val="restart"/>
            <w:vAlign w:val="center"/>
          </w:tcPr>
          <w:p>
            <w:pPr>
              <w:widowControl/>
              <w:jc w:val="center"/>
              <w:rPr>
                <w:rFonts w:ascii="仿宋" w:hAnsi="仿宋" w:eastAsia="仿宋"/>
                <w:kern w:val="0"/>
                <w:szCs w:val="21"/>
              </w:rPr>
            </w:pPr>
            <w:r>
              <w:rPr>
                <w:rFonts w:ascii="仿宋" w:hAnsi="仿宋" w:eastAsia="仿宋"/>
                <w:kern w:val="0"/>
                <w:szCs w:val="21"/>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4" w:type="dxa"/>
            <w:vMerge w:val="continue"/>
            <w:vAlign w:val="center"/>
          </w:tcPr>
          <w:p>
            <w:pPr>
              <w:widowControl/>
              <w:jc w:val="center"/>
              <w:rPr>
                <w:rFonts w:ascii="仿宋" w:hAnsi="仿宋" w:eastAsia="仿宋"/>
                <w:kern w:val="0"/>
                <w:szCs w:val="21"/>
              </w:rPr>
            </w:pPr>
          </w:p>
        </w:tc>
        <w:tc>
          <w:tcPr>
            <w:tcW w:w="3448" w:type="dxa"/>
            <w:vAlign w:val="center"/>
          </w:tcPr>
          <w:p>
            <w:pPr>
              <w:widowControl/>
              <w:jc w:val="center"/>
              <w:rPr>
                <w:rFonts w:ascii="仿宋" w:hAnsi="仿宋" w:eastAsia="仿宋"/>
                <w:kern w:val="0"/>
                <w:szCs w:val="21"/>
              </w:rPr>
            </w:pPr>
            <w:r>
              <w:rPr>
                <w:rFonts w:ascii="仿宋" w:hAnsi="仿宋" w:eastAsia="仿宋"/>
                <w:kern w:val="0"/>
                <w:szCs w:val="21"/>
              </w:rPr>
              <w:t>日平均质量浓度</w:t>
            </w:r>
          </w:p>
        </w:tc>
        <w:tc>
          <w:tcPr>
            <w:tcW w:w="1696" w:type="dxa"/>
            <w:vAlign w:val="center"/>
          </w:tcPr>
          <w:p>
            <w:pPr>
              <w:widowControl/>
              <w:jc w:val="center"/>
              <w:rPr>
                <w:rFonts w:ascii="仿宋" w:hAnsi="仿宋" w:eastAsia="仿宋"/>
                <w:kern w:val="0"/>
                <w:szCs w:val="21"/>
              </w:rPr>
            </w:pPr>
            <w:r>
              <w:rPr>
                <w:rFonts w:ascii="仿宋" w:hAnsi="仿宋" w:eastAsia="仿宋"/>
                <w:kern w:val="0"/>
                <w:szCs w:val="21"/>
              </w:rPr>
              <w:t>7-134</w:t>
            </w:r>
          </w:p>
        </w:tc>
        <w:tc>
          <w:tcPr>
            <w:tcW w:w="1325" w:type="dxa"/>
            <w:vAlign w:val="center"/>
          </w:tcPr>
          <w:p>
            <w:pPr>
              <w:widowControl/>
              <w:jc w:val="center"/>
              <w:rPr>
                <w:rFonts w:ascii="仿宋" w:hAnsi="仿宋" w:eastAsia="仿宋"/>
                <w:kern w:val="0"/>
                <w:szCs w:val="21"/>
              </w:rPr>
            </w:pPr>
            <w:r>
              <w:rPr>
                <w:rFonts w:ascii="仿宋" w:hAnsi="仿宋" w:eastAsia="仿宋"/>
                <w:kern w:val="0"/>
                <w:szCs w:val="21"/>
              </w:rPr>
              <w:t>75</w:t>
            </w:r>
          </w:p>
        </w:tc>
        <w:tc>
          <w:tcPr>
            <w:tcW w:w="956" w:type="dxa"/>
            <w:vAlign w:val="center"/>
          </w:tcPr>
          <w:p>
            <w:pPr>
              <w:widowControl/>
              <w:jc w:val="center"/>
              <w:rPr>
                <w:rFonts w:ascii="仿宋" w:hAnsi="仿宋" w:eastAsia="仿宋"/>
                <w:kern w:val="0"/>
                <w:szCs w:val="21"/>
              </w:rPr>
            </w:pPr>
            <w:r>
              <w:rPr>
                <w:rFonts w:hint="eastAsia" w:ascii="仿宋" w:hAnsi="仿宋" w:eastAsia="仿宋"/>
                <w:kern w:val="0"/>
                <w:szCs w:val="21"/>
              </w:rPr>
              <w:t>94.6</w:t>
            </w:r>
          </w:p>
        </w:tc>
        <w:tc>
          <w:tcPr>
            <w:tcW w:w="893" w:type="dxa"/>
            <w:vMerge w:val="continue"/>
            <w:vAlign w:val="center"/>
          </w:tcPr>
          <w:p>
            <w:pPr>
              <w:widowControl/>
              <w:jc w:val="center"/>
              <w:rPr>
                <w:rFonts w:ascii="仿宋" w:hAnsi="仿宋"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4" w:type="dxa"/>
            <w:vMerge w:val="restart"/>
            <w:vAlign w:val="center"/>
          </w:tcPr>
          <w:p>
            <w:pPr>
              <w:widowControl/>
              <w:jc w:val="center"/>
              <w:rPr>
                <w:rFonts w:ascii="仿宋" w:hAnsi="仿宋" w:eastAsia="仿宋"/>
                <w:kern w:val="0"/>
                <w:szCs w:val="21"/>
              </w:rPr>
            </w:pPr>
            <w:r>
              <w:rPr>
                <w:rFonts w:ascii="仿宋" w:hAnsi="仿宋" w:eastAsia="仿宋"/>
                <w:kern w:val="0"/>
                <w:szCs w:val="21"/>
              </w:rPr>
              <w:t>CO</w:t>
            </w:r>
          </w:p>
        </w:tc>
        <w:tc>
          <w:tcPr>
            <w:tcW w:w="3448" w:type="dxa"/>
            <w:vAlign w:val="center"/>
          </w:tcPr>
          <w:p>
            <w:pPr>
              <w:widowControl/>
              <w:jc w:val="center"/>
              <w:rPr>
                <w:rFonts w:ascii="仿宋" w:hAnsi="仿宋" w:eastAsia="仿宋"/>
                <w:kern w:val="0"/>
                <w:szCs w:val="21"/>
              </w:rPr>
            </w:pPr>
            <w:r>
              <w:rPr>
                <w:rFonts w:ascii="仿宋" w:hAnsi="仿宋" w:eastAsia="仿宋"/>
                <w:kern w:val="0"/>
                <w:szCs w:val="21"/>
              </w:rPr>
              <w:t>日均值</w:t>
            </w:r>
            <w:r>
              <w:rPr>
                <w:rFonts w:hint="eastAsia" w:ascii="仿宋" w:hAnsi="仿宋" w:eastAsia="仿宋"/>
                <w:kern w:val="0"/>
                <w:szCs w:val="21"/>
              </w:rPr>
              <w:t>的</w:t>
            </w:r>
            <w:r>
              <w:rPr>
                <w:rFonts w:ascii="仿宋" w:hAnsi="仿宋" w:eastAsia="仿宋"/>
                <w:kern w:val="0"/>
                <w:szCs w:val="21"/>
              </w:rPr>
              <w:t>第95百分位数</w:t>
            </w:r>
          </w:p>
        </w:tc>
        <w:tc>
          <w:tcPr>
            <w:tcW w:w="1696" w:type="dxa"/>
            <w:vAlign w:val="center"/>
          </w:tcPr>
          <w:p>
            <w:pPr>
              <w:widowControl/>
              <w:jc w:val="center"/>
              <w:rPr>
                <w:rFonts w:ascii="仿宋" w:hAnsi="仿宋" w:eastAsia="仿宋"/>
                <w:kern w:val="0"/>
                <w:szCs w:val="21"/>
              </w:rPr>
            </w:pPr>
            <w:r>
              <w:rPr>
                <w:rFonts w:ascii="仿宋" w:hAnsi="仿宋" w:eastAsia="仿宋"/>
                <w:kern w:val="0"/>
                <w:szCs w:val="21"/>
              </w:rPr>
              <w:t>1000</w:t>
            </w:r>
            <w:r>
              <w:rPr>
                <w:rFonts w:hint="eastAsia" w:ascii="仿宋" w:hAnsi="仿宋" w:eastAsia="仿宋"/>
                <w:kern w:val="0"/>
                <w:szCs w:val="21"/>
              </w:rPr>
              <w:t>（第</w:t>
            </w:r>
            <w:r>
              <w:rPr>
                <w:rFonts w:ascii="仿宋" w:hAnsi="仿宋" w:eastAsia="仿宋"/>
                <w:kern w:val="0"/>
                <w:szCs w:val="21"/>
              </w:rPr>
              <w:t>95</w:t>
            </w:r>
            <w:r>
              <w:rPr>
                <w:rFonts w:hint="eastAsia" w:ascii="仿宋" w:hAnsi="仿宋" w:eastAsia="仿宋"/>
                <w:kern w:val="0"/>
                <w:szCs w:val="21"/>
              </w:rPr>
              <w:t>百分</w:t>
            </w:r>
            <w:r>
              <w:rPr>
                <w:rFonts w:ascii="仿宋" w:hAnsi="仿宋" w:eastAsia="仿宋"/>
                <w:kern w:val="0"/>
                <w:szCs w:val="21"/>
              </w:rPr>
              <w:t>位数</w:t>
            </w:r>
            <w:r>
              <w:rPr>
                <w:rFonts w:hint="eastAsia" w:ascii="仿宋" w:hAnsi="仿宋" w:eastAsia="仿宋"/>
                <w:kern w:val="0"/>
                <w:szCs w:val="21"/>
              </w:rPr>
              <w:t>）</w:t>
            </w:r>
          </w:p>
        </w:tc>
        <w:tc>
          <w:tcPr>
            <w:tcW w:w="1325" w:type="dxa"/>
            <w:vAlign w:val="center"/>
          </w:tcPr>
          <w:p>
            <w:pPr>
              <w:widowControl/>
              <w:jc w:val="center"/>
              <w:rPr>
                <w:rFonts w:ascii="仿宋" w:hAnsi="仿宋" w:eastAsia="仿宋"/>
                <w:kern w:val="0"/>
                <w:szCs w:val="21"/>
              </w:rPr>
            </w:pPr>
            <w:r>
              <w:rPr>
                <w:rFonts w:ascii="仿宋" w:hAnsi="仿宋" w:eastAsia="仿宋"/>
                <w:kern w:val="0"/>
                <w:szCs w:val="21"/>
              </w:rPr>
              <w:t>4000</w:t>
            </w:r>
          </w:p>
        </w:tc>
        <w:tc>
          <w:tcPr>
            <w:tcW w:w="956" w:type="dxa"/>
            <w:vAlign w:val="center"/>
          </w:tcPr>
          <w:p>
            <w:pPr>
              <w:widowControl/>
              <w:jc w:val="center"/>
              <w:rPr>
                <w:rFonts w:ascii="仿宋" w:hAnsi="仿宋" w:eastAsia="仿宋"/>
                <w:kern w:val="0"/>
                <w:szCs w:val="21"/>
              </w:rPr>
            </w:pPr>
            <w:r>
              <w:rPr>
                <w:rFonts w:hint="eastAsia" w:ascii="仿宋" w:hAnsi="仿宋" w:eastAsia="仿宋"/>
                <w:kern w:val="0"/>
                <w:szCs w:val="21"/>
              </w:rPr>
              <w:t>100</w:t>
            </w:r>
          </w:p>
        </w:tc>
        <w:tc>
          <w:tcPr>
            <w:tcW w:w="893" w:type="dxa"/>
            <w:vMerge w:val="restart"/>
            <w:vAlign w:val="center"/>
          </w:tcPr>
          <w:p>
            <w:pPr>
              <w:widowControl/>
              <w:jc w:val="center"/>
              <w:rPr>
                <w:rFonts w:ascii="仿宋" w:hAnsi="仿宋" w:eastAsia="仿宋"/>
                <w:kern w:val="0"/>
                <w:szCs w:val="21"/>
              </w:rPr>
            </w:pPr>
            <w:r>
              <w:rPr>
                <w:rFonts w:ascii="仿宋" w:hAnsi="仿宋" w:eastAsia="仿宋"/>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4" w:type="dxa"/>
            <w:vMerge w:val="continue"/>
            <w:vAlign w:val="center"/>
          </w:tcPr>
          <w:p>
            <w:pPr>
              <w:widowControl/>
              <w:jc w:val="center"/>
              <w:rPr>
                <w:rFonts w:ascii="仿宋" w:hAnsi="仿宋" w:eastAsia="仿宋"/>
                <w:kern w:val="0"/>
                <w:szCs w:val="21"/>
              </w:rPr>
            </w:pPr>
          </w:p>
        </w:tc>
        <w:tc>
          <w:tcPr>
            <w:tcW w:w="3448" w:type="dxa"/>
            <w:vAlign w:val="center"/>
          </w:tcPr>
          <w:p>
            <w:pPr>
              <w:widowControl/>
              <w:jc w:val="center"/>
              <w:rPr>
                <w:rFonts w:ascii="仿宋" w:hAnsi="仿宋" w:eastAsia="仿宋"/>
                <w:kern w:val="0"/>
                <w:szCs w:val="21"/>
              </w:rPr>
            </w:pPr>
            <w:r>
              <w:rPr>
                <w:rFonts w:ascii="仿宋" w:hAnsi="仿宋" w:eastAsia="仿宋"/>
                <w:kern w:val="0"/>
                <w:szCs w:val="21"/>
              </w:rPr>
              <w:t>日平均质量浓度</w:t>
            </w:r>
          </w:p>
        </w:tc>
        <w:tc>
          <w:tcPr>
            <w:tcW w:w="1696" w:type="dxa"/>
            <w:vAlign w:val="center"/>
          </w:tcPr>
          <w:p>
            <w:pPr>
              <w:widowControl/>
              <w:jc w:val="center"/>
              <w:rPr>
                <w:rFonts w:ascii="仿宋" w:hAnsi="仿宋" w:eastAsia="仿宋"/>
                <w:kern w:val="0"/>
                <w:szCs w:val="21"/>
              </w:rPr>
            </w:pPr>
            <w:r>
              <w:rPr>
                <w:rFonts w:ascii="仿宋" w:hAnsi="仿宋" w:eastAsia="仿宋"/>
                <w:kern w:val="0"/>
                <w:szCs w:val="21"/>
              </w:rPr>
              <w:t>400-1300</w:t>
            </w:r>
          </w:p>
        </w:tc>
        <w:tc>
          <w:tcPr>
            <w:tcW w:w="1325" w:type="dxa"/>
            <w:vAlign w:val="center"/>
          </w:tcPr>
          <w:p>
            <w:pPr>
              <w:widowControl/>
              <w:jc w:val="center"/>
              <w:rPr>
                <w:rFonts w:ascii="仿宋" w:hAnsi="仿宋" w:eastAsia="仿宋"/>
                <w:kern w:val="0"/>
                <w:szCs w:val="21"/>
              </w:rPr>
            </w:pPr>
            <w:r>
              <w:rPr>
                <w:rFonts w:ascii="仿宋" w:hAnsi="仿宋" w:eastAsia="仿宋"/>
                <w:kern w:val="0"/>
                <w:szCs w:val="21"/>
              </w:rPr>
              <w:t>4000</w:t>
            </w:r>
          </w:p>
        </w:tc>
        <w:tc>
          <w:tcPr>
            <w:tcW w:w="956" w:type="dxa"/>
            <w:vAlign w:val="center"/>
          </w:tcPr>
          <w:p>
            <w:pPr>
              <w:widowControl/>
              <w:jc w:val="center"/>
              <w:rPr>
                <w:rFonts w:ascii="仿宋" w:hAnsi="仿宋" w:eastAsia="仿宋"/>
                <w:kern w:val="0"/>
                <w:szCs w:val="21"/>
              </w:rPr>
            </w:pPr>
            <w:r>
              <w:rPr>
                <w:rFonts w:hint="eastAsia" w:ascii="仿宋" w:hAnsi="仿宋" w:eastAsia="仿宋"/>
                <w:kern w:val="0"/>
                <w:szCs w:val="21"/>
              </w:rPr>
              <w:t>100</w:t>
            </w:r>
          </w:p>
        </w:tc>
        <w:tc>
          <w:tcPr>
            <w:tcW w:w="893" w:type="dxa"/>
            <w:vMerge w:val="continue"/>
            <w:vAlign w:val="center"/>
          </w:tcPr>
          <w:p>
            <w:pPr>
              <w:widowControl/>
              <w:jc w:val="center"/>
              <w:rPr>
                <w:rFonts w:ascii="仿宋" w:hAnsi="仿宋"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924" w:type="dxa"/>
            <w:vAlign w:val="center"/>
          </w:tcPr>
          <w:p>
            <w:pPr>
              <w:widowControl/>
              <w:jc w:val="center"/>
              <w:rPr>
                <w:rFonts w:ascii="仿宋" w:hAnsi="仿宋" w:eastAsia="仿宋"/>
                <w:kern w:val="0"/>
                <w:szCs w:val="21"/>
              </w:rPr>
            </w:pPr>
            <w:r>
              <w:rPr>
                <w:rFonts w:hint="eastAsia" w:ascii="仿宋" w:hAnsi="仿宋" w:eastAsia="仿宋"/>
                <w:kern w:val="0"/>
                <w:szCs w:val="21"/>
              </w:rPr>
              <w:t>O</w:t>
            </w:r>
            <w:r>
              <w:rPr>
                <w:rFonts w:ascii="仿宋" w:hAnsi="仿宋" w:eastAsia="仿宋"/>
                <w:kern w:val="0"/>
                <w:szCs w:val="21"/>
              </w:rPr>
              <w:t>3</w:t>
            </w:r>
          </w:p>
        </w:tc>
        <w:tc>
          <w:tcPr>
            <w:tcW w:w="3448" w:type="dxa"/>
            <w:vAlign w:val="center"/>
          </w:tcPr>
          <w:p>
            <w:pPr>
              <w:widowControl/>
              <w:jc w:val="center"/>
              <w:rPr>
                <w:rFonts w:ascii="仿宋" w:hAnsi="仿宋" w:eastAsia="仿宋"/>
                <w:kern w:val="0"/>
                <w:szCs w:val="21"/>
              </w:rPr>
            </w:pPr>
            <w:r>
              <w:rPr>
                <w:rFonts w:ascii="仿宋" w:hAnsi="仿宋" w:eastAsia="仿宋"/>
                <w:kern w:val="0"/>
                <w:szCs w:val="21"/>
              </w:rPr>
              <w:t>日最大8小时滑动平均第90百分位数</w:t>
            </w:r>
          </w:p>
        </w:tc>
        <w:tc>
          <w:tcPr>
            <w:tcW w:w="1696" w:type="dxa"/>
            <w:vAlign w:val="center"/>
          </w:tcPr>
          <w:p>
            <w:pPr>
              <w:widowControl/>
              <w:jc w:val="center"/>
              <w:rPr>
                <w:rFonts w:ascii="仿宋" w:hAnsi="仿宋" w:eastAsia="仿宋"/>
                <w:kern w:val="0"/>
                <w:szCs w:val="21"/>
              </w:rPr>
            </w:pPr>
            <w:r>
              <w:rPr>
                <w:rFonts w:ascii="仿宋" w:hAnsi="仿宋" w:eastAsia="仿宋"/>
                <w:kern w:val="0"/>
                <w:szCs w:val="21"/>
              </w:rPr>
              <w:t>175</w:t>
            </w:r>
            <w:r>
              <w:rPr>
                <w:rFonts w:hint="eastAsia" w:ascii="仿宋" w:hAnsi="仿宋" w:eastAsia="仿宋"/>
                <w:kern w:val="0"/>
                <w:szCs w:val="21"/>
              </w:rPr>
              <w:t>（第90百分位数）</w:t>
            </w:r>
          </w:p>
        </w:tc>
        <w:tc>
          <w:tcPr>
            <w:tcW w:w="1325" w:type="dxa"/>
            <w:vAlign w:val="center"/>
          </w:tcPr>
          <w:p>
            <w:pPr>
              <w:widowControl/>
              <w:jc w:val="center"/>
              <w:rPr>
                <w:rFonts w:ascii="仿宋" w:hAnsi="仿宋" w:eastAsia="仿宋"/>
                <w:kern w:val="0"/>
                <w:szCs w:val="21"/>
              </w:rPr>
            </w:pPr>
            <w:r>
              <w:rPr>
                <w:rFonts w:ascii="仿宋" w:hAnsi="仿宋" w:eastAsia="仿宋"/>
                <w:kern w:val="0"/>
                <w:szCs w:val="21"/>
              </w:rPr>
              <w:t>160</w:t>
            </w:r>
          </w:p>
        </w:tc>
        <w:tc>
          <w:tcPr>
            <w:tcW w:w="956" w:type="dxa"/>
            <w:vAlign w:val="center"/>
          </w:tcPr>
          <w:p>
            <w:pPr>
              <w:widowControl/>
              <w:jc w:val="center"/>
              <w:rPr>
                <w:rFonts w:ascii="仿宋" w:hAnsi="仿宋" w:eastAsia="仿宋"/>
                <w:kern w:val="0"/>
                <w:szCs w:val="21"/>
              </w:rPr>
            </w:pPr>
            <w:r>
              <w:rPr>
                <w:rFonts w:hint="eastAsia" w:ascii="仿宋" w:hAnsi="仿宋" w:eastAsia="仿宋"/>
                <w:kern w:val="0"/>
                <w:szCs w:val="21"/>
              </w:rPr>
              <w:t>82.5</w:t>
            </w:r>
          </w:p>
        </w:tc>
        <w:tc>
          <w:tcPr>
            <w:tcW w:w="893" w:type="dxa"/>
            <w:vAlign w:val="center"/>
          </w:tcPr>
          <w:p>
            <w:pPr>
              <w:widowControl/>
              <w:jc w:val="center"/>
              <w:rPr>
                <w:rFonts w:ascii="仿宋" w:hAnsi="仿宋" w:eastAsia="仿宋"/>
                <w:kern w:val="0"/>
                <w:szCs w:val="21"/>
              </w:rPr>
            </w:pPr>
            <w:r>
              <w:rPr>
                <w:rFonts w:ascii="仿宋" w:hAnsi="仿宋" w:eastAsia="仿宋"/>
                <w:kern w:val="0"/>
                <w:szCs w:val="21"/>
              </w:rPr>
              <w:t>超标</w:t>
            </w:r>
          </w:p>
        </w:tc>
      </w:tr>
    </w:tbl>
    <w:p>
      <w:pPr>
        <w:spacing w:line="500" w:lineRule="exact"/>
        <w:ind w:firstLine="560" w:firstLineChars="200"/>
        <w:rPr>
          <w:rFonts w:eastAsia="仿宋_GB2312"/>
          <w:sz w:val="28"/>
          <w:szCs w:val="28"/>
        </w:rPr>
      </w:pPr>
      <w:r>
        <w:rPr>
          <w:rFonts w:eastAsia="仿宋_GB2312"/>
          <w:sz w:val="28"/>
          <w:szCs w:val="28"/>
        </w:rPr>
        <w:t>由上表数据可知</w:t>
      </w:r>
      <w:r>
        <w:rPr>
          <w:rFonts w:hint="eastAsia" w:eastAsia="仿宋_GB2312"/>
          <w:sz w:val="28"/>
          <w:szCs w:val="28"/>
        </w:rPr>
        <w:t>，</w:t>
      </w:r>
      <w:r>
        <w:rPr>
          <w:rFonts w:eastAsia="仿宋_GB2312"/>
          <w:sz w:val="28"/>
          <w:szCs w:val="28"/>
        </w:rPr>
        <w:t>2022年度常州市环境空气中项目所在区域内SO2、NO2、PM10的年平均质量浓度以及CO的第95百分位数均符合《环境空气质量标准》（GB3095-2012）表1中二级标准，PM</w:t>
      </w:r>
      <w:r>
        <w:rPr>
          <w:rFonts w:eastAsia="仿宋_GB2312"/>
          <w:sz w:val="28"/>
          <w:szCs w:val="28"/>
          <w:vertAlign w:val="subscript"/>
        </w:rPr>
        <w:t>2.5</w:t>
      </w:r>
      <w:r>
        <w:rPr>
          <w:rFonts w:eastAsia="仿宋_GB2312"/>
          <w:sz w:val="28"/>
          <w:szCs w:val="28"/>
        </w:rPr>
        <w:t>的</w:t>
      </w:r>
      <w:r>
        <w:rPr>
          <w:rFonts w:hint="eastAsia" w:eastAsia="仿宋_GB2312"/>
          <w:sz w:val="28"/>
          <w:szCs w:val="28"/>
        </w:rPr>
        <w:t>24小时平均第95百分位数</w:t>
      </w:r>
      <w:r>
        <w:rPr>
          <w:rFonts w:eastAsia="仿宋_GB2312"/>
          <w:sz w:val="28"/>
          <w:szCs w:val="28"/>
        </w:rPr>
        <w:t>以及O</w:t>
      </w:r>
      <w:r>
        <w:rPr>
          <w:rFonts w:eastAsia="仿宋_GB2312"/>
          <w:sz w:val="28"/>
          <w:szCs w:val="28"/>
          <w:vertAlign w:val="subscript"/>
        </w:rPr>
        <w:t>3</w:t>
      </w:r>
      <w:r>
        <w:rPr>
          <w:rFonts w:eastAsia="仿宋_GB2312"/>
          <w:sz w:val="28"/>
          <w:szCs w:val="28"/>
        </w:rPr>
        <w:t>的日最大8小时滑动平均值的第90百分位数超标。根据《环境影响评价技术导则大气环境》（HJ2.2—2018），6项污染物全部达标即为城市环境空气质量达标，故常州市目前属于环境空气质量不达标区。</w:t>
      </w:r>
    </w:p>
    <w:p>
      <w:pPr>
        <w:spacing w:line="500" w:lineRule="exact"/>
        <w:ind w:firstLine="560" w:firstLineChars="200"/>
        <w:rPr>
          <w:rFonts w:eastAsia="仿宋_GB2312"/>
          <w:sz w:val="28"/>
          <w:szCs w:val="28"/>
        </w:rPr>
      </w:pPr>
      <w:r>
        <w:rPr>
          <w:rFonts w:eastAsia="仿宋_GB2312"/>
          <w:sz w:val="28"/>
          <w:szCs w:val="28"/>
        </w:rPr>
        <w:t>区域削减计划：</w:t>
      </w:r>
    </w:p>
    <w:p>
      <w:pPr>
        <w:spacing w:line="500" w:lineRule="exact"/>
        <w:ind w:firstLine="560" w:firstLineChars="200"/>
        <w:rPr>
          <w:rFonts w:eastAsia="仿宋_GB2312"/>
          <w:sz w:val="28"/>
          <w:szCs w:val="28"/>
        </w:rPr>
      </w:pPr>
      <w:r>
        <w:rPr>
          <w:rFonts w:eastAsia="仿宋_GB2312"/>
          <w:sz w:val="28"/>
          <w:szCs w:val="28"/>
        </w:rPr>
        <w:t>为加快改善环境空气质量，常州市人民政府先后发布了《关于印发常州市2022年大气污染防治</w:t>
      </w:r>
      <w:r>
        <w:rPr>
          <w:rFonts w:hint="eastAsia" w:eastAsia="仿宋_GB2312"/>
          <w:sz w:val="28"/>
          <w:szCs w:val="28"/>
        </w:rPr>
        <w:t>工作</w:t>
      </w:r>
      <w:r>
        <w:rPr>
          <w:rFonts w:eastAsia="仿宋_GB2312"/>
          <w:sz w:val="28"/>
          <w:szCs w:val="28"/>
        </w:rPr>
        <w:t>计划的通知》（常大气办〔2022〕1号）、市政府关于印发</w:t>
      </w:r>
      <w:r>
        <w:rPr>
          <w:rFonts w:hint="eastAsia" w:eastAsia="仿宋_GB2312"/>
          <w:sz w:val="28"/>
          <w:szCs w:val="28"/>
        </w:rPr>
        <w:t>《常州市深入打好污染防治攻坚战专项行动方案（2022年）》</w:t>
      </w:r>
      <w:r>
        <w:rPr>
          <w:rFonts w:eastAsia="仿宋_GB2312"/>
          <w:sz w:val="28"/>
          <w:szCs w:val="28"/>
        </w:rPr>
        <w:t>。根据市政府关于印发</w:t>
      </w:r>
      <w:r>
        <w:rPr>
          <w:rFonts w:hint="eastAsia" w:eastAsia="仿宋_GB2312"/>
          <w:sz w:val="28"/>
          <w:szCs w:val="28"/>
        </w:rPr>
        <w:t>《常州市深入打好污染防治攻坚战专项行动方案（2022年）》</w:t>
      </w:r>
      <w:r>
        <w:rPr>
          <w:rFonts w:eastAsia="仿宋_GB2312"/>
          <w:sz w:val="28"/>
          <w:szCs w:val="28"/>
        </w:rPr>
        <w:t>，工作目标如下：</w:t>
      </w:r>
      <w:r>
        <w:rPr>
          <w:rFonts w:hint="eastAsia" w:eastAsia="仿宋_GB2312"/>
          <w:sz w:val="28"/>
          <w:szCs w:val="28"/>
        </w:rPr>
        <w:t>到2025年，全市生态环境质量持续改善，主要污染物排放总量持续下降，PM2.5浓度达到30微克/立方米左右，地表水国省考断面水质优III比例达到90%以上，优良天数比率达到81.4%，生态质量指数达到50以上。</w:t>
      </w:r>
    </w:p>
    <w:p>
      <w:pPr>
        <w:spacing w:line="500" w:lineRule="exact"/>
        <w:ind w:firstLine="560" w:firstLineChars="200"/>
        <w:rPr>
          <w:rFonts w:eastAsia="仿宋_GB2312"/>
          <w:sz w:val="28"/>
          <w:szCs w:val="28"/>
        </w:rPr>
      </w:pPr>
      <w:r>
        <w:rPr>
          <w:rFonts w:hint="eastAsia" w:eastAsia="仿宋_GB2312"/>
          <w:sz w:val="28"/>
          <w:szCs w:val="28"/>
        </w:rPr>
        <w:t>《</w:t>
      </w:r>
      <w:r>
        <w:rPr>
          <w:rFonts w:eastAsia="仿宋_GB2312"/>
          <w:sz w:val="28"/>
          <w:szCs w:val="28"/>
        </w:rPr>
        <w:t>关于印发常州市2022年大气污染防治</w:t>
      </w:r>
      <w:r>
        <w:rPr>
          <w:rFonts w:hint="eastAsia" w:eastAsia="仿宋_GB2312"/>
          <w:sz w:val="28"/>
          <w:szCs w:val="28"/>
        </w:rPr>
        <w:t>工作</w:t>
      </w:r>
      <w:r>
        <w:rPr>
          <w:rFonts w:eastAsia="仿宋_GB2312"/>
          <w:sz w:val="28"/>
          <w:szCs w:val="28"/>
        </w:rPr>
        <w:t>计划的通知》（常大气办〔2022〕1号）进一步提出如下大气污染防治工作计划：</w:t>
      </w:r>
    </w:p>
    <w:p>
      <w:pPr>
        <w:spacing w:line="500" w:lineRule="exact"/>
        <w:ind w:firstLine="560" w:firstLineChars="200"/>
        <w:rPr>
          <w:rFonts w:eastAsia="仿宋_GB2312"/>
          <w:sz w:val="28"/>
          <w:szCs w:val="28"/>
        </w:rPr>
      </w:pPr>
      <w:r>
        <w:rPr>
          <w:rFonts w:eastAsia="仿宋_GB2312"/>
          <w:sz w:val="28"/>
          <w:szCs w:val="28"/>
        </w:rPr>
        <w:t>工作目标：</w:t>
      </w:r>
      <w:r>
        <w:rPr>
          <w:rFonts w:hint="eastAsia" w:eastAsia="仿宋_GB2312"/>
          <w:sz w:val="28"/>
          <w:szCs w:val="28"/>
        </w:rPr>
        <w:t>完成省定</w:t>
      </w:r>
      <w:r>
        <w:rPr>
          <w:rFonts w:eastAsia="仿宋_GB2312"/>
          <w:sz w:val="28"/>
          <w:szCs w:val="28"/>
        </w:rPr>
        <w:t>下达目标即全市PM2.5浓度达到34微克/立方米，优良天数比率达到80.7%</w:t>
      </w:r>
      <w:r>
        <w:rPr>
          <w:rFonts w:hint="eastAsia" w:eastAsia="仿宋_GB2312"/>
          <w:sz w:val="28"/>
          <w:szCs w:val="28"/>
        </w:rPr>
        <w:t>以上</w:t>
      </w:r>
      <w:r>
        <w:rPr>
          <w:rFonts w:eastAsia="仿宋_GB2312"/>
          <w:sz w:val="28"/>
          <w:szCs w:val="28"/>
        </w:rPr>
        <w:t>，重污染天数不超过</w:t>
      </w:r>
      <w:r>
        <w:rPr>
          <w:rFonts w:hint="eastAsia" w:eastAsia="仿宋_GB2312"/>
          <w:sz w:val="28"/>
          <w:szCs w:val="28"/>
        </w:rPr>
        <w:t>2天</w:t>
      </w:r>
      <w:r>
        <w:rPr>
          <w:rFonts w:eastAsia="仿宋_GB2312"/>
          <w:sz w:val="28"/>
          <w:szCs w:val="28"/>
        </w:rPr>
        <w:t>，臭氧污染得到初步遏制。</w:t>
      </w:r>
    </w:p>
    <w:p>
      <w:pPr>
        <w:spacing w:line="500" w:lineRule="exact"/>
        <w:ind w:firstLine="560" w:firstLineChars="200"/>
        <w:rPr>
          <w:rFonts w:eastAsia="仿宋_GB2312"/>
          <w:sz w:val="28"/>
          <w:szCs w:val="28"/>
        </w:rPr>
      </w:pPr>
      <w:r>
        <w:rPr>
          <w:rFonts w:eastAsia="仿宋_GB2312"/>
          <w:sz w:val="28"/>
          <w:szCs w:val="28"/>
        </w:rPr>
        <w:t>推进以下十项任务：（一）调整优化产业结构</w:t>
      </w:r>
      <w:r>
        <w:rPr>
          <w:rFonts w:hint="eastAsia" w:eastAsia="仿宋_GB2312"/>
          <w:sz w:val="28"/>
          <w:szCs w:val="28"/>
        </w:rPr>
        <w:t>，推进</w:t>
      </w:r>
      <w:r>
        <w:rPr>
          <w:rFonts w:eastAsia="仿宋_GB2312"/>
          <w:sz w:val="28"/>
          <w:szCs w:val="28"/>
        </w:rPr>
        <w:t>产业</w:t>
      </w:r>
      <w:r>
        <w:rPr>
          <w:rFonts w:hint="eastAsia" w:eastAsia="仿宋_GB2312"/>
          <w:sz w:val="28"/>
          <w:szCs w:val="28"/>
        </w:rPr>
        <w:t>绿色</w:t>
      </w:r>
      <w:r>
        <w:rPr>
          <w:rFonts w:eastAsia="仿宋_GB2312"/>
          <w:sz w:val="28"/>
          <w:szCs w:val="28"/>
        </w:rPr>
        <w:t>发展</w:t>
      </w:r>
      <w:r>
        <w:rPr>
          <w:rFonts w:hint="eastAsia" w:eastAsia="仿宋_GB2312"/>
          <w:sz w:val="28"/>
          <w:szCs w:val="28"/>
        </w:rPr>
        <w:t>；</w:t>
      </w:r>
      <w:r>
        <w:rPr>
          <w:rFonts w:eastAsia="仿宋_GB2312"/>
          <w:sz w:val="28"/>
          <w:szCs w:val="28"/>
        </w:rPr>
        <w:t>（二）持续优化能源结构</w:t>
      </w:r>
      <w:r>
        <w:rPr>
          <w:rFonts w:hint="eastAsia" w:eastAsia="仿宋_GB2312"/>
          <w:sz w:val="28"/>
          <w:szCs w:val="28"/>
        </w:rPr>
        <w:t>，推进</w:t>
      </w:r>
      <w:r>
        <w:rPr>
          <w:rFonts w:eastAsia="仿宋_GB2312"/>
          <w:sz w:val="28"/>
          <w:szCs w:val="28"/>
        </w:rPr>
        <w:t>能源清洁低碳发展；（三）</w:t>
      </w:r>
      <w:r>
        <w:rPr>
          <w:rFonts w:hint="eastAsia" w:eastAsia="仿宋_GB2312"/>
          <w:sz w:val="28"/>
          <w:szCs w:val="28"/>
        </w:rPr>
        <w:t>优化交通结构</w:t>
      </w:r>
      <w:r>
        <w:rPr>
          <w:rFonts w:eastAsia="仿宋_GB2312"/>
          <w:sz w:val="28"/>
          <w:szCs w:val="28"/>
        </w:rPr>
        <w:t>，大利发展绿色运输体系；（四）</w:t>
      </w:r>
      <w:r>
        <w:rPr>
          <w:rFonts w:hint="eastAsia" w:eastAsia="仿宋_GB2312"/>
          <w:sz w:val="28"/>
          <w:szCs w:val="28"/>
        </w:rPr>
        <w:t>强化</w:t>
      </w:r>
      <w:r>
        <w:rPr>
          <w:rFonts w:eastAsia="仿宋_GB2312"/>
          <w:sz w:val="28"/>
          <w:szCs w:val="28"/>
        </w:rPr>
        <w:t>协同减排，切实</w:t>
      </w:r>
      <w:r>
        <w:rPr>
          <w:rFonts w:hint="eastAsia" w:eastAsia="仿宋_GB2312"/>
          <w:sz w:val="28"/>
          <w:szCs w:val="28"/>
        </w:rPr>
        <w:t>降低VOC</w:t>
      </w:r>
      <w:r>
        <w:rPr>
          <w:rFonts w:eastAsia="仿宋_GB2312"/>
          <w:sz w:val="28"/>
          <w:szCs w:val="28"/>
        </w:rPr>
        <w:t>s好和氮氧化物排放水平；（五）</w:t>
      </w:r>
      <w:r>
        <w:rPr>
          <w:rFonts w:hint="eastAsia" w:eastAsia="仿宋_GB2312"/>
          <w:sz w:val="28"/>
          <w:szCs w:val="28"/>
        </w:rPr>
        <w:t>深化</w:t>
      </w:r>
      <w:r>
        <w:rPr>
          <w:rFonts w:eastAsia="仿宋_GB2312"/>
          <w:sz w:val="28"/>
          <w:szCs w:val="28"/>
        </w:rPr>
        <w:t>系统治污，着力解决群众关注的突出问题；（六）</w:t>
      </w:r>
      <w:r>
        <w:rPr>
          <w:rFonts w:hint="eastAsia" w:eastAsia="仿宋_GB2312"/>
          <w:sz w:val="28"/>
          <w:szCs w:val="28"/>
        </w:rPr>
        <w:t>完善</w:t>
      </w:r>
      <w:r>
        <w:rPr>
          <w:rFonts w:eastAsia="仿宋_GB2312"/>
          <w:sz w:val="28"/>
          <w:szCs w:val="28"/>
        </w:rPr>
        <w:t>工作</w:t>
      </w:r>
      <w:r>
        <w:rPr>
          <w:rFonts w:hint="eastAsia" w:eastAsia="仿宋_GB2312"/>
          <w:sz w:val="28"/>
          <w:szCs w:val="28"/>
        </w:rPr>
        <w:t>机制</w:t>
      </w:r>
      <w:r>
        <w:rPr>
          <w:rFonts w:eastAsia="仿宋_GB2312"/>
          <w:sz w:val="28"/>
          <w:szCs w:val="28"/>
        </w:rPr>
        <w:t>，提升生态</w:t>
      </w:r>
      <w:r>
        <w:rPr>
          <w:rFonts w:hint="eastAsia" w:eastAsia="仿宋_GB2312"/>
          <w:sz w:val="28"/>
          <w:szCs w:val="28"/>
        </w:rPr>
        <w:t>环境</w:t>
      </w:r>
      <w:r>
        <w:rPr>
          <w:rFonts w:eastAsia="仿宋_GB2312"/>
          <w:sz w:val="28"/>
          <w:szCs w:val="28"/>
        </w:rPr>
        <w:t>治理体系和治理能力现代化水平；（七）</w:t>
      </w:r>
      <w:r>
        <w:rPr>
          <w:rFonts w:hint="eastAsia" w:eastAsia="仿宋_GB2312"/>
          <w:sz w:val="28"/>
          <w:szCs w:val="28"/>
        </w:rPr>
        <w:t>健全法规</w:t>
      </w:r>
      <w:r>
        <w:rPr>
          <w:rFonts w:eastAsia="仿宋_GB2312"/>
          <w:sz w:val="28"/>
          <w:szCs w:val="28"/>
        </w:rPr>
        <w:t>标准体系，完善生态环境经济</w:t>
      </w:r>
      <w:r>
        <w:rPr>
          <w:rFonts w:hint="eastAsia" w:eastAsia="仿宋_GB2312"/>
          <w:sz w:val="28"/>
          <w:szCs w:val="28"/>
        </w:rPr>
        <w:t>政策</w:t>
      </w:r>
      <w:r>
        <w:rPr>
          <w:rFonts w:eastAsia="仿宋_GB2312"/>
          <w:sz w:val="28"/>
          <w:szCs w:val="28"/>
        </w:rPr>
        <w:t>；（八）</w:t>
      </w:r>
      <w:r>
        <w:rPr>
          <w:rFonts w:hint="eastAsia" w:eastAsia="仿宋_GB2312"/>
          <w:sz w:val="28"/>
          <w:szCs w:val="28"/>
        </w:rPr>
        <w:t>落实</w:t>
      </w:r>
      <w:r>
        <w:rPr>
          <w:rFonts w:eastAsia="仿宋_GB2312"/>
          <w:sz w:val="28"/>
          <w:szCs w:val="28"/>
        </w:rPr>
        <w:t>各方责任，构建全民行动格局</w:t>
      </w:r>
      <w:r>
        <w:rPr>
          <w:rFonts w:hint="eastAsia" w:eastAsia="仿宋_GB2312"/>
          <w:sz w:val="28"/>
          <w:szCs w:val="28"/>
        </w:rPr>
        <w:t>。</w:t>
      </w:r>
    </w:p>
    <w:p>
      <w:pPr>
        <w:spacing w:line="500" w:lineRule="exact"/>
        <w:ind w:firstLine="560" w:firstLineChars="200"/>
        <w:rPr>
          <w:rFonts w:eastAsia="仿宋_GB2312"/>
          <w:sz w:val="28"/>
          <w:szCs w:val="28"/>
        </w:rPr>
      </w:pPr>
      <w:r>
        <w:rPr>
          <w:rFonts w:eastAsia="仿宋_GB2312"/>
          <w:sz w:val="28"/>
          <w:szCs w:val="28"/>
        </w:rPr>
        <w:t>采取以上措施，常州市的大气空气质量将得到进一步改善。</w:t>
      </w:r>
    </w:p>
    <w:p>
      <w:pPr>
        <w:pStyle w:val="5"/>
        <w:keepLines w:val="0"/>
        <w:widowControl/>
        <w:numPr>
          <w:ilvl w:val="3"/>
          <w:numId w:val="12"/>
        </w:numPr>
        <w:adjustRightInd w:val="0"/>
        <w:snapToGrid w:val="0"/>
        <w:spacing w:after="120" w:afterLines="50"/>
        <w:ind w:left="0" w:firstLine="0"/>
        <w:jc w:val="left"/>
        <w:rPr>
          <w:rFonts w:ascii="Times New Roman" w:hAnsi="Times New Roman"/>
          <w:b/>
        </w:rPr>
      </w:pPr>
      <w:r>
        <w:rPr>
          <w:rFonts w:hint="eastAsia" w:ascii="Times New Roman" w:hAnsi="Times New Roman"/>
          <w:b/>
        </w:rPr>
        <w:t>项目拟建地</w:t>
      </w:r>
      <w:r>
        <w:rPr>
          <w:rFonts w:ascii="Times New Roman" w:hAnsi="Times New Roman"/>
          <w:b/>
        </w:rPr>
        <w:t>大气环境现状</w:t>
      </w:r>
      <w:r>
        <w:rPr>
          <w:rFonts w:hint="eastAsia" w:ascii="Times New Roman" w:hAnsi="Times New Roman"/>
          <w:b/>
        </w:rPr>
        <w:t>补充</w:t>
      </w:r>
      <w:r>
        <w:rPr>
          <w:rFonts w:ascii="Times New Roman" w:hAnsi="Times New Roman"/>
          <w:b/>
        </w:rPr>
        <w:t>监测</w:t>
      </w:r>
    </w:p>
    <w:p>
      <w:pPr>
        <w:spacing w:line="500" w:lineRule="exact"/>
        <w:ind w:firstLine="560" w:firstLineChars="200"/>
        <w:rPr>
          <w:rFonts w:eastAsia="仿宋_GB2312"/>
          <w:sz w:val="28"/>
          <w:szCs w:val="28"/>
        </w:rPr>
      </w:pPr>
      <w:r>
        <w:rPr>
          <w:rFonts w:eastAsia="仿宋"/>
          <w:sz w:val="28"/>
          <w:szCs w:val="28"/>
        </w:rPr>
        <w:t>本次环评采取了现场实测</w:t>
      </w:r>
      <w:r>
        <w:rPr>
          <w:rFonts w:hint="eastAsia" w:eastAsia="仿宋"/>
          <w:sz w:val="28"/>
          <w:szCs w:val="28"/>
        </w:rPr>
        <w:t>与引用的方式</w:t>
      </w:r>
      <w:r>
        <w:rPr>
          <w:rFonts w:eastAsia="仿宋"/>
          <w:sz w:val="28"/>
          <w:szCs w:val="28"/>
        </w:rPr>
        <w:t>进行评价。</w:t>
      </w:r>
      <w:r>
        <w:rPr>
          <w:rFonts w:hint="eastAsia" w:eastAsia="仿宋"/>
          <w:sz w:val="28"/>
          <w:szCs w:val="28"/>
        </w:rPr>
        <w:t>江苏科发检测技术有限公司于2023年5月30日至6月5日对项目所在地及元巷小区进行大气实测</w:t>
      </w:r>
      <w:r>
        <w:rPr>
          <w:rFonts w:hint="eastAsia" w:eastAsia="仿宋_GB2312"/>
          <w:sz w:val="28"/>
          <w:szCs w:val="28"/>
        </w:rPr>
        <w:t>，其中非甲烷总烃、二</w:t>
      </w:r>
      <w:r>
        <w:rPr>
          <w:rFonts w:eastAsia="仿宋_GB2312"/>
          <w:sz w:val="28"/>
          <w:szCs w:val="28"/>
        </w:rPr>
        <w:t>甲苯</w:t>
      </w:r>
      <w:r>
        <w:rPr>
          <w:rFonts w:hint="eastAsia" w:eastAsia="仿宋_GB2312"/>
          <w:sz w:val="28"/>
          <w:szCs w:val="28"/>
        </w:rPr>
        <w:t>连续监测7天，每天4次，每次采样时间不少于45min，并按规范进行了分析，检测报告编号：（2023）科检（环）字第（C-039）号。江苏康达检测技术股份有限公司于</w:t>
      </w:r>
      <w:r>
        <w:rPr>
          <w:rFonts w:eastAsia="仿宋_GB2312"/>
          <w:sz w:val="28"/>
          <w:szCs w:val="28"/>
        </w:rPr>
        <w:t>20</w:t>
      </w:r>
      <w:r>
        <w:rPr>
          <w:rFonts w:hint="eastAsia" w:eastAsia="仿宋_GB2312"/>
          <w:sz w:val="28"/>
          <w:szCs w:val="28"/>
        </w:rPr>
        <w:t>2</w:t>
      </w:r>
      <w:r>
        <w:rPr>
          <w:rFonts w:eastAsia="仿宋_GB2312"/>
          <w:sz w:val="28"/>
          <w:szCs w:val="28"/>
        </w:rPr>
        <w:t>3</w:t>
      </w:r>
      <w:r>
        <w:rPr>
          <w:rFonts w:hint="eastAsia" w:eastAsia="仿宋_GB2312"/>
          <w:sz w:val="28"/>
          <w:szCs w:val="28"/>
        </w:rPr>
        <w:t>年</w:t>
      </w:r>
      <w:r>
        <w:rPr>
          <w:rFonts w:eastAsia="仿宋_GB2312"/>
          <w:sz w:val="28"/>
          <w:szCs w:val="28"/>
        </w:rPr>
        <w:t>9</w:t>
      </w:r>
      <w:r>
        <w:rPr>
          <w:rFonts w:hint="eastAsia" w:eastAsia="仿宋_GB2312"/>
          <w:sz w:val="28"/>
          <w:szCs w:val="28"/>
        </w:rPr>
        <w:t>月</w:t>
      </w:r>
      <w:r>
        <w:rPr>
          <w:rFonts w:eastAsia="仿宋_GB2312"/>
          <w:sz w:val="28"/>
          <w:szCs w:val="28"/>
        </w:rPr>
        <w:t>4</w:t>
      </w:r>
      <w:r>
        <w:rPr>
          <w:rFonts w:hint="eastAsia" w:eastAsia="仿宋_GB2312"/>
          <w:sz w:val="28"/>
          <w:szCs w:val="28"/>
        </w:rPr>
        <w:t>日至</w:t>
      </w:r>
      <w:r>
        <w:rPr>
          <w:rFonts w:eastAsia="仿宋_GB2312"/>
          <w:sz w:val="28"/>
          <w:szCs w:val="28"/>
        </w:rPr>
        <w:t>20</w:t>
      </w:r>
      <w:r>
        <w:rPr>
          <w:rFonts w:hint="eastAsia" w:eastAsia="仿宋_GB2312"/>
          <w:sz w:val="28"/>
          <w:szCs w:val="28"/>
        </w:rPr>
        <w:t>2</w:t>
      </w:r>
      <w:r>
        <w:rPr>
          <w:rFonts w:eastAsia="仿宋_GB2312"/>
          <w:sz w:val="28"/>
          <w:szCs w:val="28"/>
        </w:rPr>
        <w:t>3</w:t>
      </w:r>
      <w:r>
        <w:rPr>
          <w:rFonts w:hint="eastAsia" w:eastAsia="仿宋_GB2312"/>
          <w:sz w:val="28"/>
          <w:szCs w:val="28"/>
        </w:rPr>
        <w:t>年</w:t>
      </w:r>
      <w:r>
        <w:rPr>
          <w:rFonts w:eastAsia="仿宋_GB2312"/>
          <w:sz w:val="28"/>
          <w:szCs w:val="28"/>
        </w:rPr>
        <w:t>9</w:t>
      </w:r>
      <w:r>
        <w:rPr>
          <w:rFonts w:hint="eastAsia" w:eastAsia="仿宋_GB2312"/>
          <w:sz w:val="28"/>
          <w:szCs w:val="28"/>
        </w:rPr>
        <w:t>月</w:t>
      </w:r>
      <w:r>
        <w:rPr>
          <w:rFonts w:eastAsia="仿宋_GB2312"/>
          <w:sz w:val="28"/>
          <w:szCs w:val="28"/>
        </w:rPr>
        <w:t>10</w:t>
      </w:r>
      <w:r>
        <w:rPr>
          <w:rFonts w:hint="eastAsia" w:eastAsia="仿宋_GB2312"/>
          <w:sz w:val="28"/>
          <w:szCs w:val="28"/>
        </w:rPr>
        <w:t>日在项目所在地及</w:t>
      </w:r>
      <w:r>
        <w:rPr>
          <w:rFonts w:hint="eastAsia" w:eastAsia="仿宋"/>
          <w:sz w:val="28"/>
          <w:szCs w:val="28"/>
        </w:rPr>
        <w:t>元巷小区</w:t>
      </w:r>
      <w:r>
        <w:rPr>
          <w:rFonts w:hint="eastAsia" w:eastAsia="仿宋_GB2312"/>
          <w:sz w:val="28"/>
          <w:szCs w:val="28"/>
        </w:rPr>
        <w:t>现场实测数据，其中乙酸乙酯连续监测7天，每天4次，瞬时采样，并按规范进行了分析。</w:t>
      </w:r>
    </w:p>
    <w:p>
      <w:pPr>
        <w:spacing w:line="500" w:lineRule="exact"/>
        <w:ind w:firstLine="560" w:firstLineChars="200"/>
        <w:rPr>
          <w:rFonts w:eastAsia="仿宋"/>
          <w:sz w:val="28"/>
          <w:szCs w:val="28"/>
        </w:rPr>
      </w:pPr>
      <w:r>
        <w:rPr>
          <w:rFonts w:hint="eastAsia" w:eastAsia="仿宋"/>
          <w:sz w:val="28"/>
          <w:szCs w:val="28"/>
        </w:rPr>
        <w:t>本次</w:t>
      </w:r>
      <w:r>
        <w:rPr>
          <w:rFonts w:eastAsia="仿宋"/>
          <w:sz w:val="28"/>
          <w:szCs w:val="28"/>
        </w:rPr>
        <w:t>选取的</w:t>
      </w:r>
      <w:r>
        <w:rPr>
          <w:rFonts w:hint="eastAsia" w:eastAsia="仿宋"/>
          <w:sz w:val="28"/>
          <w:szCs w:val="28"/>
        </w:rPr>
        <w:t>元巷小区</w:t>
      </w:r>
      <w:r>
        <w:rPr>
          <w:rFonts w:eastAsia="仿宋"/>
          <w:sz w:val="28"/>
          <w:szCs w:val="28"/>
        </w:rPr>
        <w:t>位于本项目所在</w:t>
      </w:r>
      <w:r>
        <w:rPr>
          <w:rFonts w:hint="eastAsia" w:eastAsia="仿宋"/>
          <w:sz w:val="28"/>
          <w:szCs w:val="28"/>
        </w:rPr>
        <w:t>地5</w:t>
      </w:r>
      <w:r>
        <w:rPr>
          <w:rFonts w:eastAsia="仿宋"/>
          <w:sz w:val="28"/>
          <w:szCs w:val="28"/>
        </w:rPr>
        <w:t>km范围内，</w:t>
      </w:r>
      <w:r>
        <w:rPr>
          <w:rFonts w:hint="eastAsia" w:eastAsia="仿宋"/>
          <w:sz w:val="28"/>
          <w:szCs w:val="28"/>
        </w:rPr>
        <w:t>且</w:t>
      </w:r>
      <w:r>
        <w:rPr>
          <w:rFonts w:eastAsia="仿宋"/>
          <w:sz w:val="28"/>
          <w:szCs w:val="28"/>
        </w:rPr>
        <w:t>连续</w:t>
      </w:r>
      <w:r>
        <w:rPr>
          <w:rFonts w:hint="eastAsia" w:eastAsia="仿宋"/>
          <w:sz w:val="28"/>
          <w:szCs w:val="28"/>
        </w:rPr>
        <w:t>监测7天，</w:t>
      </w:r>
      <w:r>
        <w:rPr>
          <w:rFonts w:eastAsia="仿宋"/>
          <w:sz w:val="28"/>
          <w:szCs w:val="28"/>
        </w:rPr>
        <w:t>因此满足</w:t>
      </w:r>
      <w:r>
        <w:rPr>
          <w:rFonts w:hint="eastAsia" w:eastAsia="仿宋"/>
          <w:sz w:val="28"/>
          <w:szCs w:val="28"/>
        </w:rPr>
        <w:t>《环境</w:t>
      </w:r>
      <w:r>
        <w:rPr>
          <w:rFonts w:eastAsia="仿宋"/>
          <w:sz w:val="28"/>
          <w:szCs w:val="28"/>
        </w:rPr>
        <w:t>影响评价技术导则</w:t>
      </w:r>
      <w:r>
        <w:rPr>
          <w:rFonts w:hint="eastAsia" w:eastAsia="仿宋"/>
          <w:sz w:val="28"/>
          <w:szCs w:val="28"/>
        </w:rPr>
        <w:t xml:space="preserve"> 大气</w:t>
      </w:r>
      <w:r>
        <w:rPr>
          <w:rFonts w:eastAsia="仿宋"/>
          <w:sz w:val="28"/>
          <w:szCs w:val="28"/>
        </w:rPr>
        <w:t>环境</w:t>
      </w:r>
      <w:r>
        <w:rPr>
          <w:rFonts w:hint="eastAsia" w:eastAsia="仿宋"/>
          <w:sz w:val="28"/>
          <w:szCs w:val="28"/>
        </w:rPr>
        <w:t>》HJ2.2-2018中</w:t>
      </w:r>
      <w:r>
        <w:rPr>
          <w:rFonts w:eastAsia="仿宋"/>
          <w:sz w:val="28"/>
          <w:szCs w:val="28"/>
        </w:rPr>
        <w:t>的要求。</w:t>
      </w:r>
    </w:p>
    <w:p>
      <w:pPr>
        <w:pStyle w:val="365"/>
        <w:numPr>
          <w:ilvl w:val="0"/>
          <w:numId w:val="13"/>
        </w:numPr>
        <w:spacing w:line="500" w:lineRule="exact"/>
        <w:ind w:firstLineChars="0"/>
        <w:rPr>
          <w:rFonts w:eastAsia="仿宋_GB2312"/>
          <w:bCs/>
          <w:sz w:val="28"/>
          <w:szCs w:val="28"/>
        </w:rPr>
      </w:pPr>
      <w:r>
        <w:rPr>
          <w:rFonts w:eastAsia="仿宋_GB2312"/>
          <w:bCs/>
          <w:sz w:val="28"/>
          <w:szCs w:val="28"/>
        </w:rPr>
        <w:t>污染物监测点位基本信息</w:t>
      </w:r>
    </w:p>
    <w:p>
      <w:pPr>
        <w:spacing w:line="500" w:lineRule="exact"/>
        <w:ind w:firstLine="560" w:firstLineChars="200"/>
        <w:rPr>
          <w:rFonts w:eastAsia="仿宋_GB2312"/>
          <w:sz w:val="28"/>
          <w:szCs w:val="28"/>
        </w:rPr>
      </w:pPr>
      <w:r>
        <w:rPr>
          <w:rFonts w:hint="eastAsia" w:eastAsia="仿宋_GB2312"/>
          <w:sz w:val="28"/>
          <w:szCs w:val="28"/>
        </w:rPr>
        <w:t>根据建设项目所处位置，大气监测点位及监测因子见表4.2-</w:t>
      </w:r>
      <w:r>
        <w:rPr>
          <w:rFonts w:eastAsia="仿宋_GB2312"/>
          <w:sz w:val="28"/>
          <w:szCs w:val="28"/>
        </w:rPr>
        <w:t>2</w:t>
      </w:r>
      <w:r>
        <w:rPr>
          <w:rFonts w:hint="eastAsia" w:eastAsia="仿宋_GB2312"/>
          <w:sz w:val="28"/>
          <w:szCs w:val="28"/>
        </w:rPr>
        <w:t>。</w:t>
      </w:r>
    </w:p>
    <w:p>
      <w:pPr>
        <w:spacing w:line="500" w:lineRule="exact"/>
        <w:ind w:firstLine="482" w:firstLineChars="200"/>
        <w:jc w:val="center"/>
        <w:rPr>
          <w:rFonts w:eastAsia="仿宋_GB2312"/>
          <w:b/>
          <w:sz w:val="24"/>
        </w:rPr>
      </w:pPr>
      <w:r>
        <w:rPr>
          <w:rFonts w:eastAsia="仿宋_GB2312"/>
          <w:b/>
          <w:sz w:val="24"/>
        </w:rPr>
        <w:t>表4.2-2  大气监测点位表</w:t>
      </w:r>
    </w:p>
    <w:tbl>
      <w:tblPr>
        <w:tblStyle w:val="87"/>
        <w:tblW w:w="92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4"/>
        <w:gridCol w:w="1149"/>
        <w:gridCol w:w="1560"/>
        <w:gridCol w:w="2504"/>
        <w:gridCol w:w="850"/>
        <w:gridCol w:w="992"/>
        <w:gridCol w:w="1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编号</w:t>
            </w:r>
          </w:p>
        </w:tc>
        <w:tc>
          <w:tcPr>
            <w:tcW w:w="1149"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位置</w:t>
            </w:r>
          </w:p>
        </w:tc>
        <w:tc>
          <w:tcPr>
            <w:tcW w:w="1560"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监测因子</w:t>
            </w:r>
          </w:p>
        </w:tc>
        <w:tc>
          <w:tcPr>
            <w:tcW w:w="2504"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监测时间及数据来源</w:t>
            </w:r>
          </w:p>
        </w:tc>
        <w:tc>
          <w:tcPr>
            <w:tcW w:w="850"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相对厂址方位</w:t>
            </w:r>
          </w:p>
        </w:tc>
        <w:tc>
          <w:tcPr>
            <w:tcW w:w="992"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相对厂界距离（m）</w:t>
            </w:r>
          </w:p>
        </w:tc>
        <w:tc>
          <w:tcPr>
            <w:tcW w:w="1647"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0" w:type="auto"/>
            <w:vMerge w:val="restart"/>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G1</w:t>
            </w:r>
          </w:p>
        </w:tc>
        <w:tc>
          <w:tcPr>
            <w:tcW w:w="1149" w:type="dxa"/>
            <w:vMerge w:val="restart"/>
            <w:tcBorders>
              <w:tl2br w:val="nil"/>
              <w:tr2bl w:val="nil"/>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项目</w:t>
            </w:r>
            <w:r>
              <w:rPr>
                <w:rFonts w:ascii="仿宋" w:hAnsi="仿宋" w:eastAsia="仿宋" w:cs="仿宋"/>
                <w:bCs/>
                <w:szCs w:val="21"/>
              </w:rPr>
              <w:t>所在地</w:t>
            </w:r>
          </w:p>
        </w:tc>
        <w:tc>
          <w:tcPr>
            <w:tcW w:w="1560" w:type="dxa"/>
            <w:tcBorders>
              <w:tl2br w:val="nil"/>
              <w:tr2bl w:val="nil"/>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非甲烷总烃、二甲苯</w:t>
            </w:r>
          </w:p>
        </w:tc>
        <w:tc>
          <w:tcPr>
            <w:tcW w:w="2504" w:type="dxa"/>
            <w:tcBorders>
              <w:tl2br w:val="nil"/>
              <w:tr2bl w:val="nil"/>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实测</w:t>
            </w:r>
            <w:r>
              <w:rPr>
                <w:rFonts w:ascii="仿宋" w:hAnsi="仿宋" w:eastAsia="仿宋" w:cs="仿宋"/>
                <w:bCs/>
                <w:szCs w:val="21"/>
              </w:rPr>
              <w:t>报告：</w:t>
            </w:r>
            <w:r>
              <w:rPr>
                <w:rFonts w:hint="eastAsia" w:ascii="仿宋" w:hAnsi="仿宋" w:eastAsia="仿宋" w:cs="仿宋"/>
                <w:bCs/>
                <w:szCs w:val="21"/>
              </w:rPr>
              <w:t>江苏科发检测技术有限公司，2023.5.30~2023.6.5</w:t>
            </w:r>
          </w:p>
        </w:tc>
        <w:tc>
          <w:tcPr>
            <w:tcW w:w="850" w:type="dxa"/>
            <w:vMerge w:val="restart"/>
            <w:tcBorders>
              <w:tl2br w:val="nil"/>
              <w:tr2bl w:val="nil"/>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w:t>
            </w:r>
          </w:p>
        </w:tc>
        <w:tc>
          <w:tcPr>
            <w:tcW w:w="992" w:type="dxa"/>
            <w:vMerge w:val="restart"/>
            <w:tcBorders>
              <w:tl2br w:val="nil"/>
              <w:tr2bl w:val="nil"/>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w:t>
            </w:r>
          </w:p>
        </w:tc>
        <w:tc>
          <w:tcPr>
            <w:tcW w:w="1647" w:type="dxa"/>
            <w:vMerge w:val="restart"/>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连续监测7天，每天4次，</w:t>
            </w:r>
            <w:r>
              <w:rPr>
                <w:rFonts w:hint="eastAsia" w:ascii="仿宋" w:hAnsi="仿宋" w:eastAsia="仿宋" w:cs="仿宋"/>
                <w:bCs/>
                <w:szCs w:val="21"/>
              </w:rPr>
              <w:t>非甲烷总烃、二甲苯</w:t>
            </w:r>
            <w:r>
              <w:rPr>
                <w:rFonts w:ascii="仿宋" w:hAnsi="仿宋" w:eastAsia="仿宋" w:cs="仿宋"/>
                <w:bCs/>
                <w:szCs w:val="21"/>
              </w:rPr>
              <w:t>每次采样时间不少于45min</w:t>
            </w:r>
            <w:r>
              <w:rPr>
                <w:rFonts w:hint="eastAsia" w:ascii="仿宋" w:hAnsi="仿宋" w:eastAsia="仿宋" w:cs="仿宋"/>
                <w:bCs/>
                <w:szCs w:val="21"/>
              </w:rPr>
              <w:t>，乙酸乙酯为瞬时采样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0" w:type="auto"/>
            <w:vMerge w:val="continue"/>
            <w:tcBorders>
              <w:tl2br w:val="nil"/>
              <w:tr2bl w:val="nil"/>
            </w:tcBorders>
            <w:vAlign w:val="center"/>
          </w:tcPr>
          <w:p>
            <w:pPr>
              <w:spacing w:line="240" w:lineRule="exact"/>
              <w:jc w:val="center"/>
              <w:rPr>
                <w:rFonts w:ascii="仿宋" w:hAnsi="仿宋" w:eastAsia="仿宋" w:cs="仿宋"/>
                <w:bCs/>
                <w:szCs w:val="21"/>
              </w:rPr>
            </w:pPr>
          </w:p>
        </w:tc>
        <w:tc>
          <w:tcPr>
            <w:tcW w:w="1149" w:type="dxa"/>
            <w:vMerge w:val="continue"/>
            <w:tcBorders>
              <w:tl2br w:val="nil"/>
              <w:tr2bl w:val="nil"/>
            </w:tcBorders>
            <w:vAlign w:val="center"/>
          </w:tcPr>
          <w:p>
            <w:pPr>
              <w:spacing w:line="240" w:lineRule="exact"/>
              <w:jc w:val="center"/>
              <w:rPr>
                <w:rFonts w:ascii="仿宋" w:hAnsi="仿宋" w:eastAsia="仿宋" w:cs="仿宋"/>
                <w:bCs/>
                <w:szCs w:val="21"/>
              </w:rPr>
            </w:pPr>
          </w:p>
        </w:tc>
        <w:tc>
          <w:tcPr>
            <w:tcW w:w="1560" w:type="dxa"/>
            <w:tcBorders>
              <w:tl2br w:val="nil"/>
              <w:tr2bl w:val="nil"/>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乙酸乙酯</w:t>
            </w:r>
          </w:p>
        </w:tc>
        <w:tc>
          <w:tcPr>
            <w:tcW w:w="2504" w:type="dxa"/>
            <w:tcBorders>
              <w:tl2br w:val="nil"/>
              <w:tr2bl w:val="nil"/>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实测</w:t>
            </w:r>
            <w:r>
              <w:rPr>
                <w:rFonts w:ascii="仿宋" w:hAnsi="仿宋" w:eastAsia="仿宋" w:cs="仿宋"/>
                <w:bCs/>
                <w:szCs w:val="21"/>
              </w:rPr>
              <w:t>报告：</w:t>
            </w:r>
            <w:r>
              <w:rPr>
                <w:rFonts w:hint="eastAsia" w:ascii="仿宋" w:hAnsi="仿宋" w:eastAsia="仿宋" w:cs="仿宋"/>
                <w:bCs/>
                <w:szCs w:val="21"/>
              </w:rPr>
              <w:t>江苏康达检测技术股份有限公司，202</w:t>
            </w:r>
            <w:r>
              <w:rPr>
                <w:rFonts w:ascii="仿宋" w:hAnsi="仿宋" w:eastAsia="仿宋" w:cs="仿宋"/>
                <w:bCs/>
                <w:szCs w:val="21"/>
              </w:rPr>
              <w:t>3</w:t>
            </w:r>
            <w:r>
              <w:rPr>
                <w:rFonts w:hint="eastAsia" w:ascii="仿宋" w:hAnsi="仿宋" w:eastAsia="仿宋" w:cs="仿宋"/>
                <w:bCs/>
                <w:szCs w:val="21"/>
              </w:rPr>
              <w:t>.</w:t>
            </w:r>
            <w:r>
              <w:rPr>
                <w:rFonts w:ascii="仿宋" w:hAnsi="仿宋" w:eastAsia="仿宋" w:cs="仿宋"/>
                <w:bCs/>
                <w:szCs w:val="21"/>
              </w:rPr>
              <w:t>9</w:t>
            </w:r>
            <w:r>
              <w:rPr>
                <w:rFonts w:hint="eastAsia" w:ascii="仿宋" w:hAnsi="仿宋" w:eastAsia="仿宋" w:cs="仿宋"/>
                <w:bCs/>
                <w:szCs w:val="21"/>
              </w:rPr>
              <w:t>.</w:t>
            </w:r>
            <w:r>
              <w:rPr>
                <w:rFonts w:ascii="仿宋" w:hAnsi="仿宋" w:eastAsia="仿宋" w:cs="仿宋"/>
                <w:bCs/>
                <w:szCs w:val="21"/>
              </w:rPr>
              <w:t>4</w:t>
            </w:r>
            <w:r>
              <w:rPr>
                <w:rFonts w:hint="eastAsia" w:ascii="仿宋" w:hAnsi="仿宋" w:eastAsia="仿宋" w:cs="仿宋"/>
                <w:bCs/>
                <w:szCs w:val="21"/>
              </w:rPr>
              <w:t>~202</w:t>
            </w:r>
            <w:r>
              <w:rPr>
                <w:rFonts w:ascii="仿宋" w:hAnsi="仿宋" w:eastAsia="仿宋" w:cs="仿宋"/>
                <w:bCs/>
                <w:szCs w:val="21"/>
              </w:rPr>
              <w:t>3</w:t>
            </w:r>
            <w:r>
              <w:rPr>
                <w:rFonts w:hint="eastAsia" w:ascii="仿宋" w:hAnsi="仿宋" w:eastAsia="仿宋" w:cs="仿宋"/>
                <w:bCs/>
                <w:szCs w:val="21"/>
              </w:rPr>
              <w:t>.</w:t>
            </w:r>
            <w:r>
              <w:rPr>
                <w:rFonts w:ascii="仿宋" w:hAnsi="仿宋" w:eastAsia="仿宋" w:cs="仿宋"/>
                <w:bCs/>
                <w:szCs w:val="21"/>
              </w:rPr>
              <w:t>9</w:t>
            </w:r>
            <w:r>
              <w:rPr>
                <w:rFonts w:hint="eastAsia" w:ascii="仿宋" w:hAnsi="仿宋" w:eastAsia="仿宋" w:cs="仿宋"/>
                <w:bCs/>
                <w:szCs w:val="21"/>
              </w:rPr>
              <w:t>.</w:t>
            </w:r>
            <w:r>
              <w:rPr>
                <w:rFonts w:ascii="仿宋" w:hAnsi="仿宋" w:eastAsia="仿宋" w:cs="仿宋"/>
                <w:bCs/>
                <w:szCs w:val="21"/>
              </w:rPr>
              <w:t>10</w:t>
            </w:r>
          </w:p>
        </w:tc>
        <w:tc>
          <w:tcPr>
            <w:tcW w:w="850" w:type="dxa"/>
            <w:vMerge w:val="continue"/>
            <w:tcBorders>
              <w:tl2br w:val="nil"/>
              <w:tr2bl w:val="nil"/>
            </w:tcBorders>
            <w:vAlign w:val="center"/>
          </w:tcPr>
          <w:p>
            <w:pPr>
              <w:spacing w:line="240" w:lineRule="exact"/>
              <w:jc w:val="center"/>
              <w:rPr>
                <w:rFonts w:ascii="仿宋" w:hAnsi="仿宋" w:eastAsia="仿宋" w:cs="仿宋"/>
                <w:bCs/>
                <w:szCs w:val="21"/>
              </w:rPr>
            </w:pPr>
          </w:p>
        </w:tc>
        <w:tc>
          <w:tcPr>
            <w:tcW w:w="992" w:type="dxa"/>
            <w:vMerge w:val="continue"/>
            <w:tcBorders>
              <w:tl2br w:val="nil"/>
              <w:tr2bl w:val="nil"/>
            </w:tcBorders>
            <w:vAlign w:val="center"/>
          </w:tcPr>
          <w:p>
            <w:pPr>
              <w:spacing w:line="240" w:lineRule="exact"/>
              <w:jc w:val="center"/>
              <w:rPr>
                <w:rFonts w:ascii="仿宋" w:hAnsi="仿宋" w:eastAsia="仿宋" w:cs="仿宋"/>
                <w:bCs/>
                <w:szCs w:val="21"/>
              </w:rPr>
            </w:pPr>
          </w:p>
        </w:tc>
        <w:tc>
          <w:tcPr>
            <w:tcW w:w="1647" w:type="dxa"/>
            <w:vMerge w:val="continue"/>
            <w:tcBorders>
              <w:tl2br w:val="nil"/>
              <w:tr2bl w:val="nil"/>
            </w:tcBorders>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0" w:type="auto"/>
            <w:vMerge w:val="restart"/>
            <w:tcBorders>
              <w:tl2br w:val="nil"/>
              <w:tr2bl w:val="nil"/>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G2</w:t>
            </w:r>
          </w:p>
        </w:tc>
        <w:tc>
          <w:tcPr>
            <w:tcW w:w="1149" w:type="dxa"/>
            <w:vMerge w:val="restart"/>
            <w:tcBorders>
              <w:tl2br w:val="nil"/>
              <w:tr2bl w:val="nil"/>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元巷小区</w:t>
            </w:r>
          </w:p>
        </w:tc>
        <w:tc>
          <w:tcPr>
            <w:tcW w:w="1560" w:type="dxa"/>
            <w:tcBorders>
              <w:tl2br w:val="nil"/>
              <w:tr2bl w:val="nil"/>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非甲烷总烃、二甲苯</w:t>
            </w:r>
          </w:p>
        </w:tc>
        <w:tc>
          <w:tcPr>
            <w:tcW w:w="2504" w:type="dxa"/>
            <w:tcBorders>
              <w:tl2br w:val="nil"/>
              <w:tr2bl w:val="nil"/>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实测</w:t>
            </w:r>
            <w:r>
              <w:rPr>
                <w:rFonts w:ascii="仿宋" w:hAnsi="仿宋" w:eastAsia="仿宋" w:cs="仿宋"/>
                <w:bCs/>
                <w:szCs w:val="21"/>
              </w:rPr>
              <w:t>报告：</w:t>
            </w:r>
            <w:r>
              <w:rPr>
                <w:rFonts w:hint="eastAsia" w:ascii="仿宋" w:hAnsi="仿宋" w:eastAsia="仿宋" w:cs="仿宋"/>
                <w:bCs/>
                <w:szCs w:val="21"/>
              </w:rPr>
              <w:t>江苏科发检测技术有限公司，2023.5.30~2023.6.5</w:t>
            </w:r>
          </w:p>
        </w:tc>
        <w:tc>
          <w:tcPr>
            <w:tcW w:w="850" w:type="dxa"/>
            <w:vMerge w:val="restart"/>
            <w:tcBorders>
              <w:tl2br w:val="nil"/>
              <w:tr2bl w:val="nil"/>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西南</w:t>
            </w:r>
          </w:p>
        </w:tc>
        <w:tc>
          <w:tcPr>
            <w:tcW w:w="992" w:type="dxa"/>
            <w:vMerge w:val="restart"/>
            <w:tcBorders>
              <w:tl2br w:val="nil"/>
              <w:tr2bl w:val="nil"/>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280</w:t>
            </w:r>
          </w:p>
        </w:tc>
        <w:tc>
          <w:tcPr>
            <w:tcW w:w="1647" w:type="dxa"/>
            <w:vMerge w:val="continue"/>
            <w:tcBorders>
              <w:tl2br w:val="nil"/>
              <w:tr2bl w:val="nil"/>
            </w:tcBorders>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0" w:type="auto"/>
            <w:vMerge w:val="continue"/>
            <w:tcBorders>
              <w:tl2br w:val="nil"/>
              <w:tr2bl w:val="nil"/>
            </w:tcBorders>
            <w:vAlign w:val="center"/>
          </w:tcPr>
          <w:p>
            <w:pPr>
              <w:spacing w:line="240" w:lineRule="exact"/>
              <w:jc w:val="center"/>
              <w:rPr>
                <w:rFonts w:ascii="仿宋" w:hAnsi="仿宋" w:eastAsia="仿宋" w:cs="仿宋"/>
                <w:bCs/>
                <w:szCs w:val="21"/>
              </w:rPr>
            </w:pPr>
          </w:p>
        </w:tc>
        <w:tc>
          <w:tcPr>
            <w:tcW w:w="1149" w:type="dxa"/>
            <w:vMerge w:val="continue"/>
            <w:tcBorders>
              <w:tl2br w:val="nil"/>
              <w:tr2bl w:val="nil"/>
            </w:tcBorders>
            <w:vAlign w:val="center"/>
          </w:tcPr>
          <w:p>
            <w:pPr>
              <w:spacing w:line="240" w:lineRule="exact"/>
              <w:jc w:val="center"/>
              <w:rPr>
                <w:rFonts w:ascii="仿宋" w:hAnsi="仿宋" w:eastAsia="仿宋" w:cs="仿宋"/>
                <w:bCs/>
                <w:szCs w:val="21"/>
              </w:rPr>
            </w:pPr>
          </w:p>
        </w:tc>
        <w:tc>
          <w:tcPr>
            <w:tcW w:w="1560" w:type="dxa"/>
            <w:tcBorders>
              <w:tl2br w:val="nil"/>
              <w:tr2bl w:val="nil"/>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乙酸乙酯</w:t>
            </w:r>
          </w:p>
        </w:tc>
        <w:tc>
          <w:tcPr>
            <w:tcW w:w="2504" w:type="dxa"/>
            <w:tcBorders>
              <w:tl2br w:val="nil"/>
              <w:tr2bl w:val="nil"/>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实测</w:t>
            </w:r>
            <w:r>
              <w:rPr>
                <w:rFonts w:ascii="仿宋" w:hAnsi="仿宋" w:eastAsia="仿宋" w:cs="仿宋"/>
                <w:bCs/>
                <w:szCs w:val="21"/>
              </w:rPr>
              <w:t>报告：</w:t>
            </w:r>
            <w:r>
              <w:rPr>
                <w:rFonts w:hint="eastAsia" w:ascii="仿宋" w:hAnsi="仿宋" w:eastAsia="仿宋" w:cs="仿宋"/>
                <w:bCs/>
                <w:szCs w:val="21"/>
              </w:rPr>
              <w:t>江苏康达检测技术股份有限公司，202</w:t>
            </w:r>
            <w:r>
              <w:rPr>
                <w:rFonts w:ascii="仿宋" w:hAnsi="仿宋" w:eastAsia="仿宋" w:cs="仿宋"/>
                <w:bCs/>
                <w:szCs w:val="21"/>
              </w:rPr>
              <w:t>3</w:t>
            </w:r>
            <w:r>
              <w:rPr>
                <w:rFonts w:hint="eastAsia" w:ascii="仿宋" w:hAnsi="仿宋" w:eastAsia="仿宋" w:cs="仿宋"/>
                <w:bCs/>
                <w:szCs w:val="21"/>
              </w:rPr>
              <w:t>.</w:t>
            </w:r>
            <w:r>
              <w:rPr>
                <w:rFonts w:ascii="仿宋" w:hAnsi="仿宋" w:eastAsia="仿宋" w:cs="仿宋"/>
                <w:bCs/>
                <w:szCs w:val="21"/>
              </w:rPr>
              <w:t>9</w:t>
            </w:r>
            <w:r>
              <w:rPr>
                <w:rFonts w:hint="eastAsia" w:ascii="仿宋" w:hAnsi="仿宋" w:eastAsia="仿宋" w:cs="仿宋"/>
                <w:bCs/>
                <w:szCs w:val="21"/>
              </w:rPr>
              <w:t>.</w:t>
            </w:r>
            <w:r>
              <w:rPr>
                <w:rFonts w:ascii="仿宋" w:hAnsi="仿宋" w:eastAsia="仿宋" w:cs="仿宋"/>
                <w:bCs/>
                <w:szCs w:val="21"/>
              </w:rPr>
              <w:t>4</w:t>
            </w:r>
            <w:r>
              <w:rPr>
                <w:rFonts w:hint="eastAsia" w:ascii="仿宋" w:hAnsi="仿宋" w:eastAsia="仿宋" w:cs="仿宋"/>
                <w:bCs/>
                <w:szCs w:val="21"/>
              </w:rPr>
              <w:t>~202</w:t>
            </w:r>
            <w:r>
              <w:rPr>
                <w:rFonts w:ascii="仿宋" w:hAnsi="仿宋" w:eastAsia="仿宋" w:cs="仿宋"/>
                <w:bCs/>
                <w:szCs w:val="21"/>
              </w:rPr>
              <w:t>3</w:t>
            </w:r>
            <w:r>
              <w:rPr>
                <w:rFonts w:hint="eastAsia" w:ascii="仿宋" w:hAnsi="仿宋" w:eastAsia="仿宋" w:cs="仿宋"/>
                <w:bCs/>
                <w:szCs w:val="21"/>
              </w:rPr>
              <w:t>.</w:t>
            </w:r>
            <w:r>
              <w:rPr>
                <w:rFonts w:ascii="仿宋" w:hAnsi="仿宋" w:eastAsia="仿宋" w:cs="仿宋"/>
                <w:bCs/>
                <w:szCs w:val="21"/>
              </w:rPr>
              <w:t>9</w:t>
            </w:r>
            <w:r>
              <w:rPr>
                <w:rFonts w:hint="eastAsia" w:ascii="仿宋" w:hAnsi="仿宋" w:eastAsia="仿宋" w:cs="仿宋"/>
                <w:bCs/>
                <w:szCs w:val="21"/>
              </w:rPr>
              <w:t>.</w:t>
            </w:r>
            <w:r>
              <w:rPr>
                <w:rFonts w:ascii="仿宋" w:hAnsi="仿宋" w:eastAsia="仿宋" w:cs="仿宋"/>
                <w:bCs/>
                <w:szCs w:val="21"/>
              </w:rPr>
              <w:t>10</w:t>
            </w:r>
          </w:p>
        </w:tc>
        <w:tc>
          <w:tcPr>
            <w:tcW w:w="850" w:type="dxa"/>
            <w:vMerge w:val="continue"/>
            <w:tcBorders>
              <w:tl2br w:val="nil"/>
              <w:tr2bl w:val="nil"/>
            </w:tcBorders>
            <w:vAlign w:val="center"/>
          </w:tcPr>
          <w:p>
            <w:pPr>
              <w:spacing w:line="240" w:lineRule="exact"/>
              <w:jc w:val="center"/>
              <w:rPr>
                <w:rFonts w:ascii="仿宋" w:hAnsi="仿宋" w:eastAsia="仿宋" w:cs="仿宋"/>
                <w:bCs/>
                <w:szCs w:val="21"/>
              </w:rPr>
            </w:pPr>
          </w:p>
        </w:tc>
        <w:tc>
          <w:tcPr>
            <w:tcW w:w="992" w:type="dxa"/>
            <w:vMerge w:val="continue"/>
            <w:tcBorders>
              <w:tl2br w:val="nil"/>
              <w:tr2bl w:val="nil"/>
            </w:tcBorders>
            <w:vAlign w:val="center"/>
          </w:tcPr>
          <w:p>
            <w:pPr>
              <w:spacing w:line="240" w:lineRule="exact"/>
              <w:jc w:val="center"/>
              <w:rPr>
                <w:rFonts w:ascii="仿宋" w:hAnsi="仿宋" w:eastAsia="仿宋" w:cs="仿宋"/>
                <w:bCs/>
                <w:szCs w:val="21"/>
              </w:rPr>
            </w:pPr>
          </w:p>
        </w:tc>
        <w:tc>
          <w:tcPr>
            <w:tcW w:w="1647" w:type="dxa"/>
            <w:vMerge w:val="continue"/>
            <w:tcBorders>
              <w:tl2br w:val="nil"/>
              <w:tr2bl w:val="nil"/>
            </w:tcBorders>
            <w:vAlign w:val="center"/>
          </w:tcPr>
          <w:p>
            <w:pPr>
              <w:spacing w:line="240" w:lineRule="exact"/>
              <w:jc w:val="center"/>
              <w:rPr>
                <w:rFonts w:ascii="仿宋" w:hAnsi="仿宋" w:eastAsia="仿宋" w:cs="仿宋"/>
                <w:bCs/>
                <w:szCs w:val="21"/>
              </w:rPr>
            </w:pPr>
          </w:p>
        </w:tc>
      </w:tr>
    </w:tbl>
    <w:p>
      <w:pPr>
        <w:spacing w:line="500" w:lineRule="exact"/>
        <w:ind w:firstLine="560" w:firstLineChars="200"/>
        <w:rPr>
          <w:rFonts w:eastAsia="仿宋_GB2312"/>
          <w:sz w:val="28"/>
          <w:szCs w:val="28"/>
        </w:rPr>
      </w:pPr>
      <w:r>
        <w:rPr>
          <w:rFonts w:eastAsia="仿宋_GB2312"/>
          <w:sz w:val="28"/>
          <w:szCs w:val="28"/>
        </w:rPr>
        <w:t>（2）监测频次</w:t>
      </w:r>
    </w:p>
    <w:p>
      <w:pPr>
        <w:spacing w:line="500" w:lineRule="exact"/>
        <w:ind w:firstLine="560" w:firstLineChars="200"/>
        <w:rPr>
          <w:rFonts w:eastAsia="仿宋_GB2312"/>
          <w:sz w:val="28"/>
          <w:szCs w:val="28"/>
        </w:rPr>
      </w:pPr>
      <w:r>
        <w:rPr>
          <w:rFonts w:hint="eastAsia" w:eastAsia="仿宋_GB2312"/>
          <w:sz w:val="28"/>
          <w:szCs w:val="28"/>
        </w:rPr>
        <w:t>非甲烷总烃、二</w:t>
      </w:r>
      <w:r>
        <w:rPr>
          <w:rFonts w:eastAsia="仿宋_GB2312"/>
          <w:sz w:val="28"/>
          <w:szCs w:val="28"/>
        </w:rPr>
        <w:t>甲苯</w:t>
      </w:r>
      <w:r>
        <w:rPr>
          <w:rFonts w:hint="eastAsia" w:eastAsia="仿宋_GB2312"/>
          <w:sz w:val="28"/>
          <w:szCs w:val="28"/>
        </w:rPr>
        <w:t>、乙酸乙酯连续监测7天，每天4次，非甲烷总烃、二甲苯</w:t>
      </w:r>
      <w:r>
        <w:rPr>
          <w:rFonts w:eastAsia="仿宋_GB2312"/>
          <w:sz w:val="28"/>
          <w:szCs w:val="28"/>
        </w:rPr>
        <w:t>每次采样时间不少于45min</w:t>
      </w:r>
      <w:r>
        <w:rPr>
          <w:rFonts w:hint="eastAsia" w:eastAsia="仿宋_GB2312"/>
          <w:sz w:val="28"/>
          <w:szCs w:val="28"/>
        </w:rPr>
        <w:t>，乙酸乙酯为瞬时采样。</w:t>
      </w:r>
    </w:p>
    <w:p>
      <w:pPr>
        <w:spacing w:line="500" w:lineRule="exact"/>
        <w:ind w:firstLine="560" w:firstLineChars="200"/>
        <w:rPr>
          <w:rFonts w:eastAsia="仿宋_GB2312"/>
          <w:sz w:val="28"/>
          <w:szCs w:val="28"/>
        </w:rPr>
      </w:pPr>
      <w:r>
        <w:rPr>
          <w:rFonts w:eastAsia="仿宋_GB2312"/>
          <w:sz w:val="28"/>
          <w:szCs w:val="28"/>
        </w:rPr>
        <w:t>（3）采样及分析方法</w:t>
      </w:r>
    </w:p>
    <w:p>
      <w:pPr>
        <w:spacing w:line="500" w:lineRule="exact"/>
        <w:ind w:firstLine="560" w:firstLineChars="200"/>
        <w:rPr>
          <w:rFonts w:eastAsia="仿宋_GB2312"/>
          <w:sz w:val="28"/>
          <w:szCs w:val="28"/>
        </w:rPr>
      </w:pPr>
      <w:r>
        <w:rPr>
          <w:rFonts w:eastAsia="仿宋_GB2312"/>
          <w:sz w:val="28"/>
          <w:szCs w:val="28"/>
        </w:rPr>
        <w:t>采样和分析方法按照国家环保局颁发的《环境监测技术规范》和《空气和废气监测分析方法》的有关规定和要求进行</w:t>
      </w:r>
      <w:r>
        <w:rPr>
          <w:rFonts w:hint="eastAsia" w:eastAsia="仿宋_GB2312"/>
          <w:sz w:val="28"/>
          <w:szCs w:val="28"/>
        </w:rPr>
        <w:t>，在监测的同时同步观测风向、风速、气温、气压等气象要素</w:t>
      </w:r>
      <w:r>
        <w:rPr>
          <w:rFonts w:eastAsia="仿宋_GB2312"/>
          <w:sz w:val="28"/>
          <w:szCs w:val="28"/>
        </w:rPr>
        <w:t>。</w:t>
      </w:r>
    </w:p>
    <w:p>
      <w:pPr>
        <w:spacing w:line="500" w:lineRule="exact"/>
        <w:ind w:firstLine="560" w:firstLineChars="200"/>
        <w:rPr>
          <w:rFonts w:eastAsia="仿宋_GB2312"/>
          <w:sz w:val="28"/>
          <w:szCs w:val="28"/>
        </w:rPr>
      </w:pPr>
      <w:r>
        <w:rPr>
          <w:rFonts w:eastAsia="仿宋_GB2312"/>
          <w:sz w:val="28"/>
          <w:szCs w:val="28"/>
        </w:rPr>
        <w:t>（4）监测结果</w:t>
      </w:r>
      <w:r>
        <w:rPr>
          <w:rFonts w:eastAsia="仿宋_GB2312"/>
          <w:sz w:val="28"/>
          <w:szCs w:val="28"/>
        </w:rPr>
        <w:tab/>
      </w:r>
    </w:p>
    <w:p>
      <w:pPr>
        <w:spacing w:line="500" w:lineRule="exact"/>
        <w:ind w:firstLine="560" w:firstLineChars="200"/>
        <w:rPr>
          <w:rFonts w:eastAsia="仿宋_GB2312"/>
          <w:sz w:val="28"/>
          <w:szCs w:val="28"/>
        </w:rPr>
      </w:pPr>
      <w:r>
        <w:rPr>
          <w:rFonts w:eastAsia="仿宋_GB2312"/>
          <w:sz w:val="28"/>
          <w:szCs w:val="28"/>
        </w:rPr>
        <w:t>监测结果见下表。</w:t>
      </w:r>
    </w:p>
    <w:p>
      <w:pPr>
        <w:spacing w:line="500" w:lineRule="exact"/>
        <w:ind w:firstLine="482" w:firstLineChars="200"/>
        <w:jc w:val="center"/>
        <w:rPr>
          <w:rFonts w:eastAsia="仿宋_GB2312"/>
          <w:b/>
          <w:sz w:val="24"/>
        </w:rPr>
      </w:pPr>
      <w:r>
        <w:rPr>
          <w:rFonts w:eastAsia="仿宋_GB2312"/>
          <w:b/>
          <w:sz w:val="24"/>
        </w:rPr>
        <w:t>表4.2-</w:t>
      </w:r>
      <w:r>
        <w:rPr>
          <w:rFonts w:hint="eastAsia" w:eastAsia="仿宋_GB2312"/>
          <w:b/>
          <w:sz w:val="24"/>
        </w:rPr>
        <w:t>3</w:t>
      </w:r>
      <w:r>
        <w:rPr>
          <w:rFonts w:eastAsia="仿宋_GB2312"/>
          <w:b/>
          <w:sz w:val="24"/>
        </w:rPr>
        <w:t xml:space="preserve">   评价区域大气环境质量现状监测结果</w:t>
      </w:r>
    </w:p>
    <w:tbl>
      <w:tblPr>
        <w:tblStyle w:val="87"/>
        <w:tblW w:w="501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89"/>
        <w:gridCol w:w="2256"/>
        <w:gridCol w:w="2256"/>
        <w:gridCol w:w="1410"/>
        <w:gridCol w:w="14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1685" w:type="dxa"/>
            <w:vMerge w:val="restar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ascii="仿宋" w:hAnsi="仿宋" w:eastAsia="仿宋" w:cs="仿宋"/>
                <w:bCs/>
                <w:szCs w:val="21"/>
              </w:rPr>
              <w:t>监测点</w:t>
            </w:r>
          </w:p>
        </w:tc>
        <w:tc>
          <w:tcPr>
            <w:tcW w:w="2251" w:type="dxa"/>
            <w:vMerge w:val="restar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ascii="仿宋" w:hAnsi="仿宋" w:eastAsia="仿宋" w:cs="仿宋"/>
                <w:bCs/>
                <w:szCs w:val="21"/>
              </w:rPr>
              <w:t>项目</w:t>
            </w:r>
          </w:p>
        </w:tc>
        <w:tc>
          <w:tcPr>
            <w:tcW w:w="5114" w:type="dxa"/>
            <w:gridSpan w:val="3"/>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ascii="仿宋" w:hAnsi="仿宋" w:eastAsia="仿宋" w:cs="仿宋"/>
                <w:bCs/>
                <w:szCs w:val="21"/>
              </w:rPr>
              <w:t>小时平均浓度（mg/m</w:t>
            </w:r>
            <w:r>
              <w:rPr>
                <w:rFonts w:ascii="仿宋" w:hAnsi="仿宋" w:eastAsia="仿宋" w:cs="仿宋"/>
                <w:bCs/>
                <w:szCs w:val="21"/>
                <w:vertAlign w:val="superscript"/>
              </w:rPr>
              <w:t>3</w:t>
            </w:r>
            <w:r>
              <w:rPr>
                <w:rFonts w:ascii="仿宋" w:hAnsi="仿宋" w:eastAsia="仿宋" w:cs="仿宋"/>
                <w:bCs/>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1685" w:type="dxa"/>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c>
          <w:tcPr>
            <w:tcW w:w="2251" w:type="dxa"/>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c>
          <w:tcPr>
            <w:tcW w:w="2251" w:type="dxa"/>
            <w:tcBorders>
              <w:right w:val="single" w:color="auto" w:sz="4" w:space="0"/>
            </w:tcBorders>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ascii="仿宋" w:hAnsi="仿宋" w:eastAsia="仿宋" w:cs="仿宋"/>
                <w:bCs/>
                <w:szCs w:val="21"/>
              </w:rPr>
              <w:t>浓度范围</w:t>
            </w:r>
          </w:p>
        </w:tc>
        <w:tc>
          <w:tcPr>
            <w:tcW w:w="1407" w:type="dxa"/>
            <w:tcBorders>
              <w:left w:val="single" w:color="auto" w:sz="4" w:space="0"/>
            </w:tcBorders>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ascii="仿宋" w:hAnsi="仿宋" w:eastAsia="仿宋" w:cs="仿宋"/>
                <w:bCs/>
                <w:szCs w:val="21"/>
              </w:rPr>
              <w:t>最大超标倍数</w:t>
            </w:r>
          </w:p>
        </w:tc>
        <w:tc>
          <w:tcPr>
            <w:tcW w:w="1456" w:type="dxa"/>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ascii="仿宋" w:hAnsi="仿宋" w:eastAsia="仿宋" w:cs="仿宋"/>
                <w:bCs/>
                <w:szCs w:val="21"/>
              </w:rPr>
              <w:t>超标率（%）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689" w:type="dxa"/>
            <w:vMerge w:val="restar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G1项目</w:t>
            </w:r>
            <w:r>
              <w:rPr>
                <w:rFonts w:ascii="仿宋" w:hAnsi="仿宋" w:eastAsia="仿宋" w:cs="仿宋"/>
                <w:bCs/>
                <w:szCs w:val="21"/>
              </w:rPr>
              <w:t>所在地</w:t>
            </w:r>
          </w:p>
        </w:tc>
        <w:tc>
          <w:tcPr>
            <w:tcW w:w="2256" w:type="dxa"/>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非甲烷总烃</w:t>
            </w:r>
          </w:p>
        </w:tc>
        <w:tc>
          <w:tcPr>
            <w:tcW w:w="2256" w:type="dxa"/>
            <w:tcBorders>
              <w:right w:val="single" w:color="auto" w:sz="4" w:space="0"/>
            </w:tcBorders>
            <w:shd w:val="clear" w:color="auto" w:fill="auto"/>
            <w:tcMar>
              <w:left w:w="0" w:type="dxa"/>
              <w:right w:w="0" w:type="dxa"/>
            </w:tcMar>
            <w:vAlign w:val="center"/>
          </w:tcPr>
          <w:p>
            <w:pPr>
              <w:pStyle w:val="79"/>
              <w:spacing w:line="240" w:lineRule="exact"/>
              <w:jc w:val="center"/>
              <w:rPr>
                <w:rFonts w:ascii="仿宋" w:hAnsi="仿宋" w:eastAsia="仿宋" w:cs="仿宋"/>
                <w:bCs/>
                <w:sz w:val="21"/>
                <w:szCs w:val="21"/>
              </w:rPr>
            </w:pPr>
            <w:r>
              <w:rPr>
                <w:rFonts w:hint="eastAsia" w:ascii="仿宋" w:hAnsi="仿宋" w:eastAsia="仿宋" w:cs="仿宋"/>
                <w:bCs/>
                <w:sz w:val="21"/>
                <w:szCs w:val="21"/>
              </w:rPr>
              <w:t>0.71-1.46</w:t>
            </w:r>
          </w:p>
        </w:tc>
        <w:tc>
          <w:tcPr>
            <w:tcW w:w="1410" w:type="dxa"/>
            <w:shd w:val="clear" w:color="auto" w:fill="auto"/>
            <w:tcMar>
              <w:left w:w="0" w:type="dxa"/>
              <w:right w:w="0" w:type="dxa"/>
            </w:tcMar>
            <w:vAlign w:val="center"/>
          </w:tcPr>
          <w:p>
            <w:pPr>
              <w:pStyle w:val="79"/>
              <w:spacing w:line="240" w:lineRule="exact"/>
              <w:jc w:val="center"/>
              <w:rPr>
                <w:rFonts w:ascii="仿宋" w:hAnsi="仿宋" w:eastAsia="仿宋" w:cs="仿宋"/>
                <w:bCs/>
                <w:sz w:val="21"/>
                <w:szCs w:val="21"/>
              </w:rPr>
            </w:pPr>
            <w:r>
              <w:rPr>
                <w:rFonts w:ascii="仿宋" w:hAnsi="仿宋" w:eastAsia="仿宋" w:cs="仿宋"/>
                <w:bCs/>
                <w:sz w:val="21"/>
                <w:szCs w:val="21"/>
              </w:rPr>
              <w:t>0</w:t>
            </w:r>
          </w:p>
        </w:tc>
        <w:tc>
          <w:tcPr>
            <w:tcW w:w="1459" w:type="dxa"/>
            <w:shd w:val="clear" w:color="auto" w:fill="auto"/>
            <w:tcMar>
              <w:left w:w="0" w:type="dxa"/>
              <w:right w:w="0" w:type="dxa"/>
            </w:tcMar>
            <w:vAlign w:val="center"/>
          </w:tcPr>
          <w:p>
            <w:pPr>
              <w:pStyle w:val="79"/>
              <w:spacing w:line="240" w:lineRule="exact"/>
              <w:jc w:val="center"/>
              <w:rPr>
                <w:rFonts w:ascii="仿宋" w:hAnsi="仿宋" w:eastAsia="仿宋" w:cs="仿宋"/>
                <w:bCs/>
                <w:sz w:val="21"/>
                <w:szCs w:val="21"/>
              </w:rPr>
            </w:pPr>
            <w:r>
              <w:rPr>
                <w:rFonts w:ascii="仿宋" w:hAnsi="仿宋" w:eastAsia="仿宋" w:cs="仿宋"/>
                <w:bCs/>
                <w:sz w:val="21"/>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685" w:type="dxa"/>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c>
          <w:tcPr>
            <w:tcW w:w="2251" w:type="dxa"/>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二甲苯</w:t>
            </w:r>
          </w:p>
        </w:tc>
        <w:tc>
          <w:tcPr>
            <w:tcW w:w="2251" w:type="dxa"/>
            <w:tcBorders>
              <w:right w:val="single" w:color="auto" w:sz="4" w:space="0"/>
            </w:tcBorders>
            <w:shd w:val="clear" w:color="auto" w:fill="auto"/>
            <w:tcMar>
              <w:left w:w="0" w:type="dxa"/>
              <w:right w:w="0" w:type="dxa"/>
            </w:tcMar>
            <w:vAlign w:val="center"/>
          </w:tcPr>
          <w:p>
            <w:pPr>
              <w:pStyle w:val="79"/>
              <w:spacing w:line="240" w:lineRule="exact"/>
              <w:jc w:val="center"/>
              <w:rPr>
                <w:rFonts w:ascii="仿宋" w:hAnsi="仿宋" w:eastAsia="仿宋" w:cs="仿宋"/>
                <w:bCs/>
                <w:sz w:val="21"/>
                <w:szCs w:val="21"/>
              </w:rPr>
            </w:pPr>
            <w:r>
              <w:rPr>
                <w:rFonts w:hint="eastAsia" w:ascii="仿宋" w:hAnsi="仿宋" w:eastAsia="仿宋" w:cs="仿宋"/>
                <w:bCs/>
                <w:sz w:val="21"/>
                <w:szCs w:val="21"/>
              </w:rPr>
              <w:t>7.2×10</w:t>
            </w:r>
            <w:r>
              <w:rPr>
                <w:rFonts w:hint="eastAsia" w:ascii="仿宋" w:hAnsi="仿宋" w:eastAsia="仿宋" w:cs="仿宋"/>
                <w:bCs/>
                <w:sz w:val="21"/>
                <w:szCs w:val="21"/>
                <w:vertAlign w:val="superscript"/>
              </w:rPr>
              <w:t>-3</w:t>
            </w:r>
            <w:r>
              <w:rPr>
                <w:rFonts w:hint="eastAsia" w:ascii="仿宋" w:hAnsi="仿宋" w:eastAsia="仿宋" w:cs="仿宋"/>
                <w:bCs/>
                <w:sz w:val="21"/>
                <w:szCs w:val="21"/>
              </w:rPr>
              <w:t>-6.08×10</w:t>
            </w:r>
            <w:r>
              <w:rPr>
                <w:rFonts w:hint="eastAsia" w:ascii="仿宋" w:hAnsi="仿宋" w:eastAsia="仿宋" w:cs="仿宋"/>
                <w:bCs/>
                <w:sz w:val="21"/>
                <w:szCs w:val="21"/>
                <w:vertAlign w:val="superscript"/>
              </w:rPr>
              <w:t>-2</w:t>
            </w:r>
          </w:p>
        </w:tc>
        <w:tc>
          <w:tcPr>
            <w:tcW w:w="1407" w:type="dxa"/>
            <w:shd w:val="clear" w:color="auto" w:fill="auto"/>
            <w:tcMar>
              <w:left w:w="0" w:type="dxa"/>
              <w:right w:w="0" w:type="dxa"/>
            </w:tcMar>
            <w:vAlign w:val="center"/>
          </w:tcPr>
          <w:p>
            <w:pPr>
              <w:pStyle w:val="79"/>
              <w:spacing w:line="240" w:lineRule="exact"/>
              <w:jc w:val="center"/>
              <w:rPr>
                <w:rFonts w:ascii="仿宋" w:hAnsi="仿宋" w:eastAsia="仿宋" w:cs="仿宋"/>
                <w:bCs/>
                <w:sz w:val="21"/>
                <w:szCs w:val="21"/>
              </w:rPr>
            </w:pPr>
            <w:r>
              <w:rPr>
                <w:rFonts w:hint="eastAsia" w:ascii="仿宋" w:hAnsi="仿宋" w:eastAsia="仿宋" w:cs="仿宋"/>
                <w:bCs/>
                <w:sz w:val="21"/>
                <w:szCs w:val="21"/>
              </w:rPr>
              <w:t>0</w:t>
            </w:r>
          </w:p>
        </w:tc>
        <w:tc>
          <w:tcPr>
            <w:tcW w:w="1456" w:type="dxa"/>
            <w:shd w:val="clear" w:color="auto" w:fill="auto"/>
            <w:tcMar>
              <w:left w:w="0" w:type="dxa"/>
              <w:right w:w="0" w:type="dxa"/>
            </w:tcMar>
            <w:vAlign w:val="center"/>
          </w:tcPr>
          <w:p>
            <w:pPr>
              <w:pStyle w:val="79"/>
              <w:spacing w:line="240" w:lineRule="exact"/>
              <w:jc w:val="center"/>
              <w:rPr>
                <w:rFonts w:ascii="仿宋" w:hAnsi="仿宋" w:eastAsia="仿宋" w:cs="仿宋"/>
                <w:bCs/>
                <w:sz w:val="21"/>
                <w:szCs w:val="21"/>
              </w:rPr>
            </w:pPr>
            <w:r>
              <w:rPr>
                <w:rFonts w:hint="eastAsia" w:ascii="仿宋" w:hAnsi="仿宋" w:eastAsia="仿宋" w:cs="仿宋"/>
                <w:bCs/>
                <w:sz w:val="21"/>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685" w:type="dxa"/>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c>
          <w:tcPr>
            <w:tcW w:w="2251" w:type="dxa"/>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乙酸乙酯</w:t>
            </w:r>
          </w:p>
        </w:tc>
        <w:tc>
          <w:tcPr>
            <w:tcW w:w="2251" w:type="dxa"/>
            <w:tcBorders>
              <w:right w:val="single" w:color="auto" w:sz="4" w:space="0"/>
            </w:tcBorders>
            <w:shd w:val="clear" w:color="auto" w:fill="auto"/>
            <w:tcMar>
              <w:left w:w="0" w:type="dxa"/>
              <w:right w:w="0" w:type="dxa"/>
            </w:tcMar>
            <w:vAlign w:val="center"/>
          </w:tcPr>
          <w:p>
            <w:pPr>
              <w:pStyle w:val="79"/>
              <w:spacing w:line="240" w:lineRule="exact"/>
              <w:jc w:val="center"/>
              <w:rPr>
                <w:rFonts w:ascii="仿宋" w:hAnsi="仿宋" w:eastAsia="仿宋" w:cs="仿宋"/>
                <w:bCs/>
                <w:sz w:val="21"/>
                <w:szCs w:val="21"/>
              </w:rPr>
            </w:pPr>
            <w:r>
              <w:rPr>
                <w:rFonts w:ascii="仿宋" w:hAnsi="仿宋" w:eastAsia="仿宋" w:cs="仿宋"/>
                <w:bCs/>
                <w:sz w:val="21"/>
                <w:szCs w:val="21"/>
              </w:rPr>
              <w:t>3</w:t>
            </w:r>
            <w:r>
              <w:rPr>
                <w:rFonts w:hint="eastAsia" w:ascii="仿宋" w:hAnsi="仿宋" w:eastAsia="仿宋" w:cs="仿宋"/>
                <w:bCs/>
                <w:sz w:val="21"/>
                <w:szCs w:val="21"/>
              </w:rPr>
              <w:t>.</w:t>
            </w:r>
            <w:r>
              <w:rPr>
                <w:rFonts w:ascii="仿宋" w:hAnsi="仿宋" w:eastAsia="仿宋" w:cs="仿宋"/>
                <w:bCs/>
                <w:sz w:val="21"/>
                <w:szCs w:val="21"/>
              </w:rPr>
              <w:t>9</w:t>
            </w:r>
            <w:r>
              <w:rPr>
                <w:rFonts w:hint="eastAsia" w:ascii="仿宋" w:hAnsi="仿宋" w:eastAsia="仿宋" w:cs="仿宋"/>
                <w:bCs/>
                <w:sz w:val="21"/>
                <w:szCs w:val="21"/>
              </w:rPr>
              <w:t>×10</w:t>
            </w:r>
            <w:r>
              <w:rPr>
                <w:rFonts w:hint="eastAsia" w:ascii="仿宋" w:hAnsi="仿宋" w:eastAsia="仿宋" w:cs="仿宋"/>
                <w:bCs/>
                <w:sz w:val="21"/>
                <w:szCs w:val="21"/>
                <w:vertAlign w:val="superscript"/>
              </w:rPr>
              <w:t>-3</w:t>
            </w:r>
            <w:r>
              <w:rPr>
                <w:rFonts w:hint="eastAsia" w:ascii="仿宋" w:hAnsi="仿宋" w:eastAsia="仿宋" w:cs="仿宋"/>
                <w:bCs/>
                <w:sz w:val="21"/>
                <w:szCs w:val="21"/>
              </w:rPr>
              <w:t>-</w:t>
            </w:r>
            <w:r>
              <w:rPr>
                <w:rFonts w:ascii="仿宋" w:hAnsi="仿宋" w:eastAsia="仿宋" w:cs="仿宋"/>
                <w:bCs/>
                <w:sz w:val="21"/>
                <w:szCs w:val="21"/>
              </w:rPr>
              <w:t>9.92</w:t>
            </w:r>
            <w:r>
              <w:rPr>
                <w:rFonts w:hint="eastAsia" w:ascii="仿宋" w:hAnsi="仿宋" w:eastAsia="仿宋" w:cs="仿宋"/>
                <w:bCs/>
                <w:sz w:val="21"/>
                <w:szCs w:val="21"/>
              </w:rPr>
              <w:t>×10</w:t>
            </w:r>
            <w:r>
              <w:rPr>
                <w:rFonts w:hint="eastAsia" w:ascii="仿宋" w:hAnsi="仿宋" w:eastAsia="仿宋" w:cs="仿宋"/>
                <w:bCs/>
                <w:sz w:val="21"/>
                <w:szCs w:val="21"/>
                <w:vertAlign w:val="superscript"/>
              </w:rPr>
              <w:t>-</w:t>
            </w:r>
            <w:r>
              <w:rPr>
                <w:rFonts w:ascii="仿宋" w:hAnsi="仿宋" w:eastAsia="仿宋" w:cs="仿宋"/>
                <w:bCs/>
                <w:sz w:val="21"/>
                <w:szCs w:val="21"/>
                <w:vertAlign w:val="superscript"/>
              </w:rPr>
              <w:t>2</w:t>
            </w:r>
          </w:p>
        </w:tc>
        <w:tc>
          <w:tcPr>
            <w:tcW w:w="1407" w:type="dxa"/>
            <w:shd w:val="clear" w:color="auto" w:fill="auto"/>
            <w:tcMar>
              <w:left w:w="0" w:type="dxa"/>
              <w:right w:w="0" w:type="dxa"/>
            </w:tcMar>
            <w:vAlign w:val="center"/>
          </w:tcPr>
          <w:p>
            <w:pPr>
              <w:pStyle w:val="79"/>
              <w:spacing w:line="240" w:lineRule="exact"/>
              <w:jc w:val="center"/>
              <w:rPr>
                <w:rFonts w:ascii="仿宋" w:hAnsi="仿宋" w:eastAsia="仿宋" w:cs="仿宋"/>
                <w:bCs/>
                <w:sz w:val="21"/>
                <w:szCs w:val="21"/>
              </w:rPr>
            </w:pPr>
            <w:r>
              <w:rPr>
                <w:rFonts w:hint="eastAsia" w:ascii="仿宋" w:hAnsi="仿宋" w:eastAsia="仿宋" w:cs="仿宋"/>
                <w:bCs/>
                <w:sz w:val="21"/>
                <w:szCs w:val="21"/>
              </w:rPr>
              <w:t>0</w:t>
            </w:r>
          </w:p>
        </w:tc>
        <w:tc>
          <w:tcPr>
            <w:tcW w:w="1456" w:type="dxa"/>
            <w:shd w:val="clear" w:color="auto" w:fill="auto"/>
            <w:tcMar>
              <w:left w:w="0" w:type="dxa"/>
              <w:right w:w="0" w:type="dxa"/>
            </w:tcMar>
            <w:vAlign w:val="center"/>
          </w:tcPr>
          <w:p>
            <w:pPr>
              <w:pStyle w:val="79"/>
              <w:spacing w:line="240" w:lineRule="exact"/>
              <w:jc w:val="center"/>
              <w:rPr>
                <w:rFonts w:ascii="仿宋" w:hAnsi="仿宋" w:eastAsia="仿宋" w:cs="仿宋"/>
                <w:bCs/>
                <w:sz w:val="21"/>
                <w:szCs w:val="21"/>
              </w:rPr>
            </w:pPr>
            <w:r>
              <w:rPr>
                <w:rFonts w:hint="eastAsia" w:ascii="仿宋" w:hAnsi="仿宋" w:eastAsia="仿宋" w:cs="仿宋"/>
                <w:bCs/>
                <w:sz w:val="21"/>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685" w:type="dxa"/>
            <w:vMerge w:val="restart"/>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G2元巷小区</w:t>
            </w:r>
          </w:p>
        </w:tc>
        <w:tc>
          <w:tcPr>
            <w:tcW w:w="2251" w:type="dxa"/>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非甲烷总烃</w:t>
            </w:r>
          </w:p>
        </w:tc>
        <w:tc>
          <w:tcPr>
            <w:tcW w:w="2251" w:type="dxa"/>
            <w:tcBorders>
              <w:right w:val="single" w:color="auto" w:sz="4" w:space="0"/>
            </w:tcBorders>
            <w:shd w:val="clear" w:color="auto" w:fill="auto"/>
            <w:tcMar>
              <w:left w:w="0" w:type="dxa"/>
              <w:right w:w="0" w:type="dxa"/>
            </w:tcMar>
            <w:vAlign w:val="center"/>
          </w:tcPr>
          <w:p>
            <w:pPr>
              <w:pStyle w:val="79"/>
              <w:spacing w:line="240" w:lineRule="exact"/>
              <w:jc w:val="center"/>
              <w:rPr>
                <w:rFonts w:ascii="仿宋" w:hAnsi="仿宋" w:eastAsia="仿宋" w:cs="仿宋"/>
                <w:bCs/>
                <w:sz w:val="21"/>
                <w:szCs w:val="21"/>
              </w:rPr>
            </w:pPr>
            <w:r>
              <w:rPr>
                <w:rFonts w:hint="eastAsia" w:ascii="仿宋" w:hAnsi="仿宋" w:eastAsia="仿宋" w:cs="仿宋"/>
                <w:bCs/>
                <w:sz w:val="21"/>
                <w:szCs w:val="21"/>
              </w:rPr>
              <w:t>0.71-1.52</w:t>
            </w:r>
          </w:p>
        </w:tc>
        <w:tc>
          <w:tcPr>
            <w:tcW w:w="1407" w:type="dxa"/>
            <w:shd w:val="clear" w:color="auto" w:fill="auto"/>
            <w:tcMar>
              <w:left w:w="0" w:type="dxa"/>
              <w:right w:w="0" w:type="dxa"/>
            </w:tcMar>
            <w:vAlign w:val="center"/>
          </w:tcPr>
          <w:p>
            <w:pPr>
              <w:pStyle w:val="79"/>
              <w:spacing w:line="240" w:lineRule="exact"/>
              <w:jc w:val="center"/>
              <w:rPr>
                <w:rFonts w:ascii="仿宋" w:hAnsi="仿宋" w:eastAsia="仿宋" w:cs="仿宋"/>
                <w:bCs/>
                <w:sz w:val="21"/>
                <w:szCs w:val="21"/>
              </w:rPr>
            </w:pPr>
            <w:r>
              <w:rPr>
                <w:rFonts w:ascii="仿宋" w:hAnsi="仿宋" w:eastAsia="仿宋" w:cs="仿宋"/>
                <w:bCs/>
                <w:sz w:val="21"/>
                <w:szCs w:val="21"/>
              </w:rPr>
              <w:t>0</w:t>
            </w:r>
          </w:p>
        </w:tc>
        <w:tc>
          <w:tcPr>
            <w:tcW w:w="1456" w:type="dxa"/>
            <w:shd w:val="clear" w:color="auto" w:fill="auto"/>
            <w:tcMar>
              <w:left w:w="0" w:type="dxa"/>
              <w:right w:w="0" w:type="dxa"/>
            </w:tcMar>
            <w:vAlign w:val="center"/>
          </w:tcPr>
          <w:p>
            <w:pPr>
              <w:pStyle w:val="79"/>
              <w:spacing w:line="240" w:lineRule="exact"/>
              <w:jc w:val="center"/>
              <w:rPr>
                <w:rFonts w:ascii="仿宋" w:hAnsi="仿宋" w:eastAsia="仿宋" w:cs="仿宋"/>
                <w:bCs/>
                <w:sz w:val="21"/>
                <w:szCs w:val="21"/>
              </w:rPr>
            </w:pPr>
            <w:r>
              <w:rPr>
                <w:rFonts w:ascii="仿宋" w:hAnsi="仿宋" w:eastAsia="仿宋" w:cs="仿宋"/>
                <w:bCs/>
                <w:sz w:val="21"/>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685" w:type="dxa"/>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c>
          <w:tcPr>
            <w:tcW w:w="2251" w:type="dxa"/>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二甲苯</w:t>
            </w:r>
          </w:p>
        </w:tc>
        <w:tc>
          <w:tcPr>
            <w:tcW w:w="2251" w:type="dxa"/>
            <w:tcBorders>
              <w:right w:val="single" w:color="auto" w:sz="4" w:space="0"/>
            </w:tcBorders>
            <w:shd w:val="clear" w:color="auto" w:fill="auto"/>
            <w:tcMar>
              <w:left w:w="0" w:type="dxa"/>
              <w:right w:w="0" w:type="dxa"/>
            </w:tcMar>
            <w:vAlign w:val="center"/>
          </w:tcPr>
          <w:p>
            <w:pPr>
              <w:pStyle w:val="79"/>
              <w:spacing w:line="240" w:lineRule="exact"/>
              <w:jc w:val="center"/>
              <w:rPr>
                <w:rFonts w:ascii="仿宋" w:hAnsi="仿宋" w:eastAsia="仿宋" w:cs="仿宋"/>
                <w:bCs/>
                <w:sz w:val="21"/>
                <w:szCs w:val="21"/>
              </w:rPr>
            </w:pPr>
            <w:r>
              <w:rPr>
                <w:rFonts w:hint="eastAsia" w:ascii="仿宋" w:hAnsi="仿宋" w:eastAsia="仿宋" w:cs="仿宋"/>
                <w:bCs/>
                <w:sz w:val="21"/>
                <w:szCs w:val="21"/>
              </w:rPr>
              <w:t>5.9×10</w:t>
            </w:r>
            <w:r>
              <w:rPr>
                <w:rFonts w:hint="eastAsia" w:ascii="仿宋" w:hAnsi="仿宋" w:eastAsia="仿宋" w:cs="仿宋"/>
                <w:bCs/>
                <w:sz w:val="21"/>
                <w:szCs w:val="21"/>
                <w:vertAlign w:val="superscript"/>
              </w:rPr>
              <w:t>-3</w:t>
            </w:r>
            <w:r>
              <w:rPr>
                <w:rFonts w:hint="eastAsia" w:ascii="仿宋" w:hAnsi="仿宋" w:eastAsia="仿宋" w:cs="仿宋"/>
                <w:bCs/>
                <w:sz w:val="21"/>
                <w:szCs w:val="21"/>
              </w:rPr>
              <w:t>-6.57×10</w:t>
            </w:r>
            <w:r>
              <w:rPr>
                <w:rFonts w:hint="eastAsia" w:ascii="仿宋" w:hAnsi="仿宋" w:eastAsia="仿宋" w:cs="仿宋"/>
                <w:bCs/>
                <w:sz w:val="21"/>
                <w:szCs w:val="21"/>
                <w:vertAlign w:val="superscript"/>
              </w:rPr>
              <w:t>-2</w:t>
            </w:r>
          </w:p>
        </w:tc>
        <w:tc>
          <w:tcPr>
            <w:tcW w:w="1407" w:type="dxa"/>
            <w:shd w:val="clear" w:color="auto" w:fill="auto"/>
            <w:tcMar>
              <w:left w:w="0" w:type="dxa"/>
              <w:right w:w="0" w:type="dxa"/>
            </w:tcMar>
            <w:vAlign w:val="center"/>
          </w:tcPr>
          <w:p>
            <w:pPr>
              <w:pStyle w:val="79"/>
              <w:spacing w:line="240" w:lineRule="exact"/>
              <w:jc w:val="center"/>
              <w:rPr>
                <w:rFonts w:ascii="仿宋" w:hAnsi="仿宋" w:eastAsia="仿宋" w:cs="仿宋"/>
                <w:bCs/>
                <w:sz w:val="21"/>
                <w:szCs w:val="21"/>
              </w:rPr>
            </w:pPr>
            <w:r>
              <w:rPr>
                <w:rFonts w:hint="eastAsia" w:ascii="仿宋" w:hAnsi="仿宋" w:eastAsia="仿宋" w:cs="仿宋"/>
                <w:bCs/>
                <w:sz w:val="21"/>
                <w:szCs w:val="21"/>
              </w:rPr>
              <w:t>0</w:t>
            </w:r>
          </w:p>
        </w:tc>
        <w:tc>
          <w:tcPr>
            <w:tcW w:w="1456" w:type="dxa"/>
            <w:shd w:val="clear" w:color="auto" w:fill="auto"/>
            <w:tcMar>
              <w:left w:w="0" w:type="dxa"/>
              <w:right w:w="0" w:type="dxa"/>
            </w:tcMar>
            <w:vAlign w:val="center"/>
          </w:tcPr>
          <w:p>
            <w:pPr>
              <w:pStyle w:val="79"/>
              <w:spacing w:line="240" w:lineRule="exact"/>
              <w:jc w:val="center"/>
              <w:rPr>
                <w:rFonts w:ascii="仿宋" w:hAnsi="仿宋" w:eastAsia="仿宋" w:cs="仿宋"/>
                <w:bCs/>
                <w:sz w:val="21"/>
                <w:szCs w:val="21"/>
              </w:rPr>
            </w:pPr>
            <w:r>
              <w:rPr>
                <w:rFonts w:hint="eastAsia" w:ascii="仿宋" w:hAnsi="仿宋" w:eastAsia="仿宋" w:cs="仿宋"/>
                <w:bCs/>
                <w:sz w:val="21"/>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685" w:type="dxa"/>
            <w:vMerge w:val="continue"/>
            <w:shd w:val="clear" w:color="auto" w:fill="auto"/>
            <w:tcMar>
              <w:left w:w="0" w:type="dxa"/>
              <w:right w:w="0" w:type="dxa"/>
            </w:tcMar>
            <w:vAlign w:val="center"/>
          </w:tcPr>
          <w:p>
            <w:pPr>
              <w:spacing w:line="240" w:lineRule="exact"/>
              <w:jc w:val="center"/>
              <w:rPr>
                <w:rFonts w:ascii="仿宋" w:hAnsi="仿宋" w:eastAsia="仿宋" w:cs="仿宋"/>
                <w:bCs/>
                <w:szCs w:val="21"/>
              </w:rPr>
            </w:pPr>
          </w:p>
        </w:tc>
        <w:tc>
          <w:tcPr>
            <w:tcW w:w="2251" w:type="dxa"/>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乙酸乙酯</w:t>
            </w:r>
          </w:p>
        </w:tc>
        <w:tc>
          <w:tcPr>
            <w:tcW w:w="2251" w:type="dxa"/>
            <w:tcBorders>
              <w:right w:val="single" w:color="auto" w:sz="4" w:space="0"/>
            </w:tcBorders>
            <w:shd w:val="clear" w:color="auto" w:fill="auto"/>
            <w:tcMar>
              <w:left w:w="0" w:type="dxa"/>
              <w:right w:w="0" w:type="dxa"/>
            </w:tcMar>
            <w:vAlign w:val="center"/>
          </w:tcPr>
          <w:p>
            <w:pPr>
              <w:pStyle w:val="79"/>
              <w:spacing w:line="240" w:lineRule="exact"/>
              <w:jc w:val="center"/>
              <w:rPr>
                <w:rFonts w:ascii="仿宋" w:hAnsi="仿宋" w:eastAsia="仿宋" w:cs="仿宋"/>
                <w:bCs/>
                <w:sz w:val="21"/>
                <w:szCs w:val="21"/>
              </w:rPr>
            </w:pPr>
            <w:r>
              <w:rPr>
                <w:rFonts w:ascii="仿宋" w:hAnsi="仿宋" w:eastAsia="仿宋" w:cs="仿宋"/>
                <w:bCs/>
                <w:sz w:val="21"/>
                <w:szCs w:val="21"/>
              </w:rPr>
              <w:t>2</w:t>
            </w:r>
            <w:r>
              <w:rPr>
                <w:rFonts w:hint="eastAsia" w:ascii="仿宋" w:hAnsi="仿宋" w:eastAsia="仿宋" w:cs="仿宋"/>
                <w:bCs/>
                <w:sz w:val="21"/>
                <w:szCs w:val="21"/>
              </w:rPr>
              <w:t>.</w:t>
            </w:r>
            <w:r>
              <w:rPr>
                <w:rFonts w:ascii="仿宋" w:hAnsi="仿宋" w:eastAsia="仿宋" w:cs="仿宋"/>
                <w:bCs/>
                <w:sz w:val="21"/>
                <w:szCs w:val="21"/>
              </w:rPr>
              <w:t>8</w:t>
            </w:r>
            <w:r>
              <w:rPr>
                <w:rFonts w:hint="eastAsia" w:ascii="仿宋" w:hAnsi="仿宋" w:eastAsia="仿宋" w:cs="仿宋"/>
                <w:bCs/>
                <w:sz w:val="21"/>
                <w:szCs w:val="21"/>
              </w:rPr>
              <w:t>×10</w:t>
            </w:r>
            <w:r>
              <w:rPr>
                <w:rFonts w:hint="eastAsia" w:ascii="仿宋" w:hAnsi="仿宋" w:eastAsia="仿宋" w:cs="仿宋"/>
                <w:bCs/>
                <w:sz w:val="21"/>
                <w:szCs w:val="21"/>
                <w:vertAlign w:val="superscript"/>
              </w:rPr>
              <w:t>-3</w:t>
            </w:r>
            <w:r>
              <w:rPr>
                <w:rFonts w:hint="eastAsia" w:ascii="仿宋" w:hAnsi="仿宋" w:eastAsia="仿宋" w:cs="仿宋"/>
                <w:bCs/>
                <w:sz w:val="21"/>
                <w:szCs w:val="21"/>
              </w:rPr>
              <w:t>-</w:t>
            </w:r>
            <w:r>
              <w:rPr>
                <w:rFonts w:ascii="仿宋" w:hAnsi="仿宋" w:eastAsia="仿宋" w:cs="仿宋"/>
                <w:bCs/>
                <w:sz w:val="21"/>
                <w:szCs w:val="21"/>
              </w:rPr>
              <w:t>3.87</w:t>
            </w:r>
            <w:r>
              <w:rPr>
                <w:rFonts w:hint="eastAsia" w:ascii="仿宋" w:hAnsi="仿宋" w:eastAsia="仿宋" w:cs="仿宋"/>
                <w:bCs/>
                <w:sz w:val="21"/>
                <w:szCs w:val="21"/>
              </w:rPr>
              <w:t>×10</w:t>
            </w:r>
            <w:r>
              <w:rPr>
                <w:rFonts w:hint="eastAsia" w:ascii="仿宋" w:hAnsi="仿宋" w:eastAsia="仿宋" w:cs="仿宋"/>
                <w:bCs/>
                <w:sz w:val="21"/>
                <w:szCs w:val="21"/>
                <w:vertAlign w:val="superscript"/>
              </w:rPr>
              <w:t>-</w:t>
            </w:r>
            <w:r>
              <w:rPr>
                <w:rFonts w:ascii="仿宋" w:hAnsi="仿宋" w:eastAsia="仿宋" w:cs="仿宋"/>
                <w:bCs/>
                <w:sz w:val="21"/>
                <w:szCs w:val="21"/>
                <w:vertAlign w:val="superscript"/>
              </w:rPr>
              <w:t>2</w:t>
            </w:r>
          </w:p>
        </w:tc>
        <w:tc>
          <w:tcPr>
            <w:tcW w:w="1407" w:type="dxa"/>
            <w:shd w:val="clear" w:color="auto" w:fill="auto"/>
            <w:tcMar>
              <w:left w:w="0" w:type="dxa"/>
              <w:right w:w="0" w:type="dxa"/>
            </w:tcMar>
            <w:vAlign w:val="center"/>
          </w:tcPr>
          <w:p>
            <w:pPr>
              <w:pStyle w:val="79"/>
              <w:spacing w:line="240" w:lineRule="exact"/>
              <w:jc w:val="center"/>
              <w:rPr>
                <w:rFonts w:ascii="仿宋" w:hAnsi="仿宋" w:eastAsia="仿宋" w:cs="仿宋"/>
                <w:bCs/>
                <w:sz w:val="21"/>
                <w:szCs w:val="21"/>
              </w:rPr>
            </w:pPr>
            <w:r>
              <w:rPr>
                <w:rFonts w:hint="eastAsia" w:ascii="仿宋" w:hAnsi="仿宋" w:eastAsia="仿宋" w:cs="仿宋"/>
                <w:bCs/>
                <w:sz w:val="21"/>
                <w:szCs w:val="21"/>
              </w:rPr>
              <w:t>0</w:t>
            </w:r>
          </w:p>
        </w:tc>
        <w:tc>
          <w:tcPr>
            <w:tcW w:w="1456" w:type="dxa"/>
            <w:shd w:val="clear" w:color="auto" w:fill="auto"/>
            <w:tcMar>
              <w:left w:w="0" w:type="dxa"/>
              <w:right w:w="0" w:type="dxa"/>
            </w:tcMar>
            <w:vAlign w:val="center"/>
          </w:tcPr>
          <w:p>
            <w:pPr>
              <w:pStyle w:val="79"/>
              <w:spacing w:line="240" w:lineRule="exact"/>
              <w:jc w:val="center"/>
              <w:rPr>
                <w:rFonts w:ascii="仿宋" w:hAnsi="仿宋" w:eastAsia="仿宋" w:cs="仿宋"/>
                <w:bCs/>
                <w:sz w:val="21"/>
                <w:szCs w:val="21"/>
              </w:rPr>
            </w:pPr>
            <w:r>
              <w:rPr>
                <w:rFonts w:hint="eastAsia" w:ascii="仿宋" w:hAnsi="仿宋" w:eastAsia="仿宋" w:cs="仿宋"/>
                <w:bCs/>
                <w:sz w:val="21"/>
                <w:szCs w:val="21"/>
              </w:rPr>
              <w:t>0</w:t>
            </w:r>
          </w:p>
        </w:tc>
      </w:tr>
    </w:tbl>
    <w:p>
      <w:pPr>
        <w:pStyle w:val="5"/>
        <w:keepLines w:val="0"/>
        <w:widowControl/>
        <w:numPr>
          <w:ilvl w:val="3"/>
          <w:numId w:val="12"/>
        </w:numPr>
        <w:adjustRightInd w:val="0"/>
        <w:snapToGrid w:val="0"/>
        <w:spacing w:after="120" w:afterLines="50"/>
        <w:ind w:left="0" w:firstLine="0"/>
        <w:jc w:val="left"/>
        <w:rPr>
          <w:rFonts w:ascii="Times New Roman" w:hAnsi="Times New Roman"/>
          <w:b/>
        </w:rPr>
      </w:pPr>
      <w:r>
        <w:rPr>
          <w:rFonts w:ascii="Times New Roman" w:hAnsi="Times New Roman"/>
          <w:b/>
        </w:rPr>
        <w:t>大气环境现状评价</w:t>
      </w:r>
    </w:p>
    <w:p>
      <w:pPr>
        <w:spacing w:line="500" w:lineRule="exact"/>
        <w:ind w:firstLine="560" w:firstLineChars="200"/>
        <w:rPr>
          <w:rFonts w:eastAsia="仿宋_GB2312"/>
          <w:sz w:val="28"/>
          <w:szCs w:val="28"/>
        </w:rPr>
      </w:pPr>
      <w:r>
        <w:rPr>
          <w:rFonts w:eastAsia="仿宋_GB2312"/>
          <w:sz w:val="28"/>
          <w:szCs w:val="28"/>
        </w:rPr>
        <w:t>（1）评价标准和评价方法</w:t>
      </w:r>
    </w:p>
    <w:p>
      <w:pPr>
        <w:spacing w:line="500" w:lineRule="exact"/>
        <w:ind w:firstLine="560" w:firstLineChars="200"/>
        <w:rPr>
          <w:rFonts w:eastAsia="仿宋_GB2312"/>
          <w:sz w:val="28"/>
          <w:szCs w:val="28"/>
        </w:rPr>
      </w:pPr>
      <w:r>
        <w:rPr>
          <w:rFonts w:eastAsia="仿宋_GB2312"/>
          <w:sz w:val="28"/>
          <w:szCs w:val="28"/>
        </w:rPr>
        <w:t>大气环境质量采用《环境空气质量标准》（GB3095-2012）二级标准评价，各监测项目的标准限值参见下表。</w:t>
      </w:r>
    </w:p>
    <w:p>
      <w:pPr>
        <w:spacing w:line="500" w:lineRule="exact"/>
        <w:ind w:firstLine="570"/>
        <w:rPr>
          <w:rFonts w:eastAsia="仿宋_GB2312"/>
          <w:sz w:val="28"/>
          <w:szCs w:val="28"/>
        </w:rPr>
      </w:pPr>
      <w:r>
        <w:rPr>
          <w:rFonts w:eastAsia="仿宋_GB2312"/>
          <w:sz w:val="28"/>
          <w:szCs w:val="28"/>
        </w:rPr>
        <w:t>采用单项环境质量指数来评价大气环境质量现状监测结果。单项环境质量指数公式为：</w:t>
      </w:r>
    </w:p>
    <w:p>
      <w:pPr>
        <w:spacing w:line="500" w:lineRule="exact"/>
        <w:jc w:val="center"/>
        <w:rPr>
          <w:rFonts w:eastAsia="仿宋_GB2312"/>
          <w:i/>
          <w:sz w:val="28"/>
          <w:szCs w:val="28"/>
        </w:rPr>
      </w:pPr>
      <w:r>
        <w:rPr>
          <w:rFonts w:eastAsia="仿宋_GB2312"/>
          <w:i/>
          <w:sz w:val="28"/>
          <w:szCs w:val="28"/>
        </w:rPr>
        <w:t>I</w:t>
      </w:r>
      <w:r>
        <w:rPr>
          <w:rFonts w:eastAsia="仿宋_GB2312"/>
          <w:i/>
          <w:sz w:val="28"/>
          <w:szCs w:val="28"/>
          <w:vertAlign w:val="subscript"/>
        </w:rPr>
        <w:t>i</w:t>
      </w:r>
      <w:r>
        <w:rPr>
          <w:rFonts w:eastAsia="仿宋_GB2312"/>
          <w:i/>
          <w:sz w:val="28"/>
          <w:szCs w:val="28"/>
        </w:rPr>
        <w:t>=C</w:t>
      </w:r>
      <w:r>
        <w:rPr>
          <w:rFonts w:eastAsia="仿宋_GB2312"/>
          <w:i/>
          <w:sz w:val="28"/>
          <w:szCs w:val="28"/>
          <w:vertAlign w:val="subscript"/>
        </w:rPr>
        <w:t>i</w:t>
      </w:r>
      <w:r>
        <w:rPr>
          <w:rFonts w:eastAsia="仿宋_GB2312"/>
          <w:i/>
          <w:sz w:val="28"/>
          <w:szCs w:val="28"/>
        </w:rPr>
        <w:t>/S</w:t>
      </w:r>
      <w:r>
        <w:rPr>
          <w:rFonts w:eastAsia="仿宋_GB2312"/>
          <w:i/>
          <w:sz w:val="28"/>
          <w:szCs w:val="28"/>
          <w:vertAlign w:val="subscript"/>
        </w:rPr>
        <w:t>i</w:t>
      </w:r>
    </w:p>
    <w:p>
      <w:pPr>
        <w:spacing w:line="500" w:lineRule="exact"/>
        <w:rPr>
          <w:rFonts w:eastAsia="仿宋_GB2312"/>
          <w:sz w:val="28"/>
          <w:szCs w:val="28"/>
        </w:rPr>
      </w:pPr>
      <w:r>
        <w:rPr>
          <w:rFonts w:eastAsia="仿宋_GB2312"/>
          <w:sz w:val="28"/>
          <w:szCs w:val="28"/>
        </w:rPr>
        <w:t>式中：</w:t>
      </w:r>
    </w:p>
    <w:p>
      <w:pPr>
        <w:spacing w:line="500" w:lineRule="exact"/>
        <w:rPr>
          <w:rFonts w:eastAsia="仿宋_GB2312"/>
          <w:sz w:val="28"/>
          <w:szCs w:val="28"/>
        </w:rPr>
      </w:pPr>
      <w:r>
        <w:rPr>
          <w:rFonts w:eastAsia="仿宋_GB2312"/>
          <w:sz w:val="28"/>
          <w:szCs w:val="28"/>
        </w:rPr>
        <w:t>　　I</w:t>
      </w:r>
      <w:r>
        <w:rPr>
          <w:rFonts w:eastAsia="仿宋_GB2312"/>
          <w:sz w:val="28"/>
          <w:szCs w:val="28"/>
          <w:vertAlign w:val="subscript"/>
        </w:rPr>
        <w:t>i</w:t>
      </w:r>
      <w:r>
        <w:rPr>
          <w:rFonts w:eastAsia="仿宋_GB2312"/>
          <w:sz w:val="28"/>
          <w:szCs w:val="28"/>
        </w:rPr>
        <w:t>为某测点i项污染物的环境质量指数；</w:t>
      </w:r>
    </w:p>
    <w:p>
      <w:pPr>
        <w:spacing w:line="500" w:lineRule="exact"/>
        <w:rPr>
          <w:rFonts w:eastAsia="仿宋_GB2312"/>
          <w:sz w:val="28"/>
          <w:szCs w:val="28"/>
        </w:rPr>
      </w:pPr>
      <w:r>
        <w:rPr>
          <w:rFonts w:eastAsia="仿宋_GB2312"/>
          <w:sz w:val="28"/>
          <w:szCs w:val="28"/>
        </w:rPr>
        <w:t>　　C</w:t>
      </w:r>
      <w:r>
        <w:rPr>
          <w:rFonts w:eastAsia="仿宋_GB2312"/>
          <w:sz w:val="28"/>
          <w:szCs w:val="28"/>
          <w:vertAlign w:val="subscript"/>
        </w:rPr>
        <w:t>i</w:t>
      </w:r>
      <w:r>
        <w:rPr>
          <w:rFonts w:eastAsia="仿宋_GB2312"/>
          <w:sz w:val="28"/>
          <w:szCs w:val="28"/>
        </w:rPr>
        <w:t>为i项污染物实测浓度值（mg/m</w:t>
      </w:r>
      <w:r>
        <w:rPr>
          <w:rFonts w:eastAsia="仿宋_GB2312"/>
          <w:sz w:val="28"/>
          <w:szCs w:val="28"/>
          <w:vertAlign w:val="superscript"/>
        </w:rPr>
        <w:t>3</w:t>
      </w:r>
      <w:r>
        <w:rPr>
          <w:rFonts w:eastAsia="仿宋_GB2312"/>
          <w:sz w:val="28"/>
          <w:szCs w:val="28"/>
        </w:rPr>
        <w:t>）；</w:t>
      </w:r>
    </w:p>
    <w:p>
      <w:pPr>
        <w:spacing w:line="500" w:lineRule="exact"/>
        <w:rPr>
          <w:rFonts w:eastAsia="仿宋_GB2312"/>
          <w:sz w:val="28"/>
          <w:szCs w:val="28"/>
        </w:rPr>
      </w:pPr>
      <w:r>
        <w:rPr>
          <w:rFonts w:eastAsia="仿宋_GB2312"/>
          <w:sz w:val="28"/>
          <w:szCs w:val="28"/>
        </w:rPr>
        <w:t>　　S</w:t>
      </w:r>
      <w:r>
        <w:rPr>
          <w:rFonts w:eastAsia="仿宋_GB2312"/>
          <w:sz w:val="28"/>
          <w:szCs w:val="28"/>
          <w:vertAlign w:val="subscript"/>
        </w:rPr>
        <w:t>i</w:t>
      </w:r>
      <w:r>
        <w:rPr>
          <w:rFonts w:eastAsia="仿宋_GB2312"/>
          <w:sz w:val="28"/>
          <w:szCs w:val="28"/>
        </w:rPr>
        <w:t>为i项污染物对应的浓度标准限值（mg/m</w:t>
      </w:r>
      <w:r>
        <w:rPr>
          <w:rFonts w:eastAsia="仿宋_GB2312"/>
          <w:sz w:val="28"/>
          <w:szCs w:val="28"/>
          <w:vertAlign w:val="superscript"/>
        </w:rPr>
        <w:t>3</w:t>
      </w:r>
      <w:r>
        <w:rPr>
          <w:rFonts w:eastAsia="仿宋_GB2312"/>
          <w:sz w:val="28"/>
          <w:szCs w:val="28"/>
        </w:rPr>
        <w:t>）。</w:t>
      </w:r>
    </w:p>
    <w:p>
      <w:pPr>
        <w:spacing w:line="500" w:lineRule="exact"/>
        <w:ind w:firstLine="560" w:firstLineChars="200"/>
        <w:rPr>
          <w:rFonts w:eastAsia="仿宋_GB2312"/>
          <w:sz w:val="28"/>
          <w:szCs w:val="28"/>
        </w:rPr>
      </w:pPr>
      <w:r>
        <w:rPr>
          <w:rFonts w:eastAsia="仿宋_GB2312"/>
          <w:sz w:val="28"/>
          <w:szCs w:val="28"/>
        </w:rPr>
        <w:t>单项环境质量指数I</w:t>
      </w:r>
      <w:r>
        <w:rPr>
          <w:rFonts w:eastAsia="仿宋_GB2312"/>
          <w:sz w:val="28"/>
          <w:szCs w:val="28"/>
          <w:vertAlign w:val="subscript"/>
        </w:rPr>
        <w:t xml:space="preserve">i </w:t>
      </w:r>
      <w:r>
        <w:rPr>
          <w:rFonts w:eastAsia="仿宋_GB2312"/>
          <w:sz w:val="28"/>
          <w:szCs w:val="28"/>
        </w:rPr>
        <w:t>等于或小于1表示某测点i项污染物浓度达到或低于相应的大气环境质量标准限值，而大于1表示超标，I</w:t>
      </w:r>
      <w:r>
        <w:rPr>
          <w:rFonts w:eastAsia="仿宋_GB2312"/>
          <w:sz w:val="28"/>
          <w:szCs w:val="28"/>
          <w:vertAlign w:val="subscript"/>
        </w:rPr>
        <w:t xml:space="preserve">i </w:t>
      </w:r>
      <w:r>
        <w:rPr>
          <w:rFonts w:eastAsia="仿宋_GB2312"/>
          <w:sz w:val="28"/>
          <w:szCs w:val="28"/>
        </w:rPr>
        <w:t>越小表示某测点i项污染物的污染程度越轻。</w:t>
      </w:r>
    </w:p>
    <w:p>
      <w:pPr>
        <w:spacing w:line="500" w:lineRule="exact"/>
        <w:ind w:firstLine="560" w:firstLineChars="200"/>
        <w:rPr>
          <w:rFonts w:eastAsia="仿宋_GB2312"/>
          <w:sz w:val="28"/>
          <w:szCs w:val="28"/>
        </w:rPr>
      </w:pPr>
      <w:r>
        <w:rPr>
          <w:rFonts w:eastAsia="仿宋_GB2312"/>
          <w:sz w:val="28"/>
          <w:szCs w:val="28"/>
        </w:rPr>
        <w:t>（2）评价结果</w:t>
      </w:r>
    </w:p>
    <w:p>
      <w:pPr>
        <w:spacing w:line="500" w:lineRule="exact"/>
        <w:ind w:firstLine="560" w:firstLineChars="200"/>
        <w:rPr>
          <w:rFonts w:eastAsia="仿宋_GB2312"/>
          <w:b/>
          <w:sz w:val="24"/>
        </w:rPr>
      </w:pPr>
      <w:r>
        <w:rPr>
          <w:rFonts w:eastAsia="仿宋_GB2312"/>
          <w:sz w:val="28"/>
          <w:szCs w:val="28"/>
        </w:rPr>
        <w:t>评价结果见下表。</w:t>
      </w:r>
      <w:bookmarkStart w:id="293" w:name="_Ref326087360"/>
    </w:p>
    <w:p>
      <w:pPr>
        <w:spacing w:line="500" w:lineRule="exact"/>
        <w:jc w:val="center"/>
        <w:rPr>
          <w:rFonts w:eastAsia="仿宋_GB2312"/>
          <w:b/>
          <w:sz w:val="24"/>
        </w:rPr>
      </w:pPr>
      <w:r>
        <w:rPr>
          <w:rFonts w:eastAsia="仿宋_GB2312"/>
          <w:b/>
          <w:sz w:val="24"/>
        </w:rPr>
        <w:t>表</w:t>
      </w:r>
      <w:bookmarkEnd w:id="293"/>
      <w:r>
        <w:rPr>
          <w:rFonts w:eastAsia="仿宋_GB2312"/>
          <w:b/>
          <w:sz w:val="24"/>
        </w:rPr>
        <w:t>4.2-4  单项环境质量指数计算结果</w:t>
      </w:r>
    </w:p>
    <w:tbl>
      <w:tblPr>
        <w:tblStyle w:val="87"/>
        <w:tblW w:w="496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7"/>
        <w:gridCol w:w="914"/>
        <w:gridCol w:w="792"/>
        <w:gridCol w:w="1135"/>
        <w:gridCol w:w="1698"/>
        <w:gridCol w:w="1898"/>
        <w:gridCol w:w="20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6" w:hRule="atLeast"/>
          <w:tblHeader/>
          <w:jc w:val="center"/>
        </w:trPr>
        <w:tc>
          <w:tcPr>
            <w:tcW w:w="660" w:type="dxa"/>
            <w:vMerge w:val="restart"/>
            <w:tcBorders>
              <w:top w:val="single" w:color="000000" w:sz="4" w:space="0"/>
              <w:left w:val="single" w:color="000000" w:sz="4" w:space="0"/>
              <w:bottom w:val="single" w:color="000000" w:sz="4" w:space="0"/>
              <w:right w:val="single" w:color="auto" w:sz="4" w:space="0"/>
            </w:tcBorders>
            <w:vAlign w:val="center"/>
          </w:tcPr>
          <w:p>
            <w:pPr>
              <w:spacing w:line="240" w:lineRule="exact"/>
              <w:jc w:val="center"/>
              <w:rPr>
                <w:rFonts w:ascii="仿宋" w:hAnsi="仿宋" w:eastAsia="仿宋" w:cs="仿宋"/>
                <w:bCs/>
                <w:szCs w:val="21"/>
              </w:rPr>
            </w:pPr>
            <w:r>
              <w:rPr>
                <w:rFonts w:ascii="仿宋" w:hAnsi="仿宋" w:eastAsia="仿宋" w:cs="仿宋"/>
                <w:bCs/>
                <w:szCs w:val="21"/>
              </w:rPr>
              <w:t>序号</w:t>
            </w:r>
          </w:p>
        </w:tc>
        <w:tc>
          <w:tcPr>
            <w:tcW w:w="892" w:type="dxa"/>
            <w:vMerge w:val="restart"/>
            <w:tcBorders>
              <w:top w:val="single" w:color="000000" w:sz="4" w:space="0"/>
              <w:left w:val="single" w:color="auto" w:sz="4" w:space="0"/>
              <w:right w:val="single" w:color="auto" w:sz="4" w:space="0"/>
            </w:tcBorders>
            <w:vAlign w:val="center"/>
          </w:tcPr>
          <w:p>
            <w:pPr>
              <w:spacing w:line="240" w:lineRule="exact"/>
              <w:jc w:val="center"/>
              <w:rPr>
                <w:rFonts w:ascii="仿宋" w:hAnsi="仿宋" w:eastAsia="仿宋" w:cs="仿宋"/>
                <w:bCs/>
                <w:szCs w:val="21"/>
              </w:rPr>
            </w:pPr>
            <w:r>
              <w:rPr>
                <w:rFonts w:ascii="仿宋" w:hAnsi="仿宋" w:eastAsia="仿宋" w:cs="仿宋"/>
                <w:bCs/>
                <w:szCs w:val="21"/>
              </w:rPr>
              <w:t>评价项目</w:t>
            </w:r>
          </w:p>
        </w:tc>
        <w:tc>
          <w:tcPr>
            <w:tcW w:w="773" w:type="dxa"/>
            <w:vMerge w:val="restart"/>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标准</w:t>
            </w:r>
            <w:r>
              <w:rPr>
                <w:rFonts w:ascii="仿宋" w:hAnsi="仿宋" w:eastAsia="仿宋" w:cs="仿宋"/>
                <w:bCs/>
                <w:szCs w:val="21"/>
              </w:rPr>
              <w:t>（mg/m</w:t>
            </w:r>
            <w:r>
              <w:rPr>
                <w:rFonts w:ascii="仿宋" w:hAnsi="仿宋" w:eastAsia="仿宋" w:cs="仿宋"/>
                <w:bCs/>
                <w:szCs w:val="21"/>
                <w:vertAlign w:val="superscript"/>
              </w:rPr>
              <w:t>3</w:t>
            </w:r>
            <w:r>
              <w:rPr>
                <w:rFonts w:ascii="仿宋" w:hAnsi="仿宋" w:eastAsia="仿宋" w:cs="仿宋"/>
                <w:bCs/>
                <w:szCs w:val="21"/>
              </w:rPr>
              <w:t>）</w:t>
            </w:r>
          </w:p>
        </w:tc>
        <w:tc>
          <w:tcPr>
            <w:tcW w:w="1107" w:type="dxa"/>
            <w:vMerge w:val="restart"/>
            <w:tcBorders>
              <w:top w:val="single" w:color="000000" w:sz="4" w:space="0"/>
              <w:left w:val="single" w:color="000000" w:sz="4" w:space="0"/>
              <w:right w:val="single" w:color="000000" w:sz="4" w:space="0"/>
            </w:tcBorders>
            <w:vAlign w:val="center"/>
          </w:tcPr>
          <w:p>
            <w:pPr>
              <w:spacing w:line="240" w:lineRule="exact"/>
              <w:jc w:val="center"/>
              <w:rPr>
                <w:rFonts w:ascii="仿宋" w:hAnsi="仿宋" w:eastAsia="仿宋" w:cs="仿宋"/>
                <w:bCs/>
                <w:szCs w:val="21"/>
              </w:rPr>
            </w:pPr>
            <w:r>
              <w:rPr>
                <w:rFonts w:ascii="仿宋" w:hAnsi="仿宋" w:eastAsia="仿宋" w:cs="仿宋"/>
                <w:bCs/>
                <w:szCs w:val="21"/>
              </w:rPr>
              <w:t>平均时间</w:t>
            </w:r>
          </w:p>
        </w:tc>
        <w:tc>
          <w:tcPr>
            <w:tcW w:w="1657" w:type="dxa"/>
            <w:vMerge w:val="restart"/>
            <w:tcBorders>
              <w:top w:val="single" w:color="000000" w:sz="4" w:space="0"/>
              <w:left w:val="single" w:color="000000" w:sz="4" w:space="0"/>
              <w:right w:val="single" w:color="000000"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标准来源</w:t>
            </w:r>
          </w:p>
        </w:tc>
        <w:tc>
          <w:tcPr>
            <w:tcW w:w="3864" w:type="dxa"/>
            <w:gridSpan w:val="2"/>
            <w:tcBorders>
              <w:top w:val="single" w:color="000000" w:sz="4" w:space="0"/>
              <w:left w:val="single" w:color="000000" w:sz="4" w:space="0"/>
              <w:bottom w:val="single" w:color="000000" w:sz="4" w:space="0"/>
              <w:right w:val="single" w:color="auto" w:sz="4" w:space="0"/>
            </w:tcBorders>
            <w:vAlign w:val="center"/>
          </w:tcPr>
          <w:p>
            <w:pPr>
              <w:spacing w:line="240" w:lineRule="exact"/>
              <w:jc w:val="center"/>
              <w:rPr>
                <w:rFonts w:ascii="仿宋" w:hAnsi="仿宋" w:eastAsia="仿宋" w:cs="仿宋"/>
                <w:bCs/>
                <w:szCs w:val="21"/>
              </w:rPr>
            </w:pPr>
            <w:r>
              <w:rPr>
                <w:rFonts w:ascii="仿宋" w:hAnsi="仿宋" w:eastAsia="仿宋" w:cs="仿宋"/>
                <w:bCs/>
                <w:szCs w:val="21"/>
              </w:rPr>
              <w:t>评价指数Ii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6" w:hRule="atLeast"/>
          <w:tblHeader/>
          <w:jc w:val="center"/>
        </w:trPr>
        <w:tc>
          <w:tcPr>
            <w:tcW w:w="660" w:type="dxa"/>
            <w:vMerge w:val="continue"/>
            <w:tcBorders>
              <w:top w:val="single" w:color="000000" w:sz="4" w:space="0"/>
              <w:left w:val="single" w:color="000000" w:sz="4" w:space="0"/>
              <w:bottom w:val="single" w:color="000000" w:sz="4" w:space="0"/>
              <w:right w:val="single" w:color="auto" w:sz="4" w:space="0"/>
            </w:tcBorders>
            <w:vAlign w:val="center"/>
          </w:tcPr>
          <w:p>
            <w:pPr>
              <w:spacing w:line="240" w:lineRule="exact"/>
              <w:jc w:val="center"/>
              <w:rPr>
                <w:rFonts w:ascii="仿宋" w:hAnsi="仿宋" w:eastAsia="仿宋" w:cs="仿宋"/>
                <w:bCs/>
                <w:szCs w:val="21"/>
              </w:rPr>
            </w:pPr>
          </w:p>
        </w:tc>
        <w:tc>
          <w:tcPr>
            <w:tcW w:w="892" w:type="dxa"/>
            <w:vMerge w:val="continue"/>
            <w:tcBorders>
              <w:left w:val="single" w:color="auto" w:sz="4" w:space="0"/>
              <w:bottom w:val="single" w:color="000000" w:sz="4" w:space="0"/>
              <w:right w:val="single" w:color="auto" w:sz="4" w:space="0"/>
            </w:tcBorders>
            <w:vAlign w:val="center"/>
          </w:tcPr>
          <w:p>
            <w:pPr>
              <w:spacing w:line="240" w:lineRule="exact"/>
              <w:jc w:val="center"/>
              <w:rPr>
                <w:rFonts w:ascii="仿宋" w:hAnsi="仿宋" w:eastAsia="仿宋" w:cs="仿宋"/>
                <w:bCs/>
                <w:szCs w:val="21"/>
              </w:rPr>
            </w:pPr>
          </w:p>
        </w:tc>
        <w:tc>
          <w:tcPr>
            <w:tcW w:w="773" w:type="dxa"/>
            <w:vMerge w:val="continue"/>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仿宋" w:hAnsi="仿宋" w:eastAsia="仿宋" w:cs="仿宋"/>
                <w:bCs/>
                <w:szCs w:val="21"/>
              </w:rPr>
            </w:pPr>
          </w:p>
        </w:tc>
        <w:tc>
          <w:tcPr>
            <w:tcW w:w="1107" w:type="dxa"/>
            <w:vMerge w:val="continue"/>
            <w:tcBorders>
              <w:left w:val="single" w:color="000000" w:sz="4" w:space="0"/>
              <w:bottom w:val="single" w:color="000000" w:sz="4" w:space="0"/>
              <w:right w:val="single" w:color="000000" w:sz="4" w:space="0"/>
            </w:tcBorders>
            <w:vAlign w:val="center"/>
          </w:tcPr>
          <w:p>
            <w:pPr>
              <w:adjustRightInd w:val="0"/>
              <w:snapToGrid w:val="0"/>
              <w:spacing w:line="240" w:lineRule="exact"/>
              <w:jc w:val="center"/>
              <w:rPr>
                <w:rFonts w:ascii="仿宋" w:hAnsi="仿宋" w:eastAsia="仿宋" w:cs="仿宋"/>
                <w:bCs/>
                <w:szCs w:val="21"/>
              </w:rPr>
            </w:pPr>
          </w:p>
        </w:tc>
        <w:tc>
          <w:tcPr>
            <w:tcW w:w="1657" w:type="dxa"/>
            <w:vMerge w:val="continue"/>
            <w:tcBorders>
              <w:left w:val="single" w:color="000000" w:sz="4" w:space="0"/>
              <w:bottom w:val="single" w:color="000000" w:sz="4" w:space="0"/>
              <w:right w:val="single" w:color="000000" w:sz="4" w:space="0"/>
            </w:tcBorders>
            <w:vAlign w:val="center"/>
          </w:tcPr>
          <w:p>
            <w:pPr>
              <w:adjustRightInd w:val="0"/>
              <w:snapToGrid w:val="0"/>
              <w:spacing w:line="240" w:lineRule="exact"/>
              <w:jc w:val="center"/>
              <w:rPr>
                <w:rFonts w:ascii="仿宋" w:hAnsi="仿宋" w:eastAsia="仿宋" w:cs="仿宋"/>
                <w:bCs/>
                <w:szCs w:val="21"/>
              </w:rPr>
            </w:pPr>
          </w:p>
        </w:tc>
        <w:tc>
          <w:tcPr>
            <w:tcW w:w="185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exact"/>
              <w:jc w:val="center"/>
              <w:rPr>
                <w:rFonts w:ascii="仿宋" w:hAnsi="仿宋" w:eastAsia="仿宋" w:cs="仿宋"/>
                <w:bCs/>
                <w:szCs w:val="21"/>
              </w:rPr>
            </w:pPr>
            <w:r>
              <w:rPr>
                <w:rFonts w:hint="eastAsia" w:ascii="仿宋" w:hAnsi="仿宋" w:eastAsia="仿宋" w:cs="仿宋"/>
                <w:bCs/>
                <w:szCs w:val="21"/>
              </w:rPr>
              <w:t>G1项目</w:t>
            </w:r>
            <w:r>
              <w:rPr>
                <w:rFonts w:ascii="仿宋" w:hAnsi="仿宋" w:eastAsia="仿宋" w:cs="仿宋"/>
                <w:bCs/>
                <w:szCs w:val="21"/>
              </w:rPr>
              <w:t>所在地</w:t>
            </w:r>
          </w:p>
        </w:tc>
        <w:tc>
          <w:tcPr>
            <w:tcW w:w="2012" w:type="dxa"/>
            <w:tcBorders>
              <w:top w:val="single" w:color="000000" w:sz="4" w:space="0"/>
              <w:left w:val="single" w:color="auto" w:sz="4" w:space="0"/>
              <w:bottom w:val="single" w:color="000000" w:sz="4" w:space="0"/>
              <w:right w:val="single" w:color="000000" w:sz="4" w:space="0"/>
            </w:tcBorders>
            <w:vAlign w:val="center"/>
          </w:tcPr>
          <w:p>
            <w:pPr>
              <w:adjustRightInd w:val="0"/>
              <w:snapToGrid w:val="0"/>
              <w:spacing w:line="240" w:lineRule="exact"/>
              <w:jc w:val="center"/>
              <w:rPr>
                <w:rFonts w:ascii="仿宋" w:hAnsi="仿宋" w:eastAsia="仿宋" w:cs="仿宋"/>
                <w:bCs/>
                <w:szCs w:val="21"/>
              </w:rPr>
            </w:pPr>
            <w:r>
              <w:rPr>
                <w:rFonts w:hint="eastAsia" w:ascii="仿宋" w:hAnsi="仿宋" w:eastAsia="仿宋" w:cs="仿宋"/>
                <w:bCs/>
                <w:szCs w:val="21"/>
              </w:rPr>
              <w:t>G2元巷小区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8" w:hRule="atLeast"/>
          <w:jc w:val="center"/>
        </w:trPr>
        <w:tc>
          <w:tcPr>
            <w:tcW w:w="660" w:type="dxa"/>
            <w:tcBorders>
              <w:top w:val="single" w:color="000000" w:sz="4" w:space="0"/>
              <w:left w:val="single" w:color="000000" w:sz="4" w:space="0"/>
              <w:bottom w:val="single" w:color="000000" w:sz="4" w:space="0"/>
              <w:right w:val="single" w:color="auto" w:sz="4" w:space="0"/>
            </w:tcBorders>
            <w:vAlign w:val="center"/>
          </w:tcPr>
          <w:p>
            <w:pPr>
              <w:spacing w:line="240" w:lineRule="exact"/>
              <w:jc w:val="center"/>
              <w:rPr>
                <w:rFonts w:ascii="仿宋" w:hAnsi="仿宋" w:eastAsia="仿宋" w:cs="仿宋"/>
                <w:bCs/>
                <w:szCs w:val="21"/>
              </w:rPr>
            </w:pPr>
            <w:r>
              <w:rPr>
                <w:rFonts w:ascii="仿宋" w:hAnsi="仿宋" w:eastAsia="仿宋" w:cs="仿宋"/>
                <w:bCs/>
                <w:szCs w:val="21"/>
              </w:rPr>
              <w:t>1</w:t>
            </w:r>
          </w:p>
        </w:tc>
        <w:tc>
          <w:tcPr>
            <w:tcW w:w="892" w:type="dxa"/>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仿宋" w:hAnsi="仿宋" w:eastAsia="仿宋" w:cs="仿宋"/>
                <w:bCs/>
                <w:szCs w:val="21"/>
              </w:rPr>
            </w:pPr>
            <w:r>
              <w:rPr>
                <w:rFonts w:ascii="仿宋" w:hAnsi="仿宋" w:eastAsia="仿宋" w:cs="仿宋"/>
                <w:bCs/>
                <w:szCs w:val="21"/>
              </w:rPr>
              <w:t>非甲烷总烃</w:t>
            </w:r>
          </w:p>
        </w:tc>
        <w:tc>
          <w:tcPr>
            <w:tcW w:w="773" w:type="dxa"/>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w:t>
            </w:r>
          </w:p>
        </w:tc>
        <w:tc>
          <w:tcPr>
            <w:tcW w:w="1107" w:type="dxa"/>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小时值</w:t>
            </w:r>
          </w:p>
        </w:tc>
        <w:tc>
          <w:tcPr>
            <w:tcW w:w="1657" w:type="dxa"/>
            <w:vMerge w:val="restart"/>
            <w:tcBorders>
              <w:top w:val="single" w:color="000000" w:sz="4" w:space="0"/>
              <w:left w:val="single" w:color="auto" w:sz="4" w:space="0"/>
              <w:right w:val="single" w:color="auto" w:sz="4" w:space="0"/>
            </w:tcBorders>
            <w:vAlign w:val="center"/>
          </w:tcPr>
          <w:p>
            <w:pPr>
              <w:spacing w:line="240" w:lineRule="exact"/>
              <w:jc w:val="center"/>
              <w:rPr>
                <w:rFonts w:ascii="仿宋" w:hAnsi="仿宋" w:eastAsia="仿宋" w:cs="仿宋"/>
                <w:bCs/>
                <w:szCs w:val="21"/>
              </w:rPr>
            </w:pPr>
            <w:r>
              <w:rPr>
                <w:rFonts w:ascii="仿宋" w:hAnsi="仿宋" w:eastAsia="仿宋" w:cs="仿宋"/>
                <w:bCs/>
                <w:szCs w:val="21"/>
              </w:rPr>
              <w:t>《大气污染物综合排放标准详解》选用标准</w:t>
            </w:r>
          </w:p>
        </w:tc>
        <w:tc>
          <w:tcPr>
            <w:tcW w:w="1852" w:type="dxa"/>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0.35-0.73</w:t>
            </w:r>
          </w:p>
        </w:tc>
        <w:tc>
          <w:tcPr>
            <w:tcW w:w="2012" w:type="dxa"/>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0.35-0.76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8" w:hRule="atLeast"/>
          <w:jc w:val="center"/>
        </w:trPr>
        <w:tc>
          <w:tcPr>
            <w:tcW w:w="660" w:type="dxa"/>
            <w:tcBorders>
              <w:top w:val="single" w:color="000000" w:sz="4" w:space="0"/>
              <w:left w:val="single" w:color="000000" w:sz="4" w:space="0"/>
              <w:bottom w:val="single" w:color="000000" w:sz="4" w:space="0"/>
              <w:right w:val="single" w:color="auto" w:sz="4" w:space="0"/>
            </w:tcBorders>
            <w:vAlign w:val="center"/>
          </w:tcPr>
          <w:p>
            <w:pPr>
              <w:spacing w:line="240" w:lineRule="exact"/>
              <w:jc w:val="center"/>
              <w:rPr>
                <w:rFonts w:ascii="仿宋" w:hAnsi="仿宋" w:eastAsia="仿宋" w:cs="仿宋"/>
                <w:bCs/>
                <w:szCs w:val="21"/>
              </w:rPr>
            </w:pPr>
            <w:r>
              <w:rPr>
                <w:rFonts w:ascii="仿宋" w:hAnsi="仿宋" w:eastAsia="仿宋" w:cs="仿宋"/>
                <w:bCs/>
                <w:szCs w:val="21"/>
              </w:rPr>
              <w:t>2</w:t>
            </w:r>
          </w:p>
        </w:tc>
        <w:tc>
          <w:tcPr>
            <w:tcW w:w="892" w:type="dxa"/>
            <w:tcBorders>
              <w:top w:val="single" w:color="000000" w:sz="4" w:space="0"/>
              <w:left w:val="single" w:color="auto" w:sz="4" w:space="0"/>
              <w:bottom w:val="single" w:color="000000" w:sz="4" w:space="0"/>
              <w:righ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二甲苯</w:t>
            </w:r>
          </w:p>
        </w:tc>
        <w:tc>
          <w:tcPr>
            <w:tcW w:w="773" w:type="dxa"/>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0.2</w:t>
            </w:r>
          </w:p>
        </w:tc>
        <w:tc>
          <w:tcPr>
            <w:tcW w:w="1107" w:type="dxa"/>
            <w:tcBorders>
              <w:top w:val="single" w:color="000000" w:sz="4" w:space="0"/>
              <w:left w:val="single" w:color="auto" w:sz="4" w:space="0"/>
              <w:bottom w:val="single" w:color="000000" w:sz="4" w:space="0"/>
              <w:right w:val="single" w:color="auto" w:sz="4" w:space="0"/>
            </w:tcBorders>
            <w:vAlign w:val="center"/>
          </w:tcPr>
          <w:p>
            <w:pPr>
              <w:jc w:val="center"/>
            </w:pPr>
            <w:r>
              <w:rPr>
                <w:rFonts w:hint="eastAsia" w:ascii="仿宋" w:hAnsi="仿宋" w:eastAsia="仿宋" w:cs="仿宋"/>
                <w:bCs/>
                <w:szCs w:val="21"/>
              </w:rPr>
              <w:t>小时值</w:t>
            </w:r>
          </w:p>
        </w:tc>
        <w:tc>
          <w:tcPr>
            <w:tcW w:w="1657" w:type="dxa"/>
            <w:vMerge w:val="continue"/>
            <w:tcBorders>
              <w:left w:val="single" w:color="auto" w:sz="4" w:space="0"/>
              <w:right w:val="single" w:color="auto" w:sz="4" w:space="0"/>
            </w:tcBorders>
            <w:vAlign w:val="center"/>
          </w:tcPr>
          <w:p>
            <w:pPr>
              <w:spacing w:line="240" w:lineRule="exact"/>
              <w:jc w:val="center"/>
              <w:rPr>
                <w:rFonts w:ascii="仿宋" w:hAnsi="仿宋" w:eastAsia="仿宋" w:cs="仿宋"/>
                <w:bCs/>
                <w:szCs w:val="21"/>
              </w:rPr>
            </w:pPr>
          </w:p>
        </w:tc>
        <w:tc>
          <w:tcPr>
            <w:tcW w:w="1852" w:type="dxa"/>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3.6×10</w:t>
            </w:r>
            <w:r>
              <w:rPr>
                <w:rFonts w:hint="eastAsia" w:ascii="仿宋" w:hAnsi="仿宋" w:eastAsia="仿宋" w:cs="仿宋"/>
                <w:bCs/>
                <w:szCs w:val="21"/>
                <w:vertAlign w:val="superscript"/>
              </w:rPr>
              <w:t>-2</w:t>
            </w:r>
            <w:r>
              <w:rPr>
                <w:rFonts w:hint="eastAsia" w:ascii="仿宋" w:hAnsi="仿宋" w:eastAsia="仿宋" w:cs="仿宋"/>
                <w:bCs/>
                <w:szCs w:val="21"/>
              </w:rPr>
              <w:t>-</w:t>
            </w:r>
            <w:r>
              <w:rPr>
                <w:rFonts w:ascii="仿宋" w:hAnsi="仿宋" w:eastAsia="仿宋" w:cs="仿宋"/>
                <w:bCs/>
                <w:szCs w:val="21"/>
              </w:rPr>
              <w:t>0.</w:t>
            </w:r>
            <w:r>
              <w:rPr>
                <w:rFonts w:hint="eastAsia" w:ascii="仿宋" w:hAnsi="仿宋" w:eastAsia="仿宋" w:cs="仿宋"/>
                <w:bCs/>
                <w:szCs w:val="21"/>
              </w:rPr>
              <w:t>34</w:t>
            </w:r>
          </w:p>
        </w:tc>
        <w:tc>
          <w:tcPr>
            <w:tcW w:w="2012" w:type="dxa"/>
            <w:tcBorders>
              <w:top w:val="single" w:color="000000" w:sz="4" w:space="0"/>
              <w:left w:val="single" w:color="auto" w:sz="4" w:space="0"/>
              <w:bottom w:val="single" w:color="000000" w:sz="4" w:space="0"/>
              <w:right w:val="single" w:color="000000"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2.95×10</w:t>
            </w:r>
            <w:r>
              <w:rPr>
                <w:rFonts w:hint="eastAsia" w:ascii="仿宋" w:hAnsi="仿宋" w:eastAsia="仿宋" w:cs="仿宋"/>
                <w:bCs/>
                <w:szCs w:val="21"/>
                <w:vertAlign w:val="superscript"/>
              </w:rPr>
              <w:t>-2</w:t>
            </w:r>
            <w:r>
              <w:rPr>
                <w:rFonts w:hint="eastAsia" w:ascii="仿宋" w:hAnsi="仿宋" w:eastAsia="仿宋" w:cs="仿宋"/>
                <w:bCs/>
                <w:szCs w:val="21"/>
              </w:rPr>
              <w:t>-</w:t>
            </w:r>
            <w:r>
              <w:rPr>
                <w:rFonts w:ascii="仿宋" w:hAnsi="仿宋" w:eastAsia="仿宋" w:cs="仿宋"/>
                <w:bCs/>
                <w:szCs w:val="21"/>
              </w:rPr>
              <w:t>0.</w:t>
            </w:r>
            <w:r>
              <w:rPr>
                <w:rFonts w:hint="eastAsia" w:ascii="仿宋" w:hAnsi="仿宋" w:eastAsia="仿宋" w:cs="仿宋"/>
                <w:bCs/>
                <w:szCs w:val="21"/>
              </w:rPr>
              <w:t>329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0" w:hRule="atLeast"/>
          <w:jc w:val="center"/>
        </w:trPr>
        <w:tc>
          <w:tcPr>
            <w:tcW w:w="660" w:type="dxa"/>
            <w:tcBorders>
              <w:top w:val="single" w:color="000000" w:sz="4" w:space="0"/>
              <w:left w:val="single" w:color="000000" w:sz="4" w:space="0"/>
              <w:righ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w:t>
            </w:r>
          </w:p>
        </w:tc>
        <w:tc>
          <w:tcPr>
            <w:tcW w:w="892" w:type="dxa"/>
            <w:tcBorders>
              <w:top w:val="single" w:color="000000" w:sz="4" w:space="0"/>
              <w:left w:val="single" w:color="auto" w:sz="4" w:space="0"/>
              <w:righ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乙酸乙酯</w:t>
            </w:r>
          </w:p>
        </w:tc>
        <w:tc>
          <w:tcPr>
            <w:tcW w:w="773" w:type="dxa"/>
            <w:tcBorders>
              <w:top w:val="single" w:color="000000" w:sz="4" w:space="0"/>
              <w:left w:val="single" w:color="auto" w:sz="4" w:space="0"/>
              <w:right w:val="single" w:color="000000"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.1</w:t>
            </w:r>
          </w:p>
        </w:tc>
        <w:tc>
          <w:tcPr>
            <w:tcW w:w="1107" w:type="dxa"/>
            <w:tcBorders>
              <w:top w:val="single" w:color="000000" w:sz="4" w:space="0"/>
              <w:left w:val="single" w:color="auto" w:sz="4" w:space="0"/>
              <w:right w:val="single" w:color="auto" w:sz="4" w:space="0"/>
            </w:tcBorders>
            <w:vAlign w:val="center"/>
          </w:tcPr>
          <w:p>
            <w:pPr>
              <w:jc w:val="center"/>
              <w:rPr>
                <w:rFonts w:ascii="仿宋" w:hAnsi="仿宋" w:eastAsia="仿宋" w:cs="仿宋"/>
                <w:bCs/>
                <w:szCs w:val="21"/>
              </w:rPr>
            </w:pPr>
            <w:r>
              <w:rPr>
                <w:rFonts w:hint="eastAsia" w:ascii="仿宋" w:hAnsi="仿宋" w:eastAsia="仿宋" w:cs="仿宋"/>
                <w:bCs/>
                <w:szCs w:val="21"/>
              </w:rPr>
              <w:t>小时值</w:t>
            </w:r>
          </w:p>
        </w:tc>
        <w:tc>
          <w:tcPr>
            <w:tcW w:w="1657" w:type="dxa"/>
            <w:tcBorders>
              <w:left w:val="single" w:color="auto" w:sz="4" w:space="0"/>
              <w:right w:val="single" w:color="auto" w:sz="4" w:space="0"/>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苏联居民区大气中有害物质的最大允许浓度</w:t>
            </w:r>
          </w:p>
        </w:tc>
        <w:tc>
          <w:tcPr>
            <w:tcW w:w="1852" w:type="dxa"/>
            <w:tcBorders>
              <w:top w:val="single" w:color="000000" w:sz="4" w:space="0"/>
              <w:left w:val="single" w:color="auto" w:sz="4" w:space="0"/>
              <w:right w:val="single" w:color="000000" w:sz="4" w:space="0"/>
            </w:tcBorders>
            <w:vAlign w:val="center"/>
          </w:tcPr>
          <w:p>
            <w:pPr>
              <w:spacing w:line="240" w:lineRule="exact"/>
              <w:jc w:val="center"/>
              <w:rPr>
                <w:rFonts w:ascii="仿宋" w:hAnsi="仿宋" w:eastAsia="仿宋" w:cs="仿宋"/>
                <w:bCs/>
                <w:szCs w:val="21"/>
              </w:rPr>
            </w:pPr>
            <w:r>
              <w:rPr>
                <w:rFonts w:ascii="仿宋" w:hAnsi="仿宋" w:eastAsia="仿宋" w:cs="仿宋"/>
                <w:bCs/>
                <w:szCs w:val="21"/>
              </w:rPr>
              <w:t>3</w:t>
            </w:r>
            <w:r>
              <w:rPr>
                <w:rFonts w:hint="eastAsia" w:ascii="仿宋" w:hAnsi="仿宋" w:eastAsia="仿宋" w:cs="仿宋"/>
                <w:bCs/>
                <w:szCs w:val="21"/>
              </w:rPr>
              <w:t>.</w:t>
            </w:r>
            <w:r>
              <w:rPr>
                <w:rFonts w:ascii="仿宋" w:hAnsi="仿宋" w:eastAsia="仿宋" w:cs="仿宋"/>
                <w:bCs/>
                <w:szCs w:val="21"/>
              </w:rPr>
              <w:t>9</w:t>
            </w:r>
            <w:r>
              <w:rPr>
                <w:rFonts w:hint="eastAsia" w:ascii="仿宋" w:hAnsi="仿宋" w:eastAsia="仿宋" w:cs="仿宋"/>
                <w:bCs/>
                <w:szCs w:val="21"/>
              </w:rPr>
              <w:t>×10</w:t>
            </w:r>
            <w:r>
              <w:rPr>
                <w:rFonts w:hint="eastAsia" w:ascii="仿宋" w:hAnsi="仿宋" w:eastAsia="仿宋" w:cs="仿宋"/>
                <w:bCs/>
                <w:szCs w:val="21"/>
                <w:vertAlign w:val="superscript"/>
              </w:rPr>
              <w:t>-</w:t>
            </w:r>
            <w:r>
              <w:rPr>
                <w:rFonts w:ascii="仿宋" w:hAnsi="仿宋" w:eastAsia="仿宋" w:cs="仿宋"/>
                <w:bCs/>
                <w:szCs w:val="21"/>
                <w:vertAlign w:val="superscript"/>
              </w:rPr>
              <w:t>2</w:t>
            </w:r>
            <w:r>
              <w:rPr>
                <w:rFonts w:hint="eastAsia" w:ascii="仿宋" w:hAnsi="仿宋" w:eastAsia="仿宋" w:cs="仿宋"/>
                <w:bCs/>
                <w:szCs w:val="21"/>
              </w:rPr>
              <w:t>-</w:t>
            </w:r>
            <w:r>
              <w:rPr>
                <w:rFonts w:ascii="仿宋" w:hAnsi="仿宋" w:eastAsia="仿宋" w:cs="仿宋"/>
                <w:bCs/>
                <w:szCs w:val="21"/>
              </w:rPr>
              <w:t>0.992</w:t>
            </w:r>
          </w:p>
        </w:tc>
        <w:tc>
          <w:tcPr>
            <w:tcW w:w="2012" w:type="dxa"/>
            <w:tcBorders>
              <w:top w:val="single" w:color="000000" w:sz="4" w:space="0"/>
              <w:left w:val="single" w:color="auto" w:sz="4" w:space="0"/>
              <w:right w:val="single" w:color="000000" w:sz="4" w:space="0"/>
            </w:tcBorders>
            <w:vAlign w:val="center"/>
          </w:tcPr>
          <w:p>
            <w:pPr>
              <w:spacing w:line="240" w:lineRule="exact"/>
              <w:jc w:val="center"/>
              <w:rPr>
                <w:rFonts w:ascii="仿宋" w:hAnsi="仿宋" w:eastAsia="仿宋" w:cs="仿宋"/>
                <w:bCs/>
                <w:szCs w:val="21"/>
              </w:rPr>
            </w:pPr>
            <w:r>
              <w:rPr>
                <w:rFonts w:ascii="仿宋" w:hAnsi="仿宋" w:eastAsia="仿宋" w:cs="仿宋"/>
                <w:bCs/>
                <w:szCs w:val="21"/>
              </w:rPr>
              <w:t>2</w:t>
            </w:r>
            <w:r>
              <w:rPr>
                <w:rFonts w:hint="eastAsia" w:ascii="仿宋" w:hAnsi="仿宋" w:eastAsia="仿宋" w:cs="仿宋"/>
                <w:bCs/>
                <w:szCs w:val="21"/>
              </w:rPr>
              <w:t>.</w:t>
            </w:r>
            <w:r>
              <w:rPr>
                <w:rFonts w:ascii="仿宋" w:hAnsi="仿宋" w:eastAsia="仿宋" w:cs="仿宋"/>
                <w:bCs/>
                <w:szCs w:val="21"/>
              </w:rPr>
              <w:t>8</w:t>
            </w:r>
            <w:r>
              <w:rPr>
                <w:rFonts w:hint="eastAsia" w:ascii="仿宋" w:hAnsi="仿宋" w:eastAsia="仿宋" w:cs="仿宋"/>
                <w:bCs/>
                <w:szCs w:val="21"/>
              </w:rPr>
              <w:t>×10</w:t>
            </w:r>
            <w:r>
              <w:rPr>
                <w:rFonts w:hint="eastAsia" w:ascii="仿宋" w:hAnsi="仿宋" w:eastAsia="仿宋" w:cs="仿宋"/>
                <w:bCs/>
                <w:szCs w:val="21"/>
                <w:vertAlign w:val="superscript"/>
              </w:rPr>
              <w:t>-</w:t>
            </w:r>
            <w:r>
              <w:rPr>
                <w:rFonts w:ascii="仿宋" w:hAnsi="仿宋" w:eastAsia="仿宋" w:cs="仿宋"/>
                <w:bCs/>
                <w:szCs w:val="21"/>
                <w:vertAlign w:val="superscript"/>
              </w:rPr>
              <w:t>2</w:t>
            </w:r>
            <w:r>
              <w:rPr>
                <w:rFonts w:hint="eastAsia" w:ascii="仿宋" w:hAnsi="仿宋" w:eastAsia="仿宋" w:cs="仿宋"/>
                <w:bCs/>
                <w:szCs w:val="21"/>
              </w:rPr>
              <w:t>-</w:t>
            </w:r>
            <w:r>
              <w:rPr>
                <w:rFonts w:ascii="仿宋" w:hAnsi="仿宋" w:eastAsia="仿宋" w:cs="仿宋"/>
                <w:bCs/>
                <w:szCs w:val="21"/>
              </w:rPr>
              <w:t>0.387</w:t>
            </w:r>
          </w:p>
        </w:tc>
      </w:tr>
    </w:tbl>
    <w:p>
      <w:pPr>
        <w:spacing w:line="500" w:lineRule="exact"/>
        <w:ind w:firstLine="560" w:firstLineChars="200"/>
        <w:rPr>
          <w:rFonts w:eastAsia="仿宋_GB2312"/>
          <w:sz w:val="28"/>
          <w:szCs w:val="28"/>
        </w:rPr>
      </w:pPr>
      <w:r>
        <w:rPr>
          <w:rFonts w:eastAsia="仿宋_GB2312"/>
          <w:sz w:val="28"/>
          <w:szCs w:val="28"/>
        </w:rPr>
        <w:t>从大气环境</w:t>
      </w:r>
      <w:r>
        <w:rPr>
          <w:rFonts w:hint="eastAsia" w:eastAsia="仿宋_GB2312"/>
          <w:sz w:val="28"/>
          <w:szCs w:val="28"/>
        </w:rPr>
        <w:t>补充</w:t>
      </w:r>
      <w:r>
        <w:rPr>
          <w:rFonts w:eastAsia="仿宋_GB2312"/>
          <w:sz w:val="28"/>
          <w:szCs w:val="28"/>
        </w:rPr>
        <w:t>监测结果及评价指数来看，各监测点各因子均符合相关标准。</w:t>
      </w:r>
    </w:p>
    <w:p>
      <w:pPr>
        <w:pStyle w:val="4"/>
        <w:keepLines w:val="0"/>
        <w:numPr>
          <w:ilvl w:val="2"/>
          <w:numId w:val="12"/>
        </w:numPr>
        <w:tabs>
          <w:tab w:val="left" w:pos="709"/>
        </w:tabs>
        <w:spacing w:before="120" w:beforeLines="50" w:after="120" w:afterLines="50" w:line="500" w:lineRule="exact"/>
        <w:ind w:left="452" w:hanging="452" w:hangingChars="150"/>
        <w:rPr>
          <w:rFonts w:eastAsia="仿宋_GB2312"/>
          <w:sz w:val="30"/>
          <w:szCs w:val="30"/>
        </w:rPr>
      </w:pPr>
      <w:bookmarkStart w:id="294" w:name="_Toc192613769"/>
      <w:bookmarkStart w:id="295" w:name="_Toc254685638"/>
      <w:bookmarkStart w:id="296" w:name="_Toc183165316"/>
      <w:bookmarkStart w:id="297" w:name="_Toc304838111"/>
      <w:bookmarkStart w:id="298" w:name="_Toc150574779"/>
      <w:bookmarkStart w:id="299" w:name="_Toc211068007"/>
      <w:bookmarkStart w:id="300" w:name="_Toc150574780"/>
      <w:bookmarkStart w:id="301" w:name="_Toc100549922"/>
      <w:bookmarkStart w:id="302" w:name="_Toc109793320"/>
      <w:bookmarkStart w:id="303" w:name="_Toc85012541"/>
      <w:bookmarkStart w:id="304" w:name="_Toc85180839"/>
      <w:r>
        <w:rPr>
          <w:rFonts w:eastAsia="仿宋_GB2312"/>
          <w:sz w:val="30"/>
          <w:szCs w:val="30"/>
        </w:rPr>
        <w:t>地表水环境质量现状监测与评价</w:t>
      </w:r>
      <w:bookmarkEnd w:id="294"/>
      <w:bookmarkEnd w:id="295"/>
      <w:bookmarkEnd w:id="296"/>
      <w:bookmarkEnd w:id="297"/>
      <w:bookmarkEnd w:id="298"/>
      <w:bookmarkEnd w:id="299"/>
    </w:p>
    <w:p>
      <w:pPr>
        <w:pStyle w:val="5"/>
        <w:keepLines w:val="0"/>
        <w:widowControl/>
        <w:numPr>
          <w:ilvl w:val="3"/>
          <w:numId w:val="12"/>
        </w:numPr>
        <w:adjustRightInd w:val="0"/>
        <w:snapToGrid w:val="0"/>
        <w:spacing w:after="120" w:afterLines="50"/>
        <w:ind w:left="0" w:firstLine="0"/>
        <w:jc w:val="left"/>
        <w:rPr>
          <w:rFonts w:ascii="Times New Roman" w:hAnsi="Times New Roman"/>
          <w:b/>
        </w:rPr>
      </w:pPr>
      <w:r>
        <w:rPr>
          <w:rFonts w:ascii="Times New Roman" w:hAnsi="Times New Roman"/>
          <w:b/>
        </w:rPr>
        <w:t>地表水环境现状监测</w:t>
      </w:r>
    </w:p>
    <w:p>
      <w:pPr>
        <w:spacing w:line="500" w:lineRule="exact"/>
        <w:ind w:firstLine="560" w:firstLineChars="200"/>
        <w:rPr>
          <w:rFonts w:eastAsia="仿宋_GB2312"/>
          <w:sz w:val="28"/>
          <w:szCs w:val="28"/>
          <w:lang w:val="zh-CN"/>
        </w:rPr>
      </w:pPr>
      <w:r>
        <w:rPr>
          <w:rFonts w:eastAsia="仿宋_GB2312"/>
          <w:sz w:val="28"/>
          <w:szCs w:val="28"/>
        </w:rPr>
        <w:t>（1）</w:t>
      </w:r>
      <w:r>
        <w:rPr>
          <w:rFonts w:eastAsia="仿宋_GB2312"/>
          <w:sz w:val="28"/>
          <w:szCs w:val="28"/>
          <w:lang w:val="zh-CN"/>
        </w:rPr>
        <w:t>监测断面的布设</w:t>
      </w:r>
    </w:p>
    <w:p>
      <w:pPr>
        <w:spacing w:line="500" w:lineRule="exact"/>
        <w:ind w:firstLine="560" w:firstLineChars="200"/>
        <w:rPr>
          <w:rFonts w:eastAsia="仿宋_GB2312"/>
          <w:sz w:val="28"/>
          <w:szCs w:val="28"/>
          <w:lang w:val="zh-CN"/>
        </w:rPr>
      </w:pPr>
      <w:bookmarkStart w:id="305" w:name="_Ref452302191"/>
      <w:r>
        <w:rPr>
          <w:rFonts w:eastAsia="仿宋_GB2312"/>
          <w:sz w:val="28"/>
          <w:szCs w:val="28"/>
        </w:rPr>
        <w:t>本项目</w:t>
      </w:r>
      <w:r>
        <w:rPr>
          <w:rFonts w:hint="eastAsia" w:eastAsia="仿宋_GB2312"/>
          <w:sz w:val="28"/>
          <w:szCs w:val="28"/>
        </w:rPr>
        <w:t>建成</w:t>
      </w:r>
      <w:r>
        <w:rPr>
          <w:rFonts w:eastAsia="仿宋_GB2312"/>
          <w:sz w:val="28"/>
          <w:szCs w:val="28"/>
        </w:rPr>
        <w:t>后废水</w:t>
      </w:r>
      <w:r>
        <w:rPr>
          <w:rFonts w:hint="eastAsia" w:eastAsia="仿宋_GB2312"/>
          <w:sz w:val="28"/>
          <w:szCs w:val="28"/>
        </w:rPr>
        <w:t>接管</w:t>
      </w:r>
      <w:r>
        <w:rPr>
          <w:rFonts w:eastAsia="仿宋_GB2312"/>
          <w:sz w:val="28"/>
          <w:szCs w:val="28"/>
        </w:rPr>
        <w:t>至</w:t>
      </w:r>
      <w:r>
        <w:rPr>
          <w:rFonts w:hint="eastAsia" w:eastAsia="仿宋_GB2312"/>
          <w:sz w:val="28"/>
          <w:szCs w:val="28"/>
        </w:rPr>
        <w:t>金坛第二污水</w:t>
      </w:r>
      <w:r>
        <w:rPr>
          <w:rFonts w:eastAsia="仿宋_GB2312"/>
          <w:sz w:val="28"/>
          <w:szCs w:val="28"/>
        </w:rPr>
        <w:t>处理厂处理，尾水排入</w:t>
      </w:r>
      <w:r>
        <w:rPr>
          <w:rFonts w:hint="eastAsia" w:eastAsia="仿宋_GB2312"/>
          <w:sz w:val="28"/>
          <w:szCs w:val="28"/>
        </w:rPr>
        <w:t>尧塘河。本次尧塘河环境质量引用江苏久诚检验检测有限公司于2021年7月8日至10日对常州金坛区第二污水处理有限公司排口上游500米（W1）、常州金坛区第二污水处理有限公司排口下游2000米（W2）两个断面进行监测。监测数据见《检测报告》【JCH202</w:t>
      </w:r>
      <w:r>
        <w:rPr>
          <w:rFonts w:eastAsia="仿宋_GB2312"/>
          <w:sz w:val="28"/>
          <w:szCs w:val="28"/>
        </w:rPr>
        <w:t>30498</w:t>
      </w:r>
      <w:r>
        <w:rPr>
          <w:rFonts w:hint="eastAsia" w:eastAsia="仿宋_GB2312"/>
          <w:sz w:val="28"/>
          <w:szCs w:val="28"/>
        </w:rPr>
        <w:t>】</w:t>
      </w:r>
      <w:r>
        <w:rPr>
          <w:rFonts w:hint="eastAsia" w:ascii="华文仿宋" w:hAnsi="华文仿宋" w:eastAsia="华文仿宋" w:cs="华文仿宋"/>
          <w:sz w:val="28"/>
          <w:szCs w:val="28"/>
        </w:rPr>
        <w:t>。</w:t>
      </w:r>
      <w:r>
        <w:rPr>
          <w:rFonts w:eastAsia="仿宋_GB2312"/>
          <w:sz w:val="28"/>
          <w:szCs w:val="28"/>
          <w:lang w:val="zh-CN"/>
        </w:rPr>
        <w:t>监测断面和监测因子具体见下表</w:t>
      </w:r>
      <w:r>
        <w:rPr>
          <w:rFonts w:eastAsia="仿宋_GB2312"/>
          <w:b/>
          <w:bCs/>
          <w:sz w:val="28"/>
          <w:szCs w:val="28"/>
          <w:lang w:val="zh-CN"/>
        </w:rPr>
        <w:t>。</w:t>
      </w:r>
    </w:p>
    <w:p>
      <w:pPr>
        <w:spacing w:line="500" w:lineRule="exact"/>
        <w:ind w:left="560" w:firstLine="843" w:firstLineChars="350"/>
        <w:rPr>
          <w:rFonts w:eastAsia="仿宋_GB2312"/>
          <w:b/>
          <w:bCs/>
          <w:sz w:val="24"/>
        </w:rPr>
      </w:pPr>
      <w:r>
        <w:rPr>
          <w:rFonts w:eastAsia="仿宋_GB2312"/>
          <w:b/>
          <w:sz w:val="24"/>
        </w:rPr>
        <w:t>表</w:t>
      </w:r>
      <w:bookmarkEnd w:id="305"/>
      <w:r>
        <w:rPr>
          <w:rFonts w:eastAsia="仿宋_GB2312"/>
          <w:b/>
          <w:sz w:val="24"/>
        </w:rPr>
        <w:t xml:space="preserve">4.2-5   </w:t>
      </w:r>
      <w:r>
        <w:rPr>
          <w:rFonts w:eastAsia="仿宋_GB2312"/>
          <w:b/>
          <w:bCs/>
          <w:sz w:val="24"/>
        </w:rPr>
        <w:t>地表水环境监测断面具体位置一览表</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0"/>
        <w:gridCol w:w="1906"/>
        <w:gridCol w:w="5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jc w:val="center"/>
        </w:trPr>
        <w:tc>
          <w:tcPr>
            <w:tcW w:w="952" w:type="pct"/>
            <w:vAlign w:val="center"/>
          </w:tcPr>
          <w:p>
            <w:pPr>
              <w:jc w:val="center"/>
              <w:rPr>
                <w:rFonts w:ascii="仿宋" w:hAnsi="仿宋" w:eastAsia="仿宋"/>
              </w:rPr>
            </w:pPr>
            <w:r>
              <w:rPr>
                <w:rFonts w:hint="eastAsia" w:ascii="仿宋" w:hAnsi="仿宋" w:eastAsia="仿宋"/>
              </w:rPr>
              <w:t>断面编号</w:t>
            </w:r>
          </w:p>
        </w:tc>
        <w:tc>
          <w:tcPr>
            <w:tcW w:w="1031" w:type="pct"/>
            <w:vAlign w:val="center"/>
          </w:tcPr>
          <w:p>
            <w:pPr>
              <w:jc w:val="center"/>
              <w:rPr>
                <w:rFonts w:ascii="仿宋" w:hAnsi="仿宋" w:eastAsia="仿宋"/>
              </w:rPr>
            </w:pPr>
            <w:r>
              <w:rPr>
                <w:rFonts w:hint="eastAsia" w:ascii="仿宋" w:hAnsi="仿宋" w:eastAsia="仿宋"/>
              </w:rPr>
              <w:t>水系名称</w:t>
            </w:r>
          </w:p>
        </w:tc>
        <w:tc>
          <w:tcPr>
            <w:tcW w:w="3016" w:type="pct"/>
            <w:vAlign w:val="center"/>
          </w:tcPr>
          <w:p>
            <w:pPr>
              <w:jc w:val="center"/>
              <w:rPr>
                <w:rFonts w:ascii="仿宋" w:hAnsi="仿宋" w:eastAsia="仿宋"/>
              </w:rPr>
            </w:pPr>
            <w:r>
              <w:rPr>
                <w:rFonts w:hint="eastAsia" w:ascii="仿宋" w:hAnsi="仿宋" w:eastAsia="仿宋"/>
              </w:rPr>
              <w:t>断面布设位置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jc w:val="center"/>
        </w:trPr>
        <w:tc>
          <w:tcPr>
            <w:tcW w:w="952" w:type="pct"/>
            <w:vAlign w:val="center"/>
          </w:tcPr>
          <w:p>
            <w:pPr>
              <w:jc w:val="center"/>
              <w:rPr>
                <w:rFonts w:ascii="仿宋" w:hAnsi="仿宋" w:eastAsia="仿宋"/>
              </w:rPr>
            </w:pPr>
            <w:r>
              <w:rPr>
                <w:rFonts w:hint="eastAsia" w:ascii="仿宋" w:hAnsi="仿宋" w:eastAsia="仿宋"/>
              </w:rPr>
              <w:t>Wl</w:t>
            </w:r>
          </w:p>
        </w:tc>
        <w:tc>
          <w:tcPr>
            <w:tcW w:w="1031" w:type="pct"/>
            <w:vMerge w:val="restart"/>
            <w:vAlign w:val="center"/>
          </w:tcPr>
          <w:p>
            <w:pPr>
              <w:jc w:val="center"/>
              <w:rPr>
                <w:rFonts w:ascii="仿宋" w:hAnsi="仿宋" w:eastAsia="仿宋"/>
              </w:rPr>
            </w:pPr>
            <w:r>
              <w:rPr>
                <w:rFonts w:hint="eastAsia" w:ascii="仿宋" w:hAnsi="仿宋" w:eastAsia="仿宋"/>
              </w:rPr>
              <w:t>尧塘河</w:t>
            </w:r>
          </w:p>
        </w:tc>
        <w:tc>
          <w:tcPr>
            <w:tcW w:w="5576" w:type="dxa"/>
            <w:vAlign w:val="center"/>
          </w:tcPr>
          <w:p>
            <w:pPr>
              <w:pStyle w:val="286"/>
              <w:snapToGrid w:val="0"/>
              <w:spacing w:after="0" w:line="320" w:lineRule="exact"/>
              <w:ind w:left="0" w:leftChars="0" w:firstLine="0" w:firstLineChars="0"/>
              <w:jc w:val="center"/>
              <w:textAlignment w:val="auto"/>
              <w:rPr>
                <w:rFonts w:ascii="仿宋" w:hAnsi="仿宋" w:eastAsia="仿宋"/>
              </w:rPr>
            </w:pPr>
            <w:r>
              <w:rPr>
                <w:rFonts w:ascii="仿宋" w:hAnsi="仿宋" w:eastAsia="仿宋"/>
                <w:sz w:val="21"/>
                <w:szCs w:val="21"/>
              </w:rPr>
              <w:t>常州金坛区第二污水处理有限公司排口上游500米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952" w:type="pct"/>
            <w:vAlign w:val="center"/>
          </w:tcPr>
          <w:p>
            <w:pPr>
              <w:jc w:val="center"/>
              <w:rPr>
                <w:rFonts w:ascii="仿宋" w:hAnsi="仿宋" w:eastAsia="仿宋"/>
              </w:rPr>
            </w:pPr>
            <w:r>
              <w:rPr>
                <w:rFonts w:hint="eastAsia" w:ascii="仿宋" w:hAnsi="仿宋" w:eastAsia="仿宋"/>
              </w:rPr>
              <w:t>W2</w:t>
            </w:r>
          </w:p>
        </w:tc>
        <w:tc>
          <w:tcPr>
            <w:tcW w:w="1031" w:type="pct"/>
            <w:vMerge w:val="continue"/>
            <w:vAlign w:val="center"/>
          </w:tcPr>
          <w:p>
            <w:pPr>
              <w:widowControl/>
              <w:rPr>
                <w:rFonts w:ascii="仿宋" w:hAnsi="仿宋" w:eastAsia="仿宋"/>
              </w:rPr>
            </w:pPr>
          </w:p>
        </w:tc>
        <w:tc>
          <w:tcPr>
            <w:tcW w:w="5576" w:type="dxa"/>
            <w:vAlign w:val="center"/>
          </w:tcPr>
          <w:p>
            <w:pPr>
              <w:pStyle w:val="286"/>
              <w:snapToGrid w:val="0"/>
              <w:spacing w:after="0" w:line="320" w:lineRule="exact"/>
              <w:ind w:left="0" w:leftChars="0" w:firstLine="0" w:firstLineChars="0"/>
              <w:jc w:val="center"/>
              <w:textAlignment w:val="auto"/>
              <w:rPr>
                <w:rFonts w:ascii="仿宋" w:hAnsi="仿宋" w:eastAsia="仿宋"/>
              </w:rPr>
            </w:pPr>
            <w:r>
              <w:rPr>
                <w:rFonts w:ascii="仿宋" w:hAnsi="仿宋" w:eastAsia="仿宋"/>
                <w:sz w:val="21"/>
                <w:szCs w:val="21"/>
              </w:rPr>
              <w:t>常州金坛区第二污水处理有限公司排口下游2000米</w:t>
            </w:r>
          </w:p>
        </w:tc>
      </w:tr>
    </w:tbl>
    <w:p>
      <w:pPr>
        <w:spacing w:line="490" w:lineRule="exact"/>
        <w:ind w:firstLine="560" w:firstLineChars="200"/>
        <w:rPr>
          <w:rFonts w:eastAsia="仿宋_GB2312"/>
          <w:sz w:val="28"/>
          <w:szCs w:val="28"/>
        </w:rPr>
      </w:pPr>
      <w:bookmarkStart w:id="306" w:name="_Ref475310412"/>
      <w:r>
        <w:rPr>
          <w:rFonts w:eastAsia="仿宋_GB2312"/>
          <w:sz w:val="28"/>
          <w:szCs w:val="28"/>
        </w:rPr>
        <w:t>（2）</w:t>
      </w:r>
      <w:r>
        <w:rPr>
          <w:rFonts w:eastAsia="仿宋_GB2312"/>
          <w:sz w:val="28"/>
          <w:szCs w:val="28"/>
          <w:lang w:val="zh-CN"/>
        </w:rPr>
        <w:t>监测项目</w:t>
      </w:r>
    </w:p>
    <w:p>
      <w:pPr>
        <w:spacing w:line="490" w:lineRule="exact"/>
        <w:ind w:firstLine="560" w:firstLineChars="200"/>
        <w:rPr>
          <w:rFonts w:eastAsia="仿宋_GB2312"/>
          <w:sz w:val="28"/>
          <w:szCs w:val="21"/>
          <w:lang w:val="zh-CN"/>
        </w:rPr>
      </w:pPr>
      <w:r>
        <w:rPr>
          <w:rFonts w:eastAsia="仿宋_GB2312"/>
          <w:sz w:val="28"/>
          <w:szCs w:val="28"/>
          <w:lang w:val="zh-CN"/>
        </w:rPr>
        <w:t>水质现状监测项目为：</w:t>
      </w:r>
      <w:r>
        <w:rPr>
          <w:rFonts w:eastAsia="仿宋_GB2312"/>
          <w:sz w:val="28"/>
          <w:szCs w:val="21"/>
        </w:rPr>
        <w:t>pH、化学需氧量、氨氮、总磷</w:t>
      </w:r>
      <w:r>
        <w:rPr>
          <w:rFonts w:eastAsia="仿宋_GB2312"/>
          <w:sz w:val="28"/>
          <w:szCs w:val="21"/>
          <w:lang w:val="zh-CN"/>
        </w:rPr>
        <w:t>。</w:t>
      </w:r>
    </w:p>
    <w:p>
      <w:pPr>
        <w:spacing w:line="490" w:lineRule="exact"/>
        <w:ind w:firstLine="560" w:firstLineChars="200"/>
        <w:rPr>
          <w:rFonts w:eastAsia="仿宋_GB2312"/>
          <w:sz w:val="28"/>
          <w:szCs w:val="28"/>
        </w:rPr>
      </w:pPr>
      <w:r>
        <w:rPr>
          <w:rFonts w:eastAsia="仿宋_GB2312"/>
          <w:sz w:val="28"/>
          <w:szCs w:val="28"/>
        </w:rPr>
        <w:t>（3）监测时间及频率、采样及分析方法</w:t>
      </w:r>
    </w:p>
    <w:p>
      <w:pPr>
        <w:spacing w:line="490" w:lineRule="exact"/>
        <w:ind w:firstLine="560" w:firstLineChars="200"/>
        <w:rPr>
          <w:rFonts w:eastAsia="仿宋_GB2312"/>
          <w:sz w:val="28"/>
          <w:szCs w:val="28"/>
          <w:lang w:val="zh-CN"/>
        </w:rPr>
      </w:pPr>
      <w:r>
        <w:rPr>
          <w:rFonts w:eastAsia="仿宋_GB2312"/>
          <w:sz w:val="28"/>
          <w:szCs w:val="28"/>
          <w:lang w:val="zh-CN"/>
        </w:rPr>
        <w:t>监测时间为</w:t>
      </w:r>
      <w:r>
        <w:rPr>
          <w:rFonts w:hint="eastAsia" w:eastAsia="仿宋_GB2312"/>
          <w:sz w:val="28"/>
          <w:szCs w:val="28"/>
        </w:rPr>
        <w:t>2021年7月8日至10日</w:t>
      </w:r>
      <w:r>
        <w:rPr>
          <w:rFonts w:eastAsia="仿宋_GB2312"/>
          <w:sz w:val="28"/>
          <w:szCs w:val="28"/>
          <w:lang w:val="zh-CN"/>
        </w:rPr>
        <w:t>，连续监测3天，每天采样2次,上下午各一次。</w:t>
      </w:r>
    </w:p>
    <w:p>
      <w:pPr>
        <w:spacing w:line="490" w:lineRule="exact"/>
        <w:ind w:firstLine="560" w:firstLineChars="200"/>
        <w:rPr>
          <w:rFonts w:eastAsia="仿宋_GB2312"/>
          <w:sz w:val="28"/>
          <w:szCs w:val="28"/>
        </w:rPr>
      </w:pPr>
      <w:r>
        <w:rPr>
          <w:rFonts w:eastAsia="仿宋_GB2312"/>
          <w:sz w:val="28"/>
          <w:szCs w:val="28"/>
        </w:rPr>
        <w:t>（4）</w:t>
      </w:r>
      <w:r>
        <w:rPr>
          <w:rFonts w:eastAsia="仿宋_GB2312"/>
          <w:sz w:val="28"/>
          <w:szCs w:val="28"/>
          <w:lang w:val="zh-CN"/>
        </w:rPr>
        <w:t>采样及分析方法</w:t>
      </w:r>
    </w:p>
    <w:p>
      <w:pPr>
        <w:spacing w:line="490" w:lineRule="exact"/>
        <w:ind w:firstLine="560" w:firstLineChars="200"/>
        <w:rPr>
          <w:rFonts w:eastAsia="仿宋_GB2312"/>
          <w:sz w:val="28"/>
          <w:szCs w:val="28"/>
        </w:rPr>
      </w:pPr>
      <w:r>
        <w:rPr>
          <w:rFonts w:hint="eastAsia" w:eastAsia="仿宋_GB2312"/>
          <w:sz w:val="28"/>
          <w:szCs w:val="28"/>
        </w:rPr>
        <w:t>按《地表</w:t>
      </w:r>
      <w:r>
        <w:rPr>
          <w:rFonts w:eastAsia="仿宋_GB2312"/>
          <w:sz w:val="28"/>
          <w:szCs w:val="28"/>
        </w:rPr>
        <w:t>水和污水监测技术规范》（HJ/T91-2002）中有关规定和《水和废水监测分析方法》（第四版）的进行。</w:t>
      </w:r>
    </w:p>
    <w:p>
      <w:pPr>
        <w:spacing w:line="490" w:lineRule="exact"/>
        <w:ind w:firstLine="560" w:firstLineChars="200"/>
        <w:rPr>
          <w:rFonts w:eastAsia="仿宋_GB2312"/>
          <w:sz w:val="28"/>
          <w:szCs w:val="28"/>
        </w:rPr>
      </w:pPr>
      <w:r>
        <w:rPr>
          <w:rFonts w:eastAsia="仿宋_GB2312"/>
          <w:sz w:val="28"/>
          <w:szCs w:val="28"/>
        </w:rPr>
        <w:t>（5）</w:t>
      </w:r>
      <w:r>
        <w:rPr>
          <w:rFonts w:eastAsia="仿宋_GB2312"/>
          <w:sz w:val="28"/>
          <w:szCs w:val="28"/>
          <w:lang w:val="zh-CN"/>
        </w:rPr>
        <w:t>水质监测结果</w:t>
      </w:r>
    </w:p>
    <w:p>
      <w:pPr>
        <w:spacing w:line="490" w:lineRule="exact"/>
        <w:ind w:firstLine="560" w:firstLineChars="200"/>
        <w:rPr>
          <w:rFonts w:eastAsia="仿宋_GB2312"/>
          <w:sz w:val="28"/>
          <w:szCs w:val="28"/>
          <w:lang w:val="zh-CN"/>
        </w:rPr>
      </w:pPr>
      <w:r>
        <w:rPr>
          <w:rFonts w:eastAsia="仿宋_GB2312"/>
          <w:sz w:val="28"/>
          <w:szCs w:val="28"/>
          <w:lang w:val="zh-CN"/>
        </w:rPr>
        <w:t>监测结果见下表。</w:t>
      </w:r>
    </w:p>
    <w:p>
      <w:pPr>
        <w:spacing w:line="490" w:lineRule="exact"/>
        <w:ind w:left="851" w:firstLine="964" w:firstLineChars="400"/>
        <w:rPr>
          <w:rFonts w:eastAsia="仿宋_GB2312"/>
          <w:b/>
          <w:bCs/>
          <w:sz w:val="24"/>
          <w:lang w:val="zh-CN"/>
        </w:rPr>
      </w:pPr>
      <w:r>
        <w:rPr>
          <w:rFonts w:eastAsia="仿宋_GB2312"/>
          <w:b/>
          <w:sz w:val="24"/>
        </w:rPr>
        <w:t>表</w:t>
      </w:r>
      <w:bookmarkEnd w:id="306"/>
      <w:r>
        <w:rPr>
          <w:rFonts w:eastAsia="仿宋_GB2312"/>
          <w:b/>
          <w:sz w:val="24"/>
        </w:rPr>
        <w:t xml:space="preserve">4.2-6   </w:t>
      </w:r>
      <w:r>
        <w:rPr>
          <w:rFonts w:hint="eastAsia" w:eastAsia="仿宋_GB2312"/>
          <w:b/>
          <w:sz w:val="24"/>
        </w:rPr>
        <w:t>地表水</w:t>
      </w:r>
      <w:r>
        <w:rPr>
          <w:rFonts w:eastAsia="仿宋_GB2312"/>
          <w:b/>
          <w:bCs/>
          <w:sz w:val="24"/>
          <w:lang w:val="zh-CN"/>
        </w:rPr>
        <w:t>水质监测结果汇总一览表（单位：mg/L）</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1447"/>
        <w:gridCol w:w="1575"/>
        <w:gridCol w:w="1360"/>
        <w:gridCol w:w="1358"/>
        <w:gridCol w:w="1358"/>
        <w:gridCol w:w="1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46" w:type="pct"/>
            <w:vAlign w:val="center"/>
          </w:tcPr>
          <w:p>
            <w:pPr>
              <w:jc w:val="center"/>
              <w:rPr>
                <w:rFonts w:ascii="仿宋" w:hAnsi="仿宋" w:eastAsia="仿宋"/>
              </w:rPr>
            </w:pPr>
            <w:r>
              <w:rPr>
                <w:rFonts w:hint="eastAsia" w:ascii="仿宋" w:hAnsi="仿宋" w:eastAsia="仿宋"/>
              </w:rPr>
              <w:t>河流名称</w:t>
            </w:r>
          </w:p>
        </w:tc>
        <w:tc>
          <w:tcPr>
            <w:tcW w:w="783" w:type="pct"/>
            <w:vAlign w:val="center"/>
          </w:tcPr>
          <w:p>
            <w:pPr>
              <w:jc w:val="center"/>
              <w:rPr>
                <w:rFonts w:ascii="仿宋" w:hAnsi="仿宋" w:eastAsia="仿宋"/>
              </w:rPr>
            </w:pPr>
            <w:r>
              <w:rPr>
                <w:rFonts w:hint="eastAsia" w:ascii="仿宋" w:hAnsi="仿宋" w:eastAsia="仿宋"/>
              </w:rPr>
              <w:t>断面编号</w:t>
            </w:r>
          </w:p>
        </w:tc>
        <w:tc>
          <w:tcPr>
            <w:tcW w:w="851" w:type="pct"/>
            <w:vAlign w:val="center"/>
          </w:tcPr>
          <w:p>
            <w:pPr>
              <w:jc w:val="center"/>
              <w:rPr>
                <w:rFonts w:ascii="仿宋" w:hAnsi="仿宋" w:eastAsia="仿宋"/>
              </w:rPr>
            </w:pPr>
            <w:r>
              <w:rPr>
                <w:rFonts w:hint="eastAsia" w:ascii="仿宋" w:hAnsi="仿宋" w:eastAsia="仿宋"/>
              </w:rPr>
              <w:t>监测项目</w:t>
            </w:r>
          </w:p>
        </w:tc>
        <w:tc>
          <w:tcPr>
            <w:tcW w:w="736" w:type="pct"/>
            <w:vAlign w:val="center"/>
          </w:tcPr>
          <w:p>
            <w:pPr>
              <w:jc w:val="center"/>
              <w:rPr>
                <w:rFonts w:ascii="仿宋" w:hAnsi="仿宋" w:eastAsia="仿宋"/>
              </w:rPr>
            </w:pPr>
            <w:r>
              <w:rPr>
                <w:rFonts w:hint="eastAsia" w:ascii="仿宋" w:hAnsi="仿宋" w:eastAsia="仿宋"/>
              </w:rPr>
              <w:t>pH</w:t>
            </w:r>
          </w:p>
        </w:tc>
        <w:tc>
          <w:tcPr>
            <w:tcW w:w="735" w:type="pct"/>
            <w:vAlign w:val="center"/>
          </w:tcPr>
          <w:p>
            <w:pPr>
              <w:jc w:val="center"/>
              <w:rPr>
                <w:rFonts w:ascii="仿宋" w:hAnsi="仿宋" w:eastAsia="仿宋"/>
              </w:rPr>
            </w:pPr>
            <w:r>
              <w:rPr>
                <w:rFonts w:hint="eastAsia" w:ascii="仿宋" w:hAnsi="仿宋" w:eastAsia="仿宋"/>
              </w:rPr>
              <w:t>COD</w:t>
            </w:r>
          </w:p>
        </w:tc>
        <w:tc>
          <w:tcPr>
            <w:tcW w:w="735" w:type="pct"/>
            <w:vAlign w:val="center"/>
          </w:tcPr>
          <w:p>
            <w:pPr>
              <w:jc w:val="center"/>
              <w:rPr>
                <w:rFonts w:ascii="仿宋" w:hAnsi="仿宋" w:eastAsia="仿宋"/>
              </w:rPr>
            </w:pPr>
            <w:r>
              <w:rPr>
                <w:rFonts w:hint="eastAsia" w:ascii="仿宋" w:hAnsi="仿宋" w:eastAsia="仿宋"/>
              </w:rPr>
              <w:t>NH</w:t>
            </w:r>
            <w:r>
              <w:rPr>
                <w:rFonts w:hint="eastAsia" w:ascii="仿宋" w:hAnsi="仿宋" w:eastAsia="仿宋"/>
                <w:vertAlign w:val="subscript"/>
              </w:rPr>
              <w:t>3</w:t>
            </w:r>
            <w:r>
              <w:rPr>
                <w:rFonts w:hint="eastAsia" w:ascii="仿宋" w:hAnsi="仿宋" w:eastAsia="仿宋"/>
              </w:rPr>
              <w:t>-N</w:t>
            </w:r>
          </w:p>
        </w:tc>
        <w:tc>
          <w:tcPr>
            <w:tcW w:w="713" w:type="pct"/>
            <w:vAlign w:val="center"/>
          </w:tcPr>
          <w:p>
            <w:pPr>
              <w:jc w:val="center"/>
              <w:rPr>
                <w:rFonts w:ascii="仿宋" w:hAnsi="仿宋" w:eastAsia="仿宋"/>
              </w:rPr>
            </w:pPr>
            <w:r>
              <w:rPr>
                <w:rFonts w:hint="eastAsia" w:ascii="仿宋" w:hAnsi="仿宋" w:eastAsia="仿宋"/>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46" w:type="pct"/>
            <w:vMerge w:val="restart"/>
            <w:vAlign w:val="center"/>
          </w:tcPr>
          <w:p>
            <w:pPr>
              <w:widowControl/>
              <w:jc w:val="center"/>
              <w:rPr>
                <w:rFonts w:ascii="仿宋" w:hAnsi="仿宋" w:eastAsia="仿宋"/>
                <w:bCs/>
                <w:szCs w:val="21"/>
              </w:rPr>
            </w:pPr>
            <w:r>
              <w:rPr>
                <w:rFonts w:ascii="仿宋" w:hAnsi="仿宋" w:eastAsia="仿宋"/>
                <w:bCs/>
                <w:szCs w:val="21"/>
              </w:rPr>
              <w:t>尧塘河</w:t>
            </w:r>
          </w:p>
        </w:tc>
        <w:tc>
          <w:tcPr>
            <w:tcW w:w="783" w:type="pct"/>
            <w:vMerge w:val="restart"/>
            <w:vAlign w:val="center"/>
          </w:tcPr>
          <w:p>
            <w:pPr>
              <w:pStyle w:val="286"/>
              <w:snapToGrid w:val="0"/>
              <w:spacing w:after="0" w:line="320" w:lineRule="exact"/>
              <w:ind w:left="0" w:leftChars="0" w:firstLine="0" w:firstLineChars="0"/>
              <w:jc w:val="center"/>
              <w:textAlignment w:val="auto"/>
              <w:rPr>
                <w:rFonts w:ascii="仿宋" w:hAnsi="仿宋" w:eastAsia="仿宋"/>
                <w:sz w:val="21"/>
                <w:szCs w:val="21"/>
              </w:rPr>
            </w:pPr>
            <w:r>
              <w:rPr>
                <w:rFonts w:ascii="仿宋" w:hAnsi="仿宋" w:eastAsia="仿宋"/>
                <w:sz w:val="21"/>
                <w:szCs w:val="21"/>
              </w:rPr>
              <w:t>W1（金坛第二污水处理厂排口上游500米）</w:t>
            </w:r>
          </w:p>
        </w:tc>
        <w:tc>
          <w:tcPr>
            <w:tcW w:w="851" w:type="pct"/>
            <w:vAlign w:val="center"/>
          </w:tcPr>
          <w:p>
            <w:pPr>
              <w:pStyle w:val="286"/>
              <w:snapToGrid w:val="0"/>
              <w:spacing w:after="0" w:line="320" w:lineRule="exact"/>
              <w:ind w:left="0" w:leftChars="0" w:firstLine="0" w:firstLineChars="0"/>
              <w:jc w:val="center"/>
              <w:textAlignment w:val="auto"/>
              <w:rPr>
                <w:rFonts w:ascii="仿宋" w:hAnsi="仿宋" w:eastAsia="仿宋"/>
                <w:sz w:val="21"/>
                <w:szCs w:val="21"/>
              </w:rPr>
            </w:pPr>
            <w:r>
              <w:rPr>
                <w:rFonts w:ascii="仿宋" w:hAnsi="仿宋" w:eastAsia="仿宋"/>
                <w:sz w:val="21"/>
                <w:szCs w:val="21"/>
              </w:rPr>
              <w:t>浓度范围</w:t>
            </w:r>
          </w:p>
        </w:tc>
        <w:tc>
          <w:tcPr>
            <w:tcW w:w="736" w:type="pct"/>
            <w:vAlign w:val="center"/>
          </w:tcPr>
          <w:p>
            <w:pPr>
              <w:pStyle w:val="286"/>
              <w:snapToGrid w:val="0"/>
              <w:spacing w:after="0" w:line="320" w:lineRule="exact"/>
              <w:ind w:left="0" w:leftChars="0" w:firstLine="0" w:firstLineChars="0"/>
              <w:jc w:val="center"/>
              <w:textAlignment w:val="auto"/>
              <w:rPr>
                <w:rFonts w:ascii="仿宋" w:hAnsi="仿宋" w:eastAsia="仿宋"/>
                <w:sz w:val="21"/>
                <w:szCs w:val="21"/>
              </w:rPr>
            </w:pPr>
            <w:r>
              <w:rPr>
                <w:rFonts w:ascii="仿宋" w:hAnsi="仿宋" w:eastAsia="仿宋"/>
                <w:sz w:val="21"/>
                <w:szCs w:val="21"/>
              </w:rPr>
              <w:t>6.73~7.73</w:t>
            </w:r>
          </w:p>
        </w:tc>
        <w:tc>
          <w:tcPr>
            <w:tcW w:w="735" w:type="pct"/>
            <w:vAlign w:val="center"/>
          </w:tcPr>
          <w:p>
            <w:pPr>
              <w:pStyle w:val="286"/>
              <w:snapToGrid w:val="0"/>
              <w:spacing w:after="0" w:line="320" w:lineRule="exact"/>
              <w:ind w:left="0" w:leftChars="0" w:firstLine="0" w:firstLineChars="0"/>
              <w:jc w:val="center"/>
              <w:textAlignment w:val="auto"/>
              <w:rPr>
                <w:rFonts w:ascii="仿宋" w:hAnsi="仿宋" w:eastAsia="仿宋"/>
                <w:sz w:val="21"/>
                <w:szCs w:val="21"/>
              </w:rPr>
            </w:pPr>
            <w:r>
              <w:rPr>
                <w:rFonts w:ascii="仿宋" w:hAnsi="仿宋" w:eastAsia="仿宋"/>
                <w:sz w:val="21"/>
                <w:szCs w:val="21"/>
              </w:rPr>
              <w:t>16~19</w:t>
            </w:r>
          </w:p>
        </w:tc>
        <w:tc>
          <w:tcPr>
            <w:tcW w:w="735" w:type="pct"/>
            <w:vAlign w:val="center"/>
          </w:tcPr>
          <w:p>
            <w:pPr>
              <w:pStyle w:val="286"/>
              <w:snapToGrid w:val="0"/>
              <w:spacing w:after="0" w:line="320" w:lineRule="exact"/>
              <w:ind w:left="0" w:leftChars="0" w:firstLine="0" w:firstLineChars="0"/>
              <w:jc w:val="center"/>
              <w:textAlignment w:val="auto"/>
              <w:rPr>
                <w:rFonts w:ascii="仿宋" w:hAnsi="仿宋" w:eastAsia="仿宋"/>
                <w:sz w:val="21"/>
                <w:szCs w:val="21"/>
              </w:rPr>
            </w:pPr>
            <w:r>
              <w:rPr>
                <w:rFonts w:ascii="仿宋" w:hAnsi="仿宋" w:eastAsia="仿宋"/>
                <w:sz w:val="21"/>
                <w:szCs w:val="21"/>
              </w:rPr>
              <w:t>0.615~0.630</w:t>
            </w:r>
          </w:p>
        </w:tc>
        <w:tc>
          <w:tcPr>
            <w:tcW w:w="713" w:type="pct"/>
            <w:vAlign w:val="center"/>
          </w:tcPr>
          <w:p>
            <w:pPr>
              <w:pStyle w:val="286"/>
              <w:snapToGrid w:val="0"/>
              <w:spacing w:after="0" w:line="320" w:lineRule="exact"/>
              <w:ind w:left="0" w:leftChars="0" w:firstLine="0" w:firstLineChars="0"/>
              <w:jc w:val="center"/>
              <w:textAlignment w:val="auto"/>
              <w:rPr>
                <w:rFonts w:ascii="仿宋" w:hAnsi="仿宋" w:eastAsia="仿宋"/>
                <w:sz w:val="21"/>
                <w:szCs w:val="21"/>
              </w:rPr>
            </w:pPr>
            <w:r>
              <w:rPr>
                <w:rFonts w:ascii="仿宋" w:hAnsi="仿宋" w:eastAsia="仿宋"/>
                <w:sz w:val="21"/>
                <w:szCs w:val="21"/>
              </w:rPr>
              <w:t>0.12~0.14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46" w:type="pct"/>
            <w:vMerge w:val="continue"/>
            <w:vAlign w:val="center"/>
          </w:tcPr>
          <w:p>
            <w:pPr>
              <w:widowControl/>
              <w:jc w:val="center"/>
              <w:rPr>
                <w:rFonts w:ascii="仿宋" w:hAnsi="仿宋" w:eastAsia="仿宋"/>
                <w:bCs/>
                <w:szCs w:val="21"/>
              </w:rPr>
            </w:pPr>
          </w:p>
        </w:tc>
        <w:tc>
          <w:tcPr>
            <w:tcW w:w="783" w:type="pct"/>
            <w:vMerge w:val="continue"/>
            <w:vAlign w:val="center"/>
          </w:tcPr>
          <w:p>
            <w:pPr>
              <w:pStyle w:val="286"/>
              <w:snapToGrid w:val="0"/>
              <w:spacing w:after="0" w:line="320" w:lineRule="exact"/>
              <w:ind w:left="0" w:leftChars="0" w:firstLine="0" w:firstLineChars="0"/>
              <w:jc w:val="center"/>
              <w:textAlignment w:val="auto"/>
              <w:rPr>
                <w:rFonts w:ascii="仿宋" w:hAnsi="仿宋" w:eastAsia="仿宋"/>
                <w:sz w:val="21"/>
                <w:szCs w:val="21"/>
              </w:rPr>
            </w:pPr>
          </w:p>
        </w:tc>
        <w:tc>
          <w:tcPr>
            <w:tcW w:w="851" w:type="pct"/>
            <w:vAlign w:val="center"/>
          </w:tcPr>
          <w:p>
            <w:pPr>
              <w:pStyle w:val="286"/>
              <w:snapToGrid w:val="0"/>
              <w:spacing w:after="0" w:line="320" w:lineRule="exact"/>
              <w:ind w:left="0" w:leftChars="0" w:firstLine="0" w:firstLineChars="0"/>
              <w:jc w:val="center"/>
              <w:textAlignment w:val="auto"/>
              <w:rPr>
                <w:rFonts w:ascii="仿宋" w:hAnsi="仿宋" w:eastAsia="仿宋"/>
                <w:sz w:val="21"/>
                <w:szCs w:val="21"/>
              </w:rPr>
            </w:pPr>
            <w:r>
              <w:rPr>
                <w:rFonts w:ascii="仿宋" w:hAnsi="仿宋" w:eastAsia="仿宋"/>
                <w:sz w:val="21"/>
                <w:szCs w:val="21"/>
              </w:rPr>
              <w:t>浓度均值</w:t>
            </w:r>
          </w:p>
        </w:tc>
        <w:tc>
          <w:tcPr>
            <w:tcW w:w="736" w:type="pct"/>
            <w:vAlign w:val="center"/>
          </w:tcPr>
          <w:p>
            <w:pPr>
              <w:pStyle w:val="286"/>
              <w:snapToGrid w:val="0"/>
              <w:spacing w:after="0" w:line="320" w:lineRule="exact"/>
              <w:ind w:left="0" w:leftChars="0" w:firstLine="0" w:firstLineChars="0"/>
              <w:jc w:val="center"/>
              <w:textAlignment w:val="auto"/>
              <w:rPr>
                <w:rFonts w:ascii="仿宋" w:hAnsi="仿宋" w:eastAsia="仿宋"/>
                <w:sz w:val="21"/>
                <w:szCs w:val="21"/>
              </w:rPr>
            </w:pPr>
            <w:r>
              <w:rPr>
                <w:rFonts w:ascii="仿宋" w:hAnsi="仿宋" w:eastAsia="仿宋"/>
                <w:sz w:val="21"/>
                <w:szCs w:val="21"/>
              </w:rPr>
              <w:t>/</w:t>
            </w:r>
          </w:p>
        </w:tc>
        <w:tc>
          <w:tcPr>
            <w:tcW w:w="735" w:type="pct"/>
            <w:vAlign w:val="center"/>
          </w:tcPr>
          <w:p>
            <w:pPr>
              <w:pStyle w:val="286"/>
              <w:snapToGrid w:val="0"/>
              <w:spacing w:after="0" w:line="320" w:lineRule="exact"/>
              <w:ind w:left="0" w:leftChars="0" w:firstLine="0" w:firstLineChars="0"/>
              <w:jc w:val="center"/>
              <w:textAlignment w:val="auto"/>
              <w:rPr>
                <w:rFonts w:ascii="仿宋" w:hAnsi="仿宋" w:eastAsia="仿宋"/>
                <w:sz w:val="21"/>
                <w:szCs w:val="21"/>
              </w:rPr>
            </w:pPr>
            <w:r>
              <w:rPr>
                <w:rFonts w:ascii="仿宋" w:hAnsi="仿宋" w:eastAsia="仿宋"/>
                <w:sz w:val="21"/>
                <w:szCs w:val="21"/>
              </w:rPr>
              <w:t>18</w:t>
            </w:r>
          </w:p>
        </w:tc>
        <w:tc>
          <w:tcPr>
            <w:tcW w:w="735" w:type="pct"/>
            <w:vAlign w:val="center"/>
          </w:tcPr>
          <w:p>
            <w:pPr>
              <w:pStyle w:val="286"/>
              <w:snapToGrid w:val="0"/>
              <w:spacing w:after="0" w:line="320" w:lineRule="exact"/>
              <w:ind w:left="0" w:leftChars="0" w:firstLine="0" w:firstLineChars="0"/>
              <w:jc w:val="center"/>
              <w:textAlignment w:val="auto"/>
              <w:rPr>
                <w:rFonts w:ascii="仿宋" w:hAnsi="仿宋" w:eastAsia="仿宋"/>
                <w:sz w:val="21"/>
                <w:szCs w:val="21"/>
              </w:rPr>
            </w:pPr>
            <w:r>
              <w:rPr>
                <w:rFonts w:ascii="仿宋" w:hAnsi="仿宋" w:eastAsia="仿宋"/>
                <w:sz w:val="21"/>
                <w:szCs w:val="21"/>
              </w:rPr>
              <w:t>0.627</w:t>
            </w:r>
          </w:p>
        </w:tc>
        <w:tc>
          <w:tcPr>
            <w:tcW w:w="713" w:type="pct"/>
            <w:vAlign w:val="center"/>
          </w:tcPr>
          <w:p>
            <w:pPr>
              <w:pStyle w:val="286"/>
              <w:snapToGrid w:val="0"/>
              <w:spacing w:after="0" w:line="320" w:lineRule="exact"/>
              <w:ind w:left="0" w:leftChars="0" w:firstLine="0" w:firstLineChars="0"/>
              <w:jc w:val="center"/>
              <w:textAlignment w:val="auto"/>
              <w:rPr>
                <w:rFonts w:ascii="仿宋" w:hAnsi="仿宋" w:eastAsia="仿宋"/>
                <w:sz w:val="21"/>
                <w:szCs w:val="21"/>
              </w:rPr>
            </w:pPr>
            <w:r>
              <w:rPr>
                <w:rFonts w:ascii="仿宋" w:hAnsi="仿宋" w:eastAsia="仿宋"/>
                <w:sz w:val="21"/>
                <w:szCs w:val="21"/>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46" w:type="pct"/>
            <w:vMerge w:val="continue"/>
            <w:vAlign w:val="center"/>
          </w:tcPr>
          <w:p>
            <w:pPr>
              <w:widowControl/>
              <w:jc w:val="center"/>
              <w:rPr>
                <w:rFonts w:ascii="仿宋" w:hAnsi="仿宋" w:eastAsia="仿宋"/>
                <w:bCs/>
                <w:szCs w:val="21"/>
              </w:rPr>
            </w:pPr>
          </w:p>
        </w:tc>
        <w:tc>
          <w:tcPr>
            <w:tcW w:w="783" w:type="pct"/>
            <w:vMerge w:val="continue"/>
            <w:vAlign w:val="center"/>
          </w:tcPr>
          <w:p>
            <w:pPr>
              <w:pStyle w:val="286"/>
              <w:snapToGrid w:val="0"/>
              <w:spacing w:after="0" w:line="320" w:lineRule="exact"/>
              <w:ind w:left="0" w:leftChars="0" w:firstLine="0" w:firstLineChars="0"/>
              <w:jc w:val="center"/>
              <w:textAlignment w:val="auto"/>
              <w:rPr>
                <w:rFonts w:ascii="仿宋" w:hAnsi="仿宋" w:eastAsia="仿宋"/>
                <w:sz w:val="21"/>
                <w:szCs w:val="21"/>
              </w:rPr>
            </w:pPr>
          </w:p>
        </w:tc>
        <w:tc>
          <w:tcPr>
            <w:tcW w:w="851" w:type="pct"/>
            <w:vAlign w:val="center"/>
          </w:tcPr>
          <w:p>
            <w:pPr>
              <w:pStyle w:val="286"/>
              <w:snapToGrid w:val="0"/>
              <w:spacing w:after="0" w:line="320" w:lineRule="exact"/>
              <w:ind w:left="0" w:leftChars="0" w:firstLine="0" w:firstLineChars="0"/>
              <w:jc w:val="center"/>
              <w:textAlignment w:val="auto"/>
              <w:rPr>
                <w:rFonts w:ascii="仿宋" w:hAnsi="仿宋" w:eastAsia="仿宋"/>
                <w:sz w:val="21"/>
                <w:szCs w:val="21"/>
              </w:rPr>
            </w:pPr>
            <w:r>
              <w:rPr>
                <w:rFonts w:ascii="仿宋" w:hAnsi="仿宋" w:eastAsia="仿宋"/>
                <w:sz w:val="21"/>
                <w:szCs w:val="21"/>
              </w:rPr>
              <w:t>最大超标倍数</w:t>
            </w:r>
          </w:p>
        </w:tc>
        <w:tc>
          <w:tcPr>
            <w:tcW w:w="736" w:type="pct"/>
            <w:vAlign w:val="center"/>
          </w:tcPr>
          <w:p>
            <w:pPr>
              <w:pStyle w:val="286"/>
              <w:snapToGrid w:val="0"/>
              <w:spacing w:after="0" w:line="320" w:lineRule="exact"/>
              <w:ind w:left="0" w:leftChars="0" w:firstLine="0" w:firstLineChars="0"/>
              <w:jc w:val="center"/>
              <w:textAlignment w:val="auto"/>
              <w:rPr>
                <w:rFonts w:ascii="仿宋" w:hAnsi="仿宋" w:eastAsia="仿宋"/>
                <w:sz w:val="21"/>
                <w:szCs w:val="21"/>
              </w:rPr>
            </w:pPr>
            <w:r>
              <w:rPr>
                <w:rFonts w:ascii="仿宋" w:hAnsi="仿宋" w:eastAsia="仿宋"/>
                <w:sz w:val="21"/>
                <w:szCs w:val="21"/>
              </w:rPr>
              <w:t>0</w:t>
            </w:r>
          </w:p>
        </w:tc>
        <w:tc>
          <w:tcPr>
            <w:tcW w:w="735" w:type="pct"/>
            <w:vAlign w:val="center"/>
          </w:tcPr>
          <w:p>
            <w:pPr>
              <w:pStyle w:val="286"/>
              <w:snapToGrid w:val="0"/>
              <w:spacing w:after="0" w:line="320" w:lineRule="exact"/>
              <w:ind w:left="0" w:leftChars="0" w:firstLine="0" w:firstLineChars="0"/>
              <w:jc w:val="center"/>
              <w:textAlignment w:val="auto"/>
              <w:rPr>
                <w:rFonts w:ascii="仿宋" w:hAnsi="仿宋" w:eastAsia="仿宋"/>
                <w:sz w:val="21"/>
                <w:szCs w:val="21"/>
              </w:rPr>
            </w:pPr>
            <w:r>
              <w:rPr>
                <w:rFonts w:ascii="仿宋" w:hAnsi="仿宋" w:eastAsia="仿宋"/>
                <w:sz w:val="21"/>
                <w:szCs w:val="21"/>
              </w:rPr>
              <w:t>0</w:t>
            </w:r>
          </w:p>
        </w:tc>
        <w:tc>
          <w:tcPr>
            <w:tcW w:w="735" w:type="pct"/>
            <w:vAlign w:val="center"/>
          </w:tcPr>
          <w:p>
            <w:pPr>
              <w:pStyle w:val="286"/>
              <w:snapToGrid w:val="0"/>
              <w:spacing w:after="0" w:line="320" w:lineRule="exact"/>
              <w:ind w:left="0" w:leftChars="0" w:firstLine="0" w:firstLineChars="0"/>
              <w:jc w:val="center"/>
              <w:textAlignment w:val="auto"/>
              <w:rPr>
                <w:rFonts w:ascii="仿宋" w:hAnsi="仿宋" w:eastAsia="仿宋"/>
                <w:sz w:val="21"/>
                <w:szCs w:val="21"/>
              </w:rPr>
            </w:pPr>
            <w:r>
              <w:rPr>
                <w:rFonts w:ascii="仿宋" w:hAnsi="仿宋" w:eastAsia="仿宋"/>
                <w:sz w:val="21"/>
                <w:szCs w:val="21"/>
              </w:rPr>
              <w:t>0</w:t>
            </w:r>
          </w:p>
        </w:tc>
        <w:tc>
          <w:tcPr>
            <w:tcW w:w="713" w:type="pct"/>
            <w:vAlign w:val="center"/>
          </w:tcPr>
          <w:p>
            <w:pPr>
              <w:pStyle w:val="286"/>
              <w:snapToGrid w:val="0"/>
              <w:spacing w:after="0" w:line="320" w:lineRule="exact"/>
              <w:ind w:left="0" w:leftChars="0" w:firstLine="0" w:firstLineChars="0"/>
              <w:jc w:val="center"/>
              <w:textAlignment w:val="auto"/>
              <w:rPr>
                <w:rFonts w:ascii="仿宋" w:hAnsi="仿宋" w:eastAsia="仿宋"/>
                <w:sz w:val="21"/>
                <w:szCs w:val="21"/>
              </w:rPr>
            </w:pPr>
            <w:r>
              <w:rPr>
                <w:rFonts w:ascii="仿宋" w:hAnsi="仿宋" w:eastAsia="仿宋"/>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46" w:type="pct"/>
            <w:vMerge w:val="continue"/>
            <w:vAlign w:val="center"/>
          </w:tcPr>
          <w:p>
            <w:pPr>
              <w:widowControl/>
              <w:jc w:val="center"/>
              <w:rPr>
                <w:rFonts w:ascii="仿宋" w:hAnsi="仿宋" w:eastAsia="仿宋"/>
                <w:bCs/>
                <w:szCs w:val="21"/>
              </w:rPr>
            </w:pPr>
          </w:p>
        </w:tc>
        <w:tc>
          <w:tcPr>
            <w:tcW w:w="783" w:type="pct"/>
            <w:vMerge w:val="restart"/>
            <w:vAlign w:val="center"/>
          </w:tcPr>
          <w:p>
            <w:pPr>
              <w:pStyle w:val="286"/>
              <w:snapToGrid w:val="0"/>
              <w:spacing w:after="0" w:line="320" w:lineRule="exact"/>
              <w:ind w:left="0" w:leftChars="0" w:firstLine="0" w:firstLineChars="0"/>
              <w:jc w:val="center"/>
              <w:textAlignment w:val="auto"/>
              <w:rPr>
                <w:rFonts w:ascii="仿宋" w:hAnsi="仿宋" w:eastAsia="仿宋"/>
                <w:sz w:val="21"/>
                <w:szCs w:val="21"/>
              </w:rPr>
            </w:pPr>
            <w:r>
              <w:rPr>
                <w:rFonts w:ascii="仿宋" w:hAnsi="仿宋" w:eastAsia="仿宋"/>
                <w:sz w:val="21"/>
                <w:szCs w:val="21"/>
              </w:rPr>
              <w:t>W2（金坛第二污水处理厂排口下游2000米）</w:t>
            </w:r>
          </w:p>
        </w:tc>
        <w:tc>
          <w:tcPr>
            <w:tcW w:w="851" w:type="pct"/>
            <w:vAlign w:val="center"/>
          </w:tcPr>
          <w:p>
            <w:pPr>
              <w:pStyle w:val="286"/>
              <w:snapToGrid w:val="0"/>
              <w:spacing w:after="0" w:line="320" w:lineRule="exact"/>
              <w:ind w:left="0" w:leftChars="0" w:firstLine="0" w:firstLineChars="0"/>
              <w:jc w:val="center"/>
              <w:textAlignment w:val="auto"/>
              <w:rPr>
                <w:rFonts w:ascii="仿宋" w:hAnsi="仿宋" w:eastAsia="仿宋"/>
                <w:sz w:val="21"/>
                <w:szCs w:val="21"/>
              </w:rPr>
            </w:pPr>
            <w:r>
              <w:rPr>
                <w:rFonts w:ascii="仿宋" w:hAnsi="仿宋" w:eastAsia="仿宋"/>
                <w:sz w:val="21"/>
                <w:szCs w:val="21"/>
              </w:rPr>
              <w:t>浓度范围</w:t>
            </w:r>
          </w:p>
        </w:tc>
        <w:tc>
          <w:tcPr>
            <w:tcW w:w="736" w:type="pct"/>
            <w:vAlign w:val="center"/>
          </w:tcPr>
          <w:p>
            <w:pPr>
              <w:pStyle w:val="286"/>
              <w:snapToGrid w:val="0"/>
              <w:spacing w:after="0" w:line="320" w:lineRule="exact"/>
              <w:ind w:left="0" w:leftChars="0" w:firstLine="0" w:firstLineChars="0"/>
              <w:jc w:val="center"/>
              <w:textAlignment w:val="auto"/>
              <w:rPr>
                <w:rFonts w:ascii="仿宋" w:hAnsi="仿宋" w:eastAsia="仿宋"/>
                <w:sz w:val="21"/>
                <w:szCs w:val="21"/>
              </w:rPr>
            </w:pPr>
            <w:r>
              <w:rPr>
                <w:rFonts w:ascii="仿宋" w:hAnsi="仿宋" w:eastAsia="仿宋"/>
                <w:sz w:val="21"/>
                <w:szCs w:val="21"/>
              </w:rPr>
              <w:t>7.62~7.74</w:t>
            </w:r>
          </w:p>
        </w:tc>
        <w:tc>
          <w:tcPr>
            <w:tcW w:w="735" w:type="pct"/>
            <w:vAlign w:val="center"/>
          </w:tcPr>
          <w:p>
            <w:pPr>
              <w:pStyle w:val="286"/>
              <w:snapToGrid w:val="0"/>
              <w:spacing w:after="0" w:line="320" w:lineRule="exact"/>
              <w:ind w:left="0" w:leftChars="0" w:firstLine="0" w:firstLineChars="0"/>
              <w:jc w:val="center"/>
              <w:textAlignment w:val="auto"/>
              <w:rPr>
                <w:rFonts w:ascii="仿宋" w:hAnsi="仿宋" w:eastAsia="仿宋"/>
                <w:sz w:val="21"/>
                <w:szCs w:val="21"/>
              </w:rPr>
            </w:pPr>
            <w:r>
              <w:rPr>
                <w:rFonts w:ascii="仿宋" w:hAnsi="仿宋" w:eastAsia="仿宋"/>
                <w:sz w:val="21"/>
                <w:szCs w:val="21"/>
              </w:rPr>
              <w:t>16~19</w:t>
            </w:r>
          </w:p>
        </w:tc>
        <w:tc>
          <w:tcPr>
            <w:tcW w:w="735" w:type="pct"/>
            <w:vAlign w:val="center"/>
          </w:tcPr>
          <w:p>
            <w:pPr>
              <w:pStyle w:val="286"/>
              <w:snapToGrid w:val="0"/>
              <w:spacing w:after="0" w:line="320" w:lineRule="exact"/>
              <w:ind w:left="0" w:leftChars="0" w:firstLine="0" w:firstLineChars="0"/>
              <w:jc w:val="center"/>
              <w:textAlignment w:val="auto"/>
              <w:rPr>
                <w:rFonts w:ascii="仿宋" w:hAnsi="仿宋" w:eastAsia="仿宋"/>
                <w:sz w:val="21"/>
                <w:szCs w:val="21"/>
              </w:rPr>
            </w:pPr>
            <w:r>
              <w:rPr>
                <w:rFonts w:ascii="仿宋" w:hAnsi="仿宋" w:eastAsia="仿宋"/>
                <w:sz w:val="21"/>
                <w:szCs w:val="21"/>
              </w:rPr>
              <w:t>0.734~0.746</w:t>
            </w:r>
          </w:p>
        </w:tc>
        <w:tc>
          <w:tcPr>
            <w:tcW w:w="713" w:type="pct"/>
            <w:vAlign w:val="center"/>
          </w:tcPr>
          <w:p>
            <w:pPr>
              <w:pStyle w:val="286"/>
              <w:snapToGrid w:val="0"/>
              <w:spacing w:after="0" w:line="320" w:lineRule="exact"/>
              <w:ind w:left="0" w:leftChars="0" w:firstLine="0" w:firstLineChars="0"/>
              <w:jc w:val="center"/>
              <w:textAlignment w:val="auto"/>
              <w:rPr>
                <w:rFonts w:ascii="仿宋" w:hAnsi="仿宋" w:eastAsia="仿宋"/>
                <w:sz w:val="21"/>
                <w:szCs w:val="21"/>
              </w:rPr>
            </w:pPr>
            <w:r>
              <w:rPr>
                <w:rFonts w:ascii="仿宋" w:hAnsi="仿宋" w:eastAsia="仿宋"/>
                <w:sz w:val="21"/>
                <w:szCs w:val="21"/>
              </w:rPr>
              <w:t>0.12~0.14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46" w:type="pct"/>
            <w:vMerge w:val="continue"/>
            <w:vAlign w:val="center"/>
          </w:tcPr>
          <w:p>
            <w:pPr>
              <w:widowControl/>
              <w:jc w:val="center"/>
              <w:rPr>
                <w:rFonts w:ascii="仿宋" w:hAnsi="仿宋" w:eastAsia="仿宋"/>
                <w:bCs/>
                <w:szCs w:val="21"/>
              </w:rPr>
            </w:pPr>
          </w:p>
        </w:tc>
        <w:tc>
          <w:tcPr>
            <w:tcW w:w="783" w:type="pct"/>
            <w:vMerge w:val="continue"/>
            <w:vAlign w:val="center"/>
          </w:tcPr>
          <w:p>
            <w:pPr>
              <w:widowControl/>
              <w:jc w:val="center"/>
              <w:rPr>
                <w:rFonts w:ascii="仿宋" w:hAnsi="仿宋" w:eastAsia="仿宋"/>
                <w:bCs/>
                <w:szCs w:val="21"/>
              </w:rPr>
            </w:pPr>
          </w:p>
        </w:tc>
        <w:tc>
          <w:tcPr>
            <w:tcW w:w="851" w:type="pct"/>
            <w:vAlign w:val="center"/>
          </w:tcPr>
          <w:p>
            <w:pPr>
              <w:pStyle w:val="286"/>
              <w:snapToGrid w:val="0"/>
              <w:spacing w:after="0" w:line="320" w:lineRule="exact"/>
              <w:ind w:left="0" w:leftChars="0" w:firstLine="0" w:firstLineChars="0"/>
              <w:jc w:val="center"/>
              <w:textAlignment w:val="auto"/>
              <w:rPr>
                <w:rFonts w:ascii="仿宋" w:hAnsi="仿宋" w:eastAsia="仿宋"/>
                <w:sz w:val="21"/>
                <w:szCs w:val="21"/>
              </w:rPr>
            </w:pPr>
            <w:r>
              <w:rPr>
                <w:rFonts w:ascii="仿宋" w:hAnsi="仿宋" w:eastAsia="仿宋"/>
                <w:sz w:val="21"/>
                <w:szCs w:val="21"/>
              </w:rPr>
              <w:t>浓度均值</w:t>
            </w:r>
          </w:p>
        </w:tc>
        <w:tc>
          <w:tcPr>
            <w:tcW w:w="736" w:type="pct"/>
            <w:vAlign w:val="center"/>
          </w:tcPr>
          <w:p>
            <w:pPr>
              <w:pStyle w:val="286"/>
              <w:snapToGrid w:val="0"/>
              <w:spacing w:after="0" w:line="320" w:lineRule="exact"/>
              <w:ind w:left="0" w:leftChars="0" w:firstLine="0" w:firstLineChars="0"/>
              <w:jc w:val="center"/>
              <w:textAlignment w:val="auto"/>
              <w:rPr>
                <w:rFonts w:ascii="仿宋" w:hAnsi="仿宋" w:eastAsia="仿宋"/>
                <w:sz w:val="21"/>
                <w:szCs w:val="21"/>
              </w:rPr>
            </w:pPr>
            <w:r>
              <w:rPr>
                <w:rFonts w:ascii="仿宋" w:hAnsi="仿宋" w:eastAsia="仿宋"/>
                <w:sz w:val="21"/>
                <w:szCs w:val="21"/>
              </w:rPr>
              <w:t>/</w:t>
            </w:r>
          </w:p>
        </w:tc>
        <w:tc>
          <w:tcPr>
            <w:tcW w:w="735" w:type="pct"/>
            <w:vAlign w:val="center"/>
          </w:tcPr>
          <w:p>
            <w:pPr>
              <w:pStyle w:val="286"/>
              <w:snapToGrid w:val="0"/>
              <w:spacing w:after="0" w:line="320" w:lineRule="exact"/>
              <w:ind w:left="0" w:leftChars="0" w:firstLine="0" w:firstLineChars="0"/>
              <w:jc w:val="center"/>
              <w:textAlignment w:val="auto"/>
              <w:rPr>
                <w:rFonts w:ascii="仿宋" w:hAnsi="仿宋" w:eastAsia="仿宋"/>
                <w:sz w:val="21"/>
                <w:szCs w:val="21"/>
              </w:rPr>
            </w:pPr>
            <w:r>
              <w:rPr>
                <w:rFonts w:ascii="仿宋" w:hAnsi="仿宋" w:eastAsia="仿宋"/>
                <w:sz w:val="21"/>
                <w:szCs w:val="21"/>
              </w:rPr>
              <w:t>17</w:t>
            </w:r>
          </w:p>
        </w:tc>
        <w:tc>
          <w:tcPr>
            <w:tcW w:w="735" w:type="pct"/>
            <w:vAlign w:val="center"/>
          </w:tcPr>
          <w:p>
            <w:pPr>
              <w:pStyle w:val="286"/>
              <w:snapToGrid w:val="0"/>
              <w:spacing w:after="0" w:line="320" w:lineRule="exact"/>
              <w:ind w:left="0" w:leftChars="0" w:firstLine="0" w:firstLineChars="0"/>
              <w:jc w:val="center"/>
              <w:textAlignment w:val="auto"/>
              <w:rPr>
                <w:rFonts w:ascii="仿宋" w:hAnsi="仿宋" w:eastAsia="仿宋"/>
                <w:sz w:val="21"/>
                <w:szCs w:val="21"/>
              </w:rPr>
            </w:pPr>
            <w:r>
              <w:rPr>
                <w:rFonts w:ascii="仿宋" w:hAnsi="仿宋" w:eastAsia="仿宋"/>
                <w:sz w:val="21"/>
                <w:szCs w:val="21"/>
              </w:rPr>
              <w:t>0.743</w:t>
            </w:r>
          </w:p>
        </w:tc>
        <w:tc>
          <w:tcPr>
            <w:tcW w:w="713" w:type="pct"/>
            <w:vAlign w:val="center"/>
          </w:tcPr>
          <w:p>
            <w:pPr>
              <w:pStyle w:val="286"/>
              <w:snapToGrid w:val="0"/>
              <w:spacing w:after="0" w:line="320" w:lineRule="exact"/>
              <w:ind w:left="0" w:leftChars="0" w:firstLine="0" w:firstLineChars="0"/>
              <w:jc w:val="center"/>
              <w:textAlignment w:val="auto"/>
              <w:rPr>
                <w:rFonts w:ascii="仿宋" w:hAnsi="仿宋" w:eastAsia="仿宋"/>
                <w:sz w:val="21"/>
                <w:szCs w:val="21"/>
              </w:rPr>
            </w:pPr>
            <w:r>
              <w:rPr>
                <w:rFonts w:ascii="仿宋" w:hAnsi="仿宋" w:eastAsia="仿宋"/>
                <w:sz w:val="21"/>
                <w:szCs w:val="21"/>
              </w:rPr>
              <w:t>0.133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46" w:type="pct"/>
            <w:vMerge w:val="continue"/>
            <w:vAlign w:val="center"/>
          </w:tcPr>
          <w:p>
            <w:pPr>
              <w:widowControl/>
              <w:jc w:val="center"/>
              <w:rPr>
                <w:rFonts w:ascii="仿宋" w:hAnsi="仿宋" w:eastAsia="仿宋"/>
                <w:bCs/>
                <w:szCs w:val="21"/>
              </w:rPr>
            </w:pPr>
          </w:p>
        </w:tc>
        <w:tc>
          <w:tcPr>
            <w:tcW w:w="783" w:type="pct"/>
            <w:vMerge w:val="continue"/>
            <w:vAlign w:val="center"/>
          </w:tcPr>
          <w:p>
            <w:pPr>
              <w:widowControl/>
              <w:jc w:val="center"/>
              <w:rPr>
                <w:rFonts w:ascii="仿宋" w:hAnsi="仿宋" w:eastAsia="仿宋"/>
                <w:bCs/>
                <w:szCs w:val="21"/>
              </w:rPr>
            </w:pPr>
          </w:p>
        </w:tc>
        <w:tc>
          <w:tcPr>
            <w:tcW w:w="851" w:type="pct"/>
            <w:vAlign w:val="center"/>
          </w:tcPr>
          <w:p>
            <w:pPr>
              <w:pStyle w:val="286"/>
              <w:snapToGrid w:val="0"/>
              <w:spacing w:after="0" w:line="320" w:lineRule="exact"/>
              <w:ind w:left="0" w:leftChars="0" w:firstLine="0" w:firstLineChars="0"/>
              <w:jc w:val="center"/>
              <w:textAlignment w:val="auto"/>
              <w:rPr>
                <w:rFonts w:ascii="仿宋" w:hAnsi="仿宋" w:eastAsia="仿宋"/>
                <w:sz w:val="21"/>
                <w:szCs w:val="21"/>
              </w:rPr>
            </w:pPr>
            <w:r>
              <w:rPr>
                <w:rFonts w:ascii="仿宋" w:hAnsi="仿宋" w:eastAsia="仿宋"/>
                <w:sz w:val="21"/>
                <w:szCs w:val="21"/>
              </w:rPr>
              <w:t>最大超标倍数</w:t>
            </w:r>
          </w:p>
        </w:tc>
        <w:tc>
          <w:tcPr>
            <w:tcW w:w="736" w:type="pct"/>
            <w:vAlign w:val="center"/>
          </w:tcPr>
          <w:p>
            <w:pPr>
              <w:pStyle w:val="286"/>
              <w:snapToGrid w:val="0"/>
              <w:spacing w:after="0" w:line="320" w:lineRule="exact"/>
              <w:ind w:left="0" w:leftChars="0" w:firstLine="0" w:firstLineChars="0"/>
              <w:jc w:val="center"/>
              <w:textAlignment w:val="auto"/>
              <w:rPr>
                <w:rFonts w:ascii="仿宋" w:hAnsi="仿宋" w:eastAsia="仿宋"/>
                <w:sz w:val="21"/>
                <w:szCs w:val="21"/>
              </w:rPr>
            </w:pPr>
            <w:r>
              <w:rPr>
                <w:rFonts w:ascii="仿宋" w:hAnsi="仿宋" w:eastAsia="仿宋"/>
                <w:sz w:val="21"/>
                <w:szCs w:val="21"/>
              </w:rPr>
              <w:t>0</w:t>
            </w:r>
          </w:p>
        </w:tc>
        <w:tc>
          <w:tcPr>
            <w:tcW w:w="735" w:type="pct"/>
            <w:vAlign w:val="center"/>
          </w:tcPr>
          <w:p>
            <w:pPr>
              <w:pStyle w:val="286"/>
              <w:snapToGrid w:val="0"/>
              <w:spacing w:after="0" w:line="320" w:lineRule="exact"/>
              <w:ind w:left="0" w:leftChars="0" w:firstLine="0" w:firstLineChars="0"/>
              <w:jc w:val="center"/>
              <w:textAlignment w:val="auto"/>
              <w:rPr>
                <w:rFonts w:ascii="仿宋" w:hAnsi="仿宋" w:eastAsia="仿宋"/>
                <w:sz w:val="21"/>
                <w:szCs w:val="21"/>
              </w:rPr>
            </w:pPr>
            <w:r>
              <w:rPr>
                <w:rFonts w:ascii="仿宋" w:hAnsi="仿宋" w:eastAsia="仿宋"/>
                <w:sz w:val="21"/>
                <w:szCs w:val="21"/>
              </w:rPr>
              <w:t>0</w:t>
            </w:r>
          </w:p>
        </w:tc>
        <w:tc>
          <w:tcPr>
            <w:tcW w:w="735" w:type="pct"/>
            <w:vAlign w:val="center"/>
          </w:tcPr>
          <w:p>
            <w:pPr>
              <w:pStyle w:val="286"/>
              <w:snapToGrid w:val="0"/>
              <w:spacing w:after="0" w:line="320" w:lineRule="exact"/>
              <w:ind w:left="0" w:leftChars="0" w:firstLine="0" w:firstLineChars="0"/>
              <w:jc w:val="center"/>
              <w:textAlignment w:val="auto"/>
              <w:rPr>
                <w:rFonts w:ascii="仿宋" w:hAnsi="仿宋" w:eastAsia="仿宋"/>
                <w:sz w:val="21"/>
                <w:szCs w:val="21"/>
              </w:rPr>
            </w:pPr>
            <w:r>
              <w:rPr>
                <w:rFonts w:ascii="仿宋" w:hAnsi="仿宋" w:eastAsia="仿宋"/>
                <w:sz w:val="21"/>
                <w:szCs w:val="21"/>
              </w:rPr>
              <w:t>0</w:t>
            </w:r>
          </w:p>
        </w:tc>
        <w:tc>
          <w:tcPr>
            <w:tcW w:w="713" w:type="pct"/>
            <w:vAlign w:val="center"/>
          </w:tcPr>
          <w:p>
            <w:pPr>
              <w:pStyle w:val="286"/>
              <w:snapToGrid w:val="0"/>
              <w:spacing w:after="0" w:line="320" w:lineRule="exact"/>
              <w:ind w:left="0" w:leftChars="0" w:firstLine="0" w:firstLineChars="0"/>
              <w:jc w:val="center"/>
              <w:textAlignment w:val="auto"/>
              <w:rPr>
                <w:rFonts w:ascii="仿宋" w:hAnsi="仿宋" w:eastAsia="仿宋"/>
                <w:sz w:val="21"/>
                <w:szCs w:val="21"/>
              </w:rPr>
            </w:pPr>
            <w:r>
              <w:rPr>
                <w:rFonts w:ascii="仿宋" w:hAnsi="仿宋" w:eastAsia="仿宋"/>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081" w:type="pct"/>
            <w:gridSpan w:val="3"/>
            <w:vAlign w:val="center"/>
          </w:tcPr>
          <w:p>
            <w:pPr>
              <w:widowControl/>
              <w:jc w:val="center"/>
              <w:rPr>
                <w:rFonts w:ascii="仿宋" w:hAnsi="仿宋" w:eastAsia="仿宋"/>
                <w:bCs/>
                <w:szCs w:val="21"/>
              </w:rPr>
            </w:pPr>
            <w:r>
              <w:rPr>
                <w:rFonts w:hint="eastAsia" w:ascii="仿宋" w:hAnsi="仿宋" w:eastAsia="仿宋" w:cs="宋体"/>
                <w:bCs/>
                <w:szCs w:val="21"/>
              </w:rPr>
              <w:t>Ⅲ</w:t>
            </w:r>
            <w:r>
              <w:rPr>
                <w:rFonts w:ascii="仿宋" w:hAnsi="仿宋" w:eastAsia="仿宋"/>
                <w:bCs/>
                <w:szCs w:val="21"/>
              </w:rPr>
              <w:t>类标准限值</w:t>
            </w:r>
          </w:p>
        </w:tc>
        <w:tc>
          <w:tcPr>
            <w:tcW w:w="736" w:type="pct"/>
            <w:vAlign w:val="center"/>
          </w:tcPr>
          <w:p>
            <w:pPr>
              <w:widowControl/>
              <w:tabs>
                <w:tab w:val="left" w:pos="3252"/>
              </w:tabs>
              <w:jc w:val="center"/>
              <w:rPr>
                <w:rFonts w:ascii="仿宋" w:hAnsi="仿宋" w:eastAsia="仿宋"/>
                <w:bCs/>
                <w:szCs w:val="21"/>
              </w:rPr>
            </w:pPr>
            <w:r>
              <w:rPr>
                <w:rFonts w:ascii="仿宋" w:hAnsi="仿宋" w:eastAsia="仿宋"/>
                <w:bCs/>
                <w:szCs w:val="21"/>
              </w:rPr>
              <w:t>6-9</w:t>
            </w:r>
          </w:p>
        </w:tc>
        <w:tc>
          <w:tcPr>
            <w:tcW w:w="735" w:type="pct"/>
            <w:vAlign w:val="center"/>
          </w:tcPr>
          <w:p>
            <w:pPr>
              <w:widowControl/>
              <w:tabs>
                <w:tab w:val="left" w:pos="3252"/>
              </w:tabs>
              <w:jc w:val="center"/>
              <w:rPr>
                <w:rFonts w:ascii="仿宋" w:hAnsi="仿宋" w:eastAsia="仿宋"/>
                <w:bCs/>
                <w:szCs w:val="21"/>
              </w:rPr>
            </w:pPr>
            <w:r>
              <w:rPr>
                <w:rFonts w:ascii="仿宋" w:hAnsi="仿宋" w:eastAsia="仿宋"/>
                <w:bCs/>
                <w:szCs w:val="21"/>
              </w:rPr>
              <w:t>20</w:t>
            </w:r>
          </w:p>
        </w:tc>
        <w:tc>
          <w:tcPr>
            <w:tcW w:w="735" w:type="pct"/>
            <w:vAlign w:val="center"/>
          </w:tcPr>
          <w:p>
            <w:pPr>
              <w:widowControl/>
              <w:tabs>
                <w:tab w:val="left" w:pos="3252"/>
              </w:tabs>
              <w:jc w:val="center"/>
              <w:rPr>
                <w:rFonts w:ascii="仿宋" w:hAnsi="仿宋" w:eastAsia="仿宋"/>
                <w:bCs/>
                <w:szCs w:val="21"/>
              </w:rPr>
            </w:pPr>
            <w:r>
              <w:rPr>
                <w:rFonts w:ascii="仿宋" w:hAnsi="仿宋" w:eastAsia="仿宋"/>
                <w:bCs/>
                <w:szCs w:val="21"/>
              </w:rPr>
              <w:t>1.0</w:t>
            </w:r>
          </w:p>
        </w:tc>
        <w:tc>
          <w:tcPr>
            <w:tcW w:w="713" w:type="pct"/>
            <w:vAlign w:val="center"/>
          </w:tcPr>
          <w:p>
            <w:pPr>
              <w:widowControl/>
              <w:tabs>
                <w:tab w:val="left" w:pos="3252"/>
              </w:tabs>
              <w:jc w:val="center"/>
              <w:rPr>
                <w:rFonts w:ascii="仿宋" w:hAnsi="仿宋" w:eastAsia="仿宋"/>
                <w:bCs/>
                <w:szCs w:val="21"/>
              </w:rPr>
            </w:pPr>
            <w:r>
              <w:rPr>
                <w:rFonts w:ascii="仿宋" w:hAnsi="仿宋" w:eastAsia="仿宋"/>
                <w:bCs/>
                <w:szCs w:val="21"/>
              </w:rPr>
              <w:t>0.2</w:t>
            </w:r>
          </w:p>
        </w:tc>
      </w:tr>
    </w:tbl>
    <w:p>
      <w:pPr>
        <w:pStyle w:val="5"/>
        <w:keepLines w:val="0"/>
        <w:widowControl/>
        <w:numPr>
          <w:ilvl w:val="3"/>
          <w:numId w:val="12"/>
        </w:numPr>
        <w:adjustRightInd w:val="0"/>
        <w:snapToGrid w:val="0"/>
        <w:spacing w:after="120" w:afterLines="50"/>
        <w:ind w:left="0" w:firstLine="0"/>
        <w:jc w:val="left"/>
        <w:rPr>
          <w:rFonts w:ascii="Times New Roman" w:hAnsi="Times New Roman"/>
          <w:b/>
        </w:rPr>
      </w:pPr>
      <w:r>
        <w:rPr>
          <w:rFonts w:ascii="Times New Roman" w:hAnsi="Times New Roman"/>
          <w:b/>
        </w:rPr>
        <w:t>地表水环境现状评价</w:t>
      </w:r>
    </w:p>
    <w:p>
      <w:pPr>
        <w:spacing w:line="480" w:lineRule="exact"/>
        <w:ind w:firstLine="560" w:firstLineChars="200"/>
        <w:rPr>
          <w:rFonts w:eastAsia="仿宋_GB2312"/>
          <w:sz w:val="28"/>
          <w:szCs w:val="28"/>
        </w:rPr>
      </w:pPr>
      <w:r>
        <w:rPr>
          <w:rFonts w:eastAsia="仿宋_GB2312"/>
          <w:sz w:val="28"/>
          <w:szCs w:val="28"/>
        </w:rPr>
        <w:t>（1）评价方法</w:t>
      </w:r>
    </w:p>
    <w:p>
      <w:pPr>
        <w:spacing w:line="480" w:lineRule="exact"/>
        <w:ind w:firstLine="560" w:firstLineChars="200"/>
        <w:rPr>
          <w:rFonts w:eastAsia="仿宋_GB2312"/>
          <w:sz w:val="28"/>
          <w:szCs w:val="28"/>
        </w:rPr>
      </w:pPr>
      <w:r>
        <w:rPr>
          <w:rFonts w:eastAsia="仿宋_GB2312"/>
          <w:sz w:val="28"/>
          <w:szCs w:val="28"/>
        </w:rPr>
        <w:t>水质评价采用单因子标准指数法，当水质指标的标准指数S</w:t>
      </w:r>
      <w:r>
        <w:rPr>
          <w:rFonts w:eastAsia="仿宋_GB2312"/>
          <w:sz w:val="28"/>
          <w:szCs w:val="28"/>
          <w:vertAlign w:val="subscript"/>
        </w:rPr>
        <w:t>ij</w:t>
      </w:r>
      <w:r>
        <w:rPr>
          <w:rFonts w:eastAsia="仿宋_GB2312"/>
          <w:sz w:val="28"/>
          <w:szCs w:val="28"/>
        </w:rPr>
        <w:t>&gt;1时，表明i断面处j项水质指标的浓度已超过了规定的标准，S</w:t>
      </w:r>
      <w:r>
        <w:rPr>
          <w:rFonts w:eastAsia="仿宋_GB2312"/>
          <w:sz w:val="28"/>
          <w:szCs w:val="28"/>
          <w:vertAlign w:val="subscript"/>
        </w:rPr>
        <w:t>ij</w:t>
      </w:r>
      <w:r>
        <w:rPr>
          <w:rFonts w:eastAsia="仿宋_GB2312"/>
          <w:sz w:val="28"/>
          <w:szCs w:val="28"/>
        </w:rPr>
        <w:t>越大，表示水质越差。标准指数具体计算方法如下所示：</w:t>
      </w:r>
    </w:p>
    <w:p>
      <w:pPr>
        <w:jc w:val="center"/>
        <w:rPr>
          <w:rFonts w:eastAsia="仿宋_GB2312"/>
          <w:sz w:val="28"/>
          <w:szCs w:val="28"/>
        </w:rPr>
      </w:pPr>
      <w:r>
        <w:rPr>
          <w:rFonts w:eastAsia="仿宋_GB2312"/>
          <w:position w:val="-32"/>
          <w:sz w:val="28"/>
          <w:szCs w:val="28"/>
        </w:rPr>
        <w:drawing>
          <wp:inline distT="0" distB="0" distL="0" distR="0">
            <wp:extent cx="578485" cy="468630"/>
            <wp:effectExtent l="19050" t="0" r="0" b="0"/>
            <wp:docPr id="1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2"/>
                    <pic:cNvPicPr>
                      <a:picLocks noChangeAspect="1" noChangeArrowheads="1"/>
                    </pic:cNvPicPr>
                  </pic:nvPicPr>
                  <pic:blipFill>
                    <a:blip r:embed="rId49"/>
                    <a:srcRect/>
                    <a:stretch>
                      <a:fillRect/>
                    </a:stretch>
                  </pic:blipFill>
                  <pic:spPr>
                    <a:xfrm>
                      <a:off x="0" y="0"/>
                      <a:ext cx="578485" cy="468630"/>
                    </a:xfrm>
                    <a:prstGeom prst="rect">
                      <a:avLst/>
                    </a:prstGeom>
                    <a:noFill/>
                    <a:ln w="9525">
                      <a:noFill/>
                      <a:miter lim="800000"/>
                      <a:headEnd/>
                      <a:tailEnd/>
                    </a:ln>
                  </pic:spPr>
                </pic:pic>
              </a:graphicData>
            </a:graphic>
          </wp:inline>
        </w:drawing>
      </w:r>
    </w:p>
    <w:p>
      <w:pPr>
        <w:spacing w:line="480" w:lineRule="exact"/>
        <w:rPr>
          <w:rFonts w:eastAsia="仿宋_GB2312"/>
          <w:sz w:val="28"/>
          <w:szCs w:val="28"/>
        </w:rPr>
      </w:pPr>
      <w:r>
        <w:rPr>
          <w:rFonts w:eastAsia="仿宋_GB2312"/>
          <w:sz w:val="28"/>
          <w:szCs w:val="28"/>
        </w:rPr>
        <w:t xml:space="preserve">     式中：S</w:t>
      </w:r>
      <w:r>
        <w:rPr>
          <w:rFonts w:eastAsia="仿宋_GB2312"/>
          <w:sz w:val="28"/>
          <w:szCs w:val="28"/>
          <w:vertAlign w:val="subscript"/>
        </w:rPr>
        <w:t>ij</w:t>
      </w:r>
      <w:r>
        <w:rPr>
          <w:rFonts w:eastAsia="仿宋_GB2312"/>
          <w:sz w:val="28"/>
          <w:szCs w:val="28"/>
        </w:rPr>
        <w:t>为第i种评价因子在第j断面的单项污染指数；</w:t>
      </w:r>
    </w:p>
    <w:p>
      <w:pPr>
        <w:spacing w:line="480" w:lineRule="exact"/>
        <w:ind w:firstLine="1540" w:firstLineChars="550"/>
        <w:rPr>
          <w:rFonts w:eastAsia="仿宋_GB2312"/>
          <w:sz w:val="28"/>
          <w:szCs w:val="28"/>
        </w:rPr>
      </w:pPr>
      <w:r>
        <w:rPr>
          <w:rFonts w:eastAsia="仿宋_GB2312"/>
          <w:sz w:val="28"/>
          <w:szCs w:val="28"/>
        </w:rPr>
        <w:t>C</w:t>
      </w:r>
      <w:r>
        <w:rPr>
          <w:rFonts w:eastAsia="仿宋_GB2312"/>
          <w:sz w:val="28"/>
          <w:szCs w:val="28"/>
          <w:vertAlign w:val="subscript"/>
        </w:rPr>
        <w:t>ij</w:t>
      </w:r>
      <w:r>
        <w:rPr>
          <w:rFonts w:eastAsia="仿宋_GB2312"/>
          <w:sz w:val="28"/>
          <w:szCs w:val="28"/>
        </w:rPr>
        <w:t>为该评价因子污染物的实测浓度值（mg/L）；</w:t>
      </w:r>
    </w:p>
    <w:p>
      <w:pPr>
        <w:spacing w:line="480" w:lineRule="exact"/>
        <w:ind w:firstLine="1540" w:firstLineChars="550"/>
        <w:rPr>
          <w:rFonts w:eastAsia="仿宋_GB2312"/>
          <w:sz w:val="28"/>
          <w:szCs w:val="28"/>
        </w:rPr>
      </w:pPr>
      <w:r>
        <w:rPr>
          <w:rFonts w:eastAsia="仿宋_GB2312"/>
          <w:sz w:val="28"/>
          <w:szCs w:val="28"/>
        </w:rPr>
        <w:t>C</w:t>
      </w:r>
      <w:r>
        <w:rPr>
          <w:rFonts w:eastAsia="仿宋_GB2312"/>
          <w:sz w:val="28"/>
          <w:szCs w:val="28"/>
          <w:vertAlign w:val="subscript"/>
        </w:rPr>
        <w:t>sj</w:t>
      </w:r>
      <w:r>
        <w:rPr>
          <w:rFonts w:eastAsia="仿宋_GB2312"/>
          <w:sz w:val="28"/>
          <w:szCs w:val="28"/>
        </w:rPr>
        <w:t>为该评价因子相应的评价标准值（mg/L）。</w:t>
      </w:r>
    </w:p>
    <w:p>
      <w:pPr>
        <w:spacing w:line="480" w:lineRule="exact"/>
        <w:ind w:firstLine="560" w:firstLineChars="200"/>
        <w:rPr>
          <w:rFonts w:eastAsia="仿宋_GB2312"/>
          <w:sz w:val="28"/>
          <w:szCs w:val="28"/>
        </w:rPr>
      </w:pPr>
      <w:r>
        <w:rPr>
          <w:rFonts w:eastAsia="仿宋_GB2312"/>
          <w:sz w:val="28"/>
          <w:szCs w:val="28"/>
        </w:rPr>
        <w:t>对于pH项目，单项污染指数计算公式为：</w:t>
      </w:r>
    </w:p>
    <w:p>
      <w:pPr>
        <w:jc w:val="center"/>
        <w:rPr>
          <w:rFonts w:eastAsia="仿宋_GB2312"/>
          <w:sz w:val="28"/>
          <w:szCs w:val="28"/>
        </w:rPr>
      </w:pPr>
      <w:r>
        <w:rPr>
          <w:rFonts w:eastAsia="仿宋_GB2312"/>
          <w:position w:val="-30"/>
          <w:sz w:val="28"/>
          <w:szCs w:val="28"/>
        </w:rPr>
        <w:drawing>
          <wp:inline distT="0" distB="0" distL="0" distR="0">
            <wp:extent cx="1179830" cy="461010"/>
            <wp:effectExtent l="19050" t="0" r="0" b="0"/>
            <wp:docPr id="1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3"/>
                    <pic:cNvPicPr>
                      <a:picLocks noChangeAspect="1" noChangeArrowheads="1"/>
                    </pic:cNvPicPr>
                  </pic:nvPicPr>
                  <pic:blipFill>
                    <a:blip r:embed="rId50"/>
                    <a:srcRect/>
                    <a:stretch>
                      <a:fillRect/>
                    </a:stretch>
                  </pic:blipFill>
                  <pic:spPr>
                    <a:xfrm>
                      <a:off x="0" y="0"/>
                      <a:ext cx="1179830" cy="461010"/>
                    </a:xfrm>
                    <a:prstGeom prst="rect">
                      <a:avLst/>
                    </a:prstGeom>
                    <a:noFill/>
                    <a:ln w="9525">
                      <a:noFill/>
                      <a:miter lim="800000"/>
                      <a:headEnd/>
                      <a:tailEnd/>
                    </a:ln>
                  </pic:spPr>
                </pic:pic>
              </a:graphicData>
            </a:graphic>
          </wp:inline>
        </w:drawing>
      </w:r>
      <w:r>
        <w:rPr>
          <w:rFonts w:eastAsia="仿宋_GB2312"/>
          <w:sz w:val="28"/>
          <w:szCs w:val="28"/>
        </w:rPr>
        <w:t xml:space="preserve">      pH</w:t>
      </w:r>
      <w:r>
        <w:rPr>
          <w:rFonts w:eastAsia="仿宋_GB2312"/>
          <w:sz w:val="28"/>
          <w:szCs w:val="28"/>
          <w:vertAlign w:val="subscript"/>
        </w:rPr>
        <w:t>j</w:t>
      </w:r>
      <w:r>
        <w:rPr>
          <w:rFonts w:eastAsia="仿宋_GB2312"/>
          <w:sz w:val="28"/>
          <w:szCs w:val="28"/>
        </w:rPr>
        <w:t xml:space="preserve"> ≤7.0</w:t>
      </w:r>
    </w:p>
    <w:p>
      <w:pPr>
        <w:jc w:val="center"/>
        <w:rPr>
          <w:rFonts w:eastAsia="仿宋_GB2312"/>
          <w:sz w:val="28"/>
          <w:szCs w:val="28"/>
        </w:rPr>
      </w:pPr>
      <w:r>
        <w:rPr>
          <w:rFonts w:eastAsia="仿宋_GB2312"/>
          <w:position w:val="-30"/>
          <w:sz w:val="28"/>
          <w:szCs w:val="28"/>
        </w:rPr>
        <w:drawing>
          <wp:inline distT="0" distB="0" distL="0" distR="0">
            <wp:extent cx="1179830" cy="461010"/>
            <wp:effectExtent l="19050" t="0" r="1270" b="0"/>
            <wp:docPr id="1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4"/>
                    <pic:cNvPicPr>
                      <a:picLocks noChangeAspect="1" noChangeArrowheads="1"/>
                    </pic:cNvPicPr>
                  </pic:nvPicPr>
                  <pic:blipFill>
                    <a:blip r:embed="rId51"/>
                    <a:srcRect/>
                    <a:stretch>
                      <a:fillRect/>
                    </a:stretch>
                  </pic:blipFill>
                  <pic:spPr>
                    <a:xfrm>
                      <a:off x="0" y="0"/>
                      <a:ext cx="1179830" cy="461010"/>
                    </a:xfrm>
                    <a:prstGeom prst="rect">
                      <a:avLst/>
                    </a:prstGeom>
                    <a:noFill/>
                    <a:ln w="9525">
                      <a:noFill/>
                      <a:miter lim="800000"/>
                      <a:headEnd/>
                      <a:tailEnd/>
                    </a:ln>
                  </pic:spPr>
                </pic:pic>
              </a:graphicData>
            </a:graphic>
          </wp:inline>
        </w:drawing>
      </w:r>
      <w:r>
        <w:rPr>
          <w:rFonts w:eastAsia="仿宋_GB2312"/>
          <w:sz w:val="28"/>
          <w:szCs w:val="28"/>
        </w:rPr>
        <w:t xml:space="preserve">      pH</w:t>
      </w:r>
      <w:r>
        <w:rPr>
          <w:rFonts w:eastAsia="仿宋_GB2312"/>
          <w:sz w:val="28"/>
          <w:szCs w:val="28"/>
          <w:vertAlign w:val="subscript"/>
        </w:rPr>
        <w:t xml:space="preserve">j </w:t>
      </w:r>
      <w:r>
        <w:rPr>
          <w:rFonts w:eastAsia="仿宋_GB2312"/>
          <w:sz w:val="28"/>
          <w:szCs w:val="28"/>
        </w:rPr>
        <w:t>&gt;7.0</w:t>
      </w:r>
    </w:p>
    <w:p>
      <w:pPr>
        <w:spacing w:line="480" w:lineRule="exact"/>
        <w:ind w:firstLine="560" w:firstLineChars="200"/>
        <w:rPr>
          <w:rFonts w:eastAsia="仿宋_GB2312"/>
          <w:sz w:val="28"/>
          <w:szCs w:val="28"/>
        </w:rPr>
      </w:pPr>
      <w:r>
        <w:rPr>
          <w:rFonts w:eastAsia="仿宋_GB2312"/>
          <w:sz w:val="28"/>
          <w:szCs w:val="28"/>
        </w:rPr>
        <w:t>式中：S</w:t>
      </w:r>
      <w:r>
        <w:rPr>
          <w:rFonts w:eastAsia="仿宋_GB2312"/>
          <w:sz w:val="28"/>
          <w:szCs w:val="28"/>
          <w:vertAlign w:val="subscript"/>
        </w:rPr>
        <w:t>pH,j</w:t>
      </w:r>
      <w:r>
        <w:rPr>
          <w:rFonts w:eastAsia="仿宋_GB2312"/>
          <w:sz w:val="28"/>
          <w:szCs w:val="28"/>
        </w:rPr>
        <w:t>为单项污染指数；</w:t>
      </w:r>
    </w:p>
    <w:p>
      <w:pPr>
        <w:spacing w:line="480" w:lineRule="exact"/>
        <w:ind w:firstLine="1400" w:firstLineChars="500"/>
        <w:rPr>
          <w:rFonts w:eastAsia="仿宋_GB2312"/>
          <w:sz w:val="28"/>
          <w:szCs w:val="28"/>
        </w:rPr>
      </w:pPr>
      <w:r>
        <w:rPr>
          <w:rFonts w:eastAsia="仿宋_GB2312"/>
          <w:sz w:val="28"/>
          <w:szCs w:val="28"/>
        </w:rPr>
        <w:t>pH</w:t>
      </w:r>
      <w:r>
        <w:rPr>
          <w:rFonts w:eastAsia="仿宋_GB2312"/>
          <w:sz w:val="28"/>
          <w:szCs w:val="28"/>
          <w:vertAlign w:val="subscript"/>
        </w:rPr>
        <w:t>j</w:t>
      </w:r>
      <w:r>
        <w:rPr>
          <w:rFonts w:eastAsia="仿宋_GB2312"/>
          <w:sz w:val="28"/>
          <w:szCs w:val="28"/>
        </w:rPr>
        <w:t>为实测值；</w:t>
      </w:r>
    </w:p>
    <w:p>
      <w:pPr>
        <w:spacing w:line="480" w:lineRule="exact"/>
        <w:ind w:firstLine="1400" w:firstLineChars="500"/>
        <w:rPr>
          <w:rFonts w:eastAsia="仿宋_GB2312"/>
          <w:sz w:val="28"/>
          <w:szCs w:val="28"/>
        </w:rPr>
      </w:pPr>
      <w:r>
        <w:rPr>
          <w:rFonts w:eastAsia="仿宋_GB2312"/>
          <w:sz w:val="28"/>
          <w:szCs w:val="28"/>
        </w:rPr>
        <w:t>pH</w:t>
      </w:r>
      <w:r>
        <w:rPr>
          <w:rFonts w:eastAsia="仿宋_GB2312"/>
          <w:sz w:val="28"/>
          <w:szCs w:val="28"/>
          <w:vertAlign w:val="subscript"/>
        </w:rPr>
        <w:t>sd</w:t>
      </w:r>
      <w:r>
        <w:rPr>
          <w:rFonts w:eastAsia="仿宋_GB2312"/>
          <w:sz w:val="28"/>
          <w:szCs w:val="28"/>
        </w:rPr>
        <w:t>为标准下限；</w:t>
      </w:r>
    </w:p>
    <w:p>
      <w:pPr>
        <w:spacing w:line="480" w:lineRule="exact"/>
        <w:ind w:firstLine="1400" w:firstLineChars="500"/>
        <w:rPr>
          <w:rFonts w:eastAsia="仿宋_GB2312"/>
          <w:sz w:val="28"/>
          <w:szCs w:val="28"/>
        </w:rPr>
      </w:pPr>
      <w:r>
        <w:rPr>
          <w:rFonts w:eastAsia="仿宋_GB2312"/>
          <w:sz w:val="28"/>
          <w:szCs w:val="28"/>
        </w:rPr>
        <w:t>pH</w:t>
      </w:r>
      <w:r>
        <w:rPr>
          <w:rFonts w:eastAsia="仿宋_GB2312"/>
          <w:sz w:val="28"/>
          <w:szCs w:val="28"/>
          <w:vertAlign w:val="subscript"/>
        </w:rPr>
        <w:t>su</w:t>
      </w:r>
      <w:r>
        <w:rPr>
          <w:rFonts w:eastAsia="仿宋_GB2312"/>
          <w:sz w:val="28"/>
          <w:szCs w:val="28"/>
        </w:rPr>
        <w:t>为标准上限。</w:t>
      </w:r>
    </w:p>
    <w:p>
      <w:pPr>
        <w:spacing w:line="480" w:lineRule="exact"/>
        <w:ind w:firstLine="560" w:firstLineChars="200"/>
        <w:rPr>
          <w:rFonts w:eastAsia="仿宋_GB2312"/>
          <w:sz w:val="28"/>
          <w:szCs w:val="28"/>
        </w:rPr>
      </w:pPr>
      <w:r>
        <w:rPr>
          <w:rFonts w:eastAsia="仿宋_GB2312"/>
          <w:sz w:val="28"/>
          <w:szCs w:val="28"/>
        </w:rPr>
        <w:t>（2）评价结果</w:t>
      </w:r>
    </w:p>
    <w:p>
      <w:pPr>
        <w:spacing w:line="490" w:lineRule="exact"/>
        <w:ind w:firstLine="560" w:firstLineChars="200"/>
        <w:rPr>
          <w:rFonts w:eastAsia="仿宋_GB2312"/>
          <w:sz w:val="28"/>
          <w:szCs w:val="28"/>
          <w:lang w:val="zh-CN"/>
        </w:rPr>
      </w:pPr>
      <w:r>
        <w:rPr>
          <w:rFonts w:eastAsia="仿宋_GB2312"/>
          <w:sz w:val="28"/>
          <w:szCs w:val="28"/>
          <w:lang w:val="zh-CN"/>
        </w:rPr>
        <w:t>采用水质单因子污染指数计算结果见下表。</w:t>
      </w:r>
    </w:p>
    <w:p>
      <w:pPr>
        <w:spacing w:line="480" w:lineRule="exact"/>
        <w:jc w:val="center"/>
        <w:rPr>
          <w:rFonts w:eastAsia="仿宋_GB2312"/>
          <w:b/>
          <w:sz w:val="24"/>
        </w:rPr>
      </w:pPr>
      <w:bookmarkStart w:id="307" w:name="_Ref475310418"/>
      <w:r>
        <w:rPr>
          <w:rFonts w:eastAsia="仿宋_GB2312"/>
          <w:b/>
          <w:sz w:val="24"/>
        </w:rPr>
        <w:t>表</w:t>
      </w:r>
      <w:bookmarkEnd w:id="307"/>
      <w:r>
        <w:rPr>
          <w:rFonts w:eastAsia="仿宋_GB2312"/>
          <w:b/>
          <w:sz w:val="24"/>
        </w:rPr>
        <w:t>4.2-7  单因子水质污染指数（S</w:t>
      </w:r>
      <w:r>
        <w:rPr>
          <w:rFonts w:eastAsia="仿宋_GB2312"/>
          <w:b/>
          <w:sz w:val="24"/>
          <w:vertAlign w:val="subscript"/>
        </w:rPr>
        <w:t>ij</w:t>
      </w:r>
      <w:r>
        <w:rPr>
          <w:rFonts w:eastAsia="仿宋_GB2312"/>
          <w:b/>
          <w:sz w:val="24"/>
        </w:rPr>
        <w:t>）计算结果一览表</w:t>
      </w:r>
    </w:p>
    <w:tbl>
      <w:tblPr>
        <w:tblStyle w:val="87"/>
        <w:tblW w:w="431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1696"/>
        <w:gridCol w:w="1405"/>
        <w:gridCol w:w="1021"/>
        <w:gridCol w:w="1407"/>
        <w:gridCol w:w="1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520" w:type="pct"/>
            <w:shd w:val="clear" w:color="auto" w:fill="auto"/>
            <w:noWrap/>
            <w:tcMar>
              <w:left w:w="0" w:type="dxa"/>
              <w:right w:w="0" w:type="dxa"/>
            </w:tcMar>
            <w:vAlign w:val="center"/>
          </w:tcPr>
          <w:p>
            <w:pPr>
              <w:adjustRightInd w:val="0"/>
              <w:snapToGrid w:val="0"/>
              <w:jc w:val="center"/>
              <w:rPr>
                <w:rFonts w:ascii="仿宋" w:hAnsi="仿宋" w:eastAsia="仿宋"/>
              </w:rPr>
            </w:pPr>
            <w:r>
              <w:rPr>
                <w:rFonts w:ascii="仿宋" w:hAnsi="仿宋" w:eastAsia="仿宋"/>
              </w:rPr>
              <w:t>断面</w:t>
            </w:r>
          </w:p>
        </w:tc>
        <w:tc>
          <w:tcPr>
            <w:tcW w:w="1086" w:type="pct"/>
            <w:shd w:val="clear" w:color="auto" w:fill="auto"/>
            <w:noWrap/>
            <w:tcMar>
              <w:left w:w="0" w:type="dxa"/>
              <w:right w:w="0" w:type="dxa"/>
            </w:tcMar>
            <w:vAlign w:val="center"/>
          </w:tcPr>
          <w:p>
            <w:pPr>
              <w:adjustRightInd w:val="0"/>
              <w:snapToGrid w:val="0"/>
              <w:jc w:val="center"/>
              <w:rPr>
                <w:rFonts w:ascii="仿宋" w:hAnsi="仿宋" w:eastAsia="仿宋"/>
              </w:rPr>
            </w:pPr>
            <w:r>
              <w:rPr>
                <w:rFonts w:ascii="仿宋" w:hAnsi="仿宋" w:eastAsia="仿宋"/>
              </w:rPr>
              <w:t>监测项目</w:t>
            </w:r>
          </w:p>
        </w:tc>
        <w:tc>
          <w:tcPr>
            <w:tcW w:w="900" w:type="pct"/>
            <w:shd w:val="clear" w:color="auto" w:fill="auto"/>
            <w:noWrap/>
            <w:tcMar>
              <w:left w:w="0" w:type="dxa"/>
              <w:right w:w="0" w:type="dxa"/>
            </w:tcMar>
            <w:vAlign w:val="center"/>
          </w:tcPr>
          <w:p>
            <w:pPr>
              <w:adjustRightInd w:val="0"/>
              <w:snapToGrid w:val="0"/>
              <w:jc w:val="center"/>
              <w:rPr>
                <w:rFonts w:ascii="仿宋" w:hAnsi="仿宋" w:eastAsia="仿宋"/>
              </w:rPr>
            </w:pPr>
            <w:r>
              <w:rPr>
                <w:rFonts w:ascii="仿宋" w:hAnsi="仿宋" w:eastAsia="仿宋"/>
              </w:rPr>
              <w:t>pH</w:t>
            </w:r>
          </w:p>
        </w:tc>
        <w:tc>
          <w:tcPr>
            <w:tcW w:w="654" w:type="pct"/>
            <w:shd w:val="clear" w:color="auto" w:fill="auto"/>
            <w:noWrap/>
            <w:tcMar>
              <w:left w:w="0" w:type="dxa"/>
              <w:right w:w="0" w:type="dxa"/>
            </w:tcMar>
            <w:vAlign w:val="center"/>
          </w:tcPr>
          <w:p>
            <w:pPr>
              <w:adjustRightInd w:val="0"/>
              <w:snapToGrid w:val="0"/>
              <w:jc w:val="center"/>
              <w:rPr>
                <w:rFonts w:ascii="仿宋" w:hAnsi="仿宋" w:eastAsia="仿宋"/>
              </w:rPr>
            </w:pPr>
            <w:r>
              <w:rPr>
                <w:rFonts w:ascii="仿宋" w:hAnsi="仿宋" w:eastAsia="仿宋"/>
              </w:rPr>
              <w:t>COD</w:t>
            </w:r>
          </w:p>
        </w:tc>
        <w:tc>
          <w:tcPr>
            <w:tcW w:w="900" w:type="pct"/>
            <w:noWrap/>
            <w:tcMar>
              <w:left w:w="0" w:type="dxa"/>
              <w:right w:w="0" w:type="dxa"/>
            </w:tcMar>
            <w:vAlign w:val="center"/>
          </w:tcPr>
          <w:p>
            <w:pPr>
              <w:adjustRightInd w:val="0"/>
              <w:snapToGrid w:val="0"/>
              <w:jc w:val="center"/>
              <w:rPr>
                <w:rFonts w:ascii="仿宋" w:hAnsi="仿宋" w:eastAsia="仿宋"/>
              </w:rPr>
            </w:pPr>
            <w:r>
              <w:rPr>
                <w:rFonts w:ascii="仿宋" w:hAnsi="仿宋" w:eastAsia="仿宋"/>
              </w:rPr>
              <w:t>氨氮</w:t>
            </w:r>
          </w:p>
        </w:tc>
        <w:tc>
          <w:tcPr>
            <w:tcW w:w="937" w:type="pct"/>
            <w:noWrap/>
            <w:tcMar>
              <w:left w:w="0" w:type="dxa"/>
              <w:right w:w="0" w:type="dxa"/>
            </w:tcMar>
            <w:vAlign w:val="center"/>
          </w:tcPr>
          <w:p>
            <w:pPr>
              <w:adjustRightInd w:val="0"/>
              <w:snapToGrid w:val="0"/>
              <w:jc w:val="center"/>
              <w:rPr>
                <w:rFonts w:ascii="仿宋" w:hAnsi="仿宋" w:eastAsia="仿宋"/>
              </w:rPr>
            </w:pPr>
            <w:r>
              <w:rPr>
                <w:rFonts w:ascii="仿宋" w:hAnsi="仿宋" w:eastAsia="仿宋"/>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520" w:type="pct"/>
            <w:vMerge w:val="restart"/>
            <w:shd w:val="clear" w:color="auto" w:fill="auto"/>
            <w:noWrap/>
            <w:tcMar>
              <w:left w:w="0" w:type="dxa"/>
              <w:right w:w="0" w:type="dxa"/>
            </w:tcMar>
            <w:vAlign w:val="center"/>
          </w:tcPr>
          <w:p>
            <w:pPr>
              <w:adjustRightInd w:val="0"/>
              <w:snapToGrid w:val="0"/>
              <w:jc w:val="center"/>
              <w:rPr>
                <w:rFonts w:ascii="仿宋" w:hAnsi="仿宋" w:eastAsia="仿宋"/>
              </w:rPr>
            </w:pPr>
            <w:r>
              <w:rPr>
                <w:rFonts w:ascii="仿宋" w:hAnsi="仿宋" w:eastAsia="仿宋"/>
              </w:rPr>
              <w:t>W1</w:t>
            </w:r>
          </w:p>
        </w:tc>
        <w:tc>
          <w:tcPr>
            <w:tcW w:w="1086" w:type="pct"/>
            <w:shd w:val="clear" w:color="auto" w:fill="auto"/>
            <w:noWrap/>
            <w:tcMar>
              <w:left w:w="0" w:type="dxa"/>
              <w:right w:w="0" w:type="dxa"/>
            </w:tcMar>
            <w:vAlign w:val="center"/>
          </w:tcPr>
          <w:p>
            <w:pPr>
              <w:adjustRightInd w:val="0"/>
              <w:snapToGrid w:val="0"/>
              <w:jc w:val="center"/>
              <w:rPr>
                <w:rFonts w:ascii="仿宋" w:hAnsi="仿宋" w:eastAsia="仿宋"/>
              </w:rPr>
            </w:pPr>
            <w:r>
              <w:rPr>
                <w:rFonts w:ascii="仿宋" w:hAnsi="仿宋" w:eastAsia="仿宋"/>
              </w:rPr>
              <w:t>浓度范围</w:t>
            </w:r>
          </w:p>
        </w:tc>
        <w:tc>
          <w:tcPr>
            <w:tcW w:w="1405" w:type="dxa"/>
            <w:shd w:val="clear" w:color="auto" w:fill="auto"/>
            <w:noWrap/>
            <w:tcMar>
              <w:left w:w="0" w:type="dxa"/>
              <w:right w:w="0" w:type="dxa"/>
            </w:tcMar>
            <w:vAlign w:val="center"/>
          </w:tcPr>
          <w:p>
            <w:pPr>
              <w:pStyle w:val="286"/>
              <w:snapToGrid w:val="0"/>
              <w:spacing w:after="0" w:line="320" w:lineRule="exact"/>
              <w:ind w:left="0" w:leftChars="0" w:firstLine="0" w:firstLineChars="0"/>
              <w:jc w:val="center"/>
              <w:textAlignment w:val="auto"/>
              <w:rPr>
                <w:rFonts w:ascii="仿宋" w:hAnsi="仿宋" w:eastAsia="仿宋"/>
              </w:rPr>
            </w:pPr>
            <w:r>
              <w:rPr>
                <w:rFonts w:eastAsia="仿宋_GB2312"/>
                <w:sz w:val="21"/>
                <w:szCs w:val="21"/>
              </w:rPr>
              <w:t>6.73~7.73</w:t>
            </w:r>
          </w:p>
        </w:tc>
        <w:tc>
          <w:tcPr>
            <w:tcW w:w="1021" w:type="dxa"/>
            <w:shd w:val="clear" w:color="auto" w:fill="auto"/>
            <w:noWrap/>
            <w:tcMar>
              <w:left w:w="0" w:type="dxa"/>
              <w:right w:w="0" w:type="dxa"/>
            </w:tcMar>
            <w:vAlign w:val="center"/>
          </w:tcPr>
          <w:p>
            <w:pPr>
              <w:pStyle w:val="286"/>
              <w:snapToGrid w:val="0"/>
              <w:spacing w:after="0" w:line="320" w:lineRule="exact"/>
              <w:ind w:left="0" w:leftChars="0" w:firstLine="0" w:firstLineChars="0"/>
              <w:jc w:val="center"/>
              <w:textAlignment w:val="auto"/>
              <w:rPr>
                <w:rFonts w:ascii="仿宋" w:hAnsi="仿宋" w:eastAsia="仿宋"/>
              </w:rPr>
            </w:pPr>
            <w:r>
              <w:rPr>
                <w:rFonts w:eastAsia="仿宋_GB2312"/>
                <w:sz w:val="21"/>
                <w:szCs w:val="21"/>
              </w:rPr>
              <w:t>16~19</w:t>
            </w:r>
          </w:p>
        </w:tc>
        <w:tc>
          <w:tcPr>
            <w:tcW w:w="1406" w:type="dxa"/>
            <w:noWrap/>
            <w:tcMar>
              <w:left w:w="0" w:type="dxa"/>
              <w:right w:w="0" w:type="dxa"/>
            </w:tcMar>
            <w:vAlign w:val="center"/>
          </w:tcPr>
          <w:p>
            <w:pPr>
              <w:pStyle w:val="286"/>
              <w:snapToGrid w:val="0"/>
              <w:spacing w:after="0" w:line="320" w:lineRule="exact"/>
              <w:ind w:left="0" w:leftChars="0" w:firstLine="0" w:firstLineChars="0"/>
              <w:jc w:val="center"/>
              <w:textAlignment w:val="auto"/>
              <w:rPr>
                <w:rFonts w:ascii="仿宋" w:hAnsi="仿宋" w:eastAsia="仿宋"/>
              </w:rPr>
            </w:pPr>
            <w:r>
              <w:rPr>
                <w:rFonts w:eastAsia="仿宋_GB2312"/>
                <w:sz w:val="21"/>
                <w:szCs w:val="21"/>
              </w:rPr>
              <w:t>0.615~0.630</w:t>
            </w:r>
          </w:p>
        </w:tc>
        <w:tc>
          <w:tcPr>
            <w:tcW w:w="1464" w:type="dxa"/>
            <w:noWrap/>
            <w:tcMar>
              <w:left w:w="0" w:type="dxa"/>
              <w:right w:w="0" w:type="dxa"/>
            </w:tcMar>
            <w:vAlign w:val="center"/>
          </w:tcPr>
          <w:p>
            <w:pPr>
              <w:pStyle w:val="286"/>
              <w:snapToGrid w:val="0"/>
              <w:spacing w:after="0" w:line="320" w:lineRule="exact"/>
              <w:ind w:left="0" w:leftChars="0" w:firstLine="0" w:firstLineChars="0"/>
              <w:jc w:val="center"/>
              <w:textAlignment w:val="auto"/>
              <w:rPr>
                <w:rFonts w:ascii="仿宋" w:hAnsi="仿宋" w:eastAsia="仿宋"/>
              </w:rPr>
            </w:pPr>
            <w:r>
              <w:rPr>
                <w:rFonts w:eastAsia="仿宋_GB2312"/>
                <w:sz w:val="21"/>
                <w:szCs w:val="21"/>
              </w:rPr>
              <w:t>0.12~0.14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0" w:type="pct"/>
            <w:vMerge w:val="continue"/>
            <w:shd w:val="clear" w:color="auto" w:fill="auto"/>
            <w:noWrap/>
            <w:tcMar>
              <w:left w:w="0" w:type="dxa"/>
              <w:right w:w="0" w:type="dxa"/>
            </w:tcMar>
            <w:vAlign w:val="center"/>
          </w:tcPr>
          <w:p>
            <w:pPr>
              <w:adjustRightInd w:val="0"/>
              <w:snapToGrid w:val="0"/>
              <w:jc w:val="center"/>
              <w:rPr>
                <w:rFonts w:ascii="仿宋" w:hAnsi="仿宋" w:eastAsia="仿宋"/>
              </w:rPr>
            </w:pPr>
          </w:p>
        </w:tc>
        <w:tc>
          <w:tcPr>
            <w:tcW w:w="1086" w:type="pct"/>
            <w:shd w:val="clear" w:color="auto" w:fill="auto"/>
            <w:noWrap/>
            <w:tcMar>
              <w:left w:w="0" w:type="dxa"/>
              <w:right w:w="0" w:type="dxa"/>
            </w:tcMar>
            <w:vAlign w:val="center"/>
          </w:tcPr>
          <w:p>
            <w:pPr>
              <w:adjustRightInd w:val="0"/>
              <w:snapToGrid w:val="0"/>
              <w:jc w:val="center"/>
              <w:rPr>
                <w:rFonts w:ascii="仿宋" w:hAnsi="仿宋" w:eastAsia="仿宋"/>
              </w:rPr>
            </w:pPr>
            <w:r>
              <w:rPr>
                <w:rFonts w:ascii="仿宋" w:hAnsi="仿宋" w:eastAsia="仿宋"/>
              </w:rPr>
              <w:t>平均值</w:t>
            </w:r>
          </w:p>
        </w:tc>
        <w:tc>
          <w:tcPr>
            <w:tcW w:w="1405" w:type="dxa"/>
            <w:shd w:val="clear" w:color="auto" w:fill="auto"/>
            <w:noWrap/>
            <w:tcMar>
              <w:left w:w="0" w:type="dxa"/>
              <w:right w:w="0" w:type="dxa"/>
            </w:tcMar>
            <w:vAlign w:val="center"/>
          </w:tcPr>
          <w:p>
            <w:pPr>
              <w:pStyle w:val="286"/>
              <w:snapToGrid w:val="0"/>
              <w:spacing w:after="0" w:line="320" w:lineRule="exact"/>
              <w:ind w:left="0" w:leftChars="0" w:firstLine="0" w:firstLineChars="0"/>
              <w:jc w:val="center"/>
              <w:textAlignment w:val="auto"/>
              <w:rPr>
                <w:rFonts w:ascii="仿宋" w:hAnsi="仿宋" w:eastAsia="仿宋"/>
              </w:rPr>
            </w:pPr>
            <w:r>
              <w:rPr>
                <w:rFonts w:eastAsia="仿宋_GB2312"/>
                <w:sz w:val="21"/>
                <w:szCs w:val="21"/>
              </w:rPr>
              <w:t>/</w:t>
            </w:r>
          </w:p>
        </w:tc>
        <w:tc>
          <w:tcPr>
            <w:tcW w:w="1021" w:type="dxa"/>
            <w:shd w:val="clear" w:color="auto" w:fill="auto"/>
            <w:noWrap/>
            <w:tcMar>
              <w:left w:w="0" w:type="dxa"/>
              <w:right w:w="0" w:type="dxa"/>
            </w:tcMar>
            <w:vAlign w:val="center"/>
          </w:tcPr>
          <w:p>
            <w:pPr>
              <w:pStyle w:val="286"/>
              <w:snapToGrid w:val="0"/>
              <w:spacing w:after="0" w:line="320" w:lineRule="exact"/>
              <w:ind w:left="0" w:leftChars="0" w:firstLine="0" w:firstLineChars="0"/>
              <w:jc w:val="center"/>
              <w:textAlignment w:val="auto"/>
              <w:rPr>
                <w:rFonts w:ascii="仿宋" w:hAnsi="仿宋" w:eastAsia="仿宋"/>
              </w:rPr>
            </w:pPr>
            <w:r>
              <w:rPr>
                <w:rFonts w:eastAsia="仿宋_GB2312"/>
                <w:sz w:val="21"/>
                <w:szCs w:val="21"/>
              </w:rPr>
              <w:t>18</w:t>
            </w:r>
          </w:p>
        </w:tc>
        <w:tc>
          <w:tcPr>
            <w:tcW w:w="1406" w:type="dxa"/>
            <w:noWrap/>
            <w:tcMar>
              <w:left w:w="0" w:type="dxa"/>
              <w:right w:w="0" w:type="dxa"/>
            </w:tcMar>
            <w:vAlign w:val="center"/>
          </w:tcPr>
          <w:p>
            <w:pPr>
              <w:pStyle w:val="286"/>
              <w:snapToGrid w:val="0"/>
              <w:spacing w:after="0" w:line="320" w:lineRule="exact"/>
              <w:ind w:left="0" w:leftChars="0" w:firstLine="0" w:firstLineChars="0"/>
              <w:jc w:val="center"/>
              <w:textAlignment w:val="auto"/>
              <w:rPr>
                <w:rFonts w:ascii="仿宋" w:hAnsi="仿宋" w:eastAsia="仿宋"/>
              </w:rPr>
            </w:pPr>
            <w:r>
              <w:rPr>
                <w:rFonts w:eastAsia="仿宋_GB2312"/>
                <w:sz w:val="21"/>
                <w:szCs w:val="21"/>
              </w:rPr>
              <w:t>0.627</w:t>
            </w:r>
          </w:p>
        </w:tc>
        <w:tc>
          <w:tcPr>
            <w:tcW w:w="1464" w:type="dxa"/>
            <w:noWrap/>
            <w:tcMar>
              <w:left w:w="0" w:type="dxa"/>
              <w:right w:w="0" w:type="dxa"/>
            </w:tcMar>
            <w:vAlign w:val="center"/>
          </w:tcPr>
          <w:p>
            <w:pPr>
              <w:pStyle w:val="286"/>
              <w:snapToGrid w:val="0"/>
              <w:spacing w:after="0" w:line="320" w:lineRule="exact"/>
              <w:ind w:left="0" w:leftChars="0" w:firstLine="0" w:firstLineChars="0"/>
              <w:jc w:val="center"/>
              <w:textAlignment w:val="auto"/>
              <w:rPr>
                <w:rFonts w:ascii="仿宋" w:hAnsi="仿宋" w:eastAsia="仿宋"/>
              </w:rPr>
            </w:pPr>
            <w:r>
              <w:rPr>
                <w:rFonts w:eastAsia="仿宋_GB2312"/>
                <w:sz w:val="21"/>
                <w:szCs w:val="21"/>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520" w:type="pct"/>
            <w:vMerge w:val="continue"/>
            <w:shd w:val="clear" w:color="auto" w:fill="auto"/>
            <w:noWrap/>
            <w:tcMar>
              <w:left w:w="0" w:type="dxa"/>
              <w:right w:w="0" w:type="dxa"/>
            </w:tcMar>
            <w:vAlign w:val="center"/>
          </w:tcPr>
          <w:p>
            <w:pPr>
              <w:adjustRightInd w:val="0"/>
              <w:snapToGrid w:val="0"/>
              <w:jc w:val="center"/>
              <w:rPr>
                <w:rFonts w:ascii="仿宋" w:hAnsi="仿宋" w:eastAsia="仿宋"/>
              </w:rPr>
            </w:pPr>
          </w:p>
        </w:tc>
        <w:tc>
          <w:tcPr>
            <w:tcW w:w="1086" w:type="pct"/>
            <w:shd w:val="clear" w:color="auto" w:fill="auto"/>
            <w:noWrap/>
            <w:tcMar>
              <w:left w:w="0" w:type="dxa"/>
              <w:right w:w="0" w:type="dxa"/>
            </w:tcMar>
            <w:vAlign w:val="center"/>
          </w:tcPr>
          <w:p>
            <w:pPr>
              <w:adjustRightInd w:val="0"/>
              <w:snapToGrid w:val="0"/>
              <w:jc w:val="center"/>
              <w:rPr>
                <w:rFonts w:ascii="仿宋" w:hAnsi="仿宋" w:eastAsia="仿宋"/>
              </w:rPr>
            </w:pPr>
            <w:r>
              <w:rPr>
                <w:rFonts w:ascii="仿宋" w:hAnsi="仿宋" w:eastAsia="仿宋"/>
              </w:rPr>
              <w:t>污染指数</w:t>
            </w:r>
          </w:p>
        </w:tc>
        <w:tc>
          <w:tcPr>
            <w:tcW w:w="900" w:type="pct"/>
            <w:shd w:val="clear" w:color="auto" w:fill="auto"/>
            <w:noWrap/>
            <w:tcMar>
              <w:left w:w="0" w:type="dxa"/>
              <w:right w:w="0" w:type="dxa"/>
            </w:tcMar>
            <w:vAlign w:val="center"/>
          </w:tcPr>
          <w:p>
            <w:pPr>
              <w:adjustRightInd w:val="0"/>
              <w:snapToGrid w:val="0"/>
              <w:jc w:val="center"/>
              <w:rPr>
                <w:rFonts w:ascii="仿宋" w:hAnsi="仿宋" w:eastAsia="仿宋"/>
              </w:rPr>
            </w:pPr>
            <w:r>
              <w:rPr>
                <w:rFonts w:hint="eastAsia" w:ascii="仿宋" w:hAnsi="仿宋" w:eastAsia="仿宋"/>
              </w:rPr>
              <w:t>0.27</w:t>
            </w:r>
            <w:r>
              <w:rPr>
                <w:rFonts w:eastAsia="仿宋_GB2312"/>
                <w:szCs w:val="21"/>
              </w:rPr>
              <w:t>~0.36</w:t>
            </w:r>
          </w:p>
        </w:tc>
        <w:tc>
          <w:tcPr>
            <w:tcW w:w="654" w:type="pct"/>
            <w:shd w:val="clear" w:color="auto" w:fill="auto"/>
            <w:noWrap/>
            <w:tcMar>
              <w:left w:w="0" w:type="dxa"/>
              <w:right w:w="0" w:type="dxa"/>
            </w:tcMar>
            <w:vAlign w:val="center"/>
          </w:tcPr>
          <w:p>
            <w:pPr>
              <w:adjustRightInd w:val="0"/>
              <w:snapToGrid w:val="0"/>
              <w:jc w:val="center"/>
              <w:rPr>
                <w:rFonts w:ascii="仿宋" w:hAnsi="仿宋" w:eastAsia="仿宋_GB2312"/>
              </w:rPr>
            </w:pPr>
            <w:r>
              <w:rPr>
                <w:rFonts w:hint="eastAsia" w:ascii="仿宋" w:hAnsi="仿宋" w:eastAsia="仿宋"/>
              </w:rPr>
              <w:t>0.8</w:t>
            </w:r>
            <w:r>
              <w:rPr>
                <w:rFonts w:eastAsia="仿宋_GB2312"/>
                <w:szCs w:val="21"/>
              </w:rPr>
              <w:t>~</w:t>
            </w:r>
            <w:r>
              <w:rPr>
                <w:rFonts w:hint="eastAsia" w:eastAsia="仿宋_GB2312"/>
                <w:szCs w:val="21"/>
              </w:rPr>
              <w:t>0.95</w:t>
            </w:r>
          </w:p>
        </w:tc>
        <w:tc>
          <w:tcPr>
            <w:tcW w:w="900" w:type="pct"/>
            <w:noWrap/>
            <w:tcMar>
              <w:left w:w="0" w:type="dxa"/>
              <w:right w:w="0" w:type="dxa"/>
            </w:tcMar>
            <w:vAlign w:val="center"/>
          </w:tcPr>
          <w:p>
            <w:pPr>
              <w:adjustRightInd w:val="0"/>
              <w:snapToGrid w:val="0"/>
              <w:jc w:val="center"/>
              <w:rPr>
                <w:rFonts w:ascii="仿宋" w:hAnsi="仿宋" w:eastAsia="仿宋"/>
              </w:rPr>
            </w:pPr>
            <w:r>
              <w:rPr>
                <w:rFonts w:eastAsia="仿宋_GB2312"/>
                <w:szCs w:val="21"/>
              </w:rPr>
              <w:t>0.615~0.630</w:t>
            </w:r>
          </w:p>
        </w:tc>
        <w:tc>
          <w:tcPr>
            <w:tcW w:w="937" w:type="pct"/>
            <w:noWrap/>
            <w:tcMar>
              <w:left w:w="0" w:type="dxa"/>
              <w:right w:w="0" w:type="dxa"/>
            </w:tcMar>
            <w:vAlign w:val="center"/>
          </w:tcPr>
          <w:p>
            <w:pPr>
              <w:adjustRightInd w:val="0"/>
              <w:snapToGrid w:val="0"/>
              <w:jc w:val="center"/>
              <w:rPr>
                <w:rFonts w:ascii="仿宋" w:hAnsi="仿宋" w:eastAsia="仿宋_GB2312"/>
              </w:rPr>
            </w:pPr>
            <w:r>
              <w:rPr>
                <w:rFonts w:hint="eastAsia" w:ascii="仿宋" w:hAnsi="仿宋" w:eastAsia="仿宋"/>
              </w:rPr>
              <w:t>0.6</w:t>
            </w:r>
            <w:r>
              <w:rPr>
                <w:rFonts w:eastAsia="仿宋_GB2312"/>
                <w:szCs w:val="21"/>
              </w:rPr>
              <w:t>~</w:t>
            </w:r>
            <w:r>
              <w:rPr>
                <w:rFonts w:hint="eastAsia" w:eastAsia="仿宋_GB2312"/>
                <w:szCs w:val="21"/>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0" w:type="pct"/>
            <w:vMerge w:val="continue"/>
            <w:shd w:val="clear" w:color="auto" w:fill="auto"/>
            <w:noWrap/>
            <w:tcMar>
              <w:left w:w="0" w:type="dxa"/>
              <w:right w:w="0" w:type="dxa"/>
            </w:tcMar>
            <w:vAlign w:val="center"/>
          </w:tcPr>
          <w:p>
            <w:pPr>
              <w:adjustRightInd w:val="0"/>
              <w:snapToGrid w:val="0"/>
              <w:jc w:val="center"/>
              <w:rPr>
                <w:rFonts w:ascii="仿宋" w:hAnsi="仿宋" w:eastAsia="仿宋"/>
              </w:rPr>
            </w:pPr>
          </w:p>
        </w:tc>
        <w:tc>
          <w:tcPr>
            <w:tcW w:w="1086" w:type="pct"/>
            <w:shd w:val="clear" w:color="auto" w:fill="auto"/>
            <w:noWrap/>
            <w:tcMar>
              <w:left w:w="0" w:type="dxa"/>
              <w:right w:w="0" w:type="dxa"/>
            </w:tcMar>
            <w:vAlign w:val="center"/>
          </w:tcPr>
          <w:p>
            <w:pPr>
              <w:adjustRightInd w:val="0"/>
              <w:snapToGrid w:val="0"/>
              <w:jc w:val="center"/>
              <w:rPr>
                <w:rFonts w:ascii="仿宋" w:hAnsi="仿宋" w:eastAsia="仿宋"/>
              </w:rPr>
            </w:pPr>
            <w:r>
              <w:rPr>
                <w:rFonts w:ascii="仿宋" w:hAnsi="仿宋" w:eastAsia="仿宋"/>
              </w:rPr>
              <w:t>超标率%</w:t>
            </w:r>
          </w:p>
        </w:tc>
        <w:tc>
          <w:tcPr>
            <w:tcW w:w="900" w:type="pct"/>
            <w:shd w:val="clear" w:color="auto" w:fill="auto"/>
            <w:noWrap/>
            <w:tcMar>
              <w:left w:w="0" w:type="dxa"/>
              <w:right w:w="0" w:type="dxa"/>
            </w:tcMar>
            <w:vAlign w:val="center"/>
          </w:tcPr>
          <w:p>
            <w:pPr>
              <w:adjustRightInd w:val="0"/>
              <w:snapToGrid w:val="0"/>
              <w:jc w:val="center"/>
              <w:rPr>
                <w:rFonts w:ascii="仿宋" w:hAnsi="仿宋" w:eastAsia="仿宋"/>
              </w:rPr>
            </w:pPr>
            <w:r>
              <w:rPr>
                <w:rFonts w:hint="eastAsia" w:ascii="仿宋" w:hAnsi="仿宋" w:eastAsia="仿宋"/>
              </w:rPr>
              <w:t>0</w:t>
            </w:r>
          </w:p>
        </w:tc>
        <w:tc>
          <w:tcPr>
            <w:tcW w:w="654" w:type="pct"/>
            <w:shd w:val="clear" w:color="auto" w:fill="auto"/>
            <w:noWrap/>
            <w:tcMar>
              <w:left w:w="0" w:type="dxa"/>
              <w:right w:w="0" w:type="dxa"/>
            </w:tcMar>
            <w:vAlign w:val="center"/>
          </w:tcPr>
          <w:p>
            <w:pPr>
              <w:adjustRightInd w:val="0"/>
              <w:snapToGrid w:val="0"/>
              <w:jc w:val="center"/>
              <w:rPr>
                <w:rFonts w:ascii="仿宋" w:hAnsi="仿宋" w:eastAsia="仿宋"/>
              </w:rPr>
            </w:pPr>
            <w:r>
              <w:rPr>
                <w:rFonts w:hint="eastAsia" w:ascii="仿宋" w:hAnsi="仿宋" w:eastAsia="仿宋"/>
              </w:rPr>
              <w:t>0</w:t>
            </w:r>
          </w:p>
        </w:tc>
        <w:tc>
          <w:tcPr>
            <w:tcW w:w="900" w:type="pct"/>
            <w:noWrap/>
            <w:tcMar>
              <w:left w:w="0" w:type="dxa"/>
              <w:right w:w="0" w:type="dxa"/>
            </w:tcMar>
            <w:vAlign w:val="center"/>
          </w:tcPr>
          <w:p>
            <w:pPr>
              <w:adjustRightInd w:val="0"/>
              <w:snapToGrid w:val="0"/>
              <w:jc w:val="center"/>
              <w:rPr>
                <w:rFonts w:ascii="仿宋" w:hAnsi="仿宋" w:eastAsia="仿宋"/>
              </w:rPr>
            </w:pPr>
            <w:r>
              <w:rPr>
                <w:rFonts w:hint="eastAsia" w:ascii="仿宋" w:hAnsi="仿宋" w:eastAsia="仿宋"/>
              </w:rPr>
              <w:t>0</w:t>
            </w:r>
          </w:p>
        </w:tc>
        <w:tc>
          <w:tcPr>
            <w:tcW w:w="937" w:type="pct"/>
            <w:noWrap/>
            <w:tcMar>
              <w:left w:w="0" w:type="dxa"/>
              <w:right w:w="0" w:type="dxa"/>
            </w:tcMar>
            <w:vAlign w:val="center"/>
          </w:tcPr>
          <w:p>
            <w:pPr>
              <w:adjustRightInd w:val="0"/>
              <w:snapToGrid w:val="0"/>
              <w:jc w:val="cente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520" w:type="pct"/>
            <w:vMerge w:val="restart"/>
            <w:shd w:val="clear" w:color="auto" w:fill="auto"/>
            <w:noWrap/>
            <w:tcMar>
              <w:left w:w="0" w:type="dxa"/>
              <w:right w:w="0" w:type="dxa"/>
            </w:tcMar>
            <w:vAlign w:val="center"/>
          </w:tcPr>
          <w:p>
            <w:pPr>
              <w:adjustRightInd w:val="0"/>
              <w:snapToGrid w:val="0"/>
              <w:jc w:val="center"/>
              <w:rPr>
                <w:rFonts w:ascii="仿宋" w:hAnsi="仿宋" w:eastAsia="仿宋"/>
              </w:rPr>
            </w:pPr>
            <w:r>
              <w:rPr>
                <w:rFonts w:ascii="仿宋" w:hAnsi="仿宋" w:eastAsia="仿宋"/>
              </w:rPr>
              <w:t>W2</w:t>
            </w:r>
          </w:p>
        </w:tc>
        <w:tc>
          <w:tcPr>
            <w:tcW w:w="1086" w:type="pct"/>
            <w:shd w:val="clear" w:color="auto" w:fill="auto"/>
            <w:noWrap/>
            <w:tcMar>
              <w:left w:w="0" w:type="dxa"/>
              <w:right w:w="0" w:type="dxa"/>
            </w:tcMar>
            <w:vAlign w:val="center"/>
          </w:tcPr>
          <w:p>
            <w:pPr>
              <w:adjustRightInd w:val="0"/>
              <w:snapToGrid w:val="0"/>
              <w:jc w:val="center"/>
              <w:rPr>
                <w:rFonts w:ascii="仿宋" w:hAnsi="仿宋" w:eastAsia="仿宋"/>
              </w:rPr>
            </w:pPr>
            <w:r>
              <w:rPr>
                <w:rFonts w:ascii="仿宋" w:hAnsi="仿宋" w:eastAsia="仿宋"/>
              </w:rPr>
              <w:t>浓度范围</w:t>
            </w:r>
          </w:p>
        </w:tc>
        <w:tc>
          <w:tcPr>
            <w:tcW w:w="1405" w:type="dxa"/>
            <w:shd w:val="clear" w:color="auto" w:fill="auto"/>
            <w:noWrap/>
            <w:tcMar>
              <w:left w:w="0" w:type="dxa"/>
              <w:right w:w="0" w:type="dxa"/>
            </w:tcMar>
            <w:vAlign w:val="center"/>
          </w:tcPr>
          <w:p>
            <w:pPr>
              <w:pStyle w:val="286"/>
              <w:snapToGrid w:val="0"/>
              <w:spacing w:after="0" w:line="320" w:lineRule="exact"/>
              <w:ind w:left="0" w:leftChars="0" w:firstLine="0" w:firstLineChars="0"/>
              <w:jc w:val="center"/>
              <w:textAlignment w:val="auto"/>
              <w:rPr>
                <w:rFonts w:ascii="仿宋" w:hAnsi="仿宋" w:eastAsia="仿宋"/>
              </w:rPr>
            </w:pPr>
            <w:r>
              <w:rPr>
                <w:rFonts w:eastAsia="仿宋_GB2312"/>
                <w:sz w:val="21"/>
                <w:szCs w:val="21"/>
              </w:rPr>
              <w:t>7.62~7.74</w:t>
            </w:r>
          </w:p>
        </w:tc>
        <w:tc>
          <w:tcPr>
            <w:tcW w:w="1021" w:type="dxa"/>
            <w:shd w:val="clear" w:color="auto" w:fill="auto"/>
            <w:noWrap/>
            <w:tcMar>
              <w:left w:w="0" w:type="dxa"/>
              <w:right w:w="0" w:type="dxa"/>
            </w:tcMar>
            <w:vAlign w:val="center"/>
          </w:tcPr>
          <w:p>
            <w:pPr>
              <w:pStyle w:val="286"/>
              <w:snapToGrid w:val="0"/>
              <w:spacing w:after="0" w:line="320" w:lineRule="exact"/>
              <w:ind w:left="0" w:leftChars="0" w:firstLine="0" w:firstLineChars="0"/>
              <w:jc w:val="center"/>
              <w:textAlignment w:val="auto"/>
              <w:rPr>
                <w:rFonts w:ascii="仿宋" w:hAnsi="仿宋" w:eastAsia="仿宋"/>
              </w:rPr>
            </w:pPr>
            <w:r>
              <w:rPr>
                <w:rFonts w:eastAsia="仿宋_GB2312"/>
                <w:sz w:val="21"/>
                <w:szCs w:val="21"/>
              </w:rPr>
              <w:t>16~19</w:t>
            </w:r>
          </w:p>
        </w:tc>
        <w:tc>
          <w:tcPr>
            <w:tcW w:w="1406" w:type="dxa"/>
            <w:noWrap/>
            <w:tcMar>
              <w:left w:w="0" w:type="dxa"/>
              <w:right w:w="0" w:type="dxa"/>
            </w:tcMar>
            <w:vAlign w:val="center"/>
          </w:tcPr>
          <w:p>
            <w:pPr>
              <w:pStyle w:val="286"/>
              <w:snapToGrid w:val="0"/>
              <w:spacing w:after="0" w:line="320" w:lineRule="exact"/>
              <w:ind w:left="0" w:leftChars="0" w:firstLine="0" w:firstLineChars="0"/>
              <w:jc w:val="center"/>
              <w:textAlignment w:val="auto"/>
              <w:rPr>
                <w:rFonts w:ascii="仿宋" w:hAnsi="仿宋" w:eastAsia="仿宋"/>
              </w:rPr>
            </w:pPr>
            <w:r>
              <w:rPr>
                <w:rFonts w:eastAsia="仿宋_GB2312"/>
                <w:sz w:val="21"/>
                <w:szCs w:val="21"/>
              </w:rPr>
              <w:t>0.734~0.746</w:t>
            </w:r>
          </w:p>
        </w:tc>
        <w:tc>
          <w:tcPr>
            <w:tcW w:w="1464" w:type="dxa"/>
            <w:noWrap/>
            <w:tcMar>
              <w:left w:w="0" w:type="dxa"/>
              <w:right w:w="0" w:type="dxa"/>
            </w:tcMar>
            <w:vAlign w:val="center"/>
          </w:tcPr>
          <w:p>
            <w:pPr>
              <w:pStyle w:val="286"/>
              <w:snapToGrid w:val="0"/>
              <w:spacing w:after="0" w:line="320" w:lineRule="exact"/>
              <w:ind w:left="0" w:leftChars="0" w:firstLine="0" w:firstLineChars="0"/>
              <w:jc w:val="center"/>
              <w:textAlignment w:val="auto"/>
              <w:rPr>
                <w:rFonts w:ascii="仿宋" w:hAnsi="仿宋" w:eastAsia="仿宋"/>
              </w:rPr>
            </w:pPr>
            <w:r>
              <w:rPr>
                <w:rFonts w:eastAsia="仿宋_GB2312"/>
                <w:sz w:val="21"/>
                <w:szCs w:val="21"/>
              </w:rPr>
              <w:t>0.12~0.14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0" w:type="pct"/>
            <w:vMerge w:val="continue"/>
            <w:shd w:val="clear" w:color="auto" w:fill="auto"/>
            <w:noWrap/>
            <w:tcMar>
              <w:left w:w="0" w:type="dxa"/>
              <w:right w:w="0" w:type="dxa"/>
            </w:tcMar>
            <w:vAlign w:val="center"/>
          </w:tcPr>
          <w:p>
            <w:pPr>
              <w:adjustRightInd w:val="0"/>
              <w:snapToGrid w:val="0"/>
              <w:jc w:val="center"/>
              <w:rPr>
                <w:rFonts w:ascii="仿宋" w:hAnsi="仿宋" w:eastAsia="仿宋"/>
              </w:rPr>
            </w:pPr>
          </w:p>
        </w:tc>
        <w:tc>
          <w:tcPr>
            <w:tcW w:w="1086" w:type="pct"/>
            <w:shd w:val="clear" w:color="auto" w:fill="auto"/>
            <w:noWrap/>
            <w:tcMar>
              <w:left w:w="0" w:type="dxa"/>
              <w:right w:w="0" w:type="dxa"/>
            </w:tcMar>
            <w:vAlign w:val="center"/>
          </w:tcPr>
          <w:p>
            <w:pPr>
              <w:adjustRightInd w:val="0"/>
              <w:snapToGrid w:val="0"/>
              <w:jc w:val="center"/>
              <w:rPr>
                <w:rFonts w:ascii="仿宋" w:hAnsi="仿宋" w:eastAsia="仿宋"/>
              </w:rPr>
            </w:pPr>
            <w:r>
              <w:rPr>
                <w:rFonts w:ascii="仿宋" w:hAnsi="仿宋" w:eastAsia="仿宋"/>
              </w:rPr>
              <w:t>平均值</w:t>
            </w:r>
          </w:p>
        </w:tc>
        <w:tc>
          <w:tcPr>
            <w:tcW w:w="1405" w:type="dxa"/>
            <w:shd w:val="clear" w:color="auto" w:fill="auto"/>
            <w:noWrap/>
            <w:tcMar>
              <w:left w:w="0" w:type="dxa"/>
              <w:right w:w="0" w:type="dxa"/>
            </w:tcMar>
            <w:vAlign w:val="center"/>
          </w:tcPr>
          <w:p>
            <w:pPr>
              <w:pStyle w:val="286"/>
              <w:snapToGrid w:val="0"/>
              <w:spacing w:after="0" w:line="320" w:lineRule="exact"/>
              <w:ind w:left="0" w:leftChars="0" w:firstLine="0" w:firstLineChars="0"/>
              <w:jc w:val="center"/>
              <w:textAlignment w:val="auto"/>
              <w:rPr>
                <w:rFonts w:ascii="仿宋" w:hAnsi="仿宋" w:eastAsia="仿宋"/>
              </w:rPr>
            </w:pPr>
            <w:r>
              <w:rPr>
                <w:rFonts w:eastAsia="仿宋_GB2312"/>
                <w:sz w:val="21"/>
                <w:szCs w:val="21"/>
              </w:rPr>
              <w:t>/</w:t>
            </w:r>
          </w:p>
        </w:tc>
        <w:tc>
          <w:tcPr>
            <w:tcW w:w="1021" w:type="dxa"/>
            <w:shd w:val="clear" w:color="auto" w:fill="auto"/>
            <w:noWrap/>
            <w:tcMar>
              <w:left w:w="0" w:type="dxa"/>
              <w:right w:w="0" w:type="dxa"/>
            </w:tcMar>
            <w:vAlign w:val="center"/>
          </w:tcPr>
          <w:p>
            <w:pPr>
              <w:pStyle w:val="286"/>
              <w:snapToGrid w:val="0"/>
              <w:spacing w:after="0" w:line="320" w:lineRule="exact"/>
              <w:ind w:left="0" w:leftChars="0" w:firstLine="0" w:firstLineChars="0"/>
              <w:jc w:val="center"/>
              <w:textAlignment w:val="auto"/>
              <w:rPr>
                <w:rFonts w:ascii="仿宋" w:hAnsi="仿宋" w:eastAsia="仿宋"/>
              </w:rPr>
            </w:pPr>
            <w:r>
              <w:rPr>
                <w:rFonts w:eastAsia="仿宋_GB2312"/>
                <w:sz w:val="21"/>
                <w:szCs w:val="21"/>
              </w:rPr>
              <w:t>17</w:t>
            </w:r>
          </w:p>
        </w:tc>
        <w:tc>
          <w:tcPr>
            <w:tcW w:w="1406" w:type="dxa"/>
            <w:noWrap/>
            <w:tcMar>
              <w:left w:w="0" w:type="dxa"/>
              <w:right w:w="0" w:type="dxa"/>
            </w:tcMar>
            <w:vAlign w:val="center"/>
          </w:tcPr>
          <w:p>
            <w:pPr>
              <w:pStyle w:val="286"/>
              <w:snapToGrid w:val="0"/>
              <w:spacing w:after="0" w:line="320" w:lineRule="exact"/>
              <w:ind w:left="0" w:leftChars="0" w:firstLine="0" w:firstLineChars="0"/>
              <w:jc w:val="center"/>
              <w:textAlignment w:val="auto"/>
              <w:rPr>
                <w:rFonts w:ascii="仿宋" w:hAnsi="仿宋" w:eastAsia="仿宋"/>
              </w:rPr>
            </w:pPr>
            <w:r>
              <w:rPr>
                <w:rFonts w:eastAsia="仿宋_GB2312"/>
                <w:sz w:val="21"/>
                <w:szCs w:val="21"/>
              </w:rPr>
              <w:t>0.743</w:t>
            </w:r>
          </w:p>
        </w:tc>
        <w:tc>
          <w:tcPr>
            <w:tcW w:w="1464" w:type="dxa"/>
            <w:noWrap/>
            <w:tcMar>
              <w:left w:w="0" w:type="dxa"/>
              <w:right w:w="0" w:type="dxa"/>
            </w:tcMar>
            <w:vAlign w:val="center"/>
          </w:tcPr>
          <w:p>
            <w:pPr>
              <w:pStyle w:val="286"/>
              <w:snapToGrid w:val="0"/>
              <w:spacing w:after="0" w:line="320" w:lineRule="exact"/>
              <w:ind w:left="0" w:leftChars="0" w:firstLine="0" w:firstLineChars="0"/>
              <w:jc w:val="center"/>
              <w:textAlignment w:val="auto"/>
              <w:rPr>
                <w:rFonts w:ascii="仿宋" w:hAnsi="仿宋" w:eastAsia="仿宋"/>
              </w:rPr>
            </w:pPr>
            <w:r>
              <w:rPr>
                <w:rFonts w:eastAsia="仿宋_GB2312"/>
                <w:sz w:val="21"/>
                <w:szCs w:val="21"/>
              </w:rPr>
              <w:t>0.133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520" w:type="pct"/>
            <w:vMerge w:val="continue"/>
            <w:shd w:val="clear" w:color="auto" w:fill="auto"/>
            <w:noWrap/>
            <w:tcMar>
              <w:left w:w="0" w:type="dxa"/>
              <w:right w:w="0" w:type="dxa"/>
            </w:tcMar>
            <w:vAlign w:val="center"/>
          </w:tcPr>
          <w:p>
            <w:pPr>
              <w:adjustRightInd w:val="0"/>
              <w:snapToGrid w:val="0"/>
              <w:jc w:val="center"/>
              <w:rPr>
                <w:rFonts w:ascii="仿宋" w:hAnsi="仿宋" w:eastAsia="仿宋"/>
              </w:rPr>
            </w:pPr>
          </w:p>
        </w:tc>
        <w:tc>
          <w:tcPr>
            <w:tcW w:w="1086" w:type="pct"/>
            <w:shd w:val="clear" w:color="auto" w:fill="auto"/>
            <w:noWrap/>
            <w:tcMar>
              <w:left w:w="0" w:type="dxa"/>
              <w:right w:w="0" w:type="dxa"/>
            </w:tcMar>
            <w:vAlign w:val="center"/>
          </w:tcPr>
          <w:p>
            <w:pPr>
              <w:adjustRightInd w:val="0"/>
              <w:snapToGrid w:val="0"/>
              <w:jc w:val="center"/>
              <w:rPr>
                <w:rFonts w:ascii="仿宋" w:hAnsi="仿宋" w:eastAsia="仿宋"/>
              </w:rPr>
            </w:pPr>
            <w:r>
              <w:rPr>
                <w:rFonts w:ascii="仿宋" w:hAnsi="仿宋" w:eastAsia="仿宋"/>
              </w:rPr>
              <w:t>污染指数</w:t>
            </w:r>
          </w:p>
        </w:tc>
        <w:tc>
          <w:tcPr>
            <w:tcW w:w="900" w:type="pct"/>
            <w:shd w:val="clear" w:color="auto" w:fill="auto"/>
            <w:noWrap/>
            <w:tcMar>
              <w:left w:w="0" w:type="dxa"/>
              <w:right w:w="0" w:type="dxa"/>
            </w:tcMar>
            <w:vAlign w:val="center"/>
          </w:tcPr>
          <w:p>
            <w:pPr>
              <w:adjustRightInd w:val="0"/>
              <w:snapToGrid w:val="0"/>
              <w:jc w:val="center"/>
              <w:rPr>
                <w:rFonts w:ascii="仿宋" w:hAnsi="仿宋" w:eastAsia="仿宋"/>
              </w:rPr>
            </w:pPr>
            <w:r>
              <w:rPr>
                <w:rFonts w:hint="eastAsia" w:ascii="仿宋" w:hAnsi="仿宋" w:eastAsia="仿宋"/>
              </w:rPr>
              <w:t>0.37</w:t>
            </w:r>
            <w:r>
              <w:rPr>
                <w:rFonts w:eastAsia="仿宋_GB2312"/>
                <w:szCs w:val="21"/>
              </w:rPr>
              <w:t>~0.62</w:t>
            </w:r>
          </w:p>
        </w:tc>
        <w:tc>
          <w:tcPr>
            <w:tcW w:w="654" w:type="pct"/>
            <w:shd w:val="clear" w:color="auto" w:fill="auto"/>
            <w:noWrap/>
            <w:tcMar>
              <w:left w:w="0" w:type="dxa"/>
              <w:right w:w="0" w:type="dxa"/>
            </w:tcMar>
            <w:vAlign w:val="center"/>
          </w:tcPr>
          <w:p>
            <w:pPr>
              <w:adjustRightInd w:val="0"/>
              <w:snapToGrid w:val="0"/>
              <w:jc w:val="center"/>
              <w:rPr>
                <w:rFonts w:ascii="仿宋" w:hAnsi="仿宋" w:eastAsia="仿宋"/>
              </w:rPr>
            </w:pPr>
            <w:r>
              <w:rPr>
                <w:rFonts w:hint="eastAsia" w:ascii="仿宋" w:hAnsi="仿宋" w:eastAsia="仿宋"/>
              </w:rPr>
              <w:t>0.8</w:t>
            </w:r>
            <w:r>
              <w:rPr>
                <w:rFonts w:eastAsia="仿宋_GB2312"/>
                <w:szCs w:val="21"/>
              </w:rPr>
              <w:t>~</w:t>
            </w:r>
            <w:r>
              <w:rPr>
                <w:rFonts w:hint="eastAsia" w:eastAsia="仿宋_GB2312"/>
                <w:szCs w:val="21"/>
              </w:rPr>
              <w:t>0.95</w:t>
            </w:r>
          </w:p>
        </w:tc>
        <w:tc>
          <w:tcPr>
            <w:tcW w:w="900" w:type="pct"/>
            <w:noWrap/>
            <w:tcMar>
              <w:left w:w="0" w:type="dxa"/>
              <w:right w:w="0" w:type="dxa"/>
            </w:tcMar>
            <w:vAlign w:val="center"/>
          </w:tcPr>
          <w:p>
            <w:pPr>
              <w:adjustRightInd w:val="0"/>
              <w:snapToGrid w:val="0"/>
              <w:jc w:val="center"/>
              <w:rPr>
                <w:rFonts w:ascii="仿宋" w:hAnsi="仿宋" w:eastAsia="仿宋"/>
              </w:rPr>
            </w:pPr>
            <w:r>
              <w:rPr>
                <w:rFonts w:eastAsia="仿宋_GB2312"/>
                <w:szCs w:val="21"/>
              </w:rPr>
              <w:t>0.734~0.746</w:t>
            </w:r>
          </w:p>
        </w:tc>
        <w:tc>
          <w:tcPr>
            <w:tcW w:w="937" w:type="pct"/>
            <w:noWrap/>
            <w:tcMar>
              <w:left w:w="0" w:type="dxa"/>
              <w:right w:w="0" w:type="dxa"/>
            </w:tcMar>
            <w:vAlign w:val="center"/>
          </w:tcPr>
          <w:p>
            <w:pPr>
              <w:adjustRightInd w:val="0"/>
              <w:snapToGrid w:val="0"/>
              <w:jc w:val="center"/>
              <w:rPr>
                <w:rFonts w:ascii="仿宋" w:hAnsi="仿宋" w:eastAsia="仿宋"/>
              </w:rPr>
            </w:pPr>
            <w:r>
              <w:rPr>
                <w:rFonts w:hint="eastAsia" w:ascii="仿宋" w:hAnsi="仿宋" w:eastAsia="仿宋"/>
              </w:rPr>
              <w:t>0.6</w:t>
            </w:r>
            <w:r>
              <w:rPr>
                <w:rFonts w:eastAsia="仿宋_GB2312"/>
                <w:szCs w:val="21"/>
              </w:rPr>
              <w:t>~</w:t>
            </w:r>
            <w:r>
              <w:rPr>
                <w:rFonts w:hint="eastAsia" w:eastAsia="仿宋_GB2312"/>
                <w:szCs w:val="21"/>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0" w:type="pct"/>
            <w:vMerge w:val="continue"/>
            <w:shd w:val="clear" w:color="auto" w:fill="auto"/>
            <w:noWrap/>
            <w:tcMar>
              <w:left w:w="0" w:type="dxa"/>
              <w:right w:w="0" w:type="dxa"/>
            </w:tcMar>
            <w:vAlign w:val="center"/>
          </w:tcPr>
          <w:p>
            <w:pPr>
              <w:adjustRightInd w:val="0"/>
              <w:snapToGrid w:val="0"/>
              <w:jc w:val="center"/>
              <w:rPr>
                <w:rFonts w:ascii="仿宋" w:hAnsi="仿宋" w:eastAsia="仿宋"/>
              </w:rPr>
            </w:pPr>
          </w:p>
        </w:tc>
        <w:tc>
          <w:tcPr>
            <w:tcW w:w="1086" w:type="pct"/>
            <w:shd w:val="clear" w:color="auto" w:fill="auto"/>
            <w:noWrap/>
            <w:tcMar>
              <w:left w:w="0" w:type="dxa"/>
              <w:right w:w="0" w:type="dxa"/>
            </w:tcMar>
            <w:vAlign w:val="center"/>
          </w:tcPr>
          <w:p>
            <w:pPr>
              <w:adjustRightInd w:val="0"/>
              <w:snapToGrid w:val="0"/>
              <w:jc w:val="center"/>
              <w:rPr>
                <w:rFonts w:ascii="仿宋" w:hAnsi="仿宋" w:eastAsia="仿宋"/>
              </w:rPr>
            </w:pPr>
            <w:r>
              <w:rPr>
                <w:rFonts w:ascii="仿宋" w:hAnsi="仿宋" w:eastAsia="仿宋"/>
              </w:rPr>
              <w:t>超标率%</w:t>
            </w:r>
          </w:p>
        </w:tc>
        <w:tc>
          <w:tcPr>
            <w:tcW w:w="900" w:type="pct"/>
            <w:shd w:val="clear" w:color="auto" w:fill="auto"/>
            <w:noWrap/>
            <w:tcMar>
              <w:left w:w="0" w:type="dxa"/>
              <w:right w:w="0" w:type="dxa"/>
            </w:tcMar>
            <w:vAlign w:val="center"/>
          </w:tcPr>
          <w:p>
            <w:pPr>
              <w:adjustRightInd w:val="0"/>
              <w:snapToGrid w:val="0"/>
              <w:jc w:val="center"/>
              <w:rPr>
                <w:rFonts w:ascii="仿宋" w:hAnsi="仿宋" w:eastAsia="仿宋"/>
              </w:rPr>
            </w:pPr>
            <w:r>
              <w:rPr>
                <w:rFonts w:hint="eastAsia" w:ascii="仿宋" w:hAnsi="仿宋" w:eastAsia="仿宋"/>
              </w:rPr>
              <w:t>0</w:t>
            </w:r>
          </w:p>
        </w:tc>
        <w:tc>
          <w:tcPr>
            <w:tcW w:w="654" w:type="pct"/>
            <w:shd w:val="clear" w:color="auto" w:fill="auto"/>
            <w:noWrap/>
            <w:tcMar>
              <w:left w:w="0" w:type="dxa"/>
              <w:right w:w="0" w:type="dxa"/>
            </w:tcMar>
            <w:vAlign w:val="center"/>
          </w:tcPr>
          <w:p>
            <w:pPr>
              <w:adjustRightInd w:val="0"/>
              <w:snapToGrid w:val="0"/>
              <w:jc w:val="center"/>
              <w:rPr>
                <w:rFonts w:ascii="仿宋" w:hAnsi="仿宋" w:eastAsia="仿宋"/>
              </w:rPr>
            </w:pPr>
            <w:r>
              <w:rPr>
                <w:rFonts w:hint="eastAsia" w:ascii="仿宋" w:hAnsi="仿宋" w:eastAsia="仿宋"/>
              </w:rPr>
              <w:t>0</w:t>
            </w:r>
          </w:p>
        </w:tc>
        <w:tc>
          <w:tcPr>
            <w:tcW w:w="900" w:type="pct"/>
            <w:noWrap/>
            <w:tcMar>
              <w:left w:w="0" w:type="dxa"/>
              <w:right w:w="0" w:type="dxa"/>
            </w:tcMar>
            <w:vAlign w:val="center"/>
          </w:tcPr>
          <w:p>
            <w:pPr>
              <w:adjustRightInd w:val="0"/>
              <w:snapToGrid w:val="0"/>
              <w:jc w:val="center"/>
              <w:rPr>
                <w:rFonts w:ascii="仿宋" w:hAnsi="仿宋" w:eastAsia="仿宋"/>
              </w:rPr>
            </w:pPr>
            <w:r>
              <w:rPr>
                <w:rFonts w:hint="eastAsia" w:ascii="仿宋" w:hAnsi="仿宋" w:eastAsia="仿宋"/>
              </w:rPr>
              <w:t>0</w:t>
            </w:r>
          </w:p>
        </w:tc>
        <w:tc>
          <w:tcPr>
            <w:tcW w:w="937" w:type="pct"/>
            <w:noWrap/>
            <w:tcMar>
              <w:left w:w="0" w:type="dxa"/>
              <w:right w:w="0" w:type="dxa"/>
            </w:tcMar>
            <w:vAlign w:val="center"/>
          </w:tcPr>
          <w:p>
            <w:pPr>
              <w:adjustRightInd w:val="0"/>
              <w:snapToGrid w:val="0"/>
              <w:jc w:val="center"/>
              <w:rPr>
                <w:rFonts w:ascii="仿宋" w:hAnsi="仿宋" w:eastAsia="仿宋"/>
              </w:rPr>
            </w:pPr>
            <w:r>
              <w:rPr>
                <w:rFonts w:hint="eastAsia"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607" w:type="pct"/>
            <w:gridSpan w:val="2"/>
            <w:shd w:val="clear" w:color="auto" w:fill="auto"/>
            <w:noWrap/>
            <w:tcMar>
              <w:left w:w="0" w:type="dxa"/>
              <w:right w:w="0" w:type="dxa"/>
            </w:tcMar>
            <w:vAlign w:val="center"/>
          </w:tcPr>
          <w:p>
            <w:pPr>
              <w:adjustRightInd w:val="0"/>
              <w:snapToGrid w:val="0"/>
              <w:jc w:val="center"/>
              <w:rPr>
                <w:rFonts w:ascii="仿宋" w:hAnsi="仿宋" w:eastAsia="仿宋"/>
              </w:rPr>
            </w:pPr>
            <w:r>
              <w:rPr>
                <w:rFonts w:hint="eastAsia" w:ascii="仿宋" w:hAnsi="仿宋" w:eastAsia="仿宋" w:cs="仿宋"/>
                <w:bCs/>
                <w:szCs w:val="21"/>
              </w:rPr>
              <w:t>Ⅲ</w:t>
            </w:r>
            <w:r>
              <w:rPr>
                <w:rFonts w:ascii="仿宋" w:hAnsi="仿宋" w:eastAsia="仿宋"/>
              </w:rPr>
              <w:t>类标准</w:t>
            </w:r>
          </w:p>
        </w:tc>
        <w:tc>
          <w:tcPr>
            <w:tcW w:w="900" w:type="pct"/>
            <w:shd w:val="clear" w:color="auto" w:fill="auto"/>
            <w:noWrap/>
            <w:tcMar>
              <w:left w:w="0" w:type="dxa"/>
              <w:right w:w="0" w:type="dxa"/>
            </w:tcMar>
            <w:vAlign w:val="center"/>
          </w:tcPr>
          <w:p>
            <w:pPr>
              <w:adjustRightInd w:val="0"/>
              <w:snapToGrid w:val="0"/>
              <w:jc w:val="center"/>
              <w:rPr>
                <w:rFonts w:ascii="仿宋" w:hAnsi="仿宋" w:eastAsia="仿宋"/>
              </w:rPr>
            </w:pPr>
            <w:r>
              <w:rPr>
                <w:rFonts w:ascii="仿宋" w:hAnsi="仿宋" w:eastAsia="仿宋"/>
              </w:rPr>
              <w:t>6~9</w:t>
            </w:r>
          </w:p>
        </w:tc>
        <w:tc>
          <w:tcPr>
            <w:tcW w:w="654" w:type="pct"/>
            <w:shd w:val="clear" w:color="auto" w:fill="auto"/>
            <w:noWrap/>
            <w:tcMar>
              <w:left w:w="0" w:type="dxa"/>
              <w:right w:w="0" w:type="dxa"/>
            </w:tcMar>
            <w:vAlign w:val="center"/>
          </w:tcPr>
          <w:p>
            <w:pPr>
              <w:adjustRightInd w:val="0"/>
              <w:snapToGrid w:val="0"/>
              <w:jc w:val="center"/>
              <w:rPr>
                <w:rFonts w:ascii="仿宋" w:hAnsi="仿宋" w:eastAsia="仿宋"/>
              </w:rPr>
            </w:pPr>
            <w:r>
              <w:rPr>
                <w:rFonts w:ascii="仿宋" w:hAnsi="仿宋" w:eastAsia="仿宋"/>
              </w:rPr>
              <w:t>≤20</w:t>
            </w:r>
          </w:p>
        </w:tc>
        <w:tc>
          <w:tcPr>
            <w:tcW w:w="900" w:type="pct"/>
            <w:noWrap/>
            <w:tcMar>
              <w:left w:w="0" w:type="dxa"/>
              <w:right w:w="0" w:type="dxa"/>
            </w:tcMar>
            <w:vAlign w:val="center"/>
          </w:tcPr>
          <w:p>
            <w:pPr>
              <w:adjustRightInd w:val="0"/>
              <w:snapToGrid w:val="0"/>
              <w:jc w:val="center"/>
              <w:rPr>
                <w:rFonts w:ascii="仿宋" w:hAnsi="仿宋" w:eastAsia="仿宋"/>
              </w:rPr>
            </w:pPr>
            <w:r>
              <w:rPr>
                <w:rFonts w:ascii="仿宋" w:hAnsi="仿宋" w:eastAsia="仿宋"/>
              </w:rPr>
              <w:t>≤1.0</w:t>
            </w:r>
          </w:p>
        </w:tc>
        <w:tc>
          <w:tcPr>
            <w:tcW w:w="937" w:type="pct"/>
            <w:noWrap/>
            <w:tcMar>
              <w:left w:w="0" w:type="dxa"/>
              <w:right w:w="0" w:type="dxa"/>
            </w:tcMar>
            <w:vAlign w:val="center"/>
          </w:tcPr>
          <w:p>
            <w:pPr>
              <w:adjustRightInd w:val="0"/>
              <w:snapToGrid w:val="0"/>
              <w:jc w:val="center"/>
              <w:rPr>
                <w:rFonts w:ascii="仿宋" w:hAnsi="仿宋" w:eastAsia="仿宋"/>
              </w:rPr>
            </w:pPr>
            <w:r>
              <w:rPr>
                <w:rFonts w:ascii="仿宋" w:hAnsi="仿宋" w:eastAsia="仿宋"/>
              </w:rPr>
              <w:t>≤0.2</w:t>
            </w:r>
          </w:p>
        </w:tc>
      </w:tr>
    </w:tbl>
    <w:p>
      <w:pPr>
        <w:spacing w:line="480" w:lineRule="exact"/>
        <w:ind w:firstLine="560" w:firstLineChars="200"/>
        <w:rPr>
          <w:rFonts w:eastAsia="仿宋_GB2312"/>
          <w:sz w:val="28"/>
          <w:szCs w:val="28"/>
        </w:rPr>
      </w:pPr>
      <w:bookmarkStart w:id="308" w:name="_Toc254685639"/>
      <w:bookmarkStart w:id="309" w:name="_Toc211068008"/>
      <w:bookmarkStart w:id="310" w:name="_Toc304838112"/>
      <w:r>
        <w:rPr>
          <w:rFonts w:hint="eastAsia" w:eastAsia="仿宋_GB2312"/>
          <w:sz w:val="28"/>
          <w:szCs w:val="28"/>
        </w:rPr>
        <w:t>尧塘河各个监测断面的现状水质中各污染物pH、COD、NH</w:t>
      </w:r>
      <w:r>
        <w:rPr>
          <w:rFonts w:hint="eastAsia" w:eastAsia="仿宋_GB2312"/>
          <w:sz w:val="28"/>
          <w:szCs w:val="28"/>
          <w:vertAlign w:val="subscript"/>
        </w:rPr>
        <w:t>3</w:t>
      </w:r>
      <w:r>
        <w:rPr>
          <w:rFonts w:hint="eastAsia" w:eastAsia="仿宋_GB2312"/>
          <w:sz w:val="28"/>
          <w:szCs w:val="28"/>
        </w:rPr>
        <w:t>-N、TP均满足《地表水环境质量标准》（GB3838-2002）中Ⅲ类标准限值。</w:t>
      </w:r>
    </w:p>
    <w:p>
      <w:pPr>
        <w:pStyle w:val="4"/>
        <w:keepLines w:val="0"/>
        <w:numPr>
          <w:ilvl w:val="2"/>
          <w:numId w:val="12"/>
        </w:numPr>
        <w:tabs>
          <w:tab w:val="left" w:pos="709"/>
        </w:tabs>
        <w:spacing w:before="120" w:beforeLines="50" w:after="120" w:afterLines="50" w:line="500" w:lineRule="exact"/>
        <w:ind w:left="0" w:firstLine="0"/>
        <w:rPr>
          <w:rFonts w:eastAsia="仿宋_GB2312"/>
          <w:sz w:val="30"/>
          <w:szCs w:val="30"/>
        </w:rPr>
      </w:pPr>
      <w:r>
        <w:rPr>
          <w:rFonts w:eastAsia="仿宋_GB2312"/>
          <w:sz w:val="30"/>
          <w:szCs w:val="30"/>
        </w:rPr>
        <w:t>声环境质量现状监测与评价</w:t>
      </w:r>
      <w:bookmarkEnd w:id="300"/>
      <w:bookmarkEnd w:id="301"/>
      <w:bookmarkEnd w:id="302"/>
      <w:bookmarkEnd w:id="308"/>
      <w:bookmarkEnd w:id="309"/>
      <w:bookmarkEnd w:id="310"/>
    </w:p>
    <w:p>
      <w:pPr>
        <w:pStyle w:val="5"/>
        <w:keepLines w:val="0"/>
        <w:widowControl/>
        <w:numPr>
          <w:ilvl w:val="3"/>
          <w:numId w:val="12"/>
        </w:numPr>
        <w:adjustRightInd w:val="0"/>
        <w:snapToGrid w:val="0"/>
        <w:spacing w:after="120" w:afterLines="50"/>
        <w:ind w:left="0" w:firstLine="0"/>
        <w:jc w:val="left"/>
        <w:rPr>
          <w:rFonts w:ascii="Times New Roman" w:hAnsi="Times New Roman"/>
          <w:b/>
        </w:rPr>
      </w:pPr>
      <w:r>
        <w:rPr>
          <w:rFonts w:ascii="Times New Roman" w:hAnsi="Times New Roman"/>
          <w:b/>
        </w:rPr>
        <w:t>声环境现状监测</w:t>
      </w:r>
      <w:bookmarkEnd w:id="303"/>
      <w:bookmarkEnd w:id="304"/>
    </w:p>
    <w:p>
      <w:pPr>
        <w:spacing w:line="480" w:lineRule="exact"/>
        <w:ind w:firstLine="560" w:firstLineChars="200"/>
        <w:rPr>
          <w:rFonts w:eastAsia="仿宋_GB2312"/>
          <w:sz w:val="28"/>
          <w:szCs w:val="28"/>
        </w:rPr>
      </w:pPr>
      <w:bookmarkStart w:id="311" w:name="_Toc85180843"/>
      <w:bookmarkStart w:id="312" w:name="_Toc85012545"/>
      <w:r>
        <w:rPr>
          <w:rFonts w:hint="eastAsia" w:eastAsia="仿宋_GB2312"/>
          <w:sz w:val="28"/>
          <w:szCs w:val="28"/>
        </w:rPr>
        <w:t>（1）监测点位</w:t>
      </w:r>
    </w:p>
    <w:p>
      <w:pPr>
        <w:spacing w:line="480" w:lineRule="exact"/>
        <w:ind w:firstLine="560" w:firstLineChars="200"/>
        <w:rPr>
          <w:rFonts w:eastAsia="仿宋_GB2312"/>
          <w:sz w:val="28"/>
          <w:szCs w:val="28"/>
        </w:rPr>
      </w:pPr>
      <w:r>
        <w:rPr>
          <w:rFonts w:hint="eastAsia" w:eastAsia="仿宋_GB2312"/>
          <w:sz w:val="28"/>
          <w:szCs w:val="28"/>
        </w:rPr>
        <w:t>在项目拟建地东、南、西、北厂界处布设4个噪声监测点，测点具体位置见下图。</w:t>
      </w:r>
    </w:p>
    <w:p>
      <w:pPr>
        <w:pStyle w:val="33"/>
        <w:jc w:val="center"/>
      </w:pPr>
      <w:r>
        <w:rPr>
          <w:rFonts w:hint="eastAsia"/>
        </w:rPr>
        <w:drawing>
          <wp:inline distT="0" distB="0" distL="114300" distR="114300">
            <wp:extent cx="3860800" cy="3565525"/>
            <wp:effectExtent l="0" t="0" r="6350" b="15875"/>
            <wp:docPr id="17" name="图片 17" descr="168536213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85362133447"/>
                    <pic:cNvPicPr>
                      <a:picLocks noChangeAspect="1"/>
                    </pic:cNvPicPr>
                  </pic:nvPicPr>
                  <pic:blipFill>
                    <a:blip r:embed="rId52"/>
                    <a:stretch>
                      <a:fillRect/>
                    </a:stretch>
                  </pic:blipFill>
                  <pic:spPr>
                    <a:xfrm>
                      <a:off x="0" y="0"/>
                      <a:ext cx="3860800" cy="3565525"/>
                    </a:xfrm>
                    <a:prstGeom prst="rect">
                      <a:avLst/>
                    </a:prstGeom>
                  </pic:spPr>
                </pic:pic>
              </a:graphicData>
            </a:graphic>
          </wp:inline>
        </w:drawing>
      </w:r>
    </w:p>
    <w:p>
      <w:pPr>
        <w:jc w:val="center"/>
        <w:rPr>
          <w:rFonts w:eastAsia="仿宋_GB2312"/>
          <w:b/>
          <w:sz w:val="24"/>
        </w:rPr>
      </w:pPr>
      <w:r>
        <w:rPr>
          <w:rFonts w:eastAsia="仿宋_GB2312"/>
          <w:b/>
          <w:sz w:val="24"/>
        </w:rPr>
        <w:t>图</w:t>
      </w:r>
      <w:r>
        <w:rPr>
          <w:rFonts w:hint="eastAsia" w:eastAsia="仿宋_GB2312"/>
          <w:b/>
          <w:sz w:val="24"/>
        </w:rPr>
        <w:t>4.2</w:t>
      </w:r>
      <w:r>
        <w:rPr>
          <w:rFonts w:eastAsia="仿宋_GB2312"/>
          <w:b/>
          <w:sz w:val="24"/>
        </w:rPr>
        <w:t xml:space="preserve">-1  </w:t>
      </w:r>
      <w:r>
        <w:rPr>
          <w:rFonts w:hint="eastAsia" w:eastAsia="仿宋_GB2312"/>
          <w:b/>
          <w:sz w:val="24"/>
        </w:rPr>
        <w:t>噪声</w:t>
      </w:r>
      <w:r>
        <w:rPr>
          <w:rFonts w:eastAsia="仿宋_GB2312"/>
          <w:b/>
          <w:sz w:val="24"/>
        </w:rPr>
        <w:t>监测点位图（</w:t>
      </w:r>
      <w:r>
        <w:rPr>
          <w:rFonts w:hint="eastAsia" w:eastAsia="仿宋_GB2312"/>
          <w:b/>
          <w:sz w:val="24"/>
        </w:rPr>
        <w:t>N</w:t>
      </w:r>
      <w:r>
        <w:rPr>
          <w:rFonts w:eastAsia="仿宋_GB2312"/>
          <w:b/>
          <w:sz w:val="24"/>
        </w:rPr>
        <w:t>1-</w:t>
      </w:r>
      <w:r>
        <w:rPr>
          <w:rFonts w:hint="eastAsia" w:eastAsia="仿宋_GB2312"/>
          <w:b/>
          <w:sz w:val="24"/>
        </w:rPr>
        <w:t>N4</w:t>
      </w:r>
      <w:r>
        <w:rPr>
          <w:rFonts w:eastAsia="仿宋_GB2312"/>
          <w:b/>
          <w:sz w:val="24"/>
        </w:rPr>
        <w:t>）</w:t>
      </w:r>
    </w:p>
    <w:p>
      <w:pPr>
        <w:spacing w:line="480" w:lineRule="exact"/>
        <w:ind w:firstLine="560" w:firstLineChars="200"/>
        <w:rPr>
          <w:rFonts w:eastAsia="仿宋_GB2312"/>
          <w:sz w:val="28"/>
          <w:szCs w:val="28"/>
        </w:rPr>
      </w:pPr>
      <w:r>
        <w:rPr>
          <w:rFonts w:hint="eastAsia" w:eastAsia="仿宋_GB2312"/>
          <w:sz w:val="28"/>
          <w:szCs w:val="28"/>
        </w:rPr>
        <w:t>（2）监测时间及频次</w:t>
      </w:r>
    </w:p>
    <w:p>
      <w:pPr>
        <w:spacing w:line="480" w:lineRule="exact"/>
        <w:ind w:firstLine="560" w:firstLineChars="200"/>
        <w:rPr>
          <w:rFonts w:eastAsia="仿宋_GB2312"/>
          <w:sz w:val="28"/>
          <w:szCs w:val="28"/>
        </w:rPr>
      </w:pPr>
      <w:r>
        <w:rPr>
          <w:rFonts w:hint="eastAsia" w:eastAsia="仿宋_GB2312"/>
          <w:sz w:val="28"/>
          <w:szCs w:val="28"/>
        </w:rPr>
        <w:t>2023年5月30日~2023年5月31日，昼间和夜间分别监测一次。</w:t>
      </w:r>
    </w:p>
    <w:p>
      <w:pPr>
        <w:spacing w:line="480" w:lineRule="exact"/>
        <w:ind w:firstLine="560" w:firstLineChars="200"/>
        <w:rPr>
          <w:rFonts w:eastAsia="仿宋_GB2312"/>
          <w:sz w:val="28"/>
          <w:szCs w:val="28"/>
        </w:rPr>
      </w:pPr>
      <w:r>
        <w:rPr>
          <w:rFonts w:hint="eastAsia" w:eastAsia="仿宋_GB2312"/>
          <w:sz w:val="28"/>
          <w:szCs w:val="28"/>
        </w:rPr>
        <w:t>（3）监测项目和监测方法</w:t>
      </w:r>
    </w:p>
    <w:p>
      <w:pPr>
        <w:spacing w:line="480" w:lineRule="exact"/>
        <w:ind w:firstLine="560" w:firstLineChars="200"/>
        <w:rPr>
          <w:rFonts w:eastAsia="仿宋_GB2312"/>
          <w:sz w:val="28"/>
          <w:szCs w:val="28"/>
        </w:rPr>
      </w:pPr>
      <w:r>
        <w:rPr>
          <w:rFonts w:hint="eastAsia" w:eastAsia="仿宋_GB2312"/>
          <w:sz w:val="28"/>
          <w:szCs w:val="28"/>
        </w:rPr>
        <w:t>测定等效连续A声级，按《工业企业厂界环境噪声排放标准》（GB12348-2008）中有关规定进行</w:t>
      </w:r>
      <w:r>
        <w:rPr>
          <w:rFonts w:eastAsia="仿宋_GB2312"/>
          <w:sz w:val="28"/>
          <w:szCs w:val="28"/>
        </w:rPr>
        <w:t>。</w:t>
      </w:r>
    </w:p>
    <w:p>
      <w:pPr>
        <w:pStyle w:val="5"/>
        <w:keepLines w:val="0"/>
        <w:widowControl/>
        <w:numPr>
          <w:ilvl w:val="3"/>
          <w:numId w:val="12"/>
        </w:numPr>
        <w:adjustRightInd w:val="0"/>
        <w:snapToGrid w:val="0"/>
        <w:spacing w:after="120" w:afterLines="50"/>
        <w:ind w:left="0" w:firstLine="0"/>
        <w:jc w:val="left"/>
        <w:rPr>
          <w:rFonts w:ascii="Times New Roman" w:hAnsi="Times New Roman"/>
          <w:b/>
        </w:rPr>
      </w:pPr>
      <w:r>
        <w:rPr>
          <w:rFonts w:ascii="Times New Roman" w:hAnsi="Times New Roman"/>
          <w:b/>
        </w:rPr>
        <w:t>声环境现状评价</w:t>
      </w:r>
      <w:bookmarkEnd w:id="311"/>
      <w:bookmarkEnd w:id="312"/>
    </w:p>
    <w:p>
      <w:pPr>
        <w:spacing w:line="500" w:lineRule="exact"/>
        <w:ind w:firstLine="560" w:firstLineChars="200"/>
        <w:rPr>
          <w:rFonts w:eastAsia="仿宋_GB2312"/>
          <w:sz w:val="28"/>
          <w:szCs w:val="28"/>
        </w:rPr>
      </w:pPr>
      <w:bookmarkStart w:id="313" w:name="_Toc148759032"/>
      <w:bookmarkStart w:id="314" w:name="_Toc149956273"/>
      <w:r>
        <w:rPr>
          <w:rFonts w:eastAsia="仿宋_GB2312"/>
          <w:sz w:val="28"/>
          <w:szCs w:val="28"/>
        </w:rPr>
        <w:t>（1）评价标准和评价方法</w:t>
      </w:r>
    </w:p>
    <w:p>
      <w:pPr>
        <w:spacing w:line="500" w:lineRule="exact"/>
        <w:ind w:firstLine="560" w:firstLineChars="200"/>
        <w:rPr>
          <w:rFonts w:eastAsia="仿宋_GB2312"/>
          <w:sz w:val="28"/>
          <w:szCs w:val="28"/>
        </w:rPr>
      </w:pPr>
      <w:r>
        <w:rPr>
          <w:rFonts w:hint="eastAsia" w:eastAsia="仿宋_GB2312"/>
          <w:sz w:val="28"/>
          <w:szCs w:val="28"/>
        </w:rPr>
        <w:t>本项目</w:t>
      </w:r>
      <w:r>
        <w:rPr>
          <w:rFonts w:hint="eastAsia" w:eastAsia="仿宋_GB2312" w:cs="宋体"/>
          <w:sz w:val="28"/>
        </w:rPr>
        <w:t>各</w:t>
      </w:r>
      <w:r>
        <w:rPr>
          <w:rFonts w:eastAsia="仿宋_GB2312"/>
          <w:sz w:val="28"/>
        </w:rPr>
        <w:t>厂界</w:t>
      </w:r>
      <w:r>
        <w:rPr>
          <w:rFonts w:eastAsia="仿宋_GB2312"/>
          <w:sz w:val="28"/>
          <w:szCs w:val="28"/>
        </w:rPr>
        <w:t>按《声环境质量标准》（GB3096-2008）</w:t>
      </w:r>
      <w:r>
        <w:rPr>
          <w:rFonts w:eastAsia="仿宋_GB2312"/>
          <w:sz w:val="28"/>
          <w:szCs w:val="28"/>
          <w:lang w:val="zh-CN"/>
        </w:rPr>
        <w:t>的3类标准执行，</w:t>
      </w:r>
      <w:r>
        <w:rPr>
          <w:rFonts w:eastAsia="仿宋_GB2312"/>
          <w:sz w:val="28"/>
          <w:szCs w:val="28"/>
        </w:rPr>
        <w:t>采用与评价标准对比的方法进行评价。</w:t>
      </w:r>
    </w:p>
    <w:p>
      <w:pPr>
        <w:spacing w:line="500" w:lineRule="exact"/>
        <w:ind w:firstLine="560" w:firstLineChars="200"/>
        <w:rPr>
          <w:rFonts w:eastAsia="仿宋_GB2312"/>
          <w:sz w:val="28"/>
          <w:szCs w:val="28"/>
        </w:rPr>
      </w:pPr>
      <w:r>
        <w:rPr>
          <w:rFonts w:eastAsia="仿宋_GB2312"/>
          <w:sz w:val="28"/>
          <w:szCs w:val="28"/>
        </w:rPr>
        <w:t>（2）监测结果及评价</w:t>
      </w:r>
    </w:p>
    <w:p>
      <w:pPr>
        <w:spacing w:line="500" w:lineRule="exact"/>
        <w:ind w:firstLine="560" w:firstLineChars="200"/>
        <w:rPr>
          <w:rFonts w:eastAsia="仿宋_GB2312"/>
          <w:sz w:val="28"/>
          <w:szCs w:val="28"/>
        </w:rPr>
      </w:pPr>
      <w:r>
        <w:rPr>
          <w:rFonts w:eastAsia="仿宋_GB2312"/>
          <w:sz w:val="28"/>
          <w:szCs w:val="28"/>
        </w:rPr>
        <w:t>根据</w:t>
      </w:r>
      <w:r>
        <w:rPr>
          <w:rFonts w:hint="eastAsia" w:eastAsia="仿宋"/>
          <w:sz w:val="28"/>
          <w:szCs w:val="28"/>
        </w:rPr>
        <w:t>江苏科发检测技术有限公司</w:t>
      </w:r>
      <w:r>
        <w:rPr>
          <w:rFonts w:eastAsia="仿宋_GB2312"/>
          <w:sz w:val="28"/>
          <w:szCs w:val="28"/>
        </w:rPr>
        <w:t>出具的《检测报告》</w:t>
      </w:r>
      <w:r>
        <w:rPr>
          <w:rFonts w:hint="eastAsia" w:eastAsia="仿宋_GB2312"/>
          <w:sz w:val="28"/>
          <w:szCs w:val="28"/>
        </w:rPr>
        <w:t>报告编号：（2023）科检（环）字第（C-039）号</w:t>
      </w:r>
      <w:r>
        <w:rPr>
          <w:rFonts w:eastAsia="仿宋_GB2312"/>
          <w:sz w:val="28"/>
          <w:szCs w:val="28"/>
        </w:rPr>
        <w:t>，噪声监测结果见下表。</w:t>
      </w:r>
    </w:p>
    <w:p>
      <w:pPr>
        <w:spacing w:line="500" w:lineRule="exact"/>
        <w:jc w:val="center"/>
        <w:rPr>
          <w:rFonts w:eastAsia="仿宋_GB2312"/>
          <w:b/>
          <w:sz w:val="24"/>
        </w:rPr>
      </w:pPr>
      <w:bookmarkStart w:id="315" w:name="OLE_LINK15"/>
      <w:bookmarkStart w:id="316" w:name="_Ref326161823"/>
    </w:p>
    <w:p>
      <w:pPr>
        <w:spacing w:line="500" w:lineRule="exact"/>
        <w:jc w:val="center"/>
        <w:rPr>
          <w:rFonts w:eastAsia="仿宋_GB2312"/>
          <w:b/>
          <w:sz w:val="24"/>
        </w:rPr>
      </w:pPr>
    </w:p>
    <w:p>
      <w:pPr>
        <w:spacing w:line="500" w:lineRule="exact"/>
        <w:jc w:val="center"/>
        <w:rPr>
          <w:rFonts w:eastAsia="仿宋_GB2312"/>
          <w:b/>
          <w:sz w:val="24"/>
          <w:lang w:val="zh-CN"/>
        </w:rPr>
      </w:pPr>
      <w:r>
        <w:rPr>
          <w:rFonts w:eastAsia="仿宋_GB2312"/>
          <w:b/>
          <w:sz w:val="24"/>
        </w:rPr>
        <w:t>表</w:t>
      </w:r>
      <w:bookmarkEnd w:id="315"/>
      <w:bookmarkEnd w:id="316"/>
      <w:r>
        <w:rPr>
          <w:rFonts w:eastAsia="仿宋_GB2312"/>
          <w:b/>
          <w:sz w:val="24"/>
        </w:rPr>
        <w:t xml:space="preserve">4.2-8   </w:t>
      </w:r>
      <w:r>
        <w:rPr>
          <w:rFonts w:eastAsia="仿宋_GB2312"/>
          <w:b/>
          <w:sz w:val="24"/>
          <w:lang w:val="zh-CN"/>
        </w:rPr>
        <w:t>噪声监测结果（单位：dB（A））</w:t>
      </w:r>
    </w:p>
    <w:tbl>
      <w:tblPr>
        <w:tblStyle w:val="8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8"/>
        <w:gridCol w:w="995"/>
        <w:gridCol w:w="1562"/>
        <w:gridCol w:w="1621"/>
        <w:gridCol w:w="1450"/>
        <w:gridCol w:w="1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1908" w:type="dxa"/>
            <w:tcBorders>
              <w:top w:val="single" w:color="auto" w:sz="4" w:space="0"/>
              <w:left w:val="single" w:color="auto" w:sz="4" w:space="0"/>
              <w:bottom w:val="single" w:color="auto" w:sz="4" w:space="0"/>
              <w:right w:val="single" w:color="auto" w:sz="6" w:space="0"/>
            </w:tcBorders>
            <w:vAlign w:val="center"/>
          </w:tcPr>
          <w:p>
            <w:pPr>
              <w:adjustRightInd w:val="0"/>
              <w:snapToGrid w:val="0"/>
              <w:jc w:val="center"/>
              <w:rPr>
                <w:rFonts w:ascii="仿宋" w:hAnsi="仿宋" w:eastAsia="仿宋"/>
              </w:rPr>
            </w:pPr>
            <w:r>
              <w:rPr>
                <w:rFonts w:ascii="仿宋" w:hAnsi="仿宋" w:eastAsia="仿宋"/>
              </w:rPr>
              <w:t>监测点位</w:t>
            </w:r>
          </w:p>
        </w:tc>
        <w:tc>
          <w:tcPr>
            <w:tcW w:w="2557" w:type="dxa"/>
            <w:gridSpan w:val="2"/>
            <w:tcBorders>
              <w:top w:val="single" w:color="auto" w:sz="4" w:space="0"/>
              <w:left w:val="single" w:color="auto" w:sz="6" w:space="0"/>
              <w:bottom w:val="single" w:color="auto" w:sz="4" w:space="0"/>
              <w:right w:val="single" w:color="auto" w:sz="4" w:space="0"/>
            </w:tcBorders>
            <w:vAlign w:val="center"/>
          </w:tcPr>
          <w:p>
            <w:pPr>
              <w:adjustRightInd w:val="0"/>
              <w:snapToGrid w:val="0"/>
              <w:jc w:val="center"/>
              <w:rPr>
                <w:rFonts w:ascii="仿宋" w:hAnsi="仿宋" w:eastAsia="仿宋"/>
              </w:rPr>
            </w:pPr>
            <w:r>
              <w:rPr>
                <w:rFonts w:ascii="仿宋" w:hAnsi="仿宋" w:eastAsia="仿宋"/>
              </w:rPr>
              <w:t>监测阶段</w:t>
            </w:r>
          </w:p>
        </w:tc>
        <w:tc>
          <w:tcPr>
            <w:tcW w:w="162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r>
              <w:rPr>
                <w:rFonts w:ascii="仿宋" w:hAnsi="仿宋" w:eastAsia="仿宋"/>
              </w:rPr>
              <w:t>监测值</w:t>
            </w:r>
          </w:p>
        </w:tc>
        <w:tc>
          <w:tcPr>
            <w:tcW w:w="145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r>
              <w:rPr>
                <w:rFonts w:ascii="仿宋" w:hAnsi="仿宋" w:eastAsia="仿宋"/>
              </w:rPr>
              <w:t>标准值</w:t>
            </w:r>
          </w:p>
        </w:tc>
        <w:tc>
          <w:tcPr>
            <w:tcW w:w="160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r>
              <w:rPr>
                <w:rFonts w:ascii="仿宋" w:hAnsi="仿宋" w:eastAsia="仿宋"/>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908"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r>
              <w:rPr>
                <w:rFonts w:ascii="仿宋" w:hAnsi="仿宋" w:eastAsia="仿宋"/>
              </w:rPr>
              <w:t>N1</w:t>
            </w:r>
          </w:p>
          <w:p>
            <w:pPr>
              <w:adjustRightInd w:val="0"/>
              <w:snapToGrid w:val="0"/>
              <w:jc w:val="center"/>
              <w:rPr>
                <w:rFonts w:ascii="仿宋" w:hAnsi="仿宋" w:eastAsia="仿宋"/>
              </w:rPr>
            </w:pPr>
            <w:r>
              <w:rPr>
                <w:rFonts w:ascii="仿宋" w:hAnsi="仿宋" w:eastAsia="仿宋"/>
              </w:rPr>
              <w:t>（东</w:t>
            </w:r>
            <w:r>
              <w:rPr>
                <w:rFonts w:hint="eastAsia" w:ascii="仿宋" w:hAnsi="仿宋" w:eastAsia="仿宋"/>
              </w:rPr>
              <w:t>厂界</w:t>
            </w:r>
            <w:r>
              <w:rPr>
                <w:rFonts w:ascii="仿宋" w:hAnsi="仿宋" w:eastAsia="仿宋"/>
              </w:rPr>
              <w:t>）</w:t>
            </w:r>
          </w:p>
        </w:tc>
        <w:tc>
          <w:tcPr>
            <w:tcW w:w="995" w:type="dxa"/>
            <w:vMerge w:val="restart"/>
            <w:tcBorders>
              <w:top w:val="single" w:color="auto" w:sz="4" w:space="0"/>
              <w:left w:val="single" w:color="auto" w:sz="4" w:space="0"/>
              <w:bottom w:val="single" w:color="auto" w:sz="4" w:space="0"/>
              <w:right w:val="single" w:color="auto" w:sz="6" w:space="0"/>
            </w:tcBorders>
            <w:vAlign w:val="center"/>
          </w:tcPr>
          <w:p>
            <w:pPr>
              <w:adjustRightInd w:val="0"/>
              <w:snapToGrid w:val="0"/>
              <w:jc w:val="center"/>
              <w:rPr>
                <w:rFonts w:ascii="仿宋" w:hAnsi="仿宋" w:eastAsia="仿宋"/>
              </w:rPr>
            </w:pPr>
            <w:r>
              <w:rPr>
                <w:rFonts w:ascii="仿宋" w:hAnsi="仿宋" w:eastAsia="仿宋"/>
              </w:rPr>
              <w:t>昼间</w:t>
            </w:r>
          </w:p>
        </w:tc>
        <w:tc>
          <w:tcPr>
            <w:tcW w:w="1562" w:type="dxa"/>
            <w:tcBorders>
              <w:top w:val="single" w:color="auto" w:sz="4" w:space="0"/>
              <w:left w:val="single" w:color="auto" w:sz="6" w:space="0"/>
              <w:bottom w:val="single" w:color="auto" w:sz="4" w:space="0"/>
              <w:right w:val="single" w:color="auto" w:sz="4" w:space="0"/>
            </w:tcBorders>
            <w:vAlign w:val="center"/>
          </w:tcPr>
          <w:p>
            <w:pPr>
              <w:adjustRightInd w:val="0"/>
              <w:snapToGrid w:val="0"/>
              <w:jc w:val="center"/>
              <w:rPr>
                <w:rFonts w:ascii="仿宋" w:hAnsi="仿宋" w:eastAsia="仿宋"/>
              </w:rPr>
            </w:pPr>
            <w:r>
              <w:rPr>
                <w:rFonts w:hint="eastAsia" w:ascii="仿宋" w:hAnsi="仿宋" w:eastAsia="仿宋"/>
              </w:rPr>
              <w:t>2023.5.30</w:t>
            </w:r>
          </w:p>
        </w:tc>
        <w:tc>
          <w:tcPr>
            <w:tcW w:w="162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r>
              <w:rPr>
                <w:rFonts w:hint="eastAsia" w:ascii="仿宋" w:hAnsi="仿宋" w:eastAsia="仿宋"/>
              </w:rPr>
              <w:t>60</w:t>
            </w:r>
          </w:p>
        </w:tc>
        <w:tc>
          <w:tcPr>
            <w:tcW w:w="145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r>
              <w:rPr>
                <w:rFonts w:ascii="仿宋" w:hAnsi="仿宋" w:eastAsia="仿宋"/>
              </w:rPr>
              <w:t>65</w:t>
            </w:r>
          </w:p>
        </w:tc>
        <w:tc>
          <w:tcPr>
            <w:tcW w:w="160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r>
              <w:rPr>
                <w:rFonts w:ascii="仿宋" w:hAnsi="仿宋" w:eastAsia="仿宋"/>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908"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p>
        </w:tc>
        <w:tc>
          <w:tcPr>
            <w:tcW w:w="995" w:type="dxa"/>
            <w:vMerge w:val="continue"/>
            <w:tcBorders>
              <w:top w:val="single" w:color="auto" w:sz="4" w:space="0"/>
              <w:left w:val="single" w:color="auto" w:sz="4" w:space="0"/>
              <w:bottom w:val="single" w:color="auto" w:sz="4" w:space="0"/>
              <w:right w:val="single" w:color="auto" w:sz="6" w:space="0"/>
            </w:tcBorders>
            <w:vAlign w:val="center"/>
          </w:tcPr>
          <w:p>
            <w:pPr>
              <w:adjustRightInd w:val="0"/>
              <w:snapToGrid w:val="0"/>
              <w:jc w:val="center"/>
              <w:rPr>
                <w:rFonts w:ascii="仿宋" w:hAnsi="仿宋" w:eastAsia="仿宋"/>
              </w:rPr>
            </w:pPr>
          </w:p>
        </w:tc>
        <w:tc>
          <w:tcPr>
            <w:tcW w:w="1562" w:type="dxa"/>
            <w:tcBorders>
              <w:top w:val="single" w:color="auto" w:sz="4" w:space="0"/>
              <w:left w:val="single" w:color="auto" w:sz="6" w:space="0"/>
              <w:bottom w:val="single" w:color="auto" w:sz="4" w:space="0"/>
              <w:right w:val="single" w:color="auto" w:sz="4" w:space="0"/>
            </w:tcBorders>
            <w:vAlign w:val="center"/>
          </w:tcPr>
          <w:p>
            <w:pPr>
              <w:adjustRightInd w:val="0"/>
              <w:snapToGrid w:val="0"/>
              <w:jc w:val="center"/>
              <w:rPr>
                <w:rFonts w:ascii="仿宋" w:hAnsi="仿宋" w:eastAsia="仿宋"/>
              </w:rPr>
            </w:pPr>
            <w:r>
              <w:rPr>
                <w:rFonts w:hint="eastAsia" w:ascii="仿宋" w:hAnsi="仿宋" w:eastAsia="仿宋"/>
              </w:rPr>
              <w:t>2023.5.31</w:t>
            </w:r>
          </w:p>
        </w:tc>
        <w:tc>
          <w:tcPr>
            <w:tcW w:w="162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r>
              <w:rPr>
                <w:rFonts w:hint="eastAsia" w:ascii="仿宋" w:hAnsi="仿宋" w:eastAsia="仿宋"/>
              </w:rPr>
              <w:t>60</w:t>
            </w:r>
          </w:p>
        </w:tc>
        <w:tc>
          <w:tcPr>
            <w:tcW w:w="1450"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p>
        </w:tc>
        <w:tc>
          <w:tcPr>
            <w:tcW w:w="160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r>
              <w:rPr>
                <w:rFonts w:ascii="仿宋" w:hAnsi="仿宋" w:eastAsia="仿宋"/>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908"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p>
        </w:tc>
        <w:tc>
          <w:tcPr>
            <w:tcW w:w="995" w:type="dxa"/>
            <w:vMerge w:val="restart"/>
            <w:tcBorders>
              <w:top w:val="single" w:color="auto" w:sz="4" w:space="0"/>
              <w:left w:val="single" w:color="auto" w:sz="4" w:space="0"/>
              <w:bottom w:val="single" w:color="auto" w:sz="4" w:space="0"/>
              <w:right w:val="single" w:color="auto" w:sz="6" w:space="0"/>
            </w:tcBorders>
            <w:vAlign w:val="center"/>
          </w:tcPr>
          <w:p>
            <w:pPr>
              <w:adjustRightInd w:val="0"/>
              <w:snapToGrid w:val="0"/>
              <w:jc w:val="center"/>
              <w:rPr>
                <w:rFonts w:ascii="仿宋" w:hAnsi="仿宋" w:eastAsia="仿宋"/>
              </w:rPr>
            </w:pPr>
            <w:r>
              <w:rPr>
                <w:rFonts w:ascii="仿宋" w:hAnsi="仿宋" w:eastAsia="仿宋"/>
              </w:rPr>
              <w:t>夜间</w:t>
            </w:r>
          </w:p>
        </w:tc>
        <w:tc>
          <w:tcPr>
            <w:tcW w:w="1562" w:type="dxa"/>
            <w:tcBorders>
              <w:top w:val="single" w:color="auto" w:sz="4" w:space="0"/>
              <w:left w:val="single" w:color="auto" w:sz="6" w:space="0"/>
              <w:bottom w:val="single" w:color="auto" w:sz="4" w:space="0"/>
              <w:right w:val="single" w:color="auto" w:sz="4" w:space="0"/>
            </w:tcBorders>
            <w:vAlign w:val="center"/>
          </w:tcPr>
          <w:p>
            <w:pPr>
              <w:adjustRightInd w:val="0"/>
              <w:snapToGrid w:val="0"/>
              <w:jc w:val="center"/>
              <w:rPr>
                <w:rFonts w:ascii="仿宋" w:hAnsi="仿宋" w:eastAsia="仿宋"/>
              </w:rPr>
            </w:pPr>
            <w:r>
              <w:rPr>
                <w:rFonts w:hint="eastAsia" w:ascii="仿宋" w:hAnsi="仿宋" w:eastAsia="仿宋"/>
              </w:rPr>
              <w:t>2023.5.30</w:t>
            </w:r>
          </w:p>
        </w:tc>
        <w:tc>
          <w:tcPr>
            <w:tcW w:w="162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r>
              <w:rPr>
                <w:rFonts w:hint="eastAsia" w:ascii="仿宋" w:hAnsi="仿宋" w:eastAsia="仿宋"/>
              </w:rPr>
              <w:t>52</w:t>
            </w:r>
          </w:p>
        </w:tc>
        <w:tc>
          <w:tcPr>
            <w:tcW w:w="145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r>
              <w:rPr>
                <w:rFonts w:ascii="仿宋" w:hAnsi="仿宋" w:eastAsia="仿宋"/>
              </w:rPr>
              <w:t>55</w:t>
            </w:r>
          </w:p>
        </w:tc>
        <w:tc>
          <w:tcPr>
            <w:tcW w:w="160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r>
              <w:rPr>
                <w:rFonts w:ascii="仿宋" w:hAnsi="仿宋" w:eastAsia="仿宋"/>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908"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p>
        </w:tc>
        <w:tc>
          <w:tcPr>
            <w:tcW w:w="995" w:type="dxa"/>
            <w:vMerge w:val="continue"/>
            <w:tcBorders>
              <w:top w:val="single" w:color="auto" w:sz="4" w:space="0"/>
              <w:left w:val="single" w:color="auto" w:sz="4" w:space="0"/>
              <w:bottom w:val="single" w:color="auto" w:sz="4" w:space="0"/>
              <w:right w:val="single" w:color="auto" w:sz="6" w:space="0"/>
            </w:tcBorders>
            <w:vAlign w:val="center"/>
          </w:tcPr>
          <w:p>
            <w:pPr>
              <w:adjustRightInd w:val="0"/>
              <w:snapToGrid w:val="0"/>
              <w:jc w:val="center"/>
              <w:rPr>
                <w:rFonts w:ascii="仿宋" w:hAnsi="仿宋" w:eastAsia="仿宋"/>
              </w:rPr>
            </w:pPr>
          </w:p>
        </w:tc>
        <w:tc>
          <w:tcPr>
            <w:tcW w:w="1562" w:type="dxa"/>
            <w:tcBorders>
              <w:top w:val="single" w:color="auto" w:sz="4" w:space="0"/>
              <w:left w:val="single" w:color="auto" w:sz="6" w:space="0"/>
              <w:bottom w:val="single" w:color="auto" w:sz="4" w:space="0"/>
              <w:right w:val="single" w:color="auto" w:sz="4" w:space="0"/>
            </w:tcBorders>
            <w:vAlign w:val="center"/>
          </w:tcPr>
          <w:p>
            <w:pPr>
              <w:adjustRightInd w:val="0"/>
              <w:snapToGrid w:val="0"/>
              <w:jc w:val="center"/>
              <w:rPr>
                <w:rFonts w:ascii="仿宋" w:hAnsi="仿宋" w:eastAsia="仿宋"/>
              </w:rPr>
            </w:pPr>
            <w:r>
              <w:rPr>
                <w:rFonts w:hint="eastAsia" w:ascii="仿宋" w:hAnsi="仿宋" w:eastAsia="仿宋"/>
              </w:rPr>
              <w:t>2023.5.31</w:t>
            </w:r>
          </w:p>
        </w:tc>
        <w:tc>
          <w:tcPr>
            <w:tcW w:w="162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r>
              <w:rPr>
                <w:rFonts w:hint="eastAsia" w:ascii="仿宋" w:hAnsi="仿宋" w:eastAsia="仿宋"/>
              </w:rPr>
              <w:t>52</w:t>
            </w:r>
          </w:p>
        </w:tc>
        <w:tc>
          <w:tcPr>
            <w:tcW w:w="1450"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p>
        </w:tc>
        <w:tc>
          <w:tcPr>
            <w:tcW w:w="160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r>
              <w:rPr>
                <w:rFonts w:ascii="仿宋" w:hAnsi="仿宋" w:eastAsia="仿宋"/>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908"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r>
              <w:rPr>
                <w:rFonts w:ascii="仿宋" w:hAnsi="仿宋" w:eastAsia="仿宋"/>
              </w:rPr>
              <w:t>N2</w:t>
            </w:r>
          </w:p>
          <w:p>
            <w:pPr>
              <w:adjustRightInd w:val="0"/>
              <w:snapToGrid w:val="0"/>
              <w:jc w:val="center"/>
              <w:rPr>
                <w:rFonts w:ascii="仿宋" w:hAnsi="仿宋" w:eastAsia="仿宋"/>
              </w:rPr>
            </w:pPr>
            <w:r>
              <w:rPr>
                <w:rFonts w:ascii="仿宋" w:hAnsi="仿宋" w:eastAsia="仿宋"/>
              </w:rPr>
              <w:t>（南</w:t>
            </w:r>
            <w:r>
              <w:rPr>
                <w:rFonts w:hint="eastAsia" w:ascii="仿宋" w:hAnsi="仿宋" w:eastAsia="仿宋"/>
              </w:rPr>
              <w:t>厂界</w:t>
            </w:r>
            <w:r>
              <w:rPr>
                <w:rFonts w:ascii="仿宋" w:hAnsi="仿宋" w:eastAsia="仿宋"/>
              </w:rPr>
              <w:t>）</w:t>
            </w:r>
          </w:p>
        </w:tc>
        <w:tc>
          <w:tcPr>
            <w:tcW w:w="995" w:type="dxa"/>
            <w:vMerge w:val="restart"/>
            <w:tcBorders>
              <w:top w:val="single" w:color="auto" w:sz="4" w:space="0"/>
              <w:left w:val="single" w:color="auto" w:sz="4" w:space="0"/>
              <w:bottom w:val="single" w:color="auto" w:sz="4" w:space="0"/>
              <w:right w:val="single" w:color="auto" w:sz="6" w:space="0"/>
            </w:tcBorders>
            <w:vAlign w:val="center"/>
          </w:tcPr>
          <w:p>
            <w:pPr>
              <w:adjustRightInd w:val="0"/>
              <w:snapToGrid w:val="0"/>
              <w:jc w:val="center"/>
              <w:rPr>
                <w:rFonts w:ascii="仿宋" w:hAnsi="仿宋" w:eastAsia="仿宋"/>
              </w:rPr>
            </w:pPr>
            <w:r>
              <w:rPr>
                <w:rFonts w:ascii="仿宋" w:hAnsi="仿宋" w:eastAsia="仿宋"/>
              </w:rPr>
              <w:t>昼间</w:t>
            </w:r>
          </w:p>
        </w:tc>
        <w:tc>
          <w:tcPr>
            <w:tcW w:w="1562" w:type="dxa"/>
            <w:tcBorders>
              <w:top w:val="single" w:color="auto" w:sz="4" w:space="0"/>
              <w:left w:val="single" w:color="auto" w:sz="6" w:space="0"/>
              <w:bottom w:val="single" w:color="auto" w:sz="4" w:space="0"/>
              <w:right w:val="single" w:color="auto" w:sz="4" w:space="0"/>
            </w:tcBorders>
            <w:vAlign w:val="center"/>
          </w:tcPr>
          <w:p>
            <w:pPr>
              <w:adjustRightInd w:val="0"/>
              <w:snapToGrid w:val="0"/>
              <w:jc w:val="center"/>
              <w:rPr>
                <w:rFonts w:ascii="仿宋" w:hAnsi="仿宋" w:eastAsia="仿宋"/>
              </w:rPr>
            </w:pPr>
            <w:r>
              <w:rPr>
                <w:rFonts w:hint="eastAsia" w:ascii="仿宋" w:hAnsi="仿宋" w:eastAsia="仿宋"/>
              </w:rPr>
              <w:t>2023.5.30</w:t>
            </w:r>
          </w:p>
        </w:tc>
        <w:tc>
          <w:tcPr>
            <w:tcW w:w="162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r>
              <w:rPr>
                <w:rFonts w:hint="eastAsia" w:ascii="仿宋" w:hAnsi="仿宋" w:eastAsia="仿宋"/>
              </w:rPr>
              <w:t>61</w:t>
            </w:r>
          </w:p>
        </w:tc>
        <w:tc>
          <w:tcPr>
            <w:tcW w:w="145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r>
              <w:rPr>
                <w:rFonts w:ascii="仿宋" w:hAnsi="仿宋" w:eastAsia="仿宋"/>
              </w:rPr>
              <w:t>70</w:t>
            </w:r>
          </w:p>
        </w:tc>
        <w:tc>
          <w:tcPr>
            <w:tcW w:w="160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r>
              <w:rPr>
                <w:rFonts w:ascii="仿宋" w:hAnsi="仿宋" w:eastAsia="仿宋"/>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908"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p>
        </w:tc>
        <w:tc>
          <w:tcPr>
            <w:tcW w:w="995" w:type="dxa"/>
            <w:vMerge w:val="continue"/>
            <w:tcBorders>
              <w:top w:val="single" w:color="auto" w:sz="4" w:space="0"/>
              <w:left w:val="single" w:color="auto" w:sz="4" w:space="0"/>
              <w:bottom w:val="single" w:color="auto" w:sz="4" w:space="0"/>
              <w:right w:val="single" w:color="auto" w:sz="6" w:space="0"/>
            </w:tcBorders>
            <w:vAlign w:val="center"/>
          </w:tcPr>
          <w:p>
            <w:pPr>
              <w:adjustRightInd w:val="0"/>
              <w:snapToGrid w:val="0"/>
              <w:jc w:val="center"/>
              <w:rPr>
                <w:rFonts w:ascii="仿宋" w:hAnsi="仿宋" w:eastAsia="仿宋"/>
              </w:rPr>
            </w:pPr>
          </w:p>
        </w:tc>
        <w:tc>
          <w:tcPr>
            <w:tcW w:w="1562" w:type="dxa"/>
            <w:tcBorders>
              <w:top w:val="single" w:color="auto" w:sz="4" w:space="0"/>
              <w:left w:val="single" w:color="auto" w:sz="6" w:space="0"/>
              <w:bottom w:val="single" w:color="auto" w:sz="4" w:space="0"/>
              <w:right w:val="single" w:color="auto" w:sz="4" w:space="0"/>
            </w:tcBorders>
            <w:vAlign w:val="center"/>
          </w:tcPr>
          <w:p>
            <w:pPr>
              <w:adjustRightInd w:val="0"/>
              <w:snapToGrid w:val="0"/>
              <w:jc w:val="center"/>
              <w:rPr>
                <w:rFonts w:ascii="仿宋" w:hAnsi="仿宋" w:eastAsia="仿宋"/>
              </w:rPr>
            </w:pPr>
            <w:r>
              <w:rPr>
                <w:rFonts w:hint="eastAsia" w:ascii="仿宋" w:hAnsi="仿宋" w:eastAsia="仿宋"/>
              </w:rPr>
              <w:t>2023.5.31</w:t>
            </w:r>
          </w:p>
        </w:tc>
        <w:tc>
          <w:tcPr>
            <w:tcW w:w="162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r>
              <w:rPr>
                <w:rFonts w:hint="eastAsia" w:ascii="仿宋" w:hAnsi="仿宋" w:eastAsia="仿宋"/>
              </w:rPr>
              <w:t>62</w:t>
            </w:r>
          </w:p>
        </w:tc>
        <w:tc>
          <w:tcPr>
            <w:tcW w:w="1450"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p>
        </w:tc>
        <w:tc>
          <w:tcPr>
            <w:tcW w:w="160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r>
              <w:rPr>
                <w:rFonts w:ascii="仿宋" w:hAnsi="仿宋" w:eastAsia="仿宋"/>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908"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p>
        </w:tc>
        <w:tc>
          <w:tcPr>
            <w:tcW w:w="995" w:type="dxa"/>
            <w:vMerge w:val="restart"/>
            <w:tcBorders>
              <w:top w:val="single" w:color="auto" w:sz="4" w:space="0"/>
              <w:left w:val="single" w:color="auto" w:sz="4" w:space="0"/>
              <w:bottom w:val="single" w:color="auto" w:sz="4" w:space="0"/>
              <w:right w:val="single" w:color="auto" w:sz="6" w:space="0"/>
            </w:tcBorders>
            <w:vAlign w:val="center"/>
          </w:tcPr>
          <w:p>
            <w:pPr>
              <w:adjustRightInd w:val="0"/>
              <w:snapToGrid w:val="0"/>
              <w:jc w:val="center"/>
              <w:rPr>
                <w:rFonts w:ascii="仿宋" w:hAnsi="仿宋" w:eastAsia="仿宋"/>
              </w:rPr>
            </w:pPr>
            <w:r>
              <w:rPr>
                <w:rFonts w:ascii="仿宋" w:hAnsi="仿宋" w:eastAsia="仿宋"/>
              </w:rPr>
              <w:t>夜间</w:t>
            </w:r>
          </w:p>
        </w:tc>
        <w:tc>
          <w:tcPr>
            <w:tcW w:w="1562" w:type="dxa"/>
            <w:tcBorders>
              <w:top w:val="single" w:color="auto" w:sz="4" w:space="0"/>
              <w:left w:val="single" w:color="auto" w:sz="6" w:space="0"/>
              <w:bottom w:val="single" w:color="auto" w:sz="4" w:space="0"/>
              <w:right w:val="single" w:color="auto" w:sz="4" w:space="0"/>
            </w:tcBorders>
            <w:vAlign w:val="center"/>
          </w:tcPr>
          <w:p>
            <w:pPr>
              <w:adjustRightInd w:val="0"/>
              <w:snapToGrid w:val="0"/>
              <w:jc w:val="center"/>
              <w:rPr>
                <w:rFonts w:ascii="仿宋" w:hAnsi="仿宋" w:eastAsia="仿宋"/>
              </w:rPr>
            </w:pPr>
            <w:r>
              <w:rPr>
                <w:rFonts w:hint="eastAsia" w:ascii="仿宋" w:hAnsi="仿宋" w:eastAsia="仿宋"/>
              </w:rPr>
              <w:t>2023.5.30</w:t>
            </w:r>
          </w:p>
        </w:tc>
        <w:tc>
          <w:tcPr>
            <w:tcW w:w="162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r>
              <w:rPr>
                <w:rFonts w:hint="eastAsia" w:ascii="仿宋" w:hAnsi="仿宋" w:eastAsia="仿宋"/>
              </w:rPr>
              <w:t>52</w:t>
            </w:r>
          </w:p>
        </w:tc>
        <w:tc>
          <w:tcPr>
            <w:tcW w:w="145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r>
              <w:rPr>
                <w:rFonts w:ascii="仿宋" w:hAnsi="仿宋" w:eastAsia="仿宋"/>
              </w:rPr>
              <w:t>55</w:t>
            </w:r>
          </w:p>
        </w:tc>
        <w:tc>
          <w:tcPr>
            <w:tcW w:w="160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r>
              <w:rPr>
                <w:rFonts w:ascii="仿宋" w:hAnsi="仿宋" w:eastAsia="仿宋"/>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908"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p>
        </w:tc>
        <w:tc>
          <w:tcPr>
            <w:tcW w:w="995" w:type="dxa"/>
            <w:vMerge w:val="continue"/>
            <w:tcBorders>
              <w:top w:val="single" w:color="auto" w:sz="4" w:space="0"/>
              <w:left w:val="single" w:color="auto" w:sz="4" w:space="0"/>
              <w:bottom w:val="single" w:color="auto" w:sz="4" w:space="0"/>
              <w:right w:val="single" w:color="auto" w:sz="6" w:space="0"/>
            </w:tcBorders>
            <w:vAlign w:val="center"/>
          </w:tcPr>
          <w:p>
            <w:pPr>
              <w:adjustRightInd w:val="0"/>
              <w:snapToGrid w:val="0"/>
              <w:jc w:val="center"/>
              <w:rPr>
                <w:rFonts w:ascii="仿宋" w:hAnsi="仿宋" w:eastAsia="仿宋"/>
              </w:rPr>
            </w:pPr>
          </w:p>
        </w:tc>
        <w:tc>
          <w:tcPr>
            <w:tcW w:w="1562" w:type="dxa"/>
            <w:tcBorders>
              <w:top w:val="single" w:color="auto" w:sz="4" w:space="0"/>
              <w:left w:val="single" w:color="auto" w:sz="6" w:space="0"/>
              <w:bottom w:val="single" w:color="auto" w:sz="4" w:space="0"/>
              <w:right w:val="single" w:color="auto" w:sz="4" w:space="0"/>
            </w:tcBorders>
            <w:vAlign w:val="center"/>
          </w:tcPr>
          <w:p>
            <w:pPr>
              <w:adjustRightInd w:val="0"/>
              <w:snapToGrid w:val="0"/>
              <w:jc w:val="center"/>
              <w:rPr>
                <w:rFonts w:ascii="仿宋" w:hAnsi="仿宋" w:eastAsia="仿宋"/>
              </w:rPr>
            </w:pPr>
            <w:r>
              <w:rPr>
                <w:rFonts w:hint="eastAsia" w:ascii="仿宋" w:hAnsi="仿宋" w:eastAsia="仿宋"/>
              </w:rPr>
              <w:t>2023.5.31</w:t>
            </w:r>
          </w:p>
        </w:tc>
        <w:tc>
          <w:tcPr>
            <w:tcW w:w="162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r>
              <w:rPr>
                <w:rFonts w:hint="eastAsia" w:ascii="仿宋" w:hAnsi="仿宋" w:eastAsia="仿宋"/>
              </w:rPr>
              <w:t>52</w:t>
            </w:r>
          </w:p>
        </w:tc>
        <w:tc>
          <w:tcPr>
            <w:tcW w:w="1450"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p>
        </w:tc>
        <w:tc>
          <w:tcPr>
            <w:tcW w:w="160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r>
              <w:rPr>
                <w:rFonts w:ascii="仿宋" w:hAnsi="仿宋" w:eastAsia="仿宋"/>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908"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r>
              <w:rPr>
                <w:rFonts w:ascii="仿宋" w:hAnsi="仿宋" w:eastAsia="仿宋"/>
              </w:rPr>
              <w:t>N3</w:t>
            </w:r>
          </w:p>
          <w:p>
            <w:pPr>
              <w:adjustRightInd w:val="0"/>
              <w:snapToGrid w:val="0"/>
              <w:jc w:val="center"/>
              <w:rPr>
                <w:rFonts w:ascii="仿宋" w:hAnsi="仿宋" w:eastAsia="仿宋"/>
              </w:rPr>
            </w:pPr>
            <w:r>
              <w:rPr>
                <w:rFonts w:ascii="仿宋" w:hAnsi="仿宋" w:eastAsia="仿宋"/>
              </w:rPr>
              <w:t>（西</w:t>
            </w:r>
            <w:r>
              <w:rPr>
                <w:rFonts w:hint="eastAsia" w:ascii="仿宋" w:hAnsi="仿宋" w:eastAsia="仿宋"/>
              </w:rPr>
              <w:t>厂界</w:t>
            </w:r>
            <w:r>
              <w:rPr>
                <w:rFonts w:ascii="仿宋" w:hAnsi="仿宋" w:eastAsia="仿宋"/>
              </w:rPr>
              <w:t>）</w:t>
            </w:r>
          </w:p>
        </w:tc>
        <w:tc>
          <w:tcPr>
            <w:tcW w:w="995" w:type="dxa"/>
            <w:vMerge w:val="restart"/>
            <w:tcBorders>
              <w:top w:val="single" w:color="auto" w:sz="4" w:space="0"/>
              <w:left w:val="single" w:color="auto" w:sz="4" w:space="0"/>
              <w:bottom w:val="single" w:color="auto" w:sz="4" w:space="0"/>
              <w:right w:val="single" w:color="auto" w:sz="6" w:space="0"/>
            </w:tcBorders>
            <w:vAlign w:val="center"/>
          </w:tcPr>
          <w:p>
            <w:pPr>
              <w:adjustRightInd w:val="0"/>
              <w:snapToGrid w:val="0"/>
              <w:jc w:val="center"/>
              <w:rPr>
                <w:rFonts w:ascii="仿宋" w:hAnsi="仿宋" w:eastAsia="仿宋"/>
              </w:rPr>
            </w:pPr>
            <w:r>
              <w:rPr>
                <w:rFonts w:ascii="仿宋" w:hAnsi="仿宋" w:eastAsia="仿宋"/>
              </w:rPr>
              <w:t>昼间</w:t>
            </w:r>
          </w:p>
        </w:tc>
        <w:tc>
          <w:tcPr>
            <w:tcW w:w="1562" w:type="dxa"/>
            <w:tcBorders>
              <w:top w:val="single" w:color="auto" w:sz="4" w:space="0"/>
              <w:left w:val="single" w:color="auto" w:sz="6" w:space="0"/>
              <w:bottom w:val="single" w:color="auto" w:sz="4" w:space="0"/>
              <w:right w:val="single" w:color="auto" w:sz="4" w:space="0"/>
            </w:tcBorders>
            <w:vAlign w:val="center"/>
          </w:tcPr>
          <w:p>
            <w:pPr>
              <w:adjustRightInd w:val="0"/>
              <w:snapToGrid w:val="0"/>
              <w:jc w:val="center"/>
              <w:rPr>
                <w:rFonts w:ascii="仿宋" w:hAnsi="仿宋" w:eastAsia="仿宋"/>
              </w:rPr>
            </w:pPr>
            <w:r>
              <w:rPr>
                <w:rFonts w:hint="eastAsia" w:ascii="仿宋" w:hAnsi="仿宋" w:eastAsia="仿宋"/>
              </w:rPr>
              <w:t>2023.5.30</w:t>
            </w:r>
          </w:p>
        </w:tc>
        <w:tc>
          <w:tcPr>
            <w:tcW w:w="162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r>
              <w:rPr>
                <w:rFonts w:hint="eastAsia" w:ascii="仿宋" w:hAnsi="仿宋" w:eastAsia="仿宋"/>
              </w:rPr>
              <w:t>54</w:t>
            </w:r>
          </w:p>
        </w:tc>
        <w:tc>
          <w:tcPr>
            <w:tcW w:w="145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r>
              <w:rPr>
                <w:rFonts w:ascii="仿宋" w:hAnsi="仿宋" w:eastAsia="仿宋"/>
              </w:rPr>
              <w:t>65</w:t>
            </w:r>
          </w:p>
        </w:tc>
        <w:tc>
          <w:tcPr>
            <w:tcW w:w="160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r>
              <w:rPr>
                <w:rFonts w:ascii="仿宋" w:hAnsi="仿宋" w:eastAsia="仿宋"/>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908"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p>
        </w:tc>
        <w:tc>
          <w:tcPr>
            <w:tcW w:w="995" w:type="dxa"/>
            <w:vMerge w:val="continue"/>
            <w:tcBorders>
              <w:top w:val="single" w:color="auto" w:sz="4" w:space="0"/>
              <w:left w:val="single" w:color="auto" w:sz="4" w:space="0"/>
              <w:bottom w:val="single" w:color="auto" w:sz="4" w:space="0"/>
              <w:right w:val="single" w:color="auto" w:sz="6" w:space="0"/>
            </w:tcBorders>
            <w:vAlign w:val="center"/>
          </w:tcPr>
          <w:p>
            <w:pPr>
              <w:adjustRightInd w:val="0"/>
              <w:snapToGrid w:val="0"/>
              <w:jc w:val="center"/>
              <w:rPr>
                <w:rFonts w:ascii="仿宋" w:hAnsi="仿宋" w:eastAsia="仿宋"/>
              </w:rPr>
            </w:pPr>
          </w:p>
        </w:tc>
        <w:tc>
          <w:tcPr>
            <w:tcW w:w="1562" w:type="dxa"/>
            <w:tcBorders>
              <w:top w:val="single" w:color="auto" w:sz="4" w:space="0"/>
              <w:left w:val="single" w:color="auto" w:sz="6" w:space="0"/>
              <w:bottom w:val="single" w:color="auto" w:sz="4" w:space="0"/>
              <w:right w:val="single" w:color="auto" w:sz="4" w:space="0"/>
            </w:tcBorders>
            <w:vAlign w:val="center"/>
          </w:tcPr>
          <w:p>
            <w:pPr>
              <w:adjustRightInd w:val="0"/>
              <w:snapToGrid w:val="0"/>
              <w:jc w:val="center"/>
              <w:rPr>
                <w:rFonts w:ascii="仿宋" w:hAnsi="仿宋" w:eastAsia="仿宋"/>
              </w:rPr>
            </w:pPr>
            <w:r>
              <w:rPr>
                <w:rFonts w:hint="eastAsia" w:ascii="仿宋" w:hAnsi="仿宋" w:eastAsia="仿宋"/>
              </w:rPr>
              <w:t>2023.5.31</w:t>
            </w:r>
          </w:p>
        </w:tc>
        <w:tc>
          <w:tcPr>
            <w:tcW w:w="162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r>
              <w:rPr>
                <w:rFonts w:hint="eastAsia" w:ascii="仿宋" w:hAnsi="仿宋" w:eastAsia="仿宋"/>
              </w:rPr>
              <w:t>54</w:t>
            </w:r>
          </w:p>
        </w:tc>
        <w:tc>
          <w:tcPr>
            <w:tcW w:w="1450"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p>
        </w:tc>
        <w:tc>
          <w:tcPr>
            <w:tcW w:w="160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r>
              <w:rPr>
                <w:rFonts w:ascii="仿宋" w:hAnsi="仿宋" w:eastAsia="仿宋"/>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908"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p>
        </w:tc>
        <w:tc>
          <w:tcPr>
            <w:tcW w:w="995" w:type="dxa"/>
            <w:vMerge w:val="restart"/>
            <w:tcBorders>
              <w:top w:val="single" w:color="auto" w:sz="4" w:space="0"/>
              <w:left w:val="single" w:color="auto" w:sz="4" w:space="0"/>
              <w:bottom w:val="single" w:color="auto" w:sz="4" w:space="0"/>
              <w:right w:val="single" w:color="auto" w:sz="6" w:space="0"/>
            </w:tcBorders>
            <w:vAlign w:val="center"/>
          </w:tcPr>
          <w:p>
            <w:pPr>
              <w:adjustRightInd w:val="0"/>
              <w:snapToGrid w:val="0"/>
              <w:jc w:val="center"/>
              <w:rPr>
                <w:rFonts w:ascii="仿宋" w:hAnsi="仿宋" w:eastAsia="仿宋"/>
              </w:rPr>
            </w:pPr>
            <w:r>
              <w:rPr>
                <w:rFonts w:ascii="仿宋" w:hAnsi="仿宋" w:eastAsia="仿宋"/>
              </w:rPr>
              <w:t>夜间</w:t>
            </w:r>
          </w:p>
        </w:tc>
        <w:tc>
          <w:tcPr>
            <w:tcW w:w="1562" w:type="dxa"/>
            <w:tcBorders>
              <w:top w:val="single" w:color="auto" w:sz="4" w:space="0"/>
              <w:left w:val="single" w:color="auto" w:sz="6" w:space="0"/>
              <w:bottom w:val="single" w:color="auto" w:sz="4" w:space="0"/>
              <w:right w:val="single" w:color="auto" w:sz="4" w:space="0"/>
            </w:tcBorders>
            <w:vAlign w:val="center"/>
          </w:tcPr>
          <w:p>
            <w:pPr>
              <w:adjustRightInd w:val="0"/>
              <w:snapToGrid w:val="0"/>
              <w:jc w:val="center"/>
              <w:rPr>
                <w:rFonts w:ascii="仿宋" w:hAnsi="仿宋" w:eastAsia="仿宋"/>
              </w:rPr>
            </w:pPr>
            <w:r>
              <w:rPr>
                <w:rFonts w:hint="eastAsia" w:ascii="仿宋" w:hAnsi="仿宋" w:eastAsia="仿宋"/>
              </w:rPr>
              <w:t>2023.5.30</w:t>
            </w:r>
          </w:p>
        </w:tc>
        <w:tc>
          <w:tcPr>
            <w:tcW w:w="162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r>
              <w:rPr>
                <w:rFonts w:hint="eastAsia" w:ascii="仿宋" w:hAnsi="仿宋" w:eastAsia="仿宋"/>
              </w:rPr>
              <w:t>48</w:t>
            </w:r>
          </w:p>
        </w:tc>
        <w:tc>
          <w:tcPr>
            <w:tcW w:w="145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r>
              <w:rPr>
                <w:rFonts w:ascii="仿宋" w:hAnsi="仿宋" w:eastAsia="仿宋"/>
              </w:rPr>
              <w:t>55</w:t>
            </w:r>
          </w:p>
        </w:tc>
        <w:tc>
          <w:tcPr>
            <w:tcW w:w="160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r>
              <w:rPr>
                <w:rFonts w:ascii="仿宋" w:hAnsi="仿宋" w:eastAsia="仿宋"/>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908"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p>
        </w:tc>
        <w:tc>
          <w:tcPr>
            <w:tcW w:w="995" w:type="dxa"/>
            <w:vMerge w:val="continue"/>
            <w:tcBorders>
              <w:top w:val="single" w:color="auto" w:sz="4" w:space="0"/>
              <w:left w:val="single" w:color="auto" w:sz="4" w:space="0"/>
              <w:bottom w:val="single" w:color="auto" w:sz="4" w:space="0"/>
              <w:right w:val="single" w:color="auto" w:sz="6" w:space="0"/>
            </w:tcBorders>
            <w:vAlign w:val="center"/>
          </w:tcPr>
          <w:p>
            <w:pPr>
              <w:adjustRightInd w:val="0"/>
              <w:snapToGrid w:val="0"/>
              <w:jc w:val="center"/>
              <w:rPr>
                <w:rFonts w:ascii="仿宋" w:hAnsi="仿宋" w:eastAsia="仿宋"/>
              </w:rPr>
            </w:pPr>
          </w:p>
        </w:tc>
        <w:tc>
          <w:tcPr>
            <w:tcW w:w="1562" w:type="dxa"/>
            <w:tcBorders>
              <w:top w:val="single" w:color="auto" w:sz="4" w:space="0"/>
              <w:left w:val="single" w:color="auto" w:sz="6" w:space="0"/>
              <w:bottom w:val="single" w:color="auto" w:sz="4" w:space="0"/>
              <w:right w:val="single" w:color="auto" w:sz="4" w:space="0"/>
            </w:tcBorders>
            <w:vAlign w:val="center"/>
          </w:tcPr>
          <w:p>
            <w:pPr>
              <w:adjustRightInd w:val="0"/>
              <w:snapToGrid w:val="0"/>
              <w:jc w:val="center"/>
              <w:rPr>
                <w:rFonts w:ascii="仿宋" w:hAnsi="仿宋" w:eastAsia="仿宋"/>
              </w:rPr>
            </w:pPr>
            <w:r>
              <w:rPr>
                <w:rFonts w:hint="eastAsia" w:ascii="仿宋" w:hAnsi="仿宋" w:eastAsia="仿宋"/>
              </w:rPr>
              <w:t>2023.5.31</w:t>
            </w:r>
          </w:p>
        </w:tc>
        <w:tc>
          <w:tcPr>
            <w:tcW w:w="162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r>
              <w:rPr>
                <w:rFonts w:hint="eastAsia" w:ascii="仿宋" w:hAnsi="仿宋" w:eastAsia="仿宋"/>
              </w:rPr>
              <w:t>48</w:t>
            </w:r>
          </w:p>
        </w:tc>
        <w:tc>
          <w:tcPr>
            <w:tcW w:w="1450"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p>
        </w:tc>
        <w:tc>
          <w:tcPr>
            <w:tcW w:w="160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r>
              <w:rPr>
                <w:rFonts w:ascii="仿宋" w:hAnsi="仿宋" w:eastAsia="仿宋"/>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908"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r>
              <w:rPr>
                <w:rFonts w:ascii="仿宋" w:hAnsi="仿宋" w:eastAsia="仿宋"/>
              </w:rPr>
              <w:t>N4</w:t>
            </w:r>
          </w:p>
          <w:p>
            <w:pPr>
              <w:adjustRightInd w:val="0"/>
              <w:snapToGrid w:val="0"/>
              <w:jc w:val="center"/>
              <w:rPr>
                <w:rFonts w:ascii="仿宋" w:hAnsi="仿宋" w:eastAsia="仿宋"/>
              </w:rPr>
            </w:pPr>
            <w:r>
              <w:rPr>
                <w:rFonts w:ascii="仿宋" w:hAnsi="仿宋" w:eastAsia="仿宋"/>
              </w:rPr>
              <w:t>（北</w:t>
            </w:r>
            <w:r>
              <w:rPr>
                <w:rFonts w:hint="eastAsia" w:ascii="仿宋" w:hAnsi="仿宋" w:eastAsia="仿宋"/>
              </w:rPr>
              <w:t>厂界</w:t>
            </w:r>
            <w:r>
              <w:rPr>
                <w:rFonts w:ascii="仿宋" w:hAnsi="仿宋" w:eastAsia="仿宋"/>
              </w:rPr>
              <w:t>）</w:t>
            </w:r>
          </w:p>
        </w:tc>
        <w:tc>
          <w:tcPr>
            <w:tcW w:w="995" w:type="dxa"/>
            <w:vMerge w:val="restart"/>
            <w:tcBorders>
              <w:top w:val="single" w:color="auto" w:sz="4" w:space="0"/>
              <w:left w:val="single" w:color="auto" w:sz="4" w:space="0"/>
              <w:bottom w:val="single" w:color="auto" w:sz="4" w:space="0"/>
              <w:right w:val="single" w:color="auto" w:sz="6" w:space="0"/>
            </w:tcBorders>
            <w:vAlign w:val="center"/>
          </w:tcPr>
          <w:p>
            <w:pPr>
              <w:adjustRightInd w:val="0"/>
              <w:snapToGrid w:val="0"/>
              <w:jc w:val="center"/>
              <w:rPr>
                <w:rFonts w:ascii="仿宋" w:hAnsi="仿宋" w:eastAsia="仿宋"/>
              </w:rPr>
            </w:pPr>
            <w:r>
              <w:rPr>
                <w:rFonts w:ascii="仿宋" w:hAnsi="仿宋" w:eastAsia="仿宋"/>
              </w:rPr>
              <w:t>昼间</w:t>
            </w:r>
          </w:p>
        </w:tc>
        <w:tc>
          <w:tcPr>
            <w:tcW w:w="1562" w:type="dxa"/>
            <w:tcBorders>
              <w:top w:val="single" w:color="auto" w:sz="4" w:space="0"/>
              <w:left w:val="single" w:color="auto" w:sz="6" w:space="0"/>
              <w:bottom w:val="single" w:color="auto" w:sz="4" w:space="0"/>
              <w:right w:val="single" w:color="auto" w:sz="4" w:space="0"/>
            </w:tcBorders>
            <w:vAlign w:val="center"/>
          </w:tcPr>
          <w:p>
            <w:pPr>
              <w:adjustRightInd w:val="0"/>
              <w:snapToGrid w:val="0"/>
              <w:jc w:val="center"/>
              <w:rPr>
                <w:rFonts w:ascii="仿宋" w:hAnsi="仿宋" w:eastAsia="仿宋"/>
              </w:rPr>
            </w:pPr>
            <w:r>
              <w:rPr>
                <w:rFonts w:hint="eastAsia" w:ascii="仿宋" w:hAnsi="仿宋" w:eastAsia="仿宋"/>
              </w:rPr>
              <w:t>2023.5.30</w:t>
            </w:r>
          </w:p>
        </w:tc>
        <w:tc>
          <w:tcPr>
            <w:tcW w:w="162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r>
              <w:rPr>
                <w:rFonts w:hint="eastAsia" w:ascii="仿宋" w:hAnsi="仿宋" w:eastAsia="仿宋"/>
              </w:rPr>
              <w:t>53</w:t>
            </w:r>
          </w:p>
        </w:tc>
        <w:tc>
          <w:tcPr>
            <w:tcW w:w="145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r>
              <w:rPr>
                <w:rFonts w:ascii="仿宋" w:hAnsi="仿宋" w:eastAsia="仿宋"/>
              </w:rPr>
              <w:t>65</w:t>
            </w:r>
          </w:p>
        </w:tc>
        <w:tc>
          <w:tcPr>
            <w:tcW w:w="160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r>
              <w:rPr>
                <w:rFonts w:ascii="仿宋" w:hAnsi="仿宋" w:eastAsia="仿宋"/>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908"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p>
        </w:tc>
        <w:tc>
          <w:tcPr>
            <w:tcW w:w="995" w:type="dxa"/>
            <w:vMerge w:val="continue"/>
            <w:tcBorders>
              <w:top w:val="single" w:color="auto" w:sz="4" w:space="0"/>
              <w:left w:val="single" w:color="auto" w:sz="4" w:space="0"/>
              <w:bottom w:val="single" w:color="auto" w:sz="4" w:space="0"/>
              <w:right w:val="single" w:color="auto" w:sz="6" w:space="0"/>
            </w:tcBorders>
            <w:vAlign w:val="center"/>
          </w:tcPr>
          <w:p>
            <w:pPr>
              <w:adjustRightInd w:val="0"/>
              <w:snapToGrid w:val="0"/>
              <w:jc w:val="center"/>
              <w:rPr>
                <w:rFonts w:ascii="仿宋" w:hAnsi="仿宋" w:eastAsia="仿宋"/>
              </w:rPr>
            </w:pPr>
          </w:p>
        </w:tc>
        <w:tc>
          <w:tcPr>
            <w:tcW w:w="1562" w:type="dxa"/>
            <w:tcBorders>
              <w:top w:val="single" w:color="auto" w:sz="4" w:space="0"/>
              <w:left w:val="single" w:color="auto" w:sz="6" w:space="0"/>
              <w:bottom w:val="single" w:color="auto" w:sz="4" w:space="0"/>
              <w:right w:val="single" w:color="auto" w:sz="4" w:space="0"/>
            </w:tcBorders>
            <w:vAlign w:val="center"/>
          </w:tcPr>
          <w:p>
            <w:pPr>
              <w:adjustRightInd w:val="0"/>
              <w:snapToGrid w:val="0"/>
              <w:jc w:val="center"/>
              <w:rPr>
                <w:rFonts w:ascii="仿宋" w:hAnsi="仿宋" w:eastAsia="仿宋"/>
              </w:rPr>
            </w:pPr>
            <w:r>
              <w:rPr>
                <w:rFonts w:hint="eastAsia" w:ascii="仿宋" w:hAnsi="仿宋" w:eastAsia="仿宋"/>
              </w:rPr>
              <w:t>2023.5.31</w:t>
            </w:r>
          </w:p>
        </w:tc>
        <w:tc>
          <w:tcPr>
            <w:tcW w:w="162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r>
              <w:rPr>
                <w:rFonts w:hint="eastAsia" w:ascii="仿宋" w:hAnsi="仿宋" w:eastAsia="仿宋"/>
              </w:rPr>
              <w:t>53</w:t>
            </w:r>
          </w:p>
        </w:tc>
        <w:tc>
          <w:tcPr>
            <w:tcW w:w="1450"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p>
        </w:tc>
        <w:tc>
          <w:tcPr>
            <w:tcW w:w="160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r>
              <w:rPr>
                <w:rFonts w:ascii="仿宋" w:hAnsi="仿宋" w:eastAsia="仿宋"/>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908"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p>
        </w:tc>
        <w:tc>
          <w:tcPr>
            <w:tcW w:w="995" w:type="dxa"/>
            <w:vMerge w:val="restart"/>
            <w:tcBorders>
              <w:top w:val="single" w:color="auto" w:sz="4" w:space="0"/>
              <w:left w:val="single" w:color="auto" w:sz="4" w:space="0"/>
              <w:bottom w:val="single" w:color="auto" w:sz="4" w:space="0"/>
              <w:right w:val="single" w:color="auto" w:sz="6" w:space="0"/>
            </w:tcBorders>
            <w:vAlign w:val="center"/>
          </w:tcPr>
          <w:p>
            <w:pPr>
              <w:adjustRightInd w:val="0"/>
              <w:snapToGrid w:val="0"/>
              <w:jc w:val="center"/>
              <w:rPr>
                <w:rFonts w:ascii="仿宋" w:hAnsi="仿宋" w:eastAsia="仿宋"/>
              </w:rPr>
            </w:pPr>
            <w:r>
              <w:rPr>
                <w:rFonts w:ascii="仿宋" w:hAnsi="仿宋" w:eastAsia="仿宋"/>
              </w:rPr>
              <w:t>夜间</w:t>
            </w:r>
          </w:p>
        </w:tc>
        <w:tc>
          <w:tcPr>
            <w:tcW w:w="1562" w:type="dxa"/>
            <w:tcBorders>
              <w:top w:val="single" w:color="auto" w:sz="4" w:space="0"/>
              <w:left w:val="single" w:color="auto" w:sz="6" w:space="0"/>
              <w:bottom w:val="single" w:color="auto" w:sz="4" w:space="0"/>
              <w:right w:val="single" w:color="auto" w:sz="4" w:space="0"/>
            </w:tcBorders>
            <w:vAlign w:val="center"/>
          </w:tcPr>
          <w:p>
            <w:pPr>
              <w:adjustRightInd w:val="0"/>
              <w:snapToGrid w:val="0"/>
              <w:jc w:val="center"/>
              <w:rPr>
                <w:rFonts w:ascii="仿宋" w:hAnsi="仿宋" w:eastAsia="仿宋"/>
              </w:rPr>
            </w:pPr>
            <w:r>
              <w:rPr>
                <w:rFonts w:hint="eastAsia" w:ascii="仿宋" w:hAnsi="仿宋" w:eastAsia="仿宋"/>
              </w:rPr>
              <w:t>2023.5.30</w:t>
            </w:r>
          </w:p>
        </w:tc>
        <w:tc>
          <w:tcPr>
            <w:tcW w:w="162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r>
              <w:rPr>
                <w:rFonts w:hint="eastAsia" w:ascii="仿宋" w:hAnsi="仿宋" w:eastAsia="仿宋"/>
              </w:rPr>
              <w:t>47</w:t>
            </w:r>
          </w:p>
        </w:tc>
        <w:tc>
          <w:tcPr>
            <w:tcW w:w="145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r>
              <w:rPr>
                <w:rFonts w:ascii="仿宋" w:hAnsi="仿宋" w:eastAsia="仿宋"/>
              </w:rPr>
              <w:t>55</w:t>
            </w:r>
          </w:p>
        </w:tc>
        <w:tc>
          <w:tcPr>
            <w:tcW w:w="160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r>
              <w:rPr>
                <w:rFonts w:ascii="仿宋" w:hAnsi="仿宋" w:eastAsia="仿宋"/>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908"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p>
        </w:tc>
        <w:tc>
          <w:tcPr>
            <w:tcW w:w="995" w:type="dxa"/>
            <w:vMerge w:val="continue"/>
            <w:tcBorders>
              <w:top w:val="single" w:color="auto" w:sz="4" w:space="0"/>
              <w:left w:val="single" w:color="auto" w:sz="4" w:space="0"/>
              <w:bottom w:val="single" w:color="auto" w:sz="4" w:space="0"/>
              <w:right w:val="single" w:color="auto" w:sz="6" w:space="0"/>
            </w:tcBorders>
            <w:vAlign w:val="center"/>
          </w:tcPr>
          <w:p>
            <w:pPr>
              <w:adjustRightInd w:val="0"/>
              <w:snapToGrid w:val="0"/>
              <w:jc w:val="center"/>
              <w:rPr>
                <w:rFonts w:ascii="仿宋" w:hAnsi="仿宋" w:eastAsia="仿宋"/>
              </w:rPr>
            </w:pPr>
          </w:p>
        </w:tc>
        <w:tc>
          <w:tcPr>
            <w:tcW w:w="1562" w:type="dxa"/>
            <w:tcBorders>
              <w:top w:val="single" w:color="auto" w:sz="4" w:space="0"/>
              <w:left w:val="single" w:color="auto" w:sz="6" w:space="0"/>
              <w:bottom w:val="single" w:color="auto" w:sz="4" w:space="0"/>
              <w:right w:val="single" w:color="auto" w:sz="4" w:space="0"/>
            </w:tcBorders>
            <w:vAlign w:val="center"/>
          </w:tcPr>
          <w:p>
            <w:pPr>
              <w:adjustRightInd w:val="0"/>
              <w:snapToGrid w:val="0"/>
              <w:jc w:val="center"/>
              <w:rPr>
                <w:rFonts w:ascii="仿宋" w:hAnsi="仿宋" w:eastAsia="仿宋"/>
              </w:rPr>
            </w:pPr>
            <w:r>
              <w:rPr>
                <w:rFonts w:hint="eastAsia" w:ascii="仿宋" w:hAnsi="仿宋" w:eastAsia="仿宋"/>
              </w:rPr>
              <w:t>2023.5.31</w:t>
            </w:r>
          </w:p>
        </w:tc>
        <w:tc>
          <w:tcPr>
            <w:tcW w:w="162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r>
              <w:rPr>
                <w:rFonts w:hint="eastAsia" w:ascii="仿宋" w:hAnsi="仿宋" w:eastAsia="仿宋"/>
              </w:rPr>
              <w:t>47</w:t>
            </w:r>
          </w:p>
        </w:tc>
        <w:tc>
          <w:tcPr>
            <w:tcW w:w="1450"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p>
        </w:tc>
        <w:tc>
          <w:tcPr>
            <w:tcW w:w="160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r>
              <w:rPr>
                <w:rFonts w:ascii="仿宋" w:hAnsi="仿宋" w:eastAsia="仿宋"/>
              </w:rPr>
              <w:t>达标</w:t>
            </w:r>
          </w:p>
        </w:tc>
      </w:tr>
    </w:tbl>
    <w:p>
      <w:pPr>
        <w:spacing w:line="500" w:lineRule="exact"/>
        <w:ind w:firstLine="560" w:firstLineChars="200"/>
        <w:rPr>
          <w:rFonts w:eastAsia="仿宋_GB2312"/>
          <w:sz w:val="28"/>
        </w:rPr>
      </w:pPr>
      <w:r>
        <w:rPr>
          <w:rFonts w:eastAsia="仿宋_GB2312"/>
          <w:sz w:val="28"/>
        </w:rPr>
        <w:t>由上表可知，</w:t>
      </w:r>
      <w:r>
        <w:rPr>
          <w:rFonts w:hint="eastAsia" w:eastAsia="仿宋_GB2312"/>
          <w:spacing w:val="8"/>
          <w:sz w:val="28"/>
          <w:szCs w:val="28"/>
        </w:rPr>
        <w:t>项目所在地东、西、北</w:t>
      </w:r>
      <w:r>
        <w:rPr>
          <w:rFonts w:eastAsia="仿宋_GB2312"/>
          <w:spacing w:val="8"/>
          <w:sz w:val="28"/>
          <w:szCs w:val="28"/>
        </w:rPr>
        <w:t>厂界</w:t>
      </w:r>
      <w:r>
        <w:rPr>
          <w:rFonts w:eastAsia="仿宋_GB2312"/>
          <w:sz w:val="28"/>
        </w:rPr>
        <w:t>昼、夜间噪声监测值均符合</w:t>
      </w:r>
      <w:r>
        <w:rPr>
          <w:rFonts w:eastAsia="仿宋_GB2312"/>
          <w:sz w:val="28"/>
          <w:szCs w:val="28"/>
        </w:rPr>
        <w:t>《声环境质量标准》（GB12348-2008）中3类区域标准</w:t>
      </w:r>
      <w:r>
        <w:rPr>
          <w:rFonts w:hint="eastAsia" w:eastAsia="仿宋_GB2312"/>
          <w:sz w:val="28"/>
          <w:szCs w:val="28"/>
        </w:rPr>
        <w:t>，南厂界符合4a类区域标准</w:t>
      </w:r>
      <w:r>
        <w:rPr>
          <w:rFonts w:eastAsia="仿宋_GB2312"/>
          <w:sz w:val="28"/>
        </w:rPr>
        <w:t>。</w:t>
      </w:r>
    </w:p>
    <w:p>
      <w:pPr>
        <w:pStyle w:val="4"/>
        <w:keepLines w:val="0"/>
        <w:numPr>
          <w:ilvl w:val="2"/>
          <w:numId w:val="12"/>
        </w:numPr>
        <w:tabs>
          <w:tab w:val="left" w:pos="709"/>
        </w:tabs>
        <w:spacing w:before="120" w:beforeLines="50" w:after="120" w:afterLines="50" w:line="500" w:lineRule="exact"/>
        <w:ind w:left="0" w:firstLine="0"/>
        <w:rPr>
          <w:rFonts w:eastAsia="仿宋_GB2312"/>
          <w:sz w:val="30"/>
          <w:szCs w:val="30"/>
        </w:rPr>
      </w:pPr>
      <w:bookmarkStart w:id="317" w:name="_Toc304838113"/>
      <w:r>
        <w:rPr>
          <w:rFonts w:eastAsia="仿宋_GB2312"/>
          <w:sz w:val="30"/>
          <w:szCs w:val="30"/>
        </w:rPr>
        <w:t>地下水环境质量监测与</w:t>
      </w:r>
      <w:bookmarkEnd w:id="317"/>
      <w:r>
        <w:rPr>
          <w:rFonts w:eastAsia="仿宋_GB2312"/>
          <w:sz w:val="30"/>
          <w:szCs w:val="30"/>
        </w:rPr>
        <w:t>评价</w:t>
      </w:r>
    </w:p>
    <w:p>
      <w:pPr>
        <w:pStyle w:val="5"/>
        <w:keepLines w:val="0"/>
        <w:widowControl/>
        <w:numPr>
          <w:ilvl w:val="3"/>
          <w:numId w:val="12"/>
        </w:numPr>
        <w:adjustRightInd w:val="0"/>
        <w:snapToGrid w:val="0"/>
        <w:spacing w:after="120" w:afterLines="50"/>
        <w:ind w:left="0" w:firstLine="0"/>
        <w:rPr>
          <w:rFonts w:ascii="Times New Roman" w:hAnsi="Times New Roman"/>
          <w:b/>
        </w:rPr>
      </w:pPr>
      <w:r>
        <w:rPr>
          <w:rFonts w:ascii="Times New Roman" w:hAnsi="Times New Roman"/>
          <w:b/>
        </w:rPr>
        <w:t>地下水环境现状调查</w:t>
      </w:r>
    </w:p>
    <w:p>
      <w:pPr>
        <w:pStyle w:val="365"/>
        <w:numPr>
          <w:ilvl w:val="0"/>
          <w:numId w:val="14"/>
        </w:numPr>
        <w:spacing w:line="500" w:lineRule="exact"/>
        <w:ind w:firstLineChars="0"/>
        <w:rPr>
          <w:rFonts w:eastAsia="仿宋_GB2312"/>
          <w:sz w:val="28"/>
        </w:rPr>
      </w:pPr>
      <w:r>
        <w:rPr>
          <w:rFonts w:eastAsia="仿宋_GB2312"/>
          <w:sz w:val="28"/>
        </w:rPr>
        <w:t>监测点位</w:t>
      </w:r>
    </w:p>
    <w:p>
      <w:pPr>
        <w:spacing w:line="500" w:lineRule="exact"/>
        <w:ind w:firstLine="560" w:firstLineChars="200"/>
        <w:rPr>
          <w:rFonts w:eastAsia="仿宋_GB2312"/>
          <w:sz w:val="28"/>
        </w:rPr>
      </w:pPr>
      <w:r>
        <w:rPr>
          <w:rFonts w:hint="eastAsia" w:eastAsia="仿宋"/>
          <w:sz w:val="28"/>
          <w:szCs w:val="28"/>
        </w:rPr>
        <w:t>本次委托江苏科发检测技术有限公司在项目所在地D1、中巷村D2、城塘村D3</w:t>
      </w:r>
      <w:r>
        <w:rPr>
          <w:rFonts w:hint="eastAsia" w:eastAsia="仿宋_GB2312"/>
          <w:sz w:val="28"/>
        </w:rPr>
        <w:t>布设</w:t>
      </w:r>
      <w:r>
        <w:rPr>
          <w:rFonts w:eastAsia="仿宋_GB2312"/>
          <w:sz w:val="28"/>
        </w:rPr>
        <w:t>三个地下</w:t>
      </w:r>
      <w:r>
        <w:rPr>
          <w:rFonts w:hint="eastAsia" w:eastAsia="仿宋_GB2312"/>
          <w:sz w:val="28"/>
        </w:rPr>
        <w:t>水质</w:t>
      </w:r>
      <w:r>
        <w:rPr>
          <w:rFonts w:eastAsia="仿宋_GB2312"/>
          <w:sz w:val="28"/>
        </w:rPr>
        <w:t>监测点</w:t>
      </w:r>
      <w:r>
        <w:rPr>
          <w:rFonts w:hint="eastAsia" w:eastAsia="仿宋_GB2312"/>
          <w:sz w:val="28"/>
        </w:rPr>
        <w:t>，水位监测点引用</w:t>
      </w:r>
      <w:r>
        <w:rPr>
          <w:rFonts w:hAnsi="仿宋" w:eastAsia="仿宋"/>
          <w:sz w:val="28"/>
          <w:szCs w:val="28"/>
        </w:rPr>
        <w:t>金为环保科技（常州）有限</w:t>
      </w:r>
      <w:r>
        <w:rPr>
          <w:rFonts w:hint="eastAsia" w:hAnsi="仿宋" w:eastAsia="仿宋"/>
          <w:sz w:val="28"/>
          <w:szCs w:val="28"/>
        </w:rPr>
        <w:t>公司</w:t>
      </w:r>
      <w:r>
        <w:rPr>
          <w:rFonts w:hint="eastAsia" w:eastAsia="仿宋_GB2312"/>
          <w:sz w:val="28"/>
        </w:rPr>
        <w:t>委托江苏佳蓝检验检测有限公司于2022年10月5日对</w:t>
      </w:r>
      <w:r>
        <w:rPr>
          <w:rFonts w:hint="eastAsia" w:hAnsi="仿宋" w:eastAsia="仿宋"/>
          <w:sz w:val="28"/>
          <w:szCs w:val="28"/>
        </w:rPr>
        <w:t>中巷</w:t>
      </w:r>
      <w:r>
        <w:rPr>
          <w:rFonts w:hAnsi="仿宋" w:eastAsia="仿宋"/>
          <w:sz w:val="28"/>
          <w:szCs w:val="28"/>
        </w:rPr>
        <w:t>村</w:t>
      </w:r>
      <w:r>
        <w:rPr>
          <w:rFonts w:hint="eastAsia" w:hAnsi="仿宋" w:eastAsia="仿宋"/>
          <w:sz w:val="28"/>
          <w:szCs w:val="28"/>
        </w:rPr>
        <w:t>D2</w:t>
      </w:r>
      <w:r>
        <w:rPr>
          <w:rFonts w:hint="eastAsia" w:eastAsia="仿宋_GB2312"/>
          <w:sz w:val="28"/>
        </w:rPr>
        <w:t>、</w:t>
      </w:r>
      <w:r>
        <w:rPr>
          <w:rFonts w:hAnsi="仿宋" w:eastAsia="仿宋"/>
          <w:sz w:val="28"/>
          <w:szCs w:val="28"/>
        </w:rPr>
        <w:t>城塘村</w:t>
      </w:r>
      <w:r>
        <w:rPr>
          <w:rFonts w:hint="eastAsia" w:hAnsi="仿宋" w:eastAsia="仿宋"/>
          <w:sz w:val="28"/>
          <w:szCs w:val="28"/>
        </w:rPr>
        <w:t>D3</w:t>
      </w:r>
      <w:r>
        <w:rPr>
          <w:rFonts w:hint="eastAsia" w:eastAsia="仿宋_GB2312"/>
          <w:sz w:val="28"/>
        </w:rPr>
        <w:t>、</w:t>
      </w:r>
      <w:r>
        <w:rPr>
          <w:rFonts w:hint="eastAsia" w:hAnsi="仿宋" w:eastAsia="仿宋"/>
          <w:sz w:val="28"/>
          <w:szCs w:val="28"/>
        </w:rPr>
        <w:t>东村D</w:t>
      </w:r>
      <w:r>
        <w:rPr>
          <w:rFonts w:hAnsi="仿宋" w:eastAsia="仿宋"/>
          <w:sz w:val="28"/>
          <w:szCs w:val="28"/>
        </w:rPr>
        <w:t>4</w:t>
      </w:r>
      <w:r>
        <w:rPr>
          <w:rFonts w:hint="eastAsia" w:eastAsia="仿宋_GB2312"/>
          <w:sz w:val="28"/>
        </w:rPr>
        <w:t>、</w:t>
      </w:r>
      <w:r>
        <w:rPr>
          <w:rFonts w:hint="eastAsia" w:hAnsi="仿宋" w:eastAsia="仿宋"/>
          <w:sz w:val="28"/>
          <w:szCs w:val="28"/>
        </w:rPr>
        <w:t>黄</w:t>
      </w:r>
      <w:r>
        <w:rPr>
          <w:rFonts w:hAnsi="仿宋" w:eastAsia="仿宋"/>
          <w:sz w:val="28"/>
          <w:szCs w:val="28"/>
        </w:rPr>
        <w:t>巷</w:t>
      </w:r>
      <w:r>
        <w:rPr>
          <w:rFonts w:hint="eastAsia" w:hAnsi="仿宋" w:eastAsia="仿宋"/>
          <w:sz w:val="28"/>
          <w:szCs w:val="28"/>
        </w:rPr>
        <w:t>村</w:t>
      </w:r>
      <w:r>
        <w:rPr>
          <w:rFonts w:hint="eastAsia" w:ascii="仿宋" w:hAnsi="仿宋" w:eastAsia="仿宋" w:cs="仿宋"/>
          <w:sz w:val="28"/>
          <w:szCs w:val="28"/>
        </w:rPr>
        <w:t>D</w:t>
      </w:r>
      <w:r>
        <w:rPr>
          <w:rFonts w:ascii="仿宋" w:hAnsi="仿宋" w:eastAsia="仿宋" w:cs="仿宋"/>
          <w:sz w:val="28"/>
          <w:szCs w:val="28"/>
        </w:rPr>
        <w:t>5</w:t>
      </w:r>
      <w:r>
        <w:rPr>
          <w:rFonts w:hint="eastAsia" w:eastAsia="仿宋_GB2312"/>
          <w:sz w:val="28"/>
        </w:rPr>
        <w:t>、</w:t>
      </w:r>
      <w:r>
        <w:rPr>
          <w:rFonts w:ascii="仿宋" w:hAnsi="仿宋" w:eastAsia="仿宋" w:cs="仿宋"/>
          <w:sz w:val="28"/>
          <w:szCs w:val="28"/>
        </w:rPr>
        <w:t>中策橡胶集团有限公司</w:t>
      </w:r>
      <w:r>
        <w:rPr>
          <w:rFonts w:hint="eastAsia" w:hAnsi="仿宋" w:eastAsia="仿宋"/>
          <w:sz w:val="28"/>
          <w:szCs w:val="28"/>
        </w:rPr>
        <w:t>D</w:t>
      </w:r>
      <w:r>
        <w:rPr>
          <w:rFonts w:hAnsi="仿宋" w:eastAsia="仿宋"/>
          <w:sz w:val="28"/>
          <w:szCs w:val="28"/>
        </w:rPr>
        <w:t>6</w:t>
      </w:r>
      <w:r>
        <w:rPr>
          <w:rFonts w:hint="eastAsia" w:eastAsia="仿宋_GB2312"/>
          <w:sz w:val="28"/>
        </w:rPr>
        <w:t>的监测数据，报告编号[</w:t>
      </w:r>
      <w:r>
        <w:rPr>
          <w:rFonts w:ascii="仿宋" w:hAnsi="仿宋" w:eastAsia="仿宋" w:cs="仿宋"/>
          <w:sz w:val="28"/>
          <w:szCs w:val="28"/>
        </w:rPr>
        <w:t>JSJLH2209017</w:t>
      </w:r>
      <w:r>
        <w:rPr>
          <w:rFonts w:hint="eastAsia" w:eastAsia="仿宋_GB2312"/>
          <w:sz w:val="28"/>
        </w:rPr>
        <w:t>]。</w:t>
      </w:r>
    </w:p>
    <w:p>
      <w:pPr>
        <w:spacing w:line="500" w:lineRule="exact"/>
        <w:ind w:firstLine="560" w:firstLineChars="200"/>
        <w:rPr>
          <w:rFonts w:eastAsia="仿宋_GB2312"/>
          <w:sz w:val="28"/>
        </w:rPr>
      </w:pPr>
      <w:r>
        <w:rPr>
          <w:rFonts w:eastAsia="仿宋_GB2312"/>
          <w:sz w:val="28"/>
        </w:rPr>
        <w:t>⑵监测项目和监测方法</w:t>
      </w:r>
    </w:p>
    <w:p>
      <w:pPr>
        <w:adjustRightInd w:val="0"/>
        <w:snapToGrid w:val="0"/>
        <w:spacing w:line="500" w:lineRule="exact"/>
        <w:ind w:firstLine="560" w:firstLineChars="200"/>
        <w:rPr>
          <w:rFonts w:eastAsia="仿宋_GB2312"/>
          <w:snapToGrid w:val="0"/>
          <w:kern w:val="0"/>
          <w:sz w:val="28"/>
          <w:szCs w:val="28"/>
        </w:rPr>
      </w:pPr>
      <w:r>
        <w:rPr>
          <w:rFonts w:eastAsia="仿宋_GB2312"/>
          <w:sz w:val="28"/>
        </w:rPr>
        <w:t>监测项目：</w:t>
      </w:r>
      <w:r>
        <w:rPr>
          <w:rFonts w:eastAsia="仿宋_GB2312"/>
          <w:sz w:val="28"/>
          <w:szCs w:val="28"/>
        </w:rPr>
        <w:t>pH</w:t>
      </w:r>
      <w:r>
        <w:rPr>
          <w:rFonts w:hint="eastAsia" w:eastAsia="仿宋_GB2312"/>
          <w:sz w:val="28"/>
          <w:szCs w:val="28"/>
        </w:rPr>
        <w:t>、</w:t>
      </w:r>
      <w:r>
        <w:rPr>
          <w:rFonts w:eastAsia="仿宋_GB2312"/>
          <w:sz w:val="28"/>
          <w:szCs w:val="28"/>
        </w:rPr>
        <w:t>K</w:t>
      </w:r>
      <w:r>
        <w:rPr>
          <w:rFonts w:eastAsia="仿宋_GB2312"/>
          <w:sz w:val="28"/>
          <w:szCs w:val="28"/>
          <w:vertAlign w:val="superscript"/>
        </w:rPr>
        <w:t>+</w:t>
      </w:r>
      <w:r>
        <w:rPr>
          <w:rFonts w:hint="eastAsia" w:eastAsia="仿宋_GB2312"/>
          <w:sz w:val="28"/>
          <w:szCs w:val="28"/>
        </w:rPr>
        <w:t>、</w:t>
      </w:r>
      <w:r>
        <w:rPr>
          <w:rFonts w:eastAsia="仿宋_GB2312"/>
          <w:sz w:val="28"/>
          <w:szCs w:val="28"/>
        </w:rPr>
        <w:t>Na</w:t>
      </w:r>
      <w:r>
        <w:rPr>
          <w:rFonts w:eastAsia="仿宋_GB2312"/>
          <w:sz w:val="28"/>
          <w:szCs w:val="28"/>
          <w:vertAlign w:val="superscript"/>
        </w:rPr>
        <w:t>+</w:t>
      </w:r>
      <w:r>
        <w:rPr>
          <w:rFonts w:hint="eastAsia" w:eastAsia="仿宋_GB2312"/>
          <w:sz w:val="28"/>
          <w:szCs w:val="28"/>
        </w:rPr>
        <w:t>、</w:t>
      </w:r>
      <w:r>
        <w:rPr>
          <w:rFonts w:eastAsia="仿宋_GB2312"/>
          <w:sz w:val="28"/>
          <w:szCs w:val="28"/>
        </w:rPr>
        <w:t>Ca</w:t>
      </w:r>
      <w:r>
        <w:rPr>
          <w:rFonts w:eastAsia="仿宋_GB2312"/>
          <w:sz w:val="28"/>
          <w:szCs w:val="28"/>
          <w:vertAlign w:val="superscript"/>
        </w:rPr>
        <w:t>+</w:t>
      </w:r>
      <w:r>
        <w:rPr>
          <w:rFonts w:hint="eastAsia" w:eastAsia="仿宋_GB2312"/>
          <w:sz w:val="28"/>
          <w:szCs w:val="28"/>
        </w:rPr>
        <w:t>、</w:t>
      </w:r>
      <w:r>
        <w:rPr>
          <w:rFonts w:eastAsia="仿宋_GB2312"/>
          <w:sz w:val="28"/>
          <w:szCs w:val="28"/>
        </w:rPr>
        <w:t>Mg</w:t>
      </w:r>
      <w:r>
        <w:rPr>
          <w:rFonts w:eastAsia="仿宋_GB2312"/>
          <w:sz w:val="28"/>
          <w:szCs w:val="28"/>
          <w:vertAlign w:val="superscript"/>
        </w:rPr>
        <w:t>2+</w:t>
      </w:r>
      <w:r>
        <w:rPr>
          <w:rFonts w:hint="eastAsia" w:eastAsia="仿宋_GB2312"/>
          <w:sz w:val="28"/>
          <w:szCs w:val="28"/>
        </w:rPr>
        <w:t>、碳酸盐、重</w:t>
      </w:r>
      <w:r>
        <w:rPr>
          <w:rFonts w:eastAsia="仿宋_GB2312"/>
          <w:sz w:val="28"/>
          <w:szCs w:val="28"/>
        </w:rPr>
        <w:t>碳酸盐</w:t>
      </w:r>
      <w:r>
        <w:rPr>
          <w:rFonts w:hint="eastAsia" w:eastAsia="仿宋_GB2312"/>
          <w:sz w:val="28"/>
          <w:szCs w:val="28"/>
        </w:rPr>
        <w:t>、SO</w:t>
      </w:r>
      <w:r>
        <w:rPr>
          <w:rFonts w:hint="eastAsia" w:eastAsia="仿宋_GB2312"/>
          <w:sz w:val="28"/>
          <w:szCs w:val="28"/>
          <w:vertAlign w:val="subscript"/>
        </w:rPr>
        <w:t>4</w:t>
      </w:r>
      <w:r>
        <w:rPr>
          <w:rFonts w:hint="eastAsia" w:eastAsia="仿宋_GB2312"/>
          <w:sz w:val="28"/>
          <w:szCs w:val="28"/>
          <w:vertAlign w:val="superscript"/>
        </w:rPr>
        <w:t>2-</w:t>
      </w:r>
      <w:r>
        <w:rPr>
          <w:rFonts w:hint="eastAsia" w:eastAsia="仿宋_GB2312"/>
          <w:sz w:val="28"/>
          <w:szCs w:val="28"/>
        </w:rPr>
        <w:t>、C</w:t>
      </w:r>
      <w:r>
        <w:rPr>
          <w:rFonts w:eastAsia="仿宋_GB2312"/>
          <w:sz w:val="28"/>
          <w:szCs w:val="28"/>
        </w:rPr>
        <w:t>l</w:t>
      </w:r>
      <w:r>
        <w:rPr>
          <w:rFonts w:eastAsia="仿宋_GB2312"/>
          <w:sz w:val="28"/>
          <w:szCs w:val="28"/>
          <w:vertAlign w:val="superscript"/>
        </w:rPr>
        <w:t>-</w:t>
      </w:r>
      <w:r>
        <w:rPr>
          <w:rFonts w:hint="eastAsia" w:eastAsia="仿宋_GB2312"/>
          <w:sz w:val="28"/>
          <w:szCs w:val="28"/>
        </w:rPr>
        <w:t>、</w:t>
      </w:r>
      <w:r>
        <w:rPr>
          <w:rFonts w:eastAsia="仿宋_GB2312"/>
          <w:sz w:val="28"/>
          <w:szCs w:val="28"/>
        </w:rPr>
        <w:t>氨氮</w:t>
      </w:r>
      <w:r>
        <w:rPr>
          <w:rFonts w:hint="eastAsia" w:eastAsia="仿宋_GB2312"/>
          <w:sz w:val="28"/>
          <w:szCs w:val="28"/>
        </w:rPr>
        <w:t>、</w:t>
      </w:r>
      <w:r>
        <w:rPr>
          <w:rFonts w:eastAsia="仿宋_GB2312"/>
          <w:sz w:val="28"/>
          <w:szCs w:val="28"/>
        </w:rPr>
        <w:t>硝酸盐</w:t>
      </w:r>
      <w:r>
        <w:rPr>
          <w:rFonts w:hint="eastAsia" w:eastAsia="仿宋_GB2312"/>
          <w:sz w:val="28"/>
          <w:szCs w:val="28"/>
        </w:rPr>
        <w:t>氮、亚</w:t>
      </w:r>
      <w:r>
        <w:rPr>
          <w:rFonts w:eastAsia="仿宋_GB2312"/>
          <w:sz w:val="28"/>
          <w:szCs w:val="28"/>
        </w:rPr>
        <w:t>硝酸盐</w:t>
      </w:r>
      <w:r>
        <w:rPr>
          <w:rFonts w:hint="eastAsia" w:eastAsia="仿宋_GB2312"/>
          <w:sz w:val="28"/>
          <w:szCs w:val="28"/>
        </w:rPr>
        <w:t>氮、挥发酚、</w:t>
      </w:r>
      <w:r>
        <w:rPr>
          <w:rFonts w:eastAsia="仿宋_GB2312"/>
          <w:sz w:val="28"/>
          <w:szCs w:val="28"/>
        </w:rPr>
        <w:t>砷</w:t>
      </w:r>
      <w:r>
        <w:rPr>
          <w:rFonts w:hint="eastAsia" w:eastAsia="仿宋_GB2312"/>
          <w:sz w:val="28"/>
          <w:szCs w:val="28"/>
        </w:rPr>
        <w:t>、</w:t>
      </w:r>
      <w:r>
        <w:rPr>
          <w:rFonts w:eastAsia="仿宋_GB2312"/>
          <w:sz w:val="28"/>
          <w:szCs w:val="28"/>
        </w:rPr>
        <w:t>汞</w:t>
      </w:r>
      <w:r>
        <w:rPr>
          <w:rFonts w:hint="eastAsia" w:eastAsia="仿宋_GB2312"/>
          <w:sz w:val="28"/>
          <w:szCs w:val="28"/>
        </w:rPr>
        <w:t>、</w:t>
      </w:r>
      <w:r>
        <w:rPr>
          <w:rFonts w:eastAsia="仿宋_GB2312"/>
          <w:sz w:val="28"/>
          <w:szCs w:val="28"/>
        </w:rPr>
        <w:t>六价铬</w:t>
      </w:r>
      <w:r>
        <w:rPr>
          <w:rFonts w:hint="eastAsia" w:eastAsia="仿宋_GB2312"/>
          <w:sz w:val="28"/>
          <w:szCs w:val="28"/>
        </w:rPr>
        <w:t>、总硬度、</w:t>
      </w:r>
      <w:r>
        <w:rPr>
          <w:rFonts w:eastAsia="仿宋_GB2312"/>
          <w:sz w:val="28"/>
          <w:szCs w:val="28"/>
        </w:rPr>
        <w:t>镉</w:t>
      </w:r>
      <w:r>
        <w:rPr>
          <w:rFonts w:hint="eastAsia" w:eastAsia="仿宋_GB2312"/>
          <w:sz w:val="28"/>
          <w:szCs w:val="28"/>
        </w:rPr>
        <w:t>、铅、细菌总数、氟化物、溶解性总固体、总氰化物、高锰酸盐指数、二甲苯</w:t>
      </w:r>
      <w:r>
        <w:rPr>
          <w:rFonts w:hint="eastAsia" w:eastAsia="仿宋_GB2312"/>
          <w:bCs/>
          <w:sz w:val="28"/>
        </w:rPr>
        <w:t>。</w:t>
      </w:r>
    </w:p>
    <w:p>
      <w:pPr>
        <w:spacing w:line="500" w:lineRule="exact"/>
        <w:ind w:firstLine="560" w:firstLineChars="200"/>
        <w:rPr>
          <w:rFonts w:eastAsia="仿宋_GB2312"/>
          <w:sz w:val="28"/>
        </w:rPr>
      </w:pPr>
      <w:r>
        <w:rPr>
          <w:rFonts w:eastAsia="仿宋_GB2312"/>
          <w:sz w:val="28"/>
        </w:rPr>
        <w:t>监测方法：按</w:t>
      </w:r>
      <w:r>
        <w:rPr>
          <w:rFonts w:hint="eastAsia" w:eastAsia="仿宋_GB2312"/>
          <w:sz w:val="28"/>
        </w:rPr>
        <w:t>HJ/T164</w:t>
      </w:r>
      <w:r>
        <w:rPr>
          <w:rFonts w:eastAsia="仿宋_GB2312"/>
          <w:sz w:val="28"/>
        </w:rPr>
        <w:t>-2004</w:t>
      </w:r>
      <w:r>
        <w:rPr>
          <w:rFonts w:hint="eastAsia" w:eastAsia="仿宋_GB2312"/>
          <w:sz w:val="28"/>
        </w:rPr>
        <w:t>和</w:t>
      </w:r>
      <w:r>
        <w:rPr>
          <w:rFonts w:eastAsia="仿宋_GB2312"/>
          <w:sz w:val="28"/>
        </w:rPr>
        <w:t>GB/T14848-2017中有关规定进行。</w:t>
      </w:r>
    </w:p>
    <w:p>
      <w:pPr>
        <w:spacing w:line="500" w:lineRule="exact"/>
        <w:ind w:firstLine="560" w:firstLineChars="200"/>
        <w:rPr>
          <w:rFonts w:eastAsia="仿宋_GB2312"/>
          <w:sz w:val="28"/>
        </w:rPr>
      </w:pPr>
      <w:r>
        <w:rPr>
          <w:rFonts w:hint="eastAsia" w:eastAsia="仿宋_GB2312" w:cs="宋体"/>
          <w:sz w:val="28"/>
        </w:rPr>
        <w:t>⑶</w:t>
      </w:r>
      <w:r>
        <w:rPr>
          <w:rFonts w:eastAsia="仿宋_GB2312"/>
          <w:sz w:val="28"/>
        </w:rPr>
        <w:t>监测时间、频次</w:t>
      </w:r>
    </w:p>
    <w:p>
      <w:pPr>
        <w:spacing w:line="500" w:lineRule="exact"/>
        <w:ind w:firstLine="560" w:firstLineChars="200"/>
        <w:rPr>
          <w:rFonts w:eastAsia="仿宋_GB2312"/>
          <w:sz w:val="28"/>
        </w:rPr>
      </w:pPr>
      <w:r>
        <w:rPr>
          <w:rFonts w:eastAsia="仿宋_GB2312"/>
          <w:sz w:val="28"/>
        </w:rPr>
        <w:t>地下水水质监测1天，每天1次。水位监测</w:t>
      </w:r>
      <w:r>
        <w:rPr>
          <w:rFonts w:hint="eastAsia" w:eastAsia="仿宋_GB2312"/>
          <w:sz w:val="28"/>
        </w:rPr>
        <w:t>1</w:t>
      </w:r>
      <w:r>
        <w:rPr>
          <w:rFonts w:eastAsia="仿宋_GB2312"/>
          <w:sz w:val="28"/>
        </w:rPr>
        <w:t>次。</w:t>
      </w:r>
    </w:p>
    <w:p>
      <w:pPr>
        <w:spacing w:line="500" w:lineRule="exact"/>
        <w:ind w:firstLine="560" w:firstLineChars="200"/>
        <w:rPr>
          <w:rFonts w:eastAsia="仿宋_GB2312"/>
          <w:sz w:val="28"/>
        </w:rPr>
      </w:pPr>
      <w:r>
        <w:rPr>
          <w:rFonts w:hint="eastAsia" w:eastAsia="仿宋_GB2312" w:cs="宋体"/>
          <w:sz w:val="28"/>
        </w:rPr>
        <w:t>⑷</w:t>
      </w:r>
      <w:r>
        <w:rPr>
          <w:rFonts w:eastAsia="仿宋_GB2312"/>
          <w:sz w:val="28"/>
        </w:rPr>
        <w:t>监测结果</w:t>
      </w:r>
    </w:p>
    <w:p>
      <w:pPr>
        <w:spacing w:line="500" w:lineRule="exact"/>
        <w:ind w:firstLine="560" w:firstLineChars="200"/>
        <w:rPr>
          <w:rFonts w:eastAsia="仿宋_GB2312"/>
          <w:sz w:val="28"/>
        </w:rPr>
      </w:pPr>
      <w:r>
        <w:rPr>
          <w:rFonts w:eastAsia="仿宋_GB2312"/>
          <w:sz w:val="28"/>
        </w:rPr>
        <w:t>根据</w:t>
      </w:r>
      <w:r>
        <w:rPr>
          <w:rFonts w:hint="eastAsia" w:eastAsia="仿宋_GB2312"/>
          <w:sz w:val="28"/>
        </w:rPr>
        <w:t>江苏久诚检验检测</w:t>
      </w:r>
      <w:r>
        <w:rPr>
          <w:rFonts w:eastAsia="仿宋_GB2312"/>
          <w:sz w:val="28"/>
        </w:rPr>
        <w:t>有限公司出具的</w:t>
      </w:r>
      <w:r>
        <w:rPr>
          <w:rFonts w:eastAsia="仿宋_GB2312"/>
          <w:sz w:val="28"/>
          <w:szCs w:val="28"/>
        </w:rPr>
        <w:t>《检测报告》</w:t>
      </w:r>
      <w:r>
        <w:rPr>
          <w:rFonts w:hint="eastAsia" w:eastAsia="仿宋_GB2312"/>
          <w:sz w:val="28"/>
          <w:szCs w:val="28"/>
        </w:rPr>
        <w:t>报告编号：JCH20220021</w:t>
      </w:r>
      <w:r>
        <w:rPr>
          <w:rFonts w:eastAsia="仿宋_GB2312"/>
          <w:sz w:val="28"/>
        </w:rPr>
        <w:t>，地下水监测结果见表4.2-9。</w:t>
      </w:r>
    </w:p>
    <w:p>
      <w:pPr>
        <w:spacing w:line="480" w:lineRule="exact"/>
        <w:jc w:val="center"/>
        <w:rPr>
          <w:rFonts w:eastAsia="仿宋_GB2312"/>
          <w:b/>
          <w:sz w:val="24"/>
        </w:rPr>
      </w:pPr>
      <w:r>
        <w:rPr>
          <w:rFonts w:eastAsia="仿宋_GB2312"/>
          <w:b/>
          <w:sz w:val="24"/>
        </w:rPr>
        <w:t>表4.2-9 地下水现状监测结果统计表  单位：mg/L</w:t>
      </w:r>
    </w:p>
    <w:tbl>
      <w:tblPr>
        <w:tblStyle w:val="87"/>
        <w:tblW w:w="512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87"/>
        <w:gridCol w:w="1319"/>
        <w:gridCol w:w="1266"/>
        <w:gridCol w:w="1266"/>
        <w:gridCol w:w="1056"/>
        <w:gridCol w:w="1056"/>
        <w:gridCol w:w="1057"/>
        <w:gridCol w:w="10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40" w:type="pct"/>
            <w:vMerge w:val="restart"/>
            <w:tcBorders>
              <w:top w:val="single" w:color="000000" w:sz="4" w:space="0"/>
              <w:left w:val="single" w:color="000000" w:sz="4" w:space="0"/>
              <w:bottom w:val="single" w:color="000000" w:sz="4" w:space="0"/>
              <w:right w:val="single" w:color="000000" w:sz="4" w:space="0"/>
            </w:tcBorders>
            <w:vAlign w:val="center"/>
          </w:tcPr>
          <w:p>
            <w:pPr>
              <w:pStyle w:val="80"/>
              <w:spacing w:line="360" w:lineRule="exact"/>
              <w:ind w:left="121" w:leftChars="11" w:hanging="98" w:hangingChars="47"/>
              <w:jc w:val="center"/>
              <w:rPr>
                <w:rFonts w:ascii="仿宋" w:hAnsi="仿宋" w:eastAsia="仿宋"/>
                <w:sz w:val="21"/>
                <w:szCs w:val="21"/>
              </w:rPr>
            </w:pPr>
            <w:r>
              <w:rPr>
                <w:rFonts w:ascii="仿宋" w:hAnsi="仿宋" w:eastAsia="仿宋"/>
                <w:bCs/>
                <w:sz w:val="21"/>
                <w:szCs w:val="21"/>
              </w:rPr>
              <w:t>监测项目</w:t>
            </w:r>
          </w:p>
        </w:tc>
        <w:tc>
          <w:tcPr>
            <w:tcW w:w="2048" w:type="pct"/>
            <w:gridSpan w:val="3"/>
            <w:tcBorders>
              <w:top w:val="single" w:color="000000" w:sz="4" w:space="0"/>
              <w:left w:val="single" w:color="000000" w:sz="4" w:space="0"/>
              <w:bottom w:val="single" w:color="000000" w:sz="4" w:space="0"/>
              <w:right w:val="single" w:color="000000" w:sz="4" w:space="0"/>
            </w:tcBorders>
            <w:vAlign w:val="center"/>
          </w:tcPr>
          <w:p>
            <w:pPr>
              <w:pStyle w:val="80"/>
              <w:spacing w:line="360" w:lineRule="exact"/>
              <w:jc w:val="center"/>
              <w:rPr>
                <w:rFonts w:ascii="仿宋" w:hAnsi="仿宋" w:eastAsia="仿宋"/>
                <w:bCs/>
                <w:sz w:val="21"/>
                <w:szCs w:val="21"/>
              </w:rPr>
            </w:pPr>
            <w:r>
              <w:rPr>
                <w:rFonts w:hint="eastAsia" w:ascii="仿宋" w:hAnsi="仿宋" w:eastAsia="仿宋"/>
                <w:bCs/>
                <w:sz w:val="21"/>
                <w:szCs w:val="21"/>
              </w:rPr>
              <w:t>检测值</w:t>
            </w:r>
          </w:p>
        </w:tc>
        <w:tc>
          <w:tcPr>
            <w:tcW w:w="558" w:type="pct"/>
            <w:vMerge w:val="restart"/>
            <w:tcBorders>
              <w:top w:val="single" w:color="000000" w:sz="4" w:space="0"/>
              <w:left w:val="single" w:color="000000" w:sz="4" w:space="0"/>
              <w:right w:val="single" w:color="000000" w:sz="4" w:space="0"/>
            </w:tcBorders>
            <w:vAlign w:val="center"/>
          </w:tcPr>
          <w:p>
            <w:pPr>
              <w:pStyle w:val="80"/>
              <w:spacing w:line="360" w:lineRule="exact"/>
              <w:jc w:val="center"/>
              <w:rPr>
                <w:rFonts w:ascii="仿宋" w:hAnsi="仿宋" w:eastAsia="仿宋"/>
                <w:bCs/>
                <w:sz w:val="21"/>
                <w:szCs w:val="21"/>
              </w:rPr>
            </w:pPr>
            <w:r>
              <w:rPr>
                <w:rFonts w:hint="eastAsia" w:ascii="仿宋" w:hAnsi="仿宋" w:eastAsia="仿宋"/>
                <w:bCs/>
                <w:sz w:val="21"/>
                <w:szCs w:val="21"/>
              </w:rPr>
              <w:t>参考标准（</w:t>
            </w:r>
            <w:r>
              <w:rPr>
                <w:rFonts w:ascii="仿宋" w:hAnsi="仿宋" w:eastAsia="仿宋"/>
                <w:bCs/>
                <w:sz w:val="21"/>
                <w:szCs w:val="21"/>
              </w:rPr>
              <w:t>I类</w:t>
            </w:r>
            <w:r>
              <w:rPr>
                <w:rFonts w:hint="eastAsia" w:ascii="仿宋" w:hAnsi="仿宋" w:eastAsia="仿宋"/>
                <w:bCs/>
                <w:sz w:val="21"/>
                <w:szCs w:val="21"/>
              </w:rPr>
              <w:t>）</w:t>
            </w:r>
          </w:p>
        </w:tc>
        <w:tc>
          <w:tcPr>
            <w:tcW w:w="558" w:type="pct"/>
            <w:vMerge w:val="restart"/>
            <w:tcBorders>
              <w:top w:val="single" w:color="000000" w:sz="4" w:space="0"/>
              <w:left w:val="single" w:color="000000" w:sz="4" w:space="0"/>
              <w:right w:val="single" w:color="000000" w:sz="4" w:space="0"/>
            </w:tcBorders>
            <w:vAlign w:val="center"/>
          </w:tcPr>
          <w:p>
            <w:pPr>
              <w:pStyle w:val="80"/>
              <w:spacing w:line="360" w:lineRule="exact"/>
              <w:jc w:val="center"/>
              <w:rPr>
                <w:rFonts w:ascii="仿宋" w:hAnsi="仿宋" w:eastAsia="仿宋"/>
                <w:bCs/>
                <w:sz w:val="21"/>
                <w:szCs w:val="21"/>
              </w:rPr>
            </w:pPr>
            <w:r>
              <w:rPr>
                <w:rFonts w:hint="eastAsia" w:ascii="仿宋" w:hAnsi="仿宋" w:eastAsia="仿宋"/>
                <w:bCs/>
                <w:sz w:val="21"/>
                <w:szCs w:val="21"/>
              </w:rPr>
              <w:t>参考标准（</w:t>
            </w:r>
            <w:r>
              <w:rPr>
                <w:rFonts w:ascii="仿宋" w:hAnsi="仿宋" w:eastAsia="仿宋"/>
                <w:bCs/>
                <w:sz w:val="21"/>
                <w:szCs w:val="21"/>
              </w:rPr>
              <w:t>II类</w:t>
            </w:r>
            <w:r>
              <w:rPr>
                <w:rFonts w:hint="eastAsia" w:ascii="仿宋" w:hAnsi="仿宋" w:eastAsia="仿宋"/>
                <w:bCs/>
                <w:sz w:val="21"/>
                <w:szCs w:val="21"/>
              </w:rPr>
              <w:t>）</w:t>
            </w:r>
          </w:p>
        </w:tc>
        <w:tc>
          <w:tcPr>
            <w:tcW w:w="558" w:type="pct"/>
            <w:vMerge w:val="restart"/>
            <w:tcBorders>
              <w:top w:val="single" w:color="000000" w:sz="4" w:space="0"/>
              <w:left w:val="single" w:color="000000" w:sz="4" w:space="0"/>
              <w:right w:val="single" w:color="000000" w:sz="4" w:space="0"/>
            </w:tcBorders>
            <w:vAlign w:val="center"/>
          </w:tcPr>
          <w:p>
            <w:pPr>
              <w:pStyle w:val="80"/>
              <w:spacing w:line="360" w:lineRule="exact"/>
              <w:jc w:val="center"/>
              <w:rPr>
                <w:rFonts w:ascii="仿宋" w:hAnsi="仿宋" w:eastAsia="仿宋"/>
                <w:bCs/>
                <w:sz w:val="21"/>
                <w:szCs w:val="21"/>
              </w:rPr>
            </w:pPr>
            <w:r>
              <w:rPr>
                <w:rFonts w:hint="eastAsia" w:ascii="仿宋" w:hAnsi="仿宋" w:eastAsia="仿宋"/>
                <w:bCs/>
                <w:sz w:val="21"/>
                <w:szCs w:val="21"/>
              </w:rPr>
              <w:t>参考标准（Ⅲ</w:t>
            </w:r>
            <w:r>
              <w:rPr>
                <w:rFonts w:ascii="仿宋" w:hAnsi="仿宋" w:eastAsia="仿宋"/>
                <w:bCs/>
                <w:sz w:val="21"/>
                <w:szCs w:val="21"/>
              </w:rPr>
              <w:t>类</w:t>
            </w:r>
            <w:r>
              <w:rPr>
                <w:rFonts w:hint="eastAsia" w:ascii="仿宋" w:hAnsi="仿宋" w:eastAsia="仿宋"/>
                <w:bCs/>
                <w:sz w:val="21"/>
                <w:szCs w:val="21"/>
              </w:rPr>
              <w:t>）</w:t>
            </w:r>
          </w:p>
        </w:tc>
        <w:tc>
          <w:tcPr>
            <w:tcW w:w="538" w:type="pct"/>
            <w:vMerge w:val="restart"/>
            <w:tcBorders>
              <w:top w:val="single" w:color="000000" w:sz="4" w:space="0"/>
              <w:left w:val="single" w:color="000000" w:sz="4" w:space="0"/>
              <w:right w:val="single" w:color="000000" w:sz="4" w:space="0"/>
            </w:tcBorders>
            <w:vAlign w:val="center"/>
          </w:tcPr>
          <w:p>
            <w:pPr>
              <w:pStyle w:val="80"/>
              <w:spacing w:line="360" w:lineRule="exact"/>
              <w:jc w:val="center"/>
              <w:rPr>
                <w:rFonts w:ascii="仿宋" w:hAnsi="仿宋" w:eastAsia="仿宋"/>
                <w:bCs/>
                <w:sz w:val="21"/>
                <w:szCs w:val="21"/>
              </w:rPr>
            </w:pPr>
            <w:r>
              <w:rPr>
                <w:rFonts w:hint="eastAsia" w:ascii="仿宋" w:hAnsi="仿宋" w:eastAsia="仿宋"/>
                <w:bCs/>
                <w:sz w:val="21"/>
                <w:szCs w:val="21"/>
              </w:rPr>
              <w:t>参考标准（Ⅳ</w:t>
            </w:r>
            <w:r>
              <w:rPr>
                <w:rFonts w:ascii="仿宋" w:hAnsi="仿宋" w:eastAsia="仿宋"/>
                <w:bCs/>
                <w:sz w:val="21"/>
                <w:szCs w:val="21"/>
              </w:rPr>
              <w:t>类</w:t>
            </w:r>
            <w:r>
              <w:rPr>
                <w:rFonts w:hint="eastAsia" w:ascii="仿宋" w:hAnsi="仿宋" w:eastAsia="仿宋"/>
                <w:bCs/>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40"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szCs w:val="21"/>
              </w:rPr>
            </w:pPr>
          </w:p>
        </w:tc>
        <w:tc>
          <w:tcPr>
            <w:tcW w:w="704" w:type="pct"/>
            <w:tcBorders>
              <w:top w:val="single" w:color="000000" w:sz="4" w:space="0"/>
              <w:left w:val="single" w:color="000000" w:sz="4" w:space="0"/>
              <w:bottom w:val="single" w:color="000000" w:sz="4" w:space="0"/>
              <w:right w:val="single" w:color="000000" w:sz="4" w:space="0"/>
            </w:tcBorders>
            <w:vAlign w:val="center"/>
          </w:tcPr>
          <w:p>
            <w:pPr>
              <w:pStyle w:val="80"/>
              <w:adjustRightInd w:val="0"/>
              <w:snapToGrid w:val="0"/>
              <w:jc w:val="center"/>
              <w:rPr>
                <w:rFonts w:ascii="仿宋" w:hAnsi="仿宋" w:eastAsia="仿宋"/>
                <w:sz w:val="21"/>
                <w:szCs w:val="21"/>
              </w:rPr>
            </w:pPr>
            <w:r>
              <w:rPr>
                <w:rFonts w:ascii="仿宋" w:hAnsi="仿宋" w:eastAsia="仿宋"/>
                <w:bCs/>
                <w:sz w:val="21"/>
                <w:szCs w:val="21"/>
              </w:rPr>
              <w:t>项目所在地</w:t>
            </w:r>
            <w:r>
              <w:rPr>
                <w:rFonts w:hint="eastAsia" w:ascii="仿宋" w:hAnsi="仿宋" w:eastAsia="仿宋"/>
                <w:bCs/>
                <w:sz w:val="21"/>
                <w:szCs w:val="21"/>
              </w:rPr>
              <w:t>D1</w:t>
            </w:r>
          </w:p>
        </w:tc>
        <w:tc>
          <w:tcPr>
            <w:tcW w:w="672" w:type="pct"/>
            <w:tcBorders>
              <w:top w:val="single" w:color="000000" w:sz="4" w:space="0"/>
              <w:left w:val="single" w:color="000000" w:sz="4" w:space="0"/>
              <w:bottom w:val="single" w:color="000000" w:sz="4" w:space="0"/>
              <w:right w:val="single" w:color="auto" w:sz="4" w:space="0"/>
            </w:tcBorders>
            <w:vAlign w:val="center"/>
          </w:tcPr>
          <w:p>
            <w:pPr>
              <w:pStyle w:val="80"/>
              <w:adjustRightInd w:val="0"/>
              <w:snapToGrid w:val="0"/>
              <w:jc w:val="center"/>
              <w:rPr>
                <w:rFonts w:ascii="仿宋" w:hAnsi="仿宋" w:eastAsia="仿宋"/>
                <w:bCs/>
                <w:sz w:val="21"/>
                <w:szCs w:val="21"/>
              </w:rPr>
            </w:pPr>
            <w:r>
              <w:rPr>
                <w:rFonts w:hint="eastAsia" w:ascii="仿宋" w:hAnsi="仿宋" w:eastAsia="仿宋"/>
                <w:bCs/>
                <w:sz w:val="21"/>
                <w:szCs w:val="21"/>
              </w:rPr>
              <w:t>中巷村D2</w:t>
            </w:r>
          </w:p>
        </w:tc>
        <w:tc>
          <w:tcPr>
            <w:tcW w:w="672" w:type="pct"/>
            <w:tcBorders>
              <w:top w:val="single" w:color="000000" w:sz="4" w:space="0"/>
              <w:left w:val="single" w:color="auto" w:sz="4" w:space="0"/>
              <w:bottom w:val="single" w:color="000000" w:sz="4" w:space="0"/>
              <w:right w:val="single" w:color="000000" w:sz="4" w:space="0"/>
            </w:tcBorders>
            <w:vAlign w:val="center"/>
          </w:tcPr>
          <w:p>
            <w:pPr>
              <w:pStyle w:val="80"/>
              <w:adjustRightInd w:val="0"/>
              <w:snapToGrid w:val="0"/>
              <w:jc w:val="center"/>
              <w:rPr>
                <w:rFonts w:ascii="仿宋" w:hAnsi="仿宋" w:eastAsia="仿宋"/>
                <w:bCs/>
                <w:sz w:val="21"/>
                <w:szCs w:val="21"/>
              </w:rPr>
            </w:pPr>
            <w:r>
              <w:rPr>
                <w:rFonts w:hint="eastAsia" w:ascii="仿宋" w:hAnsi="仿宋" w:eastAsia="仿宋"/>
                <w:bCs/>
                <w:sz w:val="21"/>
                <w:szCs w:val="21"/>
              </w:rPr>
              <w:t>城塘村D3</w:t>
            </w:r>
          </w:p>
        </w:tc>
        <w:tc>
          <w:tcPr>
            <w:tcW w:w="558" w:type="pct"/>
            <w:vMerge w:val="continue"/>
            <w:tcBorders>
              <w:left w:val="single" w:color="000000" w:sz="4" w:space="0"/>
              <w:right w:val="single" w:color="000000" w:sz="4" w:space="0"/>
            </w:tcBorders>
            <w:vAlign w:val="center"/>
          </w:tcPr>
          <w:p>
            <w:pPr>
              <w:pStyle w:val="80"/>
              <w:adjustRightInd w:val="0"/>
              <w:snapToGrid w:val="0"/>
              <w:jc w:val="center"/>
              <w:rPr>
                <w:rFonts w:ascii="仿宋" w:hAnsi="仿宋" w:eastAsia="仿宋"/>
                <w:bCs/>
                <w:sz w:val="21"/>
                <w:szCs w:val="21"/>
              </w:rPr>
            </w:pPr>
          </w:p>
        </w:tc>
        <w:tc>
          <w:tcPr>
            <w:tcW w:w="558" w:type="pct"/>
            <w:vMerge w:val="continue"/>
            <w:tcBorders>
              <w:left w:val="single" w:color="000000" w:sz="4" w:space="0"/>
              <w:right w:val="single" w:color="000000" w:sz="4" w:space="0"/>
            </w:tcBorders>
            <w:vAlign w:val="center"/>
          </w:tcPr>
          <w:p>
            <w:pPr>
              <w:pStyle w:val="80"/>
              <w:adjustRightInd w:val="0"/>
              <w:snapToGrid w:val="0"/>
              <w:jc w:val="center"/>
              <w:rPr>
                <w:rFonts w:ascii="仿宋" w:hAnsi="仿宋" w:eastAsia="仿宋"/>
                <w:bCs/>
                <w:sz w:val="21"/>
                <w:szCs w:val="21"/>
              </w:rPr>
            </w:pPr>
          </w:p>
        </w:tc>
        <w:tc>
          <w:tcPr>
            <w:tcW w:w="558" w:type="pct"/>
            <w:vMerge w:val="continue"/>
            <w:tcBorders>
              <w:left w:val="single" w:color="000000" w:sz="4" w:space="0"/>
              <w:right w:val="single" w:color="000000" w:sz="4" w:space="0"/>
            </w:tcBorders>
            <w:vAlign w:val="center"/>
          </w:tcPr>
          <w:p>
            <w:pPr>
              <w:pStyle w:val="80"/>
              <w:adjustRightInd w:val="0"/>
              <w:snapToGrid w:val="0"/>
              <w:jc w:val="center"/>
              <w:rPr>
                <w:rFonts w:ascii="仿宋" w:hAnsi="仿宋" w:eastAsia="仿宋"/>
                <w:bCs/>
                <w:sz w:val="21"/>
                <w:szCs w:val="21"/>
              </w:rPr>
            </w:pPr>
          </w:p>
        </w:tc>
        <w:tc>
          <w:tcPr>
            <w:tcW w:w="538" w:type="pct"/>
            <w:vMerge w:val="continue"/>
            <w:tcBorders>
              <w:left w:val="single" w:color="000000" w:sz="4" w:space="0"/>
              <w:right w:val="single" w:color="000000" w:sz="4" w:space="0"/>
            </w:tcBorders>
            <w:vAlign w:val="center"/>
          </w:tcPr>
          <w:p>
            <w:pPr>
              <w:pStyle w:val="80"/>
              <w:adjustRightInd w:val="0"/>
              <w:snapToGrid w:val="0"/>
              <w:jc w:val="center"/>
              <w:rPr>
                <w:rFonts w:ascii="仿宋" w:hAnsi="仿宋" w:eastAsia="仿宋"/>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40"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szCs w:val="21"/>
              </w:rPr>
            </w:pPr>
          </w:p>
        </w:tc>
        <w:tc>
          <w:tcPr>
            <w:tcW w:w="704" w:type="pct"/>
            <w:tcBorders>
              <w:top w:val="single" w:color="000000" w:sz="4" w:space="0"/>
              <w:left w:val="single" w:color="000000" w:sz="4" w:space="0"/>
              <w:bottom w:val="single" w:color="000000" w:sz="4" w:space="0"/>
              <w:right w:val="single" w:color="000000" w:sz="4" w:space="0"/>
            </w:tcBorders>
            <w:vAlign w:val="center"/>
          </w:tcPr>
          <w:p>
            <w:pPr>
              <w:pStyle w:val="80"/>
              <w:adjustRightInd w:val="0"/>
              <w:snapToGrid w:val="0"/>
              <w:jc w:val="center"/>
              <w:rPr>
                <w:rFonts w:ascii="仿宋" w:hAnsi="仿宋" w:eastAsia="仿宋"/>
                <w:sz w:val="21"/>
                <w:szCs w:val="21"/>
              </w:rPr>
            </w:pPr>
            <w:r>
              <w:rPr>
                <w:rFonts w:ascii="仿宋" w:hAnsi="仿宋" w:eastAsia="仿宋"/>
                <w:bCs/>
                <w:sz w:val="21"/>
                <w:szCs w:val="21"/>
              </w:rPr>
              <w:t>实测值</w:t>
            </w:r>
          </w:p>
        </w:tc>
        <w:tc>
          <w:tcPr>
            <w:tcW w:w="672" w:type="pct"/>
            <w:tcBorders>
              <w:top w:val="single" w:color="000000" w:sz="4" w:space="0"/>
              <w:left w:val="single" w:color="000000" w:sz="4" w:space="0"/>
              <w:bottom w:val="single" w:color="000000" w:sz="4" w:space="0"/>
              <w:right w:val="single" w:color="auto" w:sz="4" w:space="0"/>
            </w:tcBorders>
            <w:vAlign w:val="center"/>
          </w:tcPr>
          <w:p>
            <w:pPr>
              <w:pStyle w:val="80"/>
              <w:adjustRightInd w:val="0"/>
              <w:snapToGrid w:val="0"/>
              <w:jc w:val="center"/>
              <w:rPr>
                <w:rFonts w:ascii="仿宋" w:hAnsi="仿宋" w:eastAsia="仿宋"/>
                <w:sz w:val="21"/>
                <w:szCs w:val="21"/>
              </w:rPr>
            </w:pPr>
            <w:r>
              <w:rPr>
                <w:rFonts w:ascii="仿宋" w:hAnsi="仿宋" w:eastAsia="仿宋"/>
                <w:bCs/>
                <w:sz w:val="21"/>
                <w:szCs w:val="21"/>
              </w:rPr>
              <w:t>实测值</w:t>
            </w:r>
          </w:p>
        </w:tc>
        <w:tc>
          <w:tcPr>
            <w:tcW w:w="672" w:type="pct"/>
            <w:tcBorders>
              <w:top w:val="single" w:color="000000" w:sz="4" w:space="0"/>
              <w:left w:val="single" w:color="auto" w:sz="4" w:space="0"/>
              <w:bottom w:val="single" w:color="000000" w:sz="4" w:space="0"/>
              <w:right w:val="single" w:color="000000" w:sz="4" w:space="0"/>
            </w:tcBorders>
            <w:vAlign w:val="center"/>
          </w:tcPr>
          <w:p>
            <w:pPr>
              <w:pStyle w:val="80"/>
              <w:adjustRightInd w:val="0"/>
              <w:snapToGrid w:val="0"/>
              <w:jc w:val="center"/>
              <w:rPr>
                <w:rFonts w:ascii="仿宋" w:hAnsi="仿宋" w:eastAsia="仿宋"/>
                <w:sz w:val="21"/>
                <w:szCs w:val="21"/>
              </w:rPr>
            </w:pPr>
            <w:r>
              <w:rPr>
                <w:rFonts w:ascii="仿宋" w:hAnsi="仿宋" w:eastAsia="仿宋"/>
                <w:bCs/>
                <w:sz w:val="21"/>
                <w:szCs w:val="21"/>
              </w:rPr>
              <w:t>实测值</w:t>
            </w:r>
          </w:p>
        </w:tc>
        <w:tc>
          <w:tcPr>
            <w:tcW w:w="558" w:type="pct"/>
            <w:vMerge w:val="continue"/>
            <w:tcBorders>
              <w:left w:val="single" w:color="000000" w:sz="4" w:space="0"/>
              <w:bottom w:val="single" w:color="000000" w:sz="4" w:space="0"/>
              <w:right w:val="single" w:color="000000" w:sz="4" w:space="0"/>
            </w:tcBorders>
            <w:vAlign w:val="center"/>
          </w:tcPr>
          <w:p>
            <w:pPr>
              <w:pStyle w:val="80"/>
              <w:adjustRightInd w:val="0"/>
              <w:snapToGrid w:val="0"/>
              <w:jc w:val="center"/>
              <w:rPr>
                <w:rFonts w:ascii="仿宋" w:hAnsi="仿宋" w:eastAsia="仿宋"/>
                <w:bCs/>
                <w:sz w:val="21"/>
                <w:szCs w:val="21"/>
              </w:rPr>
            </w:pPr>
          </w:p>
        </w:tc>
        <w:tc>
          <w:tcPr>
            <w:tcW w:w="558" w:type="pct"/>
            <w:vMerge w:val="continue"/>
            <w:tcBorders>
              <w:left w:val="single" w:color="000000" w:sz="4" w:space="0"/>
              <w:bottom w:val="single" w:color="000000" w:sz="4" w:space="0"/>
              <w:right w:val="single" w:color="000000" w:sz="4" w:space="0"/>
            </w:tcBorders>
            <w:vAlign w:val="center"/>
          </w:tcPr>
          <w:p>
            <w:pPr>
              <w:pStyle w:val="80"/>
              <w:adjustRightInd w:val="0"/>
              <w:snapToGrid w:val="0"/>
              <w:jc w:val="center"/>
              <w:rPr>
                <w:rFonts w:ascii="仿宋" w:hAnsi="仿宋" w:eastAsia="仿宋"/>
                <w:bCs/>
                <w:sz w:val="21"/>
                <w:szCs w:val="21"/>
              </w:rPr>
            </w:pPr>
          </w:p>
        </w:tc>
        <w:tc>
          <w:tcPr>
            <w:tcW w:w="558" w:type="pct"/>
            <w:vMerge w:val="continue"/>
            <w:tcBorders>
              <w:left w:val="single" w:color="000000" w:sz="4" w:space="0"/>
              <w:bottom w:val="single" w:color="000000" w:sz="4" w:space="0"/>
              <w:right w:val="single" w:color="000000" w:sz="4" w:space="0"/>
            </w:tcBorders>
            <w:vAlign w:val="center"/>
          </w:tcPr>
          <w:p>
            <w:pPr>
              <w:pStyle w:val="80"/>
              <w:adjustRightInd w:val="0"/>
              <w:snapToGrid w:val="0"/>
              <w:jc w:val="center"/>
              <w:rPr>
                <w:rFonts w:ascii="仿宋" w:hAnsi="仿宋" w:eastAsia="仿宋"/>
                <w:bCs/>
                <w:sz w:val="21"/>
                <w:szCs w:val="21"/>
              </w:rPr>
            </w:pPr>
          </w:p>
        </w:tc>
        <w:tc>
          <w:tcPr>
            <w:tcW w:w="538" w:type="pct"/>
            <w:vMerge w:val="continue"/>
            <w:tcBorders>
              <w:left w:val="single" w:color="000000" w:sz="4" w:space="0"/>
              <w:bottom w:val="single" w:color="000000" w:sz="4" w:space="0"/>
              <w:right w:val="single" w:color="000000" w:sz="4" w:space="0"/>
            </w:tcBorders>
            <w:vAlign w:val="center"/>
          </w:tcPr>
          <w:p>
            <w:pPr>
              <w:pStyle w:val="80"/>
              <w:adjustRightInd w:val="0"/>
              <w:snapToGrid w:val="0"/>
              <w:jc w:val="center"/>
              <w:rPr>
                <w:rFonts w:ascii="仿宋" w:hAnsi="仿宋" w:eastAsia="仿宋"/>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40" w:type="pct"/>
            <w:tcBorders>
              <w:top w:val="single" w:color="000000" w:sz="4" w:space="0"/>
              <w:left w:val="single" w:color="000000" w:sz="4" w:space="0"/>
              <w:bottom w:val="single" w:color="000000" w:sz="4" w:space="0"/>
              <w:right w:val="single" w:color="000000" w:sz="4" w:space="0"/>
            </w:tcBorders>
            <w:vAlign w:val="center"/>
          </w:tcPr>
          <w:p>
            <w:pPr>
              <w:pStyle w:val="448"/>
              <w:adjustRightInd w:val="0"/>
              <w:snapToGrid w:val="0"/>
              <w:spacing w:line="320" w:lineRule="exact"/>
              <w:rPr>
                <w:rFonts w:ascii="仿宋" w:hAnsi="仿宋" w:eastAsia="仿宋"/>
                <w:szCs w:val="21"/>
              </w:rPr>
            </w:pPr>
            <w:r>
              <w:rPr>
                <w:rFonts w:ascii="仿宋" w:hAnsi="仿宋" w:eastAsia="仿宋"/>
              </w:rPr>
              <w:t>pH</w:t>
            </w:r>
          </w:p>
        </w:tc>
        <w:tc>
          <w:tcPr>
            <w:tcW w:w="704" w:type="pct"/>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 w:val="22"/>
                <w:szCs w:val="22"/>
              </w:rPr>
            </w:pPr>
            <w:r>
              <w:rPr>
                <w:rFonts w:hint="eastAsia" w:ascii="仿宋" w:hAnsi="仿宋" w:eastAsia="仿宋"/>
                <w:sz w:val="22"/>
                <w:szCs w:val="22"/>
              </w:rPr>
              <w:t>7.4</w:t>
            </w:r>
          </w:p>
        </w:tc>
        <w:tc>
          <w:tcPr>
            <w:tcW w:w="672" w:type="pct"/>
            <w:tcBorders>
              <w:top w:val="single" w:color="000000" w:sz="4" w:space="0"/>
              <w:left w:val="single" w:color="000000" w:sz="4" w:space="0"/>
              <w:bottom w:val="single" w:color="000000" w:sz="4" w:space="0"/>
              <w:right w:val="single" w:color="auto" w:sz="4" w:space="0"/>
            </w:tcBorders>
            <w:vAlign w:val="center"/>
          </w:tcPr>
          <w:p>
            <w:pPr>
              <w:pStyle w:val="448"/>
              <w:adjustRightInd w:val="0"/>
              <w:snapToGrid w:val="0"/>
              <w:spacing w:line="320" w:lineRule="exact"/>
              <w:rPr>
                <w:rFonts w:ascii="仿宋" w:hAnsi="仿宋" w:eastAsia="仿宋"/>
                <w:sz w:val="22"/>
                <w:szCs w:val="22"/>
              </w:rPr>
            </w:pPr>
            <w:r>
              <w:rPr>
                <w:rFonts w:hint="eastAsia" w:ascii="仿宋" w:hAnsi="仿宋" w:eastAsia="仿宋"/>
              </w:rPr>
              <w:t>7.2</w:t>
            </w:r>
          </w:p>
        </w:tc>
        <w:tc>
          <w:tcPr>
            <w:tcW w:w="672" w:type="pct"/>
            <w:tcBorders>
              <w:top w:val="single" w:color="000000" w:sz="4" w:space="0"/>
              <w:left w:val="single" w:color="auto" w:sz="4" w:space="0"/>
              <w:bottom w:val="single" w:color="000000" w:sz="4" w:space="0"/>
              <w:right w:val="single" w:color="000000" w:sz="4" w:space="0"/>
            </w:tcBorders>
            <w:vAlign w:val="center"/>
          </w:tcPr>
          <w:p>
            <w:pPr>
              <w:pStyle w:val="448"/>
              <w:adjustRightInd w:val="0"/>
              <w:snapToGrid w:val="0"/>
              <w:spacing w:line="320" w:lineRule="exact"/>
              <w:rPr>
                <w:rFonts w:ascii="仿宋" w:hAnsi="仿宋" w:eastAsia="仿宋"/>
                <w:sz w:val="22"/>
                <w:szCs w:val="22"/>
              </w:rPr>
            </w:pPr>
            <w:r>
              <w:rPr>
                <w:rFonts w:hint="eastAsia" w:ascii="仿宋" w:hAnsi="仿宋" w:eastAsia="仿宋"/>
              </w:rPr>
              <w:t>7.1</w:t>
            </w:r>
          </w:p>
        </w:tc>
        <w:tc>
          <w:tcPr>
            <w:tcW w:w="558" w:type="pct"/>
            <w:tcBorders>
              <w:left w:val="single" w:color="000000" w:sz="4" w:space="0"/>
              <w:bottom w:val="single" w:color="000000" w:sz="4" w:space="0"/>
              <w:right w:val="single" w:color="000000" w:sz="4" w:space="0"/>
            </w:tcBorders>
            <w:vAlign w:val="center"/>
          </w:tcPr>
          <w:p>
            <w:pPr>
              <w:pStyle w:val="80"/>
              <w:adjustRightInd w:val="0"/>
              <w:snapToGrid w:val="0"/>
              <w:jc w:val="center"/>
              <w:rPr>
                <w:rFonts w:ascii="仿宋" w:hAnsi="仿宋" w:eastAsia="仿宋"/>
                <w:bCs/>
                <w:sz w:val="21"/>
                <w:szCs w:val="21"/>
              </w:rPr>
            </w:pPr>
            <w:r>
              <w:rPr>
                <w:rFonts w:hint="eastAsia" w:ascii="仿宋" w:hAnsi="仿宋" w:eastAsia="仿宋" w:cs="华文仿宋"/>
                <w:szCs w:val="21"/>
              </w:rPr>
              <w:t>6.5-</w:t>
            </w:r>
            <w:r>
              <w:rPr>
                <w:rFonts w:ascii="仿宋" w:hAnsi="仿宋" w:eastAsia="仿宋" w:cs="华文仿宋"/>
                <w:szCs w:val="21"/>
              </w:rPr>
              <w:t>8.5</w:t>
            </w:r>
          </w:p>
        </w:tc>
        <w:tc>
          <w:tcPr>
            <w:tcW w:w="558" w:type="pct"/>
            <w:tcBorders>
              <w:left w:val="single" w:color="000000" w:sz="4" w:space="0"/>
              <w:bottom w:val="single" w:color="000000" w:sz="4" w:space="0"/>
              <w:right w:val="single" w:color="000000" w:sz="4" w:space="0"/>
            </w:tcBorders>
            <w:vAlign w:val="center"/>
          </w:tcPr>
          <w:p>
            <w:pPr>
              <w:pStyle w:val="80"/>
              <w:adjustRightInd w:val="0"/>
              <w:snapToGrid w:val="0"/>
              <w:jc w:val="center"/>
              <w:rPr>
                <w:rFonts w:ascii="仿宋" w:hAnsi="仿宋" w:eastAsia="仿宋"/>
                <w:bCs/>
                <w:sz w:val="21"/>
                <w:szCs w:val="21"/>
              </w:rPr>
            </w:pPr>
            <w:r>
              <w:rPr>
                <w:rFonts w:hint="eastAsia" w:ascii="仿宋" w:hAnsi="仿宋" w:eastAsia="仿宋" w:cs="华文仿宋"/>
                <w:szCs w:val="21"/>
              </w:rPr>
              <w:t>6.5-</w:t>
            </w:r>
            <w:r>
              <w:rPr>
                <w:rFonts w:ascii="仿宋" w:hAnsi="仿宋" w:eastAsia="仿宋" w:cs="华文仿宋"/>
                <w:szCs w:val="21"/>
              </w:rPr>
              <w:t>8.5</w:t>
            </w:r>
          </w:p>
        </w:tc>
        <w:tc>
          <w:tcPr>
            <w:tcW w:w="558" w:type="pct"/>
            <w:tcBorders>
              <w:left w:val="single" w:color="000000" w:sz="4" w:space="0"/>
              <w:bottom w:val="single" w:color="000000" w:sz="4" w:space="0"/>
              <w:right w:val="single" w:color="000000" w:sz="4" w:space="0"/>
            </w:tcBorders>
            <w:vAlign w:val="center"/>
          </w:tcPr>
          <w:p>
            <w:pPr>
              <w:pStyle w:val="80"/>
              <w:adjustRightInd w:val="0"/>
              <w:snapToGrid w:val="0"/>
              <w:jc w:val="center"/>
              <w:rPr>
                <w:rFonts w:ascii="仿宋" w:hAnsi="仿宋" w:eastAsia="仿宋"/>
                <w:bCs/>
                <w:sz w:val="21"/>
                <w:szCs w:val="21"/>
              </w:rPr>
            </w:pPr>
            <w:r>
              <w:rPr>
                <w:rFonts w:hint="eastAsia" w:ascii="仿宋" w:hAnsi="仿宋" w:eastAsia="仿宋" w:cs="华文仿宋"/>
                <w:szCs w:val="21"/>
              </w:rPr>
              <w:t>6.5-</w:t>
            </w:r>
            <w:r>
              <w:rPr>
                <w:rFonts w:ascii="仿宋" w:hAnsi="仿宋" w:eastAsia="仿宋" w:cs="华文仿宋"/>
                <w:szCs w:val="21"/>
              </w:rPr>
              <w:t>8.5</w:t>
            </w:r>
          </w:p>
        </w:tc>
        <w:tc>
          <w:tcPr>
            <w:tcW w:w="538" w:type="pct"/>
            <w:tcBorders>
              <w:left w:val="single" w:color="000000" w:sz="4" w:space="0"/>
              <w:bottom w:val="single" w:color="000000" w:sz="4" w:space="0"/>
              <w:right w:val="single" w:color="000000" w:sz="4" w:space="0"/>
            </w:tcBorders>
            <w:vAlign w:val="center"/>
          </w:tcPr>
          <w:p>
            <w:pPr>
              <w:pStyle w:val="80"/>
              <w:adjustRightInd w:val="0"/>
              <w:snapToGrid w:val="0"/>
              <w:jc w:val="center"/>
              <w:rPr>
                <w:rFonts w:ascii="仿宋" w:hAnsi="仿宋" w:eastAsia="仿宋" w:cs="华文仿宋"/>
                <w:szCs w:val="21"/>
              </w:rPr>
            </w:pPr>
            <w:r>
              <w:rPr>
                <w:rFonts w:hint="eastAsia" w:ascii="仿宋" w:hAnsi="仿宋" w:eastAsia="仿宋" w:cs="华文仿宋"/>
                <w:szCs w:val="21"/>
              </w:rPr>
              <w:t>8</w:t>
            </w:r>
            <w:r>
              <w:rPr>
                <w:rFonts w:ascii="仿宋" w:hAnsi="仿宋" w:eastAsia="仿宋" w:cs="华文仿宋"/>
                <w:szCs w:val="21"/>
              </w:rPr>
              <w:t>.5</w:t>
            </w:r>
            <w:r>
              <w:rPr>
                <w:rFonts w:hint="eastAsia" w:ascii="仿宋" w:hAnsi="仿宋" w:eastAsia="仿宋" w:cs="华文仿宋"/>
                <w:szCs w:val="21"/>
              </w:rPr>
              <w:t>-</w:t>
            </w:r>
            <w:r>
              <w:rPr>
                <w:rFonts w:ascii="仿宋" w:hAnsi="仿宋" w:eastAsia="仿宋" w:cs="华文仿宋"/>
                <w:szCs w:val="21"/>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40" w:type="pct"/>
            <w:tcBorders>
              <w:top w:val="single" w:color="000000" w:sz="4" w:space="0"/>
              <w:left w:val="single" w:color="000000" w:sz="4" w:space="0"/>
              <w:bottom w:val="single" w:color="000000" w:sz="4" w:space="0"/>
              <w:right w:val="single" w:color="000000" w:sz="4" w:space="0"/>
            </w:tcBorders>
            <w:vAlign w:val="center"/>
          </w:tcPr>
          <w:p>
            <w:pPr>
              <w:pStyle w:val="448"/>
              <w:adjustRightInd w:val="0"/>
              <w:snapToGrid w:val="0"/>
              <w:spacing w:line="320" w:lineRule="exact"/>
              <w:rPr>
                <w:rFonts w:ascii="仿宋" w:hAnsi="仿宋" w:eastAsia="仿宋"/>
                <w:sz w:val="24"/>
              </w:rPr>
            </w:pPr>
            <w:r>
              <w:rPr>
                <w:rFonts w:ascii="仿宋" w:hAnsi="仿宋" w:eastAsia="仿宋"/>
              </w:rPr>
              <w:t>耗氧量（COD</w:t>
            </w:r>
            <w:r>
              <w:rPr>
                <w:rFonts w:ascii="仿宋" w:hAnsi="仿宋" w:eastAsia="仿宋"/>
                <w:vertAlign w:val="subscript"/>
              </w:rPr>
              <w:t>Mn</w:t>
            </w:r>
            <w:r>
              <w:rPr>
                <w:rFonts w:ascii="仿宋" w:hAnsi="仿宋" w:eastAsia="仿宋"/>
              </w:rPr>
              <w:t>）</w:t>
            </w:r>
          </w:p>
        </w:tc>
        <w:tc>
          <w:tcPr>
            <w:tcW w:w="704" w:type="pct"/>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 w:val="22"/>
                <w:szCs w:val="22"/>
              </w:rPr>
            </w:pPr>
            <w:r>
              <w:rPr>
                <w:rFonts w:hint="eastAsia" w:ascii="仿宋" w:hAnsi="仿宋" w:eastAsia="仿宋"/>
                <w:sz w:val="22"/>
                <w:szCs w:val="22"/>
              </w:rPr>
              <w:t>0.71</w:t>
            </w:r>
          </w:p>
        </w:tc>
        <w:tc>
          <w:tcPr>
            <w:tcW w:w="672" w:type="pct"/>
            <w:tcBorders>
              <w:top w:val="single" w:color="000000" w:sz="4" w:space="0"/>
              <w:left w:val="single" w:color="000000" w:sz="4" w:space="0"/>
              <w:bottom w:val="single" w:color="000000" w:sz="4" w:space="0"/>
              <w:right w:val="single" w:color="auto" w:sz="4" w:space="0"/>
            </w:tcBorders>
            <w:vAlign w:val="center"/>
          </w:tcPr>
          <w:p>
            <w:pPr>
              <w:pStyle w:val="448"/>
              <w:adjustRightInd w:val="0"/>
              <w:snapToGrid w:val="0"/>
              <w:spacing w:line="320" w:lineRule="exact"/>
              <w:rPr>
                <w:rFonts w:ascii="仿宋" w:hAnsi="仿宋" w:eastAsia="仿宋"/>
                <w:sz w:val="22"/>
                <w:szCs w:val="22"/>
              </w:rPr>
            </w:pPr>
            <w:r>
              <w:rPr>
                <w:rFonts w:hint="eastAsia" w:ascii="仿宋" w:hAnsi="仿宋" w:eastAsia="仿宋"/>
              </w:rPr>
              <w:t>3.37</w:t>
            </w:r>
          </w:p>
        </w:tc>
        <w:tc>
          <w:tcPr>
            <w:tcW w:w="672" w:type="pct"/>
            <w:tcBorders>
              <w:top w:val="single" w:color="000000" w:sz="4" w:space="0"/>
              <w:left w:val="single" w:color="auto" w:sz="4" w:space="0"/>
              <w:bottom w:val="single" w:color="000000" w:sz="4" w:space="0"/>
              <w:right w:val="single" w:color="auto" w:sz="4" w:space="0"/>
            </w:tcBorders>
            <w:vAlign w:val="center"/>
          </w:tcPr>
          <w:p>
            <w:pPr>
              <w:pStyle w:val="448"/>
              <w:adjustRightInd w:val="0"/>
              <w:snapToGrid w:val="0"/>
              <w:spacing w:line="320" w:lineRule="exact"/>
              <w:rPr>
                <w:rFonts w:ascii="仿宋" w:hAnsi="仿宋" w:eastAsia="仿宋"/>
                <w:sz w:val="22"/>
                <w:szCs w:val="22"/>
              </w:rPr>
            </w:pPr>
            <w:r>
              <w:rPr>
                <w:rFonts w:hint="eastAsia" w:ascii="仿宋" w:hAnsi="仿宋" w:eastAsia="仿宋"/>
              </w:rPr>
              <w:t>3.60</w:t>
            </w:r>
          </w:p>
        </w:tc>
        <w:tc>
          <w:tcPr>
            <w:tcW w:w="558" w:type="pct"/>
            <w:tcBorders>
              <w:top w:val="single" w:color="000000" w:sz="4" w:space="0"/>
              <w:left w:val="single" w:color="auto" w:sz="4" w:space="0"/>
              <w:bottom w:val="single" w:color="000000" w:sz="4" w:space="0"/>
              <w:right w:val="single" w:color="auto" w:sz="4" w:space="0"/>
            </w:tcBorders>
            <w:vAlign w:val="center"/>
          </w:tcPr>
          <w:p>
            <w:pPr>
              <w:jc w:val="center"/>
              <w:rPr>
                <w:rFonts w:ascii="仿宋" w:hAnsi="仿宋" w:eastAsia="仿宋" w:cs="华文仿宋"/>
                <w:szCs w:val="21"/>
              </w:rPr>
            </w:pPr>
            <w:r>
              <w:rPr>
                <w:rFonts w:hint="eastAsia" w:ascii="仿宋" w:hAnsi="仿宋" w:eastAsia="仿宋" w:cs="华文仿宋"/>
                <w:szCs w:val="21"/>
              </w:rPr>
              <w:t>≤</w:t>
            </w:r>
            <w:r>
              <w:rPr>
                <w:rFonts w:ascii="仿宋" w:hAnsi="仿宋" w:eastAsia="仿宋" w:cs="华文仿宋"/>
                <w:szCs w:val="21"/>
              </w:rPr>
              <w:t>1.0</w:t>
            </w:r>
          </w:p>
        </w:tc>
        <w:tc>
          <w:tcPr>
            <w:tcW w:w="558" w:type="pct"/>
            <w:tcBorders>
              <w:top w:val="single" w:color="000000" w:sz="4" w:space="0"/>
              <w:left w:val="single" w:color="auto" w:sz="4" w:space="0"/>
              <w:bottom w:val="single" w:color="000000" w:sz="4" w:space="0"/>
              <w:right w:val="single" w:color="auto" w:sz="4" w:space="0"/>
            </w:tcBorders>
            <w:vAlign w:val="center"/>
          </w:tcPr>
          <w:p>
            <w:pPr>
              <w:jc w:val="center"/>
              <w:rPr>
                <w:rFonts w:ascii="仿宋" w:hAnsi="仿宋" w:eastAsia="仿宋"/>
                <w:sz w:val="22"/>
                <w:szCs w:val="22"/>
              </w:rPr>
            </w:pPr>
            <w:r>
              <w:rPr>
                <w:rFonts w:hint="eastAsia" w:ascii="仿宋" w:hAnsi="仿宋" w:eastAsia="仿宋" w:cs="华文仿宋"/>
                <w:szCs w:val="21"/>
              </w:rPr>
              <w:t>≤</w:t>
            </w:r>
            <w:r>
              <w:rPr>
                <w:rFonts w:ascii="仿宋" w:hAnsi="仿宋" w:eastAsia="仿宋" w:cs="华文仿宋"/>
                <w:szCs w:val="21"/>
              </w:rPr>
              <w:t>2.0</w:t>
            </w:r>
          </w:p>
        </w:tc>
        <w:tc>
          <w:tcPr>
            <w:tcW w:w="558" w:type="pct"/>
            <w:tcBorders>
              <w:top w:val="single" w:color="000000" w:sz="4" w:space="0"/>
              <w:left w:val="single" w:color="auto" w:sz="4" w:space="0"/>
              <w:bottom w:val="single" w:color="000000" w:sz="4" w:space="0"/>
              <w:right w:val="single" w:color="auto" w:sz="4" w:space="0"/>
            </w:tcBorders>
            <w:vAlign w:val="center"/>
          </w:tcPr>
          <w:p>
            <w:pPr>
              <w:jc w:val="center"/>
              <w:rPr>
                <w:rFonts w:ascii="仿宋" w:hAnsi="仿宋" w:eastAsia="仿宋"/>
                <w:sz w:val="22"/>
                <w:szCs w:val="22"/>
              </w:rPr>
            </w:pPr>
            <w:r>
              <w:rPr>
                <w:rFonts w:hint="eastAsia" w:ascii="仿宋" w:hAnsi="仿宋" w:eastAsia="仿宋" w:cs="华文仿宋"/>
                <w:szCs w:val="21"/>
              </w:rPr>
              <w:t>≤3.0</w:t>
            </w:r>
          </w:p>
        </w:tc>
        <w:tc>
          <w:tcPr>
            <w:tcW w:w="538" w:type="pct"/>
            <w:tcBorders>
              <w:top w:val="single" w:color="000000" w:sz="4" w:space="0"/>
              <w:left w:val="single" w:color="auto" w:sz="4" w:space="0"/>
              <w:bottom w:val="single" w:color="000000" w:sz="4" w:space="0"/>
              <w:right w:val="single" w:color="auto" w:sz="4" w:space="0"/>
            </w:tcBorders>
            <w:vAlign w:val="center"/>
          </w:tcPr>
          <w:p>
            <w:pPr>
              <w:jc w:val="center"/>
              <w:rPr>
                <w:rFonts w:ascii="仿宋" w:hAnsi="仿宋" w:eastAsia="仿宋" w:cs="华文仿宋"/>
                <w:szCs w:val="21"/>
              </w:rPr>
            </w:pPr>
            <w:r>
              <w:rPr>
                <w:rFonts w:hint="eastAsia" w:ascii="仿宋" w:hAnsi="仿宋" w:eastAsia="仿宋" w:cs="华文仿宋"/>
                <w:szCs w:val="21"/>
              </w:rPr>
              <w:t>≤</w:t>
            </w:r>
            <w:r>
              <w:rPr>
                <w:rFonts w:ascii="仿宋" w:hAnsi="仿宋" w:eastAsia="仿宋" w:cs="华文仿宋"/>
                <w:szCs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40" w:type="pct"/>
            <w:tcBorders>
              <w:top w:val="single" w:color="000000" w:sz="4" w:space="0"/>
              <w:left w:val="single" w:color="000000" w:sz="4" w:space="0"/>
              <w:bottom w:val="single" w:color="000000" w:sz="4" w:space="0"/>
              <w:right w:val="single" w:color="000000" w:sz="4" w:space="0"/>
            </w:tcBorders>
            <w:vAlign w:val="center"/>
          </w:tcPr>
          <w:p>
            <w:pPr>
              <w:pStyle w:val="448"/>
              <w:adjustRightInd w:val="0"/>
              <w:snapToGrid w:val="0"/>
              <w:spacing w:line="320" w:lineRule="exact"/>
              <w:rPr>
                <w:rFonts w:ascii="仿宋" w:hAnsi="仿宋" w:eastAsia="仿宋"/>
                <w:szCs w:val="21"/>
              </w:rPr>
            </w:pPr>
            <w:r>
              <w:rPr>
                <w:rFonts w:ascii="仿宋" w:hAnsi="仿宋" w:eastAsia="仿宋"/>
              </w:rPr>
              <w:t>氨氮</w:t>
            </w:r>
          </w:p>
        </w:tc>
        <w:tc>
          <w:tcPr>
            <w:tcW w:w="704" w:type="pct"/>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Cs w:val="21"/>
              </w:rPr>
            </w:pPr>
            <w:r>
              <w:rPr>
                <w:rFonts w:hint="eastAsia" w:ascii="仿宋" w:hAnsi="仿宋" w:eastAsia="仿宋"/>
                <w:szCs w:val="21"/>
              </w:rPr>
              <w:t>0.033</w:t>
            </w:r>
          </w:p>
        </w:tc>
        <w:tc>
          <w:tcPr>
            <w:tcW w:w="672" w:type="pct"/>
            <w:tcBorders>
              <w:top w:val="single" w:color="000000" w:sz="4" w:space="0"/>
              <w:left w:val="single" w:color="000000" w:sz="4" w:space="0"/>
              <w:bottom w:val="single" w:color="000000" w:sz="4" w:space="0"/>
              <w:right w:val="single" w:color="auto" w:sz="4" w:space="0"/>
            </w:tcBorders>
            <w:vAlign w:val="center"/>
          </w:tcPr>
          <w:p>
            <w:pPr>
              <w:pStyle w:val="448"/>
              <w:adjustRightInd w:val="0"/>
              <w:snapToGrid w:val="0"/>
              <w:spacing w:line="320" w:lineRule="exact"/>
              <w:rPr>
                <w:rFonts w:ascii="仿宋" w:hAnsi="仿宋" w:eastAsia="仿宋"/>
                <w:szCs w:val="21"/>
              </w:rPr>
            </w:pPr>
            <w:r>
              <w:rPr>
                <w:rFonts w:hint="eastAsia" w:ascii="仿宋" w:hAnsi="仿宋" w:eastAsia="仿宋"/>
              </w:rPr>
              <w:t>0.464</w:t>
            </w:r>
          </w:p>
        </w:tc>
        <w:tc>
          <w:tcPr>
            <w:tcW w:w="672" w:type="pct"/>
            <w:tcBorders>
              <w:top w:val="single" w:color="000000" w:sz="4" w:space="0"/>
              <w:left w:val="single" w:color="auto" w:sz="4" w:space="0"/>
              <w:bottom w:val="single" w:color="000000" w:sz="4" w:space="0"/>
              <w:right w:val="single" w:color="auto" w:sz="4" w:space="0"/>
            </w:tcBorders>
            <w:vAlign w:val="center"/>
          </w:tcPr>
          <w:p>
            <w:pPr>
              <w:pStyle w:val="448"/>
              <w:adjustRightInd w:val="0"/>
              <w:snapToGrid w:val="0"/>
              <w:spacing w:line="320" w:lineRule="exact"/>
              <w:rPr>
                <w:rFonts w:ascii="仿宋" w:hAnsi="仿宋" w:eastAsia="仿宋"/>
                <w:szCs w:val="21"/>
              </w:rPr>
            </w:pPr>
            <w:r>
              <w:rPr>
                <w:rFonts w:hint="eastAsia" w:ascii="仿宋" w:hAnsi="仿宋" w:eastAsia="仿宋"/>
              </w:rPr>
              <w:t>0.125</w:t>
            </w:r>
          </w:p>
        </w:tc>
        <w:tc>
          <w:tcPr>
            <w:tcW w:w="55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cs="华文仿宋"/>
                <w:szCs w:val="21"/>
              </w:rPr>
            </w:pPr>
            <w:r>
              <w:rPr>
                <w:rFonts w:hint="eastAsia" w:ascii="仿宋" w:hAnsi="仿宋" w:eastAsia="仿宋" w:cs="华文仿宋"/>
                <w:szCs w:val="21"/>
              </w:rPr>
              <w:t>≤</w:t>
            </w:r>
            <w:r>
              <w:rPr>
                <w:rFonts w:ascii="仿宋" w:hAnsi="仿宋" w:eastAsia="仿宋" w:cs="华文仿宋"/>
                <w:szCs w:val="21"/>
              </w:rPr>
              <w:t>0.02</w:t>
            </w:r>
          </w:p>
        </w:tc>
        <w:tc>
          <w:tcPr>
            <w:tcW w:w="55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szCs w:val="21"/>
              </w:rPr>
            </w:pPr>
            <w:r>
              <w:rPr>
                <w:rFonts w:hint="eastAsia" w:ascii="仿宋" w:hAnsi="仿宋" w:eastAsia="仿宋" w:cs="华文仿宋"/>
                <w:szCs w:val="21"/>
              </w:rPr>
              <w:t>≤</w:t>
            </w:r>
            <w:r>
              <w:rPr>
                <w:rFonts w:ascii="仿宋" w:hAnsi="仿宋" w:eastAsia="仿宋" w:cs="华文仿宋"/>
                <w:szCs w:val="21"/>
              </w:rPr>
              <w:t>0.1</w:t>
            </w:r>
          </w:p>
        </w:tc>
        <w:tc>
          <w:tcPr>
            <w:tcW w:w="55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szCs w:val="21"/>
              </w:rPr>
            </w:pPr>
            <w:r>
              <w:rPr>
                <w:rFonts w:hint="eastAsia" w:ascii="仿宋" w:hAnsi="仿宋" w:eastAsia="仿宋" w:cs="华文仿宋"/>
                <w:szCs w:val="21"/>
              </w:rPr>
              <w:t>≤</w:t>
            </w:r>
            <w:r>
              <w:rPr>
                <w:rFonts w:ascii="仿宋" w:hAnsi="仿宋" w:eastAsia="仿宋" w:cs="华文仿宋"/>
                <w:szCs w:val="21"/>
              </w:rPr>
              <w:t>0.5</w:t>
            </w:r>
          </w:p>
        </w:tc>
        <w:tc>
          <w:tcPr>
            <w:tcW w:w="53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cs="华文仿宋"/>
                <w:szCs w:val="21"/>
              </w:rPr>
            </w:pPr>
            <w:r>
              <w:rPr>
                <w:rFonts w:hint="eastAsia" w:ascii="仿宋" w:hAnsi="仿宋" w:eastAsia="仿宋" w:cs="华文仿宋"/>
                <w:szCs w:val="21"/>
              </w:rPr>
              <w:t>≤</w:t>
            </w:r>
            <w:r>
              <w:rPr>
                <w:rFonts w:ascii="仿宋" w:hAnsi="仿宋" w:eastAsia="仿宋" w:cs="华文仿宋"/>
                <w:szCs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40" w:type="pct"/>
            <w:tcBorders>
              <w:top w:val="single" w:color="000000" w:sz="4" w:space="0"/>
              <w:left w:val="single" w:color="000000" w:sz="4" w:space="0"/>
              <w:bottom w:val="single" w:color="000000" w:sz="4" w:space="0"/>
              <w:right w:val="single" w:color="000000" w:sz="4" w:space="0"/>
            </w:tcBorders>
            <w:vAlign w:val="center"/>
          </w:tcPr>
          <w:p>
            <w:pPr>
              <w:pStyle w:val="448"/>
              <w:adjustRightInd w:val="0"/>
              <w:snapToGrid w:val="0"/>
              <w:spacing w:line="320" w:lineRule="exact"/>
              <w:rPr>
                <w:rFonts w:ascii="仿宋" w:hAnsi="仿宋" w:eastAsia="仿宋"/>
                <w:szCs w:val="21"/>
              </w:rPr>
            </w:pPr>
            <w:r>
              <w:rPr>
                <w:rFonts w:ascii="仿宋" w:hAnsi="仿宋" w:eastAsia="仿宋"/>
              </w:rPr>
              <w:t>氟化物</w:t>
            </w:r>
          </w:p>
        </w:tc>
        <w:tc>
          <w:tcPr>
            <w:tcW w:w="704" w:type="pct"/>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Cs w:val="21"/>
              </w:rPr>
            </w:pPr>
            <w:r>
              <w:rPr>
                <w:rFonts w:hint="eastAsia" w:ascii="仿宋" w:hAnsi="仿宋" w:eastAsia="仿宋"/>
                <w:szCs w:val="21"/>
              </w:rPr>
              <w:t>0.56</w:t>
            </w:r>
          </w:p>
        </w:tc>
        <w:tc>
          <w:tcPr>
            <w:tcW w:w="672" w:type="pct"/>
            <w:tcBorders>
              <w:top w:val="single" w:color="000000" w:sz="4" w:space="0"/>
              <w:left w:val="single" w:color="000000" w:sz="4" w:space="0"/>
              <w:bottom w:val="single" w:color="000000" w:sz="4" w:space="0"/>
              <w:right w:val="single" w:color="auto" w:sz="4" w:space="0"/>
            </w:tcBorders>
            <w:vAlign w:val="center"/>
          </w:tcPr>
          <w:p>
            <w:pPr>
              <w:pStyle w:val="448"/>
              <w:adjustRightInd w:val="0"/>
              <w:snapToGrid w:val="0"/>
              <w:spacing w:line="320" w:lineRule="exact"/>
              <w:rPr>
                <w:rFonts w:ascii="仿宋" w:hAnsi="仿宋" w:eastAsia="仿宋"/>
                <w:szCs w:val="21"/>
              </w:rPr>
            </w:pPr>
            <w:r>
              <w:rPr>
                <w:rFonts w:hint="eastAsia" w:ascii="仿宋" w:hAnsi="仿宋" w:eastAsia="仿宋"/>
              </w:rPr>
              <w:t>0.315</w:t>
            </w:r>
          </w:p>
        </w:tc>
        <w:tc>
          <w:tcPr>
            <w:tcW w:w="672" w:type="pct"/>
            <w:tcBorders>
              <w:top w:val="single" w:color="000000" w:sz="4" w:space="0"/>
              <w:left w:val="single" w:color="auto" w:sz="4" w:space="0"/>
              <w:bottom w:val="single" w:color="000000" w:sz="4" w:space="0"/>
              <w:right w:val="single" w:color="auto" w:sz="4" w:space="0"/>
            </w:tcBorders>
            <w:vAlign w:val="center"/>
          </w:tcPr>
          <w:p>
            <w:pPr>
              <w:pStyle w:val="448"/>
              <w:adjustRightInd w:val="0"/>
              <w:snapToGrid w:val="0"/>
              <w:spacing w:line="320" w:lineRule="exact"/>
              <w:rPr>
                <w:rFonts w:ascii="仿宋" w:hAnsi="仿宋" w:eastAsia="仿宋"/>
                <w:szCs w:val="21"/>
              </w:rPr>
            </w:pPr>
            <w:r>
              <w:rPr>
                <w:rFonts w:hint="eastAsia" w:ascii="仿宋" w:hAnsi="仿宋" w:eastAsia="仿宋"/>
              </w:rPr>
              <w:t>0.410</w:t>
            </w:r>
          </w:p>
        </w:tc>
        <w:tc>
          <w:tcPr>
            <w:tcW w:w="558" w:type="pct"/>
            <w:tcBorders>
              <w:top w:val="single" w:color="000000" w:sz="4" w:space="0"/>
              <w:left w:val="single" w:color="auto" w:sz="4" w:space="0"/>
              <w:bottom w:val="single" w:color="000000" w:sz="4" w:space="0"/>
              <w:right w:val="single" w:color="auto" w:sz="4" w:space="0"/>
            </w:tcBorders>
            <w:vAlign w:val="center"/>
          </w:tcPr>
          <w:p>
            <w:pPr>
              <w:jc w:val="center"/>
            </w:pPr>
            <w:r>
              <w:rPr>
                <w:rFonts w:hint="eastAsia" w:ascii="仿宋" w:hAnsi="仿宋" w:eastAsia="仿宋" w:cs="华文仿宋"/>
                <w:szCs w:val="21"/>
              </w:rPr>
              <w:t>≤</w:t>
            </w:r>
            <w:r>
              <w:rPr>
                <w:rFonts w:ascii="仿宋" w:hAnsi="仿宋" w:eastAsia="仿宋" w:cs="华文仿宋"/>
                <w:szCs w:val="21"/>
              </w:rPr>
              <w:t>1.0</w:t>
            </w:r>
          </w:p>
        </w:tc>
        <w:tc>
          <w:tcPr>
            <w:tcW w:w="558" w:type="pct"/>
            <w:tcBorders>
              <w:top w:val="single" w:color="000000" w:sz="4" w:space="0"/>
              <w:left w:val="single" w:color="auto" w:sz="4" w:space="0"/>
              <w:bottom w:val="single" w:color="000000" w:sz="4" w:space="0"/>
              <w:right w:val="single" w:color="auto" w:sz="4" w:space="0"/>
            </w:tcBorders>
            <w:vAlign w:val="center"/>
          </w:tcPr>
          <w:p>
            <w:pPr>
              <w:jc w:val="center"/>
            </w:pPr>
            <w:r>
              <w:rPr>
                <w:rFonts w:hint="eastAsia" w:ascii="仿宋" w:hAnsi="仿宋" w:eastAsia="仿宋" w:cs="华文仿宋"/>
                <w:szCs w:val="21"/>
              </w:rPr>
              <w:t>≤</w:t>
            </w:r>
            <w:r>
              <w:rPr>
                <w:rFonts w:ascii="仿宋" w:hAnsi="仿宋" w:eastAsia="仿宋" w:cs="华文仿宋"/>
                <w:szCs w:val="21"/>
              </w:rPr>
              <w:t>1.0</w:t>
            </w:r>
          </w:p>
        </w:tc>
        <w:tc>
          <w:tcPr>
            <w:tcW w:w="558" w:type="pct"/>
            <w:tcBorders>
              <w:top w:val="single" w:color="000000" w:sz="4" w:space="0"/>
              <w:left w:val="single" w:color="auto" w:sz="4" w:space="0"/>
              <w:bottom w:val="single" w:color="000000" w:sz="4" w:space="0"/>
              <w:right w:val="single" w:color="auto" w:sz="4" w:space="0"/>
            </w:tcBorders>
            <w:vAlign w:val="center"/>
          </w:tcPr>
          <w:p>
            <w:pPr>
              <w:jc w:val="center"/>
            </w:pPr>
            <w:r>
              <w:rPr>
                <w:rFonts w:hint="eastAsia" w:ascii="仿宋" w:hAnsi="仿宋" w:eastAsia="仿宋" w:cs="华文仿宋"/>
                <w:szCs w:val="21"/>
              </w:rPr>
              <w:t>≤</w:t>
            </w:r>
            <w:r>
              <w:rPr>
                <w:rFonts w:ascii="仿宋" w:hAnsi="仿宋" w:eastAsia="仿宋" w:cs="华文仿宋"/>
                <w:szCs w:val="21"/>
              </w:rPr>
              <w:t>1.0</w:t>
            </w:r>
          </w:p>
        </w:tc>
        <w:tc>
          <w:tcPr>
            <w:tcW w:w="538" w:type="pct"/>
            <w:tcBorders>
              <w:top w:val="single" w:color="000000" w:sz="4" w:space="0"/>
              <w:left w:val="single" w:color="auto" w:sz="4" w:space="0"/>
              <w:bottom w:val="single" w:color="000000" w:sz="4" w:space="0"/>
              <w:right w:val="single" w:color="auto" w:sz="4" w:space="0"/>
            </w:tcBorders>
            <w:vAlign w:val="center"/>
          </w:tcPr>
          <w:p>
            <w:pPr>
              <w:jc w:val="center"/>
              <w:rPr>
                <w:rFonts w:ascii="仿宋" w:hAnsi="仿宋" w:eastAsia="仿宋" w:cs="华文仿宋"/>
                <w:szCs w:val="21"/>
              </w:rPr>
            </w:pPr>
            <w:r>
              <w:rPr>
                <w:rFonts w:hint="eastAsia" w:ascii="仿宋" w:hAnsi="仿宋" w:eastAsia="仿宋" w:cs="华文仿宋"/>
                <w:szCs w:val="21"/>
              </w:rPr>
              <w:t>≤</w:t>
            </w:r>
            <w:r>
              <w:rPr>
                <w:rFonts w:ascii="仿宋" w:hAnsi="仿宋" w:eastAsia="仿宋" w:cs="华文仿宋"/>
                <w:szCs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40" w:type="pct"/>
            <w:tcBorders>
              <w:top w:val="single" w:color="000000" w:sz="4" w:space="0"/>
              <w:left w:val="single" w:color="000000" w:sz="4" w:space="0"/>
              <w:bottom w:val="single" w:color="000000" w:sz="4" w:space="0"/>
              <w:right w:val="single" w:color="000000" w:sz="4" w:space="0"/>
            </w:tcBorders>
            <w:vAlign w:val="center"/>
          </w:tcPr>
          <w:p>
            <w:pPr>
              <w:pStyle w:val="448"/>
              <w:adjustRightInd w:val="0"/>
              <w:snapToGrid w:val="0"/>
              <w:spacing w:line="320" w:lineRule="exact"/>
              <w:rPr>
                <w:rFonts w:ascii="仿宋" w:hAnsi="仿宋" w:eastAsia="仿宋"/>
                <w:szCs w:val="21"/>
              </w:rPr>
            </w:pPr>
            <w:r>
              <w:rPr>
                <w:rFonts w:ascii="仿宋" w:hAnsi="仿宋" w:eastAsia="仿宋"/>
              </w:rPr>
              <w:t>溶解性固体</w:t>
            </w:r>
          </w:p>
        </w:tc>
        <w:tc>
          <w:tcPr>
            <w:tcW w:w="704" w:type="pct"/>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Cs w:val="21"/>
              </w:rPr>
            </w:pPr>
            <w:r>
              <w:rPr>
                <w:rFonts w:hint="eastAsia" w:ascii="仿宋" w:hAnsi="仿宋" w:eastAsia="仿宋"/>
                <w:szCs w:val="21"/>
              </w:rPr>
              <w:t>410</w:t>
            </w:r>
          </w:p>
        </w:tc>
        <w:tc>
          <w:tcPr>
            <w:tcW w:w="672" w:type="pct"/>
            <w:tcBorders>
              <w:top w:val="single" w:color="000000" w:sz="4" w:space="0"/>
              <w:left w:val="single" w:color="000000" w:sz="4" w:space="0"/>
              <w:bottom w:val="single" w:color="000000" w:sz="4" w:space="0"/>
              <w:right w:val="single" w:color="auto" w:sz="4" w:space="0"/>
            </w:tcBorders>
            <w:vAlign w:val="center"/>
          </w:tcPr>
          <w:p>
            <w:pPr>
              <w:pStyle w:val="448"/>
              <w:adjustRightInd w:val="0"/>
              <w:snapToGrid w:val="0"/>
              <w:spacing w:line="320" w:lineRule="exact"/>
              <w:rPr>
                <w:rFonts w:ascii="仿宋" w:hAnsi="仿宋" w:eastAsia="仿宋"/>
                <w:szCs w:val="21"/>
              </w:rPr>
            </w:pPr>
            <w:r>
              <w:rPr>
                <w:rFonts w:hint="eastAsia" w:ascii="仿宋" w:hAnsi="仿宋" w:eastAsia="仿宋"/>
              </w:rPr>
              <w:t>384</w:t>
            </w:r>
          </w:p>
        </w:tc>
        <w:tc>
          <w:tcPr>
            <w:tcW w:w="672" w:type="pct"/>
            <w:tcBorders>
              <w:top w:val="single" w:color="000000" w:sz="4" w:space="0"/>
              <w:left w:val="single" w:color="auto" w:sz="4" w:space="0"/>
              <w:bottom w:val="single" w:color="000000" w:sz="4" w:space="0"/>
              <w:right w:val="single" w:color="auto" w:sz="4" w:space="0"/>
            </w:tcBorders>
            <w:vAlign w:val="center"/>
          </w:tcPr>
          <w:p>
            <w:pPr>
              <w:pStyle w:val="448"/>
              <w:adjustRightInd w:val="0"/>
              <w:snapToGrid w:val="0"/>
              <w:spacing w:line="320" w:lineRule="exact"/>
              <w:rPr>
                <w:rFonts w:ascii="仿宋" w:hAnsi="仿宋" w:eastAsia="仿宋"/>
                <w:szCs w:val="21"/>
              </w:rPr>
            </w:pPr>
            <w:r>
              <w:rPr>
                <w:rFonts w:hint="eastAsia" w:ascii="仿宋" w:hAnsi="仿宋" w:eastAsia="仿宋"/>
              </w:rPr>
              <w:t>376</w:t>
            </w:r>
          </w:p>
        </w:tc>
        <w:tc>
          <w:tcPr>
            <w:tcW w:w="558" w:type="pct"/>
            <w:tcBorders>
              <w:top w:val="single" w:color="000000" w:sz="4" w:space="0"/>
              <w:left w:val="single" w:color="auto" w:sz="4" w:space="0"/>
              <w:bottom w:val="single" w:color="000000" w:sz="4" w:space="0"/>
              <w:right w:val="single" w:color="auto" w:sz="4" w:space="0"/>
            </w:tcBorders>
            <w:vAlign w:val="center"/>
          </w:tcPr>
          <w:p>
            <w:pPr>
              <w:jc w:val="center"/>
            </w:pPr>
            <w:r>
              <w:rPr>
                <w:rFonts w:hint="eastAsia" w:ascii="仿宋" w:hAnsi="仿宋" w:eastAsia="仿宋" w:cs="华文仿宋"/>
                <w:szCs w:val="21"/>
              </w:rPr>
              <w:t>≤</w:t>
            </w:r>
            <w:r>
              <w:rPr>
                <w:rFonts w:ascii="仿宋" w:hAnsi="仿宋" w:eastAsia="仿宋" w:cs="华文仿宋"/>
                <w:szCs w:val="21"/>
              </w:rPr>
              <w:t>300</w:t>
            </w:r>
          </w:p>
        </w:tc>
        <w:tc>
          <w:tcPr>
            <w:tcW w:w="558" w:type="pct"/>
            <w:tcBorders>
              <w:top w:val="single" w:color="000000" w:sz="4" w:space="0"/>
              <w:left w:val="single" w:color="auto" w:sz="4" w:space="0"/>
              <w:bottom w:val="single" w:color="000000" w:sz="4" w:space="0"/>
              <w:right w:val="single" w:color="auto" w:sz="4" w:space="0"/>
            </w:tcBorders>
            <w:vAlign w:val="center"/>
          </w:tcPr>
          <w:p>
            <w:pPr>
              <w:jc w:val="center"/>
            </w:pPr>
            <w:r>
              <w:rPr>
                <w:rFonts w:hint="eastAsia" w:ascii="仿宋" w:hAnsi="仿宋" w:eastAsia="仿宋" w:cs="华文仿宋"/>
                <w:szCs w:val="21"/>
              </w:rPr>
              <w:t>≤</w:t>
            </w:r>
            <w:r>
              <w:rPr>
                <w:rFonts w:ascii="仿宋" w:hAnsi="仿宋" w:eastAsia="仿宋" w:cs="华文仿宋"/>
                <w:szCs w:val="21"/>
              </w:rPr>
              <w:t>500</w:t>
            </w:r>
          </w:p>
        </w:tc>
        <w:tc>
          <w:tcPr>
            <w:tcW w:w="558" w:type="pct"/>
            <w:tcBorders>
              <w:top w:val="single" w:color="000000" w:sz="4" w:space="0"/>
              <w:left w:val="single" w:color="auto" w:sz="4" w:space="0"/>
              <w:bottom w:val="single" w:color="000000" w:sz="4" w:space="0"/>
              <w:right w:val="single" w:color="auto" w:sz="4" w:space="0"/>
            </w:tcBorders>
            <w:vAlign w:val="center"/>
          </w:tcPr>
          <w:p>
            <w:pPr>
              <w:jc w:val="center"/>
            </w:pPr>
            <w:r>
              <w:rPr>
                <w:rFonts w:hint="eastAsia" w:ascii="仿宋" w:hAnsi="仿宋" w:eastAsia="仿宋" w:cs="华文仿宋"/>
                <w:szCs w:val="21"/>
              </w:rPr>
              <w:t>≤</w:t>
            </w:r>
            <w:r>
              <w:rPr>
                <w:rFonts w:ascii="仿宋" w:hAnsi="仿宋" w:eastAsia="仿宋" w:cs="华文仿宋"/>
                <w:szCs w:val="21"/>
              </w:rPr>
              <w:t>1000</w:t>
            </w:r>
          </w:p>
        </w:tc>
        <w:tc>
          <w:tcPr>
            <w:tcW w:w="538" w:type="pct"/>
            <w:tcBorders>
              <w:top w:val="single" w:color="000000" w:sz="4" w:space="0"/>
              <w:left w:val="single" w:color="auto" w:sz="4" w:space="0"/>
              <w:bottom w:val="single" w:color="000000" w:sz="4" w:space="0"/>
              <w:right w:val="single" w:color="auto" w:sz="4" w:space="0"/>
            </w:tcBorders>
            <w:vAlign w:val="center"/>
          </w:tcPr>
          <w:p>
            <w:pPr>
              <w:jc w:val="center"/>
              <w:rPr>
                <w:rFonts w:ascii="仿宋" w:hAnsi="仿宋" w:eastAsia="仿宋" w:cs="华文仿宋"/>
                <w:szCs w:val="21"/>
              </w:rPr>
            </w:pPr>
            <w:r>
              <w:rPr>
                <w:rFonts w:hint="eastAsia" w:ascii="仿宋" w:hAnsi="仿宋" w:eastAsia="仿宋" w:cs="华文仿宋"/>
                <w:szCs w:val="21"/>
              </w:rPr>
              <w:t>≤</w:t>
            </w:r>
            <w:r>
              <w:rPr>
                <w:rFonts w:ascii="仿宋" w:hAnsi="仿宋" w:eastAsia="仿宋" w:cs="华文仿宋"/>
                <w:szCs w:val="21"/>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40" w:type="pct"/>
            <w:tcBorders>
              <w:top w:val="single" w:color="000000" w:sz="4" w:space="0"/>
              <w:left w:val="single" w:color="000000" w:sz="4" w:space="0"/>
              <w:bottom w:val="single" w:color="000000" w:sz="4" w:space="0"/>
              <w:right w:val="single" w:color="000000" w:sz="4" w:space="0"/>
            </w:tcBorders>
            <w:vAlign w:val="center"/>
          </w:tcPr>
          <w:p>
            <w:pPr>
              <w:pStyle w:val="448"/>
              <w:adjustRightInd w:val="0"/>
              <w:snapToGrid w:val="0"/>
              <w:spacing w:line="320" w:lineRule="exact"/>
              <w:rPr>
                <w:rFonts w:ascii="仿宋" w:hAnsi="仿宋" w:eastAsia="仿宋"/>
                <w:szCs w:val="21"/>
              </w:rPr>
            </w:pPr>
            <w:r>
              <w:rPr>
                <w:rFonts w:ascii="仿宋" w:hAnsi="仿宋" w:eastAsia="仿宋"/>
              </w:rPr>
              <w:t>总硬度（以CaCO</w:t>
            </w:r>
            <w:r>
              <w:rPr>
                <w:rFonts w:ascii="仿宋" w:hAnsi="仿宋" w:eastAsia="仿宋"/>
                <w:vertAlign w:val="subscript"/>
              </w:rPr>
              <w:t>3</w:t>
            </w:r>
            <w:r>
              <w:rPr>
                <w:rFonts w:ascii="仿宋" w:hAnsi="仿宋" w:eastAsia="仿宋"/>
              </w:rPr>
              <w:t>计）</w:t>
            </w:r>
          </w:p>
        </w:tc>
        <w:tc>
          <w:tcPr>
            <w:tcW w:w="704" w:type="pct"/>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Cs w:val="21"/>
              </w:rPr>
            </w:pPr>
            <w:r>
              <w:rPr>
                <w:rFonts w:hint="eastAsia" w:ascii="仿宋" w:hAnsi="仿宋" w:eastAsia="仿宋"/>
                <w:szCs w:val="21"/>
              </w:rPr>
              <w:t>402</w:t>
            </w:r>
          </w:p>
        </w:tc>
        <w:tc>
          <w:tcPr>
            <w:tcW w:w="672" w:type="pct"/>
            <w:tcBorders>
              <w:top w:val="single" w:color="000000" w:sz="4" w:space="0"/>
              <w:left w:val="single" w:color="000000" w:sz="4" w:space="0"/>
              <w:bottom w:val="single" w:color="000000" w:sz="4" w:space="0"/>
              <w:right w:val="single" w:color="auto" w:sz="4" w:space="0"/>
            </w:tcBorders>
            <w:vAlign w:val="center"/>
          </w:tcPr>
          <w:p>
            <w:pPr>
              <w:pStyle w:val="448"/>
              <w:adjustRightInd w:val="0"/>
              <w:snapToGrid w:val="0"/>
              <w:spacing w:line="320" w:lineRule="exact"/>
              <w:rPr>
                <w:rFonts w:ascii="仿宋" w:hAnsi="仿宋" w:eastAsia="仿宋"/>
              </w:rPr>
            </w:pPr>
            <w:r>
              <w:rPr>
                <w:rFonts w:hint="eastAsia" w:ascii="仿宋" w:hAnsi="仿宋" w:eastAsia="仿宋"/>
              </w:rPr>
              <w:t>315</w:t>
            </w:r>
          </w:p>
        </w:tc>
        <w:tc>
          <w:tcPr>
            <w:tcW w:w="672" w:type="pct"/>
            <w:tcBorders>
              <w:top w:val="single" w:color="000000" w:sz="4" w:space="0"/>
              <w:left w:val="single" w:color="auto" w:sz="4" w:space="0"/>
              <w:bottom w:val="single" w:color="000000" w:sz="4" w:space="0"/>
              <w:right w:val="single" w:color="auto" w:sz="4" w:space="0"/>
            </w:tcBorders>
            <w:vAlign w:val="center"/>
          </w:tcPr>
          <w:p>
            <w:pPr>
              <w:pStyle w:val="448"/>
              <w:adjustRightInd w:val="0"/>
              <w:snapToGrid w:val="0"/>
              <w:spacing w:line="320" w:lineRule="exact"/>
              <w:rPr>
                <w:rFonts w:ascii="仿宋" w:hAnsi="仿宋" w:eastAsia="仿宋"/>
              </w:rPr>
            </w:pPr>
            <w:r>
              <w:rPr>
                <w:rFonts w:hint="eastAsia" w:ascii="仿宋" w:hAnsi="仿宋" w:eastAsia="仿宋"/>
              </w:rPr>
              <w:t>309</w:t>
            </w:r>
          </w:p>
        </w:tc>
        <w:tc>
          <w:tcPr>
            <w:tcW w:w="558" w:type="pct"/>
            <w:tcBorders>
              <w:top w:val="single" w:color="000000" w:sz="4" w:space="0"/>
              <w:left w:val="single" w:color="auto" w:sz="4" w:space="0"/>
              <w:bottom w:val="single" w:color="000000" w:sz="4" w:space="0"/>
              <w:right w:val="single" w:color="auto" w:sz="4" w:space="0"/>
            </w:tcBorders>
            <w:vAlign w:val="center"/>
          </w:tcPr>
          <w:p>
            <w:pPr>
              <w:jc w:val="center"/>
            </w:pPr>
            <w:r>
              <w:rPr>
                <w:rFonts w:hint="eastAsia" w:ascii="仿宋" w:hAnsi="仿宋" w:eastAsia="仿宋" w:cs="华文仿宋"/>
                <w:szCs w:val="21"/>
              </w:rPr>
              <w:t>≤</w:t>
            </w:r>
            <w:r>
              <w:rPr>
                <w:rFonts w:ascii="仿宋" w:hAnsi="仿宋" w:eastAsia="仿宋" w:cs="华文仿宋"/>
                <w:szCs w:val="21"/>
              </w:rPr>
              <w:t>300</w:t>
            </w:r>
          </w:p>
        </w:tc>
        <w:tc>
          <w:tcPr>
            <w:tcW w:w="558" w:type="pct"/>
            <w:tcBorders>
              <w:top w:val="single" w:color="000000" w:sz="4" w:space="0"/>
              <w:left w:val="single" w:color="auto" w:sz="4" w:space="0"/>
              <w:bottom w:val="single" w:color="000000" w:sz="4" w:space="0"/>
              <w:right w:val="single" w:color="auto" w:sz="4" w:space="0"/>
            </w:tcBorders>
            <w:vAlign w:val="center"/>
          </w:tcPr>
          <w:p>
            <w:pPr>
              <w:jc w:val="center"/>
            </w:pPr>
            <w:r>
              <w:rPr>
                <w:rFonts w:hint="eastAsia" w:ascii="仿宋" w:hAnsi="仿宋" w:eastAsia="仿宋" w:cs="华文仿宋"/>
                <w:szCs w:val="21"/>
              </w:rPr>
              <w:t>≤</w:t>
            </w:r>
            <w:r>
              <w:rPr>
                <w:rFonts w:ascii="仿宋" w:hAnsi="仿宋" w:eastAsia="仿宋" w:cs="华文仿宋"/>
                <w:szCs w:val="21"/>
              </w:rPr>
              <w:t>500</w:t>
            </w:r>
          </w:p>
        </w:tc>
        <w:tc>
          <w:tcPr>
            <w:tcW w:w="558" w:type="pct"/>
            <w:tcBorders>
              <w:top w:val="single" w:color="000000" w:sz="4" w:space="0"/>
              <w:left w:val="single" w:color="auto" w:sz="4" w:space="0"/>
              <w:bottom w:val="single" w:color="000000" w:sz="4" w:space="0"/>
              <w:right w:val="single" w:color="auto" w:sz="4" w:space="0"/>
            </w:tcBorders>
            <w:vAlign w:val="center"/>
          </w:tcPr>
          <w:p>
            <w:pPr>
              <w:jc w:val="center"/>
            </w:pPr>
            <w:r>
              <w:rPr>
                <w:rFonts w:hint="eastAsia" w:ascii="仿宋" w:hAnsi="仿宋" w:eastAsia="仿宋" w:cs="华文仿宋"/>
                <w:szCs w:val="21"/>
              </w:rPr>
              <w:t>≤</w:t>
            </w:r>
            <w:r>
              <w:rPr>
                <w:rFonts w:ascii="仿宋" w:hAnsi="仿宋" w:eastAsia="仿宋" w:cs="华文仿宋"/>
                <w:szCs w:val="21"/>
              </w:rPr>
              <w:t>1000</w:t>
            </w:r>
          </w:p>
        </w:tc>
        <w:tc>
          <w:tcPr>
            <w:tcW w:w="538" w:type="pct"/>
            <w:tcBorders>
              <w:top w:val="single" w:color="000000" w:sz="4" w:space="0"/>
              <w:left w:val="single" w:color="auto" w:sz="4" w:space="0"/>
              <w:bottom w:val="single" w:color="000000" w:sz="4" w:space="0"/>
              <w:right w:val="single" w:color="auto" w:sz="4" w:space="0"/>
            </w:tcBorders>
            <w:vAlign w:val="center"/>
          </w:tcPr>
          <w:p>
            <w:pPr>
              <w:jc w:val="center"/>
              <w:rPr>
                <w:rFonts w:ascii="仿宋" w:hAnsi="仿宋" w:eastAsia="仿宋" w:cs="华文仿宋"/>
                <w:szCs w:val="21"/>
              </w:rPr>
            </w:pPr>
            <w:r>
              <w:rPr>
                <w:rFonts w:hint="eastAsia" w:ascii="仿宋" w:hAnsi="仿宋" w:eastAsia="仿宋" w:cs="华文仿宋"/>
                <w:szCs w:val="21"/>
              </w:rPr>
              <w:t>≤</w:t>
            </w:r>
            <w:r>
              <w:rPr>
                <w:rFonts w:ascii="仿宋" w:hAnsi="仿宋" w:eastAsia="仿宋" w:cs="华文仿宋"/>
                <w:szCs w:val="21"/>
              </w:rPr>
              <w:t>650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40" w:type="pct"/>
            <w:tcBorders>
              <w:top w:val="single" w:color="000000" w:sz="4" w:space="0"/>
              <w:left w:val="single" w:color="000000" w:sz="4" w:space="0"/>
              <w:bottom w:val="single" w:color="000000" w:sz="4" w:space="0"/>
              <w:right w:val="single" w:color="000000" w:sz="4" w:space="0"/>
            </w:tcBorders>
            <w:vAlign w:val="center"/>
          </w:tcPr>
          <w:p>
            <w:pPr>
              <w:pStyle w:val="448"/>
              <w:adjustRightInd w:val="0"/>
              <w:snapToGrid w:val="0"/>
              <w:spacing w:line="320" w:lineRule="exact"/>
              <w:rPr>
                <w:rFonts w:ascii="仿宋" w:hAnsi="仿宋" w:eastAsia="仿宋"/>
                <w:szCs w:val="21"/>
              </w:rPr>
            </w:pPr>
            <w:r>
              <w:rPr>
                <w:rFonts w:ascii="仿宋" w:hAnsi="仿宋" w:eastAsia="仿宋"/>
              </w:rPr>
              <w:t>硫酸盐</w:t>
            </w:r>
          </w:p>
        </w:tc>
        <w:tc>
          <w:tcPr>
            <w:tcW w:w="704" w:type="pct"/>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Cs w:val="21"/>
              </w:rPr>
            </w:pPr>
            <w:r>
              <w:rPr>
                <w:rFonts w:hint="eastAsia" w:ascii="仿宋" w:hAnsi="仿宋" w:eastAsia="仿宋"/>
                <w:szCs w:val="21"/>
              </w:rPr>
              <w:t>19.5</w:t>
            </w:r>
          </w:p>
        </w:tc>
        <w:tc>
          <w:tcPr>
            <w:tcW w:w="672" w:type="pct"/>
            <w:tcBorders>
              <w:top w:val="single" w:color="000000" w:sz="4" w:space="0"/>
              <w:left w:val="single" w:color="000000" w:sz="4" w:space="0"/>
              <w:bottom w:val="single" w:color="000000" w:sz="4" w:space="0"/>
              <w:right w:val="single" w:color="auto" w:sz="4" w:space="0"/>
            </w:tcBorders>
            <w:vAlign w:val="center"/>
          </w:tcPr>
          <w:p>
            <w:pPr>
              <w:pStyle w:val="448"/>
              <w:adjustRightInd w:val="0"/>
              <w:snapToGrid w:val="0"/>
              <w:spacing w:line="320" w:lineRule="exact"/>
              <w:rPr>
                <w:rFonts w:ascii="仿宋" w:hAnsi="仿宋" w:eastAsia="仿宋"/>
                <w:szCs w:val="21"/>
              </w:rPr>
            </w:pPr>
            <w:r>
              <w:rPr>
                <w:rFonts w:hint="eastAsia" w:ascii="仿宋" w:hAnsi="仿宋" w:eastAsia="仿宋"/>
              </w:rPr>
              <w:t>39.5</w:t>
            </w:r>
          </w:p>
        </w:tc>
        <w:tc>
          <w:tcPr>
            <w:tcW w:w="672" w:type="pct"/>
            <w:tcBorders>
              <w:top w:val="single" w:color="000000" w:sz="4" w:space="0"/>
              <w:left w:val="single" w:color="auto" w:sz="4" w:space="0"/>
              <w:bottom w:val="single" w:color="000000" w:sz="4" w:space="0"/>
              <w:right w:val="single" w:color="auto" w:sz="4" w:space="0"/>
            </w:tcBorders>
            <w:vAlign w:val="center"/>
          </w:tcPr>
          <w:p>
            <w:pPr>
              <w:pStyle w:val="448"/>
              <w:adjustRightInd w:val="0"/>
              <w:snapToGrid w:val="0"/>
              <w:spacing w:line="320" w:lineRule="exact"/>
              <w:rPr>
                <w:rFonts w:ascii="仿宋" w:hAnsi="仿宋" w:eastAsia="仿宋"/>
                <w:szCs w:val="21"/>
              </w:rPr>
            </w:pPr>
            <w:r>
              <w:rPr>
                <w:rFonts w:hint="eastAsia" w:ascii="仿宋" w:hAnsi="仿宋" w:eastAsia="仿宋"/>
              </w:rPr>
              <w:t>41.6</w:t>
            </w:r>
          </w:p>
        </w:tc>
        <w:tc>
          <w:tcPr>
            <w:tcW w:w="558" w:type="pct"/>
            <w:tcBorders>
              <w:top w:val="single" w:color="000000" w:sz="4" w:space="0"/>
              <w:left w:val="single" w:color="auto" w:sz="4" w:space="0"/>
              <w:bottom w:val="single" w:color="000000" w:sz="4" w:space="0"/>
              <w:right w:val="single" w:color="auto" w:sz="4" w:space="0"/>
            </w:tcBorders>
            <w:vAlign w:val="center"/>
          </w:tcPr>
          <w:p>
            <w:pPr>
              <w:jc w:val="center"/>
            </w:pPr>
            <w:r>
              <w:rPr>
                <w:rFonts w:hint="eastAsia" w:ascii="仿宋" w:hAnsi="仿宋" w:eastAsia="仿宋" w:cs="华文仿宋"/>
                <w:szCs w:val="21"/>
              </w:rPr>
              <w:t>≤</w:t>
            </w:r>
            <w:r>
              <w:rPr>
                <w:rFonts w:ascii="仿宋" w:hAnsi="仿宋" w:eastAsia="仿宋" w:cs="华文仿宋"/>
                <w:szCs w:val="21"/>
              </w:rPr>
              <w:t>50</w:t>
            </w:r>
          </w:p>
        </w:tc>
        <w:tc>
          <w:tcPr>
            <w:tcW w:w="558" w:type="pct"/>
            <w:tcBorders>
              <w:top w:val="single" w:color="000000" w:sz="4" w:space="0"/>
              <w:left w:val="single" w:color="auto" w:sz="4" w:space="0"/>
              <w:bottom w:val="single" w:color="000000" w:sz="4" w:space="0"/>
              <w:right w:val="single" w:color="auto" w:sz="4" w:space="0"/>
            </w:tcBorders>
            <w:vAlign w:val="center"/>
          </w:tcPr>
          <w:p>
            <w:pPr>
              <w:jc w:val="center"/>
            </w:pPr>
            <w:r>
              <w:rPr>
                <w:rFonts w:hint="eastAsia" w:ascii="仿宋" w:hAnsi="仿宋" w:eastAsia="仿宋" w:cs="华文仿宋"/>
                <w:szCs w:val="21"/>
              </w:rPr>
              <w:t>≤</w:t>
            </w:r>
            <w:r>
              <w:rPr>
                <w:rFonts w:ascii="仿宋" w:hAnsi="仿宋" w:eastAsia="仿宋" w:cs="华文仿宋"/>
                <w:szCs w:val="21"/>
              </w:rPr>
              <w:t>150</w:t>
            </w:r>
          </w:p>
        </w:tc>
        <w:tc>
          <w:tcPr>
            <w:tcW w:w="558" w:type="pct"/>
            <w:tcBorders>
              <w:top w:val="single" w:color="000000" w:sz="4" w:space="0"/>
              <w:left w:val="single" w:color="auto" w:sz="4" w:space="0"/>
              <w:bottom w:val="single" w:color="000000" w:sz="4" w:space="0"/>
              <w:right w:val="single" w:color="auto" w:sz="4" w:space="0"/>
            </w:tcBorders>
            <w:vAlign w:val="center"/>
          </w:tcPr>
          <w:p>
            <w:pPr>
              <w:jc w:val="center"/>
            </w:pPr>
            <w:r>
              <w:rPr>
                <w:rFonts w:hint="eastAsia" w:ascii="仿宋" w:hAnsi="仿宋" w:eastAsia="仿宋" w:cs="华文仿宋"/>
                <w:szCs w:val="21"/>
              </w:rPr>
              <w:t>≤</w:t>
            </w:r>
            <w:r>
              <w:rPr>
                <w:rFonts w:ascii="仿宋" w:hAnsi="仿宋" w:eastAsia="仿宋" w:cs="华文仿宋"/>
                <w:szCs w:val="21"/>
              </w:rPr>
              <w:t>250</w:t>
            </w:r>
          </w:p>
        </w:tc>
        <w:tc>
          <w:tcPr>
            <w:tcW w:w="538" w:type="pct"/>
            <w:tcBorders>
              <w:top w:val="single" w:color="000000" w:sz="4" w:space="0"/>
              <w:left w:val="single" w:color="auto" w:sz="4" w:space="0"/>
              <w:bottom w:val="single" w:color="000000" w:sz="4" w:space="0"/>
              <w:right w:val="single" w:color="auto" w:sz="4" w:space="0"/>
            </w:tcBorders>
            <w:vAlign w:val="center"/>
          </w:tcPr>
          <w:p>
            <w:pPr>
              <w:jc w:val="center"/>
              <w:rPr>
                <w:rFonts w:ascii="仿宋" w:hAnsi="仿宋" w:eastAsia="仿宋" w:cs="华文仿宋"/>
                <w:szCs w:val="21"/>
              </w:rPr>
            </w:pPr>
            <w:r>
              <w:rPr>
                <w:rFonts w:hint="eastAsia" w:ascii="仿宋" w:hAnsi="仿宋" w:eastAsia="仿宋" w:cs="华文仿宋"/>
                <w:szCs w:val="21"/>
              </w:rPr>
              <w:t>≤</w:t>
            </w:r>
            <w:r>
              <w:rPr>
                <w:rFonts w:ascii="仿宋" w:hAnsi="仿宋" w:eastAsia="仿宋" w:cs="华文仿宋"/>
                <w:szCs w:val="21"/>
              </w:rPr>
              <w:t>350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40" w:type="pct"/>
            <w:tcBorders>
              <w:top w:val="single" w:color="000000" w:sz="4" w:space="0"/>
              <w:left w:val="single" w:color="000000" w:sz="4" w:space="0"/>
              <w:bottom w:val="single" w:color="000000" w:sz="4" w:space="0"/>
              <w:right w:val="single" w:color="000000" w:sz="4" w:space="0"/>
            </w:tcBorders>
            <w:vAlign w:val="center"/>
          </w:tcPr>
          <w:p>
            <w:pPr>
              <w:pStyle w:val="448"/>
              <w:adjustRightInd w:val="0"/>
              <w:snapToGrid w:val="0"/>
              <w:spacing w:line="320" w:lineRule="exact"/>
              <w:rPr>
                <w:rFonts w:ascii="仿宋" w:hAnsi="仿宋" w:eastAsia="仿宋"/>
                <w:szCs w:val="21"/>
              </w:rPr>
            </w:pPr>
            <w:r>
              <w:rPr>
                <w:rFonts w:ascii="仿宋" w:hAnsi="仿宋" w:eastAsia="仿宋"/>
              </w:rPr>
              <w:t>氯化物</w:t>
            </w:r>
          </w:p>
        </w:tc>
        <w:tc>
          <w:tcPr>
            <w:tcW w:w="704" w:type="pct"/>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Cs w:val="21"/>
              </w:rPr>
            </w:pPr>
            <w:r>
              <w:rPr>
                <w:rFonts w:hint="eastAsia" w:ascii="仿宋" w:hAnsi="仿宋" w:eastAsia="仿宋"/>
                <w:szCs w:val="21"/>
              </w:rPr>
              <w:t>46.5</w:t>
            </w:r>
          </w:p>
        </w:tc>
        <w:tc>
          <w:tcPr>
            <w:tcW w:w="672" w:type="pct"/>
            <w:tcBorders>
              <w:top w:val="single" w:color="000000" w:sz="4" w:space="0"/>
              <w:left w:val="single" w:color="000000" w:sz="4" w:space="0"/>
              <w:bottom w:val="single" w:color="000000" w:sz="4" w:space="0"/>
              <w:right w:val="single" w:color="auto" w:sz="4" w:space="0"/>
            </w:tcBorders>
            <w:vAlign w:val="center"/>
          </w:tcPr>
          <w:p>
            <w:pPr>
              <w:pStyle w:val="448"/>
              <w:adjustRightInd w:val="0"/>
              <w:snapToGrid w:val="0"/>
              <w:spacing w:line="320" w:lineRule="exact"/>
              <w:rPr>
                <w:rFonts w:ascii="仿宋" w:hAnsi="仿宋" w:eastAsia="仿宋"/>
                <w:szCs w:val="21"/>
              </w:rPr>
            </w:pPr>
            <w:r>
              <w:rPr>
                <w:rFonts w:hint="eastAsia" w:ascii="仿宋" w:hAnsi="仿宋" w:eastAsia="仿宋"/>
              </w:rPr>
              <w:t>47.6</w:t>
            </w:r>
          </w:p>
        </w:tc>
        <w:tc>
          <w:tcPr>
            <w:tcW w:w="672" w:type="pct"/>
            <w:tcBorders>
              <w:top w:val="single" w:color="000000" w:sz="4" w:space="0"/>
              <w:left w:val="single" w:color="auto" w:sz="4" w:space="0"/>
              <w:bottom w:val="single" w:color="000000" w:sz="4" w:space="0"/>
              <w:right w:val="single" w:color="auto" w:sz="4" w:space="0"/>
            </w:tcBorders>
            <w:vAlign w:val="center"/>
          </w:tcPr>
          <w:p>
            <w:pPr>
              <w:pStyle w:val="448"/>
              <w:adjustRightInd w:val="0"/>
              <w:snapToGrid w:val="0"/>
              <w:spacing w:line="320" w:lineRule="exact"/>
              <w:rPr>
                <w:rFonts w:ascii="仿宋" w:hAnsi="仿宋" w:eastAsia="仿宋"/>
                <w:szCs w:val="21"/>
              </w:rPr>
            </w:pPr>
            <w:r>
              <w:rPr>
                <w:rFonts w:hint="eastAsia" w:ascii="仿宋" w:hAnsi="仿宋" w:eastAsia="仿宋"/>
              </w:rPr>
              <w:t>50.5</w:t>
            </w:r>
          </w:p>
        </w:tc>
        <w:tc>
          <w:tcPr>
            <w:tcW w:w="55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cs="华文仿宋"/>
                <w:szCs w:val="21"/>
              </w:rPr>
            </w:pPr>
            <w:r>
              <w:rPr>
                <w:rFonts w:hint="eastAsia" w:ascii="仿宋" w:hAnsi="仿宋" w:eastAsia="仿宋" w:cs="华文仿宋"/>
                <w:szCs w:val="21"/>
              </w:rPr>
              <w:t>≤</w:t>
            </w:r>
            <w:r>
              <w:rPr>
                <w:rFonts w:ascii="仿宋" w:hAnsi="仿宋" w:eastAsia="仿宋" w:cs="华文仿宋"/>
                <w:szCs w:val="21"/>
              </w:rPr>
              <w:t>50</w:t>
            </w:r>
          </w:p>
        </w:tc>
        <w:tc>
          <w:tcPr>
            <w:tcW w:w="55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szCs w:val="21"/>
              </w:rPr>
            </w:pPr>
            <w:r>
              <w:rPr>
                <w:rFonts w:hint="eastAsia" w:ascii="仿宋" w:hAnsi="仿宋" w:eastAsia="仿宋" w:cs="华文仿宋"/>
                <w:szCs w:val="21"/>
              </w:rPr>
              <w:t>≤150</w:t>
            </w:r>
          </w:p>
        </w:tc>
        <w:tc>
          <w:tcPr>
            <w:tcW w:w="55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szCs w:val="21"/>
              </w:rPr>
            </w:pPr>
            <w:r>
              <w:rPr>
                <w:rFonts w:hint="eastAsia" w:ascii="仿宋" w:hAnsi="仿宋" w:eastAsia="仿宋" w:cs="华文仿宋"/>
                <w:szCs w:val="21"/>
              </w:rPr>
              <w:t>≤250</w:t>
            </w:r>
          </w:p>
        </w:tc>
        <w:tc>
          <w:tcPr>
            <w:tcW w:w="53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cs="华文仿宋"/>
                <w:szCs w:val="21"/>
              </w:rPr>
            </w:pPr>
            <w:r>
              <w:rPr>
                <w:rFonts w:hint="eastAsia" w:ascii="仿宋" w:hAnsi="仿宋" w:eastAsia="仿宋" w:cs="华文仿宋"/>
                <w:szCs w:val="21"/>
              </w:rPr>
              <w:t>≤</w:t>
            </w:r>
            <w:r>
              <w:rPr>
                <w:rFonts w:ascii="仿宋" w:hAnsi="仿宋" w:eastAsia="仿宋" w:cs="华文仿宋"/>
                <w:szCs w:val="21"/>
              </w:rPr>
              <w:t>350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40" w:type="pct"/>
            <w:tcBorders>
              <w:top w:val="single" w:color="000000" w:sz="4" w:space="0"/>
              <w:left w:val="single" w:color="000000" w:sz="4" w:space="0"/>
              <w:bottom w:val="single" w:color="000000" w:sz="4" w:space="0"/>
              <w:right w:val="single" w:color="000000" w:sz="4" w:space="0"/>
            </w:tcBorders>
            <w:vAlign w:val="center"/>
          </w:tcPr>
          <w:p>
            <w:pPr>
              <w:pStyle w:val="448"/>
              <w:adjustRightInd w:val="0"/>
              <w:snapToGrid w:val="0"/>
              <w:spacing w:line="320" w:lineRule="exact"/>
              <w:rPr>
                <w:rFonts w:ascii="仿宋" w:hAnsi="仿宋" w:eastAsia="仿宋"/>
                <w:szCs w:val="21"/>
              </w:rPr>
            </w:pPr>
            <w:r>
              <w:rPr>
                <w:rFonts w:ascii="仿宋" w:hAnsi="仿宋" w:eastAsia="仿宋"/>
              </w:rPr>
              <w:t>硝酸盐（以N计）</w:t>
            </w:r>
          </w:p>
        </w:tc>
        <w:tc>
          <w:tcPr>
            <w:tcW w:w="704" w:type="pct"/>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Cs w:val="21"/>
              </w:rPr>
            </w:pPr>
            <w:r>
              <w:rPr>
                <w:rFonts w:hint="eastAsia" w:ascii="仿宋" w:hAnsi="仿宋" w:eastAsia="仿宋"/>
                <w:szCs w:val="21"/>
              </w:rPr>
              <w:t>1.47</w:t>
            </w:r>
          </w:p>
        </w:tc>
        <w:tc>
          <w:tcPr>
            <w:tcW w:w="672" w:type="pct"/>
            <w:tcBorders>
              <w:top w:val="single" w:color="000000" w:sz="4" w:space="0"/>
              <w:left w:val="single" w:color="000000" w:sz="4" w:space="0"/>
              <w:bottom w:val="single" w:color="000000" w:sz="4" w:space="0"/>
              <w:right w:val="single" w:color="auto" w:sz="4" w:space="0"/>
            </w:tcBorders>
            <w:vAlign w:val="center"/>
          </w:tcPr>
          <w:p>
            <w:pPr>
              <w:pStyle w:val="448"/>
              <w:adjustRightInd w:val="0"/>
              <w:snapToGrid w:val="0"/>
              <w:spacing w:line="320" w:lineRule="exact"/>
              <w:rPr>
                <w:rFonts w:ascii="仿宋" w:hAnsi="仿宋" w:eastAsia="仿宋"/>
                <w:szCs w:val="21"/>
              </w:rPr>
            </w:pPr>
            <w:r>
              <w:rPr>
                <w:rFonts w:hint="eastAsia" w:ascii="仿宋" w:hAnsi="仿宋" w:eastAsia="仿宋"/>
              </w:rPr>
              <w:t>0.2L</w:t>
            </w:r>
          </w:p>
        </w:tc>
        <w:tc>
          <w:tcPr>
            <w:tcW w:w="672" w:type="pct"/>
            <w:tcBorders>
              <w:top w:val="single" w:color="000000" w:sz="4" w:space="0"/>
              <w:left w:val="single" w:color="auto" w:sz="4" w:space="0"/>
              <w:bottom w:val="single" w:color="000000" w:sz="4" w:space="0"/>
              <w:right w:val="single" w:color="auto" w:sz="4" w:space="0"/>
            </w:tcBorders>
            <w:vAlign w:val="center"/>
          </w:tcPr>
          <w:p>
            <w:pPr>
              <w:pStyle w:val="448"/>
              <w:adjustRightInd w:val="0"/>
              <w:snapToGrid w:val="0"/>
              <w:spacing w:line="320" w:lineRule="exact"/>
              <w:rPr>
                <w:rFonts w:ascii="仿宋" w:hAnsi="仿宋" w:eastAsia="仿宋"/>
                <w:szCs w:val="21"/>
              </w:rPr>
            </w:pPr>
            <w:r>
              <w:rPr>
                <w:rFonts w:hint="eastAsia" w:ascii="仿宋" w:hAnsi="仿宋" w:eastAsia="仿宋"/>
              </w:rPr>
              <w:t>0.2L</w:t>
            </w:r>
          </w:p>
        </w:tc>
        <w:tc>
          <w:tcPr>
            <w:tcW w:w="55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cs="华文仿宋"/>
                <w:szCs w:val="21"/>
              </w:rPr>
            </w:pPr>
            <w:r>
              <w:rPr>
                <w:rFonts w:hint="eastAsia" w:ascii="仿宋" w:hAnsi="仿宋" w:eastAsia="仿宋" w:cs="华文仿宋"/>
                <w:szCs w:val="21"/>
              </w:rPr>
              <w:t>≤</w:t>
            </w:r>
            <w:r>
              <w:rPr>
                <w:rFonts w:ascii="仿宋" w:hAnsi="仿宋" w:eastAsia="仿宋" w:cs="华文仿宋"/>
                <w:szCs w:val="21"/>
              </w:rPr>
              <w:t>2.0</w:t>
            </w:r>
          </w:p>
        </w:tc>
        <w:tc>
          <w:tcPr>
            <w:tcW w:w="55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szCs w:val="21"/>
              </w:rPr>
            </w:pPr>
            <w:r>
              <w:rPr>
                <w:rFonts w:hint="eastAsia" w:ascii="仿宋" w:hAnsi="仿宋" w:eastAsia="仿宋" w:cs="华文仿宋"/>
                <w:szCs w:val="21"/>
              </w:rPr>
              <w:t>≤5.0</w:t>
            </w:r>
          </w:p>
        </w:tc>
        <w:tc>
          <w:tcPr>
            <w:tcW w:w="55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szCs w:val="21"/>
              </w:rPr>
            </w:pPr>
            <w:r>
              <w:rPr>
                <w:rFonts w:hint="eastAsia" w:ascii="仿宋" w:hAnsi="仿宋" w:eastAsia="仿宋" w:cs="华文仿宋"/>
                <w:szCs w:val="21"/>
              </w:rPr>
              <w:t>≤</w:t>
            </w:r>
            <w:r>
              <w:rPr>
                <w:rFonts w:ascii="仿宋" w:hAnsi="仿宋" w:eastAsia="仿宋" w:cs="华文仿宋"/>
                <w:szCs w:val="21"/>
              </w:rPr>
              <w:t>2</w:t>
            </w:r>
            <w:r>
              <w:rPr>
                <w:rFonts w:hint="eastAsia" w:ascii="仿宋" w:hAnsi="仿宋" w:eastAsia="仿宋" w:cs="华文仿宋"/>
                <w:szCs w:val="21"/>
              </w:rPr>
              <w:t>0.0</w:t>
            </w:r>
          </w:p>
        </w:tc>
        <w:tc>
          <w:tcPr>
            <w:tcW w:w="53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cs="华文仿宋"/>
                <w:szCs w:val="21"/>
              </w:rPr>
            </w:pPr>
            <w:r>
              <w:rPr>
                <w:rFonts w:hint="eastAsia" w:ascii="仿宋" w:hAnsi="仿宋" w:eastAsia="仿宋" w:cs="华文仿宋"/>
                <w:szCs w:val="21"/>
              </w:rPr>
              <w:t>≤</w:t>
            </w:r>
            <w:r>
              <w:rPr>
                <w:rFonts w:ascii="仿宋" w:hAnsi="仿宋" w:eastAsia="仿宋" w:cs="华文仿宋"/>
                <w:szCs w:val="21"/>
              </w:rPr>
              <w:t>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40" w:type="pct"/>
            <w:tcBorders>
              <w:top w:val="single" w:color="000000" w:sz="4" w:space="0"/>
              <w:left w:val="single" w:color="000000" w:sz="4" w:space="0"/>
              <w:bottom w:val="single" w:color="000000" w:sz="4" w:space="0"/>
              <w:right w:val="single" w:color="000000" w:sz="4" w:space="0"/>
            </w:tcBorders>
            <w:vAlign w:val="center"/>
          </w:tcPr>
          <w:p>
            <w:pPr>
              <w:pStyle w:val="448"/>
              <w:adjustRightInd w:val="0"/>
              <w:snapToGrid w:val="0"/>
              <w:spacing w:line="320" w:lineRule="exact"/>
              <w:rPr>
                <w:rFonts w:ascii="仿宋" w:hAnsi="仿宋" w:eastAsia="仿宋"/>
                <w:szCs w:val="21"/>
              </w:rPr>
            </w:pPr>
            <w:r>
              <w:rPr>
                <w:rFonts w:ascii="仿宋" w:hAnsi="仿宋" w:eastAsia="仿宋"/>
              </w:rPr>
              <w:t>亚硝酸盐（以N计）</w:t>
            </w:r>
          </w:p>
        </w:tc>
        <w:tc>
          <w:tcPr>
            <w:tcW w:w="704" w:type="pct"/>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Cs w:val="21"/>
              </w:rPr>
            </w:pPr>
            <w:r>
              <w:rPr>
                <w:rFonts w:hint="eastAsia" w:ascii="仿宋" w:hAnsi="仿宋" w:eastAsia="仿宋"/>
                <w:szCs w:val="21"/>
              </w:rPr>
              <w:t>0.032</w:t>
            </w:r>
          </w:p>
        </w:tc>
        <w:tc>
          <w:tcPr>
            <w:tcW w:w="672" w:type="pct"/>
            <w:tcBorders>
              <w:top w:val="single" w:color="000000" w:sz="4" w:space="0"/>
              <w:left w:val="single" w:color="000000" w:sz="4" w:space="0"/>
              <w:bottom w:val="single" w:color="000000" w:sz="4" w:space="0"/>
              <w:right w:val="single" w:color="auto" w:sz="4" w:space="0"/>
            </w:tcBorders>
            <w:vAlign w:val="center"/>
          </w:tcPr>
          <w:p>
            <w:pPr>
              <w:pStyle w:val="448"/>
              <w:adjustRightInd w:val="0"/>
              <w:snapToGrid w:val="0"/>
              <w:spacing w:line="320" w:lineRule="exact"/>
              <w:rPr>
                <w:rFonts w:ascii="仿宋" w:hAnsi="仿宋" w:eastAsia="仿宋"/>
                <w:szCs w:val="21"/>
              </w:rPr>
            </w:pPr>
            <w:r>
              <w:rPr>
                <w:rFonts w:hint="eastAsia" w:ascii="仿宋" w:hAnsi="仿宋" w:eastAsia="仿宋"/>
              </w:rPr>
              <w:t>0.00</w:t>
            </w:r>
            <w:r>
              <w:rPr>
                <w:rFonts w:ascii="仿宋" w:hAnsi="仿宋" w:eastAsia="仿宋"/>
              </w:rPr>
              <w:t>1L</w:t>
            </w:r>
          </w:p>
        </w:tc>
        <w:tc>
          <w:tcPr>
            <w:tcW w:w="672" w:type="pct"/>
            <w:tcBorders>
              <w:top w:val="single" w:color="000000" w:sz="4" w:space="0"/>
              <w:left w:val="single" w:color="auto" w:sz="4" w:space="0"/>
              <w:bottom w:val="single" w:color="000000" w:sz="4" w:space="0"/>
              <w:right w:val="single" w:color="auto" w:sz="4" w:space="0"/>
            </w:tcBorders>
            <w:vAlign w:val="center"/>
          </w:tcPr>
          <w:p>
            <w:pPr>
              <w:pStyle w:val="448"/>
              <w:adjustRightInd w:val="0"/>
              <w:snapToGrid w:val="0"/>
              <w:spacing w:line="320" w:lineRule="exact"/>
              <w:rPr>
                <w:rFonts w:ascii="仿宋" w:hAnsi="仿宋" w:eastAsia="仿宋"/>
                <w:szCs w:val="21"/>
              </w:rPr>
            </w:pPr>
            <w:r>
              <w:rPr>
                <w:rFonts w:hint="eastAsia" w:ascii="仿宋" w:hAnsi="仿宋" w:eastAsia="仿宋"/>
              </w:rPr>
              <w:t>0.00</w:t>
            </w:r>
            <w:r>
              <w:rPr>
                <w:rFonts w:ascii="仿宋" w:hAnsi="仿宋" w:eastAsia="仿宋"/>
              </w:rPr>
              <w:t>1L</w:t>
            </w:r>
          </w:p>
        </w:tc>
        <w:tc>
          <w:tcPr>
            <w:tcW w:w="55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cs="华文仿宋"/>
                <w:szCs w:val="21"/>
              </w:rPr>
            </w:pPr>
            <w:r>
              <w:rPr>
                <w:rFonts w:hint="eastAsia" w:ascii="仿宋" w:hAnsi="仿宋" w:eastAsia="仿宋" w:cs="华文仿宋"/>
                <w:szCs w:val="21"/>
              </w:rPr>
              <w:t>≤</w:t>
            </w:r>
            <w:r>
              <w:rPr>
                <w:rFonts w:ascii="仿宋" w:hAnsi="仿宋" w:eastAsia="仿宋" w:cs="华文仿宋"/>
                <w:szCs w:val="21"/>
              </w:rPr>
              <w:t>0.01</w:t>
            </w:r>
          </w:p>
        </w:tc>
        <w:tc>
          <w:tcPr>
            <w:tcW w:w="55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szCs w:val="21"/>
              </w:rPr>
            </w:pPr>
            <w:r>
              <w:rPr>
                <w:rFonts w:hint="eastAsia" w:ascii="仿宋" w:hAnsi="仿宋" w:eastAsia="仿宋" w:cs="华文仿宋"/>
                <w:szCs w:val="21"/>
              </w:rPr>
              <w:t>≤0.1</w:t>
            </w:r>
          </w:p>
        </w:tc>
        <w:tc>
          <w:tcPr>
            <w:tcW w:w="55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szCs w:val="21"/>
              </w:rPr>
            </w:pPr>
            <w:r>
              <w:rPr>
                <w:rFonts w:hint="eastAsia" w:ascii="仿宋" w:hAnsi="仿宋" w:eastAsia="仿宋" w:cs="华文仿宋"/>
                <w:szCs w:val="21"/>
              </w:rPr>
              <w:t>≤1.0</w:t>
            </w:r>
          </w:p>
        </w:tc>
        <w:tc>
          <w:tcPr>
            <w:tcW w:w="53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cs="华文仿宋"/>
                <w:szCs w:val="21"/>
              </w:rPr>
            </w:pPr>
            <w:r>
              <w:rPr>
                <w:rFonts w:hint="eastAsia" w:ascii="仿宋" w:hAnsi="仿宋" w:eastAsia="仿宋" w:cs="华文仿宋"/>
                <w:szCs w:val="21"/>
              </w:rPr>
              <w:t>≤</w:t>
            </w:r>
            <w:r>
              <w:rPr>
                <w:rFonts w:ascii="仿宋" w:hAnsi="仿宋" w:eastAsia="仿宋" w:cs="华文仿宋"/>
                <w:szCs w:val="21"/>
              </w:rPr>
              <w:t>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40" w:type="pct"/>
            <w:tcBorders>
              <w:top w:val="single" w:color="000000" w:sz="4" w:space="0"/>
              <w:left w:val="single" w:color="000000" w:sz="4" w:space="0"/>
              <w:bottom w:val="single" w:color="000000" w:sz="4" w:space="0"/>
              <w:right w:val="single" w:color="000000" w:sz="4" w:space="0"/>
            </w:tcBorders>
            <w:vAlign w:val="center"/>
          </w:tcPr>
          <w:p>
            <w:pPr>
              <w:pStyle w:val="448"/>
              <w:adjustRightInd w:val="0"/>
              <w:snapToGrid w:val="0"/>
              <w:spacing w:line="320" w:lineRule="exact"/>
              <w:rPr>
                <w:rFonts w:ascii="仿宋" w:hAnsi="仿宋" w:eastAsia="仿宋"/>
                <w:szCs w:val="21"/>
              </w:rPr>
            </w:pPr>
            <w:r>
              <w:rPr>
                <w:rFonts w:ascii="仿宋" w:hAnsi="仿宋" w:eastAsia="仿宋"/>
              </w:rPr>
              <w:t>挥发性酚类（以苯酚计）</w:t>
            </w:r>
          </w:p>
        </w:tc>
        <w:tc>
          <w:tcPr>
            <w:tcW w:w="704" w:type="pct"/>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Cs w:val="21"/>
              </w:rPr>
            </w:pPr>
            <w:r>
              <w:rPr>
                <w:rFonts w:hint="eastAsia" w:ascii="仿宋" w:hAnsi="仿宋" w:eastAsia="仿宋"/>
                <w:szCs w:val="21"/>
              </w:rPr>
              <w:t>0.00</w:t>
            </w:r>
            <w:r>
              <w:rPr>
                <w:rFonts w:ascii="仿宋" w:hAnsi="仿宋" w:eastAsia="仿宋"/>
                <w:szCs w:val="21"/>
              </w:rPr>
              <w:t>0</w:t>
            </w:r>
            <w:r>
              <w:rPr>
                <w:rFonts w:hint="eastAsia" w:ascii="仿宋" w:hAnsi="仿宋" w:eastAsia="仿宋"/>
                <w:szCs w:val="21"/>
              </w:rPr>
              <w:t>3L</w:t>
            </w:r>
          </w:p>
        </w:tc>
        <w:tc>
          <w:tcPr>
            <w:tcW w:w="672" w:type="pct"/>
            <w:tcBorders>
              <w:top w:val="single" w:color="000000" w:sz="4" w:space="0"/>
              <w:left w:val="single" w:color="000000" w:sz="4" w:space="0"/>
              <w:bottom w:val="single" w:color="000000" w:sz="4" w:space="0"/>
              <w:right w:val="single" w:color="auto" w:sz="4" w:space="0"/>
            </w:tcBorders>
            <w:vAlign w:val="center"/>
          </w:tcPr>
          <w:p>
            <w:pPr>
              <w:pStyle w:val="448"/>
              <w:adjustRightInd w:val="0"/>
              <w:snapToGrid w:val="0"/>
              <w:spacing w:line="320" w:lineRule="exact"/>
              <w:rPr>
                <w:rFonts w:ascii="仿宋" w:hAnsi="仿宋" w:eastAsia="仿宋"/>
                <w:szCs w:val="21"/>
              </w:rPr>
            </w:pPr>
            <w:r>
              <w:rPr>
                <w:rFonts w:hint="eastAsia" w:ascii="仿宋" w:hAnsi="仿宋" w:eastAsia="仿宋"/>
              </w:rPr>
              <w:t>0.00</w:t>
            </w:r>
            <w:r>
              <w:rPr>
                <w:rFonts w:ascii="仿宋" w:hAnsi="仿宋" w:eastAsia="仿宋"/>
              </w:rPr>
              <w:t>2L</w:t>
            </w:r>
          </w:p>
        </w:tc>
        <w:tc>
          <w:tcPr>
            <w:tcW w:w="672" w:type="pct"/>
            <w:tcBorders>
              <w:top w:val="single" w:color="000000" w:sz="4" w:space="0"/>
              <w:left w:val="single" w:color="auto" w:sz="4" w:space="0"/>
              <w:bottom w:val="single" w:color="000000" w:sz="4" w:space="0"/>
              <w:right w:val="single" w:color="auto" w:sz="4" w:space="0"/>
            </w:tcBorders>
            <w:vAlign w:val="center"/>
          </w:tcPr>
          <w:p>
            <w:pPr>
              <w:pStyle w:val="448"/>
              <w:adjustRightInd w:val="0"/>
              <w:snapToGrid w:val="0"/>
              <w:spacing w:line="320" w:lineRule="exact"/>
              <w:rPr>
                <w:rFonts w:ascii="仿宋" w:hAnsi="仿宋" w:eastAsia="仿宋"/>
                <w:szCs w:val="21"/>
              </w:rPr>
            </w:pPr>
            <w:r>
              <w:rPr>
                <w:rFonts w:hint="eastAsia" w:ascii="仿宋" w:hAnsi="仿宋" w:eastAsia="仿宋"/>
              </w:rPr>
              <w:t>0.00</w:t>
            </w:r>
            <w:r>
              <w:rPr>
                <w:rFonts w:ascii="仿宋" w:hAnsi="仿宋" w:eastAsia="仿宋"/>
              </w:rPr>
              <w:t>2L</w:t>
            </w:r>
          </w:p>
        </w:tc>
        <w:tc>
          <w:tcPr>
            <w:tcW w:w="55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cs="华文仿宋"/>
                <w:szCs w:val="21"/>
              </w:rPr>
            </w:pPr>
            <w:r>
              <w:rPr>
                <w:rFonts w:hint="eastAsia" w:ascii="仿宋" w:hAnsi="仿宋" w:eastAsia="仿宋" w:cs="华文仿宋"/>
                <w:szCs w:val="21"/>
              </w:rPr>
              <w:t>≤</w:t>
            </w:r>
            <w:r>
              <w:rPr>
                <w:rFonts w:ascii="仿宋" w:hAnsi="仿宋" w:eastAsia="仿宋" w:cs="华文仿宋"/>
                <w:szCs w:val="21"/>
              </w:rPr>
              <w:t>0.001</w:t>
            </w:r>
          </w:p>
        </w:tc>
        <w:tc>
          <w:tcPr>
            <w:tcW w:w="55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szCs w:val="21"/>
              </w:rPr>
            </w:pPr>
            <w:r>
              <w:rPr>
                <w:rFonts w:hint="eastAsia" w:ascii="仿宋" w:hAnsi="仿宋" w:eastAsia="仿宋" w:cs="华文仿宋"/>
                <w:szCs w:val="21"/>
              </w:rPr>
              <w:t>≤0.001</w:t>
            </w:r>
          </w:p>
        </w:tc>
        <w:tc>
          <w:tcPr>
            <w:tcW w:w="55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szCs w:val="21"/>
              </w:rPr>
            </w:pPr>
            <w:r>
              <w:rPr>
                <w:rFonts w:hint="eastAsia" w:ascii="仿宋" w:hAnsi="仿宋" w:eastAsia="仿宋" w:cs="华文仿宋"/>
                <w:szCs w:val="21"/>
              </w:rPr>
              <w:t>≤0.002</w:t>
            </w:r>
          </w:p>
        </w:tc>
        <w:tc>
          <w:tcPr>
            <w:tcW w:w="53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cs="华文仿宋"/>
                <w:szCs w:val="21"/>
              </w:rPr>
            </w:pPr>
            <w:r>
              <w:rPr>
                <w:rFonts w:hint="eastAsia" w:ascii="仿宋" w:hAnsi="仿宋" w:eastAsia="仿宋" w:cs="华文仿宋"/>
                <w:szCs w:val="21"/>
              </w:rPr>
              <w:t>≤</w:t>
            </w:r>
            <w:r>
              <w:rPr>
                <w:rFonts w:ascii="仿宋" w:hAnsi="仿宋" w:eastAsia="仿宋" w:cs="华文仿宋"/>
                <w:szCs w:val="21"/>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40" w:type="pct"/>
            <w:tcBorders>
              <w:top w:val="single" w:color="000000" w:sz="4" w:space="0"/>
              <w:left w:val="single" w:color="000000" w:sz="4" w:space="0"/>
              <w:bottom w:val="single" w:color="000000" w:sz="4" w:space="0"/>
              <w:right w:val="single" w:color="000000" w:sz="4" w:space="0"/>
            </w:tcBorders>
            <w:vAlign w:val="center"/>
          </w:tcPr>
          <w:p>
            <w:pPr>
              <w:pStyle w:val="448"/>
              <w:adjustRightInd w:val="0"/>
              <w:snapToGrid w:val="0"/>
              <w:spacing w:line="320" w:lineRule="exact"/>
              <w:rPr>
                <w:rFonts w:ascii="仿宋" w:hAnsi="仿宋" w:eastAsia="仿宋"/>
                <w:szCs w:val="21"/>
              </w:rPr>
            </w:pPr>
            <w:r>
              <w:rPr>
                <w:rFonts w:ascii="仿宋" w:hAnsi="仿宋" w:eastAsia="仿宋"/>
              </w:rPr>
              <w:t>氰化物</w:t>
            </w:r>
          </w:p>
        </w:tc>
        <w:tc>
          <w:tcPr>
            <w:tcW w:w="704" w:type="pct"/>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Cs w:val="21"/>
              </w:rPr>
            </w:pPr>
            <w:r>
              <w:rPr>
                <w:rFonts w:hint="eastAsia" w:ascii="仿宋" w:hAnsi="仿宋" w:eastAsia="仿宋"/>
                <w:szCs w:val="21"/>
              </w:rPr>
              <w:t>0.004L</w:t>
            </w:r>
          </w:p>
        </w:tc>
        <w:tc>
          <w:tcPr>
            <w:tcW w:w="672" w:type="pct"/>
            <w:tcBorders>
              <w:top w:val="single" w:color="000000" w:sz="4" w:space="0"/>
              <w:left w:val="single" w:color="000000" w:sz="4" w:space="0"/>
              <w:bottom w:val="single" w:color="000000" w:sz="4" w:space="0"/>
              <w:right w:val="single" w:color="auto" w:sz="4" w:space="0"/>
            </w:tcBorders>
            <w:vAlign w:val="center"/>
          </w:tcPr>
          <w:p>
            <w:pPr>
              <w:pStyle w:val="448"/>
              <w:adjustRightInd w:val="0"/>
              <w:snapToGrid w:val="0"/>
              <w:spacing w:line="320" w:lineRule="exact"/>
              <w:rPr>
                <w:rFonts w:ascii="仿宋" w:hAnsi="仿宋" w:eastAsia="仿宋"/>
                <w:szCs w:val="21"/>
              </w:rPr>
            </w:pPr>
            <w:r>
              <w:rPr>
                <w:rFonts w:hint="eastAsia" w:ascii="仿宋" w:hAnsi="仿宋" w:eastAsia="仿宋"/>
              </w:rPr>
              <w:t>0.00</w:t>
            </w:r>
            <w:r>
              <w:rPr>
                <w:rFonts w:ascii="仿宋" w:hAnsi="仿宋" w:eastAsia="仿宋"/>
              </w:rPr>
              <w:t>2L</w:t>
            </w:r>
          </w:p>
        </w:tc>
        <w:tc>
          <w:tcPr>
            <w:tcW w:w="672" w:type="pct"/>
            <w:tcBorders>
              <w:top w:val="single" w:color="000000" w:sz="4" w:space="0"/>
              <w:left w:val="single" w:color="auto" w:sz="4" w:space="0"/>
              <w:bottom w:val="single" w:color="000000" w:sz="4" w:space="0"/>
              <w:right w:val="single" w:color="auto" w:sz="4" w:space="0"/>
            </w:tcBorders>
            <w:vAlign w:val="center"/>
          </w:tcPr>
          <w:p>
            <w:pPr>
              <w:pStyle w:val="448"/>
              <w:adjustRightInd w:val="0"/>
              <w:snapToGrid w:val="0"/>
              <w:spacing w:line="320" w:lineRule="exact"/>
              <w:rPr>
                <w:rFonts w:ascii="仿宋" w:hAnsi="仿宋" w:eastAsia="仿宋"/>
                <w:szCs w:val="21"/>
              </w:rPr>
            </w:pPr>
            <w:r>
              <w:rPr>
                <w:rFonts w:hint="eastAsia" w:ascii="仿宋" w:hAnsi="仿宋" w:eastAsia="仿宋"/>
              </w:rPr>
              <w:t>0.00</w:t>
            </w:r>
            <w:r>
              <w:rPr>
                <w:rFonts w:ascii="仿宋" w:hAnsi="仿宋" w:eastAsia="仿宋"/>
              </w:rPr>
              <w:t>2L</w:t>
            </w:r>
          </w:p>
        </w:tc>
        <w:tc>
          <w:tcPr>
            <w:tcW w:w="55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cs="华文仿宋"/>
                <w:szCs w:val="21"/>
              </w:rPr>
            </w:pPr>
            <w:r>
              <w:rPr>
                <w:rFonts w:hint="eastAsia" w:ascii="仿宋" w:hAnsi="仿宋" w:eastAsia="仿宋" w:cs="华文仿宋"/>
                <w:szCs w:val="21"/>
              </w:rPr>
              <w:t>≤</w:t>
            </w:r>
            <w:r>
              <w:rPr>
                <w:rFonts w:ascii="仿宋" w:hAnsi="仿宋" w:eastAsia="仿宋" w:cs="华文仿宋"/>
                <w:szCs w:val="21"/>
              </w:rPr>
              <w:t>0.001</w:t>
            </w:r>
          </w:p>
        </w:tc>
        <w:tc>
          <w:tcPr>
            <w:tcW w:w="55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szCs w:val="21"/>
              </w:rPr>
            </w:pPr>
            <w:r>
              <w:rPr>
                <w:rFonts w:hint="eastAsia" w:ascii="仿宋" w:hAnsi="仿宋" w:eastAsia="仿宋" w:cs="华文仿宋"/>
                <w:szCs w:val="21"/>
              </w:rPr>
              <w:t>≤0.</w:t>
            </w:r>
            <w:r>
              <w:rPr>
                <w:rFonts w:ascii="仿宋" w:hAnsi="仿宋" w:eastAsia="仿宋" w:cs="华文仿宋"/>
                <w:szCs w:val="21"/>
              </w:rPr>
              <w:t>0</w:t>
            </w:r>
            <w:r>
              <w:rPr>
                <w:rFonts w:hint="eastAsia" w:ascii="仿宋" w:hAnsi="仿宋" w:eastAsia="仿宋" w:cs="华文仿宋"/>
                <w:szCs w:val="21"/>
              </w:rPr>
              <w:t>1</w:t>
            </w:r>
          </w:p>
        </w:tc>
        <w:tc>
          <w:tcPr>
            <w:tcW w:w="55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szCs w:val="21"/>
              </w:rPr>
            </w:pPr>
            <w:r>
              <w:rPr>
                <w:rFonts w:hint="eastAsia" w:ascii="仿宋" w:hAnsi="仿宋" w:eastAsia="仿宋" w:cs="华文仿宋"/>
                <w:szCs w:val="21"/>
              </w:rPr>
              <w:t>≤0.05</w:t>
            </w:r>
          </w:p>
        </w:tc>
        <w:tc>
          <w:tcPr>
            <w:tcW w:w="53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cs="华文仿宋"/>
                <w:szCs w:val="21"/>
              </w:rPr>
            </w:pPr>
            <w:r>
              <w:rPr>
                <w:rFonts w:hint="eastAsia" w:ascii="仿宋" w:hAnsi="仿宋" w:eastAsia="仿宋" w:cs="华文仿宋"/>
                <w:szCs w:val="21"/>
              </w:rPr>
              <w:t>≤</w:t>
            </w:r>
            <w:r>
              <w:rPr>
                <w:rFonts w:ascii="仿宋" w:hAnsi="仿宋" w:eastAsia="仿宋" w:cs="华文仿宋"/>
                <w:szCs w:val="21"/>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40" w:type="pct"/>
            <w:tcBorders>
              <w:top w:val="single" w:color="000000" w:sz="4" w:space="0"/>
              <w:left w:val="single" w:color="000000" w:sz="4" w:space="0"/>
              <w:bottom w:val="single" w:color="000000" w:sz="4" w:space="0"/>
              <w:right w:val="single" w:color="000000" w:sz="4" w:space="0"/>
            </w:tcBorders>
            <w:vAlign w:val="center"/>
          </w:tcPr>
          <w:p>
            <w:pPr>
              <w:pStyle w:val="286"/>
              <w:snapToGrid w:val="0"/>
              <w:spacing w:after="0" w:line="320" w:lineRule="exact"/>
              <w:ind w:left="0" w:leftChars="0" w:firstLine="0" w:firstLineChars="0"/>
              <w:jc w:val="center"/>
              <w:textAlignment w:val="auto"/>
              <w:rPr>
                <w:rFonts w:ascii="仿宋" w:hAnsi="仿宋" w:eastAsia="仿宋"/>
                <w:szCs w:val="21"/>
              </w:rPr>
            </w:pPr>
            <w:r>
              <w:rPr>
                <w:rFonts w:ascii="仿宋" w:hAnsi="仿宋" w:eastAsia="仿宋"/>
                <w:sz w:val="21"/>
                <w:szCs w:val="21"/>
              </w:rPr>
              <w:t>CO</w:t>
            </w:r>
            <w:r>
              <w:rPr>
                <w:rFonts w:ascii="仿宋" w:hAnsi="仿宋" w:eastAsia="仿宋"/>
                <w:sz w:val="21"/>
                <w:szCs w:val="21"/>
                <w:vertAlign w:val="subscript"/>
              </w:rPr>
              <w:t>3</w:t>
            </w:r>
            <w:r>
              <w:rPr>
                <w:rFonts w:ascii="仿宋" w:hAnsi="仿宋" w:eastAsia="仿宋"/>
                <w:sz w:val="21"/>
                <w:szCs w:val="21"/>
                <w:vertAlign w:val="superscript"/>
              </w:rPr>
              <w:t>2-</w:t>
            </w:r>
          </w:p>
        </w:tc>
        <w:tc>
          <w:tcPr>
            <w:tcW w:w="704" w:type="pct"/>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Cs w:val="21"/>
              </w:rPr>
            </w:pPr>
            <w:r>
              <w:rPr>
                <w:rFonts w:hint="eastAsia" w:ascii="仿宋" w:hAnsi="仿宋" w:eastAsia="仿宋"/>
                <w:szCs w:val="21"/>
              </w:rPr>
              <w:t>0</w:t>
            </w:r>
          </w:p>
        </w:tc>
        <w:tc>
          <w:tcPr>
            <w:tcW w:w="672" w:type="pct"/>
            <w:tcBorders>
              <w:top w:val="single" w:color="000000" w:sz="4" w:space="0"/>
              <w:left w:val="single" w:color="000000" w:sz="4" w:space="0"/>
              <w:bottom w:val="single" w:color="000000" w:sz="4" w:space="0"/>
              <w:right w:val="single" w:color="auto" w:sz="4" w:space="0"/>
            </w:tcBorders>
            <w:vAlign w:val="center"/>
          </w:tcPr>
          <w:p>
            <w:pPr>
              <w:pStyle w:val="448"/>
              <w:adjustRightInd w:val="0"/>
              <w:snapToGrid w:val="0"/>
              <w:spacing w:line="320" w:lineRule="exact"/>
              <w:rPr>
                <w:rFonts w:ascii="仿宋" w:hAnsi="仿宋" w:eastAsia="仿宋"/>
              </w:rPr>
            </w:pPr>
            <w:r>
              <w:rPr>
                <w:rFonts w:hint="eastAsia" w:ascii="仿宋" w:hAnsi="仿宋" w:eastAsia="仿宋"/>
              </w:rPr>
              <w:t>0</w:t>
            </w:r>
          </w:p>
        </w:tc>
        <w:tc>
          <w:tcPr>
            <w:tcW w:w="672" w:type="pct"/>
            <w:tcBorders>
              <w:top w:val="single" w:color="000000" w:sz="4" w:space="0"/>
              <w:left w:val="single" w:color="auto" w:sz="4" w:space="0"/>
              <w:bottom w:val="single" w:color="000000" w:sz="4" w:space="0"/>
              <w:right w:val="single" w:color="auto" w:sz="4" w:space="0"/>
            </w:tcBorders>
            <w:vAlign w:val="center"/>
          </w:tcPr>
          <w:p>
            <w:pPr>
              <w:pStyle w:val="448"/>
              <w:adjustRightInd w:val="0"/>
              <w:snapToGrid w:val="0"/>
              <w:spacing w:line="320" w:lineRule="exact"/>
              <w:rPr>
                <w:rFonts w:ascii="仿宋" w:hAnsi="仿宋" w:eastAsia="仿宋"/>
              </w:rPr>
            </w:pPr>
            <w:r>
              <w:rPr>
                <w:rFonts w:hint="eastAsia" w:ascii="仿宋" w:hAnsi="仿宋" w:eastAsia="仿宋"/>
              </w:rPr>
              <w:t>0</w:t>
            </w:r>
          </w:p>
        </w:tc>
        <w:tc>
          <w:tcPr>
            <w:tcW w:w="55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cs="华文仿宋"/>
                <w:szCs w:val="21"/>
              </w:rPr>
            </w:pPr>
            <w:r>
              <w:rPr>
                <w:rFonts w:hint="eastAsia" w:ascii="仿宋" w:hAnsi="仿宋" w:eastAsia="仿宋" w:cs="华文仿宋"/>
                <w:szCs w:val="21"/>
              </w:rPr>
              <w:t>-</w:t>
            </w:r>
          </w:p>
        </w:tc>
        <w:tc>
          <w:tcPr>
            <w:tcW w:w="55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szCs w:val="21"/>
              </w:rPr>
            </w:pPr>
            <w:r>
              <w:rPr>
                <w:rFonts w:hint="eastAsia" w:ascii="仿宋" w:hAnsi="仿宋" w:eastAsia="仿宋" w:cs="华文仿宋"/>
                <w:szCs w:val="21"/>
              </w:rPr>
              <w:t>-</w:t>
            </w:r>
          </w:p>
        </w:tc>
        <w:tc>
          <w:tcPr>
            <w:tcW w:w="55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szCs w:val="21"/>
              </w:rPr>
            </w:pPr>
            <w:r>
              <w:rPr>
                <w:rFonts w:hint="eastAsia" w:ascii="仿宋" w:hAnsi="仿宋" w:eastAsia="仿宋" w:cs="华文仿宋"/>
                <w:szCs w:val="21"/>
              </w:rPr>
              <w:t>-</w:t>
            </w:r>
          </w:p>
        </w:tc>
        <w:tc>
          <w:tcPr>
            <w:tcW w:w="53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cs="华文仿宋"/>
                <w:szCs w:val="21"/>
              </w:rPr>
            </w:pPr>
            <w:r>
              <w:rPr>
                <w:rFonts w:hint="eastAsia" w:ascii="仿宋" w:hAnsi="仿宋" w:eastAsia="仿宋" w:cs="华文仿宋"/>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40" w:type="pct"/>
            <w:tcBorders>
              <w:top w:val="single" w:color="000000" w:sz="4" w:space="0"/>
              <w:left w:val="single" w:color="000000" w:sz="4" w:space="0"/>
              <w:bottom w:val="single" w:color="000000" w:sz="4" w:space="0"/>
              <w:right w:val="single" w:color="000000" w:sz="4" w:space="0"/>
            </w:tcBorders>
            <w:vAlign w:val="center"/>
          </w:tcPr>
          <w:p>
            <w:pPr>
              <w:pStyle w:val="286"/>
              <w:snapToGrid w:val="0"/>
              <w:spacing w:after="0" w:line="320" w:lineRule="exact"/>
              <w:ind w:left="0" w:leftChars="0" w:firstLine="0" w:firstLineChars="0"/>
              <w:jc w:val="center"/>
              <w:textAlignment w:val="auto"/>
              <w:rPr>
                <w:rFonts w:ascii="仿宋" w:hAnsi="仿宋" w:eastAsia="仿宋"/>
                <w:szCs w:val="21"/>
              </w:rPr>
            </w:pPr>
            <w:r>
              <w:rPr>
                <w:rFonts w:ascii="仿宋" w:hAnsi="仿宋" w:eastAsia="仿宋"/>
                <w:sz w:val="21"/>
                <w:szCs w:val="21"/>
              </w:rPr>
              <w:t>HCO</w:t>
            </w:r>
            <w:r>
              <w:rPr>
                <w:rFonts w:ascii="仿宋" w:hAnsi="仿宋" w:eastAsia="仿宋"/>
                <w:sz w:val="21"/>
                <w:szCs w:val="21"/>
                <w:vertAlign w:val="subscript"/>
              </w:rPr>
              <w:t>3</w:t>
            </w:r>
            <w:r>
              <w:rPr>
                <w:rFonts w:ascii="仿宋" w:hAnsi="仿宋" w:eastAsia="仿宋"/>
                <w:sz w:val="21"/>
                <w:szCs w:val="21"/>
                <w:vertAlign w:val="superscript"/>
              </w:rPr>
              <w:t>-</w:t>
            </w:r>
          </w:p>
        </w:tc>
        <w:tc>
          <w:tcPr>
            <w:tcW w:w="704" w:type="pct"/>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Cs w:val="21"/>
              </w:rPr>
            </w:pPr>
            <w:r>
              <w:rPr>
                <w:rFonts w:ascii="仿宋" w:hAnsi="仿宋" w:eastAsia="仿宋"/>
                <w:szCs w:val="21"/>
              </w:rPr>
              <w:t>4.60</w:t>
            </w:r>
          </w:p>
        </w:tc>
        <w:tc>
          <w:tcPr>
            <w:tcW w:w="672" w:type="pct"/>
            <w:tcBorders>
              <w:top w:val="single" w:color="000000" w:sz="4" w:space="0"/>
              <w:left w:val="single" w:color="000000" w:sz="4" w:space="0"/>
              <w:bottom w:val="single" w:color="000000" w:sz="4" w:space="0"/>
              <w:right w:val="single" w:color="auto" w:sz="4" w:space="0"/>
            </w:tcBorders>
            <w:vAlign w:val="center"/>
          </w:tcPr>
          <w:p>
            <w:pPr>
              <w:pStyle w:val="448"/>
              <w:adjustRightInd w:val="0"/>
              <w:snapToGrid w:val="0"/>
              <w:spacing w:line="320" w:lineRule="exact"/>
              <w:rPr>
                <w:rFonts w:ascii="仿宋" w:hAnsi="仿宋" w:eastAsia="仿宋"/>
                <w:szCs w:val="21"/>
              </w:rPr>
            </w:pPr>
            <w:r>
              <w:rPr>
                <w:rFonts w:hint="eastAsia" w:ascii="仿宋" w:hAnsi="仿宋" w:eastAsia="仿宋"/>
              </w:rPr>
              <w:t>6.3</w:t>
            </w:r>
          </w:p>
        </w:tc>
        <w:tc>
          <w:tcPr>
            <w:tcW w:w="672" w:type="pct"/>
            <w:tcBorders>
              <w:top w:val="single" w:color="000000" w:sz="4" w:space="0"/>
              <w:left w:val="single" w:color="auto" w:sz="4" w:space="0"/>
              <w:bottom w:val="single" w:color="000000" w:sz="4" w:space="0"/>
              <w:right w:val="single" w:color="auto" w:sz="4" w:space="0"/>
            </w:tcBorders>
            <w:vAlign w:val="center"/>
          </w:tcPr>
          <w:p>
            <w:pPr>
              <w:pStyle w:val="448"/>
              <w:adjustRightInd w:val="0"/>
              <w:snapToGrid w:val="0"/>
              <w:spacing w:line="320" w:lineRule="exact"/>
              <w:rPr>
                <w:rFonts w:ascii="仿宋" w:hAnsi="仿宋" w:eastAsia="仿宋"/>
                <w:szCs w:val="21"/>
              </w:rPr>
            </w:pPr>
            <w:r>
              <w:rPr>
                <w:rFonts w:hint="eastAsia" w:ascii="仿宋" w:hAnsi="仿宋" w:eastAsia="仿宋"/>
              </w:rPr>
              <w:t>6.6</w:t>
            </w:r>
          </w:p>
        </w:tc>
        <w:tc>
          <w:tcPr>
            <w:tcW w:w="55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cs="华文仿宋"/>
                <w:szCs w:val="21"/>
              </w:rPr>
            </w:pPr>
            <w:r>
              <w:rPr>
                <w:rFonts w:hint="eastAsia" w:ascii="仿宋" w:hAnsi="仿宋" w:eastAsia="仿宋" w:cs="华文仿宋"/>
                <w:szCs w:val="21"/>
              </w:rPr>
              <w:t>-</w:t>
            </w:r>
          </w:p>
        </w:tc>
        <w:tc>
          <w:tcPr>
            <w:tcW w:w="55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szCs w:val="21"/>
              </w:rPr>
            </w:pPr>
            <w:r>
              <w:rPr>
                <w:rFonts w:hint="eastAsia" w:ascii="仿宋" w:hAnsi="仿宋" w:eastAsia="仿宋" w:cs="华文仿宋"/>
                <w:szCs w:val="21"/>
              </w:rPr>
              <w:t>-</w:t>
            </w:r>
          </w:p>
        </w:tc>
        <w:tc>
          <w:tcPr>
            <w:tcW w:w="55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szCs w:val="21"/>
              </w:rPr>
            </w:pPr>
            <w:r>
              <w:rPr>
                <w:rFonts w:hint="eastAsia" w:ascii="仿宋" w:hAnsi="仿宋" w:eastAsia="仿宋" w:cs="华文仿宋"/>
                <w:szCs w:val="21"/>
              </w:rPr>
              <w:t>-</w:t>
            </w:r>
          </w:p>
        </w:tc>
        <w:tc>
          <w:tcPr>
            <w:tcW w:w="53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cs="华文仿宋"/>
                <w:szCs w:val="21"/>
              </w:rPr>
            </w:pPr>
            <w:r>
              <w:rPr>
                <w:rFonts w:hint="eastAsia" w:ascii="仿宋" w:hAnsi="仿宋" w:eastAsia="仿宋" w:cs="华文仿宋"/>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40" w:type="pct"/>
            <w:tcBorders>
              <w:top w:val="single" w:color="000000" w:sz="4" w:space="0"/>
              <w:left w:val="single" w:color="000000" w:sz="4" w:space="0"/>
              <w:bottom w:val="single" w:color="000000" w:sz="4" w:space="0"/>
              <w:right w:val="single" w:color="000000" w:sz="4" w:space="0"/>
            </w:tcBorders>
            <w:vAlign w:val="center"/>
          </w:tcPr>
          <w:p>
            <w:pPr>
              <w:pStyle w:val="448"/>
              <w:adjustRightInd w:val="0"/>
              <w:snapToGrid w:val="0"/>
              <w:spacing w:line="320" w:lineRule="exact"/>
              <w:rPr>
                <w:rFonts w:ascii="仿宋" w:hAnsi="仿宋" w:eastAsia="仿宋"/>
                <w:szCs w:val="21"/>
              </w:rPr>
            </w:pPr>
            <w:r>
              <w:rPr>
                <w:rFonts w:ascii="仿宋" w:hAnsi="仿宋" w:eastAsia="仿宋"/>
              </w:rPr>
              <w:t>六价格</w:t>
            </w:r>
          </w:p>
        </w:tc>
        <w:tc>
          <w:tcPr>
            <w:tcW w:w="704" w:type="pct"/>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Cs w:val="21"/>
              </w:rPr>
            </w:pPr>
            <w:r>
              <w:rPr>
                <w:rFonts w:ascii="仿宋" w:hAnsi="仿宋" w:eastAsia="仿宋"/>
              </w:rPr>
              <w:t>0.004L</w:t>
            </w:r>
          </w:p>
        </w:tc>
        <w:tc>
          <w:tcPr>
            <w:tcW w:w="672" w:type="pct"/>
            <w:tcBorders>
              <w:top w:val="single" w:color="000000" w:sz="4" w:space="0"/>
              <w:left w:val="single" w:color="000000" w:sz="4" w:space="0"/>
              <w:bottom w:val="single" w:color="000000" w:sz="4" w:space="0"/>
              <w:right w:val="single" w:color="auto" w:sz="4" w:space="0"/>
            </w:tcBorders>
            <w:vAlign w:val="center"/>
          </w:tcPr>
          <w:p>
            <w:pPr>
              <w:pStyle w:val="448"/>
              <w:adjustRightInd w:val="0"/>
              <w:snapToGrid w:val="0"/>
              <w:spacing w:line="320" w:lineRule="exact"/>
              <w:rPr>
                <w:rFonts w:ascii="仿宋" w:hAnsi="仿宋" w:eastAsia="仿宋"/>
              </w:rPr>
            </w:pPr>
            <w:r>
              <w:rPr>
                <w:rFonts w:ascii="仿宋" w:hAnsi="仿宋" w:eastAsia="仿宋"/>
              </w:rPr>
              <w:t>0.004L</w:t>
            </w:r>
          </w:p>
        </w:tc>
        <w:tc>
          <w:tcPr>
            <w:tcW w:w="672" w:type="pct"/>
            <w:tcBorders>
              <w:top w:val="single" w:color="000000" w:sz="4" w:space="0"/>
              <w:left w:val="single" w:color="auto" w:sz="4" w:space="0"/>
              <w:bottom w:val="single" w:color="000000" w:sz="4" w:space="0"/>
              <w:right w:val="single" w:color="auto" w:sz="4" w:space="0"/>
            </w:tcBorders>
            <w:vAlign w:val="center"/>
          </w:tcPr>
          <w:p>
            <w:pPr>
              <w:pStyle w:val="448"/>
              <w:adjustRightInd w:val="0"/>
              <w:snapToGrid w:val="0"/>
              <w:spacing w:line="320" w:lineRule="exact"/>
              <w:rPr>
                <w:rFonts w:ascii="仿宋" w:hAnsi="仿宋" w:eastAsia="仿宋"/>
              </w:rPr>
            </w:pPr>
            <w:r>
              <w:rPr>
                <w:rFonts w:ascii="仿宋" w:hAnsi="仿宋" w:eastAsia="仿宋"/>
              </w:rPr>
              <w:t>0.004L</w:t>
            </w:r>
          </w:p>
        </w:tc>
        <w:tc>
          <w:tcPr>
            <w:tcW w:w="55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cs="华文仿宋"/>
                <w:szCs w:val="21"/>
              </w:rPr>
            </w:pPr>
            <w:r>
              <w:rPr>
                <w:rFonts w:hint="eastAsia" w:ascii="仿宋" w:hAnsi="仿宋" w:eastAsia="仿宋" w:cs="华文仿宋"/>
                <w:szCs w:val="21"/>
              </w:rPr>
              <w:t>≤</w:t>
            </w:r>
            <w:r>
              <w:rPr>
                <w:rFonts w:ascii="仿宋" w:hAnsi="仿宋" w:eastAsia="仿宋" w:cs="华文仿宋"/>
                <w:szCs w:val="21"/>
              </w:rPr>
              <w:t>0.005</w:t>
            </w:r>
          </w:p>
        </w:tc>
        <w:tc>
          <w:tcPr>
            <w:tcW w:w="55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szCs w:val="21"/>
              </w:rPr>
            </w:pPr>
            <w:r>
              <w:rPr>
                <w:rFonts w:hint="eastAsia" w:ascii="仿宋" w:hAnsi="仿宋" w:eastAsia="仿宋" w:cs="华文仿宋"/>
                <w:szCs w:val="21"/>
              </w:rPr>
              <w:t>≤0.01</w:t>
            </w:r>
          </w:p>
        </w:tc>
        <w:tc>
          <w:tcPr>
            <w:tcW w:w="55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szCs w:val="21"/>
              </w:rPr>
            </w:pPr>
            <w:r>
              <w:rPr>
                <w:rFonts w:hint="eastAsia" w:ascii="仿宋" w:hAnsi="仿宋" w:eastAsia="仿宋" w:cs="华文仿宋"/>
                <w:szCs w:val="21"/>
              </w:rPr>
              <w:t>≤0.0</w:t>
            </w:r>
            <w:r>
              <w:rPr>
                <w:rFonts w:ascii="仿宋" w:hAnsi="仿宋" w:eastAsia="仿宋" w:cs="华文仿宋"/>
                <w:szCs w:val="21"/>
              </w:rPr>
              <w:t>5</w:t>
            </w:r>
          </w:p>
        </w:tc>
        <w:tc>
          <w:tcPr>
            <w:tcW w:w="53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cs="华文仿宋"/>
                <w:szCs w:val="21"/>
              </w:rPr>
            </w:pPr>
            <w:r>
              <w:rPr>
                <w:rFonts w:hint="eastAsia" w:ascii="仿宋" w:hAnsi="仿宋" w:eastAsia="仿宋" w:cs="华文仿宋"/>
                <w:szCs w:val="21"/>
              </w:rPr>
              <w:t>≤</w:t>
            </w:r>
            <w:r>
              <w:rPr>
                <w:rFonts w:ascii="仿宋" w:hAnsi="仿宋" w:eastAsia="仿宋" w:cs="华文仿宋"/>
                <w:szCs w:val="21"/>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40" w:type="pct"/>
            <w:tcBorders>
              <w:top w:val="single" w:color="000000" w:sz="4" w:space="0"/>
              <w:left w:val="single" w:color="000000" w:sz="4" w:space="0"/>
              <w:bottom w:val="single" w:color="000000" w:sz="4" w:space="0"/>
              <w:right w:val="single" w:color="000000" w:sz="4" w:space="0"/>
            </w:tcBorders>
            <w:vAlign w:val="center"/>
          </w:tcPr>
          <w:p>
            <w:pPr>
              <w:pStyle w:val="448"/>
              <w:adjustRightInd w:val="0"/>
              <w:snapToGrid w:val="0"/>
              <w:spacing w:line="320" w:lineRule="exact"/>
              <w:rPr>
                <w:rFonts w:ascii="仿宋" w:hAnsi="仿宋" w:eastAsia="仿宋"/>
                <w:szCs w:val="21"/>
              </w:rPr>
            </w:pPr>
            <w:r>
              <w:rPr>
                <w:rFonts w:ascii="仿宋" w:hAnsi="仿宋" w:eastAsia="仿宋"/>
              </w:rPr>
              <w:t>铁</w:t>
            </w:r>
          </w:p>
        </w:tc>
        <w:tc>
          <w:tcPr>
            <w:tcW w:w="704" w:type="pct"/>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Cs w:val="21"/>
              </w:rPr>
            </w:pPr>
            <w:r>
              <w:rPr>
                <w:rFonts w:hint="eastAsia" w:ascii="仿宋" w:hAnsi="仿宋" w:eastAsia="仿宋"/>
                <w:szCs w:val="21"/>
              </w:rPr>
              <w:t>0.16</w:t>
            </w:r>
          </w:p>
        </w:tc>
        <w:tc>
          <w:tcPr>
            <w:tcW w:w="672" w:type="pct"/>
            <w:tcBorders>
              <w:top w:val="single" w:color="000000" w:sz="4" w:space="0"/>
              <w:left w:val="single" w:color="000000" w:sz="4" w:space="0"/>
              <w:bottom w:val="single" w:color="000000" w:sz="4" w:space="0"/>
              <w:right w:val="single" w:color="auto" w:sz="4" w:space="0"/>
            </w:tcBorders>
            <w:vAlign w:val="center"/>
          </w:tcPr>
          <w:p>
            <w:pPr>
              <w:pStyle w:val="448"/>
              <w:adjustRightInd w:val="0"/>
              <w:snapToGrid w:val="0"/>
              <w:spacing w:line="320" w:lineRule="exact"/>
              <w:rPr>
                <w:rFonts w:ascii="仿宋" w:hAnsi="仿宋" w:eastAsia="仿宋"/>
              </w:rPr>
            </w:pPr>
            <w:r>
              <w:rPr>
                <w:rFonts w:hint="eastAsia" w:ascii="仿宋" w:hAnsi="仿宋" w:eastAsia="仿宋"/>
              </w:rPr>
              <w:t>0.03</w:t>
            </w:r>
          </w:p>
        </w:tc>
        <w:tc>
          <w:tcPr>
            <w:tcW w:w="672" w:type="pct"/>
            <w:tcBorders>
              <w:top w:val="single" w:color="000000" w:sz="4" w:space="0"/>
              <w:left w:val="single" w:color="auto" w:sz="4" w:space="0"/>
              <w:bottom w:val="single" w:color="000000" w:sz="4" w:space="0"/>
              <w:right w:val="single" w:color="auto" w:sz="4" w:space="0"/>
            </w:tcBorders>
            <w:vAlign w:val="center"/>
          </w:tcPr>
          <w:p>
            <w:pPr>
              <w:pStyle w:val="448"/>
              <w:adjustRightInd w:val="0"/>
              <w:snapToGrid w:val="0"/>
              <w:spacing w:line="320" w:lineRule="exact"/>
              <w:rPr>
                <w:rFonts w:ascii="仿宋" w:hAnsi="仿宋" w:eastAsia="仿宋"/>
              </w:rPr>
            </w:pPr>
            <w:r>
              <w:rPr>
                <w:rFonts w:hint="eastAsia" w:ascii="仿宋" w:hAnsi="仿宋" w:eastAsia="仿宋"/>
              </w:rPr>
              <w:t>0.03</w:t>
            </w:r>
          </w:p>
        </w:tc>
        <w:tc>
          <w:tcPr>
            <w:tcW w:w="55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cs="华文仿宋"/>
                <w:szCs w:val="21"/>
              </w:rPr>
            </w:pPr>
            <w:r>
              <w:rPr>
                <w:rFonts w:hint="eastAsia" w:ascii="仿宋" w:hAnsi="仿宋" w:eastAsia="仿宋" w:cs="华文仿宋"/>
                <w:szCs w:val="21"/>
              </w:rPr>
              <w:t>≤</w:t>
            </w:r>
            <w:r>
              <w:rPr>
                <w:rFonts w:ascii="仿宋" w:hAnsi="仿宋" w:eastAsia="仿宋" w:cs="华文仿宋"/>
                <w:szCs w:val="21"/>
              </w:rPr>
              <w:t>0.1</w:t>
            </w:r>
          </w:p>
        </w:tc>
        <w:tc>
          <w:tcPr>
            <w:tcW w:w="55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szCs w:val="21"/>
              </w:rPr>
            </w:pPr>
            <w:r>
              <w:rPr>
                <w:rFonts w:hint="eastAsia" w:ascii="仿宋" w:hAnsi="仿宋" w:eastAsia="仿宋" w:cs="华文仿宋"/>
                <w:szCs w:val="21"/>
              </w:rPr>
              <w:t>≤0.2</w:t>
            </w:r>
          </w:p>
        </w:tc>
        <w:tc>
          <w:tcPr>
            <w:tcW w:w="55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szCs w:val="21"/>
              </w:rPr>
            </w:pPr>
            <w:r>
              <w:rPr>
                <w:rFonts w:hint="eastAsia" w:ascii="仿宋" w:hAnsi="仿宋" w:eastAsia="仿宋" w:cs="华文仿宋"/>
                <w:szCs w:val="21"/>
              </w:rPr>
              <w:t>≤0.3</w:t>
            </w:r>
          </w:p>
        </w:tc>
        <w:tc>
          <w:tcPr>
            <w:tcW w:w="53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cs="华文仿宋"/>
                <w:szCs w:val="21"/>
              </w:rPr>
            </w:pPr>
            <w:r>
              <w:rPr>
                <w:rFonts w:hint="eastAsia" w:ascii="仿宋" w:hAnsi="仿宋" w:eastAsia="仿宋" w:cs="华文仿宋"/>
                <w:szCs w:val="21"/>
              </w:rPr>
              <w:t>≤</w:t>
            </w:r>
            <w:r>
              <w:rPr>
                <w:rFonts w:ascii="仿宋" w:hAnsi="仿宋" w:eastAsia="仿宋" w:cs="华文仿宋"/>
                <w:szCs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40" w:type="pct"/>
            <w:tcBorders>
              <w:top w:val="single" w:color="000000" w:sz="4" w:space="0"/>
              <w:left w:val="single" w:color="000000" w:sz="4" w:space="0"/>
              <w:bottom w:val="single" w:color="000000" w:sz="4" w:space="0"/>
              <w:right w:val="single" w:color="000000" w:sz="4" w:space="0"/>
            </w:tcBorders>
            <w:vAlign w:val="center"/>
          </w:tcPr>
          <w:p>
            <w:pPr>
              <w:pStyle w:val="448"/>
              <w:adjustRightInd w:val="0"/>
              <w:snapToGrid w:val="0"/>
              <w:spacing w:line="320" w:lineRule="exact"/>
              <w:rPr>
                <w:rFonts w:ascii="仿宋" w:hAnsi="仿宋" w:eastAsia="仿宋"/>
                <w:szCs w:val="21"/>
              </w:rPr>
            </w:pPr>
            <w:r>
              <w:rPr>
                <w:rFonts w:ascii="仿宋" w:hAnsi="仿宋" w:eastAsia="仿宋"/>
              </w:rPr>
              <w:t>锰</w:t>
            </w:r>
          </w:p>
        </w:tc>
        <w:tc>
          <w:tcPr>
            <w:tcW w:w="704" w:type="pct"/>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Cs w:val="21"/>
              </w:rPr>
            </w:pPr>
            <w:r>
              <w:rPr>
                <w:rFonts w:hint="eastAsia" w:ascii="仿宋" w:hAnsi="仿宋" w:eastAsia="仿宋"/>
                <w:szCs w:val="21"/>
              </w:rPr>
              <w:t>0.01</w:t>
            </w:r>
            <w:r>
              <w:rPr>
                <w:rFonts w:ascii="仿宋" w:hAnsi="仿宋" w:eastAsia="仿宋"/>
                <w:szCs w:val="21"/>
              </w:rPr>
              <w:t>L</w:t>
            </w:r>
          </w:p>
        </w:tc>
        <w:tc>
          <w:tcPr>
            <w:tcW w:w="672" w:type="pct"/>
            <w:tcBorders>
              <w:top w:val="single" w:color="000000" w:sz="4" w:space="0"/>
              <w:left w:val="single" w:color="000000" w:sz="4" w:space="0"/>
              <w:bottom w:val="single" w:color="000000" w:sz="4" w:space="0"/>
              <w:right w:val="single" w:color="auto" w:sz="4" w:space="0"/>
            </w:tcBorders>
            <w:vAlign w:val="center"/>
          </w:tcPr>
          <w:p>
            <w:pPr>
              <w:pStyle w:val="448"/>
              <w:adjustRightInd w:val="0"/>
              <w:snapToGrid w:val="0"/>
              <w:spacing w:line="320" w:lineRule="exact"/>
              <w:rPr>
                <w:rFonts w:ascii="仿宋" w:hAnsi="仿宋" w:eastAsia="仿宋"/>
                <w:szCs w:val="21"/>
              </w:rPr>
            </w:pPr>
            <w:r>
              <w:rPr>
                <w:rFonts w:hint="eastAsia" w:ascii="仿宋" w:hAnsi="仿宋" w:eastAsia="仿宋"/>
              </w:rPr>
              <w:t>0.088</w:t>
            </w:r>
          </w:p>
        </w:tc>
        <w:tc>
          <w:tcPr>
            <w:tcW w:w="672" w:type="pct"/>
            <w:tcBorders>
              <w:top w:val="single" w:color="000000" w:sz="4" w:space="0"/>
              <w:left w:val="single" w:color="auto" w:sz="4" w:space="0"/>
              <w:bottom w:val="single" w:color="000000" w:sz="4" w:space="0"/>
              <w:right w:val="single" w:color="auto" w:sz="4" w:space="0"/>
            </w:tcBorders>
            <w:vAlign w:val="center"/>
          </w:tcPr>
          <w:p>
            <w:pPr>
              <w:pStyle w:val="448"/>
              <w:adjustRightInd w:val="0"/>
              <w:snapToGrid w:val="0"/>
              <w:spacing w:line="320" w:lineRule="exact"/>
              <w:rPr>
                <w:rFonts w:ascii="仿宋" w:hAnsi="仿宋" w:eastAsia="仿宋"/>
                <w:szCs w:val="21"/>
              </w:rPr>
            </w:pPr>
            <w:r>
              <w:rPr>
                <w:rFonts w:hint="eastAsia" w:ascii="仿宋" w:hAnsi="仿宋" w:eastAsia="仿宋"/>
              </w:rPr>
              <w:t>0.113</w:t>
            </w:r>
          </w:p>
        </w:tc>
        <w:tc>
          <w:tcPr>
            <w:tcW w:w="55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cs="华文仿宋"/>
                <w:szCs w:val="21"/>
              </w:rPr>
            </w:pPr>
            <w:r>
              <w:rPr>
                <w:rFonts w:hint="eastAsia" w:ascii="仿宋" w:hAnsi="仿宋" w:eastAsia="仿宋" w:cs="华文仿宋"/>
                <w:szCs w:val="21"/>
              </w:rPr>
              <w:t>≤</w:t>
            </w:r>
            <w:r>
              <w:rPr>
                <w:rFonts w:ascii="仿宋" w:hAnsi="仿宋" w:eastAsia="仿宋" w:cs="华文仿宋"/>
                <w:szCs w:val="21"/>
              </w:rPr>
              <w:t>0.05</w:t>
            </w:r>
          </w:p>
        </w:tc>
        <w:tc>
          <w:tcPr>
            <w:tcW w:w="55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szCs w:val="21"/>
              </w:rPr>
            </w:pPr>
            <w:r>
              <w:rPr>
                <w:rFonts w:hint="eastAsia" w:ascii="仿宋" w:hAnsi="仿宋" w:eastAsia="仿宋" w:cs="华文仿宋"/>
                <w:szCs w:val="21"/>
              </w:rPr>
              <w:t>≤0.05</w:t>
            </w:r>
          </w:p>
        </w:tc>
        <w:tc>
          <w:tcPr>
            <w:tcW w:w="55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szCs w:val="21"/>
              </w:rPr>
            </w:pPr>
            <w:r>
              <w:rPr>
                <w:rFonts w:hint="eastAsia" w:ascii="仿宋" w:hAnsi="仿宋" w:eastAsia="仿宋" w:cs="华文仿宋"/>
                <w:szCs w:val="21"/>
              </w:rPr>
              <w:t>≤0.1</w:t>
            </w:r>
          </w:p>
        </w:tc>
        <w:tc>
          <w:tcPr>
            <w:tcW w:w="53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cs="华文仿宋"/>
                <w:szCs w:val="21"/>
              </w:rPr>
            </w:pPr>
            <w:r>
              <w:rPr>
                <w:rFonts w:hint="eastAsia" w:ascii="仿宋" w:hAnsi="仿宋" w:eastAsia="仿宋" w:cs="华文仿宋"/>
                <w:szCs w:val="21"/>
              </w:rPr>
              <w:t>≤</w:t>
            </w:r>
            <w:r>
              <w:rPr>
                <w:rFonts w:ascii="仿宋" w:hAnsi="仿宋" w:eastAsia="仿宋" w:cs="华文仿宋"/>
                <w:szCs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40" w:type="pct"/>
            <w:tcBorders>
              <w:top w:val="single" w:color="000000" w:sz="4" w:space="0"/>
              <w:left w:val="single" w:color="000000" w:sz="4" w:space="0"/>
              <w:bottom w:val="single" w:color="000000" w:sz="4" w:space="0"/>
              <w:right w:val="single" w:color="000000" w:sz="4" w:space="0"/>
            </w:tcBorders>
            <w:vAlign w:val="center"/>
          </w:tcPr>
          <w:p>
            <w:pPr>
              <w:pStyle w:val="286"/>
              <w:snapToGrid w:val="0"/>
              <w:spacing w:after="0" w:line="320" w:lineRule="exact"/>
              <w:ind w:left="0" w:leftChars="0" w:firstLine="0" w:firstLineChars="0"/>
              <w:jc w:val="center"/>
              <w:textAlignment w:val="auto"/>
              <w:rPr>
                <w:rFonts w:ascii="仿宋" w:hAnsi="仿宋" w:eastAsia="仿宋"/>
                <w:szCs w:val="21"/>
              </w:rPr>
            </w:pPr>
            <w:r>
              <w:rPr>
                <w:rFonts w:ascii="仿宋" w:hAnsi="仿宋" w:eastAsia="仿宋"/>
                <w:sz w:val="21"/>
                <w:szCs w:val="21"/>
              </w:rPr>
              <w:t>钾</w:t>
            </w:r>
          </w:p>
        </w:tc>
        <w:tc>
          <w:tcPr>
            <w:tcW w:w="704" w:type="pct"/>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Cs w:val="21"/>
              </w:rPr>
            </w:pPr>
            <w:r>
              <w:rPr>
                <w:rFonts w:hint="eastAsia" w:ascii="仿宋" w:hAnsi="仿宋" w:eastAsia="仿宋"/>
                <w:szCs w:val="21"/>
              </w:rPr>
              <w:t>0.40</w:t>
            </w:r>
          </w:p>
        </w:tc>
        <w:tc>
          <w:tcPr>
            <w:tcW w:w="672" w:type="pct"/>
            <w:tcBorders>
              <w:top w:val="single" w:color="000000" w:sz="4" w:space="0"/>
              <w:left w:val="single" w:color="000000" w:sz="4" w:space="0"/>
              <w:bottom w:val="single" w:color="000000" w:sz="4" w:space="0"/>
              <w:right w:val="single" w:color="auto" w:sz="4" w:space="0"/>
            </w:tcBorders>
            <w:vAlign w:val="center"/>
          </w:tcPr>
          <w:p>
            <w:pPr>
              <w:pStyle w:val="286"/>
              <w:snapToGrid w:val="0"/>
              <w:spacing w:after="0" w:line="320" w:lineRule="exact"/>
              <w:ind w:left="0" w:leftChars="0" w:firstLine="0" w:firstLineChars="0"/>
              <w:jc w:val="center"/>
              <w:textAlignment w:val="auto"/>
              <w:rPr>
                <w:rFonts w:ascii="仿宋" w:hAnsi="仿宋" w:eastAsia="仿宋"/>
              </w:rPr>
            </w:pPr>
            <w:r>
              <w:rPr>
                <w:rFonts w:hint="eastAsia" w:ascii="仿宋" w:hAnsi="仿宋" w:eastAsia="仿宋"/>
                <w:sz w:val="21"/>
                <w:szCs w:val="21"/>
              </w:rPr>
              <w:t>1.44</w:t>
            </w:r>
          </w:p>
        </w:tc>
        <w:tc>
          <w:tcPr>
            <w:tcW w:w="672" w:type="pct"/>
            <w:tcBorders>
              <w:top w:val="single" w:color="000000" w:sz="4" w:space="0"/>
              <w:left w:val="single" w:color="auto" w:sz="4" w:space="0"/>
              <w:bottom w:val="single" w:color="000000" w:sz="4" w:space="0"/>
              <w:right w:val="single" w:color="auto" w:sz="4" w:space="0"/>
            </w:tcBorders>
            <w:vAlign w:val="center"/>
          </w:tcPr>
          <w:p>
            <w:pPr>
              <w:pStyle w:val="286"/>
              <w:snapToGrid w:val="0"/>
              <w:spacing w:after="0" w:line="320" w:lineRule="exact"/>
              <w:ind w:left="0" w:leftChars="0" w:firstLine="0" w:firstLineChars="0"/>
              <w:jc w:val="center"/>
              <w:textAlignment w:val="auto"/>
              <w:rPr>
                <w:rFonts w:ascii="仿宋" w:hAnsi="仿宋" w:eastAsia="仿宋"/>
              </w:rPr>
            </w:pPr>
            <w:r>
              <w:rPr>
                <w:rFonts w:hint="eastAsia" w:ascii="仿宋" w:hAnsi="仿宋" w:eastAsia="仿宋"/>
                <w:sz w:val="21"/>
                <w:szCs w:val="21"/>
              </w:rPr>
              <w:t>1.07</w:t>
            </w:r>
          </w:p>
        </w:tc>
        <w:tc>
          <w:tcPr>
            <w:tcW w:w="55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cs="华文仿宋"/>
                <w:szCs w:val="21"/>
              </w:rPr>
            </w:pPr>
            <w:r>
              <w:rPr>
                <w:rFonts w:hint="eastAsia" w:ascii="仿宋" w:hAnsi="仿宋" w:eastAsia="仿宋" w:cs="华文仿宋"/>
                <w:szCs w:val="21"/>
              </w:rPr>
              <w:t>-</w:t>
            </w:r>
          </w:p>
        </w:tc>
        <w:tc>
          <w:tcPr>
            <w:tcW w:w="55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szCs w:val="21"/>
              </w:rPr>
            </w:pPr>
            <w:r>
              <w:rPr>
                <w:rFonts w:hint="eastAsia" w:ascii="仿宋" w:hAnsi="仿宋" w:eastAsia="仿宋" w:cs="华文仿宋"/>
                <w:szCs w:val="21"/>
              </w:rPr>
              <w:t>-</w:t>
            </w:r>
          </w:p>
        </w:tc>
        <w:tc>
          <w:tcPr>
            <w:tcW w:w="55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szCs w:val="21"/>
              </w:rPr>
            </w:pPr>
            <w:r>
              <w:rPr>
                <w:rFonts w:hint="eastAsia" w:ascii="仿宋" w:hAnsi="仿宋" w:eastAsia="仿宋" w:cs="华文仿宋"/>
                <w:szCs w:val="21"/>
              </w:rPr>
              <w:t>-</w:t>
            </w:r>
          </w:p>
        </w:tc>
        <w:tc>
          <w:tcPr>
            <w:tcW w:w="53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cs="华文仿宋"/>
                <w:szCs w:val="21"/>
              </w:rPr>
            </w:pPr>
            <w:r>
              <w:rPr>
                <w:rFonts w:hint="eastAsia" w:ascii="仿宋" w:hAnsi="仿宋" w:eastAsia="仿宋" w:cs="华文仿宋"/>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40" w:type="pct"/>
            <w:tcBorders>
              <w:top w:val="single" w:color="000000" w:sz="4" w:space="0"/>
              <w:left w:val="single" w:color="000000" w:sz="4" w:space="0"/>
              <w:bottom w:val="single" w:color="000000" w:sz="4" w:space="0"/>
              <w:right w:val="single" w:color="000000" w:sz="4" w:space="0"/>
            </w:tcBorders>
            <w:vAlign w:val="center"/>
          </w:tcPr>
          <w:p>
            <w:pPr>
              <w:pStyle w:val="286"/>
              <w:snapToGrid w:val="0"/>
              <w:spacing w:after="0" w:line="320" w:lineRule="exact"/>
              <w:ind w:left="0" w:leftChars="0" w:firstLine="0" w:firstLineChars="0"/>
              <w:jc w:val="center"/>
              <w:textAlignment w:val="auto"/>
              <w:rPr>
                <w:rFonts w:ascii="仿宋" w:hAnsi="仿宋" w:eastAsia="仿宋"/>
                <w:szCs w:val="21"/>
              </w:rPr>
            </w:pPr>
            <w:r>
              <w:rPr>
                <w:rFonts w:ascii="仿宋" w:hAnsi="仿宋" w:eastAsia="仿宋"/>
                <w:sz w:val="21"/>
                <w:szCs w:val="21"/>
              </w:rPr>
              <w:t>钙</w:t>
            </w:r>
          </w:p>
        </w:tc>
        <w:tc>
          <w:tcPr>
            <w:tcW w:w="704" w:type="pct"/>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Cs w:val="21"/>
              </w:rPr>
            </w:pPr>
            <w:r>
              <w:rPr>
                <w:rFonts w:hint="eastAsia" w:ascii="仿宋" w:hAnsi="仿宋" w:eastAsia="仿宋"/>
                <w:szCs w:val="21"/>
              </w:rPr>
              <w:t>58.5</w:t>
            </w:r>
          </w:p>
        </w:tc>
        <w:tc>
          <w:tcPr>
            <w:tcW w:w="672" w:type="pct"/>
            <w:tcBorders>
              <w:top w:val="single" w:color="000000" w:sz="4" w:space="0"/>
              <w:left w:val="single" w:color="000000" w:sz="4" w:space="0"/>
              <w:bottom w:val="single" w:color="000000" w:sz="4" w:space="0"/>
              <w:right w:val="single" w:color="auto" w:sz="4" w:space="0"/>
            </w:tcBorders>
            <w:vAlign w:val="center"/>
          </w:tcPr>
          <w:p>
            <w:pPr>
              <w:pStyle w:val="286"/>
              <w:snapToGrid w:val="0"/>
              <w:spacing w:after="0" w:line="320" w:lineRule="exact"/>
              <w:ind w:left="0" w:leftChars="0" w:firstLine="0" w:firstLineChars="0"/>
              <w:jc w:val="center"/>
              <w:textAlignment w:val="auto"/>
              <w:rPr>
                <w:rFonts w:ascii="仿宋" w:hAnsi="仿宋" w:eastAsia="仿宋"/>
              </w:rPr>
            </w:pPr>
            <w:r>
              <w:rPr>
                <w:rFonts w:hint="eastAsia" w:ascii="仿宋" w:hAnsi="仿宋" w:eastAsia="仿宋"/>
                <w:sz w:val="21"/>
                <w:szCs w:val="21"/>
              </w:rPr>
              <w:t>76.6</w:t>
            </w:r>
          </w:p>
        </w:tc>
        <w:tc>
          <w:tcPr>
            <w:tcW w:w="672" w:type="pct"/>
            <w:tcBorders>
              <w:top w:val="single" w:color="000000" w:sz="4" w:space="0"/>
              <w:left w:val="single" w:color="auto" w:sz="4" w:space="0"/>
              <w:bottom w:val="single" w:color="000000" w:sz="4" w:space="0"/>
              <w:right w:val="single" w:color="auto" w:sz="4" w:space="0"/>
            </w:tcBorders>
            <w:vAlign w:val="center"/>
          </w:tcPr>
          <w:p>
            <w:pPr>
              <w:pStyle w:val="286"/>
              <w:snapToGrid w:val="0"/>
              <w:spacing w:after="0" w:line="320" w:lineRule="exact"/>
              <w:ind w:left="0" w:leftChars="0" w:firstLine="0" w:firstLineChars="0"/>
              <w:jc w:val="center"/>
              <w:textAlignment w:val="auto"/>
              <w:rPr>
                <w:rFonts w:ascii="仿宋" w:hAnsi="仿宋" w:eastAsia="仿宋"/>
              </w:rPr>
            </w:pPr>
            <w:r>
              <w:rPr>
                <w:rFonts w:hint="eastAsia" w:ascii="仿宋" w:hAnsi="仿宋" w:eastAsia="仿宋"/>
                <w:sz w:val="21"/>
                <w:szCs w:val="21"/>
              </w:rPr>
              <w:t>72.8</w:t>
            </w:r>
          </w:p>
        </w:tc>
        <w:tc>
          <w:tcPr>
            <w:tcW w:w="55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cs="华文仿宋"/>
                <w:szCs w:val="21"/>
              </w:rPr>
            </w:pPr>
            <w:r>
              <w:rPr>
                <w:rFonts w:hint="eastAsia" w:ascii="仿宋" w:hAnsi="仿宋" w:eastAsia="仿宋" w:cs="华文仿宋"/>
                <w:szCs w:val="21"/>
              </w:rPr>
              <w:t>-</w:t>
            </w:r>
          </w:p>
        </w:tc>
        <w:tc>
          <w:tcPr>
            <w:tcW w:w="55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szCs w:val="21"/>
              </w:rPr>
            </w:pPr>
            <w:r>
              <w:rPr>
                <w:rFonts w:hint="eastAsia" w:ascii="仿宋" w:hAnsi="仿宋" w:eastAsia="仿宋" w:cs="华文仿宋"/>
                <w:szCs w:val="21"/>
              </w:rPr>
              <w:t>-</w:t>
            </w:r>
          </w:p>
        </w:tc>
        <w:tc>
          <w:tcPr>
            <w:tcW w:w="55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szCs w:val="21"/>
              </w:rPr>
            </w:pPr>
            <w:r>
              <w:rPr>
                <w:rFonts w:hint="eastAsia" w:ascii="仿宋" w:hAnsi="仿宋" w:eastAsia="仿宋" w:cs="华文仿宋"/>
                <w:szCs w:val="21"/>
              </w:rPr>
              <w:t>-</w:t>
            </w:r>
          </w:p>
        </w:tc>
        <w:tc>
          <w:tcPr>
            <w:tcW w:w="53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cs="华文仿宋"/>
                <w:szCs w:val="21"/>
              </w:rPr>
            </w:pPr>
            <w:r>
              <w:rPr>
                <w:rFonts w:hint="eastAsia" w:ascii="仿宋" w:hAnsi="仿宋" w:eastAsia="仿宋" w:cs="华文仿宋"/>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40" w:type="pct"/>
            <w:tcBorders>
              <w:top w:val="single" w:color="000000" w:sz="4" w:space="0"/>
              <w:left w:val="single" w:color="000000" w:sz="4" w:space="0"/>
              <w:bottom w:val="single" w:color="000000" w:sz="4" w:space="0"/>
              <w:right w:val="single" w:color="000000" w:sz="4" w:space="0"/>
            </w:tcBorders>
            <w:vAlign w:val="center"/>
          </w:tcPr>
          <w:p>
            <w:pPr>
              <w:pStyle w:val="286"/>
              <w:snapToGrid w:val="0"/>
              <w:spacing w:after="0" w:line="320" w:lineRule="exact"/>
              <w:ind w:left="0" w:leftChars="0" w:firstLine="0" w:firstLineChars="0"/>
              <w:jc w:val="center"/>
              <w:textAlignment w:val="auto"/>
              <w:rPr>
                <w:rFonts w:ascii="仿宋" w:hAnsi="仿宋" w:eastAsia="仿宋"/>
                <w:szCs w:val="21"/>
              </w:rPr>
            </w:pPr>
            <w:r>
              <w:rPr>
                <w:rFonts w:ascii="仿宋" w:hAnsi="仿宋" w:eastAsia="仿宋"/>
                <w:sz w:val="21"/>
                <w:szCs w:val="21"/>
              </w:rPr>
              <w:t>钠</w:t>
            </w:r>
          </w:p>
        </w:tc>
        <w:tc>
          <w:tcPr>
            <w:tcW w:w="704" w:type="pct"/>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Cs w:val="21"/>
              </w:rPr>
            </w:pPr>
            <w:r>
              <w:rPr>
                <w:rFonts w:hint="eastAsia" w:ascii="仿宋" w:hAnsi="仿宋" w:eastAsia="仿宋"/>
                <w:szCs w:val="21"/>
              </w:rPr>
              <w:t>56.0</w:t>
            </w:r>
          </w:p>
        </w:tc>
        <w:tc>
          <w:tcPr>
            <w:tcW w:w="672" w:type="pct"/>
            <w:tcBorders>
              <w:top w:val="single" w:color="000000" w:sz="4" w:space="0"/>
              <w:left w:val="single" w:color="000000" w:sz="4" w:space="0"/>
              <w:bottom w:val="single" w:color="000000" w:sz="4" w:space="0"/>
              <w:right w:val="single" w:color="auto" w:sz="4" w:space="0"/>
            </w:tcBorders>
            <w:vAlign w:val="center"/>
          </w:tcPr>
          <w:p>
            <w:pPr>
              <w:pStyle w:val="286"/>
              <w:snapToGrid w:val="0"/>
              <w:spacing w:after="0" w:line="320" w:lineRule="exact"/>
              <w:ind w:left="0" w:leftChars="0" w:firstLine="0" w:firstLineChars="0"/>
              <w:jc w:val="center"/>
              <w:textAlignment w:val="auto"/>
              <w:rPr>
                <w:rFonts w:ascii="仿宋" w:hAnsi="仿宋" w:eastAsia="仿宋"/>
                <w:szCs w:val="21"/>
              </w:rPr>
            </w:pPr>
            <w:r>
              <w:rPr>
                <w:rFonts w:hint="eastAsia" w:ascii="仿宋" w:hAnsi="仿宋" w:eastAsia="仿宋"/>
                <w:sz w:val="21"/>
                <w:szCs w:val="21"/>
              </w:rPr>
              <w:t>56.6</w:t>
            </w:r>
          </w:p>
        </w:tc>
        <w:tc>
          <w:tcPr>
            <w:tcW w:w="672" w:type="pct"/>
            <w:tcBorders>
              <w:top w:val="single" w:color="000000" w:sz="4" w:space="0"/>
              <w:left w:val="single" w:color="auto" w:sz="4" w:space="0"/>
              <w:bottom w:val="single" w:color="000000" w:sz="4" w:space="0"/>
              <w:right w:val="single" w:color="auto" w:sz="4" w:space="0"/>
            </w:tcBorders>
            <w:vAlign w:val="center"/>
          </w:tcPr>
          <w:p>
            <w:pPr>
              <w:pStyle w:val="286"/>
              <w:snapToGrid w:val="0"/>
              <w:spacing w:after="0" w:line="320" w:lineRule="exact"/>
              <w:ind w:left="0" w:leftChars="0" w:firstLine="0" w:firstLineChars="0"/>
              <w:jc w:val="center"/>
              <w:textAlignment w:val="auto"/>
              <w:rPr>
                <w:rFonts w:ascii="仿宋" w:hAnsi="仿宋" w:eastAsia="仿宋"/>
                <w:szCs w:val="21"/>
              </w:rPr>
            </w:pPr>
            <w:r>
              <w:rPr>
                <w:rFonts w:hint="eastAsia" w:ascii="仿宋" w:hAnsi="仿宋" w:eastAsia="仿宋"/>
                <w:sz w:val="21"/>
                <w:szCs w:val="21"/>
              </w:rPr>
              <w:t>56.1</w:t>
            </w:r>
          </w:p>
        </w:tc>
        <w:tc>
          <w:tcPr>
            <w:tcW w:w="55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cs="华文仿宋"/>
                <w:szCs w:val="21"/>
              </w:rPr>
            </w:pPr>
            <w:r>
              <w:rPr>
                <w:rFonts w:hint="eastAsia" w:ascii="仿宋" w:hAnsi="仿宋" w:eastAsia="仿宋" w:cs="华文仿宋"/>
                <w:szCs w:val="21"/>
              </w:rPr>
              <w:t>≤100</w:t>
            </w:r>
          </w:p>
        </w:tc>
        <w:tc>
          <w:tcPr>
            <w:tcW w:w="55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szCs w:val="21"/>
              </w:rPr>
            </w:pPr>
            <w:r>
              <w:rPr>
                <w:rFonts w:hint="eastAsia" w:ascii="仿宋" w:hAnsi="仿宋" w:eastAsia="仿宋" w:cs="华文仿宋"/>
                <w:szCs w:val="21"/>
              </w:rPr>
              <w:t>≤1</w:t>
            </w:r>
            <w:r>
              <w:rPr>
                <w:rFonts w:ascii="仿宋" w:hAnsi="仿宋" w:eastAsia="仿宋" w:cs="华文仿宋"/>
                <w:szCs w:val="21"/>
              </w:rPr>
              <w:t>50</w:t>
            </w:r>
          </w:p>
        </w:tc>
        <w:tc>
          <w:tcPr>
            <w:tcW w:w="55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szCs w:val="21"/>
              </w:rPr>
            </w:pPr>
            <w:r>
              <w:rPr>
                <w:rFonts w:hint="eastAsia" w:ascii="仿宋" w:hAnsi="仿宋" w:eastAsia="仿宋" w:cs="华文仿宋"/>
                <w:szCs w:val="21"/>
              </w:rPr>
              <w:t>≤200</w:t>
            </w:r>
          </w:p>
        </w:tc>
        <w:tc>
          <w:tcPr>
            <w:tcW w:w="53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cs="华文仿宋"/>
                <w:szCs w:val="21"/>
              </w:rPr>
            </w:pPr>
            <w:r>
              <w:rPr>
                <w:rFonts w:hint="eastAsia" w:ascii="仿宋" w:hAnsi="仿宋" w:eastAsia="仿宋" w:cs="华文仿宋"/>
                <w:szCs w:val="21"/>
              </w:rPr>
              <w:t>≤</w:t>
            </w:r>
            <w:r>
              <w:rPr>
                <w:rFonts w:ascii="仿宋" w:hAnsi="仿宋" w:eastAsia="仿宋" w:cs="华文仿宋"/>
                <w:szCs w:val="21"/>
              </w:rPr>
              <w:t>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40" w:type="pct"/>
            <w:tcBorders>
              <w:top w:val="single" w:color="000000" w:sz="4" w:space="0"/>
              <w:left w:val="single" w:color="000000" w:sz="4" w:space="0"/>
              <w:bottom w:val="single" w:color="000000" w:sz="4" w:space="0"/>
              <w:right w:val="single" w:color="000000" w:sz="4" w:space="0"/>
            </w:tcBorders>
            <w:vAlign w:val="center"/>
          </w:tcPr>
          <w:p>
            <w:pPr>
              <w:pStyle w:val="286"/>
              <w:snapToGrid w:val="0"/>
              <w:spacing w:after="0" w:line="320" w:lineRule="exact"/>
              <w:ind w:left="0" w:leftChars="0" w:firstLine="0" w:firstLineChars="0"/>
              <w:jc w:val="center"/>
              <w:textAlignment w:val="auto"/>
              <w:rPr>
                <w:rFonts w:ascii="仿宋" w:hAnsi="仿宋" w:eastAsia="仿宋"/>
                <w:szCs w:val="21"/>
              </w:rPr>
            </w:pPr>
            <w:r>
              <w:rPr>
                <w:rFonts w:ascii="仿宋" w:hAnsi="仿宋" w:eastAsia="仿宋"/>
                <w:sz w:val="21"/>
                <w:szCs w:val="21"/>
              </w:rPr>
              <w:t>镁</w:t>
            </w:r>
          </w:p>
        </w:tc>
        <w:tc>
          <w:tcPr>
            <w:tcW w:w="704" w:type="pct"/>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Cs w:val="21"/>
              </w:rPr>
            </w:pPr>
            <w:r>
              <w:rPr>
                <w:rFonts w:hint="eastAsia" w:ascii="仿宋" w:hAnsi="仿宋" w:eastAsia="仿宋"/>
                <w:szCs w:val="21"/>
              </w:rPr>
              <w:t>18.8</w:t>
            </w:r>
          </w:p>
        </w:tc>
        <w:tc>
          <w:tcPr>
            <w:tcW w:w="672" w:type="pct"/>
            <w:tcBorders>
              <w:top w:val="single" w:color="000000" w:sz="4" w:space="0"/>
              <w:left w:val="single" w:color="000000" w:sz="4" w:space="0"/>
              <w:bottom w:val="single" w:color="000000" w:sz="4" w:space="0"/>
              <w:right w:val="single" w:color="auto" w:sz="4" w:space="0"/>
            </w:tcBorders>
            <w:vAlign w:val="center"/>
          </w:tcPr>
          <w:p>
            <w:pPr>
              <w:pStyle w:val="286"/>
              <w:snapToGrid w:val="0"/>
              <w:spacing w:after="0" w:line="320" w:lineRule="exact"/>
              <w:ind w:left="0" w:leftChars="0" w:firstLine="0" w:firstLineChars="0"/>
              <w:jc w:val="center"/>
              <w:textAlignment w:val="auto"/>
              <w:rPr>
                <w:rFonts w:ascii="仿宋" w:hAnsi="仿宋" w:eastAsia="仿宋"/>
                <w:szCs w:val="21"/>
              </w:rPr>
            </w:pPr>
            <w:r>
              <w:rPr>
                <w:rFonts w:hint="eastAsia" w:ascii="仿宋" w:hAnsi="仿宋" w:eastAsia="仿宋"/>
                <w:sz w:val="21"/>
                <w:szCs w:val="21"/>
              </w:rPr>
              <w:t>25.5</w:t>
            </w:r>
          </w:p>
        </w:tc>
        <w:tc>
          <w:tcPr>
            <w:tcW w:w="672" w:type="pct"/>
            <w:tcBorders>
              <w:top w:val="single" w:color="000000" w:sz="4" w:space="0"/>
              <w:left w:val="single" w:color="auto" w:sz="4" w:space="0"/>
              <w:bottom w:val="single" w:color="000000" w:sz="4" w:space="0"/>
              <w:right w:val="single" w:color="auto" w:sz="4" w:space="0"/>
            </w:tcBorders>
            <w:vAlign w:val="center"/>
          </w:tcPr>
          <w:p>
            <w:pPr>
              <w:pStyle w:val="286"/>
              <w:snapToGrid w:val="0"/>
              <w:spacing w:after="0" w:line="320" w:lineRule="exact"/>
              <w:ind w:left="0" w:leftChars="0" w:firstLine="0" w:firstLineChars="0"/>
              <w:jc w:val="center"/>
              <w:textAlignment w:val="auto"/>
              <w:rPr>
                <w:rFonts w:ascii="仿宋" w:hAnsi="仿宋" w:eastAsia="仿宋"/>
                <w:szCs w:val="21"/>
              </w:rPr>
            </w:pPr>
            <w:r>
              <w:rPr>
                <w:rFonts w:hint="eastAsia" w:ascii="仿宋" w:hAnsi="仿宋" w:eastAsia="仿宋"/>
                <w:sz w:val="21"/>
                <w:szCs w:val="21"/>
              </w:rPr>
              <w:t>24.7</w:t>
            </w:r>
          </w:p>
        </w:tc>
        <w:tc>
          <w:tcPr>
            <w:tcW w:w="55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cs="华文仿宋"/>
                <w:szCs w:val="21"/>
              </w:rPr>
            </w:pPr>
            <w:r>
              <w:rPr>
                <w:rFonts w:hint="eastAsia" w:ascii="仿宋" w:hAnsi="仿宋" w:eastAsia="仿宋" w:cs="华文仿宋"/>
                <w:szCs w:val="21"/>
              </w:rPr>
              <w:t>-</w:t>
            </w:r>
          </w:p>
        </w:tc>
        <w:tc>
          <w:tcPr>
            <w:tcW w:w="55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szCs w:val="21"/>
              </w:rPr>
            </w:pPr>
            <w:r>
              <w:rPr>
                <w:rFonts w:hint="eastAsia" w:ascii="仿宋" w:hAnsi="仿宋" w:eastAsia="仿宋" w:cs="华文仿宋"/>
                <w:szCs w:val="21"/>
              </w:rPr>
              <w:t>-</w:t>
            </w:r>
          </w:p>
        </w:tc>
        <w:tc>
          <w:tcPr>
            <w:tcW w:w="55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szCs w:val="21"/>
              </w:rPr>
            </w:pPr>
            <w:r>
              <w:rPr>
                <w:rFonts w:hint="eastAsia" w:ascii="仿宋" w:hAnsi="仿宋" w:eastAsia="仿宋" w:cs="华文仿宋"/>
                <w:szCs w:val="21"/>
              </w:rPr>
              <w:t>-</w:t>
            </w:r>
          </w:p>
        </w:tc>
        <w:tc>
          <w:tcPr>
            <w:tcW w:w="53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cs="华文仿宋"/>
                <w:szCs w:val="21"/>
              </w:rPr>
            </w:pPr>
            <w:r>
              <w:rPr>
                <w:rFonts w:hint="eastAsia" w:ascii="仿宋" w:hAnsi="仿宋" w:eastAsia="仿宋" w:cs="华文仿宋"/>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40" w:type="pct"/>
            <w:tcBorders>
              <w:top w:val="single" w:color="000000" w:sz="4" w:space="0"/>
              <w:left w:val="single" w:color="000000" w:sz="4" w:space="0"/>
              <w:bottom w:val="single" w:color="000000" w:sz="4" w:space="0"/>
              <w:right w:val="single" w:color="000000" w:sz="4" w:space="0"/>
            </w:tcBorders>
            <w:vAlign w:val="center"/>
          </w:tcPr>
          <w:p>
            <w:pPr>
              <w:pStyle w:val="286"/>
              <w:snapToGrid w:val="0"/>
              <w:spacing w:after="0" w:line="320" w:lineRule="exact"/>
              <w:ind w:left="0" w:leftChars="0" w:firstLine="0" w:firstLineChars="0"/>
              <w:jc w:val="center"/>
              <w:textAlignment w:val="auto"/>
              <w:rPr>
                <w:rFonts w:ascii="仿宋" w:hAnsi="仿宋" w:eastAsia="仿宋"/>
                <w:szCs w:val="21"/>
              </w:rPr>
            </w:pPr>
            <w:r>
              <w:rPr>
                <w:rFonts w:ascii="仿宋" w:hAnsi="仿宋" w:eastAsia="仿宋"/>
                <w:sz w:val="21"/>
                <w:szCs w:val="21"/>
              </w:rPr>
              <w:t>铅</w:t>
            </w:r>
          </w:p>
        </w:tc>
        <w:tc>
          <w:tcPr>
            <w:tcW w:w="704" w:type="pct"/>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Cs w:val="21"/>
              </w:rPr>
            </w:pPr>
            <w:r>
              <w:rPr>
                <w:rFonts w:hint="eastAsia" w:ascii="仿宋" w:hAnsi="仿宋" w:eastAsia="仿宋"/>
                <w:szCs w:val="21"/>
              </w:rPr>
              <w:t>0.3</w:t>
            </w:r>
            <w:r>
              <w:rPr>
                <w:rFonts w:ascii="仿宋" w:hAnsi="仿宋" w:eastAsia="仿宋" w:cs="Cambria"/>
                <w:kern w:val="0"/>
                <w:szCs w:val="21"/>
              </w:rPr>
              <w:t>×</w:t>
            </w:r>
            <w:r>
              <w:rPr>
                <w:rFonts w:ascii="仿宋" w:hAnsi="仿宋" w:eastAsia="仿宋" w:cs="TimesNewRomanPSMT"/>
                <w:kern w:val="0"/>
                <w:szCs w:val="21"/>
              </w:rPr>
              <w:t>10</w:t>
            </w:r>
            <w:r>
              <w:rPr>
                <w:rFonts w:ascii="仿宋" w:hAnsi="仿宋" w:eastAsia="仿宋" w:cs="TimesNewRomanPSMT"/>
                <w:kern w:val="0"/>
                <w:szCs w:val="21"/>
                <w:vertAlign w:val="superscript"/>
              </w:rPr>
              <w:t>-3</w:t>
            </w:r>
            <w:r>
              <w:rPr>
                <w:rFonts w:hint="eastAsia" w:ascii="仿宋" w:hAnsi="仿宋" w:eastAsia="仿宋"/>
                <w:szCs w:val="21"/>
              </w:rPr>
              <w:t>L</w:t>
            </w:r>
          </w:p>
        </w:tc>
        <w:tc>
          <w:tcPr>
            <w:tcW w:w="672" w:type="pct"/>
            <w:tcBorders>
              <w:top w:val="single" w:color="000000" w:sz="4" w:space="0"/>
              <w:left w:val="single" w:color="000000" w:sz="4" w:space="0"/>
              <w:bottom w:val="single" w:color="000000" w:sz="4" w:space="0"/>
              <w:right w:val="single" w:color="auto" w:sz="4" w:space="0"/>
            </w:tcBorders>
            <w:vAlign w:val="center"/>
          </w:tcPr>
          <w:p>
            <w:pPr>
              <w:pStyle w:val="286"/>
              <w:snapToGrid w:val="0"/>
              <w:spacing w:after="0" w:line="320" w:lineRule="exact"/>
              <w:ind w:left="0" w:leftChars="0" w:firstLine="0" w:firstLineChars="0"/>
              <w:jc w:val="center"/>
              <w:textAlignment w:val="auto"/>
              <w:rPr>
                <w:rFonts w:ascii="仿宋" w:hAnsi="仿宋" w:eastAsia="仿宋"/>
                <w:szCs w:val="21"/>
              </w:rPr>
            </w:pPr>
            <w:r>
              <w:rPr>
                <w:rFonts w:ascii="仿宋" w:hAnsi="仿宋" w:eastAsia="仿宋" w:cs="TimesNewRomanPSMT"/>
                <w:kern w:val="0"/>
                <w:sz w:val="21"/>
                <w:szCs w:val="21"/>
              </w:rPr>
              <w:t>6.2</w:t>
            </w:r>
            <w:r>
              <w:rPr>
                <w:rFonts w:ascii="仿宋" w:hAnsi="仿宋" w:eastAsia="仿宋" w:cs="Cambria"/>
                <w:kern w:val="0"/>
                <w:sz w:val="21"/>
                <w:szCs w:val="21"/>
              </w:rPr>
              <w:t>×</w:t>
            </w:r>
            <w:r>
              <w:rPr>
                <w:rFonts w:ascii="仿宋" w:hAnsi="仿宋" w:eastAsia="仿宋" w:cs="TimesNewRomanPSMT"/>
                <w:kern w:val="0"/>
                <w:sz w:val="21"/>
                <w:szCs w:val="21"/>
              </w:rPr>
              <w:t>10</w:t>
            </w:r>
            <w:r>
              <w:rPr>
                <w:rFonts w:ascii="仿宋" w:hAnsi="仿宋" w:eastAsia="仿宋" w:cs="TimesNewRomanPSMT"/>
                <w:kern w:val="0"/>
                <w:sz w:val="21"/>
                <w:szCs w:val="21"/>
                <w:vertAlign w:val="superscript"/>
              </w:rPr>
              <w:t>-3</w:t>
            </w:r>
            <w:r>
              <w:rPr>
                <w:rFonts w:ascii="仿宋" w:hAnsi="仿宋" w:eastAsia="仿宋" w:cs="TimesNewRomanPSMT"/>
                <w:kern w:val="0"/>
                <w:sz w:val="21"/>
                <w:szCs w:val="21"/>
              </w:rPr>
              <w:t>L</w:t>
            </w:r>
          </w:p>
        </w:tc>
        <w:tc>
          <w:tcPr>
            <w:tcW w:w="672" w:type="pct"/>
            <w:tcBorders>
              <w:top w:val="single" w:color="000000" w:sz="4" w:space="0"/>
              <w:left w:val="single" w:color="auto" w:sz="4" w:space="0"/>
              <w:bottom w:val="single" w:color="000000" w:sz="4" w:space="0"/>
              <w:right w:val="single" w:color="auto" w:sz="4" w:space="0"/>
            </w:tcBorders>
            <w:vAlign w:val="center"/>
          </w:tcPr>
          <w:p>
            <w:pPr>
              <w:pStyle w:val="286"/>
              <w:snapToGrid w:val="0"/>
              <w:spacing w:after="0" w:line="320" w:lineRule="exact"/>
              <w:ind w:left="0" w:leftChars="0" w:firstLine="0" w:firstLineChars="0"/>
              <w:jc w:val="center"/>
              <w:textAlignment w:val="auto"/>
              <w:rPr>
                <w:rFonts w:ascii="仿宋" w:hAnsi="仿宋" w:eastAsia="仿宋"/>
                <w:szCs w:val="21"/>
              </w:rPr>
            </w:pPr>
            <w:r>
              <w:rPr>
                <w:rFonts w:ascii="仿宋" w:hAnsi="仿宋" w:eastAsia="仿宋" w:cs="TimesNewRomanPSMT"/>
                <w:kern w:val="0"/>
                <w:sz w:val="21"/>
                <w:szCs w:val="21"/>
              </w:rPr>
              <w:t>1.9</w:t>
            </w:r>
            <w:r>
              <w:rPr>
                <w:rFonts w:ascii="仿宋" w:hAnsi="仿宋" w:eastAsia="仿宋" w:cs="Cambria"/>
                <w:kern w:val="0"/>
                <w:sz w:val="21"/>
                <w:szCs w:val="21"/>
              </w:rPr>
              <w:t>×</w:t>
            </w:r>
            <w:r>
              <w:rPr>
                <w:rFonts w:ascii="仿宋" w:hAnsi="仿宋" w:eastAsia="仿宋" w:cs="TimesNewRomanPSMT"/>
                <w:kern w:val="0"/>
                <w:sz w:val="21"/>
                <w:szCs w:val="21"/>
              </w:rPr>
              <w:t>10</w:t>
            </w:r>
            <w:r>
              <w:rPr>
                <w:rFonts w:ascii="仿宋" w:hAnsi="仿宋" w:eastAsia="仿宋" w:cs="TimesNewRomanPSMT"/>
                <w:kern w:val="0"/>
                <w:sz w:val="21"/>
                <w:szCs w:val="21"/>
                <w:vertAlign w:val="superscript"/>
              </w:rPr>
              <w:t>-3</w:t>
            </w:r>
            <w:r>
              <w:rPr>
                <w:rFonts w:ascii="仿宋" w:hAnsi="仿宋" w:eastAsia="仿宋" w:cs="TimesNewRomanPSMT"/>
                <w:kern w:val="0"/>
                <w:sz w:val="21"/>
                <w:szCs w:val="21"/>
              </w:rPr>
              <w:t>L</w:t>
            </w:r>
          </w:p>
        </w:tc>
        <w:tc>
          <w:tcPr>
            <w:tcW w:w="55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cs="华文仿宋"/>
                <w:szCs w:val="21"/>
              </w:rPr>
            </w:pPr>
            <w:r>
              <w:rPr>
                <w:rFonts w:hint="eastAsia" w:ascii="仿宋" w:hAnsi="仿宋" w:eastAsia="仿宋" w:cs="华文仿宋"/>
                <w:szCs w:val="21"/>
              </w:rPr>
              <w:t>≤0.005</w:t>
            </w:r>
          </w:p>
        </w:tc>
        <w:tc>
          <w:tcPr>
            <w:tcW w:w="55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szCs w:val="21"/>
              </w:rPr>
            </w:pPr>
            <w:r>
              <w:rPr>
                <w:rFonts w:hint="eastAsia" w:ascii="仿宋" w:hAnsi="仿宋" w:eastAsia="仿宋" w:cs="华文仿宋"/>
                <w:szCs w:val="21"/>
              </w:rPr>
              <w:t>≤0.005</w:t>
            </w:r>
          </w:p>
        </w:tc>
        <w:tc>
          <w:tcPr>
            <w:tcW w:w="55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szCs w:val="21"/>
              </w:rPr>
            </w:pPr>
            <w:r>
              <w:rPr>
                <w:rFonts w:hint="eastAsia" w:ascii="仿宋" w:hAnsi="仿宋" w:eastAsia="仿宋" w:cs="华文仿宋"/>
                <w:szCs w:val="21"/>
              </w:rPr>
              <w:t>≤0.01</w:t>
            </w:r>
          </w:p>
        </w:tc>
        <w:tc>
          <w:tcPr>
            <w:tcW w:w="53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cs="华文仿宋"/>
                <w:szCs w:val="21"/>
              </w:rPr>
            </w:pPr>
            <w:r>
              <w:rPr>
                <w:rFonts w:hint="eastAsia" w:ascii="仿宋" w:hAnsi="仿宋" w:eastAsia="仿宋" w:cs="华文仿宋"/>
                <w:szCs w:val="21"/>
              </w:rPr>
              <w:t>≤</w:t>
            </w:r>
            <w:r>
              <w:rPr>
                <w:rFonts w:ascii="仿宋" w:hAnsi="仿宋" w:eastAsia="仿宋" w:cs="华文仿宋"/>
                <w:szCs w:val="21"/>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40" w:type="pct"/>
            <w:tcBorders>
              <w:top w:val="single" w:color="000000" w:sz="4" w:space="0"/>
              <w:left w:val="single" w:color="000000" w:sz="4" w:space="0"/>
              <w:bottom w:val="single" w:color="000000" w:sz="4" w:space="0"/>
              <w:right w:val="single" w:color="000000" w:sz="4" w:space="0"/>
            </w:tcBorders>
            <w:vAlign w:val="center"/>
          </w:tcPr>
          <w:p>
            <w:pPr>
              <w:pStyle w:val="286"/>
              <w:snapToGrid w:val="0"/>
              <w:spacing w:after="0" w:line="320" w:lineRule="exact"/>
              <w:ind w:left="0" w:leftChars="0" w:firstLine="0" w:firstLineChars="0"/>
              <w:jc w:val="center"/>
              <w:textAlignment w:val="auto"/>
              <w:rPr>
                <w:rFonts w:ascii="仿宋" w:hAnsi="仿宋" w:eastAsia="仿宋"/>
                <w:szCs w:val="21"/>
              </w:rPr>
            </w:pPr>
            <w:r>
              <w:rPr>
                <w:rFonts w:ascii="仿宋" w:hAnsi="仿宋" w:eastAsia="仿宋"/>
                <w:sz w:val="21"/>
                <w:szCs w:val="21"/>
              </w:rPr>
              <w:t>镉</w:t>
            </w:r>
          </w:p>
        </w:tc>
        <w:tc>
          <w:tcPr>
            <w:tcW w:w="704" w:type="pct"/>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Cs w:val="21"/>
              </w:rPr>
            </w:pPr>
            <w:r>
              <w:rPr>
                <w:rFonts w:hint="eastAsia" w:ascii="仿宋" w:hAnsi="仿宋" w:eastAsia="仿宋"/>
                <w:szCs w:val="21"/>
              </w:rPr>
              <w:t>0.03</w:t>
            </w:r>
            <w:r>
              <w:rPr>
                <w:rFonts w:ascii="仿宋" w:hAnsi="仿宋" w:eastAsia="仿宋" w:cs="Cambria"/>
                <w:kern w:val="0"/>
                <w:szCs w:val="21"/>
              </w:rPr>
              <w:t>×</w:t>
            </w:r>
            <w:r>
              <w:rPr>
                <w:rFonts w:ascii="仿宋" w:hAnsi="仿宋" w:eastAsia="仿宋" w:cs="TimesNewRomanPSMT"/>
                <w:kern w:val="0"/>
                <w:szCs w:val="21"/>
              </w:rPr>
              <w:t>10</w:t>
            </w:r>
            <w:r>
              <w:rPr>
                <w:rFonts w:ascii="仿宋" w:hAnsi="仿宋" w:eastAsia="仿宋" w:cs="TimesNewRomanPSMT"/>
                <w:kern w:val="0"/>
                <w:szCs w:val="21"/>
                <w:vertAlign w:val="superscript"/>
              </w:rPr>
              <w:t>-3</w:t>
            </w:r>
            <w:r>
              <w:rPr>
                <w:rFonts w:hint="eastAsia" w:ascii="仿宋" w:hAnsi="仿宋" w:eastAsia="仿宋"/>
                <w:szCs w:val="21"/>
              </w:rPr>
              <w:t>L</w:t>
            </w:r>
          </w:p>
        </w:tc>
        <w:tc>
          <w:tcPr>
            <w:tcW w:w="672" w:type="pct"/>
            <w:tcBorders>
              <w:top w:val="single" w:color="000000" w:sz="4" w:space="0"/>
              <w:left w:val="single" w:color="000000" w:sz="4" w:space="0"/>
              <w:bottom w:val="single" w:color="000000" w:sz="4" w:space="0"/>
              <w:right w:val="single" w:color="auto" w:sz="4" w:space="0"/>
            </w:tcBorders>
            <w:vAlign w:val="center"/>
          </w:tcPr>
          <w:p>
            <w:pPr>
              <w:pStyle w:val="448"/>
              <w:adjustRightInd w:val="0"/>
              <w:snapToGrid w:val="0"/>
              <w:spacing w:line="320" w:lineRule="exact"/>
              <w:rPr>
                <w:rFonts w:ascii="仿宋" w:hAnsi="仿宋" w:eastAsia="仿宋"/>
              </w:rPr>
            </w:pPr>
            <w:r>
              <w:rPr>
                <w:rFonts w:ascii="仿宋" w:hAnsi="仿宋" w:eastAsia="仿宋" w:cs="TimesNewRomanPSMT"/>
              </w:rPr>
              <w:t>1.0</w:t>
            </w:r>
            <w:r>
              <w:rPr>
                <w:rFonts w:ascii="仿宋" w:hAnsi="仿宋" w:eastAsia="仿宋" w:cs="Cambria"/>
              </w:rPr>
              <w:t>×</w:t>
            </w:r>
            <w:r>
              <w:rPr>
                <w:rFonts w:ascii="仿宋" w:hAnsi="仿宋" w:eastAsia="仿宋" w:cs="TimesNewRomanPSMT"/>
              </w:rPr>
              <w:t>10</w:t>
            </w:r>
            <w:r>
              <w:rPr>
                <w:rFonts w:ascii="仿宋" w:hAnsi="仿宋" w:eastAsia="仿宋" w:cs="TimesNewRomanPSMT"/>
                <w:vertAlign w:val="superscript"/>
              </w:rPr>
              <w:t>-4</w:t>
            </w:r>
            <w:r>
              <w:rPr>
                <w:rFonts w:ascii="仿宋" w:hAnsi="仿宋" w:eastAsia="仿宋" w:cs="TimesNewRomanPSMT"/>
              </w:rPr>
              <w:t>L</w:t>
            </w:r>
          </w:p>
        </w:tc>
        <w:tc>
          <w:tcPr>
            <w:tcW w:w="672" w:type="pct"/>
            <w:tcBorders>
              <w:top w:val="single" w:color="000000" w:sz="4" w:space="0"/>
              <w:left w:val="single" w:color="auto" w:sz="4" w:space="0"/>
              <w:bottom w:val="single" w:color="000000" w:sz="4" w:space="0"/>
              <w:right w:val="single" w:color="auto" w:sz="4" w:space="0"/>
            </w:tcBorders>
            <w:vAlign w:val="center"/>
          </w:tcPr>
          <w:p>
            <w:pPr>
              <w:pStyle w:val="448"/>
              <w:adjustRightInd w:val="0"/>
              <w:snapToGrid w:val="0"/>
              <w:spacing w:line="320" w:lineRule="exact"/>
              <w:rPr>
                <w:rFonts w:ascii="仿宋" w:hAnsi="仿宋" w:eastAsia="仿宋"/>
              </w:rPr>
            </w:pPr>
            <w:r>
              <w:rPr>
                <w:rFonts w:ascii="仿宋" w:hAnsi="仿宋" w:eastAsia="仿宋" w:cs="TimesNewRomanPSMT"/>
              </w:rPr>
              <w:t>1.0</w:t>
            </w:r>
            <w:r>
              <w:rPr>
                <w:rFonts w:ascii="仿宋" w:hAnsi="仿宋" w:eastAsia="仿宋" w:cs="Cambria"/>
              </w:rPr>
              <w:t>×</w:t>
            </w:r>
            <w:r>
              <w:rPr>
                <w:rFonts w:ascii="仿宋" w:hAnsi="仿宋" w:eastAsia="仿宋" w:cs="TimesNewRomanPSMT"/>
              </w:rPr>
              <w:t>10</w:t>
            </w:r>
            <w:r>
              <w:rPr>
                <w:rFonts w:ascii="仿宋" w:hAnsi="仿宋" w:eastAsia="仿宋" w:cs="TimesNewRomanPSMT"/>
                <w:vertAlign w:val="superscript"/>
              </w:rPr>
              <w:t>-4</w:t>
            </w:r>
            <w:r>
              <w:rPr>
                <w:rFonts w:ascii="仿宋" w:hAnsi="仿宋" w:eastAsia="仿宋" w:cs="TimesNewRomanPSMT"/>
              </w:rPr>
              <w:t>L</w:t>
            </w:r>
          </w:p>
        </w:tc>
        <w:tc>
          <w:tcPr>
            <w:tcW w:w="55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cs="华文仿宋"/>
                <w:szCs w:val="21"/>
              </w:rPr>
            </w:pPr>
            <w:r>
              <w:rPr>
                <w:rFonts w:hint="eastAsia" w:ascii="仿宋" w:hAnsi="仿宋" w:eastAsia="仿宋" w:cs="华文仿宋"/>
                <w:szCs w:val="21"/>
              </w:rPr>
              <w:t>≤0.0001</w:t>
            </w:r>
          </w:p>
        </w:tc>
        <w:tc>
          <w:tcPr>
            <w:tcW w:w="55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szCs w:val="21"/>
              </w:rPr>
            </w:pPr>
            <w:r>
              <w:rPr>
                <w:rFonts w:hint="eastAsia" w:ascii="仿宋" w:hAnsi="仿宋" w:eastAsia="仿宋" w:cs="华文仿宋"/>
                <w:szCs w:val="21"/>
              </w:rPr>
              <w:t>≤0.0</w:t>
            </w:r>
            <w:r>
              <w:rPr>
                <w:rFonts w:ascii="仿宋" w:hAnsi="仿宋" w:eastAsia="仿宋" w:cs="华文仿宋"/>
                <w:szCs w:val="21"/>
              </w:rPr>
              <w:t>0</w:t>
            </w:r>
            <w:r>
              <w:rPr>
                <w:rFonts w:hint="eastAsia" w:ascii="仿宋" w:hAnsi="仿宋" w:eastAsia="仿宋" w:cs="华文仿宋"/>
                <w:szCs w:val="21"/>
              </w:rPr>
              <w:t>1</w:t>
            </w:r>
          </w:p>
        </w:tc>
        <w:tc>
          <w:tcPr>
            <w:tcW w:w="55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szCs w:val="21"/>
              </w:rPr>
            </w:pPr>
            <w:r>
              <w:rPr>
                <w:rFonts w:hint="eastAsia" w:ascii="仿宋" w:hAnsi="仿宋" w:eastAsia="仿宋" w:cs="华文仿宋"/>
                <w:szCs w:val="21"/>
              </w:rPr>
              <w:t>≤0.0</w:t>
            </w:r>
            <w:r>
              <w:rPr>
                <w:rFonts w:ascii="仿宋" w:hAnsi="仿宋" w:eastAsia="仿宋" w:cs="华文仿宋"/>
                <w:szCs w:val="21"/>
              </w:rPr>
              <w:t>0</w:t>
            </w:r>
            <w:r>
              <w:rPr>
                <w:rFonts w:hint="eastAsia" w:ascii="仿宋" w:hAnsi="仿宋" w:eastAsia="仿宋" w:cs="华文仿宋"/>
                <w:szCs w:val="21"/>
              </w:rPr>
              <w:t>5</w:t>
            </w:r>
          </w:p>
        </w:tc>
        <w:tc>
          <w:tcPr>
            <w:tcW w:w="53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cs="华文仿宋"/>
                <w:szCs w:val="21"/>
              </w:rPr>
            </w:pPr>
            <w:r>
              <w:rPr>
                <w:rFonts w:hint="eastAsia" w:ascii="仿宋" w:hAnsi="仿宋" w:eastAsia="仿宋" w:cs="华文仿宋"/>
                <w:szCs w:val="21"/>
              </w:rPr>
              <w:t>≤</w:t>
            </w:r>
            <w:r>
              <w:rPr>
                <w:rFonts w:ascii="仿宋" w:hAnsi="仿宋" w:eastAsia="仿宋" w:cs="华文仿宋"/>
                <w:szCs w:val="21"/>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40" w:type="pct"/>
            <w:tcBorders>
              <w:top w:val="single" w:color="000000" w:sz="4" w:space="0"/>
              <w:left w:val="single" w:color="000000" w:sz="4" w:space="0"/>
              <w:bottom w:val="single" w:color="000000" w:sz="4" w:space="0"/>
              <w:right w:val="single" w:color="000000" w:sz="4" w:space="0"/>
            </w:tcBorders>
            <w:vAlign w:val="center"/>
          </w:tcPr>
          <w:p>
            <w:pPr>
              <w:pStyle w:val="286"/>
              <w:snapToGrid w:val="0"/>
              <w:spacing w:after="0" w:line="320" w:lineRule="exact"/>
              <w:ind w:left="0" w:leftChars="0" w:firstLine="0" w:firstLineChars="0"/>
              <w:jc w:val="center"/>
              <w:textAlignment w:val="auto"/>
              <w:rPr>
                <w:rFonts w:ascii="仿宋" w:hAnsi="仿宋" w:eastAsia="仿宋"/>
                <w:sz w:val="21"/>
                <w:szCs w:val="21"/>
              </w:rPr>
            </w:pPr>
            <w:r>
              <w:rPr>
                <w:rFonts w:ascii="仿宋" w:hAnsi="仿宋" w:eastAsia="仿宋"/>
                <w:sz w:val="21"/>
                <w:szCs w:val="21"/>
              </w:rPr>
              <w:t>汞</w:t>
            </w:r>
          </w:p>
        </w:tc>
        <w:tc>
          <w:tcPr>
            <w:tcW w:w="704" w:type="pct"/>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Cs w:val="21"/>
              </w:rPr>
            </w:pPr>
            <w:r>
              <w:rPr>
                <w:rFonts w:hint="eastAsia" w:ascii="仿宋" w:hAnsi="仿宋" w:eastAsia="仿宋"/>
                <w:szCs w:val="21"/>
              </w:rPr>
              <w:t>0.08</w:t>
            </w:r>
            <w:r>
              <w:rPr>
                <w:rFonts w:ascii="仿宋" w:hAnsi="仿宋" w:eastAsia="仿宋" w:cs="Cambria"/>
                <w:kern w:val="0"/>
                <w:szCs w:val="21"/>
              </w:rPr>
              <w:t>×</w:t>
            </w:r>
            <w:r>
              <w:rPr>
                <w:rFonts w:ascii="仿宋" w:hAnsi="仿宋" w:eastAsia="仿宋" w:cs="TimesNewRomanPSMT"/>
                <w:kern w:val="0"/>
                <w:szCs w:val="21"/>
              </w:rPr>
              <w:t>10</w:t>
            </w:r>
            <w:r>
              <w:rPr>
                <w:rFonts w:ascii="仿宋" w:hAnsi="仿宋" w:eastAsia="仿宋" w:cs="TimesNewRomanPSMT"/>
                <w:kern w:val="0"/>
                <w:szCs w:val="21"/>
                <w:vertAlign w:val="superscript"/>
              </w:rPr>
              <w:t>-3</w:t>
            </w:r>
          </w:p>
        </w:tc>
        <w:tc>
          <w:tcPr>
            <w:tcW w:w="672" w:type="pct"/>
            <w:tcBorders>
              <w:top w:val="single" w:color="000000" w:sz="4" w:space="0"/>
              <w:left w:val="single" w:color="000000" w:sz="4" w:space="0"/>
              <w:bottom w:val="single" w:color="000000" w:sz="4" w:space="0"/>
              <w:right w:val="single" w:color="auto" w:sz="4" w:space="0"/>
            </w:tcBorders>
            <w:vAlign w:val="center"/>
          </w:tcPr>
          <w:p>
            <w:pPr>
              <w:pStyle w:val="448"/>
              <w:adjustRightInd w:val="0"/>
              <w:snapToGrid w:val="0"/>
              <w:spacing w:line="320" w:lineRule="exact"/>
              <w:rPr>
                <w:rFonts w:ascii="仿宋" w:hAnsi="仿宋" w:eastAsia="仿宋"/>
                <w:szCs w:val="21"/>
              </w:rPr>
            </w:pPr>
            <w:r>
              <w:rPr>
                <w:rFonts w:ascii="仿宋" w:hAnsi="仿宋" w:eastAsia="仿宋" w:cs="TimesNewRomanPSMT"/>
              </w:rPr>
              <w:t>3.70</w:t>
            </w:r>
            <w:r>
              <w:rPr>
                <w:rFonts w:ascii="仿宋" w:hAnsi="仿宋" w:eastAsia="仿宋" w:cs="Cambria"/>
              </w:rPr>
              <w:t>×</w:t>
            </w:r>
            <w:r>
              <w:rPr>
                <w:rFonts w:ascii="仿宋" w:hAnsi="仿宋" w:eastAsia="仿宋" w:cs="TimesNewRomanPSMT"/>
              </w:rPr>
              <w:t>10</w:t>
            </w:r>
            <w:r>
              <w:rPr>
                <w:rFonts w:ascii="仿宋" w:hAnsi="仿宋" w:eastAsia="仿宋" w:cs="TimesNewRomanPSMT"/>
                <w:vertAlign w:val="superscript"/>
              </w:rPr>
              <w:t>-4</w:t>
            </w:r>
            <w:r>
              <w:rPr>
                <w:rFonts w:ascii="仿宋" w:hAnsi="仿宋" w:eastAsia="仿宋" w:cs="TimesNewRomanPSMT"/>
              </w:rPr>
              <w:t>L</w:t>
            </w:r>
          </w:p>
        </w:tc>
        <w:tc>
          <w:tcPr>
            <w:tcW w:w="672" w:type="pct"/>
            <w:tcBorders>
              <w:top w:val="single" w:color="000000" w:sz="4" w:space="0"/>
              <w:left w:val="single" w:color="auto" w:sz="4" w:space="0"/>
              <w:bottom w:val="single" w:color="000000" w:sz="4" w:space="0"/>
              <w:right w:val="single" w:color="auto" w:sz="4" w:space="0"/>
            </w:tcBorders>
            <w:vAlign w:val="center"/>
          </w:tcPr>
          <w:p>
            <w:pPr>
              <w:pStyle w:val="448"/>
              <w:adjustRightInd w:val="0"/>
              <w:snapToGrid w:val="0"/>
              <w:spacing w:line="320" w:lineRule="exact"/>
              <w:rPr>
                <w:rFonts w:ascii="仿宋" w:hAnsi="仿宋" w:eastAsia="仿宋"/>
                <w:szCs w:val="21"/>
              </w:rPr>
            </w:pPr>
            <w:r>
              <w:rPr>
                <w:rFonts w:ascii="仿宋" w:hAnsi="仿宋" w:eastAsia="仿宋" w:cs="TimesNewRomanPSMT"/>
              </w:rPr>
              <w:t>4.20</w:t>
            </w:r>
            <w:r>
              <w:rPr>
                <w:rFonts w:ascii="仿宋" w:hAnsi="仿宋" w:eastAsia="仿宋" w:cs="Cambria"/>
              </w:rPr>
              <w:t>×</w:t>
            </w:r>
            <w:r>
              <w:rPr>
                <w:rFonts w:ascii="仿宋" w:hAnsi="仿宋" w:eastAsia="仿宋" w:cs="TimesNewRomanPSMT"/>
              </w:rPr>
              <w:t>10</w:t>
            </w:r>
            <w:r>
              <w:rPr>
                <w:rFonts w:ascii="仿宋" w:hAnsi="仿宋" w:eastAsia="仿宋" w:cs="TimesNewRomanPSMT"/>
                <w:vertAlign w:val="superscript"/>
              </w:rPr>
              <w:t>-4</w:t>
            </w:r>
            <w:r>
              <w:rPr>
                <w:rFonts w:ascii="仿宋" w:hAnsi="仿宋" w:eastAsia="仿宋" w:cs="TimesNewRomanPSMT"/>
              </w:rPr>
              <w:t>L</w:t>
            </w:r>
          </w:p>
        </w:tc>
        <w:tc>
          <w:tcPr>
            <w:tcW w:w="558" w:type="pct"/>
            <w:tcBorders>
              <w:top w:val="single" w:color="000000" w:sz="4" w:space="0"/>
              <w:left w:val="single" w:color="auto" w:sz="4" w:space="0"/>
              <w:bottom w:val="single" w:color="000000" w:sz="4" w:space="0"/>
              <w:right w:val="single" w:color="auto" w:sz="4" w:space="0"/>
            </w:tcBorders>
            <w:vAlign w:val="center"/>
          </w:tcPr>
          <w:p>
            <w:pPr>
              <w:jc w:val="center"/>
              <w:rPr>
                <w:rFonts w:ascii="仿宋" w:hAnsi="仿宋" w:eastAsia="仿宋" w:cs="华文仿宋"/>
                <w:szCs w:val="21"/>
              </w:rPr>
            </w:pPr>
            <w:r>
              <w:rPr>
                <w:rFonts w:hint="eastAsia" w:ascii="仿宋" w:hAnsi="仿宋" w:eastAsia="仿宋" w:cs="华文仿宋"/>
                <w:szCs w:val="21"/>
              </w:rPr>
              <w:t>≤0.0001</w:t>
            </w:r>
          </w:p>
        </w:tc>
        <w:tc>
          <w:tcPr>
            <w:tcW w:w="558" w:type="pct"/>
            <w:tcBorders>
              <w:top w:val="single" w:color="000000" w:sz="4" w:space="0"/>
              <w:left w:val="single" w:color="auto" w:sz="4" w:space="0"/>
              <w:bottom w:val="single" w:color="000000" w:sz="4" w:space="0"/>
              <w:right w:val="single" w:color="auto" w:sz="4" w:space="0"/>
            </w:tcBorders>
            <w:vAlign w:val="center"/>
          </w:tcPr>
          <w:p>
            <w:pPr>
              <w:jc w:val="center"/>
              <w:rPr>
                <w:rFonts w:ascii="仿宋" w:hAnsi="仿宋" w:eastAsia="仿宋"/>
                <w:szCs w:val="21"/>
              </w:rPr>
            </w:pPr>
            <w:r>
              <w:rPr>
                <w:rFonts w:hint="eastAsia" w:ascii="仿宋" w:hAnsi="仿宋" w:eastAsia="仿宋" w:cs="华文仿宋"/>
                <w:szCs w:val="21"/>
              </w:rPr>
              <w:t>≤0.0001</w:t>
            </w:r>
          </w:p>
        </w:tc>
        <w:tc>
          <w:tcPr>
            <w:tcW w:w="558" w:type="pct"/>
            <w:tcBorders>
              <w:top w:val="single" w:color="000000" w:sz="4" w:space="0"/>
              <w:left w:val="single" w:color="auto" w:sz="4" w:space="0"/>
              <w:bottom w:val="single" w:color="000000" w:sz="4" w:space="0"/>
              <w:right w:val="single" w:color="auto" w:sz="4" w:space="0"/>
            </w:tcBorders>
            <w:vAlign w:val="center"/>
          </w:tcPr>
          <w:p>
            <w:pPr>
              <w:jc w:val="center"/>
              <w:rPr>
                <w:rFonts w:ascii="仿宋" w:hAnsi="仿宋" w:eastAsia="仿宋"/>
                <w:szCs w:val="21"/>
              </w:rPr>
            </w:pPr>
            <w:r>
              <w:rPr>
                <w:rFonts w:hint="eastAsia" w:ascii="仿宋" w:hAnsi="仿宋" w:eastAsia="仿宋" w:cs="华文仿宋"/>
                <w:szCs w:val="21"/>
              </w:rPr>
              <w:t>≤0.001</w:t>
            </w:r>
          </w:p>
        </w:tc>
        <w:tc>
          <w:tcPr>
            <w:tcW w:w="538" w:type="pct"/>
            <w:tcBorders>
              <w:top w:val="single" w:color="000000" w:sz="4" w:space="0"/>
              <w:left w:val="single" w:color="auto" w:sz="4" w:space="0"/>
              <w:bottom w:val="single" w:color="000000" w:sz="4" w:space="0"/>
              <w:right w:val="single" w:color="auto" w:sz="4" w:space="0"/>
            </w:tcBorders>
            <w:vAlign w:val="center"/>
          </w:tcPr>
          <w:p>
            <w:pPr>
              <w:jc w:val="center"/>
              <w:rPr>
                <w:rFonts w:ascii="仿宋" w:hAnsi="仿宋" w:eastAsia="仿宋" w:cs="华文仿宋"/>
                <w:szCs w:val="21"/>
              </w:rPr>
            </w:pPr>
            <w:r>
              <w:rPr>
                <w:rFonts w:hint="eastAsia" w:ascii="仿宋" w:hAnsi="仿宋" w:eastAsia="仿宋" w:cs="华文仿宋"/>
                <w:szCs w:val="21"/>
              </w:rPr>
              <w:t>≤</w:t>
            </w:r>
            <w:r>
              <w:rPr>
                <w:rFonts w:ascii="仿宋" w:hAnsi="仿宋" w:eastAsia="仿宋" w:cs="华文仿宋"/>
                <w:szCs w:val="21"/>
              </w:rPr>
              <w:t>0.002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40" w:type="pct"/>
            <w:tcBorders>
              <w:top w:val="single" w:color="000000" w:sz="4" w:space="0"/>
              <w:left w:val="single" w:color="000000" w:sz="4" w:space="0"/>
              <w:bottom w:val="single" w:color="000000" w:sz="4" w:space="0"/>
              <w:right w:val="single" w:color="000000" w:sz="4" w:space="0"/>
            </w:tcBorders>
            <w:vAlign w:val="center"/>
          </w:tcPr>
          <w:p>
            <w:pPr>
              <w:pStyle w:val="286"/>
              <w:snapToGrid w:val="0"/>
              <w:spacing w:after="0" w:line="320" w:lineRule="exact"/>
              <w:ind w:left="0" w:leftChars="0" w:firstLine="0" w:firstLineChars="0"/>
              <w:jc w:val="center"/>
              <w:textAlignment w:val="auto"/>
              <w:rPr>
                <w:rFonts w:ascii="仿宋" w:hAnsi="仿宋" w:eastAsia="仿宋"/>
                <w:sz w:val="21"/>
                <w:szCs w:val="21"/>
              </w:rPr>
            </w:pPr>
            <w:r>
              <w:rPr>
                <w:rFonts w:ascii="仿宋" w:hAnsi="仿宋" w:eastAsia="仿宋"/>
                <w:sz w:val="21"/>
                <w:szCs w:val="21"/>
              </w:rPr>
              <w:t>砷</w:t>
            </w:r>
          </w:p>
        </w:tc>
        <w:tc>
          <w:tcPr>
            <w:tcW w:w="704" w:type="pct"/>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Cs w:val="21"/>
              </w:rPr>
            </w:pPr>
            <w:r>
              <w:rPr>
                <w:rFonts w:hint="eastAsia" w:ascii="仿宋" w:hAnsi="仿宋" w:eastAsia="仿宋"/>
                <w:szCs w:val="21"/>
              </w:rPr>
              <w:t>0.8</w:t>
            </w:r>
            <w:r>
              <w:rPr>
                <w:rFonts w:ascii="仿宋" w:hAnsi="仿宋" w:eastAsia="仿宋" w:cs="Cambria"/>
              </w:rPr>
              <w:t>×</w:t>
            </w:r>
            <w:r>
              <w:rPr>
                <w:rFonts w:ascii="仿宋" w:hAnsi="仿宋" w:eastAsia="仿宋" w:cs="TimesNewRomanPSMT"/>
              </w:rPr>
              <w:t>10</w:t>
            </w:r>
            <w:r>
              <w:rPr>
                <w:rFonts w:ascii="仿宋" w:hAnsi="仿宋" w:eastAsia="仿宋" w:cs="TimesNewRomanPSMT"/>
                <w:vertAlign w:val="superscript"/>
              </w:rPr>
              <w:t>-3</w:t>
            </w:r>
          </w:p>
        </w:tc>
        <w:tc>
          <w:tcPr>
            <w:tcW w:w="672" w:type="pct"/>
            <w:tcBorders>
              <w:top w:val="single" w:color="000000" w:sz="4" w:space="0"/>
              <w:left w:val="single" w:color="000000" w:sz="4" w:space="0"/>
              <w:bottom w:val="single" w:color="000000" w:sz="4" w:space="0"/>
              <w:right w:val="single" w:color="auto" w:sz="4" w:space="0"/>
            </w:tcBorders>
            <w:vAlign w:val="center"/>
          </w:tcPr>
          <w:p>
            <w:pPr>
              <w:pStyle w:val="448"/>
              <w:adjustRightInd w:val="0"/>
              <w:snapToGrid w:val="0"/>
              <w:spacing w:line="320" w:lineRule="exact"/>
              <w:rPr>
                <w:rFonts w:ascii="仿宋" w:hAnsi="仿宋" w:eastAsia="仿宋"/>
              </w:rPr>
            </w:pPr>
            <w:r>
              <w:rPr>
                <w:rFonts w:ascii="仿宋" w:hAnsi="仿宋" w:eastAsia="仿宋" w:cs="TimesNewRomanPSMT"/>
              </w:rPr>
              <w:t>1.2</w:t>
            </w:r>
            <w:r>
              <w:rPr>
                <w:rFonts w:ascii="仿宋" w:hAnsi="仿宋" w:eastAsia="仿宋" w:cs="Cambria"/>
              </w:rPr>
              <w:t>×</w:t>
            </w:r>
            <w:r>
              <w:rPr>
                <w:rFonts w:ascii="仿宋" w:hAnsi="仿宋" w:eastAsia="仿宋" w:cs="TimesNewRomanPSMT"/>
              </w:rPr>
              <w:t>10</w:t>
            </w:r>
            <w:r>
              <w:rPr>
                <w:rFonts w:ascii="仿宋" w:hAnsi="仿宋" w:eastAsia="仿宋" w:cs="TimesNewRomanPSMT"/>
                <w:vertAlign w:val="superscript"/>
              </w:rPr>
              <w:t>-3</w:t>
            </w:r>
          </w:p>
        </w:tc>
        <w:tc>
          <w:tcPr>
            <w:tcW w:w="672" w:type="pct"/>
            <w:tcBorders>
              <w:top w:val="single" w:color="000000" w:sz="4" w:space="0"/>
              <w:left w:val="single" w:color="auto" w:sz="4" w:space="0"/>
              <w:bottom w:val="single" w:color="000000" w:sz="4" w:space="0"/>
              <w:right w:val="single" w:color="auto" w:sz="4" w:space="0"/>
            </w:tcBorders>
            <w:vAlign w:val="center"/>
          </w:tcPr>
          <w:p>
            <w:pPr>
              <w:pStyle w:val="448"/>
              <w:adjustRightInd w:val="0"/>
              <w:snapToGrid w:val="0"/>
              <w:spacing w:line="320" w:lineRule="exact"/>
              <w:rPr>
                <w:rFonts w:ascii="仿宋" w:hAnsi="仿宋" w:eastAsia="仿宋"/>
              </w:rPr>
            </w:pPr>
            <w:r>
              <w:rPr>
                <w:rFonts w:ascii="仿宋" w:hAnsi="仿宋" w:eastAsia="仿宋" w:cs="TimesNewRomanPSMT"/>
              </w:rPr>
              <w:t>1.9</w:t>
            </w:r>
            <w:r>
              <w:rPr>
                <w:rFonts w:ascii="仿宋" w:hAnsi="仿宋" w:eastAsia="仿宋" w:cs="Cambria"/>
              </w:rPr>
              <w:t>×</w:t>
            </w:r>
            <w:r>
              <w:rPr>
                <w:rFonts w:ascii="仿宋" w:hAnsi="仿宋" w:eastAsia="仿宋" w:cs="TimesNewRomanPSMT"/>
              </w:rPr>
              <w:t>10</w:t>
            </w:r>
            <w:r>
              <w:rPr>
                <w:rFonts w:ascii="仿宋" w:hAnsi="仿宋" w:eastAsia="仿宋" w:cs="TimesNewRomanPSMT"/>
                <w:vertAlign w:val="superscript"/>
              </w:rPr>
              <w:t>-3</w:t>
            </w:r>
          </w:p>
        </w:tc>
        <w:tc>
          <w:tcPr>
            <w:tcW w:w="558" w:type="pct"/>
            <w:tcBorders>
              <w:top w:val="single" w:color="000000" w:sz="4" w:space="0"/>
              <w:left w:val="single" w:color="auto" w:sz="4" w:space="0"/>
              <w:bottom w:val="single" w:color="000000" w:sz="4" w:space="0"/>
              <w:right w:val="single" w:color="auto" w:sz="4" w:space="0"/>
            </w:tcBorders>
            <w:vAlign w:val="center"/>
          </w:tcPr>
          <w:p>
            <w:pPr>
              <w:jc w:val="center"/>
              <w:rPr>
                <w:rFonts w:ascii="仿宋" w:hAnsi="仿宋" w:eastAsia="仿宋" w:cs="华文仿宋"/>
                <w:szCs w:val="21"/>
              </w:rPr>
            </w:pPr>
            <w:r>
              <w:rPr>
                <w:rFonts w:hint="eastAsia" w:ascii="仿宋" w:hAnsi="仿宋" w:eastAsia="仿宋" w:cs="华文仿宋"/>
                <w:szCs w:val="21"/>
              </w:rPr>
              <w:t>≤0.001</w:t>
            </w:r>
          </w:p>
        </w:tc>
        <w:tc>
          <w:tcPr>
            <w:tcW w:w="558" w:type="pct"/>
            <w:tcBorders>
              <w:top w:val="single" w:color="000000" w:sz="4" w:space="0"/>
              <w:left w:val="single" w:color="auto" w:sz="4" w:space="0"/>
              <w:bottom w:val="single" w:color="000000" w:sz="4" w:space="0"/>
              <w:right w:val="single" w:color="auto" w:sz="4" w:space="0"/>
            </w:tcBorders>
            <w:vAlign w:val="center"/>
          </w:tcPr>
          <w:p>
            <w:pPr>
              <w:jc w:val="center"/>
              <w:rPr>
                <w:rFonts w:ascii="仿宋" w:hAnsi="仿宋" w:eastAsia="仿宋"/>
                <w:szCs w:val="21"/>
              </w:rPr>
            </w:pPr>
            <w:r>
              <w:rPr>
                <w:rFonts w:hint="eastAsia" w:ascii="仿宋" w:hAnsi="仿宋" w:eastAsia="仿宋" w:cs="华文仿宋"/>
                <w:szCs w:val="21"/>
              </w:rPr>
              <w:t>≤0.001</w:t>
            </w:r>
          </w:p>
        </w:tc>
        <w:tc>
          <w:tcPr>
            <w:tcW w:w="558" w:type="pct"/>
            <w:tcBorders>
              <w:top w:val="single" w:color="000000" w:sz="4" w:space="0"/>
              <w:left w:val="single" w:color="auto" w:sz="4" w:space="0"/>
              <w:bottom w:val="single" w:color="000000" w:sz="4" w:space="0"/>
              <w:right w:val="single" w:color="auto" w:sz="4" w:space="0"/>
            </w:tcBorders>
            <w:vAlign w:val="center"/>
          </w:tcPr>
          <w:p>
            <w:pPr>
              <w:jc w:val="center"/>
              <w:rPr>
                <w:rFonts w:ascii="仿宋" w:hAnsi="仿宋" w:eastAsia="仿宋"/>
                <w:szCs w:val="21"/>
              </w:rPr>
            </w:pPr>
            <w:r>
              <w:rPr>
                <w:rFonts w:hint="eastAsia" w:ascii="仿宋" w:hAnsi="仿宋" w:eastAsia="仿宋" w:cs="华文仿宋"/>
                <w:szCs w:val="21"/>
              </w:rPr>
              <w:t>≤0.01</w:t>
            </w:r>
          </w:p>
        </w:tc>
        <w:tc>
          <w:tcPr>
            <w:tcW w:w="538" w:type="pct"/>
            <w:tcBorders>
              <w:top w:val="single" w:color="000000" w:sz="4" w:space="0"/>
              <w:left w:val="single" w:color="auto" w:sz="4" w:space="0"/>
              <w:bottom w:val="single" w:color="000000" w:sz="4" w:space="0"/>
              <w:right w:val="single" w:color="auto" w:sz="4" w:space="0"/>
            </w:tcBorders>
            <w:vAlign w:val="center"/>
          </w:tcPr>
          <w:p>
            <w:pPr>
              <w:jc w:val="center"/>
              <w:rPr>
                <w:rFonts w:ascii="仿宋" w:hAnsi="仿宋" w:eastAsia="仿宋" w:cs="华文仿宋"/>
                <w:szCs w:val="21"/>
              </w:rPr>
            </w:pPr>
            <w:r>
              <w:rPr>
                <w:rFonts w:hint="eastAsia" w:ascii="仿宋" w:hAnsi="仿宋" w:eastAsia="仿宋" w:cs="华文仿宋"/>
                <w:szCs w:val="21"/>
              </w:rPr>
              <w:t>≤</w:t>
            </w:r>
            <w:r>
              <w:rPr>
                <w:rFonts w:ascii="仿宋" w:hAnsi="仿宋" w:eastAsia="仿宋" w:cs="华文仿宋"/>
                <w:szCs w:val="21"/>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40" w:type="pct"/>
            <w:tcBorders>
              <w:top w:val="single" w:color="000000" w:sz="4" w:space="0"/>
              <w:left w:val="single" w:color="000000" w:sz="4" w:space="0"/>
              <w:bottom w:val="single" w:color="000000" w:sz="4" w:space="0"/>
              <w:right w:val="single" w:color="000000" w:sz="4" w:space="0"/>
            </w:tcBorders>
            <w:vAlign w:val="center"/>
          </w:tcPr>
          <w:p>
            <w:pPr>
              <w:pStyle w:val="286"/>
              <w:snapToGrid w:val="0"/>
              <w:spacing w:after="0" w:line="320" w:lineRule="exact"/>
              <w:ind w:left="0" w:leftChars="0" w:firstLine="0" w:firstLineChars="0"/>
              <w:jc w:val="center"/>
              <w:textAlignment w:val="auto"/>
              <w:rPr>
                <w:rFonts w:ascii="仿宋" w:hAnsi="仿宋" w:eastAsia="仿宋"/>
                <w:sz w:val="21"/>
                <w:szCs w:val="21"/>
              </w:rPr>
            </w:pPr>
            <w:r>
              <w:rPr>
                <w:rFonts w:hint="eastAsia" w:ascii="仿宋" w:hAnsi="仿宋" w:eastAsia="仿宋"/>
                <w:sz w:val="21"/>
                <w:szCs w:val="21"/>
              </w:rPr>
              <w:t>石油类</w:t>
            </w:r>
          </w:p>
        </w:tc>
        <w:tc>
          <w:tcPr>
            <w:tcW w:w="704" w:type="pct"/>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Cs w:val="21"/>
              </w:rPr>
            </w:pPr>
            <w:r>
              <w:rPr>
                <w:rFonts w:hint="eastAsia" w:ascii="仿宋" w:hAnsi="仿宋" w:eastAsia="仿宋"/>
                <w:szCs w:val="21"/>
              </w:rPr>
              <w:t>0.06</w:t>
            </w:r>
          </w:p>
        </w:tc>
        <w:tc>
          <w:tcPr>
            <w:tcW w:w="672" w:type="pct"/>
            <w:tcBorders>
              <w:top w:val="single" w:color="000000" w:sz="4" w:space="0"/>
              <w:left w:val="single" w:color="000000" w:sz="4" w:space="0"/>
              <w:bottom w:val="single" w:color="000000" w:sz="4" w:space="0"/>
              <w:right w:val="single" w:color="auto" w:sz="4" w:space="0"/>
            </w:tcBorders>
            <w:vAlign w:val="center"/>
          </w:tcPr>
          <w:p>
            <w:pPr>
              <w:pStyle w:val="286"/>
              <w:snapToGrid w:val="0"/>
              <w:spacing w:after="0" w:line="320" w:lineRule="exact"/>
              <w:ind w:left="0" w:leftChars="0" w:firstLine="0" w:firstLineChars="0"/>
              <w:jc w:val="center"/>
              <w:textAlignment w:val="auto"/>
              <w:rPr>
                <w:rFonts w:ascii="仿宋" w:hAnsi="仿宋" w:eastAsia="仿宋"/>
                <w:szCs w:val="21"/>
              </w:rPr>
            </w:pPr>
            <w:r>
              <w:rPr>
                <w:rFonts w:hint="eastAsia" w:ascii="仿宋" w:hAnsi="仿宋" w:eastAsia="仿宋"/>
                <w:sz w:val="21"/>
                <w:szCs w:val="21"/>
              </w:rPr>
              <w:t>0.03</w:t>
            </w:r>
          </w:p>
        </w:tc>
        <w:tc>
          <w:tcPr>
            <w:tcW w:w="672" w:type="pct"/>
            <w:tcBorders>
              <w:top w:val="single" w:color="000000" w:sz="4" w:space="0"/>
              <w:left w:val="single" w:color="auto" w:sz="4" w:space="0"/>
              <w:bottom w:val="single" w:color="000000" w:sz="4" w:space="0"/>
              <w:right w:val="single" w:color="auto" w:sz="4" w:space="0"/>
            </w:tcBorders>
            <w:vAlign w:val="center"/>
          </w:tcPr>
          <w:p>
            <w:pPr>
              <w:pStyle w:val="448"/>
              <w:adjustRightInd w:val="0"/>
              <w:snapToGrid w:val="0"/>
              <w:spacing w:line="320" w:lineRule="exact"/>
              <w:rPr>
                <w:rFonts w:ascii="仿宋" w:hAnsi="仿宋" w:eastAsia="仿宋"/>
                <w:szCs w:val="21"/>
              </w:rPr>
            </w:pPr>
            <w:r>
              <w:rPr>
                <w:rFonts w:hint="eastAsia" w:ascii="仿宋" w:hAnsi="仿宋" w:eastAsia="仿宋"/>
              </w:rPr>
              <w:t>7.1</w:t>
            </w:r>
          </w:p>
        </w:tc>
        <w:tc>
          <w:tcPr>
            <w:tcW w:w="55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cs="华文仿宋"/>
                <w:szCs w:val="21"/>
              </w:rPr>
            </w:pPr>
            <w:r>
              <w:rPr>
                <w:rFonts w:hint="eastAsia" w:ascii="仿宋" w:hAnsi="仿宋" w:eastAsia="仿宋" w:cs="华文仿宋"/>
                <w:szCs w:val="21"/>
              </w:rPr>
              <w:t>-</w:t>
            </w:r>
          </w:p>
        </w:tc>
        <w:tc>
          <w:tcPr>
            <w:tcW w:w="55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szCs w:val="21"/>
              </w:rPr>
            </w:pPr>
            <w:r>
              <w:rPr>
                <w:rFonts w:hint="eastAsia" w:ascii="仿宋" w:hAnsi="仿宋" w:eastAsia="仿宋" w:cs="华文仿宋"/>
                <w:szCs w:val="21"/>
              </w:rPr>
              <w:t>-</w:t>
            </w:r>
          </w:p>
        </w:tc>
        <w:tc>
          <w:tcPr>
            <w:tcW w:w="55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szCs w:val="21"/>
              </w:rPr>
            </w:pPr>
            <w:r>
              <w:rPr>
                <w:rFonts w:hint="eastAsia" w:ascii="仿宋" w:hAnsi="仿宋" w:eastAsia="仿宋" w:cs="华文仿宋"/>
                <w:szCs w:val="21"/>
              </w:rPr>
              <w:t>-</w:t>
            </w:r>
          </w:p>
        </w:tc>
        <w:tc>
          <w:tcPr>
            <w:tcW w:w="53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cs="华文仿宋"/>
                <w:szCs w:val="21"/>
              </w:rPr>
            </w:pPr>
            <w:r>
              <w:rPr>
                <w:rFonts w:hint="eastAsia" w:ascii="仿宋" w:hAnsi="仿宋" w:eastAsia="仿宋" w:cs="华文仿宋"/>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40" w:type="pct"/>
            <w:tcBorders>
              <w:top w:val="single" w:color="000000" w:sz="4" w:space="0"/>
              <w:left w:val="single" w:color="000000" w:sz="4" w:space="0"/>
              <w:bottom w:val="single" w:color="000000" w:sz="4" w:space="0"/>
              <w:right w:val="single" w:color="000000" w:sz="4" w:space="0"/>
            </w:tcBorders>
            <w:vAlign w:val="center"/>
          </w:tcPr>
          <w:p>
            <w:pPr>
              <w:pStyle w:val="286"/>
              <w:snapToGrid w:val="0"/>
              <w:spacing w:after="0" w:line="320" w:lineRule="exact"/>
              <w:ind w:left="0" w:leftChars="0" w:firstLine="0" w:firstLineChars="0"/>
              <w:jc w:val="center"/>
              <w:textAlignment w:val="auto"/>
              <w:rPr>
                <w:rFonts w:ascii="仿宋" w:hAnsi="仿宋" w:eastAsia="仿宋"/>
                <w:sz w:val="21"/>
                <w:szCs w:val="21"/>
              </w:rPr>
            </w:pPr>
            <w:r>
              <w:rPr>
                <w:rFonts w:hint="eastAsia" w:ascii="仿宋" w:hAnsi="仿宋" w:eastAsia="仿宋"/>
                <w:sz w:val="21"/>
                <w:szCs w:val="21"/>
              </w:rPr>
              <w:t>二甲苯</w:t>
            </w:r>
          </w:p>
        </w:tc>
        <w:tc>
          <w:tcPr>
            <w:tcW w:w="704" w:type="pct"/>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仿宋" w:hAnsi="仿宋" w:eastAsia="仿宋"/>
                <w:szCs w:val="21"/>
              </w:rPr>
            </w:pPr>
            <w:r>
              <w:rPr>
                <w:rFonts w:hint="eastAsia" w:ascii="仿宋" w:hAnsi="仿宋" w:eastAsia="仿宋"/>
                <w:szCs w:val="21"/>
              </w:rPr>
              <w:t>1.8</w:t>
            </w:r>
            <w:r>
              <w:rPr>
                <w:rFonts w:ascii="仿宋" w:hAnsi="仿宋" w:eastAsia="仿宋" w:cs="Cambria"/>
                <w:kern w:val="0"/>
                <w:szCs w:val="21"/>
              </w:rPr>
              <w:t>×</w:t>
            </w:r>
            <w:r>
              <w:rPr>
                <w:rFonts w:ascii="仿宋" w:hAnsi="仿宋" w:eastAsia="仿宋" w:cs="TimesNewRomanPSMT"/>
                <w:kern w:val="0"/>
                <w:szCs w:val="21"/>
              </w:rPr>
              <w:t>10</w:t>
            </w:r>
            <w:r>
              <w:rPr>
                <w:rFonts w:ascii="仿宋" w:hAnsi="仿宋" w:eastAsia="仿宋" w:cs="TimesNewRomanPSMT"/>
                <w:kern w:val="0"/>
                <w:szCs w:val="21"/>
                <w:vertAlign w:val="superscript"/>
              </w:rPr>
              <w:t>-3</w:t>
            </w:r>
          </w:p>
        </w:tc>
        <w:tc>
          <w:tcPr>
            <w:tcW w:w="672" w:type="pct"/>
            <w:tcBorders>
              <w:top w:val="single" w:color="000000" w:sz="4" w:space="0"/>
              <w:left w:val="single" w:color="000000" w:sz="4" w:space="0"/>
              <w:bottom w:val="single" w:color="000000" w:sz="4" w:space="0"/>
              <w:right w:val="single" w:color="auto" w:sz="4" w:space="0"/>
            </w:tcBorders>
            <w:vAlign w:val="center"/>
          </w:tcPr>
          <w:p>
            <w:pPr>
              <w:pStyle w:val="448"/>
              <w:adjustRightInd w:val="0"/>
              <w:snapToGrid w:val="0"/>
              <w:spacing w:line="320" w:lineRule="exact"/>
              <w:rPr>
                <w:rFonts w:ascii="仿宋" w:hAnsi="仿宋" w:eastAsia="仿宋"/>
                <w:szCs w:val="21"/>
              </w:rPr>
            </w:pPr>
            <w:r>
              <w:rPr>
                <w:rFonts w:hint="eastAsia" w:ascii="仿宋" w:hAnsi="仿宋" w:eastAsia="仿宋"/>
                <w:szCs w:val="21"/>
              </w:rPr>
              <w:t>1.8</w:t>
            </w:r>
            <w:r>
              <w:rPr>
                <w:rFonts w:ascii="仿宋" w:hAnsi="仿宋" w:eastAsia="仿宋" w:cs="Cambria"/>
                <w:szCs w:val="21"/>
              </w:rPr>
              <w:t>×</w:t>
            </w:r>
            <w:r>
              <w:rPr>
                <w:rFonts w:ascii="仿宋" w:hAnsi="仿宋" w:eastAsia="仿宋" w:cs="TimesNewRomanPSMT"/>
                <w:szCs w:val="21"/>
              </w:rPr>
              <w:t>10</w:t>
            </w:r>
            <w:r>
              <w:rPr>
                <w:rFonts w:ascii="仿宋" w:hAnsi="仿宋" w:eastAsia="仿宋" w:cs="TimesNewRomanPSMT"/>
                <w:szCs w:val="21"/>
                <w:vertAlign w:val="superscript"/>
              </w:rPr>
              <w:t>-3</w:t>
            </w:r>
          </w:p>
        </w:tc>
        <w:tc>
          <w:tcPr>
            <w:tcW w:w="672" w:type="pct"/>
            <w:tcBorders>
              <w:top w:val="single" w:color="000000" w:sz="4" w:space="0"/>
              <w:left w:val="single" w:color="auto" w:sz="4" w:space="0"/>
              <w:bottom w:val="single" w:color="000000" w:sz="4" w:space="0"/>
              <w:right w:val="single" w:color="auto" w:sz="4" w:space="0"/>
            </w:tcBorders>
            <w:vAlign w:val="center"/>
          </w:tcPr>
          <w:p>
            <w:pPr>
              <w:pStyle w:val="448"/>
              <w:adjustRightInd w:val="0"/>
              <w:snapToGrid w:val="0"/>
              <w:spacing w:line="320" w:lineRule="exact"/>
              <w:rPr>
                <w:rFonts w:ascii="仿宋" w:hAnsi="仿宋" w:eastAsia="仿宋"/>
                <w:szCs w:val="21"/>
              </w:rPr>
            </w:pPr>
            <w:r>
              <w:rPr>
                <w:rFonts w:hint="eastAsia" w:ascii="仿宋" w:hAnsi="仿宋" w:eastAsia="仿宋"/>
                <w:szCs w:val="21"/>
              </w:rPr>
              <w:t>1.8</w:t>
            </w:r>
            <w:r>
              <w:rPr>
                <w:rFonts w:ascii="仿宋" w:hAnsi="仿宋" w:eastAsia="仿宋" w:cs="Cambria"/>
                <w:szCs w:val="21"/>
              </w:rPr>
              <w:t>×</w:t>
            </w:r>
            <w:r>
              <w:rPr>
                <w:rFonts w:ascii="仿宋" w:hAnsi="仿宋" w:eastAsia="仿宋" w:cs="TimesNewRomanPSMT"/>
                <w:szCs w:val="21"/>
              </w:rPr>
              <w:t>10</w:t>
            </w:r>
            <w:r>
              <w:rPr>
                <w:rFonts w:ascii="仿宋" w:hAnsi="仿宋" w:eastAsia="仿宋" w:cs="TimesNewRomanPSMT"/>
                <w:szCs w:val="21"/>
                <w:vertAlign w:val="superscript"/>
              </w:rPr>
              <w:t>-3</w:t>
            </w:r>
          </w:p>
        </w:tc>
        <w:tc>
          <w:tcPr>
            <w:tcW w:w="55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cs="华文仿宋"/>
                <w:szCs w:val="21"/>
              </w:rPr>
            </w:pPr>
            <w:r>
              <w:rPr>
                <w:rFonts w:hint="eastAsia" w:ascii="仿宋" w:hAnsi="仿宋" w:eastAsia="仿宋" w:cs="华文仿宋"/>
                <w:szCs w:val="21"/>
              </w:rPr>
              <w:t>≤0.5</w:t>
            </w:r>
          </w:p>
        </w:tc>
        <w:tc>
          <w:tcPr>
            <w:tcW w:w="55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szCs w:val="21"/>
              </w:rPr>
            </w:pPr>
            <w:r>
              <w:rPr>
                <w:rFonts w:hint="eastAsia" w:ascii="仿宋" w:hAnsi="仿宋" w:eastAsia="仿宋" w:cs="华文仿宋"/>
                <w:szCs w:val="21"/>
              </w:rPr>
              <w:t>≤100</w:t>
            </w:r>
          </w:p>
        </w:tc>
        <w:tc>
          <w:tcPr>
            <w:tcW w:w="55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szCs w:val="21"/>
              </w:rPr>
            </w:pPr>
            <w:r>
              <w:rPr>
                <w:rFonts w:hint="eastAsia" w:ascii="仿宋" w:hAnsi="仿宋" w:eastAsia="仿宋" w:cs="华文仿宋"/>
                <w:szCs w:val="21"/>
              </w:rPr>
              <w:t>≤500</w:t>
            </w:r>
          </w:p>
        </w:tc>
        <w:tc>
          <w:tcPr>
            <w:tcW w:w="538" w:type="pct"/>
            <w:tcBorders>
              <w:top w:val="single" w:color="000000" w:sz="4" w:space="0"/>
              <w:left w:val="single" w:color="auto" w:sz="4" w:space="0"/>
              <w:bottom w:val="single" w:color="000000" w:sz="4" w:space="0"/>
              <w:right w:val="single" w:color="auto" w:sz="4" w:space="0"/>
            </w:tcBorders>
            <w:vAlign w:val="center"/>
          </w:tcPr>
          <w:p>
            <w:pPr>
              <w:spacing w:line="320" w:lineRule="exact"/>
              <w:jc w:val="center"/>
              <w:rPr>
                <w:rFonts w:ascii="仿宋" w:hAnsi="仿宋" w:eastAsia="仿宋" w:cs="华文仿宋"/>
                <w:szCs w:val="21"/>
              </w:rPr>
            </w:pPr>
            <w:r>
              <w:rPr>
                <w:rFonts w:hint="eastAsia" w:ascii="仿宋" w:hAnsi="仿宋" w:eastAsia="仿宋" w:cs="华文仿宋"/>
                <w:szCs w:val="21"/>
              </w:rPr>
              <w:t>≤</w:t>
            </w:r>
            <w:r>
              <w:rPr>
                <w:rFonts w:ascii="仿宋" w:hAnsi="仿宋" w:eastAsia="仿宋" w:cs="华文仿宋"/>
                <w:szCs w:val="21"/>
              </w:rPr>
              <w:t>1000</w:t>
            </w:r>
          </w:p>
        </w:tc>
      </w:tr>
    </w:tbl>
    <w:p>
      <w:pPr>
        <w:spacing w:line="480" w:lineRule="exact"/>
        <w:rPr>
          <w:rFonts w:eastAsia="仿宋_GB2312"/>
          <w:b/>
          <w:sz w:val="24"/>
        </w:rPr>
      </w:pPr>
      <w:r>
        <w:rPr>
          <w:rFonts w:hint="eastAsia" w:eastAsia="仿宋_GB2312"/>
          <w:b/>
          <w:sz w:val="24"/>
        </w:rPr>
        <w:t>注：</w:t>
      </w:r>
      <w:r>
        <w:rPr>
          <w:rFonts w:eastAsia="仿宋_GB2312"/>
          <w:b/>
          <w:sz w:val="24"/>
        </w:rPr>
        <w:t>“</w:t>
      </w:r>
      <w:r>
        <w:rPr>
          <w:rFonts w:hint="eastAsia" w:eastAsia="仿宋_GB2312"/>
          <w:b/>
          <w:sz w:val="24"/>
        </w:rPr>
        <w:t>L</w:t>
      </w:r>
      <w:r>
        <w:rPr>
          <w:rFonts w:eastAsia="仿宋_GB2312"/>
          <w:b/>
          <w:sz w:val="24"/>
        </w:rPr>
        <w:t>”表示低于方法检出限</w:t>
      </w:r>
    </w:p>
    <w:p>
      <w:pPr>
        <w:spacing w:line="480" w:lineRule="exact"/>
        <w:jc w:val="center"/>
        <w:rPr>
          <w:rFonts w:eastAsia="仿宋_GB2312"/>
          <w:b/>
          <w:sz w:val="24"/>
        </w:rPr>
      </w:pPr>
      <w:r>
        <w:rPr>
          <w:rFonts w:eastAsia="仿宋_GB2312"/>
          <w:b/>
          <w:sz w:val="24"/>
        </w:rPr>
        <w:t>表4.2-10  地下水水位监测结果  单位：m</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2"/>
        <w:gridCol w:w="1542"/>
        <w:gridCol w:w="1266"/>
        <w:gridCol w:w="1486"/>
        <w:gridCol w:w="1320"/>
        <w:gridCol w:w="1651"/>
        <w:gridCol w:w="1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tcBorders>
              <w:top w:val="single" w:color="auto" w:sz="4" w:space="0"/>
              <w:left w:val="single" w:color="auto" w:sz="4" w:space="0"/>
              <w:bottom w:val="single" w:color="auto" w:sz="4" w:space="0"/>
              <w:right w:val="single" w:color="auto" w:sz="4" w:space="0"/>
            </w:tcBorders>
            <w:vAlign w:val="center"/>
          </w:tcPr>
          <w:p>
            <w:pPr>
              <w:pStyle w:val="448"/>
              <w:adjustRightInd w:val="0"/>
              <w:snapToGrid w:val="0"/>
              <w:spacing w:line="320" w:lineRule="exact"/>
              <w:rPr>
                <w:rFonts w:ascii="仿宋" w:hAnsi="仿宋" w:eastAsia="仿宋" w:cs="TimesNewRomanPSMT"/>
              </w:rPr>
            </w:pPr>
            <w:r>
              <w:rPr>
                <w:rFonts w:ascii="仿宋" w:hAnsi="仿宋" w:eastAsia="仿宋" w:cs="TimesNewRomanPSMT"/>
              </w:rPr>
              <w:t>点位</w:t>
            </w:r>
          </w:p>
        </w:tc>
        <w:tc>
          <w:tcPr>
            <w:tcW w:w="834" w:type="pct"/>
            <w:tcBorders>
              <w:top w:val="single" w:color="auto" w:sz="4" w:space="0"/>
              <w:left w:val="single" w:color="auto" w:sz="4" w:space="0"/>
              <w:bottom w:val="single" w:color="auto" w:sz="4" w:space="0"/>
              <w:right w:val="single" w:color="auto" w:sz="4" w:space="0"/>
            </w:tcBorders>
            <w:vAlign w:val="center"/>
          </w:tcPr>
          <w:p>
            <w:pPr>
              <w:pStyle w:val="448"/>
              <w:adjustRightInd w:val="0"/>
              <w:snapToGrid w:val="0"/>
              <w:spacing w:line="320" w:lineRule="exact"/>
              <w:rPr>
                <w:rFonts w:ascii="仿宋" w:hAnsi="仿宋" w:eastAsia="仿宋" w:cs="TimesNewRomanPSMT"/>
              </w:rPr>
            </w:pPr>
            <w:r>
              <w:rPr>
                <w:rFonts w:ascii="仿宋" w:hAnsi="仿宋" w:eastAsia="仿宋" w:cs="TimesNewRomanPSMT"/>
              </w:rPr>
              <w:t>项目所在地</w:t>
            </w:r>
            <w:r>
              <w:rPr>
                <w:rFonts w:hint="eastAsia" w:ascii="仿宋" w:hAnsi="仿宋" w:eastAsia="仿宋" w:cs="TimesNewRomanPSMT"/>
              </w:rPr>
              <w:t>D1</w:t>
            </w:r>
          </w:p>
        </w:tc>
        <w:tc>
          <w:tcPr>
            <w:tcW w:w="685" w:type="pct"/>
            <w:tcBorders>
              <w:top w:val="single" w:color="auto" w:sz="4" w:space="0"/>
              <w:left w:val="single" w:color="auto" w:sz="4" w:space="0"/>
              <w:bottom w:val="single" w:color="auto" w:sz="4" w:space="0"/>
              <w:right w:val="single" w:color="auto" w:sz="4" w:space="0"/>
            </w:tcBorders>
            <w:vAlign w:val="center"/>
          </w:tcPr>
          <w:p>
            <w:pPr>
              <w:pStyle w:val="448"/>
              <w:adjustRightInd w:val="0"/>
              <w:snapToGrid w:val="0"/>
              <w:spacing w:line="320" w:lineRule="exact"/>
              <w:rPr>
                <w:rFonts w:ascii="仿宋" w:hAnsi="仿宋" w:eastAsia="仿宋" w:cs="TimesNewRomanPSMT"/>
              </w:rPr>
            </w:pPr>
            <w:r>
              <w:rPr>
                <w:rFonts w:hint="eastAsia" w:ascii="仿宋" w:hAnsi="仿宋" w:eastAsia="仿宋" w:cs="TimesNewRomanPSMT"/>
              </w:rPr>
              <w:t>中巷村D2</w:t>
            </w:r>
          </w:p>
        </w:tc>
        <w:tc>
          <w:tcPr>
            <w:tcW w:w="804" w:type="pct"/>
            <w:tcBorders>
              <w:top w:val="single" w:color="auto" w:sz="4" w:space="0"/>
              <w:left w:val="single" w:color="auto" w:sz="4" w:space="0"/>
              <w:bottom w:val="single" w:color="auto" w:sz="4" w:space="0"/>
              <w:right w:val="single" w:color="auto" w:sz="4" w:space="0"/>
            </w:tcBorders>
            <w:vAlign w:val="center"/>
          </w:tcPr>
          <w:p>
            <w:pPr>
              <w:pStyle w:val="448"/>
              <w:adjustRightInd w:val="0"/>
              <w:snapToGrid w:val="0"/>
              <w:spacing w:line="320" w:lineRule="exact"/>
              <w:rPr>
                <w:rFonts w:ascii="仿宋" w:hAnsi="仿宋" w:eastAsia="仿宋" w:cs="TimesNewRomanPSMT"/>
              </w:rPr>
            </w:pPr>
            <w:r>
              <w:rPr>
                <w:rFonts w:hint="eastAsia" w:ascii="仿宋" w:hAnsi="仿宋" w:eastAsia="仿宋" w:cs="TimesNewRomanPSMT"/>
              </w:rPr>
              <w:t>城塘村D3</w:t>
            </w:r>
          </w:p>
        </w:tc>
        <w:tc>
          <w:tcPr>
            <w:tcW w:w="714" w:type="pct"/>
            <w:tcBorders>
              <w:top w:val="single" w:color="auto" w:sz="4" w:space="0"/>
              <w:left w:val="single" w:color="auto" w:sz="4" w:space="0"/>
              <w:bottom w:val="single" w:color="auto" w:sz="4" w:space="0"/>
              <w:right w:val="single" w:color="auto" w:sz="4" w:space="0"/>
            </w:tcBorders>
            <w:vAlign w:val="center"/>
          </w:tcPr>
          <w:p>
            <w:pPr>
              <w:pStyle w:val="448"/>
              <w:adjustRightInd w:val="0"/>
              <w:snapToGrid w:val="0"/>
              <w:spacing w:line="320" w:lineRule="exact"/>
              <w:rPr>
                <w:rFonts w:ascii="仿宋" w:hAnsi="仿宋" w:eastAsia="仿宋" w:cs="TimesNewRomanPSMT"/>
              </w:rPr>
            </w:pPr>
            <w:r>
              <w:rPr>
                <w:rFonts w:hint="eastAsia" w:ascii="仿宋" w:hAnsi="仿宋" w:eastAsia="仿宋" w:cs="TimesNewRomanPSMT"/>
              </w:rPr>
              <w:t>东村D</w:t>
            </w:r>
            <w:r>
              <w:rPr>
                <w:rFonts w:ascii="仿宋" w:hAnsi="仿宋" w:eastAsia="仿宋" w:cs="TimesNewRomanPSMT"/>
              </w:rPr>
              <w:t>4</w:t>
            </w:r>
          </w:p>
        </w:tc>
        <w:tc>
          <w:tcPr>
            <w:tcW w:w="893" w:type="pct"/>
            <w:tcBorders>
              <w:top w:val="single" w:color="auto" w:sz="4" w:space="0"/>
              <w:left w:val="single" w:color="auto" w:sz="4" w:space="0"/>
              <w:bottom w:val="single" w:color="auto" w:sz="4" w:space="0"/>
              <w:right w:val="single" w:color="auto" w:sz="4" w:space="0"/>
            </w:tcBorders>
            <w:vAlign w:val="center"/>
          </w:tcPr>
          <w:p>
            <w:pPr>
              <w:pStyle w:val="448"/>
              <w:adjustRightInd w:val="0"/>
              <w:snapToGrid w:val="0"/>
              <w:spacing w:line="320" w:lineRule="exact"/>
              <w:rPr>
                <w:rFonts w:ascii="仿宋" w:hAnsi="仿宋" w:eastAsia="仿宋" w:cs="TimesNewRomanPSMT"/>
              </w:rPr>
            </w:pPr>
            <w:r>
              <w:rPr>
                <w:rFonts w:hint="eastAsia" w:ascii="仿宋" w:hAnsi="仿宋" w:eastAsia="仿宋" w:cs="TimesNewRomanPSMT"/>
              </w:rPr>
              <w:t>黄</w:t>
            </w:r>
            <w:r>
              <w:rPr>
                <w:rFonts w:ascii="仿宋" w:hAnsi="仿宋" w:eastAsia="仿宋" w:cs="TimesNewRomanPSMT"/>
              </w:rPr>
              <w:t>巷</w:t>
            </w:r>
            <w:r>
              <w:rPr>
                <w:rFonts w:hint="eastAsia" w:ascii="仿宋" w:hAnsi="仿宋" w:eastAsia="仿宋" w:cs="TimesNewRomanPSMT"/>
              </w:rPr>
              <w:t>村D</w:t>
            </w:r>
            <w:r>
              <w:rPr>
                <w:rFonts w:ascii="仿宋" w:hAnsi="仿宋" w:eastAsia="仿宋" w:cs="TimesNewRomanPSMT"/>
              </w:rPr>
              <w:t>5</w:t>
            </w:r>
          </w:p>
        </w:tc>
        <w:tc>
          <w:tcPr>
            <w:tcW w:w="625" w:type="pct"/>
            <w:tcBorders>
              <w:top w:val="single" w:color="auto" w:sz="4" w:space="0"/>
              <w:left w:val="single" w:color="auto" w:sz="4" w:space="0"/>
              <w:bottom w:val="single" w:color="auto" w:sz="4" w:space="0"/>
              <w:right w:val="single" w:color="auto" w:sz="4" w:space="0"/>
            </w:tcBorders>
            <w:vAlign w:val="center"/>
          </w:tcPr>
          <w:p>
            <w:pPr>
              <w:pStyle w:val="448"/>
              <w:adjustRightInd w:val="0"/>
              <w:snapToGrid w:val="0"/>
              <w:spacing w:line="320" w:lineRule="exact"/>
              <w:rPr>
                <w:rFonts w:ascii="仿宋" w:hAnsi="仿宋" w:eastAsia="仿宋" w:cs="TimesNewRomanPSMT"/>
              </w:rPr>
            </w:pPr>
            <w:r>
              <w:rPr>
                <w:rFonts w:ascii="仿宋" w:hAnsi="仿宋" w:eastAsia="仿宋" w:cs="TimesNewRomanPSMT"/>
              </w:rPr>
              <w:t>中策橡胶集团有限公司</w:t>
            </w:r>
            <w:r>
              <w:rPr>
                <w:rFonts w:hint="eastAsia" w:ascii="仿宋" w:hAnsi="仿宋" w:eastAsia="仿宋" w:cs="TimesNewRomanPSMT"/>
              </w:rPr>
              <w:t>D</w:t>
            </w:r>
            <w:r>
              <w:rPr>
                <w:rFonts w:ascii="仿宋" w:hAnsi="仿宋" w:eastAsia="仿宋" w:cs="TimesNewRomanPSMT"/>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tcBorders>
              <w:top w:val="single" w:color="auto" w:sz="4" w:space="0"/>
              <w:left w:val="single" w:color="auto" w:sz="4" w:space="0"/>
              <w:bottom w:val="single" w:color="auto" w:sz="4" w:space="0"/>
              <w:right w:val="single" w:color="auto" w:sz="4" w:space="0"/>
            </w:tcBorders>
            <w:vAlign w:val="center"/>
          </w:tcPr>
          <w:p>
            <w:pPr>
              <w:pStyle w:val="448"/>
              <w:adjustRightInd w:val="0"/>
              <w:snapToGrid w:val="0"/>
              <w:spacing w:line="320" w:lineRule="exact"/>
              <w:rPr>
                <w:rFonts w:ascii="仿宋" w:hAnsi="仿宋" w:eastAsia="仿宋" w:cs="TimesNewRomanPSMT"/>
              </w:rPr>
            </w:pPr>
            <w:r>
              <w:rPr>
                <w:rFonts w:ascii="仿宋" w:hAnsi="仿宋" w:eastAsia="仿宋" w:cs="TimesNewRomanPSMT"/>
              </w:rPr>
              <w:t>水位</w:t>
            </w:r>
          </w:p>
        </w:tc>
        <w:tc>
          <w:tcPr>
            <w:tcW w:w="834" w:type="pct"/>
            <w:tcBorders>
              <w:top w:val="single" w:color="auto" w:sz="4" w:space="0"/>
              <w:left w:val="single" w:color="auto" w:sz="4" w:space="0"/>
              <w:bottom w:val="single" w:color="auto" w:sz="4" w:space="0"/>
              <w:right w:val="single" w:color="auto" w:sz="4" w:space="0"/>
            </w:tcBorders>
            <w:vAlign w:val="center"/>
          </w:tcPr>
          <w:p>
            <w:pPr>
              <w:pStyle w:val="448"/>
              <w:adjustRightInd w:val="0"/>
              <w:snapToGrid w:val="0"/>
              <w:spacing w:line="320" w:lineRule="exact"/>
              <w:rPr>
                <w:rFonts w:ascii="仿宋" w:hAnsi="仿宋" w:eastAsia="仿宋" w:cs="TimesNewRomanPSMT"/>
              </w:rPr>
            </w:pPr>
            <w:r>
              <w:rPr>
                <w:rFonts w:hint="eastAsia" w:ascii="仿宋" w:hAnsi="仿宋" w:eastAsia="仿宋" w:cs="TimesNewRomanPSMT"/>
              </w:rPr>
              <w:t>5.8</w:t>
            </w:r>
          </w:p>
        </w:tc>
        <w:tc>
          <w:tcPr>
            <w:tcW w:w="685" w:type="pct"/>
            <w:tcBorders>
              <w:top w:val="single" w:color="auto" w:sz="4" w:space="0"/>
              <w:left w:val="single" w:color="auto" w:sz="4" w:space="0"/>
              <w:bottom w:val="single" w:color="auto" w:sz="4" w:space="0"/>
              <w:right w:val="single" w:color="auto" w:sz="4" w:space="0"/>
            </w:tcBorders>
            <w:vAlign w:val="center"/>
          </w:tcPr>
          <w:p>
            <w:pPr>
              <w:pStyle w:val="448"/>
              <w:adjustRightInd w:val="0"/>
              <w:snapToGrid w:val="0"/>
              <w:spacing w:line="320" w:lineRule="exact"/>
              <w:rPr>
                <w:rFonts w:ascii="仿宋" w:hAnsi="仿宋" w:eastAsia="仿宋" w:cs="TimesNewRomanPSMT"/>
              </w:rPr>
            </w:pPr>
            <w:r>
              <w:rPr>
                <w:rFonts w:hint="eastAsia" w:ascii="仿宋" w:hAnsi="仿宋" w:eastAsia="仿宋" w:cs="TimesNewRomanPSMT"/>
              </w:rPr>
              <w:t>2.4</w:t>
            </w:r>
          </w:p>
        </w:tc>
        <w:tc>
          <w:tcPr>
            <w:tcW w:w="804" w:type="pct"/>
            <w:tcBorders>
              <w:top w:val="single" w:color="auto" w:sz="4" w:space="0"/>
              <w:left w:val="single" w:color="auto" w:sz="4" w:space="0"/>
              <w:bottom w:val="single" w:color="auto" w:sz="4" w:space="0"/>
              <w:right w:val="single" w:color="auto" w:sz="4" w:space="0"/>
            </w:tcBorders>
            <w:vAlign w:val="center"/>
          </w:tcPr>
          <w:p>
            <w:pPr>
              <w:pStyle w:val="448"/>
              <w:adjustRightInd w:val="0"/>
              <w:snapToGrid w:val="0"/>
              <w:spacing w:line="320" w:lineRule="exact"/>
              <w:rPr>
                <w:rFonts w:ascii="仿宋" w:hAnsi="仿宋" w:eastAsia="仿宋" w:cs="TimesNewRomanPSMT"/>
              </w:rPr>
            </w:pPr>
            <w:r>
              <w:rPr>
                <w:rFonts w:hint="eastAsia" w:ascii="仿宋" w:hAnsi="仿宋" w:eastAsia="仿宋" w:cs="TimesNewRomanPSMT"/>
              </w:rPr>
              <w:t>2.5</w:t>
            </w:r>
          </w:p>
        </w:tc>
        <w:tc>
          <w:tcPr>
            <w:tcW w:w="714" w:type="pct"/>
            <w:tcBorders>
              <w:top w:val="single" w:color="auto" w:sz="4" w:space="0"/>
              <w:left w:val="single" w:color="auto" w:sz="4" w:space="0"/>
              <w:bottom w:val="single" w:color="auto" w:sz="4" w:space="0"/>
              <w:right w:val="single" w:color="auto" w:sz="4" w:space="0"/>
            </w:tcBorders>
            <w:vAlign w:val="center"/>
          </w:tcPr>
          <w:p>
            <w:pPr>
              <w:pStyle w:val="448"/>
              <w:adjustRightInd w:val="0"/>
              <w:snapToGrid w:val="0"/>
              <w:spacing w:line="320" w:lineRule="exact"/>
              <w:rPr>
                <w:rFonts w:ascii="仿宋" w:hAnsi="仿宋" w:eastAsia="仿宋" w:cs="TimesNewRomanPSMT"/>
              </w:rPr>
            </w:pPr>
            <w:r>
              <w:rPr>
                <w:rFonts w:hint="eastAsia" w:ascii="仿宋" w:hAnsi="仿宋" w:eastAsia="仿宋" w:cs="TimesNewRomanPSMT"/>
              </w:rPr>
              <w:t>2.7</w:t>
            </w:r>
          </w:p>
        </w:tc>
        <w:tc>
          <w:tcPr>
            <w:tcW w:w="893" w:type="pct"/>
            <w:tcBorders>
              <w:top w:val="single" w:color="auto" w:sz="4" w:space="0"/>
              <w:left w:val="single" w:color="auto" w:sz="4" w:space="0"/>
              <w:bottom w:val="single" w:color="auto" w:sz="4" w:space="0"/>
              <w:right w:val="single" w:color="auto" w:sz="4" w:space="0"/>
            </w:tcBorders>
            <w:vAlign w:val="center"/>
          </w:tcPr>
          <w:p>
            <w:pPr>
              <w:pStyle w:val="448"/>
              <w:adjustRightInd w:val="0"/>
              <w:snapToGrid w:val="0"/>
              <w:spacing w:line="320" w:lineRule="exact"/>
              <w:rPr>
                <w:rFonts w:ascii="仿宋" w:hAnsi="仿宋" w:eastAsia="仿宋" w:cs="TimesNewRomanPSMT"/>
              </w:rPr>
            </w:pPr>
            <w:r>
              <w:rPr>
                <w:rFonts w:hint="eastAsia" w:ascii="仿宋" w:hAnsi="仿宋" w:eastAsia="仿宋" w:cs="TimesNewRomanPSMT"/>
              </w:rPr>
              <w:t>2.7</w:t>
            </w:r>
          </w:p>
        </w:tc>
        <w:tc>
          <w:tcPr>
            <w:tcW w:w="625" w:type="pct"/>
            <w:tcBorders>
              <w:top w:val="single" w:color="auto" w:sz="4" w:space="0"/>
              <w:left w:val="single" w:color="auto" w:sz="4" w:space="0"/>
              <w:bottom w:val="single" w:color="auto" w:sz="4" w:space="0"/>
              <w:right w:val="single" w:color="auto" w:sz="4" w:space="0"/>
            </w:tcBorders>
            <w:vAlign w:val="center"/>
          </w:tcPr>
          <w:p>
            <w:pPr>
              <w:pStyle w:val="448"/>
              <w:adjustRightInd w:val="0"/>
              <w:snapToGrid w:val="0"/>
              <w:spacing w:line="320" w:lineRule="exact"/>
              <w:rPr>
                <w:rFonts w:ascii="仿宋" w:hAnsi="仿宋" w:eastAsia="仿宋" w:cs="TimesNewRomanPSMT"/>
              </w:rPr>
            </w:pPr>
            <w:r>
              <w:rPr>
                <w:rFonts w:hint="eastAsia" w:ascii="仿宋" w:hAnsi="仿宋" w:eastAsia="仿宋" w:cs="TimesNewRomanPSMT"/>
              </w:rPr>
              <w:t>2.0</w:t>
            </w:r>
          </w:p>
        </w:tc>
      </w:tr>
      <w:bookmarkEnd w:id="313"/>
      <w:bookmarkEnd w:id="314"/>
    </w:tbl>
    <w:p>
      <w:pPr>
        <w:spacing w:line="500" w:lineRule="exact"/>
        <w:ind w:firstLine="560" w:firstLineChars="200"/>
        <w:rPr>
          <w:rFonts w:eastAsia="仿宋_GB2312"/>
          <w:sz w:val="28"/>
        </w:rPr>
      </w:pPr>
      <w:bookmarkStart w:id="318" w:name="_Toc173570669"/>
      <w:bookmarkStart w:id="319" w:name="_Toc211068010"/>
      <w:bookmarkStart w:id="320" w:name="_Toc304838114"/>
      <w:bookmarkStart w:id="321" w:name="_Toc254685640"/>
      <w:r>
        <w:rPr>
          <w:rFonts w:eastAsia="仿宋_GB2312"/>
          <w:sz w:val="28"/>
        </w:rPr>
        <w:t>从监测评价结果可知，除了部分监测点位的耗氧量</w:t>
      </w:r>
      <w:r>
        <w:rPr>
          <w:rFonts w:hint="eastAsia" w:eastAsia="仿宋_GB2312"/>
          <w:sz w:val="28"/>
        </w:rPr>
        <w:t>、</w:t>
      </w:r>
      <w:r>
        <w:rPr>
          <w:rFonts w:eastAsia="仿宋_GB2312"/>
          <w:sz w:val="28"/>
        </w:rPr>
        <w:t>氟化物</w:t>
      </w:r>
      <w:r>
        <w:rPr>
          <w:rFonts w:hint="eastAsia" w:eastAsia="仿宋_GB2312"/>
          <w:sz w:val="28"/>
        </w:rPr>
        <w:t>、</w:t>
      </w:r>
      <w:r>
        <w:rPr>
          <w:rFonts w:eastAsia="仿宋_GB2312"/>
          <w:sz w:val="28"/>
        </w:rPr>
        <w:t>亚硝酸盐（以N计）</w:t>
      </w:r>
      <w:r>
        <w:rPr>
          <w:rFonts w:hint="eastAsia" w:eastAsia="仿宋_GB2312"/>
          <w:sz w:val="28"/>
        </w:rPr>
        <w:t>、</w:t>
      </w:r>
      <w:r>
        <w:rPr>
          <w:rFonts w:eastAsia="仿宋_GB2312"/>
          <w:sz w:val="28"/>
        </w:rPr>
        <w:t>铁符合《地下水质量标准》（GB/T14848-2017）</w:t>
      </w:r>
      <w:r>
        <w:rPr>
          <w:rFonts w:hint="eastAsia" w:eastAsia="仿宋_GB2312"/>
          <w:sz w:val="28"/>
        </w:rPr>
        <w:t>Ⅳ</w:t>
      </w:r>
      <w:r>
        <w:rPr>
          <w:rFonts w:eastAsia="仿宋_GB2312"/>
          <w:sz w:val="28"/>
        </w:rPr>
        <w:t>类标准外，其他因子均符合</w:t>
      </w:r>
      <w:r>
        <w:rPr>
          <w:rFonts w:hint="eastAsia" w:eastAsia="仿宋_GB2312"/>
          <w:sz w:val="28"/>
        </w:rPr>
        <w:t>Ⅲ</w:t>
      </w:r>
      <w:r>
        <w:rPr>
          <w:rFonts w:eastAsia="仿宋_GB2312"/>
          <w:sz w:val="28"/>
        </w:rPr>
        <w:t>类及以上标准。</w:t>
      </w:r>
    </w:p>
    <w:p>
      <w:pPr>
        <w:pStyle w:val="4"/>
        <w:keepLines w:val="0"/>
        <w:numPr>
          <w:ilvl w:val="2"/>
          <w:numId w:val="12"/>
        </w:numPr>
        <w:tabs>
          <w:tab w:val="left" w:pos="709"/>
        </w:tabs>
        <w:spacing w:before="120" w:beforeLines="50" w:after="120" w:afterLines="50" w:line="500" w:lineRule="exact"/>
        <w:ind w:left="0" w:firstLine="0"/>
        <w:rPr>
          <w:rFonts w:eastAsia="仿宋_GB2312"/>
          <w:sz w:val="30"/>
          <w:szCs w:val="30"/>
        </w:rPr>
      </w:pPr>
      <w:r>
        <w:rPr>
          <w:rFonts w:eastAsia="仿宋_GB2312"/>
          <w:sz w:val="30"/>
          <w:szCs w:val="30"/>
        </w:rPr>
        <w:t>土壤环境质量现状</w:t>
      </w:r>
      <w:bookmarkEnd w:id="318"/>
      <w:bookmarkEnd w:id="319"/>
      <w:bookmarkEnd w:id="320"/>
      <w:bookmarkEnd w:id="321"/>
      <w:r>
        <w:rPr>
          <w:rFonts w:eastAsia="仿宋_GB2312"/>
          <w:sz w:val="30"/>
          <w:szCs w:val="30"/>
        </w:rPr>
        <w:t>监测与评价</w:t>
      </w:r>
    </w:p>
    <w:p>
      <w:pPr>
        <w:spacing w:line="500" w:lineRule="exact"/>
        <w:ind w:firstLine="560" w:firstLineChars="200"/>
        <w:rPr>
          <w:rFonts w:eastAsia="仿宋_GB2312"/>
          <w:sz w:val="28"/>
        </w:rPr>
      </w:pPr>
      <w:r>
        <w:rPr>
          <w:rFonts w:hint="eastAsia" w:eastAsia="仿宋_GB2312"/>
          <w:sz w:val="28"/>
        </w:rPr>
        <w:t>（1）监测点位</w:t>
      </w:r>
    </w:p>
    <w:p>
      <w:pPr>
        <w:spacing w:line="500" w:lineRule="exact"/>
        <w:ind w:firstLine="560" w:firstLineChars="200"/>
        <w:rPr>
          <w:rFonts w:eastAsia="仿宋_GB2312"/>
          <w:bCs/>
          <w:sz w:val="28"/>
        </w:rPr>
      </w:pPr>
      <w:r>
        <w:rPr>
          <w:rFonts w:hint="eastAsia" w:eastAsia="仿宋_GB2312"/>
          <w:sz w:val="28"/>
        </w:rPr>
        <w:t>根据《环境影响评价技术导则土壤环境（试行）》（HJ964-2018），本项目土壤环境质量现状监测共设置6个点位。占地范围内3个柱状样点位（T1、T2、T3），1个表层样点位（T4），占地范围外2个表层样点位（T5、T6）。监测点位置见</w:t>
      </w:r>
      <w:r>
        <w:rPr>
          <w:rFonts w:hint="eastAsia" w:eastAsia="仿宋_GB2312"/>
          <w:b/>
          <w:bCs/>
          <w:sz w:val="28"/>
        </w:rPr>
        <w:t>图4.2-2</w:t>
      </w:r>
      <w:r>
        <w:rPr>
          <w:rFonts w:hint="eastAsia" w:eastAsia="仿宋_GB2312"/>
          <w:sz w:val="28"/>
        </w:rPr>
        <w:t>。表层样在0.2m取样；柱状样通常在0~0.5m，0.5~1.5m，1.5~3.0m分别取样。</w:t>
      </w:r>
    </w:p>
    <w:p>
      <w:pPr>
        <w:ind w:firstLine="560" w:firstLineChars="200"/>
        <w:jc w:val="center"/>
        <w:rPr>
          <w:rFonts w:eastAsia="仿宋_GB2312"/>
          <w:bCs/>
          <w:sz w:val="28"/>
        </w:rPr>
      </w:pPr>
      <w:r>
        <w:rPr>
          <w:rFonts w:hint="eastAsia" w:eastAsia="仿宋_GB2312"/>
          <w:bCs/>
          <w:sz w:val="28"/>
        </w:rPr>
        <w:drawing>
          <wp:inline distT="0" distB="0" distL="114300" distR="114300">
            <wp:extent cx="5142230" cy="3305810"/>
            <wp:effectExtent l="0" t="0" r="1270" b="8890"/>
            <wp:docPr id="18" name="图片 18" descr="168536339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85363391888"/>
                    <pic:cNvPicPr>
                      <a:picLocks noChangeAspect="1"/>
                    </pic:cNvPicPr>
                  </pic:nvPicPr>
                  <pic:blipFill>
                    <a:blip r:embed="rId53"/>
                    <a:stretch>
                      <a:fillRect/>
                    </a:stretch>
                  </pic:blipFill>
                  <pic:spPr>
                    <a:xfrm>
                      <a:off x="0" y="0"/>
                      <a:ext cx="5142230" cy="3305810"/>
                    </a:xfrm>
                    <a:prstGeom prst="rect">
                      <a:avLst/>
                    </a:prstGeom>
                  </pic:spPr>
                </pic:pic>
              </a:graphicData>
            </a:graphic>
          </wp:inline>
        </w:drawing>
      </w:r>
    </w:p>
    <w:p>
      <w:pPr>
        <w:jc w:val="center"/>
        <w:rPr>
          <w:rFonts w:eastAsia="仿宋_GB2312"/>
          <w:b/>
          <w:sz w:val="24"/>
        </w:rPr>
      </w:pPr>
      <w:r>
        <w:rPr>
          <w:rFonts w:eastAsia="仿宋_GB2312"/>
          <w:b/>
          <w:sz w:val="24"/>
        </w:rPr>
        <w:t>图</w:t>
      </w:r>
      <w:r>
        <w:rPr>
          <w:rFonts w:hint="eastAsia" w:eastAsia="仿宋_GB2312"/>
          <w:b/>
          <w:sz w:val="24"/>
        </w:rPr>
        <w:t>4.2</w:t>
      </w:r>
      <w:r>
        <w:rPr>
          <w:rFonts w:eastAsia="仿宋_GB2312"/>
          <w:b/>
          <w:sz w:val="24"/>
        </w:rPr>
        <w:t>-</w:t>
      </w:r>
      <w:r>
        <w:rPr>
          <w:rFonts w:hint="eastAsia" w:eastAsia="仿宋_GB2312"/>
          <w:b/>
          <w:sz w:val="24"/>
        </w:rPr>
        <w:t>2</w:t>
      </w:r>
      <w:r>
        <w:rPr>
          <w:rFonts w:eastAsia="仿宋_GB2312"/>
          <w:b/>
          <w:sz w:val="24"/>
        </w:rPr>
        <w:t xml:space="preserve">  土壤监测点位图（T1-T</w:t>
      </w:r>
      <w:r>
        <w:rPr>
          <w:rFonts w:hint="eastAsia" w:eastAsia="仿宋_GB2312"/>
          <w:b/>
          <w:sz w:val="24"/>
        </w:rPr>
        <w:t>11</w:t>
      </w:r>
      <w:r>
        <w:rPr>
          <w:rFonts w:eastAsia="仿宋_GB2312"/>
          <w:b/>
          <w:sz w:val="24"/>
        </w:rPr>
        <w:t>）</w:t>
      </w:r>
    </w:p>
    <w:p>
      <w:pPr>
        <w:spacing w:line="500" w:lineRule="exact"/>
        <w:ind w:firstLine="560" w:firstLineChars="200"/>
        <w:rPr>
          <w:rFonts w:eastAsia="仿宋_GB2312"/>
          <w:sz w:val="28"/>
        </w:rPr>
      </w:pPr>
      <w:r>
        <w:rPr>
          <w:rFonts w:eastAsia="仿宋_GB2312"/>
          <w:sz w:val="28"/>
        </w:rPr>
        <w:t>（2）监测项目及检测方法</w:t>
      </w:r>
    </w:p>
    <w:p>
      <w:pPr>
        <w:spacing w:line="500" w:lineRule="exact"/>
        <w:ind w:firstLine="482" w:firstLineChars="200"/>
        <w:jc w:val="center"/>
        <w:rPr>
          <w:rFonts w:eastAsia="仿宋_GB2312"/>
          <w:b/>
          <w:sz w:val="24"/>
        </w:rPr>
      </w:pPr>
      <w:r>
        <w:rPr>
          <w:rFonts w:hint="eastAsia" w:eastAsia="仿宋_GB2312"/>
          <w:b/>
          <w:sz w:val="24"/>
        </w:rPr>
        <w:t>表4.2</w:t>
      </w:r>
      <w:r>
        <w:rPr>
          <w:rFonts w:eastAsia="仿宋_GB2312"/>
          <w:b/>
          <w:sz w:val="24"/>
        </w:rPr>
        <w:t xml:space="preserve">-11  </w:t>
      </w:r>
      <w:r>
        <w:rPr>
          <w:rFonts w:hint="eastAsia" w:eastAsia="仿宋_GB2312"/>
          <w:b/>
          <w:sz w:val="24"/>
        </w:rPr>
        <w:t>监测</w:t>
      </w:r>
      <w:r>
        <w:rPr>
          <w:rFonts w:eastAsia="仿宋_GB2312"/>
          <w:b/>
          <w:sz w:val="24"/>
        </w:rPr>
        <w:t>项目</w:t>
      </w:r>
    </w:p>
    <w:tbl>
      <w:tblPr>
        <w:tblStyle w:val="87"/>
        <w:tblW w:w="94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1"/>
        <w:gridCol w:w="988"/>
        <w:gridCol w:w="1309"/>
        <w:gridCol w:w="1223"/>
        <w:gridCol w:w="1810"/>
        <w:gridCol w:w="3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121" w:type="dxa"/>
            <w:vAlign w:val="center"/>
          </w:tcPr>
          <w:p>
            <w:pPr>
              <w:adjustRightInd w:val="0"/>
              <w:snapToGrid w:val="0"/>
              <w:jc w:val="center"/>
              <w:rPr>
                <w:rFonts w:ascii="仿宋" w:hAnsi="仿宋" w:eastAsia="仿宋"/>
                <w:szCs w:val="21"/>
              </w:rPr>
            </w:pPr>
            <w:r>
              <w:rPr>
                <w:rFonts w:hint="eastAsia" w:ascii="仿宋" w:hAnsi="仿宋" w:eastAsia="仿宋"/>
                <w:szCs w:val="21"/>
              </w:rPr>
              <w:t>类别</w:t>
            </w:r>
          </w:p>
        </w:tc>
        <w:tc>
          <w:tcPr>
            <w:tcW w:w="2297" w:type="dxa"/>
            <w:gridSpan w:val="2"/>
            <w:vAlign w:val="center"/>
          </w:tcPr>
          <w:p>
            <w:pPr>
              <w:adjustRightInd w:val="0"/>
              <w:snapToGrid w:val="0"/>
              <w:jc w:val="center"/>
              <w:rPr>
                <w:rFonts w:ascii="仿宋" w:hAnsi="仿宋" w:eastAsia="仿宋"/>
                <w:szCs w:val="21"/>
              </w:rPr>
            </w:pPr>
            <w:r>
              <w:rPr>
                <w:rFonts w:ascii="仿宋" w:hAnsi="仿宋" w:eastAsia="仿宋"/>
                <w:szCs w:val="21"/>
              </w:rPr>
              <w:t>取样点位</w:t>
            </w:r>
          </w:p>
        </w:tc>
        <w:tc>
          <w:tcPr>
            <w:tcW w:w="3033" w:type="dxa"/>
            <w:gridSpan w:val="2"/>
            <w:vAlign w:val="center"/>
          </w:tcPr>
          <w:p>
            <w:pPr>
              <w:adjustRightInd w:val="0"/>
              <w:snapToGrid w:val="0"/>
              <w:jc w:val="center"/>
              <w:rPr>
                <w:rFonts w:ascii="仿宋" w:hAnsi="仿宋" w:eastAsia="仿宋"/>
                <w:szCs w:val="21"/>
              </w:rPr>
            </w:pPr>
            <w:r>
              <w:rPr>
                <w:rFonts w:hint="eastAsia" w:ascii="仿宋" w:hAnsi="仿宋" w:eastAsia="仿宋"/>
                <w:szCs w:val="21"/>
              </w:rPr>
              <w:t>取样位置</w:t>
            </w:r>
          </w:p>
        </w:tc>
        <w:tc>
          <w:tcPr>
            <w:tcW w:w="3033" w:type="dxa"/>
            <w:vAlign w:val="center"/>
          </w:tcPr>
          <w:p>
            <w:pPr>
              <w:adjustRightInd w:val="0"/>
              <w:snapToGrid w:val="0"/>
              <w:jc w:val="center"/>
              <w:rPr>
                <w:rFonts w:ascii="仿宋" w:hAnsi="仿宋" w:eastAsia="仿宋"/>
                <w:szCs w:val="21"/>
              </w:rPr>
            </w:pPr>
            <w:r>
              <w:rPr>
                <w:rFonts w:hint="eastAsia" w:ascii="仿宋" w:hAnsi="仿宋" w:eastAsia="仿宋"/>
                <w:szCs w:val="21"/>
              </w:rPr>
              <w:t>监测因子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2" w:hRule="atLeast"/>
          <w:jc w:val="center"/>
        </w:trPr>
        <w:tc>
          <w:tcPr>
            <w:tcW w:w="1121" w:type="dxa"/>
            <w:vMerge w:val="restart"/>
            <w:vAlign w:val="center"/>
          </w:tcPr>
          <w:p>
            <w:pPr>
              <w:adjustRightInd w:val="0"/>
              <w:snapToGrid w:val="0"/>
              <w:jc w:val="center"/>
              <w:rPr>
                <w:rFonts w:ascii="仿宋" w:hAnsi="仿宋" w:eastAsia="仿宋"/>
                <w:szCs w:val="21"/>
              </w:rPr>
            </w:pPr>
            <w:r>
              <w:rPr>
                <w:rFonts w:ascii="仿宋" w:hAnsi="仿宋" w:eastAsia="仿宋"/>
                <w:szCs w:val="21"/>
              </w:rPr>
              <w:t>厂区内</w:t>
            </w:r>
          </w:p>
        </w:tc>
        <w:tc>
          <w:tcPr>
            <w:tcW w:w="988" w:type="dxa"/>
            <w:vAlign w:val="center"/>
          </w:tcPr>
          <w:p>
            <w:pPr>
              <w:adjustRightInd w:val="0"/>
              <w:snapToGrid w:val="0"/>
              <w:jc w:val="center"/>
              <w:rPr>
                <w:rFonts w:ascii="仿宋" w:hAnsi="仿宋" w:eastAsia="仿宋"/>
                <w:szCs w:val="21"/>
              </w:rPr>
            </w:pPr>
            <w:r>
              <w:rPr>
                <w:rFonts w:hint="eastAsia" w:ascii="仿宋" w:hAnsi="仿宋" w:eastAsia="仿宋"/>
                <w:szCs w:val="21"/>
              </w:rPr>
              <w:t>T1</w:t>
            </w:r>
          </w:p>
        </w:tc>
        <w:tc>
          <w:tcPr>
            <w:tcW w:w="1309" w:type="dxa"/>
            <w:vAlign w:val="center"/>
          </w:tcPr>
          <w:p>
            <w:pPr>
              <w:adjustRightInd w:val="0"/>
              <w:snapToGrid w:val="0"/>
              <w:jc w:val="center"/>
              <w:rPr>
                <w:rFonts w:ascii="仿宋" w:hAnsi="仿宋" w:eastAsia="仿宋"/>
                <w:szCs w:val="21"/>
              </w:rPr>
            </w:pPr>
            <w:r>
              <w:rPr>
                <w:rFonts w:hint="eastAsia" w:ascii="仿宋" w:hAnsi="仿宋" w:eastAsia="仿宋"/>
                <w:szCs w:val="21"/>
              </w:rPr>
              <w:t>车间一西侧</w:t>
            </w:r>
          </w:p>
        </w:tc>
        <w:tc>
          <w:tcPr>
            <w:tcW w:w="1223" w:type="dxa"/>
            <w:vAlign w:val="center"/>
          </w:tcPr>
          <w:p>
            <w:pPr>
              <w:adjustRightInd w:val="0"/>
              <w:snapToGrid w:val="0"/>
              <w:jc w:val="center"/>
              <w:rPr>
                <w:rFonts w:ascii="仿宋" w:hAnsi="仿宋" w:eastAsia="仿宋"/>
                <w:szCs w:val="21"/>
              </w:rPr>
            </w:pPr>
            <w:r>
              <w:rPr>
                <w:rFonts w:ascii="仿宋" w:hAnsi="仿宋" w:eastAsia="仿宋"/>
                <w:szCs w:val="21"/>
              </w:rPr>
              <w:t>柱状样点</w:t>
            </w:r>
          </w:p>
        </w:tc>
        <w:tc>
          <w:tcPr>
            <w:tcW w:w="1810" w:type="dxa"/>
            <w:vMerge w:val="restart"/>
            <w:vAlign w:val="center"/>
          </w:tcPr>
          <w:p>
            <w:pPr>
              <w:adjustRightInd w:val="0"/>
              <w:snapToGrid w:val="0"/>
              <w:jc w:val="center"/>
              <w:rPr>
                <w:rFonts w:ascii="仿宋" w:hAnsi="仿宋" w:eastAsia="仿宋"/>
                <w:szCs w:val="21"/>
              </w:rPr>
            </w:pPr>
            <w:r>
              <w:rPr>
                <w:rFonts w:hint="eastAsia" w:ascii="仿宋" w:hAnsi="仿宋" w:eastAsia="仿宋"/>
                <w:szCs w:val="21"/>
              </w:rPr>
              <w:t>在0-0.5m、1.0-1.5m、2.0-2.5m、5.0-5.5m处分别取样</w:t>
            </w:r>
          </w:p>
        </w:tc>
        <w:tc>
          <w:tcPr>
            <w:tcW w:w="3033" w:type="dxa"/>
            <w:vAlign w:val="center"/>
          </w:tcPr>
          <w:p>
            <w:pPr>
              <w:adjustRightInd w:val="0"/>
              <w:snapToGrid w:val="0"/>
              <w:jc w:val="center"/>
              <w:rPr>
                <w:rFonts w:ascii="仿宋" w:hAnsi="仿宋" w:eastAsia="仿宋"/>
                <w:szCs w:val="21"/>
              </w:rPr>
            </w:pPr>
            <w:r>
              <w:rPr>
                <w:rFonts w:hint="eastAsia" w:ascii="仿宋" w:hAnsi="仿宋" w:eastAsia="仿宋"/>
                <w:szCs w:val="21"/>
              </w:rPr>
              <w:t>砷、镉、铬（六价）、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石油烃、</w:t>
            </w:r>
            <w:r>
              <w:rPr>
                <w:rFonts w:ascii="仿宋" w:hAnsi="仿宋" w:eastAsia="仿宋"/>
                <w:szCs w:val="21"/>
              </w:rPr>
              <w:t>间二甲苯+对二甲苯</w:t>
            </w:r>
            <w:r>
              <w:rPr>
                <w:rFonts w:hint="eastAsia" w:ascii="仿宋" w:hAnsi="仿宋" w:eastAsia="仿宋"/>
                <w:szCs w:val="21"/>
              </w:rPr>
              <w:t>、</w:t>
            </w:r>
            <w:r>
              <w:rPr>
                <w:rFonts w:ascii="仿宋" w:hAnsi="仿宋" w:eastAsia="仿宋"/>
                <w:szCs w:val="21"/>
              </w:rPr>
              <w:t>邻二甲苯</w:t>
            </w:r>
            <w:r>
              <w:rPr>
                <w:rFonts w:hint="eastAsia" w:ascii="仿宋" w:hAnsi="仿宋" w:eastAsia="仿宋"/>
                <w:szCs w:val="21"/>
              </w:rPr>
              <w:t>、硝基苯、苯胺、2-氯酚、苯并[a]蒽、苯并[a]芘、苯并[b]荧蒽、苯并[k]荧蒽、</w:t>
            </w:r>
            <w:r>
              <w:rPr>
                <w:rFonts w:hint="eastAsia" w:ascii="仿宋" w:hAnsi="仿宋" w:eastAsia="仿宋" w:cs="微软雅黑"/>
                <w:szCs w:val="21"/>
              </w:rPr>
              <w:t>䓛</w:t>
            </w:r>
            <w:r>
              <w:rPr>
                <w:rFonts w:hint="eastAsia" w:ascii="仿宋" w:hAnsi="仿宋" w:eastAsia="仿宋" w:cs="仿宋_GB2312"/>
                <w:szCs w:val="21"/>
              </w:rPr>
              <w:t>、二苯并</w:t>
            </w:r>
            <w:r>
              <w:rPr>
                <w:rFonts w:hint="eastAsia" w:ascii="仿宋" w:hAnsi="仿宋" w:eastAsia="仿宋"/>
                <w:szCs w:val="21"/>
              </w:rPr>
              <w:t>[a,h]蒽、茚并[1,2,3-cd]芘、萘、石油烃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121" w:type="dxa"/>
            <w:vMerge w:val="continue"/>
            <w:vAlign w:val="center"/>
          </w:tcPr>
          <w:p>
            <w:pPr>
              <w:adjustRightInd w:val="0"/>
              <w:snapToGrid w:val="0"/>
              <w:jc w:val="center"/>
              <w:rPr>
                <w:rFonts w:ascii="仿宋" w:hAnsi="仿宋" w:eastAsia="仿宋"/>
                <w:szCs w:val="21"/>
              </w:rPr>
            </w:pPr>
          </w:p>
        </w:tc>
        <w:tc>
          <w:tcPr>
            <w:tcW w:w="988" w:type="dxa"/>
            <w:vAlign w:val="center"/>
          </w:tcPr>
          <w:p>
            <w:pPr>
              <w:adjustRightInd w:val="0"/>
              <w:snapToGrid w:val="0"/>
              <w:jc w:val="center"/>
              <w:rPr>
                <w:rFonts w:ascii="仿宋" w:hAnsi="仿宋" w:eastAsia="仿宋"/>
                <w:szCs w:val="21"/>
              </w:rPr>
            </w:pPr>
            <w:r>
              <w:rPr>
                <w:rFonts w:ascii="仿宋" w:hAnsi="仿宋" w:eastAsia="仿宋"/>
                <w:szCs w:val="21"/>
              </w:rPr>
              <w:t>T</w:t>
            </w:r>
            <w:r>
              <w:rPr>
                <w:rFonts w:hint="eastAsia" w:ascii="仿宋" w:hAnsi="仿宋" w:eastAsia="仿宋"/>
                <w:szCs w:val="21"/>
              </w:rPr>
              <w:t>2</w:t>
            </w:r>
          </w:p>
        </w:tc>
        <w:tc>
          <w:tcPr>
            <w:tcW w:w="1309" w:type="dxa"/>
            <w:vAlign w:val="center"/>
          </w:tcPr>
          <w:p>
            <w:pPr>
              <w:adjustRightInd w:val="0"/>
              <w:snapToGrid w:val="0"/>
              <w:jc w:val="center"/>
              <w:rPr>
                <w:rFonts w:ascii="仿宋" w:hAnsi="仿宋" w:eastAsia="仿宋"/>
                <w:szCs w:val="21"/>
              </w:rPr>
            </w:pPr>
            <w:r>
              <w:rPr>
                <w:rFonts w:hint="eastAsia" w:ascii="仿宋" w:hAnsi="仿宋" w:eastAsia="仿宋"/>
                <w:szCs w:val="21"/>
              </w:rPr>
              <w:t>车间一中部</w:t>
            </w:r>
          </w:p>
        </w:tc>
        <w:tc>
          <w:tcPr>
            <w:tcW w:w="1223" w:type="dxa"/>
            <w:vAlign w:val="center"/>
          </w:tcPr>
          <w:p>
            <w:pPr>
              <w:adjustRightInd w:val="0"/>
              <w:snapToGrid w:val="0"/>
              <w:jc w:val="center"/>
              <w:rPr>
                <w:rFonts w:ascii="仿宋" w:hAnsi="仿宋" w:eastAsia="仿宋"/>
                <w:szCs w:val="21"/>
              </w:rPr>
            </w:pPr>
            <w:r>
              <w:rPr>
                <w:rFonts w:ascii="仿宋" w:hAnsi="仿宋" w:eastAsia="仿宋"/>
                <w:szCs w:val="21"/>
              </w:rPr>
              <w:t>柱状样点</w:t>
            </w:r>
          </w:p>
        </w:tc>
        <w:tc>
          <w:tcPr>
            <w:tcW w:w="1810" w:type="dxa"/>
            <w:vMerge w:val="continue"/>
            <w:vAlign w:val="center"/>
          </w:tcPr>
          <w:p>
            <w:pPr>
              <w:adjustRightInd w:val="0"/>
              <w:snapToGrid w:val="0"/>
              <w:jc w:val="center"/>
              <w:rPr>
                <w:rFonts w:ascii="仿宋" w:hAnsi="仿宋" w:eastAsia="仿宋"/>
                <w:szCs w:val="21"/>
              </w:rPr>
            </w:pPr>
          </w:p>
        </w:tc>
        <w:tc>
          <w:tcPr>
            <w:tcW w:w="3033" w:type="dxa"/>
            <w:vAlign w:val="center"/>
          </w:tcPr>
          <w:p>
            <w:pPr>
              <w:adjustRightInd w:val="0"/>
              <w:snapToGrid w:val="0"/>
              <w:jc w:val="center"/>
              <w:rPr>
                <w:rFonts w:ascii="仿宋" w:hAnsi="仿宋" w:eastAsia="仿宋"/>
                <w:szCs w:val="21"/>
              </w:rPr>
            </w:pPr>
            <w:r>
              <w:rPr>
                <w:rFonts w:hint="eastAsia" w:ascii="仿宋" w:hAnsi="仿宋" w:eastAsia="仿宋"/>
                <w:szCs w:val="21"/>
              </w:rPr>
              <w:t>石油烃、二甲苯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121" w:type="dxa"/>
            <w:vMerge w:val="continue"/>
            <w:vAlign w:val="center"/>
          </w:tcPr>
          <w:p>
            <w:pPr>
              <w:adjustRightInd w:val="0"/>
              <w:snapToGrid w:val="0"/>
              <w:jc w:val="center"/>
              <w:rPr>
                <w:rFonts w:ascii="仿宋" w:hAnsi="仿宋" w:eastAsia="仿宋"/>
                <w:szCs w:val="21"/>
              </w:rPr>
            </w:pPr>
          </w:p>
        </w:tc>
        <w:tc>
          <w:tcPr>
            <w:tcW w:w="988" w:type="dxa"/>
            <w:vAlign w:val="center"/>
          </w:tcPr>
          <w:p>
            <w:pPr>
              <w:adjustRightInd w:val="0"/>
              <w:snapToGrid w:val="0"/>
              <w:jc w:val="center"/>
              <w:rPr>
                <w:rFonts w:ascii="仿宋" w:hAnsi="仿宋" w:eastAsia="仿宋"/>
                <w:szCs w:val="21"/>
              </w:rPr>
            </w:pPr>
            <w:r>
              <w:rPr>
                <w:rFonts w:ascii="仿宋" w:hAnsi="仿宋" w:eastAsia="仿宋"/>
                <w:szCs w:val="21"/>
              </w:rPr>
              <w:t>T</w:t>
            </w:r>
            <w:r>
              <w:rPr>
                <w:rFonts w:hint="eastAsia" w:ascii="仿宋" w:hAnsi="仿宋" w:eastAsia="仿宋"/>
                <w:szCs w:val="21"/>
              </w:rPr>
              <w:t>3</w:t>
            </w:r>
          </w:p>
        </w:tc>
        <w:tc>
          <w:tcPr>
            <w:tcW w:w="1309" w:type="dxa"/>
            <w:vAlign w:val="center"/>
          </w:tcPr>
          <w:p>
            <w:pPr>
              <w:adjustRightInd w:val="0"/>
              <w:snapToGrid w:val="0"/>
              <w:jc w:val="center"/>
              <w:rPr>
                <w:rFonts w:ascii="仿宋" w:hAnsi="仿宋" w:eastAsia="仿宋"/>
                <w:szCs w:val="21"/>
              </w:rPr>
            </w:pPr>
            <w:r>
              <w:rPr>
                <w:rFonts w:hint="eastAsia" w:ascii="仿宋" w:hAnsi="仿宋" w:eastAsia="仿宋"/>
                <w:szCs w:val="21"/>
              </w:rPr>
              <w:t>车间一东部</w:t>
            </w:r>
          </w:p>
        </w:tc>
        <w:tc>
          <w:tcPr>
            <w:tcW w:w="1223" w:type="dxa"/>
            <w:vAlign w:val="center"/>
          </w:tcPr>
          <w:p>
            <w:pPr>
              <w:adjustRightInd w:val="0"/>
              <w:snapToGrid w:val="0"/>
              <w:jc w:val="center"/>
              <w:rPr>
                <w:rFonts w:ascii="仿宋" w:hAnsi="仿宋" w:eastAsia="仿宋"/>
                <w:szCs w:val="21"/>
              </w:rPr>
            </w:pPr>
            <w:r>
              <w:rPr>
                <w:rFonts w:ascii="仿宋" w:hAnsi="仿宋" w:eastAsia="仿宋"/>
                <w:szCs w:val="21"/>
              </w:rPr>
              <w:t>柱状样点</w:t>
            </w:r>
          </w:p>
        </w:tc>
        <w:tc>
          <w:tcPr>
            <w:tcW w:w="1810" w:type="dxa"/>
            <w:vMerge w:val="continue"/>
            <w:vAlign w:val="center"/>
          </w:tcPr>
          <w:p>
            <w:pPr>
              <w:adjustRightInd w:val="0"/>
              <w:snapToGrid w:val="0"/>
              <w:jc w:val="center"/>
              <w:rPr>
                <w:rFonts w:ascii="仿宋" w:hAnsi="仿宋" w:eastAsia="仿宋"/>
                <w:szCs w:val="21"/>
              </w:rPr>
            </w:pPr>
          </w:p>
        </w:tc>
        <w:tc>
          <w:tcPr>
            <w:tcW w:w="3033" w:type="dxa"/>
            <w:vAlign w:val="center"/>
          </w:tcPr>
          <w:p>
            <w:pPr>
              <w:adjustRightInd w:val="0"/>
              <w:snapToGrid w:val="0"/>
              <w:jc w:val="center"/>
              <w:rPr>
                <w:rFonts w:ascii="仿宋" w:hAnsi="仿宋" w:eastAsia="仿宋"/>
                <w:szCs w:val="21"/>
              </w:rPr>
            </w:pPr>
            <w:r>
              <w:rPr>
                <w:rFonts w:hint="eastAsia" w:ascii="仿宋" w:hAnsi="仿宋" w:eastAsia="仿宋"/>
                <w:szCs w:val="21"/>
              </w:rPr>
              <w:t>石油烃、二甲苯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121" w:type="dxa"/>
            <w:vMerge w:val="continue"/>
            <w:vAlign w:val="center"/>
          </w:tcPr>
          <w:p>
            <w:pPr>
              <w:adjustRightInd w:val="0"/>
              <w:snapToGrid w:val="0"/>
              <w:jc w:val="center"/>
              <w:rPr>
                <w:rFonts w:ascii="仿宋" w:hAnsi="仿宋" w:eastAsia="仿宋"/>
                <w:szCs w:val="21"/>
              </w:rPr>
            </w:pPr>
          </w:p>
        </w:tc>
        <w:tc>
          <w:tcPr>
            <w:tcW w:w="988" w:type="dxa"/>
            <w:vAlign w:val="center"/>
          </w:tcPr>
          <w:p>
            <w:pPr>
              <w:adjustRightInd w:val="0"/>
              <w:snapToGrid w:val="0"/>
              <w:jc w:val="center"/>
              <w:rPr>
                <w:rFonts w:ascii="仿宋" w:hAnsi="仿宋" w:eastAsia="仿宋"/>
                <w:szCs w:val="21"/>
              </w:rPr>
            </w:pPr>
            <w:r>
              <w:rPr>
                <w:rFonts w:ascii="仿宋" w:hAnsi="仿宋" w:eastAsia="仿宋"/>
                <w:szCs w:val="21"/>
              </w:rPr>
              <w:t>T</w:t>
            </w:r>
            <w:r>
              <w:rPr>
                <w:rFonts w:hint="eastAsia" w:ascii="仿宋" w:hAnsi="仿宋" w:eastAsia="仿宋"/>
                <w:szCs w:val="21"/>
              </w:rPr>
              <w:t>4</w:t>
            </w:r>
          </w:p>
        </w:tc>
        <w:tc>
          <w:tcPr>
            <w:tcW w:w="1309" w:type="dxa"/>
            <w:vAlign w:val="center"/>
          </w:tcPr>
          <w:p>
            <w:pPr>
              <w:adjustRightInd w:val="0"/>
              <w:snapToGrid w:val="0"/>
              <w:jc w:val="center"/>
              <w:rPr>
                <w:rFonts w:ascii="仿宋" w:hAnsi="仿宋" w:eastAsia="仿宋"/>
                <w:szCs w:val="21"/>
              </w:rPr>
            </w:pPr>
            <w:r>
              <w:rPr>
                <w:rFonts w:hint="eastAsia" w:ascii="仿宋" w:hAnsi="仿宋" w:eastAsia="仿宋"/>
                <w:szCs w:val="21"/>
              </w:rPr>
              <w:t>厂区东部</w:t>
            </w:r>
          </w:p>
        </w:tc>
        <w:tc>
          <w:tcPr>
            <w:tcW w:w="1223" w:type="dxa"/>
            <w:vAlign w:val="center"/>
          </w:tcPr>
          <w:p>
            <w:pPr>
              <w:adjustRightInd w:val="0"/>
              <w:snapToGrid w:val="0"/>
              <w:jc w:val="center"/>
              <w:rPr>
                <w:rFonts w:ascii="仿宋" w:hAnsi="仿宋" w:eastAsia="仿宋"/>
                <w:szCs w:val="21"/>
              </w:rPr>
            </w:pPr>
            <w:r>
              <w:rPr>
                <w:rFonts w:ascii="仿宋" w:hAnsi="仿宋" w:eastAsia="仿宋"/>
                <w:szCs w:val="21"/>
              </w:rPr>
              <w:t>表层样点</w:t>
            </w:r>
          </w:p>
        </w:tc>
        <w:tc>
          <w:tcPr>
            <w:tcW w:w="1810" w:type="dxa"/>
            <w:vAlign w:val="center"/>
          </w:tcPr>
          <w:p>
            <w:pPr>
              <w:adjustRightInd w:val="0"/>
              <w:snapToGrid w:val="0"/>
              <w:jc w:val="center"/>
              <w:rPr>
                <w:rFonts w:ascii="仿宋" w:hAnsi="仿宋" w:eastAsia="仿宋"/>
                <w:szCs w:val="21"/>
              </w:rPr>
            </w:pPr>
            <w:r>
              <w:rPr>
                <w:rFonts w:hint="eastAsia" w:ascii="仿宋" w:hAnsi="仿宋" w:eastAsia="仿宋"/>
                <w:szCs w:val="21"/>
              </w:rPr>
              <w:t>在0.2m取样</w:t>
            </w:r>
          </w:p>
        </w:tc>
        <w:tc>
          <w:tcPr>
            <w:tcW w:w="3033" w:type="dxa"/>
          </w:tcPr>
          <w:p>
            <w:pPr>
              <w:jc w:val="center"/>
              <w:rPr>
                <w:rFonts w:ascii="仿宋" w:hAnsi="仿宋" w:eastAsia="仿宋"/>
              </w:rPr>
            </w:pPr>
            <w:r>
              <w:rPr>
                <w:rFonts w:hint="eastAsia" w:ascii="仿宋" w:hAnsi="仿宋" w:eastAsia="仿宋"/>
                <w:szCs w:val="21"/>
              </w:rPr>
              <w:t>石油烃、二甲苯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121" w:type="dxa"/>
            <w:vMerge w:val="restart"/>
            <w:vAlign w:val="center"/>
          </w:tcPr>
          <w:p>
            <w:pPr>
              <w:adjustRightInd w:val="0"/>
              <w:snapToGrid w:val="0"/>
              <w:jc w:val="center"/>
              <w:rPr>
                <w:rFonts w:ascii="仿宋" w:hAnsi="仿宋" w:eastAsia="仿宋"/>
                <w:szCs w:val="21"/>
              </w:rPr>
            </w:pPr>
            <w:r>
              <w:rPr>
                <w:rFonts w:hint="eastAsia" w:ascii="仿宋" w:hAnsi="仿宋" w:eastAsia="仿宋"/>
                <w:szCs w:val="21"/>
              </w:rPr>
              <w:t>厂区外</w:t>
            </w:r>
          </w:p>
        </w:tc>
        <w:tc>
          <w:tcPr>
            <w:tcW w:w="988" w:type="dxa"/>
            <w:vAlign w:val="center"/>
          </w:tcPr>
          <w:p>
            <w:pPr>
              <w:adjustRightInd w:val="0"/>
              <w:snapToGrid w:val="0"/>
              <w:jc w:val="center"/>
              <w:rPr>
                <w:rFonts w:ascii="仿宋" w:hAnsi="仿宋" w:eastAsia="仿宋"/>
                <w:szCs w:val="21"/>
              </w:rPr>
            </w:pPr>
            <w:r>
              <w:rPr>
                <w:rFonts w:hint="eastAsia" w:ascii="仿宋" w:hAnsi="仿宋" w:eastAsia="仿宋"/>
                <w:szCs w:val="21"/>
              </w:rPr>
              <w:t>T5</w:t>
            </w:r>
          </w:p>
        </w:tc>
        <w:tc>
          <w:tcPr>
            <w:tcW w:w="1309" w:type="dxa"/>
            <w:vAlign w:val="center"/>
          </w:tcPr>
          <w:p>
            <w:pPr>
              <w:adjustRightInd w:val="0"/>
              <w:snapToGrid w:val="0"/>
              <w:jc w:val="center"/>
              <w:rPr>
                <w:rFonts w:ascii="仿宋" w:hAnsi="仿宋" w:eastAsia="仿宋"/>
                <w:szCs w:val="21"/>
              </w:rPr>
            </w:pPr>
            <w:r>
              <w:rPr>
                <w:rFonts w:hint="eastAsia" w:ascii="仿宋" w:hAnsi="仿宋" w:eastAsia="仿宋"/>
                <w:szCs w:val="21"/>
              </w:rPr>
              <w:t>元巷小区</w:t>
            </w:r>
          </w:p>
        </w:tc>
        <w:tc>
          <w:tcPr>
            <w:tcW w:w="1223" w:type="dxa"/>
            <w:vAlign w:val="center"/>
          </w:tcPr>
          <w:p>
            <w:pPr>
              <w:adjustRightInd w:val="0"/>
              <w:snapToGrid w:val="0"/>
              <w:jc w:val="center"/>
              <w:rPr>
                <w:rFonts w:ascii="仿宋" w:hAnsi="仿宋" w:eastAsia="仿宋"/>
                <w:szCs w:val="21"/>
              </w:rPr>
            </w:pPr>
            <w:r>
              <w:rPr>
                <w:rFonts w:ascii="仿宋" w:hAnsi="仿宋" w:eastAsia="仿宋"/>
                <w:szCs w:val="21"/>
              </w:rPr>
              <w:t>表层样点</w:t>
            </w:r>
          </w:p>
        </w:tc>
        <w:tc>
          <w:tcPr>
            <w:tcW w:w="1810" w:type="dxa"/>
            <w:vAlign w:val="center"/>
          </w:tcPr>
          <w:p>
            <w:pPr>
              <w:adjustRightInd w:val="0"/>
              <w:snapToGrid w:val="0"/>
              <w:jc w:val="center"/>
              <w:rPr>
                <w:rFonts w:ascii="仿宋" w:hAnsi="仿宋" w:eastAsia="仿宋"/>
                <w:szCs w:val="21"/>
              </w:rPr>
            </w:pPr>
            <w:r>
              <w:rPr>
                <w:rFonts w:hint="eastAsia" w:ascii="仿宋" w:hAnsi="仿宋" w:eastAsia="仿宋"/>
                <w:szCs w:val="21"/>
              </w:rPr>
              <w:t>在0.2m取样</w:t>
            </w:r>
          </w:p>
        </w:tc>
        <w:tc>
          <w:tcPr>
            <w:tcW w:w="3033" w:type="dxa"/>
          </w:tcPr>
          <w:p>
            <w:pPr>
              <w:jc w:val="center"/>
              <w:rPr>
                <w:rFonts w:ascii="仿宋" w:hAnsi="仿宋" w:eastAsia="仿宋"/>
              </w:rPr>
            </w:pPr>
            <w:r>
              <w:rPr>
                <w:rFonts w:hint="eastAsia" w:ascii="仿宋" w:hAnsi="仿宋" w:eastAsia="仿宋"/>
                <w:szCs w:val="21"/>
              </w:rPr>
              <w:t>石油烃、二甲苯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21" w:type="dxa"/>
            <w:vMerge w:val="continue"/>
            <w:vAlign w:val="center"/>
          </w:tcPr>
          <w:p>
            <w:pPr>
              <w:adjustRightInd w:val="0"/>
              <w:snapToGrid w:val="0"/>
              <w:jc w:val="center"/>
              <w:rPr>
                <w:rFonts w:ascii="仿宋" w:hAnsi="仿宋" w:eastAsia="仿宋"/>
                <w:szCs w:val="21"/>
              </w:rPr>
            </w:pPr>
          </w:p>
        </w:tc>
        <w:tc>
          <w:tcPr>
            <w:tcW w:w="988" w:type="dxa"/>
            <w:vAlign w:val="center"/>
          </w:tcPr>
          <w:p>
            <w:pPr>
              <w:adjustRightInd w:val="0"/>
              <w:snapToGrid w:val="0"/>
              <w:jc w:val="center"/>
              <w:rPr>
                <w:rFonts w:ascii="仿宋" w:hAnsi="仿宋" w:eastAsia="仿宋"/>
                <w:szCs w:val="21"/>
              </w:rPr>
            </w:pPr>
            <w:r>
              <w:rPr>
                <w:rFonts w:hint="eastAsia" w:ascii="仿宋" w:hAnsi="仿宋" w:eastAsia="仿宋"/>
                <w:szCs w:val="21"/>
              </w:rPr>
              <w:t>T6</w:t>
            </w:r>
          </w:p>
        </w:tc>
        <w:tc>
          <w:tcPr>
            <w:tcW w:w="1309" w:type="dxa"/>
            <w:vAlign w:val="center"/>
          </w:tcPr>
          <w:p>
            <w:pPr>
              <w:adjustRightInd w:val="0"/>
              <w:snapToGrid w:val="0"/>
              <w:jc w:val="center"/>
              <w:rPr>
                <w:rFonts w:ascii="仿宋" w:hAnsi="仿宋" w:eastAsia="仿宋"/>
                <w:szCs w:val="21"/>
              </w:rPr>
            </w:pPr>
            <w:r>
              <w:rPr>
                <w:rFonts w:hint="eastAsia" w:ascii="仿宋" w:hAnsi="仿宋" w:eastAsia="仿宋"/>
                <w:szCs w:val="21"/>
              </w:rPr>
              <w:t>红山</w:t>
            </w:r>
            <w:r>
              <w:rPr>
                <w:rFonts w:ascii="仿宋" w:hAnsi="仿宋" w:eastAsia="仿宋"/>
                <w:szCs w:val="21"/>
              </w:rPr>
              <w:t>路北侧</w:t>
            </w:r>
          </w:p>
        </w:tc>
        <w:tc>
          <w:tcPr>
            <w:tcW w:w="1223" w:type="dxa"/>
            <w:vAlign w:val="center"/>
          </w:tcPr>
          <w:p>
            <w:pPr>
              <w:adjustRightInd w:val="0"/>
              <w:snapToGrid w:val="0"/>
              <w:jc w:val="center"/>
              <w:rPr>
                <w:rFonts w:ascii="仿宋" w:hAnsi="仿宋" w:eastAsia="仿宋"/>
                <w:szCs w:val="21"/>
              </w:rPr>
            </w:pPr>
            <w:r>
              <w:rPr>
                <w:rFonts w:ascii="仿宋" w:hAnsi="仿宋" w:eastAsia="仿宋"/>
                <w:szCs w:val="21"/>
              </w:rPr>
              <w:t>表层样点</w:t>
            </w:r>
          </w:p>
        </w:tc>
        <w:tc>
          <w:tcPr>
            <w:tcW w:w="1810" w:type="dxa"/>
            <w:vAlign w:val="center"/>
          </w:tcPr>
          <w:p>
            <w:pPr>
              <w:adjustRightInd w:val="0"/>
              <w:snapToGrid w:val="0"/>
              <w:jc w:val="center"/>
              <w:rPr>
                <w:rFonts w:ascii="仿宋" w:hAnsi="仿宋" w:eastAsia="仿宋"/>
                <w:szCs w:val="21"/>
              </w:rPr>
            </w:pPr>
            <w:r>
              <w:rPr>
                <w:rFonts w:hint="eastAsia" w:ascii="仿宋" w:hAnsi="仿宋" w:eastAsia="仿宋"/>
                <w:szCs w:val="21"/>
              </w:rPr>
              <w:t>在0.2m取样</w:t>
            </w:r>
          </w:p>
        </w:tc>
        <w:tc>
          <w:tcPr>
            <w:tcW w:w="3033" w:type="dxa"/>
          </w:tcPr>
          <w:p>
            <w:pPr>
              <w:jc w:val="center"/>
              <w:rPr>
                <w:rFonts w:ascii="仿宋" w:hAnsi="仿宋" w:eastAsia="仿宋"/>
              </w:rPr>
            </w:pPr>
            <w:r>
              <w:rPr>
                <w:rFonts w:hint="eastAsia" w:ascii="仿宋" w:hAnsi="仿宋" w:eastAsia="仿宋"/>
                <w:szCs w:val="21"/>
              </w:rPr>
              <w:t>石油烃、二甲苯</w:t>
            </w:r>
          </w:p>
        </w:tc>
      </w:tr>
    </w:tbl>
    <w:p>
      <w:pPr>
        <w:spacing w:line="500" w:lineRule="exact"/>
        <w:ind w:firstLine="560" w:firstLineChars="200"/>
        <w:rPr>
          <w:rFonts w:eastAsia="仿宋_GB2312"/>
          <w:sz w:val="28"/>
        </w:rPr>
      </w:pPr>
      <w:r>
        <w:rPr>
          <w:rFonts w:eastAsia="仿宋_GB2312"/>
          <w:sz w:val="28"/>
        </w:rPr>
        <w:t>（3）监测时间及频次</w:t>
      </w:r>
    </w:p>
    <w:p>
      <w:pPr>
        <w:spacing w:line="500" w:lineRule="exact"/>
        <w:ind w:firstLine="560" w:firstLineChars="200"/>
        <w:rPr>
          <w:rFonts w:eastAsia="仿宋_GB2312"/>
          <w:sz w:val="28"/>
        </w:rPr>
      </w:pPr>
      <w:r>
        <w:rPr>
          <w:rFonts w:eastAsia="仿宋_GB2312"/>
          <w:bCs/>
          <w:sz w:val="28"/>
        </w:rPr>
        <w:t>现状监测一天，一天一次。</w:t>
      </w:r>
    </w:p>
    <w:p>
      <w:pPr>
        <w:spacing w:line="500" w:lineRule="exact"/>
        <w:ind w:firstLine="560" w:firstLineChars="200"/>
        <w:rPr>
          <w:rFonts w:eastAsia="仿宋_GB2312"/>
          <w:sz w:val="28"/>
        </w:rPr>
      </w:pPr>
      <w:r>
        <w:rPr>
          <w:rFonts w:hint="eastAsia" w:eastAsia="仿宋_GB2312"/>
          <w:sz w:val="28"/>
        </w:rPr>
        <w:t>（4）</w:t>
      </w:r>
      <w:r>
        <w:rPr>
          <w:rFonts w:eastAsia="仿宋_GB2312"/>
          <w:sz w:val="28"/>
        </w:rPr>
        <w:t>土壤理化性质调查</w:t>
      </w:r>
    </w:p>
    <w:p>
      <w:pPr>
        <w:spacing w:line="500" w:lineRule="exact"/>
        <w:ind w:firstLine="560" w:firstLineChars="200"/>
        <w:rPr>
          <w:rFonts w:eastAsia="仿宋_GB2312"/>
          <w:sz w:val="28"/>
        </w:rPr>
      </w:pPr>
      <w:r>
        <w:rPr>
          <w:rFonts w:hint="eastAsia" w:eastAsia="仿宋_GB2312"/>
          <w:sz w:val="28"/>
        </w:rPr>
        <w:t>本项目</w:t>
      </w:r>
      <w:r>
        <w:rPr>
          <w:rFonts w:eastAsia="仿宋_GB2312"/>
          <w:sz w:val="28"/>
        </w:rPr>
        <w:t>在厂区内柱状样在</w:t>
      </w:r>
      <w:r>
        <w:rPr>
          <w:rFonts w:hint="eastAsia" w:eastAsia="仿宋_GB2312"/>
          <w:sz w:val="28"/>
        </w:rPr>
        <w:t>0-</w:t>
      </w:r>
      <w:r>
        <w:rPr>
          <w:rFonts w:eastAsia="仿宋_GB2312"/>
          <w:sz w:val="28"/>
        </w:rPr>
        <w:t>0.</w:t>
      </w:r>
      <w:r>
        <w:rPr>
          <w:rFonts w:hint="eastAsia" w:eastAsia="仿宋_GB2312"/>
          <w:sz w:val="28"/>
        </w:rPr>
        <w:t>5</w:t>
      </w:r>
      <w:r>
        <w:rPr>
          <w:rFonts w:eastAsia="仿宋_GB2312"/>
          <w:sz w:val="28"/>
        </w:rPr>
        <w:t>m，</w:t>
      </w:r>
      <w:r>
        <w:rPr>
          <w:rFonts w:hint="eastAsia" w:eastAsia="仿宋_GB2312"/>
          <w:sz w:val="28"/>
        </w:rPr>
        <w:t>1.0-</w:t>
      </w:r>
      <w:r>
        <w:rPr>
          <w:rFonts w:eastAsia="仿宋_GB2312"/>
          <w:sz w:val="28"/>
        </w:rPr>
        <w:t>1.5m，</w:t>
      </w:r>
      <w:r>
        <w:rPr>
          <w:rFonts w:hint="eastAsia" w:eastAsia="仿宋_GB2312"/>
          <w:sz w:val="28"/>
        </w:rPr>
        <w:t>2.0-2.5</w:t>
      </w:r>
      <w:r>
        <w:rPr>
          <w:rFonts w:eastAsia="仿宋_GB2312"/>
          <w:sz w:val="28"/>
        </w:rPr>
        <w:t>m</w:t>
      </w:r>
      <w:r>
        <w:rPr>
          <w:rFonts w:hint="eastAsia" w:eastAsia="仿宋_GB2312"/>
          <w:sz w:val="28"/>
        </w:rPr>
        <w:t>、5.0-5.5m分</w:t>
      </w:r>
      <w:r>
        <w:rPr>
          <w:rFonts w:eastAsia="仿宋_GB2312"/>
          <w:sz w:val="28"/>
        </w:rPr>
        <w:t>别取样。</w:t>
      </w:r>
    </w:p>
    <w:p>
      <w:pPr>
        <w:spacing w:line="500" w:lineRule="exact"/>
        <w:ind w:firstLine="560" w:firstLineChars="200"/>
        <w:rPr>
          <w:rFonts w:eastAsia="仿宋_GB2312"/>
          <w:sz w:val="28"/>
        </w:rPr>
      </w:pPr>
      <w:r>
        <w:rPr>
          <w:rFonts w:hint="eastAsia" w:eastAsia="仿宋_GB2312"/>
          <w:sz w:val="28"/>
        </w:rPr>
        <w:t>根据</w:t>
      </w:r>
      <w:r>
        <w:rPr>
          <w:rFonts w:hint="eastAsia" w:eastAsia="仿宋"/>
          <w:sz w:val="28"/>
          <w:szCs w:val="28"/>
        </w:rPr>
        <w:t>江苏科发检测技术有限公司</w:t>
      </w:r>
      <w:r>
        <w:rPr>
          <w:rFonts w:eastAsia="仿宋_GB2312"/>
          <w:sz w:val="28"/>
        </w:rPr>
        <w:t>出具的</w:t>
      </w:r>
      <w:r>
        <w:rPr>
          <w:rFonts w:eastAsia="仿宋_GB2312"/>
          <w:sz w:val="28"/>
          <w:szCs w:val="28"/>
        </w:rPr>
        <w:t>《检测报告》</w:t>
      </w:r>
      <w:r>
        <w:rPr>
          <w:rFonts w:hint="eastAsia" w:eastAsia="仿宋_GB2312"/>
          <w:sz w:val="28"/>
          <w:szCs w:val="28"/>
        </w:rPr>
        <w:t>，项目编号：214-23</w:t>
      </w:r>
      <w:r>
        <w:rPr>
          <w:rFonts w:eastAsia="仿宋_GB2312"/>
          <w:sz w:val="28"/>
        </w:rPr>
        <w:t>，</w:t>
      </w:r>
      <w:r>
        <w:rPr>
          <w:rFonts w:hint="eastAsia" w:eastAsia="仿宋_GB2312"/>
          <w:sz w:val="28"/>
        </w:rPr>
        <w:t>本项目</w:t>
      </w:r>
      <w:r>
        <w:rPr>
          <w:rFonts w:eastAsia="仿宋_GB2312"/>
          <w:sz w:val="28"/>
        </w:rPr>
        <w:t>所在地土壤理化性质调查</w:t>
      </w:r>
      <w:r>
        <w:rPr>
          <w:rFonts w:hint="eastAsia" w:eastAsia="仿宋_GB2312"/>
          <w:sz w:val="28"/>
        </w:rPr>
        <w:t>结果</w:t>
      </w:r>
      <w:r>
        <w:rPr>
          <w:rFonts w:eastAsia="仿宋_GB2312"/>
          <w:sz w:val="28"/>
        </w:rPr>
        <w:t>具体如下。</w:t>
      </w:r>
    </w:p>
    <w:p>
      <w:pPr>
        <w:spacing w:line="500" w:lineRule="exact"/>
        <w:jc w:val="center"/>
        <w:rPr>
          <w:rFonts w:eastAsia="仿宋_GB2312"/>
          <w:sz w:val="28"/>
        </w:rPr>
      </w:pPr>
      <w:r>
        <w:rPr>
          <w:rFonts w:eastAsia="仿宋_GB2312"/>
          <w:b/>
          <w:sz w:val="24"/>
        </w:rPr>
        <w:t>表</w:t>
      </w:r>
      <w:r>
        <w:rPr>
          <w:rFonts w:eastAsia="仿宋_GB2312"/>
          <w:b/>
          <w:sz w:val="24"/>
        </w:rPr>
        <w:fldChar w:fldCharType="begin"/>
      </w:r>
      <w:r>
        <w:rPr>
          <w:rFonts w:eastAsia="仿宋_GB2312"/>
          <w:b/>
          <w:sz w:val="24"/>
        </w:rPr>
        <w:instrText xml:space="preserve"> STYLEREF 2 \s </w:instrText>
      </w:r>
      <w:r>
        <w:rPr>
          <w:rFonts w:eastAsia="仿宋_GB2312"/>
          <w:b/>
          <w:sz w:val="24"/>
        </w:rPr>
        <w:fldChar w:fldCharType="separate"/>
      </w:r>
      <w:r>
        <w:rPr>
          <w:rFonts w:eastAsia="仿宋_GB2312"/>
          <w:b/>
          <w:sz w:val="24"/>
        </w:rPr>
        <w:t>4.2</w:t>
      </w:r>
      <w:r>
        <w:rPr>
          <w:rFonts w:eastAsia="仿宋_GB2312"/>
          <w:b/>
          <w:sz w:val="24"/>
        </w:rPr>
        <w:fldChar w:fldCharType="end"/>
      </w:r>
      <w:r>
        <w:rPr>
          <w:rFonts w:eastAsia="仿宋_GB2312"/>
          <w:b/>
          <w:sz w:val="24"/>
        </w:rPr>
        <w:t>-</w:t>
      </w:r>
      <w:r>
        <w:rPr>
          <w:rFonts w:eastAsia="仿宋_GB2312"/>
          <w:b/>
          <w:sz w:val="24"/>
        </w:rPr>
        <w:fldChar w:fldCharType="begin"/>
      </w:r>
      <w:r>
        <w:rPr>
          <w:rFonts w:eastAsia="仿宋_GB2312"/>
          <w:b/>
          <w:sz w:val="24"/>
        </w:rPr>
        <w:instrText xml:space="preserve"> SEQ 表 \* ARABIC \s 2 </w:instrText>
      </w:r>
      <w:r>
        <w:rPr>
          <w:rFonts w:eastAsia="仿宋_GB2312"/>
          <w:b/>
          <w:sz w:val="24"/>
        </w:rPr>
        <w:fldChar w:fldCharType="separate"/>
      </w:r>
      <w:r>
        <w:rPr>
          <w:rFonts w:eastAsia="仿宋_GB2312"/>
          <w:b/>
          <w:sz w:val="24"/>
        </w:rPr>
        <w:t>1</w:t>
      </w:r>
      <w:r>
        <w:rPr>
          <w:rFonts w:eastAsia="仿宋_GB2312"/>
          <w:b/>
          <w:sz w:val="24"/>
        </w:rPr>
        <w:fldChar w:fldCharType="end"/>
      </w:r>
      <w:r>
        <w:rPr>
          <w:rFonts w:eastAsia="仿宋_GB2312"/>
          <w:b/>
          <w:sz w:val="24"/>
        </w:rPr>
        <w:t>2</w:t>
      </w:r>
      <w:r>
        <w:rPr>
          <w:rFonts w:eastAsia="仿宋_GB2312"/>
          <w:b/>
          <w:bCs/>
          <w:sz w:val="24"/>
        </w:rPr>
        <w:t xml:space="preserve"> </w:t>
      </w:r>
      <w:r>
        <w:rPr>
          <w:rFonts w:eastAsia="仿宋_GB2312"/>
          <w:b/>
          <w:sz w:val="24"/>
        </w:rPr>
        <w:t xml:space="preserve">  土壤理化特性调查表</w:t>
      </w:r>
    </w:p>
    <w:tbl>
      <w:tblPr>
        <w:tblStyle w:val="4088"/>
        <w:tblW w:w="864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7"/>
        <w:gridCol w:w="548"/>
        <w:gridCol w:w="1153"/>
        <w:gridCol w:w="993"/>
        <w:gridCol w:w="1303"/>
        <w:gridCol w:w="1304"/>
        <w:gridCol w:w="1303"/>
        <w:gridCol w:w="13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jc w:val="center"/>
        </w:trPr>
        <w:tc>
          <w:tcPr>
            <w:tcW w:w="3431" w:type="dxa"/>
            <w:gridSpan w:val="4"/>
            <w:tcBorders>
              <w:top w:val="single" w:color="000000" w:sz="4" w:space="0"/>
              <w:left w:val="single" w:color="000000" w:sz="4" w:space="0"/>
              <w:bottom w:val="nil"/>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检测时间</w:t>
            </w:r>
          </w:p>
        </w:tc>
        <w:tc>
          <w:tcPr>
            <w:tcW w:w="5214" w:type="dxa"/>
            <w:gridSpan w:val="4"/>
            <w:tcBorders>
              <w:top w:val="single" w:color="000000" w:sz="4" w:space="0"/>
              <w:left w:val="single" w:color="000000" w:sz="4" w:space="0"/>
              <w:bottom w:val="nil"/>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2023年6月20日16:30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0" w:hRule="atLeast"/>
          <w:jc w:val="center"/>
        </w:trPr>
        <w:tc>
          <w:tcPr>
            <w:tcW w:w="2438" w:type="dxa"/>
            <w:gridSpan w:val="3"/>
            <w:tcBorders>
              <w:top w:val="single" w:color="000000" w:sz="4" w:space="0"/>
              <w:left w:val="single" w:color="000000" w:sz="4" w:space="0"/>
              <w:bottom w:val="nil"/>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检测项目</w:t>
            </w:r>
          </w:p>
        </w:tc>
        <w:tc>
          <w:tcPr>
            <w:tcW w:w="993" w:type="dxa"/>
            <w:tcBorders>
              <w:top w:val="single" w:color="000000" w:sz="4" w:space="0"/>
              <w:left w:val="single" w:color="000000" w:sz="4" w:space="0"/>
              <w:bottom w:val="nil"/>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单位</w:t>
            </w:r>
          </w:p>
        </w:tc>
        <w:tc>
          <w:tcPr>
            <w:tcW w:w="1303" w:type="dxa"/>
            <w:tcBorders>
              <w:top w:val="single" w:color="000000" w:sz="4" w:space="0"/>
              <w:left w:val="single" w:color="000000" w:sz="4" w:space="0"/>
              <w:bottom w:val="nil"/>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T1</w:t>
            </w:r>
          </w:p>
          <w:p>
            <w:pPr>
              <w:adjustRightInd w:val="0"/>
              <w:snapToGrid w:val="0"/>
              <w:spacing w:line="240" w:lineRule="exact"/>
              <w:jc w:val="center"/>
              <w:rPr>
                <w:rFonts w:eastAsia="仿宋_GB2312"/>
                <w:szCs w:val="21"/>
              </w:rPr>
            </w:pPr>
            <w:r>
              <w:rPr>
                <w:rFonts w:hint="eastAsia" w:eastAsia="仿宋_GB2312"/>
                <w:szCs w:val="21"/>
              </w:rPr>
              <w:t>（0-0.5m）</w:t>
            </w:r>
          </w:p>
        </w:tc>
        <w:tc>
          <w:tcPr>
            <w:tcW w:w="1304" w:type="dxa"/>
            <w:tcBorders>
              <w:top w:val="single" w:color="000000" w:sz="4" w:space="0"/>
              <w:left w:val="single" w:color="000000" w:sz="4" w:space="0"/>
              <w:bottom w:val="nil"/>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T1</w:t>
            </w:r>
          </w:p>
          <w:p>
            <w:pPr>
              <w:adjustRightInd w:val="0"/>
              <w:snapToGrid w:val="0"/>
              <w:spacing w:line="240" w:lineRule="exact"/>
              <w:jc w:val="center"/>
              <w:rPr>
                <w:rFonts w:eastAsia="仿宋_GB2312"/>
                <w:szCs w:val="21"/>
              </w:rPr>
            </w:pPr>
            <w:r>
              <w:rPr>
                <w:rFonts w:hint="eastAsia" w:eastAsia="仿宋_GB2312"/>
                <w:szCs w:val="21"/>
              </w:rPr>
              <w:t>（1.0-1.5m）</w:t>
            </w:r>
          </w:p>
        </w:tc>
        <w:tc>
          <w:tcPr>
            <w:tcW w:w="1303" w:type="dxa"/>
            <w:tcBorders>
              <w:top w:val="single" w:color="000000" w:sz="4" w:space="0"/>
              <w:left w:val="single" w:color="000000" w:sz="4" w:space="0"/>
              <w:bottom w:val="nil"/>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T1</w:t>
            </w:r>
          </w:p>
          <w:p>
            <w:pPr>
              <w:adjustRightInd w:val="0"/>
              <w:snapToGrid w:val="0"/>
              <w:spacing w:line="240" w:lineRule="exact"/>
              <w:jc w:val="center"/>
              <w:rPr>
                <w:rFonts w:eastAsia="仿宋_GB2312"/>
                <w:szCs w:val="21"/>
              </w:rPr>
            </w:pPr>
            <w:r>
              <w:rPr>
                <w:rFonts w:hint="eastAsia" w:eastAsia="仿宋_GB2312"/>
                <w:szCs w:val="21"/>
              </w:rPr>
              <w:t>（2.0-2.5m）</w:t>
            </w:r>
          </w:p>
        </w:tc>
        <w:tc>
          <w:tcPr>
            <w:tcW w:w="1304" w:type="dxa"/>
            <w:tcBorders>
              <w:top w:val="single" w:color="000000" w:sz="4" w:space="0"/>
              <w:left w:val="single" w:color="000000" w:sz="4" w:space="0"/>
              <w:bottom w:val="nil"/>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T1</w:t>
            </w:r>
          </w:p>
          <w:p>
            <w:pPr>
              <w:adjustRightInd w:val="0"/>
              <w:snapToGrid w:val="0"/>
              <w:spacing w:line="240" w:lineRule="exact"/>
              <w:jc w:val="center"/>
              <w:rPr>
                <w:rFonts w:eastAsia="仿宋_GB2312"/>
                <w:szCs w:val="21"/>
              </w:rPr>
            </w:pPr>
            <w:r>
              <w:rPr>
                <w:rFonts w:hint="eastAsia" w:eastAsia="仿宋_GB2312"/>
                <w:szCs w:val="21"/>
              </w:rPr>
              <w:t>（5.0-5.5m）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jc w:val="center"/>
        </w:trPr>
        <w:tc>
          <w:tcPr>
            <w:tcW w:w="2438" w:type="dxa"/>
            <w:gridSpan w:val="3"/>
            <w:tcBorders>
              <w:top w:val="single" w:color="000000" w:sz="4" w:space="0"/>
              <w:left w:val="single" w:color="000000" w:sz="4" w:space="0"/>
              <w:bottom w:val="nil"/>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GPS</w:t>
            </w:r>
          </w:p>
        </w:tc>
        <w:tc>
          <w:tcPr>
            <w:tcW w:w="993" w:type="dxa"/>
            <w:tcBorders>
              <w:top w:val="single" w:color="000000" w:sz="4" w:space="0"/>
              <w:left w:val="single" w:color="000000" w:sz="4" w:space="0"/>
              <w:bottom w:val="nil"/>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w:t>
            </w:r>
          </w:p>
        </w:tc>
        <w:tc>
          <w:tcPr>
            <w:tcW w:w="5214" w:type="dxa"/>
            <w:gridSpan w:val="4"/>
            <w:tcBorders>
              <w:top w:val="single" w:color="000000" w:sz="4" w:space="0"/>
              <w:left w:val="single" w:color="000000" w:sz="4" w:space="0"/>
              <w:bottom w:val="nil"/>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东经119.55699921°北纬31.76800025°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jc w:val="center"/>
        </w:trPr>
        <w:tc>
          <w:tcPr>
            <w:tcW w:w="737" w:type="dxa"/>
            <w:vMerge w:val="restart"/>
            <w:tcBorders>
              <w:top w:val="single" w:color="000000" w:sz="4" w:space="0"/>
              <w:left w:val="single" w:color="000000" w:sz="4" w:space="0"/>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现</w:t>
            </w:r>
          </w:p>
          <w:p>
            <w:pPr>
              <w:adjustRightInd w:val="0"/>
              <w:snapToGrid w:val="0"/>
              <w:spacing w:line="240" w:lineRule="exact"/>
              <w:jc w:val="center"/>
              <w:rPr>
                <w:rFonts w:eastAsia="仿宋_GB2312"/>
                <w:szCs w:val="21"/>
              </w:rPr>
            </w:pPr>
            <w:r>
              <w:rPr>
                <w:rFonts w:hint="eastAsia" w:eastAsia="仿宋_GB2312"/>
                <w:szCs w:val="21"/>
              </w:rPr>
              <w:t>场</w:t>
            </w:r>
          </w:p>
          <w:p>
            <w:pPr>
              <w:adjustRightInd w:val="0"/>
              <w:snapToGrid w:val="0"/>
              <w:spacing w:line="240" w:lineRule="exact"/>
              <w:jc w:val="center"/>
              <w:rPr>
                <w:rFonts w:eastAsia="仿宋_GB2312"/>
                <w:szCs w:val="21"/>
              </w:rPr>
            </w:pPr>
            <w:r>
              <w:rPr>
                <w:rFonts w:hint="eastAsia" w:eastAsia="仿宋_GB2312"/>
                <w:szCs w:val="21"/>
              </w:rPr>
              <w:t>记</w:t>
            </w:r>
          </w:p>
          <w:p>
            <w:pPr>
              <w:adjustRightInd w:val="0"/>
              <w:snapToGrid w:val="0"/>
              <w:spacing w:line="240" w:lineRule="exact"/>
              <w:jc w:val="center"/>
              <w:rPr>
                <w:rFonts w:eastAsia="仿宋_GB2312"/>
                <w:szCs w:val="21"/>
              </w:rPr>
            </w:pPr>
            <w:r>
              <w:rPr>
                <w:rFonts w:hint="eastAsia" w:eastAsia="仿宋_GB2312"/>
                <w:szCs w:val="21"/>
              </w:rPr>
              <w:t>录</w:t>
            </w:r>
          </w:p>
        </w:tc>
        <w:tc>
          <w:tcPr>
            <w:tcW w:w="1701" w:type="dxa"/>
            <w:gridSpan w:val="2"/>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颜色</w:t>
            </w:r>
          </w:p>
        </w:tc>
        <w:tc>
          <w:tcPr>
            <w:tcW w:w="99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w:t>
            </w:r>
          </w:p>
        </w:tc>
        <w:tc>
          <w:tcPr>
            <w:tcW w:w="130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黄棕色</w:t>
            </w:r>
          </w:p>
        </w:tc>
        <w:tc>
          <w:tcPr>
            <w:tcW w:w="130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深棕色</w:t>
            </w:r>
          </w:p>
        </w:tc>
        <w:tc>
          <w:tcPr>
            <w:tcW w:w="130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深棕色</w:t>
            </w:r>
          </w:p>
        </w:tc>
        <w:tc>
          <w:tcPr>
            <w:tcW w:w="130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深棕色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jc w:val="center"/>
        </w:trPr>
        <w:tc>
          <w:tcPr>
            <w:tcW w:w="737" w:type="dxa"/>
            <w:vMerge w:val="continue"/>
            <w:tcBorders>
              <w:left w:val="single" w:color="000000" w:sz="4" w:space="0"/>
              <w:right w:val="single" w:color="000000" w:sz="4" w:space="0"/>
            </w:tcBorders>
            <w:vAlign w:val="center"/>
          </w:tcPr>
          <w:p>
            <w:pPr>
              <w:adjustRightInd w:val="0"/>
              <w:snapToGrid w:val="0"/>
              <w:spacing w:line="240" w:lineRule="exact"/>
              <w:jc w:val="center"/>
              <w:rPr>
                <w:rFonts w:eastAsia="仿宋_GB2312"/>
                <w:szCs w:val="21"/>
              </w:rPr>
            </w:pPr>
          </w:p>
        </w:tc>
        <w:tc>
          <w:tcPr>
            <w:tcW w:w="1701" w:type="dxa"/>
            <w:gridSpan w:val="2"/>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结构</w:t>
            </w:r>
          </w:p>
        </w:tc>
        <w:tc>
          <w:tcPr>
            <w:tcW w:w="99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w:t>
            </w:r>
          </w:p>
        </w:tc>
        <w:tc>
          <w:tcPr>
            <w:tcW w:w="130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砂粒</w:t>
            </w:r>
          </w:p>
        </w:tc>
        <w:tc>
          <w:tcPr>
            <w:tcW w:w="130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团粒</w:t>
            </w:r>
          </w:p>
        </w:tc>
        <w:tc>
          <w:tcPr>
            <w:tcW w:w="130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团粒</w:t>
            </w:r>
          </w:p>
        </w:tc>
        <w:tc>
          <w:tcPr>
            <w:tcW w:w="130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团粒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jc w:val="center"/>
        </w:trPr>
        <w:tc>
          <w:tcPr>
            <w:tcW w:w="737" w:type="dxa"/>
            <w:vMerge w:val="continue"/>
            <w:tcBorders>
              <w:left w:val="single" w:color="000000" w:sz="4" w:space="0"/>
              <w:right w:val="single" w:color="000000" w:sz="4" w:space="0"/>
            </w:tcBorders>
            <w:vAlign w:val="center"/>
          </w:tcPr>
          <w:p>
            <w:pPr>
              <w:adjustRightInd w:val="0"/>
              <w:snapToGrid w:val="0"/>
              <w:spacing w:line="240" w:lineRule="exact"/>
              <w:jc w:val="center"/>
              <w:rPr>
                <w:rFonts w:eastAsia="仿宋_GB2312"/>
                <w:szCs w:val="21"/>
              </w:rPr>
            </w:pPr>
          </w:p>
        </w:tc>
        <w:tc>
          <w:tcPr>
            <w:tcW w:w="1701" w:type="dxa"/>
            <w:gridSpan w:val="2"/>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质地</w:t>
            </w:r>
          </w:p>
        </w:tc>
        <w:tc>
          <w:tcPr>
            <w:tcW w:w="99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w:t>
            </w:r>
          </w:p>
        </w:tc>
        <w:tc>
          <w:tcPr>
            <w:tcW w:w="130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杂填土</w:t>
            </w:r>
          </w:p>
        </w:tc>
        <w:tc>
          <w:tcPr>
            <w:tcW w:w="130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粘土</w:t>
            </w:r>
          </w:p>
        </w:tc>
        <w:tc>
          <w:tcPr>
            <w:tcW w:w="130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粘土</w:t>
            </w:r>
          </w:p>
        </w:tc>
        <w:tc>
          <w:tcPr>
            <w:tcW w:w="130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粘土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jc w:val="center"/>
        </w:trPr>
        <w:tc>
          <w:tcPr>
            <w:tcW w:w="737" w:type="dxa"/>
            <w:vMerge w:val="continue"/>
            <w:tcBorders>
              <w:left w:val="single" w:color="000000" w:sz="4" w:space="0"/>
              <w:right w:val="single" w:color="000000" w:sz="4" w:space="0"/>
            </w:tcBorders>
            <w:vAlign w:val="center"/>
          </w:tcPr>
          <w:p>
            <w:pPr>
              <w:adjustRightInd w:val="0"/>
              <w:snapToGrid w:val="0"/>
              <w:spacing w:line="240" w:lineRule="exact"/>
              <w:jc w:val="center"/>
              <w:rPr>
                <w:rFonts w:eastAsia="仿宋_GB2312"/>
                <w:szCs w:val="21"/>
              </w:rPr>
            </w:pPr>
          </w:p>
        </w:tc>
        <w:tc>
          <w:tcPr>
            <w:tcW w:w="1701" w:type="dxa"/>
            <w:gridSpan w:val="2"/>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氧化还原电位</w:t>
            </w:r>
          </w:p>
        </w:tc>
        <w:tc>
          <w:tcPr>
            <w:tcW w:w="99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mV</w:t>
            </w:r>
          </w:p>
        </w:tc>
        <w:tc>
          <w:tcPr>
            <w:tcW w:w="130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402</w:t>
            </w:r>
          </w:p>
        </w:tc>
        <w:tc>
          <w:tcPr>
            <w:tcW w:w="130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407</w:t>
            </w:r>
          </w:p>
        </w:tc>
        <w:tc>
          <w:tcPr>
            <w:tcW w:w="130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405</w:t>
            </w:r>
          </w:p>
        </w:tc>
        <w:tc>
          <w:tcPr>
            <w:tcW w:w="130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412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37" w:type="dxa"/>
            <w:vMerge w:val="continue"/>
            <w:tcBorders>
              <w:left w:val="single" w:color="000000" w:sz="4" w:space="0"/>
              <w:right w:val="single" w:color="000000" w:sz="4" w:space="0"/>
            </w:tcBorders>
            <w:vAlign w:val="center"/>
          </w:tcPr>
          <w:p>
            <w:pPr>
              <w:adjustRightInd w:val="0"/>
              <w:snapToGrid w:val="0"/>
              <w:spacing w:line="240" w:lineRule="exact"/>
              <w:jc w:val="center"/>
              <w:rPr>
                <w:rFonts w:eastAsia="仿宋_GB2312"/>
                <w:szCs w:val="21"/>
              </w:rPr>
            </w:pPr>
          </w:p>
        </w:tc>
        <w:tc>
          <w:tcPr>
            <w:tcW w:w="1701" w:type="dxa"/>
            <w:gridSpan w:val="2"/>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其他异物</w:t>
            </w:r>
          </w:p>
        </w:tc>
        <w:tc>
          <w:tcPr>
            <w:tcW w:w="99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w:t>
            </w:r>
          </w:p>
        </w:tc>
        <w:tc>
          <w:tcPr>
            <w:tcW w:w="130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根系</w:t>
            </w:r>
          </w:p>
        </w:tc>
        <w:tc>
          <w:tcPr>
            <w:tcW w:w="130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无</w:t>
            </w:r>
          </w:p>
        </w:tc>
        <w:tc>
          <w:tcPr>
            <w:tcW w:w="130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无</w:t>
            </w:r>
          </w:p>
        </w:tc>
        <w:tc>
          <w:tcPr>
            <w:tcW w:w="130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jc w:val="center"/>
        </w:trPr>
        <w:tc>
          <w:tcPr>
            <w:tcW w:w="737" w:type="dxa"/>
            <w:vMerge w:val="continue"/>
            <w:tcBorders>
              <w:left w:val="single" w:color="000000" w:sz="4" w:space="0"/>
              <w:right w:val="single" w:color="000000" w:sz="4" w:space="0"/>
            </w:tcBorders>
            <w:vAlign w:val="center"/>
          </w:tcPr>
          <w:p>
            <w:pPr>
              <w:adjustRightInd w:val="0"/>
              <w:snapToGrid w:val="0"/>
              <w:spacing w:line="240" w:lineRule="exact"/>
              <w:jc w:val="center"/>
              <w:rPr>
                <w:rFonts w:eastAsia="仿宋_GB2312"/>
                <w:szCs w:val="21"/>
              </w:rPr>
            </w:pPr>
          </w:p>
        </w:tc>
        <w:tc>
          <w:tcPr>
            <w:tcW w:w="1701" w:type="dxa"/>
            <w:gridSpan w:val="2"/>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pH值</w:t>
            </w:r>
          </w:p>
        </w:tc>
        <w:tc>
          <w:tcPr>
            <w:tcW w:w="99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无量纲</w:t>
            </w:r>
          </w:p>
        </w:tc>
        <w:tc>
          <w:tcPr>
            <w:tcW w:w="130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8.23</w:t>
            </w:r>
          </w:p>
        </w:tc>
        <w:tc>
          <w:tcPr>
            <w:tcW w:w="130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8.22</w:t>
            </w:r>
          </w:p>
        </w:tc>
        <w:tc>
          <w:tcPr>
            <w:tcW w:w="130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8.21</w:t>
            </w:r>
          </w:p>
        </w:tc>
        <w:tc>
          <w:tcPr>
            <w:tcW w:w="130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8.23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37" w:type="dxa"/>
            <w:vMerge w:val="continue"/>
            <w:tcBorders>
              <w:left w:val="single" w:color="000000" w:sz="4" w:space="0"/>
              <w:right w:val="single" w:color="000000" w:sz="4" w:space="0"/>
            </w:tcBorders>
            <w:vAlign w:val="center"/>
          </w:tcPr>
          <w:p>
            <w:pPr>
              <w:adjustRightInd w:val="0"/>
              <w:snapToGrid w:val="0"/>
              <w:spacing w:line="240" w:lineRule="exact"/>
              <w:jc w:val="center"/>
              <w:rPr>
                <w:rFonts w:eastAsia="仿宋_GB2312"/>
                <w:szCs w:val="21"/>
              </w:rPr>
            </w:pPr>
          </w:p>
        </w:tc>
        <w:tc>
          <w:tcPr>
            <w:tcW w:w="1701" w:type="dxa"/>
            <w:gridSpan w:val="2"/>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阳离子交换量</w:t>
            </w:r>
          </w:p>
        </w:tc>
        <w:tc>
          <w:tcPr>
            <w:tcW w:w="99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cmol</w:t>
            </w:r>
            <w:r>
              <w:rPr>
                <w:rFonts w:hint="eastAsia" w:eastAsia="仿宋_GB2312"/>
                <w:szCs w:val="21"/>
                <w:vertAlign w:val="superscript"/>
              </w:rPr>
              <w:t>+</w:t>
            </w:r>
            <w:r>
              <w:rPr>
                <w:rFonts w:hint="eastAsia" w:eastAsia="仿宋_GB2312"/>
                <w:szCs w:val="21"/>
              </w:rPr>
              <w:t>/kg</w:t>
            </w:r>
          </w:p>
        </w:tc>
        <w:tc>
          <w:tcPr>
            <w:tcW w:w="130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19.1</w:t>
            </w:r>
          </w:p>
        </w:tc>
        <w:tc>
          <w:tcPr>
            <w:tcW w:w="130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20.2</w:t>
            </w:r>
          </w:p>
        </w:tc>
        <w:tc>
          <w:tcPr>
            <w:tcW w:w="130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21.1</w:t>
            </w:r>
          </w:p>
        </w:tc>
        <w:tc>
          <w:tcPr>
            <w:tcW w:w="130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21.5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jc w:val="center"/>
        </w:trPr>
        <w:tc>
          <w:tcPr>
            <w:tcW w:w="737" w:type="dxa"/>
            <w:vMerge w:val="continue"/>
            <w:tcBorders>
              <w:left w:val="single" w:color="000000" w:sz="4" w:space="0"/>
              <w:right w:val="single" w:color="000000" w:sz="4" w:space="0"/>
            </w:tcBorders>
            <w:vAlign w:val="center"/>
          </w:tcPr>
          <w:p>
            <w:pPr>
              <w:adjustRightInd w:val="0"/>
              <w:snapToGrid w:val="0"/>
              <w:spacing w:line="240" w:lineRule="exact"/>
              <w:jc w:val="center"/>
              <w:rPr>
                <w:rFonts w:eastAsia="仿宋_GB2312"/>
                <w:szCs w:val="21"/>
              </w:rPr>
            </w:pPr>
          </w:p>
        </w:tc>
        <w:tc>
          <w:tcPr>
            <w:tcW w:w="1701" w:type="dxa"/>
            <w:gridSpan w:val="2"/>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渗滤率</w:t>
            </w:r>
          </w:p>
        </w:tc>
        <w:tc>
          <w:tcPr>
            <w:tcW w:w="99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mm/min</w:t>
            </w:r>
          </w:p>
        </w:tc>
        <w:tc>
          <w:tcPr>
            <w:tcW w:w="130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0.12</w:t>
            </w:r>
          </w:p>
        </w:tc>
        <w:tc>
          <w:tcPr>
            <w:tcW w:w="130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0.03</w:t>
            </w:r>
          </w:p>
        </w:tc>
        <w:tc>
          <w:tcPr>
            <w:tcW w:w="130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0.00</w:t>
            </w:r>
          </w:p>
        </w:tc>
        <w:tc>
          <w:tcPr>
            <w:tcW w:w="130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737" w:type="dxa"/>
            <w:vMerge w:val="continue"/>
            <w:tcBorders>
              <w:left w:val="single" w:color="000000" w:sz="4" w:space="0"/>
              <w:right w:val="single" w:color="000000" w:sz="4" w:space="0"/>
            </w:tcBorders>
            <w:vAlign w:val="center"/>
          </w:tcPr>
          <w:p>
            <w:pPr>
              <w:adjustRightInd w:val="0"/>
              <w:snapToGrid w:val="0"/>
              <w:spacing w:line="240" w:lineRule="exact"/>
              <w:jc w:val="center"/>
              <w:rPr>
                <w:rFonts w:eastAsia="仿宋_GB2312"/>
                <w:szCs w:val="21"/>
              </w:rPr>
            </w:pPr>
          </w:p>
        </w:tc>
        <w:tc>
          <w:tcPr>
            <w:tcW w:w="1701" w:type="dxa"/>
            <w:gridSpan w:val="2"/>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土壤容重</w:t>
            </w:r>
          </w:p>
        </w:tc>
        <w:tc>
          <w:tcPr>
            <w:tcW w:w="99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g/m</w:t>
            </w:r>
            <w:r>
              <w:rPr>
                <w:rFonts w:hint="eastAsia" w:eastAsia="仿宋_GB2312"/>
                <w:szCs w:val="21"/>
                <w:vertAlign w:val="superscript"/>
              </w:rPr>
              <w:t>³</w:t>
            </w:r>
          </w:p>
        </w:tc>
        <w:tc>
          <w:tcPr>
            <w:tcW w:w="130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1.39</w:t>
            </w:r>
          </w:p>
        </w:tc>
        <w:tc>
          <w:tcPr>
            <w:tcW w:w="130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1.27</w:t>
            </w:r>
          </w:p>
        </w:tc>
        <w:tc>
          <w:tcPr>
            <w:tcW w:w="130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1.23</w:t>
            </w:r>
          </w:p>
        </w:tc>
        <w:tc>
          <w:tcPr>
            <w:tcW w:w="130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1.18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5" w:hRule="atLeast"/>
          <w:jc w:val="center"/>
        </w:trPr>
        <w:tc>
          <w:tcPr>
            <w:tcW w:w="737" w:type="dxa"/>
            <w:vMerge w:val="continue"/>
            <w:tcBorders>
              <w:left w:val="single" w:color="000000" w:sz="4" w:space="0"/>
              <w:right w:val="single" w:color="000000" w:sz="4" w:space="0"/>
            </w:tcBorders>
            <w:vAlign w:val="center"/>
          </w:tcPr>
          <w:p>
            <w:pPr>
              <w:adjustRightInd w:val="0"/>
              <w:snapToGrid w:val="0"/>
              <w:spacing w:line="240" w:lineRule="exact"/>
              <w:jc w:val="center"/>
              <w:rPr>
                <w:rFonts w:eastAsia="仿宋_GB2312"/>
                <w:szCs w:val="21"/>
              </w:rPr>
            </w:pPr>
          </w:p>
        </w:tc>
        <w:tc>
          <w:tcPr>
            <w:tcW w:w="1701" w:type="dxa"/>
            <w:gridSpan w:val="2"/>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总孔隙度</w:t>
            </w:r>
          </w:p>
        </w:tc>
        <w:tc>
          <w:tcPr>
            <w:tcW w:w="99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w:t>
            </w:r>
          </w:p>
        </w:tc>
        <w:tc>
          <w:tcPr>
            <w:tcW w:w="130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52.5</w:t>
            </w:r>
          </w:p>
        </w:tc>
        <w:tc>
          <w:tcPr>
            <w:tcW w:w="130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50.1</w:t>
            </w:r>
          </w:p>
        </w:tc>
        <w:tc>
          <w:tcPr>
            <w:tcW w:w="130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48.3</w:t>
            </w:r>
          </w:p>
        </w:tc>
        <w:tc>
          <w:tcPr>
            <w:tcW w:w="130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55.8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 w:hRule="atLeast"/>
          <w:jc w:val="center"/>
        </w:trPr>
        <w:tc>
          <w:tcPr>
            <w:tcW w:w="737" w:type="dxa"/>
            <w:vMerge w:val="continue"/>
            <w:tcBorders>
              <w:left w:val="single" w:color="000000" w:sz="4" w:space="0"/>
              <w:right w:val="single" w:color="000000" w:sz="4" w:space="0"/>
            </w:tcBorders>
            <w:vAlign w:val="center"/>
          </w:tcPr>
          <w:p>
            <w:pPr>
              <w:adjustRightInd w:val="0"/>
              <w:snapToGrid w:val="0"/>
              <w:spacing w:line="240" w:lineRule="exact"/>
              <w:jc w:val="center"/>
              <w:rPr>
                <w:rFonts w:eastAsia="仿宋_GB2312"/>
                <w:szCs w:val="21"/>
              </w:rPr>
            </w:pPr>
          </w:p>
        </w:tc>
        <w:tc>
          <w:tcPr>
            <w:tcW w:w="1701" w:type="dxa"/>
            <w:gridSpan w:val="2"/>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饱和导水率</w:t>
            </w:r>
          </w:p>
        </w:tc>
        <w:tc>
          <w:tcPr>
            <w:tcW w:w="993" w:type="dxa"/>
            <w:tcBorders>
              <w:top w:val="single" w:color="000000" w:sz="4" w:space="0"/>
              <w:left w:val="single" w:color="000000" w:sz="4" w:space="0"/>
              <w:bottom w:val="single" w:color="000000" w:sz="4" w:space="0"/>
              <w:right w:val="single" w:color="000000" w:sz="4" w:space="0"/>
            </w:tcBorders>
            <w:vAlign w:val="center"/>
          </w:tcPr>
          <w:p>
            <w:pPr>
              <w:kinsoku w:val="0"/>
              <w:autoSpaceDE w:val="0"/>
              <w:autoSpaceDN w:val="0"/>
              <w:adjustRightInd w:val="0"/>
              <w:snapToGrid w:val="0"/>
              <w:spacing w:line="280" w:lineRule="exact"/>
              <w:jc w:val="center"/>
              <w:textAlignment w:val="baseline"/>
              <w:rPr>
                <w:rFonts w:eastAsia="仿宋_GB2312"/>
                <w:szCs w:val="21"/>
              </w:rPr>
            </w:pPr>
            <w:r>
              <w:rPr>
                <w:rFonts w:hint="eastAsia" w:asciiTheme="minorEastAsia" w:hAnsiTheme="minorEastAsia" w:eastAsiaTheme="minorEastAsia"/>
                <w:spacing w:val="-3"/>
                <w:kern w:val="0"/>
                <w:sz w:val="24"/>
              </w:rPr>
              <w:t>cm/s</w:t>
            </w:r>
          </w:p>
        </w:tc>
        <w:tc>
          <w:tcPr>
            <w:tcW w:w="130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6.61×10</w:t>
            </w:r>
            <w:r>
              <w:rPr>
                <w:rFonts w:hint="eastAsia" w:eastAsia="仿宋_GB2312"/>
                <w:szCs w:val="21"/>
                <w:vertAlign w:val="superscript"/>
              </w:rPr>
              <w:t>-4</w:t>
            </w:r>
          </w:p>
        </w:tc>
        <w:tc>
          <w:tcPr>
            <w:tcW w:w="130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7.30×10</w:t>
            </w:r>
            <w:r>
              <w:rPr>
                <w:rFonts w:hint="eastAsia" w:eastAsia="仿宋_GB2312"/>
                <w:szCs w:val="21"/>
                <w:vertAlign w:val="superscript"/>
              </w:rPr>
              <w:t>-4</w:t>
            </w:r>
          </w:p>
        </w:tc>
        <w:tc>
          <w:tcPr>
            <w:tcW w:w="130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7.86×10</w:t>
            </w:r>
            <w:r>
              <w:rPr>
                <w:rFonts w:hint="eastAsia" w:eastAsia="仿宋_GB2312"/>
                <w:szCs w:val="21"/>
                <w:vertAlign w:val="superscript"/>
              </w:rPr>
              <w:t>-4</w:t>
            </w:r>
          </w:p>
        </w:tc>
        <w:tc>
          <w:tcPr>
            <w:tcW w:w="130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8.00×10</w:t>
            </w:r>
            <w:r>
              <w:rPr>
                <w:rFonts w:hint="eastAsia" w:eastAsia="仿宋_GB2312"/>
                <w:szCs w:val="21"/>
                <w:vertAlign w:val="superscript"/>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2" w:hRule="atLeast"/>
          <w:jc w:val="center"/>
        </w:trPr>
        <w:tc>
          <w:tcPr>
            <w:tcW w:w="737" w:type="dxa"/>
            <w:vMerge w:val="continue"/>
            <w:tcBorders>
              <w:left w:val="single" w:color="000000" w:sz="4" w:space="0"/>
              <w:right w:val="single" w:color="000000" w:sz="4" w:space="0"/>
            </w:tcBorders>
            <w:vAlign w:val="center"/>
          </w:tcPr>
          <w:p>
            <w:pPr>
              <w:adjustRightInd w:val="0"/>
              <w:snapToGrid w:val="0"/>
              <w:spacing w:line="240" w:lineRule="exact"/>
              <w:jc w:val="center"/>
              <w:rPr>
                <w:rFonts w:eastAsia="仿宋_GB2312"/>
                <w:szCs w:val="21"/>
              </w:rPr>
            </w:pPr>
          </w:p>
        </w:tc>
        <w:tc>
          <w:tcPr>
            <w:tcW w:w="548" w:type="dxa"/>
            <w:vMerge w:val="restart"/>
            <w:tcBorders>
              <w:top w:val="single" w:color="000000" w:sz="4" w:space="0"/>
              <w:left w:val="single" w:color="000000" w:sz="4" w:space="0"/>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机械组成</w:t>
            </w:r>
          </w:p>
        </w:tc>
        <w:tc>
          <w:tcPr>
            <w:tcW w:w="115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粗砂粒含量</w:t>
            </w:r>
          </w:p>
          <w:p>
            <w:pPr>
              <w:adjustRightInd w:val="0"/>
              <w:snapToGrid w:val="0"/>
              <w:spacing w:line="240" w:lineRule="exact"/>
              <w:jc w:val="center"/>
              <w:rPr>
                <w:rFonts w:eastAsia="仿宋_GB2312"/>
                <w:szCs w:val="21"/>
              </w:rPr>
            </w:pPr>
            <w:r>
              <w:rPr>
                <w:rFonts w:hint="eastAsia" w:eastAsia="仿宋_GB2312"/>
                <w:szCs w:val="21"/>
              </w:rPr>
              <w:t>(2.0mm≥D＞0.2mm)</w:t>
            </w:r>
          </w:p>
        </w:tc>
        <w:tc>
          <w:tcPr>
            <w:tcW w:w="993" w:type="dxa"/>
            <w:tcBorders>
              <w:top w:val="single" w:color="000000" w:sz="4" w:space="0"/>
              <w:left w:val="single" w:color="000000" w:sz="4" w:space="0"/>
              <w:bottom w:val="single" w:color="000000" w:sz="4" w:space="0"/>
              <w:right w:val="single" w:color="000000" w:sz="4" w:space="0"/>
            </w:tcBorders>
            <w:vAlign w:val="center"/>
          </w:tcPr>
          <w:p>
            <w:pPr>
              <w:kinsoku w:val="0"/>
              <w:autoSpaceDE w:val="0"/>
              <w:autoSpaceDN w:val="0"/>
              <w:adjustRightInd w:val="0"/>
              <w:snapToGrid w:val="0"/>
              <w:spacing w:line="240" w:lineRule="exact"/>
              <w:jc w:val="center"/>
              <w:textAlignment w:val="baseline"/>
              <w:rPr>
                <w:rFonts w:eastAsia="仿宋_GB2312"/>
                <w:szCs w:val="21"/>
              </w:rPr>
            </w:pPr>
            <w:r>
              <w:rPr>
                <w:rFonts w:hint="eastAsia" w:cs="Arial" w:asciiTheme="minorEastAsia" w:hAnsiTheme="minorEastAsia" w:eastAsiaTheme="minorEastAsia"/>
                <w:kern w:val="0"/>
                <w:sz w:val="24"/>
              </w:rPr>
              <w:t>%</w:t>
            </w:r>
          </w:p>
        </w:tc>
        <w:tc>
          <w:tcPr>
            <w:tcW w:w="1303" w:type="dxa"/>
            <w:tcBorders>
              <w:top w:val="single" w:color="000000" w:sz="4" w:space="0"/>
              <w:left w:val="single" w:color="000000" w:sz="4" w:space="0"/>
              <w:bottom w:val="single" w:color="000000" w:sz="4" w:space="0"/>
              <w:right w:val="single" w:color="000000" w:sz="4" w:space="0"/>
            </w:tcBorders>
            <w:vAlign w:val="center"/>
          </w:tcPr>
          <w:p>
            <w:pPr>
              <w:kinsoku w:val="0"/>
              <w:autoSpaceDE w:val="0"/>
              <w:autoSpaceDN w:val="0"/>
              <w:adjustRightInd w:val="0"/>
              <w:snapToGrid w:val="0"/>
              <w:spacing w:line="240" w:lineRule="exact"/>
              <w:jc w:val="center"/>
              <w:textAlignment w:val="baseline"/>
              <w:rPr>
                <w:rFonts w:eastAsia="仿宋_GB2312"/>
                <w:szCs w:val="21"/>
              </w:rPr>
            </w:pPr>
            <w:r>
              <w:rPr>
                <w:rFonts w:hint="eastAsia" w:cs="Arial" w:asciiTheme="minorEastAsia" w:hAnsiTheme="minorEastAsia" w:eastAsiaTheme="minorEastAsia"/>
                <w:kern w:val="0"/>
                <w:sz w:val="24"/>
              </w:rPr>
              <w:t>8</w:t>
            </w:r>
          </w:p>
        </w:tc>
        <w:tc>
          <w:tcPr>
            <w:tcW w:w="1304" w:type="dxa"/>
            <w:tcBorders>
              <w:top w:val="single" w:color="000000" w:sz="4" w:space="0"/>
              <w:left w:val="single" w:color="000000" w:sz="4" w:space="0"/>
              <w:bottom w:val="single" w:color="000000" w:sz="4" w:space="0"/>
              <w:right w:val="single" w:color="000000" w:sz="4" w:space="0"/>
            </w:tcBorders>
            <w:vAlign w:val="center"/>
          </w:tcPr>
          <w:p>
            <w:pPr>
              <w:kinsoku w:val="0"/>
              <w:autoSpaceDE w:val="0"/>
              <w:autoSpaceDN w:val="0"/>
              <w:adjustRightInd w:val="0"/>
              <w:snapToGrid w:val="0"/>
              <w:spacing w:line="240" w:lineRule="exact"/>
              <w:jc w:val="center"/>
              <w:textAlignment w:val="baseline"/>
              <w:rPr>
                <w:rFonts w:eastAsia="仿宋_GB2312"/>
                <w:szCs w:val="21"/>
              </w:rPr>
            </w:pPr>
            <w:r>
              <w:rPr>
                <w:rFonts w:hint="eastAsia" w:cs="Arial" w:asciiTheme="minorEastAsia" w:hAnsiTheme="minorEastAsia" w:eastAsiaTheme="minorEastAsia"/>
                <w:kern w:val="0"/>
                <w:sz w:val="24"/>
              </w:rPr>
              <w:t>8</w:t>
            </w:r>
          </w:p>
        </w:tc>
        <w:tc>
          <w:tcPr>
            <w:tcW w:w="1303" w:type="dxa"/>
            <w:tcBorders>
              <w:top w:val="single" w:color="000000" w:sz="4" w:space="0"/>
              <w:left w:val="single" w:color="000000" w:sz="4" w:space="0"/>
              <w:bottom w:val="single" w:color="000000" w:sz="4" w:space="0"/>
              <w:right w:val="single" w:color="000000" w:sz="4" w:space="0"/>
            </w:tcBorders>
            <w:vAlign w:val="center"/>
          </w:tcPr>
          <w:p>
            <w:pPr>
              <w:kinsoku w:val="0"/>
              <w:autoSpaceDE w:val="0"/>
              <w:autoSpaceDN w:val="0"/>
              <w:adjustRightInd w:val="0"/>
              <w:snapToGrid w:val="0"/>
              <w:spacing w:line="240" w:lineRule="exact"/>
              <w:jc w:val="center"/>
              <w:textAlignment w:val="baseline"/>
              <w:rPr>
                <w:rFonts w:eastAsia="仿宋_GB2312"/>
                <w:szCs w:val="21"/>
              </w:rPr>
            </w:pPr>
            <w:r>
              <w:rPr>
                <w:rFonts w:hint="eastAsia" w:cs="Arial" w:asciiTheme="minorEastAsia" w:hAnsiTheme="minorEastAsia" w:eastAsiaTheme="minorEastAsia"/>
                <w:kern w:val="0"/>
                <w:sz w:val="24"/>
              </w:rPr>
              <w:t>7</w:t>
            </w:r>
          </w:p>
        </w:tc>
        <w:tc>
          <w:tcPr>
            <w:tcW w:w="1304" w:type="dxa"/>
            <w:tcBorders>
              <w:top w:val="single" w:color="000000" w:sz="4" w:space="0"/>
              <w:left w:val="single" w:color="000000" w:sz="4" w:space="0"/>
              <w:bottom w:val="single" w:color="000000" w:sz="4" w:space="0"/>
              <w:right w:val="single" w:color="000000" w:sz="4" w:space="0"/>
            </w:tcBorders>
            <w:vAlign w:val="center"/>
          </w:tcPr>
          <w:p>
            <w:pPr>
              <w:kinsoku w:val="0"/>
              <w:autoSpaceDE w:val="0"/>
              <w:autoSpaceDN w:val="0"/>
              <w:adjustRightInd w:val="0"/>
              <w:snapToGrid w:val="0"/>
              <w:spacing w:line="240" w:lineRule="exact"/>
              <w:jc w:val="center"/>
              <w:textAlignment w:val="baseline"/>
              <w:rPr>
                <w:rFonts w:eastAsia="仿宋_GB2312"/>
                <w:szCs w:val="21"/>
              </w:rPr>
            </w:pPr>
            <w:r>
              <w:rPr>
                <w:rFonts w:hint="eastAsia" w:cs="Arial" w:asciiTheme="minorEastAsia" w:hAnsiTheme="minorEastAsia" w:eastAsiaTheme="minorEastAsia"/>
                <w:kern w:val="0"/>
                <w:sz w:val="24"/>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jc w:val="center"/>
        </w:trPr>
        <w:tc>
          <w:tcPr>
            <w:tcW w:w="737" w:type="dxa"/>
            <w:vMerge w:val="continue"/>
            <w:tcBorders>
              <w:left w:val="single" w:color="000000" w:sz="4" w:space="0"/>
              <w:right w:val="single" w:color="000000" w:sz="4" w:space="0"/>
            </w:tcBorders>
            <w:vAlign w:val="center"/>
          </w:tcPr>
          <w:p>
            <w:pPr>
              <w:adjustRightInd w:val="0"/>
              <w:snapToGrid w:val="0"/>
              <w:spacing w:line="240" w:lineRule="exact"/>
              <w:jc w:val="center"/>
              <w:rPr>
                <w:rFonts w:eastAsia="仿宋_GB2312"/>
                <w:szCs w:val="21"/>
              </w:rPr>
            </w:pPr>
          </w:p>
        </w:tc>
        <w:tc>
          <w:tcPr>
            <w:tcW w:w="548" w:type="dxa"/>
            <w:vMerge w:val="continue"/>
            <w:tcBorders>
              <w:left w:val="single" w:color="000000" w:sz="4" w:space="0"/>
              <w:right w:val="single" w:color="000000" w:sz="4" w:space="0"/>
            </w:tcBorders>
            <w:vAlign w:val="center"/>
          </w:tcPr>
          <w:p>
            <w:pPr>
              <w:adjustRightInd w:val="0"/>
              <w:snapToGrid w:val="0"/>
              <w:spacing w:line="240" w:lineRule="exact"/>
              <w:jc w:val="center"/>
              <w:rPr>
                <w:rFonts w:eastAsia="仿宋_GB2312"/>
                <w:szCs w:val="21"/>
              </w:rPr>
            </w:pPr>
          </w:p>
        </w:tc>
        <w:tc>
          <w:tcPr>
            <w:tcW w:w="115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黏粒含量</w:t>
            </w:r>
          </w:p>
          <w:p>
            <w:pPr>
              <w:adjustRightInd w:val="0"/>
              <w:snapToGrid w:val="0"/>
              <w:spacing w:line="240" w:lineRule="exact"/>
              <w:jc w:val="center"/>
              <w:rPr>
                <w:rFonts w:eastAsia="仿宋_GB2312"/>
                <w:szCs w:val="21"/>
              </w:rPr>
            </w:pPr>
            <w:r>
              <w:rPr>
                <w:rFonts w:hint="eastAsia" w:eastAsia="仿宋_GB2312"/>
                <w:szCs w:val="21"/>
              </w:rPr>
              <w:t>(D＜0.002mm)</w:t>
            </w:r>
          </w:p>
        </w:tc>
        <w:tc>
          <w:tcPr>
            <w:tcW w:w="993" w:type="dxa"/>
            <w:tcBorders>
              <w:top w:val="single" w:color="000000" w:sz="4" w:space="0"/>
              <w:left w:val="single" w:color="000000" w:sz="4" w:space="0"/>
              <w:bottom w:val="single" w:color="000000" w:sz="4" w:space="0"/>
              <w:right w:val="single" w:color="000000" w:sz="4" w:space="0"/>
            </w:tcBorders>
            <w:vAlign w:val="center"/>
          </w:tcPr>
          <w:p>
            <w:pPr>
              <w:kinsoku w:val="0"/>
              <w:autoSpaceDE w:val="0"/>
              <w:autoSpaceDN w:val="0"/>
              <w:adjustRightInd w:val="0"/>
              <w:snapToGrid w:val="0"/>
              <w:spacing w:line="240" w:lineRule="exact"/>
              <w:jc w:val="center"/>
              <w:textAlignment w:val="baseline"/>
              <w:rPr>
                <w:rFonts w:eastAsia="仿宋_GB2312"/>
                <w:szCs w:val="21"/>
              </w:rPr>
            </w:pPr>
            <w:r>
              <w:rPr>
                <w:rFonts w:hint="eastAsia" w:cs="Arial" w:asciiTheme="minorEastAsia" w:hAnsiTheme="minorEastAsia" w:eastAsiaTheme="minorEastAsia"/>
                <w:kern w:val="0"/>
                <w:sz w:val="24"/>
              </w:rPr>
              <w:t>%</w:t>
            </w:r>
          </w:p>
        </w:tc>
        <w:tc>
          <w:tcPr>
            <w:tcW w:w="1303" w:type="dxa"/>
            <w:tcBorders>
              <w:top w:val="single" w:color="000000" w:sz="4" w:space="0"/>
              <w:left w:val="single" w:color="000000" w:sz="4" w:space="0"/>
              <w:bottom w:val="single" w:color="000000" w:sz="4" w:space="0"/>
              <w:right w:val="single" w:color="000000" w:sz="4" w:space="0"/>
            </w:tcBorders>
            <w:vAlign w:val="center"/>
          </w:tcPr>
          <w:p>
            <w:pPr>
              <w:kinsoku w:val="0"/>
              <w:autoSpaceDE w:val="0"/>
              <w:autoSpaceDN w:val="0"/>
              <w:adjustRightInd w:val="0"/>
              <w:snapToGrid w:val="0"/>
              <w:spacing w:line="240" w:lineRule="exact"/>
              <w:jc w:val="center"/>
              <w:textAlignment w:val="baseline"/>
              <w:rPr>
                <w:rFonts w:eastAsia="仿宋_GB2312"/>
                <w:szCs w:val="21"/>
              </w:rPr>
            </w:pPr>
            <w:r>
              <w:rPr>
                <w:rFonts w:hint="eastAsia" w:cs="Arial" w:asciiTheme="minorEastAsia" w:hAnsiTheme="minorEastAsia" w:eastAsiaTheme="minorEastAsia"/>
                <w:kern w:val="0"/>
                <w:sz w:val="24"/>
              </w:rPr>
              <w:t>34</w:t>
            </w:r>
          </w:p>
        </w:tc>
        <w:tc>
          <w:tcPr>
            <w:tcW w:w="1304" w:type="dxa"/>
            <w:tcBorders>
              <w:top w:val="single" w:color="000000" w:sz="4" w:space="0"/>
              <w:left w:val="single" w:color="000000" w:sz="4" w:space="0"/>
              <w:bottom w:val="single" w:color="000000" w:sz="4" w:space="0"/>
              <w:right w:val="single" w:color="000000" w:sz="4" w:space="0"/>
            </w:tcBorders>
            <w:vAlign w:val="center"/>
          </w:tcPr>
          <w:p>
            <w:pPr>
              <w:kinsoku w:val="0"/>
              <w:autoSpaceDE w:val="0"/>
              <w:autoSpaceDN w:val="0"/>
              <w:adjustRightInd w:val="0"/>
              <w:snapToGrid w:val="0"/>
              <w:spacing w:line="240" w:lineRule="exact"/>
              <w:jc w:val="center"/>
              <w:textAlignment w:val="baseline"/>
              <w:rPr>
                <w:rFonts w:eastAsia="仿宋_GB2312"/>
                <w:szCs w:val="21"/>
              </w:rPr>
            </w:pPr>
            <w:r>
              <w:rPr>
                <w:rFonts w:hint="eastAsia" w:cs="Arial" w:asciiTheme="minorEastAsia" w:hAnsiTheme="minorEastAsia" w:eastAsiaTheme="minorEastAsia"/>
                <w:kern w:val="0"/>
                <w:sz w:val="24"/>
              </w:rPr>
              <w:t>35</w:t>
            </w:r>
          </w:p>
        </w:tc>
        <w:tc>
          <w:tcPr>
            <w:tcW w:w="1303" w:type="dxa"/>
            <w:tcBorders>
              <w:top w:val="single" w:color="000000" w:sz="4" w:space="0"/>
              <w:left w:val="single" w:color="000000" w:sz="4" w:space="0"/>
              <w:bottom w:val="single" w:color="000000" w:sz="4" w:space="0"/>
              <w:right w:val="single" w:color="000000" w:sz="4" w:space="0"/>
            </w:tcBorders>
            <w:vAlign w:val="center"/>
          </w:tcPr>
          <w:p>
            <w:pPr>
              <w:kinsoku w:val="0"/>
              <w:autoSpaceDE w:val="0"/>
              <w:autoSpaceDN w:val="0"/>
              <w:adjustRightInd w:val="0"/>
              <w:snapToGrid w:val="0"/>
              <w:spacing w:line="240" w:lineRule="exact"/>
              <w:jc w:val="center"/>
              <w:textAlignment w:val="baseline"/>
              <w:rPr>
                <w:rFonts w:eastAsia="仿宋_GB2312"/>
                <w:szCs w:val="21"/>
              </w:rPr>
            </w:pPr>
            <w:r>
              <w:rPr>
                <w:rFonts w:hint="eastAsia" w:cs="Arial" w:asciiTheme="minorEastAsia" w:hAnsiTheme="minorEastAsia" w:eastAsiaTheme="minorEastAsia"/>
                <w:kern w:val="0"/>
                <w:sz w:val="24"/>
              </w:rPr>
              <w:t>37</w:t>
            </w:r>
          </w:p>
        </w:tc>
        <w:tc>
          <w:tcPr>
            <w:tcW w:w="1304" w:type="dxa"/>
            <w:tcBorders>
              <w:top w:val="single" w:color="000000" w:sz="4" w:space="0"/>
              <w:left w:val="single" w:color="000000" w:sz="4" w:space="0"/>
              <w:bottom w:val="single" w:color="000000" w:sz="4" w:space="0"/>
              <w:right w:val="single" w:color="000000" w:sz="4" w:space="0"/>
            </w:tcBorders>
            <w:vAlign w:val="center"/>
          </w:tcPr>
          <w:p>
            <w:pPr>
              <w:kinsoku w:val="0"/>
              <w:autoSpaceDE w:val="0"/>
              <w:autoSpaceDN w:val="0"/>
              <w:adjustRightInd w:val="0"/>
              <w:snapToGrid w:val="0"/>
              <w:spacing w:line="240" w:lineRule="exact"/>
              <w:jc w:val="center"/>
              <w:textAlignment w:val="baseline"/>
              <w:rPr>
                <w:rFonts w:eastAsia="仿宋_GB2312"/>
                <w:szCs w:val="21"/>
              </w:rPr>
            </w:pPr>
            <w:r>
              <w:rPr>
                <w:rFonts w:hint="eastAsia" w:cs="Arial" w:asciiTheme="minorEastAsia" w:hAnsiTheme="minorEastAsia" w:eastAsiaTheme="minorEastAsia"/>
                <w:kern w:val="0"/>
                <w:sz w:val="24"/>
              </w:rPr>
              <w:t>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4" w:hRule="atLeast"/>
          <w:jc w:val="center"/>
        </w:trPr>
        <w:tc>
          <w:tcPr>
            <w:tcW w:w="737" w:type="dxa"/>
            <w:vMerge w:val="continue"/>
            <w:tcBorders>
              <w:left w:val="single" w:color="000000" w:sz="4" w:space="0"/>
              <w:right w:val="single" w:color="000000" w:sz="4" w:space="0"/>
            </w:tcBorders>
            <w:vAlign w:val="center"/>
          </w:tcPr>
          <w:p>
            <w:pPr>
              <w:adjustRightInd w:val="0"/>
              <w:snapToGrid w:val="0"/>
              <w:spacing w:line="240" w:lineRule="exact"/>
              <w:jc w:val="center"/>
              <w:rPr>
                <w:rFonts w:eastAsia="仿宋_GB2312"/>
                <w:szCs w:val="21"/>
              </w:rPr>
            </w:pPr>
          </w:p>
        </w:tc>
        <w:tc>
          <w:tcPr>
            <w:tcW w:w="548" w:type="dxa"/>
            <w:vMerge w:val="continue"/>
            <w:tcBorders>
              <w:left w:val="single" w:color="000000" w:sz="4" w:space="0"/>
              <w:right w:val="single" w:color="000000" w:sz="4" w:space="0"/>
            </w:tcBorders>
            <w:vAlign w:val="center"/>
          </w:tcPr>
          <w:p>
            <w:pPr>
              <w:adjustRightInd w:val="0"/>
              <w:snapToGrid w:val="0"/>
              <w:spacing w:line="240" w:lineRule="exact"/>
              <w:jc w:val="center"/>
              <w:rPr>
                <w:rFonts w:eastAsia="仿宋_GB2312"/>
                <w:szCs w:val="21"/>
              </w:rPr>
            </w:pPr>
          </w:p>
        </w:tc>
        <w:tc>
          <w:tcPr>
            <w:tcW w:w="115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粉粒含量</w:t>
            </w:r>
          </w:p>
          <w:p>
            <w:pPr>
              <w:adjustRightInd w:val="0"/>
              <w:snapToGrid w:val="0"/>
              <w:spacing w:line="240" w:lineRule="exact"/>
              <w:jc w:val="center"/>
              <w:rPr>
                <w:rFonts w:eastAsia="仿宋_GB2312"/>
                <w:szCs w:val="21"/>
              </w:rPr>
            </w:pPr>
            <w:r>
              <w:rPr>
                <w:rFonts w:hint="eastAsia" w:eastAsia="仿宋_GB2312"/>
                <w:szCs w:val="21"/>
              </w:rPr>
              <w:t>(0.02mm≥D＞0.002mm)</w:t>
            </w:r>
          </w:p>
        </w:tc>
        <w:tc>
          <w:tcPr>
            <w:tcW w:w="993" w:type="dxa"/>
            <w:tcBorders>
              <w:top w:val="single" w:color="000000" w:sz="4" w:space="0"/>
              <w:left w:val="single" w:color="000000" w:sz="4" w:space="0"/>
              <w:bottom w:val="single" w:color="000000" w:sz="4" w:space="0"/>
              <w:right w:val="single" w:color="000000" w:sz="4" w:space="0"/>
            </w:tcBorders>
            <w:vAlign w:val="center"/>
          </w:tcPr>
          <w:p>
            <w:pPr>
              <w:kinsoku w:val="0"/>
              <w:autoSpaceDE w:val="0"/>
              <w:autoSpaceDN w:val="0"/>
              <w:adjustRightInd w:val="0"/>
              <w:snapToGrid w:val="0"/>
              <w:spacing w:line="240" w:lineRule="exact"/>
              <w:jc w:val="center"/>
              <w:textAlignment w:val="baseline"/>
              <w:rPr>
                <w:rFonts w:eastAsia="仿宋_GB2312"/>
                <w:szCs w:val="21"/>
              </w:rPr>
            </w:pPr>
            <w:r>
              <w:rPr>
                <w:rFonts w:hint="eastAsia" w:cs="Arial" w:asciiTheme="minorEastAsia" w:hAnsiTheme="minorEastAsia" w:eastAsiaTheme="minorEastAsia"/>
                <w:kern w:val="0"/>
                <w:sz w:val="24"/>
              </w:rPr>
              <w:t>%</w:t>
            </w:r>
          </w:p>
        </w:tc>
        <w:tc>
          <w:tcPr>
            <w:tcW w:w="1303" w:type="dxa"/>
            <w:tcBorders>
              <w:top w:val="single" w:color="000000" w:sz="4" w:space="0"/>
              <w:left w:val="single" w:color="000000" w:sz="4" w:space="0"/>
              <w:bottom w:val="single" w:color="000000" w:sz="4" w:space="0"/>
              <w:right w:val="single" w:color="000000" w:sz="4" w:space="0"/>
            </w:tcBorders>
            <w:vAlign w:val="center"/>
          </w:tcPr>
          <w:p>
            <w:pPr>
              <w:kinsoku w:val="0"/>
              <w:autoSpaceDE w:val="0"/>
              <w:autoSpaceDN w:val="0"/>
              <w:adjustRightInd w:val="0"/>
              <w:snapToGrid w:val="0"/>
              <w:spacing w:line="240" w:lineRule="exact"/>
              <w:jc w:val="center"/>
              <w:textAlignment w:val="baseline"/>
              <w:rPr>
                <w:rFonts w:eastAsia="仿宋_GB2312"/>
                <w:szCs w:val="21"/>
              </w:rPr>
            </w:pPr>
            <w:r>
              <w:rPr>
                <w:rFonts w:hint="eastAsia" w:cs="Arial" w:asciiTheme="minorEastAsia" w:hAnsiTheme="minorEastAsia" w:eastAsiaTheme="minorEastAsia"/>
                <w:kern w:val="0"/>
                <w:sz w:val="24"/>
              </w:rPr>
              <w:t>36</w:t>
            </w:r>
          </w:p>
        </w:tc>
        <w:tc>
          <w:tcPr>
            <w:tcW w:w="1304" w:type="dxa"/>
            <w:tcBorders>
              <w:top w:val="single" w:color="000000" w:sz="4" w:space="0"/>
              <w:left w:val="single" w:color="000000" w:sz="4" w:space="0"/>
              <w:bottom w:val="single" w:color="000000" w:sz="4" w:space="0"/>
              <w:right w:val="single" w:color="000000" w:sz="4" w:space="0"/>
            </w:tcBorders>
            <w:vAlign w:val="center"/>
          </w:tcPr>
          <w:p>
            <w:pPr>
              <w:kinsoku w:val="0"/>
              <w:autoSpaceDE w:val="0"/>
              <w:autoSpaceDN w:val="0"/>
              <w:adjustRightInd w:val="0"/>
              <w:snapToGrid w:val="0"/>
              <w:spacing w:line="240" w:lineRule="exact"/>
              <w:jc w:val="center"/>
              <w:textAlignment w:val="baseline"/>
              <w:rPr>
                <w:rFonts w:eastAsia="仿宋_GB2312"/>
                <w:szCs w:val="21"/>
              </w:rPr>
            </w:pPr>
            <w:r>
              <w:rPr>
                <w:rFonts w:hint="eastAsia" w:cs="Arial" w:asciiTheme="minorEastAsia" w:hAnsiTheme="minorEastAsia" w:eastAsiaTheme="minorEastAsia"/>
                <w:kern w:val="0"/>
                <w:sz w:val="24"/>
              </w:rPr>
              <w:t>36</w:t>
            </w:r>
          </w:p>
        </w:tc>
        <w:tc>
          <w:tcPr>
            <w:tcW w:w="1303" w:type="dxa"/>
            <w:tcBorders>
              <w:top w:val="single" w:color="000000" w:sz="4" w:space="0"/>
              <w:left w:val="single" w:color="000000" w:sz="4" w:space="0"/>
              <w:bottom w:val="single" w:color="000000" w:sz="4" w:space="0"/>
              <w:right w:val="single" w:color="000000" w:sz="4" w:space="0"/>
            </w:tcBorders>
            <w:vAlign w:val="center"/>
          </w:tcPr>
          <w:p>
            <w:pPr>
              <w:kinsoku w:val="0"/>
              <w:autoSpaceDE w:val="0"/>
              <w:autoSpaceDN w:val="0"/>
              <w:adjustRightInd w:val="0"/>
              <w:snapToGrid w:val="0"/>
              <w:spacing w:line="240" w:lineRule="exact"/>
              <w:jc w:val="center"/>
              <w:textAlignment w:val="baseline"/>
              <w:rPr>
                <w:rFonts w:eastAsia="仿宋_GB2312"/>
                <w:szCs w:val="21"/>
              </w:rPr>
            </w:pPr>
            <w:r>
              <w:rPr>
                <w:rFonts w:hint="eastAsia" w:cs="Arial" w:asciiTheme="minorEastAsia" w:hAnsiTheme="minorEastAsia" w:eastAsiaTheme="minorEastAsia"/>
                <w:kern w:val="0"/>
                <w:sz w:val="24"/>
              </w:rPr>
              <w:t>35</w:t>
            </w:r>
          </w:p>
        </w:tc>
        <w:tc>
          <w:tcPr>
            <w:tcW w:w="1304" w:type="dxa"/>
            <w:tcBorders>
              <w:top w:val="single" w:color="000000" w:sz="4" w:space="0"/>
              <w:left w:val="single" w:color="000000" w:sz="4" w:space="0"/>
              <w:bottom w:val="single" w:color="000000" w:sz="4" w:space="0"/>
              <w:right w:val="single" w:color="000000" w:sz="4" w:space="0"/>
            </w:tcBorders>
            <w:vAlign w:val="center"/>
          </w:tcPr>
          <w:p>
            <w:pPr>
              <w:kinsoku w:val="0"/>
              <w:autoSpaceDE w:val="0"/>
              <w:autoSpaceDN w:val="0"/>
              <w:adjustRightInd w:val="0"/>
              <w:snapToGrid w:val="0"/>
              <w:spacing w:line="240" w:lineRule="exact"/>
              <w:jc w:val="center"/>
              <w:textAlignment w:val="baseline"/>
              <w:rPr>
                <w:rFonts w:eastAsia="仿宋_GB2312"/>
                <w:szCs w:val="21"/>
              </w:rPr>
            </w:pPr>
            <w:r>
              <w:rPr>
                <w:rFonts w:hint="eastAsia" w:cs="Arial" w:asciiTheme="minorEastAsia" w:hAnsiTheme="minorEastAsia" w:eastAsiaTheme="minorEastAsia"/>
                <w:kern w:val="0"/>
                <w:sz w:val="24"/>
              </w:rPr>
              <w:t>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2" w:hRule="atLeast"/>
          <w:jc w:val="center"/>
        </w:trPr>
        <w:tc>
          <w:tcPr>
            <w:tcW w:w="737" w:type="dxa"/>
            <w:vMerge w:val="continue"/>
            <w:tcBorders>
              <w:left w:val="single" w:color="000000" w:sz="4" w:space="0"/>
              <w:bottom w:val="single" w:color="000000" w:sz="4" w:space="0"/>
              <w:right w:val="single" w:color="000000" w:sz="4" w:space="0"/>
            </w:tcBorders>
            <w:vAlign w:val="center"/>
          </w:tcPr>
          <w:p>
            <w:pPr>
              <w:adjustRightInd w:val="0"/>
              <w:snapToGrid w:val="0"/>
              <w:spacing w:line="240" w:lineRule="exact"/>
              <w:jc w:val="center"/>
              <w:rPr>
                <w:rFonts w:eastAsia="仿宋_GB2312"/>
                <w:szCs w:val="21"/>
              </w:rPr>
            </w:pPr>
          </w:p>
        </w:tc>
        <w:tc>
          <w:tcPr>
            <w:tcW w:w="548" w:type="dxa"/>
            <w:vMerge w:val="continue"/>
            <w:tcBorders>
              <w:left w:val="single" w:color="000000" w:sz="4" w:space="0"/>
              <w:bottom w:val="single" w:color="000000" w:sz="4" w:space="0"/>
              <w:right w:val="single" w:color="000000" w:sz="4" w:space="0"/>
            </w:tcBorders>
            <w:vAlign w:val="center"/>
          </w:tcPr>
          <w:p>
            <w:pPr>
              <w:adjustRightInd w:val="0"/>
              <w:snapToGrid w:val="0"/>
              <w:spacing w:line="240" w:lineRule="exact"/>
              <w:jc w:val="center"/>
              <w:rPr>
                <w:rFonts w:eastAsia="仿宋_GB2312"/>
                <w:szCs w:val="21"/>
              </w:rPr>
            </w:pPr>
          </w:p>
        </w:tc>
        <w:tc>
          <w:tcPr>
            <w:tcW w:w="115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exact"/>
              <w:jc w:val="center"/>
              <w:rPr>
                <w:rFonts w:eastAsia="仿宋_GB2312"/>
                <w:szCs w:val="21"/>
              </w:rPr>
            </w:pPr>
            <w:r>
              <w:rPr>
                <w:rFonts w:hint="eastAsia" w:eastAsia="仿宋_GB2312"/>
                <w:szCs w:val="21"/>
              </w:rPr>
              <w:t>细砂粒含量</w:t>
            </w:r>
          </w:p>
          <w:p>
            <w:pPr>
              <w:adjustRightInd w:val="0"/>
              <w:snapToGrid w:val="0"/>
              <w:spacing w:line="240" w:lineRule="exact"/>
              <w:jc w:val="center"/>
              <w:rPr>
                <w:rFonts w:eastAsia="仿宋_GB2312"/>
                <w:szCs w:val="21"/>
              </w:rPr>
            </w:pPr>
            <w:r>
              <w:rPr>
                <w:rFonts w:hint="eastAsia" w:eastAsia="仿宋_GB2312"/>
                <w:szCs w:val="21"/>
              </w:rPr>
              <w:t>(0.2mm≥D＞0.02mm)</w:t>
            </w:r>
          </w:p>
        </w:tc>
        <w:tc>
          <w:tcPr>
            <w:tcW w:w="993" w:type="dxa"/>
            <w:tcBorders>
              <w:top w:val="single" w:color="000000" w:sz="4" w:space="0"/>
              <w:left w:val="single" w:color="000000" w:sz="4" w:space="0"/>
              <w:bottom w:val="single" w:color="000000" w:sz="4" w:space="0"/>
              <w:right w:val="single" w:color="000000" w:sz="4" w:space="0"/>
            </w:tcBorders>
            <w:vAlign w:val="center"/>
          </w:tcPr>
          <w:p>
            <w:pPr>
              <w:kinsoku w:val="0"/>
              <w:autoSpaceDE w:val="0"/>
              <w:autoSpaceDN w:val="0"/>
              <w:adjustRightInd w:val="0"/>
              <w:snapToGrid w:val="0"/>
              <w:spacing w:line="240" w:lineRule="exact"/>
              <w:jc w:val="center"/>
              <w:textAlignment w:val="baseline"/>
              <w:rPr>
                <w:rFonts w:eastAsia="仿宋_GB2312"/>
                <w:szCs w:val="21"/>
              </w:rPr>
            </w:pPr>
            <w:r>
              <w:rPr>
                <w:rFonts w:hint="eastAsia" w:cs="Arial" w:asciiTheme="minorEastAsia" w:hAnsiTheme="minorEastAsia" w:eastAsiaTheme="minorEastAsia"/>
                <w:kern w:val="0"/>
                <w:sz w:val="24"/>
              </w:rPr>
              <w:t>%</w:t>
            </w:r>
          </w:p>
        </w:tc>
        <w:tc>
          <w:tcPr>
            <w:tcW w:w="1303" w:type="dxa"/>
            <w:tcBorders>
              <w:top w:val="single" w:color="000000" w:sz="4" w:space="0"/>
              <w:left w:val="single" w:color="000000" w:sz="4" w:space="0"/>
              <w:bottom w:val="single" w:color="000000" w:sz="4" w:space="0"/>
              <w:right w:val="single" w:color="000000" w:sz="4" w:space="0"/>
            </w:tcBorders>
            <w:vAlign w:val="center"/>
          </w:tcPr>
          <w:p>
            <w:pPr>
              <w:kinsoku w:val="0"/>
              <w:autoSpaceDE w:val="0"/>
              <w:autoSpaceDN w:val="0"/>
              <w:adjustRightInd w:val="0"/>
              <w:snapToGrid w:val="0"/>
              <w:spacing w:line="240" w:lineRule="exact"/>
              <w:jc w:val="center"/>
              <w:textAlignment w:val="baseline"/>
              <w:rPr>
                <w:rFonts w:eastAsia="仿宋_GB2312"/>
                <w:szCs w:val="21"/>
              </w:rPr>
            </w:pPr>
            <w:r>
              <w:rPr>
                <w:rFonts w:hint="eastAsia" w:cs="Arial" w:asciiTheme="minorEastAsia" w:hAnsiTheme="minorEastAsia" w:eastAsiaTheme="minorEastAsia"/>
                <w:kern w:val="0"/>
                <w:sz w:val="24"/>
              </w:rPr>
              <w:t>22</w:t>
            </w:r>
          </w:p>
        </w:tc>
        <w:tc>
          <w:tcPr>
            <w:tcW w:w="1304" w:type="dxa"/>
            <w:tcBorders>
              <w:top w:val="single" w:color="000000" w:sz="4" w:space="0"/>
              <w:left w:val="single" w:color="000000" w:sz="4" w:space="0"/>
              <w:bottom w:val="single" w:color="000000" w:sz="4" w:space="0"/>
              <w:right w:val="single" w:color="000000" w:sz="4" w:space="0"/>
            </w:tcBorders>
            <w:vAlign w:val="center"/>
          </w:tcPr>
          <w:p>
            <w:pPr>
              <w:kinsoku w:val="0"/>
              <w:autoSpaceDE w:val="0"/>
              <w:autoSpaceDN w:val="0"/>
              <w:adjustRightInd w:val="0"/>
              <w:snapToGrid w:val="0"/>
              <w:spacing w:line="240" w:lineRule="exact"/>
              <w:jc w:val="center"/>
              <w:textAlignment w:val="baseline"/>
              <w:rPr>
                <w:rFonts w:eastAsia="仿宋_GB2312"/>
                <w:szCs w:val="21"/>
              </w:rPr>
            </w:pPr>
            <w:r>
              <w:rPr>
                <w:rFonts w:hint="eastAsia" w:cs="Arial" w:asciiTheme="minorEastAsia" w:hAnsiTheme="minorEastAsia" w:eastAsiaTheme="minorEastAsia"/>
                <w:kern w:val="0"/>
                <w:sz w:val="24"/>
              </w:rPr>
              <w:t>21</w:t>
            </w:r>
          </w:p>
        </w:tc>
        <w:tc>
          <w:tcPr>
            <w:tcW w:w="1303" w:type="dxa"/>
            <w:tcBorders>
              <w:top w:val="single" w:color="000000" w:sz="4" w:space="0"/>
              <w:left w:val="single" w:color="000000" w:sz="4" w:space="0"/>
              <w:bottom w:val="single" w:color="000000" w:sz="4" w:space="0"/>
              <w:right w:val="single" w:color="000000" w:sz="4" w:space="0"/>
            </w:tcBorders>
            <w:vAlign w:val="center"/>
          </w:tcPr>
          <w:p>
            <w:pPr>
              <w:kinsoku w:val="0"/>
              <w:autoSpaceDE w:val="0"/>
              <w:autoSpaceDN w:val="0"/>
              <w:adjustRightInd w:val="0"/>
              <w:snapToGrid w:val="0"/>
              <w:spacing w:line="240" w:lineRule="exact"/>
              <w:jc w:val="center"/>
              <w:textAlignment w:val="baseline"/>
              <w:rPr>
                <w:rFonts w:eastAsia="仿宋_GB2312"/>
                <w:szCs w:val="21"/>
              </w:rPr>
            </w:pPr>
            <w:r>
              <w:rPr>
                <w:rFonts w:hint="eastAsia" w:cs="Arial" w:asciiTheme="minorEastAsia" w:hAnsiTheme="minorEastAsia" w:eastAsiaTheme="minorEastAsia"/>
                <w:kern w:val="0"/>
                <w:sz w:val="24"/>
              </w:rPr>
              <w:t>20</w:t>
            </w:r>
          </w:p>
        </w:tc>
        <w:tc>
          <w:tcPr>
            <w:tcW w:w="1304" w:type="dxa"/>
            <w:tcBorders>
              <w:top w:val="single" w:color="000000" w:sz="4" w:space="0"/>
              <w:left w:val="single" w:color="000000" w:sz="4" w:space="0"/>
              <w:bottom w:val="single" w:color="000000" w:sz="4" w:space="0"/>
              <w:right w:val="single" w:color="000000" w:sz="4" w:space="0"/>
            </w:tcBorders>
            <w:vAlign w:val="center"/>
          </w:tcPr>
          <w:p>
            <w:pPr>
              <w:kinsoku w:val="0"/>
              <w:autoSpaceDE w:val="0"/>
              <w:autoSpaceDN w:val="0"/>
              <w:adjustRightInd w:val="0"/>
              <w:snapToGrid w:val="0"/>
              <w:spacing w:line="240" w:lineRule="exact"/>
              <w:jc w:val="center"/>
              <w:textAlignment w:val="baseline"/>
              <w:rPr>
                <w:rFonts w:eastAsia="仿宋_GB2312"/>
                <w:szCs w:val="21"/>
              </w:rPr>
            </w:pPr>
            <w:r>
              <w:rPr>
                <w:rFonts w:hint="eastAsia" w:cs="Arial" w:asciiTheme="minorEastAsia" w:hAnsiTheme="minorEastAsia" w:eastAsiaTheme="minorEastAsia"/>
                <w:kern w:val="0"/>
                <w:sz w:val="24"/>
              </w:rPr>
              <w:t>7</w:t>
            </w:r>
          </w:p>
        </w:tc>
      </w:tr>
    </w:tbl>
    <w:p>
      <w:pPr>
        <w:spacing w:line="500" w:lineRule="exact"/>
        <w:ind w:firstLine="560" w:firstLineChars="200"/>
        <w:rPr>
          <w:rFonts w:eastAsia="仿宋_GB2312"/>
          <w:sz w:val="28"/>
        </w:rPr>
      </w:pPr>
      <w:r>
        <w:rPr>
          <w:rFonts w:eastAsia="仿宋_GB2312"/>
          <w:sz w:val="28"/>
        </w:rPr>
        <w:t>（</w:t>
      </w:r>
      <w:r>
        <w:rPr>
          <w:rFonts w:hint="eastAsia" w:eastAsia="仿宋_GB2312"/>
          <w:sz w:val="28"/>
        </w:rPr>
        <w:t>5</w:t>
      </w:r>
      <w:r>
        <w:rPr>
          <w:rFonts w:eastAsia="仿宋_GB2312"/>
          <w:sz w:val="28"/>
        </w:rPr>
        <w:t>）监测结果</w:t>
      </w:r>
    </w:p>
    <w:p>
      <w:pPr>
        <w:spacing w:line="500" w:lineRule="exact"/>
        <w:ind w:firstLine="560" w:firstLineChars="200"/>
        <w:rPr>
          <w:rFonts w:eastAsia="仿宋_GB2312"/>
          <w:sz w:val="28"/>
        </w:rPr>
      </w:pPr>
      <w:r>
        <w:rPr>
          <w:rFonts w:eastAsia="仿宋_GB2312"/>
          <w:sz w:val="28"/>
        </w:rPr>
        <w:t>本次土壤环境质量评价采用《土壤环境质量建设用地土壤污染风险管控标准》（GB36600-2018）中标准，</w:t>
      </w:r>
      <w:r>
        <w:rPr>
          <w:rFonts w:hint="eastAsia" w:eastAsia="仿宋_GB2312"/>
          <w:sz w:val="28"/>
        </w:rPr>
        <w:t>根据</w:t>
      </w:r>
      <w:r>
        <w:rPr>
          <w:rFonts w:hint="eastAsia" w:eastAsia="仿宋"/>
          <w:sz w:val="28"/>
          <w:szCs w:val="28"/>
        </w:rPr>
        <w:t>江苏科发检测技术有限公司</w:t>
      </w:r>
      <w:r>
        <w:rPr>
          <w:rFonts w:eastAsia="仿宋_GB2312"/>
          <w:sz w:val="28"/>
        </w:rPr>
        <w:t>出具的</w:t>
      </w:r>
      <w:r>
        <w:rPr>
          <w:rFonts w:eastAsia="仿宋_GB2312"/>
          <w:sz w:val="28"/>
          <w:szCs w:val="28"/>
        </w:rPr>
        <w:t>《检测报告》</w:t>
      </w:r>
      <w:r>
        <w:rPr>
          <w:rFonts w:hint="eastAsia" w:eastAsia="仿宋_GB2312"/>
          <w:sz w:val="28"/>
          <w:szCs w:val="28"/>
        </w:rPr>
        <w:t>报告编</w:t>
      </w:r>
      <w:r>
        <w:rPr>
          <w:rFonts w:hint="eastAsia" w:eastAsia="仿宋_GB2312"/>
          <w:sz w:val="28"/>
        </w:rPr>
        <w:t>号：（2023）科检（环）字第（C-039）号，</w:t>
      </w:r>
      <w:r>
        <w:rPr>
          <w:rFonts w:eastAsia="仿宋_GB2312"/>
          <w:sz w:val="28"/>
        </w:rPr>
        <w:t>监测结果见表</w:t>
      </w:r>
      <w:r>
        <w:rPr>
          <w:rFonts w:hint="eastAsia" w:eastAsia="仿宋_GB2312"/>
          <w:sz w:val="28"/>
        </w:rPr>
        <w:t>4.2-1</w:t>
      </w:r>
      <w:r>
        <w:rPr>
          <w:rFonts w:eastAsia="仿宋_GB2312"/>
          <w:sz w:val="28"/>
        </w:rPr>
        <w:t>3。</w:t>
      </w:r>
    </w:p>
    <w:p>
      <w:pPr>
        <w:spacing w:line="500" w:lineRule="exact"/>
        <w:ind w:firstLine="560" w:firstLineChars="200"/>
        <w:rPr>
          <w:rFonts w:eastAsia="仿宋_GB2312"/>
          <w:sz w:val="28"/>
        </w:rPr>
        <w:sectPr>
          <w:pgSz w:w="11906" w:h="16838"/>
          <w:pgMar w:top="1800" w:right="1440" w:bottom="1800" w:left="1440" w:header="851" w:footer="992" w:gutter="0"/>
          <w:cols w:space="720" w:num="1"/>
        </w:sectPr>
      </w:pPr>
    </w:p>
    <w:p>
      <w:pPr>
        <w:spacing w:line="480" w:lineRule="exact"/>
        <w:jc w:val="center"/>
        <w:rPr>
          <w:rFonts w:eastAsia="仿宋_GB2312"/>
          <w:b/>
          <w:sz w:val="24"/>
        </w:rPr>
      </w:pPr>
      <w:r>
        <w:rPr>
          <w:rFonts w:eastAsia="仿宋_GB2312"/>
          <w:b/>
          <w:sz w:val="24"/>
        </w:rPr>
        <w:t>表4.2-13  土壤监测结果统计表</w:t>
      </w:r>
    </w:p>
    <w:tbl>
      <w:tblPr>
        <w:tblStyle w:val="88"/>
        <w:tblW w:w="90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8"/>
        <w:gridCol w:w="753"/>
        <w:gridCol w:w="794"/>
        <w:gridCol w:w="942"/>
        <w:gridCol w:w="1010"/>
        <w:gridCol w:w="1155"/>
        <w:gridCol w:w="1056"/>
        <w:gridCol w:w="741"/>
        <w:gridCol w:w="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1568" w:type="dxa"/>
            <w:vMerge w:val="restart"/>
            <w:vAlign w:val="center"/>
          </w:tcPr>
          <w:p>
            <w:pPr>
              <w:adjustRightInd w:val="0"/>
              <w:snapToGrid w:val="0"/>
              <w:jc w:val="center"/>
              <w:rPr>
                <w:rFonts w:eastAsia="仿宋_GB2312"/>
                <w:szCs w:val="21"/>
              </w:rPr>
            </w:pPr>
            <w:r>
              <w:rPr>
                <w:rFonts w:hint="eastAsia" w:eastAsia="仿宋_GB2312"/>
                <w:szCs w:val="21"/>
              </w:rPr>
              <w:t>因子</w:t>
            </w:r>
          </w:p>
        </w:tc>
        <w:tc>
          <w:tcPr>
            <w:tcW w:w="0" w:type="auto"/>
            <w:vMerge w:val="restart"/>
            <w:vAlign w:val="center"/>
          </w:tcPr>
          <w:p>
            <w:pPr>
              <w:adjustRightInd w:val="0"/>
              <w:snapToGrid w:val="0"/>
              <w:jc w:val="center"/>
              <w:rPr>
                <w:rFonts w:eastAsia="仿宋_GB2312"/>
                <w:szCs w:val="21"/>
              </w:rPr>
            </w:pPr>
            <w:r>
              <w:rPr>
                <w:rFonts w:hint="eastAsia" w:eastAsia="仿宋_GB2312"/>
                <w:szCs w:val="21"/>
              </w:rPr>
              <w:t>单位</w:t>
            </w:r>
          </w:p>
        </w:tc>
        <w:tc>
          <w:tcPr>
            <w:tcW w:w="0" w:type="auto"/>
            <w:vMerge w:val="restart"/>
            <w:vAlign w:val="center"/>
          </w:tcPr>
          <w:p>
            <w:pPr>
              <w:adjustRightInd w:val="0"/>
              <w:snapToGrid w:val="0"/>
              <w:jc w:val="center"/>
              <w:rPr>
                <w:rFonts w:eastAsia="仿宋_GB2312"/>
                <w:szCs w:val="21"/>
              </w:rPr>
            </w:pPr>
            <w:r>
              <w:rPr>
                <w:rFonts w:hint="eastAsia" w:eastAsia="仿宋_GB2312"/>
                <w:szCs w:val="21"/>
              </w:rPr>
              <w:t>方法检出限</w:t>
            </w:r>
          </w:p>
        </w:tc>
        <w:tc>
          <w:tcPr>
            <w:tcW w:w="0" w:type="auto"/>
            <w:gridSpan w:val="4"/>
            <w:vAlign w:val="center"/>
          </w:tcPr>
          <w:p>
            <w:pPr>
              <w:adjustRightInd w:val="0"/>
              <w:snapToGrid w:val="0"/>
              <w:jc w:val="center"/>
              <w:rPr>
                <w:rFonts w:eastAsia="仿宋_GB2312"/>
                <w:szCs w:val="21"/>
              </w:rPr>
            </w:pPr>
            <w:r>
              <w:rPr>
                <w:rFonts w:hint="eastAsia" w:eastAsia="仿宋_GB2312"/>
                <w:szCs w:val="21"/>
              </w:rPr>
              <w:t>T1</w:t>
            </w:r>
          </w:p>
        </w:tc>
        <w:tc>
          <w:tcPr>
            <w:tcW w:w="0" w:type="auto"/>
            <w:vMerge w:val="restart"/>
            <w:vAlign w:val="center"/>
          </w:tcPr>
          <w:p>
            <w:pPr>
              <w:adjustRightInd w:val="0"/>
              <w:snapToGrid w:val="0"/>
              <w:jc w:val="center"/>
              <w:rPr>
                <w:rFonts w:eastAsia="仿宋_GB2312"/>
                <w:szCs w:val="21"/>
              </w:rPr>
            </w:pPr>
            <w:r>
              <w:rPr>
                <w:rFonts w:hint="eastAsia" w:eastAsia="仿宋_GB2312"/>
                <w:szCs w:val="21"/>
              </w:rPr>
              <w:t>筛选值</w:t>
            </w:r>
          </w:p>
        </w:tc>
        <w:tc>
          <w:tcPr>
            <w:tcW w:w="983" w:type="dxa"/>
            <w:vMerge w:val="restart"/>
            <w:vAlign w:val="center"/>
          </w:tcPr>
          <w:p>
            <w:pPr>
              <w:adjustRightInd w:val="0"/>
              <w:snapToGrid w:val="0"/>
              <w:jc w:val="center"/>
              <w:rPr>
                <w:rFonts w:eastAsia="仿宋_GB2312"/>
                <w:szCs w:val="21"/>
              </w:rPr>
            </w:pPr>
            <w:r>
              <w:rPr>
                <w:rFonts w:hint="eastAsia" w:eastAsia="仿宋_GB2312"/>
                <w:szCs w:val="21"/>
              </w:rPr>
              <w:t>管制</w:t>
            </w:r>
            <w:r>
              <w:rPr>
                <w:rFonts w:eastAsia="仿宋_GB2312"/>
                <w:szCs w:val="21"/>
              </w:rPr>
              <w:t>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1568" w:type="dxa"/>
            <w:vMerge w:val="continue"/>
            <w:vAlign w:val="center"/>
          </w:tcPr>
          <w:p>
            <w:pPr>
              <w:adjustRightInd w:val="0"/>
              <w:snapToGrid w:val="0"/>
              <w:jc w:val="center"/>
              <w:rPr>
                <w:rFonts w:eastAsia="仿宋_GB2312"/>
                <w:szCs w:val="21"/>
              </w:rPr>
            </w:pPr>
          </w:p>
        </w:tc>
        <w:tc>
          <w:tcPr>
            <w:tcW w:w="0" w:type="auto"/>
            <w:vMerge w:val="continue"/>
            <w:vAlign w:val="center"/>
          </w:tcPr>
          <w:p>
            <w:pPr>
              <w:adjustRightInd w:val="0"/>
              <w:snapToGrid w:val="0"/>
              <w:jc w:val="center"/>
              <w:rPr>
                <w:rFonts w:eastAsia="仿宋_GB2312"/>
                <w:szCs w:val="21"/>
              </w:rPr>
            </w:pPr>
          </w:p>
        </w:tc>
        <w:tc>
          <w:tcPr>
            <w:tcW w:w="0" w:type="auto"/>
            <w:vMerge w:val="continue"/>
            <w:vAlign w:val="center"/>
          </w:tcPr>
          <w:p>
            <w:pPr>
              <w:adjustRightInd w:val="0"/>
              <w:snapToGrid w:val="0"/>
              <w:jc w:val="center"/>
              <w:rPr>
                <w:rFonts w:eastAsia="仿宋_GB2312"/>
                <w:szCs w:val="21"/>
              </w:rPr>
            </w:pPr>
          </w:p>
        </w:tc>
        <w:tc>
          <w:tcPr>
            <w:tcW w:w="0" w:type="auto"/>
            <w:vAlign w:val="center"/>
          </w:tcPr>
          <w:p>
            <w:pPr>
              <w:adjustRightInd w:val="0"/>
              <w:snapToGrid w:val="0"/>
              <w:jc w:val="center"/>
              <w:rPr>
                <w:rFonts w:eastAsia="仿宋_GB2312"/>
                <w:szCs w:val="21"/>
              </w:rPr>
            </w:pPr>
            <w:r>
              <w:rPr>
                <w:rFonts w:hint="eastAsia" w:eastAsia="仿宋_GB2312"/>
                <w:szCs w:val="21"/>
              </w:rPr>
              <w:t>0~0.5</w:t>
            </w:r>
          </w:p>
        </w:tc>
        <w:tc>
          <w:tcPr>
            <w:tcW w:w="0" w:type="auto"/>
            <w:vAlign w:val="center"/>
          </w:tcPr>
          <w:p>
            <w:pPr>
              <w:adjustRightInd w:val="0"/>
              <w:snapToGrid w:val="0"/>
              <w:jc w:val="center"/>
              <w:rPr>
                <w:rFonts w:eastAsia="仿宋_GB2312"/>
                <w:szCs w:val="21"/>
              </w:rPr>
            </w:pPr>
            <w:r>
              <w:rPr>
                <w:rFonts w:hint="eastAsia" w:eastAsia="仿宋_GB2312"/>
                <w:szCs w:val="21"/>
              </w:rPr>
              <w:t>1.0~1.5</w:t>
            </w:r>
          </w:p>
        </w:tc>
        <w:tc>
          <w:tcPr>
            <w:tcW w:w="0" w:type="auto"/>
            <w:vAlign w:val="center"/>
          </w:tcPr>
          <w:p>
            <w:pPr>
              <w:adjustRightInd w:val="0"/>
              <w:snapToGrid w:val="0"/>
              <w:jc w:val="center"/>
              <w:rPr>
                <w:rFonts w:eastAsia="仿宋_GB2312"/>
                <w:szCs w:val="21"/>
              </w:rPr>
            </w:pPr>
            <w:r>
              <w:rPr>
                <w:rFonts w:hint="eastAsia" w:eastAsia="仿宋_GB2312"/>
                <w:szCs w:val="21"/>
              </w:rPr>
              <w:t>2.0~</w:t>
            </w:r>
            <w:r>
              <w:rPr>
                <w:rFonts w:eastAsia="仿宋_GB2312"/>
                <w:szCs w:val="21"/>
              </w:rPr>
              <w:t>2</w:t>
            </w:r>
            <w:r>
              <w:rPr>
                <w:rFonts w:hint="eastAsia" w:eastAsia="仿宋_GB2312"/>
                <w:szCs w:val="21"/>
              </w:rPr>
              <w:t>.5m</w:t>
            </w:r>
          </w:p>
        </w:tc>
        <w:tc>
          <w:tcPr>
            <w:tcW w:w="0" w:type="auto"/>
            <w:vAlign w:val="center"/>
          </w:tcPr>
          <w:p>
            <w:pPr>
              <w:jc w:val="center"/>
              <w:rPr>
                <w:rFonts w:ascii="宋体" w:hAnsi="宋体" w:cs="宋体"/>
              </w:rPr>
            </w:pPr>
            <w:r>
              <w:rPr>
                <w:rFonts w:hint="eastAsia" w:ascii="宋体" w:hAnsi="宋体" w:cs="宋体"/>
              </w:rPr>
              <w:t>5.0-5.5m</w:t>
            </w:r>
          </w:p>
        </w:tc>
        <w:tc>
          <w:tcPr>
            <w:tcW w:w="0" w:type="auto"/>
            <w:vMerge w:val="continue"/>
            <w:vAlign w:val="center"/>
          </w:tcPr>
          <w:p>
            <w:pPr>
              <w:adjustRightInd w:val="0"/>
              <w:snapToGrid w:val="0"/>
              <w:jc w:val="center"/>
              <w:rPr>
                <w:rFonts w:eastAsia="仿宋_GB2312"/>
                <w:b/>
                <w:szCs w:val="21"/>
              </w:rPr>
            </w:pPr>
          </w:p>
        </w:tc>
        <w:tc>
          <w:tcPr>
            <w:tcW w:w="983" w:type="dxa"/>
            <w:vMerge w:val="continue"/>
            <w:vAlign w:val="center"/>
          </w:tcPr>
          <w:p>
            <w:pPr>
              <w:adjustRightInd w:val="0"/>
              <w:snapToGrid w:val="0"/>
              <w:jc w:val="center"/>
              <w:rPr>
                <w:rFonts w:eastAsia="仿宋_GB2312"/>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568" w:type="dxa"/>
            <w:vAlign w:val="center"/>
          </w:tcPr>
          <w:p>
            <w:pPr>
              <w:adjustRightInd w:val="0"/>
              <w:snapToGrid w:val="0"/>
              <w:jc w:val="center"/>
              <w:rPr>
                <w:rFonts w:eastAsia="仿宋_GB2312"/>
                <w:szCs w:val="21"/>
              </w:rPr>
            </w:pPr>
            <w:r>
              <w:rPr>
                <w:rFonts w:hint="eastAsia" w:eastAsia="仿宋_GB2312"/>
                <w:szCs w:val="21"/>
              </w:rPr>
              <w:t>总汞</w:t>
            </w:r>
          </w:p>
        </w:tc>
        <w:tc>
          <w:tcPr>
            <w:tcW w:w="0" w:type="auto"/>
            <w:vAlign w:val="center"/>
          </w:tcPr>
          <w:p>
            <w:pPr>
              <w:adjustRightInd w:val="0"/>
              <w:snapToGrid w:val="0"/>
              <w:jc w:val="center"/>
              <w:rPr>
                <w:rFonts w:eastAsia="仿宋_GB2312"/>
                <w:szCs w:val="21"/>
              </w:rPr>
            </w:pPr>
            <w:r>
              <w:rPr>
                <w:rFonts w:eastAsia="仿宋_GB2312"/>
                <w:szCs w:val="21"/>
              </w:rPr>
              <w:t>m</w:t>
            </w:r>
            <w:r>
              <w:rPr>
                <w:rFonts w:hint="eastAsia" w:eastAsia="仿宋_GB2312"/>
                <w:szCs w:val="21"/>
              </w:rPr>
              <w:t>g/</w:t>
            </w:r>
            <w:r>
              <w:rPr>
                <w:rFonts w:eastAsia="仿宋_GB2312"/>
                <w:szCs w:val="21"/>
              </w:rPr>
              <w:t>kg</w:t>
            </w:r>
          </w:p>
        </w:tc>
        <w:tc>
          <w:tcPr>
            <w:tcW w:w="0" w:type="auto"/>
            <w:vAlign w:val="center"/>
          </w:tcPr>
          <w:p>
            <w:pPr>
              <w:adjustRightInd w:val="0"/>
              <w:snapToGrid w:val="0"/>
              <w:jc w:val="center"/>
              <w:rPr>
                <w:rFonts w:eastAsia="仿宋_GB2312"/>
                <w:szCs w:val="21"/>
              </w:rPr>
            </w:pPr>
            <w:r>
              <w:rPr>
                <w:rFonts w:hint="eastAsia" w:eastAsia="仿宋_GB2312"/>
                <w:szCs w:val="21"/>
              </w:rPr>
              <w:t>0.002</w:t>
            </w:r>
          </w:p>
        </w:tc>
        <w:tc>
          <w:tcPr>
            <w:tcW w:w="0" w:type="auto"/>
            <w:vAlign w:val="center"/>
          </w:tcPr>
          <w:p>
            <w:pPr>
              <w:jc w:val="center"/>
              <w:rPr>
                <w:rFonts w:ascii="宋体" w:hAnsi="宋体" w:cs="宋体"/>
              </w:rPr>
            </w:pPr>
            <w:r>
              <w:rPr>
                <w:rFonts w:hint="eastAsia" w:ascii="宋体" w:hAnsi="宋体" w:cs="宋体"/>
              </w:rPr>
              <w:t>0.012</w:t>
            </w:r>
          </w:p>
        </w:tc>
        <w:tc>
          <w:tcPr>
            <w:tcW w:w="0" w:type="auto"/>
            <w:vAlign w:val="center"/>
          </w:tcPr>
          <w:p>
            <w:pPr>
              <w:jc w:val="center"/>
              <w:rPr>
                <w:rFonts w:ascii="宋体" w:hAnsi="宋体" w:cs="宋体"/>
              </w:rPr>
            </w:pPr>
            <w:r>
              <w:rPr>
                <w:rFonts w:hint="eastAsia" w:ascii="宋体" w:hAnsi="宋体" w:cs="宋体"/>
              </w:rPr>
              <w:t>0.007</w:t>
            </w:r>
          </w:p>
        </w:tc>
        <w:tc>
          <w:tcPr>
            <w:tcW w:w="0" w:type="auto"/>
            <w:vAlign w:val="center"/>
          </w:tcPr>
          <w:p>
            <w:pPr>
              <w:jc w:val="center"/>
              <w:rPr>
                <w:rFonts w:ascii="宋体" w:hAnsi="宋体" w:cs="宋体"/>
              </w:rPr>
            </w:pPr>
            <w:r>
              <w:rPr>
                <w:rFonts w:hint="eastAsia" w:ascii="宋体" w:hAnsi="宋体" w:cs="宋体"/>
              </w:rPr>
              <w:t>0.003</w:t>
            </w:r>
          </w:p>
        </w:tc>
        <w:tc>
          <w:tcPr>
            <w:tcW w:w="0" w:type="auto"/>
            <w:vAlign w:val="center"/>
          </w:tcPr>
          <w:p>
            <w:pPr>
              <w:jc w:val="center"/>
              <w:rPr>
                <w:rFonts w:ascii="宋体" w:hAnsi="宋体" w:cs="宋体"/>
              </w:rPr>
            </w:pPr>
            <w:r>
              <w:rPr>
                <w:rFonts w:hint="eastAsia" w:ascii="宋体" w:hAnsi="宋体" w:cs="宋体"/>
              </w:rPr>
              <w:t>/</w:t>
            </w:r>
          </w:p>
        </w:tc>
        <w:tc>
          <w:tcPr>
            <w:tcW w:w="0" w:type="auto"/>
            <w:vAlign w:val="center"/>
          </w:tcPr>
          <w:p>
            <w:pPr>
              <w:adjustRightInd w:val="0"/>
              <w:snapToGrid w:val="0"/>
              <w:jc w:val="center"/>
              <w:rPr>
                <w:rFonts w:eastAsia="仿宋_GB2312"/>
                <w:szCs w:val="21"/>
              </w:rPr>
            </w:pPr>
            <w:r>
              <w:rPr>
                <w:rFonts w:hint="eastAsia" w:eastAsia="仿宋_GB2312"/>
                <w:szCs w:val="21"/>
              </w:rPr>
              <w:t>38</w:t>
            </w:r>
          </w:p>
        </w:tc>
        <w:tc>
          <w:tcPr>
            <w:tcW w:w="983" w:type="dxa"/>
            <w:vAlign w:val="center"/>
          </w:tcPr>
          <w:p>
            <w:pPr>
              <w:adjustRightInd w:val="0"/>
              <w:snapToGrid w:val="0"/>
              <w:jc w:val="center"/>
              <w:rPr>
                <w:rFonts w:eastAsia="仿宋_GB2312"/>
                <w:szCs w:val="21"/>
              </w:rPr>
            </w:pPr>
            <w:r>
              <w:rPr>
                <w:rFonts w:hint="eastAsia" w:eastAsia="仿宋_GB2312"/>
                <w:szCs w:val="21"/>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568" w:type="dxa"/>
            <w:vAlign w:val="center"/>
          </w:tcPr>
          <w:p>
            <w:pPr>
              <w:adjustRightInd w:val="0"/>
              <w:snapToGrid w:val="0"/>
              <w:jc w:val="center"/>
              <w:rPr>
                <w:rFonts w:eastAsia="仿宋_GB2312"/>
                <w:szCs w:val="21"/>
              </w:rPr>
            </w:pPr>
            <w:r>
              <w:rPr>
                <w:rFonts w:hint="eastAsia" w:eastAsia="仿宋_GB2312"/>
                <w:szCs w:val="21"/>
              </w:rPr>
              <w:t>总砷</w:t>
            </w:r>
          </w:p>
        </w:tc>
        <w:tc>
          <w:tcPr>
            <w:tcW w:w="0" w:type="auto"/>
            <w:vAlign w:val="center"/>
          </w:tcPr>
          <w:p>
            <w:pPr>
              <w:adjustRightInd w:val="0"/>
              <w:snapToGrid w:val="0"/>
              <w:jc w:val="center"/>
              <w:rPr>
                <w:rFonts w:eastAsia="仿宋_GB2312"/>
                <w:szCs w:val="21"/>
              </w:rPr>
            </w:pPr>
            <w:r>
              <w:rPr>
                <w:rFonts w:eastAsia="仿宋_GB2312"/>
                <w:szCs w:val="21"/>
              </w:rPr>
              <w:t>m</w:t>
            </w:r>
            <w:r>
              <w:rPr>
                <w:rFonts w:hint="eastAsia" w:eastAsia="仿宋_GB2312"/>
                <w:szCs w:val="21"/>
              </w:rPr>
              <w:t>g/</w:t>
            </w:r>
            <w:r>
              <w:rPr>
                <w:rFonts w:eastAsia="仿宋_GB2312"/>
                <w:szCs w:val="21"/>
              </w:rPr>
              <w:t>kg</w:t>
            </w:r>
          </w:p>
        </w:tc>
        <w:tc>
          <w:tcPr>
            <w:tcW w:w="0" w:type="auto"/>
            <w:vAlign w:val="center"/>
          </w:tcPr>
          <w:p>
            <w:pPr>
              <w:adjustRightInd w:val="0"/>
              <w:snapToGrid w:val="0"/>
              <w:jc w:val="center"/>
              <w:rPr>
                <w:rFonts w:eastAsia="仿宋_GB2312"/>
                <w:szCs w:val="21"/>
              </w:rPr>
            </w:pPr>
            <w:r>
              <w:rPr>
                <w:rFonts w:hint="eastAsia" w:eastAsia="仿宋_GB2312"/>
                <w:szCs w:val="21"/>
              </w:rPr>
              <w:t>0.01</w:t>
            </w:r>
          </w:p>
        </w:tc>
        <w:tc>
          <w:tcPr>
            <w:tcW w:w="0" w:type="auto"/>
            <w:vAlign w:val="center"/>
          </w:tcPr>
          <w:p>
            <w:pPr>
              <w:jc w:val="center"/>
              <w:rPr>
                <w:rFonts w:ascii="宋体" w:hAnsi="宋体" w:cs="宋体"/>
              </w:rPr>
            </w:pPr>
            <w:r>
              <w:rPr>
                <w:rFonts w:hint="eastAsia" w:ascii="宋体" w:hAnsi="宋体" w:cs="宋体"/>
              </w:rPr>
              <w:t>14.6</w:t>
            </w:r>
          </w:p>
        </w:tc>
        <w:tc>
          <w:tcPr>
            <w:tcW w:w="0" w:type="auto"/>
            <w:vAlign w:val="center"/>
          </w:tcPr>
          <w:p>
            <w:pPr>
              <w:jc w:val="center"/>
              <w:rPr>
                <w:rFonts w:ascii="宋体" w:hAnsi="宋体" w:cs="宋体"/>
              </w:rPr>
            </w:pPr>
            <w:r>
              <w:rPr>
                <w:rFonts w:hint="eastAsia" w:ascii="宋体" w:hAnsi="宋体" w:cs="宋体"/>
              </w:rPr>
              <w:t>16.1</w:t>
            </w:r>
          </w:p>
        </w:tc>
        <w:tc>
          <w:tcPr>
            <w:tcW w:w="0" w:type="auto"/>
            <w:vAlign w:val="center"/>
          </w:tcPr>
          <w:p>
            <w:pPr>
              <w:jc w:val="center"/>
              <w:rPr>
                <w:rFonts w:ascii="宋体" w:hAnsi="宋体" w:cs="宋体"/>
              </w:rPr>
            </w:pPr>
            <w:r>
              <w:rPr>
                <w:rFonts w:hint="eastAsia" w:ascii="宋体" w:hAnsi="宋体" w:cs="宋体"/>
              </w:rPr>
              <w:t>16.3</w:t>
            </w:r>
          </w:p>
        </w:tc>
        <w:tc>
          <w:tcPr>
            <w:tcW w:w="0" w:type="auto"/>
            <w:vAlign w:val="center"/>
          </w:tcPr>
          <w:p>
            <w:pPr>
              <w:jc w:val="center"/>
              <w:rPr>
                <w:rFonts w:ascii="宋体" w:hAnsi="宋体" w:cs="宋体"/>
              </w:rPr>
            </w:pPr>
            <w:r>
              <w:rPr>
                <w:rFonts w:hint="eastAsia" w:ascii="宋体" w:hAnsi="宋体" w:cs="宋体"/>
              </w:rPr>
              <w:t>18.2</w:t>
            </w:r>
          </w:p>
        </w:tc>
        <w:tc>
          <w:tcPr>
            <w:tcW w:w="0" w:type="auto"/>
            <w:vAlign w:val="center"/>
          </w:tcPr>
          <w:p>
            <w:pPr>
              <w:adjustRightInd w:val="0"/>
              <w:snapToGrid w:val="0"/>
              <w:jc w:val="center"/>
              <w:rPr>
                <w:rFonts w:eastAsia="仿宋_GB2312"/>
                <w:szCs w:val="21"/>
              </w:rPr>
            </w:pPr>
            <w:r>
              <w:rPr>
                <w:rFonts w:hint="eastAsia" w:eastAsia="仿宋_GB2312"/>
                <w:szCs w:val="21"/>
              </w:rPr>
              <w:t>60</w:t>
            </w:r>
          </w:p>
        </w:tc>
        <w:tc>
          <w:tcPr>
            <w:tcW w:w="983" w:type="dxa"/>
            <w:vAlign w:val="center"/>
          </w:tcPr>
          <w:p>
            <w:pPr>
              <w:adjustRightInd w:val="0"/>
              <w:snapToGrid w:val="0"/>
              <w:jc w:val="center"/>
              <w:rPr>
                <w:rFonts w:eastAsia="仿宋_GB2312"/>
                <w:szCs w:val="21"/>
              </w:rPr>
            </w:pPr>
            <w:r>
              <w:rPr>
                <w:rFonts w:hint="eastAsia" w:eastAsia="仿宋_GB2312"/>
                <w:szCs w:val="21"/>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568" w:type="dxa"/>
            <w:vAlign w:val="center"/>
          </w:tcPr>
          <w:p>
            <w:pPr>
              <w:adjustRightInd w:val="0"/>
              <w:snapToGrid w:val="0"/>
              <w:jc w:val="center"/>
              <w:rPr>
                <w:rFonts w:eastAsia="仿宋_GB2312"/>
                <w:szCs w:val="21"/>
              </w:rPr>
            </w:pPr>
            <w:r>
              <w:rPr>
                <w:rFonts w:hint="eastAsia" w:eastAsia="仿宋_GB2312"/>
                <w:szCs w:val="21"/>
              </w:rPr>
              <w:t>铜</w:t>
            </w:r>
          </w:p>
        </w:tc>
        <w:tc>
          <w:tcPr>
            <w:tcW w:w="0" w:type="auto"/>
            <w:vAlign w:val="center"/>
          </w:tcPr>
          <w:p>
            <w:pPr>
              <w:adjustRightInd w:val="0"/>
              <w:snapToGrid w:val="0"/>
              <w:jc w:val="center"/>
              <w:rPr>
                <w:rFonts w:eastAsia="仿宋_GB2312"/>
                <w:szCs w:val="21"/>
              </w:rPr>
            </w:pPr>
            <w:r>
              <w:rPr>
                <w:rFonts w:eastAsia="仿宋_GB2312"/>
                <w:szCs w:val="21"/>
              </w:rPr>
              <w:t>m</w:t>
            </w:r>
            <w:r>
              <w:rPr>
                <w:rFonts w:hint="eastAsia" w:eastAsia="仿宋_GB2312"/>
                <w:szCs w:val="21"/>
              </w:rPr>
              <w:t>g/</w:t>
            </w:r>
            <w:r>
              <w:rPr>
                <w:rFonts w:eastAsia="仿宋_GB2312"/>
                <w:szCs w:val="21"/>
              </w:rPr>
              <w:t>kg</w:t>
            </w:r>
          </w:p>
        </w:tc>
        <w:tc>
          <w:tcPr>
            <w:tcW w:w="0" w:type="auto"/>
            <w:vAlign w:val="center"/>
          </w:tcPr>
          <w:p>
            <w:pPr>
              <w:adjustRightInd w:val="0"/>
              <w:snapToGrid w:val="0"/>
              <w:jc w:val="center"/>
              <w:rPr>
                <w:rFonts w:eastAsia="仿宋_GB2312"/>
                <w:szCs w:val="21"/>
              </w:rPr>
            </w:pPr>
            <w:r>
              <w:rPr>
                <w:rFonts w:hint="eastAsia" w:eastAsia="仿宋_GB2312"/>
                <w:szCs w:val="21"/>
              </w:rPr>
              <w:t>1</w:t>
            </w:r>
          </w:p>
        </w:tc>
        <w:tc>
          <w:tcPr>
            <w:tcW w:w="0" w:type="auto"/>
            <w:vAlign w:val="center"/>
          </w:tcPr>
          <w:p>
            <w:pPr>
              <w:jc w:val="center"/>
              <w:rPr>
                <w:rFonts w:ascii="宋体" w:hAnsi="宋体" w:cs="宋体"/>
              </w:rPr>
            </w:pPr>
            <w:r>
              <w:rPr>
                <w:rFonts w:hint="eastAsia" w:ascii="宋体" w:hAnsi="宋体" w:cs="宋体"/>
              </w:rPr>
              <w:t>26</w:t>
            </w:r>
          </w:p>
        </w:tc>
        <w:tc>
          <w:tcPr>
            <w:tcW w:w="0" w:type="auto"/>
            <w:vAlign w:val="center"/>
          </w:tcPr>
          <w:p>
            <w:pPr>
              <w:jc w:val="center"/>
              <w:rPr>
                <w:rFonts w:ascii="宋体" w:hAnsi="宋体" w:cs="宋体"/>
              </w:rPr>
            </w:pPr>
            <w:r>
              <w:rPr>
                <w:rFonts w:hint="eastAsia" w:ascii="宋体" w:hAnsi="宋体" w:cs="宋体"/>
              </w:rPr>
              <w:t>24</w:t>
            </w:r>
          </w:p>
        </w:tc>
        <w:tc>
          <w:tcPr>
            <w:tcW w:w="0" w:type="auto"/>
            <w:vAlign w:val="center"/>
          </w:tcPr>
          <w:p>
            <w:pPr>
              <w:jc w:val="center"/>
              <w:rPr>
                <w:rFonts w:ascii="宋体" w:hAnsi="宋体" w:cs="宋体"/>
              </w:rPr>
            </w:pPr>
            <w:r>
              <w:rPr>
                <w:rFonts w:hint="eastAsia" w:ascii="宋体" w:hAnsi="宋体" w:cs="宋体"/>
              </w:rPr>
              <w:t>25</w:t>
            </w:r>
          </w:p>
        </w:tc>
        <w:tc>
          <w:tcPr>
            <w:tcW w:w="0" w:type="auto"/>
            <w:vAlign w:val="center"/>
          </w:tcPr>
          <w:p>
            <w:pPr>
              <w:jc w:val="center"/>
              <w:rPr>
                <w:rFonts w:ascii="宋体" w:hAnsi="宋体" w:cs="宋体"/>
              </w:rPr>
            </w:pPr>
            <w:r>
              <w:rPr>
                <w:rFonts w:hint="eastAsia" w:ascii="宋体" w:hAnsi="宋体" w:cs="宋体"/>
              </w:rPr>
              <w:t>24</w:t>
            </w:r>
          </w:p>
        </w:tc>
        <w:tc>
          <w:tcPr>
            <w:tcW w:w="0" w:type="auto"/>
            <w:vAlign w:val="center"/>
          </w:tcPr>
          <w:p>
            <w:pPr>
              <w:adjustRightInd w:val="0"/>
              <w:snapToGrid w:val="0"/>
              <w:jc w:val="center"/>
              <w:rPr>
                <w:rFonts w:eastAsia="仿宋_GB2312"/>
                <w:szCs w:val="21"/>
              </w:rPr>
            </w:pPr>
            <w:r>
              <w:rPr>
                <w:rFonts w:hint="eastAsia" w:eastAsia="仿宋_GB2312"/>
                <w:szCs w:val="21"/>
              </w:rPr>
              <w:t>18000</w:t>
            </w:r>
          </w:p>
        </w:tc>
        <w:tc>
          <w:tcPr>
            <w:tcW w:w="983" w:type="dxa"/>
            <w:vAlign w:val="center"/>
          </w:tcPr>
          <w:p>
            <w:pPr>
              <w:adjustRightInd w:val="0"/>
              <w:snapToGrid w:val="0"/>
              <w:jc w:val="center"/>
              <w:rPr>
                <w:rFonts w:eastAsia="仿宋_GB2312"/>
                <w:szCs w:val="21"/>
              </w:rPr>
            </w:pPr>
            <w:r>
              <w:rPr>
                <w:rFonts w:hint="eastAsia" w:eastAsia="仿宋_GB2312"/>
                <w:szCs w:val="21"/>
              </w:rPr>
              <w:t>36000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1568" w:type="dxa"/>
            <w:vAlign w:val="center"/>
          </w:tcPr>
          <w:p>
            <w:pPr>
              <w:adjustRightInd w:val="0"/>
              <w:snapToGrid w:val="0"/>
              <w:jc w:val="center"/>
              <w:rPr>
                <w:rFonts w:eastAsia="仿宋_GB2312"/>
                <w:szCs w:val="21"/>
              </w:rPr>
            </w:pPr>
            <w:r>
              <w:rPr>
                <w:rFonts w:hint="eastAsia" w:eastAsia="仿宋_GB2312"/>
                <w:szCs w:val="21"/>
              </w:rPr>
              <w:t>镍</w:t>
            </w:r>
          </w:p>
        </w:tc>
        <w:tc>
          <w:tcPr>
            <w:tcW w:w="0" w:type="auto"/>
            <w:vAlign w:val="center"/>
          </w:tcPr>
          <w:p>
            <w:pPr>
              <w:adjustRightInd w:val="0"/>
              <w:snapToGrid w:val="0"/>
              <w:jc w:val="center"/>
              <w:rPr>
                <w:rFonts w:eastAsia="仿宋_GB2312"/>
                <w:szCs w:val="21"/>
              </w:rPr>
            </w:pPr>
            <w:r>
              <w:rPr>
                <w:rFonts w:eastAsia="仿宋_GB2312"/>
                <w:szCs w:val="21"/>
              </w:rPr>
              <w:t>m</w:t>
            </w:r>
            <w:r>
              <w:rPr>
                <w:rFonts w:hint="eastAsia" w:eastAsia="仿宋_GB2312"/>
                <w:szCs w:val="21"/>
              </w:rPr>
              <w:t>g/</w:t>
            </w:r>
            <w:r>
              <w:rPr>
                <w:rFonts w:eastAsia="仿宋_GB2312"/>
                <w:szCs w:val="21"/>
              </w:rPr>
              <w:t>kg</w:t>
            </w:r>
          </w:p>
        </w:tc>
        <w:tc>
          <w:tcPr>
            <w:tcW w:w="0" w:type="auto"/>
            <w:vAlign w:val="center"/>
          </w:tcPr>
          <w:p>
            <w:pPr>
              <w:adjustRightInd w:val="0"/>
              <w:snapToGrid w:val="0"/>
              <w:jc w:val="center"/>
              <w:rPr>
                <w:rFonts w:eastAsia="仿宋_GB2312"/>
                <w:szCs w:val="21"/>
              </w:rPr>
            </w:pPr>
            <w:r>
              <w:rPr>
                <w:rFonts w:hint="eastAsia" w:eastAsia="仿宋_GB2312"/>
                <w:szCs w:val="21"/>
              </w:rPr>
              <w:t>3</w:t>
            </w:r>
          </w:p>
        </w:tc>
        <w:tc>
          <w:tcPr>
            <w:tcW w:w="0" w:type="auto"/>
            <w:vAlign w:val="center"/>
          </w:tcPr>
          <w:p>
            <w:pPr>
              <w:jc w:val="center"/>
              <w:rPr>
                <w:rFonts w:ascii="宋体" w:hAnsi="宋体" w:cs="宋体"/>
              </w:rPr>
            </w:pPr>
            <w:r>
              <w:rPr>
                <w:rFonts w:hint="eastAsia" w:ascii="宋体" w:hAnsi="宋体" w:cs="宋体"/>
              </w:rPr>
              <w:t>39</w:t>
            </w:r>
          </w:p>
        </w:tc>
        <w:tc>
          <w:tcPr>
            <w:tcW w:w="0" w:type="auto"/>
            <w:vAlign w:val="center"/>
          </w:tcPr>
          <w:p>
            <w:pPr>
              <w:jc w:val="center"/>
              <w:rPr>
                <w:rFonts w:ascii="宋体" w:hAnsi="宋体" w:cs="宋体"/>
              </w:rPr>
            </w:pPr>
            <w:r>
              <w:rPr>
                <w:rFonts w:hint="eastAsia" w:ascii="宋体" w:hAnsi="宋体" w:cs="宋体"/>
              </w:rPr>
              <w:t>35</w:t>
            </w:r>
          </w:p>
        </w:tc>
        <w:tc>
          <w:tcPr>
            <w:tcW w:w="0" w:type="auto"/>
            <w:vAlign w:val="center"/>
          </w:tcPr>
          <w:p>
            <w:pPr>
              <w:jc w:val="center"/>
              <w:rPr>
                <w:rFonts w:ascii="宋体" w:hAnsi="宋体" w:cs="宋体"/>
              </w:rPr>
            </w:pPr>
            <w:r>
              <w:rPr>
                <w:rFonts w:hint="eastAsia" w:ascii="宋体" w:hAnsi="宋体" w:cs="宋体"/>
              </w:rPr>
              <w:t>38</w:t>
            </w:r>
          </w:p>
        </w:tc>
        <w:tc>
          <w:tcPr>
            <w:tcW w:w="0" w:type="auto"/>
            <w:vAlign w:val="center"/>
          </w:tcPr>
          <w:p>
            <w:pPr>
              <w:jc w:val="center"/>
              <w:rPr>
                <w:rFonts w:ascii="宋体" w:hAnsi="宋体" w:cs="宋体"/>
              </w:rPr>
            </w:pPr>
            <w:r>
              <w:rPr>
                <w:rFonts w:hint="eastAsia" w:ascii="宋体" w:hAnsi="宋体" w:cs="宋体"/>
              </w:rPr>
              <w:t>40</w:t>
            </w:r>
          </w:p>
        </w:tc>
        <w:tc>
          <w:tcPr>
            <w:tcW w:w="0" w:type="auto"/>
            <w:vAlign w:val="center"/>
          </w:tcPr>
          <w:p>
            <w:pPr>
              <w:adjustRightInd w:val="0"/>
              <w:snapToGrid w:val="0"/>
              <w:jc w:val="center"/>
              <w:rPr>
                <w:rFonts w:eastAsia="仿宋_GB2312"/>
                <w:szCs w:val="21"/>
              </w:rPr>
            </w:pPr>
            <w:r>
              <w:rPr>
                <w:rFonts w:hint="eastAsia" w:eastAsia="仿宋_GB2312"/>
                <w:szCs w:val="21"/>
              </w:rPr>
              <w:t>900</w:t>
            </w:r>
          </w:p>
        </w:tc>
        <w:tc>
          <w:tcPr>
            <w:tcW w:w="983" w:type="dxa"/>
            <w:vAlign w:val="center"/>
          </w:tcPr>
          <w:p>
            <w:pPr>
              <w:adjustRightInd w:val="0"/>
              <w:snapToGrid w:val="0"/>
              <w:jc w:val="center"/>
              <w:rPr>
                <w:rFonts w:eastAsia="仿宋_GB2312"/>
                <w:szCs w:val="21"/>
              </w:rPr>
            </w:pPr>
            <w:r>
              <w:rPr>
                <w:rFonts w:hint="eastAsia" w:eastAsia="仿宋_GB2312"/>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1568" w:type="dxa"/>
            <w:vAlign w:val="center"/>
          </w:tcPr>
          <w:p>
            <w:pPr>
              <w:adjustRightInd w:val="0"/>
              <w:snapToGrid w:val="0"/>
              <w:jc w:val="center"/>
              <w:rPr>
                <w:rFonts w:eastAsia="仿宋_GB2312"/>
                <w:szCs w:val="21"/>
              </w:rPr>
            </w:pPr>
            <w:r>
              <w:rPr>
                <w:rFonts w:hint="eastAsia" w:eastAsia="仿宋_GB2312"/>
                <w:szCs w:val="21"/>
              </w:rPr>
              <w:t>铅</w:t>
            </w:r>
          </w:p>
        </w:tc>
        <w:tc>
          <w:tcPr>
            <w:tcW w:w="0" w:type="auto"/>
            <w:vAlign w:val="center"/>
          </w:tcPr>
          <w:p>
            <w:pPr>
              <w:adjustRightInd w:val="0"/>
              <w:snapToGrid w:val="0"/>
              <w:jc w:val="center"/>
              <w:rPr>
                <w:rFonts w:eastAsia="仿宋_GB2312"/>
                <w:szCs w:val="21"/>
              </w:rPr>
            </w:pPr>
            <w:r>
              <w:rPr>
                <w:rFonts w:eastAsia="仿宋_GB2312"/>
                <w:szCs w:val="21"/>
              </w:rPr>
              <w:t>m</w:t>
            </w:r>
            <w:r>
              <w:rPr>
                <w:rFonts w:hint="eastAsia" w:eastAsia="仿宋_GB2312"/>
                <w:szCs w:val="21"/>
              </w:rPr>
              <w:t>g/</w:t>
            </w:r>
            <w:r>
              <w:rPr>
                <w:rFonts w:eastAsia="仿宋_GB2312"/>
                <w:szCs w:val="21"/>
              </w:rPr>
              <w:t>kg</w:t>
            </w:r>
          </w:p>
        </w:tc>
        <w:tc>
          <w:tcPr>
            <w:tcW w:w="0" w:type="auto"/>
            <w:vAlign w:val="center"/>
          </w:tcPr>
          <w:p>
            <w:pPr>
              <w:adjustRightInd w:val="0"/>
              <w:snapToGrid w:val="0"/>
              <w:jc w:val="center"/>
              <w:rPr>
                <w:rFonts w:eastAsia="仿宋_GB2312"/>
                <w:szCs w:val="21"/>
              </w:rPr>
            </w:pPr>
            <w:r>
              <w:rPr>
                <w:rFonts w:hint="eastAsia" w:eastAsia="仿宋_GB2312"/>
                <w:szCs w:val="21"/>
              </w:rPr>
              <w:t>0.1</w:t>
            </w:r>
          </w:p>
        </w:tc>
        <w:tc>
          <w:tcPr>
            <w:tcW w:w="0" w:type="auto"/>
            <w:vAlign w:val="center"/>
          </w:tcPr>
          <w:p>
            <w:pPr>
              <w:jc w:val="center"/>
              <w:rPr>
                <w:rFonts w:ascii="宋体" w:hAnsi="宋体" w:cs="宋体"/>
              </w:rPr>
            </w:pPr>
            <w:r>
              <w:rPr>
                <w:rFonts w:hint="eastAsia" w:ascii="宋体" w:hAnsi="宋体" w:cs="宋体"/>
              </w:rPr>
              <w:t>25.0</w:t>
            </w:r>
          </w:p>
        </w:tc>
        <w:tc>
          <w:tcPr>
            <w:tcW w:w="0" w:type="auto"/>
            <w:vAlign w:val="center"/>
          </w:tcPr>
          <w:p>
            <w:pPr>
              <w:jc w:val="center"/>
              <w:rPr>
                <w:rFonts w:ascii="宋体" w:hAnsi="宋体" w:cs="宋体"/>
              </w:rPr>
            </w:pPr>
            <w:r>
              <w:rPr>
                <w:rFonts w:hint="eastAsia" w:ascii="宋体" w:hAnsi="宋体" w:cs="宋体"/>
              </w:rPr>
              <w:t>23.0</w:t>
            </w:r>
          </w:p>
        </w:tc>
        <w:tc>
          <w:tcPr>
            <w:tcW w:w="0" w:type="auto"/>
            <w:vAlign w:val="center"/>
          </w:tcPr>
          <w:p>
            <w:pPr>
              <w:jc w:val="center"/>
              <w:rPr>
                <w:rFonts w:ascii="宋体" w:hAnsi="宋体" w:cs="宋体"/>
              </w:rPr>
            </w:pPr>
            <w:r>
              <w:rPr>
                <w:rFonts w:hint="eastAsia" w:ascii="宋体" w:hAnsi="宋体" w:cs="宋体"/>
              </w:rPr>
              <w:t>21.6</w:t>
            </w:r>
          </w:p>
        </w:tc>
        <w:tc>
          <w:tcPr>
            <w:tcW w:w="0" w:type="auto"/>
            <w:vAlign w:val="center"/>
          </w:tcPr>
          <w:p>
            <w:pPr>
              <w:jc w:val="center"/>
              <w:rPr>
                <w:rFonts w:ascii="宋体" w:hAnsi="宋体" w:cs="宋体"/>
              </w:rPr>
            </w:pPr>
            <w:r>
              <w:rPr>
                <w:rFonts w:hint="eastAsia" w:ascii="宋体" w:hAnsi="宋体" w:cs="宋体"/>
              </w:rPr>
              <w:t>18.8</w:t>
            </w:r>
          </w:p>
        </w:tc>
        <w:tc>
          <w:tcPr>
            <w:tcW w:w="0" w:type="auto"/>
            <w:vAlign w:val="center"/>
          </w:tcPr>
          <w:p>
            <w:pPr>
              <w:adjustRightInd w:val="0"/>
              <w:snapToGrid w:val="0"/>
              <w:jc w:val="center"/>
              <w:rPr>
                <w:rFonts w:eastAsia="仿宋_GB2312"/>
                <w:szCs w:val="21"/>
              </w:rPr>
            </w:pPr>
            <w:r>
              <w:rPr>
                <w:rFonts w:hint="eastAsia" w:eastAsia="仿宋_GB2312"/>
                <w:szCs w:val="21"/>
              </w:rPr>
              <w:t>800</w:t>
            </w:r>
          </w:p>
        </w:tc>
        <w:tc>
          <w:tcPr>
            <w:tcW w:w="983" w:type="dxa"/>
            <w:vAlign w:val="center"/>
          </w:tcPr>
          <w:p>
            <w:pPr>
              <w:adjustRightInd w:val="0"/>
              <w:snapToGrid w:val="0"/>
              <w:jc w:val="center"/>
              <w:rPr>
                <w:rFonts w:eastAsia="仿宋_GB2312"/>
                <w:szCs w:val="21"/>
              </w:rPr>
            </w:pPr>
            <w:r>
              <w:rPr>
                <w:rFonts w:hint="eastAsia" w:eastAsia="仿宋_GB2312"/>
                <w:szCs w:val="21"/>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1568" w:type="dxa"/>
            <w:vAlign w:val="center"/>
          </w:tcPr>
          <w:p>
            <w:pPr>
              <w:adjustRightInd w:val="0"/>
              <w:snapToGrid w:val="0"/>
              <w:jc w:val="center"/>
              <w:rPr>
                <w:rFonts w:eastAsia="仿宋_GB2312"/>
                <w:szCs w:val="21"/>
              </w:rPr>
            </w:pPr>
            <w:r>
              <w:rPr>
                <w:rFonts w:hint="eastAsia" w:eastAsia="仿宋_GB2312"/>
                <w:szCs w:val="21"/>
              </w:rPr>
              <w:t>镉</w:t>
            </w:r>
          </w:p>
        </w:tc>
        <w:tc>
          <w:tcPr>
            <w:tcW w:w="0" w:type="auto"/>
            <w:vAlign w:val="center"/>
          </w:tcPr>
          <w:p>
            <w:pPr>
              <w:adjustRightInd w:val="0"/>
              <w:snapToGrid w:val="0"/>
              <w:jc w:val="center"/>
              <w:rPr>
                <w:rFonts w:eastAsia="仿宋_GB2312"/>
                <w:szCs w:val="21"/>
              </w:rPr>
            </w:pPr>
            <w:r>
              <w:rPr>
                <w:rFonts w:eastAsia="仿宋_GB2312"/>
                <w:szCs w:val="21"/>
              </w:rPr>
              <w:t>m</w:t>
            </w:r>
            <w:r>
              <w:rPr>
                <w:rFonts w:hint="eastAsia" w:eastAsia="仿宋_GB2312"/>
                <w:szCs w:val="21"/>
              </w:rPr>
              <w:t>g/</w:t>
            </w:r>
            <w:r>
              <w:rPr>
                <w:rFonts w:eastAsia="仿宋_GB2312"/>
                <w:szCs w:val="21"/>
              </w:rPr>
              <w:t>kg</w:t>
            </w:r>
          </w:p>
        </w:tc>
        <w:tc>
          <w:tcPr>
            <w:tcW w:w="0" w:type="auto"/>
            <w:vAlign w:val="center"/>
          </w:tcPr>
          <w:p>
            <w:pPr>
              <w:adjustRightInd w:val="0"/>
              <w:snapToGrid w:val="0"/>
              <w:jc w:val="center"/>
              <w:rPr>
                <w:rFonts w:eastAsia="仿宋_GB2312"/>
                <w:szCs w:val="21"/>
              </w:rPr>
            </w:pPr>
            <w:r>
              <w:rPr>
                <w:rFonts w:hint="eastAsia" w:eastAsia="仿宋_GB2312"/>
                <w:szCs w:val="21"/>
              </w:rPr>
              <w:t>0.01</w:t>
            </w:r>
          </w:p>
        </w:tc>
        <w:tc>
          <w:tcPr>
            <w:tcW w:w="0" w:type="auto"/>
            <w:vAlign w:val="center"/>
          </w:tcPr>
          <w:p>
            <w:pPr>
              <w:jc w:val="center"/>
              <w:rPr>
                <w:rFonts w:ascii="宋体" w:hAnsi="宋体" w:cs="宋体"/>
              </w:rPr>
            </w:pPr>
            <w:r>
              <w:rPr>
                <w:rFonts w:hint="eastAsia" w:ascii="宋体" w:hAnsi="宋体" w:cs="宋体"/>
              </w:rPr>
              <w:t>0.02</w:t>
            </w:r>
          </w:p>
        </w:tc>
        <w:tc>
          <w:tcPr>
            <w:tcW w:w="0" w:type="auto"/>
            <w:vAlign w:val="center"/>
          </w:tcPr>
          <w:p>
            <w:pPr>
              <w:jc w:val="center"/>
              <w:rPr>
                <w:rFonts w:ascii="宋体" w:hAnsi="宋体" w:cs="宋体"/>
              </w:rPr>
            </w:pPr>
            <w:r>
              <w:rPr>
                <w:rFonts w:hint="eastAsia" w:ascii="宋体" w:hAnsi="宋体" w:cs="宋体"/>
              </w:rPr>
              <w:t>0.02</w:t>
            </w:r>
          </w:p>
        </w:tc>
        <w:tc>
          <w:tcPr>
            <w:tcW w:w="1155" w:type="dxa"/>
            <w:vAlign w:val="center"/>
          </w:tcPr>
          <w:p>
            <w:pPr>
              <w:adjustRightInd w:val="0"/>
              <w:snapToGrid w:val="0"/>
              <w:jc w:val="center"/>
              <w:rPr>
                <w:rFonts w:ascii="宋体" w:hAnsi="宋体" w:cs="宋体"/>
              </w:rPr>
            </w:pPr>
            <w:r>
              <w:rPr>
                <w:rFonts w:hint="eastAsia" w:eastAsia="仿宋_GB2312"/>
                <w:szCs w:val="21"/>
              </w:rPr>
              <w:t>ND</w:t>
            </w:r>
          </w:p>
        </w:tc>
        <w:tc>
          <w:tcPr>
            <w:tcW w:w="1056" w:type="dxa"/>
            <w:vAlign w:val="center"/>
          </w:tcPr>
          <w:p>
            <w:pPr>
              <w:jc w:val="center"/>
              <w:rPr>
                <w:rFonts w:ascii="宋体" w:hAnsi="宋体" w:cs="宋体"/>
              </w:rPr>
            </w:pPr>
            <w:r>
              <w:rPr>
                <w:rFonts w:hint="eastAsia" w:eastAsia="仿宋_GB2312"/>
                <w:szCs w:val="21"/>
              </w:rPr>
              <w:t>ND</w:t>
            </w:r>
          </w:p>
        </w:tc>
        <w:tc>
          <w:tcPr>
            <w:tcW w:w="0" w:type="auto"/>
            <w:vAlign w:val="center"/>
          </w:tcPr>
          <w:p>
            <w:pPr>
              <w:adjustRightInd w:val="0"/>
              <w:snapToGrid w:val="0"/>
              <w:jc w:val="center"/>
              <w:rPr>
                <w:rFonts w:eastAsia="仿宋_GB2312"/>
                <w:szCs w:val="21"/>
              </w:rPr>
            </w:pPr>
            <w:r>
              <w:rPr>
                <w:rFonts w:hint="eastAsia" w:eastAsia="仿宋_GB2312"/>
                <w:szCs w:val="21"/>
              </w:rPr>
              <w:t>65</w:t>
            </w:r>
          </w:p>
        </w:tc>
        <w:tc>
          <w:tcPr>
            <w:tcW w:w="983" w:type="dxa"/>
            <w:vAlign w:val="center"/>
          </w:tcPr>
          <w:p>
            <w:pPr>
              <w:adjustRightInd w:val="0"/>
              <w:snapToGrid w:val="0"/>
              <w:jc w:val="center"/>
              <w:rPr>
                <w:rFonts w:eastAsia="仿宋_GB2312"/>
                <w:szCs w:val="21"/>
              </w:rPr>
            </w:pPr>
            <w:r>
              <w:rPr>
                <w:rFonts w:hint="eastAsia" w:eastAsia="仿宋_GB2312"/>
                <w:szCs w:val="21"/>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568" w:type="dxa"/>
            <w:vAlign w:val="center"/>
          </w:tcPr>
          <w:p>
            <w:pPr>
              <w:adjustRightInd w:val="0"/>
              <w:snapToGrid w:val="0"/>
              <w:jc w:val="center"/>
              <w:rPr>
                <w:rFonts w:eastAsia="仿宋_GB2312"/>
                <w:szCs w:val="21"/>
              </w:rPr>
            </w:pPr>
            <w:r>
              <w:rPr>
                <w:rFonts w:eastAsia="仿宋_GB2312"/>
                <w:bCs/>
                <w:szCs w:val="21"/>
              </w:rPr>
              <w:t>铬</w:t>
            </w:r>
            <w:r>
              <w:rPr>
                <w:rFonts w:hint="eastAsia" w:eastAsia="仿宋_GB2312"/>
                <w:bCs/>
                <w:szCs w:val="21"/>
              </w:rPr>
              <w:t>（六价）</w:t>
            </w:r>
          </w:p>
        </w:tc>
        <w:tc>
          <w:tcPr>
            <w:tcW w:w="0" w:type="auto"/>
            <w:vAlign w:val="center"/>
          </w:tcPr>
          <w:p>
            <w:pPr>
              <w:adjustRightInd w:val="0"/>
              <w:snapToGrid w:val="0"/>
              <w:jc w:val="center"/>
              <w:rPr>
                <w:rFonts w:eastAsia="仿宋_GB2312"/>
                <w:szCs w:val="21"/>
              </w:rPr>
            </w:pPr>
            <w:r>
              <w:rPr>
                <w:rFonts w:eastAsia="仿宋_GB2312"/>
                <w:szCs w:val="21"/>
              </w:rPr>
              <w:t>m</w:t>
            </w:r>
            <w:r>
              <w:rPr>
                <w:rFonts w:hint="eastAsia" w:eastAsia="仿宋_GB2312"/>
                <w:szCs w:val="21"/>
              </w:rPr>
              <w:t>g/</w:t>
            </w:r>
            <w:r>
              <w:rPr>
                <w:rFonts w:eastAsia="仿宋_GB2312"/>
                <w:szCs w:val="21"/>
              </w:rPr>
              <w:t>kg</w:t>
            </w:r>
          </w:p>
        </w:tc>
        <w:tc>
          <w:tcPr>
            <w:tcW w:w="0" w:type="auto"/>
            <w:vAlign w:val="center"/>
          </w:tcPr>
          <w:p>
            <w:pPr>
              <w:adjustRightInd w:val="0"/>
              <w:snapToGrid w:val="0"/>
              <w:jc w:val="center"/>
              <w:rPr>
                <w:rFonts w:eastAsia="仿宋_GB2312"/>
                <w:szCs w:val="21"/>
              </w:rPr>
            </w:pPr>
            <w:r>
              <w:rPr>
                <w:rFonts w:hint="eastAsia" w:eastAsia="仿宋_GB2312"/>
                <w:szCs w:val="21"/>
              </w:rPr>
              <w:t>0.5</w:t>
            </w:r>
          </w:p>
        </w:tc>
        <w:tc>
          <w:tcPr>
            <w:tcW w:w="0" w:type="auto"/>
            <w:vAlign w:val="center"/>
          </w:tcPr>
          <w:p>
            <w:pPr>
              <w:adjustRightInd w:val="0"/>
              <w:snapToGrid w:val="0"/>
              <w:jc w:val="center"/>
              <w:rPr>
                <w:rFonts w:eastAsia="仿宋_GB2312"/>
                <w:szCs w:val="21"/>
              </w:rPr>
            </w:pPr>
            <w:r>
              <w:rPr>
                <w:rFonts w:hint="eastAsia" w:eastAsia="仿宋_GB2312"/>
                <w:szCs w:val="21"/>
              </w:rPr>
              <w:t>ND</w:t>
            </w:r>
          </w:p>
        </w:tc>
        <w:tc>
          <w:tcPr>
            <w:tcW w:w="0" w:type="auto"/>
            <w:vAlign w:val="center"/>
          </w:tcPr>
          <w:p>
            <w:pPr>
              <w:adjustRightInd w:val="0"/>
              <w:snapToGrid w:val="0"/>
              <w:jc w:val="center"/>
              <w:rPr>
                <w:rFonts w:eastAsia="仿宋_GB2312"/>
                <w:szCs w:val="21"/>
              </w:rPr>
            </w:pPr>
            <w:r>
              <w:rPr>
                <w:rFonts w:hint="eastAsia" w:eastAsia="仿宋_GB2312"/>
                <w:szCs w:val="21"/>
              </w:rPr>
              <w:t>ND</w:t>
            </w:r>
          </w:p>
        </w:tc>
        <w:tc>
          <w:tcPr>
            <w:tcW w:w="0" w:type="auto"/>
            <w:vAlign w:val="center"/>
          </w:tcPr>
          <w:p>
            <w:pPr>
              <w:adjustRightInd w:val="0"/>
              <w:snapToGrid w:val="0"/>
              <w:jc w:val="center"/>
              <w:rPr>
                <w:rFonts w:eastAsia="仿宋_GB2312"/>
                <w:szCs w:val="21"/>
              </w:rPr>
            </w:pPr>
            <w:r>
              <w:rPr>
                <w:rFonts w:hint="eastAsia" w:eastAsia="仿宋_GB2312"/>
                <w:szCs w:val="21"/>
              </w:rPr>
              <w:t>ND</w:t>
            </w:r>
          </w:p>
        </w:tc>
        <w:tc>
          <w:tcPr>
            <w:tcW w:w="0" w:type="auto"/>
            <w:vAlign w:val="center"/>
          </w:tcPr>
          <w:p>
            <w:pPr>
              <w:jc w:val="center"/>
              <w:rPr>
                <w:rFonts w:ascii="宋体" w:hAnsi="宋体" w:cs="宋体"/>
              </w:rPr>
            </w:pPr>
            <w:r>
              <w:rPr>
                <w:rFonts w:hint="eastAsia" w:eastAsia="仿宋_GB2312"/>
                <w:szCs w:val="21"/>
              </w:rPr>
              <w:t>ND</w:t>
            </w:r>
          </w:p>
        </w:tc>
        <w:tc>
          <w:tcPr>
            <w:tcW w:w="0" w:type="auto"/>
            <w:vAlign w:val="center"/>
          </w:tcPr>
          <w:p>
            <w:pPr>
              <w:adjustRightInd w:val="0"/>
              <w:snapToGrid w:val="0"/>
              <w:jc w:val="center"/>
              <w:rPr>
                <w:rFonts w:eastAsia="仿宋_GB2312"/>
                <w:szCs w:val="21"/>
              </w:rPr>
            </w:pPr>
            <w:r>
              <w:rPr>
                <w:rFonts w:hint="eastAsia" w:eastAsia="仿宋_GB2312"/>
                <w:szCs w:val="21"/>
              </w:rPr>
              <w:t>5.7</w:t>
            </w:r>
          </w:p>
        </w:tc>
        <w:tc>
          <w:tcPr>
            <w:tcW w:w="983" w:type="dxa"/>
            <w:vAlign w:val="center"/>
          </w:tcPr>
          <w:p>
            <w:pPr>
              <w:adjustRightInd w:val="0"/>
              <w:snapToGrid w:val="0"/>
              <w:jc w:val="center"/>
              <w:rPr>
                <w:rFonts w:eastAsia="仿宋_GB2312"/>
                <w:szCs w:val="21"/>
              </w:rPr>
            </w:pPr>
            <w:r>
              <w:rPr>
                <w:rFonts w:hint="eastAsia" w:eastAsia="仿宋_GB2312"/>
                <w:szCs w:val="21"/>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568" w:type="dxa"/>
            <w:vAlign w:val="center"/>
          </w:tcPr>
          <w:p>
            <w:pPr>
              <w:adjustRightInd w:val="0"/>
              <w:snapToGrid w:val="0"/>
              <w:jc w:val="center"/>
              <w:rPr>
                <w:rFonts w:eastAsia="仿宋_GB2312"/>
                <w:szCs w:val="21"/>
              </w:rPr>
            </w:pPr>
            <w:r>
              <w:rPr>
                <w:rFonts w:hint="eastAsia" w:eastAsia="仿宋_GB2312"/>
                <w:szCs w:val="21"/>
              </w:rPr>
              <w:t>石油烃</w:t>
            </w:r>
          </w:p>
        </w:tc>
        <w:tc>
          <w:tcPr>
            <w:tcW w:w="0" w:type="auto"/>
            <w:vAlign w:val="center"/>
          </w:tcPr>
          <w:p>
            <w:pPr>
              <w:adjustRightInd w:val="0"/>
              <w:snapToGrid w:val="0"/>
              <w:jc w:val="center"/>
              <w:rPr>
                <w:rFonts w:eastAsia="仿宋_GB2312"/>
                <w:szCs w:val="21"/>
              </w:rPr>
            </w:pPr>
            <w:r>
              <w:rPr>
                <w:rFonts w:eastAsia="仿宋_GB2312"/>
                <w:szCs w:val="21"/>
              </w:rPr>
              <w:t>m</w:t>
            </w:r>
            <w:r>
              <w:rPr>
                <w:rFonts w:hint="eastAsia" w:eastAsia="仿宋_GB2312"/>
                <w:szCs w:val="21"/>
              </w:rPr>
              <w:t>g/</w:t>
            </w:r>
            <w:r>
              <w:rPr>
                <w:rFonts w:eastAsia="仿宋_GB2312"/>
                <w:szCs w:val="21"/>
              </w:rPr>
              <w:t>kg</w:t>
            </w:r>
          </w:p>
        </w:tc>
        <w:tc>
          <w:tcPr>
            <w:tcW w:w="0" w:type="auto"/>
            <w:vAlign w:val="center"/>
          </w:tcPr>
          <w:p>
            <w:pPr>
              <w:adjustRightInd w:val="0"/>
              <w:snapToGrid w:val="0"/>
              <w:jc w:val="center"/>
              <w:rPr>
                <w:rFonts w:eastAsia="仿宋_GB2312"/>
                <w:szCs w:val="21"/>
              </w:rPr>
            </w:pPr>
            <w:r>
              <w:rPr>
                <w:rFonts w:hint="eastAsia" w:eastAsia="仿宋_GB2312"/>
                <w:szCs w:val="21"/>
              </w:rPr>
              <w:t>6</w:t>
            </w:r>
          </w:p>
        </w:tc>
        <w:tc>
          <w:tcPr>
            <w:tcW w:w="0" w:type="auto"/>
            <w:vAlign w:val="center"/>
          </w:tcPr>
          <w:p>
            <w:pPr>
              <w:spacing w:line="260" w:lineRule="exact"/>
              <w:ind w:left="6"/>
              <w:jc w:val="center"/>
              <w:rPr>
                <w:rFonts w:ascii="宋体" w:hAnsi="宋体"/>
              </w:rPr>
            </w:pPr>
            <w:r>
              <w:rPr>
                <w:rFonts w:hint="eastAsia" w:ascii="宋体" w:hAnsi="宋体"/>
              </w:rPr>
              <w:t>28</w:t>
            </w:r>
          </w:p>
        </w:tc>
        <w:tc>
          <w:tcPr>
            <w:tcW w:w="0" w:type="auto"/>
            <w:vAlign w:val="center"/>
          </w:tcPr>
          <w:p>
            <w:pPr>
              <w:spacing w:line="260" w:lineRule="exact"/>
              <w:ind w:left="6"/>
              <w:jc w:val="center"/>
              <w:rPr>
                <w:rFonts w:ascii="宋体" w:hAnsi="宋体"/>
              </w:rPr>
            </w:pPr>
            <w:r>
              <w:rPr>
                <w:rFonts w:hint="eastAsia" w:ascii="宋体" w:hAnsi="宋体"/>
              </w:rPr>
              <w:t>31</w:t>
            </w:r>
          </w:p>
        </w:tc>
        <w:tc>
          <w:tcPr>
            <w:tcW w:w="0" w:type="auto"/>
            <w:vAlign w:val="center"/>
          </w:tcPr>
          <w:p>
            <w:pPr>
              <w:spacing w:line="260" w:lineRule="exact"/>
              <w:ind w:left="6"/>
              <w:jc w:val="center"/>
              <w:rPr>
                <w:rFonts w:ascii="宋体" w:hAnsi="宋体"/>
              </w:rPr>
            </w:pPr>
            <w:r>
              <w:rPr>
                <w:rFonts w:hint="eastAsia" w:ascii="宋体" w:hAnsi="宋体"/>
              </w:rPr>
              <w:t>29</w:t>
            </w:r>
          </w:p>
        </w:tc>
        <w:tc>
          <w:tcPr>
            <w:tcW w:w="0" w:type="auto"/>
            <w:vAlign w:val="center"/>
          </w:tcPr>
          <w:p>
            <w:pPr>
              <w:jc w:val="center"/>
              <w:rPr>
                <w:rFonts w:ascii="宋体" w:hAnsi="宋体" w:cs="宋体"/>
              </w:rPr>
            </w:pPr>
            <w:r>
              <w:rPr>
                <w:rFonts w:hint="eastAsia" w:ascii="宋体" w:hAnsi="宋体" w:cs="宋体"/>
              </w:rPr>
              <w:t>25</w:t>
            </w:r>
          </w:p>
        </w:tc>
        <w:tc>
          <w:tcPr>
            <w:tcW w:w="0" w:type="auto"/>
            <w:vAlign w:val="center"/>
          </w:tcPr>
          <w:p>
            <w:pPr>
              <w:adjustRightInd w:val="0"/>
              <w:snapToGrid w:val="0"/>
              <w:jc w:val="center"/>
              <w:rPr>
                <w:rFonts w:eastAsia="仿宋_GB2312"/>
                <w:szCs w:val="21"/>
              </w:rPr>
            </w:pPr>
            <w:r>
              <w:rPr>
                <w:rFonts w:hint="eastAsia" w:eastAsia="仿宋_GB2312"/>
                <w:szCs w:val="21"/>
              </w:rPr>
              <w:t>4500</w:t>
            </w:r>
          </w:p>
        </w:tc>
        <w:tc>
          <w:tcPr>
            <w:tcW w:w="983" w:type="dxa"/>
            <w:vAlign w:val="center"/>
          </w:tcPr>
          <w:p>
            <w:pPr>
              <w:adjustRightInd w:val="0"/>
              <w:snapToGrid w:val="0"/>
              <w:jc w:val="center"/>
              <w:rPr>
                <w:rFonts w:eastAsia="仿宋_GB2312"/>
                <w:szCs w:val="21"/>
              </w:rPr>
            </w:pPr>
            <w:r>
              <w:rPr>
                <w:rFonts w:hint="eastAsia" w:eastAsia="仿宋_GB2312"/>
                <w:szCs w:val="21"/>
              </w:rPr>
              <w:t>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68" w:type="dxa"/>
            <w:vAlign w:val="center"/>
          </w:tcPr>
          <w:p>
            <w:pPr>
              <w:adjustRightInd w:val="0"/>
              <w:snapToGrid w:val="0"/>
              <w:jc w:val="center"/>
              <w:rPr>
                <w:rFonts w:eastAsia="仿宋_GB2312"/>
                <w:szCs w:val="21"/>
              </w:rPr>
            </w:pPr>
            <w:r>
              <w:rPr>
                <w:rFonts w:hint="eastAsia" w:eastAsia="仿宋_GB2312"/>
                <w:szCs w:val="21"/>
              </w:rPr>
              <w:t>苯乙烯</w:t>
            </w:r>
          </w:p>
        </w:tc>
        <w:tc>
          <w:tcPr>
            <w:tcW w:w="0" w:type="auto"/>
            <w:vAlign w:val="center"/>
          </w:tcPr>
          <w:p>
            <w:pPr>
              <w:adjustRightInd w:val="0"/>
              <w:snapToGrid w:val="0"/>
              <w:jc w:val="center"/>
              <w:rPr>
                <w:rFonts w:eastAsia="仿宋_GB2312"/>
                <w:szCs w:val="21"/>
              </w:rPr>
            </w:pPr>
            <w:r>
              <w:rPr>
                <w:rFonts w:eastAsia="仿宋_GB2312"/>
                <w:szCs w:val="21"/>
              </w:rPr>
              <w:t>m</w:t>
            </w:r>
            <w:r>
              <w:rPr>
                <w:rFonts w:hint="eastAsia" w:eastAsia="仿宋_GB2312"/>
                <w:szCs w:val="21"/>
              </w:rPr>
              <w:t>g/kg</w:t>
            </w:r>
          </w:p>
        </w:tc>
        <w:tc>
          <w:tcPr>
            <w:tcW w:w="0" w:type="auto"/>
            <w:vAlign w:val="center"/>
          </w:tcPr>
          <w:p>
            <w:pPr>
              <w:adjustRightInd w:val="0"/>
              <w:snapToGrid w:val="0"/>
              <w:jc w:val="center"/>
              <w:rPr>
                <w:rFonts w:eastAsia="仿宋_GB2312"/>
                <w:szCs w:val="21"/>
              </w:rPr>
            </w:pPr>
            <w:r>
              <w:rPr>
                <w:rFonts w:hint="eastAsia" w:eastAsia="仿宋_GB2312"/>
                <w:szCs w:val="21"/>
              </w:rPr>
              <w:t>0.0011</w:t>
            </w:r>
          </w:p>
        </w:tc>
        <w:tc>
          <w:tcPr>
            <w:tcW w:w="942" w:type="dxa"/>
            <w:vAlign w:val="center"/>
          </w:tcPr>
          <w:p>
            <w:pPr>
              <w:adjustRightInd w:val="0"/>
              <w:snapToGrid w:val="0"/>
              <w:jc w:val="center"/>
              <w:rPr>
                <w:rFonts w:eastAsia="仿宋_GB2312"/>
                <w:szCs w:val="21"/>
              </w:rPr>
            </w:pPr>
            <w:r>
              <w:rPr>
                <w:rFonts w:hint="eastAsia" w:eastAsia="仿宋_GB2312"/>
                <w:szCs w:val="21"/>
              </w:rPr>
              <w:t>ND</w:t>
            </w:r>
          </w:p>
        </w:tc>
        <w:tc>
          <w:tcPr>
            <w:tcW w:w="1010" w:type="dxa"/>
            <w:vAlign w:val="center"/>
          </w:tcPr>
          <w:p>
            <w:pPr>
              <w:adjustRightInd w:val="0"/>
              <w:snapToGrid w:val="0"/>
              <w:jc w:val="center"/>
              <w:rPr>
                <w:rFonts w:eastAsia="仿宋_GB2312"/>
                <w:szCs w:val="21"/>
              </w:rPr>
            </w:pPr>
            <w:r>
              <w:rPr>
                <w:rFonts w:hint="eastAsia" w:eastAsia="仿宋_GB2312"/>
                <w:szCs w:val="21"/>
              </w:rPr>
              <w:t>ND</w:t>
            </w:r>
          </w:p>
        </w:tc>
        <w:tc>
          <w:tcPr>
            <w:tcW w:w="1155" w:type="dxa"/>
            <w:vAlign w:val="center"/>
          </w:tcPr>
          <w:p>
            <w:pPr>
              <w:adjustRightInd w:val="0"/>
              <w:snapToGrid w:val="0"/>
              <w:jc w:val="center"/>
              <w:rPr>
                <w:rFonts w:eastAsia="仿宋_GB2312"/>
                <w:szCs w:val="21"/>
              </w:rPr>
            </w:pPr>
            <w:r>
              <w:rPr>
                <w:rFonts w:hint="eastAsia" w:eastAsia="仿宋_GB2312"/>
                <w:szCs w:val="21"/>
              </w:rPr>
              <w:t>ND</w:t>
            </w:r>
          </w:p>
        </w:tc>
        <w:tc>
          <w:tcPr>
            <w:tcW w:w="1056" w:type="dxa"/>
            <w:vAlign w:val="center"/>
          </w:tcPr>
          <w:p>
            <w:pPr>
              <w:jc w:val="center"/>
              <w:rPr>
                <w:rFonts w:eastAsia="仿宋_GB2312"/>
                <w:szCs w:val="21"/>
              </w:rPr>
            </w:pPr>
            <w:r>
              <w:rPr>
                <w:rFonts w:hint="eastAsia" w:eastAsia="仿宋_GB2312"/>
                <w:szCs w:val="21"/>
              </w:rPr>
              <w:t>ND</w:t>
            </w:r>
          </w:p>
        </w:tc>
        <w:tc>
          <w:tcPr>
            <w:tcW w:w="0" w:type="auto"/>
            <w:vAlign w:val="center"/>
          </w:tcPr>
          <w:p>
            <w:pPr>
              <w:adjustRightInd w:val="0"/>
              <w:snapToGrid w:val="0"/>
              <w:jc w:val="center"/>
              <w:rPr>
                <w:rFonts w:eastAsia="仿宋_GB2312"/>
                <w:szCs w:val="21"/>
              </w:rPr>
            </w:pPr>
            <w:r>
              <w:rPr>
                <w:rFonts w:hint="eastAsia" w:eastAsia="仿宋_GB2312"/>
                <w:szCs w:val="21"/>
              </w:rPr>
              <w:t>1290</w:t>
            </w:r>
          </w:p>
        </w:tc>
        <w:tc>
          <w:tcPr>
            <w:tcW w:w="983" w:type="dxa"/>
            <w:vAlign w:val="center"/>
          </w:tcPr>
          <w:p>
            <w:pPr>
              <w:adjustRightInd w:val="0"/>
              <w:snapToGrid w:val="0"/>
              <w:jc w:val="center"/>
              <w:rPr>
                <w:rFonts w:eastAsia="仿宋_GB2312"/>
                <w:szCs w:val="21"/>
              </w:rPr>
            </w:pPr>
            <w:r>
              <w:rPr>
                <w:rFonts w:hint="eastAsia" w:eastAsia="仿宋_GB2312"/>
                <w:szCs w:val="21"/>
              </w:rPr>
              <w:t>1290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568" w:type="dxa"/>
            <w:vAlign w:val="center"/>
          </w:tcPr>
          <w:p>
            <w:pPr>
              <w:adjustRightInd w:val="0"/>
              <w:snapToGrid w:val="0"/>
              <w:jc w:val="center"/>
              <w:rPr>
                <w:rFonts w:eastAsia="仿宋_GB2312"/>
                <w:bCs/>
                <w:szCs w:val="21"/>
              </w:rPr>
            </w:pPr>
            <w:r>
              <w:rPr>
                <w:rFonts w:hint="eastAsia" w:eastAsia="仿宋_GB2312"/>
                <w:bCs/>
                <w:szCs w:val="21"/>
              </w:rPr>
              <w:t>氯甲烷</w:t>
            </w:r>
          </w:p>
        </w:tc>
        <w:tc>
          <w:tcPr>
            <w:tcW w:w="0" w:type="auto"/>
            <w:vAlign w:val="center"/>
          </w:tcPr>
          <w:p>
            <w:pPr>
              <w:jc w:val="center"/>
            </w:pPr>
            <w:r>
              <w:rPr>
                <w:rFonts w:eastAsia="仿宋_GB2312"/>
                <w:szCs w:val="21"/>
              </w:rPr>
              <w:t>m</w:t>
            </w:r>
            <w:r>
              <w:rPr>
                <w:rFonts w:hint="eastAsia" w:eastAsia="仿宋_GB2312"/>
                <w:szCs w:val="21"/>
              </w:rPr>
              <w:t>g/</w:t>
            </w:r>
            <w:r>
              <w:rPr>
                <w:rFonts w:eastAsia="仿宋_GB2312"/>
                <w:szCs w:val="21"/>
              </w:rPr>
              <w:t>kg</w:t>
            </w:r>
          </w:p>
        </w:tc>
        <w:tc>
          <w:tcPr>
            <w:tcW w:w="0" w:type="auto"/>
            <w:vAlign w:val="center"/>
          </w:tcPr>
          <w:p>
            <w:pPr>
              <w:adjustRightInd w:val="0"/>
              <w:snapToGrid w:val="0"/>
              <w:jc w:val="center"/>
              <w:rPr>
                <w:rFonts w:eastAsia="仿宋_GB2312"/>
                <w:szCs w:val="21"/>
              </w:rPr>
            </w:pPr>
            <w:r>
              <w:rPr>
                <w:rFonts w:hint="eastAsia" w:eastAsia="仿宋_GB2312"/>
                <w:szCs w:val="21"/>
              </w:rPr>
              <w:t>0.001</w:t>
            </w:r>
          </w:p>
        </w:tc>
        <w:tc>
          <w:tcPr>
            <w:tcW w:w="942" w:type="dxa"/>
            <w:vAlign w:val="center"/>
          </w:tcPr>
          <w:p>
            <w:pPr>
              <w:adjustRightInd w:val="0"/>
              <w:snapToGrid w:val="0"/>
              <w:jc w:val="center"/>
              <w:rPr>
                <w:rFonts w:eastAsia="仿宋_GB2312"/>
                <w:szCs w:val="21"/>
              </w:rPr>
            </w:pPr>
            <w:r>
              <w:rPr>
                <w:rFonts w:hint="eastAsia" w:eastAsia="仿宋_GB2312"/>
                <w:szCs w:val="21"/>
              </w:rPr>
              <w:t>ND</w:t>
            </w:r>
          </w:p>
        </w:tc>
        <w:tc>
          <w:tcPr>
            <w:tcW w:w="1010" w:type="dxa"/>
            <w:vAlign w:val="center"/>
          </w:tcPr>
          <w:p>
            <w:pPr>
              <w:adjustRightInd w:val="0"/>
              <w:snapToGrid w:val="0"/>
              <w:jc w:val="center"/>
              <w:rPr>
                <w:rFonts w:eastAsia="仿宋_GB2312"/>
                <w:szCs w:val="21"/>
              </w:rPr>
            </w:pPr>
            <w:r>
              <w:rPr>
                <w:rFonts w:hint="eastAsia" w:eastAsia="仿宋_GB2312"/>
                <w:szCs w:val="21"/>
              </w:rPr>
              <w:t>ND</w:t>
            </w:r>
          </w:p>
        </w:tc>
        <w:tc>
          <w:tcPr>
            <w:tcW w:w="1155" w:type="dxa"/>
            <w:vAlign w:val="center"/>
          </w:tcPr>
          <w:p>
            <w:pPr>
              <w:adjustRightInd w:val="0"/>
              <w:snapToGrid w:val="0"/>
              <w:jc w:val="center"/>
              <w:rPr>
                <w:rFonts w:eastAsia="仿宋_GB2312"/>
                <w:szCs w:val="21"/>
              </w:rPr>
            </w:pPr>
            <w:r>
              <w:rPr>
                <w:rFonts w:hint="eastAsia" w:eastAsia="仿宋_GB2312"/>
                <w:szCs w:val="21"/>
              </w:rPr>
              <w:t>ND</w:t>
            </w:r>
          </w:p>
        </w:tc>
        <w:tc>
          <w:tcPr>
            <w:tcW w:w="1056" w:type="dxa"/>
            <w:vAlign w:val="center"/>
          </w:tcPr>
          <w:p>
            <w:pPr>
              <w:jc w:val="center"/>
              <w:rPr>
                <w:rFonts w:eastAsia="仿宋_GB2312"/>
                <w:szCs w:val="21"/>
              </w:rPr>
            </w:pPr>
            <w:r>
              <w:rPr>
                <w:rFonts w:hint="eastAsia" w:eastAsia="仿宋_GB2312"/>
                <w:szCs w:val="21"/>
              </w:rPr>
              <w:t>ND</w:t>
            </w:r>
          </w:p>
        </w:tc>
        <w:tc>
          <w:tcPr>
            <w:tcW w:w="0" w:type="auto"/>
            <w:vAlign w:val="center"/>
          </w:tcPr>
          <w:p>
            <w:pPr>
              <w:adjustRightInd w:val="0"/>
              <w:snapToGrid w:val="0"/>
              <w:jc w:val="center"/>
              <w:rPr>
                <w:rFonts w:eastAsia="仿宋_GB2312"/>
                <w:szCs w:val="21"/>
              </w:rPr>
            </w:pPr>
            <w:r>
              <w:rPr>
                <w:rFonts w:hint="eastAsia" w:eastAsia="仿宋_GB2312"/>
                <w:szCs w:val="21"/>
              </w:rPr>
              <w:t>37</w:t>
            </w:r>
          </w:p>
        </w:tc>
        <w:tc>
          <w:tcPr>
            <w:tcW w:w="983" w:type="dxa"/>
            <w:vAlign w:val="center"/>
          </w:tcPr>
          <w:p>
            <w:pPr>
              <w:adjustRightInd w:val="0"/>
              <w:snapToGrid w:val="0"/>
              <w:jc w:val="center"/>
              <w:rPr>
                <w:rFonts w:eastAsia="仿宋_GB2312"/>
                <w:szCs w:val="21"/>
              </w:rPr>
            </w:pPr>
            <w:r>
              <w:rPr>
                <w:rFonts w:hint="eastAsia" w:eastAsia="仿宋_GB2312"/>
                <w:szCs w:val="21"/>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568" w:type="dxa"/>
            <w:vAlign w:val="center"/>
          </w:tcPr>
          <w:p>
            <w:pPr>
              <w:adjustRightInd w:val="0"/>
              <w:snapToGrid w:val="0"/>
              <w:jc w:val="center"/>
              <w:rPr>
                <w:rFonts w:eastAsia="仿宋_GB2312"/>
                <w:bCs/>
                <w:szCs w:val="21"/>
              </w:rPr>
            </w:pPr>
            <w:r>
              <w:rPr>
                <w:rFonts w:hint="eastAsia" w:eastAsia="仿宋_GB2312"/>
                <w:bCs/>
                <w:szCs w:val="21"/>
              </w:rPr>
              <w:t>氯乙烯</w:t>
            </w:r>
          </w:p>
        </w:tc>
        <w:tc>
          <w:tcPr>
            <w:tcW w:w="0" w:type="auto"/>
            <w:vAlign w:val="center"/>
          </w:tcPr>
          <w:p>
            <w:pPr>
              <w:jc w:val="center"/>
            </w:pPr>
            <w:r>
              <w:rPr>
                <w:rFonts w:eastAsia="仿宋_GB2312"/>
                <w:szCs w:val="21"/>
              </w:rPr>
              <w:t>m</w:t>
            </w:r>
            <w:r>
              <w:rPr>
                <w:rFonts w:hint="eastAsia" w:eastAsia="仿宋_GB2312"/>
                <w:szCs w:val="21"/>
              </w:rPr>
              <w:t>g/</w:t>
            </w:r>
            <w:r>
              <w:rPr>
                <w:rFonts w:eastAsia="仿宋_GB2312"/>
                <w:szCs w:val="21"/>
              </w:rPr>
              <w:t>kg</w:t>
            </w:r>
          </w:p>
        </w:tc>
        <w:tc>
          <w:tcPr>
            <w:tcW w:w="0" w:type="auto"/>
            <w:vAlign w:val="center"/>
          </w:tcPr>
          <w:p>
            <w:pPr>
              <w:adjustRightInd w:val="0"/>
              <w:snapToGrid w:val="0"/>
              <w:jc w:val="center"/>
              <w:rPr>
                <w:rFonts w:eastAsia="仿宋_GB2312"/>
                <w:szCs w:val="21"/>
              </w:rPr>
            </w:pPr>
            <w:r>
              <w:rPr>
                <w:rFonts w:hint="eastAsia" w:eastAsia="仿宋_GB2312"/>
                <w:szCs w:val="21"/>
              </w:rPr>
              <w:t>0.001</w:t>
            </w:r>
          </w:p>
        </w:tc>
        <w:tc>
          <w:tcPr>
            <w:tcW w:w="942" w:type="dxa"/>
            <w:vAlign w:val="center"/>
          </w:tcPr>
          <w:p>
            <w:pPr>
              <w:adjustRightInd w:val="0"/>
              <w:snapToGrid w:val="0"/>
              <w:jc w:val="center"/>
              <w:rPr>
                <w:rFonts w:eastAsia="仿宋_GB2312"/>
                <w:szCs w:val="21"/>
              </w:rPr>
            </w:pPr>
            <w:r>
              <w:rPr>
                <w:rFonts w:hint="eastAsia" w:eastAsia="仿宋_GB2312"/>
                <w:szCs w:val="21"/>
              </w:rPr>
              <w:t>ND</w:t>
            </w:r>
          </w:p>
        </w:tc>
        <w:tc>
          <w:tcPr>
            <w:tcW w:w="1010" w:type="dxa"/>
            <w:vAlign w:val="center"/>
          </w:tcPr>
          <w:p>
            <w:pPr>
              <w:adjustRightInd w:val="0"/>
              <w:snapToGrid w:val="0"/>
              <w:jc w:val="center"/>
              <w:rPr>
                <w:rFonts w:eastAsia="仿宋_GB2312"/>
                <w:szCs w:val="21"/>
              </w:rPr>
            </w:pPr>
            <w:r>
              <w:rPr>
                <w:rFonts w:hint="eastAsia" w:eastAsia="仿宋_GB2312"/>
                <w:szCs w:val="21"/>
              </w:rPr>
              <w:t>ND</w:t>
            </w:r>
          </w:p>
        </w:tc>
        <w:tc>
          <w:tcPr>
            <w:tcW w:w="1155" w:type="dxa"/>
            <w:vAlign w:val="center"/>
          </w:tcPr>
          <w:p>
            <w:pPr>
              <w:adjustRightInd w:val="0"/>
              <w:snapToGrid w:val="0"/>
              <w:jc w:val="center"/>
              <w:rPr>
                <w:rFonts w:eastAsia="仿宋_GB2312"/>
                <w:szCs w:val="21"/>
              </w:rPr>
            </w:pPr>
            <w:r>
              <w:rPr>
                <w:rFonts w:hint="eastAsia" w:eastAsia="仿宋_GB2312"/>
                <w:szCs w:val="21"/>
              </w:rPr>
              <w:t>ND</w:t>
            </w:r>
          </w:p>
        </w:tc>
        <w:tc>
          <w:tcPr>
            <w:tcW w:w="1056" w:type="dxa"/>
            <w:vAlign w:val="center"/>
          </w:tcPr>
          <w:p>
            <w:pPr>
              <w:jc w:val="center"/>
              <w:rPr>
                <w:rFonts w:eastAsia="仿宋_GB2312"/>
                <w:szCs w:val="21"/>
              </w:rPr>
            </w:pPr>
            <w:r>
              <w:rPr>
                <w:rFonts w:hint="eastAsia" w:eastAsia="仿宋_GB2312"/>
                <w:szCs w:val="21"/>
              </w:rPr>
              <w:t>ND</w:t>
            </w:r>
          </w:p>
        </w:tc>
        <w:tc>
          <w:tcPr>
            <w:tcW w:w="0" w:type="auto"/>
            <w:vAlign w:val="center"/>
          </w:tcPr>
          <w:p>
            <w:pPr>
              <w:adjustRightInd w:val="0"/>
              <w:snapToGrid w:val="0"/>
              <w:jc w:val="center"/>
              <w:rPr>
                <w:rFonts w:eastAsia="仿宋_GB2312"/>
                <w:szCs w:val="21"/>
              </w:rPr>
            </w:pPr>
            <w:r>
              <w:rPr>
                <w:rFonts w:hint="eastAsia" w:eastAsia="仿宋_GB2312"/>
                <w:szCs w:val="21"/>
              </w:rPr>
              <w:t>0.43</w:t>
            </w:r>
          </w:p>
        </w:tc>
        <w:tc>
          <w:tcPr>
            <w:tcW w:w="983" w:type="dxa"/>
            <w:vAlign w:val="center"/>
          </w:tcPr>
          <w:p>
            <w:pPr>
              <w:adjustRightInd w:val="0"/>
              <w:snapToGrid w:val="0"/>
              <w:jc w:val="center"/>
              <w:rPr>
                <w:rFonts w:eastAsia="仿宋_GB2312"/>
                <w:szCs w:val="21"/>
              </w:rPr>
            </w:pPr>
            <w:r>
              <w:rPr>
                <w:rFonts w:hint="eastAsia" w:eastAsia="仿宋_GB2312"/>
                <w:szCs w:val="21"/>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568" w:type="dxa"/>
            <w:vAlign w:val="center"/>
          </w:tcPr>
          <w:p>
            <w:pPr>
              <w:adjustRightInd w:val="0"/>
              <w:snapToGrid w:val="0"/>
              <w:jc w:val="center"/>
              <w:rPr>
                <w:rFonts w:eastAsia="仿宋_GB2312"/>
                <w:bCs/>
                <w:szCs w:val="21"/>
              </w:rPr>
            </w:pPr>
            <w:r>
              <w:rPr>
                <w:rFonts w:hint="eastAsia" w:eastAsia="仿宋_GB2312"/>
                <w:bCs/>
                <w:szCs w:val="21"/>
              </w:rPr>
              <w:t>1,1-二氯乙烯</w:t>
            </w:r>
          </w:p>
        </w:tc>
        <w:tc>
          <w:tcPr>
            <w:tcW w:w="0" w:type="auto"/>
            <w:vAlign w:val="center"/>
          </w:tcPr>
          <w:p>
            <w:pPr>
              <w:jc w:val="center"/>
            </w:pPr>
            <w:r>
              <w:rPr>
                <w:rFonts w:eastAsia="仿宋_GB2312"/>
                <w:szCs w:val="21"/>
              </w:rPr>
              <w:t>m</w:t>
            </w:r>
            <w:r>
              <w:rPr>
                <w:rFonts w:hint="eastAsia" w:eastAsia="仿宋_GB2312"/>
                <w:szCs w:val="21"/>
              </w:rPr>
              <w:t>g/</w:t>
            </w:r>
            <w:r>
              <w:rPr>
                <w:rFonts w:eastAsia="仿宋_GB2312"/>
                <w:szCs w:val="21"/>
              </w:rPr>
              <w:t>kg</w:t>
            </w:r>
          </w:p>
        </w:tc>
        <w:tc>
          <w:tcPr>
            <w:tcW w:w="0" w:type="auto"/>
            <w:vAlign w:val="center"/>
          </w:tcPr>
          <w:p>
            <w:pPr>
              <w:adjustRightInd w:val="0"/>
              <w:snapToGrid w:val="0"/>
              <w:jc w:val="center"/>
              <w:rPr>
                <w:rFonts w:eastAsia="仿宋_GB2312"/>
                <w:szCs w:val="21"/>
              </w:rPr>
            </w:pPr>
            <w:r>
              <w:rPr>
                <w:rFonts w:hint="eastAsia" w:eastAsia="仿宋_GB2312"/>
                <w:szCs w:val="21"/>
              </w:rPr>
              <w:t>0.001</w:t>
            </w:r>
          </w:p>
        </w:tc>
        <w:tc>
          <w:tcPr>
            <w:tcW w:w="942" w:type="dxa"/>
            <w:vAlign w:val="center"/>
          </w:tcPr>
          <w:p>
            <w:pPr>
              <w:adjustRightInd w:val="0"/>
              <w:snapToGrid w:val="0"/>
              <w:jc w:val="center"/>
              <w:rPr>
                <w:rFonts w:eastAsia="仿宋_GB2312"/>
                <w:szCs w:val="21"/>
              </w:rPr>
            </w:pPr>
            <w:r>
              <w:rPr>
                <w:rFonts w:hint="eastAsia" w:eastAsia="仿宋_GB2312"/>
                <w:szCs w:val="21"/>
              </w:rPr>
              <w:t>ND</w:t>
            </w:r>
          </w:p>
        </w:tc>
        <w:tc>
          <w:tcPr>
            <w:tcW w:w="1010" w:type="dxa"/>
            <w:vAlign w:val="center"/>
          </w:tcPr>
          <w:p>
            <w:pPr>
              <w:adjustRightInd w:val="0"/>
              <w:snapToGrid w:val="0"/>
              <w:jc w:val="center"/>
              <w:rPr>
                <w:rFonts w:eastAsia="仿宋_GB2312"/>
                <w:szCs w:val="21"/>
              </w:rPr>
            </w:pPr>
            <w:r>
              <w:rPr>
                <w:rFonts w:hint="eastAsia" w:eastAsia="仿宋_GB2312"/>
                <w:szCs w:val="21"/>
              </w:rPr>
              <w:t>ND</w:t>
            </w:r>
          </w:p>
        </w:tc>
        <w:tc>
          <w:tcPr>
            <w:tcW w:w="1155" w:type="dxa"/>
            <w:vAlign w:val="center"/>
          </w:tcPr>
          <w:p>
            <w:pPr>
              <w:adjustRightInd w:val="0"/>
              <w:snapToGrid w:val="0"/>
              <w:jc w:val="center"/>
              <w:rPr>
                <w:rFonts w:eastAsia="仿宋_GB2312"/>
                <w:szCs w:val="21"/>
              </w:rPr>
            </w:pPr>
            <w:r>
              <w:rPr>
                <w:rFonts w:hint="eastAsia" w:eastAsia="仿宋_GB2312"/>
                <w:szCs w:val="21"/>
              </w:rPr>
              <w:t>ND</w:t>
            </w:r>
          </w:p>
        </w:tc>
        <w:tc>
          <w:tcPr>
            <w:tcW w:w="1056" w:type="dxa"/>
            <w:vAlign w:val="center"/>
          </w:tcPr>
          <w:p>
            <w:pPr>
              <w:jc w:val="center"/>
              <w:rPr>
                <w:rFonts w:eastAsia="仿宋_GB2312"/>
                <w:szCs w:val="21"/>
              </w:rPr>
            </w:pPr>
            <w:r>
              <w:rPr>
                <w:rFonts w:hint="eastAsia" w:eastAsia="仿宋_GB2312"/>
                <w:szCs w:val="21"/>
              </w:rPr>
              <w:t>ND</w:t>
            </w:r>
          </w:p>
        </w:tc>
        <w:tc>
          <w:tcPr>
            <w:tcW w:w="0" w:type="auto"/>
            <w:vAlign w:val="center"/>
          </w:tcPr>
          <w:p>
            <w:pPr>
              <w:adjustRightInd w:val="0"/>
              <w:snapToGrid w:val="0"/>
              <w:jc w:val="center"/>
              <w:rPr>
                <w:rFonts w:eastAsia="仿宋_GB2312"/>
                <w:szCs w:val="21"/>
              </w:rPr>
            </w:pPr>
            <w:r>
              <w:rPr>
                <w:rFonts w:hint="eastAsia" w:eastAsia="仿宋_GB2312"/>
                <w:szCs w:val="21"/>
              </w:rPr>
              <w:t>66</w:t>
            </w:r>
          </w:p>
        </w:tc>
        <w:tc>
          <w:tcPr>
            <w:tcW w:w="983" w:type="dxa"/>
            <w:vAlign w:val="center"/>
          </w:tcPr>
          <w:p>
            <w:pPr>
              <w:adjustRightInd w:val="0"/>
              <w:snapToGrid w:val="0"/>
              <w:jc w:val="center"/>
              <w:rPr>
                <w:rFonts w:eastAsia="仿宋_GB2312"/>
                <w:szCs w:val="21"/>
              </w:rPr>
            </w:pPr>
            <w:r>
              <w:rPr>
                <w:rFonts w:hint="eastAsia" w:eastAsia="仿宋_GB2312"/>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568" w:type="dxa"/>
            <w:vAlign w:val="center"/>
          </w:tcPr>
          <w:p>
            <w:pPr>
              <w:adjustRightInd w:val="0"/>
              <w:snapToGrid w:val="0"/>
              <w:jc w:val="center"/>
              <w:rPr>
                <w:rFonts w:eastAsia="仿宋_GB2312"/>
                <w:bCs/>
                <w:szCs w:val="21"/>
              </w:rPr>
            </w:pPr>
            <w:r>
              <w:rPr>
                <w:rFonts w:hint="eastAsia" w:eastAsia="仿宋_GB2312"/>
                <w:bCs/>
                <w:szCs w:val="21"/>
              </w:rPr>
              <w:t>二氯甲烷</w:t>
            </w:r>
          </w:p>
        </w:tc>
        <w:tc>
          <w:tcPr>
            <w:tcW w:w="0" w:type="auto"/>
            <w:vAlign w:val="center"/>
          </w:tcPr>
          <w:p>
            <w:pPr>
              <w:adjustRightInd w:val="0"/>
              <w:snapToGrid w:val="0"/>
              <w:jc w:val="center"/>
              <w:rPr>
                <w:rFonts w:eastAsia="仿宋_GB2312"/>
                <w:szCs w:val="21"/>
              </w:rPr>
            </w:pPr>
            <w:r>
              <w:rPr>
                <w:rFonts w:eastAsia="仿宋_GB2312"/>
                <w:szCs w:val="21"/>
              </w:rPr>
              <w:t>m</w:t>
            </w:r>
            <w:r>
              <w:rPr>
                <w:rFonts w:hint="eastAsia" w:eastAsia="仿宋_GB2312"/>
                <w:szCs w:val="21"/>
              </w:rPr>
              <w:t>g/</w:t>
            </w:r>
            <w:r>
              <w:rPr>
                <w:rFonts w:eastAsia="仿宋_GB2312"/>
                <w:szCs w:val="21"/>
              </w:rPr>
              <w:t>kg</w:t>
            </w:r>
          </w:p>
        </w:tc>
        <w:tc>
          <w:tcPr>
            <w:tcW w:w="0" w:type="auto"/>
            <w:vAlign w:val="center"/>
          </w:tcPr>
          <w:p>
            <w:pPr>
              <w:adjustRightInd w:val="0"/>
              <w:snapToGrid w:val="0"/>
              <w:jc w:val="center"/>
              <w:rPr>
                <w:rFonts w:eastAsia="仿宋_GB2312"/>
                <w:szCs w:val="21"/>
              </w:rPr>
            </w:pPr>
            <w:r>
              <w:rPr>
                <w:rFonts w:hint="eastAsia" w:eastAsia="仿宋_GB2312"/>
                <w:szCs w:val="21"/>
              </w:rPr>
              <w:t>0.0015</w:t>
            </w:r>
          </w:p>
        </w:tc>
        <w:tc>
          <w:tcPr>
            <w:tcW w:w="942" w:type="dxa"/>
            <w:vAlign w:val="center"/>
          </w:tcPr>
          <w:p>
            <w:pPr>
              <w:adjustRightInd w:val="0"/>
              <w:snapToGrid w:val="0"/>
              <w:jc w:val="center"/>
              <w:rPr>
                <w:rFonts w:eastAsia="仿宋_GB2312"/>
                <w:szCs w:val="21"/>
              </w:rPr>
            </w:pPr>
            <w:r>
              <w:rPr>
                <w:rFonts w:hint="eastAsia" w:eastAsia="仿宋_GB2312"/>
                <w:szCs w:val="21"/>
              </w:rPr>
              <w:t>ND</w:t>
            </w:r>
          </w:p>
        </w:tc>
        <w:tc>
          <w:tcPr>
            <w:tcW w:w="1010" w:type="dxa"/>
            <w:vAlign w:val="center"/>
          </w:tcPr>
          <w:p>
            <w:pPr>
              <w:adjustRightInd w:val="0"/>
              <w:snapToGrid w:val="0"/>
              <w:jc w:val="center"/>
              <w:rPr>
                <w:rFonts w:eastAsia="仿宋_GB2312"/>
                <w:szCs w:val="21"/>
              </w:rPr>
            </w:pPr>
            <w:r>
              <w:rPr>
                <w:rFonts w:hint="eastAsia" w:eastAsia="仿宋_GB2312"/>
                <w:szCs w:val="21"/>
              </w:rPr>
              <w:t>ND</w:t>
            </w:r>
          </w:p>
        </w:tc>
        <w:tc>
          <w:tcPr>
            <w:tcW w:w="1155" w:type="dxa"/>
            <w:vAlign w:val="center"/>
          </w:tcPr>
          <w:p>
            <w:pPr>
              <w:adjustRightInd w:val="0"/>
              <w:snapToGrid w:val="0"/>
              <w:jc w:val="center"/>
              <w:rPr>
                <w:rFonts w:eastAsia="仿宋_GB2312"/>
                <w:szCs w:val="21"/>
              </w:rPr>
            </w:pPr>
            <w:r>
              <w:rPr>
                <w:rFonts w:hint="eastAsia" w:eastAsia="仿宋_GB2312"/>
                <w:szCs w:val="21"/>
              </w:rPr>
              <w:t>ND</w:t>
            </w:r>
          </w:p>
        </w:tc>
        <w:tc>
          <w:tcPr>
            <w:tcW w:w="1056" w:type="dxa"/>
            <w:vAlign w:val="center"/>
          </w:tcPr>
          <w:p>
            <w:pPr>
              <w:jc w:val="center"/>
              <w:rPr>
                <w:rFonts w:eastAsia="仿宋_GB2312"/>
                <w:szCs w:val="21"/>
              </w:rPr>
            </w:pPr>
            <w:r>
              <w:rPr>
                <w:rFonts w:hint="eastAsia" w:eastAsia="仿宋_GB2312"/>
                <w:szCs w:val="21"/>
              </w:rPr>
              <w:t>ND</w:t>
            </w:r>
          </w:p>
        </w:tc>
        <w:tc>
          <w:tcPr>
            <w:tcW w:w="0" w:type="auto"/>
            <w:vAlign w:val="center"/>
          </w:tcPr>
          <w:p>
            <w:pPr>
              <w:adjustRightInd w:val="0"/>
              <w:snapToGrid w:val="0"/>
              <w:jc w:val="center"/>
              <w:rPr>
                <w:rFonts w:eastAsia="仿宋_GB2312"/>
                <w:szCs w:val="21"/>
              </w:rPr>
            </w:pPr>
            <w:r>
              <w:rPr>
                <w:rFonts w:hint="eastAsia" w:eastAsia="仿宋_GB2312"/>
                <w:szCs w:val="21"/>
              </w:rPr>
              <w:t>616</w:t>
            </w:r>
          </w:p>
        </w:tc>
        <w:tc>
          <w:tcPr>
            <w:tcW w:w="983" w:type="dxa"/>
            <w:vAlign w:val="center"/>
          </w:tcPr>
          <w:p>
            <w:pPr>
              <w:adjustRightInd w:val="0"/>
              <w:snapToGrid w:val="0"/>
              <w:jc w:val="center"/>
              <w:rPr>
                <w:rFonts w:eastAsia="仿宋_GB2312"/>
                <w:szCs w:val="21"/>
              </w:rPr>
            </w:pPr>
            <w:r>
              <w:rPr>
                <w:rFonts w:hint="eastAsia" w:eastAsia="仿宋_GB2312"/>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568" w:type="dxa"/>
            <w:vAlign w:val="center"/>
          </w:tcPr>
          <w:p>
            <w:pPr>
              <w:adjustRightInd w:val="0"/>
              <w:snapToGrid w:val="0"/>
              <w:jc w:val="center"/>
              <w:rPr>
                <w:rFonts w:eastAsia="仿宋_GB2312"/>
                <w:bCs/>
                <w:szCs w:val="21"/>
              </w:rPr>
            </w:pPr>
            <w:r>
              <w:rPr>
                <w:rFonts w:hint="eastAsia" w:eastAsia="仿宋_GB2312"/>
                <w:bCs/>
                <w:szCs w:val="21"/>
              </w:rPr>
              <w:t>反-1,2-二氯乙烯</w:t>
            </w:r>
          </w:p>
        </w:tc>
        <w:tc>
          <w:tcPr>
            <w:tcW w:w="0" w:type="auto"/>
            <w:vAlign w:val="center"/>
          </w:tcPr>
          <w:p>
            <w:pPr>
              <w:adjustRightInd w:val="0"/>
              <w:snapToGrid w:val="0"/>
              <w:jc w:val="center"/>
              <w:rPr>
                <w:rFonts w:eastAsia="仿宋_GB2312"/>
                <w:szCs w:val="21"/>
              </w:rPr>
            </w:pPr>
            <w:r>
              <w:rPr>
                <w:rFonts w:eastAsia="仿宋_GB2312"/>
                <w:szCs w:val="21"/>
              </w:rPr>
              <w:t>m</w:t>
            </w:r>
            <w:r>
              <w:rPr>
                <w:rFonts w:hint="eastAsia" w:eastAsia="仿宋_GB2312"/>
                <w:szCs w:val="21"/>
              </w:rPr>
              <w:t>g/</w:t>
            </w:r>
            <w:r>
              <w:rPr>
                <w:rFonts w:eastAsia="仿宋_GB2312"/>
                <w:szCs w:val="21"/>
              </w:rPr>
              <w:t>kg</w:t>
            </w:r>
          </w:p>
        </w:tc>
        <w:tc>
          <w:tcPr>
            <w:tcW w:w="0" w:type="auto"/>
            <w:vAlign w:val="center"/>
          </w:tcPr>
          <w:p>
            <w:pPr>
              <w:adjustRightInd w:val="0"/>
              <w:snapToGrid w:val="0"/>
              <w:jc w:val="center"/>
              <w:rPr>
                <w:rFonts w:eastAsia="仿宋_GB2312"/>
                <w:szCs w:val="21"/>
              </w:rPr>
            </w:pPr>
            <w:r>
              <w:rPr>
                <w:rFonts w:hint="eastAsia" w:eastAsia="仿宋_GB2312"/>
                <w:szCs w:val="21"/>
              </w:rPr>
              <w:t>0.0014</w:t>
            </w:r>
          </w:p>
        </w:tc>
        <w:tc>
          <w:tcPr>
            <w:tcW w:w="942" w:type="dxa"/>
            <w:vAlign w:val="center"/>
          </w:tcPr>
          <w:p>
            <w:pPr>
              <w:adjustRightInd w:val="0"/>
              <w:snapToGrid w:val="0"/>
              <w:jc w:val="center"/>
              <w:rPr>
                <w:rFonts w:eastAsia="仿宋_GB2312"/>
                <w:szCs w:val="21"/>
              </w:rPr>
            </w:pPr>
            <w:r>
              <w:rPr>
                <w:rFonts w:hint="eastAsia" w:eastAsia="仿宋_GB2312"/>
                <w:szCs w:val="21"/>
              </w:rPr>
              <w:t>ND</w:t>
            </w:r>
          </w:p>
        </w:tc>
        <w:tc>
          <w:tcPr>
            <w:tcW w:w="1010" w:type="dxa"/>
            <w:vAlign w:val="center"/>
          </w:tcPr>
          <w:p>
            <w:pPr>
              <w:adjustRightInd w:val="0"/>
              <w:snapToGrid w:val="0"/>
              <w:jc w:val="center"/>
              <w:rPr>
                <w:rFonts w:eastAsia="仿宋_GB2312"/>
                <w:szCs w:val="21"/>
              </w:rPr>
            </w:pPr>
            <w:r>
              <w:rPr>
                <w:rFonts w:hint="eastAsia" w:eastAsia="仿宋_GB2312"/>
                <w:szCs w:val="21"/>
              </w:rPr>
              <w:t>ND</w:t>
            </w:r>
          </w:p>
        </w:tc>
        <w:tc>
          <w:tcPr>
            <w:tcW w:w="1155" w:type="dxa"/>
            <w:vAlign w:val="center"/>
          </w:tcPr>
          <w:p>
            <w:pPr>
              <w:adjustRightInd w:val="0"/>
              <w:snapToGrid w:val="0"/>
              <w:jc w:val="center"/>
              <w:rPr>
                <w:rFonts w:eastAsia="仿宋_GB2312"/>
                <w:szCs w:val="21"/>
              </w:rPr>
            </w:pPr>
            <w:r>
              <w:rPr>
                <w:rFonts w:hint="eastAsia" w:eastAsia="仿宋_GB2312"/>
                <w:szCs w:val="21"/>
              </w:rPr>
              <w:t>ND</w:t>
            </w:r>
          </w:p>
        </w:tc>
        <w:tc>
          <w:tcPr>
            <w:tcW w:w="1056" w:type="dxa"/>
            <w:vAlign w:val="center"/>
          </w:tcPr>
          <w:p>
            <w:pPr>
              <w:jc w:val="center"/>
              <w:rPr>
                <w:rFonts w:eastAsia="仿宋_GB2312"/>
                <w:szCs w:val="21"/>
              </w:rPr>
            </w:pPr>
            <w:r>
              <w:rPr>
                <w:rFonts w:hint="eastAsia" w:eastAsia="仿宋_GB2312"/>
                <w:szCs w:val="21"/>
              </w:rPr>
              <w:t>ND</w:t>
            </w:r>
          </w:p>
        </w:tc>
        <w:tc>
          <w:tcPr>
            <w:tcW w:w="0" w:type="auto"/>
            <w:vAlign w:val="center"/>
          </w:tcPr>
          <w:p>
            <w:pPr>
              <w:adjustRightInd w:val="0"/>
              <w:snapToGrid w:val="0"/>
              <w:jc w:val="center"/>
              <w:rPr>
                <w:rFonts w:eastAsia="仿宋_GB2312"/>
                <w:szCs w:val="21"/>
              </w:rPr>
            </w:pPr>
            <w:r>
              <w:rPr>
                <w:rFonts w:hint="eastAsia" w:eastAsia="仿宋_GB2312"/>
                <w:szCs w:val="21"/>
              </w:rPr>
              <w:t>54</w:t>
            </w:r>
          </w:p>
        </w:tc>
        <w:tc>
          <w:tcPr>
            <w:tcW w:w="983" w:type="dxa"/>
            <w:vAlign w:val="center"/>
          </w:tcPr>
          <w:p>
            <w:pPr>
              <w:adjustRightInd w:val="0"/>
              <w:snapToGrid w:val="0"/>
              <w:jc w:val="center"/>
              <w:rPr>
                <w:rFonts w:eastAsia="仿宋_GB2312"/>
                <w:szCs w:val="21"/>
              </w:rPr>
            </w:pPr>
            <w:r>
              <w:rPr>
                <w:rFonts w:hint="eastAsia" w:eastAsia="仿宋_GB2312"/>
                <w:szCs w:val="21"/>
              </w:rPr>
              <w:t>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568" w:type="dxa"/>
            <w:vAlign w:val="center"/>
          </w:tcPr>
          <w:p>
            <w:pPr>
              <w:adjustRightInd w:val="0"/>
              <w:snapToGrid w:val="0"/>
              <w:jc w:val="center"/>
              <w:rPr>
                <w:rFonts w:eastAsia="仿宋_GB2312"/>
                <w:bCs/>
                <w:szCs w:val="21"/>
              </w:rPr>
            </w:pPr>
            <w:r>
              <w:rPr>
                <w:rFonts w:hint="eastAsia" w:eastAsia="仿宋_GB2312"/>
                <w:bCs/>
                <w:szCs w:val="21"/>
              </w:rPr>
              <w:t>1,1-二氯乙烷</w:t>
            </w:r>
          </w:p>
        </w:tc>
        <w:tc>
          <w:tcPr>
            <w:tcW w:w="0" w:type="auto"/>
            <w:vAlign w:val="center"/>
          </w:tcPr>
          <w:p>
            <w:pPr>
              <w:adjustRightInd w:val="0"/>
              <w:snapToGrid w:val="0"/>
              <w:jc w:val="center"/>
              <w:rPr>
                <w:rFonts w:eastAsia="仿宋_GB2312"/>
                <w:szCs w:val="21"/>
              </w:rPr>
            </w:pPr>
            <w:r>
              <w:rPr>
                <w:rFonts w:eastAsia="仿宋_GB2312"/>
                <w:szCs w:val="21"/>
              </w:rPr>
              <w:t>m</w:t>
            </w:r>
            <w:r>
              <w:rPr>
                <w:rFonts w:hint="eastAsia" w:eastAsia="仿宋_GB2312"/>
                <w:szCs w:val="21"/>
              </w:rPr>
              <w:t>g/</w:t>
            </w:r>
            <w:r>
              <w:rPr>
                <w:rFonts w:eastAsia="仿宋_GB2312"/>
                <w:szCs w:val="21"/>
              </w:rPr>
              <w:t>kg</w:t>
            </w:r>
          </w:p>
        </w:tc>
        <w:tc>
          <w:tcPr>
            <w:tcW w:w="0" w:type="auto"/>
            <w:vAlign w:val="center"/>
          </w:tcPr>
          <w:p>
            <w:pPr>
              <w:adjustRightInd w:val="0"/>
              <w:snapToGrid w:val="0"/>
              <w:jc w:val="center"/>
              <w:rPr>
                <w:rFonts w:eastAsia="仿宋_GB2312"/>
                <w:szCs w:val="21"/>
              </w:rPr>
            </w:pPr>
            <w:r>
              <w:rPr>
                <w:rFonts w:hint="eastAsia" w:eastAsia="仿宋_GB2312"/>
                <w:szCs w:val="21"/>
              </w:rPr>
              <w:t>0.0012</w:t>
            </w:r>
          </w:p>
        </w:tc>
        <w:tc>
          <w:tcPr>
            <w:tcW w:w="942" w:type="dxa"/>
            <w:vAlign w:val="center"/>
          </w:tcPr>
          <w:p>
            <w:pPr>
              <w:adjustRightInd w:val="0"/>
              <w:snapToGrid w:val="0"/>
              <w:jc w:val="center"/>
              <w:rPr>
                <w:rFonts w:eastAsia="仿宋_GB2312"/>
                <w:szCs w:val="21"/>
              </w:rPr>
            </w:pPr>
            <w:r>
              <w:rPr>
                <w:rFonts w:hint="eastAsia" w:eastAsia="仿宋_GB2312"/>
                <w:szCs w:val="21"/>
              </w:rPr>
              <w:t>ND</w:t>
            </w:r>
          </w:p>
        </w:tc>
        <w:tc>
          <w:tcPr>
            <w:tcW w:w="1010" w:type="dxa"/>
            <w:vAlign w:val="center"/>
          </w:tcPr>
          <w:p>
            <w:pPr>
              <w:adjustRightInd w:val="0"/>
              <w:snapToGrid w:val="0"/>
              <w:jc w:val="center"/>
              <w:rPr>
                <w:rFonts w:eastAsia="仿宋_GB2312"/>
                <w:szCs w:val="21"/>
              </w:rPr>
            </w:pPr>
            <w:r>
              <w:rPr>
                <w:rFonts w:hint="eastAsia" w:eastAsia="仿宋_GB2312"/>
                <w:szCs w:val="21"/>
              </w:rPr>
              <w:t>ND</w:t>
            </w:r>
          </w:p>
        </w:tc>
        <w:tc>
          <w:tcPr>
            <w:tcW w:w="1155" w:type="dxa"/>
            <w:vAlign w:val="center"/>
          </w:tcPr>
          <w:p>
            <w:pPr>
              <w:adjustRightInd w:val="0"/>
              <w:snapToGrid w:val="0"/>
              <w:jc w:val="center"/>
              <w:rPr>
                <w:rFonts w:eastAsia="仿宋_GB2312"/>
                <w:szCs w:val="21"/>
              </w:rPr>
            </w:pPr>
            <w:r>
              <w:rPr>
                <w:rFonts w:hint="eastAsia" w:eastAsia="仿宋_GB2312"/>
                <w:szCs w:val="21"/>
              </w:rPr>
              <w:t>ND</w:t>
            </w:r>
          </w:p>
        </w:tc>
        <w:tc>
          <w:tcPr>
            <w:tcW w:w="1056" w:type="dxa"/>
            <w:vAlign w:val="center"/>
          </w:tcPr>
          <w:p>
            <w:pPr>
              <w:jc w:val="center"/>
              <w:rPr>
                <w:rFonts w:eastAsia="仿宋_GB2312"/>
                <w:szCs w:val="21"/>
              </w:rPr>
            </w:pPr>
            <w:r>
              <w:rPr>
                <w:rFonts w:hint="eastAsia" w:eastAsia="仿宋_GB2312"/>
                <w:szCs w:val="21"/>
              </w:rPr>
              <w:t>ND</w:t>
            </w:r>
          </w:p>
        </w:tc>
        <w:tc>
          <w:tcPr>
            <w:tcW w:w="0" w:type="auto"/>
            <w:vAlign w:val="center"/>
          </w:tcPr>
          <w:p>
            <w:pPr>
              <w:adjustRightInd w:val="0"/>
              <w:snapToGrid w:val="0"/>
              <w:jc w:val="center"/>
              <w:rPr>
                <w:rFonts w:eastAsia="仿宋_GB2312"/>
                <w:szCs w:val="21"/>
              </w:rPr>
            </w:pPr>
            <w:r>
              <w:rPr>
                <w:rFonts w:hint="eastAsia" w:eastAsia="仿宋_GB2312"/>
                <w:szCs w:val="21"/>
              </w:rPr>
              <w:t>9</w:t>
            </w:r>
          </w:p>
        </w:tc>
        <w:tc>
          <w:tcPr>
            <w:tcW w:w="983" w:type="dxa"/>
            <w:vAlign w:val="center"/>
          </w:tcPr>
          <w:p>
            <w:pPr>
              <w:adjustRightInd w:val="0"/>
              <w:snapToGrid w:val="0"/>
              <w:jc w:val="center"/>
              <w:rPr>
                <w:rFonts w:eastAsia="仿宋_GB2312"/>
                <w:szCs w:val="21"/>
              </w:rPr>
            </w:pPr>
            <w:r>
              <w:rPr>
                <w:rFonts w:hint="eastAsia" w:eastAsia="仿宋_GB2312"/>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568" w:type="dxa"/>
            <w:vAlign w:val="center"/>
          </w:tcPr>
          <w:p>
            <w:pPr>
              <w:adjustRightInd w:val="0"/>
              <w:snapToGrid w:val="0"/>
              <w:jc w:val="center"/>
              <w:rPr>
                <w:rFonts w:eastAsia="仿宋_GB2312"/>
                <w:bCs/>
                <w:szCs w:val="21"/>
              </w:rPr>
            </w:pPr>
            <w:r>
              <w:rPr>
                <w:rFonts w:hint="eastAsia" w:eastAsia="仿宋_GB2312"/>
                <w:bCs/>
                <w:szCs w:val="21"/>
              </w:rPr>
              <w:t>顺-1,2-二氯乙烯</w:t>
            </w:r>
          </w:p>
        </w:tc>
        <w:tc>
          <w:tcPr>
            <w:tcW w:w="0" w:type="auto"/>
            <w:vAlign w:val="center"/>
          </w:tcPr>
          <w:p>
            <w:pPr>
              <w:adjustRightInd w:val="0"/>
              <w:snapToGrid w:val="0"/>
              <w:jc w:val="center"/>
              <w:rPr>
                <w:rFonts w:eastAsia="仿宋_GB2312"/>
                <w:szCs w:val="21"/>
              </w:rPr>
            </w:pPr>
            <w:r>
              <w:rPr>
                <w:rFonts w:eastAsia="仿宋_GB2312"/>
                <w:szCs w:val="21"/>
              </w:rPr>
              <w:t>m</w:t>
            </w:r>
            <w:r>
              <w:rPr>
                <w:rFonts w:hint="eastAsia" w:eastAsia="仿宋_GB2312"/>
                <w:szCs w:val="21"/>
              </w:rPr>
              <w:t>g/</w:t>
            </w:r>
            <w:r>
              <w:rPr>
                <w:rFonts w:eastAsia="仿宋_GB2312"/>
                <w:szCs w:val="21"/>
              </w:rPr>
              <w:t>kg</w:t>
            </w:r>
          </w:p>
        </w:tc>
        <w:tc>
          <w:tcPr>
            <w:tcW w:w="0" w:type="auto"/>
            <w:vAlign w:val="center"/>
          </w:tcPr>
          <w:p>
            <w:pPr>
              <w:adjustRightInd w:val="0"/>
              <w:snapToGrid w:val="0"/>
              <w:jc w:val="center"/>
              <w:rPr>
                <w:rFonts w:eastAsia="仿宋_GB2312"/>
                <w:szCs w:val="21"/>
              </w:rPr>
            </w:pPr>
            <w:r>
              <w:rPr>
                <w:rFonts w:hint="eastAsia" w:eastAsia="仿宋_GB2312"/>
                <w:szCs w:val="21"/>
              </w:rPr>
              <w:t>0.0013</w:t>
            </w:r>
          </w:p>
        </w:tc>
        <w:tc>
          <w:tcPr>
            <w:tcW w:w="942" w:type="dxa"/>
            <w:vAlign w:val="center"/>
          </w:tcPr>
          <w:p>
            <w:pPr>
              <w:adjustRightInd w:val="0"/>
              <w:snapToGrid w:val="0"/>
              <w:jc w:val="center"/>
              <w:rPr>
                <w:rFonts w:eastAsia="仿宋_GB2312"/>
                <w:szCs w:val="21"/>
              </w:rPr>
            </w:pPr>
            <w:r>
              <w:rPr>
                <w:rFonts w:hint="eastAsia" w:eastAsia="仿宋_GB2312"/>
                <w:szCs w:val="21"/>
              </w:rPr>
              <w:t>ND</w:t>
            </w:r>
          </w:p>
        </w:tc>
        <w:tc>
          <w:tcPr>
            <w:tcW w:w="1010" w:type="dxa"/>
            <w:vAlign w:val="center"/>
          </w:tcPr>
          <w:p>
            <w:pPr>
              <w:adjustRightInd w:val="0"/>
              <w:snapToGrid w:val="0"/>
              <w:jc w:val="center"/>
              <w:rPr>
                <w:rFonts w:eastAsia="仿宋_GB2312"/>
                <w:szCs w:val="21"/>
              </w:rPr>
            </w:pPr>
            <w:r>
              <w:rPr>
                <w:rFonts w:hint="eastAsia" w:eastAsia="仿宋_GB2312"/>
                <w:szCs w:val="21"/>
              </w:rPr>
              <w:t>ND</w:t>
            </w:r>
          </w:p>
        </w:tc>
        <w:tc>
          <w:tcPr>
            <w:tcW w:w="1155" w:type="dxa"/>
            <w:vAlign w:val="center"/>
          </w:tcPr>
          <w:p>
            <w:pPr>
              <w:adjustRightInd w:val="0"/>
              <w:snapToGrid w:val="0"/>
              <w:jc w:val="center"/>
              <w:rPr>
                <w:rFonts w:eastAsia="仿宋_GB2312"/>
                <w:szCs w:val="21"/>
              </w:rPr>
            </w:pPr>
            <w:r>
              <w:rPr>
                <w:rFonts w:hint="eastAsia" w:eastAsia="仿宋_GB2312"/>
                <w:szCs w:val="21"/>
              </w:rPr>
              <w:t>ND</w:t>
            </w:r>
          </w:p>
        </w:tc>
        <w:tc>
          <w:tcPr>
            <w:tcW w:w="1056" w:type="dxa"/>
            <w:vAlign w:val="center"/>
          </w:tcPr>
          <w:p>
            <w:pPr>
              <w:jc w:val="center"/>
              <w:rPr>
                <w:rFonts w:eastAsia="仿宋_GB2312"/>
                <w:szCs w:val="21"/>
              </w:rPr>
            </w:pPr>
            <w:r>
              <w:rPr>
                <w:rFonts w:hint="eastAsia" w:eastAsia="仿宋_GB2312"/>
                <w:szCs w:val="21"/>
              </w:rPr>
              <w:t>ND</w:t>
            </w:r>
          </w:p>
        </w:tc>
        <w:tc>
          <w:tcPr>
            <w:tcW w:w="0" w:type="auto"/>
            <w:vAlign w:val="center"/>
          </w:tcPr>
          <w:p>
            <w:pPr>
              <w:adjustRightInd w:val="0"/>
              <w:snapToGrid w:val="0"/>
              <w:jc w:val="center"/>
              <w:rPr>
                <w:rFonts w:eastAsia="仿宋_GB2312"/>
                <w:szCs w:val="21"/>
              </w:rPr>
            </w:pPr>
            <w:r>
              <w:rPr>
                <w:rFonts w:hint="eastAsia" w:eastAsia="仿宋_GB2312"/>
                <w:szCs w:val="21"/>
              </w:rPr>
              <w:t>596</w:t>
            </w:r>
          </w:p>
        </w:tc>
        <w:tc>
          <w:tcPr>
            <w:tcW w:w="983" w:type="dxa"/>
            <w:vAlign w:val="center"/>
          </w:tcPr>
          <w:p>
            <w:pPr>
              <w:adjustRightInd w:val="0"/>
              <w:snapToGrid w:val="0"/>
              <w:jc w:val="center"/>
              <w:rPr>
                <w:rFonts w:eastAsia="仿宋_GB2312"/>
                <w:szCs w:val="21"/>
              </w:rPr>
            </w:pPr>
            <w:r>
              <w:rPr>
                <w:rFonts w:hint="eastAsia" w:eastAsia="仿宋_GB2312"/>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568" w:type="dxa"/>
            <w:vAlign w:val="center"/>
          </w:tcPr>
          <w:p>
            <w:pPr>
              <w:adjustRightInd w:val="0"/>
              <w:snapToGrid w:val="0"/>
              <w:jc w:val="center"/>
              <w:rPr>
                <w:rFonts w:eastAsia="仿宋_GB2312"/>
                <w:bCs/>
                <w:szCs w:val="21"/>
              </w:rPr>
            </w:pPr>
            <w:r>
              <w:rPr>
                <w:rFonts w:hint="eastAsia" w:eastAsia="仿宋_GB2312"/>
                <w:bCs/>
                <w:szCs w:val="21"/>
              </w:rPr>
              <w:t>氯仿</w:t>
            </w:r>
          </w:p>
        </w:tc>
        <w:tc>
          <w:tcPr>
            <w:tcW w:w="0" w:type="auto"/>
            <w:vAlign w:val="center"/>
          </w:tcPr>
          <w:p>
            <w:pPr>
              <w:adjustRightInd w:val="0"/>
              <w:snapToGrid w:val="0"/>
              <w:jc w:val="center"/>
              <w:rPr>
                <w:rFonts w:eastAsia="仿宋_GB2312"/>
                <w:szCs w:val="21"/>
              </w:rPr>
            </w:pPr>
            <w:r>
              <w:rPr>
                <w:rFonts w:eastAsia="仿宋_GB2312"/>
                <w:szCs w:val="21"/>
              </w:rPr>
              <w:t>m</w:t>
            </w:r>
            <w:r>
              <w:rPr>
                <w:rFonts w:hint="eastAsia" w:eastAsia="仿宋_GB2312"/>
                <w:szCs w:val="21"/>
              </w:rPr>
              <w:t>g/</w:t>
            </w:r>
            <w:r>
              <w:rPr>
                <w:rFonts w:eastAsia="仿宋_GB2312"/>
                <w:szCs w:val="21"/>
              </w:rPr>
              <w:t>kg</w:t>
            </w:r>
          </w:p>
        </w:tc>
        <w:tc>
          <w:tcPr>
            <w:tcW w:w="0" w:type="auto"/>
            <w:vAlign w:val="center"/>
          </w:tcPr>
          <w:p>
            <w:pPr>
              <w:adjustRightInd w:val="0"/>
              <w:snapToGrid w:val="0"/>
              <w:jc w:val="center"/>
              <w:rPr>
                <w:rFonts w:eastAsia="仿宋_GB2312"/>
                <w:szCs w:val="21"/>
              </w:rPr>
            </w:pPr>
            <w:r>
              <w:rPr>
                <w:rFonts w:hint="eastAsia" w:eastAsia="仿宋_GB2312"/>
                <w:szCs w:val="21"/>
              </w:rPr>
              <w:t>0.0011</w:t>
            </w:r>
          </w:p>
        </w:tc>
        <w:tc>
          <w:tcPr>
            <w:tcW w:w="942" w:type="dxa"/>
            <w:vAlign w:val="center"/>
          </w:tcPr>
          <w:p>
            <w:pPr>
              <w:adjustRightInd w:val="0"/>
              <w:snapToGrid w:val="0"/>
              <w:jc w:val="center"/>
              <w:rPr>
                <w:rFonts w:eastAsia="仿宋_GB2312"/>
                <w:szCs w:val="21"/>
              </w:rPr>
            </w:pPr>
            <w:r>
              <w:rPr>
                <w:rFonts w:hint="eastAsia" w:eastAsia="仿宋_GB2312"/>
                <w:szCs w:val="21"/>
              </w:rPr>
              <w:t>ND</w:t>
            </w:r>
          </w:p>
        </w:tc>
        <w:tc>
          <w:tcPr>
            <w:tcW w:w="1010" w:type="dxa"/>
            <w:vAlign w:val="center"/>
          </w:tcPr>
          <w:p>
            <w:pPr>
              <w:adjustRightInd w:val="0"/>
              <w:snapToGrid w:val="0"/>
              <w:jc w:val="center"/>
              <w:rPr>
                <w:rFonts w:eastAsia="仿宋_GB2312"/>
                <w:szCs w:val="21"/>
              </w:rPr>
            </w:pPr>
            <w:r>
              <w:rPr>
                <w:rFonts w:hint="eastAsia" w:eastAsia="仿宋_GB2312"/>
                <w:szCs w:val="21"/>
              </w:rPr>
              <w:t>ND</w:t>
            </w:r>
          </w:p>
        </w:tc>
        <w:tc>
          <w:tcPr>
            <w:tcW w:w="1155" w:type="dxa"/>
            <w:vAlign w:val="center"/>
          </w:tcPr>
          <w:p>
            <w:pPr>
              <w:adjustRightInd w:val="0"/>
              <w:snapToGrid w:val="0"/>
              <w:jc w:val="center"/>
              <w:rPr>
                <w:rFonts w:eastAsia="仿宋_GB2312"/>
                <w:szCs w:val="21"/>
              </w:rPr>
            </w:pPr>
            <w:r>
              <w:rPr>
                <w:rFonts w:hint="eastAsia" w:eastAsia="仿宋_GB2312"/>
                <w:szCs w:val="21"/>
              </w:rPr>
              <w:t>ND</w:t>
            </w:r>
          </w:p>
        </w:tc>
        <w:tc>
          <w:tcPr>
            <w:tcW w:w="1056" w:type="dxa"/>
            <w:vAlign w:val="center"/>
          </w:tcPr>
          <w:p>
            <w:pPr>
              <w:jc w:val="center"/>
              <w:rPr>
                <w:rFonts w:eastAsia="仿宋_GB2312"/>
                <w:szCs w:val="21"/>
              </w:rPr>
            </w:pPr>
            <w:r>
              <w:rPr>
                <w:rFonts w:hint="eastAsia" w:eastAsia="仿宋_GB2312"/>
                <w:szCs w:val="21"/>
              </w:rPr>
              <w:t>ND</w:t>
            </w:r>
          </w:p>
        </w:tc>
        <w:tc>
          <w:tcPr>
            <w:tcW w:w="0" w:type="auto"/>
            <w:vAlign w:val="center"/>
          </w:tcPr>
          <w:p>
            <w:pPr>
              <w:adjustRightInd w:val="0"/>
              <w:snapToGrid w:val="0"/>
              <w:jc w:val="center"/>
              <w:rPr>
                <w:rFonts w:eastAsia="仿宋_GB2312"/>
                <w:szCs w:val="21"/>
              </w:rPr>
            </w:pPr>
            <w:r>
              <w:rPr>
                <w:rFonts w:hint="eastAsia" w:eastAsia="仿宋_GB2312"/>
                <w:szCs w:val="21"/>
              </w:rPr>
              <w:t>0.9</w:t>
            </w:r>
          </w:p>
        </w:tc>
        <w:tc>
          <w:tcPr>
            <w:tcW w:w="983" w:type="dxa"/>
            <w:vAlign w:val="center"/>
          </w:tcPr>
          <w:p>
            <w:pPr>
              <w:adjustRightInd w:val="0"/>
              <w:snapToGrid w:val="0"/>
              <w:jc w:val="center"/>
              <w:rPr>
                <w:rFonts w:eastAsia="仿宋_GB2312"/>
                <w:szCs w:val="21"/>
              </w:rPr>
            </w:pPr>
            <w:r>
              <w:rPr>
                <w:rFonts w:hint="eastAsia" w:eastAsia="仿宋_GB2312"/>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568" w:type="dxa"/>
            <w:vAlign w:val="center"/>
          </w:tcPr>
          <w:p>
            <w:pPr>
              <w:adjustRightInd w:val="0"/>
              <w:snapToGrid w:val="0"/>
              <w:jc w:val="center"/>
              <w:rPr>
                <w:rFonts w:eastAsia="仿宋_GB2312"/>
                <w:bCs/>
                <w:szCs w:val="21"/>
              </w:rPr>
            </w:pPr>
            <w:r>
              <w:rPr>
                <w:rFonts w:hint="eastAsia" w:eastAsia="仿宋_GB2312"/>
                <w:bCs/>
                <w:szCs w:val="21"/>
              </w:rPr>
              <w:t>1,1,1-三氯乙烷</w:t>
            </w:r>
          </w:p>
        </w:tc>
        <w:tc>
          <w:tcPr>
            <w:tcW w:w="0" w:type="auto"/>
            <w:vAlign w:val="center"/>
          </w:tcPr>
          <w:p>
            <w:pPr>
              <w:adjustRightInd w:val="0"/>
              <w:snapToGrid w:val="0"/>
              <w:jc w:val="center"/>
              <w:rPr>
                <w:rFonts w:eastAsia="仿宋_GB2312"/>
                <w:szCs w:val="21"/>
              </w:rPr>
            </w:pPr>
            <w:r>
              <w:rPr>
                <w:rFonts w:eastAsia="仿宋_GB2312"/>
                <w:szCs w:val="21"/>
              </w:rPr>
              <w:t>m</w:t>
            </w:r>
            <w:r>
              <w:rPr>
                <w:rFonts w:hint="eastAsia" w:eastAsia="仿宋_GB2312"/>
                <w:szCs w:val="21"/>
              </w:rPr>
              <w:t>g/</w:t>
            </w:r>
            <w:r>
              <w:rPr>
                <w:rFonts w:eastAsia="仿宋_GB2312"/>
                <w:szCs w:val="21"/>
              </w:rPr>
              <w:t>kg</w:t>
            </w:r>
          </w:p>
        </w:tc>
        <w:tc>
          <w:tcPr>
            <w:tcW w:w="0" w:type="auto"/>
            <w:vAlign w:val="center"/>
          </w:tcPr>
          <w:p>
            <w:pPr>
              <w:adjustRightInd w:val="0"/>
              <w:snapToGrid w:val="0"/>
              <w:jc w:val="center"/>
              <w:rPr>
                <w:rFonts w:eastAsia="仿宋_GB2312"/>
                <w:szCs w:val="21"/>
              </w:rPr>
            </w:pPr>
            <w:r>
              <w:rPr>
                <w:rFonts w:hint="eastAsia" w:eastAsia="仿宋_GB2312"/>
                <w:szCs w:val="21"/>
              </w:rPr>
              <w:t>0.0013</w:t>
            </w:r>
          </w:p>
        </w:tc>
        <w:tc>
          <w:tcPr>
            <w:tcW w:w="942" w:type="dxa"/>
            <w:vAlign w:val="center"/>
          </w:tcPr>
          <w:p>
            <w:pPr>
              <w:adjustRightInd w:val="0"/>
              <w:snapToGrid w:val="0"/>
              <w:jc w:val="center"/>
              <w:rPr>
                <w:rFonts w:eastAsia="仿宋_GB2312"/>
                <w:szCs w:val="21"/>
              </w:rPr>
            </w:pPr>
            <w:r>
              <w:rPr>
                <w:rFonts w:hint="eastAsia" w:eastAsia="仿宋_GB2312"/>
                <w:szCs w:val="21"/>
              </w:rPr>
              <w:t>ND</w:t>
            </w:r>
          </w:p>
        </w:tc>
        <w:tc>
          <w:tcPr>
            <w:tcW w:w="1010" w:type="dxa"/>
            <w:vAlign w:val="center"/>
          </w:tcPr>
          <w:p>
            <w:pPr>
              <w:adjustRightInd w:val="0"/>
              <w:snapToGrid w:val="0"/>
              <w:jc w:val="center"/>
              <w:rPr>
                <w:rFonts w:eastAsia="仿宋_GB2312"/>
                <w:szCs w:val="21"/>
              </w:rPr>
            </w:pPr>
            <w:r>
              <w:rPr>
                <w:rFonts w:hint="eastAsia" w:eastAsia="仿宋_GB2312"/>
                <w:szCs w:val="21"/>
              </w:rPr>
              <w:t>ND</w:t>
            </w:r>
          </w:p>
        </w:tc>
        <w:tc>
          <w:tcPr>
            <w:tcW w:w="1155" w:type="dxa"/>
            <w:vAlign w:val="center"/>
          </w:tcPr>
          <w:p>
            <w:pPr>
              <w:adjustRightInd w:val="0"/>
              <w:snapToGrid w:val="0"/>
              <w:jc w:val="center"/>
              <w:rPr>
                <w:rFonts w:eastAsia="仿宋_GB2312"/>
                <w:szCs w:val="21"/>
              </w:rPr>
            </w:pPr>
            <w:r>
              <w:rPr>
                <w:rFonts w:hint="eastAsia" w:eastAsia="仿宋_GB2312"/>
                <w:szCs w:val="21"/>
              </w:rPr>
              <w:t>ND</w:t>
            </w:r>
          </w:p>
        </w:tc>
        <w:tc>
          <w:tcPr>
            <w:tcW w:w="1056" w:type="dxa"/>
            <w:vAlign w:val="center"/>
          </w:tcPr>
          <w:p>
            <w:pPr>
              <w:jc w:val="center"/>
              <w:rPr>
                <w:rFonts w:eastAsia="仿宋_GB2312"/>
                <w:szCs w:val="21"/>
              </w:rPr>
            </w:pPr>
            <w:r>
              <w:rPr>
                <w:rFonts w:hint="eastAsia" w:eastAsia="仿宋_GB2312"/>
                <w:szCs w:val="21"/>
              </w:rPr>
              <w:t>ND</w:t>
            </w:r>
          </w:p>
        </w:tc>
        <w:tc>
          <w:tcPr>
            <w:tcW w:w="0" w:type="auto"/>
            <w:vAlign w:val="center"/>
          </w:tcPr>
          <w:p>
            <w:pPr>
              <w:adjustRightInd w:val="0"/>
              <w:snapToGrid w:val="0"/>
              <w:jc w:val="center"/>
              <w:rPr>
                <w:rFonts w:eastAsia="仿宋_GB2312"/>
                <w:szCs w:val="21"/>
              </w:rPr>
            </w:pPr>
            <w:r>
              <w:rPr>
                <w:rFonts w:hint="eastAsia" w:eastAsia="仿宋_GB2312"/>
                <w:szCs w:val="21"/>
              </w:rPr>
              <w:t>840</w:t>
            </w:r>
          </w:p>
        </w:tc>
        <w:tc>
          <w:tcPr>
            <w:tcW w:w="983" w:type="dxa"/>
            <w:vAlign w:val="center"/>
          </w:tcPr>
          <w:p>
            <w:pPr>
              <w:adjustRightInd w:val="0"/>
              <w:snapToGrid w:val="0"/>
              <w:jc w:val="center"/>
              <w:rPr>
                <w:rFonts w:eastAsia="仿宋_GB2312"/>
                <w:szCs w:val="21"/>
              </w:rPr>
            </w:pPr>
            <w:r>
              <w:rPr>
                <w:rFonts w:hint="eastAsia" w:eastAsia="仿宋_GB2312"/>
                <w:szCs w:val="21"/>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568" w:type="dxa"/>
            <w:vAlign w:val="center"/>
          </w:tcPr>
          <w:p>
            <w:pPr>
              <w:adjustRightInd w:val="0"/>
              <w:snapToGrid w:val="0"/>
              <w:jc w:val="center"/>
              <w:rPr>
                <w:rFonts w:eastAsia="仿宋_GB2312"/>
                <w:szCs w:val="21"/>
              </w:rPr>
            </w:pPr>
            <w:r>
              <w:rPr>
                <w:rFonts w:hint="eastAsia" w:eastAsia="仿宋_GB2312"/>
                <w:bCs/>
                <w:szCs w:val="21"/>
              </w:rPr>
              <w:t>四氯化碳</w:t>
            </w:r>
          </w:p>
        </w:tc>
        <w:tc>
          <w:tcPr>
            <w:tcW w:w="0" w:type="auto"/>
            <w:vAlign w:val="center"/>
          </w:tcPr>
          <w:p>
            <w:pPr>
              <w:adjustRightInd w:val="0"/>
              <w:snapToGrid w:val="0"/>
              <w:jc w:val="center"/>
              <w:rPr>
                <w:rFonts w:eastAsia="仿宋_GB2312"/>
                <w:szCs w:val="21"/>
              </w:rPr>
            </w:pPr>
            <w:r>
              <w:rPr>
                <w:rFonts w:eastAsia="仿宋_GB2312"/>
                <w:szCs w:val="21"/>
              </w:rPr>
              <w:t>m</w:t>
            </w:r>
            <w:r>
              <w:rPr>
                <w:rFonts w:hint="eastAsia" w:eastAsia="仿宋_GB2312"/>
                <w:szCs w:val="21"/>
              </w:rPr>
              <w:t>g/</w:t>
            </w:r>
            <w:r>
              <w:rPr>
                <w:rFonts w:eastAsia="仿宋_GB2312"/>
                <w:szCs w:val="21"/>
              </w:rPr>
              <w:t>kg</w:t>
            </w:r>
          </w:p>
        </w:tc>
        <w:tc>
          <w:tcPr>
            <w:tcW w:w="0" w:type="auto"/>
            <w:vAlign w:val="center"/>
          </w:tcPr>
          <w:p>
            <w:pPr>
              <w:adjustRightInd w:val="0"/>
              <w:snapToGrid w:val="0"/>
              <w:jc w:val="center"/>
              <w:rPr>
                <w:rFonts w:eastAsia="仿宋_GB2312"/>
                <w:szCs w:val="21"/>
                <w:vertAlign w:val="superscript"/>
              </w:rPr>
            </w:pPr>
            <w:r>
              <w:rPr>
                <w:rFonts w:hint="eastAsia" w:eastAsia="仿宋_GB2312"/>
                <w:szCs w:val="21"/>
              </w:rPr>
              <w:t>0.0013</w:t>
            </w:r>
          </w:p>
        </w:tc>
        <w:tc>
          <w:tcPr>
            <w:tcW w:w="942" w:type="dxa"/>
            <w:vAlign w:val="center"/>
          </w:tcPr>
          <w:p>
            <w:pPr>
              <w:adjustRightInd w:val="0"/>
              <w:snapToGrid w:val="0"/>
              <w:jc w:val="center"/>
              <w:rPr>
                <w:rFonts w:eastAsia="仿宋_GB2312"/>
                <w:szCs w:val="21"/>
              </w:rPr>
            </w:pPr>
            <w:r>
              <w:rPr>
                <w:rFonts w:hint="eastAsia" w:eastAsia="仿宋_GB2312"/>
                <w:szCs w:val="21"/>
              </w:rPr>
              <w:t>ND</w:t>
            </w:r>
          </w:p>
        </w:tc>
        <w:tc>
          <w:tcPr>
            <w:tcW w:w="1010" w:type="dxa"/>
            <w:vAlign w:val="center"/>
          </w:tcPr>
          <w:p>
            <w:pPr>
              <w:adjustRightInd w:val="0"/>
              <w:snapToGrid w:val="0"/>
              <w:jc w:val="center"/>
              <w:rPr>
                <w:rFonts w:eastAsia="仿宋_GB2312"/>
                <w:szCs w:val="21"/>
              </w:rPr>
            </w:pPr>
            <w:r>
              <w:rPr>
                <w:rFonts w:hint="eastAsia" w:eastAsia="仿宋_GB2312"/>
                <w:szCs w:val="21"/>
              </w:rPr>
              <w:t>ND</w:t>
            </w:r>
          </w:p>
        </w:tc>
        <w:tc>
          <w:tcPr>
            <w:tcW w:w="1155" w:type="dxa"/>
            <w:vAlign w:val="center"/>
          </w:tcPr>
          <w:p>
            <w:pPr>
              <w:adjustRightInd w:val="0"/>
              <w:snapToGrid w:val="0"/>
              <w:jc w:val="center"/>
              <w:rPr>
                <w:rFonts w:eastAsia="仿宋_GB2312"/>
                <w:szCs w:val="21"/>
              </w:rPr>
            </w:pPr>
            <w:r>
              <w:rPr>
                <w:rFonts w:hint="eastAsia" w:eastAsia="仿宋_GB2312"/>
                <w:szCs w:val="21"/>
              </w:rPr>
              <w:t>ND</w:t>
            </w:r>
          </w:p>
        </w:tc>
        <w:tc>
          <w:tcPr>
            <w:tcW w:w="1056" w:type="dxa"/>
            <w:vAlign w:val="center"/>
          </w:tcPr>
          <w:p>
            <w:pPr>
              <w:jc w:val="center"/>
              <w:rPr>
                <w:rFonts w:eastAsia="仿宋_GB2312"/>
                <w:szCs w:val="21"/>
              </w:rPr>
            </w:pPr>
            <w:r>
              <w:rPr>
                <w:rFonts w:hint="eastAsia" w:eastAsia="仿宋_GB2312"/>
                <w:szCs w:val="21"/>
              </w:rPr>
              <w:t>ND</w:t>
            </w:r>
          </w:p>
        </w:tc>
        <w:tc>
          <w:tcPr>
            <w:tcW w:w="0" w:type="auto"/>
            <w:vAlign w:val="center"/>
          </w:tcPr>
          <w:p>
            <w:pPr>
              <w:adjustRightInd w:val="0"/>
              <w:snapToGrid w:val="0"/>
              <w:jc w:val="center"/>
              <w:rPr>
                <w:rFonts w:eastAsia="仿宋_GB2312"/>
                <w:szCs w:val="21"/>
              </w:rPr>
            </w:pPr>
            <w:r>
              <w:rPr>
                <w:rFonts w:hint="eastAsia" w:eastAsia="仿宋_GB2312"/>
                <w:szCs w:val="21"/>
              </w:rPr>
              <w:t>2.8</w:t>
            </w:r>
          </w:p>
        </w:tc>
        <w:tc>
          <w:tcPr>
            <w:tcW w:w="983" w:type="dxa"/>
            <w:vAlign w:val="center"/>
          </w:tcPr>
          <w:p>
            <w:pPr>
              <w:adjustRightInd w:val="0"/>
              <w:snapToGrid w:val="0"/>
              <w:jc w:val="center"/>
              <w:rPr>
                <w:rFonts w:eastAsia="仿宋_GB2312"/>
                <w:szCs w:val="21"/>
              </w:rPr>
            </w:pPr>
            <w:r>
              <w:rPr>
                <w:rFonts w:hint="eastAsia" w:eastAsia="仿宋_GB2312"/>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568" w:type="dxa"/>
            <w:vAlign w:val="center"/>
          </w:tcPr>
          <w:p>
            <w:pPr>
              <w:adjustRightInd w:val="0"/>
              <w:snapToGrid w:val="0"/>
              <w:jc w:val="center"/>
              <w:rPr>
                <w:rFonts w:eastAsia="仿宋_GB2312"/>
                <w:bCs/>
                <w:szCs w:val="21"/>
              </w:rPr>
            </w:pPr>
            <w:r>
              <w:rPr>
                <w:rFonts w:hint="eastAsia" w:eastAsia="仿宋_GB2312"/>
                <w:bCs/>
                <w:szCs w:val="21"/>
              </w:rPr>
              <w:t>苯</w:t>
            </w:r>
          </w:p>
        </w:tc>
        <w:tc>
          <w:tcPr>
            <w:tcW w:w="0" w:type="auto"/>
            <w:vAlign w:val="center"/>
          </w:tcPr>
          <w:p>
            <w:pPr>
              <w:adjustRightInd w:val="0"/>
              <w:snapToGrid w:val="0"/>
              <w:jc w:val="center"/>
              <w:rPr>
                <w:rFonts w:eastAsia="仿宋_GB2312"/>
                <w:szCs w:val="21"/>
              </w:rPr>
            </w:pPr>
            <w:r>
              <w:rPr>
                <w:rFonts w:eastAsia="仿宋_GB2312"/>
                <w:szCs w:val="21"/>
              </w:rPr>
              <w:t>m</w:t>
            </w:r>
            <w:r>
              <w:rPr>
                <w:rFonts w:hint="eastAsia" w:eastAsia="仿宋_GB2312"/>
                <w:szCs w:val="21"/>
              </w:rPr>
              <w:t>g/</w:t>
            </w:r>
            <w:r>
              <w:rPr>
                <w:rFonts w:eastAsia="仿宋_GB2312"/>
                <w:szCs w:val="21"/>
              </w:rPr>
              <w:t>kg</w:t>
            </w:r>
          </w:p>
        </w:tc>
        <w:tc>
          <w:tcPr>
            <w:tcW w:w="0" w:type="auto"/>
            <w:vAlign w:val="center"/>
          </w:tcPr>
          <w:p>
            <w:pPr>
              <w:adjustRightInd w:val="0"/>
              <w:snapToGrid w:val="0"/>
              <w:jc w:val="center"/>
              <w:rPr>
                <w:rFonts w:eastAsia="仿宋_GB2312"/>
                <w:szCs w:val="21"/>
              </w:rPr>
            </w:pPr>
            <w:r>
              <w:rPr>
                <w:rFonts w:hint="eastAsia" w:eastAsia="仿宋_GB2312"/>
                <w:szCs w:val="21"/>
              </w:rPr>
              <w:t>0.0019</w:t>
            </w:r>
          </w:p>
        </w:tc>
        <w:tc>
          <w:tcPr>
            <w:tcW w:w="942" w:type="dxa"/>
            <w:vAlign w:val="center"/>
          </w:tcPr>
          <w:p>
            <w:pPr>
              <w:adjustRightInd w:val="0"/>
              <w:snapToGrid w:val="0"/>
              <w:jc w:val="center"/>
              <w:rPr>
                <w:rFonts w:eastAsia="仿宋_GB2312"/>
                <w:szCs w:val="21"/>
              </w:rPr>
            </w:pPr>
            <w:r>
              <w:rPr>
                <w:rFonts w:hint="eastAsia" w:eastAsia="仿宋_GB2312"/>
                <w:szCs w:val="21"/>
              </w:rPr>
              <w:t>ND</w:t>
            </w:r>
          </w:p>
        </w:tc>
        <w:tc>
          <w:tcPr>
            <w:tcW w:w="1010" w:type="dxa"/>
            <w:vAlign w:val="center"/>
          </w:tcPr>
          <w:p>
            <w:pPr>
              <w:adjustRightInd w:val="0"/>
              <w:snapToGrid w:val="0"/>
              <w:jc w:val="center"/>
              <w:rPr>
                <w:rFonts w:eastAsia="仿宋_GB2312"/>
                <w:szCs w:val="21"/>
              </w:rPr>
            </w:pPr>
            <w:r>
              <w:rPr>
                <w:rFonts w:hint="eastAsia" w:eastAsia="仿宋_GB2312"/>
                <w:szCs w:val="21"/>
              </w:rPr>
              <w:t>ND</w:t>
            </w:r>
          </w:p>
        </w:tc>
        <w:tc>
          <w:tcPr>
            <w:tcW w:w="1155" w:type="dxa"/>
            <w:vAlign w:val="center"/>
          </w:tcPr>
          <w:p>
            <w:pPr>
              <w:adjustRightInd w:val="0"/>
              <w:snapToGrid w:val="0"/>
              <w:jc w:val="center"/>
              <w:rPr>
                <w:rFonts w:eastAsia="仿宋_GB2312"/>
                <w:szCs w:val="21"/>
              </w:rPr>
            </w:pPr>
            <w:r>
              <w:rPr>
                <w:rFonts w:hint="eastAsia" w:eastAsia="仿宋_GB2312"/>
                <w:szCs w:val="21"/>
              </w:rPr>
              <w:t>ND</w:t>
            </w:r>
          </w:p>
        </w:tc>
        <w:tc>
          <w:tcPr>
            <w:tcW w:w="1056" w:type="dxa"/>
            <w:vAlign w:val="center"/>
          </w:tcPr>
          <w:p>
            <w:pPr>
              <w:jc w:val="center"/>
              <w:rPr>
                <w:rFonts w:eastAsia="仿宋_GB2312"/>
                <w:szCs w:val="21"/>
              </w:rPr>
            </w:pPr>
            <w:r>
              <w:rPr>
                <w:rFonts w:hint="eastAsia" w:eastAsia="仿宋_GB2312"/>
                <w:szCs w:val="21"/>
              </w:rPr>
              <w:t>ND</w:t>
            </w:r>
          </w:p>
        </w:tc>
        <w:tc>
          <w:tcPr>
            <w:tcW w:w="0" w:type="auto"/>
            <w:vAlign w:val="center"/>
          </w:tcPr>
          <w:p>
            <w:pPr>
              <w:adjustRightInd w:val="0"/>
              <w:snapToGrid w:val="0"/>
              <w:jc w:val="center"/>
              <w:rPr>
                <w:rFonts w:eastAsia="仿宋_GB2312"/>
                <w:szCs w:val="21"/>
              </w:rPr>
            </w:pPr>
            <w:r>
              <w:rPr>
                <w:rFonts w:hint="eastAsia" w:eastAsia="仿宋_GB2312"/>
                <w:szCs w:val="21"/>
              </w:rPr>
              <w:t>4</w:t>
            </w:r>
          </w:p>
        </w:tc>
        <w:tc>
          <w:tcPr>
            <w:tcW w:w="983" w:type="dxa"/>
            <w:vAlign w:val="center"/>
          </w:tcPr>
          <w:p>
            <w:pPr>
              <w:adjustRightInd w:val="0"/>
              <w:snapToGrid w:val="0"/>
              <w:jc w:val="center"/>
              <w:rPr>
                <w:rFonts w:eastAsia="仿宋_GB2312"/>
                <w:szCs w:val="21"/>
              </w:rPr>
            </w:pPr>
            <w:r>
              <w:rPr>
                <w:rFonts w:hint="eastAsia" w:eastAsia="仿宋_GB2312"/>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568" w:type="dxa"/>
            <w:vAlign w:val="center"/>
          </w:tcPr>
          <w:p>
            <w:pPr>
              <w:adjustRightInd w:val="0"/>
              <w:snapToGrid w:val="0"/>
              <w:jc w:val="center"/>
              <w:rPr>
                <w:rFonts w:eastAsia="仿宋_GB2312"/>
                <w:bCs/>
                <w:szCs w:val="21"/>
              </w:rPr>
            </w:pPr>
            <w:r>
              <w:rPr>
                <w:rFonts w:hint="eastAsia" w:eastAsia="仿宋_GB2312"/>
                <w:bCs/>
                <w:szCs w:val="21"/>
              </w:rPr>
              <w:t>1,2-二氯乙烷</w:t>
            </w:r>
          </w:p>
        </w:tc>
        <w:tc>
          <w:tcPr>
            <w:tcW w:w="0" w:type="auto"/>
            <w:vAlign w:val="center"/>
          </w:tcPr>
          <w:p>
            <w:pPr>
              <w:adjustRightInd w:val="0"/>
              <w:snapToGrid w:val="0"/>
              <w:jc w:val="center"/>
              <w:rPr>
                <w:rFonts w:eastAsia="仿宋_GB2312"/>
                <w:szCs w:val="21"/>
              </w:rPr>
            </w:pPr>
            <w:r>
              <w:rPr>
                <w:rFonts w:eastAsia="仿宋_GB2312"/>
                <w:szCs w:val="21"/>
              </w:rPr>
              <w:t>m</w:t>
            </w:r>
            <w:r>
              <w:rPr>
                <w:rFonts w:hint="eastAsia" w:eastAsia="仿宋_GB2312"/>
                <w:szCs w:val="21"/>
              </w:rPr>
              <w:t>g/</w:t>
            </w:r>
            <w:r>
              <w:rPr>
                <w:rFonts w:eastAsia="仿宋_GB2312"/>
                <w:szCs w:val="21"/>
              </w:rPr>
              <w:t>kg</w:t>
            </w:r>
          </w:p>
        </w:tc>
        <w:tc>
          <w:tcPr>
            <w:tcW w:w="0" w:type="auto"/>
            <w:vAlign w:val="center"/>
          </w:tcPr>
          <w:p>
            <w:pPr>
              <w:adjustRightInd w:val="0"/>
              <w:snapToGrid w:val="0"/>
              <w:jc w:val="center"/>
              <w:rPr>
                <w:rFonts w:eastAsia="仿宋_GB2312"/>
                <w:szCs w:val="21"/>
              </w:rPr>
            </w:pPr>
            <w:r>
              <w:rPr>
                <w:rFonts w:hint="eastAsia" w:eastAsia="仿宋_GB2312"/>
                <w:szCs w:val="21"/>
              </w:rPr>
              <w:t>0.0013</w:t>
            </w:r>
          </w:p>
        </w:tc>
        <w:tc>
          <w:tcPr>
            <w:tcW w:w="942" w:type="dxa"/>
            <w:vAlign w:val="center"/>
          </w:tcPr>
          <w:p>
            <w:pPr>
              <w:adjustRightInd w:val="0"/>
              <w:snapToGrid w:val="0"/>
              <w:jc w:val="center"/>
              <w:rPr>
                <w:rFonts w:eastAsia="仿宋_GB2312"/>
                <w:szCs w:val="21"/>
              </w:rPr>
            </w:pPr>
            <w:r>
              <w:rPr>
                <w:rFonts w:hint="eastAsia" w:eastAsia="仿宋_GB2312"/>
                <w:szCs w:val="21"/>
              </w:rPr>
              <w:t>ND</w:t>
            </w:r>
          </w:p>
        </w:tc>
        <w:tc>
          <w:tcPr>
            <w:tcW w:w="1010" w:type="dxa"/>
            <w:vAlign w:val="center"/>
          </w:tcPr>
          <w:p>
            <w:pPr>
              <w:adjustRightInd w:val="0"/>
              <w:snapToGrid w:val="0"/>
              <w:jc w:val="center"/>
              <w:rPr>
                <w:rFonts w:eastAsia="仿宋_GB2312"/>
                <w:szCs w:val="21"/>
              </w:rPr>
            </w:pPr>
            <w:r>
              <w:rPr>
                <w:rFonts w:hint="eastAsia" w:eastAsia="仿宋_GB2312"/>
                <w:szCs w:val="21"/>
              </w:rPr>
              <w:t>ND</w:t>
            </w:r>
          </w:p>
        </w:tc>
        <w:tc>
          <w:tcPr>
            <w:tcW w:w="1155" w:type="dxa"/>
            <w:vAlign w:val="center"/>
          </w:tcPr>
          <w:p>
            <w:pPr>
              <w:adjustRightInd w:val="0"/>
              <w:snapToGrid w:val="0"/>
              <w:jc w:val="center"/>
              <w:rPr>
                <w:rFonts w:eastAsia="仿宋_GB2312"/>
                <w:szCs w:val="21"/>
              </w:rPr>
            </w:pPr>
            <w:r>
              <w:rPr>
                <w:rFonts w:hint="eastAsia" w:eastAsia="仿宋_GB2312"/>
                <w:szCs w:val="21"/>
              </w:rPr>
              <w:t>ND</w:t>
            </w:r>
          </w:p>
        </w:tc>
        <w:tc>
          <w:tcPr>
            <w:tcW w:w="1056" w:type="dxa"/>
            <w:vAlign w:val="center"/>
          </w:tcPr>
          <w:p>
            <w:pPr>
              <w:jc w:val="center"/>
              <w:rPr>
                <w:rFonts w:eastAsia="仿宋_GB2312"/>
                <w:szCs w:val="21"/>
              </w:rPr>
            </w:pPr>
            <w:r>
              <w:rPr>
                <w:rFonts w:hint="eastAsia" w:eastAsia="仿宋_GB2312"/>
                <w:szCs w:val="21"/>
              </w:rPr>
              <w:t>ND</w:t>
            </w:r>
          </w:p>
        </w:tc>
        <w:tc>
          <w:tcPr>
            <w:tcW w:w="0" w:type="auto"/>
            <w:vAlign w:val="center"/>
          </w:tcPr>
          <w:p>
            <w:pPr>
              <w:adjustRightInd w:val="0"/>
              <w:snapToGrid w:val="0"/>
              <w:jc w:val="center"/>
              <w:rPr>
                <w:rFonts w:eastAsia="仿宋_GB2312"/>
                <w:szCs w:val="21"/>
              </w:rPr>
            </w:pPr>
            <w:r>
              <w:rPr>
                <w:rFonts w:hint="eastAsia" w:eastAsia="仿宋_GB2312"/>
                <w:szCs w:val="21"/>
              </w:rPr>
              <w:t>5</w:t>
            </w:r>
          </w:p>
        </w:tc>
        <w:tc>
          <w:tcPr>
            <w:tcW w:w="983" w:type="dxa"/>
            <w:vAlign w:val="center"/>
          </w:tcPr>
          <w:p>
            <w:pPr>
              <w:adjustRightInd w:val="0"/>
              <w:snapToGrid w:val="0"/>
              <w:jc w:val="center"/>
              <w:rPr>
                <w:rFonts w:eastAsia="仿宋_GB2312"/>
                <w:szCs w:val="21"/>
              </w:rPr>
            </w:pPr>
            <w:r>
              <w:rPr>
                <w:rFonts w:hint="eastAsia" w:eastAsia="仿宋_GB2312"/>
                <w:szCs w:val="21"/>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568" w:type="dxa"/>
            <w:vAlign w:val="center"/>
          </w:tcPr>
          <w:p>
            <w:pPr>
              <w:adjustRightInd w:val="0"/>
              <w:snapToGrid w:val="0"/>
              <w:jc w:val="center"/>
              <w:rPr>
                <w:rFonts w:eastAsia="仿宋_GB2312"/>
                <w:bCs/>
                <w:szCs w:val="21"/>
              </w:rPr>
            </w:pPr>
            <w:r>
              <w:rPr>
                <w:rFonts w:hint="eastAsia" w:eastAsia="仿宋_GB2312"/>
                <w:bCs/>
                <w:szCs w:val="21"/>
              </w:rPr>
              <w:t>三氯乙烯</w:t>
            </w:r>
          </w:p>
        </w:tc>
        <w:tc>
          <w:tcPr>
            <w:tcW w:w="0" w:type="auto"/>
            <w:vAlign w:val="center"/>
          </w:tcPr>
          <w:p>
            <w:pPr>
              <w:adjustRightInd w:val="0"/>
              <w:snapToGrid w:val="0"/>
              <w:jc w:val="center"/>
              <w:rPr>
                <w:rFonts w:eastAsia="仿宋_GB2312"/>
                <w:szCs w:val="21"/>
              </w:rPr>
            </w:pPr>
            <w:r>
              <w:rPr>
                <w:rFonts w:eastAsia="仿宋_GB2312"/>
                <w:szCs w:val="21"/>
              </w:rPr>
              <w:t>m</w:t>
            </w:r>
            <w:r>
              <w:rPr>
                <w:rFonts w:hint="eastAsia" w:eastAsia="仿宋_GB2312"/>
                <w:szCs w:val="21"/>
              </w:rPr>
              <w:t>g/</w:t>
            </w:r>
            <w:r>
              <w:rPr>
                <w:rFonts w:eastAsia="仿宋_GB2312"/>
                <w:szCs w:val="21"/>
              </w:rPr>
              <w:t>kg</w:t>
            </w:r>
          </w:p>
        </w:tc>
        <w:tc>
          <w:tcPr>
            <w:tcW w:w="0" w:type="auto"/>
            <w:vAlign w:val="center"/>
          </w:tcPr>
          <w:p>
            <w:pPr>
              <w:adjustRightInd w:val="0"/>
              <w:snapToGrid w:val="0"/>
              <w:jc w:val="center"/>
              <w:rPr>
                <w:rFonts w:eastAsia="仿宋_GB2312"/>
                <w:szCs w:val="21"/>
              </w:rPr>
            </w:pPr>
            <w:r>
              <w:rPr>
                <w:rFonts w:hint="eastAsia" w:eastAsia="仿宋_GB2312"/>
                <w:szCs w:val="21"/>
              </w:rPr>
              <w:t>0.0012</w:t>
            </w:r>
          </w:p>
        </w:tc>
        <w:tc>
          <w:tcPr>
            <w:tcW w:w="942" w:type="dxa"/>
            <w:vAlign w:val="center"/>
          </w:tcPr>
          <w:p>
            <w:pPr>
              <w:adjustRightInd w:val="0"/>
              <w:snapToGrid w:val="0"/>
              <w:jc w:val="center"/>
              <w:rPr>
                <w:rFonts w:eastAsia="仿宋_GB2312"/>
                <w:szCs w:val="21"/>
              </w:rPr>
            </w:pPr>
            <w:r>
              <w:rPr>
                <w:rFonts w:hint="eastAsia" w:eastAsia="仿宋_GB2312"/>
                <w:szCs w:val="21"/>
              </w:rPr>
              <w:t>ND</w:t>
            </w:r>
          </w:p>
        </w:tc>
        <w:tc>
          <w:tcPr>
            <w:tcW w:w="1010" w:type="dxa"/>
            <w:vAlign w:val="center"/>
          </w:tcPr>
          <w:p>
            <w:pPr>
              <w:adjustRightInd w:val="0"/>
              <w:snapToGrid w:val="0"/>
              <w:jc w:val="center"/>
              <w:rPr>
                <w:rFonts w:eastAsia="仿宋_GB2312"/>
                <w:szCs w:val="21"/>
              </w:rPr>
            </w:pPr>
            <w:r>
              <w:rPr>
                <w:rFonts w:hint="eastAsia" w:eastAsia="仿宋_GB2312"/>
                <w:szCs w:val="21"/>
              </w:rPr>
              <w:t>ND</w:t>
            </w:r>
          </w:p>
        </w:tc>
        <w:tc>
          <w:tcPr>
            <w:tcW w:w="1155" w:type="dxa"/>
            <w:vAlign w:val="center"/>
          </w:tcPr>
          <w:p>
            <w:pPr>
              <w:adjustRightInd w:val="0"/>
              <w:snapToGrid w:val="0"/>
              <w:jc w:val="center"/>
              <w:rPr>
                <w:rFonts w:eastAsia="仿宋_GB2312"/>
                <w:szCs w:val="21"/>
              </w:rPr>
            </w:pPr>
            <w:r>
              <w:rPr>
                <w:rFonts w:hint="eastAsia" w:eastAsia="仿宋_GB2312"/>
                <w:szCs w:val="21"/>
              </w:rPr>
              <w:t>ND</w:t>
            </w:r>
          </w:p>
        </w:tc>
        <w:tc>
          <w:tcPr>
            <w:tcW w:w="1056" w:type="dxa"/>
            <w:vAlign w:val="center"/>
          </w:tcPr>
          <w:p>
            <w:pPr>
              <w:jc w:val="center"/>
              <w:rPr>
                <w:rFonts w:eastAsia="仿宋_GB2312"/>
                <w:szCs w:val="21"/>
              </w:rPr>
            </w:pPr>
            <w:r>
              <w:rPr>
                <w:rFonts w:hint="eastAsia" w:eastAsia="仿宋_GB2312"/>
                <w:szCs w:val="21"/>
              </w:rPr>
              <w:t>ND</w:t>
            </w:r>
          </w:p>
        </w:tc>
        <w:tc>
          <w:tcPr>
            <w:tcW w:w="0" w:type="auto"/>
            <w:vAlign w:val="center"/>
          </w:tcPr>
          <w:p>
            <w:pPr>
              <w:adjustRightInd w:val="0"/>
              <w:snapToGrid w:val="0"/>
              <w:jc w:val="center"/>
              <w:rPr>
                <w:rFonts w:eastAsia="仿宋_GB2312"/>
                <w:szCs w:val="21"/>
              </w:rPr>
            </w:pPr>
            <w:r>
              <w:rPr>
                <w:rFonts w:hint="eastAsia" w:eastAsia="仿宋_GB2312"/>
                <w:szCs w:val="21"/>
              </w:rPr>
              <w:t>2.8</w:t>
            </w:r>
          </w:p>
        </w:tc>
        <w:tc>
          <w:tcPr>
            <w:tcW w:w="983" w:type="dxa"/>
            <w:vAlign w:val="center"/>
          </w:tcPr>
          <w:p>
            <w:pPr>
              <w:adjustRightInd w:val="0"/>
              <w:snapToGrid w:val="0"/>
              <w:jc w:val="center"/>
              <w:rPr>
                <w:rFonts w:eastAsia="仿宋_GB2312"/>
                <w:szCs w:val="21"/>
              </w:rPr>
            </w:pPr>
            <w:r>
              <w:rPr>
                <w:rFonts w:hint="eastAsia" w:eastAsia="仿宋_GB2312"/>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568" w:type="dxa"/>
            <w:vAlign w:val="center"/>
          </w:tcPr>
          <w:p>
            <w:pPr>
              <w:adjustRightInd w:val="0"/>
              <w:snapToGrid w:val="0"/>
              <w:jc w:val="center"/>
              <w:rPr>
                <w:rFonts w:eastAsia="仿宋_GB2312"/>
                <w:bCs/>
                <w:szCs w:val="21"/>
              </w:rPr>
            </w:pPr>
            <w:r>
              <w:rPr>
                <w:rFonts w:hint="eastAsia" w:eastAsia="仿宋_GB2312"/>
                <w:bCs/>
                <w:szCs w:val="21"/>
              </w:rPr>
              <w:t>1,2-二氯丙烷</w:t>
            </w:r>
          </w:p>
        </w:tc>
        <w:tc>
          <w:tcPr>
            <w:tcW w:w="0" w:type="auto"/>
            <w:vAlign w:val="center"/>
          </w:tcPr>
          <w:p>
            <w:pPr>
              <w:adjustRightInd w:val="0"/>
              <w:snapToGrid w:val="0"/>
              <w:jc w:val="center"/>
              <w:rPr>
                <w:rFonts w:eastAsia="仿宋_GB2312"/>
                <w:szCs w:val="21"/>
              </w:rPr>
            </w:pPr>
            <w:r>
              <w:rPr>
                <w:rFonts w:eastAsia="仿宋_GB2312"/>
                <w:szCs w:val="21"/>
              </w:rPr>
              <w:t>m</w:t>
            </w:r>
            <w:r>
              <w:rPr>
                <w:rFonts w:hint="eastAsia" w:eastAsia="仿宋_GB2312"/>
                <w:szCs w:val="21"/>
              </w:rPr>
              <w:t>g/</w:t>
            </w:r>
            <w:r>
              <w:rPr>
                <w:rFonts w:eastAsia="仿宋_GB2312"/>
                <w:szCs w:val="21"/>
              </w:rPr>
              <w:t>kg</w:t>
            </w:r>
          </w:p>
        </w:tc>
        <w:tc>
          <w:tcPr>
            <w:tcW w:w="0" w:type="auto"/>
            <w:vAlign w:val="center"/>
          </w:tcPr>
          <w:p>
            <w:pPr>
              <w:adjustRightInd w:val="0"/>
              <w:snapToGrid w:val="0"/>
              <w:jc w:val="center"/>
              <w:rPr>
                <w:rFonts w:eastAsia="仿宋_GB2312"/>
                <w:szCs w:val="21"/>
              </w:rPr>
            </w:pPr>
            <w:r>
              <w:rPr>
                <w:rFonts w:hint="eastAsia" w:eastAsia="仿宋_GB2312"/>
                <w:szCs w:val="21"/>
              </w:rPr>
              <w:t>0.0011</w:t>
            </w:r>
          </w:p>
        </w:tc>
        <w:tc>
          <w:tcPr>
            <w:tcW w:w="942" w:type="dxa"/>
            <w:vAlign w:val="center"/>
          </w:tcPr>
          <w:p>
            <w:pPr>
              <w:adjustRightInd w:val="0"/>
              <w:snapToGrid w:val="0"/>
              <w:jc w:val="center"/>
              <w:rPr>
                <w:rFonts w:eastAsia="仿宋_GB2312"/>
                <w:szCs w:val="21"/>
              </w:rPr>
            </w:pPr>
            <w:r>
              <w:rPr>
                <w:rFonts w:hint="eastAsia" w:eastAsia="仿宋_GB2312"/>
                <w:szCs w:val="21"/>
              </w:rPr>
              <w:t>ND</w:t>
            </w:r>
          </w:p>
        </w:tc>
        <w:tc>
          <w:tcPr>
            <w:tcW w:w="1010" w:type="dxa"/>
            <w:vAlign w:val="center"/>
          </w:tcPr>
          <w:p>
            <w:pPr>
              <w:adjustRightInd w:val="0"/>
              <w:snapToGrid w:val="0"/>
              <w:jc w:val="center"/>
              <w:rPr>
                <w:rFonts w:eastAsia="仿宋_GB2312"/>
                <w:szCs w:val="21"/>
              </w:rPr>
            </w:pPr>
            <w:r>
              <w:rPr>
                <w:rFonts w:hint="eastAsia" w:eastAsia="仿宋_GB2312"/>
                <w:szCs w:val="21"/>
              </w:rPr>
              <w:t>ND</w:t>
            </w:r>
          </w:p>
        </w:tc>
        <w:tc>
          <w:tcPr>
            <w:tcW w:w="1155" w:type="dxa"/>
            <w:vAlign w:val="center"/>
          </w:tcPr>
          <w:p>
            <w:pPr>
              <w:adjustRightInd w:val="0"/>
              <w:snapToGrid w:val="0"/>
              <w:jc w:val="center"/>
              <w:rPr>
                <w:rFonts w:eastAsia="仿宋_GB2312"/>
                <w:szCs w:val="21"/>
              </w:rPr>
            </w:pPr>
            <w:r>
              <w:rPr>
                <w:rFonts w:hint="eastAsia" w:eastAsia="仿宋_GB2312"/>
                <w:szCs w:val="21"/>
              </w:rPr>
              <w:t>ND</w:t>
            </w:r>
          </w:p>
        </w:tc>
        <w:tc>
          <w:tcPr>
            <w:tcW w:w="1056" w:type="dxa"/>
            <w:vAlign w:val="center"/>
          </w:tcPr>
          <w:p>
            <w:pPr>
              <w:jc w:val="center"/>
              <w:rPr>
                <w:rFonts w:eastAsia="仿宋_GB2312"/>
                <w:szCs w:val="21"/>
              </w:rPr>
            </w:pPr>
            <w:r>
              <w:rPr>
                <w:rFonts w:hint="eastAsia" w:eastAsia="仿宋_GB2312"/>
                <w:szCs w:val="21"/>
              </w:rPr>
              <w:t>ND</w:t>
            </w:r>
          </w:p>
        </w:tc>
        <w:tc>
          <w:tcPr>
            <w:tcW w:w="0" w:type="auto"/>
            <w:vAlign w:val="center"/>
          </w:tcPr>
          <w:p>
            <w:pPr>
              <w:adjustRightInd w:val="0"/>
              <w:snapToGrid w:val="0"/>
              <w:jc w:val="center"/>
              <w:rPr>
                <w:rFonts w:eastAsia="仿宋_GB2312"/>
                <w:szCs w:val="21"/>
              </w:rPr>
            </w:pPr>
            <w:r>
              <w:rPr>
                <w:rFonts w:hint="eastAsia" w:eastAsia="仿宋_GB2312"/>
                <w:szCs w:val="21"/>
              </w:rPr>
              <w:t>5</w:t>
            </w:r>
          </w:p>
        </w:tc>
        <w:tc>
          <w:tcPr>
            <w:tcW w:w="983" w:type="dxa"/>
            <w:vAlign w:val="center"/>
          </w:tcPr>
          <w:p>
            <w:pPr>
              <w:adjustRightInd w:val="0"/>
              <w:snapToGrid w:val="0"/>
              <w:jc w:val="center"/>
              <w:rPr>
                <w:rFonts w:eastAsia="仿宋_GB2312"/>
                <w:szCs w:val="21"/>
              </w:rPr>
            </w:pPr>
            <w:r>
              <w:rPr>
                <w:rFonts w:hint="eastAsia" w:eastAsia="仿宋_GB2312"/>
                <w:szCs w:val="21"/>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568" w:type="dxa"/>
            <w:vAlign w:val="center"/>
          </w:tcPr>
          <w:p>
            <w:pPr>
              <w:adjustRightInd w:val="0"/>
              <w:snapToGrid w:val="0"/>
              <w:jc w:val="center"/>
              <w:rPr>
                <w:rFonts w:eastAsia="仿宋_GB2312"/>
                <w:bCs/>
                <w:szCs w:val="21"/>
              </w:rPr>
            </w:pPr>
            <w:r>
              <w:rPr>
                <w:rFonts w:hint="eastAsia" w:eastAsia="仿宋_GB2312"/>
                <w:bCs/>
                <w:szCs w:val="21"/>
              </w:rPr>
              <w:t>甲苯</w:t>
            </w:r>
          </w:p>
        </w:tc>
        <w:tc>
          <w:tcPr>
            <w:tcW w:w="0" w:type="auto"/>
            <w:vAlign w:val="center"/>
          </w:tcPr>
          <w:p>
            <w:pPr>
              <w:adjustRightInd w:val="0"/>
              <w:snapToGrid w:val="0"/>
              <w:jc w:val="center"/>
              <w:rPr>
                <w:rFonts w:eastAsia="仿宋_GB2312"/>
                <w:szCs w:val="21"/>
              </w:rPr>
            </w:pPr>
            <w:r>
              <w:rPr>
                <w:rFonts w:eastAsia="仿宋_GB2312"/>
                <w:szCs w:val="21"/>
              </w:rPr>
              <w:t>m</w:t>
            </w:r>
            <w:r>
              <w:rPr>
                <w:rFonts w:hint="eastAsia" w:eastAsia="仿宋_GB2312"/>
                <w:szCs w:val="21"/>
              </w:rPr>
              <w:t>g/</w:t>
            </w:r>
            <w:r>
              <w:rPr>
                <w:rFonts w:eastAsia="仿宋_GB2312"/>
                <w:szCs w:val="21"/>
              </w:rPr>
              <w:t>kg</w:t>
            </w:r>
          </w:p>
        </w:tc>
        <w:tc>
          <w:tcPr>
            <w:tcW w:w="0" w:type="auto"/>
            <w:vAlign w:val="center"/>
          </w:tcPr>
          <w:p>
            <w:pPr>
              <w:adjustRightInd w:val="0"/>
              <w:snapToGrid w:val="0"/>
              <w:jc w:val="center"/>
              <w:rPr>
                <w:rFonts w:eastAsia="仿宋_GB2312"/>
                <w:szCs w:val="21"/>
              </w:rPr>
            </w:pPr>
            <w:r>
              <w:rPr>
                <w:rFonts w:hint="eastAsia" w:eastAsia="仿宋_GB2312"/>
                <w:szCs w:val="21"/>
              </w:rPr>
              <w:t>0.0013</w:t>
            </w:r>
          </w:p>
        </w:tc>
        <w:tc>
          <w:tcPr>
            <w:tcW w:w="942" w:type="dxa"/>
            <w:vAlign w:val="center"/>
          </w:tcPr>
          <w:p>
            <w:pPr>
              <w:adjustRightInd w:val="0"/>
              <w:snapToGrid w:val="0"/>
              <w:jc w:val="center"/>
              <w:rPr>
                <w:rFonts w:eastAsia="仿宋_GB2312"/>
                <w:szCs w:val="21"/>
              </w:rPr>
            </w:pPr>
            <w:r>
              <w:rPr>
                <w:rFonts w:hint="eastAsia" w:eastAsia="仿宋_GB2312"/>
                <w:szCs w:val="21"/>
              </w:rPr>
              <w:t>ND</w:t>
            </w:r>
          </w:p>
        </w:tc>
        <w:tc>
          <w:tcPr>
            <w:tcW w:w="1010" w:type="dxa"/>
            <w:vAlign w:val="center"/>
          </w:tcPr>
          <w:p>
            <w:pPr>
              <w:adjustRightInd w:val="0"/>
              <w:snapToGrid w:val="0"/>
              <w:jc w:val="center"/>
              <w:rPr>
                <w:rFonts w:eastAsia="仿宋_GB2312"/>
                <w:szCs w:val="21"/>
              </w:rPr>
            </w:pPr>
            <w:r>
              <w:rPr>
                <w:rFonts w:hint="eastAsia" w:eastAsia="仿宋_GB2312"/>
                <w:szCs w:val="21"/>
              </w:rPr>
              <w:t>ND</w:t>
            </w:r>
          </w:p>
        </w:tc>
        <w:tc>
          <w:tcPr>
            <w:tcW w:w="1155" w:type="dxa"/>
            <w:vAlign w:val="center"/>
          </w:tcPr>
          <w:p>
            <w:pPr>
              <w:adjustRightInd w:val="0"/>
              <w:snapToGrid w:val="0"/>
              <w:jc w:val="center"/>
              <w:rPr>
                <w:rFonts w:eastAsia="仿宋_GB2312"/>
                <w:szCs w:val="21"/>
              </w:rPr>
            </w:pPr>
            <w:r>
              <w:rPr>
                <w:rFonts w:hint="eastAsia" w:eastAsia="仿宋_GB2312"/>
                <w:szCs w:val="21"/>
              </w:rPr>
              <w:t>ND</w:t>
            </w:r>
          </w:p>
        </w:tc>
        <w:tc>
          <w:tcPr>
            <w:tcW w:w="1056" w:type="dxa"/>
            <w:vAlign w:val="center"/>
          </w:tcPr>
          <w:p>
            <w:pPr>
              <w:jc w:val="center"/>
              <w:rPr>
                <w:rFonts w:eastAsia="仿宋_GB2312"/>
                <w:szCs w:val="21"/>
              </w:rPr>
            </w:pPr>
            <w:r>
              <w:rPr>
                <w:rFonts w:hint="eastAsia" w:eastAsia="仿宋_GB2312"/>
                <w:szCs w:val="21"/>
              </w:rPr>
              <w:t>ND</w:t>
            </w:r>
          </w:p>
        </w:tc>
        <w:tc>
          <w:tcPr>
            <w:tcW w:w="0" w:type="auto"/>
            <w:vAlign w:val="center"/>
          </w:tcPr>
          <w:p>
            <w:pPr>
              <w:adjustRightInd w:val="0"/>
              <w:snapToGrid w:val="0"/>
              <w:jc w:val="center"/>
              <w:rPr>
                <w:rFonts w:eastAsia="仿宋_GB2312"/>
                <w:szCs w:val="21"/>
              </w:rPr>
            </w:pPr>
            <w:r>
              <w:rPr>
                <w:rFonts w:hint="eastAsia" w:eastAsia="仿宋_GB2312"/>
                <w:szCs w:val="21"/>
              </w:rPr>
              <w:t>1200</w:t>
            </w:r>
          </w:p>
        </w:tc>
        <w:tc>
          <w:tcPr>
            <w:tcW w:w="983" w:type="dxa"/>
            <w:vAlign w:val="center"/>
          </w:tcPr>
          <w:p>
            <w:pPr>
              <w:adjustRightInd w:val="0"/>
              <w:snapToGrid w:val="0"/>
              <w:jc w:val="center"/>
              <w:rPr>
                <w:rFonts w:eastAsia="仿宋_GB2312"/>
                <w:szCs w:val="21"/>
              </w:rPr>
            </w:pPr>
            <w:r>
              <w:rPr>
                <w:rFonts w:hint="eastAsia" w:eastAsia="仿宋_GB2312"/>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568" w:type="dxa"/>
            <w:vAlign w:val="center"/>
          </w:tcPr>
          <w:p>
            <w:pPr>
              <w:adjustRightInd w:val="0"/>
              <w:snapToGrid w:val="0"/>
              <w:jc w:val="center"/>
              <w:rPr>
                <w:rFonts w:eastAsia="仿宋_GB2312"/>
                <w:bCs/>
                <w:szCs w:val="21"/>
              </w:rPr>
            </w:pPr>
            <w:r>
              <w:rPr>
                <w:rFonts w:hint="eastAsia" w:eastAsia="仿宋_GB2312"/>
                <w:bCs/>
                <w:szCs w:val="21"/>
              </w:rPr>
              <w:t>1,1,2-三氯乙烷</w:t>
            </w:r>
          </w:p>
        </w:tc>
        <w:tc>
          <w:tcPr>
            <w:tcW w:w="0" w:type="auto"/>
            <w:vAlign w:val="center"/>
          </w:tcPr>
          <w:p>
            <w:pPr>
              <w:adjustRightInd w:val="0"/>
              <w:snapToGrid w:val="0"/>
              <w:jc w:val="center"/>
              <w:rPr>
                <w:rFonts w:eastAsia="仿宋_GB2312"/>
                <w:szCs w:val="21"/>
              </w:rPr>
            </w:pPr>
            <w:r>
              <w:rPr>
                <w:rFonts w:eastAsia="仿宋_GB2312"/>
                <w:szCs w:val="21"/>
              </w:rPr>
              <w:t>m</w:t>
            </w:r>
            <w:r>
              <w:rPr>
                <w:rFonts w:hint="eastAsia" w:eastAsia="仿宋_GB2312"/>
                <w:szCs w:val="21"/>
              </w:rPr>
              <w:t>g/</w:t>
            </w:r>
            <w:r>
              <w:rPr>
                <w:rFonts w:eastAsia="仿宋_GB2312"/>
                <w:szCs w:val="21"/>
              </w:rPr>
              <w:t>kg</w:t>
            </w:r>
          </w:p>
        </w:tc>
        <w:tc>
          <w:tcPr>
            <w:tcW w:w="0" w:type="auto"/>
            <w:vAlign w:val="center"/>
          </w:tcPr>
          <w:p>
            <w:pPr>
              <w:adjustRightInd w:val="0"/>
              <w:snapToGrid w:val="0"/>
              <w:jc w:val="center"/>
              <w:rPr>
                <w:rFonts w:eastAsia="仿宋_GB2312"/>
                <w:szCs w:val="21"/>
              </w:rPr>
            </w:pPr>
            <w:r>
              <w:rPr>
                <w:rFonts w:hint="eastAsia" w:eastAsia="仿宋_GB2312"/>
                <w:szCs w:val="21"/>
              </w:rPr>
              <w:t>0.0012</w:t>
            </w:r>
          </w:p>
        </w:tc>
        <w:tc>
          <w:tcPr>
            <w:tcW w:w="942" w:type="dxa"/>
            <w:vAlign w:val="center"/>
          </w:tcPr>
          <w:p>
            <w:pPr>
              <w:adjustRightInd w:val="0"/>
              <w:snapToGrid w:val="0"/>
              <w:jc w:val="center"/>
              <w:rPr>
                <w:rFonts w:eastAsia="仿宋_GB2312"/>
                <w:szCs w:val="21"/>
              </w:rPr>
            </w:pPr>
            <w:r>
              <w:rPr>
                <w:rFonts w:hint="eastAsia" w:eastAsia="仿宋_GB2312"/>
                <w:szCs w:val="21"/>
              </w:rPr>
              <w:t>ND</w:t>
            </w:r>
          </w:p>
        </w:tc>
        <w:tc>
          <w:tcPr>
            <w:tcW w:w="1010" w:type="dxa"/>
            <w:vAlign w:val="center"/>
          </w:tcPr>
          <w:p>
            <w:pPr>
              <w:adjustRightInd w:val="0"/>
              <w:snapToGrid w:val="0"/>
              <w:jc w:val="center"/>
              <w:rPr>
                <w:rFonts w:eastAsia="仿宋_GB2312"/>
                <w:szCs w:val="21"/>
              </w:rPr>
            </w:pPr>
            <w:r>
              <w:rPr>
                <w:rFonts w:hint="eastAsia" w:eastAsia="仿宋_GB2312"/>
                <w:szCs w:val="21"/>
              </w:rPr>
              <w:t>ND</w:t>
            </w:r>
          </w:p>
        </w:tc>
        <w:tc>
          <w:tcPr>
            <w:tcW w:w="1155" w:type="dxa"/>
            <w:vAlign w:val="center"/>
          </w:tcPr>
          <w:p>
            <w:pPr>
              <w:adjustRightInd w:val="0"/>
              <w:snapToGrid w:val="0"/>
              <w:jc w:val="center"/>
              <w:rPr>
                <w:rFonts w:eastAsia="仿宋_GB2312"/>
                <w:szCs w:val="21"/>
              </w:rPr>
            </w:pPr>
            <w:r>
              <w:rPr>
                <w:rFonts w:hint="eastAsia" w:eastAsia="仿宋_GB2312"/>
                <w:szCs w:val="21"/>
              </w:rPr>
              <w:t>ND</w:t>
            </w:r>
          </w:p>
        </w:tc>
        <w:tc>
          <w:tcPr>
            <w:tcW w:w="1056" w:type="dxa"/>
            <w:vAlign w:val="center"/>
          </w:tcPr>
          <w:p>
            <w:pPr>
              <w:jc w:val="center"/>
              <w:rPr>
                <w:rFonts w:eastAsia="仿宋_GB2312"/>
                <w:szCs w:val="21"/>
              </w:rPr>
            </w:pPr>
            <w:r>
              <w:rPr>
                <w:rFonts w:hint="eastAsia" w:eastAsia="仿宋_GB2312"/>
                <w:szCs w:val="21"/>
              </w:rPr>
              <w:t>ND</w:t>
            </w:r>
          </w:p>
        </w:tc>
        <w:tc>
          <w:tcPr>
            <w:tcW w:w="0" w:type="auto"/>
            <w:vAlign w:val="center"/>
          </w:tcPr>
          <w:p>
            <w:pPr>
              <w:adjustRightInd w:val="0"/>
              <w:snapToGrid w:val="0"/>
              <w:jc w:val="center"/>
              <w:rPr>
                <w:rFonts w:eastAsia="仿宋_GB2312"/>
                <w:szCs w:val="21"/>
              </w:rPr>
            </w:pPr>
            <w:r>
              <w:rPr>
                <w:rFonts w:hint="eastAsia" w:eastAsia="仿宋_GB2312"/>
                <w:szCs w:val="21"/>
              </w:rPr>
              <w:t>2.8</w:t>
            </w:r>
          </w:p>
        </w:tc>
        <w:tc>
          <w:tcPr>
            <w:tcW w:w="983" w:type="dxa"/>
            <w:vAlign w:val="center"/>
          </w:tcPr>
          <w:p>
            <w:pPr>
              <w:adjustRightInd w:val="0"/>
              <w:snapToGrid w:val="0"/>
              <w:jc w:val="center"/>
              <w:rPr>
                <w:rFonts w:eastAsia="仿宋_GB2312"/>
                <w:szCs w:val="21"/>
              </w:rPr>
            </w:pPr>
            <w:r>
              <w:rPr>
                <w:rFonts w:hint="eastAsia" w:eastAsia="仿宋_GB2312"/>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568" w:type="dxa"/>
            <w:vAlign w:val="center"/>
          </w:tcPr>
          <w:p>
            <w:pPr>
              <w:adjustRightInd w:val="0"/>
              <w:snapToGrid w:val="0"/>
              <w:jc w:val="center"/>
              <w:rPr>
                <w:rFonts w:eastAsia="仿宋_GB2312"/>
                <w:bCs/>
                <w:szCs w:val="21"/>
              </w:rPr>
            </w:pPr>
            <w:r>
              <w:rPr>
                <w:rFonts w:hint="eastAsia" w:eastAsia="仿宋_GB2312"/>
                <w:bCs/>
                <w:szCs w:val="21"/>
              </w:rPr>
              <w:t>四氯乙烯</w:t>
            </w:r>
          </w:p>
        </w:tc>
        <w:tc>
          <w:tcPr>
            <w:tcW w:w="0" w:type="auto"/>
            <w:vAlign w:val="center"/>
          </w:tcPr>
          <w:p>
            <w:pPr>
              <w:adjustRightInd w:val="0"/>
              <w:snapToGrid w:val="0"/>
              <w:jc w:val="center"/>
              <w:rPr>
                <w:rFonts w:eastAsia="仿宋_GB2312"/>
                <w:szCs w:val="21"/>
              </w:rPr>
            </w:pPr>
            <w:r>
              <w:rPr>
                <w:rFonts w:eastAsia="仿宋_GB2312"/>
                <w:szCs w:val="21"/>
              </w:rPr>
              <w:t>m</w:t>
            </w:r>
            <w:r>
              <w:rPr>
                <w:rFonts w:hint="eastAsia" w:eastAsia="仿宋_GB2312"/>
                <w:szCs w:val="21"/>
              </w:rPr>
              <w:t>g/</w:t>
            </w:r>
            <w:r>
              <w:rPr>
                <w:rFonts w:eastAsia="仿宋_GB2312"/>
                <w:szCs w:val="21"/>
              </w:rPr>
              <w:t>kg</w:t>
            </w:r>
          </w:p>
        </w:tc>
        <w:tc>
          <w:tcPr>
            <w:tcW w:w="0" w:type="auto"/>
            <w:vAlign w:val="center"/>
          </w:tcPr>
          <w:p>
            <w:pPr>
              <w:adjustRightInd w:val="0"/>
              <w:snapToGrid w:val="0"/>
              <w:jc w:val="center"/>
              <w:rPr>
                <w:rFonts w:eastAsia="仿宋_GB2312"/>
                <w:szCs w:val="21"/>
              </w:rPr>
            </w:pPr>
            <w:r>
              <w:rPr>
                <w:rFonts w:hint="eastAsia" w:eastAsia="仿宋_GB2312"/>
                <w:szCs w:val="21"/>
              </w:rPr>
              <w:t>0.0014</w:t>
            </w:r>
          </w:p>
        </w:tc>
        <w:tc>
          <w:tcPr>
            <w:tcW w:w="942" w:type="dxa"/>
            <w:vAlign w:val="center"/>
          </w:tcPr>
          <w:p>
            <w:pPr>
              <w:adjustRightInd w:val="0"/>
              <w:snapToGrid w:val="0"/>
              <w:jc w:val="center"/>
              <w:rPr>
                <w:rFonts w:eastAsia="仿宋_GB2312"/>
                <w:szCs w:val="21"/>
              </w:rPr>
            </w:pPr>
            <w:r>
              <w:rPr>
                <w:rFonts w:hint="eastAsia" w:eastAsia="仿宋_GB2312"/>
                <w:szCs w:val="21"/>
              </w:rPr>
              <w:t>ND</w:t>
            </w:r>
          </w:p>
        </w:tc>
        <w:tc>
          <w:tcPr>
            <w:tcW w:w="1010" w:type="dxa"/>
            <w:vAlign w:val="center"/>
          </w:tcPr>
          <w:p>
            <w:pPr>
              <w:adjustRightInd w:val="0"/>
              <w:snapToGrid w:val="0"/>
              <w:jc w:val="center"/>
              <w:rPr>
                <w:rFonts w:eastAsia="仿宋_GB2312"/>
                <w:szCs w:val="21"/>
              </w:rPr>
            </w:pPr>
            <w:r>
              <w:rPr>
                <w:rFonts w:hint="eastAsia" w:eastAsia="仿宋_GB2312"/>
                <w:szCs w:val="21"/>
              </w:rPr>
              <w:t>ND</w:t>
            </w:r>
          </w:p>
        </w:tc>
        <w:tc>
          <w:tcPr>
            <w:tcW w:w="1155" w:type="dxa"/>
            <w:vAlign w:val="center"/>
          </w:tcPr>
          <w:p>
            <w:pPr>
              <w:adjustRightInd w:val="0"/>
              <w:snapToGrid w:val="0"/>
              <w:jc w:val="center"/>
              <w:rPr>
                <w:rFonts w:eastAsia="仿宋_GB2312"/>
                <w:szCs w:val="21"/>
              </w:rPr>
            </w:pPr>
            <w:r>
              <w:rPr>
                <w:rFonts w:hint="eastAsia" w:eastAsia="仿宋_GB2312"/>
                <w:szCs w:val="21"/>
              </w:rPr>
              <w:t>ND</w:t>
            </w:r>
          </w:p>
        </w:tc>
        <w:tc>
          <w:tcPr>
            <w:tcW w:w="1056" w:type="dxa"/>
            <w:vAlign w:val="center"/>
          </w:tcPr>
          <w:p>
            <w:pPr>
              <w:jc w:val="center"/>
              <w:rPr>
                <w:rFonts w:eastAsia="仿宋_GB2312"/>
                <w:szCs w:val="21"/>
              </w:rPr>
            </w:pPr>
            <w:r>
              <w:rPr>
                <w:rFonts w:hint="eastAsia" w:eastAsia="仿宋_GB2312"/>
                <w:szCs w:val="21"/>
              </w:rPr>
              <w:t>ND</w:t>
            </w:r>
          </w:p>
        </w:tc>
        <w:tc>
          <w:tcPr>
            <w:tcW w:w="0" w:type="auto"/>
            <w:vAlign w:val="center"/>
          </w:tcPr>
          <w:p>
            <w:pPr>
              <w:adjustRightInd w:val="0"/>
              <w:snapToGrid w:val="0"/>
              <w:jc w:val="center"/>
              <w:rPr>
                <w:rFonts w:eastAsia="仿宋_GB2312"/>
                <w:szCs w:val="21"/>
              </w:rPr>
            </w:pPr>
            <w:r>
              <w:rPr>
                <w:rFonts w:hint="eastAsia" w:eastAsia="仿宋_GB2312"/>
                <w:szCs w:val="21"/>
              </w:rPr>
              <w:t>53</w:t>
            </w:r>
          </w:p>
        </w:tc>
        <w:tc>
          <w:tcPr>
            <w:tcW w:w="983" w:type="dxa"/>
            <w:vAlign w:val="center"/>
          </w:tcPr>
          <w:p>
            <w:pPr>
              <w:adjustRightInd w:val="0"/>
              <w:snapToGrid w:val="0"/>
              <w:jc w:val="center"/>
              <w:rPr>
                <w:rFonts w:eastAsia="仿宋_GB2312"/>
                <w:szCs w:val="21"/>
              </w:rPr>
            </w:pPr>
            <w:r>
              <w:rPr>
                <w:rFonts w:hint="eastAsia" w:eastAsia="仿宋_GB2312"/>
                <w:szCs w:val="21"/>
              </w:rPr>
              <w:t>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568" w:type="dxa"/>
            <w:vAlign w:val="center"/>
          </w:tcPr>
          <w:p>
            <w:pPr>
              <w:adjustRightInd w:val="0"/>
              <w:snapToGrid w:val="0"/>
              <w:jc w:val="center"/>
              <w:rPr>
                <w:rFonts w:eastAsia="仿宋_GB2312"/>
                <w:bCs/>
                <w:szCs w:val="21"/>
              </w:rPr>
            </w:pPr>
            <w:r>
              <w:rPr>
                <w:rFonts w:hint="eastAsia" w:eastAsia="仿宋_GB2312"/>
                <w:bCs/>
                <w:szCs w:val="21"/>
              </w:rPr>
              <w:t>氯苯</w:t>
            </w:r>
          </w:p>
        </w:tc>
        <w:tc>
          <w:tcPr>
            <w:tcW w:w="0" w:type="auto"/>
            <w:vAlign w:val="center"/>
          </w:tcPr>
          <w:p>
            <w:pPr>
              <w:adjustRightInd w:val="0"/>
              <w:snapToGrid w:val="0"/>
              <w:jc w:val="center"/>
              <w:rPr>
                <w:rFonts w:eastAsia="仿宋_GB2312"/>
                <w:szCs w:val="21"/>
              </w:rPr>
            </w:pPr>
            <w:r>
              <w:rPr>
                <w:rFonts w:eastAsia="仿宋_GB2312"/>
                <w:szCs w:val="21"/>
              </w:rPr>
              <w:t>m</w:t>
            </w:r>
            <w:r>
              <w:rPr>
                <w:rFonts w:hint="eastAsia" w:eastAsia="仿宋_GB2312"/>
                <w:szCs w:val="21"/>
              </w:rPr>
              <w:t>g/</w:t>
            </w:r>
            <w:r>
              <w:rPr>
                <w:rFonts w:eastAsia="仿宋_GB2312"/>
                <w:szCs w:val="21"/>
              </w:rPr>
              <w:t>kg</w:t>
            </w:r>
          </w:p>
        </w:tc>
        <w:tc>
          <w:tcPr>
            <w:tcW w:w="0" w:type="auto"/>
            <w:vAlign w:val="center"/>
          </w:tcPr>
          <w:p>
            <w:pPr>
              <w:adjustRightInd w:val="0"/>
              <w:snapToGrid w:val="0"/>
              <w:jc w:val="center"/>
              <w:rPr>
                <w:rFonts w:eastAsia="仿宋_GB2312"/>
                <w:szCs w:val="21"/>
              </w:rPr>
            </w:pPr>
            <w:r>
              <w:rPr>
                <w:rFonts w:hint="eastAsia" w:eastAsia="仿宋_GB2312"/>
                <w:szCs w:val="21"/>
              </w:rPr>
              <w:t>0.0012</w:t>
            </w:r>
          </w:p>
        </w:tc>
        <w:tc>
          <w:tcPr>
            <w:tcW w:w="942" w:type="dxa"/>
            <w:vAlign w:val="center"/>
          </w:tcPr>
          <w:p>
            <w:pPr>
              <w:adjustRightInd w:val="0"/>
              <w:snapToGrid w:val="0"/>
              <w:jc w:val="center"/>
              <w:rPr>
                <w:rFonts w:eastAsia="仿宋_GB2312"/>
                <w:szCs w:val="21"/>
              </w:rPr>
            </w:pPr>
            <w:r>
              <w:rPr>
                <w:rFonts w:hint="eastAsia" w:eastAsia="仿宋_GB2312"/>
                <w:szCs w:val="21"/>
              </w:rPr>
              <w:t>ND</w:t>
            </w:r>
          </w:p>
        </w:tc>
        <w:tc>
          <w:tcPr>
            <w:tcW w:w="1010" w:type="dxa"/>
            <w:vAlign w:val="center"/>
          </w:tcPr>
          <w:p>
            <w:pPr>
              <w:adjustRightInd w:val="0"/>
              <w:snapToGrid w:val="0"/>
              <w:jc w:val="center"/>
              <w:rPr>
                <w:rFonts w:eastAsia="仿宋_GB2312"/>
                <w:szCs w:val="21"/>
              </w:rPr>
            </w:pPr>
            <w:r>
              <w:rPr>
                <w:rFonts w:hint="eastAsia" w:eastAsia="仿宋_GB2312"/>
                <w:szCs w:val="21"/>
              </w:rPr>
              <w:t>ND</w:t>
            </w:r>
          </w:p>
        </w:tc>
        <w:tc>
          <w:tcPr>
            <w:tcW w:w="1155" w:type="dxa"/>
            <w:vAlign w:val="center"/>
          </w:tcPr>
          <w:p>
            <w:pPr>
              <w:adjustRightInd w:val="0"/>
              <w:snapToGrid w:val="0"/>
              <w:jc w:val="center"/>
              <w:rPr>
                <w:rFonts w:eastAsia="仿宋_GB2312"/>
                <w:szCs w:val="21"/>
              </w:rPr>
            </w:pPr>
            <w:r>
              <w:rPr>
                <w:rFonts w:hint="eastAsia" w:eastAsia="仿宋_GB2312"/>
                <w:szCs w:val="21"/>
              </w:rPr>
              <w:t>ND</w:t>
            </w:r>
          </w:p>
        </w:tc>
        <w:tc>
          <w:tcPr>
            <w:tcW w:w="1056" w:type="dxa"/>
            <w:vAlign w:val="center"/>
          </w:tcPr>
          <w:p>
            <w:pPr>
              <w:jc w:val="center"/>
              <w:rPr>
                <w:rFonts w:eastAsia="仿宋_GB2312"/>
                <w:szCs w:val="21"/>
              </w:rPr>
            </w:pPr>
            <w:r>
              <w:rPr>
                <w:rFonts w:hint="eastAsia" w:eastAsia="仿宋_GB2312"/>
                <w:szCs w:val="21"/>
              </w:rPr>
              <w:t>ND</w:t>
            </w:r>
          </w:p>
        </w:tc>
        <w:tc>
          <w:tcPr>
            <w:tcW w:w="0" w:type="auto"/>
            <w:vAlign w:val="center"/>
          </w:tcPr>
          <w:p>
            <w:pPr>
              <w:adjustRightInd w:val="0"/>
              <w:snapToGrid w:val="0"/>
              <w:jc w:val="center"/>
              <w:rPr>
                <w:rFonts w:eastAsia="仿宋_GB2312"/>
                <w:szCs w:val="21"/>
              </w:rPr>
            </w:pPr>
            <w:r>
              <w:rPr>
                <w:rFonts w:hint="eastAsia" w:eastAsia="仿宋_GB2312"/>
                <w:szCs w:val="21"/>
              </w:rPr>
              <w:t>270</w:t>
            </w:r>
          </w:p>
        </w:tc>
        <w:tc>
          <w:tcPr>
            <w:tcW w:w="983" w:type="dxa"/>
            <w:vAlign w:val="center"/>
          </w:tcPr>
          <w:p>
            <w:pPr>
              <w:adjustRightInd w:val="0"/>
              <w:snapToGrid w:val="0"/>
              <w:jc w:val="center"/>
              <w:rPr>
                <w:rFonts w:eastAsia="仿宋_GB2312"/>
                <w:szCs w:val="21"/>
              </w:rPr>
            </w:pPr>
            <w:r>
              <w:rPr>
                <w:rFonts w:hint="eastAsia" w:eastAsia="仿宋_GB2312"/>
                <w:szCs w:val="2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568" w:type="dxa"/>
            <w:vAlign w:val="center"/>
          </w:tcPr>
          <w:p>
            <w:pPr>
              <w:adjustRightInd w:val="0"/>
              <w:snapToGrid w:val="0"/>
              <w:jc w:val="center"/>
              <w:rPr>
                <w:rFonts w:eastAsia="仿宋_GB2312"/>
                <w:bCs/>
                <w:szCs w:val="21"/>
              </w:rPr>
            </w:pPr>
            <w:r>
              <w:rPr>
                <w:rFonts w:hint="eastAsia" w:eastAsia="仿宋_GB2312"/>
                <w:bCs/>
                <w:szCs w:val="21"/>
              </w:rPr>
              <w:t>1,1,1,2-四氯乙烷</w:t>
            </w:r>
          </w:p>
        </w:tc>
        <w:tc>
          <w:tcPr>
            <w:tcW w:w="0" w:type="auto"/>
            <w:vAlign w:val="center"/>
          </w:tcPr>
          <w:p>
            <w:pPr>
              <w:adjustRightInd w:val="0"/>
              <w:snapToGrid w:val="0"/>
              <w:jc w:val="center"/>
              <w:rPr>
                <w:rFonts w:eastAsia="仿宋_GB2312"/>
                <w:szCs w:val="21"/>
              </w:rPr>
            </w:pPr>
            <w:r>
              <w:rPr>
                <w:rFonts w:eastAsia="仿宋_GB2312"/>
                <w:szCs w:val="21"/>
              </w:rPr>
              <w:t>m</w:t>
            </w:r>
            <w:r>
              <w:rPr>
                <w:rFonts w:hint="eastAsia" w:eastAsia="仿宋_GB2312"/>
                <w:szCs w:val="21"/>
              </w:rPr>
              <w:t>g/</w:t>
            </w:r>
            <w:r>
              <w:rPr>
                <w:rFonts w:eastAsia="仿宋_GB2312"/>
                <w:szCs w:val="21"/>
              </w:rPr>
              <w:t>kg</w:t>
            </w:r>
          </w:p>
        </w:tc>
        <w:tc>
          <w:tcPr>
            <w:tcW w:w="0" w:type="auto"/>
            <w:vAlign w:val="center"/>
          </w:tcPr>
          <w:p>
            <w:pPr>
              <w:adjustRightInd w:val="0"/>
              <w:snapToGrid w:val="0"/>
              <w:jc w:val="center"/>
              <w:rPr>
                <w:rFonts w:eastAsia="仿宋_GB2312"/>
                <w:szCs w:val="21"/>
              </w:rPr>
            </w:pPr>
            <w:r>
              <w:rPr>
                <w:rFonts w:hint="eastAsia" w:eastAsia="仿宋_GB2312"/>
                <w:szCs w:val="21"/>
              </w:rPr>
              <w:t>0.0012</w:t>
            </w:r>
          </w:p>
        </w:tc>
        <w:tc>
          <w:tcPr>
            <w:tcW w:w="942" w:type="dxa"/>
            <w:vAlign w:val="center"/>
          </w:tcPr>
          <w:p>
            <w:pPr>
              <w:adjustRightInd w:val="0"/>
              <w:snapToGrid w:val="0"/>
              <w:jc w:val="center"/>
              <w:rPr>
                <w:rFonts w:eastAsia="仿宋_GB2312"/>
                <w:szCs w:val="21"/>
              </w:rPr>
            </w:pPr>
            <w:r>
              <w:rPr>
                <w:rFonts w:hint="eastAsia" w:eastAsia="仿宋_GB2312"/>
                <w:szCs w:val="21"/>
              </w:rPr>
              <w:t>ND</w:t>
            </w:r>
          </w:p>
        </w:tc>
        <w:tc>
          <w:tcPr>
            <w:tcW w:w="1010" w:type="dxa"/>
            <w:vAlign w:val="center"/>
          </w:tcPr>
          <w:p>
            <w:pPr>
              <w:adjustRightInd w:val="0"/>
              <w:snapToGrid w:val="0"/>
              <w:jc w:val="center"/>
              <w:rPr>
                <w:rFonts w:eastAsia="仿宋_GB2312"/>
                <w:szCs w:val="21"/>
              </w:rPr>
            </w:pPr>
            <w:r>
              <w:rPr>
                <w:rFonts w:hint="eastAsia" w:eastAsia="仿宋_GB2312"/>
                <w:szCs w:val="21"/>
              </w:rPr>
              <w:t>ND</w:t>
            </w:r>
          </w:p>
        </w:tc>
        <w:tc>
          <w:tcPr>
            <w:tcW w:w="1155" w:type="dxa"/>
            <w:vAlign w:val="center"/>
          </w:tcPr>
          <w:p>
            <w:pPr>
              <w:adjustRightInd w:val="0"/>
              <w:snapToGrid w:val="0"/>
              <w:jc w:val="center"/>
              <w:rPr>
                <w:rFonts w:eastAsia="仿宋_GB2312"/>
                <w:szCs w:val="21"/>
              </w:rPr>
            </w:pPr>
            <w:r>
              <w:rPr>
                <w:rFonts w:hint="eastAsia" w:eastAsia="仿宋_GB2312"/>
                <w:szCs w:val="21"/>
              </w:rPr>
              <w:t>ND</w:t>
            </w:r>
          </w:p>
        </w:tc>
        <w:tc>
          <w:tcPr>
            <w:tcW w:w="1056" w:type="dxa"/>
            <w:vAlign w:val="center"/>
          </w:tcPr>
          <w:p>
            <w:pPr>
              <w:jc w:val="center"/>
              <w:rPr>
                <w:rFonts w:eastAsia="仿宋_GB2312"/>
                <w:szCs w:val="21"/>
              </w:rPr>
            </w:pPr>
            <w:r>
              <w:rPr>
                <w:rFonts w:hint="eastAsia" w:eastAsia="仿宋_GB2312"/>
                <w:szCs w:val="21"/>
              </w:rPr>
              <w:t>ND</w:t>
            </w:r>
          </w:p>
        </w:tc>
        <w:tc>
          <w:tcPr>
            <w:tcW w:w="0" w:type="auto"/>
            <w:vAlign w:val="center"/>
          </w:tcPr>
          <w:p>
            <w:pPr>
              <w:adjustRightInd w:val="0"/>
              <w:snapToGrid w:val="0"/>
              <w:jc w:val="center"/>
              <w:rPr>
                <w:rFonts w:eastAsia="仿宋_GB2312"/>
                <w:szCs w:val="21"/>
              </w:rPr>
            </w:pPr>
            <w:r>
              <w:rPr>
                <w:rFonts w:hint="eastAsia" w:eastAsia="仿宋_GB2312"/>
                <w:szCs w:val="21"/>
              </w:rPr>
              <w:t>10</w:t>
            </w:r>
          </w:p>
        </w:tc>
        <w:tc>
          <w:tcPr>
            <w:tcW w:w="983" w:type="dxa"/>
            <w:vAlign w:val="center"/>
          </w:tcPr>
          <w:p>
            <w:pPr>
              <w:adjustRightInd w:val="0"/>
              <w:snapToGrid w:val="0"/>
              <w:jc w:val="center"/>
              <w:rPr>
                <w:rFonts w:eastAsia="仿宋_GB2312"/>
                <w:szCs w:val="21"/>
              </w:rPr>
            </w:pPr>
            <w:r>
              <w:rPr>
                <w:rFonts w:hint="eastAsia" w:eastAsia="仿宋_GB2312"/>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568" w:type="dxa"/>
            <w:vAlign w:val="center"/>
          </w:tcPr>
          <w:p>
            <w:pPr>
              <w:adjustRightInd w:val="0"/>
              <w:snapToGrid w:val="0"/>
              <w:jc w:val="center"/>
              <w:rPr>
                <w:rFonts w:eastAsia="仿宋_GB2312"/>
                <w:bCs/>
                <w:szCs w:val="21"/>
              </w:rPr>
            </w:pPr>
            <w:r>
              <w:rPr>
                <w:rFonts w:hint="eastAsia" w:eastAsia="仿宋_GB2312"/>
                <w:bCs/>
                <w:szCs w:val="21"/>
              </w:rPr>
              <w:t>乙苯</w:t>
            </w:r>
          </w:p>
        </w:tc>
        <w:tc>
          <w:tcPr>
            <w:tcW w:w="0" w:type="auto"/>
            <w:vAlign w:val="center"/>
          </w:tcPr>
          <w:p>
            <w:pPr>
              <w:adjustRightInd w:val="0"/>
              <w:snapToGrid w:val="0"/>
              <w:jc w:val="center"/>
              <w:rPr>
                <w:rFonts w:eastAsia="仿宋_GB2312"/>
                <w:szCs w:val="21"/>
              </w:rPr>
            </w:pPr>
            <w:r>
              <w:rPr>
                <w:rFonts w:eastAsia="仿宋_GB2312"/>
                <w:szCs w:val="21"/>
              </w:rPr>
              <w:t>m</w:t>
            </w:r>
            <w:r>
              <w:rPr>
                <w:rFonts w:hint="eastAsia" w:eastAsia="仿宋_GB2312"/>
                <w:szCs w:val="21"/>
              </w:rPr>
              <w:t>g/</w:t>
            </w:r>
            <w:r>
              <w:rPr>
                <w:rFonts w:eastAsia="仿宋_GB2312"/>
                <w:szCs w:val="21"/>
              </w:rPr>
              <w:t>kg</w:t>
            </w:r>
          </w:p>
        </w:tc>
        <w:tc>
          <w:tcPr>
            <w:tcW w:w="0" w:type="auto"/>
            <w:vAlign w:val="center"/>
          </w:tcPr>
          <w:p>
            <w:pPr>
              <w:adjustRightInd w:val="0"/>
              <w:snapToGrid w:val="0"/>
              <w:jc w:val="center"/>
              <w:rPr>
                <w:rFonts w:eastAsia="仿宋_GB2312"/>
                <w:szCs w:val="21"/>
              </w:rPr>
            </w:pPr>
            <w:r>
              <w:rPr>
                <w:rFonts w:hint="eastAsia" w:eastAsia="仿宋_GB2312"/>
                <w:szCs w:val="21"/>
              </w:rPr>
              <w:t>0.0012</w:t>
            </w:r>
          </w:p>
        </w:tc>
        <w:tc>
          <w:tcPr>
            <w:tcW w:w="942" w:type="dxa"/>
            <w:vAlign w:val="center"/>
          </w:tcPr>
          <w:p>
            <w:pPr>
              <w:adjustRightInd w:val="0"/>
              <w:snapToGrid w:val="0"/>
              <w:jc w:val="center"/>
              <w:rPr>
                <w:rFonts w:eastAsia="仿宋_GB2312"/>
                <w:szCs w:val="21"/>
              </w:rPr>
            </w:pPr>
            <w:r>
              <w:rPr>
                <w:rFonts w:hint="eastAsia" w:eastAsia="仿宋_GB2312"/>
                <w:szCs w:val="21"/>
              </w:rPr>
              <w:t>ND</w:t>
            </w:r>
          </w:p>
        </w:tc>
        <w:tc>
          <w:tcPr>
            <w:tcW w:w="1010" w:type="dxa"/>
            <w:vAlign w:val="center"/>
          </w:tcPr>
          <w:p>
            <w:pPr>
              <w:adjustRightInd w:val="0"/>
              <w:snapToGrid w:val="0"/>
              <w:jc w:val="center"/>
              <w:rPr>
                <w:rFonts w:eastAsia="仿宋_GB2312"/>
                <w:szCs w:val="21"/>
              </w:rPr>
            </w:pPr>
            <w:r>
              <w:rPr>
                <w:rFonts w:hint="eastAsia" w:eastAsia="仿宋_GB2312"/>
                <w:szCs w:val="21"/>
              </w:rPr>
              <w:t>ND</w:t>
            </w:r>
          </w:p>
        </w:tc>
        <w:tc>
          <w:tcPr>
            <w:tcW w:w="1155" w:type="dxa"/>
            <w:vAlign w:val="center"/>
          </w:tcPr>
          <w:p>
            <w:pPr>
              <w:adjustRightInd w:val="0"/>
              <w:snapToGrid w:val="0"/>
              <w:jc w:val="center"/>
              <w:rPr>
                <w:rFonts w:eastAsia="仿宋_GB2312"/>
                <w:szCs w:val="21"/>
              </w:rPr>
            </w:pPr>
            <w:r>
              <w:rPr>
                <w:rFonts w:hint="eastAsia" w:eastAsia="仿宋_GB2312"/>
                <w:szCs w:val="21"/>
              </w:rPr>
              <w:t>ND</w:t>
            </w:r>
          </w:p>
        </w:tc>
        <w:tc>
          <w:tcPr>
            <w:tcW w:w="1056" w:type="dxa"/>
            <w:vAlign w:val="center"/>
          </w:tcPr>
          <w:p>
            <w:pPr>
              <w:jc w:val="center"/>
              <w:rPr>
                <w:rFonts w:eastAsia="仿宋_GB2312"/>
                <w:szCs w:val="21"/>
              </w:rPr>
            </w:pPr>
            <w:r>
              <w:rPr>
                <w:rFonts w:hint="eastAsia" w:eastAsia="仿宋_GB2312"/>
                <w:szCs w:val="21"/>
              </w:rPr>
              <w:t>ND</w:t>
            </w:r>
          </w:p>
        </w:tc>
        <w:tc>
          <w:tcPr>
            <w:tcW w:w="0" w:type="auto"/>
            <w:vAlign w:val="center"/>
          </w:tcPr>
          <w:p>
            <w:pPr>
              <w:adjustRightInd w:val="0"/>
              <w:snapToGrid w:val="0"/>
              <w:jc w:val="center"/>
              <w:rPr>
                <w:rFonts w:eastAsia="仿宋_GB2312"/>
                <w:szCs w:val="21"/>
              </w:rPr>
            </w:pPr>
            <w:r>
              <w:rPr>
                <w:rFonts w:hint="eastAsia" w:eastAsia="仿宋_GB2312"/>
                <w:szCs w:val="21"/>
              </w:rPr>
              <w:t>28</w:t>
            </w:r>
          </w:p>
        </w:tc>
        <w:tc>
          <w:tcPr>
            <w:tcW w:w="983" w:type="dxa"/>
            <w:vAlign w:val="center"/>
          </w:tcPr>
          <w:p>
            <w:pPr>
              <w:adjustRightInd w:val="0"/>
              <w:snapToGrid w:val="0"/>
              <w:jc w:val="center"/>
              <w:rPr>
                <w:rFonts w:eastAsia="仿宋_GB2312"/>
                <w:szCs w:val="21"/>
              </w:rPr>
            </w:pPr>
            <w:r>
              <w:rPr>
                <w:rFonts w:hint="eastAsia" w:eastAsia="仿宋_GB2312"/>
                <w:szCs w:val="21"/>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568" w:type="dxa"/>
            <w:vAlign w:val="center"/>
          </w:tcPr>
          <w:p>
            <w:pPr>
              <w:adjustRightInd w:val="0"/>
              <w:snapToGrid w:val="0"/>
              <w:jc w:val="center"/>
              <w:rPr>
                <w:rFonts w:eastAsia="仿宋_GB2312"/>
                <w:bCs/>
                <w:szCs w:val="21"/>
              </w:rPr>
            </w:pPr>
            <w:r>
              <w:rPr>
                <w:rFonts w:hint="eastAsia" w:eastAsia="仿宋_GB2312"/>
                <w:bCs/>
                <w:szCs w:val="21"/>
              </w:rPr>
              <w:t>间,对二甲苯</w:t>
            </w:r>
          </w:p>
        </w:tc>
        <w:tc>
          <w:tcPr>
            <w:tcW w:w="0" w:type="auto"/>
            <w:vAlign w:val="center"/>
          </w:tcPr>
          <w:p>
            <w:pPr>
              <w:adjustRightInd w:val="0"/>
              <w:snapToGrid w:val="0"/>
              <w:jc w:val="center"/>
              <w:rPr>
                <w:rFonts w:eastAsia="仿宋_GB2312"/>
                <w:szCs w:val="21"/>
              </w:rPr>
            </w:pPr>
            <w:r>
              <w:rPr>
                <w:rFonts w:eastAsia="仿宋_GB2312"/>
                <w:szCs w:val="21"/>
              </w:rPr>
              <w:t>m</w:t>
            </w:r>
            <w:r>
              <w:rPr>
                <w:rFonts w:hint="eastAsia" w:eastAsia="仿宋_GB2312"/>
                <w:szCs w:val="21"/>
              </w:rPr>
              <w:t>g/</w:t>
            </w:r>
            <w:r>
              <w:rPr>
                <w:rFonts w:eastAsia="仿宋_GB2312"/>
                <w:szCs w:val="21"/>
              </w:rPr>
              <w:t>kg</w:t>
            </w:r>
          </w:p>
        </w:tc>
        <w:tc>
          <w:tcPr>
            <w:tcW w:w="0" w:type="auto"/>
            <w:vAlign w:val="center"/>
          </w:tcPr>
          <w:p>
            <w:pPr>
              <w:adjustRightInd w:val="0"/>
              <w:snapToGrid w:val="0"/>
              <w:jc w:val="center"/>
              <w:rPr>
                <w:rFonts w:eastAsia="仿宋_GB2312"/>
                <w:szCs w:val="21"/>
              </w:rPr>
            </w:pPr>
            <w:r>
              <w:rPr>
                <w:rFonts w:hint="eastAsia" w:eastAsia="仿宋_GB2312"/>
                <w:szCs w:val="21"/>
              </w:rPr>
              <w:t>0.0012</w:t>
            </w:r>
          </w:p>
        </w:tc>
        <w:tc>
          <w:tcPr>
            <w:tcW w:w="942" w:type="dxa"/>
            <w:vAlign w:val="center"/>
          </w:tcPr>
          <w:p>
            <w:pPr>
              <w:adjustRightInd w:val="0"/>
              <w:snapToGrid w:val="0"/>
              <w:jc w:val="center"/>
              <w:rPr>
                <w:rFonts w:eastAsia="仿宋_GB2312"/>
                <w:szCs w:val="21"/>
              </w:rPr>
            </w:pPr>
            <w:r>
              <w:rPr>
                <w:rFonts w:hint="eastAsia" w:eastAsia="仿宋_GB2312"/>
                <w:szCs w:val="21"/>
              </w:rPr>
              <w:t>ND</w:t>
            </w:r>
          </w:p>
        </w:tc>
        <w:tc>
          <w:tcPr>
            <w:tcW w:w="1010" w:type="dxa"/>
            <w:vAlign w:val="center"/>
          </w:tcPr>
          <w:p>
            <w:pPr>
              <w:adjustRightInd w:val="0"/>
              <w:snapToGrid w:val="0"/>
              <w:jc w:val="center"/>
              <w:rPr>
                <w:rFonts w:eastAsia="仿宋_GB2312"/>
                <w:szCs w:val="21"/>
              </w:rPr>
            </w:pPr>
            <w:r>
              <w:rPr>
                <w:rFonts w:hint="eastAsia" w:eastAsia="仿宋_GB2312"/>
                <w:szCs w:val="21"/>
              </w:rPr>
              <w:t>ND</w:t>
            </w:r>
          </w:p>
        </w:tc>
        <w:tc>
          <w:tcPr>
            <w:tcW w:w="1155" w:type="dxa"/>
            <w:vAlign w:val="center"/>
          </w:tcPr>
          <w:p>
            <w:pPr>
              <w:adjustRightInd w:val="0"/>
              <w:snapToGrid w:val="0"/>
              <w:jc w:val="center"/>
              <w:rPr>
                <w:rFonts w:eastAsia="仿宋_GB2312"/>
                <w:szCs w:val="21"/>
              </w:rPr>
            </w:pPr>
            <w:r>
              <w:rPr>
                <w:rFonts w:hint="eastAsia" w:eastAsia="仿宋_GB2312"/>
                <w:szCs w:val="21"/>
              </w:rPr>
              <w:t>ND</w:t>
            </w:r>
          </w:p>
        </w:tc>
        <w:tc>
          <w:tcPr>
            <w:tcW w:w="1056" w:type="dxa"/>
            <w:vAlign w:val="center"/>
          </w:tcPr>
          <w:p>
            <w:pPr>
              <w:jc w:val="center"/>
              <w:rPr>
                <w:rFonts w:eastAsia="仿宋_GB2312"/>
                <w:szCs w:val="21"/>
              </w:rPr>
            </w:pPr>
            <w:r>
              <w:rPr>
                <w:rFonts w:hint="eastAsia" w:eastAsia="仿宋_GB2312"/>
                <w:szCs w:val="21"/>
              </w:rPr>
              <w:t>ND</w:t>
            </w:r>
          </w:p>
        </w:tc>
        <w:tc>
          <w:tcPr>
            <w:tcW w:w="0" w:type="auto"/>
            <w:vAlign w:val="center"/>
          </w:tcPr>
          <w:p>
            <w:pPr>
              <w:adjustRightInd w:val="0"/>
              <w:snapToGrid w:val="0"/>
              <w:jc w:val="center"/>
              <w:rPr>
                <w:rFonts w:eastAsia="仿宋_GB2312"/>
                <w:szCs w:val="21"/>
              </w:rPr>
            </w:pPr>
            <w:r>
              <w:rPr>
                <w:rFonts w:hint="eastAsia" w:eastAsia="仿宋_GB2312"/>
                <w:szCs w:val="21"/>
              </w:rPr>
              <w:t>570</w:t>
            </w:r>
          </w:p>
        </w:tc>
        <w:tc>
          <w:tcPr>
            <w:tcW w:w="983" w:type="dxa"/>
            <w:vAlign w:val="center"/>
          </w:tcPr>
          <w:p>
            <w:pPr>
              <w:adjustRightInd w:val="0"/>
              <w:snapToGrid w:val="0"/>
              <w:jc w:val="center"/>
              <w:rPr>
                <w:rFonts w:eastAsia="仿宋_GB2312"/>
                <w:szCs w:val="21"/>
              </w:rPr>
            </w:pPr>
            <w:r>
              <w:rPr>
                <w:rFonts w:hint="eastAsia" w:eastAsia="仿宋_GB2312"/>
                <w:szCs w:val="21"/>
              </w:rPr>
              <w:t>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568" w:type="dxa"/>
            <w:vAlign w:val="center"/>
          </w:tcPr>
          <w:p>
            <w:pPr>
              <w:adjustRightInd w:val="0"/>
              <w:snapToGrid w:val="0"/>
              <w:jc w:val="center"/>
              <w:rPr>
                <w:rFonts w:eastAsia="仿宋_GB2312"/>
                <w:bCs/>
                <w:szCs w:val="21"/>
              </w:rPr>
            </w:pPr>
            <w:r>
              <w:rPr>
                <w:rFonts w:hint="eastAsia" w:eastAsia="仿宋_GB2312"/>
                <w:bCs/>
                <w:szCs w:val="21"/>
              </w:rPr>
              <w:t>邻二甲苯</w:t>
            </w:r>
          </w:p>
        </w:tc>
        <w:tc>
          <w:tcPr>
            <w:tcW w:w="0" w:type="auto"/>
            <w:vAlign w:val="center"/>
          </w:tcPr>
          <w:p>
            <w:pPr>
              <w:adjustRightInd w:val="0"/>
              <w:snapToGrid w:val="0"/>
              <w:jc w:val="center"/>
              <w:rPr>
                <w:rFonts w:eastAsia="仿宋_GB2312"/>
                <w:szCs w:val="21"/>
              </w:rPr>
            </w:pPr>
            <w:r>
              <w:rPr>
                <w:rFonts w:eastAsia="仿宋_GB2312"/>
                <w:szCs w:val="21"/>
              </w:rPr>
              <w:t>m</w:t>
            </w:r>
            <w:r>
              <w:rPr>
                <w:rFonts w:hint="eastAsia" w:eastAsia="仿宋_GB2312"/>
                <w:szCs w:val="21"/>
              </w:rPr>
              <w:t>g/</w:t>
            </w:r>
            <w:r>
              <w:rPr>
                <w:rFonts w:eastAsia="仿宋_GB2312"/>
                <w:szCs w:val="21"/>
              </w:rPr>
              <w:t>kg</w:t>
            </w:r>
          </w:p>
        </w:tc>
        <w:tc>
          <w:tcPr>
            <w:tcW w:w="0" w:type="auto"/>
            <w:vAlign w:val="center"/>
          </w:tcPr>
          <w:p>
            <w:pPr>
              <w:adjustRightInd w:val="0"/>
              <w:snapToGrid w:val="0"/>
              <w:jc w:val="center"/>
              <w:rPr>
                <w:rFonts w:eastAsia="仿宋_GB2312"/>
                <w:szCs w:val="21"/>
              </w:rPr>
            </w:pPr>
            <w:r>
              <w:rPr>
                <w:rFonts w:hint="eastAsia" w:eastAsia="仿宋_GB2312"/>
                <w:szCs w:val="21"/>
              </w:rPr>
              <w:t>0.0012</w:t>
            </w:r>
          </w:p>
        </w:tc>
        <w:tc>
          <w:tcPr>
            <w:tcW w:w="942" w:type="dxa"/>
            <w:vAlign w:val="center"/>
          </w:tcPr>
          <w:p>
            <w:pPr>
              <w:adjustRightInd w:val="0"/>
              <w:snapToGrid w:val="0"/>
              <w:jc w:val="center"/>
              <w:rPr>
                <w:rFonts w:eastAsia="仿宋_GB2312"/>
                <w:szCs w:val="21"/>
              </w:rPr>
            </w:pPr>
            <w:r>
              <w:rPr>
                <w:rFonts w:hint="eastAsia" w:eastAsia="仿宋_GB2312"/>
                <w:szCs w:val="21"/>
              </w:rPr>
              <w:t>ND</w:t>
            </w:r>
          </w:p>
        </w:tc>
        <w:tc>
          <w:tcPr>
            <w:tcW w:w="1010" w:type="dxa"/>
            <w:vAlign w:val="center"/>
          </w:tcPr>
          <w:p>
            <w:pPr>
              <w:adjustRightInd w:val="0"/>
              <w:snapToGrid w:val="0"/>
              <w:jc w:val="center"/>
              <w:rPr>
                <w:rFonts w:eastAsia="仿宋_GB2312"/>
                <w:szCs w:val="21"/>
              </w:rPr>
            </w:pPr>
            <w:r>
              <w:rPr>
                <w:rFonts w:hint="eastAsia" w:eastAsia="仿宋_GB2312"/>
                <w:szCs w:val="21"/>
              </w:rPr>
              <w:t>ND</w:t>
            </w:r>
          </w:p>
        </w:tc>
        <w:tc>
          <w:tcPr>
            <w:tcW w:w="1155" w:type="dxa"/>
            <w:vAlign w:val="center"/>
          </w:tcPr>
          <w:p>
            <w:pPr>
              <w:adjustRightInd w:val="0"/>
              <w:snapToGrid w:val="0"/>
              <w:jc w:val="center"/>
              <w:rPr>
                <w:rFonts w:eastAsia="仿宋_GB2312"/>
                <w:szCs w:val="21"/>
              </w:rPr>
            </w:pPr>
            <w:r>
              <w:rPr>
                <w:rFonts w:hint="eastAsia" w:eastAsia="仿宋_GB2312"/>
                <w:szCs w:val="21"/>
              </w:rPr>
              <w:t>ND</w:t>
            </w:r>
          </w:p>
        </w:tc>
        <w:tc>
          <w:tcPr>
            <w:tcW w:w="1056" w:type="dxa"/>
            <w:vAlign w:val="center"/>
          </w:tcPr>
          <w:p>
            <w:pPr>
              <w:jc w:val="center"/>
              <w:rPr>
                <w:rFonts w:eastAsia="仿宋_GB2312"/>
                <w:szCs w:val="21"/>
              </w:rPr>
            </w:pPr>
            <w:r>
              <w:rPr>
                <w:rFonts w:hint="eastAsia" w:eastAsia="仿宋_GB2312"/>
                <w:szCs w:val="21"/>
              </w:rPr>
              <w:t>ND</w:t>
            </w:r>
          </w:p>
        </w:tc>
        <w:tc>
          <w:tcPr>
            <w:tcW w:w="0" w:type="auto"/>
            <w:vAlign w:val="center"/>
          </w:tcPr>
          <w:p>
            <w:pPr>
              <w:adjustRightInd w:val="0"/>
              <w:snapToGrid w:val="0"/>
              <w:jc w:val="center"/>
              <w:rPr>
                <w:rFonts w:eastAsia="仿宋_GB2312"/>
                <w:szCs w:val="21"/>
              </w:rPr>
            </w:pPr>
            <w:r>
              <w:rPr>
                <w:rFonts w:hint="eastAsia" w:eastAsia="仿宋_GB2312"/>
                <w:szCs w:val="21"/>
              </w:rPr>
              <w:t>640</w:t>
            </w:r>
          </w:p>
        </w:tc>
        <w:tc>
          <w:tcPr>
            <w:tcW w:w="983" w:type="dxa"/>
            <w:vAlign w:val="center"/>
          </w:tcPr>
          <w:p>
            <w:pPr>
              <w:adjustRightInd w:val="0"/>
              <w:snapToGrid w:val="0"/>
              <w:jc w:val="center"/>
              <w:rPr>
                <w:rFonts w:eastAsia="仿宋_GB2312"/>
                <w:szCs w:val="21"/>
              </w:rPr>
            </w:pPr>
            <w:r>
              <w:rPr>
                <w:rFonts w:hint="eastAsia" w:eastAsia="仿宋_GB2312"/>
                <w:szCs w:val="21"/>
              </w:rPr>
              <w:t>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568" w:type="dxa"/>
            <w:vAlign w:val="center"/>
          </w:tcPr>
          <w:p>
            <w:pPr>
              <w:adjustRightInd w:val="0"/>
              <w:snapToGrid w:val="0"/>
              <w:jc w:val="center"/>
              <w:rPr>
                <w:rFonts w:eastAsia="仿宋_GB2312"/>
                <w:bCs/>
                <w:szCs w:val="21"/>
              </w:rPr>
            </w:pPr>
            <w:r>
              <w:rPr>
                <w:rFonts w:hint="eastAsia" w:eastAsia="仿宋_GB2312"/>
                <w:bCs/>
                <w:szCs w:val="21"/>
              </w:rPr>
              <w:t>苯乙烯</w:t>
            </w:r>
          </w:p>
        </w:tc>
        <w:tc>
          <w:tcPr>
            <w:tcW w:w="0" w:type="auto"/>
            <w:vAlign w:val="center"/>
          </w:tcPr>
          <w:p>
            <w:pPr>
              <w:adjustRightInd w:val="0"/>
              <w:snapToGrid w:val="0"/>
              <w:jc w:val="center"/>
              <w:rPr>
                <w:rFonts w:eastAsia="仿宋_GB2312"/>
                <w:szCs w:val="21"/>
              </w:rPr>
            </w:pPr>
            <w:r>
              <w:rPr>
                <w:rFonts w:eastAsia="仿宋_GB2312"/>
                <w:szCs w:val="21"/>
              </w:rPr>
              <w:t>m</w:t>
            </w:r>
            <w:r>
              <w:rPr>
                <w:rFonts w:hint="eastAsia" w:eastAsia="仿宋_GB2312"/>
                <w:szCs w:val="21"/>
              </w:rPr>
              <w:t>g/</w:t>
            </w:r>
            <w:r>
              <w:rPr>
                <w:rFonts w:eastAsia="仿宋_GB2312"/>
                <w:szCs w:val="21"/>
              </w:rPr>
              <w:t>kg</w:t>
            </w:r>
          </w:p>
        </w:tc>
        <w:tc>
          <w:tcPr>
            <w:tcW w:w="0" w:type="auto"/>
            <w:vAlign w:val="center"/>
          </w:tcPr>
          <w:p>
            <w:pPr>
              <w:adjustRightInd w:val="0"/>
              <w:snapToGrid w:val="0"/>
              <w:jc w:val="center"/>
              <w:rPr>
                <w:rFonts w:eastAsia="仿宋_GB2312"/>
                <w:szCs w:val="21"/>
              </w:rPr>
            </w:pPr>
            <w:r>
              <w:rPr>
                <w:rFonts w:hint="eastAsia" w:eastAsia="仿宋_GB2312"/>
                <w:szCs w:val="21"/>
              </w:rPr>
              <w:t>0.0011</w:t>
            </w:r>
          </w:p>
        </w:tc>
        <w:tc>
          <w:tcPr>
            <w:tcW w:w="942" w:type="dxa"/>
            <w:vAlign w:val="center"/>
          </w:tcPr>
          <w:p>
            <w:pPr>
              <w:adjustRightInd w:val="0"/>
              <w:snapToGrid w:val="0"/>
              <w:jc w:val="center"/>
              <w:rPr>
                <w:rFonts w:eastAsia="仿宋_GB2312"/>
                <w:szCs w:val="21"/>
              </w:rPr>
            </w:pPr>
            <w:r>
              <w:rPr>
                <w:rFonts w:hint="eastAsia" w:eastAsia="仿宋_GB2312"/>
                <w:szCs w:val="21"/>
              </w:rPr>
              <w:t>ND</w:t>
            </w:r>
          </w:p>
        </w:tc>
        <w:tc>
          <w:tcPr>
            <w:tcW w:w="1010" w:type="dxa"/>
            <w:vAlign w:val="center"/>
          </w:tcPr>
          <w:p>
            <w:pPr>
              <w:adjustRightInd w:val="0"/>
              <w:snapToGrid w:val="0"/>
              <w:jc w:val="center"/>
              <w:rPr>
                <w:rFonts w:eastAsia="仿宋_GB2312"/>
                <w:szCs w:val="21"/>
              </w:rPr>
            </w:pPr>
            <w:r>
              <w:rPr>
                <w:rFonts w:hint="eastAsia" w:eastAsia="仿宋_GB2312"/>
                <w:szCs w:val="21"/>
              </w:rPr>
              <w:t>ND</w:t>
            </w:r>
          </w:p>
        </w:tc>
        <w:tc>
          <w:tcPr>
            <w:tcW w:w="1155" w:type="dxa"/>
            <w:vAlign w:val="center"/>
          </w:tcPr>
          <w:p>
            <w:pPr>
              <w:adjustRightInd w:val="0"/>
              <w:snapToGrid w:val="0"/>
              <w:jc w:val="center"/>
              <w:rPr>
                <w:rFonts w:eastAsia="仿宋_GB2312"/>
                <w:szCs w:val="21"/>
              </w:rPr>
            </w:pPr>
            <w:r>
              <w:rPr>
                <w:rFonts w:hint="eastAsia" w:eastAsia="仿宋_GB2312"/>
                <w:szCs w:val="21"/>
              </w:rPr>
              <w:t>ND</w:t>
            </w:r>
          </w:p>
        </w:tc>
        <w:tc>
          <w:tcPr>
            <w:tcW w:w="1056" w:type="dxa"/>
            <w:vAlign w:val="center"/>
          </w:tcPr>
          <w:p>
            <w:pPr>
              <w:jc w:val="center"/>
              <w:rPr>
                <w:rFonts w:eastAsia="仿宋_GB2312"/>
                <w:szCs w:val="21"/>
              </w:rPr>
            </w:pPr>
            <w:r>
              <w:rPr>
                <w:rFonts w:hint="eastAsia" w:eastAsia="仿宋_GB2312"/>
                <w:szCs w:val="21"/>
              </w:rPr>
              <w:t>ND</w:t>
            </w:r>
          </w:p>
        </w:tc>
        <w:tc>
          <w:tcPr>
            <w:tcW w:w="0" w:type="auto"/>
            <w:vAlign w:val="center"/>
          </w:tcPr>
          <w:p>
            <w:pPr>
              <w:adjustRightInd w:val="0"/>
              <w:snapToGrid w:val="0"/>
              <w:jc w:val="center"/>
              <w:rPr>
                <w:rFonts w:eastAsia="仿宋_GB2312"/>
                <w:szCs w:val="21"/>
              </w:rPr>
            </w:pPr>
            <w:r>
              <w:rPr>
                <w:rFonts w:hint="eastAsia" w:eastAsia="仿宋_GB2312"/>
                <w:szCs w:val="21"/>
              </w:rPr>
              <w:t>1290</w:t>
            </w:r>
          </w:p>
        </w:tc>
        <w:tc>
          <w:tcPr>
            <w:tcW w:w="983" w:type="dxa"/>
            <w:vAlign w:val="center"/>
          </w:tcPr>
          <w:p>
            <w:pPr>
              <w:adjustRightInd w:val="0"/>
              <w:snapToGrid w:val="0"/>
              <w:jc w:val="center"/>
              <w:rPr>
                <w:rFonts w:eastAsia="仿宋_GB2312"/>
                <w:szCs w:val="21"/>
              </w:rPr>
            </w:pPr>
            <w:r>
              <w:rPr>
                <w:rFonts w:hint="eastAsia" w:eastAsia="仿宋_GB2312"/>
                <w:szCs w:val="21"/>
              </w:rPr>
              <w:t>1290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568" w:type="dxa"/>
            <w:vAlign w:val="center"/>
          </w:tcPr>
          <w:p>
            <w:pPr>
              <w:adjustRightInd w:val="0"/>
              <w:snapToGrid w:val="0"/>
              <w:jc w:val="center"/>
              <w:rPr>
                <w:rFonts w:eastAsia="仿宋_GB2312"/>
                <w:bCs/>
                <w:szCs w:val="21"/>
              </w:rPr>
            </w:pPr>
            <w:r>
              <w:rPr>
                <w:rFonts w:hint="eastAsia" w:eastAsia="仿宋_GB2312"/>
                <w:bCs/>
                <w:szCs w:val="21"/>
              </w:rPr>
              <w:t>1,1,2,2-四氯乙烷</w:t>
            </w:r>
          </w:p>
        </w:tc>
        <w:tc>
          <w:tcPr>
            <w:tcW w:w="0" w:type="auto"/>
            <w:vAlign w:val="center"/>
          </w:tcPr>
          <w:p>
            <w:pPr>
              <w:adjustRightInd w:val="0"/>
              <w:snapToGrid w:val="0"/>
              <w:jc w:val="center"/>
              <w:rPr>
                <w:rFonts w:eastAsia="仿宋_GB2312"/>
                <w:szCs w:val="21"/>
              </w:rPr>
            </w:pPr>
            <w:r>
              <w:rPr>
                <w:rFonts w:eastAsia="仿宋_GB2312"/>
                <w:szCs w:val="21"/>
              </w:rPr>
              <w:t>m</w:t>
            </w:r>
            <w:r>
              <w:rPr>
                <w:rFonts w:hint="eastAsia" w:eastAsia="仿宋_GB2312"/>
                <w:szCs w:val="21"/>
              </w:rPr>
              <w:t>g/</w:t>
            </w:r>
            <w:r>
              <w:rPr>
                <w:rFonts w:eastAsia="仿宋_GB2312"/>
                <w:szCs w:val="21"/>
              </w:rPr>
              <w:t>kg</w:t>
            </w:r>
          </w:p>
        </w:tc>
        <w:tc>
          <w:tcPr>
            <w:tcW w:w="0" w:type="auto"/>
            <w:vAlign w:val="center"/>
          </w:tcPr>
          <w:p>
            <w:pPr>
              <w:adjustRightInd w:val="0"/>
              <w:snapToGrid w:val="0"/>
              <w:jc w:val="center"/>
              <w:rPr>
                <w:rFonts w:eastAsia="仿宋_GB2312"/>
                <w:szCs w:val="21"/>
              </w:rPr>
            </w:pPr>
            <w:r>
              <w:rPr>
                <w:rFonts w:hint="eastAsia" w:eastAsia="仿宋_GB2312"/>
                <w:szCs w:val="21"/>
              </w:rPr>
              <w:t>0.0012</w:t>
            </w:r>
          </w:p>
        </w:tc>
        <w:tc>
          <w:tcPr>
            <w:tcW w:w="942" w:type="dxa"/>
            <w:vAlign w:val="center"/>
          </w:tcPr>
          <w:p>
            <w:pPr>
              <w:adjustRightInd w:val="0"/>
              <w:snapToGrid w:val="0"/>
              <w:jc w:val="center"/>
              <w:rPr>
                <w:rFonts w:eastAsia="仿宋_GB2312"/>
                <w:szCs w:val="21"/>
              </w:rPr>
            </w:pPr>
            <w:r>
              <w:rPr>
                <w:rFonts w:hint="eastAsia" w:eastAsia="仿宋_GB2312"/>
                <w:szCs w:val="21"/>
              </w:rPr>
              <w:t>ND</w:t>
            </w:r>
          </w:p>
        </w:tc>
        <w:tc>
          <w:tcPr>
            <w:tcW w:w="1010" w:type="dxa"/>
            <w:vAlign w:val="center"/>
          </w:tcPr>
          <w:p>
            <w:pPr>
              <w:jc w:val="center"/>
              <w:rPr>
                <w:rFonts w:eastAsia="仿宋_GB2312"/>
                <w:szCs w:val="21"/>
              </w:rPr>
            </w:pPr>
            <w:r>
              <w:rPr>
                <w:rFonts w:hint="eastAsia" w:eastAsia="仿宋_GB2312"/>
                <w:szCs w:val="21"/>
              </w:rPr>
              <w:t>ND</w:t>
            </w:r>
          </w:p>
        </w:tc>
        <w:tc>
          <w:tcPr>
            <w:tcW w:w="1155" w:type="dxa"/>
            <w:vAlign w:val="center"/>
          </w:tcPr>
          <w:p>
            <w:pPr>
              <w:adjustRightInd w:val="0"/>
              <w:snapToGrid w:val="0"/>
              <w:jc w:val="center"/>
              <w:rPr>
                <w:rFonts w:eastAsia="仿宋_GB2312"/>
                <w:szCs w:val="21"/>
              </w:rPr>
            </w:pPr>
            <w:r>
              <w:rPr>
                <w:rFonts w:hint="eastAsia" w:eastAsia="仿宋_GB2312"/>
                <w:szCs w:val="21"/>
              </w:rPr>
              <w:t>ND</w:t>
            </w:r>
          </w:p>
        </w:tc>
        <w:tc>
          <w:tcPr>
            <w:tcW w:w="1056" w:type="dxa"/>
            <w:vAlign w:val="center"/>
          </w:tcPr>
          <w:p>
            <w:pPr>
              <w:jc w:val="center"/>
              <w:rPr>
                <w:rFonts w:eastAsia="仿宋_GB2312"/>
                <w:szCs w:val="21"/>
              </w:rPr>
            </w:pPr>
            <w:r>
              <w:rPr>
                <w:rFonts w:hint="eastAsia" w:eastAsia="仿宋_GB2312"/>
                <w:szCs w:val="21"/>
              </w:rPr>
              <w:t>ND</w:t>
            </w:r>
          </w:p>
        </w:tc>
        <w:tc>
          <w:tcPr>
            <w:tcW w:w="0" w:type="auto"/>
            <w:vAlign w:val="center"/>
          </w:tcPr>
          <w:p>
            <w:pPr>
              <w:adjustRightInd w:val="0"/>
              <w:snapToGrid w:val="0"/>
              <w:jc w:val="center"/>
              <w:rPr>
                <w:rFonts w:eastAsia="仿宋_GB2312"/>
                <w:szCs w:val="21"/>
              </w:rPr>
            </w:pPr>
            <w:r>
              <w:rPr>
                <w:rFonts w:hint="eastAsia" w:eastAsia="仿宋_GB2312"/>
                <w:szCs w:val="21"/>
              </w:rPr>
              <w:t>6.8</w:t>
            </w:r>
          </w:p>
        </w:tc>
        <w:tc>
          <w:tcPr>
            <w:tcW w:w="983" w:type="dxa"/>
            <w:vAlign w:val="center"/>
          </w:tcPr>
          <w:p>
            <w:pPr>
              <w:adjustRightInd w:val="0"/>
              <w:snapToGrid w:val="0"/>
              <w:jc w:val="center"/>
              <w:rPr>
                <w:rFonts w:eastAsia="仿宋_GB2312"/>
                <w:szCs w:val="21"/>
              </w:rPr>
            </w:pPr>
            <w:r>
              <w:rPr>
                <w:rFonts w:hint="eastAsia" w:eastAsia="仿宋_GB2312"/>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568" w:type="dxa"/>
            <w:vAlign w:val="center"/>
          </w:tcPr>
          <w:p>
            <w:pPr>
              <w:adjustRightInd w:val="0"/>
              <w:snapToGrid w:val="0"/>
              <w:jc w:val="center"/>
              <w:rPr>
                <w:rFonts w:eastAsia="仿宋_GB2312"/>
                <w:bCs/>
                <w:szCs w:val="21"/>
              </w:rPr>
            </w:pPr>
            <w:r>
              <w:rPr>
                <w:rFonts w:hint="eastAsia" w:eastAsia="仿宋_GB2312"/>
                <w:bCs/>
                <w:szCs w:val="21"/>
              </w:rPr>
              <w:t>1,2,3-三氯丙烷</w:t>
            </w:r>
          </w:p>
        </w:tc>
        <w:tc>
          <w:tcPr>
            <w:tcW w:w="0" w:type="auto"/>
            <w:vAlign w:val="center"/>
          </w:tcPr>
          <w:p>
            <w:pPr>
              <w:adjustRightInd w:val="0"/>
              <w:snapToGrid w:val="0"/>
              <w:jc w:val="center"/>
              <w:rPr>
                <w:rFonts w:eastAsia="仿宋_GB2312"/>
                <w:szCs w:val="21"/>
              </w:rPr>
            </w:pPr>
            <w:r>
              <w:rPr>
                <w:rFonts w:eastAsia="仿宋_GB2312"/>
                <w:szCs w:val="21"/>
              </w:rPr>
              <w:t>m</w:t>
            </w:r>
            <w:r>
              <w:rPr>
                <w:rFonts w:hint="eastAsia" w:eastAsia="仿宋_GB2312"/>
                <w:szCs w:val="21"/>
              </w:rPr>
              <w:t>g/</w:t>
            </w:r>
            <w:r>
              <w:rPr>
                <w:rFonts w:eastAsia="仿宋_GB2312"/>
                <w:szCs w:val="21"/>
              </w:rPr>
              <w:t>kg</w:t>
            </w:r>
          </w:p>
        </w:tc>
        <w:tc>
          <w:tcPr>
            <w:tcW w:w="0" w:type="auto"/>
            <w:vAlign w:val="center"/>
          </w:tcPr>
          <w:p>
            <w:pPr>
              <w:adjustRightInd w:val="0"/>
              <w:snapToGrid w:val="0"/>
              <w:jc w:val="center"/>
              <w:rPr>
                <w:rFonts w:eastAsia="仿宋_GB2312"/>
                <w:szCs w:val="21"/>
              </w:rPr>
            </w:pPr>
            <w:r>
              <w:rPr>
                <w:rFonts w:hint="eastAsia" w:eastAsia="仿宋_GB2312"/>
                <w:szCs w:val="21"/>
              </w:rPr>
              <w:t>0.0012</w:t>
            </w:r>
          </w:p>
        </w:tc>
        <w:tc>
          <w:tcPr>
            <w:tcW w:w="942" w:type="dxa"/>
            <w:vAlign w:val="center"/>
          </w:tcPr>
          <w:p>
            <w:pPr>
              <w:adjustRightInd w:val="0"/>
              <w:snapToGrid w:val="0"/>
              <w:jc w:val="center"/>
              <w:rPr>
                <w:rFonts w:eastAsia="仿宋_GB2312"/>
                <w:szCs w:val="21"/>
              </w:rPr>
            </w:pPr>
            <w:r>
              <w:rPr>
                <w:rFonts w:hint="eastAsia" w:eastAsia="仿宋_GB2312"/>
                <w:szCs w:val="21"/>
              </w:rPr>
              <w:t>ND</w:t>
            </w:r>
          </w:p>
        </w:tc>
        <w:tc>
          <w:tcPr>
            <w:tcW w:w="1010" w:type="dxa"/>
            <w:vAlign w:val="center"/>
          </w:tcPr>
          <w:p>
            <w:pPr>
              <w:jc w:val="center"/>
              <w:rPr>
                <w:rFonts w:eastAsia="仿宋_GB2312"/>
                <w:szCs w:val="21"/>
              </w:rPr>
            </w:pPr>
            <w:r>
              <w:rPr>
                <w:rFonts w:hint="eastAsia" w:eastAsia="仿宋_GB2312"/>
                <w:szCs w:val="21"/>
              </w:rPr>
              <w:t>ND</w:t>
            </w:r>
          </w:p>
        </w:tc>
        <w:tc>
          <w:tcPr>
            <w:tcW w:w="1155" w:type="dxa"/>
            <w:vAlign w:val="center"/>
          </w:tcPr>
          <w:p>
            <w:pPr>
              <w:adjustRightInd w:val="0"/>
              <w:snapToGrid w:val="0"/>
              <w:jc w:val="center"/>
              <w:rPr>
                <w:rFonts w:eastAsia="仿宋_GB2312"/>
                <w:szCs w:val="21"/>
              </w:rPr>
            </w:pPr>
            <w:r>
              <w:rPr>
                <w:rFonts w:hint="eastAsia" w:eastAsia="仿宋_GB2312"/>
                <w:szCs w:val="21"/>
              </w:rPr>
              <w:t>ND</w:t>
            </w:r>
          </w:p>
        </w:tc>
        <w:tc>
          <w:tcPr>
            <w:tcW w:w="1056" w:type="dxa"/>
            <w:vAlign w:val="center"/>
          </w:tcPr>
          <w:p>
            <w:pPr>
              <w:jc w:val="center"/>
              <w:rPr>
                <w:rFonts w:eastAsia="仿宋_GB2312"/>
                <w:szCs w:val="21"/>
              </w:rPr>
            </w:pPr>
            <w:r>
              <w:rPr>
                <w:rFonts w:hint="eastAsia" w:eastAsia="仿宋_GB2312"/>
                <w:szCs w:val="21"/>
              </w:rPr>
              <w:t>ND</w:t>
            </w:r>
          </w:p>
        </w:tc>
        <w:tc>
          <w:tcPr>
            <w:tcW w:w="0" w:type="auto"/>
            <w:vAlign w:val="center"/>
          </w:tcPr>
          <w:p>
            <w:pPr>
              <w:adjustRightInd w:val="0"/>
              <w:snapToGrid w:val="0"/>
              <w:jc w:val="center"/>
              <w:rPr>
                <w:rFonts w:eastAsia="仿宋_GB2312"/>
                <w:szCs w:val="21"/>
              </w:rPr>
            </w:pPr>
            <w:r>
              <w:rPr>
                <w:rFonts w:hint="eastAsia" w:eastAsia="仿宋_GB2312"/>
                <w:szCs w:val="21"/>
              </w:rPr>
              <w:t>0.5</w:t>
            </w:r>
          </w:p>
        </w:tc>
        <w:tc>
          <w:tcPr>
            <w:tcW w:w="983" w:type="dxa"/>
            <w:vAlign w:val="center"/>
          </w:tcPr>
          <w:p>
            <w:pPr>
              <w:adjustRightInd w:val="0"/>
              <w:snapToGrid w:val="0"/>
              <w:jc w:val="center"/>
              <w:rPr>
                <w:rFonts w:eastAsia="仿宋_GB2312"/>
                <w:szCs w:val="21"/>
              </w:rPr>
            </w:pPr>
            <w:r>
              <w:rPr>
                <w:rFonts w:hint="eastAsia" w:eastAsia="仿宋_GB2312"/>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568" w:type="dxa"/>
            <w:vAlign w:val="center"/>
          </w:tcPr>
          <w:p>
            <w:pPr>
              <w:adjustRightInd w:val="0"/>
              <w:snapToGrid w:val="0"/>
              <w:jc w:val="center"/>
              <w:rPr>
                <w:rFonts w:eastAsia="仿宋_GB2312"/>
                <w:bCs/>
                <w:szCs w:val="21"/>
              </w:rPr>
            </w:pPr>
            <w:r>
              <w:rPr>
                <w:rFonts w:hint="eastAsia" w:eastAsia="仿宋_GB2312"/>
                <w:bCs/>
                <w:szCs w:val="21"/>
              </w:rPr>
              <w:t>1,4-二氯苯</w:t>
            </w:r>
          </w:p>
        </w:tc>
        <w:tc>
          <w:tcPr>
            <w:tcW w:w="0" w:type="auto"/>
            <w:vAlign w:val="center"/>
          </w:tcPr>
          <w:p>
            <w:pPr>
              <w:adjustRightInd w:val="0"/>
              <w:snapToGrid w:val="0"/>
              <w:jc w:val="center"/>
              <w:rPr>
                <w:rFonts w:eastAsia="仿宋_GB2312"/>
                <w:szCs w:val="21"/>
              </w:rPr>
            </w:pPr>
            <w:r>
              <w:rPr>
                <w:rFonts w:eastAsia="仿宋_GB2312"/>
                <w:szCs w:val="21"/>
              </w:rPr>
              <w:t>m</w:t>
            </w:r>
            <w:r>
              <w:rPr>
                <w:rFonts w:hint="eastAsia" w:eastAsia="仿宋_GB2312"/>
                <w:szCs w:val="21"/>
              </w:rPr>
              <w:t>g/</w:t>
            </w:r>
            <w:r>
              <w:rPr>
                <w:rFonts w:eastAsia="仿宋_GB2312"/>
                <w:szCs w:val="21"/>
              </w:rPr>
              <w:t>kg</w:t>
            </w:r>
          </w:p>
        </w:tc>
        <w:tc>
          <w:tcPr>
            <w:tcW w:w="0" w:type="auto"/>
            <w:vAlign w:val="center"/>
          </w:tcPr>
          <w:p>
            <w:pPr>
              <w:adjustRightInd w:val="0"/>
              <w:snapToGrid w:val="0"/>
              <w:jc w:val="center"/>
              <w:rPr>
                <w:rFonts w:eastAsia="仿宋_GB2312"/>
                <w:szCs w:val="21"/>
              </w:rPr>
            </w:pPr>
            <w:r>
              <w:rPr>
                <w:rFonts w:hint="eastAsia" w:eastAsia="仿宋_GB2312"/>
                <w:szCs w:val="21"/>
              </w:rPr>
              <w:t>0.0015</w:t>
            </w:r>
          </w:p>
        </w:tc>
        <w:tc>
          <w:tcPr>
            <w:tcW w:w="942" w:type="dxa"/>
            <w:vAlign w:val="center"/>
          </w:tcPr>
          <w:p>
            <w:pPr>
              <w:adjustRightInd w:val="0"/>
              <w:snapToGrid w:val="0"/>
              <w:jc w:val="center"/>
              <w:rPr>
                <w:rFonts w:eastAsia="仿宋_GB2312"/>
                <w:szCs w:val="21"/>
              </w:rPr>
            </w:pPr>
            <w:r>
              <w:rPr>
                <w:rFonts w:hint="eastAsia" w:eastAsia="仿宋_GB2312"/>
                <w:szCs w:val="21"/>
              </w:rPr>
              <w:t>ND</w:t>
            </w:r>
          </w:p>
        </w:tc>
        <w:tc>
          <w:tcPr>
            <w:tcW w:w="1010" w:type="dxa"/>
            <w:vAlign w:val="center"/>
          </w:tcPr>
          <w:p>
            <w:pPr>
              <w:jc w:val="center"/>
              <w:rPr>
                <w:rFonts w:eastAsia="仿宋_GB2312"/>
                <w:szCs w:val="21"/>
              </w:rPr>
            </w:pPr>
            <w:r>
              <w:rPr>
                <w:rFonts w:hint="eastAsia" w:eastAsia="仿宋_GB2312"/>
                <w:szCs w:val="21"/>
              </w:rPr>
              <w:t>ND</w:t>
            </w:r>
          </w:p>
        </w:tc>
        <w:tc>
          <w:tcPr>
            <w:tcW w:w="1155" w:type="dxa"/>
            <w:vAlign w:val="center"/>
          </w:tcPr>
          <w:p>
            <w:pPr>
              <w:adjustRightInd w:val="0"/>
              <w:snapToGrid w:val="0"/>
              <w:jc w:val="center"/>
              <w:rPr>
                <w:rFonts w:eastAsia="仿宋_GB2312"/>
                <w:szCs w:val="21"/>
              </w:rPr>
            </w:pPr>
            <w:r>
              <w:rPr>
                <w:rFonts w:hint="eastAsia" w:eastAsia="仿宋_GB2312"/>
                <w:szCs w:val="21"/>
              </w:rPr>
              <w:t>ND</w:t>
            </w:r>
          </w:p>
        </w:tc>
        <w:tc>
          <w:tcPr>
            <w:tcW w:w="1056" w:type="dxa"/>
            <w:vAlign w:val="center"/>
          </w:tcPr>
          <w:p>
            <w:pPr>
              <w:jc w:val="center"/>
              <w:rPr>
                <w:rFonts w:eastAsia="仿宋_GB2312"/>
                <w:szCs w:val="21"/>
              </w:rPr>
            </w:pPr>
            <w:r>
              <w:rPr>
                <w:rFonts w:hint="eastAsia" w:eastAsia="仿宋_GB2312"/>
                <w:szCs w:val="21"/>
              </w:rPr>
              <w:t>ND</w:t>
            </w:r>
          </w:p>
        </w:tc>
        <w:tc>
          <w:tcPr>
            <w:tcW w:w="0" w:type="auto"/>
            <w:vAlign w:val="center"/>
          </w:tcPr>
          <w:p>
            <w:pPr>
              <w:adjustRightInd w:val="0"/>
              <w:snapToGrid w:val="0"/>
              <w:jc w:val="center"/>
              <w:rPr>
                <w:rFonts w:eastAsia="仿宋_GB2312"/>
                <w:szCs w:val="21"/>
              </w:rPr>
            </w:pPr>
            <w:r>
              <w:rPr>
                <w:rFonts w:hint="eastAsia" w:eastAsia="仿宋_GB2312"/>
                <w:szCs w:val="21"/>
              </w:rPr>
              <w:t>20</w:t>
            </w:r>
          </w:p>
        </w:tc>
        <w:tc>
          <w:tcPr>
            <w:tcW w:w="983" w:type="dxa"/>
            <w:vAlign w:val="center"/>
          </w:tcPr>
          <w:p>
            <w:pPr>
              <w:adjustRightInd w:val="0"/>
              <w:snapToGrid w:val="0"/>
              <w:jc w:val="center"/>
              <w:rPr>
                <w:rFonts w:eastAsia="仿宋_GB2312"/>
                <w:szCs w:val="21"/>
              </w:rPr>
            </w:pPr>
            <w:r>
              <w:rPr>
                <w:rFonts w:hint="eastAsia" w:eastAsia="仿宋_GB2312"/>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568" w:type="dxa"/>
            <w:vAlign w:val="center"/>
          </w:tcPr>
          <w:p>
            <w:pPr>
              <w:adjustRightInd w:val="0"/>
              <w:snapToGrid w:val="0"/>
              <w:jc w:val="center"/>
              <w:rPr>
                <w:rFonts w:eastAsia="仿宋_GB2312"/>
                <w:bCs/>
                <w:szCs w:val="21"/>
              </w:rPr>
            </w:pPr>
            <w:r>
              <w:rPr>
                <w:rFonts w:hint="eastAsia" w:eastAsia="仿宋_GB2312"/>
                <w:bCs/>
                <w:szCs w:val="21"/>
              </w:rPr>
              <w:t>1,2-二氯苯</w:t>
            </w:r>
          </w:p>
        </w:tc>
        <w:tc>
          <w:tcPr>
            <w:tcW w:w="0" w:type="auto"/>
            <w:vAlign w:val="center"/>
          </w:tcPr>
          <w:p>
            <w:pPr>
              <w:adjustRightInd w:val="0"/>
              <w:snapToGrid w:val="0"/>
              <w:jc w:val="center"/>
              <w:rPr>
                <w:rFonts w:eastAsia="仿宋_GB2312"/>
                <w:szCs w:val="21"/>
              </w:rPr>
            </w:pPr>
            <w:r>
              <w:rPr>
                <w:rFonts w:eastAsia="仿宋_GB2312"/>
                <w:szCs w:val="21"/>
              </w:rPr>
              <w:t>m</w:t>
            </w:r>
            <w:r>
              <w:rPr>
                <w:rFonts w:hint="eastAsia" w:eastAsia="仿宋_GB2312"/>
                <w:szCs w:val="21"/>
              </w:rPr>
              <w:t>g/</w:t>
            </w:r>
            <w:r>
              <w:rPr>
                <w:rFonts w:eastAsia="仿宋_GB2312"/>
                <w:szCs w:val="21"/>
              </w:rPr>
              <w:t>kg</w:t>
            </w:r>
          </w:p>
        </w:tc>
        <w:tc>
          <w:tcPr>
            <w:tcW w:w="0" w:type="auto"/>
            <w:vAlign w:val="center"/>
          </w:tcPr>
          <w:p>
            <w:pPr>
              <w:adjustRightInd w:val="0"/>
              <w:snapToGrid w:val="0"/>
              <w:jc w:val="center"/>
              <w:rPr>
                <w:rFonts w:eastAsia="仿宋_GB2312"/>
                <w:szCs w:val="21"/>
              </w:rPr>
            </w:pPr>
            <w:r>
              <w:rPr>
                <w:rFonts w:hint="eastAsia" w:eastAsia="仿宋_GB2312"/>
                <w:szCs w:val="21"/>
              </w:rPr>
              <w:t>0.0015</w:t>
            </w:r>
          </w:p>
        </w:tc>
        <w:tc>
          <w:tcPr>
            <w:tcW w:w="942" w:type="dxa"/>
            <w:vAlign w:val="center"/>
          </w:tcPr>
          <w:p>
            <w:pPr>
              <w:adjustRightInd w:val="0"/>
              <w:snapToGrid w:val="0"/>
              <w:jc w:val="center"/>
              <w:rPr>
                <w:rFonts w:eastAsia="仿宋_GB2312"/>
                <w:szCs w:val="21"/>
              </w:rPr>
            </w:pPr>
            <w:r>
              <w:rPr>
                <w:rFonts w:hint="eastAsia" w:eastAsia="仿宋_GB2312"/>
                <w:szCs w:val="21"/>
              </w:rPr>
              <w:t>ND</w:t>
            </w:r>
          </w:p>
        </w:tc>
        <w:tc>
          <w:tcPr>
            <w:tcW w:w="1010" w:type="dxa"/>
            <w:vAlign w:val="center"/>
          </w:tcPr>
          <w:p>
            <w:pPr>
              <w:jc w:val="center"/>
              <w:rPr>
                <w:rFonts w:eastAsia="仿宋_GB2312"/>
                <w:szCs w:val="21"/>
              </w:rPr>
            </w:pPr>
            <w:r>
              <w:rPr>
                <w:rFonts w:hint="eastAsia" w:eastAsia="仿宋_GB2312"/>
                <w:szCs w:val="21"/>
              </w:rPr>
              <w:t>ND</w:t>
            </w:r>
          </w:p>
        </w:tc>
        <w:tc>
          <w:tcPr>
            <w:tcW w:w="1155" w:type="dxa"/>
            <w:vAlign w:val="center"/>
          </w:tcPr>
          <w:p>
            <w:pPr>
              <w:adjustRightInd w:val="0"/>
              <w:snapToGrid w:val="0"/>
              <w:jc w:val="center"/>
              <w:rPr>
                <w:rFonts w:eastAsia="仿宋_GB2312"/>
                <w:szCs w:val="21"/>
              </w:rPr>
            </w:pPr>
            <w:r>
              <w:rPr>
                <w:rFonts w:hint="eastAsia" w:eastAsia="仿宋_GB2312"/>
                <w:szCs w:val="21"/>
              </w:rPr>
              <w:t>ND</w:t>
            </w:r>
          </w:p>
        </w:tc>
        <w:tc>
          <w:tcPr>
            <w:tcW w:w="1056" w:type="dxa"/>
            <w:vAlign w:val="center"/>
          </w:tcPr>
          <w:p>
            <w:pPr>
              <w:jc w:val="center"/>
              <w:rPr>
                <w:rFonts w:eastAsia="仿宋_GB2312"/>
                <w:szCs w:val="21"/>
              </w:rPr>
            </w:pPr>
            <w:r>
              <w:rPr>
                <w:rFonts w:hint="eastAsia" w:eastAsia="仿宋_GB2312"/>
                <w:szCs w:val="21"/>
              </w:rPr>
              <w:t>ND</w:t>
            </w:r>
          </w:p>
        </w:tc>
        <w:tc>
          <w:tcPr>
            <w:tcW w:w="0" w:type="auto"/>
            <w:vAlign w:val="center"/>
          </w:tcPr>
          <w:p>
            <w:pPr>
              <w:adjustRightInd w:val="0"/>
              <w:snapToGrid w:val="0"/>
              <w:jc w:val="center"/>
              <w:rPr>
                <w:rFonts w:eastAsia="仿宋_GB2312"/>
                <w:szCs w:val="21"/>
              </w:rPr>
            </w:pPr>
            <w:r>
              <w:rPr>
                <w:rFonts w:hint="eastAsia" w:eastAsia="仿宋_GB2312"/>
                <w:szCs w:val="21"/>
              </w:rPr>
              <w:t>560</w:t>
            </w:r>
          </w:p>
        </w:tc>
        <w:tc>
          <w:tcPr>
            <w:tcW w:w="983" w:type="dxa"/>
            <w:vAlign w:val="center"/>
          </w:tcPr>
          <w:p>
            <w:pPr>
              <w:adjustRightInd w:val="0"/>
              <w:snapToGrid w:val="0"/>
              <w:jc w:val="center"/>
              <w:rPr>
                <w:rFonts w:eastAsia="仿宋_GB2312"/>
                <w:szCs w:val="21"/>
              </w:rPr>
            </w:pPr>
            <w:r>
              <w:rPr>
                <w:rFonts w:hint="eastAsia" w:eastAsia="仿宋_GB2312"/>
                <w:szCs w:val="21"/>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568" w:type="dxa"/>
            <w:vAlign w:val="center"/>
          </w:tcPr>
          <w:p>
            <w:pPr>
              <w:adjustRightInd w:val="0"/>
              <w:snapToGrid w:val="0"/>
              <w:jc w:val="center"/>
              <w:rPr>
                <w:rFonts w:eastAsia="仿宋_GB2312"/>
                <w:bCs/>
                <w:szCs w:val="21"/>
              </w:rPr>
            </w:pPr>
            <w:r>
              <w:rPr>
                <w:rFonts w:hint="eastAsia" w:eastAsia="仿宋_GB2312"/>
                <w:bCs/>
                <w:szCs w:val="21"/>
              </w:rPr>
              <w:t>苯胺</w:t>
            </w:r>
          </w:p>
        </w:tc>
        <w:tc>
          <w:tcPr>
            <w:tcW w:w="0" w:type="auto"/>
            <w:vAlign w:val="center"/>
          </w:tcPr>
          <w:p>
            <w:pPr>
              <w:adjustRightInd w:val="0"/>
              <w:snapToGrid w:val="0"/>
              <w:jc w:val="center"/>
              <w:rPr>
                <w:rFonts w:eastAsia="仿宋_GB2312"/>
                <w:szCs w:val="21"/>
              </w:rPr>
            </w:pPr>
            <w:r>
              <w:rPr>
                <w:rFonts w:eastAsia="仿宋_GB2312"/>
                <w:szCs w:val="21"/>
              </w:rPr>
              <w:t>m</w:t>
            </w:r>
            <w:r>
              <w:rPr>
                <w:rFonts w:hint="eastAsia" w:eastAsia="仿宋_GB2312"/>
                <w:szCs w:val="21"/>
              </w:rPr>
              <w:t>g/</w:t>
            </w:r>
            <w:r>
              <w:rPr>
                <w:rFonts w:eastAsia="仿宋_GB2312"/>
                <w:szCs w:val="21"/>
              </w:rPr>
              <w:t>kg</w:t>
            </w:r>
          </w:p>
        </w:tc>
        <w:tc>
          <w:tcPr>
            <w:tcW w:w="0" w:type="auto"/>
            <w:vAlign w:val="center"/>
          </w:tcPr>
          <w:p>
            <w:pPr>
              <w:adjustRightInd w:val="0"/>
              <w:snapToGrid w:val="0"/>
              <w:jc w:val="center"/>
              <w:rPr>
                <w:rFonts w:eastAsia="仿宋_GB2312"/>
                <w:szCs w:val="21"/>
              </w:rPr>
            </w:pPr>
            <w:r>
              <w:rPr>
                <w:rFonts w:hint="eastAsia" w:eastAsia="仿宋_GB2312"/>
                <w:szCs w:val="21"/>
              </w:rPr>
              <w:t>0.06</w:t>
            </w:r>
          </w:p>
        </w:tc>
        <w:tc>
          <w:tcPr>
            <w:tcW w:w="942" w:type="dxa"/>
            <w:vAlign w:val="center"/>
          </w:tcPr>
          <w:p>
            <w:pPr>
              <w:adjustRightInd w:val="0"/>
              <w:snapToGrid w:val="0"/>
              <w:jc w:val="center"/>
              <w:rPr>
                <w:rFonts w:eastAsia="仿宋_GB2312"/>
                <w:szCs w:val="21"/>
              </w:rPr>
            </w:pPr>
            <w:r>
              <w:rPr>
                <w:rFonts w:hint="eastAsia" w:eastAsia="仿宋_GB2312"/>
                <w:szCs w:val="21"/>
              </w:rPr>
              <w:t>ND</w:t>
            </w:r>
          </w:p>
        </w:tc>
        <w:tc>
          <w:tcPr>
            <w:tcW w:w="1010" w:type="dxa"/>
            <w:vAlign w:val="center"/>
          </w:tcPr>
          <w:p>
            <w:pPr>
              <w:jc w:val="center"/>
              <w:rPr>
                <w:rFonts w:eastAsia="仿宋_GB2312"/>
                <w:szCs w:val="21"/>
              </w:rPr>
            </w:pPr>
            <w:r>
              <w:rPr>
                <w:rFonts w:hint="eastAsia" w:eastAsia="仿宋_GB2312"/>
                <w:szCs w:val="21"/>
              </w:rPr>
              <w:t>ND</w:t>
            </w:r>
          </w:p>
        </w:tc>
        <w:tc>
          <w:tcPr>
            <w:tcW w:w="1155" w:type="dxa"/>
            <w:vAlign w:val="center"/>
          </w:tcPr>
          <w:p>
            <w:pPr>
              <w:adjustRightInd w:val="0"/>
              <w:snapToGrid w:val="0"/>
              <w:jc w:val="center"/>
              <w:rPr>
                <w:rFonts w:eastAsia="仿宋_GB2312"/>
                <w:szCs w:val="21"/>
              </w:rPr>
            </w:pPr>
            <w:r>
              <w:rPr>
                <w:rFonts w:hint="eastAsia" w:eastAsia="仿宋_GB2312"/>
                <w:szCs w:val="21"/>
              </w:rPr>
              <w:t>ND</w:t>
            </w:r>
          </w:p>
        </w:tc>
        <w:tc>
          <w:tcPr>
            <w:tcW w:w="1056" w:type="dxa"/>
            <w:vAlign w:val="center"/>
          </w:tcPr>
          <w:p>
            <w:pPr>
              <w:jc w:val="center"/>
              <w:rPr>
                <w:rFonts w:eastAsia="仿宋_GB2312"/>
                <w:szCs w:val="21"/>
              </w:rPr>
            </w:pPr>
            <w:r>
              <w:rPr>
                <w:rFonts w:hint="eastAsia" w:eastAsia="仿宋_GB2312"/>
                <w:szCs w:val="21"/>
              </w:rPr>
              <w:t>ND</w:t>
            </w:r>
          </w:p>
        </w:tc>
        <w:tc>
          <w:tcPr>
            <w:tcW w:w="0" w:type="auto"/>
            <w:vAlign w:val="center"/>
          </w:tcPr>
          <w:p>
            <w:pPr>
              <w:adjustRightInd w:val="0"/>
              <w:snapToGrid w:val="0"/>
              <w:jc w:val="center"/>
              <w:rPr>
                <w:rFonts w:eastAsia="仿宋_GB2312"/>
                <w:szCs w:val="21"/>
              </w:rPr>
            </w:pPr>
            <w:r>
              <w:rPr>
                <w:rFonts w:hint="eastAsia" w:eastAsia="仿宋_GB2312"/>
                <w:szCs w:val="21"/>
              </w:rPr>
              <w:t>260</w:t>
            </w:r>
          </w:p>
        </w:tc>
        <w:tc>
          <w:tcPr>
            <w:tcW w:w="983" w:type="dxa"/>
            <w:vAlign w:val="center"/>
          </w:tcPr>
          <w:p>
            <w:pPr>
              <w:adjustRightInd w:val="0"/>
              <w:snapToGrid w:val="0"/>
              <w:jc w:val="center"/>
              <w:rPr>
                <w:rFonts w:eastAsia="仿宋_GB2312"/>
                <w:szCs w:val="21"/>
              </w:rPr>
            </w:pPr>
            <w:r>
              <w:rPr>
                <w:rFonts w:hint="eastAsia" w:eastAsia="仿宋_GB2312"/>
                <w:szCs w:val="21"/>
              </w:rPr>
              <w:t>663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568" w:type="dxa"/>
            <w:vAlign w:val="center"/>
          </w:tcPr>
          <w:p>
            <w:pPr>
              <w:adjustRightInd w:val="0"/>
              <w:snapToGrid w:val="0"/>
              <w:jc w:val="center"/>
              <w:rPr>
                <w:rFonts w:eastAsia="仿宋_GB2312"/>
                <w:bCs/>
                <w:szCs w:val="21"/>
              </w:rPr>
            </w:pPr>
            <w:r>
              <w:rPr>
                <w:rFonts w:eastAsia="仿宋_GB2312"/>
                <w:bCs/>
                <w:szCs w:val="21"/>
              </w:rPr>
              <w:t>2-</w:t>
            </w:r>
            <w:r>
              <w:rPr>
                <w:rFonts w:hint="eastAsia" w:eastAsia="仿宋_GB2312"/>
                <w:bCs/>
                <w:szCs w:val="21"/>
              </w:rPr>
              <w:t>氯苯酚</w:t>
            </w:r>
          </w:p>
        </w:tc>
        <w:tc>
          <w:tcPr>
            <w:tcW w:w="0" w:type="auto"/>
            <w:vAlign w:val="center"/>
          </w:tcPr>
          <w:p>
            <w:pPr>
              <w:adjustRightInd w:val="0"/>
              <w:snapToGrid w:val="0"/>
              <w:jc w:val="center"/>
              <w:rPr>
                <w:rFonts w:eastAsia="仿宋_GB2312"/>
                <w:szCs w:val="21"/>
              </w:rPr>
            </w:pPr>
            <w:r>
              <w:rPr>
                <w:rFonts w:eastAsia="仿宋_GB2312"/>
                <w:szCs w:val="21"/>
              </w:rPr>
              <w:t>m</w:t>
            </w:r>
            <w:r>
              <w:rPr>
                <w:rFonts w:hint="eastAsia" w:eastAsia="仿宋_GB2312"/>
                <w:szCs w:val="21"/>
              </w:rPr>
              <w:t>g/</w:t>
            </w:r>
            <w:r>
              <w:rPr>
                <w:rFonts w:eastAsia="仿宋_GB2312"/>
                <w:szCs w:val="21"/>
              </w:rPr>
              <w:t>kg</w:t>
            </w:r>
          </w:p>
        </w:tc>
        <w:tc>
          <w:tcPr>
            <w:tcW w:w="0" w:type="auto"/>
            <w:vAlign w:val="center"/>
          </w:tcPr>
          <w:p>
            <w:pPr>
              <w:adjustRightInd w:val="0"/>
              <w:snapToGrid w:val="0"/>
              <w:jc w:val="center"/>
              <w:rPr>
                <w:rFonts w:eastAsia="仿宋_GB2312"/>
                <w:szCs w:val="21"/>
              </w:rPr>
            </w:pPr>
            <w:r>
              <w:rPr>
                <w:rFonts w:hint="eastAsia" w:eastAsia="仿宋_GB2312"/>
                <w:szCs w:val="21"/>
              </w:rPr>
              <w:t>0.1</w:t>
            </w:r>
          </w:p>
        </w:tc>
        <w:tc>
          <w:tcPr>
            <w:tcW w:w="942" w:type="dxa"/>
            <w:vAlign w:val="center"/>
          </w:tcPr>
          <w:p>
            <w:pPr>
              <w:adjustRightInd w:val="0"/>
              <w:snapToGrid w:val="0"/>
              <w:jc w:val="center"/>
              <w:rPr>
                <w:rFonts w:eastAsia="仿宋_GB2312"/>
                <w:szCs w:val="21"/>
              </w:rPr>
            </w:pPr>
            <w:r>
              <w:rPr>
                <w:rFonts w:hint="eastAsia" w:eastAsia="仿宋_GB2312"/>
                <w:szCs w:val="21"/>
              </w:rPr>
              <w:t>ND</w:t>
            </w:r>
          </w:p>
        </w:tc>
        <w:tc>
          <w:tcPr>
            <w:tcW w:w="1010" w:type="dxa"/>
            <w:vAlign w:val="center"/>
          </w:tcPr>
          <w:p>
            <w:pPr>
              <w:jc w:val="center"/>
              <w:rPr>
                <w:rFonts w:eastAsia="仿宋_GB2312"/>
                <w:szCs w:val="21"/>
              </w:rPr>
            </w:pPr>
            <w:r>
              <w:rPr>
                <w:rFonts w:hint="eastAsia" w:eastAsia="仿宋_GB2312"/>
                <w:szCs w:val="21"/>
              </w:rPr>
              <w:t>ND</w:t>
            </w:r>
          </w:p>
        </w:tc>
        <w:tc>
          <w:tcPr>
            <w:tcW w:w="1155" w:type="dxa"/>
            <w:vAlign w:val="center"/>
          </w:tcPr>
          <w:p>
            <w:pPr>
              <w:adjustRightInd w:val="0"/>
              <w:snapToGrid w:val="0"/>
              <w:jc w:val="center"/>
              <w:rPr>
                <w:rFonts w:eastAsia="仿宋_GB2312"/>
                <w:szCs w:val="21"/>
              </w:rPr>
            </w:pPr>
            <w:r>
              <w:rPr>
                <w:rFonts w:hint="eastAsia" w:eastAsia="仿宋_GB2312"/>
                <w:szCs w:val="21"/>
              </w:rPr>
              <w:t>ND</w:t>
            </w:r>
          </w:p>
        </w:tc>
        <w:tc>
          <w:tcPr>
            <w:tcW w:w="1056" w:type="dxa"/>
            <w:vAlign w:val="center"/>
          </w:tcPr>
          <w:p>
            <w:pPr>
              <w:jc w:val="center"/>
              <w:rPr>
                <w:rFonts w:eastAsia="仿宋_GB2312"/>
                <w:szCs w:val="21"/>
              </w:rPr>
            </w:pPr>
            <w:r>
              <w:rPr>
                <w:rFonts w:hint="eastAsia" w:eastAsia="仿宋_GB2312"/>
                <w:szCs w:val="21"/>
              </w:rPr>
              <w:t>ND</w:t>
            </w:r>
          </w:p>
        </w:tc>
        <w:tc>
          <w:tcPr>
            <w:tcW w:w="0" w:type="auto"/>
            <w:vAlign w:val="center"/>
          </w:tcPr>
          <w:p>
            <w:pPr>
              <w:adjustRightInd w:val="0"/>
              <w:snapToGrid w:val="0"/>
              <w:jc w:val="center"/>
              <w:rPr>
                <w:rFonts w:eastAsia="仿宋_GB2312"/>
                <w:szCs w:val="21"/>
              </w:rPr>
            </w:pPr>
            <w:r>
              <w:rPr>
                <w:rFonts w:hint="eastAsia" w:eastAsia="仿宋_GB2312"/>
                <w:szCs w:val="21"/>
              </w:rPr>
              <w:t>2256</w:t>
            </w:r>
          </w:p>
        </w:tc>
        <w:tc>
          <w:tcPr>
            <w:tcW w:w="983" w:type="dxa"/>
            <w:vAlign w:val="center"/>
          </w:tcPr>
          <w:p>
            <w:pPr>
              <w:adjustRightInd w:val="0"/>
              <w:snapToGrid w:val="0"/>
              <w:jc w:val="center"/>
              <w:rPr>
                <w:rFonts w:eastAsia="仿宋_GB2312"/>
                <w:szCs w:val="21"/>
              </w:rPr>
            </w:pPr>
            <w:r>
              <w:rPr>
                <w:rFonts w:hint="eastAsia" w:eastAsia="仿宋_GB2312"/>
                <w:szCs w:val="21"/>
              </w:rPr>
              <w:t>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568" w:type="dxa"/>
            <w:vAlign w:val="center"/>
          </w:tcPr>
          <w:p>
            <w:pPr>
              <w:adjustRightInd w:val="0"/>
              <w:snapToGrid w:val="0"/>
              <w:jc w:val="center"/>
              <w:rPr>
                <w:rFonts w:eastAsia="仿宋_GB2312"/>
                <w:bCs/>
                <w:szCs w:val="21"/>
              </w:rPr>
            </w:pPr>
            <w:r>
              <w:rPr>
                <w:rFonts w:hint="eastAsia" w:eastAsia="仿宋_GB2312"/>
                <w:bCs/>
                <w:szCs w:val="21"/>
              </w:rPr>
              <w:t>硝基苯</w:t>
            </w:r>
          </w:p>
        </w:tc>
        <w:tc>
          <w:tcPr>
            <w:tcW w:w="0" w:type="auto"/>
            <w:vAlign w:val="center"/>
          </w:tcPr>
          <w:p>
            <w:pPr>
              <w:adjustRightInd w:val="0"/>
              <w:snapToGrid w:val="0"/>
              <w:jc w:val="center"/>
              <w:rPr>
                <w:rFonts w:eastAsia="仿宋_GB2312"/>
                <w:szCs w:val="21"/>
              </w:rPr>
            </w:pPr>
            <w:r>
              <w:rPr>
                <w:rFonts w:eastAsia="仿宋_GB2312"/>
                <w:szCs w:val="21"/>
              </w:rPr>
              <w:t>m</w:t>
            </w:r>
            <w:r>
              <w:rPr>
                <w:rFonts w:hint="eastAsia" w:eastAsia="仿宋_GB2312"/>
                <w:szCs w:val="21"/>
              </w:rPr>
              <w:t>g/</w:t>
            </w:r>
            <w:r>
              <w:rPr>
                <w:rFonts w:eastAsia="仿宋_GB2312"/>
                <w:szCs w:val="21"/>
              </w:rPr>
              <w:t>kg</w:t>
            </w:r>
          </w:p>
        </w:tc>
        <w:tc>
          <w:tcPr>
            <w:tcW w:w="0" w:type="auto"/>
            <w:vAlign w:val="center"/>
          </w:tcPr>
          <w:p>
            <w:pPr>
              <w:adjustRightInd w:val="0"/>
              <w:snapToGrid w:val="0"/>
              <w:jc w:val="center"/>
              <w:rPr>
                <w:rFonts w:eastAsia="仿宋_GB2312"/>
                <w:szCs w:val="21"/>
              </w:rPr>
            </w:pPr>
            <w:r>
              <w:rPr>
                <w:rFonts w:hint="eastAsia" w:eastAsia="仿宋_GB2312"/>
                <w:szCs w:val="21"/>
              </w:rPr>
              <w:t>0.09</w:t>
            </w:r>
          </w:p>
        </w:tc>
        <w:tc>
          <w:tcPr>
            <w:tcW w:w="942" w:type="dxa"/>
            <w:vAlign w:val="center"/>
          </w:tcPr>
          <w:p>
            <w:pPr>
              <w:adjustRightInd w:val="0"/>
              <w:snapToGrid w:val="0"/>
              <w:jc w:val="center"/>
              <w:rPr>
                <w:rFonts w:eastAsia="仿宋_GB2312"/>
                <w:szCs w:val="21"/>
              </w:rPr>
            </w:pPr>
            <w:r>
              <w:rPr>
                <w:rFonts w:hint="eastAsia" w:eastAsia="仿宋_GB2312"/>
                <w:szCs w:val="21"/>
              </w:rPr>
              <w:t>ND</w:t>
            </w:r>
          </w:p>
        </w:tc>
        <w:tc>
          <w:tcPr>
            <w:tcW w:w="1010" w:type="dxa"/>
            <w:vAlign w:val="center"/>
          </w:tcPr>
          <w:p>
            <w:pPr>
              <w:jc w:val="center"/>
              <w:rPr>
                <w:rFonts w:eastAsia="仿宋_GB2312"/>
                <w:szCs w:val="21"/>
              </w:rPr>
            </w:pPr>
            <w:r>
              <w:rPr>
                <w:rFonts w:hint="eastAsia" w:eastAsia="仿宋_GB2312"/>
                <w:szCs w:val="21"/>
              </w:rPr>
              <w:t>ND</w:t>
            </w:r>
          </w:p>
        </w:tc>
        <w:tc>
          <w:tcPr>
            <w:tcW w:w="1155" w:type="dxa"/>
            <w:vAlign w:val="center"/>
          </w:tcPr>
          <w:p>
            <w:pPr>
              <w:adjustRightInd w:val="0"/>
              <w:snapToGrid w:val="0"/>
              <w:jc w:val="center"/>
              <w:rPr>
                <w:rFonts w:eastAsia="仿宋_GB2312"/>
                <w:szCs w:val="21"/>
              </w:rPr>
            </w:pPr>
            <w:r>
              <w:rPr>
                <w:rFonts w:hint="eastAsia" w:eastAsia="仿宋_GB2312"/>
                <w:szCs w:val="21"/>
              </w:rPr>
              <w:t>ND</w:t>
            </w:r>
          </w:p>
        </w:tc>
        <w:tc>
          <w:tcPr>
            <w:tcW w:w="1056" w:type="dxa"/>
            <w:vAlign w:val="center"/>
          </w:tcPr>
          <w:p>
            <w:pPr>
              <w:jc w:val="center"/>
              <w:rPr>
                <w:rFonts w:eastAsia="仿宋_GB2312"/>
                <w:szCs w:val="21"/>
              </w:rPr>
            </w:pPr>
            <w:r>
              <w:rPr>
                <w:rFonts w:hint="eastAsia" w:eastAsia="仿宋_GB2312"/>
                <w:szCs w:val="21"/>
              </w:rPr>
              <w:t>ND</w:t>
            </w:r>
          </w:p>
        </w:tc>
        <w:tc>
          <w:tcPr>
            <w:tcW w:w="0" w:type="auto"/>
            <w:vAlign w:val="center"/>
          </w:tcPr>
          <w:p>
            <w:pPr>
              <w:adjustRightInd w:val="0"/>
              <w:snapToGrid w:val="0"/>
              <w:jc w:val="center"/>
              <w:rPr>
                <w:rFonts w:eastAsia="仿宋_GB2312"/>
                <w:szCs w:val="21"/>
              </w:rPr>
            </w:pPr>
            <w:r>
              <w:rPr>
                <w:rFonts w:hint="eastAsia" w:eastAsia="仿宋_GB2312"/>
                <w:szCs w:val="21"/>
              </w:rPr>
              <w:t>76</w:t>
            </w:r>
          </w:p>
        </w:tc>
        <w:tc>
          <w:tcPr>
            <w:tcW w:w="983" w:type="dxa"/>
            <w:vAlign w:val="center"/>
          </w:tcPr>
          <w:p>
            <w:pPr>
              <w:adjustRightInd w:val="0"/>
              <w:snapToGrid w:val="0"/>
              <w:jc w:val="center"/>
              <w:rPr>
                <w:rFonts w:eastAsia="仿宋_GB2312"/>
                <w:szCs w:val="21"/>
              </w:rPr>
            </w:pPr>
            <w:r>
              <w:rPr>
                <w:rFonts w:hint="eastAsia" w:eastAsia="仿宋_GB2312"/>
                <w:szCs w:val="21"/>
              </w:rPr>
              <w:t>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568" w:type="dxa"/>
            <w:vAlign w:val="center"/>
          </w:tcPr>
          <w:p>
            <w:pPr>
              <w:adjustRightInd w:val="0"/>
              <w:snapToGrid w:val="0"/>
              <w:jc w:val="center"/>
              <w:rPr>
                <w:rFonts w:eastAsia="仿宋_GB2312"/>
                <w:bCs/>
                <w:szCs w:val="21"/>
              </w:rPr>
            </w:pPr>
            <w:r>
              <w:rPr>
                <w:rFonts w:hint="eastAsia" w:eastAsia="仿宋_GB2312"/>
                <w:bCs/>
                <w:szCs w:val="21"/>
              </w:rPr>
              <w:t>萘</w:t>
            </w:r>
          </w:p>
        </w:tc>
        <w:tc>
          <w:tcPr>
            <w:tcW w:w="0" w:type="auto"/>
            <w:vAlign w:val="center"/>
          </w:tcPr>
          <w:p>
            <w:pPr>
              <w:adjustRightInd w:val="0"/>
              <w:snapToGrid w:val="0"/>
              <w:jc w:val="center"/>
              <w:rPr>
                <w:rFonts w:eastAsia="仿宋_GB2312"/>
                <w:szCs w:val="21"/>
              </w:rPr>
            </w:pPr>
            <w:r>
              <w:rPr>
                <w:rFonts w:eastAsia="仿宋_GB2312"/>
                <w:szCs w:val="21"/>
              </w:rPr>
              <w:t>m</w:t>
            </w:r>
            <w:r>
              <w:rPr>
                <w:rFonts w:hint="eastAsia" w:eastAsia="仿宋_GB2312"/>
                <w:szCs w:val="21"/>
              </w:rPr>
              <w:t>g/</w:t>
            </w:r>
            <w:r>
              <w:rPr>
                <w:rFonts w:eastAsia="仿宋_GB2312"/>
                <w:szCs w:val="21"/>
              </w:rPr>
              <w:t>kg</w:t>
            </w:r>
          </w:p>
        </w:tc>
        <w:tc>
          <w:tcPr>
            <w:tcW w:w="0" w:type="auto"/>
            <w:vAlign w:val="center"/>
          </w:tcPr>
          <w:p>
            <w:pPr>
              <w:adjustRightInd w:val="0"/>
              <w:snapToGrid w:val="0"/>
              <w:jc w:val="center"/>
              <w:rPr>
                <w:rFonts w:eastAsia="仿宋_GB2312"/>
                <w:szCs w:val="21"/>
              </w:rPr>
            </w:pPr>
            <w:r>
              <w:rPr>
                <w:rFonts w:hint="eastAsia" w:eastAsia="仿宋_GB2312"/>
                <w:szCs w:val="21"/>
              </w:rPr>
              <w:t>0.09</w:t>
            </w:r>
          </w:p>
        </w:tc>
        <w:tc>
          <w:tcPr>
            <w:tcW w:w="942" w:type="dxa"/>
            <w:vAlign w:val="center"/>
          </w:tcPr>
          <w:p>
            <w:pPr>
              <w:adjustRightInd w:val="0"/>
              <w:snapToGrid w:val="0"/>
              <w:jc w:val="center"/>
              <w:rPr>
                <w:rFonts w:eastAsia="仿宋_GB2312"/>
                <w:szCs w:val="21"/>
              </w:rPr>
            </w:pPr>
            <w:r>
              <w:rPr>
                <w:rFonts w:hint="eastAsia" w:eastAsia="仿宋_GB2312"/>
                <w:szCs w:val="21"/>
              </w:rPr>
              <w:t>ND</w:t>
            </w:r>
          </w:p>
        </w:tc>
        <w:tc>
          <w:tcPr>
            <w:tcW w:w="1010" w:type="dxa"/>
            <w:vAlign w:val="center"/>
          </w:tcPr>
          <w:p>
            <w:pPr>
              <w:jc w:val="center"/>
              <w:rPr>
                <w:rFonts w:eastAsia="仿宋_GB2312"/>
                <w:szCs w:val="21"/>
              </w:rPr>
            </w:pPr>
            <w:r>
              <w:rPr>
                <w:rFonts w:hint="eastAsia" w:eastAsia="仿宋_GB2312"/>
                <w:szCs w:val="21"/>
              </w:rPr>
              <w:t>ND</w:t>
            </w:r>
          </w:p>
        </w:tc>
        <w:tc>
          <w:tcPr>
            <w:tcW w:w="1155" w:type="dxa"/>
            <w:vAlign w:val="center"/>
          </w:tcPr>
          <w:p>
            <w:pPr>
              <w:adjustRightInd w:val="0"/>
              <w:snapToGrid w:val="0"/>
              <w:jc w:val="center"/>
              <w:rPr>
                <w:rFonts w:eastAsia="仿宋_GB2312"/>
                <w:szCs w:val="21"/>
              </w:rPr>
            </w:pPr>
            <w:r>
              <w:rPr>
                <w:rFonts w:hint="eastAsia" w:eastAsia="仿宋_GB2312"/>
                <w:szCs w:val="21"/>
              </w:rPr>
              <w:t>ND</w:t>
            </w:r>
          </w:p>
        </w:tc>
        <w:tc>
          <w:tcPr>
            <w:tcW w:w="1056" w:type="dxa"/>
            <w:vAlign w:val="center"/>
          </w:tcPr>
          <w:p>
            <w:pPr>
              <w:jc w:val="center"/>
              <w:rPr>
                <w:rFonts w:eastAsia="仿宋_GB2312"/>
                <w:szCs w:val="21"/>
              </w:rPr>
            </w:pPr>
            <w:r>
              <w:rPr>
                <w:rFonts w:hint="eastAsia" w:eastAsia="仿宋_GB2312"/>
                <w:szCs w:val="21"/>
              </w:rPr>
              <w:t>ND</w:t>
            </w:r>
          </w:p>
        </w:tc>
        <w:tc>
          <w:tcPr>
            <w:tcW w:w="0" w:type="auto"/>
            <w:vAlign w:val="center"/>
          </w:tcPr>
          <w:p>
            <w:pPr>
              <w:adjustRightInd w:val="0"/>
              <w:snapToGrid w:val="0"/>
              <w:jc w:val="center"/>
              <w:rPr>
                <w:rFonts w:eastAsia="仿宋_GB2312"/>
                <w:szCs w:val="21"/>
              </w:rPr>
            </w:pPr>
            <w:r>
              <w:rPr>
                <w:rFonts w:hint="eastAsia" w:eastAsia="仿宋_GB2312"/>
                <w:szCs w:val="21"/>
              </w:rPr>
              <w:t>70</w:t>
            </w:r>
          </w:p>
        </w:tc>
        <w:tc>
          <w:tcPr>
            <w:tcW w:w="983" w:type="dxa"/>
            <w:vAlign w:val="center"/>
          </w:tcPr>
          <w:p>
            <w:pPr>
              <w:adjustRightInd w:val="0"/>
              <w:snapToGrid w:val="0"/>
              <w:jc w:val="center"/>
              <w:rPr>
                <w:rFonts w:eastAsia="仿宋_GB2312"/>
                <w:szCs w:val="21"/>
              </w:rPr>
            </w:pPr>
            <w:r>
              <w:rPr>
                <w:rFonts w:hint="eastAsia" w:eastAsia="仿宋_GB2312"/>
                <w:szCs w:val="21"/>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568" w:type="dxa"/>
            <w:vAlign w:val="center"/>
          </w:tcPr>
          <w:p>
            <w:pPr>
              <w:adjustRightInd w:val="0"/>
              <w:snapToGrid w:val="0"/>
              <w:jc w:val="center"/>
              <w:rPr>
                <w:rFonts w:eastAsia="仿宋_GB2312"/>
                <w:bCs/>
                <w:szCs w:val="21"/>
              </w:rPr>
            </w:pPr>
            <w:r>
              <w:rPr>
                <w:rFonts w:hint="eastAsia" w:eastAsia="仿宋_GB2312"/>
                <w:bCs/>
                <w:szCs w:val="21"/>
              </w:rPr>
              <w:t>苯并</w:t>
            </w:r>
            <w:r>
              <w:rPr>
                <w:rFonts w:eastAsia="仿宋_GB2312"/>
                <w:bCs/>
                <w:szCs w:val="21"/>
              </w:rPr>
              <w:t>[a]</w:t>
            </w:r>
            <w:r>
              <w:rPr>
                <w:rFonts w:hint="eastAsia" w:eastAsia="仿宋_GB2312"/>
                <w:bCs/>
                <w:szCs w:val="21"/>
              </w:rPr>
              <w:t>蒽</w:t>
            </w:r>
          </w:p>
        </w:tc>
        <w:tc>
          <w:tcPr>
            <w:tcW w:w="0" w:type="auto"/>
            <w:vAlign w:val="center"/>
          </w:tcPr>
          <w:p>
            <w:pPr>
              <w:adjustRightInd w:val="0"/>
              <w:snapToGrid w:val="0"/>
              <w:jc w:val="center"/>
              <w:rPr>
                <w:rFonts w:eastAsia="仿宋_GB2312"/>
                <w:szCs w:val="21"/>
              </w:rPr>
            </w:pPr>
            <w:r>
              <w:rPr>
                <w:rFonts w:eastAsia="仿宋_GB2312"/>
                <w:szCs w:val="21"/>
              </w:rPr>
              <w:t>m</w:t>
            </w:r>
            <w:r>
              <w:rPr>
                <w:rFonts w:hint="eastAsia" w:eastAsia="仿宋_GB2312"/>
                <w:szCs w:val="21"/>
              </w:rPr>
              <w:t>g/</w:t>
            </w:r>
            <w:r>
              <w:rPr>
                <w:rFonts w:eastAsia="仿宋_GB2312"/>
                <w:szCs w:val="21"/>
              </w:rPr>
              <w:t>kg</w:t>
            </w:r>
          </w:p>
        </w:tc>
        <w:tc>
          <w:tcPr>
            <w:tcW w:w="0" w:type="auto"/>
            <w:vAlign w:val="center"/>
          </w:tcPr>
          <w:p>
            <w:pPr>
              <w:adjustRightInd w:val="0"/>
              <w:snapToGrid w:val="0"/>
              <w:jc w:val="center"/>
              <w:rPr>
                <w:rFonts w:eastAsia="仿宋_GB2312"/>
                <w:szCs w:val="21"/>
              </w:rPr>
            </w:pPr>
            <w:r>
              <w:rPr>
                <w:rFonts w:hint="eastAsia" w:eastAsia="仿宋_GB2312"/>
                <w:szCs w:val="21"/>
              </w:rPr>
              <w:t>0.1</w:t>
            </w:r>
          </w:p>
        </w:tc>
        <w:tc>
          <w:tcPr>
            <w:tcW w:w="942" w:type="dxa"/>
            <w:vAlign w:val="center"/>
          </w:tcPr>
          <w:p>
            <w:pPr>
              <w:adjustRightInd w:val="0"/>
              <w:snapToGrid w:val="0"/>
              <w:jc w:val="center"/>
              <w:rPr>
                <w:rFonts w:eastAsia="仿宋_GB2312"/>
                <w:szCs w:val="21"/>
              </w:rPr>
            </w:pPr>
            <w:r>
              <w:rPr>
                <w:rFonts w:hint="eastAsia" w:eastAsia="仿宋_GB2312"/>
                <w:szCs w:val="21"/>
              </w:rPr>
              <w:t>ND</w:t>
            </w:r>
          </w:p>
        </w:tc>
        <w:tc>
          <w:tcPr>
            <w:tcW w:w="1010" w:type="dxa"/>
            <w:vAlign w:val="center"/>
          </w:tcPr>
          <w:p>
            <w:pPr>
              <w:jc w:val="center"/>
              <w:rPr>
                <w:rFonts w:eastAsia="仿宋_GB2312"/>
                <w:szCs w:val="21"/>
              </w:rPr>
            </w:pPr>
            <w:r>
              <w:rPr>
                <w:rFonts w:hint="eastAsia" w:eastAsia="仿宋_GB2312"/>
                <w:szCs w:val="21"/>
              </w:rPr>
              <w:t>ND</w:t>
            </w:r>
          </w:p>
        </w:tc>
        <w:tc>
          <w:tcPr>
            <w:tcW w:w="1155" w:type="dxa"/>
            <w:vAlign w:val="center"/>
          </w:tcPr>
          <w:p>
            <w:pPr>
              <w:adjustRightInd w:val="0"/>
              <w:snapToGrid w:val="0"/>
              <w:jc w:val="center"/>
              <w:rPr>
                <w:rFonts w:eastAsia="仿宋_GB2312"/>
                <w:szCs w:val="21"/>
              </w:rPr>
            </w:pPr>
            <w:r>
              <w:rPr>
                <w:rFonts w:hint="eastAsia" w:eastAsia="仿宋_GB2312"/>
                <w:szCs w:val="21"/>
              </w:rPr>
              <w:t>ND</w:t>
            </w:r>
          </w:p>
        </w:tc>
        <w:tc>
          <w:tcPr>
            <w:tcW w:w="1056" w:type="dxa"/>
            <w:vAlign w:val="center"/>
          </w:tcPr>
          <w:p>
            <w:pPr>
              <w:jc w:val="center"/>
              <w:rPr>
                <w:rFonts w:eastAsia="仿宋_GB2312"/>
                <w:szCs w:val="21"/>
              </w:rPr>
            </w:pPr>
            <w:r>
              <w:rPr>
                <w:rFonts w:hint="eastAsia" w:eastAsia="仿宋_GB2312"/>
                <w:szCs w:val="21"/>
              </w:rPr>
              <w:t>ND</w:t>
            </w:r>
          </w:p>
        </w:tc>
        <w:tc>
          <w:tcPr>
            <w:tcW w:w="0" w:type="auto"/>
            <w:vAlign w:val="center"/>
          </w:tcPr>
          <w:p>
            <w:pPr>
              <w:adjustRightInd w:val="0"/>
              <w:snapToGrid w:val="0"/>
              <w:jc w:val="center"/>
              <w:rPr>
                <w:rFonts w:eastAsia="仿宋_GB2312"/>
                <w:szCs w:val="21"/>
              </w:rPr>
            </w:pPr>
            <w:r>
              <w:rPr>
                <w:rFonts w:hint="eastAsia" w:eastAsia="仿宋_GB2312"/>
                <w:szCs w:val="21"/>
              </w:rPr>
              <w:t>15</w:t>
            </w:r>
          </w:p>
        </w:tc>
        <w:tc>
          <w:tcPr>
            <w:tcW w:w="983" w:type="dxa"/>
            <w:vAlign w:val="center"/>
          </w:tcPr>
          <w:p>
            <w:pPr>
              <w:adjustRightInd w:val="0"/>
              <w:snapToGrid w:val="0"/>
              <w:jc w:val="center"/>
              <w:rPr>
                <w:rFonts w:eastAsia="仿宋_GB2312"/>
                <w:szCs w:val="21"/>
              </w:rPr>
            </w:pPr>
            <w:r>
              <w:rPr>
                <w:rFonts w:hint="eastAsia" w:eastAsia="仿宋_GB2312"/>
                <w:szCs w:val="21"/>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568" w:type="dxa"/>
            <w:vAlign w:val="center"/>
          </w:tcPr>
          <w:p>
            <w:pPr>
              <w:adjustRightInd w:val="0"/>
              <w:snapToGrid w:val="0"/>
              <w:jc w:val="center"/>
              <w:rPr>
                <w:rFonts w:eastAsia="仿宋_GB2312"/>
                <w:bCs/>
                <w:szCs w:val="21"/>
              </w:rPr>
            </w:pPr>
            <w:r>
              <w:rPr>
                <w:rFonts w:ascii="Arial" w:hAnsi="Arial" w:cs="Arial"/>
                <w:sz w:val="22"/>
                <w:szCs w:val="22"/>
                <w:shd w:val="clear" w:color="auto" w:fill="FFFFFF"/>
              </w:rPr>
              <w:t>䓛</w:t>
            </w:r>
          </w:p>
        </w:tc>
        <w:tc>
          <w:tcPr>
            <w:tcW w:w="0" w:type="auto"/>
            <w:vAlign w:val="center"/>
          </w:tcPr>
          <w:p>
            <w:pPr>
              <w:adjustRightInd w:val="0"/>
              <w:snapToGrid w:val="0"/>
              <w:jc w:val="center"/>
              <w:rPr>
                <w:rFonts w:eastAsia="仿宋_GB2312"/>
                <w:szCs w:val="21"/>
              </w:rPr>
            </w:pPr>
            <w:r>
              <w:rPr>
                <w:rFonts w:eastAsia="仿宋_GB2312"/>
                <w:szCs w:val="21"/>
              </w:rPr>
              <w:t>m</w:t>
            </w:r>
            <w:r>
              <w:rPr>
                <w:rFonts w:hint="eastAsia" w:eastAsia="仿宋_GB2312"/>
                <w:szCs w:val="21"/>
              </w:rPr>
              <w:t>g/</w:t>
            </w:r>
            <w:r>
              <w:rPr>
                <w:rFonts w:eastAsia="仿宋_GB2312"/>
                <w:szCs w:val="21"/>
              </w:rPr>
              <w:t>kg</w:t>
            </w:r>
          </w:p>
        </w:tc>
        <w:tc>
          <w:tcPr>
            <w:tcW w:w="0" w:type="auto"/>
            <w:vAlign w:val="center"/>
          </w:tcPr>
          <w:p>
            <w:pPr>
              <w:adjustRightInd w:val="0"/>
              <w:snapToGrid w:val="0"/>
              <w:jc w:val="center"/>
              <w:rPr>
                <w:rFonts w:eastAsia="仿宋_GB2312"/>
                <w:szCs w:val="21"/>
              </w:rPr>
            </w:pPr>
            <w:r>
              <w:rPr>
                <w:rFonts w:hint="eastAsia" w:eastAsia="仿宋_GB2312"/>
                <w:szCs w:val="21"/>
              </w:rPr>
              <w:t>0.1</w:t>
            </w:r>
          </w:p>
        </w:tc>
        <w:tc>
          <w:tcPr>
            <w:tcW w:w="942" w:type="dxa"/>
            <w:vAlign w:val="center"/>
          </w:tcPr>
          <w:p>
            <w:pPr>
              <w:adjustRightInd w:val="0"/>
              <w:snapToGrid w:val="0"/>
              <w:jc w:val="center"/>
              <w:rPr>
                <w:rFonts w:eastAsia="仿宋_GB2312"/>
                <w:szCs w:val="21"/>
              </w:rPr>
            </w:pPr>
            <w:r>
              <w:rPr>
                <w:rFonts w:hint="eastAsia" w:eastAsia="仿宋_GB2312"/>
                <w:szCs w:val="21"/>
              </w:rPr>
              <w:t>ND</w:t>
            </w:r>
          </w:p>
        </w:tc>
        <w:tc>
          <w:tcPr>
            <w:tcW w:w="1010" w:type="dxa"/>
            <w:vAlign w:val="center"/>
          </w:tcPr>
          <w:p>
            <w:pPr>
              <w:jc w:val="center"/>
              <w:rPr>
                <w:rFonts w:eastAsia="仿宋_GB2312"/>
                <w:szCs w:val="21"/>
              </w:rPr>
            </w:pPr>
            <w:r>
              <w:rPr>
                <w:rFonts w:hint="eastAsia" w:eastAsia="仿宋_GB2312"/>
                <w:szCs w:val="21"/>
              </w:rPr>
              <w:t>ND</w:t>
            </w:r>
          </w:p>
        </w:tc>
        <w:tc>
          <w:tcPr>
            <w:tcW w:w="1155" w:type="dxa"/>
            <w:vAlign w:val="center"/>
          </w:tcPr>
          <w:p>
            <w:pPr>
              <w:adjustRightInd w:val="0"/>
              <w:snapToGrid w:val="0"/>
              <w:jc w:val="center"/>
              <w:rPr>
                <w:rFonts w:eastAsia="仿宋_GB2312"/>
                <w:szCs w:val="21"/>
              </w:rPr>
            </w:pPr>
            <w:r>
              <w:rPr>
                <w:rFonts w:hint="eastAsia" w:eastAsia="仿宋_GB2312"/>
                <w:szCs w:val="21"/>
              </w:rPr>
              <w:t>ND</w:t>
            </w:r>
          </w:p>
        </w:tc>
        <w:tc>
          <w:tcPr>
            <w:tcW w:w="1056" w:type="dxa"/>
            <w:vAlign w:val="center"/>
          </w:tcPr>
          <w:p>
            <w:pPr>
              <w:jc w:val="center"/>
              <w:rPr>
                <w:rFonts w:eastAsia="仿宋_GB2312"/>
                <w:szCs w:val="21"/>
              </w:rPr>
            </w:pPr>
            <w:r>
              <w:rPr>
                <w:rFonts w:hint="eastAsia" w:eastAsia="仿宋_GB2312"/>
                <w:szCs w:val="21"/>
              </w:rPr>
              <w:t>ND</w:t>
            </w:r>
          </w:p>
        </w:tc>
        <w:tc>
          <w:tcPr>
            <w:tcW w:w="0" w:type="auto"/>
            <w:vAlign w:val="center"/>
          </w:tcPr>
          <w:p>
            <w:pPr>
              <w:adjustRightInd w:val="0"/>
              <w:snapToGrid w:val="0"/>
              <w:jc w:val="center"/>
              <w:rPr>
                <w:rFonts w:eastAsia="仿宋_GB2312"/>
                <w:szCs w:val="21"/>
              </w:rPr>
            </w:pPr>
            <w:r>
              <w:rPr>
                <w:rFonts w:hint="eastAsia" w:eastAsia="仿宋_GB2312"/>
                <w:szCs w:val="21"/>
              </w:rPr>
              <w:t>1293</w:t>
            </w:r>
          </w:p>
        </w:tc>
        <w:tc>
          <w:tcPr>
            <w:tcW w:w="983" w:type="dxa"/>
            <w:vAlign w:val="center"/>
          </w:tcPr>
          <w:p>
            <w:pPr>
              <w:adjustRightInd w:val="0"/>
              <w:snapToGrid w:val="0"/>
              <w:jc w:val="center"/>
              <w:rPr>
                <w:rFonts w:eastAsia="仿宋_GB2312"/>
                <w:szCs w:val="21"/>
              </w:rPr>
            </w:pPr>
            <w:r>
              <w:rPr>
                <w:rFonts w:hint="eastAsia" w:eastAsia="仿宋_GB2312"/>
                <w:szCs w:val="21"/>
              </w:rPr>
              <w:t>12900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568" w:type="dxa"/>
            <w:vAlign w:val="center"/>
          </w:tcPr>
          <w:p>
            <w:pPr>
              <w:adjustRightInd w:val="0"/>
              <w:snapToGrid w:val="0"/>
              <w:jc w:val="center"/>
              <w:rPr>
                <w:rFonts w:eastAsia="仿宋_GB2312"/>
                <w:bCs/>
                <w:szCs w:val="21"/>
              </w:rPr>
            </w:pPr>
            <w:r>
              <w:rPr>
                <w:rFonts w:hint="eastAsia" w:eastAsia="仿宋_GB2312"/>
                <w:bCs/>
                <w:szCs w:val="21"/>
              </w:rPr>
              <w:t>苯并</w:t>
            </w:r>
            <w:r>
              <w:rPr>
                <w:rFonts w:eastAsia="仿宋_GB2312"/>
                <w:bCs/>
                <w:szCs w:val="21"/>
              </w:rPr>
              <w:t>[b]</w:t>
            </w:r>
            <w:r>
              <w:rPr>
                <w:rFonts w:hint="eastAsia" w:eastAsia="仿宋_GB2312"/>
                <w:bCs/>
                <w:szCs w:val="21"/>
              </w:rPr>
              <w:t>荧蒽</w:t>
            </w:r>
          </w:p>
        </w:tc>
        <w:tc>
          <w:tcPr>
            <w:tcW w:w="0" w:type="auto"/>
            <w:vAlign w:val="center"/>
          </w:tcPr>
          <w:p>
            <w:pPr>
              <w:adjustRightInd w:val="0"/>
              <w:snapToGrid w:val="0"/>
              <w:jc w:val="center"/>
              <w:rPr>
                <w:rFonts w:eastAsia="仿宋_GB2312"/>
                <w:szCs w:val="21"/>
              </w:rPr>
            </w:pPr>
            <w:r>
              <w:rPr>
                <w:rFonts w:eastAsia="仿宋_GB2312"/>
                <w:szCs w:val="21"/>
              </w:rPr>
              <w:t>m</w:t>
            </w:r>
            <w:r>
              <w:rPr>
                <w:rFonts w:hint="eastAsia" w:eastAsia="仿宋_GB2312"/>
                <w:szCs w:val="21"/>
              </w:rPr>
              <w:t>g/</w:t>
            </w:r>
            <w:r>
              <w:rPr>
                <w:rFonts w:eastAsia="仿宋_GB2312"/>
                <w:szCs w:val="21"/>
              </w:rPr>
              <w:t>kg</w:t>
            </w:r>
          </w:p>
        </w:tc>
        <w:tc>
          <w:tcPr>
            <w:tcW w:w="0" w:type="auto"/>
            <w:vAlign w:val="center"/>
          </w:tcPr>
          <w:p>
            <w:pPr>
              <w:adjustRightInd w:val="0"/>
              <w:snapToGrid w:val="0"/>
              <w:jc w:val="center"/>
              <w:rPr>
                <w:rFonts w:eastAsia="仿宋_GB2312"/>
                <w:szCs w:val="21"/>
              </w:rPr>
            </w:pPr>
            <w:r>
              <w:rPr>
                <w:rFonts w:hint="eastAsia" w:eastAsia="仿宋_GB2312"/>
                <w:szCs w:val="21"/>
              </w:rPr>
              <w:t>0.2</w:t>
            </w:r>
          </w:p>
        </w:tc>
        <w:tc>
          <w:tcPr>
            <w:tcW w:w="942" w:type="dxa"/>
            <w:vAlign w:val="center"/>
          </w:tcPr>
          <w:p>
            <w:pPr>
              <w:adjustRightInd w:val="0"/>
              <w:snapToGrid w:val="0"/>
              <w:jc w:val="center"/>
              <w:rPr>
                <w:rFonts w:eastAsia="仿宋_GB2312"/>
                <w:szCs w:val="21"/>
              </w:rPr>
            </w:pPr>
            <w:r>
              <w:rPr>
                <w:rFonts w:hint="eastAsia" w:eastAsia="仿宋_GB2312"/>
                <w:szCs w:val="21"/>
              </w:rPr>
              <w:t>ND</w:t>
            </w:r>
          </w:p>
        </w:tc>
        <w:tc>
          <w:tcPr>
            <w:tcW w:w="1010" w:type="dxa"/>
            <w:vAlign w:val="center"/>
          </w:tcPr>
          <w:p>
            <w:pPr>
              <w:jc w:val="center"/>
              <w:rPr>
                <w:rFonts w:eastAsia="仿宋_GB2312"/>
                <w:szCs w:val="21"/>
              </w:rPr>
            </w:pPr>
            <w:r>
              <w:rPr>
                <w:rFonts w:hint="eastAsia" w:eastAsia="仿宋_GB2312"/>
                <w:szCs w:val="21"/>
              </w:rPr>
              <w:t>ND</w:t>
            </w:r>
          </w:p>
        </w:tc>
        <w:tc>
          <w:tcPr>
            <w:tcW w:w="1155" w:type="dxa"/>
            <w:vAlign w:val="center"/>
          </w:tcPr>
          <w:p>
            <w:pPr>
              <w:adjustRightInd w:val="0"/>
              <w:snapToGrid w:val="0"/>
              <w:jc w:val="center"/>
              <w:rPr>
                <w:rFonts w:eastAsia="仿宋_GB2312"/>
                <w:szCs w:val="21"/>
              </w:rPr>
            </w:pPr>
            <w:r>
              <w:rPr>
                <w:rFonts w:hint="eastAsia" w:eastAsia="仿宋_GB2312"/>
                <w:szCs w:val="21"/>
              </w:rPr>
              <w:t>ND</w:t>
            </w:r>
          </w:p>
        </w:tc>
        <w:tc>
          <w:tcPr>
            <w:tcW w:w="1056" w:type="dxa"/>
            <w:vAlign w:val="center"/>
          </w:tcPr>
          <w:p>
            <w:pPr>
              <w:jc w:val="center"/>
              <w:rPr>
                <w:rFonts w:eastAsia="仿宋_GB2312"/>
                <w:szCs w:val="21"/>
              </w:rPr>
            </w:pPr>
            <w:r>
              <w:rPr>
                <w:rFonts w:hint="eastAsia" w:eastAsia="仿宋_GB2312"/>
                <w:szCs w:val="21"/>
              </w:rPr>
              <w:t>ND</w:t>
            </w:r>
          </w:p>
        </w:tc>
        <w:tc>
          <w:tcPr>
            <w:tcW w:w="0" w:type="auto"/>
            <w:vAlign w:val="center"/>
          </w:tcPr>
          <w:p>
            <w:pPr>
              <w:adjustRightInd w:val="0"/>
              <w:snapToGrid w:val="0"/>
              <w:jc w:val="center"/>
              <w:rPr>
                <w:rFonts w:eastAsia="仿宋_GB2312"/>
                <w:szCs w:val="21"/>
              </w:rPr>
            </w:pPr>
            <w:r>
              <w:rPr>
                <w:rFonts w:hint="eastAsia" w:eastAsia="仿宋_GB2312"/>
                <w:szCs w:val="21"/>
              </w:rPr>
              <w:t>15</w:t>
            </w:r>
          </w:p>
        </w:tc>
        <w:tc>
          <w:tcPr>
            <w:tcW w:w="983" w:type="dxa"/>
            <w:vAlign w:val="center"/>
          </w:tcPr>
          <w:p>
            <w:pPr>
              <w:adjustRightInd w:val="0"/>
              <w:snapToGrid w:val="0"/>
              <w:jc w:val="center"/>
              <w:rPr>
                <w:rFonts w:eastAsia="仿宋_GB2312"/>
                <w:szCs w:val="21"/>
              </w:rPr>
            </w:pPr>
            <w:r>
              <w:rPr>
                <w:rFonts w:hint="eastAsia" w:eastAsia="仿宋_GB2312"/>
                <w:szCs w:val="21"/>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568" w:type="dxa"/>
            <w:vAlign w:val="center"/>
          </w:tcPr>
          <w:p>
            <w:pPr>
              <w:adjustRightInd w:val="0"/>
              <w:snapToGrid w:val="0"/>
              <w:jc w:val="center"/>
              <w:rPr>
                <w:rFonts w:eastAsia="仿宋_GB2312"/>
                <w:bCs/>
                <w:szCs w:val="21"/>
              </w:rPr>
            </w:pPr>
            <w:r>
              <w:rPr>
                <w:rFonts w:hint="eastAsia" w:eastAsia="仿宋_GB2312"/>
                <w:bCs/>
                <w:szCs w:val="21"/>
              </w:rPr>
              <w:t>苯并</w:t>
            </w:r>
            <w:r>
              <w:rPr>
                <w:rFonts w:eastAsia="仿宋_GB2312"/>
                <w:bCs/>
                <w:szCs w:val="21"/>
              </w:rPr>
              <w:t>[k]</w:t>
            </w:r>
            <w:r>
              <w:rPr>
                <w:rFonts w:hint="eastAsia" w:eastAsia="仿宋_GB2312"/>
                <w:bCs/>
                <w:szCs w:val="21"/>
              </w:rPr>
              <w:t>荧蒽</w:t>
            </w:r>
          </w:p>
        </w:tc>
        <w:tc>
          <w:tcPr>
            <w:tcW w:w="0" w:type="auto"/>
            <w:vAlign w:val="center"/>
          </w:tcPr>
          <w:p>
            <w:pPr>
              <w:adjustRightInd w:val="0"/>
              <w:snapToGrid w:val="0"/>
              <w:jc w:val="center"/>
              <w:rPr>
                <w:rFonts w:eastAsia="仿宋_GB2312"/>
                <w:szCs w:val="21"/>
              </w:rPr>
            </w:pPr>
            <w:r>
              <w:rPr>
                <w:rFonts w:eastAsia="仿宋_GB2312"/>
                <w:szCs w:val="21"/>
              </w:rPr>
              <w:t>m</w:t>
            </w:r>
            <w:r>
              <w:rPr>
                <w:rFonts w:hint="eastAsia" w:eastAsia="仿宋_GB2312"/>
                <w:szCs w:val="21"/>
              </w:rPr>
              <w:t>g/</w:t>
            </w:r>
            <w:r>
              <w:rPr>
                <w:rFonts w:eastAsia="仿宋_GB2312"/>
                <w:szCs w:val="21"/>
              </w:rPr>
              <w:t>kg</w:t>
            </w:r>
          </w:p>
        </w:tc>
        <w:tc>
          <w:tcPr>
            <w:tcW w:w="0" w:type="auto"/>
            <w:vAlign w:val="center"/>
          </w:tcPr>
          <w:p>
            <w:pPr>
              <w:adjustRightInd w:val="0"/>
              <w:snapToGrid w:val="0"/>
              <w:jc w:val="center"/>
              <w:rPr>
                <w:rFonts w:eastAsia="仿宋_GB2312"/>
                <w:szCs w:val="21"/>
              </w:rPr>
            </w:pPr>
            <w:r>
              <w:rPr>
                <w:rFonts w:hint="eastAsia" w:eastAsia="仿宋_GB2312"/>
                <w:szCs w:val="21"/>
              </w:rPr>
              <w:t>0.1</w:t>
            </w:r>
          </w:p>
        </w:tc>
        <w:tc>
          <w:tcPr>
            <w:tcW w:w="942" w:type="dxa"/>
            <w:vAlign w:val="center"/>
          </w:tcPr>
          <w:p>
            <w:pPr>
              <w:adjustRightInd w:val="0"/>
              <w:snapToGrid w:val="0"/>
              <w:jc w:val="center"/>
              <w:rPr>
                <w:rFonts w:eastAsia="仿宋_GB2312"/>
                <w:szCs w:val="21"/>
              </w:rPr>
            </w:pPr>
            <w:r>
              <w:rPr>
                <w:rFonts w:hint="eastAsia" w:eastAsia="仿宋_GB2312"/>
                <w:szCs w:val="21"/>
              </w:rPr>
              <w:t>ND</w:t>
            </w:r>
          </w:p>
        </w:tc>
        <w:tc>
          <w:tcPr>
            <w:tcW w:w="1010" w:type="dxa"/>
            <w:vAlign w:val="center"/>
          </w:tcPr>
          <w:p>
            <w:pPr>
              <w:jc w:val="center"/>
              <w:rPr>
                <w:rFonts w:eastAsia="仿宋_GB2312"/>
                <w:szCs w:val="21"/>
              </w:rPr>
            </w:pPr>
            <w:r>
              <w:rPr>
                <w:rFonts w:hint="eastAsia" w:eastAsia="仿宋_GB2312"/>
                <w:szCs w:val="21"/>
              </w:rPr>
              <w:t>ND</w:t>
            </w:r>
          </w:p>
        </w:tc>
        <w:tc>
          <w:tcPr>
            <w:tcW w:w="1155" w:type="dxa"/>
            <w:vAlign w:val="center"/>
          </w:tcPr>
          <w:p>
            <w:pPr>
              <w:adjustRightInd w:val="0"/>
              <w:snapToGrid w:val="0"/>
              <w:jc w:val="center"/>
              <w:rPr>
                <w:rFonts w:eastAsia="仿宋_GB2312"/>
                <w:szCs w:val="21"/>
              </w:rPr>
            </w:pPr>
            <w:r>
              <w:rPr>
                <w:rFonts w:hint="eastAsia" w:eastAsia="仿宋_GB2312"/>
                <w:szCs w:val="21"/>
              </w:rPr>
              <w:t>ND</w:t>
            </w:r>
          </w:p>
        </w:tc>
        <w:tc>
          <w:tcPr>
            <w:tcW w:w="1056" w:type="dxa"/>
            <w:vAlign w:val="center"/>
          </w:tcPr>
          <w:p>
            <w:pPr>
              <w:jc w:val="center"/>
              <w:rPr>
                <w:rFonts w:eastAsia="仿宋_GB2312"/>
                <w:szCs w:val="21"/>
              </w:rPr>
            </w:pPr>
            <w:r>
              <w:rPr>
                <w:rFonts w:hint="eastAsia" w:eastAsia="仿宋_GB2312"/>
                <w:szCs w:val="21"/>
              </w:rPr>
              <w:t>ND</w:t>
            </w:r>
          </w:p>
        </w:tc>
        <w:tc>
          <w:tcPr>
            <w:tcW w:w="0" w:type="auto"/>
            <w:vAlign w:val="center"/>
          </w:tcPr>
          <w:p>
            <w:pPr>
              <w:adjustRightInd w:val="0"/>
              <w:snapToGrid w:val="0"/>
              <w:jc w:val="center"/>
              <w:rPr>
                <w:rFonts w:eastAsia="仿宋_GB2312"/>
                <w:szCs w:val="21"/>
              </w:rPr>
            </w:pPr>
            <w:r>
              <w:rPr>
                <w:rFonts w:hint="eastAsia" w:eastAsia="仿宋_GB2312"/>
                <w:szCs w:val="21"/>
              </w:rPr>
              <w:t>151</w:t>
            </w:r>
          </w:p>
        </w:tc>
        <w:tc>
          <w:tcPr>
            <w:tcW w:w="983" w:type="dxa"/>
            <w:vAlign w:val="center"/>
          </w:tcPr>
          <w:p>
            <w:pPr>
              <w:adjustRightInd w:val="0"/>
              <w:snapToGrid w:val="0"/>
              <w:jc w:val="center"/>
              <w:rPr>
                <w:rFonts w:eastAsia="仿宋_GB2312"/>
                <w:szCs w:val="21"/>
              </w:rPr>
            </w:pPr>
            <w:r>
              <w:rPr>
                <w:rFonts w:hint="eastAsia" w:eastAsia="仿宋_GB2312"/>
                <w:szCs w:val="21"/>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568" w:type="dxa"/>
            <w:vAlign w:val="center"/>
          </w:tcPr>
          <w:p>
            <w:pPr>
              <w:adjustRightInd w:val="0"/>
              <w:snapToGrid w:val="0"/>
              <w:jc w:val="center"/>
              <w:rPr>
                <w:rFonts w:eastAsia="仿宋_GB2312"/>
                <w:bCs/>
                <w:szCs w:val="21"/>
              </w:rPr>
            </w:pPr>
            <w:r>
              <w:rPr>
                <w:rFonts w:hint="eastAsia" w:eastAsia="仿宋_GB2312"/>
                <w:bCs/>
                <w:szCs w:val="21"/>
              </w:rPr>
              <w:t>苯并</w:t>
            </w:r>
            <w:r>
              <w:rPr>
                <w:rFonts w:eastAsia="仿宋_GB2312"/>
                <w:bCs/>
                <w:szCs w:val="21"/>
              </w:rPr>
              <w:t>[a]</w:t>
            </w:r>
            <w:r>
              <w:rPr>
                <w:rFonts w:hint="eastAsia" w:eastAsia="仿宋_GB2312"/>
                <w:bCs/>
                <w:szCs w:val="21"/>
              </w:rPr>
              <w:t>芘</w:t>
            </w:r>
          </w:p>
        </w:tc>
        <w:tc>
          <w:tcPr>
            <w:tcW w:w="0" w:type="auto"/>
            <w:vAlign w:val="center"/>
          </w:tcPr>
          <w:p>
            <w:pPr>
              <w:adjustRightInd w:val="0"/>
              <w:snapToGrid w:val="0"/>
              <w:jc w:val="center"/>
              <w:rPr>
                <w:rFonts w:eastAsia="仿宋_GB2312"/>
                <w:szCs w:val="21"/>
              </w:rPr>
            </w:pPr>
            <w:r>
              <w:rPr>
                <w:rFonts w:eastAsia="仿宋_GB2312"/>
                <w:szCs w:val="21"/>
              </w:rPr>
              <w:t>m</w:t>
            </w:r>
            <w:r>
              <w:rPr>
                <w:rFonts w:hint="eastAsia" w:eastAsia="仿宋_GB2312"/>
                <w:szCs w:val="21"/>
              </w:rPr>
              <w:t>g/</w:t>
            </w:r>
            <w:r>
              <w:rPr>
                <w:rFonts w:eastAsia="仿宋_GB2312"/>
                <w:szCs w:val="21"/>
              </w:rPr>
              <w:t>kg</w:t>
            </w:r>
          </w:p>
        </w:tc>
        <w:tc>
          <w:tcPr>
            <w:tcW w:w="0" w:type="auto"/>
            <w:vAlign w:val="center"/>
          </w:tcPr>
          <w:p>
            <w:pPr>
              <w:adjustRightInd w:val="0"/>
              <w:snapToGrid w:val="0"/>
              <w:jc w:val="center"/>
              <w:rPr>
                <w:rFonts w:eastAsia="仿宋_GB2312"/>
                <w:szCs w:val="21"/>
              </w:rPr>
            </w:pPr>
            <w:r>
              <w:rPr>
                <w:rFonts w:hint="eastAsia" w:eastAsia="仿宋_GB2312"/>
                <w:szCs w:val="21"/>
              </w:rPr>
              <w:t>0.1</w:t>
            </w:r>
          </w:p>
        </w:tc>
        <w:tc>
          <w:tcPr>
            <w:tcW w:w="942" w:type="dxa"/>
            <w:vAlign w:val="center"/>
          </w:tcPr>
          <w:p>
            <w:pPr>
              <w:adjustRightInd w:val="0"/>
              <w:snapToGrid w:val="0"/>
              <w:jc w:val="center"/>
              <w:rPr>
                <w:rFonts w:eastAsia="仿宋_GB2312"/>
                <w:szCs w:val="21"/>
              </w:rPr>
            </w:pPr>
            <w:r>
              <w:rPr>
                <w:rFonts w:hint="eastAsia" w:eastAsia="仿宋_GB2312"/>
                <w:szCs w:val="21"/>
              </w:rPr>
              <w:t>ND</w:t>
            </w:r>
          </w:p>
        </w:tc>
        <w:tc>
          <w:tcPr>
            <w:tcW w:w="1010" w:type="dxa"/>
            <w:vAlign w:val="center"/>
          </w:tcPr>
          <w:p>
            <w:pPr>
              <w:jc w:val="center"/>
              <w:rPr>
                <w:rFonts w:eastAsia="仿宋_GB2312"/>
                <w:szCs w:val="21"/>
              </w:rPr>
            </w:pPr>
            <w:r>
              <w:rPr>
                <w:rFonts w:hint="eastAsia" w:eastAsia="仿宋_GB2312"/>
                <w:szCs w:val="21"/>
              </w:rPr>
              <w:t>ND</w:t>
            </w:r>
          </w:p>
        </w:tc>
        <w:tc>
          <w:tcPr>
            <w:tcW w:w="1155" w:type="dxa"/>
            <w:vAlign w:val="center"/>
          </w:tcPr>
          <w:p>
            <w:pPr>
              <w:adjustRightInd w:val="0"/>
              <w:snapToGrid w:val="0"/>
              <w:jc w:val="center"/>
              <w:rPr>
                <w:rFonts w:eastAsia="仿宋_GB2312"/>
                <w:szCs w:val="21"/>
              </w:rPr>
            </w:pPr>
            <w:r>
              <w:rPr>
                <w:rFonts w:hint="eastAsia" w:eastAsia="仿宋_GB2312"/>
                <w:szCs w:val="21"/>
              </w:rPr>
              <w:t>ND</w:t>
            </w:r>
          </w:p>
        </w:tc>
        <w:tc>
          <w:tcPr>
            <w:tcW w:w="1056" w:type="dxa"/>
            <w:vAlign w:val="center"/>
          </w:tcPr>
          <w:p>
            <w:pPr>
              <w:jc w:val="center"/>
              <w:rPr>
                <w:rFonts w:eastAsia="仿宋_GB2312"/>
                <w:szCs w:val="21"/>
              </w:rPr>
            </w:pPr>
            <w:r>
              <w:rPr>
                <w:rFonts w:hint="eastAsia" w:eastAsia="仿宋_GB2312"/>
                <w:szCs w:val="21"/>
              </w:rPr>
              <w:t>ND</w:t>
            </w:r>
          </w:p>
        </w:tc>
        <w:tc>
          <w:tcPr>
            <w:tcW w:w="0" w:type="auto"/>
            <w:vAlign w:val="center"/>
          </w:tcPr>
          <w:p>
            <w:pPr>
              <w:adjustRightInd w:val="0"/>
              <w:snapToGrid w:val="0"/>
              <w:jc w:val="center"/>
              <w:rPr>
                <w:rFonts w:eastAsia="仿宋_GB2312"/>
                <w:szCs w:val="21"/>
              </w:rPr>
            </w:pPr>
            <w:r>
              <w:rPr>
                <w:rFonts w:hint="eastAsia" w:eastAsia="仿宋_GB2312"/>
                <w:szCs w:val="21"/>
              </w:rPr>
              <w:t>1.5</w:t>
            </w:r>
          </w:p>
        </w:tc>
        <w:tc>
          <w:tcPr>
            <w:tcW w:w="983" w:type="dxa"/>
            <w:vAlign w:val="center"/>
          </w:tcPr>
          <w:p>
            <w:pPr>
              <w:adjustRightInd w:val="0"/>
              <w:snapToGrid w:val="0"/>
              <w:jc w:val="center"/>
              <w:rPr>
                <w:rFonts w:eastAsia="仿宋_GB2312"/>
                <w:szCs w:val="21"/>
              </w:rPr>
            </w:pPr>
            <w:r>
              <w:rPr>
                <w:rFonts w:hint="eastAsia" w:eastAsia="仿宋_GB2312"/>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1568" w:type="dxa"/>
            <w:vAlign w:val="center"/>
          </w:tcPr>
          <w:p>
            <w:pPr>
              <w:adjustRightInd w:val="0"/>
              <w:snapToGrid w:val="0"/>
              <w:jc w:val="center"/>
              <w:rPr>
                <w:rFonts w:eastAsia="仿宋_GB2312"/>
                <w:bCs/>
                <w:szCs w:val="21"/>
              </w:rPr>
            </w:pPr>
            <w:r>
              <w:rPr>
                <w:rFonts w:hint="eastAsia" w:eastAsia="仿宋_GB2312"/>
                <w:bCs/>
                <w:szCs w:val="21"/>
              </w:rPr>
              <w:t>茚并</w:t>
            </w:r>
            <w:r>
              <w:rPr>
                <w:rFonts w:eastAsia="仿宋_GB2312"/>
                <w:bCs/>
                <w:szCs w:val="21"/>
              </w:rPr>
              <w:t>[1,2,3-cd]</w:t>
            </w:r>
            <w:r>
              <w:rPr>
                <w:rFonts w:hint="eastAsia" w:eastAsia="仿宋_GB2312"/>
                <w:bCs/>
                <w:szCs w:val="21"/>
              </w:rPr>
              <w:t>芘</w:t>
            </w:r>
          </w:p>
        </w:tc>
        <w:tc>
          <w:tcPr>
            <w:tcW w:w="0" w:type="auto"/>
            <w:vAlign w:val="center"/>
          </w:tcPr>
          <w:p>
            <w:pPr>
              <w:adjustRightInd w:val="0"/>
              <w:snapToGrid w:val="0"/>
              <w:jc w:val="center"/>
              <w:rPr>
                <w:rFonts w:eastAsia="仿宋_GB2312"/>
                <w:szCs w:val="21"/>
              </w:rPr>
            </w:pPr>
            <w:r>
              <w:rPr>
                <w:rFonts w:eastAsia="仿宋_GB2312"/>
                <w:szCs w:val="21"/>
              </w:rPr>
              <w:t>m</w:t>
            </w:r>
            <w:r>
              <w:rPr>
                <w:rFonts w:hint="eastAsia" w:eastAsia="仿宋_GB2312"/>
                <w:szCs w:val="21"/>
              </w:rPr>
              <w:t>g/</w:t>
            </w:r>
            <w:r>
              <w:rPr>
                <w:rFonts w:eastAsia="仿宋_GB2312"/>
                <w:szCs w:val="21"/>
              </w:rPr>
              <w:t>kg</w:t>
            </w:r>
          </w:p>
        </w:tc>
        <w:tc>
          <w:tcPr>
            <w:tcW w:w="0" w:type="auto"/>
            <w:vAlign w:val="center"/>
          </w:tcPr>
          <w:p>
            <w:pPr>
              <w:adjustRightInd w:val="0"/>
              <w:snapToGrid w:val="0"/>
              <w:jc w:val="center"/>
              <w:rPr>
                <w:rFonts w:eastAsia="仿宋_GB2312"/>
                <w:szCs w:val="21"/>
              </w:rPr>
            </w:pPr>
            <w:r>
              <w:rPr>
                <w:rFonts w:hint="eastAsia" w:eastAsia="仿宋_GB2312"/>
                <w:szCs w:val="21"/>
              </w:rPr>
              <w:t>0.1</w:t>
            </w:r>
          </w:p>
        </w:tc>
        <w:tc>
          <w:tcPr>
            <w:tcW w:w="942" w:type="dxa"/>
            <w:vAlign w:val="center"/>
          </w:tcPr>
          <w:p>
            <w:pPr>
              <w:adjustRightInd w:val="0"/>
              <w:snapToGrid w:val="0"/>
              <w:jc w:val="center"/>
              <w:rPr>
                <w:rFonts w:eastAsia="仿宋_GB2312"/>
                <w:szCs w:val="21"/>
              </w:rPr>
            </w:pPr>
            <w:r>
              <w:rPr>
                <w:rFonts w:hint="eastAsia" w:eastAsia="仿宋_GB2312"/>
                <w:szCs w:val="21"/>
              </w:rPr>
              <w:t>ND</w:t>
            </w:r>
          </w:p>
        </w:tc>
        <w:tc>
          <w:tcPr>
            <w:tcW w:w="1010" w:type="dxa"/>
            <w:vAlign w:val="center"/>
          </w:tcPr>
          <w:p>
            <w:pPr>
              <w:jc w:val="center"/>
              <w:rPr>
                <w:rFonts w:eastAsia="仿宋_GB2312"/>
                <w:szCs w:val="21"/>
              </w:rPr>
            </w:pPr>
            <w:r>
              <w:rPr>
                <w:rFonts w:hint="eastAsia" w:eastAsia="仿宋_GB2312"/>
                <w:szCs w:val="21"/>
              </w:rPr>
              <w:t>ND</w:t>
            </w:r>
          </w:p>
        </w:tc>
        <w:tc>
          <w:tcPr>
            <w:tcW w:w="1155" w:type="dxa"/>
            <w:vAlign w:val="center"/>
          </w:tcPr>
          <w:p>
            <w:pPr>
              <w:adjustRightInd w:val="0"/>
              <w:snapToGrid w:val="0"/>
              <w:jc w:val="center"/>
              <w:rPr>
                <w:rFonts w:eastAsia="仿宋_GB2312"/>
                <w:szCs w:val="21"/>
              </w:rPr>
            </w:pPr>
            <w:r>
              <w:rPr>
                <w:rFonts w:hint="eastAsia" w:eastAsia="仿宋_GB2312"/>
                <w:szCs w:val="21"/>
              </w:rPr>
              <w:t>ND</w:t>
            </w:r>
          </w:p>
        </w:tc>
        <w:tc>
          <w:tcPr>
            <w:tcW w:w="1056" w:type="dxa"/>
            <w:vAlign w:val="center"/>
          </w:tcPr>
          <w:p>
            <w:pPr>
              <w:jc w:val="center"/>
              <w:rPr>
                <w:rFonts w:eastAsia="仿宋_GB2312"/>
                <w:szCs w:val="21"/>
              </w:rPr>
            </w:pPr>
            <w:r>
              <w:rPr>
                <w:rFonts w:hint="eastAsia" w:eastAsia="仿宋_GB2312"/>
                <w:szCs w:val="21"/>
              </w:rPr>
              <w:t>ND</w:t>
            </w:r>
          </w:p>
        </w:tc>
        <w:tc>
          <w:tcPr>
            <w:tcW w:w="0" w:type="auto"/>
            <w:vAlign w:val="center"/>
          </w:tcPr>
          <w:p>
            <w:pPr>
              <w:adjustRightInd w:val="0"/>
              <w:snapToGrid w:val="0"/>
              <w:jc w:val="center"/>
              <w:rPr>
                <w:rFonts w:eastAsia="仿宋_GB2312"/>
                <w:szCs w:val="21"/>
              </w:rPr>
            </w:pPr>
            <w:r>
              <w:rPr>
                <w:rFonts w:hint="eastAsia" w:eastAsia="仿宋_GB2312"/>
                <w:szCs w:val="21"/>
              </w:rPr>
              <w:t>15</w:t>
            </w:r>
          </w:p>
        </w:tc>
        <w:tc>
          <w:tcPr>
            <w:tcW w:w="983" w:type="dxa"/>
            <w:vAlign w:val="center"/>
          </w:tcPr>
          <w:p>
            <w:pPr>
              <w:adjustRightInd w:val="0"/>
              <w:snapToGrid w:val="0"/>
              <w:jc w:val="center"/>
              <w:rPr>
                <w:rFonts w:eastAsia="仿宋_GB2312"/>
                <w:szCs w:val="21"/>
              </w:rPr>
            </w:pPr>
            <w:r>
              <w:rPr>
                <w:rFonts w:hint="eastAsia" w:eastAsia="仿宋_GB2312"/>
                <w:szCs w:val="21"/>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568" w:type="dxa"/>
            <w:vAlign w:val="center"/>
          </w:tcPr>
          <w:p>
            <w:pPr>
              <w:adjustRightInd w:val="0"/>
              <w:snapToGrid w:val="0"/>
              <w:jc w:val="center"/>
              <w:rPr>
                <w:rFonts w:eastAsia="仿宋_GB2312"/>
                <w:bCs/>
                <w:szCs w:val="21"/>
              </w:rPr>
            </w:pPr>
            <w:r>
              <w:rPr>
                <w:rFonts w:hint="eastAsia" w:eastAsia="仿宋_GB2312"/>
                <w:bCs/>
                <w:szCs w:val="21"/>
              </w:rPr>
              <w:t>二苯并</w:t>
            </w:r>
            <w:r>
              <w:rPr>
                <w:rFonts w:eastAsia="仿宋_GB2312"/>
                <w:bCs/>
                <w:szCs w:val="21"/>
              </w:rPr>
              <w:t>[a</w:t>
            </w:r>
            <w:r>
              <w:rPr>
                <w:rFonts w:hint="eastAsia" w:eastAsia="仿宋_GB2312"/>
                <w:bCs/>
                <w:szCs w:val="21"/>
              </w:rPr>
              <w:t>，</w:t>
            </w:r>
            <w:r>
              <w:rPr>
                <w:rFonts w:eastAsia="仿宋_GB2312"/>
                <w:bCs/>
                <w:szCs w:val="21"/>
              </w:rPr>
              <w:t>h]</w:t>
            </w:r>
            <w:r>
              <w:rPr>
                <w:rFonts w:hint="eastAsia" w:eastAsia="仿宋_GB2312"/>
                <w:bCs/>
                <w:szCs w:val="21"/>
              </w:rPr>
              <w:t>蒽</w:t>
            </w:r>
          </w:p>
        </w:tc>
        <w:tc>
          <w:tcPr>
            <w:tcW w:w="0" w:type="auto"/>
            <w:vAlign w:val="center"/>
          </w:tcPr>
          <w:p>
            <w:pPr>
              <w:adjustRightInd w:val="0"/>
              <w:snapToGrid w:val="0"/>
              <w:jc w:val="center"/>
              <w:rPr>
                <w:rFonts w:eastAsia="仿宋_GB2312"/>
                <w:szCs w:val="21"/>
              </w:rPr>
            </w:pPr>
            <w:r>
              <w:rPr>
                <w:rFonts w:eastAsia="仿宋_GB2312"/>
                <w:szCs w:val="21"/>
              </w:rPr>
              <w:t>m</w:t>
            </w:r>
            <w:r>
              <w:rPr>
                <w:rFonts w:hint="eastAsia" w:eastAsia="仿宋_GB2312"/>
                <w:szCs w:val="21"/>
              </w:rPr>
              <w:t>g/</w:t>
            </w:r>
            <w:r>
              <w:rPr>
                <w:rFonts w:eastAsia="仿宋_GB2312"/>
                <w:szCs w:val="21"/>
              </w:rPr>
              <w:t>kg</w:t>
            </w:r>
          </w:p>
        </w:tc>
        <w:tc>
          <w:tcPr>
            <w:tcW w:w="0" w:type="auto"/>
            <w:vAlign w:val="center"/>
          </w:tcPr>
          <w:p>
            <w:pPr>
              <w:adjustRightInd w:val="0"/>
              <w:snapToGrid w:val="0"/>
              <w:jc w:val="center"/>
              <w:rPr>
                <w:rFonts w:eastAsia="仿宋_GB2312"/>
                <w:szCs w:val="21"/>
              </w:rPr>
            </w:pPr>
            <w:r>
              <w:rPr>
                <w:rFonts w:hint="eastAsia" w:eastAsia="仿宋_GB2312"/>
                <w:szCs w:val="21"/>
              </w:rPr>
              <w:t>0.1</w:t>
            </w:r>
          </w:p>
        </w:tc>
        <w:tc>
          <w:tcPr>
            <w:tcW w:w="942" w:type="dxa"/>
            <w:vAlign w:val="center"/>
          </w:tcPr>
          <w:p>
            <w:pPr>
              <w:adjustRightInd w:val="0"/>
              <w:snapToGrid w:val="0"/>
              <w:jc w:val="center"/>
              <w:rPr>
                <w:rFonts w:eastAsia="仿宋_GB2312"/>
                <w:szCs w:val="21"/>
              </w:rPr>
            </w:pPr>
            <w:r>
              <w:rPr>
                <w:rFonts w:hint="eastAsia" w:eastAsia="仿宋_GB2312"/>
                <w:szCs w:val="21"/>
              </w:rPr>
              <w:t>ND</w:t>
            </w:r>
          </w:p>
        </w:tc>
        <w:tc>
          <w:tcPr>
            <w:tcW w:w="1010" w:type="dxa"/>
            <w:vAlign w:val="center"/>
          </w:tcPr>
          <w:p>
            <w:pPr>
              <w:jc w:val="center"/>
              <w:rPr>
                <w:rFonts w:eastAsia="仿宋_GB2312"/>
                <w:szCs w:val="21"/>
              </w:rPr>
            </w:pPr>
            <w:r>
              <w:rPr>
                <w:rFonts w:hint="eastAsia" w:eastAsia="仿宋_GB2312"/>
                <w:szCs w:val="21"/>
              </w:rPr>
              <w:t>ND</w:t>
            </w:r>
          </w:p>
        </w:tc>
        <w:tc>
          <w:tcPr>
            <w:tcW w:w="1155" w:type="dxa"/>
            <w:vAlign w:val="center"/>
          </w:tcPr>
          <w:p>
            <w:pPr>
              <w:adjustRightInd w:val="0"/>
              <w:snapToGrid w:val="0"/>
              <w:jc w:val="center"/>
              <w:rPr>
                <w:rFonts w:eastAsia="仿宋_GB2312"/>
                <w:szCs w:val="21"/>
              </w:rPr>
            </w:pPr>
            <w:r>
              <w:rPr>
                <w:rFonts w:hint="eastAsia" w:eastAsia="仿宋_GB2312"/>
                <w:szCs w:val="21"/>
              </w:rPr>
              <w:t>ND</w:t>
            </w:r>
          </w:p>
        </w:tc>
        <w:tc>
          <w:tcPr>
            <w:tcW w:w="1056" w:type="dxa"/>
            <w:vAlign w:val="center"/>
          </w:tcPr>
          <w:p>
            <w:pPr>
              <w:jc w:val="center"/>
              <w:rPr>
                <w:rFonts w:eastAsia="仿宋_GB2312"/>
                <w:szCs w:val="21"/>
              </w:rPr>
            </w:pPr>
            <w:r>
              <w:rPr>
                <w:rFonts w:hint="eastAsia" w:eastAsia="仿宋_GB2312"/>
                <w:szCs w:val="21"/>
              </w:rPr>
              <w:t>ND</w:t>
            </w:r>
          </w:p>
        </w:tc>
        <w:tc>
          <w:tcPr>
            <w:tcW w:w="0" w:type="auto"/>
            <w:vAlign w:val="center"/>
          </w:tcPr>
          <w:p>
            <w:pPr>
              <w:adjustRightInd w:val="0"/>
              <w:snapToGrid w:val="0"/>
              <w:jc w:val="center"/>
              <w:rPr>
                <w:rFonts w:eastAsia="仿宋_GB2312"/>
                <w:szCs w:val="21"/>
              </w:rPr>
            </w:pPr>
            <w:r>
              <w:rPr>
                <w:rFonts w:hint="eastAsia" w:eastAsia="仿宋_GB2312"/>
                <w:szCs w:val="21"/>
              </w:rPr>
              <w:t>1.5</w:t>
            </w:r>
          </w:p>
        </w:tc>
        <w:tc>
          <w:tcPr>
            <w:tcW w:w="983" w:type="dxa"/>
            <w:vAlign w:val="center"/>
          </w:tcPr>
          <w:p>
            <w:pPr>
              <w:adjustRightInd w:val="0"/>
              <w:snapToGrid w:val="0"/>
              <w:jc w:val="center"/>
              <w:rPr>
                <w:rFonts w:eastAsia="仿宋_GB2312"/>
                <w:szCs w:val="21"/>
              </w:rPr>
            </w:pPr>
            <w:r>
              <w:rPr>
                <w:rFonts w:hint="eastAsia" w:eastAsia="仿宋_GB2312"/>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568" w:type="dxa"/>
            <w:vAlign w:val="center"/>
          </w:tcPr>
          <w:p>
            <w:pPr>
              <w:adjustRightInd w:val="0"/>
              <w:snapToGrid w:val="0"/>
              <w:jc w:val="center"/>
              <w:rPr>
                <w:rFonts w:eastAsia="仿宋_GB2312"/>
                <w:bCs/>
                <w:szCs w:val="21"/>
              </w:rPr>
            </w:pPr>
            <w:r>
              <w:rPr>
                <w:rFonts w:hint="eastAsia" w:eastAsia="仿宋_GB2312"/>
                <w:bCs/>
                <w:szCs w:val="21"/>
              </w:rPr>
              <w:t>2-氟苯酚</w:t>
            </w:r>
          </w:p>
        </w:tc>
        <w:tc>
          <w:tcPr>
            <w:tcW w:w="0" w:type="auto"/>
            <w:vAlign w:val="center"/>
          </w:tcPr>
          <w:p>
            <w:pPr>
              <w:adjustRightInd w:val="0"/>
              <w:snapToGrid w:val="0"/>
              <w:jc w:val="center"/>
              <w:rPr>
                <w:rFonts w:eastAsia="仿宋_GB2312"/>
                <w:bCs/>
                <w:szCs w:val="21"/>
              </w:rPr>
            </w:pPr>
            <w:r>
              <w:rPr>
                <w:rFonts w:eastAsia="仿宋_GB2312"/>
                <w:bCs/>
                <w:szCs w:val="21"/>
              </w:rPr>
              <w:t>%</w:t>
            </w:r>
          </w:p>
        </w:tc>
        <w:tc>
          <w:tcPr>
            <w:tcW w:w="0" w:type="auto"/>
            <w:vAlign w:val="center"/>
          </w:tcPr>
          <w:p>
            <w:pPr>
              <w:adjustRightInd w:val="0"/>
              <w:snapToGrid w:val="0"/>
              <w:jc w:val="center"/>
              <w:rPr>
                <w:rFonts w:eastAsia="仿宋_GB2312"/>
                <w:bCs/>
                <w:szCs w:val="21"/>
              </w:rPr>
            </w:pPr>
            <w:r>
              <w:rPr>
                <w:rFonts w:hint="eastAsia" w:eastAsia="仿宋_GB2312"/>
                <w:bCs/>
                <w:szCs w:val="21"/>
              </w:rPr>
              <w:t>-</w:t>
            </w:r>
          </w:p>
        </w:tc>
        <w:tc>
          <w:tcPr>
            <w:tcW w:w="0" w:type="auto"/>
            <w:vAlign w:val="center"/>
          </w:tcPr>
          <w:p>
            <w:pPr>
              <w:adjustRightInd w:val="0"/>
              <w:snapToGrid w:val="0"/>
              <w:jc w:val="center"/>
              <w:rPr>
                <w:rFonts w:eastAsia="仿宋_GB2312"/>
                <w:bCs/>
                <w:szCs w:val="21"/>
              </w:rPr>
            </w:pPr>
            <w:r>
              <w:rPr>
                <w:rFonts w:hint="eastAsia" w:eastAsia="仿宋_GB2312"/>
                <w:bCs/>
                <w:szCs w:val="21"/>
              </w:rPr>
              <w:t>76.1</w:t>
            </w:r>
          </w:p>
        </w:tc>
        <w:tc>
          <w:tcPr>
            <w:tcW w:w="0" w:type="auto"/>
            <w:vAlign w:val="center"/>
          </w:tcPr>
          <w:p>
            <w:pPr>
              <w:adjustRightInd w:val="0"/>
              <w:snapToGrid w:val="0"/>
              <w:jc w:val="center"/>
              <w:rPr>
                <w:rFonts w:eastAsia="仿宋_GB2312"/>
                <w:bCs/>
                <w:szCs w:val="21"/>
              </w:rPr>
            </w:pPr>
            <w:r>
              <w:rPr>
                <w:rFonts w:hint="eastAsia" w:eastAsia="仿宋_GB2312"/>
                <w:bCs/>
                <w:szCs w:val="21"/>
              </w:rPr>
              <w:t>76.4</w:t>
            </w:r>
          </w:p>
        </w:tc>
        <w:tc>
          <w:tcPr>
            <w:tcW w:w="0" w:type="auto"/>
            <w:vAlign w:val="center"/>
          </w:tcPr>
          <w:p>
            <w:pPr>
              <w:adjustRightInd w:val="0"/>
              <w:snapToGrid w:val="0"/>
              <w:jc w:val="center"/>
              <w:rPr>
                <w:rFonts w:eastAsia="仿宋_GB2312"/>
                <w:bCs/>
                <w:szCs w:val="21"/>
              </w:rPr>
            </w:pPr>
            <w:r>
              <w:rPr>
                <w:rFonts w:hint="eastAsia" w:eastAsia="仿宋_GB2312"/>
                <w:bCs/>
                <w:szCs w:val="21"/>
              </w:rPr>
              <w:t>74.0</w:t>
            </w:r>
          </w:p>
        </w:tc>
        <w:tc>
          <w:tcPr>
            <w:tcW w:w="0" w:type="auto"/>
            <w:vAlign w:val="center"/>
          </w:tcPr>
          <w:p>
            <w:pPr>
              <w:adjustRightInd w:val="0"/>
              <w:snapToGrid w:val="0"/>
              <w:jc w:val="center"/>
              <w:rPr>
                <w:rFonts w:eastAsia="仿宋_GB2312"/>
                <w:bCs/>
                <w:szCs w:val="21"/>
              </w:rPr>
            </w:pPr>
            <w:r>
              <w:rPr>
                <w:rFonts w:hint="eastAsia" w:eastAsia="仿宋_GB2312"/>
                <w:bCs/>
                <w:szCs w:val="21"/>
              </w:rPr>
              <w:t xml:space="preserve">81.4 </w:t>
            </w:r>
          </w:p>
        </w:tc>
        <w:tc>
          <w:tcPr>
            <w:tcW w:w="0" w:type="auto"/>
            <w:vAlign w:val="center"/>
          </w:tcPr>
          <w:p>
            <w:pPr>
              <w:adjustRightInd w:val="0"/>
              <w:snapToGrid w:val="0"/>
              <w:jc w:val="center"/>
              <w:rPr>
                <w:rFonts w:eastAsia="仿宋_GB2312"/>
                <w:bCs/>
                <w:szCs w:val="21"/>
              </w:rPr>
            </w:pPr>
            <w:r>
              <w:rPr>
                <w:rFonts w:hint="eastAsia" w:eastAsia="仿宋_GB2312"/>
                <w:bCs/>
                <w:szCs w:val="21"/>
              </w:rPr>
              <w:t>-</w:t>
            </w:r>
          </w:p>
        </w:tc>
        <w:tc>
          <w:tcPr>
            <w:tcW w:w="983" w:type="dxa"/>
            <w:vAlign w:val="center"/>
          </w:tcPr>
          <w:p>
            <w:pPr>
              <w:adjustRightInd w:val="0"/>
              <w:snapToGrid w:val="0"/>
              <w:jc w:val="center"/>
              <w:rPr>
                <w:rFonts w:eastAsia="仿宋_GB2312"/>
                <w:bCs/>
                <w:szCs w:val="21"/>
              </w:rPr>
            </w:pPr>
            <w:r>
              <w:rPr>
                <w:rFonts w:hint="eastAsia" w:eastAsia="仿宋_GB2312"/>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568" w:type="dxa"/>
            <w:vAlign w:val="center"/>
          </w:tcPr>
          <w:p>
            <w:pPr>
              <w:adjustRightInd w:val="0"/>
              <w:snapToGrid w:val="0"/>
              <w:jc w:val="center"/>
              <w:rPr>
                <w:rFonts w:eastAsia="仿宋_GB2312"/>
                <w:bCs/>
                <w:szCs w:val="21"/>
              </w:rPr>
            </w:pPr>
            <w:r>
              <w:rPr>
                <w:rFonts w:hint="eastAsia" w:eastAsia="仿宋_GB2312"/>
                <w:bCs/>
                <w:szCs w:val="21"/>
              </w:rPr>
              <w:t>苯酚-d</w:t>
            </w:r>
            <w:r>
              <w:rPr>
                <w:rFonts w:eastAsia="仿宋_GB2312"/>
                <w:bCs/>
                <w:szCs w:val="21"/>
                <w:vertAlign w:val="subscript"/>
              </w:rPr>
              <w:t>6</w:t>
            </w:r>
          </w:p>
        </w:tc>
        <w:tc>
          <w:tcPr>
            <w:tcW w:w="0" w:type="auto"/>
            <w:vAlign w:val="center"/>
          </w:tcPr>
          <w:p>
            <w:pPr>
              <w:adjustRightInd w:val="0"/>
              <w:snapToGrid w:val="0"/>
              <w:jc w:val="center"/>
              <w:rPr>
                <w:rFonts w:eastAsia="仿宋_GB2312"/>
                <w:bCs/>
                <w:szCs w:val="21"/>
              </w:rPr>
            </w:pPr>
            <w:r>
              <w:rPr>
                <w:rFonts w:eastAsia="仿宋_GB2312"/>
                <w:bCs/>
                <w:szCs w:val="21"/>
              </w:rPr>
              <w:t>%</w:t>
            </w:r>
          </w:p>
        </w:tc>
        <w:tc>
          <w:tcPr>
            <w:tcW w:w="0" w:type="auto"/>
            <w:vAlign w:val="center"/>
          </w:tcPr>
          <w:p>
            <w:pPr>
              <w:adjustRightInd w:val="0"/>
              <w:snapToGrid w:val="0"/>
              <w:jc w:val="center"/>
              <w:rPr>
                <w:rFonts w:eastAsia="仿宋_GB2312"/>
                <w:bCs/>
                <w:szCs w:val="21"/>
              </w:rPr>
            </w:pPr>
            <w:r>
              <w:rPr>
                <w:rFonts w:hint="eastAsia" w:eastAsia="仿宋_GB2312"/>
                <w:bCs/>
                <w:szCs w:val="21"/>
              </w:rPr>
              <w:t>-</w:t>
            </w:r>
          </w:p>
        </w:tc>
        <w:tc>
          <w:tcPr>
            <w:tcW w:w="0" w:type="auto"/>
            <w:vAlign w:val="center"/>
          </w:tcPr>
          <w:p>
            <w:pPr>
              <w:adjustRightInd w:val="0"/>
              <w:snapToGrid w:val="0"/>
              <w:jc w:val="center"/>
              <w:rPr>
                <w:rFonts w:eastAsia="仿宋_GB2312"/>
                <w:bCs/>
                <w:szCs w:val="21"/>
              </w:rPr>
            </w:pPr>
            <w:r>
              <w:rPr>
                <w:rFonts w:hint="eastAsia" w:eastAsia="仿宋_GB2312"/>
                <w:bCs/>
                <w:szCs w:val="21"/>
              </w:rPr>
              <w:t xml:space="preserve">65.6 </w:t>
            </w:r>
          </w:p>
        </w:tc>
        <w:tc>
          <w:tcPr>
            <w:tcW w:w="0" w:type="auto"/>
            <w:vAlign w:val="center"/>
          </w:tcPr>
          <w:p>
            <w:pPr>
              <w:adjustRightInd w:val="0"/>
              <w:snapToGrid w:val="0"/>
              <w:jc w:val="center"/>
              <w:rPr>
                <w:rFonts w:eastAsia="仿宋_GB2312"/>
                <w:bCs/>
                <w:szCs w:val="21"/>
              </w:rPr>
            </w:pPr>
            <w:r>
              <w:rPr>
                <w:rFonts w:hint="eastAsia" w:eastAsia="仿宋_GB2312"/>
                <w:bCs/>
                <w:szCs w:val="21"/>
              </w:rPr>
              <w:t xml:space="preserve">66.4 </w:t>
            </w:r>
          </w:p>
        </w:tc>
        <w:tc>
          <w:tcPr>
            <w:tcW w:w="0" w:type="auto"/>
            <w:vAlign w:val="center"/>
          </w:tcPr>
          <w:p>
            <w:pPr>
              <w:adjustRightInd w:val="0"/>
              <w:snapToGrid w:val="0"/>
              <w:jc w:val="center"/>
              <w:rPr>
                <w:rFonts w:eastAsia="仿宋_GB2312"/>
                <w:bCs/>
                <w:szCs w:val="21"/>
              </w:rPr>
            </w:pPr>
            <w:r>
              <w:rPr>
                <w:rFonts w:hint="eastAsia" w:eastAsia="仿宋_GB2312"/>
                <w:bCs/>
                <w:szCs w:val="21"/>
              </w:rPr>
              <w:t xml:space="preserve">64.0 </w:t>
            </w:r>
          </w:p>
        </w:tc>
        <w:tc>
          <w:tcPr>
            <w:tcW w:w="0" w:type="auto"/>
            <w:vAlign w:val="center"/>
          </w:tcPr>
          <w:p>
            <w:pPr>
              <w:adjustRightInd w:val="0"/>
              <w:snapToGrid w:val="0"/>
              <w:jc w:val="center"/>
              <w:rPr>
                <w:rFonts w:eastAsia="仿宋_GB2312"/>
                <w:bCs/>
                <w:szCs w:val="21"/>
              </w:rPr>
            </w:pPr>
            <w:r>
              <w:rPr>
                <w:rFonts w:hint="eastAsia" w:eastAsia="仿宋_GB2312"/>
                <w:bCs/>
                <w:szCs w:val="21"/>
              </w:rPr>
              <w:t xml:space="preserve">70.3 </w:t>
            </w:r>
          </w:p>
        </w:tc>
        <w:tc>
          <w:tcPr>
            <w:tcW w:w="0" w:type="auto"/>
            <w:vAlign w:val="center"/>
          </w:tcPr>
          <w:p>
            <w:pPr>
              <w:adjustRightInd w:val="0"/>
              <w:snapToGrid w:val="0"/>
              <w:jc w:val="center"/>
              <w:rPr>
                <w:rFonts w:eastAsia="仿宋_GB2312"/>
                <w:bCs/>
                <w:szCs w:val="21"/>
              </w:rPr>
            </w:pPr>
            <w:r>
              <w:rPr>
                <w:rFonts w:hint="eastAsia" w:eastAsia="仿宋_GB2312"/>
                <w:bCs/>
                <w:szCs w:val="21"/>
              </w:rPr>
              <w:t>-</w:t>
            </w:r>
          </w:p>
        </w:tc>
        <w:tc>
          <w:tcPr>
            <w:tcW w:w="983" w:type="dxa"/>
            <w:vAlign w:val="center"/>
          </w:tcPr>
          <w:p>
            <w:pPr>
              <w:adjustRightInd w:val="0"/>
              <w:snapToGrid w:val="0"/>
              <w:jc w:val="center"/>
              <w:rPr>
                <w:rFonts w:eastAsia="仿宋_GB2312"/>
                <w:bCs/>
                <w:szCs w:val="21"/>
              </w:rPr>
            </w:pPr>
            <w:r>
              <w:rPr>
                <w:rFonts w:hint="eastAsia" w:eastAsia="仿宋_GB2312"/>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568" w:type="dxa"/>
            <w:vAlign w:val="center"/>
          </w:tcPr>
          <w:p>
            <w:pPr>
              <w:adjustRightInd w:val="0"/>
              <w:snapToGrid w:val="0"/>
              <w:jc w:val="center"/>
              <w:rPr>
                <w:rFonts w:eastAsia="仿宋_GB2312"/>
                <w:bCs/>
                <w:szCs w:val="21"/>
              </w:rPr>
            </w:pPr>
            <w:r>
              <w:rPr>
                <w:rFonts w:hint="eastAsia" w:eastAsia="仿宋_GB2312"/>
                <w:bCs/>
                <w:szCs w:val="21"/>
              </w:rPr>
              <w:t>硝基苯-d</w:t>
            </w:r>
            <w:r>
              <w:rPr>
                <w:rFonts w:hint="eastAsia" w:eastAsia="仿宋_GB2312"/>
                <w:bCs/>
                <w:szCs w:val="21"/>
                <w:vertAlign w:val="subscript"/>
              </w:rPr>
              <w:t>5</w:t>
            </w:r>
          </w:p>
        </w:tc>
        <w:tc>
          <w:tcPr>
            <w:tcW w:w="0" w:type="auto"/>
            <w:vAlign w:val="center"/>
          </w:tcPr>
          <w:p>
            <w:pPr>
              <w:adjustRightInd w:val="0"/>
              <w:snapToGrid w:val="0"/>
              <w:jc w:val="center"/>
              <w:rPr>
                <w:rFonts w:eastAsia="仿宋_GB2312"/>
                <w:bCs/>
                <w:szCs w:val="21"/>
              </w:rPr>
            </w:pPr>
            <w:r>
              <w:rPr>
                <w:rFonts w:eastAsia="仿宋_GB2312"/>
                <w:bCs/>
                <w:szCs w:val="21"/>
              </w:rPr>
              <w:t>%</w:t>
            </w:r>
          </w:p>
        </w:tc>
        <w:tc>
          <w:tcPr>
            <w:tcW w:w="0" w:type="auto"/>
            <w:vAlign w:val="center"/>
          </w:tcPr>
          <w:p>
            <w:pPr>
              <w:adjustRightInd w:val="0"/>
              <w:snapToGrid w:val="0"/>
              <w:jc w:val="center"/>
              <w:rPr>
                <w:rFonts w:eastAsia="仿宋_GB2312"/>
                <w:bCs/>
                <w:szCs w:val="21"/>
              </w:rPr>
            </w:pPr>
            <w:r>
              <w:rPr>
                <w:rFonts w:hint="eastAsia" w:eastAsia="仿宋_GB2312"/>
                <w:bCs/>
                <w:szCs w:val="21"/>
              </w:rPr>
              <w:t>-</w:t>
            </w:r>
          </w:p>
        </w:tc>
        <w:tc>
          <w:tcPr>
            <w:tcW w:w="0" w:type="auto"/>
            <w:vAlign w:val="center"/>
          </w:tcPr>
          <w:p>
            <w:pPr>
              <w:adjustRightInd w:val="0"/>
              <w:snapToGrid w:val="0"/>
              <w:jc w:val="center"/>
              <w:rPr>
                <w:rFonts w:eastAsia="仿宋_GB2312"/>
                <w:bCs/>
                <w:szCs w:val="21"/>
              </w:rPr>
            </w:pPr>
            <w:r>
              <w:rPr>
                <w:rFonts w:hint="eastAsia" w:eastAsia="仿宋_GB2312"/>
                <w:bCs/>
                <w:szCs w:val="21"/>
              </w:rPr>
              <w:t xml:space="preserve">65.4 </w:t>
            </w:r>
          </w:p>
        </w:tc>
        <w:tc>
          <w:tcPr>
            <w:tcW w:w="0" w:type="auto"/>
            <w:vAlign w:val="center"/>
          </w:tcPr>
          <w:p>
            <w:pPr>
              <w:adjustRightInd w:val="0"/>
              <w:snapToGrid w:val="0"/>
              <w:jc w:val="center"/>
              <w:rPr>
                <w:rFonts w:eastAsia="仿宋_GB2312"/>
                <w:bCs/>
                <w:szCs w:val="21"/>
              </w:rPr>
            </w:pPr>
            <w:r>
              <w:rPr>
                <w:rFonts w:hint="eastAsia" w:eastAsia="仿宋_GB2312"/>
                <w:bCs/>
                <w:szCs w:val="21"/>
              </w:rPr>
              <w:t xml:space="preserve">66.4 </w:t>
            </w:r>
          </w:p>
        </w:tc>
        <w:tc>
          <w:tcPr>
            <w:tcW w:w="0" w:type="auto"/>
            <w:vAlign w:val="center"/>
          </w:tcPr>
          <w:p>
            <w:pPr>
              <w:adjustRightInd w:val="0"/>
              <w:snapToGrid w:val="0"/>
              <w:jc w:val="center"/>
              <w:rPr>
                <w:rFonts w:eastAsia="仿宋_GB2312"/>
                <w:bCs/>
                <w:szCs w:val="21"/>
              </w:rPr>
            </w:pPr>
            <w:r>
              <w:rPr>
                <w:rFonts w:hint="eastAsia" w:eastAsia="仿宋_GB2312"/>
                <w:bCs/>
                <w:szCs w:val="21"/>
              </w:rPr>
              <w:t xml:space="preserve">64.6 </w:t>
            </w:r>
          </w:p>
        </w:tc>
        <w:tc>
          <w:tcPr>
            <w:tcW w:w="0" w:type="auto"/>
            <w:vAlign w:val="center"/>
          </w:tcPr>
          <w:p>
            <w:pPr>
              <w:adjustRightInd w:val="0"/>
              <w:snapToGrid w:val="0"/>
              <w:jc w:val="center"/>
              <w:rPr>
                <w:rFonts w:eastAsia="仿宋_GB2312"/>
                <w:bCs/>
                <w:szCs w:val="21"/>
              </w:rPr>
            </w:pPr>
            <w:r>
              <w:rPr>
                <w:rFonts w:hint="eastAsia" w:eastAsia="仿宋_GB2312"/>
                <w:bCs/>
                <w:szCs w:val="21"/>
              </w:rPr>
              <w:t xml:space="preserve">71.9 </w:t>
            </w:r>
          </w:p>
        </w:tc>
        <w:tc>
          <w:tcPr>
            <w:tcW w:w="0" w:type="auto"/>
            <w:vAlign w:val="center"/>
          </w:tcPr>
          <w:p>
            <w:pPr>
              <w:adjustRightInd w:val="0"/>
              <w:snapToGrid w:val="0"/>
              <w:jc w:val="center"/>
              <w:rPr>
                <w:rFonts w:eastAsia="仿宋_GB2312"/>
                <w:bCs/>
                <w:szCs w:val="21"/>
              </w:rPr>
            </w:pPr>
            <w:r>
              <w:rPr>
                <w:rFonts w:hint="eastAsia" w:eastAsia="仿宋_GB2312"/>
                <w:bCs/>
                <w:szCs w:val="21"/>
              </w:rPr>
              <w:t>-</w:t>
            </w:r>
          </w:p>
        </w:tc>
        <w:tc>
          <w:tcPr>
            <w:tcW w:w="983" w:type="dxa"/>
            <w:vAlign w:val="center"/>
          </w:tcPr>
          <w:p>
            <w:pPr>
              <w:adjustRightInd w:val="0"/>
              <w:snapToGrid w:val="0"/>
              <w:jc w:val="center"/>
              <w:rPr>
                <w:rFonts w:eastAsia="仿宋_GB2312"/>
                <w:bCs/>
                <w:szCs w:val="21"/>
              </w:rPr>
            </w:pPr>
            <w:r>
              <w:rPr>
                <w:rFonts w:hint="eastAsia" w:eastAsia="仿宋_GB2312"/>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568" w:type="dxa"/>
            <w:vAlign w:val="center"/>
          </w:tcPr>
          <w:p>
            <w:pPr>
              <w:adjustRightInd w:val="0"/>
              <w:snapToGrid w:val="0"/>
              <w:jc w:val="center"/>
              <w:rPr>
                <w:rFonts w:eastAsia="仿宋_GB2312"/>
                <w:bCs/>
                <w:szCs w:val="21"/>
              </w:rPr>
            </w:pPr>
            <w:r>
              <w:rPr>
                <w:rFonts w:hint="eastAsia" w:eastAsia="仿宋_GB2312"/>
                <w:bCs/>
                <w:szCs w:val="21"/>
              </w:rPr>
              <w:t>2-氟联苯</w:t>
            </w:r>
          </w:p>
        </w:tc>
        <w:tc>
          <w:tcPr>
            <w:tcW w:w="0" w:type="auto"/>
            <w:vAlign w:val="center"/>
          </w:tcPr>
          <w:p>
            <w:pPr>
              <w:adjustRightInd w:val="0"/>
              <w:snapToGrid w:val="0"/>
              <w:jc w:val="center"/>
              <w:rPr>
                <w:rFonts w:eastAsia="仿宋_GB2312"/>
                <w:bCs/>
                <w:szCs w:val="21"/>
              </w:rPr>
            </w:pPr>
            <w:r>
              <w:rPr>
                <w:rFonts w:eastAsia="仿宋_GB2312"/>
                <w:bCs/>
                <w:szCs w:val="21"/>
              </w:rPr>
              <w:t>%</w:t>
            </w:r>
          </w:p>
        </w:tc>
        <w:tc>
          <w:tcPr>
            <w:tcW w:w="0" w:type="auto"/>
            <w:vAlign w:val="center"/>
          </w:tcPr>
          <w:p>
            <w:pPr>
              <w:adjustRightInd w:val="0"/>
              <w:snapToGrid w:val="0"/>
              <w:jc w:val="center"/>
              <w:rPr>
                <w:rFonts w:eastAsia="仿宋_GB2312"/>
                <w:bCs/>
                <w:szCs w:val="21"/>
              </w:rPr>
            </w:pPr>
            <w:r>
              <w:rPr>
                <w:rFonts w:hint="eastAsia" w:eastAsia="仿宋_GB2312"/>
                <w:bCs/>
                <w:szCs w:val="21"/>
              </w:rPr>
              <w:t>-</w:t>
            </w:r>
          </w:p>
        </w:tc>
        <w:tc>
          <w:tcPr>
            <w:tcW w:w="0" w:type="auto"/>
            <w:vAlign w:val="center"/>
          </w:tcPr>
          <w:p>
            <w:pPr>
              <w:adjustRightInd w:val="0"/>
              <w:snapToGrid w:val="0"/>
              <w:jc w:val="center"/>
              <w:rPr>
                <w:rFonts w:eastAsia="仿宋_GB2312"/>
                <w:bCs/>
                <w:szCs w:val="21"/>
              </w:rPr>
            </w:pPr>
            <w:r>
              <w:rPr>
                <w:rFonts w:hint="eastAsia" w:eastAsia="仿宋_GB2312"/>
                <w:bCs/>
                <w:szCs w:val="21"/>
              </w:rPr>
              <w:t xml:space="preserve">64.9 </w:t>
            </w:r>
          </w:p>
        </w:tc>
        <w:tc>
          <w:tcPr>
            <w:tcW w:w="0" w:type="auto"/>
            <w:vAlign w:val="center"/>
          </w:tcPr>
          <w:p>
            <w:pPr>
              <w:adjustRightInd w:val="0"/>
              <w:snapToGrid w:val="0"/>
              <w:jc w:val="center"/>
              <w:rPr>
                <w:rFonts w:eastAsia="仿宋_GB2312"/>
                <w:bCs/>
                <w:szCs w:val="21"/>
              </w:rPr>
            </w:pPr>
            <w:r>
              <w:rPr>
                <w:rFonts w:hint="eastAsia" w:eastAsia="仿宋_GB2312"/>
                <w:bCs/>
                <w:szCs w:val="21"/>
              </w:rPr>
              <w:t xml:space="preserve">66.0 </w:t>
            </w:r>
          </w:p>
        </w:tc>
        <w:tc>
          <w:tcPr>
            <w:tcW w:w="0" w:type="auto"/>
            <w:vAlign w:val="center"/>
          </w:tcPr>
          <w:p>
            <w:pPr>
              <w:adjustRightInd w:val="0"/>
              <w:snapToGrid w:val="0"/>
              <w:jc w:val="center"/>
              <w:rPr>
                <w:rFonts w:eastAsia="仿宋_GB2312"/>
                <w:bCs/>
                <w:szCs w:val="21"/>
              </w:rPr>
            </w:pPr>
            <w:r>
              <w:rPr>
                <w:rFonts w:hint="eastAsia" w:eastAsia="仿宋_GB2312"/>
                <w:bCs/>
                <w:szCs w:val="21"/>
              </w:rPr>
              <w:t xml:space="preserve">64.4 </w:t>
            </w:r>
          </w:p>
        </w:tc>
        <w:tc>
          <w:tcPr>
            <w:tcW w:w="0" w:type="auto"/>
            <w:vAlign w:val="center"/>
          </w:tcPr>
          <w:p>
            <w:pPr>
              <w:adjustRightInd w:val="0"/>
              <w:snapToGrid w:val="0"/>
              <w:jc w:val="center"/>
              <w:rPr>
                <w:rFonts w:eastAsia="仿宋_GB2312"/>
                <w:bCs/>
                <w:szCs w:val="21"/>
              </w:rPr>
            </w:pPr>
            <w:r>
              <w:rPr>
                <w:rFonts w:hint="eastAsia" w:eastAsia="仿宋_GB2312"/>
                <w:bCs/>
                <w:szCs w:val="21"/>
              </w:rPr>
              <w:t xml:space="preserve">69.5 </w:t>
            </w:r>
          </w:p>
        </w:tc>
        <w:tc>
          <w:tcPr>
            <w:tcW w:w="0" w:type="auto"/>
            <w:vAlign w:val="center"/>
          </w:tcPr>
          <w:p>
            <w:pPr>
              <w:adjustRightInd w:val="0"/>
              <w:snapToGrid w:val="0"/>
              <w:jc w:val="center"/>
              <w:rPr>
                <w:rFonts w:eastAsia="仿宋_GB2312"/>
                <w:bCs/>
                <w:szCs w:val="21"/>
              </w:rPr>
            </w:pPr>
            <w:r>
              <w:rPr>
                <w:rFonts w:hint="eastAsia" w:eastAsia="仿宋_GB2312"/>
                <w:bCs/>
                <w:szCs w:val="21"/>
              </w:rPr>
              <w:t>-</w:t>
            </w:r>
          </w:p>
        </w:tc>
        <w:tc>
          <w:tcPr>
            <w:tcW w:w="983" w:type="dxa"/>
            <w:vAlign w:val="center"/>
          </w:tcPr>
          <w:p>
            <w:pPr>
              <w:adjustRightInd w:val="0"/>
              <w:snapToGrid w:val="0"/>
              <w:jc w:val="center"/>
              <w:rPr>
                <w:rFonts w:eastAsia="仿宋_GB2312"/>
                <w:bCs/>
                <w:szCs w:val="21"/>
              </w:rPr>
            </w:pPr>
            <w:r>
              <w:rPr>
                <w:rFonts w:hint="eastAsia" w:eastAsia="仿宋_GB2312"/>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568" w:type="dxa"/>
            <w:vAlign w:val="center"/>
          </w:tcPr>
          <w:p>
            <w:pPr>
              <w:adjustRightInd w:val="0"/>
              <w:snapToGrid w:val="0"/>
              <w:jc w:val="center"/>
              <w:rPr>
                <w:rFonts w:eastAsia="仿宋_GB2312"/>
                <w:bCs/>
                <w:szCs w:val="21"/>
              </w:rPr>
            </w:pPr>
            <w:r>
              <w:rPr>
                <w:rFonts w:hint="eastAsia" w:eastAsia="仿宋_GB2312"/>
                <w:bCs/>
                <w:szCs w:val="21"/>
              </w:rPr>
              <w:t>2,4,6-三溴苯酚</w:t>
            </w:r>
          </w:p>
        </w:tc>
        <w:tc>
          <w:tcPr>
            <w:tcW w:w="0" w:type="auto"/>
            <w:vAlign w:val="center"/>
          </w:tcPr>
          <w:p>
            <w:pPr>
              <w:adjustRightInd w:val="0"/>
              <w:snapToGrid w:val="0"/>
              <w:jc w:val="center"/>
              <w:rPr>
                <w:rFonts w:eastAsia="仿宋_GB2312"/>
                <w:bCs/>
                <w:szCs w:val="21"/>
              </w:rPr>
            </w:pPr>
            <w:r>
              <w:rPr>
                <w:rFonts w:eastAsia="仿宋_GB2312"/>
                <w:bCs/>
                <w:szCs w:val="21"/>
              </w:rPr>
              <w:t>%</w:t>
            </w:r>
          </w:p>
        </w:tc>
        <w:tc>
          <w:tcPr>
            <w:tcW w:w="0" w:type="auto"/>
            <w:vAlign w:val="center"/>
          </w:tcPr>
          <w:p>
            <w:pPr>
              <w:adjustRightInd w:val="0"/>
              <w:snapToGrid w:val="0"/>
              <w:jc w:val="center"/>
              <w:rPr>
                <w:rFonts w:eastAsia="仿宋_GB2312"/>
                <w:bCs/>
                <w:szCs w:val="21"/>
              </w:rPr>
            </w:pPr>
            <w:r>
              <w:rPr>
                <w:rFonts w:hint="eastAsia" w:eastAsia="仿宋_GB2312"/>
                <w:bCs/>
                <w:szCs w:val="21"/>
              </w:rPr>
              <w:t>-</w:t>
            </w:r>
          </w:p>
        </w:tc>
        <w:tc>
          <w:tcPr>
            <w:tcW w:w="0" w:type="auto"/>
            <w:vAlign w:val="center"/>
          </w:tcPr>
          <w:p>
            <w:pPr>
              <w:adjustRightInd w:val="0"/>
              <w:snapToGrid w:val="0"/>
              <w:jc w:val="center"/>
              <w:rPr>
                <w:rFonts w:eastAsia="仿宋_GB2312"/>
                <w:bCs/>
                <w:szCs w:val="21"/>
              </w:rPr>
            </w:pPr>
            <w:r>
              <w:rPr>
                <w:rFonts w:hint="eastAsia" w:eastAsia="仿宋_GB2312"/>
                <w:bCs/>
                <w:szCs w:val="21"/>
              </w:rPr>
              <w:t xml:space="preserve">95.0 </w:t>
            </w:r>
          </w:p>
        </w:tc>
        <w:tc>
          <w:tcPr>
            <w:tcW w:w="0" w:type="auto"/>
            <w:vAlign w:val="center"/>
          </w:tcPr>
          <w:p>
            <w:pPr>
              <w:adjustRightInd w:val="0"/>
              <w:snapToGrid w:val="0"/>
              <w:jc w:val="center"/>
              <w:rPr>
                <w:rFonts w:eastAsia="仿宋_GB2312"/>
                <w:bCs/>
                <w:szCs w:val="21"/>
              </w:rPr>
            </w:pPr>
            <w:r>
              <w:rPr>
                <w:rFonts w:hint="eastAsia" w:eastAsia="仿宋_GB2312"/>
                <w:bCs/>
                <w:szCs w:val="21"/>
              </w:rPr>
              <w:t xml:space="preserve">101 </w:t>
            </w:r>
          </w:p>
        </w:tc>
        <w:tc>
          <w:tcPr>
            <w:tcW w:w="0" w:type="auto"/>
            <w:vAlign w:val="center"/>
          </w:tcPr>
          <w:p>
            <w:pPr>
              <w:adjustRightInd w:val="0"/>
              <w:snapToGrid w:val="0"/>
              <w:jc w:val="center"/>
              <w:rPr>
                <w:rFonts w:eastAsia="仿宋_GB2312"/>
                <w:bCs/>
                <w:szCs w:val="21"/>
              </w:rPr>
            </w:pPr>
            <w:r>
              <w:rPr>
                <w:rFonts w:hint="eastAsia" w:eastAsia="仿宋_GB2312"/>
                <w:bCs/>
                <w:szCs w:val="21"/>
              </w:rPr>
              <w:t xml:space="preserve">97.0 </w:t>
            </w:r>
          </w:p>
        </w:tc>
        <w:tc>
          <w:tcPr>
            <w:tcW w:w="0" w:type="auto"/>
            <w:vAlign w:val="center"/>
          </w:tcPr>
          <w:p>
            <w:pPr>
              <w:adjustRightInd w:val="0"/>
              <w:snapToGrid w:val="0"/>
              <w:jc w:val="center"/>
              <w:rPr>
                <w:rFonts w:eastAsia="仿宋_GB2312"/>
                <w:bCs/>
                <w:szCs w:val="21"/>
              </w:rPr>
            </w:pPr>
            <w:r>
              <w:rPr>
                <w:rFonts w:hint="eastAsia" w:eastAsia="仿宋_GB2312"/>
                <w:bCs/>
                <w:szCs w:val="21"/>
              </w:rPr>
              <w:t xml:space="preserve">109 </w:t>
            </w:r>
          </w:p>
        </w:tc>
        <w:tc>
          <w:tcPr>
            <w:tcW w:w="0" w:type="auto"/>
            <w:vAlign w:val="center"/>
          </w:tcPr>
          <w:p>
            <w:pPr>
              <w:adjustRightInd w:val="0"/>
              <w:snapToGrid w:val="0"/>
              <w:jc w:val="center"/>
              <w:rPr>
                <w:rFonts w:eastAsia="仿宋_GB2312"/>
                <w:bCs/>
                <w:szCs w:val="21"/>
              </w:rPr>
            </w:pPr>
            <w:r>
              <w:rPr>
                <w:rFonts w:hint="eastAsia" w:eastAsia="仿宋_GB2312"/>
                <w:bCs/>
                <w:szCs w:val="21"/>
              </w:rPr>
              <w:t>-</w:t>
            </w:r>
          </w:p>
        </w:tc>
        <w:tc>
          <w:tcPr>
            <w:tcW w:w="983" w:type="dxa"/>
            <w:vAlign w:val="center"/>
          </w:tcPr>
          <w:p>
            <w:pPr>
              <w:adjustRightInd w:val="0"/>
              <w:snapToGrid w:val="0"/>
              <w:jc w:val="center"/>
              <w:rPr>
                <w:rFonts w:eastAsia="仿宋_GB2312"/>
                <w:bCs/>
                <w:szCs w:val="21"/>
              </w:rPr>
            </w:pPr>
            <w:r>
              <w:rPr>
                <w:rFonts w:hint="eastAsia" w:eastAsia="仿宋_GB2312"/>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568" w:type="dxa"/>
            <w:vAlign w:val="center"/>
          </w:tcPr>
          <w:p>
            <w:pPr>
              <w:adjustRightInd w:val="0"/>
              <w:snapToGrid w:val="0"/>
              <w:jc w:val="center"/>
              <w:rPr>
                <w:rFonts w:eastAsia="仿宋_GB2312"/>
                <w:bCs/>
                <w:szCs w:val="21"/>
              </w:rPr>
            </w:pPr>
            <w:r>
              <w:rPr>
                <w:rFonts w:hint="eastAsia" w:eastAsia="仿宋_GB2312"/>
                <w:bCs/>
                <w:szCs w:val="21"/>
              </w:rPr>
              <w:t>4,4-三联苯-d</w:t>
            </w:r>
            <w:r>
              <w:rPr>
                <w:rFonts w:hint="eastAsia" w:eastAsia="仿宋_GB2312"/>
                <w:bCs/>
                <w:szCs w:val="21"/>
                <w:vertAlign w:val="subscript"/>
              </w:rPr>
              <w:t>14</w:t>
            </w:r>
          </w:p>
        </w:tc>
        <w:tc>
          <w:tcPr>
            <w:tcW w:w="0" w:type="auto"/>
            <w:vAlign w:val="center"/>
          </w:tcPr>
          <w:p>
            <w:pPr>
              <w:adjustRightInd w:val="0"/>
              <w:snapToGrid w:val="0"/>
              <w:jc w:val="center"/>
              <w:rPr>
                <w:rFonts w:eastAsia="仿宋_GB2312"/>
                <w:bCs/>
                <w:szCs w:val="21"/>
              </w:rPr>
            </w:pPr>
            <w:r>
              <w:rPr>
                <w:rFonts w:eastAsia="仿宋_GB2312"/>
                <w:bCs/>
                <w:szCs w:val="21"/>
              </w:rPr>
              <w:t>%</w:t>
            </w:r>
          </w:p>
        </w:tc>
        <w:tc>
          <w:tcPr>
            <w:tcW w:w="0" w:type="auto"/>
            <w:vAlign w:val="center"/>
          </w:tcPr>
          <w:p>
            <w:pPr>
              <w:adjustRightInd w:val="0"/>
              <w:snapToGrid w:val="0"/>
              <w:jc w:val="center"/>
              <w:rPr>
                <w:rFonts w:eastAsia="仿宋_GB2312"/>
                <w:bCs/>
                <w:szCs w:val="21"/>
              </w:rPr>
            </w:pPr>
            <w:r>
              <w:rPr>
                <w:rFonts w:hint="eastAsia" w:eastAsia="仿宋_GB2312"/>
                <w:bCs/>
                <w:szCs w:val="21"/>
              </w:rPr>
              <w:t>-</w:t>
            </w:r>
          </w:p>
        </w:tc>
        <w:tc>
          <w:tcPr>
            <w:tcW w:w="0" w:type="auto"/>
            <w:vAlign w:val="center"/>
          </w:tcPr>
          <w:p>
            <w:pPr>
              <w:adjustRightInd w:val="0"/>
              <w:snapToGrid w:val="0"/>
              <w:jc w:val="center"/>
              <w:rPr>
                <w:rFonts w:eastAsia="仿宋_GB2312"/>
                <w:bCs/>
                <w:szCs w:val="21"/>
              </w:rPr>
            </w:pPr>
            <w:r>
              <w:rPr>
                <w:rFonts w:hint="eastAsia" w:eastAsia="仿宋_GB2312"/>
                <w:bCs/>
                <w:szCs w:val="21"/>
              </w:rPr>
              <w:t xml:space="preserve">68.8 </w:t>
            </w:r>
          </w:p>
        </w:tc>
        <w:tc>
          <w:tcPr>
            <w:tcW w:w="0" w:type="auto"/>
            <w:vAlign w:val="center"/>
          </w:tcPr>
          <w:p>
            <w:pPr>
              <w:adjustRightInd w:val="0"/>
              <w:snapToGrid w:val="0"/>
              <w:jc w:val="center"/>
              <w:rPr>
                <w:rFonts w:eastAsia="仿宋_GB2312"/>
                <w:bCs/>
                <w:szCs w:val="21"/>
              </w:rPr>
            </w:pPr>
            <w:r>
              <w:rPr>
                <w:rFonts w:hint="eastAsia" w:eastAsia="仿宋_GB2312"/>
                <w:bCs/>
                <w:szCs w:val="21"/>
              </w:rPr>
              <w:t xml:space="preserve">69.1 </w:t>
            </w:r>
          </w:p>
        </w:tc>
        <w:tc>
          <w:tcPr>
            <w:tcW w:w="0" w:type="auto"/>
            <w:vAlign w:val="center"/>
          </w:tcPr>
          <w:p>
            <w:pPr>
              <w:adjustRightInd w:val="0"/>
              <w:snapToGrid w:val="0"/>
              <w:jc w:val="center"/>
              <w:rPr>
                <w:rFonts w:eastAsia="仿宋_GB2312"/>
                <w:bCs/>
                <w:szCs w:val="21"/>
              </w:rPr>
            </w:pPr>
            <w:r>
              <w:rPr>
                <w:rFonts w:hint="eastAsia" w:eastAsia="仿宋_GB2312"/>
                <w:bCs/>
                <w:szCs w:val="21"/>
              </w:rPr>
              <w:t xml:space="preserve">69.1 </w:t>
            </w:r>
          </w:p>
        </w:tc>
        <w:tc>
          <w:tcPr>
            <w:tcW w:w="0" w:type="auto"/>
            <w:vAlign w:val="center"/>
          </w:tcPr>
          <w:p>
            <w:pPr>
              <w:adjustRightInd w:val="0"/>
              <w:snapToGrid w:val="0"/>
              <w:jc w:val="center"/>
              <w:rPr>
                <w:rFonts w:eastAsia="仿宋_GB2312"/>
                <w:bCs/>
                <w:szCs w:val="21"/>
              </w:rPr>
            </w:pPr>
            <w:r>
              <w:rPr>
                <w:rFonts w:hint="eastAsia" w:eastAsia="仿宋_GB2312"/>
                <w:bCs/>
                <w:szCs w:val="21"/>
              </w:rPr>
              <w:t xml:space="preserve">73.7 </w:t>
            </w:r>
          </w:p>
        </w:tc>
        <w:tc>
          <w:tcPr>
            <w:tcW w:w="0" w:type="auto"/>
            <w:vAlign w:val="center"/>
          </w:tcPr>
          <w:p>
            <w:pPr>
              <w:adjustRightInd w:val="0"/>
              <w:snapToGrid w:val="0"/>
              <w:jc w:val="center"/>
              <w:rPr>
                <w:rFonts w:eastAsia="仿宋_GB2312"/>
                <w:bCs/>
                <w:szCs w:val="21"/>
              </w:rPr>
            </w:pPr>
            <w:r>
              <w:rPr>
                <w:rFonts w:hint="eastAsia" w:eastAsia="仿宋_GB2312"/>
                <w:bCs/>
                <w:szCs w:val="21"/>
              </w:rPr>
              <w:t>-</w:t>
            </w:r>
          </w:p>
        </w:tc>
        <w:tc>
          <w:tcPr>
            <w:tcW w:w="983" w:type="dxa"/>
            <w:vAlign w:val="center"/>
          </w:tcPr>
          <w:p>
            <w:pPr>
              <w:adjustRightInd w:val="0"/>
              <w:snapToGrid w:val="0"/>
              <w:jc w:val="center"/>
              <w:rPr>
                <w:rFonts w:eastAsia="仿宋_GB2312"/>
                <w:bCs/>
                <w:szCs w:val="21"/>
              </w:rPr>
            </w:pPr>
            <w:r>
              <w:rPr>
                <w:rFonts w:hint="eastAsia" w:eastAsia="仿宋_GB2312"/>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568" w:type="dxa"/>
            <w:vAlign w:val="center"/>
          </w:tcPr>
          <w:p>
            <w:pPr>
              <w:adjustRightInd w:val="0"/>
              <w:snapToGrid w:val="0"/>
              <w:jc w:val="center"/>
              <w:rPr>
                <w:rFonts w:eastAsia="仿宋_GB2312"/>
                <w:bCs/>
                <w:szCs w:val="21"/>
              </w:rPr>
            </w:pPr>
            <w:r>
              <w:rPr>
                <w:rFonts w:hint="eastAsia" w:eastAsia="仿宋_GB2312"/>
                <w:bCs/>
                <w:szCs w:val="21"/>
              </w:rPr>
              <w:t>二溴氟甲烷</w:t>
            </w:r>
          </w:p>
        </w:tc>
        <w:tc>
          <w:tcPr>
            <w:tcW w:w="0" w:type="auto"/>
            <w:vAlign w:val="center"/>
          </w:tcPr>
          <w:p>
            <w:pPr>
              <w:adjustRightInd w:val="0"/>
              <w:snapToGrid w:val="0"/>
              <w:ind w:left="6"/>
              <w:jc w:val="center"/>
              <w:rPr>
                <w:rFonts w:eastAsia="仿宋_GB2312"/>
                <w:bCs/>
                <w:szCs w:val="21"/>
              </w:rPr>
            </w:pPr>
            <w:r>
              <w:rPr>
                <w:rFonts w:eastAsia="仿宋_GB2312"/>
                <w:bCs/>
                <w:szCs w:val="21"/>
              </w:rPr>
              <w:t>%</w:t>
            </w:r>
          </w:p>
        </w:tc>
        <w:tc>
          <w:tcPr>
            <w:tcW w:w="0" w:type="auto"/>
            <w:vAlign w:val="center"/>
          </w:tcPr>
          <w:p>
            <w:pPr>
              <w:adjustRightInd w:val="0"/>
              <w:snapToGrid w:val="0"/>
              <w:jc w:val="center"/>
              <w:rPr>
                <w:rFonts w:eastAsia="仿宋_GB2312"/>
                <w:bCs/>
                <w:szCs w:val="21"/>
              </w:rPr>
            </w:pPr>
            <w:r>
              <w:rPr>
                <w:rFonts w:hint="eastAsia" w:eastAsia="仿宋_GB2312"/>
                <w:bCs/>
                <w:szCs w:val="21"/>
              </w:rPr>
              <w:t>-</w:t>
            </w:r>
          </w:p>
        </w:tc>
        <w:tc>
          <w:tcPr>
            <w:tcW w:w="0" w:type="auto"/>
            <w:vAlign w:val="center"/>
          </w:tcPr>
          <w:p>
            <w:pPr>
              <w:adjustRightInd w:val="0"/>
              <w:snapToGrid w:val="0"/>
              <w:jc w:val="center"/>
              <w:rPr>
                <w:rFonts w:eastAsia="仿宋_GB2312"/>
                <w:bCs/>
                <w:szCs w:val="21"/>
              </w:rPr>
            </w:pPr>
            <w:r>
              <w:rPr>
                <w:rFonts w:hint="eastAsia" w:eastAsia="仿宋_GB2312"/>
                <w:bCs/>
                <w:szCs w:val="21"/>
              </w:rPr>
              <w:t xml:space="preserve">120 </w:t>
            </w:r>
          </w:p>
        </w:tc>
        <w:tc>
          <w:tcPr>
            <w:tcW w:w="0" w:type="auto"/>
            <w:vAlign w:val="center"/>
          </w:tcPr>
          <w:p>
            <w:pPr>
              <w:adjustRightInd w:val="0"/>
              <w:snapToGrid w:val="0"/>
              <w:jc w:val="center"/>
              <w:rPr>
                <w:rFonts w:eastAsia="仿宋_GB2312"/>
                <w:bCs/>
                <w:szCs w:val="21"/>
              </w:rPr>
            </w:pPr>
            <w:r>
              <w:rPr>
                <w:rFonts w:hint="eastAsia" w:eastAsia="仿宋_GB2312"/>
                <w:bCs/>
                <w:szCs w:val="21"/>
              </w:rPr>
              <w:t xml:space="preserve">114 </w:t>
            </w:r>
          </w:p>
        </w:tc>
        <w:tc>
          <w:tcPr>
            <w:tcW w:w="0" w:type="auto"/>
            <w:vAlign w:val="center"/>
          </w:tcPr>
          <w:p>
            <w:pPr>
              <w:adjustRightInd w:val="0"/>
              <w:snapToGrid w:val="0"/>
              <w:jc w:val="center"/>
              <w:rPr>
                <w:rFonts w:eastAsia="仿宋_GB2312"/>
                <w:bCs/>
                <w:szCs w:val="21"/>
              </w:rPr>
            </w:pPr>
            <w:r>
              <w:rPr>
                <w:rFonts w:hint="eastAsia" w:eastAsia="仿宋_GB2312"/>
                <w:bCs/>
                <w:szCs w:val="21"/>
              </w:rPr>
              <w:t xml:space="preserve">114 </w:t>
            </w:r>
          </w:p>
        </w:tc>
        <w:tc>
          <w:tcPr>
            <w:tcW w:w="0" w:type="auto"/>
            <w:vAlign w:val="center"/>
          </w:tcPr>
          <w:p>
            <w:pPr>
              <w:adjustRightInd w:val="0"/>
              <w:snapToGrid w:val="0"/>
              <w:jc w:val="center"/>
              <w:rPr>
                <w:rFonts w:eastAsia="仿宋_GB2312"/>
                <w:bCs/>
                <w:szCs w:val="21"/>
              </w:rPr>
            </w:pPr>
            <w:r>
              <w:rPr>
                <w:rFonts w:hint="eastAsia" w:eastAsia="仿宋_GB2312"/>
                <w:bCs/>
                <w:szCs w:val="21"/>
              </w:rPr>
              <w:t xml:space="preserve">114 </w:t>
            </w:r>
          </w:p>
        </w:tc>
        <w:tc>
          <w:tcPr>
            <w:tcW w:w="0" w:type="auto"/>
            <w:vAlign w:val="center"/>
          </w:tcPr>
          <w:p>
            <w:pPr>
              <w:adjustRightInd w:val="0"/>
              <w:snapToGrid w:val="0"/>
              <w:jc w:val="center"/>
              <w:rPr>
                <w:rFonts w:eastAsia="仿宋_GB2312"/>
                <w:bCs/>
                <w:szCs w:val="21"/>
              </w:rPr>
            </w:pPr>
            <w:r>
              <w:rPr>
                <w:rFonts w:hint="eastAsia" w:eastAsia="仿宋_GB2312"/>
                <w:bCs/>
                <w:szCs w:val="21"/>
              </w:rPr>
              <w:t>-</w:t>
            </w:r>
          </w:p>
        </w:tc>
        <w:tc>
          <w:tcPr>
            <w:tcW w:w="983" w:type="dxa"/>
            <w:vAlign w:val="center"/>
          </w:tcPr>
          <w:p>
            <w:pPr>
              <w:adjustRightInd w:val="0"/>
              <w:snapToGrid w:val="0"/>
              <w:jc w:val="center"/>
              <w:rPr>
                <w:rFonts w:eastAsia="仿宋_GB2312"/>
                <w:bCs/>
                <w:szCs w:val="21"/>
              </w:rPr>
            </w:pPr>
            <w:r>
              <w:rPr>
                <w:rFonts w:hint="eastAsia" w:eastAsia="仿宋_GB2312"/>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568" w:type="dxa"/>
            <w:vAlign w:val="center"/>
          </w:tcPr>
          <w:p>
            <w:pPr>
              <w:adjustRightInd w:val="0"/>
              <w:snapToGrid w:val="0"/>
              <w:jc w:val="center"/>
              <w:rPr>
                <w:rFonts w:eastAsia="仿宋_GB2312"/>
                <w:bCs/>
                <w:szCs w:val="21"/>
              </w:rPr>
            </w:pPr>
            <w:r>
              <w:rPr>
                <w:rFonts w:hint="eastAsia" w:eastAsia="仿宋_GB2312"/>
                <w:bCs/>
                <w:szCs w:val="21"/>
              </w:rPr>
              <w:t>甲苯-D</w:t>
            </w:r>
            <w:r>
              <w:rPr>
                <w:rFonts w:hint="eastAsia" w:eastAsia="仿宋_GB2312"/>
                <w:bCs/>
                <w:szCs w:val="21"/>
                <w:vertAlign w:val="subscript"/>
              </w:rPr>
              <w:t>8</w:t>
            </w:r>
          </w:p>
        </w:tc>
        <w:tc>
          <w:tcPr>
            <w:tcW w:w="0" w:type="auto"/>
            <w:vAlign w:val="center"/>
          </w:tcPr>
          <w:p>
            <w:pPr>
              <w:adjustRightInd w:val="0"/>
              <w:snapToGrid w:val="0"/>
              <w:ind w:left="6"/>
              <w:jc w:val="center"/>
              <w:rPr>
                <w:rFonts w:eastAsia="仿宋_GB2312"/>
                <w:bCs/>
                <w:szCs w:val="21"/>
              </w:rPr>
            </w:pPr>
            <w:r>
              <w:rPr>
                <w:rFonts w:eastAsia="仿宋_GB2312"/>
                <w:bCs/>
                <w:szCs w:val="21"/>
              </w:rPr>
              <w:t>%</w:t>
            </w:r>
          </w:p>
        </w:tc>
        <w:tc>
          <w:tcPr>
            <w:tcW w:w="0" w:type="auto"/>
            <w:vAlign w:val="center"/>
          </w:tcPr>
          <w:p>
            <w:pPr>
              <w:adjustRightInd w:val="0"/>
              <w:snapToGrid w:val="0"/>
              <w:jc w:val="center"/>
              <w:rPr>
                <w:rFonts w:eastAsia="仿宋_GB2312"/>
                <w:bCs/>
                <w:szCs w:val="21"/>
              </w:rPr>
            </w:pPr>
            <w:r>
              <w:rPr>
                <w:rFonts w:hint="eastAsia" w:eastAsia="仿宋_GB2312"/>
                <w:bCs/>
                <w:szCs w:val="21"/>
              </w:rPr>
              <w:t>-</w:t>
            </w:r>
          </w:p>
        </w:tc>
        <w:tc>
          <w:tcPr>
            <w:tcW w:w="0" w:type="auto"/>
            <w:vAlign w:val="center"/>
          </w:tcPr>
          <w:p>
            <w:pPr>
              <w:adjustRightInd w:val="0"/>
              <w:snapToGrid w:val="0"/>
              <w:jc w:val="center"/>
              <w:rPr>
                <w:rFonts w:eastAsia="仿宋_GB2312"/>
                <w:bCs/>
                <w:szCs w:val="21"/>
              </w:rPr>
            </w:pPr>
            <w:r>
              <w:rPr>
                <w:rFonts w:hint="eastAsia" w:eastAsia="仿宋_GB2312"/>
                <w:bCs/>
                <w:szCs w:val="21"/>
              </w:rPr>
              <w:t xml:space="preserve">119 </w:t>
            </w:r>
          </w:p>
        </w:tc>
        <w:tc>
          <w:tcPr>
            <w:tcW w:w="0" w:type="auto"/>
            <w:vAlign w:val="center"/>
          </w:tcPr>
          <w:p>
            <w:pPr>
              <w:adjustRightInd w:val="0"/>
              <w:snapToGrid w:val="0"/>
              <w:jc w:val="center"/>
              <w:rPr>
                <w:rFonts w:eastAsia="仿宋_GB2312"/>
                <w:bCs/>
                <w:szCs w:val="21"/>
              </w:rPr>
            </w:pPr>
            <w:r>
              <w:rPr>
                <w:rFonts w:hint="eastAsia" w:eastAsia="仿宋_GB2312"/>
                <w:bCs/>
                <w:szCs w:val="21"/>
              </w:rPr>
              <w:t xml:space="preserve">109 </w:t>
            </w:r>
          </w:p>
        </w:tc>
        <w:tc>
          <w:tcPr>
            <w:tcW w:w="0" w:type="auto"/>
            <w:vAlign w:val="center"/>
          </w:tcPr>
          <w:p>
            <w:pPr>
              <w:adjustRightInd w:val="0"/>
              <w:snapToGrid w:val="0"/>
              <w:jc w:val="center"/>
              <w:rPr>
                <w:rFonts w:eastAsia="仿宋_GB2312"/>
                <w:bCs/>
                <w:szCs w:val="21"/>
              </w:rPr>
            </w:pPr>
            <w:r>
              <w:rPr>
                <w:rFonts w:hint="eastAsia" w:eastAsia="仿宋_GB2312"/>
                <w:bCs/>
                <w:szCs w:val="21"/>
              </w:rPr>
              <w:t xml:space="preserve">107 </w:t>
            </w:r>
          </w:p>
        </w:tc>
        <w:tc>
          <w:tcPr>
            <w:tcW w:w="0" w:type="auto"/>
            <w:vAlign w:val="center"/>
          </w:tcPr>
          <w:p>
            <w:pPr>
              <w:adjustRightInd w:val="0"/>
              <w:snapToGrid w:val="0"/>
              <w:jc w:val="center"/>
              <w:rPr>
                <w:rFonts w:eastAsia="仿宋_GB2312"/>
                <w:bCs/>
                <w:szCs w:val="21"/>
              </w:rPr>
            </w:pPr>
            <w:r>
              <w:rPr>
                <w:rFonts w:hint="eastAsia" w:eastAsia="仿宋_GB2312"/>
                <w:bCs/>
                <w:szCs w:val="21"/>
              </w:rPr>
              <w:t xml:space="preserve">107 </w:t>
            </w:r>
          </w:p>
        </w:tc>
        <w:tc>
          <w:tcPr>
            <w:tcW w:w="0" w:type="auto"/>
            <w:vAlign w:val="center"/>
          </w:tcPr>
          <w:p>
            <w:pPr>
              <w:adjustRightInd w:val="0"/>
              <w:snapToGrid w:val="0"/>
              <w:jc w:val="center"/>
              <w:rPr>
                <w:rFonts w:eastAsia="仿宋_GB2312"/>
                <w:bCs/>
                <w:szCs w:val="21"/>
              </w:rPr>
            </w:pPr>
            <w:r>
              <w:rPr>
                <w:rFonts w:hint="eastAsia" w:eastAsia="仿宋_GB2312"/>
                <w:bCs/>
                <w:szCs w:val="21"/>
              </w:rPr>
              <w:t>-</w:t>
            </w:r>
          </w:p>
        </w:tc>
        <w:tc>
          <w:tcPr>
            <w:tcW w:w="983" w:type="dxa"/>
            <w:vAlign w:val="center"/>
          </w:tcPr>
          <w:p>
            <w:pPr>
              <w:adjustRightInd w:val="0"/>
              <w:snapToGrid w:val="0"/>
              <w:jc w:val="center"/>
              <w:rPr>
                <w:rFonts w:eastAsia="仿宋_GB2312"/>
                <w:bCs/>
                <w:szCs w:val="21"/>
              </w:rPr>
            </w:pPr>
            <w:r>
              <w:rPr>
                <w:rFonts w:hint="eastAsia" w:eastAsia="仿宋_GB2312"/>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568" w:type="dxa"/>
            <w:vAlign w:val="center"/>
          </w:tcPr>
          <w:p>
            <w:pPr>
              <w:adjustRightInd w:val="0"/>
              <w:snapToGrid w:val="0"/>
              <w:jc w:val="center"/>
              <w:rPr>
                <w:rFonts w:eastAsia="仿宋_GB2312"/>
                <w:bCs/>
                <w:szCs w:val="21"/>
              </w:rPr>
            </w:pPr>
            <w:r>
              <w:rPr>
                <w:rFonts w:hint="eastAsia" w:eastAsia="仿宋_GB2312"/>
                <w:bCs/>
                <w:szCs w:val="21"/>
              </w:rPr>
              <w:t>4-溴氟苯</w:t>
            </w:r>
          </w:p>
        </w:tc>
        <w:tc>
          <w:tcPr>
            <w:tcW w:w="0" w:type="auto"/>
            <w:vAlign w:val="center"/>
          </w:tcPr>
          <w:p>
            <w:pPr>
              <w:adjustRightInd w:val="0"/>
              <w:snapToGrid w:val="0"/>
              <w:ind w:left="6"/>
              <w:jc w:val="center"/>
              <w:rPr>
                <w:rFonts w:eastAsia="仿宋_GB2312"/>
                <w:bCs/>
                <w:szCs w:val="21"/>
              </w:rPr>
            </w:pPr>
            <w:r>
              <w:rPr>
                <w:rFonts w:eastAsia="仿宋_GB2312"/>
                <w:bCs/>
                <w:szCs w:val="21"/>
              </w:rPr>
              <w:t>%</w:t>
            </w:r>
          </w:p>
        </w:tc>
        <w:tc>
          <w:tcPr>
            <w:tcW w:w="0" w:type="auto"/>
            <w:vAlign w:val="center"/>
          </w:tcPr>
          <w:p>
            <w:pPr>
              <w:adjustRightInd w:val="0"/>
              <w:snapToGrid w:val="0"/>
              <w:jc w:val="center"/>
              <w:rPr>
                <w:rFonts w:eastAsia="仿宋_GB2312"/>
                <w:bCs/>
                <w:szCs w:val="21"/>
              </w:rPr>
            </w:pPr>
            <w:r>
              <w:rPr>
                <w:rFonts w:hint="eastAsia" w:eastAsia="仿宋_GB2312"/>
                <w:bCs/>
                <w:szCs w:val="21"/>
              </w:rPr>
              <w:t>-</w:t>
            </w:r>
          </w:p>
        </w:tc>
        <w:tc>
          <w:tcPr>
            <w:tcW w:w="0" w:type="auto"/>
            <w:vAlign w:val="center"/>
          </w:tcPr>
          <w:p>
            <w:pPr>
              <w:adjustRightInd w:val="0"/>
              <w:snapToGrid w:val="0"/>
              <w:jc w:val="center"/>
              <w:rPr>
                <w:rFonts w:eastAsia="仿宋_GB2312"/>
                <w:bCs/>
                <w:szCs w:val="21"/>
              </w:rPr>
            </w:pPr>
            <w:r>
              <w:rPr>
                <w:rFonts w:hint="eastAsia" w:eastAsia="仿宋_GB2312"/>
                <w:bCs/>
                <w:szCs w:val="21"/>
              </w:rPr>
              <w:t xml:space="preserve">100 </w:t>
            </w:r>
          </w:p>
        </w:tc>
        <w:tc>
          <w:tcPr>
            <w:tcW w:w="0" w:type="auto"/>
            <w:vAlign w:val="center"/>
          </w:tcPr>
          <w:p>
            <w:pPr>
              <w:adjustRightInd w:val="0"/>
              <w:snapToGrid w:val="0"/>
              <w:jc w:val="center"/>
              <w:rPr>
                <w:rFonts w:eastAsia="仿宋_GB2312"/>
                <w:bCs/>
                <w:szCs w:val="21"/>
              </w:rPr>
            </w:pPr>
            <w:r>
              <w:rPr>
                <w:rFonts w:hint="eastAsia" w:eastAsia="仿宋_GB2312"/>
                <w:bCs/>
                <w:szCs w:val="21"/>
              </w:rPr>
              <w:t xml:space="preserve">105 </w:t>
            </w:r>
          </w:p>
        </w:tc>
        <w:tc>
          <w:tcPr>
            <w:tcW w:w="0" w:type="auto"/>
            <w:vAlign w:val="center"/>
          </w:tcPr>
          <w:p>
            <w:pPr>
              <w:adjustRightInd w:val="0"/>
              <w:snapToGrid w:val="0"/>
              <w:jc w:val="center"/>
              <w:rPr>
                <w:rFonts w:eastAsia="仿宋_GB2312"/>
                <w:bCs/>
                <w:szCs w:val="21"/>
              </w:rPr>
            </w:pPr>
            <w:r>
              <w:rPr>
                <w:rFonts w:hint="eastAsia" w:eastAsia="仿宋_GB2312"/>
                <w:bCs/>
                <w:szCs w:val="21"/>
              </w:rPr>
              <w:t xml:space="preserve">103 </w:t>
            </w:r>
          </w:p>
        </w:tc>
        <w:tc>
          <w:tcPr>
            <w:tcW w:w="0" w:type="auto"/>
            <w:vAlign w:val="center"/>
          </w:tcPr>
          <w:p>
            <w:pPr>
              <w:adjustRightInd w:val="0"/>
              <w:snapToGrid w:val="0"/>
              <w:jc w:val="center"/>
              <w:rPr>
                <w:rFonts w:eastAsia="仿宋_GB2312"/>
                <w:bCs/>
                <w:szCs w:val="21"/>
              </w:rPr>
            </w:pPr>
            <w:r>
              <w:rPr>
                <w:rFonts w:hint="eastAsia" w:eastAsia="仿宋_GB2312"/>
                <w:bCs/>
                <w:szCs w:val="21"/>
              </w:rPr>
              <w:t xml:space="preserve">109 </w:t>
            </w:r>
          </w:p>
        </w:tc>
        <w:tc>
          <w:tcPr>
            <w:tcW w:w="0" w:type="auto"/>
            <w:vAlign w:val="center"/>
          </w:tcPr>
          <w:p>
            <w:pPr>
              <w:adjustRightInd w:val="0"/>
              <w:snapToGrid w:val="0"/>
              <w:jc w:val="center"/>
              <w:rPr>
                <w:rFonts w:eastAsia="仿宋_GB2312"/>
                <w:bCs/>
                <w:szCs w:val="21"/>
              </w:rPr>
            </w:pPr>
            <w:r>
              <w:rPr>
                <w:rFonts w:hint="eastAsia" w:eastAsia="仿宋_GB2312"/>
                <w:bCs/>
                <w:szCs w:val="21"/>
              </w:rPr>
              <w:t>-</w:t>
            </w:r>
          </w:p>
        </w:tc>
        <w:tc>
          <w:tcPr>
            <w:tcW w:w="983" w:type="dxa"/>
            <w:vAlign w:val="center"/>
          </w:tcPr>
          <w:p>
            <w:pPr>
              <w:adjustRightInd w:val="0"/>
              <w:snapToGrid w:val="0"/>
              <w:jc w:val="center"/>
              <w:rPr>
                <w:rFonts w:eastAsia="仿宋_GB2312"/>
                <w:bCs/>
                <w:szCs w:val="21"/>
              </w:rPr>
            </w:pPr>
            <w:r>
              <w:rPr>
                <w:rFonts w:hint="eastAsia" w:eastAsia="仿宋_GB2312"/>
                <w:bCs/>
                <w:szCs w:val="21"/>
              </w:rPr>
              <w:t>-</w:t>
            </w:r>
          </w:p>
        </w:tc>
      </w:tr>
    </w:tbl>
    <w:p>
      <w:pPr>
        <w:spacing w:line="500" w:lineRule="exact"/>
        <w:ind w:firstLine="560" w:firstLineChars="200"/>
        <w:rPr>
          <w:rFonts w:eastAsia="仿宋_GB2312"/>
          <w:sz w:val="28"/>
        </w:rPr>
        <w:sectPr>
          <w:pgSz w:w="11906" w:h="16838"/>
          <w:pgMar w:top="1800" w:right="1440" w:bottom="1800" w:left="1440" w:header="851" w:footer="992" w:gutter="0"/>
          <w:cols w:space="720" w:num="1"/>
          <w:docGrid w:linePitch="286" w:charSpace="0"/>
        </w:sectPr>
      </w:pPr>
    </w:p>
    <w:p>
      <w:pPr>
        <w:spacing w:line="480" w:lineRule="exact"/>
        <w:jc w:val="center"/>
        <w:rPr>
          <w:rFonts w:eastAsia="仿宋_GB2312"/>
          <w:b/>
          <w:sz w:val="24"/>
        </w:rPr>
      </w:pPr>
      <w:r>
        <w:rPr>
          <w:rFonts w:eastAsia="仿宋_GB2312"/>
          <w:b/>
          <w:sz w:val="24"/>
        </w:rPr>
        <w:t>表4.2-14  土壤监测结果统计表</w:t>
      </w:r>
    </w:p>
    <w:tbl>
      <w:tblPr>
        <w:tblStyle w:val="88"/>
        <w:tblW w:w="122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527"/>
        <w:gridCol w:w="545"/>
        <w:gridCol w:w="772"/>
        <w:gridCol w:w="703"/>
        <w:gridCol w:w="702"/>
        <w:gridCol w:w="703"/>
        <w:gridCol w:w="785"/>
        <w:gridCol w:w="875"/>
        <w:gridCol w:w="730"/>
        <w:gridCol w:w="875"/>
        <w:gridCol w:w="915"/>
        <w:gridCol w:w="839"/>
        <w:gridCol w:w="1167"/>
        <w:gridCol w:w="702"/>
        <w:gridCol w:w="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54" w:type="dxa"/>
            <w:vMerge w:val="restart"/>
            <w:vAlign w:val="center"/>
          </w:tcPr>
          <w:p>
            <w:pPr>
              <w:adjustRightInd w:val="0"/>
              <w:snapToGrid w:val="0"/>
              <w:jc w:val="center"/>
              <w:rPr>
                <w:rFonts w:eastAsia="仿宋_GB2312"/>
                <w:szCs w:val="21"/>
              </w:rPr>
            </w:pPr>
            <w:r>
              <w:rPr>
                <w:rFonts w:hint="eastAsia" w:eastAsia="仿宋_GB2312"/>
                <w:szCs w:val="21"/>
              </w:rPr>
              <w:t>因子</w:t>
            </w:r>
          </w:p>
        </w:tc>
        <w:tc>
          <w:tcPr>
            <w:tcW w:w="527" w:type="dxa"/>
            <w:vMerge w:val="restart"/>
            <w:vAlign w:val="center"/>
          </w:tcPr>
          <w:p>
            <w:pPr>
              <w:adjustRightInd w:val="0"/>
              <w:snapToGrid w:val="0"/>
              <w:jc w:val="center"/>
              <w:rPr>
                <w:rFonts w:eastAsia="仿宋_GB2312"/>
                <w:szCs w:val="21"/>
              </w:rPr>
            </w:pPr>
            <w:r>
              <w:rPr>
                <w:rFonts w:hint="eastAsia" w:eastAsia="仿宋_GB2312"/>
                <w:szCs w:val="21"/>
              </w:rPr>
              <w:t>单位</w:t>
            </w:r>
          </w:p>
        </w:tc>
        <w:tc>
          <w:tcPr>
            <w:tcW w:w="545" w:type="dxa"/>
            <w:vMerge w:val="restart"/>
            <w:vAlign w:val="center"/>
          </w:tcPr>
          <w:p>
            <w:pPr>
              <w:adjustRightInd w:val="0"/>
              <w:snapToGrid w:val="0"/>
              <w:jc w:val="center"/>
              <w:rPr>
                <w:rFonts w:eastAsia="仿宋_GB2312"/>
                <w:szCs w:val="21"/>
              </w:rPr>
            </w:pPr>
            <w:r>
              <w:rPr>
                <w:rFonts w:hint="eastAsia" w:eastAsia="仿宋_GB2312"/>
                <w:szCs w:val="21"/>
              </w:rPr>
              <w:t>方法检出限</w:t>
            </w:r>
          </w:p>
        </w:tc>
        <w:tc>
          <w:tcPr>
            <w:tcW w:w="2880" w:type="dxa"/>
            <w:gridSpan w:val="4"/>
            <w:vAlign w:val="center"/>
          </w:tcPr>
          <w:p>
            <w:pPr>
              <w:adjustRightInd w:val="0"/>
              <w:snapToGrid w:val="0"/>
              <w:jc w:val="center"/>
              <w:rPr>
                <w:rFonts w:eastAsia="仿宋_GB2312"/>
                <w:szCs w:val="21"/>
              </w:rPr>
            </w:pPr>
            <w:r>
              <w:rPr>
                <w:rFonts w:hint="eastAsia" w:eastAsia="仿宋_GB2312"/>
                <w:szCs w:val="21"/>
              </w:rPr>
              <w:t>T2</w:t>
            </w:r>
          </w:p>
        </w:tc>
        <w:tc>
          <w:tcPr>
            <w:tcW w:w="3265" w:type="dxa"/>
            <w:gridSpan w:val="4"/>
            <w:vAlign w:val="center"/>
          </w:tcPr>
          <w:p>
            <w:pPr>
              <w:adjustRightInd w:val="0"/>
              <w:snapToGrid w:val="0"/>
              <w:jc w:val="center"/>
              <w:rPr>
                <w:rFonts w:eastAsia="仿宋_GB2312"/>
                <w:szCs w:val="21"/>
              </w:rPr>
            </w:pPr>
            <w:r>
              <w:rPr>
                <w:rFonts w:hint="eastAsia" w:eastAsia="仿宋_GB2312"/>
                <w:szCs w:val="21"/>
              </w:rPr>
              <w:t>T3</w:t>
            </w:r>
          </w:p>
        </w:tc>
        <w:tc>
          <w:tcPr>
            <w:tcW w:w="915" w:type="dxa"/>
            <w:vAlign w:val="center"/>
          </w:tcPr>
          <w:p>
            <w:pPr>
              <w:adjustRightInd w:val="0"/>
              <w:snapToGrid w:val="0"/>
              <w:jc w:val="center"/>
              <w:rPr>
                <w:rFonts w:eastAsia="仿宋_GB2312"/>
                <w:szCs w:val="21"/>
              </w:rPr>
            </w:pPr>
            <w:r>
              <w:rPr>
                <w:rFonts w:hint="eastAsia" w:eastAsia="仿宋_GB2312"/>
                <w:szCs w:val="21"/>
              </w:rPr>
              <w:t>T4</w:t>
            </w:r>
          </w:p>
        </w:tc>
        <w:tc>
          <w:tcPr>
            <w:tcW w:w="839" w:type="dxa"/>
            <w:vAlign w:val="center"/>
          </w:tcPr>
          <w:p>
            <w:pPr>
              <w:adjustRightInd w:val="0"/>
              <w:snapToGrid w:val="0"/>
              <w:jc w:val="center"/>
              <w:rPr>
                <w:rFonts w:eastAsia="仿宋_GB2312"/>
                <w:szCs w:val="21"/>
              </w:rPr>
            </w:pPr>
            <w:r>
              <w:rPr>
                <w:rFonts w:hint="eastAsia" w:eastAsia="仿宋_GB2312"/>
                <w:szCs w:val="21"/>
              </w:rPr>
              <w:t>T5</w:t>
            </w:r>
          </w:p>
        </w:tc>
        <w:tc>
          <w:tcPr>
            <w:tcW w:w="1167" w:type="dxa"/>
            <w:vAlign w:val="center"/>
          </w:tcPr>
          <w:p>
            <w:pPr>
              <w:adjustRightInd w:val="0"/>
              <w:snapToGrid w:val="0"/>
              <w:jc w:val="center"/>
              <w:rPr>
                <w:rFonts w:eastAsia="仿宋_GB2312"/>
                <w:szCs w:val="21"/>
              </w:rPr>
            </w:pPr>
            <w:r>
              <w:rPr>
                <w:rFonts w:hint="eastAsia" w:eastAsia="仿宋_GB2312"/>
                <w:szCs w:val="21"/>
              </w:rPr>
              <w:t>T6</w:t>
            </w:r>
          </w:p>
        </w:tc>
        <w:tc>
          <w:tcPr>
            <w:tcW w:w="702" w:type="dxa"/>
            <w:vMerge w:val="restart"/>
            <w:vAlign w:val="center"/>
          </w:tcPr>
          <w:p>
            <w:pPr>
              <w:adjustRightInd w:val="0"/>
              <w:snapToGrid w:val="0"/>
              <w:jc w:val="center"/>
              <w:rPr>
                <w:rFonts w:eastAsia="仿宋_GB2312"/>
                <w:szCs w:val="21"/>
              </w:rPr>
            </w:pPr>
            <w:r>
              <w:rPr>
                <w:rFonts w:hint="eastAsia" w:eastAsia="仿宋_GB2312"/>
                <w:szCs w:val="21"/>
              </w:rPr>
              <w:t>筛选值</w:t>
            </w:r>
          </w:p>
        </w:tc>
        <w:tc>
          <w:tcPr>
            <w:tcW w:w="703" w:type="dxa"/>
            <w:vMerge w:val="restart"/>
            <w:vAlign w:val="center"/>
          </w:tcPr>
          <w:p>
            <w:pPr>
              <w:adjustRightInd w:val="0"/>
              <w:snapToGrid w:val="0"/>
              <w:jc w:val="center"/>
              <w:rPr>
                <w:rFonts w:eastAsia="仿宋_GB2312"/>
                <w:szCs w:val="21"/>
              </w:rPr>
            </w:pPr>
            <w:r>
              <w:rPr>
                <w:rFonts w:hint="eastAsia" w:eastAsia="仿宋_GB2312"/>
                <w:szCs w:val="21"/>
              </w:rPr>
              <w:t>管制</w:t>
            </w:r>
            <w:r>
              <w:rPr>
                <w:rFonts w:eastAsia="仿宋_GB2312"/>
                <w:szCs w:val="21"/>
              </w:rPr>
              <w:t>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754" w:type="dxa"/>
            <w:vMerge w:val="continue"/>
          </w:tcPr>
          <w:p>
            <w:pPr>
              <w:adjustRightInd w:val="0"/>
              <w:snapToGrid w:val="0"/>
              <w:jc w:val="center"/>
              <w:rPr>
                <w:rFonts w:eastAsia="仿宋_GB2312"/>
                <w:szCs w:val="21"/>
              </w:rPr>
            </w:pPr>
          </w:p>
        </w:tc>
        <w:tc>
          <w:tcPr>
            <w:tcW w:w="527" w:type="dxa"/>
            <w:vMerge w:val="continue"/>
          </w:tcPr>
          <w:p>
            <w:pPr>
              <w:adjustRightInd w:val="0"/>
              <w:snapToGrid w:val="0"/>
              <w:jc w:val="center"/>
              <w:rPr>
                <w:rFonts w:eastAsia="仿宋_GB2312"/>
                <w:szCs w:val="21"/>
              </w:rPr>
            </w:pPr>
          </w:p>
        </w:tc>
        <w:tc>
          <w:tcPr>
            <w:tcW w:w="545" w:type="dxa"/>
            <w:vMerge w:val="continue"/>
          </w:tcPr>
          <w:p>
            <w:pPr>
              <w:adjustRightInd w:val="0"/>
              <w:snapToGrid w:val="0"/>
              <w:jc w:val="center"/>
              <w:rPr>
                <w:rFonts w:eastAsia="仿宋_GB2312"/>
                <w:szCs w:val="21"/>
              </w:rPr>
            </w:pPr>
          </w:p>
        </w:tc>
        <w:tc>
          <w:tcPr>
            <w:tcW w:w="772" w:type="dxa"/>
            <w:vAlign w:val="center"/>
          </w:tcPr>
          <w:p>
            <w:pPr>
              <w:adjustRightInd w:val="0"/>
              <w:snapToGrid w:val="0"/>
              <w:jc w:val="center"/>
              <w:rPr>
                <w:rFonts w:eastAsia="仿宋_GB2312"/>
                <w:szCs w:val="21"/>
              </w:rPr>
            </w:pPr>
            <w:r>
              <w:rPr>
                <w:rFonts w:hint="eastAsia" w:eastAsia="仿宋_GB2312"/>
                <w:szCs w:val="21"/>
              </w:rPr>
              <w:t>0-0.5m</w:t>
            </w:r>
          </w:p>
        </w:tc>
        <w:tc>
          <w:tcPr>
            <w:tcW w:w="703" w:type="dxa"/>
            <w:vAlign w:val="center"/>
          </w:tcPr>
          <w:p>
            <w:pPr>
              <w:adjustRightInd w:val="0"/>
              <w:snapToGrid w:val="0"/>
              <w:jc w:val="center"/>
              <w:rPr>
                <w:rFonts w:eastAsia="仿宋_GB2312"/>
                <w:szCs w:val="21"/>
              </w:rPr>
            </w:pPr>
            <w:r>
              <w:rPr>
                <w:rFonts w:hint="eastAsia" w:eastAsia="仿宋_GB2312"/>
                <w:szCs w:val="21"/>
              </w:rPr>
              <w:t>1.0-1.5m</w:t>
            </w:r>
          </w:p>
        </w:tc>
        <w:tc>
          <w:tcPr>
            <w:tcW w:w="702" w:type="dxa"/>
            <w:vAlign w:val="center"/>
          </w:tcPr>
          <w:p>
            <w:pPr>
              <w:adjustRightInd w:val="0"/>
              <w:snapToGrid w:val="0"/>
              <w:jc w:val="center"/>
              <w:rPr>
                <w:rFonts w:eastAsia="仿宋_GB2312"/>
                <w:szCs w:val="21"/>
              </w:rPr>
            </w:pPr>
            <w:r>
              <w:rPr>
                <w:rFonts w:hint="eastAsia" w:eastAsia="仿宋_GB2312"/>
                <w:szCs w:val="21"/>
              </w:rPr>
              <w:t>2.0-2.5m</w:t>
            </w:r>
          </w:p>
        </w:tc>
        <w:tc>
          <w:tcPr>
            <w:tcW w:w="703" w:type="dxa"/>
            <w:vAlign w:val="center"/>
          </w:tcPr>
          <w:p>
            <w:pPr>
              <w:adjustRightInd w:val="0"/>
              <w:snapToGrid w:val="0"/>
              <w:jc w:val="center"/>
              <w:rPr>
                <w:rFonts w:eastAsia="仿宋_GB2312"/>
                <w:szCs w:val="21"/>
              </w:rPr>
            </w:pPr>
            <w:r>
              <w:rPr>
                <w:rFonts w:hint="eastAsia" w:eastAsia="仿宋_GB2312"/>
                <w:szCs w:val="21"/>
              </w:rPr>
              <w:t>5.0-5.5m</w:t>
            </w:r>
          </w:p>
        </w:tc>
        <w:tc>
          <w:tcPr>
            <w:tcW w:w="785" w:type="dxa"/>
            <w:vAlign w:val="center"/>
          </w:tcPr>
          <w:p>
            <w:pPr>
              <w:adjustRightInd w:val="0"/>
              <w:snapToGrid w:val="0"/>
              <w:jc w:val="center"/>
              <w:rPr>
                <w:rFonts w:eastAsia="仿宋_GB2312"/>
                <w:szCs w:val="21"/>
              </w:rPr>
            </w:pPr>
            <w:r>
              <w:rPr>
                <w:rFonts w:hint="eastAsia" w:eastAsia="仿宋_GB2312"/>
                <w:szCs w:val="21"/>
              </w:rPr>
              <w:t>0-0.5m</w:t>
            </w:r>
          </w:p>
        </w:tc>
        <w:tc>
          <w:tcPr>
            <w:tcW w:w="875" w:type="dxa"/>
            <w:vAlign w:val="center"/>
          </w:tcPr>
          <w:p>
            <w:pPr>
              <w:adjustRightInd w:val="0"/>
              <w:snapToGrid w:val="0"/>
              <w:jc w:val="center"/>
              <w:rPr>
                <w:rFonts w:eastAsia="仿宋_GB2312"/>
                <w:szCs w:val="21"/>
              </w:rPr>
            </w:pPr>
            <w:r>
              <w:rPr>
                <w:rFonts w:hint="eastAsia" w:eastAsia="仿宋_GB2312"/>
                <w:szCs w:val="21"/>
              </w:rPr>
              <w:t>1.0-1.5m</w:t>
            </w:r>
          </w:p>
        </w:tc>
        <w:tc>
          <w:tcPr>
            <w:tcW w:w="730" w:type="dxa"/>
            <w:vAlign w:val="center"/>
          </w:tcPr>
          <w:p>
            <w:pPr>
              <w:adjustRightInd w:val="0"/>
              <w:snapToGrid w:val="0"/>
              <w:jc w:val="center"/>
              <w:rPr>
                <w:rFonts w:eastAsia="仿宋_GB2312"/>
                <w:szCs w:val="21"/>
              </w:rPr>
            </w:pPr>
            <w:r>
              <w:rPr>
                <w:rFonts w:hint="eastAsia" w:eastAsia="仿宋_GB2312"/>
                <w:szCs w:val="21"/>
              </w:rPr>
              <w:t>2.0-2.5m</w:t>
            </w:r>
          </w:p>
        </w:tc>
        <w:tc>
          <w:tcPr>
            <w:tcW w:w="875" w:type="dxa"/>
            <w:vAlign w:val="center"/>
          </w:tcPr>
          <w:p>
            <w:pPr>
              <w:adjustRightInd w:val="0"/>
              <w:snapToGrid w:val="0"/>
              <w:jc w:val="center"/>
              <w:rPr>
                <w:rFonts w:eastAsia="仿宋_GB2312"/>
                <w:szCs w:val="21"/>
              </w:rPr>
            </w:pPr>
            <w:r>
              <w:rPr>
                <w:rFonts w:hint="eastAsia" w:eastAsia="仿宋_GB2312"/>
                <w:szCs w:val="21"/>
              </w:rPr>
              <w:t>5.0-5.5m</w:t>
            </w:r>
          </w:p>
        </w:tc>
        <w:tc>
          <w:tcPr>
            <w:tcW w:w="915" w:type="dxa"/>
            <w:vAlign w:val="center"/>
          </w:tcPr>
          <w:p>
            <w:pPr>
              <w:adjustRightInd w:val="0"/>
              <w:snapToGrid w:val="0"/>
              <w:jc w:val="center"/>
              <w:rPr>
                <w:rFonts w:eastAsia="仿宋_GB2312"/>
                <w:szCs w:val="21"/>
              </w:rPr>
            </w:pPr>
            <w:r>
              <w:rPr>
                <w:rFonts w:hint="eastAsia" w:eastAsia="仿宋_GB2312"/>
                <w:szCs w:val="21"/>
              </w:rPr>
              <w:t>0-0.2m</w:t>
            </w:r>
          </w:p>
        </w:tc>
        <w:tc>
          <w:tcPr>
            <w:tcW w:w="839" w:type="dxa"/>
            <w:vAlign w:val="center"/>
          </w:tcPr>
          <w:p>
            <w:r>
              <w:rPr>
                <w:rFonts w:hint="eastAsia" w:eastAsia="仿宋_GB2312"/>
                <w:szCs w:val="21"/>
              </w:rPr>
              <w:t>0-0.2m</w:t>
            </w:r>
          </w:p>
        </w:tc>
        <w:tc>
          <w:tcPr>
            <w:tcW w:w="1167" w:type="dxa"/>
            <w:vAlign w:val="center"/>
          </w:tcPr>
          <w:p>
            <w:pPr>
              <w:jc w:val="center"/>
            </w:pPr>
            <w:r>
              <w:rPr>
                <w:rFonts w:hint="eastAsia" w:eastAsia="仿宋_GB2312"/>
                <w:szCs w:val="21"/>
              </w:rPr>
              <w:t>0-0.2m</w:t>
            </w:r>
          </w:p>
        </w:tc>
        <w:tc>
          <w:tcPr>
            <w:tcW w:w="702" w:type="dxa"/>
            <w:vMerge w:val="continue"/>
          </w:tcPr>
          <w:p>
            <w:pPr>
              <w:adjustRightInd w:val="0"/>
              <w:snapToGrid w:val="0"/>
              <w:jc w:val="center"/>
              <w:rPr>
                <w:rFonts w:eastAsia="仿宋_GB2312"/>
                <w:b/>
                <w:szCs w:val="21"/>
              </w:rPr>
            </w:pPr>
          </w:p>
        </w:tc>
        <w:tc>
          <w:tcPr>
            <w:tcW w:w="703" w:type="dxa"/>
            <w:vMerge w:val="continue"/>
          </w:tcPr>
          <w:p>
            <w:pPr>
              <w:adjustRightInd w:val="0"/>
              <w:snapToGrid w:val="0"/>
              <w:jc w:val="center"/>
              <w:rPr>
                <w:rFonts w:eastAsia="仿宋_GB2312"/>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754" w:type="dxa"/>
            <w:vAlign w:val="center"/>
          </w:tcPr>
          <w:p>
            <w:pPr>
              <w:adjustRightInd w:val="0"/>
              <w:snapToGrid w:val="0"/>
              <w:jc w:val="center"/>
              <w:rPr>
                <w:rFonts w:eastAsia="仿宋_GB2312"/>
                <w:szCs w:val="21"/>
              </w:rPr>
            </w:pPr>
            <w:r>
              <w:rPr>
                <w:rFonts w:hint="eastAsia" w:eastAsia="仿宋_GB2312"/>
                <w:szCs w:val="21"/>
              </w:rPr>
              <w:t>石油烃</w:t>
            </w:r>
          </w:p>
        </w:tc>
        <w:tc>
          <w:tcPr>
            <w:tcW w:w="527" w:type="dxa"/>
            <w:vAlign w:val="center"/>
          </w:tcPr>
          <w:p>
            <w:pPr>
              <w:adjustRightInd w:val="0"/>
              <w:snapToGrid w:val="0"/>
              <w:jc w:val="center"/>
              <w:rPr>
                <w:rFonts w:eastAsia="仿宋_GB2312"/>
                <w:szCs w:val="21"/>
              </w:rPr>
            </w:pPr>
            <w:r>
              <w:rPr>
                <w:rFonts w:eastAsia="仿宋_GB2312"/>
                <w:szCs w:val="21"/>
              </w:rPr>
              <w:t>m</w:t>
            </w:r>
            <w:r>
              <w:rPr>
                <w:rFonts w:hint="eastAsia" w:eastAsia="仿宋_GB2312"/>
                <w:szCs w:val="21"/>
              </w:rPr>
              <w:t>g/</w:t>
            </w:r>
            <w:r>
              <w:rPr>
                <w:rFonts w:eastAsia="仿宋_GB2312"/>
                <w:szCs w:val="21"/>
              </w:rPr>
              <w:t>kg</w:t>
            </w:r>
          </w:p>
        </w:tc>
        <w:tc>
          <w:tcPr>
            <w:tcW w:w="545" w:type="dxa"/>
            <w:vAlign w:val="center"/>
          </w:tcPr>
          <w:p>
            <w:pPr>
              <w:adjustRightInd w:val="0"/>
              <w:snapToGrid w:val="0"/>
              <w:jc w:val="center"/>
              <w:rPr>
                <w:rFonts w:eastAsia="仿宋_GB2312"/>
                <w:szCs w:val="21"/>
              </w:rPr>
            </w:pPr>
            <w:r>
              <w:rPr>
                <w:rFonts w:hint="eastAsia" w:eastAsia="仿宋_GB2312"/>
                <w:szCs w:val="21"/>
              </w:rPr>
              <w:t>6</w:t>
            </w:r>
          </w:p>
        </w:tc>
        <w:tc>
          <w:tcPr>
            <w:tcW w:w="772" w:type="dxa"/>
            <w:vAlign w:val="center"/>
          </w:tcPr>
          <w:p>
            <w:pPr>
              <w:adjustRightInd w:val="0"/>
              <w:snapToGrid w:val="0"/>
              <w:jc w:val="center"/>
              <w:rPr>
                <w:rFonts w:eastAsia="仿宋_GB2312"/>
                <w:szCs w:val="21"/>
              </w:rPr>
            </w:pPr>
            <w:r>
              <w:rPr>
                <w:rFonts w:hint="eastAsia" w:eastAsia="仿宋_GB2312"/>
                <w:szCs w:val="21"/>
              </w:rPr>
              <w:t>31</w:t>
            </w:r>
          </w:p>
        </w:tc>
        <w:tc>
          <w:tcPr>
            <w:tcW w:w="703" w:type="dxa"/>
            <w:vAlign w:val="center"/>
          </w:tcPr>
          <w:p>
            <w:pPr>
              <w:adjustRightInd w:val="0"/>
              <w:snapToGrid w:val="0"/>
              <w:jc w:val="center"/>
              <w:rPr>
                <w:rFonts w:eastAsia="仿宋_GB2312"/>
                <w:szCs w:val="21"/>
              </w:rPr>
            </w:pPr>
            <w:r>
              <w:rPr>
                <w:rFonts w:hint="eastAsia" w:eastAsia="仿宋_GB2312"/>
                <w:szCs w:val="21"/>
              </w:rPr>
              <w:t>27</w:t>
            </w:r>
          </w:p>
        </w:tc>
        <w:tc>
          <w:tcPr>
            <w:tcW w:w="702" w:type="dxa"/>
            <w:vAlign w:val="center"/>
          </w:tcPr>
          <w:p>
            <w:pPr>
              <w:adjustRightInd w:val="0"/>
              <w:snapToGrid w:val="0"/>
              <w:jc w:val="center"/>
              <w:rPr>
                <w:rFonts w:eastAsia="仿宋_GB2312"/>
                <w:szCs w:val="21"/>
              </w:rPr>
            </w:pPr>
            <w:r>
              <w:rPr>
                <w:rFonts w:hint="eastAsia" w:eastAsia="仿宋_GB2312"/>
                <w:szCs w:val="21"/>
              </w:rPr>
              <w:t>18</w:t>
            </w:r>
          </w:p>
        </w:tc>
        <w:tc>
          <w:tcPr>
            <w:tcW w:w="703" w:type="dxa"/>
            <w:vAlign w:val="center"/>
          </w:tcPr>
          <w:p>
            <w:pPr>
              <w:adjustRightInd w:val="0"/>
              <w:snapToGrid w:val="0"/>
              <w:jc w:val="center"/>
              <w:rPr>
                <w:rFonts w:eastAsia="仿宋_GB2312"/>
                <w:szCs w:val="21"/>
              </w:rPr>
            </w:pPr>
            <w:r>
              <w:rPr>
                <w:rFonts w:hint="eastAsia" w:eastAsia="仿宋_GB2312"/>
                <w:szCs w:val="21"/>
              </w:rPr>
              <w:t>17</w:t>
            </w:r>
          </w:p>
        </w:tc>
        <w:tc>
          <w:tcPr>
            <w:tcW w:w="785" w:type="dxa"/>
            <w:vAlign w:val="center"/>
          </w:tcPr>
          <w:p>
            <w:pPr>
              <w:adjustRightInd w:val="0"/>
              <w:snapToGrid w:val="0"/>
              <w:jc w:val="center"/>
              <w:rPr>
                <w:rFonts w:eastAsia="仿宋_GB2312"/>
                <w:szCs w:val="21"/>
              </w:rPr>
            </w:pPr>
            <w:r>
              <w:rPr>
                <w:rFonts w:hint="eastAsia" w:eastAsia="仿宋_GB2312"/>
                <w:szCs w:val="21"/>
              </w:rPr>
              <w:t>32</w:t>
            </w:r>
          </w:p>
        </w:tc>
        <w:tc>
          <w:tcPr>
            <w:tcW w:w="875" w:type="dxa"/>
            <w:vAlign w:val="center"/>
          </w:tcPr>
          <w:p>
            <w:pPr>
              <w:adjustRightInd w:val="0"/>
              <w:snapToGrid w:val="0"/>
              <w:jc w:val="center"/>
              <w:rPr>
                <w:rFonts w:eastAsia="仿宋_GB2312"/>
                <w:szCs w:val="21"/>
              </w:rPr>
            </w:pPr>
            <w:r>
              <w:rPr>
                <w:rFonts w:hint="eastAsia" w:eastAsia="仿宋_GB2312"/>
                <w:szCs w:val="21"/>
              </w:rPr>
              <w:t>25</w:t>
            </w:r>
          </w:p>
        </w:tc>
        <w:tc>
          <w:tcPr>
            <w:tcW w:w="730" w:type="dxa"/>
            <w:vAlign w:val="center"/>
          </w:tcPr>
          <w:p>
            <w:pPr>
              <w:adjustRightInd w:val="0"/>
              <w:snapToGrid w:val="0"/>
              <w:jc w:val="center"/>
              <w:rPr>
                <w:rFonts w:eastAsia="仿宋_GB2312"/>
                <w:szCs w:val="21"/>
              </w:rPr>
            </w:pPr>
            <w:r>
              <w:rPr>
                <w:rFonts w:hint="eastAsia" w:eastAsia="仿宋_GB2312"/>
                <w:szCs w:val="21"/>
              </w:rPr>
              <w:t>29</w:t>
            </w:r>
          </w:p>
        </w:tc>
        <w:tc>
          <w:tcPr>
            <w:tcW w:w="875" w:type="dxa"/>
            <w:vAlign w:val="center"/>
          </w:tcPr>
          <w:p>
            <w:pPr>
              <w:adjustRightInd w:val="0"/>
              <w:snapToGrid w:val="0"/>
              <w:jc w:val="center"/>
              <w:rPr>
                <w:rFonts w:eastAsia="仿宋_GB2312"/>
                <w:szCs w:val="21"/>
              </w:rPr>
            </w:pPr>
            <w:r>
              <w:rPr>
                <w:rFonts w:hint="eastAsia" w:eastAsia="仿宋_GB2312"/>
                <w:szCs w:val="21"/>
              </w:rPr>
              <w:t>28</w:t>
            </w:r>
          </w:p>
        </w:tc>
        <w:tc>
          <w:tcPr>
            <w:tcW w:w="915" w:type="dxa"/>
            <w:vAlign w:val="center"/>
          </w:tcPr>
          <w:p>
            <w:pPr>
              <w:adjustRightInd w:val="0"/>
              <w:snapToGrid w:val="0"/>
              <w:jc w:val="center"/>
              <w:rPr>
                <w:rFonts w:eastAsia="仿宋_GB2312"/>
                <w:szCs w:val="21"/>
              </w:rPr>
            </w:pPr>
            <w:r>
              <w:rPr>
                <w:rFonts w:hint="eastAsia" w:eastAsia="仿宋_GB2312"/>
                <w:szCs w:val="21"/>
              </w:rPr>
              <w:t>31</w:t>
            </w:r>
          </w:p>
        </w:tc>
        <w:tc>
          <w:tcPr>
            <w:tcW w:w="839" w:type="dxa"/>
            <w:vAlign w:val="center"/>
          </w:tcPr>
          <w:p>
            <w:pPr>
              <w:adjustRightInd w:val="0"/>
              <w:snapToGrid w:val="0"/>
              <w:jc w:val="center"/>
              <w:rPr>
                <w:rFonts w:eastAsia="仿宋_GB2312"/>
                <w:szCs w:val="21"/>
              </w:rPr>
            </w:pPr>
            <w:r>
              <w:rPr>
                <w:rFonts w:hint="eastAsia" w:eastAsia="仿宋_GB2312"/>
                <w:szCs w:val="21"/>
              </w:rPr>
              <w:t>30</w:t>
            </w:r>
          </w:p>
        </w:tc>
        <w:tc>
          <w:tcPr>
            <w:tcW w:w="1167" w:type="dxa"/>
            <w:vAlign w:val="center"/>
          </w:tcPr>
          <w:p>
            <w:pPr>
              <w:adjustRightInd w:val="0"/>
              <w:snapToGrid w:val="0"/>
              <w:jc w:val="center"/>
              <w:rPr>
                <w:rFonts w:eastAsia="仿宋_GB2312"/>
                <w:szCs w:val="21"/>
              </w:rPr>
            </w:pPr>
            <w:r>
              <w:rPr>
                <w:rFonts w:hint="eastAsia" w:eastAsia="仿宋_GB2312"/>
                <w:szCs w:val="21"/>
              </w:rPr>
              <w:t>20</w:t>
            </w:r>
          </w:p>
        </w:tc>
        <w:tc>
          <w:tcPr>
            <w:tcW w:w="702" w:type="dxa"/>
            <w:vAlign w:val="center"/>
          </w:tcPr>
          <w:p>
            <w:pPr>
              <w:adjustRightInd w:val="0"/>
              <w:snapToGrid w:val="0"/>
              <w:jc w:val="center"/>
              <w:rPr>
                <w:rFonts w:eastAsia="仿宋_GB2312"/>
                <w:szCs w:val="21"/>
              </w:rPr>
            </w:pPr>
            <w:r>
              <w:rPr>
                <w:rFonts w:hint="eastAsia" w:eastAsia="仿宋_GB2312"/>
                <w:szCs w:val="21"/>
              </w:rPr>
              <w:t>4500</w:t>
            </w:r>
          </w:p>
        </w:tc>
        <w:tc>
          <w:tcPr>
            <w:tcW w:w="703" w:type="dxa"/>
            <w:vAlign w:val="center"/>
          </w:tcPr>
          <w:p>
            <w:pPr>
              <w:adjustRightInd w:val="0"/>
              <w:snapToGrid w:val="0"/>
              <w:jc w:val="center"/>
              <w:rPr>
                <w:rFonts w:eastAsia="仿宋_GB2312"/>
                <w:szCs w:val="21"/>
              </w:rPr>
            </w:pPr>
            <w:r>
              <w:rPr>
                <w:rFonts w:hint="eastAsia" w:eastAsia="仿宋_GB2312"/>
                <w:szCs w:val="21"/>
              </w:rPr>
              <w:t>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754" w:type="dxa"/>
            <w:vAlign w:val="center"/>
          </w:tcPr>
          <w:p>
            <w:pPr>
              <w:adjustRightInd w:val="0"/>
              <w:snapToGrid w:val="0"/>
              <w:jc w:val="center"/>
              <w:rPr>
                <w:rFonts w:eastAsia="仿宋_GB2312"/>
                <w:szCs w:val="21"/>
              </w:rPr>
            </w:pPr>
            <w:r>
              <w:rPr>
                <w:rFonts w:hint="eastAsia" w:eastAsia="仿宋_GB2312"/>
                <w:szCs w:val="21"/>
              </w:rPr>
              <w:t>二溴氟甲烷</w:t>
            </w:r>
          </w:p>
        </w:tc>
        <w:tc>
          <w:tcPr>
            <w:tcW w:w="527" w:type="dxa"/>
            <w:vAlign w:val="center"/>
          </w:tcPr>
          <w:p>
            <w:pPr>
              <w:adjustRightInd w:val="0"/>
              <w:snapToGrid w:val="0"/>
              <w:jc w:val="center"/>
              <w:rPr>
                <w:rFonts w:eastAsia="仿宋_GB2312"/>
                <w:szCs w:val="21"/>
              </w:rPr>
            </w:pPr>
            <w:r>
              <w:rPr>
                <w:rFonts w:eastAsia="仿宋_GB2312"/>
                <w:szCs w:val="21"/>
              </w:rPr>
              <w:t>%</w:t>
            </w:r>
          </w:p>
        </w:tc>
        <w:tc>
          <w:tcPr>
            <w:tcW w:w="545" w:type="dxa"/>
            <w:vAlign w:val="center"/>
          </w:tcPr>
          <w:p>
            <w:pPr>
              <w:adjustRightInd w:val="0"/>
              <w:snapToGrid w:val="0"/>
              <w:jc w:val="center"/>
              <w:rPr>
                <w:rFonts w:eastAsia="仿宋_GB2312"/>
                <w:szCs w:val="21"/>
              </w:rPr>
            </w:pPr>
            <w:r>
              <w:rPr>
                <w:rFonts w:hint="eastAsia" w:eastAsia="仿宋_GB2312"/>
                <w:szCs w:val="21"/>
              </w:rPr>
              <w:t>-</w:t>
            </w:r>
          </w:p>
        </w:tc>
        <w:tc>
          <w:tcPr>
            <w:tcW w:w="772" w:type="dxa"/>
            <w:vAlign w:val="center"/>
          </w:tcPr>
          <w:p>
            <w:pPr>
              <w:adjustRightInd w:val="0"/>
              <w:snapToGrid w:val="0"/>
              <w:jc w:val="center"/>
              <w:rPr>
                <w:rFonts w:eastAsia="仿宋_GB2312"/>
                <w:szCs w:val="21"/>
              </w:rPr>
            </w:pPr>
            <w:r>
              <w:rPr>
                <w:rFonts w:hint="eastAsia" w:eastAsia="仿宋_GB2312"/>
                <w:szCs w:val="21"/>
              </w:rPr>
              <w:t xml:space="preserve">126 </w:t>
            </w:r>
          </w:p>
        </w:tc>
        <w:tc>
          <w:tcPr>
            <w:tcW w:w="703" w:type="dxa"/>
            <w:vAlign w:val="center"/>
          </w:tcPr>
          <w:p>
            <w:pPr>
              <w:adjustRightInd w:val="0"/>
              <w:snapToGrid w:val="0"/>
              <w:jc w:val="center"/>
              <w:rPr>
                <w:rFonts w:eastAsia="仿宋_GB2312"/>
                <w:szCs w:val="21"/>
              </w:rPr>
            </w:pPr>
            <w:r>
              <w:rPr>
                <w:rFonts w:hint="eastAsia" w:eastAsia="仿宋_GB2312"/>
                <w:szCs w:val="21"/>
              </w:rPr>
              <w:t xml:space="preserve">120 </w:t>
            </w:r>
          </w:p>
        </w:tc>
        <w:tc>
          <w:tcPr>
            <w:tcW w:w="702" w:type="dxa"/>
            <w:vAlign w:val="center"/>
          </w:tcPr>
          <w:p>
            <w:pPr>
              <w:adjustRightInd w:val="0"/>
              <w:snapToGrid w:val="0"/>
              <w:jc w:val="center"/>
              <w:rPr>
                <w:rFonts w:eastAsia="仿宋_GB2312"/>
                <w:szCs w:val="21"/>
              </w:rPr>
            </w:pPr>
            <w:r>
              <w:rPr>
                <w:rFonts w:hint="eastAsia" w:eastAsia="仿宋_GB2312"/>
                <w:szCs w:val="21"/>
              </w:rPr>
              <w:t xml:space="preserve">117 </w:t>
            </w:r>
          </w:p>
        </w:tc>
        <w:tc>
          <w:tcPr>
            <w:tcW w:w="703" w:type="dxa"/>
            <w:vAlign w:val="center"/>
          </w:tcPr>
          <w:p>
            <w:pPr>
              <w:adjustRightInd w:val="0"/>
              <w:snapToGrid w:val="0"/>
              <w:jc w:val="center"/>
              <w:rPr>
                <w:rFonts w:eastAsia="仿宋_GB2312"/>
                <w:szCs w:val="21"/>
              </w:rPr>
            </w:pPr>
            <w:r>
              <w:rPr>
                <w:rFonts w:hint="eastAsia" w:eastAsia="仿宋_GB2312"/>
                <w:szCs w:val="21"/>
              </w:rPr>
              <w:t xml:space="preserve">116 </w:t>
            </w:r>
          </w:p>
        </w:tc>
        <w:tc>
          <w:tcPr>
            <w:tcW w:w="785" w:type="dxa"/>
            <w:vAlign w:val="center"/>
          </w:tcPr>
          <w:p>
            <w:pPr>
              <w:adjustRightInd w:val="0"/>
              <w:snapToGrid w:val="0"/>
              <w:jc w:val="center"/>
              <w:rPr>
                <w:rFonts w:eastAsia="仿宋_GB2312"/>
                <w:szCs w:val="21"/>
              </w:rPr>
            </w:pPr>
            <w:r>
              <w:rPr>
                <w:rFonts w:hint="eastAsia" w:eastAsia="仿宋_GB2312"/>
                <w:szCs w:val="21"/>
              </w:rPr>
              <w:t xml:space="preserve">121 </w:t>
            </w:r>
          </w:p>
        </w:tc>
        <w:tc>
          <w:tcPr>
            <w:tcW w:w="875" w:type="dxa"/>
            <w:vAlign w:val="center"/>
          </w:tcPr>
          <w:p>
            <w:pPr>
              <w:adjustRightInd w:val="0"/>
              <w:snapToGrid w:val="0"/>
              <w:jc w:val="center"/>
              <w:rPr>
                <w:rFonts w:eastAsia="仿宋_GB2312"/>
                <w:szCs w:val="21"/>
              </w:rPr>
            </w:pPr>
            <w:r>
              <w:rPr>
                <w:rFonts w:hint="eastAsia" w:eastAsia="仿宋_GB2312"/>
                <w:szCs w:val="21"/>
              </w:rPr>
              <w:t xml:space="preserve">115 </w:t>
            </w:r>
          </w:p>
        </w:tc>
        <w:tc>
          <w:tcPr>
            <w:tcW w:w="730" w:type="dxa"/>
            <w:vAlign w:val="center"/>
          </w:tcPr>
          <w:p>
            <w:pPr>
              <w:adjustRightInd w:val="0"/>
              <w:snapToGrid w:val="0"/>
              <w:jc w:val="center"/>
              <w:rPr>
                <w:rFonts w:eastAsia="仿宋_GB2312"/>
                <w:szCs w:val="21"/>
              </w:rPr>
            </w:pPr>
            <w:r>
              <w:rPr>
                <w:rFonts w:hint="eastAsia" w:eastAsia="仿宋_GB2312"/>
                <w:szCs w:val="21"/>
              </w:rPr>
              <w:t xml:space="preserve">117 </w:t>
            </w:r>
          </w:p>
        </w:tc>
        <w:tc>
          <w:tcPr>
            <w:tcW w:w="875" w:type="dxa"/>
            <w:vAlign w:val="center"/>
          </w:tcPr>
          <w:p>
            <w:pPr>
              <w:adjustRightInd w:val="0"/>
              <w:snapToGrid w:val="0"/>
              <w:jc w:val="center"/>
              <w:rPr>
                <w:rFonts w:eastAsia="仿宋_GB2312"/>
                <w:szCs w:val="21"/>
              </w:rPr>
            </w:pPr>
            <w:r>
              <w:rPr>
                <w:rFonts w:hint="eastAsia" w:eastAsia="仿宋_GB2312"/>
                <w:szCs w:val="21"/>
              </w:rPr>
              <w:t xml:space="preserve">120 </w:t>
            </w:r>
          </w:p>
        </w:tc>
        <w:tc>
          <w:tcPr>
            <w:tcW w:w="915" w:type="dxa"/>
            <w:vAlign w:val="center"/>
          </w:tcPr>
          <w:p>
            <w:pPr>
              <w:adjustRightInd w:val="0"/>
              <w:snapToGrid w:val="0"/>
              <w:jc w:val="center"/>
              <w:rPr>
                <w:rFonts w:eastAsia="仿宋_GB2312"/>
                <w:szCs w:val="21"/>
              </w:rPr>
            </w:pPr>
            <w:r>
              <w:rPr>
                <w:rFonts w:hint="eastAsia" w:eastAsia="仿宋_GB2312"/>
                <w:szCs w:val="21"/>
              </w:rPr>
              <w:t xml:space="preserve">121 </w:t>
            </w:r>
          </w:p>
        </w:tc>
        <w:tc>
          <w:tcPr>
            <w:tcW w:w="839" w:type="dxa"/>
            <w:vAlign w:val="center"/>
          </w:tcPr>
          <w:p>
            <w:pPr>
              <w:adjustRightInd w:val="0"/>
              <w:snapToGrid w:val="0"/>
              <w:jc w:val="center"/>
              <w:rPr>
                <w:rFonts w:eastAsia="仿宋_GB2312"/>
                <w:szCs w:val="21"/>
              </w:rPr>
            </w:pPr>
            <w:r>
              <w:rPr>
                <w:rFonts w:hint="eastAsia" w:eastAsia="仿宋_GB2312"/>
                <w:szCs w:val="21"/>
              </w:rPr>
              <w:t xml:space="preserve">127 </w:t>
            </w:r>
          </w:p>
        </w:tc>
        <w:tc>
          <w:tcPr>
            <w:tcW w:w="1167" w:type="dxa"/>
            <w:vAlign w:val="center"/>
          </w:tcPr>
          <w:p>
            <w:pPr>
              <w:adjustRightInd w:val="0"/>
              <w:snapToGrid w:val="0"/>
              <w:jc w:val="center"/>
              <w:rPr>
                <w:rFonts w:eastAsia="仿宋_GB2312"/>
                <w:szCs w:val="21"/>
              </w:rPr>
            </w:pPr>
            <w:r>
              <w:rPr>
                <w:rFonts w:hint="eastAsia" w:eastAsia="仿宋_GB2312"/>
                <w:szCs w:val="21"/>
              </w:rPr>
              <w:t xml:space="preserve">128 </w:t>
            </w:r>
          </w:p>
        </w:tc>
        <w:tc>
          <w:tcPr>
            <w:tcW w:w="702" w:type="dxa"/>
            <w:vAlign w:val="center"/>
          </w:tcPr>
          <w:p>
            <w:pPr>
              <w:adjustRightInd w:val="0"/>
              <w:snapToGrid w:val="0"/>
              <w:jc w:val="center"/>
              <w:rPr>
                <w:rFonts w:eastAsia="仿宋_GB2312"/>
                <w:szCs w:val="21"/>
              </w:rPr>
            </w:pPr>
            <w:r>
              <w:rPr>
                <w:rFonts w:hint="eastAsia" w:eastAsia="仿宋_GB2312"/>
                <w:szCs w:val="21"/>
              </w:rPr>
              <w:t>-</w:t>
            </w:r>
          </w:p>
        </w:tc>
        <w:tc>
          <w:tcPr>
            <w:tcW w:w="703" w:type="dxa"/>
            <w:vAlign w:val="center"/>
          </w:tcPr>
          <w:p>
            <w:pPr>
              <w:adjustRightInd w:val="0"/>
              <w:snapToGrid w:val="0"/>
              <w:jc w:val="center"/>
              <w:rPr>
                <w:rFonts w:eastAsia="仿宋_GB2312"/>
                <w:szCs w:val="21"/>
              </w:rPr>
            </w:pPr>
            <w:r>
              <w:rPr>
                <w:rFonts w:hint="eastAsia" w:eastAsia="仿宋_GB2312"/>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754" w:type="dxa"/>
            <w:vAlign w:val="center"/>
          </w:tcPr>
          <w:p>
            <w:pPr>
              <w:adjustRightInd w:val="0"/>
              <w:snapToGrid w:val="0"/>
              <w:jc w:val="center"/>
              <w:rPr>
                <w:rFonts w:eastAsia="仿宋_GB2312"/>
                <w:szCs w:val="21"/>
              </w:rPr>
            </w:pPr>
            <w:r>
              <w:rPr>
                <w:rFonts w:hint="eastAsia" w:eastAsia="仿宋_GB2312"/>
                <w:szCs w:val="21"/>
              </w:rPr>
              <w:t>甲苯-D</w:t>
            </w:r>
            <w:r>
              <w:rPr>
                <w:rFonts w:hint="eastAsia" w:eastAsia="仿宋_GB2312"/>
                <w:szCs w:val="21"/>
                <w:vertAlign w:val="subscript"/>
              </w:rPr>
              <w:t>8</w:t>
            </w:r>
          </w:p>
        </w:tc>
        <w:tc>
          <w:tcPr>
            <w:tcW w:w="527" w:type="dxa"/>
            <w:vAlign w:val="center"/>
          </w:tcPr>
          <w:p>
            <w:pPr>
              <w:adjustRightInd w:val="0"/>
              <w:snapToGrid w:val="0"/>
              <w:jc w:val="center"/>
              <w:rPr>
                <w:rFonts w:eastAsia="仿宋_GB2312"/>
                <w:szCs w:val="21"/>
              </w:rPr>
            </w:pPr>
            <w:r>
              <w:rPr>
                <w:rFonts w:eastAsia="仿宋_GB2312"/>
                <w:szCs w:val="21"/>
              </w:rPr>
              <w:t>%</w:t>
            </w:r>
          </w:p>
        </w:tc>
        <w:tc>
          <w:tcPr>
            <w:tcW w:w="545" w:type="dxa"/>
            <w:vAlign w:val="center"/>
          </w:tcPr>
          <w:p>
            <w:pPr>
              <w:adjustRightInd w:val="0"/>
              <w:snapToGrid w:val="0"/>
              <w:jc w:val="center"/>
              <w:rPr>
                <w:rFonts w:eastAsia="仿宋_GB2312"/>
                <w:szCs w:val="21"/>
              </w:rPr>
            </w:pPr>
            <w:r>
              <w:rPr>
                <w:rFonts w:hint="eastAsia" w:eastAsia="仿宋_GB2312"/>
                <w:szCs w:val="21"/>
              </w:rPr>
              <w:t>-</w:t>
            </w:r>
          </w:p>
        </w:tc>
        <w:tc>
          <w:tcPr>
            <w:tcW w:w="772" w:type="dxa"/>
            <w:vAlign w:val="center"/>
          </w:tcPr>
          <w:p>
            <w:pPr>
              <w:adjustRightInd w:val="0"/>
              <w:snapToGrid w:val="0"/>
              <w:jc w:val="center"/>
              <w:rPr>
                <w:rFonts w:eastAsia="仿宋_GB2312"/>
                <w:szCs w:val="21"/>
              </w:rPr>
            </w:pPr>
            <w:r>
              <w:rPr>
                <w:rFonts w:hint="eastAsia" w:eastAsia="仿宋_GB2312"/>
                <w:szCs w:val="21"/>
              </w:rPr>
              <w:t xml:space="preserve">113 </w:t>
            </w:r>
          </w:p>
        </w:tc>
        <w:tc>
          <w:tcPr>
            <w:tcW w:w="703" w:type="dxa"/>
            <w:vAlign w:val="center"/>
          </w:tcPr>
          <w:p>
            <w:pPr>
              <w:adjustRightInd w:val="0"/>
              <w:snapToGrid w:val="0"/>
              <w:jc w:val="center"/>
              <w:rPr>
                <w:rFonts w:eastAsia="仿宋_GB2312"/>
                <w:szCs w:val="21"/>
              </w:rPr>
            </w:pPr>
            <w:r>
              <w:rPr>
                <w:rFonts w:hint="eastAsia" w:eastAsia="仿宋_GB2312"/>
                <w:szCs w:val="21"/>
              </w:rPr>
              <w:t xml:space="preserve">105 </w:t>
            </w:r>
          </w:p>
        </w:tc>
        <w:tc>
          <w:tcPr>
            <w:tcW w:w="702" w:type="dxa"/>
            <w:vAlign w:val="center"/>
          </w:tcPr>
          <w:p>
            <w:pPr>
              <w:adjustRightInd w:val="0"/>
              <w:snapToGrid w:val="0"/>
              <w:jc w:val="center"/>
              <w:rPr>
                <w:rFonts w:eastAsia="仿宋_GB2312"/>
                <w:szCs w:val="21"/>
              </w:rPr>
            </w:pPr>
            <w:r>
              <w:rPr>
                <w:rFonts w:hint="eastAsia" w:eastAsia="仿宋_GB2312"/>
                <w:szCs w:val="21"/>
              </w:rPr>
              <w:t xml:space="preserve">108 </w:t>
            </w:r>
          </w:p>
        </w:tc>
        <w:tc>
          <w:tcPr>
            <w:tcW w:w="703" w:type="dxa"/>
            <w:vAlign w:val="center"/>
          </w:tcPr>
          <w:p>
            <w:pPr>
              <w:adjustRightInd w:val="0"/>
              <w:snapToGrid w:val="0"/>
              <w:jc w:val="center"/>
              <w:rPr>
                <w:rFonts w:eastAsia="仿宋_GB2312"/>
                <w:szCs w:val="21"/>
              </w:rPr>
            </w:pPr>
            <w:r>
              <w:rPr>
                <w:rFonts w:hint="eastAsia" w:eastAsia="仿宋_GB2312"/>
                <w:szCs w:val="21"/>
              </w:rPr>
              <w:t xml:space="preserve">104 </w:t>
            </w:r>
          </w:p>
        </w:tc>
        <w:tc>
          <w:tcPr>
            <w:tcW w:w="785" w:type="dxa"/>
            <w:vAlign w:val="center"/>
          </w:tcPr>
          <w:p>
            <w:pPr>
              <w:adjustRightInd w:val="0"/>
              <w:snapToGrid w:val="0"/>
              <w:jc w:val="center"/>
              <w:rPr>
                <w:rFonts w:eastAsia="仿宋_GB2312"/>
                <w:szCs w:val="21"/>
              </w:rPr>
            </w:pPr>
            <w:r>
              <w:rPr>
                <w:rFonts w:hint="eastAsia" w:eastAsia="仿宋_GB2312"/>
                <w:szCs w:val="21"/>
              </w:rPr>
              <w:t xml:space="preserve">97.4 </w:t>
            </w:r>
          </w:p>
        </w:tc>
        <w:tc>
          <w:tcPr>
            <w:tcW w:w="875" w:type="dxa"/>
            <w:vAlign w:val="center"/>
          </w:tcPr>
          <w:p>
            <w:pPr>
              <w:adjustRightInd w:val="0"/>
              <w:snapToGrid w:val="0"/>
              <w:jc w:val="center"/>
              <w:rPr>
                <w:rFonts w:eastAsia="仿宋_GB2312"/>
                <w:szCs w:val="21"/>
              </w:rPr>
            </w:pPr>
            <w:r>
              <w:rPr>
                <w:rFonts w:hint="eastAsia" w:eastAsia="仿宋_GB2312"/>
                <w:szCs w:val="21"/>
              </w:rPr>
              <w:t xml:space="preserve">109 </w:t>
            </w:r>
          </w:p>
        </w:tc>
        <w:tc>
          <w:tcPr>
            <w:tcW w:w="730" w:type="dxa"/>
            <w:vAlign w:val="center"/>
          </w:tcPr>
          <w:p>
            <w:pPr>
              <w:adjustRightInd w:val="0"/>
              <w:snapToGrid w:val="0"/>
              <w:jc w:val="center"/>
              <w:rPr>
                <w:rFonts w:eastAsia="仿宋_GB2312"/>
                <w:szCs w:val="21"/>
              </w:rPr>
            </w:pPr>
            <w:r>
              <w:rPr>
                <w:rFonts w:hint="eastAsia" w:eastAsia="仿宋_GB2312"/>
                <w:szCs w:val="21"/>
              </w:rPr>
              <w:t xml:space="preserve">104 </w:t>
            </w:r>
          </w:p>
        </w:tc>
        <w:tc>
          <w:tcPr>
            <w:tcW w:w="875" w:type="dxa"/>
            <w:vAlign w:val="center"/>
          </w:tcPr>
          <w:p>
            <w:pPr>
              <w:adjustRightInd w:val="0"/>
              <w:snapToGrid w:val="0"/>
              <w:jc w:val="center"/>
              <w:rPr>
                <w:rFonts w:eastAsia="仿宋_GB2312"/>
                <w:szCs w:val="21"/>
              </w:rPr>
            </w:pPr>
            <w:r>
              <w:rPr>
                <w:rFonts w:hint="eastAsia" w:eastAsia="仿宋_GB2312"/>
                <w:szCs w:val="21"/>
              </w:rPr>
              <w:t xml:space="preserve">103 </w:t>
            </w:r>
          </w:p>
        </w:tc>
        <w:tc>
          <w:tcPr>
            <w:tcW w:w="915" w:type="dxa"/>
            <w:vAlign w:val="center"/>
          </w:tcPr>
          <w:p>
            <w:pPr>
              <w:adjustRightInd w:val="0"/>
              <w:snapToGrid w:val="0"/>
              <w:jc w:val="center"/>
              <w:rPr>
                <w:rFonts w:eastAsia="仿宋_GB2312"/>
                <w:szCs w:val="21"/>
              </w:rPr>
            </w:pPr>
            <w:r>
              <w:rPr>
                <w:rFonts w:hint="eastAsia" w:eastAsia="仿宋_GB2312"/>
                <w:szCs w:val="21"/>
              </w:rPr>
              <w:t xml:space="preserve">97.5 </w:t>
            </w:r>
          </w:p>
        </w:tc>
        <w:tc>
          <w:tcPr>
            <w:tcW w:w="839" w:type="dxa"/>
            <w:vAlign w:val="center"/>
          </w:tcPr>
          <w:p>
            <w:pPr>
              <w:adjustRightInd w:val="0"/>
              <w:snapToGrid w:val="0"/>
              <w:jc w:val="center"/>
              <w:rPr>
                <w:rFonts w:eastAsia="仿宋_GB2312"/>
                <w:szCs w:val="21"/>
              </w:rPr>
            </w:pPr>
            <w:r>
              <w:rPr>
                <w:rFonts w:hint="eastAsia" w:eastAsia="仿宋_GB2312"/>
                <w:szCs w:val="21"/>
              </w:rPr>
              <w:t xml:space="preserve">115 </w:t>
            </w:r>
          </w:p>
        </w:tc>
        <w:tc>
          <w:tcPr>
            <w:tcW w:w="1167" w:type="dxa"/>
            <w:vAlign w:val="center"/>
          </w:tcPr>
          <w:p>
            <w:pPr>
              <w:adjustRightInd w:val="0"/>
              <w:snapToGrid w:val="0"/>
              <w:jc w:val="center"/>
              <w:rPr>
                <w:rFonts w:eastAsia="仿宋_GB2312"/>
                <w:szCs w:val="21"/>
              </w:rPr>
            </w:pPr>
            <w:r>
              <w:rPr>
                <w:rFonts w:hint="eastAsia" w:eastAsia="仿宋_GB2312"/>
                <w:szCs w:val="21"/>
              </w:rPr>
              <w:t xml:space="preserve">101 </w:t>
            </w:r>
          </w:p>
        </w:tc>
        <w:tc>
          <w:tcPr>
            <w:tcW w:w="702" w:type="dxa"/>
            <w:vAlign w:val="center"/>
          </w:tcPr>
          <w:p>
            <w:pPr>
              <w:adjustRightInd w:val="0"/>
              <w:snapToGrid w:val="0"/>
              <w:jc w:val="center"/>
              <w:rPr>
                <w:rFonts w:eastAsia="仿宋_GB2312"/>
                <w:szCs w:val="21"/>
              </w:rPr>
            </w:pPr>
            <w:r>
              <w:rPr>
                <w:rFonts w:hint="eastAsia" w:eastAsia="仿宋_GB2312"/>
                <w:szCs w:val="21"/>
              </w:rPr>
              <w:t>-</w:t>
            </w:r>
          </w:p>
        </w:tc>
        <w:tc>
          <w:tcPr>
            <w:tcW w:w="703" w:type="dxa"/>
            <w:vAlign w:val="center"/>
          </w:tcPr>
          <w:p>
            <w:pPr>
              <w:adjustRightInd w:val="0"/>
              <w:snapToGrid w:val="0"/>
              <w:jc w:val="center"/>
              <w:rPr>
                <w:rFonts w:eastAsia="仿宋_GB2312"/>
                <w:szCs w:val="21"/>
              </w:rPr>
            </w:pPr>
            <w:r>
              <w:rPr>
                <w:rFonts w:hint="eastAsia" w:eastAsia="仿宋_GB2312"/>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754" w:type="dxa"/>
            <w:vAlign w:val="center"/>
          </w:tcPr>
          <w:p>
            <w:pPr>
              <w:adjustRightInd w:val="0"/>
              <w:snapToGrid w:val="0"/>
              <w:jc w:val="center"/>
              <w:rPr>
                <w:rFonts w:eastAsia="仿宋_GB2312"/>
                <w:szCs w:val="21"/>
              </w:rPr>
            </w:pPr>
            <w:r>
              <w:rPr>
                <w:rFonts w:hint="eastAsia" w:eastAsia="仿宋_GB2312"/>
                <w:szCs w:val="21"/>
              </w:rPr>
              <w:t>4-溴氟苯</w:t>
            </w:r>
          </w:p>
        </w:tc>
        <w:tc>
          <w:tcPr>
            <w:tcW w:w="527" w:type="dxa"/>
            <w:vAlign w:val="center"/>
          </w:tcPr>
          <w:p>
            <w:pPr>
              <w:adjustRightInd w:val="0"/>
              <w:snapToGrid w:val="0"/>
              <w:jc w:val="center"/>
              <w:rPr>
                <w:rFonts w:eastAsia="仿宋_GB2312"/>
                <w:szCs w:val="21"/>
              </w:rPr>
            </w:pPr>
            <w:r>
              <w:rPr>
                <w:rFonts w:eastAsia="仿宋_GB2312"/>
                <w:szCs w:val="21"/>
              </w:rPr>
              <w:t>%</w:t>
            </w:r>
          </w:p>
        </w:tc>
        <w:tc>
          <w:tcPr>
            <w:tcW w:w="545" w:type="dxa"/>
            <w:vAlign w:val="center"/>
          </w:tcPr>
          <w:p>
            <w:pPr>
              <w:adjustRightInd w:val="0"/>
              <w:snapToGrid w:val="0"/>
              <w:jc w:val="center"/>
              <w:rPr>
                <w:rFonts w:eastAsia="仿宋_GB2312"/>
                <w:szCs w:val="21"/>
              </w:rPr>
            </w:pPr>
            <w:r>
              <w:rPr>
                <w:rFonts w:hint="eastAsia" w:eastAsia="仿宋_GB2312"/>
                <w:szCs w:val="21"/>
              </w:rPr>
              <w:t>-</w:t>
            </w:r>
          </w:p>
        </w:tc>
        <w:tc>
          <w:tcPr>
            <w:tcW w:w="772" w:type="dxa"/>
            <w:vAlign w:val="center"/>
          </w:tcPr>
          <w:p>
            <w:pPr>
              <w:adjustRightInd w:val="0"/>
              <w:snapToGrid w:val="0"/>
              <w:jc w:val="center"/>
              <w:rPr>
                <w:rFonts w:eastAsia="仿宋_GB2312"/>
                <w:szCs w:val="21"/>
              </w:rPr>
            </w:pPr>
            <w:r>
              <w:rPr>
                <w:rFonts w:hint="eastAsia" w:eastAsia="仿宋_GB2312"/>
                <w:szCs w:val="21"/>
              </w:rPr>
              <w:t xml:space="preserve">105 </w:t>
            </w:r>
          </w:p>
        </w:tc>
        <w:tc>
          <w:tcPr>
            <w:tcW w:w="703" w:type="dxa"/>
            <w:vAlign w:val="center"/>
          </w:tcPr>
          <w:p>
            <w:pPr>
              <w:adjustRightInd w:val="0"/>
              <w:snapToGrid w:val="0"/>
              <w:jc w:val="center"/>
              <w:rPr>
                <w:rFonts w:eastAsia="仿宋_GB2312"/>
                <w:szCs w:val="21"/>
              </w:rPr>
            </w:pPr>
            <w:r>
              <w:rPr>
                <w:rFonts w:hint="eastAsia" w:eastAsia="仿宋_GB2312"/>
                <w:szCs w:val="21"/>
              </w:rPr>
              <w:t xml:space="preserve">105 </w:t>
            </w:r>
          </w:p>
        </w:tc>
        <w:tc>
          <w:tcPr>
            <w:tcW w:w="702" w:type="dxa"/>
            <w:vAlign w:val="center"/>
          </w:tcPr>
          <w:p>
            <w:pPr>
              <w:adjustRightInd w:val="0"/>
              <w:snapToGrid w:val="0"/>
              <w:jc w:val="center"/>
              <w:rPr>
                <w:rFonts w:eastAsia="仿宋_GB2312"/>
                <w:szCs w:val="21"/>
              </w:rPr>
            </w:pPr>
            <w:r>
              <w:rPr>
                <w:rFonts w:hint="eastAsia" w:eastAsia="仿宋_GB2312"/>
                <w:szCs w:val="21"/>
              </w:rPr>
              <w:t xml:space="preserve">111 </w:t>
            </w:r>
          </w:p>
        </w:tc>
        <w:tc>
          <w:tcPr>
            <w:tcW w:w="703" w:type="dxa"/>
            <w:vAlign w:val="center"/>
          </w:tcPr>
          <w:p>
            <w:pPr>
              <w:adjustRightInd w:val="0"/>
              <w:snapToGrid w:val="0"/>
              <w:jc w:val="center"/>
              <w:rPr>
                <w:rFonts w:eastAsia="仿宋_GB2312"/>
                <w:szCs w:val="21"/>
              </w:rPr>
            </w:pPr>
            <w:r>
              <w:rPr>
                <w:rFonts w:hint="eastAsia" w:eastAsia="仿宋_GB2312"/>
                <w:szCs w:val="21"/>
              </w:rPr>
              <w:t xml:space="preserve">102 </w:t>
            </w:r>
          </w:p>
        </w:tc>
        <w:tc>
          <w:tcPr>
            <w:tcW w:w="785" w:type="dxa"/>
            <w:vAlign w:val="center"/>
          </w:tcPr>
          <w:p>
            <w:pPr>
              <w:adjustRightInd w:val="0"/>
              <w:snapToGrid w:val="0"/>
              <w:jc w:val="center"/>
              <w:rPr>
                <w:rFonts w:eastAsia="仿宋_GB2312"/>
                <w:szCs w:val="21"/>
              </w:rPr>
            </w:pPr>
            <w:r>
              <w:rPr>
                <w:rFonts w:hint="eastAsia" w:eastAsia="仿宋_GB2312"/>
                <w:szCs w:val="21"/>
              </w:rPr>
              <w:t xml:space="preserve">107 </w:t>
            </w:r>
          </w:p>
        </w:tc>
        <w:tc>
          <w:tcPr>
            <w:tcW w:w="875" w:type="dxa"/>
            <w:vAlign w:val="center"/>
          </w:tcPr>
          <w:p>
            <w:pPr>
              <w:adjustRightInd w:val="0"/>
              <w:snapToGrid w:val="0"/>
              <w:jc w:val="center"/>
              <w:rPr>
                <w:rFonts w:eastAsia="仿宋_GB2312"/>
                <w:szCs w:val="21"/>
              </w:rPr>
            </w:pPr>
            <w:r>
              <w:rPr>
                <w:rFonts w:hint="eastAsia" w:eastAsia="仿宋_GB2312"/>
                <w:szCs w:val="21"/>
              </w:rPr>
              <w:t xml:space="preserve">106 </w:t>
            </w:r>
          </w:p>
        </w:tc>
        <w:tc>
          <w:tcPr>
            <w:tcW w:w="730" w:type="dxa"/>
            <w:vAlign w:val="center"/>
          </w:tcPr>
          <w:p>
            <w:pPr>
              <w:adjustRightInd w:val="0"/>
              <w:snapToGrid w:val="0"/>
              <w:jc w:val="center"/>
              <w:rPr>
                <w:rFonts w:eastAsia="仿宋_GB2312"/>
                <w:szCs w:val="21"/>
              </w:rPr>
            </w:pPr>
            <w:r>
              <w:rPr>
                <w:rFonts w:hint="eastAsia" w:eastAsia="仿宋_GB2312"/>
                <w:szCs w:val="21"/>
              </w:rPr>
              <w:t xml:space="preserve">103 </w:t>
            </w:r>
          </w:p>
        </w:tc>
        <w:tc>
          <w:tcPr>
            <w:tcW w:w="875" w:type="dxa"/>
            <w:vAlign w:val="center"/>
          </w:tcPr>
          <w:p>
            <w:pPr>
              <w:adjustRightInd w:val="0"/>
              <w:snapToGrid w:val="0"/>
              <w:jc w:val="center"/>
              <w:rPr>
                <w:rFonts w:eastAsia="仿宋_GB2312"/>
                <w:szCs w:val="21"/>
              </w:rPr>
            </w:pPr>
            <w:r>
              <w:rPr>
                <w:rFonts w:hint="eastAsia" w:eastAsia="仿宋_GB2312"/>
                <w:szCs w:val="21"/>
              </w:rPr>
              <w:t xml:space="preserve">107 </w:t>
            </w:r>
          </w:p>
        </w:tc>
        <w:tc>
          <w:tcPr>
            <w:tcW w:w="915" w:type="dxa"/>
            <w:vAlign w:val="center"/>
          </w:tcPr>
          <w:p>
            <w:pPr>
              <w:adjustRightInd w:val="0"/>
              <w:snapToGrid w:val="0"/>
              <w:jc w:val="center"/>
              <w:rPr>
                <w:rFonts w:eastAsia="仿宋_GB2312"/>
                <w:szCs w:val="21"/>
              </w:rPr>
            </w:pPr>
            <w:r>
              <w:rPr>
                <w:rFonts w:hint="eastAsia" w:eastAsia="仿宋_GB2312"/>
                <w:szCs w:val="21"/>
              </w:rPr>
              <w:t xml:space="preserve">105 </w:t>
            </w:r>
          </w:p>
        </w:tc>
        <w:tc>
          <w:tcPr>
            <w:tcW w:w="839" w:type="dxa"/>
            <w:vAlign w:val="center"/>
          </w:tcPr>
          <w:p>
            <w:pPr>
              <w:adjustRightInd w:val="0"/>
              <w:snapToGrid w:val="0"/>
              <w:jc w:val="center"/>
              <w:rPr>
                <w:rFonts w:eastAsia="仿宋_GB2312"/>
                <w:szCs w:val="21"/>
              </w:rPr>
            </w:pPr>
            <w:r>
              <w:rPr>
                <w:rFonts w:hint="eastAsia" w:eastAsia="仿宋_GB2312"/>
                <w:szCs w:val="21"/>
              </w:rPr>
              <w:t xml:space="preserve">109 </w:t>
            </w:r>
          </w:p>
        </w:tc>
        <w:tc>
          <w:tcPr>
            <w:tcW w:w="1167" w:type="dxa"/>
            <w:vAlign w:val="center"/>
          </w:tcPr>
          <w:p>
            <w:pPr>
              <w:adjustRightInd w:val="0"/>
              <w:snapToGrid w:val="0"/>
              <w:jc w:val="center"/>
              <w:rPr>
                <w:rFonts w:eastAsia="仿宋_GB2312"/>
                <w:szCs w:val="21"/>
              </w:rPr>
            </w:pPr>
            <w:r>
              <w:rPr>
                <w:rFonts w:hint="eastAsia" w:eastAsia="仿宋_GB2312"/>
                <w:szCs w:val="21"/>
              </w:rPr>
              <w:t xml:space="preserve">111 </w:t>
            </w:r>
          </w:p>
        </w:tc>
        <w:tc>
          <w:tcPr>
            <w:tcW w:w="702" w:type="dxa"/>
            <w:vAlign w:val="center"/>
          </w:tcPr>
          <w:p>
            <w:pPr>
              <w:adjustRightInd w:val="0"/>
              <w:snapToGrid w:val="0"/>
              <w:jc w:val="center"/>
              <w:rPr>
                <w:rFonts w:eastAsia="仿宋_GB2312"/>
                <w:szCs w:val="21"/>
              </w:rPr>
            </w:pPr>
            <w:r>
              <w:rPr>
                <w:rFonts w:hint="eastAsia" w:eastAsia="仿宋_GB2312"/>
                <w:szCs w:val="21"/>
              </w:rPr>
              <w:t>-</w:t>
            </w:r>
          </w:p>
        </w:tc>
        <w:tc>
          <w:tcPr>
            <w:tcW w:w="703" w:type="dxa"/>
            <w:vAlign w:val="center"/>
          </w:tcPr>
          <w:p>
            <w:pPr>
              <w:adjustRightInd w:val="0"/>
              <w:snapToGrid w:val="0"/>
              <w:jc w:val="center"/>
              <w:rPr>
                <w:rFonts w:eastAsia="仿宋_GB2312"/>
                <w:szCs w:val="21"/>
              </w:rPr>
            </w:pPr>
            <w:r>
              <w:rPr>
                <w:rFonts w:hint="eastAsia" w:eastAsia="仿宋_GB2312"/>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754" w:type="dxa"/>
            <w:vAlign w:val="center"/>
          </w:tcPr>
          <w:p>
            <w:pPr>
              <w:adjustRightInd w:val="0"/>
              <w:snapToGrid w:val="0"/>
              <w:jc w:val="center"/>
              <w:rPr>
                <w:rFonts w:eastAsia="仿宋_GB2312"/>
                <w:szCs w:val="21"/>
              </w:rPr>
            </w:pPr>
            <w:r>
              <w:rPr>
                <w:rFonts w:hint="eastAsia" w:eastAsia="仿宋_GB2312"/>
                <w:szCs w:val="21"/>
              </w:rPr>
              <w:t>间，对-二甲苯</w:t>
            </w:r>
          </w:p>
        </w:tc>
        <w:tc>
          <w:tcPr>
            <w:tcW w:w="527" w:type="dxa"/>
            <w:vAlign w:val="center"/>
          </w:tcPr>
          <w:p>
            <w:pPr>
              <w:adjustRightInd w:val="0"/>
              <w:snapToGrid w:val="0"/>
              <w:jc w:val="center"/>
              <w:rPr>
                <w:rFonts w:eastAsia="仿宋_GB2312"/>
                <w:szCs w:val="21"/>
              </w:rPr>
            </w:pPr>
            <w:r>
              <w:rPr>
                <w:rFonts w:hint="eastAsia" w:eastAsia="仿宋_GB2312"/>
                <w:szCs w:val="21"/>
              </w:rPr>
              <w:t>ug/kg</w:t>
            </w:r>
          </w:p>
        </w:tc>
        <w:tc>
          <w:tcPr>
            <w:tcW w:w="545" w:type="dxa"/>
            <w:vAlign w:val="center"/>
          </w:tcPr>
          <w:p>
            <w:pPr>
              <w:adjustRightInd w:val="0"/>
              <w:snapToGrid w:val="0"/>
              <w:jc w:val="center"/>
              <w:rPr>
                <w:rFonts w:eastAsia="仿宋_GB2312"/>
                <w:szCs w:val="21"/>
              </w:rPr>
            </w:pPr>
            <w:r>
              <w:rPr>
                <w:rFonts w:hint="eastAsia" w:eastAsia="仿宋_GB2312"/>
                <w:szCs w:val="21"/>
              </w:rPr>
              <w:t>1.2</w:t>
            </w:r>
          </w:p>
        </w:tc>
        <w:tc>
          <w:tcPr>
            <w:tcW w:w="772" w:type="dxa"/>
            <w:vAlign w:val="center"/>
          </w:tcPr>
          <w:p>
            <w:pPr>
              <w:adjustRightInd w:val="0"/>
              <w:snapToGrid w:val="0"/>
              <w:jc w:val="center"/>
              <w:rPr>
                <w:rFonts w:eastAsia="仿宋_GB2312"/>
                <w:szCs w:val="21"/>
              </w:rPr>
            </w:pPr>
            <w:r>
              <w:rPr>
                <w:rFonts w:hint="eastAsia" w:eastAsia="仿宋_GB2312"/>
                <w:szCs w:val="21"/>
              </w:rPr>
              <w:t>/</w:t>
            </w:r>
          </w:p>
        </w:tc>
        <w:tc>
          <w:tcPr>
            <w:tcW w:w="703" w:type="dxa"/>
            <w:vAlign w:val="center"/>
          </w:tcPr>
          <w:p>
            <w:pPr>
              <w:adjustRightInd w:val="0"/>
              <w:snapToGrid w:val="0"/>
              <w:jc w:val="center"/>
              <w:rPr>
                <w:rFonts w:eastAsia="仿宋_GB2312"/>
                <w:szCs w:val="21"/>
              </w:rPr>
            </w:pPr>
            <w:r>
              <w:rPr>
                <w:rFonts w:hint="eastAsia" w:eastAsia="仿宋_GB2312"/>
                <w:szCs w:val="21"/>
              </w:rPr>
              <w:t>/</w:t>
            </w:r>
          </w:p>
        </w:tc>
        <w:tc>
          <w:tcPr>
            <w:tcW w:w="702" w:type="dxa"/>
            <w:vAlign w:val="center"/>
          </w:tcPr>
          <w:p>
            <w:pPr>
              <w:adjustRightInd w:val="0"/>
              <w:snapToGrid w:val="0"/>
              <w:jc w:val="center"/>
              <w:rPr>
                <w:rFonts w:eastAsia="仿宋_GB2312"/>
                <w:szCs w:val="21"/>
              </w:rPr>
            </w:pPr>
            <w:r>
              <w:rPr>
                <w:rFonts w:hint="eastAsia" w:eastAsia="仿宋_GB2312"/>
                <w:szCs w:val="21"/>
              </w:rPr>
              <w:t>/</w:t>
            </w:r>
          </w:p>
        </w:tc>
        <w:tc>
          <w:tcPr>
            <w:tcW w:w="703" w:type="dxa"/>
            <w:vAlign w:val="center"/>
          </w:tcPr>
          <w:p>
            <w:pPr>
              <w:adjustRightInd w:val="0"/>
              <w:snapToGrid w:val="0"/>
              <w:jc w:val="center"/>
              <w:rPr>
                <w:rFonts w:eastAsia="仿宋_GB2312"/>
                <w:szCs w:val="21"/>
              </w:rPr>
            </w:pPr>
            <w:r>
              <w:rPr>
                <w:rFonts w:hint="eastAsia" w:eastAsia="仿宋_GB2312"/>
                <w:szCs w:val="21"/>
              </w:rPr>
              <w:t>/</w:t>
            </w:r>
          </w:p>
        </w:tc>
        <w:tc>
          <w:tcPr>
            <w:tcW w:w="785" w:type="dxa"/>
            <w:vAlign w:val="center"/>
          </w:tcPr>
          <w:p>
            <w:pPr>
              <w:adjustRightInd w:val="0"/>
              <w:snapToGrid w:val="0"/>
              <w:jc w:val="center"/>
              <w:rPr>
                <w:rFonts w:eastAsia="仿宋_GB2312"/>
                <w:szCs w:val="21"/>
              </w:rPr>
            </w:pPr>
            <w:r>
              <w:rPr>
                <w:rFonts w:hint="eastAsia" w:eastAsia="仿宋_GB2312"/>
                <w:szCs w:val="21"/>
              </w:rPr>
              <w:t>/</w:t>
            </w:r>
          </w:p>
        </w:tc>
        <w:tc>
          <w:tcPr>
            <w:tcW w:w="875" w:type="dxa"/>
            <w:vAlign w:val="center"/>
          </w:tcPr>
          <w:p>
            <w:pPr>
              <w:adjustRightInd w:val="0"/>
              <w:snapToGrid w:val="0"/>
              <w:jc w:val="center"/>
              <w:rPr>
                <w:rFonts w:eastAsia="仿宋_GB2312"/>
                <w:szCs w:val="21"/>
              </w:rPr>
            </w:pPr>
            <w:r>
              <w:rPr>
                <w:rFonts w:hint="eastAsia" w:eastAsia="仿宋_GB2312"/>
                <w:szCs w:val="21"/>
              </w:rPr>
              <w:t>/</w:t>
            </w:r>
          </w:p>
        </w:tc>
        <w:tc>
          <w:tcPr>
            <w:tcW w:w="730" w:type="dxa"/>
            <w:vAlign w:val="center"/>
          </w:tcPr>
          <w:p>
            <w:pPr>
              <w:adjustRightInd w:val="0"/>
              <w:snapToGrid w:val="0"/>
              <w:jc w:val="center"/>
              <w:rPr>
                <w:rFonts w:eastAsia="仿宋_GB2312"/>
                <w:szCs w:val="21"/>
              </w:rPr>
            </w:pPr>
            <w:r>
              <w:rPr>
                <w:rFonts w:hint="eastAsia" w:eastAsia="仿宋_GB2312"/>
                <w:szCs w:val="21"/>
              </w:rPr>
              <w:t>/</w:t>
            </w:r>
          </w:p>
        </w:tc>
        <w:tc>
          <w:tcPr>
            <w:tcW w:w="875" w:type="dxa"/>
            <w:vAlign w:val="center"/>
          </w:tcPr>
          <w:p>
            <w:pPr>
              <w:adjustRightInd w:val="0"/>
              <w:snapToGrid w:val="0"/>
              <w:jc w:val="center"/>
              <w:rPr>
                <w:rFonts w:eastAsia="仿宋_GB2312"/>
                <w:szCs w:val="21"/>
              </w:rPr>
            </w:pPr>
            <w:r>
              <w:rPr>
                <w:rFonts w:hint="eastAsia" w:eastAsia="仿宋_GB2312"/>
                <w:szCs w:val="21"/>
              </w:rPr>
              <w:t>/</w:t>
            </w:r>
          </w:p>
        </w:tc>
        <w:tc>
          <w:tcPr>
            <w:tcW w:w="915" w:type="dxa"/>
            <w:vAlign w:val="center"/>
          </w:tcPr>
          <w:p>
            <w:pPr>
              <w:adjustRightInd w:val="0"/>
              <w:snapToGrid w:val="0"/>
              <w:jc w:val="center"/>
              <w:rPr>
                <w:rFonts w:eastAsia="仿宋_GB2312"/>
                <w:szCs w:val="21"/>
              </w:rPr>
            </w:pPr>
            <w:r>
              <w:rPr>
                <w:rFonts w:hint="eastAsia" w:eastAsia="仿宋_GB2312"/>
                <w:szCs w:val="21"/>
              </w:rPr>
              <w:t>/</w:t>
            </w:r>
          </w:p>
        </w:tc>
        <w:tc>
          <w:tcPr>
            <w:tcW w:w="839" w:type="dxa"/>
            <w:vAlign w:val="center"/>
          </w:tcPr>
          <w:p>
            <w:pPr>
              <w:adjustRightInd w:val="0"/>
              <w:snapToGrid w:val="0"/>
              <w:jc w:val="center"/>
              <w:rPr>
                <w:rFonts w:eastAsia="仿宋_GB2312"/>
                <w:szCs w:val="21"/>
              </w:rPr>
            </w:pPr>
            <w:r>
              <w:rPr>
                <w:rFonts w:hint="eastAsia" w:eastAsia="仿宋_GB2312"/>
                <w:szCs w:val="21"/>
              </w:rPr>
              <w:t>/</w:t>
            </w:r>
          </w:p>
        </w:tc>
        <w:tc>
          <w:tcPr>
            <w:tcW w:w="1167" w:type="dxa"/>
            <w:vAlign w:val="center"/>
          </w:tcPr>
          <w:p>
            <w:pPr>
              <w:adjustRightInd w:val="0"/>
              <w:snapToGrid w:val="0"/>
              <w:jc w:val="center"/>
              <w:rPr>
                <w:rFonts w:eastAsia="仿宋_GB2312"/>
                <w:szCs w:val="21"/>
              </w:rPr>
            </w:pPr>
            <w:r>
              <w:rPr>
                <w:rFonts w:hint="eastAsia" w:eastAsia="仿宋_GB2312"/>
                <w:szCs w:val="21"/>
              </w:rPr>
              <w:t>/</w:t>
            </w:r>
          </w:p>
        </w:tc>
        <w:tc>
          <w:tcPr>
            <w:tcW w:w="702" w:type="dxa"/>
            <w:vAlign w:val="center"/>
          </w:tcPr>
          <w:p>
            <w:pPr>
              <w:adjustRightInd w:val="0"/>
              <w:snapToGrid w:val="0"/>
              <w:jc w:val="center"/>
              <w:rPr>
                <w:rFonts w:eastAsia="仿宋_GB2312"/>
                <w:szCs w:val="21"/>
              </w:rPr>
            </w:pPr>
            <w:r>
              <w:rPr>
                <w:rFonts w:hint="eastAsia" w:eastAsia="仿宋_GB2312"/>
                <w:szCs w:val="21"/>
              </w:rPr>
              <w:t>570</w:t>
            </w:r>
          </w:p>
        </w:tc>
        <w:tc>
          <w:tcPr>
            <w:tcW w:w="703" w:type="dxa"/>
            <w:vAlign w:val="center"/>
          </w:tcPr>
          <w:p>
            <w:pPr>
              <w:adjustRightInd w:val="0"/>
              <w:snapToGrid w:val="0"/>
              <w:jc w:val="center"/>
              <w:rPr>
                <w:rFonts w:eastAsia="仿宋_GB2312"/>
                <w:szCs w:val="21"/>
              </w:rPr>
            </w:pPr>
            <w:r>
              <w:rPr>
                <w:rFonts w:hint="eastAsia" w:eastAsia="仿宋_GB2312"/>
                <w:szCs w:val="21"/>
              </w:rPr>
              <w:t>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754" w:type="dxa"/>
            <w:vAlign w:val="center"/>
          </w:tcPr>
          <w:p>
            <w:pPr>
              <w:adjustRightInd w:val="0"/>
              <w:snapToGrid w:val="0"/>
              <w:jc w:val="center"/>
              <w:rPr>
                <w:rFonts w:eastAsia="仿宋_GB2312"/>
                <w:szCs w:val="21"/>
              </w:rPr>
            </w:pPr>
            <w:r>
              <w:rPr>
                <w:rFonts w:hint="eastAsia" w:eastAsia="仿宋_GB2312"/>
                <w:szCs w:val="21"/>
              </w:rPr>
              <w:t>邻二甲苯</w:t>
            </w:r>
          </w:p>
        </w:tc>
        <w:tc>
          <w:tcPr>
            <w:tcW w:w="527" w:type="dxa"/>
            <w:vAlign w:val="center"/>
          </w:tcPr>
          <w:p>
            <w:pPr>
              <w:adjustRightInd w:val="0"/>
              <w:snapToGrid w:val="0"/>
              <w:jc w:val="center"/>
              <w:rPr>
                <w:rFonts w:eastAsia="仿宋_GB2312"/>
                <w:szCs w:val="21"/>
              </w:rPr>
            </w:pPr>
            <w:r>
              <w:rPr>
                <w:rFonts w:hint="eastAsia" w:eastAsia="仿宋_GB2312"/>
                <w:szCs w:val="21"/>
              </w:rPr>
              <w:t>ug/kg</w:t>
            </w:r>
          </w:p>
        </w:tc>
        <w:tc>
          <w:tcPr>
            <w:tcW w:w="545" w:type="dxa"/>
            <w:vAlign w:val="center"/>
          </w:tcPr>
          <w:p>
            <w:pPr>
              <w:adjustRightInd w:val="0"/>
              <w:snapToGrid w:val="0"/>
              <w:jc w:val="center"/>
              <w:rPr>
                <w:rFonts w:eastAsia="仿宋_GB2312"/>
                <w:szCs w:val="21"/>
              </w:rPr>
            </w:pPr>
            <w:r>
              <w:rPr>
                <w:rFonts w:hint="eastAsia" w:eastAsia="仿宋_GB2312"/>
                <w:szCs w:val="21"/>
              </w:rPr>
              <w:t>1.2</w:t>
            </w:r>
          </w:p>
        </w:tc>
        <w:tc>
          <w:tcPr>
            <w:tcW w:w="772" w:type="dxa"/>
            <w:vAlign w:val="center"/>
          </w:tcPr>
          <w:p>
            <w:pPr>
              <w:adjustRightInd w:val="0"/>
              <w:snapToGrid w:val="0"/>
              <w:jc w:val="center"/>
              <w:rPr>
                <w:rFonts w:eastAsia="仿宋_GB2312"/>
                <w:szCs w:val="21"/>
              </w:rPr>
            </w:pPr>
            <w:r>
              <w:rPr>
                <w:rFonts w:hint="eastAsia" w:eastAsia="仿宋_GB2312"/>
                <w:szCs w:val="21"/>
              </w:rPr>
              <w:t>/</w:t>
            </w:r>
          </w:p>
        </w:tc>
        <w:tc>
          <w:tcPr>
            <w:tcW w:w="703" w:type="dxa"/>
            <w:vAlign w:val="center"/>
          </w:tcPr>
          <w:p>
            <w:pPr>
              <w:adjustRightInd w:val="0"/>
              <w:snapToGrid w:val="0"/>
              <w:jc w:val="center"/>
              <w:rPr>
                <w:rFonts w:eastAsia="仿宋_GB2312"/>
                <w:szCs w:val="21"/>
              </w:rPr>
            </w:pPr>
            <w:r>
              <w:rPr>
                <w:rFonts w:hint="eastAsia" w:eastAsia="仿宋_GB2312"/>
                <w:szCs w:val="21"/>
              </w:rPr>
              <w:t>/</w:t>
            </w:r>
          </w:p>
        </w:tc>
        <w:tc>
          <w:tcPr>
            <w:tcW w:w="702" w:type="dxa"/>
            <w:vAlign w:val="center"/>
          </w:tcPr>
          <w:p>
            <w:pPr>
              <w:adjustRightInd w:val="0"/>
              <w:snapToGrid w:val="0"/>
              <w:jc w:val="center"/>
              <w:rPr>
                <w:rFonts w:eastAsia="仿宋_GB2312"/>
                <w:szCs w:val="21"/>
              </w:rPr>
            </w:pPr>
            <w:r>
              <w:rPr>
                <w:rFonts w:hint="eastAsia" w:eastAsia="仿宋_GB2312"/>
                <w:szCs w:val="21"/>
              </w:rPr>
              <w:t>/</w:t>
            </w:r>
          </w:p>
        </w:tc>
        <w:tc>
          <w:tcPr>
            <w:tcW w:w="703" w:type="dxa"/>
            <w:vAlign w:val="center"/>
          </w:tcPr>
          <w:p>
            <w:pPr>
              <w:adjustRightInd w:val="0"/>
              <w:snapToGrid w:val="0"/>
              <w:jc w:val="center"/>
              <w:rPr>
                <w:rFonts w:eastAsia="仿宋_GB2312"/>
                <w:szCs w:val="21"/>
              </w:rPr>
            </w:pPr>
            <w:r>
              <w:rPr>
                <w:rFonts w:hint="eastAsia" w:eastAsia="仿宋_GB2312"/>
                <w:szCs w:val="21"/>
              </w:rPr>
              <w:t>/</w:t>
            </w:r>
          </w:p>
        </w:tc>
        <w:tc>
          <w:tcPr>
            <w:tcW w:w="785" w:type="dxa"/>
            <w:vAlign w:val="center"/>
          </w:tcPr>
          <w:p>
            <w:pPr>
              <w:adjustRightInd w:val="0"/>
              <w:snapToGrid w:val="0"/>
              <w:jc w:val="center"/>
              <w:rPr>
                <w:rFonts w:eastAsia="仿宋_GB2312"/>
                <w:szCs w:val="21"/>
              </w:rPr>
            </w:pPr>
            <w:r>
              <w:rPr>
                <w:rFonts w:hint="eastAsia" w:eastAsia="仿宋_GB2312"/>
                <w:szCs w:val="21"/>
              </w:rPr>
              <w:t>/</w:t>
            </w:r>
          </w:p>
        </w:tc>
        <w:tc>
          <w:tcPr>
            <w:tcW w:w="875" w:type="dxa"/>
            <w:vAlign w:val="center"/>
          </w:tcPr>
          <w:p>
            <w:pPr>
              <w:adjustRightInd w:val="0"/>
              <w:snapToGrid w:val="0"/>
              <w:jc w:val="center"/>
              <w:rPr>
                <w:rFonts w:eastAsia="仿宋_GB2312"/>
                <w:szCs w:val="21"/>
              </w:rPr>
            </w:pPr>
            <w:r>
              <w:rPr>
                <w:rFonts w:hint="eastAsia" w:eastAsia="仿宋_GB2312"/>
                <w:szCs w:val="21"/>
              </w:rPr>
              <w:t>/</w:t>
            </w:r>
          </w:p>
        </w:tc>
        <w:tc>
          <w:tcPr>
            <w:tcW w:w="730" w:type="dxa"/>
            <w:vAlign w:val="center"/>
          </w:tcPr>
          <w:p>
            <w:pPr>
              <w:adjustRightInd w:val="0"/>
              <w:snapToGrid w:val="0"/>
              <w:jc w:val="center"/>
              <w:rPr>
                <w:rFonts w:eastAsia="仿宋_GB2312"/>
                <w:szCs w:val="21"/>
              </w:rPr>
            </w:pPr>
            <w:r>
              <w:rPr>
                <w:rFonts w:hint="eastAsia" w:eastAsia="仿宋_GB2312"/>
                <w:szCs w:val="21"/>
              </w:rPr>
              <w:t>/</w:t>
            </w:r>
          </w:p>
        </w:tc>
        <w:tc>
          <w:tcPr>
            <w:tcW w:w="875" w:type="dxa"/>
            <w:vAlign w:val="center"/>
          </w:tcPr>
          <w:p>
            <w:pPr>
              <w:adjustRightInd w:val="0"/>
              <w:snapToGrid w:val="0"/>
              <w:jc w:val="center"/>
              <w:rPr>
                <w:rFonts w:eastAsia="仿宋_GB2312"/>
                <w:szCs w:val="21"/>
              </w:rPr>
            </w:pPr>
            <w:r>
              <w:rPr>
                <w:rFonts w:hint="eastAsia" w:eastAsia="仿宋_GB2312"/>
                <w:szCs w:val="21"/>
              </w:rPr>
              <w:t>/</w:t>
            </w:r>
          </w:p>
        </w:tc>
        <w:tc>
          <w:tcPr>
            <w:tcW w:w="915" w:type="dxa"/>
            <w:vAlign w:val="center"/>
          </w:tcPr>
          <w:p>
            <w:pPr>
              <w:adjustRightInd w:val="0"/>
              <w:snapToGrid w:val="0"/>
              <w:jc w:val="center"/>
              <w:rPr>
                <w:rFonts w:eastAsia="仿宋_GB2312"/>
                <w:szCs w:val="21"/>
              </w:rPr>
            </w:pPr>
            <w:r>
              <w:rPr>
                <w:rFonts w:hint="eastAsia" w:eastAsia="仿宋_GB2312"/>
                <w:szCs w:val="21"/>
              </w:rPr>
              <w:t>/</w:t>
            </w:r>
          </w:p>
        </w:tc>
        <w:tc>
          <w:tcPr>
            <w:tcW w:w="839" w:type="dxa"/>
            <w:vAlign w:val="center"/>
          </w:tcPr>
          <w:p>
            <w:pPr>
              <w:adjustRightInd w:val="0"/>
              <w:snapToGrid w:val="0"/>
              <w:jc w:val="center"/>
              <w:rPr>
                <w:rFonts w:eastAsia="仿宋_GB2312"/>
                <w:szCs w:val="21"/>
              </w:rPr>
            </w:pPr>
            <w:r>
              <w:rPr>
                <w:rFonts w:hint="eastAsia" w:eastAsia="仿宋_GB2312"/>
                <w:szCs w:val="21"/>
              </w:rPr>
              <w:t>/</w:t>
            </w:r>
          </w:p>
        </w:tc>
        <w:tc>
          <w:tcPr>
            <w:tcW w:w="1167" w:type="dxa"/>
            <w:vAlign w:val="center"/>
          </w:tcPr>
          <w:p>
            <w:pPr>
              <w:adjustRightInd w:val="0"/>
              <w:snapToGrid w:val="0"/>
              <w:jc w:val="center"/>
              <w:rPr>
                <w:rFonts w:eastAsia="仿宋_GB2312"/>
                <w:szCs w:val="21"/>
              </w:rPr>
            </w:pPr>
            <w:r>
              <w:rPr>
                <w:rFonts w:hint="eastAsia" w:eastAsia="仿宋_GB2312"/>
                <w:szCs w:val="21"/>
              </w:rPr>
              <w:t>/</w:t>
            </w:r>
          </w:p>
        </w:tc>
        <w:tc>
          <w:tcPr>
            <w:tcW w:w="702" w:type="dxa"/>
            <w:vAlign w:val="center"/>
          </w:tcPr>
          <w:p>
            <w:pPr>
              <w:adjustRightInd w:val="0"/>
              <w:snapToGrid w:val="0"/>
              <w:jc w:val="center"/>
              <w:rPr>
                <w:rFonts w:eastAsia="仿宋_GB2312"/>
                <w:szCs w:val="21"/>
              </w:rPr>
            </w:pPr>
            <w:r>
              <w:rPr>
                <w:rFonts w:hint="eastAsia" w:eastAsia="仿宋_GB2312"/>
                <w:szCs w:val="21"/>
              </w:rPr>
              <w:t>640</w:t>
            </w:r>
          </w:p>
        </w:tc>
        <w:tc>
          <w:tcPr>
            <w:tcW w:w="703" w:type="dxa"/>
            <w:vAlign w:val="center"/>
          </w:tcPr>
          <w:p>
            <w:pPr>
              <w:adjustRightInd w:val="0"/>
              <w:snapToGrid w:val="0"/>
              <w:jc w:val="center"/>
              <w:rPr>
                <w:rFonts w:eastAsia="仿宋_GB2312"/>
                <w:szCs w:val="21"/>
              </w:rPr>
            </w:pPr>
            <w:r>
              <w:rPr>
                <w:rFonts w:hint="eastAsia" w:eastAsia="仿宋_GB2312"/>
                <w:szCs w:val="21"/>
              </w:rPr>
              <w:t>640</w:t>
            </w:r>
          </w:p>
        </w:tc>
      </w:tr>
    </w:tbl>
    <w:p>
      <w:pPr>
        <w:spacing w:line="500" w:lineRule="exact"/>
        <w:ind w:firstLine="560" w:firstLineChars="200"/>
        <w:rPr>
          <w:rFonts w:eastAsia="仿宋_GB2312"/>
          <w:sz w:val="28"/>
        </w:rPr>
      </w:pPr>
      <w:r>
        <w:rPr>
          <w:rFonts w:eastAsia="仿宋_GB2312"/>
          <w:sz w:val="28"/>
        </w:rPr>
        <w:t>由</w:t>
      </w:r>
      <w:r>
        <w:rPr>
          <w:rFonts w:hint="eastAsia" w:eastAsia="仿宋_GB2312"/>
          <w:sz w:val="28"/>
        </w:rPr>
        <w:t>上</w:t>
      </w:r>
      <w:r>
        <w:rPr>
          <w:rFonts w:eastAsia="仿宋_GB2312"/>
          <w:sz w:val="28"/>
        </w:rPr>
        <w:t>表可见，</w:t>
      </w:r>
      <w:r>
        <w:rPr>
          <w:rFonts w:hint="eastAsia" w:eastAsia="仿宋_GB2312"/>
          <w:sz w:val="28"/>
        </w:rPr>
        <w:t>各</w:t>
      </w:r>
      <w:r>
        <w:rPr>
          <w:rFonts w:eastAsia="仿宋_GB2312"/>
          <w:sz w:val="28"/>
        </w:rPr>
        <w:t>点位所测各项土壤指标均符合《土壤环境质量</w:t>
      </w:r>
      <w:r>
        <w:rPr>
          <w:rFonts w:hint="eastAsia" w:eastAsia="仿宋_GB2312"/>
          <w:sz w:val="28"/>
        </w:rPr>
        <w:t xml:space="preserve"> </w:t>
      </w:r>
      <w:r>
        <w:rPr>
          <w:rFonts w:eastAsia="仿宋_GB2312"/>
          <w:sz w:val="28"/>
        </w:rPr>
        <w:t>建设用地土壤污染风险管控标准</w:t>
      </w:r>
      <w:r>
        <w:rPr>
          <w:rFonts w:hint="eastAsia" w:eastAsia="仿宋_GB2312"/>
          <w:bCs/>
          <w:sz w:val="28"/>
        </w:rPr>
        <w:t>（试行）</w:t>
      </w:r>
      <w:r>
        <w:rPr>
          <w:rFonts w:eastAsia="仿宋_GB2312"/>
          <w:sz w:val="28"/>
        </w:rPr>
        <w:t>》（GB36600-2018）中</w:t>
      </w:r>
      <w:r>
        <w:rPr>
          <w:rFonts w:hint="eastAsia" w:eastAsia="仿宋_GB2312"/>
          <w:sz w:val="28"/>
        </w:rPr>
        <w:t>第二类用地</w:t>
      </w:r>
      <w:r>
        <w:rPr>
          <w:rFonts w:eastAsia="仿宋_GB2312"/>
          <w:sz w:val="28"/>
        </w:rPr>
        <w:t>的筛选值，区域内土壤环境质量良好。</w:t>
      </w:r>
    </w:p>
    <w:p>
      <w:pPr>
        <w:pStyle w:val="45"/>
        <w:sectPr>
          <w:pgSz w:w="16838" w:h="11906" w:orient="landscape"/>
          <w:pgMar w:top="1440" w:right="1800" w:bottom="1440" w:left="1800" w:header="851" w:footer="992" w:gutter="0"/>
          <w:cols w:space="720" w:num="1"/>
          <w:docGrid w:linePitch="286" w:charSpace="0"/>
        </w:sectPr>
      </w:pPr>
    </w:p>
    <w:p>
      <w:pPr>
        <w:pStyle w:val="3"/>
        <w:numPr>
          <w:ilvl w:val="1"/>
          <w:numId w:val="12"/>
        </w:numPr>
        <w:spacing w:before="120" w:after="120"/>
      </w:pPr>
      <w:bookmarkStart w:id="322" w:name="_Toc140565269"/>
      <w:r>
        <w:t>区域污染源调查与评价</w:t>
      </w:r>
      <w:bookmarkEnd w:id="322"/>
    </w:p>
    <w:p>
      <w:pPr>
        <w:spacing w:line="500" w:lineRule="exact"/>
        <w:ind w:firstLine="560" w:firstLineChars="200"/>
        <w:rPr>
          <w:rFonts w:eastAsia="仿宋_GB2312"/>
          <w:sz w:val="28"/>
          <w:szCs w:val="28"/>
        </w:rPr>
        <w:sectPr>
          <w:pgSz w:w="11906" w:h="16838"/>
          <w:pgMar w:top="1800" w:right="1440" w:bottom="1800" w:left="1440" w:header="851" w:footer="992" w:gutter="0"/>
          <w:cols w:space="720" w:num="1"/>
        </w:sectPr>
      </w:pPr>
      <w:r>
        <w:rPr>
          <w:rFonts w:eastAsia="仿宋_GB2312"/>
          <w:sz w:val="28"/>
          <w:szCs w:val="28"/>
        </w:rPr>
        <w:t>根据现场踏勘调查和资料的收集，项目建设地周围地区主要污染源为废水和废气，在充分利用企业排污申报资料的基础上，结合实际调查，对该评价区内已建、在建和拟建项目的各污染源、污染因子、排放量进行核实和汇总，筛选出评价区域内的废气主要污染源和污染因子。</w:t>
      </w:r>
    </w:p>
    <w:p>
      <w:pPr>
        <w:pStyle w:val="4"/>
        <w:keepLines w:val="0"/>
        <w:numPr>
          <w:ilvl w:val="2"/>
          <w:numId w:val="12"/>
        </w:numPr>
        <w:tabs>
          <w:tab w:val="left" w:pos="709"/>
        </w:tabs>
        <w:spacing w:before="120" w:beforeLines="50" w:after="120" w:afterLines="50" w:line="500" w:lineRule="exact"/>
        <w:ind w:left="0" w:firstLine="0"/>
        <w:rPr>
          <w:rFonts w:eastAsia="仿宋_GB2312"/>
          <w:sz w:val="30"/>
          <w:szCs w:val="30"/>
        </w:rPr>
      </w:pPr>
      <w:r>
        <w:rPr>
          <w:rFonts w:eastAsia="仿宋_GB2312"/>
          <w:sz w:val="30"/>
          <w:szCs w:val="30"/>
        </w:rPr>
        <w:t>大气污染物现状调查与评价</w:t>
      </w:r>
    </w:p>
    <w:p>
      <w:pPr>
        <w:spacing w:line="480" w:lineRule="exact"/>
        <w:jc w:val="center"/>
        <w:rPr>
          <w:rFonts w:eastAsia="仿宋_GB2312"/>
          <w:b/>
          <w:sz w:val="24"/>
        </w:rPr>
      </w:pPr>
      <w:r>
        <w:rPr>
          <w:rFonts w:eastAsia="仿宋_GB2312"/>
          <w:b/>
          <w:sz w:val="24"/>
        </w:rPr>
        <w:t>表4.3-1  评价区域内现有主要大气污染源排放状况一览表</w:t>
      </w:r>
    </w:p>
    <w:tbl>
      <w:tblPr>
        <w:tblStyle w:val="87"/>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97"/>
        <w:gridCol w:w="2853"/>
        <w:gridCol w:w="846"/>
        <w:gridCol w:w="1164"/>
        <w:gridCol w:w="1164"/>
        <w:gridCol w:w="1164"/>
        <w:gridCol w:w="11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6" w:hRule="atLeast"/>
        </w:trPr>
        <w:tc>
          <w:tcPr>
            <w:tcW w:w="490"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序号</w:t>
            </w:r>
          </w:p>
        </w:tc>
        <w:tc>
          <w:tcPr>
            <w:tcW w:w="1547"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排污单位</w:t>
            </w:r>
          </w:p>
        </w:tc>
        <w:tc>
          <w:tcPr>
            <w:tcW w:w="429"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SO</w:t>
            </w:r>
            <w:r>
              <w:rPr>
                <w:rFonts w:ascii="仿宋" w:hAnsi="仿宋" w:eastAsia="仿宋"/>
                <w:kern w:val="0"/>
                <w:vertAlign w:val="subscript"/>
              </w:rPr>
              <w:t>2</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NOx</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烟（粉）尘</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HCl</w:t>
            </w:r>
          </w:p>
        </w:tc>
        <w:tc>
          <w:tcPr>
            <w:tcW w:w="628"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非甲烷总烃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 w:hRule="atLeast"/>
        </w:trPr>
        <w:tc>
          <w:tcPr>
            <w:tcW w:w="490"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1</w:t>
            </w:r>
          </w:p>
        </w:tc>
        <w:tc>
          <w:tcPr>
            <w:tcW w:w="1547"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中盐常州化工股份有限公司</w:t>
            </w:r>
          </w:p>
        </w:tc>
        <w:tc>
          <w:tcPr>
            <w:tcW w:w="429"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3.48</w:t>
            </w:r>
          </w:p>
        </w:tc>
        <w:tc>
          <w:tcPr>
            <w:tcW w:w="628"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 w:hRule="atLeast"/>
        </w:trPr>
        <w:tc>
          <w:tcPr>
            <w:tcW w:w="490"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2</w:t>
            </w:r>
          </w:p>
        </w:tc>
        <w:tc>
          <w:tcPr>
            <w:tcW w:w="1547"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中盐金坛盐化有限责任公司</w:t>
            </w:r>
          </w:p>
        </w:tc>
        <w:tc>
          <w:tcPr>
            <w:tcW w:w="429"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5.6</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2.6</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0.133</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628"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 w:hRule="atLeast"/>
        </w:trPr>
        <w:tc>
          <w:tcPr>
            <w:tcW w:w="490"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3</w:t>
            </w:r>
          </w:p>
        </w:tc>
        <w:tc>
          <w:tcPr>
            <w:tcW w:w="1547"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江苏海翔化工有限公司</w:t>
            </w:r>
          </w:p>
        </w:tc>
        <w:tc>
          <w:tcPr>
            <w:tcW w:w="429"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0.618</w:t>
            </w:r>
          </w:p>
        </w:tc>
        <w:tc>
          <w:tcPr>
            <w:tcW w:w="628"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 w:hRule="atLeast"/>
        </w:trPr>
        <w:tc>
          <w:tcPr>
            <w:tcW w:w="490"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4</w:t>
            </w:r>
          </w:p>
        </w:tc>
        <w:tc>
          <w:tcPr>
            <w:tcW w:w="1547"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常州亚邦制药有限公司</w:t>
            </w:r>
          </w:p>
        </w:tc>
        <w:tc>
          <w:tcPr>
            <w:tcW w:w="429"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4.25</w:t>
            </w:r>
          </w:p>
        </w:tc>
        <w:tc>
          <w:tcPr>
            <w:tcW w:w="628"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 w:hRule="atLeast"/>
        </w:trPr>
        <w:tc>
          <w:tcPr>
            <w:tcW w:w="490"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5</w:t>
            </w:r>
          </w:p>
        </w:tc>
        <w:tc>
          <w:tcPr>
            <w:tcW w:w="1547"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江苏省激素研究所股份有限公司</w:t>
            </w:r>
          </w:p>
        </w:tc>
        <w:tc>
          <w:tcPr>
            <w:tcW w:w="429"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2.25</w:t>
            </w:r>
          </w:p>
        </w:tc>
        <w:tc>
          <w:tcPr>
            <w:tcW w:w="628"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 w:hRule="atLeast"/>
        </w:trPr>
        <w:tc>
          <w:tcPr>
            <w:tcW w:w="490"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6</w:t>
            </w:r>
          </w:p>
        </w:tc>
        <w:tc>
          <w:tcPr>
            <w:tcW w:w="1547"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金坛市海林稀土有限公司</w:t>
            </w:r>
          </w:p>
        </w:tc>
        <w:tc>
          <w:tcPr>
            <w:tcW w:w="429"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1</w:t>
            </w:r>
          </w:p>
        </w:tc>
        <w:tc>
          <w:tcPr>
            <w:tcW w:w="628"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 w:hRule="atLeast"/>
        </w:trPr>
        <w:tc>
          <w:tcPr>
            <w:tcW w:w="490"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7</w:t>
            </w:r>
          </w:p>
        </w:tc>
        <w:tc>
          <w:tcPr>
            <w:tcW w:w="1547"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金坛天洋稀土有限公司</w:t>
            </w:r>
          </w:p>
        </w:tc>
        <w:tc>
          <w:tcPr>
            <w:tcW w:w="429"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0.582</w:t>
            </w:r>
          </w:p>
        </w:tc>
        <w:tc>
          <w:tcPr>
            <w:tcW w:w="628"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22.4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 w:hRule="atLeast"/>
        </w:trPr>
        <w:tc>
          <w:tcPr>
            <w:tcW w:w="490"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8</w:t>
            </w:r>
          </w:p>
        </w:tc>
        <w:tc>
          <w:tcPr>
            <w:tcW w:w="1547"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江苏金坛康达有限公司</w:t>
            </w:r>
          </w:p>
        </w:tc>
        <w:tc>
          <w:tcPr>
            <w:tcW w:w="429"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58.125</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163.25</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32.3</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628"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 w:hRule="atLeast"/>
        </w:trPr>
        <w:tc>
          <w:tcPr>
            <w:tcW w:w="490"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9</w:t>
            </w:r>
          </w:p>
        </w:tc>
        <w:tc>
          <w:tcPr>
            <w:tcW w:w="1547"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常州久日化学股份有限公司</w:t>
            </w:r>
          </w:p>
        </w:tc>
        <w:tc>
          <w:tcPr>
            <w:tcW w:w="429"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5.6</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0.277</w:t>
            </w:r>
          </w:p>
        </w:tc>
        <w:tc>
          <w:tcPr>
            <w:tcW w:w="628"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23.7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 w:hRule="atLeast"/>
        </w:trPr>
        <w:tc>
          <w:tcPr>
            <w:tcW w:w="490"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10</w:t>
            </w:r>
          </w:p>
        </w:tc>
        <w:tc>
          <w:tcPr>
            <w:tcW w:w="1547"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英格索兰（常州）工具有限公司</w:t>
            </w:r>
          </w:p>
        </w:tc>
        <w:tc>
          <w:tcPr>
            <w:tcW w:w="429"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0.02</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0.04</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0.04</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628"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 w:hRule="atLeast"/>
        </w:trPr>
        <w:tc>
          <w:tcPr>
            <w:tcW w:w="490"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11</w:t>
            </w:r>
          </w:p>
        </w:tc>
        <w:tc>
          <w:tcPr>
            <w:tcW w:w="1547"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苏拉（金坛）纺织机械有限公司</w:t>
            </w:r>
          </w:p>
        </w:tc>
        <w:tc>
          <w:tcPr>
            <w:tcW w:w="429"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6.1</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2</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628"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 w:hRule="atLeast"/>
        </w:trPr>
        <w:tc>
          <w:tcPr>
            <w:tcW w:w="490"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12</w:t>
            </w:r>
          </w:p>
        </w:tc>
        <w:tc>
          <w:tcPr>
            <w:tcW w:w="1547"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常州益鑫新能源科技有限公司</w:t>
            </w:r>
          </w:p>
        </w:tc>
        <w:tc>
          <w:tcPr>
            <w:tcW w:w="429"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0.002</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628"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 w:hRule="atLeast"/>
        </w:trPr>
        <w:tc>
          <w:tcPr>
            <w:tcW w:w="490"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13</w:t>
            </w:r>
          </w:p>
        </w:tc>
        <w:tc>
          <w:tcPr>
            <w:tcW w:w="1547"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金坛市塑料厂</w:t>
            </w:r>
          </w:p>
        </w:tc>
        <w:tc>
          <w:tcPr>
            <w:tcW w:w="429"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0.17</w:t>
            </w:r>
          </w:p>
        </w:tc>
        <w:tc>
          <w:tcPr>
            <w:tcW w:w="628"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 w:hRule="atLeast"/>
        </w:trPr>
        <w:tc>
          <w:tcPr>
            <w:tcW w:w="490"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14</w:t>
            </w:r>
          </w:p>
        </w:tc>
        <w:tc>
          <w:tcPr>
            <w:tcW w:w="1547"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金坛加怡热电有限公司</w:t>
            </w:r>
          </w:p>
        </w:tc>
        <w:tc>
          <w:tcPr>
            <w:tcW w:w="429"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448.11</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688.26</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203.9</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628"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 w:hRule="atLeast"/>
        </w:trPr>
        <w:tc>
          <w:tcPr>
            <w:tcW w:w="490" w:type="pct"/>
            <w:shd w:val="clear" w:color="auto" w:fill="auto"/>
            <w:noWrap/>
            <w:vAlign w:val="center"/>
          </w:tcPr>
          <w:p>
            <w:pPr>
              <w:widowControl/>
              <w:spacing w:line="320" w:lineRule="exact"/>
              <w:jc w:val="center"/>
              <w:rPr>
                <w:rFonts w:ascii="仿宋" w:hAnsi="仿宋" w:eastAsia="仿宋"/>
                <w:kern w:val="0"/>
                <w:sz w:val="22"/>
                <w:szCs w:val="22"/>
              </w:rPr>
            </w:pPr>
            <w:r>
              <w:rPr>
                <w:rFonts w:ascii="仿宋" w:hAnsi="仿宋" w:eastAsia="仿宋"/>
                <w:kern w:val="0"/>
                <w:sz w:val="22"/>
                <w:szCs w:val="22"/>
              </w:rPr>
              <w:t>15</w:t>
            </w:r>
          </w:p>
        </w:tc>
        <w:tc>
          <w:tcPr>
            <w:tcW w:w="1547"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金坛市鑫海毛纺有限公司</w:t>
            </w:r>
          </w:p>
        </w:tc>
        <w:tc>
          <w:tcPr>
            <w:tcW w:w="429"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7.3</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2.4</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628"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1" w:hRule="atLeast"/>
        </w:trPr>
        <w:tc>
          <w:tcPr>
            <w:tcW w:w="490"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16</w:t>
            </w:r>
          </w:p>
        </w:tc>
        <w:tc>
          <w:tcPr>
            <w:tcW w:w="1547"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江苏常宝普莱森钢管有限公司</w:t>
            </w:r>
          </w:p>
        </w:tc>
        <w:tc>
          <w:tcPr>
            <w:tcW w:w="429"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21.22</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24.43</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628"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 w:hRule="atLeast"/>
        </w:trPr>
        <w:tc>
          <w:tcPr>
            <w:tcW w:w="490"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17</w:t>
            </w:r>
          </w:p>
        </w:tc>
        <w:tc>
          <w:tcPr>
            <w:tcW w:w="1547"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常州华盛恒能光电股份有限公司</w:t>
            </w:r>
          </w:p>
        </w:tc>
        <w:tc>
          <w:tcPr>
            <w:tcW w:w="429"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0.002</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1.32</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1.2</w:t>
            </w:r>
          </w:p>
        </w:tc>
        <w:tc>
          <w:tcPr>
            <w:tcW w:w="628"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rPr>
        <w:tc>
          <w:tcPr>
            <w:tcW w:w="490"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18</w:t>
            </w:r>
          </w:p>
        </w:tc>
        <w:tc>
          <w:tcPr>
            <w:tcW w:w="1547"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中策橡胶(金坛)有限公司</w:t>
            </w:r>
          </w:p>
        </w:tc>
        <w:tc>
          <w:tcPr>
            <w:tcW w:w="429"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144.07</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179.16</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38.409</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628"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19.77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 w:hRule="atLeast"/>
        </w:trPr>
        <w:tc>
          <w:tcPr>
            <w:tcW w:w="490"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19</w:t>
            </w:r>
          </w:p>
        </w:tc>
        <w:tc>
          <w:tcPr>
            <w:tcW w:w="1547"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江苏蓝色星球环保新材料有限公司</w:t>
            </w:r>
          </w:p>
        </w:tc>
        <w:tc>
          <w:tcPr>
            <w:tcW w:w="429"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2.704</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29.72</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3.655</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0.054</w:t>
            </w:r>
          </w:p>
        </w:tc>
        <w:tc>
          <w:tcPr>
            <w:tcW w:w="628"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12.4145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 w:hRule="atLeast"/>
        </w:trPr>
        <w:tc>
          <w:tcPr>
            <w:tcW w:w="490"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20</w:t>
            </w:r>
          </w:p>
        </w:tc>
        <w:tc>
          <w:tcPr>
            <w:tcW w:w="1547"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江苏飞马催化剂有限公司</w:t>
            </w:r>
          </w:p>
        </w:tc>
        <w:tc>
          <w:tcPr>
            <w:tcW w:w="429"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1.23</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15.098</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1.356</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1.01</w:t>
            </w:r>
          </w:p>
        </w:tc>
        <w:tc>
          <w:tcPr>
            <w:tcW w:w="628"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 w:hRule="atLeast"/>
        </w:trPr>
        <w:tc>
          <w:tcPr>
            <w:tcW w:w="490"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21</w:t>
            </w:r>
          </w:p>
        </w:tc>
        <w:tc>
          <w:tcPr>
            <w:tcW w:w="1547"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常州市和润环保科技有限公司</w:t>
            </w:r>
          </w:p>
        </w:tc>
        <w:tc>
          <w:tcPr>
            <w:tcW w:w="429"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34.53</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82.87</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10.36</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5.732</w:t>
            </w:r>
          </w:p>
        </w:tc>
        <w:tc>
          <w:tcPr>
            <w:tcW w:w="628"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1.119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 w:hRule="atLeast"/>
        </w:trPr>
        <w:tc>
          <w:tcPr>
            <w:tcW w:w="490"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22</w:t>
            </w:r>
          </w:p>
        </w:tc>
        <w:tc>
          <w:tcPr>
            <w:tcW w:w="1547"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江苏晶久微电子材料有限公司</w:t>
            </w:r>
          </w:p>
        </w:tc>
        <w:tc>
          <w:tcPr>
            <w:tcW w:w="429"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24.67</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0.42</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628"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 w:hRule="atLeast"/>
        </w:trPr>
        <w:tc>
          <w:tcPr>
            <w:tcW w:w="490"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23</w:t>
            </w:r>
          </w:p>
        </w:tc>
        <w:tc>
          <w:tcPr>
            <w:tcW w:w="1547"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常州菲纳斯能源科技有限公司</w:t>
            </w:r>
          </w:p>
        </w:tc>
        <w:tc>
          <w:tcPr>
            <w:tcW w:w="429"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3.293</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4.478</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0.129</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628"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0.238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 w:hRule="atLeast"/>
        </w:trPr>
        <w:tc>
          <w:tcPr>
            <w:tcW w:w="490"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24</w:t>
            </w:r>
          </w:p>
        </w:tc>
        <w:tc>
          <w:tcPr>
            <w:tcW w:w="1547"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江苏大唐国际金坛燃气热电有限公司</w:t>
            </w:r>
          </w:p>
        </w:tc>
        <w:tc>
          <w:tcPr>
            <w:tcW w:w="429"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402.07</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1597.89</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628"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 w:hRule="atLeast"/>
        </w:trPr>
        <w:tc>
          <w:tcPr>
            <w:tcW w:w="490"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25</w:t>
            </w:r>
          </w:p>
        </w:tc>
        <w:tc>
          <w:tcPr>
            <w:tcW w:w="1547"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常州江环能源科技有限公司</w:t>
            </w:r>
          </w:p>
        </w:tc>
        <w:tc>
          <w:tcPr>
            <w:tcW w:w="429"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0.09</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0.880</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0.070</w:t>
            </w:r>
          </w:p>
        </w:tc>
        <w:tc>
          <w:tcPr>
            <w:tcW w:w="63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628"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8.14</w:t>
            </w:r>
          </w:p>
        </w:tc>
      </w:tr>
    </w:tbl>
    <w:p>
      <w:pPr>
        <w:pStyle w:val="50"/>
        <w:adjustRightInd w:val="0"/>
        <w:snapToGrid w:val="0"/>
        <w:rPr>
          <w:szCs w:val="28"/>
        </w:rPr>
      </w:pPr>
      <w:r>
        <w:rPr>
          <w:szCs w:val="28"/>
        </w:rPr>
        <w:t>由上表可知，评价区域内主要大气污染源是江苏大唐国际金坛燃气热电有限公司、金坛加怡热电有限公司以及中策橡胶（金坛）有限公司，主要大气污染物是SO</w:t>
      </w:r>
      <w:r>
        <w:rPr>
          <w:szCs w:val="28"/>
          <w:vertAlign w:val="subscript"/>
        </w:rPr>
        <w:t>2</w:t>
      </w:r>
      <w:r>
        <w:rPr>
          <w:szCs w:val="28"/>
        </w:rPr>
        <w:t>、NO</w:t>
      </w:r>
      <w:r>
        <w:rPr>
          <w:szCs w:val="28"/>
          <w:vertAlign w:val="subscript"/>
        </w:rPr>
        <w:t>x</w:t>
      </w:r>
      <w:r>
        <w:rPr>
          <w:szCs w:val="28"/>
        </w:rPr>
        <w:t>和烟（粉）尘。</w:t>
      </w:r>
    </w:p>
    <w:p>
      <w:pPr>
        <w:spacing w:line="500" w:lineRule="exact"/>
        <w:ind w:firstLine="560" w:firstLineChars="200"/>
        <w:rPr>
          <w:rFonts w:eastAsia="仿宋_GB2312"/>
          <w:sz w:val="28"/>
          <w:szCs w:val="28"/>
        </w:rPr>
        <w:sectPr>
          <w:pgSz w:w="11906" w:h="16838"/>
          <w:pgMar w:top="1800" w:right="1440" w:bottom="1800" w:left="1440" w:header="851" w:footer="992" w:gutter="0"/>
          <w:cols w:space="720" w:num="1"/>
          <w:docGrid w:linePitch="286" w:charSpace="0"/>
        </w:sectPr>
      </w:pPr>
      <w:r>
        <w:rPr>
          <w:rFonts w:eastAsia="仿宋_GB2312"/>
          <w:sz w:val="28"/>
          <w:szCs w:val="28"/>
        </w:rPr>
        <w:t>。</w:t>
      </w:r>
    </w:p>
    <w:p>
      <w:pPr>
        <w:pStyle w:val="4"/>
        <w:keepLines w:val="0"/>
        <w:numPr>
          <w:ilvl w:val="2"/>
          <w:numId w:val="12"/>
        </w:numPr>
        <w:tabs>
          <w:tab w:val="left" w:pos="709"/>
        </w:tabs>
        <w:spacing w:before="0" w:after="120" w:afterLines="50" w:line="500" w:lineRule="exact"/>
        <w:ind w:left="0" w:firstLine="0"/>
        <w:rPr>
          <w:rFonts w:eastAsia="仿宋_GB2312"/>
          <w:sz w:val="30"/>
          <w:szCs w:val="30"/>
        </w:rPr>
      </w:pPr>
      <w:r>
        <w:rPr>
          <w:rFonts w:eastAsia="仿宋_GB2312"/>
          <w:sz w:val="30"/>
          <w:szCs w:val="30"/>
        </w:rPr>
        <w:t>水污染物现状调查与评价</w:t>
      </w:r>
    </w:p>
    <w:p>
      <w:pPr>
        <w:spacing w:line="500" w:lineRule="exact"/>
        <w:ind w:firstLine="560" w:firstLineChars="200"/>
        <w:rPr>
          <w:rFonts w:eastAsia="仿宋_GB2312"/>
          <w:sz w:val="28"/>
          <w:szCs w:val="28"/>
        </w:rPr>
      </w:pPr>
      <w:r>
        <w:rPr>
          <w:rFonts w:eastAsia="仿宋_GB2312"/>
          <w:sz w:val="28"/>
          <w:szCs w:val="28"/>
        </w:rPr>
        <w:t>根据现状调查，区域废水污染物排放状况见表4.3-2。</w:t>
      </w:r>
    </w:p>
    <w:p>
      <w:pPr>
        <w:spacing w:line="500" w:lineRule="exact"/>
        <w:jc w:val="center"/>
        <w:rPr>
          <w:rFonts w:eastAsia="仿宋_GB2312"/>
          <w:b/>
          <w:sz w:val="24"/>
        </w:rPr>
      </w:pPr>
      <w:r>
        <w:rPr>
          <w:rFonts w:eastAsia="仿宋_GB2312"/>
          <w:b/>
          <w:sz w:val="24"/>
        </w:rPr>
        <w:t>表4.3-2   评价区废水污染物排放现状一览表</w:t>
      </w:r>
    </w:p>
    <w:tbl>
      <w:tblPr>
        <w:tblStyle w:val="87"/>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26"/>
        <w:gridCol w:w="2687"/>
        <w:gridCol w:w="951"/>
        <w:gridCol w:w="951"/>
        <w:gridCol w:w="846"/>
        <w:gridCol w:w="846"/>
        <w:gridCol w:w="846"/>
        <w:gridCol w:w="846"/>
        <w:gridCol w:w="4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5" w:hRule="atLeast"/>
        </w:trPr>
        <w:tc>
          <w:tcPr>
            <w:tcW w:w="241" w:type="pct"/>
            <w:shd w:val="clear" w:color="auto" w:fill="auto"/>
            <w:vAlign w:val="center"/>
          </w:tcPr>
          <w:p>
            <w:pPr>
              <w:widowControl/>
              <w:spacing w:line="320" w:lineRule="exact"/>
              <w:jc w:val="center"/>
              <w:rPr>
                <w:rFonts w:ascii="仿宋" w:hAnsi="仿宋" w:eastAsia="仿宋"/>
                <w:bCs/>
                <w:kern w:val="0"/>
              </w:rPr>
            </w:pPr>
            <w:r>
              <w:rPr>
                <w:rFonts w:ascii="仿宋" w:hAnsi="仿宋" w:eastAsia="仿宋"/>
                <w:bCs/>
                <w:kern w:val="0"/>
              </w:rPr>
              <w:t>序号</w:t>
            </w:r>
          </w:p>
        </w:tc>
        <w:tc>
          <w:tcPr>
            <w:tcW w:w="1643" w:type="pct"/>
            <w:shd w:val="clear" w:color="auto" w:fill="auto"/>
            <w:vAlign w:val="center"/>
          </w:tcPr>
          <w:p>
            <w:pPr>
              <w:widowControl/>
              <w:spacing w:line="320" w:lineRule="exact"/>
              <w:jc w:val="center"/>
              <w:rPr>
                <w:rFonts w:ascii="仿宋" w:hAnsi="仿宋" w:eastAsia="仿宋"/>
                <w:bCs/>
                <w:kern w:val="0"/>
              </w:rPr>
            </w:pPr>
            <w:r>
              <w:rPr>
                <w:rFonts w:ascii="仿宋" w:hAnsi="仿宋" w:eastAsia="仿宋"/>
                <w:bCs/>
                <w:kern w:val="0"/>
              </w:rPr>
              <w:t>排污单位</w:t>
            </w:r>
          </w:p>
        </w:tc>
        <w:tc>
          <w:tcPr>
            <w:tcW w:w="527" w:type="pct"/>
            <w:shd w:val="clear" w:color="auto" w:fill="auto"/>
            <w:vAlign w:val="center"/>
          </w:tcPr>
          <w:p>
            <w:pPr>
              <w:widowControl/>
              <w:spacing w:line="320" w:lineRule="exact"/>
              <w:jc w:val="center"/>
              <w:rPr>
                <w:rFonts w:ascii="仿宋" w:hAnsi="仿宋" w:eastAsia="仿宋"/>
                <w:bCs/>
                <w:kern w:val="0"/>
              </w:rPr>
            </w:pPr>
            <w:r>
              <w:rPr>
                <w:rFonts w:ascii="仿宋" w:hAnsi="仿宋" w:eastAsia="仿宋"/>
                <w:bCs/>
                <w:kern w:val="0"/>
              </w:rPr>
              <w:t>排放量</w:t>
            </w:r>
          </w:p>
          <w:p>
            <w:pPr>
              <w:widowControl/>
              <w:spacing w:line="320" w:lineRule="exact"/>
              <w:jc w:val="center"/>
              <w:rPr>
                <w:rFonts w:ascii="仿宋" w:hAnsi="仿宋" w:eastAsia="仿宋"/>
                <w:bCs/>
                <w:kern w:val="0"/>
              </w:rPr>
            </w:pPr>
            <w:r>
              <w:rPr>
                <w:rFonts w:ascii="仿宋" w:hAnsi="仿宋" w:eastAsia="仿宋"/>
                <w:bCs/>
                <w:kern w:val="0"/>
              </w:rPr>
              <w:t>(万m</w:t>
            </w:r>
            <w:r>
              <w:rPr>
                <w:rFonts w:ascii="仿宋" w:hAnsi="仿宋" w:eastAsia="仿宋"/>
                <w:bCs/>
                <w:kern w:val="0"/>
                <w:vertAlign w:val="superscript"/>
              </w:rPr>
              <w:t>3</w:t>
            </w:r>
            <w:r>
              <w:rPr>
                <w:rFonts w:ascii="仿宋" w:hAnsi="仿宋" w:eastAsia="仿宋"/>
                <w:bCs/>
                <w:kern w:val="0"/>
              </w:rPr>
              <w:t>/a)</w:t>
            </w:r>
          </w:p>
        </w:tc>
        <w:tc>
          <w:tcPr>
            <w:tcW w:w="444" w:type="pct"/>
            <w:shd w:val="clear" w:color="auto" w:fill="auto"/>
            <w:vAlign w:val="center"/>
          </w:tcPr>
          <w:p>
            <w:pPr>
              <w:widowControl/>
              <w:spacing w:line="320" w:lineRule="exact"/>
              <w:jc w:val="center"/>
              <w:rPr>
                <w:rFonts w:ascii="仿宋" w:hAnsi="仿宋" w:eastAsia="仿宋"/>
                <w:bCs/>
                <w:kern w:val="0"/>
              </w:rPr>
            </w:pPr>
            <w:r>
              <w:rPr>
                <w:rFonts w:ascii="仿宋" w:hAnsi="仿宋" w:eastAsia="仿宋"/>
                <w:bCs/>
                <w:kern w:val="0"/>
              </w:rPr>
              <w:t>COD</w:t>
            </w:r>
          </w:p>
        </w:tc>
        <w:tc>
          <w:tcPr>
            <w:tcW w:w="461" w:type="pct"/>
            <w:shd w:val="clear" w:color="auto" w:fill="auto"/>
            <w:vAlign w:val="center"/>
          </w:tcPr>
          <w:p>
            <w:pPr>
              <w:widowControl/>
              <w:spacing w:line="320" w:lineRule="exact"/>
              <w:jc w:val="center"/>
              <w:rPr>
                <w:rFonts w:ascii="仿宋" w:hAnsi="仿宋" w:eastAsia="仿宋"/>
                <w:bCs/>
                <w:kern w:val="0"/>
              </w:rPr>
            </w:pPr>
            <w:r>
              <w:rPr>
                <w:rFonts w:ascii="仿宋" w:hAnsi="仿宋" w:eastAsia="仿宋"/>
                <w:bCs/>
                <w:kern w:val="0"/>
              </w:rPr>
              <w:t>NH</w:t>
            </w:r>
            <w:r>
              <w:rPr>
                <w:rFonts w:ascii="仿宋" w:hAnsi="仿宋" w:eastAsia="仿宋"/>
                <w:bCs/>
                <w:kern w:val="0"/>
                <w:vertAlign w:val="subscript"/>
              </w:rPr>
              <w:t>3</w:t>
            </w:r>
            <w:r>
              <w:rPr>
                <w:rFonts w:ascii="仿宋" w:hAnsi="仿宋" w:eastAsia="仿宋"/>
                <w:bCs/>
                <w:kern w:val="0"/>
              </w:rPr>
              <w:t>-N</w:t>
            </w:r>
          </w:p>
        </w:tc>
        <w:tc>
          <w:tcPr>
            <w:tcW w:w="444" w:type="pct"/>
            <w:shd w:val="clear" w:color="auto" w:fill="auto"/>
            <w:vAlign w:val="center"/>
          </w:tcPr>
          <w:p>
            <w:pPr>
              <w:widowControl/>
              <w:spacing w:line="320" w:lineRule="exact"/>
              <w:jc w:val="center"/>
              <w:rPr>
                <w:rFonts w:ascii="仿宋" w:hAnsi="仿宋" w:eastAsia="仿宋"/>
                <w:bCs/>
                <w:kern w:val="0"/>
              </w:rPr>
            </w:pPr>
            <w:r>
              <w:rPr>
                <w:rFonts w:ascii="仿宋" w:hAnsi="仿宋" w:eastAsia="仿宋"/>
                <w:bCs/>
                <w:kern w:val="0"/>
              </w:rPr>
              <w:t>TP</w:t>
            </w:r>
          </w:p>
        </w:tc>
        <w:tc>
          <w:tcPr>
            <w:tcW w:w="444" w:type="pct"/>
            <w:shd w:val="clear" w:color="auto" w:fill="auto"/>
            <w:vAlign w:val="center"/>
          </w:tcPr>
          <w:p>
            <w:pPr>
              <w:widowControl/>
              <w:spacing w:line="320" w:lineRule="exact"/>
              <w:jc w:val="center"/>
              <w:rPr>
                <w:rFonts w:ascii="仿宋" w:hAnsi="仿宋" w:eastAsia="仿宋"/>
                <w:bCs/>
                <w:kern w:val="0"/>
              </w:rPr>
            </w:pPr>
            <w:r>
              <w:rPr>
                <w:rFonts w:ascii="仿宋" w:hAnsi="仿宋" w:eastAsia="仿宋"/>
                <w:bCs/>
                <w:kern w:val="0"/>
              </w:rPr>
              <w:t>SS</w:t>
            </w:r>
          </w:p>
        </w:tc>
        <w:tc>
          <w:tcPr>
            <w:tcW w:w="444" w:type="pct"/>
            <w:shd w:val="clear" w:color="auto" w:fill="auto"/>
            <w:vAlign w:val="center"/>
          </w:tcPr>
          <w:p>
            <w:pPr>
              <w:widowControl/>
              <w:spacing w:line="320" w:lineRule="exact"/>
              <w:jc w:val="center"/>
              <w:rPr>
                <w:rFonts w:ascii="仿宋" w:hAnsi="仿宋" w:eastAsia="仿宋"/>
                <w:bCs/>
                <w:kern w:val="0"/>
              </w:rPr>
            </w:pPr>
            <w:r>
              <w:rPr>
                <w:rFonts w:ascii="仿宋" w:hAnsi="仿宋" w:eastAsia="仿宋"/>
                <w:bCs/>
                <w:kern w:val="0"/>
              </w:rPr>
              <w:t>石油类</w:t>
            </w:r>
          </w:p>
        </w:tc>
        <w:tc>
          <w:tcPr>
            <w:tcW w:w="352" w:type="pct"/>
            <w:shd w:val="clear" w:color="auto" w:fill="auto"/>
            <w:vAlign w:val="center"/>
          </w:tcPr>
          <w:p>
            <w:pPr>
              <w:widowControl/>
              <w:spacing w:line="320" w:lineRule="exact"/>
              <w:jc w:val="center"/>
              <w:rPr>
                <w:rFonts w:ascii="仿宋" w:hAnsi="仿宋" w:eastAsia="仿宋"/>
                <w:bCs/>
                <w:kern w:val="0"/>
              </w:rPr>
            </w:pPr>
            <w:r>
              <w:rPr>
                <w:rFonts w:ascii="仿宋" w:hAnsi="仿宋" w:eastAsia="仿宋"/>
                <w:bCs/>
                <w:kern w:val="0"/>
              </w:rPr>
              <w:t>排放去向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 w:hRule="atLeast"/>
        </w:trPr>
        <w:tc>
          <w:tcPr>
            <w:tcW w:w="241"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1</w:t>
            </w:r>
          </w:p>
        </w:tc>
        <w:tc>
          <w:tcPr>
            <w:tcW w:w="1643"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中盐常州化工股份有限公司</w:t>
            </w:r>
          </w:p>
        </w:tc>
        <w:tc>
          <w:tcPr>
            <w:tcW w:w="527"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53.2335</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52.222</w:t>
            </w:r>
          </w:p>
        </w:tc>
        <w:tc>
          <w:tcPr>
            <w:tcW w:w="461"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0.686</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0.138</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61.33</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0.384</w:t>
            </w:r>
          </w:p>
        </w:tc>
        <w:tc>
          <w:tcPr>
            <w:tcW w:w="352" w:type="pct"/>
            <w:vMerge w:val="restar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常州金坛区第二污水处理有限公司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 w:hRule="atLeast"/>
        </w:trPr>
        <w:tc>
          <w:tcPr>
            <w:tcW w:w="241"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2</w:t>
            </w:r>
          </w:p>
        </w:tc>
        <w:tc>
          <w:tcPr>
            <w:tcW w:w="1643"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中盐金坛盐化有限公司</w:t>
            </w:r>
          </w:p>
        </w:tc>
        <w:tc>
          <w:tcPr>
            <w:tcW w:w="527"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0.46</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1.78</w:t>
            </w:r>
          </w:p>
        </w:tc>
        <w:tc>
          <w:tcPr>
            <w:tcW w:w="461"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0.12</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0.008</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1.18</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0.0063</w:t>
            </w:r>
          </w:p>
        </w:tc>
        <w:tc>
          <w:tcPr>
            <w:tcW w:w="352" w:type="pct"/>
            <w:vMerge w:val="continue"/>
            <w:shd w:val="clear" w:color="auto" w:fill="auto"/>
            <w:vAlign w:val="center"/>
          </w:tcPr>
          <w:p>
            <w:pPr>
              <w:widowControl/>
              <w:spacing w:line="320" w:lineRule="exact"/>
              <w:rPr>
                <w:rFonts w:ascii="仿宋" w:hAnsi="仿宋" w:eastAsia="仿宋"/>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6" w:hRule="atLeast"/>
        </w:trPr>
        <w:tc>
          <w:tcPr>
            <w:tcW w:w="241"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3</w:t>
            </w:r>
          </w:p>
        </w:tc>
        <w:tc>
          <w:tcPr>
            <w:tcW w:w="1643"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江苏海翔化工有限公司</w:t>
            </w:r>
          </w:p>
        </w:tc>
        <w:tc>
          <w:tcPr>
            <w:tcW w:w="527"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1.5</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1.5</w:t>
            </w:r>
          </w:p>
        </w:tc>
        <w:tc>
          <w:tcPr>
            <w:tcW w:w="461"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352" w:type="pct"/>
            <w:vMerge w:val="continue"/>
            <w:shd w:val="clear" w:color="auto" w:fill="auto"/>
            <w:vAlign w:val="center"/>
          </w:tcPr>
          <w:p>
            <w:pPr>
              <w:widowControl/>
              <w:spacing w:line="320" w:lineRule="exact"/>
              <w:rPr>
                <w:rFonts w:ascii="仿宋" w:hAnsi="仿宋" w:eastAsia="仿宋"/>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 w:hRule="atLeast"/>
        </w:trPr>
        <w:tc>
          <w:tcPr>
            <w:tcW w:w="241"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4</w:t>
            </w:r>
          </w:p>
        </w:tc>
        <w:tc>
          <w:tcPr>
            <w:tcW w:w="1643"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常州亚邦制药有限公司</w:t>
            </w:r>
          </w:p>
        </w:tc>
        <w:tc>
          <w:tcPr>
            <w:tcW w:w="527"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2.122</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9.55</w:t>
            </w:r>
          </w:p>
        </w:tc>
        <w:tc>
          <w:tcPr>
            <w:tcW w:w="461"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0.743</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0.0636</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5.3</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352" w:type="pct"/>
            <w:vMerge w:val="continue"/>
            <w:shd w:val="clear" w:color="auto" w:fill="auto"/>
            <w:vAlign w:val="center"/>
          </w:tcPr>
          <w:p>
            <w:pPr>
              <w:widowControl/>
              <w:spacing w:line="320" w:lineRule="exact"/>
              <w:rPr>
                <w:rFonts w:ascii="仿宋" w:hAnsi="仿宋" w:eastAsia="仿宋"/>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 w:hRule="atLeast"/>
        </w:trPr>
        <w:tc>
          <w:tcPr>
            <w:tcW w:w="241"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5</w:t>
            </w:r>
          </w:p>
        </w:tc>
        <w:tc>
          <w:tcPr>
            <w:tcW w:w="1643"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江苏省激素研究所有限公司</w:t>
            </w:r>
          </w:p>
        </w:tc>
        <w:tc>
          <w:tcPr>
            <w:tcW w:w="527"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12.36</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6.51</w:t>
            </w:r>
          </w:p>
        </w:tc>
        <w:tc>
          <w:tcPr>
            <w:tcW w:w="461"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0.36</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0.04</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2.74</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352" w:type="pct"/>
            <w:vMerge w:val="continue"/>
            <w:shd w:val="clear" w:color="auto" w:fill="auto"/>
            <w:vAlign w:val="center"/>
          </w:tcPr>
          <w:p>
            <w:pPr>
              <w:widowControl/>
              <w:spacing w:line="320" w:lineRule="exact"/>
              <w:rPr>
                <w:rFonts w:ascii="仿宋" w:hAnsi="仿宋" w:eastAsia="仿宋"/>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 w:hRule="atLeast"/>
        </w:trPr>
        <w:tc>
          <w:tcPr>
            <w:tcW w:w="241"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6</w:t>
            </w:r>
          </w:p>
        </w:tc>
        <w:tc>
          <w:tcPr>
            <w:tcW w:w="1643"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金坛市海林稀土有限公司</w:t>
            </w:r>
          </w:p>
        </w:tc>
        <w:tc>
          <w:tcPr>
            <w:tcW w:w="527"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1.78</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7.15</w:t>
            </w:r>
          </w:p>
        </w:tc>
        <w:tc>
          <w:tcPr>
            <w:tcW w:w="461"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0.159</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0.008</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3.97</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352" w:type="pct"/>
            <w:vMerge w:val="continue"/>
            <w:shd w:val="clear" w:color="auto" w:fill="auto"/>
            <w:vAlign w:val="center"/>
          </w:tcPr>
          <w:p>
            <w:pPr>
              <w:widowControl/>
              <w:spacing w:line="320" w:lineRule="exact"/>
              <w:rPr>
                <w:rFonts w:ascii="仿宋" w:hAnsi="仿宋" w:eastAsia="仿宋"/>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 w:hRule="atLeast"/>
        </w:trPr>
        <w:tc>
          <w:tcPr>
            <w:tcW w:w="241"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7</w:t>
            </w:r>
          </w:p>
        </w:tc>
        <w:tc>
          <w:tcPr>
            <w:tcW w:w="1643"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金坛天洋稀土有限公司</w:t>
            </w:r>
          </w:p>
        </w:tc>
        <w:tc>
          <w:tcPr>
            <w:tcW w:w="527"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2.06</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8.23</w:t>
            </w:r>
          </w:p>
        </w:tc>
        <w:tc>
          <w:tcPr>
            <w:tcW w:w="461"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352" w:type="pct"/>
            <w:vMerge w:val="continue"/>
            <w:shd w:val="clear" w:color="auto" w:fill="auto"/>
            <w:vAlign w:val="center"/>
          </w:tcPr>
          <w:p>
            <w:pPr>
              <w:widowControl/>
              <w:spacing w:line="320" w:lineRule="exact"/>
              <w:rPr>
                <w:rFonts w:ascii="仿宋" w:hAnsi="仿宋" w:eastAsia="仿宋"/>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 w:hRule="atLeast"/>
        </w:trPr>
        <w:tc>
          <w:tcPr>
            <w:tcW w:w="241"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8</w:t>
            </w:r>
          </w:p>
        </w:tc>
        <w:tc>
          <w:tcPr>
            <w:tcW w:w="1643"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江苏金坛康达有限公司</w:t>
            </w:r>
          </w:p>
        </w:tc>
        <w:tc>
          <w:tcPr>
            <w:tcW w:w="527"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100</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100</w:t>
            </w:r>
          </w:p>
        </w:tc>
        <w:tc>
          <w:tcPr>
            <w:tcW w:w="461"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97.38</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1.95</w:t>
            </w:r>
          </w:p>
        </w:tc>
        <w:tc>
          <w:tcPr>
            <w:tcW w:w="352" w:type="pct"/>
            <w:vMerge w:val="continue"/>
            <w:shd w:val="clear" w:color="auto" w:fill="auto"/>
            <w:vAlign w:val="center"/>
          </w:tcPr>
          <w:p>
            <w:pPr>
              <w:widowControl/>
              <w:spacing w:line="320" w:lineRule="exact"/>
              <w:rPr>
                <w:rFonts w:ascii="仿宋" w:hAnsi="仿宋" w:eastAsia="仿宋"/>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 w:hRule="atLeast"/>
        </w:trPr>
        <w:tc>
          <w:tcPr>
            <w:tcW w:w="241"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9</w:t>
            </w:r>
          </w:p>
        </w:tc>
        <w:tc>
          <w:tcPr>
            <w:tcW w:w="1643"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常州久日化学股份有限公司</w:t>
            </w:r>
          </w:p>
        </w:tc>
        <w:tc>
          <w:tcPr>
            <w:tcW w:w="527"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3.385</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15.23</w:t>
            </w:r>
          </w:p>
        </w:tc>
        <w:tc>
          <w:tcPr>
            <w:tcW w:w="461"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0.9</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0.038</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2.5</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352" w:type="pct"/>
            <w:vMerge w:val="continue"/>
            <w:shd w:val="clear" w:color="auto" w:fill="auto"/>
            <w:vAlign w:val="center"/>
          </w:tcPr>
          <w:p>
            <w:pPr>
              <w:widowControl/>
              <w:spacing w:line="320" w:lineRule="exact"/>
              <w:rPr>
                <w:rFonts w:ascii="仿宋" w:hAnsi="仿宋" w:eastAsia="仿宋"/>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 w:hRule="atLeast"/>
        </w:trPr>
        <w:tc>
          <w:tcPr>
            <w:tcW w:w="241"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10</w:t>
            </w:r>
          </w:p>
        </w:tc>
        <w:tc>
          <w:tcPr>
            <w:tcW w:w="1643"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英格索兰（常州）工具有限公司</w:t>
            </w:r>
          </w:p>
        </w:tc>
        <w:tc>
          <w:tcPr>
            <w:tcW w:w="527"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1.77</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0.62</w:t>
            </w:r>
          </w:p>
        </w:tc>
        <w:tc>
          <w:tcPr>
            <w:tcW w:w="461"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0.008</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0.006</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0.44</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352" w:type="pct"/>
            <w:vMerge w:val="continue"/>
            <w:shd w:val="clear" w:color="auto" w:fill="auto"/>
            <w:vAlign w:val="center"/>
          </w:tcPr>
          <w:p>
            <w:pPr>
              <w:widowControl/>
              <w:spacing w:line="320" w:lineRule="exact"/>
              <w:rPr>
                <w:rFonts w:ascii="仿宋" w:hAnsi="仿宋" w:eastAsia="仿宋"/>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 w:hRule="atLeast"/>
        </w:trPr>
        <w:tc>
          <w:tcPr>
            <w:tcW w:w="241"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11</w:t>
            </w:r>
          </w:p>
        </w:tc>
        <w:tc>
          <w:tcPr>
            <w:tcW w:w="1643"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苏拉（金坛）纺织机械有限公司</w:t>
            </w:r>
          </w:p>
        </w:tc>
        <w:tc>
          <w:tcPr>
            <w:tcW w:w="527"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1.2</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3.72</w:t>
            </w:r>
          </w:p>
        </w:tc>
        <w:tc>
          <w:tcPr>
            <w:tcW w:w="461"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352" w:type="pct"/>
            <w:vMerge w:val="continue"/>
            <w:shd w:val="clear" w:color="auto" w:fill="auto"/>
            <w:vAlign w:val="center"/>
          </w:tcPr>
          <w:p>
            <w:pPr>
              <w:widowControl/>
              <w:spacing w:line="320" w:lineRule="exact"/>
              <w:rPr>
                <w:rFonts w:ascii="仿宋" w:hAnsi="仿宋" w:eastAsia="仿宋"/>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 w:hRule="atLeast"/>
        </w:trPr>
        <w:tc>
          <w:tcPr>
            <w:tcW w:w="241"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12</w:t>
            </w:r>
          </w:p>
        </w:tc>
        <w:tc>
          <w:tcPr>
            <w:tcW w:w="1643"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常州益鑫新能源科技有限公司</w:t>
            </w:r>
          </w:p>
        </w:tc>
        <w:tc>
          <w:tcPr>
            <w:tcW w:w="527"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1.5</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1.5</w:t>
            </w:r>
          </w:p>
        </w:tc>
        <w:tc>
          <w:tcPr>
            <w:tcW w:w="461"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352" w:type="pct"/>
            <w:vMerge w:val="continue"/>
            <w:shd w:val="clear" w:color="auto" w:fill="auto"/>
            <w:vAlign w:val="center"/>
          </w:tcPr>
          <w:p>
            <w:pPr>
              <w:widowControl/>
              <w:spacing w:line="320" w:lineRule="exact"/>
              <w:rPr>
                <w:rFonts w:ascii="仿宋" w:hAnsi="仿宋" w:eastAsia="仿宋"/>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 w:hRule="atLeast"/>
        </w:trPr>
        <w:tc>
          <w:tcPr>
            <w:tcW w:w="241"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13</w:t>
            </w:r>
          </w:p>
        </w:tc>
        <w:tc>
          <w:tcPr>
            <w:tcW w:w="1643"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金坛市塑料厂</w:t>
            </w:r>
          </w:p>
        </w:tc>
        <w:tc>
          <w:tcPr>
            <w:tcW w:w="527"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0.829</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2.48</w:t>
            </w:r>
          </w:p>
        </w:tc>
        <w:tc>
          <w:tcPr>
            <w:tcW w:w="461"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0.21</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1.65</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352" w:type="pct"/>
            <w:vMerge w:val="continue"/>
            <w:shd w:val="clear" w:color="auto" w:fill="auto"/>
            <w:vAlign w:val="center"/>
          </w:tcPr>
          <w:p>
            <w:pPr>
              <w:widowControl/>
              <w:spacing w:line="320" w:lineRule="exact"/>
              <w:rPr>
                <w:rFonts w:ascii="仿宋" w:hAnsi="仿宋" w:eastAsia="仿宋"/>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 w:hRule="atLeast"/>
        </w:trPr>
        <w:tc>
          <w:tcPr>
            <w:tcW w:w="241"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14</w:t>
            </w:r>
          </w:p>
        </w:tc>
        <w:tc>
          <w:tcPr>
            <w:tcW w:w="1643"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金坛加怡热电有限公司</w:t>
            </w:r>
          </w:p>
        </w:tc>
        <w:tc>
          <w:tcPr>
            <w:tcW w:w="527"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4</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0.74</w:t>
            </w:r>
          </w:p>
        </w:tc>
        <w:tc>
          <w:tcPr>
            <w:tcW w:w="461"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352" w:type="pct"/>
            <w:vMerge w:val="continue"/>
            <w:shd w:val="clear" w:color="auto" w:fill="auto"/>
            <w:vAlign w:val="center"/>
          </w:tcPr>
          <w:p>
            <w:pPr>
              <w:widowControl/>
              <w:spacing w:line="320" w:lineRule="exact"/>
              <w:rPr>
                <w:rFonts w:ascii="仿宋" w:hAnsi="仿宋" w:eastAsia="仿宋"/>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 w:hRule="atLeast"/>
        </w:trPr>
        <w:tc>
          <w:tcPr>
            <w:tcW w:w="241"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15</w:t>
            </w:r>
          </w:p>
        </w:tc>
        <w:tc>
          <w:tcPr>
            <w:tcW w:w="1643"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金坛市鑫海毛纺有限公司</w:t>
            </w:r>
          </w:p>
        </w:tc>
        <w:tc>
          <w:tcPr>
            <w:tcW w:w="527"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0.09</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0.36</w:t>
            </w:r>
          </w:p>
        </w:tc>
        <w:tc>
          <w:tcPr>
            <w:tcW w:w="461"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352" w:type="pct"/>
            <w:vMerge w:val="continue"/>
            <w:shd w:val="clear" w:color="auto" w:fill="auto"/>
            <w:vAlign w:val="center"/>
          </w:tcPr>
          <w:p>
            <w:pPr>
              <w:widowControl/>
              <w:spacing w:line="320" w:lineRule="exact"/>
              <w:rPr>
                <w:rFonts w:ascii="仿宋" w:hAnsi="仿宋" w:eastAsia="仿宋"/>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 w:hRule="atLeast"/>
        </w:trPr>
        <w:tc>
          <w:tcPr>
            <w:tcW w:w="241"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16</w:t>
            </w:r>
          </w:p>
        </w:tc>
        <w:tc>
          <w:tcPr>
            <w:tcW w:w="1643"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江苏常宝普莱森钢管有限公司</w:t>
            </w:r>
          </w:p>
        </w:tc>
        <w:tc>
          <w:tcPr>
            <w:tcW w:w="527"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20</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10</w:t>
            </w:r>
          </w:p>
        </w:tc>
        <w:tc>
          <w:tcPr>
            <w:tcW w:w="461"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1.5</w:t>
            </w:r>
          </w:p>
        </w:tc>
        <w:tc>
          <w:tcPr>
            <w:tcW w:w="352" w:type="pct"/>
            <w:vMerge w:val="continue"/>
            <w:shd w:val="clear" w:color="auto" w:fill="auto"/>
            <w:vAlign w:val="center"/>
          </w:tcPr>
          <w:p>
            <w:pPr>
              <w:widowControl/>
              <w:spacing w:line="320" w:lineRule="exact"/>
              <w:rPr>
                <w:rFonts w:ascii="仿宋" w:hAnsi="仿宋" w:eastAsia="仿宋"/>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 w:hRule="atLeast"/>
        </w:trPr>
        <w:tc>
          <w:tcPr>
            <w:tcW w:w="241"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17</w:t>
            </w:r>
          </w:p>
        </w:tc>
        <w:tc>
          <w:tcPr>
            <w:tcW w:w="1643"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常州华盛恒能光电有限公司</w:t>
            </w:r>
          </w:p>
        </w:tc>
        <w:tc>
          <w:tcPr>
            <w:tcW w:w="527"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10.8</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6.3</w:t>
            </w:r>
          </w:p>
        </w:tc>
        <w:tc>
          <w:tcPr>
            <w:tcW w:w="461"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352" w:type="pct"/>
            <w:vMerge w:val="continue"/>
            <w:shd w:val="clear" w:color="auto" w:fill="auto"/>
            <w:vAlign w:val="center"/>
          </w:tcPr>
          <w:p>
            <w:pPr>
              <w:widowControl/>
              <w:spacing w:line="320" w:lineRule="exact"/>
              <w:rPr>
                <w:rFonts w:ascii="仿宋" w:hAnsi="仿宋" w:eastAsia="仿宋"/>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 w:hRule="atLeast"/>
        </w:trPr>
        <w:tc>
          <w:tcPr>
            <w:tcW w:w="241"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18</w:t>
            </w:r>
          </w:p>
        </w:tc>
        <w:tc>
          <w:tcPr>
            <w:tcW w:w="1643"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中策橡胶（金坛）有限公司</w:t>
            </w:r>
          </w:p>
        </w:tc>
        <w:tc>
          <w:tcPr>
            <w:tcW w:w="527"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85.32</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178.66</w:t>
            </w:r>
          </w:p>
        </w:tc>
        <w:tc>
          <w:tcPr>
            <w:tcW w:w="461"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12.32</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0.68</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140.28</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0.68</w:t>
            </w:r>
          </w:p>
        </w:tc>
        <w:tc>
          <w:tcPr>
            <w:tcW w:w="352" w:type="pct"/>
            <w:vMerge w:val="continue"/>
            <w:shd w:val="clear" w:color="auto" w:fill="auto"/>
            <w:vAlign w:val="center"/>
          </w:tcPr>
          <w:p>
            <w:pPr>
              <w:widowControl/>
              <w:spacing w:line="320" w:lineRule="exact"/>
              <w:rPr>
                <w:rFonts w:ascii="仿宋" w:hAnsi="仿宋" w:eastAsia="仿宋"/>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 w:hRule="atLeast"/>
        </w:trPr>
        <w:tc>
          <w:tcPr>
            <w:tcW w:w="241"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19</w:t>
            </w:r>
          </w:p>
        </w:tc>
        <w:tc>
          <w:tcPr>
            <w:tcW w:w="1643"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江苏蓝色星球环保新材料有限公司</w:t>
            </w:r>
          </w:p>
        </w:tc>
        <w:tc>
          <w:tcPr>
            <w:tcW w:w="527"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48.096</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187.769</w:t>
            </w:r>
          </w:p>
        </w:tc>
        <w:tc>
          <w:tcPr>
            <w:tcW w:w="461"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0.35</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0.06</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5.951</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352" w:type="pct"/>
            <w:vMerge w:val="continue"/>
            <w:shd w:val="clear" w:color="auto" w:fill="auto"/>
            <w:vAlign w:val="center"/>
          </w:tcPr>
          <w:p>
            <w:pPr>
              <w:widowControl/>
              <w:spacing w:line="320" w:lineRule="exact"/>
              <w:rPr>
                <w:rFonts w:ascii="仿宋" w:hAnsi="仿宋" w:eastAsia="仿宋"/>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 w:hRule="atLeast"/>
        </w:trPr>
        <w:tc>
          <w:tcPr>
            <w:tcW w:w="241"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20</w:t>
            </w:r>
          </w:p>
        </w:tc>
        <w:tc>
          <w:tcPr>
            <w:tcW w:w="1643"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江苏飞马催化剂有限公司</w:t>
            </w:r>
          </w:p>
        </w:tc>
        <w:tc>
          <w:tcPr>
            <w:tcW w:w="527"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3.254</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4.922</w:t>
            </w:r>
          </w:p>
        </w:tc>
        <w:tc>
          <w:tcPr>
            <w:tcW w:w="461"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0.1</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0.018</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3.55</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352" w:type="pct"/>
            <w:vMerge w:val="continue"/>
            <w:shd w:val="clear" w:color="auto" w:fill="auto"/>
            <w:vAlign w:val="center"/>
          </w:tcPr>
          <w:p>
            <w:pPr>
              <w:widowControl/>
              <w:spacing w:line="320" w:lineRule="exact"/>
              <w:rPr>
                <w:rFonts w:ascii="仿宋" w:hAnsi="仿宋" w:eastAsia="仿宋"/>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 w:hRule="atLeast"/>
        </w:trPr>
        <w:tc>
          <w:tcPr>
            <w:tcW w:w="241"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21</w:t>
            </w:r>
          </w:p>
        </w:tc>
        <w:tc>
          <w:tcPr>
            <w:tcW w:w="1643"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常州市和润环保科技有限公司</w:t>
            </w:r>
          </w:p>
        </w:tc>
        <w:tc>
          <w:tcPr>
            <w:tcW w:w="527"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1.077</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1.64</w:t>
            </w:r>
          </w:p>
        </w:tc>
        <w:tc>
          <w:tcPr>
            <w:tcW w:w="461"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0.1</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0.01</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1.31</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352" w:type="pct"/>
            <w:vMerge w:val="continue"/>
            <w:shd w:val="clear" w:color="auto" w:fill="auto"/>
            <w:vAlign w:val="center"/>
          </w:tcPr>
          <w:p>
            <w:pPr>
              <w:widowControl/>
              <w:spacing w:line="320" w:lineRule="exact"/>
              <w:rPr>
                <w:rFonts w:ascii="仿宋" w:hAnsi="仿宋" w:eastAsia="仿宋"/>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 w:hRule="atLeast"/>
        </w:trPr>
        <w:tc>
          <w:tcPr>
            <w:tcW w:w="241"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22</w:t>
            </w:r>
          </w:p>
        </w:tc>
        <w:tc>
          <w:tcPr>
            <w:tcW w:w="1643"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江苏晶久微电子材料有限公司</w:t>
            </w:r>
          </w:p>
        </w:tc>
        <w:tc>
          <w:tcPr>
            <w:tcW w:w="527"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2.2955</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2.75</w:t>
            </w:r>
          </w:p>
        </w:tc>
        <w:tc>
          <w:tcPr>
            <w:tcW w:w="461"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0.106</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0.003</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2.89</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352" w:type="pct"/>
            <w:vMerge w:val="continue"/>
            <w:shd w:val="clear" w:color="auto" w:fill="auto"/>
            <w:vAlign w:val="center"/>
          </w:tcPr>
          <w:p>
            <w:pPr>
              <w:widowControl/>
              <w:spacing w:line="320" w:lineRule="exact"/>
              <w:rPr>
                <w:rFonts w:ascii="仿宋" w:hAnsi="仿宋" w:eastAsia="仿宋"/>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 w:hRule="atLeast"/>
        </w:trPr>
        <w:tc>
          <w:tcPr>
            <w:tcW w:w="241"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23</w:t>
            </w:r>
          </w:p>
        </w:tc>
        <w:tc>
          <w:tcPr>
            <w:tcW w:w="1643"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常州菲纳斯能源科技有限公司</w:t>
            </w:r>
          </w:p>
        </w:tc>
        <w:tc>
          <w:tcPr>
            <w:tcW w:w="527"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0.1392</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0.4</w:t>
            </w:r>
          </w:p>
        </w:tc>
        <w:tc>
          <w:tcPr>
            <w:tcW w:w="461"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0.05</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0.01</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0.25</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352" w:type="pct"/>
            <w:vMerge w:val="continue"/>
            <w:shd w:val="clear" w:color="auto" w:fill="auto"/>
            <w:vAlign w:val="center"/>
          </w:tcPr>
          <w:p>
            <w:pPr>
              <w:widowControl/>
              <w:spacing w:line="320" w:lineRule="exact"/>
              <w:rPr>
                <w:rFonts w:ascii="仿宋" w:hAnsi="仿宋" w:eastAsia="仿宋"/>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 w:hRule="atLeast"/>
        </w:trPr>
        <w:tc>
          <w:tcPr>
            <w:tcW w:w="241"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24</w:t>
            </w:r>
          </w:p>
        </w:tc>
        <w:tc>
          <w:tcPr>
            <w:tcW w:w="1643"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江苏大唐国际金坛燃气热电有限公司</w:t>
            </w:r>
          </w:p>
        </w:tc>
        <w:tc>
          <w:tcPr>
            <w:tcW w:w="527"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4.4</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8.25</w:t>
            </w:r>
          </w:p>
        </w:tc>
        <w:tc>
          <w:tcPr>
            <w:tcW w:w="461"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0.1925</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0.0165</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444"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w:t>
            </w:r>
          </w:p>
        </w:tc>
        <w:tc>
          <w:tcPr>
            <w:tcW w:w="352" w:type="pct"/>
            <w:vMerge w:val="continue"/>
            <w:shd w:val="clear" w:color="auto" w:fill="auto"/>
            <w:vAlign w:val="center"/>
          </w:tcPr>
          <w:p>
            <w:pPr>
              <w:widowControl/>
              <w:spacing w:line="320" w:lineRule="exact"/>
              <w:rPr>
                <w:rFonts w:ascii="仿宋" w:hAnsi="仿宋" w:eastAsia="仿宋"/>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 w:hRule="atLeast"/>
        </w:trPr>
        <w:tc>
          <w:tcPr>
            <w:tcW w:w="241"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25</w:t>
            </w:r>
          </w:p>
        </w:tc>
        <w:tc>
          <w:tcPr>
            <w:tcW w:w="1643" w:type="pct"/>
            <w:shd w:val="clear" w:color="auto" w:fill="auto"/>
          </w:tcPr>
          <w:p>
            <w:pPr>
              <w:widowControl/>
              <w:spacing w:line="320" w:lineRule="exact"/>
              <w:jc w:val="center"/>
              <w:rPr>
                <w:rFonts w:ascii="仿宋" w:hAnsi="仿宋" w:eastAsia="仿宋"/>
                <w:kern w:val="0"/>
              </w:rPr>
            </w:pPr>
            <w:r>
              <w:rPr>
                <w:rFonts w:ascii="仿宋" w:hAnsi="仿宋" w:eastAsia="仿宋"/>
                <w:kern w:val="0"/>
              </w:rPr>
              <w:t>常州江环能源科技有限公司</w:t>
            </w:r>
          </w:p>
        </w:tc>
        <w:tc>
          <w:tcPr>
            <w:tcW w:w="527" w:type="pct"/>
            <w:shd w:val="clear" w:color="auto" w:fill="auto"/>
            <w:vAlign w:val="center"/>
          </w:tcPr>
          <w:p>
            <w:pPr>
              <w:widowControl/>
              <w:spacing w:line="320" w:lineRule="exact"/>
              <w:jc w:val="center"/>
              <w:rPr>
                <w:rFonts w:ascii="仿宋" w:hAnsi="仿宋" w:eastAsia="仿宋"/>
                <w:kern w:val="0"/>
              </w:rPr>
            </w:pPr>
            <w:r>
              <w:rPr>
                <w:rFonts w:ascii="仿宋" w:hAnsi="仿宋" w:eastAsia="仿宋"/>
                <w:kern w:val="0"/>
              </w:rPr>
              <w:t>0.306</w:t>
            </w:r>
          </w:p>
        </w:tc>
        <w:tc>
          <w:tcPr>
            <w:tcW w:w="444" w:type="pct"/>
            <w:shd w:val="clear" w:color="auto" w:fill="auto"/>
            <w:vAlign w:val="center"/>
          </w:tcPr>
          <w:p>
            <w:pPr>
              <w:widowControl/>
              <w:spacing w:line="320" w:lineRule="exact"/>
              <w:jc w:val="center"/>
              <w:rPr>
                <w:rFonts w:ascii="仿宋" w:hAnsi="仿宋" w:eastAsia="仿宋"/>
              </w:rPr>
            </w:pPr>
            <w:r>
              <w:rPr>
                <w:rFonts w:ascii="仿宋" w:hAnsi="仿宋" w:eastAsia="仿宋"/>
              </w:rPr>
              <w:t>1.224</w:t>
            </w:r>
          </w:p>
        </w:tc>
        <w:tc>
          <w:tcPr>
            <w:tcW w:w="461" w:type="pct"/>
            <w:shd w:val="clear" w:color="auto" w:fill="auto"/>
            <w:vAlign w:val="center"/>
          </w:tcPr>
          <w:p>
            <w:pPr>
              <w:widowControl/>
              <w:spacing w:line="320" w:lineRule="exact"/>
              <w:jc w:val="center"/>
              <w:rPr>
                <w:rFonts w:ascii="仿宋" w:hAnsi="仿宋" w:eastAsia="仿宋"/>
              </w:rPr>
            </w:pPr>
            <w:r>
              <w:rPr>
                <w:rFonts w:ascii="仿宋" w:hAnsi="仿宋" w:eastAsia="仿宋"/>
              </w:rPr>
              <w:t>0.092</w:t>
            </w:r>
          </w:p>
        </w:tc>
        <w:tc>
          <w:tcPr>
            <w:tcW w:w="444" w:type="pct"/>
            <w:shd w:val="clear" w:color="auto" w:fill="auto"/>
            <w:vAlign w:val="center"/>
          </w:tcPr>
          <w:p>
            <w:pPr>
              <w:widowControl/>
              <w:spacing w:line="320" w:lineRule="exact"/>
              <w:jc w:val="center"/>
              <w:rPr>
                <w:rFonts w:ascii="仿宋" w:hAnsi="仿宋" w:eastAsia="仿宋"/>
              </w:rPr>
            </w:pPr>
            <w:r>
              <w:rPr>
                <w:rFonts w:ascii="仿宋" w:hAnsi="仿宋" w:eastAsia="仿宋"/>
              </w:rPr>
              <w:t>0.009</w:t>
            </w:r>
          </w:p>
        </w:tc>
        <w:tc>
          <w:tcPr>
            <w:tcW w:w="444" w:type="pct"/>
            <w:shd w:val="clear" w:color="auto" w:fill="auto"/>
            <w:vAlign w:val="center"/>
          </w:tcPr>
          <w:p>
            <w:pPr>
              <w:widowControl/>
              <w:spacing w:line="320" w:lineRule="exact"/>
              <w:jc w:val="center"/>
              <w:rPr>
                <w:rFonts w:ascii="仿宋" w:hAnsi="仿宋" w:eastAsia="仿宋"/>
              </w:rPr>
            </w:pPr>
            <w:r>
              <w:rPr>
                <w:rFonts w:ascii="仿宋" w:hAnsi="仿宋" w:eastAsia="仿宋"/>
              </w:rPr>
              <w:t>0.612</w:t>
            </w:r>
          </w:p>
        </w:tc>
        <w:tc>
          <w:tcPr>
            <w:tcW w:w="444" w:type="pct"/>
            <w:shd w:val="clear" w:color="auto" w:fill="auto"/>
            <w:vAlign w:val="center"/>
          </w:tcPr>
          <w:p>
            <w:pPr>
              <w:widowControl/>
              <w:spacing w:line="320" w:lineRule="exact"/>
              <w:jc w:val="center"/>
              <w:rPr>
                <w:rFonts w:ascii="仿宋" w:hAnsi="仿宋" w:eastAsia="仿宋"/>
              </w:rPr>
            </w:pPr>
            <w:r>
              <w:rPr>
                <w:rFonts w:ascii="仿宋" w:hAnsi="仿宋" w:eastAsia="仿宋"/>
              </w:rPr>
              <w:t>0</w:t>
            </w:r>
          </w:p>
        </w:tc>
        <w:tc>
          <w:tcPr>
            <w:tcW w:w="352" w:type="pct"/>
            <w:vMerge w:val="continue"/>
            <w:shd w:val="clear" w:color="auto" w:fill="auto"/>
            <w:vAlign w:val="center"/>
          </w:tcPr>
          <w:p>
            <w:pPr>
              <w:widowControl/>
              <w:spacing w:line="320" w:lineRule="exact"/>
              <w:rPr>
                <w:rFonts w:ascii="仿宋" w:hAnsi="仿宋" w:eastAsia="仿宋"/>
                <w:kern w:val="0"/>
              </w:rPr>
            </w:pPr>
          </w:p>
        </w:tc>
      </w:tr>
    </w:tbl>
    <w:p>
      <w:pPr>
        <w:pStyle w:val="50"/>
        <w:adjustRightInd w:val="0"/>
        <w:snapToGrid w:val="0"/>
        <w:rPr>
          <w:szCs w:val="28"/>
        </w:rPr>
      </w:pPr>
      <w:r>
        <w:rPr>
          <w:szCs w:val="28"/>
        </w:rPr>
        <w:t>由上表可知，评价区域内主要水污染源是</w:t>
      </w:r>
      <w:r>
        <w:rPr>
          <w:rFonts w:hint="eastAsia"/>
          <w:szCs w:val="28"/>
        </w:rPr>
        <w:t>江苏蓝色星球环保新材料有限公司、</w:t>
      </w:r>
      <w:r>
        <w:rPr>
          <w:szCs w:val="28"/>
        </w:rPr>
        <w:t>中策橡胶（金坛）有限公司</w:t>
      </w:r>
      <w:r>
        <w:rPr>
          <w:rFonts w:hint="eastAsia"/>
          <w:szCs w:val="28"/>
        </w:rPr>
        <w:t>和</w:t>
      </w:r>
      <w:r>
        <w:rPr>
          <w:szCs w:val="28"/>
        </w:rPr>
        <w:t>中盐常州化工股份有限公司。</w:t>
      </w:r>
    </w:p>
    <w:p>
      <w:pPr>
        <w:keepNext/>
        <w:keepLines/>
        <w:numPr>
          <w:ilvl w:val="0"/>
          <w:numId w:val="1"/>
        </w:numPr>
        <w:tabs>
          <w:tab w:val="left" w:pos="284"/>
        </w:tabs>
        <w:spacing w:before="120" w:beforeLines="50" w:after="120" w:afterLines="50" w:line="500" w:lineRule="exact"/>
        <w:ind w:left="0" w:firstLine="0"/>
        <w:outlineLvl w:val="0"/>
        <w:rPr>
          <w:rFonts w:eastAsia="仿宋_GB2312"/>
          <w:b/>
          <w:kern w:val="44"/>
          <w:sz w:val="36"/>
          <w:szCs w:val="36"/>
        </w:rPr>
      </w:pPr>
      <w:bookmarkStart w:id="323" w:name="_Toc140565270"/>
      <w:r>
        <w:rPr>
          <w:rFonts w:eastAsia="仿宋_GB2312"/>
          <w:b/>
          <w:kern w:val="44"/>
          <w:sz w:val="36"/>
          <w:szCs w:val="36"/>
        </w:rPr>
        <w:t>环境影响预测与评价</w:t>
      </w:r>
      <w:bookmarkEnd w:id="323"/>
    </w:p>
    <w:p>
      <w:pPr>
        <w:keepNext/>
        <w:keepLines/>
        <w:numPr>
          <w:ilvl w:val="1"/>
          <w:numId w:val="1"/>
        </w:numPr>
        <w:tabs>
          <w:tab w:val="left" w:pos="0"/>
          <w:tab w:val="left" w:pos="426"/>
        </w:tabs>
        <w:spacing w:before="120" w:beforeLines="50" w:after="120" w:afterLines="50" w:line="500" w:lineRule="exact"/>
        <w:outlineLvl w:val="1"/>
        <w:rPr>
          <w:rFonts w:eastAsia="仿宋_GB2312"/>
          <w:b/>
          <w:spacing w:val="6"/>
          <w:kern w:val="0"/>
          <w:sz w:val="30"/>
          <w:szCs w:val="30"/>
        </w:rPr>
      </w:pPr>
      <w:bookmarkStart w:id="324" w:name="_Toc140565271"/>
      <w:r>
        <w:rPr>
          <w:rFonts w:hint="eastAsia" w:eastAsia="仿宋_GB2312"/>
          <w:b/>
          <w:spacing w:val="6"/>
          <w:kern w:val="0"/>
          <w:sz w:val="30"/>
          <w:szCs w:val="30"/>
        </w:rPr>
        <w:t>施工期</w:t>
      </w:r>
      <w:r>
        <w:rPr>
          <w:rFonts w:eastAsia="仿宋_GB2312"/>
          <w:b/>
          <w:spacing w:val="6"/>
          <w:kern w:val="0"/>
          <w:sz w:val="30"/>
          <w:szCs w:val="30"/>
        </w:rPr>
        <w:t>环境影响</w:t>
      </w:r>
      <w:r>
        <w:rPr>
          <w:rFonts w:hint="eastAsia" w:eastAsia="仿宋_GB2312"/>
          <w:b/>
          <w:spacing w:val="6"/>
          <w:kern w:val="0"/>
          <w:sz w:val="30"/>
          <w:szCs w:val="30"/>
        </w:rPr>
        <w:t>评价</w:t>
      </w:r>
      <w:bookmarkEnd w:id="324"/>
    </w:p>
    <w:p>
      <w:pPr>
        <w:spacing w:line="500" w:lineRule="exact"/>
        <w:ind w:firstLine="560" w:firstLineChars="200"/>
        <w:rPr>
          <w:rFonts w:eastAsia="仿宋_GB2312"/>
          <w:sz w:val="28"/>
          <w:szCs w:val="28"/>
        </w:rPr>
      </w:pPr>
      <w:r>
        <w:rPr>
          <w:rFonts w:eastAsia="仿宋_GB2312"/>
          <w:sz w:val="28"/>
          <w:szCs w:val="28"/>
        </w:rPr>
        <w:t>本项目厂房现已建成，厂房已履行环评手续，本次环评不对厂房建设的施工期影响进行评价，施工期主要为设备安装等，主要环境影响包括噪声</w:t>
      </w:r>
      <w:r>
        <w:rPr>
          <w:rFonts w:hint="eastAsia" w:eastAsia="仿宋_GB2312"/>
          <w:sz w:val="28"/>
          <w:szCs w:val="28"/>
        </w:rPr>
        <w:t>、</w:t>
      </w:r>
      <w:r>
        <w:rPr>
          <w:rFonts w:eastAsia="仿宋_GB2312"/>
          <w:sz w:val="28"/>
          <w:szCs w:val="28"/>
        </w:rPr>
        <w:t>固废</w:t>
      </w:r>
      <w:r>
        <w:rPr>
          <w:rFonts w:hint="eastAsia" w:eastAsia="仿宋_GB2312"/>
          <w:sz w:val="28"/>
          <w:szCs w:val="28"/>
        </w:rPr>
        <w:t>和</w:t>
      </w:r>
      <w:r>
        <w:rPr>
          <w:rFonts w:eastAsia="仿宋_GB2312"/>
          <w:sz w:val="28"/>
          <w:szCs w:val="28"/>
        </w:rPr>
        <w:t>风险：</w:t>
      </w:r>
    </w:p>
    <w:p>
      <w:pPr>
        <w:spacing w:line="500" w:lineRule="exact"/>
        <w:ind w:firstLine="562" w:firstLineChars="200"/>
        <w:rPr>
          <w:rFonts w:eastAsia="仿宋_GB2312"/>
          <w:b/>
          <w:sz w:val="28"/>
          <w:szCs w:val="28"/>
        </w:rPr>
      </w:pPr>
      <w:r>
        <w:rPr>
          <w:rFonts w:eastAsia="仿宋_GB2312"/>
          <w:b/>
          <w:sz w:val="28"/>
          <w:szCs w:val="28"/>
        </w:rPr>
        <w:t>1、噪声</w:t>
      </w:r>
    </w:p>
    <w:p>
      <w:pPr>
        <w:spacing w:line="500" w:lineRule="exact"/>
        <w:ind w:firstLine="560" w:firstLineChars="200"/>
        <w:rPr>
          <w:rFonts w:eastAsia="仿宋_GB2312"/>
          <w:sz w:val="28"/>
          <w:szCs w:val="28"/>
        </w:rPr>
      </w:pPr>
      <w:r>
        <w:rPr>
          <w:rFonts w:eastAsia="仿宋_GB2312"/>
          <w:sz w:val="28"/>
          <w:szCs w:val="28"/>
        </w:rPr>
        <w:t>噪声是施工期主要的污染因子，施工噪声对周围地区噪声环境的影响，采用《建筑施工场界环境噪声排放标准》（GB12523-2011）进行评价，施工安装过程中场界环境噪声不得超过表5.1-1规定的排放限值。</w:t>
      </w:r>
    </w:p>
    <w:p>
      <w:pPr>
        <w:spacing w:line="500" w:lineRule="exact"/>
        <w:jc w:val="center"/>
        <w:rPr>
          <w:rFonts w:eastAsia="仿宋_GB2312"/>
          <w:b/>
          <w:bCs/>
          <w:sz w:val="24"/>
        </w:rPr>
      </w:pPr>
      <w:r>
        <w:rPr>
          <w:rFonts w:eastAsia="仿宋_GB2312"/>
          <w:b/>
          <w:bCs/>
          <w:sz w:val="24"/>
        </w:rPr>
        <w:t>表5.1-1  施工机械设备噪声</w:t>
      </w:r>
    </w:p>
    <w:tbl>
      <w:tblPr>
        <w:tblStyle w:val="8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2"/>
        <w:gridCol w:w="3024"/>
        <w:gridCol w:w="3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361" w:type="pct"/>
            <w:vAlign w:val="center"/>
          </w:tcPr>
          <w:p>
            <w:pPr>
              <w:adjustRightInd w:val="0"/>
              <w:snapToGrid w:val="0"/>
              <w:jc w:val="center"/>
              <w:rPr>
                <w:rFonts w:ascii="仿宋" w:hAnsi="仿宋" w:eastAsia="仿宋"/>
              </w:rPr>
            </w:pPr>
            <w:r>
              <w:rPr>
                <w:rFonts w:ascii="仿宋" w:hAnsi="仿宋" w:eastAsia="仿宋"/>
              </w:rPr>
              <w:t>时段</w:t>
            </w:r>
          </w:p>
        </w:tc>
        <w:tc>
          <w:tcPr>
            <w:tcW w:w="1713" w:type="pct"/>
            <w:vAlign w:val="center"/>
          </w:tcPr>
          <w:p>
            <w:pPr>
              <w:adjustRightInd w:val="0"/>
              <w:snapToGrid w:val="0"/>
              <w:jc w:val="center"/>
              <w:rPr>
                <w:rFonts w:ascii="仿宋" w:hAnsi="仿宋" w:eastAsia="仿宋"/>
              </w:rPr>
            </w:pPr>
            <w:r>
              <w:rPr>
                <w:rFonts w:ascii="仿宋" w:hAnsi="仿宋" w:eastAsia="仿宋"/>
              </w:rPr>
              <w:t>昼间</w:t>
            </w:r>
          </w:p>
        </w:tc>
        <w:tc>
          <w:tcPr>
            <w:tcW w:w="1926" w:type="pct"/>
            <w:vAlign w:val="center"/>
          </w:tcPr>
          <w:p>
            <w:pPr>
              <w:adjustRightInd w:val="0"/>
              <w:snapToGrid w:val="0"/>
              <w:jc w:val="center"/>
              <w:rPr>
                <w:rFonts w:ascii="仿宋" w:hAnsi="仿宋" w:eastAsia="仿宋"/>
              </w:rPr>
            </w:pPr>
            <w:r>
              <w:rPr>
                <w:rFonts w:ascii="仿宋" w:hAnsi="仿宋" w:eastAsia="仿宋"/>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361" w:type="pct"/>
            <w:vAlign w:val="center"/>
          </w:tcPr>
          <w:p>
            <w:pPr>
              <w:adjustRightInd w:val="0"/>
              <w:snapToGrid w:val="0"/>
              <w:jc w:val="center"/>
              <w:rPr>
                <w:rFonts w:ascii="仿宋" w:hAnsi="仿宋" w:eastAsia="仿宋"/>
              </w:rPr>
            </w:pPr>
            <w:r>
              <w:rPr>
                <w:rFonts w:ascii="仿宋" w:hAnsi="仿宋" w:eastAsia="仿宋"/>
              </w:rPr>
              <w:t>标准值（dB（A））</w:t>
            </w:r>
          </w:p>
        </w:tc>
        <w:tc>
          <w:tcPr>
            <w:tcW w:w="1713" w:type="pct"/>
            <w:vAlign w:val="center"/>
          </w:tcPr>
          <w:p>
            <w:pPr>
              <w:adjustRightInd w:val="0"/>
              <w:snapToGrid w:val="0"/>
              <w:jc w:val="center"/>
              <w:rPr>
                <w:rFonts w:ascii="仿宋" w:hAnsi="仿宋" w:eastAsia="仿宋"/>
              </w:rPr>
            </w:pPr>
            <w:r>
              <w:rPr>
                <w:rFonts w:ascii="仿宋" w:hAnsi="仿宋" w:eastAsia="仿宋"/>
              </w:rPr>
              <w:t>70</w:t>
            </w:r>
          </w:p>
        </w:tc>
        <w:tc>
          <w:tcPr>
            <w:tcW w:w="1926" w:type="pct"/>
            <w:vAlign w:val="center"/>
          </w:tcPr>
          <w:p>
            <w:pPr>
              <w:adjustRightInd w:val="0"/>
              <w:snapToGrid w:val="0"/>
              <w:jc w:val="center"/>
              <w:rPr>
                <w:rFonts w:ascii="仿宋" w:hAnsi="仿宋" w:eastAsia="仿宋"/>
              </w:rPr>
            </w:pPr>
            <w:r>
              <w:rPr>
                <w:rFonts w:ascii="仿宋" w:hAnsi="仿宋" w:eastAsia="仿宋"/>
              </w:rPr>
              <w:t>55</w:t>
            </w:r>
          </w:p>
        </w:tc>
      </w:tr>
    </w:tbl>
    <w:p>
      <w:pPr>
        <w:spacing w:line="500" w:lineRule="exact"/>
        <w:ind w:firstLine="560" w:firstLineChars="200"/>
        <w:rPr>
          <w:rFonts w:eastAsia="仿宋_GB2312"/>
          <w:sz w:val="28"/>
          <w:szCs w:val="28"/>
        </w:rPr>
      </w:pPr>
      <w:r>
        <w:rPr>
          <w:rFonts w:eastAsia="仿宋_GB2312"/>
          <w:sz w:val="28"/>
          <w:szCs w:val="28"/>
        </w:rPr>
        <w:t>施工过程中使用的施工机械所产生的噪声主要属于中低频噪声，因此在预测其影响时可只考虑其扩散衰减，预测模型选用：</w:t>
      </w:r>
    </w:p>
    <w:p>
      <w:pPr>
        <w:spacing w:line="500" w:lineRule="exact"/>
        <w:ind w:firstLine="560" w:firstLineChars="200"/>
        <w:rPr>
          <w:rFonts w:eastAsia="仿宋_GB2312"/>
          <w:sz w:val="28"/>
          <w:szCs w:val="28"/>
        </w:rPr>
      </w:pPr>
      <w:r>
        <w:rPr>
          <w:rFonts w:eastAsia="仿宋_GB2312"/>
          <w:sz w:val="28"/>
          <w:szCs w:val="28"/>
        </w:rPr>
        <w:t>L</w:t>
      </w:r>
      <w:r>
        <w:rPr>
          <w:rFonts w:eastAsia="仿宋_GB2312"/>
          <w:sz w:val="28"/>
          <w:szCs w:val="28"/>
          <w:vertAlign w:val="subscript"/>
        </w:rPr>
        <w:t>2</w:t>
      </w:r>
      <w:r>
        <w:rPr>
          <w:rFonts w:eastAsia="仿宋_GB2312"/>
          <w:sz w:val="28"/>
          <w:szCs w:val="28"/>
        </w:rPr>
        <w:t>=L</w:t>
      </w:r>
      <w:r>
        <w:rPr>
          <w:rFonts w:eastAsia="仿宋_GB2312"/>
          <w:sz w:val="28"/>
          <w:szCs w:val="28"/>
          <w:vertAlign w:val="subscript"/>
        </w:rPr>
        <w:t>1</w:t>
      </w:r>
      <w:r>
        <w:rPr>
          <w:rFonts w:eastAsia="仿宋_GB2312"/>
          <w:sz w:val="28"/>
          <w:szCs w:val="28"/>
        </w:rPr>
        <w:t>-20lgr</w:t>
      </w:r>
      <w:r>
        <w:rPr>
          <w:rFonts w:eastAsia="仿宋_GB2312"/>
          <w:sz w:val="28"/>
          <w:szCs w:val="28"/>
          <w:vertAlign w:val="subscript"/>
        </w:rPr>
        <w:t>2</w:t>
      </w:r>
      <w:r>
        <w:rPr>
          <w:rFonts w:eastAsia="仿宋_GB2312"/>
          <w:sz w:val="28"/>
          <w:szCs w:val="28"/>
        </w:rPr>
        <w:t>/r</w:t>
      </w:r>
      <w:r>
        <w:rPr>
          <w:rFonts w:eastAsia="仿宋_GB2312"/>
          <w:sz w:val="28"/>
          <w:szCs w:val="28"/>
          <w:vertAlign w:val="subscript"/>
        </w:rPr>
        <w:t>1</w:t>
      </w:r>
    </w:p>
    <w:p>
      <w:pPr>
        <w:spacing w:line="500" w:lineRule="exact"/>
        <w:ind w:firstLine="560" w:firstLineChars="200"/>
        <w:rPr>
          <w:rFonts w:eastAsia="仿宋_GB2312"/>
          <w:sz w:val="28"/>
          <w:szCs w:val="28"/>
        </w:rPr>
      </w:pPr>
      <w:r>
        <w:rPr>
          <w:rFonts w:eastAsia="仿宋_GB2312"/>
          <w:sz w:val="28"/>
          <w:szCs w:val="28"/>
        </w:rPr>
        <w:t>式中：L</w:t>
      </w:r>
      <w:r>
        <w:rPr>
          <w:rFonts w:eastAsia="仿宋_GB2312"/>
          <w:sz w:val="28"/>
          <w:szCs w:val="28"/>
          <w:vertAlign w:val="subscript"/>
        </w:rPr>
        <w:t>1</w:t>
      </w:r>
      <w:r>
        <w:rPr>
          <w:rFonts w:eastAsia="仿宋_GB2312"/>
          <w:sz w:val="28"/>
          <w:szCs w:val="28"/>
        </w:rPr>
        <w:t>、L</w:t>
      </w:r>
      <w:r>
        <w:rPr>
          <w:rFonts w:eastAsia="仿宋_GB2312"/>
          <w:sz w:val="28"/>
          <w:szCs w:val="28"/>
          <w:vertAlign w:val="subscript"/>
        </w:rPr>
        <w:t>2</w:t>
      </w:r>
      <w:r>
        <w:rPr>
          <w:rFonts w:eastAsia="仿宋_GB2312"/>
          <w:sz w:val="28"/>
          <w:szCs w:val="28"/>
        </w:rPr>
        <w:t>分别为距声源r</w:t>
      </w:r>
      <w:r>
        <w:rPr>
          <w:rFonts w:eastAsia="仿宋_GB2312"/>
          <w:sz w:val="28"/>
          <w:szCs w:val="28"/>
          <w:vertAlign w:val="subscript"/>
        </w:rPr>
        <w:t>1</w:t>
      </w:r>
      <w:r>
        <w:rPr>
          <w:rFonts w:eastAsia="仿宋_GB2312"/>
          <w:sz w:val="28"/>
          <w:szCs w:val="28"/>
        </w:rPr>
        <w:t>、r</w:t>
      </w:r>
      <w:r>
        <w:rPr>
          <w:rFonts w:eastAsia="仿宋_GB2312"/>
          <w:sz w:val="28"/>
          <w:szCs w:val="28"/>
          <w:vertAlign w:val="subscript"/>
        </w:rPr>
        <w:t>2</w:t>
      </w:r>
      <w:r>
        <w:rPr>
          <w:rFonts w:eastAsia="仿宋_GB2312"/>
          <w:sz w:val="28"/>
          <w:szCs w:val="28"/>
        </w:rPr>
        <w:t>处的等效A声级（dB（A））；</w:t>
      </w:r>
    </w:p>
    <w:p>
      <w:pPr>
        <w:spacing w:line="500" w:lineRule="exact"/>
        <w:ind w:firstLine="560" w:firstLineChars="200"/>
        <w:rPr>
          <w:rFonts w:eastAsia="仿宋_GB2312"/>
          <w:sz w:val="28"/>
          <w:szCs w:val="28"/>
        </w:rPr>
      </w:pPr>
      <w:r>
        <w:rPr>
          <w:rFonts w:eastAsia="仿宋_GB2312"/>
          <w:sz w:val="28"/>
          <w:szCs w:val="28"/>
        </w:rPr>
        <w:t xml:space="preserve">      r</w:t>
      </w:r>
      <w:r>
        <w:rPr>
          <w:rFonts w:eastAsia="仿宋_GB2312"/>
          <w:sz w:val="28"/>
          <w:szCs w:val="28"/>
          <w:vertAlign w:val="subscript"/>
        </w:rPr>
        <w:t>1</w:t>
      </w:r>
      <w:r>
        <w:rPr>
          <w:rFonts w:eastAsia="仿宋_GB2312"/>
          <w:sz w:val="28"/>
          <w:szCs w:val="28"/>
        </w:rPr>
        <w:t>、r</w:t>
      </w:r>
      <w:r>
        <w:rPr>
          <w:rFonts w:eastAsia="仿宋_GB2312"/>
          <w:sz w:val="28"/>
          <w:szCs w:val="28"/>
          <w:vertAlign w:val="subscript"/>
        </w:rPr>
        <w:t>2</w:t>
      </w:r>
      <w:r>
        <w:rPr>
          <w:rFonts w:eastAsia="仿宋_GB2312"/>
          <w:sz w:val="28"/>
          <w:szCs w:val="28"/>
        </w:rPr>
        <w:t>为接受点距声源的距离（m）。</w:t>
      </w:r>
    </w:p>
    <w:p>
      <w:pPr>
        <w:spacing w:line="500" w:lineRule="exact"/>
        <w:ind w:firstLine="560" w:firstLineChars="200"/>
        <w:rPr>
          <w:rFonts w:eastAsia="仿宋_GB2312"/>
          <w:sz w:val="28"/>
          <w:szCs w:val="28"/>
        </w:rPr>
      </w:pPr>
      <w:r>
        <w:rPr>
          <w:rFonts w:eastAsia="仿宋_GB2312"/>
          <w:sz w:val="28"/>
          <w:szCs w:val="28"/>
        </w:rPr>
        <w:t>由上式可推出噪声随距离增加而衰减的量ΔL：</w:t>
      </w:r>
    </w:p>
    <w:p>
      <w:pPr>
        <w:spacing w:line="500" w:lineRule="exact"/>
        <w:ind w:firstLine="560" w:firstLineChars="200"/>
        <w:rPr>
          <w:rFonts w:eastAsia="仿宋_GB2312"/>
          <w:sz w:val="28"/>
          <w:szCs w:val="28"/>
        </w:rPr>
      </w:pPr>
      <w:r>
        <w:rPr>
          <w:rFonts w:eastAsia="仿宋_GB2312"/>
          <w:sz w:val="28"/>
          <w:szCs w:val="28"/>
        </w:rPr>
        <w:t>ΔL=L</w:t>
      </w:r>
      <w:r>
        <w:rPr>
          <w:rFonts w:eastAsia="仿宋_GB2312"/>
          <w:sz w:val="28"/>
          <w:szCs w:val="28"/>
          <w:vertAlign w:val="subscript"/>
        </w:rPr>
        <w:t>1</w:t>
      </w:r>
      <w:r>
        <w:rPr>
          <w:rFonts w:eastAsia="仿宋_GB2312"/>
          <w:sz w:val="28"/>
          <w:szCs w:val="28"/>
        </w:rPr>
        <w:t>-L</w:t>
      </w:r>
      <w:r>
        <w:rPr>
          <w:rFonts w:eastAsia="仿宋_GB2312"/>
          <w:sz w:val="28"/>
          <w:szCs w:val="28"/>
          <w:vertAlign w:val="subscript"/>
        </w:rPr>
        <w:t>2</w:t>
      </w:r>
      <w:r>
        <w:rPr>
          <w:rFonts w:eastAsia="仿宋_GB2312"/>
          <w:sz w:val="28"/>
          <w:szCs w:val="28"/>
        </w:rPr>
        <w:t>=20lgr</w:t>
      </w:r>
      <w:r>
        <w:rPr>
          <w:rFonts w:eastAsia="仿宋_GB2312"/>
          <w:sz w:val="28"/>
          <w:szCs w:val="28"/>
          <w:vertAlign w:val="subscript"/>
        </w:rPr>
        <w:t>2</w:t>
      </w:r>
      <w:r>
        <w:rPr>
          <w:rFonts w:eastAsia="仿宋_GB2312"/>
          <w:sz w:val="28"/>
          <w:szCs w:val="28"/>
        </w:rPr>
        <w:t>/r</w:t>
      </w:r>
      <w:r>
        <w:rPr>
          <w:rFonts w:eastAsia="仿宋_GB2312"/>
          <w:sz w:val="28"/>
          <w:szCs w:val="28"/>
          <w:vertAlign w:val="subscript"/>
        </w:rPr>
        <w:t>1</w:t>
      </w:r>
    </w:p>
    <w:p>
      <w:pPr>
        <w:spacing w:line="500" w:lineRule="exact"/>
        <w:ind w:firstLine="560" w:firstLineChars="200"/>
        <w:rPr>
          <w:rFonts w:eastAsia="仿宋_GB2312"/>
          <w:sz w:val="28"/>
          <w:szCs w:val="28"/>
        </w:rPr>
      </w:pPr>
      <w:r>
        <w:rPr>
          <w:rFonts w:eastAsia="仿宋_GB2312"/>
          <w:sz w:val="28"/>
          <w:szCs w:val="28"/>
        </w:rPr>
        <w:t>由上式可计算出噪声值随距离衰减的情况，结果见表5.1-2。</w:t>
      </w:r>
    </w:p>
    <w:p>
      <w:pPr>
        <w:spacing w:line="500" w:lineRule="exact"/>
        <w:jc w:val="center"/>
        <w:rPr>
          <w:rFonts w:eastAsia="仿宋_GB2312"/>
          <w:b/>
          <w:bCs/>
          <w:sz w:val="24"/>
        </w:rPr>
      </w:pPr>
      <w:r>
        <w:rPr>
          <w:rFonts w:eastAsia="仿宋_GB2312"/>
          <w:b/>
          <w:bCs/>
          <w:sz w:val="24"/>
        </w:rPr>
        <w:t>表5.1-2  噪声值随距离的衰减关系</w:t>
      </w:r>
    </w:p>
    <w:tbl>
      <w:tblPr>
        <w:tblStyle w:val="8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8"/>
        <w:gridCol w:w="745"/>
        <w:gridCol w:w="747"/>
        <w:gridCol w:w="745"/>
        <w:gridCol w:w="747"/>
        <w:gridCol w:w="745"/>
        <w:gridCol w:w="747"/>
        <w:gridCol w:w="745"/>
        <w:gridCol w:w="747"/>
        <w:gridCol w:w="745"/>
        <w:gridCol w:w="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5" w:type="pct"/>
            <w:vAlign w:val="center"/>
          </w:tcPr>
          <w:p>
            <w:pPr>
              <w:adjustRightInd w:val="0"/>
              <w:snapToGrid w:val="0"/>
              <w:jc w:val="center"/>
              <w:rPr>
                <w:rFonts w:eastAsia="仿宋_GB2312"/>
                <w:b/>
              </w:rPr>
            </w:pPr>
            <w:r>
              <w:rPr>
                <w:rFonts w:eastAsia="仿宋_GB2312"/>
                <w:b/>
              </w:rPr>
              <w:t>距离（m）</w:t>
            </w:r>
          </w:p>
        </w:tc>
        <w:tc>
          <w:tcPr>
            <w:tcW w:w="422" w:type="pct"/>
            <w:vAlign w:val="center"/>
          </w:tcPr>
          <w:p>
            <w:pPr>
              <w:adjustRightInd w:val="0"/>
              <w:snapToGrid w:val="0"/>
              <w:jc w:val="center"/>
              <w:rPr>
                <w:rFonts w:eastAsia="仿宋_GB2312"/>
                <w:b/>
              </w:rPr>
            </w:pPr>
            <w:r>
              <w:rPr>
                <w:rFonts w:eastAsia="仿宋_GB2312"/>
                <w:b/>
              </w:rPr>
              <w:t>1</w:t>
            </w:r>
          </w:p>
        </w:tc>
        <w:tc>
          <w:tcPr>
            <w:tcW w:w="423" w:type="pct"/>
            <w:vAlign w:val="center"/>
          </w:tcPr>
          <w:p>
            <w:pPr>
              <w:adjustRightInd w:val="0"/>
              <w:snapToGrid w:val="0"/>
              <w:jc w:val="center"/>
              <w:rPr>
                <w:rFonts w:eastAsia="仿宋_GB2312"/>
                <w:b/>
              </w:rPr>
            </w:pPr>
            <w:r>
              <w:rPr>
                <w:rFonts w:eastAsia="仿宋_GB2312"/>
                <w:b/>
              </w:rPr>
              <w:t>10</w:t>
            </w:r>
          </w:p>
        </w:tc>
        <w:tc>
          <w:tcPr>
            <w:tcW w:w="422" w:type="pct"/>
            <w:vAlign w:val="center"/>
          </w:tcPr>
          <w:p>
            <w:pPr>
              <w:adjustRightInd w:val="0"/>
              <w:snapToGrid w:val="0"/>
              <w:jc w:val="center"/>
              <w:rPr>
                <w:rFonts w:eastAsia="仿宋_GB2312"/>
                <w:b/>
              </w:rPr>
            </w:pPr>
            <w:r>
              <w:rPr>
                <w:rFonts w:eastAsia="仿宋_GB2312"/>
                <w:b/>
              </w:rPr>
              <w:t>50</w:t>
            </w:r>
          </w:p>
        </w:tc>
        <w:tc>
          <w:tcPr>
            <w:tcW w:w="423" w:type="pct"/>
            <w:vAlign w:val="center"/>
          </w:tcPr>
          <w:p>
            <w:pPr>
              <w:adjustRightInd w:val="0"/>
              <w:snapToGrid w:val="0"/>
              <w:jc w:val="center"/>
              <w:rPr>
                <w:rFonts w:eastAsia="仿宋_GB2312"/>
                <w:b/>
              </w:rPr>
            </w:pPr>
            <w:r>
              <w:rPr>
                <w:rFonts w:eastAsia="仿宋_GB2312"/>
                <w:b/>
              </w:rPr>
              <w:t>100</w:t>
            </w:r>
          </w:p>
        </w:tc>
        <w:tc>
          <w:tcPr>
            <w:tcW w:w="422" w:type="pct"/>
            <w:vAlign w:val="center"/>
          </w:tcPr>
          <w:p>
            <w:pPr>
              <w:adjustRightInd w:val="0"/>
              <w:snapToGrid w:val="0"/>
              <w:jc w:val="center"/>
              <w:rPr>
                <w:rFonts w:eastAsia="仿宋_GB2312"/>
                <w:b/>
              </w:rPr>
            </w:pPr>
            <w:r>
              <w:rPr>
                <w:rFonts w:eastAsia="仿宋_GB2312"/>
                <w:b/>
              </w:rPr>
              <w:t>150</w:t>
            </w:r>
          </w:p>
        </w:tc>
        <w:tc>
          <w:tcPr>
            <w:tcW w:w="423" w:type="pct"/>
            <w:vAlign w:val="center"/>
          </w:tcPr>
          <w:p>
            <w:pPr>
              <w:adjustRightInd w:val="0"/>
              <w:snapToGrid w:val="0"/>
              <w:jc w:val="center"/>
              <w:rPr>
                <w:rFonts w:eastAsia="仿宋_GB2312"/>
                <w:b/>
              </w:rPr>
            </w:pPr>
            <w:r>
              <w:rPr>
                <w:rFonts w:eastAsia="仿宋_GB2312"/>
                <w:b/>
              </w:rPr>
              <w:t>200</w:t>
            </w:r>
          </w:p>
        </w:tc>
        <w:tc>
          <w:tcPr>
            <w:tcW w:w="422" w:type="pct"/>
            <w:vAlign w:val="center"/>
          </w:tcPr>
          <w:p>
            <w:pPr>
              <w:adjustRightInd w:val="0"/>
              <w:snapToGrid w:val="0"/>
              <w:jc w:val="center"/>
              <w:rPr>
                <w:rFonts w:eastAsia="仿宋_GB2312"/>
                <w:b/>
              </w:rPr>
            </w:pPr>
            <w:r>
              <w:rPr>
                <w:rFonts w:eastAsia="仿宋_GB2312"/>
                <w:b/>
              </w:rPr>
              <w:t>250</w:t>
            </w:r>
          </w:p>
        </w:tc>
        <w:tc>
          <w:tcPr>
            <w:tcW w:w="423" w:type="pct"/>
            <w:vAlign w:val="center"/>
          </w:tcPr>
          <w:p>
            <w:pPr>
              <w:adjustRightInd w:val="0"/>
              <w:snapToGrid w:val="0"/>
              <w:jc w:val="center"/>
              <w:rPr>
                <w:rFonts w:eastAsia="仿宋_GB2312"/>
                <w:b/>
              </w:rPr>
            </w:pPr>
            <w:r>
              <w:rPr>
                <w:rFonts w:eastAsia="仿宋_GB2312"/>
                <w:b/>
              </w:rPr>
              <w:t>300</w:t>
            </w:r>
          </w:p>
        </w:tc>
        <w:tc>
          <w:tcPr>
            <w:tcW w:w="422" w:type="pct"/>
            <w:vAlign w:val="center"/>
          </w:tcPr>
          <w:p>
            <w:pPr>
              <w:adjustRightInd w:val="0"/>
              <w:snapToGrid w:val="0"/>
              <w:jc w:val="center"/>
              <w:rPr>
                <w:rFonts w:eastAsia="仿宋_GB2312"/>
                <w:b/>
              </w:rPr>
            </w:pPr>
            <w:r>
              <w:rPr>
                <w:rFonts w:eastAsia="仿宋_GB2312"/>
                <w:b/>
              </w:rPr>
              <w:t>400</w:t>
            </w:r>
          </w:p>
        </w:tc>
        <w:tc>
          <w:tcPr>
            <w:tcW w:w="422" w:type="pct"/>
            <w:vAlign w:val="center"/>
          </w:tcPr>
          <w:p>
            <w:pPr>
              <w:adjustRightInd w:val="0"/>
              <w:snapToGrid w:val="0"/>
              <w:jc w:val="center"/>
              <w:rPr>
                <w:rFonts w:eastAsia="仿宋_GB2312"/>
                <w:b/>
              </w:rPr>
            </w:pPr>
            <w:r>
              <w:rPr>
                <w:rFonts w:eastAsia="仿宋_GB2312"/>
                <w:b/>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5" w:type="pct"/>
            <w:vAlign w:val="center"/>
          </w:tcPr>
          <w:p>
            <w:pPr>
              <w:adjustRightInd w:val="0"/>
              <w:snapToGrid w:val="0"/>
              <w:jc w:val="center"/>
              <w:rPr>
                <w:rFonts w:eastAsia="仿宋_GB2312"/>
              </w:rPr>
            </w:pPr>
            <w:r>
              <w:rPr>
                <w:rFonts w:eastAsia="仿宋_GB2312"/>
              </w:rPr>
              <w:t>ΔL dB（A）</w:t>
            </w:r>
          </w:p>
        </w:tc>
        <w:tc>
          <w:tcPr>
            <w:tcW w:w="422" w:type="pct"/>
            <w:vAlign w:val="center"/>
          </w:tcPr>
          <w:p>
            <w:pPr>
              <w:adjustRightInd w:val="0"/>
              <w:snapToGrid w:val="0"/>
              <w:jc w:val="center"/>
              <w:rPr>
                <w:rFonts w:eastAsia="仿宋_GB2312"/>
              </w:rPr>
            </w:pPr>
            <w:r>
              <w:rPr>
                <w:rFonts w:eastAsia="仿宋_GB2312"/>
              </w:rPr>
              <w:t>0</w:t>
            </w:r>
          </w:p>
        </w:tc>
        <w:tc>
          <w:tcPr>
            <w:tcW w:w="423" w:type="pct"/>
            <w:vAlign w:val="center"/>
          </w:tcPr>
          <w:p>
            <w:pPr>
              <w:adjustRightInd w:val="0"/>
              <w:snapToGrid w:val="0"/>
              <w:jc w:val="center"/>
              <w:rPr>
                <w:rFonts w:eastAsia="仿宋_GB2312"/>
              </w:rPr>
            </w:pPr>
            <w:r>
              <w:rPr>
                <w:rFonts w:eastAsia="仿宋_GB2312"/>
              </w:rPr>
              <w:t>20</w:t>
            </w:r>
          </w:p>
        </w:tc>
        <w:tc>
          <w:tcPr>
            <w:tcW w:w="422" w:type="pct"/>
            <w:vAlign w:val="center"/>
          </w:tcPr>
          <w:p>
            <w:pPr>
              <w:adjustRightInd w:val="0"/>
              <w:snapToGrid w:val="0"/>
              <w:jc w:val="center"/>
              <w:rPr>
                <w:rFonts w:eastAsia="仿宋_GB2312"/>
              </w:rPr>
            </w:pPr>
            <w:r>
              <w:rPr>
                <w:rFonts w:eastAsia="仿宋_GB2312"/>
              </w:rPr>
              <w:t>34</w:t>
            </w:r>
          </w:p>
        </w:tc>
        <w:tc>
          <w:tcPr>
            <w:tcW w:w="423" w:type="pct"/>
            <w:vAlign w:val="center"/>
          </w:tcPr>
          <w:p>
            <w:pPr>
              <w:adjustRightInd w:val="0"/>
              <w:snapToGrid w:val="0"/>
              <w:jc w:val="center"/>
              <w:rPr>
                <w:rFonts w:eastAsia="仿宋_GB2312"/>
              </w:rPr>
            </w:pPr>
            <w:r>
              <w:rPr>
                <w:rFonts w:eastAsia="仿宋_GB2312"/>
              </w:rPr>
              <w:t>40</w:t>
            </w:r>
          </w:p>
        </w:tc>
        <w:tc>
          <w:tcPr>
            <w:tcW w:w="422" w:type="pct"/>
            <w:vAlign w:val="center"/>
          </w:tcPr>
          <w:p>
            <w:pPr>
              <w:adjustRightInd w:val="0"/>
              <w:snapToGrid w:val="0"/>
              <w:jc w:val="center"/>
              <w:rPr>
                <w:rFonts w:eastAsia="仿宋_GB2312"/>
              </w:rPr>
            </w:pPr>
            <w:r>
              <w:rPr>
                <w:rFonts w:eastAsia="仿宋_GB2312"/>
              </w:rPr>
              <w:t>43</w:t>
            </w:r>
          </w:p>
        </w:tc>
        <w:tc>
          <w:tcPr>
            <w:tcW w:w="423" w:type="pct"/>
            <w:vAlign w:val="center"/>
          </w:tcPr>
          <w:p>
            <w:pPr>
              <w:adjustRightInd w:val="0"/>
              <w:snapToGrid w:val="0"/>
              <w:jc w:val="center"/>
              <w:rPr>
                <w:rFonts w:eastAsia="仿宋_GB2312"/>
              </w:rPr>
            </w:pPr>
            <w:r>
              <w:rPr>
                <w:rFonts w:eastAsia="仿宋_GB2312"/>
              </w:rPr>
              <w:t>46</w:t>
            </w:r>
          </w:p>
        </w:tc>
        <w:tc>
          <w:tcPr>
            <w:tcW w:w="422" w:type="pct"/>
            <w:vAlign w:val="center"/>
          </w:tcPr>
          <w:p>
            <w:pPr>
              <w:adjustRightInd w:val="0"/>
              <w:snapToGrid w:val="0"/>
              <w:jc w:val="center"/>
              <w:rPr>
                <w:rFonts w:eastAsia="仿宋_GB2312"/>
              </w:rPr>
            </w:pPr>
            <w:r>
              <w:rPr>
                <w:rFonts w:eastAsia="仿宋_GB2312"/>
              </w:rPr>
              <w:t>48</w:t>
            </w:r>
          </w:p>
        </w:tc>
        <w:tc>
          <w:tcPr>
            <w:tcW w:w="423" w:type="pct"/>
            <w:vAlign w:val="center"/>
          </w:tcPr>
          <w:p>
            <w:pPr>
              <w:adjustRightInd w:val="0"/>
              <w:snapToGrid w:val="0"/>
              <w:jc w:val="center"/>
              <w:rPr>
                <w:rFonts w:eastAsia="仿宋_GB2312"/>
              </w:rPr>
            </w:pPr>
            <w:r>
              <w:rPr>
                <w:rFonts w:eastAsia="仿宋_GB2312"/>
              </w:rPr>
              <w:t>49</w:t>
            </w:r>
          </w:p>
        </w:tc>
        <w:tc>
          <w:tcPr>
            <w:tcW w:w="422" w:type="pct"/>
            <w:vAlign w:val="center"/>
          </w:tcPr>
          <w:p>
            <w:pPr>
              <w:adjustRightInd w:val="0"/>
              <w:snapToGrid w:val="0"/>
              <w:jc w:val="center"/>
              <w:rPr>
                <w:rFonts w:eastAsia="仿宋_GB2312"/>
              </w:rPr>
            </w:pPr>
            <w:r>
              <w:rPr>
                <w:rFonts w:eastAsia="仿宋_GB2312"/>
              </w:rPr>
              <w:t>52</w:t>
            </w:r>
          </w:p>
        </w:tc>
        <w:tc>
          <w:tcPr>
            <w:tcW w:w="422" w:type="pct"/>
            <w:vAlign w:val="center"/>
          </w:tcPr>
          <w:p>
            <w:pPr>
              <w:adjustRightInd w:val="0"/>
              <w:snapToGrid w:val="0"/>
              <w:jc w:val="center"/>
              <w:rPr>
                <w:rFonts w:eastAsia="仿宋_GB2312"/>
              </w:rPr>
            </w:pPr>
            <w:r>
              <w:rPr>
                <w:rFonts w:eastAsia="仿宋_GB2312"/>
              </w:rPr>
              <w:t>57</w:t>
            </w:r>
          </w:p>
        </w:tc>
      </w:tr>
    </w:tbl>
    <w:p>
      <w:pPr>
        <w:spacing w:line="500" w:lineRule="exact"/>
        <w:ind w:firstLine="560" w:firstLineChars="200"/>
        <w:rPr>
          <w:rFonts w:eastAsia="仿宋_GB2312"/>
          <w:sz w:val="28"/>
          <w:szCs w:val="28"/>
        </w:rPr>
      </w:pPr>
      <w:r>
        <w:rPr>
          <w:rFonts w:eastAsia="仿宋_GB2312"/>
          <w:sz w:val="28"/>
          <w:szCs w:val="28"/>
        </w:rPr>
        <w:t>为了减轻施工噪声对周围环境的影响，建议采取以下措施：</w:t>
      </w:r>
    </w:p>
    <w:p>
      <w:pPr>
        <w:spacing w:line="500" w:lineRule="exact"/>
        <w:ind w:firstLine="560" w:firstLineChars="200"/>
        <w:rPr>
          <w:rFonts w:eastAsia="仿宋_GB2312"/>
          <w:sz w:val="28"/>
          <w:szCs w:val="28"/>
        </w:rPr>
      </w:pPr>
      <w:r>
        <w:rPr>
          <w:rFonts w:eastAsia="仿宋_GB2312"/>
          <w:sz w:val="28"/>
          <w:szCs w:val="28"/>
        </w:rPr>
        <w:t>（1）加强施工管理，合理安排施工作业时间，严格按照施工噪声管理的有关规定执行，严禁夜间进行高噪声施工作业。</w:t>
      </w:r>
    </w:p>
    <w:p>
      <w:pPr>
        <w:spacing w:line="500" w:lineRule="exact"/>
        <w:ind w:firstLine="560" w:firstLineChars="200"/>
        <w:rPr>
          <w:rFonts w:eastAsia="仿宋_GB2312"/>
          <w:sz w:val="28"/>
          <w:szCs w:val="28"/>
        </w:rPr>
      </w:pPr>
      <w:r>
        <w:rPr>
          <w:rFonts w:eastAsia="仿宋_GB2312"/>
          <w:sz w:val="28"/>
          <w:szCs w:val="28"/>
        </w:rPr>
        <w:t>（2）尽量采用低噪声的施工工具和施工方法，如以液压代替气压。</w:t>
      </w:r>
    </w:p>
    <w:p>
      <w:pPr>
        <w:spacing w:line="500" w:lineRule="exact"/>
        <w:ind w:firstLine="560" w:firstLineChars="200"/>
        <w:rPr>
          <w:rFonts w:eastAsia="仿宋_GB2312"/>
          <w:sz w:val="28"/>
          <w:szCs w:val="28"/>
        </w:rPr>
      </w:pPr>
      <w:r>
        <w:rPr>
          <w:rFonts w:eastAsia="仿宋_GB2312"/>
          <w:sz w:val="28"/>
          <w:szCs w:val="28"/>
        </w:rPr>
        <w:t>（3）施工机械应尽可能放置于对周围敏感点造成影响最小的地点。</w:t>
      </w:r>
    </w:p>
    <w:p>
      <w:pPr>
        <w:spacing w:line="500" w:lineRule="exact"/>
        <w:ind w:firstLine="560" w:firstLineChars="200"/>
        <w:rPr>
          <w:rFonts w:eastAsia="仿宋_GB2312"/>
          <w:sz w:val="28"/>
          <w:szCs w:val="28"/>
        </w:rPr>
      </w:pPr>
      <w:r>
        <w:rPr>
          <w:rFonts w:eastAsia="仿宋_GB2312"/>
          <w:sz w:val="28"/>
          <w:szCs w:val="28"/>
        </w:rPr>
        <w:t>（4）在高噪声设备周围设置掩蔽物。</w:t>
      </w:r>
    </w:p>
    <w:p>
      <w:pPr>
        <w:spacing w:line="500" w:lineRule="exact"/>
        <w:ind w:firstLine="560" w:firstLineChars="200"/>
        <w:rPr>
          <w:rFonts w:eastAsia="仿宋_GB2312"/>
          <w:sz w:val="28"/>
          <w:szCs w:val="28"/>
        </w:rPr>
      </w:pPr>
      <w:r>
        <w:rPr>
          <w:rFonts w:eastAsia="仿宋_GB2312"/>
          <w:sz w:val="28"/>
          <w:szCs w:val="28"/>
        </w:rPr>
        <w:t>（5）混凝土需要连续浇灌作业前，应做好各项准备工作，将搅拌机运行时间压到最低限度。</w:t>
      </w:r>
    </w:p>
    <w:p>
      <w:pPr>
        <w:spacing w:line="500" w:lineRule="exact"/>
        <w:ind w:firstLine="560" w:firstLineChars="200"/>
        <w:rPr>
          <w:rFonts w:eastAsia="仿宋_GB2312"/>
          <w:sz w:val="28"/>
          <w:szCs w:val="28"/>
        </w:rPr>
      </w:pPr>
      <w:r>
        <w:rPr>
          <w:rFonts w:eastAsia="仿宋_GB2312"/>
          <w:sz w:val="28"/>
          <w:szCs w:val="28"/>
        </w:rPr>
        <w:t>（6）加强对施工运输车辆的管理，尽量压缩工区汽车数量和行车密度，控制汽车鸣笛。</w:t>
      </w:r>
    </w:p>
    <w:p>
      <w:pPr>
        <w:spacing w:line="500" w:lineRule="exact"/>
        <w:ind w:firstLine="562" w:firstLineChars="200"/>
        <w:rPr>
          <w:rFonts w:eastAsia="仿宋_GB2312"/>
          <w:b/>
          <w:sz w:val="28"/>
          <w:szCs w:val="28"/>
        </w:rPr>
      </w:pPr>
      <w:r>
        <w:rPr>
          <w:rFonts w:eastAsia="仿宋_GB2312"/>
          <w:b/>
          <w:sz w:val="28"/>
          <w:szCs w:val="28"/>
        </w:rPr>
        <w:t>2、固废</w:t>
      </w:r>
    </w:p>
    <w:p>
      <w:pPr>
        <w:spacing w:line="500" w:lineRule="exact"/>
        <w:ind w:firstLine="560" w:firstLineChars="200"/>
        <w:rPr>
          <w:rFonts w:eastAsia="仿宋_GB2312"/>
          <w:sz w:val="28"/>
          <w:szCs w:val="28"/>
        </w:rPr>
      </w:pPr>
      <w:r>
        <w:rPr>
          <w:rFonts w:eastAsia="仿宋_GB2312"/>
          <w:sz w:val="28"/>
          <w:szCs w:val="28"/>
        </w:rPr>
        <w:t>施工期产生的固体废弃物主要为施工人员产生的生活垃圾，该部分生活垃圾纳入公司员工日常生活产生的生活垃圾一并处理，即由公司内部保洁人员统一收集后，交由环卫部门定期清运处理，因此对周围的环境影响较小。</w:t>
      </w:r>
    </w:p>
    <w:p>
      <w:pPr>
        <w:spacing w:line="500" w:lineRule="exact"/>
        <w:ind w:firstLine="562" w:firstLineChars="200"/>
        <w:rPr>
          <w:rFonts w:eastAsia="仿宋_GB2312"/>
          <w:b/>
          <w:sz w:val="28"/>
          <w:szCs w:val="28"/>
        </w:rPr>
      </w:pPr>
      <w:r>
        <w:rPr>
          <w:rFonts w:hint="eastAsia" w:eastAsia="仿宋_GB2312"/>
          <w:b/>
          <w:sz w:val="28"/>
          <w:szCs w:val="28"/>
        </w:rPr>
        <w:t>3、</w:t>
      </w:r>
      <w:r>
        <w:rPr>
          <w:rFonts w:eastAsia="仿宋_GB2312"/>
          <w:b/>
          <w:sz w:val="28"/>
          <w:szCs w:val="28"/>
        </w:rPr>
        <w:t>风险</w:t>
      </w:r>
    </w:p>
    <w:p>
      <w:pPr>
        <w:spacing w:line="500" w:lineRule="exact"/>
        <w:ind w:firstLine="560" w:firstLineChars="200"/>
        <w:rPr>
          <w:rFonts w:eastAsia="仿宋_GB2312"/>
          <w:sz w:val="28"/>
          <w:szCs w:val="28"/>
        </w:rPr>
      </w:pPr>
      <w:r>
        <w:rPr>
          <w:rFonts w:eastAsia="仿宋_GB2312"/>
          <w:sz w:val="28"/>
          <w:szCs w:val="28"/>
        </w:rPr>
        <w:t>运营期存在的主要安全风险为中毒和窒息、淹溺、火灾、高处坠落、触电等，因此，要加强管理，主要安全防范措施有：根据生产特点合理布置项目建构筑物及设备设施，确保安全距离符合相关标准的要求；按照规范的要求配置消防器材；应制定各岗位的安全生产责任制、安全管理规章制度、安全操作规程，并制定应急预案并定期演练；主要负责人和安全员应具备安全管理的知识和能力，特种作业人员应持证上岗；加强对员工进行安全教育；在危险场所设置安全警示标志。</w:t>
      </w:r>
    </w:p>
    <w:p>
      <w:pPr>
        <w:keepNext/>
        <w:keepLines/>
        <w:numPr>
          <w:ilvl w:val="1"/>
          <w:numId w:val="1"/>
        </w:numPr>
        <w:tabs>
          <w:tab w:val="left" w:pos="0"/>
          <w:tab w:val="left" w:pos="426"/>
        </w:tabs>
        <w:spacing w:before="120" w:beforeLines="50" w:after="120" w:afterLines="50" w:line="500" w:lineRule="exact"/>
        <w:outlineLvl w:val="1"/>
        <w:rPr>
          <w:rFonts w:eastAsia="仿宋_GB2312"/>
          <w:b/>
          <w:spacing w:val="6"/>
          <w:kern w:val="0"/>
          <w:sz w:val="30"/>
          <w:szCs w:val="30"/>
        </w:rPr>
      </w:pPr>
      <w:bookmarkStart w:id="325" w:name="_Toc140565272"/>
      <w:r>
        <w:rPr>
          <w:rFonts w:eastAsia="仿宋_GB2312"/>
          <w:b/>
          <w:spacing w:val="6"/>
          <w:kern w:val="0"/>
          <w:sz w:val="30"/>
          <w:szCs w:val="30"/>
        </w:rPr>
        <w:t>运营期环境影响预测</w:t>
      </w:r>
      <w:bookmarkEnd w:id="325"/>
    </w:p>
    <w:p>
      <w:pPr>
        <w:keepNext/>
        <w:numPr>
          <w:ilvl w:val="2"/>
          <w:numId w:val="1"/>
        </w:numPr>
        <w:tabs>
          <w:tab w:val="left" w:pos="709"/>
        </w:tabs>
        <w:spacing w:after="120" w:afterLines="50" w:line="500" w:lineRule="exact"/>
        <w:ind w:left="0" w:firstLine="0"/>
        <w:outlineLvl w:val="2"/>
        <w:rPr>
          <w:rFonts w:eastAsia="仿宋_GB2312"/>
          <w:b/>
          <w:sz w:val="28"/>
          <w:szCs w:val="28"/>
        </w:rPr>
      </w:pPr>
      <w:r>
        <w:rPr>
          <w:rFonts w:eastAsia="仿宋_GB2312"/>
          <w:b/>
          <w:sz w:val="28"/>
          <w:szCs w:val="28"/>
        </w:rPr>
        <w:t>大气环境影响预测与评价</w:t>
      </w:r>
    </w:p>
    <w:p>
      <w:pPr>
        <w:keepNext/>
        <w:widowControl/>
        <w:numPr>
          <w:ilvl w:val="3"/>
          <w:numId w:val="1"/>
        </w:numPr>
        <w:adjustRightInd w:val="0"/>
        <w:snapToGrid w:val="0"/>
        <w:spacing w:after="120" w:afterLines="50" w:line="500" w:lineRule="exact"/>
        <w:ind w:left="0" w:firstLine="0"/>
        <w:jc w:val="left"/>
        <w:outlineLvl w:val="3"/>
        <w:rPr>
          <w:rFonts w:eastAsia="仿宋_GB2312"/>
          <w:b/>
          <w:bCs/>
          <w:sz w:val="28"/>
          <w:szCs w:val="28"/>
        </w:rPr>
      </w:pPr>
      <w:r>
        <w:rPr>
          <w:rFonts w:eastAsia="仿宋_GB2312"/>
          <w:b/>
          <w:bCs/>
          <w:sz w:val="28"/>
          <w:szCs w:val="28"/>
        </w:rPr>
        <w:t>高空及常规气象资料分析</w:t>
      </w:r>
    </w:p>
    <w:p>
      <w:pPr>
        <w:spacing w:line="500" w:lineRule="exact"/>
        <w:ind w:firstLine="560" w:firstLineChars="200"/>
        <w:rPr>
          <w:rFonts w:eastAsia="仿宋_GB2312"/>
          <w:sz w:val="28"/>
          <w:szCs w:val="28"/>
        </w:rPr>
      </w:pPr>
      <w:r>
        <w:rPr>
          <w:rFonts w:eastAsia="仿宋_GB2312"/>
          <w:sz w:val="28"/>
          <w:szCs w:val="28"/>
        </w:rPr>
        <w:t>1）气象概况</w:t>
      </w:r>
    </w:p>
    <w:p>
      <w:pPr>
        <w:spacing w:line="500" w:lineRule="exact"/>
        <w:ind w:firstLine="560" w:firstLineChars="200"/>
        <w:rPr>
          <w:rFonts w:eastAsia="仿宋_GB2312"/>
          <w:sz w:val="28"/>
          <w:szCs w:val="28"/>
        </w:rPr>
      </w:pPr>
      <w:r>
        <w:rPr>
          <w:rFonts w:eastAsia="仿宋_GB2312"/>
          <w:sz w:val="28"/>
          <w:szCs w:val="28"/>
        </w:rPr>
        <w:t>本项目采用的是金坛气象站（58342）资料，气象站位于江苏省常州市金坛区，地理坐标为东经119.55度，北纬31.7167度，海拔高度8米。气象站始建于1954年，1954年正式进行气象观测。</w:t>
      </w:r>
    </w:p>
    <w:p>
      <w:pPr>
        <w:spacing w:line="500" w:lineRule="exact"/>
        <w:ind w:firstLine="560" w:firstLineChars="200"/>
        <w:rPr>
          <w:rFonts w:eastAsia="仿宋_GB2312"/>
          <w:sz w:val="28"/>
          <w:szCs w:val="28"/>
        </w:rPr>
      </w:pPr>
      <w:r>
        <w:rPr>
          <w:rFonts w:eastAsia="仿宋_GB2312"/>
          <w:sz w:val="28"/>
          <w:szCs w:val="28"/>
        </w:rPr>
        <w:t>金坛气象站距本项目</w:t>
      </w:r>
      <w:r>
        <w:rPr>
          <w:rFonts w:hint="eastAsia" w:eastAsia="仿宋_GB2312"/>
          <w:sz w:val="28"/>
          <w:szCs w:val="28"/>
        </w:rPr>
        <w:t>6.5</w:t>
      </w:r>
      <w:r>
        <w:rPr>
          <w:rFonts w:eastAsia="仿宋_GB2312"/>
          <w:sz w:val="28"/>
          <w:szCs w:val="28"/>
        </w:rPr>
        <w:t>km（&lt;50km），是与本项目气象特征基本一致的国家气象站，拥有长期的气象观测资料。因此，本次预测采用的气象资料满足HJ 2.2-2018技术导则中相关要求。以下资料根据2000-2019年气象数据统计分析。</w:t>
      </w:r>
    </w:p>
    <w:p>
      <w:pPr>
        <w:spacing w:line="500" w:lineRule="exact"/>
        <w:ind w:firstLine="560" w:firstLineChars="200"/>
        <w:rPr>
          <w:rFonts w:eastAsia="仿宋_GB2312"/>
          <w:sz w:val="28"/>
          <w:szCs w:val="28"/>
        </w:rPr>
      </w:pPr>
      <w:r>
        <w:rPr>
          <w:rFonts w:eastAsia="仿宋_GB2312"/>
          <w:sz w:val="28"/>
          <w:szCs w:val="28"/>
        </w:rPr>
        <w:t>金坛气象站气象资料整编表如表5.2-1所示。</w:t>
      </w:r>
    </w:p>
    <w:p>
      <w:pPr>
        <w:widowControl/>
        <w:spacing w:line="500" w:lineRule="exact"/>
        <w:ind w:firstLine="482" w:firstLineChars="200"/>
        <w:jc w:val="center"/>
        <w:rPr>
          <w:rFonts w:eastAsia="仿宋_GB2312"/>
          <w:b/>
          <w:bCs/>
          <w:kern w:val="0"/>
          <w:sz w:val="24"/>
          <w:szCs w:val="21"/>
        </w:rPr>
      </w:pPr>
      <w:r>
        <w:rPr>
          <w:rFonts w:eastAsia="仿宋_GB2312"/>
          <w:b/>
          <w:bCs/>
          <w:kern w:val="0"/>
          <w:sz w:val="24"/>
          <w:szCs w:val="21"/>
        </w:rPr>
        <w:t>表5.2-1  金坛气象站常规气象项目统计（2000-2019年）</w:t>
      </w:r>
    </w:p>
    <w:tbl>
      <w:tblPr>
        <w:tblStyle w:val="8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9"/>
        <w:gridCol w:w="2989"/>
        <w:gridCol w:w="978"/>
        <w:gridCol w:w="1786"/>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48" w:type="dxa"/>
            <w:gridSpan w:val="2"/>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统计项目</w:t>
            </w:r>
          </w:p>
        </w:tc>
        <w:tc>
          <w:tcPr>
            <w:tcW w:w="978"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统计值</w:t>
            </w:r>
          </w:p>
        </w:tc>
        <w:tc>
          <w:tcPr>
            <w:tcW w:w="1786"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极值出现时间</w:t>
            </w:r>
          </w:p>
        </w:tc>
        <w:tc>
          <w:tcPr>
            <w:tcW w:w="1710"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极值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48" w:type="dxa"/>
            <w:gridSpan w:val="2"/>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多年平均气温（</w:t>
            </w:r>
            <w:r>
              <w:rPr>
                <w:rFonts w:hint="eastAsia" w:ascii="仿宋" w:hAnsi="仿宋" w:eastAsia="仿宋" w:cs="仿宋"/>
                <w:bCs/>
                <w:szCs w:val="21"/>
              </w:rPr>
              <w:t>℃</w:t>
            </w:r>
            <w:r>
              <w:rPr>
                <w:rFonts w:ascii="仿宋" w:hAnsi="仿宋" w:eastAsia="仿宋" w:cs="仿宋"/>
                <w:bCs/>
                <w:szCs w:val="21"/>
              </w:rPr>
              <w:t>）</w:t>
            </w:r>
          </w:p>
        </w:tc>
        <w:tc>
          <w:tcPr>
            <w:tcW w:w="978"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16.7</w:t>
            </w:r>
          </w:p>
        </w:tc>
        <w:tc>
          <w:tcPr>
            <w:tcW w:w="1786"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w:t>
            </w:r>
          </w:p>
        </w:tc>
        <w:tc>
          <w:tcPr>
            <w:tcW w:w="1710"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48" w:type="dxa"/>
            <w:gridSpan w:val="2"/>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累年极端最高气温（</w:t>
            </w:r>
            <w:r>
              <w:rPr>
                <w:rFonts w:hint="eastAsia" w:ascii="仿宋" w:hAnsi="仿宋" w:eastAsia="仿宋" w:cs="仿宋"/>
                <w:bCs/>
                <w:szCs w:val="21"/>
              </w:rPr>
              <w:t>℃</w:t>
            </w:r>
            <w:r>
              <w:rPr>
                <w:rFonts w:ascii="仿宋" w:hAnsi="仿宋" w:eastAsia="仿宋" w:cs="仿宋"/>
                <w:bCs/>
                <w:szCs w:val="21"/>
              </w:rPr>
              <w:t>）</w:t>
            </w:r>
          </w:p>
        </w:tc>
        <w:tc>
          <w:tcPr>
            <w:tcW w:w="978"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38.1</w:t>
            </w:r>
          </w:p>
        </w:tc>
        <w:tc>
          <w:tcPr>
            <w:tcW w:w="1786"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2013-08-10</w:t>
            </w:r>
          </w:p>
        </w:tc>
        <w:tc>
          <w:tcPr>
            <w:tcW w:w="1710"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48" w:type="dxa"/>
            <w:gridSpan w:val="2"/>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累年极端最低气温（</w:t>
            </w:r>
            <w:r>
              <w:rPr>
                <w:rFonts w:hint="eastAsia" w:ascii="仿宋" w:hAnsi="仿宋" w:eastAsia="仿宋" w:cs="仿宋"/>
                <w:bCs/>
                <w:szCs w:val="21"/>
              </w:rPr>
              <w:t>℃</w:t>
            </w:r>
            <w:r>
              <w:rPr>
                <w:rFonts w:ascii="仿宋" w:hAnsi="仿宋" w:eastAsia="仿宋" w:cs="仿宋"/>
                <w:bCs/>
                <w:szCs w:val="21"/>
              </w:rPr>
              <w:t>）</w:t>
            </w:r>
          </w:p>
        </w:tc>
        <w:tc>
          <w:tcPr>
            <w:tcW w:w="978"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-5.8</w:t>
            </w:r>
          </w:p>
        </w:tc>
        <w:tc>
          <w:tcPr>
            <w:tcW w:w="1786"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2011-01-16</w:t>
            </w:r>
          </w:p>
        </w:tc>
        <w:tc>
          <w:tcPr>
            <w:tcW w:w="1710"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48" w:type="dxa"/>
            <w:gridSpan w:val="2"/>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多年平均气压（hPa）</w:t>
            </w:r>
          </w:p>
        </w:tc>
        <w:tc>
          <w:tcPr>
            <w:tcW w:w="978"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1015.7</w:t>
            </w:r>
          </w:p>
        </w:tc>
        <w:tc>
          <w:tcPr>
            <w:tcW w:w="1786"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w:t>
            </w:r>
          </w:p>
        </w:tc>
        <w:tc>
          <w:tcPr>
            <w:tcW w:w="1710"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48" w:type="dxa"/>
            <w:gridSpan w:val="2"/>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多年平均水汽压（hPa）</w:t>
            </w:r>
          </w:p>
        </w:tc>
        <w:tc>
          <w:tcPr>
            <w:tcW w:w="978"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16.2</w:t>
            </w:r>
          </w:p>
        </w:tc>
        <w:tc>
          <w:tcPr>
            <w:tcW w:w="1786"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w:t>
            </w:r>
          </w:p>
        </w:tc>
        <w:tc>
          <w:tcPr>
            <w:tcW w:w="1710"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48" w:type="dxa"/>
            <w:gridSpan w:val="2"/>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多年平均相对湿度（%）</w:t>
            </w:r>
          </w:p>
        </w:tc>
        <w:tc>
          <w:tcPr>
            <w:tcW w:w="978"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74.6</w:t>
            </w:r>
          </w:p>
        </w:tc>
        <w:tc>
          <w:tcPr>
            <w:tcW w:w="1786"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w:t>
            </w:r>
          </w:p>
        </w:tc>
        <w:tc>
          <w:tcPr>
            <w:tcW w:w="1710"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48" w:type="dxa"/>
            <w:gridSpan w:val="2"/>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多年平均降雨量（mm）</w:t>
            </w:r>
          </w:p>
        </w:tc>
        <w:tc>
          <w:tcPr>
            <w:tcW w:w="978"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1203.3</w:t>
            </w:r>
          </w:p>
        </w:tc>
        <w:tc>
          <w:tcPr>
            <w:tcW w:w="1786"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2015-06-27</w:t>
            </w:r>
          </w:p>
        </w:tc>
        <w:tc>
          <w:tcPr>
            <w:tcW w:w="1710"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274.6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9" w:type="dxa"/>
            <w:vMerge w:val="restart"/>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灾害天气统计</w:t>
            </w:r>
          </w:p>
        </w:tc>
        <w:tc>
          <w:tcPr>
            <w:tcW w:w="2989"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多年平均沙暴日数（d）</w:t>
            </w:r>
          </w:p>
        </w:tc>
        <w:tc>
          <w:tcPr>
            <w:tcW w:w="978"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0.0</w:t>
            </w:r>
          </w:p>
        </w:tc>
        <w:tc>
          <w:tcPr>
            <w:tcW w:w="1786"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w:t>
            </w:r>
          </w:p>
        </w:tc>
        <w:tc>
          <w:tcPr>
            <w:tcW w:w="1710"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9" w:type="dxa"/>
            <w:vMerge w:val="continue"/>
            <w:tcBorders>
              <w:tl2br w:val="nil"/>
              <w:tr2bl w:val="nil"/>
            </w:tcBorders>
            <w:vAlign w:val="center"/>
          </w:tcPr>
          <w:p>
            <w:pPr>
              <w:spacing w:line="240" w:lineRule="exact"/>
              <w:jc w:val="center"/>
              <w:rPr>
                <w:rFonts w:ascii="仿宋" w:hAnsi="仿宋" w:eastAsia="仿宋" w:cs="仿宋"/>
                <w:bCs/>
                <w:szCs w:val="21"/>
              </w:rPr>
            </w:pPr>
          </w:p>
        </w:tc>
        <w:tc>
          <w:tcPr>
            <w:tcW w:w="2989"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多年平均雷暴日数（d）</w:t>
            </w:r>
          </w:p>
        </w:tc>
        <w:tc>
          <w:tcPr>
            <w:tcW w:w="978"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22.9</w:t>
            </w:r>
          </w:p>
        </w:tc>
        <w:tc>
          <w:tcPr>
            <w:tcW w:w="1786"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w:t>
            </w:r>
          </w:p>
        </w:tc>
        <w:tc>
          <w:tcPr>
            <w:tcW w:w="1710"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9" w:type="dxa"/>
            <w:vMerge w:val="continue"/>
            <w:tcBorders>
              <w:tl2br w:val="nil"/>
              <w:tr2bl w:val="nil"/>
            </w:tcBorders>
            <w:vAlign w:val="center"/>
          </w:tcPr>
          <w:p>
            <w:pPr>
              <w:spacing w:line="240" w:lineRule="exact"/>
              <w:jc w:val="center"/>
              <w:rPr>
                <w:rFonts w:ascii="仿宋" w:hAnsi="仿宋" w:eastAsia="仿宋" w:cs="仿宋"/>
                <w:bCs/>
                <w:szCs w:val="21"/>
              </w:rPr>
            </w:pPr>
          </w:p>
        </w:tc>
        <w:tc>
          <w:tcPr>
            <w:tcW w:w="2989"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多年平均冰雹日数（d）</w:t>
            </w:r>
          </w:p>
        </w:tc>
        <w:tc>
          <w:tcPr>
            <w:tcW w:w="978"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0.0</w:t>
            </w:r>
          </w:p>
        </w:tc>
        <w:tc>
          <w:tcPr>
            <w:tcW w:w="1786"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w:t>
            </w:r>
          </w:p>
        </w:tc>
        <w:tc>
          <w:tcPr>
            <w:tcW w:w="1710"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9" w:type="dxa"/>
            <w:vMerge w:val="continue"/>
            <w:tcBorders>
              <w:tl2br w:val="nil"/>
              <w:tr2bl w:val="nil"/>
            </w:tcBorders>
            <w:vAlign w:val="center"/>
          </w:tcPr>
          <w:p>
            <w:pPr>
              <w:spacing w:line="240" w:lineRule="exact"/>
              <w:jc w:val="center"/>
              <w:rPr>
                <w:rFonts w:ascii="仿宋" w:hAnsi="仿宋" w:eastAsia="仿宋" w:cs="仿宋"/>
                <w:bCs/>
                <w:szCs w:val="21"/>
              </w:rPr>
            </w:pPr>
          </w:p>
        </w:tc>
        <w:tc>
          <w:tcPr>
            <w:tcW w:w="2989"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多年平均大风日数（d）</w:t>
            </w:r>
          </w:p>
        </w:tc>
        <w:tc>
          <w:tcPr>
            <w:tcW w:w="978"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4.0</w:t>
            </w:r>
          </w:p>
        </w:tc>
        <w:tc>
          <w:tcPr>
            <w:tcW w:w="1786"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w:t>
            </w:r>
          </w:p>
        </w:tc>
        <w:tc>
          <w:tcPr>
            <w:tcW w:w="1710"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48" w:type="dxa"/>
            <w:gridSpan w:val="2"/>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多年实测极大风速（m/s）、相应风向</w:t>
            </w:r>
          </w:p>
        </w:tc>
        <w:tc>
          <w:tcPr>
            <w:tcW w:w="978"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22.5</w:t>
            </w:r>
          </w:p>
        </w:tc>
        <w:tc>
          <w:tcPr>
            <w:tcW w:w="1786"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2009-06-14</w:t>
            </w:r>
          </w:p>
        </w:tc>
        <w:tc>
          <w:tcPr>
            <w:tcW w:w="1710"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29.3</w:t>
            </w:r>
          </w:p>
          <w:p>
            <w:pPr>
              <w:spacing w:line="240" w:lineRule="exact"/>
              <w:jc w:val="center"/>
              <w:rPr>
                <w:rFonts w:ascii="仿宋" w:hAnsi="仿宋" w:eastAsia="仿宋" w:cs="仿宋"/>
                <w:bCs/>
                <w:szCs w:val="21"/>
              </w:rPr>
            </w:pPr>
            <w:r>
              <w:rPr>
                <w:rFonts w:ascii="仿宋" w:hAnsi="仿宋" w:eastAsia="仿宋" w:cs="仿宋"/>
                <w:bCs/>
                <w:szCs w:val="21"/>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48" w:type="dxa"/>
            <w:gridSpan w:val="2"/>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多年平均风速（m/s）</w:t>
            </w:r>
          </w:p>
        </w:tc>
        <w:tc>
          <w:tcPr>
            <w:tcW w:w="978"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2.5</w:t>
            </w:r>
          </w:p>
        </w:tc>
        <w:tc>
          <w:tcPr>
            <w:tcW w:w="1786"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w:t>
            </w:r>
          </w:p>
        </w:tc>
        <w:tc>
          <w:tcPr>
            <w:tcW w:w="1710"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48" w:type="dxa"/>
            <w:gridSpan w:val="2"/>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多年主导风向、风向频率</w:t>
            </w:r>
          </w:p>
        </w:tc>
        <w:tc>
          <w:tcPr>
            <w:tcW w:w="978"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ESE</w:t>
            </w:r>
          </w:p>
          <w:p>
            <w:pPr>
              <w:spacing w:line="240" w:lineRule="exact"/>
              <w:jc w:val="center"/>
              <w:rPr>
                <w:rFonts w:ascii="仿宋" w:hAnsi="仿宋" w:eastAsia="仿宋" w:cs="仿宋"/>
                <w:bCs/>
                <w:szCs w:val="21"/>
              </w:rPr>
            </w:pPr>
            <w:r>
              <w:rPr>
                <w:rFonts w:ascii="仿宋" w:hAnsi="仿宋" w:eastAsia="仿宋" w:cs="仿宋"/>
                <w:bCs/>
                <w:szCs w:val="21"/>
              </w:rPr>
              <w:t>12.4%</w:t>
            </w:r>
          </w:p>
        </w:tc>
        <w:tc>
          <w:tcPr>
            <w:tcW w:w="1786"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w:t>
            </w:r>
          </w:p>
        </w:tc>
        <w:tc>
          <w:tcPr>
            <w:tcW w:w="1710"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48" w:type="dxa"/>
            <w:gridSpan w:val="2"/>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多年静风频率（风速≤0.2m/s）(%)</w:t>
            </w:r>
          </w:p>
        </w:tc>
        <w:tc>
          <w:tcPr>
            <w:tcW w:w="978"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4.3</w:t>
            </w:r>
          </w:p>
        </w:tc>
        <w:tc>
          <w:tcPr>
            <w:tcW w:w="1786"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w:t>
            </w:r>
          </w:p>
        </w:tc>
        <w:tc>
          <w:tcPr>
            <w:tcW w:w="1710"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w:t>
            </w:r>
          </w:p>
        </w:tc>
      </w:tr>
    </w:tbl>
    <w:p>
      <w:pPr>
        <w:spacing w:line="500" w:lineRule="exact"/>
        <w:ind w:firstLine="560" w:firstLineChars="200"/>
        <w:rPr>
          <w:rFonts w:eastAsia="仿宋_GB2312"/>
          <w:sz w:val="28"/>
          <w:szCs w:val="28"/>
        </w:rPr>
      </w:pPr>
      <w:r>
        <w:rPr>
          <w:rFonts w:eastAsia="仿宋_GB2312"/>
          <w:sz w:val="28"/>
          <w:szCs w:val="28"/>
        </w:rPr>
        <w:t>2）气象站风观测数据统计</w:t>
      </w:r>
    </w:p>
    <w:p>
      <w:pPr>
        <w:widowControl/>
        <w:spacing w:line="500" w:lineRule="exact"/>
        <w:ind w:firstLine="560" w:firstLineChars="200"/>
        <w:jc w:val="left"/>
        <w:rPr>
          <w:rFonts w:eastAsia="仿宋_GB2312"/>
          <w:kern w:val="0"/>
          <w:sz w:val="28"/>
          <w:szCs w:val="28"/>
        </w:rPr>
      </w:pPr>
      <w:r>
        <w:rPr>
          <w:rFonts w:eastAsia="仿宋_GB2312"/>
          <w:kern w:val="0"/>
          <w:sz w:val="28"/>
          <w:szCs w:val="28"/>
        </w:rPr>
        <w:t>（1）月平均风速</w:t>
      </w:r>
    </w:p>
    <w:p>
      <w:pPr>
        <w:widowControl/>
        <w:spacing w:line="500" w:lineRule="exact"/>
        <w:ind w:firstLine="560" w:firstLineChars="200"/>
        <w:jc w:val="left"/>
        <w:rPr>
          <w:rFonts w:eastAsia="仿宋_GB2312"/>
          <w:kern w:val="0"/>
          <w:sz w:val="28"/>
          <w:szCs w:val="28"/>
        </w:rPr>
      </w:pPr>
      <w:r>
        <w:rPr>
          <w:rFonts w:eastAsia="仿宋_GB2312"/>
          <w:kern w:val="0"/>
          <w:sz w:val="28"/>
          <w:szCs w:val="28"/>
        </w:rPr>
        <w:t>金坛气象站月平均风速如表5.</w:t>
      </w:r>
      <w:r>
        <w:rPr>
          <w:rFonts w:hint="eastAsia" w:eastAsia="仿宋_GB2312"/>
          <w:kern w:val="0"/>
          <w:sz w:val="28"/>
          <w:szCs w:val="28"/>
        </w:rPr>
        <w:t>1</w:t>
      </w:r>
      <w:r>
        <w:rPr>
          <w:rFonts w:eastAsia="仿宋_GB2312"/>
          <w:kern w:val="0"/>
          <w:sz w:val="28"/>
          <w:szCs w:val="28"/>
        </w:rPr>
        <w:t>-2，03月平均风速最大（2.9米/秒），11月风最小（2.2米/秒）。</w:t>
      </w:r>
    </w:p>
    <w:p>
      <w:pPr>
        <w:widowControl/>
        <w:spacing w:line="500" w:lineRule="exact"/>
        <w:ind w:firstLine="482" w:firstLineChars="200"/>
        <w:jc w:val="center"/>
        <w:rPr>
          <w:rFonts w:eastAsia="仿宋_GB2312"/>
          <w:kern w:val="0"/>
          <w:sz w:val="24"/>
        </w:rPr>
      </w:pPr>
      <w:r>
        <w:rPr>
          <w:rFonts w:eastAsia="仿宋_GB2312"/>
          <w:b/>
          <w:bCs/>
          <w:kern w:val="0"/>
          <w:sz w:val="24"/>
          <w:szCs w:val="21"/>
        </w:rPr>
        <w:t>表5.2-2  金坛气象站月平均风速统计（单位：m/s）</w:t>
      </w:r>
    </w:p>
    <w:tbl>
      <w:tblPr>
        <w:tblStyle w:val="87"/>
        <w:tblW w:w="83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29"/>
        <w:gridCol w:w="566"/>
        <w:gridCol w:w="565"/>
        <w:gridCol w:w="565"/>
        <w:gridCol w:w="565"/>
        <w:gridCol w:w="565"/>
        <w:gridCol w:w="565"/>
        <w:gridCol w:w="565"/>
        <w:gridCol w:w="565"/>
        <w:gridCol w:w="565"/>
        <w:gridCol w:w="666"/>
        <w:gridCol w:w="659"/>
        <w:gridCol w:w="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29" w:type="dxa"/>
            <w:tcBorders>
              <w:tl2br w:val="nil"/>
              <w:tr2bl w:val="nil"/>
            </w:tcBorders>
            <w:vAlign w:val="center"/>
          </w:tcPr>
          <w:p>
            <w:pPr>
              <w:spacing w:line="320" w:lineRule="exact"/>
              <w:jc w:val="center"/>
              <w:rPr>
                <w:rFonts w:eastAsia="仿宋_GB2312"/>
                <w:szCs w:val="21"/>
              </w:rPr>
            </w:pPr>
            <w:r>
              <w:rPr>
                <w:rFonts w:eastAsia="仿宋_GB2312"/>
                <w:szCs w:val="21"/>
              </w:rPr>
              <w:t>月份</w:t>
            </w:r>
          </w:p>
        </w:tc>
        <w:tc>
          <w:tcPr>
            <w:tcW w:w="566" w:type="dxa"/>
            <w:tcBorders>
              <w:tl2br w:val="nil"/>
              <w:tr2bl w:val="nil"/>
            </w:tcBorders>
            <w:vAlign w:val="center"/>
          </w:tcPr>
          <w:p>
            <w:pPr>
              <w:spacing w:line="320" w:lineRule="exact"/>
              <w:jc w:val="center"/>
              <w:rPr>
                <w:rFonts w:eastAsia="仿宋_GB2312"/>
                <w:szCs w:val="21"/>
              </w:rPr>
            </w:pPr>
            <w:r>
              <w:rPr>
                <w:rFonts w:eastAsia="仿宋_GB2312"/>
                <w:szCs w:val="21"/>
              </w:rPr>
              <w:t>1月</w:t>
            </w:r>
          </w:p>
        </w:tc>
        <w:tc>
          <w:tcPr>
            <w:tcW w:w="565" w:type="dxa"/>
            <w:tcBorders>
              <w:tl2br w:val="nil"/>
              <w:tr2bl w:val="nil"/>
            </w:tcBorders>
            <w:vAlign w:val="center"/>
          </w:tcPr>
          <w:p>
            <w:pPr>
              <w:spacing w:line="320" w:lineRule="exact"/>
              <w:jc w:val="center"/>
              <w:rPr>
                <w:rFonts w:eastAsia="仿宋_GB2312"/>
                <w:szCs w:val="21"/>
              </w:rPr>
            </w:pPr>
            <w:r>
              <w:rPr>
                <w:rFonts w:eastAsia="仿宋_GB2312"/>
                <w:szCs w:val="21"/>
              </w:rPr>
              <w:t>2月</w:t>
            </w:r>
          </w:p>
        </w:tc>
        <w:tc>
          <w:tcPr>
            <w:tcW w:w="565" w:type="dxa"/>
            <w:tcBorders>
              <w:tl2br w:val="nil"/>
              <w:tr2bl w:val="nil"/>
            </w:tcBorders>
            <w:vAlign w:val="center"/>
          </w:tcPr>
          <w:p>
            <w:pPr>
              <w:spacing w:line="320" w:lineRule="exact"/>
              <w:jc w:val="center"/>
              <w:rPr>
                <w:rFonts w:eastAsia="仿宋_GB2312"/>
                <w:szCs w:val="21"/>
              </w:rPr>
            </w:pPr>
            <w:r>
              <w:rPr>
                <w:rFonts w:eastAsia="仿宋_GB2312"/>
                <w:szCs w:val="21"/>
              </w:rPr>
              <w:t>3月</w:t>
            </w:r>
          </w:p>
        </w:tc>
        <w:tc>
          <w:tcPr>
            <w:tcW w:w="565" w:type="dxa"/>
            <w:tcBorders>
              <w:tl2br w:val="nil"/>
              <w:tr2bl w:val="nil"/>
            </w:tcBorders>
            <w:vAlign w:val="center"/>
          </w:tcPr>
          <w:p>
            <w:pPr>
              <w:spacing w:line="320" w:lineRule="exact"/>
              <w:jc w:val="center"/>
              <w:rPr>
                <w:rFonts w:eastAsia="仿宋_GB2312"/>
                <w:szCs w:val="21"/>
              </w:rPr>
            </w:pPr>
            <w:r>
              <w:rPr>
                <w:rFonts w:eastAsia="仿宋_GB2312"/>
                <w:szCs w:val="21"/>
              </w:rPr>
              <w:t>4月</w:t>
            </w:r>
          </w:p>
        </w:tc>
        <w:tc>
          <w:tcPr>
            <w:tcW w:w="565" w:type="dxa"/>
            <w:tcBorders>
              <w:tl2br w:val="nil"/>
              <w:tr2bl w:val="nil"/>
            </w:tcBorders>
            <w:vAlign w:val="center"/>
          </w:tcPr>
          <w:p>
            <w:pPr>
              <w:spacing w:line="320" w:lineRule="exact"/>
              <w:jc w:val="center"/>
              <w:rPr>
                <w:rFonts w:eastAsia="仿宋_GB2312"/>
                <w:szCs w:val="21"/>
              </w:rPr>
            </w:pPr>
            <w:r>
              <w:rPr>
                <w:rFonts w:eastAsia="仿宋_GB2312"/>
                <w:szCs w:val="21"/>
              </w:rPr>
              <w:t>5月</w:t>
            </w:r>
          </w:p>
        </w:tc>
        <w:tc>
          <w:tcPr>
            <w:tcW w:w="565" w:type="dxa"/>
            <w:tcBorders>
              <w:tl2br w:val="nil"/>
              <w:tr2bl w:val="nil"/>
            </w:tcBorders>
            <w:vAlign w:val="center"/>
          </w:tcPr>
          <w:p>
            <w:pPr>
              <w:spacing w:line="320" w:lineRule="exact"/>
              <w:jc w:val="center"/>
              <w:rPr>
                <w:rFonts w:eastAsia="仿宋_GB2312"/>
                <w:szCs w:val="21"/>
              </w:rPr>
            </w:pPr>
            <w:r>
              <w:rPr>
                <w:rFonts w:eastAsia="仿宋_GB2312"/>
                <w:szCs w:val="21"/>
              </w:rPr>
              <w:t>6月</w:t>
            </w:r>
          </w:p>
        </w:tc>
        <w:tc>
          <w:tcPr>
            <w:tcW w:w="565" w:type="dxa"/>
            <w:tcBorders>
              <w:tl2br w:val="nil"/>
              <w:tr2bl w:val="nil"/>
            </w:tcBorders>
            <w:vAlign w:val="center"/>
          </w:tcPr>
          <w:p>
            <w:pPr>
              <w:spacing w:line="320" w:lineRule="exact"/>
              <w:jc w:val="center"/>
              <w:rPr>
                <w:rFonts w:eastAsia="仿宋_GB2312"/>
                <w:szCs w:val="21"/>
              </w:rPr>
            </w:pPr>
            <w:r>
              <w:rPr>
                <w:rFonts w:eastAsia="仿宋_GB2312"/>
                <w:szCs w:val="21"/>
              </w:rPr>
              <w:t>7月</w:t>
            </w:r>
          </w:p>
        </w:tc>
        <w:tc>
          <w:tcPr>
            <w:tcW w:w="565" w:type="dxa"/>
            <w:tcBorders>
              <w:tl2br w:val="nil"/>
              <w:tr2bl w:val="nil"/>
            </w:tcBorders>
            <w:vAlign w:val="center"/>
          </w:tcPr>
          <w:p>
            <w:pPr>
              <w:spacing w:line="320" w:lineRule="exact"/>
              <w:jc w:val="center"/>
              <w:rPr>
                <w:rFonts w:eastAsia="仿宋_GB2312"/>
                <w:szCs w:val="21"/>
              </w:rPr>
            </w:pPr>
            <w:r>
              <w:rPr>
                <w:rFonts w:eastAsia="仿宋_GB2312"/>
                <w:szCs w:val="21"/>
              </w:rPr>
              <w:t>8月</w:t>
            </w:r>
          </w:p>
        </w:tc>
        <w:tc>
          <w:tcPr>
            <w:tcW w:w="565" w:type="dxa"/>
            <w:tcBorders>
              <w:tl2br w:val="nil"/>
              <w:tr2bl w:val="nil"/>
            </w:tcBorders>
            <w:vAlign w:val="center"/>
          </w:tcPr>
          <w:p>
            <w:pPr>
              <w:spacing w:line="320" w:lineRule="exact"/>
              <w:jc w:val="center"/>
              <w:rPr>
                <w:rFonts w:eastAsia="仿宋_GB2312"/>
                <w:szCs w:val="21"/>
              </w:rPr>
            </w:pPr>
            <w:r>
              <w:rPr>
                <w:rFonts w:eastAsia="仿宋_GB2312"/>
                <w:szCs w:val="21"/>
              </w:rPr>
              <w:t>9月</w:t>
            </w:r>
          </w:p>
        </w:tc>
        <w:tc>
          <w:tcPr>
            <w:tcW w:w="666" w:type="dxa"/>
            <w:tcBorders>
              <w:tl2br w:val="nil"/>
              <w:tr2bl w:val="nil"/>
            </w:tcBorders>
            <w:vAlign w:val="center"/>
          </w:tcPr>
          <w:p>
            <w:pPr>
              <w:spacing w:line="320" w:lineRule="exact"/>
              <w:jc w:val="center"/>
              <w:rPr>
                <w:rFonts w:eastAsia="仿宋_GB2312"/>
                <w:szCs w:val="21"/>
              </w:rPr>
            </w:pPr>
            <w:r>
              <w:rPr>
                <w:rFonts w:eastAsia="仿宋_GB2312"/>
                <w:szCs w:val="21"/>
              </w:rPr>
              <w:t>10月</w:t>
            </w:r>
          </w:p>
        </w:tc>
        <w:tc>
          <w:tcPr>
            <w:tcW w:w="659" w:type="dxa"/>
            <w:tcBorders>
              <w:tl2br w:val="nil"/>
              <w:tr2bl w:val="nil"/>
            </w:tcBorders>
            <w:vAlign w:val="center"/>
          </w:tcPr>
          <w:p>
            <w:pPr>
              <w:spacing w:line="320" w:lineRule="exact"/>
              <w:jc w:val="center"/>
              <w:rPr>
                <w:rFonts w:eastAsia="仿宋_GB2312"/>
                <w:szCs w:val="21"/>
              </w:rPr>
            </w:pPr>
            <w:r>
              <w:rPr>
                <w:rFonts w:eastAsia="仿宋_GB2312"/>
                <w:szCs w:val="21"/>
              </w:rPr>
              <w:t>11月</w:t>
            </w:r>
          </w:p>
        </w:tc>
        <w:tc>
          <w:tcPr>
            <w:tcW w:w="666" w:type="dxa"/>
            <w:tcBorders>
              <w:tl2br w:val="nil"/>
              <w:tr2bl w:val="nil"/>
            </w:tcBorders>
            <w:vAlign w:val="center"/>
          </w:tcPr>
          <w:p>
            <w:pPr>
              <w:spacing w:line="320" w:lineRule="exact"/>
              <w:jc w:val="center"/>
              <w:rPr>
                <w:rFonts w:eastAsia="仿宋_GB2312"/>
                <w:szCs w:val="21"/>
              </w:rPr>
            </w:pPr>
            <w:r>
              <w:rPr>
                <w:rFonts w:eastAsia="仿宋_GB2312"/>
                <w:szCs w:val="21"/>
              </w:rPr>
              <w:t>12月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29" w:type="dxa"/>
            <w:tcBorders>
              <w:tl2br w:val="nil"/>
              <w:tr2bl w:val="nil"/>
            </w:tcBorders>
            <w:vAlign w:val="center"/>
          </w:tcPr>
          <w:p>
            <w:pPr>
              <w:spacing w:line="320" w:lineRule="exact"/>
              <w:jc w:val="center"/>
              <w:rPr>
                <w:rFonts w:eastAsia="仿宋_GB2312"/>
                <w:szCs w:val="21"/>
              </w:rPr>
            </w:pPr>
            <w:r>
              <w:rPr>
                <w:rFonts w:eastAsia="仿宋_GB2312"/>
                <w:szCs w:val="21"/>
              </w:rPr>
              <w:t>平均风速</w:t>
            </w:r>
          </w:p>
        </w:tc>
        <w:tc>
          <w:tcPr>
            <w:tcW w:w="566" w:type="dxa"/>
            <w:tcBorders>
              <w:tl2br w:val="nil"/>
              <w:tr2bl w:val="nil"/>
            </w:tcBorders>
            <w:vAlign w:val="center"/>
          </w:tcPr>
          <w:p>
            <w:pPr>
              <w:spacing w:line="320" w:lineRule="exact"/>
              <w:jc w:val="center"/>
              <w:rPr>
                <w:rFonts w:eastAsia="仿宋_GB2312"/>
                <w:szCs w:val="21"/>
              </w:rPr>
            </w:pPr>
            <w:r>
              <w:rPr>
                <w:rFonts w:eastAsia="仿宋_GB2312"/>
                <w:szCs w:val="21"/>
              </w:rPr>
              <w:t>2.4</w:t>
            </w:r>
          </w:p>
        </w:tc>
        <w:tc>
          <w:tcPr>
            <w:tcW w:w="565" w:type="dxa"/>
            <w:tcBorders>
              <w:tl2br w:val="nil"/>
              <w:tr2bl w:val="nil"/>
            </w:tcBorders>
            <w:vAlign w:val="center"/>
          </w:tcPr>
          <w:p>
            <w:pPr>
              <w:spacing w:line="320" w:lineRule="exact"/>
              <w:jc w:val="center"/>
              <w:rPr>
                <w:rFonts w:eastAsia="仿宋_GB2312"/>
                <w:szCs w:val="21"/>
              </w:rPr>
            </w:pPr>
            <w:r>
              <w:rPr>
                <w:rFonts w:eastAsia="仿宋_GB2312"/>
                <w:szCs w:val="21"/>
              </w:rPr>
              <w:t>2.6</w:t>
            </w:r>
          </w:p>
        </w:tc>
        <w:tc>
          <w:tcPr>
            <w:tcW w:w="565" w:type="dxa"/>
            <w:tcBorders>
              <w:tl2br w:val="nil"/>
              <w:tr2bl w:val="nil"/>
            </w:tcBorders>
            <w:vAlign w:val="center"/>
          </w:tcPr>
          <w:p>
            <w:pPr>
              <w:spacing w:line="320" w:lineRule="exact"/>
              <w:jc w:val="center"/>
              <w:rPr>
                <w:rFonts w:eastAsia="仿宋_GB2312"/>
                <w:szCs w:val="21"/>
              </w:rPr>
            </w:pPr>
            <w:r>
              <w:rPr>
                <w:rFonts w:eastAsia="仿宋_GB2312"/>
                <w:szCs w:val="21"/>
              </w:rPr>
              <w:t>2.9</w:t>
            </w:r>
          </w:p>
        </w:tc>
        <w:tc>
          <w:tcPr>
            <w:tcW w:w="565" w:type="dxa"/>
            <w:tcBorders>
              <w:tl2br w:val="nil"/>
              <w:tr2bl w:val="nil"/>
            </w:tcBorders>
            <w:vAlign w:val="center"/>
          </w:tcPr>
          <w:p>
            <w:pPr>
              <w:spacing w:line="320" w:lineRule="exact"/>
              <w:jc w:val="center"/>
              <w:rPr>
                <w:rFonts w:eastAsia="仿宋_GB2312"/>
                <w:szCs w:val="21"/>
              </w:rPr>
            </w:pPr>
            <w:r>
              <w:rPr>
                <w:rFonts w:eastAsia="仿宋_GB2312"/>
                <w:szCs w:val="21"/>
              </w:rPr>
              <w:t>2.8</w:t>
            </w:r>
          </w:p>
        </w:tc>
        <w:tc>
          <w:tcPr>
            <w:tcW w:w="565" w:type="dxa"/>
            <w:tcBorders>
              <w:tl2br w:val="nil"/>
              <w:tr2bl w:val="nil"/>
            </w:tcBorders>
            <w:vAlign w:val="center"/>
          </w:tcPr>
          <w:p>
            <w:pPr>
              <w:spacing w:line="320" w:lineRule="exact"/>
              <w:jc w:val="center"/>
              <w:rPr>
                <w:rFonts w:eastAsia="仿宋_GB2312"/>
                <w:szCs w:val="21"/>
              </w:rPr>
            </w:pPr>
            <w:r>
              <w:rPr>
                <w:rFonts w:eastAsia="仿宋_GB2312"/>
                <w:szCs w:val="21"/>
              </w:rPr>
              <w:t>2.7</w:t>
            </w:r>
          </w:p>
        </w:tc>
        <w:tc>
          <w:tcPr>
            <w:tcW w:w="565" w:type="dxa"/>
            <w:tcBorders>
              <w:tl2br w:val="nil"/>
              <w:tr2bl w:val="nil"/>
            </w:tcBorders>
            <w:vAlign w:val="center"/>
          </w:tcPr>
          <w:p>
            <w:pPr>
              <w:spacing w:line="320" w:lineRule="exact"/>
              <w:jc w:val="center"/>
              <w:rPr>
                <w:rFonts w:eastAsia="仿宋_GB2312"/>
                <w:szCs w:val="21"/>
              </w:rPr>
            </w:pPr>
            <w:r>
              <w:rPr>
                <w:rFonts w:eastAsia="仿宋_GB2312"/>
                <w:szCs w:val="21"/>
              </w:rPr>
              <w:t>2.5</w:t>
            </w:r>
          </w:p>
        </w:tc>
        <w:tc>
          <w:tcPr>
            <w:tcW w:w="565" w:type="dxa"/>
            <w:tcBorders>
              <w:tl2br w:val="nil"/>
              <w:tr2bl w:val="nil"/>
            </w:tcBorders>
            <w:vAlign w:val="center"/>
          </w:tcPr>
          <w:p>
            <w:pPr>
              <w:spacing w:line="320" w:lineRule="exact"/>
              <w:jc w:val="center"/>
              <w:rPr>
                <w:rFonts w:eastAsia="仿宋_GB2312"/>
                <w:szCs w:val="21"/>
              </w:rPr>
            </w:pPr>
            <w:r>
              <w:rPr>
                <w:rFonts w:eastAsia="仿宋_GB2312"/>
                <w:szCs w:val="21"/>
              </w:rPr>
              <w:t>2.5</w:t>
            </w:r>
          </w:p>
        </w:tc>
        <w:tc>
          <w:tcPr>
            <w:tcW w:w="565" w:type="dxa"/>
            <w:tcBorders>
              <w:tl2br w:val="nil"/>
              <w:tr2bl w:val="nil"/>
            </w:tcBorders>
            <w:vAlign w:val="center"/>
          </w:tcPr>
          <w:p>
            <w:pPr>
              <w:spacing w:line="320" w:lineRule="exact"/>
              <w:jc w:val="center"/>
              <w:rPr>
                <w:rFonts w:eastAsia="仿宋_GB2312"/>
                <w:szCs w:val="21"/>
              </w:rPr>
            </w:pPr>
            <w:r>
              <w:rPr>
                <w:rFonts w:eastAsia="仿宋_GB2312"/>
                <w:szCs w:val="21"/>
              </w:rPr>
              <w:t>2.6</w:t>
            </w:r>
          </w:p>
        </w:tc>
        <w:tc>
          <w:tcPr>
            <w:tcW w:w="565" w:type="dxa"/>
            <w:tcBorders>
              <w:tl2br w:val="nil"/>
              <w:tr2bl w:val="nil"/>
            </w:tcBorders>
            <w:vAlign w:val="center"/>
          </w:tcPr>
          <w:p>
            <w:pPr>
              <w:spacing w:line="320" w:lineRule="exact"/>
              <w:jc w:val="center"/>
              <w:rPr>
                <w:rFonts w:eastAsia="仿宋_GB2312"/>
                <w:szCs w:val="21"/>
              </w:rPr>
            </w:pPr>
            <w:r>
              <w:rPr>
                <w:rFonts w:eastAsia="仿宋_GB2312"/>
                <w:szCs w:val="21"/>
              </w:rPr>
              <w:t>2.5</w:t>
            </w:r>
          </w:p>
        </w:tc>
        <w:tc>
          <w:tcPr>
            <w:tcW w:w="666" w:type="dxa"/>
            <w:tcBorders>
              <w:tl2br w:val="nil"/>
              <w:tr2bl w:val="nil"/>
            </w:tcBorders>
            <w:vAlign w:val="center"/>
          </w:tcPr>
          <w:p>
            <w:pPr>
              <w:spacing w:line="320" w:lineRule="exact"/>
              <w:jc w:val="center"/>
              <w:rPr>
                <w:rFonts w:eastAsia="仿宋_GB2312"/>
                <w:szCs w:val="21"/>
              </w:rPr>
            </w:pPr>
            <w:r>
              <w:rPr>
                <w:rFonts w:eastAsia="仿宋_GB2312"/>
                <w:szCs w:val="21"/>
              </w:rPr>
              <w:t>2.3</w:t>
            </w:r>
          </w:p>
        </w:tc>
        <w:tc>
          <w:tcPr>
            <w:tcW w:w="659" w:type="dxa"/>
            <w:tcBorders>
              <w:tl2br w:val="nil"/>
              <w:tr2bl w:val="nil"/>
            </w:tcBorders>
            <w:vAlign w:val="center"/>
          </w:tcPr>
          <w:p>
            <w:pPr>
              <w:spacing w:line="320" w:lineRule="exact"/>
              <w:jc w:val="center"/>
              <w:rPr>
                <w:rFonts w:eastAsia="仿宋_GB2312"/>
                <w:szCs w:val="21"/>
              </w:rPr>
            </w:pPr>
            <w:r>
              <w:rPr>
                <w:rFonts w:eastAsia="仿宋_GB2312"/>
                <w:szCs w:val="21"/>
              </w:rPr>
              <w:t>2.2</w:t>
            </w:r>
          </w:p>
        </w:tc>
        <w:tc>
          <w:tcPr>
            <w:tcW w:w="666" w:type="dxa"/>
            <w:tcBorders>
              <w:tl2br w:val="nil"/>
              <w:tr2bl w:val="nil"/>
            </w:tcBorders>
            <w:vAlign w:val="center"/>
          </w:tcPr>
          <w:p>
            <w:pPr>
              <w:spacing w:line="320" w:lineRule="exact"/>
              <w:jc w:val="center"/>
              <w:rPr>
                <w:rFonts w:eastAsia="仿宋_GB2312"/>
                <w:szCs w:val="21"/>
              </w:rPr>
            </w:pPr>
            <w:r>
              <w:rPr>
                <w:rFonts w:eastAsia="仿宋_GB2312"/>
                <w:szCs w:val="21"/>
              </w:rPr>
              <w:t>2.2</w:t>
            </w:r>
          </w:p>
        </w:tc>
      </w:tr>
    </w:tbl>
    <w:p>
      <w:pPr>
        <w:widowControl/>
        <w:spacing w:line="500" w:lineRule="exact"/>
        <w:ind w:firstLine="560" w:firstLineChars="200"/>
        <w:jc w:val="left"/>
        <w:rPr>
          <w:rFonts w:eastAsia="仿宋_GB2312"/>
          <w:kern w:val="0"/>
          <w:sz w:val="28"/>
          <w:szCs w:val="28"/>
        </w:rPr>
      </w:pPr>
      <w:r>
        <w:rPr>
          <w:rFonts w:eastAsia="仿宋_GB2312"/>
          <w:kern w:val="0"/>
          <w:sz w:val="28"/>
          <w:szCs w:val="28"/>
        </w:rPr>
        <w:t>（2）风向特征</w:t>
      </w:r>
    </w:p>
    <w:p>
      <w:pPr>
        <w:widowControl/>
        <w:spacing w:line="500" w:lineRule="exact"/>
        <w:ind w:firstLine="560" w:firstLineChars="200"/>
        <w:jc w:val="left"/>
        <w:rPr>
          <w:rFonts w:eastAsia="仿宋_GB2312"/>
          <w:kern w:val="0"/>
          <w:sz w:val="28"/>
          <w:szCs w:val="28"/>
        </w:rPr>
      </w:pPr>
      <w:r>
        <w:rPr>
          <w:rFonts w:eastAsia="仿宋_GB2312"/>
          <w:kern w:val="0"/>
          <w:sz w:val="28"/>
          <w:szCs w:val="28"/>
        </w:rPr>
        <w:t>近20年资料分析的风向玫瑰图如图5.</w:t>
      </w:r>
      <w:r>
        <w:rPr>
          <w:rFonts w:hint="eastAsia" w:eastAsia="仿宋_GB2312"/>
          <w:kern w:val="0"/>
          <w:sz w:val="28"/>
          <w:szCs w:val="28"/>
        </w:rPr>
        <w:t>1</w:t>
      </w:r>
      <w:r>
        <w:rPr>
          <w:rFonts w:eastAsia="仿宋_GB2312"/>
          <w:kern w:val="0"/>
          <w:sz w:val="28"/>
          <w:szCs w:val="28"/>
        </w:rPr>
        <w:t>-1所示，金坛气象站主要风向为ESE和SE、NNE、E，占38.6％，其中以ESE为主风向，占到全年12.4％左右。</w:t>
      </w:r>
    </w:p>
    <w:p>
      <w:pPr>
        <w:widowControl/>
        <w:spacing w:line="500" w:lineRule="exact"/>
        <w:ind w:firstLine="482" w:firstLineChars="200"/>
        <w:jc w:val="center"/>
        <w:rPr>
          <w:rFonts w:eastAsia="仿宋_GB2312"/>
          <w:b/>
          <w:bCs/>
          <w:kern w:val="0"/>
          <w:sz w:val="24"/>
          <w:szCs w:val="21"/>
        </w:rPr>
      </w:pPr>
      <w:r>
        <w:rPr>
          <w:rFonts w:eastAsia="仿宋_GB2312"/>
          <w:b/>
          <w:bCs/>
          <w:kern w:val="0"/>
          <w:sz w:val="24"/>
          <w:szCs w:val="21"/>
        </w:rPr>
        <w:t>表5.2-3  金坛气象站年风向频率统计（单位：%）</w:t>
      </w:r>
    </w:p>
    <w:tbl>
      <w:tblPr>
        <w:tblStyle w:val="87"/>
        <w:tblW w:w="102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9"/>
        <w:gridCol w:w="566"/>
        <w:gridCol w:w="565"/>
        <w:gridCol w:w="565"/>
        <w:gridCol w:w="565"/>
        <w:gridCol w:w="565"/>
        <w:gridCol w:w="565"/>
        <w:gridCol w:w="565"/>
        <w:gridCol w:w="565"/>
        <w:gridCol w:w="412"/>
        <w:gridCol w:w="567"/>
        <w:gridCol w:w="567"/>
        <w:gridCol w:w="709"/>
        <w:gridCol w:w="425"/>
        <w:gridCol w:w="709"/>
        <w:gridCol w:w="567"/>
        <w:gridCol w:w="709"/>
        <w:gridCol w:w="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9" w:type="dxa"/>
            <w:tcBorders>
              <w:tl2br w:val="nil"/>
              <w:tr2bl w:val="nil"/>
            </w:tcBorders>
            <w:vAlign w:val="center"/>
          </w:tcPr>
          <w:p>
            <w:pPr>
              <w:spacing w:line="320" w:lineRule="exact"/>
              <w:jc w:val="center"/>
              <w:rPr>
                <w:rFonts w:eastAsia="仿宋_GB2312"/>
                <w:szCs w:val="21"/>
              </w:rPr>
            </w:pPr>
            <w:r>
              <w:rPr>
                <w:rFonts w:eastAsia="仿宋_GB2312"/>
                <w:szCs w:val="21"/>
              </w:rPr>
              <w:t>月份</w:t>
            </w:r>
          </w:p>
        </w:tc>
        <w:tc>
          <w:tcPr>
            <w:tcW w:w="566" w:type="dxa"/>
            <w:tcBorders>
              <w:tl2br w:val="nil"/>
              <w:tr2bl w:val="nil"/>
            </w:tcBorders>
            <w:vAlign w:val="center"/>
          </w:tcPr>
          <w:p>
            <w:pPr>
              <w:spacing w:line="320" w:lineRule="exact"/>
              <w:jc w:val="center"/>
              <w:rPr>
                <w:rFonts w:eastAsia="仿宋_GB2312"/>
                <w:szCs w:val="21"/>
              </w:rPr>
            </w:pPr>
            <w:r>
              <w:rPr>
                <w:rFonts w:eastAsia="仿宋_GB2312"/>
                <w:szCs w:val="21"/>
              </w:rPr>
              <w:t>N</w:t>
            </w:r>
          </w:p>
        </w:tc>
        <w:tc>
          <w:tcPr>
            <w:tcW w:w="565" w:type="dxa"/>
            <w:tcBorders>
              <w:tl2br w:val="nil"/>
              <w:tr2bl w:val="nil"/>
            </w:tcBorders>
            <w:vAlign w:val="center"/>
          </w:tcPr>
          <w:p>
            <w:pPr>
              <w:spacing w:line="320" w:lineRule="exact"/>
              <w:jc w:val="center"/>
              <w:rPr>
                <w:rFonts w:eastAsia="仿宋_GB2312"/>
                <w:szCs w:val="21"/>
              </w:rPr>
            </w:pPr>
            <w:r>
              <w:rPr>
                <w:rFonts w:eastAsia="仿宋_GB2312"/>
                <w:szCs w:val="21"/>
              </w:rPr>
              <w:t>NNE</w:t>
            </w:r>
          </w:p>
        </w:tc>
        <w:tc>
          <w:tcPr>
            <w:tcW w:w="565" w:type="dxa"/>
            <w:tcBorders>
              <w:tl2br w:val="nil"/>
              <w:tr2bl w:val="nil"/>
            </w:tcBorders>
            <w:vAlign w:val="center"/>
          </w:tcPr>
          <w:p>
            <w:pPr>
              <w:spacing w:line="320" w:lineRule="exact"/>
              <w:jc w:val="center"/>
              <w:rPr>
                <w:rFonts w:eastAsia="仿宋_GB2312"/>
                <w:szCs w:val="21"/>
              </w:rPr>
            </w:pPr>
            <w:r>
              <w:rPr>
                <w:rFonts w:eastAsia="仿宋_GB2312"/>
                <w:szCs w:val="21"/>
              </w:rPr>
              <w:t>NE</w:t>
            </w:r>
          </w:p>
        </w:tc>
        <w:tc>
          <w:tcPr>
            <w:tcW w:w="565" w:type="dxa"/>
            <w:tcBorders>
              <w:tl2br w:val="nil"/>
              <w:tr2bl w:val="nil"/>
            </w:tcBorders>
            <w:vAlign w:val="center"/>
          </w:tcPr>
          <w:p>
            <w:pPr>
              <w:spacing w:line="320" w:lineRule="exact"/>
              <w:jc w:val="center"/>
              <w:rPr>
                <w:rFonts w:eastAsia="仿宋_GB2312"/>
                <w:szCs w:val="21"/>
              </w:rPr>
            </w:pPr>
            <w:r>
              <w:rPr>
                <w:rFonts w:eastAsia="仿宋_GB2312"/>
                <w:szCs w:val="21"/>
              </w:rPr>
              <w:t>ENE</w:t>
            </w:r>
          </w:p>
        </w:tc>
        <w:tc>
          <w:tcPr>
            <w:tcW w:w="565" w:type="dxa"/>
            <w:tcBorders>
              <w:tl2br w:val="nil"/>
              <w:tr2bl w:val="nil"/>
            </w:tcBorders>
            <w:vAlign w:val="center"/>
          </w:tcPr>
          <w:p>
            <w:pPr>
              <w:spacing w:line="320" w:lineRule="exact"/>
              <w:jc w:val="center"/>
              <w:rPr>
                <w:rFonts w:eastAsia="仿宋_GB2312"/>
                <w:szCs w:val="21"/>
              </w:rPr>
            </w:pPr>
            <w:r>
              <w:rPr>
                <w:rFonts w:eastAsia="仿宋_GB2312"/>
                <w:szCs w:val="21"/>
              </w:rPr>
              <w:t>E</w:t>
            </w:r>
          </w:p>
        </w:tc>
        <w:tc>
          <w:tcPr>
            <w:tcW w:w="565" w:type="dxa"/>
            <w:tcBorders>
              <w:tl2br w:val="nil"/>
              <w:tr2bl w:val="nil"/>
            </w:tcBorders>
            <w:vAlign w:val="center"/>
          </w:tcPr>
          <w:p>
            <w:pPr>
              <w:spacing w:line="320" w:lineRule="exact"/>
              <w:jc w:val="center"/>
              <w:rPr>
                <w:rFonts w:eastAsia="仿宋_GB2312"/>
                <w:szCs w:val="21"/>
              </w:rPr>
            </w:pPr>
            <w:r>
              <w:rPr>
                <w:rFonts w:eastAsia="仿宋_GB2312"/>
                <w:szCs w:val="21"/>
              </w:rPr>
              <w:t>ESE</w:t>
            </w:r>
          </w:p>
        </w:tc>
        <w:tc>
          <w:tcPr>
            <w:tcW w:w="565" w:type="dxa"/>
            <w:tcBorders>
              <w:tl2br w:val="nil"/>
              <w:tr2bl w:val="nil"/>
            </w:tcBorders>
            <w:vAlign w:val="center"/>
          </w:tcPr>
          <w:p>
            <w:pPr>
              <w:spacing w:line="320" w:lineRule="exact"/>
              <w:jc w:val="center"/>
              <w:rPr>
                <w:rFonts w:eastAsia="仿宋_GB2312"/>
                <w:szCs w:val="21"/>
              </w:rPr>
            </w:pPr>
            <w:r>
              <w:rPr>
                <w:rFonts w:eastAsia="仿宋_GB2312"/>
                <w:szCs w:val="21"/>
              </w:rPr>
              <w:t>SE</w:t>
            </w:r>
          </w:p>
        </w:tc>
        <w:tc>
          <w:tcPr>
            <w:tcW w:w="565" w:type="dxa"/>
            <w:tcBorders>
              <w:tl2br w:val="nil"/>
              <w:tr2bl w:val="nil"/>
            </w:tcBorders>
            <w:vAlign w:val="center"/>
          </w:tcPr>
          <w:p>
            <w:pPr>
              <w:spacing w:line="320" w:lineRule="exact"/>
              <w:jc w:val="center"/>
              <w:rPr>
                <w:rFonts w:eastAsia="仿宋_GB2312"/>
                <w:szCs w:val="21"/>
              </w:rPr>
            </w:pPr>
            <w:r>
              <w:rPr>
                <w:rFonts w:eastAsia="仿宋_GB2312"/>
                <w:szCs w:val="21"/>
              </w:rPr>
              <w:t>SSE</w:t>
            </w:r>
          </w:p>
        </w:tc>
        <w:tc>
          <w:tcPr>
            <w:tcW w:w="412" w:type="dxa"/>
            <w:tcBorders>
              <w:tl2br w:val="nil"/>
              <w:tr2bl w:val="nil"/>
            </w:tcBorders>
            <w:vAlign w:val="center"/>
          </w:tcPr>
          <w:p>
            <w:pPr>
              <w:spacing w:line="320" w:lineRule="exact"/>
              <w:jc w:val="center"/>
              <w:rPr>
                <w:rFonts w:eastAsia="仿宋_GB2312"/>
                <w:szCs w:val="21"/>
              </w:rPr>
            </w:pPr>
            <w:r>
              <w:rPr>
                <w:rFonts w:eastAsia="仿宋_GB2312"/>
                <w:szCs w:val="21"/>
              </w:rPr>
              <w:t>S</w:t>
            </w:r>
          </w:p>
        </w:tc>
        <w:tc>
          <w:tcPr>
            <w:tcW w:w="567" w:type="dxa"/>
            <w:tcBorders>
              <w:tl2br w:val="nil"/>
              <w:tr2bl w:val="nil"/>
            </w:tcBorders>
            <w:vAlign w:val="center"/>
          </w:tcPr>
          <w:p>
            <w:pPr>
              <w:spacing w:line="320" w:lineRule="exact"/>
              <w:jc w:val="center"/>
              <w:rPr>
                <w:rFonts w:eastAsia="仿宋_GB2312"/>
                <w:szCs w:val="21"/>
              </w:rPr>
            </w:pPr>
            <w:r>
              <w:rPr>
                <w:rFonts w:eastAsia="仿宋_GB2312"/>
                <w:szCs w:val="21"/>
              </w:rPr>
              <w:t>SSW</w:t>
            </w:r>
          </w:p>
        </w:tc>
        <w:tc>
          <w:tcPr>
            <w:tcW w:w="567" w:type="dxa"/>
            <w:tcBorders>
              <w:tl2br w:val="nil"/>
              <w:tr2bl w:val="nil"/>
            </w:tcBorders>
            <w:vAlign w:val="center"/>
          </w:tcPr>
          <w:p>
            <w:pPr>
              <w:spacing w:line="320" w:lineRule="exact"/>
              <w:jc w:val="center"/>
              <w:rPr>
                <w:rFonts w:eastAsia="仿宋_GB2312"/>
                <w:szCs w:val="21"/>
              </w:rPr>
            </w:pPr>
            <w:r>
              <w:rPr>
                <w:rFonts w:eastAsia="仿宋_GB2312"/>
                <w:szCs w:val="21"/>
              </w:rPr>
              <w:t>SW</w:t>
            </w:r>
          </w:p>
        </w:tc>
        <w:tc>
          <w:tcPr>
            <w:tcW w:w="709" w:type="dxa"/>
            <w:tcBorders>
              <w:tl2br w:val="nil"/>
              <w:tr2bl w:val="nil"/>
            </w:tcBorders>
            <w:vAlign w:val="center"/>
          </w:tcPr>
          <w:p>
            <w:pPr>
              <w:spacing w:line="320" w:lineRule="exact"/>
              <w:jc w:val="center"/>
              <w:rPr>
                <w:rFonts w:eastAsia="仿宋_GB2312"/>
                <w:szCs w:val="21"/>
              </w:rPr>
            </w:pPr>
            <w:r>
              <w:rPr>
                <w:rFonts w:eastAsia="仿宋_GB2312"/>
                <w:szCs w:val="21"/>
              </w:rPr>
              <w:t>WSW</w:t>
            </w:r>
          </w:p>
        </w:tc>
        <w:tc>
          <w:tcPr>
            <w:tcW w:w="425" w:type="dxa"/>
            <w:tcBorders>
              <w:tl2br w:val="nil"/>
              <w:tr2bl w:val="nil"/>
            </w:tcBorders>
            <w:vAlign w:val="center"/>
          </w:tcPr>
          <w:p>
            <w:pPr>
              <w:spacing w:line="320" w:lineRule="exact"/>
              <w:jc w:val="center"/>
              <w:rPr>
                <w:rFonts w:eastAsia="仿宋_GB2312"/>
                <w:szCs w:val="21"/>
              </w:rPr>
            </w:pPr>
            <w:r>
              <w:rPr>
                <w:rFonts w:eastAsia="仿宋_GB2312"/>
                <w:szCs w:val="21"/>
              </w:rPr>
              <w:t>W</w:t>
            </w:r>
          </w:p>
        </w:tc>
        <w:tc>
          <w:tcPr>
            <w:tcW w:w="709" w:type="dxa"/>
            <w:tcBorders>
              <w:tl2br w:val="nil"/>
              <w:tr2bl w:val="nil"/>
            </w:tcBorders>
            <w:vAlign w:val="center"/>
          </w:tcPr>
          <w:p>
            <w:pPr>
              <w:spacing w:line="320" w:lineRule="exact"/>
              <w:jc w:val="center"/>
              <w:rPr>
                <w:rFonts w:eastAsia="仿宋_GB2312"/>
                <w:szCs w:val="21"/>
              </w:rPr>
            </w:pPr>
            <w:r>
              <w:rPr>
                <w:rFonts w:eastAsia="仿宋_GB2312"/>
                <w:szCs w:val="21"/>
              </w:rPr>
              <w:t>WNW</w:t>
            </w:r>
          </w:p>
        </w:tc>
        <w:tc>
          <w:tcPr>
            <w:tcW w:w="567" w:type="dxa"/>
            <w:tcBorders>
              <w:tl2br w:val="nil"/>
              <w:tr2bl w:val="nil"/>
            </w:tcBorders>
            <w:vAlign w:val="center"/>
          </w:tcPr>
          <w:p>
            <w:pPr>
              <w:spacing w:line="320" w:lineRule="exact"/>
              <w:jc w:val="center"/>
              <w:rPr>
                <w:rFonts w:eastAsia="仿宋_GB2312"/>
                <w:szCs w:val="21"/>
              </w:rPr>
            </w:pPr>
            <w:r>
              <w:rPr>
                <w:rFonts w:eastAsia="仿宋_GB2312"/>
                <w:szCs w:val="21"/>
              </w:rPr>
              <w:t>NW</w:t>
            </w:r>
          </w:p>
        </w:tc>
        <w:tc>
          <w:tcPr>
            <w:tcW w:w="709" w:type="dxa"/>
            <w:tcBorders>
              <w:tl2br w:val="nil"/>
              <w:tr2bl w:val="nil"/>
            </w:tcBorders>
            <w:vAlign w:val="center"/>
          </w:tcPr>
          <w:p>
            <w:pPr>
              <w:spacing w:line="320" w:lineRule="exact"/>
              <w:jc w:val="center"/>
              <w:rPr>
                <w:rFonts w:eastAsia="仿宋_GB2312"/>
                <w:szCs w:val="21"/>
              </w:rPr>
            </w:pPr>
            <w:r>
              <w:rPr>
                <w:rFonts w:eastAsia="仿宋_GB2312"/>
                <w:szCs w:val="21"/>
              </w:rPr>
              <w:t>NNW</w:t>
            </w:r>
          </w:p>
        </w:tc>
        <w:tc>
          <w:tcPr>
            <w:tcW w:w="459" w:type="dxa"/>
            <w:tcBorders>
              <w:tl2br w:val="nil"/>
              <w:tr2bl w:val="nil"/>
            </w:tcBorders>
            <w:vAlign w:val="center"/>
          </w:tcPr>
          <w:p>
            <w:pPr>
              <w:spacing w:line="320" w:lineRule="exact"/>
              <w:jc w:val="center"/>
              <w:rPr>
                <w:rFonts w:eastAsia="仿宋_GB2312"/>
                <w:szCs w:val="21"/>
              </w:rPr>
            </w:pPr>
            <w:r>
              <w:rPr>
                <w:rFonts w:eastAsia="仿宋_GB2312"/>
                <w:szCs w:val="21"/>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9" w:type="dxa"/>
            <w:tcBorders>
              <w:tl2br w:val="nil"/>
              <w:tr2bl w:val="nil"/>
            </w:tcBorders>
            <w:vAlign w:val="center"/>
          </w:tcPr>
          <w:p>
            <w:pPr>
              <w:spacing w:line="320" w:lineRule="exact"/>
              <w:jc w:val="center"/>
              <w:rPr>
                <w:rFonts w:eastAsia="仿宋_GB2312"/>
                <w:szCs w:val="21"/>
              </w:rPr>
            </w:pPr>
            <w:r>
              <w:rPr>
                <w:rFonts w:eastAsia="仿宋_GB2312"/>
                <w:szCs w:val="21"/>
              </w:rPr>
              <w:t>平均风速</w:t>
            </w:r>
          </w:p>
        </w:tc>
        <w:tc>
          <w:tcPr>
            <w:tcW w:w="566" w:type="dxa"/>
            <w:tcBorders>
              <w:tl2br w:val="nil"/>
              <w:tr2bl w:val="nil"/>
            </w:tcBorders>
            <w:vAlign w:val="center"/>
          </w:tcPr>
          <w:p>
            <w:pPr>
              <w:spacing w:line="320" w:lineRule="exact"/>
              <w:jc w:val="center"/>
              <w:rPr>
                <w:rFonts w:eastAsia="仿宋_GB2312"/>
                <w:szCs w:val="21"/>
              </w:rPr>
            </w:pPr>
            <w:r>
              <w:rPr>
                <w:rFonts w:eastAsia="仿宋_GB2312"/>
                <w:szCs w:val="21"/>
              </w:rPr>
              <w:t>5.4</w:t>
            </w:r>
          </w:p>
        </w:tc>
        <w:tc>
          <w:tcPr>
            <w:tcW w:w="565" w:type="dxa"/>
            <w:tcBorders>
              <w:tl2br w:val="nil"/>
              <w:tr2bl w:val="nil"/>
            </w:tcBorders>
            <w:vAlign w:val="center"/>
          </w:tcPr>
          <w:p>
            <w:pPr>
              <w:spacing w:line="320" w:lineRule="exact"/>
              <w:jc w:val="center"/>
              <w:rPr>
                <w:rFonts w:eastAsia="仿宋_GB2312"/>
                <w:szCs w:val="21"/>
              </w:rPr>
            </w:pPr>
            <w:r>
              <w:rPr>
                <w:rFonts w:eastAsia="仿宋_GB2312"/>
                <w:szCs w:val="21"/>
              </w:rPr>
              <w:t>8.5</w:t>
            </w:r>
          </w:p>
        </w:tc>
        <w:tc>
          <w:tcPr>
            <w:tcW w:w="565" w:type="dxa"/>
            <w:tcBorders>
              <w:tl2br w:val="nil"/>
              <w:tr2bl w:val="nil"/>
            </w:tcBorders>
            <w:vAlign w:val="center"/>
          </w:tcPr>
          <w:p>
            <w:pPr>
              <w:spacing w:line="320" w:lineRule="exact"/>
              <w:jc w:val="center"/>
              <w:rPr>
                <w:rFonts w:eastAsia="仿宋_GB2312"/>
                <w:szCs w:val="21"/>
              </w:rPr>
            </w:pPr>
            <w:r>
              <w:rPr>
                <w:rFonts w:eastAsia="仿宋_GB2312"/>
                <w:szCs w:val="21"/>
              </w:rPr>
              <w:t>7.8</w:t>
            </w:r>
          </w:p>
        </w:tc>
        <w:tc>
          <w:tcPr>
            <w:tcW w:w="565" w:type="dxa"/>
            <w:tcBorders>
              <w:tl2br w:val="nil"/>
              <w:tr2bl w:val="nil"/>
            </w:tcBorders>
            <w:vAlign w:val="center"/>
          </w:tcPr>
          <w:p>
            <w:pPr>
              <w:spacing w:line="320" w:lineRule="exact"/>
              <w:jc w:val="center"/>
              <w:rPr>
                <w:rFonts w:eastAsia="仿宋_GB2312"/>
                <w:szCs w:val="21"/>
              </w:rPr>
            </w:pPr>
            <w:r>
              <w:rPr>
                <w:rFonts w:eastAsia="仿宋_GB2312"/>
                <w:szCs w:val="21"/>
              </w:rPr>
              <w:t>8.2</w:t>
            </w:r>
          </w:p>
        </w:tc>
        <w:tc>
          <w:tcPr>
            <w:tcW w:w="565" w:type="dxa"/>
            <w:tcBorders>
              <w:tl2br w:val="nil"/>
              <w:tr2bl w:val="nil"/>
            </w:tcBorders>
            <w:vAlign w:val="center"/>
          </w:tcPr>
          <w:p>
            <w:pPr>
              <w:spacing w:line="320" w:lineRule="exact"/>
              <w:jc w:val="center"/>
              <w:rPr>
                <w:rFonts w:eastAsia="仿宋_GB2312"/>
                <w:szCs w:val="21"/>
              </w:rPr>
            </w:pPr>
            <w:r>
              <w:rPr>
                <w:rFonts w:eastAsia="仿宋_GB2312"/>
                <w:szCs w:val="21"/>
              </w:rPr>
              <w:t>8.4</w:t>
            </w:r>
          </w:p>
        </w:tc>
        <w:tc>
          <w:tcPr>
            <w:tcW w:w="565" w:type="dxa"/>
            <w:tcBorders>
              <w:tl2br w:val="nil"/>
              <w:tr2bl w:val="nil"/>
            </w:tcBorders>
            <w:vAlign w:val="center"/>
          </w:tcPr>
          <w:p>
            <w:pPr>
              <w:spacing w:line="320" w:lineRule="exact"/>
              <w:jc w:val="center"/>
              <w:rPr>
                <w:rFonts w:eastAsia="仿宋_GB2312"/>
                <w:szCs w:val="21"/>
              </w:rPr>
            </w:pPr>
            <w:r>
              <w:rPr>
                <w:rFonts w:eastAsia="仿宋_GB2312"/>
                <w:szCs w:val="21"/>
              </w:rPr>
              <w:t>12.4</w:t>
            </w:r>
          </w:p>
        </w:tc>
        <w:tc>
          <w:tcPr>
            <w:tcW w:w="565" w:type="dxa"/>
            <w:tcBorders>
              <w:tl2br w:val="nil"/>
              <w:tr2bl w:val="nil"/>
            </w:tcBorders>
            <w:vAlign w:val="center"/>
          </w:tcPr>
          <w:p>
            <w:pPr>
              <w:spacing w:line="320" w:lineRule="exact"/>
              <w:jc w:val="center"/>
              <w:rPr>
                <w:rFonts w:eastAsia="仿宋_GB2312"/>
                <w:szCs w:val="21"/>
              </w:rPr>
            </w:pPr>
            <w:r>
              <w:rPr>
                <w:rFonts w:eastAsia="仿宋_GB2312"/>
                <w:szCs w:val="21"/>
              </w:rPr>
              <w:t>9.3</w:t>
            </w:r>
          </w:p>
        </w:tc>
        <w:tc>
          <w:tcPr>
            <w:tcW w:w="565" w:type="dxa"/>
            <w:tcBorders>
              <w:tl2br w:val="nil"/>
              <w:tr2bl w:val="nil"/>
            </w:tcBorders>
            <w:vAlign w:val="center"/>
          </w:tcPr>
          <w:p>
            <w:pPr>
              <w:spacing w:line="320" w:lineRule="exact"/>
              <w:jc w:val="center"/>
              <w:rPr>
                <w:rFonts w:eastAsia="仿宋_GB2312"/>
                <w:szCs w:val="21"/>
              </w:rPr>
            </w:pPr>
            <w:r>
              <w:rPr>
                <w:rFonts w:eastAsia="仿宋_GB2312"/>
                <w:szCs w:val="21"/>
              </w:rPr>
              <w:t>4.6</w:t>
            </w:r>
          </w:p>
        </w:tc>
        <w:tc>
          <w:tcPr>
            <w:tcW w:w="412" w:type="dxa"/>
            <w:tcBorders>
              <w:tl2br w:val="nil"/>
              <w:tr2bl w:val="nil"/>
            </w:tcBorders>
            <w:vAlign w:val="center"/>
          </w:tcPr>
          <w:p>
            <w:pPr>
              <w:spacing w:line="320" w:lineRule="exact"/>
              <w:jc w:val="center"/>
              <w:rPr>
                <w:rFonts w:eastAsia="仿宋_GB2312"/>
                <w:szCs w:val="21"/>
              </w:rPr>
            </w:pPr>
            <w:r>
              <w:rPr>
                <w:rFonts w:eastAsia="仿宋_GB2312"/>
                <w:szCs w:val="21"/>
              </w:rPr>
              <w:t>2.5</w:t>
            </w:r>
          </w:p>
        </w:tc>
        <w:tc>
          <w:tcPr>
            <w:tcW w:w="567" w:type="dxa"/>
            <w:tcBorders>
              <w:tl2br w:val="nil"/>
              <w:tr2bl w:val="nil"/>
            </w:tcBorders>
            <w:vAlign w:val="center"/>
          </w:tcPr>
          <w:p>
            <w:pPr>
              <w:spacing w:line="320" w:lineRule="exact"/>
              <w:jc w:val="center"/>
              <w:rPr>
                <w:rFonts w:eastAsia="仿宋_GB2312"/>
                <w:szCs w:val="21"/>
              </w:rPr>
            </w:pPr>
            <w:r>
              <w:rPr>
                <w:rFonts w:eastAsia="仿宋_GB2312"/>
                <w:szCs w:val="21"/>
              </w:rPr>
              <w:t>2.5</w:t>
            </w:r>
          </w:p>
        </w:tc>
        <w:tc>
          <w:tcPr>
            <w:tcW w:w="567" w:type="dxa"/>
            <w:tcBorders>
              <w:tl2br w:val="nil"/>
              <w:tr2bl w:val="nil"/>
            </w:tcBorders>
            <w:vAlign w:val="center"/>
          </w:tcPr>
          <w:p>
            <w:pPr>
              <w:spacing w:line="320" w:lineRule="exact"/>
              <w:jc w:val="center"/>
              <w:rPr>
                <w:rFonts w:eastAsia="仿宋_GB2312"/>
                <w:szCs w:val="21"/>
              </w:rPr>
            </w:pPr>
            <w:r>
              <w:rPr>
                <w:rFonts w:eastAsia="仿宋_GB2312"/>
                <w:szCs w:val="21"/>
              </w:rPr>
              <w:t>4.6</w:t>
            </w:r>
          </w:p>
        </w:tc>
        <w:tc>
          <w:tcPr>
            <w:tcW w:w="709" w:type="dxa"/>
            <w:tcBorders>
              <w:tl2br w:val="nil"/>
              <w:tr2bl w:val="nil"/>
            </w:tcBorders>
            <w:vAlign w:val="center"/>
          </w:tcPr>
          <w:p>
            <w:pPr>
              <w:spacing w:line="320" w:lineRule="exact"/>
              <w:jc w:val="center"/>
              <w:rPr>
                <w:rFonts w:eastAsia="仿宋_GB2312"/>
                <w:szCs w:val="21"/>
              </w:rPr>
            </w:pPr>
            <w:r>
              <w:rPr>
                <w:rFonts w:eastAsia="仿宋_GB2312"/>
                <w:szCs w:val="21"/>
              </w:rPr>
              <w:t>4.1</w:t>
            </w:r>
          </w:p>
        </w:tc>
        <w:tc>
          <w:tcPr>
            <w:tcW w:w="425" w:type="dxa"/>
            <w:tcBorders>
              <w:tl2br w:val="nil"/>
              <w:tr2bl w:val="nil"/>
            </w:tcBorders>
            <w:vAlign w:val="center"/>
          </w:tcPr>
          <w:p>
            <w:pPr>
              <w:spacing w:line="320" w:lineRule="exact"/>
              <w:jc w:val="center"/>
              <w:rPr>
                <w:rFonts w:eastAsia="仿宋_GB2312"/>
                <w:szCs w:val="21"/>
              </w:rPr>
            </w:pPr>
            <w:r>
              <w:rPr>
                <w:rFonts w:eastAsia="仿宋_GB2312"/>
                <w:szCs w:val="21"/>
              </w:rPr>
              <w:t>4.0</w:t>
            </w:r>
          </w:p>
        </w:tc>
        <w:tc>
          <w:tcPr>
            <w:tcW w:w="709" w:type="dxa"/>
            <w:tcBorders>
              <w:tl2br w:val="nil"/>
              <w:tr2bl w:val="nil"/>
            </w:tcBorders>
            <w:vAlign w:val="center"/>
          </w:tcPr>
          <w:p>
            <w:pPr>
              <w:spacing w:line="320" w:lineRule="exact"/>
              <w:jc w:val="center"/>
              <w:rPr>
                <w:rFonts w:eastAsia="仿宋_GB2312"/>
                <w:szCs w:val="21"/>
              </w:rPr>
            </w:pPr>
            <w:r>
              <w:rPr>
                <w:rFonts w:eastAsia="仿宋_GB2312"/>
                <w:szCs w:val="21"/>
              </w:rPr>
              <w:t>4.2</w:t>
            </w:r>
          </w:p>
        </w:tc>
        <w:tc>
          <w:tcPr>
            <w:tcW w:w="567" w:type="dxa"/>
            <w:tcBorders>
              <w:tl2br w:val="nil"/>
              <w:tr2bl w:val="nil"/>
            </w:tcBorders>
            <w:vAlign w:val="center"/>
          </w:tcPr>
          <w:p>
            <w:pPr>
              <w:spacing w:line="320" w:lineRule="exact"/>
              <w:jc w:val="center"/>
              <w:rPr>
                <w:rFonts w:eastAsia="仿宋_GB2312"/>
                <w:szCs w:val="21"/>
              </w:rPr>
            </w:pPr>
            <w:r>
              <w:rPr>
                <w:rFonts w:eastAsia="仿宋_GB2312"/>
                <w:szCs w:val="21"/>
              </w:rPr>
              <w:t>4.6</w:t>
            </w:r>
          </w:p>
        </w:tc>
        <w:tc>
          <w:tcPr>
            <w:tcW w:w="709" w:type="dxa"/>
            <w:tcBorders>
              <w:tl2br w:val="nil"/>
              <w:tr2bl w:val="nil"/>
            </w:tcBorders>
            <w:vAlign w:val="center"/>
          </w:tcPr>
          <w:p>
            <w:pPr>
              <w:spacing w:line="320" w:lineRule="exact"/>
              <w:jc w:val="center"/>
              <w:rPr>
                <w:rFonts w:eastAsia="仿宋_GB2312"/>
                <w:szCs w:val="21"/>
              </w:rPr>
            </w:pPr>
            <w:r>
              <w:rPr>
                <w:rFonts w:eastAsia="仿宋_GB2312"/>
                <w:szCs w:val="21"/>
              </w:rPr>
              <w:t>4.6</w:t>
            </w:r>
          </w:p>
        </w:tc>
        <w:tc>
          <w:tcPr>
            <w:tcW w:w="459" w:type="dxa"/>
            <w:tcBorders>
              <w:tl2br w:val="nil"/>
              <w:tr2bl w:val="nil"/>
            </w:tcBorders>
            <w:vAlign w:val="center"/>
          </w:tcPr>
          <w:p>
            <w:pPr>
              <w:spacing w:line="320" w:lineRule="exact"/>
              <w:jc w:val="center"/>
              <w:rPr>
                <w:rFonts w:eastAsia="仿宋_GB2312"/>
                <w:szCs w:val="21"/>
              </w:rPr>
            </w:pPr>
            <w:r>
              <w:rPr>
                <w:rFonts w:eastAsia="仿宋_GB2312"/>
                <w:szCs w:val="21"/>
              </w:rPr>
              <w:t>4.3</w:t>
            </w:r>
          </w:p>
        </w:tc>
      </w:tr>
    </w:tbl>
    <w:p>
      <w:pPr>
        <w:widowControl/>
        <w:jc w:val="center"/>
        <w:rPr>
          <w:rFonts w:eastAsia="仿宋_GB2312"/>
          <w:kern w:val="0"/>
          <w:sz w:val="24"/>
        </w:rPr>
      </w:pPr>
      <w:r>
        <w:rPr>
          <w:rFonts w:eastAsia="仿宋_GB2312"/>
          <w:kern w:val="0"/>
          <w:sz w:val="24"/>
        </w:rPr>
        <w:drawing>
          <wp:inline distT="0" distB="0" distL="0" distR="0">
            <wp:extent cx="4333875" cy="3248025"/>
            <wp:effectExtent l="0" t="0" r="9525" b="9525"/>
            <wp:docPr id="47" name="图片 47" descr="C:\Users\Administrator\AppData\Roaming\Tencent\Users\305953593\QQ\WinTemp\RichOle\%LSAXBGQ]6(D4FATK~AKR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Administrator\AppData\Roaming\Tencent\Users\305953593\QQ\WinTemp\RichOle\%LSAXBGQ]6(D4FATK~AKRHI.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4333875" cy="3248025"/>
                    </a:xfrm>
                    <a:prstGeom prst="rect">
                      <a:avLst/>
                    </a:prstGeom>
                    <a:noFill/>
                    <a:ln>
                      <a:noFill/>
                    </a:ln>
                  </pic:spPr>
                </pic:pic>
              </a:graphicData>
            </a:graphic>
          </wp:inline>
        </w:drawing>
      </w:r>
    </w:p>
    <w:p>
      <w:pPr>
        <w:widowControl/>
        <w:spacing w:line="500" w:lineRule="exact"/>
        <w:ind w:firstLine="482" w:firstLineChars="200"/>
        <w:jc w:val="center"/>
        <w:rPr>
          <w:rFonts w:eastAsia="仿宋_GB2312"/>
          <w:b/>
          <w:bCs/>
          <w:kern w:val="0"/>
          <w:sz w:val="24"/>
          <w:szCs w:val="21"/>
        </w:rPr>
      </w:pPr>
      <w:r>
        <w:rPr>
          <w:rFonts w:eastAsia="仿宋_GB2312"/>
          <w:b/>
          <w:bCs/>
          <w:kern w:val="0"/>
          <w:sz w:val="24"/>
          <w:szCs w:val="21"/>
        </w:rPr>
        <w:t>图5.2-1  金坛风向玫瑰图（静风频率4.3%）</w:t>
      </w:r>
    </w:p>
    <w:p>
      <w:pPr>
        <w:widowControl/>
        <w:spacing w:line="500" w:lineRule="exact"/>
        <w:ind w:firstLine="560" w:firstLineChars="200"/>
        <w:jc w:val="left"/>
        <w:rPr>
          <w:rFonts w:eastAsia="仿宋_GB2312"/>
          <w:kern w:val="0"/>
          <w:sz w:val="28"/>
          <w:szCs w:val="28"/>
        </w:rPr>
      </w:pPr>
      <w:r>
        <w:rPr>
          <w:rFonts w:eastAsia="仿宋_GB2312"/>
          <w:kern w:val="0"/>
          <w:sz w:val="28"/>
          <w:szCs w:val="28"/>
        </w:rPr>
        <w:t>各月风向频率如下：</w:t>
      </w:r>
    </w:p>
    <w:p>
      <w:pPr>
        <w:widowControl/>
        <w:spacing w:line="500" w:lineRule="exact"/>
        <w:ind w:firstLine="482" w:firstLineChars="200"/>
        <w:jc w:val="center"/>
        <w:rPr>
          <w:rFonts w:eastAsia="仿宋_GB2312"/>
          <w:b/>
          <w:bCs/>
          <w:kern w:val="0"/>
          <w:sz w:val="24"/>
          <w:szCs w:val="21"/>
        </w:rPr>
      </w:pPr>
      <w:r>
        <w:rPr>
          <w:rFonts w:eastAsia="仿宋_GB2312"/>
          <w:b/>
          <w:bCs/>
          <w:kern w:val="0"/>
          <w:sz w:val="24"/>
          <w:szCs w:val="21"/>
        </w:rPr>
        <w:t>表5.2-4  金坛气象站月风向频率统计（单位：%）</w:t>
      </w:r>
    </w:p>
    <w:tbl>
      <w:tblPr>
        <w:tblStyle w:val="87"/>
        <w:tblW w:w="102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9"/>
        <w:gridCol w:w="566"/>
        <w:gridCol w:w="565"/>
        <w:gridCol w:w="565"/>
        <w:gridCol w:w="565"/>
        <w:gridCol w:w="565"/>
        <w:gridCol w:w="565"/>
        <w:gridCol w:w="565"/>
        <w:gridCol w:w="565"/>
        <w:gridCol w:w="392"/>
        <w:gridCol w:w="587"/>
        <w:gridCol w:w="567"/>
        <w:gridCol w:w="709"/>
        <w:gridCol w:w="425"/>
        <w:gridCol w:w="709"/>
        <w:gridCol w:w="567"/>
        <w:gridCol w:w="709"/>
        <w:gridCol w:w="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9" w:type="dxa"/>
            <w:tcBorders>
              <w:tl2br w:val="nil"/>
              <w:tr2bl w:val="nil"/>
            </w:tcBorders>
            <w:vAlign w:val="center"/>
          </w:tcPr>
          <w:p>
            <w:pPr>
              <w:jc w:val="center"/>
              <w:rPr>
                <w:rFonts w:eastAsia="仿宋_GB2312"/>
                <w:szCs w:val="21"/>
              </w:rPr>
            </w:pPr>
            <w:r>
              <w:rPr>
                <w:rFonts w:eastAsia="仿宋_GB2312"/>
                <w:szCs w:val="21"/>
              </w:rPr>
              <w:t>月份</w:t>
            </w:r>
          </w:p>
        </w:tc>
        <w:tc>
          <w:tcPr>
            <w:tcW w:w="566" w:type="dxa"/>
            <w:tcBorders>
              <w:tl2br w:val="nil"/>
              <w:tr2bl w:val="nil"/>
            </w:tcBorders>
            <w:vAlign w:val="center"/>
          </w:tcPr>
          <w:p>
            <w:pPr>
              <w:jc w:val="center"/>
              <w:rPr>
                <w:rFonts w:eastAsia="仿宋_GB2312"/>
                <w:szCs w:val="21"/>
              </w:rPr>
            </w:pPr>
            <w:r>
              <w:rPr>
                <w:rFonts w:eastAsia="仿宋_GB2312"/>
                <w:szCs w:val="21"/>
              </w:rPr>
              <w:t>N</w:t>
            </w:r>
          </w:p>
        </w:tc>
        <w:tc>
          <w:tcPr>
            <w:tcW w:w="565" w:type="dxa"/>
            <w:tcBorders>
              <w:tl2br w:val="nil"/>
              <w:tr2bl w:val="nil"/>
            </w:tcBorders>
            <w:vAlign w:val="center"/>
          </w:tcPr>
          <w:p>
            <w:pPr>
              <w:jc w:val="center"/>
              <w:rPr>
                <w:rFonts w:eastAsia="仿宋_GB2312"/>
                <w:szCs w:val="21"/>
              </w:rPr>
            </w:pPr>
            <w:r>
              <w:rPr>
                <w:rFonts w:eastAsia="仿宋_GB2312"/>
                <w:szCs w:val="21"/>
              </w:rPr>
              <w:t>NNE</w:t>
            </w:r>
          </w:p>
        </w:tc>
        <w:tc>
          <w:tcPr>
            <w:tcW w:w="565" w:type="dxa"/>
            <w:tcBorders>
              <w:tl2br w:val="nil"/>
              <w:tr2bl w:val="nil"/>
            </w:tcBorders>
            <w:vAlign w:val="center"/>
          </w:tcPr>
          <w:p>
            <w:pPr>
              <w:jc w:val="center"/>
              <w:rPr>
                <w:rFonts w:eastAsia="仿宋_GB2312"/>
                <w:szCs w:val="21"/>
              </w:rPr>
            </w:pPr>
            <w:r>
              <w:rPr>
                <w:rFonts w:eastAsia="仿宋_GB2312"/>
                <w:szCs w:val="21"/>
              </w:rPr>
              <w:t>NE</w:t>
            </w:r>
          </w:p>
        </w:tc>
        <w:tc>
          <w:tcPr>
            <w:tcW w:w="565" w:type="dxa"/>
            <w:tcBorders>
              <w:tl2br w:val="nil"/>
              <w:tr2bl w:val="nil"/>
            </w:tcBorders>
            <w:vAlign w:val="center"/>
          </w:tcPr>
          <w:p>
            <w:pPr>
              <w:jc w:val="center"/>
              <w:rPr>
                <w:rFonts w:eastAsia="仿宋_GB2312"/>
                <w:szCs w:val="21"/>
              </w:rPr>
            </w:pPr>
            <w:r>
              <w:rPr>
                <w:rFonts w:eastAsia="仿宋_GB2312"/>
                <w:szCs w:val="21"/>
              </w:rPr>
              <w:t>ENE</w:t>
            </w:r>
          </w:p>
        </w:tc>
        <w:tc>
          <w:tcPr>
            <w:tcW w:w="565" w:type="dxa"/>
            <w:tcBorders>
              <w:tl2br w:val="nil"/>
              <w:tr2bl w:val="nil"/>
            </w:tcBorders>
            <w:vAlign w:val="center"/>
          </w:tcPr>
          <w:p>
            <w:pPr>
              <w:jc w:val="center"/>
              <w:rPr>
                <w:rFonts w:eastAsia="仿宋_GB2312"/>
                <w:szCs w:val="21"/>
              </w:rPr>
            </w:pPr>
            <w:r>
              <w:rPr>
                <w:rFonts w:eastAsia="仿宋_GB2312"/>
                <w:szCs w:val="21"/>
              </w:rPr>
              <w:t>E</w:t>
            </w:r>
          </w:p>
        </w:tc>
        <w:tc>
          <w:tcPr>
            <w:tcW w:w="565" w:type="dxa"/>
            <w:tcBorders>
              <w:tl2br w:val="nil"/>
              <w:tr2bl w:val="nil"/>
            </w:tcBorders>
            <w:vAlign w:val="center"/>
          </w:tcPr>
          <w:p>
            <w:pPr>
              <w:jc w:val="center"/>
              <w:rPr>
                <w:rFonts w:eastAsia="仿宋_GB2312"/>
                <w:szCs w:val="21"/>
              </w:rPr>
            </w:pPr>
            <w:r>
              <w:rPr>
                <w:rFonts w:eastAsia="仿宋_GB2312"/>
                <w:szCs w:val="21"/>
              </w:rPr>
              <w:t>ESE</w:t>
            </w:r>
          </w:p>
        </w:tc>
        <w:tc>
          <w:tcPr>
            <w:tcW w:w="565" w:type="dxa"/>
            <w:tcBorders>
              <w:tl2br w:val="nil"/>
              <w:tr2bl w:val="nil"/>
            </w:tcBorders>
            <w:vAlign w:val="center"/>
          </w:tcPr>
          <w:p>
            <w:pPr>
              <w:jc w:val="center"/>
              <w:rPr>
                <w:rFonts w:eastAsia="仿宋_GB2312"/>
                <w:szCs w:val="21"/>
              </w:rPr>
            </w:pPr>
            <w:r>
              <w:rPr>
                <w:rFonts w:eastAsia="仿宋_GB2312"/>
                <w:szCs w:val="21"/>
              </w:rPr>
              <w:t>SE</w:t>
            </w:r>
          </w:p>
        </w:tc>
        <w:tc>
          <w:tcPr>
            <w:tcW w:w="565" w:type="dxa"/>
            <w:tcBorders>
              <w:tl2br w:val="nil"/>
              <w:tr2bl w:val="nil"/>
            </w:tcBorders>
            <w:vAlign w:val="center"/>
          </w:tcPr>
          <w:p>
            <w:pPr>
              <w:jc w:val="center"/>
              <w:rPr>
                <w:rFonts w:eastAsia="仿宋_GB2312"/>
                <w:szCs w:val="21"/>
              </w:rPr>
            </w:pPr>
            <w:r>
              <w:rPr>
                <w:rFonts w:eastAsia="仿宋_GB2312"/>
                <w:szCs w:val="21"/>
              </w:rPr>
              <w:t>SSE</w:t>
            </w:r>
          </w:p>
        </w:tc>
        <w:tc>
          <w:tcPr>
            <w:tcW w:w="392" w:type="dxa"/>
            <w:tcBorders>
              <w:tl2br w:val="nil"/>
              <w:tr2bl w:val="nil"/>
            </w:tcBorders>
            <w:vAlign w:val="center"/>
          </w:tcPr>
          <w:p>
            <w:pPr>
              <w:jc w:val="center"/>
              <w:rPr>
                <w:rFonts w:eastAsia="仿宋_GB2312"/>
                <w:szCs w:val="21"/>
              </w:rPr>
            </w:pPr>
            <w:r>
              <w:rPr>
                <w:rFonts w:eastAsia="仿宋_GB2312"/>
                <w:szCs w:val="21"/>
              </w:rPr>
              <w:t>S</w:t>
            </w:r>
          </w:p>
        </w:tc>
        <w:tc>
          <w:tcPr>
            <w:tcW w:w="587" w:type="dxa"/>
            <w:tcBorders>
              <w:tl2br w:val="nil"/>
              <w:tr2bl w:val="nil"/>
            </w:tcBorders>
            <w:vAlign w:val="center"/>
          </w:tcPr>
          <w:p>
            <w:pPr>
              <w:jc w:val="center"/>
              <w:rPr>
                <w:rFonts w:eastAsia="仿宋_GB2312"/>
                <w:szCs w:val="21"/>
              </w:rPr>
            </w:pPr>
            <w:r>
              <w:rPr>
                <w:rFonts w:eastAsia="仿宋_GB2312"/>
                <w:szCs w:val="21"/>
              </w:rPr>
              <w:t>SSW</w:t>
            </w:r>
          </w:p>
        </w:tc>
        <w:tc>
          <w:tcPr>
            <w:tcW w:w="567" w:type="dxa"/>
            <w:tcBorders>
              <w:tl2br w:val="nil"/>
              <w:tr2bl w:val="nil"/>
            </w:tcBorders>
            <w:vAlign w:val="center"/>
          </w:tcPr>
          <w:p>
            <w:pPr>
              <w:jc w:val="center"/>
              <w:rPr>
                <w:rFonts w:eastAsia="仿宋_GB2312"/>
                <w:szCs w:val="21"/>
              </w:rPr>
            </w:pPr>
            <w:r>
              <w:rPr>
                <w:rFonts w:eastAsia="仿宋_GB2312"/>
                <w:szCs w:val="21"/>
              </w:rPr>
              <w:t>SW</w:t>
            </w:r>
          </w:p>
        </w:tc>
        <w:tc>
          <w:tcPr>
            <w:tcW w:w="709" w:type="dxa"/>
            <w:tcBorders>
              <w:tl2br w:val="nil"/>
              <w:tr2bl w:val="nil"/>
            </w:tcBorders>
            <w:vAlign w:val="center"/>
          </w:tcPr>
          <w:p>
            <w:pPr>
              <w:jc w:val="center"/>
              <w:rPr>
                <w:rFonts w:eastAsia="仿宋_GB2312"/>
                <w:szCs w:val="21"/>
              </w:rPr>
            </w:pPr>
            <w:r>
              <w:rPr>
                <w:rFonts w:eastAsia="仿宋_GB2312"/>
                <w:szCs w:val="21"/>
              </w:rPr>
              <w:t>WSW</w:t>
            </w:r>
          </w:p>
        </w:tc>
        <w:tc>
          <w:tcPr>
            <w:tcW w:w="425" w:type="dxa"/>
            <w:tcBorders>
              <w:tl2br w:val="nil"/>
              <w:tr2bl w:val="nil"/>
            </w:tcBorders>
            <w:vAlign w:val="center"/>
          </w:tcPr>
          <w:p>
            <w:pPr>
              <w:jc w:val="center"/>
              <w:rPr>
                <w:rFonts w:eastAsia="仿宋_GB2312"/>
                <w:szCs w:val="21"/>
              </w:rPr>
            </w:pPr>
            <w:r>
              <w:rPr>
                <w:rFonts w:eastAsia="仿宋_GB2312"/>
                <w:szCs w:val="21"/>
              </w:rPr>
              <w:t>W</w:t>
            </w:r>
          </w:p>
        </w:tc>
        <w:tc>
          <w:tcPr>
            <w:tcW w:w="709" w:type="dxa"/>
            <w:tcBorders>
              <w:tl2br w:val="nil"/>
              <w:tr2bl w:val="nil"/>
            </w:tcBorders>
            <w:vAlign w:val="center"/>
          </w:tcPr>
          <w:p>
            <w:pPr>
              <w:jc w:val="center"/>
              <w:rPr>
                <w:rFonts w:eastAsia="仿宋_GB2312"/>
                <w:szCs w:val="21"/>
              </w:rPr>
            </w:pPr>
            <w:r>
              <w:rPr>
                <w:rFonts w:eastAsia="仿宋_GB2312"/>
                <w:szCs w:val="21"/>
              </w:rPr>
              <w:t>WNW</w:t>
            </w:r>
          </w:p>
        </w:tc>
        <w:tc>
          <w:tcPr>
            <w:tcW w:w="567" w:type="dxa"/>
            <w:tcBorders>
              <w:tl2br w:val="nil"/>
              <w:tr2bl w:val="nil"/>
            </w:tcBorders>
            <w:vAlign w:val="center"/>
          </w:tcPr>
          <w:p>
            <w:pPr>
              <w:jc w:val="center"/>
              <w:rPr>
                <w:rFonts w:eastAsia="仿宋_GB2312"/>
                <w:szCs w:val="21"/>
              </w:rPr>
            </w:pPr>
            <w:r>
              <w:rPr>
                <w:rFonts w:eastAsia="仿宋_GB2312"/>
                <w:szCs w:val="21"/>
              </w:rPr>
              <w:t>NW</w:t>
            </w:r>
          </w:p>
        </w:tc>
        <w:tc>
          <w:tcPr>
            <w:tcW w:w="709" w:type="dxa"/>
            <w:tcBorders>
              <w:tl2br w:val="nil"/>
              <w:tr2bl w:val="nil"/>
            </w:tcBorders>
            <w:vAlign w:val="center"/>
          </w:tcPr>
          <w:p>
            <w:pPr>
              <w:jc w:val="center"/>
              <w:rPr>
                <w:rFonts w:eastAsia="仿宋_GB2312"/>
                <w:szCs w:val="21"/>
              </w:rPr>
            </w:pPr>
            <w:r>
              <w:rPr>
                <w:rFonts w:eastAsia="仿宋_GB2312"/>
                <w:szCs w:val="21"/>
              </w:rPr>
              <w:t>NNW</w:t>
            </w:r>
          </w:p>
        </w:tc>
        <w:tc>
          <w:tcPr>
            <w:tcW w:w="459" w:type="dxa"/>
            <w:tcBorders>
              <w:tl2br w:val="nil"/>
              <w:tr2bl w:val="nil"/>
            </w:tcBorders>
            <w:vAlign w:val="center"/>
          </w:tcPr>
          <w:p>
            <w:pPr>
              <w:jc w:val="center"/>
              <w:rPr>
                <w:rFonts w:eastAsia="仿宋_GB2312"/>
                <w:szCs w:val="21"/>
              </w:rPr>
            </w:pPr>
            <w:r>
              <w:rPr>
                <w:rFonts w:eastAsia="仿宋_GB2312"/>
                <w:szCs w:val="21"/>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9" w:type="dxa"/>
            <w:tcBorders>
              <w:tl2br w:val="nil"/>
              <w:tr2bl w:val="nil"/>
            </w:tcBorders>
            <w:vAlign w:val="center"/>
          </w:tcPr>
          <w:p>
            <w:pPr>
              <w:jc w:val="center"/>
              <w:rPr>
                <w:rFonts w:eastAsia="仿宋_GB2312"/>
                <w:szCs w:val="21"/>
              </w:rPr>
            </w:pPr>
            <w:r>
              <w:rPr>
                <w:rFonts w:eastAsia="仿宋_GB2312"/>
                <w:szCs w:val="21"/>
              </w:rPr>
              <w:t>01</w:t>
            </w:r>
          </w:p>
        </w:tc>
        <w:tc>
          <w:tcPr>
            <w:tcW w:w="566" w:type="dxa"/>
            <w:tcBorders>
              <w:tl2br w:val="nil"/>
              <w:tr2bl w:val="nil"/>
            </w:tcBorders>
            <w:vAlign w:val="center"/>
          </w:tcPr>
          <w:p>
            <w:pPr>
              <w:jc w:val="center"/>
              <w:rPr>
                <w:rFonts w:eastAsia="仿宋_GB2312"/>
                <w:szCs w:val="21"/>
              </w:rPr>
            </w:pPr>
            <w:r>
              <w:rPr>
                <w:rFonts w:eastAsia="仿宋_GB2312"/>
                <w:szCs w:val="21"/>
              </w:rPr>
              <w:t>8.3</w:t>
            </w:r>
          </w:p>
        </w:tc>
        <w:tc>
          <w:tcPr>
            <w:tcW w:w="565" w:type="dxa"/>
            <w:tcBorders>
              <w:tl2br w:val="nil"/>
              <w:tr2bl w:val="nil"/>
            </w:tcBorders>
            <w:vAlign w:val="center"/>
          </w:tcPr>
          <w:p>
            <w:pPr>
              <w:jc w:val="center"/>
              <w:rPr>
                <w:rFonts w:eastAsia="仿宋_GB2312"/>
                <w:szCs w:val="21"/>
              </w:rPr>
            </w:pPr>
            <w:r>
              <w:rPr>
                <w:rFonts w:eastAsia="仿宋_GB2312"/>
                <w:szCs w:val="21"/>
              </w:rPr>
              <w:t>10.7</w:t>
            </w:r>
          </w:p>
        </w:tc>
        <w:tc>
          <w:tcPr>
            <w:tcW w:w="565" w:type="dxa"/>
            <w:tcBorders>
              <w:tl2br w:val="nil"/>
              <w:tr2bl w:val="nil"/>
            </w:tcBorders>
            <w:vAlign w:val="center"/>
          </w:tcPr>
          <w:p>
            <w:pPr>
              <w:jc w:val="center"/>
              <w:rPr>
                <w:rFonts w:eastAsia="仿宋_GB2312"/>
                <w:szCs w:val="21"/>
              </w:rPr>
            </w:pPr>
            <w:r>
              <w:rPr>
                <w:rFonts w:eastAsia="仿宋_GB2312"/>
                <w:szCs w:val="21"/>
              </w:rPr>
              <w:t>9.0</w:t>
            </w:r>
          </w:p>
        </w:tc>
        <w:tc>
          <w:tcPr>
            <w:tcW w:w="565" w:type="dxa"/>
            <w:tcBorders>
              <w:tl2br w:val="nil"/>
              <w:tr2bl w:val="nil"/>
            </w:tcBorders>
            <w:vAlign w:val="center"/>
          </w:tcPr>
          <w:p>
            <w:pPr>
              <w:jc w:val="center"/>
              <w:rPr>
                <w:rFonts w:eastAsia="仿宋_GB2312"/>
                <w:szCs w:val="21"/>
              </w:rPr>
            </w:pPr>
            <w:r>
              <w:rPr>
                <w:rFonts w:eastAsia="仿宋_GB2312"/>
                <w:szCs w:val="21"/>
              </w:rPr>
              <w:t>8.2</w:t>
            </w:r>
          </w:p>
        </w:tc>
        <w:tc>
          <w:tcPr>
            <w:tcW w:w="565" w:type="dxa"/>
            <w:tcBorders>
              <w:tl2br w:val="nil"/>
              <w:tr2bl w:val="nil"/>
            </w:tcBorders>
            <w:vAlign w:val="center"/>
          </w:tcPr>
          <w:p>
            <w:pPr>
              <w:jc w:val="center"/>
              <w:rPr>
                <w:rFonts w:eastAsia="仿宋_GB2312"/>
                <w:szCs w:val="21"/>
              </w:rPr>
            </w:pPr>
            <w:r>
              <w:rPr>
                <w:rFonts w:eastAsia="仿宋_GB2312"/>
                <w:szCs w:val="21"/>
              </w:rPr>
              <w:t>8.2</w:t>
            </w:r>
          </w:p>
        </w:tc>
        <w:tc>
          <w:tcPr>
            <w:tcW w:w="565" w:type="dxa"/>
            <w:tcBorders>
              <w:tl2br w:val="nil"/>
              <w:tr2bl w:val="nil"/>
            </w:tcBorders>
            <w:vAlign w:val="center"/>
          </w:tcPr>
          <w:p>
            <w:pPr>
              <w:jc w:val="center"/>
              <w:rPr>
                <w:rFonts w:eastAsia="仿宋_GB2312"/>
                <w:szCs w:val="21"/>
              </w:rPr>
            </w:pPr>
            <w:r>
              <w:rPr>
                <w:rFonts w:eastAsia="仿宋_GB2312"/>
                <w:szCs w:val="21"/>
              </w:rPr>
              <w:t>8.0</w:t>
            </w:r>
          </w:p>
        </w:tc>
        <w:tc>
          <w:tcPr>
            <w:tcW w:w="565" w:type="dxa"/>
            <w:tcBorders>
              <w:tl2br w:val="nil"/>
              <w:tr2bl w:val="nil"/>
            </w:tcBorders>
            <w:vAlign w:val="center"/>
          </w:tcPr>
          <w:p>
            <w:pPr>
              <w:jc w:val="center"/>
              <w:rPr>
                <w:rFonts w:eastAsia="仿宋_GB2312"/>
                <w:szCs w:val="21"/>
              </w:rPr>
            </w:pPr>
            <w:r>
              <w:rPr>
                <w:rFonts w:eastAsia="仿宋_GB2312"/>
                <w:szCs w:val="21"/>
              </w:rPr>
              <w:t>4.2</w:t>
            </w:r>
          </w:p>
        </w:tc>
        <w:tc>
          <w:tcPr>
            <w:tcW w:w="565" w:type="dxa"/>
            <w:tcBorders>
              <w:tl2br w:val="nil"/>
              <w:tr2bl w:val="nil"/>
            </w:tcBorders>
            <w:vAlign w:val="center"/>
          </w:tcPr>
          <w:p>
            <w:pPr>
              <w:jc w:val="center"/>
              <w:rPr>
                <w:rFonts w:eastAsia="仿宋_GB2312"/>
                <w:szCs w:val="21"/>
              </w:rPr>
            </w:pPr>
            <w:r>
              <w:rPr>
                <w:rFonts w:eastAsia="仿宋_GB2312"/>
                <w:szCs w:val="21"/>
              </w:rPr>
              <w:t>2.7</w:t>
            </w:r>
          </w:p>
        </w:tc>
        <w:tc>
          <w:tcPr>
            <w:tcW w:w="392" w:type="dxa"/>
            <w:tcBorders>
              <w:tl2br w:val="nil"/>
              <w:tr2bl w:val="nil"/>
            </w:tcBorders>
            <w:vAlign w:val="center"/>
          </w:tcPr>
          <w:p>
            <w:pPr>
              <w:jc w:val="center"/>
              <w:rPr>
                <w:rFonts w:eastAsia="仿宋_GB2312"/>
                <w:szCs w:val="21"/>
              </w:rPr>
            </w:pPr>
            <w:r>
              <w:rPr>
                <w:rFonts w:eastAsia="仿宋_GB2312"/>
                <w:szCs w:val="21"/>
              </w:rPr>
              <w:t>1.8</w:t>
            </w:r>
          </w:p>
        </w:tc>
        <w:tc>
          <w:tcPr>
            <w:tcW w:w="587" w:type="dxa"/>
            <w:tcBorders>
              <w:tl2br w:val="nil"/>
              <w:tr2bl w:val="nil"/>
            </w:tcBorders>
            <w:vAlign w:val="center"/>
          </w:tcPr>
          <w:p>
            <w:pPr>
              <w:jc w:val="center"/>
              <w:rPr>
                <w:rFonts w:eastAsia="仿宋_GB2312"/>
                <w:szCs w:val="21"/>
              </w:rPr>
            </w:pPr>
            <w:r>
              <w:rPr>
                <w:rFonts w:eastAsia="仿宋_GB2312"/>
                <w:szCs w:val="21"/>
              </w:rPr>
              <w:t>1.7</w:t>
            </w:r>
          </w:p>
        </w:tc>
        <w:tc>
          <w:tcPr>
            <w:tcW w:w="567" w:type="dxa"/>
            <w:tcBorders>
              <w:tl2br w:val="nil"/>
              <w:tr2bl w:val="nil"/>
            </w:tcBorders>
            <w:vAlign w:val="center"/>
          </w:tcPr>
          <w:p>
            <w:pPr>
              <w:jc w:val="center"/>
              <w:rPr>
                <w:rFonts w:eastAsia="仿宋_GB2312"/>
                <w:szCs w:val="21"/>
              </w:rPr>
            </w:pPr>
            <w:r>
              <w:rPr>
                <w:rFonts w:eastAsia="仿宋_GB2312"/>
                <w:szCs w:val="21"/>
              </w:rPr>
              <w:t>2.9</w:t>
            </w:r>
          </w:p>
        </w:tc>
        <w:tc>
          <w:tcPr>
            <w:tcW w:w="709" w:type="dxa"/>
            <w:tcBorders>
              <w:tl2br w:val="nil"/>
              <w:tr2bl w:val="nil"/>
            </w:tcBorders>
            <w:vAlign w:val="center"/>
          </w:tcPr>
          <w:p>
            <w:pPr>
              <w:jc w:val="center"/>
              <w:rPr>
                <w:rFonts w:eastAsia="仿宋_GB2312"/>
                <w:szCs w:val="21"/>
              </w:rPr>
            </w:pPr>
            <w:r>
              <w:rPr>
                <w:rFonts w:eastAsia="仿宋_GB2312"/>
                <w:szCs w:val="21"/>
              </w:rPr>
              <w:t>3.5</w:t>
            </w:r>
          </w:p>
        </w:tc>
        <w:tc>
          <w:tcPr>
            <w:tcW w:w="425" w:type="dxa"/>
            <w:tcBorders>
              <w:tl2br w:val="nil"/>
              <w:tr2bl w:val="nil"/>
            </w:tcBorders>
            <w:vAlign w:val="center"/>
          </w:tcPr>
          <w:p>
            <w:pPr>
              <w:jc w:val="center"/>
              <w:rPr>
                <w:rFonts w:eastAsia="仿宋_GB2312"/>
                <w:szCs w:val="21"/>
              </w:rPr>
            </w:pPr>
            <w:r>
              <w:rPr>
                <w:rFonts w:eastAsia="仿宋_GB2312"/>
                <w:szCs w:val="21"/>
              </w:rPr>
              <w:t>6.1</w:t>
            </w:r>
          </w:p>
        </w:tc>
        <w:tc>
          <w:tcPr>
            <w:tcW w:w="709" w:type="dxa"/>
            <w:tcBorders>
              <w:tl2br w:val="nil"/>
              <w:tr2bl w:val="nil"/>
            </w:tcBorders>
            <w:vAlign w:val="center"/>
          </w:tcPr>
          <w:p>
            <w:pPr>
              <w:jc w:val="center"/>
              <w:rPr>
                <w:rFonts w:eastAsia="仿宋_GB2312"/>
                <w:szCs w:val="21"/>
              </w:rPr>
            </w:pPr>
            <w:r>
              <w:rPr>
                <w:rFonts w:eastAsia="仿宋_GB2312"/>
                <w:szCs w:val="21"/>
              </w:rPr>
              <w:t>7.0</w:t>
            </w:r>
          </w:p>
        </w:tc>
        <w:tc>
          <w:tcPr>
            <w:tcW w:w="567" w:type="dxa"/>
            <w:tcBorders>
              <w:tl2br w:val="nil"/>
              <w:tr2bl w:val="nil"/>
            </w:tcBorders>
            <w:vAlign w:val="center"/>
          </w:tcPr>
          <w:p>
            <w:pPr>
              <w:jc w:val="center"/>
              <w:rPr>
                <w:rFonts w:eastAsia="仿宋_GB2312"/>
                <w:szCs w:val="21"/>
              </w:rPr>
            </w:pPr>
            <w:r>
              <w:rPr>
                <w:rFonts w:eastAsia="仿宋_GB2312"/>
                <w:szCs w:val="21"/>
              </w:rPr>
              <w:t>6.5</w:t>
            </w:r>
          </w:p>
        </w:tc>
        <w:tc>
          <w:tcPr>
            <w:tcW w:w="709" w:type="dxa"/>
            <w:tcBorders>
              <w:tl2br w:val="nil"/>
              <w:tr2bl w:val="nil"/>
            </w:tcBorders>
            <w:vAlign w:val="center"/>
          </w:tcPr>
          <w:p>
            <w:pPr>
              <w:jc w:val="center"/>
              <w:rPr>
                <w:rFonts w:eastAsia="仿宋_GB2312"/>
                <w:szCs w:val="21"/>
              </w:rPr>
            </w:pPr>
            <w:r>
              <w:rPr>
                <w:rFonts w:eastAsia="仿宋_GB2312"/>
                <w:szCs w:val="21"/>
              </w:rPr>
              <w:t>6.3</w:t>
            </w:r>
          </w:p>
        </w:tc>
        <w:tc>
          <w:tcPr>
            <w:tcW w:w="459" w:type="dxa"/>
            <w:tcBorders>
              <w:tl2br w:val="nil"/>
              <w:tr2bl w:val="nil"/>
            </w:tcBorders>
            <w:vAlign w:val="center"/>
          </w:tcPr>
          <w:p>
            <w:pPr>
              <w:jc w:val="center"/>
              <w:rPr>
                <w:rFonts w:eastAsia="仿宋_GB2312"/>
                <w:szCs w:val="21"/>
              </w:rPr>
            </w:pPr>
            <w:r>
              <w:rPr>
                <w:rFonts w:eastAsia="仿宋_GB2312"/>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9" w:type="dxa"/>
            <w:tcBorders>
              <w:tl2br w:val="nil"/>
              <w:tr2bl w:val="nil"/>
            </w:tcBorders>
            <w:vAlign w:val="center"/>
          </w:tcPr>
          <w:p>
            <w:pPr>
              <w:jc w:val="center"/>
              <w:rPr>
                <w:rFonts w:eastAsia="仿宋_GB2312"/>
                <w:szCs w:val="21"/>
              </w:rPr>
            </w:pPr>
            <w:r>
              <w:rPr>
                <w:rFonts w:eastAsia="仿宋_GB2312"/>
                <w:szCs w:val="21"/>
              </w:rPr>
              <w:t>02</w:t>
            </w:r>
          </w:p>
        </w:tc>
        <w:tc>
          <w:tcPr>
            <w:tcW w:w="566" w:type="dxa"/>
            <w:tcBorders>
              <w:tl2br w:val="nil"/>
              <w:tr2bl w:val="nil"/>
            </w:tcBorders>
            <w:vAlign w:val="center"/>
          </w:tcPr>
          <w:p>
            <w:pPr>
              <w:jc w:val="center"/>
              <w:rPr>
                <w:rFonts w:eastAsia="仿宋_GB2312"/>
                <w:szCs w:val="21"/>
              </w:rPr>
            </w:pPr>
            <w:r>
              <w:rPr>
                <w:rFonts w:eastAsia="仿宋_GB2312"/>
                <w:szCs w:val="21"/>
              </w:rPr>
              <w:t>6.3</w:t>
            </w:r>
          </w:p>
        </w:tc>
        <w:tc>
          <w:tcPr>
            <w:tcW w:w="565" w:type="dxa"/>
            <w:tcBorders>
              <w:tl2br w:val="nil"/>
              <w:tr2bl w:val="nil"/>
            </w:tcBorders>
            <w:vAlign w:val="center"/>
          </w:tcPr>
          <w:p>
            <w:pPr>
              <w:jc w:val="center"/>
              <w:rPr>
                <w:rFonts w:eastAsia="仿宋_GB2312"/>
                <w:szCs w:val="21"/>
              </w:rPr>
            </w:pPr>
            <w:r>
              <w:rPr>
                <w:rFonts w:eastAsia="仿宋_GB2312"/>
                <w:szCs w:val="21"/>
              </w:rPr>
              <w:t>9.1</w:t>
            </w:r>
          </w:p>
        </w:tc>
        <w:tc>
          <w:tcPr>
            <w:tcW w:w="565" w:type="dxa"/>
            <w:tcBorders>
              <w:tl2br w:val="nil"/>
              <w:tr2bl w:val="nil"/>
            </w:tcBorders>
            <w:vAlign w:val="center"/>
          </w:tcPr>
          <w:p>
            <w:pPr>
              <w:jc w:val="center"/>
              <w:rPr>
                <w:rFonts w:eastAsia="仿宋_GB2312"/>
                <w:szCs w:val="21"/>
              </w:rPr>
            </w:pPr>
            <w:r>
              <w:rPr>
                <w:rFonts w:eastAsia="仿宋_GB2312"/>
                <w:szCs w:val="21"/>
              </w:rPr>
              <w:t>9.5</w:t>
            </w:r>
          </w:p>
        </w:tc>
        <w:tc>
          <w:tcPr>
            <w:tcW w:w="565" w:type="dxa"/>
            <w:tcBorders>
              <w:tl2br w:val="nil"/>
              <w:tr2bl w:val="nil"/>
            </w:tcBorders>
            <w:vAlign w:val="center"/>
          </w:tcPr>
          <w:p>
            <w:pPr>
              <w:jc w:val="center"/>
              <w:rPr>
                <w:rFonts w:eastAsia="仿宋_GB2312"/>
                <w:szCs w:val="21"/>
              </w:rPr>
            </w:pPr>
            <w:r>
              <w:rPr>
                <w:rFonts w:eastAsia="仿宋_GB2312"/>
                <w:szCs w:val="21"/>
              </w:rPr>
              <w:t>10.4</w:t>
            </w:r>
          </w:p>
        </w:tc>
        <w:tc>
          <w:tcPr>
            <w:tcW w:w="565" w:type="dxa"/>
            <w:tcBorders>
              <w:tl2br w:val="nil"/>
              <w:tr2bl w:val="nil"/>
            </w:tcBorders>
            <w:vAlign w:val="center"/>
          </w:tcPr>
          <w:p>
            <w:pPr>
              <w:jc w:val="center"/>
              <w:rPr>
                <w:rFonts w:eastAsia="仿宋_GB2312"/>
                <w:szCs w:val="21"/>
              </w:rPr>
            </w:pPr>
            <w:r>
              <w:rPr>
                <w:rFonts w:eastAsia="仿宋_GB2312"/>
                <w:szCs w:val="21"/>
              </w:rPr>
              <w:t>10.5</w:t>
            </w:r>
          </w:p>
        </w:tc>
        <w:tc>
          <w:tcPr>
            <w:tcW w:w="565" w:type="dxa"/>
            <w:tcBorders>
              <w:tl2br w:val="nil"/>
              <w:tr2bl w:val="nil"/>
            </w:tcBorders>
            <w:vAlign w:val="center"/>
          </w:tcPr>
          <w:p>
            <w:pPr>
              <w:jc w:val="center"/>
              <w:rPr>
                <w:rFonts w:eastAsia="仿宋_GB2312"/>
                <w:szCs w:val="21"/>
              </w:rPr>
            </w:pPr>
            <w:r>
              <w:rPr>
                <w:rFonts w:eastAsia="仿宋_GB2312"/>
                <w:szCs w:val="21"/>
              </w:rPr>
              <w:t>11.9</w:t>
            </w:r>
          </w:p>
        </w:tc>
        <w:tc>
          <w:tcPr>
            <w:tcW w:w="565" w:type="dxa"/>
            <w:tcBorders>
              <w:tl2br w:val="nil"/>
              <w:tr2bl w:val="nil"/>
            </w:tcBorders>
            <w:vAlign w:val="center"/>
          </w:tcPr>
          <w:p>
            <w:pPr>
              <w:jc w:val="center"/>
              <w:rPr>
                <w:rFonts w:eastAsia="仿宋_GB2312"/>
                <w:szCs w:val="21"/>
              </w:rPr>
            </w:pPr>
            <w:r>
              <w:rPr>
                <w:rFonts w:eastAsia="仿宋_GB2312"/>
                <w:szCs w:val="21"/>
              </w:rPr>
              <w:t>7.3</w:t>
            </w:r>
          </w:p>
        </w:tc>
        <w:tc>
          <w:tcPr>
            <w:tcW w:w="565" w:type="dxa"/>
            <w:tcBorders>
              <w:tl2br w:val="nil"/>
              <w:tr2bl w:val="nil"/>
            </w:tcBorders>
            <w:vAlign w:val="center"/>
          </w:tcPr>
          <w:p>
            <w:pPr>
              <w:jc w:val="center"/>
              <w:rPr>
                <w:rFonts w:eastAsia="仿宋_GB2312"/>
                <w:szCs w:val="21"/>
              </w:rPr>
            </w:pPr>
            <w:r>
              <w:rPr>
                <w:rFonts w:eastAsia="仿宋_GB2312"/>
                <w:szCs w:val="21"/>
              </w:rPr>
              <w:t>2.4</w:t>
            </w:r>
          </w:p>
        </w:tc>
        <w:tc>
          <w:tcPr>
            <w:tcW w:w="392" w:type="dxa"/>
            <w:tcBorders>
              <w:tl2br w:val="nil"/>
              <w:tr2bl w:val="nil"/>
            </w:tcBorders>
            <w:vAlign w:val="center"/>
          </w:tcPr>
          <w:p>
            <w:pPr>
              <w:jc w:val="center"/>
              <w:rPr>
                <w:rFonts w:eastAsia="仿宋_GB2312"/>
                <w:szCs w:val="21"/>
              </w:rPr>
            </w:pPr>
            <w:r>
              <w:rPr>
                <w:rFonts w:eastAsia="仿宋_GB2312"/>
                <w:szCs w:val="21"/>
              </w:rPr>
              <w:t>1.7</w:t>
            </w:r>
          </w:p>
        </w:tc>
        <w:tc>
          <w:tcPr>
            <w:tcW w:w="587" w:type="dxa"/>
            <w:tcBorders>
              <w:tl2br w:val="nil"/>
              <w:tr2bl w:val="nil"/>
            </w:tcBorders>
            <w:vAlign w:val="center"/>
          </w:tcPr>
          <w:p>
            <w:pPr>
              <w:jc w:val="center"/>
              <w:rPr>
                <w:rFonts w:eastAsia="仿宋_GB2312"/>
                <w:szCs w:val="21"/>
              </w:rPr>
            </w:pPr>
            <w:r>
              <w:rPr>
                <w:rFonts w:eastAsia="仿宋_GB2312"/>
                <w:szCs w:val="21"/>
              </w:rPr>
              <w:t>1.4</w:t>
            </w:r>
          </w:p>
        </w:tc>
        <w:tc>
          <w:tcPr>
            <w:tcW w:w="567" w:type="dxa"/>
            <w:tcBorders>
              <w:tl2br w:val="nil"/>
              <w:tr2bl w:val="nil"/>
            </w:tcBorders>
            <w:vAlign w:val="center"/>
          </w:tcPr>
          <w:p>
            <w:pPr>
              <w:jc w:val="center"/>
              <w:rPr>
                <w:rFonts w:eastAsia="仿宋_GB2312"/>
                <w:szCs w:val="21"/>
              </w:rPr>
            </w:pPr>
            <w:r>
              <w:rPr>
                <w:rFonts w:eastAsia="仿宋_GB2312"/>
                <w:szCs w:val="21"/>
              </w:rPr>
              <w:t>2.6</w:t>
            </w:r>
          </w:p>
        </w:tc>
        <w:tc>
          <w:tcPr>
            <w:tcW w:w="709" w:type="dxa"/>
            <w:tcBorders>
              <w:tl2br w:val="nil"/>
              <w:tr2bl w:val="nil"/>
            </w:tcBorders>
            <w:vAlign w:val="center"/>
          </w:tcPr>
          <w:p>
            <w:pPr>
              <w:jc w:val="center"/>
              <w:rPr>
                <w:rFonts w:eastAsia="仿宋_GB2312"/>
                <w:szCs w:val="21"/>
              </w:rPr>
            </w:pPr>
            <w:r>
              <w:rPr>
                <w:rFonts w:eastAsia="仿宋_GB2312"/>
                <w:szCs w:val="21"/>
              </w:rPr>
              <w:t>2.8</w:t>
            </w:r>
          </w:p>
        </w:tc>
        <w:tc>
          <w:tcPr>
            <w:tcW w:w="425" w:type="dxa"/>
            <w:tcBorders>
              <w:tl2br w:val="nil"/>
              <w:tr2bl w:val="nil"/>
            </w:tcBorders>
            <w:vAlign w:val="center"/>
          </w:tcPr>
          <w:p>
            <w:pPr>
              <w:jc w:val="center"/>
              <w:rPr>
                <w:rFonts w:eastAsia="仿宋_GB2312"/>
                <w:szCs w:val="21"/>
              </w:rPr>
            </w:pPr>
            <w:r>
              <w:rPr>
                <w:rFonts w:eastAsia="仿宋_GB2312"/>
                <w:szCs w:val="21"/>
              </w:rPr>
              <w:t>4.3</w:t>
            </w:r>
          </w:p>
        </w:tc>
        <w:tc>
          <w:tcPr>
            <w:tcW w:w="709" w:type="dxa"/>
            <w:tcBorders>
              <w:tl2br w:val="nil"/>
              <w:tr2bl w:val="nil"/>
            </w:tcBorders>
            <w:vAlign w:val="center"/>
          </w:tcPr>
          <w:p>
            <w:pPr>
              <w:jc w:val="center"/>
              <w:rPr>
                <w:rFonts w:eastAsia="仿宋_GB2312"/>
                <w:szCs w:val="21"/>
              </w:rPr>
            </w:pPr>
            <w:r>
              <w:rPr>
                <w:rFonts w:eastAsia="仿宋_GB2312"/>
                <w:szCs w:val="21"/>
              </w:rPr>
              <w:t>4.8</w:t>
            </w:r>
          </w:p>
        </w:tc>
        <w:tc>
          <w:tcPr>
            <w:tcW w:w="567" w:type="dxa"/>
            <w:tcBorders>
              <w:tl2br w:val="nil"/>
              <w:tr2bl w:val="nil"/>
            </w:tcBorders>
            <w:vAlign w:val="center"/>
          </w:tcPr>
          <w:p>
            <w:pPr>
              <w:jc w:val="center"/>
              <w:rPr>
                <w:rFonts w:eastAsia="仿宋_GB2312"/>
                <w:szCs w:val="21"/>
              </w:rPr>
            </w:pPr>
            <w:r>
              <w:rPr>
                <w:rFonts w:eastAsia="仿宋_GB2312"/>
                <w:szCs w:val="21"/>
              </w:rPr>
              <w:t>4.9</w:t>
            </w:r>
          </w:p>
        </w:tc>
        <w:tc>
          <w:tcPr>
            <w:tcW w:w="709" w:type="dxa"/>
            <w:tcBorders>
              <w:tl2br w:val="nil"/>
              <w:tr2bl w:val="nil"/>
            </w:tcBorders>
            <w:vAlign w:val="center"/>
          </w:tcPr>
          <w:p>
            <w:pPr>
              <w:jc w:val="center"/>
              <w:rPr>
                <w:rFonts w:eastAsia="仿宋_GB2312"/>
                <w:szCs w:val="21"/>
              </w:rPr>
            </w:pPr>
            <w:r>
              <w:rPr>
                <w:rFonts w:eastAsia="仿宋_GB2312"/>
                <w:szCs w:val="21"/>
              </w:rPr>
              <w:t>5.0</w:t>
            </w:r>
          </w:p>
        </w:tc>
        <w:tc>
          <w:tcPr>
            <w:tcW w:w="459" w:type="dxa"/>
            <w:tcBorders>
              <w:tl2br w:val="nil"/>
              <w:tr2bl w:val="nil"/>
            </w:tcBorders>
            <w:vAlign w:val="center"/>
          </w:tcPr>
          <w:p>
            <w:pPr>
              <w:jc w:val="center"/>
              <w:rPr>
                <w:rFonts w:eastAsia="仿宋_GB2312"/>
                <w:szCs w:val="21"/>
              </w:rPr>
            </w:pPr>
            <w:r>
              <w:rPr>
                <w:rFonts w:eastAsia="仿宋_GB2312"/>
                <w:szCs w:val="21"/>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9" w:type="dxa"/>
            <w:tcBorders>
              <w:tl2br w:val="nil"/>
              <w:tr2bl w:val="nil"/>
            </w:tcBorders>
            <w:vAlign w:val="center"/>
          </w:tcPr>
          <w:p>
            <w:pPr>
              <w:jc w:val="center"/>
              <w:rPr>
                <w:rFonts w:eastAsia="仿宋_GB2312"/>
                <w:szCs w:val="21"/>
              </w:rPr>
            </w:pPr>
            <w:r>
              <w:rPr>
                <w:rFonts w:eastAsia="仿宋_GB2312"/>
                <w:szCs w:val="21"/>
              </w:rPr>
              <w:t>03</w:t>
            </w:r>
          </w:p>
        </w:tc>
        <w:tc>
          <w:tcPr>
            <w:tcW w:w="566" w:type="dxa"/>
            <w:tcBorders>
              <w:tl2br w:val="nil"/>
              <w:tr2bl w:val="nil"/>
            </w:tcBorders>
            <w:vAlign w:val="center"/>
          </w:tcPr>
          <w:p>
            <w:pPr>
              <w:jc w:val="center"/>
              <w:rPr>
                <w:rFonts w:eastAsia="仿宋_GB2312"/>
                <w:szCs w:val="21"/>
              </w:rPr>
            </w:pPr>
            <w:r>
              <w:rPr>
                <w:rFonts w:eastAsia="仿宋_GB2312"/>
                <w:szCs w:val="21"/>
              </w:rPr>
              <w:t>4.4</w:t>
            </w:r>
          </w:p>
        </w:tc>
        <w:tc>
          <w:tcPr>
            <w:tcW w:w="565" w:type="dxa"/>
            <w:tcBorders>
              <w:tl2br w:val="nil"/>
              <w:tr2bl w:val="nil"/>
            </w:tcBorders>
            <w:vAlign w:val="center"/>
          </w:tcPr>
          <w:p>
            <w:pPr>
              <w:jc w:val="center"/>
              <w:rPr>
                <w:rFonts w:eastAsia="仿宋_GB2312"/>
                <w:szCs w:val="21"/>
              </w:rPr>
            </w:pPr>
            <w:r>
              <w:rPr>
                <w:rFonts w:eastAsia="仿宋_GB2312"/>
                <w:szCs w:val="21"/>
              </w:rPr>
              <w:t>8.5</w:t>
            </w:r>
          </w:p>
        </w:tc>
        <w:tc>
          <w:tcPr>
            <w:tcW w:w="565" w:type="dxa"/>
            <w:tcBorders>
              <w:tl2br w:val="nil"/>
              <w:tr2bl w:val="nil"/>
            </w:tcBorders>
            <w:vAlign w:val="center"/>
          </w:tcPr>
          <w:p>
            <w:pPr>
              <w:jc w:val="center"/>
              <w:rPr>
                <w:rFonts w:eastAsia="仿宋_GB2312"/>
                <w:szCs w:val="21"/>
              </w:rPr>
            </w:pPr>
            <w:r>
              <w:rPr>
                <w:rFonts w:eastAsia="仿宋_GB2312"/>
                <w:szCs w:val="21"/>
              </w:rPr>
              <w:t>8.4</w:t>
            </w:r>
          </w:p>
        </w:tc>
        <w:tc>
          <w:tcPr>
            <w:tcW w:w="565" w:type="dxa"/>
            <w:tcBorders>
              <w:tl2br w:val="nil"/>
              <w:tr2bl w:val="nil"/>
            </w:tcBorders>
            <w:vAlign w:val="center"/>
          </w:tcPr>
          <w:p>
            <w:pPr>
              <w:jc w:val="center"/>
              <w:rPr>
                <w:rFonts w:eastAsia="仿宋_GB2312"/>
                <w:szCs w:val="21"/>
              </w:rPr>
            </w:pPr>
            <w:r>
              <w:rPr>
                <w:rFonts w:eastAsia="仿宋_GB2312"/>
                <w:szCs w:val="21"/>
              </w:rPr>
              <w:t>8.0</w:t>
            </w:r>
          </w:p>
        </w:tc>
        <w:tc>
          <w:tcPr>
            <w:tcW w:w="565" w:type="dxa"/>
            <w:tcBorders>
              <w:tl2br w:val="nil"/>
              <w:tr2bl w:val="nil"/>
            </w:tcBorders>
            <w:vAlign w:val="center"/>
          </w:tcPr>
          <w:p>
            <w:pPr>
              <w:jc w:val="center"/>
              <w:rPr>
                <w:rFonts w:eastAsia="仿宋_GB2312"/>
                <w:szCs w:val="21"/>
              </w:rPr>
            </w:pPr>
            <w:r>
              <w:rPr>
                <w:rFonts w:eastAsia="仿宋_GB2312"/>
                <w:szCs w:val="21"/>
              </w:rPr>
              <w:t>8.6</w:t>
            </w:r>
          </w:p>
        </w:tc>
        <w:tc>
          <w:tcPr>
            <w:tcW w:w="565" w:type="dxa"/>
            <w:tcBorders>
              <w:tl2br w:val="nil"/>
              <w:tr2bl w:val="nil"/>
            </w:tcBorders>
            <w:vAlign w:val="center"/>
          </w:tcPr>
          <w:p>
            <w:pPr>
              <w:jc w:val="center"/>
              <w:rPr>
                <w:rFonts w:eastAsia="仿宋_GB2312"/>
                <w:szCs w:val="21"/>
              </w:rPr>
            </w:pPr>
            <w:r>
              <w:rPr>
                <w:rFonts w:eastAsia="仿宋_GB2312"/>
                <w:szCs w:val="21"/>
              </w:rPr>
              <w:t>14.9</w:t>
            </w:r>
          </w:p>
        </w:tc>
        <w:tc>
          <w:tcPr>
            <w:tcW w:w="565" w:type="dxa"/>
            <w:tcBorders>
              <w:tl2br w:val="nil"/>
              <w:tr2bl w:val="nil"/>
            </w:tcBorders>
            <w:vAlign w:val="center"/>
          </w:tcPr>
          <w:p>
            <w:pPr>
              <w:jc w:val="center"/>
              <w:rPr>
                <w:rFonts w:eastAsia="仿宋_GB2312"/>
                <w:szCs w:val="21"/>
              </w:rPr>
            </w:pPr>
            <w:r>
              <w:rPr>
                <w:rFonts w:eastAsia="仿宋_GB2312"/>
                <w:szCs w:val="21"/>
              </w:rPr>
              <w:t>10.4</w:t>
            </w:r>
          </w:p>
        </w:tc>
        <w:tc>
          <w:tcPr>
            <w:tcW w:w="565" w:type="dxa"/>
            <w:tcBorders>
              <w:tl2br w:val="nil"/>
              <w:tr2bl w:val="nil"/>
            </w:tcBorders>
            <w:vAlign w:val="center"/>
          </w:tcPr>
          <w:p>
            <w:pPr>
              <w:jc w:val="center"/>
              <w:rPr>
                <w:rFonts w:eastAsia="仿宋_GB2312"/>
                <w:szCs w:val="21"/>
              </w:rPr>
            </w:pPr>
            <w:r>
              <w:rPr>
                <w:rFonts w:eastAsia="仿宋_GB2312"/>
                <w:szCs w:val="21"/>
              </w:rPr>
              <w:t>6.1</w:t>
            </w:r>
          </w:p>
        </w:tc>
        <w:tc>
          <w:tcPr>
            <w:tcW w:w="392" w:type="dxa"/>
            <w:tcBorders>
              <w:tl2br w:val="nil"/>
              <w:tr2bl w:val="nil"/>
            </w:tcBorders>
            <w:vAlign w:val="center"/>
          </w:tcPr>
          <w:p>
            <w:pPr>
              <w:jc w:val="center"/>
              <w:rPr>
                <w:rFonts w:eastAsia="仿宋_GB2312"/>
                <w:szCs w:val="21"/>
              </w:rPr>
            </w:pPr>
            <w:r>
              <w:rPr>
                <w:rFonts w:eastAsia="仿宋_GB2312"/>
                <w:szCs w:val="21"/>
              </w:rPr>
              <w:t>2.4</w:t>
            </w:r>
          </w:p>
        </w:tc>
        <w:tc>
          <w:tcPr>
            <w:tcW w:w="587" w:type="dxa"/>
            <w:tcBorders>
              <w:tl2br w:val="nil"/>
              <w:tr2bl w:val="nil"/>
            </w:tcBorders>
            <w:vAlign w:val="center"/>
          </w:tcPr>
          <w:p>
            <w:pPr>
              <w:jc w:val="center"/>
              <w:rPr>
                <w:rFonts w:eastAsia="仿宋_GB2312"/>
                <w:szCs w:val="21"/>
              </w:rPr>
            </w:pPr>
            <w:r>
              <w:rPr>
                <w:rFonts w:eastAsia="仿宋_GB2312"/>
                <w:szCs w:val="21"/>
              </w:rPr>
              <w:t>2.1</w:t>
            </w:r>
          </w:p>
        </w:tc>
        <w:tc>
          <w:tcPr>
            <w:tcW w:w="567" w:type="dxa"/>
            <w:tcBorders>
              <w:tl2br w:val="nil"/>
              <w:tr2bl w:val="nil"/>
            </w:tcBorders>
            <w:vAlign w:val="center"/>
          </w:tcPr>
          <w:p>
            <w:pPr>
              <w:jc w:val="center"/>
              <w:rPr>
                <w:rFonts w:eastAsia="仿宋_GB2312"/>
                <w:szCs w:val="21"/>
              </w:rPr>
            </w:pPr>
            <w:r>
              <w:rPr>
                <w:rFonts w:eastAsia="仿宋_GB2312"/>
                <w:szCs w:val="21"/>
              </w:rPr>
              <w:t>4.8</w:t>
            </w:r>
          </w:p>
        </w:tc>
        <w:tc>
          <w:tcPr>
            <w:tcW w:w="709" w:type="dxa"/>
            <w:tcBorders>
              <w:tl2br w:val="nil"/>
              <w:tr2bl w:val="nil"/>
            </w:tcBorders>
            <w:vAlign w:val="center"/>
          </w:tcPr>
          <w:p>
            <w:pPr>
              <w:jc w:val="center"/>
              <w:rPr>
                <w:rFonts w:eastAsia="仿宋_GB2312"/>
                <w:szCs w:val="21"/>
              </w:rPr>
            </w:pPr>
            <w:r>
              <w:rPr>
                <w:rFonts w:eastAsia="仿宋_GB2312"/>
                <w:szCs w:val="21"/>
              </w:rPr>
              <w:t>3.6</w:t>
            </w:r>
          </w:p>
        </w:tc>
        <w:tc>
          <w:tcPr>
            <w:tcW w:w="425" w:type="dxa"/>
            <w:tcBorders>
              <w:tl2br w:val="nil"/>
              <w:tr2bl w:val="nil"/>
            </w:tcBorders>
            <w:vAlign w:val="center"/>
          </w:tcPr>
          <w:p>
            <w:pPr>
              <w:jc w:val="center"/>
              <w:rPr>
                <w:rFonts w:eastAsia="仿宋_GB2312"/>
                <w:szCs w:val="21"/>
              </w:rPr>
            </w:pPr>
            <w:r>
              <w:rPr>
                <w:rFonts w:eastAsia="仿宋_GB2312"/>
                <w:szCs w:val="21"/>
              </w:rPr>
              <w:t>3.7</w:t>
            </w:r>
          </w:p>
        </w:tc>
        <w:tc>
          <w:tcPr>
            <w:tcW w:w="709" w:type="dxa"/>
            <w:tcBorders>
              <w:tl2br w:val="nil"/>
              <w:tr2bl w:val="nil"/>
            </w:tcBorders>
            <w:vAlign w:val="center"/>
          </w:tcPr>
          <w:p>
            <w:pPr>
              <w:jc w:val="center"/>
              <w:rPr>
                <w:rFonts w:eastAsia="仿宋_GB2312"/>
                <w:szCs w:val="21"/>
              </w:rPr>
            </w:pPr>
            <w:r>
              <w:rPr>
                <w:rFonts w:eastAsia="仿宋_GB2312"/>
                <w:szCs w:val="21"/>
              </w:rPr>
              <w:t>4.7</w:t>
            </w:r>
          </w:p>
        </w:tc>
        <w:tc>
          <w:tcPr>
            <w:tcW w:w="567" w:type="dxa"/>
            <w:tcBorders>
              <w:tl2br w:val="nil"/>
              <w:tr2bl w:val="nil"/>
            </w:tcBorders>
            <w:vAlign w:val="center"/>
          </w:tcPr>
          <w:p>
            <w:pPr>
              <w:jc w:val="center"/>
              <w:rPr>
                <w:rFonts w:eastAsia="仿宋_GB2312"/>
                <w:szCs w:val="21"/>
              </w:rPr>
            </w:pPr>
            <w:r>
              <w:rPr>
                <w:rFonts w:eastAsia="仿宋_GB2312"/>
                <w:szCs w:val="21"/>
              </w:rPr>
              <w:t>3.0</w:t>
            </w:r>
          </w:p>
        </w:tc>
        <w:tc>
          <w:tcPr>
            <w:tcW w:w="709" w:type="dxa"/>
            <w:tcBorders>
              <w:tl2br w:val="nil"/>
              <w:tr2bl w:val="nil"/>
            </w:tcBorders>
            <w:vAlign w:val="center"/>
          </w:tcPr>
          <w:p>
            <w:pPr>
              <w:jc w:val="center"/>
              <w:rPr>
                <w:rFonts w:eastAsia="仿宋_GB2312"/>
                <w:szCs w:val="21"/>
              </w:rPr>
            </w:pPr>
            <w:r>
              <w:rPr>
                <w:rFonts w:eastAsia="仿宋_GB2312"/>
                <w:szCs w:val="21"/>
              </w:rPr>
              <w:t>3.5</w:t>
            </w:r>
          </w:p>
        </w:tc>
        <w:tc>
          <w:tcPr>
            <w:tcW w:w="459" w:type="dxa"/>
            <w:tcBorders>
              <w:tl2br w:val="nil"/>
              <w:tr2bl w:val="nil"/>
            </w:tcBorders>
            <w:vAlign w:val="center"/>
          </w:tcPr>
          <w:p>
            <w:pPr>
              <w:jc w:val="center"/>
              <w:rPr>
                <w:rFonts w:eastAsia="仿宋_GB2312"/>
                <w:szCs w:val="21"/>
              </w:rPr>
            </w:pPr>
            <w:r>
              <w:rPr>
                <w:rFonts w:eastAsia="仿宋_GB2312"/>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9" w:type="dxa"/>
            <w:tcBorders>
              <w:tl2br w:val="nil"/>
              <w:tr2bl w:val="nil"/>
            </w:tcBorders>
            <w:vAlign w:val="center"/>
          </w:tcPr>
          <w:p>
            <w:pPr>
              <w:jc w:val="center"/>
              <w:rPr>
                <w:rFonts w:eastAsia="仿宋_GB2312"/>
                <w:szCs w:val="21"/>
              </w:rPr>
            </w:pPr>
            <w:r>
              <w:rPr>
                <w:rFonts w:eastAsia="仿宋_GB2312"/>
                <w:szCs w:val="21"/>
              </w:rPr>
              <w:t>04</w:t>
            </w:r>
          </w:p>
        </w:tc>
        <w:tc>
          <w:tcPr>
            <w:tcW w:w="566" w:type="dxa"/>
            <w:tcBorders>
              <w:tl2br w:val="nil"/>
              <w:tr2bl w:val="nil"/>
            </w:tcBorders>
            <w:vAlign w:val="center"/>
          </w:tcPr>
          <w:p>
            <w:pPr>
              <w:jc w:val="center"/>
              <w:rPr>
                <w:rFonts w:eastAsia="仿宋_GB2312"/>
                <w:szCs w:val="21"/>
              </w:rPr>
            </w:pPr>
            <w:r>
              <w:rPr>
                <w:rFonts w:eastAsia="仿宋_GB2312"/>
                <w:szCs w:val="21"/>
              </w:rPr>
              <w:t>3.6</w:t>
            </w:r>
          </w:p>
        </w:tc>
        <w:tc>
          <w:tcPr>
            <w:tcW w:w="565" w:type="dxa"/>
            <w:tcBorders>
              <w:tl2br w:val="nil"/>
              <w:tr2bl w:val="nil"/>
            </w:tcBorders>
            <w:vAlign w:val="center"/>
          </w:tcPr>
          <w:p>
            <w:pPr>
              <w:jc w:val="center"/>
              <w:rPr>
                <w:rFonts w:eastAsia="仿宋_GB2312"/>
                <w:szCs w:val="21"/>
              </w:rPr>
            </w:pPr>
            <w:r>
              <w:rPr>
                <w:rFonts w:eastAsia="仿宋_GB2312"/>
                <w:szCs w:val="21"/>
              </w:rPr>
              <w:t>6.7</w:t>
            </w:r>
          </w:p>
        </w:tc>
        <w:tc>
          <w:tcPr>
            <w:tcW w:w="565" w:type="dxa"/>
            <w:tcBorders>
              <w:tl2br w:val="nil"/>
              <w:tr2bl w:val="nil"/>
            </w:tcBorders>
            <w:vAlign w:val="center"/>
          </w:tcPr>
          <w:p>
            <w:pPr>
              <w:jc w:val="center"/>
              <w:rPr>
                <w:rFonts w:eastAsia="仿宋_GB2312"/>
                <w:szCs w:val="21"/>
              </w:rPr>
            </w:pPr>
            <w:r>
              <w:rPr>
                <w:rFonts w:eastAsia="仿宋_GB2312"/>
                <w:szCs w:val="21"/>
              </w:rPr>
              <w:t>6.3</w:t>
            </w:r>
          </w:p>
        </w:tc>
        <w:tc>
          <w:tcPr>
            <w:tcW w:w="565" w:type="dxa"/>
            <w:tcBorders>
              <w:tl2br w:val="nil"/>
              <w:tr2bl w:val="nil"/>
            </w:tcBorders>
            <w:vAlign w:val="center"/>
          </w:tcPr>
          <w:p>
            <w:pPr>
              <w:jc w:val="center"/>
              <w:rPr>
                <w:rFonts w:eastAsia="仿宋_GB2312"/>
                <w:szCs w:val="21"/>
              </w:rPr>
            </w:pPr>
            <w:r>
              <w:rPr>
                <w:rFonts w:eastAsia="仿宋_GB2312"/>
                <w:szCs w:val="21"/>
              </w:rPr>
              <w:t>6.4</w:t>
            </w:r>
          </w:p>
        </w:tc>
        <w:tc>
          <w:tcPr>
            <w:tcW w:w="565" w:type="dxa"/>
            <w:tcBorders>
              <w:tl2br w:val="nil"/>
              <w:tr2bl w:val="nil"/>
            </w:tcBorders>
            <w:vAlign w:val="center"/>
          </w:tcPr>
          <w:p>
            <w:pPr>
              <w:jc w:val="center"/>
              <w:rPr>
                <w:rFonts w:eastAsia="仿宋_GB2312"/>
                <w:szCs w:val="21"/>
              </w:rPr>
            </w:pPr>
            <w:r>
              <w:rPr>
                <w:rFonts w:eastAsia="仿宋_GB2312"/>
                <w:szCs w:val="21"/>
              </w:rPr>
              <w:t>6.9</w:t>
            </w:r>
          </w:p>
        </w:tc>
        <w:tc>
          <w:tcPr>
            <w:tcW w:w="565" w:type="dxa"/>
            <w:tcBorders>
              <w:tl2br w:val="nil"/>
              <w:tr2bl w:val="nil"/>
            </w:tcBorders>
            <w:vAlign w:val="center"/>
          </w:tcPr>
          <w:p>
            <w:pPr>
              <w:jc w:val="center"/>
              <w:rPr>
                <w:rFonts w:eastAsia="仿宋_GB2312"/>
                <w:szCs w:val="21"/>
              </w:rPr>
            </w:pPr>
            <w:r>
              <w:rPr>
                <w:rFonts w:eastAsia="仿宋_GB2312"/>
                <w:szCs w:val="21"/>
              </w:rPr>
              <w:t>15.4</w:t>
            </w:r>
          </w:p>
        </w:tc>
        <w:tc>
          <w:tcPr>
            <w:tcW w:w="565" w:type="dxa"/>
            <w:tcBorders>
              <w:tl2br w:val="nil"/>
              <w:tr2bl w:val="nil"/>
            </w:tcBorders>
            <w:vAlign w:val="center"/>
          </w:tcPr>
          <w:p>
            <w:pPr>
              <w:jc w:val="center"/>
              <w:rPr>
                <w:rFonts w:eastAsia="仿宋_GB2312"/>
                <w:szCs w:val="21"/>
              </w:rPr>
            </w:pPr>
            <w:r>
              <w:rPr>
                <w:rFonts w:eastAsia="仿宋_GB2312"/>
                <w:szCs w:val="21"/>
              </w:rPr>
              <w:t>14.3</w:t>
            </w:r>
          </w:p>
        </w:tc>
        <w:tc>
          <w:tcPr>
            <w:tcW w:w="565" w:type="dxa"/>
            <w:tcBorders>
              <w:tl2br w:val="nil"/>
              <w:tr2bl w:val="nil"/>
            </w:tcBorders>
            <w:vAlign w:val="center"/>
          </w:tcPr>
          <w:p>
            <w:pPr>
              <w:jc w:val="center"/>
              <w:rPr>
                <w:rFonts w:eastAsia="仿宋_GB2312"/>
                <w:szCs w:val="21"/>
              </w:rPr>
            </w:pPr>
            <w:r>
              <w:rPr>
                <w:rFonts w:eastAsia="仿宋_GB2312"/>
                <w:szCs w:val="21"/>
              </w:rPr>
              <w:t>6.2</w:t>
            </w:r>
          </w:p>
        </w:tc>
        <w:tc>
          <w:tcPr>
            <w:tcW w:w="392" w:type="dxa"/>
            <w:tcBorders>
              <w:tl2br w:val="nil"/>
              <w:tr2bl w:val="nil"/>
            </w:tcBorders>
            <w:vAlign w:val="center"/>
          </w:tcPr>
          <w:p>
            <w:pPr>
              <w:jc w:val="center"/>
              <w:rPr>
                <w:rFonts w:eastAsia="仿宋_GB2312"/>
                <w:szCs w:val="21"/>
              </w:rPr>
            </w:pPr>
            <w:r>
              <w:rPr>
                <w:rFonts w:eastAsia="仿宋_GB2312"/>
                <w:szCs w:val="21"/>
              </w:rPr>
              <w:t>3.3</w:t>
            </w:r>
          </w:p>
        </w:tc>
        <w:tc>
          <w:tcPr>
            <w:tcW w:w="587" w:type="dxa"/>
            <w:tcBorders>
              <w:tl2br w:val="nil"/>
              <w:tr2bl w:val="nil"/>
            </w:tcBorders>
            <w:vAlign w:val="center"/>
          </w:tcPr>
          <w:p>
            <w:pPr>
              <w:jc w:val="center"/>
              <w:rPr>
                <w:rFonts w:eastAsia="仿宋_GB2312"/>
                <w:szCs w:val="21"/>
              </w:rPr>
            </w:pPr>
            <w:r>
              <w:rPr>
                <w:rFonts w:eastAsia="仿宋_GB2312"/>
                <w:szCs w:val="21"/>
              </w:rPr>
              <w:t>2.7</w:t>
            </w:r>
          </w:p>
        </w:tc>
        <w:tc>
          <w:tcPr>
            <w:tcW w:w="567" w:type="dxa"/>
            <w:tcBorders>
              <w:tl2br w:val="nil"/>
              <w:tr2bl w:val="nil"/>
            </w:tcBorders>
            <w:vAlign w:val="center"/>
          </w:tcPr>
          <w:p>
            <w:pPr>
              <w:jc w:val="center"/>
              <w:rPr>
                <w:rFonts w:eastAsia="仿宋_GB2312"/>
                <w:szCs w:val="21"/>
              </w:rPr>
            </w:pPr>
            <w:r>
              <w:rPr>
                <w:rFonts w:eastAsia="仿宋_GB2312"/>
                <w:szCs w:val="21"/>
              </w:rPr>
              <w:t>5.6</w:t>
            </w:r>
          </w:p>
        </w:tc>
        <w:tc>
          <w:tcPr>
            <w:tcW w:w="709" w:type="dxa"/>
            <w:tcBorders>
              <w:tl2br w:val="nil"/>
              <w:tr2bl w:val="nil"/>
            </w:tcBorders>
            <w:vAlign w:val="center"/>
          </w:tcPr>
          <w:p>
            <w:pPr>
              <w:jc w:val="center"/>
              <w:rPr>
                <w:rFonts w:eastAsia="仿宋_GB2312"/>
                <w:szCs w:val="21"/>
              </w:rPr>
            </w:pPr>
            <w:r>
              <w:rPr>
                <w:rFonts w:eastAsia="仿宋_GB2312"/>
                <w:szCs w:val="21"/>
              </w:rPr>
              <w:t>4.0</w:t>
            </w:r>
          </w:p>
        </w:tc>
        <w:tc>
          <w:tcPr>
            <w:tcW w:w="425" w:type="dxa"/>
            <w:tcBorders>
              <w:tl2br w:val="nil"/>
              <w:tr2bl w:val="nil"/>
            </w:tcBorders>
            <w:vAlign w:val="center"/>
          </w:tcPr>
          <w:p>
            <w:pPr>
              <w:jc w:val="center"/>
              <w:rPr>
                <w:rFonts w:eastAsia="仿宋_GB2312"/>
                <w:szCs w:val="21"/>
              </w:rPr>
            </w:pPr>
            <w:r>
              <w:rPr>
                <w:rFonts w:eastAsia="仿宋_GB2312"/>
                <w:szCs w:val="21"/>
              </w:rPr>
              <w:t>4.1</w:t>
            </w:r>
          </w:p>
        </w:tc>
        <w:tc>
          <w:tcPr>
            <w:tcW w:w="709" w:type="dxa"/>
            <w:tcBorders>
              <w:tl2br w:val="nil"/>
              <w:tr2bl w:val="nil"/>
            </w:tcBorders>
            <w:vAlign w:val="center"/>
          </w:tcPr>
          <w:p>
            <w:pPr>
              <w:jc w:val="center"/>
              <w:rPr>
                <w:rFonts w:eastAsia="仿宋_GB2312"/>
                <w:szCs w:val="21"/>
              </w:rPr>
            </w:pPr>
            <w:r>
              <w:rPr>
                <w:rFonts w:eastAsia="仿宋_GB2312"/>
                <w:szCs w:val="21"/>
              </w:rPr>
              <w:t>4.1</w:t>
            </w:r>
          </w:p>
        </w:tc>
        <w:tc>
          <w:tcPr>
            <w:tcW w:w="567" w:type="dxa"/>
            <w:tcBorders>
              <w:tl2br w:val="nil"/>
              <w:tr2bl w:val="nil"/>
            </w:tcBorders>
            <w:vAlign w:val="center"/>
          </w:tcPr>
          <w:p>
            <w:pPr>
              <w:jc w:val="center"/>
              <w:rPr>
                <w:rFonts w:eastAsia="仿宋_GB2312"/>
                <w:szCs w:val="21"/>
              </w:rPr>
            </w:pPr>
            <w:r>
              <w:rPr>
                <w:rFonts w:eastAsia="仿宋_GB2312"/>
                <w:szCs w:val="21"/>
              </w:rPr>
              <w:t>3.8</w:t>
            </w:r>
          </w:p>
        </w:tc>
        <w:tc>
          <w:tcPr>
            <w:tcW w:w="709" w:type="dxa"/>
            <w:tcBorders>
              <w:tl2br w:val="nil"/>
              <w:tr2bl w:val="nil"/>
            </w:tcBorders>
            <w:vAlign w:val="center"/>
          </w:tcPr>
          <w:p>
            <w:pPr>
              <w:jc w:val="center"/>
              <w:rPr>
                <w:rFonts w:eastAsia="仿宋_GB2312"/>
                <w:szCs w:val="21"/>
              </w:rPr>
            </w:pPr>
            <w:r>
              <w:rPr>
                <w:rFonts w:eastAsia="仿宋_GB2312"/>
                <w:szCs w:val="21"/>
              </w:rPr>
              <w:t>3.8</w:t>
            </w:r>
          </w:p>
        </w:tc>
        <w:tc>
          <w:tcPr>
            <w:tcW w:w="459" w:type="dxa"/>
            <w:tcBorders>
              <w:tl2br w:val="nil"/>
              <w:tr2bl w:val="nil"/>
            </w:tcBorders>
            <w:vAlign w:val="center"/>
          </w:tcPr>
          <w:p>
            <w:pPr>
              <w:jc w:val="center"/>
              <w:rPr>
                <w:rFonts w:eastAsia="仿宋_GB2312"/>
                <w:szCs w:val="21"/>
              </w:rPr>
            </w:pPr>
            <w:r>
              <w:rPr>
                <w:rFonts w:eastAsia="仿宋_GB2312"/>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9" w:type="dxa"/>
            <w:tcBorders>
              <w:tl2br w:val="nil"/>
              <w:tr2bl w:val="nil"/>
            </w:tcBorders>
            <w:vAlign w:val="center"/>
          </w:tcPr>
          <w:p>
            <w:pPr>
              <w:jc w:val="center"/>
              <w:rPr>
                <w:rFonts w:eastAsia="仿宋_GB2312"/>
                <w:szCs w:val="21"/>
              </w:rPr>
            </w:pPr>
            <w:r>
              <w:rPr>
                <w:rFonts w:eastAsia="仿宋_GB2312"/>
                <w:szCs w:val="21"/>
              </w:rPr>
              <w:t>05</w:t>
            </w:r>
          </w:p>
        </w:tc>
        <w:tc>
          <w:tcPr>
            <w:tcW w:w="566" w:type="dxa"/>
            <w:tcBorders>
              <w:tl2br w:val="nil"/>
              <w:tr2bl w:val="nil"/>
            </w:tcBorders>
            <w:vAlign w:val="center"/>
          </w:tcPr>
          <w:p>
            <w:pPr>
              <w:jc w:val="center"/>
              <w:rPr>
                <w:rFonts w:eastAsia="仿宋_GB2312"/>
                <w:szCs w:val="21"/>
              </w:rPr>
            </w:pPr>
            <w:r>
              <w:rPr>
                <w:rFonts w:eastAsia="仿宋_GB2312"/>
                <w:szCs w:val="21"/>
              </w:rPr>
              <w:t>3.0</w:t>
            </w:r>
          </w:p>
        </w:tc>
        <w:tc>
          <w:tcPr>
            <w:tcW w:w="565" w:type="dxa"/>
            <w:tcBorders>
              <w:tl2br w:val="nil"/>
              <w:tr2bl w:val="nil"/>
            </w:tcBorders>
            <w:vAlign w:val="center"/>
          </w:tcPr>
          <w:p>
            <w:pPr>
              <w:jc w:val="center"/>
              <w:rPr>
                <w:rFonts w:eastAsia="仿宋_GB2312"/>
                <w:szCs w:val="21"/>
              </w:rPr>
            </w:pPr>
            <w:r>
              <w:rPr>
                <w:rFonts w:eastAsia="仿宋_GB2312"/>
                <w:szCs w:val="21"/>
              </w:rPr>
              <w:t>5.2</w:t>
            </w:r>
          </w:p>
        </w:tc>
        <w:tc>
          <w:tcPr>
            <w:tcW w:w="565" w:type="dxa"/>
            <w:tcBorders>
              <w:tl2br w:val="nil"/>
              <w:tr2bl w:val="nil"/>
            </w:tcBorders>
            <w:vAlign w:val="center"/>
          </w:tcPr>
          <w:p>
            <w:pPr>
              <w:jc w:val="center"/>
              <w:rPr>
                <w:rFonts w:eastAsia="仿宋_GB2312"/>
                <w:szCs w:val="21"/>
              </w:rPr>
            </w:pPr>
            <w:r>
              <w:rPr>
                <w:rFonts w:eastAsia="仿宋_GB2312"/>
                <w:szCs w:val="21"/>
              </w:rPr>
              <w:t>5.3</w:t>
            </w:r>
          </w:p>
        </w:tc>
        <w:tc>
          <w:tcPr>
            <w:tcW w:w="565" w:type="dxa"/>
            <w:tcBorders>
              <w:tl2br w:val="nil"/>
              <w:tr2bl w:val="nil"/>
            </w:tcBorders>
            <w:vAlign w:val="center"/>
          </w:tcPr>
          <w:p>
            <w:pPr>
              <w:jc w:val="center"/>
              <w:rPr>
                <w:rFonts w:eastAsia="仿宋_GB2312"/>
                <w:szCs w:val="21"/>
              </w:rPr>
            </w:pPr>
            <w:r>
              <w:rPr>
                <w:rFonts w:eastAsia="仿宋_GB2312"/>
                <w:szCs w:val="21"/>
              </w:rPr>
              <w:t>5.6</w:t>
            </w:r>
          </w:p>
        </w:tc>
        <w:tc>
          <w:tcPr>
            <w:tcW w:w="565" w:type="dxa"/>
            <w:tcBorders>
              <w:tl2br w:val="nil"/>
              <w:tr2bl w:val="nil"/>
            </w:tcBorders>
            <w:vAlign w:val="center"/>
          </w:tcPr>
          <w:p>
            <w:pPr>
              <w:jc w:val="center"/>
              <w:rPr>
                <w:rFonts w:eastAsia="仿宋_GB2312"/>
                <w:szCs w:val="21"/>
              </w:rPr>
            </w:pPr>
            <w:r>
              <w:rPr>
                <w:rFonts w:eastAsia="仿宋_GB2312"/>
                <w:szCs w:val="21"/>
              </w:rPr>
              <w:t>8.0</w:t>
            </w:r>
          </w:p>
        </w:tc>
        <w:tc>
          <w:tcPr>
            <w:tcW w:w="565" w:type="dxa"/>
            <w:tcBorders>
              <w:tl2br w:val="nil"/>
              <w:tr2bl w:val="nil"/>
            </w:tcBorders>
            <w:vAlign w:val="center"/>
          </w:tcPr>
          <w:p>
            <w:pPr>
              <w:jc w:val="center"/>
              <w:rPr>
                <w:rFonts w:eastAsia="仿宋_GB2312"/>
                <w:szCs w:val="21"/>
              </w:rPr>
            </w:pPr>
            <w:r>
              <w:rPr>
                <w:rFonts w:eastAsia="仿宋_GB2312"/>
                <w:szCs w:val="21"/>
              </w:rPr>
              <w:t>19.0</w:t>
            </w:r>
          </w:p>
        </w:tc>
        <w:tc>
          <w:tcPr>
            <w:tcW w:w="565" w:type="dxa"/>
            <w:tcBorders>
              <w:tl2br w:val="nil"/>
              <w:tr2bl w:val="nil"/>
            </w:tcBorders>
            <w:vAlign w:val="center"/>
          </w:tcPr>
          <w:p>
            <w:pPr>
              <w:jc w:val="center"/>
              <w:rPr>
                <w:rFonts w:eastAsia="仿宋_GB2312"/>
                <w:szCs w:val="21"/>
              </w:rPr>
            </w:pPr>
            <w:r>
              <w:rPr>
                <w:rFonts w:eastAsia="仿宋_GB2312"/>
                <w:szCs w:val="21"/>
              </w:rPr>
              <w:t>16.4</w:t>
            </w:r>
          </w:p>
        </w:tc>
        <w:tc>
          <w:tcPr>
            <w:tcW w:w="565" w:type="dxa"/>
            <w:tcBorders>
              <w:tl2br w:val="nil"/>
              <w:tr2bl w:val="nil"/>
            </w:tcBorders>
            <w:vAlign w:val="center"/>
          </w:tcPr>
          <w:p>
            <w:pPr>
              <w:jc w:val="center"/>
              <w:rPr>
                <w:rFonts w:eastAsia="仿宋_GB2312"/>
                <w:szCs w:val="21"/>
              </w:rPr>
            </w:pPr>
            <w:r>
              <w:rPr>
                <w:rFonts w:eastAsia="仿宋_GB2312"/>
                <w:szCs w:val="21"/>
              </w:rPr>
              <w:t>6.3</w:t>
            </w:r>
          </w:p>
        </w:tc>
        <w:tc>
          <w:tcPr>
            <w:tcW w:w="392" w:type="dxa"/>
            <w:tcBorders>
              <w:tl2br w:val="nil"/>
              <w:tr2bl w:val="nil"/>
            </w:tcBorders>
            <w:vAlign w:val="center"/>
          </w:tcPr>
          <w:p>
            <w:pPr>
              <w:jc w:val="center"/>
              <w:rPr>
                <w:rFonts w:eastAsia="仿宋_GB2312"/>
                <w:szCs w:val="21"/>
              </w:rPr>
            </w:pPr>
            <w:r>
              <w:rPr>
                <w:rFonts w:eastAsia="仿宋_GB2312"/>
                <w:szCs w:val="21"/>
              </w:rPr>
              <w:t>2.1</w:t>
            </w:r>
          </w:p>
        </w:tc>
        <w:tc>
          <w:tcPr>
            <w:tcW w:w="587" w:type="dxa"/>
            <w:tcBorders>
              <w:tl2br w:val="nil"/>
              <w:tr2bl w:val="nil"/>
            </w:tcBorders>
            <w:vAlign w:val="center"/>
          </w:tcPr>
          <w:p>
            <w:pPr>
              <w:jc w:val="center"/>
              <w:rPr>
                <w:rFonts w:eastAsia="仿宋_GB2312"/>
                <w:szCs w:val="21"/>
              </w:rPr>
            </w:pPr>
            <w:r>
              <w:rPr>
                <w:rFonts w:eastAsia="仿宋_GB2312"/>
                <w:szCs w:val="21"/>
              </w:rPr>
              <w:t>2.7</w:t>
            </w:r>
          </w:p>
        </w:tc>
        <w:tc>
          <w:tcPr>
            <w:tcW w:w="567" w:type="dxa"/>
            <w:tcBorders>
              <w:tl2br w:val="nil"/>
              <w:tr2bl w:val="nil"/>
            </w:tcBorders>
            <w:vAlign w:val="center"/>
          </w:tcPr>
          <w:p>
            <w:pPr>
              <w:jc w:val="center"/>
              <w:rPr>
                <w:rFonts w:eastAsia="仿宋_GB2312"/>
                <w:szCs w:val="21"/>
              </w:rPr>
            </w:pPr>
            <w:r>
              <w:rPr>
                <w:rFonts w:eastAsia="仿宋_GB2312"/>
                <w:szCs w:val="21"/>
              </w:rPr>
              <w:t>5.4</w:t>
            </w:r>
          </w:p>
        </w:tc>
        <w:tc>
          <w:tcPr>
            <w:tcW w:w="709" w:type="dxa"/>
            <w:tcBorders>
              <w:tl2br w:val="nil"/>
              <w:tr2bl w:val="nil"/>
            </w:tcBorders>
            <w:vAlign w:val="center"/>
          </w:tcPr>
          <w:p>
            <w:pPr>
              <w:jc w:val="center"/>
              <w:rPr>
                <w:rFonts w:eastAsia="仿宋_GB2312"/>
                <w:szCs w:val="21"/>
              </w:rPr>
            </w:pPr>
            <w:r>
              <w:rPr>
                <w:rFonts w:eastAsia="仿宋_GB2312"/>
                <w:szCs w:val="21"/>
              </w:rPr>
              <w:t>4.5</w:t>
            </w:r>
          </w:p>
        </w:tc>
        <w:tc>
          <w:tcPr>
            <w:tcW w:w="425" w:type="dxa"/>
            <w:tcBorders>
              <w:tl2br w:val="nil"/>
              <w:tr2bl w:val="nil"/>
            </w:tcBorders>
            <w:vAlign w:val="center"/>
          </w:tcPr>
          <w:p>
            <w:pPr>
              <w:jc w:val="center"/>
              <w:rPr>
                <w:rFonts w:eastAsia="仿宋_GB2312"/>
                <w:szCs w:val="21"/>
              </w:rPr>
            </w:pPr>
            <w:r>
              <w:rPr>
                <w:rFonts w:eastAsia="仿宋_GB2312"/>
                <w:szCs w:val="21"/>
              </w:rPr>
              <w:t>4.2</w:t>
            </w:r>
          </w:p>
        </w:tc>
        <w:tc>
          <w:tcPr>
            <w:tcW w:w="709" w:type="dxa"/>
            <w:tcBorders>
              <w:tl2br w:val="nil"/>
              <w:tr2bl w:val="nil"/>
            </w:tcBorders>
            <w:vAlign w:val="center"/>
          </w:tcPr>
          <w:p>
            <w:pPr>
              <w:jc w:val="center"/>
              <w:rPr>
                <w:rFonts w:eastAsia="仿宋_GB2312"/>
                <w:szCs w:val="21"/>
              </w:rPr>
            </w:pPr>
            <w:r>
              <w:rPr>
                <w:rFonts w:eastAsia="仿宋_GB2312"/>
                <w:szCs w:val="21"/>
              </w:rPr>
              <w:t>3.4</w:t>
            </w:r>
          </w:p>
        </w:tc>
        <w:tc>
          <w:tcPr>
            <w:tcW w:w="567" w:type="dxa"/>
            <w:tcBorders>
              <w:tl2br w:val="nil"/>
              <w:tr2bl w:val="nil"/>
            </w:tcBorders>
            <w:vAlign w:val="center"/>
          </w:tcPr>
          <w:p>
            <w:pPr>
              <w:jc w:val="center"/>
              <w:rPr>
                <w:rFonts w:eastAsia="仿宋_GB2312"/>
                <w:szCs w:val="21"/>
              </w:rPr>
            </w:pPr>
            <w:r>
              <w:rPr>
                <w:rFonts w:eastAsia="仿宋_GB2312"/>
                <w:szCs w:val="21"/>
              </w:rPr>
              <w:t>3.3</w:t>
            </w:r>
          </w:p>
        </w:tc>
        <w:tc>
          <w:tcPr>
            <w:tcW w:w="709" w:type="dxa"/>
            <w:tcBorders>
              <w:tl2br w:val="nil"/>
              <w:tr2bl w:val="nil"/>
            </w:tcBorders>
            <w:vAlign w:val="center"/>
          </w:tcPr>
          <w:p>
            <w:pPr>
              <w:jc w:val="center"/>
              <w:rPr>
                <w:rFonts w:eastAsia="仿宋_GB2312"/>
                <w:szCs w:val="21"/>
              </w:rPr>
            </w:pPr>
            <w:r>
              <w:rPr>
                <w:rFonts w:eastAsia="仿宋_GB2312"/>
                <w:szCs w:val="21"/>
              </w:rPr>
              <w:t>2.3</w:t>
            </w:r>
          </w:p>
        </w:tc>
        <w:tc>
          <w:tcPr>
            <w:tcW w:w="459" w:type="dxa"/>
            <w:tcBorders>
              <w:tl2br w:val="nil"/>
              <w:tr2bl w:val="nil"/>
            </w:tcBorders>
            <w:vAlign w:val="center"/>
          </w:tcPr>
          <w:p>
            <w:pPr>
              <w:jc w:val="center"/>
              <w:rPr>
                <w:rFonts w:eastAsia="仿宋_GB2312"/>
                <w:szCs w:val="21"/>
              </w:rPr>
            </w:pPr>
            <w:r>
              <w:rPr>
                <w:rFonts w:eastAsia="仿宋_GB2312"/>
                <w:szCs w:val="21"/>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9" w:type="dxa"/>
            <w:tcBorders>
              <w:tl2br w:val="nil"/>
              <w:tr2bl w:val="nil"/>
            </w:tcBorders>
            <w:vAlign w:val="center"/>
          </w:tcPr>
          <w:p>
            <w:pPr>
              <w:jc w:val="center"/>
              <w:rPr>
                <w:rFonts w:eastAsia="仿宋_GB2312"/>
                <w:szCs w:val="21"/>
              </w:rPr>
            </w:pPr>
            <w:r>
              <w:rPr>
                <w:rFonts w:eastAsia="仿宋_GB2312"/>
                <w:szCs w:val="21"/>
              </w:rPr>
              <w:t>06</w:t>
            </w:r>
          </w:p>
        </w:tc>
        <w:tc>
          <w:tcPr>
            <w:tcW w:w="566" w:type="dxa"/>
            <w:tcBorders>
              <w:tl2br w:val="nil"/>
              <w:tr2bl w:val="nil"/>
            </w:tcBorders>
            <w:vAlign w:val="center"/>
          </w:tcPr>
          <w:p>
            <w:pPr>
              <w:jc w:val="center"/>
              <w:rPr>
                <w:rFonts w:eastAsia="仿宋_GB2312"/>
                <w:szCs w:val="21"/>
              </w:rPr>
            </w:pPr>
            <w:r>
              <w:rPr>
                <w:rFonts w:eastAsia="仿宋_GB2312"/>
                <w:szCs w:val="21"/>
              </w:rPr>
              <w:t>2.2</w:t>
            </w:r>
          </w:p>
        </w:tc>
        <w:tc>
          <w:tcPr>
            <w:tcW w:w="565" w:type="dxa"/>
            <w:tcBorders>
              <w:tl2br w:val="nil"/>
              <w:tr2bl w:val="nil"/>
            </w:tcBorders>
            <w:vAlign w:val="center"/>
          </w:tcPr>
          <w:p>
            <w:pPr>
              <w:jc w:val="center"/>
              <w:rPr>
                <w:rFonts w:eastAsia="仿宋_GB2312"/>
                <w:szCs w:val="21"/>
              </w:rPr>
            </w:pPr>
            <w:r>
              <w:rPr>
                <w:rFonts w:eastAsia="仿宋_GB2312"/>
                <w:szCs w:val="21"/>
              </w:rPr>
              <w:t>4.9</w:t>
            </w:r>
          </w:p>
        </w:tc>
        <w:tc>
          <w:tcPr>
            <w:tcW w:w="565" w:type="dxa"/>
            <w:tcBorders>
              <w:tl2br w:val="nil"/>
              <w:tr2bl w:val="nil"/>
            </w:tcBorders>
            <w:vAlign w:val="center"/>
          </w:tcPr>
          <w:p>
            <w:pPr>
              <w:jc w:val="center"/>
              <w:rPr>
                <w:rFonts w:eastAsia="仿宋_GB2312"/>
                <w:szCs w:val="21"/>
              </w:rPr>
            </w:pPr>
            <w:r>
              <w:rPr>
                <w:rFonts w:eastAsia="仿宋_GB2312"/>
                <w:szCs w:val="21"/>
              </w:rPr>
              <w:t>5.0</w:t>
            </w:r>
          </w:p>
        </w:tc>
        <w:tc>
          <w:tcPr>
            <w:tcW w:w="565" w:type="dxa"/>
            <w:tcBorders>
              <w:tl2br w:val="nil"/>
              <w:tr2bl w:val="nil"/>
            </w:tcBorders>
            <w:vAlign w:val="center"/>
          </w:tcPr>
          <w:p>
            <w:pPr>
              <w:jc w:val="center"/>
              <w:rPr>
                <w:rFonts w:eastAsia="仿宋_GB2312"/>
                <w:szCs w:val="21"/>
              </w:rPr>
            </w:pPr>
            <w:r>
              <w:rPr>
                <w:rFonts w:eastAsia="仿宋_GB2312"/>
                <w:szCs w:val="21"/>
              </w:rPr>
              <w:t>7.5</w:t>
            </w:r>
          </w:p>
        </w:tc>
        <w:tc>
          <w:tcPr>
            <w:tcW w:w="565" w:type="dxa"/>
            <w:tcBorders>
              <w:tl2br w:val="nil"/>
              <w:tr2bl w:val="nil"/>
            </w:tcBorders>
            <w:vAlign w:val="center"/>
          </w:tcPr>
          <w:p>
            <w:pPr>
              <w:jc w:val="center"/>
              <w:rPr>
                <w:rFonts w:eastAsia="仿宋_GB2312"/>
                <w:szCs w:val="21"/>
              </w:rPr>
            </w:pPr>
            <w:r>
              <w:rPr>
                <w:rFonts w:eastAsia="仿宋_GB2312"/>
                <w:szCs w:val="21"/>
              </w:rPr>
              <w:t>9.4</w:t>
            </w:r>
          </w:p>
        </w:tc>
        <w:tc>
          <w:tcPr>
            <w:tcW w:w="565" w:type="dxa"/>
            <w:tcBorders>
              <w:tl2br w:val="nil"/>
              <w:tr2bl w:val="nil"/>
            </w:tcBorders>
            <w:vAlign w:val="center"/>
          </w:tcPr>
          <w:p>
            <w:pPr>
              <w:jc w:val="center"/>
              <w:rPr>
                <w:rFonts w:eastAsia="仿宋_GB2312"/>
                <w:szCs w:val="21"/>
              </w:rPr>
            </w:pPr>
            <w:r>
              <w:rPr>
                <w:rFonts w:eastAsia="仿宋_GB2312"/>
                <w:szCs w:val="21"/>
              </w:rPr>
              <w:t>18.6</w:t>
            </w:r>
          </w:p>
        </w:tc>
        <w:tc>
          <w:tcPr>
            <w:tcW w:w="565" w:type="dxa"/>
            <w:tcBorders>
              <w:tl2br w:val="nil"/>
              <w:tr2bl w:val="nil"/>
            </w:tcBorders>
            <w:vAlign w:val="center"/>
          </w:tcPr>
          <w:p>
            <w:pPr>
              <w:jc w:val="center"/>
              <w:rPr>
                <w:rFonts w:eastAsia="仿宋_GB2312"/>
                <w:szCs w:val="21"/>
              </w:rPr>
            </w:pPr>
            <w:r>
              <w:rPr>
                <w:rFonts w:eastAsia="仿宋_GB2312"/>
                <w:szCs w:val="21"/>
              </w:rPr>
              <w:t>15.1</w:t>
            </w:r>
          </w:p>
        </w:tc>
        <w:tc>
          <w:tcPr>
            <w:tcW w:w="565" w:type="dxa"/>
            <w:tcBorders>
              <w:tl2br w:val="nil"/>
              <w:tr2bl w:val="nil"/>
            </w:tcBorders>
            <w:vAlign w:val="center"/>
          </w:tcPr>
          <w:p>
            <w:pPr>
              <w:jc w:val="center"/>
              <w:rPr>
                <w:rFonts w:eastAsia="仿宋_GB2312"/>
                <w:szCs w:val="21"/>
              </w:rPr>
            </w:pPr>
            <w:r>
              <w:rPr>
                <w:rFonts w:eastAsia="仿宋_GB2312"/>
                <w:szCs w:val="21"/>
              </w:rPr>
              <w:t>7.4</w:t>
            </w:r>
          </w:p>
        </w:tc>
        <w:tc>
          <w:tcPr>
            <w:tcW w:w="392" w:type="dxa"/>
            <w:tcBorders>
              <w:tl2br w:val="nil"/>
              <w:tr2bl w:val="nil"/>
            </w:tcBorders>
            <w:vAlign w:val="center"/>
          </w:tcPr>
          <w:p>
            <w:pPr>
              <w:jc w:val="center"/>
              <w:rPr>
                <w:rFonts w:eastAsia="仿宋_GB2312"/>
                <w:szCs w:val="21"/>
              </w:rPr>
            </w:pPr>
            <w:r>
              <w:rPr>
                <w:rFonts w:eastAsia="仿宋_GB2312"/>
                <w:szCs w:val="21"/>
              </w:rPr>
              <w:t>4.1</w:t>
            </w:r>
          </w:p>
        </w:tc>
        <w:tc>
          <w:tcPr>
            <w:tcW w:w="587" w:type="dxa"/>
            <w:tcBorders>
              <w:tl2br w:val="nil"/>
              <w:tr2bl w:val="nil"/>
            </w:tcBorders>
            <w:vAlign w:val="center"/>
          </w:tcPr>
          <w:p>
            <w:pPr>
              <w:jc w:val="center"/>
              <w:rPr>
                <w:rFonts w:eastAsia="仿宋_GB2312"/>
                <w:szCs w:val="21"/>
              </w:rPr>
            </w:pPr>
            <w:r>
              <w:rPr>
                <w:rFonts w:eastAsia="仿宋_GB2312"/>
                <w:szCs w:val="21"/>
              </w:rPr>
              <w:t>3.3</w:t>
            </w:r>
          </w:p>
        </w:tc>
        <w:tc>
          <w:tcPr>
            <w:tcW w:w="567" w:type="dxa"/>
            <w:tcBorders>
              <w:tl2br w:val="nil"/>
              <w:tr2bl w:val="nil"/>
            </w:tcBorders>
            <w:vAlign w:val="center"/>
          </w:tcPr>
          <w:p>
            <w:pPr>
              <w:jc w:val="center"/>
              <w:rPr>
                <w:rFonts w:eastAsia="仿宋_GB2312"/>
                <w:szCs w:val="21"/>
              </w:rPr>
            </w:pPr>
            <w:r>
              <w:rPr>
                <w:rFonts w:eastAsia="仿宋_GB2312"/>
                <w:szCs w:val="21"/>
              </w:rPr>
              <w:t>5.8</w:t>
            </w:r>
          </w:p>
        </w:tc>
        <w:tc>
          <w:tcPr>
            <w:tcW w:w="709" w:type="dxa"/>
            <w:tcBorders>
              <w:tl2br w:val="nil"/>
              <w:tr2bl w:val="nil"/>
            </w:tcBorders>
            <w:vAlign w:val="center"/>
          </w:tcPr>
          <w:p>
            <w:pPr>
              <w:jc w:val="center"/>
              <w:rPr>
                <w:rFonts w:eastAsia="仿宋_GB2312"/>
                <w:szCs w:val="21"/>
              </w:rPr>
            </w:pPr>
            <w:r>
              <w:rPr>
                <w:rFonts w:eastAsia="仿宋_GB2312"/>
                <w:szCs w:val="21"/>
              </w:rPr>
              <w:t>5.2</w:t>
            </w:r>
          </w:p>
        </w:tc>
        <w:tc>
          <w:tcPr>
            <w:tcW w:w="425" w:type="dxa"/>
            <w:tcBorders>
              <w:tl2br w:val="nil"/>
              <w:tr2bl w:val="nil"/>
            </w:tcBorders>
            <w:vAlign w:val="center"/>
          </w:tcPr>
          <w:p>
            <w:pPr>
              <w:jc w:val="center"/>
              <w:rPr>
                <w:rFonts w:eastAsia="仿宋_GB2312"/>
                <w:szCs w:val="21"/>
              </w:rPr>
            </w:pPr>
            <w:r>
              <w:rPr>
                <w:rFonts w:eastAsia="仿宋_GB2312"/>
                <w:szCs w:val="21"/>
              </w:rPr>
              <w:t>3.1</w:t>
            </w:r>
          </w:p>
        </w:tc>
        <w:tc>
          <w:tcPr>
            <w:tcW w:w="709" w:type="dxa"/>
            <w:tcBorders>
              <w:tl2br w:val="nil"/>
              <w:tr2bl w:val="nil"/>
            </w:tcBorders>
            <w:vAlign w:val="center"/>
          </w:tcPr>
          <w:p>
            <w:pPr>
              <w:jc w:val="center"/>
              <w:rPr>
                <w:rFonts w:eastAsia="仿宋_GB2312"/>
                <w:szCs w:val="21"/>
              </w:rPr>
            </w:pPr>
            <w:r>
              <w:rPr>
                <w:rFonts w:eastAsia="仿宋_GB2312"/>
                <w:szCs w:val="21"/>
              </w:rPr>
              <w:t>2.0</w:t>
            </w:r>
          </w:p>
        </w:tc>
        <w:tc>
          <w:tcPr>
            <w:tcW w:w="567" w:type="dxa"/>
            <w:tcBorders>
              <w:tl2br w:val="nil"/>
              <w:tr2bl w:val="nil"/>
            </w:tcBorders>
            <w:vAlign w:val="center"/>
          </w:tcPr>
          <w:p>
            <w:pPr>
              <w:jc w:val="center"/>
              <w:rPr>
                <w:rFonts w:eastAsia="仿宋_GB2312"/>
                <w:szCs w:val="21"/>
              </w:rPr>
            </w:pPr>
            <w:r>
              <w:rPr>
                <w:rFonts w:eastAsia="仿宋_GB2312"/>
                <w:szCs w:val="21"/>
              </w:rPr>
              <w:t>1.8</w:t>
            </w:r>
          </w:p>
        </w:tc>
        <w:tc>
          <w:tcPr>
            <w:tcW w:w="709" w:type="dxa"/>
            <w:tcBorders>
              <w:tl2br w:val="nil"/>
              <w:tr2bl w:val="nil"/>
            </w:tcBorders>
            <w:vAlign w:val="center"/>
          </w:tcPr>
          <w:p>
            <w:pPr>
              <w:jc w:val="center"/>
              <w:rPr>
                <w:rFonts w:eastAsia="仿宋_GB2312"/>
                <w:szCs w:val="21"/>
              </w:rPr>
            </w:pPr>
            <w:r>
              <w:rPr>
                <w:rFonts w:eastAsia="仿宋_GB2312"/>
                <w:szCs w:val="21"/>
              </w:rPr>
              <w:t>1.5</w:t>
            </w:r>
          </w:p>
        </w:tc>
        <w:tc>
          <w:tcPr>
            <w:tcW w:w="459" w:type="dxa"/>
            <w:tcBorders>
              <w:tl2br w:val="nil"/>
              <w:tr2bl w:val="nil"/>
            </w:tcBorders>
            <w:vAlign w:val="center"/>
          </w:tcPr>
          <w:p>
            <w:pPr>
              <w:jc w:val="center"/>
              <w:rPr>
                <w:rFonts w:eastAsia="仿宋_GB2312"/>
                <w:szCs w:val="21"/>
              </w:rPr>
            </w:pPr>
            <w:r>
              <w:rPr>
                <w:rFonts w:eastAsia="仿宋_GB2312"/>
                <w:szCs w:val="21"/>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9" w:type="dxa"/>
            <w:tcBorders>
              <w:tl2br w:val="nil"/>
              <w:tr2bl w:val="nil"/>
            </w:tcBorders>
            <w:vAlign w:val="center"/>
          </w:tcPr>
          <w:p>
            <w:pPr>
              <w:jc w:val="center"/>
              <w:rPr>
                <w:rFonts w:eastAsia="仿宋_GB2312"/>
                <w:szCs w:val="21"/>
              </w:rPr>
            </w:pPr>
            <w:r>
              <w:rPr>
                <w:rFonts w:eastAsia="仿宋_GB2312"/>
                <w:szCs w:val="21"/>
              </w:rPr>
              <w:t>07</w:t>
            </w:r>
          </w:p>
        </w:tc>
        <w:tc>
          <w:tcPr>
            <w:tcW w:w="566" w:type="dxa"/>
            <w:tcBorders>
              <w:tl2br w:val="nil"/>
              <w:tr2bl w:val="nil"/>
            </w:tcBorders>
            <w:vAlign w:val="center"/>
          </w:tcPr>
          <w:p>
            <w:pPr>
              <w:jc w:val="center"/>
              <w:rPr>
                <w:rFonts w:eastAsia="仿宋_GB2312"/>
                <w:szCs w:val="21"/>
              </w:rPr>
            </w:pPr>
            <w:r>
              <w:rPr>
                <w:rFonts w:eastAsia="仿宋_GB2312"/>
                <w:szCs w:val="21"/>
              </w:rPr>
              <w:t>2.4</w:t>
            </w:r>
          </w:p>
        </w:tc>
        <w:tc>
          <w:tcPr>
            <w:tcW w:w="565" w:type="dxa"/>
            <w:tcBorders>
              <w:tl2br w:val="nil"/>
              <w:tr2bl w:val="nil"/>
            </w:tcBorders>
            <w:vAlign w:val="center"/>
          </w:tcPr>
          <w:p>
            <w:pPr>
              <w:jc w:val="center"/>
              <w:rPr>
                <w:rFonts w:eastAsia="仿宋_GB2312"/>
                <w:szCs w:val="21"/>
              </w:rPr>
            </w:pPr>
            <w:r>
              <w:rPr>
                <w:rFonts w:eastAsia="仿宋_GB2312"/>
                <w:szCs w:val="21"/>
              </w:rPr>
              <w:t>4.3</w:t>
            </w:r>
          </w:p>
        </w:tc>
        <w:tc>
          <w:tcPr>
            <w:tcW w:w="565" w:type="dxa"/>
            <w:tcBorders>
              <w:tl2br w:val="nil"/>
              <w:tr2bl w:val="nil"/>
            </w:tcBorders>
            <w:vAlign w:val="center"/>
          </w:tcPr>
          <w:p>
            <w:pPr>
              <w:jc w:val="center"/>
              <w:rPr>
                <w:rFonts w:eastAsia="仿宋_GB2312"/>
                <w:szCs w:val="21"/>
              </w:rPr>
            </w:pPr>
            <w:r>
              <w:rPr>
                <w:rFonts w:eastAsia="仿宋_GB2312"/>
                <w:szCs w:val="21"/>
              </w:rPr>
              <w:t>4.0</w:t>
            </w:r>
          </w:p>
        </w:tc>
        <w:tc>
          <w:tcPr>
            <w:tcW w:w="565" w:type="dxa"/>
            <w:tcBorders>
              <w:tl2br w:val="nil"/>
              <w:tr2bl w:val="nil"/>
            </w:tcBorders>
            <w:vAlign w:val="center"/>
          </w:tcPr>
          <w:p>
            <w:pPr>
              <w:jc w:val="center"/>
              <w:rPr>
                <w:rFonts w:eastAsia="仿宋_GB2312"/>
                <w:szCs w:val="21"/>
              </w:rPr>
            </w:pPr>
            <w:r>
              <w:rPr>
                <w:rFonts w:eastAsia="仿宋_GB2312"/>
                <w:szCs w:val="21"/>
              </w:rPr>
              <w:t>6.0</w:t>
            </w:r>
          </w:p>
        </w:tc>
        <w:tc>
          <w:tcPr>
            <w:tcW w:w="565" w:type="dxa"/>
            <w:tcBorders>
              <w:tl2br w:val="nil"/>
              <w:tr2bl w:val="nil"/>
            </w:tcBorders>
            <w:vAlign w:val="center"/>
          </w:tcPr>
          <w:p>
            <w:pPr>
              <w:jc w:val="center"/>
              <w:rPr>
                <w:rFonts w:eastAsia="仿宋_GB2312"/>
                <w:szCs w:val="21"/>
              </w:rPr>
            </w:pPr>
            <w:r>
              <w:rPr>
                <w:rFonts w:eastAsia="仿宋_GB2312"/>
                <w:szCs w:val="21"/>
              </w:rPr>
              <w:t>6.7</w:t>
            </w:r>
          </w:p>
        </w:tc>
        <w:tc>
          <w:tcPr>
            <w:tcW w:w="565" w:type="dxa"/>
            <w:tcBorders>
              <w:tl2br w:val="nil"/>
              <w:tr2bl w:val="nil"/>
            </w:tcBorders>
            <w:vAlign w:val="center"/>
          </w:tcPr>
          <w:p>
            <w:pPr>
              <w:jc w:val="center"/>
              <w:rPr>
                <w:rFonts w:eastAsia="仿宋_GB2312"/>
                <w:szCs w:val="21"/>
              </w:rPr>
            </w:pPr>
            <w:r>
              <w:rPr>
                <w:rFonts w:eastAsia="仿宋_GB2312"/>
                <w:szCs w:val="21"/>
              </w:rPr>
              <w:t>13.3</w:t>
            </w:r>
          </w:p>
        </w:tc>
        <w:tc>
          <w:tcPr>
            <w:tcW w:w="565" w:type="dxa"/>
            <w:tcBorders>
              <w:tl2br w:val="nil"/>
              <w:tr2bl w:val="nil"/>
            </w:tcBorders>
            <w:vAlign w:val="center"/>
          </w:tcPr>
          <w:p>
            <w:pPr>
              <w:jc w:val="center"/>
              <w:rPr>
                <w:rFonts w:eastAsia="仿宋_GB2312"/>
                <w:szCs w:val="21"/>
              </w:rPr>
            </w:pPr>
            <w:r>
              <w:rPr>
                <w:rFonts w:eastAsia="仿宋_GB2312"/>
                <w:szCs w:val="21"/>
              </w:rPr>
              <w:t>11.7</w:t>
            </w:r>
          </w:p>
        </w:tc>
        <w:tc>
          <w:tcPr>
            <w:tcW w:w="565" w:type="dxa"/>
            <w:tcBorders>
              <w:tl2br w:val="nil"/>
              <w:tr2bl w:val="nil"/>
            </w:tcBorders>
            <w:vAlign w:val="center"/>
          </w:tcPr>
          <w:p>
            <w:pPr>
              <w:jc w:val="center"/>
              <w:rPr>
                <w:rFonts w:eastAsia="仿宋_GB2312"/>
                <w:szCs w:val="21"/>
              </w:rPr>
            </w:pPr>
            <w:r>
              <w:rPr>
                <w:rFonts w:eastAsia="仿宋_GB2312"/>
                <w:szCs w:val="21"/>
              </w:rPr>
              <w:t>8.2</w:t>
            </w:r>
          </w:p>
        </w:tc>
        <w:tc>
          <w:tcPr>
            <w:tcW w:w="392" w:type="dxa"/>
            <w:tcBorders>
              <w:tl2br w:val="nil"/>
              <w:tr2bl w:val="nil"/>
            </w:tcBorders>
            <w:vAlign w:val="center"/>
          </w:tcPr>
          <w:p>
            <w:pPr>
              <w:jc w:val="center"/>
              <w:rPr>
                <w:rFonts w:eastAsia="仿宋_GB2312"/>
                <w:szCs w:val="21"/>
              </w:rPr>
            </w:pPr>
            <w:r>
              <w:rPr>
                <w:rFonts w:eastAsia="仿宋_GB2312"/>
                <w:szCs w:val="21"/>
              </w:rPr>
              <w:t>5.4</w:t>
            </w:r>
          </w:p>
        </w:tc>
        <w:tc>
          <w:tcPr>
            <w:tcW w:w="587" w:type="dxa"/>
            <w:tcBorders>
              <w:tl2br w:val="nil"/>
              <w:tr2bl w:val="nil"/>
            </w:tcBorders>
            <w:vAlign w:val="center"/>
          </w:tcPr>
          <w:p>
            <w:pPr>
              <w:jc w:val="center"/>
              <w:rPr>
                <w:rFonts w:eastAsia="仿宋_GB2312"/>
                <w:szCs w:val="21"/>
              </w:rPr>
            </w:pPr>
            <w:r>
              <w:rPr>
                <w:rFonts w:eastAsia="仿宋_GB2312"/>
                <w:szCs w:val="21"/>
              </w:rPr>
              <w:t>7.1</w:t>
            </w:r>
          </w:p>
        </w:tc>
        <w:tc>
          <w:tcPr>
            <w:tcW w:w="567" w:type="dxa"/>
            <w:tcBorders>
              <w:tl2br w:val="nil"/>
              <w:tr2bl w:val="nil"/>
            </w:tcBorders>
            <w:vAlign w:val="center"/>
          </w:tcPr>
          <w:p>
            <w:pPr>
              <w:jc w:val="center"/>
              <w:rPr>
                <w:rFonts w:eastAsia="仿宋_GB2312"/>
                <w:szCs w:val="21"/>
              </w:rPr>
            </w:pPr>
            <w:r>
              <w:rPr>
                <w:rFonts w:eastAsia="仿宋_GB2312"/>
                <w:szCs w:val="21"/>
              </w:rPr>
              <w:t>9.7</w:t>
            </w:r>
          </w:p>
        </w:tc>
        <w:tc>
          <w:tcPr>
            <w:tcW w:w="709" w:type="dxa"/>
            <w:tcBorders>
              <w:tl2br w:val="nil"/>
              <w:tr2bl w:val="nil"/>
            </w:tcBorders>
            <w:vAlign w:val="center"/>
          </w:tcPr>
          <w:p>
            <w:pPr>
              <w:jc w:val="center"/>
              <w:rPr>
                <w:rFonts w:eastAsia="仿宋_GB2312"/>
                <w:szCs w:val="21"/>
              </w:rPr>
            </w:pPr>
            <w:r>
              <w:rPr>
                <w:rFonts w:eastAsia="仿宋_GB2312"/>
                <w:szCs w:val="21"/>
              </w:rPr>
              <w:t>7.7</w:t>
            </w:r>
          </w:p>
        </w:tc>
        <w:tc>
          <w:tcPr>
            <w:tcW w:w="425" w:type="dxa"/>
            <w:tcBorders>
              <w:tl2br w:val="nil"/>
              <w:tr2bl w:val="nil"/>
            </w:tcBorders>
            <w:vAlign w:val="center"/>
          </w:tcPr>
          <w:p>
            <w:pPr>
              <w:jc w:val="center"/>
              <w:rPr>
                <w:rFonts w:eastAsia="仿宋_GB2312"/>
                <w:szCs w:val="21"/>
              </w:rPr>
            </w:pPr>
            <w:r>
              <w:rPr>
                <w:rFonts w:eastAsia="仿宋_GB2312"/>
                <w:szCs w:val="21"/>
              </w:rPr>
              <w:t>3.6</w:t>
            </w:r>
          </w:p>
        </w:tc>
        <w:tc>
          <w:tcPr>
            <w:tcW w:w="709" w:type="dxa"/>
            <w:tcBorders>
              <w:tl2br w:val="nil"/>
              <w:tr2bl w:val="nil"/>
            </w:tcBorders>
            <w:vAlign w:val="center"/>
          </w:tcPr>
          <w:p>
            <w:pPr>
              <w:jc w:val="center"/>
              <w:rPr>
                <w:rFonts w:eastAsia="仿宋_GB2312"/>
                <w:szCs w:val="21"/>
              </w:rPr>
            </w:pPr>
            <w:r>
              <w:rPr>
                <w:rFonts w:eastAsia="仿宋_GB2312"/>
                <w:szCs w:val="21"/>
              </w:rPr>
              <w:t>2.3</w:t>
            </w:r>
          </w:p>
        </w:tc>
        <w:tc>
          <w:tcPr>
            <w:tcW w:w="567" w:type="dxa"/>
            <w:tcBorders>
              <w:tl2br w:val="nil"/>
              <w:tr2bl w:val="nil"/>
            </w:tcBorders>
            <w:vAlign w:val="center"/>
          </w:tcPr>
          <w:p>
            <w:pPr>
              <w:jc w:val="center"/>
              <w:rPr>
                <w:rFonts w:eastAsia="仿宋_GB2312"/>
                <w:szCs w:val="21"/>
              </w:rPr>
            </w:pPr>
            <w:r>
              <w:rPr>
                <w:rFonts w:eastAsia="仿宋_GB2312"/>
                <w:szCs w:val="21"/>
              </w:rPr>
              <w:t>1.6</w:t>
            </w:r>
          </w:p>
        </w:tc>
        <w:tc>
          <w:tcPr>
            <w:tcW w:w="709" w:type="dxa"/>
            <w:tcBorders>
              <w:tl2br w:val="nil"/>
              <w:tr2bl w:val="nil"/>
            </w:tcBorders>
            <w:vAlign w:val="center"/>
          </w:tcPr>
          <w:p>
            <w:pPr>
              <w:jc w:val="center"/>
              <w:rPr>
                <w:rFonts w:eastAsia="仿宋_GB2312"/>
                <w:szCs w:val="21"/>
              </w:rPr>
            </w:pPr>
            <w:r>
              <w:rPr>
                <w:rFonts w:eastAsia="仿宋_GB2312"/>
                <w:szCs w:val="21"/>
              </w:rPr>
              <w:t>2.2</w:t>
            </w:r>
          </w:p>
        </w:tc>
        <w:tc>
          <w:tcPr>
            <w:tcW w:w="459" w:type="dxa"/>
            <w:tcBorders>
              <w:tl2br w:val="nil"/>
              <w:tr2bl w:val="nil"/>
            </w:tcBorders>
            <w:vAlign w:val="center"/>
          </w:tcPr>
          <w:p>
            <w:pPr>
              <w:jc w:val="center"/>
              <w:rPr>
                <w:rFonts w:eastAsia="仿宋_GB2312"/>
                <w:szCs w:val="21"/>
              </w:rPr>
            </w:pPr>
            <w:r>
              <w:rPr>
                <w:rFonts w:eastAsia="仿宋_GB2312"/>
                <w:szCs w:val="21"/>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9" w:type="dxa"/>
            <w:tcBorders>
              <w:tl2br w:val="nil"/>
              <w:tr2bl w:val="nil"/>
            </w:tcBorders>
            <w:vAlign w:val="center"/>
          </w:tcPr>
          <w:p>
            <w:pPr>
              <w:jc w:val="center"/>
              <w:rPr>
                <w:rFonts w:eastAsia="仿宋_GB2312"/>
                <w:szCs w:val="21"/>
              </w:rPr>
            </w:pPr>
            <w:r>
              <w:rPr>
                <w:rFonts w:eastAsia="仿宋_GB2312"/>
                <w:szCs w:val="21"/>
              </w:rPr>
              <w:t>08</w:t>
            </w:r>
          </w:p>
        </w:tc>
        <w:tc>
          <w:tcPr>
            <w:tcW w:w="566" w:type="dxa"/>
            <w:tcBorders>
              <w:tl2br w:val="nil"/>
              <w:tr2bl w:val="nil"/>
            </w:tcBorders>
            <w:vAlign w:val="center"/>
          </w:tcPr>
          <w:p>
            <w:pPr>
              <w:jc w:val="center"/>
              <w:rPr>
                <w:rFonts w:eastAsia="仿宋_GB2312"/>
                <w:szCs w:val="21"/>
              </w:rPr>
            </w:pPr>
            <w:r>
              <w:rPr>
                <w:rFonts w:eastAsia="仿宋_GB2312"/>
                <w:szCs w:val="21"/>
              </w:rPr>
              <w:t>4.7</w:t>
            </w:r>
          </w:p>
        </w:tc>
        <w:tc>
          <w:tcPr>
            <w:tcW w:w="565" w:type="dxa"/>
            <w:tcBorders>
              <w:tl2br w:val="nil"/>
              <w:tr2bl w:val="nil"/>
            </w:tcBorders>
            <w:vAlign w:val="center"/>
          </w:tcPr>
          <w:p>
            <w:pPr>
              <w:jc w:val="center"/>
              <w:rPr>
                <w:rFonts w:eastAsia="仿宋_GB2312"/>
                <w:szCs w:val="21"/>
              </w:rPr>
            </w:pPr>
            <w:r>
              <w:rPr>
                <w:rFonts w:eastAsia="仿宋_GB2312"/>
                <w:szCs w:val="21"/>
              </w:rPr>
              <w:t>8.8</w:t>
            </w:r>
          </w:p>
        </w:tc>
        <w:tc>
          <w:tcPr>
            <w:tcW w:w="565" w:type="dxa"/>
            <w:tcBorders>
              <w:tl2br w:val="nil"/>
              <w:tr2bl w:val="nil"/>
            </w:tcBorders>
            <w:vAlign w:val="center"/>
          </w:tcPr>
          <w:p>
            <w:pPr>
              <w:jc w:val="center"/>
              <w:rPr>
                <w:rFonts w:eastAsia="仿宋_GB2312"/>
                <w:szCs w:val="21"/>
              </w:rPr>
            </w:pPr>
            <w:r>
              <w:rPr>
                <w:rFonts w:eastAsia="仿宋_GB2312"/>
                <w:szCs w:val="21"/>
              </w:rPr>
              <w:t>7.7</w:t>
            </w:r>
          </w:p>
        </w:tc>
        <w:tc>
          <w:tcPr>
            <w:tcW w:w="565" w:type="dxa"/>
            <w:tcBorders>
              <w:tl2br w:val="nil"/>
              <w:tr2bl w:val="nil"/>
            </w:tcBorders>
            <w:vAlign w:val="center"/>
          </w:tcPr>
          <w:p>
            <w:pPr>
              <w:jc w:val="center"/>
              <w:rPr>
                <w:rFonts w:eastAsia="仿宋_GB2312"/>
                <w:szCs w:val="21"/>
              </w:rPr>
            </w:pPr>
            <w:r>
              <w:rPr>
                <w:rFonts w:eastAsia="仿宋_GB2312"/>
                <w:szCs w:val="21"/>
              </w:rPr>
              <w:t>8.7</w:t>
            </w:r>
          </w:p>
        </w:tc>
        <w:tc>
          <w:tcPr>
            <w:tcW w:w="565" w:type="dxa"/>
            <w:tcBorders>
              <w:tl2br w:val="nil"/>
              <w:tr2bl w:val="nil"/>
            </w:tcBorders>
            <w:vAlign w:val="center"/>
          </w:tcPr>
          <w:p>
            <w:pPr>
              <w:jc w:val="center"/>
              <w:rPr>
                <w:rFonts w:eastAsia="仿宋_GB2312"/>
                <w:szCs w:val="21"/>
              </w:rPr>
            </w:pPr>
            <w:r>
              <w:rPr>
                <w:rFonts w:eastAsia="仿宋_GB2312"/>
                <w:szCs w:val="21"/>
              </w:rPr>
              <w:t>8.6</w:t>
            </w:r>
          </w:p>
        </w:tc>
        <w:tc>
          <w:tcPr>
            <w:tcW w:w="565" w:type="dxa"/>
            <w:tcBorders>
              <w:tl2br w:val="nil"/>
              <w:tr2bl w:val="nil"/>
            </w:tcBorders>
            <w:vAlign w:val="center"/>
          </w:tcPr>
          <w:p>
            <w:pPr>
              <w:jc w:val="center"/>
              <w:rPr>
                <w:rFonts w:eastAsia="仿宋_GB2312"/>
                <w:szCs w:val="21"/>
              </w:rPr>
            </w:pPr>
            <w:r>
              <w:rPr>
                <w:rFonts w:eastAsia="仿宋_GB2312"/>
                <w:szCs w:val="21"/>
              </w:rPr>
              <w:t>14.6</w:t>
            </w:r>
          </w:p>
        </w:tc>
        <w:tc>
          <w:tcPr>
            <w:tcW w:w="565" w:type="dxa"/>
            <w:tcBorders>
              <w:tl2br w:val="nil"/>
              <w:tr2bl w:val="nil"/>
            </w:tcBorders>
            <w:vAlign w:val="center"/>
          </w:tcPr>
          <w:p>
            <w:pPr>
              <w:jc w:val="center"/>
              <w:rPr>
                <w:rFonts w:eastAsia="仿宋_GB2312"/>
                <w:szCs w:val="21"/>
              </w:rPr>
            </w:pPr>
            <w:r>
              <w:rPr>
                <w:rFonts w:eastAsia="仿宋_GB2312"/>
                <w:szCs w:val="21"/>
              </w:rPr>
              <w:t>10.3</w:t>
            </w:r>
          </w:p>
        </w:tc>
        <w:tc>
          <w:tcPr>
            <w:tcW w:w="565" w:type="dxa"/>
            <w:tcBorders>
              <w:tl2br w:val="nil"/>
              <w:tr2bl w:val="nil"/>
            </w:tcBorders>
            <w:vAlign w:val="center"/>
          </w:tcPr>
          <w:p>
            <w:pPr>
              <w:jc w:val="center"/>
              <w:rPr>
                <w:rFonts w:eastAsia="仿宋_GB2312"/>
                <w:szCs w:val="21"/>
              </w:rPr>
            </w:pPr>
            <w:r>
              <w:rPr>
                <w:rFonts w:eastAsia="仿宋_GB2312"/>
                <w:szCs w:val="21"/>
              </w:rPr>
              <w:t>5.0</w:t>
            </w:r>
          </w:p>
        </w:tc>
        <w:tc>
          <w:tcPr>
            <w:tcW w:w="392" w:type="dxa"/>
            <w:tcBorders>
              <w:tl2br w:val="nil"/>
              <w:tr2bl w:val="nil"/>
            </w:tcBorders>
            <w:vAlign w:val="center"/>
          </w:tcPr>
          <w:p>
            <w:pPr>
              <w:jc w:val="center"/>
              <w:rPr>
                <w:rFonts w:eastAsia="仿宋_GB2312"/>
                <w:szCs w:val="21"/>
              </w:rPr>
            </w:pPr>
            <w:r>
              <w:rPr>
                <w:rFonts w:eastAsia="仿宋_GB2312"/>
                <w:szCs w:val="21"/>
              </w:rPr>
              <w:t>2.4</w:t>
            </w:r>
          </w:p>
        </w:tc>
        <w:tc>
          <w:tcPr>
            <w:tcW w:w="587" w:type="dxa"/>
            <w:tcBorders>
              <w:tl2br w:val="nil"/>
              <w:tr2bl w:val="nil"/>
            </w:tcBorders>
            <w:vAlign w:val="center"/>
          </w:tcPr>
          <w:p>
            <w:pPr>
              <w:jc w:val="center"/>
              <w:rPr>
                <w:rFonts w:eastAsia="仿宋_GB2312"/>
                <w:szCs w:val="21"/>
              </w:rPr>
            </w:pPr>
            <w:r>
              <w:rPr>
                <w:rFonts w:eastAsia="仿宋_GB2312"/>
                <w:szCs w:val="21"/>
              </w:rPr>
              <w:t>2.7</w:t>
            </w:r>
          </w:p>
        </w:tc>
        <w:tc>
          <w:tcPr>
            <w:tcW w:w="567" w:type="dxa"/>
            <w:tcBorders>
              <w:tl2br w:val="nil"/>
              <w:tr2bl w:val="nil"/>
            </w:tcBorders>
            <w:vAlign w:val="center"/>
          </w:tcPr>
          <w:p>
            <w:pPr>
              <w:jc w:val="center"/>
              <w:rPr>
                <w:rFonts w:eastAsia="仿宋_GB2312"/>
                <w:szCs w:val="21"/>
              </w:rPr>
            </w:pPr>
            <w:r>
              <w:rPr>
                <w:rFonts w:eastAsia="仿宋_GB2312"/>
                <w:szCs w:val="21"/>
              </w:rPr>
              <w:t>5.1</w:t>
            </w:r>
          </w:p>
        </w:tc>
        <w:tc>
          <w:tcPr>
            <w:tcW w:w="709" w:type="dxa"/>
            <w:tcBorders>
              <w:tl2br w:val="nil"/>
              <w:tr2bl w:val="nil"/>
            </w:tcBorders>
            <w:vAlign w:val="center"/>
          </w:tcPr>
          <w:p>
            <w:pPr>
              <w:jc w:val="center"/>
              <w:rPr>
                <w:rFonts w:eastAsia="仿宋_GB2312"/>
                <w:szCs w:val="21"/>
              </w:rPr>
            </w:pPr>
            <w:r>
              <w:rPr>
                <w:rFonts w:eastAsia="仿宋_GB2312"/>
                <w:szCs w:val="21"/>
              </w:rPr>
              <w:t>4.1</w:t>
            </w:r>
          </w:p>
        </w:tc>
        <w:tc>
          <w:tcPr>
            <w:tcW w:w="425" w:type="dxa"/>
            <w:tcBorders>
              <w:tl2br w:val="nil"/>
              <w:tr2bl w:val="nil"/>
            </w:tcBorders>
            <w:vAlign w:val="center"/>
          </w:tcPr>
          <w:p>
            <w:pPr>
              <w:jc w:val="center"/>
              <w:rPr>
                <w:rFonts w:eastAsia="仿宋_GB2312"/>
                <w:szCs w:val="21"/>
              </w:rPr>
            </w:pPr>
            <w:r>
              <w:rPr>
                <w:rFonts w:eastAsia="仿宋_GB2312"/>
                <w:szCs w:val="21"/>
              </w:rPr>
              <w:t>2.9</w:t>
            </w:r>
          </w:p>
        </w:tc>
        <w:tc>
          <w:tcPr>
            <w:tcW w:w="709" w:type="dxa"/>
            <w:tcBorders>
              <w:tl2br w:val="nil"/>
              <w:tr2bl w:val="nil"/>
            </w:tcBorders>
            <w:vAlign w:val="center"/>
          </w:tcPr>
          <w:p>
            <w:pPr>
              <w:jc w:val="center"/>
              <w:rPr>
                <w:rFonts w:eastAsia="仿宋_GB2312"/>
                <w:szCs w:val="21"/>
              </w:rPr>
            </w:pPr>
            <w:r>
              <w:rPr>
                <w:rFonts w:eastAsia="仿宋_GB2312"/>
                <w:szCs w:val="21"/>
              </w:rPr>
              <w:t>3.0</w:t>
            </w:r>
          </w:p>
        </w:tc>
        <w:tc>
          <w:tcPr>
            <w:tcW w:w="567" w:type="dxa"/>
            <w:tcBorders>
              <w:tl2br w:val="nil"/>
              <w:tr2bl w:val="nil"/>
            </w:tcBorders>
            <w:vAlign w:val="center"/>
          </w:tcPr>
          <w:p>
            <w:pPr>
              <w:jc w:val="center"/>
              <w:rPr>
                <w:rFonts w:eastAsia="仿宋_GB2312"/>
                <w:szCs w:val="21"/>
              </w:rPr>
            </w:pPr>
            <w:r>
              <w:rPr>
                <w:rFonts w:eastAsia="仿宋_GB2312"/>
                <w:szCs w:val="21"/>
              </w:rPr>
              <w:t>3.6</w:t>
            </w:r>
          </w:p>
        </w:tc>
        <w:tc>
          <w:tcPr>
            <w:tcW w:w="709" w:type="dxa"/>
            <w:tcBorders>
              <w:tl2br w:val="nil"/>
              <w:tr2bl w:val="nil"/>
            </w:tcBorders>
            <w:vAlign w:val="center"/>
          </w:tcPr>
          <w:p>
            <w:pPr>
              <w:jc w:val="center"/>
              <w:rPr>
                <w:rFonts w:eastAsia="仿宋_GB2312"/>
                <w:szCs w:val="21"/>
              </w:rPr>
            </w:pPr>
            <w:r>
              <w:rPr>
                <w:rFonts w:eastAsia="仿宋_GB2312"/>
                <w:szCs w:val="21"/>
              </w:rPr>
              <w:t>3.6</w:t>
            </w:r>
          </w:p>
        </w:tc>
        <w:tc>
          <w:tcPr>
            <w:tcW w:w="459" w:type="dxa"/>
            <w:tcBorders>
              <w:tl2br w:val="nil"/>
              <w:tr2bl w:val="nil"/>
            </w:tcBorders>
            <w:vAlign w:val="center"/>
          </w:tcPr>
          <w:p>
            <w:pPr>
              <w:jc w:val="center"/>
              <w:rPr>
                <w:rFonts w:eastAsia="仿宋_GB2312"/>
                <w:szCs w:val="21"/>
              </w:rPr>
            </w:pPr>
            <w:r>
              <w:rPr>
                <w:rFonts w:eastAsia="仿宋_GB2312"/>
                <w:szCs w:val="21"/>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9" w:type="dxa"/>
            <w:tcBorders>
              <w:tl2br w:val="nil"/>
              <w:tr2bl w:val="nil"/>
            </w:tcBorders>
            <w:vAlign w:val="center"/>
          </w:tcPr>
          <w:p>
            <w:pPr>
              <w:jc w:val="center"/>
              <w:rPr>
                <w:rFonts w:eastAsia="仿宋_GB2312"/>
                <w:szCs w:val="21"/>
              </w:rPr>
            </w:pPr>
            <w:r>
              <w:rPr>
                <w:rFonts w:eastAsia="仿宋_GB2312"/>
                <w:szCs w:val="21"/>
              </w:rPr>
              <w:t>09</w:t>
            </w:r>
          </w:p>
        </w:tc>
        <w:tc>
          <w:tcPr>
            <w:tcW w:w="566" w:type="dxa"/>
            <w:tcBorders>
              <w:tl2br w:val="nil"/>
              <w:tr2bl w:val="nil"/>
            </w:tcBorders>
            <w:vAlign w:val="center"/>
          </w:tcPr>
          <w:p>
            <w:pPr>
              <w:jc w:val="center"/>
              <w:rPr>
                <w:rFonts w:eastAsia="仿宋_GB2312"/>
                <w:szCs w:val="21"/>
              </w:rPr>
            </w:pPr>
            <w:r>
              <w:rPr>
                <w:rFonts w:eastAsia="仿宋_GB2312"/>
                <w:szCs w:val="21"/>
              </w:rPr>
              <w:t>8.1</w:t>
            </w:r>
          </w:p>
        </w:tc>
        <w:tc>
          <w:tcPr>
            <w:tcW w:w="565" w:type="dxa"/>
            <w:tcBorders>
              <w:tl2br w:val="nil"/>
              <w:tr2bl w:val="nil"/>
            </w:tcBorders>
            <w:vAlign w:val="center"/>
          </w:tcPr>
          <w:p>
            <w:pPr>
              <w:jc w:val="center"/>
              <w:rPr>
                <w:rFonts w:eastAsia="仿宋_GB2312"/>
                <w:szCs w:val="21"/>
              </w:rPr>
            </w:pPr>
            <w:r>
              <w:rPr>
                <w:rFonts w:eastAsia="仿宋_GB2312"/>
                <w:szCs w:val="21"/>
              </w:rPr>
              <w:t>14.5</w:t>
            </w:r>
          </w:p>
        </w:tc>
        <w:tc>
          <w:tcPr>
            <w:tcW w:w="565" w:type="dxa"/>
            <w:tcBorders>
              <w:tl2br w:val="nil"/>
              <w:tr2bl w:val="nil"/>
            </w:tcBorders>
            <w:vAlign w:val="center"/>
          </w:tcPr>
          <w:p>
            <w:pPr>
              <w:jc w:val="center"/>
              <w:rPr>
                <w:rFonts w:eastAsia="仿宋_GB2312"/>
                <w:szCs w:val="21"/>
              </w:rPr>
            </w:pPr>
            <w:r>
              <w:rPr>
                <w:rFonts w:eastAsia="仿宋_GB2312"/>
                <w:szCs w:val="21"/>
              </w:rPr>
              <w:t>12.1</w:t>
            </w:r>
          </w:p>
        </w:tc>
        <w:tc>
          <w:tcPr>
            <w:tcW w:w="565" w:type="dxa"/>
            <w:tcBorders>
              <w:tl2br w:val="nil"/>
              <w:tr2bl w:val="nil"/>
            </w:tcBorders>
            <w:vAlign w:val="center"/>
          </w:tcPr>
          <w:p>
            <w:pPr>
              <w:jc w:val="center"/>
              <w:rPr>
                <w:rFonts w:eastAsia="仿宋_GB2312"/>
                <w:szCs w:val="21"/>
              </w:rPr>
            </w:pPr>
            <w:r>
              <w:rPr>
                <w:rFonts w:eastAsia="仿宋_GB2312"/>
                <w:szCs w:val="21"/>
              </w:rPr>
              <w:t>12.7</w:t>
            </w:r>
          </w:p>
        </w:tc>
        <w:tc>
          <w:tcPr>
            <w:tcW w:w="565" w:type="dxa"/>
            <w:tcBorders>
              <w:tl2br w:val="nil"/>
              <w:tr2bl w:val="nil"/>
            </w:tcBorders>
            <w:vAlign w:val="center"/>
          </w:tcPr>
          <w:p>
            <w:pPr>
              <w:jc w:val="center"/>
              <w:rPr>
                <w:rFonts w:eastAsia="仿宋_GB2312"/>
                <w:szCs w:val="21"/>
              </w:rPr>
            </w:pPr>
            <w:r>
              <w:rPr>
                <w:rFonts w:eastAsia="仿宋_GB2312"/>
                <w:szCs w:val="21"/>
              </w:rPr>
              <w:t>12.7</w:t>
            </w:r>
          </w:p>
        </w:tc>
        <w:tc>
          <w:tcPr>
            <w:tcW w:w="565" w:type="dxa"/>
            <w:tcBorders>
              <w:tl2br w:val="nil"/>
              <w:tr2bl w:val="nil"/>
            </w:tcBorders>
            <w:vAlign w:val="center"/>
          </w:tcPr>
          <w:p>
            <w:pPr>
              <w:jc w:val="center"/>
              <w:rPr>
                <w:rFonts w:eastAsia="仿宋_GB2312"/>
                <w:szCs w:val="21"/>
              </w:rPr>
            </w:pPr>
            <w:r>
              <w:rPr>
                <w:rFonts w:eastAsia="仿宋_GB2312"/>
                <w:szCs w:val="21"/>
              </w:rPr>
              <w:t>8.2</w:t>
            </w:r>
          </w:p>
        </w:tc>
        <w:tc>
          <w:tcPr>
            <w:tcW w:w="565" w:type="dxa"/>
            <w:tcBorders>
              <w:tl2br w:val="nil"/>
              <w:tr2bl w:val="nil"/>
            </w:tcBorders>
            <w:vAlign w:val="center"/>
          </w:tcPr>
          <w:p>
            <w:pPr>
              <w:jc w:val="center"/>
              <w:rPr>
                <w:rFonts w:eastAsia="仿宋_GB2312"/>
                <w:szCs w:val="21"/>
              </w:rPr>
            </w:pPr>
            <w:r>
              <w:rPr>
                <w:rFonts w:eastAsia="仿宋_GB2312"/>
                <w:szCs w:val="21"/>
              </w:rPr>
              <w:t>5.9</w:t>
            </w:r>
          </w:p>
        </w:tc>
        <w:tc>
          <w:tcPr>
            <w:tcW w:w="565" w:type="dxa"/>
            <w:tcBorders>
              <w:tl2br w:val="nil"/>
              <w:tr2bl w:val="nil"/>
            </w:tcBorders>
            <w:vAlign w:val="center"/>
          </w:tcPr>
          <w:p>
            <w:pPr>
              <w:jc w:val="center"/>
              <w:rPr>
                <w:rFonts w:eastAsia="仿宋_GB2312"/>
                <w:szCs w:val="21"/>
              </w:rPr>
            </w:pPr>
            <w:r>
              <w:rPr>
                <w:rFonts w:eastAsia="仿宋_GB2312"/>
                <w:szCs w:val="21"/>
              </w:rPr>
              <w:t>3.0</w:t>
            </w:r>
          </w:p>
        </w:tc>
        <w:tc>
          <w:tcPr>
            <w:tcW w:w="392" w:type="dxa"/>
            <w:tcBorders>
              <w:tl2br w:val="nil"/>
              <w:tr2bl w:val="nil"/>
            </w:tcBorders>
            <w:vAlign w:val="center"/>
          </w:tcPr>
          <w:p>
            <w:pPr>
              <w:jc w:val="center"/>
              <w:rPr>
                <w:rFonts w:eastAsia="仿宋_GB2312"/>
                <w:szCs w:val="21"/>
              </w:rPr>
            </w:pPr>
            <w:r>
              <w:rPr>
                <w:rFonts w:eastAsia="仿宋_GB2312"/>
                <w:szCs w:val="21"/>
              </w:rPr>
              <w:t>1.4</w:t>
            </w:r>
          </w:p>
        </w:tc>
        <w:tc>
          <w:tcPr>
            <w:tcW w:w="587" w:type="dxa"/>
            <w:tcBorders>
              <w:tl2br w:val="nil"/>
              <w:tr2bl w:val="nil"/>
            </w:tcBorders>
            <w:vAlign w:val="center"/>
          </w:tcPr>
          <w:p>
            <w:pPr>
              <w:jc w:val="center"/>
              <w:rPr>
                <w:rFonts w:eastAsia="仿宋_GB2312"/>
                <w:szCs w:val="21"/>
              </w:rPr>
            </w:pPr>
            <w:r>
              <w:rPr>
                <w:rFonts w:eastAsia="仿宋_GB2312"/>
                <w:szCs w:val="21"/>
              </w:rPr>
              <w:t>1.1</w:t>
            </w:r>
          </w:p>
        </w:tc>
        <w:tc>
          <w:tcPr>
            <w:tcW w:w="567" w:type="dxa"/>
            <w:tcBorders>
              <w:tl2br w:val="nil"/>
              <w:tr2bl w:val="nil"/>
            </w:tcBorders>
            <w:vAlign w:val="center"/>
          </w:tcPr>
          <w:p>
            <w:pPr>
              <w:jc w:val="center"/>
              <w:rPr>
                <w:rFonts w:eastAsia="仿宋_GB2312"/>
                <w:szCs w:val="21"/>
              </w:rPr>
            </w:pPr>
            <w:r>
              <w:rPr>
                <w:rFonts w:eastAsia="仿宋_GB2312"/>
                <w:szCs w:val="21"/>
              </w:rPr>
              <w:t>1.8</w:t>
            </w:r>
          </w:p>
        </w:tc>
        <w:tc>
          <w:tcPr>
            <w:tcW w:w="709" w:type="dxa"/>
            <w:tcBorders>
              <w:tl2br w:val="nil"/>
              <w:tr2bl w:val="nil"/>
            </w:tcBorders>
            <w:vAlign w:val="center"/>
          </w:tcPr>
          <w:p>
            <w:pPr>
              <w:jc w:val="center"/>
              <w:rPr>
                <w:rFonts w:eastAsia="仿宋_GB2312"/>
                <w:szCs w:val="21"/>
              </w:rPr>
            </w:pPr>
            <w:r>
              <w:rPr>
                <w:rFonts w:eastAsia="仿宋_GB2312"/>
                <w:szCs w:val="21"/>
              </w:rPr>
              <w:t>1.6</w:t>
            </w:r>
          </w:p>
        </w:tc>
        <w:tc>
          <w:tcPr>
            <w:tcW w:w="425" w:type="dxa"/>
            <w:tcBorders>
              <w:tl2br w:val="nil"/>
              <w:tr2bl w:val="nil"/>
            </w:tcBorders>
            <w:vAlign w:val="center"/>
          </w:tcPr>
          <w:p>
            <w:pPr>
              <w:jc w:val="center"/>
              <w:rPr>
                <w:rFonts w:eastAsia="仿宋_GB2312"/>
                <w:szCs w:val="21"/>
              </w:rPr>
            </w:pPr>
            <w:r>
              <w:rPr>
                <w:rFonts w:eastAsia="仿宋_GB2312"/>
                <w:szCs w:val="21"/>
              </w:rPr>
              <w:t>2.5</w:t>
            </w:r>
          </w:p>
        </w:tc>
        <w:tc>
          <w:tcPr>
            <w:tcW w:w="709" w:type="dxa"/>
            <w:tcBorders>
              <w:tl2br w:val="nil"/>
              <w:tr2bl w:val="nil"/>
            </w:tcBorders>
            <w:vAlign w:val="center"/>
          </w:tcPr>
          <w:p>
            <w:pPr>
              <w:jc w:val="center"/>
              <w:rPr>
                <w:rFonts w:eastAsia="仿宋_GB2312"/>
                <w:szCs w:val="21"/>
              </w:rPr>
            </w:pPr>
            <w:r>
              <w:rPr>
                <w:rFonts w:eastAsia="仿宋_GB2312"/>
                <w:szCs w:val="21"/>
              </w:rPr>
              <w:t>2.6</w:t>
            </w:r>
          </w:p>
        </w:tc>
        <w:tc>
          <w:tcPr>
            <w:tcW w:w="567" w:type="dxa"/>
            <w:tcBorders>
              <w:tl2br w:val="nil"/>
              <w:tr2bl w:val="nil"/>
            </w:tcBorders>
            <w:vAlign w:val="center"/>
          </w:tcPr>
          <w:p>
            <w:pPr>
              <w:jc w:val="center"/>
              <w:rPr>
                <w:rFonts w:eastAsia="仿宋_GB2312"/>
                <w:szCs w:val="21"/>
              </w:rPr>
            </w:pPr>
            <w:r>
              <w:rPr>
                <w:rFonts w:eastAsia="仿宋_GB2312"/>
                <w:szCs w:val="21"/>
              </w:rPr>
              <w:t>5.0</w:t>
            </w:r>
          </w:p>
        </w:tc>
        <w:tc>
          <w:tcPr>
            <w:tcW w:w="709" w:type="dxa"/>
            <w:tcBorders>
              <w:tl2br w:val="nil"/>
              <w:tr2bl w:val="nil"/>
            </w:tcBorders>
            <w:vAlign w:val="center"/>
          </w:tcPr>
          <w:p>
            <w:pPr>
              <w:jc w:val="center"/>
              <w:rPr>
                <w:rFonts w:eastAsia="仿宋_GB2312"/>
                <w:szCs w:val="21"/>
              </w:rPr>
            </w:pPr>
            <w:r>
              <w:rPr>
                <w:rFonts w:eastAsia="仿宋_GB2312"/>
                <w:szCs w:val="21"/>
              </w:rPr>
              <w:t>5.0</w:t>
            </w:r>
          </w:p>
        </w:tc>
        <w:tc>
          <w:tcPr>
            <w:tcW w:w="459" w:type="dxa"/>
            <w:tcBorders>
              <w:tl2br w:val="nil"/>
              <w:tr2bl w:val="nil"/>
            </w:tcBorders>
            <w:vAlign w:val="center"/>
          </w:tcPr>
          <w:p>
            <w:pPr>
              <w:jc w:val="center"/>
              <w:rPr>
                <w:rFonts w:eastAsia="仿宋_GB2312"/>
                <w:szCs w:val="21"/>
              </w:rPr>
            </w:pPr>
            <w:r>
              <w:rPr>
                <w:rFonts w:eastAsia="仿宋_GB2312"/>
                <w:szCs w:val="21"/>
              </w:rPr>
              <w:t>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9" w:type="dxa"/>
            <w:tcBorders>
              <w:tl2br w:val="nil"/>
              <w:tr2bl w:val="nil"/>
            </w:tcBorders>
            <w:vAlign w:val="center"/>
          </w:tcPr>
          <w:p>
            <w:pPr>
              <w:jc w:val="center"/>
              <w:rPr>
                <w:rFonts w:eastAsia="仿宋_GB2312"/>
                <w:szCs w:val="21"/>
              </w:rPr>
            </w:pPr>
            <w:r>
              <w:rPr>
                <w:rFonts w:eastAsia="仿宋_GB2312"/>
                <w:szCs w:val="21"/>
              </w:rPr>
              <w:t>10</w:t>
            </w:r>
          </w:p>
        </w:tc>
        <w:tc>
          <w:tcPr>
            <w:tcW w:w="566" w:type="dxa"/>
            <w:tcBorders>
              <w:tl2br w:val="nil"/>
              <w:tr2bl w:val="nil"/>
            </w:tcBorders>
            <w:vAlign w:val="center"/>
          </w:tcPr>
          <w:p>
            <w:pPr>
              <w:jc w:val="center"/>
              <w:rPr>
                <w:rFonts w:eastAsia="仿宋_GB2312"/>
                <w:szCs w:val="21"/>
              </w:rPr>
            </w:pPr>
            <w:r>
              <w:rPr>
                <w:rFonts w:eastAsia="仿宋_GB2312"/>
                <w:szCs w:val="21"/>
              </w:rPr>
              <w:t>7.6</w:t>
            </w:r>
          </w:p>
        </w:tc>
        <w:tc>
          <w:tcPr>
            <w:tcW w:w="565" w:type="dxa"/>
            <w:tcBorders>
              <w:tl2br w:val="nil"/>
              <w:tr2bl w:val="nil"/>
            </w:tcBorders>
            <w:vAlign w:val="center"/>
          </w:tcPr>
          <w:p>
            <w:pPr>
              <w:jc w:val="center"/>
              <w:rPr>
                <w:rFonts w:eastAsia="仿宋_GB2312"/>
                <w:szCs w:val="21"/>
              </w:rPr>
            </w:pPr>
            <w:r>
              <w:rPr>
                <w:rFonts w:eastAsia="仿宋_GB2312"/>
                <w:szCs w:val="21"/>
              </w:rPr>
              <w:t>11.3</w:t>
            </w:r>
          </w:p>
        </w:tc>
        <w:tc>
          <w:tcPr>
            <w:tcW w:w="565" w:type="dxa"/>
            <w:tcBorders>
              <w:tl2br w:val="nil"/>
              <w:tr2bl w:val="nil"/>
            </w:tcBorders>
            <w:vAlign w:val="center"/>
          </w:tcPr>
          <w:p>
            <w:pPr>
              <w:jc w:val="center"/>
              <w:rPr>
                <w:rFonts w:eastAsia="仿宋_GB2312"/>
                <w:szCs w:val="21"/>
              </w:rPr>
            </w:pPr>
            <w:r>
              <w:rPr>
                <w:rFonts w:eastAsia="仿宋_GB2312"/>
                <w:szCs w:val="21"/>
              </w:rPr>
              <w:t>10.5</w:t>
            </w:r>
          </w:p>
        </w:tc>
        <w:tc>
          <w:tcPr>
            <w:tcW w:w="565" w:type="dxa"/>
            <w:tcBorders>
              <w:tl2br w:val="nil"/>
              <w:tr2bl w:val="nil"/>
            </w:tcBorders>
            <w:vAlign w:val="center"/>
          </w:tcPr>
          <w:p>
            <w:pPr>
              <w:jc w:val="center"/>
              <w:rPr>
                <w:rFonts w:eastAsia="仿宋_GB2312"/>
                <w:szCs w:val="21"/>
              </w:rPr>
            </w:pPr>
            <w:r>
              <w:rPr>
                <w:rFonts w:eastAsia="仿宋_GB2312"/>
                <w:szCs w:val="21"/>
              </w:rPr>
              <w:t>10.7</w:t>
            </w:r>
          </w:p>
        </w:tc>
        <w:tc>
          <w:tcPr>
            <w:tcW w:w="565" w:type="dxa"/>
            <w:tcBorders>
              <w:tl2br w:val="nil"/>
              <w:tr2bl w:val="nil"/>
            </w:tcBorders>
            <w:vAlign w:val="center"/>
          </w:tcPr>
          <w:p>
            <w:pPr>
              <w:jc w:val="center"/>
              <w:rPr>
                <w:rFonts w:eastAsia="仿宋_GB2312"/>
                <w:szCs w:val="21"/>
              </w:rPr>
            </w:pPr>
            <w:r>
              <w:rPr>
                <w:rFonts w:eastAsia="仿宋_GB2312"/>
                <w:szCs w:val="21"/>
              </w:rPr>
              <w:t>10.7</w:t>
            </w:r>
          </w:p>
        </w:tc>
        <w:tc>
          <w:tcPr>
            <w:tcW w:w="565" w:type="dxa"/>
            <w:tcBorders>
              <w:tl2br w:val="nil"/>
              <w:tr2bl w:val="nil"/>
            </w:tcBorders>
            <w:vAlign w:val="center"/>
          </w:tcPr>
          <w:p>
            <w:pPr>
              <w:jc w:val="center"/>
              <w:rPr>
                <w:rFonts w:eastAsia="仿宋_GB2312"/>
                <w:szCs w:val="21"/>
              </w:rPr>
            </w:pPr>
            <w:r>
              <w:rPr>
                <w:rFonts w:eastAsia="仿宋_GB2312"/>
                <w:szCs w:val="21"/>
              </w:rPr>
              <w:t>9.7</w:t>
            </w:r>
          </w:p>
        </w:tc>
        <w:tc>
          <w:tcPr>
            <w:tcW w:w="565" w:type="dxa"/>
            <w:tcBorders>
              <w:tl2br w:val="nil"/>
              <w:tr2bl w:val="nil"/>
            </w:tcBorders>
            <w:vAlign w:val="center"/>
          </w:tcPr>
          <w:p>
            <w:pPr>
              <w:jc w:val="center"/>
              <w:rPr>
                <w:rFonts w:eastAsia="仿宋_GB2312"/>
                <w:szCs w:val="21"/>
              </w:rPr>
            </w:pPr>
            <w:r>
              <w:rPr>
                <w:rFonts w:eastAsia="仿宋_GB2312"/>
                <w:szCs w:val="21"/>
              </w:rPr>
              <w:t>5.8</w:t>
            </w:r>
          </w:p>
        </w:tc>
        <w:tc>
          <w:tcPr>
            <w:tcW w:w="565" w:type="dxa"/>
            <w:tcBorders>
              <w:tl2br w:val="nil"/>
              <w:tr2bl w:val="nil"/>
            </w:tcBorders>
            <w:vAlign w:val="center"/>
          </w:tcPr>
          <w:p>
            <w:pPr>
              <w:jc w:val="center"/>
              <w:rPr>
                <w:rFonts w:eastAsia="仿宋_GB2312"/>
                <w:szCs w:val="21"/>
              </w:rPr>
            </w:pPr>
            <w:r>
              <w:rPr>
                <w:rFonts w:eastAsia="仿宋_GB2312"/>
                <w:szCs w:val="21"/>
              </w:rPr>
              <w:t>3.0</w:t>
            </w:r>
          </w:p>
        </w:tc>
        <w:tc>
          <w:tcPr>
            <w:tcW w:w="392" w:type="dxa"/>
            <w:tcBorders>
              <w:tl2br w:val="nil"/>
              <w:tr2bl w:val="nil"/>
            </w:tcBorders>
            <w:vAlign w:val="center"/>
          </w:tcPr>
          <w:p>
            <w:pPr>
              <w:jc w:val="center"/>
              <w:rPr>
                <w:rFonts w:eastAsia="仿宋_GB2312"/>
                <w:szCs w:val="21"/>
              </w:rPr>
            </w:pPr>
            <w:r>
              <w:rPr>
                <w:rFonts w:eastAsia="仿宋_GB2312"/>
                <w:szCs w:val="21"/>
              </w:rPr>
              <w:t>1.1</w:t>
            </w:r>
          </w:p>
        </w:tc>
        <w:tc>
          <w:tcPr>
            <w:tcW w:w="587" w:type="dxa"/>
            <w:tcBorders>
              <w:tl2br w:val="nil"/>
              <w:tr2bl w:val="nil"/>
            </w:tcBorders>
            <w:vAlign w:val="center"/>
          </w:tcPr>
          <w:p>
            <w:pPr>
              <w:jc w:val="center"/>
              <w:rPr>
                <w:rFonts w:eastAsia="仿宋_GB2312"/>
                <w:szCs w:val="21"/>
              </w:rPr>
            </w:pPr>
            <w:r>
              <w:rPr>
                <w:rFonts w:eastAsia="仿宋_GB2312"/>
                <w:szCs w:val="21"/>
              </w:rPr>
              <w:t>0.9</w:t>
            </w:r>
          </w:p>
        </w:tc>
        <w:tc>
          <w:tcPr>
            <w:tcW w:w="567" w:type="dxa"/>
            <w:tcBorders>
              <w:tl2br w:val="nil"/>
              <w:tr2bl w:val="nil"/>
            </w:tcBorders>
            <w:vAlign w:val="center"/>
          </w:tcPr>
          <w:p>
            <w:pPr>
              <w:jc w:val="center"/>
              <w:rPr>
                <w:rFonts w:eastAsia="仿宋_GB2312"/>
                <w:szCs w:val="21"/>
              </w:rPr>
            </w:pPr>
            <w:r>
              <w:rPr>
                <w:rFonts w:eastAsia="仿宋_GB2312"/>
                <w:szCs w:val="21"/>
              </w:rPr>
              <w:t>2.3</w:t>
            </w:r>
          </w:p>
        </w:tc>
        <w:tc>
          <w:tcPr>
            <w:tcW w:w="709" w:type="dxa"/>
            <w:tcBorders>
              <w:tl2br w:val="nil"/>
              <w:tr2bl w:val="nil"/>
            </w:tcBorders>
            <w:vAlign w:val="center"/>
          </w:tcPr>
          <w:p>
            <w:pPr>
              <w:jc w:val="center"/>
              <w:rPr>
                <w:rFonts w:eastAsia="仿宋_GB2312"/>
                <w:szCs w:val="21"/>
              </w:rPr>
            </w:pPr>
            <w:r>
              <w:rPr>
                <w:rFonts w:eastAsia="仿宋_GB2312"/>
                <w:szCs w:val="21"/>
              </w:rPr>
              <w:t>2.8</w:t>
            </w:r>
          </w:p>
        </w:tc>
        <w:tc>
          <w:tcPr>
            <w:tcW w:w="425" w:type="dxa"/>
            <w:tcBorders>
              <w:tl2br w:val="nil"/>
              <w:tr2bl w:val="nil"/>
            </w:tcBorders>
            <w:vAlign w:val="center"/>
          </w:tcPr>
          <w:p>
            <w:pPr>
              <w:jc w:val="center"/>
              <w:rPr>
                <w:rFonts w:eastAsia="仿宋_GB2312"/>
                <w:szCs w:val="21"/>
              </w:rPr>
            </w:pPr>
            <w:r>
              <w:rPr>
                <w:rFonts w:eastAsia="仿宋_GB2312"/>
                <w:szCs w:val="21"/>
              </w:rPr>
              <w:t>2.9</w:t>
            </w:r>
          </w:p>
        </w:tc>
        <w:tc>
          <w:tcPr>
            <w:tcW w:w="709" w:type="dxa"/>
            <w:tcBorders>
              <w:tl2br w:val="nil"/>
              <w:tr2bl w:val="nil"/>
            </w:tcBorders>
            <w:vAlign w:val="center"/>
          </w:tcPr>
          <w:p>
            <w:pPr>
              <w:jc w:val="center"/>
              <w:rPr>
                <w:rFonts w:eastAsia="仿宋_GB2312"/>
                <w:szCs w:val="21"/>
              </w:rPr>
            </w:pPr>
            <w:r>
              <w:rPr>
                <w:rFonts w:eastAsia="仿宋_GB2312"/>
                <w:szCs w:val="21"/>
              </w:rPr>
              <w:t>3.6</w:t>
            </w:r>
          </w:p>
        </w:tc>
        <w:tc>
          <w:tcPr>
            <w:tcW w:w="567" w:type="dxa"/>
            <w:tcBorders>
              <w:tl2br w:val="nil"/>
              <w:tr2bl w:val="nil"/>
            </w:tcBorders>
            <w:vAlign w:val="center"/>
          </w:tcPr>
          <w:p>
            <w:pPr>
              <w:jc w:val="center"/>
              <w:rPr>
                <w:rFonts w:eastAsia="仿宋_GB2312"/>
                <w:szCs w:val="21"/>
              </w:rPr>
            </w:pPr>
            <w:r>
              <w:rPr>
                <w:rFonts w:eastAsia="仿宋_GB2312"/>
                <w:szCs w:val="21"/>
              </w:rPr>
              <w:t>4.9</w:t>
            </w:r>
          </w:p>
        </w:tc>
        <w:tc>
          <w:tcPr>
            <w:tcW w:w="709" w:type="dxa"/>
            <w:tcBorders>
              <w:tl2br w:val="nil"/>
              <w:tr2bl w:val="nil"/>
            </w:tcBorders>
            <w:vAlign w:val="center"/>
          </w:tcPr>
          <w:p>
            <w:pPr>
              <w:jc w:val="center"/>
              <w:rPr>
                <w:rFonts w:eastAsia="仿宋_GB2312"/>
                <w:szCs w:val="21"/>
              </w:rPr>
            </w:pPr>
            <w:r>
              <w:rPr>
                <w:rFonts w:eastAsia="仿宋_GB2312"/>
                <w:szCs w:val="21"/>
              </w:rPr>
              <w:t>4.9</w:t>
            </w:r>
          </w:p>
        </w:tc>
        <w:tc>
          <w:tcPr>
            <w:tcW w:w="459" w:type="dxa"/>
            <w:tcBorders>
              <w:tl2br w:val="nil"/>
              <w:tr2bl w:val="nil"/>
            </w:tcBorders>
            <w:vAlign w:val="center"/>
          </w:tcPr>
          <w:p>
            <w:pPr>
              <w:jc w:val="center"/>
              <w:rPr>
                <w:rFonts w:eastAsia="仿宋_GB2312"/>
                <w:szCs w:val="21"/>
              </w:rPr>
            </w:pPr>
            <w:r>
              <w:rPr>
                <w:rFonts w:eastAsia="仿宋_GB2312"/>
                <w:szCs w:val="21"/>
              </w:rP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9" w:type="dxa"/>
            <w:tcBorders>
              <w:tl2br w:val="nil"/>
              <w:tr2bl w:val="nil"/>
            </w:tcBorders>
            <w:vAlign w:val="center"/>
          </w:tcPr>
          <w:p>
            <w:pPr>
              <w:jc w:val="center"/>
              <w:rPr>
                <w:rFonts w:eastAsia="仿宋_GB2312"/>
                <w:szCs w:val="21"/>
              </w:rPr>
            </w:pPr>
            <w:r>
              <w:rPr>
                <w:rFonts w:eastAsia="仿宋_GB2312"/>
                <w:szCs w:val="21"/>
              </w:rPr>
              <w:t>11</w:t>
            </w:r>
          </w:p>
        </w:tc>
        <w:tc>
          <w:tcPr>
            <w:tcW w:w="566" w:type="dxa"/>
            <w:tcBorders>
              <w:tl2br w:val="nil"/>
              <w:tr2bl w:val="nil"/>
            </w:tcBorders>
            <w:vAlign w:val="center"/>
          </w:tcPr>
          <w:p>
            <w:pPr>
              <w:jc w:val="center"/>
              <w:rPr>
                <w:rFonts w:eastAsia="仿宋_GB2312"/>
                <w:szCs w:val="21"/>
              </w:rPr>
            </w:pPr>
            <w:r>
              <w:rPr>
                <w:rFonts w:eastAsia="仿宋_GB2312"/>
                <w:szCs w:val="21"/>
              </w:rPr>
              <w:t>6.9</w:t>
            </w:r>
          </w:p>
        </w:tc>
        <w:tc>
          <w:tcPr>
            <w:tcW w:w="565" w:type="dxa"/>
            <w:tcBorders>
              <w:tl2br w:val="nil"/>
              <w:tr2bl w:val="nil"/>
            </w:tcBorders>
            <w:vAlign w:val="center"/>
          </w:tcPr>
          <w:p>
            <w:pPr>
              <w:jc w:val="center"/>
              <w:rPr>
                <w:rFonts w:eastAsia="仿宋_GB2312"/>
                <w:szCs w:val="21"/>
              </w:rPr>
            </w:pPr>
            <w:r>
              <w:rPr>
                <w:rFonts w:eastAsia="仿宋_GB2312"/>
                <w:szCs w:val="21"/>
              </w:rPr>
              <w:t>9.2</w:t>
            </w:r>
          </w:p>
        </w:tc>
        <w:tc>
          <w:tcPr>
            <w:tcW w:w="565" w:type="dxa"/>
            <w:tcBorders>
              <w:tl2br w:val="nil"/>
              <w:tr2bl w:val="nil"/>
            </w:tcBorders>
            <w:vAlign w:val="center"/>
          </w:tcPr>
          <w:p>
            <w:pPr>
              <w:jc w:val="center"/>
              <w:rPr>
                <w:rFonts w:eastAsia="仿宋_GB2312"/>
                <w:szCs w:val="21"/>
              </w:rPr>
            </w:pPr>
            <w:r>
              <w:rPr>
                <w:rFonts w:eastAsia="仿宋_GB2312"/>
                <w:szCs w:val="21"/>
              </w:rPr>
              <w:t>7.9</w:t>
            </w:r>
          </w:p>
        </w:tc>
        <w:tc>
          <w:tcPr>
            <w:tcW w:w="565" w:type="dxa"/>
            <w:tcBorders>
              <w:tl2br w:val="nil"/>
              <w:tr2bl w:val="nil"/>
            </w:tcBorders>
            <w:vAlign w:val="center"/>
          </w:tcPr>
          <w:p>
            <w:pPr>
              <w:jc w:val="center"/>
              <w:rPr>
                <w:rFonts w:eastAsia="仿宋_GB2312"/>
                <w:szCs w:val="21"/>
              </w:rPr>
            </w:pPr>
            <w:r>
              <w:rPr>
                <w:rFonts w:eastAsia="仿宋_GB2312"/>
                <w:szCs w:val="21"/>
              </w:rPr>
              <w:t>8.1</w:t>
            </w:r>
          </w:p>
        </w:tc>
        <w:tc>
          <w:tcPr>
            <w:tcW w:w="565" w:type="dxa"/>
            <w:tcBorders>
              <w:tl2br w:val="nil"/>
              <w:tr2bl w:val="nil"/>
            </w:tcBorders>
            <w:vAlign w:val="center"/>
          </w:tcPr>
          <w:p>
            <w:pPr>
              <w:jc w:val="center"/>
              <w:rPr>
                <w:rFonts w:eastAsia="仿宋_GB2312"/>
                <w:szCs w:val="21"/>
              </w:rPr>
            </w:pPr>
            <w:r>
              <w:rPr>
                <w:rFonts w:eastAsia="仿宋_GB2312"/>
                <w:szCs w:val="21"/>
              </w:rPr>
              <w:t>8.1</w:t>
            </w:r>
          </w:p>
        </w:tc>
        <w:tc>
          <w:tcPr>
            <w:tcW w:w="565" w:type="dxa"/>
            <w:tcBorders>
              <w:tl2br w:val="nil"/>
              <w:tr2bl w:val="nil"/>
            </w:tcBorders>
            <w:vAlign w:val="center"/>
          </w:tcPr>
          <w:p>
            <w:pPr>
              <w:jc w:val="center"/>
              <w:rPr>
                <w:rFonts w:eastAsia="仿宋_GB2312"/>
                <w:szCs w:val="21"/>
              </w:rPr>
            </w:pPr>
            <w:r>
              <w:rPr>
                <w:rFonts w:eastAsia="仿宋_GB2312"/>
                <w:szCs w:val="21"/>
              </w:rPr>
              <w:t>9.2</w:t>
            </w:r>
          </w:p>
        </w:tc>
        <w:tc>
          <w:tcPr>
            <w:tcW w:w="565" w:type="dxa"/>
            <w:tcBorders>
              <w:tl2br w:val="nil"/>
              <w:tr2bl w:val="nil"/>
            </w:tcBorders>
            <w:vAlign w:val="center"/>
          </w:tcPr>
          <w:p>
            <w:pPr>
              <w:jc w:val="center"/>
              <w:rPr>
                <w:rFonts w:eastAsia="仿宋_GB2312"/>
                <w:szCs w:val="21"/>
              </w:rPr>
            </w:pPr>
            <w:r>
              <w:rPr>
                <w:rFonts w:eastAsia="仿宋_GB2312"/>
                <w:szCs w:val="21"/>
              </w:rPr>
              <w:t>5.8</w:t>
            </w:r>
          </w:p>
        </w:tc>
        <w:tc>
          <w:tcPr>
            <w:tcW w:w="565" w:type="dxa"/>
            <w:tcBorders>
              <w:tl2br w:val="nil"/>
              <w:tr2bl w:val="nil"/>
            </w:tcBorders>
            <w:vAlign w:val="center"/>
          </w:tcPr>
          <w:p>
            <w:pPr>
              <w:jc w:val="center"/>
              <w:rPr>
                <w:rFonts w:eastAsia="仿宋_GB2312"/>
                <w:szCs w:val="21"/>
              </w:rPr>
            </w:pPr>
            <w:r>
              <w:rPr>
                <w:rFonts w:eastAsia="仿宋_GB2312"/>
                <w:szCs w:val="21"/>
              </w:rPr>
              <w:t>2.9</w:t>
            </w:r>
          </w:p>
        </w:tc>
        <w:tc>
          <w:tcPr>
            <w:tcW w:w="392" w:type="dxa"/>
            <w:tcBorders>
              <w:tl2br w:val="nil"/>
              <w:tr2bl w:val="nil"/>
            </w:tcBorders>
            <w:vAlign w:val="center"/>
          </w:tcPr>
          <w:p>
            <w:pPr>
              <w:jc w:val="center"/>
              <w:rPr>
                <w:rFonts w:eastAsia="仿宋_GB2312"/>
                <w:szCs w:val="21"/>
              </w:rPr>
            </w:pPr>
            <w:r>
              <w:rPr>
                <w:rFonts w:eastAsia="仿宋_GB2312"/>
                <w:szCs w:val="21"/>
              </w:rPr>
              <w:t>2.3</w:t>
            </w:r>
          </w:p>
        </w:tc>
        <w:tc>
          <w:tcPr>
            <w:tcW w:w="587" w:type="dxa"/>
            <w:tcBorders>
              <w:tl2br w:val="nil"/>
              <w:tr2bl w:val="nil"/>
            </w:tcBorders>
            <w:vAlign w:val="center"/>
          </w:tcPr>
          <w:p>
            <w:pPr>
              <w:jc w:val="center"/>
              <w:rPr>
                <w:rFonts w:eastAsia="仿宋_GB2312"/>
                <w:szCs w:val="21"/>
              </w:rPr>
            </w:pPr>
            <w:r>
              <w:rPr>
                <w:rFonts w:eastAsia="仿宋_GB2312"/>
                <w:szCs w:val="21"/>
              </w:rPr>
              <w:t>2.2</w:t>
            </w:r>
          </w:p>
        </w:tc>
        <w:tc>
          <w:tcPr>
            <w:tcW w:w="567" w:type="dxa"/>
            <w:tcBorders>
              <w:tl2br w:val="nil"/>
              <w:tr2bl w:val="nil"/>
            </w:tcBorders>
            <w:vAlign w:val="center"/>
          </w:tcPr>
          <w:p>
            <w:pPr>
              <w:jc w:val="center"/>
              <w:rPr>
                <w:rFonts w:eastAsia="仿宋_GB2312"/>
                <w:szCs w:val="21"/>
              </w:rPr>
            </w:pPr>
            <w:r>
              <w:rPr>
                <w:rFonts w:eastAsia="仿宋_GB2312"/>
                <w:szCs w:val="21"/>
              </w:rPr>
              <w:t>4.0</w:t>
            </w:r>
          </w:p>
        </w:tc>
        <w:tc>
          <w:tcPr>
            <w:tcW w:w="709" w:type="dxa"/>
            <w:tcBorders>
              <w:tl2br w:val="nil"/>
              <w:tr2bl w:val="nil"/>
            </w:tcBorders>
            <w:vAlign w:val="center"/>
          </w:tcPr>
          <w:p>
            <w:pPr>
              <w:jc w:val="center"/>
              <w:rPr>
                <w:rFonts w:eastAsia="仿宋_GB2312"/>
                <w:szCs w:val="21"/>
              </w:rPr>
            </w:pPr>
            <w:r>
              <w:rPr>
                <w:rFonts w:eastAsia="仿宋_GB2312"/>
                <w:szCs w:val="21"/>
              </w:rPr>
              <w:t>4.1</w:t>
            </w:r>
          </w:p>
        </w:tc>
        <w:tc>
          <w:tcPr>
            <w:tcW w:w="425" w:type="dxa"/>
            <w:tcBorders>
              <w:tl2br w:val="nil"/>
              <w:tr2bl w:val="nil"/>
            </w:tcBorders>
            <w:vAlign w:val="center"/>
          </w:tcPr>
          <w:p>
            <w:pPr>
              <w:jc w:val="center"/>
              <w:rPr>
                <w:rFonts w:eastAsia="仿宋_GB2312"/>
                <w:szCs w:val="21"/>
              </w:rPr>
            </w:pPr>
            <w:r>
              <w:rPr>
                <w:rFonts w:eastAsia="仿宋_GB2312"/>
                <w:szCs w:val="21"/>
              </w:rPr>
              <w:t>4.3</w:t>
            </w:r>
          </w:p>
        </w:tc>
        <w:tc>
          <w:tcPr>
            <w:tcW w:w="709" w:type="dxa"/>
            <w:tcBorders>
              <w:tl2br w:val="nil"/>
              <w:tr2bl w:val="nil"/>
            </w:tcBorders>
            <w:vAlign w:val="center"/>
          </w:tcPr>
          <w:p>
            <w:pPr>
              <w:jc w:val="center"/>
              <w:rPr>
                <w:rFonts w:eastAsia="仿宋_GB2312"/>
                <w:szCs w:val="21"/>
              </w:rPr>
            </w:pPr>
            <w:r>
              <w:rPr>
                <w:rFonts w:eastAsia="仿宋_GB2312"/>
                <w:szCs w:val="21"/>
              </w:rPr>
              <w:t>6.0</w:t>
            </w:r>
          </w:p>
        </w:tc>
        <w:tc>
          <w:tcPr>
            <w:tcW w:w="567" w:type="dxa"/>
            <w:tcBorders>
              <w:tl2br w:val="nil"/>
              <w:tr2bl w:val="nil"/>
            </w:tcBorders>
            <w:vAlign w:val="center"/>
          </w:tcPr>
          <w:p>
            <w:pPr>
              <w:jc w:val="center"/>
              <w:rPr>
                <w:rFonts w:eastAsia="仿宋_GB2312"/>
                <w:szCs w:val="21"/>
              </w:rPr>
            </w:pPr>
            <w:r>
              <w:rPr>
                <w:rFonts w:eastAsia="仿宋_GB2312"/>
                <w:szCs w:val="21"/>
              </w:rPr>
              <w:t>7.2</w:t>
            </w:r>
          </w:p>
        </w:tc>
        <w:tc>
          <w:tcPr>
            <w:tcW w:w="709" w:type="dxa"/>
            <w:tcBorders>
              <w:tl2br w:val="nil"/>
              <w:tr2bl w:val="nil"/>
            </w:tcBorders>
            <w:vAlign w:val="center"/>
          </w:tcPr>
          <w:p>
            <w:pPr>
              <w:jc w:val="center"/>
              <w:rPr>
                <w:rFonts w:eastAsia="仿宋_GB2312"/>
                <w:szCs w:val="21"/>
              </w:rPr>
            </w:pPr>
            <w:r>
              <w:rPr>
                <w:rFonts w:eastAsia="仿宋_GB2312"/>
                <w:szCs w:val="21"/>
              </w:rPr>
              <w:t>7.2</w:t>
            </w:r>
          </w:p>
        </w:tc>
        <w:tc>
          <w:tcPr>
            <w:tcW w:w="459" w:type="dxa"/>
            <w:tcBorders>
              <w:tl2br w:val="nil"/>
              <w:tr2bl w:val="nil"/>
            </w:tcBorders>
            <w:vAlign w:val="center"/>
          </w:tcPr>
          <w:p>
            <w:pPr>
              <w:jc w:val="center"/>
              <w:rPr>
                <w:rFonts w:eastAsia="仿宋_GB2312"/>
                <w:szCs w:val="21"/>
              </w:rPr>
            </w:pPr>
            <w:r>
              <w:rPr>
                <w:rFonts w:eastAsia="仿宋_GB2312"/>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9" w:type="dxa"/>
            <w:tcBorders>
              <w:tl2br w:val="nil"/>
              <w:tr2bl w:val="nil"/>
            </w:tcBorders>
            <w:vAlign w:val="center"/>
          </w:tcPr>
          <w:p>
            <w:pPr>
              <w:jc w:val="center"/>
              <w:rPr>
                <w:rFonts w:eastAsia="仿宋_GB2312"/>
                <w:szCs w:val="21"/>
              </w:rPr>
            </w:pPr>
            <w:r>
              <w:rPr>
                <w:rFonts w:eastAsia="仿宋_GB2312"/>
                <w:szCs w:val="21"/>
              </w:rPr>
              <w:t>12</w:t>
            </w:r>
          </w:p>
        </w:tc>
        <w:tc>
          <w:tcPr>
            <w:tcW w:w="566" w:type="dxa"/>
            <w:tcBorders>
              <w:tl2br w:val="nil"/>
              <w:tr2bl w:val="nil"/>
            </w:tcBorders>
            <w:vAlign w:val="center"/>
          </w:tcPr>
          <w:p>
            <w:pPr>
              <w:jc w:val="center"/>
              <w:rPr>
                <w:rFonts w:eastAsia="仿宋_GB2312"/>
                <w:szCs w:val="21"/>
              </w:rPr>
            </w:pPr>
            <w:r>
              <w:rPr>
                <w:rFonts w:eastAsia="仿宋_GB2312"/>
                <w:szCs w:val="21"/>
              </w:rPr>
              <w:t>7.5</w:t>
            </w:r>
          </w:p>
        </w:tc>
        <w:tc>
          <w:tcPr>
            <w:tcW w:w="565" w:type="dxa"/>
            <w:tcBorders>
              <w:tl2br w:val="nil"/>
              <w:tr2bl w:val="nil"/>
            </w:tcBorders>
            <w:vAlign w:val="center"/>
          </w:tcPr>
          <w:p>
            <w:pPr>
              <w:jc w:val="center"/>
              <w:rPr>
                <w:rFonts w:eastAsia="仿宋_GB2312"/>
                <w:szCs w:val="21"/>
              </w:rPr>
            </w:pPr>
            <w:r>
              <w:rPr>
                <w:rFonts w:eastAsia="仿宋_GB2312"/>
                <w:szCs w:val="21"/>
              </w:rPr>
              <w:t>8.7</w:t>
            </w:r>
          </w:p>
        </w:tc>
        <w:tc>
          <w:tcPr>
            <w:tcW w:w="565" w:type="dxa"/>
            <w:tcBorders>
              <w:tl2br w:val="nil"/>
              <w:tr2bl w:val="nil"/>
            </w:tcBorders>
            <w:vAlign w:val="center"/>
          </w:tcPr>
          <w:p>
            <w:pPr>
              <w:jc w:val="center"/>
              <w:rPr>
                <w:rFonts w:eastAsia="仿宋_GB2312"/>
                <w:szCs w:val="21"/>
              </w:rPr>
            </w:pPr>
            <w:r>
              <w:rPr>
                <w:rFonts w:eastAsia="仿宋_GB2312"/>
                <w:szCs w:val="21"/>
              </w:rPr>
              <w:t>7.5</w:t>
            </w:r>
          </w:p>
        </w:tc>
        <w:tc>
          <w:tcPr>
            <w:tcW w:w="565" w:type="dxa"/>
            <w:tcBorders>
              <w:tl2br w:val="nil"/>
              <w:tr2bl w:val="nil"/>
            </w:tcBorders>
            <w:vAlign w:val="center"/>
          </w:tcPr>
          <w:p>
            <w:pPr>
              <w:jc w:val="center"/>
              <w:rPr>
                <w:rFonts w:eastAsia="仿宋_GB2312"/>
                <w:szCs w:val="21"/>
              </w:rPr>
            </w:pPr>
            <w:r>
              <w:rPr>
                <w:rFonts w:eastAsia="仿宋_GB2312"/>
                <w:szCs w:val="21"/>
              </w:rPr>
              <w:t>6.7</w:t>
            </w:r>
          </w:p>
        </w:tc>
        <w:tc>
          <w:tcPr>
            <w:tcW w:w="565" w:type="dxa"/>
            <w:tcBorders>
              <w:tl2br w:val="nil"/>
              <w:tr2bl w:val="nil"/>
            </w:tcBorders>
            <w:vAlign w:val="center"/>
          </w:tcPr>
          <w:p>
            <w:pPr>
              <w:jc w:val="center"/>
              <w:rPr>
                <w:rFonts w:eastAsia="仿宋_GB2312"/>
                <w:szCs w:val="21"/>
              </w:rPr>
            </w:pPr>
            <w:r>
              <w:rPr>
                <w:rFonts w:eastAsia="仿宋_GB2312"/>
                <w:szCs w:val="21"/>
              </w:rPr>
              <w:t>6.7</w:t>
            </w:r>
          </w:p>
        </w:tc>
        <w:tc>
          <w:tcPr>
            <w:tcW w:w="565" w:type="dxa"/>
            <w:tcBorders>
              <w:tl2br w:val="nil"/>
              <w:tr2bl w:val="nil"/>
            </w:tcBorders>
            <w:vAlign w:val="center"/>
          </w:tcPr>
          <w:p>
            <w:pPr>
              <w:jc w:val="center"/>
              <w:rPr>
                <w:rFonts w:eastAsia="仿宋_GB2312"/>
                <w:szCs w:val="21"/>
              </w:rPr>
            </w:pPr>
            <w:r>
              <w:rPr>
                <w:rFonts w:eastAsia="仿宋_GB2312"/>
                <w:szCs w:val="21"/>
              </w:rPr>
              <w:t>6.4</w:t>
            </w:r>
          </w:p>
        </w:tc>
        <w:tc>
          <w:tcPr>
            <w:tcW w:w="565" w:type="dxa"/>
            <w:tcBorders>
              <w:tl2br w:val="nil"/>
              <w:tr2bl w:val="nil"/>
            </w:tcBorders>
            <w:vAlign w:val="center"/>
          </w:tcPr>
          <w:p>
            <w:pPr>
              <w:jc w:val="center"/>
              <w:rPr>
                <w:rFonts w:eastAsia="仿宋_GB2312"/>
                <w:szCs w:val="21"/>
              </w:rPr>
            </w:pPr>
            <w:r>
              <w:rPr>
                <w:rFonts w:eastAsia="仿宋_GB2312"/>
                <w:szCs w:val="21"/>
              </w:rPr>
              <w:t>4.6</w:t>
            </w:r>
          </w:p>
        </w:tc>
        <w:tc>
          <w:tcPr>
            <w:tcW w:w="565" w:type="dxa"/>
            <w:tcBorders>
              <w:tl2br w:val="nil"/>
              <w:tr2bl w:val="nil"/>
            </w:tcBorders>
            <w:vAlign w:val="center"/>
          </w:tcPr>
          <w:p>
            <w:pPr>
              <w:jc w:val="center"/>
              <w:rPr>
                <w:rFonts w:eastAsia="仿宋_GB2312"/>
                <w:szCs w:val="21"/>
              </w:rPr>
            </w:pPr>
            <w:r>
              <w:rPr>
                <w:rFonts w:eastAsia="仿宋_GB2312"/>
                <w:szCs w:val="21"/>
              </w:rPr>
              <w:t>1.6</w:t>
            </w:r>
          </w:p>
        </w:tc>
        <w:tc>
          <w:tcPr>
            <w:tcW w:w="392" w:type="dxa"/>
            <w:tcBorders>
              <w:tl2br w:val="nil"/>
              <w:tr2bl w:val="nil"/>
            </w:tcBorders>
            <w:vAlign w:val="center"/>
          </w:tcPr>
          <w:p>
            <w:pPr>
              <w:jc w:val="center"/>
              <w:rPr>
                <w:rFonts w:eastAsia="仿宋_GB2312"/>
                <w:szCs w:val="21"/>
              </w:rPr>
            </w:pPr>
            <w:r>
              <w:rPr>
                <w:rFonts w:eastAsia="仿宋_GB2312"/>
                <w:szCs w:val="21"/>
              </w:rPr>
              <w:t>1.9</w:t>
            </w:r>
          </w:p>
        </w:tc>
        <w:tc>
          <w:tcPr>
            <w:tcW w:w="587" w:type="dxa"/>
            <w:tcBorders>
              <w:tl2br w:val="nil"/>
              <w:tr2bl w:val="nil"/>
            </w:tcBorders>
            <w:vAlign w:val="center"/>
          </w:tcPr>
          <w:p>
            <w:pPr>
              <w:jc w:val="center"/>
              <w:rPr>
                <w:rFonts w:eastAsia="仿宋_GB2312"/>
                <w:szCs w:val="21"/>
              </w:rPr>
            </w:pPr>
            <w:r>
              <w:rPr>
                <w:rFonts w:eastAsia="仿宋_GB2312"/>
                <w:szCs w:val="21"/>
              </w:rPr>
              <w:t>2.0</w:t>
            </w:r>
          </w:p>
        </w:tc>
        <w:tc>
          <w:tcPr>
            <w:tcW w:w="567" w:type="dxa"/>
            <w:tcBorders>
              <w:tl2br w:val="nil"/>
              <w:tr2bl w:val="nil"/>
            </w:tcBorders>
            <w:vAlign w:val="center"/>
          </w:tcPr>
          <w:p>
            <w:pPr>
              <w:jc w:val="center"/>
              <w:rPr>
                <w:rFonts w:eastAsia="仿宋_GB2312"/>
                <w:szCs w:val="21"/>
              </w:rPr>
            </w:pPr>
            <w:r>
              <w:rPr>
                <w:rFonts w:eastAsia="仿宋_GB2312"/>
                <w:szCs w:val="21"/>
              </w:rPr>
              <w:t>4.5</w:t>
            </w:r>
          </w:p>
        </w:tc>
        <w:tc>
          <w:tcPr>
            <w:tcW w:w="709" w:type="dxa"/>
            <w:tcBorders>
              <w:tl2br w:val="nil"/>
              <w:tr2bl w:val="nil"/>
            </w:tcBorders>
            <w:vAlign w:val="center"/>
          </w:tcPr>
          <w:p>
            <w:pPr>
              <w:jc w:val="center"/>
              <w:rPr>
                <w:rFonts w:eastAsia="仿宋_GB2312"/>
                <w:szCs w:val="21"/>
              </w:rPr>
            </w:pPr>
            <w:r>
              <w:rPr>
                <w:rFonts w:eastAsia="仿宋_GB2312"/>
                <w:szCs w:val="21"/>
              </w:rPr>
              <w:t>4.7</w:t>
            </w:r>
          </w:p>
        </w:tc>
        <w:tc>
          <w:tcPr>
            <w:tcW w:w="425" w:type="dxa"/>
            <w:tcBorders>
              <w:tl2br w:val="nil"/>
              <w:tr2bl w:val="nil"/>
            </w:tcBorders>
            <w:vAlign w:val="center"/>
          </w:tcPr>
          <w:p>
            <w:pPr>
              <w:jc w:val="center"/>
              <w:rPr>
                <w:rFonts w:eastAsia="仿宋_GB2312"/>
                <w:szCs w:val="21"/>
              </w:rPr>
            </w:pPr>
            <w:r>
              <w:rPr>
                <w:rFonts w:eastAsia="仿宋_GB2312"/>
                <w:szCs w:val="21"/>
              </w:rPr>
              <w:t>6.4</w:t>
            </w:r>
          </w:p>
        </w:tc>
        <w:tc>
          <w:tcPr>
            <w:tcW w:w="709" w:type="dxa"/>
            <w:tcBorders>
              <w:tl2br w:val="nil"/>
              <w:tr2bl w:val="nil"/>
            </w:tcBorders>
            <w:vAlign w:val="center"/>
          </w:tcPr>
          <w:p>
            <w:pPr>
              <w:jc w:val="center"/>
              <w:rPr>
                <w:rFonts w:eastAsia="仿宋_GB2312"/>
                <w:szCs w:val="21"/>
              </w:rPr>
            </w:pPr>
            <w:r>
              <w:rPr>
                <w:rFonts w:eastAsia="仿宋_GB2312"/>
                <w:szCs w:val="21"/>
              </w:rPr>
              <w:t>7.5</w:t>
            </w:r>
          </w:p>
        </w:tc>
        <w:tc>
          <w:tcPr>
            <w:tcW w:w="567" w:type="dxa"/>
            <w:tcBorders>
              <w:tl2br w:val="nil"/>
              <w:tr2bl w:val="nil"/>
            </w:tcBorders>
            <w:vAlign w:val="center"/>
          </w:tcPr>
          <w:p>
            <w:pPr>
              <w:jc w:val="center"/>
              <w:rPr>
                <w:rFonts w:eastAsia="仿宋_GB2312"/>
                <w:szCs w:val="21"/>
              </w:rPr>
            </w:pPr>
            <w:r>
              <w:rPr>
                <w:rFonts w:eastAsia="仿宋_GB2312"/>
                <w:szCs w:val="21"/>
              </w:rPr>
              <w:t>9.2</w:t>
            </w:r>
          </w:p>
        </w:tc>
        <w:tc>
          <w:tcPr>
            <w:tcW w:w="709" w:type="dxa"/>
            <w:tcBorders>
              <w:tl2br w:val="nil"/>
              <w:tr2bl w:val="nil"/>
            </w:tcBorders>
            <w:vAlign w:val="center"/>
          </w:tcPr>
          <w:p>
            <w:pPr>
              <w:jc w:val="center"/>
              <w:rPr>
                <w:rFonts w:eastAsia="仿宋_GB2312"/>
                <w:szCs w:val="21"/>
              </w:rPr>
            </w:pPr>
            <w:r>
              <w:rPr>
                <w:rFonts w:eastAsia="仿宋_GB2312"/>
                <w:szCs w:val="21"/>
              </w:rPr>
              <w:t>9.2</w:t>
            </w:r>
          </w:p>
        </w:tc>
        <w:tc>
          <w:tcPr>
            <w:tcW w:w="459" w:type="dxa"/>
            <w:tcBorders>
              <w:tl2br w:val="nil"/>
              <w:tr2bl w:val="nil"/>
            </w:tcBorders>
            <w:vAlign w:val="center"/>
          </w:tcPr>
          <w:p>
            <w:pPr>
              <w:jc w:val="center"/>
              <w:rPr>
                <w:rFonts w:eastAsia="仿宋_GB2312"/>
                <w:szCs w:val="21"/>
              </w:rPr>
            </w:pPr>
            <w:r>
              <w:rPr>
                <w:rFonts w:eastAsia="仿宋_GB2312"/>
                <w:szCs w:val="21"/>
              </w:rPr>
              <w:t>7.1</w:t>
            </w:r>
          </w:p>
        </w:tc>
      </w:tr>
    </w:tbl>
    <w:p>
      <w:pPr>
        <w:widowControl/>
        <w:jc w:val="left"/>
        <w:rPr>
          <w:rFonts w:eastAsia="仿宋_GB2312"/>
          <w:kern w:val="0"/>
          <w:sz w:val="24"/>
        </w:rPr>
      </w:pPr>
      <w:r>
        <w:rPr>
          <w:rFonts w:eastAsia="仿宋_GB2312"/>
          <w:kern w:val="0"/>
          <w:sz w:val="24"/>
        </w:rPr>
        <w:drawing>
          <wp:inline distT="0" distB="0" distL="0" distR="0">
            <wp:extent cx="5000625" cy="2171700"/>
            <wp:effectExtent l="0" t="0" r="9525" b="0"/>
            <wp:docPr id="46" name="图片 46" descr="C:\Users\Administrator\AppData\Roaming\Tencent\Users\305953593\QQ\WinTemp\RichOle\DR8H9PEXC68EWNBXKJYC1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Administrator\AppData\Roaming\Tencent\Users\305953593\QQ\WinTemp\RichOle\DR8H9PEXC68EWNBXKJYC1EE.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5000625" cy="2171700"/>
                    </a:xfrm>
                    <a:prstGeom prst="rect">
                      <a:avLst/>
                    </a:prstGeom>
                    <a:noFill/>
                    <a:ln>
                      <a:noFill/>
                    </a:ln>
                  </pic:spPr>
                </pic:pic>
              </a:graphicData>
            </a:graphic>
          </wp:inline>
        </w:drawing>
      </w:r>
    </w:p>
    <w:p>
      <w:pPr>
        <w:widowControl/>
        <w:adjustRightInd w:val="0"/>
        <w:snapToGrid w:val="0"/>
        <w:spacing w:line="360" w:lineRule="auto"/>
        <w:ind w:left="1275" w:leftChars="550" w:hanging="120" w:hangingChars="50"/>
        <w:jc w:val="left"/>
        <w:rPr>
          <w:rFonts w:eastAsia="仿宋_GB2312"/>
          <w:b/>
          <w:kern w:val="0"/>
          <w:sz w:val="24"/>
        </w:rPr>
      </w:pPr>
      <w:r>
        <w:rPr>
          <w:rFonts w:eastAsia="仿宋_GB2312"/>
          <w:b/>
          <w:kern w:val="0"/>
          <w:sz w:val="24"/>
        </w:rPr>
        <w:t>1月静风5.0%                       2月静风5.1%</w:t>
      </w:r>
    </w:p>
    <w:p>
      <w:pPr>
        <w:widowControl/>
        <w:jc w:val="left"/>
        <w:rPr>
          <w:rFonts w:eastAsia="仿宋_GB2312"/>
          <w:kern w:val="0"/>
          <w:sz w:val="24"/>
        </w:rPr>
      </w:pPr>
      <w:r>
        <w:rPr>
          <w:rFonts w:eastAsia="仿宋_GB2312"/>
          <w:kern w:val="0"/>
          <w:sz w:val="24"/>
        </w:rPr>
        <w:drawing>
          <wp:inline distT="0" distB="0" distL="0" distR="0">
            <wp:extent cx="5000625" cy="2057400"/>
            <wp:effectExtent l="0" t="0" r="9525" b="0"/>
            <wp:docPr id="45" name="图片 45" descr="C:\Users\Administrator\AppData\Roaming\Tencent\Users\305953593\QQ\WinTemp\RichOle\NW%CU0)(F57V]D50$UCSD4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Administrator\AppData\Roaming\Tencent\Users\305953593\QQ\WinTemp\RichOle\NW%CU0)(F57V]D50$UCSD4M.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5000625" cy="2057400"/>
                    </a:xfrm>
                    <a:prstGeom prst="rect">
                      <a:avLst/>
                    </a:prstGeom>
                    <a:noFill/>
                    <a:ln>
                      <a:noFill/>
                    </a:ln>
                  </pic:spPr>
                </pic:pic>
              </a:graphicData>
            </a:graphic>
          </wp:inline>
        </w:drawing>
      </w:r>
    </w:p>
    <w:p>
      <w:pPr>
        <w:widowControl/>
        <w:spacing w:line="400" w:lineRule="exact"/>
        <w:ind w:firstLine="1325" w:firstLineChars="550"/>
        <w:jc w:val="left"/>
        <w:rPr>
          <w:rFonts w:eastAsia="仿宋_GB2312"/>
          <w:b/>
          <w:bCs/>
          <w:kern w:val="0"/>
          <w:sz w:val="24"/>
          <w:szCs w:val="21"/>
        </w:rPr>
      </w:pPr>
      <w:r>
        <w:rPr>
          <w:rFonts w:eastAsia="仿宋_GB2312"/>
          <w:b/>
          <w:bCs/>
          <w:kern w:val="0"/>
          <w:sz w:val="24"/>
          <w:szCs w:val="21"/>
        </w:rPr>
        <w:t>3月静风3.0%                       4月静风3.0%</w:t>
      </w:r>
    </w:p>
    <w:p>
      <w:pPr>
        <w:widowControl/>
        <w:jc w:val="left"/>
        <w:rPr>
          <w:rFonts w:eastAsia="仿宋_GB2312"/>
          <w:kern w:val="0"/>
          <w:sz w:val="24"/>
        </w:rPr>
      </w:pPr>
      <w:r>
        <w:rPr>
          <w:rFonts w:eastAsia="仿宋_GB2312"/>
          <w:kern w:val="0"/>
          <w:sz w:val="24"/>
        </w:rPr>
        <w:drawing>
          <wp:inline distT="0" distB="0" distL="0" distR="0">
            <wp:extent cx="4695825" cy="1752600"/>
            <wp:effectExtent l="0" t="0" r="9525" b="0"/>
            <wp:docPr id="44" name="图片 44" descr="C:\Users\Administrator\AppData\Roaming\Tencent\Users\305953593\QQ\WinTemp\RichOle\A4_)53H6X[8}B8GR~QWTCZ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Administrator\AppData\Roaming\Tencent\Users\305953593\QQ\WinTemp\RichOle\A4_)53H6X[8}B8GR~QWTCZ1.png"/>
                    <pic:cNvPicPr>
                      <a:picLocks noChangeAspect="1" noChangeArrowheads="1"/>
                    </pic:cNvPicPr>
                  </pic:nvPicPr>
                  <pic:blipFill>
                    <a:blip r:embed="rId57">
                      <a:extLst>
                        <a:ext uri="{28A0092B-C50C-407E-A947-70E740481C1C}">
                          <a14:useLocalDpi xmlns:a14="http://schemas.microsoft.com/office/drawing/2010/main" val="0"/>
                        </a:ext>
                      </a:extLst>
                    </a:blip>
                    <a:srcRect t="9840"/>
                    <a:stretch>
                      <a:fillRect/>
                    </a:stretch>
                  </pic:blipFill>
                  <pic:spPr>
                    <a:xfrm>
                      <a:off x="0" y="0"/>
                      <a:ext cx="4695825" cy="1752600"/>
                    </a:xfrm>
                    <a:prstGeom prst="rect">
                      <a:avLst/>
                    </a:prstGeom>
                    <a:noFill/>
                    <a:ln>
                      <a:noFill/>
                    </a:ln>
                  </pic:spPr>
                </pic:pic>
              </a:graphicData>
            </a:graphic>
          </wp:inline>
        </w:drawing>
      </w:r>
    </w:p>
    <w:p>
      <w:pPr>
        <w:tabs>
          <w:tab w:val="left" w:pos="567"/>
          <w:tab w:val="left" w:pos="630"/>
          <w:tab w:val="right" w:leader="dot" w:pos="8302"/>
        </w:tabs>
        <w:ind w:left="210" w:firstLine="482"/>
        <w:jc w:val="left"/>
        <w:rPr>
          <w:rFonts w:eastAsia="仿宋_GB2312"/>
          <w:b/>
          <w:bCs/>
          <w:smallCaps/>
          <w:sz w:val="24"/>
          <w:szCs w:val="21"/>
        </w:rPr>
      </w:pPr>
      <w:r>
        <w:rPr>
          <w:rFonts w:eastAsia="仿宋_GB2312"/>
          <w:b/>
          <w:bCs/>
          <w:smallCaps/>
          <w:sz w:val="24"/>
          <w:szCs w:val="21"/>
        </w:rPr>
        <w:t xml:space="preserve">       5月静风3.3%                       6月静风2.9%</w:t>
      </w:r>
    </w:p>
    <w:p>
      <w:pPr>
        <w:tabs>
          <w:tab w:val="left" w:pos="567"/>
          <w:tab w:val="left" w:pos="630"/>
          <w:tab w:val="right" w:leader="dot" w:pos="8302"/>
        </w:tabs>
        <w:ind w:left="210" w:firstLine="482"/>
        <w:jc w:val="left"/>
        <w:rPr>
          <w:rFonts w:eastAsia="仿宋_GB2312"/>
          <w:b/>
          <w:bCs/>
          <w:smallCaps/>
          <w:sz w:val="24"/>
          <w:szCs w:val="21"/>
        </w:rPr>
      </w:pPr>
    </w:p>
    <w:p>
      <w:pPr>
        <w:widowControl/>
        <w:jc w:val="left"/>
        <w:rPr>
          <w:rFonts w:eastAsia="仿宋_GB2312"/>
          <w:kern w:val="0"/>
          <w:sz w:val="24"/>
        </w:rPr>
      </w:pPr>
      <w:r>
        <w:rPr>
          <w:rFonts w:eastAsia="仿宋_GB2312"/>
          <w:kern w:val="0"/>
          <w:sz w:val="24"/>
        </w:rPr>
        <w:drawing>
          <wp:inline distT="0" distB="0" distL="0" distR="0">
            <wp:extent cx="4619625" cy="1838325"/>
            <wp:effectExtent l="0" t="0" r="9525" b="9525"/>
            <wp:docPr id="43" name="图片 43" descr="C:\Users\Administrator\AppData\Roaming\Tencent\Users\305953593\QQ\WinTemp\RichOle\VP}B13VO6WNQRV@LYB]S0H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Administrator\AppData\Roaming\Tencent\Users\305953593\QQ\WinTemp\RichOle\VP}B13VO6WNQRV@LYB]S0HL.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4619625" cy="1838325"/>
                    </a:xfrm>
                    <a:prstGeom prst="rect">
                      <a:avLst/>
                    </a:prstGeom>
                    <a:noFill/>
                    <a:ln>
                      <a:noFill/>
                    </a:ln>
                  </pic:spPr>
                </pic:pic>
              </a:graphicData>
            </a:graphic>
          </wp:inline>
        </w:drawing>
      </w:r>
    </w:p>
    <w:p>
      <w:pPr>
        <w:tabs>
          <w:tab w:val="left" w:pos="567"/>
          <w:tab w:val="left" w:pos="630"/>
          <w:tab w:val="right" w:leader="dot" w:pos="8302"/>
        </w:tabs>
        <w:ind w:left="210" w:firstLine="482"/>
        <w:jc w:val="left"/>
        <w:rPr>
          <w:rFonts w:eastAsia="仿宋_GB2312"/>
          <w:b/>
          <w:bCs/>
          <w:smallCaps/>
          <w:sz w:val="24"/>
          <w:szCs w:val="21"/>
        </w:rPr>
      </w:pPr>
      <w:r>
        <w:rPr>
          <w:rFonts w:eastAsia="仿宋_GB2312"/>
          <w:b/>
          <w:bCs/>
          <w:smallCaps/>
          <w:sz w:val="24"/>
          <w:szCs w:val="21"/>
        </w:rPr>
        <w:t xml:space="preserve">      7月静风3.8%                      8月静风3.4%</w:t>
      </w:r>
    </w:p>
    <w:p>
      <w:pPr>
        <w:tabs>
          <w:tab w:val="left" w:pos="567"/>
          <w:tab w:val="left" w:pos="630"/>
          <w:tab w:val="right" w:leader="dot" w:pos="8302"/>
        </w:tabs>
        <w:ind w:left="210" w:firstLine="482"/>
        <w:jc w:val="left"/>
        <w:rPr>
          <w:rFonts w:eastAsia="仿宋_GB2312"/>
          <w:b/>
          <w:bCs/>
          <w:smallCaps/>
          <w:sz w:val="24"/>
          <w:szCs w:val="21"/>
        </w:rPr>
      </w:pPr>
    </w:p>
    <w:p>
      <w:pPr>
        <w:widowControl/>
        <w:jc w:val="left"/>
        <w:rPr>
          <w:rFonts w:eastAsia="仿宋_GB2312"/>
          <w:kern w:val="0"/>
          <w:sz w:val="24"/>
        </w:rPr>
      </w:pPr>
      <w:r>
        <w:rPr>
          <w:rFonts w:eastAsia="仿宋_GB2312"/>
          <w:kern w:val="0"/>
          <w:sz w:val="24"/>
        </w:rPr>
        <w:drawing>
          <wp:inline distT="0" distB="0" distL="0" distR="0">
            <wp:extent cx="4619625" cy="1828800"/>
            <wp:effectExtent l="0" t="0" r="9525" b="0"/>
            <wp:docPr id="42" name="图片 42" descr="C:\Users\Administrator\AppData\Roaming\Tencent\Users\305953593\QQ\WinTemp\RichOle\C_${1(Y5~T5IY4GE5DQ2$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Administrator\AppData\Roaming\Tencent\Users\305953593\QQ\WinTemp\RichOle\C_${1(Y5~T5IY4GE5DQ2$L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4619625" cy="1828800"/>
                    </a:xfrm>
                    <a:prstGeom prst="rect">
                      <a:avLst/>
                    </a:prstGeom>
                    <a:noFill/>
                    <a:ln>
                      <a:noFill/>
                    </a:ln>
                  </pic:spPr>
                </pic:pic>
              </a:graphicData>
            </a:graphic>
          </wp:inline>
        </w:drawing>
      </w:r>
    </w:p>
    <w:p>
      <w:pPr>
        <w:tabs>
          <w:tab w:val="left" w:pos="567"/>
          <w:tab w:val="left" w:pos="630"/>
          <w:tab w:val="right" w:leader="dot" w:pos="8302"/>
        </w:tabs>
        <w:ind w:left="210" w:firstLine="482"/>
        <w:jc w:val="left"/>
        <w:rPr>
          <w:rFonts w:eastAsia="仿宋_GB2312"/>
          <w:b/>
          <w:bCs/>
          <w:smallCaps/>
          <w:sz w:val="24"/>
          <w:szCs w:val="21"/>
        </w:rPr>
      </w:pPr>
      <w:r>
        <w:rPr>
          <w:rFonts w:eastAsia="仿宋_GB2312"/>
          <w:b/>
          <w:bCs/>
          <w:smallCaps/>
          <w:sz w:val="24"/>
          <w:szCs w:val="21"/>
        </w:rPr>
        <w:t xml:space="preserve">     9月静风3.9%                      10月静风5.1%</w:t>
      </w:r>
    </w:p>
    <w:p>
      <w:pPr>
        <w:widowControl/>
        <w:jc w:val="left"/>
        <w:rPr>
          <w:rFonts w:eastAsia="仿宋_GB2312"/>
          <w:kern w:val="0"/>
          <w:sz w:val="24"/>
        </w:rPr>
      </w:pPr>
      <w:r>
        <w:rPr>
          <w:rFonts w:eastAsia="仿宋_GB2312"/>
          <w:kern w:val="0"/>
          <w:sz w:val="24"/>
        </w:rPr>
        <w:drawing>
          <wp:inline distT="0" distB="0" distL="0" distR="0">
            <wp:extent cx="4534535" cy="1860550"/>
            <wp:effectExtent l="0" t="0" r="0" b="6350"/>
            <wp:docPr id="41" name="图片 41" descr="C:\Users\Administrator\AppData\Roaming\Tencent\Users\305953593\QQ\WinTemp\RichOle\N%LI}5O%J8_6(Q@VCY%OD~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Administrator\AppData\Roaming\Tencent\Users\305953593\QQ\WinTemp\RichOle\N%LI}5O%J8_6(Q@VCY%OD~H.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4591189" cy="1883807"/>
                    </a:xfrm>
                    <a:prstGeom prst="rect">
                      <a:avLst/>
                    </a:prstGeom>
                    <a:noFill/>
                    <a:ln>
                      <a:noFill/>
                    </a:ln>
                  </pic:spPr>
                </pic:pic>
              </a:graphicData>
            </a:graphic>
          </wp:inline>
        </w:drawing>
      </w:r>
    </w:p>
    <w:p>
      <w:pPr>
        <w:tabs>
          <w:tab w:val="left" w:pos="567"/>
          <w:tab w:val="left" w:pos="630"/>
          <w:tab w:val="right" w:leader="dot" w:pos="8302"/>
        </w:tabs>
        <w:ind w:left="210" w:firstLine="482"/>
        <w:jc w:val="left"/>
        <w:rPr>
          <w:rFonts w:eastAsia="仿宋_GB2312"/>
          <w:b/>
          <w:bCs/>
          <w:smallCaps/>
          <w:sz w:val="24"/>
          <w:szCs w:val="21"/>
        </w:rPr>
      </w:pPr>
      <w:r>
        <w:rPr>
          <w:rFonts w:eastAsia="仿宋_GB2312"/>
          <w:b/>
          <w:bCs/>
          <w:smallCaps/>
          <w:sz w:val="24"/>
          <w:szCs w:val="21"/>
        </w:rPr>
        <w:t xml:space="preserve">       11月静风6.8%                    12月静风7.1%</w:t>
      </w:r>
    </w:p>
    <w:p>
      <w:pPr>
        <w:widowControl/>
        <w:spacing w:line="500" w:lineRule="exact"/>
        <w:ind w:firstLine="482" w:firstLineChars="200"/>
        <w:jc w:val="center"/>
        <w:rPr>
          <w:rFonts w:eastAsia="仿宋_GB2312"/>
          <w:b/>
          <w:bCs/>
          <w:kern w:val="0"/>
          <w:sz w:val="24"/>
          <w:szCs w:val="21"/>
        </w:rPr>
      </w:pPr>
      <w:r>
        <w:rPr>
          <w:rFonts w:eastAsia="仿宋_GB2312"/>
          <w:b/>
          <w:bCs/>
          <w:kern w:val="0"/>
          <w:sz w:val="24"/>
          <w:szCs w:val="21"/>
        </w:rPr>
        <w:t>图5.2-2  金坛月风向玫瑰图</w:t>
      </w:r>
    </w:p>
    <w:p>
      <w:pPr>
        <w:widowControl/>
        <w:spacing w:line="500" w:lineRule="exact"/>
        <w:ind w:firstLine="560" w:firstLineChars="200"/>
        <w:jc w:val="left"/>
        <w:rPr>
          <w:rFonts w:eastAsia="仿宋_GB2312"/>
          <w:kern w:val="0"/>
          <w:sz w:val="28"/>
          <w:szCs w:val="28"/>
        </w:rPr>
      </w:pPr>
      <w:r>
        <w:rPr>
          <w:rFonts w:eastAsia="仿宋_GB2312"/>
          <w:kern w:val="0"/>
          <w:sz w:val="28"/>
          <w:szCs w:val="28"/>
        </w:rPr>
        <w:t>（3）风速年际变化特征与周期分析</w:t>
      </w:r>
    </w:p>
    <w:p>
      <w:pPr>
        <w:widowControl/>
        <w:spacing w:line="500" w:lineRule="exact"/>
        <w:ind w:firstLine="560" w:firstLineChars="200"/>
        <w:jc w:val="left"/>
        <w:rPr>
          <w:rFonts w:eastAsia="仿宋_GB2312"/>
          <w:kern w:val="0"/>
          <w:sz w:val="28"/>
          <w:szCs w:val="28"/>
        </w:rPr>
      </w:pPr>
      <w:r>
        <w:rPr>
          <w:rFonts w:eastAsia="仿宋_GB2312"/>
          <w:kern w:val="0"/>
          <w:sz w:val="28"/>
          <w:szCs w:val="28"/>
        </w:rPr>
        <w:t>根据近20年资料分析，金坛气象站风速无明显变化趋势，2005年年平均风速最大（3.0米/秒），2003年年平均风速最小（1.8米/秒），周期为10年。</w:t>
      </w:r>
    </w:p>
    <w:p>
      <w:pPr>
        <w:widowControl/>
        <w:jc w:val="center"/>
        <w:rPr>
          <w:rFonts w:eastAsia="仿宋_GB2312"/>
          <w:kern w:val="0"/>
          <w:sz w:val="24"/>
        </w:rPr>
      </w:pPr>
      <w:r>
        <w:rPr>
          <w:rFonts w:eastAsia="仿宋_GB2312"/>
          <w:kern w:val="0"/>
          <w:sz w:val="24"/>
        </w:rPr>
        <w:drawing>
          <wp:inline distT="0" distB="0" distL="0" distR="0">
            <wp:extent cx="3486150" cy="2809875"/>
            <wp:effectExtent l="0" t="0" r="0" b="9525"/>
            <wp:docPr id="40" name="图片 40" descr="C:\Users\Administrator\AppData\Roaming\Tencent\Users\305953593\QQ\WinTemp\RichOle\_H[ZP$(3YTC)A13(A~YY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Administrator\AppData\Roaming\Tencent\Users\305953593\QQ\WinTemp\RichOle\_H[ZP$(3YTC)A13(A~YYL{L.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3486150" cy="2809875"/>
                    </a:xfrm>
                    <a:prstGeom prst="rect">
                      <a:avLst/>
                    </a:prstGeom>
                    <a:noFill/>
                    <a:ln>
                      <a:noFill/>
                    </a:ln>
                  </pic:spPr>
                </pic:pic>
              </a:graphicData>
            </a:graphic>
          </wp:inline>
        </w:drawing>
      </w:r>
    </w:p>
    <w:p>
      <w:pPr>
        <w:widowControl/>
        <w:spacing w:line="320" w:lineRule="exact"/>
        <w:ind w:firstLine="482" w:firstLineChars="200"/>
        <w:jc w:val="center"/>
        <w:rPr>
          <w:rFonts w:eastAsia="仿宋_GB2312"/>
          <w:b/>
          <w:bCs/>
          <w:kern w:val="0"/>
          <w:sz w:val="24"/>
          <w:szCs w:val="21"/>
        </w:rPr>
      </w:pPr>
      <w:r>
        <w:rPr>
          <w:rFonts w:eastAsia="仿宋_GB2312"/>
          <w:b/>
          <w:bCs/>
          <w:kern w:val="0"/>
          <w:sz w:val="24"/>
          <w:szCs w:val="21"/>
        </w:rPr>
        <w:t>图5.2-3  金坛（2000-2019年）年平均风速（单位：m/s，虚线为趋势线）</w:t>
      </w:r>
    </w:p>
    <w:p>
      <w:pPr>
        <w:widowControl/>
        <w:spacing w:line="500" w:lineRule="exact"/>
        <w:ind w:firstLine="560" w:firstLineChars="200"/>
        <w:jc w:val="left"/>
        <w:rPr>
          <w:rFonts w:eastAsia="仿宋_GB2312"/>
          <w:kern w:val="0"/>
          <w:sz w:val="28"/>
          <w:szCs w:val="28"/>
        </w:rPr>
      </w:pPr>
      <w:r>
        <w:rPr>
          <w:rFonts w:eastAsia="仿宋_GB2312"/>
          <w:kern w:val="0"/>
          <w:sz w:val="28"/>
          <w:szCs w:val="28"/>
        </w:rPr>
        <w:t>3）气象站温度分析</w:t>
      </w:r>
    </w:p>
    <w:p>
      <w:pPr>
        <w:widowControl/>
        <w:spacing w:line="500" w:lineRule="exact"/>
        <w:ind w:firstLine="560" w:firstLineChars="200"/>
        <w:jc w:val="left"/>
        <w:rPr>
          <w:rFonts w:eastAsia="仿宋_GB2312"/>
          <w:kern w:val="0"/>
          <w:sz w:val="28"/>
          <w:szCs w:val="28"/>
        </w:rPr>
      </w:pPr>
      <w:r>
        <w:rPr>
          <w:rFonts w:eastAsia="仿宋_GB2312"/>
          <w:kern w:val="0"/>
          <w:sz w:val="28"/>
          <w:szCs w:val="28"/>
        </w:rPr>
        <w:t>（1）月平均气温与极端气温</w:t>
      </w:r>
    </w:p>
    <w:p>
      <w:pPr>
        <w:widowControl/>
        <w:spacing w:line="500" w:lineRule="exact"/>
        <w:ind w:firstLine="560" w:firstLineChars="200"/>
        <w:jc w:val="left"/>
        <w:rPr>
          <w:rFonts w:eastAsia="仿宋_GB2312"/>
          <w:kern w:val="0"/>
          <w:sz w:val="28"/>
          <w:szCs w:val="28"/>
        </w:rPr>
      </w:pPr>
      <w:r>
        <w:rPr>
          <w:rFonts w:eastAsia="仿宋_GB2312"/>
          <w:kern w:val="0"/>
          <w:sz w:val="28"/>
          <w:szCs w:val="28"/>
        </w:rPr>
        <w:t>金坛气象站07月气温最高（29.1</w:t>
      </w:r>
      <w:r>
        <w:rPr>
          <w:rFonts w:hint="eastAsia" w:ascii="宋体" w:hAnsi="宋体" w:cs="宋体"/>
          <w:kern w:val="0"/>
          <w:sz w:val="28"/>
          <w:szCs w:val="28"/>
        </w:rPr>
        <w:t>℃</w:t>
      </w:r>
      <w:r>
        <w:rPr>
          <w:rFonts w:eastAsia="仿宋_GB2312"/>
          <w:kern w:val="0"/>
          <w:sz w:val="28"/>
          <w:szCs w:val="28"/>
        </w:rPr>
        <w:t>），01月气温最低（3.4</w:t>
      </w:r>
      <w:r>
        <w:rPr>
          <w:rFonts w:hint="eastAsia" w:ascii="宋体" w:hAnsi="宋体" w:cs="宋体"/>
          <w:kern w:val="0"/>
          <w:sz w:val="28"/>
          <w:szCs w:val="28"/>
        </w:rPr>
        <w:t>℃</w:t>
      </w:r>
      <w:r>
        <w:rPr>
          <w:rFonts w:eastAsia="仿宋_GB2312"/>
          <w:kern w:val="0"/>
          <w:sz w:val="28"/>
          <w:szCs w:val="28"/>
        </w:rPr>
        <w:t>），近20年极端最高气温出现在2013-08-10（40.4</w:t>
      </w:r>
      <w:r>
        <w:rPr>
          <w:rFonts w:hint="eastAsia" w:ascii="宋体" w:hAnsi="宋体" w:cs="宋体"/>
          <w:kern w:val="0"/>
          <w:sz w:val="28"/>
          <w:szCs w:val="28"/>
        </w:rPr>
        <w:t>℃</w:t>
      </w:r>
      <w:r>
        <w:rPr>
          <w:rFonts w:eastAsia="仿宋_GB2312"/>
          <w:kern w:val="0"/>
          <w:sz w:val="28"/>
          <w:szCs w:val="28"/>
        </w:rPr>
        <w:t>），近20年极端最低气温出现在2011-01-16（-9.5</w:t>
      </w:r>
      <w:r>
        <w:rPr>
          <w:rFonts w:hint="eastAsia" w:ascii="宋体" w:hAnsi="宋体" w:cs="宋体"/>
          <w:kern w:val="0"/>
          <w:sz w:val="28"/>
          <w:szCs w:val="28"/>
        </w:rPr>
        <w:t>℃</w:t>
      </w:r>
      <w:r>
        <w:rPr>
          <w:rFonts w:eastAsia="仿宋_GB2312"/>
          <w:kern w:val="0"/>
          <w:sz w:val="28"/>
          <w:szCs w:val="28"/>
        </w:rPr>
        <w:t>）。</w:t>
      </w:r>
    </w:p>
    <w:p>
      <w:pPr>
        <w:widowControl/>
        <w:jc w:val="center"/>
        <w:rPr>
          <w:rFonts w:eastAsia="仿宋_GB2312"/>
          <w:kern w:val="0"/>
          <w:sz w:val="24"/>
        </w:rPr>
      </w:pPr>
      <w:r>
        <w:rPr>
          <w:rFonts w:eastAsia="仿宋_GB2312"/>
          <w:kern w:val="0"/>
          <w:sz w:val="24"/>
        </w:rPr>
        <w:drawing>
          <wp:inline distT="0" distB="0" distL="0" distR="0">
            <wp:extent cx="3524250" cy="2695575"/>
            <wp:effectExtent l="0" t="0" r="0" b="9525"/>
            <wp:docPr id="39" name="图片 39" descr="C:\Users\Administrator\AppData\Roaming\Tencent\Users\305953593\QQ\WinTemp\RichOle\SNV2KRYF{H_M2WG55C)YL}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Administrator\AppData\Roaming\Tencent\Users\305953593\QQ\WinTemp\RichOle\SNV2KRYF{H_M2WG55C)YL}H.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3524250" cy="2695575"/>
                    </a:xfrm>
                    <a:prstGeom prst="rect">
                      <a:avLst/>
                    </a:prstGeom>
                    <a:noFill/>
                    <a:ln>
                      <a:noFill/>
                    </a:ln>
                  </pic:spPr>
                </pic:pic>
              </a:graphicData>
            </a:graphic>
          </wp:inline>
        </w:drawing>
      </w:r>
    </w:p>
    <w:p>
      <w:pPr>
        <w:widowControl/>
        <w:spacing w:line="320" w:lineRule="exact"/>
        <w:ind w:firstLine="482" w:firstLineChars="200"/>
        <w:jc w:val="center"/>
        <w:rPr>
          <w:rFonts w:eastAsia="仿宋_GB2312"/>
          <w:b/>
          <w:bCs/>
          <w:kern w:val="0"/>
          <w:sz w:val="24"/>
          <w:szCs w:val="21"/>
        </w:rPr>
      </w:pPr>
      <w:r>
        <w:rPr>
          <w:rFonts w:eastAsia="仿宋_GB2312"/>
          <w:b/>
          <w:bCs/>
          <w:kern w:val="0"/>
          <w:sz w:val="24"/>
          <w:szCs w:val="21"/>
        </w:rPr>
        <w:t>图5.2-4  金坛月平均气温（单位：</w:t>
      </w:r>
      <w:r>
        <w:rPr>
          <w:rFonts w:hint="eastAsia" w:ascii="宋体" w:hAnsi="宋体" w:cs="宋体"/>
          <w:b/>
          <w:bCs/>
          <w:kern w:val="0"/>
          <w:sz w:val="24"/>
          <w:szCs w:val="21"/>
        </w:rPr>
        <w:t>℃</w:t>
      </w:r>
      <w:r>
        <w:rPr>
          <w:rFonts w:eastAsia="仿宋_GB2312"/>
          <w:b/>
          <w:bCs/>
          <w:kern w:val="0"/>
          <w:sz w:val="24"/>
          <w:szCs w:val="21"/>
        </w:rPr>
        <w:t>）</w:t>
      </w:r>
    </w:p>
    <w:p>
      <w:pPr>
        <w:widowControl/>
        <w:spacing w:line="500" w:lineRule="exact"/>
        <w:ind w:firstLine="560" w:firstLineChars="200"/>
        <w:jc w:val="left"/>
        <w:rPr>
          <w:rFonts w:eastAsia="仿宋_GB2312"/>
          <w:kern w:val="0"/>
          <w:sz w:val="28"/>
          <w:szCs w:val="28"/>
        </w:rPr>
      </w:pPr>
      <w:r>
        <w:rPr>
          <w:rFonts w:eastAsia="仿宋_GB2312"/>
          <w:kern w:val="0"/>
          <w:sz w:val="28"/>
          <w:szCs w:val="28"/>
        </w:rPr>
        <w:t>（2）温度年际变化趋势与周期分析</w:t>
      </w:r>
    </w:p>
    <w:p>
      <w:pPr>
        <w:widowControl/>
        <w:spacing w:line="500" w:lineRule="exact"/>
        <w:ind w:firstLine="560" w:firstLineChars="200"/>
        <w:jc w:val="left"/>
        <w:rPr>
          <w:rFonts w:eastAsia="仿宋_GB2312"/>
          <w:kern w:val="0"/>
          <w:sz w:val="28"/>
          <w:szCs w:val="28"/>
        </w:rPr>
      </w:pPr>
      <w:r>
        <w:rPr>
          <w:rFonts w:eastAsia="仿宋_GB2312"/>
          <w:kern w:val="0"/>
          <w:sz w:val="28"/>
          <w:szCs w:val="28"/>
        </w:rPr>
        <w:t>金坛气象站近20年无明显变化趋势，2018年年平均气温最高（17.3</w:t>
      </w:r>
      <w:r>
        <w:rPr>
          <w:rFonts w:hint="eastAsia" w:ascii="宋体" w:hAnsi="宋体" w:cs="宋体"/>
          <w:kern w:val="0"/>
          <w:sz w:val="28"/>
          <w:szCs w:val="28"/>
        </w:rPr>
        <w:t>℃</w:t>
      </w:r>
      <w:r>
        <w:rPr>
          <w:rFonts w:eastAsia="仿宋_GB2312"/>
          <w:kern w:val="0"/>
          <w:sz w:val="28"/>
          <w:szCs w:val="28"/>
        </w:rPr>
        <w:t>），2011年年平均气温最低（16.0</w:t>
      </w:r>
      <w:r>
        <w:rPr>
          <w:rFonts w:hint="eastAsia" w:ascii="宋体" w:hAnsi="宋体" w:cs="宋体"/>
          <w:kern w:val="0"/>
          <w:sz w:val="28"/>
          <w:szCs w:val="28"/>
        </w:rPr>
        <w:t>℃</w:t>
      </w:r>
      <w:r>
        <w:rPr>
          <w:rFonts w:eastAsia="仿宋_GB2312"/>
          <w:kern w:val="0"/>
          <w:sz w:val="28"/>
          <w:szCs w:val="28"/>
        </w:rPr>
        <w:t>），无明显周期。</w:t>
      </w:r>
    </w:p>
    <w:p>
      <w:pPr>
        <w:widowControl/>
        <w:jc w:val="center"/>
        <w:rPr>
          <w:rFonts w:eastAsia="仿宋_GB2312"/>
          <w:kern w:val="0"/>
          <w:sz w:val="24"/>
        </w:rPr>
      </w:pPr>
      <w:r>
        <w:rPr>
          <w:rFonts w:eastAsia="仿宋_GB2312"/>
          <w:kern w:val="0"/>
          <w:sz w:val="24"/>
        </w:rPr>
        <w:drawing>
          <wp:inline distT="0" distB="0" distL="0" distR="0">
            <wp:extent cx="4029075" cy="2800350"/>
            <wp:effectExtent l="0" t="0" r="9525" b="0"/>
            <wp:docPr id="36" name="图片 36" descr="C:\Users\Administrator\AppData\Roaming\Tencent\Users\305953593\QQ\WinTemp\RichOle\@(P9]YKRPB9_D%YATZ9W7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dministrator\AppData\Roaming\Tencent\Users\305953593\QQ\WinTemp\RichOle\@(P9]YKRPB9_D%YATZ9W7C9.png"/>
                    <pic:cNvPicPr>
                      <a:picLocks noChangeAspect="1" noChangeArrowheads="1"/>
                    </pic:cNvPicPr>
                  </pic:nvPicPr>
                  <pic:blipFill>
                    <a:blip r:embed="rId63">
                      <a:extLst>
                        <a:ext uri="{28A0092B-C50C-407E-A947-70E740481C1C}">
                          <a14:useLocalDpi xmlns:a14="http://schemas.microsoft.com/office/drawing/2010/main" val="0"/>
                        </a:ext>
                      </a:extLst>
                    </a:blip>
                    <a:srcRect t="7103"/>
                    <a:stretch>
                      <a:fillRect/>
                    </a:stretch>
                  </pic:blipFill>
                  <pic:spPr>
                    <a:xfrm>
                      <a:off x="0" y="0"/>
                      <a:ext cx="4029075" cy="2800350"/>
                    </a:xfrm>
                    <a:prstGeom prst="rect">
                      <a:avLst/>
                    </a:prstGeom>
                    <a:noFill/>
                    <a:ln>
                      <a:noFill/>
                    </a:ln>
                  </pic:spPr>
                </pic:pic>
              </a:graphicData>
            </a:graphic>
          </wp:inline>
        </w:drawing>
      </w:r>
    </w:p>
    <w:p>
      <w:pPr>
        <w:widowControl/>
        <w:spacing w:line="500" w:lineRule="exact"/>
        <w:ind w:firstLine="482" w:firstLineChars="200"/>
        <w:jc w:val="center"/>
        <w:rPr>
          <w:rFonts w:eastAsia="仿宋_GB2312"/>
          <w:b/>
          <w:bCs/>
          <w:kern w:val="0"/>
          <w:sz w:val="24"/>
          <w:szCs w:val="21"/>
        </w:rPr>
      </w:pPr>
      <w:r>
        <w:rPr>
          <w:rFonts w:eastAsia="仿宋_GB2312"/>
          <w:b/>
          <w:bCs/>
          <w:kern w:val="0"/>
          <w:sz w:val="24"/>
          <w:szCs w:val="21"/>
        </w:rPr>
        <w:t>图5.2-5  金坛（2000-2019年）年平均气温（单位：</w:t>
      </w:r>
      <w:r>
        <w:rPr>
          <w:rFonts w:hint="eastAsia" w:ascii="宋体" w:hAnsi="宋体" w:cs="宋体"/>
          <w:b/>
          <w:bCs/>
          <w:kern w:val="0"/>
          <w:sz w:val="24"/>
          <w:szCs w:val="21"/>
        </w:rPr>
        <w:t>℃</w:t>
      </w:r>
      <w:r>
        <w:rPr>
          <w:rFonts w:eastAsia="仿宋_GB2312"/>
          <w:b/>
          <w:bCs/>
          <w:kern w:val="0"/>
          <w:sz w:val="24"/>
          <w:szCs w:val="21"/>
        </w:rPr>
        <w:t>，虚线为趋势线）</w:t>
      </w:r>
    </w:p>
    <w:p>
      <w:pPr>
        <w:widowControl/>
        <w:spacing w:line="500" w:lineRule="exact"/>
        <w:ind w:firstLine="560" w:firstLineChars="200"/>
        <w:jc w:val="left"/>
        <w:rPr>
          <w:rFonts w:eastAsia="仿宋_GB2312"/>
          <w:kern w:val="0"/>
          <w:sz w:val="28"/>
          <w:szCs w:val="28"/>
        </w:rPr>
      </w:pPr>
      <w:r>
        <w:rPr>
          <w:rFonts w:eastAsia="仿宋_GB2312"/>
          <w:kern w:val="0"/>
          <w:sz w:val="28"/>
          <w:szCs w:val="28"/>
        </w:rPr>
        <w:t>4）气象站降水分析</w:t>
      </w:r>
    </w:p>
    <w:p>
      <w:pPr>
        <w:widowControl/>
        <w:spacing w:line="500" w:lineRule="exact"/>
        <w:ind w:firstLine="560" w:firstLineChars="200"/>
        <w:jc w:val="left"/>
        <w:rPr>
          <w:rFonts w:eastAsia="仿宋_GB2312"/>
          <w:kern w:val="0"/>
          <w:sz w:val="28"/>
          <w:szCs w:val="28"/>
        </w:rPr>
      </w:pPr>
      <w:r>
        <w:rPr>
          <w:rFonts w:eastAsia="仿宋_GB2312"/>
          <w:kern w:val="0"/>
          <w:sz w:val="28"/>
          <w:szCs w:val="28"/>
        </w:rPr>
        <w:t>（1）月平均降水与极端降水</w:t>
      </w:r>
    </w:p>
    <w:p>
      <w:pPr>
        <w:widowControl/>
        <w:spacing w:line="500" w:lineRule="exact"/>
        <w:ind w:firstLine="560" w:firstLineChars="200"/>
        <w:jc w:val="left"/>
        <w:rPr>
          <w:rFonts w:eastAsia="仿宋_GB2312"/>
          <w:kern w:val="0"/>
          <w:sz w:val="28"/>
          <w:szCs w:val="28"/>
        </w:rPr>
      </w:pPr>
      <w:r>
        <w:rPr>
          <w:rFonts w:eastAsia="仿宋_GB2312"/>
          <w:kern w:val="0"/>
          <w:sz w:val="28"/>
          <w:szCs w:val="28"/>
        </w:rPr>
        <w:t>金坛气象站06月降水量最大（210.5毫米），12月降水量最小（44.0毫米），近20年极端最大日降水出现在2015-06-27（274.6毫米）。</w:t>
      </w:r>
    </w:p>
    <w:p>
      <w:pPr>
        <w:widowControl/>
        <w:jc w:val="center"/>
        <w:rPr>
          <w:rFonts w:eastAsia="仿宋_GB2312"/>
          <w:kern w:val="0"/>
          <w:sz w:val="24"/>
        </w:rPr>
      </w:pPr>
      <w:r>
        <w:rPr>
          <w:rFonts w:eastAsia="仿宋_GB2312"/>
          <w:kern w:val="0"/>
          <w:sz w:val="24"/>
        </w:rPr>
        <w:drawing>
          <wp:inline distT="0" distB="0" distL="0" distR="0">
            <wp:extent cx="3419475" cy="2714625"/>
            <wp:effectExtent l="0" t="0" r="9525" b="9525"/>
            <wp:docPr id="27" name="图片 27" descr="C:\Users\Administrator\AppData\Roaming\Tencent\Users\305953593\QQ\WinTemp\RichOle\GZOEBIM~NFIWA$%H8OZJQ%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istrator\AppData\Roaming\Tencent\Users\305953593\QQ\WinTemp\RichOle\GZOEBIM~NFIWA$%H8OZJQ%Q.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3419475" cy="2714625"/>
                    </a:xfrm>
                    <a:prstGeom prst="rect">
                      <a:avLst/>
                    </a:prstGeom>
                    <a:noFill/>
                    <a:ln>
                      <a:noFill/>
                    </a:ln>
                  </pic:spPr>
                </pic:pic>
              </a:graphicData>
            </a:graphic>
          </wp:inline>
        </w:drawing>
      </w:r>
    </w:p>
    <w:p>
      <w:pPr>
        <w:widowControl/>
        <w:spacing w:line="500" w:lineRule="exact"/>
        <w:ind w:firstLine="482" w:firstLineChars="200"/>
        <w:jc w:val="center"/>
        <w:rPr>
          <w:rFonts w:eastAsia="仿宋_GB2312"/>
          <w:b/>
          <w:bCs/>
          <w:kern w:val="0"/>
          <w:sz w:val="24"/>
          <w:szCs w:val="21"/>
        </w:rPr>
      </w:pPr>
      <w:r>
        <w:rPr>
          <w:rFonts w:eastAsia="仿宋_GB2312"/>
          <w:b/>
          <w:bCs/>
          <w:kern w:val="0"/>
          <w:sz w:val="24"/>
          <w:szCs w:val="21"/>
        </w:rPr>
        <w:t>图5.2-6  金坛月平均降水量（单位：毫米）</w:t>
      </w:r>
    </w:p>
    <w:p>
      <w:pPr>
        <w:widowControl/>
        <w:spacing w:line="500" w:lineRule="exact"/>
        <w:ind w:firstLine="560" w:firstLineChars="200"/>
        <w:jc w:val="left"/>
        <w:rPr>
          <w:rFonts w:eastAsia="仿宋_GB2312"/>
          <w:kern w:val="0"/>
          <w:sz w:val="28"/>
          <w:szCs w:val="28"/>
        </w:rPr>
      </w:pPr>
      <w:r>
        <w:rPr>
          <w:rFonts w:eastAsia="仿宋_GB2312"/>
          <w:kern w:val="0"/>
          <w:sz w:val="28"/>
          <w:szCs w:val="28"/>
        </w:rPr>
        <w:t>（2）降水年际变化趋势与周期分析</w:t>
      </w:r>
    </w:p>
    <w:p>
      <w:pPr>
        <w:widowControl/>
        <w:spacing w:line="500" w:lineRule="exact"/>
        <w:ind w:firstLine="560" w:firstLineChars="200"/>
        <w:jc w:val="left"/>
        <w:rPr>
          <w:rFonts w:eastAsia="仿宋_GB2312"/>
          <w:kern w:val="0"/>
          <w:sz w:val="28"/>
          <w:szCs w:val="28"/>
        </w:rPr>
      </w:pPr>
      <w:r>
        <w:rPr>
          <w:rFonts w:eastAsia="仿宋_GB2312"/>
          <w:kern w:val="0"/>
          <w:sz w:val="28"/>
          <w:szCs w:val="28"/>
        </w:rPr>
        <w:t>金坛气象站近20年年降水总量无明显变化趋势，2016年年总降水量最大（2251.9毫米），2005年年总降水量最小（841.6毫米），周期为10年。</w:t>
      </w:r>
    </w:p>
    <w:p>
      <w:pPr>
        <w:widowControl/>
        <w:jc w:val="center"/>
        <w:rPr>
          <w:rFonts w:eastAsia="仿宋_GB2312"/>
          <w:kern w:val="0"/>
          <w:sz w:val="24"/>
        </w:rPr>
      </w:pPr>
      <w:r>
        <w:rPr>
          <w:rFonts w:eastAsia="仿宋_GB2312"/>
          <w:kern w:val="0"/>
          <w:sz w:val="24"/>
        </w:rPr>
        <w:drawing>
          <wp:inline distT="0" distB="0" distL="0" distR="0">
            <wp:extent cx="3533775" cy="2695575"/>
            <wp:effectExtent l="0" t="0" r="9525" b="9525"/>
            <wp:docPr id="24" name="图片 24" descr="C:\Users\Administrator\AppData\Roaming\Tencent\Users\305953593\QQ\WinTemp\RichOle\M]X60I9G$OY4DH}O){FZ%Z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istrator\AppData\Roaming\Tencent\Users\305953593\QQ\WinTemp\RichOle\M]X60I9G$OY4DH}O){FZ%ZN.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3533775" cy="2695575"/>
                    </a:xfrm>
                    <a:prstGeom prst="rect">
                      <a:avLst/>
                    </a:prstGeom>
                    <a:noFill/>
                    <a:ln>
                      <a:noFill/>
                    </a:ln>
                  </pic:spPr>
                </pic:pic>
              </a:graphicData>
            </a:graphic>
          </wp:inline>
        </w:drawing>
      </w:r>
    </w:p>
    <w:p>
      <w:pPr>
        <w:widowControl/>
        <w:spacing w:line="500" w:lineRule="exact"/>
        <w:ind w:firstLine="482" w:firstLineChars="200"/>
        <w:jc w:val="center"/>
        <w:rPr>
          <w:rFonts w:eastAsia="仿宋_GB2312"/>
          <w:b/>
          <w:bCs/>
          <w:kern w:val="0"/>
          <w:sz w:val="24"/>
          <w:szCs w:val="21"/>
        </w:rPr>
      </w:pPr>
      <w:r>
        <w:rPr>
          <w:rFonts w:eastAsia="仿宋_GB2312"/>
          <w:b/>
          <w:bCs/>
          <w:kern w:val="0"/>
          <w:sz w:val="24"/>
          <w:szCs w:val="21"/>
        </w:rPr>
        <w:t>图5.2-7  金坛（2000-2019）年总降水量（单位：毫米，虚线为趋势线）</w:t>
      </w:r>
    </w:p>
    <w:p>
      <w:pPr>
        <w:widowControl/>
        <w:spacing w:line="500" w:lineRule="exact"/>
        <w:ind w:firstLine="560" w:firstLineChars="200"/>
        <w:jc w:val="left"/>
        <w:rPr>
          <w:rFonts w:eastAsia="仿宋_GB2312"/>
          <w:kern w:val="0"/>
          <w:sz w:val="28"/>
          <w:szCs w:val="28"/>
        </w:rPr>
      </w:pPr>
      <w:r>
        <w:rPr>
          <w:rFonts w:eastAsia="仿宋_GB2312"/>
          <w:kern w:val="0"/>
          <w:sz w:val="28"/>
          <w:szCs w:val="28"/>
        </w:rPr>
        <w:t>5）气象站日照分析</w:t>
      </w:r>
    </w:p>
    <w:p>
      <w:pPr>
        <w:widowControl/>
        <w:spacing w:line="500" w:lineRule="exact"/>
        <w:ind w:firstLine="560" w:firstLineChars="200"/>
        <w:jc w:val="left"/>
        <w:rPr>
          <w:rFonts w:eastAsia="仿宋_GB2312"/>
          <w:kern w:val="0"/>
          <w:sz w:val="28"/>
          <w:szCs w:val="28"/>
        </w:rPr>
      </w:pPr>
      <w:r>
        <w:rPr>
          <w:rFonts w:eastAsia="仿宋_GB2312"/>
          <w:kern w:val="0"/>
          <w:sz w:val="28"/>
          <w:szCs w:val="28"/>
        </w:rPr>
        <w:t>（1）月日照时数</w:t>
      </w:r>
    </w:p>
    <w:p>
      <w:pPr>
        <w:widowControl/>
        <w:spacing w:line="500" w:lineRule="exact"/>
        <w:ind w:firstLine="560" w:firstLineChars="200"/>
        <w:jc w:val="left"/>
        <w:rPr>
          <w:rFonts w:eastAsia="仿宋_GB2312"/>
          <w:kern w:val="0"/>
          <w:sz w:val="28"/>
          <w:szCs w:val="28"/>
        </w:rPr>
      </w:pPr>
      <w:r>
        <w:rPr>
          <w:rFonts w:eastAsia="仿宋_GB2312"/>
          <w:kern w:val="0"/>
          <w:sz w:val="28"/>
          <w:szCs w:val="28"/>
        </w:rPr>
        <w:t>金坛气象站07月日照最长（207.5小时），02月日照最短（113.4小时）。</w:t>
      </w:r>
    </w:p>
    <w:p>
      <w:pPr>
        <w:widowControl/>
        <w:jc w:val="center"/>
        <w:rPr>
          <w:rFonts w:eastAsia="仿宋_GB2312"/>
          <w:kern w:val="0"/>
          <w:sz w:val="24"/>
        </w:rPr>
      </w:pPr>
      <w:r>
        <w:rPr>
          <w:rFonts w:eastAsia="仿宋_GB2312"/>
          <w:kern w:val="0"/>
          <w:sz w:val="24"/>
        </w:rPr>
        <w:drawing>
          <wp:inline distT="0" distB="0" distL="0" distR="0">
            <wp:extent cx="3552825" cy="2800350"/>
            <wp:effectExtent l="0" t="0" r="9525" b="0"/>
            <wp:docPr id="23" name="图片 23" descr="C:\Users\Administrator\AppData\Roaming\Tencent\Users\305953593\QQ\WinTemp\RichOle\3I@~}80VOKWN7W5[3TZ4A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AppData\Roaming\Tencent\Users\305953593\QQ\WinTemp\RichOle\3I@~}80VOKWN7W5[3TZ4ARS.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3552825" cy="2800350"/>
                    </a:xfrm>
                    <a:prstGeom prst="rect">
                      <a:avLst/>
                    </a:prstGeom>
                    <a:noFill/>
                    <a:ln>
                      <a:noFill/>
                    </a:ln>
                  </pic:spPr>
                </pic:pic>
              </a:graphicData>
            </a:graphic>
          </wp:inline>
        </w:drawing>
      </w:r>
    </w:p>
    <w:p>
      <w:pPr>
        <w:widowControl/>
        <w:spacing w:line="500" w:lineRule="exact"/>
        <w:ind w:firstLine="482" w:firstLineChars="200"/>
        <w:jc w:val="center"/>
        <w:rPr>
          <w:rFonts w:eastAsia="仿宋_GB2312"/>
          <w:b/>
          <w:bCs/>
          <w:kern w:val="0"/>
          <w:sz w:val="24"/>
          <w:szCs w:val="21"/>
        </w:rPr>
      </w:pPr>
      <w:r>
        <w:rPr>
          <w:rFonts w:eastAsia="仿宋_GB2312"/>
          <w:b/>
          <w:bCs/>
          <w:kern w:val="0"/>
          <w:sz w:val="24"/>
          <w:szCs w:val="21"/>
        </w:rPr>
        <w:t>图5.2-8  金坛月日照时数（单位：小时）</w:t>
      </w:r>
    </w:p>
    <w:p>
      <w:pPr>
        <w:widowControl/>
        <w:spacing w:line="500" w:lineRule="exact"/>
        <w:ind w:firstLine="560" w:firstLineChars="200"/>
        <w:jc w:val="left"/>
        <w:rPr>
          <w:rFonts w:eastAsia="仿宋_GB2312"/>
          <w:kern w:val="0"/>
          <w:sz w:val="28"/>
          <w:szCs w:val="28"/>
        </w:rPr>
      </w:pPr>
      <w:r>
        <w:rPr>
          <w:rFonts w:eastAsia="仿宋_GB2312"/>
          <w:kern w:val="0"/>
          <w:sz w:val="28"/>
          <w:szCs w:val="28"/>
        </w:rPr>
        <w:t>（2）日照时数年际变化趋势与周期分析</w:t>
      </w:r>
    </w:p>
    <w:p>
      <w:pPr>
        <w:widowControl/>
        <w:spacing w:line="500" w:lineRule="exact"/>
        <w:ind w:firstLine="560" w:firstLineChars="200"/>
        <w:jc w:val="left"/>
        <w:rPr>
          <w:rFonts w:eastAsia="仿宋_GB2312"/>
          <w:kern w:val="0"/>
          <w:sz w:val="28"/>
          <w:szCs w:val="28"/>
        </w:rPr>
      </w:pPr>
      <w:r>
        <w:rPr>
          <w:rFonts w:eastAsia="仿宋_GB2312"/>
          <w:kern w:val="0"/>
          <w:sz w:val="28"/>
          <w:szCs w:val="28"/>
        </w:rPr>
        <w:t>金坛气象站近20年年日照时数无明显变化趋势，2013年年日照时数最长（2236.5小时），2019年年日照时数最短（1679.8小时），无明显周期。</w:t>
      </w:r>
    </w:p>
    <w:p>
      <w:pPr>
        <w:widowControl/>
        <w:jc w:val="center"/>
        <w:rPr>
          <w:rFonts w:eastAsia="仿宋_GB2312"/>
          <w:kern w:val="0"/>
          <w:sz w:val="24"/>
        </w:rPr>
      </w:pPr>
      <w:r>
        <w:rPr>
          <w:rFonts w:eastAsia="仿宋_GB2312"/>
          <w:kern w:val="0"/>
          <w:sz w:val="24"/>
        </w:rPr>
        <w:drawing>
          <wp:inline distT="0" distB="0" distL="0" distR="0">
            <wp:extent cx="3686175" cy="2819400"/>
            <wp:effectExtent l="0" t="0" r="9525" b="0"/>
            <wp:docPr id="22" name="图片 22" descr="C:\Users\Administrator\AppData\Roaming\Tencent\Users\305953593\QQ\WinTemp\RichOle\BI1YHFCYOU7LOR3_BA7~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AppData\Roaming\Tencent\Users\305953593\QQ\WinTemp\RichOle\BI1YHFCYOU7LOR3_BA7~B`B.png"/>
                    <pic:cNvPicPr>
                      <a:picLocks noChangeAspect="1" noChangeArrowheads="1"/>
                    </pic:cNvPicPr>
                  </pic:nvPicPr>
                  <pic:blipFill>
                    <a:blip r:embed="rId67">
                      <a:extLst>
                        <a:ext uri="{28A0092B-C50C-407E-A947-70E740481C1C}">
                          <a14:useLocalDpi xmlns:a14="http://schemas.microsoft.com/office/drawing/2010/main" val="0"/>
                        </a:ext>
                      </a:extLst>
                    </a:blip>
                    <a:srcRect t="6432"/>
                    <a:stretch>
                      <a:fillRect/>
                    </a:stretch>
                  </pic:blipFill>
                  <pic:spPr>
                    <a:xfrm>
                      <a:off x="0" y="0"/>
                      <a:ext cx="3686175" cy="2819400"/>
                    </a:xfrm>
                    <a:prstGeom prst="rect">
                      <a:avLst/>
                    </a:prstGeom>
                    <a:noFill/>
                    <a:ln>
                      <a:noFill/>
                    </a:ln>
                  </pic:spPr>
                </pic:pic>
              </a:graphicData>
            </a:graphic>
          </wp:inline>
        </w:drawing>
      </w:r>
    </w:p>
    <w:p>
      <w:pPr>
        <w:widowControl/>
        <w:spacing w:line="500" w:lineRule="exact"/>
        <w:ind w:firstLine="482" w:firstLineChars="200"/>
        <w:jc w:val="center"/>
        <w:rPr>
          <w:rFonts w:eastAsia="仿宋_GB2312"/>
          <w:b/>
          <w:bCs/>
          <w:kern w:val="0"/>
          <w:sz w:val="24"/>
          <w:szCs w:val="21"/>
        </w:rPr>
      </w:pPr>
      <w:r>
        <w:rPr>
          <w:rFonts w:eastAsia="仿宋_GB2312"/>
          <w:b/>
          <w:bCs/>
          <w:kern w:val="0"/>
          <w:sz w:val="24"/>
          <w:szCs w:val="21"/>
        </w:rPr>
        <w:t>图5.2-9  金坛（2000-2019）年日照时长（单位：小时，虚线为趋势线）</w:t>
      </w:r>
    </w:p>
    <w:p>
      <w:pPr>
        <w:widowControl/>
        <w:spacing w:line="500" w:lineRule="exact"/>
        <w:ind w:firstLine="560" w:firstLineChars="200"/>
        <w:jc w:val="left"/>
        <w:rPr>
          <w:rFonts w:eastAsia="仿宋_GB2312"/>
          <w:kern w:val="0"/>
          <w:sz w:val="28"/>
          <w:szCs w:val="28"/>
        </w:rPr>
      </w:pPr>
      <w:r>
        <w:rPr>
          <w:rFonts w:eastAsia="仿宋_GB2312"/>
          <w:kern w:val="0"/>
          <w:sz w:val="28"/>
          <w:szCs w:val="28"/>
        </w:rPr>
        <w:t>6）气象站相对湿度分析</w:t>
      </w:r>
    </w:p>
    <w:p>
      <w:pPr>
        <w:widowControl/>
        <w:spacing w:line="500" w:lineRule="exact"/>
        <w:ind w:firstLine="560" w:firstLineChars="200"/>
        <w:jc w:val="left"/>
        <w:rPr>
          <w:rFonts w:eastAsia="仿宋_GB2312"/>
          <w:kern w:val="0"/>
          <w:sz w:val="28"/>
          <w:szCs w:val="28"/>
        </w:rPr>
      </w:pPr>
      <w:r>
        <w:rPr>
          <w:rFonts w:eastAsia="仿宋_GB2312"/>
          <w:kern w:val="0"/>
          <w:sz w:val="28"/>
          <w:szCs w:val="28"/>
        </w:rPr>
        <w:t>（1）月相对湿度分析</w:t>
      </w:r>
    </w:p>
    <w:p>
      <w:pPr>
        <w:widowControl/>
        <w:spacing w:line="500" w:lineRule="exact"/>
        <w:ind w:firstLine="560" w:firstLineChars="200"/>
        <w:jc w:val="left"/>
        <w:rPr>
          <w:rFonts w:eastAsia="仿宋_GB2312"/>
          <w:kern w:val="0"/>
          <w:sz w:val="28"/>
          <w:szCs w:val="28"/>
        </w:rPr>
      </w:pPr>
      <w:r>
        <w:rPr>
          <w:rFonts w:eastAsia="仿宋_GB2312"/>
          <w:kern w:val="0"/>
          <w:sz w:val="28"/>
          <w:szCs w:val="28"/>
        </w:rPr>
        <w:t>金坛气象站08月平均相对湿度最大（78.4%），03月平均相对湿度最小（</w:t>
      </w:r>
      <w:bookmarkStart w:id="326" w:name="_Hlk21943971"/>
      <w:r>
        <w:rPr>
          <w:rFonts w:eastAsia="仿宋_GB2312"/>
          <w:kern w:val="0"/>
          <w:sz w:val="28"/>
          <w:szCs w:val="28"/>
        </w:rPr>
        <w:t>70.5%）。</w:t>
      </w:r>
    </w:p>
    <w:p>
      <w:pPr>
        <w:widowControl/>
        <w:jc w:val="center"/>
        <w:rPr>
          <w:rFonts w:eastAsia="仿宋_GB2312"/>
          <w:kern w:val="0"/>
          <w:sz w:val="24"/>
        </w:rPr>
      </w:pPr>
      <w:r>
        <w:rPr>
          <w:rFonts w:eastAsia="仿宋_GB2312"/>
          <w:kern w:val="0"/>
          <w:sz w:val="24"/>
        </w:rPr>
        <w:drawing>
          <wp:inline distT="0" distB="0" distL="0" distR="0">
            <wp:extent cx="3238500" cy="2562225"/>
            <wp:effectExtent l="0" t="0" r="0" b="9525"/>
            <wp:docPr id="5" name="图片 5" descr="C:\Users\Administrator\AppData\Roaming\Tencent\Users\305953593\QQ\WinTemp\RichOle\XYGAZ$RYPT]BM7W4G9{P2R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Tencent\Users\305953593\QQ\WinTemp\RichOle\XYGAZ$RYPT]BM7W4G9{P2RJ.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238500" cy="2562225"/>
                    </a:xfrm>
                    <a:prstGeom prst="rect">
                      <a:avLst/>
                    </a:prstGeom>
                    <a:noFill/>
                    <a:ln>
                      <a:noFill/>
                    </a:ln>
                  </pic:spPr>
                </pic:pic>
              </a:graphicData>
            </a:graphic>
          </wp:inline>
        </w:drawing>
      </w:r>
    </w:p>
    <w:p>
      <w:pPr>
        <w:widowControl/>
        <w:spacing w:line="500" w:lineRule="exact"/>
        <w:ind w:firstLine="482" w:firstLineChars="200"/>
        <w:jc w:val="center"/>
        <w:rPr>
          <w:rFonts w:eastAsia="仿宋_GB2312"/>
          <w:b/>
          <w:bCs/>
          <w:kern w:val="0"/>
          <w:sz w:val="24"/>
          <w:szCs w:val="21"/>
        </w:rPr>
      </w:pPr>
      <w:r>
        <w:rPr>
          <w:rFonts w:eastAsia="仿宋_GB2312"/>
          <w:b/>
          <w:bCs/>
          <w:kern w:val="0"/>
          <w:sz w:val="24"/>
          <w:szCs w:val="21"/>
        </w:rPr>
        <w:t>图5.2-10  金坛月平均相对湿度（纵轴为百分比）</w:t>
      </w:r>
    </w:p>
    <w:p>
      <w:pPr>
        <w:widowControl/>
        <w:spacing w:line="500" w:lineRule="exact"/>
        <w:ind w:firstLine="560" w:firstLineChars="200"/>
        <w:jc w:val="left"/>
        <w:rPr>
          <w:rFonts w:eastAsia="仿宋_GB2312"/>
          <w:kern w:val="0"/>
          <w:sz w:val="28"/>
          <w:szCs w:val="28"/>
        </w:rPr>
      </w:pPr>
      <w:r>
        <w:rPr>
          <w:rFonts w:eastAsia="仿宋_GB2312"/>
          <w:kern w:val="0"/>
          <w:sz w:val="28"/>
          <w:szCs w:val="28"/>
        </w:rPr>
        <w:t>（2）相对湿度年际变化趋势与周期分析</w:t>
      </w:r>
    </w:p>
    <w:p>
      <w:pPr>
        <w:widowControl/>
        <w:spacing w:line="500" w:lineRule="exact"/>
        <w:ind w:firstLine="560" w:firstLineChars="200"/>
        <w:jc w:val="left"/>
        <w:rPr>
          <w:rFonts w:eastAsia="仿宋_GB2312"/>
          <w:kern w:val="0"/>
          <w:sz w:val="28"/>
          <w:szCs w:val="28"/>
        </w:rPr>
      </w:pPr>
      <w:r>
        <w:rPr>
          <w:rFonts w:eastAsia="仿宋_GB2312"/>
          <w:kern w:val="0"/>
          <w:sz w:val="28"/>
          <w:szCs w:val="28"/>
        </w:rPr>
        <w:t>金坛气象站近20年年平均相对湿度无明显变化趋势，2015年年平均相对湿度最大（78.0%），2013年年平均相对湿度最小（69.0%），周期为5年。</w:t>
      </w:r>
    </w:p>
    <w:p>
      <w:pPr>
        <w:widowControl/>
        <w:jc w:val="center"/>
        <w:rPr>
          <w:rFonts w:eastAsia="仿宋_GB2312"/>
          <w:kern w:val="0"/>
          <w:sz w:val="24"/>
        </w:rPr>
      </w:pPr>
      <w:r>
        <w:rPr>
          <w:rFonts w:eastAsia="仿宋_GB2312"/>
          <w:kern w:val="0"/>
          <w:sz w:val="24"/>
        </w:rPr>
        <w:drawing>
          <wp:inline distT="0" distB="0" distL="0" distR="0">
            <wp:extent cx="3867150" cy="2971800"/>
            <wp:effectExtent l="0" t="0" r="0" b="0"/>
            <wp:docPr id="49" name="图片 49" descr="C:\Users\Administrator\AppData\Roaming\Tencent\Users\305953593\QQ\WinTemp\RichOle\)@EL%Y`}PEX138@$C@M4D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Administrator\AppData\Roaming\Tencent\Users\305953593\QQ\WinTemp\RichOle\)@EL%Y`}PEX138@$C@M4DC1.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867150" cy="2971800"/>
                    </a:xfrm>
                    <a:prstGeom prst="rect">
                      <a:avLst/>
                    </a:prstGeom>
                    <a:noFill/>
                    <a:ln>
                      <a:noFill/>
                    </a:ln>
                  </pic:spPr>
                </pic:pic>
              </a:graphicData>
            </a:graphic>
          </wp:inline>
        </w:drawing>
      </w:r>
    </w:p>
    <w:p>
      <w:pPr>
        <w:widowControl/>
        <w:spacing w:line="500" w:lineRule="exact"/>
        <w:jc w:val="left"/>
        <w:rPr>
          <w:rFonts w:eastAsia="仿宋_GB2312"/>
          <w:kern w:val="0"/>
          <w:sz w:val="24"/>
        </w:rPr>
      </w:pPr>
      <w:r>
        <w:rPr>
          <w:rFonts w:eastAsia="仿宋_GB2312"/>
          <w:b/>
          <w:bCs/>
          <w:kern w:val="0"/>
          <w:sz w:val="24"/>
          <w:szCs w:val="21"/>
        </w:rPr>
        <w:t>图5.2-11  金坛（2000-2019）年平均相对湿度（纵轴为百分比，虚线为趋势线）</w:t>
      </w:r>
      <w:bookmarkEnd w:id="326"/>
    </w:p>
    <w:p>
      <w:pPr>
        <w:keepNext/>
        <w:widowControl/>
        <w:numPr>
          <w:ilvl w:val="3"/>
          <w:numId w:val="1"/>
        </w:numPr>
        <w:adjustRightInd w:val="0"/>
        <w:snapToGrid w:val="0"/>
        <w:spacing w:after="120" w:afterLines="50" w:line="500" w:lineRule="exact"/>
        <w:ind w:left="0" w:firstLine="0"/>
        <w:jc w:val="left"/>
        <w:outlineLvl w:val="3"/>
        <w:rPr>
          <w:rFonts w:eastAsia="仿宋_GB2312"/>
          <w:b/>
          <w:bCs/>
          <w:sz w:val="28"/>
          <w:szCs w:val="28"/>
        </w:rPr>
      </w:pPr>
      <w:r>
        <w:rPr>
          <w:rFonts w:eastAsia="仿宋_GB2312"/>
          <w:b/>
          <w:bCs/>
          <w:sz w:val="28"/>
          <w:szCs w:val="28"/>
        </w:rPr>
        <w:t>预测模式</w:t>
      </w:r>
    </w:p>
    <w:p>
      <w:pPr>
        <w:spacing w:line="500" w:lineRule="exact"/>
        <w:ind w:firstLine="560" w:firstLineChars="200"/>
        <w:rPr>
          <w:rFonts w:eastAsia="仿宋_GB2312"/>
          <w:sz w:val="28"/>
          <w:szCs w:val="28"/>
        </w:rPr>
      </w:pPr>
      <w:r>
        <w:rPr>
          <w:rFonts w:eastAsia="仿宋_GB2312"/>
          <w:sz w:val="28"/>
          <w:szCs w:val="28"/>
        </w:rPr>
        <w:t>根据《环境影响评价技术导则——大气环境》（HJ2.2-2018）要求，本项目评价等级定为二级评价，因此，本项目预测模式选用估算模式AERSCREEN进行，估算模式是一种单源预测模式，估算模式中嵌入了多种预设的气象组合条件，包括一些最不利的气象条件，此类气象条件在该地区可能发生也可能不发生。经估算模式计算的最大地面浓度大于进一步模式预测的结果。对于小于1小时的短期非正常排放可以采用估算模式进行预测。</w:t>
      </w:r>
    </w:p>
    <w:p>
      <w:pPr>
        <w:keepNext/>
        <w:widowControl/>
        <w:numPr>
          <w:ilvl w:val="3"/>
          <w:numId w:val="1"/>
        </w:numPr>
        <w:adjustRightInd w:val="0"/>
        <w:snapToGrid w:val="0"/>
        <w:spacing w:after="120" w:afterLines="50" w:line="500" w:lineRule="exact"/>
        <w:ind w:left="0" w:firstLine="0"/>
        <w:jc w:val="left"/>
        <w:outlineLvl w:val="3"/>
        <w:rPr>
          <w:rFonts w:eastAsia="仿宋_GB2312"/>
          <w:b/>
          <w:bCs/>
          <w:sz w:val="28"/>
          <w:szCs w:val="28"/>
        </w:rPr>
      </w:pPr>
      <w:r>
        <w:rPr>
          <w:rFonts w:eastAsia="仿宋_GB2312"/>
          <w:b/>
          <w:bCs/>
          <w:sz w:val="28"/>
          <w:szCs w:val="28"/>
        </w:rPr>
        <w:t>预测方案</w:t>
      </w:r>
    </w:p>
    <w:p>
      <w:pPr>
        <w:spacing w:line="500" w:lineRule="exact"/>
        <w:ind w:firstLine="560" w:firstLineChars="200"/>
        <w:rPr>
          <w:rFonts w:eastAsia="仿宋_GB2312"/>
          <w:sz w:val="28"/>
          <w:szCs w:val="28"/>
        </w:rPr>
      </w:pPr>
      <w:r>
        <w:rPr>
          <w:rFonts w:eastAsia="仿宋_GB2312"/>
          <w:sz w:val="28"/>
          <w:szCs w:val="28"/>
        </w:rPr>
        <w:t>根据《环境影响评价技术导则——大气环境》（HJ2.2-2018）要求，“8.1.2二级评价项目不进行进一步预测与评价，只对污染物排放量进行核算”。</w:t>
      </w:r>
    </w:p>
    <w:p>
      <w:pPr>
        <w:keepNext/>
        <w:widowControl/>
        <w:adjustRightInd w:val="0"/>
        <w:snapToGrid w:val="0"/>
        <w:spacing w:after="120" w:afterLines="50" w:line="500" w:lineRule="exact"/>
        <w:jc w:val="left"/>
        <w:outlineLvl w:val="3"/>
        <w:rPr>
          <w:rFonts w:eastAsia="仿宋_GB2312"/>
          <w:b/>
          <w:bCs/>
          <w:sz w:val="28"/>
          <w:szCs w:val="28"/>
        </w:rPr>
        <w:sectPr>
          <w:footerReference r:id="rId19" w:type="default"/>
          <w:pgSz w:w="11906" w:h="16838"/>
          <w:pgMar w:top="1843" w:right="1616" w:bottom="1440" w:left="1680" w:header="1191" w:footer="992" w:gutter="0"/>
          <w:cols w:space="425" w:num="1"/>
          <w:docGrid w:linePitch="312" w:charSpace="0"/>
        </w:sectPr>
      </w:pPr>
    </w:p>
    <w:p>
      <w:pPr>
        <w:keepNext/>
        <w:widowControl/>
        <w:numPr>
          <w:ilvl w:val="3"/>
          <w:numId w:val="1"/>
        </w:numPr>
        <w:adjustRightInd w:val="0"/>
        <w:snapToGrid w:val="0"/>
        <w:spacing w:after="120" w:afterLines="50" w:line="500" w:lineRule="exact"/>
        <w:ind w:left="0" w:firstLine="0"/>
        <w:jc w:val="left"/>
        <w:outlineLvl w:val="3"/>
        <w:rPr>
          <w:rFonts w:eastAsia="仿宋_GB2312"/>
          <w:b/>
          <w:bCs/>
          <w:sz w:val="28"/>
          <w:szCs w:val="28"/>
        </w:rPr>
      </w:pPr>
      <w:r>
        <w:rPr>
          <w:rFonts w:eastAsia="仿宋_GB2312"/>
          <w:b/>
          <w:bCs/>
          <w:sz w:val="28"/>
          <w:szCs w:val="28"/>
        </w:rPr>
        <w:t>污染源参数</w:t>
      </w:r>
    </w:p>
    <w:p>
      <w:pPr>
        <w:spacing w:line="500" w:lineRule="exact"/>
        <w:ind w:firstLine="560" w:firstLineChars="200"/>
        <w:rPr>
          <w:rFonts w:eastAsia="仿宋_GB2312"/>
          <w:sz w:val="28"/>
          <w:szCs w:val="28"/>
        </w:rPr>
      </w:pPr>
      <w:r>
        <w:rPr>
          <w:rFonts w:hint="eastAsia" w:eastAsia="仿宋_GB2312"/>
          <w:sz w:val="28"/>
          <w:szCs w:val="28"/>
        </w:rPr>
        <w:t>（1）</w:t>
      </w:r>
      <w:r>
        <w:rPr>
          <w:rFonts w:eastAsia="仿宋_GB2312"/>
          <w:sz w:val="28"/>
          <w:szCs w:val="28"/>
        </w:rPr>
        <w:t>本项目正常工况下的点源排放源强见表5.2-5，面源排放源强见表5.2-6</w:t>
      </w:r>
      <w:r>
        <w:rPr>
          <w:rFonts w:hint="eastAsia" w:eastAsia="仿宋_GB2312"/>
          <w:sz w:val="28"/>
          <w:szCs w:val="28"/>
        </w:rPr>
        <w:t>，项目</w:t>
      </w:r>
      <w:r>
        <w:rPr>
          <w:rFonts w:eastAsia="仿宋_GB2312"/>
          <w:sz w:val="28"/>
          <w:szCs w:val="28"/>
        </w:rPr>
        <w:t>参数</w:t>
      </w:r>
      <w:r>
        <w:rPr>
          <w:rFonts w:hint="eastAsia" w:eastAsia="仿宋_GB2312"/>
          <w:sz w:val="28"/>
          <w:szCs w:val="28"/>
        </w:rPr>
        <w:t>表</w:t>
      </w:r>
      <w:r>
        <w:rPr>
          <w:rFonts w:eastAsia="仿宋_GB2312"/>
          <w:sz w:val="28"/>
          <w:szCs w:val="28"/>
        </w:rPr>
        <w:t>见表</w:t>
      </w:r>
      <w:r>
        <w:rPr>
          <w:rFonts w:hint="eastAsia" w:eastAsia="仿宋_GB2312"/>
          <w:sz w:val="28"/>
          <w:szCs w:val="28"/>
        </w:rPr>
        <w:t>5.2-7</w:t>
      </w:r>
      <w:r>
        <w:rPr>
          <w:rFonts w:eastAsia="仿宋_GB2312"/>
          <w:sz w:val="28"/>
          <w:szCs w:val="28"/>
        </w:rPr>
        <w:t>。</w:t>
      </w:r>
    </w:p>
    <w:p>
      <w:pPr>
        <w:spacing w:before="60" w:line="500" w:lineRule="exact"/>
        <w:ind w:firstLine="482" w:firstLineChars="200"/>
        <w:jc w:val="center"/>
        <w:rPr>
          <w:rFonts w:eastAsia="仿宋_GB2312"/>
          <w:b/>
          <w:kern w:val="0"/>
          <w:sz w:val="24"/>
          <w:szCs w:val="20"/>
        </w:rPr>
      </w:pPr>
      <w:r>
        <w:rPr>
          <w:rFonts w:eastAsia="仿宋_GB2312"/>
          <w:b/>
          <w:kern w:val="0"/>
          <w:sz w:val="24"/>
          <w:szCs w:val="20"/>
        </w:rPr>
        <w:t>表5.2-5  主要废气污染源参数一览表(点源)</w:t>
      </w:r>
    </w:p>
    <w:tbl>
      <w:tblPr>
        <w:tblStyle w:val="87"/>
        <w:tblW w:w="852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28" w:type="dxa"/>
          <w:bottom w:w="0" w:type="dxa"/>
          <w:right w:w="28" w:type="dxa"/>
        </w:tblCellMar>
      </w:tblPr>
      <w:tblGrid>
        <w:gridCol w:w="699"/>
        <w:gridCol w:w="1068"/>
        <w:gridCol w:w="1068"/>
        <w:gridCol w:w="845"/>
        <w:gridCol w:w="567"/>
        <w:gridCol w:w="567"/>
        <w:gridCol w:w="658"/>
        <w:gridCol w:w="581"/>
        <w:gridCol w:w="1222"/>
        <w:gridCol w:w="773"/>
        <w:gridCol w:w="4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blHeader/>
          <w:jc w:val="center"/>
        </w:trPr>
        <w:tc>
          <w:tcPr>
            <w:tcW w:w="0" w:type="auto"/>
            <w:vMerge w:val="restart"/>
            <w:shd w:val="clear" w:color="auto" w:fill="auto"/>
            <w:vAlign w:val="center"/>
          </w:tcPr>
          <w:p>
            <w:pPr>
              <w:pStyle w:val="124"/>
              <w:spacing w:line="360" w:lineRule="exact"/>
              <w:rPr>
                <w:rFonts w:ascii="仿宋" w:hAnsi="仿宋" w:eastAsia="仿宋"/>
              </w:rPr>
            </w:pPr>
            <w:r>
              <w:rPr>
                <w:rFonts w:ascii="仿宋" w:hAnsi="仿宋" w:eastAsia="仿宋"/>
              </w:rPr>
              <w:t>排气筒编号</w:t>
            </w:r>
          </w:p>
        </w:tc>
        <w:tc>
          <w:tcPr>
            <w:tcW w:w="0" w:type="auto"/>
            <w:gridSpan w:val="2"/>
            <w:shd w:val="clear" w:color="auto" w:fill="auto"/>
            <w:vAlign w:val="center"/>
          </w:tcPr>
          <w:p>
            <w:pPr>
              <w:pStyle w:val="124"/>
              <w:spacing w:line="360" w:lineRule="exact"/>
              <w:rPr>
                <w:rFonts w:ascii="仿宋" w:hAnsi="仿宋" w:eastAsia="仿宋"/>
              </w:rPr>
            </w:pPr>
            <w:r>
              <w:rPr>
                <w:rFonts w:ascii="仿宋" w:hAnsi="仿宋" w:eastAsia="仿宋"/>
              </w:rPr>
              <w:t>排气筒底部中心坐标</w:t>
            </w:r>
            <w:r>
              <w:rPr>
                <w:rFonts w:hint="eastAsia" w:ascii="仿宋" w:hAnsi="仿宋" w:eastAsia="仿宋"/>
              </w:rPr>
              <w:t>(</w:t>
            </w:r>
            <w:r>
              <w:rPr>
                <w:rFonts w:ascii="仿宋" w:hAnsi="仿宋" w:eastAsia="仿宋"/>
              </w:rPr>
              <w:t>o)</w:t>
            </w:r>
          </w:p>
        </w:tc>
        <w:tc>
          <w:tcPr>
            <w:tcW w:w="845" w:type="dxa"/>
            <w:vMerge w:val="restart"/>
            <w:shd w:val="clear" w:color="auto" w:fill="auto"/>
            <w:vAlign w:val="center"/>
          </w:tcPr>
          <w:p>
            <w:pPr>
              <w:pStyle w:val="124"/>
              <w:spacing w:line="360" w:lineRule="exact"/>
              <w:rPr>
                <w:rFonts w:ascii="仿宋" w:hAnsi="仿宋" w:eastAsia="仿宋"/>
              </w:rPr>
            </w:pPr>
            <w:r>
              <w:rPr>
                <w:rFonts w:ascii="仿宋" w:hAnsi="仿宋" w:eastAsia="仿宋"/>
              </w:rPr>
              <w:t>排气筒底部海拔高度(m)</w:t>
            </w:r>
          </w:p>
        </w:tc>
        <w:tc>
          <w:tcPr>
            <w:tcW w:w="2373" w:type="dxa"/>
            <w:gridSpan w:val="4"/>
            <w:shd w:val="clear" w:color="auto" w:fill="auto"/>
            <w:vAlign w:val="center"/>
          </w:tcPr>
          <w:p>
            <w:pPr>
              <w:pStyle w:val="124"/>
              <w:spacing w:line="360" w:lineRule="exact"/>
              <w:rPr>
                <w:rFonts w:ascii="仿宋" w:hAnsi="仿宋" w:eastAsia="仿宋"/>
              </w:rPr>
            </w:pPr>
            <w:r>
              <w:rPr>
                <w:rFonts w:ascii="仿宋" w:hAnsi="仿宋" w:eastAsia="仿宋"/>
              </w:rPr>
              <w:t>排气筒参数</w:t>
            </w:r>
          </w:p>
        </w:tc>
        <w:tc>
          <w:tcPr>
            <w:tcW w:w="1222" w:type="dxa"/>
            <w:vMerge w:val="restart"/>
            <w:shd w:val="clear" w:color="auto" w:fill="auto"/>
            <w:vAlign w:val="center"/>
          </w:tcPr>
          <w:p>
            <w:pPr>
              <w:pStyle w:val="124"/>
              <w:spacing w:line="360" w:lineRule="exact"/>
              <w:rPr>
                <w:rFonts w:ascii="仿宋" w:hAnsi="仿宋" w:eastAsia="仿宋"/>
              </w:rPr>
            </w:pPr>
            <w:r>
              <w:rPr>
                <w:rFonts w:ascii="仿宋" w:hAnsi="仿宋" w:eastAsia="仿宋"/>
              </w:rPr>
              <w:t>污染物名称</w:t>
            </w:r>
          </w:p>
        </w:tc>
        <w:tc>
          <w:tcPr>
            <w:tcW w:w="0" w:type="auto"/>
            <w:vMerge w:val="restart"/>
            <w:shd w:val="clear" w:color="auto" w:fill="auto"/>
            <w:vAlign w:val="center"/>
          </w:tcPr>
          <w:p>
            <w:pPr>
              <w:pStyle w:val="124"/>
              <w:spacing w:line="360" w:lineRule="exact"/>
              <w:rPr>
                <w:rFonts w:ascii="仿宋" w:hAnsi="仿宋" w:eastAsia="仿宋"/>
              </w:rPr>
            </w:pPr>
            <w:r>
              <w:rPr>
                <w:rFonts w:ascii="仿宋" w:hAnsi="仿宋" w:eastAsia="仿宋"/>
              </w:rPr>
              <w:t>排放速率</w:t>
            </w:r>
          </w:p>
        </w:tc>
        <w:tc>
          <w:tcPr>
            <w:tcW w:w="0" w:type="auto"/>
            <w:vMerge w:val="restart"/>
            <w:shd w:val="clear" w:color="auto" w:fill="auto"/>
            <w:vAlign w:val="center"/>
          </w:tcPr>
          <w:p>
            <w:pPr>
              <w:pStyle w:val="124"/>
              <w:spacing w:line="360" w:lineRule="exact"/>
              <w:rPr>
                <w:rFonts w:ascii="仿宋" w:hAnsi="仿宋" w:eastAsia="仿宋"/>
              </w:rPr>
            </w:pPr>
            <w:r>
              <w:rPr>
                <w:rFonts w:ascii="仿宋" w:hAnsi="仿宋" w:eastAsia="仿宋"/>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blHeader/>
          <w:jc w:val="center"/>
        </w:trPr>
        <w:tc>
          <w:tcPr>
            <w:tcW w:w="0" w:type="auto"/>
            <w:vMerge w:val="continue"/>
            <w:shd w:val="clear" w:color="auto" w:fill="auto"/>
            <w:vAlign w:val="center"/>
          </w:tcPr>
          <w:p>
            <w:pPr>
              <w:pStyle w:val="124"/>
              <w:spacing w:line="360" w:lineRule="exact"/>
              <w:rPr>
                <w:rFonts w:ascii="仿宋" w:hAnsi="仿宋" w:eastAsia="仿宋"/>
              </w:rPr>
            </w:pPr>
          </w:p>
        </w:tc>
        <w:tc>
          <w:tcPr>
            <w:tcW w:w="0" w:type="auto"/>
            <w:shd w:val="clear" w:color="auto" w:fill="auto"/>
            <w:vAlign w:val="center"/>
          </w:tcPr>
          <w:p>
            <w:pPr>
              <w:pStyle w:val="124"/>
              <w:spacing w:line="360" w:lineRule="exact"/>
              <w:rPr>
                <w:rFonts w:ascii="仿宋" w:hAnsi="仿宋" w:eastAsia="仿宋"/>
              </w:rPr>
            </w:pPr>
            <w:r>
              <w:rPr>
                <w:rFonts w:hint="eastAsia" w:ascii="仿宋" w:hAnsi="仿宋" w:eastAsia="仿宋"/>
              </w:rPr>
              <w:t>X</w:t>
            </w:r>
          </w:p>
        </w:tc>
        <w:tc>
          <w:tcPr>
            <w:tcW w:w="0" w:type="auto"/>
            <w:shd w:val="clear" w:color="auto" w:fill="auto"/>
            <w:vAlign w:val="center"/>
          </w:tcPr>
          <w:p>
            <w:pPr>
              <w:pStyle w:val="124"/>
              <w:spacing w:line="360" w:lineRule="exact"/>
              <w:rPr>
                <w:rFonts w:ascii="仿宋" w:hAnsi="仿宋" w:eastAsia="仿宋"/>
              </w:rPr>
            </w:pPr>
            <w:r>
              <w:rPr>
                <w:rFonts w:hint="eastAsia" w:ascii="仿宋" w:hAnsi="仿宋" w:eastAsia="仿宋"/>
              </w:rPr>
              <w:t>Y</w:t>
            </w:r>
          </w:p>
        </w:tc>
        <w:tc>
          <w:tcPr>
            <w:tcW w:w="845" w:type="dxa"/>
            <w:vMerge w:val="continue"/>
            <w:shd w:val="clear" w:color="auto" w:fill="auto"/>
            <w:vAlign w:val="center"/>
          </w:tcPr>
          <w:p>
            <w:pPr>
              <w:pStyle w:val="124"/>
              <w:spacing w:line="360" w:lineRule="exact"/>
              <w:rPr>
                <w:rFonts w:ascii="仿宋" w:hAnsi="仿宋" w:eastAsia="仿宋"/>
              </w:rPr>
            </w:pPr>
          </w:p>
        </w:tc>
        <w:tc>
          <w:tcPr>
            <w:tcW w:w="567" w:type="dxa"/>
            <w:shd w:val="clear" w:color="auto" w:fill="auto"/>
            <w:vAlign w:val="center"/>
          </w:tcPr>
          <w:p>
            <w:pPr>
              <w:pStyle w:val="124"/>
              <w:spacing w:line="360" w:lineRule="exact"/>
              <w:rPr>
                <w:rFonts w:ascii="仿宋" w:hAnsi="仿宋" w:eastAsia="仿宋"/>
              </w:rPr>
            </w:pPr>
            <w:r>
              <w:rPr>
                <w:rFonts w:ascii="仿宋" w:hAnsi="仿宋" w:eastAsia="仿宋"/>
              </w:rPr>
              <w:t>高度</w:t>
            </w:r>
          </w:p>
          <w:p>
            <w:pPr>
              <w:pStyle w:val="124"/>
              <w:spacing w:line="360" w:lineRule="exact"/>
              <w:rPr>
                <w:rFonts w:ascii="仿宋" w:hAnsi="仿宋" w:eastAsia="仿宋"/>
              </w:rPr>
            </w:pPr>
            <w:r>
              <w:rPr>
                <w:rFonts w:ascii="仿宋" w:hAnsi="仿宋" w:eastAsia="仿宋"/>
              </w:rPr>
              <w:t>(m)</w:t>
            </w:r>
          </w:p>
        </w:tc>
        <w:tc>
          <w:tcPr>
            <w:tcW w:w="567" w:type="dxa"/>
            <w:shd w:val="clear" w:color="auto" w:fill="auto"/>
            <w:vAlign w:val="center"/>
          </w:tcPr>
          <w:p>
            <w:pPr>
              <w:pStyle w:val="124"/>
              <w:spacing w:line="360" w:lineRule="exact"/>
              <w:rPr>
                <w:rFonts w:ascii="仿宋" w:hAnsi="仿宋" w:eastAsia="仿宋"/>
              </w:rPr>
            </w:pPr>
            <w:r>
              <w:rPr>
                <w:rFonts w:ascii="仿宋" w:hAnsi="仿宋" w:eastAsia="仿宋"/>
              </w:rPr>
              <w:t>内径</w:t>
            </w:r>
          </w:p>
          <w:p>
            <w:pPr>
              <w:pStyle w:val="124"/>
              <w:spacing w:line="360" w:lineRule="exact"/>
              <w:rPr>
                <w:rFonts w:ascii="仿宋" w:hAnsi="仿宋" w:eastAsia="仿宋"/>
              </w:rPr>
            </w:pPr>
            <w:r>
              <w:rPr>
                <w:rFonts w:ascii="仿宋" w:hAnsi="仿宋" w:eastAsia="仿宋"/>
              </w:rPr>
              <w:t>(m)</w:t>
            </w:r>
          </w:p>
        </w:tc>
        <w:tc>
          <w:tcPr>
            <w:tcW w:w="658" w:type="dxa"/>
            <w:shd w:val="clear" w:color="auto" w:fill="auto"/>
            <w:vAlign w:val="center"/>
          </w:tcPr>
          <w:p>
            <w:pPr>
              <w:pStyle w:val="124"/>
              <w:spacing w:line="360" w:lineRule="exact"/>
              <w:rPr>
                <w:rFonts w:ascii="仿宋" w:hAnsi="仿宋" w:eastAsia="仿宋"/>
              </w:rPr>
            </w:pPr>
            <w:r>
              <w:rPr>
                <w:rFonts w:ascii="仿宋" w:hAnsi="仿宋" w:eastAsia="仿宋"/>
              </w:rPr>
              <w:t>温度</w:t>
            </w:r>
          </w:p>
          <w:p>
            <w:pPr>
              <w:pStyle w:val="124"/>
              <w:spacing w:line="360" w:lineRule="exact"/>
              <w:rPr>
                <w:rFonts w:ascii="仿宋" w:hAnsi="仿宋" w:eastAsia="仿宋"/>
              </w:rPr>
            </w:pPr>
            <w:r>
              <w:rPr>
                <w:rFonts w:ascii="仿宋" w:hAnsi="仿宋" w:eastAsia="仿宋"/>
              </w:rPr>
              <w:t>(</w:t>
            </w:r>
            <w:r>
              <w:rPr>
                <w:rFonts w:hint="eastAsia" w:ascii="仿宋" w:hAnsi="仿宋" w:eastAsia="仿宋"/>
              </w:rPr>
              <w:t>℃</w:t>
            </w:r>
            <w:r>
              <w:rPr>
                <w:rFonts w:ascii="仿宋" w:hAnsi="仿宋" w:eastAsia="仿宋"/>
              </w:rPr>
              <w:t>)</w:t>
            </w:r>
          </w:p>
        </w:tc>
        <w:tc>
          <w:tcPr>
            <w:tcW w:w="581" w:type="dxa"/>
            <w:shd w:val="clear" w:color="auto" w:fill="auto"/>
            <w:vAlign w:val="center"/>
          </w:tcPr>
          <w:p>
            <w:pPr>
              <w:pStyle w:val="124"/>
              <w:spacing w:line="360" w:lineRule="exact"/>
              <w:rPr>
                <w:rFonts w:ascii="仿宋" w:hAnsi="仿宋" w:eastAsia="仿宋"/>
              </w:rPr>
            </w:pPr>
            <w:r>
              <w:rPr>
                <w:rFonts w:ascii="仿宋" w:hAnsi="仿宋" w:eastAsia="仿宋"/>
              </w:rPr>
              <w:t>流速</w:t>
            </w:r>
          </w:p>
          <w:p>
            <w:pPr>
              <w:pStyle w:val="124"/>
              <w:spacing w:line="360" w:lineRule="exact"/>
              <w:rPr>
                <w:rFonts w:ascii="仿宋" w:hAnsi="仿宋" w:eastAsia="仿宋"/>
              </w:rPr>
            </w:pPr>
            <w:r>
              <w:rPr>
                <w:rFonts w:ascii="仿宋" w:hAnsi="仿宋" w:eastAsia="仿宋"/>
              </w:rPr>
              <w:t>(m/s)</w:t>
            </w:r>
          </w:p>
        </w:tc>
        <w:tc>
          <w:tcPr>
            <w:tcW w:w="1222" w:type="dxa"/>
            <w:vMerge w:val="continue"/>
            <w:shd w:val="clear" w:color="auto" w:fill="auto"/>
            <w:vAlign w:val="center"/>
          </w:tcPr>
          <w:p>
            <w:pPr>
              <w:pStyle w:val="124"/>
              <w:spacing w:line="360" w:lineRule="exact"/>
              <w:rPr>
                <w:rFonts w:ascii="仿宋" w:hAnsi="仿宋" w:eastAsia="仿宋"/>
              </w:rPr>
            </w:pPr>
          </w:p>
        </w:tc>
        <w:tc>
          <w:tcPr>
            <w:tcW w:w="0" w:type="auto"/>
            <w:vMerge w:val="continue"/>
            <w:shd w:val="clear" w:color="auto" w:fill="auto"/>
            <w:vAlign w:val="center"/>
          </w:tcPr>
          <w:p>
            <w:pPr>
              <w:pStyle w:val="124"/>
              <w:spacing w:line="360" w:lineRule="exact"/>
              <w:rPr>
                <w:rFonts w:ascii="仿宋" w:hAnsi="仿宋" w:eastAsia="仿宋"/>
              </w:rPr>
            </w:pPr>
          </w:p>
        </w:tc>
        <w:tc>
          <w:tcPr>
            <w:tcW w:w="0" w:type="auto"/>
            <w:vMerge w:val="continue"/>
            <w:shd w:val="clear" w:color="auto" w:fill="auto"/>
            <w:vAlign w:val="center"/>
          </w:tcPr>
          <w:p>
            <w:pPr>
              <w:pStyle w:val="124"/>
              <w:spacing w:line="360" w:lineRule="exact"/>
              <w:rPr>
                <w:rFonts w:ascii="仿宋" w:hAnsi="仿宋" w:eastAsia="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10" w:hRule="atLeast"/>
          <w:jc w:val="center"/>
        </w:trPr>
        <w:tc>
          <w:tcPr>
            <w:tcW w:w="0" w:type="auto"/>
            <w:vMerge w:val="restart"/>
            <w:shd w:val="clear" w:color="auto" w:fill="auto"/>
            <w:vAlign w:val="center"/>
          </w:tcPr>
          <w:p>
            <w:pPr>
              <w:pStyle w:val="124"/>
              <w:spacing w:line="360" w:lineRule="exact"/>
              <w:rPr>
                <w:rFonts w:ascii="仿宋" w:hAnsi="仿宋" w:eastAsia="仿宋"/>
              </w:rPr>
            </w:pPr>
            <w:r>
              <w:rPr>
                <w:rFonts w:hint="eastAsia" w:ascii="仿宋" w:hAnsi="仿宋" w:eastAsia="仿宋"/>
              </w:rPr>
              <w:t>1#</w:t>
            </w:r>
          </w:p>
        </w:tc>
        <w:tc>
          <w:tcPr>
            <w:tcW w:w="0" w:type="auto"/>
            <w:vMerge w:val="restart"/>
            <w:shd w:val="clear" w:color="auto" w:fill="auto"/>
            <w:vAlign w:val="center"/>
          </w:tcPr>
          <w:p>
            <w:pPr>
              <w:pStyle w:val="124"/>
              <w:spacing w:line="360" w:lineRule="exact"/>
              <w:rPr>
                <w:rFonts w:ascii="仿宋" w:hAnsi="仿宋" w:eastAsia="仿宋"/>
              </w:rPr>
            </w:pPr>
            <w:r>
              <w:rPr>
                <w:rFonts w:hint="eastAsia" w:ascii="仿宋" w:hAnsi="仿宋" w:eastAsia="仿宋"/>
              </w:rPr>
              <w:t>119.55309</w:t>
            </w:r>
          </w:p>
        </w:tc>
        <w:tc>
          <w:tcPr>
            <w:tcW w:w="0" w:type="auto"/>
            <w:vMerge w:val="restart"/>
            <w:shd w:val="clear" w:color="auto" w:fill="auto"/>
            <w:vAlign w:val="center"/>
          </w:tcPr>
          <w:p>
            <w:pPr>
              <w:pStyle w:val="124"/>
              <w:spacing w:line="360" w:lineRule="exact"/>
              <w:rPr>
                <w:rFonts w:ascii="仿宋" w:hAnsi="仿宋" w:eastAsia="仿宋"/>
              </w:rPr>
            </w:pPr>
            <w:r>
              <w:rPr>
                <w:rFonts w:hint="eastAsia" w:ascii="仿宋" w:hAnsi="仿宋" w:eastAsia="仿宋"/>
              </w:rPr>
              <w:t>31.770204</w:t>
            </w:r>
          </w:p>
        </w:tc>
        <w:tc>
          <w:tcPr>
            <w:tcW w:w="845" w:type="dxa"/>
            <w:vMerge w:val="restart"/>
            <w:shd w:val="clear" w:color="auto" w:fill="auto"/>
            <w:vAlign w:val="center"/>
          </w:tcPr>
          <w:p>
            <w:pPr>
              <w:pStyle w:val="124"/>
              <w:spacing w:line="360" w:lineRule="exact"/>
              <w:rPr>
                <w:rFonts w:ascii="仿宋" w:hAnsi="仿宋" w:eastAsia="仿宋"/>
              </w:rPr>
            </w:pPr>
            <w:r>
              <w:rPr>
                <w:rFonts w:hint="eastAsia" w:ascii="仿宋" w:hAnsi="仿宋" w:eastAsia="仿宋"/>
              </w:rPr>
              <w:t>3</w:t>
            </w:r>
          </w:p>
        </w:tc>
        <w:tc>
          <w:tcPr>
            <w:tcW w:w="567" w:type="dxa"/>
            <w:vMerge w:val="restart"/>
            <w:shd w:val="clear" w:color="auto" w:fill="auto"/>
            <w:vAlign w:val="center"/>
          </w:tcPr>
          <w:p>
            <w:pPr>
              <w:pStyle w:val="124"/>
              <w:spacing w:line="360" w:lineRule="exact"/>
              <w:rPr>
                <w:rFonts w:ascii="仿宋" w:hAnsi="仿宋" w:eastAsia="仿宋"/>
              </w:rPr>
            </w:pPr>
            <w:r>
              <w:rPr>
                <w:rFonts w:hint="eastAsia" w:ascii="仿宋" w:hAnsi="仿宋" w:eastAsia="仿宋"/>
              </w:rPr>
              <w:t>15</w:t>
            </w:r>
          </w:p>
        </w:tc>
        <w:tc>
          <w:tcPr>
            <w:tcW w:w="567" w:type="dxa"/>
            <w:vMerge w:val="restart"/>
            <w:shd w:val="clear" w:color="auto" w:fill="auto"/>
            <w:vAlign w:val="center"/>
          </w:tcPr>
          <w:p>
            <w:pPr>
              <w:pStyle w:val="124"/>
              <w:spacing w:line="360" w:lineRule="exact"/>
              <w:rPr>
                <w:rFonts w:ascii="仿宋" w:hAnsi="仿宋" w:eastAsia="仿宋"/>
              </w:rPr>
            </w:pPr>
            <w:r>
              <w:rPr>
                <w:rFonts w:hint="eastAsia" w:ascii="仿宋" w:hAnsi="仿宋" w:eastAsia="仿宋"/>
              </w:rPr>
              <w:t>1.7</w:t>
            </w:r>
          </w:p>
        </w:tc>
        <w:tc>
          <w:tcPr>
            <w:tcW w:w="658" w:type="dxa"/>
            <w:vMerge w:val="restart"/>
            <w:shd w:val="clear" w:color="auto" w:fill="auto"/>
            <w:vAlign w:val="center"/>
          </w:tcPr>
          <w:p>
            <w:pPr>
              <w:pStyle w:val="124"/>
              <w:spacing w:line="360" w:lineRule="exact"/>
              <w:rPr>
                <w:rFonts w:ascii="仿宋" w:hAnsi="仿宋" w:eastAsia="仿宋"/>
              </w:rPr>
            </w:pPr>
            <w:r>
              <w:rPr>
                <w:rFonts w:hint="eastAsia" w:ascii="仿宋" w:hAnsi="仿宋" w:eastAsia="仿宋"/>
              </w:rPr>
              <w:t>50</w:t>
            </w:r>
          </w:p>
        </w:tc>
        <w:tc>
          <w:tcPr>
            <w:tcW w:w="581" w:type="dxa"/>
            <w:vMerge w:val="restart"/>
            <w:shd w:val="clear" w:color="auto" w:fill="auto"/>
            <w:vAlign w:val="center"/>
          </w:tcPr>
          <w:p>
            <w:pPr>
              <w:pStyle w:val="124"/>
              <w:spacing w:line="360" w:lineRule="exact"/>
              <w:rPr>
                <w:rFonts w:ascii="仿宋" w:hAnsi="仿宋" w:eastAsia="仿宋"/>
              </w:rPr>
            </w:pPr>
            <w:r>
              <w:rPr>
                <w:rFonts w:hint="eastAsia" w:ascii="仿宋" w:hAnsi="仿宋" w:eastAsia="仿宋"/>
              </w:rPr>
              <w:t>6.12</w:t>
            </w:r>
          </w:p>
        </w:tc>
        <w:tc>
          <w:tcPr>
            <w:tcW w:w="1222" w:type="dxa"/>
            <w:shd w:val="clear" w:color="auto" w:fill="auto"/>
            <w:vAlign w:val="center"/>
          </w:tcPr>
          <w:p>
            <w:pPr>
              <w:pStyle w:val="124"/>
              <w:spacing w:line="360" w:lineRule="exact"/>
              <w:rPr>
                <w:rFonts w:ascii="仿宋" w:hAnsi="仿宋" w:eastAsia="仿宋"/>
              </w:rPr>
            </w:pPr>
            <w:r>
              <w:rPr>
                <w:rFonts w:hint="eastAsia" w:ascii="仿宋" w:hAnsi="仿宋" w:eastAsia="仿宋"/>
              </w:rPr>
              <w:t>非甲烷</w:t>
            </w:r>
            <w:r>
              <w:rPr>
                <w:rFonts w:ascii="仿宋" w:hAnsi="仿宋" w:eastAsia="仿宋"/>
              </w:rPr>
              <w:t>总烃</w:t>
            </w:r>
          </w:p>
        </w:tc>
        <w:tc>
          <w:tcPr>
            <w:tcW w:w="773" w:type="dxa"/>
            <w:shd w:val="clear" w:color="auto" w:fill="auto"/>
            <w:vAlign w:val="center"/>
          </w:tcPr>
          <w:p>
            <w:pPr>
              <w:pStyle w:val="124"/>
              <w:spacing w:line="360" w:lineRule="exact"/>
              <w:rPr>
                <w:rFonts w:ascii="仿宋" w:hAnsi="仿宋" w:eastAsia="仿宋"/>
              </w:rPr>
            </w:pPr>
            <w:r>
              <w:rPr>
                <w:rFonts w:hint="eastAsia" w:ascii="仿宋" w:hAnsi="仿宋" w:eastAsia="仿宋"/>
              </w:rPr>
              <w:t>0</w:t>
            </w:r>
            <w:r>
              <w:rPr>
                <w:rFonts w:ascii="仿宋" w:hAnsi="仿宋" w:eastAsia="仿宋"/>
              </w:rPr>
              <w:t>.34</w:t>
            </w:r>
          </w:p>
        </w:tc>
        <w:tc>
          <w:tcPr>
            <w:tcW w:w="0" w:type="auto"/>
            <w:vMerge w:val="restart"/>
            <w:shd w:val="clear" w:color="auto" w:fill="auto"/>
            <w:vAlign w:val="center"/>
          </w:tcPr>
          <w:p>
            <w:pPr>
              <w:pStyle w:val="124"/>
              <w:spacing w:line="360" w:lineRule="exact"/>
              <w:rPr>
                <w:rFonts w:ascii="仿宋" w:hAnsi="仿宋" w:eastAsia="仿宋"/>
              </w:rPr>
            </w:pPr>
            <w:r>
              <w:rPr>
                <w:rFonts w:ascii="仿宋" w:hAnsi="仿宋" w:eastAsia="仿宋"/>
              </w:rPr>
              <w:t>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10" w:hRule="atLeast"/>
          <w:jc w:val="center"/>
        </w:trPr>
        <w:tc>
          <w:tcPr>
            <w:tcW w:w="0" w:type="auto"/>
            <w:vMerge w:val="continue"/>
            <w:shd w:val="clear" w:color="auto" w:fill="auto"/>
            <w:vAlign w:val="center"/>
          </w:tcPr>
          <w:p>
            <w:pPr>
              <w:pStyle w:val="124"/>
              <w:spacing w:line="360" w:lineRule="exact"/>
              <w:rPr>
                <w:rFonts w:ascii="仿宋" w:hAnsi="仿宋" w:eastAsia="仿宋"/>
              </w:rPr>
            </w:pPr>
          </w:p>
        </w:tc>
        <w:tc>
          <w:tcPr>
            <w:tcW w:w="0" w:type="auto"/>
            <w:vMerge w:val="continue"/>
            <w:shd w:val="clear" w:color="auto" w:fill="auto"/>
            <w:vAlign w:val="center"/>
          </w:tcPr>
          <w:p>
            <w:pPr>
              <w:pStyle w:val="124"/>
              <w:spacing w:line="360" w:lineRule="exact"/>
              <w:rPr>
                <w:rFonts w:ascii="仿宋" w:hAnsi="仿宋" w:eastAsia="仿宋"/>
              </w:rPr>
            </w:pPr>
          </w:p>
        </w:tc>
        <w:tc>
          <w:tcPr>
            <w:tcW w:w="0" w:type="auto"/>
            <w:vMerge w:val="continue"/>
            <w:shd w:val="clear" w:color="auto" w:fill="auto"/>
            <w:vAlign w:val="center"/>
          </w:tcPr>
          <w:p>
            <w:pPr>
              <w:pStyle w:val="124"/>
              <w:spacing w:line="360" w:lineRule="exact"/>
              <w:rPr>
                <w:rFonts w:ascii="仿宋" w:hAnsi="仿宋" w:eastAsia="仿宋"/>
              </w:rPr>
            </w:pPr>
          </w:p>
        </w:tc>
        <w:tc>
          <w:tcPr>
            <w:tcW w:w="845" w:type="dxa"/>
            <w:vMerge w:val="continue"/>
            <w:shd w:val="clear" w:color="auto" w:fill="auto"/>
            <w:vAlign w:val="center"/>
          </w:tcPr>
          <w:p>
            <w:pPr>
              <w:pStyle w:val="124"/>
              <w:spacing w:line="360" w:lineRule="exact"/>
              <w:rPr>
                <w:rFonts w:ascii="仿宋" w:hAnsi="仿宋" w:eastAsia="仿宋"/>
              </w:rPr>
            </w:pPr>
          </w:p>
        </w:tc>
        <w:tc>
          <w:tcPr>
            <w:tcW w:w="567" w:type="dxa"/>
            <w:vMerge w:val="continue"/>
            <w:shd w:val="clear" w:color="auto" w:fill="auto"/>
            <w:vAlign w:val="center"/>
          </w:tcPr>
          <w:p>
            <w:pPr>
              <w:pStyle w:val="124"/>
              <w:spacing w:line="360" w:lineRule="exact"/>
              <w:rPr>
                <w:rFonts w:ascii="仿宋" w:hAnsi="仿宋" w:eastAsia="仿宋"/>
              </w:rPr>
            </w:pPr>
          </w:p>
        </w:tc>
        <w:tc>
          <w:tcPr>
            <w:tcW w:w="567" w:type="dxa"/>
            <w:vMerge w:val="continue"/>
            <w:shd w:val="clear" w:color="auto" w:fill="auto"/>
            <w:vAlign w:val="center"/>
          </w:tcPr>
          <w:p>
            <w:pPr>
              <w:pStyle w:val="124"/>
              <w:spacing w:line="360" w:lineRule="exact"/>
              <w:rPr>
                <w:rFonts w:ascii="仿宋" w:hAnsi="仿宋" w:eastAsia="仿宋"/>
              </w:rPr>
            </w:pPr>
          </w:p>
        </w:tc>
        <w:tc>
          <w:tcPr>
            <w:tcW w:w="658" w:type="dxa"/>
            <w:vMerge w:val="continue"/>
            <w:shd w:val="clear" w:color="auto" w:fill="auto"/>
            <w:vAlign w:val="center"/>
          </w:tcPr>
          <w:p>
            <w:pPr>
              <w:pStyle w:val="124"/>
              <w:spacing w:line="360" w:lineRule="exact"/>
              <w:rPr>
                <w:rFonts w:ascii="仿宋" w:hAnsi="仿宋" w:eastAsia="仿宋"/>
              </w:rPr>
            </w:pPr>
          </w:p>
        </w:tc>
        <w:tc>
          <w:tcPr>
            <w:tcW w:w="581" w:type="dxa"/>
            <w:vMerge w:val="continue"/>
            <w:shd w:val="clear" w:color="auto" w:fill="auto"/>
            <w:vAlign w:val="center"/>
          </w:tcPr>
          <w:p>
            <w:pPr>
              <w:pStyle w:val="124"/>
              <w:spacing w:line="360" w:lineRule="exact"/>
              <w:rPr>
                <w:rFonts w:ascii="仿宋" w:hAnsi="仿宋" w:eastAsia="仿宋"/>
              </w:rPr>
            </w:pPr>
          </w:p>
        </w:tc>
        <w:tc>
          <w:tcPr>
            <w:tcW w:w="1222" w:type="dxa"/>
            <w:shd w:val="clear" w:color="auto" w:fill="auto"/>
            <w:vAlign w:val="center"/>
          </w:tcPr>
          <w:p>
            <w:pPr>
              <w:pStyle w:val="124"/>
              <w:spacing w:line="360" w:lineRule="exact"/>
              <w:rPr>
                <w:rFonts w:ascii="仿宋" w:hAnsi="仿宋" w:eastAsia="仿宋"/>
              </w:rPr>
            </w:pPr>
            <w:r>
              <w:rPr>
                <w:rFonts w:hint="eastAsia" w:ascii="仿宋" w:hAnsi="仿宋" w:eastAsia="仿宋"/>
              </w:rPr>
              <w:t>乙酸乙酯</w:t>
            </w:r>
          </w:p>
        </w:tc>
        <w:tc>
          <w:tcPr>
            <w:tcW w:w="773" w:type="dxa"/>
            <w:shd w:val="clear" w:color="auto" w:fill="auto"/>
            <w:vAlign w:val="center"/>
          </w:tcPr>
          <w:p>
            <w:pPr>
              <w:pStyle w:val="124"/>
              <w:spacing w:line="360" w:lineRule="exact"/>
              <w:rPr>
                <w:rFonts w:ascii="仿宋" w:hAnsi="仿宋" w:eastAsia="仿宋"/>
              </w:rPr>
            </w:pPr>
            <w:r>
              <w:rPr>
                <w:rFonts w:hint="eastAsia" w:ascii="仿宋" w:hAnsi="仿宋" w:eastAsia="仿宋"/>
              </w:rPr>
              <w:t>0</w:t>
            </w:r>
            <w:r>
              <w:rPr>
                <w:rFonts w:ascii="仿宋" w:hAnsi="仿宋" w:eastAsia="仿宋"/>
              </w:rPr>
              <w:t>.29</w:t>
            </w:r>
          </w:p>
        </w:tc>
        <w:tc>
          <w:tcPr>
            <w:tcW w:w="0" w:type="auto"/>
            <w:vMerge w:val="continue"/>
            <w:shd w:val="clear" w:color="auto" w:fill="auto"/>
            <w:vAlign w:val="center"/>
          </w:tcPr>
          <w:p>
            <w:pPr>
              <w:pStyle w:val="124"/>
              <w:spacing w:line="360" w:lineRule="exact"/>
              <w:rPr>
                <w:rFonts w:ascii="仿宋" w:hAnsi="仿宋" w:eastAsia="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10" w:hRule="atLeast"/>
          <w:jc w:val="center"/>
        </w:trPr>
        <w:tc>
          <w:tcPr>
            <w:tcW w:w="0" w:type="auto"/>
            <w:vMerge w:val="continue"/>
            <w:shd w:val="clear" w:color="auto" w:fill="auto"/>
            <w:vAlign w:val="center"/>
          </w:tcPr>
          <w:p>
            <w:pPr>
              <w:pStyle w:val="124"/>
              <w:spacing w:line="360" w:lineRule="exact"/>
              <w:rPr>
                <w:rFonts w:ascii="仿宋" w:hAnsi="仿宋" w:eastAsia="仿宋"/>
              </w:rPr>
            </w:pPr>
          </w:p>
        </w:tc>
        <w:tc>
          <w:tcPr>
            <w:tcW w:w="0" w:type="auto"/>
            <w:vMerge w:val="continue"/>
            <w:shd w:val="clear" w:color="auto" w:fill="auto"/>
            <w:vAlign w:val="center"/>
          </w:tcPr>
          <w:p>
            <w:pPr>
              <w:pStyle w:val="124"/>
              <w:spacing w:line="360" w:lineRule="exact"/>
              <w:rPr>
                <w:rFonts w:ascii="仿宋" w:hAnsi="仿宋" w:eastAsia="仿宋"/>
              </w:rPr>
            </w:pPr>
          </w:p>
        </w:tc>
        <w:tc>
          <w:tcPr>
            <w:tcW w:w="0" w:type="auto"/>
            <w:vMerge w:val="continue"/>
            <w:shd w:val="clear" w:color="auto" w:fill="auto"/>
            <w:vAlign w:val="center"/>
          </w:tcPr>
          <w:p>
            <w:pPr>
              <w:pStyle w:val="124"/>
              <w:spacing w:line="360" w:lineRule="exact"/>
              <w:rPr>
                <w:rFonts w:ascii="仿宋" w:hAnsi="仿宋" w:eastAsia="仿宋"/>
              </w:rPr>
            </w:pPr>
          </w:p>
        </w:tc>
        <w:tc>
          <w:tcPr>
            <w:tcW w:w="845" w:type="dxa"/>
            <w:vMerge w:val="continue"/>
            <w:shd w:val="clear" w:color="auto" w:fill="auto"/>
            <w:vAlign w:val="center"/>
          </w:tcPr>
          <w:p>
            <w:pPr>
              <w:pStyle w:val="124"/>
              <w:spacing w:line="360" w:lineRule="exact"/>
              <w:rPr>
                <w:rFonts w:ascii="仿宋" w:hAnsi="仿宋" w:eastAsia="仿宋"/>
              </w:rPr>
            </w:pPr>
          </w:p>
        </w:tc>
        <w:tc>
          <w:tcPr>
            <w:tcW w:w="567" w:type="dxa"/>
            <w:vMerge w:val="continue"/>
            <w:shd w:val="clear" w:color="auto" w:fill="auto"/>
            <w:vAlign w:val="center"/>
          </w:tcPr>
          <w:p>
            <w:pPr>
              <w:pStyle w:val="124"/>
              <w:spacing w:line="360" w:lineRule="exact"/>
              <w:rPr>
                <w:rFonts w:ascii="仿宋" w:hAnsi="仿宋" w:eastAsia="仿宋"/>
              </w:rPr>
            </w:pPr>
          </w:p>
        </w:tc>
        <w:tc>
          <w:tcPr>
            <w:tcW w:w="567" w:type="dxa"/>
            <w:vMerge w:val="continue"/>
            <w:shd w:val="clear" w:color="auto" w:fill="auto"/>
            <w:vAlign w:val="center"/>
          </w:tcPr>
          <w:p>
            <w:pPr>
              <w:pStyle w:val="124"/>
              <w:spacing w:line="360" w:lineRule="exact"/>
              <w:rPr>
                <w:rFonts w:ascii="仿宋" w:hAnsi="仿宋" w:eastAsia="仿宋"/>
              </w:rPr>
            </w:pPr>
          </w:p>
        </w:tc>
        <w:tc>
          <w:tcPr>
            <w:tcW w:w="658" w:type="dxa"/>
            <w:vMerge w:val="continue"/>
            <w:shd w:val="clear" w:color="auto" w:fill="auto"/>
            <w:vAlign w:val="center"/>
          </w:tcPr>
          <w:p>
            <w:pPr>
              <w:pStyle w:val="124"/>
              <w:spacing w:line="360" w:lineRule="exact"/>
              <w:rPr>
                <w:rFonts w:ascii="仿宋" w:hAnsi="仿宋" w:eastAsia="仿宋"/>
              </w:rPr>
            </w:pPr>
          </w:p>
        </w:tc>
        <w:tc>
          <w:tcPr>
            <w:tcW w:w="581" w:type="dxa"/>
            <w:vMerge w:val="continue"/>
            <w:shd w:val="clear" w:color="auto" w:fill="auto"/>
            <w:vAlign w:val="center"/>
          </w:tcPr>
          <w:p>
            <w:pPr>
              <w:pStyle w:val="124"/>
              <w:spacing w:line="360" w:lineRule="exact"/>
              <w:rPr>
                <w:rFonts w:ascii="仿宋" w:hAnsi="仿宋" w:eastAsia="仿宋"/>
              </w:rPr>
            </w:pPr>
          </w:p>
        </w:tc>
        <w:tc>
          <w:tcPr>
            <w:tcW w:w="1222" w:type="dxa"/>
            <w:shd w:val="clear" w:color="auto" w:fill="auto"/>
            <w:vAlign w:val="center"/>
          </w:tcPr>
          <w:p>
            <w:pPr>
              <w:pStyle w:val="124"/>
              <w:spacing w:line="360" w:lineRule="exact"/>
              <w:rPr>
                <w:rFonts w:ascii="仿宋" w:hAnsi="仿宋" w:eastAsia="仿宋"/>
              </w:rPr>
            </w:pPr>
            <w:r>
              <w:rPr>
                <w:rFonts w:hint="eastAsia" w:ascii="仿宋" w:hAnsi="仿宋" w:eastAsia="仿宋"/>
              </w:rPr>
              <w:t>二甲苯</w:t>
            </w:r>
          </w:p>
        </w:tc>
        <w:tc>
          <w:tcPr>
            <w:tcW w:w="773" w:type="dxa"/>
            <w:shd w:val="clear" w:color="auto" w:fill="auto"/>
            <w:vAlign w:val="center"/>
          </w:tcPr>
          <w:p>
            <w:pPr>
              <w:pStyle w:val="124"/>
              <w:spacing w:line="360" w:lineRule="exact"/>
              <w:rPr>
                <w:rFonts w:ascii="仿宋" w:hAnsi="仿宋" w:eastAsia="仿宋"/>
              </w:rPr>
            </w:pPr>
            <w:r>
              <w:rPr>
                <w:rFonts w:hint="eastAsia" w:ascii="仿宋" w:hAnsi="仿宋" w:eastAsia="仿宋"/>
              </w:rPr>
              <w:t>0</w:t>
            </w:r>
            <w:r>
              <w:rPr>
                <w:rFonts w:ascii="仿宋" w:hAnsi="仿宋" w:eastAsia="仿宋"/>
              </w:rPr>
              <w:t>.03</w:t>
            </w:r>
          </w:p>
        </w:tc>
        <w:tc>
          <w:tcPr>
            <w:tcW w:w="0" w:type="auto"/>
            <w:vMerge w:val="continue"/>
            <w:shd w:val="clear" w:color="auto" w:fill="auto"/>
            <w:vAlign w:val="center"/>
          </w:tcPr>
          <w:p>
            <w:pPr>
              <w:pStyle w:val="124"/>
              <w:spacing w:line="360" w:lineRule="exact"/>
              <w:rPr>
                <w:rFonts w:ascii="仿宋" w:hAnsi="仿宋" w:eastAsia="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10" w:hRule="atLeast"/>
          <w:jc w:val="center"/>
        </w:trPr>
        <w:tc>
          <w:tcPr>
            <w:tcW w:w="0" w:type="auto"/>
            <w:vMerge w:val="continue"/>
            <w:shd w:val="clear" w:color="auto" w:fill="auto"/>
            <w:vAlign w:val="center"/>
          </w:tcPr>
          <w:p>
            <w:pPr>
              <w:pStyle w:val="124"/>
              <w:spacing w:line="360" w:lineRule="exact"/>
              <w:rPr>
                <w:rFonts w:ascii="仿宋" w:hAnsi="仿宋" w:eastAsia="仿宋"/>
              </w:rPr>
            </w:pPr>
          </w:p>
        </w:tc>
        <w:tc>
          <w:tcPr>
            <w:tcW w:w="0" w:type="auto"/>
            <w:vMerge w:val="continue"/>
            <w:shd w:val="clear" w:color="auto" w:fill="auto"/>
            <w:vAlign w:val="center"/>
          </w:tcPr>
          <w:p>
            <w:pPr>
              <w:pStyle w:val="124"/>
              <w:spacing w:line="360" w:lineRule="exact"/>
              <w:rPr>
                <w:rFonts w:ascii="仿宋" w:hAnsi="仿宋" w:eastAsia="仿宋"/>
              </w:rPr>
            </w:pPr>
          </w:p>
        </w:tc>
        <w:tc>
          <w:tcPr>
            <w:tcW w:w="0" w:type="auto"/>
            <w:vMerge w:val="continue"/>
            <w:shd w:val="clear" w:color="auto" w:fill="auto"/>
            <w:vAlign w:val="center"/>
          </w:tcPr>
          <w:p>
            <w:pPr>
              <w:pStyle w:val="124"/>
              <w:spacing w:line="360" w:lineRule="exact"/>
              <w:rPr>
                <w:rFonts w:ascii="仿宋" w:hAnsi="仿宋" w:eastAsia="仿宋"/>
              </w:rPr>
            </w:pPr>
          </w:p>
        </w:tc>
        <w:tc>
          <w:tcPr>
            <w:tcW w:w="845" w:type="dxa"/>
            <w:vMerge w:val="continue"/>
            <w:shd w:val="clear" w:color="auto" w:fill="auto"/>
            <w:vAlign w:val="center"/>
          </w:tcPr>
          <w:p>
            <w:pPr>
              <w:pStyle w:val="124"/>
              <w:spacing w:line="360" w:lineRule="exact"/>
              <w:rPr>
                <w:rFonts w:ascii="仿宋" w:hAnsi="仿宋" w:eastAsia="仿宋"/>
              </w:rPr>
            </w:pPr>
          </w:p>
        </w:tc>
        <w:tc>
          <w:tcPr>
            <w:tcW w:w="567" w:type="dxa"/>
            <w:vMerge w:val="continue"/>
            <w:shd w:val="clear" w:color="auto" w:fill="auto"/>
            <w:vAlign w:val="center"/>
          </w:tcPr>
          <w:p>
            <w:pPr>
              <w:pStyle w:val="124"/>
              <w:spacing w:line="360" w:lineRule="exact"/>
              <w:rPr>
                <w:rFonts w:ascii="仿宋" w:hAnsi="仿宋" w:eastAsia="仿宋"/>
              </w:rPr>
            </w:pPr>
          </w:p>
        </w:tc>
        <w:tc>
          <w:tcPr>
            <w:tcW w:w="567" w:type="dxa"/>
            <w:vMerge w:val="continue"/>
            <w:shd w:val="clear" w:color="auto" w:fill="auto"/>
            <w:vAlign w:val="center"/>
          </w:tcPr>
          <w:p>
            <w:pPr>
              <w:pStyle w:val="124"/>
              <w:spacing w:line="360" w:lineRule="exact"/>
              <w:rPr>
                <w:rFonts w:ascii="仿宋" w:hAnsi="仿宋" w:eastAsia="仿宋"/>
              </w:rPr>
            </w:pPr>
          </w:p>
        </w:tc>
        <w:tc>
          <w:tcPr>
            <w:tcW w:w="658" w:type="dxa"/>
            <w:vMerge w:val="continue"/>
            <w:shd w:val="clear" w:color="auto" w:fill="auto"/>
            <w:vAlign w:val="center"/>
          </w:tcPr>
          <w:p>
            <w:pPr>
              <w:pStyle w:val="124"/>
              <w:spacing w:line="360" w:lineRule="exact"/>
              <w:rPr>
                <w:rFonts w:ascii="仿宋" w:hAnsi="仿宋" w:eastAsia="仿宋"/>
              </w:rPr>
            </w:pPr>
          </w:p>
        </w:tc>
        <w:tc>
          <w:tcPr>
            <w:tcW w:w="581" w:type="dxa"/>
            <w:vMerge w:val="continue"/>
            <w:shd w:val="clear" w:color="auto" w:fill="auto"/>
            <w:vAlign w:val="center"/>
          </w:tcPr>
          <w:p>
            <w:pPr>
              <w:pStyle w:val="124"/>
              <w:spacing w:line="360" w:lineRule="exact"/>
              <w:rPr>
                <w:rFonts w:ascii="仿宋" w:hAnsi="仿宋" w:eastAsia="仿宋"/>
              </w:rPr>
            </w:pPr>
          </w:p>
        </w:tc>
        <w:tc>
          <w:tcPr>
            <w:tcW w:w="1222" w:type="dxa"/>
            <w:shd w:val="clear" w:color="auto" w:fill="auto"/>
            <w:vAlign w:val="center"/>
          </w:tcPr>
          <w:p>
            <w:pPr>
              <w:pStyle w:val="124"/>
              <w:spacing w:line="360" w:lineRule="exact"/>
              <w:rPr>
                <w:rFonts w:ascii="仿宋" w:hAnsi="仿宋" w:eastAsia="仿宋"/>
              </w:rPr>
            </w:pPr>
            <w:r>
              <w:rPr>
                <w:rFonts w:hint="eastAsia" w:ascii="仿宋" w:hAnsi="仿宋" w:eastAsia="仿宋"/>
              </w:rPr>
              <w:t>颗粒物</w:t>
            </w:r>
          </w:p>
        </w:tc>
        <w:tc>
          <w:tcPr>
            <w:tcW w:w="773"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.009</w:t>
            </w:r>
          </w:p>
        </w:tc>
        <w:tc>
          <w:tcPr>
            <w:tcW w:w="0" w:type="auto"/>
            <w:vMerge w:val="continue"/>
            <w:shd w:val="clear" w:color="auto" w:fill="auto"/>
            <w:vAlign w:val="center"/>
          </w:tcPr>
          <w:p>
            <w:pPr>
              <w:pStyle w:val="124"/>
              <w:spacing w:line="360" w:lineRule="exact"/>
              <w:rPr>
                <w:rFonts w:ascii="仿宋" w:hAnsi="仿宋" w:eastAsia="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10" w:hRule="atLeast"/>
          <w:jc w:val="center"/>
        </w:trPr>
        <w:tc>
          <w:tcPr>
            <w:tcW w:w="0" w:type="auto"/>
            <w:vMerge w:val="continue"/>
            <w:shd w:val="clear" w:color="auto" w:fill="auto"/>
            <w:vAlign w:val="center"/>
          </w:tcPr>
          <w:p>
            <w:pPr>
              <w:pStyle w:val="124"/>
              <w:spacing w:line="360" w:lineRule="exact"/>
              <w:rPr>
                <w:rFonts w:ascii="仿宋" w:hAnsi="仿宋" w:eastAsia="仿宋"/>
              </w:rPr>
            </w:pPr>
          </w:p>
        </w:tc>
        <w:tc>
          <w:tcPr>
            <w:tcW w:w="0" w:type="auto"/>
            <w:vMerge w:val="continue"/>
            <w:shd w:val="clear" w:color="auto" w:fill="auto"/>
            <w:vAlign w:val="center"/>
          </w:tcPr>
          <w:p>
            <w:pPr>
              <w:pStyle w:val="124"/>
              <w:spacing w:line="360" w:lineRule="exact"/>
              <w:rPr>
                <w:rFonts w:ascii="仿宋" w:hAnsi="仿宋" w:eastAsia="仿宋"/>
              </w:rPr>
            </w:pPr>
          </w:p>
        </w:tc>
        <w:tc>
          <w:tcPr>
            <w:tcW w:w="0" w:type="auto"/>
            <w:vMerge w:val="continue"/>
            <w:shd w:val="clear" w:color="auto" w:fill="auto"/>
            <w:vAlign w:val="center"/>
          </w:tcPr>
          <w:p>
            <w:pPr>
              <w:pStyle w:val="124"/>
              <w:spacing w:line="360" w:lineRule="exact"/>
              <w:rPr>
                <w:rFonts w:ascii="仿宋" w:hAnsi="仿宋" w:eastAsia="仿宋"/>
              </w:rPr>
            </w:pPr>
          </w:p>
        </w:tc>
        <w:tc>
          <w:tcPr>
            <w:tcW w:w="845" w:type="dxa"/>
            <w:vMerge w:val="continue"/>
            <w:shd w:val="clear" w:color="auto" w:fill="auto"/>
            <w:vAlign w:val="center"/>
          </w:tcPr>
          <w:p>
            <w:pPr>
              <w:pStyle w:val="124"/>
              <w:spacing w:line="360" w:lineRule="exact"/>
              <w:rPr>
                <w:rFonts w:ascii="仿宋" w:hAnsi="仿宋" w:eastAsia="仿宋"/>
              </w:rPr>
            </w:pPr>
          </w:p>
        </w:tc>
        <w:tc>
          <w:tcPr>
            <w:tcW w:w="567" w:type="dxa"/>
            <w:vMerge w:val="continue"/>
            <w:shd w:val="clear" w:color="auto" w:fill="auto"/>
            <w:vAlign w:val="center"/>
          </w:tcPr>
          <w:p>
            <w:pPr>
              <w:pStyle w:val="124"/>
              <w:spacing w:line="360" w:lineRule="exact"/>
              <w:rPr>
                <w:rFonts w:ascii="仿宋" w:hAnsi="仿宋" w:eastAsia="仿宋"/>
              </w:rPr>
            </w:pPr>
          </w:p>
        </w:tc>
        <w:tc>
          <w:tcPr>
            <w:tcW w:w="567" w:type="dxa"/>
            <w:vMerge w:val="continue"/>
            <w:shd w:val="clear" w:color="auto" w:fill="auto"/>
            <w:vAlign w:val="center"/>
          </w:tcPr>
          <w:p>
            <w:pPr>
              <w:pStyle w:val="124"/>
              <w:spacing w:line="360" w:lineRule="exact"/>
              <w:rPr>
                <w:rFonts w:ascii="仿宋" w:hAnsi="仿宋" w:eastAsia="仿宋"/>
              </w:rPr>
            </w:pPr>
          </w:p>
        </w:tc>
        <w:tc>
          <w:tcPr>
            <w:tcW w:w="658" w:type="dxa"/>
            <w:vMerge w:val="continue"/>
            <w:shd w:val="clear" w:color="auto" w:fill="auto"/>
            <w:vAlign w:val="center"/>
          </w:tcPr>
          <w:p>
            <w:pPr>
              <w:pStyle w:val="124"/>
              <w:spacing w:line="360" w:lineRule="exact"/>
              <w:rPr>
                <w:rFonts w:ascii="仿宋" w:hAnsi="仿宋" w:eastAsia="仿宋"/>
              </w:rPr>
            </w:pPr>
          </w:p>
        </w:tc>
        <w:tc>
          <w:tcPr>
            <w:tcW w:w="581" w:type="dxa"/>
            <w:vMerge w:val="continue"/>
            <w:shd w:val="clear" w:color="auto" w:fill="auto"/>
            <w:vAlign w:val="center"/>
          </w:tcPr>
          <w:p>
            <w:pPr>
              <w:pStyle w:val="124"/>
              <w:spacing w:line="360" w:lineRule="exact"/>
              <w:rPr>
                <w:rFonts w:ascii="仿宋" w:hAnsi="仿宋" w:eastAsia="仿宋"/>
              </w:rPr>
            </w:pPr>
          </w:p>
        </w:tc>
        <w:tc>
          <w:tcPr>
            <w:tcW w:w="1222" w:type="dxa"/>
            <w:shd w:val="clear" w:color="auto" w:fill="auto"/>
            <w:vAlign w:val="center"/>
          </w:tcPr>
          <w:p>
            <w:pPr>
              <w:pStyle w:val="124"/>
              <w:spacing w:line="360" w:lineRule="exact"/>
              <w:rPr>
                <w:rFonts w:ascii="仿宋" w:hAnsi="仿宋" w:eastAsia="仿宋"/>
              </w:rPr>
            </w:pPr>
            <w:r>
              <w:rPr>
                <w:rFonts w:hint="eastAsia" w:ascii="仿宋" w:hAnsi="仿宋" w:eastAsia="仿宋"/>
              </w:rPr>
              <w:t>SO</w:t>
            </w:r>
            <w:r>
              <w:rPr>
                <w:rFonts w:hint="eastAsia" w:ascii="仿宋" w:hAnsi="仿宋" w:eastAsia="仿宋"/>
                <w:vertAlign w:val="subscript"/>
              </w:rPr>
              <w:t>2</w:t>
            </w:r>
          </w:p>
        </w:tc>
        <w:tc>
          <w:tcPr>
            <w:tcW w:w="773"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.007</w:t>
            </w:r>
          </w:p>
        </w:tc>
        <w:tc>
          <w:tcPr>
            <w:tcW w:w="0" w:type="auto"/>
            <w:vMerge w:val="continue"/>
            <w:shd w:val="clear" w:color="auto" w:fill="auto"/>
            <w:vAlign w:val="center"/>
          </w:tcPr>
          <w:p>
            <w:pPr>
              <w:pStyle w:val="124"/>
              <w:spacing w:line="360" w:lineRule="exact"/>
              <w:rPr>
                <w:rFonts w:ascii="仿宋" w:hAnsi="仿宋" w:eastAsia="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10" w:hRule="atLeast"/>
          <w:jc w:val="center"/>
        </w:trPr>
        <w:tc>
          <w:tcPr>
            <w:tcW w:w="0" w:type="auto"/>
            <w:vMerge w:val="continue"/>
            <w:shd w:val="clear" w:color="auto" w:fill="auto"/>
            <w:vAlign w:val="center"/>
          </w:tcPr>
          <w:p>
            <w:pPr>
              <w:pStyle w:val="124"/>
              <w:spacing w:line="360" w:lineRule="exact"/>
              <w:rPr>
                <w:rFonts w:ascii="仿宋" w:hAnsi="仿宋" w:eastAsia="仿宋"/>
              </w:rPr>
            </w:pPr>
          </w:p>
        </w:tc>
        <w:tc>
          <w:tcPr>
            <w:tcW w:w="0" w:type="auto"/>
            <w:vMerge w:val="continue"/>
            <w:shd w:val="clear" w:color="auto" w:fill="auto"/>
            <w:vAlign w:val="center"/>
          </w:tcPr>
          <w:p>
            <w:pPr>
              <w:pStyle w:val="124"/>
              <w:spacing w:line="360" w:lineRule="exact"/>
              <w:rPr>
                <w:rFonts w:ascii="仿宋" w:hAnsi="仿宋" w:eastAsia="仿宋"/>
              </w:rPr>
            </w:pPr>
          </w:p>
        </w:tc>
        <w:tc>
          <w:tcPr>
            <w:tcW w:w="0" w:type="auto"/>
            <w:vMerge w:val="continue"/>
            <w:shd w:val="clear" w:color="auto" w:fill="auto"/>
            <w:vAlign w:val="center"/>
          </w:tcPr>
          <w:p>
            <w:pPr>
              <w:pStyle w:val="124"/>
              <w:spacing w:line="360" w:lineRule="exact"/>
              <w:rPr>
                <w:rFonts w:ascii="仿宋" w:hAnsi="仿宋" w:eastAsia="仿宋"/>
              </w:rPr>
            </w:pPr>
          </w:p>
        </w:tc>
        <w:tc>
          <w:tcPr>
            <w:tcW w:w="845" w:type="dxa"/>
            <w:vMerge w:val="continue"/>
            <w:shd w:val="clear" w:color="auto" w:fill="auto"/>
            <w:vAlign w:val="center"/>
          </w:tcPr>
          <w:p>
            <w:pPr>
              <w:pStyle w:val="124"/>
              <w:spacing w:line="360" w:lineRule="exact"/>
              <w:rPr>
                <w:rFonts w:ascii="仿宋" w:hAnsi="仿宋" w:eastAsia="仿宋"/>
              </w:rPr>
            </w:pPr>
          </w:p>
        </w:tc>
        <w:tc>
          <w:tcPr>
            <w:tcW w:w="567" w:type="dxa"/>
            <w:vMerge w:val="continue"/>
            <w:shd w:val="clear" w:color="auto" w:fill="auto"/>
            <w:vAlign w:val="center"/>
          </w:tcPr>
          <w:p>
            <w:pPr>
              <w:pStyle w:val="124"/>
              <w:spacing w:line="360" w:lineRule="exact"/>
              <w:rPr>
                <w:rFonts w:ascii="仿宋" w:hAnsi="仿宋" w:eastAsia="仿宋"/>
              </w:rPr>
            </w:pPr>
          </w:p>
        </w:tc>
        <w:tc>
          <w:tcPr>
            <w:tcW w:w="567" w:type="dxa"/>
            <w:vMerge w:val="continue"/>
            <w:shd w:val="clear" w:color="auto" w:fill="auto"/>
            <w:vAlign w:val="center"/>
          </w:tcPr>
          <w:p>
            <w:pPr>
              <w:pStyle w:val="124"/>
              <w:spacing w:line="360" w:lineRule="exact"/>
              <w:rPr>
                <w:rFonts w:ascii="仿宋" w:hAnsi="仿宋" w:eastAsia="仿宋"/>
              </w:rPr>
            </w:pPr>
          </w:p>
        </w:tc>
        <w:tc>
          <w:tcPr>
            <w:tcW w:w="658" w:type="dxa"/>
            <w:vMerge w:val="continue"/>
            <w:shd w:val="clear" w:color="auto" w:fill="auto"/>
            <w:vAlign w:val="center"/>
          </w:tcPr>
          <w:p>
            <w:pPr>
              <w:pStyle w:val="124"/>
              <w:spacing w:line="360" w:lineRule="exact"/>
              <w:rPr>
                <w:rFonts w:ascii="仿宋" w:hAnsi="仿宋" w:eastAsia="仿宋"/>
              </w:rPr>
            </w:pPr>
          </w:p>
        </w:tc>
        <w:tc>
          <w:tcPr>
            <w:tcW w:w="581" w:type="dxa"/>
            <w:vMerge w:val="continue"/>
            <w:shd w:val="clear" w:color="auto" w:fill="auto"/>
            <w:vAlign w:val="center"/>
          </w:tcPr>
          <w:p>
            <w:pPr>
              <w:pStyle w:val="124"/>
              <w:spacing w:line="360" w:lineRule="exact"/>
              <w:rPr>
                <w:rFonts w:ascii="仿宋" w:hAnsi="仿宋" w:eastAsia="仿宋"/>
              </w:rPr>
            </w:pPr>
          </w:p>
        </w:tc>
        <w:tc>
          <w:tcPr>
            <w:tcW w:w="1222" w:type="dxa"/>
            <w:shd w:val="clear" w:color="auto" w:fill="auto"/>
            <w:vAlign w:val="center"/>
          </w:tcPr>
          <w:p>
            <w:pPr>
              <w:pStyle w:val="124"/>
              <w:spacing w:line="360" w:lineRule="exact"/>
              <w:rPr>
                <w:rFonts w:ascii="仿宋" w:hAnsi="仿宋" w:eastAsia="仿宋"/>
              </w:rPr>
            </w:pPr>
            <w:r>
              <w:rPr>
                <w:rFonts w:hint="eastAsia" w:ascii="仿宋" w:hAnsi="仿宋" w:eastAsia="仿宋"/>
              </w:rPr>
              <w:t>NO</w:t>
            </w:r>
            <w:r>
              <w:rPr>
                <w:rFonts w:hint="eastAsia" w:ascii="仿宋" w:hAnsi="仿宋" w:eastAsia="仿宋"/>
                <w:vertAlign w:val="subscript"/>
              </w:rPr>
              <w:t>X</w:t>
            </w:r>
          </w:p>
        </w:tc>
        <w:tc>
          <w:tcPr>
            <w:tcW w:w="773"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.053</w:t>
            </w:r>
          </w:p>
        </w:tc>
        <w:tc>
          <w:tcPr>
            <w:tcW w:w="0" w:type="auto"/>
            <w:vMerge w:val="continue"/>
            <w:shd w:val="clear" w:color="auto" w:fill="auto"/>
            <w:vAlign w:val="center"/>
          </w:tcPr>
          <w:p>
            <w:pPr>
              <w:pStyle w:val="124"/>
              <w:spacing w:line="360" w:lineRule="exact"/>
              <w:rPr>
                <w:rFonts w:ascii="仿宋" w:hAnsi="仿宋" w:eastAsia="仿宋"/>
              </w:rPr>
            </w:pPr>
          </w:p>
        </w:tc>
      </w:tr>
    </w:tbl>
    <w:p>
      <w:pPr>
        <w:spacing w:before="60" w:line="500" w:lineRule="exact"/>
        <w:ind w:firstLine="482" w:firstLineChars="200"/>
        <w:jc w:val="center"/>
        <w:rPr>
          <w:rFonts w:eastAsia="仿宋_GB2312"/>
          <w:b/>
          <w:kern w:val="0"/>
          <w:sz w:val="24"/>
          <w:szCs w:val="20"/>
        </w:rPr>
      </w:pPr>
      <w:r>
        <w:rPr>
          <w:rFonts w:eastAsia="仿宋_GB2312"/>
          <w:b/>
          <w:kern w:val="0"/>
          <w:sz w:val="24"/>
          <w:szCs w:val="20"/>
        </w:rPr>
        <w:t>表5.2-6  主要废气污染源参数一览表(矩形面源)</w:t>
      </w:r>
    </w:p>
    <w:tbl>
      <w:tblPr>
        <w:tblStyle w:val="87"/>
        <w:tblW w:w="508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05"/>
        <w:gridCol w:w="1161"/>
        <w:gridCol w:w="1056"/>
        <w:gridCol w:w="673"/>
        <w:gridCol w:w="805"/>
        <w:gridCol w:w="805"/>
        <w:gridCol w:w="688"/>
        <w:gridCol w:w="706"/>
        <w:gridCol w:w="918"/>
        <w:gridCol w:w="10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9" w:hRule="atLeast"/>
          <w:jc w:val="center"/>
        </w:trPr>
        <w:tc>
          <w:tcPr>
            <w:tcW w:w="465" w:type="pct"/>
            <w:vMerge w:val="restar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污染源名称</w:t>
            </w:r>
          </w:p>
        </w:tc>
        <w:tc>
          <w:tcPr>
            <w:tcW w:w="1272" w:type="pct"/>
            <w:gridSpan w:val="2"/>
            <w:shd w:val="clear" w:color="auto" w:fill="auto"/>
            <w:vAlign w:val="center"/>
          </w:tcPr>
          <w:p>
            <w:pPr>
              <w:snapToGrid w:val="0"/>
              <w:spacing w:line="240" w:lineRule="exact"/>
              <w:jc w:val="center"/>
              <w:rPr>
                <w:rFonts w:ascii="仿宋" w:hAnsi="仿宋" w:eastAsia="仿宋" w:cs="仿宋"/>
                <w:bCs/>
                <w:szCs w:val="21"/>
              </w:rPr>
            </w:pPr>
            <w:r>
              <w:rPr>
                <w:rFonts w:hint="eastAsia" w:ascii="仿宋" w:hAnsi="仿宋" w:eastAsia="仿宋" w:cs="仿宋"/>
                <w:bCs/>
                <w:szCs w:val="21"/>
              </w:rPr>
              <w:t>面源起点</w:t>
            </w:r>
            <w:r>
              <w:rPr>
                <w:rFonts w:ascii="仿宋" w:hAnsi="仿宋" w:eastAsia="仿宋" w:cs="仿宋"/>
                <w:bCs/>
                <w:szCs w:val="21"/>
              </w:rPr>
              <w:t>坐标</w:t>
            </w:r>
            <w:r>
              <w:rPr>
                <w:rFonts w:hint="eastAsia" w:ascii="仿宋" w:hAnsi="仿宋" w:eastAsia="仿宋" w:cs="仿宋"/>
                <w:bCs/>
                <w:szCs w:val="21"/>
              </w:rPr>
              <w:t>(</w:t>
            </w:r>
            <w:r>
              <w:rPr>
                <w:rFonts w:ascii="仿宋" w:hAnsi="仿宋" w:eastAsia="仿宋" w:cs="仿宋"/>
                <w:bCs/>
                <w:szCs w:val="21"/>
              </w:rPr>
              <w:t>o)</w:t>
            </w:r>
          </w:p>
        </w:tc>
        <w:tc>
          <w:tcPr>
            <w:tcW w:w="389" w:type="pct"/>
            <w:vMerge w:val="restart"/>
            <w:shd w:val="clear" w:color="auto" w:fill="auto"/>
            <w:vAlign w:val="center"/>
          </w:tcPr>
          <w:p>
            <w:pPr>
              <w:snapToGrid w:val="0"/>
              <w:spacing w:line="240" w:lineRule="exact"/>
              <w:jc w:val="center"/>
              <w:rPr>
                <w:rFonts w:ascii="仿宋" w:hAnsi="仿宋" w:eastAsia="仿宋" w:cs="仿宋"/>
                <w:bCs/>
                <w:szCs w:val="21"/>
              </w:rPr>
            </w:pPr>
            <w:r>
              <w:rPr>
                <w:rFonts w:ascii="仿宋" w:hAnsi="仿宋" w:eastAsia="仿宋" w:cs="仿宋"/>
                <w:bCs/>
                <w:szCs w:val="21"/>
              </w:rPr>
              <w:t>海拔高度/m</w:t>
            </w:r>
          </w:p>
        </w:tc>
        <w:tc>
          <w:tcPr>
            <w:tcW w:w="1328" w:type="pct"/>
            <w:gridSpan w:val="3"/>
            <w:shd w:val="clear" w:color="auto" w:fill="auto"/>
            <w:vAlign w:val="center"/>
          </w:tcPr>
          <w:p>
            <w:pPr>
              <w:snapToGrid w:val="0"/>
              <w:spacing w:line="240" w:lineRule="exact"/>
              <w:jc w:val="center"/>
              <w:rPr>
                <w:rFonts w:ascii="仿宋" w:hAnsi="仿宋" w:eastAsia="仿宋" w:cs="仿宋"/>
                <w:bCs/>
                <w:szCs w:val="21"/>
              </w:rPr>
            </w:pPr>
            <w:r>
              <w:rPr>
                <w:rFonts w:ascii="仿宋" w:hAnsi="仿宋" w:eastAsia="仿宋" w:cs="仿宋"/>
                <w:bCs/>
                <w:szCs w:val="21"/>
              </w:rPr>
              <w:t>矩形面源</w:t>
            </w:r>
          </w:p>
        </w:tc>
        <w:tc>
          <w:tcPr>
            <w:tcW w:w="408" w:type="pct"/>
            <w:vMerge w:val="restar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与正北</w:t>
            </w:r>
            <w:r>
              <w:rPr>
                <w:rFonts w:ascii="仿宋" w:hAnsi="仿宋" w:eastAsia="仿宋" w:cs="仿宋"/>
                <w:bCs/>
                <w:szCs w:val="21"/>
              </w:rPr>
              <w:t>向夹角</w:t>
            </w:r>
            <w:r>
              <w:rPr>
                <w:rFonts w:hint="eastAsia" w:ascii="仿宋" w:hAnsi="仿宋" w:eastAsia="仿宋" w:cs="仿宋"/>
                <w:bCs/>
                <w:szCs w:val="21"/>
              </w:rPr>
              <w:t>(</w:t>
            </w:r>
            <w:r>
              <w:rPr>
                <w:rFonts w:ascii="仿宋" w:hAnsi="仿宋" w:eastAsia="仿宋" w:cs="仿宋"/>
                <w:bCs/>
                <w:szCs w:val="21"/>
              </w:rPr>
              <w:t>o)</w:t>
            </w:r>
          </w:p>
        </w:tc>
        <w:tc>
          <w:tcPr>
            <w:tcW w:w="530" w:type="pct"/>
            <w:vMerge w:val="restart"/>
            <w:shd w:val="clear" w:color="auto" w:fill="auto"/>
            <w:vAlign w:val="center"/>
          </w:tcPr>
          <w:p>
            <w:pPr>
              <w:snapToGrid w:val="0"/>
              <w:jc w:val="center"/>
              <w:rPr>
                <w:rFonts w:ascii="仿宋" w:hAnsi="仿宋" w:eastAsia="仿宋" w:cs="仿宋"/>
                <w:bCs/>
                <w:szCs w:val="21"/>
              </w:rPr>
            </w:pPr>
            <w:r>
              <w:rPr>
                <w:rFonts w:ascii="仿宋" w:hAnsi="仿宋" w:eastAsia="仿宋" w:cs="仿宋"/>
                <w:bCs/>
                <w:szCs w:val="21"/>
              </w:rPr>
              <w:t>污染物</w:t>
            </w:r>
          </w:p>
        </w:tc>
        <w:tc>
          <w:tcPr>
            <w:tcW w:w="609" w:type="pct"/>
            <w:vMerge w:val="restart"/>
            <w:shd w:val="clear" w:color="auto" w:fill="auto"/>
            <w:vAlign w:val="center"/>
          </w:tcPr>
          <w:p>
            <w:pPr>
              <w:snapToGrid w:val="0"/>
              <w:jc w:val="center"/>
              <w:rPr>
                <w:rFonts w:ascii="仿宋" w:hAnsi="仿宋" w:eastAsia="仿宋" w:cs="仿宋"/>
                <w:bCs/>
                <w:szCs w:val="21"/>
              </w:rPr>
            </w:pPr>
            <w:r>
              <w:rPr>
                <w:rFonts w:ascii="仿宋" w:hAnsi="仿宋" w:eastAsia="仿宋" w:cs="仿宋"/>
                <w:bCs/>
                <w:szCs w:val="21"/>
              </w:rPr>
              <w:t>排放速率</w:t>
            </w:r>
            <w:r>
              <w:rPr>
                <w:rFonts w:hint="eastAsia" w:ascii="仿宋" w:hAnsi="仿宋" w:eastAsia="仿宋" w:cs="仿宋"/>
                <w:bCs/>
                <w:szCs w:val="21"/>
              </w:rPr>
              <w:t>（kg/h）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5" w:hRule="atLeast"/>
          <w:jc w:val="center"/>
        </w:trPr>
        <w:tc>
          <w:tcPr>
            <w:tcW w:w="465" w:type="pct"/>
            <w:vMerge w:val="continue"/>
            <w:shd w:val="clear" w:color="auto" w:fill="auto"/>
            <w:vAlign w:val="center"/>
          </w:tcPr>
          <w:p>
            <w:pPr>
              <w:spacing w:line="240" w:lineRule="exact"/>
              <w:jc w:val="center"/>
              <w:rPr>
                <w:rFonts w:ascii="仿宋" w:hAnsi="仿宋" w:eastAsia="仿宋" w:cs="仿宋"/>
                <w:bCs/>
                <w:szCs w:val="21"/>
              </w:rPr>
            </w:pPr>
          </w:p>
        </w:tc>
        <w:tc>
          <w:tcPr>
            <w:tcW w:w="664" w:type="pc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X</w:t>
            </w:r>
          </w:p>
        </w:tc>
        <w:tc>
          <w:tcPr>
            <w:tcW w:w="608" w:type="pc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Y</w:t>
            </w:r>
          </w:p>
        </w:tc>
        <w:tc>
          <w:tcPr>
            <w:tcW w:w="389" w:type="pct"/>
            <w:vMerge w:val="continue"/>
            <w:shd w:val="clear" w:color="auto" w:fill="auto"/>
            <w:vAlign w:val="center"/>
          </w:tcPr>
          <w:p>
            <w:pPr>
              <w:spacing w:line="240" w:lineRule="exact"/>
              <w:jc w:val="center"/>
              <w:rPr>
                <w:rFonts w:ascii="仿宋" w:hAnsi="仿宋" w:eastAsia="仿宋" w:cs="仿宋"/>
                <w:bCs/>
                <w:szCs w:val="21"/>
              </w:rPr>
            </w:pPr>
          </w:p>
        </w:tc>
        <w:tc>
          <w:tcPr>
            <w:tcW w:w="465"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长度</w:t>
            </w:r>
          </w:p>
        </w:tc>
        <w:tc>
          <w:tcPr>
            <w:tcW w:w="465"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宽度</w:t>
            </w:r>
          </w:p>
        </w:tc>
        <w:tc>
          <w:tcPr>
            <w:tcW w:w="397"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有效高度</w:t>
            </w:r>
          </w:p>
        </w:tc>
        <w:tc>
          <w:tcPr>
            <w:tcW w:w="408" w:type="pct"/>
            <w:vMerge w:val="continue"/>
            <w:vAlign w:val="center"/>
          </w:tcPr>
          <w:p>
            <w:pPr>
              <w:snapToGrid w:val="0"/>
              <w:jc w:val="center"/>
              <w:rPr>
                <w:rFonts w:eastAsia="仿宋_GB2312"/>
                <w:szCs w:val="21"/>
              </w:rPr>
            </w:pPr>
          </w:p>
        </w:tc>
        <w:tc>
          <w:tcPr>
            <w:tcW w:w="530" w:type="pct"/>
            <w:vMerge w:val="continue"/>
            <w:shd w:val="clear" w:color="auto" w:fill="auto"/>
            <w:vAlign w:val="center"/>
          </w:tcPr>
          <w:p>
            <w:pPr>
              <w:snapToGrid w:val="0"/>
              <w:jc w:val="center"/>
              <w:rPr>
                <w:rFonts w:eastAsia="仿宋_GB2312"/>
                <w:szCs w:val="21"/>
              </w:rPr>
            </w:pPr>
          </w:p>
        </w:tc>
        <w:tc>
          <w:tcPr>
            <w:tcW w:w="609" w:type="pct"/>
            <w:vMerge w:val="continue"/>
            <w:shd w:val="clear" w:color="auto" w:fill="auto"/>
            <w:vAlign w:val="center"/>
          </w:tcPr>
          <w:p>
            <w:pPr>
              <w:snapToGrid w:val="0"/>
              <w:jc w:val="center"/>
              <w:rPr>
                <w:rFonts w:eastAsia="仿宋_GB2312"/>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5" w:hRule="atLeast"/>
          <w:jc w:val="center"/>
        </w:trPr>
        <w:tc>
          <w:tcPr>
            <w:tcW w:w="465" w:type="pct"/>
            <w:vMerge w:val="restart"/>
            <w:shd w:val="clear" w:color="auto" w:fill="auto"/>
            <w:vAlign w:val="center"/>
          </w:tcPr>
          <w:p>
            <w:pPr>
              <w:pStyle w:val="124"/>
              <w:spacing w:line="360" w:lineRule="exact"/>
              <w:rPr>
                <w:rFonts w:ascii="仿宋" w:hAnsi="仿宋" w:eastAsia="仿宋"/>
              </w:rPr>
            </w:pPr>
            <w:r>
              <w:rPr>
                <w:rFonts w:hint="eastAsia" w:ascii="仿宋" w:hAnsi="仿宋" w:eastAsia="仿宋"/>
              </w:rPr>
              <w:t>生产车间</w:t>
            </w:r>
          </w:p>
        </w:tc>
        <w:tc>
          <w:tcPr>
            <w:tcW w:w="664" w:type="pct"/>
            <w:vMerge w:val="restart"/>
            <w:shd w:val="clear" w:color="auto" w:fill="auto"/>
            <w:vAlign w:val="center"/>
          </w:tcPr>
          <w:p>
            <w:pPr>
              <w:pStyle w:val="124"/>
              <w:spacing w:line="360" w:lineRule="exact"/>
              <w:rPr>
                <w:rFonts w:ascii="仿宋" w:hAnsi="仿宋" w:eastAsia="仿宋"/>
              </w:rPr>
            </w:pPr>
            <w:r>
              <w:rPr>
                <w:rFonts w:hint="eastAsia" w:ascii="仿宋" w:hAnsi="仿宋" w:eastAsia="仿宋"/>
              </w:rPr>
              <w:t>119.55260</w:t>
            </w:r>
          </w:p>
        </w:tc>
        <w:tc>
          <w:tcPr>
            <w:tcW w:w="608" w:type="pct"/>
            <w:vMerge w:val="restar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31.77029</w:t>
            </w:r>
          </w:p>
        </w:tc>
        <w:tc>
          <w:tcPr>
            <w:tcW w:w="389" w:type="pct"/>
            <w:vMerge w:val="restar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5</w:t>
            </w:r>
          </w:p>
        </w:tc>
        <w:tc>
          <w:tcPr>
            <w:tcW w:w="465" w:type="pct"/>
            <w:vMerge w:val="restar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130</w:t>
            </w:r>
          </w:p>
        </w:tc>
        <w:tc>
          <w:tcPr>
            <w:tcW w:w="465" w:type="pct"/>
            <w:vMerge w:val="restar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18</w:t>
            </w:r>
          </w:p>
        </w:tc>
        <w:tc>
          <w:tcPr>
            <w:tcW w:w="397" w:type="pct"/>
            <w:vMerge w:val="restar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5</w:t>
            </w:r>
          </w:p>
        </w:tc>
        <w:tc>
          <w:tcPr>
            <w:tcW w:w="408" w:type="pct"/>
            <w:vMerge w:val="restart"/>
            <w:vAlign w:val="center"/>
          </w:tcPr>
          <w:p>
            <w:pPr>
              <w:widowControl/>
              <w:spacing w:line="240" w:lineRule="exact"/>
              <w:jc w:val="center"/>
              <w:rPr>
                <w:rFonts w:ascii="仿宋" w:hAnsi="仿宋" w:eastAsia="仿宋" w:cs="仿宋"/>
                <w:bCs/>
                <w:szCs w:val="21"/>
              </w:rPr>
            </w:pPr>
            <w:r>
              <w:rPr>
                <w:rFonts w:ascii="仿宋" w:hAnsi="仿宋" w:eastAsia="仿宋" w:cs="仿宋"/>
                <w:bCs/>
                <w:szCs w:val="21"/>
              </w:rPr>
              <w:t>73</w:t>
            </w:r>
          </w:p>
        </w:tc>
        <w:tc>
          <w:tcPr>
            <w:tcW w:w="530" w:type="pct"/>
            <w:shd w:val="clear" w:color="auto" w:fill="auto"/>
            <w:vAlign w:val="center"/>
          </w:tcPr>
          <w:p>
            <w:pPr>
              <w:pStyle w:val="124"/>
              <w:spacing w:line="240" w:lineRule="exact"/>
              <w:rPr>
                <w:rFonts w:ascii="仿宋" w:hAnsi="仿宋" w:eastAsia="仿宋"/>
              </w:rPr>
            </w:pPr>
            <w:r>
              <w:rPr>
                <w:rFonts w:hint="eastAsia" w:ascii="仿宋" w:hAnsi="仿宋" w:eastAsia="仿宋"/>
              </w:rPr>
              <w:t>非甲烷总烃</w:t>
            </w:r>
          </w:p>
        </w:tc>
        <w:tc>
          <w:tcPr>
            <w:tcW w:w="609" w:type="pc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345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5" w:hRule="atLeast"/>
          <w:jc w:val="center"/>
        </w:trPr>
        <w:tc>
          <w:tcPr>
            <w:tcW w:w="465" w:type="pct"/>
            <w:vMerge w:val="continue"/>
            <w:shd w:val="clear" w:color="auto" w:fill="auto"/>
            <w:vAlign w:val="center"/>
          </w:tcPr>
          <w:p>
            <w:pPr>
              <w:pStyle w:val="124"/>
              <w:spacing w:line="360" w:lineRule="exact"/>
              <w:rPr>
                <w:rFonts w:ascii="仿宋" w:hAnsi="仿宋" w:eastAsia="仿宋"/>
              </w:rPr>
            </w:pPr>
          </w:p>
        </w:tc>
        <w:tc>
          <w:tcPr>
            <w:tcW w:w="664" w:type="pct"/>
            <w:vMerge w:val="continue"/>
            <w:shd w:val="clear" w:color="auto" w:fill="auto"/>
            <w:vAlign w:val="center"/>
          </w:tcPr>
          <w:p>
            <w:pPr>
              <w:pStyle w:val="124"/>
              <w:spacing w:line="360" w:lineRule="exact"/>
              <w:rPr>
                <w:rFonts w:ascii="仿宋" w:hAnsi="仿宋" w:eastAsia="仿宋"/>
              </w:rPr>
            </w:pPr>
          </w:p>
        </w:tc>
        <w:tc>
          <w:tcPr>
            <w:tcW w:w="608" w:type="pct"/>
            <w:vMerge w:val="continue"/>
            <w:shd w:val="clear" w:color="auto" w:fill="auto"/>
            <w:vAlign w:val="center"/>
          </w:tcPr>
          <w:p>
            <w:pPr>
              <w:spacing w:line="240" w:lineRule="exact"/>
              <w:jc w:val="center"/>
              <w:rPr>
                <w:rFonts w:ascii="仿宋" w:hAnsi="仿宋" w:eastAsia="仿宋" w:cs="仿宋"/>
                <w:bCs/>
                <w:szCs w:val="21"/>
              </w:rPr>
            </w:pPr>
          </w:p>
        </w:tc>
        <w:tc>
          <w:tcPr>
            <w:tcW w:w="389" w:type="pct"/>
            <w:vMerge w:val="continue"/>
            <w:shd w:val="clear" w:color="auto" w:fill="auto"/>
            <w:vAlign w:val="center"/>
          </w:tcPr>
          <w:p>
            <w:pPr>
              <w:spacing w:line="240" w:lineRule="exact"/>
              <w:jc w:val="center"/>
              <w:rPr>
                <w:rFonts w:ascii="仿宋" w:hAnsi="仿宋" w:eastAsia="仿宋" w:cs="仿宋"/>
                <w:bCs/>
                <w:szCs w:val="21"/>
              </w:rPr>
            </w:pPr>
          </w:p>
        </w:tc>
        <w:tc>
          <w:tcPr>
            <w:tcW w:w="465" w:type="pct"/>
            <w:vMerge w:val="continue"/>
            <w:shd w:val="clear" w:color="auto" w:fill="auto"/>
            <w:vAlign w:val="center"/>
          </w:tcPr>
          <w:p>
            <w:pPr>
              <w:spacing w:line="240" w:lineRule="exact"/>
              <w:jc w:val="center"/>
              <w:rPr>
                <w:rFonts w:ascii="仿宋" w:hAnsi="仿宋" w:eastAsia="仿宋" w:cs="仿宋"/>
                <w:bCs/>
                <w:szCs w:val="21"/>
              </w:rPr>
            </w:pPr>
          </w:p>
        </w:tc>
        <w:tc>
          <w:tcPr>
            <w:tcW w:w="465" w:type="pct"/>
            <w:vMerge w:val="continue"/>
            <w:shd w:val="clear" w:color="auto" w:fill="auto"/>
            <w:vAlign w:val="center"/>
          </w:tcPr>
          <w:p>
            <w:pPr>
              <w:spacing w:line="240" w:lineRule="exact"/>
              <w:jc w:val="center"/>
              <w:rPr>
                <w:rFonts w:ascii="仿宋" w:hAnsi="仿宋" w:eastAsia="仿宋" w:cs="仿宋"/>
                <w:bCs/>
                <w:szCs w:val="21"/>
              </w:rPr>
            </w:pPr>
          </w:p>
        </w:tc>
        <w:tc>
          <w:tcPr>
            <w:tcW w:w="397" w:type="pct"/>
            <w:vMerge w:val="continue"/>
            <w:shd w:val="clear" w:color="auto" w:fill="auto"/>
            <w:vAlign w:val="center"/>
          </w:tcPr>
          <w:p>
            <w:pPr>
              <w:spacing w:line="240" w:lineRule="exact"/>
              <w:jc w:val="center"/>
              <w:rPr>
                <w:rFonts w:ascii="仿宋" w:hAnsi="仿宋" w:eastAsia="仿宋" w:cs="仿宋"/>
                <w:bCs/>
                <w:szCs w:val="21"/>
              </w:rPr>
            </w:pPr>
          </w:p>
        </w:tc>
        <w:tc>
          <w:tcPr>
            <w:tcW w:w="408" w:type="pct"/>
            <w:vMerge w:val="continue"/>
            <w:vAlign w:val="center"/>
          </w:tcPr>
          <w:p>
            <w:pPr>
              <w:widowControl/>
              <w:spacing w:line="240" w:lineRule="exact"/>
              <w:jc w:val="center"/>
              <w:rPr>
                <w:rFonts w:ascii="仿宋" w:hAnsi="仿宋" w:eastAsia="仿宋" w:cs="仿宋"/>
                <w:bCs/>
                <w:szCs w:val="21"/>
              </w:rPr>
            </w:pPr>
          </w:p>
        </w:tc>
        <w:tc>
          <w:tcPr>
            <w:tcW w:w="530" w:type="pct"/>
            <w:shd w:val="clear" w:color="auto" w:fill="auto"/>
            <w:vAlign w:val="center"/>
          </w:tcPr>
          <w:p>
            <w:pPr>
              <w:pStyle w:val="124"/>
              <w:spacing w:line="240" w:lineRule="exact"/>
              <w:rPr>
                <w:rFonts w:ascii="仿宋" w:hAnsi="仿宋" w:eastAsia="仿宋"/>
              </w:rPr>
            </w:pPr>
            <w:r>
              <w:rPr>
                <w:rFonts w:hint="eastAsia" w:ascii="仿宋" w:hAnsi="仿宋" w:eastAsia="仿宋"/>
              </w:rPr>
              <w:t>乙酸乙酯</w:t>
            </w:r>
          </w:p>
        </w:tc>
        <w:tc>
          <w:tcPr>
            <w:tcW w:w="609" w:type="pc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.305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1" w:hRule="atLeast"/>
          <w:jc w:val="center"/>
        </w:trPr>
        <w:tc>
          <w:tcPr>
            <w:tcW w:w="465" w:type="pct"/>
            <w:vMerge w:val="continue"/>
            <w:shd w:val="clear" w:color="auto" w:fill="auto"/>
            <w:vAlign w:val="center"/>
          </w:tcPr>
          <w:p>
            <w:pPr>
              <w:jc w:val="center"/>
              <w:rPr>
                <w:rFonts w:eastAsia="仿宋_GB2312"/>
                <w:szCs w:val="21"/>
              </w:rPr>
            </w:pPr>
          </w:p>
        </w:tc>
        <w:tc>
          <w:tcPr>
            <w:tcW w:w="664" w:type="pct"/>
            <w:vMerge w:val="continue"/>
            <w:shd w:val="clear" w:color="auto" w:fill="auto"/>
            <w:vAlign w:val="center"/>
          </w:tcPr>
          <w:p>
            <w:pPr>
              <w:jc w:val="center"/>
              <w:rPr>
                <w:rFonts w:eastAsia="仿宋_GB2312"/>
                <w:szCs w:val="21"/>
              </w:rPr>
            </w:pPr>
          </w:p>
        </w:tc>
        <w:tc>
          <w:tcPr>
            <w:tcW w:w="608" w:type="pct"/>
            <w:vMerge w:val="continue"/>
            <w:shd w:val="clear" w:color="auto" w:fill="auto"/>
            <w:vAlign w:val="center"/>
          </w:tcPr>
          <w:p>
            <w:pPr>
              <w:jc w:val="center"/>
              <w:rPr>
                <w:rFonts w:eastAsia="仿宋_GB2312"/>
                <w:szCs w:val="21"/>
              </w:rPr>
            </w:pPr>
          </w:p>
        </w:tc>
        <w:tc>
          <w:tcPr>
            <w:tcW w:w="389" w:type="pct"/>
            <w:vMerge w:val="continue"/>
            <w:shd w:val="clear" w:color="auto" w:fill="auto"/>
            <w:vAlign w:val="center"/>
          </w:tcPr>
          <w:p>
            <w:pPr>
              <w:jc w:val="center"/>
              <w:rPr>
                <w:rFonts w:eastAsia="仿宋_GB2312"/>
                <w:szCs w:val="21"/>
              </w:rPr>
            </w:pPr>
          </w:p>
        </w:tc>
        <w:tc>
          <w:tcPr>
            <w:tcW w:w="465" w:type="pct"/>
            <w:vMerge w:val="continue"/>
            <w:shd w:val="clear" w:color="auto" w:fill="auto"/>
            <w:vAlign w:val="center"/>
          </w:tcPr>
          <w:p>
            <w:pPr>
              <w:jc w:val="center"/>
              <w:rPr>
                <w:rFonts w:eastAsia="仿宋_GB2312"/>
                <w:szCs w:val="21"/>
              </w:rPr>
            </w:pPr>
          </w:p>
        </w:tc>
        <w:tc>
          <w:tcPr>
            <w:tcW w:w="465" w:type="pct"/>
            <w:vMerge w:val="continue"/>
            <w:shd w:val="clear" w:color="auto" w:fill="auto"/>
            <w:vAlign w:val="center"/>
          </w:tcPr>
          <w:p>
            <w:pPr>
              <w:jc w:val="center"/>
              <w:rPr>
                <w:rFonts w:eastAsia="仿宋_GB2312"/>
                <w:szCs w:val="21"/>
              </w:rPr>
            </w:pPr>
          </w:p>
        </w:tc>
        <w:tc>
          <w:tcPr>
            <w:tcW w:w="397" w:type="pct"/>
            <w:vMerge w:val="continue"/>
            <w:shd w:val="clear" w:color="auto" w:fill="auto"/>
            <w:vAlign w:val="center"/>
          </w:tcPr>
          <w:p>
            <w:pPr>
              <w:jc w:val="center"/>
              <w:rPr>
                <w:rFonts w:eastAsia="仿宋_GB2312"/>
                <w:szCs w:val="21"/>
              </w:rPr>
            </w:pPr>
          </w:p>
        </w:tc>
        <w:tc>
          <w:tcPr>
            <w:tcW w:w="408" w:type="pct"/>
            <w:vMerge w:val="continue"/>
            <w:vAlign w:val="center"/>
          </w:tcPr>
          <w:p>
            <w:pPr>
              <w:widowControl/>
              <w:jc w:val="center"/>
              <w:rPr>
                <w:rFonts w:eastAsia="仿宋_GB2312" w:cs="宋体"/>
                <w:kern w:val="0"/>
                <w:szCs w:val="21"/>
              </w:rPr>
            </w:pPr>
          </w:p>
        </w:tc>
        <w:tc>
          <w:tcPr>
            <w:tcW w:w="530" w:type="pct"/>
            <w:shd w:val="clear" w:color="auto" w:fill="auto"/>
            <w:vAlign w:val="center"/>
          </w:tcPr>
          <w:p>
            <w:pPr>
              <w:pStyle w:val="124"/>
              <w:spacing w:line="240" w:lineRule="exact"/>
              <w:rPr>
                <w:rFonts w:ascii="仿宋" w:hAnsi="仿宋" w:eastAsia="仿宋"/>
              </w:rPr>
            </w:pPr>
            <w:r>
              <w:rPr>
                <w:rFonts w:hint="eastAsia" w:ascii="仿宋" w:hAnsi="仿宋" w:eastAsia="仿宋"/>
              </w:rPr>
              <w:t>二甲苯</w:t>
            </w:r>
          </w:p>
        </w:tc>
        <w:tc>
          <w:tcPr>
            <w:tcW w:w="609" w:type="pc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0.0</w:t>
            </w:r>
            <w:r>
              <w:rPr>
                <w:rFonts w:ascii="仿宋" w:hAnsi="仿宋" w:eastAsia="仿宋" w:cs="仿宋"/>
                <w:bCs/>
                <w:szCs w:val="21"/>
              </w:rPr>
              <w:t>38</w:t>
            </w:r>
          </w:p>
        </w:tc>
      </w:tr>
    </w:tbl>
    <w:p>
      <w:pPr>
        <w:spacing w:before="60" w:line="500" w:lineRule="exact"/>
        <w:ind w:firstLine="482" w:firstLineChars="200"/>
        <w:jc w:val="center"/>
        <w:rPr>
          <w:rFonts w:eastAsia="仿宋_GB2312"/>
          <w:b/>
          <w:kern w:val="0"/>
          <w:sz w:val="24"/>
          <w:szCs w:val="20"/>
        </w:rPr>
      </w:pPr>
      <w:r>
        <w:rPr>
          <w:rFonts w:eastAsia="仿宋_GB2312"/>
          <w:b/>
          <w:kern w:val="0"/>
          <w:sz w:val="24"/>
          <w:szCs w:val="20"/>
        </w:rPr>
        <w:t xml:space="preserve">表5.2-7  </w:t>
      </w:r>
      <w:r>
        <w:rPr>
          <w:rFonts w:hint="eastAsia" w:eastAsia="仿宋_GB2312"/>
          <w:b/>
          <w:kern w:val="0"/>
          <w:sz w:val="24"/>
          <w:szCs w:val="20"/>
        </w:rPr>
        <w:t>估算模型参数表</w:t>
      </w:r>
    </w:p>
    <w:tbl>
      <w:tblPr>
        <w:tblStyle w:val="87"/>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301"/>
        <w:gridCol w:w="2652"/>
        <w:gridCol w:w="35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06" w:type="pct"/>
            <w:gridSpan w:val="2"/>
            <w:shd w:val="clear" w:color="auto" w:fill="auto"/>
            <w:vAlign w:val="center"/>
          </w:tcPr>
          <w:p>
            <w:pPr>
              <w:pStyle w:val="124"/>
              <w:spacing w:line="360" w:lineRule="exact"/>
              <w:rPr>
                <w:rFonts w:ascii="仿宋" w:hAnsi="仿宋" w:eastAsia="仿宋"/>
              </w:rPr>
            </w:pPr>
            <w:r>
              <w:rPr>
                <w:rFonts w:ascii="仿宋" w:hAnsi="仿宋" w:eastAsia="仿宋"/>
              </w:rPr>
              <w:t>参数</w:t>
            </w:r>
          </w:p>
        </w:tc>
        <w:tc>
          <w:tcPr>
            <w:tcW w:w="2094" w:type="pct"/>
            <w:shd w:val="clear" w:color="auto" w:fill="auto"/>
            <w:vAlign w:val="center"/>
          </w:tcPr>
          <w:p>
            <w:pPr>
              <w:pStyle w:val="124"/>
              <w:spacing w:line="360" w:lineRule="exact"/>
              <w:rPr>
                <w:rFonts w:ascii="仿宋" w:hAnsi="仿宋" w:eastAsia="仿宋"/>
              </w:rPr>
            </w:pPr>
            <w:r>
              <w:rPr>
                <w:rFonts w:ascii="仿宋" w:hAnsi="仿宋" w:eastAsia="仿宋"/>
              </w:rPr>
              <w:t>取值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50" w:type="pct"/>
            <w:vMerge w:val="restart"/>
            <w:shd w:val="clear" w:color="auto" w:fill="auto"/>
            <w:vAlign w:val="center"/>
          </w:tcPr>
          <w:p>
            <w:pPr>
              <w:pStyle w:val="124"/>
              <w:spacing w:line="360" w:lineRule="exact"/>
              <w:rPr>
                <w:rFonts w:ascii="仿宋" w:hAnsi="仿宋" w:eastAsia="仿宋"/>
              </w:rPr>
            </w:pPr>
            <w:r>
              <w:rPr>
                <w:rFonts w:ascii="仿宋" w:hAnsi="仿宋" w:eastAsia="仿宋"/>
              </w:rPr>
              <w:t>城市农村/选项</w:t>
            </w:r>
          </w:p>
        </w:tc>
        <w:tc>
          <w:tcPr>
            <w:tcW w:w="1556" w:type="pct"/>
            <w:shd w:val="clear" w:color="auto" w:fill="auto"/>
            <w:vAlign w:val="center"/>
          </w:tcPr>
          <w:p>
            <w:pPr>
              <w:pStyle w:val="124"/>
              <w:spacing w:line="360" w:lineRule="exact"/>
              <w:rPr>
                <w:rFonts w:ascii="仿宋" w:hAnsi="仿宋" w:eastAsia="仿宋"/>
              </w:rPr>
            </w:pPr>
            <w:r>
              <w:rPr>
                <w:rFonts w:ascii="仿宋" w:hAnsi="仿宋" w:eastAsia="仿宋"/>
              </w:rPr>
              <w:t>城市/农村</w:t>
            </w:r>
          </w:p>
        </w:tc>
        <w:tc>
          <w:tcPr>
            <w:tcW w:w="2094" w:type="pct"/>
            <w:shd w:val="clear" w:color="auto" w:fill="auto"/>
            <w:vAlign w:val="center"/>
          </w:tcPr>
          <w:p>
            <w:pPr>
              <w:pStyle w:val="124"/>
              <w:spacing w:line="360" w:lineRule="exact"/>
              <w:rPr>
                <w:rFonts w:ascii="仿宋" w:hAnsi="仿宋" w:eastAsia="仿宋"/>
              </w:rPr>
            </w:pPr>
            <w:r>
              <w:rPr>
                <w:rFonts w:hint="eastAsia" w:ascii="仿宋" w:hAnsi="仿宋" w:eastAsia="仿宋"/>
              </w:rPr>
              <w:t>城市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50" w:type="pct"/>
            <w:vMerge w:val="continue"/>
            <w:shd w:val="clear" w:color="auto" w:fill="auto"/>
            <w:vAlign w:val="center"/>
          </w:tcPr>
          <w:p>
            <w:pPr>
              <w:pStyle w:val="124"/>
              <w:spacing w:line="360" w:lineRule="exact"/>
              <w:rPr>
                <w:rFonts w:ascii="仿宋" w:hAnsi="仿宋" w:eastAsia="仿宋"/>
              </w:rPr>
            </w:pPr>
          </w:p>
        </w:tc>
        <w:tc>
          <w:tcPr>
            <w:tcW w:w="1556" w:type="pct"/>
            <w:shd w:val="clear" w:color="auto" w:fill="auto"/>
            <w:vAlign w:val="center"/>
          </w:tcPr>
          <w:p>
            <w:pPr>
              <w:pStyle w:val="124"/>
              <w:spacing w:line="360" w:lineRule="exact"/>
              <w:rPr>
                <w:rFonts w:ascii="仿宋" w:hAnsi="仿宋" w:eastAsia="仿宋"/>
              </w:rPr>
            </w:pPr>
            <w:r>
              <w:rPr>
                <w:rFonts w:ascii="仿宋" w:hAnsi="仿宋" w:eastAsia="仿宋"/>
              </w:rPr>
              <w:t>人口数(城市人口数)</w:t>
            </w:r>
          </w:p>
        </w:tc>
        <w:tc>
          <w:tcPr>
            <w:tcW w:w="2094" w:type="pct"/>
            <w:shd w:val="clear" w:color="auto" w:fill="auto"/>
            <w:vAlign w:val="center"/>
          </w:tcPr>
          <w:p>
            <w:pPr>
              <w:pStyle w:val="124"/>
              <w:spacing w:line="360" w:lineRule="exact"/>
              <w:rPr>
                <w:rFonts w:ascii="仿宋" w:hAnsi="仿宋" w:eastAsia="仿宋"/>
              </w:rPr>
            </w:pPr>
            <w:r>
              <w:rPr>
                <w:rFonts w:ascii="仿宋" w:hAnsi="仿宋" w:eastAsia="仿宋"/>
              </w:rPr>
              <w:t>140</w:t>
            </w:r>
            <w:r>
              <w:rPr>
                <w:rFonts w:hint="eastAsia" w:ascii="仿宋" w:hAnsi="仿宋" w:eastAsia="仿宋"/>
              </w:rPr>
              <w:t>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06" w:type="pct"/>
            <w:gridSpan w:val="2"/>
            <w:shd w:val="clear" w:color="auto" w:fill="auto"/>
            <w:vAlign w:val="center"/>
          </w:tcPr>
          <w:p>
            <w:pPr>
              <w:pStyle w:val="124"/>
              <w:spacing w:line="360" w:lineRule="exact"/>
              <w:rPr>
                <w:rFonts w:ascii="仿宋" w:hAnsi="仿宋" w:eastAsia="仿宋"/>
              </w:rPr>
            </w:pPr>
            <w:r>
              <w:rPr>
                <w:rFonts w:ascii="仿宋" w:hAnsi="仿宋" w:eastAsia="仿宋"/>
              </w:rPr>
              <w:t>最高环境温度</w:t>
            </w:r>
          </w:p>
        </w:tc>
        <w:tc>
          <w:tcPr>
            <w:tcW w:w="2094" w:type="pct"/>
            <w:shd w:val="clear" w:color="auto" w:fill="auto"/>
            <w:vAlign w:val="center"/>
          </w:tcPr>
          <w:p>
            <w:pPr>
              <w:pStyle w:val="124"/>
              <w:spacing w:line="360" w:lineRule="exact"/>
              <w:rPr>
                <w:rFonts w:ascii="仿宋" w:hAnsi="仿宋" w:eastAsia="仿宋"/>
              </w:rPr>
            </w:pPr>
            <w:r>
              <w:rPr>
                <w:rFonts w:ascii="仿宋" w:hAnsi="仿宋" w:eastAsia="仿宋"/>
              </w:rPr>
              <w:t>38</w:t>
            </w:r>
            <w:r>
              <w:rPr>
                <w:rFonts w:hint="eastAsia" w:ascii="仿宋" w:hAnsi="仿宋" w:eastAsia="仿宋"/>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06" w:type="pct"/>
            <w:gridSpan w:val="2"/>
            <w:shd w:val="clear" w:color="auto" w:fill="auto"/>
            <w:vAlign w:val="center"/>
          </w:tcPr>
          <w:p>
            <w:pPr>
              <w:pStyle w:val="124"/>
              <w:spacing w:line="360" w:lineRule="exact"/>
              <w:rPr>
                <w:rFonts w:ascii="仿宋" w:hAnsi="仿宋" w:eastAsia="仿宋"/>
              </w:rPr>
            </w:pPr>
            <w:r>
              <w:rPr>
                <w:rFonts w:ascii="仿宋" w:hAnsi="仿宋" w:eastAsia="仿宋"/>
              </w:rPr>
              <w:t>最低环境温度</w:t>
            </w:r>
          </w:p>
        </w:tc>
        <w:tc>
          <w:tcPr>
            <w:tcW w:w="2094" w:type="pct"/>
            <w:shd w:val="clear" w:color="auto" w:fill="auto"/>
            <w:vAlign w:val="center"/>
          </w:tcPr>
          <w:p>
            <w:pPr>
              <w:pStyle w:val="124"/>
              <w:spacing w:line="360" w:lineRule="exact"/>
              <w:rPr>
                <w:rFonts w:ascii="仿宋" w:hAnsi="仿宋" w:eastAsia="仿宋"/>
              </w:rPr>
            </w:pPr>
            <w:r>
              <w:rPr>
                <w:rFonts w:ascii="仿宋" w:hAnsi="仿宋" w:eastAsia="仿宋"/>
              </w:rPr>
              <w:t>-5.8</w:t>
            </w:r>
            <w:r>
              <w:rPr>
                <w:rFonts w:hint="eastAsia" w:ascii="仿宋" w:hAnsi="仿宋" w:eastAsia="仿宋"/>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06" w:type="pct"/>
            <w:gridSpan w:val="2"/>
            <w:shd w:val="clear" w:color="auto" w:fill="auto"/>
            <w:vAlign w:val="center"/>
          </w:tcPr>
          <w:p>
            <w:pPr>
              <w:pStyle w:val="124"/>
              <w:spacing w:line="360" w:lineRule="exact"/>
              <w:rPr>
                <w:rFonts w:ascii="仿宋" w:hAnsi="仿宋" w:eastAsia="仿宋"/>
              </w:rPr>
            </w:pPr>
            <w:r>
              <w:rPr>
                <w:rFonts w:ascii="仿宋" w:hAnsi="仿宋" w:eastAsia="仿宋"/>
              </w:rPr>
              <w:t>土地利用类型</w:t>
            </w:r>
          </w:p>
        </w:tc>
        <w:tc>
          <w:tcPr>
            <w:tcW w:w="2094" w:type="pct"/>
            <w:shd w:val="clear" w:color="auto" w:fill="auto"/>
            <w:vAlign w:val="center"/>
          </w:tcPr>
          <w:p>
            <w:pPr>
              <w:pStyle w:val="124"/>
              <w:spacing w:line="360" w:lineRule="exact"/>
              <w:rPr>
                <w:rFonts w:ascii="仿宋" w:hAnsi="仿宋" w:eastAsia="仿宋"/>
              </w:rPr>
            </w:pPr>
            <w:r>
              <w:rPr>
                <w:rFonts w:ascii="仿宋" w:hAnsi="仿宋" w:eastAsia="仿宋"/>
              </w:rPr>
              <w:t>城市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06" w:type="pct"/>
            <w:gridSpan w:val="2"/>
            <w:shd w:val="clear" w:color="auto" w:fill="auto"/>
            <w:vAlign w:val="center"/>
          </w:tcPr>
          <w:p>
            <w:pPr>
              <w:pStyle w:val="124"/>
              <w:spacing w:line="360" w:lineRule="exact"/>
              <w:rPr>
                <w:rFonts w:ascii="仿宋" w:hAnsi="仿宋" w:eastAsia="仿宋"/>
              </w:rPr>
            </w:pPr>
            <w:r>
              <w:rPr>
                <w:rFonts w:ascii="仿宋" w:hAnsi="仿宋" w:eastAsia="仿宋"/>
              </w:rPr>
              <w:t>区域湿度条件</w:t>
            </w:r>
          </w:p>
        </w:tc>
        <w:tc>
          <w:tcPr>
            <w:tcW w:w="2094" w:type="pct"/>
            <w:shd w:val="clear" w:color="auto" w:fill="auto"/>
            <w:vAlign w:val="center"/>
          </w:tcPr>
          <w:p>
            <w:pPr>
              <w:pStyle w:val="124"/>
              <w:spacing w:line="360" w:lineRule="exact"/>
              <w:rPr>
                <w:rFonts w:ascii="仿宋" w:hAnsi="仿宋" w:eastAsia="仿宋"/>
              </w:rPr>
            </w:pPr>
            <w:r>
              <w:rPr>
                <w:rFonts w:hint="eastAsia" w:ascii="仿宋" w:hAnsi="仿宋" w:eastAsia="仿宋"/>
              </w:rPr>
              <w:t>潮湿气候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50" w:type="pct"/>
            <w:vMerge w:val="restart"/>
            <w:shd w:val="clear" w:color="auto" w:fill="auto"/>
            <w:vAlign w:val="center"/>
          </w:tcPr>
          <w:p>
            <w:pPr>
              <w:pStyle w:val="124"/>
              <w:spacing w:line="360" w:lineRule="exact"/>
              <w:rPr>
                <w:rFonts w:ascii="仿宋" w:hAnsi="仿宋" w:eastAsia="仿宋"/>
              </w:rPr>
            </w:pPr>
            <w:r>
              <w:rPr>
                <w:rFonts w:ascii="仿宋" w:hAnsi="仿宋" w:eastAsia="仿宋"/>
              </w:rPr>
              <w:t>是否考虑地形</w:t>
            </w:r>
          </w:p>
        </w:tc>
        <w:tc>
          <w:tcPr>
            <w:tcW w:w="1556" w:type="pct"/>
            <w:shd w:val="clear" w:color="auto" w:fill="auto"/>
            <w:vAlign w:val="center"/>
          </w:tcPr>
          <w:p>
            <w:pPr>
              <w:pStyle w:val="124"/>
              <w:spacing w:line="360" w:lineRule="exact"/>
              <w:rPr>
                <w:rFonts w:ascii="仿宋" w:hAnsi="仿宋" w:eastAsia="仿宋"/>
              </w:rPr>
            </w:pPr>
            <w:r>
              <w:rPr>
                <w:rFonts w:ascii="仿宋" w:hAnsi="仿宋" w:eastAsia="仿宋"/>
              </w:rPr>
              <w:t>考虑地形</w:t>
            </w:r>
          </w:p>
        </w:tc>
        <w:tc>
          <w:tcPr>
            <w:tcW w:w="2094" w:type="pct"/>
            <w:shd w:val="clear" w:color="auto" w:fill="auto"/>
            <w:vAlign w:val="center"/>
          </w:tcPr>
          <w:p>
            <w:pPr>
              <w:pStyle w:val="124"/>
              <w:spacing w:line="360" w:lineRule="exact"/>
              <w:rPr>
                <w:rFonts w:ascii="仿宋" w:hAnsi="仿宋" w:eastAsia="仿宋"/>
              </w:rPr>
            </w:pPr>
            <w:r>
              <w:rPr>
                <w:rFonts w:ascii="仿宋" w:hAnsi="仿宋" w:eastAsia="仿宋"/>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50" w:type="pct"/>
            <w:vMerge w:val="continue"/>
            <w:shd w:val="clear" w:color="auto" w:fill="auto"/>
            <w:vAlign w:val="center"/>
          </w:tcPr>
          <w:p>
            <w:pPr>
              <w:pStyle w:val="124"/>
              <w:spacing w:line="360" w:lineRule="exact"/>
              <w:rPr>
                <w:rFonts w:ascii="仿宋" w:hAnsi="仿宋" w:eastAsia="仿宋"/>
              </w:rPr>
            </w:pPr>
          </w:p>
        </w:tc>
        <w:tc>
          <w:tcPr>
            <w:tcW w:w="1556" w:type="pct"/>
            <w:shd w:val="clear" w:color="auto" w:fill="auto"/>
            <w:vAlign w:val="center"/>
          </w:tcPr>
          <w:p>
            <w:pPr>
              <w:pStyle w:val="124"/>
              <w:spacing w:line="360" w:lineRule="exact"/>
              <w:rPr>
                <w:rFonts w:ascii="仿宋" w:hAnsi="仿宋" w:eastAsia="仿宋"/>
              </w:rPr>
            </w:pPr>
            <w:r>
              <w:rPr>
                <w:rFonts w:ascii="仿宋" w:hAnsi="仿宋" w:eastAsia="仿宋"/>
              </w:rPr>
              <w:t>地形数据分辨率(m)</w:t>
            </w:r>
          </w:p>
        </w:tc>
        <w:tc>
          <w:tcPr>
            <w:tcW w:w="2094" w:type="pct"/>
            <w:shd w:val="clear" w:color="auto" w:fill="auto"/>
            <w:vAlign w:val="center"/>
          </w:tcPr>
          <w:p>
            <w:pPr>
              <w:pStyle w:val="124"/>
              <w:spacing w:line="360" w:lineRule="exact"/>
              <w:rPr>
                <w:rFonts w:ascii="仿宋" w:hAnsi="仿宋" w:eastAsia="仿宋"/>
              </w:rPr>
            </w:pPr>
            <w:r>
              <w:rPr>
                <w:rFonts w:ascii="仿宋" w:hAnsi="仿宋" w:eastAsia="仿宋"/>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50" w:type="pct"/>
            <w:vMerge w:val="restart"/>
            <w:shd w:val="clear" w:color="auto" w:fill="auto"/>
            <w:vAlign w:val="center"/>
          </w:tcPr>
          <w:p>
            <w:pPr>
              <w:pStyle w:val="124"/>
              <w:spacing w:line="360" w:lineRule="exact"/>
              <w:rPr>
                <w:rFonts w:ascii="仿宋" w:hAnsi="仿宋" w:eastAsia="仿宋"/>
              </w:rPr>
            </w:pPr>
            <w:r>
              <w:rPr>
                <w:rFonts w:ascii="仿宋" w:hAnsi="仿宋" w:eastAsia="仿宋"/>
              </w:rPr>
              <w:t>是否考虑海岸线熏烟</w:t>
            </w:r>
          </w:p>
        </w:tc>
        <w:tc>
          <w:tcPr>
            <w:tcW w:w="1556" w:type="pct"/>
            <w:shd w:val="clear" w:color="auto" w:fill="auto"/>
            <w:vAlign w:val="center"/>
          </w:tcPr>
          <w:p>
            <w:pPr>
              <w:pStyle w:val="124"/>
              <w:spacing w:line="360" w:lineRule="exact"/>
              <w:rPr>
                <w:rFonts w:ascii="仿宋" w:hAnsi="仿宋" w:eastAsia="仿宋"/>
              </w:rPr>
            </w:pPr>
            <w:r>
              <w:rPr>
                <w:rFonts w:ascii="仿宋" w:hAnsi="仿宋" w:eastAsia="仿宋"/>
              </w:rPr>
              <w:t>考虑海岸线熏烟</w:t>
            </w:r>
          </w:p>
        </w:tc>
        <w:tc>
          <w:tcPr>
            <w:tcW w:w="2094" w:type="pct"/>
            <w:shd w:val="clear" w:color="auto" w:fill="auto"/>
            <w:vAlign w:val="center"/>
          </w:tcPr>
          <w:p>
            <w:pPr>
              <w:pStyle w:val="124"/>
              <w:spacing w:line="360" w:lineRule="exact"/>
              <w:rPr>
                <w:rFonts w:ascii="仿宋" w:hAnsi="仿宋" w:eastAsia="仿宋"/>
              </w:rPr>
            </w:pPr>
            <w:r>
              <w:rPr>
                <w:rFonts w:ascii="仿宋" w:hAnsi="仿宋" w:eastAsia="仿宋"/>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50" w:type="pct"/>
            <w:vMerge w:val="continue"/>
            <w:shd w:val="clear" w:color="auto" w:fill="auto"/>
            <w:vAlign w:val="center"/>
          </w:tcPr>
          <w:p>
            <w:pPr>
              <w:jc w:val="center"/>
              <w:rPr>
                <w:rFonts w:eastAsia="仿宋_GB2312"/>
                <w:szCs w:val="21"/>
              </w:rPr>
            </w:pPr>
          </w:p>
        </w:tc>
        <w:tc>
          <w:tcPr>
            <w:tcW w:w="1556" w:type="pct"/>
            <w:shd w:val="clear" w:color="auto" w:fill="auto"/>
            <w:vAlign w:val="center"/>
          </w:tcPr>
          <w:p>
            <w:pPr>
              <w:pStyle w:val="124"/>
              <w:spacing w:line="360" w:lineRule="exact"/>
              <w:rPr>
                <w:rFonts w:ascii="仿宋" w:hAnsi="仿宋" w:eastAsia="仿宋"/>
              </w:rPr>
            </w:pPr>
            <w:r>
              <w:rPr>
                <w:rFonts w:ascii="仿宋" w:hAnsi="仿宋" w:eastAsia="仿宋"/>
              </w:rPr>
              <w:t>海岸线距离/km</w:t>
            </w:r>
          </w:p>
        </w:tc>
        <w:tc>
          <w:tcPr>
            <w:tcW w:w="2094" w:type="pct"/>
            <w:shd w:val="clear" w:color="auto" w:fill="auto"/>
            <w:vAlign w:val="center"/>
          </w:tcPr>
          <w:p>
            <w:pPr>
              <w:pStyle w:val="124"/>
              <w:spacing w:line="360" w:lineRule="exact"/>
              <w:rPr>
                <w:rFonts w:ascii="仿宋" w:hAnsi="仿宋" w:eastAsia="仿宋"/>
              </w:rPr>
            </w:pPr>
            <w:r>
              <w:rPr>
                <w:rFonts w:ascii="仿宋" w:hAnsi="仿宋" w:eastAsia="仿宋"/>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50" w:type="pct"/>
            <w:vMerge w:val="continue"/>
            <w:shd w:val="clear" w:color="auto" w:fill="auto"/>
            <w:vAlign w:val="center"/>
          </w:tcPr>
          <w:p>
            <w:pPr>
              <w:jc w:val="center"/>
              <w:rPr>
                <w:rFonts w:eastAsia="仿宋_GB2312"/>
                <w:szCs w:val="21"/>
              </w:rPr>
            </w:pPr>
          </w:p>
        </w:tc>
        <w:tc>
          <w:tcPr>
            <w:tcW w:w="1556" w:type="pct"/>
            <w:shd w:val="clear" w:color="auto" w:fill="auto"/>
            <w:vAlign w:val="center"/>
          </w:tcPr>
          <w:p>
            <w:pPr>
              <w:pStyle w:val="124"/>
              <w:spacing w:line="360" w:lineRule="exact"/>
              <w:rPr>
                <w:rFonts w:ascii="仿宋" w:hAnsi="仿宋" w:eastAsia="仿宋"/>
              </w:rPr>
            </w:pPr>
            <w:r>
              <w:rPr>
                <w:rFonts w:ascii="仿宋" w:hAnsi="仿宋" w:eastAsia="仿宋"/>
              </w:rPr>
              <w:t>海岸线方向/o</w:t>
            </w:r>
          </w:p>
        </w:tc>
        <w:tc>
          <w:tcPr>
            <w:tcW w:w="2094" w:type="pct"/>
            <w:shd w:val="clear" w:color="auto" w:fill="auto"/>
            <w:vAlign w:val="center"/>
          </w:tcPr>
          <w:p>
            <w:pPr>
              <w:pStyle w:val="124"/>
              <w:spacing w:line="360" w:lineRule="exact"/>
              <w:rPr>
                <w:rFonts w:ascii="仿宋" w:hAnsi="仿宋" w:eastAsia="仿宋"/>
              </w:rPr>
            </w:pPr>
            <w:r>
              <w:rPr>
                <w:rFonts w:hint="eastAsia" w:ascii="仿宋" w:hAnsi="仿宋" w:eastAsia="仿宋"/>
              </w:rPr>
              <w:t>/</w:t>
            </w:r>
          </w:p>
        </w:tc>
      </w:tr>
    </w:tbl>
    <w:p>
      <w:pPr>
        <w:spacing w:line="500" w:lineRule="exact"/>
        <w:ind w:firstLine="560" w:firstLineChars="200"/>
        <w:rPr>
          <w:rFonts w:eastAsia="仿宋_GB2312"/>
          <w:sz w:val="28"/>
          <w:szCs w:val="28"/>
        </w:rPr>
      </w:pPr>
      <w:r>
        <w:rPr>
          <w:rFonts w:hint="eastAsia" w:eastAsia="仿宋_GB2312"/>
          <w:sz w:val="28"/>
          <w:szCs w:val="28"/>
        </w:rPr>
        <w:t>地形数据采用SRTM（Shuttle Radar Topography Mission）90m分辨率地形数据。数据来源为：</w:t>
      </w:r>
      <w:r>
        <w:fldChar w:fldCharType="begin"/>
      </w:r>
      <w:r>
        <w:instrText xml:space="preserve"> HYPERLINK "http://srtm.csi.cgiar.org。地形数据范围为srtm60-06" </w:instrText>
      </w:r>
      <w:r>
        <w:fldChar w:fldCharType="separate"/>
      </w:r>
      <w:r>
        <w:rPr>
          <w:rFonts w:hint="eastAsia" w:eastAsia="仿宋_GB2312"/>
          <w:sz w:val="28"/>
          <w:szCs w:val="28"/>
        </w:rPr>
        <w:t>http://srtm.csi.cgiar.org。地形数据范围为srtm60-06</w:t>
      </w:r>
      <w:r>
        <w:rPr>
          <w:rFonts w:hint="eastAsia" w:eastAsia="仿宋_GB2312"/>
          <w:sz w:val="28"/>
          <w:szCs w:val="28"/>
        </w:rPr>
        <w:fldChar w:fldCharType="end"/>
      </w:r>
      <w:r>
        <w:rPr>
          <w:rFonts w:hint="eastAsia" w:eastAsia="仿宋_GB2312"/>
          <w:sz w:val="28"/>
          <w:szCs w:val="28"/>
        </w:rPr>
        <w:t>。</w:t>
      </w:r>
    </w:p>
    <w:p>
      <w:pPr>
        <w:spacing w:line="500" w:lineRule="exact"/>
        <w:ind w:firstLine="560" w:firstLineChars="200"/>
        <w:rPr>
          <w:rFonts w:eastAsia="仿宋_GB2312"/>
          <w:sz w:val="28"/>
          <w:szCs w:val="28"/>
        </w:rPr>
      </w:pPr>
      <w:r>
        <w:rPr>
          <w:rFonts w:hint="eastAsia" w:eastAsia="仿宋_GB2312"/>
          <w:sz w:val="28"/>
          <w:szCs w:val="28"/>
        </w:rPr>
        <w:t>（2）</w:t>
      </w:r>
      <w:r>
        <w:rPr>
          <w:rFonts w:eastAsia="仿宋_GB2312"/>
          <w:sz w:val="28"/>
          <w:szCs w:val="28"/>
        </w:rPr>
        <w:t>本项目</w:t>
      </w:r>
      <w:r>
        <w:rPr>
          <w:rFonts w:hint="eastAsia" w:eastAsia="仿宋_GB2312"/>
          <w:sz w:val="28"/>
          <w:szCs w:val="28"/>
        </w:rPr>
        <w:t>非</w:t>
      </w:r>
      <w:r>
        <w:rPr>
          <w:rFonts w:eastAsia="仿宋_GB2312"/>
          <w:sz w:val="28"/>
          <w:szCs w:val="28"/>
        </w:rPr>
        <w:t>正常工况下的点源排放源强见表5.2-8</w:t>
      </w:r>
      <w:r>
        <w:rPr>
          <w:rFonts w:hint="eastAsia" w:eastAsia="仿宋_GB2312"/>
          <w:sz w:val="28"/>
          <w:szCs w:val="28"/>
        </w:rPr>
        <w:t>。</w:t>
      </w:r>
    </w:p>
    <w:p>
      <w:pPr>
        <w:spacing w:before="60" w:line="500" w:lineRule="exact"/>
        <w:ind w:firstLine="482" w:firstLineChars="200"/>
        <w:jc w:val="center"/>
        <w:rPr>
          <w:rFonts w:eastAsia="仿宋_GB2312"/>
          <w:b/>
          <w:kern w:val="0"/>
          <w:sz w:val="24"/>
          <w:szCs w:val="20"/>
        </w:rPr>
      </w:pPr>
      <w:r>
        <w:rPr>
          <w:rFonts w:eastAsia="仿宋_GB2312"/>
          <w:b/>
          <w:kern w:val="0"/>
          <w:sz w:val="24"/>
          <w:szCs w:val="20"/>
        </w:rPr>
        <w:t xml:space="preserve">表5.2-8  </w:t>
      </w:r>
      <w:r>
        <w:rPr>
          <w:rFonts w:hint="eastAsia" w:eastAsia="仿宋_GB2312"/>
          <w:b/>
          <w:kern w:val="0"/>
          <w:sz w:val="24"/>
          <w:szCs w:val="20"/>
        </w:rPr>
        <w:t>非正常</w:t>
      </w:r>
      <w:r>
        <w:rPr>
          <w:rFonts w:eastAsia="仿宋_GB2312"/>
          <w:b/>
          <w:kern w:val="0"/>
          <w:sz w:val="24"/>
          <w:szCs w:val="20"/>
        </w:rPr>
        <w:t>工况</w:t>
      </w:r>
      <w:r>
        <w:rPr>
          <w:rFonts w:hint="eastAsia" w:eastAsia="仿宋_GB2312"/>
          <w:b/>
          <w:kern w:val="0"/>
          <w:sz w:val="24"/>
          <w:szCs w:val="20"/>
        </w:rPr>
        <w:t>下</w:t>
      </w:r>
      <w:r>
        <w:rPr>
          <w:rFonts w:eastAsia="仿宋_GB2312"/>
          <w:b/>
          <w:kern w:val="0"/>
          <w:sz w:val="24"/>
          <w:szCs w:val="20"/>
        </w:rPr>
        <w:t>废气污染源参数一览表(点源)</w:t>
      </w:r>
    </w:p>
    <w:tbl>
      <w:tblPr>
        <w:tblStyle w:val="87"/>
        <w:tblW w:w="9600" w:type="dxa"/>
        <w:tblInd w:w="-6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2894"/>
        <w:gridCol w:w="862"/>
        <w:gridCol w:w="850"/>
        <w:gridCol w:w="1070"/>
        <w:gridCol w:w="675"/>
        <w:gridCol w:w="675"/>
        <w:gridCol w:w="720"/>
        <w:gridCol w:w="690"/>
        <w:gridCol w:w="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94" w:type="dxa"/>
            <w:vMerge w:val="restart"/>
            <w:shd w:val="clear" w:color="auto" w:fill="auto"/>
            <w:tcMar>
              <w:left w:w="0" w:type="dxa"/>
              <w:right w:w="0" w:type="dxa"/>
            </w:tcMar>
            <w:vAlign w:val="center"/>
          </w:tcPr>
          <w:p>
            <w:pPr>
              <w:pStyle w:val="124"/>
              <w:spacing w:line="360" w:lineRule="exact"/>
              <w:rPr>
                <w:rFonts w:ascii="仿宋" w:hAnsi="仿宋" w:eastAsia="仿宋"/>
              </w:rPr>
            </w:pPr>
            <w:r>
              <w:rPr>
                <w:rFonts w:ascii="仿宋" w:hAnsi="仿宋" w:eastAsia="仿宋"/>
              </w:rPr>
              <w:t>排气筒编号</w:t>
            </w:r>
          </w:p>
        </w:tc>
        <w:tc>
          <w:tcPr>
            <w:tcW w:w="2894" w:type="dxa"/>
            <w:vMerge w:val="restart"/>
            <w:shd w:val="clear" w:color="auto" w:fill="auto"/>
            <w:tcMar>
              <w:left w:w="0" w:type="dxa"/>
              <w:right w:w="0" w:type="dxa"/>
            </w:tcMar>
            <w:vAlign w:val="center"/>
          </w:tcPr>
          <w:p>
            <w:pPr>
              <w:widowControl/>
              <w:jc w:val="center"/>
              <w:rPr>
                <w:rFonts w:ascii="仿宋" w:hAnsi="仿宋" w:eastAsia="仿宋"/>
              </w:rPr>
            </w:pPr>
            <w:r>
              <w:rPr>
                <w:rFonts w:ascii="仿宋" w:hAnsi="仿宋" w:eastAsia="仿宋"/>
              </w:rPr>
              <w:t>污染源及编号</w:t>
            </w:r>
          </w:p>
        </w:tc>
        <w:tc>
          <w:tcPr>
            <w:tcW w:w="862" w:type="dxa"/>
            <w:vMerge w:val="restart"/>
            <w:shd w:val="clear" w:color="auto" w:fill="auto"/>
            <w:tcMar>
              <w:left w:w="0" w:type="dxa"/>
              <w:right w:w="0" w:type="dxa"/>
            </w:tcMar>
            <w:vAlign w:val="center"/>
          </w:tcPr>
          <w:p>
            <w:pPr>
              <w:widowControl/>
              <w:jc w:val="center"/>
              <w:rPr>
                <w:rFonts w:ascii="仿宋" w:hAnsi="仿宋" w:eastAsia="仿宋"/>
              </w:rPr>
            </w:pPr>
            <w:r>
              <w:rPr>
                <w:rFonts w:ascii="仿宋" w:hAnsi="仿宋" w:eastAsia="仿宋"/>
              </w:rPr>
              <w:t>排气量(m</w:t>
            </w:r>
            <w:r>
              <w:rPr>
                <w:rFonts w:ascii="仿宋" w:hAnsi="仿宋" w:eastAsia="仿宋"/>
                <w:vertAlign w:val="superscript"/>
              </w:rPr>
              <w:t>3</w:t>
            </w:r>
            <w:r>
              <w:rPr>
                <w:rFonts w:ascii="仿宋" w:hAnsi="仿宋" w:eastAsia="仿宋"/>
              </w:rPr>
              <w:t>/h)</w:t>
            </w:r>
          </w:p>
        </w:tc>
        <w:tc>
          <w:tcPr>
            <w:tcW w:w="850" w:type="dxa"/>
            <w:vMerge w:val="restart"/>
            <w:shd w:val="clear" w:color="auto" w:fill="auto"/>
            <w:tcMar>
              <w:left w:w="0" w:type="dxa"/>
              <w:right w:w="0" w:type="dxa"/>
            </w:tcMar>
            <w:vAlign w:val="center"/>
          </w:tcPr>
          <w:p>
            <w:pPr>
              <w:pStyle w:val="124"/>
              <w:spacing w:line="360" w:lineRule="exact"/>
              <w:rPr>
                <w:rFonts w:ascii="仿宋" w:hAnsi="仿宋" w:eastAsia="仿宋"/>
              </w:rPr>
            </w:pPr>
            <w:r>
              <w:rPr>
                <w:rFonts w:ascii="仿宋" w:hAnsi="仿宋" w:eastAsia="仿宋"/>
              </w:rPr>
              <w:t>污染物名称</w:t>
            </w:r>
          </w:p>
        </w:tc>
        <w:tc>
          <w:tcPr>
            <w:tcW w:w="1745" w:type="dxa"/>
            <w:gridSpan w:val="2"/>
            <w:shd w:val="clear" w:color="auto" w:fill="auto"/>
            <w:vAlign w:val="center"/>
          </w:tcPr>
          <w:p>
            <w:pPr>
              <w:pStyle w:val="124"/>
              <w:spacing w:line="360" w:lineRule="exact"/>
              <w:rPr>
                <w:rFonts w:ascii="仿宋" w:hAnsi="仿宋" w:eastAsia="仿宋"/>
              </w:rPr>
            </w:pPr>
            <w:r>
              <w:rPr>
                <w:rFonts w:hint="eastAsia" w:ascii="仿宋" w:hAnsi="仿宋" w:eastAsia="仿宋"/>
              </w:rPr>
              <w:t>排放</w:t>
            </w:r>
            <w:r>
              <w:rPr>
                <w:rFonts w:ascii="仿宋" w:hAnsi="仿宋" w:eastAsia="仿宋"/>
              </w:rPr>
              <w:t>状况</w:t>
            </w:r>
          </w:p>
        </w:tc>
        <w:tc>
          <w:tcPr>
            <w:tcW w:w="2085" w:type="dxa"/>
            <w:gridSpan w:val="3"/>
            <w:shd w:val="clear" w:color="auto" w:fill="auto"/>
            <w:tcMar>
              <w:left w:w="0" w:type="dxa"/>
              <w:right w:w="0" w:type="dxa"/>
            </w:tcMar>
            <w:vAlign w:val="center"/>
          </w:tcPr>
          <w:p>
            <w:pPr>
              <w:pStyle w:val="124"/>
              <w:spacing w:line="360" w:lineRule="exact"/>
              <w:rPr>
                <w:rFonts w:ascii="仿宋" w:hAnsi="仿宋" w:eastAsia="仿宋"/>
              </w:rPr>
            </w:pPr>
            <w:r>
              <w:rPr>
                <w:rFonts w:ascii="仿宋" w:hAnsi="仿宋" w:eastAsia="仿宋"/>
              </w:rPr>
              <w:t>排放源参数</w:t>
            </w:r>
          </w:p>
        </w:tc>
        <w:tc>
          <w:tcPr>
            <w:tcW w:w="570" w:type="dxa"/>
            <w:vMerge w:val="restart"/>
            <w:shd w:val="clear" w:color="auto" w:fill="auto"/>
            <w:tcMar>
              <w:left w:w="0" w:type="dxa"/>
              <w:right w:w="0" w:type="dxa"/>
            </w:tcMar>
            <w:vAlign w:val="center"/>
          </w:tcPr>
          <w:p>
            <w:pPr>
              <w:pStyle w:val="124"/>
              <w:spacing w:line="360" w:lineRule="exact"/>
              <w:rPr>
                <w:rFonts w:ascii="仿宋" w:hAnsi="仿宋" w:eastAsia="仿宋"/>
              </w:rPr>
            </w:pPr>
            <w:r>
              <w:rPr>
                <w:rFonts w:hint="eastAsia" w:ascii="仿宋" w:hAnsi="仿宋" w:eastAsia="仿宋"/>
              </w:rPr>
              <w:t>单次</w:t>
            </w:r>
            <w:r>
              <w:rPr>
                <w:rFonts w:ascii="仿宋" w:hAnsi="仿宋" w:eastAsia="仿宋"/>
              </w:rPr>
              <w:t>持续时间</w:t>
            </w:r>
            <w:r>
              <w:rPr>
                <w:rFonts w:hint="eastAsia" w:ascii="仿宋" w:hAnsi="仿宋" w:eastAsia="仿宋"/>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94" w:type="dxa"/>
            <w:vMerge w:val="continue"/>
            <w:shd w:val="clear" w:color="auto" w:fill="auto"/>
            <w:tcMar>
              <w:left w:w="0" w:type="dxa"/>
              <w:right w:w="0" w:type="dxa"/>
            </w:tcMar>
            <w:vAlign w:val="center"/>
          </w:tcPr>
          <w:p>
            <w:pPr>
              <w:pStyle w:val="124"/>
              <w:spacing w:line="360" w:lineRule="exact"/>
              <w:rPr>
                <w:rFonts w:ascii="仿宋" w:hAnsi="仿宋" w:eastAsia="仿宋"/>
              </w:rPr>
            </w:pPr>
          </w:p>
        </w:tc>
        <w:tc>
          <w:tcPr>
            <w:tcW w:w="2894" w:type="dxa"/>
            <w:vMerge w:val="continue"/>
            <w:shd w:val="clear" w:color="auto" w:fill="auto"/>
            <w:tcMar>
              <w:left w:w="0" w:type="dxa"/>
              <w:right w:w="0" w:type="dxa"/>
            </w:tcMar>
            <w:vAlign w:val="center"/>
          </w:tcPr>
          <w:p>
            <w:pPr>
              <w:pStyle w:val="124"/>
              <w:spacing w:line="360" w:lineRule="exact"/>
              <w:rPr>
                <w:rFonts w:ascii="仿宋" w:hAnsi="仿宋" w:eastAsia="仿宋"/>
              </w:rPr>
            </w:pPr>
          </w:p>
        </w:tc>
        <w:tc>
          <w:tcPr>
            <w:tcW w:w="862" w:type="dxa"/>
            <w:vMerge w:val="continue"/>
            <w:shd w:val="clear" w:color="auto" w:fill="auto"/>
            <w:tcMar>
              <w:left w:w="0" w:type="dxa"/>
              <w:right w:w="0" w:type="dxa"/>
            </w:tcMar>
            <w:vAlign w:val="center"/>
          </w:tcPr>
          <w:p>
            <w:pPr>
              <w:pStyle w:val="124"/>
              <w:spacing w:line="360" w:lineRule="exact"/>
              <w:rPr>
                <w:rFonts w:ascii="仿宋" w:hAnsi="仿宋" w:eastAsia="仿宋"/>
              </w:rPr>
            </w:pPr>
          </w:p>
        </w:tc>
        <w:tc>
          <w:tcPr>
            <w:tcW w:w="850" w:type="dxa"/>
            <w:vMerge w:val="continue"/>
            <w:shd w:val="clear" w:color="auto" w:fill="auto"/>
            <w:tcMar>
              <w:left w:w="0" w:type="dxa"/>
              <w:right w:w="0" w:type="dxa"/>
            </w:tcMar>
            <w:vAlign w:val="center"/>
          </w:tcPr>
          <w:p>
            <w:pPr>
              <w:pStyle w:val="124"/>
              <w:spacing w:line="360" w:lineRule="exact"/>
              <w:rPr>
                <w:rFonts w:ascii="仿宋" w:hAnsi="仿宋" w:eastAsia="仿宋"/>
              </w:rPr>
            </w:pPr>
          </w:p>
        </w:tc>
        <w:tc>
          <w:tcPr>
            <w:tcW w:w="1070" w:type="dxa"/>
            <w:shd w:val="clear" w:color="auto" w:fill="auto"/>
            <w:tcMar>
              <w:left w:w="0" w:type="dxa"/>
              <w:right w:w="0" w:type="dxa"/>
            </w:tcMar>
            <w:vAlign w:val="center"/>
          </w:tcPr>
          <w:p>
            <w:pPr>
              <w:pStyle w:val="124"/>
              <w:spacing w:line="360" w:lineRule="exact"/>
              <w:rPr>
                <w:rFonts w:ascii="仿宋" w:hAnsi="仿宋" w:eastAsia="仿宋"/>
              </w:rPr>
            </w:pPr>
            <w:r>
              <w:rPr>
                <w:rFonts w:hint="eastAsia" w:ascii="仿宋" w:hAnsi="仿宋" w:eastAsia="仿宋"/>
              </w:rPr>
              <w:t>最大浓度（</w:t>
            </w:r>
            <w:r>
              <w:rPr>
                <w:rFonts w:ascii="仿宋" w:hAnsi="仿宋" w:eastAsia="仿宋"/>
              </w:rPr>
              <w:t>m</w:t>
            </w:r>
            <w:r>
              <w:rPr>
                <w:rFonts w:hint="eastAsia" w:ascii="仿宋" w:hAnsi="仿宋" w:eastAsia="仿宋"/>
              </w:rPr>
              <w:t>g</w:t>
            </w:r>
            <w:r>
              <w:rPr>
                <w:rFonts w:ascii="仿宋" w:hAnsi="仿宋" w:eastAsia="仿宋"/>
              </w:rPr>
              <w:t>/m</w:t>
            </w:r>
            <w:r>
              <w:rPr>
                <w:rFonts w:ascii="仿宋" w:hAnsi="仿宋" w:eastAsia="仿宋"/>
                <w:vertAlign w:val="superscript"/>
              </w:rPr>
              <w:t>3</w:t>
            </w:r>
            <w:r>
              <w:rPr>
                <w:rFonts w:hint="eastAsia" w:ascii="仿宋" w:hAnsi="仿宋" w:eastAsia="仿宋"/>
              </w:rPr>
              <w:t>）</w:t>
            </w:r>
          </w:p>
        </w:tc>
        <w:tc>
          <w:tcPr>
            <w:tcW w:w="675" w:type="dxa"/>
            <w:shd w:val="clear" w:color="auto" w:fill="auto"/>
            <w:tcMar>
              <w:left w:w="0" w:type="dxa"/>
              <w:right w:w="0" w:type="dxa"/>
            </w:tcMar>
            <w:vAlign w:val="center"/>
          </w:tcPr>
          <w:p>
            <w:pPr>
              <w:pStyle w:val="124"/>
              <w:spacing w:line="360" w:lineRule="exact"/>
              <w:rPr>
                <w:rFonts w:ascii="仿宋" w:hAnsi="仿宋" w:eastAsia="仿宋"/>
              </w:rPr>
            </w:pPr>
            <w:r>
              <w:rPr>
                <w:rFonts w:hint="eastAsia" w:ascii="仿宋" w:hAnsi="仿宋" w:eastAsia="仿宋"/>
              </w:rPr>
              <w:t>最大</w:t>
            </w:r>
            <w:r>
              <w:rPr>
                <w:rFonts w:ascii="仿宋" w:hAnsi="仿宋" w:eastAsia="仿宋"/>
              </w:rPr>
              <w:t>速率(kg/h)</w:t>
            </w:r>
          </w:p>
        </w:tc>
        <w:tc>
          <w:tcPr>
            <w:tcW w:w="675" w:type="dxa"/>
            <w:shd w:val="clear" w:color="auto" w:fill="auto"/>
            <w:tcMar>
              <w:left w:w="0" w:type="dxa"/>
              <w:right w:w="0" w:type="dxa"/>
            </w:tcMar>
            <w:vAlign w:val="center"/>
          </w:tcPr>
          <w:p>
            <w:pPr>
              <w:pStyle w:val="124"/>
              <w:spacing w:line="360" w:lineRule="exact"/>
              <w:rPr>
                <w:rFonts w:ascii="仿宋" w:hAnsi="仿宋" w:eastAsia="仿宋"/>
              </w:rPr>
            </w:pPr>
            <w:r>
              <w:rPr>
                <w:rFonts w:ascii="仿宋" w:hAnsi="仿宋" w:eastAsia="仿宋"/>
              </w:rPr>
              <w:t>排放高度(m)</w:t>
            </w:r>
          </w:p>
        </w:tc>
        <w:tc>
          <w:tcPr>
            <w:tcW w:w="720" w:type="dxa"/>
            <w:shd w:val="clear" w:color="auto" w:fill="auto"/>
            <w:tcMar>
              <w:left w:w="0" w:type="dxa"/>
              <w:right w:w="0" w:type="dxa"/>
            </w:tcMar>
            <w:vAlign w:val="center"/>
          </w:tcPr>
          <w:p>
            <w:pPr>
              <w:pStyle w:val="124"/>
              <w:spacing w:line="360" w:lineRule="exact"/>
              <w:rPr>
                <w:rFonts w:ascii="仿宋" w:hAnsi="仿宋" w:eastAsia="仿宋"/>
              </w:rPr>
            </w:pPr>
            <w:r>
              <w:rPr>
                <w:rFonts w:ascii="仿宋" w:hAnsi="仿宋" w:eastAsia="仿宋"/>
              </w:rPr>
              <w:t>直径（m）</w:t>
            </w:r>
          </w:p>
        </w:tc>
        <w:tc>
          <w:tcPr>
            <w:tcW w:w="690" w:type="dxa"/>
            <w:shd w:val="clear" w:color="auto" w:fill="auto"/>
            <w:tcMar>
              <w:left w:w="0" w:type="dxa"/>
              <w:right w:w="0" w:type="dxa"/>
            </w:tcMar>
            <w:vAlign w:val="center"/>
          </w:tcPr>
          <w:p>
            <w:pPr>
              <w:pStyle w:val="124"/>
              <w:spacing w:line="360" w:lineRule="exact"/>
              <w:rPr>
                <w:rFonts w:ascii="仿宋" w:hAnsi="仿宋" w:eastAsia="仿宋"/>
              </w:rPr>
            </w:pPr>
            <w:r>
              <w:rPr>
                <w:rFonts w:ascii="仿宋" w:hAnsi="仿宋" w:eastAsia="仿宋"/>
              </w:rPr>
              <w:t>烟气出口温度（</w:t>
            </w:r>
            <w:r>
              <w:rPr>
                <w:rFonts w:hint="eastAsia" w:ascii="仿宋" w:hAnsi="仿宋" w:eastAsia="仿宋"/>
              </w:rPr>
              <w:t>℃</w:t>
            </w:r>
            <w:r>
              <w:rPr>
                <w:rFonts w:ascii="仿宋" w:hAnsi="仿宋" w:eastAsia="仿宋"/>
              </w:rPr>
              <w:t>）</w:t>
            </w:r>
          </w:p>
        </w:tc>
        <w:tc>
          <w:tcPr>
            <w:tcW w:w="570" w:type="dxa"/>
            <w:vMerge w:val="continue"/>
            <w:shd w:val="clear" w:color="auto" w:fill="auto"/>
            <w:tcMar>
              <w:left w:w="0" w:type="dxa"/>
              <w:right w:w="0" w:type="dxa"/>
            </w:tcMar>
            <w:vAlign w:val="center"/>
          </w:tcPr>
          <w:p>
            <w:pPr>
              <w:widowControl/>
              <w:jc w:val="center"/>
              <w:rPr>
                <w:rFonts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594" w:type="dxa"/>
            <w:vMerge w:val="restart"/>
            <w:shd w:val="clear" w:color="auto" w:fill="auto"/>
            <w:tcMar>
              <w:left w:w="0" w:type="dxa"/>
              <w:right w:w="0" w:type="dxa"/>
            </w:tcMar>
            <w:vAlign w:val="center"/>
          </w:tcPr>
          <w:p>
            <w:pPr>
              <w:pStyle w:val="124"/>
              <w:spacing w:line="360" w:lineRule="exact"/>
              <w:rPr>
                <w:rFonts w:ascii="仿宋" w:hAnsi="仿宋" w:eastAsia="仿宋"/>
              </w:rPr>
            </w:pPr>
            <w:r>
              <w:rPr>
                <w:rFonts w:hint="eastAsia" w:ascii="仿宋" w:hAnsi="仿宋" w:eastAsia="仿宋"/>
              </w:rPr>
              <w:t>1#</w:t>
            </w:r>
          </w:p>
        </w:tc>
        <w:tc>
          <w:tcPr>
            <w:tcW w:w="2894" w:type="dxa"/>
            <w:vMerge w:val="restart"/>
            <w:shd w:val="clear" w:color="auto" w:fill="auto"/>
            <w:tcMar>
              <w:left w:w="0" w:type="dxa"/>
              <w:right w:w="0" w:type="dxa"/>
            </w:tcMar>
            <w:vAlign w:val="center"/>
          </w:tcPr>
          <w:p>
            <w:pPr>
              <w:pStyle w:val="124"/>
              <w:spacing w:line="360" w:lineRule="exact"/>
              <w:rPr>
                <w:rFonts w:ascii="仿宋" w:hAnsi="仿宋" w:eastAsia="仿宋"/>
              </w:rPr>
            </w:pPr>
            <w:r>
              <w:rPr>
                <w:rFonts w:hint="eastAsia" w:ascii="仿宋" w:hAnsi="仿宋" w:eastAsia="仿宋"/>
              </w:rPr>
              <w:t>配胶废气G1、涂布干燥废气G2、清洗废气G3、</w:t>
            </w:r>
            <w:r>
              <w:rPr>
                <w:rFonts w:ascii="仿宋" w:hAnsi="仿宋" w:eastAsia="仿宋"/>
              </w:rPr>
              <w:t>天然气废气</w:t>
            </w:r>
            <w:r>
              <w:rPr>
                <w:rFonts w:hint="eastAsia" w:ascii="仿宋" w:hAnsi="仿宋" w:eastAsia="仿宋"/>
              </w:rPr>
              <w:t>G4</w:t>
            </w:r>
          </w:p>
        </w:tc>
        <w:tc>
          <w:tcPr>
            <w:tcW w:w="862" w:type="dxa"/>
            <w:vMerge w:val="restart"/>
            <w:shd w:val="clear" w:color="auto" w:fill="auto"/>
            <w:tcMar>
              <w:left w:w="0" w:type="dxa"/>
              <w:right w:w="0" w:type="dxa"/>
            </w:tcMar>
            <w:vAlign w:val="center"/>
          </w:tcPr>
          <w:p>
            <w:pPr>
              <w:pStyle w:val="124"/>
              <w:spacing w:line="360" w:lineRule="exact"/>
              <w:rPr>
                <w:rFonts w:ascii="仿宋" w:hAnsi="仿宋" w:eastAsia="仿宋"/>
              </w:rPr>
            </w:pPr>
            <w:r>
              <w:rPr>
                <w:rFonts w:ascii="仿宋" w:hAnsi="仿宋" w:eastAsia="仿宋"/>
              </w:rPr>
              <w:t>50</w:t>
            </w:r>
            <w:r>
              <w:rPr>
                <w:rFonts w:hint="eastAsia" w:ascii="仿宋" w:hAnsi="仿宋" w:eastAsia="仿宋"/>
              </w:rPr>
              <w:t>000</w:t>
            </w:r>
          </w:p>
        </w:tc>
        <w:tc>
          <w:tcPr>
            <w:tcW w:w="850" w:type="dxa"/>
            <w:shd w:val="clear" w:color="auto" w:fill="auto"/>
            <w:tcMar>
              <w:left w:w="0" w:type="dxa"/>
              <w:right w:w="0" w:type="dxa"/>
            </w:tcMar>
            <w:vAlign w:val="center"/>
          </w:tcPr>
          <w:p>
            <w:pPr>
              <w:pStyle w:val="124"/>
              <w:rPr>
                <w:rFonts w:ascii="仿宋" w:hAnsi="仿宋" w:eastAsia="仿宋"/>
              </w:rPr>
            </w:pPr>
            <w:r>
              <w:rPr>
                <w:rFonts w:hint="eastAsia" w:ascii="仿宋" w:hAnsi="仿宋" w:eastAsia="仿宋"/>
              </w:rPr>
              <w:t>非甲烷总烃</w:t>
            </w:r>
          </w:p>
        </w:tc>
        <w:tc>
          <w:tcPr>
            <w:tcW w:w="1070" w:type="dxa"/>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w:t>
            </w:r>
            <w:r>
              <w:rPr>
                <w:rFonts w:ascii="仿宋" w:hAnsi="仿宋" w:eastAsia="仿宋" w:cs="仿宋"/>
                <w:bCs/>
                <w:szCs w:val="21"/>
              </w:rPr>
              <w:t>370.2</w:t>
            </w:r>
          </w:p>
        </w:tc>
        <w:tc>
          <w:tcPr>
            <w:tcW w:w="675" w:type="dxa"/>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6</w:t>
            </w:r>
            <w:r>
              <w:rPr>
                <w:rFonts w:ascii="仿宋" w:hAnsi="仿宋" w:eastAsia="仿宋" w:cs="仿宋"/>
                <w:bCs/>
                <w:szCs w:val="21"/>
              </w:rPr>
              <w:t>8.51</w:t>
            </w:r>
          </w:p>
        </w:tc>
        <w:tc>
          <w:tcPr>
            <w:tcW w:w="675" w:type="dxa"/>
            <w:vMerge w:val="restart"/>
            <w:shd w:val="clear" w:color="auto" w:fill="auto"/>
            <w:tcMar>
              <w:left w:w="0" w:type="dxa"/>
              <w:right w:w="0" w:type="dxa"/>
            </w:tcMar>
            <w:vAlign w:val="center"/>
          </w:tcPr>
          <w:p>
            <w:pPr>
              <w:widowControl/>
              <w:jc w:val="center"/>
              <w:rPr>
                <w:rFonts w:eastAsia="仿宋_GB2312"/>
                <w:kern w:val="0"/>
                <w:szCs w:val="21"/>
              </w:rPr>
            </w:pPr>
            <w:r>
              <w:rPr>
                <w:rFonts w:hint="eastAsia" w:eastAsia="仿宋_GB2312"/>
                <w:kern w:val="0"/>
                <w:szCs w:val="21"/>
              </w:rPr>
              <w:t>15</w:t>
            </w:r>
          </w:p>
        </w:tc>
        <w:tc>
          <w:tcPr>
            <w:tcW w:w="720" w:type="dxa"/>
            <w:vMerge w:val="restart"/>
            <w:shd w:val="clear" w:color="auto" w:fill="auto"/>
            <w:tcMar>
              <w:left w:w="0" w:type="dxa"/>
              <w:right w:w="0" w:type="dxa"/>
            </w:tcMar>
            <w:vAlign w:val="center"/>
          </w:tcPr>
          <w:p>
            <w:pPr>
              <w:jc w:val="center"/>
              <w:rPr>
                <w:rFonts w:eastAsia="仿宋_GB2312"/>
                <w:szCs w:val="21"/>
              </w:rPr>
            </w:pPr>
            <w:r>
              <w:rPr>
                <w:rFonts w:hint="eastAsia" w:eastAsia="仿宋_GB2312"/>
                <w:szCs w:val="21"/>
              </w:rPr>
              <w:t>1.7</w:t>
            </w:r>
          </w:p>
        </w:tc>
        <w:tc>
          <w:tcPr>
            <w:tcW w:w="690" w:type="dxa"/>
            <w:vMerge w:val="restart"/>
            <w:shd w:val="clear" w:color="auto" w:fill="auto"/>
            <w:tcMar>
              <w:left w:w="0" w:type="dxa"/>
              <w:right w:w="0" w:type="dxa"/>
            </w:tcMar>
            <w:vAlign w:val="center"/>
          </w:tcPr>
          <w:p>
            <w:pPr>
              <w:jc w:val="center"/>
              <w:rPr>
                <w:rFonts w:eastAsia="仿宋_GB2312"/>
                <w:szCs w:val="21"/>
              </w:rPr>
            </w:pPr>
            <w:r>
              <w:rPr>
                <w:rFonts w:hint="eastAsia" w:eastAsia="仿宋_GB2312"/>
                <w:szCs w:val="21"/>
              </w:rPr>
              <w:t>50</w:t>
            </w:r>
          </w:p>
        </w:tc>
        <w:tc>
          <w:tcPr>
            <w:tcW w:w="570" w:type="dxa"/>
            <w:vMerge w:val="restart"/>
            <w:shd w:val="clear" w:color="auto" w:fill="auto"/>
            <w:tcMar>
              <w:left w:w="0" w:type="dxa"/>
              <w:right w:w="0" w:type="dxa"/>
            </w:tcMar>
            <w:vAlign w:val="center"/>
          </w:tcPr>
          <w:p>
            <w:pPr>
              <w:jc w:val="center"/>
              <w:rPr>
                <w:rFonts w:eastAsia="仿宋_GB2312" w:cs="宋体"/>
                <w:szCs w:val="21"/>
              </w:rPr>
            </w:pPr>
            <w:r>
              <w:rPr>
                <w:rFonts w:hint="eastAsia" w:eastAsia="仿宋_GB2312" w:cs="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594" w:type="dxa"/>
            <w:vMerge w:val="continue"/>
            <w:shd w:val="clear" w:color="auto" w:fill="auto"/>
            <w:tcMar>
              <w:left w:w="0" w:type="dxa"/>
              <w:right w:w="0" w:type="dxa"/>
            </w:tcMar>
            <w:vAlign w:val="center"/>
          </w:tcPr>
          <w:p>
            <w:pPr>
              <w:pStyle w:val="124"/>
              <w:spacing w:line="360" w:lineRule="exact"/>
              <w:rPr>
                <w:rFonts w:ascii="仿宋" w:hAnsi="仿宋" w:eastAsia="仿宋"/>
              </w:rPr>
            </w:pPr>
          </w:p>
        </w:tc>
        <w:tc>
          <w:tcPr>
            <w:tcW w:w="2894" w:type="dxa"/>
            <w:vMerge w:val="continue"/>
            <w:shd w:val="clear" w:color="auto" w:fill="auto"/>
            <w:tcMar>
              <w:left w:w="0" w:type="dxa"/>
              <w:right w:w="0" w:type="dxa"/>
            </w:tcMar>
            <w:vAlign w:val="center"/>
          </w:tcPr>
          <w:p>
            <w:pPr>
              <w:pStyle w:val="124"/>
              <w:spacing w:line="360" w:lineRule="exact"/>
              <w:rPr>
                <w:rFonts w:ascii="仿宋" w:hAnsi="仿宋" w:eastAsia="仿宋"/>
              </w:rPr>
            </w:pPr>
          </w:p>
        </w:tc>
        <w:tc>
          <w:tcPr>
            <w:tcW w:w="862" w:type="dxa"/>
            <w:vMerge w:val="continue"/>
            <w:shd w:val="clear" w:color="auto" w:fill="auto"/>
            <w:tcMar>
              <w:left w:w="0" w:type="dxa"/>
              <w:right w:w="0" w:type="dxa"/>
            </w:tcMar>
            <w:vAlign w:val="center"/>
          </w:tcPr>
          <w:p>
            <w:pPr>
              <w:pStyle w:val="124"/>
              <w:spacing w:line="360" w:lineRule="exact"/>
              <w:rPr>
                <w:rFonts w:ascii="仿宋" w:hAnsi="仿宋" w:eastAsia="仿宋"/>
              </w:rPr>
            </w:pPr>
          </w:p>
        </w:tc>
        <w:tc>
          <w:tcPr>
            <w:tcW w:w="850" w:type="dxa"/>
            <w:shd w:val="clear" w:color="auto" w:fill="auto"/>
            <w:tcMar>
              <w:left w:w="0" w:type="dxa"/>
              <w:right w:w="0" w:type="dxa"/>
            </w:tcMar>
            <w:vAlign w:val="center"/>
          </w:tcPr>
          <w:p>
            <w:pPr>
              <w:pStyle w:val="124"/>
              <w:spacing w:line="360" w:lineRule="exact"/>
              <w:rPr>
                <w:rFonts w:ascii="仿宋" w:hAnsi="仿宋" w:eastAsia="仿宋"/>
              </w:rPr>
            </w:pPr>
            <w:r>
              <w:rPr>
                <w:rFonts w:hint="eastAsia" w:ascii="仿宋" w:hAnsi="仿宋" w:eastAsia="仿宋"/>
              </w:rPr>
              <w:t>乙酸乙酯</w:t>
            </w:r>
          </w:p>
        </w:tc>
        <w:tc>
          <w:tcPr>
            <w:tcW w:w="1070" w:type="dxa"/>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ascii="仿宋" w:hAnsi="仿宋" w:eastAsia="仿宋" w:cs="仿宋"/>
                <w:bCs/>
                <w:szCs w:val="21"/>
              </w:rPr>
              <w:t>1188.8</w:t>
            </w:r>
          </w:p>
        </w:tc>
        <w:tc>
          <w:tcPr>
            <w:tcW w:w="675" w:type="dxa"/>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5</w:t>
            </w:r>
            <w:r>
              <w:rPr>
                <w:rFonts w:ascii="仿宋" w:hAnsi="仿宋" w:eastAsia="仿宋" w:cs="仿宋"/>
                <w:bCs/>
                <w:szCs w:val="21"/>
              </w:rPr>
              <w:t>9.44</w:t>
            </w:r>
          </w:p>
        </w:tc>
        <w:tc>
          <w:tcPr>
            <w:tcW w:w="675" w:type="dxa"/>
            <w:vMerge w:val="continue"/>
            <w:shd w:val="clear" w:color="auto" w:fill="auto"/>
            <w:tcMar>
              <w:left w:w="0" w:type="dxa"/>
              <w:right w:w="0" w:type="dxa"/>
            </w:tcMar>
            <w:vAlign w:val="center"/>
          </w:tcPr>
          <w:p>
            <w:pPr>
              <w:widowControl/>
              <w:jc w:val="center"/>
              <w:rPr>
                <w:rFonts w:eastAsia="仿宋_GB2312"/>
                <w:kern w:val="0"/>
                <w:szCs w:val="21"/>
              </w:rPr>
            </w:pPr>
          </w:p>
        </w:tc>
        <w:tc>
          <w:tcPr>
            <w:tcW w:w="720" w:type="dxa"/>
            <w:vMerge w:val="continue"/>
            <w:shd w:val="clear" w:color="auto" w:fill="auto"/>
            <w:tcMar>
              <w:left w:w="0" w:type="dxa"/>
              <w:right w:w="0" w:type="dxa"/>
            </w:tcMar>
            <w:vAlign w:val="center"/>
          </w:tcPr>
          <w:p>
            <w:pPr>
              <w:jc w:val="center"/>
              <w:rPr>
                <w:rFonts w:eastAsia="仿宋_GB2312"/>
                <w:szCs w:val="21"/>
              </w:rPr>
            </w:pPr>
          </w:p>
        </w:tc>
        <w:tc>
          <w:tcPr>
            <w:tcW w:w="690" w:type="dxa"/>
            <w:vMerge w:val="continue"/>
            <w:shd w:val="clear" w:color="auto" w:fill="auto"/>
            <w:tcMar>
              <w:left w:w="0" w:type="dxa"/>
              <w:right w:w="0" w:type="dxa"/>
            </w:tcMar>
            <w:vAlign w:val="center"/>
          </w:tcPr>
          <w:p>
            <w:pPr>
              <w:jc w:val="center"/>
              <w:rPr>
                <w:rFonts w:eastAsia="仿宋_GB2312"/>
                <w:szCs w:val="21"/>
              </w:rPr>
            </w:pPr>
          </w:p>
        </w:tc>
        <w:tc>
          <w:tcPr>
            <w:tcW w:w="570" w:type="dxa"/>
            <w:vMerge w:val="continue"/>
            <w:shd w:val="clear" w:color="auto" w:fill="auto"/>
            <w:tcMar>
              <w:left w:w="0" w:type="dxa"/>
              <w:right w:w="0" w:type="dxa"/>
            </w:tcMar>
            <w:vAlign w:val="center"/>
          </w:tcPr>
          <w:p>
            <w:pPr>
              <w:jc w:val="center"/>
              <w:rPr>
                <w:rFonts w:eastAsia="仿宋_GB2312"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594" w:type="dxa"/>
            <w:vMerge w:val="continue"/>
            <w:shd w:val="clear" w:color="auto" w:fill="auto"/>
            <w:tcMar>
              <w:left w:w="0" w:type="dxa"/>
              <w:right w:w="0" w:type="dxa"/>
            </w:tcMar>
            <w:vAlign w:val="center"/>
          </w:tcPr>
          <w:p>
            <w:pPr>
              <w:widowControl/>
              <w:jc w:val="center"/>
              <w:rPr>
                <w:rFonts w:eastAsia="仿宋_GB2312"/>
                <w:kern w:val="0"/>
                <w:szCs w:val="21"/>
              </w:rPr>
            </w:pPr>
          </w:p>
        </w:tc>
        <w:tc>
          <w:tcPr>
            <w:tcW w:w="2894" w:type="dxa"/>
            <w:vMerge w:val="continue"/>
            <w:shd w:val="clear" w:color="auto" w:fill="auto"/>
            <w:tcMar>
              <w:left w:w="0" w:type="dxa"/>
              <w:right w:w="0" w:type="dxa"/>
            </w:tcMar>
            <w:vAlign w:val="center"/>
          </w:tcPr>
          <w:p>
            <w:pPr>
              <w:widowControl/>
              <w:jc w:val="center"/>
              <w:rPr>
                <w:rFonts w:ascii="华文仿宋" w:hAnsi="华文仿宋" w:eastAsia="华文仿宋"/>
                <w:szCs w:val="21"/>
              </w:rPr>
            </w:pPr>
          </w:p>
        </w:tc>
        <w:tc>
          <w:tcPr>
            <w:tcW w:w="862" w:type="dxa"/>
            <w:vMerge w:val="continue"/>
            <w:shd w:val="clear" w:color="auto" w:fill="auto"/>
            <w:tcMar>
              <w:left w:w="0" w:type="dxa"/>
              <w:right w:w="0" w:type="dxa"/>
            </w:tcMar>
            <w:vAlign w:val="center"/>
          </w:tcPr>
          <w:p>
            <w:pPr>
              <w:widowControl/>
              <w:jc w:val="center"/>
              <w:rPr>
                <w:rFonts w:eastAsia="仿宋_GB2312"/>
                <w:kern w:val="0"/>
                <w:szCs w:val="21"/>
              </w:rPr>
            </w:pPr>
          </w:p>
        </w:tc>
        <w:tc>
          <w:tcPr>
            <w:tcW w:w="850" w:type="dxa"/>
            <w:shd w:val="clear" w:color="auto" w:fill="auto"/>
            <w:tcMar>
              <w:left w:w="0" w:type="dxa"/>
              <w:right w:w="0" w:type="dxa"/>
            </w:tcMar>
            <w:vAlign w:val="center"/>
          </w:tcPr>
          <w:p>
            <w:pPr>
              <w:pStyle w:val="124"/>
              <w:spacing w:line="360" w:lineRule="exact"/>
              <w:rPr>
                <w:rFonts w:ascii="仿宋" w:hAnsi="仿宋" w:eastAsia="仿宋"/>
              </w:rPr>
            </w:pPr>
            <w:r>
              <w:rPr>
                <w:rFonts w:hint="eastAsia" w:ascii="仿宋" w:hAnsi="仿宋" w:eastAsia="仿宋"/>
              </w:rPr>
              <w:t>二甲苯</w:t>
            </w:r>
          </w:p>
        </w:tc>
        <w:tc>
          <w:tcPr>
            <w:tcW w:w="1070" w:type="dxa"/>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w:t>
            </w:r>
            <w:r>
              <w:rPr>
                <w:rFonts w:ascii="仿宋" w:hAnsi="仿宋" w:eastAsia="仿宋" w:cs="仿宋"/>
                <w:bCs/>
                <w:szCs w:val="21"/>
              </w:rPr>
              <w:t>31</w:t>
            </w:r>
          </w:p>
        </w:tc>
        <w:tc>
          <w:tcPr>
            <w:tcW w:w="675" w:type="dxa"/>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6</w:t>
            </w:r>
            <w:r>
              <w:rPr>
                <w:rFonts w:ascii="仿宋" w:hAnsi="仿宋" w:eastAsia="仿宋" w:cs="仿宋"/>
                <w:bCs/>
                <w:szCs w:val="21"/>
              </w:rPr>
              <w:t>.55</w:t>
            </w:r>
          </w:p>
        </w:tc>
        <w:tc>
          <w:tcPr>
            <w:tcW w:w="675" w:type="dxa"/>
            <w:vMerge w:val="continue"/>
            <w:shd w:val="clear" w:color="auto" w:fill="auto"/>
            <w:tcMar>
              <w:left w:w="0" w:type="dxa"/>
              <w:right w:w="0" w:type="dxa"/>
            </w:tcMar>
            <w:vAlign w:val="center"/>
          </w:tcPr>
          <w:p>
            <w:pPr>
              <w:widowControl/>
              <w:jc w:val="center"/>
              <w:rPr>
                <w:rFonts w:eastAsia="仿宋_GB2312"/>
                <w:kern w:val="0"/>
                <w:szCs w:val="21"/>
              </w:rPr>
            </w:pPr>
          </w:p>
        </w:tc>
        <w:tc>
          <w:tcPr>
            <w:tcW w:w="720" w:type="dxa"/>
            <w:vMerge w:val="continue"/>
            <w:shd w:val="clear" w:color="auto" w:fill="auto"/>
            <w:tcMar>
              <w:left w:w="0" w:type="dxa"/>
              <w:right w:w="0" w:type="dxa"/>
            </w:tcMar>
            <w:vAlign w:val="center"/>
          </w:tcPr>
          <w:p>
            <w:pPr>
              <w:jc w:val="center"/>
              <w:rPr>
                <w:rFonts w:eastAsia="仿宋_GB2312"/>
                <w:szCs w:val="21"/>
              </w:rPr>
            </w:pPr>
          </w:p>
        </w:tc>
        <w:tc>
          <w:tcPr>
            <w:tcW w:w="690" w:type="dxa"/>
            <w:vMerge w:val="continue"/>
            <w:shd w:val="clear" w:color="auto" w:fill="auto"/>
            <w:tcMar>
              <w:left w:w="0" w:type="dxa"/>
              <w:right w:w="0" w:type="dxa"/>
            </w:tcMar>
            <w:vAlign w:val="center"/>
          </w:tcPr>
          <w:p>
            <w:pPr>
              <w:jc w:val="center"/>
              <w:rPr>
                <w:rFonts w:eastAsia="仿宋_GB2312"/>
                <w:szCs w:val="21"/>
              </w:rPr>
            </w:pPr>
          </w:p>
        </w:tc>
        <w:tc>
          <w:tcPr>
            <w:tcW w:w="570" w:type="dxa"/>
            <w:vMerge w:val="continue"/>
            <w:shd w:val="clear" w:color="auto" w:fill="auto"/>
            <w:tcMar>
              <w:left w:w="0" w:type="dxa"/>
              <w:right w:w="0" w:type="dxa"/>
            </w:tcMar>
            <w:vAlign w:val="center"/>
          </w:tcPr>
          <w:p>
            <w:pPr>
              <w:jc w:val="center"/>
              <w:rPr>
                <w:rFonts w:eastAsia="仿宋_GB2312"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594" w:type="dxa"/>
            <w:vMerge w:val="continue"/>
            <w:shd w:val="clear" w:color="auto" w:fill="auto"/>
            <w:tcMar>
              <w:left w:w="0" w:type="dxa"/>
              <w:right w:w="0" w:type="dxa"/>
            </w:tcMar>
            <w:vAlign w:val="center"/>
          </w:tcPr>
          <w:p>
            <w:pPr>
              <w:widowControl/>
              <w:jc w:val="center"/>
              <w:rPr>
                <w:rFonts w:eastAsia="仿宋_GB2312"/>
                <w:kern w:val="0"/>
                <w:szCs w:val="21"/>
              </w:rPr>
            </w:pPr>
          </w:p>
        </w:tc>
        <w:tc>
          <w:tcPr>
            <w:tcW w:w="2894" w:type="dxa"/>
            <w:vMerge w:val="continue"/>
            <w:shd w:val="clear" w:color="auto" w:fill="auto"/>
            <w:tcMar>
              <w:left w:w="0" w:type="dxa"/>
              <w:right w:w="0" w:type="dxa"/>
            </w:tcMar>
            <w:vAlign w:val="center"/>
          </w:tcPr>
          <w:p>
            <w:pPr>
              <w:widowControl/>
              <w:jc w:val="center"/>
              <w:rPr>
                <w:rFonts w:ascii="华文仿宋" w:hAnsi="华文仿宋" w:eastAsia="华文仿宋"/>
                <w:szCs w:val="21"/>
              </w:rPr>
            </w:pPr>
          </w:p>
        </w:tc>
        <w:tc>
          <w:tcPr>
            <w:tcW w:w="862" w:type="dxa"/>
            <w:vMerge w:val="continue"/>
            <w:shd w:val="clear" w:color="auto" w:fill="auto"/>
            <w:tcMar>
              <w:left w:w="0" w:type="dxa"/>
              <w:right w:w="0" w:type="dxa"/>
            </w:tcMar>
            <w:vAlign w:val="center"/>
          </w:tcPr>
          <w:p>
            <w:pPr>
              <w:widowControl/>
              <w:jc w:val="center"/>
              <w:rPr>
                <w:rFonts w:eastAsia="仿宋_GB2312"/>
                <w:kern w:val="0"/>
                <w:szCs w:val="21"/>
              </w:rPr>
            </w:pPr>
          </w:p>
        </w:tc>
        <w:tc>
          <w:tcPr>
            <w:tcW w:w="850" w:type="dxa"/>
            <w:shd w:val="clear" w:color="auto" w:fill="auto"/>
            <w:tcMar>
              <w:left w:w="0" w:type="dxa"/>
              <w:right w:w="0" w:type="dxa"/>
            </w:tcMar>
            <w:vAlign w:val="center"/>
          </w:tcPr>
          <w:p>
            <w:pPr>
              <w:pStyle w:val="124"/>
              <w:spacing w:line="360" w:lineRule="exact"/>
              <w:rPr>
                <w:rFonts w:ascii="仿宋" w:hAnsi="仿宋" w:eastAsia="仿宋"/>
              </w:rPr>
            </w:pPr>
            <w:r>
              <w:rPr>
                <w:rFonts w:hint="eastAsia" w:ascii="仿宋" w:hAnsi="仿宋" w:eastAsia="仿宋"/>
              </w:rPr>
              <w:t>烟尘</w:t>
            </w:r>
          </w:p>
        </w:tc>
        <w:tc>
          <w:tcPr>
            <w:tcW w:w="1070" w:type="dxa"/>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.18</w:t>
            </w:r>
          </w:p>
        </w:tc>
        <w:tc>
          <w:tcPr>
            <w:tcW w:w="675" w:type="dxa"/>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.009</w:t>
            </w:r>
          </w:p>
        </w:tc>
        <w:tc>
          <w:tcPr>
            <w:tcW w:w="675" w:type="dxa"/>
            <w:vMerge w:val="continue"/>
            <w:shd w:val="clear" w:color="auto" w:fill="auto"/>
            <w:tcMar>
              <w:left w:w="0" w:type="dxa"/>
              <w:right w:w="0" w:type="dxa"/>
            </w:tcMar>
            <w:vAlign w:val="center"/>
          </w:tcPr>
          <w:p>
            <w:pPr>
              <w:widowControl/>
              <w:jc w:val="center"/>
              <w:rPr>
                <w:rFonts w:eastAsia="仿宋_GB2312"/>
                <w:kern w:val="0"/>
                <w:szCs w:val="21"/>
              </w:rPr>
            </w:pPr>
          </w:p>
        </w:tc>
        <w:tc>
          <w:tcPr>
            <w:tcW w:w="720" w:type="dxa"/>
            <w:vMerge w:val="continue"/>
            <w:shd w:val="clear" w:color="auto" w:fill="auto"/>
            <w:tcMar>
              <w:left w:w="0" w:type="dxa"/>
              <w:right w:w="0" w:type="dxa"/>
            </w:tcMar>
            <w:vAlign w:val="center"/>
          </w:tcPr>
          <w:p>
            <w:pPr>
              <w:jc w:val="center"/>
              <w:rPr>
                <w:rFonts w:eastAsia="仿宋_GB2312"/>
                <w:szCs w:val="21"/>
              </w:rPr>
            </w:pPr>
          </w:p>
        </w:tc>
        <w:tc>
          <w:tcPr>
            <w:tcW w:w="690" w:type="dxa"/>
            <w:vMerge w:val="continue"/>
            <w:shd w:val="clear" w:color="auto" w:fill="auto"/>
            <w:tcMar>
              <w:left w:w="0" w:type="dxa"/>
              <w:right w:w="0" w:type="dxa"/>
            </w:tcMar>
            <w:vAlign w:val="center"/>
          </w:tcPr>
          <w:p>
            <w:pPr>
              <w:jc w:val="center"/>
              <w:rPr>
                <w:rFonts w:eastAsia="仿宋_GB2312"/>
                <w:szCs w:val="21"/>
              </w:rPr>
            </w:pPr>
          </w:p>
        </w:tc>
        <w:tc>
          <w:tcPr>
            <w:tcW w:w="570" w:type="dxa"/>
            <w:vMerge w:val="continue"/>
            <w:shd w:val="clear" w:color="auto" w:fill="auto"/>
            <w:tcMar>
              <w:left w:w="0" w:type="dxa"/>
              <w:right w:w="0" w:type="dxa"/>
            </w:tcMar>
            <w:vAlign w:val="center"/>
          </w:tcPr>
          <w:p>
            <w:pPr>
              <w:jc w:val="center"/>
              <w:rPr>
                <w:rFonts w:eastAsia="仿宋_GB2312"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594" w:type="dxa"/>
            <w:vMerge w:val="continue"/>
            <w:shd w:val="clear" w:color="auto" w:fill="auto"/>
            <w:tcMar>
              <w:left w:w="0" w:type="dxa"/>
              <w:right w:w="0" w:type="dxa"/>
            </w:tcMar>
            <w:vAlign w:val="center"/>
          </w:tcPr>
          <w:p>
            <w:pPr>
              <w:widowControl/>
              <w:jc w:val="center"/>
              <w:rPr>
                <w:rFonts w:eastAsia="仿宋_GB2312"/>
                <w:kern w:val="0"/>
                <w:szCs w:val="21"/>
              </w:rPr>
            </w:pPr>
          </w:p>
        </w:tc>
        <w:tc>
          <w:tcPr>
            <w:tcW w:w="2894" w:type="dxa"/>
            <w:vMerge w:val="continue"/>
            <w:shd w:val="clear" w:color="auto" w:fill="auto"/>
            <w:tcMar>
              <w:left w:w="0" w:type="dxa"/>
              <w:right w:w="0" w:type="dxa"/>
            </w:tcMar>
            <w:vAlign w:val="center"/>
          </w:tcPr>
          <w:p>
            <w:pPr>
              <w:widowControl/>
              <w:jc w:val="center"/>
              <w:rPr>
                <w:rFonts w:ascii="华文仿宋" w:hAnsi="华文仿宋" w:eastAsia="华文仿宋"/>
                <w:szCs w:val="21"/>
              </w:rPr>
            </w:pPr>
          </w:p>
        </w:tc>
        <w:tc>
          <w:tcPr>
            <w:tcW w:w="862" w:type="dxa"/>
            <w:vMerge w:val="continue"/>
            <w:shd w:val="clear" w:color="auto" w:fill="auto"/>
            <w:tcMar>
              <w:left w:w="0" w:type="dxa"/>
              <w:right w:w="0" w:type="dxa"/>
            </w:tcMar>
            <w:vAlign w:val="center"/>
          </w:tcPr>
          <w:p>
            <w:pPr>
              <w:widowControl/>
              <w:jc w:val="center"/>
              <w:rPr>
                <w:rFonts w:eastAsia="仿宋_GB2312"/>
                <w:kern w:val="0"/>
                <w:szCs w:val="21"/>
              </w:rPr>
            </w:pPr>
          </w:p>
        </w:tc>
        <w:tc>
          <w:tcPr>
            <w:tcW w:w="850" w:type="dxa"/>
            <w:shd w:val="clear" w:color="auto" w:fill="auto"/>
            <w:tcMar>
              <w:left w:w="0" w:type="dxa"/>
              <w:right w:w="0" w:type="dxa"/>
            </w:tcMar>
            <w:vAlign w:val="center"/>
          </w:tcPr>
          <w:p>
            <w:pPr>
              <w:pStyle w:val="124"/>
              <w:spacing w:line="360" w:lineRule="exact"/>
              <w:rPr>
                <w:rFonts w:ascii="仿宋" w:hAnsi="仿宋" w:eastAsia="仿宋"/>
              </w:rPr>
            </w:pPr>
            <w:r>
              <w:rPr>
                <w:rFonts w:hint="eastAsia" w:ascii="仿宋" w:hAnsi="仿宋" w:eastAsia="仿宋"/>
              </w:rPr>
              <w:t>SO</w:t>
            </w:r>
            <w:r>
              <w:rPr>
                <w:rFonts w:hint="eastAsia" w:ascii="仿宋" w:hAnsi="仿宋" w:eastAsia="仿宋"/>
                <w:vertAlign w:val="subscript"/>
              </w:rPr>
              <w:t>2</w:t>
            </w:r>
          </w:p>
        </w:tc>
        <w:tc>
          <w:tcPr>
            <w:tcW w:w="1070" w:type="dxa"/>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.14</w:t>
            </w:r>
          </w:p>
        </w:tc>
        <w:tc>
          <w:tcPr>
            <w:tcW w:w="675" w:type="dxa"/>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.007</w:t>
            </w:r>
          </w:p>
        </w:tc>
        <w:tc>
          <w:tcPr>
            <w:tcW w:w="675" w:type="dxa"/>
            <w:vMerge w:val="continue"/>
            <w:shd w:val="clear" w:color="auto" w:fill="auto"/>
            <w:tcMar>
              <w:left w:w="0" w:type="dxa"/>
              <w:right w:w="0" w:type="dxa"/>
            </w:tcMar>
            <w:vAlign w:val="center"/>
          </w:tcPr>
          <w:p>
            <w:pPr>
              <w:widowControl/>
              <w:jc w:val="center"/>
              <w:rPr>
                <w:rFonts w:eastAsia="仿宋_GB2312"/>
                <w:kern w:val="0"/>
                <w:szCs w:val="21"/>
              </w:rPr>
            </w:pPr>
          </w:p>
        </w:tc>
        <w:tc>
          <w:tcPr>
            <w:tcW w:w="720" w:type="dxa"/>
            <w:vMerge w:val="continue"/>
            <w:shd w:val="clear" w:color="auto" w:fill="auto"/>
            <w:tcMar>
              <w:left w:w="0" w:type="dxa"/>
              <w:right w:w="0" w:type="dxa"/>
            </w:tcMar>
            <w:vAlign w:val="center"/>
          </w:tcPr>
          <w:p>
            <w:pPr>
              <w:jc w:val="center"/>
              <w:rPr>
                <w:rFonts w:eastAsia="仿宋_GB2312"/>
                <w:szCs w:val="21"/>
              </w:rPr>
            </w:pPr>
          </w:p>
        </w:tc>
        <w:tc>
          <w:tcPr>
            <w:tcW w:w="690" w:type="dxa"/>
            <w:vMerge w:val="continue"/>
            <w:shd w:val="clear" w:color="auto" w:fill="auto"/>
            <w:tcMar>
              <w:left w:w="0" w:type="dxa"/>
              <w:right w:w="0" w:type="dxa"/>
            </w:tcMar>
            <w:vAlign w:val="center"/>
          </w:tcPr>
          <w:p>
            <w:pPr>
              <w:jc w:val="center"/>
              <w:rPr>
                <w:rFonts w:eastAsia="仿宋_GB2312"/>
                <w:szCs w:val="21"/>
              </w:rPr>
            </w:pPr>
          </w:p>
        </w:tc>
        <w:tc>
          <w:tcPr>
            <w:tcW w:w="570" w:type="dxa"/>
            <w:vMerge w:val="continue"/>
            <w:shd w:val="clear" w:color="auto" w:fill="auto"/>
            <w:tcMar>
              <w:left w:w="0" w:type="dxa"/>
              <w:right w:w="0" w:type="dxa"/>
            </w:tcMar>
            <w:vAlign w:val="center"/>
          </w:tcPr>
          <w:p>
            <w:pPr>
              <w:jc w:val="center"/>
              <w:rPr>
                <w:rFonts w:eastAsia="仿宋_GB2312"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594" w:type="dxa"/>
            <w:vMerge w:val="continue"/>
            <w:shd w:val="clear" w:color="auto" w:fill="auto"/>
            <w:tcMar>
              <w:left w:w="0" w:type="dxa"/>
              <w:right w:w="0" w:type="dxa"/>
            </w:tcMar>
            <w:vAlign w:val="center"/>
          </w:tcPr>
          <w:p>
            <w:pPr>
              <w:widowControl/>
              <w:jc w:val="center"/>
              <w:rPr>
                <w:rFonts w:eastAsia="仿宋_GB2312"/>
                <w:kern w:val="0"/>
                <w:szCs w:val="21"/>
              </w:rPr>
            </w:pPr>
          </w:p>
        </w:tc>
        <w:tc>
          <w:tcPr>
            <w:tcW w:w="2894" w:type="dxa"/>
            <w:vMerge w:val="continue"/>
            <w:shd w:val="clear" w:color="auto" w:fill="auto"/>
            <w:tcMar>
              <w:left w:w="0" w:type="dxa"/>
              <w:right w:w="0" w:type="dxa"/>
            </w:tcMar>
            <w:vAlign w:val="center"/>
          </w:tcPr>
          <w:p>
            <w:pPr>
              <w:widowControl/>
              <w:jc w:val="center"/>
              <w:rPr>
                <w:rFonts w:ascii="华文仿宋" w:hAnsi="华文仿宋" w:eastAsia="华文仿宋"/>
                <w:szCs w:val="21"/>
              </w:rPr>
            </w:pPr>
          </w:p>
        </w:tc>
        <w:tc>
          <w:tcPr>
            <w:tcW w:w="862" w:type="dxa"/>
            <w:vMerge w:val="continue"/>
            <w:shd w:val="clear" w:color="auto" w:fill="auto"/>
            <w:tcMar>
              <w:left w:w="0" w:type="dxa"/>
              <w:right w:w="0" w:type="dxa"/>
            </w:tcMar>
            <w:vAlign w:val="center"/>
          </w:tcPr>
          <w:p>
            <w:pPr>
              <w:widowControl/>
              <w:jc w:val="center"/>
              <w:rPr>
                <w:rFonts w:eastAsia="仿宋_GB2312"/>
                <w:kern w:val="0"/>
                <w:szCs w:val="21"/>
              </w:rPr>
            </w:pPr>
          </w:p>
        </w:tc>
        <w:tc>
          <w:tcPr>
            <w:tcW w:w="850" w:type="dxa"/>
            <w:shd w:val="clear" w:color="auto" w:fill="auto"/>
            <w:tcMar>
              <w:left w:w="0" w:type="dxa"/>
              <w:right w:w="0" w:type="dxa"/>
            </w:tcMar>
            <w:vAlign w:val="center"/>
          </w:tcPr>
          <w:p>
            <w:pPr>
              <w:pStyle w:val="124"/>
              <w:spacing w:line="360" w:lineRule="exact"/>
              <w:rPr>
                <w:rFonts w:ascii="仿宋" w:hAnsi="仿宋" w:eastAsia="仿宋"/>
              </w:rPr>
            </w:pPr>
            <w:r>
              <w:rPr>
                <w:rFonts w:hint="eastAsia" w:ascii="仿宋" w:hAnsi="仿宋" w:eastAsia="仿宋"/>
              </w:rPr>
              <w:t>NOx</w:t>
            </w:r>
          </w:p>
        </w:tc>
        <w:tc>
          <w:tcPr>
            <w:tcW w:w="1070" w:type="dxa"/>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w:t>
            </w:r>
            <w:r>
              <w:rPr>
                <w:rFonts w:ascii="仿宋" w:hAnsi="仿宋" w:eastAsia="仿宋" w:cs="仿宋"/>
                <w:bCs/>
                <w:szCs w:val="21"/>
              </w:rPr>
              <w:t>.06</w:t>
            </w:r>
          </w:p>
        </w:tc>
        <w:tc>
          <w:tcPr>
            <w:tcW w:w="675" w:type="dxa"/>
            <w:shd w:val="clear" w:color="auto" w:fill="auto"/>
            <w:tcMar>
              <w:left w:w="0" w:type="dxa"/>
              <w:right w:w="0" w:type="dxa"/>
            </w:tcMar>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.053</w:t>
            </w:r>
          </w:p>
        </w:tc>
        <w:tc>
          <w:tcPr>
            <w:tcW w:w="675" w:type="dxa"/>
            <w:vMerge w:val="continue"/>
            <w:shd w:val="clear" w:color="auto" w:fill="auto"/>
            <w:tcMar>
              <w:left w:w="0" w:type="dxa"/>
              <w:right w:w="0" w:type="dxa"/>
            </w:tcMar>
            <w:vAlign w:val="center"/>
          </w:tcPr>
          <w:p>
            <w:pPr>
              <w:widowControl/>
              <w:jc w:val="center"/>
              <w:rPr>
                <w:rFonts w:eastAsia="仿宋_GB2312"/>
                <w:kern w:val="0"/>
                <w:szCs w:val="21"/>
              </w:rPr>
            </w:pPr>
          </w:p>
        </w:tc>
        <w:tc>
          <w:tcPr>
            <w:tcW w:w="720" w:type="dxa"/>
            <w:vMerge w:val="continue"/>
            <w:shd w:val="clear" w:color="auto" w:fill="auto"/>
            <w:tcMar>
              <w:left w:w="0" w:type="dxa"/>
              <w:right w:w="0" w:type="dxa"/>
            </w:tcMar>
            <w:vAlign w:val="center"/>
          </w:tcPr>
          <w:p>
            <w:pPr>
              <w:jc w:val="center"/>
              <w:rPr>
                <w:rFonts w:eastAsia="仿宋_GB2312"/>
                <w:szCs w:val="21"/>
              </w:rPr>
            </w:pPr>
          </w:p>
        </w:tc>
        <w:tc>
          <w:tcPr>
            <w:tcW w:w="690" w:type="dxa"/>
            <w:vMerge w:val="continue"/>
            <w:shd w:val="clear" w:color="auto" w:fill="auto"/>
            <w:tcMar>
              <w:left w:w="0" w:type="dxa"/>
              <w:right w:w="0" w:type="dxa"/>
            </w:tcMar>
            <w:vAlign w:val="center"/>
          </w:tcPr>
          <w:p>
            <w:pPr>
              <w:jc w:val="center"/>
              <w:rPr>
                <w:rFonts w:eastAsia="仿宋_GB2312"/>
                <w:szCs w:val="21"/>
              </w:rPr>
            </w:pPr>
          </w:p>
        </w:tc>
        <w:tc>
          <w:tcPr>
            <w:tcW w:w="570" w:type="dxa"/>
            <w:vMerge w:val="continue"/>
            <w:shd w:val="clear" w:color="auto" w:fill="auto"/>
            <w:tcMar>
              <w:left w:w="0" w:type="dxa"/>
              <w:right w:w="0" w:type="dxa"/>
            </w:tcMar>
            <w:vAlign w:val="center"/>
          </w:tcPr>
          <w:p>
            <w:pPr>
              <w:jc w:val="center"/>
              <w:rPr>
                <w:rFonts w:eastAsia="仿宋_GB2312" w:cs="宋体"/>
                <w:szCs w:val="21"/>
              </w:rPr>
            </w:pPr>
          </w:p>
        </w:tc>
      </w:tr>
    </w:tbl>
    <w:p>
      <w:pPr>
        <w:pStyle w:val="45"/>
      </w:pPr>
    </w:p>
    <w:p>
      <w:pPr>
        <w:rPr>
          <w:rFonts w:eastAsia="仿宋_GB2312"/>
        </w:rPr>
        <w:sectPr>
          <w:headerReference r:id="rId20" w:type="default"/>
          <w:pgSz w:w="11906" w:h="16838"/>
          <w:pgMar w:top="1440" w:right="1800" w:bottom="1440" w:left="1800" w:header="851" w:footer="992" w:gutter="0"/>
          <w:cols w:space="720" w:num="1"/>
          <w:docGrid w:linePitch="312" w:charSpace="0"/>
        </w:sectPr>
      </w:pPr>
    </w:p>
    <w:p>
      <w:pPr>
        <w:keepNext/>
        <w:widowControl/>
        <w:numPr>
          <w:ilvl w:val="3"/>
          <w:numId w:val="1"/>
        </w:numPr>
        <w:adjustRightInd w:val="0"/>
        <w:snapToGrid w:val="0"/>
        <w:spacing w:after="120" w:afterLines="50" w:line="500" w:lineRule="exact"/>
        <w:ind w:left="0" w:firstLine="0"/>
        <w:jc w:val="left"/>
        <w:outlineLvl w:val="3"/>
        <w:rPr>
          <w:rFonts w:eastAsia="仿宋_GB2312"/>
          <w:b/>
          <w:bCs/>
          <w:sz w:val="28"/>
          <w:szCs w:val="28"/>
        </w:rPr>
      </w:pPr>
      <w:r>
        <w:rPr>
          <w:rFonts w:eastAsia="仿宋_GB2312"/>
          <w:b/>
          <w:bCs/>
          <w:sz w:val="28"/>
          <w:szCs w:val="28"/>
        </w:rPr>
        <w:t>污染物排放量核算</w:t>
      </w:r>
    </w:p>
    <w:p>
      <w:pPr>
        <w:spacing w:line="500" w:lineRule="exact"/>
        <w:ind w:firstLine="560" w:firstLineChars="200"/>
        <w:rPr>
          <w:rFonts w:eastAsia="仿宋_GB2312"/>
          <w:sz w:val="28"/>
          <w:szCs w:val="28"/>
        </w:rPr>
      </w:pPr>
      <w:r>
        <w:rPr>
          <w:rFonts w:eastAsia="仿宋_GB2312"/>
          <w:sz w:val="28"/>
          <w:szCs w:val="28"/>
        </w:rPr>
        <w:t>（1）有组织排放量核算</w:t>
      </w:r>
    </w:p>
    <w:p>
      <w:pPr>
        <w:spacing w:before="60" w:line="500" w:lineRule="exact"/>
        <w:ind w:firstLine="482" w:firstLineChars="200"/>
        <w:jc w:val="center"/>
        <w:rPr>
          <w:rFonts w:eastAsia="仿宋_GB2312"/>
          <w:b/>
          <w:kern w:val="0"/>
          <w:sz w:val="24"/>
          <w:szCs w:val="20"/>
        </w:rPr>
      </w:pPr>
      <w:r>
        <w:rPr>
          <w:rFonts w:eastAsia="仿宋_GB2312"/>
          <w:b/>
          <w:kern w:val="0"/>
          <w:sz w:val="24"/>
          <w:szCs w:val="20"/>
        </w:rPr>
        <w:t>表5.2-9  大气污染物有组织排放量核算表</w:t>
      </w:r>
    </w:p>
    <w:tbl>
      <w:tblPr>
        <w:tblStyle w:val="87"/>
        <w:tblW w:w="8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0"/>
        <w:gridCol w:w="1080"/>
        <w:gridCol w:w="1384"/>
        <w:gridCol w:w="2126"/>
        <w:gridCol w:w="189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080" w:type="dxa"/>
            <w:tcBorders>
              <w:tl2br w:val="nil"/>
              <w:tr2bl w:val="nil"/>
            </w:tcBorders>
            <w:shd w:val="clear" w:color="000000" w:fill="FFFFFF"/>
            <w:vAlign w:val="center"/>
          </w:tcPr>
          <w:p>
            <w:pPr>
              <w:pStyle w:val="124"/>
              <w:spacing w:line="360" w:lineRule="exact"/>
              <w:rPr>
                <w:rFonts w:ascii="仿宋" w:hAnsi="仿宋" w:eastAsia="仿宋"/>
              </w:rPr>
            </w:pPr>
            <w:r>
              <w:rPr>
                <w:rFonts w:ascii="仿宋" w:hAnsi="仿宋" w:eastAsia="仿宋"/>
              </w:rPr>
              <w:t>序号</w:t>
            </w:r>
          </w:p>
        </w:tc>
        <w:tc>
          <w:tcPr>
            <w:tcW w:w="1080" w:type="dxa"/>
            <w:tcBorders>
              <w:tl2br w:val="nil"/>
              <w:tr2bl w:val="nil"/>
            </w:tcBorders>
            <w:shd w:val="clear" w:color="000000" w:fill="FFFFFF"/>
            <w:vAlign w:val="center"/>
          </w:tcPr>
          <w:p>
            <w:pPr>
              <w:widowControl/>
              <w:jc w:val="center"/>
              <w:rPr>
                <w:rFonts w:ascii="仿宋" w:hAnsi="仿宋" w:eastAsia="仿宋"/>
              </w:rPr>
            </w:pPr>
            <w:r>
              <w:rPr>
                <w:rFonts w:ascii="仿宋" w:hAnsi="仿宋" w:eastAsia="仿宋"/>
              </w:rPr>
              <w:t>排放口编号</w:t>
            </w:r>
          </w:p>
        </w:tc>
        <w:tc>
          <w:tcPr>
            <w:tcW w:w="1384" w:type="dxa"/>
            <w:tcBorders>
              <w:tl2br w:val="nil"/>
              <w:tr2bl w:val="nil"/>
            </w:tcBorders>
            <w:shd w:val="clear" w:color="000000" w:fill="FFFFFF"/>
            <w:vAlign w:val="center"/>
          </w:tcPr>
          <w:p>
            <w:pPr>
              <w:widowControl/>
              <w:jc w:val="center"/>
              <w:rPr>
                <w:rFonts w:ascii="仿宋" w:hAnsi="仿宋" w:eastAsia="仿宋"/>
              </w:rPr>
            </w:pPr>
            <w:r>
              <w:rPr>
                <w:rFonts w:ascii="仿宋" w:hAnsi="仿宋" w:eastAsia="仿宋"/>
              </w:rPr>
              <w:t>污染物</w:t>
            </w:r>
          </w:p>
        </w:tc>
        <w:tc>
          <w:tcPr>
            <w:tcW w:w="2126" w:type="dxa"/>
            <w:tcBorders>
              <w:tl2br w:val="nil"/>
              <w:tr2bl w:val="nil"/>
            </w:tcBorders>
            <w:shd w:val="clear" w:color="000000" w:fill="FFFFFF"/>
            <w:vAlign w:val="center"/>
          </w:tcPr>
          <w:p>
            <w:pPr>
              <w:widowControl/>
              <w:jc w:val="center"/>
              <w:rPr>
                <w:rFonts w:ascii="仿宋" w:hAnsi="仿宋" w:eastAsia="仿宋"/>
              </w:rPr>
            </w:pPr>
            <w:r>
              <w:rPr>
                <w:rFonts w:ascii="仿宋" w:hAnsi="仿宋" w:eastAsia="仿宋"/>
              </w:rPr>
              <w:t>核算排放浓度</w:t>
            </w:r>
          </w:p>
          <w:p>
            <w:pPr>
              <w:jc w:val="center"/>
              <w:rPr>
                <w:rFonts w:ascii="仿宋" w:hAnsi="仿宋" w:eastAsia="仿宋"/>
              </w:rPr>
            </w:pPr>
            <w:r>
              <w:rPr>
                <w:rFonts w:hint="eastAsia" w:ascii="仿宋" w:hAnsi="仿宋" w:eastAsia="仿宋"/>
              </w:rPr>
              <w:t>m</w:t>
            </w:r>
            <w:r>
              <w:rPr>
                <w:rFonts w:ascii="仿宋" w:hAnsi="仿宋" w:eastAsia="仿宋"/>
              </w:rPr>
              <w:t>g/m</w:t>
            </w:r>
            <w:r>
              <w:rPr>
                <w:rFonts w:ascii="仿宋" w:hAnsi="仿宋" w:eastAsia="仿宋"/>
                <w:vertAlign w:val="superscript"/>
              </w:rPr>
              <w:t>3</w:t>
            </w:r>
          </w:p>
        </w:tc>
        <w:tc>
          <w:tcPr>
            <w:tcW w:w="1890" w:type="dxa"/>
            <w:tcBorders>
              <w:tl2br w:val="nil"/>
              <w:tr2bl w:val="nil"/>
            </w:tcBorders>
            <w:shd w:val="clear" w:color="000000" w:fill="FFFFFF"/>
            <w:vAlign w:val="center"/>
          </w:tcPr>
          <w:p>
            <w:pPr>
              <w:widowControl/>
              <w:jc w:val="center"/>
              <w:rPr>
                <w:rFonts w:ascii="仿宋" w:hAnsi="仿宋" w:eastAsia="仿宋"/>
              </w:rPr>
            </w:pPr>
            <w:r>
              <w:rPr>
                <w:rFonts w:ascii="仿宋" w:hAnsi="仿宋" w:eastAsia="仿宋"/>
              </w:rPr>
              <w:t>核算排放速率</w:t>
            </w:r>
          </w:p>
          <w:p>
            <w:pPr>
              <w:jc w:val="center"/>
              <w:rPr>
                <w:rFonts w:ascii="仿宋" w:hAnsi="仿宋" w:eastAsia="仿宋"/>
              </w:rPr>
            </w:pPr>
            <w:r>
              <w:rPr>
                <w:rFonts w:ascii="仿宋" w:hAnsi="仿宋" w:eastAsia="仿宋"/>
              </w:rPr>
              <w:t>kg/h</w:t>
            </w:r>
          </w:p>
        </w:tc>
        <w:tc>
          <w:tcPr>
            <w:tcW w:w="1080" w:type="dxa"/>
            <w:tcBorders>
              <w:tl2br w:val="nil"/>
              <w:tr2bl w:val="nil"/>
            </w:tcBorders>
            <w:shd w:val="clear" w:color="000000" w:fill="FFFFFF"/>
            <w:vAlign w:val="center"/>
          </w:tcPr>
          <w:p>
            <w:pPr>
              <w:widowControl/>
              <w:jc w:val="center"/>
              <w:rPr>
                <w:rFonts w:ascii="仿宋" w:hAnsi="仿宋" w:eastAsia="仿宋"/>
              </w:rPr>
            </w:pPr>
            <w:r>
              <w:rPr>
                <w:rFonts w:ascii="仿宋" w:hAnsi="仿宋" w:eastAsia="仿宋"/>
              </w:rPr>
              <w:t>核算年排放量t/a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640" w:type="dxa"/>
            <w:gridSpan w:val="6"/>
            <w:tcBorders>
              <w:tl2br w:val="nil"/>
              <w:tr2bl w:val="nil"/>
            </w:tcBorders>
            <w:shd w:val="clear" w:color="auto" w:fill="auto"/>
            <w:noWrap/>
            <w:vAlign w:val="center"/>
          </w:tcPr>
          <w:p>
            <w:pPr>
              <w:pStyle w:val="124"/>
              <w:spacing w:line="360" w:lineRule="exact"/>
              <w:rPr>
                <w:rFonts w:ascii="仿宋" w:hAnsi="仿宋" w:eastAsia="仿宋"/>
              </w:rPr>
            </w:pPr>
            <w:r>
              <w:rPr>
                <w:rFonts w:hint="eastAsia" w:ascii="仿宋" w:hAnsi="仿宋" w:eastAsia="仿宋"/>
              </w:rPr>
              <w:t>一般</w:t>
            </w:r>
            <w:r>
              <w:rPr>
                <w:rFonts w:ascii="仿宋" w:hAnsi="仿宋" w:eastAsia="仿宋"/>
              </w:rPr>
              <w:t>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080" w:type="dxa"/>
            <w:tcBorders>
              <w:tl2br w:val="nil"/>
              <w:tr2bl w:val="nil"/>
            </w:tcBorders>
            <w:shd w:val="clear" w:color="auto" w:fill="auto"/>
            <w:noWrap/>
            <w:vAlign w:val="center"/>
          </w:tcPr>
          <w:p>
            <w:pPr>
              <w:pStyle w:val="124"/>
              <w:spacing w:line="360" w:lineRule="exact"/>
              <w:rPr>
                <w:rFonts w:ascii="仿宋" w:hAnsi="仿宋" w:eastAsia="仿宋"/>
              </w:rPr>
            </w:pPr>
            <w:r>
              <w:rPr>
                <w:rFonts w:ascii="仿宋" w:hAnsi="仿宋" w:eastAsia="仿宋"/>
              </w:rPr>
              <w:t>1</w:t>
            </w:r>
          </w:p>
        </w:tc>
        <w:tc>
          <w:tcPr>
            <w:tcW w:w="1080" w:type="dxa"/>
            <w:vMerge w:val="restart"/>
            <w:tcBorders>
              <w:tl2br w:val="nil"/>
              <w:tr2bl w:val="nil"/>
            </w:tcBorders>
            <w:shd w:val="clear" w:color="auto" w:fill="auto"/>
            <w:noWrap/>
            <w:vAlign w:val="center"/>
          </w:tcPr>
          <w:p>
            <w:pPr>
              <w:pStyle w:val="124"/>
              <w:spacing w:line="360" w:lineRule="exact"/>
              <w:rPr>
                <w:rFonts w:ascii="仿宋" w:hAnsi="仿宋" w:eastAsia="仿宋"/>
              </w:rPr>
            </w:pPr>
            <w:r>
              <w:rPr>
                <w:rFonts w:ascii="仿宋" w:hAnsi="仿宋" w:eastAsia="仿宋"/>
              </w:rPr>
              <w:t>1#</w:t>
            </w:r>
          </w:p>
        </w:tc>
        <w:tc>
          <w:tcPr>
            <w:tcW w:w="1384" w:type="dxa"/>
            <w:tcBorders>
              <w:tl2br w:val="nil"/>
              <w:tr2bl w:val="nil"/>
            </w:tcBorders>
            <w:shd w:val="clear" w:color="auto" w:fill="auto"/>
            <w:vAlign w:val="center"/>
          </w:tcPr>
          <w:p>
            <w:pPr>
              <w:pStyle w:val="124"/>
              <w:spacing w:line="360" w:lineRule="exact"/>
              <w:rPr>
                <w:rFonts w:ascii="仿宋" w:hAnsi="仿宋" w:eastAsia="仿宋"/>
              </w:rPr>
            </w:pPr>
            <w:r>
              <w:rPr>
                <w:rFonts w:hint="eastAsia" w:ascii="仿宋" w:hAnsi="仿宋" w:eastAsia="仿宋"/>
              </w:rPr>
              <w:t>非甲烷总烃</w:t>
            </w:r>
          </w:p>
        </w:tc>
        <w:tc>
          <w:tcPr>
            <w:tcW w:w="2126" w:type="dxa"/>
            <w:tcBorders>
              <w:tl2br w:val="nil"/>
              <w:tr2bl w:val="nil"/>
            </w:tcBorders>
            <w:shd w:val="clear" w:color="auto" w:fill="auto"/>
            <w:noWrap/>
            <w:vAlign w:val="center"/>
          </w:tcPr>
          <w:p>
            <w:pPr>
              <w:pStyle w:val="124"/>
              <w:spacing w:line="360" w:lineRule="exact"/>
              <w:rPr>
                <w:rFonts w:ascii="仿宋" w:hAnsi="仿宋" w:eastAsia="仿宋"/>
              </w:rPr>
            </w:pPr>
            <w:r>
              <w:rPr>
                <w:rFonts w:hint="eastAsia" w:ascii="仿宋" w:hAnsi="仿宋" w:eastAsia="仿宋"/>
              </w:rPr>
              <w:t>6</w:t>
            </w:r>
            <w:r>
              <w:rPr>
                <w:rFonts w:ascii="仿宋" w:hAnsi="仿宋" w:eastAsia="仿宋"/>
              </w:rPr>
              <w:t>.8</w:t>
            </w:r>
          </w:p>
        </w:tc>
        <w:tc>
          <w:tcPr>
            <w:tcW w:w="1890" w:type="dxa"/>
            <w:tcBorders>
              <w:tl2br w:val="nil"/>
              <w:tr2bl w:val="nil"/>
            </w:tcBorders>
            <w:shd w:val="clear" w:color="auto" w:fill="auto"/>
            <w:noWrap/>
            <w:vAlign w:val="center"/>
          </w:tcPr>
          <w:p>
            <w:pPr>
              <w:pStyle w:val="124"/>
              <w:spacing w:line="360" w:lineRule="exact"/>
              <w:rPr>
                <w:rFonts w:ascii="仿宋" w:hAnsi="仿宋" w:eastAsia="仿宋"/>
              </w:rPr>
            </w:pPr>
            <w:r>
              <w:rPr>
                <w:rFonts w:hint="eastAsia" w:ascii="仿宋" w:hAnsi="仿宋" w:eastAsia="仿宋"/>
              </w:rPr>
              <w:t>0</w:t>
            </w:r>
            <w:r>
              <w:rPr>
                <w:rFonts w:ascii="仿宋" w:hAnsi="仿宋" w:eastAsia="仿宋"/>
              </w:rPr>
              <w:t>.34</w:t>
            </w:r>
          </w:p>
        </w:tc>
        <w:tc>
          <w:tcPr>
            <w:tcW w:w="1080" w:type="dxa"/>
            <w:tcBorders>
              <w:tl2br w:val="nil"/>
              <w:tr2bl w:val="nil"/>
            </w:tcBorders>
            <w:shd w:val="clear" w:color="auto" w:fill="auto"/>
            <w:noWrap/>
            <w:vAlign w:val="center"/>
          </w:tcPr>
          <w:p>
            <w:pPr>
              <w:pStyle w:val="124"/>
              <w:spacing w:line="360" w:lineRule="exact"/>
              <w:rPr>
                <w:rFonts w:ascii="仿宋" w:hAnsi="仿宋" w:eastAsia="仿宋"/>
              </w:rPr>
            </w:pPr>
            <w:r>
              <w:rPr>
                <w:rFonts w:hint="eastAsia" w:ascii="仿宋" w:hAnsi="仿宋" w:eastAsia="仿宋"/>
              </w:rPr>
              <w:t>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080" w:type="dxa"/>
            <w:tcBorders>
              <w:tl2br w:val="nil"/>
              <w:tr2bl w:val="nil"/>
            </w:tcBorders>
            <w:shd w:val="clear" w:color="auto" w:fill="auto"/>
            <w:noWrap/>
            <w:vAlign w:val="center"/>
          </w:tcPr>
          <w:p>
            <w:pPr>
              <w:pStyle w:val="124"/>
              <w:spacing w:line="360" w:lineRule="exact"/>
              <w:rPr>
                <w:rFonts w:ascii="仿宋" w:hAnsi="仿宋" w:eastAsia="仿宋"/>
              </w:rPr>
            </w:pPr>
            <w:r>
              <w:rPr>
                <w:rFonts w:hint="eastAsia" w:ascii="仿宋" w:hAnsi="仿宋" w:eastAsia="仿宋"/>
              </w:rPr>
              <w:t>2</w:t>
            </w:r>
          </w:p>
        </w:tc>
        <w:tc>
          <w:tcPr>
            <w:tcW w:w="1080" w:type="dxa"/>
            <w:vMerge w:val="continue"/>
            <w:tcBorders>
              <w:tl2br w:val="nil"/>
              <w:tr2bl w:val="nil"/>
            </w:tcBorders>
            <w:shd w:val="clear" w:color="auto" w:fill="auto"/>
            <w:noWrap/>
            <w:vAlign w:val="center"/>
          </w:tcPr>
          <w:p>
            <w:pPr>
              <w:pStyle w:val="124"/>
              <w:spacing w:line="360" w:lineRule="exact"/>
              <w:rPr>
                <w:rFonts w:ascii="仿宋" w:hAnsi="仿宋" w:eastAsia="仿宋"/>
              </w:rPr>
            </w:pPr>
          </w:p>
        </w:tc>
        <w:tc>
          <w:tcPr>
            <w:tcW w:w="1384" w:type="dxa"/>
            <w:tcBorders>
              <w:tl2br w:val="nil"/>
              <w:tr2bl w:val="nil"/>
            </w:tcBorders>
            <w:shd w:val="clear" w:color="auto" w:fill="auto"/>
            <w:vAlign w:val="center"/>
          </w:tcPr>
          <w:p>
            <w:pPr>
              <w:pStyle w:val="124"/>
              <w:spacing w:line="360" w:lineRule="exact"/>
              <w:rPr>
                <w:rFonts w:ascii="仿宋" w:hAnsi="仿宋" w:eastAsia="仿宋"/>
              </w:rPr>
            </w:pPr>
            <w:r>
              <w:rPr>
                <w:rFonts w:hint="eastAsia" w:ascii="仿宋" w:hAnsi="仿宋" w:eastAsia="仿宋"/>
              </w:rPr>
              <w:t>乙酸乙酯</w:t>
            </w:r>
          </w:p>
        </w:tc>
        <w:tc>
          <w:tcPr>
            <w:tcW w:w="2126" w:type="dxa"/>
            <w:tcBorders>
              <w:tl2br w:val="nil"/>
              <w:tr2bl w:val="nil"/>
            </w:tcBorders>
            <w:shd w:val="clear" w:color="auto" w:fill="auto"/>
            <w:noWrap/>
            <w:vAlign w:val="center"/>
          </w:tcPr>
          <w:p>
            <w:pPr>
              <w:pStyle w:val="124"/>
              <w:spacing w:line="360" w:lineRule="exact"/>
              <w:rPr>
                <w:rFonts w:ascii="仿宋" w:hAnsi="仿宋" w:eastAsia="仿宋"/>
              </w:rPr>
            </w:pPr>
            <w:r>
              <w:rPr>
                <w:rFonts w:hint="eastAsia" w:ascii="仿宋" w:hAnsi="仿宋" w:eastAsia="仿宋"/>
              </w:rPr>
              <w:t>5</w:t>
            </w:r>
            <w:r>
              <w:rPr>
                <w:rFonts w:ascii="仿宋" w:hAnsi="仿宋" w:eastAsia="仿宋"/>
              </w:rPr>
              <w:t>.8</w:t>
            </w:r>
          </w:p>
        </w:tc>
        <w:tc>
          <w:tcPr>
            <w:tcW w:w="1890" w:type="dxa"/>
            <w:tcBorders>
              <w:tl2br w:val="nil"/>
              <w:tr2bl w:val="nil"/>
            </w:tcBorders>
            <w:shd w:val="clear" w:color="auto" w:fill="auto"/>
            <w:noWrap/>
            <w:vAlign w:val="center"/>
          </w:tcPr>
          <w:p>
            <w:pPr>
              <w:pStyle w:val="124"/>
              <w:spacing w:line="360" w:lineRule="exact"/>
              <w:rPr>
                <w:rFonts w:ascii="仿宋" w:hAnsi="仿宋" w:eastAsia="仿宋"/>
              </w:rPr>
            </w:pPr>
            <w:r>
              <w:rPr>
                <w:rFonts w:hint="eastAsia" w:ascii="仿宋" w:hAnsi="仿宋" w:eastAsia="仿宋"/>
              </w:rPr>
              <w:t>0</w:t>
            </w:r>
            <w:r>
              <w:rPr>
                <w:rFonts w:ascii="仿宋" w:hAnsi="仿宋" w:eastAsia="仿宋"/>
              </w:rPr>
              <w:t>.29</w:t>
            </w:r>
          </w:p>
        </w:tc>
        <w:tc>
          <w:tcPr>
            <w:tcW w:w="1080" w:type="dxa"/>
            <w:tcBorders>
              <w:tl2br w:val="nil"/>
              <w:tr2bl w:val="nil"/>
            </w:tcBorders>
            <w:shd w:val="clear" w:color="auto" w:fill="auto"/>
            <w:noWrap/>
            <w:vAlign w:val="center"/>
          </w:tcPr>
          <w:p>
            <w:pPr>
              <w:pStyle w:val="124"/>
              <w:spacing w:line="360" w:lineRule="exact"/>
              <w:rPr>
                <w:rFonts w:ascii="仿宋" w:hAnsi="仿宋" w:eastAsia="仿宋"/>
              </w:rPr>
            </w:pPr>
            <w:r>
              <w:rPr>
                <w:rFonts w:hint="eastAsia" w:ascii="仿宋" w:hAnsi="仿宋" w:eastAsia="仿宋"/>
              </w:rPr>
              <w:t>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080" w:type="dxa"/>
            <w:tcBorders>
              <w:tl2br w:val="nil"/>
              <w:tr2bl w:val="nil"/>
            </w:tcBorders>
            <w:shd w:val="clear" w:color="auto" w:fill="auto"/>
            <w:noWrap/>
            <w:vAlign w:val="center"/>
          </w:tcPr>
          <w:p>
            <w:pPr>
              <w:pStyle w:val="124"/>
              <w:spacing w:line="360" w:lineRule="exact"/>
              <w:rPr>
                <w:rFonts w:ascii="仿宋" w:hAnsi="仿宋" w:eastAsia="仿宋"/>
              </w:rPr>
            </w:pPr>
            <w:r>
              <w:rPr>
                <w:rFonts w:ascii="仿宋" w:hAnsi="仿宋" w:eastAsia="仿宋"/>
              </w:rPr>
              <w:t>3</w:t>
            </w:r>
          </w:p>
        </w:tc>
        <w:tc>
          <w:tcPr>
            <w:tcW w:w="1080" w:type="dxa"/>
            <w:vMerge w:val="continue"/>
            <w:tcBorders>
              <w:tl2br w:val="nil"/>
              <w:tr2bl w:val="nil"/>
            </w:tcBorders>
            <w:shd w:val="clear" w:color="auto" w:fill="auto"/>
            <w:vAlign w:val="center"/>
          </w:tcPr>
          <w:p>
            <w:pPr>
              <w:pStyle w:val="124"/>
              <w:spacing w:line="360" w:lineRule="exact"/>
              <w:rPr>
                <w:rFonts w:ascii="仿宋" w:hAnsi="仿宋" w:eastAsia="仿宋"/>
              </w:rPr>
            </w:pPr>
          </w:p>
        </w:tc>
        <w:tc>
          <w:tcPr>
            <w:tcW w:w="1384" w:type="dxa"/>
            <w:tcBorders>
              <w:tl2br w:val="nil"/>
              <w:tr2bl w:val="nil"/>
            </w:tcBorders>
            <w:shd w:val="clear" w:color="auto" w:fill="auto"/>
            <w:vAlign w:val="center"/>
          </w:tcPr>
          <w:p>
            <w:pPr>
              <w:pStyle w:val="124"/>
              <w:spacing w:line="360" w:lineRule="exact"/>
              <w:rPr>
                <w:rFonts w:ascii="仿宋" w:hAnsi="仿宋" w:eastAsia="仿宋"/>
              </w:rPr>
            </w:pPr>
            <w:r>
              <w:rPr>
                <w:rFonts w:hint="eastAsia" w:ascii="仿宋" w:hAnsi="仿宋" w:eastAsia="仿宋"/>
              </w:rPr>
              <w:t>二甲苯</w:t>
            </w:r>
          </w:p>
        </w:tc>
        <w:tc>
          <w:tcPr>
            <w:tcW w:w="2126" w:type="dxa"/>
            <w:tcBorders>
              <w:tl2br w:val="nil"/>
              <w:tr2bl w:val="nil"/>
            </w:tcBorders>
            <w:shd w:val="clear" w:color="auto" w:fill="auto"/>
            <w:noWrap/>
            <w:vAlign w:val="center"/>
          </w:tcPr>
          <w:p>
            <w:pPr>
              <w:pStyle w:val="124"/>
              <w:spacing w:line="360" w:lineRule="exact"/>
              <w:rPr>
                <w:rFonts w:ascii="仿宋" w:hAnsi="仿宋" w:eastAsia="仿宋"/>
              </w:rPr>
            </w:pPr>
            <w:r>
              <w:rPr>
                <w:rFonts w:hint="eastAsia" w:ascii="仿宋" w:hAnsi="仿宋" w:eastAsia="仿宋"/>
              </w:rPr>
              <w:t>0</w:t>
            </w:r>
            <w:r>
              <w:rPr>
                <w:rFonts w:ascii="仿宋" w:hAnsi="仿宋" w:eastAsia="仿宋"/>
              </w:rPr>
              <w:t>.6</w:t>
            </w:r>
          </w:p>
        </w:tc>
        <w:tc>
          <w:tcPr>
            <w:tcW w:w="1890" w:type="dxa"/>
            <w:tcBorders>
              <w:tl2br w:val="nil"/>
              <w:tr2bl w:val="nil"/>
            </w:tcBorders>
            <w:shd w:val="clear" w:color="auto" w:fill="auto"/>
            <w:noWrap/>
            <w:vAlign w:val="center"/>
          </w:tcPr>
          <w:p>
            <w:pPr>
              <w:pStyle w:val="124"/>
              <w:spacing w:line="360" w:lineRule="exact"/>
              <w:rPr>
                <w:rFonts w:ascii="仿宋" w:hAnsi="仿宋" w:eastAsia="仿宋"/>
              </w:rPr>
            </w:pPr>
            <w:r>
              <w:rPr>
                <w:rFonts w:hint="eastAsia" w:ascii="仿宋" w:hAnsi="仿宋" w:eastAsia="仿宋"/>
              </w:rPr>
              <w:t>0</w:t>
            </w:r>
            <w:r>
              <w:rPr>
                <w:rFonts w:ascii="仿宋" w:hAnsi="仿宋" w:eastAsia="仿宋"/>
              </w:rPr>
              <w:t>.03</w:t>
            </w:r>
          </w:p>
        </w:tc>
        <w:tc>
          <w:tcPr>
            <w:tcW w:w="1080" w:type="dxa"/>
            <w:tcBorders>
              <w:tl2br w:val="nil"/>
              <w:tr2bl w:val="nil"/>
            </w:tcBorders>
            <w:shd w:val="clear" w:color="auto" w:fill="auto"/>
            <w:noWrap/>
            <w:vAlign w:val="center"/>
          </w:tcPr>
          <w:p>
            <w:pPr>
              <w:pStyle w:val="124"/>
              <w:spacing w:line="360" w:lineRule="exact"/>
              <w:rPr>
                <w:rFonts w:ascii="仿宋" w:hAnsi="仿宋" w:eastAsia="仿宋"/>
              </w:rPr>
            </w:pPr>
            <w:r>
              <w:rPr>
                <w:rFonts w:hint="eastAsia" w:ascii="仿宋" w:hAnsi="仿宋" w:eastAsia="仿宋"/>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080" w:type="dxa"/>
            <w:tcBorders>
              <w:tl2br w:val="nil"/>
              <w:tr2bl w:val="nil"/>
            </w:tcBorders>
            <w:shd w:val="clear" w:color="auto" w:fill="auto"/>
            <w:noWrap/>
            <w:vAlign w:val="center"/>
          </w:tcPr>
          <w:p>
            <w:pPr>
              <w:pStyle w:val="124"/>
              <w:spacing w:line="360" w:lineRule="exact"/>
              <w:rPr>
                <w:rFonts w:ascii="仿宋" w:hAnsi="仿宋" w:eastAsia="仿宋"/>
              </w:rPr>
            </w:pPr>
            <w:r>
              <w:rPr>
                <w:rFonts w:ascii="仿宋" w:hAnsi="仿宋" w:eastAsia="仿宋"/>
              </w:rPr>
              <w:t>4</w:t>
            </w:r>
          </w:p>
        </w:tc>
        <w:tc>
          <w:tcPr>
            <w:tcW w:w="1080" w:type="dxa"/>
            <w:vMerge w:val="continue"/>
            <w:tcBorders>
              <w:tl2br w:val="nil"/>
              <w:tr2bl w:val="nil"/>
            </w:tcBorders>
            <w:shd w:val="clear" w:color="auto" w:fill="auto"/>
            <w:vAlign w:val="center"/>
          </w:tcPr>
          <w:p>
            <w:pPr>
              <w:pStyle w:val="124"/>
              <w:spacing w:line="360" w:lineRule="exact"/>
              <w:rPr>
                <w:rFonts w:ascii="仿宋" w:hAnsi="仿宋" w:eastAsia="仿宋"/>
              </w:rPr>
            </w:pPr>
          </w:p>
        </w:tc>
        <w:tc>
          <w:tcPr>
            <w:tcW w:w="1384" w:type="dxa"/>
            <w:tcBorders>
              <w:tl2br w:val="nil"/>
              <w:tr2bl w:val="nil"/>
            </w:tcBorders>
            <w:shd w:val="clear" w:color="auto" w:fill="auto"/>
            <w:vAlign w:val="center"/>
          </w:tcPr>
          <w:p>
            <w:pPr>
              <w:pStyle w:val="124"/>
              <w:spacing w:line="360" w:lineRule="exact"/>
              <w:rPr>
                <w:rFonts w:ascii="仿宋" w:hAnsi="仿宋" w:eastAsia="仿宋"/>
              </w:rPr>
            </w:pPr>
            <w:r>
              <w:rPr>
                <w:rFonts w:hint="eastAsia" w:ascii="仿宋" w:hAnsi="仿宋" w:eastAsia="仿宋"/>
              </w:rPr>
              <w:t>烟尘</w:t>
            </w:r>
          </w:p>
        </w:tc>
        <w:tc>
          <w:tcPr>
            <w:tcW w:w="2126" w:type="dxa"/>
            <w:tcBorders>
              <w:tl2br w:val="nil"/>
              <w:tr2bl w:val="nil"/>
            </w:tcBorders>
            <w:shd w:val="clear" w:color="auto" w:fill="auto"/>
            <w:noWrap/>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.18</w:t>
            </w:r>
          </w:p>
        </w:tc>
        <w:tc>
          <w:tcPr>
            <w:tcW w:w="1890" w:type="dxa"/>
            <w:tcBorders>
              <w:tl2br w:val="nil"/>
              <w:tr2bl w:val="nil"/>
            </w:tcBorders>
            <w:shd w:val="clear" w:color="auto" w:fill="auto"/>
            <w:noWrap/>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.009</w:t>
            </w:r>
          </w:p>
        </w:tc>
        <w:tc>
          <w:tcPr>
            <w:tcW w:w="1080" w:type="dxa"/>
            <w:tcBorders>
              <w:tl2br w:val="nil"/>
              <w:tr2bl w:val="nil"/>
            </w:tcBorders>
            <w:shd w:val="clear" w:color="auto" w:fill="auto"/>
            <w:noWrap/>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080" w:type="dxa"/>
            <w:tcBorders>
              <w:tl2br w:val="nil"/>
              <w:tr2bl w:val="nil"/>
            </w:tcBorders>
            <w:shd w:val="clear" w:color="auto" w:fill="auto"/>
            <w:noWrap/>
            <w:vAlign w:val="center"/>
          </w:tcPr>
          <w:p>
            <w:pPr>
              <w:pStyle w:val="124"/>
              <w:spacing w:line="360" w:lineRule="exact"/>
              <w:rPr>
                <w:rFonts w:ascii="仿宋" w:hAnsi="仿宋" w:eastAsia="仿宋"/>
              </w:rPr>
            </w:pPr>
            <w:r>
              <w:rPr>
                <w:rFonts w:ascii="仿宋" w:hAnsi="仿宋" w:eastAsia="仿宋"/>
              </w:rPr>
              <w:t>5</w:t>
            </w:r>
          </w:p>
        </w:tc>
        <w:tc>
          <w:tcPr>
            <w:tcW w:w="1080" w:type="dxa"/>
            <w:vMerge w:val="continue"/>
            <w:tcBorders>
              <w:tl2br w:val="nil"/>
              <w:tr2bl w:val="nil"/>
            </w:tcBorders>
            <w:shd w:val="clear" w:color="auto" w:fill="auto"/>
            <w:vAlign w:val="center"/>
          </w:tcPr>
          <w:p>
            <w:pPr>
              <w:pStyle w:val="124"/>
              <w:spacing w:line="360" w:lineRule="exact"/>
              <w:rPr>
                <w:rFonts w:ascii="仿宋" w:hAnsi="仿宋" w:eastAsia="仿宋"/>
              </w:rPr>
            </w:pPr>
          </w:p>
        </w:tc>
        <w:tc>
          <w:tcPr>
            <w:tcW w:w="1384" w:type="dxa"/>
            <w:tcBorders>
              <w:tl2br w:val="nil"/>
              <w:tr2bl w:val="nil"/>
            </w:tcBorders>
            <w:shd w:val="clear" w:color="auto" w:fill="auto"/>
            <w:vAlign w:val="center"/>
          </w:tcPr>
          <w:p>
            <w:pPr>
              <w:pStyle w:val="124"/>
              <w:spacing w:line="360" w:lineRule="exact"/>
              <w:rPr>
                <w:rFonts w:ascii="仿宋" w:hAnsi="仿宋" w:eastAsia="仿宋"/>
              </w:rPr>
            </w:pPr>
            <w:r>
              <w:rPr>
                <w:rFonts w:hint="eastAsia" w:ascii="仿宋" w:hAnsi="仿宋" w:eastAsia="仿宋"/>
              </w:rPr>
              <w:t>SO</w:t>
            </w:r>
            <w:r>
              <w:rPr>
                <w:rFonts w:hint="eastAsia" w:ascii="仿宋" w:hAnsi="仿宋" w:eastAsia="仿宋"/>
                <w:vertAlign w:val="subscript"/>
              </w:rPr>
              <w:t>2</w:t>
            </w:r>
          </w:p>
        </w:tc>
        <w:tc>
          <w:tcPr>
            <w:tcW w:w="2126" w:type="dxa"/>
            <w:tcBorders>
              <w:tl2br w:val="nil"/>
              <w:tr2bl w:val="nil"/>
            </w:tcBorders>
            <w:shd w:val="clear" w:color="auto" w:fill="auto"/>
            <w:noWrap/>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.14</w:t>
            </w:r>
          </w:p>
        </w:tc>
        <w:tc>
          <w:tcPr>
            <w:tcW w:w="1890" w:type="dxa"/>
            <w:tcBorders>
              <w:tl2br w:val="nil"/>
              <w:tr2bl w:val="nil"/>
            </w:tcBorders>
            <w:shd w:val="clear" w:color="auto" w:fill="auto"/>
            <w:noWrap/>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.007</w:t>
            </w:r>
          </w:p>
        </w:tc>
        <w:tc>
          <w:tcPr>
            <w:tcW w:w="1080" w:type="dxa"/>
            <w:tcBorders>
              <w:tl2br w:val="nil"/>
              <w:tr2bl w:val="nil"/>
            </w:tcBorders>
            <w:shd w:val="clear" w:color="auto" w:fill="auto"/>
            <w:noWrap/>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080" w:type="dxa"/>
            <w:tcBorders>
              <w:tl2br w:val="nil"/>
              <w:tr2bl w:val="nil"/>
            </w:tcBorders>
            <w:shd w:val="clear" w:color="auto" w:fill="auto"/>
            <w:noWrap/>
            <w:vAlign w:val="center"/>
          </w:tcPr>
          <w:p>
            <w:pPr>
              <w:pStyle w:val="124"/>
              <w:spacing w:line="360" w:lineRule="exact"/>
              <w:rPr>
                <w:rFonts w:ascii="仿宋" w:hAnsi="仿宋" w:eastAsia="仿宋"/>
              </w:rPr>
            </w:pPr>
            <w:r>
              <w:rPr>
                <w:rFonts w:ascii="仿宋" w:hAnsi="仿宋" w:eastAsia="仿宋"/>
              </w:rPr>
              <w:t>6</w:t>
            </w:r>
          </w:p>
        </w:tc>
        <w:tc>
          <w:tcPr>
            <w:tcW w:w="1080" w:type="dxa"/>
            <w:vMerge w:val="continue"/>
            <w:tcBorders>
              <w:tl2br w:val="nil"/>
              <w:tr2bl w:val="nil"/>
            </w:tcBorders>
            <w:shd w:val="clear" w:color="auto" w:fill="auto"/>
            <w:vAlign w:val="center"/>
          </w:tcPr>
          <w:p>
            <w:pPr>
              <w:pStyle w:val="124"/>
              <w:spacing w:line="360" w:lineRule="exact"/>
              <w:rPr>
                <w:rFonts w:ascii="仿宋" w:hAnsi="仿宋" w:eastAsia="仿宋"/>
              </w:rPr>
            </w:pPr>
          </w:p>
        </w:tc>
        <w:tc>
          <w:tcPr>
            <w:tcW w:w="1384" w:type="dxa"/>
            <w:tcBorders>
              <w:tl2br w:val="nil"/>
              <w:tr2bl w:val="nil"/>
            </w:tcBorders>
            <w:shd w:val="clear" w:color="auto" w:fill="auto"/>
            <w:vAlign w:val="center"/>
          </w:tcPr>
          <w:p>
            <w:pPr>
              <w:pStyle w:val="124"/>
              <w:spacing w:line="360" w:lineRule="exact"/>
              <w:rPr>
                <w:rFonts w:ascii="仿宋" w:hAnsi="仿宋" w:eastAsia="仿宋"/>
              </w:rPr>
            </w:pPr>
            <w:r>
              <w:rPr>
                <w:rFonts w:hint="eastAsia" w:ascii="仿宋" w:hAnsi="仿宋" w:eastAsia="仿宋"/>
              </w:rPr>
              <w:t>NOx</w:t>
            </w:r>
          </w:p>
        </w:tc>
        <w:tc>
          <w:tcPr>
            <w:tcW w:w="2126" w:type="dxa"/>
            <w:tcBorders>
              <w:tl2br w:val="nil"/>
              <w:tr2bl w:val="nil"/>
            </w:tcBorders>
            <w:shd w:val="clear" w:color="auto" w:fill="auto"/>
            <w:noWrap/>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w:t>
            </w:r>
            <w:r>
              <w:rPr>
                <w:rFonts w:ascii="仿宋" w:hAnsi="仿宋" w:eastAsia="仿宋" w:cs="仿宋"/>
                <w:bCs/>
                <w:szCs w:val="21"/>
              </w:rPr>
              <w:t>.06</w:t>
            </w:r>
          </w:p>
        </w:tc>
        <w:tc>
          <w:tcPr>
            <w:tcW w:w="1890" w:type="dxa"/>
            <w:tcBorders>
              <w:tl2br w:val="nil"/>
              <w:tr2bl w:val="nil"/>
            </w:tcBorders>
            <w:shd w:val="clear" w:color="auto" w:fill="auto"/>
            <w:noWrap/>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.053</w:t>
            </w:r>
          </w:p>
        </w:tc>
        <w:tc>
          <w:tcPr>
            <w:tcW w:w="1080" w:type="dxa"/>
            <w:tcBorders>
              <w:tl2br w:val="nil"/>
              <w:tr2bl w:val="nil"/>
            </w:tcBorders>
            <w:shd w:val="clear" w:color="auto" w:fill="auto"/>
            <w:noWrap/>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160" w:type="dxa"/>
            <w:gridSpan w:val="2"/>
            <w:vMerge w:val="restart"/>
            <w:tcBorders>
              <w:tl2br w:val="nil"/>
              <w:tr2bl w:val="nil"/>
            </w:tcBorders>
            <w:shd w:val="clear" w:color="auto" w:fill="auto"/>
            <w:noWrap/>
            <w:vAlign w:val="center"/>
          </w:tcPr>
          <w:p>
            <w:pPr>
              <w:pStyle w:val="124"/>
              <w:spacing w:line="360" w:lineRule="exact"/>
              <w:rPr>
                <w:rFonts w:ascii="仿宋" w:hAnsi="仿宋" w:eastAsia="仿宋"/>
              </w:rPr>
            </w:pPr>
            <w:r>
              <w:rPr>
                <w:rFonts w:hint="eastAsia" w:ascii="仿宋" w:hAnsi="仿宋" w:eastAsia="仿宋"/>
              </w:rPr>
              <w:t>一般</w:t>
            </w:r>
            <w:r>
              <w:rPr>
                <w:rFonts w:ascii="仿宋" w:hAnsi="仿宋" w:eastAsia="仿宋"/>
              </w:rPr>
              <w:t>排放口合计</w:t>
            </w:r>
          </w:p>
        </w:tc>
        <w:tc>
          <w:tcPr>
            <w:tcW w:w="5400" w:type="dxa"/>
            <w:gridSpan w:val="3"/>
            <w:tcBorders>
              <w:tl2br w:val="nil"/>
              <w:tr2bl w:val="nil"/>
            </w:tcBorders>
            <w:shd w:val="clear" w:color="auto" w:fill="auto"/>
            <w:vAlign w:val="center"/>
          </w:tcPr>
          <w:p>
            <w:pPr>
              <w:pStyle w:val="124"/>
              <w:spacing w:line="360" w:lineRule="exact"/>
              <w:rPr>
                <w:rFonts w:ascii="仿宋" w:hAnsi="仿宋" w:eastAsia="仿宋"/>
              </w:rPr>
            </w:pPr>
            <w:r>
              <w:rPr>
                <w:rFonts w:hint="eastAsia" w:ascii="仿宋" w:hAnsi="仿宋" w:eastAsia="仿宋"/>
              </w:rPr>
              <w:t>非甲烷总烃</w:t>
            </w:r>
          </w:p>
        </w:tc>
        <w:tc>
          <w:tcPr>
            <w:tcW w:w="1080" w:type="dxa"/>
            <w:tcBorders>
              <w:tl2br w:val="nil"/>
              <w:tr2bl w:val="nil"/>
            </w:tcBorders>
            <w:shd w:val="clear" w:color="auto" w:fill="auto"/>
            <w:noWrap/>
            <w:vAlign w:val="center"/>
          </w:tcPr>
          <w:p>
            <w:pPr>
              <w:pStyle w:val="124"/>
              <w:spacing w:line="360" w:lineRule="exact"/>
              <w:rPr>
                <w:rFonts w:ascii="仿宋" w:hAnsi="仿宋" w:eastAsia="仿宋"/>
              </w:rPr>
            </w:pPr>
            <w:r>
              <w:rPr>
                <w:rFonts w:hint="eastAsia" w:ascii="仿宋" w:hAnsi="仿宋" w:eastAsia="仿宋"/>
              </w:rPr>
              <w:t>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160" w:type="dxa"/>
            <w:gridSpan w:val="2"/>
            <w:vMerge w:val="continue"/>
            <w:tcBorders>
              <w:tl2br w:val="nil"/>
              <w:tr2bl w:val="nil"/>
            </w:tcBorders>
            <w:shd w:val="clear" w:color="auto" w:fill="auto"/>
            <w:noWrap/>
            <w:vAlign w:val="center"/>
          </w:tcPr>
          <w:p>
            <w:pPr>
              <w:pStyle w:val="124"/>
              <w:spacing w:line="360" w:lineRule="exact"/>
              <w:rPr>
                <w:rFonts w:ascii="仿宋" w:hAnsi="仿宋" w:eastAsia="仿宋"/>
              </w:rPr>
            </w:pPr>
          </w:p>
        </w:tc>
        <w:tc>
          <w:tcPr>
            <w:tcW w:w="5400" w:type="dxa"/>
            <w:gridSpan w:val="3"/>
            <w:tcBorders>
              <w:tl2br w:val="nil"/>
              <w:tr2bl w:val="nil"/>
            </w:tcBorders>
            <w:shd w:val="clear" w:color="auto" w:fill="auto"/>
            <w:vAlign w:val="center"/>
          </w:tcPr>
          <w:p>
            <w:pPr>
              <w:pStyle w:val="124"/>
              <w:spacing w:line="360" w:lineRule="exact"/>
              <w:rPr>
                <w:rFonts w:ascii="仿宋" w:hAnsi="仿宋" w:eastAsia="仿宋"/>
              </w:rPr>
            </w:pPr>
            <w:r>
              <w:rPr>
                <w:rFonts w:hint="eastAsia" w:ascii="仿宋" w:hAnsi="仿宋" w:eastAsia="仿宋"/>
              </w:rPr>
              <w:t>乙酸乙酯</w:t>
            </w:r>
          </w:p>
        </w:tc>
        <w:tc>
          <w:tcPr>
            <w:tcW w:w="1080" w:type="dxa"/>
            <w:tcBorders>
              <w:tl2br w:val="nil"/>
              <w:tr2bl w:val="nil"/>
            </w:tcBorders>
            <w:shd w:val="clear" w:color="auto" w:fill="auto"/>
            <w:noWrap/>
            <w:vAlign w:val="center"/>
          </w:tcPr>
          <w:p>
            <w:pPr>
              <w:pStyle w:val="124"/>
              <w:spacing w:line="360" w:lineRule="exact"/>
              <w:rPr>
                <w:rFonts w:ascii="仿宋" w:hAnsi="仿宋" w:eastAsia="仿宋"/>
              </w:rPr>
            </w:pPr>
            <w:r>
              <w:rPr>
                <w:rFonts w:hint="eastAsia" w:ascii="仿宋" w:hAnsi="仿宋" w:eastAsia="仿宋"/>
              </w:rPr>
              <w:t>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160" w:type="dxa"/>
            <w:gridSpan w:val="2"/>
            <w:vMerge w:val="continue"/>
            <w:tcBorders>
              <w:tl2br w:val="nil"/>
              <w:tr2bl w:val="nil"/>
            </w:tcBorders>
            <w:vAlign w:val="center"/>
          </w:tcPr>
          <w:p>
            <w:pPr>
              <w:pStyle w:val="124"/>
              <w:spacing w:line="360" w:lineRule="exact"/>
              <w:rPr>
                <w:rFonts w:ascii="仿宋" w:hAnsi="仿宋" w:eastAsia="仿宋"/>
              </w:rPr>
            </w:pPr>
          </w:p>
        </w:tc>
        <w:tc>
          <w:tcPr>
            <w:tcW w:w="5400" w:type="dxa"/>
            <w:gridSpan w:val="3"/>
            <w:tcBorders>
              <w:tl2br w:val="nil"/>
              <w:tr2bl w:val="nil"/>
            </w:tcBorders>
            <w:shd w:val="clear" w:color="auto" w:fill="auto"/>
            <w:vAlign w:val="center"/>
          </w:tcPr>
          <w:p>
            <w:pPr>
              <w:pStyle w:val="124"/>
              <w:spacing w:line="360" w:lineRule="exact"/>
              <w:rPr>
                <w:rFonts w:ascii="仿宋" w:hAnsi="仿宋" w:eastAsia="仿宋"/>
              </w:rPr>
            </w:pPr>
            <w:r>
              <w:rPr>
                <w:rFonts w:hint="eastAsia" w:ascii="仿宋" w:hAnsi="仿宋" w:eastAsia="仿宋"/>
              </w:rPr>
              <w:t>二甲苯</w:t>
            </w:r>
          </w:p>
        </w:tc>
        <w:tc>
          <w:tcPr>
            <w:tcW w:w="1080" w:type="dxa"/>
            <w:tcBorders>
              <w:tl2br w:val="nil"/>
              <w:tr2bl w:val="nil"/>
            </w:tcBorders>
            <w:shd w:val="clear" w:color="auto" w:fill="auto"/>
            <w:noWrap/>
            <w:vAlign w:val="center"/>
          </w:tcPr>
          <w:p>
            <w:pPr>
              <w:pStyle w:val="124"/>
              <w:spacing w:line="360" w:lineRule="exact"/>
              <w:rPr>
                <w:rFonts w:ascii="仿宋" w:hAnsi="仿宋" w:eastAsia="仿宋"/>
              </w:rPr>
            </w:pPr>
            <w:r>
              <w:rPr>
                <w:rFonts w:hint="eastAsia" w:ascii="仿宋" w:hAnsi="仿宋" w:eastAsia="仿宋"/>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160" w:type="dxa"/>
            <w:gridSpan w:val="2"/>
            <w:vMerge w:val="continue"/>
            <w:tcBorders>
              <w:tl2br w:val="nil"/>
              <w:tr2bl w:val="nil"/>
            </w:tcBorders>
            <w:vAlign w:val="center"/>
          </w:tcPr>
          <w:p>
            <w:pPr>
              <w:pStyle w:val="124"/>
              <w:spacing w:line="360" w:lineRule="exact"/>
              <w:rPr>
                <w:rFonts w:ascii="仿宋" w:hAnsi="仿宋" w:eastAsia="仿宋"/>
              </w:rPr>
            </w:pPr>
          </w:p>
        </w:tc>
        <w:tc>
          <w:tcPr>
            <w:tcW w:w="5400" w:type="dxa"/>
            <w:gridSpan w:val="3"/>
            <w:tcBorders>
              <w:tl2br w:val="nil"/>
              <w:tr2bl w:val="nil"/>
            </w:tcBorders>
            <w:shd w:val="clear" w:color="auto" w:fill="auto"/>
            <w:vAlign w:val="center"/>
          </w:tcPr>
          <w:p>
            <w:pPr>
              <w:pStyle w:val="124"/>
              <w:spacing w:line="360" w:lineRule="exact"/>
              <w:rPr>
                <w:rFonts w:ascii="仿宋" w:hAnsi="仿宋" w:eastAsia="仿宋"/>
              </w:rPr>
            </w:pPr>
            <w:r>
              <w:rPr>
                <w:rFonts w:hint="eastAsia" w:ascii="仿宋" w:hAnsi="仿宋" w:eastAsia="仿宋"/>
              </w:rPr>
              <w:t>烟尘</w:t>
            </w:r>
          </w:p>
        </w:tc>
        <w:tc>
          <w:tcPr>
            <w:tcW w:w="1080" w:type="dxa"/>
            <w:tcBorders>
              <w:tl2br w:val="nil"/>
              <w:tr2bl w:val="nil"/>
            </w:tcBorders>
            <w:shd w:val="clear" w:color="auto" w:fill="auto"/>
            <w:noWrap/>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160" w:type="dxa"/>
            <w:gridSpan w:val="2"/>
            <w:vMerge w:val="continue"/>
            <w:tcBorders>
              <w:tl2br w:val="nil"/>
              <w:tr2bl w:val="nil"/>
            </w:tcBorders>
            <w:vAlign w:val="center"/>
          </w:tcPr>
          <w:p>
            <w:pPr>
              <w:pStyle w:val="124"/>
              <w:spacing w:line="360" w:lineRule="exact"/>
              <w:rPr>
                <w:rFonts w:ascii="仿宋" w:hAnsi="仿宋" w:eastAsia="仿宋"/>
              </w:rPr>
            </w:pPr>
          </w:p>
        </w:tc>
        <w:tc>
          <w:tcPr>
            <w:tcW w:w="5400" w:type="dxa"/>
            <w:gridSpan w:val="3"/>
            <w:tcBorders>
              <w:tl2br w:val="nil"/>
              <w:tr2bl w:val="nil"/>
            </w:tcBorders>
            <w:shd w:val="clear" w:color="auto" w:fill="auto"/>
            <w:vAlign w:val="center"/>
          </w:tcPr>
          <w:p>
            <w:pPr>
              <w:pStyle w:val="124"/>
              <w:spacing w:line="360" w:lineRule="exact"/>
              <w:rPr>
                <w:rFonts w:ascii="仿宋" w:hAnsi="仿宋" w:eastAsia="仿宋"/>
              </w:rPr>
            </w:pPr>
            <w:r>
              <w:rPr>
                <w:rFonts w:hint="eastAsia" w:ascii="仿宋" w:hAnsi="仿宋" w:eastAsia="仿宋"/>
              </w:rPr>
              <w:t>SO</w:t>
            </w:r>
            <w:r>
              <w:rPr>
                <w:rFonts w:hint="eastAsia" w:ascii="仿宋" w:hAnsi="仿宋" w:eastAsia="仿宋"/>
                <w:vertAlign w:val="subscript"/>
              </w:rPr>
              <w:t>2</w:t>
            </w:r>
          </w:p>
        </w:tc>
        <w:tc>
          <w:tcPr>
            <w:tcW w:w="1080" w:type="dxa"/>
            <w:tcBorders>
              <w:tl2br w:val="nil"/>
              <w:tr2bl w:val="nil"/>
            </w:tcBorders>
            <w:shd w:val="clear" w:color="auto" w:fill="auto"/>
            <w:noWrap/>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160" w:type="dxa"/>
            <w:gridSpan w:val="2"/>
            <w:vMerge w:val="continue"/>
            <w:tcBorders>
              <w:tl2br w:val="nil"/>
              <w:tr2bl w:val="nil"/>
            </w:tcBorders>
            <w:vAlign w:val="center"/>
          </w:tcPr>
          <w:p>
            <w:pPr>
              <w:pStyle w:val="124"/>
              <w:spacing w:line="360" w:lineRule="exact"/>
              <w:rPr>
                <w:rFonts w:ascii="仿宋" w:hAnsi="仿宋" w:eastAsia="仿宋"/>
              </w:rPr>
            </w:pPr>
          </w:p>
        </w:tc>
        <w:tc>
          <w:tcPr>
            <w:tcW w:w="5400" w:type="dxa"/>
            <w:gridSpan w:val="3"/>
            <w:tcBorders>
              <w:tl2br w:val="nil"/>
              <w:tr2bl w:val="nil"/>
            </w:tcBorders>
            <w:shd w:val="clear" w:color="auto" w:fill="auto"/>
            <w:vAlign w:val="center"/>
          </w:tcPr>
          <w:p>
            <w:pPr>
              <w:pStyle w:val="124"/>
              <w:spacing w:line="360" w:lineRule="exact"/>
              <w:rPr>
                <w:rFonts w:ascii="仿宋" w:hAnsi="仿宋" w:eastAsia="仿宋"/>
              </w:rPr>
            </w:pPr>
            <w:r>
              <w:rPr>
                <w:rFonts w:hint="eastAsia" w:ascii="仿宋" w:hAnsi="仿宋" w:eastAsia="仿宋"/>
              </w:rPr>
              <w:t>NOx</w:t>
            </w:r>
          </w:p>
        </w:tc>
        <w:tc>
          <w:tcPr>
            <w:tcW w:w="1080" w:type="dxa"/>
            <w:tcBorders>
              <w:tl2br w:val="nil"/>
              <w:tr2bl w:val="nil"/>
            </w:tcBorders>
            <w:shd w:val="clear" w:color="auto" w:fill="auto"/>
            <w:noWrap/>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640" w:type="dxa"/>
            <w:gridSpan w:val="6"/>
            <w:tcBorders>
              <w:tl2br w:val="nil"/>
              <w:tr2bl w:val="nil"/>
            </w:tcBorders>
            <w:shd w:val="clear" w:color="auto" w:fill="auto"/>
            <w:noWrap/>
            <w:vAlign w:val="center"/>
          </w:tcPr>
          <w:p>
            <w:pPr>
              <w:pStyle w:val="124"/>
              <w:spacing w:line="360" w:lineRule="exact"/>
              <w:rPr>
                <w:rFonts w:ascii="仿宋" w:hAnsi="仿宋" w:eastAsia="仿宋"/>
              </w:rPr>
            </w:pPr>
            <w:r>
              <w:rPr>
                <w:rFonts w:ascii="仿宋" w:hAnsi="仿宋" w:eastAsia="仿宋"/>
              </w:rPr>
              <w:t>有组织排放总计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160" w:type="dxa"/>
            <w:gridSpan w:val="2"/>
            <w:vMerge w:val="restart"/>
            <w:tcBorders>
              <w:tl2br w:val="nil"/>
              <w:tr2bl w:val="nil"/>
            </w:tcBorders>
            <w:shd w:val="clear" w:color="auto" w:fill="auto"/>
            <w:noWrap/>
            <w:vAlign w:val="center"/>
          </w:tcPr>
          <w:p>
            <w:pPr>
              <w:pStyle w:val="124"/>
              <w:spacing w:line="360" w:lineRule="exact"/>
              <w:rPr>
                <w:rFonts w:ascii="仿宋" w:hAnsi="仿宋" w:eastAsia="仿宋"/>
              </w:rPr>
            </w:pPr>
            <w:r>
              <w:rPr>
                <w:rFonts w:ascii="仿宋" w:hAnsi="仿宋" w:eastAsia="仿宋"/>
              </w:rPr>
              <w:t>有组织排放总计</w:t>
            </w:r>
          </w:p>
        </w:tc>
        <w:tc>
          <w:tcPr>
            <w:tcW w:w="5400" w:type="dxa"/>
            <w:gridSpan w:val="3"/>
            <w:tcBorders>
              <w:tl2br w:val="nil"/>
              <w:tr2bl w:val="nil"/>
            </w:tcBorders>
            <w:shd w:val="clear" w:color="auto" w:fill="auto"/>
            <w:vAlign w:val="center"/>
          </w:tcPr>
          <w:p>
            <w:pPr>
              <w:pStyle w:val="124"/>
              <w:spacing w:line="360" w:lineRule="exact"/>
              <w:rPr>
                <w:rFonts w:ascii="仿宋" w:hAnsi="仿宋" w:eastAsia="仿宋"/>
              </w:rPr>
            </w:pPr>
            <w:r>
              <w:rPr>
                <w:rFonts w:hint="eastAsia" w:ascii="仿宋" w:hAnsi="仿宋" w:eastAsia="仿宋"/>
              </w:rPr>
              <w:t>非甲烷总烃</w:t>
            </w:r>
          </w:p>
        </w:tc>
        <w:tc>
          <w:tcPr>
            <w:tcW w:w="1080" w:type="dxa"/>
            <w:tcBorders>
              <w:tl2br w:val="nil"/>
              <w:tr2bl w:val="nil"/>
            </w:tcBorders>
            <w:shd w:val="clear" w:color="auto" w:fill="auto"/>
            <w:noWrap/>
            <w:vAlign w:val="center"/>
          </w:tcPr>
          <w:p>
            <w:pPr>
              <w:pStyle w:val="124"/>
              <w:spacing w:line="360" w:lineRule="exact"/>
              <w:rPr>
                <w:rFonts w:ascii="仿宋" w:hAnsi="仿宋" w:eastAsia="仿宋"/>
              </w:rPr>
            </w:pPr>
            <w:r>
              <w:rPr>
                <w:rFonts w:hint="eastAsia" w:ascii="仿宋" w:hAnsi="仿宋" w:eastAsia="仿宋"/>
              </w:rPr>
              <w:t>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160" w:type="dxa"/>
            <w:gridSpan w:val="2"/>
            <w:vMerge w:val="continue"/>
            <w:tcBorders>
              <w:tl2br w:val="nil"/>
              <w:tr2bl w:val="nil"/>
            </w:tcBorders>
            <w:shd w:val="clear" w:color="auto" w:fill="auto"/>
            <w:noWrap/>
            <w:vAlign w:val="center"/>
          </w:tcPr>
          <w:p>
            <w:pPr>
              <w:pStyle w:val="124"/>
              <w:spacing w:line="360" w:lineRule="exact"/>
              <w:rPr>
                <w:rFonts w:ascii="仿宋" w:hAnsi="仿宋" w:eastAsia="仿宋"/>
              </w:rPr>
            </w:pPr>
          </w:p>
        </w:tc>
        <w:tc>
          <w:tcPr>
            <w:tcW w:w="5400" w:type="dxa"/>
            <w:gridSpan w:val="3"/>
            <w:tcBorders>
              <w:tl2br w:val="nil"/>
              <w:tr2bl w:val="nil"/>
            </w:tcBorders>
            <w:shd w:val="clear" w:color="auto" w:fill="auto"/>
            <w:vAlign w:val="center"/>
          </w:tcPr>
          <w:p>
            <w:pPr>
              <w:pStyle w:val="124"/>
              <w:spacing w:line="360" w:lineRule="exact"/>
              <w:rPr>
                <w:rFonts w:ascii="仿宋" w:hAnsi="仿宋" w:eastAsia="仿宋"/>
              </w:rPr>
            </w:pPr>
            <w:r>
              <w:rPr>
                <w:rFonts w:hint="eastAsia" w:ascii="仿宋" w:hAnsi="仿宋" w:eastAsia="仿宋"/>
              </w:rPr>
              <w:t>乙酸乙酯</w:t>
            </w:r>
          </w:p>
        </w:tc>
        <w:tc>
          <w:tcPr>
            <w:tcW w:w="1080" w:type="dxa"/>
            <w:tcBorders>
              <w:tl2br w:val="nil"/>
              <w:tr2bl w:val="nil"/>
            </w:tcBorders>
            <w:shd w:val="clear" w:color="auto" w:fill="auto"/>
            <w:noWrap/>
            <w:vAlign w:val="center"/>
          </w:tcPr>
          <w:p>
            <w:pPr>
              <w:pStyle w:val="124"/>
              <w:spacing w:line="360" w:lineRule="exact"/>
              <w:rPr>
                <w:rFonts w:ascii="仿宋" w:hAnsi="仿宋" w:eastAsia="仿宋"/>
              </w:rPr>
            </w:pPr>
            <w:r>
              <w:rPr>
                <w:rFonts w:hint="eastAsia" w:ascii="仿宋" w:hAnsi="仿宋" w:eastAsia="仿宋"/>
              </w:rPr>
              <w:t>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160" w:type="dxa"/>
            <w:gridSpan w:val="2"/>
            <w:vMerge w:val="continue"/>
            <w:tcBorders>
              <w:tl2br w:val="nil"/>
              <w:tr2bl w:val="nil"/>
            </w:tcBorders>
            <w:vAlign w:val="center"/>
          </w:tcPr>
          <w:p>
            <w:pPr>
              <w:pStyle w:val="124"/>
              <w:spacing w:line="360" w:lineRule="exact"/>
              <w:rPr>
                <w:rFonts w:ascii="仿宋" w:hAnsi="仿宋" w:eastAsia="仿宋"/>
              </w:rPr>
            </w:pPr>
          </w:p>
        </w:tc>
        <w:tc>
          <w:tcPr>
            <w:tcW w:w="5400" w:type="dxa"/>
            <w:gridSpan w:val="3"/>
            <w:tcBorders>
              <w:tl2br w:val="nil"/>
              <w:tr2bl w:val="nil"/>
            </w:tcBorders>
            <w:shd w:val="clear" w:color="auto" w:fill="auto"/>
            <w:vAlign w:val="center"/>
          </w:tcPr>
          <w:p>
            <w:pPr>
              <w:pStyle w:val="124"/>
              <w:spacing w:line="360" w:lineRule="exact"/>
              <w:rPr>
                <w:rFonts w:ascii="仿宋" w:hAnsi="仿宋" w:eastAsia="仿宋"/>
              </w:rPr>
            </w:pPr>
            <w:r>
              <w:rPr>
                <w:rFonts w:hint="eastAsia" w:ascii="仿宋" w:hAnsi="仿宋" w:eastAsia="仿宋"/>
              </w:rPr>
              <w:t>二甲苯</w:t>
            </w:r>
          </w:p>
        </w:tc>
        <w:tc>
          <w:tcPr>
            <w:tcW w:w="1080" w:type="dxa"/>
            <w:tcBorders>
              <w:tl2br w:val="nil"/>
              <w:tr2bl w:val="nil"/>
            </w:tcBorders>
            <w:shd w:val="clear" w:color="auto" w:fill="auto"/>
            <w:noWrap/>
            <w:vAlign w:val="center"/>
          </w:tcPr>
          <w:p>
            <w:pPr>
              <w:pStyle w:val="124"/>
              <w:spacing w:line="360" w:lineRule="exact"/>
              <w:rPr>
                <w:rFonts w:ascii="仿宋" w:hAnsi="仿宋" w:eastAsia="仿宋"/>
              </w:rPr>
            </w:pPr>
            <w:r>
              <w:rPr>
                <w:rFonts w:hint="eastAsia" w:ascii="仿宋" w:hAnsi="仿宋" w:eastAsia="仿宋"/>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160" w:type="dxa"/>
            <w:gridSpan w:val="2"/>
            <w:vMerge w:val="continue"/>
            <w:tcBorders>
              <w:tl2br w:val="nil"/>
              <w:tr2bl w:val="nil"/>
            </w:tcBorders>
            <w:vAlign w:val="center"/>
          </w:tcPr>
          <w:p>
            <w:pPr>
              <w:pStyle w:val="124"/>
              <w:spacing w:line="360" w:lineRule="exact"/>
              <w:rPr>
                <w:rFonts w:ascii="仿宋" w:hAnsi="仿宋" w:eastAsia="仿宋"/>
              </w:rPr>
            </w:pPr>
          </w:p>
        </w:tc>
        <w:tc>
          <w:tcPr>
            <w:tcW w:w="5400" w:type="dxa"/>
            <w:gridSpan w:val="3"/>
            <w:tcBorders>
              <w:tl2br w:val="nil"/>
              <w:tr2bl w:val="nil"/>
            </w:tcBorders>
            <w:shd w:val="clear" w:color="auto" w:fill="auto"/>
            <w:vAlign w:val="center"/>
          </w:tcPr>
          <w:p>
            <w:pPr>
              <w:pStyle w:val="124"/>
              <w:spacing w:line="360" w:lineRule="exact"/>
              <w:rPr>
                <w:rFonts w:ascii="仿宋" w:hAnsi="仿宋" w:eastAsia="仿宋"/>
              </w:rPr>
            </w:pPr>
            <w:r>
              <w:rPr>
                <w:rFonts w:hint="eastAsia" w:ascii="仿宋" w:hAnsi="仿宋" w:eastAsia="仿宋"/>
              </w:rPr>
              <w:t>烟尘</w:t>
            </w:r>
          </w:p>
        </w:tc>
        <w:tc>
          <w:tcPr>
            <w:tcW w:w="1080" w:type="dxa"/>
            <w:tcBorders>
              <w:tl2br w:val="nil"/>
              <w:tr2bl w:val="nil"/>
            </w:tcBorders>
            <w:shd w:val="clear" w:color="auto" w:fill="auto"/>
            <w:noWrap/>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160" w:type="dxa"/>
            <w:gridSpan w:val="2"/>
            <w:vMerge w:val="continue"/>
            <w:tcBorders>
              <w:tl2br w:val="nil"/>
              <w:tr2bl w:val="nil"/>
            </w:tcBorders>
            <w:vAlign w:val="center"/>
          </w:tcPr>
          <w:p>
            <w:pPr>
              <w:pStyle w:val="124"/>
              <w:spacing w:line="360" w:lineRule="exact"/>
              <w:rPr>
                <w:rFonts w:ascii="仿宋" w:hAnsi="仿宋" w:eastAsia="仿宋"/>
              </w:rPr>
            </w:pPr>
          </w:p>
        </w:tc>
        <w:tc>
          <w:tcPr>
            <w:tcW w:w="5400" w:type="dxa"/>
            <w:gridSpan w:val="3"/>
            <w:tcBorders>
              <w:tl2br w:val="nil"/>
              <w:tr2bl w:val="nil"/>
            </w:tcBorders>
            <w:shd w:val="clear" w:color="auto" w:fill="auto"/>
            <w:vAlign w:val="center"/>
          </w:tcPr>
          <w:p>
            <w:pPr>
              <w:pStyle w:val="124"/>
              <w:spacing w:line="360" w:lineRule="exact"/>
              <w:rPr>
                <w:rFonts w:ascii="仿宋" w:hAnsi="仿宋" w:eastAsia="仿宋"/>
              </w:rPr>
            </w:pPr>
            <w:r>
              <w:rPr>
                <w:rFonts w:hint="eastAsia" w:ascii="仿宋" w:hAnsi="仿宋" w:eastAsia="仿宋"/>
              </w:rPr>
              <w:t>SO</w:t>
            </w:r>
            <w:r>
              <w:rPr>
                <w:rFonts w:hint="eastAsia" w:ascii="仿宋" w:hAnsi="仿宋" w:eastAsia="仿宋"/>
                <w:vertAlign w:val="subscript"/>
              </w:rPr>
              <w:t>2</w:t>
            </w:r>
          </w:p>
        </w:tc>
        <w:tc>
          <w:tcPr>
            <w:tcW w:w="1080" w:type="dxa"/>
            <w:tcBorders>
              <w:tl2br w:val="nil"/>
              <w:tr2bl w:val="nil"/>
            </w:tcBorders>
            <w:shd w:val="clear" w:color="auto" w:fill="auto"/>
            <w:noWrap/>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160" w:type="dxa"/>
            <w:gridSpan w:val="2"/>
            <w:vMerge w:val="continue"/>
            <w:tcBorders>
              <w:tl2br w:val="nil"/>
              <w:tr2bl w:val="nil"/>
            </w:tcBorders>
            <w:vAlign w:val="center"/>
          </w:tcPr>
          <w:p>
            <w:pPr>
              <w:pStyle w:val="124"/>
              <w:spacing w:line="360" w:lineRule="exact"/>
              <w:rPr>
                <w:rFonts w:ascii="仿宋" w:hAnsi="仿宋" w:eastAsia="仿宋"/>
              </w:rPr>
            </w:pPr>
          </w:p>
        </w:tc>
        <w:tc>
          <w:tcPr>
            <w:tcW w:w="5400" w:type="dxa"/>
            <w:gridSpan w:val="3"/>
            <w:tcBorders>
              <w:tl2br w:val="nil"/>
              <w:tr2bl w:val="nil"/>
            </w:tcBorders>
            <w:shd w:val="clear" w:color="auto" w:fill="auto"/>
            <w:vAlign w:val="center"/>
          </w:tcPr>
          <w:p>
            <w:pPr>
              <w:pStyle w:val="124"/>
              <w:spacing w:line="360" w:lineRule="exact"/>
              <w:rPr>
                <w:rFonts w:ascii="仿宋" w:hAnsi="仿宋" w:eastAsia="仿宋"/>
              </w:rPr>
            </w:pPr>
            <w:r>
              <w:rPr>
                <w:rFonts w:hint="eastAsia" w:ascii="仿宋" w:hAnsi="仿宋" w:eastAsia="仿宋"/>
              </w:rPr>
              <w:t>NOx</w:t>
            </w:r>
          </w:p>
        </w:tc>
        <w:tc>
          <w:tcPr>
            <w:tcW w:w="1080" w:type="dxa"/>
            <w:tcBorders>
              <w:tl2br w:val="nil"/>
              <w:tr2bl w:val="nil"/>
            </w:tcBorders>
            <w:shd w:val="clear" w:color="auto" w:fill="auto"/>
            <w:noWrap/>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.38</w:t>
            </w:r>
          </w:p>
        </w:tc>
      </w:tr>
    </w:tbl>
    <w:p>
      <w:pPr>
        <w:spacing w:line="500" w:lineRule="exact"/>
        <w:ind w:firstLine="560" w:firstLineChars="200"/>
        <w:rPr>
          <w:rFonts w:eastAsia="仿宋_GB2312"/>
          <w:sz w:val="28"/>
          <w:szCs w:val="28"/>
        </w:rPr>
      </w:pPr>
      <w:r>
        <w:rPr>
          <w:rFonts w:hint="eastAsia" w:eastAsia="仿宋_GB2312"/>
          <w:sz w:val="28"/>
          <w:szCs w:val="28"/>
        </w:rPr>
        <w:t>（2）无组织</w:t>
      </w:r>
      <w:r>
        <w:rPr>
          <w:rFonts w:eastAsia="仿宋_GB2312"/>
          <w:sz w:val="28"/>
          <w:szCs w:val="28"/>
        </w:rPr>
        <w:t>排放量核算</w:t>
      </w:r>
    </w:p>
    <w:p>
      <w:pPr>
        <w:spacing w:before="60" w:line="500" w:lineRule="exact"/>
        <w:ind w:firstLine="482" w:firstLineChars="200"/>
        <w:jc w:val="center"/>
        <w:rPr>
          <w:rFonts w:eastAsia="仿宋_GB2312"/>
          <w:b/>
          <w:kern w:val="0"/>
          <w:sz w:val="24"/>
          <w:szCs w:val="20"/>
        </w:rPr>
      </w:pPr>
      <w:r>
        <w:rPr>
          <w:rFonts w:eastAsia="仿宋_GB2312"/>
          <w:b/>
          <w:kern w:val="0"/>
          <w:sz w:val="24"/>
          <w:szCs w:val="20"/>
        </w:rPr>
        <w:t xml:space="preserve">表5.2-10  </w:t>
      </w:r>
      <w:r>
        <w:rPr>
          <w:rFonts w:hint="eastAsia" w:eastAsia="仿宋_GB2312"/>
          <w:b/>
          <w:kern w:val="0"/>
          <w:sz w:val="24"/>
          <w:szCs w:val="20"/>
        </w:rPr>
        <w:t>大气污染物无组织排放量核算表</w:t>
      </w:r>
    </w:p>
    <w:tbl>
      <w:tblPr>
        <w:tblStyle w:val="87"/>
        <w:tblW w:w="862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
        <w:gridCol w:w="1045"/>
        <w:gridCol w:w="1602"/>
        <w:gridCol w:w="1003"/>
        <w:gridCol w:w="2047"/>
        <w:gridCol w:w="930"/>
        <w:gridCol w:w="10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Merge w:val="restart"/>
            <w:shd w:val="clear" w:color="auto" w:fill="auto"/>
            <w:vAlign w:val="center"/>
          </w:tcPr>
          <w:p>
            <w:pPr>
              <w:pStyle w:val="124"/>
              <w:spacing w:line="360" w:lineRule="exact"/>
              <w:rPr>
                <w:rFonts w:ascii="仿宋" w:hAnsi="仿宋" w:eastAsia="仿宋"/>
              </w:rPr>
            </w:pPr>
            <w:r>
              <w:rPr>
                <w:rFonts w:hint="eastAsia" w:ascii="仿宋" w:hAnsi="仿宋" w:eastAsia="仿宋"/>
              </w:rPr>
              <w:t>序号</w:t>
            </w:r>
          </w:p>
        </w:tc>
        <w:tc>
          <w:tcPr>
            <w:tcW w:w="1045" w:type="dxa"/>
            <w:vMerge w:val="restart"/>
            <w:shd w:val="clear" w:color="auto" w:fill="auto"/>
            <w:vAlign w:val="center"/>
          </w:tcPr>
          <w:p>
            <w:pPr>
              <w:pStyle w:val="124"/>
              <w:spacing w:line="360" w:lineRule="exact"/>
              <w:rPr>
                <w:rFonts w:ascii="仿宋" w:hAnsi="仿宋" w:eastAsia="仿宋"/>
              </w:rPr>
            </w:pPr>
            <w:r>
              <w:rPr>
                <w:rFonts w:hint="eastAsia" w:ascii="仿宋" w:hAnsi="仿宋" w:eastAsia="仿宋"/>
              </w:rPr>
              <w:t>产污环节</w:t>
            </w:r>
          </w:p>
        </w:tc>
        <w:tc>
          <w:tcPr>
            <w:tcW w:w="1602" w:type="dxa"/>
            <w:vMerge w:val="restart"/>
            <w:shd w:val="clear" w:color="auto" w:fill="auto"/>
            <w:vAlign w:val="center"/>
          </w:tcPr>
          <w:p>
            <w:pPr>
              <w:pStyle w:val="124"/>
              <w:spacing w:line="360" w:lineRule="exact"/>
              <w:rPr>
                <w:rFonts w:ascii="仿宋" w:hAnsi="仿宋" w:eastAsia="仿宋"/>
              </w:rPr>
            </w:pPr>
            <w:r>
              <w:rPr>
                <w:rFonts w:hint="eastAsia" w:ascii="仿宋" w:hAnsi="仿宋" w:eastAsia="仿宋"/>
              </w:rPr>
              <w:t>污染物</w:t>
            </w:r>
          </w:p>
        </w:tc>
        <w:tc>
          <w:tcPr>
            <w:tcW w:w="1003" w:type="dxa"/>
            <w:vMerge w:val="restart"/>
            <w:shd w:val="clear" w:color="auto" w:fill="auto"/>
            <w:vAlign w:val="center"/>
          </w:tcPr>
          <w:p>
            <w:pPr>
              <w:pStyle w:val="124"/>
              <w:spacing w:line="360" w:lineRule="exact"/>
              <w:rPr>
                <w:rFonts w:ascii="仿宋" w:hAnsi="仿宋" w:eastAsia="仿宋"/>
              </w:rPr>
            </w:pPr>
            <w:r>
              <w:rPr>
                <w:rFonts w:hint="eastAsia" w:ascii="仿宋" w:hAnsi="仿宋" w:eastAsia="仿宋"/>
              </w:rPr>
              <w:t>主要污染防治措施</w:t>
            </w:r>
          </w:p>
        </w:tc>
        <w:tc>
          <w:tcPr>
            <w:tcW w:w="2977" w:type="dxa"/>
            <w:gridSpan w:val="2"/>
            <w:shd w:val="clear" w:color="auto" w:fill="auto"/>
            <w:vAlign w:val="center"/>
          </w:tcPr>
          <w:p>
            <w:pPr>
              <w:pStyle w:val="124"/>
              <w:spacing w:line="360" w:lineRule="exact"/>
              <w:rPr>
                <w:rFonts w:ascii="仿宋" w:hAnsi="仿宋" w:eastAsia="仿宋"/>
              </w:rPr>
            </w:pPr>
            <w:r>
              <w:rPr>
                <w:rFonts w:hint="eastAsia" w:ascii="仿宋" w:hAnsi="仿宋" w:eastAsia="仿宋"/>
              </w:rPr>
              <w:t>国家或地方污染物排放标准</w:t>
            </w:r>
          </w:p>
        </w:tc>
        <w:tc>
          <w:tcPr>
            <w:tcW w:w="1065" w:type="dxa"/>
            <w:vMerge w:val="restart"/>
            <w:shd w:val="clear" w:color="auto" w:fill="auto"/>
            <w:vAlign w:val="center"/>
          </w:tcPr>
          <w:p>
            <w:pPr>
              <w:pStyle w:val="124"/>
              <w:spacing w:line="360" w:lineRule="exact"/>
              <w:rPr>
                <w:rFonts w:ascii="仿宋" w:hAnsi="仿宋" w:eastAsia="仿宋"/>
              </w:rPr>
            </w:pPr>
            <w:r>
              <w:rPr>
                <w:rFonts w:hint="eastAsia" w:ascii="仿宋" w:hAnsi="仿宋" w:eastAsia="仿宋"/>
              </w:rPr>
              <w:t>年排放量</w:t>
            </w:r>
          </w:p>
          <w:p>
            <w:pPr>
              <w:pStyle w:val="124"/>
              <w:spacing w:line="360" w:lineRule="exact"/>
              <w:rPr>
                <w:rFonts w:ascii="仿宋" w:hAnsi="仿宋" w:eastAsia="仿宋"/>
              </w:rPr>
            </w:pPr>
            <w:r>
              <w:rPr>
                <w:rFonts w:hint="eastAsia" w:ascii="仿宋" w:hAnsi="仿宋" w:eastAsia="仿宋"/>
              </w:rPr>
              <w:t>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Merge w:val="continue"/>
            <w:shd w:val="clear" w:color="auto" w:fill="auto"/>
            <w:vAlign w:val="center"/>
          </w:tcPr>
          <w:p>
            <w:pPr>
              <w:pStyle w:val="124"/>
              <w:spacing w:line="360" w:lineRule="exact"/>
              <w:rPr>
                <w:rFonts w:ascii="仿宋" w:hAnsi="仿宋" w:eastAsia="仿宋"/>
              </w:rPr>
            </w:pPr>
          </w:p>
        </w:tc>
        <w:tc>
          <w:tcPr>
            <w:tcW w:w="1045" w:type="dxa"/>
            <w:vMerge w:val="continue"/>
            <w:shd w:val="clear" w:color="auto" w:fill="auto"/>
            <w:vAlign w:val="center"/>
          </w:tcPr>
          <w:p>
            <w:pPr>
              <w:pStyle w:val="124"/>
              <w:spacing w:line="360" w:lineRule="exact"/>
              <w:rPr>
                <w:rFonts w:ascii="仿宋" w:hAnsi="仿宋" w:eastAsia="仿宋"/>
              </w:rPr>
            </w:pPr>
          </w:p>
        </w:tc>
        <w:tc>
          <w:tcPr>
            <w:tcW w:w="1602" w:type="dxa"/>
            <w:vMerge w:val="continue"/>
            <w:shd w:val="clear" w:color="auto" w:fill="auto"/>
            <w:vAlign w:val="center"/>
          </w:tcPr>
          <w:p>
            <w:pPr>
              <w:pStyle w:val="124"/>
              <w:spacing w:line="360" w:lineRule="exact"/>
              <w:rPr>
                <w:rFonts w:ascii="仿宋" w:hAnsi="仿宋" w:eastAsia="仿宋"/>
              </w:rPr>
            </w:pPr>
          </w:p>
        </w:tc>
        <w:tc>
          <w:tcPr>
            <w:tcW w:w="1003" w:type="dxa"/>
            <w:vMerge w:val="continue"/>
            <w:shd w:val="clear" w:color="auto" w:fill="auto"/>
            <w:vAlign w:val="center"/>
          </w:tcPr>
          <w:p>
            <w:pPr>
              <w:pStyle w:val="124"/>
              <w:spacing w:line="360" w:lineRule="exact"/>
              <w:rPr>
                <w:rFonts w:ascii="仿宋" w:hAnsi="仿宋" w:eastAsia="仿宋"/>
              </w:rPr>
            </w:pPr>
          </w:p>
        </w:tc>
        <w:tc>
          <w:tcPr>
            <w:tcW w:w="2047" w:type="dxa"/>
            <w:shd w:val="clear" w:color="auto" w:fill="auto"/>
            <w:vAlign w:val="center"/>
          </w:tcPr>
          <w:p>
            <w:pPr>
              <w:pStyle w:val="124"/>
              <w:spacing w:line="360" w:lineRule="exact"/>
              <w:rPr>
                <w:rFonts w:ascii="仿宋" w:hAnsi="仿宋" w:eastAsia="仿宋"/>
              </w:rPr>
            </w:pPr>
            <w:r>
              <w:rPr>
                <w:rFonts w:hint="eastAsia" w:ascii="仿宋" w:hAnsi="仿宋" w:eastAsia="仿宋"/>
              </w:rPr>
              <w:t>标准名称</w:t>
            </w:r>
          </w:p>
        </w:tc>
        <w:tc>
          <w:tcPr>
            <w:tcW w:w="930" w:type="dxa"/>
            <w:shd w:val="clear" w:color="auto" w:fill="auto"/>
            <w:vAlign w:val="center"/>
          </w:tcPr>
          <w:p>
            <w:pPr>
              <w:pStyle w:val="124"/>
              <w:spacing w:line="360" w:lineRule="exact"/>
              <w:rPr>
                <w:rFonts w:ascii="仿宋" w:hAnsi="仿宋" w:eastAsia="仿宋"/>
              </w:rPr>
            </w:pPr>
            <w:r>
              <w:rPr>
                <w:rFonts w:hint="eastAsia" w:ascii="仿宋" w:hAnsi="仿宋" w:eastAsia="仿宋"/>
              </w:rPr>
              <w:t>浓度名称m</w:t>
            </w:r>
            <w:r>
              <w:rPr>
                <w:rFonts w:ascii="仿宋" w:hAnsi="仿宋" w:eastAsia="仿宋"/>
              </w:rPr>
              <w:t>g/m</w:t>
            </w:r>
            <w:r>
              <w:rPr>
                <w:rFonts w:ascii="仿宋" w:hAnsi="仿宋" w:eastAsia="仿宋"/>
                <w:vertAlign w:val="superscript"/>
              </w:rPr>
              <w:t>3</w:t>
            </w:r>
          </w:p>
        </w:tc>
        <w:tc>
          <w:tcPr>
            <w:tcW w:w="1065" w:type="dxa"/>
            <w:vMerge w:val="continue"/>
            <w:shd w:val="clear" w:color="auto" w:fill="auto"/>
            <w:vAlign w:val="center"/>
          </w:tcPr>
          <w:p>
            <w:pPr>
              <w:pStyle w:val="124"/>
              <w:spacing w:line="360" w:lineRule="exact"/>
              <w:rPr>
                <w:rFonts w:ascii="仿宋" w:hAnsi="仿宋" w:eastAsia="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6" w:hRule="atLeast"/>
          <w:jc w:val="center"/>
        </w:trPr>
        <w:tc>
          <w:tcPr>
            <w:tcW w:w="935" w:type="dxa"/>
            <w:shd w:val="clear" w:color="auto" w:fill="auto"/>
            <w:vAlign w:val="center"/>
          </w:tcPr>
          <w:p>
            <w:pPr>
              <w:pStyle w:val="124"/>
              <w:spacing w:line="360" w:lineRule="exact"/>
              <w:rPr>
                <w:rFonts w:ascii="仿宋" w:hAnsi="仿宋" w:eastAsia="仿宋"/>
              </w:rPr>
            </w:pPr>
            <w:r>
              <w:rPr>
                <w:rFonts w:hint="eastAsia" w:ascii="仿宋" w:hAnsi="仿宋" w:eastAsia="仿宋"/>
              </w:rPr>
              <w:t>1</w:t>
            </w:r>
          </w:p>
        </w:tc>
        <w:tc>
          <w:tcPr>
            <w:tcW w:w="1045" w:type="dxa"/>
            <w:vMerge w:val="restart"/>
            <w:shd w:val="clear" w:color="auto" w:fill="auto"/>
            <w:vAlign w:val="center"/>
          </w:tcPr>
          <w:p>
            <w:pPr>
              <w:pStyle w:val="124"/>
              <w:spacing w:line="360" w:lineRule="exact"/>
              <w:rPr>
                <w:rFonts w:ascii="仿宋" w:hAnsi="仿宋" w:eastAsia="仿宋"/>
              </w:rPr>
            </w:pPr>
            <w:r>
              <w:rPr>
                <w:rFonts w:hint="eastAsia" w:ascii="仿宋" w:hAnsi="仿宋" w:eastAsia="仿宋"/>
              </w:rPr>
              <w:t>车间</w:t>
            </w:r>
          </w:p>
        </w:tc>
        <w:tc>
          <w:tcPr>
            <w:tcW w:w="1602" w:type="dxa"/>
            <w:shd w:val="clear" w:color="auto" w:fill="auto"/>
            <w:vAlign w:val="center"/>
          </w:tcPr>
          <w:p>
            <w:pPr>
              <w:pStyle w:val="124"/>
              <w:spacing w:line="360" w:lineRule="exact"/>
              <w:rPr>
                <w:rFonts w:ascii="仿宋" w:hAnsi="仿宋" w:eastAsia="仿宋"/>
              </w:rPr>
            </w:pPr>
            <w:r>
              <w:rPr>
                <w:rFonts w:hint="eastAsia" w:ascii="仿宋" w:hAnsi="仿宋" w:eastAsia="仿宋"/>
              </w:rPr>
              <w:t>非甲烷总烃</w:t>
            </w:r>
          </w:p>
        </w:tc>
        <w:tc>
          <w:tcPr>
            <w:tcW w:w="1003" w:type="dxa"/>
            <w:shd w:val="clear" w:color="auto" w:fill="auto"/>
            <w:vAlign w:val="center"/>
          </w:tcPr>
          <w:p>
            <w:pPr>
              <w:pStyle w:val="124"/>
              <w:spacing w:line="360" w:lineRule="exact"/>
              <w:rPr>
                <w:rFonts w:ascii="仿宋" w:hAnsi="仿宋" w:eastAsia="仿宋"/>
              </w:rPr>
            </w:pPr>
            <w:r>
              <w:rPr>
                <w:rFonts w:hint="eastAsia" w:ascii="仿宋" w:hAnsi="仿宋" w:eastAsia="仿宋"/>
              </w:rPr>
              <w:t>/</w:t>
            </w:r>
          </w:p>
        </w:tc>
        <w:tc>
          <w:tcPr>
            <w:tcW w:w="2047" w:type="dxa"/>
            <w:vMerge w:val="restart"/>
            <w:shd w:val="clear" w:color="auto" w:fill="auto"/>
            <w:vAlign w:val="center"/>
          </w:tcPr>
          <w:p>
            <w:pPr>
              <w:pStyle w:val="124"/>
              <w:spacing w:line="360" w:lineRule="exact"/>
              <w:rPr>
                <w:rFonts w:ascii="仿宋" w:hAnsi="仿宋" w:eastAsia="仿宋"/>
              </w:rPr>
            </w:pPr>
            <w:r>
              <w:rPr>
                <w:rFonts w:hint="eastAsia" w:ascii="仿宋" w:hAnsi="仿宋" w:eastAsia="仿宋"/>
              </w:rPr>
              <w:t>《大气污染物综合排放标准》（DB32/4041-2021）</w:t>
            </w:r>
          </w:p>
        </w:tc>
        <w:tc>
          <w:tcPr>
            <w:tcW w:w="930" w:type="dxa"/>
            <w:vMerge w:val="restart"/>
            <w:shd w:val="clear" w:color="auto" w:fill="auto"/>
            <w:vAlign w:val="center"/>
          </w:tcPr>
          <w:p>
            <w:pPr>
              <w:pStyle w:val="124"/>
              <w:spacing w:line="360" w:lineRule="exact"/>
              <w:rPr>
                <w:rFonts w:ascii="仿宋" w:hAnsi="仿宋" w:eastAsia="仿宋"/>
              </w:rPr>
            </w:pPr>
            <w:r>
              <w:rPr>
                <w:rFonts w:ascii="仿宋" w:hAnsi="仿宋" w:eastAsia="仿宋"/>
              </w:rPr>
              <w:t>4</w:t>
            </w:r>
          </w:p>
        </w:tc>
        <w:tc>
          <w:tcPr>
            <w:tcW w:w="1065" w:type="dxa"/>
            <w:shd w:val="clear" w:color="auto" w:fill="auto"/>
            <w:vAlign w:val="center"/>
          </w:tcPr>
          <w:p>
            <w:pPr>
              <w:pStyle w:val="124"/>
              <w:spacing w:line="360" w:lineRule="exact"/>
              <w:rPr>
                <w:rFonts w:ascii="仿宋" w:hAnsi="仿宋" w:eastAsia="仿宋"/>
              </w:rPr>
            </w:pPr>
            <w:r>
              <w:rPr>
                <w:rFonts w:ascii="仿宋" w:hAnsi="仿宋" w:eastAsia="仿宋"/>
              </w:rPr>
              <w:t>1.91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6" w:hRule="atLeast"/>
          <w:jc w:val="center"/>
        </w:trPr>
        <w:tc>
          <w:tcPr>
            <w:tcW w:w="935" w:type="dxa"/>
            <w:shd w:val="clear" w:color="auto" w:fill="auto"/>
            <w:vAlign w:val="center"/>
          </w:tcPr>
          <w:p>
            <w:pPr>
              <w:pStyle w:val="124"/>
              <w:spacing w:line="360" w:lineRule="exact"/>
              <w:rPr>
                <w:rFonts w:ascii="仿宋" w:hAnsi="仿宋" w:eastAsia="仿宋"/>
              </w:rPr>
            </w:pPr>
            <w:r>
              <w:rPr>
                <w:rFonts w:hint="eastAsia" w:ascii="仿宋" w:hAnsi="仿宋" w:eastAsia="仿宋"/>
              </w:rPr>
              <w:t>2</w:t>
            </w:r>
          </w:p>
        </w:tc>
        <w:tc>
          <w:tcPr>
            <w:tcW w:w="1045" w:type="dxa"/>
            <w:vMerge w:val="continue"/>
            <w:shd w:val="clear" w:color="auto" w:fill="auto"/>
            <w:vAlign w:val="center"/>
          </w:tcPr>
          <w:p>
            <w:pPr>
              <w:pStyle w:val="124"/>
              <w:spacing w:line="360" w:lineRule="exact"/>
              <w:rPr>
                <w:rFonts w:ascii="仿宋" w:hAnsi="仿宋" w:eastAsia="仿宋"/>
              </w:rPr>
            </w:pPr>
          </w:p>
        </w:tc>
        <w:tc>
          <w:tcPr>
            <w:tcW w:w="1602" w:type="dxa"/>
            <w:shd w:val="clear" w:color="auto" w:fill="auto"/>
            <w:vAlign w:val="center"/>
          </w:tcPr>
          <w:p>
            <w:pPr>
              <w:pStyle w:val="124"/>
              <w:spacing w:line="360" w:lineRule="exact"/>
              <w:rPr>
                <w:rFonts w:ascii="仿宋" w:hAnsi="仿宋" w:eastAsia="仿宋"/>
              </w:rPr>
            </w:pPr>
            <w:r>
              <w:rPr>
                <w:rFonts w:hint="eastAsia" w:ascii="仿宋" w:hAnsi="仿宋" w:eastAsia="仿宋"/>
              </w:rPr>
              <w:t>乙酸乙酯</w:t>
            </w:r>
          </w:p>
        </w:tc>
        <w:tc>
          <w:tcPr>
            <w:tcW w:w="1003" w:type="dxa"/>
            <w:shd w:val="clear" w:color="auto" w:fill="auto"/>
            <w:vAlign w:val="center"/>
          </w:tcPr>
          <w:p>
            <w:pPr>
              <w:pStyle w:val="124"/>
              <w:spacing w:line="360" w:lineRule="exact"/>
              <w:rPr>
                <w:rFonts w:ascii="仿宋" w:hAnsi="仿宋" w:eastAsia="仿宋"/>
              </w:rPr>
            </w:pPr>
            <w:r>
              <w:rPr>
                <w:rFonts w:hint="eastAsia" w:ascii="仿宋" w:hAnsi="仿宋" w:eastAsia="仿宋"/>
              </w:rPr>
              <w:t>/</w:t>
            </w:r>
          </w:p>
        </w:tc>
        <w:tc>
          <w:tcPr>
            <w:tcW w:w="2047" w:type="dxa"/>
            <w:vMerge w:val="continue"/>
            <w:shd w:val="clear" w:color="auto" w:fill="auto"/>
            <w:vAlign w:val="center"/>
          </w:tcPr>
          <w:p>
            <w:pPr>
              <w:pStyle w:val="124"/>
              <w:spacing w:line="360" w:lineRule="exact"/>
              <w:rPr>
                <w:rFonts w:ascii="仿宋" w:hAnsi="仿宋" w:eastAsia="仿宋"/>
              </w:rPr>
            </w:pPr>
          </w:p>
        </w:tc>
        <w:tc>
          <w:tcPr>
            <w:tcW w:w="930" w:type="dxa"/>
            <w:vMerge w:val="continue"/>
            <w:shd w:val="clear" w:color="auto" w:fill="auto"/>
            <w:vAlign w:val="center"/>
          </w:tcPr>
          <w:p>
            <w:pPr>
              <w:pStyle w:val="124"/>
              <w:spacing w:line="360" w:lineRule="exact"/>
              <w:rPr>
                <w:rFonts w:ascii="仿宋" w:hAnsi="仿宋" w:eastAsia="仿宋"/>
              </w:rPr>
            </w:pPr>
          </w:p>
        </w:tc>
        <w:tc>
          <w:tcPr>
            <w:tcW w:w="1065" w:type="dxa"/>
            <w:shd w:val="clear" w:color="auto" w:fill="auto"/>
            <w:vAlign w:val="center"/>
          </w:tcPr>
          <w:p>
            <w:pPr>
              <w:pStyle w:val="124"/>
              <w:spacing w:line="360" w:lineRule="exact"/>
              <w:rPr>
                <w:rFonts w:ascii="仿宋" w:hAnsi="仿宋" w:eastAsia="仿宋"/>
              </w:rPr>
            </w:pPr>
            <w:r>
              <w:rPr>
                <w:rFonts w:hint="eastAsia" w:ascii="仿宋" w:hAnsi="仿宋" w:eastAsia="仿宋"/>
              </w:rPr>
              <w:t>1</w:t>
            </w:r>
            <w:r>
              <w:rPr>
                <w:rFonts w:ascii="仿宋" w:hAnsi="仿宋" w:eastAsia="仿宋"/>
              </w:rPr>
              <w:t>.66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shd w:val="clear" w:color="auto" w:fill="auto"/>
            <w:vAlign w:val="center"/>
          </w:tcPr>
          <w:p>
            <w:pPr>
              <w:pStyle w:val="124"/>
              <w:spacing w:line="360" w:lineRule="exact"/>
              <w:rPr>
                <w:rFonts w:ascii="仿宋" w:hAnsi="仿宋" w:eastAsia="仿宋"/>
              </w:rPr>
            </w:pPr>
            <w:r>
              <w:rPr>
                <w:rFonts w:ascii="仿宋" w:hAnsi="仿宋" w:eastAsia="仿宋"/>
              </w:rPr>
              <w:t>3</w:t>
            </w:r>
          </w:p>
        </w:tc>
        <w:tc>
          <w:tcPr>
            <w:tcW w:w="1045" w:type="dxa"/>
            <w:vMerge w:val="continue"/>
            <w:shd w:val="clear" w:color="auto" w:fill="auto"/>
            <w:vAlign w:val="center"/>
          </w:tcPr>
          <w:p>
            <w:pPr>
              <w:pStyle w:val="124"/>
              <w:spacing w:line="360" w:lineRule="exact"/>
              <w:rPr>
                <w:rFonts w:ascii="仿宋" w:hAnsi="仿宋" w:eastAsia="仿宋"/>
              </w:rPr>
            </w:pPr>
          </w:p>
        </w:tc>
        <w:tc>
          <w:tcPr>
            <w:tcW w:w="1602" w:type="dxa"/>
            <w:shd w:val="clear" w:color="auto" w:fill="auto"/>
            <w:vAlign w:val="center"/>
          </w:tcPr>
          <w:p>
            <w:pPr>
              <w:pStyle w:val="124"/>
              <w:spacing w:line="360" w:lineRule="exact"/>
              <w:rPr>
                <w:rFonts w:ascii="仿宋" w:hAnsi="仿宋" w:eastAsia="仿宋"/>
              </w:rPr>
            </w:pPr>
            <w:r>
              <w:rPr>
                <w:rFonts w:hint="eastAsia" w:ascii="仿宋" w:hAnsi="仿宋" w:eastAsia="仿宋"/>
              </w:rPr>
              <w:t>二甲苯</w:t>
            </w:r>
          </w:p>
        </w:tc>
        <w:tc>
          <w:tcPr>
            <w:tcW w:w="1003" w:type="dxa"/>
            <w:shd w:val="clear" w:color="auto" w:fill="auto"/>
            <w:vAlign w:val="center"/>
          </w:tcPr>
          <w:p>
            <w:pPr>
              <w:pStyle w:val="124"/>
              <w:spacing w:line="360" w:lineRule="exact"/>
              <w:rPr>
                <w:rFonts w:ascii="仿宋" w:hAnsi="仿宋" w:eastAsia="仿宋"/>
              </w:rPr>
            </w:pPr>
            <w:r>
              <w:rPr>
                <w:rFonts w:hint="eastAsia" w:ascii="仿宋" w:hAnsi="仿宋" w:eastAsia="仿宋"/>
              </w:rPr>
              <w:t>/</w:t>
            </w:r>
          </w:p>
        </w:tc>
        <w:tc>
          <w:tcPr>
            <w:tcW w:w="2047" w:type="dxa"/>
            <w:vMerge w:val="continue"/>
            <w:shd w:val="clear" w:color="auto" w:fill="auto"/>
            <w:vAlign w:val="center"/>
          </w:tcPr>
          <w:p>
            <w:pPr>
              <w:pStyle w:val="124"/>
              <w:spacing w:line="360" w:lineRule="exact"/>
              <w:rPr>
                <w:rFonts w:ascii="仿宋" w:hAnsi="仿宋" w:eastAsia="仿宋"/>
              </w:rPr>
            </w:pPr>
          </w:p>
        </w:tc>
        <w:tc>
          <w:tcPr>
            <w:tcW w:w="930" w:type="dxa"/>
            <w:shd w:val="clear" w:color="auto" w:fill="auto"/>
            <w:vAlign w:val="center"/>
          </w:tcPr>
          <w:p>
            <w:pPr>
              <w:pStyle w:val="124"/>
              <w:spacing w:line="360" w:lineRule="exact"/>
              <w:rPr>
                <w:rFonts w:ascii="仿宋" w:hAnsi="仿宋" w:eastAsia="仿宋"/>
              </w:rPr>
            </w:pPr>
            <w:r>
              <w:rPr>
                <w:rFonts w:hint="eastAsia" w:ascii="仿宋" w:hAnsi="仿宋" w:eastAsia="仿宋"/>
              </w:rPr>
              <w:t>0.2</w:t>
            </w:r>
          </w:p>
        </w:tc>
        <w:tc>
          <w:tcPr>
            <w:tcW w:w="1065" w:type="dxa"/>
            <w:shd w:val="clear" w:color="auto" w:fill="auto"/>
            <w:vAlign w:val="center"/>
          </w:tcPr>
          <w:p>
            <w:pPr>
              <w:pStyle w:val="124"/>
              <w:spacing w:line="360" w:lineRule="exact"/>
              <w:rPr>
                <w:rFonts w:ascii="仿宋" w:hAnsi="仿宋" w:eastAsia="仿宋"/>
              </w:rPr>
            </w:pPr>
            <w:r>
              <w:rPr>
                <w:rFonts w:hint="eastAsia" w:ascii="仿宋" w:hAnsi="仿宋" w:eastAsia="仿宋"/>
              </w:rPr>
              <w:t>0</w:t>
            </w:r>
            <w:r>
              <w:rPr>
                <w:rFonts w:ascii="仿宋" w:hAnsi="仿宋" w:eastAsia="仿宋"/>
              </w:rPr>
              <w:t>.19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27" w:type="dxa"/>
            <w:gridSpan w:val="7"/>
            <w:shd w:val="clear" w:color="auto" w:fill="auto"/>
            <w:vAlign w:val="center"/>
          </w:tcPr>
          <w:p>
            <w:pPr>
              <w:pStyle w:val="124"/>
              <w:spacing w:line="360" w:lineRule="exact"/>
              <w:rPr>
                <w:rFonts w:ascii="仿宋" w:hAnsi="仿宋" w:eastAsia="仿宋"/>
              </w:rPr>
            </w:pPr>
            <w:r>
              <w:rPr>
                <w:rFonts w:hint="eastAsia" w:ascii="仿宋" w:hAnsi="仿宋" w:eastAsia="仿宋"/>
              </w:rPr>
              <w:t>无组织排放总计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582" w:type="dxa"/>
            <w:gridSpan w:val="3"/>
            <w:vMerge w:val="restart"/>
            <w:shd w:val="clear" w:color="auto" w:fill="auto"/>
            <w:vAlign w:val="center"/>
          </w:tcPr>
          <w:p>
            <w:pPr>
              <w:pStyle w:val="124"/>
              <w:spacing w:line="360" w:lineRule="exact"/>
              <w:rPr>
                <w:rFonts w:ascii="仿宋" w:hAnsi="仿宋" w:eastAsia="仿宋"/>
              </w:rPr>
            </w:pPr>
            <w:r>
              <w:rPr>
                <w:rFonts w:hint="eastAsia" w:ascii="仿宋" w:hAnsi="仿宋" w:eastAsia="仿宋"/>
              </w:rPr>
              <w:t>无组织排放总计</w:t>
            </w:r>
          </w:p>
        </w:tc>
        <w:tc>
          <w:tcPr>
            <w:tcW w:w="3980" w:type="dxa"/>
            <w:gridSpan w:val="3"/>
            <w:shd w:val="clear" w:color="auto" w:fill="auto"/>
            <w:vAlign w:val="center"/>
          </w:tcPr>
          <w:p>
            <w:pPr>
              <w:pStyle w:val="124"/>
              <w:spacing w:line="360" w:lineRule="exact"/>
              <w:rPr>
                <w:rFonts w:ascii="仿宋" w:hAnsi="仿宋" w:eastAsia="仿宋"/>
              </w:rPr>
            </w:pPr>
            <w:r>
              <w:rPr>
                <w:rFonts w:ascii="仿宋" w:hAnsi="仿宋" w:eastAsia="仿宋"/>
              </w:rPr>
              <w:t>非甲烷总烃</w:t>
            </w:r>
          </w:p>
        </w:tc>
        <w:tc>
          <w:tcPr>
            <w:tcW w:w="1065" w:type="dxa"/>
            <w:shd w:val="clear" w:color="auto" w:fill="auto"/>
            <w:vAlign w:val="center"/>
          </w:tcPr>
          <w:p>
            <w:pPr>
              <w:pStyle w:val="124"/>
              <w:spacing w:line="360" w:lineRule="exact"/>
              <w:rPr>
                <w:rFonts w:ascii="仿宋" w:hAnsi="仿宋" w:eastAsia="仿宋"/>
              </w:rPr>
            </w:pPr>
            <w:r>
              <w:rPr>
                <w:rFonts w:ascii="仿宋" w:hAnsi="仿宋" w:eastAsia="仿宋"/>
              </w:rPr>
              <w:t>1.91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582" w:type="dxa"/>
            <w:gridSpan w:val="3"/>
            <w:vMerge w:val="continue"/>
            <w:shd w:val="clear" w:color="auto" w:fill="auto"/>
            <w:vAlign w:val="center"/>
          </w:tcPr>
          <w:p>
            <w:pPr>
              <w:pStyle w:val="124"/>
              <w:spacing w:line="360" w:lineRule="exact"/>
              <w:rPr>
                <w:rFonts w:ascii="仿宋" w:hAnsi="仿宋" w:eastAsia="仿宋"/>
              </w:rPr>
            </w:pPr>
          </w:p>
        </w:tc>
        <w:tc>
          <w:tcPr>
            <w:tcW w:w="3980" w:type="dxa"/>
            <w:gridSpan w:val="3"/>
            <w:shd w:val="clear" w:color="auto" w:fill="auto"/>
            <w:vAlign w:val="center"/>
          </w:tcPr>
          <w:p>
            <w:pPr>
              <w:pStyle w:val="124"/>
              <w:spacing w:line="360" w:lineRule="exact"/>
              <w:rPr>
                <w:rFonts w:ascii="仿宋" w:hAnsi="仿宋" w:eastAsia="仿宋"/>
              </w:rPr>
            </w:pPr>
            <w:r>
              <w:rPr>
                <w:rFonts w:hint="eastAsia" w:ascii="仿宋" w:hAnsi="仿宋" w:eastAsia="仿宋"/>
              </w:rPr>
              <w:t>乙酸乙酯</w:t>
            </w:r>
          </w:p>
        </w:tc>
        <w:tc>
          <w:tcPr>
            <w:tcW w:w="1065" w:type="dxa"/>
            <w:shd w:val="clear" w:color="auto" w:fill="auto"/>
            <w:vAlign w:val="center"/>
          </w:tcPr>
          <w:p>
            <w:pPr>
              <w:pStyle w:val="124"/>
              <w:spacing w:line="360" w:lineRule="exact"/>
              <w:rPr>
                <w:rFonts w:ascii="仿宋" w:hAnsi="仿宋" w:eastAsia="仿宋"/>
              </w:rPr>
            </w:pPr>
            <w:r>
              <w:rPr>
                <w:rFonts w:hint="eastAsia" w:ascii="仿宋" w:hAnsi="仿宋" w:eastAsia="仿宋"/>
              </w:rPr>
              <w:t>1</w:t>
            </w:r>
            <w:r>
              <w:rPr>
                <w:rFonts w:ascii="仿宋" w:hAnsi="仿宋" w:eastAsia="仿宋"/>
              </w:rPr>
              <w:t>.66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582" w:type="dxa"/>
            <w:gridSpan w:val="3"/>
            <w:vMerge w:val="continue"/>
            <w:shd w:val="clear" w:color="auto" w:fill="auto"/>
            <w:vAlign w:val="center"/>
          </w:tcPr>
          <w:p>
            <w:pPr>
              <w:pStyle w:val="124"/>
              <w:spacing w:line="360" w:lineRule="exact"/>
              <w:rPr>
                <w:rFonts w:ascii="仿宋" w:hAnsi="仿宋" w:eastAsia="仿宋"/>
              </w:rPr>
            </w:pPr>
          </w:p>
          <w:p>
            <w:pPr>
              <w:pStyle w:val="124"/>
              <w:spacing w:line="360" w:lineRule="exact"/>
              <w:rPr>
                <w:rFonts w:ascii="仿宋" w:hAnsi="仿宋" w:eastAsia="仿宋"/>
              </w:rPr>
            </w:pPr>
          </w:p>
        </w:tc>
        <w:tc>
          <w:tcPr>
            <w:tcW w:w="3980" w:type="dxa"/>
            <w:gridSpan w:val="3"/>
            <w:shd w:val="clear" w:color="auto" w:fill="auto"/>
            <w:vAlign w:val="center"/>
          </w:tcPr>
          <w:p>
            <w:pPr>
              <w:pStyle w:val="124"/>
              <w:spacing w:line="360" w:lineRule="exact"/>
              <w:rPr>
                <w:rFonts w:ascii="仿宋" w:hAnsi="仿宋" w:eastAsia="仿宋"/>
              </w:rPr>
            </w:pPr>
            <w:r>
              <w:rPr>
                <w:rFonts w:hint="eastAsia" w:ascii="仿宋" w:hAnsi="仿宋" w:eastAsia="仿宋"/>
              </w:rPr>
              <w:t>二甲苯</w:t>
            </w:r>
          </w:p>
        </w:tc>
        <w:tc>
          <w:tcPr>
            <w:tcW w:w="1065" w:type="dxa"/>
            <w:shd w:val="clear" w:color="auto" w:fill="auto"/>
            <w:vAlign w:val="center"/>
          </w:tcPr>
          <w:p>
            <w:pPr>
              <w:pStyle w:val="124"/>
              <w:spacing w:line="360" w:lineRule="exact"/>
              <w:rPr>
                <w:rFonts w:ascii="仿宋" w:hAnsi="仿宋" w:eastAsia="仿宋"/>
              </w:rPr>
            </w:pPr>
            <w:r>
              <w:rPr>
                <w:rFonts w:hint="eastAsia" w:ascii="仿宋" w:hAnsi="仿宋" w:eastAsia="仿宋"/>
              </w:rPr>
              <w:t>0</w:t>
            </w:r>
            <w:r>
              <w:rPr>
                <w:rFonts w:ascii="仿宋" w:hAnsi="仿宋" w:eastAsia="仿宋"/>
              </w:rPr>
              <w:t>.19</w:t>
            </w:r>
          </w:p>
        </w:tc>
      </w:tr>
    </w:tbl>
    <w:p>
      <w:pPr>
        <w:spacing w:line="500" w:lineRule="exact"/>
        <w:ind w:firstLine="560" w:firstLineChars="200"/>
        <w:rPr>
          <w:rFonts w:eastAsia="仿宋_GB2312"/>
          <w:sz w:val="28"/>
          <w:szCs w:val="28"/>
        </w:rPr>
      </w:pPr>
      <w:r>
        <w:rPr>
          <w:rFonts w:hint="eastAsia" w:eastAsia="仿宋_GB2312"/>
          <w:sz w:val="28"/>
          <w:szCs w:val="28"/>
        </w:rPr>
        <w:t>（3）项目大气污染物年排放量核算</w:t>
      </w:r>
    </w:p>
    <w:p>
      <w:pPr>
        <w:spacing w:before="60" w:line="500" w:lineRule="exact"/>
        <w:ind w:firstLine="482" w:firstLineChars="200"/>
        <w:jc w:val="center"/>
        <w:rPr>
          <w:rFonts w:eastAsia="仿宋_GB2312"/>
          <w:b/>
          <w:kern w:val="0"/>
          <w:sz w:val="24"/>
          <w:szCs w:val="20"/>
        </w:rPr>
      </w:pPr>
      <w:r>
        <w:rPr>
          <w:rFonts w:eastAsia="仿宋_GB2312"/>
          <w:b/>
          <w:kern w:val="0"/>
          <w:sz w:val="24"/>
          <w:szCs w:val="20"/>
        </w:rPr>
        <w:t xml:space="preserve">表5.2-11  </w:t>
      </w:r>
      <w:r>
        <w:rPr>
          <w:rFonts w:hint="eastAsia" w:eastAsia="仿宋_GB2312"/>
          <w:b/>
          <w:kern w:val="0"/>
          <w:sz w:val="24"/>
          <w:szCs w:val="20"/>
        </w:rPr>
        <w:t>大气污染物年排放量核算表</w:t>
      </w:r>
    </w:p>
    <w:tbl>
      <w:tblPr>
        <w:tblStyle w:val="87"/>
        <w:tblW w:w="853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01"/>
        <w:gridCol w:w="3217"/>
        <w:gridCol w:w="32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01" w:type="dxa"/>
            <w:shd w:val="clear" w:color="auto" w:fill="auto"/>
            <w:vAlign w:val="center"/>
          </w:tcPr>
          <w:p>
            <w:pPr>
              <w:pStyle w:val="124"/>
              <w:spacing w:line="360" w:lineRule="exact"/>
              <w:rPr>
                <w:rFonts w:ascii="仿宋" w:hAnsi="仿宋" w:eastAsia="仿宋"/>
              </w:rPr>
            </w:pPr>
            <w:r>
              <w:rPr>
                <w:rFonts w:hint="eastAsia" w:ascii="仿宋" w:hAnsi="仿宋" w:eastAsia="仿宋"/>
              </w:rPr>
              <w:t>序号</w:t>
            </w:r>
          </w:p>
        </w:tc>
        <w:tc>
          <w:tcPr>
            <w:tcW w:w="3217" w:type="dxa"/>
            <w:shd w:val="clear" w:color="auto" w:fill="auto"/>
            <w:vAlign w:val="center"/>
          </w:tcPr>
          <w:p>
            <w:pPr>
              <w:pStyle w:val="124"/>
              <w:spacing w:line="360" w:lineRule="exact"/>
              <w:rPr>
                <w:rFonts w:ascii="仿宋" w:hAnsi="仿宋" w:eastAsia="仿宋"/>
              </w:rPr>
            </w:pPr>
            <w:r>
              <w:rPr>
                <w:rFonts w:hint="eastAsia" w:ascii="仿宋" w:hAnsi="仿宋" w:eastAsia="仿宋"/>
              </w:rPr>
              <w:t>污染物</w:t>
            </w:r>
          </w:p>
        </w:tc>
        <w:tc>
          <w:tcPr>
            <w:tcW w:w="3217" w:type="dxa"/>
            <w:shd w:val="clear" w:color="auto" w:fill="auto"/>
            <w:vAlign w:val="center"/>
          </w:tcPr>
          <w:p>
            <w:pPr>
              <w:pStyle w:val="124"/>
              <w:spacing w:line="360" w:lineRule="exact"/>
              <w:rPr>
                <w:rFonts w:ascii="仿宋" w:hAnsi="仿宋" w:eastAsia="仿宋"/>
              </w:rPr>
            </w:pPr>
            <w:r>
              <w:rPr>
                <w:rFonts w:hint="eastAsia" w:ascii="仿宋" w:hAnsi="仿宋" w:eastAsia="仿宋"/>
              </w:rPr>
              <w:t>年排放量（t/a）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01" w:type="dxa"/>
            <w:shd w:val="clear" w:color="auto" w:fill="auto"/>
            <w:vAlign w:val="center"/>
          </w:tcPr>
          <w:p>
            <w:pPr>
              <w:pStyle w:val="124"/>
              <w:spacing w:line="360" w:lineRule="exact"/>
              <w:rPr>
                <w:rFonts w:ascii="仿宋" w:hAnsi="仿宋" w:eastAsia="仿宋"/>
              </w:rPr>
            </w:pPr>
            <w:r>
              <w:rPr>
                <w:rFonts w:hint="eastAsia" w:ascii="仿宋" w:hAnsi="仿宋" w:eastAsia="仿宋"/>
              </w:rPr>
              <w:t>1</w:t>
            </w:r>
          </w:p>
        </w:tc>
        <w:tc>
          <w:tcPr>
            <w:tcW w:w="3217" w:type="dxa"/>
            <w:shd w:val="clear" w:color="auto" w:fill="auto"/>
            <w:vAlign w:val="center"/>
          </w:tcPr>
          <w:p>
            <w:pPr>
              <w:pStyle w:val="124"/>
              <w:spacing w:line="360" w:lineRule="exact"/>
              <w:rPr>
                <w:rFonts w:ascii="仿宋" w:hAnsi="仿宋" w:eastAsia="仿宋"/>
              </w:rPr>
            </w:pPr>
            <w:r>
              <w:rPr>
                <w:rFonts w:ascii="仿宋" w:hAnsi="仿宋" w:eastAsia="仿宋"/>
              </w:rPr>
              <w:t>非甲烷总烃</w:t>
            </w:r>
          </w:p>
        </w:tc>
        <w:tc>
          <w:tcPr>
            <w:tcW w:w="3217" w:type="dxa"/>
            <w:shd w:val="clear" w:color="auto" w:fill="auto"/>
            <w:vAlign w:val="center"/>
          </w:tcPr>
          <w:p>
            <w:pPr>
              <w:pStyle w:val="124"/>
              <w:spacing w:line="360" w:lineRule="exact"/>
              <w:rPr>
                <w:rFonts w:ascii="仿宋" w:hAnsi="仿宋" w:eastAsia="仿宋"/>
              </w:rPr>
            </w:pPr>
            <w:r>
              <w:rPr>
                <w:rFonts w:hint="eastAsia" w:ascii="仿宋" w:hAnsi="仿宋" w:eastAsia="仿宋"/>
              </w:rPr>
              <w:t>3</w:t>
            </w:r>
            <w:r>
              <w:rPr>
                <w:rFonts w:ascii="仿宋" w:hAnsi="仿宋" w:eastAsia="仿宋"/>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01" w:type="dxa"/>
            <w:shd w:val="clear" w:color="auto" w:fill="auto"/>
            <w:vAlign w:val="center"/>
          </w:tcPr>
          <w:p>
            <w:pPr>
              <w:pStyle w:val="124"/>
              <w:spacing w:line="360" w:lineRule="exact"/>
              <w:rPr>
                <w:rFonts w:ascii="仿宋" w:hAnsi="仿宋" w:eastAsia="仿宋"/>
              </w:rPr>
            </w:pPr>
            <w:r>
              <w:rPr>
                <w:rFonts w:hint="eastAsia" w:ascii="仿宋" w:hAnsi="仿宋" w:eastAsia="仿宋"/>
              </w:rPr>
              <w:t>2</w:t>
            </w:r>
          </w:p>
        </w:tc>
        <w:tc>
          <w:tcPr>
            <w:tcW w:w="3217" w:type="dxa"/>
            <w:shd w:val="clear" w:color="auto" w:fill="auto"/>
            <w:vAlign w:val="center"/>
          </w:tcPr>
          <w:p>
            <w:pPr>
              <w:pStyle w:val="124"/>
              <w:spacing w:line="360" w:lineRule="exact"/>
              <w:rPr>
                <w:rFonts w:ascii="仿宋" w:hAnsi="仿宋" w:eastAsia="仿宋"/>
              </w:rPr>
            </w:pPr>
            <w:r>
              <w:rPr>
                <w:rFonts w:hint="eastAsia" w:ascii="仿宋" w:hAnsi="仿宋" w:eastAsia="仿宋"/>
              </w:rPr>
              <w:t>乙酸乙酯</w:t>
            </w:r>
          </w:p>
        </w:tc>
        <w:tc>
          <w:tcPr>
            <w:tcW w:w="3217" w:type="dxa"/>
            <w:shd w:val="clear" w:color="auto" w:fill="auto"/>
            <w:vAlign w:val="center"/>
          </w:tcPr>
          <w:p>
            <w:pPr>
              <w:pStyle w:val="124"/>
              <w:spacing w:line="360" w:lineRule="exact"/>
              <w:rPr>
                <w:rFonts w:ascii="仿宋" w:hAnsi="仿宋" w:eastAsia="仿宋"/>
              </w:rPr>
            </w:pPr>
            <w:r>
              <w:rPr>
                <w:rFonts w:hint="eastAsia" w:ascii="仿宋" w:hAnsi="仿宋" w:eastAsia="仿宋"/>
              </w:rPr>
              <w:t>3</w:t>
            </w:r>
            <w:r>
              <w:rPr>
                <w:rFonts w:ascii="仿宋" w:hAnsi="仿宋" w:eastAsia="仿宋"/>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01" w:type="dxa"/>
            <w:shd w:val="clear" w:color="auto" w:fill="auto"/>
            <w:vAlign w:val="center"/>
          </w:tcPr>
          <w:p>
            <w:pPr>
              <w:pStyle w:val="124"/>
              <w:spacing w:line="360" w:lineRule="exact"/>
              <w:rPr>
                <w:rFonts w:ascii="仿宋" w:hAnsi="仿宋" w:eastAsia="仿宋"/>
              </w:rPr>
            </w:pPr>
            <w:r>
              <w:rPr>
                <w:rFonts w:ascii="仿宋" w:hAnsi="仿宋" w:eastAsia="仿宋"/>
              </w:rPr>
              <w:t>3</w:t>
            </w:r>
          </w:p>
        </w:tc>
        <w:tc>
          <w:tcPr>
            <w:tcW w:w="3217" w:type="dxa"/>
            <w:shd w:val="clear" w:color="auto" w:fill="auto"/>
            <w:vAlign w:val="center"/>
          </w:tcPr>
          <w:p>
            <w:pPr>
              <w:pStyle w:val="124"/>
              <w:spacing w:line="360" w:lineRule="exact"/>
              <w:rPr>
                <w:rFonts w:ascii="仿宋" w:hAnsi="仿宋" w:eastAsia="仿宋"/>
              </w:rPr>
            </w:pPr>
            <w:r>
              <w:rPr>
                <w:rFonts w:hint="eastAsia" w:ascii="仿宋" w:hAnsi="仿宋" w:eastAsia="仿宋"/>
              </w:rPr>
              <w:t>二甲苯</w:t>
            </w:r>
          </w:p>
        </w:tc>
        <w:tc>
          <w:tcPr>
            <w:tcW w:w="3217" w:type="dxa"/>
            <w:shd w:val="clear" w:color="auto" w:fill="auto"/>
            <w:vAlign w:val="center"/>
          </w:tcPr>
          <w:p>
            <w:pPr>
              <w:pStyle w:val="124"/>
              <w:spacing w:line="360" w:lineRule="exact"/>
              <w:rPr>
                <w:rFonts w:ascii="仿宋" w:hAnsi="仿宋" w:eastAsia="仿宋"/>
              </w:rPr>
            </w:pPr>
            <w:r>
              <w:rPr>
                <w:rFonts w:hint="eastAsia" w:ascii="仿宋" w:hAnsi="仿宋" w:eastAsia="仿宋"/>
              </w:rPr>
              <w:t>0</w:t>
            </w:r>
            <w:r>
              <w:rPr>
                <w:rFonts w:ascii="仿宋" w:hAnsi="仿宋" w:eastAsia="仿宋"/>
              </w:rPr>
              <w:t>.37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01" w:type="dxa"/>
            <w:shd w:val="clear" w:color="auto" w:fill="auto"/>
            <w:vAlign w:val="center"/>
          </w:tcPr>
          <w:p>
            <w:pPr>
              <w:pStyle w:val="124"/>
              <w:spacing w:line="360" w:lineRule="exact"/>
              <w:rPr>
                <w:rFonts w:ascii="仿宋" w:hAnsi="仿宋" w:eastAsia="仿宋"/>
              </w:rPr>
            </w:pPr>
            <w:r>
              <w:rPr>
                <w:rFonts w:ascii="仿宋" w:hAnsi="仿宋" w:eastAsia="仿宋"/>
              </w:rPr>
              <w:t>4</w:t>
            </w:r>
          </w:p>
        </w:tc>
        <w:tc>
          <w:tcPr>
            <w:tcW w:w="3217" w:type="dxa"/>
            <w:shd w:val="clear" w:color="auto" w:fill="auto"/>
            <w:vAlign w:val="center"/>
          </w:tcPr>
          <w:p>
            <w:pPr>
              <w:pStyle w:val="124"/>
              <w:spacing w:line="360" w:lineRule="exact"/>
              <w:rPr>
                <w:rFonts w:ascii="仿宋" w:hAnsi="仿宋" w:eastAsia="仿宋"/>
              </w:rPr>
            </w:pPr>
            <w:r>
              <w:rPr>
                <w:rFonts w:hint="eastAsia" w:ascii="仿宋" w:hAnsi="仿宋" w:eastAsia="仿宋"/>
              </w:rPr>
              <w:t>颗粒物</w:t>
            </w:r>
          </w:p>
        </w:tc>
        <w:tc>
          <w:tcPr>
            <w:tcW w:w="3217"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01" w:type="dxa"/>
            <w:shd w:val="clear" w:color="auto" w:fill="auto"/>
            <w:vAlign w:val="center"/>
          </w:tcPr>
          <w:p>
            <w:pPr>
              <w:pStyle w:val="124"/>
              <w:spacing w:line="360" w:lineRule="exact"/>
              <w:rPr>
                <w:rFonts w:ascii="仿宋" w:hAnsi="仿宋" w:eastAsia="仿宋"/>
              </w:rPr>
            </w:pPr>
            <w:r>
              <w:rPr>
                <w:rFonts w:ascii="仿宋" w:hAnsi="仿宋" w:eastAsia="仿宋"/>
              </w:rPr>
              <w:t>5</w:t>
            </w:r>
          </w:p>
        </w:tc>
        <w:tc>
          <w:tcPr>
            <w:tcW w:w="3217" w:type="dxa"/>
            <w:shd w:val="clear" w:color="auto" w:fill="auto"/>
            <w:vAlign w:val="center"/>
          </w:tcPr>
          <w:p>
            <w:pPr>
              <w:pStyle w:val="124"/>
              <w:spacing w:line="360" w:lineRule="exact"/>
              <w:rPr>
                <w:rFonts w:ascii="仿宋" w:hAnsi="仿宋" w:eastAsia="仿宋"/>
              </w:rPr>
            </w:pPr>
            <w:r>
              <w:rPr>
                <w:rFonts w:hint="eastAsia" w:ascii="仿宋" w:hAnsi="仿宋" w:eastAsia="仿宋"/>
              </w:rPr>
              <w:t>SO</w:t>
            </w:r>
            <w:r>
              <w:rPr>
                <w:rFonts w:hint="eastAsia" w:ascii="仿宋" w:hAnsi="仿宋" w:eastAsia="仿宋"/>
                <w:vertAlign w:val="subscript"/>
              </w:rPr>
              <w:t>2</w:t>
            </w:r>
          </w:p>
        </w:tc>
        <w:tc>
          <w:tcPr>
            <w:tcW w:w="3217"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01" w:type="dxa"/>
            <w:shd w:val="clear" w:color="auto" w:fill="auto"/>
            <w:vAlign w:val="center"/>
          </w:tcPr>
          <w:p>
            <w:pPr>
              <w:pStyle w:val="124"/>
              <w:spacing w:line="360" w:lineRule="exact"/>
              <w:rPr>
                <w:rFonts w:ascii="仿宋" w:hAnsi="仿宋" w:eastAsia="仿宋"/>
              </w:rPr>
            </w:pPr>
            <w:r>
              <w:rPr>
                <w:rFonts w:ascii="仿宋" w:hAnsi="仿宋" w:eastAsia="仿宋"/>
              </w:rPr>
              <w:t>6</w:t>
            </w:r>
          </w:p>
        </w:tc>
        <w:tc>
          <w:tcPr>
            <w:tcW w:w="3217" w:type="dxa"/>
            <w:shd w:val="clear" w:color="auto" w:fill="auto"/>
            <w:vAlign w:val="center"/>
          </w:tcPr>
          <w:p>
            <w:pPr>
              <w:pStyle w:val="124"/>
              <w:spacing w:line="360" w:lineRule="exact"/>
              <w:rPr>
                <w:rFonts w:ascii="仿宋" w:hAnsi="仿宋" w:eastAsia="仿宋"/>
              </w:rPr>
            </w:pPr>
            <w:r>
              <w:rPr>
                <w:rFonts w:hint="eastAsia" w:ascii="仿宋" w:hAnsi="仿宋" w:eastAsia="仿宋"/>
              </w:rPr>
              <w:t>NOx</w:t>
            </w:r>
          </w:p>
        </w:tc>
        <w:tc>
          <w:tcPr>
            <w:tcW w:w="3217"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.38</w:t>
            </w:r>
          </w:p>
        </w:tc>
      </w:tr>
    </w:tbl>
    <w:p>
      <w:pPr>
        <w:spacing w:line="500" w:lineRule="exact"/>
        <w:ind w:firstLine="560" w:firstLineChars="200"/>
        <w:rPr>
          <w:rFonts w:eastAsia="仿宋_GB2312"/>
          <w:sz w:val="28"/>
          <w:szCs w:val="28"/>
        </w:rPr>
      </w:pPr>
      <w:r>
        <w:rPr>
          <w:rFonts w:hint="eastAsia" w:eastAsia="仿宋_GB2312"/>
          <w:sz w:val="28"/>
          <w:szCs w:val="28"/>
        </w:rPr>
        <w:t>（4）非正常排放量</w:t>
      </w:r>
      <w:r>
        <w:rPr>
          <w:rFonts w:eastAsia="仿宋_GB2312"/>
          <w:sz w:val="28"/>
          <w:szCs w:val="28"/>
        </w:rPr>
        <w:t>核算</w:t>
      </w:r>
    </w:p>
    <w:p>
      <w:pPr>
        <w:spacing w:before="60" w:line="500" w:lineRule="exact"/>
        <w:ind w:firstLine="482" w:firstLineChars="200"/>
        <w:jc w:val="center"/>
        <w:rPr>
          <w:rFonts w:eastAsia="仿宋_GB2312"/>
          <w:b/>
          <w:kern w:val="0"/>
          <w:sz w:val="24"/>
          <w:szCs w:val="20"/>
        </w:rPr>
      </w:pPr>
      <w:r>
        <w:rPr>
          <w:rFonts w:eastAsia="仿宋_GB2312"/>
          <w:b/>
          <w:kern w:val="0"/>
          <w:sz w:val="24"/>
          <w:szCs w:val="20"/>
        </w:rPr>
        <w:t xml:space="preserve">表5.2-12  </w:t>
      </w:r>
      <w:r>
        <w:rPr>
          <w:rFonts w:hint="eastAsia" w:eastAsia="仿宋_GB2312"/>
          <w:b/>
          <w:kern w:val="0"/>
          <w:sz w:val="24"/>
          <w:szCs w:val="20"/>
        </w:rPr>
        <w:t>非正常排放量</w:t>
      </w:r>
      <w:r>
        <w:rPr>
          <w:rFonts w:eastAsia="仿宋_GB2312"/>
          <w:b/>
          <w:kern w:val="0"/>
          <w:sz w:val="24"/>
          <w:szCs w:val="20"/>
        </w:rPr>
        <w:t>核算</w:t>
      </w:r>
    </w:p>
    <w:tbl>
      <w:tblPr>
        <w:tblStyle w:val="87"/>
        <w:tblW w:w="514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874"/>
        <w:gridCol w:w="836"/>
        <w:gridCol w:w="958"/>
        <w:gridCol w:w="1252"/>
        <w:gridCol w:w="1143"/>
        <w:gridCol w:w="836"/>
        <w:gridCol w:w="866"/>
        <w:gridCol w:w="1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836" w:type="dxa"/>
            <w:tcBorders>
              <w:tl2br w:val="nil"/>
              <w:tr2bl w:val="nil"/>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序号</w:t>
            </w:r>
          </w:p>
        </w:tc>
        <w:tc>
          <w:tcPr>
            <w:tcW w:w="874" w:type="dxa"/>
            <w:tcBorders>
              <w:tl2br w:val="nil"/>
              <w:tr2bl w:val="nil"/>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污染源</w:t>
            </w:r>
          </w:p>
        </w:tc>
        <w:tc>
          <w:tcPr>
            <w:tcW w:w="836" w:type="dxa"/>
            <w:tcBorders>
              <w:tl2br w:val="nil"/>
              <w:tr2bl w:val="nil"/>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非正常排放原因</w:t>
            </w:r>
          </w:p>
        </w:tc>
        <w:tc>
          <w:tcPr>
            <w:tcW w:w="958" w:type="dxa"/>
            <w:tcBorders>
              <w:tl2br w:val="nil"/>
              <w:tr2bl w:val="nil"/>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污染物</w:t>
            </w:r>
          </w:p>
        </w:tc>
        <w:tc>
          <w:tcPr>
            <w:tcW w:w="1252" w:type="dxa"/>
            <w:tcBorders>
              <w:tl2br w:val="nil"/>
              <w:tr2bl w:val="nil"/>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非正常排放浓度</w:t>
            </w:r>
            <w:r>
              <w:rPr>
                <w:rFonts w:ascii="仿宋" w:hAnsi="仿宋" w:eastAsia="仿宋" w:cs="宋体"/>
                <w:kern w:val="0"/>
                <w:szCs w:val="21"/>
              </w:rPr>
              <w:t>/</w:t>
            </w:r>
            <w:r>
              <w:rPr>
                <w:rFonts w:hint="eastAsia" w:ascii="仿宋" w:hAnsi="仿宋" w:eastAsia="仿宋" w:cs="宋体"/>
                <w:kern w:val="0"/>
                <w:szCs w:val="21"/>
              </w:rPr>
              <w:t>（m</w:t>
            </w:r>
            <w:r>
              <w:rPr>
                <w:rFonts w:ascii="仿宋" w:hAnsi="仿宋" w:eastAsia="仿宋" w:cs="宋体"/>
                <w:kern w:val="0"/>
                <w:szCs w:val="21"/>
              </w:rPr>
              <w:t>g/m</w:t>
            </w:r>
            <w:r>
              <w:rPr>
                <w:rFonts w:ascii="仿宋" w:hAnsi="仿宋" w:eastAsia="仿宋" w:cs="宋体"/>
                <w:kern w:val="0"/>
                <w:szCs w:val="21"/>
                <w:vertAlign w:val="superscript"/>
              </w:rPr>
              <w:t>3</w:t>
            </w:r>
            <w:r>
              <w:rPr>
                <w:rFonts w:hint="eastAsia" w:ascii="仿宋" w:hAnsi="仿宋" w:eastAsia="仿宋" w:cs="宋体"/>
                <w:kern w:val="0"/>
                <w:szCs w:val="21"/>
              </w:rPr>
              <w:t>）</w:t>
            </w:r>
          </w:p>
        </w:tc>
        <w:tc>
          <w:tcPr>
            <w:tcW w:w="1143" w:type="dxa"/>
            <w:tcBorders>
              <w:tl2br w:val="nil"/>
              <w:tr2bl w:val="nil"/>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非正常排放速率</w:t>
            </w:r>
            <w:r>
              <w:rPr>
                <w:rFonts w:ascii="仿宋" w:hAnsi="仿宋" w:eastAsia="仿宋" w:cs="宋体"/>
                <w:kern w:val="0"/>
                <w:szCs w:val="21"/>
              </w:rPr>
              <w:t>/</w:t>
            </w:r>
            <w:r>
              <w:rPr>
                <w:rFonts w:hint="eastAsia" w:ascii="仿宋" w:hAnsi="仿宋" w:eastAsia="仿宋" w:cs="宋体"/>
                <w:kern w:val="0"/>
                <w:szCs w:val="21"/>
              </w:rPr>
              <w:t>（</w:t>
            </w:r>
            <w:r>
              <w:rPr>
                <w:rFonts w:ascii="仿宋" w:hAnsi="仿宋" w:eastAsia="仿宋" w:cs="宋体"/>
                <w:kern w:val="0"/>
                <w:szCs w:val="21"/>
              </w:rPr>
              <w:t>kg/h</w:t>
            </w:r>
            <w:r>
              <w:rPr>
                <w:rFonts w:hint="eastAsia" w:ascii="仿宋" w:hAnsi="仿宋" w:eastAsia="仿宋" w:cs="宋体"/>
                <w:kern w:val="0"/>
                <w:szCs w:val="21"/>
              </w:rPr>
              <w:t>）</w:t>
            </w:r>
          </w:p>
        </w:tc>
        <w:tc>
          <w:tcPr>
            <w:tcW w:w="836" w:type="dxa"/>
            <w:tcBorders>
              <w:tl2br w:val="nil"/>
              <w:tr2bl w:val="nil"/>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单次持续时间</w:t>
            </w:r>
            <w:r>
              <w:rPr>
                <w:rFonts w:ascii="仿宋" w:hAnsi="仿宋" w:eastAsia="仿宋" w:cs="宋体"/>
                <w:kern w:val="0"/>
                <w:szCs w:val="21"/>
              </w:rPr>
              <w:t>/h</w:t>
            </w:r>
          </w:p>
        </w:tc>
        <w:tc>
          <w:tcPr>
            <w:tcW w:w="866" w:type="dxa"/>
            <w:tcBorders>
              <w:tl2br w:val="nil"/>
              <w:tr2bl w:val="nil"/>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年发生频次</w:t>
            </w:r>
            <w:r>
              <w:rPr>
                <w:rFonts w:ascii="仿宋" w:hAnsi="仿宋" w:eastAsia="仿宋" w:cs="宋体"/>
                <w:kern w:val="0"/>
                <w:szCs w:val="21"/>
              </w:rPr>
              <w:t>/</w:t>
            </w:r>
            <w:r>
              <w:rPr>
                <w:rFonts w:hint="eastAsia" w:ascii="仿宋" w:hAnsi="仿宋" w:eastAsia="仿宋" w:cs="宋体"/>
                <w:kern w:val="0"/>
                <w:szCs w:val="21"/>
              </w:rPr>
              <w:t>次</w:t>
            </w:r>
          </w:p>
        </w:tc>
        <w:tc>
          <w:tcPr>
            <w:tcW w:w="1165" w:type="dxa"/>
            <w:tcBorders>
              <w:tl2br w:val="nil"/>
              <w:tr2bl w:val="nil"/>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836" w:type="dxa"/>
            <w:tcBorders>
              <w:tl2br w:val="nil"/>
              <w:tr2bl w:val="nil"/>
            </w:tcBorders>
            <w:shd w:val="clear" w:color="auto" w:fill="auto"/>
            <w:vAlign w:val="center"/>
          </w:tcPr>
          <w:p>
            <w:pPr>
              <w:pStyle w:val="124"/>
              <w:spacing w:line="360" w:lineRule="exact"/>
              <w:rPr>
                <w:rFonts w:ascii="仿宋" w:hAnsi="仿宋" w:eastAsia="仿宋"/>
              </w:rPr>
            </w:pPr>
            <w:r>
              <w:rPr>
                <w:rFonts w:ascii="仿宋" w:hAnsi="仿宋" w:eastAsia="仿宋"/>
              </w:rPr>
              <w:t>1</w:t>
            </w:r>
          </w:p>
        </w:tc>
        <w:tc>
          <w:tcPr>
            <w:tcW w:w="874" w:type="dxa"/>
            <w:vMerge w:val="restart"/>
            <w:tcBorders>
              <w:tl2br w:val="nil"/>
              <w:tr2bl w:val="nil"/>
            </w:tcBorders>
            <w:shd w:val="clear" w:color="auto" w:fill="auto"/>
            <w:vAlign w:val="center"/>
          </w:tcPr>
          <w:p>
            <w:pPr>
              <w:pStyle w:val="124"/>
              <w:spacing w:line="360" w:lineRule="exact"/>
              <w:rPr>
                <w:rFonts w:ascii="仿宋" w:hAnsi="仿宋" w:eastAsia="仿宋"/>
              </w:rPr>
            </w:pPr>
            <w:r>
              <w:rPr>
                <w:rFonts w:ascii="仿宋" w:hAnsi="仿宋" w:eastAsia="仿宋"/>
              </w:rPr>
              <w:t>1#</w:t>
            </w:r>
            <w:r>
              <w:rPr>
                <w:rFonts w:hint="eastAsia" w:ascii="仿宋" w:hAnsi="仿宋" w:eastAsia="仿宋"/>
              </w:rPr>
              <w:t>排气筒</w:t>
            </w:r>
          </w:p>
        </w:tc>
        <w:tc>
          <w:tcPr>
            <w:tcW w:w="836" w:type="dxa"/>
            <w:vMerge w:val="restart"/>
            <w:tcBorders>
              <w:tl2br w:val="nil"/>
              <w:tr2bl w:val="nil"/>
            </w:tcBorders>
            <w:shd w:val="clear" w:color="auto" w:fill="auto"/>
            <w:vAlign w:val="center"/>
          </w:tcPr>
          <w:p>
            <w:pPr>
              <w:pStyle w:val="124"/>
              <w:spacing w:line="360" w:lineRule="exact"/>
              <w:rPr>
                <w:rFonts w:ascii="仿宋" w:hAnsi="仿宋" w:eastAsia="仿宋"/>
              </w:rPr>
            </w:pPr>
            <w:r>
              <w:rPr>
                <w:rFonts w:hint="eastAsia" w:ascii="仿宋" w:hAnsi="仿宋" w:eastAsia="仿宋"/>
              </w:rPr>
              <w:t>废气处理设备故障</w:t>
            </w:r>
          </w:p>
        </w:tc>
        <w:tc>
          <w:tcPr>
            <w:tcW w:w="958" w:type="dxa"/>
            <w:tcBorders>
              <w:tl2br w:val="nil"/>
              <w:tr2bl w:val="nil"/>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非甲烷总烃</w:t>
            </w:r>
          </w:p>
        </w:tc>
        <w:tc>
          <w:tcPr>
            <w:tcW w:w="1252" w:type="dxa"/>
            <w:tcBorders>
              <w:tl2br w:val="nil"/>
              <w:tr2bl w:val="nil"/>
            </w:tcBorders>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w:t>
            </w:r>
            <w:r>
              <w:rPr>
                <w:rFonts w:ascii="仿宋" w:hAnsi="仿宋" w:eastAsia="仿宋" w:cs="仿宋"/>
                <w:bCs/>
                <w:szCs w:val="21"/>
              </w:rPr>
              <w:t>370.2</w:t>
            </w:r>
          </w:p>
        </w:tc>
        <w:tc>
          <w:tcPr>
            <w:tcW w:w="1143" w:type="dxa"/>
            <w:tcBorders>
              <w:tl2br w:val="nil"/>
              <w:tr2bl w:val="nil"/>
            </w:tcBorders>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6</w:t>
            </w:r>
            <w:r>
              <w:rPr>
                <w:rFonts w:ascii="仿宋" w:hAnsi="仿宋" w:eastAsia="仿宋" w:cs="仿宋"/>
                <w:bCs/>
                <w:szCs w:val="21"/>
              </w:rPr>
              <w:t>8.51</w:t>
            </w:r>
          </w:p>
        </w:tc>
        <w:tc>
          <w:tcPr>
            <w:tcW w:w="836" w:type="dxa"/>
            <w:vMerge w:val="restart"/>
            <w:tcBorders>
              <w:tl2br w:val="nil"/>
              <w:tr2bl w:val="nil"/>
            </w:tcBorders>
            <w:shd w:val="clear" w:color="auto" w:fill="auto"/>
            <w:vAlign w:val="center"/>
          </w:tcPr>
          <w:p>
            <w:pPr>
              <w:pStyle w:val="124"/>
              <w:spacing w:line="360" w:lineRule="exact"/>
              <w:rPr>
                <w:rFonts w:ascii="仿宋" w:hAnsi="仿宋" w:eastAsia="仿宋"/>
              </w:rPr>
            </w:pPr>
            <w:r>
              <w:rPr>
                <w:rFonts w:ascii="仿宋" w:hAnsi="仿宋" w:eastAsia="仿宋"/>
              </w:rPr>
              <w:t>1</w:t>
            </w:r>
          </w:p>
        </w:tc>
        <w:tc>
          <w:tcPr>
            <w:tcW w:w="866" w:type="dxa"/>
            <w:vMerge w:val="restart"/>
            <w:tcBorders>
              <w:tl2br w:val="nil"/>
              <w:tr2bl w:val="nil"/>
            </w:tcBorders>
            <w:shd w:val="clear" w:color="auto" w:fill="auto"/>
            <w:vAlign w:val="center"/>
          </w:tcPr>
          <w:p>
            <w:pPr>
              <w:pStyle w:val="124"/>
              <w:spacing w:line="360" w:lineRule="exact"/>
              <w:rPr>
                <w:rFonts w:ascii="仿宋" w:hAnsi="仿宋" w:eastAsia="仿宋"/>
              </w:rPr>
            </w:pPr>
            <w:r>
              <w:rPr>
                <w:rFonts w:ascii="仿宋" w:hAnsi="仿宋" w:eastAsia="仿宋"/>
              </w:rPr>
              <w:t>0.5</w:t>
            </w:r>
          </w:p>
        </w:tc>
        <w:tc>
          <w:tcPr>
            <w:tcW w:w="1165" w:type="dxa"/>
            <w:vMerge w:val="restart"/>
            <w:tcBorders>
              <w:tl2br w:val="nil"/>
              <w:tr2bl w:val="nil"/>
            </w:tcBorders>
            <w:shd w:val="clear" w:color="auto" w:fill="auto"/>
            <w:vAlign w:val="center"/>
          </w:tcPr>
          <w:p>
            <w:pPr>
              <w:pStyle w:val="124"/>
              <w:spacing w:line="360" w:lineRule="exact"/>
              <w:rPr>
                <w:rFonts w:ascii="仿宋" w:hAnsi="仿宋" w:eastAsia="仿宋"/>
              </w:rPr>
            </w:pPr>
            <w:r>
              <w:rPr>
                <w:rFonts w:hint="eastAsia" w:ascii="仿宋" w:hAnsi="仿宋" w:eastAsia="仿宋"/>
              </w:rPr>
              <w:t>暂停运行，维护废气处理设备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836" w:type="dxa"/>
            <w:tcBorders>
              <w:tl2br w:val="nil"/>
              <w:tr2bl w:val="nil"/>
            </w:tcBorders>
            <w:shd w:val="clear" w:color="auto" w:fill="auto"/>
            <w:vAlign w:val="center"/>
          </w:tcPr>
          <w:p>
            <w:pPr>
              <w:pStyle w:val="124"/>
              <w:spacing w:line="360" w:lineRule="exact"/>
              <w:rPr>
                <w:rFonts w:ascii="仿宋" w:hAnsi="仿宋" w:eastAsia="仿宋"/>
              </w:rPr>
            </w:pPr>
            <w:r>
              <w:rPr>
                <w:rFonts w:hint="eastAsia" w:ascii="仿宋" w:hAnsi="仿宋" w:eastAsia="仿宋"/>
              </w:rPr>
              <w:t>2</w:t>
            </w:r>
          </w:p>
        </w:tc>
        <w:tc>
          <w:tcPr>
            <w:tcW w:w="874" w:type="dxa"/>
            <w:vMerge w:val="continue"/>
            <w:tcBorders>
              <w:tl2br w:val="nil"/>
              <w:tr2bl w:val="nil"/>
            </w:tcBorders>
            <w:shd w:val="clear" w:color="auto" w:fill="auto"/>
            <w:vAlign w:val="center"/>
          </w:tcPr>
          <w:p>
            <w:pPr>
              <w:pStyle w:val="124"/>
              <w:spacing w:line="360" w:lineRule="exact"/>
              <w:rPr>
                <w:rFonts w:ascii="仿宋" w:hAnsi="仿宋" w:eastAsia="仿宋"/>
              </w:rPr>
            </w:pPr>
          </w:p>
        </w:tc>
        <w:tc>
          <w:tcPr>
            <w:tcW w:w="836" w:type="dxa"/>
            <w:vMerge w:val="continue"/>
            <w:tcBorders>
              <w:tl2br w:val="nil"/>
              <w:tr2bl w:val="nil"/>
            </w:tcBorders>
            <w:shd w:val="clear" w:color="auto" w:fill="auto"/>
            <w:vAlign w:val="center"/>
          </w:tcPr>
          <w:p>
            <w:pPr>
              <w:pStyle w:val="124"/>
              <w:spacing w:line="360" w:lineRule="exact"/>
              <w:rPr>
                <w:rFonts w:ascii="仿宋" w:hAnsi="仿宋" w:eastAsia="仿宋"/>
              </w:rPr>
            </w:pPr>
          </w:p>
        </w:tc>
        <w:tc>
          <w:tcPr>
            <w:tcW w:w="958" w:type="dxa"/>
            <w:tcBorders>
              <w:tl2br w:val="nil"/>
              <w:tr2bl w:val="nil"/>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乙酸乙酯</w:t>
            </w:r>
          </w:p>
        </w:tc>
        <w:tc>
          <w:tcPr>
            <w:tcW w:w="1252" w:type="dxa"/>
            <w:tcBorders>
              <w:tl2br w:val="nil"/>
              <w:tr2bl w:val="nil"/>
            </w:tcBorders>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1188.8</w:t>
            </w:r>
          </w:p>
        </w:tc>
        <w:tc>
          <w:tcPr>
            <w:tcW w:w="1143" w:type="dxa"/>
            <w:tcBorders>
              <w:tl2br w:val="nil"/>
              <w:tr2bl w:val="nil"/>
            </w:tcBorders>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5</w:t>
            </w:r>
            <w:r>
              <w:rPr>
                <w:rFonts w:ascii="仿宋" w:hAnsi="仿宋" w:eastAsia="仿宋" w:cs="仿宋"/>
                <w:bCs/>
                <w:szCs w:val="21"/>
              </w:rPr>
              <w:t>9.44</w:t>
            </w:r>
          </w:p>
        </w:tc>
        <w:tc>
          <w:tcPr>
            <w:tcW w:w="836" w:type="dxa"/>
            <w:vMerge w:val="continue"/>
            <w:tcBorders>
              <w:tl2br w:val="nil"/>
              <w:tr2bl w:val="nil"/>
            </w:tcBorders>
            <w:shd w:val="clear" w:color="auto" w:fill="auto"/>
            <w:vAlign w:val="center"/>
          </w:tcPr>
          <w:p>
            <w:pPr>
              <w:pStyle w:val="124"/>
              <w:spacing w:line="360" w:lineRule="exact"/>
              <w:rPr>
                <w:rFonts w:ascii="仿宋" w:hAnsi="仿宋" w:eastAsia="仿宋"/>
              </w:rPr>
            </w:pPr>
          </w:p>
        </w:tc>
        <w:tc>
          <w:tcPr>
            <w:tcW w:w="866" w:type="dxa"/>
            <w:vMerge w:val="continue"/>
            <w:tcBorders>
              <w:tl2br w:val="nil"/>
              <w:tr2bl w:val="nil"/>
            </w:tcBorders>
            <w:shd w:val="clear" w:color="auto" w:fill="auto"/>
            <w:vAlign w:val="center"/>
          </w:tcPr>
          <w:p>
            <w:pPr>
              <w:pStyle w:val="124"/>
              <w:spacing w:line="360" w:lineRule="exact"/>
              <w:rPr>
                <w:rFonts w:ascii="仿宋" w:hAnsi="仿宋" w:eastAsia="仿宋"/>
              </w:rPr>
            </w:pPr>
          </w:p>
        </w:tc>
        <w:tc>
          <w:tcPr>
            <w:tcW w:w="1165" w:type="dxa"/>
            <w:vMerge w:val="continue"/>
            <w:tcBorders>
              <w:tl2br w:val="nil"/>
              <w:tr2bl w:val="nil"/>
            </w:tcBorders>
            <w:shd w:val="clear" w:color="auto" w:fill="auto"/>
            <w:vAlign w:val="center"/>
          </w:tcPr>
          <w:p>
            <w:pPr>
              <w:pStyle w:val="124"/>
              <w:spacing w:line="360" w:lineRule="exact"/>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36" w:type="dxa"/>
            <w:tcBorders>
              <w:tl2br w:val="nil"/>
              <w:tr2bl w:val="nil"/>
            </w:tcBorders>
            <w:shd w:val="clear" w:color="auto" w:fill="auto"/>
            <w:vAlign w:val="center"/>
          </w:tcPr>
          <w:p>
            <w:pPr>
              <w:pStyle w:val="124"/>
              <w:spacing w:line="360" w:lineRule="exact"/>
              <w:rPr>
                <w:rFonts w:ascii="仿宋" w:hAnsi="仿宋" w:eastAsia="仿宋"/>
              </w:rPr>
            </w:pPr>
            <w:r>
              <w:rPr>
                <w:rFonts w:hint="eastAsia" w:ascii="仿宋" w:hAnsi="仿宋" w:eastAsia="仿宋"/>
              </w:rPr>
              <w:t>3</w:t>
            </w:r>
          </w:p>
        </w:tc>
        <w:tc>
          <w:tcPr>
            <w:tcW w:w="874" w:type="dxa"/>
            <w:vMerge w:val="continue"/>
            <w:tcBorders>
              <w:tl2br w:val="nil"/>
              <w:tr2bl w:val="nil"/>
            </w:tcBorders>
            <w:shd w:val="clear" w:color="auto" w:fill="auto"/>
            <w:vAlign w:val="center"/>
          </w:tcPr>
          <w:p>
            <w:pPr>
              <w:pStyle w:val="124"/>
              <w:spacing w:line="360" w:lineRule="exact"/>
              <w:rPr>
                <w:rFonts w:ascii="仿宋" w:hAnsi="仿宋" w:eastAsia="仿宋"/>
              </w:rPr>
            </w:pPr>
          </w:p>
        </w:tc>
        <w:tc>
          <w:tcPr>
            <w:tcW w:w="836" w:type="dxa"/>
            <w:vMerge w:val="continue"/>
            <w:tcBorders>
              <w:tl2br w:val="nil"/>
              <w:tr2bl w:val="nil"/>
            </w:tcBorders>
            <w:vAlign w:val="center"/>
          </w:tcPr>
          <w:p>
            <w:pPr>
              <w:pStyle w:val="124"/>
              <w:spacing w:line="360" w:lineRule="exact"/>
              <w:rPr>
                <w:rFonts w:ascii="仿宋" w:hAnsi="仿宋" w:eastAsia="仿宋"/>
              </w:rPr>
            </w:pPr>
          </w:p>
        </w:tc>
        <w:tc>
          <w:tcPr>
            <w:tcW w:w="958" w:type="dxa"/>
            <w:tcBorders>
              <w:tl2br w:val="nil"/>
              <w:tr2bl w:val="nil"/>
            </w:tcBorders>
            <w:shd w:val="clear" w:color="auto" w:fill="auto"/>
            <w:vAlign w:val="center"/>
          </w:tcPr>
          <w:p>
            <w:pPr>
              <w:widowControl/>
              <w:jc w:val="center"/>
              <w:rPr>
                <w:rFonts w:ascii="仿宋" w:hAnsi="仿宋" w:eastAsia="仿宋" w:cs="宋体"/>
                <w:kern w:val="0"/>
                <w:szCs w:val="21"/>
              </w:rPr>
            </w:pPr>
            <w:r>
              <w:rPr>
                <w:rFonts w:hint="eastAsia" w:ascii="仿宋" w:hAnsi="仿宋" w:eastAsia="仿宋" w:cs="宋体"/>
                <w:kern w:val="0"/>
                <w:szCs w:val="21"/>
              </w:rPr>
              <w:t>二甲苯</w:t>
            </w:r>
          </w:p>
        </w:tc>
        <w:tc>
          <w:tcPr>
            <w:tcW w:w="1252" w:type="dxa"/>
            <w:tcBorders>
              <w:tl2br w:val="nil"/>
              <w:tr2bl w:val="nil"/>
            </w:tcBorders>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w:t>
            </w:r>
            <w:r>
              <w:rPr>
                <w:rFonts w:ascii="仿宋" w:hAnsi="仿宋" w:eastAsia="仿宋" w:cs="仿宋"/>
                <w:bCs/>
                <w:szCs w:val="21"/>
              </w:rPr>
              <w:t>31</w:t>
            </w:r>
          </w:p>
        </w:tc>
        <w:tc>
          <w:tcPr>
            <w:tcW w:w="1143" w:type="dxa"/>
            <w:tcBorders>
              <w:tl2br w:val="nil"/>
              <w:tr2bl w:val="nil"/>
            </w:tcBorders>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6</w:t>
            </w:r>
            <w:r>
              <w:rPr>
                <w:rFonts w:ascii="仿宋" w:hAnsi="仿宋" w:eastAsia="仿宋" w:cs="仿宋"/>
                <w:bCs/>
                <w:szCs w:val="21"/>
              </w:rPr>
              <w:t>.55</w:t>
            </w:r>
          </w:p>
        </w:tc>
        <w:tc>
          <w:tcPr>
            <w:tcW w:w="836" w:type="dxa"/>
            <w:vMerge w:val="continue"/>
            <w:tcBorders>
              <w:tl2br w:val="nil"/>
              <w:tr2bl w:val="nil"/>
            </w:tcBorders>
            <w:shd w:val="clear" w:color="auto" w:fill="auto"/>
            <w:vAlign w:val="center"/>
          </w:tcPr>
          <w:p>
            <w:pPr>
              <w:widowControl/>
              <w:jc w:val="left"/>
              <w:rPr>
                <w:kern w:val="0"/>
                <w:szCs w:val="21"/>
              </w:rPr>
            </w:pPr>
          </w:p>
        </w:tc>
        <w:tc>
          <w:tcPr>
            <w:tcW w:w="866" w:type="dxa"/>
            <w:vMerge w:val="continue"/>
            <w:tcBorders>
              <w:tl2br w:val="nil"/>
              <w:tr2bl w:val="nil"/>
            </w:tcBorders>
            <w:shd w:val="clear" w:color="auto" w:fill="auto"/>
            <w:vAlign w:val="center"/>
          </w:tcPr>
          <w:p>
            <w:pPr>
              <w:widowControl/>
              <w:jc w:val="left"/>
              <w:rPr>
                <w:kern w:val="0"/>
                <w:szCs w:val="21"/>
              </w:rPr>
            </w:pPr>
          </w:p>
        </w:tc>
        <w:tc>
          <w:tcPr>
            <w:tcW w:w="1165" w:type="dxa"/>
            <w:vMerge w:val="continue"/>
            <w:tcBorders>
              <w:tl2br w:val="nil"/>
              <w:tr2bl w:val="nil"/>
            </w:tcBorders>
            <w:shd w:val="clear" w:color="auto" w:fill="auto"/>
            <w:vAlign w:val="center"/>
          </w:tcPr>
          <w:p>
            <w:pPr>
              <w:widowControl/>
              <w:jc w:val="left"/>
              <w:rPr>
                <w:rFonts w:ascii="仿宋_GB2312" w:hAnsi="宋体" w:eastAsia="仿宋_GB2312"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36" w:type="dxa"/>
            <w:tcBorders>
              <w:tl2br w:val="nil"/>
              <w:tr2bl w:val="nil"/>
            </w:tcBorders>
            <w:shd w:val="clear" w:color="auto" w:fill="auto"/>
            <w:vAlign w:val="center"/>
          </w:tcPr>
          <w:p>
            <w:pPr>
              <w:pStyle w:val="124"/>
              <w:spacing w:line="360" w:lineRule="exact"/>
              <w:rPr>
                <w:rFonts w:ascii="仿宋" w:hAnsi="仿宋" w:eastAsia="仿宋"/>
              </w:rPr>
            </w:pPr>
            <w:r>
              <w:rPr>
                <w:rFonts w:hint="eastAsia" w:ascii="仿宋" w:hAnsi="仿宋" w:eastAsia="仿宋"/>
              </w:rPr>
              <w:t>4</w:t>
            </w:r>
          </w:p>
        </w:tc>
        <w:tc>
          <w:tcPr>
            <w:tcW w:w="874" w:type="dxa"/>
            <w:vMerge w:val="continue"/>
            <w:tcBorders>
              <w:tl2br w:val="nil"/>
              <w:tr2bl w:val="nil"/>
            </w:tcBorders>
            <w:shd w:val="clear" w:color="auto" w:fill="auto"/>
            <w:vAlign w:val="center"/>
          </w:tcPr>
          <w:p>
            <w:pPr>
              <w:pStyle w:val="124"/>
              <w:spacing w:line="360" w:lineRule="exact"/>
              <w:rPr>
                <w:rFonts w:ascii="仿宋" w:hAnsi="仿宋" w:eastAsia="仿宋"/>
              </w:rPr>
            </w:pPr>
          </w:p>
        </w:tc>
        <w:tc>
          <w:tcPr>
            <w:tcW w:w="836" w:type="dxa"/>
            <w:vMerge w:val="continue"/>
            <w:tcBorders>
              <w:tl2br w:val="nil"/>
              <w:tr2bl w:val="nil"/>
            </w:tcBorders>
            <w:vAlign w:val="center"/>
          </w:tcPr>
          <w:p>
            <w:pPr>
              <w:pStyle w:val="124"/>
              <w:spacing w:line="360" w:lineRule="exact"/>
              <w:rPr>
                <w:rFonts w:ascii="仿宋" w:hAnsi="仿宋" w:eastAsia="仿宋"/>
              </w:rPr>
            </w:pPr>
          </w:p>
        </w:tc>
        <w:tc>
          <w:tcPr>
            <w:tcW w:w="958" w:type="dxa"/>
            <w:tcBorders>
              <w:tl2br w:val="nil"/>
              <w:tr2bl w:val="nil"/>
            </w:tcBorders>
            <w:shd w:val="clear" w:color="auto" w:fill="auto"/>
            <w:vAlign w:val="center"/>
          </w:tcPr>
          <w:p>
            <w:pPr>
              <w:pStyle w:val="124"/>
              <w:spacing w:line="360" w:lineRule="exact"/>
              <w:rPr>
                <w:rFonts w:ascii="仿宋" w:hAnsi="仿宋" w:eastAsia="仿宋"/>
              </w:rPr>
            </w:pPr>
            <w:r>
              <w:rPr>
                <w:rFonts w:hint="eastAsia" w:ascii="仿宋" w:hAnsi="仿宋" w:eastAsia="仿宋"/>
              </w:rPr>
              <w:t>烟尘</w:t>
            </w:r>
          </w:p>
        </w:tc>
        <w:tc>
          <w:tcPr>
            <w:tcW w:w="1252" w:type="dxa"/>
            <w:tcBorders>
              <w:tl2br w:val="nil"/>
              <w:tr2bl w:val="nil"/>
            </w:tcBorders>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.18</w:t>
            </w:r>
          </w:p>
        </w:tc>
        <w:tc>
          <w:tcPr>
            <w:tcW w:w="1143" w:type="dxa"/>
            <w:tcBorders>
              <w:tl2br w:val="nil"/>
              <w:tr2bl w:val="nil"/>
            </w:tcBorders>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.009</w:t>
            </w:r>
          </w:p>
        </w:tc>
        <w:tc>
          <w:tcPr>
            <w:tcW w:w="836" w:type="dxa"/>
            <w:vMerge w:val="continue"/>
            <w:tcBorders>
              <w:tl2br w:val="nil"/>
              <w:tr2bl w:val="nil"/>
            </w:tcBorders>
            <w:shd w:val="clear" w:color="auto" w:fill="auto"/>
            <w:vAlign w:val="center"/>
          </w:tcPr>
          <w:p>
            <w:pPr>
              <w:widowControl/>
              <w:jc w:val="left"/>
              <w:rPr>
                <w:kern w:val="0"/>
                <w:szCs w:val="21"/>
              </w:rPr>
            </w:pPr>
          </w:p>
        </w:tc>
        <w:tc>
          <w:tcPr>
            <w:tcW w:w="866" w:type="dxa"/>
            <w:vMerge w:val="continue"/>
            <w:tcBorders>
              <w:tl2br w:val="nil"/>
              <w:tr2bl w:val="nil"/>
            </w:tcBorders>
            <w:shd w:val="clear" w:color="auto" w:fill="auto"/>
            <w:vAlign w:val="center"/>
          </w:tcPr>
          <w:p>
            <w:pPr>
              <w:widowControl/>
              <w:jc w:val="left"/>
              <w:rPr>
                <w:kern w:val="0"/>
                <w:szCs w:val="21"/>
              </w:rPr>
            </w:pPr>
          </w:p>
        </w:tc>
        <w:tc>
          <w:tcPr>
            <w:tcW w:w="1165" w:type="dxa"/>
            <w:vMerge w:val="continue"/>
            <w:tcBorders>
              <w:tl2br w:val="nil"/>
              <w:tr2bl w:val="nil"/>
            </w:tcBorders>
            <w:shd w:val="clear" w:color="auto" w:fill="auto"/>
            <w:vAlign w:val="center"/>
          </w:tcPr>
          <w:p>
            <w:pPr>
              <w:widowControl/>
              <w:jc w:val="left"/>
              <w:rPr>
                <w:rFonts w:ascii="仿宋_GB2312" w:hAnsi="宋体" w:eastAsia="仿宋_GB2312"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36" w:type="dxa"/>
            <w:tcBorders>
              <w:tl2br w:val="nil"/>
              <w:tr2bl w:val="nil"/>
            </w:tcBorders>
            <w:shd w:val="clear" w:color="auto" w:fill="auto"/>
            <w:vAlign w:val="center"/>
          </w:tcPr>
          <w:p>
            <w:pPr>
              <w:pStyle w:val="124"/>
              <w:spacing w:line="360" w:lineRule="exact"/>
              <w:rPr>
                <w:rFonts w:ascii="仿宋" w:hAnsi="仿宋" w:eastAsia="仿宋"/>
              </w:rPr>
            </w:pPr>
            <w:r>
              <w:rPr>
                <w:rFonts w:hint="eastAsia" w:ascii="仿宋" w:hAnsi="仿宋" w:eastAsia="仿宋"/>
              </w:rPr>
              <w:t>5</w:t>
            </w:r>
          </w:p>
        </w:tc>
        <w:tc>
          <w:tcPr>
            <w:tcW w:w="874" w:type="dxa"/>
            <w:vMerge w:val="continue"/>
            <w:tcBorders>
              <w:tl2br w:val="nil"/>
              <w:tr2bl w:val="nil"/>
            </w:tcBorders>
            <w:shd w:val="clear" w:color="auto" w:fill="auto"/>
            <w:vAlign w:val="center"/>
          </w:tcPr>
          <w:p>
            <w:pPr>
              <w:pStyle w:val="124"/>
              <w:spacing w:line="360" w:lineRule="exact"/>
              <w:rPr>
                <w:rFonts w:ascii="仿宋" w:hAnsi="仿宋" w:eastAsia="仿宋"/>
              </w:rPr>
            </w:pPr>
          </w:p>
        </w:tc>
        <w:tc>
          <w:tcPr>
            <w:tcW w:w="836" w:type="dxa"/>
            <w:vMerge w:val="continue"/>
            <w:tcBorders>
              <w:tl2br w:val="nil"/>
              <w:tr2bl w:val="nil"/>
            </w:tcBorders>
            <w:vAlign w:val="center"/>
          </w:tcPr>
          <w:p>
            <w:pPr>
              <w:pStyle w:val="124"/>
              <w:spacing w:line="360" w:lineRule="exact"/>
              <w:rPr>
                <w:rFonts w:ascii="仿宋" w:hAnsi="仿宋" w:eastAsia="仿宋"/>
              </w:rPr>
            </w:pPr>
          </w:p>
        </w:tc>
        <w:tc>
          <w:tcPr>
            <w:tcW w:w="958" w:type="dxa"/>
            <w:tcBorders>
              <w:tl2br w:val="nil"/>
              <w:tr2bl w:val="nil"/>
            </w:tcBorders>
            <w:shd w:val="clear" w:color="auto" w:fill="auto"/>
            <w:vAlign w:val="center"/>
          </w:tcPr>
          <w:p>
            <w:pPr>
              <w:pStyle w:val="124"/>
              <w:spacing w:line="360" w:lineRule="exact"/>
              <w:rPr>
                <w:rFonts w:ascii="仿宋" w:hAnsi="仿宋" w:eastAsia="仿宋"/>
              </w:rPr>
            </w:pPr>
            <w:r>
              <w:rPr>
                <w:rFonts w:hint="eastAsia" w:ascii="仿宋" w:hAnsi="仿宋" w:eastAsia="仿宋"/>
              </w:rPr>
              <w:t>SO</w:t>
            </w:r>
            <w:r>
              <w:rPr>
                <w:rFonts w:hint="eastAsia" w:ascii="仿宋" w:hAnsi="仿宋" w:eastAsia="仿宋"/>
                <w:vertAlign w:val="subscript"/>
              </w:rPr>
              <w:t>2</w:t>
            </w:r>
          </w:p>
        </w:tc>
        <w:tc>
          <w:tcPr>
            <w:tcW w:w="1252" w:type="dxa"/>
            <w:tcBorders>
              <w:tl2br w:val="nil"/>
              <w:tr2bl w:val="nil"/>
            </w:tcBorders>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.14</w:t>
            </w:r>
          </w:p>
        </w:tc>
        <w:tc>
          <w:tcPr>
            <w:tcW w:w="1143" w:type="dxa"/>
            <w:tcBorders>
              <w:tl2br w:val="nil"/>
              <w:tr2bl w:val="nil"/>
            </w:tcBorders>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.007</w:t>
            </w:r>
          </w:p>
        </w:tc>
        <w:tc>
          <w:tcPr>
            <w:tcW w:w="836" w:type="dxa"/>
            <w:vMerge w:val="continue"/>
            <w:tcBorders>
              <w:tl2br w:val="nil"/>
              <w:tr2bl w:val="nil"/>
            </w:tcBorders>
            <w:shd w:val="clear" w:color="auto" w:fill="auto"/>
            <w:vAlign w:val="center"/>
          </w:tcPr>
          <w:p>
            <w:pPr>
              <w:widowControl/>
              <w:jc w:val="left"/>
              <w:rPr>
                <w:kern w:val="0"/>
                <w:szCs w:val="21"/>
              </w:rPr>
            </w:pPr>
          </w:p>
        </w:tc>
        <w:tc>
          <w:tcPr>
            <w:tcW w:w="866" w:type="dxa"/>
            <w:vMerge w:val="continue"/>
            <w:tcBorders>
              <w:tl2br w:val="nil"/>
              <w:tr2bl w:val="nil"/>
            </w:tcBorders>
            <w:shd w:val="clear" w:color="auto" w:fill="auto"/>
            <w:vAlign w:val="center"/>
          </w:tcPr>
          <w:p>
            <w:pPr>
              <w:widowControl/>
              <w:jc w:val="left"/>
              <w:rPr>
                <w:kern w:val="0"/>
                <w:szCs w:val="21"/>
              </w:rPr>
            </w:pPr>
          </w:p>
        </w:tc>
        <w:tc>
          <w:tcPr>
            <w:tcW w:w="1165" w:type="dxa"/>
            <w:vMerge w:val="continue"/>
            <w:tcBorders>
              <w:tl2br w:val="nil"/>
              <w:tr2bl w:val="nil"/>
            </w:tcBorders>
            <w:shd w:val="clear" w:color="auto" w:fill="auto"/>
            <w:vAlign w:val="center"/>
          </w:tcPr>
          <w:p>
            <w:pPr>
              <w:widowControl/>
              <w:jc w:val="left"/>
              <w:rPr>
                <w:rFonts w:ascii="仿宋_GB2312" w:hAnsi="宋体" w:eastAsia="仿宋_GB2312"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36" w:type="dxa"/>
            <w:tcBorders>
              <w:tl2br w:val="nil"/>
              <w:tr2bl w:val="nil"/>
            </w:tcBorders>
            <w:shd w:val="clear" w:color="auto" w:fill="auto"/>
            <w:vAlign w:val="center"/>
          </w:tcPr>
          <w:p>
            <w:pPr>
              <w:pStyle w:val="124"/>
              <w:spacing w:line="360" w:lineRule="exact"/>
              <w:rPr>
                <w:rFonts w:ascii="仿宋" w:hAnsi="仿宋" w:eastAsia="仿宋"/>
              </w:rPr>
            </w:pPr>
            <w:r>
              <w:rPr>
                <w:rFonts w:hint="eastAsia" w:ascii="仿宋" w:hAnsi="仿宋" w:eastAsia="仿宋"/>
              </w:rPr>
              <w:t>6</w:t>
            </w:r>
          </w:p>
        </w:tc>
        <w:tc>
          <w:tcPr>
            <w:tcW w:w="874" w:type="dxa"/>
            <w:vMerge w:val="continue"/>
            <w:tcBorders>
              <w:tl2br w:val="nil"/>
              <w:tr2bl w:val="nil"/>
            </w:tcBorders>
            <w:shd w:val="clear" w:color="auto" w:fill="auto"/>
            <w:vAlign w:val="center"/>
          </w:tcPr>
          <w:p>
            <w:pPr>
              <w:pStyle w:val="124"/>
              <w:spacing w:line="360" w:lineRule="exact"/>
              <w:rPr>
                <w:rFonts w:ascii="仿宋" w:hAnsi="仿宋" w:eastAsia="仿宋"/>
              </w:rPr>
            </w:pPr>
          </w:p>
        </w:tc>
        <w:tc>
          <w:tcPr>
            <w:tcW w:w="836" w:type="dxa"/>
            <w:vMerge w:val="continue"/>
            <w:tcBorders>
              <w:tl2br w:val="nil"/>
              <w:tr2bl w:val="nil"/>
            </w:tcBorders>
            <w:vAlign w:val="center"/>
          </w:tcPr>
          <w:p>
            <w:pPr>
              <w:pStyle w:val="124"/>
              <w:spacing w:line="360" w:lineRule="exact"/>
              <w:rPr>
                <w:rFonts w:ascii="仿宋" w:hAnsi="仿宋" w:eastAsia="仿宋"/>
              </w:rPr>
            </w:pPr>
          </w:p>
        </w:tc>
        <w:tc>
          <w:tcPr>
            <w:tcW w:w="958" w:type="dxa"/>
            <w:tcBorders>
              <w:tl2br w:val="nil"/>
              <w:tr2bl w:val="nil"/>
            </w:tcBorders>
            <w:shd w:val="clear" w:color="auto" w:fill="auto"/>
            <w:vAlign w:val="center"/>
          </w:tcPr>
          <w:p>
            <w:pPr>
              <w:pStyle w:val="124"/>
              <w:spacing w:line="360" w:lineRule="exact"/>
              <w:rPr>
                <w:rFonts w:ascii="仿宋" w:hAnsi="仿宋" w:eastAsia="仿宋"/>
              </w:rPr>
            </w:pPr>
            <w:r>
              <w:rPr>
                <w:rFonts w:hint="eastAsia" w:ascii="仿宋" w:hAnsi="仿宋" w:eastAsia="仿宋"/>
              </w:rPr>
              <w:t>NOx</w:t>
            </w:r>
          </w:p>
        </w:tc>
        <w:tc>
          <w:tcPr>
            <w:tcW w:w="1252" w:type="dxa"/>
            <w:tcBorders>
              <w:tl2br w:val="nil"/>
              <w:tr2bl w:val="nil"/>
            </w:tcBorders>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w:t>
            </w:r>
            <w:r>
              <w:rPr>
                <w:rFonts w:ascii="仿宋" w:hAnsi="仿宋" w:eastAsia="仿宋" w:cs="仿宋"/>
                <w:bCs/>
                <w:szCs w:val="21"/>
              </w:rPr>
              <w:t>.06</w:t>
            </w:r>
          </w:p>
        </w:tc>
        <w:tc>
          <w:tcPr>
            <w:tcW w:w="1143" w:type="dxa"/>
            <w:tcBorders>
              <w:tl2br w:val="nil"/>
              <w:tr2bl w:val="nil"/>
            </w:tcBorders>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.053</w:t>
            </w:r>
          </w:p>
        </w:tc>
        <w:tc>
          <w:tcPr>
            <w:tcW w:w="836" w:type="dxa"/>
            <w:vMerge w:val="continue"/>
            <w:tcBorders>
              <w:tl2br w:val="nil"/>
              <w:tr2bl w:val="nil"/>
            </w:tcBorders>
            <w:shd w:val="clear" w:color="auto" w:fill="auto"/>
            <w:vAlign w:val="center"/>
          </w:tcPr>
          <w:p>
            <w:pPr>
              <w:widowControl/>
              <w:jc w:val="left"/>
              <w:rPr>
                <w:kern w:val="0"/>
                <w:szCs w:val="21"/>
              </w:rPr>
            </w:pPr>
          </w:p>
        </w:tc>
        <w:tc>
          <w:tcPr>
            <w:tcW w:w="866" w:type="dxa"/>
            <w:vMerge w:val="continue"/>
            <w:tcBorders>
              <w:tl2br w:val="nil"/>
              <w:tr2bl w:val="nil"/>
            </w:tcBorders>
            <w:shd w:val="clear" w:color="auto" w:fill="auto"/>
            <w:vAlign w:val="center"/>
          </w:tcPr>
          <w:p>
            <w:pPr>
              <w:widowControl/>
              <w:jc w:val="left"/>
              <w:rPr>
                <w:kern w:val="0"/>
                <w:szCs w:val="21"/>
              </w:rPr>
            </w:pPr>
          </w:p>
        </w:tc>
        <w:tc>
          <w:tcPr>
            <w:tcW w:w="1165" w:type="dxa"/>
            <w:vMerge w:val="continue"/>
            <w:tcBorders>
              <w:tl2br w:val="nil"/>
              <w:tr2bl w:val="nil"/>
            </w:tcBorders>
            <w:shd w:val="clear" w:color="auto" w:fill="auto"/>
            <w:vAlign w:val="center"/>
          </w:tcPr>
          <w:p>
            <w:pPr>
              <w:widowControl/>
              <w:jc w:val="left"/>
              <w:rPr>
                <w:rFonts w:ascii="仿宋_GB2312" w:hAnsi="宋体" w:eastAsia="仿宋_GB2312" w:cs="宋体"/>
                <w:kern w:val="0"/>
                <w:szCs w:val="21"/>
              </w:rPr>
            </w:pPr>
          </w:p>
        </w:tc>
      </w:tr>
    </w:tbl>
    <w:p>
      <w:pPr>
        <w:tabs>
          <w:tab w:val="left" w:pos="1335"/>
        </w:tabs>
        <w:rPr>
          <w:rFonts w:eastAsia="仿宋_GB2312"/>
        </w:rPr>
      </w:pPr>
    </w:p>
    <w:p>
      <w:pPr>
        <w:tabs>
          <w:tab w:val="left" w:pos="1335"/>
        </w:tabs>
        <w:rPr>
          <w:rFonts w:eastAsia="仿宋_GB2312"/>
        </w:rPr>
        <w:sectPr>
          <w:headerReference r:id="rId21" w:type="default"/>
          <w:pgSz w:w="11906" w:h="16838"/>
          <w:pgMar w:top="1440" w:right="1800" w:bottom="1440" w:left="1800" w:header="851" w:footer="992" w:gutter="0"/>
          <w:cols w:space="720" w:num="1"/>
          <w:docGrid w:linePitch="312" w:charSpace="0"/>
        </w:sectPr>
      </w:pPr>
      <w:r>
        <w:rPr>
          <w:rFonts w:eastAsia="仿宋_GB2312"/>
        </w:rPr>
        <w:tab/>
      </w:r>
    </w:p>
    <w:p>
      <w:pPr>
        <w:keepNext/>
        <w:widowControl/>
        <w:numPr>
          <w:ilvl w:val="3"/>
          <w:numId w:val="1"/>
        </w:numPr>
        <w:adjustRightInd w:val="0"/>
        <w:snapToGrid w:val="0"/>
        <w:spacing w:after="120" w:afterLines="50" w:line="500" w:lineRule="exact"/>
        <w:ind w:left="0" w:firstLine="0"/>
        <w:jc w:val="left"/>
        <w:outlineLvl w:val="3"/>
        <w:rPr>
          <w:rFonts w:eastAsia="仿宋_GB2312"/>
          <w:b/>
          <w:bCs/>
          <w:sz w:val="28"/>
          <w:szCs w:val="28"/>
        </w:rPr>
      </w:pPr>
      <w:r>
        <w:rPr>
          <w:rFonts w:eastAsia="仿宋_GB2312"/>
          <w:b/>
          <w:bCs/>
          <w:sz w:val="28"/>
          <w:szCs w:val="28"/>
        </w:rPr>
        <w:t>大气环境防护距离计算</w:t>
      </w:r>
    </w:p>
    <w:p>
      <w:pPr>
        <w:spacing w:line="500" w:lineRule="exact"/>
        <w:ind w:firstLine="560" w:firstLineChars="200"/>
        <w:rPr>
          <w:rFonts w:eastAsia="仿宋_GB2312"/>
          <w:sz w:val="28"/>
          <w:szCs w:val="28"/>
        </w:rPr>
      </w:pPr>
      <w:r>
        <w:rPr>
          <w:rFonts w:hint="eastAsia" w:eastAsia="仿宋_GB2312"/>
          <w:sz w:val="28"/>
          <w:szCs w:val="28"/>
        </w:rPr>
        <w:t>本项目</w:t>
      </w:r>
      <w:r>
        <w:rPr>
          <w:rFonts w:eastAsia="仿宋_GB2312"/>
          <w:sz w:val="28"/>
          <w:szCs w:val="28"/>
        </w:rPr>
        <w:t>大气环境评价等级为二级，根据《环境影响评价技术导则-大气环境》(HJ2.2-2018)</w:t>
      </w:r>
      <w:r>
        <w:rPr>
          <w:rFonts w:hint="eastAsia" w:eastAsia="仿宋_GB2312"/>
          <w:sz w:val="28"/>
          <w:szCs w:val="28"/>
        </w:rPr>
        <w:t>，厂界</w:t>
      </w:r>
      <w:r>
        <w:rPr>
          <w:rFonts w:eastAsia="仿宋_GB2312"/>
          <w:sz w:val="28"/>
          <w:szCs w:val="28"/>
        </w:rPr>
        <w:t>不存在超标点，</w:t>
      </w:r>
      <w:r>
        <w:rPr>
          <w:rFonts w:hint="eastAsia" w:eastAsia="仿宋_GB2312"/>
          <w:sz w:val="28"/>
          <w:szCs w:val="28"/>
        </w:rPr>
        <w:t>本项目不进行进一步预测预评价</w:t>
      </w:r>
      <w:r>
        <w:rPr>
          <w:rFonts w:eastAsia="仿宋_GB2312"/>
          <w:sz w:val="28"/>
          <w:szCs w:val="28"/>
        </w:rPr>
        <w:t>，因此不设置大气环境防护距离。</w:t>
      </w:r>
    </w:p>
    <w:p>
      <w:pPr>
        <w:keepNext/>
        <w:widowControl/>
        <w:numPr>
          <w:ilvl w:val="3"/>
          <w:numId w:val="1"/>
        </w:numPr>
        <w:adjustRightInd w:val="0"/>
        <w:snapToGrid w:val="0"/>
        <w:spacing w:after="120" w:afterLines="50" w:line="500" w:lineRule="exact"/>
        <w:ind w:left="0" w:firstLine="0"/>
        <w:jc w:val="left"/>
        <w:outlineLvl w:val="3"/>
        <w:rPr>
          <w:rFonts w:eastAsia="仿宋_GB2312"/>
          <w:b/>
          <w:bCs/>
          <w:sz w:val="28"/>
          <w:szCs w:val="28"/>
        </w:rPr>
      </w:pPr>
      <w:r>
        <w:rPr>
          <w:rFonts w:eastAsia="仿宋_GB2312"/>
          <w:b/>
          <w:bCs/>
          <w:sz w:val="28"/>
          <w:szCs w:val="28"/>
        </w:rPr>
        <w:t>卫生防护距离计算</w:t>
      </w:r>
    </w:p>
    <w:p>
      <w:pPr>
        <w:spacing w:line="500" w:lineRule="exact"/>
        <w:ind w:firstLine="560" w:firstLineChars="200"/>
        <w:rPr>
          <w:rFonts w:eastAsia="仿宋_GB2312"/>
          <w:sz w:val="28"/>
          <w:szCs w:val="28"/>
        </w:rPr>
      </w:pPr>
      <w:r>
        <w:rPr>
          <w:rFonts w:eastAsia="仿宋_GB2312"/>
          <w:sz w:val="28"/>
          <w:szCs w:val="28"/>
        </w:rPr>
        <w:t>（1）正常工况</w:t>
      </w:r>
    </w:p>
    <w:p>
      <w:pPr>
        <w:spacing w:line="500" w:lineRule="exact"/>
        <w:ind w:firstLine="560" w:firstLineChars="200"/>
        <w:rPr>
          <w:rFonts w:eastAsia="仿宋_GB2312"/>
          <w:sz w:val="28"/>
          <w:szCs w:val="28"/>
        </w:rPr>
      </w:pPr>
      <w:r>
        <w:rPr>
          <w:rFonts w:eastAsia="仿宋_GB2312"/>
          <w:sz w:val="28"/>
          <w:szCs w:val="28"/>
        </w:rPr>
        <w:t>分别预测无组织废气对环境的影响，并提出卫生防护距离，生产车间与居住区之间的卫生防护距离L按下式计算：</w:t>
      </w:r>
    </w:p>
    <w:p>
      <w:pPr>
        <w:jc w:val="center"/>
        <w:rPr>
          <w:rFonts w:eastAsia="仿宋_GB2312"/>
          <w:sz w:val="28"/>
          <w:szCs w:val="28"/>
        </w:rPr>
      </w:pPr>
      <w:r>
        <w:rPr>
          <w:rFonts w:eastAsia="仿宋_GB2312"/>
          <w:sz w:val="28"/>
          <w:szCs w:val="28"/>
        </w:rPr>
        <w:pict>
          <v:group id="_x0000_s15732" o:spid="_x0000_s15732" o:spt="203" style="position:absolute;left:0pt;margin-left:0pt;margin-top:0pt;height:43.25pt;width:201pt;mso-position-horizontal-relative:char;mso-position-vertical-relative:line;z-index:251662336;mso-width-relative:page;mso-height-relative:page;" coordorigin="4455,5340" coordsize="3485,750" editas="canvas">
            <o:lock v:ext="edit"/>
            <v:shape id="_x0000_s15733" o:spid="_x0000_s15733" o:spt="75" type="#_x0000_t75" style="position:absolute;left:4455;top:5340;height:750;width:3485;" filled="f" o:preferrelative="f" stroked="f" coordsize="21600,21600">
              <v:fill on="f" focussize="0,0"/>
              <v:stroke on="f" joinstyle="miter"/>
              <v:imagedata o:title=""/>
              <o:lock v:ext="edit" text="t" aspectratio="t"/>
            </v:shape>
            <v:shape id="_x0000_s15734" o:spid="_x0000_s15734" o:spt="75" type="#_x0000_t75" style="position:absolute;left:4455;top:5387;height:703;width:3485;" o:ole="t" filled="f" o:preferrelative="t" stroked="f" coordsize="21600,21600">
              <v:path/>
              <v:fill on="f" focussize="0,0"/>
              <v:stroke on="f" joinstyle="miter"/>
              <v:imagedata r:id="rId71" o:title=""/>
              <o:lock v:ext="edit" aspectratio="t"/>
            </v:shape>
          </v:group>
          <o:OLEObject Type="Embed" ProgID="Equation.3" ShapeID="_x0000_s15734" DrawAspect="Content" ObjectID="_1468075725" r:id="rId70">
            <o:LockedField>false</o:LockedField>
          </o:OLEObject>
        </w:pict>
      </w:r>
      <w:r>
        <w:rPr>
          <w:rFonts w:eastAsia="仿宋_GB2312"/>
        </w:rPr>
        <mc:AlternateContent>
          <mc:Choice Requires="wps">
            <w:drawing>
              <wp:inline distT="0" distB="0" distL="0" distR="0">
                <wp:extent cx="2552700" cy="548640"/>
                <wp:effectExtent l="0" t="0" r="0" b="3810"/>
                <wp:docPr id="48" name="矩形 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52700" cy="54864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style="height:43.2pt;width:201pt;" filled="f" stroked="f" coordsize="21600,21600" o:gfxdata="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GvYI7dUAAAAEAQAADwAAAAAAAAABACAA&#10;AAAiAAAAZHJzL2Rvd25yZXYueG1sUEsBAhQAFAAAAAgAh07iQM/QgD4QAgAAEgQAAA4AAAAAAAAA&#10;AQAgAAAAJAEAAGRycy9lMm9Eb2MueG1sUEsFBgAAAAAGAAYAWQEAAKYFAAAAAA==&#10;">
                <v:fill on="f" focussize="0,0"/>
                <v:stroke on="f"/>
                <v:imagedata o:title=""/>
                <o:lock v:ext="edit" aspectratio="t"/>
                <w10:wrap type="none"/>
                <w10:anchorlock/>
              </v:rect>
            </w:pict>
          </mc:Fallback>
        </mc:AlternateContent>
      </w:r>
    </w:p>
    <w:p>
      <w:pPr>
        <w:spacing w:line="500" w:lineRule="exact"/>
        <w:rPr>
          <w:rFonts w:eastAsia="仿宋_GB2312"/>
          <w:sz w:val="28"/>
          <w:szCs w:val="28"/>
        </w:rPr>
      </w:pPr>
      <w:r>
        <w:rPr>
          <w:rFonts w:eastAsia="仿宋_GB2312"/>
          <w:sz w:val="28"/>
          <w:szCs w:val="28"/>
        </w:rPr>
        <w:t>式中：C</w:t>
      </w:r>
      <w:r>
        <w:rPr>
          <w:rFonts w:eastAsia="仿宋_GB2312"/>
          <w:sz w:val="28"/>
          <w:szCs w:val="28"/>
          <w:vertAlign w:val="subscript"/>
        </w:rPr>
        <w:t>m</w:t>
      </w:r>
      <w:r>
        <w:rPr>
          <w:rFonts w:eastAsia="仿宋_GB2312"/>
          <w:sz w:val="28"/>
          <w:szCs w:val="28"/>
        </w:rPr>
        <w:t>——标准浓度限值（mg/m</w:t>
      </w:r>
      <w:r>
        <w:rPr>
          <w:rFonts w:eastAsia="仿宋_GB2312"/>
          <w:sz w:val="28"/>
          <w:szCs w:val="28"/>
          <w:vertAlign w:val="superscript"/>
        </w:rPr>
        <w:t>3</w:t>
      </w:r>
      <w:r>
        <w:rPr>
          <w:rFonts w:eastAsia="仿宋_GB2312"/>
          <w:sz w:val="28"/>
          <w:szCs w:val="28"/>
        </w:rPr>
        <w:t>）</w:t>
      </w:r>
    </w:p>
    <w:p>
      <w:pPr>
        <w:spacing w:before="12" w:line="500" w:lineRule="exact"/>
        <w:ind w:firstLine="560" w:firstLineChars="200"/>
        <w:rPr>
          <w:rFonts w:eastAsia="仿宋_GB2312"/>
          <w:sz w:val="28"/>
          <w:szCs w:val="28"/>
        </w:rPr>
      </w:pPr>
      <w:r>
        <w:rPr>
          <w:rFonts w:eastAsia="仿宋_GB2312"/>
          <w:sz w:val="28"/>
          <w:szCs w:val="28"/>
        </w:rPr>
        <w:t>Qc——工业企业有害气体无组织排放量可以达到的控制水平（kg/h）</w:t>
      </w:r>
    </w:p>
    <w:p>
      <w:pPr>
        <w:spacing w:line="500" w:lineRule="exact"/>
        <w:ind w:firstLine="560" w:firstLineChars="200"/>
        <w:rPr>
          <w:rFonts w:eastAsia="仿宋_GB2312"/>
          <w:sz w:val="28"/>
          <w:szCs w:val="28"/>
        </w:rPr>
      </w:pPr>
      <w:r>
        <w:rPr>
          <w:rFonts w:eastAsia="仿宋_GB2312"/>
          <w:sz w:val="28"/>
          <w:szCs w:val="28"/>
        </w:rPr>
        <w:t>r——有害气体无组织排放源所在生产单元的等效半径（m）</w:t>
      </w:r>
    </w:p>
    <w:p>
      <w:pPr>
        <w:spacing w:line="500" w:lineRule="exact"/>
        <w:ind w:firstLine="560" w:firstLineChars="200"/>
        <w:rPr>
          <w:rFonts w:eastAsia="仿宋_GB2312"/>
          <w:sz w:val="28"/>
          <w:szCs w:val="28"/>
        </w:rPr>
      </w:pPr>
      <w:r>
        <w:rPr>
          <w:rFonts w:eastAsia="仿宋_GB2312"/>
          <w:sz w:val="28"/>
          <w:szCs w:val="28"/>
        </w:rPr>
        <w:t>L——工业企业所需的卫生防护距离（m）</w:t>
      </w:r>
    </w:p>
    <w:p>
      <w:pPr>
        <w:spacing w:line="500" w:lineRule="exact"/>
        <w:ind w:firstLine="560" w:firstLineChars="200"/>
        <w:rPr>
          <w:rFonts w:eastAsia="仿宋_GB2312"/>
          <w:sz w:val="28"/>
          <w:szCs w:val="28"/>
        </w:rPr>
      </w:pPr>
      <w:r>
        <w:rPr>
          <w:rFonts w:eastAsia="仿宋_GB2312"/>
          <w:sz w:val="28"/>
          <w:szCs w:val="28"/>
        </w:rPr>
        <w:t>A、B、C、D——卫生防护距离计算系数，见表5.2-13。</w:t>
      </w:r>
    </w:p>
    <w:p>
      <w:pPr>
        <w:spacing w:line="500" w:lineRule="exact"/>
        <w:jc w:val="center"/>
        <w:rPr>
          <w:rFonts w:eastAsia="仿宋_GB2312"/>
          <w:b/>
          <w:bCs/>
          <w:sz w:val="24"/>
        </w:rPr>
      </w:pPr>
      <w:r>
        <w:rPr>
          <w:rFonts w:eastAsia="仿宋_GB2312"/>
          <w:b/>
          <w:sz w:val="24"/>
        </w:rPr>
        <w:t xml:space="preserve">表5.2-13  </w:t>
      </w:r>
      <w:r>
        <w:rPr>
          <w:rFonts w:eastAsia="仿宋_GB2312"/>
          <w:b/>
          <w:bCs/>
          <w:sz w:val="24"/>
        </w:rPr>
        <w:t>卫生防护距离计算系数</w:t>
      </w:r>
    </w:p>
    <w:tbl>
      <w:tblPr>
        <w:tblStyle w:val="87"/>
        <w:tblW w:w="5275" w:type="pct"/>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1339"/>
        <w:gridCol w:w="1453"/>
        <w:gridCol w:w="691"/>
        <w:gridCol w:w="692"/>
        <w:gridCol w:w="696"/>
        <w:gridCol w:w="692"/>
        <w:gridCol w:w="692"/>
        <w:gridCol w:w="696"/>
        <w:gridCol w:w="692"/>
        <w:gridCol w:w="692"/>
        <w:gridCol w:w="658"/>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cantSplit/>
          <w:trHeight w:val="170" w:hRule="atLeast"/>
          <w:tblHeader/>
          <w:jc w:val="center"/>
        </w:trPr>
        <w:tc>
          <w:tcPr>
            <w:tcW w:w="744" w:type="pct"/>
            <w:vMerge w:val="restart"/>
            <w:vAlign w:val="center"/>
          </w:tcPr>
          <w:p>
            <w:pPr>
              <w:adjustRightInd w:val="0"/>
              <w:snapToGrid w:val="0"/>
              <w:spacing w:line="240" w:lineRule="exact"/>
              <w:jc w:val="center"/>
              <w:rPr>
                <w:rFonts w:eastAsia="仿宋_GB2312"/>
                <w:szCs w:val="21"/>
              </w:rPr>
            </w:pPr>
            <w:r>
              <w:rPr>
                <w:rFonts w:eastAsia="仿宋_GB2312"/>
                <w:szCs w:val="21"/>
              </w:rPr>
              <w:t>计算</w:t>
            </w:r>
          </w:p>
          <w:p>
            <w:pPr>
              <w:adjustRightInd w:val="0"/>
              <w:snapToGrid w:val="0"/>
              <w:spacing w:line="240" w:lineRule="exact"/>
              <w:jc w:val="center"/>
              <w:rPr>
                <w:rFonts w:eastAsia="仿宋_GB2312"/>
                <w:szCs w:val="21"/>
              </w:rPr>
            </w:pPr>
            <w:r>
              <w:rPr>
                <w:rFonts w:eastAsia="仿宋_GB2312"/>
                <w:szCs w:val="21"/>
              </w:rPr>
              <w:t>系数</w:t>
            </w:r>
          </w:p>
        </w:tc>
        <w:tc>
          <w:tcPr>
            <w:tcW w:w="807" w:type="pct"/>
            <w:vMerge w:val="restart"/>
            <w:vAlign w:val="center"/>
          </w:tcPr>
          <w:p>
            <w:pPr>
              <w:adjustRightInd w:val="0"/>
              <w:snapToGrid w:val="0"/>
              <w:spacing w:line="240" w:lineRule="exact"/>
              <w:jc w:val="center"/>
              <w:rPr>
                <w:rFonts w:eastAsia="仿宋_GB2312"/>
                <w:szCs w:val="21"/>
              </w:rPr>
            </w:pPr>
            <w:r>
              <w:rPr>
                <w:rFonts w:eastAsia="仿宋_GB2312"/>
                <w:szCs w:val="21"/>
              </w:rPr>
              <w:t>5年平均风速（m/s）</w:t>
            </w:r>
          </w:p>
        </w:tc>
        <w:tc>
          <w:tcPr>
            <w:tcW w:w="3449" w:type="pct"/>
            <w:gridSpan w:val="9"/>
            <w:vAlign w:val="center"/>
          </w:tcPr>
          <w:p>
            <w:pPr>
              <w:adjustRightInd w:val="0"/>
              <w:snapToGrid w:val="0"/>
              <w:spacing w:line="240" w:lineRule="exact"/>
              <w:jc w:val="center"/>
              <w:rPr>
                <w:rFonts w:eastAsia="仿宋_GB2312"/>
                <w:szCs w:val="21"/>
              </w:rPr>
            </w:pPr>
            <w:r>
              <w:rPr>
                <w:rFonts w:eastAsia="仿宋_GB2312"/>
                <w:szCs w:val="21"/>
              </w:rPr>
              <w:t>卫生防护距离L（m）</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cantSplit/>
          <w:trHeight w:val="170" w:hRule="atLeast"/>
          <w:tblHeader/>
          <w:jc w:val="center"/>
        </w:trPr>
        <w:tc>
          <w:tcPr>
            <w:tcW w:w="744" w:type="pct"/>
            <w:vMerge w:val="continue"/>
            <w:vAlign w:val="center"/>
          </w:tcPr>
          <w:p>
            <w:pPr>
              <w:adjustRightInd w:val="0"/>
              <w:snapToGrid w:val="0"/>
              <w:spacing w:line="240" w:lineRule="exact"/>
              <w:jc w:val="center"/>
              <w:rPr>
                <w:rFonts w:eastAsia="仿宋_GB2312"/>
                <w:szCs w:val="21"/>
              </w:rPr>
            </w:pPr>
          </w:p>
        </w:tc>
        <w:tc>
          <w:tcPr>
            <w:tcW w:w="807" w:type="pct"/>
            <w:vMerge w:val="continue"/>
            <w:vAlign w:val="center"/>
          </w:tcPr>
          <w:p>
            <w:pPr>
              <w:adjustRightInd w:val="0"/>
              <w:snapToGrid w:val="0"/>
              <w:spacing w:line="240" w:lineRule="exact"/>
              <w:jc w:val="center"/>
              <w:rPr>
                <w:rFonts w:eastAsia="仿宋_GB2312"/>
                <w:szCs w:val="21"/>
              </w:rPr>
            </w:pPr>
          </w:p>
        </w:tc>
        <w:tc>
          <w:tcPr>
            <w:tcW w:w="1156" w:type="pct"/>
            <w:gridSpan w:val="3"/>
            <w:vAlign w:val="center"/>
          </w:tcPr>
          <w:p>
            <w:pPr>
              <w:adjustRightInd w:val="0"/>
              <w:snapToGrid w:val="0"/>
              <w:spacing w:line="240" w:lineRule="exact"/>
              <w:jc w:val="center"/>
              <w:rPr>
                <w:rFonts w:eastAsia="仿宋_GB2312"/>
                <w:szCs w:val="21"/>
              </w:rPr>
            </w:pPr>
            <w:r>
              <w:rPr>
                <w:rFonts w:eastAsia="仿宋_GB2312"/>
                <w:szCs w:val="21"/>
              </w:rPr>
              <w:t>L≤1000</w:t>
            </w:r>
          </w:p>
        </w:tc>
        <w:tc>
          <w:tcPr>
            <w:tcW w:w="1157" w:type="pct"/>
            <w:gridSpan w:val="3"/>
            <w:vAlign w:val="center"/>
          </w:tcPr>
          <w:p>
            <w:pPr>
              <w:adjustRightInd w:val="0"/>
              <w:snapToGrid w:val="0"/>
              <w:spacing w:line="240" w:lineRule="exact"/>
              <w:jc w:val="center"/>
              <w:rPr>
                <w:rFonts w:eastAsia="仿宋_GB2312"/>
                <w:szCs w:val="21"/>
              </w:rPr>
            </w:pPr>
            <w:r>
              <w:rPr>
                <w:rFonts w:eastAsia="仿宋_GB2312"/>
                <w:szCs w:val="21"/>
              </w:rPr>
              <w:t>1000</w:t>
            </w:r>
            <w:r>
              <w:rPr>
                <w:rFonts w:eastAsia="仿宋_GB2312"/>
                <w:szCs w:val="21"/>
                <w:lang w:val="en-GB"/>
              </w:rPr>
              <w:t>&lt;</w:t>
            </w:r>
            <w:r>
              <w:rPr>
                <w:rFonts w:eastAsia="仿宋_GB2312"/>
                <w:szCs w:val="21"/>
              </w:rPr>
              <w:t>L≤2000</w:t>
            </w:r>
          </w:p>
        </w:tc>
        <w:tc>
          <w:tcPr>
            <w:tcW w:w="1137" w:type="pct"/>
            <w:gridSpan w:val="3"/>
            <w:vAlign w:val="center"/>
          </w:tcPr>
          <w:p>
            <w:pPr>
              <w:adjustRightInd w:val="0"/>
              <w:snapToGrid w:val="0"/>
              <w:spacing w:line="240" w:lineRule="exact"/>
              <w:jc w:val="center"/>
              <w:rPr>
                <w:rFonts w:eastAsia="仿宋_GB2312"/>
                <w:szCs w:val="21"/>
              </w:rPr>
            </w:pPr>
            <w:r>
              <w:rPr>
                <w:rFonts w:eastAsia="仿宋_GB2312"/>
                <w:szCs w:val="21"/>
              </w:rPr>
              <w:t>L&gt;2000</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cantSplit/>
          <w:trHeight w:val="170" w:hRule="atLeast"/>
          <w:tblHeader/>
          <w:jc w:val="center"/>
        </w:trPr>
        <w:tc>
          <w:tcPr>
            <w:tcW w:w="744" w:type="pct"/>
            <w:vMerge w:val="continue"/>
            <w:vAlign w:val="center"/>
          </w:tcPr>
          <w:p>
            <w:pPr>
              <w:adjustRightInd w:val="0"/>
              <w:snapToGrid w:val="0"/>
              <w:spacing w:line="240" w:lineRule="exact"/>
              <w:jc w:val="center"/>
              <w:rPr>
                <w:rFonts w:eastAsia="仿宋_GB2312"/>
                <w:szCs w:val="21"/>
              </w:rPr>
            </w:pPr>
          </w:p>
        </w:tc>
        <w:tc>
          <w:tcPr>
            <w:tcW w:w="807" w:type="pct"/>
            <w:vMerge w:val="continue"/>
            <w:vAlign w:val="center"/>
          </w:tcPr>
          <w:p>
            <w:pPr>
              <w:adjustRightInd w:val="0"/>
              <w:snapToGrid w:val="0"/>
              <w:spacing w:line="240" w:lineRule="exact"/>
              <w:jc w:val="center"/>
              <w:rPr>
                <w:rFonts w:eastAsia="仿宋_GB2312"/>
                <w:szCs w:val="21"/>
              </w:rPr>
            </w:pPr>
          </w:p>
        </w:tc>
        <w:tc>
          <w:tcPr>
            <w:tcW w:w="3449" w:type="pct"/>
            <w:gridSpan w:val="9"/>
            <w:vAlign w:val="center"/>
          </w:tcPr>
          <w:p>
            <w:pPr>
              <w:adjustRightInd w:val="0"/>
              <w:snapToGrid w:val="0"/>
              <w:spacing w:line="240" w:lineRule="exact"/>
              <w:jc w:val="center"/>
              <w:rPr>
                <w:rFonts w:eastAsia="仿宋_GB2312"/>
                <w:szCs w:val="21"/>
              </w:rPr>
            </w:pPr>
            <w:r>
              <w:rPr>
                <w:rFonts w:eastAsia="仿宋_GB2312"/>
                <w:szCs w:val="21"/>
              </w:rPr>
              <w:t>工业大气污染源构成类别</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cantSplit/>
          <w:trHeight w:val="170" w:hRule="atLeast"/>
          <w:tblHeader/>
          <w:jc w:val="center"/>
        </w:trPr>
        <w:tc>
          <w:tcPr>
            <w:tcW w:w="744" w:type="pct"/>
            <w:vMerge w:val="continue"/>
            <w:vAlign w:val="center"/>
          </w:tcPr>
          <w:p>
            <w:pPr>
              <w:adjustRightInd w:val="0"/>
              <w:snapToGrid w:val="0"/>
              <w:spacing w:line="240" w:lineRule="exact"/>
              <w:jc w:val="center"/>
              <w:rPr>
                <w:rFonts w:eastAsia="仿宋_GB2312"/>
                <w:szCs w:val="21"/>
              </w:rPr>
            </w:pPr>
          </w:p>
        </w:tc>
        <w:tc>
          <w:tcPr>
            <w:tcW w:w="807" w:type="pct"/>
            <w:vMerge w:val="continue"/>
            <w:vAlign w:val="center"/>
          </w:tcPr>
          <w:p>
            <w:pPr>
              <w:adjustRightInd w:val="0"/>
              <w:snapToGrid w:val="0"/>
              <w:spacing w:line="240" w:lineRule="exact"/>
              <w:jc w:val="center"/>
              <w:rPr>
                <w:rFonts w:eastAsia="仿宋_GB2312"/>
                <w:szCs w:val="21"/>
              </w:rPr>
            </w:pPr>
          </w:p>
        </w:tc>
        <w:tc>
          <w:tcPr>
            <w:tcW w:w="384" w:type="pct"/>
            <w:vAlign w:val="center"/>
          </w:tcPr>
          <w:p>
            <w:pPr>
              <w:adjustRightInd w:val="0"/>
              <w:snapToGrid w:val="0"/>
              <w:spacing w:line="240" w:lineRule="exact"/>
              <w:jc w:val="center"/>
              <w:rPr>
                <w:rFonts w:eastAsia="仿宋_GB2312"/>
                <w:szCs w:val="21"/>
              </w:rPr>
            </w:pPr>
            <w:r>
              <w:rPr>
                <w:rFonts w:hint="eastAsia" w:eastAsia="仿宋_GB2312" w:cs="宋体"/>
                <w:szCs w:val="21"/>
              </w:rPr>
              <w:t>Ⅰ</w:t>
            </w:r>
          </w:p>
        </w:tc>
        <w:tc>
          <w:tcPr>
            <w:tcW w:w="385" w:type="pct"/>
            <w:vAlign w:val="center"/>
          </w:tcPr>
          <w:p>
            <w:pPr>
              <w:adjustRightInd w:val="0"/>
              <w:snapToGrid w:val="0"/>
              <w:spacing w:line="240" w:lineRule="exact"/>
              <w:jc w:val="center"/>
              <w:rPr>
                <w:rFonts w:eastAsia="仿宋_GB2312"/>
                <w:szCs w:val="21"/>
              </w:rPr>
            </w:pPr>
            <w:r>
              <w:rPr>
                <w:rFonts w:hint="eastAsia" w:eastAsia="仿宋_GB2312" w:cs="宋体"/>
                <w:szCs w:val="21"/>
              </w:rPr>
              <w:t>Ⅱ</w:t>
            </w:r>
          </w:p>
        </w:tc>
        <w:tc>
          <w:tcPr>
            <w:tcW w:w="387" w:type="pct"/>
            <w:vAlign w:val="center"/>
          </w:tcPr>
          <w:p>
            <w:pPr>
              <w:adjustRightInd w:val="0"/>
              <w:snapToGrid w:val="0"/>
              <w:spacing w:line="240" w:lineRule="exact"/>
              <w:jc w:val="center"/>
              <w:rPr>
                <w:rFonts w:eastAsia="仿宋_GB2312"/>
                <w:szCs w:val="21"/>
              </w:rPr>
            </w:pPr>
            <w:r>
              <w:rPr>
                <w:rFonts w:hint="eastAsia" w:eastAsia="仿宋_GB2312" w:cs="宋体"/>
                <w:szCs w:val="21"/>
              </w:rPr>
              <w:t>Ⅲ</w:t>
            </w:r>
          </w:p>
        </w:tc>
        <w:tc>
          <w:tcPr>
            <w:tcW w:w="385" w:type="pct"/>
            <w:vAlign w:val="center"/>
          </w:tcPr>
          <w:p>
            <w:pPr>
              <w:adjustRightInd w:val="0"/>
              <w:snapToGrid w:val="0"/>
              <w:spacing w:line="240" w:lineRule="exact"/>
              <w:jc w:val="center"/>
              <w:rPr>
                <w:rFonts w:eastAsia="仿宋_GB2312"/>
                <w:szCs w:val="21"/>
              </w:rPr>
            </w:pPr>
            <w:r>
              <w:rPr>
                <w:rFonts w:hint="eastAsia" w:eastAsia="仿宋_GB2312" w:cs="宋体"/>
                <w:szCs w:val="21"/>
              </w:rPr>
              <w:t>Ⅰ</w:t>
            </w:r>
          </w:p>
        </w:tc>
        <w:tc>
          <w:tcPr>
            <w:tcW w:w="385" w:type="pct"/>
            <w:vAlign w:val="center"/>
          </w:tcPr>
          <w:p>
            <w:pPr>
              <w:adjustRightInd w:val="0"/>
              <w:snapToGrid w:val="0"/>
              <w:spacing w:line="240" w:lineRule="exact"/>
              <w:jc w:val="center"/>
              <w:rPr>
                <w:rFonts w:eastAsia="仿宋_GB2312"/>
                <w:szCs w:val="21"/>
              </w:rPr>
            </w:pPr>
            <w:r>
              <w:rPr>
                <w:rFonts w:hint="eastAsia" w:eastAsia="仿宋_GB2312" w:cs="宋体"/>
                <w:szCs w:val="21"/>
              </w:rPr>
              <w:t>Ⅱ</w:t>
            </w:r>
          </w:p>
        </w:tc>
        <w:tc>
          <w:tcPr>
            <w:tcW w:w="387" w:type="pct"/>
            <w:vAlign w:val="center"/>
          </w:tcPr>
          <w:p>
            <w:pPr>
              <w:adjustRightInd w:val="0"/>
              <w:snapToGrid w:val="0"/>
              <w:spacing w:line="240" w:lineRule="exact"/>
              <w:jc w:val="center"/>
              <w:rPr>
                <w:rFonts w:eastAsia="仿宋_GB2312"/>
                <w:szCs w:val="21"/>
              </w:rPr>
            </w:pPr>
            <w:r>
              <w:rPr>
                <w:rFonts w:hint="eastAsia" w:eastAsia="仿宋_GB2312" w:cs="宋体"/>
                <w:szCs w:val="21"/>
              </w:rPr>
              <w:t>Ⅲ</w:t>
            </w:r>
          </w:p>
        </w:tc>
        <w:tc>
          <w:tcPr>
            <w:tcW w:w="385" w:type="pct"/>
            <w:vAlign w:val="center"/>
          </w:tcPr>
          <w:p>
            <w:pPr>
              <w:adjustRightInd w:val="0"/>
              <w:snapToGrid w:val="0"/>
              <w:spacing w:line="240" w:lineRule="exact"/>
              <w:jc w:val="center"/>
              <w:rPr>
                <w:rFonts w:eastAsia="仿宋_GB2312"/>
                <w:szCs w:val="21"/>
              </w:rPr>
            </w:pPr>
            <w:r>
              <w:rPr>
                <w:rFonts w:hint="eastAsia" w:eastAsia="仿宋_GB2312" w:cs="宋体"/>
                <w:szCs w:val="21"/>
              </w:rPr>
              <w:t>Ⅰ</w:t>
            </w:r>
          </w:p>
        </w:tc>
        <w:tc>
          <w:tcPr>
            <w:tcW w:w="385" w:type="pct"/>
            <w:vAlign w:val="center"/>
          </w:tcPr>
          <w:p>
            <w:pPr>
              <w:adjustRightInd w:val="0"/>
              <w:snapToGrid w:val="0"/>
              <w:spacing w:line="240" w:lineRule="exact"/>
              <w:jc w:val="center"/>
              <w:rPr>
                <w:rFonts w:eastAsia="仿宋_GB2312"/>
                <w:szCs w:val="21"/>
              </w:rPr>
            </w:pPr>
            <w:r>
              <w:rPr>
                <w:rFonts w:hint="eastAsia" w:eastAsia="仿宋_GB2312" w:cs="宋体"/>
                <w:szCs w:val="21"/>
              </w:rPr>
              <w:t>Ⅱ</w:t>
            </w:r>
          </w:p>
        </w:tc>
        <w:tc>
          <w:tcPr>
            <w:tcW w:w="367" w:type="pct"/>
            <w:vAlign w:val="center"/>
          </w:tcPr>
          <w:p>
            <w:pPr>
              <w:adjustRightInd w:val="0"/>
              <w:snapToGrid w:val="0"/>
              <w:spacing w:line="240" w:lineRule="exact"/>
              <w:jc w:val="center"/>
              <w:rPr>
                <w:rFonts w:eastAsia="仿宋_GB2312"/>
                <w:szCs w:val="21"/>
              </w:rPr>
            </w:pPr>
            <w:r>
              <w:rPr>
                <w:rFonts w:hint="eastAsia" w:eastAsia="仿宋_GB2312" w:cs="宋体"/>
                <w:szCs w:val="21"/>
              </w:rPr>
              <w:t>Ⅲ</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cantSplit/>
          <w:trHeight w:val="170" w:hRule="atLeast"/>
          <w:jc w:val="center"/>
        </w:trPr>
        <w:tc>
          <w:tcPr>
            <w:tcW w:w="744" w:type="pct"/>
            <w:vMerge w:val="restart"/>
            <w:vAlign w:val="center"/>
          </w:tcPr>
          <w:p>
            <w:pPr>
              <w:adjustRightInd w:val="0"/>
              <w:snapToGrid w:val="0"/>
              <w:spacing w:line="240" w:lineRule="exact"/>
              <w:jc w:val="center"/>
              <w:rPr>
                <w:rFonts w:eastAsia="仿宋_GB2312"/>
                <w:szCs w:val="21"/>
              </w:rPr>
            </w:pPr>
            <w:r>
              <w:rPr>
                <w:rFonts w:eastAsia="仿宋_GB2312"/>
                <w:szCs w:val="21"/>
              </w:rPr>
              <w:t>A</w:t>
            </w:r>
          </w:p>
        </w:tc>
        <w:tc>
          <w:tcPr>
            <w:tcW w:w="807" w:type="pct"/>
            <w:vAlign w:val="center"/>
          </w:tcPr>
          <w:p>
            <w:pPr>
              <w:adjustRightInd w:val="0"/>
              <w:snapToGrid w:val="0"/>
              <w:spacing w:line="240" w:lineRule="exact"/>
              <w:jc w:val="center"/>
              <w:rPr>
                <w:rFonts w:eastAsia="仿宋_GB2312"/>
                <w:szCs w:val="21"/>
              </w:rPr>
            </w:pPr>
            <w:r>
              <w:rPr>
                <w:rFonts w:eastAsia="仿宋_GB2312"/>
                <w:szCs w:val="21"/>
                <w:lang w:val="en-GB"/>
              </w:rPr>
              <w:t>&lt;</w:t>
            </w:r>
            <w:r>
              <w:rPr>
                <w:rFonts w:eastAsia="仿宋_GB2312"/>
                <w:szCs w:val="21"/>
              </w:rPr>
              <w:t>2</w:t>
            </w:r>
          </w:p>
        </w:tc>
        <w:tc>
          <w:tcPr>
            <w:tcW w:w="384" w:type="pct"/>
            <w:vAlign w:val="center"/>
          </w:tcPr>
          <w:p>
            <w:pPr>
              <w:adjustRightInd w:val="0"/>
              <w:snapToGrid w:val="0"/>
              <w:spacing w:line="240" w:lineRule="exact"/>
              <w:jc w:val="center"/>
              <w:rPr>
                <w:rFonts w:eastAsia="仿宋_GB2312"/>
                <w:szCs w:val="21"/>
              </w:rPr>
            </w:pPr>
            <w:r>
              <w:rPr>
                <w:rFonts w:eastAsia="仿宋_GB2312"/>
                <w:szCs w:val="21"/>
              </w:rPr>
              <w:t>400</w:t>
            </w:r>
          </w:p>
        </w:tc>
        <w:tc>
          <w:tcPr>
            <w:tcW w:w="385" w:type="pct"/>
            <w:vAlign w:val="center"/>
          </w:tcPr>
          <w:p>
            <w:pPr>
              <w:adjustRightInd w:val="0"/>
              <w:snapToGrid w:val="0"/>
              <w:spacing w:line="240" w:lineRule="exact"/>
              <w:jc w:val="center"/>
              <w:rPr>
                <w:rFonts w:eastAsia="仿宋_GB2312"/>
                <w:szCs w:val="21"/>
              </w:rPr>
            </w:pPr>
            <w:r>
              <w:rPr>
                <w:rFonts w:eastAsia="仿宋_GB2312"/>
                <w:szCs w:val="21"/>
              </w:rPr>
              <w:t>400</w:t>
            </w:r>
          </w:p>
        </w:tc>
        <w:tc>
          <w:tcPr>
            <w:tcW w:w="387" w:type="pct"/>
            <w:vAlign w:val="center"/>
          </w:tcPr>
          <w:p>
            <w:pPr>
              <w:adjustRightInd w:val="0"/>
              <w:snapToGrid w:val="0"/>
              <w:spacing w:line="240" w:lineRule="exact"/>
              <w:jc w:val="center"/>
              <w:rPr>
                <w:rFonts w:eastAsia="仿宋_GB2312"/>
                <w:szCs w:val="21"/>
              </w:rPr>
            </w:pPr>
            <w:r>
              <w:rPr>
                <w:rFonts w:eastAsia="仿宋_GB2312"/>
                <w:szCs w:val="21"/>
              </w:rPr>
              <w:t>400</w:t>
            </w:r>
          </w:p>
        </w:tc>
        <w:tc>
          <w:tcPr>
            <w:tcW w:w="385" w:type="pct"/>
            <w:vAlign w:val="center"/>
          </w:tcPr>
          <w:p>
            <w:pPr>
              <w:adjustRightInd w:val="0"/>
              <w:snapToGrid w:val="0"/>
              <w:spacing w:line="240" w:lineRule="exact"/>
              <w:jc w:val="center"/>
              <w:rPr>
                <w:rFonts w:eastAsia="仿宋_GB2312"/>
                <w:szCs w:val="21"/>
              </w:rPr>
            </w:pPr>
            <w:r>
              <w:rPr>
                <w:rFonts w:eastAsia="仿宋_GB2312"/>
                <w:szCs w:val="21"/>
              </w:rPr>
              <w:t>400</w:t>
            </w:r>
          </w:p>
        </w:tc>
        <w:tc>
          <w:tcPr>
            <w:tcW w:w="385" w:type="pct"/>
            <w:vAlign w:val="center"/>
          </w:tcPr>
          <w:p>
            <w:pPr>
              <w:adjustRightInd w:val="0"/>
              <w:snapToGrid w:val="0"/>
              <w:spacing w:line="240" w:lineRule="exact"/>
              <w:jc w:val="center"/>
              <w:rPr>
                <w:rFonts w:eastAsia="仿宋_GB2312"/>
                <w:szCs w:val="21"/>
              </w:rPr>
            </w:pPr>
            <w:r>
              <w:rPr>
                <w:rFonts w:eastAsia="仿宋_GB2312"/>
                <w:szCs w:val="21"/>
              </w:rPr>
              <w:t>400</w:t>
            </w:r>
          </w:p>
        </w:tc>
        <w:tc>
          <w:tcPr>
            <w:tcW w:w="387" w:type="pct"/>
            <w:vAlign w:val="center"/>
          </w:tcPr>
          <w:p>
            <w:pPr>
              <w:adjustRightInd w:val="0"/>
              <w:snapToGrid w:val="0"/>
              <w:spacing w:line="240" w:lineRule="exact"/>
              <w:jc w:val="center"/>
              <w:rPr>
                <w:rFonts w:eastAsia="仿宋_GB2312"/>
                <w:szCs w:val="21"/>
              </w:rPr>
            </w:pPr>
            <w:r>
              <w:rPr>
                <w:rFonts w:eastAsia="仿宋_GB2312"/>
                <w:szCs w:val="21"/>
              </w:rPr>
              <w:t>400</w:t>
            </w:r>
          </w:p>
        </w:tc>
        <w:tc>
          <w:tcPr>
            <w:tcW w:w="385" w:type="pct"/>
            <w:vAlign w:val="center"/>
          </w:tcPr>
          <w:p>
            <w:pPr>
              <w:adjustRightInd w:val="0"/>
              <w:snapToGrid w:val="0"/>
              <w:spacing w:line="240" w:lineRule="exact"/>
              <w:jc w:val="center"/>
              <w:rPr>
                <w:rFonts w:eastAsia="仿宋_GB2312"/>
                <w:szCs w:val="21"/>
              </w:rPr>
            </w:pPr>
            <w:r>
              <w:rPr>
                <w:rFonts w:eastAsia="仿宋_GB2312"/>
                <w:szCs w:val="21"/>
              </w:rPr>
              <w:t>80</w:t>
            </w:r>
          </w:p>
        </w:tc>
        <w:tc>
          <w:tcPr>
            <w:tcW w:w="385" w:type="pct"/>
            <w:vAlign w:val="center"/>
          </w:tcPr>
          <w:p>
            <w:pPr>
              <w:adjustRightInd w:val="0"/>
              <w:snapToGrid w:val="0"/>
              <w:spacing w:line="240" w:lineRule="exact"/>
              <w:jc w:val="center"/>
              <w:rPr>
                <w:rFonts w:eastAsia="仿宋_GB2312"/>
                <w:szCs w:val="21"/>
              </w:rPr>
            </w:pPr>
            <w:r>
              <w:rPr>
                <w:rFonts w:eastAsia="仿宋_GB2312"/>
                <w:szCs w:val="21"/>
              </w:rPr>
              <w:t>80</w:t>
            </w:r>
          </w:p>
        </w:tc>
        <w:tc>
          <w:tcPr>
            <w:tcW w:w="367" w:type="pct"/>
            <w:vAlign w:val="center"/>
          </w:tcPr>
          <w:p>
            <w:pPr>
              <w:adjustRightInd w:val="0"/>
              <w:snapToGrid w:val="0"/>
              <w:spacing w:line="240" w:lineRule="exact"/>
              <w:jc w:val="center"/>
              <w:rPr>
                <w:rFonts w:eastAsia="仿宋_GB2312"/>
                <w:szCs w:val="21"/>
              </w:rPr>
            </w:pPr>
            <w:r>
              <w:rPr>
                <w:rFonts w:eastAsia="仿宋_GB2312"/>
                <w:szCs w:val="21"/>
              </w:rPr>
              <w:t>80</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cantSplit/>
          <w:trHeight w:val="170" w:hRule="atLeast"/>
          <w:jc w:val="center"/>
        </w:trPr>
        <w:tc>
          <w:tcPr>
            <w:tcW w:w="744" w:type="pct"/>
            <w:vMerge w:val="continue"/>
            <w:vAlign w:val="center"/>
          </w:tcPr>
          <w:p>
            <w:pPr>
              <w:adjustRightInd w:val="0"/>
              <w:snapToGrid w:val="0"/>
              <w:spacing w:line="240" w:lineRule="exact"/>
              <w:jc w:val="center"/>
              <w:rPr>
                <w:rFonts w:eastAsia="仿宋_GB2312"/>
                <w:szCs w:val="21"/>
              </w:rPr>
            </w:pPr>
          </w:p>
        </w:tc>
        <w:tc>
          <w:tcPr>
            <w:tcW w:w="807" w:type="pct"/>
            <w:vAlign w:val="center"/>
          </w:tcPr>
          <w:p>
            <w:pPr>
              <w:adjustRightInd w:val="0"/>
              <w:snapToGrid w:val="0"/>
              <w:spacing w:line="240" w:lineRule="exact"/>
              <w:jc w:val="center"/>
              <w:rPr>
                <w:rFonts w:eastAsia="仿宋_GB2312"/>
                <w:szCs w:val="21"/>
              </w:rPr>
            </w:pPr>
            <w:r>
              <w:rPr>
                <w:rFonts w:eastAsia="仿宋_GB2312"/>
                <w:szCs w:val="21"/>
              </w:rPr>
              <w:t>2~4</w:t>
            </w:r>
          </w:p>
        </w:tc>
        <w:tc>
          <w:tcPr>
            <w:tcW w:w="384" w:type="pct"/>
            <w:vAlign w:val="center"/>
          </w:tcPr>
          <w:p>
            <w:pPr>
              <w:adjustRightInd w:val="0"/>
              <w:snapToGrid w:val="0"/>
              <w:spacing w:line="240" w:lineRule="exact"/>
              <w:jc w:val="center"/>
              <w:rPr>
                <w:rFonts w:eastAsia="仿宋_GB2312"/>
                <w:szCs w:val="21"/>
              </w:rPr>
            </w:pPr>
            <w:r>
              <w:rPr>
                <w:rFonts w:eastAsia="仿宋_GB2312"/>
                <w:szCs w:val="21"/>
              </w:rPr>
              <w:t>700</w:t>
            </w:r>
          </w:p>
        </w:tc>
        <w:tc>
          <w:tcPr>
            <w:tcW w:w="385" w:type="pct"/>
            <w:shd w:val="clear" w:color="auto" w:fill="C0C0C0"/>
            <w:vAlign w:val="center"/>
          </w:tcPr>
          <w:p>
            <w:pPr>
              <w:adjustRightInd w:val="0"/>
              <w:snapToGrid w:val="0"/>
              <w:spacing w:line="240" w:lineRule="exact"/>
              <w:jc w:val="center"/>
              <w:rPr>
                <w:rFonts w:eastAsia="仿宋_GB2312"/>
                <w:szCs w:val="21"/>
              </w:rPr>
            </w:pPr>
            <w:r>
              <w:rPr>
                <w:rFonts w:eastAsia="仿宋_GB2312"/>
                <w:szCs w:val="21"/>
              </w:rPr>
              <w:t>470</w:t>
            </w:r>
          </w:p>
        </w:tc>
        <w:tc>
          <w:tcPr>
            <w:tcW w:w="387" w:type="pct"/>
            <w:vAlign w:val="center"/>
          </w:tcPr>
          <w:p>
            <w:pPr>
              <w:adjustRightInd w:val="0"/>
              <w:snapToGrid w:val="0"/>
              <w:spacing w:line="240" w:lineRule="exact"/>
              <w:jc w:val="center"/>
              <w:rPr>
                <w:rFonts w:eastAsia="仿宋_GB2312"/>
                <w:szCs w:val="21"/>
              </w:rPr>
            </w:pPr>
            <w:r>
              <w:rPr>
                <w:rFonts w:eastAsia="仿宋_GB2312"/>
                <w:szCs w:val="21"/>
              </w:rPr>
              <w:t>350</w:t>
            </w:r>
          </w:p>
        </w:tc>
        <w:tc>
          <w:tcPr>
            <w:tcW w:w="385" w:type="pct"/>
            <w:vAlign w:val="center"/>
          </w:tcPr>
          <w:p>
            <w:pPr>
              <w:adjustRightInd w:val="0"/>
              <w:snapToGrid w:val="0"/>
              <w:spacing w:line="240" w:lineRule="exact"/>
              <w:jc w:val="center"/>
              <w:rPr>
                <w:rFonts w:eastAsia="仿宋_GB2312"/>
                <w:szCs w:val="21"/>
              </w:rPr>
            </w:pPr>
            <w:r>
              <w:rPr>
                <w:rFonts w:eastAsia="仿宋_GB2312"/>
                <w:szCs w:val="21"/>
              </w:rPr>
              <w:t>700</w:t>
            </w:r>
          </w:p>
        </w:tc>
        <w:tc>
          <w:tcPr>
            <w:tcW w:w="385" w:type="pct"/>
            <w:vAlign w:val="center"/>
          </w:tcPr>
          <w:p>
            <w:pPr>
              <w:adjustRightInd w:val="0"/>
              <w:snapToGrid w:val="0"/>
              <w:spacing w:line="240" w:lineRule="exact"/>
              <w:jc w:val="center"/>
              <w:rPr>
                <w:rFonts w:eastAsia="仿宋_GB2312"/>
                <w:szCs w:val="21"/>
              </w:rPr>
            </w:pPr>
            <w:r>
              <w:rPr>
                <w:rFonts w:eastAsia="仿宋_GB2312"/>
                <w:szCs w:val="21"/>
              </w:rPr>
              <w:t>470</w:t>
            </w:r>
          </w:p>
        </w:tc>
        <w:tc>
          <w:tcPr>
            <w:tcW w:w="387" w:type="pct"/>
            <w:vAlign w:val="center"/>
          </w:tcPr>
          <w:p>
            <w:pPr>
              <w:adjustRightInd w:val="0"/>
              <w:snapToGrid w:val="0"/>
              <w:spacing w:line="240" w:lineRule="exact"/>
              <w:jc w:val="center"/>
              <w:rPr>
                <w:rFonts w:eastAsia="仿宋_GB2312"/>
                <w:szCs w:val="21"/>
              </w:rPr>
            </w:pPr>
            <w:r>
              <w:rPr>
                <w:rFonts w:eastAsia="仿宋_GB2312"/>
                <w:szCs w:val="21"/>
              </w:rPr>
              <w:t>350</w:t>
            </w:r>
          </w:p>
        </w:tc>
        <w:tc>
          <w:tcPr>
            <w:tcW w:w="385" w:type="pct"/>
            <w:vAlign w:val="center"/>
          </w:tcPr>
          <w:p>
            <w:pPr>
              <w:adjustRightInd w:val="0"/>
              <w:snapToGrid w:val="0"/>
              <w:spacing w:line="240" w:lineRule="exact"/>
              <w:jc w:val="center"/>
              <w:rPr>
                <w:rFonts w:eastAsia="仿宋_GB2312"/>
                <w:szCs w:val="21"/>
              </w:rPr>
            </w:pPr>
            <w:r>
              <w:rPr>
                <w:rFonts w:eastAsia="仿宋_GB2312"/>
                <w:szCs w:val="21"/>
              </w:rPr>
              <w:t>380</w:t>
            </w:r>
          </w:p>
        </w:tc>
        <w:tc>
          <w:tcPr>
            <w:tcW w:w="385" w:type="pct"/>
            <w:vAlign w:val="center"/>
          </w:tcPr>
          <w:p>
            <w:pPr>
              <w:adjustRightInd w:val="0"/>
              <w:snapToGrid w:val="0"/>
              <w:spacing w:line="240" w:lineRule="exact"/>
              <w:jc w:val="center"/>
              <w:rPr>
                <w:rFonts w:eastAsia="仿宋_GB2312"/>
                <w:szCs w:val="21"/>
              </w:rPr>
            </w:pPr>
            <w:r>
              <w:rPr>
                <w:rFonts w:eastAsia="仿宋_GB2312"/>
                <w:szCs w:val="21"/>
              </w:rPr>
              <w:t>250</w:t>
            </w:r>
          </w:p>
        </w:tc>
        <w:tc>
          <w:tcPr>
            <w:tcW w:w="367" w:type="pct"/>
            <w:vAlign w:val="center"/>
          </w:tcPr>
          <w:p>
            <w:pPr>
              <w:adjustRightInd w:val="0"/>
              <w:snapToGrid w:val="0"/>
              <w:spacing w:line="240" w:lineRule="exact"/>
              <w:jc w:val="center"/>
              <w:rPr>
                <w:rFonts w:eastAsia="仿宋_GB2312"/>
                <w:szCs w:val="21"/>
              </w:rPr>
            </w:pPr>
            <w:r>
              <w:rPr>
                <w:rFonts w:eastAsia="仿宋_GB2312"/>
                <w:szCs w:val="21"/>
              </w:rPr>
              <w:t>190</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cantSplit/>
          <w:trHeight w:val="170" w:hRule="atLeast"/>
          <w:jc w:val="center"/>
        </w:trPr>
        <w:tc>
          <w:tcPr>
            <w:tcW w:w="744" w:type="pct"/>
            <w:vMerge w:val="continue"/>
            <w:vAlign w:val="center"/>
          </w:tcPr>
          <w:p>
            <w:pPr>
              <w:adjustRightInd w:val="0"/>
              <w:snapToGrid w:val="0"/>
              <w:spacing w:line="240" w:lineRule="exact"/>
              <w:jc w:val="center"/>
              <w:rPr>
                <w:rFonts w:eastAsia="仿宋_GB2312"/>
                <w:szCs w:val="21"/>
              </w:rPr>
            </w:pPr>
          </w:p>
        </w:tc>
        <w:tc>
          <w:tcPr>
            <w:tcW w:w="807" w:type="pct"/>
            <w:vAlign w:val="center"/>
          </w:tcPr>
          <w:p>
            <w:pPr>
              <w:adjustRightInd w:val="0"/>
              <w:snapToGrid w:val="0"/>
              <w:spacing w:line="240" w:lineRule="exact"/>
              <w:jc w:val="center"/>
              <w:rPr>
                <w:rFonts w:eastAsia="仿宋_GB2312"/>
                <w:szCs w:val="21"/>
              </w:rPr>
            </w:pPr>
            <w:r>
              <w:rPr>
                <w:rFonts w:eastAsia="仿宋_GB2312"/>
                <w:szCs w:val="21"/>
                <w:lang w:val="en-GB"/>
              </w:rPr>
              <w:t>&gt;</w:t>
            </w:r>
            <w:r>
              <w:rPr>
                <w:rFonts w:eastAsia="仿宋_GB2312"/>
                <w:szCs w:val="21"/>
              </w:rPr>
              <w:t>4</w:t>
            </w:r>
          </w:p>
        </w:tc>
        <w:tc>
          <w:tcPr>
            <w:tcW w:w="384" w:type="pct"/>
            <w:vAlign w:val="center"/>
          </w:tcPr>
          <w:p>
            <w:pPr>
              <w:adjustRightInd w:val="0"/>
              <w:snapToGrid w:val="0"/>
              <w:spacing w:line="240" w:lineRule="exact"/>
              <w:jc w:val="center"/>
              <w:rPr>
                <w:rFonts w:eastAsia="仿宋_GB2312"/>
                <w:szCs w:val="21"/>
              </w:rPr>
            </w:pPr>
            <w:r>
              <w:rPr>
                <w:rFonts w:eastAsia="仿宋_GB2312"/>
                <w:szCs w:val="21"/>
              </w:rPr>
              <w:t>530</w:t>
            </w:r>
          </w:p>
        </w:tc>
        <w:tc>
          <w:tcPr>
            <w:tcW w:w="385" w:type="pct"/>
            <w:vAlign w:val="center"/>
          </w:tcPr>
          <w:p>
            <w:pPr>
              <w:adjustRightInd w:val="0"/>
              <w:snapToGrid w:val="0"/>
              <w:spacing w:line="240" w:lineRule="exact"/>
              <w:jc w:val="center"/>
              <w:rPr>
                <w:rFonts w:eastAsia="仿宋_GB2312"/>
                <w:szCs w:val="21"/>
              </w:rPr>
            </w:pPr>
            <w:r>
              <w:rPr>
                <w:rFonts w:eastAsia="仿宋_GB2312"/>
                <w:szCs w:val="21"/>
              </w:rPr>
              <w:t>350</w:t>
            </w:r>
          </w:p>
        </w:tc>
        <w:tc>
          <w:tcPr>
            <w:tcW w:w="387" w:type="pct"/>
            <w:vAlign w:val="center"/>
          </w:tcPr>
          <w:p>
            <w:pPr>
              <w:adjustRightInd w:val="0"/>
              <w:snapToGrid w:val="0"/>
              <w:spacing w:line="240" w:lineRule="exact"/>
              <w:jc w:val="center"/>
              <w:rPr>
                <w:rFonts w:eastAsia="仿宋_GB2312"/>
                <w:szCs w:val="21"/>
              </w:rPr>
            </w:pPr>
            <w:r>
              <w:rPr>
                <w:rFonts w:eastAsia="仿宋_GB2312"/>
                <w:szCs w:val="21"/>
              </w:rPr>
              <w:t>260</w:t>
            </w:r>
          </w:p>
        </w:tc>
        <w:tc>
          <w:tcPr>
            <w:tcW w:w="385" w:type="pct"/>
            <w:vAlign w:val="center"/>
          </w:tcPr>
          <w:p>
            <w:pPr>
              <w:adjustRightInd w:val="0"/>
              <w:snapToGrid w:val="0"/>
              <w:spacing w:line="240" w:lineRule="exact"/>
              <w:jc w:val="center"/>
              <w:rPr>
                <w:rFonts w:eastAsia="仿宋_GB2312"/>
                <w:szCs w:val="21"/>
              </w:rPr>
            </w:pPr>
            <w:r>
              <w:rPr>
                <w:rFonts w:eastAsia="仿宋_GB2312"/>
                <w:szCs w:val="21"/>
              </w:rPr>
              <w:t>530</w:t>
            </w:r>
          </w:p>
        </w:tc>
        <w:tc>
          <w:tcPr>
            <w:tcW w:w="385" w:type="pct"/>
            <w:vAlign w:val="center"/>
          </w:tcPr>
          <w:p>
            <w:pPr>
              <w:adjustRightInd w:val="0"/>
              <w:snapToGrid w:val="0"/>
              <w:spacing w:line="240" w:lineRule="exact"/>
              <w:jc w:val="center"/>
              <w:rPr>
                <w:rFonts w:eastAsia="仿宋_GB2312"/>
                <w:szCs w:val="21"/>
              </w:rPr>
            </w:pPr>
            <w:r>
              <w:rPr>
                <w:rFonts w:eastAsia="仿宋_GB2312"/>
                <w:szCs w:val="21"/>
              </w:rPr>
              <w:t>350</w:t>
            </w:r>
          </w:p>
        </w:tc>
        <w:tc>
          <w:tcPr>
            <w:tcW w:w="387" w:type="pct"/>
            <w:vAlign w:val="center"/>
          </w:tcPr>
          <w:p>
            <w:pPr>
              <w:adjustRightInd w:val="0"/>
              <w:snapToGrid w:val="0"/>
              <w:spacing w:line="240" w:lineRule="exact"/>
              <w:jc w:val="center"/>
              <w:rPr>
                <w:rFonts w:eastAsia="仿宋_GB2312"/>
                <w:szCs w:val="21"/>
              </w:rPr>
            </w:pPr>
            <w:r>
              <w:rPr>
                <w:rFonts w:eastAsia="仿宋_GB2312"/>
                <w:szCs w:val="21"/>
              </w:rPr>
              <w:t>260</w:t>
            </w:r>
          </w:p>
        </w:tc>
        <w:tc>
          <w:tcPr>
            <w:tcW w:w="385" w:type="pct"/>
            <w:vAlign w:val="center"/>
          </w:tcPr>
          <w:p>
            <w:pPr>
              <w:adjustRightInd w:val="0"/>
              <w:snapToGrid w:val="0"/>
              <w:spacing w:line="240" w:lineRule="exact"/>
              <w:jc w:val="center"/>
              <w:rPr>
                <w:rFonts w:eastAsia="仿宋_GB2312"/>
                <w:szCs w:val="21"/>
              </w:rPr>
            </w:pPr>
            <w:r>
              <w:rPr>
                <w:rFonts w:eastAsia="仿宋_GB2312"/>
                <w:szCs w:val="21"/>
              </w:rPr>
              <w:t>290</w:t>
            </w:r>
          </w:p>
        </w:tc>
        <w:tc>
          <w:tcPr>
            <w:tcW w:w="385" w:type="pct"/>
            <w:vAlign w:val="center"/>
          </w:tcPr>
          <w:p>
            <w:pPr>
              <w:adjustRightInd w:val="0"/>
              <w:snapToGrid w:val="0"/>
              <w:spacing w:line="240" w:lineRule="exact"/>
              <w:jc w:val="center"/>
              <w:rPr>
                <w:rFonts w:eastAsia="仿宋_GB2312"/>
                <w:szCs w:val="21"/>
              </w:rPr>
            </w:pPr>
            <w:r>
              <w:rPr>
                <w:rFonts w:eastAsia="仿宋_GB2312"/>
                <w:szCs w:val="21"/>
              </w:rPr>
              <w:t>190</w:t>
            </w:r>
          </w:p>
        </w:tc>
        <w:tc>
          <w:tcPr>
            <w:tcW w:w="367" w:type="pct"/>
            <w:vAlign w:val="center"/>
          </w:tcPr>
          <w:p>
            <w:pPr>
              <w:adjustRightInd w:val="0"/>
              <w:snapToGrid w:val="0"/>
              <w:spacing w:line="240" w:lineRule="exact"/>
              <w:jc w:val="center"/>
              <w:rPr>
                <w:rFonts w:eastAsia="仿宋_GB2312"/>
                <w:szCs w:val="21"/>
              </w:rPr>
            </w:pPr>
            <w:r>
              <w:rPr>
                <w:rFonts w:eastAsia="仿宋_GB2312"/>
                <w:szCs w:val="21"/>
              </w:rPr>
              <w:t>140</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cantSplit/>
          <w:trHeight w:val="170" w:hRule="atLeast"/>
          <w:jc w:val="center"/>
        </w:trPr>
        <w:tc>
          <w:tcPr>
            <w:tcW w:w="744" w:type="pct"/>
            <w:vMerge w:val="restart"/>
            <w:vAlign w:val="center"/>
          </w:tcPr>
          <w:p>
            <w:pPr>
              <w:adjustRightInd w:val="0"/>
              <w:snapToGrid w:val="0"/>
              <w:spacing w:line="240" w:lineRule="exact"/>
              <w:jc w:val="center"/>
              <w:rPr>
                <w:rFonts w:eastAsia="仿宋_GB2312"/>
                <w:szCs w:val="21"/>
              </w:rPr>
            </w:pPr>
            <w:r>
              <w:rPr>
                <w:rFonts w:eastAsia="仿宋_GB2312"/>
                <w:szCs w:val="21"/>
              </w:rPr>
              <w:t>B</w:t>
            </w:r>
          </w:p>
        </w:tc>
        <w:tc>
          <w:tcPr>
            <w:tcW w:w="807" w:type="pct"/>
            <w:vAlign w:val="center"/>
          </w:tcPr>
          <w:p>
            <w:pPr>
              <w:adjustRightInd w:val="0"/>
              <w:snapToGrid w:val="0"/>
              <w:spacing w:line="240" w:lineRule="exact"/>
              <w:jc w:val="center"/>
              <w:rPr>
                <w:rFonts w:eastAsia="仿宋_GB2312"/>
                <w:szCs w:val="21"/>
              </w:rPr>
            </w:pPr>
            <w:r>
              <w:rPr>
                <w:rFonts w:eastAsia="仿宋_GB2312"/>
                <w:szCs w:val="21"/>
                <w:lang w:val="en-GB"/>
              </w:rPr>
              <w:t>&lt;</w:t>
            </w:r>
            <w:r>
              <w:rPr>
                <w:rFonts w:eastAsia="仿宋_GB2312"/>
                <w:szCs w:val="21"/>
              </w:rPr>
              <w:t>2</w:t>
            </w:r>
          </w:p>
        </w:tc>
        <w:tc>
          <w:tcPr>
            <w:tcW w:w="1156" w:type="pct"/>
            <w:gridSpan w:val="3"/>
            <w:vAlign w:val="center"/>
          </w:tcPr>
          <w:p>
            <w:pPr>
              <w:adjustRightInd w:val="0"/>
              <w:snapToGrid w:val="0"/>
              <w:spacing w:line="240" w:lineRule="exact"/>
              <w:jc w:val="center"/>
              <w:rPr>
                <w:rFonts w:eastAsia="仿宋_GB2312"/>
                <w:szCs w:val="21"/>
              </w:rPr>
            </w:pPr>
            <w:r>
              <w:rPr>
                <w:rFonts w:eastAsia="仿宋_GB2312"/>
                <w:szCs w:val="21"/>
              </w:rPr>
              <w:t>0.01</w:t>
            </w:r>
          </w:p>
        </w:tc>
        <w:tc>
          <w:tcPr>
            <w:tcW w:w="1157" w:type="pct"/>
            <w:gridSpan w:val="3"/>
            <w:vAlign w:val="center"/>
          </w:tcPr>
          <w:p>
            <w:pPr>
              <w:adjustRightInd w:val="0"/>
              <w:snapToGrid w:val="0"/>
              <w:spacing w:line="240" w:lineRule="exact"/>
              <w:jc w:val="center"/>
              <w:rPr>
                <w:rFonts w:eastAsia="仿宋_GB2312"/>
                <w:szCs w:val="21"/>
              </w:rPr>
            </w:pPr>
            <w:r>
              <w:rPr>
                <w:rFonts w:eastAsia="仿宋_GB2312"/>
                <w:szCs w:val="21"/>
              </w:rPr>
              <w:t>0.015</w:t>
            </w:r>
          </w:p>
        </w:tc>
        <w:tc>
          <w:tcPr>
            <w:tcW w:w="1137" w:type="pct"/>
            <w:gridSpan w:val="3"/>
            <w:vAlign w:val="center"/>
          </w:tcPr>
          <w:p>
            <w:pPr>
              <w:adjustRightInd w:val="0"/>
              <w:snapToGrid w:val="0"/>
              <w:spacing w:line="240" w:lineRule="exact"/>
              <w:jc w:val="center"/>
              <w:rPr>
                <w:rFonts w:eastAsia="仿宋_GB2312"/>
                <w:szCs w:val="21"/>
              </w:rPr>
            </w:pPr>
            <w:r>
              <w:rPr>
                <w:rFonts w:eastAsia="仿宋_GB2312"/>
                <w:szCs w:val="21"/>
              </w:rPr>
              <w:t>0.015</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cantSplit/>
          <w:trHeight w:val="170" w:hRule="atLeast"/>
          <w:jc w:val="center"/>
        </w:trPr>
        <w:tc>
          <w:tcPr>
            <w:tcW w:w="744" w:type="pct"/>
            <w:vMerge w:val="continue"/>
            <w:vAlign w:val="center"/>
          </w:tcPr>
          <w:p>
            <w:pPr>
              <w:adjustRightInd w:val="0"/>
              <w:snapToGrid w:val="0"/>
              <w:spacing w:line="240" w:lineRule="exact"/>
              <w:jc w:val="center"/>
              <w:rPr>
                <w:rFonts w:eastAsia="仿宋_GB2312"/>
                <w:szCs w:val="21"/>
              </w:rPr>
            </w:pPr>
          </w:p>
        </w:tc>
        <w:tc>
          <w:tcPr>
            <w:tcW w:w="807" w:type="pct"/>
            <w:vAlign w:val="center"/>
          </w:tcPr>
          <w:p>
            <w:pPr>
              <w:adjustRightInd w:val="0"/>
              <w:snapToGrid w:val="0"/>
              <w:spacing w:line="240" w:lineRule="exact"/>
              <w:jc w:val="center"/>
              <w:rPr>
                <w:rFonts w:eastAsia="仿宋_GB2312"/>
                <w:szCs w:val="21"/>
              </w:rPr>
            </w:pPr>
            <w:r>
              <w:rPr>
                <w:rFonts w:eastAsia="仿宋_GB2312"/>
                <w:szCs w:val="21"/>
                <w:lang w:val="en-GB"/>
              </w:rPr>
              <w:t>&gt;</w:t>
            </w:r>
            <w:r>
              <w:rPr>
                <w:rFonts w:eastAsia="仿宋_GB2312"/>
                <w:szCs w:val="21"/>
              </w:rPr>
              <w:t>2</w:t>
            </w:r>
          </w:p>
        </w:tc>
        <w:tc>
          <w:tcPr>
            <w:tcW w:w="1156" w:type="pct"/>
            <w:gridSpan w:val="3"/>
            <w:shd w:val="clear" w:color="auto" w:fill="C0C0C0"/>
            <w:vAlign w:val="center"/>
          </w:tcPr>
          <w:p>
            <w:pPr>
              <w:adjustRightInd w:val="0"/>
              <w:snapToGrid w:val="0"/>
              <w:spacing w:line="240" w:lineRule="exact"/>
              <w:jc w:val="center"/>
              <w:rPr>
                <w:rFonts w:eastAsia="仿宋_GB2312"/>
                <w:szCs w:val="21"/>
              </w:rPr>
            </w:pPr>
            <w:r>
              <w:rPr>
                <w:rFonts w:eastAsia="仿宋_GB2312"/>
                <w:szCs w:val="21"/>
              </w:rPr>
              <w:t>0.021</w:t>
            </w:r>
          </w:p>
        </w:tc>
        <w:tc>
          <w:tcPr>
            <w:tcW w:w="1157" w:type="pct"/>
            <w:gridSpan w:val="3"/>
            <w:vAlign w:val="center"/>
          </w:tcPr>
          <w:p>
            <w:pPr>
              <w:adjustRightInd w:val="0"/>
              <w:snapToGrid w:val="0"/>
              <w:spacing w:line="240" w:lineRule="exact"/>
              <w:jc w:val="center"/>
              <w:rPr>
                <w:rFonts w:eastAsia="仿宋_GB2312"/>
                <w:szCs w:val="21"/>
              </w:rPr>
            </w:pPr>
            <w:r>
              <w:rPr>
                <w:rFonts w:eastAsia="仿宋_GB2312"/>
                <w:szCs w:val="21"/>
              </w:rPr>
              <w:t>0.036</w:t>
            </w:r>
          </w:p>
        </w:tc>
        <w:tc>
          <w:tcPr>
            <w:tcW w:w="1137" w:type="pct"/>
            <w:gridSpan w:val="3"/>
            <w:vAlign w:val="center"/>
          </w:tcPr>
          <w:p>
            <w:pPr>
              <w:adjustRightInd w:val="0"/>
              <w:snapToGrid w:val="0"/>
              <w:spacing w:line="240" w:lineRule="exact"/>
              <w:jc w:val="center"/>
              <w:rPr>
                <w:rFonts w:eastAsia="仿宋_GB2312"/>
                <w:szCs w:val="21"/>
              </w:rPr>
            </w:pPr>
            <w:r>
              <w:rPr>
                <w:rFonts w:eastAsia="仿宋_GB2312"/>
                <w:szCs w:val="21"/>
              </w:rPr>
              <w:t>0.036</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cantSplit/>
          <w:trHeight w:val="170" w:hRule="atLeast"/>
          <w:jc w:val="center"/>
        </w:trPr>
        <w:tc>
          <w:tcPr>
            <w:tcW w:w="744" w:type="pct"/>
            <w:vMerge w:val="restart"/>
            <w:vAlign w:val="center"/>
          </w:tcPr>
          <w:p>
            <w:pPr>
              <w:adjustRightInd w:val="0"/>
              <w:snapToGrid w:val="0"/>
              <w:spacing w:line="240" w:lineRule="exact"/>
              <w:jc w:val="center"/>
              <w:rPr>
                <w:rFonts w:eastAsia="仿宋_GB2312"/>
                <w:szCs w:val="21"/>
              </w:rPr>
            </w:pPr>
            <w:r>
              <w:rPr>
                <w:rFonts w:eastAsia="仿宋_GB2312"/>
                <w:szCs w:val="21"/>
              </w:rPr>
              <w:t>C</w:t>
            </w:r>
          </w:p>
        </w:tc>
        <w:tc>
          <w:tcPr>
            <w:tcW w:w="807" w:type="pct"/>
            <w:vAlign w:val="center"/>
          </w:tcPr>
          <w:p>
            <w:pPr>
              <w:adjustRightInd w:val="0"/>
              <w:snapToGrid w:val="0"/>
              <w:spacing w:line="240" w:lineRule="exact"/>
              <w:jc w:val="center"/>
              <w:rPr>
                <w:rFonts w:eastAsia="仿宋_GB2312"/>
                <w:szCs w:val="21"/>
              </w:rPr>
            </w:pPr>
            <w:r>
              <w:rPr>
                <w:rFonts w:eastAsia="仿宋_GB2312"/>
                <w:szCs w:val="21"/>
                <w:lang w:val="en-GB"/>
              </w:rPr>
              <w:t>&lt;</w:t>
            </w:r>
            <w:r>
              <w:rPr>
                <w:rFonts w:eastAsia="仿宋_GB2312"/>
                <w:szCs w:val="21"/>
              </w:rPr>
              <w:t>2</w:t>
            </w:r>
          </w:p>
        </w:tc>
        <w:tc>
          <w:tcPr>
            <w:tcW w:w="1156" w:type="pct"/>
            <w:gridSpan w:val="3"/>
            <w:vAlign w:val="center"/>
          </w:tcPr>
          <w:p>
            <w:pPr>
              <w:adjustRightInd w:val="0"/>
              <w:snapToGrid w:val="0"/>
              <w:spacing w:line="240" w:lineRule="exact"/>
              <w:jc w:val="center"/>
              <w:rPr>
                <w:rFonts w:eastAsia="仿宋_GB2312"/>
                <w:szCs w:val="21"/>
              </w:rPr>
            </w:pPr>
            <w:r>
              <w:rPr>
                <w:rFonts w:eastAsia="仿宋_GB2312"/>
                <w:szCs w:val="21"/>
              </w:rPr>
              <w:t>1.85</w:t>
            </w:r>
          </w:p>
        </w:tc>
        <w:tc>
          <w:tcPr>
            <w:tcW w:w="1157" w:type="pct"/>
            <w:gridSpan w:val="3"/>
            <w:vAlign w:val="center"/>
          </w:tcPr>
          <w:p>
            <w:pPr>
              <w:adjustRightInd w:val="0"/>
              <w:snapToGrid w:val="0"/>
              <w:spacing w:line="240" w:lineRule="exact"/>
              <w:jc w:val="center"/>
              <w:rPr>
                <w:rFonts w:eastAsia="仿宋_GB2312"/>
                <w:szCs w:val="21"/>
              </w:rPr>
            </w:pPr>
            <w:r>
              <w:rPr>
                <w:rFonts w:eastAsia="仿宋_GB2312"/>
                <w:szCs w:val="21"/>
              </w:rPr>
              <w:t>1.79</w:t>
            </w:r>
          </w:p>
        </w:tc>
        <w:tc>
          <w:tcPr>
            <w:tcW w:w="1137" w:type="pct"/>
            <w:gridSpan w:val="3"/>
            <w:vAlign w:val="center"/>
          </w:tcPr>
          <w:p>
            <w:pPr>
              <w:adjustRightInd w:val="0"/>
              <w:snapToGrid w:val="0"/>
              <w:spacing w:line="240" w:lineRule="exact"/>
              <w:jc w:val="center"/>
              <w:rPr>
                <w:rFonts w:eastAsia="仿宋_GB2312"/>
                <w:szCs w:val="21"/>
              </w:rPr>
            </w:pPr>
            <w:r>
              <w:rPr>
                <w:rFonts w:eastAsia="仿宋_GB2312"/>
                <w:szCs w:val="21"/>
              </w:rPr>
              <w:t>1.79</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cantSplit/>
          <w:trHeight w:val="170" w:hRule="atLeast"/>
          <w:jc w:val="center"/>
        </w:trPr>
        <w:tc>
          <w:tcPr>
            <w:tcW w:w="744" w:type="pct"/>
            <w:vMerge w:val="continue"/>
            <w:vAlign w:val="center"/>
          </w:tcPr>
          <w:p>
            <w:pPr>
              <w:adjustRightInd w:val="0"/>
              <w:snapToGrid w:val="0"/>
              <w:spacing w:line="240" w:lineRule="exact"/>
              <w:jc w:val="center"/>
              <w:rPr>
                <w:rFonts w:eastAsia="仿宋_GB2312"/>
                <w:szCs w:val="21"/>
              </w:rPr>
            </w:pPr>
          </w:p>
        </w:tc>
        <w:tc>
          <w:tcPr>
            <w:tcW w:w="807" w:type="pct"/>
            <w:vAlign w:val="center"/>
          </w:tcPr>
          <w:p>
            <w:pPr>
              <w:adjustRightInd w:val="0"/>
              <w:snapToGrid w:val="0"/>
              <w:spacing w:line="240" w:lineRule="exact"/>
              <w:jc w:val="center"/>
              <w:rPr>
                <w:rFonts w:eastAsia="仿宋_GB2312"/>
                <w:szCs w:val="21"/>
              </w:rPr>
            </w:pPr>
            <w:r>
              <w:rPr>
                <w:rFonts w:eastAsia="仿宋_GB2312"/>
                <w:szCs w:val="21"/>
                <w:lang w:val="en-GB"/>
              </w:rPr>
              <w:t>&gt;</w:t>
            </w:r>
            <w:r>
              <w:rPr>
                <w:rFonts w:eastAsia="仿宋_GB2312"/>
                <w:szCs w:val="21"/>
              </w:rPr>
              <w:t>2</w:t>
            </w:r>
          </w:p>
        </w:tc>
        <w:tc>
          <w:tcPr>
            <w:tcW w:w="1156" w:type="pct"/>
            <w:gridSpan w:val="3"/>
            <w:shd w:val="clear" w:color="auto" w:fill="C0C0C0"/>
            <w:vAlign w:val="center"/>
          </w:tcPr>
          <w:p>
            <w:pPr>
              <w:adjustRightInd w:val="0"/>
              <w:snapToGrid w:val="0"/>
              <w:spacing w:line="240" w:lineRule="exact"/>
              <w:jc w:val="center"/>
              <w:rPr>
                <w:rFonts w:eastAsia="仿宋_GB2312"/>
                <w:szCs w:val="21"/>
              </w:rPr>
            </w:pPr>
            <w:r>
              <w:rPr>
                <w:rFonts w:eastAsia="仿宋_GB2312"/>
                <w:szCs w:val="21"/>
              </w:rPr>
              <w:t>1.85</w:t>
            </w:r>
          </w:p>
        </w:tc>
        <w:tc>
          <w:tcPr>
            <w:tcW w:w="1157" w:type="pct"/>
            <w:gridSpan w:val="3"/>
            <w:vAlign w:val="center"/>
          </w:tcPr>
          <w:p>
            <w:pPr>
              <w:adjustRightInd w:val="0"/>
              <w:snapToGrid w:val="0"/>
              <w:spacing w:line="240" w:lineRule="exact"/>
              <w:jc w:val="center"/>
              <w:rPr>
                <w:rFonts w:eastAsia="仿宋_GB2312"/>
                <w:szCs w:val="21"/>
              </w:rPr>
            </w:pPr>
            <w:r>
              <w:rPr>
                <w:rFonts w:eastAsia="仿宋_GB2312"/>
                <w:szCs w:val="21"/>
              </w:rPr>
              <w:t>1.77</w:t>
            </w:r>
          </w:p>
        </w:tc>
        <w:tc>
          <w:tcPr>
            <w:tcW w:w="1137" w:type="pct"/>
            <w:gridSpan w:val="3"/>
            <w:vAlign w:val="center"/>
          </w:tcPr>
          <w:p>
            <w:pPr>
              <w:adjustRightInd w:val="0"/>
              <w:snapToGrid w:val="0"/>
              <w:spacing w:line="240" w:lineRule="exact"/>
              <w:jc w:val="center"/>
              <w:rPr>
                <w:rFonts w:eastAsia="仿宋_GB2312"/>
                <w:szCs w:val="21"/>
              </w:rPr>
            </w:pPr>
            <w:r>
              <w:rPr>
                <w:rFonts w:eastAsia="仿宋_GB2312"/>
                <w:szCs w:val="21"/>
              </w:rPr>
              <w:t>1.77</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cantSplit/>
          <w:trHeight w:val="170" w:hRule="atLeast"/>
          <w:jc w:val="center"/>
        </w:trPr>
        <w:tc>
          <w:tcPr>
            <w:tcW w:w="744" w:type="pct"/>
            <w:vMerge w:val="restart"/>
            <w:vAlign w:val="center"/>
          </w:tcPr>
          <w:p>
            <w:pPr>
              <w:adjustRightInd w:val="0"/>
              <w:snapToGrid w:val="0"/>
              <w:spacing w:line="240" w:lineRule="exact"/>
              <w:jc w:val="center"/>
              <w:rPr>
                <w:rFonts w:eastAsia="仿宋_GB2312"/>
                <w:szCs w:val="21"/>
              </w:rPr>
            </w:pPr>
            <w:r>
              <w:rPr>
                <w:rFonts w:eastAsia="仿宋_GB2312"/>
                <w:szCs w:val="21"/>
              </w:rPr>
              <w:t>D</w:t>
            </w:r>
          </w:p>
        </w:tc>
        <w:tc>
          <w:tcPr>
            <w:tcW w:w="807" w:type="pct"/>
            <w:vAlign w:val="center"/>
          </w:tcPr>
          <w:p>
            <w:pPr>
              <w:adjustRightInd w:val="0"/>
              <w:snapToGrid w:val="0"/>
              <w:spacing w:line="240" w:lineRule="exact"/>
              <w:jc w:val="center"/>
              <w:rPr>
                <w:rFonts w:eastAsia="仿宋_GB2312"/>
                <w:szCs w:val="21"/>
              </w:rPr>
            </w:pPr>
            <w:r>
              <w:rPr>
                <w:rFonts w:eastAsia="仿宋_GB2312"/>
                <w:szCs w:val="21"/>
                <w:lang w:val="en-GB"/>
              </w:rPr>
              <w:t>&lt;</w:t>
            </w:r>
            <w:r>
              <w:rPr>
                <w:rFonts w:eastAsia="仿宋_GB2312"/>
                <w:szCs w:val="21"/>
              </w:rPr>
              <w:t>2</w:t>
            </w:r>
          </w:p>
        </w:tc>
        <w:tc>
          <w:tcPr>
            <w:tcW w:w="1156" w:type="pct"/>
            <w:gridSpan w:val="3"/>
            <w:vAlign w:val="center"/>
          </w:tcPr>
          <w:p>
            <w:pPr>
              <w:adjustRightInd w:val="0"/>
              <w:snapToGrid w:val="0"/>
              <w:spacing w:line="240" w:lineRule="exact"/>
              <w:jc w:val="center"/>
              <w:rPr>
                <w:rFonts w:eastAsia="仿宋_GB2312"/>
                <w:szCs w:val="21"/>
              </w:rPr>
            </w:pPr>
            <w:r>
              <w:rPr>
                <w:rFonts w:eastAsia="仿宋_GB2312"/>
                <w:szCs w:val="21"/>
              </w:rPr>
              <w:t>0.78</w:t>
            </w:r>
          </w:p>
        </w:tc>
        <w:tc>
          <w:tcPr>
            <w:tcW w:w="1157" w:type="pct"/>
            <w:gridSpan w:val="3"/>
            <w:vAlign w:val="center"/>
          </w:tcPr>
          <w:p>
            <w:pPr>
              <w:adjustRightInd w:val="0"/>
              <w:snapToGrid w:val="0"/>
              <w:spacing w:line="240" w:lineRule="exact"/>
              <w:jc w:val="center"/>
              <w:rPr>
                <w:rFonts w:eastAsia="仿宋_GB2312"/>
                <w:szCs w:val="21"/>
              </w:rPr>
            </w:pPr>
            <w:r>
              <w:rPr>
                <w:rFonts w:eastAsia="仿宋_GB2312"/>
                <w:szCs w:val="21"/>
              </w:rPr>
              <w:t>0.78</w:t>
            </w:r>
          </w:p>
        </w:tc>
        <w:tc>
          <w:tcPr>
            <w:tcW w:w="1137" w:type="pct"/>
            <w:gridSpan w:val="3"/>
            <w:vAlign w:val="center"/>
          </w:tcPr>
          <w:p>
            <w:pPr>
              <w:adjustRightInd w:val="0"/>
              <w:snapToGrid w:val="0"/>
              <w:spacing w:line="240" w:lineRule="exact"/>
              <w:jc w:val="center"/>
              <w:rPr>
                <w:rFonts w:eastAsia="仿宋_GB2312"/>
                <w:szCs w:val="21"/>
              </w:rPr>
            </w:pPr>
            <w:r>
              <w:rPr>
                <w:rFonts w:eastAsia="仿宋_GB2312"/>
                <w:szCs w:val="21"/>
              </w:rPr>
              <w:t>0.57</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cantSplit/>
          <w:trHeight w:val="170" w:hRule="atLeast"/>
          <w:jc w:val="center"/>
        </w:trPr>
        <w:tc>
          <w:tcPr>
            <w:tcW w:w="744" w:type="pct"/>
            <w:vMerge w:val="continue"/>
            <w:vAlign w:val="center"/>
          </w:tcPr>
          <w:p>
            <w:pPr>
              <w:adjustRightInd w:val="0"/>
              <w:snapToGrid w:val="0"/>
              <w:spacing w:line="240" w:lineRule="exact"/>
              <w:jc w:val="center"/>
              <w:rPr>
                <w:rFonts w:eastAsia="仿宋_GB2312"/>
                <w:szCs w:val="21"/>
              </w:rPr>
            </w:pPr>
          </w:p>
        </w:tc>
        <w:tc>
          <w:tcPr>
            <w:tcW w:w="807" w:type="pct"/>
            <w:vAlign w:val="center"/>
          </w:tcPr>
          <w:p>
            <w:pPr>
              <w:adjustRightInd w:val="0"/>
              <w:snapToGrid w:val="0"/>
              <w:spacing w:line="240" w:lineRule="exact"/>
              <w:jc w:val="center"/>
              <w:rPr>
                <w:rFonts w:eastAsia="仿宋_GB2312"/>
                <w:szCs w:val="21"/>
              </w:rPr>
            </w:pPr>
            <w:r>
              <w:rPr>
                <w:rFonts w:eastAsia="仿宋_GB2312"/>
                <w:szCs w:val="21"/>
                <w:lang w:val="en-GB"/>
              </w:rPr>
              <w:t>&gt;</w:t>
            </w:r>
            <w:r>
              <w:rPr>
                <w:rFonts w:eastAsia="仿宋_GB2312"/>
                <w:szCs w:val="21"/>
              </w:rPr>
              <w:t>2</w:t>
            </w:r>
          </w:p>
        </w:tc>
        <w:tc>
          <w:tcPr>
            <w:tcW w:w="1156" w:type="pct"/>
            <w:gridSpan w:val="3"/>
            <w:shd w:val="clear" w:color="auto" w:fill="C0C0C0"/>
            <w:vAlign w:val="center"/>
          </w:tcPr>
          <w:p>
            <w:pPr>
              <w:adjustRightInd w:val="0"/>
              <w:snapToGrid w:val="0"/>
              <w:spacing w:line="240" w:lineRule="exact"/>
              <w:jc w:val="center"/>
              <w:rPr>
                <w:rFonts w:eastAsia="仿宋_GB2312"/>
                <w:szCs w:val="21"/>
              </w:rPr>
            </w:pPr>
            <w:r>
              <w:rPr>
                <w:rFonts w:eastAsia="仿宋_GB2312"/>
                <w:szCs w:val="21"/>
              </w:rPr>
              <w:t>0.84</w:t>
            </w:r>
          </w:p>
        </w:tc>
        <w:tc>
          <w:tcPr>
            <w:tcW w:w="1157" w:type="pct"/>
            <w:gridSpan w:val="3"/>
            <w:vAlign w:val="center"/>
          </w:tcPr>
          <w:p>
            <w:pPr>
              <w:adjustRightInd w:val="0"/>
              <w:snapToGrid w:val="0"/>
              <w:spacing w:line="240" w:lineRule="exact"/>
              <w:jc w:val="center"/>
              <w:rPr>
                <w:rFonts w:eastAsia="仿宋_GB2312"/>
                <w:szCs w:val="21"/>
              </w:rPr>
            </w:pPr>
            <w:r>
              <w:rPr>
                <w:rFonts w:eastAsia="仿宋_GB2312"/>
                <w:szCs w:val="21"/>
              </w:rPr>
              <w:t>0.84</w:t>
            </w:r>
          </w:p>
        </w:tc>
        <w:tc>
          <w:tcPr>
            <w:tcW w:w="1137" w:type="pct"/>
            <w:gridSpan w:val="3"/>
            <w:vAlign w:val="center"/>
          </w:tcPr>
          <w:p>
            <w:pPr>
              <w:adjustRightInd w:val="0"/>
              <w:snapToGrid w:val="0"/>
              <w:spacing w:line="240" w:lineRule="exact"/>
              <w:jc w:val="center"/>
              <w:rPr>
                <w:rFonts w:eastAsia="仿宋_GB2312"/>
                <w:szCs w:val="21"/>
              </w:rPr>
            </w:pPr>
            <w:r>
              <w:rPr>
                <w:rFonts w:eastAsia="仿宋_GB2312"/>
                <w:szCs w:val="21"/>
              </w:rPr>
              <w:t>0.76</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cantSplit/>
          <w:trHeight w:val="170" w:hRule="atLeast"/>
          <w:jc w:val="center"/>
        </w:trPr>
        <w:tc>
          <w:tcPr>
            <w:tcW w:w="5000" w:type="pct"/>
            <w:gridSpan w:val="11"/>
            <w:vAlign w:val="center"/>
          </w:tcPr>
          <w:p>
            <w:pPr>
              <w:pStyle w:val="124"/>
              <w:spacing w:line="360" w:lineRule="exact"/>
              <w:jc w:val="left"/>
              <w:rPr>
                <w:rFonts w:ascii="仿宋" w:hAnsi="仿宋" w:eastAsia="仿宋"/>
              </w:rPr>
            </w:pPr>
            <w:r>
              <w:rPr>
                <w:rFonts w:hint="eastAsia" w:ascii="仿宋" w:hAnsi="仿宋" w:eastAsia="仿宋"/>
              </w:rPr>
              <w:t>注:I类:与无组织排放源共存的排放同种有害气体的排气筒的排放量，大于标准规定的允许排放量的1/3的。</w:t>
            </w:r>
          </w:p>
          <w:p>
            <w:pPr>
              <w:pStyle w:val="124"/>
              <w:spacing w:line="360" w:lineRule="exact"/>
              <w:jc w:val="left"/>
              <w:rPr>
                <w:rFonts w:ascii="仿宋" w:hAnsi="仿宋" w:eastAsia="仿宋"/>
              </w:rPr>
            </w:pPr>
            <w:r>
              <w:rPr>
                <w:rFonts w:hint="eastAsia" w:ascii="仿宋" w:hAnsi="仿宋" w:eastAsia="仿宋"/>
              </w:rPr>
              <w:t>II类:与无组织排放源共存的排放同种有害气体的排气简的排放量，不大干标准规定的允许排放量的1/3的，或无排放同种有害气体的排气简与无组织排放源共存的，但无组织排放的有害物质容许浓度是按照慢性反应指标确定者</w:t>
            </w:r>
          </w:p>
          <w:p>
            <w:pPr>
              <w:pStyle w:val="124"/>
              <w:spacing w:line="360" w:lineRule="exact"/>
              <w:jc w:val="left"/>
            </w:pPr>
            <w:r>
              <w:rPr>
                <w:rFonts w:hint="eastAsia" w:ascii="仿宋" w:hAnsi="仿宋" w:eastAsia="仿宋"/>
              </w:rPr>
              <w:t>Ⅲ类:无排放同种有害气体的排气筒与无组织排放源共存的，感走组织排放的有害物质容许浓度是按照慢性反应指标确定者。</w:t>
            </w:r>
          </w:p>
        </w:tc>
      </w:tr>
    </w:tbl>
    <w:p>
      <w:pPr>
        <w:autoSpaceDE w:val="0"/>
        <w:autoSpaceDN w:val="0"/>
        <w:spacing w:line="500" w:lineRule="exact"/>
        <w:ind w:firstLine="560" w:firstLineChars="200"/>
        <w:rPr>
          <w:rFonts w:eastAsia="仿宋_GB2312"/>
          <w:b/>
          <w:sz w:val="24"/>
        </w:rPr>
      </w:pPr>
      <w:r>
        <w:rPr>
          <w:rFonts w:eastAsia="仿宋_GB2312"/>
          <w:kern w:val="0"/>
          <w:sz w:val="28"/>
        </w:rPr>
        <w:t>根据</w:t>
      </w:r>
      <w:r>
        <w:rPr>
          <w:rFonts w:hint="eastAsia" w:eastAsia="仿宋_GB2312"/>
          <w:kern w:val="0"/>
          <w:sz w:val="28"/>
        </w:rPr>
        <w:t>《大气有害物质无组织排放卫生防护距离推导技术导则》(GB/T 39499-2020)</w:t>
      </w:r>
      <w:r>
        <w:rPr>
          <w:rFonts w:eastAsia="仿宋_GB2312"/>
          <w:kern w:val="0"/>
          <w:sz w:val="28"/>
        </w:rPr>
        <w:t>，</w:t>
      </w:r>
      <w:r>
        <w:rPr>
          <w:rFonts w:hint="eastAsia" w:eastAsia="仿宋_GB2312"/>
          <w:sz w:val="28"/>
          <w:szCs w:val="28"/>
        </w:rPr>
        <w:t>卫生防护距离初值小于50m时，级差为50m；卫生防护距离初值大于或等于50m，但小于100m时，级差为50m；卫生防护距离初值大于或等于100m，但小于1000m时，级差为100m；卫生防护距离初值大于或等于1000m时，级差为200m</w:t>
      </w:r>
      <w:r>
        <w:rPr>
          <w:rFonts w:eastAsia="仿宋_GB2312"/>
          <w:sz w:val="28"/>
          <w:szCs w:val="28"/>
        </w:rPr>
        <w:t>。</w:t>
      </w:r>
      <w:r>
        <w:rPr>
          <w:rFonts w:hint="eastAsia" w:eastAsia="仿宋_GB2312"/>
          <w:sz w:val="28"/>
          <w:szCs w:val="28"/>
        </w:rPr>
        <w:t>当企业某生产单元的无组织排放存在多种特征大气有害物质时,如果分别推导出的卫生防护距离初值在同一级别时,则该企业的卫生防护距离终值应提高一级;卫生防护距离初值不在同一级别的,以卫生防护距离终值较大者为准。</w:t>
      </w:r>
    </w:p>
    <w:p>
      <w:pPr>
        <w:spacing w:line="500" w:lineRule="exact"/>
        <w:ind w:firstLine="482" w:firstLineChars="200"/>
        <w:jc w:val="center"/>
        <w:rPr>
          <w:rFonts w:eastAsia="仿宋_GB2312"/>
          <w:b/>
          <w:sz w:val="24"/>
        </w:rPr>
      </w:pPr>
      <w:r>
        <w:rPr>
          <w:rFonts w:eastAsia="仿宋_GB2312"/>
          <w:b/>
          <w:sz w:val="24"/>
        </w:rPr>
        <w:t>表5.2-14  正常工况下卫生防护距离计算</w:t>
      </w:r>
    </w:p>
    <w:tbl>
      <w:tblPr>
        <w:tblStyle w:val="87"/>
        <w:tblW w:w="539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02"/>
        <w:gridCol w:w="789"/>
        <w:gridCol w:w="1293"/>
        <w:gridCol w:w="1063"/>
        <w:gridCol w:w="936"/>
        <w:gridCol w:w="800"/>
        <w:gridCol w:w="800"/>
        <w:gridCol w:w="695"/>
        <w:gridCol w:w="1116"/>
        <w:gridCol w:w="11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0" w:hRule="atLeast"/>
          <w:tblHeader/>
          <w:jc w:val="center"/>
        </w:trPr>
        <w:tc>
          <w:tcPr>
            <w:tcW w:w="327" w:type="pct"/>
            <w:vMerge w:val="restart"/>
            <w:tcBorders>
              <w:tl2br w:val="nil"/>
              <w:tr2bl w:val="nil"/>
            </w:tcBorders>
            <w:vAlign w:val="center"/>
          </w:tcPr>
          <w:p>
            <w:pPr>
              <w:pStyle w:val="124"/>
              <w:spacing w:line="360" w:lineRule="exact"/>
              <w:rPr>
                <w:rFonts w:ascii="仿宋" w:hAnsi="仿宋" w:eastAsia="仿宋"/>
              </w:rPr>
            </w:pPr>
            <w:r>
              <w:rPr>
                <w:rFonts w:ascii="仿宋" w:hAnsi="仿宋" w:eastAsia="仿宋"/>
              </w:rPr>
              <w:t>分类</w:t>
            </w:r>
          </w:p>
        </w:tc>
        <w:tc>
          <w:tcPr>
            <w:tcW w:w="429" w:type="pct"/>
            <w:vMerge w:val="restart"/>
            <w:tcBorders>
              <w:tl2br w:val="nil"/>
              <w:tr2bl w:val="nil"/>
            </w:tcBorders>
            <w:shd w:val="clear" w:color="auto" w:fill="auto"/>
            <w:vAlign w:val="center"/>
          </w:tcPr>
          <w:p>
            <w:pPr>
              <w:pStyle w:val="124"/>
              <w:spacing w:line="360" w:lineRule="exact"/>
              <w:rPr>
                <w:rFonts w:ascii="仿宋" w:hAnsi="仿宋" w:eastAsia="仿宋"/>
              </w:rPr>
            </w:pPr>
            <w:r>
              <w:rPr>
                <w:rFonts w:ascii="仿宋" w:hAnsi="仿宋" w:eastAsia="仿宋"/>
              </w:rPr>
              <w:t>废气来源</w:t>
            </w:r>
          </w:p>
        </w:tc>
        <w:tc>
          <w:tcPr>
            <w:tcW w:w="703" w:type="pct"/>
            <w:vMerge w:val="restart"/>
            <w:tcBorders>
              <w:tl2br w:val="nil"/>
              <w:tr2bl w:val="nil"/>
            </w:tcBorders>
            <w:shd w:val="clear" w:color="auto" w:fill="auto"/>
            <w:vAlign w:val="center"/>
          </w:tcPr>
          <w:p>
            <w:pPr>
              <w:pStyle w:val="124"/>
              <w:spacing w:line="360" w:lineRule="exact"/>
              <w:rPr>
                <w:rFonts w:ascii="仿宋" w:hAnsi="仿宋" w:eastAsia="仿宋"/>
              </w:rPr>
            </w:pPr>
            <w:r>
              <w:rPr>
                <w:rFonts w:ascii="仿宋" w:hAnsi="仿宋" w:eastAsia="仿宋"/>
              </w:rPr>
              <w:t>污染因子</w:t>
            </w:r>
          </w:p>
        </w:tc>
        <w:tc>
          <w:tcPr>
            <w:tcW w:w="578" w:type="pct"/>
            <w:vMerge w:val="restart"/>
            <w:tcBorders>
              <w:tl2br w:val="nil"/>
              <w:tr2bl w:val="nil"/>
            </w:tcBorders>
            <w:vAlign w:val="center"/>
          </w:tcPr>
          <w:p>
            <w:pPr>
              <w:pStyle w:val="124"/>
              <w:spacing w:line="360" w:lineRule="exact"/>
              <w:rPr>
                <w:rFonts w:ascii="仿宋" w:hAnsi="仿宋" w:eastAsia="仿宋"/>
              </w:rPr>
            </w:pPr>
            <w:r>
              <w:rPr>
                <w:rFonts w:ascii="仿宋" w:hAnsi="仿宋" w:eastAsia="仿宋"/>
              </w:rPr>
              <w:t>排放速率kg/h</w:t>
            </w:r>
          </w:p>
        </w:tc>
        <w:tc>
          <w:tcPr>
            <w:tcW w:w="509" w:type="pct"/>
            <w:vMerge w:val="restart"/>
            <w:tcBorders>
              <w:tl2br w:val="nil"/>
              <w:tr2bl w:val="nil"/>
            </w:tcBorders>
            <w:vAlign w:val="center"/>
          </w:tcPr>
          <w:p>
            <w:pPr>
              <w:pStyle w:val="124"/>
              <w:spacing w:line="360" w:lineRule="exact"/>
              <w:rPr>
                <w:rFonts w:ascii="仿宋" w:hAnsi="仿宋" w:eastAsia="仿宋"/>
              </w:rPr>
            </w:pPr>
            <w:r>
              <w:rPr>
                <w:rFonts w:ascii="仿宋" w:hAnsi="仿宋" w:eastAsia="仿宋"/>
              </w:rPr>
              <w:t>标准浓度限值mg/m</w:t>
            </w:r>
            <w:r>
              <w:rPr>
                <w:rFonts w:ascii="仿宋" w:hAnsi="仿宋" w:eastAsia="仿宋"/>
                <w:vertAlign w:val="superscript"/>
              </w:rPr>
              <w:t>3</w:t>
            </w:r>
          </w:p>
        </w:tc>
        <w:tc>
          <w:tcPr>
            <w:tcW w:w="1248" w:type="pct"/>
            <w:gridSpan w:val="3"/>
            <w:tcBorders>
              <w:tl2br w:val="nil"/>
              <w:tr2bl w:val="nil"/>
            </w:tcBorders>
            <w:shd w:val="clear" w:color="auto" w:fill="auto"/>
            <w:vAlign w:val="center"/>
          </w:tcPr>
          <w:p>
            <w:pPr>
              <w:pStyle w:val="124"/>
              <w:spacing w:line="360" w:lineRule="exact"/>
              <w:rPr>
                <w:rFonts w:ascii="仿宋" w:hAnsi="仿宋" w:eastAsia="仿宋"/>
              </w:rPr>
            </w:pPr>
            <w:r>
              <w:rPr>
                <w:rFonts w:ascii="仿宋" w:hAnsi="仿宋" w:eastAsia="仿宋"/>
              </w:rPr>
              <w:t>面源排放源参数（m）</w:t>
            </w:r>
          </w:p>
        </w:tc>
        <w:tc>
          <w:tcPr>
            <w:tcW w:w="606" w:type="pct"/>
            <w:vMerge w:val="restart"/>
            <w:tcBorders>
              <w:tl2br w:val="nil"/>
              <w:tr2bl w:val="nil"/>
            </w:tcBorders>
            <w:shd w:val="clear" w:color="auto" w:fill="auto"/>
            <w:vAlign w:val="center"/>
          </w:tcPr>
          <w:p>
            <w:pPr>
              <w:pStyle w:val="124"/>
              <w:spacing w:line="360" w:lineRule="exact"/>
              <w:rPr>
                <w:rFonts w:ascii="仿宋" w:hAnsi="仿宋" w:eastAsia="仿宋"/>
              </w:rPr>
            </w:pPr>
            <w:r>
              <w:rPr>
                <w:rFonts w:ascii="仿宋" w:hAnsi="仿宋" w:eastAsia="仿宋"/>
              </w:rPr>
              <w:t>卫生防护距离（计）</w:t>
            </w:r>
          </w:p>
        </w:tc>
        <w:tc>
          <w:tcPr>
            <w:tcW w:w="599" w:type="pct"/>
            <w:vMerge w:val="restart"/>
            <w:tcBorders>
              <w:tl2br w:val="nil"/>
              <w:tr2bl w:val="nil"/>
            </w:tcBorders>
            <w:shd w:val="clear" w:color="auto" w:fill="auto"/>
            <w:vAlign w:val="center"/>
          </w:tcPr>
          <w:p>
            <w:pPr>
              <w:pStyle w:val="124"/>
              <w:spacing w:line="360" w:lineRule="exact"/>
              <w:rPr>
                <w:rFonts w:ascii="仿宋" w:hAnsi="仿宋" w:eastAsia="仿宋"/>
              </w:rPr>
            </w:pPr>
            <w:r>
              <w:rPr>
                <w:rFonts w:ascii="仿宋" w:hAnsi="仿宋" w:eastAsia="仿宋"/>
              </w:rPr>
              <w:t>卫生防护距离（定）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atLeast"/>
          <w:tblHeader/>
          <w:jc w:val="center"/>
        </w:trPr>
        <w:tc>
          <w:tcPr>
            <w:tcW w:w="327" w:type="pct"/>
            <w:vMerge w:val="continue"/>
            <w:tcBorders>
              <w:tl2br w:val="nil"/>
              <w:tr2bl w:val="nil"/>
            </w:tcBorders>
            <w:vAlign w:val="center"/>
          </w:tcPr>
          <w:p>
            <w:pPr>
              <w:pStyle w:val="124"/>
              <w:spacing w:line="360" w:lineRule="exact"/>
              <w:rPr>
                <w:rFonts w:ascii="仿宋" w:hAnsi="仿宋" w:eastAsia="仿宋"/>
              </w:rPr>
            </w:pPr>
          </w:p>
        </w:tc>
        <w:tc>
          <w:tcPr>
            <w:tcW w:w="429" w:type="pct"/>
            <w:vMerge w:val="continue"/>
            <w:tcBorders>
              <w:tl2br w:val="nil"/>
              <w:tr2bl w:val="nil"/>
            </w:tcBorders>
            <w:shd w:val="clear" w:color="auto" w:fill="auto"/>
            <w:vAlign w:val="center"/>
          </w:tcPr>
          <w:p>
            <w:pPr>
              <w:pStyle w:val="124"/>
              <w:spacing w:line="360" w:lineRule="exact"/>
              <w:rPr>
                <w:rFonts w:ascii="仿宋" w:hAnsi="仿宋" w:eastAsia="仿宋"/>
              </w:rPr>
            </w:pPr>
          </w:p>
        </w:tc>
        <w:tc>
          <w:tcPr>
            <w:tcW w:w="703" w:type="pct"/>
            <w:vMerge w:val="continue"/>
            <w:tcBorders>
              <w:tl2br w:val="nil"/>
              <w:tr2bl w:val="nil"/>
            </w:tcBorders>
            <w:shd w:val="clear" w:color="auto" w:fill="auto"/>
            <w:vAlign w:val="center"/>
          </w:tcPr>
          <w:p>
            <w:pPr>
              <w:pStyle w:val="124"/>
              <w:spacing w:line="360" w:lineRule="exact"/>
              <w:rPr>
                <w:rFonts w:ascii="仿宋" w:hAnsi="仿宋" w:eastAsia="仿宋"/>
              </w:rPr>
            </w:pPr>
          </w:p>
        </w:tc>
        <w:tc>
          <w:tcPr>
            <w:tcW w:w="578" w:type="pct"/>
            <w:vMerge w:val="continue"/>
            <w:tcBorders>
              <w:tl2br w:val="nil"/>
              <w:tr2bl w:val="nil"/>
            </w:tcBorders>
            <w:vAlign w:val="center"/>
          </w:tcPr>
          <w:p>
            <w:pPr>
              <w:pStyle w:val="124"/>
              <w:spacing w:line="360" w:lineRule="exact"/>
              <w:rPr>
                <w:rFonts w:ascii="仿宋" w:hAnsi="仿宋" w:eastAsia="仿宋"/>
              </w:rPr>
            </w:pPr>
          </w:p>
        </w:tc>
        <w:tc>
          <w:tcPr>
            <w:tcW w:w="509" w:type="pct"/>
            <w:vMerge w:val="continue"/>
            <w:tcBorders>
              <w:tl2br w:val="nil"/>
              <w:tr2bl w:val="nil"/>
            </w:tcBorders>
            <w:vAlign w:val="center"/>
          </w:tcPr>
          <w:p>
            <w:pPr>
              <w:pStyle w:val="124"/>
              <w:spacing w:line="360" w:lineRule="exact"/>
              <w:rPr>
                <w:rFonts w:ascii="仿宋" w:hAnsi="仿宋" w:eastAsia="仿宋"/>
              </w:rPr>
            </w:pPr>
          </w:p>
        </w:tc>
        <w:tc>
          <w:tcPr>
            <w:tcW w:w="435" w:type="pct"/>
            <w:tcBorders>
              <w:tl2br w:val="nil"/>
              <w:tr2bl w:val="nil"/>
            </w:tcBorders>
            <w:shd w:val="clear" w:color="auto" w:fill="auto"/>
            <w:vAlign w:val="center"/>
          </w:tcPr>
          <w:p>
            <w:pPr>
              <w:pStyle w:val="124"/>
              <w:spacing w:line="360" w:lineRule="exact"/>
              <w:rPr>
                <w:rFonts w:ascii="仿宋" w:hAnsi="仿宋" w:eastAsia="仿宋"/>
              </w:rPr>
            </w:pPr>
            <w:r>
              <w:rPr>
                <w:rFonts w:ascii="仿宋" w:hAnsi="仿宋" w:eastAsia="仿宋"/>
              </w:rPr>
              <w:t>长</w:t>
            </w:r>
          </w:p>
        </w:tc>
        <w:tc>
          <w:tcPr>
            <w:tcW w:w="435" w:type="pct"/>
            <w:tcBorders>
              <w:tl2br w:val="nil"/>
              <w:tr2bl w:val="nil"/>
            </w:tcBorders>
            <w:shd w:val="clear" w:color="auto" w:fill="auto"/>
            <w:vAlign w:val="center"/>
          </w:tcPr>
          <w:p>
            <w:pPr>
              <w:pStyle w:val="124"/>
              <w:spacing w:line="360" w:lineRule="exact"/>
              <w:rPr>
                <w:rFonts w:ascii="仿宋" w:hAnsi="仿宋" w:eastAsia="仿宋"/>
              </w:rPr>
            </w:pPr>
            <w:r>
              <w:rPr>
                <w:rFonts w:ascii="仿宋" w:hAnsi="仿宋" w:eastAsia="仿宋"/>
              </w:rPr>
              <w:t>宽</w:t>
            </w:r>
          </w:p>
        </w:tc>
        <w:tc>
          <w:tcPr>
            <w:tcW w:w="378" w:type="pct"/>
            <w:tcBorders>
              <w:tl2br w:val="nil"/>
              <w:tr2bl w:val="nil"/>
            </w:tcBorders>
            <w:shd w:val="clear" w:color="auto" w:fill="auto"/>
            <w:vAlign w:val="center"/>
          </w:tcPr>
          <w:p>
            <w:pPr>
              <w:pStyle w:val="124"/>
              <w:spacing w:line="360" w:lineRule="exact"/>
              <w:rPr>
                <w:rFonts w:ascii="仿宋" w:hAnsi="仿宋" w:eastAsia="仿宋"/>
              </w:rPr>
            </w:pPr>
            <w:r>
              <w:rPr>
                <w:rFonts w:ascii="仿宋" w:hAnsi="仿宋" w:eastAsia="仿宋"/>
              </w:rPr>
              <w:t>高</w:t>
            </w:r>
          </w:p>
        </w:tc>
        <w:tc>
          <w:tcPr>
            <w:tcW w:w="606" w:type="pct"/>
            <w:vMerge w:val="continue"/>
            <w:tcBorders>
              <w:tl2br w:val="nil"/>
              <w:tr2bl w:val="nil"/>
            </w:tcBorders>
            <w:shd w:val="clear" w:color="auto" w:fill="auto"/>
            <w:vAlign w:val="center"/>
          </w:tcPr>
          <w:p>
            <w:pPr>
              <w:pStyle w:val="124"/>
              <w:spacing w:line="360" w:lineRule="exact"/>
              <w:rPr>
                <w:rFonts w:ascii="仿宋" w:hAnsi="仿宋" w:eastAsia="仿宋"/>
              </w:rPr>
            </w:pPr>
          </w:p>
        </w:tc>
        <w:tc>
          <w:tcPr>
            <w:tcW w:w="599" w:type="pct"/>
            <w:vMerge w:val="continue"/>
            <w:tcBorders>
              <w:tl2br w:val="nil"/>
              <w:tr2bl w:val="nil"/>
            </w:tcBorders>
            <w:shd w:val="clear" w:color="auto" w:fill="auto"/>
            <w:vAlign w:val="center"/>
          </w:tcPr>
          <w:p>
            <w:pPr>
              <w:pStyle w:val="124"/>
              <w:spacing w:line="360" w:lineRule="exact"/>
              <w:rPr>
                <w:rFonts w:ascii="仿宋" w:hAnsi="仿宋" w:eastAsia="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7" w:hRule="atLeast"/>
          <w:tblHeader/>
          <w:jc w:val="center"/>
        </w:trPr>
        <w:tc>
          <w:tcPr>
            <w:tcW w:w="327" w:type="pct"/>
            <w:vMerge w:val="restart"/>
            <w:tcBorders>
              <w:tl2br w:val="nil"/>
              <w:tr2bl w:val="nil"/>
            </w:tcBorders>
            <w:vAlign w:val="center"/>
          </w:tcPr>
          <w:p>
            <w:pPr>
              <w:pStyle w:val="124"/>
              <w:spacing w:line="360" w:lineRule="exact"/>
              <w:rPr>
                <w:rFonts w:ascii="仿宋" w:hAnsi="仿宋" w:eastAsia="仿宋"/>
              </w:rPr>
            </w:pPr>
            <w:r>
              <w:rPr>
                <w:rFonts w:ascii="仿宋" w:hAnsi="仿宋" w:eastAsia="仿宋"/>
              </w:rPr>
              <w:t>正常工况</w:t>
            </w:r>
          </w:p>
        </w:tc>
        <w:tc>
          <w:tcPr>
            <w:tcW w:w="429" w:type="pct"/>
            <w:vMerge w:val="restart"/>
            <w:tcBorders>
              <w:tl2br w:val="nil"/>
              <w:tr2bl w:val="nil"/>
            </w:tcBorders>
            <w:shd w:val="clear" w:color="auto" w:fill="auto"/>
            <w:vAlign w:val="center"/>
          </w:tcPr>
          <w:p>
            <w:pPr>
              <w:pStyle w:val="124"/>
              <w:spacing w:line="360" w:lineRule="exact"/>
              <w:rPr>
                <w:rFonts w:ascii="仿宋" w:hAnsi="仿宋" w:eastAsia="仿宋"/>
              </w:rPr>
            </w:pPr>
            <w:r>
              <w:rPr>
                <w:rFonts w:hint="eastAsia" w:ascii="仿宋" w:hAnsi="仿宋" w:eastAsia="仿宋"/>
              </w:rPr>
              <w:t>车间</w:t>
            </w:r>
          </w:p>
        </w:tc>
        <w:tc>
          <w:tcPr>
            <w:tcW w:w="703" w:type="pct"/>
            <w:tcBorders>
              <w:tl2br w:val="nil"/>
              <w:tr2bl w:val="nil"/>
            </w:tcBorders>
            <w:shd w:val="clear" w:color="auto" w:fill="auto"/>
            <w:vAlign w:val="center"/>
          </w:tcPr>
          <w:p>
            <w:pPr>
              <w:pStyle w:val="124"/>
              <w:spacing w:line="360" w:lineRule="exact"/>
              <w:rPr>
                <w:rFonts w:ascii="仿宋" w:hAnsi="仿宋" w:eastAsia="仿宋"/>
              </w:rPr>
            </w:pPr>
            <w:r>
              <w:rPr>
                <w:rFonts w:hint="eastAsia" w:ascii="仿宋" w:hAnsi="仿宋" w:eastAsia="仿宋"/>
              </w:rPr>
              <w:t>非甲烷</w:t>
            </w:r>
            <w:r>
              <w:rPr>
                <w:rFonts w:ascii="仿宋" w:hAnsi="仿宋" w:eastAsia="仿宋"/>
              </w:rPr>
              <w:t>总烃</w:t>
            </w:r>
          </w:p>
        </w:tc>
        <w:tc>
          <w:tcPr>
            <w:tcW w:w="578" w:type="pct"/>
            <w:tcBorders>
              <w:tl2br w:val="nil"/>
              <w:tr2bl w:val="nil"/>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345</w:t>
            </w:r>
          </w:p>
        </w:tc>
        <w:tc>
          <w:tcPr>
            <w:tcW w:w="509" w:type="pct"/>
            <w:vMerge w:val="restart"/>
            <w:tcBorders>
              <w:tl2br w:val="nil"/>
              <w:tr2bl w:val="nil"/>
            </w:tcBorders>
            <w:vAlign w:val="center"/>
          </w:tcPr>
          <w:p>
            <w:pPr>
              <w:pStyle w:val="124"/>
              <w:spacing w:line="360" w:lineRule="exact"/>
              <w:rPr>
                <w:rFonts w:ascii="仿宋" w:hAnsi="仿宋" w:eastAsia="仿宋"/>
              </w:rPr>
            </w:pPr>
            <w:r>
              <w:rPr>
                <w:rFonts w:ascii="仿宋" w:hAnsi="仿宋" w:eastAsia="仿宋"/>
              </w:rPr>
              <w:t>4</w:t>
            </w:r>
          </w:p>
        </w:tc>
        <w:tc>
          <w:tcPr>
            <w:tcW w:w="435" w:type="pct"/>
            <w:vMerge w:val="restart"/>
            <w:tcBorders>
              <w:tl2br w:val="nil"/>
              <w:tr2bl w:val="nil"/>
            </w:tcBorders>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130</w:t>
            </w:r>
          </w:p>
        </w:tc>
        <w:tc>
          <w:tcPr>
            <w:tcW w:w="435" w:type="pct"/>
            <w:vMerge w:val="restart"/>
            <w:tcBorders>
              <w:tl2br w:val="nil"/>
              <w:tr2bl w:val="nil"/>
            </w:tcBorders>
            <w:shd w:val="clear" w:color="auto" w:fill="auto"/>
            <w:vAlign w:val="center"/>
          </w:tcPr>
          <w:p>
            <w:pPr>
              <w:pStyle w:val="124"/>
              <w:spacing w:line="240" w:lineRule="exact"/>
              <w:rPr>
                <w:rFonts w:ascii="仿宋" w:hAnsi="仿宋" w:eastAsia="仿宋" w:cs="仿宋"/>
                <w:bCs/>
                <w:szCs w:val="21"/>
              </w:rPr>
            </w:pPr>
            <w:r>
              <w:rPr>
                <w:rFonts w:hint="eastAsia" w:ascii="仿宋" w:hAnsi="仿宋" w:eastAsia="仿宋" w:cs="仿宋"/>
                <w:bCs/>
                <w:szCs w:val="21"/>
              </w:rPr>
              <w:t>18</w:t>
            </w:r>
          </w:p>
        </w:tc>
        <w:tc>
          <w:tcPr>
            <w:tcW w:w="378" w:type="pct"/>
            <w:vMerge w:val="restart"/>
            <w:tcBorders>
              <w:tl2br w:val="nil"/>
              <w:tr2bl w:val="nil"/>
            </w:tcBorders>
            <w:shd w:val="clear" w:color="auto" w:fill="auto"/>
            <w:vAlign w:val="center"/>
          </w:tcPr>
          <w:p>
            <w:pPr>
              <w:pStyle w:val="124"/>
              <w:spacing w:line="240" w:lineRule="exact"/>
              <w:rPr>
                <w:rFonts w:ascii="仿宋" w:hAnsi="仿宋" w:eastAsia="仿宋" w:cs="仿宋"/>
                <w:bCs/>
                <w:szCs w:val="21"/>
              </w:rPr>
            </w:pPr>
            <w:r>
              <w:rPr>
                <w:rFonts w:hint="eastAsia" w:ascii="仿宋" w:hAnsi="仿宋" w:eastAsia="仿宋" w:cs="仿宋"/>
                <w:bCs/>
                <w:szCs w:val="21"/>
              </w:rPr>
              <w:t>5</w:t>
            </w:r>
          </w:p>
        </w:tc>
        <w:tc>
          <w:tcPr>
            <w:tcW w:w="606" w:type="pct"/>
            <w:vMerge w:val="restart"/>
            <w:tcBorders>
              <w:tl2br w:val="nil"/>
              <w:tr2bl w:val="nil"/>
            </w:tcBorders>
            <w:shd w:val="clear" w:color="auto" w:fill="auto"/>
            <w:vAlign w:val="center"/>
          </w:tcPr>
          <w:p>
            <w:pPr>
              <w:pStyle w:val="124"/>
              <w:spacing w:line="240" w:lineRule="exact"/>
              <w:rPr>
                <w:rFonts w:ascii="仿宋" w:hAnsi="仿宋" w:eastAsia="仿宋" w:cs="仿宋"/>
                <w:bCs/>
                <w:szCs w:val="21"/>
              </w:rPr>
            </w:pPr>
            <w:r>
              <w:rPr>
                <w:rFonts w:hint="eastAsia" w:ascii="仿宋" w:hAnsi="仿宋" w:eastAsia="仿宋" w:cs="仿宋"/>
                <w:bCs/>
                <w:szCs w:val="21"/>
              </w:rPr>
              <w:t>＜10</w:t>
            </w:r>
          </w:p>
        </w:tc>
        <w:tc>
          <w:tcPr>
            <w:tcW w:w="599" w:type="pct"/>
            <w:vMerge w:val="restart"/>
            <w:tcBorders>
              <w:tl2br w:val="nil"/>
              <w:tr2bl w:val="nil"/>
            </w:tcBorders>
            <w:shd w:val="clear" w:color="auto" w:fill="auto"/>
            <w:vAlign w:val="center"/>
          </w:tcPr>
          <w:p>
            <w:pPr>
              <w:pStyle w:val="124"/>
              <w:spacing w:line="240" w:lineRule="exact"/>
              <w:rPr>
                <w:rFonts w:ascii="仿宋" w:hAnsi="仿宋" w:eastAsia="仿宋" w:cs="仿宋"/>
                <w:bCs/>
                <w:szCs w:val="21"/>
              </w:rPr>
            </w:pPr>
            <w:r>
              <w:rPr>
                <w:rFonts w:ascii="仿宋" w:hAnsi="仿宋" w:eastAsia="仿宋" w:cs="仿宋"/>
                <w:bCs/>
                <w:szCs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7" w:hRule="atLeast"/>
          <w:tblHeader/>
          <w:jc w:val="center"/>
        </w:trPr>
        <w:tc>
          <w:tcPr>
            <w:tcW w:w="327" w:type="pct"/>
            <w:vMerge w:val="continue"/>
            <w:tcBorders>
              <w:tl2br w:val="nil"/>
              <w:tr2bl w:val="nil"/>
            </w:tcBorders>
            <w:vAlign w:val="center"/>
          </w:tcPr>
          <w:p>
            <w:pPr>
              <w:pStyle w:val="124"/>
              <w:spacing w:line="360" w:lineRule="exact"/>
              <w:rPr>
                <w:rFonts w:ascii="仿宋" w:hAnsi="仿宋" w:eastAsia="仿宋"/>
              </w:rPr>
            </w:pPr>
          </w:p>
        </w:tc>
        <w:tc>
          <w:tcPr>
            <w:tcW w:w="429" w:type="pct"/>
            <w:vMerge w:val="continue"/>
            <w:tcBorders>
              <w:tl2br w:val="nil"/>
              <w:tr2bl w:val="nil"/>
            </w:tcBorders>
            <w:shd w:val="clear" w:color="auto" w:fill="auto"/>
            <w:vAlign w:val="center"/>
          </w:tcPr>
          <w:p>
            <w:pPr>
              <w:pStyle w:val="124"/>
              <w:spacing w:line="360" w:lineRule="exact"/>
              <w:rPr>
                <w:rFonts w:ascii="仿宋" w:hAnsi="仿宋" w:eastAsia="仿宋"/>
              </w:rPr>
            </w:pPr>
          </w:p>
        </w:tc>
        <w:tc>
          <w:tcPr>
            <w:tcW w:w="703" w:type="pct"/>
            <w:tcBorders>
              <w:tl2br w:val="nil"/>
              <w:tr2bl w:val="nil"/>
            </w:tcBorders>
            <w:shd w:val="clear" w:color="auto" w:fill="auto"/>
            <w:vAlign w:val="center"/>
          </w:tcPr>
          <w:p>
            <w:pPr>
              <w:pStyle w:val="124"/>
              <w:spacing w:line="360" w:lineRule="exact"/>
              <w:rPr>
                <w:rFonts w:ascii="仿宋" w:hAnsi="仿宋" w:eastAsia="仿宋"/>
              </w:rPr>
            </w:pPr>
            <w:r>
              <w:rPr>
                <w:rFonts w:hint="eastAsia" w:ascii="仿宋" w:hAnsi="仿宋" w:eastAsia="仿宋"/>
              </w:rPr>
              <w:t>乙酸乙酯</w:t>
            </w:r>
          </w:p>
        </w:tc>
        <w:tc>
          <w:tcPr>
            <w:tcW w:w="578" w:type="pct"/>
            <w:tcBorders>
              <w:tl2br w:val="nil"/>
              <w:tr2bl w:val="nil"/>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.305</w:t>
            </w:r>
          </w:p>
        </w:tc>
        <w:tc>
          <w:tcPr>
            <w:tcW w:w="509" w:type="pct"/>
            <w:vMerge w:val="continue"/>
            <w:tcBorders>
              <w:tl2br w:val="nil"/>
              <w:tr2bl w:val="nil"/>
            </w:tcBorders>
            <w:vAlign w:val="center"/>
          </w:tcPr>
          <w:p>
            <w:pPr>
              <w:pStyle w:val="124"/>
              <w:spacing w:line="360" w:lineRule="exact"/>
              <w:rPr>
                <w:rFonts w:ascii="仿宋" w:hAnsi="仿宋" w:eastAsia="仿宋"/>
              </w:rPr>
            </w:pPr>
          </w:p>
        </w:tc>
        <w:tc>
          <w:tcPr>
            <w:tcW w:w="435" w:type="pct"/>
            <w:vMerge w:val="continue"/>
            <w:tcBorders>
              <w:tl2br w:val="nil"/>
              <w:tr2bl w:val="nil"/>
            </w:tcBorders>
            <w:shd w:val="clear" w:color="auto" w:fill="auto"/>
            <w:vAlign w:val="center"/>
          </w:tcPr>
          <w:p>
            <w:pPr>
              <w:spacing w:line="240" w:lineRule="exact"/>
              <w:jc w:val="center"/>
              <w:rPr>
                <w:rFonts w:ascii="仿宋" w:hAnsi="仿宋" w:eastAsia="仿宋" w:cs="仿宋"/>
                <w:bCs/>
                <w:szCs w:val="21"/>
              </w:rPr>
            </w:pPr>
          </w:p>
        </w:tc>
        <w:tc>
          <w:tcPr>
            <w:tcW w:w="435" w:type="pct"/>
            <w:vMerge w:val="continue"/>
            <w:tcBorders>
              <w:tl2br w:val="nil"/>
              <w:tr2bl w:val="nil"/>
            </w:tcBorders>
            <w:shd w:val="clear" w:color="auto" w:fill="auto"/>
            <w:vAlign w:val="center"/>
          </w:tcPr>
          <w:p>
            <w:pPr>
              <w:pStyle w:val="124"/>
              <w:spacing w:line="240" w:lineRule="exact"/>
              <w:rPr>
                <w:rFonts w:ascii="仿宋" w:hAnsi="仿宋" w:eastAsia="仿宋" w:cs="仿宋"/>
                <w:bCs/>
                <w:szCs w:val="21"/>
              </w:rPr>
            </w:pPr>
          </w:p>
        </w:tc>
        <w:tc>
          <w:tcPr>
            <w:tcW w:w="378" w:type="pct"/>
            <w:vMerge w:val="continue"/>
            <w:tcBorders>
              <w:tl2br w:val="nil"/>
              <w:tr2bl w:val="nil"/>
            </w:tcBorders>
            <w:shd w:val="clear" w:color="auto" w:fill="auto"/>
            <w:vAlign w:val="center"/>
          </w:tcPr>
          <w:p>
            <w:pPr>
              <w:pStyle w:val="124"/>
              <w:spacing w:line="240" w:lineRule="exact"/>
              <w:rPr>
                <w:rFonts w:ascii="仿宋" w:hAnsi="仿宋" w:eastAsia="仿宋" w:cs="仿宋"/>
                <w:bCs/>
                <w:szCs w:val="21"/>
              </w:rPr>
            </w:pPr>
          </w:p>
        </w:tc>
        <w:tc>
          <w:tcPr>
            <w:tcW w:w="606" w:type="pct"/>
            <w:vMerge w:val="continue"/>
            <w:tcBorders>
              <w:tl2br w:val="nil"/>
              <w:tr2bl w:val="nil"/>
            </w:tcBorders>
            <w:shd w:val="clear" w:color="auto" w:fill="auto"/>
            <w:vAlign w:val="center"/>
          </w:tcPr>
          <w:p>
            <w:pPr>
              <w:pStyle w:val="124"/>
              <w:spacing w:line="240" w:lineRule="exact"/>
              <w:rPr>
                <w:rFonts w:ascii="仿宋" w:hAnsi="仿宋" w:eastAsia="仿宋" w:cs="仿宋"/>
                <w:bCs/>
                <w:szCs w:val="21"/>
              </w:rPr>
            </w:pPr>
          </w:p>
        </w:tc>
        <w:tc>
          <w:tcPr>
            <w:tcW w:w="599" w:type="pct"/>
            <w:vMerge w:val="continue"/>
            <w:tcBorders>
              <w:tl2br w:val="nil"/>
              <w:tr2bl w:val="nil"/>
            </w:tcBorders>
            <w:shd w:val="clear" w:color="auto" w:fill="auto"/>
            <w:vAlign w:val="center"/>
          </w:tcPr>
          <w:p>
            <w:pPr>
              <w:pStyle w:val="124"/>
              <w:spacing w:line="240" w:lineRule="exact"/>
              <w:rPr>
                <w:rFonts w:ascii="仿宋" w:hAnsi="仿宋" w:eastAsia="仿宋" w:cs="仿宋"/>
                <w:bCs/>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 w:hRule="atLeast"/>
          <w:tblHeader/>
          <w:jc w:val="center"/>
        </w:trPr>
        <w:tc>
          <w:tcPr>
            <w:tcW w:w="327" w:type="pct"/>
            <w:vMerge w:val="continue"/>
            <w:tcBorders>
              <w:tl2br w:val="nil"/>
              <w:tr2bl w:val="nil"/>
            </w:tcBorders>
            <w:vAlign w:val="center"/>
          </w:tcPr>
          <w:p>
            <w:pPr>
              <w:pStyle w:val="124"/>
              <w:spacing w:line="360" w:lineRule="exact"/>
              <w:rPr>
                <w:rFonts w:ascii="仿宋" w:hAnsi="仿宋" w:eastAsia="仿宋"/>
              </w:rPr>
            </w:pPr>
          </w:p>
        </w:tc>
        <w:tc>
          <w:tcPr>
            <w:tcW w:w="429" w:type="pct"/>
            <w:vMerge w:val="continue"/>
            <w:tcBorders>
              <w:tl2br w:val="nil"/>
              <w:tr2bl w:val="nil"/>
            </w:tcBorders>
            <w:shd w:val="clear" w:color="auto" w:fill="auto"/>
            <w:vAlign w:val="center"/>
          </w:tcPr>
          <w:p>
            <w:pPr>
              <w:pStyle w:val="124"/>
              <w:spacing w:line="360" w:lineRule="exact"/>
              <w:rPr>
                <w:rFonts w:ascii="仿宋" w:hAnsi="仿宋" w:eastAsia="仿宋"/>
              </w:rPr>
            </w:pPr>
          </w:p>
        </w:tc>
        <w:tc>
          <w:tcPr>
            <w:tcW w:w="703" w:type="pct"/>
            <w:tcBorders>
              <w:tl2br w:val="nil"/>
              <w:tr2bl w:val="nil"/>
            </w:tcBorders>
            <w:shd w:val="clear" w:color="auto" w:fill="auto"/>
            <w:vAlign w:val="center"/>
          </w:tcPr>
          <w:p>
            <w:pPr>
              <w:pStyle w:val="124"/>
              <w:spacing w:line="360" w:lineRule="exact"/>
              <w:rPr>
                <w:rFonts w:ascii="仿宋" w:hAnsi="仿宋" w:eastAsia="仿宋"/>
              </w:rPr>
            </w:pPr>
            <w:r>
              <w:rPr>
                <w:rFonts w:hint="eastAsia" w:ascii="仿宋" w:hAnsi="仿宋" w:eastAsia="仿宋"/>
              </w:rPr>
              <w:t>二甲苯</w:t>
            </w:r>
          </w:p>
        </w:tc>
        <w:tc>
          <w:tcPr>
            <w:tcW w:w="578" w:type="pct"/>
            <w:tcBorders>
              <w:tl2br w:val="nil"/>
              <w:tr2bl w:val="nil"/>
            </w:tcBorders>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0.0</w:t>
            </w:r>
            <w:r>
              <w:rPr>
                <w:rFonts w:ascii="仿宋" w:hAnsi="仿宋" w:eastAsia="仿宋" w:cs="仿宋"/>
                <w:bCs/>
                <w:szCs w:val="21"/>
              </w:rPr>
              <w:t>38</w:t>
            </w:r>
          </w:p>
        </w:tc>
        <w:tc>
          <w:tcPr>
            <w:tcW w:w="509" w:type="pct"/>
            <w:tcBorders>
              <w:tl2br w:val="nil"/>
              <w:tr2bl w:val="nil"/>
            </w:tcBorders>
            <w:vAlign w:val="center"/>
          </w:tcPr>
          <w:p>
            <w:pPr>
              <w:pStyle w:val="124"/>
              <w:spacing w:line="360" w:lineRule="exact"/>
              <w:rPr>
                <w:rFonts w:ascii="仿宋" w:hAnsi="仿宋" w:eastAsia="仿宋"/>
              </w:rPr>
            </w:pPr>
            <w:r>
              <w:rPr>
                <w:rFonts w:hint="eastAsia" w:ascii="仿宋" w:hAnsi="仿宋" w:eastAsia="仿宋"/>
              </w:rPr>
              <w:t>0.2</w:t>
            </w:r>
          </w:p>
        </w:tc>
        <w:tc>
          <w:tcPr>
            <w:tcW w:w="435" w:type="pct"/>
            <w:vMerge w:val="continue"/>
            <w:tcBorders>
              <w:tl2br w:val="nil"/>
              <w:tr2bl w:val="nil"/>
            </w:tcBorders>
            <w:shd w:val="clear" w:color="auto" w:fill="auto"/>
            <w:vAlign w:val="center"/>
          </w:tcPr>
          <w:p>
            <w:pPr>
              <w:spacing w:line="320" w:lineRule="exact"/>
              <w:jc w:val="center"/>
              <w:rPr>
                <w:rFonts w:eastAsia="仿宋_GB2312"/>
                <w:szCs w:val="21"/>
              </w:rPr>
            </w:pPr>
          </w:p>
        </w:tc>
        <w:tc>
          <w:tcPr>
            <w:tcW w:w="435" w:type="pct"/>
            <w:vMerge w:val="continue"/>
            <w:tcBorders>
              <w:tl2br w:val="nil"/>
              <w:tr2bl w:val="nil"/>
            </w:tcBorders>
            <w:shd w:val="clear" w:color="auto" w:fill="auto"/>
            <w:vAlign w:val="center"/>
          </w:tcPr>
          <w:p>
            <w:pPr>
              <w:spacing w:line="320" w:lineRule="exact"/>
              <w:jc w:val="center"/>
              <w:rPr>
                <w:rFonts w:eastAsia="仿宋_GB2312"/>
                <w:szCs w:val="21"/>
              </w:rPr>
            </w:pPr>
          </w:p>
        </w:tc>
        <w:tc>
          <w:tcPr>
            <w:tcW w:w="378" w:type="pct"/>
            <w:vMerge w:val="continue"/>
            <w:tcBorders>
              <w:tl2br w:val="nil"/>
              <w:tr2bl w:val="nil"/>
            </w:tcBorders>
            <w:shd w:val="clear" w:color="auto" w:fill="auto"/>
            <w:vAlign w:val="center"/>
          </w:tcPr>
          <w:p>
            <w:pPr>
              <w:spacing w:line="320" w:lineRule="exact"/>
              <w:jc w:val="center"/>
              <w:rPr>
                <w:rFonts w:eastAsia="仿宋_GB2312"/>
                <w:szCs w:val="21"/>
              </w:rPr>
            </w:pPr>
          </w:p>
        </w:tc>
        <w:tc>
          <w:tcPr>
            <w:tcW w:w="606" w:type="pct"/>
            <w:vMerge w:val="continue"/>
            <w:tcBorders>
              <w:tl2br w:val="nil"/>
              <w:tr2bl w:val="nil"/>
            </w:tcBorders>
            <w:shd w:val="clear" w:color="auto" w:fill="auto"/>
            <w:vAlign w:val="center"/>
          </w:tcPr>
          <w:p>
            <w:pPr>
              <w:spacing w:line="320" w:lineRule="exact"/>
              <w:jc w:val="center"/>
              <w:rPr>
                <w:rFonts w:eastAsia="仿宋_GB2312"/>
                <w:szCs w:val="21"/>
              </w:rPr>
            </w:pPr>
          </w:p>
        </w:tc>
        <w:tc>
          <w:tcPr>
            <w:tcW w:w="599" w:type="pct"/>
            <w:vMerge w:val="continue"/>
            <w:tcBorders>
              <w:tl2br w:val="nil"/>
              <w:tr2bl w:val="nil"/>
            </w:tcBorders>
            <w:shd w:val="clear" w:color="auto" w:fill="auto"/>
            <w:vAlign w:val="center"/>
          </w:tcPr>
          <w:p>
            <w:pPr>
              <w:spacing w:line="320" w:lineRule="exact"/>
              <w:jc w:val="center"/>
              <w:rPr>
                <w:rFonts w:eastAsia="仿宋_GB2312"/>
                <w:szCs w:val="21"/>
              </w:rPr>
            </w:pPr>
          </w:p>
        </w:tc>
      </w:tr>
    </w:tbl>
    <w:p>
      <w:pPr>
        <w:widowControl/>
        <w:spacing w:line="500" w:lineRule="exact"/>
        <w:ind w:firstLine="560" w:firstLineChars="200"/>
        <w:jc w:val="left"/>
        <w:rPr>
          <w:rFonts w:eastAsia="仿宋_GB2312"/>
          <w:sz w:val="28"/>
          <w:szCs w:val="28"/>
        </w:rPr>
      </w:pPr>
      <w:r>
        <w:rPr>
          <w:rFonts w:eastAsia="仿宋_GB2312"/>
          <w:sz w:val="28"/>
          <w:szCs w:val="28"/>
        </w:rPr>
        <w:t>（2）小结</w:t>
      </w:r>
    </w:p>
    <w:p>
      <w:pPr>
        <w:autoSpaceDE w:val="0"/>
        <w:autoSpaceDN w:val="0"/>
        <w:spacing w:line="500" w:lineRule="exact"/>
        <w:ind w:firstLine="560" w:firstLineChars="200"/>
        <w:rPr>
          <w:rFonts w:eastAsia="仿宋_GB2312"/>
          <w:sz w:val="28"/>
          <w:szCs w:val="28"/>
        </w:rPr>
      </w:pPr>
      <w:r>
        <w:rPr>
          <w:rFonts w:eastAsia="仿宋_GB2312"/>
          <w:sz w:val="28"/>
          <w:szCs w:val="28"/>
        </w:rPr>
        <w:t>经计算，</w:t>
      </w:r>
      <w:r>
        <w:rPr>
          <w:rFonts w:hint="eastAsia" w:eastAsia="仿宋_GB2312"/>
          <w:sz w:val="28"/>
          <w:szCs w:val="28"/>
        </w:rPr>
        <w:t>推荐本项目卫生防护距离为车间边界外扩</w:t>
      </w:r>
      <w:r>
        <w:rPr>
          <w:rFonts w:eastAsia="仿宋_GB2312"/>
          <w:sz w:val="28"/>
          <w:szCs w:val="28"/>
        </w:rPr>
        <w:t>100</w:t>
      </w:r>
      <w:r>
        <w:rPr>
          <w:rFonts w:hint="eastAsia" w:eastAsia="仿宋_GB2312"/>
          <w:sz w:val="28"/>
          <w:szCs w:val="28"/>
        </w:rPr>
        <w:t>米形成</w:t>
      </w:r>
      <w:r>
        <w:rPr>
          <w:rFonts w:eastAsia="仿宋_GB2312"/>
          <w:sz w:val="28"/>
          <w:szCs w:val="28"/>
        </w:rPr>
        <w:t>的包络线范围。</w:t>
      </w:r>
      <w:r>
        <w:rPr>
          <w:rFonts w:hint="eastAsia" w:eastAsia="仿宋_GB2312"/>
          <w:sz w:val="28"/>
          <w:szCs w:val="28"/>
        </w:rPr>
        <w:t>经调查</w:t>
      </w:r>
      <w:r>
        <w:rPr>
          <w:rFonts w:eastAsia="仿宋_GB2312"/>
          <w:sz w:val="28"/>
          <w:szCs w:val="28"/>
        </w:rPr>
        <w:t>，本</w:t>
      </w:r>
      <w:r>
        <w:rPr>
          <w:rFonts w:hint="eastAsia" w:eastAsia="仿宋_GB2312"/>
          <w:sz w:val="28"/>
          <w:szCs w:val="28"/>
        </w:rPr>
        <w:t>项目卫生防护距离内无居民区等敏感点</w:t>
      </w:r>
      <w:r>
        <w:rPr>
          <w:rFonts w:eastAsia="仿宋_GB2312"/>
          <w:sz w:val="28"/>
          <w:szCs w:val="28"/>
        </w:rPr>
        <w:t>。</w:t>
      </w:r>
    </w:p>
    <w:p>
      <w:pPr>
        <w:keepNext/>
        <w:widowControl/>
        <w:adjustRightInd w:val="0"/>
        <w:snapToGrid w:val="0"/>
        <w:spacing w:after="120" w:afterLines="50" w:line="500" w:lineRule="exact"/>
        <w:jc w:val="left"/>
        <w:outlineLvl w:val="3"/>
        <w:rPr>
          <w:rFonts w:eastAsia="仿宋_GB2312"/>
          <w:b/>
          <w:bCs/>
          <w:sz w:val="28"/>
          <w:szCs w:val="28"/>
        </w:rPr>
      </w:pPr>
      <w:r>
        <w:rPr>
          <w:rFonts w:hint="eastAsia" w:eastAsia="仿宋_GB2312"/>
          <w:b/>
          <w:bCs/>
          <w:sz w:val="28"/>
          <w:szCs w:val="28"/>
        </w:rPr>
        <w:t>5</w:t>
      </w:r>
      <w:r>
        <w:rPr>
          <w:rFonts w:eastAsia="仿宋_GB2312"/>
          <w:b/>
          <w:bCs/>
          <w:sz w:val="28"/>
          <w:szCs w:val="28"/>
        </w:rPr>
        <w:t>.2.1.8</w:t>
      </w:r>
      <w:r>
        <w:rPr>
          <w:rFonts w:hint="eastAsia" w:eastAsia="仿宋_GB2312"/>
          <w:b/>
          <w:bCs/>
          <w:sz w:val="28"/>
          <w:szCs w:val="28"/>
        </w:rPr>
        <w:t>异味影响分析</w:t>
      </w:r>
    </w:p>
    <w:p>
      <w:pPr>
        <w:autoSpaceDE w:val="0"/>
        <w:autoSpaceDN w:val="0"/>
        <w:spacing w:line="500" w:lineRule="exact"/>
        <w:ind w:firstLine="560" w:firstLineChars="200"/>
        <w:rPr>
          <w:rFonts w:eastAsia="仿宋_GB2312"/>
          <w:sz w:val="28"/>
          <w:szCs w:val="28"/>
        </w:rPr>
      </w:pPr>
      <w:r>
        <w:rPr>
          <w:rFonts w:eastAsia="仿宋_GB2312"/>
          <w:sz w:val="28"/>
          <w:szCs w:val="28"/>
        </w:rPr>
        <w:t>本项目排放的废气中</w:t>
      </w:r>
      <w:r>
        <w:rPr>
          <w:rFonts w:hint="eastAsia" w:eastAsia="仿宋_GB2312"/>
          <w:sz w:val="28"/>
          <w:szCs w:val="28"/>
        </w:rPr>
        <w:t>二甲苯、乙酸乙酯</w:t>
      </w:r>
      <w:r>
        <w:rPr>
          <w:rFonts w:eastAsia="仿宋_GB2312"/>
          <w:sz w:val="28"/>
          <w:szCs w:val="28"/>
        </w:rPr>
        <w:t>均可能含异味污染物（恶臭污染物），经项目设置的废气收集和处理装置处理后，项目恶臭污染物排放量较小，类比同类企业情况，项目厂界臭气浓度可小于20，满足《恶臭污染物排放标准》（GB14554-93）中二级标准中厂界标准限值要求。</w:t>
      </w:r>
    </w:p>
    <w:p>
      <w:pPr>
        <w:autoSpaceDE w:val="0"/>
        <w:autoSpaceDN w:val="0"/>
        <w:spacing w:line="500" w:lineRule="exact"/>
        <w:ind w:firstLine="560" w:firstLineChars="200"/>
        <w:rPr>
          <w:rFonts w:eastAsia="仿宋_GB2312"/>
          <w:sz w:val="28"/>
          <w:szCs w:val="28"/>
        </w:rPr>
      </w:pPr>
      <w:r>
        <w:rPr>
          <w:rFonts w:eastAsia="仿宋_GB2312"/>
          <w:sz w:val="28"/>
          <w:szCs w:val="28"/>
        </w:rPr>
        <w:t>目前臭气评价尚无统一方法，本评价采用臭气强度分级法，根据人的嗅觉将臭气的污染程度分为无污染、轻度污染、中等污染、重度污染和严重污染共5个级别，采用美国纳德臭气强度分级标准，详见标准见下表：</w:t>
      </w:r>
    </w:p>
    <w:p>
      <w:pPr>
        <w:spacing w:line="500" w:lineRule="exact"/>
        <w:jc w:val="center"/>
        <w:rPr>
          <w:rFonts w:eastAsia="仿宋_GB2312"/>
          <w:b/>
          <w:kern w:val="0"/>
          <w:sz w:val="24"/>
          <w:szCs w:val="20"/>
        </w:rPr>
      </w:pPr>
      <w:r>
        <w:rPr>
          <w:rFonts w:eastAsia="仿宋_GB2312"/>
          <w:b/>
          <w:kern w:val="0"/>
          <w:sz w:val="24"/>
          <w:szCs w:val="20"/>
        </w:rPr>
        <w:t>表5.2-15  恶臭强度分级法</w:t>
      </w:r>
    </w:p>
    <w:tbl>
      <w:tblPr>
        <w:tblStyle w:val="87"/>
        <w:tblW w:w="852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59"/>
        <w:gridCol w:w="4722"/>
        <w:gridCol w:w="284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959" w:type="dxa"/>
            <w:vAlign w:val="center"/>
          </w:tcPr>
          <w:p>
            <w:pPr>
              <w:adjustRightInd w:val="0"/>
              <w:snapToGrid w:val="0"/>
              <w:spacing w:line="320" w:lineRule="exact"/>
              <w:jc w:val="center"/>
              <w:rPr>
                <w:rFonts w:eastAsia="仿宋_GB2312"/>
                <w:szCs w:val="21"/>
              </w:rPr>
            </w:pPr>
            <w:r>
              <w:rPr>
                <w:rFonts w:eastAsia="仿宋_GB2312"/>
                <w:szCs w:val="21"/>
              </w:rPr>
              <w:t>强度</w:t>
            </w:r>
          </w:p>
        </w:tc>
        <w:tc>
          <w:tcPr>
            <w:tcW w:w="4722" w:type="dxa"/>
            <w:vAlign w:val="center"/>
          </w:tcPr>
          <w:p>
            <w:pPr>
              <w:adjustRightInd w:val="0"/>
              <w:snapToGrid w:val="0"/>
              <w:spacing w:line="320" w:lineRule="exact"/>
              <w:jc w:val="center"/>
              <w:rPr>
                <w:rFonts w:eastAsia="仿宋_GB2312"/>
                <w:szCs w:val="21"/>
              </w:rPr>
            </w:pPr>
            <w:r>
              <w:rPr>
                <w:rFonts w:eastAsia="仿宋_GB2312"/>
                <w:szCs w:val="21"/>
              </w:rPr>
              <w:t>指标</w:t>
            </w:r>
          </w:p>
        </w:tc>
        <w:tc>
          <w:tcPr>
            <w:tcW w:w="2841" w:type="dxa"/>
            <w:vAlign w:val="center"/>
          </w:tcPr>
          <w:p>
            <w:pPr>
              <w:autoSpaceDE w:val="0"/>
              <w:autoSpaceDN w:val="0"/>
              <w:adjustRightInd w:val="0"/>
              <w:snapToGrid w:val="0"/>
              <w:spacing w:line="320" w:lineRule="exact"/>
              <w:jc w:val="center"/>
              <w:rPr>
                <w:rFonts w:eastAsia="仿宋_GB2312"/>
                <w:szCs w:val="21"/>
              </w:rPr>
            </w:pPr>
            <w:r>
              <w:rPr>
                <w:rFonts w:eastAsia="仿宋_GB2312"/>
                <w:szCs w:val="21"/>
              </w:rPr>
              <w:t>污染程度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959" w:type="dxa"/>
            <w:vAlign w:val="center"/>
          </w:tcPr>
          <w:p>
            <w:pPr>
              <w:adjustRightInd w:val="0"/>
              <w:snapToGrid w:val="0"/>
              <w:spacing w:line="320" w:lineRule="exact"/>
              <w:jc w:val="center"/>
              <w:rPr>
                <w:rFonts w:eastAsia="仿宋_GB2312"/>
                <w:szCs w:val="21"/>
              </w:rPr>
            </w:pPr>
            <w:r>
              <w:rPr>
                <w:rFonts w:eastAsia="仿宋_GB2312"/>
                <w:szCs w:val="21"/>
              </w:rPr>
              <w:t>0</w:t>
            </w:r>
          </w:p>
        </w:tc>
        <w:tc>
          <w:tcPr>
            <w:tcW w:w="4722" w:type="dxa"/>
            <w:vAlign w:val="center"/>
          </w:tcPr>
          <w:p>
            <w:pPr>
              <w:adjustRightInd w:val="0"/>
              <w:snapToGrid w:val="0"/>
              <w:spacing w:line="320" w:lineRule="exact"/>
              <w:jc w:val="center"/>
              <w:rPr>
                <w:rFonts w:eastAsia="仿宋_GB2312"/>
                <w:szCs w:val="21"/>
              </w:rPr>
            </w:pPr>
            <w:r>
              <w:rPr>
                <w:rFonts w:eastAsia="仿宋_GB2312"/>
                <w:szCs w:val="21"/>
              </w:rPr>
              <w:t>无气味</w:t>
            </w:r>
          </w:p>
        </w:tc>
        <w:tc>
          <w:tcPr>
            <w:tcW w:w="2841" w:type="dxa"/>
            <w:vAlign w:val="center"/>
          </w:tcPr>
          <w:p>
            <w:pPr>
              <w:adjustRightInd w:val="0"/>
              <w:snapToGrid w:val="0"/>
              <w:spacing w:line="320" w:lineRule="exact"/>
              <w:jc w:val="center"/>
              <w:rPr>
                <w:rFonts w:eastAsia="仿宋_GB2312"/>
                <w:szCs w:val="21"/>
              </w:rPr>
            </w:pPr>
            <w:r>
              <w:rPr>
                <w:rFonts w:eastAsia="仿宋_GB2312"/>
                <w:szCs w:val="21"/>
              </w:rPr>
              <w:t>无污染</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959" w:type="dxa"/>
            <w:vAlign w:val="center"/>
          </w:tcPr>
          <w:p>
            <w:pPr>
              <w:adjustRightInd w:val="0"/>
              <w:snapToGrid w:val="0"/>
              <w:spacing w:line="320" w:lineRule="exact"/>
              <w:jc w:val="center"/>
              <w:rPr>
                <w:rFonts w:eastAsia="仿宋_GB2312"/>
                <w:szCs w:val="21"/>
              </w:rPr>
            </w:pPr>
            <w:r>
              <w:rPr>
                <w:rFonts w:eastAsia="仿宋_GB2312"/>
                <w:szCs w:val="21"/>
              </w:rPr>
              <w:t>1</w:t>
            </w:r>
          </w:p>
        </w:tc>
        <w:tc>
          <w:tcPr>
            <w:tcW w:w="4722" w:type="dxa"/>
            <w:vAlign w:val="center"/>
          </w:tcPr>
          <w:p>
            <w:pPr>
              <w:adjustRightInd w:val="0"/>
              <w:snapToGrid w:val="0"/>
              <w:spacing w:line="320" w:lineRule="exact"/>
              <w:jc w:val="center"/>
              <w:rPr>
                <w:rFonts w:eastAsia="仿宋_GB2312"/>
                <w:szCs w:val="21"/>
              </w:rPr>
            </w:pPr>
            <w:r>
              <w:rPr>
                <w:rFonts w:eastAsia="仿宋_GB2312"/>
                <w:szCs w:val="21"/>
              </w:rPr>
              <w:t>勉强能感觉到气味（感觉阈值）</w:t>
            </w:r>
          </w:p>
        </w:tc>
        <w:tc>
          <w:tcPr>
            <w:tcW w:w="2841" w:type="dxa"/>
            <w:vAlign w:val="center"/>
          </w:tcPr>
          <w:p>
            <w:pPr>
              <w:adjustRightInd w:val="0"/>
              <w:snapToGrid w:val="0"/>
              <w:spacing w:line="320" w:lineRule="exact"/>
              <w:jc w:val="center"/>
              <w:rPr>
                <w:rFonts w:eastAsia="仿宋_GB2312"/>
                <w:szCs w:val="21"/>
              </w:rPr>
            </w:pPr>
            <w:r>
              <w:rPr>
                <w:rFonts w:eastAsia="仿宋_GB2312"/>
                <w:szCs w:val="21"/>
              </w:rPr>
              <w:t>轻度污染</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959" w:type="dxa"/>
            <w:vAlign w:val="center"/>
          </w:tcPr>
          <w:p>
            <w:pPr>
              <w:adjustRightInd w:val="0"/>
              <w:snapToGrid w:val="0"/>
              <w:spacing w:line="320" w:lineRule="exact"/>
              <w:jc w:val="center"/>
              <w:rPr>
                <w:rFonts w:eastAsia="仿宋_GB2312"/>
                <w:szCs w:val="21"/>
              </w:rPr>
            </w:pPr>
            <w:r>
              <w:rPr>
                <w:rFonts w:eastAsia="仿宋_GB2312"/>
                <w:szCs w:val="21"/>
              </w:rPr>
              <w:t>2</w:t>
            </w:r>
          </w:p>
        </w:tc>
        <w:tc>
          <w:tcPr>
            <w:tcW w:w="4722" w:type="dxa"/>
            <w:vAlign w:val="center"/>
          </w:tcPr>
          <w:p>
            <w:pPr>
              <w:adjustRightInd w:val="0"/>
              <w:snapToGrid w:val="0"/>
              <w:spacing w:line="320" w:lineRule="exact"/>
              <w:jc w:val="center"/>
              <w:rPr>
                <w:rFonts w:eastAsia="仿宋_GB2312"/>
                <w:szCs w:val="21"/>
              </w:rPr>
            </w:pPr>
            <w:r>
              <w:rPr>
                <w:rFonts w:eastAsia="仿宋_GB2312"/>
                <w:szCs w:val="21"/>
              </w:rPr>
              <w:t>有明显气味</w:t>
            </w:r>
          </w:p>
        </w:tc>
        <w:tc>
          <w:tcPr>
            <w:tcW w:w="2841" w:type="dxa"/>
            <w:vAlign w:val="center"/>
          </w:tcPr>
          <w:p>
            <w:pPr>
              <w:adjustRightInd w:val="0"/>
              <w:snapToGrid w:val="0"/>
              <w:spacing w:line="320" w:lineRule="exact"/>
              <w:jc w:val="center"/>
              <w:rPr>
                <w:rFonts w:eastAsia="仿宋_GB2312"/>
                <w:szCs w:val="21"/>
              </w:rPr>
            </w:pPr>
            <w:r>
              <w:rPr>
                <w:rFonts w:eastAsia="仿宋_GB2312"/>
                <w:szCs w:val="21"/>
              </w:rPr>
              <w:t>中等污染</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959" w:type="dxa"/>
            <w:vAlign w:val="center"/>
          </w:tcPr>
          <w:p>
            <w:pPr>
              <w:adjustRightInd w:val="0"/>
              <w:snapToGrid w:val="0"/>
              <w:spacing w:line="320" w:lineRule="exact"/>
              <w:jc w:val="center"/>
              <w:rPr>
                <w:rFonts w:eastAsia="仿宋_GB2312"/>
                <w:szCs w:val="21"/>
              </w:rPr>
            </w:pPr>
            <w:r>
              <w:rPr>
                <w:rFonts w:eastAsia="仿宋_GB2312"/>
                <w:szCs w:val="21"/>
              </w:rPr>
              <w:t>3</w:t>
            </w:r>
          </w:p>
        </w:tc>
        <w:tc>
          <w:tcPr>
            <w:tcW w:w="4722" w:type="dxa"/>
            <w:vAlign w:val="center"/>
          </w:tcPr>
          <w:p>
            <w:pPr>
              <w:adjustRightInd w:val="0"/>
              <w:snapToGrid w:val="0"/>
              <w:spacing w:line="320" w:lineRule="exact"/>
              <w:jc w:val="center"/>
              <w:rPr>
                <w:rFonts w:eastAsia="仿宋_GB2312"/>
                <w:szCs w:val="21"/>
              </w:rPr>
            </w:pPr>
            <w:r>
              <w:rPr>
                <w:rFonts w:eastAsia="仿宋_GB2312"/>
                <w:szCs w:val="21"/>
              </w:rPr>
              <w:t>强烈的气味</w:t>
            </w:r>
          </w:p>
        </w:tc>
        <w:tc>
          <w:tcPr>
            <w:tcW w:w="2841" w:type="dxa"/>
            <w:vAlign w:val="center"/>
          </w:tcPr>
          <w:p>
            <w:pPr>
              <w:autoSpaceDE w:val="0"/>
              <w:autoSpaceDN w:val="0"/>
              <w:adjustRightInd w:val="0"/>
              <w:snapToGrid w:val="0"/>
              <w:spacing w:line="320" w:lineRule="exact"/>
              <w:jc w:val="center"/>
              <w:rPr>
                <w:rFonts w:eastAsia="仿宋_GB2312"/>
                <w:szCs w:val="21"/>
              </w:rPr>
            </w:pPr>
            <w:r>
              <w:rPr>
                <w:rFonts w:eastAsia="仿宋_GB2312"/>
                <w:szCs w:val="21"/>
              </w:rPr>
              <w:t>重度污染</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959" w:type="dxa"/>
            <w:vAlign w:val="center"/>
          </w:tcPr>
          <w:p>
            <w:pPr>
              <w:adjustRightInd w:val="0"/>
              <w:snapToGrid w:val="0"/>
              <w:spacing w:line="320" w:lineRule="exact"/>
              <w:jc w:val="center"/>
              <w:rPr>
                <w:rFonts w:eastAsia="仿宋_GB2312"/>
                <w:szCs w:val="21"/>
              </w:rPr>
            </w:pPr>
            <w:r>
              <w:rPr>
                <w:rFonts w:eastAsia="仿宋_GB2312"/>
                <w:szCs w:val="21"/>
              </w:rPr>
              <w:t>4</w:t>
            </w:r>
          </w:p>
        </w:tc>
        <w:tc>
          <w:tcPr>
            <w:tcW w:w="4722" w:type="dxa"/>
            <w:vAlign w:val="center"/>
          </w:tcPr>
          <w:p>
            <w:pPr>
              <w:adjustRightInd w:val="0"/>
              <w:snapToGrid w:val="0"/>
              <w:spacing w:line="320" w:lineRule="exact"/>
              <w:jc w:val="center"/>
              <w:rPr>
                <w:rFonts w:eastAsia="仿宋_GB2312"/>
                <w:szCs w:val="21"/>
              </w:rPr>
            </w:pPr>
            <w:r>
              <w:rPr>
                <w:rFonts w:eastAsia="仿宋_GB2312"/>
                <w:szCs w:val="21"/>
              </w:rPr>
              <w:t>无法忍受的极强气味</w:t>
            </w:r>
          </w:p>
        </w:tc>
        <w:tc>
          <w:tcPr>
            <w:tcW w:w="2841" w:type="dxa"/>
            <w:vAlign w:val="center"/>
          </w:tcPr>
          <w:p>
            <w:pPr>
              <w:adjustRightInd w:val="0"/>
              <w:snapToGrid w:val="0"/>
              <w:spacing w:line="320" w:lineRule="exact"/>
              <w:jc w:val="center"/>
              <w:rPr>
                <w:rFonts w:eastAsia="仿宋_GB2312"/>
                <w:szCs w:val="21"/>
              </w:rPr>
            </w:pPr>
            <w:r>
              <w:rPr>
                <w:rFonts w:eastAsia="仿宋_GB2312"/>
                <w:szCs w:val="21"/>
              </w:rPr>
              <w:t>严重污染</w:t>
            </w:r>
          </w:p>
        </w:tc>
      </w:tr>
    </w:tbl>
    <w:p>
      <w:pPr>
        <w:spacing w:line="500" w:lineRule="exact"/>
        <w:ind w:firstLine="480" w:firstLineChars="200"/>
        <w:rPr>
          <w:rFonts w:eastAsia="仿宋"/>
          <w:kern w:val="0"/>
          <w:sz w:val="24"/>
        </w:rPr>
      </w:pPr>
      <w:r>
        <w:rPr>
          <w:rFonts w:hint="eastAsia" w:eastAsia="仿宋"/>
          <w:kern w:val="0"/>
          <w:sz w:val="24"/>
        </w:rPr>
        <w:t>采用《环境影响评价</w:t>
      </w:r>
      <w:r>
        <w:rPr>
          <w:rFonts w:eastAsia="仿宋"/>
          <w:kern w:val="0"/>
          <w:sz w:val="24"/>
        </w:rPr>
        <w:t>技术导则</w:t>
      </w:r>
      <w:r>
        <w:rPr>
          <w:rFonts w:hint="eastAsia" w:eastAsia="仿宋"/>
          <w:kern w:val="0"/>
          <w:sz w:val="24"/>
        </w:rPr>
        <w:t>大气</w:t>
      </w:r>
      <w:r>
        <w:rPr>
          <w:rFonts w:eastAsia="仿宋"/>
          <w:kern w:val="0"/>
          <w:sz w:val="24"/>
        </w:rPr>
        <w:t>环境</w:t>
      </w:r>
      <w:r>
        <w:rPr>
          <w:rFonts w:hint="eastAsia" w:eastAsia="仿宋"/>
          <w:kern w:val="0"/>
          <w:sz w:val="24"/>
        </w:rPr>
        <w:t>》（HJ</w:t>
      </w:r>
      <w:r>
        <w:rPr>
          <w:rFonts w:eastAsia="仿宋"/>
          <w:kern w:val="0"/>
          <w:sz w:val="24"/>
        </w:rPr>
        <w:t>2.2-2018</w:t>
      </w:r>
      <w:r>
        <w:rPr>
          <w:rFonts w:hint="eastAsia" w:eastAsia="仿宋"/>
          <w:kern w:val="0"/>
          <w:sz w:val="24"/>
        </w:rPr>
        <w:t>）推荐模型</w:t>
      </w:r>
      <w:r>
        <w:rPr>
          <w:rFonts w:eastAsia="仿宋"/>
          <w:kern w:val="0"/>
          <w:sz w:val="24"/>
        </w:rPr>
        <w:t>中的</w:t>
      </w:r>
      <w:r>
        <w:rPr>
          <w:rFonts w:hint="eastAsia" w:eastAsia="仿宋"/>
          <w:kern w:val="0"/>
          <w:sz w:val="24"/>
        </w:rPr>
        <w:t>AER</w:t>
      </w:r>
      <w:r>
        <w:rPr>
          <w:rFonts w:eastAsia="仿宋"/>
          <w:kern w:val="0"/>
          <w:sz w:val="24"/>
        </w:rPr>
        <w:t>SCREEN</w:t>
      </w:r>
      <w:r>
        <w:rPr>
          <w:rFonts w:hint="eastAsia" w:eastAsia="仿宋"/>
          <w:kern w:val="0"/>
          <w:sz w:val="24"/>
        </w:rPr>
        <w:t>估算</w:t>
      </w:r>
      <w:r>
        <w:rPr>
          <w:rFonts w:eastAsia="仿宋"/>
          <w:kern w:val="0"/>
          <w:sz w:val="24"/>
        </w:rPr>
        <w:t>模型，</w:t>
      </w:r>
      <w:r>
        <w:rPr>
          <w:rFonts w:hint="eastAsia" w:eastAsia="仿宋"/>
          <w:kern w:val="0"/>
          <w:sz w:val="24"/>
        </w:rPr>
        <w:t>估算</w:t>
      </w:r>
      <w:r>
        <w:rPr>
          <w:rFonts w:eastAsia="仿宋"/>
          <w:kern w:val="0"/>
          <w:sz w:val="24"/>
        </w:rPr>
        <w:t>本项目</w:t>
      </w:r>
      <w:r>
        <w:rPr>
          <w:rFonts w:hint="eastAsia" w:eastAsia="仿宋"/>
          <w:kern w:val="0"/>
          <w:sz w:val="24"/>
        </w:rPr>
        <w:t>污染源正常</w:t>
      </w:r>
      <w:r>
        <w:rPr>
          <w:rFonts w:eastAsia="仿宋"/>
          <w:kern w:val="0"/>
          <w:sz w:val="24"/>
        </w:rPr>
        <w:t>工况下</w:t>
      </w:r>
      <w:r>
        <w:rPr>
          <w:rFonts w:hint="eastAsia" w:eastAsia="仿宋"/>
          <w:kern w:val="0"/>
          <w:sz w:val="24"/>
        </w:rPr>
        <w:t>排放</w:t>
      </w:r>
      <w:r>
        <w:rPr>
          <w:rFonts w:eastAsia="仿宋"/>
          <w:kern w:val="0"/>
          <w:sz w:val="24"/>
        </w:rPr>
        <w:t>污染物</w:t>
      </w:r>
      <w:r>
        <w:rPr>
          <w:rFonts w:hint="eastAsia" w:eastAsia="仿宋"/>
          <w:kern w:val="0"/>
          <w:sz w:val="24"/>
        </w:rPr>
        <w:t>的</w:t>
      </w:r>
      <w:r>
        <w:rPr>
          <w:rFonts w:eastAsia="仿宋"/>
          <w:kern w:val="0"/>
          <w:sz w:val="24"/>
        </w:rPr>
        <w:t>最大</w:t>
      </w:r>
      <w:r>
        <w:rPr>
          <w:rFonts w:hint="eastAsia" w:eastAsia="仿宋"/>
          <w:kern w:val="0"/>
          <w:sz w:val="24"/>
        </w:rPr>
        <w:t>落地</w:t>
      </w:r>
      <w:r>
        <w:rPr>
          <w:rFonts w:eastAsia="仿宋"/>
          <w:kern w:val="0"/>
          <w:sz w:val="24"/>
        </w:rPr>
        <w:t>浓度</w:t>
      </w:r>
      <w:r>
        <w:rPr>
          <w:rFonts w:hint="eastAsia" w:eastAsia="仿宋"/>
          <w:kern w:val="0"/>
          <w:sz w:val="24"/>
        </w:rPr>
        <w:t>，浓度</w:t>
      </w:r>
      <w:r>
        <w:rPr>
          <w:rFonts w:eastAsia="仿宋"/>
          <w:kern w:val="0"/>
          <w:sz w:val="24"/>
        </w:rPr>
        <w:t>见下表。</w:t>
      </w:r>
    </w:p>
    <w:p>
      <w:pPr>
        <w:autoSpaceDE w:val="0"/>
        <w:autoSpaceDN w:val="0"/>
        <w:spacing w:line="500" w:lineRule="exact"/>
        <w:ind w:firstLine="482" w:firstLineChars="200"/>
        <w:jc w:val="center"/>
        <w:rPr>
          <w:rFonts w:eastAsia="仿宋_GB2312"/>
          <w:b/>
          <w:kern w:val="0"/>
          <w:sz w:val="24"/>
          <w:szCs w:val="20"/>
        </w:rPr>
      </w:pPr>
      <w:r>
        <w:rPr>
          <w:rFonts w:eastAsia="仿宋_GB2312"/>
          <w:b/>
          <w:kern w:val="0"/>
          <w:sz w:val="24"/>
          <w:szCs w:val="20"/>
        </w:rPr>
        <w:t>表5.2-1</w:t>
      </w:r>
      <w:r>
        <w:rPr>
          <w:rFonts w:hint="eastAsia" w:eastAsia="仿宋_GB2312"/>
          <w:b/>
          <w:kern w:val="0"/>
          <w:sz w:val="24"/>
          <w:szCs w:val="20"/>
        </w:rPr>
        <w:t>6  本项目异味污染物影响值一览表（mg/m</w:t>
      </w:r>
      <w:r>
        <w:rPr>
          <w:rFonts w:hint="eastAsia" w:eastAsia="仿宋_GB2312"/>
          <w:b/>
          <w:kern w:val="0"/>
          <w:sz w:val="24"/>
          <w:szCs w:val="20"/>
          <w:vertAlign w:val="superscript"/>
        </w:rPr>
        <w:t>3</w:t>
      </w:r>
      <w:r>
        <w:rPr>
          <w:rFonts w:hint="eastAsia" w:eastAsia="仿宋_GB2312"/>
          <w:b/>
          <w:kern w:val="0"/>
          <w:sz w:val="24"/>
          <w:szCs w:val="20"/>
        </w:rPr>
        <w:t>）</w:t>
      </w:r>
    </w:p>
    <w:tbl>
      <w:tblPr>
        <w:tblStyle w:val="88"/>
        <w:tblW w:w="85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3"/>
        <w:gridCol w:w="2137"/>
        <w:gridCol w:w="2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4263" w:type="dxa"/>
            <w:vMerge w:val="restart"/>
            <w:vAlign w:val="center"/>
          </w:tcPr>
          <w:p>
            <w:pPr>
              <w:adjustRightInd w:val="0"/>
              <w:snapToGrid w:val="0"/>
              <w:spacing w:line="320" w:lineRule="exact"/>
              <w:jc w:val="center"/>
              <w:rPr>
                <w:rFonts w:eastAsia="仿宋_GB2312"/>
                <w:szCs w:val="21"/>
              </w:rPr>
            </w:pPr>
            <w:r>
              <w:rPr>
                <w:rFonts w:hint="eastAsia" w:eastAsia="仿宋_GB2312"/>
                <w:szCs w:val="21"/>
              </w:rPr>
              <w:t>最近保护目标</w:t>
            </w:r>
          </w:p>
        </w:tc>
        <w:tc>
          <w:tcPr>
            <w:tcW w:w="4275" w:type="dxa"/>
            <w:gridSpan w:val="2"/>
          </w:tcPr>
          <w:p>
            <w:pPr>
              <w:adjustRightInd w:val="0"/>
              <w:snapToGrid w:val="0"/>
              <w:spacing w:line="320" w:lineRule="exact"/>
              <w:jc w:val="center"/>
              <w:rPr>
                <w:rFonts w:eastAsia="仿宋_GB2312"/>
                <w:szCs w:val="21"/>
              </w:rPr>
            </w:pPr>
            <w:r>
              <w:rPr>
                <w:rFonts w:hint="eastAsia" w:eastAsia="仿宋_GB2312"/>
                <w:szCs w:val="21"/>
              </w:rPr>
              <w:t>污染物名称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4263" w:type="dxa"/>
            <w:vMerge w:val="continue"/>
          </w:tcPr>
          <w:p>
            <w:pPr>
              <w:adjustRightInd w:val="0"/>
              <w:snapToGrid w:val="0"/>
              <w:spacing w:line="320" w:lineRule="exact"/>
              <w:jc w:val="center"/>
              <w:rPr>
                <w:rFonts w:eastAsia="仿宋_GB2312"/>
                <w:szCs w:val="21"/>
              </w:rPr>
            </w:pPr>
          </w:p>
        </w:tc>
        <w:tc>
          <w:tcPr>
            <w:tcW w:w="2137" w:type="dxa"/>
          </w:tcPr>
          <w:p>
            <w:pPr>
              <w:adjustRightInd w:val="0"/>
              <w:snapToGrid w:val="0"/>
              <w:spacing w:line="320" w:lineRule="exact"/>
              <w:jc w:val="center"/>
              <w:rPr>
                <w:rFonts w:eastAsia="仿宋_GB2312"/>
                <w:szCs w:val="21"/>
              </w:rPr>
            </w:pPr>
            <w:r>
              <w:rPr>
                <w:rFonts w:hint="eastAsia" w:eastAsia="仿宋_GB2312"/>
                <w:szCs w:val="21"/>
              </w:rPr>
              <w:t>乙酸乙酯</w:t>
            </w:r>
          </w:p>
        </w:tc>
        <w:tc>
          <w:tcPr>
            <w:tcW w:w="2138" w:type="dxa"/>
          </w:tcPr>
          <w:p>
            <w:pPr>
              <w:adjustRightInd w:val="0"/>
              <w:snapToGrid w:val="0"/>
              <w:spacing w:line="320" w:lineRule="exact"/>
              <w:jc w:val="center"/>
              <w:rPr>
                <w:rFonts w:eastAsia="仿宋_GB2312"/>
                <w:szCs w:val="21"/>
              </w:rPr>
            </w:pPr>
            <w:r>
              <w:rPr>
                <w:rFonts w:hint="eastAsia" w:eastAsia="仿宋_GB2312"/>
                <w:szCs w:val="21"/>
              </w:rPr>
              <w:t>二甲苯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4263" w:type="dxa"/>
          </w:tcPr>
          <w:p>
            <w:pPr>
              <w:adjustRightInd w:val="0"/>
              <w:snapToGrid w:val="0"/>
              <w:spacing w:line="320" w:lineRule="exact"/>
              <w:jc w:val="center"/>
              <w:rPr>
                <w:rFonts w:eastAsia="仿宋_GB2312"/>
                <w:szCs w:val="21"/>
              </w:rPr>
            </w:pPr>
            <w:r>
              <w:rPr>
                <w:rFonts w:hint="eastAsia" w:eastAsia="仿宋_GB2312"/>
                <w:szCs w:val="21"/>
              </w:rPr>
              <w:t>元巷小区</w:t>
            </w:r>
          </w:p>
        </w:tc>
        <w:tc>
          <w:tcPr>
            <w:tcW w:w="2137" w:type="dxa"/>
          </w:tcPr>
          <w:p>
            <w:pPr>
              <w:adjustRightInd w:val="0"/>
              <w:snapToGrid w:val="0"/>
              <w:spacing w:line="320" w:lineRule="exact"/>
              <w:jc w:val="center"/>
              <w:rPr>
                <w:rFonts w:eastAsia="仿宋_GB2312"/>
                <w:szCs w:val="21"/>
              </w:rPr>
            </w:pPr>
            <w:r>
              <w:rPr>
                <w:rFonts w:hint="eastAsia" w:eastAsia="仿宋_GB2312"/>
                <w:szCs w:val="21"/>
              </w:rPr>
              <w:t>0</w:t>
            </w:r>
            <w:r>
              <w:rPr>
                <w:rFonts w:eastAsia="仿宋_GB2312"/>
                <w:szCs w:val="21"/>
              </w:rPr>
              <w:t>.023</w:t>
            </w:r>
          </w:p>
        </w:tc>
        <w:tc>
          <w:tcPr>
            <w:tcW w:w="2138" w:type="dxa"/>
          </w:tcPr>
          <w:p>
            <w:pPr>
              <w:adjustRightInd w:val="0"/>
              <w:snapToGrid w:val="0"/>
              <w:spacing w:line="320" w:lineRule="exact"/>
              <w:jc w:val="center"/>
              <w:rPr>
                <w:rFonts w:eastAsia="仿宋_GB2312"/>
                <w:szCs w:val="21"/>
              </w:rPr>
            </w:pPr>
            <w:r>
              <w:rPr>
                <w:rFonts w:hint="eastAsia" w:eastAsia="仿宋_GB2312"/>
                <w:szCs w:val="21"/>
              </w:rPr>
              <w:t>0</w:t>
            </w:r>
            <w:r>
              <w:rPr>
                <w:rFonts w:eastAsia="仿宋_GB2312"/>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4263" w:type="dxa"/>
          </w:tcPr>
          <w:p>
            <w:pPr>
              <w:adjustRightInd w:val="0"/>
              <w:snapToGrid w:val="0"/>
              <w:spacing w:line="320" w:lineRule="exact"/>
              <w:jc w:val="center"/>
              <w:rPr>
                <w:rFonts w:eastAsia="仿宋_GB2312"/>
                <w:szCs w:val="21"/>
              </w:rPr>
            </w:pPr>
            <w:r>
              <w:rPr>
                <w:rFonts w:hint="eastAsia" w:eastAsia="仿宋_GB2312"/>
                <w:szCs w:val="21"/>
              </w:rPr>
              <w:t>质量标准</w:t>
            </w:r>
          </w:p>
        </w:tc>
        <w:tc>
          <w:tcPr>
            <w:tcW w:w="2137" w:type="dxa"/>
          </w:tcPr>
          <w:p>
            <w:pPr>
              <w:adjustRightInd w:val="0"/>
              <w:snapToGrid w:val="0"/>
              <w:spacing w:line="320" w:lineRule="exact"/>
              <w:jc w:val="center"/>
              <w:rPr>
                <w:rFonts w:eastAsia="仿宋_GB2312"/>
                <w:szCs w:val="21"/>
              </w:rPr>
            </w:pPr>
            <w:r>
              <w:rPr>
                <w:rFonts w:eastAsia="仿宋_GB2312"/>
                <w:szCs w:val="21"/>
              </w:rPr>
              <w:t>0.1</w:t>
            </w:r>
          </w:p>
        </w:tc>
        <w:tc>
          <w:tcPr>
            <w:tcW w:w="2138" w:type="dxa"/>
          </w:tcPr>
          <w:p>
            <w:pPr>
              <w:adjustRightInd w:val="0"/>
              <w:snapToGrid w:val="0"/>
              <w:spacing w:line="320" w:lineRule="exact"/>
              <w:jc w:val="center"/>
              <w:rPr>
                <w:rFonts w:eastAsia="仿宋_GB2312"/>
                <w:szCs w:val="21"/>
              </w:rPr>
            </w:pPr>
            <w:r>
              <w:rPr>
                <w:rFonts w:eastAsia="仿宋_GB2312"/>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4263" w:type="dxa"/>
          </w:tcPr>
          <w:p>
            <w:pPr>
              <w:adjustRightInd w:val="0"/>
              <w:snapToGrid w:val="0"/>
              <w:spacing w:line="320" w:lineRule="exact"/>
              <w:jc w:val="center"/>
              <w:rPr>
                <w:rFonts w:eastAsia="仿宋_GB2312"/>
                <w:szCs w:val="21"/>
              </w:rPr>
            </w:pPr>
            <w:r>
              <w:rPr>
                <w:rFonts w:hint="eastAsia" w:eastAsia="仿宋_GB2312"/>
                <w:szCs w:val="21"/>
              </w:rPr>
              <w:t>嗅阈值</w:t>
            </w:r>
          </w:p>
        </w:tc>
        <w:tc>
          <w:tcPr>
            <w:tcW w:w="2137" w:type="dxa"/>
          </w:tcPr>
          <w:p>
            <w:pPr>
              <w:adjustRightInd w:val="0"/>
              <w:snapToGrid w:val="0"/>
              <w:spacing w:line="320" w:lineRule="exact"/>
              <w:jc w:val="center"/>
              <w:rPr>
                <w:rFonts w:eastAsia="仿宋_GB2312"/>
                <w:szCs w:val="21"/>
              </w:rPr>
            </w:pPr>
            <w:r>
              <w:rPr>
                <w:rFonts w:hint="eastAsia" w:eastAsia="仿宋_GB2312"/>
                <w:szCs w:val="21"/>
              </w:rPr>
              <w:t>0</w:t>
            </w:r>
            <w:r>
              <w:rPr>
                <w:rFonts w:eastAsia="仿宋_GB2312"/>
                <w:szCs w:val="21"/>
              </w:rPr>
              <w:t>.6</w:t>
            </w:r>
          </w:p>
        </w:tc>
        <w:tc>
          <w:tcPr>
            <w:tcW w:w="2138" w:type="dxa"/>
          </w:tcPr>
          <w:p>
            <w:pPr>
              <w:adjustRightInd w:val="0"/>
              <w:snapToGrid w:val="0"/>
              <w:spacing w:line="320" w:lineRule="exact"/>
              <w:jc w:val="center"/>
              <w:rPr>
                <w:rFonts w:eastAsia="仿宋_GB2312"/>
                <w:szCs w:val="21"/>
              </w:rPr>
            </w:pPr>
            <w:r>
              <w:rPr>
                <w:rFonts w:hint="eastAsia" w:eastAsia="仿宋_GB2312"/>
                <w:szCs w:val="21"/>
              </w:rPr>
              <w:t>2</w:t>
            </w:r>
          </w:p>
        </w:tc>
      </w:tr>
    </w:tbl>
    <w:p>
      <w:pPr>
        <w:autoSpaceDE w:val="0"/>
        <w:autoSpaceDN w:val="0"/>
        <w:spacing w:line="500" w:lineRule="exact"/>
        <w:ind w:firstLine="560" w:firstLineChars="200"/>
        <w:rPr>
          <w:rFonts w:eastAsia="仿宋_GB2312"/>
          <w:sz w:val="28"/>
          <w:szCs w:val="28"/>
        </w:rPr>
      </w:pPr>
      <w:r>
        <w:rPr>
          <w:rFonts w:hint="eastAsia" w:eastAsia="仿宋_GB2312"/>
          <w:sz w:val="28"/>
          <w:szCs w:val="28"/>
        </w:rPr>
        <w:t>本项目正常工况下，最近环境保护目标处乙酸乙酯、二甲苯浓度不超过环境质量标准、嗅阈值。</w:t>
      </w:r>
    </w:p>
    <w:p>
      <w:pPr>
        <w:autoSpaceDE w:val="0"/>
        <w:autoSpaceDN w:val="0"/>
        <w:spacing w:line="500" w:lineRule="exact"/>
        <w:ind w:firstLine="560" w:firstLineChars="200"/>
        <w:rPr>
          <w:rFonts w:eastAsia="仿宋_GB2312"/>
          <w:sz w:val="28"/>
          <w:szCs w:val="28"/>
        </w:rPr>
      </w:pPr>
      <w:r>
        <w:rPr>
          <w:rFonts w:eastAsia="仿宋_GB2312"/>
          <w:sz w:val="28"/>
          <w:szCs w:val="28"/>
        </w:rPr>
        <w:t>类比同类型企业，本项目最大臭气强度等级为2级，污染程度为中等污染，污染范围的半径＜200m，其中达到2级的半径＜50m。因此，本项目产生的恶臭污染物对周边环境影响在能接受范围之内。为使恶臭对周围环境影响减至最低，建设单位在项目运行中应进一步做好恶臭污染防治措施：</w:t>
      </w:r>
    </w:p>
    <w:p>
      <w:pPr>
        <w:autoSpaceDE w:val="0"/>
        <w:autoSpaceDN w:val="0"/>
        <w:spacing w:line="500" w:lineRule="exact"/>
        <w:ind w:firstLine="560" w:firstLineChars="200"/>
        <w:rPr>
          <w:rFonts w:eastAsia="仿宋_GB2312"/>
          <w:sz w:val="28"/>
          <w:szCs w:val="28"/>
        </w:rPr>
      </w:pPr>
      <w:r>
        <w:rPr>
          <w:rFonts w:eastAsia="仿宋_GB2312"/>
          <w:sz w:val="28"/>
          <w:szCs w:val="28"/>
        </w:rPr>
        <w:t>控制好生产过程的工艺参数，减少恶臭污染物的产生量；做好废气的收集，尽可能提高收集效率；加强废气处理设施的运行管理，确保稳定运行，达标排放。厂区内应充分利用设施、建筑物间空地，在道路两旁和车间四周多中值阔叶常绿树种，以减轻异味影响，改善厂区环境空气质量。</w:t>
      </w:r>
    </w:p>
    <w:p>
      <w:pPr>
        <w:keepNext/>
        <w:widowControl/>
        <w:adjustRightInd w:val="0"/>
        <w:snapToGrid w:val="0"/>
        <w:spacing w:after="120" w:afterLines="50" w:line="500" w:lineRule="exact"/>
        <w:ind w:left="141"/>
        <w:jc w:val="left"/>
        <w:outlineLvl w:val="3"/>
        <w:rPr>
          <w:rFonts w:eastAsia="仿宋_GB2312"/>
          <w:b/>
          <w:bCs/>
          <w:sz w:val="28"/>
          <w:szCs w:val="28"/>
        </w:rPr>
      </w:pPr>
      <w:r>
        <w:rPr>
          <w:rFonts w:hint="eastAsia" w:eastAsia="仿宋_GB2312"/>
          <w:b/>
          <w:bCs/>
          <w:sz w:val="28"/>
          <w:szCs w:val="28"/>
        </w:rPr>
        <w:t>5</w:t>
      </w:r>
      <w:r>
        <w:rPr>
          <w:rFonts w:eastAsia="仿宋_GB2312"/>
          <w:b/>
          <w:bCs/>
          <w:sz w:val="28"/>
          <w:szCs w:val="28"/>
        </w:rPr>
        <w:t>.2.1.9大气环境影响评价结论</w:t>
      </w:r>
    </w:p>
    <w:p>
      <w:pPr>
        <w:autoSpaceDE w:val="0"/>
        <w:autoSpaceDN w:val="0"/>
        <w:spacing w:line="500" w:lineRule="exact"/>
        <w:ind w:firstLine="560" w:firstLineChars="200"/>
        <w:rPr>
          <w:rFonts w:eastAsia="仿宋_GB2312"/>
          <w:sz w:val="28"/>
          <w:szCs w:val="28"/>
        </w:rPr>
      </w:pPr>
      <w:r>
        <w:rPr>
          <w:rFonts w:hint="eastAsia" w:eastAsia="仿宋_GB2312"/>
          <w:sz w:val="28"/>
          <w:szCs w:val="28"/>
        </w:rPr>
        <w:t>本项目</w:t>
      </w:r>
      <w:r>
        <w:rPr>
          <w:rFonts w:eastAsia="仿宋_GB2312"/>
          <w:sz w:val="28"/>
          <w:szCs w:val="28"/>
        </w:rPr>
        <w:t>所在区域环境空气质量目前</w:t>
      </w:r>
      <w:r>
        <w:rPr>
          <w:rFonts w:hint="eastAsia" w:eastAsia="仿宋_GB2312"/>
          <w:sz w:val="28"/>
          <w:szCs w:val="28"/>
        </w:rPr>
        <w:t>暂</w:t>
      </w:r>
      <w:r>
        <w:rPr>
          <w:rFonts w:eastAsia="仿宋_GB2312"/>
          <w:sz w:val="28"/>
          <w:szCs w:val="28"/>
        </w:rPr>
        <w:t>不达标</w:t>
      </w:r>
      <w:r>
        <w:rPr>
          <w:rFonts w:hint="eastAsia" w:eastAsia="仿宋_GB2312"/>
          <w:sz w:val="28"/>
          <w:szCs w:val="28"/>
        </w:rPr>
        <w:t>，</w:t>
      </w:r>
      <w:r>
        <w:rPr>
          <w:rFonts w:eastAsia="仿宋_GB2312"/>
          <w:sz w:val="28"/>
          <w:szCs w:val="28"/>
        </w:rPr>
        <w:t>应尽快</w:t>
      </w:r>
      <w:r>
        <w:rPr>
          <w:rFonts w:hint="eastAsia" w:eastAsia="仿宋_GB2312"/>
          <w:sz w:val="28"/>
          <w:szCs w:val="28"/>
        </w:rPr>
        <w:t>落实</w:t>
      </w:r>
      <w:r>
        <w:rPr>
          <w:rFonts w:eastAsia="仿宋_GB2312"/>
          <w:sz w:val="28"/>
          <w:szCs w:val="28"/>
        </w:rPr>
        <w:t>整治规划。</w:t>
      </w:r>
      <w:r>
        <w:rPr>
          <w:rFonts w:hint="eastAsia" w:eastAsia="仿宋_GB2312"/>
          <w:sz w:val="28"/>
          <w:szCs w:val="28"/>
        </w:rPr>
        <w:t>本项目正常排放下</w:t>
      </w:r>
      <w:r>
        <w:rPr>
          <w:rFonts w:eastAsia="仿宋_GB2312"/>
          <w:sz w:val="28"/>
          <w:szCs w:val="28"/>
        </w:rPr>
        <w:t>的</w:t>
      </w:r>
      <w:r>
        <w:rPr>
          <w:rFonts w:hint="eastAsia" w:eastAsia="仿宋_GB2312"/>
          <w:sz w:val="28"/>
          <w:szCs w:val="28"/>
        </w:rPr>
        <w:t>二甲苯、乙酸乙酯</w:t>
      </w:r>
      <w:r>
        <w:rPr>
          <w:rFonts w:eastAsia="仿宋_GB2312"/>
          <w:sz w:val="28"/>
          <w:szCs w:val="28"/>
        </w:rPr>
        <w:t>、非甲烷总烃</w:t>
      </w:r>
      <w:r>
        <w:rPr>
          <w:rFonts w:hint="eastAsia" w:eastAsia="仿宋_GB2312"/>
          <w:sz w:val="28"/>
          <w:szCs w:val="28"/>
        </w:rPr>
        <w:t>、颗粒物</w:t>
      </w:r>
      <w:r>
        <w:rPr>
          <w:rFonts w:eastAsia="仿宋_GB2312"/>
          <w:sz w:val="28"/>
          <w:szCs w:val="28"/>
        </w:rPr>
        <w:t>最大地面浓度占标率</w:t>
      </w:r>
      <w:r>
        <w:rPr>
          <w:rFonts w:hint="eastAsia" w:eastAsia="仿宋_GB2312"/>
          <w:sz w:val="28"/>
          <w:szCs w:val="28"/>
        </w:rPr>
        <w:t>＜10</w:t>
      </w:r>
      <w:r>
        <w:rPr>
          <w:rFonts w:eastAsia="仿宋_GB2312"/>
          <w:sz w:val="28"/>
          <w:szCs w:val="28"/>
        </w:rPr>
        <w:t>%</w:t>
      </w:r>
      <w:r>
        <w:rPr>
          <w:rFonts w:hint="eastAsia" w:eastAsia="仿宋_GB2312"/>
          <w:sz w:val="28"/>
          <w:szCs w:val="28"/>
        </w:rPr>
        <w:t>，对周围大气环境影响较小，</w:t>
      </w:r>
      <w:r>
        <w:rPr>
          <w:rFonts w:eastAsia="仿宋_GB2312"/>
          <w:sz w:val="28"/>
          <w:szCs w:val="28"/>
        </w:rPr>
        <w:t>综上</w:t>
      </w:r>
      <w:r>
        <w:rPr>
          <w:rFonts w:hint="eastAsia" w:eastAsia="仿宋_GB2312"/>
          <w:sz w:val="28"/>
          <w:szCs w:val="28"/>
        </w:rPr>
        <w:t>所述</w:t>
      </w:r>
      <w:r>
        <w:rPr>
          <w:rFonts w:eastAsia="仿宋_GB2312"/>
          <w:sz w:val="28"/>
          <w:szCs w:val="28"/>
        </w:rPr>
        <w:t>，</w:t>
      </w:r>
      <w:r>
        <w:rPr>
          <w:rFonts w:hint="eastAsia" w:eastAsia="仿宋_GB2312"/>
          <w:sz w:val="28"/>
          <w:szCs w:val="28"/>
        </w:rPr>
        <w:t>本项目</w:t>
      </w:r>
      <w:r>
        <w:rPr>
          <w:rFonts w:eastAsia="仿宋_GB2312"/>
          <w:sz w:val="28"/>
          <w:szCs w:val="28"/>
        </w:rPr>
        <w:t>大气环境影响可以接受</w:t>
      </w:r>
      <w:r>
        <w:rPr>
          <w:rFonts w:hint="eastAsia" w:eastAsia="仿宋_GB2312"/>
          <w:sz w:val="28"/>
          <w:szCs w:val="28"/>
        </w:rPr>
        <w:t>，项目建成后有组织非甲烷总烃、颗粒物、SO</w:t>
      </w:r>
      <w:r>
        <w:rPr>
          <w:rFonts w:hint="eastAsia" w:eastAsia="仿宋_GB2312"/>
          <w:sz w:val="28"/>
          <w:szCs w:val="28"/>
          <w:vertAlign w:val="subscript"/>
        </w:rPr>
        <w:t>2</w:t>
      </w:r>
      <w:r>
        <w:rPr>
          <w:rFonts w:hint="eastAsia" w:eastAsia="仿宋_GB2312"/>
          <w:sz w:val="28"/>
          <w:szCs w:val="28"/>
        </w:rPr>
        <w:t>、NO</w:t>
      </w:r>
      <w:r>
        <w:rPr>
          <w:rFonts w:hint="eastAsia" w:eastAsia="仿宋_GB2312"/>
          <w:sz w:val="28"/>
          <w:szCs w:val="28"/>
          <w:vertAlign w:val="subscript"/>
        </w:rPr>
        <w:t>X</w:t>
      </w:r>
      <w:r>
        <w:rPr>
          <w:rFonts w:eastAsia="仿宋_GB2312"/>
          <w:sz w:val="28"/>
          <w:szCs w:val="28"/>
        </w:rPr>
        <w:t>排入外环境量分别为1.89t/a</w:t>
      </w:r>
      <w:r>
        <w:rPr>
          <w:rFonts w:hint="eastAsia" w:eastAsia="仿宋_GB2312"/>
          <w:sz w:val="28"/>
          <w:szCs w:val="28"/>
        </w:rPr>
        <w:t>、</w:t>
      </w:r>
      <w:r>
        <w:rPr>
          <w:rFonts w:eastAsia="仿宋_GB2312"/>
          <w:sz w:val="28"/>
          <w:szCs w:val="28"/>
        </w:rPr>
        <w:t>0.</w:t>
      </w:r>
      <w:r>
        <w:rPr>
          <w:rFonts w:hint="eastAsia" w:eastAsia="仿宋_GB2312"/>
          <w:sz w:val="28"/>
          <w:szCs w:val="28"/>
        </w:rPr>
        <w:t>0</w:t>
      </w:r>
      <w:r>
        <w:rPr>
          <w:rFonts w:eastAsia="仿宋_GB2312"/>
          <w:sz w:val="28"/>
          <w:szCs w:val="28"/>
        </w:rPr>
        <w:t>7t/a</w:t>
      </w:r>
      <w:r>
        <w:rPr>
          <w:rFonts w:hint="eastAsia" w:eastAsia="仿宋_GB2312"/>
          <w:sz w:val="28"/>
          <w:szCs w:val="28"/>
        </w:rPr>
        <w:t>、0.0</w:t>
      </w:r>
      <w:r>
        <w:rPr>
          <w:rFonts w:eastAsia="仿宋_GB2312"/>
          <w:sz w:val="28"/>
          <w:szCs w:val="28"/>
        </w:rPr>
        <w:t>5t/a</w:t>
      </w:r>
      <w:r>
        <w:rPr>
          <w:rFonts w:hint="eastAsia" w:eastAsia="仿宋_GB2312"/>
          <w:sz w:val="28"/>
          <w:szCs w:val="28"/>
        </w:rPr>
        <w:t>、0.3</w:t>
      </w:r>
      <w:r>
        <w:rPr>
          <w:rFonts w:eastAsia="仿宋_GB2312"/>
          <w:sz w:val="28"/>
          <w:szCs w:val="28"/>
        </w:rPr>
        <w:t>8t/a，无组织</w:t>
      </w:r>
      <w:r>
        <w:rPr>
          <w:rFonts w:hint="eastAsia" w:eastAsia="仿宋_GB2312"/>
          <w:sz w:val="28"/>
          <w:szCs w:val="28"/>
        </w:rPr>
        <w:t>非甲烷总烃</w:t>
      </w:r>
      <w:r>
        <w:rPr>
          <w:rFonts w:eastAsia="仿宋_GB2312"/>
          <w:sz w:val="28"/>
          <w:szCs w:val="28"/>
        </w:rPr>
        <w:t>排入外环境量为1.91t/a</w:t>
      </w:r>
      <w:r>
        <w:rPr>
          <w:rFonts w:hint="eastAsia" w:eastAsia="仿宋_GB2312"/>
          <w:sz w:val="28"/>
          <w:szCs w:val="28"/>
        </w:rPr>
        <w:t>。</w:t>
      </w:r>
      <w:r>
        <w:rPr>
          <w:rFonts w:eastAsia="仿宋_GB2312"/>
          <w:sz w:val="28"/>
          <w:szCs w:val="28"/>
        </w:rPr>
        <w:t>企业应当向当地环保部门申请核定总量，在区域内平衡</w:t>
      </w:r>
      <w:r>
        <w:rPr>
          <w:rFonts w:hint="eastAsia" w:eastAsia="仿宋_GB2312"/>
          <w:sz w:val="28"/>
          <w:szCs w:val="28"/>
        </w:rPr>
        <w:t>，在</w:t>
      </w:r>
      <w:r>
        <w:rPr>
          <w:rFonts w:eastAsia="仿宋_GB2312"/>
          <w:sz w:val="28"/>
          <w:szCs w:val="28"/>
        </w:rPr>
        <w:t>落实区域减量替代方案</w:t>
      </w:r>
      <w:r>
        <w:rPr>
          <w:rFonts w:hint="eastAsia" w:eastAsia="仿宋_GB2312"/>
          <w:sz w:val="28"/>
          <w:szCs w:val="28"/>
        </w:rPr>
        <w:t>后，污染物排放总量控制指标可以满足环境管理要求。</w:t>
      </w:r>
    </w:p>
    <w:p>
      <w:pPr>
        <w:autoSpaceDE w:val="0"/>
        <w:autoSpaceDN w:val="0"/>
        <w:spacing w:line="500" w:lineRule="exact"/>
        <w:ind w:firstLine="560" w:firstLineChars="200"/>
        <w:rPr>
          <w:rFonts w:eastAsia="仿宋_GB2312"/>
          <w:sz w:val="28"/>
          <w:szCs w:val="28"/>
        </w:rPr>
      </w:pPr>
      <w:r>
        <w:rPr>
          <w:rFonts w:eastAsia="仿宋_GB2312"/>
          <w:sz w:val="28"/>
          <w:szCs w:val="28"/>
        </w:rPr>
        <w:t>大气环境影响评价自查表</w:t>
      </w:r>
      <w:r>
        <w:rPr>
          <w:rFonts w:hint="eastAsia" w:eastAsia="仿宋_GB2312"/>
          <w:sz w:val="28"/>
          <w:szCs w:val="28"/>
        </w:rPr>
        <w:t>见</w:t>
      </w:r>
      <w:r>
        <w:rPr>
          <w:rFonts w:eastAsia="仿宋_GB2312"/>
          <w:sz w:val="28"/>
          <w:szCs w:val="28"/>
        </w:rPr>
        <w:t>表</w:t>
      </w:r>
      <w:r>
        <w:rPr>
          <w:rFonts w:hint="eastAsia" w:eastAsia="仿宋_GB2312"/>
          <w:sz w:val="28"/>
          <w:szCs w:val="28"/>
        </w:rPr>
        <w:t>5.2-1</w:t>
      </w:r>
      <w:r>
        <w:rPr>
          <w:rFonts w:eastAsia="仿宋_GB2312"/>
          <w:sz w:val="28"/>
          <w:szCs w:val="28"/>
        </w:rPr>
        <w:t>5</w:t>
      </w:r>
      <w:r>
        <w:rPr>
          <w:rFonts w:hint="eastAsia" w:eastAsia="仿宋_GB2312"/>
          <w:sz w:val="28"/>
          <w:szCs w:val="28"/>
        </w:rPr>
        <w:t>。</w:t>
      </w:r>
    </w:p>
    <w:p>
      <w:pPr>
        <w:spacing w:line="480" w:lineRule="exact"/>
        <w:ind w:firstLine="482" w:firstLineChars="200"/>
        <w:jc w:val="center"/>
        <w:rPr>
          <w:rFonts w:eastAsia="仿宋_GB2312"/>
          <w:b/>
          <w:sz w:val="24"/>
        </w:rPr>
      </w:pPr>
      <w:r>
        <w:rPr>
          <w:rFonts w:eastAsia="仿宋_GB2312"/>
          <w:b/>
          <w:sz w:val="24"/>
        </w:rPr>
        <w:t>表5.2-15  大气环境影响评价自查表</w:t>
      </w:r>
    </w:p>
    <w:tbl>
      <w:tblPr>
        <w:tblStyle w:val="87"/>
        <w:tblW w:w="10065"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418"/>
        <w:gridCol w:w="1134"/>
        <w:gridCol w:w="689"/>
        <w:gridCol w:w="134"/>
        <w:gridCol w:w="475"/>
        <w:gridCol w:w="544"/>
        <w:gridCol w:w="1330"/>
        <w:gridCol w:w="88"/>
        <w:gridCol w:w="1134"/>
        <w:gridCol w:w="850"/>
        <w:gridCol w:w="368"/>
        <w:gridCol w:w="1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9" w:type="dxa"/>
            <w:gridSpan w:val="2"/>
            <w:shd w:val="clear" w:color="auto" w:fill="auto"/>
            <w:vAlign w:val="center"/>
          </w:tcPr>
          <w:p>
            <w:pPr>
              <w:spacing w:line="244" w:lineRule="exact"/>
              <w:jc w:val="center"/>
              <w:rPr>
                <w:rFonts w:ascii="仿宋" w:hAnsi="仿宋" w:eastAsia="仿宋"/>
                <w:b/>
                <w:kern w:val="0"/>
                <w:sz w:val="20"/>
                <w:szCs w:val="21"/>
              </w:rPr>
            </w:pPr>
            <w:r>
              <w:rPr>
                <w:rFonts w:ascii="仿宋" w:hAnsi="仿宋" w:eastAsia="仿宋"/>
                <w:b/>
                <w:kern w:val="0"/>
                <w:sz w:val="20"/>
                <w:szCs w:val="21"/>
              </w:rPr>
              <w:t>工作内容</w:t>
            </w:r>
          </w:p>
        </w:tc>
        <w:tc>
          <w:tcPr>
            <w:tcW w:w="7796" w:type="dxa"/>
            <w:gridSpan w:val="11"/>
            <w:shd w:val="clear" w:color="auto" w:fill="auto"/>
            <w:vAlign w:val="center"/>
          </w:tcPr>
          <w:p>
            <w:pPr>
              <w:spacing w:line="244" w:lineRule="exact"/>
              <w:jc w:val="center"/>
              <w:rPr>
                <w:rFonts w:ascii="仿宋" w:hAnsi="仿宋" w:eastAsia="仿宋"/>
                <w:b/>
                <w:kern w:val="0"/>
                <w:sz w:val="20"/>
                <w:szCs w:val="21"/>
              </w:rPr>
            </w:pPr>
            <w:r>
              <w:rPr>
                <w:rFonts w:ascii="仿宋" w:hAnsi="仿宋" w:eastAsia="仿宋"/>
                <w:b/>
                <w:kern w:val="0"/>
                <w:sz w:val="20"/>
                <w:szCs w:val="21"/>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851" w:type="dxa"/>
            <w:vMerge w:val="restart"/>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评价等级与范围</w:t>
            </w:r>
          </w:p>
        </w:tc>
        <w:tc>
          <w:tcPr>
            <w:tcW w:w="1418" w:type="dxa"/>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评价等级</w:t>
            </w:r>
          </w:p>
        </w:tc>
        <w:tc>
          <w:tcPr>
            <w:tcW w:w="4394" w:type="dxa"/>
            <w:gridSpan w:val="7"/>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一级□</w:t>
            </w:r>
          </w:p>
        </w:tc>
        <w:tc>
          <w:tcPr>
            <w:tcW w:w="1984" w:type="dxa"/>
            <w:gridSpan w:val="2"/>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二级</w:t>
            </w:r>
            <w:r>
              <w:rPr>
                <w:rFonts w:ascii="仿宋" w:hAnsi="仿宋" w:eastAsia="仿宋"/>
                <w:kern w:val="0"/>
                <w:sz w:val="18"/>
                <w:szCs w:val="18"/>
              </w:rPr>
              <w:t>√</w:t>
            </w:r>
          </w:p>
        </w:tc>
        <w:tc>
          <w:tcPr>
            <w:tcW w:w="1418" w:type="dxa"/>
            <w:gridSpan w:val="2"/>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51" w:type="dxa"/>
            <w:vMerge w:val="continue"/>
            <w:shd w:val="clear" w:color="auto" w:fill="auto"/>
            <w:vAlign w:val="center"/>
          </w:tcPr>
          <w:p>
            <w:pPr>
              <w:spacing w:line="244" w:lineRule="exact"/>
              <w:jc w:val="center"/>
              <w:rPr>
                <w:rFonts w:ascii="仿宋" w:hAnsi="仿宋" w:eastAsia="仿宋"/>
                <w:kern w:val="0"/>
                <w:sz w:val="20"/>
                <w:szCs w:val="21"/>
              </w:rPr>
            </w:pPr>
          </w:p>
        </w:tc>
        <w:tc>
          <w:tcPr>
            <w:tcW w:w="1418" w:type="dxa"/>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评价范围</w:t>
            </w:r>
          </w:p>
        </w:tc>
        <w:tc>
          <w:tcPr>
            <w:tcW w:w="4394" w:type="dxa"/>
            <w:gridSpan w:val="7"/>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边长=50km□</w:t>
            </w:r>
          </w:p>
        </w:tc>
        <w:tc>
          <w:tcPr>
            <w:tcW w:w="1984" w:type="dxa"/>
            <w:gridSpan w:val="2"/>
            <w:shd w:val="clear" w:color="auto" w:fill="auto"/>
            <w:vAlign w:val="center"/>
          </w:tcPr>
          <w:p>
            <w:pPr>
              <w:spacing w:line="244" w:lineRule="exact"/>
              <w:jc w:val="center"/>
              <w:rPr>
                <w:rFonts w:ascii="仿宋" w:hAnsi="仿宋" w:eastAsia="仿宋"/>
                <w:b/>
                <w:kern w:val="0"/>
                <w:sz w:val="20"/>
                <w:szCs w:val="21"/>
              </w:rPr>
            </w:pPr>
            <w:r>
              <w:rPr>
                <w:rFonts w:ascii="仿宋" w:hAnsi="仿宋" w:eastAsia="仿宋"/>
                <w:kern w:val="0"/>
                <w:sz w:val="20"/>
                <w:szCs w:val="21"/>
              </w:rPr>
              <w:t>边长5~50km□</w:t>
            </w:r>
          </w:p>
        </w:tc>
        <w:tc>
          <w:tcPr>
            <w:tcW w:w="1418" w:type="dxa"/>
            <w:gridSpan w:val="2"/>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边长=5km</w:t>
            </w:r>
            <w:r>
              <w:rPr>
                <w:rFonts w:ascii="仿宋" w:hAnsi="仿宋" w:eastAsia="仿宋"/>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restart"/>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评价因子</w:t>
            </w:r>
          </w:p>
        </w:tc>
        <w:tc>
          <w:tcPr>
            <w:tcW w:w="1418" w:type="dxa"/>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SO</w:t>
            </w:r>
            <w:r>
              <w:rPr>
                <w:rFonts w:ascii="仿宋" w:hAnsi="仿宋" w:eastAsia="仿宋"/>
                <w:kern w:val="0"/>
                <w:sz w:val="20"/>
                <w:szCs w:val="21"/>
                <w:vertAlign w:val="subscript"/>
              </w:rPr>
              <w:t>2</w:t>
            </w:r>
            <w:r>
              <w:rPr>
                <w:rFonts w:ascii="仿宋" w:hAnsi="仿宋" w:eastAsia="仿宋"/>
                <w:kern w:val="0"/>
                <w:sz w:val="20"/>
                <w:szCs w:val="21"/>
              </w:rPr>
              <w:t>+NO</w:t>
            </w:r>
            <w:r>
              <w:rPr>
                <w:rFonts w:ascii="仿宋" w:hAnsi="仿宋" w:eastAsia="仿宋"/>
                <w:kern w:val="0"/>
                <w:sz w:val="20"/>
                <w:szCs w:val="21"/>
                <w:vertAlign w:val="subscript"/>
              </w:rPr>
              <w:t>X</w:t>
            </w:r>
            <w:r>
              <w:rPr>
                <w:rFonts w:ascii="仿宋" w:hAnsi="仿宋" w:eastAsia="仿宋"/>
                <w:kern w:val="0"/>
                <w:sz w:val="20"/>
                <w:szCs w:val="21"/>
              </w:rPr>
              <w:t>排放量</w:t>
            </w:r>
          </w:p>
        </w:tc>
        <w:tc>
          <w:tcPr>
            <w:tcW w:w="4394" w:type="dxa"/>
            <w:gridSpan w:val="7"/>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 xml:space="preserve">≥2000t/a□ </w:t>
            </w:r>
          </w:p>
        </w:tc>
        <w:tc>
          <w:tcPr>
            <w:tcW w:w="1984" w:type="dxa"/>
            <w:gridSpan w:val="2"/>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500~2000t/a□</w:t>
            </w:r>
          </w:p>
        </w:tc>
        <w:tc>
          <w:tcPr>
            <w:tcW w:w="1418" w:type="dxa"/>
            <w:gridSpan w:val="2"/>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＜500t/a</w:t>
            </w:r>
            <w:r>
              <w:rPr>
                <w:rFonts w:ascii="仿宋" w:hAnsi="仿宋" w:eastAsia="仿宋"/>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shd w:val="clear" w:color="auto" w:fill="auto"/>
            <w:vAlign w:val="center"/>
          </w:tcPr>
          <w:p>
            <w:pPr>
              <w:spacing w:line="244" w:lineRule="exact"/>
              <w:jc w:val="center"/>
              <w:rPr>
                <w:rFonts w:ascii="仿宋" w:hAnsi="仿宋" w:eastAsia="仿宋"/>
                <w:kern w:val="0"/>
                <w:sz w:val="20"/>
                <w:szCs w:val="21"/>
              </w:rPr>
            </w:pPr>
          </w:p>
        </w:tc>
        <w:tc>
          <w:tcPr>
            <w:tcW w:w="1418" w:type="dxa"/>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评价因子</w:t>
            </w:r>
          </w:p>
        </w:tc>
        <w:tc>
          <w:tcPr>
            <w:tcW w:w="4394" w:type="dxa"/>
            <w:gridSpan w:val="7"/>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基本污染物（SO</w:t>
            </w:r>
            <w:r>
              <w:rPr>
                <w:rFonts w:ascii="仿宋" w:hAnsi="仿宋" w:eastAsia="仿宋"/>
                <w:kern w:val="0"/>
                <w:sz w:val="20"/>
                <w:szCs w:val="21"/>
                <w:vertAlign w:val="subscript"/>
              </w:rPr>
              <w:t>2</w:t>
            </w:r>
            <w:r>
              <w:rPr>
                <w:rFonts w:ascii="仿宋" w:hAnsi="仿宋" w:eastAsia="仿宋"/>
                <w:kern w:val="0"/>
                <w:sz w:val="20"/>
                <w:szCs w:val="21"/>
              </w:rPr>
              <w:t>、NO</w:t>
            </w:r>
            <w:r>
              <w:rPr>
                <w:rFonts w:ascii="仿宋" w:hAnsi="仿宋" w:eastAsia="仿宋"/>
                <w:kern w:val="0"/>
                <w:sz w:val="20"/>
                <w:szCs w:val="21"/>
                <w:vertAlign w:val="subscript"/>
              </w:rPr>
              <w:t>2</w:t>
            </w:r>
            <w:r>
              <w:rPr>
                <w:rFonts w:ascii="仿宋" w:hAnsi="仿宋" w:eastAsia="仿宋"/>
                <w:kern w:val="0"/>
                <w:sz w:val="20"/>
                <w:szCs w:val="21"/>
              </w:rPr>
              <w:t>、PM</w:t>
            </w:r>
            <w:r>
              <w:rPr>
                <w:rFonts w:ascii="仿宋" w:hAnsi="仿宋" w:eastAsia="仿宋"/>
                <w:kern w:val="0"/>
                <w:sz w:val="20"/>
                <w:szCs w:val="21"/>
                <w:vertAlign w:val="subscript"/>
              </w:rPr>
              <w:t>10</w:t>
            </w:r>
            <w:r>
              <w:rPr>
                <w:rFonts w:ascii="仿宋" w:hAnsi="仿宋" w:eastAsia="仿宋"/>
                <w:kern w:val="0"/>
                <w:sz w:val="20"/>
                <w:szCs w:val="21"/>
              </w:rPr>
              <w:t>、PM</w:t>
            </w:r>
            <w:r>
              <w:rPr>
                <w:rFonts w:ascii="仿宋" w:hAnsi="仿宋" w:eastAsia="仿宋"/>
                <w:kern w:val="0"/>
                <w:sz w:val="20"/>
                <w:szCs w:val="21"/>
                <w:vertAlign w:val="subscript"/>
              </w:rPr>
              <w:t>2.5</w:t>
            </w:r>
            <w:r>
              <w:rPr>
                <w:rFonts w:ascii="仿宋" w:hAnsi="仿宋" w:eastAsia="仿宋"/>
                <w:kern w:val="0"/>
                <w:sz w:val="20"/>
                <w:szCs w:val="21"/>
              </w:rPr>
              <w:t>、CO</w:t>
            </w:r>
            <w:r>
              <w:rPr>
                <w:rFonts w:hint="eastAsia" w:ascii="仿宋" w:hAnsi="仿宋" w:eastAsia="仿宋"/>
                <w:kern w:val="0"/>
                <w:sz w:val="20"/>
                <w:szCs w:val="21"/>
              </w:rPr>
              <w:t>、</w:t>
            </w:r>
            <w:r>
              <w:rPr>
                <w:rFonts w:ascii="仿宋" w:hAnsi="仿宋" w:eastAsia="仿宋"/>
                <w:bCs/>
                <w:kern w:val="0"/>
                <w:sz w:val="20"/>
                <w:szCs w:val="21"/>
              </w:rPr>
              <w:t>O</w:t>
            </w:r>
            <w:r>
              <w:rPr>
                <w:rFonts w:ascii="仿宋" w:hAnsi="仿宋" w:eastAsia="仿宋"/>
                <w:bCs/>
                <w:kern w:val="0"/>
                <w:sz w:val="20"/>
                <w:szCs w:val="21"/>
                <w:vertAlign w:val="subscript"/>
              </w:rPr>
              <w:t>3</w:t>
            </w:r>
            <w:r>
              <w:rPr>
                <w:rFonts w:ascii="仿宋" w:hAnsi="仿宋" w:eastAsia="仿宋"/>
                <w:kern w:val="0"/>
                <w:sz w:val="20"/>
                <w:szCs w:val="21"/>
              </w:rPr>
              <w:t>）</w:t>
            </w:r>
          </w:p>
          <w:p>
            <w:pPr>
              <w:spacing w:line="244" w:lineRule="exact"/>
              <w:jc w:val="center"/>
              <w:rPr>
                <w:rFonts w:ascii="仿宋" w:hAnsi="仿宋" w:eastAsia="仿宋"/>
                <w:kern w:val="0"/>
                <w:sz w:val="20"/>
                <w:szCs w:val="21"/>
              </w:rPr>
            </w:pPr>
            <w:r>
              <w:rPr>
                <w:rFonts w:ascii="仿宋" w:hAnsi="仿宋" w:eastAsia="仿宋"/>
                <w:kern w:val="0"/>
                <w:sz w:val="20"/>
                <w:szCs w:val="21"/>
              </w:rPr>
              <w:t>其他污染物（</w:t>
            </w:r>
            <w:r>
              <w:rPr>
                <w:rFonts w:hint="eastAsia" w:ascii="仿宋" w:hAnsi="仿宋" w:eastAsia="仿宋"/>
                <w:kern w:val="0"/>
                <w:sz w:val="20"/>
                <w:szCs w:val="21"/>
              </w:rPr>
              <w:t>非甲烷</w:t>
            </w:r>
            <w:r>
              <w:rPr>
                <w:rFonts w:ascii="仿宋" w:hAnsi="仿宋" w:eastAsia="仿宋"/>
                <w:kern w:val="0"/>
                <w:sz w:val="20"/>
                <w:szCs w:val="21"/>
              </w:rPr>
              <w:t>总烃、</w:t>
            </w:r>
            <w:r>
              <w:rPr>
                <w:rFonts w:hint="eastAsia" w:ascii="仿宋" w:hAnsi="仿宋" w:eastAsia="仿宋"/>
                <w:kern w:val="0"/>
                <w:sz w:val="20"/>
                <w:szCs w:val="21"/>
              </w:rPr>
              <w:t>二甲苯</w:t>
            </w:r>
            <w:r>
              <w:rPr>
                <w:rFonts w:ascii="仿宋" w:hAnsi="仿宋" w:eastAsia="仿宋"/>
                <w:kern w:val="0"/>
                <w:sz w:val="20"/>
                <w:szCs w:val="21"/>
              </w:rPr>
              <w:t>）</w:t>
            </w:r>
          </w:p>
        </w:tc>
        <w:tc>
          <w:tcPr>
            <w:tcW w:w="3402" w:type="dxa"/>
            <w:gridSpan w:val="4"/>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包括二次PM</w:t>
            </w:r>
            <w:r>
              <w:rPr>
                <w:rFonts w:ascii="仿宋" w:hAnsi="仿宋" w:eastAsia="仿宋"/>
                <w:kern w:val="0"/>
                <w:sz w:val="20"/>
                <w:szCs w:val="21"/>
                <w:vertAlign w:val="subscript"/>
              </w:rPr>
              <w:t>2.5</w:t>
            </w:r>
            <w:r>
              <w:rPr>
                <w:rFonts w:ascii="仿宋" w:hAnsi="仿宋" w:eastAsia="仿宋"/>
                <w:kern w:val="0"/>
                <w:sz w:val="20"/>
                <w:szCs w:val="21"/>
              </w:rPr>
              <w:t>□</w:t>
            </w:r>
          </w:p>
          <w:p>
            <w:pPr>
              <w:spacing w:line="244" w:lineRule="exact"/>
              <w:jc w:val="center"/>
              <w:rPr>
                <w:rFonts w:ascii="仿宋" w:hAnsi="仿宋" w:eastAsia="仿宋"/>
                <w:kern w:val="0"/>
                <w:sz w:val="20"/>
                <w:szCs w:val="21"/>
              </w:rPr>
            </w:pPr>
            <w:r>
              <w:rPr>
                <w:rFonts w:ascii="仿宋" w:hAnsi="仿宋" w:eastAsia="仿宋"/>
                <w:kern w:val="0"/>
                <w:sz w:val="20"/>
                <w:szCs w:val="21"/>
              </w:rPr>
              <w:t>不包括二次PM</w:t>
            </w:r>
            <w:r>
              <w:rPr>
                <w:rFonts w:ascii="仿宋" w:hAnsi="仿宋" w:eastAsia="仿宋"/>
                <w:kern w:val="0"/>
                <w:sz w:val="20"/>
                <w:szCs w:val="21"/>
                <w:vertAlign w:val="subscript"/>
              </w:rPr>
              <w:t>2.5</w:t>
            </w:r>
            <w:r>
              <w:rPr>
                <w:rFonts w:ascii="仿宋" w:hAnsi="仿宋" w:eastAsia="仿宋"/>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评价标准</w:t>
            </w:r>
          </w:p>
        </w:tc>
        <w:tc>
          <w:tcPr>
            <w:tcW w:w="1418" w:type="dxa"/>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评价标准</w:t>
            </w:r>
          </w:p>
        </w:tc>
        <w:tc>
          <w:tcPr>
            <w:tcW w:w="1823" w:type="dxa"/>
            <w:gridSpan w:val="2"/>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国家标准</w:t>
            </w:r>
            <w:r>
              <w:rPr>
                <w:rFonts w:ascii="仿宋" w:hAnsi="仿宋" w:eastAsia="仿宋"/>
                <w:kern w:val="0"/>
                <w:sz w:val="18"/>
                <w:szCs w:val="18"/>
              </w:rPr>
              <w:t>√</w:t>
            </w:r>
          </w:p>
        </w:tc>
        <w:tc>
          <w:tcPr>
            <w:tcW w:w="2571" w:type="dxa"/>
            <w:gridSpan w:val="5"/>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地方标准</w:t>
            </w:r>
            <w:r>
              <w:rPr>
                <w:rFonts w:ascii="仿宋" w:hAnsi="仿宋" w:eastAsia="仿宋"/>
                <w:kern w:val="0"/>
                <w:sz w:val="18"/>
                <w:szCs w:val="18"/>
              </w:rPr>
              <w:t>√</w:t>
            </w:r>
          </w:p>
        </w:tc>
        <w:tc>
          <w:tcPr>
            <w:tcW w:w="1984" w:type="dxa"/>
            <w:gridSpan w:val="2"/>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附录D</w:t>
            </w:r>
            <w:r>
              <w:rPr>
                <w:rFonts w:ascii="仿宋" w:hAnsi="仿宋" w:eastAsia="仿宋"/>
                <w:kern w:val="0"/>
                <w:sz w:val="18"/>
                <w:szCs w:val="18"/>
              </w:rPr>
              <w:t>√</w:t>
            </w:r>
          </w:p>
        </w:tc>
        <w:tc>
          <w:tcPr>
            <w:tcW w:w="1418" w:type="dxa"/>
            <w:gridSpan w:val="2"/>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其他标准</w:t>
            </w:r>
            <w:r>
              <w:rPr>
                <w:rFonts w:ascii="仿宋" w:hAnsi="仿宋" w:eastAsia="仿宋"/>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restart"/>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现状评价</w:t>
            </w:r>
          </w:p>
        </w:tc>
        <w:tc>
          <w:tcPr>
            <w:tcW w:w="1418" w:type="dxa"/>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评价功能区</w:t>
            </w:r>
          </w:p>
        </w:tc>
        <w:tc>
          <w:tcPr>
            <w:tcW w:w="4394" w:type="dxa"/>
            <w:gridSpan w:val="7"/>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一类区□</w:t>
            </w:r>
          </w:p>
        </w:tc>
        <w:tc>
          <w:tcPr>
            <w:tcW w:w="1984" w:type="dxa"/>
            <w:gridSpan w:val="2"/>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二类区</w:t>
            </w:r>
            <w:r>
              <w:rPr>
                <w:rFonts w:ascii="仿宋" w:hAnsi="仿宋" w:eastAsia="仿宋"/>
                <w:kern w:val="0"/>
                <w:sz w:val="18"/>
                <w:szCs w:val="18"/>
              </w:rPr>
              <w:t>√</w:t>
            </w:r>
          </w:p>
        </w:tc>
        <w:tc>
          <w:tcPr>
            <w:tcW w:w="1418" w:type="dxa"/>
            <w:gridSpan w:val="2"/>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一类区和二类区□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shd w:val="clear" w:color="auto" w:fill="auto"/>
            <w:vAlign w:val="center"/>
          </w:tcPr>
          <w:p>
            <w:pPr>
              <w:spacing w:line="244" w:lineRule="exact"/>
              <w:jc w:val="center"/>
              <w:rPr>
                <w:rFonts w:ascii="仿宋" w:hAnsi="仿宋" w:eastAsia="仿宋"/>
                <w:kern w:val="0"/>
                <w:sz w:val="20"/>
                <w:szCs w:val="21"/>
              </w:rPr>
            </w:pPr>
          </w:p>
        </w:tc>
        <w:tc>
          <w:tcPr>
            <w:tcW w:w="1418" w:type="dxa"/>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评价基准年</w:t>
            </w:r>
          </w:p>
        </w:tc>
        <w:tc>
          <w:tcPr>
            <w:tcW w:w="7796" w:type="dxa"/>
            <w:gridSpan w:val="11"/>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（2022）年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shd w:val="clear" w:color="auto" w:fill="auto"/>
            <w:vAlign w:val="center"/>
          </w:tcPr>
          <w:p>
            <w:pPr>
              <w:spacing w:line="244" w:lineRule="exact"/>
              <w:jc w:val="center"/>
              <w:rPr>
                <w:rFonts w:ascii="仿宋" w:hAnsi="仿宋" w:eastAsia="仿宋"/>
                <w:kern w:val="0"/>
                <w:sz w:val="20"/>
                <w:szCs w:val="21"/>
              </w:rPr>
            </w:pPr>
          </w:p>
        </w:tc>
        <w:tc>
          <w:tcPr>
            <w:tcW w:w="1418" w:type="dxa"/>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环境空气质量现状调查数据来源</w:t>
            </w:r>
          </w:p>
        </w:tc>
        <w:tc>
          <w:tcPr>
            <w:tcW w:w="4394" w:type="dxa"/>
            <w:gridSpan w:val="7"/>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长期例行监测数据□</w:t>
            </w:r>
          </w:p>
        </w:tc>
        <w:tc>
          <w:tcPr>
            <w:tcW w:w="1984" w:type="dxa"/>
            <w:gridSpan w:val="2"/>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主管部门发布的数据</w:t>
            </w:r>
            <w:r>
              <w:rPr>
                <w:rFonts w:ascii="仿宋" w:hAnsi="仿宋" w:eastAsia="仿宋"/>
                <w:kern w:val="0"/>
                <w:sz w:val="18"/>
                <w:szCs w:val="18"/>
              </w:rPr>
              <w:t>√</w:t>
            </w:r>
          </w:p>
        </w:tc>
        <w:tc>
          <w:tcPr>
            <w:tcW w:w="1418" w:type="dxa"/>
            <w:gridSpan w:val="2"/>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现状补充监测</w:t>
            </w:r>
            <w:r>
              <w:rPr>
                <w:rFonts w:ascii="仿宋" w:hAnsi="仿宋" w:eastAsia="仿宋"/>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shd w:val="clear" w:color="auto" w:fill="auto"/>
            <w:vAlign w:val="center"/>
          </w:tcPr>
          <w:p>
            <w:pPr>
              <w:spacing w:line="244" w:lineRule="exact"/>
              <w:jc w:val="center"/>
              <w:rPr>
                <w:rFonts w:ascii="仿宋" w:hAnsi="仿宋" w:eastAsia="仿宋"/>
                <w:kern w:val="0"/>
                <w:sz w:val="20"/>
                <w:szCs w:val="21"/>
              </w:rPr>
            </w:pPr>
          </w:p>
        </w:tc>
        <w:tc>
          <w:tcPr>
            <w:tcW w:w="1418" w:type="dxa"/>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现状评价</w:t>
            </w:r>
          </w:p>
        </w:tc>
        <w:tc>
          <w:tcPr>
            <w:tcW w:w="4394" w:type="dxa"/>
            <w:gridSpan w:val="7"/>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达标区□</w:t>
            </w:r>
          </w:p>
        </w:tc>
        <w:tc>
          <w:tcPr>
            <w:tcW w:w="3402" w:type="dxa"/>
            <w:gridSpan w:val="4"/>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不达标区</w:t>
            </w:r>
            <w:r>
              <w:rPr>
                <w:rFonts w:ascii="仿宋" w:hAnsi="仿宋" w:eastAsia="仿宋"/>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污染源调查</w:t>
            </w:r>
          </w:p>
        </w:tc>
        <w:tc>
          <w:tcPr>
            <w:tcW w:w="1418" w:type="dxa"/>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调查内容</w:t>
            </w:r>
          </w:p>
        </w:tc>
        <w:tc>
          <w:tcPr>
            <w:tcW w:w="2976" w:type="dxa"/>
            <w:gridSpan w:val="5"/>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本项目正常排放源</w:t>
            </w:r>
            <w:r>
              <w:rPr>
                <w:rFonts w:ascii="仿宋" w:hAnsi="仿宋" w:eastAsia="仿宋"/>
                <w:kern w:val="0"/>
                <w:sz w:val="18"/>
                <w:szCs w:val="18"/>
              </w:rPr>
              <w:t>√</w:t>
            </w:r>
          </w:p>
          <w:p>
            <w:pPr>
              <w:spacing w:line="244" w:lineRule="exact"/>
              <w:jc w:val="center"/>
              <w:rPr>
                <w:rFonts w:ascii="仿宋" w:hAnsi="仿宋" w:eastAsia="仿宋"/>
                <w:kern w:val="0"/>
                <w:sz w:val="20"/>
                <w:szCs w:val="21"/>
              </w:rPr>
            </w:pPr>
            <w:r>
              <w:rPr>
                <w:rFonts w:ascii="仿宋" w:hAnsi="仿宋" w:eastAsia="仿宋"/>
                <w:kern w:val="0"/>
                <w:sz w:val="20"/>
                <w:szCs w:val="21"/>
              </w:rPr>
              <w:t>本项目非正常排放源</w:t>
            </w:r>
            <w:r>
              <w:rPr>
                <w:rFonts w:ascii="仿宋" w:hAnsi="仿宋" w:eastAsia="仿宋"/>
                <w:kern w:val="0"/>
                <w:sz w:val="18"/>
                <w:szCs w:val="18"/>
              </w:rPr>
              <w:t>√</w:t>
            </w:r>
          </w:p>
          <w:p>
            <w:pPr>
              <w:spacing w:line="244" w:lineRule="exact"/>
              <w:jc w:val="center"/>
              <w:rPr>
                <w:rFonts w:ascii="仿宋" w:hAnsi="仿宋" w:eastAsia="仿宋"/>
                <w:kern w:val="0"/>
                <w:sz w:val="20"/>
                <w:szCs w:val="21"/>
              </w:rPr>
            </w:pPr>
            <w:r>
              <w:rPr>
                <w:rFonts w:ascii="仿宋" w:hAnsi="仿宋" w:eastAsia="仿宋"/>
                <w:kern w:val="0"/>
                <w:sz w:val="20"/>
                <w:szCs w:val="21"/>
              </w:rPr>
              <w:t>现有污染源□</w:t>
            </w:r>
          </w:p>
        </w:tc>
        <w:tc>
          <w:tcPr>
            <w:tcW w:w="1418" w:type="dxa"/>
            <w:gridSpan w:val="2"/>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拟替代的污染源□</w:t>
            </w:r>
          </w:p>
        </w:tc>
        <w:tc>
          <w:tcPr>
            <w:tcW w:w="1984" w:type="dxa"/>
            <w:gridSpan w:val="2"/>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其他在建、拟建项目污染源□</w:t>
            </w:r>
          </w:p>
        </w:tc>
        <w:tc>
          <w:tcPr>
            <w:tcW w:w="1418" w:type="dxa"/>
            <w:gridSpan w:val="2"/>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区域污染源□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restart"/>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大气环境预测与评价</w:t>
            </w:r>
          </w:p>
        </w:tc>
        <w:tc>
          <w:tcPr>
            <w:tcW w:w="1418" w:type="dxa"/>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预测模型</w:t>
            </w:r>
          </w:p>
        </w:tc>
        <w:tc>
          <w:tcPr>
            <w:tcW w:w="1134" w:type="dxa"/>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AERMOD□</w:t>
            </w:r>
          </w:p>
        </w:tc>
        <w:tc>
          <w:tcPr>
            <w:tcW w:w="823" w:type="dxa"/>
            <w:gridSpan w:val="2"/>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ADMS□</w:t>
            </w:r>
          </w:p>
        </w:tc>
        <w:tc>
          <w:tcPr>
            <w:tcW w:w="1019" w:type="dxa"/>
            <w:gridSpan w:val="2"/>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AUSTAL2000□</w:t>
            </w:r>
          </w:p>
        </w:tc>
        <w:tc>
          <w:tcPr>
            <w:tcW w:w="1418" w:type="dxa"/>
            <w:gridSpan w:val="2"/>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EDMD/AEDT□</w:t>
            </w:r>
          </w:p>
        </w:tc>
        <w:tc>
          <w:tcPr>
            <w:tcW w:w="1134" w:type="dxa"/>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CALPUFF□</w:t>
            </w:r>
          </w:p>
        </w:tc>
        <w:tc>
          <w:tcPr>
            <w:tcW w:w="850" w:type="dxa"/>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网络模型□</w:t>
            </w:r>
          </w:p>
        </w:tc>
        <w:tc>
          <w:tcPr>
            <w:tcW w:w="1418" w:type="dxa"/>
            <w:gridSpan w:val="2"/>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shd w:val="clear" w:color="auto" w:fill="auto"/>
            <w:vAlign w:val="center"/>
          </w:tcPr>
          <w:p>
            <w:pPr>
              <w:spacing w:line="244" w:lineRule="exact"/>
              <w:jc w:val="center"/>
              <w:rPr>
                <w:rFonts w:ascii="仿宋" w:hAnsi="仿宋" w:eastAsia="仿宋"/>
                <w:kern w:val="0"/>
                <w:sz w:val="20"/>
                <w:szCs w:val="21"/>
              </w:rPr>
            </w:pPr>
          </w:p>
        </w:tc>
        <w:tc>
          <w:tcPr>
            <w:tcW w:w="1418" w:type="dxa"/>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预测范围</w:t>
            </w:r>
          </w:p>
        </w:tc>
        <w:tc>
          <w:tcPr>
            <w:tcW w:w="4394" w:type="dxa"/>
            <w:gridSpan w:val="7"/>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边长=50km□</w:t>
            </w:r>
          </w:p>
        </w:tc>
        <w:tc>
          <w:tcPr>
            <w:tcW w:w="1984" w:type="dxa"/>
            <w:gridSpan w:val="2"/>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边长5~50km□</w:t>
            </w:r>
          </w:p>
        </w:tc>
        <w:tc>
          <w:tcPr>
            <w:tcW w:w="1418" w:type="dxa"/>
            <w:gridSpan w:val="2"/>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边长=5km□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shd w:val="clear" w:color="auto" w:fill="auto"/>
            <w:vAlign w:val="center"/>
          </w:tcPr>
          <w:p>
            <w:pPr>
              <w:spacing w:line="244" w:lineRule="exact"/>
              <w:jc w:val="center"/>
              <w:rPr>
                <w:rFonts w:ascii="仿宋" w:hAnsi="仿宋" w:eastAsia="仿宋"/>
                <w:kern w:val="0"/>
                <w:sz w:val="20"/>
                <w:szCs w:val="21"/>
              </w:rPr>
            </w:pPr>
          </w:p>
        </w:tc>
        <w:tc>
          <w:tcPr>
            <w:tcW w:w="1418" w:type="dxa"/>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预测因子</w:t>
            </w:r>
          </w:p>
        </w:tc>
        <w:tc>
          <w:tcPr>
            <w:tcW w:w="4394" w:type="dxa"/>
            <w:gridSpan w:val="7"/>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预测因子（SO</w:t>
            </w:r>
            <w:r>
              <w:rPr>
                <w:rFonts w:ascii="仿宋" w:hAnsi="仿宋" w:eastAsia="仿宋"/>
                <w:kern w:val="0"/>
                <w:sz w:val="20"/>
                <w:szCs w:val="21"/>
                <w:vertAlign w:val="subscript"/>
              </w:rPr>
              <w:t>2</w:t>
            </w:r>
            <w:r>
              <w:rPr>
                <w:rFonts w:ascii="仿宋" w:hAnsi="仿宋" w:eastAsia="仿宋"/>
                <w:kern w:val="0"/>
                <w:sz w:val="20"/>
                <w:szCs w:val="21"/>
              </w:rPr>
              <w:t>、NO</w:t>
            </w:r>
            <w:r>
              <w:rPr>
                <w:rFonts w:ascii="仿宋" w:hAnsi="仿宋" w:eastAsia="仿宋"/>
                <w:kern w:val="0"/>
                <w:sz w:val="20"/>
                <w:szCs w:val="21"/>
                <w:vertAlign w:val="subscript"/>
              </w:rPr>
              <w:t>2</w:t>
            </w:r>
            <w:r>
              <w:rPr>
                <w:rFonts w:ascii="仿宋" w:hAnsi="仿宋" w:eastAsia="仿宋"/>
                <w:kern w:val="0"/>
                <w:sz w:val="20"/>
                <w:szCs w:val="21"/>
              </w:rPr>
              <w:t>、PM</w:t>
            </w:r>
            <w:r>
              <w:rPr>
                <w:rFonts w:ascii="仿宋" w:hAnsi="仿宋" w:eastAsia="仿宋"/>
                <w:kern w:val="0"/>
                <w:sz w:val="20"/>
                <w:szCs w:val="21"/>
                <w:vertAlign w:val="subscript"/>
              </w:rPr>
              <w:t>10</w:t>
            </w:r>
            <w:r>
              <w:rPr>
                <w:rFonts w:ascii="仿宋" w:hAnsi="仿宋" w:eastAsia="仿宋"/>
                <w:kern w:val="0"/>
                <w:sz w:val="20"/>
                <w:szCs w:val="21"/>
              </w:rPr>
              <w:t>、</w:t>
            </w:r>
            <w:r>
              <w:rPr>
                <w:rFonts w:hint="eastAsia" w:ascii="仿宋" w:hAnsi="仿宋" w:eastAsia="仿宋"/>
                <w:kern w:val="0"/>
                <w:sz w:val="20"/>
                <w:szCs w:val="21"/>
              </w:rPr>
              <w:t>VOC</w:t>
            </w:r>
            <w:r>
              <w:rPr>
                <w:rFonts w:ascii="仿宋" w:hAnsi="仿宋" w:eastAsia="仿宋"/>
                <w:kern w:val="0"/>
                <w:sz w:val="20"/>
                <w:szCs w:val="21"/>
              </w:rPr>
              <w:t>s）</w:t>
            </w:r>
          </w:p>
        </w:tc>
        <w:tc>
          <w:tcPr>
            <w:tcW w:w="3402" w:type="dxa"/>
            <w:gridSpan w:val="4"/>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包括二次PM</w:t>
            </w:r>
            <w:r>
              <w:rPr>
                <w:rFonts w:ascii="仿宋" w:hAnsi="仿宋" w:eastAsia="仿宋"/>
                <w:kern w:val="0"/>
                <w:sz w:val="20"/>
                <w:szCs w:val="21"/>
                <w:vertAlign w:val="subscript"/>
              </w:rPr>
              <w:t>2.5</w:t>
            </w:r>
            <w:r>
              <w:rPr>
                <w:rFonts w:ascii="仿宋" w:hAnsi="仿宋" w:eastAsia="仿宋"/>
                <w:kern w:val="0"/>
                <w:sz w:val="20"/>
                <w:szCs w:val="21"/>
              </w:rPr>
              <w:t>□</w:t>
            </w:r>
          </w:p>
          <w:p>
            <w:pPr>
              <w:spacing w:line="244" w:lineRule="exact"/>
              <w:jc w:val="center"/>
              <w:rPr>
                <w:rFonts w:ascii="仿宋" w:hAnsi="仿宋" w:eastAsia="仿宋"/>
                <w:kern w:val="0"/>
                <w:sz w:val="20"/>
                <w:szCs w:val="21"/>
              </w:rPr>
            </w:pPr>
            <w:r>
              <w:rPr>
                <w:rFonts w:ascii="仿宋" w:hAnsi="仿宋" w:eastAsia="仿宋"/>
                <w:kern w:val="0"/>
                <w:sz w:val="20"/>
                <w:szCs w:val="21"/>
              </w:rPr>
              <w:t>不包括二次PM</w:t>
            </w:r>
            <w:r>
              <w:rPr>
                <w:rFonts w:ascii="仿宋" w:hAnsi="仿宋" w:eastAsia="仿宋"/>
                <w:kern w:val="0"/>
                <w:sz w:val="20"/>
                <w:szCs w:val="21"/>
                <w:vertAlign w:val="subscript"/>
              </w:rPr>
              <w:t>2.5</w:t>
            </w:r>
            <w:r>
              <w:rPr>
                <w:rFonts w:ascii="仿宋" w:hAnsi="仿宋" w:eastAsia="仿宋"/>
                <w:kern w:val="0"/>
                <w:sz w:val="2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shd w:val="clear" w:color="auto" w:fill="auto"/>
            <w:vAlign w:val="center"/>
          </w:tcPr>
          <w:p>
            <w:pPr>
              <w:spacing w:line="244" w:lineRule="exact"/>
              <w:jc w:val="center"/>
              <w:rPr>
                <w:rFonts w:ascii="仿宋" w:hAnsi="仿宋" w:eastAsia="仿宋"/>
                <w:kern w:val="0"/>
                <w:sz w:val="20"/>
                <w:szCs w:val="21"/>
              </w:rPr>
            </w:pPr>
          </w:p>
        </w:tc>
        <w:tc>
          <w:tcPr>
            <w:tcW w:w="1418" w:type="dxa"/>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正常排放短期浓度贡献值</w:t>
            </w:r>
          </w:p>
        </w:tc>
        <w:tc>
          <w:tcPr>
            <w:tcW w:w="4394" w:type="dxa"/>
            <w:gridSpan w:val="7"/>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C</w:t>
            </w:r>
            <w:r>
              <w:rPr>
                <w:rFonts w:ascii="仿宋" w:hAnsi="仿宋" w:eastAsia="仿宋"/>
                <w:kern w:val="0"/>
                <w:sz w:val="20"/>
                <w:szCs w:val="21"/>
                <w:vertAlign w:val="subscript"/>
              </w:rPr>
              <w:t>本项目</w:t>
            </w:r>
            <w:r>
              <w:rPr>
                <w:rFonts w:ascii="仿宋" w:hAnsi="仿宋" w:eastAsia="仿宋"/>
                <w:kern w:val="0"/>
                <w:sz w:val="20"/>
                <w:szCs w:val="21"/>
              </w:rPr>
              <w:t>最大占标率≤100%□</w:t>
            </w:r>
          </w:p>
        </w:tc>
        <w:tc>
          <w:tcPr>
            <w:tcW w:w="3402" w:type="dxa"/>
            <w:gridSpan w:val="4"/>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C</w:t>
            </w:r>
            <w:r>
              <w:rPr>
                <w:rFonts w:ascii="仿宋" w:hAnsi="仿宋" w:eastAsia="仿宋"/>
                <w:kern w:val="0"/>
                <w:sz w:val="20"/>
                <w:szCs w:val="21"/>
                <w:vertAlign w:val="subscript"/>
              </w:rPr>
              <w:t>本项目</w:t>
            </w:r>
            <w:r>
              <w:rPr>
                <w:rFonts w:ascii="仿宋" w:hAnsi="仿宋" w:eastAsia="仿宋"/>
                <w:kern w:val="0"/>
                <w:sz w:val="20"/>
                <w:szCs w:val="21"/>
              </w:rPr>
              <w:t>最大占标率＞100%□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851" w:type="dxa"/>
            <w:vMerge w:val="continue"/>
            <w:shd w:val="clear" w:color="auto" w:fill="auto"/>
            <w:vAlign w:val="center"/>
          </w:tcPr>
          <w:p>
            <w:pPr>
              <w:spacing w:line="244" w:lineRule="exact"/>
              <w:jc w:val="center"/>
              <w:rPr>
                <w:rFonts w:ascii="仿宋" w:hAnsi="仿宋" w:eastAsia="仿宋"/>
                <w:kern w:val="0"/>
                <w:sz w:val="20"/>
                <w:szCs w:val="21"/>
              </w:rPr>
            </w:pPr>
          </w:p>
        </w:tc>
        <w:tc>
          <w:tcPr>
            <w:tcW w:w="1418" w:type="dxa"/>
            <w:vMerge w:val="restart"/>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正常排放年均浓度贡献值</w:t>
            </w:r>
          </w:p>
        </w:tc>
        <w:tc>
          <w:tcPr>
            <w:tcW w:w="1823" w:type="dxa"/>
            <w:gridSpan w:val="2"/>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一类区</w:t>
            </w:r>
          </w:p>
        </w:tc>
        <w:tc>
          <w:tcPr>
            <w:tcW w:w="2571" w:type="dxa"/>
            <w:gridSpan w:val="5"/>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C</w:t>
            </w:r>
            <w:r>
              <w:rPr>
                <w:rFonts w:ascii="仿宋" w:hAnsi="仿宋" w:eastAsia="仿宋"/>
                <w:kern w:val="0"/>
                <w:sz w:val="20"/>
                <w:szCs w:val="21"/>
                <w:vertAlign w:val="subscript"/>
              </w:rPr>
              <w:t>本项目</w:t>
            </w:r>
            <w:r>
              <w:rPr>
                <w:rFonts w:ascii="仿宋" w:hAnsi="仿宋" w:eastAsia="仿宋"/>
                <w:kern w:val="0"/>
                <w:sz w:val="20"/>
                <w:szCs w:val="21"/>
              </w:rPr>
              <w:t>最大占标率≤10%□</w:t>
            </w:r>
          </w:p>
        </w:tc>
        <w:tc>
          <w:tcPr>
            <w:tcW w:w="3402" w:type="dxa"/>
            <w:gridSpan w:val="4"/>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C</w:t>
            </w:r>
            <w:r>
              <w:rPr>
                <w:rFonts w:ascii="仿宋" w:hAnsi="仿宋" w:eastAsia="仿宋"/>
                <w:kern w:val="0"/>
                <w:sz w:val="20"/>
                <w:szCs w:val="21"/>
                <w:vertAlign w:val="subscript"/>
              </w:rPr>
              <w:t>本项目</w:t>
            </w:r>
            <w:r>
              <w:rPr>
                <w:rFonts w:ascii="仿宋" w:hAnsi="仿宋" w:eastAsia="仿宋"/>
                <w:kern w:val="0"/>
                <w:sz w:val="20"/>
                <w:szCs w:val="21"/>
              </w:rPr>
              <w:t>最大占标率＞10%□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851" w:type="dxa"/>
            <w:vMerge w:val="continue"/>
            <w:shd w:val="clear" w:color="auto" w:fill="auto"/>
            <w:vAlign w:val="center"/>
          </w:tcPr>
          <w:p>
            <w:pPr>
              <w:spacing w:line="244" w:lineRule="exact"/>
              <w:jc w:val="center"/>
              <w:rPr>
                <w:rFonts w:ascii="仿宋" w:hAnsi="仿宋" w:eastAsia="仿宋"/>
                <w:kern w:val="0"/>
                <w:sz w:val="20"/>
                <w:szCs w:val="21"/>
              </w:rPr>
            </w:pPr>
          </w:p>
        </w:tc>
        <w:tc>
          <w:tcPr>
            <w:tcW w:w="1418" w:type="dxa"/>
            <w:vMerge w:val="continue"/>
            <w:shd w:val="clear" w:color="auto" w:fill="auto"/>
            <w:vAlign w:val="center"/>
          </w:tcPr>
          <w:p>
            <w:pPr>
              <w:spacing w:line="244" w:lineRule="exact"/>
              <w:jc w:val="center"/>
              <w:rPr>
                <w:rFonts w:ascii="仿宋" w:hAnsi="仿宋" w:eastAsia="仿宋"/>
                <w:kern w:val="0"/>
                <w:sz w:val="20"/>
                <w:szCs w:val="21"/>
              </w:rPr>
            </w:pPr>
          </w:p>
        </w:tc>
        <w:tc>
          <w:tcPr>
            <w:tcW w:w="1823" w:type="dxa"/>
            <w:gridSpan w:val="2"/>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二类区</w:t>
            </w:r>
          </w:p>
        </w:tc>
        <w:tc>
          <w:tcPr>
            <w:tcW w:w="2571" w:type="dxa"/>
            <w:gridSpan w:val="5"/>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C</w:t>
            </w:r>
            <w:r>
              <w:rPr>
                <w:rFonts w:ascii="仿宋" w:hAnsi="仿宋" w:eastAsia="仿宋"/>
                <w:kern w:val="0"/>
                <w:sz w:val="20"/>
                <w:szCs w:val="21"/>
                <w:vertAlign w:val="subscript"/>
              </w:rPr>
              <w:t>本项目</w:t>
            </w:r>
            <w:r>
              <w:rPr>
                <w:rFonts w:ascii="仿宋" w:hAnsi="仿宋" w:eastAsia="仿宋"/>
                <w:kern w:val="0"/>
                <w:sz w:val="20"/>
                <w:szCs w:val="21"/>
              </w:rPr>
              <w:t>最大占标率≤30%□</w:t>
            </w:r>
          </w:p>
        </w:tc>
        <w:tc>
          <w:tcPr>
            <w:tcW w:w="3402" w:type="dxa"/>
            <w:gridSpan w:val="4"/>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C</w:t>
            </w:r>
            <w:r>
              <w:rPr>
                <w:rFonts w:ascii="仿宋" w:hAnsi="仿宋" w:eastAsia="仿宋"/>
                <w:kern w:val="0"/>
                <w:sz w:val="20"/>
                <w:szCs w:val="21"/>
                <w:vertAlign w:val="subscript"/>
              </w:rPr>
              <w:t>本项目</w:t>
            </w:r>
            <w:r>
              <w:rPr>
                <w:rFonts w:ascii="仿宋" w:hAnsi="仿宋" w:eastAsia="仿宋"/>
                <w:kern w:val="0"/>
                <w:sz w:val="20"/>
                <w:szCs w:val="21"/>
              </w:rPr>
              <w:t>最大占标率＞30%□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shd w:val="clear" w:color="auto" w:fill="auto"/>
            <w:vAlign w:val="center"/>
          </w:tcPr>
          <w:p>
            <w:pPr>
              <w:spacing w:line="244" w:lineRule="exact"/>
              <w:jc w:val="center"/>
              <w:rPr>
                <w:rFonts w:ascii="仿宋" w:hAnsi="仿宋" w:eastAsia="仿宋"/>
                <w:kern w:val="0"/>
                <w:sz w:val="20"/>
                <w:szCs w:val="21"/>
              </w:rPr>
            </w:pPr>
          </w:p>
        </w:tc>
        <w:tc>
          <w:tcPr>
            <w:tcW w:w="1418" w:type="dxa"/>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非正常排放1h浓度贡献值</w:t>
            </w:r>
          </w:p>
        </w:tc>
        <w:tc>
          <w:tcPr>
            <w:tcW w:w="2432" w:type="dxa"/>
            <w:gridSpan w:val="4"/>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非正常持续时长（≤1）h</w:t>
            </w:r>
          </w:p>
        </w:tc>
        <w:tc>
          <w:tcPr>
            <w:tcW w:w="1962" w:type="dxa"/>
            <w:gridSpan w:val="3"/>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C</w:t>
            </w:r>
            <w:r>
              <w:rPr>
                <w:rFonts w:ascii="仿宋" w:hAnsi="仿宋" w:eastAsia="仿宋"/>
                <w:kern w:val="0"/>
                <w:sz w:val="20"/>
                <w:szCs w:val="21"/>
                <w:vertAlign w:val="subscript"/>
              </w:rPr>
              <w:t>非正常</w:t>
            </w:r>
            <w:r>
              <w:rPr>
                <w:rFonts w:ascii="仿宋" w:hAnsi="仿宋" w:eastAsia="仿宋"/>
                <w:kern w:val="0"/>
                <w:sz w:val="20"/>
                <w:szCs w:val="21"/>
              </w:rPr>
              <w:t>占标率≤100%□</w:t>
            </w:r>
          </w:p>
        </w:tc>
        <w:tc>
          <w:tcPr>
            <w:tcW w:w="3402" w:type="dxa"/>
            <w:gridSpan w:val="4"/>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C</w:t>
            </w:r>
            <w:r>
              <w:rPr>
                <w:rFonts w:ascii="仿宋" w:hAnsi="仿宋" w:eastAsia="仿宋"/>
                <w:kern w:val="0"/>
                <w:sz w:val="20"/>
                <w:szCs w:val="21"/>
                <w:vertAlign w:val="subscript"/>
              </w:rPr>
              <w:t>非正常</w:t>
            </w:r>
            <w:r>
              <w:rPr>
                <w:rFonts w:ascii="仿宋" w:hAnsi="仿宋" w:eastAsia="仿宋"/>
                <w:kern w:val="0"/>
                <w:sz w:val="20"/>
                <w:szCs w:val="21"/>
              </w:rPr>
              <w:t>占标率＞100%□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shd w:val="clear" w:color="auto" w:fill="auto"/>
            <w:vAlign w:val="center"/>
          </w:tcPr>
          <w:p>
            <w:pPr>
              <w:spacing w:line="244" w:lineRule="exact"/>
              <w:jc w:val="center"/>
              <w:rPr>
                <w:rFonts w:ascii="仿宋" w:hAnsi="仿宋" w:eastAsia="仿宋"/>
                <w:kern w:val="0"/>
                <w:sz w:val="20"/>
                <w:szCs w:val="21"/>
              </w:rPr>
            </w:pPr>
          </w:p>
        </w:tc>
        <w:tc>
          <w:tcPr>
            <w:tcW w:w="1418" w:type="dxa"/>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保证率日平均浓度和年平均浓度叠加值</w:t>
            </w:r>
          </w:p>
        </w:tc>
        <w:tc>
          <w:tcPr>
            <w:tcW w:w="4394" w:type="dxa"/>
            <w:gridSpan w:val="7"/>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C</w:t>
            </w:r>
            <w:r>
              <w:rPr>
                <w:rFonts w:ascii="仿宋" w:hAnsi="仿宋" w:eastAsia="仿宋"/>
                <w:kern w:val="0"/>
                <w:sz w:val="20"/>
                <w:szCs w:val="21"/>
                <w:vertAlign w:val="subscript"/>
              </w:rPr>
              <w:t>叠加</w:t>
            </w:r>
            <w:r>
              <w:rPr>
                <w:rFonts w:ascii="仿宋" w:hAnsi="仿宋" w:eastAsia="仿宋"/>
                <w:kern w:val="0"/>
                <w:sz w:val="20"/>
                <w:szCs w:val="21"/>
              </w:rPr>
              <w:t>达标□</w:t>
            </w:r>
          </w:p>
        </w:tc>
        <w:tc>
          <w:tcPr>
            <w:tcW w:w="3402" w:type="dxa"/>
            <w:gridSpan w:val="4"/>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C</w:t>
            </w:r>
            <w:r>
              <w:rPr>
                <w:rFonts w:ascii="仿宋" w:hAnsi="仿宋" w:eastAsia="仿宋"/>
                <w:kern w:val="0"/>
                <w:sz w:val="20"/>
                <w:szCs w:val="21"/>
                <w:vertAlign w:val="subscript"/>
              </w:rPr>
              <w:t>叠加</w:t>
            </w:r>
            <w:r>
              <w:rPr>
                <w:rFonts w:ascii="仿宋" w:hAnsi="仿宋" w:eastAsia="仿宋"/>
                <w:kern w:val="0"/>
                <w:sz w:val="20"/>
                <w:szCs w:val="21"/>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shd w:val="clear" w:color="auto" w:fill="auto"/>
            <w:vAlign w:val="center"/>
          </w:tcPr>
          <w:p>
            <w:pPr>
              <w:spacing w:line="244" w:lineRule="exact"/>
              <w:jc w:val="center"/>
              <w:rPr>
                <w:rFonts w:ascii="仿宋" w:hAnsi="仿宋" w:eastAsia="仿宋"/>
                <w:kern w:val="0"/>
                <w:sz w:val="20"/>
                <w:szCs w:val="21"/>
              </w:rPr>
            </w:pPr>
          </w:p>
        </w:tc>
        <w:tc>
          <w:tcPr>
            <w:tcW w:w="1418" w:type="dxa"/>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区域环境质量的整体变化情况</w:t>
            </w:r>
          </w:p>
        </w:tc>
        <w:tc>
          <w:tcPr>
            <w:tcW w:w="4394" w:type="dxa"/>
            <w:gridSpan w:val="7"/>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k≤-20%□</w:t>
            </w:r>
          </w:p>
        </w:tc>
        <w:tc>
          <w:tcPr>
            <w:tcW w:w="3402" w:type="dxa"/>
            <w:gridSpan w:val="4"/>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K＞-20%□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restart"/>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环境监测计划</w:t>
            </w:r>
          </w:p>
        </w:tc>
        <w:tc>
          <w:tcPr>
            <w:tcW w:w="1418" w:type="dxa"/>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污染源监测</w:t>
            </w:r>
          </w:p>
        </w:tc>
        <w:tc>
          <w:tcPr>
            <w:tcW w:w="4394" w:type="dxa"/>
            <w:gridSpan w:val="7"/>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监测因子：（</w:t>
            </w:r>
            <w:r>
              <w:rPr>
                <w:rFonts w:hint="eastAsia" w:ascii="仿宋" w:hAnsi="仿宋" w:eastAsia="仿宋"/>
                <w:kern w:val="0"/>
                <w:sz w:val="20"/>
                <w:szCs w:val="21"/>
              </w:rPr>
              <w:t>非甲烷</w:t>
            </w:r>
            <w:r>
              <w:rPr>
                <w:rFonts w:ascii="仿宋" w:hAnsi="仿宋" w:eastAsia="仿宋"/>
                <w:kern w:val="0"/>
                <w:sz w:val="20"/>
                <w:szCs w:val="21"/>
              </w:rPr>
              <w:t>总烃、</w:t>
            </w:r>
            <w:r>
              <w:rPr>
                <w:rFonts w:hint="eastAsia" w:ascii="仿宋" w:hAnsi="仿宋" w:eastAsia="仿宋"/>
                <w:kern w:val="0"/>
                <w:sz w:val="20"/>
                <w:szCs w:val="21"/>
              </w:rPr>
              <w:t>二甲苯</w:t>
            </w:r>
            <w:r>
              <w:rPr>
                <w:rFonts w:ascii="仿宋" w:hAnsi="仿宋" w:eastAsia="仿宋"/>
                <w:kern w:val="0"/>
                <w:sz w:val="20"/>
                <w:szCs w:val="21"/>
              </w:rPr>
              <w:t>）</w:t>
            </w:r>
          </w:p>
        </w:tc>
        <w:tc>
          <w:tcPr>
            <w:tcW w:w="2352" w:type="dxa"/>
            <w:gridSpan w:val="3"/>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有组织废气监测</w:t>
            </w:r>
            <w:r>
              <w:rPr>
                <w:rFonts w:ascii="仿宋" w:hAnsi="仿宋" w:eastAsia="仿宋"/>
                <w:kern w:val="0"/>
                <w:sz w:val="18"/>
                <w:szCs w:val="18"/>
              </w:rPr>
              <w:t>√</w:t>
            </w:r>
          </w:p>
          <w:p>
            <w:pPr>
              <w:spacing w:line="244" w:lineRule="exact"/>
              <w:jc w:val="center"/>
              <w:rPr>
                <w:rFonts w:ascii="仿宋" w:hAnsi="仿宋" w:eastAsia="仿宋"/>
                <w:kern w:val="0"/>
                <w:sz w:val="20"/>
                <w:szCs w:val="21"/>
              </w:rPr>
            </w:pPr>
            <w:r>
              <w:rPr>
                <w:rFonts w:ascii="仿宋" w:hAnsi="仿宋" w:eastAsia="仿宋"/>
                <w:kern w:val="0"/>
                <w:sz w:val="20"/>
                <w:szCs w:val="21"/>
              </w:rPr>
              <w:t>无组织废气监测</w:t>
            </w:r>
            <w:r>
              <w:rPr>
                <w:rFonts w:ascii="仿宋" w:hAnsi="仿宋" w:eastAsia="仿宋"/>
                <w:kern w:val="0"/>
                <w:sz w:val="18"/>
                <w:szCs w:val="18"/>
              </w:rPr>
              <w:t>√</w:t>
            </w:r>
          </w:p>
        </w:tc>
        <w:tc>
          <w:tcPr>
            <w:tcW w:w="1050" w:type="dxa"/>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无监测□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shd w:val="clear" w:color="auto" w:fill="auto"/>
            <w:vAlign w:val="center"/>
          </w:tcPr>
          <w:p>
            <w:pPr>
              <w:spacing w:line="244" w:lineRule="exact"/>
              <w:jc w:val="center"/>
              <w:rPr>
                <w:rFonts w:ascii="仿宋" w:hAnsi="仿宋" w:eastAsia="仿宋"/>
                <w:kern w:val="0"/>
                <w:sz w:val="20"/>
                <w:szCs w:val="21"/>
              </w:rPr>
            </w:pPr>
          </w:p>
        </w:tc>
        <w:tc>
          <w:tcPr>
            <w:tcW w:w="1418" w:type="dxa"/>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环境质量监测</w:t>
            </w:r>
          </w:p>
        </w:tc>
        <w:tc>
          <w:tcPr>
            <w:tcW w:w="4394" w:type="dxa"/>
            <w:gridSpan w:val="7"/>
            <w:shd w:val="clear" w:color="auto" w:fill="auto"/>
            <w:vAlign w:val="center"/>
          </w:tcPr>
          <w:p>
            <w:pPr>
              <w:spacing w:line="244" w:lineRule="exact"/>
              <w:rPr>
                <w:rFonts w:ascii="仿宋" w:hAnsi="仿宋" w:eastAsia="仿宋"/>
                <w:kern w:val="0"/>
                <w:sz w:val="20"/>
                <w:szCs w:val="21"/>
              </w:rPr>
            </w:pPr>
            <w:r>
              <w:rPr>
                <w:rFonts w:ascii="仿宋" w:hAnsi="仿宋" w:eastAsia="仿宋"/>
                <w:kern w:val="0"/>
                <w:sz w:val="20"/>
                <w:szCs w:val="21"/>
              </w:rPr>
              <w:t>监测因子：</w:t>
            </w:r>
            <w:r>
              <w:rPr>
                <w:rFonts w:hint="eastAsia" w:ascii="仿宋" w:hAnsi="仿宋" w:eastAsia="仿宋"/>
                <w:kern w:val="0"/>
                <w:sz w:val="20"/>
                <w:szCs w:val="21"/>
              </w:rPr>
              <w:t>/</w:t>
            </w:r>
          </w:p>
        </w:tc>
        <w:tc>
          <w:tcPr>
            <w:tcW w:w="2352" w:type="dxa"/>
            <w:gridSpan w:val="3"/>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监测点位数（</w:t>
            </w:r>
            <w:r>
              <w:rPr>
                <w:rFonts w:hint="eastAsia" w:ascii="仿宋" w:hAnsi="仿宋" w:eastAsia="仿宋"/>
                <w:kern w:val="0"/>
                <w:sz w:val="20"/>
                <w:szCs w:val="21"/>
              </w:rPr>
              <w:t>1</w:t>
            </w:r>
            <w:r>
              <w:rPr>
                <w:rFonts w:ascii="仿宋" w:hAnsi="仿宋" w:eastAsia="仿宋"/>
                <w:kern w:val="0"/>
                <w:sz w:val="20"/>
                <w:szCs w:val="21"/>
              </w:rPr>
              <w:t>）</w:t>
            </w:r>
          </w:p>
        </w:tc>
        <w:tc>
          <w:tcPr>
            <w:tcW w:w="1050" w:type="dxa"/>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无监测□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restart"/>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评价结论</w:t>
            </w:r>
          </w:p>
        </w:tc>
        <w:tc>
          <w:tcPr>
            <w:tcW w:w="1418" w:type="dxa"/>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环境影响</w:t>
            </w:r>
          </w:p>
        </w:tc>
        <w:tc>
          <w:tcPr>
            <w:tcW w:w="7796" w:type="dxa"/>
            <w:gridSpan w:val="11"/>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可以接受</w:t>
            </w:r>
            <w:r>
              <w:rPr>
                <w:rFonts w:ascii="仿宋" w:hAnsi="仿宋" w:eastAsia="仿宋"/>
                <w:kern w:val="0"/>
                <w:sz w:val="18"/>
                <w:szCs w:val="18"/>
              </w:rPr>
              <w:t>√</w:t>
            </w:r>
            <w:r>
              <w:rPr>
                <w:rFonts w:ascii="仿宋" w:hAnsi="仿宋" w:eastAsia="仿宋"/>
                <w:kern w:val="0"/>
                <w:sz w:val="20"/>
                <w:szCs w:val="21"/>
              </w:rPr>
              <w:t xml:space="preserve">   不可以接受□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shd w:val="clear" w:color="auto" w:fill="auto"/>
            <w:vAlign w:val="center"/>
          </w:tcPr>
          <w:p>
            <w:pPr>
              <w:spacing w:line="244" w:lineRule="exact"/>
              <w:jc w:val="center"/>
              <w:rPr>
                <w:rFonts w:ascii="仿宋" w:hAnsi="仿宋" w:eastAsia="仿宋"/>
                <w:kern w:val="0"/>
                <w:sz w:val="20"/>
                <w:szCs w:val="21"/>
              </w:rPr>
            </w:pPr>
          </w:p>
        </w:tc>
        <w:tc>
          <w:tcPr>
            <w:tcW w:w="1418" w:type="dxa"/>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大气环境防护距离</w:t>
            </w:r>
          </w:p>
        </w:tc>
        <w:tc>
          <w:tcPr>
            <w:tcW w:w="7796" w:type="dxa"/>
            <w:gridSpan w:val="11"/>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距（）厂界最远（）m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shd w:val="clear" w:color="auto" w:fill="auto"/>
            <w:vAlign w:val="center"/>
          </w:tcPr>
          <w:p>
            <w:pPr>
              <w:spacing w:line="244" w:lineRule="exact"/>
              <w:jc w:val="center"/>
              <w:rPr>
                <w:rFonts w:ascii="仿宋" w:hAnsi="仿宋" w:eastAsia="仿宋"/>
                <w:kern w:val="0"/>
                <w:sz w:val="20"/>
                <w:szCs w:val="21"/>
              </w:rPr>
            </w:pPr>
          </w:p>
        </w:tc>
        <w:tc>
          <w:tcPr>
            <w:tcW w:w="1418" w:type="dxa"/>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污染源年排放量</w:t>
            </w:r>
          </w:p>
        </w:tc>
        <w:tc>
          <w:tcPr>
            <w:tcW w:w="4306" w:type="dxa"/>
            <w:gridSpan w:val="6"/>
            <w:shd w:val="clear" w:color="auto" w:fill="auto"/>
            <w:vAlign w:val="center"/>
          </w:tcPr>
          <w:p>
            <w:pPr>
              <w:spacing w:line="244" w:lineRule="exact"/>
              <w:jc w:val="center"/>
              <w:rPr>
                <w:rFonts w:ascii="仿宋" w:hAnsi="仿宋" w:eastAsia="仿宋"/>
                <w:kern w:val="0"/>
                <w:sz w:val="20"/>
                <w:szCs w:val="21"/>
              </w:rPr>
            </w:pPr>
            <w:r>
              <w:rPr>
                <w:rFonts w:hint="eastAsia" w:ascii="仿宋" w:hAnsi="仿宋" w:eastAsia="仿宋"/>
                <w:kern w:val="0"/>
                <w:sz w:val="20"/>
                <w:szCs w:val="21"/>
              </w:rPr>
              <w:t>非甲烷总烃</w:t>
            </w:r>
            <w:r>
              <w:rPr>
                <w:rFonts w:ascii="仿宋" w:hAnsi="仿宋" w:eastAsia="仿宋"/>
                <w:kern w:val="0"/>
                <w:sz w:val="20"/>
                <w:szCs w:val="21"/>
              </w:rPr>
              <w:t>：（3.8）t/a</w:t>
            </w:r>
          </w:p>
        </w:tc>
        <w:tc>
          <w:tcPr>
            <w:tcW w:w="3490" w:type="dxa"/>
            <w:gridSpan w:val="5"/>
            <w:shd w:val="clear" w:color="auto" w:fill="auto"/>
            <w:vAlign w:val="center"/>
          </w:tcPr>
          <w:p>
            <w:pPr>
              <w:spacing w:line="244" w:lineRule="exact"/>
              <w:jc w:val="center"/>
              <w:rPr>
                <w:rFonts w:ascii="仿宋" w:hAnsi="仿宋" w:eastAsia="仿宋"/>
                <w:kern w:val="0"/>
                <w:sz w:val="20"/>
                <w:szCs w:val="21"/>
              </w:rPr>
            </w:pPr>
            <w:r>
              <w:rPr>
                <w:rFonts w:hint="eastAsia" w:ascii="仿宋" w:hAnsi="仿宋" w:eastAsia="仿宋"/>
                <w:kern w:val="0"/>
                <w:sz w:val="20"/>
                <w:szCs w:val="21"/>
              </w:rPr>
              <w:t>二甲苯</w:t>
            </w:r>
            <w:r>
              <w:rPr>
                <w:rFonts w:ascii="仿宋" w:hAnsi="仿宋" w:eastAsia="仿宋"/>
                <w:kern w:val="0"/>
                <w:sz w:val="20"/>
                <w:szCs w:val="21"/>
              </w:rPr>
              <w:t>：（</w:t>
            </w:r>
            <w:r>
              <w:rPr>
                <w:rFonts w:hint="eastAsia" w:ascii="仿宋" w:hAnsi="仿宋" w:eastAsia="仿宋"/>
                <w:kern w:val="0"/>
                <w:sz w:val="20"/>
                <w:szCs w:val="21"/>
              </w:rPr>
              <w:t>0.</w:t>
            </w:r>
            <w:r>
              <w:rPr>
                <w:rFonts w:ascii="仿宋" w:hAnsi="仿宋" w:eastAsia="仿宋"/>
                <w:kern w:val="0"/>
                <w:sz w:val="20"/>
                <w:szCs w:val="21"/>
              </w:rPr>
              <w:t>37）t/a</w:t>
            </w:r>
          </w:p>
          <w:p>
            <w:pPr>
              <w:spacing w:line="244" w:lineRule="exact"/>
              <w:jc w:val="center"/>
              <w:rPr>
                <w:rFonts w:ascii="仿宋" w:hAnsi="仿宋" w:eastAsia="仿宋"/>
                <w:kern w:val="0"/>
                <w:sz w:val="20"/>
                <w:szCs w:val="21"/>
              </w:rPr>
            </w:pPr>
            <w:r>
              <w:rPr>
                <w:rFonts w:hint="eastAsia" w:ascii="仿宋" w:hAnsi="仿宋" w:eastAsia="仿宋"/>
                <w:kern w:val="0"/>
                <w:sz w:val="20"/>
                <w:szCs w:val="21"/>
              </w:rPr>
              <w:t>乙酸乙酯</w:t>
            </w:r>
            <w:r>
              <w:rPr>
                <w:rFonts w:ascii="仿宋" w:hAnsi="仿宋" w:eastAsia="仿宋"/>
                <w:kern w:val="0"/>
                <w:sz w:val="20"/>
                <w:szCs w:val="21"/>
              </w:rPr>
              <w:t>：（3.3）t/a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65" w:type="dxa"/>
            <w:gridSpan w:val="13"/>
            <w:shd w:val="clear" w:color="auto" w:fill="auto"/>
            <w:vAlign w:val="center"/>
          </w:tcPr>
          <w:p>
            <w:pPr>
              <w:spacing w:line="244" w:lineRule="exact"/>
              <w:jc w:val="center"/>
              <w:rPr>
                <w:rFonts w:ascii="仿宋" w:hAnsi="仿宋" w:eastAsia="仿宋"/>
                <w:kern w:val="0"/>
                <w:sz w:val="20"/>
                <w:szCs w:val="21"/>
              </w:rPr>
            </w:pPr>
            <w:r>
              <w:rPr>
                <w:rFonts w:ascii="仿宋" w:hAnsi="仿宋" w:eastAsia="仿宋"/>
                <w:kern w:val="0"/>
                <w:sz w:val="20"/>
                <w:szCs w:val="21"/>
              </w:rPr>
              <w:t>注：“□”为打勾项，填“√”；“（）”为内容填写项</w:t>
            </w:r>
          </w:p>
        </w:tc>
      </w:tr>
    </w:tbl>
    <w:p>
      <w:pPr>
        <w:keepNext/>
        <w:numPr>
          <w:ilvl w:val="2"/>
          <w:numId w:val="1"/>
        </w:numPr>
        <w:tabs>
          <w:tab w:val="left" w:pos="709"/>
        </w:tabs>
        <w:spacing w:after="120" w:afterLines="50" w:line="500" w:lineRule="exact"/>
        <w:ind w:left="0" w:firstLine="0"/>
        <w:outlineLvl w:val="2"/>
        <w:rPr>
          <w:rFonts w:eastAsia="仿宋_GB2312"/>
          <w:b/>
          <w:sz w:val="28"/>
          <w:szCs w:val="28"/>
        </w:rPr>
      </w:pPr>
      <w:r>
        <w:rPr>
          <w:rFonts w:eastAsia="仿宋_GB2312"/>
          <w:b/>
          <w:sz w:val="28"/>
          <w:szCs w:val="28"/>
        </w:rPr>
        <w:t>地表水环境影响分析</w:t>
      </w:r>
    </w:p>
    <w:p>
      <w:pPr>
        <w:spacing w:line="500" w:lineRule="exact"/>
        <w:ind w:firstLine="560" w:firstLineChars="200"/>
        <w:rPr>
          <w:rFonts w:eastAsia="仿宋_GB2312"/>
          <w:sz w:val="28"/>
          <w:szCs w:val="28"/>
        </w:rPr>
      </w:pPr>
      <w:r>
        <w:rPr>
          <w:rFonts w:hint="eastAsia" w:eastAsia="仿宋_GB2312"/>
          <w:sz w:val="28"/>
          <w:szCs w:val="28"/>
        </w:rPr>
        <w:t>本项目</w:t>
      </w:r>
      <w:r>
        <w:rPr>
          <w:rFonts w:eastAsia="仿宋_GB2312"/>
          <w:sz w:val="28"/>
          <w:szCs w:val="28"/>
        </w:rPr>
        <w:t>不产生工业废水，生活污水接管</w:t>
      </w:r>
      <w:r>
        <w:rPr>
          <w:rFonts w:hint="eastAsia" w:eastAsia="仿宋_GB2312"/>
          <w:sz w:val="28"/>
          <w:szCs w:val="28"/>
        </w:rPr>
        <w:t>进金坛第二</w:t>
      </w:r>
      <w:r>
        <w:rPr>
          <w:rFonts w:eastAsia="仿宋_GB2312"/>
          <w:sz w:val="28"/>
          <w:szCs w:val="28"/>
        </w:rPr>
        <w:t>污水处理厂处理。</w:t>
      </w:r>
    </w:p>
    <w:p>
      <w:pPr>
        <w:spacing w:line="500" w:lineRule="exact"/>
        <w:ind w:firstLine="560" w:firstLineChars="200"/>
        <w:rPr>
          <w:rFonts w:eastAsia="仿宋_GB2312"/>
          <w:sz w:val="28"/>
          <w:szCs w:val="28"/>
        </w:rPr>
      </w:pPr>
      <w:r>
        <w:rPr>
          <w:rFonts w:hint="eastAsia" w:eastAsia="仿宋_GB2312"/>
          <w:sz w:val="28"/>
          <w:szCs w:val="28"/>
        </w:rPr>
        <w:t>根据《环境影响评价技术导则-地表水环境》（HJ2.3-2018）“10.2 需明确给出污染源排放量核算结果，填写建设项目污染物排放信息表。”具体信息见下表：</w:t>
      </w:r>
    </w:p>
    <w:p>
      <w:pPr>
        <w:spacing w:line="500" w:lineRule="exact"/>
        <w:ind w:firstLine="560" w:firstLineChars="200"/>
        <w:rPr>
          <w:rFonts w:eastAsia="仿宋_GB2312"/>
          <w:sz w:val="28"/>
          <w:szCs w:val="28"/>
        </w:rPr>
        <w:sectPr>
          <w:footerReference r:id="rId22" w:type="default"/>
          <w:footerReference r:id="rId23" w:type="even"/>
          <w:pgSz w:w="11906" w:h="16838"/>
          <w:pgMar w:top="1440" w:right="1797" w:bottom="1440" w:left="1797" w:header="539" w:footer="992" w:gutter="0"/>
          <w:cols w:space="720" w:num="1"/>
          <w:docGrid w:linePitch="286" w:charSpace="0"/>
        </w:sectPr>
      </w:pPr>
    </w:p>
    <w:p>
      <w:pPr>
        <w:spacing w:line="500" w:lineRule="exact"/>
        <w:ind w:firstLine="482" w:firstLineChars="200"/>
        <w:jc w:val="center"/>
        <w:rPr>
          <w:rFonts w:eastAsia="仿宋_GB2312"/>
          <w:b/>
          <w:sz w:val="24"/>
        </w:rPr>
      </w:pPr>
      <w:r>
        <w:rPr>
          <w:rFonts w:eastAsia="仿宋_GB2312"/>
          <w:b/>
          <w:sz w:val="24"/>
        </w:rPr>
        <w:t>表5.2-16 本项目废水类别、污染物及污染治理设施信息表</w:t>
      </w:r>
    </w:p>
    <w:tbl>
      <w:tblPr>
        <w:tblStyle w:val="8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4"/>
        <w:gridCol w:w="1181"/>
        <w:gridCol w:w="1371"/>
        <w:gridCol w:w="1134"/>
        <w:gridCol w:w="1559"/>
        <w:gridCol w:w="1219"/>
        <w:gridCol w:w="1219"/>
        <w:gridCol w:w="1219"/>
        <w:gridCol w:w="895"/>
        <w:gridCol w:w="1559"/>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 w:hRule="atLeast"/>
          <w:jc w:val="center"/>
        </w:trPr>
        <w:tc>
          <w:tcPr>
            <w:tcW w:w="504" w:type="dxa"/>
            <w:vMerge w:val="restart"/>
            <w:shd w:val="clear" w:color="auto" w:fill="auto"/>
            <w:vAlign w:val="center"/>
          </w:tcPr>
          <w:p>
            <w:pPr>
              <w:pStyle w:val="124"/>
              <w:spacing w:line="360" w:lineRule="exact"/>
              <w:rPr>
                <w:rFonts w:ascii="仿宋" w:hAnsi="仿宋" w:eastAsia="仿宋"/>
              </w:rPr>
            </w:pPr>
            <w:r>
              <w:rPr>
                <w:rFonts w:ascii="仿宋" w:hAnsi="仿宋" w:eastAsia="仿宋"/>
              </w:rPr>
              <w:t>序号</w:t>
            </w:r>
          </w:p>
        </w:tc>
        <w:tc>
          <w:tcPr>
            <w:tcW w:w="1181" w:type="dxa"/>
            <w:vMerge w:val="restart"/>
            <w:shd w:val="clear" w:color="auto" w:fill="auto"/>
            <w:vAlign w:val="center"/>
          </w:tcPr>
          <w:p>
            <w:pPr>
              <w:pStyle w:val="124"/>
              <w:spacing w:line="360" w:lineRule="exact"/>
              <w:rPr>
                <w:rFonts w:ascii="仿宋" w:hAnsi="仿宋" w:eastAsia="仿宋"/>
              </w:rPr>
            </w:pPr>
            <w:r>
              <w:rPr>
                <w:rFonts w:ascii="仿宋" w:hAnsi="仿宋" w:eastAsia="仿宋"/>
              </w:rPr>
              <w:t>废水类型</w:t>
            </w:r>
          </w:p>
        </w:tc>
        <w:tc>
          <w:tcPr>
            <w:tcW w:w="1371" w:type="dxa"/>
            <w:vMerge w:val="restart"/>
            <w:shd w:val="clear" w:color="auto" w:fill="auto"/>
            <w:vAlign w:val="center"/>
          </w:tcPr>
          <w:p>
            <w:pPr>
              <w:pStyle w:val="124"/>
              <w:spacing w:line="360" w:lineRule="exact"/>
              <w:rPr>
                <w:rFonts w:ascii="仿宋" w:hAnsi="仿宋" w:eastAsia="仿宋"/>
              </w:rPr>
            </w:pPr>
            <w:r>
              <w:rPr>
                <w:rFonts w:ascii="仿宋" w:hAnsi="仿宋" w:eastAsia="仿宋"/>
              </w:rPr>
              <w:t>污染物种类</w:t>
            </w:r>
          </w:p>
        </w:tc>
        <w:tc>
          <w:tcPr>
            <w:tcW w:w="1134" w:type="dxa"/>
            <w:vMerge w:val="restart"/>
            <w:shd w:val="clear" w:color="auto" w:fill="auto"/>
            <w:vAlign w:val="center"/>
          </w:tcPr>
          <w:p>
            <w:pPr>
              <w:pStyle w:val="124"/>
              <w:spacing w:line="360" w:lineRule="exact"/>
              <w:rPr>
                <w:rFonts w:ascii="仿宋" w:hAnsi="仿宋" w:eastAsia="仿宋"/>
              </w:rPr>
            </w:pPr>
            <w:r>
              <w:rPr>
                <w:rFonts w:ascii="仿宋" w:hAnsi="仿宋" w:eastAsia="仿宋"/>
              </w:rPr>
              <w:t>排放去向</w:t>
            </w:r>
          </w:p>
        </w:tc>
        <w:tc>
          <w:tcPr>
            <w:tcW w:w="1559" w:type="dxa"/>
            <w:vMerge w:val="restart"/>
            <w:shd w:val="clear" w:color="auto" w:fill="auto"/>
            <w:vAlign w:val="center"/>
          </w:tcPr>
          <w:p>
            <w:pPr>
              <w:pStyle w:val="124"/>
              <w:spacing w:line="360" w:lineRule="exact"/>
              <w:rPr>
                <w:rFonts w:ascii="仿宋" w:hAnsi="仿宋" w:eastAsia="仿宋"/>
              </w:rPr>
            </w:pPr>
            <w:r>
              <w:rPr>
                <w:rFonts w:ascii="仿宋" w:hAnsi="仿宋" w:eastAsia="仿宋"/>
              </w:rPr>
              <w:t>排放规律</w:t>
            </w:r>
          </w:p>
        </w:tc>
        <w:tc>
          <w:tcPr>
            <w:tcW w:w="3657" w:type="dxa"/>
            <w:gridSpan w:val="3"/>
            <w:shd w:val="clear" w:color="auto" w:fill="auto"/>
            <w:vAlign w:val="center"/>
          </w:tcPr>
          <w:p>
            <w:pPr>
              <w:pStyle w:val="124"/>
              <w:spacing w:line="360" w:lineRule="exact"/>
              <w:rPr>
                <w:rFonts w:ascii="仿宋" w:hAnsi="仿宋" w:eastAsia="仿宋"/>
              </w:rPr>
            </w:pPr>
            <w:r>
              <w:rPr>
                <w:rFonts w:ascii="仿宋" w:hAnsi="仿宋" w:eastAsia="仿宋"/>
              </w:rPr>
              <w:t>污染治理设施</w:t>
            </w:r>
          </w:p>
        </w:tc>
        <w:tc>
          <w:tcPr>
            <w:tcW w:w="895" w:type="dxa"/>
            <w:vMerge w:val="restart"/>
            <w:shd w:val="clear" w:color="auto" w:fill="auto"/>
            <w:vAlign w:val="center"/>
          </w:tcPr>
          <w:p>
            <w:pPr>
              <w:pStyle w:val="124"/>
              <w:spacing w:line="360" w:lineRule="exact"/>
              <w:rPr>
                <w:rFonts w:ascii="仿宋" w:hAnsi="仿宋" w:eastAsia="仿宋"/>
              </w:rPr>
            </w:pPr>
            <w:r>
              <w:rPr>
                <w:rFonts w:ascii="仿宋" w:hAnsi="仿宋" w:eastAsia="仿宋"/>
              </w:rPr>
              <w:t>排放口编号</w:t>
            </w:r>
          </w:p>
        </w:tc>
        <w:tc>
          <w:tcPr>
            <w:tcW w:w="1559" w:type="dxa"/>
            <w:vMerge w:val="restart"/>
            <w:shd w:val="clear" w:color="auto" w:fill="auto"/>
            <w:vAlign w:val="center"/>
          </w:tcPr>
          <w:p>
            <w:pPr>
              <w:pStyle w:val="124"/>
              <w:spacing w:line="360" w:lineRule="exact"/>
              <w:rPr>
                <w:rFonts w:ascii="仿宋" w:hAnsi="仿宋" w:eastAsia="仿宋"/>
              </w:rPr>
            </w:pPr>
            <w:r>
              <w:rPr>
                <w:rFonts w:ascii="仿宋" w:hAnsi="仿宋" w:eastAsia="仿宋"/>
              </w:rPr>
              <w:t>排放口设置是否符合要求</w:t>
            </w:r>
          </w:p>
        </w:tc>
        <w:tc>
          <w:tcPr>
            <w:tcW w:w="1985" w:type="dxa"/>
            <w:vMerge w:val="restart"/>
            <w:shd w:val="clear" w:color="auto" w:fill="auto"/>
            <w:vAlign w:val="center"/>
          </w:tcPr>
          <w:p>
            <w:pPr>
              <w:pStyle w:val="124"/>
              <w:spacing w:line="360" w:lineRule="exact"/>
              <w:rPr>
                <w:rFonts w:ascii="仿宋" w:hAnsi="仿宋" w:eastAsia="仿宋"/>
              </w:rPr>
            </w:pPr>
            <w:r>
              <w:rPr>
                <w:rFonts w:ascii="仿宋" w:hAnsi="仿宋" w:eastAsia="仿宋"/>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5" w:hRule="atLeast"/>
          <w:jc w:val="center"/>
        </w:trPr>
        <w:tc>
          <w:tcPr>
            <w:tcW w:w="504" w:type="dxa"/>
            <w:vMerge w:val="continue"/>
            <w:shd w:val="clear" w:color="auto" w:fill="auto"/>
            <w:vAlign w:val="center"/>
          </w:tcPr>
          <w:p>
            <w:pPr>
              <w:pStyle w:val="124"/>
              <w:spacing w:line="360" w:lineRule="exact"/>
              <w:rPr>
                <w:rFonts w:ascii="仿宋" w:hAnsi="仿宋" w:eastAsia="仿宋"/>
              </w:rPr>
            </w:pPr>
          </w:p>
        </w:tc>
        <w:tc>
          <w:tcPr>
            <w:tcW w:w="1181" w:type="dxa"/>
            <w:vMerge w:val="continue"/>
            <w:shd w:val="clear" w:color="auto" w:fill="auto"/>
            <w:vAlign w:val="center"/>
          </w:tcPr>
          <w:p>
            <w:pPr>
              <w:pStyle w:val="124"/>
              <w:spacing w:line="360" w:lineRule="exact"/>
              <w:rPr>
                <w:rFonts w:ascii="仿宋" w:hAnsi="仿宋" w:eastAsia="仿宋"/>
              </w:rPr>
            </w:pPr>
          </w:p>
        </w:tc>
        <w:tc>
          <w:tcPr>
            <w:tcW w:w="1371" w:type="dxa"/>
            <w:vMerge w:val="continue"/>
            <w:shd w:val="clear" w:color="auto" w:fill="auto"/>
            <w:vAlign w:val="center"/>
          </w:tcPr>
          <w:p>
            <w:pPr>
              <w:pStyle w:val="124"/>
              <w:spacing w:line="360" w:lineRule="exact"/>
              <w:rPr>
                <w:rFonts w:ascii="仿宋" w:hAnsi="仿宋" w:eastAsia="仿宋"/>
              </w:rPr>
            </w:pPr>
          </w:p>
        </w:tc>
        <w:tc>
          <w:tcPr>
            <w:tcW w:w="1134" w:type="dxa"/>
            <w:vMerge w:val="continue"/>
            <w:shd w:val="clear" w:color="auto" w:fill="auto"/>
            <w:vAlign w:val="center"/>
          </w:tcPr>
          <w:p>
            <w:pPr>
              <w:pStyle w:val="124"/>
              <w:spacing w:line="360" w:lineRule="exact"/>
              <w:rPr>
                <w:rFonts w:ascii="仿宋" w:hAnsi="仿宋" w:eastAsia="仿宋"/>
              </w:rPr>
            </w:pPr>
          </w:p>
        </w:tc>
        <w:tc>
          <w:tcPr>
            <w:tcW w:w="1559" w:type="dxa"/>
            <w:vMerge w:val="continue"/>
            <w:shd w:val="clear" w:color="auto" w:fill="auto"/>
            <w:vAlign w:val="center"/>
          </w:tcPr>
          <w:p>
            <w:pPr>
              <w:pStyle w:val="124"/>
              <w:spacing w:line="360" w:lineRule="exact"/>
              <w:rPr>
                <w:rFonts w:ascii="仿宋" w:hAnsi="仿宋" w:eastAsia="仿宋"/>
              </w:rPr>
            </w:pPr>
          </w:p>
        </w:tc>
        <w:tc>
          <w:tcPr>
            <w:tcW w:w="1219" w:type="dxa"/>
            <w:shd w:val="clear" w:color="auto" w:fill="auto"/>
            <w:vAlign w:val="center"/>
          </w:tcPr>
          <w:p>
            <w:pPr>
              <w:pStyle w:val="124"/>
              <w:spacing w:line="360" w:lineRule="exact"/>
              <w:rPr>
                <w:rFonts w:ascii="仿宋" w:hAnsi="仿宋" w:eastAsia="仿宋"/>
              </w:rPr>
            </w:pPr>
            <w:r>
              <w:rPr>
                <w:rFonts w:ascii="仿宋" w:hAnsi="仿宋" w:eastAsia="仿宋"/>
              </w:rPr>
              <w:t>污染治理设施编号</w:t>
            </w:r>
          </w:p>
        </w:tc>
        <w:tc>
          <w:tcPr>
            <w:tcW w:w="1219" w:type="dxa"/>
            <w:shd w:val="clear" w:color="auto" w:fill="auto"/>
            <w:vAlign w:val="center"/>
          </w:tcPr>
          <w:p>
            <w:pPr>
              <w:pStyle w:val="124"/>
              <w:spacing w:line="360" w:lineRule="exact"/>
              <w:rPr>
                <w:rFonts w:ascii="仿宋" w:hAnsi="仿宋" w:eastAsia="仿宋"/>
              </w:rPr>
            </w:pPr>
            <w:r>
              <w:rPr>
                <w:rFonts w:ascii="仿宋" w:hAnsi="仿宋" w:eastAsia="仿宋"/>
              </w:rPr>
              <w:t>污染治理设施名称</w:t>
            </w:r>
          </w:p>
        </w:tc>
        <w:tc>
          <w:tcPr>
            <w:tcW w:w="1219" w:type="dxa"/>
            <w:shd w:val="clear" w:color="auto" w:fill="auto"/>
            <w:vAlign w:val="center"/>
          </w:tcPr>
          <w:p>
            <w:pPr>
              <w:pStyle w:val="124"/>
              <w:spacing w:line="360" w:lineRule="exact"/>
              <w:rPr>
                <w:rFonts w:ascii="仿宋" w:hAnsi="仿宋" w:eastAsia="仿宋"/>
              </w:rPr>
            </w:pPr>
            <w:r>
              <w:rPr>
                <w:rFonts w:ascii="仿宋" w:hAnsi="仿宋" w:eastAsia="仿宋"/>
              </w:rPr>
              <w:t>污染治理设施工艺</w:t>
            </w:r>
          </w:p>
        </w:tc>
        <w:tc>
          <w:tcPr>
            <w:tcW w:w="895" w:type="dxa"/>
            <w:vMerge w:val="continue"/>
            <w:shd w:val="clear" w:color="auto" w:fill="auto"/>
            <w:vAlign w:val="center"/>
          </w:tcPr>
          <w:p>
            <w:pPr>
              <w:pStyle w:val="124"/>
              <w:spacing w:line="360" w:lineRule="exact"/>
              <w:rPr>
                <w:rFonts w:ascii="仿宋" w:hAnsi="仿宋" w:eastAsia="仿宋"/>
              </w:rPr>
            </w:pPr>
          </w:p>
        </w:tc>
        <w:tc>
          <w:tcPr>
            <w:tcW w:w="1559" w:type="dxa"/>
            <w:vMerge w:val="continue"/>
            <w:shd w:val="clear" w:color="auto" w:fill="auto"/>
            <w:vAlign w:val="center"/>
          </w:tcPr>
          <w:p>
            <w:pPr>
              <w:pStyle w:val="124"/>
              <w:spacing w:line="360" w:lineRule="exact"/>
              <w:rPr>
                <w:rFonts w:ascii="仿宋" w:hAnsi="仿宋" w:eastAsia="仿宋"/>
              </w:rPr>
            </w:pPr>
          </w:p>
        </w:tc>
        <w:tc>
          <w:tcPr>
            <w:tcW w:w="1985" w:type="dxa"/>
            <w:vMerge w:val="continue"/>
            <w:shd w:val="clear" w:color="auto" w:fill="auto"/>
            <w:vAlign w:val="center"/>
          </w:tcPr>
          <w:p>
            <w:pPr>
              <w:pStyle w:val="124"/>
              <w:spacing w:line="360" w:lineRule="exact"/>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4" w:type="dxa"/>
            <w:shd w:val="clear" w:color="auto" w:fill="auto"/>
            <w:vAlign w:val="center"/>
          </w:tcPr>
          <w:p>
            <w:pPr>
              <w:pStyle w:val="124"/>
              <w:spacing w:line="360" w:lineRule="exact"/>
              <w:rPr>
                <w:rFonts w:ascii="仿宋" w:hAnsi="仿宋" w:eastAsia="仿宋"/>
              </w:rPr>
            </w:pPr>
            <w:r>
              <w:rPr>
                <w:rFonts w:ascii="仿宋" w:hAnsi="仿宋" w:eastAsia="仿宋"/>
              </w:rPr>
              <w:t>1</w:t>
            </w:r>
          </w:p>
        </w:tc>
        <w:tc>
          <w:tcPr>
            <w:tcW w:w="1181" w:type="dxa"/>
            <w:shd w:val="clear" w:color="auto" w:fill="auto"/>
            <w:vAlign w:val="center"/>
          </w:tcPr>
          <w:p>
            <w:pPr>
              <w:pStyle w:val="124"/>
              <w:spacing w:line="360" w:lineRule="exact"/>
              <w:rPr>
                <w:rFonts w:ascii="仿宋" w:hAnsi="仿宋" w:eastAsia="仿宋"/>
              </w:rPr>
            </w:pPr>
            <w:r>
              <w:rPr>
                <w:rFonts w:hint="eastAsia" w:ascii="仿宋" w:hAnsi="仿宋" w:eastAsia="仿宋"/>
              </w:rPr>
              <w:t>生活污水</w:t>
            </w:r>
          </w:p>
        </w:tc>
        <w:tc>
          <w:tcPr>
            <w:tcW w:w="1371" w:type="dxa"/>
            <w:shd w:val="clear" w:color="auto" w:fill="auto"/>
            <w:vAlign w:val="center"/>
          </w:tcPr>
          <w:p>
            <w:pPr>
              <w:pStyle w:val="124"/>
              <w:spacing w:line="360" w:lineRule="exact"/>
              <w:rPr>
                <w:rFonts w:ascii="仿宋" w:hAnsi="仿宋" w:eastAsia="仿宋"/>
              </w:rPr>
            </w:pPr>
            <w:r>
              <w:rPr>
                <w:rFonts w:ascii="仿宋" w:hAnsi="仿宋" w:eastAsia="仿宋"/>
              </w:rPr>
              <w:t>COD、SS、NH</w:t>
            </w:r>
            <w:r>
              <w:rPr>
                <w:rFonts w:ascii="仿宋" w:hAnsi="仿宋" w:eastAsia="仿宋"/>
                <w:vertAlign w:val="subscript"/>
              </w:rPr>
              <w:t>3</w:t>
            </w:r>
            <w:r>
              <w:rPr>
                <w:rFonts w:ascii="仿宋" w:hAnsi="仿宋" w:eastAsia="仿宋"/>
              </w:rPr>
              <w:t>-N、TP、</w:t>
            </w:r>
            <w:r>
              <w:rPr>
                <w:rFonts w:hint="eastAsia" w:ascii="仿宋" w:hAnsi="仿宋" w:eastAsia="仿宋"/>
              </w:rPr>
              <w:t>TN</w:t>
            </w:r>
          </w:p>
        </w:tc>
        <w:tc>
          <w:tcPr>
            <w:tcW w:w="1134" w:type="dxa"/>
            <w:shd w:val="clear" w:color="auto" w:fill="auto"/>
            <w:vAlign w:val="center"/>
          </w:tcPr>
          <w:p>
            <w:pPr>
              <w:pStyle w:val="124"/>
              <w:spacing w:line="360" w:lineRule="exact"/>
              <w:rPr>
                <w:rFonts w:ascii="仿宋" w:hAnsi="仿宋" w:eastAsia="仿宋"/>
              </w:rPr>
            </w:pPr>
            <w:r>
              <w:rPr>
                <w:rFonts w:ascii="仿宋" w:hAnsi="仿宋" w:eastAsia="仿宋"/>
              </w:rPr>
              <w:t>城市污水处理厂</w:t>
            </w:r>
          </w:p>
        </w:tc>
        <w:tc>
          <w:tcPr>
            <w:tcW w:w="1559" w:type="dxa"/>
            <w:shd w:val="clear" w:color="auto" w:fill="auto"/>
            <w:vAlign w:val="center"/>
          </w:tcPr>
          <w:p>
            <w:pPr>
              <w:pStyle w:val="124"/>
              <w:spacing w:line="360" w:lineRule="exact"/>
              <w:rPr>
                <w:rFonts w:ascii="仿宋" w:hAnsi="仿宋" w:eastAsia="仿宋"/>
              </w:rPr>
            </w:pPr>
            <w:r>
              <w:rPr>
                <w:rFonts w:ascii="仿宋" w:hAnsi="仿宋" w:eastAsia="仿宋"/>
              </w:rPr>
              <w:t>间断排放，排放期间流量不稳定且无规律，但不属于冲击型排放</w:t>
            </w:r>
          </w:p>
        </w:tc>
        <w:tc>
          <w:tcPr>
            <w:tcW w:w="1219" w:type="dxa"/>
            <w:shd w:val="clear" w:color="auto" w:fill="auto"/>
            <w:vAlign w:val="center"/>
          </w:tcPr>
          <w:p>
            <w:pPr>
              <w:pStyle w:val="124"/>
              <w:spacing w:line="360" w:lineRule="exact"/>
              <w:rPr>
                <w:rFonts w:ascii="仿宋" w:hAnsi="仿宋" w:eastAsia="仿宋"/>
              </w:rPr>
            </w:pPr>
            <w:r>
              <w:rPr>
                <w:rFonts w:ascii="仿宋" w:hAnsi="仿宋" w:eastAsia="仿宋"/>
              </w:rPr>
              <w:t>/</w:t>
            </w:r>
          </w:p>
        </w:tc>
        <w:tc>
          <w:tcPr>
            <w:tcW w:w="1219" w:type="dxa"/>
            <w:shd w:val="clear" w:color="auto" w:fill="auto"/>
            <w:vAlign w:val="center"/>
          </w:tcPr>
          <w:p>
            <w:pPr>
              <w:pStyle w:val="124"/>
              <w:spacing w:line="360" w:lineRule="exact"/>
              <w:rPr>
                <w:rFonts w:ascii="仿宋" w:hAnsi="仿宋" w:eastAsia="仿宋"/>
              </w:rPr>
            </w:pPr>
            <w:r>
              <w:rPr>
                <w:rFonts w:ascii="仿宋" w:hAnsi="仿宋" w:eastAsia="仿宋"/>
              </w:rPr>
              <w:t>/</w:t>
            </w:r>
          </w:p>
        </w:tc>
        <w:tc>
          <w:tcPr>
            <w:tcW w:w="1219" w:type="dxa"/>
            <w:shd w:val="clear" w:color="auto" w:fill="auto"/>
            <w:vAlign w:val="center"/>
          </w:tcPr>
          <w:p>
            <w:pPr>
              <w:pStyle w:val="124"/>
              <w:spacing w:line="360" w:lineRule="exact"/>
              <w:rPr>
                <w:rFonts w:ascii="仿宋" w:hAnsi="仿宋" w:eastAsia="仿宋"/>
              </w:rPr>
            </w:pPr>
            <w:r>
              <w:rPr>
                <w:rFonts w:ascii="仿宋" w:hAnsi="仿宋" w:eastAsia="仿宋"/>
              </w:rPr>
              <w:t>/</w:t>
            </w:r>
          </w:p>
        </w:tc>
        <w:tc>
          <w:tcPr>
            <w:tcW w:w="895" w:type="dxa"/>
            <w:shd w:val="clear" w:color="auto" w:fill="auto"/>
            <w:vAlign w:val="center"/>
          </w:tcPr>
          <w:p>
            <w:pPr>
              <w:pStyle w:val="124"/>
              <w:spacing w:line="360" w:lineRule="exact"/>
              <w:rPr>
                <w:rFonts w:ascii="仿宋" w:hAnsi="仿宋" w:eastAsia="仿宋"/>
              </w:rPr>
            </w:pPr>
            <w:r>
              <w:rPr>
                <w:rFonts w:ascii="仿宋" w:hAnsi="仿宋" w:eastAsia="仿宋"/>
              </w:rPr>
              <w:t>DW01</w:t>
            </w:r>
          </w:p>
        </w:tc>
        <w:tc>
          <w:tcPr>
            <w:tcW w:w="1559" w:type="dxa"/>
            <w:shd w:val="clear" w:color="auto" w:fill="auto"/>
            <w:vAlign w:val="center"/>
          </w:tcPr>
          <w:p>
            <w:pPr>
              <w:pStyle w:val="124"/>
              <w:spacing w:line="360" w:lineRule="exact"/>
              <w:rPr>
                <w:rFonts w:ascii="仿宋" w:hAnsi="仿宋" w:eastAsia="仿宋"/>
              </w:rPr>
            </w:pPr>
            <w:r>
              <w:rPr>
                <w:rFonts w:ascii="仿宋" w:hAnsi="仿宋" w:eastAsia="仿宋"/>
              </w:rPr>
              <w:t>√是</w:t>
            </w:r>
          </w:p>
          <w:p>
            <w:pPr>
              <w:pStyle w:val="124"/>
              <w:spacing w:line="360" w:lineRule="exact"/>
              <w:rPr>
                <w:rFonts w:ascii="仿宋" w:hAnsi="仿宋" w:eastAsia="仿宋"/>
              </w:rPr>
            </w:pPr>
            <w:r>
              <w:rPr>
                <w:rFonts w:ascii="仿宋" w:hAnsi="仿宋" w:eastAsia="仿宋"/>
              </w:rPr>
              <w:t>否</w:t>
            </w:r>
          </w:p>
        </w:tc>
        <w:tc>
          <w:tcPr>
            <w:tcW w:w="1985" w:type="dxa"/>
            <w:shd w:val="clear" w:color="auto" w:fill="auto"/>
            <w:vAlign w:val="center"/>
          </w:tcPr>
          <w:p>
            <w:pPr>
              <w:pStyle w:val="124"/>
              <w:spacing w:line="360" w:lineRule="exact"/>
              <w:rPr>
                <w:rFonts w:ascii="仿宋" w:hAnsi="仿宋" w:eastAsia="仿宋"/>
              </w:rPr>
            </w:pPr>
            <w:r>
              <w:rPr>
                <w:rFonts w:ascii="仿宋" w:hAnsi="仿宋" w:eastAsia="仿宋"/>
              </w:rPr>
              <w:t>√企业总排口</w:t>
            </w:r>
          </w:p>
          <w:p>
            <w:pPr>
              <w:pStyle w:val="124"/>
              <w:spacing w:line="360" w:lineRule="exact"/>
              <w:rPr>
                <w:rFonts w:ascii="仿宋" w:hAnsi="仿宋" w:eastAsia="仿宋"/>
              </w:rPr>
            </w:pPr>
            <w:r>
              <w:rPr>
                <w:rFonts w:ascii="仿宋" w:hAnsi="仿宋" w:eastAsia="仿宋"/>
              </w:rPr>
              <w:t>□雨水排放口</w:t>
            </w:r>
          </w:p>
          <w:p>
            <w:pPr>
              <w:pStyle w:val="124"/>
              <w:spacing w:line="360" w:lineRule="exact"/>
              <w:rPr>
                <w:rFonts w:ascii="仿宋" w:hAnsi="仿宋" w:eastAsia="仿宋"/>
              </w:rPr>
            </w:pPr>
            <w:r>
              <w:rPr>
                <w:rFonts w:ascii="仿宋" w:hAnsi="仿宋" w:eastAsia="仿宋"/>
              </w:rPr>
              <w:t>□清净下水排放口</w:t>
            </w:r>
          </w:p>
          <w:p>
            <w:pPr>
              <w:pStyle w:val="124"/>
              <w:spacing w:line="360" w:lineRule="exact"/>
              <w:rPr>
                <w:rFonts w:ascii="仿宋" w:hAnsi="仿宋" w:eastAsia="仿宋"/>
              </w:rPr>
            </w:pPr>
            <w:r>
              <w:rPr>
                <w:rFonts w:ascii="仿宋" w:hAnsi="仿宋" w:eastAsia="仿宋"/>
              </w:rPr>
              <w:t>□温排水排放口</w:t>
            </w:r>
          </w:p>
          <w:p>
            <w:pPr>
              <w:pStyle w:val="124"/>
              <w:spacing w:line="360" w:lineRule="exact"/>
              <w:rPr>
                <w:rFonts w:ascii="仿宋" w:hAnsi="仿宋" w:eastAsia="仿宋"/>
              </w:rPr>
            </w:pPr>
            <w:r>
              <w:rPr>
                <w:rFonts w:ascii="仿宋" w:hAnsi="仿宋" w:eastAsia="仿宋"/>
              </w:rPr>
              <w:t>□车间或车间处理设施排放口</w:t>
            </w:r>
          </w:p>
        </w:tc>
      </w:tr>
    </w:tbl>
    <w:p>
      <w:pPr>
        <w:spacing w:line="500" w:lineRule="exact"/>
        <w:ind w:firstLine="482" w:firstLineChars="200"/>
        <w:jc w:val="center"/>
        <w:rPr>
          <w:rFonts w:eastAsia="仿宋_GB2312"/>
          <w:sz w:val="28"/>
          <w:szCs w:val="28"/>
        </w:rPr>
      </w:pPr>
      <w:r>
        <w:rPr>
          <w:rFonts w:eastAsia="仿宋_GB2312"/>
          <w:b/>
          <w:sz w:val="24"/>
        </w:rPr>
        <w:t xml:space="preserve">表5.2-17 本项目废水间接排放口基本情况表 </w:t>
      </w:r>
    </w:p>
    <w:tbl>
      <w:tblPr>
        <w:tblStyle w:val="87"/>
        <w:tblW w:w="13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1"/>
        <w:gridCol w:w="979"/>
        <w:gridCol w:w="1279"/>
        <w:gridCol w:w="1279"/>
        <w:gridCol w:w="1287"/>
        <w:gridCol w:w="1134"/>
        <w:gridCol w:w="1502"/>
        <w:gridCol w:w="908"/>
        <w:gridCol w:w="992"/>
        <w:gridCol w:w="1404"/>
        <w:gridCol w:w="127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dxa"/>
            <w:vMerge w:val="restart"/>
            <w:shd w:val="clear" w:color="auto" w:fill="auto"/>
            <w:vAlign w:val="center"/>
          </w:tcPr>
          <w:p>
            <w:pPr>
              <w:pStyle w:val="124"/>
              <w:spacing w:line="360" w:lineRule="exact"/>
              <w:rPr>
                <w:rFonts w:ascii="仿宋" w:hAnsi="仿宋" w:eastAsia="仿宋"/>
              </w:rPr>
            </w:pPr>
            <w:r>
              <w:rPr>
                <w:rFonts w:ascii="仿宋" w:hAnsi="仿宋" w:eastAsia="仿宋"/>
              </w:rPr>
              <w:t>序号</w:t>
            </w:r>
          </w:p>
        </w:tc>
        <w:tc>
          <w:tcPr>
            <w:tcW w:w="979" w:type="dxa"/>
            <w:vMerge w:val="restart"/>
            <w:shd w:val="clear" w:color="auto" w:fill="auto"/>
            <w:vAlign w:val="center"/>
          </w:tcPr>
          <w:p>
            <w:pPr>
              <w:pStyle w:val="124"/>
              <w:spacing w:line="360" w:lineRule="exact"/>
              <w:rPr>
                <w:rFonts w:ascii="仿宋" w:hAnsi="仿宋" w:eastAsia="仿宋"/>
              </w:rPr>
            </w:pPr>
            <w:r>
              <w:rPr>
                <w:rFonts w:ascii="仿宋" w:hAnsi="仿宋" w:eastAsia="仿宋"/>
              </w:rPr>
              <w:t>排放口编号</w:t>
            </w:r>
          </w:p>
        </w:tc>
        <w:tc>
          <w:tcPr>
            <w:tcW w:w="2558" w:type="dxa"/>
            <w:gridSpan w:val="2"/>
            <w:shd w:val="clear" w:color="auto" w:fill="auto"/>
            <w:vAlign w:val="center"/>
          </w:tcPr>
          <w:p>
            <w:pPr>
              <w:pStyle w:val="124"/>
              <w:spacing w:line="360" w:lineRule="exact"/>
              <w:rPr>
                <w:rFonts w:ascii="仿宋" w:hAnsi="仿宋" w:eastAsia="仿宋"/>
              </w:rPr>
            </w:pPr>
            <w:r>
              <w:rPr>
                <w:rFonts w:ascii="仿宋" w:hAnsi="仿宋" w:eastAsia="仿宋"/>
              </w:rPr>
              <w:t>排放口地理坐标</w:t>
            </w:r>
          </w:p>
        </w:tc>
        <w:tc>
          <w:tcPr>
            <w:tcW w:w="1287" w:type="dxa"/>
            <w:vMerge w:val="restart"/>
            <w:shd w:val="clear" w:color="auto" w:fill="auto"/>
            <w:vAlign w:val="center"/>
          </w:tcPr>
          <w:p>
            <w:pPr>
              <w:pStyle w:val="124"/>
              <w:spacing w:line="360" w:lineRule="exact"/>
              <w:rPr>
                <w:rFonts w:ascii="仿宋" w:hAnsi="仿宋" w:eastAsia="仿宋"/>
              </w:rPr>
            </w:pPr>
            <w:r>
              <w:rPr>
                <w:rFonts w:ascii="仿宋" w:hAnsi="仿宋" w:eastAsia="仿宋"/>
              </w:rPr>
              <w:t>废水排放量（万t/a）</w:t>
            </w:r>
          </w:p>
        </w:tc>
        <w:tc>
          <w:tcPr>
            <w:tcW w:w="1134" w:type="dxa"/>
            <w:vMerge w:val="restart"/>
            <w:shd w:val="clear" w:color="auto" w:fill="auto"/>
            <w:vAlign w:val="center"/>
          </w:tcPr>
          <w:p>
            <w:pPr>
              <w:pStyle w:val="124"/>
              <w:spacing w:line="360" w:lineRule="exact"/>
              <w:rPr>
                <w:rFonts w:ascii="仿宋" w:hAnsi="仿宋" w:eastAsia="仿宋"/>
              </w:rPr>
            </w:pPr>
            <w:r>
              <w:rPr>
                <w:rFonts w:ascii="仿宋" w:hAnsi="仿宋" w:eastAsia="仿宋"/>
              </w:rPr>
              <w:t>排放去向</w:t>
            </w:r>
          </w:p>
        </w:tc>
        <w:tc>
          <w:tcPr>
            <w:tcW w:w="1502" w:type="dxa"/>
            <w:vMerge w:val="restart"/>
            <w:shd w:val="clear" w:color="auto" w:fill="auto"/>
            <w:vAlign w:val="center"/>
          </w:tcPr>
          <w:p>
            <w:pPr>
              <w:pStyle w:val="124"/>
              <w:spacing w:line="360" w:lineRule="exact"/>
              <w:rPr>
                <w:rFonts w:ascii="仿宋" w:hAnsi="仿宋" w:eastAsia="仿宋"/>
              </w:rPr>
            </w:pPr>
            <w:r>
              <w:rPr>
                <w:rFonts w:ascii="仿宋" w:hAnsi="仿宋" w:eastAsia="仿宋"/>
              </w:rPr>
              <w:t>排放规律</w:t>
            </w:r>
          </w:p>
        </w:tc>
        <w:tc>
          <w:tcPr>
            <w:tcW w:w="908" w:type="dxa"/>
            <w:vMerge w:val="restart"/>
            <w:shd w:val="clear" w:color="auto" w:fill="auto"/>
            <w:vAlign w:val="center"/>
          </w:tcPr>
          <w:p>
            <w:pPr>
              <w:pStyle w:val="124"/>
              <w:spacing w:line="360" w:lineRule="exact"/>
              <w:rPr>
                <w:rFonts w:ascii="仿宋" w:hAnsi="仿宋" w:eastAsia="仿宋"/>
              </w:rPr>
            </w:pPr>
            <w:r>
              <w:rPr>
                <w:rFonts w:ascii="仿宋" w:hAnsi="仿宋" w:eastAsia="仿宋"/>
              </w:rPr>
              <w:t>间歇排放时段</w:t>
            </w:r>
          </w:p>
        </w:tc>
        <w:tc>
          <w:tcPr>
            <w:tcW w:w="4948" w:type="dxa"/>
            <w:gridSpan w:val="4"/>
            <w:shd w:val="clear" w:color="auto" w:fill="auto"/>
            <w:vAlign w:val="center"/>
          </w:tcPr>
          <w:p>
            <w:pPr>
              <w:pStyle w:val="124"/>
              <w:spacing w:line="360" w:lineRule="exact"/>
              <w:rPr>
                <w:rFonts w:ascii="仿宋" w:hAnsi="仿宋" w:eastAsia="仿宋"/>
              </w:rPr>
            </w:pPr>
            <w:r>
              <w:rPr>
                <w:rFonts w:ascii="仿宋" w:hAnsi="仿宋" w:eastAsia="仿宋"/>
              </w:rPr>
              <w:t>受纳污水厂信息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dxa"/>
            <w:vMerge w:val="continue"/>
            <w:shd w:val="clear" w:color="auto" w:fill="auto"/>
            <w:vAlign w:val="center"/>
          </w:tcPr>
          <w:p>
            <w:pPr>
              <w:pStyle w:val="124"/>
              <w:spacing w:line="360" w:lineRule="exact"/>
              <w:rPr>
                <w:rFonts w:ascii="仿宋" w:hAnsi="仿宋" w:eastAsia="仿宋"/>
              </w:rPr>
            </w:pPr>
          </w:p>
        </w:tc>
        <w:tc>
          <w:tcPr>
            <w:tcW w:w="979" w:type="dxa"/>
            <w:vMerge w:val="continue"/>
            <w:shd w:val="clear" w:color="auto" w:fill="auto"/>
            <w:vAlign w:val="center"/>
          </w:tcPr>
          <w:p>
            <w:pPr>
              <w:pStyle w:val="124"/>
              <w:spacing w:line="360" w:lineRule="exact"/>
              <w:rPr>
                <w:rFonts w:ascii="仿宋" w:hAnsi="仿宋" w:eastAsia="仿宋"/>
              </w:rPr>
            </w:pPr>
          </w:p>
        </w:tc>
        <w:tc>
          <w:tcPr>
            <w:tcW w:w="1279" w:type="dxa"/>
            <w:shd w:val="clear" w:color="auto" w:fill="auto"/>
            <w:vAlign w:val="center"/>
          </w:tcPr>
          <w:p>
            <w:pPr>
              <w:pStyle w:val="124"/>
              <w:spacing w:line="360" w:lineRule="exact"/>
              <w:rPr>
                <w:rFonts w:ascii="仿宋" w:hAnsi="仿宋" w:eastAsia="仿宋"/>
              </w:rPr>
            </w:pPr>
            <w:r>
              <w:rPr>
                <w:rFonts w:ascii="仿宋" w:hAnsi="仿宋" w:eastAsia="仿宋"/>
              </w:rPr>
              <w:t>经度</w:t>
            </w:r>
          </w:p>
        </w:tc>
        <w:tc>
          <w:tcPr>
            <w:tcW w:w="1279" w:type="dxa"/>
            <w:shd w:val="clear" w:color="auto" w:fill="auto"/>
            <w:vAlign w:val="center"/>
          </w:tcPr>
          <w:p>
            <w:pPr>
              <w:pStyle w:val="124"/>
              <w:spacing w:line="360" w:lineRule="exact"/>
              <w:rPr>
                <w:rFonts w:ascii="仿宋" w:hAnsi="仿宋" w:eastAsia="仿宋"/>
              </w:rPr>
            </w:pPr>
            <w:r>
              <w:rPr>
                <w:rFonts w:ascii="仿宋" w:hAnsi="仿宋" w:eastAsia="仿宋"/>
              </w:rPr>
              <w:t>纬度</w:t>
            </w:r>
          </w:p>
        </w:tc>
        <w:tc>
          <w:tcPr>
            <w:tcW w:w="1287" w:type="dxa"/>
            <w:vMerge w:val="continue"/>
            <w:shd w:val="clear" w:color="auto" w:fill="auto"/>
            <w:vAlign w:val="center"/>
          </w:tcPr>
          <w:p>
            <w:pPr>
              <w:pStyle w:val="124"/>
              <w:spacing w:line="360" w:lineRule="exact"/>
              <w:rPr>
                <w:rFonts w:ascii="仿宋" w:hAnsi="仿宋" w:eastAsia="仿宋"/>
              </w:rPr>
            </w:pPr>
          </w:p>
        </w:tc>
        <w:tc>
          <w:tcPr>
            <w:tcW w:w="1134" w:type="dxa"/>
            <w:vMerge w:val="continue"/>
            <w:shd w:val="clear" w:color="auto" w:fill="auto"/>
            <w:vAlign w:val="center"/>
          </w:tcPr>
          <w:p>
            <w:pPr>
              <w:pStyle w:val="124"/>
              <w:spacing w:line="360" w:lineRule="exact"/>
              <w:rPr>
                <w:rFonts w:ascii="仿宋" w:hAnsi="仿宋" w:eastAsia="仿宋"/>
              </w:rPr>
            </w:pPr>
          </w:p>
        </w:tc>
        <w:tc>
          <w:tcPr>
            <w:tcW w:w="1502" w:type="dxa"/>
            <w:vMerge w:val="continue"/>
            <w:shd w:val="clear" w:color="auto" w:fill="auto"/>
            <w:vAlign w:val="center"/>
          </w:tcPr>
          <w:p>
            <w:pPr>
              <w:pStyle w:val="124"/>
              <w:spacing w:line="360" w:lineRule="exact"/>
              <w:rPr>
                <w:rFonts w:ascii="仿宋" w:hAnsi="仿宋" w:eastAsia="仿宋"/>
              </w:rPr>
            </w:pPr>
          </w:p>
        </w:tc>
        <w:tc>
          <w:tcPr>
            <w:tcW w:w="908" w:type="dxa"/>
            <w:vMerge w:val="continue"/>
            <w:shd w:val="clear" w:color="auto" w:fill="auto"/>
            <w:vAlign w:val="center"/>
          </w:tcPr>
          <w:p>
            <w:pPr>
              <w:pStyle w:val="124"/>
              <w:spacing w:line="360" w:lineRule="exact"/>
              <w:rPr>
                <w:rFonts w:ascii="仿宋" w:hAnsi="仿宋" w:eastAsia="仿宋"/>
              </w:rPr>
            </w:pPr>
          </w:p>
        </w:tc>
        <w:tc>
          <w:tcPr>
            <w:tcW w:w="992" w:type="dxa"/>
            <w:shd w:val="clear" w:color="auto" w:fill="auto"/>
            <w:vAlign w:val="center"/>
          </w:tcPr>
          <w:p>
            <w:pPr>
              <w:pStyle w:val="124"/>
              <w:spacing w:line="360" w:lineRule="exact"/>
              <w:rPr>
                <w:rFonts w:ascii="仿宋" w:hAnsi="仿宋" w:eastAsia="仿宋"/>
              </w:rPr>
            </w:pPr>
            <w:r>
              <w:rPr>
                <w:rFonts w:ascii="仿宋" w:hAnsi="仿宋" w:eastAsia="仿宋"/>
              </w:rPr>
              <w:t>名称</w:t>
            </w:r>
          </w:p>
        </w:tc>
        <w:tc>
          <w:tcPr>
            <w:tcW w:w="1404" w:type="dxa"/>
            <w:shd w:val="clear" w:color="auto" w:fill="auto"/>
            <w:vAlign w:val="center"/>
          </w:tcPr>
          <w:p>
            <w:pPr>
              <w:pStyle w:val="124"/>
              <w:spacing w:line="360" w:lineRule="exact"/>
              <w:rPr>
                <w:rFonts w:ascii="仿宋" w:hAnsi="仿宋" w:eastAsia="仿宋"/>
              </w:rPr>
            </w:pPr>
            <w:r>
              <w:rPr>
                <w:rFonts w:ascii="仿宋" w:hAnsi="仿宋" w:eastAsia="仿宋"/>
              </w:rPr>
              <w:t>污染物种类</w:t>
            </w:r>
          </w:p>
        </w:tc>
        <w:tc>
          <w:tcPr>
            <w:tcW w:w="2552" w:type="dxa"/>
            <w:gridSpan w:val="2"/>
            <w:shd w:val="clear" w:color="auto" w:fill="auto"/>
            <w:vAlign w:val="center"/>
          </w:tcPr>
          <w:p>
            <w:pPr>
              <w:pStyle w:val="124"/>
              <w:spacing w:line="360" w:lineRule="exact"/>
              <w:rPr>
                <w:rFonts w:ascii="仿宋" w:hAnsi="仿宋" w:eastAsia="仿宋"/>
              </w:rPr>
            </w:pPr>
            <w:r>
              <w:rPr>
                <w:rFonts w:ascii="仿宋" w:hAnsi="仿宋" w:eastAsia="仿宋"/>
              </w:rPr>
              <w:t>国家或地方污染物排放标准标准浓度限值（mg/L）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471" w:type="dxa"/>
            <w:shd w:val="clear" w:color="auto" w:fill="auto"/>
            <w:vAlign w:val="center"/>
          </w:tcPr>
          <w:p>
            <w:pPr>
              <w:pStyle w:val="124"/>
              <w:spacing w:line="360" w:lineRule="exact"/>
              <w:rPr>
                <w:rFonts w:ascii="仿宋" w:hAnsi="仿宋" w:eastAsia="仿宋"/>
              </w:rPr>
            </w:pPr>
            <w:r>
              <w:rPr>
                <w:rFonts w:ascii="仿宋" w:hAnsi="仿宋" w:eastAsia="仿宋"/>
              </w:rPr>
              <w:t>1</w:t>
            </w:r>
          </w:p>
        </w:tc>
        <w:tc>
          <w:tcPr>
            <w:tcW w:w="979" w:type="dxa"/>
            <w:vMerge w:val="restart"/>
            <w:shd w:val="clear" w:color="auto" w:fill="auto"/>
            <w:vAlign w:val="center"/>
          </w:tcPr>
          <w:p>
            <w:pPr>
              <w:pStyle w:val="124"/>
              <w:spacing w:line="360" w:lineRule="exact"/>
              <w:rPr>
                <w:rFonts w:ascii="仿宋" w:hAnsi="仿宋" w:eastAsia="仿宋"/>
              </w:rPr>
            </w:pPr>
            <w:r>
              <w:rPr>
                <w:rFonts w:ascii="仿宋" w:hAnsi="仿宋" w:eastAsia="仿宋"/>
              </w:rPr>
              <w:t>DW01</w:t>
            </w:r>
          </w:p>
        </w:tc>
        <w:tc>
          <w:tcPr>
            <w:tcW w:w="1279" w:type="dxa"/>
            <w:vMerge w:val="restart"/>
            <w:shd w:val="clear" w:color="auto" w:fill="auto"/>
            <w:vAlign w:val="center"/>
          </w:tcPr>
          <w:p>
            <w:pPr>
              <w:pStyle w:val="124"/>
              <w:spacing w:line="360" w:lineRule="exact"/>
              <w:rPr>
                <w:rFonts w:ascii="仿宋" w:hAnsi="仿宋" w:eastAsia="仿宋"/>
              </w:rPr>
            </w:pPr>
            <w:r>
              <w:rPr>
                <w:rFonts w:hint="eastAsia" w:ascii="仿宋" w:hAnsi="仿宋" w:eastAsia="仿宋"/>
              </w:rPr>
              <w:t>119.81872</w:t>
            </w:r>
          </w:p>
        </w:tc>
        <w:tc>
          <w:tcPr>
            <w:tcW w:w="1279" w:type="dxa"/>
            <w:vMerge w:val="restart"/>
            <w:shd w:val="clear" w:color="auto" w:fill="auto"/>
            <w:vAlign w:val="center"/>
          </w:tcPr>
          <w:p>
            <w:pPr>
              <w:pStyle w:val="124"/>
              <w:spacing w:line="360" w:lineRule="exact"/>
              <w:rPr>
                <w:rFonts w:ascii="仿宋" w:hAnsi="仿宋" w:eastAsia="仿宋"/>
              </w:rPr>
            </w:pPr>
            <w:r>
              <w:rPr>
                <w:rFonts w:hint="eastAsia" w:ascii="仿宋" w:hAnsi="仿宋" w:eastAsia="仿宋"/>
              </w:rPr>
              <w:t>31.79267</w:t>
            </w:r>
          </w:p>
        </w:tc>
        <w:tc>
          <w:tcPr>
            <w:tcW w:w="1287" w:type="dxa"/>
            <w:vMerge w:val="restart"/>
            <w:shd w:val="clear" w:color="auto" w:fill="auto"/>
            <w:vAlign w:val="center"/>
          </w:tcPr>
          <w:p>
            <w:pPr>
              <w:pStyle w:val="124"/>
              <w:spacing w:line="360" w:lineRule="exact"/>
              <w:rPr>
                <w:rFonts w:ascii="仿宋" w:hAnsi="仿宋" w:eastAsia="仿宋"/>
              </w:rPr>
            </w:pPr>
            <w:r>
              <w:rPr>
                <w:rFonts w:ascii="仿宋" w:hAnsi="仿宋" w:eastAsia="仿宋"/>
              </w:rPr>
              <w:t>0.108</w:t>
            </w:r>
          </w:p>
        </w:tc>
        <w:tc>
          <w:tcPr>
            <w:tcW w:w="1134" w:type="dxa"/>
            <w:vMerge w:val="restart"/>
            <w:shd w:val="clear" w:color="auto" w:fill="auto"/>
            <w:vAlign w:val="center"/>
          </w:tcPr>
          <w:p>
            <w:pPr>
              <w:pStyle w:val="124"/>
              <w:spacing w:line="360" w:lineRule="exact"/>
              <w:rPr>
                <w:rFonts w:ascii="仿宋" w:hAnsi="仿宋" w:eastAsia="仿宋"/>
              </w:rPr>
            </w:pPr>
            <w:r>
              <w:rPr>
                <w:rFonts w:ascii="仿宋" w:hAnsi="仿宋" w:eastAsia="仿宋"/>
              </w:rPr>
              <w:t>城市污水处理厂</w:t>
            </w:r>
          </w:p>
        </w:tc>
        <w:tc>
          <w:tcPr>
            <w:tcW w:w="1502" w:type="dxa"/>
            <w:vMerge w:val="restart"/>
            <w:shd w:val="clear" w:color="auto" w:fill="auto"/>
            <w:vAlign w:val="center"/>
          </w:tcPr>
          <w:p>
            <w:pPr>
              <w:pStyle w:val="124"/>
              <w:spacing w:line="360" w:lineRule="exact"/>
              <w:rPr>
                <w:rFonts w:ascii="仿宋" w:hAnsi="仿宋" w:eastAsia="仿宋"/>
              </w:rPr>
            </w:pPr>
            <w:r>
              <w:rPr>
                <w:rFonts w:ascii="仿宋" w:hAnsi="仿宋" w:eastAsia="仿宋"/>
              </w:rPr>
              <w:t>一年300天，每天8小时</w:t>
            </w:r>
          </w:p>
        </w:tc>
        <w:tc>
          <w:tcPr>
            <w:tcW w:w="908" w:type="dxa"/>
            <w:vMerge w:val="restart"/>
            <w:shd w:val="clear" w:color="auto" w:fill="auto"/>
            <w:vAlign w:val="center"/>
          </w:tcPr>
          <w:p>
            <w:pPr>
              <w:pStyle w:val="124"/>
              <w:spacing w:line="360" w:lineRule="exact"/>
              <w:rPr>
                <w:rFonts w:ascii="仿宋" w:hAnsi="仿宋" w:eastAsia="仿宋"/>
              </w:rPr>
            </w:pPr>
            <w:r>
              <w:rPr>
                <w:rFonts w:ascii="仿宋" w:hAnsi="仿宋" w:eastAsia="仿宋"/>
              </w:rPr>
              <w:t>/</w:t>
            </w:r>
          </w:p>
        </w:tc>
        <w:tc>
          <w:tcPr>
            <w:tcW w:w="992" w:type="dxa"/>
            <w:vMerge w:val="restart"/>
            <w:shd w:val="clear" w:color="auto" w:fill="auto"/>
            <w:vAlign w:val="center"/>
          </w:tcPr>
          <w:p>
            <w:pPr>
              <w:pStyle w:val="124"/>
              <w:spacing w:line="360" w:lineRule="exact"/>
              <w:rPr>
                <w:rFonts w:ascii="仿宋" w:hAnsi="仿宋" w:eastAsia="仿宋"/>
              </w:rPr>
            </w:pPr>
            <w:r>
              <w:rPr>
                <w:rFonts w:hint="eastAsia" w:ascii="仿宋" w:hAnsi="仿宋" w:eastAsia="仿宋"/>
              </w:rPr>
              <w:t>金坛第二污水处理厂</w:t>
            </w:r>
          </w:p>
        </w:tc>
        <w:tc>
          <w:tcPr>
            <w:tcW w:w="1404" w:type="dxa"/>
            <w:vMerge w:val="restart"/>
            <w:shd w:val="clear" w:color="auto" w:fill="auto"/>
            <w:vAlign w:val="center"/>
          </w:tcPr>
          <w:p>
            <w:pPr>
              <w:pStyle w:val="124"/>
              <w:spacing w:line="360" w:lineRule="exact"/>
              <w:rPr>
                <w:rFonts w:ascii="仿宋" w:hAnsi="仿宋" w:eastAsia="仿宋"/>
              </w:rPr>
            </w:pPr>
            <w:r>
              <w:rPr>
                <w:rFonts w:ascii="仿宋" w:hAnsi="仿宋" w:eastAsia="仿宋"/>
              </w:rPr>
              <w:t>COD、SS、NH</w:t>
            </w:r>
            <w:r>
              <w:rPr>
                <w:rFonts w:ascii="仿宋" w:hAnsi="仿宋" w:eastAsia="仿宋"/>
                <w:vertAlign w:val="subscript"/>
              </w:rPr>
              <w:t>3</w:t>
            </w:r>
            <w:r>
              <w:rPr>
                <w:rFonts w:ascii="仿宋" w:hAnsi="仿宋" w:eastAsia="仿宋"/>
              </w:rPr>
              <w:t>-N、TP、</w:t>
            </w:r>
            <w:r>
              <w:rPr>
                <w:rFonts w:hint="eastAsia" w:ascii="仿宋" w:hAnsi="仿宋" w:eastAsia="仿宋"/>
              </w:rPr>
              <w:t>TN</w:t>
            </w:r>
          </w:p>
        </w:tc>
        <w:tc>
          <w:tcPr>
            <w:tcW w:w="1276" w:type="dxa"/>
            <w:shd w:val="clear" w:color="auto" w:fill="auto"/>
            <w:vAlign w:val="center"/>
          </w:tcPr>
          <w:p>
            <w:pPr>
              <w:pStyle w:val="124"/>
              <w:spacing w:line="360" w:lineRule="exact"/>
              <w:rPr>
                <w:rFonts w:ascii="仿宋" w:hAnsi="仿宋" w:eastAsia="仿宋"/>
              </w:rPr>
            </w:pPr>
            <w:r>
              <w:rPr>
                <w:rFonts w:ascii="仿宋" w:hAnsi="仿宋" w:eastAsia="仿宋"/>
              </w:rPr>
              <w:t>COD</w:t>
            </w:r>
          </w:p>
        </w:tc>
        <w:tc>
          <w:tcPr>
            <w:tcW w:w="1276" w:type="dxa"/>
            <w:shd w:val="clear" w:color="auto" w:fill="auto"/>
            <w:vAlign w:val="center"/>
          </w:tcPr>
          <w:p>
            <w:pPr>
              <w:pStyle w:val="124"/>
              <w:spacing w:line="360" w:lineRule="exact"/>
              <w:rPr>
                <w:rFonts w:ascii="仿宋" w:hAnsi="仿宋" w:eastAsia="仿宋"/>
              </w:rPr>
            </w:pPr>
            <w:r>
              <w:rPr>
                <w:rFonts w:ascii="仿宋" w:hAnsi="仿宋" w:eastAsia="仿宋"/>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dxa"/>
            <w:shd w:val="clear" w:color="auto" w:fill="auto"/>
            <w:vAlign w:val="center"/>
          </w:tcPr>
          <w:p>
            <w:pPr>
              <w:pStyle w:val="124"/>
              <w:spacing w:line="360" w:lineRule="exact"/>
              <w:rPr>
                <w:rFonts w:ascii="仿宋" w:hAnsi="仿宋" w:eastAsia="仿宋"/>
              </w:rPr>
            </w:pPr>
            <w:r>
              <w:rPr>
                <w:rFonts w:ascii="仿宋" w:hAnsi="仿宋" w:eastAsia="仿宋"/>
              </w:rPr>
              <w:t>2</w:t>
            </w:r>
          </w:p>
        </w:tc>
        <w:tc>
          <w:tcPr>
            <w:tcW w:w="979" w:type="dxa"/>
            <w:vMerge w:val="continue"/>
            <w:shd w:val="clear" w:color="auto" w:fill="auto"/>
            <w:vAlign w:val="center"/>
          </w:tcPr>
          <w:p>
            <w:pPr>
              <w:pStyle w:val="124"/>
              <w:spacing w:line="360" w:lineRule="exact"/>
              <w:rPr>
                <w:rFonts w:ascii="仿宋" w:hAnsi="仿宋" w:eastAsia="仿宋"/>
              </w:rPr>
            </w:pPr>
          </w:p>
        </w:tc>
        <w:tc>
          <w:tcPr>
            <w:tcW w:w="1279" w:type="dxa"/>
            <w:vMerge w:val="continue"/>
            <w:shd w:val="clear" w:color="auto" w:fill="auto"/>
            <w:vAlign w:val="center"/>
          </w:tcPr>
          <w:p>
            <w:pPr>
              <w:pStyle w:val="124"/>
              <w:spacing w:line="360" w:lineRule="exact"/>
              <w:rPr>
                <w:rFonts w:ascii="仿宋" w:hAnsi="仿宋" w:eastAsia="仿宋"/>
              </w:rPr>
            </w:pPr>
          </w:p>
        </w:tc>
        <w:tc>
          <w:tcPr>
            <w:tcW w:w="1279" w:type="dxa"/>
            <w:vMerge w:val="continue"/>
            <w:shd w:val="clear" w:color="auto" w:fill="auto"/>
            <w:vAlign w:val="center"/>
          </w:tcPr>
          <w:p>
            <w:pPr>
              <w:pStyle w:val="124"/>
              <w:spacing w:line="360" w:lineRule="exact"/>
              <w:rPr>
                <w:rFonts w:ascii="仿宋" w:hAnsi="仿宋" w:eastAsia="仿宋"/>
              </w:rPr>
            </w:pPr>
          </w:p>
        </w:tc>
        <w:tc>
          <w:tcPr>
            <w:tcW w:w="1287" w:type="dxa"/>
            <w:vMerge w:val="continue"/>
            <w:shd w:val="clear" w:color="auto" w:fill="auto"/>
            <w:vAlign w:val="center"/>
          </w:tcPr>
          <w:p>
            <w:pPr>
              <w:pStyle w:val="124"/>
              <w:spacing w:line="360" w:lineRule="exact"/>
              <w:rPr>
                <w:rFonts w:ascii="仿宋" w:hAnsi="仿宋" w:eastAsia="仿宋"/>
              </w:rPr>
            </w:pPr>
          </w:p>
        </w:tc>
        <w:tc>
          <w:tcPr>
            <w:tcW w:w="1134" w:type="dxa"/>
            <w:vMerge w:val="continue"/>
            <w:shd w:val="clear" w:color="auto" w:fill="auto"/>
            <w:vAlign w:val="center"/>
          </w:tcPr>
          <w:p>
            <w:pPr>
              <w:pStyle w:val="124"/>
              <w:spacing w:line="360" w:lineRule="exact"/>
              <w:rPr>
                <w:rFonts w:ascii="仿宋" w:hAnsi="仿宋" w:eastAsia="仿宋"/>
              </w:rPr>
            </w:pPr>
          </w:p>
        </w:tc>
        <w:tc>
          <w:tcPr>
            <w:tcW w:w="1502" w:type="dxa"/>
            <w:vMerge w:val="continue"/>
            <w:shd w:val="clear" w:color="auto" w:fill="auto"/>
            <w:vAlign w:val="center"/>
          </w:tcPr>
          <w:p>
            <w:pPr>
              <w:pStyle w:val="124"/>
              <w:spacing w:line="360" w:lineRule="exact"/>
              <w:rPr>
                <w:rFonts w:ascii="仿宋" w:hAnsi="仿宋" w:eastAsia="仿宋"/>
              </w:rPr>
            </w:pPr>
          </w:p>
        </w:tc>
        <w:tc>
          <w:tcPr>
            <w:tcW w:w="908" w:type="dxa"/>
            <w:vMerge w:val="continue"/>
            <w:shd w:val="clear" w:color="auto" w:fill="auto"/>
            <w:vAlign w:val="center"/>
          </w:tcPr>
          <w:p>
            <w:pPr>
              <w:pStyle w:val="124"/>
              <w:spacing w:line="360" w:lineRule="exact"/>
              <w:rPr>
                <w:rFonts w:ascii="仿宋" w:hAnsi="仿宋" w:eastAsia="仿宋"/>
              </w:rPr>
            </w:pPr>
          </w:p>
        </w:tc>
        <w:tc>
          <w:tcPr>
            <w:tcW w:w="992" w:type="dxa"/>
            <w:vMerge w:val="continue"/>
            <w:shd w:val="clear" w:color="auto" w:fill="auto"/>
            <w:vAlign w:val="center"/>
          </w:tcPr>
          <w:p>
            <w:pPr>
              <w:pStyle w:val="124"/>
              <w:spacing w:line="360" w:lineRule="exact"/>
              <w:rPr>
                <w:rFonts w:ascii="仿宋" w:hAnsi="仿宋" w:eastAsia="仿宋"/>
              </w:rPr>
            </w:pPr>
          </w:p>
        </w:tc>
        <w:tc>
          <w:tcPr>
            <w:tcW w:w="1404" w:type="dxa"/>
            <w:vMerge w:val="continue"/>
            <w:shd w:val="clear" w:color="auto" w:fill="auto"/>
            <w:vAlign w:val="center"/>
          </w:tcPr>
          <w:p>
            <w:pPr>
              <w:pStyle w:val="124"/>
              <w:spacing w:line="360" w:lineRule="exact"/>
              <w:rPr>
                <w:rFonts w:ascii="仿宋" w:hAnsi="仿宋" w:eastAsia="仿宋"/>
              </w:rPr>
            </w:pPr>
          </w:p>
        </w:tc>
        <w:tc>
          <w:tcPr>
            <w:tcW w:w="1276" w:type="dxa"/>
            <w:shd w:val="clear" w:color="auto" w:fill="auto"/>
            <w:vAlign w:val="center"/>
          </w:tcPr>
          <w:p>
            <w:pPr>
              <w:pStyle w:val="124"/>
              <w:spacing w:line="360" w:lineRule="exact"/>
              <w:rPr>
                <w:rFonts w:ascii="仿宋" w:hAnsi="仿宋" w:eastAsia="仿宋"/>
              </w:rPr>
            </w:pPr>
            <w:r>
              <w:rPr>
                <w:rFonts w:ascii="仿宋" w:hAnsi="仿宋" w:eastAsia="仿宋"/>
              </w:rPr>
              <w:t>SS</w:t>
            </w:r>
          </w:p>
        </w:tc>
        <w:tc>
          <w:tcPr>
            <w:tcW w:w="1276" w:type="dxa"/>
            <w:shd w:val="clear" w:color="auto" w:fill="auto"/>
            <w:vAlign w:val="center"/>
          </w:tcPr>
          <w:p>
            <w:pPr>
              <w:pStyle w:val="124"/>
              <w:spacing w:line="360" w:lineRule="exact"/>
              <w:rPr>
                <w:rFonts w:ascii="仿宋" w:hAnsi="仿宋" w:eastAsia="仿宋"/>
              </w:rPr>
            </w:pPr>
            <w:r>
              <w:rPr>
                <w:rFonts w:ascii="仿宋" w:hAnsi="仿宋" w:eastAsia="仿宋"/>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dxa"/>
            <w:shd w:val="clear" w:color="auto" w:fill="auto"/>
            <w:vAlign w:val="center"/>
          </w:tcPr>
          <w:p>
            <w:pPr>
              <w:pStyle w:val="124"/>
              <w:spacing w:line="360" w:lineRule="exact"/>
              <w:rPr>
                <w:rFonts w:ascii="仿宋" w:hAnsi="仿宋" w:eastAsia="仿宋"/>
              </w:rPr>
            </w:pPr>
            <w:r>
              <w:rPr>
                <w:rFonts w:ascii="仿宋" w:hAnsi="仿宋" w:eastAsia="仿宋"/>
              </w:rPr>
              <w:t>3</w:t>
            </w:r>
          </w:p>
        </w:tc>
        <w:tc>
          <w:tcPr>
            <w:tcW w:w="979" w:type="dxa"/>
            <w:vMerge w:val="continue"/>
            <w:shd w:val="clear" w:color="auto" w:fill="auto"/>
            <w:vAlign w:val="center"/>
          </w:tcPr>
          <w:p>
            <w:pPr>
              <w:pStyle w:val="124"/>
              <w:spacing w:line="360" w:lineRule="exact"/>
              <w:rPr>
                <w:rFonts w:ascii="仿宋" w:hAnsi="仿宋" w:eastAsia="仿宋"/>
              </w:rPr>
            </w:pPr>
          </w:p>
        </w:tc>
        <w:tc>
          <w:tcPr>
            <w:tcW w:w="1279" w:type="dxa"/>
            <w:vMerge w:val="continue"/>
            <w:shd w:val="clear" w:color="auto" w:fill="auto"/>
            <w:vAlign w:val="center"/>
          </w:tcPr>
          <w:p>
            <w:pPr>
              <w:pStyle w:val="124"/>
              <w:spacing w:line="360" w:lineRule="exact"/>
              <w:rPr>
                <w:rFonts w:ascii="仿宋" w:hAnsi="仿宋" w:eastAsia="仿宋"/>
              </w:rPr>
            </w:pPr>
          </w:p>
        </w:tc>
        <w:tc>
          <w:tcPr>
            <w:tcW w:w="1279" w:type="dxa"/>
            <w:vMerge w:val="continue"/>
            <w:shd w:val="clear" w:color="auto" w:fill="auto"/>
            <w:vAlign w:val="center"/>
          </w:tcPr>
          <w:p>
            <w:pPr>
              <w:pStyle w:val="124"/>
              <w:spacing w:line="360" w:lineRule="exact"/>
              <w:rPr>
                <w:rFonts w:ascii="仿宋" w:hAnsi="仿宋" w:eastAsia="仿宋"/>
              </w:rPr>
            </w:pPr>
          </w:p>
        </w:tc>
        <w:tc>
          <w:tcPr>
            <w:tcW w:w="1287" w:type="dxa"/>
            <w:vMerge w:val="continue"/>
            <w:shd w:val="clear" w:color="auto" w:fill="auto"/>
            <w:vAlign w:val="center"/>
          </w:tcPr>
          <w:p>
            <w:pPr>
              <w:pStyle w:val="124"/>
              <w:spacing w:line="360" w:lineRule="exact"/>
              <w:rPr>
                <w:rFonts w:ascii="仿宋" w:hAnsi="仿宋" w:eastAsia="仿宋"/>
              </w:rPr>
            </w:pPr>
          </w:p>
        </w:tc>
        <w:tc>
          <w:tcPr>
            <w:tcW w:w="1134" w:type="dxa"/>
            <w:vMerge w:val="continue"/>
            <w:shd w:val="clear" w:color="auto" w:fill="auto"/>
            <w:vAlign w:val="center"/>
          </w:tcPr>
          <w:p>
            <w:pPr>
              <w:pStyle w:val="124"/>
              <w:spacing w:line="360" w:lineRule="exact"/>
              <w:rPr>
                <w:rFonts w:ascii="仿宋" w:hAnsi="仿宋" w:eastAsia="仿宋"/>
              </w:rPr>
            </w:pPr>
          </w:p>
        </w:tc>
        <w:tc>
          <w:tcPr>
            <w:tcW w:w="1502" w:type="dxa"/>
            <w:vMerge w:val="continue"/>
            <w:shd w:val="clear" w:color="auto" w:fill="auto"/>
            <w:vAlign w:val="center"/>
          </w:tcPr>
          <w:p>
            <w:pPr>
              <w:pStyle w:val="124"/>
              <w:spacing w:line="360" w:lineRule="exact"/>
              <w:rPr>
                <w:rFonts w:ascii="仿宋" w:hAnsi="仿宋" w:eastAsia="仿宋"/>
              </w:rPr>
            </w:pPr>
          </w:p>
        </w:tc>
        <w:tc>
          <w:tcPr>
            <w:tcW w:w="908" w:type="dxa"/>
            <w:vMerge w:val="continue"/>
            <w:shd w:val="clear" w:color="auto" w:fill="auto"/>
            <w:vAlign w:val="center"/>
          </w:tcPr>
          <w:p>
            <w:pPr>
              <w:pStyle w:val="124"/>
              <w:spacing w:line="360" w:lineRule="exact"/>
              <w:rPr>
                <w:rFonts w:ascii="仿宋" w:hAnsi="仿宋" w:eastAsia="仿宋"/>
              </w:rPr>
            </w:pPr>
          </w:p>
        </w:tc>
        <w:tc>
          <w:tcPr>
            <w:tcW w:w="992" w:type="dxa"/>
            <w:vMerge w:val="continue"/>
            <w:shd w:val="clear" w:color="auto" w:fill="auto"/>
            <w:vAlign w:val="center"/>
          </w:tcPr>
          <w:p>
            <w:pPr>
              <w:pStyle w:val="124"/>
              <w:spacing w:line="360" w:lineRule="exact"/>
              <w:rPr>
                <w:rFonts w:ascii="仿宋" w:hAnsi="仿宋" w:eastAsia="仿宋"/>
              </w:rPr>
            </w:pPr>
          </w:p>
        </w:tc>
        <w:tc>
          <w:tcPr>
            <w:tcW w:w="1404" w:type="dxa"/>
            <w:vMerge w:val="continue"/>
            <w:shd w:val="clear" w:color="auto" w:fill="auto"/>
            <w:vAlign w:val="center"/>
          </w:tcPr>
          <w:p>
            <w:pPr>
              <w:pStyle w:val="124"/>
              <w:spacing w:line="360" w:lineRule="exact"/>
              <w:rPr>
                <w:rFonts w:ascii="仿宋" w:hAnsi="仿宋" w:eastAsia="仿宋"/>
              </w:rPr>
            </w:pPr>
          </w:p>
        </w:tc>
        <w:tc>
          <w:tcPr>
            <w:tcW w:w="1276" w:type="dxa"/>
            <w:shd w:val="clear" w:color="auto" w:fill="auto"/>
            <w:vAlign w:val="center"/>
          </w:tcPr>
          <w:p>
            <w:pPr>
              <w:pStyle w:val="124"/>
              <w:spacing w:line="360" w:lineRule="exact"/>
              <w:rPr>
                <w:rFonts w:ascii="仿宋" w:hAnsi="仿宋" w:eastAsia="仿宋"/>
              </w:rPr>
            </w:pPr>
            <w:r>
              <w:rPr>
                <w:rFonts w:ascii="仿宋" w:hAnsi="仿宋" w:eastAsia="仿宋"/>
              </w:rPr>
              <w:t>NH</w:t>
            </w:r>
            <w:r>
              <w:rPr>
                <w:rFonts w:ascii="仿宋" w:hAnsi="仿宋" w:eastAsia="仿宋"/>
                <w:vertAlign w:val="subscript"/>
              </w:rPr>
              <w:t>3</w:t>
            </w:r>
            <w:r>
              <w:rPr>
                <w:rFonts w:ascii="仿宋" w:hAnsi="仿宋" w:eastAsia="仿宋"/>
              </w:rPr>
              <w:t>-N</w:t>
            </w:r>
          </w:p>
        </w:tc>
        <w:tc>
          <w:tcPr>
            <w:tcW w:w="1276" w:type="dxa"/>
            <w:shd w:val="clear" w:color="auto" w:fill="auto"/>
            <w:vAlign w:val="center"/>
          </w:tcPr>
          <w:p>
            <w:pPr>
              <w:pStyle w:val="124"/>
              <w:spacing w:line="360" w:lineRule="exact"/>
              <w:rPr>
                <w:rFonts w:ascii="仿宋" w:hAnsi="仿宋" w:eastAsia="仿宋"/>
              </w:rPr>
            </w:pPr>
            <w:r>
              <w:rPr>
                <w:rFonts w:ascii="仿宋" w:hAnsi="仿宋" w:eastAsia="仿宋"/>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dxa"/>
            <w:shd w:val="clear" w:color="auto" w:fill="auto"/>
            <w:vAlign w:val="center"/>
          </w:tcPr>
          <w:p>
            <w:pPr>
              <w:pStyle w:val="124"/>
              <w:spacing w:line="360" w:lineRule="exact"/>
              <w:rPr>
                <w:rFonts w:ascii="仿宋" w:hAnsi="仿宋" w:eastAsia="仿宋"/>
              </w:rPr>
            </w:pPr>
            <w:r>
              <w:rPr>
                <w:rFonts w:ascii="仿宋" w:hAnsi="仿宋" w:eastAsia="仿宋"/>
              </w:rPr>
              <w:t>4</w:t>
            </w:r>
          </w:p>
        </w:tc>
        <w:tc>
          <w:tcPr>
            <w:tcW w:w="979" w:type="dxa"/>
            <w:vMerge w:val="continue"/>
            <w:shd w:val="clear" w:color="auto" w:fill="auto"/>
            <w:vAlign w:val="center"/>
          </w:tcPr>
          <w:p>
            <w:pPr>
              <w:pStyle w:val="124"/>
              <w:spacing w:line="360" w:lineRule="exact"/>
              <w:rPr>
                <w:rFonts w:ascii="仿宋" w:hAnsi="仿宋" w:eastAsia="仿宋"/>
              </w:rPr>
            </w:pPr>
          </w:p>
        </w:tc>
        <w:tc>
          <w:tcPr>
            <w:tcW w:w="1279" w:type="dxa"/>
            <w:vMerge w:val="continue"/>
            <w:shd w:val="clear" w:color="auto" w:fill="auto"/>
            <w:vAlign w:val="center"/>
          </w:tcPr>
          <w:p>
            <w:pPr>
              <w:pStyle w:val="124"/>
              <w:spacing w:line="360" w:lineRule="exact"/>
              <w:rPr>
                <w:rFonts w:ascii="仿宋" w:hAnsi="仿宋" w:eastAsia="仿宋"/>
              </w:rPr>
            </w:pPr>
          </w:p>
        </w:tc>
        <w:tc>
          <w:tcPr>
            <w:tcW w:w="1279" w:type="dxa"/>
            <w:vMerge w:val="continue"/>
            <w:shd w:val="clear" w:color="auto" w:fill="auto"/>
            <w:vAlign w:val="center"/>
          </w:tcPr>
          <w:p>
            <w:pPr>
              <w:pStyle w:val="124"/>
              <w:spacing w:line="360" w:lineRule="exact"/>
              <w:rPr>
                <w:rFonts w:ascii="仿宋" w:hAnsi="仿宋" w:eastAsia="仿宋"/>
              </w:rPr>
            </w:pPr>
          </w:p>
        </w:tc>
        <w:tc>
          <w:tcPr>
            <w:tcW w:w="1287" w:type="dxa"/>
            <w:vMerge w:val="continue"/>
            <w:shd w:val="clear" w:color="auto" w:fill="auto"/>
            <w:vAlign w:val="center"/>
          </w:tcPr>
          <w:p>
            <w:pPr>
              <w:pStyle w:val="124"/>
              <w:spacing w:line="360" w:lineRule="exact"/>
              <w:rPr>
                <w:rFonts w:ascii="仿宋" w:hAnsi="仿宋" w:eastAsia="仿宋"/>
              </w:rPr>
            </w:pPr>
          </w:p>
        </w:tc>
        <w:tc>
          <w:tcPr>
            <w:tcW w:w="1134" w:type="dxa"/>
            <w:vMerge w:val="continue"/>
            <w:shd w:val="clear" w:color="auto" w:fill="auto"/>
            <w:vAlign w:val="center"/>
          </w:tcPr>
          <w:p>
            <w:pPr>
              <w:pStyle w:val="124"/>
              <w:spacing w:line="360" w:lineRule="exact"/>
              <w:rPr>
                <w:rFonts w:ascii="仿宋" w:hAnsi="仿宋" w:eastAsia="仿宋"/>
              </w:rPr>
            </w:pPr>
          </w:p>
        </w:tc>
        <w:tc>
          <w:tcPr>
            <w:tcW w:w="1502" w:type="dxa"/>
            <w:vMerge w:val="continue"/>
            <w:shd w:val="clear" w:color="auto" w:fill="auto"/>
            <w:vAlign w:val="center"/>
          </w:tcPr>
          <w:p>
            <w:pPr>
              <w:pStyle w:val="124"/>
              <w:spacing w:line="360" w:lineRule="exact"/>
              <w:rPr>
                <w:rFonts w:ascii="仿宋" w:hAnsi="仿宋" w:eastAsia="仿宋"/>
              </w:rPr>
            </w:pPr>
          </w:p>
        </w:tc>
        <w:tc>
          <w:tcPr>
            <w:tcW w:w="908" w:type="dxa"/>
            <w:vMerge w:val="continue"/>
            <w:shd w:val="clear" w:color="auto" w:fill="auto"/>
            <w:vAlign w:val="center"/>
          </w:tcPr>
          <w:p>
            <w:pPr>
              <w:pStyle w:val="124"/>
              <w:spacing w:line="360" w:lineRule="exact"/>
              <w:rPr>
                <w:rFonts w:ascii="仿宋" w:hAnsi="仿宋" w:eastAsia="仿宋"/>
              </w:rPr>
            </w:pPr>
          </w:p>
        </w:tc>
        <w:tc>
          <w:tcPr>
            <w:tcW w:w="992" w:type="dxa"/>
            <w:vMerge w:val="continue"/>
            <w:shd w:val="clear" w:color="auto" w:fill="auto"/>
            <w:vAlign w:val="center"/>
          </w:tcPr>
          <w:p>
            <w:pPr>
              <w:pStyle w:val="124"/>
              <w:spacing w:line="360" w:lineRule="exact"/>
              <w:rPr>
                <w:rFonts w:ascii="仿宋" w:hAnsi="仿宋" w:eastAsia="仿宋"/>
              </w:rPr>
            </w:pPr>
          </w:p>
        </w:tc>
        <w:tc>
          <w:tcPr>
            <w:tcW w:w="1404" w:type="dxa"/>
            <w:vMerge w:val="continue"/>
            <w:shd w:val="clear" w:color="auto" w:fill="auto"/>
            <w:vAlign w:val="center"/>
          </w:tcPr>
          <w:p>
            <w:pPr>
              <w:pStyle w:val="124"/>
              <w:spacing w:line="360" w:lineRule="exact"/>
              <w:rPr>
                <w:rFonts w:ascii="仿宋" w:hAnsi="仿宋" w:eastAsia="仿宋"/>
              </w:rPr>
            </w:pPr>
          </w:p>
        </w:tc>
        <w:tc>
          <w:tcPr>
            <w:tcW w:w="1276" w:type="dxa"/>
            <w:shd w:val="clear" w:color="auto" w:fill="auto"/>
            <w:vAlign w:val="center"/>
          </w:tcPr>
          <w:p>
            <w:pPr>
              <w:pStyle w:val="124"/>
              <w:spacing w:line="360" w:lineRule="exact"/>
              <w:rPr>
                <w:rFonts w:ascii="仿宋" w:hAnsi="仿宋" w:eastAsia="仿宋"/>
              </w:rPr>
            </w:pPr>
            <w:r>
              <w:rPr>
                <w:rFonts w:ascii="仿宋" w:hAnsi="仿宋" w:eastAsia="仿宋"/>
              </w:rPr>
              <w:t>TP</w:t>
            </w:r>
          </w:p>
        </w:tc>
        <w:tc>
          <w:tcPr>
            <w:tcW w:w="1276" w:type="dxa"/>
            <w:shd w:val="clear" w:color="auto" w:fill="auto"/>
            <w:vAlign w:val="center"/>
          </w:tcPr>
          <w:p>
            <w:pPr>
              <w:pStyle w:val="124"/>
              <w:spacing w:line="360" w:lineRule="exact"/>
              <w:rPr>
                <w:rFonts w:ascii="仿宋" w:hAnsi="仿宋" w:eastAsia="仿宋"/>
              </w:rPr>
            </w:pPr>
            <w:r>
              <w:rPr>
                <w:rFonts w:ascii="仿宋" w:hAnsi="仿宋" w:eastAsia="仿宋"/>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dxa"/>
            <w:shd w:val="clear" w:color="auto" w:fill="auto"/>
            <w:vAlign w:val="center"/>
          </w:tcPr>
          <w:p>
            <w:pPr>
              <w:pStyle w:val="124"/>
              <w:spacing w:line="360" w:lineRule="exact"/>
              <w:rPr>
                <w:rFonts w:ascii="仿宋" w:hAnsi="仿宋" w:eastAsia="仿宋"/>
              </w:rPr>
            </w:pPr>
            <w:r>
              <w:rPr>
                <w:rFonts w:hint="eastAsia" w:ascii="仿宋" w:hAnsi="仿宋" w:eastAsia="仿宋"/>
              </w:rPr>
              <w:t>5</w:t>
            </w:r>
          </w:p>
        </w:tc>
        <w:tc>
          <w:tcPr>
            <w:tcW w:w="979" w:type="dxa"/>
            <w:vMerge w:val="continue"/>
            <w:shd w:val="clear" w:color="auto" w:fill="auto"/>
            <w:vAlign w:val="center"/>
          </w:tcPr>
          <w:p>
            <w:pPr>
              <w:pStyle w:val="124"/>
              <w:spacing w:line="360" w:lineRule="exact"/>
              <w:rPr>
                <w:rFonts w:ascii="仿宋" w:hAnsi="仿宋" w:eastAsia="仿宋"/>
              </w:rPr>
            </w:pPr>
          </w:p>
        </w:tc>
        <w:tc>
          <w:tcPr>
            <w:tcW w:w="1279" w:type="dxa"/>
            <w:vMerge w:val="continue"/>
            <w:shd w:val="clear" w:color="auto" w:fill="auto"/>
            <w:vAlign w:val="center"/>
          </w:tcPr>
          <w:p>
            <w:pPr>
              <w:pStyle w:val="124"/>
              <w:spacing w:line="360" w:lineRule="exact"/>
              <w:rPr>
                <w:rFonts w:ascii="仿宋" w:hAnsi="仿宋" w:eastAsia="仿宋"/>
              </w:rPr>
            </w:pPr>
          </w:p>
        </w:tc>
        <w:tc>
          <w:tcPr>
            <w:tcW w:w="1279" w:type="dxa"/>
            <w:vMerge w:val="continue"/>
            <w:shd w:val="clear" w:color="auto" w:fill="auto"/>
            <w:vAlign w:val="center"/>
          </w:tcPr>
          <w:p>
            <w:pPr>
              <w:pStyle w:val="124"/>
              <w:spacing w:line="360" w:lineRule="exact"/>
              <w:rPr>
                <w:rFonts w:ascii="仿宋" w:hAnsi="仿宋" w:eastAsia="仿宋"/>
              </w:rPr>
            </w:pPr>
          </w:p>
        </w:tc>
        <w:tc>
          <w:tcPr>
            <w:tcW w:w="1287" w:type="dxa"/>
            <w:vMerge w:val="continue"/>
            <w:shd w:val="clear" w:color="auto" w:fill="auto"/>
            <w:vAlign w:val="center"/>
          </w:tcPr>
          <w:p>
            <w:pPr>
              <w:pStyle w:val="124"/>
              <w:spacing w:line="360" w:lineRule="exact"/>
              <w:rPr>
                <w:rFonts w:ascii="仿宋" w:hAnsi="仿宋" w:eastAsia="仿宋"/>
              </w:rPr>
            </w:pPr>
          </w:p>
        </w:tc>
        <w:tc>
          <w:tcPr>
            <w:tcW w:w="1134" w:type="dxa"/>
            <w:vMerge w:val="continue"/>
            <w:shd w:val="clear" w:color="auto" w:fill="auto"/>
            <w:vAlign w:val="center"/>
          </w:tcPr>
          <w:p>
            <w:pPr>
              <w:pStyle w:val="124"/>
              <w:spacing w:line="360" w:lineRule="exact"/>
              <w:rPr>
                <w:rFonts w:ascii="仿宋" w:hAnsi="仿宋" w:eastAsia="仿宋"/>
              </w:rPr>
            </w:pPr>
          </w:p>
        </w:tc>
        <w:tc>
          <w:tcPr>
            <w:tcW w:w="1502" w:type="dxa"/>
            <w:vMerge w:val="continue"/>
            <w:shd w:val="clear" w:color="auto" w:fill="auto"/>
            <w:vAlign w:val="center"/>
          </w:tcPr>
          <w:p>
            <w:pPr>
              <w:pStyle w:val="124"/>
              <w:spacing w:line="360" w:lineRule="exact"/>
              <w:rPr>
                <w:rFonts w:ascii="仿宋" w:hAnsi="仿宋" w:eastAsia="仿宋"/>
              </w:rPr>
            </w:pPr>
          </w:p>
        </w:tc>
        <w:tc>
          <w:tcPr>
            <w:tcW w:w="908" w:type="dxa"/>
            <w:vMerge w:val="continue"/>
            <w:shd w:val="clear" w:color="auto" w:fill="auto"/>
            <w:vAlign w:val="center"/>
          </w:tcPr>
          <w:p>
            <w:pPr>
              <w:pStyle w:val="124"/>
              <w:spacing w:line="360" w:lineRule="exact"/>
              <w:rPr>
                <w:rFonts w:ascii="仿宋" w:hAnsi="仿宋" w:eastAsia="仿宋"/>
              </w:rPr>
            </w:pPr>
          </w:p>
        </w:tc>
        <w:tc>
          <w:tcPr>
            <w:tcW w:w="992" w:type="dxa"/>
            <w:vMerge w:val="continue"/>
            <w:shd w:val="clear" w:color="auto" w:fill="auto"/>
            <w:vAlign w:val="center"/>
          </w:tcPr>
          <w:p>
            <w:pPr>
              <w:pStyle w:val="124"/>
              <w:spacing w:line="360" w:lineRule="exact"/>
              <w:rPr>
                <w:rFonts w:ascii="仿宋" w:hAnsi="仿宋" w:eastAsia="仿宋"/>
              </w:rPr>
            </w:pPr>
          </w:p>
        </w:tc>
        <w:tc>
          <w:tcPr>
            <w:tcW w:w="1404" w:type="dxa"/>
            <w:vMerge w:val="continue"/>
            <w:shd w:val="clear" w:color="auto" w:fill="auto"/>
            <w:vAlign w:val="center"/>
          </w:tcPr>
          <w:p>
            <w:pPr>
              <w:pStyle w:val="124"/>
              <w:spacing w:line="360" w:lineRule="exact"/>
              <w:rPr>
                <w:rFonts w:ascii="仿宋" w:hAnsi="仿宋" w:eastAsia="仿宋"/>
              </w:rPr>
            </w:pPr>
          </w:p>
        </w:tc>
        <w:tc>
          <w:tcPr>
            <w:tcW w:w="1276" w:type="dxa"/>
            <w:shd w:val="clear" w:color="auto" w:fill="auto"/>
            <w:vAlign w:val="center"/>
          </w:tcPr>
          <w:p>
            <w:pPr>
              <w:pStyle w:val="124"/>
              <w:spacing w:line="360" w:lineRule="exact"/>
              <w:rPr>
                <w:rFonts w:ascii="仿宋" w:hAnsi="仿宋" w:eastAsia="仿宋"/>
              </w:rPr>
            </w:pPr>
            <w:r>
              <w:rPr>
                <w:rFonts w:hint="eastAsia" w:ascii="仿宋" w:hAnsi="仿宋" w:eastAsia="仿宋"/>
              </w:rPr>
              <w:t>TN</w:t>
            </w:r>
          </w:p>
        </w:tc>
        <w:tc>
          <w:tcPr>
            <w:tcW w:w="1276" w:type="dxa"/>
            <w:shd w:val="clear" w:color="auto" w:fill="auto"/>
            <w:vAlign w:val="center"/>
          </w:tcPr>
          <w:p>
            <w:pPr>
              <w:pStyle w:val="124"/>
              <w:spacing w:line="360" w:lineRule="exact"/>
              <w:rPr>
                <w:rFonts w:ascii="仿宋" w:hAnsi="仿宋" w:eastAsia="仿宋"/>
              </w:rPr>
            </w:pPr>
            <w:r>
              <w:rPr>
                <w:rFonts w:ascii="仿宋" w:hAnsi="仿宋" w:eastAsia="仿宋"/>
              </w:rPr>
              <w:t>12</w:t>
            </w:r>
          </w:p>
        </w:tc>
      </w:tr>
    </w:tbl>
    <w:p>
      <w:pPr>
        <w:tabs>
          <w:tab w:val="left" w:pos="5175"/>
        </w:tabs>
        <w:spacing w:line="500" w:lineRule="exact"/>
        <w:ind w:firstLine="560" w:firstLineChars="200"/>
        <w:rPr>
          <w:rFonts w:eastAsia="仿宋_GB2312"/>
          <w:sz w:val="28"/>
          <w:szCs w:val="28"/>
        </w:rPr>
        <w:sectPr>
          <w:pgSz w:w="16838" w:h="11906" w:orient="landscape"/>
          <w:pgMar w:top="1797" w:right="1440" w:bottom="1797" w:left="1440" w:header="539" w:footer="992" w:gutter="0"/>
          <w:cols w:space="720" w:num="1"/>
          <w:docGrid w:linePitch="286" w:charSpace="0"/>
        </w:sectPr>
      </w:pPr>
    </w:p>
    <w:p>
      <w:pPr>
        <w:tabs>
          <w:tab w:val="left" w:pos="5175"/>
        </w:tabs>
        <w:spacing w:line="500" w:lineRule="exact"/>
        <w:ind w:firstLine="482" w:firstLineChars="200"/>
        <w:jc w:val="center"/>
        <w:rPr>
          <w:rFonts w:eastAsia="仿宋_GB2312"/>
          <w:b/>
          <w:sz w:val="24"/>
        </w:rPr>
      </w:pPr>
      <w:r>
        <w:rPr>
          <w:rFonts w:eastAsia="仿宋_GB2312"/>
          <w:b/>
          <w:sz w:val="24"/>
        </w:rPr>
        <w:t xml:space="preserve">表5.2-18 </w:t>
      </w:r>
      <w:r>
        <w:rPr>
          <w:rFonts w:hint="eastAsia" w:eastAsia="仿宋_GB2312"/>
          <w:b/>
          <w:sz w:val="24"/>
        </w:rPr>
        <w:t>废水污染物排放执行标准表</w:t>
      </w:r>
    </w:p>
    <w:tbl>
      <w:tblPr>
        <w:tblStyle w:val="408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1012"/>
        <w:gridCol w:w="1332"/>
        <w:gridCol w:w="3130"/>
        <w:gridCol w:w="1184"/>
        <w:gridCol w:w="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758" w:type="dxa"/>
            <w:vMerge w:val="restart"/>
            <w:vAlign w:val="center"/>
          </w:tcPr>
          <w:p>
            <w:pPr>
              <w:adjustRightInd w:val="0"/>
              <w:snapToGrid w:val="0"/>
              <w:jc w:val="center"/>
              <w:rPr>
                <w:rFonts w:ascii="仿宋" w:hAnsi="仿宋" w:eastAsia="仿宋"/>
                <w:szCs w:val="21"/>
              </w:rPr>
            </w:pPr>
            <w:r>
              <w:rPr>
                <w:rFonts w:hint="eastAsia" w:ascii="仿宋" w:hAnsi="仿宋" w:eastAsia="仿宋"/>
                <w:szCs w:val="21"/>
              </w:rPr>
              <w:t>序号</w:t>
            </w:r>
          </w:p>
        </w:tc>
        <w:tc>
          <w:tcPr>
            <w:tcW w:w="1012" w:type="dxa"/>
            <w:vMerge w:val="restart"/>
            <w:vAlign w:val="center"/>
          </w:tcPr>
          <w:p>
            <w:pPr>
              <w:adjustRightInd w:val="0"/>
              <w:snapToGrid w:val="0"/>
              <w:jc w:val="center"/>
              <w:rPr>
                <w:rFonts w:ascii="仿宋" w:hAnsi="仿宋" w:eastAsia="仿宋"/>
                <w:szCs w:val="21"/>
              </w:rPr>
            </w:pPr>
            <w:r>
              <w:rPr>
                <w:rFonts w:hint="eastAsia" w:ascii="仿宋" w:hAnsi="仿宋" w:eastAsia="仿宋"/>
                <w:szCs w:val="21"/>
              </w:rPr>
              <w:t>排放口编号</w:t>
            </w:r>
          </w:p>
        </w:tc>
        <w:tc>
          <w:tcPr>
            <w:tcW w:w="1332" w:type="dxa"/>
            <w:vMerge w:val="restart"/>
            <w:vAlign w:val="center"/>
          </w:tcPr>
          <w:p>
            <w:pPr>
              <w:adjustRightInd w:val="0"/>
              <w:snapToGrid w:val="0"/>
              <w:jc w:val="center"/>
              <w:rPr>
                <w:rFonts w:ascii="仿宋" w:hAnsi="仿宋" w:eastAsia="仿宋"/>
                <w:szCs w:val="21"/>
              </w:rPr>
            </w:pPr>
            <w:r>
              <w:rPr>
                <w:rFonts w:hint="eastAsia" w:ascii="仿宋" w:hAnsi="仿宋" w:eastAsia="仿宋"/>
                <w:szCs w:val="21"/>
              </w:rPr>
              <w:t>污染物种类</w:t>
            </w:r>
          </w:p>
        </w:tc>
        <w:tc>
          <w:tcPr>
            <w:tcW w:w="5200" w:type="dxa"/>
            <w:gridSpan w:val="3"/>
            <w:vAlign w:val="center"/>
          </w:tcPr>
          <w:p>
            <w:pPr>
              <w:adjustRightInd w:val="0"/>
              <w:snapToGrid w:val="0"/>
              <w:jc w:val="center"/>
              <w:rPr>
                <w:rFonts w:ascii="仿宋" w:hAnsi="仿宋" w:eastAsia="仿宋"/>
                <w:szCs w:val="21"/>
              </w:rPr>
            </w:pPr>
            <w:r>
              <w:rPr>
                <w:rFonts w:hint="eastAsia" w:ascii="仿宋" w:hAnsi="仿宋" w:eastAsia="仿宋"/>
                <w:szCs w:val="21"/>
              </w:rPr>
              <w:t>国家或地方排放标准及其他按规定商议的排放协议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758" w:type="dxa"/>
            <w:vMerge w:val="continue"/>
            <w:vAlign w:val="center"/>
          </w:tcPr>
          <w:p>
            <w:pPr>
              <w:adjustRightInd w:val="0"/>
              <w:snapToGrid w:val="0"/>
              <w:jc w:val="center"/>
              <w:rPr>
                <w:rFonts w:ascii="仿宋" w:hAnsi="仿宋" w:eastAsia="仿宋"/>
                <w:szCs w:val="21"/>
              </w:rPr>
            </w:pPr>
          </w:p>
        </w:tc>
        <w:tc>
          <w:tcPr>
            <w:tcW w:w="1012" w:type="dxa"/>
            <w:vMerge w:val="continue"/>
            <w:vAlign w:val="center"/>
          </w:tcPr>
          <w:p>
            <w:pPr>
              <w:adjustRightInd w:val="0"/>
              <w:snapToGrid w:val="0"/>
              <w:jc w:val="center"/>
              <w:rPr>
                <w:rFonts w:ascii="仿宋" w:hAnsi="仿宋" w:eastAsia="仿宋"/>
                <w:szCs w:val="21"/>
              </w:rPr>
            </w:pPr>
          </w:p>
        </w:tc>
        <w:tc>
          <w:tcPr>
            <w:tcW w:w="1332" w:type="dxa"/>
            <w:vMerge w:val="continue"/>
            <w:vAlign w:val="center"/>
          </w:tcPr>
          <w:p>
            <w:pPr>
              <w:adjustRightInd w:val="0"/>
              <w:snapToGrid w:val="0"/>
              <w:jc w:val="center"/>
              <w:rPr>
                <w:rFonts w:ascii="仿宋" w:hAnsi="仿宋" w:eastAsia="仿宋"/>
                <w:szCs w:val="21"/>
              </w:rPr>
            </w:pPr>
          </w:p>
        </w:tc>
        <w:tc>
          <w:tcPr>
            <w:tcW w:w="3130" w:type="dxa"/>
            <w:vAlign w:val="center"/>
          </w:tcPr>
          <w:p>
            <w:pPr>
              <w:adjustRightInd w:val="0"/>
              <w:snapToGrid w:val="0"/>
              <w:jc w:val="center"/>
              <w:rPr>
                <w:rFonts w:ascii="仿宋" w:hAnsi="仿宋" w:eastAsia="仿宋"/>
                <w:szCs w:val="21"/>
              </w:rPr>
            </w:pPr>
            <w:r>
              <w:rPr>
                <w:rFonts w:hint="eastAsia" w:ascii="仿宋" w:hAnsi="仿宋" w:eastAsia="仿宋"/>
                <w:szCs w:val="21"/>
              </w:rPr>
              <w:t>名称</w:t>
            </w:r>
          </w:p>
        </w:tc>
        <w:tc>
          <w:tcPr>
            <w:tcW w:w="2070" w:type="dxa"/>
            <w:gridSpan w:val="2"/>
            <w:vAlign w:val="center"/>
          </w:tcPr>
          <w:p>
            <w:pPr>
              <w:adjustRightInd w:val="0"/>
              <w:snapToGrid w:val="0"/>
              <w:jc w:val="center"/>
              <w:rPr>
                <w:rFonts w:ascii="仿宋" w:hAnsi="仿宋" w:eastAsia="仿宋"/>
                <w:szCs w:val="21"/>
              </w:rPr>
            </w:pPr>
            <w:r>
              <w:rPr>
                <w:rFonts w:hint="eastAsia" w:ascii="仿宋" w:hAnsi="仿宋" w:eastAsia="仿宋"/>
                <w:szCs w:val="21"/>
              </w:rPr>
              <w:t>浓度限值（m</w:t>
            </w:r>
            <w:r>
              <w:rPr>
                <w:rFonts w:ascii="仿宋" w:hAnsi="仿宋" w:eastAsia="仿宋"/>
                <w:szCs w:val="21"/>
              </w:rPr>
              <w:t>g/L</w:t>
            </w:r>
            <w:r>
              <w:rPr>
                <w:rFonts w:hint="eastAsia" w:ascii="仿宋" w:hAnsi="仿宋" w:eastAsia="仿宋"/>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758" w:type="dxa"/>
            <w:vMerge w:val="restart"/>
            <w:vAlign w:val="center"/>
          </w:tcPr>
          <w:p>
            <w:pPr>
              <w:adjustRightInd w:val="0"/>
              <w:snapToGrid w:val="0"/>
              <w:jc w:val="center"/>
              <w:rPr>
                <w:rFonts w:ascii="仿宋" w:hAnsi="仿宋" w:eastAsia="仿宋"/>
                <w:szCs w:val="21"/>
              </w:rPr>
            </w:pPr>
            <w:r>
              <w:rPr>
                <w:rFonts w:hint="eastAsia" w:ascii="仿宋" w:hAnsi="仿宋" w:eastAsia="仿宋"/>
                <w:szCs w:val="21"/>
              </w:rPr>
              <w:t>1</w:t>
            </w:r>
          </w:p>
        </w:tc>
        <w:tc>
          <w:tcPr>
            <w:tcW w:w="1012" w:type="dxa"/>
            <w:vMerge w:val="restart"/>
            <w:vAlign w:val="center"/>
          </w:tcPr>
          <w:p>
            <w:pPr>
              <w:adjustRightInd w:val="0"/>
              <w:snapToGrid w:val="0"/>
              <w:jc w:val="center"/>
              <w:rPr>
                <w:rFonts w:ascii="仿宋" w:hAnsi="仿宋" w:eastAsia="仿宋"/>
                <w:szCs w:val="21"/>
              </w:rPr>
            </w:pPr>
            <w:r>
              <w:rPr>
                <w:rFonts w:hint="eastAsia" w:ascii="仿宋" w:hAnsi="仿宋" w:eastAsia="仿宋"/>
                <w:szCs w:val="21"/>
              </w:rPr>
              <w:t>D</w:t>
            </w:r>
            <w:r>
              <w:rPr>
                <w:rFonts w:ascii="仿宋" w:hAnsi="仿宋" w:eastAsia="仿宋"/>
                <w:szCs w:val="21"/>
              </w:rPr>
              <w:t>W01</w:t>
            </w:r>
          </w:p>
        </w:tc>
        <w:tc>
          <w:tcPr>
            <w:tcW w:w="1332" w:type="dxa"/>
            <w:vMerge w:val="restart"/>
            <w:vAlign w:val="center"/>
          </w:tcPr>
          <w:p>
            <w:pPr>
              <w:adjustRightInd w:val="0"/>
              <w:snapToGrid w:val="0"/>
              <w:jc w:val="center"/>
              <w:rPr>
                <w:rFonts w:ascii="仿宋" w:hAnsi="仿宋" w:eastAsia="仿宋"/>
                <w:szCs w:val="21"/>
              </w:rPr>
            </w:pPr>
            <w:r>
              <w:rPr>
                <w:rFonts w:ascii="仿宋" w:hAnsi="仿宋" w:eastAsia="仿宋"/>
                <w:szCs w:val="21"/>
              </w:rPr>
              <w:t>COD、SS、NH</w:t>
            </w:r>
            <w:r>
              <w:rPr>
                <w:rFonts w:ascii="仿宋" w:hAnsi="仿宋" w:eastAsia="仿宋"/>
                <w:szCs w:val="21"/>
                <w:vertAlign w:val="subscript"/>
              </w:rPr>
              <w:t>3</w:t>
            </w:r>
            <w:r>
              <w:rPr>
                <w:rFonts w:ascii="仿宋" w:hAnsi="仿宋" w:eastAsia="仿宋"/>
                <w:szCs w:val="21"/>
              </w:rPr>
              <w:t>-N、TP、</w:t>
            </w:r>
            <w:r>
              <w:rPr>
                <w:rFonts w:hint="eastAsia" w:ascii="仿宋" w:hAnsi="仿宋" w:eastAsia="仿宋"/>
                <w:szCs w:val="21"/>
              </w:rPr>
              <w:t>TN</w:t>
            </w:r>
          </w:p>
        </w:tc>
        <w:tc>
          <w:tcPr>
            <w:tcW w:w="3130" w:type="dxa"/>
            <w:vMerge w:val="restart"/>
            <w:vAlign w:val="center"/>
          </w:tcPr>
          <w:p>
            <w:pPr>
              <w:adjustRightInd w:val="0"/>
              <w:snapToGrid w:val="0"/>
              <w:jc w:val="center"/>
              <w:rPr>
                <w:rFonts w:ascii="仿宋" w:hAnsi="仿宋" w:eastAsia="仿宋"/>
                <w:szCs w:val="21"/>
              </w:rPr>
            </w:pPr>
            <w:r>
              <w:rPr>
                <w:rFonts w:hint="eastAsia" w:ascii="仿宋" w:hAnsi="仿宋" w:eastAsia="仿宋"/>
                <w:szCs w:val="21"/>
              </w:rPr>
              <w:t>金坛第二污水处理厂接管标准</w:t>
            </w:r>
          </w:p>
        </w:tc>
        <w:tc>
          <w:tcPr>
            <w:tcW w:w="1184" w:type="dxa"/>
            <w:vAlign w:val="center"/>
          </w:tcPr>
          <w:p>
            <w:pPr>
              <w:adjustRightInd w:val="0"/>
              <w:snapToGrid w:val="0"/>
              <w:jc w:val="center"/>
              <w:rPr>
                <w:rFonts w:ascii="仿宋" w:hAnsi="仿宋" w:eastAsia="仿宋"/>
                <w:szCs w:val="21"/>
              </w:rPr>
            </w:pPr>
            <w:r>
              <w:rPr>
                <w:rFonts w:hint="eastAsia" w:ascii="仿宋" w:hAnsi="仿宋" w:eastAsia="仿宋"/>
                <w:szCs w:val="21"/>
              </w:rPr>
              <w:t>C</w:t>
            </w:r>
            <w:r>
              <w:rPr>
                <w:rFonts w:ascii="仿宋" w:hAnsi="仿宋" w:eastAsia="仿宋"/>
                <w:szCs w:val="21"/>
              </w:rPr>
              <w:t>OD</w:t>
            </w:r>
          </w:p>
        </w:tc>
        <w:tc>
          <w:tcPr>
            <w:tcW w:w="886" w:type="dxa"/>
            <w:vAlign w:val="center"/>
          </w:tcPr>
          <w:p>
            <w:pPr>
              <w:widowControl/>
              <w:jc w:val="center"/>
              <w:rPr>
                <w:rFonts w:ascii="仿宋" w:hAnsi="仿宋" w:eastAsia="仿宋"/>
                <w:kern w:val="0"/>
                <w:szCs w:val="21"/>
              </w:rPr>
            </w:pPr>
            <w:r>
              <w:rPr>
                <w:rFonts w:hint="eastAsia" w:ascii="仿宋" w:hAnsi="仿宋" w:eastAsia="仿宋"/>
                <w:kern w:val="0"/>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758" w:type="dxa"/>
            <w:vMerge w:val="continue"/>
            <w:vAlign w:val="center"/>
          </w:tcPr>
          <w:p>
            <w:pPr>
              <w:adjustRightInd w:val="0"/>
              <w:snapToGrid w:val="0"/>
              <w:ind w:firstLine="420" w:firstLineChars="200"/>
              <w:jc w:val="center"/>
              <w:rPr>
                <w:rFonts w:ascii="仿宋" w:hAnsi="仿宋" w:eastAsia="仿宋"/>
                <w:szCs w:val="21"/>
              </w:rPr>
            </w:pPr>
          </w:p>
        </w:tc>
        <w:tc>
          <w:tcPr>
            <w:tcW w:w="1012" w:type="dxa"/>
            <w:vMerge w:val="continue"/>
            <w:vAlign w:val="center"/>
          </w:tcPr>
          <w:p>
            <w:pPr>
              <w:adjustRightInd w:val="0"/>
              <w:snapToGrid w:val="0"/>
              <w:jc w:val="center"/>
              <w:rPr>
                <w:rFonts w:ascii="仿宋" w:hAnsi="仿宋" w:eastAsia="仿宋"/>
                <w:szCs w:val="21"/>
              </w:rPr>
            </w:pPr>
          </w:p>
        </w:tc>
        <w:tc>
          <w:tcPr>
            <w:tcW w:w="1332" w:type="dxa"/>
            <w:vMerge w:val="continue"/>
            <w:vAlign w:val="center"/>
          </w:tcPr>
          <w:p>
            <w:pPr>
              <w:adjustRightInd w:val="0"/>
              <w:snapToGrid w:val="0"/>
              <w:rPr>
                <w:rFonts w:ascii="仿宋" w:hAnsi="仿宋" w:eastAsia="仿宋"/>
                <w:szCs w:val="21"/>
              </w:rPr>
            </w:pPr>
          </w:p>
        </w:tc>
        <w:tc>
          <w:tcPr>
            <w:tcW w:w="3130" w:type="dxa"/>
            <w:vMerge w:val="continue"/>
            <w:vAlign w:val="center"/>
          </w:tcPr>
          <w:p>
            <w:pPr>
              <w:adjustRightInd w:val="0"/>
              <w:snapToGrid w:val="0"/>
              <w:jc w:val="center"/>
              <w:rPr>
                <w:rFonts w:ascii="仿宋" w:hAnsi="仿宋" w:eastAsia="仿宋"/>
                <w:szCs w:val="21"/>
              </w:rPr>
            </w:pPr>
          </w:p>
        </w:tc>
        <w:tc>
          <w:tcPr>
            <w:tcW w:w="1184" w:type="dxa"/>
            <w:vAlign w:val="center"/>
          </w:tcPr>
          <w:p>
            <w:pPr>
              <w:adjustRightInd w:val="0"/>
              <w:snapToGrid w:val="0"/>
              <w:jc w:val="center"/>
              <w:rPr>
                <w:rFonts w:ascii="仿宋" w:hAnsi="仿宋" w:eastAsia="仿宋"/>
                <w:szCs w:val="21"/>
              </w:rPr>
            </w:pPr>
            <w:r>
              <w:rPr>
                <w:rFonts w:ascii="仿宋" w:hAnsi="仿宋" w:eastAsia="仿宋"/>
                <w:szCs w:val="21"/>
              </w:rPr>
              <w:t>SS</w:t>
            </w:r>
          </w:p>
        </w:tc>
        <w:tc>
          <w:tcPr>
            <w:tcW w:w="886" w:type="dxa"/>
            <w:vAlign w:val="center"/>
          </w:tcPr>
          <w:p>
            <w:pPr>
              <w:widowControl/>
              <w:jc w:val="center"/>
              <w:rPr>
                <w:rFonts w:ascii="仿宋" w:hAnsi="仿宋" w:eastAsia="仿宋"/>
                <w:kern w:val="0"/>
                <w:szCs w:val="21"/>
              </w:rPr>
            </w:pPr>
            <w:r>
              <w:rPr>
                <w:rFonts w:hint="eastAsia" w:ascii="仿宋" w:hAnsi="仿宋" w:eastAsia="仿宋"/>
                <w:kern w:val="0"/>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758" w:type="dxa"/>
            <w:vMerge w:val="continue"/>
            <w:vAlign w:val="center"/>
          </w:tcPr>
          <w:p>
            <w:pPr>
              <w:adjustRightInd w:val="0"/>
              <w:snapToGrid w:val="0"/>
              <w:ind w:firstLine="420" w:firstLineChars="200"/>
              <w:jc w:val="center"/>
              <w:rPr>
                <w:rFonts w:ascii="仿宋" w:hAnsi="仿宋" w:eastAsia="仿宋"/>
                <w:szCs w:val="21"/>
              </w:rPr>
            </w:pPr>
          </w:p>
        </w:tc>
        <w:tc>
          <w:tcPr>
            <w:tcW w:w="1012" w:type="dxa"/>
            <w:vMerge w:val="continue"/>
            <w:vAlign w:val="center"/>
          </w:tcPr>
          <w:p>
            <w:pPr>
              <w:adjustRightInd w:val="0"/>
              <w:snapToGrid w:val="0"/>
              <w:ind w:firstLine="420" w:firstLineChars="200"/>
              <w:jc w:val="center"/>
              <w:rPr>
                <w:rFonts w:ascii="仿宋" w:hAnsi="仿宋" w:eastAsia="仿宋"/>
                <w:szCs w:val="21"/>
              </w:rPr>
            </w:pPr>
          </w:p>
        </w:tc>
        <w:tc>
          <w:tcPr>
            <w:tcW w:w="1332" w:type="dxa"/>
            <w:vMerge w:val="continue"/>
            <w:vAlign w:val="center"/>
          </w:tcPr>
          <w:p>
            <w:pPr>
              <w:adjustRightInd w:val="0"/>
              <w:snapToGrid w:val="0"/>
              <w:ind w:firstLine="420" w:firstLineChars="200"/>
              <w:jc w:val="center"/>
              <w:rPr>
                <w:rFonts w:ascii="仿宋" w:hAnsi="仿宋" w:eastAsia="仿宋"/>
                <w:szCs w:val="21"/>
              </w:rPr>
            </w:pPr>
          </w:p>
        </w:tc>
        <w:tc>
          <w:tcPr>
            <w:tcW w:w="3130" w:type="dxa"/>
            <w:vMerge w:val="continue"/>
            <w:vAlign w:val="center"/>
          </w:tcPr>
          <w:p>
            <w:pPr>
              <w:adjustRightInd w:val="0"/>
              <w:snapToGrid w:val="0"/>
              <w:jc w:val="center"/>
              <w:rPr>
                <w:rFonts w:ascii="仿宋" w:hAnsi="仿宋" w:eastAsia="仿宋"/>
                <w:szCs w:val="21"/>
              </w:rPr>
            </w:pPr>
          </w:p>
        </w:tc>
        <w:tc>
          <w:tcPr>
            <w:tcW w:w="1184" w:type="dxa"/>
            <w:vAlign w:val="center"/>
          </w:tcPr>
          <w:p>
            <w:pPr>
              <w:adjustRightInd w:val="0"/>
              <w:snapToGrid w:val="0"/>
              <w:jc w:val="center"/>
              <w:rPr>
                <w:rFonts w:ascii="仿宋" w:hAnsi="仿宋" w:eastAsia="仿宋"/>
                <w:szCs w:val="21"/>
              </w:rPr>
            </w:pPr>
            <w:r>
              <w:rPr>
                <w:rFonts w:ascii="仿宋" w:hAnsi="仿宋" w:eastAsia="仿宋"/>
                <w:szCs w:val="21"/>
              </w:rPr>
              <w:t>NH</w:t>
            </w:r>
            <w:r>
              <w:rPr>
                <w:rFonts w:ascii="仿宋" w:hAnsi="仿宋" w:eastAsia="仿宋"/>
                <w:szCs w:val="21"/>
                <w:vertAlign w:val="subscript"/>
              </w:rPr>
              <w:t>3</w:t>
            </w:r>
            <w:r>
              <w:rPr>
                <w:rFonts w:ascii="仿宋" w:hAnsi="仿宋" w:eastAsia="仿宋"/>
                <w:szCs w:val="21"/>
              </w:rPr>
              <w:t>-N</w:t>
            </w:r>
          </w:p>
        </w:tc>
        <w:tc>
          <w:tcPr>
            <w:tcW w:w="886" w:type="dxa"/>
            <w:vAlign w:val="center"/>
          </w:tcPr>
          <w:p>
            <w:pPr>
              <w:widowControl/>
              <w:jc w:val="center"/>
              <w:rPr>
                <w:rFonts w:ascii="仿宋" w:hAnsi="仿宋" w:eastAsia="仿宋"/>
                <w:kern w:val="0"/>
                <w:szCs w:val="21"/>
              </w:rPr>
            </w:pPr>
            <w:r>
              <w:rPr>
                <w:rFonts w:hint="eastAsia" w:ascii="仿宋" w:hAnsi="仿宋" w:eastAsia="仿宋"/>
                <w:kern w:val="0"/>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758" w:type="dxa"/>
            <w:vMerge w:val="continue"/>
            <w:vAlign w:val="center"/>
          </w:tcPr>
          <w:p>
            <w:pPr>
              <w:adjustRightInd w:val="0"/>
              <w:snapToGrid w:val="0"/>
              <w:ind w:firstLine="420" w:firstLineChars="200"/>
              <w:jc w:val="center"/>
              <w:rPr>
                <w:rFonts w:ascii="仿宋" w:hAnsi="仿宋" w:eastAsia="仿宋"/>
                <w:szCs w:val="21"/>
              </w:rPr>
            </w:pPr>
          </w:p>
        </w:tc>
        <w:tc>
          <w:tcPr>
            <w:tcW w:w="1012" w:type="dxa"/>
            <w:vMerge w:val="continue"/>
            <w:vAlign w:val="center"/>
          </w:tcPr>
          <w:p>
            <w:pPr>
              <w:adjustRightInd w:val="0"/>
              <w:snapToGrid w:val="0"/>
              <w:ind w:firstLine="420" w:firstLineChars="200"/>
              <w:jc w:val="center"/>
              <w:rPr>
                <w:rFonts w:ascii="仿宋" w:hAnsi="仿宋" w:eastAsia="仿宋"/>
                <w:szCs w:val="21"/>
              </w:rPr>
            </w:pPr>
          </w:p>
        </w:tc>
        <w:tc>
          <w:tcPr>
            <w:tcW w:w="1332" w:type="dxa"/>
            <w:vMerge w:val="continue"/>
            <w:vAlign w:val="center"/>
          </w:tcPr>
          <w:p>
            <w:pPr>
              <w:adjustRightInd w:val="0"/>
              <w:snapToGrid w:val="0"/>
              <w:ind w:firstLine="420" w:firstLineChars="200"/>
              <w:jc w:val="center"/>
              <w:rPr>
                <w:rFonts w:ascii="仿宋" w:hAnsi="仿宋" w:eastAsia="仿宋"/>
                <w:szCs w:val="21"/>
              </w:rPr>
            </w:pPr>
          </w:p>
        </w:tc>
        <w:tc>
          <w:tcPr>
            <w:tcW w:w="3130" w:type="dxa"/>
            <w:vMerge w:val="continue"/>
            <w:vAlign w:val="center"/>
          </w:tcPr>
          <w:p>
            <w:pPr>
              <w:adjustRightInd w:val="0"/>
              <w:snapToGrid w:val="0"/>
              <w:jc w:val="center"/>
              <w:rPr>
                <w:rFonts w:ascii="仿宋" w:hAnsi="仿宋" w:eastAsia="仿宋"/>
                <w:szCs w:val="21"/>
              </w:rPr>
            </w:pPr>
          </w:p>
        </w:tc>
        <w:tc>
          <w:tcPr>
            <w:tcW w:w="1184" w:type="dxa"/>
            <w:vAlign w:val="center"/>
          </w:tcPr>
          <w:p>
            <w:pPr>
              <w:adjustRightInd w:val="0"/>
              <w:snapToGrid w:val="0"/>
              <w:jc w:val="center"/>
              <w:rPr>
                <w:rFonts w:ascii="仿宋" w:hAnsi="仿宋" w:eastAsia="仿宋"/>
                <w:szCs w:val="21"/>
              </w:rPr>
            </w:pPr>
            <w:r>
              <w:rPr>
                <w:rFonts w:hint="eastAsia" w:ascii="仿宋" w:hAnsi="仿宋" w:eastAsia="仿宋"/>
                <w:szCs w:val="21"/>
              </w:rPr>
              <w:t>TN</w:t>
            </w:r>
          </w:p>
        </w:tc>
        <w:tc>
          <w:tcPr>
            <w:tcW w:w="886" w:type="dxa"/>
            <w:vAlign w:val="center"/>
          </w:tcPr>
          <w:p>
            <w:pPr>
              <w:widowControl/>
              <w:jc w:val="center"/>
              <w:rPr>
                <w:rFonts w:ascii="仿宋" w:hAnsi="仿宋" w:eastAsia="仿宋"/>
                <w:kern w:val="0"/>
                <w:szCs w:val="21"/>
              </w:rPr>
            </w:pPr>
            <w:r>
              <w:rPr>
                <w:rFonts w:hint="eastAsia" w:ascii="仿宋" w:hAnsi="仿宋" w:eastAsia="仿宋"/>
                <w:kern w:val="0"/>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758" w:type="dxa"/>
            <w:vMerge w:val="continue"/>
            <w:vAlign w:val="center"/>
          </w:tcPr>
          <w:p>
            <w:pPr>
              <w:adjustRightInd w:val="0"/>
              <w:snapToGrid w:val="0"/>
              <w:ind w:firstLine="420" w:firstLineChars="200"/>
              <w:jc w:val="center"/>
              <w:rPr>
                <w:rFonts w:ascii="仿宋" w:hAnsi="仿宋" w:eastAsia="仿宋"/>
                <w:szCs w:val="21"/>
              </w:rPr>
            </w:pPr>
          </w:p>
        </w:tc>
        <w:tc>
          <w:tcPr>
            <w:tcW w:w="1012" w:type="dxa"/>
            <w:vMerge w:val="continue"/>
            <w:vAlign w:val="center"/>
          </w:tcPr>
          <w:p>
            <w:pPr>
              <w:adjustRightInd w:val="0"/>
              <w:snapToGrid w:val="0"/>
              <w:ind w:firstLine="420" w:firstLineChars="200"/>
              <w:jc w:val="center"/>
              <w:rPr>
                <w:rFonts w:ascii="仿宋" w:hAnsi="仿宋" w:eastAsia="仿宋"/>
                <w:szCs w:val="21"/>
              </w:rPr>
            </w:pPr>
          </w:p>
        </w:tc>
        <w:tc>
          <w:tcPr>
            <w:tcW w:w="1332" w:type="dxa"/>
            <w:vMerge w:val="continue"/>
            <w:vAlign w:val="center"/>
          </w:tcPr>
          <w:p>
            <w:pPr>
              <w:adjustRightInd w:val="0"/>
              <w:snapToGrid w:val="0"/>
              <w:ind w:firstLine="420" w:firstLineChars="200"/>
              <w:jc w:val="center"/>
              <w:rPr>
                <w:rFonts w:ascii="仿宋" w:hAnsi="仿宋" w:eastAsia="仿宋"/>
                <w:szCs w:val="21"/>
              </w:rPr>
            </w:pPr>
          </w:p>
        </w:tc>
        <w:tc>
          <w:tcPr>
            <w:tcW w:w="3130" w:type="dxa"/>
            <w:vMerge w:val="continue"/>
            <w:vAlign w:val="center"/>
          </w:tcPr>
          <w:p>
            <w:pPr>
              <w:adjustRightInd w:val="0"/>
              <w:snapToGrid w:val="0"/>
              <w:jc w:val="center"/>
              <w:rPr>
                <w:rFonts w:ascii="仿宋" w:hAnsi="仿宋" w:eastAsia="仿宋"/>
                <w:szCs w:val="21"/>
              </w:rPr>
            </w:pPr>
          </w:p>
        </w:tc>
        <w:tc>
          <w:tcPr>
            <w:tcW w:w="1184" w:type="dxa"/>
            <w:vAlign w:val="center"/>
          </w:tcPr>
          <w:p>
            <w:pPr>
              <w:adjustRightInd w:val="0"/>
              <w:snapToGrid w:val="0"/>
              <w:jc w:val="center"/>
              <w:rPr>
                <w:rFonts w:ascii="仿宋" w:hAnsi="仿宋" w:eastAsia="仿宋"/>
                <w:szCs w:val="21"/>
              </w:rPr>
            </w:pPr>
            <w:r>
              <w:rPr>
                <w:rFonts w:ascii="仿宋" w:hAnsi="仿宋" w:eastAsia="仿宋"/>
                <w:szCs w:val="21"/>
              </w:rPr>
              <w:t>TP</w:t>
            </w:r>
          </w:p>
        </w:tc>
        <w:tc>
          <w:tcPr>
            <w:tcW w:w="886" w:type="dxa"/>
            <w:vAlign w:val="center"/>
          </w:tcPr>
          <w:p>
            <w:pPr>
              <w:widowControl/>
              <w:jc w:val="center"/>
              <w:rPr>
                <w:rFonts w:ascii="仿宋" w:hAnsi="仿宋" w:eastAsia="仿宋"/>
                <w:kern w:val="0"/>
                <w:szCs w:val="21"/>
              </w:rPr>
            </w:pPr>
            <w:r>
              <w:rPr>
                <w:rFonts w:hint="eastAsia" w:ascii="仿宋" w:hAnsi="仿宋" w:eastAsia="仿宋"/>
                <w:kern w:val="0"/>
                <w:szCs w:val="21"/>
              </w:rPr>
              <w:t>3</w:t>
            </w:r>
          </w:p>
        </w:tc>
      </w:tr>
    </w:tbl>
    <w:p>
      <w:pPr>
        <w:ind w:firstLine="420" w:firstLineChars="200"/>
        <w:rPr>
          <w:rFonts w:eastAsia="仿宋_GB2312"/>
          <w:szCs w:val="21"/>
        </w:rPr>
      </w:pPr>
      <w:r>
        <w:rPr>
          <w:rFonts w:hint="eastAsia" w:eastAsia="仿宋_GB2312"/>
          <w:szCs w:val="21"/>
        </w:rPr>
        <w:t>注：</w:t>
      </w:r>
      <w:r>
        <w:rPr>
          <w:rFonts w:eastAsia="仿宋_GB2312"/>
          <w:szCs w:val="21"/>
        </w:rPr>
        <w:t>pH</w:t>
      </w:r>
      <w:r>
        <w:rPr>
          <w:rFonts w:hint="eastAsia" w:eastAsia="仿宋_GB2312"/>
          <w:szCs w:val="21"/>
        </w:rPr>
        <w:t>无量纲</w:t>
      </w:r>
    </w:p>
    <w:p>
      <w:pPr>
        <w:tabs>
          <w:tab w:val="left" w:pos="2085"/>
        </w:tabs>
        <w:spacing w:line="500" w:lineRule="exact"/>
        <w:ind w:firstLine="482" w:firstLineChars="200"/>
        <w:jc w:val="center"/>
        <w:rPr>
          <w:rFonts w:eastAsia="仿宋_GB2312"/>
          <w:b/>
          <w:sz w:val="24"/>
        </w:rPr>
      </w:pPr>
      <w:r>
        <w:rPr>
          <w:rFonts w:eastAsia="仿宋_GB2312"/>
          <w:b/>
          <w:sz w:val="24"/>
        </w:rPr>
        <w:t xml:space="preserve">表5.2-19 </w:t>
      </w:r>
      <w:r>
        <w:rPr>
          <w:rFonts w:hint="eastAsia" w:eastAsia="仿宋_GB2312"/>
          <w:b/>
          <w:sz w:val="24"/>
        </w:rPr>
        <w:t>废水污染物排放信息表</w:t>
      </w:r>
    </w:p>
    <w:tbl>
      <w:tblPr>
        <w:tblStyle w:val="408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1432"/>
        <w:gridCol w:w="1535"/>
        <w:gridCol w:w="1385"/>
        <w:gridCol w:w="1684"/>
        <w:gridCol w:w="1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pPr>
              <w:adjustRightInd w:val="0"/>
              <w:snapToGrid w:val="0"/>
              <w:jc w:val="center"/>
              <w:rPr>
                <w:rFonts w:ascii="仿宋" w:hAnsi="仿宋" w:eastAsia="仿宋"/>
                <w:szCs w:val="21"/>
              </w:rPr>
            </w:pPr>
            <w:r>
              <w:rPr>
                <w:rFonts w:hint="eastAsia" w:ascii="仿宋" w:hAnsi="仿宋" w:eastAsia="仿宋"/>
                <w:szCs w:val="21"/>
              </w:rPr>
              <w:t>序号</w:t>
            </w:r>
          </w:p>
        </w:tc>
        <w:tc>
          <w:tcPr>
            <w:tcW w:w="1432" w:type="dxa"/>
            <w:vAlign w:val="center"/>
          </w:tcPr>
          <w:p>
            <w:pPr>
              <w:adjustRightInd w:val="0"/>
              <w:snapToGrid w:val="0"/>
              <w:jc w:val="center"/>
              <w:rPr>
                <w:rFonts w:ascii="仿宋" w:hAnsi="仿宋" w:eastAsia="仿宋"/>
                <w:szCs w:val="21"/>
              </w:rPr>
            </w:pPr>
            <w:r>
              <w:rPr>
                <w:rFonts w:hint="eastAsia" w:ascii="仿宋" w:hAnsi="仿宋" w:eastAsia="仿宋"/>
                <w:szCs w:val="21"/>
              </w:rPr>
              <w:t>排放口编号</w:t>
            </w:r>
          </w:p>
        </w:tc>
        <w:tc>
          <w:tcPr>
            <w:tcW w:w="1535" w:type="dxa"/>
            <w:vAlign w:val="center"/>
          </w:tcPr>
          <w:p>
            <w:pPr>
              <w:adjustRightInd w:val="0"/>
              <w:snapToGrid w:val="0"/>
              <w:jc w:val="center"/>
              <w:rPr>
                <w:rFonts w:ascii="仿宋" w:hAnsi="仿宋" w:eastAsia="仿宋"/>
                <w:szCs w:val="21"/>
              </w:rPr>
            </w:pPr>
            <w:r>
              <w:rPr>
                <w:rFonts w:hint="eastAsia" w:ascii="仿宋" w:hAnsi="仿宋" w:eastAsia="仿宋"/>
                <w:szCs w:val="21"/>
              </w:rPr>
              <w:t>污染物种类</w:t>
            </w:r>
          </w:p>
        </w:tc>
        <w:tc>
          <w:tcPr>
            <w:tcW w:w="1385" w:type="dxa"/>
            <w:vAlign w:val="center"/>
          </w:tcPr>
          <w:p>
            <w:pPr>
              <w:adjustRightInd w:val="0"/>
              <w:snapToGrid w:val="0"/>
              <w:jc w:val="center"/>
              <w:rPr>
                <w:rFonts w:ascii="仿宋" w:hAnsi="仿宋" w:eastAsia="仿宋"/>
                <w:szCs w:val="21"/>
              </w:rPr>
            </w:pPr>
            <w:r>
              <w:rPr>
                <w:rFonts w:hint="eastAsia" w:ascii="仿宋" w:hAnsi="仿宋" w:eastAsia="仿宋"/>
                <w:szCs w:val="21"/>
              </w:rPr>
              <w:t>排放浓度（m</w:t>
            </w:r>
            <w:r>
              <w:rPr>
                <w:rFonts w:ascii="仿宋" w:hAnsi="仿宋" w:eastAsia="仿宋"/>
                <w:szCs w:val="21"/>
              </w:rPr>
              <w:t>g/L</w:t>
            </w:r>
            <w:r>
              <w:rPr>
                <w:rFonts w:hint="eastAsia" w:ascii="仿宋" w:hAnsi="仿宋" w:eastAsia="仿宋"/>
                <w:szCs w:val="21"/>
              </w:rPr>
              <w:t>）</w:t>
            </w:r>
          </w:p>
        </w:tc>
        <w:tc>
          <w:tcPr>
            <w:tcW w:w="1685" w:type="dxa"/>
            <w:vAlign w:val="center"/>
          </w:tcPr>
          <w:p>
            <w:pPr>
              <w:adjustRightInd w:val="0"/>
              <w:snapToGrid w:val="0"/>
              <w:jc w:val="center"/>
              <w:rPr>
                <w:rFonts w:ascii="仿宋" w:hAnsi="仿宋" w:eastAsia="仿宋"/>
                <w:szCs w:val="21"/>
              </w:rPr>
            </w:pPr>
            <w:r>
              <w:rPr>
                <w:rFonts w:hint="eastAsia" w:ascii="仿宋" w:hAnsi="仿宋" w:eastAsia="仿宋"/>
                <w:szCs w:val="21"/>
              </w:rPr>
              <w:t>全厂日排放量（</w:t>
            </w:r>
            <w:r>
              <w:rPr>
                <w:rFonts w:ascii="仿宋" w:hAnsi="仿宋" w:eastAsia="仿宋"/>
                <w:szCs w:val="21"/>
              </w:rPr>
              <w:t>t/d</w:t>
            </w:r>
            <w:r>
              <w:rPr>
                <w:rFonts w:hint="eastAsia" w:ascii="仿宋" w:hAnsi="仿宋" w:eastAsia="仿宋"/>
                <w:szCs w:val="21"/>
              </w:rPr>
              <w:t>）</w:t>
            </w:r>
          </w:p>
        </w:tc>
        <w:tc>
          <w:tcPr>
            <w:tcW w:w="1795" w:type="dxa"/>
            <w:vAlign w:val="center"/>
          </w:tcPr>
          <w:p>
            <w:pPr>
              <w:adjustRightInd w:val="0"/>
              <w:snapToGrid w:val="0"/>
              <w:jc w:val="center"/>
              <w:rPr>
                <w:rFonts w:ascii="仿宋" w:hAnsi="仿宋" w:eastAsia="仿宋"/>
                <w:szCs w:val="21"/>
              </w:rPr>
            </w:pPr>
            <w:r>
              <w:rPr>
                <w:rFonts w:hint="eastAsia" w:ascii="仿宋" w:hAnsi="仿宋" w:eastAsia="仿宋"/>
                <w:szCs w:val="21"/>
              </w:rPr>
              <w:t>全厂年排放量（t</w:t>
            </w:r>
            <w:r>
              <w:rPr>
                <w:rFonts w:ascii="仿宋" w:hAnsi="仿宋" w:eastAsia="仿宋"/>
                <w:szCs w:val="21"/>
              </w:rPr>
              <w:t>/a</w:t>
            </w:r>
            <w:r>
              <w:rPr>
                <w:rFonts w:hint="eastAsia" w:ascii="仿宋" w:hAnsi="仿宋" w:eastAsia="仿宋"/>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pPr>
              <w:adjustRightInd w:val="0"/>
              <w:snapToGrid w:val="0"/>
              <w:jc w:val="center"/>
              <w:rPr>
                <w:rFonts w:ascii="仿宋" w:hAnsi="仿宋" w:eastAsia="仿宋"/>
                <w:szCs w:val="21"/>
              </w:rPr>
            </w:pPr>
            <w:r>
              <w:rPr>
                <w:rFonts w:hint="eastAsia" w:ascii="仿宋" w:hAnsi="仿宋" w:eastAsia="仿宋"/>
                <w:szCs w:val="21"/>
              </w:rPr>
              <w:t>1</w:t>
            </w:r>
          </w:p>
        </w:tc>
        <w:tc>
          <w:tcPr>
            <w:tcW w:w="1432" w:type="dxa"/>
            <w:vMerge w:val="restart"/>
            <w:vAlign w:val="center"/>
          </w:tcPr>
          <w:p>
            <w:pPr>
              <w:adjustRightInd w:val="0"/>
              <w:snapToGrid w:val="0"/>
              <w:jc w:val="center"/>
              <w:rPr>
                <w:rFonts w:ascii="仿宋" w:hAnsi="仿宋" w:eastAsia="仿宋"/>
                <w:szCs w:val="21"/>
              </w:rPr>
            </w:pPr>
            <w:r>
              <w:rPr>
                <w:rFonts w:hint="eastAsia" w:ascii="仿宋" w:hAnsi="仿宋" w:eastAsia="仿宋"/>
                <w:szCs w:val="21"/>
              </w:rPr>
              <w:t>D</w:t>
            </w:r>
            <w:r>
              <w:rPr>
                <w:rFonts w:ascii="仿宋" w:hAnsi="仿宋" w:eastAsia="仿宋"/>
                <w:szCs w:val="21"/>
              </w:rPr>
              <w:t>W01</w:t>
            </w:r>
          </w:p>
        </w:tc>
        <w:tc>
          <w:tcPr>
            <w:tcW w:w="1535" w:type="dxa"/>
            <w:vAlign w:val="center"/>
          </w:tcPr>
          <w:p>
            <w:pPr>
              <w:adjustRightInd w:val="0"/>
              <w:snapToGrid w:val="0"/>
              <w:jc w:val="center"/>
              <w:rPr>
                <w:rFonts w:ascii="仿宋" w:hAnsi="仿宋" w:eastAsia="仿宋"/>
                <w:szCs w:val="21"/>
              </w:rPr>
            </w:pPr>
            <w:r>
              <w:rPr>
                <w:rFonts w:hint="eastAsia" w:ascii="仿宋" w:hAnsi="仿宋" w:eastAsia="仿宋"/>
                <w:szCs w:val="21"/>
              </w:rPr>
              <w:t>水量</w:t>
            </w:r>
          </w:p>
        </w:tc>
        <w:tc>
          <w:tcPr>
            <w:tcW w:w="1385" w:type="dxa"/>
            <w:vAlign w:val="center"/>
          </w:tcPr>
          <w:p>
            <w:pPr>
              <w:widowControl/>
              <w:jc w:val="center"/>
              <w:rPr>
                <w:rFonts w:ascii="仿宋" w:hAnsi="仿宋" w:eastAsia="仿宋"/>
                <w:kern w:val="0"/>
                <w:szCs w:val="21"/>
              </w:rPr>
            </w:pPr>
            <w:r>
              <w:rPr>
                <w:rFonts w:hint="eastAsia" w:ascii="仿宋" w:hAnsi="仿宋" w:eastAsia="仿宋"/>
                <w:kern w:val="0"/>
                <w:szCs w:val="21"/>
              </w:rPr>
              <w:t>/</w:t>
            </w:r>
          </w:p>
        </w:tc>
        <w:tc>
          <w:tcPr>
            <w:tcW w:w="1685" w:type="dxa"/>
            <w:vAlign w:val="center"/>
          </w:tcPr>
          <w:p>
            <w:pPr>
              <w:widowControl/>
              <w:jc w:val="center"/>
              <w:rPr>
                <w:rFonts w:ascii="仿宋" w:hAnsi="仿宋" w:eastAsia="仿宋"/>
                <w:kern w:val="0"/>
                <w:szCs w:val="21"/>
              </w:rPr>
            </w:pPr>
            <w:r>
              <w:rPr>
                <w:rFonts w:hint="eastAsia" w:ascii="仿宋" w:hAnsi="仿宋" w:eastAsia="仿宋"/>
                <w:kern w:val="0"/>
                <w:szCs w:val="21"/>
              </w:rPr>
              <w:t>3</w:t>
            </w:r>
            <w:r>
              <w:rPr>
                <w:rFonts w:ascii="仿宋" w:hAnsi="仿宋" w:eastAsia="仿宋"/>
                <w:kern w:val="0"/>
                <w:szCs w:val="21"/>
              </w:rPr>
              <w:t>.</w:t>
            </w:r>
            <w:r>
              <w:rPr>
                <w:rFonts w:hint="eastAsia" w:ascii="仿宋" w:hAnsi="仿宋" w:eastAsia="仿宋"/>
                <w:kern w:val="0"/>
                <w:szCs w:val="21"/>
              </w:rPr>
              <w:t>6</w:t>
            </w:r>
          </w:p>
        </w:tc>
        <w:tc>
          <w:tcPr>
            <w:tcW w:w="1795" w:type="dxa"/>
            <w:vAlign w:val="center"/>
          </w:tcPr>
          <w:p>
            <w:pPr>
              <w:widowControl/>
              <w:jc w:val="center"/>
              <w:rPr>
                <w:rFonts w:ascii="仿宋" w:hAnsi="仿宋" w:eastAsia="仿宋"/>
                <w:kern w:val="0"/>
                <w:szCs w:val="21"/>
              </w:rPr>
            </w:pPr>
            <w:r>
              <w:rPr>
                <w:rFonts w:hint="eastAsia" w:ascii="仿宋" w:hAnsi="仿宋" w:eastAsia="仿宋"/>
                <w:kern w:val="0"/>
                <w:szCs w:val="21"/>
              </w:rPr>
              <w:t>1080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pPr>
              <w:adjustRightInd w:val="0"/>
              <w:snapToGrid w:val="0"/>
              <w:jc w:val="center"/>
              <w:rPr>
                <w:rFonts w:ascii="仿宋" w:hAnsi="仿宋" w:eastAsia="仿宋"/>
                <w:szCs w:val="21"/>
              </w:rPr>
            </w:pPr>
            <w:r>
              <w:rPr>
                <w:rFonts w:hint="eastAsia" w:ascii="仿宋" w:hAnsi="仿宋" w:eastAsia="仿宋"/>
                <w:szCs w:val="21"/>
              </w:rPr>
              <w:t>2</w:t>
            </w:r>
          </w:p>
        </w:tc>
        <w:tc>
          <w:tcPr>
            <w:tcW w:w="1432" w:type="dxa"/>
            <w:vMerge w:val="continue"/>
            <w:vAlign w:val="center"/>
          </w:tcPr>
          <w:p>
            <w:pPr>
              <w:adjustRightInd w:val="0"/>
              <w:snapToGrid w:val="0"/>
              <w:jc w:val="center"/>
              <w:rPr>
                <w:rFonts w:ascii="仿宋" w:hAnsi="仿宋" w:eastAsia="仿宋"/>
                <w:szCs w:val="21"/>
              </w:rPr>
            </w:pPr>
          </w:p>
        </w:tc>
        <w:tc>
          <w:tcPr>
            <w:tcW w:w="1535" w:type="dxa"/>
            <w:vAlign w:val="center"/>
          </w:tcPr>
          <w:p>
            <w:pPr>
              <w:adjustRightInd w:val="0"/>
              <w:snapToGrid w:val="0"/>
              <w:jc w:val="center"/>
              <w:rPr>
                <w:rFonts w:ascii="仿宋" w:hAnsi="仿宋" w:eastAsia="仿宋"/>
                <w:szCs w:val="21"/>
              </w:rPr>
            </w:pPr>
            <w:r>
              <w:rPr>
                <w:rFonts w:ascii="仿宋" w:hAnsi="仿宋" w:eastAsia="仿宋"/>
                <w:szCs w:val="21"/>
              </w:rPr>
              <w:t>COD</w:t>
            </w:r>
          </w:p>
        </w:tc>
        <w:tc>
          <w:tcPr>
            <w:tcW w:w="1385" w:type="dxa"/>
            <w:vAlign w:val="center"/>
          </w:tcPr>
          <w:p>
            <w:pPr>
              <w:widowControl/>
              <w:jc w:val="center"/>
              <w:rPr>
                <w:rFonts w:ascii="仿宋" w:hAnsi="仿宋" w:eastAsia="仿宋"/>
                <w:kern w:val="0"/>
                <w:szCs w:val="21"/>
              </w:rPr>
            </w:pPr>
            <w:r>
              <w:rPr>
                <w:rFonts w:hint="eastAsia" w:ascii="仿宋" w:hAnsi="仿宋" w:eastAsia="仿宋"/>
                <w:kern w:val="0"/>
                <w:szCs w:val="21"/>
              </w:rPr>
              <w:t>400</w:t>
            </w:r>
          </w:p>
        </w:tc>
        <w:tc>
          <w:tcPr>
            <w:tcW w:w="1685" w:type="dxa"/>
            <w:vAlign w:val="center"/>
          </w:tcPr>
          <w:p>
            <w:pPr>
              <w:jc w:val="center"/>
              <w:rPr>
                <w:rFonts w:ascii="仿宋" w:hAnsi="仿宋" w:eastAsia="仿宋"/>
                <w:szCs w:val="21"/>
              </w:rPr>
            </w:pPr>
            <w:r>
              <w:rPr>
                <w:rFonts w:hint="eastAsia" w:ascii="仿宋" w:hAnsi="仿宋" w:eastAsia="仿宋"/>
                <w:szCs w:val="21"/>
              </w:rPr>
              <w:t>0.</w:t>
            </w:r>
            <w:r>
              <w:rPr>
                <w:rFonts w:ascii="仿宋" w:hAnsi="仿宋" w:eastAsia="仿宋"/>
                <w:szCs w:val="21"/>
              </w:rPr>
              <w:t>0</w:t>
            </w:r>
            <w:r>
              <w:rPr>
                <w:rFonts w:hint="eastAsia" w:ascii="仿宋" w:hAnsi="仿宋" w:eastAsia="仿宋"/>
                <w:szCs w:val="21"/>
              </w:rPr>
              <w:t>014</w:t>
            </w:r>
          </w:p>
        </w:tc>
        <w:tc>
          <w:tcPr>
            <w:tcW w:w="1795" w:type="dxa"/>
            <w:vAlign w:val="center"/>
          </w:tcPr>
          <w:p>
            <w:pPr>
              <w:adjustRightInd w:val="0"/>
              <w:snapToGrid w:val="0"/>
              <w:spacing w:line="240" w:lineRule="exact"/>
              <w:jc w:val="center"/>
              <w:rPr>
                <w:rFonts w:ascii="仿宋" w:hAnsi="仿宋" w:eastAsia="仿宋" w:cs="仿宋"/>
                <w:bCs/>
                <w:szCs w:val="21"/>
              </w:rPr>
            </w:pPr>
            <w:r>
              <w:rPr>
                <w:rFonts w:ascii="仿宋" w:hAnsi="仿宋" w:eastAsia="仿宋" w:cs="仿宋"/>
                <w:bCs/>
                <w:szCs w:val="21"/>
              </w:rPr>
              <w:t>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pPr>
              <w:adjustRightInd w:val="0"/>
              <w:snapToGrid w:val="0"/>
              <w:jc w:val="center"/>
              <w:rPr>
                <w:rFonts w:ascii="仿宋" w:hAnsi="仿宋" w:eastAsia="仿宋"/>
                <w:szCs w:val="21"/>
              </w:rPr>
            </w:pPr>
            <w:r>
              <w:rPr>
                <w:rFonts w:hint="eastAsia" w:ascii="仿宋" w:hAnsi="仿宋" w:eastAsia="仿宋"/>
                <w:szCs w:val="21"/>
              </w:rPr>
              <w:t>3</w:t>
            </w:r>
          </w:p>
        </w:tc>
        <w:tc>
          <w:tcPr>
            <w:tcW w:w="1432" w:type="dxa"/>
            <w:vMerge w:val="continue"/>
            <w:vAlign w:val="center"/>
          </w:tcPr>
          <w:p>
            <w:pPr>
              <w:adjustRightInd w:val="0"/>
              <w:snapToGrid w:val="0"/>
              <w:jc w:val="center"/>
              <w:rPr>
                <w:rFonts w:ascii="仿宋" w:hAnsi="仿宋" w:eastAsia="仿宋"/>
                <w:szCs w:val="21"/>
              </w:rPr>
            </w:pPr>
          </w:p>
        </w:tc>
        <w:tc>
          <w:tcPr>
            <w:tcW w:w="1535" w:type="dxa"/>
            <w:vAlign w:val="center"/>
          </w:tcPr>
          <w:p>
            <w:pPr>
              <w:adjustRightInd w:val="0"/>
              <w:snapToGrid w:val="0"/>
              <w:jc w:val="center"/>
              <w:rPr>
                <w:rFonts w:ascii="仿宋" w:hAnsi="仿宋" w:eastAsia="仿宋"/>
                <w:szCs w:val="21"/>
              </w:rPr>
            </w:pPr>
            <w:r>
              <w:rPr>
                <w:rFonts w:ascii="仿宋" w:hAnsi="仿宋" w:eastAsia="仿宋"/>
                <w:szCs w:val="21"/>
              </w:rPr>
              <w:t>SS</w:t>
            </w:r>
          </w:p>
        </w:tc>
        <w:tc>
          <w:tcPr>
            <w:tcW w:w="1385" w:type="dxa"/>
            <w:vAlign w:val="center"/>
          </w:tcPr>
          <w:p>
            <w:pPr>
              <w:widowControl/>
              <w:jc w:val="center"/>
              <w:rPr>
                <w:rFonts w:ascii="仿宋" w:hAnsi="仿宋" w:eastAsia="仿宋"/>
                <w:kern w:val="0"/>
                <w:szCs w:val="21"/>
              </w:rPr>
            </w:pPr>
            <w:r>
              <w:rPr>
                <w:rFonts w:hint="eastAsia" w:ascii="仿宋" w:hAnsi="仿宋" w:eastAsia="仿宋"/>
                <w:kern w:val="0"/>
                <w:szCs w:val="21"/>
              </w:rPr>
              <w:t>250</w:t>
            </w:r>
          </w:p>
        </w:tc>
        <w:tc>
          <w:tcPr>
            <w:tcW w:w="1685" w:type="dxa"/>
            <w:vAlign w:val="center"/>
          </w:tcPr>
          <w:p>
            <w:pPr>
              <w:jc w:val="center"/>
              <w:rPr>
                <w:rFonts w:ascii="仿宋" w:hAnsi="仿宋" w:eastAsia="仿宋"/>
                <w:szCs w:val="21"/>
              </w:rPr>
            </w:pPr>
            <w:r>
              <w:rPr>
                <w:rFonts w:hint="eastAsia" w:ascii="仿宋" w:hAnsi="仿宋" w:eastAsia="仿宋"/>
                <w:szCs w:val="21"/>
              </w:rPr>
              <w:t>0.0</w:t>
            </w:r>
            <w:r>
              <w:rPr>
                <w:rFonts w:ascii="仿宋" w:hAnsi="仿宋" w:eastAsia="仿宋"/>
                <w:szCs w:val="21"/>
              </w:rPr>
              <w:t>0</w:t>
            </w:r>
            <w:r>
              <w:rPr>
                <w:rFonts w:hint="eastAsia" w:ascii="仿宋" w:hAnsi="仿宋" w:eastAsia="仿宋"/>
                <w:szCs w:val="21"/>
              </w:rPr>
              <w:t>09</w:t>
            </w:r>
          </w:p>
        </w:tc>
        <w:tc>
          <w:tcPr>
            <w:tcW w:w="1795" w:type="dxa"/>
            <w:vAlign w:val="center"/>
          </w:tcPr>
          <w:p>
            <w:pPr>
              <w:spacing w:line="240" w:lineRule="exact"/>
              <w:jc w:val="center"/>
              <w:rPr>
                <w:rFonts w:ascii="仿宋" w:hAnsi="仿宋" w:eastAsia="仿宋" w:cs="仿宋"/>
                <w:bCs/>
                <w:szCs w:val="21"/>
              </w:rPr>
            </w:pPr>
            <w:r>
              <w:rPr>
                <w:rFonts w:eastAsia="仿宋_GB2312"/>
                <w:kern w:val="0"/>
                <w:szCs w:val="21"/>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pPr>
              <w:adjustRightInd w:val="0"/>
              <w:snapToGrid w:val="0"/>
              <w:jc w:val="center"/>
              <w:rPr>
                <w:rFonts w:ascii="仿宋" w:hAnsi="仿宋" w:eastAsia="仿宋"/>
                <w:szCs w:val="21"/>
              </w:rPr>
            </w:pPr>
            <w:r>
              <w:rPr>
                <w:rFonts w:hint="eastAsia" w:ascii="仿宋" w:hAnsi="仿宋" w:eastAsia="仿宋"/>
                <w:szCs w:val="21"/>
              </w:rPr>
              <w:t>4</w:t>
            </w:r>
          </w:p>
        </w:tc>
        <w:tc>
          <w:tcPr>
            <w:tcW w:w="1432" w:type="dxa"/>
            <w:vMerge w:val="continue"/>
            <w:vAlign w:val="center"/>
          </w:tcPr>
          <w:p>
            <w:pPr>
              <w:adjustRightInd w:val="0"/>
              <w:snapToGrid w:val="0"/>
              <w:jc w:val="center"/>
              <w:rPr>
                <w:rFonts w:ascii="仿宋" w:hAnsi="仿宋" w:eastAsia="仿宋"/>
                <w:szCs w:val="21"/>
              </w:rPr>
            </w:pPr>
          </w:p>
        </w:tc>
        <w:tc>
          <w:tcPr>
            <w:tcW w:w="1535" w:type="dxa"/>
            <w:vAlign w:val="center"/>
          </w:tcPr>
          <w:p>
            <w:pPr>
              <w:adjustRightInd w:val="0"/>
              <w:snapToGrid w:val="0"/>
              <w:jc w:val="center"/>
              <w:rPr>
                <w:rFonts w:ascii="仿宋" w:hAnsi="仿宋" w:eastAsia="仿宋"/>
                <w:szCs w:val="21"/>
              </w:rPr>
            </w:pPr>
            <w:r>
              <w:rPr>
                <w:rFonts w:ascii="仿宋" w:hAnsi="仿宋" w:eastAsia="仿宋"/>
                <w:szCs w:val="21"/>
              </w:rPr>
              <w:t>NH</w:t>
            </w:r>
            <w:r>
              <w:rPr>
                <w:rFonts w:ascii="仿宋" w:hAnsi="仿宋" w:eastAsia="仿宋"/>
                <w:szCs w:val="21"/>
                <w:vertAlign w:val="subscript"/>
              </w:rPr>
              <w:t>3</w:t>
            </w:r>
            <w:r>
              <w:rPr>
                <w:rFonts w:ascii="仿宋" w:hAnsi="仿宋" w:eastAsia="仿宋"/>
                <w:szCs w:val="21"/>
              </w:rPr>
              <w:t>-N</w:t>
            </w:r>
          </w:p>
        </w:tc>
        <w:tc>
          <w:tcPr>
            <w:tcW w:w="1385" w:type="dxa"/>
            <w:vAlign w:val="center"/>
          </w:tcPr>
          <w:p>
            <w:pPr>
              <w:widowControl/>
              <w:jc w:val="center"/>
              <w:rPr>
                <w:rFonts w:ascii="仿宋" w:hAnsi="仿宋" w:eastAsia="仿宋"/>
                <w:kern w:val="0"/>
                <w:szCs w:val="21"/>
              </w:rPr>
            </w:pPr>
            <w:r>
              <w:rPr>
                <w:rFonts w:hint="eastAsia" w:ascii="仿宋" w:hAnsi="仿宋" w:eastAsia="仿宋"/>
                <w:kern w:val="0"/>
                <w:szCs w:val="21"/>
              </w:rPr>
              <w:t>25</w:t>
            </w:r>
          </w:p>
        </w:tc>
        <w:tc>
          <w:tcPr>
            <w:tcW w:w="1685" w:type="dxa"/>
            <w:vAlign w:val="center"/>
          </w:tcPr>
          <w:p>
            <w:pPr>
              <w:jc w:val="center"/>
              <w:rPr>
                <w:rFonts w:ascii="仿宋" w:hAnsi="仿宋" w:eastAsia="仿宋"/>
                <w:szCs w:val="21"/>
              </w:rPr>
            </w:pPr>
            <w:r>
              <w:rPr>
                <w:rFonts w:hint="eastAsia" w:ascii="仿宋" w:hAnsi="仿宋" w:eastAsia="仿宋"/>
                <w:szCs w:val="21"/>
              </w:rPr>
              <w:t>0.00</w:t>
            </w:r>
            <w:r>
              <w:rPr>
                <w:rFonts w:ascii="仿宋" w:hAnsi="仿宋" w:eastAsia="仿宋"/>
                <w:szCs w:val="21"/>
              </w:rPr>
              <w:t>0</w:t>
            </w:r>
            <w:r>
              <w:rPr>
                <w:rFonts w:hint="eastAsia" w:ascii="仿宋" w:hAnsi="仿宋" w:eastAsia="仿宋"/>
                <w:szCs w:val="21"/>
              </w:rPr>
              <w:t>09</w:t>
            </w:r>
          </w:p>
        </w:tc>
        <w:tc>
          <w:tcPr>
            <w:tcW w:w="1795" w:type="dxa"/>
            <w:vAlign w:val="center"/>
          </w:tcPr>
          <w:p>
            <w:pPr>
              <w:spacing w:line="240" w:lineRule="exact"/>
              <w:jc w:val="center"/>
              <w:rPr>
                <w:rFonts w:ascii="仿宋" w:hAnsi="仿宋" w:eastAsia="仿宋" w:cs="仿宋"/>
                <w:bCs/>
                <w:szCs w:val="21"/>
              </w:rPr>
            </w:pPr>
            <w:r>
              <w:rPr>
                <w:rFonts w:hint="eastAsia" w:eastAsia="仿宋_GB2312"/>
                <w:kern w:val="0"/>
                <w:szCs w:val="21"/>
              </w:rPr>
              <w:t>0.</w:t>
            </w:r>
            <w:r>
              <w:rPr>
                <w:rFonts w:eastAsia="仿宋_GB2312"/>
                <w:kern w:val="0"/>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pPr>
              <w:adjustRightInd w:val="0"/>
              <w:snapToGrid w:val="0"/>
              <w:jc w:val="center"/>
              <w:rPr>
                <w:rFonts w:ascii="仿宋" w:hAnsi="仿宋" w:eastAsia="仿宋"/>
                <w:szCs w:val="21"/>
              </w:rPr>
            </w:pPr>
            <w:r>
              <w:rPr>
                <w:rFonts w:hint="eastAsia" w:ascii="仿宋" w:hAnsi="仿宋" w:eastAsia="仿宋"/>
                <w:szCs w:val="21"/>
              </w:rPr>
              <w:t>5</w:t>
            </w:r>
          </w:p>
        </w:tc>
        <w:tc>
          <w:tcPr>
            <w:tcW w:w="1432" w:type="dxa"/>
            <w:vMerge w:val="continue"/>
            <w:vAlign w:val="center"/>
          </w:tcPr>
          <w:p>
            <w:pPr>
              <w:adjustRightInd w:val="0"/>
              <w:snapToGrid w:val="0"/>
              <w:jc w:val="center"/>
              <w:rPr>
                <w:rFonts w:ascii="仿宋" w:hAnsi="仿宋" w:eastAsia="仿宋"/>
                <w:szCs w:val="21"/>
              </w:rPr>
            </w:pPr>
          </w:p>
        </w:tc>
        <w:tc>
          <w:tcPr>
            <w:tcW w:w="1535" w:type="dxa"/>
            <w:vAlign w:val="center"/>
          </w:tcPr>
          <w:p>
            <w:pPr>
              <w:adjustRightInd w:val="0"/>
              <w:snapToGrid w:val="0"/>
              <w:jc w:val="center"/>
              <w:rPr>
                <w:rFonts w:ascii="仿宋" w:hAnsi="仿宋" w:eastAsia="仿宋"/>
                <w:szCs w:val="21"/>
              </w:rPr>
            </w:pPr>
            <w:r>
              <w:rPr>
                <w:rFonts w:hint="eastAsia" w:ascii="仿宋" w:hAnsi="仿宋" w:eastAsia="仿宋"/>
                <w:szCs w:val="21"/>
              </w:rPr>
              <w:t>TN</w:t>
            </w:r>
          </w:p>
        </w:tc>
        <w:tc>
          <w:tcPr>
            <w:tcW w:w="1385" w:type="dxa"/>
            <w:vAlign w:val="center"/>
          </w:tcPr>
          <w:p>
            <w:pPr>
              <w:widowControl/>
              <w:jc w:val="center"/>
              <w:rPr>
                <w:rFonts w:ascii="仿宋" w:hAnsi="仿宋" w:eastAsia="仿宋"/>
                <w:kern w:val="0"/>
                <w:szCs w:val="21"/>
              </w:rPr>
            </w:pPr>
            <w:r>
              <w:rPr>
                <w:rFonts w:hint="eastAsia" w:ascii="仿宋" w:hAnsi="仿宋" w:eastAsia="仿宋"/>
                <w:kern w:val="0"/>
                <w:szCs w:val="21"/>
              </w:rPr>
              <w:t>40</w:t>
            </w:r>
          </w:p>
        </w:tc>
        <w:tc>
          <w:tcPr>
            <w:tcW w:w="1685" w:type="dxa"/>
            <w:vAlign w:val="center"/>
          </w:tcPr>
          <w:p>
            <w:pPr>
              <w:jc w:val="center"/>
              <w:rPr>
                <w:rFonts w:ascii="仿宋" w:hAnsi="仿宋" w:eastAsia="仿宋"/>
                <w:szCs w:val="21"/>
              </w:rPr>
            </w:pPr>
            <w:r>
              <w:rPr>
                <w:rFonts w:hint="eastAsia" w:ascii="仿宋" w:hAnsi="仿宋" w:eastAsia="仿宋"/>
                <w:szCs w:val="21"/>
              </w:rPr>
              <w:t>0.00</w:t>
            </w:r>
            <w:r>
              <w:rPr>
                <w:rFonts w:ascii="仿宋" w:hAnsi="仿宋" w:eastAsia="仿宋"/>
                <w:szCs w:val="21"/>
              </w:rPr>
              <w:t>0</w:t>
            </w:r>
            <w:r>
              <w:rPr>
                <w:rFonts w:hint="eastAsia" w:ascii="仿宋" w:hAnsi="仿宋" w:eastAsia="仿宋"/>
                <w:szCs w:val="21"/>
              </w:rPr>
              <w:t>14</w:t>
            </w:r>
          </w:p>
        </w:tc>
        <w:tc>
          <w:tcPr>
            <w:tcW w:w="1795" w:type="dxa"/>
            <w:vAlign w:val="center"/>
          </w:tcPr>
          <w:p>
            <w:pPr>
              <w:spacing w:line="240" w:lineRule="exact"/>
              <w:jc w:val="center"/>
              <w:rPr>
                <w:rFonts w:ascii="仿宋" w:hAnsi="仿宋" w:eastAsia="仿宋" w:cs="仿宋"/>
                <w:bCs/>
                <w:szCs w:val="21"/>
              </w:rPr>
            </w:pPr>
            <w:r>
              <w:rPr>
                <w:rFonts w:hint="eastAsia" w:eastAsia="仿宋_GB2312"/>
                <w:kern w:val="0"/>
                <w:szCs w:val="21"/>
              </w:rPr>
              <w:t>0.0</w:t>
            </w:r>
            <w:r>
              <w:rPr>
                <w:rFonts w:eastAsia="仿宋_GB2312"/>
                <w:kern w:val="0"/>
                <w:szCs w:val="21"/>
              </w:rPr>
              <w:t>0</w:t>
            </w:r>
            <w:r>
              <w:rPr>
                <w:rFonts w:hint="eastAsia" w:eastAsia="仿宋_GB2312"/>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pPr>
              <w:adjustRightInd w:val="0"/>
              <w:snapToGrid w:val="0"/>
              <w:jc w:val="center"/>
              <w:rPr>
                <w:rFonts w:ascii="仿宋" w:hAnsi="仿宋" w:eastAsia="仿宋"/>
                <w:szCs w:val="21"/>
              </w:rPr>
            </w:pPr>
            <w:r>
              <w:rPr>
                <w:rFonts w:hint="eastAsia" w:ascii="仿宋" w:hAnsi="仿宋" w:eastAsia="仿宋"/>
                <w:szCs w:val="21"/>
              </w:rPr>
              <w:t>6</w:t>
            </w:r>
          </w:p>
        </w:tc>
        <w:tc>
          <w:tcPr>
            <w:tcW w:w="1432" w:type="dxa"/>
            <w:vMerge w:val="continue"/>
            <w:vAlign w:val="center"/>
          </w:tcPr>
          <w:p>
            <w:pPr>
              <w:adjustRightInd w:val="0"/>
              <w:snapToGrid w:val="0"/>
              <w:jc w:val="center"/>
              <w:rPr>
                <w:rFonts w:ascii="仿宋" w:hAnsi="仿宋" w:eastAsia="仿宋"/>
                <w:szCs w:val="21"/>
              </w:rPr>
            </w:pPr>
          </w:p>
        </w:tc>
        <w:tc>
          <w:tcPr>
            <w:tcW w:w="1535" w:type="dxa"/>
            <w:vAlign w:val="center"/>
          </w:tcPr>
          <w:p>
            <w:pPr>
              <w:adjustRightInd w:val="0"/>
              <w:snapToGrid w:val="0"/>
              <w:jc w:val="center"/>
              <w:rPr>
                <w:rFonts w:ascii="仿宋" w:hAnsi="仿宋" w:eastAsia="仿宋"/>
                <w:szCs w:val="21"/>
              </w:rPr>
            </w:pPr>
            <w:r>
              <w:rPr>
                <w:rFonts w:ascii="仿宋" w:hAnsi="仿宋" w:eastAsia="仿宋"/>
                <w:szCs w:val="21"/>
              </w:rPr>
              <w:t>TP</w:t>
            </w:r>
          </w:p>
        </w:tc>
        <w:tc>
          <w:tcPr>
            <w:tcW w:w="1385" w:type="dxa"/>
            <w:vAlign w:val="center"/>
          </w:tcPr>
          <w:p>
            <w:pPr>
              <w:widowControl/>
              <w:jc w:val="center"/>
              <w:rPr>
                <w:rFonts w:ascii="仿宋" w:hAnsi="仿宋" w:eastAsia="仿宋"/>
                <w:kern w:val="0"/>
                <w:szCs w:val="21"/>
              </w:rPr>
            </w:pPr>
            <w:r>
              <w:rPr>
                <w:rFonts w:hint="eastAsia" w:ascii="仿宋" w:hAnsi="仿宋" w:eastAsia="仿宋"/>
                <w:kern w:val="0"/>
                <w:szCs w:val="21"/>
              </w:rPr>
              <w:t>3</w:t>
            </w:r>
          </w:p>
        </w:tc>
        <w:tc>
          <w:tcPr>
            <w:tcW w:w="1685" w:type="dxa"/>
            <w:vAlign w:val="center"/>
          </w:tcPr>
          <w:p>
            <w:pPr>
              <w:jc w:val="center"/>
              <w:rPr>
                <w:rFonts w:ascii="仿宋" w:hAnsi="仿宋" w:eastAsia="仿宋"/>
                <w:szCs w:val="21"/>
              </w:rPr>
            </w:pPr>
            <w:r>
              <w:rPr>
                <w:rFonts w:hint="eastAsia" w:ascii="仿宋" w:hAnsi="仿宋" w:eastAsia="仿宋"/>
                <w:szCs w:val="21"/>
              </w:rPr>
              <w:t>0.000</w:t>
            </w:r>
            <w:r>
              <w:rPr>
                <w:rFonts w:ascii="仿宋" w:hAnsi="仿宋" w:eastAsia="仿宋"/>
                <w:szCs w:val="21"/>
              </w:rPr>
              <w:t>0</w:t>
            </w:r>
            <w:r>
              <w:rPr>
                <w:rFonts w:hint="eastAsia" w:ascii="仿宋" w:hAnsi="仿宋" w:eastAsia="仿宋"/>
                <w:szCs w:val="21"/>
              </w:rPr>
              <w:t>1</w:t>
            </w:r>
          </w:p>
        </w:tc>
        <w:tc>
          <w:tcPr>
            <w:tcW w:w="1795" w:type="dxa"/>
            <w:vAlign w:val="center"/>
          </w:tcPr>
          <w:p>
            <w:pPr>
              <w:spacing w:line="240" w:lineRule="exact"/>
              <w:jc w:val="center"/>
              <w:rPr>
                <w:rFonts w:ascii="仿宋" w:hAnsi="仿宋" w:eastAsia="仿宋" w:cs="仿宋"/>
                <w:bCs/>
                <w:szCs w:val="21"/>
              </w:rPr>
            </w:pPr>
            <w:r>
              <w:rPr>
                <w:rFonts w:hint="eastAsia" w:eastAsia="仿宋_GB2312"/>
                <w:kern w:val="0"/>
                <w:szCs w:val="21"/>
              </w:rPr>
              <w:t>0.</w:t>
            </w:r>
            <w:r>
              <w:rPr>
                <w:rFonts w:eastAsia="仿宋_GB2312"/>
                <w:kern w:val="0"/>
                <w:szCs w:val="21"/>
              </w:rPr>
              <w:t>0</w:t>
            </w:r>
            <w:r>
              <w:rPr>
                <w:rFonts w:hint="eastAsia" w:eastAsia="仿宋_GB2312"/>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8" w:type="dxa"/>
            <w:gridSpan w:val="2"/>
            <w:vMerge w:val="restart"/>
            <w:vAlign w:val="center"/>
          </w:tcPr>
          <w:p>
            <w:pPr>
              <w:adjustRightInd w:val="0"/>
              <w:snapToGrid w:val="0"/>
              <w:jc w:val="center"/>
              <w:rPr>
                <w:rFonts w:ascii="仿宋" w:hAnsi="仿宋" w:eastAsia="仿宋"/>
                <w:szCs w:val="21"/>
              </w:rPr>
            </w:pPr>
            <w:r>
              <w:rPr>
                <w:rFonts w:hint="eastAsia" w:ascii="仿宋" w:hAnsi="仿宋" w:eastAsia="仿宋"/>
                <w:szCs w:val="21"/>
              </w:rPr>
              <w:t>全厂排放合计</w:t>
            </w:r>
          </w:p>
        </w:tc>
        <w:tc>
          <w:tcPr>
            <w:tcW w:w="4605" w:type="dxa"/>
            <w:gridSpan w:val="3"/>
            <w:vAlign w:val="center"/>
          </w:tcPr>
          <w:p>
            <w:pPr>
              <w:adjustRightInd w:val="0"/>
              <w:snapToGrid w:val="0"/>
              <w:jc w:val="center"/>
              <w:rPr>
                <w:rFonts w:ascii="仿宋" w:hAnsi="仿宋" w:eastAsia="仿宋"/>
                <w:szCs w:val="21"/>
              </w:rPr>
            </w:pPr>
            <w:r>
              <w:rPr>
                <w:rFonts w:hint="eastAsia" w:ascii="仿宋" w:hAnsi="仿宋" w:eastAsia="仿宋"/>
                <w:szCs w:val="21"/>
              </w:rPr>
              <w:t>水量</w:t>
            </w:r>
          </w:p>
        </w:tc>
        <w:tc>
          <w:tcPr>
            <w:tcW w:w="1795" w:type="dxa"/>
            <w:vAlign w:val="center"/>
          </w:tcPr>
          <w:p>
            <w:pPr>
              <w:widowControl/>
              <w:jc w:val="center"/>
              <w:rPr>
                <w:rFonts w:ascii="仿宋" w:hAnsi="仿宋" w:eastAsia="仿宋"/>
                <w:kern w:val="0"/>
                <w:szCs w:val="21"/>
              </w:rPr>
            </w:pPr>
            <w:r>
              <w:rPr>
                <w:rFonts w:hint="eastAsia" w:ascii="仿宋" w:hAnsi="仿宋" w:eastAsia="仿宋"/>
                <w:kern w:val="0"/>
                <w:szCs w:val="21"/>
              </w:rPr>
              <w:t>1080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8" w:type="dxa"/>
            <w:gridSpan w:val="2"/>
            <w:vMerge w:val="continue"/>
            <w:vAlign w:val="center"/>
          </w:tcPr>
          <w:p>
            <w:pPr>
              <w:adjustRightInd w:val="0"/>
              <w:snapToGrid w:val="0"/>
              <w:jc w:val="center"/>
              <w:rPr>
                <w:rFonts w:ascii="仿宋" w:hAnsi="仿宋" w:eastAsia="仿宋"/>
                <w:szCs w:val="21"/>
              </w:rPr>
            </w:pPr>
          </w:p>
        </w:tc>
        <w:tc>
          <w:tcPr>
            <w:tcW w:w="4605" w:type="dxa"/>
            <w:gridSpan w:val="3"/>
            <w:vAlign w:val="center"/>
          </w:tcPr>
          <w:p>
            <w:pPr>
              <w:adjustRightInd w:val="0"/>
              <w:snapToGrid w:val="0"/>
              <w:jc w:val="center"/>
              <w:rPr>
                <w:rFonts w:ascii="仿宋" w:hAnsi="仿宋" w:eastAsia="仿宋"/>
                <w:szCs w:val="21"/>
              </w:rPr>
            </w:pPr>
            <w:r>
              <w:rPr>
                <w:rFonts w:ascii="仿宋" w:hAnsi="仿宋" w:eastAsia="仿宋"/>
                <w:szCs w:val="21"/>
              </w:rPr>
              <w:t>COD</w:t>
            </w:r>
          </w:p>
        </w:tc>
        <w:tc>
          <w:tcPr>
            <w:tcW w:w="1795" w:type="dxa"/>
            <w:vAlign w:val="center"/>
          </w:tcPr>
          <w:p>
            <w:pPr>
              <w:adjustRightInd w:val="0"/>
              <w:snapToGrid w:val="0"/>
              <w:spacing w:line="240" w:lineRule="exact"/>
              <w:jc w:val="center"/>
              <w:rPr>
                <w:rFonts w:ascii="仿宋" w:hAnsi="仿宋" w:eastAsia="仿宋" w:cs="仿宋"/>
                <w:bCs/>
                <w:szCs w:val="21"/>
              </w:rPr>
            </w:pPr>
            <w:r>
              <w:rPr>
                <w:rFonts w:ascii="仿宋" w:hAnsi="仿宋" w:eastAsia="仿宋" w:cs="仿宋"/>
                <w:bCs/>
                <w:szCs w:val="21"/>
              </w:rPr>
              <w:t>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8" w:type="dxa"/>
            <w:gridSpan w:val="2"/>
            <w:vMerge w:val="continue"/>
            <w:vAlign w:val="center"/>
          </w:tcPr>
          <w:p>
            <w:pPr>
              <w:adjustRightInd w:val="0"/>
              <w:snapToGrid w:val="0"/>
              <w:jc w:val="center"/>
              <w:rPr>
                <w:rFonts w:ascii="仿宋" w:hAnsi="仿宋" w:eastAsia="仿宋"/>
                <w:szCs w:val="21"/>
              </w:rPr>
            </w:pPr>
          </w:p>
        </w:tc>
        <w:tc>
          <w:tcPr>
            <w:tcW w:w="4605" w:type="dxa"/>
            <w:gridSpan w:val="3"/>
            <w:vAlign w:val="center"/>
          </w:tcPr>
          <w:p>
            <w:pPr>
              <w:adjustRightInd w:val="0"/>
              <w:snapToGrid w:val="0"/>
              <w:jc w:val="center"/>
              <w:rPr>
                <w:rFonts w:ascii="仿宋" w:hAnsi="仿宋" w:eastAsia="仿宋"/>
                <w:szCs w:val="21"/>
              </w:rPr>
            </w:pPr>
            <w:r>
              <w:rPr>
                <w:rFonts w:ascii="仿宋" w:hAnsi="仿宋" w:eastAsia="仿宋"/>
                <w:szCs w:val="21"/>
              </w:rPr>
              <w:t>SS</w:t>
            </w:r>
          </w:p>
        </w:tc>
        <w:tc>
          <w:tcPr>
            <w:tcW w:w="1795" w:type="dxa"/>
            <w:vAlign w:val="center"/>
          </w:tcPr>
          <w:p>
            <w:pPr>
              <w:spacing w:line="240" w:lineRule="exact"/>
              <w:jc w:val="center"/>
              <w:rPr>
                <w:rFonts w:ascii="仿宋" w:hAnsi="仿宋" w:eastAsia="仿宋" w:cs="仿宋"/>
                <w:bCs/>
                <w:szCs w:val="21"/>
              </w:rPr>
            </w:pPr>
            <w:r>
              <w:rPr>
                <w:rFonts w:eastAsia="仿宋_GB2312"/>
                <w:kern w:val="0"/>
                <w:szCs w:val="21"/>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8" w:type="dxa"/>
            <w:gridSpan w:val="2"/>
            <w:vMerge w:val="continue"/>
            <w:vAlign w:val="center"/>
          </w:tcPr>
          <w:p>
            <w:pPr>
              <w:adjustRightInd w:val="0"/>
              <w:snapToGrid w:val="0"/>
              <w:jc w:val="center"/>
              <w:rPr>
                <w:rFonts w:ascii="仿宋" w:hAnsi="仿宋" w:eastAsia="仿宋"/>
                <w:szCs w:val="21"/>
              </w:rPr>
            </w:pPr>
          </w:p>
        </w:tc>
        <w:tc>
          <w:tcPr>
            <w:tcW w:w="4605" w:type="dxa"/>
            <w:gridSpan w:val="3"/>
            <w:vAlign w:val="center"/>
          </w:tcPr>
          <w:p>
            <w:pPr>
              <w:adjustRightInd w:val="0"/>
              <w:snapToGrid w:val="0"/>
              <w:jc w:val="center"/>
              <w:rPr>
                <w:rFonts w:ascii="仿宋" w:hAnsi="仿宋" w:eastAsia="仿宋"/>
                <w:szCs w:val="21"/>
              </w:rPr>
            </w:pPr>
            <w:r>
              <w:rPr>
                <w:rFonts w:ascii="仿宋" w:hAnsi="仿宋" w:eastAsia="仿宋"/>
                <w:szCs w:val="21"/>
              </w:rPr>
              <w:t>NH</w:t>
            </w:r>
            <w:r>
              <w:rPr>
                <w:rFonts w:ascii="仿宋" w:hAnsi="仿宋" w:eastAsia="仿宋"/>
                <w:szCs w:val="21"/>
                <w:vertAlign w:val="subscript"/>
              </w:rPr>
              <w:t>3</w:t>
            </w:r>
            <w:r>
              <w:rPr>
                <w:rFonts w:ascii="仿宋" w:hAnsi="仿宋" w:eastAsia="仿宋"/>
                <w:szCs w:val="21"/>
              </w:rPr>
              <w:t>-N</w:t>
            </w:r>
          </w:p>
        </w:tc>
        <w:tc>
          <w:tcPr>
            <w:tcW w:w="1795" w:type="dxa"/>
            <w:vAlign w:val="center"/>
          </w:tcPr>
          <w:p>
            <w:pPr>
              <w:spacing w:line="240" w:lineRule="exact"/>
              <w:jc w:val="center"/>
              <w:rPr>
                <w:rFonts w:ascii="仿宋" w:hAnsi="仿宋" w:eastAsia="仿宋" w:cs="仿宋"/>
                <w:bCs/>
                <w:szCs w:val="21"/>
              </w:rPr>
            </w:pPr>
            <w:r>
              <w:rPr>
                <w:rFonts w:hint="eastAsia" w:eastAsia="仿宋_GB2312"/>
                <w:kern w:val="0"/>
                <w:szCs w:val="21"/>
              </w:rPr>
              <w:t>0.</w:t>
            </w:r>
            <w:r>
              <w:rPr>
                <w:rFonts w:eastAsia="仿宋_GB2312"/>
                <w:kern w:val="0"/>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8" w:type="dxa"/>
            <w:gridSpan w:val="2"/>
            <w:vMerge w:val="continue"/>
            <w:vAlign w:val="center"/>
          </w:tcPr>
          <w:p>
            <w:pPr>
              <w:adjustRightInd w:val="0"/>
              <w:snapToGrid w:val="0"/>
              <w:jc w:val="center"/>
              <w:rPr>
                <w:rFonts w:ascii="仿宋" w:hAnsi="仿宋" w:eastAsia="仿宋"/>
                <w:szCs w:val="21"/>
              </w:rPr>
            </w:pPr>
          </w:p>
        </w:tc>
        <w:tc>
          <w:tcPr>
            <w:tcW w:w="4605" w:type="dxa"/>
            <w:gridSpan w:val="3"/>
            <w:vAlign w:val="center"/>
          </w:tcPr>
          <w:p>
            <w:pPr>
              <w:adjustRightInd w:val="0"/>
              <w:snapToGrid w:val="0"/>
              <w:jc w:val="center"/>
              <w:rPr>
                <w:rFonts w:ascii="仿宋" w:hAnsi="仿宋" w:eastAsia="仿宋"/>
                <w:szCs w:val="21"/>
              </w:rPr>
            </w:pPr>
            <w:r>
              <w:rPr>
                <w:rFonts w:ascii="仿宋" w:hAnsi="仿宋" w:eastAsia="仿宋"/>
                <w:szCs w:val="21"/>
              </w:rPr>
              <w:t>T</w:t>
            </w:r>
            <w:r>
              <w:rPr>
                <w:rFonts w:hint="eastAsia" w:ascii="仿宋" w:hAnsi="仿宋" w:eastAsia="仿宋"/>
                <w:szCs w:val="21"/>
              </w:rPr>
              <w:t>N</w:t>
            </w:r>
          </w:p>
        </w:tc>
        <w:tc>
          <w:tcPr>
            <w:tcW w:w="1795" w:type="dxa"/>
            <w:vAlign w:val="center"/>
          </w:tcPr>
          <w:p>
            <w:pPr>
              <w:spacing w:line="240" w:lineRule="exact"/>
              <w:jc w:val="center"/>
              <w:rPr>
                <w:rFonts w:ascii="仿宋" w:hAnsi="仿宋" w:eastAsia="仿宋" w:cs="仿宋"/>
                <w:bCs/>
                <w:szCs w:val="21"/>
              </w:rPr>
            </w:pPr>
            <w:r>
              <w:rPr>
                <w:rFonts w:hint="eastAsia" w:eastAsia="仿宋_GB2312"/>
                <w:kern w:val="0"/>
                <w:szCs w:val="21"/>
              </w:rPr>
              <w:t>0.0</w:t>
            </w:r>
            <w:r>
              <w:rPr>
                <w:rFonts w:eastAsia="仿宋_GB2312"/>
                <w:kern w:val="0"/>
                <w:szCs w:val="21"/>
              </w:rPr>
              <w:t>0</w:t>
            </w:r>
            <w:r>
              <w:rPr>
                <w:rFonts w:hint="eastAsia" w:eastAsia="仿宋_GB2312"/>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8" w:type="dxa"/>
            <w:gridSpan w:val="2"/>
            <w:vMerge w:val="continue"/>
            <w:vAlign w:val="center"/>
          </w:tcPr>
          <w:p>
            <w:pPr>
              <w:adjustRightInd w:val="0"/>
              <w:snapToGrid w:val="0"/>
              <w:jc w:val="center"/>
              <w:rPr>
                <w:rFonts w:ascii="仿宋" w:hAnsi="仿宋" w:eastAsia="仿宋"/>
                <w:szCs w:val="21"/>
              </w:rPr>
            </w:pPr>
          </w:p>
        </w:tc>
        <w:tc>
          <w:tcPr>
            <w:tcW w:w="4605" w:type="dxa"/>
            <w:gridSpan w:val="3"/>
            <w:vAlign w:val="center"/>
          </w:tcPr>
          <w:p>
            <w:pPr>
              <w:adjustRightInd w:val="0"/>
              <w:snapToGrid w:val="0"/>
              <w:jc w:val="center"/>
              <w:rPr>
                <w:rFonts w:ascii="仿宋" w:hAnsi="仿宋" w:eastAsia="仿宋"/>
                <w:szCs w:val="21"/>
              </w:rPr>
            </w:pPr>
            <w:r>
              <w:rPr>
                <w:rFonts w:hint="eastAsia" w:ascii="仿宋" w:hAnsi="仿宋" w:eastAsia="仿宋"/>
                <w:szCs w:val="21"/>
              </w:rPr>
              <w:t>TP</w:t>
            </w:r>
          </w:p>
        </w:tc>
        <w:tc>
          <w:tcPr>
            <w:tcW w:w="1795" w:type="dxa"/>
            <w:vAlign w:val="center"/>
          </w:tcPr>
          <w:p>
            <w:pPr>
              <w:spacing w:line="240" w:lineRule="exact"/>
              <w:jc w:val="center"/>
              <w:rPr>
                <w:rFonts w:ascii="仿宋" w:hAnsi="仿宋" w:eastAsia="仿宋" w:cs="仿宋"/>
                <w:bCs/>
                <w:szCs w:val="21"/>
              </w:rPr>
            </w:pPr>
            <w:r>
              <w:rPr>
                <w:rFonts w:hint="eastAsia" w:eastAsia="仿宋_GB2312"/>
                <w:kern w:val="0"/>
                <w:szCs w:val="21"/>
              </w:rPr>
              <w:t>0.</w:t>
            </w:r>
            <w:r>
              <w:rPr>
                <w:rFonts w:eastAsia="仿宋_GB2312"/>
                <w:kern w:val="0"/>
                <w:szCs w:val="21"/>
              </w:rPr>
              <w:t>0</w:t>
            </w:r>
            <w:r>
              <w:rPr>
                <w:rFonts w:hint="eastAsia" w:eastAsia="仿宋_GB2312"/>
                <w:kern w:val="0"/>
                <w:szCs w:val="21"/>
              </w:rPr>
              <w:t>4</w:t>
            </w:r>
          </w:p>
        </w:tc>
      </w:tr>
    </w:tbl>
    <w:p>
      <w:pPr>
        <w:autoSpaceDE w:val="0"/>
        <w:autoSpaceDN w:val="0"/>
        <w:adjustRightInd w:val="0"/>
        <w:spacing w:line="500" w:lineRule="exact"/>
        <w:ind w:firstLine="560" w:firstLineChars="200"/>
        <w:rPr>
          <w:rFonts w:eastAsia="仿宋_GB2312"/>
          <w:sz w:val="28"/>
          <w:szCs w:val="28"/>
        </w:rPr>
      </w:pPr>
    </w:p>
    <w:p>
      <w:pPr>
        <w:tabs>
          <w:tab w:val="left" w:pos="2325"/>
        </w:tabs>
        <w:rPr>
          <w:rFonts w:eastAsia="仿宋_GB2312"/>
          <w:sz w:val="24"/>
        </w:rPr>
        <w:sectPr>
          <w:pgSz w:w="11906" w:h="16838"/>
          <w:pgMar w:top="1440" w:right="1797" w:bottom="1440" w:left="1797" w:header="539" w:footer="992" w:gutter="0"/>
          <w:cols w:space="720" w:num="1"/>
          <w:docGrid w:linePitch="286" w:charSpace="0"/>
        </w:sectPr>
      </w:pPr>
      <w:r>
        <w:rPr>
          <w:rFonts w:eastAsia="仿宋_GB2312"/>
          <w:sz w:val="24"/>
        </w:rPr>
        <w:tab/>
      </w:r>
    </w:p>
    <w:p>
      <w:pPr>
        <w:tabs>
          <w:tab w:val="left" w:pos="5175"/>
        </w:tabs>
        <w:spacing w:line="500" w:lineRule="exact"/>
        <w:jc w:val="center"/>
        <w:rPr>
          <w:rFonts w:eastAsia="仿宋_GB2312"/>
          <w:b/>
          <w:sz w:val="24"/>
        </w:rPr>
      </w:pPr>
      <w:r>
        <w:rPr>
          <w:rFonts w:eastAsia="仿宋_GB2312"/>
          <w:b/>
          <w:sz w:val="24"/>
        </w:rPr>
        <w:t>表5.2-20 地表水环境影响评价自查表</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1"/>
        <w:gridCol w:w="2551"/>
        <w:gridCol w:w="2075"/>
        <w:gridCol w:w="1021"/>
        <w:gridCol w:w="366"/>
        <w:gridCol w:w="689"/>
        <w:gridCol w:w="1171"/>
        <w:gridCol w:w="907"/>
        <w:gridCol w:w="695"/>
        <w:gridCol w:w="731"/>
        <w:gridCol w:w="649"/>
        <w:gridCol w:w="431"/>
        <w:gridCol w:w="1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38" w:type="pct"/>
            <w:gridSpan w:val="2"/>
            <w:shd w:val="clear" w:color="auto" w:fill="auto"/>
            <w:vAlign w:val="center"/>
          </w:tcPr>
          <w:p>
            <w:pPr>
              <w:jc w:val="center"/>
              <w:rPr>
                <w:rFonts w:ascii="仿宋" w:hAnsi="仿宋" w:eastAsia="仿宋"/>
                <w:szCs w:val="21"/>
              </w:rPr>
            </w:pPr>
            <w:r>
              <w:rPr>
                <w:rFonts w:hint="eastAsia" w:ascii="仿宋" w:hAnsi="仿宋" w:eastAsia="仿宋"/>
                <w:szCs w:val="21"/>
              </w:rPr>
              <w:t>工作内容</w:t>
            </w:r>
          </w:p>
        </w:tc>
        <w:tc>
          <w:tcPr>
            <w:tcW w:w="3662" w:type="pct"/>
            <w:gridSpan w:val="11"/>
            <w:shd w:val="clear" w:color="auto" w:fill="auto"/>
            <w:vAlign w:val="center"/>
          </w:tcPr>
          <w:p>
            <w:pPr>
              <w:jc w:val="center"/>
              <w:rPr>
                <w:rFonts w:ascii="仿宋" w:hAnsi="仿宋" w:eastAsia="仿宋"/>
                <w:szCs w:val="21"/>
              </w:rPr>
            </w:pPr>
            <w:r>
              <w:rPr>
                <w:rFonts w:hint="eastAsia" w:ascii="仿宋" w:hAnsi="仿宋" w:eastAsia="仿宋"/>
                <w:szCs w:val="21"/>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restart"/>
            <w:shd w:val="clear" w:color="auto" w:fill="auto"/>
            <w:vAlign w:val="center"/>
          </w:tcPr>
          <w:p>
            <w:pPr>
              <w:jc w:val="center"/>
              <w:rPr>
                <w:rFonts w:ascii="仿宋" w:hAnsi="仿宋" w:eastAsia="仿宋"/>
                <w:szCs w:val="21"/>
              </w:rPr>
            </w:pPr>
            <w:r>
              <w:rPr>
                <w:rFonts w:hint="eastAsia" w:ascii="仿宋" w:hAnsi="仿宋" w:eastAsia="仿宋"/>
                <w:szCs w:val="21"/>
              </w:rPr>
              <w:t>影响识别</w:t>
            </w:r>
          </w:p>
        </w:tc>
        <w:tc>
          <w:tcPr>
            <w:tcW w:w="900" w:type="pct"/>
            <w:shd w:val="clear" w:color="auto" w:fill="auto"/>
            <w:vAlign w:val="center"/>
          </w:tcPr>
          <w:p>
            <w:pPr>
              <w:jc w:val="center"/>
              <w:rPr>
                <w:rFonts w:ascii="仿宋" w:hAnsi="仿宋" w:eastAsia="仿宋"/>
                <w:szCs w:val="21"/>
              </w:rPr>
            </w:pPr>
            <w:r>
              <w:rPr>
                <w:rFonts w:hint="eastAsia" w:ascii="仿宋" w:hAnsi="仿宋" w:eastAsia="仿宋"/>
                <w:szCs w:val="21"/>
              </w:rPr>
              <w:t>影响类型</w:t>
            </w:r>
          </w:p>
        </w:tc>
        <w:tc>
          <w:tcPr>
            <w:tcW w:w="3662" w:type="pct"/>
            <w:gridSpan w:val="11"/>
            <w:shd w:val="clear" w:color="auto" w:fill="auto"/>
            <w:vAlign w:val="center"/>
          </w:tcPr>
          <w:p>
            <w:pPr>
              <w:rPr>
                <w:rFonts w:ascii="仿宋" w:hAnsi="仿宋" w:eastAsia="仿宋"/>
                <w:szCs w:val="21"/>
              </w:rPr>
            </w:pPr>
            <w:r>
              <w:rPr>
                <w:rFonts w:hint="eastAsia" w:ascii="仿宋" w:hAnsi="仿宋" w:eastAsia="仿宋"/>
                <w:szCs w:val="21"/>
              </w:rPr>
              <w:t>水污染影响型</w:t>
            </w:r>
            <w:r>
              <w:rPr>
                <w:rFonts w:hint="eastAsia" w:ascii="仿宋" w:hAnsi="仿宋" w:eastAsia="仿宋"/>
                <w:b/>
                <w:bCs/>
                <w:kern w:val="44"/>
                <w:szCs w:val="21"/>
              </w:rPr>
              <w:t>√</w:t>
            </w:r>
            <w:r>
              <w:rPr>
                <w:rFonts w:hint="eastAsia" w:ascii="仿宋" w:hAnsi="仿宋" w:eastAsia="仿宋"/>
                <w:szCs w:val="21"/>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shd w:val="clear" w:color="auto" w:fill="auto"/>
            <w:vAlign w:val="center"/>
          </w:tcPr>
          <w:p>
            <w:pPr>
              <w:jc w:val="center"/>
              <w:rPr>
                <w:rFonts w:ascii="仿宋" w:hAnsi="仿宋" w:eastAsia="仿宋"/>
                <w:szCs w:val="21"/>
              </w:rPr>
            </w:pPr>
          </w:p>
        </w:tc>
        <w:tc>
          <w:tcPr>
            <w:tcW w:w="900" w:type="pct"/>
            <w:shd w:val="clear" w:color="auto" w:fill="auto"/>
            <w:vAlign w:val="center"/>
          </w:tcPr>
          <w:p>
            <w:pPr>
              <w:jc w:val="center"/>
              <w:rPr>
                <w:rFonts w:ascii="仿宋" w:hAnsi="仿宋" w:eastAsia="仿宋"/>
                <w:szCs w:val="21"/>
              </w:rPr>
            </w:pPr>
            <w:r>
              <w:rPr>
                <w:rFonts w:hint="eastAsia" w:ascii="仿宋" w:hAnsi="仿宋" w:eastAsia="仿宋"/>
                <w:szCs w:val="21"/>
              </w:rPr>
              <w:t>水环境保护目标</w:t>
            </w:r>
          </w:p>
        </w:tc>
        <w:tc>
          <w:tcPr>
            <w:tcW w:w="3662" w:type="pct"/>
            <w:gridSpan w:val="11"/>
            <w:shd w:val="clear" w:color="auto" w:fill="auto"/>
            <w:vAlign w:val="center"/>
          </w:tcPr>
          <w:p>
            <w:pPr>
              <w:jc w:val="center"/>
              <w:rPr>
                <w:rFonts w:ascii="仿宋" w:hAnsi="仿宋" w:eastAsia="仿宋"/>
                <w:szCs w:val="21"/>
              </w:rPr>
            </w:pPr>
            <w:r>
              <w:rPr>
                <w:rFonts w:hint="eastAsia" w:ascii="仿宋" w:hAnsi="仿宋" w:eastAsia="仿宋"/>
                <w:szCs w:val="21"/>
              </w:rPr>
              <w:t>饮用水水源保护区□；饮用水取水口□；涉水的自然保护区□；重要湿地□；重点保护与珍稀水生生物的栖息地□；重要水生生物的自然产卵场及索饵场、越冬场和洄游通道、天然渔场等渔业水体□；涉水的风景名胜区□；其他</w:t>
            </w:r>
            <w:r>
              <w:rPr>
                <w:rFonts w:hint="eastAsia" w:ascii="仿宋" w:hAnsi="仿宋" w:eastAsia="仿宋"/>
                <w:b/>
                <w:bCs/>
                <w:kern w:val="4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shd w:val="clear" w:color="auto" w:fill="auto"/>
            <w:vAlign w:val="center"/>
          </w:tcPr>
          <w:p>
            <w:pPr>
              <w:jc w:val="center"/>
              <w:rPr>
                <w:rFonts w:ascii="仿宋" w:hAnsi="仿宋" w:eastAsia="仿宋"/>
                <w:szCs w:val="21"/>
              </w:rPr>
            </w:pPr>
          </w:p>
        </w:tc>
        <w:tc>
          <w:tcPr>
            <w:tcW w:w="900" w:type="pct"/>
            <w:vMerge w:val="restart"/>
            <w:shd w:val="clear" w:color="auto" w:fill="auto"/>
            <w:vAlign w:val="center"/>
          </w:tcPr>
          <w:p>
            <w:pPr>
              <w:jc w:val="center"/>
              <w:rPr>
                <w:rFonts w:ascii="仿宋" w:hAnsi="仿宋" w:eastAsia="仿宋"/>
                <w:szCs w:val="21"/>
              </w:rPr>
            </w:pPr>
            <w:r>
              <w:rPr>
                <w:rFonts w:hint="eastAsia" w:ascii="仿宋" w:hAnsi="仿宋" w:eastAsia="仿宋"/>
                <w:szCs w:val="21"/>
              </w:rPr>
              <w:t>影响途径</w:t>
            </w:r>
          </w:p>
        </w:tc>
        <w:tc>
          <w:tcPr>
            <w:tcW w:w="1877" w:type="pct"/>
            <w:gridSpan w:val="5"/>
            <w:shd w:val="clear" w:color="auto" w:fill="auto"/>
            <w:vAlign w:val="center"/>
          </w:tcPr>
          <w:p>
            <w:pPr>
              <w:jc w:val="center"/>
              <w:rPr>
                <w:rFonts w:ascii="仿宋" w:hAnsi="仿宋" w:eastAsia="仿宋"/>
                <w:szCs w:val="21"/>
              </w:rPr>
            </w:pPr>
            <w:r>
              <w:rPr>
                <w:rFonts w:hint="eastAsia" w:ascii="仿宋" w:hAnsi="仿宋" w:eastAsia="仿宋"/>
                <w:szCs w:val="21"/>
              </w:rPr>
              <w:t>水污染影响型</w:t>
            </w:r>
          </w:p>
        </w:tc>
        <w:tc>
          <w:tcPr>
            <w:tcW w:w="1785" w:type="pct"/>
            <w:gridSpan w:val="6"/>
            <w:shd w:val="clear" w:color="auto" w:fill="auto"/>
            <w:vAlign w:val="center"/>
          </w:tcPr>
          <w:p>
            <w:pPr>
              <w:jc w:val="center"/>
              <w:rPr>
                <w:rFonts w:ascii="仿宋" w:hAnsi="仿宋" w:eastAsia="仿宋"/>
                <w:szCs w:val="21"/>
              </w:rPr>
            </w:pPr>
            <w:r>
              <w:rPr>
                <w:rFonts w:hint="eastAsia" w:ascii="仿宋" w:hAnsi="仿宋" w:eastAsia="仿宋"/>
                <w:szCs w:val="21"/>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shd w:val="clear" w:color="auto" w:fill="auto"/>
            <w:vAlign w:val="center"/>
          </w:tcPr>
          <w:p>
            <w:pPr>
              <w:jc w:val="center"/>
              <w:rPr>
                <w:rFonts w:ascii="仿宋" w:hAnsi="仿宋" w:eastAsia="仿宋"/>
                <w:szCs w:val="21"/>
              </w:rPr>
            </w:pPr>
          </w:p>
        </w:tc>
        <w:tc>
          <w:tcPr>
            <w:tcW w:w="900" w:type="pct"/>
            <w:vMerge w:val="continue"/>
            <w:shd w:val="clear" w:color="auto" w:fill="auto"/>
            <w:vAlign w:val="center"/>
          </w:tcPr>
          <w:p>
            <w:pPr>
              <w:jc w:val="center"/>
              <w:rPr>
                <w:rFonts w:ascii="仿宋" w:hAnsi="仿宋" w:eastAsia="仿宋"/>
                <w:szCs w:val="21"/>
              </w:rPr>
            </w:pPr>
          </w:p>
        </w:tc>
        <w:tc>
          <w:tcPr>
            <w:tcW w:w="1877" w:type="pct"/>
            <w:gridSpan w:val="5"/>
            <w:shd w:val="clear" w:color="auto" w:fill="auto"/>
            <w:vAlign w:val="center"/>
          </w:tcPr>
          <w:p>
            <w:pPr>
              <w:jc w:val="center"/>
              <w:rPr>
                <w:rFonts w:ascii="仿宋" w:hAnsi="仿宋" w:eastAsia="仿宋"/>
                <w:szCs w:val="21"/>
              </w:rPr>
            </w:pPr>
            <w:r>
              <w:rPr>
                <w:rFonts w:hint="eastAsia" w:ascii="仿宋" w:hAnsi="仿宋" w:eastAsia="仿宋"/>
                <w:szCs w:val="21"/>
              </w:rPr>
              <w:t>直接排放□；间接排放</w:t>
            </w:r>
            <w:r>
              <w:rPr>
                <w:rFonts w:hint="eastAsia" w:ascii="仿宋" w:hAnsi="仿宋" w:eastAsia="仿宋"/>
                <w:b/>
                <w:bCs/>
                <w:kern w:val="44"/>
                <w:szCs w:val="21"/>
              </w:rPr>
              <w:t>√</w:t>
            </w:r>
            <w:r>
              <w:rPr>
                <w:rFonts w:hint="eastAsia" w:ascii="仿宋" w:hAnsi="仿宋" w:eastAsia="仿宋"/>
                <w:szCs w:val="21"/>
              </w:rPr>
              <w:t>；其他□</w:t>
            </w:r>
          </w:p>
        </w:tc>
        <w:tc>
          <w:tcPr>
            <w:tcW w:w="1785" w:type="pct"/>
            <w:gridSpan w:val="6"/>
            <w:shd w:val="clear" w:color="auto" w:fill="auto"/>
            <w:vAlign w:val="center"/>
          </w:tcPr>
          <w:p>
            <w:pPr>
              <w:jc w:val="center"/>
              <w:rPr>
                <w:rFonts w:ascii="仿宋" w:hAnsi="仿宋" w:eastAsia="仿宋"/>
                <w:szCs w:val="21"/>
              </w:rPr>
            </w:pPr>
            <w:r>
              <w:rPr>
                <w:rFonts w:hint="eastAsia" w:ascii="仿宋" w:hAnsi="仿宋" w:eastAsia="仿宋"/>
                <w:szCs w:val="21"/>
              </w:rPr>
              <w:t>水温□；径流□；水域面积□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shd w:val="clear" w:color="auto" w:fill="auto"/>
            <w:vAlign w:val="center"/>
          </w:tcPr>
          <w:p>
            <w:pPr>
              <w:jc w:val="center"/>
              <w:rPr>
                <w:rFonts w:ascii="仿宋" w:hAnsi="仿宋" w:eastAsia="仿宋"/>
                <w:szCs w:val="21"/>
              </w:rPr>
            </w:pPr>
          </w:p>
        </w:tc>
        <w:tc>
          <w:tcPr>
            <w:tcW w:w="900" w:type="pct"/>
            <w:shd w:val="clear" w:color="auto" w:fill="auto"/>
            <w:vAlign w:val="center"/>
          </w:tcPr>
          <w:p>
            <w:pPr>
              <w:jc w:val="center"/>
              <w:rPr>
                <w:rFonts w:ascii="仿宋" w:hAnsi="仿宋" w:eastAsia="仿宋"/>
                <w:szCs w:val="21"/>
              </w:rPr>
            </w:pPr>
            <w:r>
              <w:rPr>
                <w:rFonts w:hint="eastAsia" w:ascii="仿宋" w:hAnsi="仿宋" w:eastAsia="仿宋"/>
                <w:szCs w:val="21"/>
              </w:rPr>
              <w:t>影响因子</w:t>
            </w:r>
          </w:p>
        </w:tc>
        <w:tc>
          <w:tcPr>
            <w:tcW w:w="1877" w:type="pct"/>
            <w:gridSpan w:val="5"/>
            <w:shd w:val="clear" w:color="auto" w:fill="auto"/>
            <w:vAlign w:val="center"/>
          </w:tcPr>
          <w:p>
            <w:pPr>
              <w:rPr>
                <w:rFonts w:ascii="仿宋" w:hAnsi="仿宋" w:eastAsia="仿宋"/>
                <w:szCs w:val="21"/>
              </w:rPr>
            </w:pPr>
            <w:r>
              <w:rPr>
                <w:rFonts w:hint="eastAsia" w:ascii="仿宋" w:hAnsi="仿宋" w:eastAsia="仿宋"/>
                <w:szCs w:val="21"/>
              </w:rPr>
              <w:t>持久性污染物□；有毒有害污染物□；非持久性污染物</w:t>
            </w:r>
            <w:r>
              <w:rPr>
                <w:rFonts w:hint="eastAsia" w:ascii="仿宋" w:hAnsi="仿宋" w:eastAsia="仿宋"/>
                <w:b/>
                <w:bCs/>
                <w:kern w:val="44"/>
                <w:szCs w:val="21"/>
              </w:rPr>
              <w:t>√</w:t>
            </w:r>
            <w:r>
              <w:rPr>
                <w:rFonts w:hint="eastAsia" w:ascii="仿宋" w:hAnsi="仿宋" w:eastAsia="仿宋"/>
                <w:szCs w:val="21"/>
              </w:rPr>
              <w:t>；pH值□；热污染□；富营养化□；其他□</w:t>
            </w:r>
          </w:p>
        </w:tc>
        <w:tc>
          <w:tcPr>
            <w:tcW w:w="1785" w:type="pct"/>
            <w:gridSpan w:val="6"/>
            <w:shd w:val="clear" w:color="auto" w:fill="auto"/>
            <w:vAlign w:val="center"/>
          </w:tcPr>
          <w:p>
            <w:pPr>
              <w:jc w:val="center"/>
              <w:rPr>
                <w:rFonts w:ascii="仿宋" w:hAnsi="仿宋" w:eastAsia="仿宋"/>
                <w:szCs w:val="21"/>
              </w:rPr>
            </w:pPr>
            <w:r>
              <w:rPr>
                <w:rFonts w:hint="eastAsia" w:ascii="仿宋" w:hAnsi="仿宋" w:eastAsia="仿宋"/>
                <w:szCs w:val="21"/>
              </w:rPr>
              <w:t>水温□；水位（水深）□；流速□；流量□；其他□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pct"/>
            <w:gridSpan w:val="2"/>
            <w:vMerge w:val="restart"/>
            <w:shd w:val="clear" w:color="auto" w:fill="auto"/>
            <w:vAlign w:val="center"/>
          </w:tcPr>
          <w:p>
            <w:pPr>
              <w:jc w:val="center"/>
              <w:rPr>
                <w:rFonts w:ascii="仿宋" w:hAnsi="仿宋" w:eastAsia="仿宋"/>
                <w:szCs w:val="21"/>
              </w:rPr>
            </w:pPr>
            <w:r>
              <w:rPr>
                <w:rFonts w:hint="eastAsia" w:ascii="仿宋" w:hAnsi="仿宋" w:eastAsia="仿宋"/>
                <w:szCs w:val="21"/>
              </w:rPr>
              <w:t>评价等级</w:t>
            </w:r>
          </w:p>
        </w:tc>
        <w:tc>
          <w:tcPr>
            <w:tcW w:w="1877" w:type="pct"/>
            <w:gridSpan w:val="5"/>
            <w:shd w:val="clear" w:color="auto" w:fill="auto"/>
            <w:vAlign w:val="center"/>
          </w:tcPr>
          <w:p>
            <w:pPr>
              <w:jc w:val="center"/>
              <w:rPr>
                <w:rFonts w:ascii="仿宋" w:hAnsi="仿宋" w:eastAsia="仿宋"/>
                <w:szCs w:val="21"/>
              </w:rPr>
            </w:pPr>
            <w:r>
              <w:rPr>
                <w:rFonts w:hint="eastAsia" w:ascii="仿宋" w:hAnsi="仿宋" w:eastAsia="仿宋"/>
                <w:szCs w:val="21"/>
              </w:rPr>
              <w:t>水污染影响型</w:t>
            </w:r>
          </w:p>
        </w:tc>
        <w:tc>
          <w:tcPr>
            <w:tcW w:w="1785" w:type="pct"/>
            <w:gridSpan w:val="6"/>
            <w:shd w:val="clear" w:color="auto" w:fill="auto"/>
            <w:vAlign w:val="center"/>
          </w:tcPr>
          <w:p>
            <w:pPr>
              <w:jc w:val="center"/>
              <w:rPr>
                <w:rFonts w:ascii="仿宋" w:hAnsi="仿宋" w:eastAsia="仿宋"/>
                <w:szCs w:val="21"/>
              </w:rPr>
            </w:pPr>
            <w:r>
              <w:rPr>
                <w:rFonts w:hint="eastAsia" w:ascii="仿宋" w:hAnsi="仿宋" w:eastAsia="仿宋"/>
                <w:szCs w:val="21"/>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pct"/>
            <w:gridSpan w:val="2"/>
            <w:vMerge w:val="continue"/>
            <w:shd w:val="clear" w:color="auto" w:fill="auto"/>
            <w:vAlign w:val="center"/>
          </w:tcPr>
          <w:p>
            <w:pPr>
              <w:jc w:val="center"/>
              <w:rPr>
                <w:rFonts w:ascii="仿宋" w:hAnsi="仿宋" w:eastAsia="仿宋"/>
                <w:szCs w:val="21"/>
              </w:rPr>
            </w:pPr>
          </w:p>
        </w:tc>
        <w:tc>
          <w:tcPr>
            <w:tcW w:w="1877" w:type="pct"/>
            <w:gridSpan w:val="5"/>
            <w:shd w:val="clear" w:color="auto" w:fill="auto"/>
            <w:vAlign w:val="center"/>
          </w:tcPr>
          <w:p>
            <w:pPr>
              <w:jc w:val="center"/>
              <w:rPr>
                <w:rFonts w:ascii="仿宋" w:hAnsi="仿宋" w:eastAsia="仿宋"/>
                <w:szCs w:val="21"/>
              </w:rPr>
            </w:pPr>
            <w:r>
              <w:rPr>
                <w:rFonts w:hint="eastAsia" w:ascii="仿宋" w:hAnsi="仿宋" w:eastAsia="仿宋"/>
                <w:szCs w:val="21"/>
              </w:rPr>
              <w:t xml:space="preserve">一级□；二级□；三级A□；三级B </w:t>
            </w:r>
            <w:r>
              <w:rPr>
                <w:rFonts w:hint="eastAsia" w:ascii="仿宋" w:hAnsi="仿宋" w:eastAsia="仿宋"/>
                <w:b/>
                <w:bCs/>
                <w:kern w:val="44"/>
                <w:szCs w:val="21"/>
              </w:rPr>
              <w:t>√</w:t>
            </w:r>
          </w:p>
        </w:tc>
        <w:tc>
          <w:tcPr>
            <w:tcW w:w="1785" w:type="pct"/>
            <w:gridSpan w:val="6"/>
            <w:shd w:val="clear" w:color="auto" w:fill="auto"/>
            <w:vAlign w:val="center"/>
          </w:tcPr>
          <w:p>
            <w:pPr>
              <w:jc w:val="center"/>
              <w:rPr>
                <w:rFonts w:ascii="仿宋" w:hAnsi="仿宋" w:eastAsia="仿宋"/>
                <w:szCs w:val="21"/>
              </w:rPr>
            </w:pPr>
            <w:r>
              <w:rPr>
                <w:rFonts w:hint="eastAsia" w:ascii="仿宋" w:hAnsi="仿宋" w:eastAsia="仿宋"/>
                <w:szCs w:val="21"/>
              </w:rPr>
              <w:t>一级□；二级□；三级□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restart"/>
            <w:shd w:val="clear" w:color="auto" w:fill="auto"/>
            <w:vAlign w:val="center"/>
          </w:tcPr>
          <w:p>
            <w:pPr>
              <w:jc w:val="center"/>
              <w:rPr>
                <w:rFonts w:ascii="仿宋" w:hAnsi="仿宋" w:eastAsia="仿宋"/>
                <w:szCs w:val="21"/>
              </w:rPr>
            </w:pPr>
            <w:r>
              <w:rPr>
                <w:rFonts w:hint="eastAsia" w:ascii="仿宋" w:hAnsi="仿宋" w:eastAsia="仿宋"/>
                <w:szCs w:val="21"/>
              </w:rPr>
              <w:t>现状调查</w:t>
            </w:r>
          </w:p>
        </w:tc>
        <w:tc>
          <w:tcPr>
            <w:tcW w:w="900" w:type="pct"/>
            <w:vMerge w:val="restart"/>
            <w:shd w:val="clear" w:color="auto" w:fill="auto"/>
            <w:vAlign w:val="center"/>
          </w:tcPr>
          <w:p>
            <w:pPr>
              <w:jc w:val="center"/>
              <w:rPr>
                <w:rFonts w:ascii="仿宋" w:hAnsi="仿宋" w:eastAsia="仿宋"/>
                <w:szCs w:val="21"/>
              </w:rPr>
            </w:pPr>
            <w:r>
              <w:rPr>
                <w:rFonts w:hint="eastAsia" w:ascii="仿宋" w:hAnsi="仿宋" w:eastAsia="仿宋"/>
                <w:szCs w:val="21"/>
              </w:rPr>
              <w:t>区域污染源</w:t>
            </w:r>
          </w:p>
        </w:tc>
        <w:tc>
          <w:tcPr>
            <w:tcW w:w="1877" w:type="pct"/>
            <w:gridSpan w:val="5"/>
            <w:shd w:val="clear" w:color="auto" w:fill="auto"/>
            <w:vAlign w:val="center"/>
          </w:tcPr>
          <w:p>
            <w:pPr>
              <w:jc w:val="center"/>
              <w:rPr>
                <w:rFonts w:ascii="仿宋" w:hAnsi="仿宋" w:eastAsia="仿宋"/>
                <w:szCs w:val="21"/>
              </w:rPr>
            </w:pPr>
            <w:r>
              <w:rPr>
                <w:rFonts w:hint="eastAsia" w:ascii="仿宋" w:hAnsi="仿宋" w:eastAsia="仿宋"/>
                <w:szCs w:val="21"/>
              </w:rPr>
              <w:t>调查项目</w:t>
            </w:r>
          </w:p>
        </w:tc>
        <w:tc>
          <w:tcPr>
            <w:tcW w:w="1785" w:type="pct"/>
            <w:gridSpan w:val="6"/>
            <w:shd w:val="clear" w:color="auto" w:fill="auto"/>
            <w:vAlign w:val="center"/>
          </w:tcPr>
          <w:p>
            <w:pPr>
              <w:jc w:val="center"/>
              <w:rPr>
                <w:rFonts w:ascii="仿宋" w:hAnsi="仿宋" w:eastAsia="仿宋"/>
                <w:szCs w:val="21"/>
              </w:rPr>
            </w:pPr>
            <w:r>
              <w:rPr>
                <w:rFonts w:hint="eastAsia" w:ascii="仿宋" w:hAnsi="仿宋" w:eastAsia="仿宋"/>
                <w:szCs w:val="21"/>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shd w:val="clear" w:color="auto" w:fill="auto"/>
            <w:vAlign w:val="center"/>
          </w:tcPr>
          <w:p>
            <w:pPr>
              <w:jc w:val="center"/>
              <w:rPr>
                <w:rFonts w:ascii="仿宋" w:hAnsi="仿宋" w:eastAsia="仿宋"/>
                <w:szCs w:val="21"/>
              </w:rPr>
            </w:pPr>
          </w:p>
        </w:tc>
        <w:tc>
          <w:tcPr>
            <w:tcW w:w="900" w:type="pct"/>
            <w:vMerge w:val="continue"/>
            <w:shd w:val="clear" w:color="auto" w:fill="auto"/>
            <w:vAlign w:val="center"/>
          </w:tcPr>
          <w:p>
            <w:pPr>
              <w:jc w:val="center"/>
              <w:rPr>
                <w:rFonts w:ascii="仿宋" w:hAnsi="仿宋" w:eastAsia="仿宋"/>
                <w:szCs w:val="21"/>
              </w:rPr>
            </w:pPr>
          </w:p>
        </w:tc>
        <w:tc>
          <w:tcPr>
            <w:tcW w:w="1092" w:type="pct"/>
            <w:gridSpan w:val="2"/>
            <w:shd w:val="clear" w:color="auto" w:fill="auto"/>
            <w:vAlign w:val="center"/>
          </w:tcPr>
          <w:p>
            <w:pPr>
              <w:jc w:val="center"/>
              <w:rPr>
                <w:rFonts w:ascii="仿宋" w:hAnsi="仿宋" w:eastAsia="仿宋"/>
                <w:szCs w:val="21"/>
              </w:rPr>
            </w:pPr>
            <w:r>
              <w:rPr>
                <w:rFonts w:hint="eastAsia" w:ascii="仿宋" w:hAnsi="仿宋" w:eastAsia="仿宋"/>
                <w:szCs w:val="21"/>
              </w:rPr>
              <w:t>已建</w:t>
            </w:r>
            <w:r>
              <w:rPr>
                <w:rFonts w:hint="eastAsia" w:ascii="仿宋" w:hAnsi="仿宋" w:eastAsia="仿宋"/>
                <w:b/>
                <w:bCs/>
                <w:kern w:val="44"/>
                <w:szCs w:val="21"/>
              </w:rPr>
              <w:t>√</w:t>
            </w:r>
            <w:r>
              <w:rPr>
                <w:rFonts w:hint="eastAsia" w:ascii="仿宋" w:hAnsi="仿宋" w:eastAsia="仿宋"/>
                <w:szCs w:val="21"/>
              </w:rPr>
              <w:t>；在建□；拟建□；其他□</w:t>
            </w:r>
          </w:p>
        </w:tc>
        <w:tc>
          <w:tcPr>
            <w:tcW w:w="785" w:type="pct"/>
            <w:gridSpan w:val="3"/>
            <w:shd w:val="clear" w:color="auto" w:fill="auto"/>
            <w:vAlign w:val="center"/>
          </w:tcPr>
          <w:p>
            <w:pPr>
              <w:jc w:val="center"/>
              <w:rPr>
                <w:rFonts w:ascii="仿宋" w:hAnsi="仿宋" w:eastAsia="仿宋"/>
                <w:szCs w:val="21"/>
              </w:rPr>
            </w:pPr>
            <w:r>
              <w:rPr>
                <w:rFonts w:hint="eastAsia" w:ascii="仿宋" w:hAnsi="仿宋" w:eastAsia="仿宋"/>
                <w:szCs w:val="21"/>
              </w:rPr>
              <w:t>拟替代的污染源□</w:t>
            </w:r>
          </w:p>
        </w:tc>
        <w:tc>
          <w:tcPr>
            <w:tcW w:w="1785" w:type="pct"/>
            <w:gridSpan w:val="6"/>
            <w:shd w:val="clear" w:color="auto" w:fill="auto"/>
            <w:vAlign w:val="center"/>
          </w:tcPr>
          <w:p>
            <w:pPr>
              <w:rPr>
                <w:rFonts w:ascii="仿宋" w:hAnsi="仿宋" w:eastAsia="仿宋"/>
                <w:szCs w:val="21"/>
              </w:rPr>
            </w:pPr>
            <w:r>
              <w:rPr>
                <w:rFonts w:hint="eastAsia" w:ascii="仿宋" w:hAnsi="仿宋" w:eastAsia="仿宋"/>
                <w:szCs w:val="21"/>
              </w:rPr>
              <w:t>排污许可证□；环评□；环保验收□；既有实测□；现场监测□；入河排放口数据□；其他□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shd w:val="clear" w:color="auto" w:fill="auto"/>
            <w:vAlign w:val="center"/>
          </w:tcPr>
          <w:p>
            <w:pPr>
              <w:jc w:val="center"/>
              <w:rPr>
                <w:rFonts w:ascii="仿宋" w:hAnsi="仿宋" w:eastAsia="仿宋"/>
                <w:szCs w:val="21"/>
              </w:rPr>
            </w:pPr>
          </w:p>
        </w:tc>
        <w:tc>
          <w:tcPr>
            <w:tcW w:w="900" w:type="pct"/>
            <w:vMerge w:val="restart"/>
            <w:shd w:val="clear" w:color="auto" w:fill="auto"/>
            <w:vAlign w:val="center"/>
          </w:tcPr>
          <w:p>
            <w:pPr>
              <w:jc w:val="center"/>
              <w:rPr>
                <w:rFonts w:ascii="仿宋" w:hAnsi="仿宋" w:eastAsia="仿宋"/>
                <w:szCs w:val="21"/>
              </w:rPr>
            </w:pPr>
            <w:r>
              <w:rPr>
                <w:rFonts w:hint="eastAsia" w:ascii="仿宋" w:hAnsi="仿宋" w:eastAsia="仿宋"/>
                <w:szCs w:val="21"/>
              </w:rPr>
              <w:t>受影响水体水环境质量</w:t>
            </w:r>
          </w:p>
        </w:tc>
        <w:tc>
          <w:tcPr>
            <w:tcW w:w="1877" w:type="pct"/>
            <w:gridSpan w:val="5"/>
            <w:shd w:val="clear" w:color="auto" w:fill="auto"/>
            <w:vAlign w:val="center"/>
          </w:tcPr>
          <w:p>
            <w:pPr>
              <w:jc w:val="center"/>
              <w:rPr>
                <w:rFonts w:ascii="仿宋" w:hAnsi="仿宋" w:eastAsia="仿宋"/>
                <w:szCs w:val="21"/>
              </w:rPr>
            </w:pPr>
            <w:r>
              <w:rPr>
                <w:rFonts w:hint="eastAsia" w:ascii="仿宋" w:hAnsi="仿宋" w:eastAsia="仿宋"/>
                <w:szCs w:val="21"/>
              </w:rPr>
              <w:t>调查时期</w:t>
            </w:r>
          </w:p>
        </w:tc>
        <w:tc>
          <w:tcPr>
            <w:tcW w:w="1785" w:type="pct"/>
            <w:gridSpan w:val="6"/>
            <w:shd w:val="clear" w:color="auto" w:fill="auto"/>
            <w:vAlign w:val="center"/>
          </w:tcPr>
          <w:p>
            <w:pPr>
              <w:jc w:val="center"/>
              <w:rPr>
                <w:rFonts w:ascii="仿宋" w:hAnsi="仿宋" w:eastAsia="仿宋"/>
                <w:szCs w:val="21"/>
              </w:rPr>
            </w:pPr>
            <w:r>
              <w:rPr>
                <w:rFonts w:hint="eastAsia" w:ascii="仿宋" w:hAnsi="仿宋" w:eastAsia="仿宋"/>
                <w:szCs w:val="21"/>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shd w:val="clear" w:color="auto" w:fill="auto"/>
            <w:vAlign w:val="center"/>
          </w:tcPr>
          <w:p>
            <w:pPr>
              <w:jc w:val="center"/>
              <w:rPr>
                <w:rFonts w:ascii="仿宋" w:hAnsi="仿宋" w:eastAsia="仿宋"/>
                <w:szCs w:val="21"/>
              </w:rPr>
            </w:pPr>
          </w:p>
        </w:tc>
        <w:tc>
          <w:tcPr>
            <w:tcW w:w="900" w:type="pct"/>
            <w:vMerge w:val="continue"/>
            <w:shd w:val="clear" w:color="auto" w:fill="auto"/>
            <w:vAlign w:val="center"/>
          </w:tcPr>
          <w:p>
            <w:pPr>
              <w:jc w:val="center"/>
              <w:rPr>
                <w:rFonts w:ascii="仿宋" w:hAnsi="仿宋" w:eastAsia="仿宋"/>
                <w:szCs w:val="21"/>
              </w:rPr>
            </w:pPr>
          </w:p>
        </w:tc>
        <w:tc>
          <w:tcPr>
            <w:tcW w:w="1877" w:type="pct"/>
            <w:gridSpan w:val="5"/>
            <w:shd w:val="clear" w:color="auto" w:fill="auto"/>
            <w:vAlign w:val="center"/>
          </w:tcPr>
          <w:p>
            <w:pPr>
              <w:rPr>
                <w:rFonts w:ascii="仿宋" w:hAnsi="仿宋" w:eastAsia="仿宋"/>
                <w:szCs w:val="21"/>
              </w:rPr>
            </w:pPr>
            <w:r>
              <w:rPr>
                <w:rFonts w:hint="eastAsia" w:ascii="仿宋" w:hAnsi="仿宋" w:eastAsia="仿宋"/>
                <w:szCs w:val="21"/>
              </w:rPr>
              <w:t>丰水期□；平水期□；枯水期</w:t>
            </w:r>
            <w:r>
              <w:rPr>
                <w:rFonts w:hint="eastAsia" w:ascii="仿宋" w:hAnsi="仿宋" w:eastAsia="仿宋"/>
                <w:b/>
                <w:bCs/>
                <w:kern w:val="44"/>
                <w:szCs w:val="21"/>
              </w:rPr>
              <w:t>√</w:t>
            </w:r>
            <w:r>
              <w:rPr>
                <w:rFonts w:hint="eastAsia" w:ascii="仿宋" w:hAnsi="仿宋" w:eastAsia="仿宋"/>
                <w:szCs w:val="21"/>
              </w:rPr>
              <w:t>；冰封期□</w:t>
            </w:r>
          </w:p>
          <w:p>
            <w:pPr>
              <w:rPr>
                <w:rFonts w:ascii="仿宋" w:hAnsi="仿宋" w:eastAsia="仿宋"/>
                <w:szCs w:val="21"/>
              </w:rPr>
            </w:pPr>
            <w:r>
              <w:rPr>
                <w:rFonts w:hint="eastAsia" w:ascii="仿宋" w:hAnsi="仿宋" w:eastAsia="仿宋"/>
                <w:szCs w:val="21"/>
              </w:rPr>
              <w:t>春季</w:t>
            </w:r>
            <w:r>
              <w:rPr>
                <w:rFonts w:hint="eastAsia" w:ascii="仿宋" w:hAnsi="仿宋" w:eastAsia="仿宋"/>
                <w:b/>
                <w:bCs/>
                <w:kern w:val="44"/>
                <w:szCs w:val="21"/>
              </w:rPr>
              <w:t>√</w:t>
            </w:r>
            <w:r>
              <w:rPr>
                <w:rFonts w:hint="eastAsia" w:ascii="仿宋" w:hAnsi="仿宋" w:eastAsia="仿宋"/>
                <w:szCs w:val="21"/>
              </w:rPr>
              <w:t>；夏季□；秋季</w:t>
            </w:r>
            <w:r>
              <w:rPr>
                <w:rFonts w:hint="eastAsia" w:ascii="仿宋" w:hAnsi="仿宋" w:eastAsia="仿宋"/>
                <w:b/>
                <w:bCs/>
                <w:kern w:val="44"/>
                <w:szCs w:val="21"/>
              </w:rPr>
              <w:t>√</w:t>
            </w:r>
            <w:r>
              <w:rPr>
                <w:rFonts w:hint="eastAsia" w:ascii="仿宋" w:hAnsi="仿宋" w:eastAsia="仿宋"/>
                <w:szCs w:val="21"/>
              </w:rPr>
              <w:t>□；冬季□</w:t>
            </w:r>
          </w:p>
        </w:tc>
        <w:tc>
          <w:tcPr>
            <w:tcW w:w="1785" w:type="pct"/>
            <w:gridSpan w:val="6"/>
            <w:shd w:val="clear" w:color="auto" w:fill="auto"/>
            <w:vAlign w:val="center"/>
          </w:tcPr>
          <w:p>
            <w:pPr>
              <w:jc w:val="center"/>
              <w:rPr>
                <w:rFonts w:ascii="仿宋" w:hAnsi="仿宋" w:eastAsia="仿宋"/>
                <w:szCs w:val="21"/>
              </w:rPr>
            </w:pPr>
            <w:r>
              <w:rPr>
                <w:rFonts w:hint="eastAsia" w:ascii="仿宋" w:hAnsi="仿宋" w:eastAsia="仿宋"/>
                <w:szCs w:val="21"/>
              </w:rPr>
              <w:t>生态环境保护主管部门□；补充监测□；其他□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shd w:val="clear" w:color="auto" w:fill="auto"/>
            <w:vAlign w:val="center"/>
          </w:tcPr>
          <w:p>
            <w:pPr>
              <w:jc w:val="center"/>
              <w:rPr>
                <w:rFonts w:ascii="仿宋" w:hAnsi="仿宋" w:eastAsia="仿宋"/>
                <w:szCs w:val="21"/>
              </w:rPr>
            </w:pPr>
          </w:p>
        </w:tc>
        <w:tc>
          <w:tcPr>
            <w:tcW w:w="900" w:type="pct"/>
            <w:shd w:val="clear" w:color="auto" w:fill="auto"/>
            <w:vAlign w:val="center"/>
          </w:tcPr>
          <w:p>
            <w:pPr>
              <w:jc w:val="center"/>
              <w:rPr>
                <w:rFonts w:ascii="仿宋" w:hAnsi="仿宋" w:eastAsia="仿宋"/>
                <w:szCs w:val="21"/>
              </w:rPr>
            </w:pPr>
            <w:r>
              <w:rPr>
                <w:rFonts w:hint="eastAsia" w:ascii="仿宋" w:hAnsi="仿宋" w:eastAsia="仿宋"/>
                <w:szCs w:val="21"/>
              </w:rPr>
              <w:t>区域水资源开发利用状况</w:t>
            </w:r>
          </w:p>
        </w:tc>
        <w:tc>
          <w:tcPr>
            <w:tcW w:w="3662" w:type="pct"/>
            <w:gridSpan w:val="11"/>
            <w:shd w:val="clear" w:color="auto" w:fill="auto"/>
            <w:vAlign w:val="center"/>
          </w:tcPr>
          <w:p>
            <w:pPr>
              <w:rPr>
                <w:rFonts w:ascii="仿宋" w:hAnsi="仿宋" w:eastAsia="仿宋"/>
                <w:szCs w:val="21"/>
              </w:rPr>
            </w:pPr>
            <w:r>
              <w:rPr>
                <w:rFonts w:hint="eastAsia" w:ascii="仿宋" w:hAnsi="仿宋" w:eastAsia="仿宋"/>
                <w:szCs w:val="21"/>
              </w:rPr>
              <w:t>未开发□；开发量40%以下□；开发量40%以上□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shd w:val="clear" w:color="auto" w:fill="auto"/>
            <w:vAlign w:val="center"/>
          </w:tcPr>
          <w:p>
            <w:pPr>
              <w:jc w:val="center"/>
              <w:rPr>
                <w:rFonts w:ascii="仿宋" w:hAnsi="仿宋" w:eastAsia="仿宋"/>
                <w:szCs w:val="21"/>
              </w:rPr>
            </w:pPr>
          </w:p>
        </w:tc>
        <w:tc>
          <w:tcPr>
            <w:tcW w:w="900" w:type="pct"/>
            <w:vMerge w:val="restart"/>
            <w:shd w:val="clear" w:color="auto" w:fill="auto"/>
            <w:vAlign w:val="center"/>
          </w:tcPr>
          <w:p>
            <w:pPr>
              <w:jc w:val="center"/>
              <w:rPr>
                <w:rFonts w:ascii="仿宋" w:hAnsi="仿宋" w:eastAsia="仿宋"/>
                <w:szCs w:val="21"/>
              </w:rPr>
            </w:pPr>
            <w:r>
              <w:rPr>
                <w:rFonts w:hint="eastAsia" w:ascii="仿宋" w:hAnsi="仿宋" w:eastAsia="仿宋"/>
                <w:szCs w:val="21"/>
              </w:rPr>
              <w:t>水文情势调查</w:t>
            </w:r>
          </w:p>
        </w:tc>
        <w:tc>
          <w:tcPr>
            <w:tcW w:w="1877" w:type="pct"/>
            <w:gridSpan w:val="5"/>
            <w:shd w:val="clear" w:color="auto" w:fill="auto"/>
            <w:vAlign w:val="center"/>
          </w:tcPr>
          <w:p>
            <w:pPr>
              <w:jc w:val="center"/>
              <w:rPr>
                <w:rFonts w:ascii="仿宋" w:hAnsi="仿宋" w:eastAsia="仿宋"/>
                <w:szCs w:val="21"/>
              </w:rPr>
            </w:pPr>
            <w:r>
              <w:rPr>
                <w:rFonts w:hint="eastAsia" w:ascii="仿宋" w:hAnsi="仿宋" w:eastAsia="仿宋"/>
                <w:szCs w:val="21"/>
              </w:rPr>
              <w:t>调查时期</w:t>
            </w:r>
          </w:p>
        </w:tc>
        <w:tc>
          <w:tcPr>
            <w:tcW w:w="1785" w:type="pct"/>
            <w:gridSpan w:val="6"/>
            <w:shd w:val="clear" w:color="auto" w:fill="auto"/>
            <w:vAlign w:val="center"/>
          </w:tcPr>
          <w:p>
            <w:pPr>
              <w:jc w:val="center"/>
              <w:rPr>
                <w:rFonts w:ascii="仿宋" w:hAnsi="仿宋" w:eastAsia="仿宋"/>
                <w:szCs w:val="21"/>
              </w:rPr>
            </w:pPr>
            <w:r>
              <w:rPr>
                <w:rFonts w:hint="eastAsia" w:ascii="仿宋" w:hAnsi="仿宋" w:eastAsia="仿宋"/>
                <w:szCs w:val="21"/>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shd w:val="clear" w:color="auto" w:fill="auto"/>
            <w:vAlign w:val="center"/>
          </w:tcPr>
          <w:p>
            <w:pPr>
              <w:jc w:val="center"/>
              <w:rPr>
                <w:rFonts w:ascii="仿宋" w:hAnsi="仿宋" w:eastAsia="仿宋"/>
                <w:szCs w:val="21"/>
              </w:rPr>
            </w:pPr>
          </w:p>
        </w:tc>
        <w:tc>
          <w:tcPr>
            <w:tcW w:w="900" w:type="pct"/>
            <w:vMerge w:val="continue"/>
            <w:shd w:val="clear" w:color="auto" w:fill="auto"/>
            <w:vAlign w:val="center"/>
          </w:tcPr>
          <w:p>
            <w:pPr>
              <w:jc w:val="center"/>
              <w:rPr>
                <w:rFonts w:ascii="仿宋" w:hAnsi="仿宋" w:eastAsia="仿宋"/>
                <w:szCs w:val="21"/>
              </w:rPr>
            </w:pPr>
          </w:p>
        </w:tc>
        <w:tc>
          <w:tcPr>
            <w:tcW w:w="1877" w:type="pct"/>
            <w:gridSpan w:val="5"/>
            <w:shd w:val="clear" w:color="auto" w:fill="auto"/>
            <w:vAlign w:val="center"/>
          </w:tcPr>
          <w:p>
            <w:pPr>
              <w:rPr>
                <w:rFonts w:ascii="仿宋" w:hAnsi="仿宋" w:eastAsia="仿宋"/>
                <w:szCs w:val="21"/>
              </w:rPr>
            </w:pPr>
            <w:r>
              <w:rPr>
                <w:rFonts w:hint="eastAsia" w:ascii="仿宋" w:hAnsi="仿宋" w:eastAsia="仿宋"/>
                <w:szCs w:val="21"/>
              </w:rPr>
              <w:t>丰水期□；平水期□；枯水期□；冰封期□</w:t>
            </w:r>
          </w:p>
          <w:p>
            <w:pPr>
              <w:rPr>
                <w:rFonts w:ascii="仿宋" w:hAnsi="仿宋" w:eastAsia="仿宋"/>
                <w:szCs w:val="21"/>
              </w:rPr>
            </w:pPr>
            <w:r>
              <w:rPr>
                <w:rFonts w:hint="eastAsia" w:ascii="仿宋" w:hAnsi="仿宋" w:eastAsia="仿宋"/>
                <w:szCs w:val="21"/>
              </w:rPr>
              <w:t>春季□；夏季□；秋季□；冬季□</w:t>
            </w:r>
          </w:p>
        </w:tc>
        <w:tc>
          <w:tcPr>
            <w:tcW w:w="1785" w:type="pct"/>
            <w:gridSpan w:val="6"/>
            <w:shd w:val="clear" w:color="auto" w:fill="auto"/>
            <w:vAlign w:val="center"/>
          </w:tcPr>
          <w:p>
            <w:pPr>
              <w:jc w:val="center"/>
              <w:rPr>
                <w:rFonts w:ascii="仿宋" w:hAnsi="仿宋" w:eastAsia="仿宋"/>
                <w:szCs w:val="21"/>
              </w:rPr>
            </w:pPr>
            <w:r>
              <w:rPr>
                <w:rFonts w:hint="eastAsia" w:ascii="仿宋" w:hAnsi="仿宋" w:eastAsia="仿宋"/>
                <w:szCs w:val="21"/>
              </w:rPr>
              <w:t>水行政主管部门□；补充监测□；其他□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shd w:val="clear" w:color="auto" w:fill="auto"/>
            <w:vAlign w:val="center"/>
          </w:tcPr>
          <w:p>
            <w:pPr>
              <w:jc w:val="center"/>
              <w:rPr>
                <w:rFonts w:ascii="仿宋" w:hAnsi="仿宋" w:eastAsia="仿宋"/>
                <w:szCs w:val="21"/>
              </w:rPr>
            </w:pPr>
          </w:p>
        </w:tc>
        <w:tc>
          <w:tcPr>
            <w:tcW w:w="900" w:type="pct"/>
            <w:vMerge w:val="restart"/>
            <w:shd w:val="clear" w:color="auto" w:fill="auto"/>
            <w:vAlign w:val="center"/>
          </w:tcPr>
          <w:p>
            <w:pPr>
              <w:jc w:val="center"/>
              <w:rPr>
                <w:rFonts w:ascii="仿宋" w:hAnsi="仿宋" w:eastAsia="仿宋"/>
                <w:szCs w:val="21"/>
              </w:rPr>
            </w:pPr>
            <w:r>
              <w:rPr>
                <w:rFonts w:hint="eastAsia" w:ascii="仿宋" w:hAnsi="仿宋" w:eastAsia="仿宋"/>
                <w:szCs w:val="21"/>
              </w:rPr>
              <w:t>补充监测</w:t>
            </w:r>
          </w:p>
        </w:tc>
        <w:tc>
          <w:tcPr>
            <w:tcW w:w="1877" w:type="pct"/>
            <w:gridSpan w:val="5"/>
            <w:shd w:val="clear" w:color="auto" w:fill="auto"/>
            <w:vAlign w:val="center"/>
          </w:tcPr>
          <w:p>
            <w:pPr>
              <w:jc w:val="center"/>
              <w:rPr>
                <w:rFonts w:ascii="仿宋" w:hAnsi="仿宋" w:eastAsia="仿宋"/>
                <w:szCs w:val="21"/>
              </w:rPr>
            </w:pPr>
            <w:r>
              <w:rPr>
                <w:rFonts w:hint="eastAsia" w:ascii="仿宋" w:hAnsi="仿宋" w:eastAsia="仿宋"/>
                <w:szCs w:val="21"/>
              </w:rPr>
              <w:t>监测时期</w:t>
            </w:r>
          </w:p>
        </w:tc>
        <w:tc>
          <w:tcPr>
            <w:tcW w:w="823" w:type="pct"/>
            <w:gridSpan w:val="3"/>
            <w:shd w:val="clear" w:color="auto" w:fill="auto"/>
            <w:vAlign w:val="center"/>
          </w:tcPr>
          <w:p>
            <w:pPr>
              <w:jc w:val="center"/>
              <w:rPr>
                <w:rFonts w:ascii="仿宋" w:hAnsi="仿宋" w:eastAsia="仿宋"/>
                <w:szCs w:val="21"/>
              </w:rPr>
            </w:pPr>
            <w:r>
              <w:rPr>
                <w:rFonts w:hint="eastAsia" w:ascii="仿宋" w:hAnsi="仿宋" w:eastAsia="仿宋"/>
                <w:szCs w:val="21"/>
              </w:rPr>
              <w:t>监测因子</w:t>
            </w:r>
          </w:p>
        </w:tc>
        <w:tc>
          <w:tcPr>
            <w:tcW w:w="962" w:type="pct"/>
            <w:gridSpan w:val="3"/>
            <w:shd w:val="clear" w:color="auto" w:fill="auto"/>
            <w:vAlign w:val="center"/>
          </w:tcPr>
          <w:p>
            <w:pPr>
              <w:jc w:val="center"/>
              <w:rPr>
                <w:rFonts w:ascii="仿宋" w:hAnsi="仿宋" w:eastAsia="仿宋"/>
                <w:szCs w:val="21"/>
              </w:rPr>
            </w:pPr>
            <w:r>
              <w:rPr>
                <w:rFonts w:hint="eastAsia" w:ascii="仿宋" w:hAnsi="仿宋" w:eastAsia="仿宋"/>
                <w:szCs w:val="21"/>
              </w:rPr>
              <w:t>监测断面或点位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shd w:val="clear" w:color="auto" w:fill="auto"/>
            <w:vAlign w:val="center"/>
          </w:tcPr>
          <w:p>
            <w:pPr>
              <w:jc w:val="center"/>
              <w:rPr>
                <w:rFonts w:ascii="仿宋" w:hAnsi="仿宋" w:eastAsia="仿宋"/>
                <w:szCs w:val="21"/>
              </w:rPr>
            </w:pPr>
          </w:p>
        </w:tc>
        <w:tc>
          <w:tcPr>
            <w:tcW w:w="900" w:type="pct"/>
            <w:vMerge w:val="continue"/>
            <w:shd w:val="clear" w:color="auto" w:fill="auto"/>
            <w:vAlign w:val="center"/>
          </w:tcPr>
          <w:p>
            <w:pPr>
              <w:jc w:val="center"/>
              <w:rPr>
                <w:rFonts w:ascii="仿宋" w:hAnsi="仿宋" w:eastAsia="仿宋"/>
                <w:szCs w:val="21"/>
              </w:rPr>
            </w:pPr>
          </w:p>
        </w:tc>
        <w:tc>
          <w:tcPr>
            <w:tcW w:w="1877" w:type="pct"/>
            <w:gridSpan w:val="5"/>
            <w:shd w:val="clear" w:color="auto" w:fill="auto"/>
            <w:vAlign w:val="center"/>
          </w:tcPr>
          <w:p>
            <w:pPr>
              <w:rPr>
                <w:rFonts w:ascii="仿宋" w:hAnsi="仿宋" w:eastAsia="仿宋"/>
                <w:szCs w:val="21"/>
              </w:rPr>
            </w:pPr>
            <w:r>
              <w:rPr>
                <w:rFonts w:hint="eastAsia" w:ascii="仿宋" w:hAnsi="仿宋" w:eastAsia="仿宋"/>
                <w:szCs w:val="21"/>
              </w:rPr>
              <w:t>丰水期□；平水期□；枯水期</w:t>
            </w:r>
            <w:r>
              <w:rPr>
                <w:rFonts w:hint="eastAsia" w:ascii="仿宋" w:hAnsi="仿宋" w:eastAsia="仿宋"/>
                <w:b/>
                <w:bCs/>
                <w:kern w:val="44"/>
                <w:szCs w:val="21"/>
              </w:rPr>
              <w:t>√</w:t>
            </w:r>
            <w:r>
              <w:rPr>
                <w:rFonts w:hint="eastAsia" w:ascii="仿宋" w:hAnsi="仿宋" w:eastAsia="仿宋"/>
                <w:szCs w:val="21"/>
              </w:rPr>
              <w:t>；冰封期□</w:t>
            </w:r>
          </w:p>
          <w:p>
            <w:pPr>
              <w:rPr>
                <w:rFonts w:ascii="仿宋" w:hAnsi="仿宋" w:eastAsia="仿宋"/>
                <w:szCs w:val="21"/>
              </w:rPr>
            </w:pPr>
            <w:r>
              <w:rPr>
                <w:rFonts w:hint="eastAsia" w:ascii="仿宋" w:hAnsi="仿宋" w:eastAsia="仿宋"/>
                <w:szCs w:val="21"/>
              </w:rPr>
              <w:t>春季</w:t>
            </w:r>
            <w:r>
              <w:rPr>
                <w:rFonts w:hint="eastAsia" w:ascii="仿宋" w:hAnsi="仿宋" w:eastAsia="仿宋"/>
                <w:b/>
                <w:bCs/>
                <w:kern w:val="44"/>
                <w:szCs w:val="21"/>
              </w:rPr>
              <w:t>√</w:t>
            </w:r>
            <w:r>
              <w:rPr>
                <w:rFonts w:hint="eastAsia" w:ascii="仿宋" w:hAnsi="仿宋" w:eastAsia="仿宋"/>
                <w:szCs w:val="21"/>
              </w:rPr>
              <w:t>；夏季□；秋季□；冬季□</w:t>
            </w:r>
          </w:p>
        </w:tc>
        <w:tc>
          <w:tcPr>
            <w:tcW w:w="823" w:type="pct"/>
            <w:gridSpan w:val="3"/>
            <w:shd w:val="clear" w:color="auto" w:fill="auto"/>
            <w:vAlign w:val="center"/>
          </w:tcPr>
          <w:p>
            <w:pPr>
              <w:jc w:val="center"/>
              <w:rPr>
                <w:rFonts w:ascii="仿宋" w:hAnsi="仿宋" w:eastAsia="仿宋"/>
                <w:szCs w:val="21"/>
              </w:rPr>
            </w:pPr>
            <w:r>
              <w:rPr>
                <w:rFonts w:hint="eastAsia" w:ascii="仿宋" w:hAnsi="仿宋" w:eastAsia="仿宋"/>
                <w:szCs w:val="21"/>
              </w:rPr>
              <w:t>（pH、化学需氧量、氨氮、总磷、</w:t>
            </w:r>
            <w:r>
              <w:rPr>
                <w:rFonts w:ascii="仿宋" w:hAnsi="仿宋" w:eastAsia="仿宋"/>
                <w:szCs w:val="21"/>
              </w:rPr>
              <w:t>总氮</w:t>
            </w:r>
            <w:r>
              <w:rPr>
                <w:rFonts w:hint="eastAsia" w:ascii="仿宋" w:hAnsi="仿宋" w:eastAsia="仿宋"/>
                <w:szCs w:val="21"/>
              </w:rPr>
              <w:t>、悬浮物）</w:t>
            </w:r>
          </w:p>
        </w:tc>
        <w:tc>
          <w:tcPr>
            <w:tcW w:w="962" w:type="pct"/>
            <w:gridSpan w:val="3"/>
            <w:shd w:val="clear" w:color="auto" w:fill="auto"/>
            <w:vAlign w:val="center"/>
          </w:tcPr>
          <w:p>
            <w:pPr>
              <w:jc w:val="center"/>
              <w:rPr>
                <w:rFonts w:ascii="仿宋" w:hAnsi="仿宋" w:eastAsia="仿宋"/>
                <w:szCs w:val="21"/>
              </w:rPr>
            </w:pPr>
            <w:r>
              <w:rPr>
                <w:rFonts w:hint="eastAsia" w:ascii="仿宋" w:hAnsi="仿宋" w:eastAsia="仿宋"/>
                <w:szCs w:val="21"/>
              </w:rPr>
              <w:t>监测断面或点位个数（</w:t>
            </w:r>
            <w:r>
              <w:rPr>
                <w:rFonts w:ascii="仿宋" w:hAnsi="仿宋" w:eastAsia="仿宋"/>
                <w:szCs w:val="21"/>
              </w:rPr>
              <w:t>2</w:t>
            </w:r>
            <w:r>
              <w:rPr>
                <w:rFonts w:hint="eastAsia" w:ascii="仿宋" w:hAnsi="仿宋" w:eastAsia="仿宋"/>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restart"/>
            <w:shd w:val="clear" w:color="auto" w:fill="auto"/>
            <w:vAlign w:val="center"/>
          </w:tcPr>
          <w:p>
            <w:pPr>
              <w:jc w:val="center"/>
              <w:rPr>
                <w:rFonts w:ascii="仿宋" w:hAnsi="仿宋" w:eastAsia="仿宋"/>
                <w:szCs w:val="21"/>
              </w:rPr>
            </w:pPr>
            <w:r>
              <w:rPr>
                <w:rFonts w:hint="eastAsia" w:ascii="仿宋" w:hAnsi="仿宋" w:eastAsia="仿宋"/>
                <w:szCs w:val="21"/>
              </w:rPr>
              <w:t>现状评价</w:t>
            </w:r>
          </w:p>
        </w:tc>
        <w:tc>
          <w:tcPr>
            <w:tcW w:w="900" w:type="pct"/>
            <w:shd w:val="clear" w:color="auto" w:fill="auto"/>
            <w:vAlign w:val="center"/>
          </w:tcPr>
          <w:p>
            <w:pPr>
              <w:jc w:val="center"/>
              <w:rPr>
                <w:rFonts w:ascii="仿宋" w:hAnsi="仿宋" w:eastAsia="仿宋"/>
                <w:szCs w:val="21"/>
              </w:rPr>
            </w:pPr>
            <w:r>
              <w:rPr>
                <w:rFonts w:hint="eastAsia" w:ascii="仿宋" w:hAnsi="仿宋" w:eastAsia="仿宋"/>
                <w:szCs w:val="21"/>
              </w:rPr>
              <w:t>评价范围</w:t>
            </w:r>
          </w:p>
        </w:tc>
        <w:tc>
          <w:tcPr>
            <w:tcW w:w="3662" w:type="pct"/>
            <w:gridSpan w:val="11"/>
            <w:shd w:val="clear" w:color="auto" w:fill="auto"/>
            <w:vAlign w:val="center"/>
          </w:tcPr>
          <w:p>
            <w:pPr>
              <w:rPr>
                <w:rFonts w:ascii="仿宋" w:hAnsi="仿宋" w:eastAsia="仿宋"/>
                <w:szCs w:val="21"/>
              </w:rPr>
            </w:pPr>
            <w:r>
              <w:rPr>
                <w:rFonts w:hint="eastAsia" w:ascii="仿宋" w:hAnsi="仿宋" w:eastAsia="仿宋"/>
                <w:szCs w:val="21"/>
              </w:rPr>
              <w:t>河流：长度（10）km；湖库、河口及近岸海域：面积（）km</w:t>
            </w:r>
            <w:r>
              <w:rPr>
                <w:rFonts w:hint="eastAsia" w:ascii="仿宋" w:hAnsi="仿宋" w:eastAsia="仿宋"/>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shd w:val="clear" w:color="auto" w:fill="auto"/>
            <w:vAlign w:val="center"/>
          </w:tcPr>
          <w:p>
            <w:pPr>
              <w:jc w:val="center"/>
              <w:rPr>
                <w:rFonts w:ascii="仿宋" w:hAnsi="仿宋" w:eastAsia="仿宋"/>
                <w:szCs w:val="21"/>
              </w:rPr>
            </w:pPr>
          </w:p>
        </w:tc>
        <w:tc>
          <w:tcPr>
            <w:tcW w:w="900" w:type="pct"/>
            <w:shd w:val="clear" w:color="auto" w:fill="auto"/>
            <w:vAlign w:val="center"/>
          </w:tcPr>
          <w:p>
            <w:pPr>
              <w:jc w:val="center"/>
              <w:rPr>
                <w:rFonts w:ascii="仿宋" w:hAnsi="仿宋" w:eastAsia="仿宋"/>
                <w:szCs w:val="21"/>
              </w:rPr>
            </w:pPr>
            <w:r>
              <w:rPr>
                <w:rFonts w:hint="eastAsia" w:ascii="仿宋" w:hAnsi="仿宋" w:eastAsia="仿宋"/>
                <w:szCs w:val="21"/>
              </w:rPr>
              <w:t>评价因子</w:t>
            </w:r>
          </w:p>
        </w:tc>
        <w:tc>
          <w:tcPr>
            <w:tcW w:w="3662" w:type="pct"/>
            <w:gridSpan w:val="11"/>
            <w:shd w:val="clear" w:color="auto" w:fill="auto"/>
            <w:vAlign w:val="center"/>
          </w:tcPr>
          <w:p>
            <w:pPr>
              <w:rPr>
                <w:rFonts w:ascii="仿宋" w:hAnsi="仿宋" w:eastAsia="仿宋"/>
                <w:szCs w:val="21"/>
              </w:rPr>
            </w:pPr>
            <w:r>
              <w:rPr>
                <w:rFonts w:hint="eastAsia" w:ascii="仿宋" w:hAnsi="仿宋" w:eastAsia="仿宋"/>
                <w:szCs w:val="21"/>
              </w:rPr>
              <w:t>（pH、化学需氧量、氨氮、</w:t>
            </w:r>
            <w:r>
              <w:rPr>
                <w:rFonts w:ascii="仿宋" w:hAnsi="仿宋" w:eastAsia="仿宋"/>
                <w:szCs w:val="21"/>
              </w:rPr>
              <w:t>总磷</w:t>
            </w:r>
            <w:r>
              <w:rPr>
                <w:rFonts w:hint="eastAsia" w:ascii="仿宋" w:hAnsi="仿宋" w:eastAsia="仿宋"/>
                <w:szCs w:val="21"/>
              </w:rPr>
              <w:t>、总氮）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shd w:val="clear" w:color="auto" w:fill="auto"/>
            <w:vAlign w:val="center"/>
          </w:tcPr>
          <w:p>
            <w:pPr>
              <w:jc w:val="center"/>
              <w:rPr>
                <w:rFonts w:ascii="仿宋" w:hAnsi="仿宋" w:eastAsia="仿宋"/>
                <w:szCs w:val="21"/>
              </w:rPr>
            </w:pPr>
          </w:p>
        </w:tc>
        <w:tc>
          <w:tcPr>
            <w:tcW w:w="900" w:type="pct"/>
            <w:shd w:val="clear" w:color="auto" w:fill="auto"/>
            <w:vAlign w:val="center"/>
          </w:tcPr>
          <w:p>
            <w:pPr>
              <w:jc w:val="center"/>
              <w:rPr>
                <w:rFonts w:ascii="仿宋" w:hAnsi="仿宋" w:eastAsia="仿宋"/>
                <w:szCs w:val="21"/>
              </w:rPr>
            </w:pPr>
            <w:r>
              <w:rPr>
                <w:rFonts w:hint="eastAsia" w:ascii="仿宋" w:hAnsi="仿宋" w:eastAsia="仿宋"/>
                <w:szCs w:val="21"/>
              </w:rPr>
              <w:t>评价标准</w:t>
            </w:r>
          </w:p>
        </w:tc>
        <w:tc>
          <w:tcPr>
            <w:tcW w:w="3662" w:type="pct"/>
            <w:gridSpan w:val="11"/>
            <w:shd w:val="clear" w:color="auto" w:fill="auto"/>
            <w:vAlign w:val="center"/>
          </w:tcPr>
          <w:p>
            <w:pPr>
              <w:rPr>
                <w:rFonts w:ascii="仿宋" w:hAnsi="仿宋" w:eastAsia="仿宋"/>
                <w:szCs w:val="21"/>
              </w:rPr>
            </w:pPr>
            <w:r>
              <w:rPr>
                <w:rFonts w:hint="eastAsia" w:ascii="仿宋" w:hAnsi="仿宋" w:eastAsia="仿宋"/>
                <w:szCs w:val="21"/>
              </w:rPr>
              <w:t>河流、湖库、河口：</w:t>
            </w:r>
            <w:r>
              <w:rPr>
                <w:rFonts w:hint="eastAsia" w:ascii="仿宋" w:hAnsi="仿宋" w:eastAsia="仿宋" w:cs="宋体"/>
                <w:szCs w:val="21"/>
              </w:rPr>
              <w:t>Ⅰ</w:t>
            </w:r>
            <w:r>
              <w:rPr>
                <w:rFonts w:hint="eastAsia" w:ascii="仿宋" w:hAnsi="仿宋" w:eastAsia="仿宋"/>
                <w:szCs w:val="21"/>
              </w:rPr>
              <w:t>类□；</w:t>
            </w:r>
            <w:r>
              <w:rPr>
                <w:rFonts w:hint="eastAsia" w:ascii="仿宋" w:hAnsi="仿宋" w:eastAsia="仿宋" w:cs="宋体"/>
                <w:szCs w:val="21"/>
              </w:rPr>
              <w:t>Ⅱ</w:t>
            </w:r>
            <w:r>
              <w:rPr>
                <w:rFonts w:hint="eastAsia" w:ascii="仿宋" w:hAnsi="仿宋" w:eastAsia="仿宋"/>
                <w:szCs w:val="21"/>
              </w:rPr>
              <w:t>类□；</w:t>
            </w:r>
            <w:r>
              <w:rPr>
                <w:rFonts w:hint="eastAsia" w:ascii="仿宋" w:hAnsi="仿宋" w:eastAsia="仿宋" w:cs="宋体"/>
                <w:szCs w:val="21"/>
              </w:rPr>
              <w:t>Ⅲ</w:t>
            </w:r>
            <w:r>
              <w:rPr>
                <w:rFonts w:hint="eastAsia" w:ascii="仿宋" w:hAnsi="仿宋" w:eastAsia="仿宋"/>
                <w:szCs w:val="21"/>
              </w:rPr>
              <w:t>类</w:t>
            </w:r>
            <w:r>
              <w:rPr>
                <w:rFonts w:hint="eastAsia" w:ascii="仿宋" w:hAnsi="仿宋" w:eastAsia="仿宋"/>
                <w:b/>
                <w:bCs/>
                <w:kern w:val="44"/>
                <w:szCs w:val="21"/>
              </w:rPr>
              <w:t>√</w:t>
            </w:r>
            <w:r>
              <w:rPr>
                <w:rFonts w:hint="eastAsia" w:ascii="仿宋" w:hAnsi="仿宋" w:eastAsia="仿宋"/>
                <w:szCs w:val="21"/>
              </w:rPr>
              <w:t>；</w:t>
            </w:r>
            <w:r>
              <w:rPr>
                <w:rFonts w:hint="eastAsia" w:ascii="仿宋" w:hAnsi="仿宋" w:eastAsia="仿宋" w:cs="宋体"/>
                <w:szCs w:val="21"/>
              </w:rPr>
              <w:t>Ⅳ</w:t>
            </w:r>
            <w:r>
              <w:rPr>
                <w:rFonts w:hint="eastAsia" w:ascii="仿宋" w:hAnsi="仿宋" w:eastAsia="仿宋"/>
                <w:szCs w:val="21"/>
              </w:rPr>
              <w:t>类□；</w:t>
            </w:r>
            <w:r>
              <w:rPr>
                <w:rFonts w:hint="eastAsia" w:ascii="仿宋" w:hAnsi="仿宋" w:eastAsia="仿宋" w:cs="宋体"/>
                <w:szCs w:val="21"/>
              </w:rPr>
              <w:t>Ⅴ</w:t>
            </w:r>
            <w:r>
              <w:rPr>
                <w:rFonts w:hint="eastAsia" w:ascii="仿宋" w:hAnsi="仿宋" w:eastAsia="仿宋"/>
                <w:szCs w:val="21"/>
              </w:rPr>
              <w:t>类□</w:t>
            </w:r>
          </w:p>
          <w:p>
            <w:pPr>
              <w:rPr>
                <w:rFonts w:ascii="仿宋" w:hAnsi="仿宋" w:eastAsia="仿宋"/>
                <w:szCs w:val="21"/>
              </w:rPr>
            </w:pPr>
            <w:r>
              <w:rPr>
                <w:rFonts w:hint="eastAsia" w:ascii="仿宋" w:hAnsi="仿宋" w:eastAsia="仿宋"/>
                <w:szCs w:val="21"/>
              </w:rPr>
              <w:t>近岸海域：第一类□；第二类□；第三类□；第四类□</w:t>
            </w:r>
          </w:p>
          <w:p>
            <w:pPr>
              <w:rPr>
                <w:rFonts w:ascii="仿宋" w:hAnsi="仿宋" w:eastAsia="仿宋"/>
                <w:szCs w:val="21"/>
              </w:rPr>
            </w:pPr>
            <w:r>
              <w:rPr>
                <w:rFonts w:hint="eastAsia" w:ascii="仿宋" w:hAnsi="仿宋" w:eastAsia="仿宋"/>
                <w:szCs w:val="21"/>
              </w:rPr>
              <w:t>规划年评价标准：（《地表水环境质量标准》）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shd w:val="clear" w:color="auto" w:fill="auto"/>
            <w:vAlign w:val="center"/>
          </w:tcPr>
          <w:p>
            <w:pPr>
              <w:jc w:val="center"/>
              <w:rPr>
                <w:rFonts w:ascii="仿宋" w:hAnsi="仿宋" w:eastAsia="仿宋"/>
                <w:szCs w:val="21"/>
              </w:rPr>
            </w:pPr>
          </w:p>
        </w:tc>
        <w:tc>
          <w:tcPr>
            <w:tcW w:w="900" w:type="pct"/>
            <w:shd w:val="clear" w:color="auto" w:fill="auto"/>
            <w:vAlign w:val="center"/>
          </w:tcPr>
          <w:p>
            <w:pPr>
              <w:jc w:val="center"/>
              <w:rPr>
                <w:rFonts w:ascii="仿宋" w:hAnsi="仿宋" w:eastAsia="仿宋"/>
                <w:szCs w:val="21"/>
              </w:rPr>
            </w:pPr>
            <w:r>
              <w:rPr>
                <w:rFonts w:hint="eastAsia" w:ascii="仿宋" w:hAnsi="仿宋" w:eastAsia="仿宋"/>
                <w:szCs w:val="21"/>
              </w:rPr>
              <w:t>评价时期</w:t>
            </w:r>
          </w:p>
        </w:tc>
        <w:tc>
          <w:tcPr>
            <w:tcW w:w="3662" w:type="pct"/>
            <w:gridSpan w:val="11"/>
            <w:shd w:val="clear" w:color="auto" w:fill="auto"/>
            <w:vAlign w:val="center"/>
          </w:tcPr>
          <w:p>
            <w:pPr>
              <w:rPr>
                <w:rFonts w:ascii="仿宋" w:hAnsi="仿宋" w:eastAsia="仿宋"/>
                <w:szCs w:val="21"/>
              </w:rPr>
            </w:pPr>
            <w:r>
              <w:rPr>
                <w:rFonts w:hint="eastAsia" w:ascii="仿宋" w:hAnsi="仿宋" w:eastAsia="仿宋"/>
                <w:szCs w:val="21"/>
              </w:rPr>
              <w:t>丰水期</w:t>
            </w:r>
            <w:r>
              <w:rPr>
                <w:rFonts w:hint="eastAsia" w:ascii="仿宋" w:hAnsi="仿宋" w:eastAsia="仿宋"/>
                <w:b/>
                <w:bCs/>
                <w:kern w:val="44"/>
                <w:szCs w:val="21"/>
              </w:rPr>
              <w:t>√</w:t>
            </w:r>
            <w:r>
              <w:rPr>
                <w:rFonts w:hint="eastAsia" w:ascii="仿宋" w:hAnsi="仿宋" w:eastAsia="仿宋"/>
                <w:szCs w:val="21"/>
              </w:rPr>
              <w:t>；平水期□；枯水期□；冰封期□</w:t>
            </w:r>
          </w:p>
          <w:p>
            <w:pPr>
              <w:rPr>
                <w:rFonts w:ascii="仿宋" w:hAnsi="仿宋" w:eastAsia="仿宋"/>
                <w:szCs w:val="21"/>
              </w:rPr>
            </w:pPr>
            <w:r>
              <w:rPr>
                <w:rFonts w:hint="eastAsia" w:ascii="仿宋" w:hAnsi="仿宋" w:eastAsia="仿宋"/>
                <w:szCs w:val="21"/>
              </w:rPr>
              <w:t>春季□；夏季</w:t>
            </w:r>
            <w:r>
              <w:rPr>
                <w:rFonts w:hint="eastAsia" w:ascii="仿宋" w:hAnsi="仿宋" w:eastAsia="仿宋"/>
                <w:b/>
                <w:bCs/>
                <w:kern w:val="44"/>
                <w:szCs w:val="21"/>
              </w:rPr>
              <w:t>√</w:t>
            </w:r>
            <w:r>
              <w:rPr>
                <w:rFonts w:hint="eastAsia" w:ascii="仿宋" w:hAnsi="仿宋" w:eastAsia="仿宋"/>
                <w:szCs w:val="21"/>
              </w:rPr>
              <w:t>；秋季□；冬季□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shd w:val="clear" w:color="auto" w:fill="auto"/>
            <w:vAlign w:val="center"/>
          </w:tcPr>
          <w:p>
            <w:pPr>
              <w:jc w:val="center"/>
              <w:rPr>
                <w:rFonts w:ascii="仿宋" w:hAnsi="仿宋" w:eastAsia="仿宋"/>
                <w:szCs w:val="21"/>
              </w:rPr>
            </w:pPr>
          </w:p>
        </w:tc>
        <w:tc>
          <w:tcPr>
            <w:tcW w:w="900" w:type="pct"/>
            <w:shd w:val="clear" w:color="auto" w:fill="auto"/>
            <w:vAlign w:val="center"/>
          </w:tcPr>
          <w:p>
            <w:pPr>
              <w:jc w:val="center"/>
              <w:rPr>
                <w:rFonts w:ascii="仿宋" w:hAnsi="仿宋" w:eastAsia="仿宋"/>
                <w:szCs w:val="21"/>
              </w:rPr>
            </w:pPr>
            <w:r>
              <w:rPr>
                <w:rFonts w:hint="eastAsia" w:ascii="仿宋" w:hAnsi="仿宋" w:eastAsia="仿宋"/>
                <w:szCs w:val="21"/>
              </w:rPr>
              <w:t>评价结论</w:t>
            </w:r>
          </w:p>
        </w:tc>
        <w:tc>
          <w:tcPr>
            <w:tcW w:w="3081" w:type="pct"/>
            <w:gridSpan w:val="10"/>
            <w:shd w:val="clear" w:color="auto" w:fill="auto"/>
            <w:vAlign w:val="center"/>
          </w:tcPr>
          <w:p>
            <w:pPr>
              <w:rPr>
                <w:rFonts w:ascii="仿宋" w:hAnsi="仿宋" w:eastAsia="仿宋"/>
                <w:szCs w:val="21"/>
              </w:rPr>
            </w:pPr>
            <w:r>
              <w:rPr>
                <w:rFonts w:hint="eastAsia" w:ascii="仿宋" w:hAnsi="仿宋" w:eastAsia="仿宋"/>
                <w:szCs w:val="21"/>
              </w:rPr>
              <w:t>水环境功能区或水功能区、近岸海域环境功能区水质达标状况：达标□；不达标□</w:t>
            </w:r>
          </w:p>
          <w:p>
            <w:pPr>
              <w:rPr>
                <w:rFonts w:ascii="仿宋" w:hAnsi="仿宋" w:eastAsia="仿宋"/>
                <w:szCs w:val="21"/>
              </w:rPr>
            </w:pPr>
            <w:r>
              <w:rPr>
                <w:rFonts w:hint="eastAsia" w:ascii="仿宋" w:hAnsi="仿宋" w:eastAsia="仿宋"/>
                <w:szCs w:val="21"/>
              </w:rPr>
              <w:t>水环境控制单元或断面水质达标状况：达标</w:t>
            </w:r>
            <w:r>
              <w:rPr>
                <w:rFonts w:hint="eastAsia" w:ascii="仿宋" w:hAnsi="仿宋" w:eastAsia="仿宋"/>
                <w:b/>
                <w:bCs/>
                <w:kern w:val="44"/>
                <w:szCs w:val="21"/>
              </w:rPr>
              <w:t>√</w:t>
            </w:r>
            <w:r>
              <w:rPr>
                <w:rFonts w:hint="eastAsia" w:ascii="仿宋" w:hAnsi="仿宋" w:eastAsia="仿宋"/>
                <w:szCs w:val="21"/>
              </w:rPr>
              <w:t>；不达标□</w:t>
            </w:r>
          </w:p>
          <w:p>
            <w:pPr>
              <w:rPr>
                <w:rFonts w:ascii="仿宋" w:hAnsi="仿宋" w:eastAsia="仿宋"/>
                <w:szCs w:val="21"/>
              </w:rPr>
            </w:pPr>
            <w:r>
              <w:rPr>
                <w:rFonts w:hint="eastAsia" w:ascii="仿宋" w:hAnsi="仿宋" w:eastAsia="仿宋"/>
                <w:szCs w:val="21"/>
              </w:rPr>
              <w:t>水环境保护目标质量状况：达标□；不达标□</w:t>
            </w:r>
          </w:p>
          <w:p>
            <w:pPr>
              <w:rPr>
                <w:rFonts w:ascii="仿宋" w:hAnsi="仿宋" w:eastAsia="仿宋"/>
                <w:szCs w:val="21"/>
              </w:rPr>
            </w:pPr>
            <w:r>
              <w:rPr>
                <w:rFonts w:hint="eastAsia" w:ascii="仿宋" w:hAnsi="仿宋" w:eastAsia="仿宋"/>
                <w:szCs w:val="21"/>
              </w:rPr>
              <w:t>对照断面、控制断面等代表性断面的水质状况：达标□；不达标□</w:t>
            </w:r>
          </w:p>
          <w:p>
            <w:pPr>
              <w:rPr>
                <w:rFonts w:ascii="仿宋" w:hAnsi="仿宋" w:eastAsia="仿宋"/>
                <w:szCs w:val="21"/>
              </w:rPr>
            </w:pPr>
            <w:r>
              <w:rPr>
                <w:rFonts w:hint="eastAsia" w:ascii="仿宋" w:hAnsi="仿宋" w:eastAsia="仿宋"/>
                <w:szCs w:val="21"/>
              </w:rPr>
              <w:t>底泥污染评价□</w:t>
            </w:r>
          </w:p>
          <w:p>
            <w:pPr>
              <w:rPr>
                <w:rFonts w:ascii="仿宋" w:hAnsi="仿宋" w:eastAsia="仿宋"/>
                <w:szCs w:val="21"/>
              </w:rPr>
            </w:pPr>
            <w:r>
              <w:rPr>
                <w:rFonts w:hint="eastAsia" w:ascii="仿宋" w:hAnsi="仿宋" w:eastAsia="仿宋"/>
                <w:szCs w:val="21"/>
              </w:rPr>
              <w:t>水资源与开发利用程度及其水文情势评价□</w:t>
            </w:r>
          </w:p>
          <w:p>
            <w:pPr>
              <w:rPr>
                <w:rFonts w:ascii="仿宋" w:hAnsi="仿宋" w:eastAsia="仿宋"/>
                <w:szCs w:val="21"/>
              </w:rPr>
            </w:pPr>
            <w:r>
              <w:rPr>
                <w:rFonts w:hint="eastAsia" w:ascii="仿宋" w:hAnsi="仿宋" w:eastAsia="仿宋"/>
                <w:szCs w:val="21"/>
              </w:rPr>
              <w:t>水环境质量回顾评价□</w:t>
            </w:r>
          </w:p>
          <w:p>
            <w:pPr>
              <w:rPr>
                <w:rFonts w:ascii="仿宋" w:hAnsi="仿宋" w:eastAsia="仿宋"/>
                <w:szCs w:val="21"/>
              </w:rPr>
            </w:pPr>
            <w:r>
              <w:rPr>
                <w:rFonts w:hint="eastAsia" w:ascii="仿宋" w:hAnsi="仿宋" w:eastAsia="仿宋"/>
                <w:szCs w:val="21"/>
              </w:rPr>
              <w:t>流域（区域）水资源（包括水能资源）与开发利用总体状况、生态流量管理要求与现状满足程度、建设项目占用水域空间的水流状况与河流演变状况□</w:t>
            </w:r>
          </w:p>
        </w:tc>
        <w:tc>
          <w:tcPr>
            <w:tcW w:w="581" w:type="pct"/>
            <w:shd w:val="clear" w:color="auto" w:fill="auto"/>
            <w:vAlign w:val="center"/>
          </w:tcPr>
          <w:p>
            <w:pPr>
              <w:rPr>
                <w:rFonts w:ascii="仿宋" w:hAnsi="仿宋" w:eastAsia="仿宋"/>
                <w:szCs w:val="21"/>
              </w:rPr>
            </w:pPr>
            <w:r>
              <w:rPr>
                <w:rFonts w:hint="eastAsia" w:ascii="仿宋" w:hAnsi="仿宋" w:eastAsia="仿宋"/>
                <w:szCs w:val="21"/>
              </w:rPr>
              <w:t>达标区</w:t>
            </w:r>
            <w:r>
              <w:rPr>
                <w:rFonts w:hint="eastAsia" w:ascii="仿宋" w:hAnsi="仿宋" w:eastAsia="仿宋"/>
                <w:b/>
                <w:bCs/>
                <w:kern w:val="44"/>
                <w:szCs w:val="21"/>
              </w:rPr>
              <w:t>√</w:t>
            </w:r>
          </w:p>
          <w:p>
            <w:pPr>
              <w:rPr>
                <w:rFonts w:ascii="仿宋" w:hAnsi="仿宋" w:eastAsia="仿宋"/>
                <w:szCs w:val="21"/>
              </w:rPr>
            </w:pPr>
            <w:r>
              <w:rPr>
                <w:rFonts w:hint="eastAsia" w:ascii="仿宋" w:hAnsi="仿宋" w:eastAsia="仿宋"/>
                <w:szCs w:val="21"/>
              </w:rPr>
              <w:t>不达标区□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restart"/>
            <w:shd w:val="clear" w:color="auto" w:fill="auto"/>
            <w:vAlign w:val="center"/>
          </w:tcPr>
          <w:p>
            <w:pPr>
              <w:jc w:val="center"/>
              <w:rPr>
                <w:rFonts w:ascii="仿宋" w:hAnsi="仿宋" w:eastAsia="仿宋"/>
                <w:szCs w:val="21"/>
              </w:rPr>
            </w:pPr>
            <w:r>
              <w:rPr>
                <w:rFonts w:hint="eastAsia" w:ascii="仿宋" w:hAnsi="仿宋" w:eastAsia="仿宋"/>
                <w:szCs w:val="21"/>
              </w:rPr>
              <w:t>影响预测</w:t>
            </w:r>
          </w:p>
        </w:tc>
        <w:tc>
          <w:tcPr>
            <w:tcW w:w="900" w:type="pct"/>
            <w:shd w:val="clear" w:color="auto" w:fill="auto"/>
            <w:vAlign w:val="center"/>
          </w:tcPr>
          <w:p>
            <w:pPr>
              <w:jc w:val="center"/>
              <w:rPr>
                <w:rFonts w:ascii="仿宋" w:hAnsi="仿宋" w:eastAsia="仿宋"/>
                <w:szCs w:val="21"/>
              </w:rPr>
            </w:pPr>
            <w:r>
              <w:rPr>
                <w:rFonts w:hint="eastAsia" w:ascii="仿宋" w:hAnsi="仿宋" w:eastAsia="仿宋"/>
                <w:szCs w:val="21"/>
              </w:rPr>
              <w:t>预测范围</w:t>
            </w:r>
          </w:p>
        </w:tc>
        <w:tc>
          <w:tcPr>
            <w:tcW w:w="3662" w:type="pct"/>
            <w:gridSpan w:val="11"/>
            <w:shd w:val="clear" w:color="auto" w:fill="auto"/>
            <w:vAlign w:val="center"/>
          </w:tcPr>
          <w:p>
            <w:pPr>
              <w:rPr>
                <w:rFonts w:ascii="仿宋" w:hAnsi="仿宋" w:eastAsia="仿宋"/>
                <w:szCs w:val="21"/>
              </w:rPr>
            </w:pPr>
            <w:r>
              <w:rPr>
                <w:rFonts w:hint="eastAsia" w:ascii="仿宋" w:hAnsi="仿宋" w:eastAsia="仿宋"/>
                <w:szCs w:val="21"/>
              </w:rPr>
              <w:t>河流：长度（）km；湖库、河口及近岸海域：面积（）km</w:t>
            </w:r>
            <w:r>
              <w:rPr>
                <w:rFonts w:hint="eastAsia" w:ascii="仿宋" w:hAnsi="仿宋" w:eastAsia="仿宋"/>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shd w:val="clear" w:color="auto" w:fill="auto"/>
            <w:vAlign w:val="center"/>
          </w:tcPr>
          <w:p>
            <w:pPr>
              <w:jc w:val="center"/>
              <w:rPr>
                <w:rFonts w:ascii="仿宋" w:hAnsi="仿宋" w:eastAsia="仿宋"/>
                <w:szCs w:val="21"/>
              </w:rPr>
            </w:pPr>
          </w:p>
        </w:tc>
        <w:tc>
          <w:tcPr>
            <w:tcW w:w="900" w:type="pct"/>
            <w:shd w:val="clear" w:color="auto" w:fill="auto"/>
            <w:vAlign w:val="center"/>
          </w:tcPr>
          <w:p>
            <w:pPr>
              <w:jc w:val="center"/>
              <w:rPr>
                <w:rFonts w:ascii="仿宋" w:hAnsi="仿宋" w:eastAsia="仿宋"/>
                <w:szCs w:val="21"/>
              </w:rPr>
            </w:pPr>
            <w:r>
              <w:rPr>
                <w:rFonts w:hint="eastAsia" w:ascii="仿宋" w:hAnsi="仿宋" w:eastAsia="仿宋"/>
                <w:szCs w:val="21"/>
              </w:rPr>
              <w:t>预测因子</w:t>
            </w:r>
          </w:p>
        </w:tc>
        <w:tc>
          <w:tcPr>
            <w:tcW w:w="3662" w:type="pct"/>
            <w:gridSpan w:val="11"/>
            <w:shd w:val="clear" w:color="auto" w:fill="auto"/>
            <w:vAlign w:val="center"/>
          </w:tcPr>
          <w:p>
            <w:pPr>
              <w:rPr>
                <w:rFonts w:ascii="仿宋" w:hAnsi="仿宋" w:eastAsia="仿宋"/>
                <w:szCs w:val="21"/>
              </w:rPr>
            </w:pPr>
            <w:r>
              <w:rPr>
                <w:rFonts w:hint="eastAsia" w:ascii="仿宋" w:hAnsi="仿宋" w:eastAsia="仿宋"/>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shd w:val="clear" w:color="auto" w:fill="auto"/>
            <w:vAlign w:val="center"/>
          </w:tcPr>
          <w:p>
            <w:pPr>
              <w:jc w:val="center"/>
              <w:rPr>
                <w:rFonts w:ascii="仿宋" w:hAnsi="仿宋" w:eastAsia="仿宋"/>
                <w:szCs w:val="21"/>
              </w:rPr>
            </w:pPr>
          </w:p>
        </w:tc>
        <w:tc>
          <w:tcPr>
            <w:tcW w:w="900" w:type="pct"/>
            <w:shd w:val="clear" w:color="auto" w:fill="auto"/>
            <w:vAlign w:val="center"/>
          </w:tcPr>
          <w:p>
            <w:pPr>
              <w:jc w:val="center"/>
              <w:rPr>
                <w:rFonts w:ascii="仿宋" w:hAnsi="仿宋" w:eastAsia="仿宋"/>
                <w:szCs w:val="21"/>
              </w:rPr>
            </w:pPr>
            <w:r>
              <w:rPr>
                <w:rFonts w:hint="eastAsia" w:ascii="仿宋" w:hAnsi="仿宋" w:eastAsia="仿宋"/>
                <w:szCs w:val="21"/>
              </w:rPr>
              <w:t>预测时期</w:t>
            </w:r>
          </w:p>
        </w:tc>
        <w:tc>
          <w:tcPr>
            <w:tcW w:w="3662" w:type="pct"/>
            <w:gridSpan w:val="11"/>
            <w:shd w:val="clear" w:color="auto" w:fill="auto"/>
            <w:vAlign w:val="center"/>
          </w:tcPr>
          <w:p>
            <w:pPr>
              <w:rPr>
                <w:rFonts w:ascii="仿宋" w:hAnsi="仿宋" w:eastAsia="仿宋"/>
                <w:szCs w:val="21"/>
              </w:rPr>
            </w:pPr>
            <w:r>
              <w:rPr>
                <w:rFonts w:hint="eastAsia" w:ascii="仿宋" w:hAnsi="仿宋" w:eastAsia="仿宋"/>
                <w:szCs w:val="21"/>
              </w:rPr>
              <w:t>丰水期□；平水期□；枯水期□；冰封期□</w:t>
            </w:r>
          </w:p>
          <w:p>
            <w:pPr>
              <w:rPr>
                <w:rFonts w:ascii="仿宋" w:hAnsi="仿宋" w:eastAsia="仿宋"/>
                <w:szCs w:val="21"/>
              </w:rPr>
            </w:pPr>
            <w:r>
              <w:rPr>
                <w:rFonts w:hint="eastAsia" w:ascii="仿宋" w:hAnsi="仿宋" w:eastAsia="仿宋"/>
                <w:szCs w:val="21"/>
              </w:rPr>
              <w:t>春季□；夏季□；秋季□；冬季□</w:t>
            </w:r>
          </w:p>
          <w:p>
            <w:pPr>
              <w:rPr>
                <w:rFonts w:ascii="仿宋" w:hAnsi="仿宋" w:eastAsia="仿宋"/>
                <w:szCs w:val="21"/>
              </w:rPr>
            </w:pPr>
            <w:r>
              <w:rPr>
                <w:rFonts w:hint="eastAsia" w:ascii="仿宋" w:hAnsi="仿宋" w:eastAsia="仿宋"/>
                <w:szCs w:val="21"/>
              </w:rPr>
              <w:t>涉及水文条件□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shd w:val="clear" w:color="auto" w:fill="auto"/>
            <w:vAlign w:val="center"/>
          </w:tcPr>
          <w:p>
            <w:pPr>
              <w:jc w:val="center"/>
              <w:rPr>
                <w:rFonts w:ascii="仿宋" w:hAnsi="仿宋" w:eastAsia="仿宋"/>
                <w:szCs w:val="21"/>
              </w:rPr>
            </w:pPr>
          </w:p>
        </w:tc>
        <w:tc>
          <w:tcPr>
            <w:tcW w:w="900" w:type="pct"/>
            <w:shd w:val="clear" w:color="auto" w:fill="auto"/>
            <w:vAlign w:val="center"/>
          </w:tcPr>
          <w:p>
            <w:pPr>
              <w:jc w:val="center"/>
              <w:rPr>
                <w:rFonts w:ascii="仿宋" w:hAnsi="仿宋" w:eastAsia="仿宋"/>
                <w:szCs w:val="21"/>
              </w:rPr>
            </w:pPr>
            <w:r>
              <w:rPr>
                <w:rFonts w:hint="eastAsia" w:ascii="仿宋" w:hAnsi="仿宋" w:eastAsia="仿宋"/>
                <w:szCs w:val="21"/>
              </w:rPr>
              <w:t>预测情景</w:t>
            </w:r>
          </w:p>
        </w:tc>
        <w:tc>
          <w:tcPr>
            <w:tcW w:w="3662" w:type="pct"/>
            <w:gridSpan w:val="11"/>
            <w:shd w:val="clear" w:color="auto" w:fill="auto"/>
            <w:vAlign w:val="center"/>
          </w:tcPr>
          <w:p>
            <w:pPr>
              <w:rPr>
                <w:rFonts w:ascii="仿宋" w:hAnsi="仿宋" w:eastAsia="仿宋"/>
                <w:szCs w:val="21"/>
              </w:rPr>
            </w:pPr>
            <w:r>
              <w:rPr>
                <w:rFonts w:hint="eastAsia" w:ascii="仿宋" w:hAnsi="仿宋" w:eastAsia="仿宋"/>
                <w:szCs w:val="21"/>
              </w:rPr>
              <w:t>建设期□：生产运行期□；服务器满后□</w:t>
            </w:r>
          </w:p>
          <w:p>
            <w:pPr>
              <w:rPr>
                <w:rFonts w:ascii="仿宋" w:hAnsi="仿宋" w:eastAsia="仿宋"/>
                <w:szCs w:val="21"/>
              </w:rPr>
            </w:pPr>
            <w:r>
              <w:rPr>
                <w:rFonts w:hint="eastAsia" w:ascii="仿宋" w:hAnsi="仿宋" w:eastAsia="仿宋"/>
                <w:szCs w:val="21"/>
              </w:rPr>
              <w:t>正常工况□；非正常工况□</w:t>
            </w:r>
          </w:p>
          <w:p>
            <w:pPr>
              <w:rPr>
                <w:rFonts w:ascii="仿宋" w:hAnsi="仿宋" w:eastAsia="仿宋"/>
                <w:szCs w:val="21"/>
              </w:rPr>
            </w:pPr>
            <w:r>
              <w:rPr>
                <w:rFonts w:hint="eastAsia" w:ascii="仿宋" w:hAnsi="仿宋" w:eastAsia="仿宋"/>
                <w:szCs w:val="21"/>
              </w:rPr>
              <w:t>污染控制和减缓措施方案□</w:t>
            </w:r>
          </w:p>
          <w:p>
            <w:pPr>
              <w:rPr>
                <w:rFonts w:ascii="仿宋" w:hAnsi="仿宋" w:eastAsia="仿宋"/>
                <w:szCs w:val="21"/>
              </w:rPr>
            </w:pPr>
            <w:r>
              <w:rPr>
                <w:rFonts w:hint="eastAsia" w:ascii="仿宋" w:hAnsi="仿宋" w:eastAsia="仿宋"/>
                <w:szCs w:val="21"/>
              </w:rPr>
              <w:t>区（流）域环境质量改善目标要求情景□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shd w:val="clear" w:color="auto" w:fill="auto"/>
            <w:vAlign w:val="center"/>
          </w:tcPr>
          <w:p>
            <w:pPr>
              <w:jc w:val="center"/>
              <w:rPr>
                <w:rFonts w:ascii="仿宋" w:hAnsi="仿宋" w:eastAsia="仿宋"/>
                <w:szCs w:val="21"/>
              </w:rPr>
            </w:pPr>
          </w:p>
        </w:tc>
        <w:tc>
          <w:tcPr>
            <w:tcW w:w="900" w:type="pct"/>
            <w:shd w:val="clear" w:color="auto" w:fill="auto"/>
            <w:vAlign w:val="center"/>
          </w:tcPr>
          <w:p>
            <w:pPr>
              <w:jc w:val="center"/>
              <w:rPr>
                <w:rFonts w:ascii="仿宋" w:hAnsi="仿宋" w:eastAsia="仿宋"/>
                <w:szCs w:val="21"/>
              </w:rPr>
            </w:pPr>
            <w:r>
              <w:rPr>
                <w:rFonts w:hint="eastAsia" w:ascii="仿宋" w:hAnsi="仿宋" w:eastAsia="仿宋"/>
                <w:szCs w:val="21"/>
              </w:rPr>
              <w:t>预测方法</w:t>
            </w:r>
          </w:p>
        </w:tc>
        <w:tc>
          <w:tcPr>
            <w:tcW w:w="3662" w:type="pct"/>
            <w:gridSpan w:val="11"/>
            <w:shd w:val="clear" w:color="auto" w:fill="auto"/>
            <w:vAlign w:val="center"/>
          </w:tcPr>
          <w:p>
            <w:pPr>
              <w:rPr>
                <w:rFonts w:ascii="仿宋" w:hAnsi="仿宋" w:eastAsia="仿宋"/>
                <w:szCs w:val="21"/>
              </w:rPr>
            </w:pPr>
            <w:r>
              <w:rPr>
                <w:rFonts w:hint="eastAsia" w:ascii="仿宋" w:hAnsi="仿宋" w:eastAsia="仿宋"/>
                <w:szCs w:val="21"/>
              </w:rPr>
              <w:t>数值解□：解析解□；其他□</w:t>
            </w:r>
          </w:p>
          <w:p>
            <w:pPr>
              <w:rPr>
                <w:rFonts w:ascii="仿宋" w:hAnsi="仿宋" w:eastAsia="仿宋"/>
                <w:szCs w:val="21"/>
              </w:rPr>
            </w:pPr>
            <w:r>
              <w:rPr>
                <w:rFonts w:hint="eastAsia" w:ascii="仿宋" w:hAnsi="仿宋" w:eastAsia="仿宋"/>
                <w:szCs w:val="21"/>
              </w:rPr>
              <w:t>导则推荐模式□；其他□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restart"/>
            <w:shd w:val="clear" w:color="auto" w:fill="auto"/>
            <w:vAlign w:val="center"/>
          </w:tcPr>
          <w:p>
            <w:pPr>
              <w:jc w:val="center"/>
              <w:rPr>
                <w:rFonts w:ascii="仿宋" w:hAnsi="仿宋" w:eastAsia="仿宋"/>
                <w:szCs w:val="21"/>
              </w:rPr>
            </w:pPr>
            <w:r>
              <w:rPr>
                <w:rFonts w:hint="eastAsia" w:ascii="仿宋" w:hAnsi="仿宋" w:eastAsia="仿宋"/>
                <w:szCs w:val="21"/>
              </w:rPr>
              <w:t>影响评价</w:t>
            </w:r>
          </w:p>
        </w:tc>
        <w:tc>
          <w:tcPr>
            <w:tcW w:w="900" w:type="pct"/>
            <w:shd w:val="clear" w:color="auto" w:fill="auto"/>
            <w:vAlign w:val="center"/>
          </w:tcPr>
          <w:p>
            <w:pPr>
              <w:jc w:val="center"/>
              <w:rPr>
                <w:rFonts w:ascii="仿宋" w:hAnsi="仿宋" w:eastAsia="仿宋"/>
                <w:szCs w:val="21"/>
              </w:rPr>
            </w:pPr>
            <w:r>
              <w:rPr>
                <w:rFonts w:hint="eastAsia" w:ascii="仿宋" w:hAnsi="仿宋" w:eastAsia="仿宋"/>
                <w:szCs w:val="21"/>
              </w:rPr>
              <w:t>水污染控制和水环境影响减缓措施有效性评价</w:t>
            </w:r>
          </w:p>
        </w:tc>
        <w:tc>
          <w:tcPr>
            <w:tcW w:w="3662" w:type="pct"/>
            <w:gridSpan w:val="11"/>
            <w:shd w:val="clear" w:color="auto" w:fill="auto"/>
            <w:vAlign w:val="center"/>
          </w:tcPr>
          <w:p>
            <w:pPr>
              <w:rPr>
                <w:rFonts w:ascii="仿宋" w:hAnsi="仿宋" w:eastAsia="仿宋"/>
                <w:szCs w:val="21"/>
              </w:rPr>
            </w:pPr>
            <w:r>
              <w:rPr>
                <w:rFonts w:hint="eastAsia" w:ascii="仿宋" w:hAnsi="仿宋" w:eastAsia="仿宋"/>
                <w:szCs w:val="21"/>
              </w:rPr>
              <w:t>区（流）域水环境质量改善目标□；替代削减源□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shd w:val="clear" w:color="auto" w:fill="auto"/>
            <w:vAlign w:val="center"/>
          </w:tcPr>
          <w:p>
            <w:pPr>
              <w:jc w:val="center"/>
              <w:rPr>
                <w:rFonts w:ascii="仿宋" w:hAnsi="仿宋" w:eastAsia="仿宋"/>
                <w:szCs w:val="21"/>
              </w:rPr>
            </w:pPr>
          </w:p>
        </w:tc>
        <w:tc>
          <w:tcPr>
            <w:tcW w:w="900" w:type="pct"/>
            <w:shd w:val="clear" w:color="auto" w:fill="auto"/>
            <w:vAlign w:val="center"/>
          </w:tcPr>
          <w:p>
            <w:pPr>
              <w:jc w:val="center"/>
              <w:rPr>
                <w:rFonts w:ascii="仿宋" w:hAnsi="仿宋" w:eastAsia="仿宋"/>
                <w:szCs w:val="21"/>
              </w:rPr>
            </w:pPr>
            <w:r>
              <w:rPr>
                <w:rFonts w:hint="eastAsia" w:ascii="仿宋" w:hAnsi="仿宋" w:eastAsia="仿宋"/>
                <w:szCs w:val="21"/>
              </w:rPr>
              <w:t>水环境影响评价</w:t>
            </w:r>
          </w:p>
        </w:tc>
        <w:tc>
          <w:tcPr>
            <w:tcW w:w="3662" w:type="pct"/>
            <w:gridSpan w:val="11"/>
            <w:shd w:val="clear" w:color="auto" w:fill="auto"/>
            <w:vAlign w:val="center"/>
          </w:tcPr>
          <w:p>
            <w:pPr>
              <w:rPr>
                <w:rFonts w:ascii="仿宋" w:hAnsi="仿宋" w:eastAsia="仿宋"/>
                <w:szCs w:val="21"/>
              </w:rPr>
            </w:pPr>
            <w:r>
              <w:rPr>
                <w:rFonts w:hint="eastAsia" w:ascii="仿宋" w:hAnsi="仿宋" w:eastAsia="仿宋"/>
                <w:szCs w:val="21"/>
              </w:rPr>
              <w:t>排放口混合区外满足水环境管理要求□</w:t>
            </w:r>
          </w:p>
          <w:p>
            <w:pPr>
              <w:rPr>
                <w:rFonts w:ascii="仿宋" w:hAnsi="仿宋" w:eastAsia="仿宋"/>
                <w:szCs w:val="21"/>
              </w:rPr>
            </w:pPr>
            <w:r>
              <w:rPr>
                <w:rFonts w:hint="eastAsia" w:ascii="仿宋" w:hAnsi="仿宋" w:eastAsia="仿宋"/>
                <w:szCs w:val="21"/>
              </w:rPr>
              <w:t>水环境功能区或水功能区、近岸海域环境功能区水质达标□</w:t>
            </w:r>
          </w:p>
          <w:p>
            <w:pPr>
              <w:rPr>
                <w:rFonts w:ascii="仿宋" w:hAnsi="仿宋" w:eastAsia="仿宋"/>
                <w:szCs w:val="21"/>
              </w:rPr>
            </w:pPr>
            <w:r>
              <w:rPr>
                <w:rFonts w:hint="eastAsia" w:ascii="仿宋" w:hAnsi="仿宋" w:eastAsia="仿宋"/>
                <w:szCs w:val="21"/>
              </w:rPr>
              <w:t>满足水环境保护目标水域水环境质量要求</w:t>
            </w:r>
            <w:r>
              <w:rPr>
                <w:rFonts w:hint="eastAsia" w:ascii="仿宋" w:hAnsi="仿宋" w:eastAsia="仿宋"/>
                <w:b/>
                <w:bCs/>
                <w:kern w:val="44"/>
                <w:szCs w:val="21"/>
              </w:rPr>
              <w:t>√</w:t>
            </w:r>
          </w:p>
          <w:p>
            <w:pPr>
              <w:rPr>
                <w:rFonts w:ascii="仿宋" w:hAnsi="仿宋" w:eastAsia="仿宋"/>
                <w:szCs w:val="21"/>
              </w:rPr>
            </w:pPr>
            <w:r>
              <w:rPr>
                <w:rFonts w:hint="eastAsia" w:ascii="仿宋" w:hAnsi="仿宋" w:eastAsia="仿宋"/>
                <w:szCs w:val="21"/>
              </w:rPr>
              <w:t>水环境控制单元或断面水质达标</w:t>
            </w:r>
            <w:r>
              <w:rPr>
                <w:rFonts w:hint="eastAsia" w:ascii="仿宋" w:hAnsi="仿宋" w:eastAsia="仿宋"/>
                <w:b/>
                <w:bCs/>
                <w:kern w:val="44"/>
                <w:szCs w:val="21"/>
              </w:rPr>
              <w:t>√</w:t>
            </w:r>
          </w:p>
          <w:p>
            <w:pPr>
              <w:rPr>
                <w:rFonts w:ascii="仿宋" w:hAnsi="仿宋" w:eastAsia="仿宋"/>
                <w:szCs w:val="21"/>
              </w:rPr>
            </w:pPr>
            <w:r>
              <w:rPr>
                <w:rFonts w:hint="eastAsia" w:ascii="仿宋" w:hAnsi="仿宋" w:eastAsia="仿宋"/>
                <w:szCs w:val="21"/>
              </w:rPr>
              <w:t>满足重点水污染物排放总量控制指标要求：重点行业建设项目，主要污染物排放满足等量或减量替代要求□</w:t>
            </w:r>
          </w:p>
          <w:p>
            <w:pPr>
              <w:rPr>
                <w:rFonts w:ascii="仿宋" w:hAnsi="仿宋" w:eastAsia="仿宋"/>
                <w:szCs w:val="21"/>
              </w:rPr>
            </w:pPr>
            <w:r>
              <w:rPr>
                <w:rFonts w:hint="eastAsia" w:ascii="仿宋" w:hAnsi="仿宋" w:eastAsia="仿宋"/>
                <w:szCs w:val="21"/>
              </w:rPr>
              <w:t>满足区（流）域水环境质量改善目标要求□</w:t>
            </w:r>
          </w:p>
          <w:p>
            <w:pPr>
              <w:rPr>
                <w:rFonts w:ascii="仿宋" w:hAnsi="仿宋" w:eastAsia="仿宋"/>
                <w:szCs w:val="21"/>
              </w:rPr>
            </w:pPr>
            <w:r>
              <w:rPr>
                <w:rFonts w:hint="eastAsia" w:ascii="仿宋" w:hAnsi="仿宋" w:eastAsia="仿宋"/>
                <w:szCs w:val="21"/>
              </w:rPr>
              <w:t>水文要素影响型建设项目同时应包括水文情势变化评价、主要水文特征值影响评价、生态流量符合性评价□</w:t>
            </w:r>
          </w:p>
          <w:p>
            <w:pPr>
              <w:rPr>
                <w:rFonts w:ascii="仿宋" w:hAnsi="仿宋" w:eastAsia="仿宋"/>
                <w:szCs w:val="21"/>
              </w:rPr>
            </w:pPr>
            <w:r>
              <w:rPr>
                <w:rFonts w:hint="eastAsia" w:ascii="仿宋" w:hAnsi="仿宋" w:eastAsia="仿宋"/>
                <w:szCs w:val="21"/>
              </w:rPr>
              <w:t>对于新设或调整入河（湖库、近岸海域）排放口的建设项目，应包括排放口设置的环境合理性评价□</w:t>
            </w:r>
          </w:p>
          <w:p>
            <w:pPr>
              <w:rPr>
                <w:rFonts w:ascii="仿宋" w:hAnsi="仿宋" w:eastAsia="仿宋"/>
                <w:szCs w:val="21"/>
              </w:rPr>
            </w:pPr>
            <w:r>
              <w:rPr>
                <w:rFonts w:hint="eastAsia" w:ascii="仿宋" w:hAnsi="仿宋" w:eastAsia="仿宋"/>
                <w:szCs w:val="21"/>
              </w:rPr>
              <w:t>满足生态保护红线、水环境质量底线、资源利用上线和环境准入清单管理要求</w:t>
            </w:r>
            <w:r>
              <w:rPr>
                <w:rFonts w:hint="eastAsia" w:ascii="仿宋" w:hAnsi="仿宋" w:eastAsia="仿宋"/>
                <w:b/>
                <w:bCs/>
                <w:kern w:val="4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shd w:val="clear" w:color="auto" w:fill="auto"/>
            <w:vAlign w:val="center"/>
          </w:tcPr>
          <w:p>
            <w:pPr>
              <w:jc w:val="center"/>
              <w:rPr>
                <w:rFonts w:ascii="仿宋" w:hAnsi="仿宋" w:eastAsia="仿宋"/>
                <w:szCs w:val="21"/>
              </w:rPr>
            </w:pPr>
          </w:p>
        </w:tc>
        <w:tc>
          <w:tcPr>
            <w:tcW w:w="900" w:type="pct"/>
            <w:vMerge w:val="restart"/>
            <w:shd w:val="clear" w:color="auto" w:fill="auto"/>
            <w:vAlign w:val="center"/>
          </w:tcPr>
          <w:p>
            <w:pPr>
              <w:jc w:val="center"/>
              <w:rPr>
                <w:rFonts w:ascii="仿宋" w:hAnsi="仿宋" w:eastAsia="仿宋"/>
                <w:szCs w:val="21"/>
              </w:rPr>
            </w:pPr>
            <w:r>
              <w:rPr>
                <w:rFonts w:hint="eastAsia" w:ascii="仿宋" w:hAnsi="仿宋" w:eastAsia="仿宋"/>
                <w:szCs w:val="21"/>
              </w:rPr>
              <w:t>污染源排放量核算</w:t>
            </w:r>
          </w:p>
        </w:tc>
        <w:tc>
          <w:tcPr>
            <w:tcW w:w="1221" w:type="pct"/>
            <w:gridSpan w:val="3"/>
            <w:shd w:val="clear" w:color="auto" w:fill="auto"/>
            <w:vAlign w:val="center"/>
          </w:tcPr>
          <w:p>
            <w:pPr>
              <w:jc w:val="center"/>
              <w:rPr>
                <w:rFonts w:ascii="仿宋" w:hAnsi="仿宋" w:eastAsia="仿宋"/>
                <w:szCs w:val="21"/>
              </w:rPr>
            </w:pPr>
            <w:r>
              <w:rPr>
                <w:rFonts w:hint="eastAsia" w:ascii="仿宋" w:hAnsi="仿宋" w:eastAsia="仿宋"/>
                <w:szCs w:val="21"/>
              </w:rPr>
              <w:t>污染物名称</w:t>
            </w:r>
          </w:p>
        </w:tc>
        <w:tc>
          <w:tcPr>
            <w:tcW w:w="1221" w:type="pct"/>
            <w:gridSpan w:val="4"/>
            <w:shd w:val="clear" w:color="auto" w:fill="auto"/>
            <w:vAlign w:val="center"/>
          </w:tcPr>
          <w:p>
            <w:pPr>
              <w:jc w:val="center"/>
              <w:rPr>
                <w:rFonts w:ascii="仿宋" w:hAnsi="仿宋" w:eastAsia="仿宋"/>
                <w:szCs w:val="21"/>
              </w:rPr>
            </w:pPr>
            <w:r>
              <w:rPr>
                <w:rFonts w:hint="eastAsia" w:ascii="仿宋" w:hAnsi="仿宋" w:eastAsia="仿宋"/>
                <w:szCs w:val="21"/>
              </w:rPr>
              <w:t>排放量/（t/a）</w:t>
            </w:r>
          </w:p>
        </w:tc>
        <w:tc>
          <w:tcPr>
            <w:tcW w:w="1220" w:type="pct"/>
            <w:gridSpan w:val="4"/>
            <w:shd w:val="clear" w:color="auto" w:fill="auto"/>
            <w:vAlign w:val="center"/>
          </w:tcPr>
          <w:p>
            <w:pPr>
              <w:jc w:val="center"/>
              <w:rPr>
                <w:rFonts w:ascii="仿宋" w:hAnsi="仿宋" w:eastAsia="仿宋"/>
                <w:szCs w:val="21"/>
              </w:rPr>
            </w:pPr>
            <w:r>
              <w:rPr>
                <w:rFonts w:hint="eastAsia" w:ascii="仿宋" w:hAnsi="仿宋" w:eastAsia="仿宋"/>
                <w:szCs w:val="21"/>
              </w:rPr>
              <w:t>排放浓度/（mg/L）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438" w:type="pct"/>
            <w:vMerge w:val="continue"/>
            <w:shd w:val="clear" w:color="auto" w:fill="auto"/>
            <w:vAlign w:val="center"/>
          </w:tcPr>
          <w:p>
            <w:pPr>
              <w:jc w:val="center"/>
              <w:rPr>
                <w:rFonts w:ascii="仿宋" w:hAnsi="仿宋" w:eastAsia="仿宋"/>
                <w:szCs w:val="21"/>
              </w:rPr>
            </w:pPr>
          </w:p>
        </w:tc>
        <w:tc>
          <w:tcPr>
            <w:tcW w:w="900" w:type="pct"/>
            <w:vMerge w:val="continue"/>
            <w:shd w:val="clear" w:color="auto" w:fill="auto"/>
            <w:vAlign w:val="center"/>
          </w:tcPr>
          <w:p>
            <w:pPr>
              <w:jc w:val="center"/>
              <w:rPr>
                <w:rFonts w:ascii="仿宋" w:hAnsi="仿宋" w:eastAsia="仿宋"/>
                <w:szCs w:val="21"/>
              </w:rPr>
            </w:pPr>
          </w:p>
        </w:tc>
        <w:tc>
          <w:tcPr>
            <w:tcW w:w="1221" w:type="pct"/>
            <w:gridSpan w:val="3"/>
            <w:shd w:val="clear" w:color="auto" w:fill="auto"/>
            <w:vAlign w:val="center"/>
          </w:tcPr>
          <w:p>
            <w:pPr>
              <w:widowControl/>
              <w:jc w:val="center"/>
              <w:rPr>
                <w:rFonts w:ascii="仿宋" w:hAnsi="仿宋" w:eastAsia="仿宋"/>
                <w:kern w:val="0"/>
                <w:szCs w:val="21"/>
              </w:rPr>
            </w:pPr>
            <w:r>
              <w:rPr>
                <w:rFonts w:ascii="仿宋" w:hAnsi="仿宋" w:eastAsia="仿宋"/>
                <w:kern w:val="0"/>
                <w:szCs w:val="21"/>
              </w:rPr>
              <w:t>COD</w:t>
            </w:r>
          </w:p>
        </w:tc>
        <w:tc>
          <w:tcPr>
            <w:tcW w:w="1221" w:type="pct"/>
            <w:gridSpan w:val="4"/>
            <w:shd w:val="clear" w:color="auto" w:fill="auto"/>
            <w:vAlign w:val="center"/>
          </w:tcPr>
          <w:p>
            <w:pPr>
              <w:adjustRightInd w:val="0"/>
              <w:snapToGrid w:val="0"/>
              <w:spacing w:line="240" w:lineRule="exact"/>
              <w:jc w:val="center"/>
              <w:rPr>
                <w:rFonts w:ascii="仿宋" w:hAnsi="仿宋" w:eastAsia="仿宋" w:cs="仿宋"/>
                <w:bCs/>
                <w:szCs w:val="21"/>
              </w:rPr>
            </w:pPr>
            <w:r>
              <w:rPr>
                <w:rFonts w:ascii="仿宋" w:hAnsi="仿宋" w:eastAsia="仿宋" w:cs="仿宋"/>
                <w:bCs/>
                <w:szCs w:val="21"/>
              </w:rPr>
              <w:t>0.43</w:t>
            </w:r>
          </w:p>
        </w:tc>
        <w:tc>
          <w:tcPr>
            <w:tcW w:w="1220" w:type="pct"/>
            <w:gridSpan w:val="4"/>
            <w:shd w:val="clear" w:color="auto" w:fill="auto"/>
            <w:vAlign w:val="center"/>
          </w:tcPr>
          <w:p>
            <w:pPr>
              <w:widowControl/>
              <w:jc w:val="center"/>
              <w:rPr>
                <w:rFonts w:ascii="仿宋" w:hAnsi="仿宋" w:eastAsia="仿宋"/>
                <w:kern w:val="0"/>
                <w:szCs w:val="21"/>
              </w:rPr>
            </w:pPr>
            <w:r>
              <w:rPr>
                <w:rFonts w:ascii="仿宋" w:hAnsi="仿宋" w:eastAsia="仿宋"/>
                <w:kern w:val="0"/>
                <w:szCs w:val="21"/>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438" w:type="pct"/>
            <w:vMerge w:val="continue"/>
            <w:shd w:val="clear" w:color="auto" w:fill="auto"/>
            <w:vAlign w:val="center"/>
          </w:tcPr>
          <w:p>
            <w:pPr>
              <w:jc w:val="center"/>
              <w:rPr>
                <w:rFonts w:ascii="仿宋" w:hAnsi="仿宋" w:eastAsia="仿宋"/>
                <w:szCs w:val="21"/>
              </w:rPr>
            </w:pPr>
          </w:p>
        </w:tc>
        <w:tc>
          <w:tcPr>
            <w:tcW w:w="900" w:type="pct"/>
            <w:vMerge w:val="continue"/>
            <w:shd w:val="clear" w:color="auto" w:fill="auto"/>
            <w:vAlign w:val="center"/>
          </w:tcPr>
          <w:p>
            <w:pPr>
              <w:jc w:val="center"/>
              <w:rPr>
                <w:rFonts w:ascii="仿宋" w:hAnsi="仿宋" w:eastAsia="仿宋"/>
                <w:szCs w:val="21"/>
              </w:rPr>
            </w:pPr>
          </w:p>
        </w:tc>
        <w:tc>
          <w:tcPr>
            <w:tcW w:w="1221" w:type="pct"/>
            <w:gridSpan w:val="3"/>
            <w:shd w:val="clear" w:color="auto" w:fill="auto"/>
            <w:vAlign w:val="center"/>
          </w:tcPr>
          <w:p>
            <w:pPr>
              <w:widowControl/>
              <w:jc w:val="center"/>
              <w:rPr>
                <w:rFonts w:ascii="仿宋" w:hAnsi="仿宋" w:eastAsia="仿宋"/>
                <w:kern w:val="0"/>
                <w:szCs w:val="21"/>
              </w:rPr>
            </w:pPr>
            <w:r>
              <w:rPr>
                <w:rFonts w:ascii="仿宋" w:hAnsi="仿宋" w:eastAsia="仿宋"/>
                <w:kern w:val="0"/>
                <w:szCs w:val="21"/>
              </w:rPr>
              <w:t>SS</w:t>
            </w:r>
          </w:p>
        </w:tc>
        <w:tc>
          <w:tcPr>
            <w:tcW w:w="1221" w:type="pct"/>
            <w:gridSpan w:val="4"/>
            <w:shd w:val="clear" w:color="auto" w:fill="auto"/>
            <w:vAlign w:val="center"/>
          </w:tcPr>
          <w:p>
            <w:pPr>
              <w:spacing w:line="240" w:lineRule="exact"/>
              <w:jc w:val="center"/>
              <w:rPr>
                <w:rFonts w:ascii="仿宋" w:hAnsi="仿宋" w:eastAsia="仿宋" w:cs="仿宋"/>
                <w:bCs/>
                <w:szCs w:val="21"/>
              </w:rPr>
            </w:pPr>
            <w:r>
              <w:rPr>
                <w:rFonts w:eastAsia="仿宋_GB2312"/>
                <w:kern w:val="0"/>
                <w:szCs w:val="21"/>
              </w:rPr>
              <w:t>0.27</w:t>
            </w:r>
          </w:p>
        </w:tc>
        <w:tc>
          <w:tcPr>
            <w:tcW w:w="1220" w:type="pct"/>
            <w:gridSpan w:val="4"/>
            <w:shd w:val="clear" w:color="auto" w:fill="auto"/>
            <w:vAlign w:val="center"/>
          </w:tcPr>
          <w:p>
            <w:pPr>
              <w:widowControl/>
              <w:jc w:val="center"/>
              <w:rPr>
                <w:rFonts w:ascii="仿宋" w:hAnsi="仿宋" w:eastAsia="仿宋"/>
                <w:kern w:val="0"/>
                <w:szCs w:val="21"/>
              </w:rPr>
            </w:pPr>
            <w:r>
              <w:rPr>
                <w:rFonts w:hint="eastAsia" w:ascii="仿宋" w:hAnsi="仿宋" w:eastAsia="仿宋"/>
                <w:kern w:val="0"/>
                <w:szCs w:val="21"/>
              </w:rPr>
              <w:t>25</w:t>
            </w:r>
            <w:r>
              <w:rPr>
                <w:rFonts w:ascii="仿宋" w:hAnsi="仿宋" w:eastAsia="仿宋"/>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438" w:type="pct"/>
            <w:vMerge w:val="continue"/>
            <w:shd w:val="clear" w:color="auto" w:fill="auto"/>
            <w:vAlign w:val="center"/>
          </w:tcPr>
          <w:p>
            <w:pPr>
              <w:jc w:val="center"/>
              <w:rPr>
                <w:rFonts w:ascii="仿宋" w:hAnsi="仿宋" w:eastAsia="仿宋"/>
                <w:szCs w:val="21"/>
              </w:rPr>
            </w:pPr>
          </w:p>
        </w:tc>
        <w:tc>
          <w:tcPr>
            <w:tcW w:w="900" w:type="pct"/>
            <w:vMerge w:val="continue"/>
            <w:shd w:val="clear" w:color="auto" w:fill="auto"/>
            <w:vAlign w:val="center"/>
          </w:tcPr>
          <w:p>
            <w:pPr>
              <w:jc w:val="center"/>
              <w:rPr>
                <w:rFonts w:ascii="仿宋" w:hAnsi="仿宋" w:eastAsia="仿宋"/>
                <w:szCs w:val="21"/>
              </w:rPr>
            </w:pPr>
          </w:p>
        </w:tc>
        <w:tc>
          <w:tcPr>
            <w:tcW w:w="1221" w:type="pct"/>
            <w:gridSpan w:val="3"/>
            <w:shd w:val="clear" w:color="auto" w:fill="auto"/>
            <w:vAlign w:val="center"/>
          </w:tcPr>
          <w:p>
            <w:pPr>
              <w:widowControl/>
              <w:jc w:val="center"/>
              <w:rPr>
                <w:rFonts w:ascii="仿宋" w:hAnsi="仿宋" w:eastAsia="仿宋"/>
                <w:kern w:val="0"/>
                <w:szCs w:val="21"/>
              </w:rPr>
            </w:pPr>
            <w:r>
              <w:rPr>
                <w:rFonts w:ascii="仿宋" w:hAnsi="仿宋" w:eastAsia="仿宋"/>
                <w:kern w:val="0"/>
                <w:szCs w:val="21"/>
              </w:rPr>
              <w:t>NH</w:t>
            </w:r>
            <w:r>
              <w:rPr>
                <w:rFonts w:ascii="仿宋" w:hAnsi="仿宋" w:eastAsia="仿宋"/>
                <w:kern w:val="0"/>
                <w:szCs w:val="21"/>
                <w:vertAlign w:val="subscript"/>
              </w:rPr>
              <w:t>3</w:t>
            </w:r>
            <w:r>
              <w:rPr>
                <w:rFonts w:ascii="仿宋" w:hAnsi="仿宋" w:eastAsia="仿宋"/>
                <w:kern w:val="0"/>
                <w:szCs w:val="21"/>
              </w:rPr>
              <w:t>-N</w:t>
            </w:r>
          </w:p>
        </w:tc>
        <w:tc>
          <w:tcPr>
            <w:tcW w:w="1221" w:type="pct"/>
            <w:gridSpan w:val="4"/>
            <w:shd w:val="clear" w:color="auto" w:fill="auto"/>
            <w:vAlign w:val="center"/>
          </w:tcPr>
          <w:p>
            <w:pPr>
              <w:spacing w:line="240" w:lineRule="exact"/>
              <w:jc w:val="center"/>
              <w:rPr>
                <w:rFonts w:ascii="仿宋" w:hAnsi="仿宋" w:eastAsia="仿宋" w:cs="仿宋"/>
                <w:bCs/>
                <w:szCs w:val="21"/>
              </w:rPr>
            </w:pPr>
            <w:r>
              <w:rPr>
                <w:rFonts w:hint="eastAsia" w:eastAsia="仿宋_GB2312"/>
                <w:kern w:val="0"/>
                <w:szCs w:val="21"/>
              </w:rPr>
              <w:t>0.</w:t>
            </w:r>
            <w:r>
              <w:rPr>
                <w:rFonts w:eastAsia="仿宋_GB2312"/>
                <w:kern w:val="0"/>
                <w:szCs w:val="21"/>
              </w:rPr>
              <w:t>03</w:t>
            </w:r>
          </w:p>
        </w:tc>
        <w:tc>
          <w:tcPr>
            <w:tcW w:w="1220" w:type="pct"/>
            <w:gridSpan w:val="4"/>
            <w:shd w:val="clear" w:color="auto" w:fill="auto"/>
            <w:vAlign w:val="center"/>
          </w:tcPr>
          <w:p>
            <w:pPr>
              <w:widowControl/>
              <w:jc w:val="center"/>
              <w:rPr>
                <w:rFonts w:ascii="仿宋" w:hAnsi="仿宋" w:eastAsia="仿宋"/>
                <w:kern w:val="0"/>
                <w:szCs w:val="21"/>
              </w:rPr>
            </w:pPr>
            <w:r>
              <w:rPr>
                <w:rFonts w:hint="eastAsia" w:ascii="仿宋" w:hAnsi="仿宋" w:eastAsia="仿宋"/>
                <w:kern w:val="0"/>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438" w:type="pct"/>
            <w:vMerge w:val="continue"/>
            <w:shd w:val="clear" w:color="auto" w:fill="auto"/>
            <w:vAlign w:val="center"/>
          </w:tcPr>
          <w:p>
            <w:pPr>
              <w:jc w:val="center"/>
              <w:rPr>
                <w:rFonts w:ascii="仿宋" w:hAnsi="仿宋" w:eastAsia="仿宋"/>
                <w:szCs w:val="21"/>
              </w:rPr>
            </w:pPr>
          </w:p>
        </w:tc>
        <w:tc>
          <w:tcPr>
            <w:tcW w:w="900" w:type="pct"/>
            <w:vMerge w:val="continue"/>
            <w:shd w:val="clear" w:color="auto" w:fill="auto"/>
            <w:vAlign w:val="center"/>
          </w:tcPr>
          <w:p>
            <w:pPr>
              <w:jc w:val="center"/>
              <w:rPr>
                <w:rFonts w:ascii="仿宋" w:hAnsi="仿宋" w:eastAsia="仿宋"/>
                <w:szCs w:val="21"/>
              </w:rPr>
            </w:pPr>
          </w:p>
        </w:tc>
        <w:tc>
          <w:tcPr>
            <w:tcW w:w="1221" w:type="pct"/>
            <w:gridSpan w:val="3"/>
            <w:shd w:val="clear" w:color="auto" w:fill="auto"/>
            <w:vAlign w:val="center"/>
          </w:tcPr>
          <w:p>
            <w:pPr>
              <w:widowControl/>
              <w:jc w:val="center"/>
              <w:rPr>
                <w:rFonts w:ascii="仿宋" w:hAnsi="仿宋" w:eastAsia="仿宋"/>
                <w:kern w:val="0"/>
                <w:szCs w:val="21"/>
              </w:rPr>
            </w:pPr>
            <w:r>
              <w:rPr>
                <w:rFonts w:ascii="仿宋" w:hAnsi="仿宋" w:eastAsia="仿宋"/>
                <w:kern w:val="0"/>
                <w:szCs w:val="21"/>
              </w:rPr>
              <w:t>TP</w:t>
            </w:r>
          </w:p>
        </w:tc>
        <w:tc>
          <w:tcPr>
            <w:tcW w:w="1221" w:type="pct"/>
            <w:gridSpan w:val="4"/>
            <w:shd w:val="clear" w:color="auto" w:fill="auto"/>
            <w:vAlign w:val="center"/>
          </w:tcPr>
          <w:p>
            <w:pPr>
              <w:spacing w:line="240" w:lineRule="exact"/>
              <w:jc w:val="center"/>
              <w:rPr>
                <w:rFonts w:ascii="仿宋" w:hAnsi="仿宋" w:eastAsia="仿宋" w:cs="仿宋"/>
                <w:bCs/>
                <w:szCs w:val="21"/>
              </w:rPr>
            </w:pPr>
            <w:r>
              <w:rPr>
                <w:rFonts w:hint="eastAsia" w:eastAsia="仿宋_GB2312"/>
                <w:kern w:val="0"/>
                <w:szCs w:val="21"/>
              </w:rPr>
              <w:t>0.0</w:t>
            </w:r>
            <w:r>
              <w:rPr>
                <w:rFonts w:eastAsia="仿宋_GB2312"/>
                <w:kern w:val="0"/>
                <w:szCs w:val="21"/>
              </w:rPr>
              <w:t>0</w:t>
            </w:r>
            <w:r>
              <w:rPr>
                <w:rFonts w:hint="eastAsia" w:eastAsia="仿宋_GB2312"/>
                <w:kern w:val="0"/>
                <w:szCs w:val="21"/>
              </w:rPr>
              <w:t>3</w:t>
            </w:r>
          </w:p>
        </w:tc>
        <w:tc>
          <w:tcPr>
            <w:tcW w:w="1220" w:type="pct"/>
            <w:gridSpan w:val="4"/>
            <w:shd w:val="clear" w:color="auto" w:fill="auto"/>
            <w:vAlign w:val="center"/>
          </w:tcPr>
          <w:p>
            <w:pPr>
              <w:widowControl/>
              <w:jc w:val="center"/>
              <w:rPr>
                <w:rFonts w:ascii="仿宋" w:hAnsi="仿宋" w:eastAsia="仿宋"/>
                <w:kern w:val="0"/>
                <w:szCs w:val="21"/>
              </w:rPr>
            </w:pPr>
            <w:r>
              <w:rPr>
                <w:rFonts w:hint="eastAsia" w:ascii="仿宋" w:hAnsi="仿宋" w:eastAsia="仿宋"/>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38" w:type="pct"/>
            <w:vMerge w:val="continue"/>
            <w:shd w:val="clear" w:color="auto" w:fill="auto"/>
            <w:vAlign w:val="center"/>
          </w:tcPr>
          <w:p>
            <w:pPr>
              <w:jc w:val="center"/>
              <w:rPr>
                <w:rFonts w:ascii="仿宋" w:hAnsi="仿宋" w:eastAsia="仿宋"/>
                <w:szCs w:val="21"/>
              </w:rPr>
            </w:pPr>
          </w:p>
        </w:tc>
        <w:tc>
          <w:tcPr>
            <w:tcW w:w="900" w:type="pct"/>
            <w:vMerge w:val="continue"/>
            <w:shd w:val="clear" w:color="auto" w:fill="auto"/>
            <w:vAlign w:val="center"/>
          </w:tcPr>
          <w:p>
            <w:pPr>
              <w:jc w:val="center"/>
              <w:rPr>
                <w:rFonts w:ascii="仿宋" w:hAnsi="仿宋" w:eastAsia="仿宋"/>
                <w:szCs w:val="21"/>
              </w:rPr>
            </w:pPr>
          </w:p>
        </w:tc>
        <w:tc>
          <w:tcPr>
            <w:tcW w:w="1221" w:type="pct"/>
            <w:gridSpan w:val="3"/>
            <w:shd w:val="clear" w:color="auto" w:fill="auto"/>
            <w:vAlign w:val="center"/>
          </w:tcPr>
          <w:p>
            <w:pPr>
              <w:widowControl/>
              <w:jc w:val="center"/>
              <w:rPr>
                <w:rFonts w:ascii="仿宋" w:hAnsi="仿宋" w:eastAsia="仿宋"/>
                <w:kern w:val="0"/>
                <w:szCs w:val="21"/>
              </w:rPr>
            </w:pPr>
            <w:r>
              <w:rPr>
                <w:rFonts w:hint="eastAsia" w:ascii="仿宋" w:hAnsi="仿宋" w:eastAsia="仿宋"/>
                <w:kern w:val="0"/>
                <w:szCs w:val="21"/>
              </w:rPr>
              <w:t>TN</w:t>
            </w:r>
          </w:p>
        </w:tc>
        <w:tc>
          <w:tcPr>
            <w:tcW w:w="1221" w:type="pct"/>
            <w:gridSpan w:val="4"/>
            <w:shd w:val="clear" w:color="auto" w:fill="auto"/>
            <w:vAlign w:val="center"/>
          </w:tcPr>
          <w:p>
            <w:pPr>
              <w:spacing w:line="240" w:lineRule="exact"/>
              <w:jc w:val="center"/>
              <w:rPr>
                <w:rFonts w:ascii="仿宋" w:hAnsi="仿宋" w:eastAsia="仿宋" w:cs="仿宋"/>
                <w:bCs/>
                <w:szCs w:val="21"/>
              </w:rPr>
            </w:pPr>
            <w:r>
              <w:rPr>
                <w:rFonts w:hint="eastAsia" w:eastAsia="仿宋_GB2312"/>
                <w:kern w:val="0"/>
                <w:szCs w:val="21"/>
              </w:rPr>
              <w:t>0.</w:t>
            </w:r>
            <w:r>
              <w:rPr>
                <w:rFonts w:eastAsia="仿宋_GB2312"/>
                <w:kern w:val="0"/>
                <w:szCs w:val="21"/>
              </w:rPr>
              <w:t>0</w:t>
            </w:r>
            <w:r>
              <w:rPr>
                <w:rFonts w:hint="eastAsia" w:eastAsia="仿宋_GB2312"/>
                <w:kern w:val="0"/>
                <w:szCs w:val="21"/>
              </w:rPr>
              <w:t>4</w:t>
            </w:r>
          </w:p>
        </w:tc>
        <w:tc>
          <w:tcPr>
            <w:tcW w:w="1220" w:type="pct"/>
            <w:gridSpan w:val="4"/>
            <w:shd w:val="clear" w:color="auto" w:fill="auto"/>
            <w:vAlign w:val="center"/>
          </w:tcPr>
          <w:p>
            <w:pPr>
              <w:widowControl/>
              <w:jc w:val="center"/>
              <w:rPr>
                <w:rFonts w:ascii="仿宋" w:hAnsi="仿宋" w:eastAsia="仿宋"/>
                <w:kern w:val="0"/>
                <w:szCs w:val="21"/>
              </w:rPr>
            </w:pPr>
            <w:r>
              <w:rPr>
                <w:rFonts w:hint="eastAsia" w:ascii="仿宋" w:hAnsi="仿宋" w:eastAsia="仿宋"/>
                <w:kern w:val="0"/>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shd w:val="clear" w:color="auto" w:fill="auto"/>
            <w:vAlign w:val="center"/>
          </w:tcPr>
          <w:p>
            <w:pPr>
              <w:jc w:val="center"/>
              <w:rPr>
                <w:rFonts w:ascii="仿宋" w:hAnsi="仿宋" w:eastAsia="仿宋"/>
                <w:szCs w:val="21"/>
              </w:rPr>
            </w:pPr>
          </w:p>
        </w:tc>
        <w:tc>
          <w:tcPr>
            <w:tcW w:w="900" w:type="pct"/>
            <w:vMerge w:val="restart"/>
            <w:shd w:val="clear" w:color="auto" w:fill="auto"/>
            <w:vAlign w:val="center"/>
          </w:tcPr>
          <w:p>
            <w:pPr>
              <w:jc w:val="center"/>
              <w:rPr>
                <w:rFonts w:ascii="仿宋" w:hAnsi="仿宋" w:eastAsia="仿宋"/>
                <w:szCs w:val="21"/>
              </w:rPr>
            </w:pPr>
            <w:r>
              <w:rPr>
                <w:rFonts w:hint="eastAsia" w:ascii="仿宋" w:hAnsi="仿宋" w:eastAsia="仿宋"/>
                <w:szCs w:val="21"/>
              </w:rPr>
              <w:t>替代源排放情况</w:t>
            </w:r>
          </w:p>
        </w:tc>
        <w:tc>
          <w:tcPr>
            <w:tcW w:w="732" w:type="pct"/>
            <w:shd w:val="clear" w:color="auto" w:fill="auto"/>
            <w:vAlign w:val="center"/>
          </w:tcPr>
          <w:p>
            <w:pPr>
              <w:jc w:val="center"/>
              <w:rPr>
                <w:rFonts w:ascii="仿宋" w:hAnsi="仿宋" w:eastAsia="仿宋"/>
                <w:szCs w:val="21"/>
              </w:rPr>
            </w:pPr>
            <w:r>
              <w:rPr>
                <w:rFonts w:hint="eastAsia" w:ascii="仿宋" w:hAnsi="仿宋" w:eastAsia="仿宋"/>
                <w:szCs w:val="21"/>
              </w:rPr>
              <w:t>污染源名称</w:t>
            </w:r>
          </w:p>
        </w:tc>
        <w:tc>
          <w:tcPr>
            <w:tcW w:w="732" w:type="pct"/>
            <w:gridSpan w:val="3"/>
            <w:shd w:val="clear" w:color="auto" w:fill="auto"/>
            <w:vAlign w:val="center"/>
          </w:tcPr>
          <w:p>
            <w:pPr>
              <w:jc w:val="center"/>
              <w:rPr>
                <w:rFonts w:ascii="仿宋" w:hAnsi="仿宋" w:eastAsia="仿宋"/>
                <w:szCs w:val="21"/>
              </w:rPr>
            </w:pPr>
            <w:r>
              <w:rPr>
                <w:rFonts w:hint="eastAsia" w:ascii="仿宋" w:hAnsi="仿宋" w:eastAsia="仿宋"/>
                <w:szCs w:val="21"/>
              </w:rPr>
              <w:t>排污许可证</w:t>
            </w:r>
          </w:p>
        </w:tc>
        <w:tc>
          <w:tcPr>
            <w:tcW w:w="733" w:type="pct"/>
            <w:gridSpan w:val="2"/>
            <w:shd w:val="clear" w:color="auto" w:fill="auto"/>
            <w:vAlign w:val="center"/>
          </w:tcPr>
          <w:p>
            <w:pPr>
              <w:jc w:val="center"/>
              <w:rPr>
                <w:rFonts w:ascii="仿宋" w:hAnsi="仿宋" w:eastAsia="仿宋"/>
                <w:szCs w:val="21"/>
              </w:rPr>
            </w:pPr>
            <w:r>
              <w:rPr>
                <w:rFonts w:hint="eastAsia" w:ascii="仿宋" w:hAnsi="仿宋" w:eastAsia="仿宋"/>
                <w:szCs w:val="21"/>
              </w:rPr>
              <w:t>污染物名称</w:t>
            </w:r>
          </w:p>
        </w:tc>
        <w:tc>
          <w:tcPr>
            <w:tcW w:w="732" w:type="pct"/>
            <w:gridSpan w:val="3"/>
            <w:shd w:val="clear" w:color="auto" w:fill="auto"/>
            <w:vAlign w:val="center"/>
          </w:tcPr>
          <w:p>
            <w:pPr>
              <w:jc w:val="center"/>
              <w:rPr>
                <w:rFonts w:ascii="仿宋" w:hAnsi="仿宋" w:eastAsia="仿宋"/>
                <w:szCs w:val="21"/>
              </w:rPr>
            </w:pPr>
            <w:r>
              <w:rPr>
                <w:rFonts w:hint="eastAsia" w:ascii="仿宋" w:hAnsi="仿宋" w:eastAsia="仿宋"/>
                <w:szCs w:val="21"/>
              </w:rPr>
              <w:t>排放量/（t/a）</w:t>
            </w:r>
          </w:p>
        </w:tc>
        <w:tc>
          <w:tcPr>
            <w:tcW w:w="733" w:type="pct"/>
            <w:gridSpan w:val="2"/>
            <w:shd w:val="clear" w:color="auto" w:fill="auto"/>
            <w:vAlign w:val="center"/>
          </w:tcPr>
          <w:p>
            <w:pPr>
              <w:jc w:val="center"/>
              <w:rPr>
                <w:rFonts w:ascii="仿宋" w:hAnsi="仿宋" w:eastAsia="仿宋"/>
                <w:szCs w:val="21"/>
              </w:rPr>
            </w:pPr>
            <w:r>
              <w:rPr>
                <w:rFonts w:hint="eastAsia" w:ascii="仿宋" w:hAnsi="仿宋" w:eastAsia="仿宋"/>
                <w:szCs w:val="21"/>
              </w:rPr>
              <w:t>排放浓度/（mg/L）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shd w:val="clear" w:color="auto" w:fill="auto"/>
            <w:vAlign w:val="center"/>
          </w:tcPr>
          <w:p>
            <w:pPr>
              <w:jc w:val="center"/>
              <w:rPr>
                <w:rFonts w:ascii="仿宋" w:hAnsi="仿宋" w:eastAsia="仿宋"/>
                <w:szCs w:val="21"/>
              </w:rPr>
            </w:pPr>
          </w:p>
        </w:tc>
        <w:tc>
          <w:tcPr>
            <w:tcW w:w="900" w:type="pct"/>
            <w:vMerge w:val="continue"/>
            <w:shd w:val="clear" w:color="auto" w:fill="auto"/>
            <w:vAlign w:val="center"/>
          </w:tcPr>
          <w:p>
            <w:pPr>
              <w:jc w:val="center"/>
              <w:rPr>
                <w:rFonts w:ascii="仿宋" w:hAnsi="仿宋" w:eastAsia="仿宋"/>
                <w:szCs w:val="21"/>
              </w:rPr>
            </w:pPr>
          </w:p>
        </w:tc>
        <w:tc>
          <w:tcPr>
            <w:tcW w:w="732" w:type="pct"/>
            <w:shd w:val="clear" w:color="auto" w:fill="auto"/>
            <w:vAlign w:val="center"/>
          </w:tcPr>
          <w:p>
            <w:pPr>
              <w:jc w:val="center"/>
              <w:rPr>
                <w:rFonts w:ascii="仿宋" w:hAnsi="仿宋" w:eastAsia="仿宋"/>
                <w:szCs w:val="21"/>
              </w:rPr>
            </w:pPr>
            <w:r>
              <w:rPr>
                <w:rFonts w:hint="eastAsia" w:ascii="仿宋" w:hAnsi="仿宋" w:eastAsia="仿宋"/>
                <w:szCs w:val="21"/>
              </w:rPr>
              <w:t>（）</w:t>
            </w:r>
          </w:p>
        </w:tc>
        <w:tc>
          <w:tcPr>
            <w:tcW w:w="732" w:type="pct"/>
            <w:gridSpan w:val="3"/>
            <w:shd w:val="clear" w:color="auto" w:fill="auto"/>
            <w:vAlign w:val="center"/>
          </w:tcPr>
          <w:p>
            <w:pPr>
              <w:jc w:val="center"/>
              <w:rPr>
                <w:rFonts w:ascii="仿宋" w:hAnsi="仿宋" w:eastAsia="仿宋"/>
                <w:szCs w:val="21"/>
              </w:rPr>
            </w:pPr>
            <w:r>
              <w:rPr>
                <w:rFonts w:hint="eastAsia" w:ascii="仿宋" w:hAnsi="仿宋" w:eastAsia="仿宋"/>
                <w:szCs w:val="21"/>
              </w:rPr>
              <w:t>（）</w:t>
            </w:r>
          </w:p>
        </w:tc>
        <w:tc>
          <w:tcPr>
            <w:tcW w:w="733" w:type="pct"/>
            <w:gridSpan w:val="2"/>
            <w:shd w:val="clear" w:color="auto" w:fill="auto"/>
            <w:vAlign w:val="center"/>
          </w:tcPr>
          <w:p>
            <w:pPr>
              <w:jc w:val="center"/>
              <w:rPr>
                <w:rFonts w:ascii="仿宋" w:hAnsi="仿宋" w:eastAsia="仿宋"/>
                <w:szCs w:val="21"/>
              </w:rPr>
            </w:pPr>
            <w:r>
              <w:rPr>
                <w:rFonts w:hint="eastAsia" w:ascii="仿宋" w:hAnsi="仿宋" w:eastAsia="仿宋"/>
                <w:szCs w:val="21"/>
              </w:rPr>
              <w:t>（）</w:t>
            </w:r>
          </w:p>
        </w:tc>
        <w:tc>
          <w:tcPr>
            <w:tcW w:w="732" w:type="pct"/>
            <w:gridSpan w:val="3"/>
            <w:shd w:val="clear" w:color="auto" w:fill="auto"/>
            <w:vAlign w:val="center"/>
          </w:tcPr>
          <w:p>
            <w:pPr>
              <w:jc w:val="center"/>
              <w:rPr>
                <w:rFonts w:ascii="仿宋" w:hAnsi="仿宋" w:eastAsia="仿宋"/>
                <w:szCs w:val="21"/>
              </w:rPr>
            </w:pPr>
            <w:r>
              <w:rPr>
                <w:rFonts w:hint="eastAsia" w:ascii="仿宋" w:hAnsi="仿宋" w:eastAsia="仿宋"/>
                <w:szCs w:val="21"/>
              </w:rPr>
              <w:t>（）</w:t>
            </w:r>
          </w:p>
        </w:tc>
        <w:tc>
          <w:tcPr>
            <w:tcW w:w="733" w:type="pct"/>
            <w:gridSpan w:val="2"/>
            <w:shd w:val="clear" w:color="auto" w:fill="auto"/>
            <w:vAlign w:val="center"/>
          </w:tcPr>
          <w:p>
            <w:pPr>
              <w:jc w:val="center"/>
              <w:rPr>
                <w:rFonts w:ascii="仿宋" w:hAnsi="仿宋" w:eastAsia="仿宋"/>
                <w:szCs w:val="21"/>
              </w:rPr>
            </w:pPr>
            <w:r>
              <w:rPr>
                <w:rFonts w:hint="eastAsia" w:ascii="仿宋" w:hAnsi="仿宋" w:eastAsia="仿宋"/>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shd w:val="clear" w:color="auto" w:fill="auto"/>
            <w:vAlign w:val="center"/>
          </w:tcPr>
          <w:p>
            <w:pPr>
              <w:jc w:val="center"/>
              <w:rPr>
                <w:rFonts w:ascii="仿宋" w:hAnsi="仿宋" w:eastAsia="仿宋"/>
                <w:szCs w:val="21"/>
              </w:rPr>
            </w:pPr>
          </w:p>
        </w:tc>
        <w:tc>
          <w:tcPr>
            <w:tcW w:w="900" w:type="pct"/>
            <w:shd w:val="clear" w:color="auto" w:fill="auto"/>
            <w:vAlign w:val="center"/>
          </w:tcPr>
          <w:p>
            <w:pPr>
              <w:jc w:val="center"/>
              <w:rPr>
                <w:rFonts w:ascii="仿宋" w:hAnsi="仿宋" w:eastAsia="仿宋"/>
                <w:szCs w:val="21"/>
              </w:rPr>
            </w:pPr>
            <w:r>
              <w:rPr>
                <w:rFonts w:hint="eastAsia" w:ascii="仿宋" w:hAnsi="仿宋" w:eastAsia="仿宋"/>
                <w:szCs w:val="21"/>
              </w:rPr>
              <w:t>生态流量确定</w:t>
            </w:r>
          </w:p>
        </w:tc>
        <w:tc>
          <w:tcPr>
            <w:tcW w:w="3662" w:type="pct"/>
            <w:gridSpan w:val="11"/>
            <w:shd w:val="clear" w:color="auto" w:fill="auto"/>
            <w:vAlign w:val="center"/>
          </w:tcPr>
          <w:p>
            <w:pPr>
              <w:rPr>
                <w:rFonts w:ascii="仿宋" w:hAnsi="仿宋" w:eastAsia="仿宋"/>
                <w:szCs w:val="21"/>
              </w:rPr>
            </w:pPr>
            <w:r>
              <w:rPr>
                <w:rFonts w:hint="eastAsia" w:ascii="仿宋" w:hAnsi="仿宋" w:eastAsia="仿宋"/>
                <w:szCs w:val="21"/>
              </w:rPr>
              <w:t>生态流量：一般水期（）m</w:t>
            </w:r>
            <w:r>
              <w:rPr>
                <w:rFonts w:hint="eastAsia" w:ascii="仿宋" w:hAnsi="仿宋" w:eastAsia="仿宋"/>
                <w:szCs w:val="21"/>
                <w:vertAlign w:val="superscript"/>
              </w:rPr>
              <w:t>3</w:t>
            </w:r>
            <w:r>
              <w:rPr>
                <w:rFonts w:hint="eastAsia" w:ascii="仿宋" w:hAnsi="仿宋" w:eastAsia="仿宋"/>
                <w:szCs w:val="21"/>
              </w:rPr>
              <w:t>/s；鱼类繁殖期（）m</w:t>
            </w:r>
            <w:r>
              <w:rPr>
                <w:rFonts w:hint="eastAsia" w:ascii="仿宋" w:hAnsi="仿宋" w:eastAsia="仿宋"/>
                <w:szCs w:val="21"/>
                <w:vertAlign w:val="superscript"/>
              </w:rPr>
              <w:t>3</w:t>
            </w:r>
            <w:r>
              <w:rPr>
                <w:rFonts w:hint="eastAsia" w:ascii="仿宋" w:hAnsi="仿宋" w:eastAsia="仿宋"/>
                <w:szCs w:val="21"/>
              </w:rPr>
              <w:t>/s；其他（）m</w:t>
            </w:r>
            <w:r>
              <w:rPr>
                <w:rFonts w:hint="eastAsia" w:ascii="仿宋" w:hAnsi="仿宋" w:eastAsia="仿宋"/>
                <w:szCs w:val="21"/>
                <w:vertAlign w:val="superscript"/>
              </w:rPr>
              <w:t>3</w:t>
            </w:r>
            <w:r>
              <w:rPr>
                <w:rFonts w:hint="eastAsia" w:ascii="仿宋" w:hAnsi="仿宋" w:eastAsia="仿宋"/>
                <w:szCs w:val="21"/>
              </w:rPr>
              <w:t>/s</w:t>
            </w:r>
          </w:p>
          <w:p>
            <w:pPr>
              <w:rPr>
                <w:rFonts w:ascii="仿宋" w:hAnsi="仿宋" w:eastAsia="仿宋"/>
                <w:szCs w:val="21"/>
              </w:rPr>
            </w:pPr>
            <w:r>
              <w:rPr>
                <w:rFonts w:hint="eastAsia" w:ascii="仿宋" w:hAnsi="仿宋" w:eastAsia="仿宋"/>
                <w:szCs w:val="21"/>
              </w:rPr>
              <w:t>生态水位：一般水期（）m；鱼类繁殖期（）m；其他（）m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restart"/>
            <w:shd w:val="clear" w:color="auto" w:fill="auto"/>
            <w:vAlign w:val="center"/>
          </w:tcPr>
          <w:p>
            <w:pPr>
              <w:jc w:val="center"/>
              <w:rPr>
                <w:rFonts w:ascii="仿宋" w:hAnsi="仿宋" w:eastAsia="仿宋"/>
                <w:szCs w:val="21"/>
              </w:rPr>
            </w:pPr>
            <w:r>
              <w:rPr>
                <w:rFonts w:hint="eastAsia" w:ascii="仿宋" w:hAnsi="仿宋" w:eastAsia="仿宋"/>
                <w:szCs w:val="21"/>
              </w:rPr>
              <w:t>防治措施</w:t>
            </w:r>
          </w:p>
        </w:tc>
        <w:tc>
          <w:tcPr>
            <w:tcW w:w="900" w:type="pct"/>
            <w:shd w:val="clear" w:color="auto" w:fill="auto"/>
            <w:vAlign w:val="center"/>
          </w:tcPr>
          <w:p>
            <w:pPr>
              <w:jc w:val="center"/>
              <w:rPr>
                <w:rFonts w:ascii="仿宋" w:hAnsi="仿宋" w:eastAsia="仿宋"/>
                <w:szCs w:val="21"/>
              </w:rPr>
            </w:pPr>
            <w:r>
              <w:rPr>
                <w:rFonts w:hint="eastAsia" w:ascii="仿宋" w:hAnsi="仿宋" w:eastAsia="仿宋"/>
                <w:szCs w:val="21"/>
              </w:rPr>
              <w:t>环保措施</w:t>
            </w:r>
          </w:p>
        </w:tc>
        <w:tc>
          <w:tcPr>
            <w:tcW w:w="3662" w:type="pct"/>
            <w:gridSpan w:val="11"/>
            <w:shd w:val="clear" w:color="auto" w:fill="auto"/>
            <w:vAlign w:val="center"/>
          </w:tcPr>
          <w:p>
            <w:pPr>
              <w:rPr>
                <w:rFonts w:ascii="仿宋" w:hAnsi="仿宋" w:eastAsia="仿宋"/>
                <w:szCs w:val="21"/>
              </w:rPr>
            </w:pPr>
            <w:r>
              <w:rPr>
                <w:rFonts w:hint="eastAsia" w:ascii="仿宋" w:hAnsi="仿宋" w:eastAsia="仿宋"/>
                <w:szCs w:val="21"/>
              </w:rPr>
              <w:t>污水处理设施□；水文减缓设施□；生态流量保障设施□；</w:t>
            </w:r>
          </w:p>
          <w:p>
            <w:pPr>
              <w:rPr>
                <w:rFonts w:ascii="仿宋" w:hAnsi="仿宋" w:eastAsia="仿宋"/>
                <w:szCs w:val="21"/>
              </w:rPr>
            </w:pPr>
            <w:r>
              <w:rPr>
                <w:rFonts w:hint="eastAsia" w:ascii="仿宋" w:hAnsi="仿宋" w:eastAsia="仿宋"/>
                <w:szCs w:val="21"/>
              </w:rPr>
              <w:t>区域削减□；依托其他工程措施</w:t>
            </w:r>
            <w:r>
              <w:rPr>
                <w:rFonts w:hint="eastAsia" w:ascii="仿宋" w:hAnsi="仿宋" w:eastAsia="仿宋"/>
                <w:b/>
                <w:bCs/>
                <w:kern w:val="44"/>
                <w:szCs w:val="21"/>
              </w:rPr>
              <w:t>√</w:t>
            </w:r>
            <w:r>
              <w:rPr>
                <w:rFonts w:hint="eastAsia" w:ascii="仿宋" w:hAnsi="仿宋" w:eastAsia="仿宋"/>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shd w:val="clear" w:color="auto" w:fill="auto"/>
            <w:vAlign w:val="center"/>
          </w:tcPr>
          <w:p>
            <w:pPr>
              <w:jc w:val="center"/>
              <w:rPr>
                <w:rFonts w:ascii="仿宋" w:hAnsi="仿宋" w:eastAsia="仿宋"/>
                <w:szCs w:val="21"/>
              </w:rPr>
            </w:pPr>
          </w:p>
        </w:tc>
        <w:tc>
          <w:tcPr>
            <w:tcW w:w="900" w:type="pct"/>
            <w:vMerge w:val="restart"/>
            <w:shd w:val="clear" w:color="auto" w:fill="auto"/>
            <w:vAlign w:val="center"/>
          </w:tcPr>
          <w:p>
            <w:pPr>
              <w:jc w:val="center"/>
              <w:rPr>
                <w:rFonts w:ascii="仿宋" w:hAnsi="仿宋" w:eastAsia="仿宋"/>
                <w:szCs w:val="21"/>
              </w:rPr>
            </w:pPr>
            <w:r>
              <w:rPr>
                <w:rFonts w:hint="eastAsia" w:ascii="仿宋" w:hAnsi="仿宋" w:eastAsia="仿宋"/>
                <w:szCs w:val="21"/>
              </w:rPr>
              <w:t>监测计划</w:t>
            </w:r>
          </w:p>
        </w:tc>
        <w:tc>
          <w:tcPr>
            <w:tcW w:w="1221" w:type="pct"/>
            <w:gridSpan w:val="3"/>
            <w:shd w:val="clear" w:color="auto" w:fill="auto"/>
            <w:vAlign w:val="center"/>
          </w:tcPr>
          <w:p>
            <w:pPr>
              <w:jc w:val="center"/>
              <w:rPr>
                <w:rFonts w:ascii="仿宋" w:hAnsi="仿宋" w:eastAsia="仿宋"/>
                <w:szCs w:val="21"/>
              </w:rPr>
            </w:pPr>
          </w:p>
        </w:tc>
        <w:tc>
          <w:tcPr>
            <w:tcW w:w="1221" w:type="pct"/>
            <w:gridSpan w:val="4"/>
            <w:shd w:val="clear" w:color="auto" w:fill="auto"/>
            <w:vAlign w:val="center"/>
          </w:tcPr>
          <w:p>
            <w:pPr>
              <w:jc w:val="center"/>
              <w:rPr>
                <w:rFonts w:ascii="仿宋" w:hAnsi="仿宋" w:eastAsia="仿宋"/>
                <w:szCs w:val="21"/>
              </w:rPr>
            </w:pPr>
            <w:r>
              <w:rPr>
                <w:rFonts w:hint="eastAsia" w:ascii="仿宋" w:hAnsi="仿宋" w:eastAsia="仿宋"/>
                <w:szCs w:val="21"/>
              </w:rPr>
              <w:t>环境质量</w:t>
            </w:r>
          </w:p>
        </w:tc>
        <w:tc>
          <w:tcPr>
            <w:tcW w:w="1220" w:type="pct"/>
            <w:gridSpan w:val="4"/>
            <w:shd w:val="clear" w:color="auto" w:fill="auto"/>
            <w:vAlign w:val="center"/>
          </w:tcPr>
          <w:p>
            <w:pPr>
              <w:jc w:val="center"/>
              <w:rPr>
                <w:rFonts w:ascii="仿宋" w:hAnsi="仿宋" w:eastAsia="仿宋"/>
                <w:szCs w:val="21"/>
              </w:rPr>
            </w:pPr>
            <w:r>
              <w:rPr>
                <w:rFonts w:hint="eastAsia" w:ascii="仿宋" w:hAnsi="仿宋" w:eastAsia="仿宋"/>
                <w:szCs w:val="21"/>
              </w:rPr>
              <w:t>污染源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shd w:val="clear" w:color="auto" w:fill="auto"/>
            <w:vAlign w:val="center"/>
          </w:tcPr>
          <w:p>
            <w:pPr>
              <w:jc w:val="center"/>
              <w:rPr>
                <w:rFonts w:ascii="仿宋" w:hAnsi="仿宋" w:eastAsia="仿宋"/>
                <w:szCs w:val="21"/>
              </w:rPr>
            </w:pPr>
          </w:p>
        </w:tc>
        <w:tc>
          <w:tcPr>
            <w:tcW w:w="900" w:type="pct"/>
            <w:vMerge w:val="continue"/>
            <w:shd w:val="clear" w:color="auto" w:fill="auto"/>
            <w:vAlign w:val="center"/>
          </w:tcPr>
          <w:p>
            <w:pPr>
              <w:jc w:val="center"/>
              <w:rPr>
                <w:rFonts w:ascii="仿宋" w:hAnsi="仿宋" w:eastAsia="仿宋"/>
                <w:szCs w:val="21"/>
              </w:rPr>
            </w:pPr>
          </w:p>
        </w:tc>
        <w:tc>
          <w:tcPr>
            <w:tcW w:w="1221" w:type="pct"/>
            <w:gridSpan w:val="3"/>
            <w:shd w:val="clear" w:color="auto" w:fill="auto"/>
            <w:vAlign w:val="center"/>
          </w:tcPr>
          <w:p>
            <w:pPr>
              <w:jc w:val="center"/>
              <w:rPr>
                <w:rFonts w:ascii="仿宋" w:hAnsi="仿宋" w:eastAsia="仿宋"/>
                <w:szCs w:val="21"/>
              </w:rPr>
            </w:pPr>
            <w:r>
              <w:rPr>
                <w:rFonts w:hint="eastAsia" w:ascii="仿宋" w:hAnsi="仿宋" w:eastAsia="仿宋"/>
                <w:szCs w:val="21"/>
              </w:rPr>
              <w:t>监测方式</w:t>
            </w:r>
          </w:p>
        </w:tc>
        <w:tc>
          <w:tcPr>
            <w:tcW w:w="1221" w:type="pct"/>
            <w:gridSpan w:val="4"/>
            <w:shd w:val="clear" w:color="auto" w:fill="auto"/>
            <w:vAlign w:val="center"/>
          </w:tcPr>
          <w:p>
            <w:pPr>
              <w:jc w:val="center"/>
              <w:rPr>
                <w:rFonts w:ascii="仿宋" w:hAnsi="仿宋" w:eastAsia="仿宋"/>
                <w:szCs w:val="21"/>
              </w:rPr>
            </w:pPr>
            <w:r>
              <w:rPr>
                <w:rFonts w:hint="eastAsia" w:ascii="仿宋" w:hAnsi="仿宋" w:eastAsia="仿宋"/>
                <w:szCs w:val="21"/>
              </w:rPr>
              <w:t>手动□；自动□；无监测</w:t>
            </w:r>
            <w:r>
              <w:rPr>
                <w:rFonts w:hint="eastAsia" w:ascii="仿宋" w:hAnsi="仿宋" w:eastAsia="仿宋"/>
                <w:b/>
                <w:bCs/>
                <w:kern w:val="44"/>
                <w:szCs w:val="21"/>
              </w:rPr>
              <w:t>√</w:t>
            </w:r>
          </w:p>
        </w:tc>
        <w:tc>
          <w:tcPr>
            <w:tcW w:w="1220" w:type="pct"/>
            <w:gridSpan w:val="4"/>
            <w:shd w:val="clear" w:color="auto" w:fill="auto"/>
            <w:vAlign w:val="center"/>
          </w:tcPr>
          <w:p>
            <w:pPr>
              <w:jc w:val="center"/>
              <w:rPr>
                <w:rFonts w:ascii="仿宋" w:hAnsi="仿宋" w:eastAsia="仿宋"/>
                <w:szCs w:val="21"/>
              </w:rPr>
            </w:pPr>
            <w:r>
              <w:rPr>
                <w:rFonts w:hint="eastAsia" w:ascii="仿宋" w:hAnsi="仿宋" w:eastAsia="仿宋"/>
                <w:szCs w:val="21"/>
              </w:rPr>
              <w:t>手动</w:t>
            </w:r>
            <w:r>
              <w:rPr>
                <w:rFonts w:hint="eastAsia" w:ascii="仿宋" w:hAnsi="仿宋" w:eastAsia="仿宋"/>
                <w:b/>
                <w:bCs/>
                <w:kern w:val="44"/>
                <w:szCs w:val="21"/>
              </w:rPr>
              <w:t>√</w:t>
            </w:r>
            <w:r>
              <w:rPr>
                <w:rFonts w:hint="eastAsia" w:ascii="仿宋" w:hAnsi="仿宋" w:eastAsia="仿宋"/>
                <w:szCs w:val="21"/>
              </w:rPr>
              <w:t>；自动□；无监测□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shd w:val="clear" w:color="auto" w:fill="auto"/>
            <w:vAlign w:val="center"/>
          </w:tcPr>
          <w:p>
            <w:pPr>
              <w:jc w:val="center"/>
              <w:rPr>
                <w:rFonts w:ascii="仿宋" w:hAnsi="仿宋" w:eastAsia="仿宋"/>
                <w:szCs w:val="21"/>
              </w:rPr>
            </w:pPr>
          </w:p>
        </w:tc>
        <w:tc>
          <w:tcPr>
            <w:tcW w:w="900" w:type="pct"/>
            <w:vMerge w:val="continue"/>
            <w:shd w:val="clear" w:color="auto" w:fill="auto"/>
            <w:vAlign w:val="center"/>
          </w:tcPr>
          <w:p>
            <w:pPr>
              <w:jc w:val="center"/>
              <w:rPr>
                <w:rFonts w:ascii="仿宋" w:hAnsi="仿宋" w:eastAsia="仿宋"/>
                <w:szCs w:val="21"/>
              </w:rPr>
            </w:pPr>
          </w:p>
        </w:tc>
        <w:tc>
          <w:tcPr>
            <w:tcW w:w="1221" w:type="pct"/>
            <w:gridSpan w:val="3"/>
            <w:shd w:val="clear" w:color="auto" w:fill="auto"/>
            <w:vAlign w:val="center"/>
          </w:tcPr>
          <w:p>
            <w:pPr>
              <w:jc w:val="center"/>
              <w:rPr>
                <w:rFonts w:ascii="仿宋" w:hAnsi="仿宋" w:eastAsia="仿宋"/>
                <w:szCs w:val="21"/>
              </w:rPr>
            </w:pPr>
            <w:r>
              <w:rPr>
                <w:rFonts w:hint="eastAsia" w:ascii="仿宋" w:hAnsi="仿宋" w:eastAsia="仿宋"/>
                <w:szCs w:val="21"/>
              </w:rPr>
              <w:t>监测点位</w:t>
            </w:r>
          </w:p>
        </w:tc>
        <w:tc>
          <w:tcPr>
            <w:tcW w:w="1221" w:type="pct"/>
            <w:gridSpan w:val="4"/>
            <w:shd w:val="clear" w:color="auto" w:fill="auto"/>
            <w:vAlign w:val="center"/>
          </w:tcPr>
          <w:p>
            <w:pPr>
              <w:jc w:val="center"/>
              <w:rPr>
                <w:rFonts w:ascii="仿宋" w:hAnsi="仿宋" w:eastAsia="仿宋"/>
                <w:szCs w:val="21"/>
              </w:rPr>
            </w:pPr>
            <w:r>
              <w:rPr>
                <w:rFonts w:hint="eastAsia" w:ascii="仿宋" w:hAnsi="仿宋" w:eastAsia="仿宋"/>
                <w:szCs w:val="21"/>
              </w:rPr>
              <w:t>（）</w:t>
            </w:r>
          </w:p>
        </w:tc>
        <w:tc>
          <w:tcPr>
            <w:tcW w:w="1220" w:type="pct"/>
            <w:gridSpan w:val="4"/>
            <w:shd w:val="clear" w:color="auto" w:fill="auto"/>
            <w:vAlign w:val="center"/>
          </w:tcPr>
          <w:p>
            <w:pPr>
              <w:jc w:val="center"/>
              <w:rPr>
                <w:rFonts w:ascii="仿宋" w:hAnsi="仿宋" w:eastAsia="仿宋"/>
                <w:szCs w:val="21"/>
              </w:rPr>
            </w:pPr>
            <w:r>
              <w:rPr>
                <w:rFonts w:hint="eastAsia" w:ascii="仿宋" w:hAnsi="仿宋" w:eastAsia="仿宋"/>
                <w:szCs w:val="21"/>
              </w:rPr>
              <w:t>（废水排放口）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shd w:val="clear" w:color="auto" w:fill="auto"/>
            <w:vAlign w:val="center"/>
          </w:tcPr>
          <w:p>
            <w:pPr>
              <w:jc w:val="center"/>
              <w:rPr>
                <w:rFonts w:ascii="仿宋" w:hAnsi="仿宋" w:eastAsia="仿宋"/>
                <w:szCs w:val="21"/>
              </w:rPr>
            </w:pPr>
          </w:p>
        </w:tc>
        <w:tc>
          <w:tcPr>
            <w:tcW w:w="900" w:type="pct"/>
            <w:vMerge w:val="continue"/>
            <w:shd w:val="clear" w:color="auto" w:fill="auto"/>
            <w:vAlign w:val="center"/>
          </w:tcPr>
          <w:p>
            <w:pPr>
              <w:jc w:val="center"/>
              <w:rPr>
                <w:rFonts w:ascii="仿宋" w:hAnsi="仿宋" w:eastAsia="仿宋"/>
                <w:szCs w:val="21"/>
              </w:rPr>
            </w:pPr>
          </w:p>
        </w:tc>
        <w:tc>
          <w:tcPr>
            <w:tcW w:w="1221" w:type="pct"/>
            <w:gridSpan w:val="3"/>
            <w:shd w:val="clear" w:color="auto" w:fill="auto"/>
            <w:vAlign w:val="center"/>
          </w:tcPr>
          <w:p>
            <w:pPr>
              <w:jc w:val="center"/>
              <w:rPr>
                <w:rFonts w:ascii="仿宋" w:hAnsi="仿宋" w:eastAsia="仿宋"/>
                <w:szCs w:val="21"/>
              </w:rPr>
            </w:pPr>
            <w:r>
              <w:rPr>
                <w:rFonts w:hint="eastAsia" w:ascii="仿宋" w:hAnsi="仿宋" w:eastAsia="仿宋"/>
                <w:szCs w:val="21"/>
              </w:rPr>
              <w:t>监测因子</w:t>
            </w:r>
          </w:p>
        </w:tc>
        <w:tc>
          <w:tcPr>
            <w:tcW w:w="1221" w:type="pct"/>
            <w:gridSpan w:val="4"/>
            <w:shd w:val="clear" w:color="auto" w:fill="auto"/>
            <w:vAlign w:val="center"/>
          </w:tcPr>
          <w:p>
            <w:pPr>
              <w:jc w:val="center"/>
              <w:rPr>
                <w:rFonts w:ascii="仿宋" w:hAnsi="仿宋" w:eastAsia="仿宋"/>
                <w:szCs w:val="21"/>
              </w:rPr>
            </w:pPr>
            <w:r>
              <w:rPr>
                <w:rFonts w:hint="eastAsia" w:ascii="仿宋" w:hAnsi="仿宋" w:eastAsia="仿宋"/>
                <w:szCs w:val="21"/>
              </w:rPr>
              <w:t>（）</w:t>
            </w:r>
          </w:p>
        </w:tc>
        <w:tc>
          <w:tcPr>
            <w:tcW w:w="1220" w:type="pct"/>
            <w:gridSpan w:val="4"/>
            <w:shd w:val="clear" w:color="auto" w:fill="auto"/>
            <w:vAlign w:val="center"/>
          </w:tcPr>
          <w:p>
            <w:pPr>
              <w:jc w:val="center"/>
              <w:rPr>
                <w:rFonts w:ascii="仿宋" w:hAnsi="仿宋" w:eastAsia="仿宋"/>
                <w:szCs w:val="21"/>
              </w:rPr>
            </w:pPr>
            <w:r>
              <w:rPr>
                <w:rFonts w:hint="eastAsia" w:ascii="仿宋" w:hAnsi="仿宋" w:eastAsia="仿宋"/>
                <w:szCs w:val="21"/>
              </w:rPr>
              <w:t>（COD、SS、NH</w:t>
            </w:r>
            <w:r>
              <w:rPr>
                <w:rFonts w:hint="eastAsia" w:ascii="仿宋" w:hAnsi="仿宋" w:eastAsia="仿宋"/>
                <w:szCs w:val="21"/>
                <w:vertAlign w:val="subscript"/>
              </w:rPr>
              <w:t>3</w:t>
            </w:r>
            <w:r>
              <w:rPr>
                <w:rFonts w:hint="eastAsia" w:ascii="仿宋" w:hAnsi="仿宋" w:eastAsia="仿宋"/>
                <w:szCs w:val="21"/>
              </w:rPr>
              <w:t>-N、TP、TN）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shd w:val="clear" w:color="auto" w:fill="auto"/>
            <w:vAlign w:val="center"/>
          </w:tcPr>
          <w:p>
            <w:pPr>
              <w:jc w:val="center"/>
              <w:rPr>
                <w:rFonts w:ascii="仿宋" w:hAnsi="仿宋" w:eastAsia="仿宋"/>
                <w:szCs w:val="21"/>
              </w:rPr>
            </w:pPr>
          </w:p>
        </w:tc>
        <w:tc>
          <w:tcPr>
            <w:tcW w:w="900" w:type="pct"/>
            <w:shd w:val="clear" w:color="auto" w:fill="auto"/>
            <w:vAlign w:val="center"/>
          </w:tcPr>
          <w:p>
            <w:pPr>
              <w:jc w:val="center"/>
              <w:rPr>
                <w:rFonts w:ascii="仿宋" w:hAnsi="仿宋" w:eastAsia="仿宋"/>
                <w:szCs w:val="21"/>
              </w:rPr>
            </w:pPr>
            <w:r>
              <w:rPr>
                <w:rFonts w:hint="eastAsia" w:ascii="仿宋" w:hAnsi="仿宋" w:eastAsia="仿宋"/>
                <w:szCs w:val="21"/>
              </w:rPr>
              <w:t>污染物排放清单</w:t>
            </w:r>
          </w:p>
        </w:tc>
        <w:tc>
          <w:tcPr>
            <w:tcW w:w="3662" w:type="pct"/>
            <w:gridSpan w:val="11"/>
            <w:shd w:val="clear" w:color="auto" w:fill="auto"/>
            <w:vAlign w:val="center"/>
          </w:tcPr>
          <w:p>
            <w:pPr>
              <w:rPr>
                <w:rFonts w:ascii="仿宋" w:hAnsi="仿宋" w:eastAsia="仿宋"/>
                <w:szCs w:val="21"/>
              </w:rPr>
            </w:pPr>
            <w:r>
              <w:rPr>
                <w:rFonts w:hint="eastAsia" w:ascii="仿宋" w:hAnsi="仿宋" w:eastAsia="仿宋"/>
                <w:b/>
                <w:bCs/>
                <w:kern w:val="4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pct"/>
            <w:gridSpan w:val="2"/>
            <w:shd w:val="clear" w:color="auto" w:fill="auto"/>
            <w:vAlign w:val="center"/>
          </w:tcPr>
          <w:p>
            <w:pPr>
              <w:jc w:val="center"/>
              <w:rPr>
                <w:rFonts w:ascii="仿宋" w:hAnsi="仿宋" w:eastAsia="仿宋"/>
                <w:szCs w:val="21"/>
              </w:rPr>
            </w:pPr>
            <w:r>
              <w:rPr>
                <w:rFonts w:hint="eastAsia" w:ascii="仿宋" w:hAnsi="仿宋" w:eastAsia="仿宋"/>
                <w:szCs w:val="21"/>
              </w:rPr>
              <w:t>评价结论</w:t>
            </w:r>
          </w:p>
        </w:tc>
        <w:tc>
          <w:tcPr>
            <w:tcW w:w="3662" w:type="pct"/>
            <w:gridSpan w:val="11"/>
            <w:shd w:val="clear" w:color="auto" w:fill="auto"/>
            <w:vAlign w:val="center"/>
          </w:tcPr>
          <w:p>
            <w:pPr>
              <w:rPr>
                <w:rFonts w:ascii="仿宋" w:hAnsi="仿宋" w:eastAsia="仿宋"/>
                <w:szCs w:val="21"/>
              </w:rPr>
            </w:pPr>
            <w:r>
              <w:rPr>
                <w:rFonts w:hint="eastAsia" w:ascii="仿宋" w:hAnsi="仿宋" w:eastAsia="仿宋"/>
                <w:szCs w:val="21"/>
              </w:rPr>
              <w:t>可以接受</w:t>
            </w:r>
            <w:r>
              <w:rPr>
                <w:rFonts w:hint="eastAsia" w:ascii="仿宋" w:hAnsi="仿宋" w:eastAsia="仿宋"/>
                <w:b/>
                <w:bCs/>
                <w:kern w:val="44"/>
                <w:szCs w:val="21"/>
              </w:rPr>
              <w:t>√</w:t>
            </w:r>
            <w:r>
              <w:rPr>
                <w:rFonts w:hint="eastAsia" w:ascii="仿宋" w:hAnsi="仿宋" w:eastAsia="仿宋"/>
                <w:szCs w:val="21"/>
              </w:rPr>
              <w:t>；不可以接受□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13"/>
            <w:shd w:val="clear" w:color="auto" w:fill="auto"/>
            <w:vAlign w:val="center"/>
          </w:tcPr>
          <w:p>
            <w:pPr>
              <w:rPr>
                <w:rFonts w:ascii="仿宋" w:hAnsi="仿宋" w:eastAsia="仿宋"/>
                <w:szCs w:val="21"/>
              </w:rPr>
            </w:pPr>
            <w:r>
              <w:rPr>
                <w:rFonts w:hint="eastAsia" w:ascii="仿宋" w:hAnsi="仿宋" w:eastAsia="仿宋"/>
                <w:b/>
                <w:bCs/>
                <w:kern w:val="44"/>
                <w:szCs w:val="21"/>
              </w:rPr>
              <w:t>注：“口”为勾选项，填“√”； “（）”为内容填写项。</w:t>
            </w:r>
          </w:p>
        </w:tc>
      </w:tr>
    </w:tbl>
    <w:p>
      <w:pPr>
        <w:tabs>
          <w:tab w:val="left" w:pos="5175"/>
        </w:tabs>
        <w:rPr>
          <w:rFonts w:eastAsia="仿宋_GB2312"/>
          <w:sz w:val="28"/>
          <w:szCs w:val="28"/>
        </w:rPr>
        <w:sectPr>
          <w:pgSz w:w="16838" w:h="11906" w:orient="landscape"/>
          <w:pgMar w:top="1797" w:right="1440" w:bottom="1797" w:left="1440" w:header="539" w:footer="992" w:gutter="0"/>
          <w:cols w:space="720" w:num="1"/>
          <w:docGrid w:linePitch="286" w:charSpace="0"/>
        </w:sectPr>
      </w:pPr>
    </w:p>
    <w:p>
      <w:pPr>
        <w:keepNext/>
        <w:numPr>
          <w:ilvl w:val="2"/>
          <w:numId w:val="1"/>
        </w:numPr>
        <w:tabs>
          <w:tab w:val="left" w:pos="709"/>
        </w:tabs>
        <w:spacing w:after="120" w:afterLines="50" w:line="500" w:lineRule="exact"/>
        <w:ind w:left="0" w:firstLine="0"/>
        <w:outlineLvl w:val="2"/>
        <w:rPr>
          <w:rFonts w:eastAsia="仿宋_GB2312"/>
          <w:b/>
          <w:sz w:val="28"/>
          <w:szCs w:val="28"/>
        </w:rPr>
      </w:pPr>
      <w:r>
        <w:rPr>
          <w:rFonts w:eastAsia="仿宋_GB2312"/>
          <w:b/>
          <w:sz w:val="28"/>
          <w:szCs w:val="28"/>
        </w:rPr>
        <w:t>声环境影响预测与评价</w:t>
      </w:r>
    </w:p>
    <w:p>
      <w:pPr>
        <w:keepNext/>
        <w:widowControl/>
        <w:numPr>
          <w:ilvl w:val="3"/>
          <w:numId w:val="1"/>
        </w:numPr>
        <w:adjustRightInd w:val="0"/>
        <w:snapToGrid w:val="0"/>
        <w:spacing w:after="120" w:afterLines="50" w:line="500" w:lineRule="exact"/>
        <w:ind w:left="0" w:firstLine="0"/>
        <w:jc w:val="left"/>
        <w:outlineLvl w:val="3"/>
        <w:rPr>
          <w:rFonts w:eastAsia="仿宋_GB2312"/>
          <w:b/>
          <w:bCs/>
          <w:sz w:val="28"/>
          <w:szCs w:val="28"/>
        </w:rPr>
      </w:pPr>
      <w:r>
        <w:rPr>
          <w:rFonts w:eastAsia="仿宋_GB2312"/>
          <w:b/>
          <w:bCs/>
          <w:sz w:val="28"/>
          <w:szCs w:val="28"/>
        </w:rPr>
        <w:t>预测内容</w:t>
      </w:r>
    </w:p>
    <w:p>
      <w:pPr>
        <w:autoSpaceDE w:val="0"/>
        <w:autoSpaceDN w:val="0"/>
        <w:adjustRightInd w:val="0"/>
        <w:spacing w:line="500" w:lineRule="exact"/>
        <w:ind w:firstLine="560" w:firstLineChars="200"/>
        <w:rPr>
          <w:rFonts w:eastAsia="仿宋_GB2312"/>
          <w:kern w:val="0"/>
          <w:sz w:val="28"/>
          <w:szCs w:val="28"/>
        </w:rPr>
      </w:pPr>
      <w:r>
        <w:rPr>
          <w:rFonts w:eastAsia="仿宋_GB2312"/>
          <w:kern w:val="0"/>
          <w:sz w:val="28"/>
          <w:szCs w:val="28"/>
        </w:rPr>
        <w:t>预测范围为厂界，预测时段为正常生产运营期</w:t>
      </w:r>
      <w:r>
        <w:rPr>
          <w:rFonts w:hint="eastAsia" w:eastAsia="仿宋_GB2312"/>
          <w:kern w:val="0"/>
          <w:sz w:val="28"/>
          <w:szCs w:val="28"/>
        </w:rPr>
        <w:t>，</w:t>
      </w:r>
      <w:r>
        <w:rPr>
          <w:rFonts w:eastAsia="仿宋_GB2312"/>
          <w:kern w:val="0"/>
          <w:sz w:val="28"/>
          <w:szCs w:val="28"/>
        </w:rPr>
        <w:t>最终的厂界噪声预测值是本项目的噪声设备的噪声影响值与环境噪声背景值的叠加结果。</w:t>
      </w:r>
    </w:p>
    <w:p>
      <w:pPr>
        <w:keepNext/>
        <w:widowControl/>
        <w:numPr>
          <w:ilvl w:val="3"/>
          <w:numId w:val="1"/>
        </w:numPr>
        <w:adjustRightInd w:val="0"/>
        <w:snapToGrid w:val="0"/>
        <w:spacing w:after="120" w:afterLines="50" w:line="500" w:lineRule="exact"/>
        <w:ind w:left="0" w:firstLine="0"/>
        <w:jc w:val="left"/>
        <w:outlineLvl w:val="3"/>
        <w:rPr>
          <w:rFonts w:eastAsia="仿宋_GB2312"/>
          <w:b/>
          <w:bCs/>
          <w:sz w:val="28"/>
          <w:szCs w:val="28"/>
        </w:rPr>
      </w:pPr>
      <w:r>
        <w:rPr>
          <w:rFonts w:eastAsia="仿宋_GB2312"/>
          <w:b/>
          <w:bCs/>
          <w:sz w:val="28"/>
          <w:szCs w:val="28"/>
        </w:rPr>
        <w:t>预测模式</w:t>
      </w:r>
    </w:p>
    <w:p>
      <w:pPr>
        <w:autoSpaceDE w:val="0"/>
        <w:autoSpaceDN w:val="0"/>
        <w:adjustRightInd w:val="0"/>
        <w:spacing w:line="500" w:lineRule="exact"/>
        <w:ind w:firstLine="560" w:firstLineChars="200"/>
        <w:rPr>
          <w:rFonts w:eastAsia="仿宋_GB2312"/>
          <w:kern w:val="0"/>
          <w:sz w:val="28"/>
          <w:szCs w:val="28"/>
        </w:rPr>
      </w:pPr>
      <w:r>
        <w:rPr>
          <w:rFonts w:eastAsia="仿宋_GB2312"/>
          <w:kern w:val="0"/>
          <w:sz w:val="28"/>
          <w:szCs w:val="28"/>
        </w:rPr>
        <w:t>根据声环境评价导则的规定，选用预测模式，应用过程中将根据情况作必要简化。</w:t>
      </w:r>
    </w:p>
    <w:p>
      <w:pPr>
        <w:spacing w:line="500" w:lineRule="exact"/>
        <w:ind w:firstLine="560" w:firstLineChars="200"/>
        <w:rPr>
          <w:rFonts w:eastAsia="仿宋_GB2312"/>
          <w:sz w:val="28"/>
          <w:szCs w:val="28"/>
        </w:rPr>
      </w:pPr>
      <w:r>
        <w:rPr>
          <w:rFonts w:eastAsia="仿宋_GB2312"/>
          <w:sz w:val="28"/>
          <w:szCs w:val="28"/>
        </w:rPr>
        <w:t>预测模式采用《环境影响评价技术导则 声环境》（HJ2.4-20</w:t>
      </w:r>
      <w:r>
        <w:rPr>
          <w:rFonts w:hint="eastAsia" w:eastAsia="仿宋_GB2312"/>
          <w:sz w:val="28"/>
          <w:szCs w:val="28"/>
        </w:rPr>
        <w:t>21</w:t>
      </w:r>
      <w:r>
        <w:rPr>
          <w:rFonts w:eastAsia="仿宋_GB2312"/>
          <w:sz w:val="28"/>
          <w:szCs w:val="28"/>
        </w:rPr>
        <w:t>）中推荐的模型。噪声在传播过程中受到多种因素的干扰，使其产生衰减，根据建设项目噪声源和环境特征，预测过程中考虑了厂房等建筑物的屏障作用、空气吸收。预测模式采用点声源处于半自由空间的几何发散模式。</w:t>
      </w:r>
    </w:p>
    <w:p>
      <w:pPr>
        <w:numPr>
          <w:ilvl w:val="0"/>
          <w:numId w:val="15"/>
        </w:numPr>
        <w:spacing w:line="500" w:lineRule="exact"/>
        <w:rPr>
          <w:rFonts w:eastAsia="仿宋_GB2312"/>
          <w:sz w:val="28"/>
          <w:szCs w:val="28"/>
        </w:rPr>
      </w:pPr>
      <w:r>
        <w:rPr>
          <w:rFonts w:eastAsia="仿宋_GB2312"/>
          <w:sz w:val="28"/>
          <w:szCs w:val="28"/>
        </w:rPr>
        <w:t xml:space="preserve">室内声源在预测点的声压级计算   </w:t>
      </w:r>
    </w:p>
    <w:p>
      <w:pPr>
        <w:pStyle w:val="152"/>
        <w:spacing w:line="500" w:lineRule="exact"/>
        <w:ind w:left="560" w:firstLine="0" w:firstLineChars="0"/>
        <w:rPr>
          <w:rFonts w:eastAsia="仿宋_GB2312"/>
          <w:sz w:val="28"/>
          <w:szCs w:val="28"/>
        </w:rPr>
      </w:pPr>
      <w:r>
        <w:rPr>
          <w:rFonts w:hint="eastAsia" w:ascii="宋体" w:hAnsi="宋体" w:cs="宋体"/>
          <w:sz w:val="28"/>
          <w:szCs w:val="28"/>
        </w:rPr>
        <w:t>ⅰ</w:t>
      </w:r>
      <w:r>
        <w:rPr>
          <w:rFonts w:eastAsia="仿宋_GB2312"/>
          <w:sz w:val="28"/>
          <w:szCs w:val="28"/>
        </w:rPr>
        <w:t>、首先计算出室内靠近围护结构处的倍频带声压级：</w:t>
      </w:r>
    </w:p>
    <w:p>
      <w:pPr>
        <w:tabs>
          <w:tab w:val="left" w:pos="7380"/>
        </w:tabs>
        <w:overflowPunct w:val="0"/>
        <w:jc w:val="center"/>
        <w:rPr>
          <w:rFonts w:eastAsia="仿宋_GB2312"/>
          <w:b/>
          <w:sz w:val="24"/>
        </w:rPr>
      </w:pPr>
      <w:r>
        <w:rPr>
          <w:rFonts w:eastAsia="仿宋_GB2312"/>
        </w:rPr>
        <w:drawing>
          <wp:inline distT="0" distB="0" distL="0" distR="0">
            <wp:extent cx="2510155" cy="621030"/>
            <wp:effectExtent l="0" t="0" r="4445" b="7620"/>
            <wp:docPr id="1125" name="图片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 name="图片 112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510155" cy="621030"/>
                    </a:xfrm>
                    <a:prstGeom prst="rect">
                      <a:avLst/>
                    </a:prstGeom>
                    <a:noFill/>
                    <a:ln>
                      <a:noFill/>
                    </a:ln>
                  </pic:spPr>
                </pic:pic>
              </a:graphicData>
            </a:graphic>
          </wp:inline>
        </w:drawing>
      </w:r>
    </w:p>
    <w:p>
      <w:pPr>
        <w:pStyle w:val="152"/>
        <w:spacing w:line="500" w:lineRule="exact"/>
        <w:ind w:firstLine="560"/>
        <w:rPr>
          <w:rFonts w:eastAsia="仿宋_GB2312"/>
          <w:sz w:val="28"/>
          <w:szCs w:val="28"/>
        </w:rPr>
      </w:pPr>
      <w:r>
        <w:rPr>
          <w:rFonts w:eastAsia="仿宋_GB2312"/>
          <w:sz w:val="28"/>
          <w:szCs w:val="28"/>
        </w:rPr>
        <w:t>式中: L</w:t>
      </w:r>
      <w:r>
        <w:rPr>
          <w:rFonts w:eastAsia="仿宋_GB2312"/>
          <w:i/>
          <w:iCs/>
          <w:sz w:val="28"/>
          <w:szCs w:val="28"/>
          <w:vertAlign w:val="subscript"/>
        </w:rPr>
        <w:t>p1</w:t>
      </w:r>
      <w:r>
        <w:rPr>
          <w:rFonts w:eastAsia="仿宋_GB2312"/>
          <w:sz w:val="28"/>
          <w:szCs w:val="28"/>
        </w:rPr>
        <w:t>—靠近开口处(或窗户)室内某倍频带的声压级或A声级，dB；</w:t>
      </w:r>
    </w:p>
    <w:p>
      <w:pPr>
        <w:pStyle w:val="152"/>
        <w:spacing w:line="500" w:lineRule="exact"/>
        <w:ind w:firstLine="1260" w:firstLineChars="450"/>
        <w:rPr>
          <w:rFonts w:eastAsia="仿宋_GB2312"/>
          <w:sz w:val="28"/>
          <w:szCs w:val="28"/>
        </w:rPr>
      </w:pPr>
      <w:r>
        <w:rPr>
          <w:rFonts w:eastAsia="仿宋_GB2312"/>
          <w:sz w:val="28"/>
          <w:szCs w:val="28"/>
        </w:rPr>
        <w:t>L</w:t>
      </w:r>
      <w:r>
        <w:rPr>
          <w:rFonts w:eastAsia="仿宋_GB2312"/>
          <w:i/>
          <w:iCs/>
          <w:sz w:val="28"/>
          <w:szCs w:val="28"/>
          <w:vertAlign w:val="subscript"/>
        </w:rPr>
        <w:t>w</w:t>
      </w:r>
      <w:r>
        <w:rPr>
          <w:rFonts w:eastAsia="仿宋_GB2312"/>
          <w:sz w:val="28"/>
          <w:szCs w:val="28"/>
        </w:rPr>
        <w:t>—点声源声功率级(A计权或倍频带)，dB；</w:t>
      </w:r>
    </w:p>
    <w:p>
      <w:pPr>
        <w:pStyle w:val="152"/>
        <w:spacing w:line="500" w:lineRule="exact"/>
        <w:ind w:firstLine="1260" w:firstLineChars="450"/>
        <w:rPr>
          <w:rFonts w:eastAsia="仿宋_GB2312"/>
          <w:sz w:val="28"/>
          <w:szCs w:val="28"/>
        </w:rPr>
      </w:pPr>
      <w:r>
        <w:rPr>
          <w:rFonts w:eastAsia="仿宋_GB2312"/>
          <w:sz w:val="28"/>
          <w:szCs w:val="28"/>
        </w:rPr>
        <w:t>Q—指向性因数；通常对无指向性声源，当声源放在房间中心时，Q=1；当放在一面墙的中心时，Q=2；当放在两面墙夹角处时，Q=4；当放在三面墙夹角处时，Q=8；</w:t>
      </w:r>
    </w:p>
    <w:p>
      <w:pPr>
        <w:pStyle w:val="152"/>
        <w:spacing w:line="500" w:lineRule="exact"/>
        <w:ind w:firstLine="1260" w:firstLineChars="450"/>
        <w:rPr>
          <w:rFonts w:eastAsia="仿宋_GB2312"/>
          <w:sz w:val="28"/>
          <w:szCs w:val="28"/>
        </w:rPr>
      </w:pPr>
      <w:r>
        <w:rPr>
          <w:rFonts w:eastAsia="仿宋_GB2312"/>
          <w:sz w:val="28"/>
          <w:szCs w:val="28"/>
        </w:rPr>
        <w:t>R—房间常数；R=Sa/(1-a)，S为房间内表面面积，m</w:t>
      </w:r>
      <w:r>
        <w:rPr>
          <w:rFonts w:eastAsia="仿宋_GB2312"/>
          <w:sz w:val="28"/>
          <w:szCs w:val="28"/>
          <w:vertAlign w:val="superscript"/>
        </w:rPr>
        <w:t>2</w:t>
      </w:r>
      <w:r>
        <w:rPr>
          <w:rFonts w:eastAsia="仿宋_GB2312"/>
          <w:sz w:val="28"/>
          <w:szCs w:val="28"/>
        </w:rPr>
        <w:t>；a为平均吸声系数；</w:t>
      </w:r>
    </w:p>
    <w:p>
      <w:pPr>
        <w:pStyle w:val="152"/>
        <w:spacing w:line="500" w:lineRule="exact"/>
        <w:ind w:firstLine="1260" w:firstLineChars="450"/>
        <w:rPr>
          <w:rFonts w:eastAsia="仿宋_GB2312"/>
          <w:sz w:val="28"/>
          <w:szCs w:val="28"/>
        </w:rPr>
      </w:pPr>
      <w:r>
        <w:rPr>
          <w:rFonts w:eastAsia="仿宋_GB2312"/>
          <w:sz w:val="28"/>
          <w:szCs w:val="28"/>
        </w:rPr>
        <w:t>r—声源到靠近围护结构某点处的距离，m。</w:t>
      </w:r>
    </w:p>
    <w:p>
      <w:pPr>
        <w:pStyle w:val="152"/>
        <w:spacing w:line="500" w:lineRule="exact"/>
        <w:ind w:firstLine="560"/>
        <w:rPr>
          <w:rFonts w:eastAsia="仿宋_GB2312"/>
          <w:sz w:val="28"/>
          <w:szCs w:val="28"/>
        </w:rPr>
      </w:pPr>
      <w:r>
        <w:rPr>
          <w:rFonts w:hint="eastAsia" w:ascii="宋体" w:hAnsi="宋体" w:cs="宋体"/>
          <w:sz w:val="28"/>
          <w:szCs w:val="28"/>
        </w:rPr>
        <w:t>ⅱ</w:t>
      </w:r>
      <w:r>
        <w:rPr>
          <w:rFonts w:eastAsia="仿宋_GB2312"/>
          <w:sz w:val="28"/>
          <w:szCs w:val="28"/>
        </w:rPr>
        <w:t>、计算出所有室内声源在围护结构处产生的i倍频带叠加声压级：</w:t>
      </w:r>
    </w:p>
    <w:p>
      <w:pPr>
        <w:pStyle w:val="33"/>
        <w:jc w:val="center"/>
      </w:pPr>
      <w:r>
        <w:rPr>
          <w:rFonts w:eastAsia="仿宋_GB2312"/>
        </w:rPr>
        <w:drawing>
          <wp:inline distT="0" distB="0" distL="0" distR="0">
            <wp:extent cx="2033905" cy="568325"/>
            <wp:effectExtent l="0" t="0" r="4445" b="3175"/>
            <wp:docPr id="1127" name="图片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 name="图片 112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2042807" cy="571183"/>
                    </a:xfrm>
                    <a:prstGeom prst="rect">
                      <a:avLst/>
                    </a:prstGeom>
                    <a:noFill/>
                    <a:ln>
                      <a:noFill/>
                    </a:ln>
                  </pic:spPr>
                </pic:pic>
              </a:graphicData>
            </a:graphic>
          </wp:inline>
        </w:drawing>
      </w:r>
    </w:p>
    <w:p>
      <w:pPr>
        <w:pStyle w:val="152"/>
        <w:spacing w:line="500" w:lineRule="exact"/>
        <w:ind w:firstLine="560"/>
        <w:rPr>
          <w:rFonts w:eastAsia="仿宋_GB2312"/>
          <w:sz w:val="28"/>
          <w:szCs w:val="28"/>
        </w:rPr>
      </w:pPr>
      <w:r>
        <w:rPr>
          <w:rFonts w:eastAsia="仿宋_GB2312"/>
          <w:sz w:val="28"/>
          <w:szCs w:val="28"/>
        </w:rPr>
        <w:t>式中：</w:t>
      </w:r>
      <w:r>
        <w:rPr>
          <w:rFonts w:eastAsia="仿宋_GB2312"/>
          <w:i/>
          <w:iCs/>
          <w:sz w:val="28"/>
          <w:szCs w:val="28"/>
        </w:rPr>
        <w:t>L</w:t>
      </w:r>
      <w:r>
        <w:rPr>
          <w:rFonts w:eastAsia="仿宋_GB2312"/>
          <w:i/>
          <w:iCs/>
          <w:sz w:val="28"/>
          <w:szCs w:val="28"/>
          <w:vertAlign w:val="subscript"/>
        </w:rPr>
        <w:t>pli</w:t>
      </w:r>
      <w:r>
        <w:rPr>
          <w:rFonts w:eastAsia="仿宋_GB2312"/>
          <w:sz w:val="28"/>
          <w:szCs w:val="28"/>
          <w:vertAlign w:val="subscript"/>
        </w:rPr>
        <w:t xml:space="preserve"> </w:t>
      </w:r>
      <w:r>
        <w:rPr>
          <w:rFonts w:eastAsia="仿宋_GB2312"/>
          <w:sz w:val="28"/>
          <w:szCs w:val="28"/>
        </w:rPr>
        <w:t>(T)—靠近围护结构处室内N个声源</w:t>
      </w:r>
      <w:r>
        <w:rPr>
          <w:rFonts w:eastAsia="仿宋_GB2312"/>
          <w:i/>
          <w:iCs/>
          <w:sz w:val="28"/>
          <w:szCs w:val="28"/>
        </w:rPr>
        <w:t>i</w:t>
      </w:r>
      <w:r>
        <w:rPr>
          <w:rFonts w:eastAsia="仿宋_GB2312"/>
          <w:sz w:val="28"/>
          <w:szCs w:val="28"/>
        </w:rPr>
        <w:t>倍频带的叠加声压级，dB；</w:t>
      </w:r>
    </w:p>
    <w:p>
      <w:pPr>
        <w:pStyle w:val="152"/>
        <w:spacing w:line="500" w:lineRule="exact"/>
        <w:ind w:firstLine="560"/>
        <w:rPr>
          <w:rFonts w:eastAsia="仿宋_GB2312"/>
          <w:sz w:val="28"/>
          <w:szCs w:val="28"/>
        </w:rPr>
      </w:pPr>
      <w:r>
        <w:rPr>
          <w:rFonts w:eastAsia="仿宋_GB2312"/>
          <w:i/>
          <w:iCs/>
          <w:sz w:val="28"/>
          <w:szCs w:val="28"/>
        </w:rPr>
        <w:t>L</w:t>
      </w:r>
      <w:r>
        <w:rPr>
          <w:rFonts w:eastAsia="仿宋_GB2312"/>
          <w:i/>
          <w:iCs/>
          <w:sz w:val="28"/>
          <w:szCs w:val="28"/>
          <w:vertAlign w:val="subscript"/>
        </w:rPr>
        <w:t>plij</w:t>
      </w:r>
      <w:r>
        <w:rPr>
          <w:rFonts w:eastAsia="仿宋_GB2312"/>
          <w:sz w:val="28"/>
          <w:szCs w:val="28"/>
        </w:rPr>
        <w:t>—室内</w:t>
      </w:r>
      <w:r>
        <w:rPr>
          <w:rFonts w:eastAsia="仿宋_GB2312"/>
          <w:i/>
          <w:iCs/>
          <w:sz w:val="28"/>
          <w:szCs w:val="28"/>
        </w:rPr>
        <w:t>j</w:t>
      </w:r>
      <w:r>
        <w:rPr>
          <w:rFonts w:eastAsia="仿宋_GB2312"/>
          <w:sz w:val="28"/>
          <w:szCs w:val="28"/>
        </w:rPr>
        <w:t>声源</w:t>
      </w:r>
      <w:r>
        <w:rPr>
          <w:rFonts w:eastAsia="仿宋_GB2312"/>
          <w:i/>
          <w:iCs/>
          <w:sz w:val="28"/>
          <w:szCs w:val="28"/>
        </w:rPr>
        <w:t>i</w:t>
      </w:r>
      <w:r>
        <w:rPr>
          <w:rFonts w:eastAsia="仿宋_GB2312"/>
          <w:sz w:val="28"/>
          <w:szCs w:val="28"/>
        </w:rPr>
        <w:t>倍频带的声压级，dB；</w:t>
      </w:r>
    </w:p>
    <w:p>
      <w:pPr>
        <w:pStyle w:val="152"/>
        <w:spacing w:line="500" w:lineRule="exact"/>
        <w:ind w:firstLine="560"/>
        <w:rPr>
          <w:rFonts w:eastAsia="仿宋_GB2312"/>
          <w:sz w:val="28"/>
          <w:szCs w:val="28"/>
        </w:rPr>
      </w:pPr>
      <w:r>
        <w:rPr>
          <w:rFonts w:eastAsia="仿宋_GB2312"/>
          <w:i/>
          <w:iCs/>
          <w:sz w:val="28"/>
          <w:szCs w:val="28"/>
        </w:rPr>
        <w:t>N</w:t>
      </w:r>
      <w:r>
        <w:rPr>
          <w:rFonts w:eastAsia="仿宋_GB2312"/>
          <w:sz w:val="28"/>
          <w:szCs w:val="28"/>
        </w:rPr>
        <w:t>—室内声源总数。</w:t>
      </w:r>
    </w:p>
    <w:p>
      <w:pPr>
        <w:pStyle w:val="152"/>
        <w:spacing w:line="500" w:lineRule="exact"/>
        <w:ind w:firstLine="560"/>
        <w:rPr>
          <w:rFonts w:eastAsia="仿宋_GB2312"/>
          <w:sz w:val="28"/>
          <w:szCs w:val="28"/>
        </w:rPr>
      </w:pPr>
      <w:r>
        <w:rPr>
          <w:rFonts w:hint="eastAsia" w:ascii="宋体" w:hAnsi="宋体" w:cs="宋体"/>
          <w:sz w:val="28"/>
          <w:szCs w:val="28"/>
        </w:rPr>
        <w:t>ⅲ</w:t>
      </w:r>
      <w:r>
        <w:rPr>
          <w:rFonts w:eastAsia="仿宋_GB2312"/>
          <w:sz w:val="28"/>
          <w:szCs w:val="28"/>
        </w:rPr>
        <w:t>、在室内近似为扩散声场时，按下式计算出靠近室外围护结构处的声压级：</w:t>
      </w:r>
    </w:p>
    <w:p>
      <w:pPr>
        <w:pStyle w:val="45"/>
        <w:jc w:val="center"/>
      </w:pPr>
      <w:r>
        <w:rPr>
          <w:rFonts w:eastAsia="仿宋_GB2312"/>
        </w:rPr>
        <w:drawing>
          <wp:inline distT="0" distB="0" distL="0" distR="0">
            <wp:extent cx="2320290" cy="349250"/>
            <wp:effectExtent l="0" t="0" r="3810" b="0"/>
            <wp:docPr id="1128" name="图片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 name="图片 112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2340856" cy="352839"/>
                    </a:xfrm>
                    <a:prstGeom prst="rect">
                      <a:avLst/>
                    </a:prstGeom>
                    <a:noFill/>
                    <a:ln>
                      <a:noFill/>
                    </a:ln>
                  </pic:spPr>
                </pic:pic>
              </a:graphicData>
            </a:graphic>
          </wp:inline>
        </w:drawing>
      </w:r>
    </w:p>
    <w:p>
      <w:pPr>
        <w:pStyle w:val="152"/>
        <w:spacing w:line="500" w:lineRule="exact"/>
        <w:ind w:firstLine="560"/>
        <w:rPr>
          <w:rFonts w:eastAsia="仿宋_GB2312"/>
          <w:sz w:val="28"/>
          <w:szCs w:val="28"/>
        </w:rPr>
      </w:pPr>
      <w:r>
        <w:rPr>
          <w:rFonts w:eastAsia="仿宋_GB2312"/>
          <w:sz w:val="28"/>
          <w:szCs w:val="28"/>
        </w:rPr>
        <w:t xml:space="preserve">式中： </w:t>
      </w:r>
      <w:r>
        <w:rPr>
          <w:rFonts w:eastAsia="仿宋_GB2312"/>
          <w:i/>
          <w:iCs/>
          <w:sz w:val="28"/>
          <w:szCs w:val="28"/>
        </w:rPr>
        <w:t>L</w:t>
      </w:r>
      <w:r>
        <w:rPr>
          <w:rFonts w:eastAsia="仿宋_GB2312"/>
          <w:i/>
          <w:iCs/>
          <w:sz w:val="28"/>
          <w:szCs w:val="28"/>
          <w:vertAlign w:val="subscript"/>
        </w:rPr>
        <w:t>p2i</w:t>
      </w:r>
      <w:r>
        <w:rPr>
          <w:rFonts w:eastAsia="仿宋_GB2312"/>
          <w:sz w:val="28"/>
          <w:szCs w:val="28"/>
        </w:rPr>
        <w:t>(T)—靠近围护结构处室外N个声源i倍频带的叠加声压级，dB；</w:t>
      </w:r>
    </w:p>
    <w:p>
      <w:pPr>
        <w:pStyle w:val="152"/>
        <w:spacing w:line="500" w:lineRule="exact"/>
        <w:ind w:firstLine="560"/>
        <w:rPr>
          <w:rFonts w:eastAsia="仿宋_GB2312"/>
          <w:sz w:val="28"/>
          <w:szCs w:val="28"/>
        </w:rPr>
      </w:pPr>
      <w:r>
        <w:rPr>
          <w:rFonts w:eastAsia="仿宋_GB2312"/>
          <w:i/>
          <w:iCs/>
          <w:sz w:val="28"/>
          <w:szCs w:val="28"/>
        </w:rPr>
        <w:t>L</w:t>
      </w:r>
      <w:r>
        <w:rPr>
          <w:rFonts w:eastAsia="仿宋_GB2312"/>
          <w:i/>
          <w:iCs/>
          <w:sz w:val="28"/>
          <w:szCs w:val="28"/>
          <w:vertAlign w:val="subscript"/>
        </w:rPr>
        <w:t>pli</w:t>
      </w:r>
      <w:r>
        <w:rPr>
          <w:rFonts w:eastAsia="仿宋_GB2312"/>
          <w:sz w:val="28"/>
          <w:szCs w:val="28"/>
        </w:rPr>
        <w:t>(T)—靠近围护结构处室内N个声源i倍频带的叠加声压级，dB；</w:t>
      </w:r>
    </w:p>
    <w:p>
      <w:pPr>
        <w:pStyle w:val="152"/>
        <w:spacing w:line="500" w:lineRule="exact"/>
        <w:ind w:firstLine="560"/>
        <w:rPr>
          <w:rFonts w:eastAsia="仿宋_GB2312"/>
          <w:sz w:val="28"/>
          <w:szCs w:val="28"/>
        </w:rPr>
      </w:pPr>
      <w:r>
        <w:rPr>
          <w:rFonts w:eastAsia="仿宋_GB2312"/>
          <w:i/>
          <w:iCs/>
          <w:sz w:val="28"/>
          <w:szCs w:val="28"/>
        </w:rPr>
        <w:t>TL</w:t>
      </w:r>
      <w:r>
        <w:rPr>
          <w:rFonts w:eastAsia="仿宋_GB2312"/>
          <w:i/>
          <w:iCs/>
          <w:sz w:val="28"/>
          <w:szCs w:val="28"/>
          <w:vertAlign w:val="subscript"/>
        </w:rPr>
        <w:t>i</w:t>
      </w:r>
      <w:r>
        <w:rPr>
          <w:rFonts w:eastAsia="仿宋_GB2312"/>
          <w:sz w:val="28"/>
          <w:szCs w:val="28"/>
        </w:rPr>
        <w:t>—围护结构i倍频带的隔声量，dB。</w:t>
      </w:r>
    </w:p>
    <w:p>
      <w:pPr>
        <w:pStyle w:val="152"/>
        <w:spacing w:line="500" w:lineRule="exact"/>
        <w:ind w:firstLine="560"/>
        <w:rPr>
          <w:rFonts w:eastAsia="仿宋_GB2312"/>
          <w:sz w:val="28"/>
          <w:szCs w:val="28"/>
        </w:rPr>
      </w:pPr>
      <w:r>
        <w:rPr>
          <w:rFonts w:eastAsia="仿宋_GB2312"/>
          <w:sz w:val="28"/>
          <w:szCs w:val="28"/>
        </w:rPr>
        <w:t>然后按式下式将室外声源的声压级和透过面积换算成等效的室外声源，计算出中心位置位于透声面积（S）处的等效声源的倍频带声功率级。</w:t>
      </w:r>
    </w:p>
    <w:p>
      <w:pPr>
        <w:pStyle w:val="45"/>
        <w:jc w:val="center"/>
      </w:pPr>
      <w:r>
        <w:rPr>
          <w:rFonts w:eastAsia="仿宋_GB2312"/>
        </w:rPr>
        <w:drawing>
          <wp:inline distT="0" distB="0" distL="0" distR="0">
            <wp:extent cx="2335530" cy="306070"/>
            <wp:effectExtent l="0" t="0" r="7620" b="0"/>
            <wp:docPr id="1129" name="图片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 name="图片 112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2440766" cy="320069"/>
                    </a:xfrm>
                    <a:prstGeom prst="rect">
                      <a:avLst/>
                    </a:prstGeom>
                    <a:noFill/>
                    <a:ln>
                      <a:noFill/>
                    </a:ln>
                  </pic:spPr>
                </pic:pic>
              </a:graphicData>
            </a:graphic>
          </wp:inline>
        </w:drawing>
      </w:r>
    </w:p>
    <w:p>
      <w:pPr>
        <w:pStyle w:val="152"/>
        <w:spacing w:line="500" w:lineRule="exact"/>
        <w:ind w:firstLine="560"/>
        <w:rPr>
          <w:rFonts w:eastAsia="仿宋_GB2312"/>
          <w:sz w:val="28"/>
          <w:szCs w:val="28"/>
        </w:rPr>
      </w:pPr>
      <w:r>
        <w:rPr>
          <w:rFonts w:eastAsia="仿宋_GB2312"/>
          <w:sz w:val="28"/>
          <w:szCs w:val="28"/>
        </w:rPr>
        <w:t xml:space="preserve">式中: </w:t>
      </w:r>
      <w:r>
        <w:rPr>
          <w:rFonts w:eastAsia="仿宋_GB2312"/>
          <w:i/>
          <w:iCs/>
          <w:sz w:val="28"/>
          <w:szCs w:val="28"/>
        </w:rPr>
        <w:t>Lw</w:t>
      </w:r>
      <w:r>
        <w:rPr>
          <w:rFonts w:eastAsia="仿宋_GB2312"/>
          <w:sz w:val="28"/>
          <w:szCs w:val="28"/>
        </w:rPr>
        <w:t>—中心位置位于透声面积(S)处的等效声源的倍频带声功率级，dB；</w:t>
      </w:r>
    </w:p>
    <w:p>
      <w:pPr>
        <w:pStyle w:val="152"/>
        <w:spacing w:line="500" w:lineRule="exact"/>
        <w:ind w:firstLine="1260" w:firstLineChars="450"/>
        <w:rPr>
          <w:rFonts w:eastAsia="仿宋_GB2312"/>
          <w:sz w:val="28"/>
          <w:szCs w:val="28"/>
        </w:rPr>
      </w:pPr>
      <w:r>
        <w:rPr>
          <w:rFonts w:eastAsia="仿宋_GB2312"/>
          <w:i/>
          <w:iCs/>
          <w:sz w:val="28"/>
          <w:szCs w:val="28"/>
        </w:rPr>
        <w:t>L</w:t>
      </w:r>
      <w:r>
        <w:rPr>
          <w:rFonts w:eastAsia="仿宋_GB2312"/>
          <w:i/>
          <w:iCs/>
          <w:sz w:val="28"/>
          <w:szCs w:val="28"/>
          <w:vertAlign w:val="subscript"/>
        </w:rPr>
        <w:t>p2</w:t>
      </w:r>
      <w:r>
        <w:rPr>
          <w:rFonts w:eastAsia="仿宋_GB2312"/>
          <w:sz w:val="28"/>
          <w:szCs w:val="28"/>
        </w:rPr>
        <w:t>(T)—靠近围护结构处室外声源的声压级，dB；</w:t>
      </w:r>
    </w:p>
    <w:p>
      <w:pPr>
        <w:pStyle w:val="152"/>
        <w:spacing w:line="500" w:lineRule="exact"/>
        <w:ind w:firstLine="1260" w:firstLineChars="450"/>
        <w:rPr>
          <w:rFonts w:eastAsia="仿宋_GB2312"/>
          <w:sz w:val="28"/>
          <w:szCs w:val="28"/>
        </w:rPr>
      </w:pPr>
      <w:r>
        <w:rPr>
          <w:rFonts w:eastAsia="仿宋_GB2312"/>
          <w:sz w:val="28"/>
          <w:szCs w:val="28"/>
        </w:rPr>
        <w:t>S—透声面积，m</w:t>
      </w:r>
      <w:r>
        <w:rPr>
          <w:rFonts w:eastAsia="仿宋_GB2312"/>
          <w:sz w:val="28"/>
          <w:szCs w:val="28"/>
          <w:vertAlign w:val="superscript"/>
        </w:rPr>
        <w:t>2</w:t>
      </w:r>
      <w:r>
        <w:rPr>
          <w:rFonts w:eastAsia="仿宋_GB2312"/>
          <w:sz w:val="28"/>
          <w:szCs w:val="28"/>
        </w:rPr>
        <w:t>。</w:t>
      </w:r>
    </w:p>
    <w:p>
      <w:pPr>
        <w:pStyle w:val="152"/>
        <w:spacing w:line="500" w:lineRule="exact"/>
        <w:ind w:firstLine="478" w:firstLineChars="171"/>
        <w:rPr>
          <w:rFonts w:eastAsia="仿宋_GB2312"/>
          <w:sz w:val="28"/>
          <w:szCs w:val="28"/>
        </w:rPr>
      </w:pPr>
      <w:r>
        <w:rPr>
          <w:rFonts w:eastAsia="仿宋_GB2312"/>
          <w:sz w:val="28"/>
          <w:szCs w:val="28"/>
        </w:rPr>
        <w:t>根据《环境影响评价技术导则 声环境》(HJ2.4-2021)中建设项目声环境影响评价表格要求：工业企业噪声源强调查清单（室内声源）如下表所示：</w:t>
      </w:r>
    </w:p>
    <w:p>
      <w:pPr>
        <w:pStyle w:val="152"/>
        <w:spacing w:line="500" w:lineRule="exact"/>
        <w:ind w:firstLine="412" w:firstLineChars="171"/>
        <w:jc w:val="center"/>
        <w:rPr>
          <w:rFonts w:eastAsia="仿宋_GB2312"/>
          <w:b/>
        </w:rPr>
        <w:sectPr>
          <w:pgSz w:w="11906" w:h="16838"/>
          <w:pgMar w:top="1440" w:right="1797" w:bottom="1440" w:left="1797" w:header="539" w:footer="992" w:gutter="0"/>
          <w:cols w:space="720" w:num="1"/>
          <w:docGrid w:linePitch="286" w:charSpace="0"/>
        </w:sectPr>
      </w:pPr>
    </w:p>
    <w:p>
      <w:pPr>
        <w:pStyle w:val="152"/>
        <w:spacing w:line="500" w:lineRule="exact"/>
        <w:ind w:firstLine="412" w:firstLineChars="171"/>
        <w:jc w:val="center"/>
        <w:rPr>
          <w:rFonts w:eastAsia="仿宋_GB2312"/>
          <w:b/>
          <w:bCs/>
        </w:rPr>
      </w:pPr>
      <w:r>
        <w:rPr>
          <w:rFonts w:eastAsia="仿宋_GB2312"/>
          <w:b/>
        </w:rPr>
        <w:t xml:space="preserve">表5.2-21   </w:t>
      </w:r>
      <w:r>
        <w:rPr>
          <w:rFonts w:eastAsia="仿宋_GB2312"/>
          <w:b/>
          <w:bCs/>
        </w:rPr>
        <w:t>工业企业噪声源强调查清单（室内声源）</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724"/>
        <w:gridCol w:w="1276"/>
        <w:gridCol w:w="954"/>
        <w:gridCol w:w="1227"/>
        <w:gridCol w:w="904"/>
        <w:gridCol w:w="898"/>
        <w:gridCol w:w="899"/>
        <w:gridCol w:w="899"/>
        <w:gridCol w:w="905"/>
        <w:gridCol w:w="921"/>
        <w:gridCol w:w="905"/>
        <w:gridCol w:w="921"/>
        <w:gridCol w:w="921"/>
        <w:gridCol w:w="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89" w:type="dxa"/>
            <w:vMerge w:val="restart"/>
            <w:vAlign w:val="center"/>
          </w:tcPr>
          <w:p>
            <w:pPr>
              <w:spacing w:line="240" w:lineRule="atLeast"/>
              <w:jc w:val="center"/>
              <w:rPr>
                <w:rFonts w:ascii="仿宋" w:hAnsi="仿宋" w:eastAsia="仿宋" w:cs="仿宋"/>
                <w:bCs/>
                <w:szCs w:val="21"/>
              </w:rPr>
            </w:pPr>
            <w:r>
              <w:rPr>
                <w:rFonts w:ascii="仿宋" w:hAnsi="仿宋" w:eastAsia="仿宋" w:cs="仿宋"/>
                <w:bCs/>
                <w:szCs w:val="21"/>
              </w:rPr>
              <w:t>序号</w:t>
            </w:r>
          </w:p>
        </w:tc>
        <w:tc>
          <w:tcPr>
            <w:tcW w:w="724" w:type="dxa"/>
            <w:vMerge w:val="restart"/>
            <w:vAlign w:val="center"/>
          </w:tcPr>
          <w:p>
            <w:pPr>
              <w:spacing w:line="240" w:lineRule="atLeast"/>
              <w:jc w:val="center"/>
              <w:rPr>
                <w:rFonts w:ascii="仿宋" w:hAnsi="仿宋" w:eastAsia="仿宋" w:cs="仿宋"/>
                <w:bCs/>
                <w:szCs w:val="21"/>
              </w:rPr>
            </w:pPr>
            <w:r>
              <w:rPr>
                <w:rFonts w:ascii="仿宋" w:hAnsi="仿宋" w:eastAsia="仿宋" w:cs="仿宋"/>
                <w:bCs/>
                <w:szCs w:val="21"/>
              </w:rPr>
              <w:t>建筑物名称</w:t>
            </w:r>
          </w:p>
        </w:tc>
        <w:tc>
          <w:tcPr>
            <w:tcW w:w="1276" w:type="dxa"/>
            <w:vMerge w:val="restart"/>
            <w:vAlign w:val="center"/>
          </w:tcPr>
          <w:p>
            <w:pPr>
              <w:spacing w:line="240" w:lineRule="atLeast"/>
              <w:jc w:val="center"/>
              <w:rPr>
                <w:rFonts w:ascii="仿宋" w:hAnsi="仿宋" w:eastAsia="仿宋" w:cs="仿宋"/>
                <w:bCs/>
                <w:szCs w:val="21"/>
              </w:rPr>
            </w:pPr>
            <w:r>
              <w:rPr>
                <w:rFonts w:ascii="仿宋" w:hAnsi="仿宋" w:eastAsia="仿宋" w:cs="仿宋"/>
                <w:bCs/>
                <w:szCs w:val="21"/>
              </w:rPr>
              <w:t>声源名称</w:t>
            </w:r>
          </w:p>
        </w:tc>
        <w:tc>
          <w:tcPr>
            <w:tcW w:w="954" w:type="dxa"/>
            <w:vMerge w:val="restart"/>
            <w:vAlign w:val="center"/>
          </w:tcPr>
          <w:p>
            <w:pPr>
              <w:spacing w:line="240" w:lineRule="atLeast"/>
              <w:jc w:val="center"/>
              <w:rPr>
                <w:rFonts w:ascii="仿宋" w:hAnsi="仿宋" w:eastAsia="仿宋" w:cs="仿宋"/>
                <w:bCs/>
                <w:szCs w:val="21"/>
              </w:rPr>
            </w:pPr>
            <w:r>
              <w:rPr>
                <w:rFonts w:ascii="仿宋" w:hAnsi="仿宋" w:eastAsia="仿宋" w:cs="仿宋"/>
                <w:bCs/>
                <w:szCs w:val="21"/>
              </w:rPr>
              <w:t>型号</w:t>
            </w:r>
          </w:p>
        </w:tc>
        <w:tc>
          <w:tcPr>
            <w:tcW w:w="1227" w:type="dxa"/>
            <w:vAlign w:val="center"/>
          </w:tcPr>
          <w:p>
            <w:pPr>
              <w:spacing w:line="240" w:lineRule="atLeast"/>
              <w:jc w:val="center"/>
              <w:rPr>
                <w:rFonts w:ascii="仿宋" w:hAnsi="仿宋" w:eastAsia="仿宋" w:cs="仿宋"/>
                <w:bCs/>
                <w:szCs w:val="21"/>
              </w:rPr>
            </w:pPr>
            <w:r>
              <w:rPr>
                <w:rFonts w:ascii="仿宋" w:hAnsi="仿宋" w:eastAsia="仿宋" w:cs="仿宋"/>
                <w:bCs/>
                <w:szCs w:val="21"/>
              </w:rPr>
              <w:t>声源源强</w:t>
            </w:r>
          </w:p>
        </w:tc>
        <w:tc>
          <w:tcPr>
            <w:tcW w:w="904" w:type="dxa"/>
            <w:vMerge w:val="restart"/>
            <w:vAlign w:val="center"/>
          </w:tcPr>
          <w:p>
            <w:pPr>
              <w:spacing w:line="240" w:lineRule="atLeast"/>
              <w:jc w:val="center"/>
              <w:rPr>
                <w:rFonts w:eastAsia="仿宋_GB2312"/>
                <w:b/>
                <w:bCs/>
              </w:rPr>
            </w:pPr>
            <w:r>
              <w:rPr>
                <w:rFonts w:ascii="仿宋" w:hAnsi="仿宋" w:eastAsia="仿宋" w:cs="仿宋"/>
                <w:bCs/>
                <w:szCs w:val="21"/>
              </w:rPr>
              <w:t>声源控制措施</w:t>
            </w:r>
          </w:p>
        </w:tc>
        <w:tc>
          <w:tcPr>
            <w:tcW w:w="2696" w:type="dxa"/>
            <w:gridSpan w:val="3"/>
          </w:tcPr>
          <w:p>
            <w:pPr>
              <w:pStyle w:val="152"/>
              <w:spacing w:line="500" w:lineRule="exact"/>
              <w:ind w:firstLine="0" w:firstLineChars="0"/>
              <w:jc w:val="center"/>
              <w:rPr>
                <w:rFonts w:eastAsia="仿宋_GB2312"/>
                <w:b/>
                <w:bCs/>
              </w:rPr>
            </w:pPr>
            <w:r>
              <w:rPr>
                <w:rFonts w:ascii="仿宋" w:hAnsi="仿宋" w:eastAsia="仿宋" w:cs="仿宋"/>
                <w:bCs/>
                <w:szCs w:val="21"/>
              </w:rPr>
              <w:t>空间相对位置</w:t>
            </w:r>
          </w:p>
        </w:tc>
        <w:tc>
          <w:tcPr>
            <w:tcW w:w="905" w:type="dxa"/>
            <w:vMerge w:val="restart"/>
            <w:vAlign w:val="center"/>
          </w:tcPr>
          <w:p>
            <w:pPr>
              <w:spacing w:line="240" w:lineRule="atLeast"/>
              <w:jc w:val="center"/>
              <w:rPr>
                <w:rFonts w:ascii="仿宋" w:hAnsi="仿宋" w:eastAsia="仿宋" w:cs="仿宋"/>
                <w:bCs/>
                <w:szCs w:val="21"/>
              </w:rPr>
            </w:pPr>
            <w:r>
              <w:rPr>
                <w:rFonts w:ascii="仿宋" w:hAnsi="仿宋" w:eastAsia="仿宋" w:cs="仿宋"/>
                <w:bCs/>
                <w:szCs w:val="21"/>
              </w:rPr>
              <w:t>距室内边界距离/m</w:t>
            </w:r>
          </w:p>
        </w:tc>
        <w:tc>
          <w:tcPr>
            <w:tcW w:w="921" w:type="dxa"/>
            <w:vMerge w:val="restart"/>
            <w:vAlign w:val="center"/>
          </w:tcPr>
          <w:p>
            <w:pPr>
              <w:spacing w:line="240" w:lineRule="atLeast"/>
              <w:jc w:val="center"/>
              <w:rPr>
                <w:rFonts w:ascii="仿宋" w:hAnsi="仿宋" w:eastAsia="仿宋" w:cs="仿宋"/>
                <w:bCs/>
                <w:szCs w:val="21"/>
              </w:rPr>
            </w:pPr>
            <w:r>
              <w:rPr>
                <w:rFonts w:ascii="仿宋" w:hAnsi="仿宋" w:eastAsia="仿宋" w:cs="仿宋"/>
                <w:bCs/>
                <w:szCs w:val="21"/>
              </w:rPr>
              <w:t>室内边界声级/dB（A）</w:t>
            </w:r>
          </w:p>
        </w:tc>
        <w:tc>
          <w:tcPr>
            <w:tcW w:w="905" w:type="dxa"/>
            <w:vMerge w:val="restart"/>
            <w:vAlign w:val="center"/>
          </w:tcPr>
          <w:p>
            <w:pPr>
              <w:spacing w:line="240" w:lineRule="atLeast"/>
              <w:jc w:val="center"/>
              <w:rPr>
                <w:rFonts w:ascii="仿宋" w:hAnsi="仿宋" w:eastAsia="仿宋" w:cs="仿宋"/>
                <w:bCs/>
                <w:szCs w:val="21"/>
              </w:rPr>
            </w:pPr>
            <w:r>
              <w:rPr>
                <w:rFonts w:ascii="仿宋" w:hAnsi="仿宋" w:eastAsia="仿宋" w:cs="仿宋"/>
                <w:bCs/>
                <w:szCs w:val="21"/>
              </w:rPr>
              <w:t>运行时段</w:t>
            </w:r>
          </w:p>
        </w:tc>
        <w:tc>
          <w:tcPr>
            <w:tcW w:w="921" w:type="dxa"/>
            <w:vMerge w:val="restart"/>
            <w:vAlign w:val="center"/>
          </w:tcPr>
          <w:p>
            <w:pPr>
              <w:spacing w:line="240" w:lineRule="atLeast"/>
              <w:jc w:val="center"/>
              <w:rPr>
                <w:rFonts w:ascii="仿宋" w:hAnsi="仿宋" w:eastAsia="仿宋" w:cs="仿宋"/>
                <w:bCs/>
                <w:szCs w:val="21"/>
              </w:rPr>
            </w:pPr>
            <w:r>
              <w:rPr>
                <w:rFonts w:ascii="仿宋" w:hAnsi="仿宋" w:eastAsia="仿宋" w:cs="仿宋"/>
                <w:bCs/>
                <w:szCs w:val="21"/>
              </w:rPr>
              <w:t>建筑物插入损失/dB（A）</w:t>
            </w:r>
          </w:p>
        </w:tc>
        <w:tc>
          <w:tcPr>
            <w:tcW w:w="1826" w:type="dxa"/>
            <w:gridSpan w:val="2"/>
          </w:tcPr>
          <w:p>
            <w:pPr>
              <w:pStyle w:val="152"/>
              <w:spacing w:line="500" w:lineRule="exact"/>
              <w:ind w:firstLine="0" w:firstLineChars="0"/>
              <w:jc w:val="center"/>
              <w:rPr>
                <w:rFonts w:eastAsia="仿宋_GB2312"/>
                <w:b/>
                <w:bCs/>
              </w:rPr>
            </w:pPr>
            <w:r>
              <w:rPr>
                <w:rFonts w:ascii="仿宋" w:hAnsi="仿宋" w:eastAsia="仿宋" w:cs="仿宋"/>
                <w:bCs/>
                <w:szCs w:val="21"/>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689" w:type="dxa"/>
            <w:vMerge w:val="continue"/>
            <w:vAlign w:val="center"/>
          </w:tcPr>
          <w:p>
            <w:pPr>
              <w:spacing w:line="240" w:lineRule="atLeast"/>
              <w:jc w:val="center"/>
              <w:rPr>
                <w:rFonts w:ascii="仿宋" w:hAnsi="仿宋" w:eastAsia="仿宋" w:cs="仿宋"/>
                <w:bCs/>
                <w:szCs w:val="21"/>
              </w:rPr>
            </w:pPr>
          </w:p>
        </w:tc>
        <w:tc>
          <w:tcPr>
            <w:tcW w:w="724" w:type="dxa"/>
            <w:vMerge w:val="continue"/>
            <w:vAlign w:val="center"/>
          </w:tcPr>
          <w:p>
            <w:pPr>
              <w:spacing w:line="240" w:lineRule="atLeast"/>
              <w:jc w:val="center"/>
              <w:rPr>
                <w:rFonts w:ascii="仿宋" w:hAnsi="仿宋" w:eastAsia="仿宋" w:cs="仿宋"/>
                <w:bCs/>
                <w:szCs w:val="21"/>
              </w:rPr>
            </w:pPr>
          </w:p>
        </w:tc>
        <w:tc>
          <w:tcPr>
            <w:tcW w:w="1276" w:type="dxa"/>
            <w:vMerge w:val="continue"/>
            <w:vAlign w:val="center"/>
          </w:tcPr>
          <w:p>
            <w:pPr>
              <w:spacing w:line="240" w:lineRule="atLeast"/>
              <w:jc w:val="center"/>
              <w:rPr>
                <w:rFonts w:ascii="仿宋" w:hAnsi="仿宋" w:eastAsia="仿宋" w:cs="仿宋"/>
                <w:bCs/>
                <w:szCs w:val="21"/>
              </w:rPr>
            </w:pPr>
          </w:p>
        </w:tc>
        <w:tc>
          <w:tcPr>
            <w:tcW w:w="954" w:type="dxa"/>
            <w:vMerge w:val="continue"/>
          </w:tcPr>
          <w:p>
            <w:pPr>
              <w:spacing w:line="240" w:lineRule="atLeast"/>
              <w:jc w:val="center"/>
              <w:rPr>
                <w:rFonts w:ascii="仿宋" w:hAnsi="仿宋" w:eastAsia="仿宋" w:cs="仿宋"/>
                <w:bCs/>
                <w:szCs w:val="21"/>
              </w:rPr>
            </w:pPr>
          </w:p>
        </w:tc>
        <w:tc>
          <w:tcPr>
            <w:tcW w:w="1227" w:type="dxa"/>
            <w:vAlign w:val="center"/>
          </w:tcPr>
          <w:p>
            <w:pPr>
              <w:spacing w:line="240" w:lineRule="atLeast"/>
              <w:jc w:val="center"/>
              <w:rPr>
                <w:rFonts w:ascii="仿宋" w:hAnsi="仿宋" w:eastAsia="仿宋" w:cs="仿宋"/>
                <w:bCs/>
                <w:szCs w:val="21"/>
              </w:rPr>
            </w:pPr>
            <w:r>
              <w:rPr>
                <w:rFonts w:ascii="仿宋" w:hAnsi="仿宋" w:eastAsia="仿宋" w:cs="仿宋"/>
                <w:bCs/>
                <w:szCs w:val="21"/>
              </w:rPr>
              <w:t>声功率级/dB（A）</w:t>
            </w:r>
          </w:p>
        </w:tc>
        <w:tc>
          <w:tcPr>
            <w:tcW w:w="904" w:type="dxa"/>
            <w:vMerge w:val="continue"/>
          </w:tcPr>
          <w:p>
            <w:pPr>
              <w:pStyle w:val="152"/>
              <w:spacing w:line="500" w:lineRule="exact"/>
              <w:ind w:firstLine="0" w:firstLineChars="0"/>
              <w:jc w:val="center"/>
              <w:rPr>
                <w:rFonts w:eastAsia="仿宋_GB2312"/>
                <w:b/>
                <w:bCs/>
              </w:rPr>
            </w:pPr>
          </w:p>
        </w:tc>
        <w:tc>
          <w:tcPr>
            <w:tcW w:w="898" w:type="dxa"/>
            <w:vAlign w:val="center"/>
          </w:tcPr>
          <w:p>
            <w:pPr>
              <w:spacing w:line="240" w:lineRule="atLeast"/>
              <w:jc w:val="center"/>
              <w:rPr>
                <w:rFonts w:ascii="仿宋" w:hAnsi="仿宋" w:eastAsia="仿宋" w:cs="仿宋"/>
                <w:bCs/>
                <w:szCs w:val="21"/>
              </w:rPr>
            </w:pPr>
            <w:r>
              <w:rPr>
                <w:rFonts w:ascii="仿宋" w:hAnsi="仿宋" w:eastAsia="仿宋" w:cs="仿宋"/>
                <w:bCs/>
                <w:szCs w:val="21"/>
              </w:rPr>
              <w:t>X</w:t>
            </w:r>
          </w:p>
        </w:tc>
        <w:tc>
          <w:tcPr>
            <w:tcW w:w="899" w:type="dxa"/>
            <w:vAlign w:val="center"/>
          </w:tcPr>
          <w:p>
            <w:pPr>
              <w:spacing w:line="240" w:lineRule="atLeast"/>
              <w:jc w:val="center"/>
              <w:rPr>
                <w:rFonts w:ascii="仿宋" w:hAnsi="仿宋" w:eastAsia="仿宋" w:cs="仿宋"/>
                <w:bCs/>
                <w:szCs w:val="21"/>
              </w:rPr>
            </w:pPr>
            <w:r>
              <w:rPr>
                <w:rFonts w:ascii="仿宋" w:hAnsi="仿宋" w:eastAsia="仿宋" w:cs="仿宋"/>
                <w:bCs/>
                <w:szCs w:val="21"/>
              </w:rPr>
              <w:t>Y</w:t>
            </w:r>
          </w:p>
        </w:tc>
        <w:tc>
          <w:tcPr>
            <w:tcW w:w="899" w:type="dxa"/>
            <w:vAlign w:val="center"/>
          </w:tcPr>
          <w:p>
            <w:pPr>
              <w:spacing w:line="240" w:lineRule="atLeast"/>
              <w:jc w:val="center"/>
              <w:rPr>
                <w:rFonts w:ascii="仿宋" w:hAnsi="仿宋" w:eastAsia="仿宋" w:cs="仿宋"/>
                <w:bCs/>
                <w:szCs w:val="21"/>
              </w:rPr>
            </w:pPr>
            <w:r>
              <w:rPr>
                <w:rFonts w:ascii="仿宋" w:hAnsi="仿宋" w:eastAsia="仿宋" w:cs="仿宋"/>
                <w:bCs/>
                <w:szCs w:val="21"/>
              </w:rPr>
              <w:t>Z</w:t>
            </w:r>
          </w:p>
        </w:tc>
        <w:tc>
          <w:tcPr>
            <w:tcW w:w="905" w:type="dxa"/>
            <w:vMerge w:val="continue"/>
          </w:tcPr>
          <w:p>
            <w:pPr>
              <w:pStyle w:val="152"/>
              <w:spacing w:line="500" w:lineRule="exact"/>
              <w:ind w:firstLine="0" w:firstLineChars="0"/>
              <w:jc w:val="center"/>
              <w:rPr>
                <w:rFonts w:eastAsia="仿宋_GB2312"/>
                <w:b/>
                <w:bCs/>
              </w:rPr>
            </w:pPr>
          </w:p>
        </w:tc>
        <w:tc>
          <w:tcPr>
            <w:tcW w:w="921" w:type="dxa"/>
            <w:vMerge w:val="continue"/>
          </w:tcPr>
          <w:p>
            <w:pPr>
              <w:pStyle w:val="152"/>
              <w:spacing w:line="500" w:lineRule="exact"/>
              <w:ind w:firstLine="0" w:firstLineChars="0"/>
              <w:jc w:val="center"/>
              <w:rPr>
                <w:rFonts w:eastAsia="仿宋_GB2312"/>
                <w:b/>
                <w:bCs/>
              </w:rPr>
            </w:pPr>
          </w:p>
        </w:tc>
        <w:tc>
          <w:tcPr>
            <w:tcW w:w="905" w:type="dxa"/>
            <w:vMerge w:val="continue"/>
          </w:tcPr>
          <w:p>
            <w:pPr>
              <w:pStyle w:val="152"/>
              <w:spacing w:line="500" w:lineRule="exact"/>
              <w:ind w:firstLine="0" w:firstLineChars="0"/>
              <w:jc w:val="center"/>
              <w:rPr>
                <w:rFonts w:eastAsia="仿宋_GB2312"/>
                <w:b/>
                <w:bCs/>
              </w:rPr>
            </w:pPr>
          </w:p>
        </w:tc>
        <w:tc>
          <w:tcPr>
            <w:tcW w:w="921" w:type="dxa"/>
            <w:vMerge w:val="continue"/>
          </w:tcPr>
          <w:p>
            <w:pPr>
              <w:pStyle w:val="152"/>
              <w:spacing w:line="500" w:lineRule="exact"/>
              <w:ind w:firstLine="0" w:firstLineChars="0"/>
              <w:jc w:val="center"/>
              <w:rPr>
                <w:rFonts w:eastAsia="仿宋_GB2312"/>
                <w:b/>
                <w:bCs/>
              </w:rPr>
            </w:pPr>
          </w:p>
        </w:tc>
        <w:tc>
          <w:tcPr>
            <w:tcW w:w="921" w:type="dxa"/>
            <w:vAlign w:val="center"/>
          </w:tcPr>
          <w:p>
            <w:pPr>
              <w:spacing w:line="240" w:lineRule="atLeast"/>
              <w:jc w:val="center"/>
              <w:rPr>
                <w:rFonts w:ascii="仿宋" w:hAnsi="仿宋" w:eastAsia="仿宋" w:cs="仿宋"/>
                <w:bCs/>
                <w:szCs w:val="21"/>
              </w:rPr>
            </w:pPr>
            <w:r>
              <w:rPr>
                <w:rFonts w:ascii="仿宋" w:hAnsi="仿宋" w:eastAsia="仿宋" w:cs="仿宋"/>
                <w:bCs/>
                <w:szCs w:val="21"/>
              </w:rPr>
              <w:t>声压级/dB（A）</w:t>
            </w:r>
          </w:p>
        </w:tc>
        <w:tc>
          <w:tcPr>
            <w:tcW w:w="905" w:type="dxa"/>
            <w:vAlign w:val="center"/>
          </w:tcPr>
          <w:p>
            <w:pPr>
              <w:spacing w:line="240" w:lineRule="atLeast"/>
              <w:jc w:val="center"/>
              <w:rPr>
                <w:rFonts w:ascii="仿宋" w:hAnsi="仿宋" w:eastAsia="仿宋" w:cs="仿宋"/>
                <w:bCs/>
                <w:szCs w:val="21"/>
              </w:rPr>
            </w:pPr>
            <w:r>
              <w:rPr>
                <w:rFonts w:ascii="仿宋" w:hAnsi="仿宋" w:eastAsia="仿宋" w:cs="仿宋"/>
                <w:bCs/>
                <w:szCs w:val="21"/>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689" w:type="dxa"/>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1</w:t>
            </w:r>
          </w:p>
        </w:tc>
        <w:tc>
          <w:tcPr>
            <w:tcW w:w="724" w:type="dxa"/>
            <w:vMerge w:val="restart"/>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车间</w:t>
            </w:r>
          </w:p>
        </w:tc>
        <w:tc>
          <w:tcPr>
            <w:tcW w:w="1276" w:type="dxa"/>
            <w:vAlign w:val="center"/>
          </w:tcPr>
          <w:p>
            <w:pPr>
              <w:spacing w:line="240" w:lineRule="atLeast"/>
              <w:jc w:val="center"/>
              <w:rPr>
                <w:rFonts w:eastAsia="仿宋_GB2312" w:cs="仿宋"/>
                <w:bCs/>
                <w:szCs w:val="21"/>
              </w:rPr>
            </w:pPr>
            <w:r>
              <w:rPr>
                <w:rFonts w:ascii="仿宋" w:hAnsi="仿宋" w:eastAsia="仿宋" w:cs="仿宋"/>
                <w:bCs/>
                <w:szCs w:val="21"/>
              </w:rPr>
              <w:t>自动精密涂布生产线</w:t>
            </w:r>
          </w:p>
        </w:tc>
        <w:tc>
          <w:tcPr>
            <w:tcW w:w="954" w:type="dxa"/>
            <w:vAlign w:val="center"/>
          </w:tcPr>
          <w:p>
            <w:pPr>
              <w:jc w:val="center"/>
              <w:rPr>
                <w:rFonts w:ascii="仿宋" w:hAnsi="仿宋" w:eastAsia="仿宋" w:cs="仿宋"/>
                <w:bCs/>
                <w:szCs w:val="21"/>
              </w:rPr>
            </w:pPr>
            <w:r>
              <w:rPr>
                <w:rFonts w:hint="eastAsia" w:ascii="仿宋" w:hAnsi="仿宋" w:eastAsia="仿宋" w:cs="仿宋"/>
                <w:bCs/>
                <w:szCs w:val="21"/>
              </w:rPr>
              <w:t>1320型</w:t>
            </w:r>
          </w:p>
        </w:tc>
        <w:tc>
          <w:tcPr>
            <w:tcW w:w="1227" w:type="dxa"/>
            <w:vAlign w:val="center"/>
          </w:tcPr>
          <w:p>
            <w:pPr>
              <w:spacing w:line="240" w:lineRule="atLeast"/>
              <w:jc w:val="center"/>
              <w:rPr>
                <w:rFonts w:eastAsia="仿宋_GB2312"/>
                <w:kern w:val="0"/>
                <w:szCs w:val="21"/>
              </w:rPr>
            </w:pPr>
            <w:r>
              <w:rPr>
                <w:rFonts w:hint="eastAsia" w:eastAsia="仿宋_GB2312"/>
                <w:kern w:val="0"/>
                <w:szCs w:val="21"/>
              </w:rPr>
              <w:t>74</w:t>
            </w:r>
          </w:p>
        </w:tc>
        <w:tc>
          <w:tcPr>
            <w:tcW w:w="904" w:type="dxa"/>
            <w:vMerge w:val="restart"/>
          </w:tcPr>
          <w:p>
            <w:pPr>
              <w:tabs>
                <w:tab w:val="center" w:pos="900"/>
              </w:tabs>
              <w:jc w:val="center"/>
              <w:rPr>
                <w:rFonts w:ascii="仿宋" w:hAnsi="仿宋" w:eastAsia="仿宋" w:cs="仿宋"/>
                <w:bCs/>
                <w:szCs w:val="21"/>
              </w:rPr>
            </w:pPr>
            <w:r>
              <w:rPr>
                <w:rFonts w:ascii="仿宋" w:hAnsi="仿宋" w:eastAsia="仿宋" w:cs="仿宋"/>
                <w:bCs/>
                <w:szCs w:val="21"/>
              </w:rPr>
              <w:t>建筑物隔声，距离衰减</w:t>
            </w:r>
          </w:p>
        </w:tc>
        <w:tc>
          <w:tcPr>
            <w:tcW w:w="898" w:type="dxa"/>
            <w:vAlign w:val="center"/>
          </w:tcPr>
          <w:p>
            <w:pPr>
              <w:spacing w:line="240" w:lineRule="atLeast"/>
              <w:jc w:val="center"/>
              <w:rPr>
                <w:rFonts w:eastAsia="仿宋_GB2312"/>
                <w:szCs w:val="21"/>
              </w:rPr>
            </w:pPr>
            <w:r>
              <w:rPr>
                <w:rFonts w:hint="eastAsia" w:eastAsia="仿宋_GB2312" w:cs="仿宋"/>
                <w:bCs/>
                <w:szCs w:val="21"/>
              </w:rPr>
              <w:t>34.14</w:t>
            </w:r>
          </w:p>
        </w:tc>
        <w:tc>
          <w:tcPr>
            <w:tcW w:w="899" w:type="dxa"/>
            <w:vAlign w:val="center"/>
          </w:tcPr>
          <w:p>
            <w:pPr>
              <w:spacing w:line="240" w:lineRule="atLeast"/>
              <w:jc w:val="center"/>
              <w:rPr>
                <w:rFonts w:eastAsia="仿宋_GB2312"/>
                <w:szCs w:val="21"/>
              </w:rPr>
            </w:pPr>
            <w:r>
              <w:rPr>
                <w:rFonts w:hint="eastAsia" w:eastAsia="仿宋_GB2312" w:cs="仿宋"/>
                <w:bCs/>
                <w:szCs w:val="21"/>
              </w:rPr>
              <w:t>121.91</w:t>
            </w:r>
          </w:p>
        </w:tc>
        <w:tc>
          <w:tcPr>
            <w:tcW w:w="899" w:type="dxa"/>
            <w:vAlign w:val="center"/>
          </w:tcPr>
          <w:p>
            <w:pPr>
              <w:spacing w:line="240" w:lineRule="atLeast"/>
              <w:jc w:val="center"/>
              <w:rPr>
                <w:rFonts w:eastAsia="仿宋_GB2312"/>
                <w:szCs w:val="21"/>
              </w:rPr>
            </w:pPr>
            <w:r>
              <w:rPr>
                <w:rFonts w:hint="eastAsia" w:eastAsia="仿宋_GB2312" w:cs="仿宋"/>
                <w:bCs/>
                <w:szCs w:val="21"/>
              </w:rPr>
              <w:t>0</w:t>
            </w:r>
          </w:p>
        </w:tc>
        <w:tc>
          <w:tcPr>
            <w:tcW w:w="905" w:type="dxa"/>
            <w:vAlign w:val="center"/>
          </w:tcPr>
          <w:p>
            <w:pPr>
              <w:rPr>
                <w:rFonts w:eastAsia="仿宋_GB2312"/>
                <w:szCs w:val="21"/>
              </w:rPr>
            </w:pPr>
            <w:r>
              <w:rPr>
                <w:rFonts w:eastAsia="仿宋_GB2312"/>
                <w:szCs w:val="21"/>
              </w:rPr>
              <w:t>声屏障-1：26.2</w:t>
            </w:r>
          </w:p>
          <w:p>
            <w:pPr>
              <w:rPr>
                <w:rFonts w:eastAsia="仿宋_GB2312"/>
                <w:szCs w:val="21"/>
              </w:rPr>
            </w:pPr>
            <w:r>
              <w:rPr>
                <w:rFonts w:eastAsia="仿宋_GB2312"/>
                <w:szCs w:val="21"/>
              </w:rPr>
              <w:t>声屏障-2：54.2</w:t>
            </w:r>
          </w:p>
          <w:p>
            <w:pPr>
              <w:rPr>
                <w:rFonts w:eastAsia="仿宋_GB2312"/>
                <w:szCs w:val="21"/>
              </w:rPr>
            </w:pPr>
            <w:r>
              <w:rPr>
                <w:rFonts w:eastAsia="仿宋_GB2312"/>
                <w:szCs w:val="21"/>
              </w:rPr>
              <w:t>声屏障-3：40.3</w:t>
            </w:r>
          </w:p>
          <w:p>
            <w:pPr>
              <w:rPr>
                <w:rFonts w:eastAsia="仿宋_GB2312"/>
                <w:szCs w:val="21"/>
              </w:rPr>
            </w:pPr>
            <w:r>
              <w:rPr>
                <w:rFonts w:eastAsia="仿宋_GB2312"/>
                <w:szCs w:val="21"/>
              </w:rPr>
              <w:t>声屏障-4：125</w:t>
            </w:r>
          </w:p>
        </w:tc>
        <w:tc>
          <w:tcPr>
            <w:tcW w:w="921" w:type="dxa"/>
            <w:vAlign w:val="center"/>
          </w:tcPr>
          <w:p>
            <w:pPr>
              <w:rPr>
                <w:rFonts w:eastAsia="仿宋_GB2312"/>
                <w:szCs w:val="21"/>
              </w:rPr>
            </w:pPr>
            <w:r>
              <w:rPr>
                <w:rFonts w:eastAsia="仿宋_GB2312"/>
                <w:szCs w:val="21"/>
              </w:rPr>
              <w:t>声屏障-1：66.0</w:t>
            </w:r>
          </w:p>
          <w:p>
            <w:pPr>
              <w:rPr>
                <w:rFonts w:eastAsia="仿宋_GB2312"/>
                <w:szCs w:val="21"/>
              </w:rPr>
            </w:pPr>
            <w:r>
              <w:rPr>
                <w:rFonts w:eastAsia="仿宋_GB2312"/>
                <w:szCs w:val="21"/>
              </w:rPr>
              <w:t>声屏障-2：66.0</w:t>
            </w:r>
          </w:p>
          <w:p>
            <w:pPr>
              <w:rPr>
                <w:rFonts w:eastAsia="仿宋_GB2312"/>
                <w:szCs w:val="21"/>
              </w:rPr>
            </w:pPr>
            <w:r>
              <w:rPr>
                <w:rFonts w:eastAsia="仿宋_GB2312"/>
                <w:szCs w:val="21"/>
              </w:rPr>
              <w:t>声屏障-3：66.0</w:t>
            </w:r>
          </w:p>
          <w:p>
            <w:pPr>
              <w:rPr>
                <w:rFonts w:eastAsia="仿宋_GB2312"/>
                <w:szCs w:val="21"/>
              </w:rPr>
            </w:pPr>
            <w:r>
              <w:rPr>
                <w:rFonts w:eastAsia="仿宋_GB2312"/>
                <w:szCs w:val="21"/>
              </w:rPr>
              <w:t>声屏障-4：66.0</w:t>
            </w:r>
          </w:p>
        </w:tc>
        <w:tc>
          <w:tcPr>
            <w:tcW w:w="905" w:type="dxa"/>
            <w:vAlign w:val="center"/>
          </w:tcPr>
          <w:p>
            <w:pPr>
              <w:jc w:val="center"/>
              <w:rPr>
                <w:rFonts w:eastAsia="仿宋_GB2312"/>
                <w:szCs w:val="21"/>
              </w:rPr>
            </w:pPr>
            <w:r>
              <w:rPr>
                <w:rFonts w:hint="eastAsia" w:eastAsia="仿宋_GB2312"/>
                <w:szCs w:val="21"/>
              </w:rPr>
              <w:t>间歇运行</w:t>
            </w:r>
          </w:p>
        </w:tc>
        <w:tc>
          <w:tcPr>
            <w:tcW w:w="921" w:type="dxa"/>
            <w:vAlign w:val="center"/>
          </w:tcPr>
          <w:p>
            <w:pPr>
              <w:rPr>
                <w:rFonts w:eastAsia="仿宋_GB2312"/>
                <w:szCs w:val="21"/>
              </w:rPr>
            </w:pPr>
            <w:r>
              <w:rPr>
                <w:rFonts w:eastAsia="仿宋_GB2312"/>
                <w:szCs w:val="21"/>
              </w:rPr>
              <w:t>声屏障-1：41.0</w:t>
            </w:r>
          </w:p>
          <w:p>
            <w:pPr>
              <w:rPr>
                <w:rFonts w:eastAsia="仿宋_GB2312"/>
                <w:szCs w:val="21"/>
              </w:rPr>
            </w:pPr>
            <w:r>
              <w:rPr>
                <w:rFonts w:eastAsia="仿宋_GB2312"/>
                <w:szCs w:val="21"/>
              </w:rPr>
              <w:t>声屏障-2：41.0</w:t>
            </w:r>
          </w:p>
          <w:p>
            <w:pPr>
              <w:rPr>
                <w:rFonts w:eastAsia="仿宋_GB2312"/>
                <w:szCs w:val="21"/>
              </w:rPr>
            </w:pPr>
            <w:r>
              <w:rPr>
                <w:rFonts w:eastAsia="仿宋_GB2312"/>
                <w:szCs w:val="21"/>
              </w:rPr>
              <w:t>声屏障-3：41.0</w:t>
            </w:r>
          </w:p>
          <w:p>
            <w:pPr>
              <w:jc w:val="center"/>
              <w:rPr>
                <w:rFonts w:eastAsia="仿宋_GB2312"/>
                <w:szCs w:val="21"/>
              </w:rPr>
            </w:pPr>
            <w:r>
              <w:rPr>
                <w:rFonts w:eastAsia="仿宋_GB2312"/>
                <w:szCs w:val="21"/>
              </w:rPr>
              <w:t>声屏障-4：41.0</w:t>
            </w:r>
          </w:p>
        </w:tc>
        <w:tc>
          <w:tcPr>
            <w:tcW w:w="921" w:type="dxa"/>
            <w:vAlign w:val="center"/>
          </w:tcPr>
          <w:p>
            <w:pPr>
              <w:rPr>
                <w:rFonts w:eastAsia="仿宋_GB2312"/>
                <w:szCs w:val="21"/>
              </w:rPr>
            </w:pPr>
            <w:r>
              <w:rPr>
                <w:rFonts w:eastAsia="仿宋_GB2312"/>
                <w:szCs w:val="21"/>
              </w:rPr>
              <w:t>声屏障-1：25.0</w:t>
            </w:r>
          </w:p>
          <w:p>
            <w:pPr>
              <w:rPr>
                <w:rFonts w:eastAsia="仿宋_GB2312"/>
                <w:szCs w:val="21"/>
              </w:rPr>
            </w:pPr>
            <w:r>
              <w:rPr>
                <w:rFonts w:eastAsia="仿宋_GB2312"/>
                <w:szCs w:val="21"/>
              </w:rPr>
              <w:t>声屏障-2：25.0</w:t>
            </w:r>
          </w:p>
          <w:p>
            <w:pPr>
              <w:rPr>
                <w:rFonts w:eastAsia="仿宋_GB2312"/>
                <w:szCs w:val="21"/>
              </w:rPr>
            </w:pPr>
            <w:r>
              <w:rPr>
                <w:rFonts w:eastAsia="仿宋_GB2312"/>
                <w:szCs w:val="21"/>
              </w:rPr>
              <w:t>声屏障-3：25.0</w:t>
            </w:r>
          </w:p>
          <w:p>
            <w:pPr>
              <w:jc w:val="center"/>
              <w:rPr>
                <w:rFonts w:eastAsia="仿宋_GB2312"/>
                <w:szCs w:val="21"/>
              </w:rPr>
            </w:pPr>
            <w:r>
              <w:rPr>
                <w:rFonts w:eastAsia="仿宋_GB2312"/>
                <w:szCs w:val="21"/>
              </w:rPr>
              <w:t>声屏障-4：25.0</w:t>
            </w:r>
          </w:p>
        </w:tc>
        <w:tc>
          <w:tcPr>
            <w:tcW w:w="905" w:type="dxa"/>
            <w:vAlign w:val="center"/>
          </w:tcPr>
          <w:p>
            <w:pPr>
              <w:jc w:val="center"/>
              <w:rPr>
                <w:rFonts w:eastAsia="仿宋_GB2312"/>
                <w:szCs w:val="21"/>
              </w:rPr>
            </w:pPr>
            <w:r>
              <w:rPr>
                <w:rFonts w:hint="eastAsia" w:eastAsia="仿宋_GB2312"/>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689" w:type="dxa"/>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2</w:t>
            </w:r>
          </w:p>
        </w:tc>
        <w:tc>
          <w:tcPr>
            <w:tcW w:w="724" w:type="dxa"/>
            <w:vMerge w:val="continue"/>
            <w:vAlign w:val="center"/>
          </w:tcPr>
          <w:p>
            <w:pPr>
              <w:spacing w:line="240" w:lineRule="atLeast"/>
              <w:jc w:val="center"/>
              <w:rPr>
                <w:rFonts w:ascii="仿宋" w:hAnsi="仿宋" w:eastAsia="仿宋" w:cs="仿宋"/>
                <w:bCs/>
                <w:szCs w:val="21"/>
              </w:rPr>
            </w:pPr>
          </w:p>
        </w:tc>
        <w:tc>
          <w:tcPr>
            <w:tcW w:w="1276" w:type="dxa"/>
            <w:vAlign w:val="center"/>
          </w:tcPr>
          <w:p>
            <w:pPr>
              <w:spacing w:line="240" w:lineRule="atLeast"/>
              <w:jc w:val="center"/>
              <w:rPr>
                <w:rFonts w:eastAsia="仿宋_GB2312" w:cs="仿宋"/>
                <w:bCs/>
                <w:szCs w:val="21"/>
              </w:rPr>
            </w:pPr>
            <w:r>
              <w:rPr>
                <w:rFonts w:ascii="仿宋" w:hAnsi="仿宋" w:eastAsia="仿宋" w:cs="仿宋"/>
                <w:bCs/>
                <w:szCs w:val="21"/>
              </w:rPr>
              <w:t>分切机</w:t>
            </w:r>
          </w:p>
        </w:tc>
        <w:tc>
          <w:tcPr>
            <w:tcW w:w="954" w:type="dxa"/>
            <w:vAlign w:val="center"/>
          </w:tcPr>
          <w:p>
            <w:pPr>
              <w:jc w:val="center"/>
              <w:rPr>
                <w:rFonts w:ascii="仿宋" w:hAnsi="仿宋" w:eastAsia="仿宋" w:cs="仿宋"/>
                <w:bCs/>
                <w:szCs w:val="21"/>
              </w:rPr>
            </w:pPr>
            <w:r>
              <w:rPr>
                <w:rFonts w:hint="eastAsia" w:ascii="仿宋" w:hAnsi="仿宋" w:eastAsia="仿宋" w:cs="仿宋"/>
                <w:bCs/>
                <w:szCs w:val="21"/>
              </w:rPr>
              <w:t>1320型</w:t>
            </w:r>
          </w:p>
        </w:tc>
        <w:tc>
          <w:tcPr>
            <w:tcW w:w="1227" w:type="dxa"/>
            <w:vAlign w:val="center"/>
          </w:tcPr>
          <w:p>
            <w:pPr>
              <w:spacing w:line="240" w:lineRule="atLeast"/>
              <w:jc w:val="center"/>
              <w:rPr>
                <w:rFonts w:eastAsia="仿宋_GB2312" w:cs="仿宋"/>
                <w:bCs/>
                <w:szCs w:val="21"/>
              </w:rPr>
            </w:pPr>
            <w:r>
              <w:rPr>
                <w:rFonts w:hint="eastAsia" w:eastAsia="仿宋_GB2312" w:cs="仿宋"/>
                <w:bCs/>
                <w:szCs w:val="21"/>
              </w:rPr>
              <w:t>67</w:t>
            </w:r>
          </w:p>
        </w:tc>
        <w:tc>
          <w:tcPr>
            <w:tcW w:w="904" w:type="dxa"/>
            <w:vMerge w:val="continue"/>
          </w:tcPr>
          <w:p>
            <w:pPr>
              <w:pStyle w:val="152"/>
              <w:spacing w:line="500" w:lineRule="exact"/>
              <w:ind w:firstLine="0" w:firstLineChars="0"/>
              <w:jc w:val="center"/>
              <w:rPr>
                <w:rFonts w:eastAsia="仿宋_GB2312"/>
                <w:b/>
                <w:bCs/>
              </w:rPr>
            </w:pPr>
          </w:p>
        </w:tc>
        <w:tc>
          <w:tcPr>
            <w:tcW w:w="898" w:type="dxa"/>
            <w:vAlign w:val="center"/>
          </w:tcPr>
          <w:p>
            <w:pPr>
              <w:spacing w:line="240" w:lineRule="atLeast"/>
              <w:jc w:val="center"/>
              <w:rPr>
                <w:rFonts w:eastAsia="仿宋_GB2312"/>
                <w:szCs w:val="21"/>
              </w:rPr>
            </w:pPr>
            <w:r>
              <w:rPr>
                <w:rFonts w:hint="eastAsia" w:eastAsia="仿宋_GB2312" w:cs="仿宋"/>
                <w:bCs/>
                <w:szCs w:val="21"/>
              </w:rPr>
              <w:t>75.01</w:t>
            </w:r>
          </w:p>
        </w:tc>
        <w:tc>
          <w:tcPr>
            <w:tcW w:w="899" w:type="dxa"/>
            <w:vAlign w:val="center"/>
          </w:tcPr>
          <w:p>
            <w:pPr>
              <w:spacing w:line="240" w:lineRule="atLeast"/>
              <w:jc w:val="center"/>
              <w:rPr>
                <w:rFonts w:eastAsia="仿宋_GB2312"/>
                <w:szCs w:val="21"/>
              </w:rPr>
            </w:pPr>
            <w:r>
              <w:rPr>
                <w:rFonts w:hint="eastAsia" w:eastAsia="仿宋_GB2312" w:cs="仿宋"/>
                <w:bCs/>
                <w:szCs w:val="21"/>
              </w:rPr>
              <w:t>172</w:t>
            </w:r>
            <w:r>
              <w:rPr>
                <w:rFonts w:eastAsia="仿宋_GB2312" w:cs="仿宋"/>
                <w:bCs/>
                <w:szCs w:val="21"/>
              </w:rPr>
              <w:t>.22</w:t>
            </w:r>
          </w:p>
        </w:tc>
        <w:tc>
          <w:tcPr>
            <w:tcW w:w="899" w:type="dxa"/>
            <w:vAlign w:val="center"/>
          </w:tcPr>
          <w:p>
            <w:pPr>
              <w:jc w:val="center"/>
              <w:rPr>
                <w:rFonts w:eastAsia="仿宋_GB2312"/>
                <w:szCs w:val="21"/>
              </w:rPr>
            </w:pPr>
            <w:r>
              <w:rPr>
                <w:rFonts w:hint="eastAsia" w:eastAsia="仿宋_GB2312" w:cs="仿宋"/>
                <w:bCs/>
                <w:szCs w:val="21"/>
              </w:rPr>
              <w:t>0</w:t>
            </w:r>
          </w:p>
        </w:tc>
        <w:tc>
          <w:tcPr>
            <w:tcW w:w="905" w:type="dxa"/>
            <w:vAlign w:val="center"/>
          </w:tcPr>
          <w:p>
            <w:pPr>
              <w:rPr>
                <w:rFonts w:eastAsia="仿宋_GB2312"/>
                <w:szCs w:val="21"/>
              </w:rPr>
            </w:pPr>
            <w:r>
              <w:rPr>
                <w:rFonts w:eastAsia="仿宋_GB2312"/>
                <w:szCs w:val="21"/>
              </w:rPr>
              <w:t>声屏障-1：24.2</w:t>
            </w:r>
          </w:p>
          <w:p>
            <w:pPr>
              <w:rPr>
                <w:rFonts w:eastAsia="仿宋_GB2312"/>
                <w:szCs w:val="21"/>
              </w:rPr>
            </w:pPr>
            <w:r>
              <w:rPr>
                <w:rFonts w:eastAsia="仿宋_GB2312"/>
                <w:szCs w:val="21"/>
              </w:rPr>
              <w:t>声屏障-2：54.2</w:t>
            </w:r>
          </w:p>
          <w:p>
            <w:pPr>
              <w:rPr>
                <w:rFonts w:eastAsia="仿宋_GB2312"/>
                <w:szCs w:val="21"/>
              </w:rPr>
            </w:pPr>
            <w:r>
              <w:rPr>
                <w:rFonts w:eastAsia="仿宋_GB2312"/>
                <w:szCs w:val="21"/>
              </w:rPr>
              <w:t>声屏障-3：41.3</w:t>
            </w:r>
          </w:p>
          <w:p>
            <w:pPr>
              <w:rPr>
                <w:rFonts w:eastAsia="仿宋_GB2312"/>
                <w:szCs w:val="21"/>
              </w:rPr>
            </w:pPr>
            <w:r>
              <w:rPr>
                <w:rFonts w:eastAsia="仿宋_GB2312"/>
                <w:szCs w:val="21"/>
              </w:rPr>
              <w:t>声屏障-4：120.3</w:t>
            </w:r>
          </w:p>
        </w:tc>
        <w:tc>
          <w:tcPr>
            <w:tcW w:w="921" w:type="dxa"/>
            <w:vAlign w:val="center"/>
          </w:tcPr>
          <w:p>
            <w:pPr>
              <w:rPr>
                <w:rFonts w:eastAsia="仿宋_GB2312"/>
                <w:szCs w:val="21"/>
              </w:rPr>
            </w:pPr>
            <w:r>
              <w:rPr>
                <w:rFonts w:eastAsia="仿宋_GB2312"/>
                <w:szCs w:val="21"/>
              </w:rPr>
              <w:t>声屏障-1：66.0</w:t>
            </w:r>
          </w:p>
          <w:p>
            <w:pPr>
              <w:rPr>
                <w:rFonts w:eastAsia="仿宋_GB2312"/>
                <w:szCs w:val="21"/>
              </w:rPr>
            </w:pPr>
            <w:r>
              <w:rPr>
                <w:rFonts w:eastAsia="仿宋_GB2312"/>
                <w:szCs w:val="21"/>
              </w:rPr>
              <w:t>声屏障-2：66.0</w:t>
            </w:r>
          </w:p>
          <w:p>
            <w:pPr>
              <w:rPr>
                <w:rFonts w:eastAsia="仿宋_GB2312"/>
                <w:szCs w:val="21"/>
              </w:rPr>
            </w:pPr>
            <w:r>
              <w:rPr>
                <w:rFonts w:eastAsia="仿宋_GB2312"/>
                <w:szCs w:val="21"/>
              </w:rPr>
              <w:t>声屏障-3：66.0</w:t>
            </w:r>
          </w:p>
          <w:p>
            <w:pPr>
              <w:rPr>
                <w:rFonts w:eastAsia="仿宋_GB2312"/>
                <w:szCs w:val="21"/>
              </w:rPr>
            </w:pPr>
            <w:r>
              <w:rPr>
                <w:rFonts w:eastAsia="仿宋_GB2312"/>
                <w:szCs w:val="21"/>
              </w:rPr>
              <w:t>声屏障-4：66.0</w:t>
            </w:r>
          </w:p>
        </w:tc>
        <w:tc>
          <w:tcPr>
            <w:tcW w:w="905" w:type="dxa"/>
            <w:vAlign w:val="center"/>
          </w:tcPr>
          <w:p>
            <w:pPr>
              <w:jc w:val="center"/>
            </w:pPr>
            <w:r>
              <w:rPr>
                <w:rFonts w:hint="eastAsia" w:eastAsia="仿宋_GB2312"/>
                <w:szCs w:val="21"/>
              </w:rPr>
              <w:t>间歇运行</w:t>
            </w:r>
          </w:p>
        </w:tc>
        <w:tc>
          <w:tcPr>
            <w:tcW w:w="921" w:type="dxa"/>
            <w:vAlign w:val="center"/>
          </w:tcPr>
          <w:p>
            <w:pPr>
              <w:rPr>
                <w:rFonts w:eastAsia="仿宋_GB2312"/>
                <w:szCs w:val="21"/>
              </w:rPr>
            </w:pPr>
            <w:r>
              <w:rPr>
                <w:rFonts w:eastAsia="仿宋_GB2312"/>
                <w:szCs w:val="21"/>
              </w:rPr>
              <w:t>声屏障-1：41.0</w:t>
            </w:r>
          </w:p>
          <w:p>
            <w:pPr>
              <w:rPr>
                <w:rFonts w:eastAsia="仿宋_GB2312"/>
                <w:szCs w:val="21"/>
              </w:rPr>
            </w:pPr>
            <w:r>
              <w:rPr>
                <w:rFonts w:eastAsia="仿宋_GB2312"/>
                <w:szCs w:val="21"/>
              </w:rPr>
              <w:t>声屏障-2：41.0</w:t>
            </w:r>
          </w:p>
          <w:p>
            <w:pPr>
              <w:rPr>
                <w:rFonts w:eastAsia="仿宋_GB2312"/>
                <w:szCs w:val="21"/>
              </w:rPr>
            </w:pPr>
            <w:r>
              <w:rPr>
                <w:rFonts w:eastAsia="仿宋_GB2312"/>
                <w:szCs w:val="21"/>
              </w:rPr>
              <w:t>声屏障-3：41.0</w:t>
            </w:r>
          </w:p>
          <w:p>
            <w:pPr>
              <w:jc w:val="center"/>
              <w:rPr>
                <w:rFonts w:eastAsia="仿宋_GB2312"/>
                <w:szCs w:val="21"/>
              </w:rPr>
            </w:pPr>
            <w:r>
              <w:rPr>
                <w:rFonts w:eastAsia="仿宋_GB2312"/>
                <w:szCs w:val="21"/>
              </w:rPr>
              <w:t>声屏障-4：41.0</w:t>
            </w:r>
          </w:p>
        </w:tc>
        <w:tc>
          <w:tcPr>
            <w:tcW w:w="921" w:type="dxa"/>
            <w:vAlign w:val="center"/>
          </w:tcPr>
          <w:p>
            <w:pPr>
              <w:rPr>
                <w:rFonts w:eastAsia="仿宋_GB2312"/>
                <w:szCs w:val="21"/>
              </w:rPr>
            </w:pPr>
            <w:r>
              <w:rPr>
                <w:rFonts w:eastAsia="仿宋_GB2312"/>
                <w:szCs w:val="21"/>
              </w:rPr>
              <w:t>声屏障-1：25.0</w:t>
            </w:r>
          </w:p>
          <w:p>
            <w:pPr>
              <w:rPr>
                <w:rFonts w:eastAsia="仿宋_GB2312"/>
                <w:szCs w:val="21"/>
              </w:rPr>
            </w:pPr>
            <w:r>
              <w:rPr>
                <w:rFonts w:eastAsia="仿宋_GB2312"/>
                <w:szCs w:val="21"/>
              </w:rPr>
              <w:t>声屏障-2：25.0</w:t>
            </w:r>
          </w:p>
          <w:p>
            <w:pPr>
              <w:rPr>
                <w:rFonts w:eastAsia="仿宋_GB2312"/>
                <w:szCs w:val="21"/>
              </w:rPr>
            </w:pPr>
            <w:r>
              <w:rPr>
                <w:rFonts w:eastAsia="仿宋_GB2312"/>
                <w:szCs w:val="21"/>
              </w:rPr>
              <w:t>声屏障-3：25.0</w:t>
            </w:r>
          </w:p>
          <w:p>
            <w:pPr>
              <w:jc w:val="center"/>
              <w:rPr>
                <w:rFonts w:eastAsia="仿宋_GB2312"/>
                <w:szCs w:val="21"/>
              </w:rPr>
            </w:pPr>
            <w:r>
              <w:rPr>
                <w:rFonts w:eastAsia="仿宋_GB2312"/>
                <w:szCs w:val="21"/>
              </w:rPr>
              <w:t>声屏障-4：25.0</w:t>
            </w:r>
          </w:p>
        </w:tc>
        <w:tc>
          <w:tcPr>
            <w:tcW w:w="905" w:type="dxa"/>
            <w:vAlign w:val="center"/>
          </w:tcPr>
          <w:p>
            <w:pPr>
              <w:jc w:val="center"/>
              <w:rPr>
                <w:rFonts w:eastAsia="仿宋_GB2312"/>
                <w:szCs w:val="21"/>
              </w:rPr>
            </w:pPr>
            <w:r>
              <w:rPr>
                <w:rFonts w:hint="eastAsia" w:eastAsia="仿宋_GB2312"/>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689" w:type="dxa"/>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3</w:t>
            </w:r>
          </w:p>
        </w:tc>
        <w:tc>
          <w:tcPr>
            <w:tcW w:w="724" w:type="dxa"/>
            <w:vMerge w:val="continue"/>
            <w:vAlign w:val="center"/>
          </w:tcPr>
          <w:p>
            <w:pPr>
              <w:spacing w:line="240" w:lineRule="atLeast"/>
              <w:jc w:val="center"/>
              <w:rPr>
                <w:rFonts w:ascii="仿宋" w:hAnsi="仿宋" w:eastAsia="仿宋" w:cs="仿宋"/>
                <w:bCs/>
                <w:szCs w:val="21"/>
              </w:rPr>
            </w:pPr>
          </w:p>
        </w:tc>
        <w:tc>
          <w:tcPr>
            <w:tcW w:w="1276" w:type="dxa"/>
            <w:vAlign w:val="center"/>
          </w:tcPr>
          <w:p>
            <w:pPr>
              <w:spacing w:line="240" w:lineRule="atLeast"/>
              <w:jc w:val="center"/>
              <w:rPr>
                <w:rFonts w:eastAsia="仿宋_GB2312" w:cs="仿宋"/>
                <w:bCs/>
                <w:szCs w:val="21"/>
              </w:rPr>
            </w:pPr>
            <w:r>
              <w:rPr>
                <w:rFonts w:hint="eastAsia" w:ascii="仿宋" w:hAnsi="仿宋" w:eastAsia="仿宋" w:cs="仿宋"/>
                <w:bCs/>
                <w:szCs w:val="21"/>
              </w:rPr>
              <w:t>无气泡</w:t>
            </w:r>
            <w:r>
              <w:rPr>
                <w:rFonts w:ascii="仿宋" w:hAnsi="仿宋" w:eastAsia="仿宋" w:cs="仿宋"/>
                <w:bCs/>
                <w:szCs w:val="21"/>
              </w:rPr>
              <w:t>复卷机</w:t>
            </w:r>
          </w:p>
        </w:tc>
        <w:tc>
          <w:tcPr>
            <w:tcW w:w="954" w:type="dxa"/>
            <w:vAlign w:val="center"/>
          </w:tcPr>
          <w:p>
            <w:pPr>
              <w:jc w:val="center"/>
              <w:rPr>
                <w:rFonts w:ascii="仿宋" w:hAnsi="仿宋" w:eastAsia="仿宋" w:cs="仿宋"/>
                <w:bCs/>
                <w:szCs w:val="21"/>
              </w:rPr>
            </w:pPr>
            <w:r>
              <w:rPr>
                <w:rFonts w:hint="eastAsia" w:ascii="仿宋" w:hAnsi="仿宋" w:eastAsia="仿宋" w:cs="仿宋"/>
                <w:bCs/>
                <w:szCs w:val="21"/>
              </w:rPr>
              <w:t>1320型</w:t>
            </w:r>
          </w:p>
        </w:tc>
        <w:tc>
          <w:tcPr>
            <w:tcW w:w="1227" w:type="dxa"/>
            <w:vAlign w:val="center"/>
          </w:tcPr>
          <w:p>
            <w:pPr>
              <w:spacing w:line="240" w:lineRule="atLeast"/>
              <w:jc w:val="center"/>
              <w:rPr>
                <w:rFonts w:eastAsia="仿宋_GB2312" w:cs="仿宋"/>
                <w:bCs/>
                <w:szCs w:val="21"/>
              </w:rPr>
            </w:pPr>
            <w:r>
              <w:rPr>
                <w:rFonts w:hint="eastAsia" w:eastAsia="仿宋_GB2312" w:cs="仿宋"/>
                <w:bCs/>
                <w:szCs w:val="21"/>
              </w:rPr>
              <w:t>71</w:t>
            </w:r>
          </w:p>
        </w:tc>
        <w:tc>
          <w:tcPr>
            <w:tcW w:w="904" w:type="dxa"/>
            <w:vMerge w:val="continue"/>
          </w:tcPr>
          <w:p>
            <w:pPr>
              <w:pStyle w:val="152"/>
              <w:spacing w:line="500" w:lineRule="exact"/>
              <w:ind w:firstLine="0" w:firstLineChars="0"/>
              <w:jc w:val="center"/>
              <w:rPr>
                <w:rFonts w:eastAsia="仿宋_GB2312"/>
                <w:b/>
                <w:bCs/>
              </w:rPr>
            </w:pPr>
          </w:p>
        </w:tc>
        <w:tc>
          <w:tcPr>
            <w:tcW w:w="898" w:type="dxa"/>
            <w:vAlign w:val="center"/>
          </w:tcPr>
          <w:p>
            <w:pPr>
              <w:spacing w:line="240" w:lineRule="atLeast"/>
              <w:jc w:val="center"/>
              <w:rPr>
                <w:rFonts w:eastAsia="仿宋_GB2312"/>
                <w:szCs w:val="21"/>
              </w:rPr>
            </w:pPr>
            <w:r>
              <w:rPr>
                <w:rFonts w:hint="eastAsia" w:eastAsia="仿宋_GB2312" w:cs="仿宋"/>
                <w:bCs/>
                <w:szCs w:val="21"/>
              </w:rPr>
              <w:t>10</w:t>
            </w:r>
            <w:r>
              <w:rPr>
                <w:rFonts w:eastAsia="仿宋_GB2312" w:cs="仿宋"/>
                <w:bCs/>
                <w:szCs w:val="21"/>
              </w:rPr>
              <w:t>0</w:t>
            </w:r>
            <w:r>
              <w:rPr>
                <w:rFonts w:hint="eastAsia" w:eastAsia="仿宋_GB2312" w:cs="仿宋"/>
                <w:bCs/>
                <w:szCs w:val="21"/>
              </w:rPr>
              <w:t>.69</w:t>
            </w:r>
          </w:p>
        </w:tc>
        <w:tc>
          <w:tcPr>
            <w:tcW w:w="899" w:type="dxa"/>
            <w:vAlign w:val="center"/>
          </w:tcPr>
          <w:p>
            <w:pPr>
              <w:spacing w:line="240" w:lineRule="atLeast"/>
              <w:jc w:val="center"/>
              <w:rPr>
                <w:rFonts w:eastAsia="仿宋_GB2312"/>
                <w:szCs w:val="21"/>
              </w:rPr>
            </w:pPr>
            <w:r>
              <w:rPr>
                <w:rFonts w:hint="eastAsia" w:eastAsia="仿宋_GB2312" w:cs="仿宋"/>
                <w:bCs/>
                <w:szCs w:val="21"/>
              </w:rPr>
              <w:t>105.15</w:t>
            </w:r>
          </w:p>
        </w:tc>
        <w:tc>
          <w:tcPr>
            <w:tcW w:w="899" w:type="dxa"/>
            <w:vAlign w:val="center"/>
          </w:tcPr>
          <w:p>
            <w:pPr>
              <w:jc w:val="center"/>
              <w:rPr>
                <w:rFonts w:eastAsia="仿宋_GB2312"/>
                <w:szCs w:val="21"/>
              </w:rPr>
            </w:pPr>
            <w:r>
              <w:rPr>
                <w:rFonts w:hint="eastAsia" w:eastAsia="仿宋_GB2312" w:cs="仿宋"/>
                <w:bCs/>
                <w:szCs w:val="21"/>
              </w:rPr>
              <w:t>0</w:t>
            </w:r>
          </w:p>
        </w:tc>
        <w:tc>
          <w:tcPr>
            <w:tcW w:w="905" w:type="dxa"/>
            <w:vAlign w:val="center"/>
          </w:tcPr>
          <w:p>
            <w:pPr>
              <w:rPr>
                <w:rFonts w:eastAsia="仿宋_GB2312"/>
                <w:szCs w:val="21"/>
              </w:rPr>
            </w:pPr>
            <w:r>
              <w:rPr>
                <w:rFonts w:eastAsia="仿宋_GB2312"/>
                <w:szCs w:val="21"/>
              </w:rPr>
              <w:t>声屏障-1：19.2</w:t>
            </w:r>
          </w:p>
          <w:p>
            <w:pPr>
              <w:rPr>
                <w:rFonts w:eastAsia="仿宋_GB2312"/>
                <w:szCs w:val="21"/>
              </w:rPr>
            </w:pPr>
            <w:r>
              <w:rPr>
                <w:rFonts w:eastAsia="仿宋_GB2312"/>
                <w:szCs w:val="21"/>
              </w:rPr>
              <w:t>声屏障-2：39.2</w:t>
            </w:r>
          </w:p>
          <w:p>
            <w:pPr>
              <w:rPr>
                <w:rFonts w:eastAsia="仿宋_GB2312"/>
                <w:szCs w:val="21"/>
              </w:rPr>
            </w:pPr>
            <w:r>
              <w:rPr>
                <w:rFonts w:eastAsia="仿宋_GB2312"/>
                <w:szCs w:val="21"/>
              </w:rPr>
              <w:t>声屏障-3：40.3</w:t>
            </w:r>
          </w:p>
          <w:p>
            <w:pPr>
              <w:rPr>
                <w:rFonts w:eastAsia="仿宋_GB2312"/>
                <w:szCs w:val="21"/>
              </w:rPr>
            </w:pPr>
            <w:r>
              <w:rPr>
                <w:rFonts w:eastAsia="仿宋_GB2312"/>
                <w:szCs w:val="21"/>
              </w:rPr>
              <w:t>声屏障-4：120.3</w:t>
            </w:r>
          </w:p>
        </w:tc>
        <w:tc>
          <w:tcPr>
            <w:tcW w:w="921" w:type="dxa"/>
            <w:vAlign w:val="center"/>
          </w:tcPr>
          <w:p>
            <w:pPr>
              <w:rPr>
                <w:rFonts w:eastAsia="仿宋_GB2312"/>
                <w:szCs w:val="21"/>
              </w:rPr>
            </w:pPr>
            <w:r>
              <w:rPr>
                <w:rFonts w:eastAsia="仿宋_GB2312"/>
                <w:szCs w:val="21"/>
              </w:rPr>
              <w:t>声屏障-1：66.0</w:t>
            </w:r>
          </w:p>
          <w:p>
            <w:pPr>
              <w:rPr>
                <w:rFonts w:eastAsia="仿宋_GB2312"/>
                <w:szCs w:val="21"/>
              </w:rPr>
            </w:pPr>
            <w:r>
              <w:rPr>
                <w:rFonts w:eastAsia="仿宋_GB2312"/>
                <w:szCs w:val="21"/>
              </w:rPr>
              <w:t>声屏障-2：66.0</w:t>
            </w:r>
          </w:p>
          <w:p>
            <w:pPr>
              <w:rPr>
                <w:rFonts w:eastAsia="仿宋_GB2312"/>
                <w:szCs w:val="21"/>
              </w:rPr>
            </w:pPr>
            <w:r>
              <w:rPr>
                <w:rFonts w:eastAsia="仿宋_GB2312"/>
                <w:szCs w:val="21"/>
              </w:rPr>
              <w:t>声屏障-3：66.0</w:t>
            </w:r>
          </w:p>
          <w:p>
            <w:pPr>
              <w:rPr>
                <w:rFonts w:eastAsia="仿宋_GB2312"/>
                <w:szCs w:val="21"/>
              </w:rPr>
            </w:pPr>
            <w:r>
              <w:rPr>
                <w:rFonts w:eastAsia="仿宋_GB2312"/>
                <w:szCs w:val="21"/>
              </w:rPr>
              <w:t>声屏障-4：66.0</w:t>
            </w:r>
          </w:p>
        </w:tc>
        <w:tc>
          <w:tcPr>
            <w:tcW w:w="905" w:type="dxa"/>
            <w:vAlign w:val="center"/>
          </w:tcPr>
          <w:p>
            <w:pPr>
              <w:jc w:val="center"/>
            </w:pPr>
            <w:r>
              <w:rPr>
                <w:rFonts w:hint="eastAsia" w:eastAsia="仿宋_GB2312"/>
                <w:szCs w:val="21"/>
              </w:rPr>
              <w:t>间歇运行</w:t>
            </w:r>
          </w:p>
        </w:tc>
        <w:tc>
          <w:tcPr>
            <w:tcW w:w="921" w:type="dxa"/>
            <w:vAlign w:val="center"/>
          </w:tcPr>
          <w:p>
            <w:pPr>
              <w:rPr>
                <w:rFonts w:eastAsia="仿宋_GB2312"/>
                <w:szCs w:val="21"/>
              </w:rPr>
            </w:pPr>
            <w:r>
              <w:rPr>
                <w:rFonts w:eastAsia="仿宋_GB2312"/>
                <w:szCs w:val="21"/>
              </w:rPr>
              <w:t>声屏障-1：41.0</w:t>
            </w:r>
          </w:p>
          <w:p>
            <w:pPr>
              <w:rPr>
                <w:rFonts w:eastAsia="仿宋_GB2312"/>
                <w:szCs w:val="21"/>
              </w:rPr>
            </w:pPr>
            <w:r>
              <w:rPr>
                <w:rFonts w:eastAsia="仿宋_GB2312"/>
                <w:szCs w:val="21"/>
              </w:rPr>
              <w:t>声屏障-2：41.0</w:t>
            </w:r>
          </w:p>
          <w:p>
            <w:pPr>
              <w:rPr>
                <w:rFonts w:eastAsia="仿宋_GB2312"/>
                <w:szCs w:val="21"/>
              </w:rPr>
            </w:pPr>
            <w:r>
              <w:rPr>
                <w:rFonts w:eastAsia="仿宋_GB2312"/>
                <w:szCs w:val="21"/>
              </w:rPr>
              <w:t>声屏障-3：41.0</w:t>
            </w:r>
          </w:p>
          <w:p>
            <w:pPr>
              <w:jc w:val="center"/>
              <w:rPr>
                <w:rFonts w:eastAsia="仿宋_GB2312"/>
                <w:szCs w:val="21"/>
              </w:rPr>
            </w:pPr>
            <w:r>
              <w:rPr>
                <w:rFonts w:eastAsia="仿宋_GB2312"/>
                <w:szCs w:val="21"/>
              </w:rPr>
              <w:t>声屏障-4：41.0</w:t>
            </w:r>
          </w:p>
        </w:tc>
        <w:tc>
          <w:tcPr>
            <w:tcW w:w="921" w:type="dxa"/>
            <w:vAlign w:val="center"/>
          </w:tcPr>
          <w:p>
            <w:pPr>
              <w:rPr>
                <w:rFonts w:eastAsia="仿宋_GB2312"/>
                <w:szCs w:val="21"/>
              </w:rPr>
            </w:pPr>
            <w:r>
              <w:rPr>
                <w:rFonts w:eastAsia="仿宋_GB2312"/>
                <w:szCs w:val="21"/>
              </w:rPr>
              <w:t>声屏障-1：25.0</w:t>
            </w:r>
          </w:p>
          <w:p>
            <w:pPr>
              <w:rPr>
                <w:rFonts w:eastAsia="仿宋_GB2312"/>
                <w:szCs w:val="21"/>
              </w:rPr>
            </w:pPr>
            <w:r>
              <w:rPr>
                <w:rFonts w:eastAsia="仿宋_GB2312"/>
                <w:szCs w:val="21"/>
              </w:rPr>
              <w:t>声屏障-2：25.0</w:t>
            </w:r>
          </w:p>
          <w:p>
            <w:pPr>
              <w:rPr>
                <w:rFonts w:eastAsia="仿宋_GB2312"/>
                <w:szCs w:val="21"/>
              </w:rPr>
            </w:pPr>
            <w:r>
              <w:rPr>
                <w:rFonts w:eastAsia="仿宋_GB2312"/>
                <w:szCs w:val="21"/>
              </w:rPr>
              <w:t>声屏障-3：25.0</w:t>
            </w:r>
          </w:p>
          <w:p>
            <w:pPr>
              <w:jc w:val="center"/>
              <w:rPr>
                <w:rFonts w:eastAsia="仿宋_GB2312"/>
                <w:szCs w:val="21"/>
              </w:rPr>
            </w:pPr>
            <w:r>
              <w:rPr>
                <w:rFonts w:eastAsia="仿宋_GB2312"/>
                <w:szCs w:val="21"/>
              </w:rPr>
              <w:t>声屏障-4：25.0</w:t>
            </w:r>
          </w:p>
        </w:tc>
        <w:tc>
          <w:tcPr>
            <w:tcW w:w="905" w:type="dxa"/>
            <w:vAlign w:val="center"/>
          </w:tcPr>
          <w:p>
            <w:pPr>
              <w:jc w:val="center"/>
              <w:rPr>
                <w:rFonts w:eastAsia="仿宋_GB2312"/>
                <w:szCs w:val="21"/>
              </w:rPr>
            </w:pPr>
            <w:r>
              <w:rPr>
                <w:rFonts w:hint="eastAsia" w:eastAsia="仿宋_GB2312"/>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689" w:type="dxa"/>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4</w:t>
            </w:r>
          </w:p>
        </w:tc>
        <w:tc>
          <w:tcPr>
            <w:tcW w:w="724" w:type="dxa"/>
            <w:vMerge w:val="continue"/>
            <w:vAlign w:val="center"/>
          </w:tcPr>
          <w:p>
            <w:pPr>
              <w:spacing w:line="240" w:lineRule="atLeast"/>
              <w:jc w:val="center"/>
              <w:rPr>
                <w:rFonts w:ascii="仿宋" w:hAnsi="仿宋" w:eastAsia="仿宋" w:cs="仿宋"/>
                <w:bCs/>
                <w:szCs w:val="21"/>
              </w:rPr>
            </w:pPr>
          </w:p>
        </w:tc>
        <w:tc>
          <w:tcPr>
            <w:tcW w:w="1276" w:type="dxa"/>
            <w:vAlign w:val="center"/>
          </w:tcPr>
          <w:p>
            <w:pPr>
              <w:spacing w:line="240" w:lineRule="atLeast"/>
              <w:jc w:val="center"/>
              <w:rPr>
                <w:rFonts w:eastAsia="仿宋_GB2312" w:cs="仿宋"/>
                <w:bCs/>
                <w:szCs w:val="21"/>
              </w:rPr>
            </w:pPr>
            <w:r>
              <w:rPr>
                <w:rFonts w:ascii="仿宋" w:hAnsi="仿宋" w:eastAsia="仿宋" w:cs="仿宋"/>
                <w:bCs/>
                <w:szCs w:val="21"/>
              </w:rPr>
              <w:t>分散机</w:t>
            </w:r>
          </w:p>
        </w:tc>
        <w:tc>
          <w:tcPr>
            <w:tcW w:w="954" w:type="dxa"/>
            <w:vAlign w:val="center"/>
          </w:tcPr>
          <w:p>
            <w:pPr>
              <w:jc w:val="center"/>
              <w:rPr>
                <w:rFonts w:ascii="仿宋" w:hAnsi="仿宋" w:eastAsia="仿宋" w:cs="仿宋"/>
                <w:bCs/>
                <w:szCs w:val="21"/>
              </w:rPr>
            </w:pPr>
            <w:r>
              <w:rPr>
                <w:rFonts w:hint="eastAsia" w:ascii="仿宋" w:hAnsi="仿宋" w:eastAsia="仿宋" w:cs="仿宋"/>
                <w:bCs/>
                <w:szCs w:val="21"/>
              </w:rPr>
              <w:t>7.5千瓦</w:t>
            </w:r>
          </w:p>
        </w:tc>
        <w:tc>
          <w:tcPr>
            <w:tcW w:w="1227" w:type="dxa"/>
            <w:vAlign w:val="center"/>
          </w:tcPr>
          <w:p>
            <w:pPr>
              <w:spacing w:line="240" w:lineRule="atLeast"/>
              <w:jc w:val="center"/>
              <w:rPr>
                <w:rFonts w:eastAsia="仿宋_GB2312" w:cs="仿宋"/>
                <w:bCs/>
                <w:szCs w:val="21"/>
              </w:rPr>
            </w:pPr>
            <w:r>
              <w:rPr>
                <w:rFonts w:hint="eastAsia" w:eastAsia="仿宋_GB2312" w:cs="仿宋"/>
                <w:bCs/>
                <w:szCs w:val="21"/>
              </w:rPr>
              <w:t>71</w:t>
            </w:r>
          </w:p>
        </w:tc>
        <w:tc>
          <w:tcPr>
            <w:tcW w:w="904" w:type="dxa"/>
            <w:vMerge w:val="continue"/>
          </w:tcPr>
          <w:p>
            <w:pPr>
              <w:pStyle w:val="152"/>
              <w:spacing w:line="500" w:lineRule="exact"/>
              <w:ind w:firstLine="0" w:firstLineChars="0"/>
              <w:jc w:val="center"/>
              <w:rPr>
                <w:rFonts w:eastAsia="仿宋_GB2312"/>
                <w:b/>
                <w:bCs/>
              </w:rPr>
            </w:pPr>
          </w:p>
        </w:tc>
        <w:tc>
          <w:tcPr>
            <w:tcW w:w="898" w:type="dxa"/>
            <w:vAlign w:val="center"/>
          </w:tcPr>
          <w:p>
            <w:pPr>
              <w:spacing w:line="240" w:lineRule="atLeast"/>
              <w:jc w:val="center"/>
              <w:rPr>
                <w:rFonts w:eastAsia="仿宋_GB2312"/>
                <w:szCs w:val="21"/>
              </w:rPr>
            </w:pPr>
            <w:r>
              <w:rPr>
                <w:rFonts w:hint="eastAsia" w:eastAsia="仿宋_GB2312" w:cs="仿宋"/>
                <w:bCs/>
                <w:szCs w:val="21"/>
              </w:rPr>
              <w:t>4.27</w:t>
            </w:r>
          </w:p>
        </w:tc>
        <w:tc>
          <w:tcPr>
            <w:tcW w:w="899" w:type="dxa"/>
            <w:vAlign w:val="center"/>
          </w:tcPr>
          <w:p>
            <w:pPr>
              <w:spacing w:line="240" w:lineRule="atLeast"/>
              <w:jc w:val="center"/>
              <w:rPr>
                <w:rFonts w:eastAsia="仿宋_GB2312"/>
                <w:szCs w:val="21"/>
              </w:rPr>
            </w:pPr>
            <w:r>
              <w:rPr>
                <w:rFonts w:hint="eastAsia" w:eastAsia="仿宋_GB2312" w:cs="仿宋"/>
                <w:bCs/>
                <w:szCs w:val="21"/>
              </w:rPr>
              <w:t>118.</w:t>
            </w:r>
            <w:r>
              <w:rPr>
                <w:rFonts w:eastAsia="仿宋_GB2312" w:cs="仿宋"/>
                <w:bCs/>
                <w:szCs w:val="21"/>
              </w:rPr>
              <w:t>77</w:t>
            </w:r>
          </w:p>
        </w:tc>
        <w:tc>
          <w:tcPr>
            <w:tcW w:w="899" w:type="dxa"/>
            <w:vAlign w:val="center"/>
          </w:tcPr>
          <w:p>
            <w:pPr>
              <w:jc w:val="center"/>
              <w:rPr>
                <w:rFonts w:eastAsia="仿宋_GB2312"/>
                <w:szCs w:val="21"/>
              </w:rPr>
            </w:pPr>
            <w:r>
              <w:rPr>
                <w:rFonts w:hint="eastAsia" w:eastAsia="仿宋_GB2312" w:cs="仿宋"/>
                <w:bCs/>
                <w:szCs w:val="21"/>
              </w:rPr>
              <w:t>0</w:t>
            </w:r>
          </w:p>
        </w:tc>
        <w:tc>
          <w:tcPr>
            <w:tcW w:w="905" w:type="dxa"/>
            <w:vAlign w:val="center"/>
          </w:tcPr>
          <w:p>
            <w:pPr>
              <w:rPr>
                <w:rFonts w:eastAsia="仿宋_GB2312"/>
                <w:szCs w:val="21"/>
              </w:rPr>
            </w:pPr>
            <w:r>
              <w:rPr>
                <w:rFonts w:eastAsia="仿宋_GB2312"/>
                <w:szCs w:val="21"/>
              </w:rPr>
              <w:t>声屏障-1：24.2</w:t>
            </w:r>
          </w:p>
          <w:p>
            <w:pPr>
              <w:rPr>
                <w:rFonts w:eastAsia="仿宋_GB2312"/>
                <w:szCs w:val="21"/>
              </w:rPr>
            </w:pPr>
            <w:r>
              <w:rPr>
                <w:rFonts w:eastAsia="仿宋_GB2312"/>
                <w:szCs w:val="21"/>
              </w:rPr>
              <w:t>声屏障-2：52.2</w:t>
            </w:r>
          </w:p>
          <w:p>
            <w:pPr>
              <w:rPr>
                <w:rFonts w:eastAsia="仿宋_GB2312"/>
                <w:szCs w:val="21"/>
              </w:rPr>
            </w:pPr>
            <w:r>
              <w:rPr>
                <w:rFonts w:eastAsia="仿宋_GB2312"/>
                <w:szCs w:val="21"/>
              </w:rPr>
              <w:t>声屏障-3：40.3</w:t>
            </w:r>
          </w:p>
          <w:p>
            <w:pPr>
              <w:rPr>
                <w:rFonts w:eastAsia="仿宋_GB2312"/>
                <w:szCs w:val="21"/>
              </w:rPr>
            </w:pPr>
            <w:r>
              <w:rPr>
                <w:rFonts w:eastAsia="仿宋_GB2312"/>
                <w:szCs w:val="21"/>
              </w:rPr>
              <w:t>声屏障-4：125</w:t>
            </w:r>
          </w:p>
        </w:tc>
        <w:tc>
          <w:tcPr>
            <w:tcW w:w="921" w:type="dxa"/>
            <w:vAlign w:val="center"/>
          </w:tcPr>
          <w:p>
            <w:pPr>
              <w:rPr>
                <w:rFonts w:eastAsia="仿宋_GB2312"/>
                <w:szCs w:val="21"/>
              </w:rPr>
            </w:pPr>
            <w:r>
              <w:rPr>
                <w:rFonts w:eastAsia="仿宋_GB2312"/>
                <w:szCs w:val="21"/>
              </w:rPr>
              <w:t>声屏障-1：66.0</w:t>
            </w:r>
          </w:p>
          <w:p>
            <w:pPr>
              <w:rPr>
                <w:rFonts w:eastAsia="仿宋_GB2312"/>
                <w:szCs w:val="21"/>
              </w:rPr>
            </w:pPr>
            <w:r>
              <w:rPr>
                <w:rFonts w:eastAsia="仿宋_GB2312"/>
                <w:szCs w:val="21"/>
              </w:rPr>
              <w:t>声屏障-2：66.0</w:t>
            </w:r>
          </w:p>
          <w:p>
            <w:pPr>
              <w:rPr>
                <w:rFonts w:eastAsia="仿宋_GB2312"/>
                <w:szCs w:val="21"/>
              </w:rPr>
            </w:pPr>
            <w:r>
              <w:rPr>
                <w:rFonts w:eastAsia="仿宋_GB2312"/>
                <w:szCs w:val="21"/>
              </w:rPr>
              <w:t>声屏障-3：66.0</w:t>
            </w:r>
          </w:p>
          <w:p>
            <w:pPr>
              <w:rPr>
                <w:rFonts w:eastAsia="仿宋_GB2312"/>
                <w:szCs w:val="21"/>
              </w:rPr>
            </w:pPr>
            <w:r>
              <w:rPr>
                <w:rFonts w:eastAsia="仿宋_GB2312"/>
                <w:szCs w:val="21"/>
              </w:rPr>
              <w:t>声屏障-4：66.0</w:t>
            </w:r>
          </w:p>
        </w:tc>
        <w:tc>
          <w:tcPr>
            <w:tcW w:w="905" w:type="dxa"/>
            <w:vAlign w:val="center"/>
          </w:tcPr>
          <w:p>
            <w:pPr>
              <w:jc w:val="center"/>
            </w:pPr>
            <w:r>
              <w:rPr>
                <w:rFonts w:hint="eastAsia" w:eastAsia="仿宋_GB2312"/>
                <w:szCs w:val="21"/>
              </w:rPr>
              <w:t>间歇运行</w:t>
            </w:r>
          </w:p>
        </w:tc>
        <w:tc>
          <w:tcPr>
            <w:tcW w:w="921" w:type="dxa"/>
            <w:vAlign w:val="center"/>
          </w:tcPr>
          <w:p>
            <w:pPr>
              <w:rPr>
                <w:rFonts w:eastAsia="仿宋_GB2312"/>
                <w:szCs w:val="21"/>
              </w:rPr>
            </w:pPr>
            <w:r>
              <w:rPr>
                <w:rFonts w:eastAsia="仿宋_GB2312"/>
                <w:szCs w:val="21"/>
              </w:rPr>
              <w:t>声屏障-1：41.0</w:t>
            </w:r>
          </w:p>
          <w:p>
            <w:pPr>
              <w:rPr>
                <w:rFonts w:eastAsia="仿宋_GB2312"/>
                <w:szCs w:val="21"/>
              </w:rPr>
            </w:pPr>
            <w:r>
              <w:rPr>
                <w:rFonts w:eastAsia="仿宋_GB2312"/>
                <w:szCs w:val="21"/>
              </w:rPr>
              <w:t>声屏障-2：41.0</w:t>
            </w:r>
          </w:p>
          <w:p>
            <w:pPr>
              <w:rPr>
                <w:rFonts w:eastAsia="仿宋_GB2312"/>
                <w:szCs w:val="21"/>
              </w:rPr>
            </w:pPr>
            <w:r>
              <w:rPr>
                <w:rFonts w:eastAsia="仿宋_GB2312"/>
                <w:szCs w:val="21"/>
              </w:rPr>
              <w:t>声屏障-3：41.0</w:t>
            </w:r>
          </w:p>
          <w:p>
            <w:pPr>
              <w:jc w:val="center"/>
              <w:rPr>
                <w:rFonts w:eastAsia="仿宋_GB2312"/>
                <w:szCs w:val="21"/>
              </w:rPr>
            </w:pPr>
            <w:r>
              <w:rPr>
                <w:rFonts w:eastAsia="仿宋_GB2312"/>
                <w:szCs w:val="21"/>
              </w:rPr>
              <w:t>声屏障-4：41.0</w:t>
            </w:r>
          </w:p>
        </w:tc>
        <w:tc>
          <w:tcPr>
            <w:tcW w:w="921" w:type="dxa"/>
            <w:vAlign w:val="center"/>
          </w:tcPr>
          <w:p>
            <w:pPr>
              <w:rPr>
                <w:rFonts w:eastAsia="仿宋_GB2312"/>
                <w:szCs w:val="21"/>
              </w:rPr>
            </w:pPr>
            <w:r>
              <w:rPr>
                <w:rFonts w:eastAsia="仿宋_GB2312"/>
                <w:szCs w:val="21"/>
              </w:rPr>
              <w:t>声屏障-1：25.0</w:t>
            </w:r>
          </w:p>
          <w:p>
            <w:pPr>
              <w:rPr>
                <w:rFonts w:eastAsia="仿宋_GB2312"/>
                <w:szCs w:val="21"/>
              </w:rPr>
            </w:pPr>
            <w:r>
              <w:rPr>
                <w:rFonts w:eastAsia="仿宋_GB2312"/>
                <w:szCs w:val="21"/>
              </w:rPr>
              <w:t>声屏障-2：25.0</w:t>
            </w:r>
          </w:p>
          <w:p>
            <w:pPr>
              <w:rPr>
                <w:rFonts w:eastAsia="仿宋_GB2312"/>
                <w:szCs w:val="21"/>
              </w:rPr>
            </w:pPr>
            <w:r>
              <w:rPr>
                <w:rFonts w:eastAsia="仿宋_GB2312"/>
                <w:szCs w:val="21"/>
              </w:rPr>
              <w:t>声屏障-3：25.0</w:t>
            </w:r>
          </w:p>
          <w:p>
            <w:pPr>
              <w:jc w:val="center"/>
              <w:rPr>
                <w:rFonts w:eastAsia="仿宋_GB2312"/>
                <w:szCs w:val="21"/>
              </w:rPr>
            </w:pPr>
            <w:r>
              <w:rPr>
                <w:rFonts w:eastAsia="仿宋_GB2312"/>
                <w:szCs w:val="21"/>
              </w:rPr>
              <w:t>声屏障-4：25.0</w:t>
            </w:r>
          </w:p>
        </w:tc>
        <w:tc>
          <w:tcPr>
            <w:tcW w:w="905" w:type="dxa"/>
            <w:vAlign w:val="center"/>
          </w:tcPr>
          <w:p>
            <w:pPr>
              <w:jc w:val="center"/>
              <w:rPr>
                <w:rFonts w:eastAsia="仿宋_GB2312"/>
                <w:szCs w:val="21"/>
              </w:rPr>
            </w:pPr>
            <w:r>
              <w:rPr>
                <w:rFonts w:hint="eastAsia" w:eastAsia="仿宋_GB2312"/>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689" w:type="dxa"/>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5</w:t>
            </w:r>
          </w:p>
        </w:tc>
        <w:tc>
          <w:tcPr>
            <w:tcW w:w="724" w:type="dxa"/>
            <w:vMerge w:val="continue"/>
            <w:vAlign w:val="center"/>
          </w:tcPr>
          <w:p>
            <w:pPr>
              <w:spacing w:line="240" w:lineRule="atLeast"/>
              <w:jc w:val="center"/>
              <w:rPr>
                <w:rFonts w:ascii="仿宋" w:hAnsi="仿宋" w:eastAsia="仿宋" w:cs="仿宋"/>
                <w:bCs/>
                <w:szCs w:val="21"/>
              </w:rPr>
            </w:pPr>
          </w:p>
        </w:tc>
        <w:tc>
          <w:tcPr>
            <w:tcW w:w="1276" w:type="dxa"/>
            <w:vAlign w:val="center"/>
          </w:tcPr>
          <w:p>
            <w:pPr>
              <w:spacing w:line="240" w:lineRule="atLeast"/>
              <w:jc w:val="center"/>
              <w:rPr>
                <w:rFonts w:eastAsia="仿宋_GB2312" w:cs="仿宋"/>
                <w:bCs/>
                <w:szCs w:val="21"/>
              </w:rPr>
            </w:pPr>
            <w:r>
              <w:rPr>
                <w:rFonts w:hint="eastAsia" w:ascii="仿宋" w:hAnsi="仿宋" w:eastAsia="仿宋" w:cs="仿宋"/>
                <w:bCs/>
                <w:szCs w:val="21"/>
              </w:rPr>
              <w:t>塑封机</w:t>
            </w:r>
          </w:p>
        </w:tc>
        <w:tc>
          <w:tcPr>
            <w:tcW w:w="954" w:type="dxa"/>
            <w:vAlign w:val="center"/>
          </w:tcPr>
          <w:p>
            <w:pPr>
              <w:jc w:val="center"/>
              <w:rPr>
                <w:rFonts w:ascii="仿宋" w:hAnsi="仿宋" w:eastAsia="仿宋" w:cs="仿宋"/>
                <w:bCs/>
                <w:szCs w:val="21"/>
              </w:rPr>
            </w:pPr>
            <w:r>
              <w:rPr>
                <w:rFonts w:hint="eastAsia" w:ascii="仿宋" w:hAnsi="仿宋" w:eastAsia="仿宋" w:cs="仿宋"/>
                <w:bCs/>
                <w:szCs w:val="21"/>
              </w:rPr>
              <w:t>28KV</w:t>
            </w:r>
          </w:p>
        </w:tc>
        <w:tc>
          <w:tcPr>
            <w:tcW w:w="1227" w:type="dxa"/>
            <w:vAlign w:val="center"/>
          </w:tcPr>
          <w:p>
            <w:pPr>
              <w:spacing w:line="240" w:lineRule="atLeast"/>
              <w:jc w:val="center"/>
              <w:rPr>
                <w:rFonts w:eastAsia="仿宋_GB2312" w:cs="仿宋"/>
                <w:bCs/>
                <w:szCs w:val="21"/>
              </w:rPr>
            </w:pPr>
            <w:r>
              <w:rPr>
                <w:rFonts w:hint="eastAsia" w:eastAsia="仿宋_GB2312" w:cs="仿宋"/>
                <w:bCs/>
                <w:szCs w:val="21"/>
              </w:rPr>
              <w:t>65</w:t>
            </w:r>
          </w:p>
        </w:tc>
        <w:tc>
          <w:tcPr>
            <w:tcW w:w="904" w:type="dxa"/>
            <w:vMerge w:val="continue"/>
          </w:tcPr>
          <w:p>
            <w:pPr>
              <w:pStyle w:val="152"/>
              <w:spacing w:line="500" w:lineRule="exact"/>
              <w:ind w:firstLine="0" w:firstLineChars="0"/>
              <w:jc w:val="center"/>
              <w:rPr>
                <w:rFonts w:eastAsia="仿宋_GB2312"/>
                <w:b/>
                <w:bCs/>
              </w:rPr>
            </w:pPr>
          </w:p>
        </w:tc>
        <w:tc>
          <w:tcPr>
            <w:tcW w:w="898" w:type="dxa"/>
            <w:vAlign w:val="center"/>
          </w:tcPr>
          <w:p>
            <w:pPr>
              <w:spacing w:line="240" w:lineRule="atLeast"/>
              <w:jc w:val="center"/>
              <w:rPr>
                <w:rFonts w:eastAsia="仿宋_GB2312"/>
                <w:szCs w:val="21"/>
              </w:rPr>
            </w:pPr>
            <w:r>
              <w:rPr>
                <w:rFonts w:hint="eastAsia" w:eastAsia="仿宋_GB2312" w:cs="仿宋"/>
                <w:bCs/>
                <w:szCs w:val="21"/>
              </w:rPr>
              <w:t>18.42</w:t>
            </w:r>
          </w:p>
        </w:tc>
        <w:tc>
          <w:tcPr>
            <w:tcW w:w="899" w:type="dxa"/>
            <w:vAlign w:val="center"/>
          </w:tcPr>
          <w:p>
            <w:pPr>
              <w:spacing w:line="240" w:lineRule="atLeast"/>
              <w:jc w:val="center"/>
              <w:rPr>
                <w:rFonts w:eastAsia="仿宋_GB2312"/>
                <w:szCs w:val="21"/>
              </w:rPr>
            </w:pPr>
            <w:r>
              <w:rPr>
                <w:rFonts w:hint="eastAsia" w:eastAsia="仿宋_GB2312" w:cs="仿宋"/>
                <w:bCs/>
                <w:szCs w:val="21"/>
              </w:rPr>
              <w:t>152.83</w:t>
            </w:r>
          </w:p>
        </w:tc>
        <w:tc>
          <w:tcPr>
            <w:tcW w:w="899" w:type="dxa"/>
            <w:vAlign w:val="center"/>
          </w:tcPr>
          <w:p>
            <w:pPr>
              <w:jc w:val="center"/>
              <w:rPr>
                <w:rFonts w:eastAsia="仿宋_GB2312"/>
                <w:szCs w:val="21"/>
              </w:rPr>
            </w:pPr>
            <w:r>
              <w:rPr>
                <w:rFonts w:hint="eastAsia" w:eastAsia="仿宋_GB2312" w:cs="仿宋"/>
                <w:bCs/>
                <w:szCs w:val="21"/>
              </w:rPr>
              <w:t>0</w:t>
            </w:r>
          </w:p>
        </w:tc>
        <w:tc>
          <w:tcPr>
            <w:tcW w:w="905" w:type="dxa"/>
            <w:vAlign w:val="center"/>
          </w:tcPr>
          <w:p>
            <w:pPr>
              <w:rPr>
                <w:rFonts w:eastAsia="仿宋_GB2312"/>
                <w:szCs w:val="21"/>
              </w:rPr>
            </w:pPr>
            <w:r>
              <w:rPr>
                <w:rFonts w:eastAsia="仿宋_GB2312"/>
                <w:szCs w:val="21"/>
              </w:rPr>
              <w:t>声屏障-1：26.2</w:t>
            </w:r>
          </w:p>
          <w:p>
            <w:pPr>
              <w:rPr>
                <w:rFonts w:eastAsia="仿宋_GB2312"/>
                <w:szCs w:val="21"/>
              </w:rPr>
            </w:pPr>
            <w:r>
              <w:rPr>
                <w:rFonts w:eastAsia="仿宋_GB2312"/>
                <w:szCs w:val="21"/>
              </w:rPr>
              <w:t>声屏障-2：55.2</w:t>
            </w:r>
          </w:p>
          <w:p>
            <w:pPr>
              <w:rPr>
                <w:rFonts w:eastAsia="仿宋_GB2312"/>
                <w:szCs w:val="21"/>
              </w:rPr>
            </w:pPr>
            <w:r>
              <w:rPr>
                <w:rFonts w:eastAsia="仿宋_GB2312"/>
                <w:szCs w:val="21"/>
              </w:rPr>
              <w:t>声屏障-3：43.3</w:t>
            </w:r>
          </w:p>
          <w:p>
            <w:pPr>
              <w:rPr>
                <w:rFonts w:eastAsia="仿宋_GB2312"/>
                <w:szCs w:val="21"/>
              </w:rPr>
            </w:pPr>
            <w:r>
              <w:rPr>
                <w:rFonts w:eastAsia="仿宋_GB2312"/>
                <w:szCs w:val="21"/>
              </w:rPr>
              <w:t>声屏障-4：125</w:t>
            </w:r>
          </w:p>
        </w:tc>
        <w:tc>
          <w:tcPr>
            <w:tcW w:w="921" w:type="dxa"/>
            <w:vAlign w:val="center"/>
          </w:tcPr>
          <w:p>
            <w:pPr>
              <w:rPr>
                <w:rFonts w:eastAsia="仿宋_GB2312"/>
                <w:szCs w:val="21"/>
              </w:rPr>
            </w:pPr>
            <w:r>
              <w:rPr>
                <w:rFonts w:eastAsia="仿宋_GB2312"/>
                <w:szCs w:val="21"/>
              </w:rPr>
              <w:t>声屏障-1：71.0</w:t>
            </w:r>
          </w:p>
          <w:p>
            <w:pPr>
              <w:rPr>
                <w:rFonts w:eastAsia="仿宋_GB2312"/>
                <w:szCs w:val="21"/>
              </w:rPr>
            </w:pPr>
            <w:r>
              <w:rPr>
                <w:rFonts w:eastAsia="仿宋_GB2312"/>
                <w:szCs w:val="21"/>
              </w:rPr>
              <w:t>声屏障-2：71.0</w:t>
            </w:r>
          </w:p>
          <w:p>
            <w:pPr>
              <w:rPr>
                <w:rFonts w:eastAsia="仿宋_GB2312"/>
                <w:szCs w:val="21"/>
              </w:rPr>
            </w:pPr>
            <w:r>
              <w:rPr>
                <w:rFonts w:eastAsia="仿宋_GB2312"/>
                <w:szCs w:val="21"/>
              </w:rPr>
              <w:t>声屏障-3：71.0</w:t>
            </w:r>
          </w:p>
          <w:p>
            <w:pPr>
              <w:rPr>
                <w:rFonts w:eastAsia="仿宋_GB2312"/>
                <w:szCs w:val="21"/>
              </w:rPr>
            </w:pPr>
            <w:r>
              <w:rPr>
                <w:rFonts w:eastAsia="仿宋_GB2312"/>
                <w:szCs w:val="21"/>
              </w:rPr>
              <w:t>声屏障-4：71.0</w:t>
            </w:r>
          </w:p>
        </w:tc>
        <w:tc>
          <w:tcPr>
            <w:tcW w:w="905" w:type="dxa"/>
            <w:vAlign w:val="center"/>
          </w:tcPr>
          <w:p>
            <w:pPr>
              <w:jc w:val="center"/>
            </w:pPr>
            <w:r>
              <w:rPr>
                <w:rFonts w:hint="eastAsia" w:eastAsia="仿宋_GB2312"/>
                <w:szCs w:val="21"/>
              </w:rPr>
              <w:t>间歇运行</w:t>
            </w:r>
          </w:p>
        </w:tc>
        <w:tc>
          <w:tcPr>
            <w:tcW w:w="921" w:type="dxa"/>
            <w:vAlign w:val="center"/>
          </w:tcPr>
          <w:p>
            <w:pPr>
              <w:rPr>
                <w:rFonts w:eastAsia="仿宋_GB2312"/>
                <w:szCs w:val="21"/>
              </w:rPr>
            </w:pPr>
            <w:r>
              <w:rPr>
                <w:rFonts w:eastAsia="仿宋_GB2312"/>
                <w:szCs w:val="21"/>
              </w:rPr>
              <w:t>声屏障-1：41.0</w:t>
            </w:r>
          </w:p>
          <w:p>
            <w:pPr>
              <w:rPr>
                <w:rFonts w:eastAsia="仿宋_GB2312"/>
                <w:szCs w:val="21"/>
              </w:rPr>
            </w:pPr>
            <w:r>
              <w:rPr>
                <w:rFonts w:eastAsia="仿宋_GB2312"/>
                <w:szCs w:val="21"/>
              </w:rPr>
              <w:t>声屏障-2：41.0</w:t>
            </w:r>
          </w:p>
          <w:p>
            <w:pPr>
              <w:rPr>
                <w:rFonts w:eastAsia="仿宋_GB2312"/>
                <w:szCs w:val="21"/>
              </w:rPr>
            </w:pPr>
            <w:r>
              <w:rPr>
                <w:rFonts w:eastAsia="仿宋_GB2312"/>
                <w:szCs w:val="21"/>
              </w:rPr>
              <w:t>声屏障-3：41.0</w:t>
            </w:r>
          </w:p>
          <w:p>
            <w:pPr>
              <w:jc w:val="center"/>
              <w:rPr>
                <w:rFonts w:eastAsia="仿宋_GB2312"/>
                <w:szCs w:val="21"/>
              </w:rPr>
            </w:pPr>
            <w:r>
              <w:rPr>
                <w:rFonts w:eastAsia="仿宋_GB2312"/>
                <w:szCs w:val="21"/>
              </w:rPr>
              <w:t>声屏障-4：41.0</w:t>
            </w:r>
          </w:p>
        </w:tc>
        <w:tc>
          <w:tcPr>
            <w:tcW w:w="921" w:type="dxa"/>
            <w:vAlign w:val="center"/>
          </w:tcPr>
          <w:p>
            <w:pPr>
              <w:rPr>
                <w:rFonts w:eastAsia="仿宋_GB2312"/>
                <w:szCs w:val="21"/>
              </w:rPr>
            </w:pPr>
            <w:r>
              <w:rPr>
                <w:rFonts w:eastAsia="仿宋_GB2312"/>
                <w:szCs w:val="21"/>
              </w:rPr>
              <w:t>声屏障-1：25.0</w:t>
            </w:r>
          </w:p>
          <w:p>
            <w:pPr>
              <w:rPr>
                <w:rFonts w:eastAsia="仿宋_GB2312"/>
                <w:szCs w:val="21"/>
              </w:rPr>
            </w:pPr>
            <w:r>
              <w:rPr>
                <w:rFonts w:eastAsia="仿宋_GB2312"/>
                <w:szCs w:val="21"/>
              </w:rPr>
              <w:t>声屏障-2：25.0</w:t>
            </w:r>
          </w:p>
          <w:p>
            <w:pPr>
              <w:rPr>
                <w:rFonts w:eastAsia="仿宋_GB2312"/>
                <w:szCs w:val="21"/>
              </w:rPr>
            </w:pPr>
            <w:r>
              <w:rPr>
                <w:rFonts w:eastAsia="仿宋_GB2312"/>
                <w:szCs w:val="21"/>
              </w:rPr>
              <w:t>声屏障-3：25.0</w:t>
            </w:r>
          </w:p>
          <w:p>
            <w:pPr>
              <w:jc w:val="center"/>
              <w:rPr>
                <w:rFonts w:eastAsia="仿宋_GB2312"/>
                <w:szCs w:val="21"/>
              </w:rPr>
            </w:pPr>
            <w:r>
              <w:rPr>
                <w:rFonts w:eastAsia="仿宋_GB2312"/>
                <w:szCs w:val="21"/>
              </w:rPr>
              <w:t>声屏障-4：25.0</w:t>
            </w:r>
          </w:p>
        </w:tc>
        <w:tc>
          <w:tcPr>
            <w:tcW w:w="905" w:type="dxa"/>
            <w:vAlign w:val="center"/>
          </w:tcPr>
          <w:p>
            <w:pPr>
              <w:jc w:val="center"/>
              <w:rPr>
                <w:rFonts w:eastAsia="仿宋_GB2312"/>
                <w:szCs w:val="21"/>
              </w:rPr>
            </w:pPr>
            <w:r>
              <w:rPr>
                <w:rFonts w:hint="eastAsia" w:eastAsia="仿宋_GB2312"/>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689" w:type="dxa"/>
            <w:vAlign w:val="center"/>
          </w:tcPr>
          <w:p>
            <w:pPr>
              <w:spacing w:line="240" w:lineRule="atLeast"/>
              <w:jc w:val="center"/>
              <w:rPr>
                <w:rFonts w:ascii="仿宋" w:hAnsi="仿宋" w:eastAsia="仿宋" w:cs="仿宋"/>
                <w:bCs/>
                <w:szCs w:val="21"/>
              </w:rPr>
            </w:pPr>
            <w:r>
              <w:rPr>
                <w:rFonts w:hint="eastAsia" w:ascii="仿宋" w:hAnsi="仿宋" w:eastAsia="仿宋" w:cs="仿宋"/>
                <w:bCs/>
                <w:szCs w:val="21"/>
              </w:rPr>
              <w:t>6</w:t>
            </w:r>
          </w:p>
        </w:tc>
        <w:tc>
          <w:tcPr>
            <w:tcW w:w="724" w:type="dxa"/>
            <w:vMerge w:val="continue"/>
            <w:vAlign w:val="center"/>
          </w:tcPr>
          <w:p>
            <w:pPr>
              <w:spacing w:line="240" w:lineRule="atLeast"/>
              <w:jc w:val="center"/>
              <w:rPr>
                <w:rFonts w:ascii="仿宋" w:hAnsi="仿宋" w:eastAsia="仿宋" w:cs="仿宋"/>
                <w:bCs/>
                <w:szCs w:val="21"/>
              </w:rPr>
            </w:pPr>
          </w:p>
        </w:tc>
        <w:tc>
          <w:tcPr>
            <w:tcW w:w="1276" w:type="dxa"/>
            <w:vAlign w:val="center"/>
          </w:tcPr>
          <w:p>
            <w:pPr>
              <w:spacing w:line="240" w:lineRule="atLeast"/>
              <w:jc w:val="center"/>
              <w:rPr>
                <w:rFonts w:eastAsia="仿宋_GB2312" w:cs="仿宋"/>
                <w:bCs/>
                <w:szCs w:val="21"/>
              </w:rPr>
            </w:pPr>
            <w:r>
              <w:rPr>
                <w:rFonts w:ascii="仿宋" w:hAnsi="仿宋" w:eastAsia="仿宋" w:cs="仿宋"/>
                <w:bCs/>
                <w:szCs w:val="21"/>
              </w:rPr>
              <w:t>裁切机</w:t>
            </w:r>
          </w:p>
        </w:tc>
        <w:tc>
          <w:tcPr>
            <w:tcW w:w="954" w:type="dxa"/>
            <w:vAlign w:val="center"/>
          </w:tcPr>
          <w:p>
            <w:pPr>
              <w:jc w:val="center"/>
              <w:rPr>
                <w:rFonts w:ascii="仿宋" w:hAnsi="仿宋" w:eastAsia="仿宋" w:cs="仿宋"/>
                <w:bCs/>
                <w:szCs w:val="21"/>
              </w:rPr>
            </w:pPr>
            <w:r>
              <w:rPr>
                <w:rFonts w:hint="eastAsia" w:ascii="仿宋" w:hAnsi="仿宋" w:eastAsia="仿宋" w:cs="仿宋"/>
                <w:bCs/>
                <w:szCs w:val="21"/>
              </w:rPr>
              <w:t>5kg/200kg</w:t>
            </w:r>
          </w:p>
        </w:tc>
        <w:tc>
          <w:tcPr>
            <w:tcW w:w="1227" w:type="dxa"/>
            <w:vAlign w:val="center"/>
          </w:tcPr>
          <w:p>
            <w:pPr>
              <w:spacing w:line="240" w:lineRule="atLeast"/>
              <w:jc w:val="center"/>
              <w:rPr>
                <w:rFonts w:eastAsia="仿宋_GB2312" w:cs="仿宋"/>
                <w:bCs/>
                <w:szCs w:val="21"/>
              </w:rPr>
            </w:pPr>
            <w:r>
              <w:rPr>
                <w:rFonts w:hint="eastAsia" w:eastAsia="仿宋_GB2312" w:cs="仿宋"/>
                <w:bCs/>
                <w:szCs w:val="21"/>
              </w:rPr>
              <w:t>72</w:t>
            </w:r>
          </w:p>
        </w:tc>
        <w:tc>
          <w:tcPr>
            <w:tcW w:w="904" w:type="dxa"/>
            <w:vMerge w:val="continue"/>
          </w:tcPr>
          <w:p>
            <w:pPr>
              <w:pStyle w:val="152"/>
              <w:spacing w:line="500" w:lineRule="exact"/>
              <w:ind w:firstLine="0" w:firstLineChars="0"/>
              <w:jc w:val="center"/>
              <w:rPr>
                <w:rFonts w:eastAsia="仿宋_GB2312"/>
                <w:b/>
                <w:bCs/>
              </w:rPr>
            </w:pPr>
          </w:p>
        </w:tc>
        <w:tc>
          <w:tcPr>
            <w:tcW w:w="898" w:type="dxa"/>
            <w:vAlign w:val="center"/>
          </w:tcPr>
          <w:p>
            <w:pPr>
              <w:spacing w:line="240" w:lineRule="atLeast"/>
              <w:jc w:val="center"/>
              <w:rPr>
                <w:rFonts w:eastAsia="仿宋_GB2312"/>
                <w:szCs w:val="21"/>
              </w:rPr>
            </w:pPr>
            <w:r>
              <w:rPr>
                <w:rFonts w:hint="eastAsia" w:eastAsia="仿宋_GB2312" w:cs="仿宋"/>
                <w:bCs/>
                <w:szCs w:val="21"/>
              </w:rPr>
              <w:t>24.18</w:t>
            </w:r>
          </w:p>
        </w:tc>
        <w:tc>
          <w:tcPr>
            <w:tcW w:w="899" w:type="dxa"/>
            <w:vAlign w:val="center"/>
          </w:tcPr>
          <w:p>
            <w:pPr>
              <w:spacing w:line="240" w:lineRule="atLeast"/>
              <w:jc w:val="center"/>
              <w:rPr>
                <w:rFonts w:eastAsia="仿宋_GB2312"/>
                <w:szCs w:val="21"/>
              </w:rPr>
            </w:pPr>
            <w:r>
              <w:rPr>
                <w:rFonts w:hint="eastAsia" w:eastAsia="仿宋_GB2312" w:cs="仿宋"/>
                <w:bCs/>
                <w:szCs w:val="21"/>
              </w:rPr>
              <w:t>110.39</w:t>
            </w:r>
          </w:p>
        </w:tc>
        <w:tc>
          <w:tcPr>
            <w:tcW w:w="899" w:type="dxa"/>
            <w:vAlign w:val="center"/>
          </w:tcPr>
          <w:p>
            <w:pPr>
              <w:jc w:val="center"/>
              <w:rPr>
                <w:rFonts w:eastAsia="仿宋_GB2312"/>
                <w:szCs w:val="21"/>
              </w:rPr>
            </w:pPr>
            <w:r>
              <w:rPr>
                <w:rFonts w:hint="eastAsia" w:eastAsia="仿宋_GB2312" w:cs="仿宋"/>
                <w:bCs/>
                <w:szCs w:val="21"/>
              </w:rPr>
              <w:t>0</w:t>
            </w:r>
          </w:p>
        </w:tc>
        <w:tc>
          <w:tcPr>
            <w:tcW w:w="905" w:type="dxa"/>
            <w:vAlign w:val="center"/>
          </w:tcPr>
          <w:p>
            <w:pPr>
              <w:rPr>
                <w:rFonts w:eastAsia="仿宋_GB2312"/>
                <w:szCs w:val="21"/>
              </w:rPr>
            </w:pPr>
            <w:r>
              <w:rPr>
                <w:rFonts w:eastAsia="仿宋_GB2312"/>
                <w:szCs w:val="21"/>
              </w:rPr>
              <w:t>声屏障-1：30.2</w:t>
            </w:r>
          </w:p>
          <w:p>
            <w:pPr>
              <w:rPr>
                <w:rFonts w:eastAsia="仿宋_GB2312"/>
                <w:szCs w:val="21"/>
              </w:rPr>
            </w:pPr>
            <w:r>
              <w:rPr>
                <w:rFonts w:eastAsia="仿宋_GB2312"/>
                <w:szCs w:val="21"/>
              </w:rPr>
              <w:t>声屏障-2：54.2</w:t>
            </w:r>
          </w:p>
          <w:p>
            <w:pPr>
              <w:rPr>
                <w:rFonts w:eastAsia="仿宋_GB2312"/>
                <w:szCs w:val="21"/>
              </w:rPr>
            </w:pPr>
            <w:r>
              <w:rPr>
                <w:rFonts w:eastAsia="仿宋_GB2312"/>
                <w:szCs w:val="21"/>
              </w:rPr>
              <w:t>声屏障-3：40.3</w:t>
            </w:r>
          </w:p>
          <w:p>
            <w:pPr>
              <w:rPr>
                <w:rFonts w:eastAsia="仿宋_GB2312"/>
                <w:szCs w:val="21"/>
              </w:rPr>
            </w:pPr>
            <w:r>
              <w:rPr>
                <w:rFonts w:eastAsia="仿宋_GB2312"/>
                <w:szCs w:val="21"/>
              </w:rPr>
              <w:t>声屏障-4：125</w:t>
            </w:r>
          </w:p>
        </w:tc>
        <w:tc>
          <w:tcPr>
            <w:tcW w:w="921" w:type="dxa"/>
            <w:vAlign w:val="center"/>
          </w:tcPr>
          <w:p>
            <w:pPr>
              <w:rPr>
                <w:rFonts w:eastAsia="仿宋_GB2312"/>
                <w:szCs w:val="21"/>
              </w:rPr>
            </w:pPr>
            <w:r>
              <w:rPr>
                <w:rFonts w:eastAsia="仿宋_GB2312"/>
                <w:szCs w:val="21"/>
              </w:rPr>
              <w:t>声屏障-1：71.0</w:t>
            </w:r>
          </w:p>
          <w:p>
            <w:pPr>
              <w:rPr>
                <w:rFonts w:eastAsia="仿宋_GB2312"/>
                <w:szCs w:val="21"/>
              </w:rPr>
            </w:pPr>
            <w:r>
              <w:rPr>
                <w:rFonts w:eastAsia="仿宋_GB2312"/>
                <w:szCs w:val="21"/>
              </w:rPr>
              <w:t>声屏障-2：71.0</w:t>
            </w:r>
          </w:p>
          <w:p>
            <w:pPr>
              <w:rPr>
                <w:rFonts w:eastAsia="仿宋_GB2312"/>
                <w:szCs w:val="21"/>
              </w:rPr>
            </w:pPr>
            <w:r>
              <w:rPr>
                <w:rFonts w:eastAsia="仿宋_GB2312"/>
                <w:szCs w:val="21"/>
              </w:rPr>
              <w:t>声屏障-3：71.0</w:t>
            </w:r>
          </w:p>
          <w:p>
            <w:pPr>
              <w:rPr>
                <w:rFonts w:eastAsia="仿宋_GB2312"/>
                <w:szCs w:val="21"/>
              </w:rPr>
            </w:pPr>
            <w:r>
              <w:rPr>
                <w:rFonts w:eastAsia="仿宋_GB2312"/>
                <w:szCs w:val="21"/>
              </w:rPr>
              <w:t>声屏障-4：71.0</w:t>
            </w:r>
          </w:p>
        </w:tc>
        <w:tc>
          <w:tcPr>
            <w:tcW w:w="905" w:type="dxa"/>
            <w:vAlign w:val="center"/>
          </w:tcPr>
          <w:p>
            <w:pPr>
              <w:jc w:val="center"/>
            </w:pPr>
            <w:r>
              <w:rPr>
                <w:rFonts w:hint="eastAsia" w:eastAsia="仿宋_GB2312"/>
                <w:szCs w:val="21"/>
              </w:rPr>
              <w:t>间歇运行</w:t>
            </w:r>
          </w:p>
        </w:tc>
        <w:tc>
          <w:tcPr>
            <w:tcW w:w="921" w:type="dxa"/>
            <w:vAlign w:val="center"/>
          </w:tcPr>
          <w:p>
            <w:pPr>
              <w:rPr>
                <w:rFonts w:eastAsia="仿宋_GB2312"/>
                <w:szCs w:val="21"/>
              </w:rPr>
            </w:pPr>
            <w:r>
              <w:rPr>
                <w:rFonts w:eastAsia="仿宋_GB2312"/>
                <w:szCs w:val="21"/>
              </w:rPr>
              <w:t>声屏障-1：41.0</w:t>
            </w:r>
          </w:p>
          <w:p>
            <w:pPr>
              <w:rPr>
                <w:rFonts w:eastAsia="仿宋_GB2312"/>
                <w:szCs w:val="21"/>
              </w:rPr>
            </w:pPr>
            <w:r>
              <w:rPr>
                <w:rFonts w:eastAsia="仿宋_GB2312"/>
                <w:szCs w:val="21"/>
              </w:rPr>
              <w:t>声屏障-2：41.0</w:t>
            </w:r>
          </w:p>
          <w:p>
            <w:pPr>
              <w:rPr>
                <w:rFonts w:eastAsia="仿宋_GB2312"/>
                <w:szCs w:val="21"/>
              </w:rPr>
            </w:pPr>
            <w:r>
              <w:rPr>
                <w:rFonts w:eastAsia="仿宋_GB2312"/>
                <w:szCs w:val="21"/>
              </w:rPr>
              <w:t>声屏障-3：41.0</w:t>
            </w:r>
          </w:p>
          <w:p>
            <w:pPr>
              <w:jc w:val="center"/>
              <w:rPr>
                <w:rFonts w:eastAsia="仿宋_GB2312"/>
                <w:szCs w:val="21"/>
              </w:rPr>
            </w:pPr>
            <w:r>
              <w:rPr>
                <w:rFonts w:eastAsia="仿宋_GB2312"/>
                <w:szCs w:val="21"/>
              </w:rPr>
              <w:t>声屏障-4：41.0</w:t>
            </w:r>
          </w:p>
        </w:tc>
        <w:tc>
          <w:tcPr>
            <w:tcW w:w="921" w:type="dxa"/>
            <w:vAlign w:val="center"/>
          </w:tcPr>
          <w:p>
            <w:pPr>
              <w:rPr>
                <w:rFonts w:eastAsia="仿宋_GB2312"/>
                <w:szCs w:val="21"/>
              </w:rPr>
            </w:pPr>
            <w:r>
              <w:rPr>
                <w:rFonts w:eastAsia="仿宋_GB2312"/>
                <w:szCs w:val="21"/>
              </w:rPr>
              <w:t>声屏障-1：25.0</w:t>
            </w:r>
          </w:p>
          <w:p>
            <w:pPr>
              <w:rPr>
                <w:rFonts w:eastAsia="仿宋_GB2312"/>
                <w:szCs w:val="21"/>
              </w:rPr>
            </w:pPr>
            <w:r>
              <w:rPr>
                <w:rFonts w:eastAsia="仿宋_GB2312"/>
                <w:szCs w:val="21"/>
              </w:rPr>
              <w:t>声屏障-2：25.0</w:t>
            </w:r>
          </w:p>
          <w:p>
            <w:pPr>
              <w:rPr>
                <w:rFonts w:eastAsia="仿宋_GB2312"/>
                <w:szCs w:val="21"/>
              </w:rPr>
            </w:pPr>
            <w:r>
              <w:rPr>
                <w:rFonts w:eastAsia="仿宋_GB2312"/>
                <w:szCs w:val="21"/>
              </w:rPr>
              <w:t>声屏障-3：25.0</w:t>
            </w:r>
          </w:p>
          <w:p>
            <w:pPr>
              <w:jc w:val="center"/>
              <w:rPr>
                <w:rFonts w:eastAsia="仿宋_GB2312"/>
                <w:szCs w:val="21"/>
              </w:rPr>
            </w:pPr>
            <w:r>
              <w:rPr>
                <w:rFonts w:eastAsia="仿宋_GB2312"/>
                <w:szCs w:val="21"/>
              </w:rPr>
              <w:t>声屏障-4：25.0</w:t>
            </w:r>
          </w:p>
        </w:tc>
        <w:tc>
          <w:tcPr>
            <w:tcW w:w="905" w:type="dxa"/>
            <w:vAlign w:val="center"/>
          </w:tcPr>
          <w:p>
            <w:pPr>
              <w:jc w:val="center"/>
              <w:rPr>
                <w:rFonts w:eastAsia="仿宋_GB2312"/>
                <w:szCs w:val="21"/>
              </w:rPr>
            </w:pPr>
            <w:r>
              <w:rPr>
                <w:rFonts w:hint="eastAsia" w:eastAsia="仿宋_GB2312"/>
                <w:szCs w:val="21"/>
              </w:rPr>
              <w:t>1</w:t>
            </w:r>
          </w:p>
        </w:tc>
      </w:tr>
    </w:tbl>
    <w:p/>
    <w:p>
      <w:pPr>
        <w:sectPr>
          <w:pgSz w:w="16838" w:h="11906" w:orient="landscape"/>
          <w:pgMar w:top="1797" w:right="1440" w:bottom="1797" w:left="1440" w:header="539" w:footer="992" w:gutter="0"/>
          <w:cols w:space="720" w:num="1"/>
          <w:docGrid w:linePitch="286" w:charSpace="0"/>
        </w:sectPr>
      </w:pPr>
    </w:p>
    <w:p>
      <w:pPr>
        <w:pStyle w:val="152"/>
        <w:spacing w:line="500" w:lineRule="exact"/>
        <w:ind w:firstLine="560"/>
        <w:rPr>
          <w:rFonts w:eastAsia="仿宋_GB2312"/>
          <w:sz w:val="28"/>
          <w:szCs w:val="28"/>
        </w:rPr>
      </w:pPr>
      <w:r>
        <w:rPr>
          <w:rFonts w:hint="eastAsia" w:ascii="宋体" w:hAnsi="宋体" w:cs="宋体"/>
          <w:sz w:val="28"/>
          <w:szCs w:val="28"/>
        </w:rPr>
        <w:t>②</w:t>
      </w:r>
      <w:r>
        <w:rPr>
          <w:rFonts w:eastAsia="仿宋_GB2312"/>
          <w:sz w:val="28"/>
          <w:szCs w:val="28"/>
        </w:rPr>
        <w:t>户外声传播衰减计算</w:t>
      </w:r>
    </w:p>
    <w:p>
      <w:pPr>
        <w:pStyle w:val="152"/>
        <w:spacing w:line="500" w:lineRule="exact"/>
        <w:ind w:firstLine="560"/>
        <w:rPr>
          <w:rFonts w:eastAsia="仿宋_GB2312"/>
          <w:sz w:val="28"/>
          <w:szCs w:val="28"/>
        </w:rPr>
      </w:pPr>
      <w:r>
        <w:rPr>
          <w:rFonts w:eastAsia="仿宋_GB2312"/>
          <w:sz w:val="28"/>
          <w:szCs w:val="28"/>
        </w:rPr>
        <w:t>根据声源功率级或靠近声源某一参考位置出的已知声级、户外声传播衰减，计算距离声源较远处的预测点的声级。在已知距离无指向性点声源参考点r</w:t>
      </w:r>
      <w:r>
        <w:rPr>
          <w:rFonts w:eastAsia="仿宋_GB2312"/>
          <w:sz w:val="28"/>
          <w:szCs w:val="28"/>
          <w:vertAlign w:val="subscript"/>
        </w:rPr>
        <w:t>0</w:t>
      </w:r>
      <w:r>
        <w:rPr>
          <w:rFonts w:eastAsia="仿宋_GB2312"/>
          <w:sz w:val="28"/>
          <w:szCs w:val="28"/>
        </w:rPr>
        <w:t>处的倍频带声压级和计算出参考点（r</w:t>
      </w:r>
      <w:r>
        <w:rPr>
          <w:rFonts w:eastAsia="仿宋_GB2312"/>
          <w:sz w:val="28"/>
          <w:szCs w:val="28"/>
          <w:vertAlign w:val="subscript"/>
        </w:rPr>
        <w:t>0</w:t>
      </w:r>
      <w:r>
        <w:rPr>
          <w:rFonts w:eastAsia="仿宋_GB2312"/>
          <w:sz w:val="28"/>
          <w:szCs w:val="28"/>
        </w:rPr>
        <w:t>）和预测点（r）处之间的户外声传播衰减后，预测点8个倍频带声压级公式：</w:t>
      </w:r>
    </w:p>
    <w:p>
      <w:pPr>
        <w:autoSpaceDE w:val="0"/>
        <w:autoSpaceDN w:val="0"/>
        <w:adjustRightInd w:val="0"/>
        <w:spacing w:line="500" w:lineRule="exact"/>
        <w:ind w:firstLine="560" w:firstLineChars="200"/>
        <w:jc w:val="left"/>
        <w:rPr>
          <w:rFonts w:eastAsia="仿宋_GB2312"/>
          <w:kern w:val="0"/>
          <w:sz w:val="28"/>
          <w:szCs w:val="28"/>
        </w:rPr>
      </w:pPr>
      <w:r>
        <w:rPr>
          <w:rFonts w:eastAsia="仿宋_GB2312"/>
          <w:i/>
          <w:iCs/>
          <w:kern w:val="0"/>
          <w:sz w:val="28"/>
          <w:szCs w:val="28"/>
        </w:rPr>
        <w:t>Lp</w:t>
      </w:r>
      <w:r>
        <w:rPr>
          <w:rFonts w:eastAsia="仿宋_GB2312"/>
          <w:kern w:val="0"/>
          <w:sz w:val="28"/>
          <w:szCs w:val="28"/>
        </w:rPr>
        <w:t>(</w:t>
      </w:r>
      <w:r>
        <w:rPr>
          <w:rFonts w:eastAsia="仿宋_GB2312"/>
          <w:i/>
          <w:iCs/>
          <w:kern w:val="0"/>
          <w:sz w:val="28"/>
          <w:szCs w:val="28"/>
        </w:rPr>
        <w:t>r</w:t>
      </w:r>
      <w:r>
        <w:rPr>
          <w:rFonts w:eastAsia="仿宋_GB2312"/>
          <w:kern w:val="0"/>
          <w:sz w:val="28"/>
          <w:szCs w:val="28"/>
        </w:rPr>
        <w:t>)＝</w:t>
      </w:r>
      <w:r>
        <w:rPr>
          <w:rFonts w:eastAsia="仿宋_GB2312"/>
          <w:i/>
          <w:iCs/>
          <w:kern w:val="0"/>
          <w:sz w:val="28"/>
          <w:szCs w:val="28"/>
        </w:rPr>
        <w:t>Lp</w:t>
      </w:r>
      <w:r>
        <w:rPr>
          <w:rFonts w:eastAsia="仿宋_GB2312"/>
          <w:kern w:val="0"/>
          <w:sz w:val="28"/>
          <w:szCs w:val="28"/>
        </w:rPr>
        <w:t>(</w:t>
      </w:r>
      <w:r>
        <w:rPr>
          <w:rFonts w:eastAsia="仿宋_GB2312"/>
          <w:i/>
          <w:iCs/>
          <w:kern w:val="0"/>
          <w:sz w:val="28"/>
          <w:szCs w:val="28"/>
        </w:rPr>
        <w:t>r</w:t>
      </w:r>
      <w:r>
        <w:rPr>
          <w:rFonts w:eastAsia="仿宋_GB2312"/>
          <w:kern w:val="0"/>
          <w:sz w:val="28"/>
          <w:szCs w:val="28"/>
        </w:rPr>
        <w:t>0)+</w:t>
      </w:r>
      <w:r>
        <w:rPr>
          <w:rFonts w:eastAsia="仿宋_GB2312"/>
          <w:i/>
          <w:iCs/>
          <w:kern w:val="0"/>
          <w:sz w:val="28"/>
          <w:szCs w:val="28"/>
        </w:rPr>
        <w:t>D</w:t>
      </w:r>
      <w:r>
        <w:rPr>
          <w:rFonts w:eastAsia="仿宋_GB2312"/>
          <w:kern w:val="0"/>
          <w:sz w:val="28"/>
          <w:szCs w:val="28"/>
        </w:rPr>
        <w:t>C－(</w:t>
      </w:r>
      <w:r>
        <w:rPr>
          <w:rFonts w:eastAsia="仿宋_GB2312"/>
          <w:i/>
          <w:iCs/>
          <w:kern w:val="0"/>
          <w:sz w:val="28"/>
          <w:szCs w:val="28"/>
        </w:rPr>
        <w:t>A</w:t>
      </w:r>
      <w:r>
        <w:rPr>
          <w:rFonts w:eastAsia="仿宋_GB2312"/>
          <w:kern w:val="0"/>
          <w:sz w:val="28"/>
          <w:szCs w:val="28"/>
          <w:vertAlign w:val="subscript"/>
        </w:rPr>
        <w:t>div</w:t>
      </w:r>
      <w:r>
        <w:rPr>
          <w:rFonts w:eastAsia="仿宋_GB2312"/>
          <w:kern w:val="0"/>
          <w:sz w:val="28"/>
          <w:szCs w:val="28"/>
        </w:rPr>
        <w:t>＋</w:t>
      </w:r>
      <w:r>
        <w:rPr>
          <w:rFonts w:eastAsia="仿宋_GB2312"/>
          <w:i/>
          <w:iCs/>
          <w:kern w:val="0"/>
          <w:sz w:val="28"/>
          <w:szCs w:val="28"/>
        </w:rPr>
        <w:t>A</w:t>
      </w:r>
      <w:r>
        <w:rPr>
          <w:rFonts w:eastAsia="仿宋_GB2312"/>
          <w:kern w:val="0"/>
          <w:sz w:val="28"/>
          <w:szCs w:val="28"/>
          <w:vertAlign w:val="subscript"/>
        </w:rPr>
        <w:t>atm</w:t>
      </w:r>
      <w:r>
        <w:rPr>
          <w:rFonts w:eastAsia="仿宋_GB2312"/>
          <w:kern w:val="0"/>
          <w:sz w:val="28"/>
          <w:szCs w:val="28"/>
        </w:rPr>
        <w:t>＋</w:t>
      </w:r>
      <w:r>
        <w:rPr>
          <w:rFonts w:eastAsia="仿宋_GB2312"/>
          <w:i/>
          <w:iCs/>
          <w:kern w:val="0"/>
          <w:sz w:val="28"/>
          <w:szCs w:val="28"/>
        </w:rPr>
        <w:t>A</w:t>
      </w:r>
      <w:r>
        <w:rPr>
          <w:rFonts w:eastAsia="仿宋_GB2312"/>
          <w:kern w:val="0"/>
          <w:sz w:val="28"/>
          <w:szCs w:val="28"/>
          <w:vertAlign w:val="subscript"/>
        </w:rPr>
        <w:t>gr</w:t>
      </w:r>
      <w:r>
        <w:rPr>
          <w:rFonts w:eastAsia="仿宋_GB2312"/>
          <w:kern w:val="0"/>
          <w:sz w:val="28"/>
          <w:szCs w:val="28"/>
        </w:rPr>
        <w:t>＋</w:t>
      </w:r>
      <w:r>
        <w:rPr>
          <w:rFonts w:eastAsia="仿宋_GB2312"/>
          <w:i/>
          <w:iCs/>
          <w:kern w:val="0"/>
          <w:sz w:val="28"/>
          <w:szCs w:val="28"/>
        </w:rPr>
        <w:t>A</w:t>
      </w:r>
      <w:r>
        <w:rPr>
          <w:rFonts w:eastAsia="仿宋_GB2312"/>
          <w:kern w:val="0"/>
          <w:sz w:val="28"/>
          <w:szCs w:val="28"/>
          <w:vertAlign w:val="subscript"/>
        </w:rPr>
        <w:t>bar</w:t>
      </w:r>
      <w:r>
        <w:rPr>
          <w:rFonts w:eastAsia="仿宋_GB2312"/>
          <w:kern w:val="0"/>
          <w:sz w:val="28"/>
          <w:szCs w:val="28"/>
        </w:rPr>
        <w:t>＋</w:t>
      </w:r>
      <w:r>
        <w:rPr>
          <w:rFonts w:eastAsia="仿宋_GB2312"/>
          <w:i/>
          <w:iCs/>
          <w:kern w:val="0"/>
          <w:sz w:val="28"/>
          <w:szCs w:val="28"/>
        </w:rPr>
        <w:t>A</w:t>
      </w:r>
      <w:r>
        <w:rPr>
          <w:rFonts w:eastAsia="仿宋_GB2312"/>
          <w:kern w:val="0"/>
          <w:sz w:val="28"/>
          <w:szCs w:val="28"/>
          <w:vertAlign w:val="subscript"/>
        </w:rPr>
        <w:t>misc</w:t>
      </w:r>
      <w:r>
        <w:rPr>
          <w:rFonts w:eastAsia="仿宋_GB2312"/>
          <w:kern w:val="0"/>
          <w:sz w:val="28"/>
          <w:szCs w:val="28"/>
        </w:rPr>
        <w:t xml:space="preserve">) </w:t>
      </w:r>
    </w:p>
    <w:p>
      <w:pPr>
        <w:pStyle w:val="152"/>
        <w:spacing w:line="500" w:lineRule="exact"/>
        <w:ind w:firstLine="560"/>
        <w:rPr>
          <w:rFonts w:eastAsia="仿宋_GB2312"/>
          <w:sz w:val="28"/>
          <w:szCs w:val="28"/>
        </w:rPr>
      </w:pPr>
      <w:r>
        <w:rPr>
          <w:rFonts w:eastAsia="仿宋_GB2312"/>
          <w:sz w:val="28"/>
          <w:szCs w:val="28"/>
        </w:rPr>
        <w:t>式中：</w:t>
      </w:r>
      <w:r>
        <w:rPr>
          <w:rFonts w:eastAsia="仿宋_GB2312"/>
          <w:i/>
          <w:iCs/>
          <w:sz w:val="28"/>
          <w:szCs w:val="28"/>
        </w:rPr>
        <w:t>Lp</w:t>
      </w:r>
      <w:r>
        <w:rPr>
          <w:rFonts w:eastAsia="仿宋_GB2312"/>
          <w:sz w:val="28"/>
          <w:szCs w:val="28"/>
        </w:rPr>
        <w:t>(</w:t>
      </w:r>
      <w:r>
        <w:rPr>
          <w:rFonts w:eastAsia="仿宋_GB2312"/>
          <w:i/>
          <w:iCs/>
          <w:sz w:val="28"/>
          <w:szCs w:val="28"/>
        </w:rPr>
        <w:t>r</w:t>
      </w:r>
      <w:r>
        <w:rPr>
          <w:rFonts w:eastAsia="仿宋_GB2312"/>
          <w:sz w:val="28"/>
          <w:szCs w:val="28"/>
        </w:rPr>
        <w:t>) ——预测点处声压级，dB；</w:t>
      </w:r>
    </w:p>
    <w:p>
      <w:pPr>
        <w:autoSpaceDE w:val="0"/>
        <w:autoSpaceDN w:val="0"/>
        <w:adjustRightInd w:val="0"/>
        <w:spacing w:line="500" w:lineRule="exact"/>
        <w:ind w:firstLine="560" w:firstLineChars="200"/>
        <w:jc w:val="left"/>
        <w:rPr>
          <w:rFonts w:eastAsia="仿宋_GB2312"/>
          <w:kern w:val="0"/>
          <w:sz w:val="28"/>
          <w:szCs w:val="28"/>
        </w:rPr>
      </w:pPr>
      <w:r>
        <w:rPr>
          <w:rFonts w:eastAsia="仿宋_GB2312"/>
          <w:i/>
          <w:iCs/>
          <w:kern w:val="0"/>
          <w:sz w:val="28"/>
          <w:szCs w:val="28"/>
        </w:rPr>
        <w:t xml:space="preserve">Lw </w:t>
      </w:r>
      <w:r>
        <w:rPr>
          <w:rFonts w:eastAsia="仿宋_GB2312"/>
          <w:kern w:val="0"/>
          <w:sz w:val="28"/>
          <w:szCs w:val="28"/>
        </w:rPr>
        <w:t xml:space="preserve">——由点声源产生的声功率级（A计权或倍频带），dB； </w:t>
      </w:r>
    </w:p>
    <w:p>
      <w:pPr>
        <w:autoSpaceDE w:val="0"/>
        <w:autoSpaceDN w:val="0"/>
        <w:adjustRightInd w:val="0"/>
        <w:spacing w:line="500" w:lineRule="exact"/>
        <w:ind w:firstLine="560" w:firstLineChars="200"/>
        <w:jc w:val="left"/>
        <w:rPr>
          <w:rFonts w:eastAsia="仿宋_GB2312"/>
          <w:kern w:val="0"/>
          <w:sz w:val="28"/>
          <w:szCs w:val="28"/>
        </w:rPr>
      </w:pPr>
      <w:r>
        <w:rPr>
          <w:rFonts w:eastAsia="仿宋_GB2312"/>
          <w:i/>
          <w:iCs/>
          <w:kern w:val="0"/>
          <w:sz w:val="28"/>
          <w:szCs w:val="28"/>
        </w:rPr>
        <w:t>D</w:t>
      </w:r>
      <w:r>
        <w:rPr>
          <w:rFonts w:eastAsia="仿宋_GB2312"/>
          <w:kern w:val="0"/>
          <w:sz w:val="28"/>
          <w:szCs w:val="28"/>
          <w:vertAlign w:val="subscript"/>
        </w:rPr>
        <w:t>C</w:t>
      </w:r>
      <w:r>
        <w:rPr>
          <w:rFonts w:eastAsia="仿宋_GB2312"/>
          <w:kern w:val="0"/>
          <w:sz w:val="28"/>
          <w:szCs w:val="28"/>
        </w:rPr>
        <w:t xml:space="preserve"> ——指向性校正，它描述点声源的等效连续声压级与产生声功率级</w:t>
      </w:r>
      <w:r>
        <w:rPr>
          <w:rFonts w:eastAsia="仿宋_GB2312"/>
          <w:i/>
          <w:iCs/>
          <w:kern w:val="0"/>
          <w:sz w:val="28"/>
          <w:szCs w:val="28"/>
        </w:rPr>
        <w:t>Lw</w:t>
      </w:r>
      <w:r>
        <w:rPr>
          <w:rFonts w:eastAsia="仿宋_GB2312"/>
          <w:kern w:val="0"/>
          <w:sz w:val="28"/>
          <w:szCs w:val="28"/>
        </w:rPr>
        <w:t xml:space="preserve">的全向点声源在规定方向的声级的偏差程度，dB； </w:t>
      </w:r>
    </w:p>
    <w:p>
      <w:pPr>
        <w:autoSpaceDE w:val="0"/>
        <w:autoSpaceDN w:val="0"/>
        <w:adjustRightInd w:val="0"/>
        <w:spacing w:line="500" w:lineRule="exact"/>
        <w:ind w:firstLine="560" w:firstLineChars="200"/>
        <w:jc w:val="left"/>
        <w:rPr>
          <w:rFonts w:eastAsia="仿宋_GB2312"/>
          <w:kern w:val="0"/>
          <w:sz w:val="28"/>
          <w:szCs w:val="28"/>
        </w:rPr>
      </w:pPr>
      <w:r>
        <w:rPr>
          <w:rFonts w:eastAsia="仿宋_GB2312"/>
          <w:i/>
          <w:iCs/>
          <w:kern w:val="0"/>
          <w:sz w:val="28"/>
          <w:szCs w:val="28"/>
        </w:rPr>
        <w:t>A</w:t>
      </w:r>
      <w:r>
        <w:rPr>
          <w:rFonts w:eastAsia="仿宋_GB2312"/>
          <w:kern w:val="0"/>
          <w:sz w:val="28"/>
          <w:szCs w:val="28"/>
          <w:vertAlign w:val="subscript"/>
        </w:rPr>
        <w:t>div</w:t>
      </w:r>
      <w:r>
        <w:rPr>
          <w:rFonts w:eastAsia="仿宋_GB2312"/>
          <w:kern w:val="0"/>
          <w:sz w:val="28"/>
          <w:szCs w:val="28"/>
        </w:rPr>
        <w:t xml:space="preserve"> ——几何发散引起的衰减，dB； </w:t>
      </w:r>
    </w:p>
    <w:p>
      <w:pPr>
        <w:autoSpaceDE w:val="0"/>
        <w:autoSpaceDN w:val="0"/>
        <w:adjustRightInd w:val="0"/>
        <w:spacing w:line="500" w:lineRule="exact"/>
        <w:ind w:firstLine="560" w:firstLineChars="200"/>
        <w:jc w:val="left"/>
        <w:rPr>
          <w:rFonts w:eastAsia="仿宋_GB2312"/>
          <w:kern w:val="0"/>
          <w:sz w:val="28"/>
          <w:szCs w:val="28"/>
        </w:rPr>
      </w:pPr>
      <w:r>
        <w:rPr>
          <w:rFonts w:eastAsia="仿宋_GB2312"/>
          <w:i/>
          <w:iCs/>
          <w:kern w:val="0"/>
          <w:sz w:val="28"/>
          <w:szCs w:val="28"/>
        </w:rPr>
        <w:t>A</w:t>
      </w:r>
      <w:r>
        <w:rPr>
          <w:rFonts w:eastAsia="仿宋_GB2312"/>
          <w:kern w:val="0"/>
          <w:sz w:val="28"/>
          <w:szCs w:val="28"/>
          <w:vertAlign w:val="subscript"/>
        </w:rPr>
        <w:t>atm</w:t>
      </w:r>
      <w:r>
        <w:rPr>
          <w:rFonts w:eastAsia="仿宋_GB2312"/>
          <w:kern w:val="0"/>
          <w:sz w:val="28"/>
          <w:szCs w:val="28"/>
        </w:rPr>
        <w:t>——大气吸收引起的衰减，dB；</w:t>
      </w:r>
    </w:p>
    <w:p>
      <w:pPr>
        <w:autoSpaceDE w:val="0"/>
        <w:autoSpaceDN w:val="0"/>
        <w:adjustRightInd w:val="0"/>
        <w:spacing w:line="500" w:lineRule="exact"/>
        <w:ind w:firstLine="560" w:firstLineChars="200"/>
        <w:jc w:val="left"/>
        <w:rPr>
          <w:rFonts w:eastAsia="仿宋_GB2312"/>
          <w:kern w:val="0"/>
          <w:sz w:val="28"/>
          <w:szCs w:val="28"/>
        </w:rPr>
      </w:pPr>
      <w:r>
        <w:rPr>
          <w:rFonts w:eastAsia="仿宋_GB2312"/>
          <w:i/>
          <w:iCs/>
          <w:kern w:val="0"/>
          <w:sz w:val="28"/>
          <w:szCs w:val="28"/>
        </w:rPr>
        <w:t>A</w:t>
      </w:r>
      <w:r>
        <w:rPr>
          <w:rFonts w:eastAsia="仿宋_GB2312"/>
          <w:kern w:val="0"/>
          <w:sz w:val="28"/>
          <w:szCs w:val="28"/>
          <w:vertAlign w:val="subscript"/>
        </w:rPr>
        <w:t>gr</w:t>
      </w:r>
      <w:r>
        <w:rPr>
          <w:rFonts w:eastAsia="仿宋_GB2312"/>
          <w:kern w:val="0"/>
          <w:sz w:val="28"/>
          <w:szCs w:val="28"/>
        </w:rPr>
        <w:t>——地面效应引起的衰减，dB；</w:t>
      </w:r>
    </w:p>
    <w:p>
      <w:pPr>
        <w:autoSpaceDE w:val="0"/>
        <w:autoSpaceDN w:val="0"/>
        <w:adjustRightInd w:val="0"/>
        <w:spacing w:line="500" w:lineRule="exact"/>
        <w:ind w:firstLine="560" w:firstLineChars="200"/>
        <w:jc w:val="left"/>
        <w:rPr>
          <w:rFonts w:eastAsia="仿宋_GB2312"/>
          <w:kern w:val="0"/>
          <w:sz w:val="28"/>
          <w:szCs w:val="28"/>
        </w:rPr>
      </w:pPr>
      <w:r>
        <w:rPr>
          <w:rFonts w:eastAsia="仿宋_GB2312"/>
          <w:i/>
          <w:iCs/>
          <w:kern w:val="0"/>
          <w:sz w:val="28"/>
          <w:szCs w:val="28"/>
        </w:rPr>
        <w:t>A</w:t>
      </w:r>
      <w:r>
        <w:rPr>
          <w:rFonts w:eastAsia="仿宋_GB2312"/>
          <w:kern w:val="0"/>
          <w:sz w:val="28"/>
          <w:szCs w:val="28"/>
          <w:vertAlign w:val="subscript"/>
        </w:rPr>
        <w:t xml:space="preserve">bar </w:t>
      </w:r>
      <w:r>
        <w:rPr>
          <w:rFonts w:eastAsia="仿宋_GB2312"/>
          <w:kern w:val="0"/>
          <w:sz w:val="28"/>
          <w:szCs w:val="28"/>
        </w:rPr>
        <w:t>——障碍物屏蔽引起的衰减，dB；</w:t>
      </w:r>
    </w:p>
    <w:p>
      <w:pPr>
        <w:autoSpaceDE w:val="0"/>
        <w:autoSpaceDN w:val="0"/>
        <w:adjustRightInd w:val="0"/>
        <w:spacing w:line="500" w:lineRule="exact"/>
        <w:ind w:firstLine="560" w:firstLineChars="200"/>
        <w:jc w:val="left"/>
        <w:rPr>
          <w:rFonts w:eastAsia="仿宋_GB2312"/>
          <w:kern w:val="0"/>
          <w:sz w:val="28"/>
          <w:szCs w:val="28"/>
        </w:rPr>
      </w:pPr>
      <w:r>
        <w:rPr>
          <w:rFonts w:eastAsia="仿宋_GB2312"/>
          <w:i/>
          <w:iCs/>
          <w:kern w:val="0"/>
          <w:sz w:val="28"/>
          <w:szCs w:val="28"/>
        </w:rPr>
        <w:t>A</w:t>
      </w:r>
      <w:r>
        <w:rPr>
          <w:rFonts w:eastAsia="仿宋_GB2312"/>
          <w:kern w:val="0"/>
          <w:sz w:val="28"/>
          <w:szCs w:val="28"/>
          <w:vertAlign w:val="subscript"/>
        </w:rPr>
        <w:t>misc</w:t>
      </w:r>
      <w:r>
        <w:rPr>
          <w:rFonts w:eastAsia="仿宋_GB2312"/>
          <w:kern w:val="0"/>
          <w:sz w:val="28"/>
          <w:szCs w:val="28"/>
        </w:rPr>
        <w:t>——其他多方面效应引起的衰减，dB。</w:t>
      </w:r>
    </w:p>
    <w:p>
      <w:pPr>
        <w:pStyle w:val="152"/>
        <w:spacing w:line="500" w:lineRule="exact"/>
        <w:ind w:firstLine="478" w:firstLineChars="171"/>
        <w:rPr>
          <w:rFonts w:eastAsia="仿宋_GB2312"/>
          <w:sz w:val="28"/>
          <w:szCs w:val="28"/>
        </w:rPr>
      </w:pPr>
      <w:r>
        <w:rPr>
          <w:rFonts w:eastAsia="仿宋_GB2312"/>
          <w:sz w:val="28"/>
          <w:szCs w:val="28"/>
        </w:rPr>
        <w:t>根据《环境影响评价技术导则 声环境》(HJ2.4-2021)中建设项目声环境影响评价表格要求：工业企业噪声源强调查清单（室外声源）如下表所示：</w:t>
      </w:r>
    </w:p>
    <w:p>
      <w:pPr>
        <w:spacing w:line="500" w:lineRule="exact"/>
        <w:ind w:firstLine="482" w:firstLineChars="200"/>
        <w:jc w:val="center"/>
        <w:rPr>
          <w:rFonts w:eastAsia="仿宋_GB2312"/>
          <w:b/>
          <w:bCs/>
          <w:sz w:val="24"/>
        </w:rPr>
      </w:pPr>
      <w:r>
        <w:rPr>
          <w:rFonts w:eastAsia="仿宋_GB2312"/>
          <w:b/>
          <w:bCs/>
          <w:sz w:val="24"/>
        </w:rPr>
        <w:t>表5.2-</w:t>
      </w:r>
      <w:r>
        <w:rPr>
          <w:rFonts w:hint="eastAsia" w:eastAsia="仿宋_GB2312"/>
          <w:b/>
          <w:bCs/>
          <w:sz w:val="24"/>
        </w:rPr>
        <w:t>2</w:t>
      </w:r>
      <w:r>
        <w:rPr>
          <w:rFonts w:eastAsia="仿宋_GB2312"/>
          <w:b/>
          <w:bCs/>
          <w:sz w:val="24"/>
        </w:rPr>
        <w:t xml:space="preserve">2   </w:t>
      </w:r>
      <w:r>
        <w:rPr>
          <w:rFonts w:hint="eastAsia" w:eastAsia="仿宋_GB2312"/>
          <w:b/>
          <w:bCs/>
          <w:sz w:val="24"/>
        </w:rPr>
        <w:t>工业</w:t>
      </w:r>
      <w:r>
        <w:rPr>
          <w:rFonts w:eastAsia="仿宋_GB2312"/>
          <w:b/>
          <w:bCs/>
          <w:sz w:val="24"/>
        </w:rPr>
        <w:t>企业</w:t>
      </w:r>
      <w:r>
        <w:rPr>
          <w:rFonts w:hint="eastAsia" w:eastAsia="仿宋_GB2312"/>
          <w:b/>
          <w:bCs/>
          <w:sz w:val="24"/>
        </w:rPr>
        <w:t>噪声源强调查</w:t>
      </w:r>
      <w:r>
        <w:rPr>
          <w:rFonts w:eastAsia="仿宋_GB2312"/>
          <w:b/>
          <w:bCs/>
          <w:sz w:val="24"/>
        </w:rPr>
        <w:t>清单</w:t>
      </w:r>
      <w:r>
        <w:rPr>
          <w:rFonts w:hint="eastAsia" w:eastAsia="仿宋_GB2312"/>
          <w:b/>
          <w:bCs/>
          <w:sz w:val="24"/>
        </w:rPr>
        <w:t>（室外</w:t>
      </w:r>
      <w:r>
        <w:rPr>
          <w:rFonts w:eastAsia="仿宋_GB2312"/>
          <w:b/>
          <w:bCs/>
          <w:sz w:val="24"/>
        </w:rPr>
        <w:t>声源</w:t>
      </w:r>
      <w:r>
        <w:rPr>
          <w:rFonts w:hint="eastAsia" w:eastAsia="仿宋_GB2312"/>
          <w:b/>
          <w:bCs/>
          <w:sz w:val="24"/>
        </w:rPr>
        <w:t>）</w:t>
      </w:r>
    </w:p>
    <w:tbl>
      <w:tblPr>
        <w:tblStyle w:val="88"/>
        <w:tblW w:w="107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2"/>
        <w:gridCol w:w="2736"/>
        <w:gridCol w:w="1004"/>
        <w:gridCol w:w="905"/>
        <w:gridCol w:w="905"/>
        <w:gridCol w:w="888"/>
        <w:gridCol w:w="864"/>
        <w:gridCol w:w="1217"/>
        <w:gridCol w:w="823"/>
        <w:gridCol w:w="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522" w:type="dxa"/>
            <w:vMerge w:val="restart"/>
            <w:vAlign w:val="center"/>
          </w:tcPr>
          <w:p>
            <w:pPr>
              <w:tabs>
                <w:tab w:val="center" w:pos="900"/>
              </w:tabs>
              <w:jc w:val="center"/>
              <w:rPr>
                <w:rFonts w:ascii="仿宋" w:hAnsi="仿宋" w:eastAsia="仿宋" w:cs="仿宋"/>
                <w:bCs/>
                <w:szCs w:val="21"/>
              </w:rPr>
            </w:pPr>
            <w:r>
              <w:rPr>
                <w:rFonts w:hint="eastAsia" w:ascii="仿宋" w:hAnsi="仿宋" w:eastAsia="仿宋" w:cs="仿宋"/>
                <w:bCs/>
                <w:szCs w:val="21"/>
              </w:rPr>
              <w:t>序号</w:t>
            </w:r>
          </w:p>
        </w:tc>
        <w:tc>
          <w:tcPr>
            <w:tcW w:w="2736" w:type="dxa"/>
            <w:vMerge w:val="restart"/>
            <w:vAlign w:val="center"/>
          </w:tcPr>
          <w:p>
            <w:pPr>
              <w:tabs>
                <w:tab w:val="center" w:pos="900"/>
              </w:tabs>
              <w:jc w:val="center"/>
              <w:rPr>
                <w:rFonts w:ascii="仿宋" w:hAnsi="仿宋" w:eastAsia="仿宋" w:cs="仿宋"/>
                <w:bCs/>
                <w:szCs w:val="21"/>
              </w:rPr>
            </w:pPr>
            <w:r>
              <w:rPr>
                <w:rFonts w:hint="eastAsia" w:ascii="仿宋" w:hAnsi="仿宋" w:eastAsia="仿宋" w:cs="仿宋"/>
                <w:bCs/>
                <w:szCs w:val="21"/>
              </w:rPr>
              <w:t>声</w:t>
            </w:r>
            <w:r>
              <w:rPr>
                <w:rFonts w:ascii="仿宋" w:hAnsi="仿宋" w:eastAsia="仿宋" w:cs="仿宋"/>
                <w:bCs/>
                <w:szCs w:val="21"/>
              </w:rPr>
              <w:t>源名称</w:t>
            </w:r>
          </w:p>
        </w:tc>
        <w:tc>
          <w:tcPr>
            <w:tcW w:w="1004" w:type="dxa"/>
            <w:vMerge w:val="restart"/>
            <w:vAlign w:val="center"/>
          </w:tcPr>
          <w:p>
            <w:pPr>
              <w:tabs>
                <w:tab w:val="center" w:pos="900"/>
              </w:tabs>
              <w:jc w:val="center"/>
              <w:rPr>
                <w:rFonts w:ascii="仿宋" w:hAnsi="仿宋" w:eastAsia="仿宋" w:cs="仿宋"/>
                <w:bCs/>
                <w:szCs w:val="21"/>
              </w:rPr>
            </w:pPr>
            <w:r>
              <w:rPr>
                <w:rFonts w:hint="eastAsia" w:ascii="仿宋" w:hAnsi="仿宋" w:eastAsia="仿宋" w:cs="仿宋"/>
                <w:bCs/>
                <w:szCs w:val="21"/>
              </w:rPr>
              <w:t>数量（台/套）</w:t>
            </w:r>
          </w:p>
        </w:tc>
        <w:tc>
          <w:tcPr>
            <w:tcW w:w="2698" w:type="dxa"/>
            <w:gridSpan w:val="3"/>
            <w:vAlign w:val="center"/>
          </w:tcPr>
          <w:p>
            <w:pPr>
              <w:tabs>
                <w:tab w:val="center" w:pos="900"/>
              </w:tabs>
              <w:jc w:val="center"/>
              <w:rPr>
                <w:rFonts w:ascii="仿宋" w:hAnsi="仿宋" w:eastAsia="仿宋" w:cs="仿宋"/>
                <w:bCs/>
                <w:szCs w:val="21"/>
              </w:rPr>
            </w:pPr>
            <w:r>
              <w:rPr>
                <w:rFonts w:hint="eastAsia" w:ascii="仿宋" w:hAnsi="仿宋" w:eastAsia="仿宋" w:cs="仿宋"/>
                <w:bCs/>
                <w:szCs w:val="21"/>
              </w:rPr>
              <w:t>空间</w:t>
            </w:r>
            <w:r>
              <w:rPr>
                <w:rFonts w:ascii="仿宋" w:hAnsi="仿宋" w:eastAsia="仿宋" w:cs="仿宋"/>
                <w:bCs/>
                <w:szCs w:val="21"/>
              </w:rPr>
              <w:t>相对位置</w:t>
            </w:r>
            <w:r>
              <w:rPr>
                <w:rFonts w:hint="eastAsia" w:ascii="仿宋" w:hAnsi="仿宋" w:eastAsia="仿宋" w:cs="仿宋"/>
                <w:bCs/>
                <w:szCs w:val="21"/>
              </w:rPr>
              <w:t>/m</w:t>
            </w:r>
          </w:p>
        </w:tc>
        <w:tc>
          <w:tcPr>
            <w:tcW w:w="864" w:type="dxa"/>
            <w:vMerge w:val="restart"/>
            <w:vAlign w:val="center"/>
          </w:tcPr>
          <w:p>
            <w:pPr>
              <w:tabs>
                <w:tab w:val="center" w:pos="900"/>
              </w:tabs>
              <w:jc w:val="center"/>
              <w:rPr>
                <w:rFonts w:ascii="仿宋" w:hAnsi="仿宋" w:eastAsia="仿宋" w:cs="仿宋"/>
                <w:bCs/>
                <w:szCs w:val="21"/>
              </w:rPr>
            </w:pPr>
            <w:r>
              <w:rPr>
                <w:rFonts w:hint="eastAsia" w:ascii="仿宋" w:hAnsi="仿宋" w:eastAsia="仿宋" w:cs="仿宋"/>
                <w:bCs/>
                <w:szCs w:val="21"/>
              </w:rPr>
              <w:t>声功率级/dB(</w:t>
            </w:r>
            <w:r>
              <w:rPr>
                <w:rFonts w:ascii="仿宋" w:hAnsi="仿宋" w:eastAsia="仿宋" w:cs="仿宋"/>
                <w:bCs/>
                <w:szCs w:val="21"/>
              </w:rPr>
              <w:t>A</w:t>
            </w:r>
            <w:r>
              <w:rPr>
                <w:rFonts w:hint="eastAsia" w:ascii="仿宋" w:hAnsi="仿宋" w:eastAsia="仿宋" w:cs="仿宋"/>
                <w:bCs/>
                <w:szCs w:val="21"/>
              </w:rPr>
              <w:t>)</w:t>
            </w:r>
          </w:p>
        </w:tc>
        <w:tc>
          <w:tcPr>
            <w:tcW w:w="1217" w:type="dxa"/>
            <w:vMerge w:val="restart"/>
          </w:tcPr>
          <w:p>
            <w:pPr>
              <w:tabs>
                <w:tab w:val="center" w:pos="900"/>
              </w:tabs>
              <w:jc w:val="center"/>
              <w:rPr>
                <w:rFonts w:ascii="仿宋" w:hAnsi="仿宋" w:eastAsia="仿宋" w:cs="仿宋"/>
                <w:bCs/>
                <w:szCs w:val="21"/>
              </w:rPr>
            </w:pPr>
            <w:r>
              <w:rPr>
                <w:rFonts w:hint="eastAsia" w:ascii="仿宋" w:hAnsi="仿宋" w:eastAsia="仿宋" w:cs="仿宋"/>
                <w:bCs/>
                <w:szCs w:val="21"/>
              </w:rPr>
              <w:t>同类</w:t>
            </w:r>
            <w:r>
              <w:rPr>
                <w:rFonts w:ascii="仿宋" w:hAnsi="仿宋" w:eastAsia="仿宋" w:cs="仿宋"/>
                <w:bCs/>
                <w:szCs w:val="21"/>
              </w:rPr>
              <w:t>设备叠加</w:t>
            </w:r>
            <w:r>
              <w:rPr>
                <w:rFonts w:hint="eastAsia" w:ascii="仿宋" w:hAnsi="仿宋" w:eastAsia="仿宋" w:cs="仿宋"/>
                <w:bCs/>
                <w:szCs w:val="21"/>
              </w:rPr>
              <w:t>声功率级/dB(</w:t>
            </w:r>
            <w:r>
              <w:rPr>
                <w:rFonts w:ascii="仿宋" w:hAnsi="仿宋" w:eastAsia="仿宋" w:cs="仿宋"/>
                <w:bCs/>
                <w:szCs w:val="21"/>
              </w:rPr>
              <w:t>A</w:t>
            </w:r>
            <w:r>
              <w:rPr>
                <w:rFonts w:hint="eastAsia" w:ascii="仿宋" w:hAnsi="仿宋" w:eastAsia="仿宋" w:cs="仿宋"/>
                <w:bCs/>
                <w:szCs w:val="21"/>
              </w:rPr>
              <w:t>)</w:t>
            </w:r>
          </w:p>
        </w:tc>
        <w:tc>
          <w:tcPr>
            <w:tcW w:w="823" w:type="dxa"/>
            <w:vMerge w:val="restart"/>
            <w:vAlign w:val="center"/>
          </w:tcPr>
          <w:p>
            <w:pPr>
              <w:tabs>
                <w:tab w:val="center" w:pos="900"/>
              </w:tabs>
              <w:jc w:val="center"/>
              <w:rPr>
                <w:rFonts w:ascii="仿宋" w:hAnsi="仿宋" w:eastAsia="仿宋" w:cs="仿宋"/>
                <w:bCs/>
                <w:szCs w:val="21"/>
              </w:rPr>
            </w:pPr>
            <w:r>
              <w:rPr>
                <w:rFonts w:hint="eastAsia" w:ascii="仿宋" w:hAnsi="仿宋" w:eastAsia="仿宋" w:cs="仿宋"/>
                <w:bCs/>
                <w:szCs w:val="21"/>
              </w:rPr>
              <w:t>声</w:t>
            </w:r>
            <w:r>
              <w:rPr>
                <w:rFonts w:ascii="仿宋" w:hAnsi="仿宋" w:eastAsia="仿宋" w:cs="仿宋"/>
                <w:bCs/>
                <w:szCs w:val="21"/>
              </w:rPr>
              <w:t>源控制措施</w:t>
            </w:r>
          </w:p>
        </w:tc>
        <w:tc>
          <w:tcPr>
            <w:tcW w:w="930" w:type="dxa"/>
            <w:vMerge w:val="restart"/>
            <w:vAlign w:val="center"/>
          </w:tcPr>
          <w:p>
            <w:pPr>
              <w:tabs>
                <w:tab w:val="center" w:pos="900"/>
              </w:tabs>
              <w:jc w:val="center"/>
              <w:rPr>
                <w:rFonts w:ascii="仿宋" w:hAnsi="仿宋" w:eastAsia="仿宋" w:cs="仿宋"/>
                <w:bCs/>
                <w:szCs w:val="21"/>
              </w:rPr>
            </w:pPr>
            <w:r>
              <w:rPr>
                <w:rFonts w:hint="eastAsia" w:ascii="仿宋" w:hAnsi="仿宋" w:eastAsia="仿宋" w:cs="仿宋"/>
                <w:bCs/>
                <w:szCs w:val="21"/>
              </w:rPr>
              <w:t>运行</w:t>
            </w:r>
            <w:r>
              <w:rPr>
                <w:rFonts w:ascii="仿宋" w:hAnsi="仿宋" w:eastAsia="仿宋" w:cs="仿宋"/>
                <w:bCs/>
                <w:szCs w:val="21"/>
              </w:rPr>
              <w:t>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522" w:type="dxa"/>
            <w:vMerge w:val="continue"/>
          </w:tcPr>
          <w:p>
            <w:pPr>
              <w:tabs>
                <w:tab w:val="center" w:pos="900"/>
              </w:tabs>
              <w:jc w:val="center"/>
              <w:rPr>
                <w:rFonts w:ascii="仿宋" w:hAnsi="仿宋" w:eastAsia="仿宋" w:cs="仿宋"/>
                <w:bCs/>
                <w:szCs w:val="21"/>
              </w:rPr>
            </w:pPr>
          </w:p>
        </w:tc>
        <w:tc>
          <w:tcPr>
            <w:tcW w:w="2736" w:type="dxa"/>
            <w:vMerge w:val="continue"/>
          </w:tcPr>
          <w:p>
            <w:pPr>
              <w:tabs>
                <w:tab w:val="center" w:pos="900"/>
              </w:tabs>
              <w:jc w:val="center"/>
              <w:rPr>
                <w:rFonts w:ascii="仿宋" w:hAnsi="仿宋" w:eastAsia="仿宋" w:cs="仿宋"/>
                <w:bCs/>
                <w:szCs w:val="21"/>
              </w:rPr>
            </w:pPr>
          </w:p>
        </w:tc>
        <w:tc>
          <w:tcPr>
            <w:tcW w:w="1004" w:type="dxa"/>
            <w:vMerge w:val="continue"/>
          </w:tcPr>
          <w:p>
            <w:pPr>
              <w:tabs>
                <w:tab w:val="center" w:pos="900"/>
              </w:tabs>
              <w:jc w:val="center"/>
              <w:rPr>
                <w:rFonts w:ascii="仿宋" w:hAnsi="仿宋" w:eastAsia="仿宋" w:cs="仿宋"/>
                <w:bCs/>
                <w:szCs w:val="21"/>
              </w:rPr>
            </w:pPr>
          </w:p>
        </w:tc>
        <w:tc>
          <w:tcPr>
            <w:tcW w:w="905" w:type="dxa"/>
            <w:vAlign w:val="center"/>
          </w:tcPr>
          <w:p>
            <w:pPr>
              <w:tabs>
                <w:tab w:val="center" w:pos="900"/>
              </w:tabs>
              <w:jc w:val="center"/>
              <w:rPr>
                <w:rFonts w:ascii="仿宋" w:hAnsi="仿宋" w:eastAsia="仿宋" w:cs="仿宋"/>
                <w:bCs/>
                <w:szCs w:val="21"/>
              </w:rPr>
            </w:pPr>
            <w:r>
              <w:rPr>
                <w:rFonts w:hint="eastAsia" w:ascii="仿宋" w:hAnsi="仿宋" w:eastAsia="仿宋" w:cs="仿宋"/>
                <w:bCs/>
                <w:szCs w:val="21"/>
              </w:rPr>
              <w:t>X</w:t>
            </w:r>
          </w:p>
        </w:tc>
        <w:tc>
          <w:tcPr>
            <w:tcW w:w="905" w:type="dxa"/>
            <w:vAlign w:val="center"/>
          </w:tcPr>
          <w:p>
            <w:pPr>
              <w:tabs>
                <w:tab w:val="center" w:pos="900"/>
              </w:tabs>
              <w:jc w:val="center"/>
              <w:rPr>
                <w:rFonts w:ascii="仿宋" w:hAnsi="仿宋" w:eastAsia="仿宋" w:cs="仿宋"/>
                <w:bCs/>
                <w:szCs w:val="21"/>
              </w:rPr>
            </w:pPr>
            <w:r>
              <w:rPr>
                <w:rFonts w:hint="eastAsia" w:ascii="仿宋" w:hAnsi="仿宋" w:eastAsia="仿宋" w:cs="仿宋"/>
                <w:bCs/>
                <w:szCs w:val="21"/>
              </w:rPr>
              <w:t>Y</w:t>
            </w:r>
          </w:p>
        </w:tc>
        <w:tc>
          <w:tcPr>
            <w:tcW w:w="888" w:type="dxa"/>
            <w:vAlign w:val="center"/>
          </w:tcPr>
          <w:p>
            <w:pPr>
              <w:tabs>
                <w:tab w:val="center" w:pos="900"/>
              </w:tabs>
              <w:jc w:val="center"/>
              <w:rPr>
                <w:rFonts w:ascii="仿宋" w:hAnsi="仿宋" w:eastAsia="仿宋" w:cs="仿宋"/>
                <w:bCs/>
                <w:szCs w:val="21"/>
              </w:rPr>
            </w:pPr>
            <w:r>
              <w:rPr>
                <w:rFonts w:hint="eastAsia" w:ascii="仿宋" w:hAnsi="仿宋" w:eastAsia="仿宋" w:cs="仿宋"/>
                <w:bCs/>
                <w:szCs w:val="21"/>
              </w:rPr>
              <w:t>Z</w:t>
            </w:r>
          </w:p>
        </w:tc>
        <w:tc>
          <w:tcPr>
            <w:tcW w:w="864" w:type="dxa"/>
            <w:vMerge w:val="continue"/>
          </w:tcPr>
          <w:p>
            <w:pPr>
              <w:pStyle w:val="33"/>
              <w:tabs>
                <w:tab w:val="center" w:pos="900"/>
              </w:tabs>
              <w:rPr>
                <w:rFonts w:ascii="仿宋" w:hAnsi="仿宋" w:eastAsia="仿宋" w:cs="仿宋"/>
                <w:bCs/>
                <w:szCs w:val="21"/>
              </w:rPr>
            </w:pPr>
          </w:p>
        </w:tc>
        <w:tc>
          <w:tcPr>
            <w:tcW w:w="1217" w:type="dxa"/>
            <w:vMerge w:val="continue"/>
          </w:tcPr>
          <w:p>
            <w:pPr>
              <w:pStyle w:val="33"/>
              <w:tabs>
                <w:tab w:val="center" w:pos="900"/>
              </w:tabs>
              <w:rPr>
                <w:rFonts w:ascii="仿宋" w:hAnsi="仿宋" w:eastAsia="仿宋" w:cs="仿宋"/>
                <w:bCs/>
                <w:szCs w:val="21"/>
              </w:rPr>
            </w:pPr>
          </w:p>
        </w:tc>
        <w:tc>
          <w:tcPr>
            <w:tcW w:w="823" w:type="dxa"/>
            <w:vMerge w:val="continue"/>
          </w:tcPr>
          <w:p>
            <w:pPr>
              <w:pStyle w:val="33"/>
              <w:tabs>
                <w:tab w:val="center" w:pos="900"/>
              </w:tabs>
              <w:rPr>
                <w:rFonts w:ascii="仿宋" w:hAnsi="仿宋" w:eastAsia="仿宋" w:cs="仿宋"/>
                <w:bCs/>
                <w:szCs w:val="21"/>
              </w:rPr>
            </w:pPr>
          </w:p>
        </w:tc>
        <w:tc>
          <w:tcPr>
            <w:tcW w:w="930" w:type="dxa"/>
            <w:vMerge w:val="continue"/>
          </w:tcPr>
          <w:p>
            <w:pPr>
              <w:pStyle w:val="33"/>
              <w:tabs>
                <w:tab w:val="center" w:pos="900"/>
              </w:tabs>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522" w:type="dxa"/>
            <w:vAlign w:val="center"/>
          </w:tcPr>
          <w:p>
            <w:pPr>
              <w:tabs>
                <w:tab w:val="center" w:pos="900"/>
              </w:tabs>
              <w:jc w:val="center"/>
              <w:rPr>
                <w:rFonts w:ascii="仿宋" w:hAnsi="仿宋" w:eastAsia="仿宋" w:cs="仿宋"/>
                <w:bCs/>
                <w:szCs w:val="21"/>
              </w:rPr>
            </w:pPr>
            <w:r>
              <w:rPr>
                <w:rFonts w:hint="eastAsia" w:ascii="仿宋" w:hAnsi="仿宋" w:eastAsia="仿宋" w:cs="仿宋"/>
                <w:bCs/>
                <w:szCs w:val="21"/>
              </w:rPr>
              <w:t>1</w:t>
            </w:r>
          </w:p>
        </w:tc>
        <w:tc>
          <w:tcPr>
            <w:tcW w:w="2736" w:type="dxa"/>
            <w:vAlign w:val="center"/>
          </w:tcPr>
          <w:p>
            <w:pPr>
              <w:tabs>
                <w:tab w:val="center" w:pos="900"/>
              </w:tabs>
              <w:jc w:val="center"/>
              <w:rPr>
                <w:rFonts w:ascii="仿宋" w:hAnsi="仿宋" w:eastAsia="仿宋" w:cs="仿宋"/>
                <w:bCs/>
                <w:szCs w:val="21"/>
              </w:rPr>
            </w:pPr>
            <w:r>
              <w:rPr>
                <w:rFonts w:hint="eastAsia" w:ascii="仿宋" w:hAnsi="仿宋" w:eastAsia="仿宋" w:cs="仿宋"/>
                <w:bCs/>
                <w:szCs w:val="21"/>
              </w:rPr>
              <w:t>空压机</w:t>
            </w:r>
          </w:p>
        </w:tc>
        <w:tc>
          <w:tcPr>
            <w:tcW w:w="1004" w:type="dxa"/>
            <w:vAlign w:val="center"/>
          </w:tcPr>
          <w:p>
            <w:pPr>
              <w:tabs>
                <w:tab w:val="center" w:pos="900"/>
              </w:tabs>
              <w:jc w:val="center"/>
              <w:rPr>
                <w:rFonts w:ascii="仿宋" w:hAnsi="仿宋" w:eastAsia="仿宋" w:cs="仿宋"/>
                <w:bCs/>
                <w:szCs w:val="21"/>
              </w:rPr>
            </w:pPr>
            <w:r>
              <w:rPr>
                <w:rFonts w:hint="eastAsia" w:ascii="仿宋" w:hAnsi="仿宋" w:eastAsia="仿宋" w:cs="仿宋"/>
                <w:bCs/>
                <w:szCs w:val="21"/>
              </w:rPr>
              <w:t>1</w:t>
            </w:r>
          </w:p>
        </w:tc>
        <w:tc>
          <w:tcPr>
            <w:tcW w:w="905" w:type="dxa"/>
            <w:vAlign w:val="center"/>
          </w:tcPr>
          <w:p>
            <w:pPr>
              <w:spacing w:line="240" w:lineRule="atLeast"/>
              <w:jc w:val="center"/>
              <w:rPr>
                <w:rFonts w:eastAsia="仿宋_GB2312" w:cs="仿宋"/>
                <w:bCs/>
                <w:szCs w:val="21"/>
              </w:rPr>
            </w:pPr>
            <w:r>
              <w:rPr>
                <w:rFonts w:hint="eastAsia" w:eastAsia="仿宋_GB2312" w:cs="仿宋"/>
                <w:bCs/>
                <w:szCs w:val="21"/>
              </w:rPr>
              <w:t>123</w:t>
            </w:r>
            <w:r>
              <w:rPr>
                <w:rFonts w:eastAsia="仿宋_GB2312" w:cs="仿宋"/>
                <w:bCs/>
                <w:szCs w:val="21"/>
              </w:rPr>
              <w:t>.22</w:t>
            </w:r>
          </w:p>
        </w:tc>
        <w:tc>
          <w:tcPr>
            <w:tcW w:w="905" w:type="dxa"/>
            <w:vAlign w:val="center"/>
          </w:tcPr>
          <w:p>
            <w:pPr>
              <w:spacing w:line="240" w:lineRule="atLeast"/>
              <w:jc w:val="center"/>
              <w:rPr>
                <w:rFonts w:eastAsia="仿宋_GB2312" w:cs="仿宋"/>
                <w:bCs/>
                <w:szCs w:val="21"/>
              </w:rPr>
            </w:pPr>
            <w:r>
              <w:rPr>
                <w:rFonts w:hint="eastAsia" w:eastAsia="仿宋_GB2312" w:cs="仿宋"/>
                <w:bCs/>
                <w:szCs w:val="21"/>
              </w:rPr>
              <w:t>91</w:t>
            </w:r>
          </w:p>
        </w:tc>
        <w:tc>
          <w:tcPr>
            <w:tcW w:w="888" w:type="dxa"/>
            <w:vAlign w:val="center"/>
          </w:tcPr>
          <w:p>
            <w:pPr>
              <w:spacing w:line="240" w:lineRule="atLeast"/>
              <w:jc w:val="center"/>
              <w:rPr>
                <w:rFonts w:ascii="仿宋" w:hAnsi="仿宋" w:eastAsia="仿宋" w:cs="仿宋"/>
                <w:bCs/>
                <w:szCs w:val="21"/>
              </w:rPr>
            </w:pPr>
            <w:r>
              <w:rPr>
                <w:rFonts w:hint="eastAsia" w:eastAsia="仿宋_GB2312" w:cs="仿宋"/>
                <w:bCs/>
                <w:szCs w:val="21"/>
              </w:rPr>
              <w:t>0</w:t>
            </w:r>
          </w:p>
        </w:tc>
        <w:tc>
          <w:tcPr>
            <w:tcW w:w="864" w:type="dxa"/>
            <w:vAlign w:val="center"/>
          </w:tcPr>
          <w:p>
            <w:pPr>
              <w:widowControl/>
              <w:jc w:val="center"/>
              <w:textAlignment w:val="center"/>
              <w:rPr>
                <w:rFonts w:ascii="仿宋" w:hAnsi="仿宋" w:eastAsia="仿宋" w:cs="仿宋"/>
                <w:bCs/>
                <w:szCs w:val="21"/>
              </w:rPr>
            </w:pPr>
            <w:r>
              <w:rPr>
                <w:rFonts w:hint="eastAsia" w:eastAsia="仿宋_GB2312" w:cs="仿宋"/>
                <w:sz w:val="20"/>
                <w:szCs w:val="20"/>
              </w:rPr>
              <w:t>80</w:t>
            </w:r>
          </w:p>
        </w:tc>
        <w:tc>
          <w:tcPr>
            <w:tcW w:w="1217" w:type="dxa"/>
            <w:vAlign w:val="center"/>
          </w:tcPr>
          <w:p>
            <w:pPr>
              <w:widowControl/>
              <w:jc w:val="center"/>
              <w:textAlignment w:val="center"/>
              <w:rPr>
                <w:rFonts w:ascii="仿宋" w:hAnsi="仿宋" w:eastAsia="仿宋" w:cs="仿宋"/>
                <w:bCs/>
                <w:szCs w:val="21"/>
              </w:rPr>
            </w:pPr>
            <w:r>
              <w:rPr>
                <w:rFonts w:hint="eastAsia" w:eastAsia="仿宋_GB2312" w:cs="仿宋"/>
                <w:sz w:val="20"/>
                <w:szCs w:val="20"/>
              </w:rPr>
              <w:t>80</w:t>
            </w:r>
          </w:p>
        </w:tc>
        <w:tc>
          <w:tcPr>
            <w:tcW w:w="823" w:type="dxa"/>
            <w:vMerge w:val="restart"/>
            <w:vAlign w:val="center"/>
          </w:tcPr>
          <w:p>
            <w:pPr>
              <w:tabs>
                <w:tab w:val="center" w:pos="900"/>
              </w:tabs>
              <w:jc w:val="center"/>
              <w:rPr>
                <w:rFonts w:ascii="仿宋" w:hAnsi="仿宋" w:eastAsia="仿宋" w:cs="仿宋"/>
                <w:bCs/>
                <w:szCs w:val="21"/>
              </w:rPr>
            </w:pPr>
            <w:r>
              <w:rPr>
                <w:rFonts w:ascii="仿宋" w:hAnsi="仿宋" w:eastAsia="仿宋" w:cs="仿宋"/>
                <w:bCs/>
                <w:szCs w:val="21"/>
              </w:rPr>
              <w:t>风机设置消音器、安装减震垫</w:t>
            </w:r>
          </w:p>
        </w:tc>
        <w:tc>
          <w:tcPr>
            <w:tcW w:w="930" w:type="dxa"/>
            <w:vMerge w:val="restart"/>
            <w:vAlign w:val="center"/>
          </w:tcPr>
          <w:p>
            <w:pPr>
              <w:tabs>
                <w:tab w:val="center" w:pos="900"/>
              </w:tabs>
              <w:jc w:val="center"/>
              <w:rPr>
                <w:rFonts w:ascii="仿宋" w:hAnsi="仿宋" w:eastAsia="仿宋" w:cs="仿宋"/>
                <w:bCs/>
                <w:szCs w:val="21"/>
              </w:rPr>
            </w:pPr>
            <w:r>
              <w:rPr>
                <w:rFonts w:hint="eastAsia" w:ascii="仿宋" w:hAnsi="仿宋" w:eastAsia="仿宋" w:cs="仿宋"/>
                <w:bCs/>
                <w:szCs w:val="21"/>
              </w:rPr>
              <w:t>间歇</w:t>
            </w:r>
            <w:r>
              <w:rPr>
                <w:rFonts w:ascii="仿宋" w:hAnsi="仿宋" w:eastAsia="仿宋" w:cs="仿宋"/>
                <w:bCs/>
                <w:szCs w:val="21"/>
              </w:rPr>
              <w:t>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522" w:type="dxa"/>
            <w:vAlign w:val="center"/>
          </w:tcPr>
          <w:p>
            <w:pPr>
              <w:tabs>
                <w:tab w:val="center" w:pos="900"/>
              </w:tabs>
              <w:jc w:val="center"/>
              <w:rPr>
                <w:rFonts w:ascii="仿宋" w:hAnsi="仿宋" w:eastAsia="仿宋" w:cs="仿宋"/>
                <w:bCs/>
                <w:szCs w:val="21"/>
              </w:rPr>
            </w:pPr>
            <w:r>
              <w:rPr>
                <w:rFonts w:hint="eastAsia" w:ascii="仿宋" w:hAnsi="仿宋" w:eastAsia="仿宋" w:cs="仿宋"/>
                <w:bCs/>
                <w:szCs w:val="21"/>
              </w:rPr>
              <w:t>2</w:t>
            </w:r>
          </w:p>
        </w:tc>
        <w:tc>
          <w:tcPr>
            <w:tcW w:w="2736" w:type="dxa"/>
            <w:vAlign w:val="center"/>
          </w:tcPr>
          <w:p>
            <w:pPr>
              <w:tabs>
                <w:tab w:val="center" w:pos="900"/>
              </w:tabs>
              <w:jc w:val="center"/>
              <w:rPr>
                <w:rFonts w:ascii="仿宋" w:hAnsi="仿宋" w:eastAsia="仿宋" w:cs="仿宋"/>
                <w:bCs/>
                <w:szCs w:val="21"/>
              </w:rPr>
            </w:pPr>
            <w:r>
              <w:rPr>
                <w:rFonts w:hint="eastAsia" w:ascii="仿宋" w:hAnsi="仿宋" w:eastAsia="仿宋" w:cs="仿宋"/>
                <w:bCs/>
                <w:szCs w:val="21"/>
              </w:rPr>
              <w:t>RTO装置配套风机</w:t>
            </w:r>
          </w:p>
        </w:tc>
        <w:tc>
          <w:tcPr>
            <w:tcW w:w="1004" w:type="dxa"/>
            <w:vAlign w:val="center"/>
          </w:tcPr>
          <w:p>
            <w:pPr>
              <w:tabs>
                <w:tab w:val="center" w:pos="900"/>
              </w:tabs>
              <w:spacing w:line="240" w:lineRule="atLeast"/>
              <w:jc w:val="center"/>
              <w:rPr>
                <w:rFonts w:ascii="仿宋" w:hAnsi="仿宋" w:eastAsia="仿宋" w:cs="仿宋"/>
                <w:bCs/>
                <w:szCs w:val="21"/>
              </w:rPr>
            </w:pPr>
            <w:r>
              <w:rPr>
                <w:rFonts w:hint="eastAsia" w:ascii="仿宋" w:hAnsi="仿宋" w:eastAsia="仿宋" w:cs="仿宋"/>
                <w:bCs/>
                <w:szCs w:val="21"/>
              </w:rPr>
              <w:t>1</w:t>
            </w:r>
          </w:p>
        </w:tc>
        <w:tc>
          <w:tcPr>
            <w:tcW w:w="905" w:type="dxa"/>
            <w:vAlign w:val="center"/>
          </w:tcPr>
          <w:p>
            <w:pPr>
              <w:spacing w:line="240" w:lineRule="atLeast"/>
              <w:jc w:val="center"/>
              <w:rPr>
                <w:rFonts w:eastAsia="仿宋_GB2312" w:cs="仿宋"/>
                <w:bCs/>
                <w:szCs w:val="21"/>
              </w:rPr>
            </w:pPr>
            <w:r>
              <w:rPr>
                <w:rFonts w:hint="eastAsia" w:eastAsia="仿宋_GB2312" w:cs="仿宋"/>
                <w:bCs/>
                <w:szCs w:val="21"/>
              </w:rPr>
              <w:t>116.41</w:t>
            </w:r>
          </w:p>
        </w:tc>
        <w:tc>
          <w:tcPr>
            <w:tcW w:w="905" w:type="dxa"/>
            <w:vAlign w:val="center"/>
          </w:tcPr>
          <w:p>
            <w:pPr>
              <w:spacing w:line="240" w:lineRule="atLeast"/>
              <w:jc w:val="center"/>
              <w:rPr>
                <w:rFonts w:eastAsia="仿宋_GB2312" w:cs="仿宋"/>
                <w:bCs/>
                <w:szCs w:val="21"/>
              </w:rPr>
            </w:pPr>
            <w:r>
              <w:rPr>
                <w:rFonts w:hint="eastAsia" w:eastAsia="仿宋_GB2312" w:cs="仿宋"/>
                <w:bCs/>
                <w:szCs w:val="21"/>
              </w:rPr>
              <w:t>122.96</w:t>
            </w:r>
          </w:p>
        </w:tc>
        <w:tc>
          <w:tcPr>
            <w:tcW w:w="888" w:type="dxa"/>
            <w:vAlign w:val="center"/>
          </w:tcPr>
          <w:p>
            <w:pPr>
              <w:spacing w:line="240" w:lineRule="atLeast"/>
              <w:jc w:val="center"/>
              <w:rPr>
                <w:rFonts w:eastAsia="仿宋_GB2312" w:cs="仿宋"/>
                <w:bCs/>
                <w:szCs w:val="21"/>
              </w:rPr>
            </w:pPr>
            <w:r>
              <w:rPr>
                <w:rFonts w:hint="eastAsia" w:eastAsia="仿宋_GB2312" w:cs="仿宋"/>
                <w:bCs/>
                <w:szCs w:val="21"/>
              </w:rPr>
              <w:t>0</w:t>
            </w:r>
          </w:p>
        </w:tc>
        <w:tc>
          <w:tcPr>
            <w:tcW w:w="864" w:type="dxa"/>
            <w:vAlign w:val="center"/>
          </w:tcPr>
          <w:p>
            <w:pPr>
              <w:widowControl/>
              <w:jc w:val="center"/>
              <w:textAlignment w:val="center"/>
              <w:rPr>
                <w:rFonts w:eastAsia="仿宋_GB2312" w:cs="仿宋"/>
                <w:sz w:val="20"/>
                <w:szCs w:val="20"/>
              </w:rPr>
            </w:pPr>
            <w:r>
              <w:rPr>
                <w:rFonts w:hint="eastAsia" w:eastAsia="仿宋_GB2312" w:cs="仿宋"/>
                <w:sz w:val="20"/>
                <w:szCs w:val="20"/>
              </w:rPr>
              <w:t>85</w:t>
            </w:r>
          </w:p>
        </w:tc>
        <w:tc>
          <w:tcPr>
            <w:tcW w:w="1217" w:type="dxa"/>
            <w:vAlign w:val="center"/>
          </w:tcPr>
          <w:p>
            <w:pPr>
              <w:widowControl/>
              <w:jc w:val="center"/>
              <w:textAlignment w:val="center"/>
              <w:rPr>
                <w:rFonts w:eastAsia="仿宋_GB2312" w:cs="仿宋"/>
                <w:sz w:val="20"/>
                <w:szCs w:val="20"/>
              </w:rPr>
            </w:pPr>
            <w:r>
              <w:rPr>
                <w:rFonts w:hint="eastAsia" w:eastAsia="仿宋_GB2312" w:cs="仿宋"/>
                <w:sz w:val="20"/>
                <w:szCs w:val="20"/>
              </w:rPr>
              <w:t>85</w:t>
            </w:r>
          </w:p>
        </w:tc>
        <w:tc>
          <w:tcPr>
            <w:tcW w:w="823" w:type="dxa"/>
            <w:vMerge w:val="continue"/>
          </w:tcPr>
          <w:p>
            <w:pPr>
              <w:pStyle w:val="33"/>
            </w:pPr>
          </w:p>
        </w:tc>
        <w:tc>
          <w:tcPr>
            <w:tcW w:w="930" w:type="dxa"/>
            <w:vMerge w:val="continue"/>
          </w:tcPr>
          <w:p>
            <w:pPr>
              <w:pStyle w:val="33"/>
            </w:pPr>
          </w:p>
        </w:tc>
      </w:tr>
    </w:tbl>
    <w:p>
      <w:pPr>
        <w:pStyle w:val="152"/>
        <w:spacing w:line="520" w:lineRule="exact"/>
        <w:ind w:left="560" w:firstLine="0" w:firstLineChars="0"/>
        <w:rPr>
          <w:rFonts w:eastAsia="仿宋_GB2312"/>
          <w:sz w:val="28"/>
          <w:szCs w:val="28"/>
        </w:rPr>
      </w:pPr>
      <w:r>
        <w:rPr>
          <w:rFonts w:hint="eastAsia" w:ascii="宋体" w:hAnsi="宋体" w:cs="宋体"/>
          <w:sz w:val="28"/>
          <w:szCs w:val="28"/>
        </w:rPr>
        <w:t>③</w:t>
      </w:r>
      <w:r>
        <w:rPr>
          <w:rFonts w:eastAsia="仿宋_GB2312"/>
          <w:sz w:val="28"/>
          <w:szCs w:val="28"/>
        </w:rPr>
        <w:t>总声压级的计算</w:t>
      </w:r>
    </w:p>
    <w:p>
      <w:pPr>
        <w:autoSpaceDE w:val="0"/>
        <w:autoSpaceDN w:val="0"/>
        <w:adjustRightInd w:val="0"/>
        <w:spacing w:line="500" w:lineRule="exact"/>
        <w:ind w:firstLine="560" w:firstLineChars="200"/>
        <w:jc w:val="left"/>
        <w:rPr>
          <w:rFonts w:eastAsia="仿宋_GB2312"/>
          <w:kern w:val="0"/>
          <w:sz w:val="28"/>
          <w:szCs w:val="28"/>
        </w:rPr>
      </w:pPr>
      <w:r>
        <w:rPr>
          <w:rFonts w:eastAsia="仿宋_GB2312"/>
          <w:kern w:val="0"/>
          <w:sz w:val="28"/>
          <w:szCs w:val="28"/>
        </w:rPr>
        <w:t>设第i个室外声源在预测点产生的A声级为L</w:t>
      </w:r>
      <w:r>
        <w:rPr>
          <w:rFonts w:eastAsia="仿宋_GB2312"/>
          <w:kern w:val="0"/>
          <w:sz w:val="28"/>
          <w:szCs w:val="28"/>
          <w:vertAlign w:val="subscript"/>
        </w:rPr>
        <w:t>Ai</w:t>
      </w:r>
      <w:r>
        <w:rPr>
          <w:rFonts w:eastAsia="仿宋_GB2312"/>
          <w:kern w:val="0"/>
          <w:sz w:val="28"/>
          <w:szCs w:val="28"/>
        </w:rPr>
        <w:t>，在T时间内该声源工作时间为t</w:t>
      </w:r>
      <w:r>
        <w:rPr>
          <w:rFonts w:eastAsia="仿宋_GB2312"/>
          <w:kern w:val="0"/>
          <w:sz w:val="28"/>
          <w:szCs w:val="28"/>
          <w:vertAlign w:val="subscript"/>
        </w:rPr>
        <w:t>i</w:t>
      </w:r>
      <w:r>
        <w:rPr>
          <w:rFonts w:eastAsia="仿宋_GB2312"/>
          <w:kern w:val="0"/>
          <w:sz w:val="28"/>
          <w:szCs w:val="28"/>
        </w:rPr>
        <w:t>；第j个等效室外声源在预测点产生的A声级为L</w:t>
      </w:r>
      <w:r>
        <w:rPr>
          <w:rFonts w:eastAsia="仿宋_GB2312"/>
          <w:kern w:val="0"/>
          <w:sz w:val="28"/>
          <w:szCs w:val="28"/>
          <w:vertAlign w:val="subscript"/>
        </w:rPr>
        <w:t>Aj</w:t>
      </w:r>
      <w:r>
        <w:rPr>
          <w:rFonts w:eastAsia="仿宋_GB2312"/>
          <w:kern w:val="0"/>
          <w:sz w:val="28"/>
          <w:szCs w:val="28"/>
        </w:rPr>
        <w:t>，在T时间内该声源工作时间为t</w:t>
      </w:r>
      <w:r>
        <w:rPr>
          <w:rFonts w:eastAsia="仿宋_GB2312"/>
          <w:kern w:val="0"/>
          <w:sz w:val="28"/>
          <w:szCs w:val="28"/>
          <w:vertAlign w:val="subscript"/>
        </w:rPr>
        <w:t>j</w:t>
      </w:r>
      <w:r>
        <w:rPr>
          <w:rFonts w:eastAsia="仿宋_GB2312"/>
          <w:kern w:val="0"/>
          <w:sz w:val="28"/>
          <w:szCs w:val="28"/>
        </w:rPr>
        <w:t>，则拟建工程声源对预测点产生的贡献值（L</w:t>
      </w:r>
      <w:r>
        <w:rPr>
          <w:rFonts w:eastAsia="仿宋_GB2312"/>
          <w:kern w:val="0"/>
          <w:sz w:val="28"/>
          <w:szCs w:val="28"/>
          <w:vertAlign w:val="subscript"/>
        </w:rPr>
        <w:t>eqg</w:t>
      </w:r>
      <w:r>
        <w:rPr>
          <w:rFonts w:eastAsia="仿宋_GB2312"/>
          <w:kern w:val="0"/>
          <w:sz w:val="28"/>
          <w:szCs w:val="28"/>
        </w:rPr>
        <w:t>）为：</w:t>
      </w:r>
    </w:p>
    <w:p>
      <w:pPr>
        <w:autoSpaceDE w:val="0"/>
        <w:autoSpaceDN w:val="0"/>
        <w:adjustRightInd w:val="0"/>
        <w:jc w:val="center"/>
        <w:rPr>
          <w:rFonts w:eastAsia="仿宋_GB2312"/>
          <w:kern w:val="0"/>
          <w:szCs w:val="21"/>
        </w:rPr>
      </w:pPr>
      <w:r>
        <w:rPr>
          <w:rFonts w:eastAsia="仿宋_GB2312"/>
        </w:rPr>
        <w:drawing>
          <wp:inline distT="0" distB="0" distL="0" distR="0">
            <wp:extent cx="2768600" cy="548640"/>
            <wp:effectExtent l="0" t="0" r="0" b="3810"/>
            <wp:docPr id="1131" name="图片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 name="图片 113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2768870" cy="548889"/>
                    </a:xfrm>
                    <a:prstGeom prst="rect">
                      <a:avLst/>
                    </a:prstGeom>
                    <a:noFill/>
                    <a:ln>
                      <a:noFill/>
                    </a:ln>
                  </pic:spPr>
                </pic:pic>
              </a:graphicData>
            </a:graphic>
          </wp:inline>
        </w:drawing>
      </w:r>
    </w:p>
    <w:p>
      <w:pPr>
        <w:autoSpaceDE w:val="0"/>
        <w:autoSpaceDN w:val="0"/>
        <w:adjustRightInd w:val="0"/>
        <w:spacing w:line="500" w:lineRule="exact"/>
        <w:ind w:firstLine="560" w:firstLineChars="200"/>
        <w:jc w:val="left"/>
        <w:rPr>
          <w:rFonts w:eastAsia="仿宋_GB2312"/>
          <w:kern w:val="0"/>
          <w:sz w:val="28"/>
          <w:szCs w:val="28"/>
        </w:rPr>
      </w:pPr>
      <w:r>
        <w:rPr>
          <w:rFonts w:eastAsia="仿宋_GB2312"/>
          <w:kern w:val="0"/>
          <w:sz w:val="28"/>
          <w:szCs w:val="28"/>
        </w:rPr>
        <w:t>式中：</w:t>
      </w:r>
      <w:r>
        <w:rPr>
          <w:rFonts w:eastAsia="仿宋_GB2312"/>
          <w:i/>
          <w:iCs/>
          <w:kern w:val="0"/>
          <w:sz w:val="28"/>
          <w:szCs w:val="28"/>
        </w:rPr>
        <w:t>L</w:t>
      </w:r>
      <w:r>
        <w:rPr>
          <w:rFonts w:eastAsia="仿宋_GB2312"/>
          <w:kern w:val="0"/>
          <w:sz w:val="28"/>
          <w:szCs w:val="28"/>
          <w:vertAlign w:val="subscript"/>
        </w:rPr>
        <w:t>eqg</w:t>
      </w:r>
      <w:r>
        <w:rPr>
          <w:rFonts w:eastAsia="仿宋_GB2312"/>
          <w:kern w:val="0"/>
          <w:sz w:val="28"/>
          <w:szCs w:val="28"/>
        </w:rPr>
        <w:t>——建设项目声源在预测点产生的噪声贡献值，dB；</w:t>
      </w:r>
    </w:p>
    <w:p>
      <w:pPr>
        <w:autoSpaceDE w:val="0"/>
        <w:autoSpaceDN w:val="0"/>
        <w:adjustRightInd w:val="0"/>
        <w:spacing w:line="500" w:lineRule="exact"/>
        <w:ind w:firstLine="1120" w:firstLineChars="400"/>
        <w:jc w:val="left"/>
        <w:rPr>
          <w:rFonts w:eastAsia="仿宋_GB2312"/>
          <w:kern w:val="0"/>
          <w:sz w:val="28"/>
          <w:szCs w:val="28"/>
        </w:rPr>
      </w:pPr>
      <w:r>
        <w:rPr>
          <w:rFonts w:eastAsia="仿宋_GB2312"/>
          <w:i/>
          <w:iCs/>
          <w:kern w:val="0"/>
          <w:sz w:val="28"/>
          <w:szCs w:val="28"/>
        </w:rPr>
        <w:t xml:space="preserve">T </w:t>
      </w:r>
      <w:r>
        <w:rPr>
          <w:rFonts w:eastAsia="仿宋_GB2312"/>
          <w:kern w:val="0"/>
          <w:sz w:val="28"/>
          <w:szCs w:val="28"/>
        </w:rPr>
        <w:t>——用于计算等效声级的时间，s；</w:t>
      </w:r>
    </w:p>
    <w:p>
      <w:pPr>
        <w:autoSpaceDE w:val="0"/>
        <w:autoSpaceDN w:val="0"/>
        <w:adjustRightInd w:val="0"/>
        <w:spacing w:line="500" w:lineRule="exact"/>
        <w:ind w:firstLine="1120" w:firstLineChars="400"/>
        <w:jc w:val="left"/>
        <w:rPr>
          <w:rFonts w:eastAsia="仿宋_GB2312"/>
          <w:kern w:val="0"/>
          <w:sz w:val="28"/>
          <w:szCs w:val="28"/>
        </w:rPr>
      </w:pPr>
      <w:r>
        <w:rPr>
          <w:rFonts w:eastAsia="仿宋_GB2312"/>
          <w:i/>
          <w:iCs/>
          <w:kern w:val="0"/>
          <w:sz w:val="28"/>
          <w:szCs w:val="28"/>
        </w:rPr>
        <w:t xml:space="preserve">N </w:t>
      </w:r>
      <w:r>
        <w:rPr>
          <w:rFonts w:eastAsia="仿宋_GB2312"/>
          <w:kern w:val="0"/>
          <w:sz w:val="28"/>
          <w:szCs w:val="28"/>
        </w:rPr>
        <w:t>——室外声源个数；</w:t>
      </w:r>
    </w:p>
    <w:p>
      <w:pPr>
        <w:autoSpaceDE w:val="0"/>
        <w:autoSpaceDN w:val="0"/>
        <w:adjustRightInd w:val="0"/>
        <w:spacing w:line="500" w:lineRule="exact"/>
        <w:ind w:firstLine="1120" w:firstLineChars="400"/>
        <w:jc w:val="left"/>
        <w:rPr>
          <w:rFonts w:eastAsia="仿宋_GB2312"/>
          <w:kern w:val="0"/>
          <w:sz w:val="28"/>
          <w:szCs w:val="28"/>
        </w:rPr>
      </w:pPr>
      <w:r>
        <w:rPr>
          <w:rFonts w:eastAsia="仿宋_GB2312"/>
          <w:i/>
          <w:iCs/>
          <w:kern w:val="0"/>
          <w:sz w:val="28"/>
          <w:szCs w:val="28"/>
        </w:rPr>
        <w:t xml:space="preserve">t </w:t>
      </w:r>
      <w:r>
        <w:rPr>
          <w:rFonts w:eastAsia="仿宋_GB2312"/>
          <w:i/>
          <w:iCs/>
          <w:kern w:val="0"/>
          <w:sz w:val="28"/>
          <w:szCs w:val="28"/>
          <w:vertAlign w:val="subscript"/>
        </w:rPr>
        <w:t>i</w:t>
      </w:r>
      <w:r>
        <w:rPr>
          <w:rFonts w:eastAsia="仿宋_GB2312"/>
          <w:kern w:val="0"/>
          <w:sz w:val="28"/>
          <w:szCs w:val="28"/>
        </w:rPr>
        <w:t>——在</w:t>
      </w:r>
      <w:r>
        <w:rPr>
          <w:rFonts w:eastAsia="仿宋_GB2312"/>
          <w:i/>
          <w:iCs/>
          <w:kern w:val="0"/>
          <w:sz w:val="28"/>
          <w:szCs w:val="28"/>
        </w:rPr>
        <w:t>T</w:t>
      </w:r>
      <w:r>
        <w:rPr>
          <w:rFonts w:eastAsia="仿宋_GB2312"/>
          <w:kern w:val="0"/>
          <w:sz w:val="28"/>
          <w:szCs w:val="28"/>
        </w:rPr>
        <w:t>时间内</w:t>
      </w:r>
      <w:r>
        <w:rPr>
          <w:rFonts w:eastAsia="仿宋_GB2312"/>
          <w:i/>
          <w:iCs/>
          <w:kern w:val="0"/>
          <w:sz w:val="28"/>
          <w:szCs w:val="28"/>
        </w:rPr>
        <w:t>i</w:t>
      </w:r>
      <w:r>
        <w:rPr>
          <w:rFonts w:eastAsia="仿宋_GB2312"/>
          <w:kern w:val="0"/>
          <w:sz w:val="28"/>
          <w:szCs w:val="28"/>
        </w:rPr>
        <w:t>声源工作时间，s；</w:t>
      </w:r>
    </w:p>
    <w:p>
      <w:pPr>
        <w:autoSpaceDE w:val="0"/>
        <w:autoSpaceDN w:val="0"/>
        <w:adjustRightInd w:val="0"/>
        <w:spacing w:line="500" w:lineRule="exact"/>
        <w:ind w:firstLine="1120" w:firstLineChars="400"/>
        <w:jc w:val="left"/>
        <w:rPr>
          <w:rFonts w:eastAsia="仿宋_GB2312"/>
          <w:kern w:val="0"/>
          <w:sz w:val="28"/>
          <w:szCs w:val="28"/>
        </w:rPr>
      </w:pPr>
      <w:r>
        <w:rPr>
          <w:rFonts w:eastAsia="仿宋_GB2312"/>
          <w:i/>
          <w:iCs/>
          <w:kern w:val="0"/>
          <w:sz w:val="28"/>
          <w:szCs w:val="28"/>
        </w:rPr>
        <w:t xml:space="preserve">M </w:t>
      </w:r>
      <w:r>
        <w:rPr>
          <w:rFonts w:eastAsia="仿宋_GB2312"/>
          <w:kern w:val="0"/>
          <w:sz w:val="28"/>
          <w:szCs w:val="28"/>
        </w:rPr>
        <w:t>——等效室外声源个数；</w:t>
      </w:r>
    </w:p>
    <w:p>
      <w:pPr>
        <w:autoSpaceDE w:val="0"/>
        <w:autoSpaceDN w:val="0"/>
        <w:adjustRightInd w:val="0"/>
        <w:spacing w:line="500" w:lineRule="exact"/>
        <w:ind w:firstLine="1120" w:firstLineChars="400"/>
        <w:jc w:val="left"/>
        <w:rPr>
          <w:rFonts w:eastAsia="仿宋_GB2312"/>
          <w:kern w:val="0"/>
          <w:sz w:val="28"/>
          <w:szCs w:val="28"/>
        </w:rPr>
      </w:pPr>
      <w:r>
        <w:rPr>
          <w:rFonts w:eastAsia="仿宋_GB2312"/>
          <w:i/>
          <w:iCs/>
          <w:kern w:val="0"/>
          <w:sz w:val="28"/>
          <w:szCs w:val="28"/>
        </w:rPr>
        <w:t xml:space="preserve">t </w:t>
      </w:r>
      <w:r>
        <w:rPr>
          <w:rFonts w:eastAsia="仿宋_GB2312"/>
          <w:i/>
          <w:iCs/>
          <w:kern w:val="0"/>
          <w:sz w:val="28"/>
          <w:szCs w:val="28"/>
          <w:vertAlign w:val="subscript"/>
        </w:rPr>
        <w:t>j</w:t>
      </w:r>
      <w:r>
        <w:rPr>
          <w:rFonts w:eastAsia="仿宋_GB2312"/>
          <w:kern w:val="0"/>
          <w:sz w:val="28"/>
          <w:szCs w:val="28"/>
        </w:rPr>
        <w:t>——在</w:t>
      </w:r>
      <w:r>
        <w:rPr>
          <w:rFonts w:eastAsia="仿宋_GB2312"/>
          <w:i/>
          <w:iCs/>
          <w:kern w:val="0"/>
          <w:sz w:val="28"/>
          <w:szCs w:val="28"/>
        </w:rPr>
        <w:t xml:space="preserve">T </w:t>
      </w:r>
      <w:r>
        <w:rPr>
          <w:rFonts w:eastAsia="仿宋_GB2312"/>
          <w:kern w:val="0"/>
          <w:sz w:val="28"/>
          <w:szCs w:val="28"/>
        </w:rPr>
        <w:t>时间内</w:t>
      </w:r>
      <w:r>
        <w:rPr>
          <w:rFonts w:eastAsia="仿宋_GB2312"/>
          <w:i/>
          <w:iCs/>
          <w:kern w:val="0"/>
          <w:sz w:val="28"/>
          <w:szCs w:val="28"/>
        </w:rPr>
        <w:t>j</w:t>
      </w:r>
      <w:r>
        <w:rPr>
          <w:rFonts w:eastAsia="仿宋_GB2312"/>
          <w:kern w:val="0"/>
          <w:sz w:val="28"/>
          <w:szCs w:val="28"/>
        </w:rPr>
        <w:t>声源工作时间，s。</w:t>
      </w:r>
    </w:p>
    <w:p>
      <w:pPr>
        <w:pStyle w:val="152"/>
        <w:spacing w:line="520" w:lineRule="exact"/>
        <w:ind w:left="560" w:firstLine="0" w:firstLineChars="0"/>
        <w:rPr>
          <w:rFonts w:eastAsia="仿宋_GB2312"/>
          <w:sz w:val="28"/>
          <w:szCs w:val="28"/>
        </w:rPr>
      </w:pPr>
      <w:r>
        <w:rPr>
          <w:rFonts w:hint="eastAsia" w:ascii="宋体" w:hAnsi="宋体" w:cs="宋体"/>
          <w:sz w:val="28"/>
          <w:szCs w:val="28"/>
        </w:rPr>
        <w:t>④</w:t>
      </w:r>
      <w:r>
        <w:rPr>
          <w:rFonts w:eastAsia="仿宋_GB2312"/>
          <w:sz w:val="28"/>
          <w:szCs w:val="28"/>
        </w:rPr>
        <w:t>预测值计算</w:t>
      </w:r>
    </w:p>
    <w:p>
      <w:pPr>
        <w:pStyle w:val="152"/>
        <w:spacing w:line="500" w:lineRule="exact"/>
        <w:ind w:firstLine="560"/>
        <w:rPr>
          <w:rFonts w:eastAsia="仿宋_GB2312"/>
          <w:kern w:val="0"/>
          <w:szCs w:val="21"/>
        </w:rPr>
      </w:pPr>
      <w:r>
        <w:rPr>
          <w:rFonts w:eastAsia="仿宋_GB2312"/>
          <w:sz w:val="28"/>
          <w:szCs w:val="28"/>
        </w:rPr>
        <w:t>预测点的贡献值和背景值按能量叠加方法计算得到的声级。预测点的预测等效声级（</w:t>
      </w:r>
      <w:r>
        <w:rPr>
          <w:rFonts w:eastAsia="仿宋_GB2312"/>
          <w:kern w:val="0"/>
          <w:sz w:val="28"/>
          <w:szCs w:val="28"/>
        </w:rPr>
        <w:t>L</w:t>
      </w:r>
      <w:r>
        <w:rPr>
          <w:rFonts w:eastAsia="仿宋_GB2312"/>
          <w:kern w:val="0"/>
          <w:sz w:val="28"/>
          <w:szCs w:val="28"/>
          <w:vertAlign w:val="subscript"/>
        </w:rPr>
        <w:t>eqg</w:t>
      </w:r>
      <w:r>
        <w:rPr>
          <w:rFonts w:eastAsia="仿宋_GB2312"/>
          <w:kern w:val="0"/>
          <w:sz w:val="28"/>
          <w:szCs w:val="28"/>
        </w:rPr>
        <w:t>）计算公式：</w:t>
      </w:r>
    </w:p>
    <w:p>
      <w:pPr>
        <w:autoSpaceDE w:val="0"/>
        <w:autoSpaceDN w:val="0"/>
        <w:adjustRightInd w:val="0"/>
        <w:jc w:val="center"/>
        <w:rPr>
          <w:rFonts w:eastAsia="仿宋_GB2312"/>
          <w:kern w:val="0"/>
          <w:szCs w:val="21"/>
        </w:rPr>
      </w:pPr>
      <w:r>
        <w:rPr>
          <w:rFonts w:eastAsia="仿宋_GB2312"/>
        </w:rPr>
        <w:drawing>
          <wp:inline distT="0" distB="0" distL="0" distR="0">
            <wp:extent cx="2656840" cy="401320"/>
            <wp:effectExtent l="0" t="0" r="0" b="0"/>
            <wp:docPr id="1130" name="图片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 name="图片 113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682319" cy="405692"/>
                    </a:xfrm>
                    <a:prstGeom prst="rect">
                      <a:avLst/>
                    </a:prstGeom>
                    <a:noFill/>
                    <a:ln>
                      <a:noFill/>
                    </a:ln>
                  </pic:spPr>
                </pic:pic>
              </a:graphicData>
            </a:graphic>
          </wp:inline>
        </w:drawing>
      </w:r>
    </w:p>
    <w:p>
      <w:pPr>
        <w:autoSpaceDE w:val="0"/>
        <w:autoSpaceDN w:val="0"/>
        <w:adjustRightInd w:val="0"/>
        <w:spacing w:line="500" w:lineRule="exact"/>
        <w:ind w:firstLine="560" w:firstLineChars="200"/>
        <w:jc w:val="left"/>
        <w:rPr>
          <w:rFonts w:eastAsia="仿宋_GB2312"/>
          <w:kern w:val="0"/>
          <w:sz w:val="28"/>
          <w:szCs w:val="28"/>
        </w:rPr>
      </w:pPr>
      <w:r>
        <w:rPr>
          <w:rFonts w:eastAsia="仿宋_GB2312"/>
          <w:sz w:val="28"/>
          <w:szCs w:val="28"/>
        </w:rPr>
        <w:t>式中：</w:t>
      </w:r>
      <w:r>
        <w:rPr>
          <w:rFonts w:eastAsia="仿宋_GB2312"/>
        </w:rPr>
        <w:t>L</w:t>
      </w:r>
      <w:r>
        <w:rPr>
          <w:rFonts w:eastAsia="仿宋_GB2312"/>
          <w:i/>
          <w:iCs/>
          <w:vertAlign w:val="subscript"/>
        </w:rPr>
        <w:t>eq</w:t>
      </w:r>
      <w:r>
        <w:rPr>
          <w:rFonts w:eastAsia="仿宋_GB2312"/>
          <w:sz w:val="28"/>
          <w:szCs w:val="28"/>
        </w:rPr>
        <w:t>——预测点的噪声预测值，dB；</w:t>
      </w:r>
    </w:p>
    <w:p>
      <w:pPr>
        <w:autoSpaceDE w:val="0"/>
        <w:autoSpaceDN w:val="0"/>
        <w:adjustRightInd w:val="0"/>
        <w:spacing w:line="500" w:lineRule="exact"/>
        <w:ind w:firstLine="1400" w:firstLineChars="500"/>
        <w:jc w:val="left"/>
        <w:rPr>
          <w:rFonts w:eastAsia="仿宋_GB2312"/>
          <w:kern w:val="0"/>
          <w:sz w:val="28"/>
          <w:szCs w:val="28"/>
        </w:rPr>
      </w:pPr>
      <w:r>
        <w:rPr>
          <w:rFonts w:eastAsia="仿宋_GB2312"/>
          <w:i/>
          <w:iCs/>
          <w:kern w:val="0"/>
          <w:sz w:val="28"/>
          <w:szCs w:val="28"/>
        </w:rPr>
        <w:t>L</w:t>
      </w:r>
      <w:r>
        <w:rPr>
          <w:rFonts w:eastAsia="仿宋_GB2312"/>
          <w:i/>
          <w:iCs/>
          <w:kern w:val="0"/>
          <w:sz w:val="28"/>
          <w:szCs w:val="28"/>
          <w:vertAlign w:val="subscript"/>
        </w:rPr>
        <w:t>eqg</w:t>
      </w:r>
      <w:r>
        <w:rPr>
          <w:rFonts w:eastAsia="仿宋_GB2312"/>
          <w:i/>
          <w:iCs/>
          <w:kern w:val="0"/>
          <w:sz w:val="28"/>
          <w:szCs w:val="28"/>
        </w:rPr>
        <w:t xml:space="preserve"> </w:t>
      </w:r>
      <w:r>
        <w:rPr>
          <w:rFonts w:eastAsia="仿宋_GB2312"/>
          <w:kern w:val="0"/>
          <w:sz w:val="28"/>
          <w:szCs w:val="28"/>
        </w:rPr>
        <w:t>——建设项目声源在预测点产生的噪声贡献值，dB；</w:t>
      </w:r>
    </w:p>
    <w:p>
      <w:pPr>
        <w:autoSpaceDE w:val="0"/>
        <w:autoSpaceDN w:val="0"/>
        <w:adjustRightInd w:val="0"/>
        <w:spacing w:line="500" w:lineRule="exact"/>
        <w:ind w:firstLine="1400" w:firstLineChars="500"/>
        <w:jc w:val="left"/>
        <w:rPr>
          <w:rFonts w:eastAsia="仿宋_GB2312"/>
          <w:kern w:val="0"/>
          <w:sz w:val="28"/>
          <w:szCs w:val="28"/>
        </w:rPr>
      </w:pPr>
      <w:r>
        <w:rPr>
          <w:rFonts w:eastAsia="仿宋_GB2312"/>
          <w:i/>
          <w:iCs/>
          <w:kern w:val="0"/>
          <w:sz w:val="28"/>
          <w:szCs w:val="28"/>
        </w:rPr>
        <w:t>L</w:t>
      </w:r>
      <w:r>
        <w:rPr>
          <w:rFonts w:eastAsia="仿宋_GB2312"/>
          <w:i/>
          <w:iCs/>
          <w:kern w:val="0"/>
          <w:sz w:val="28"/>
          <w:szCs w:val="28"/>
          <w:vertAlign w:val="subscript"/>
        </w:rPr>
        <w:t>eqb</w:t>
      </w:r>
      <w:r>
        <w:rPr>
          <w:rFonts w:eastAsia="仿宋_GB2312"/>
          <w:i/>
          <w:iCs/>
          <w:kern w:val="0"/>
          <w:sz w:val="28"/>
          <w:szCs w:val="28"/>
        </w:rPr>
        <w:t xml:space="preserve"> </w:t>
      </w:r>
      <w:r>
        <w:rPr>
          <w:rFonts w:eastAsia="仿宋_GB2312"/>
          <w:kern w:val="0"/>
          <w:sz w:val="28"/>
          <w:szCs w:val="28"/>
        </w:rPr>
        <w:t>——预测点的背景噪声值，dB。</w:t>
      </w:r>
    </w:p>
    <w:p>
      <w:pPr>
        <w:keepNext/>
        <w:widowControl/>
        <w:numPr>
          <w:ilvl w:val="3"/>
          <w:numId w:val="1"/>
        </w:numPr>
        <w:adjustRightInd w:val="0"/>
        <w:snapToGrid w:val="0"/>
        <w:spacing w:after="120" w:afterLines="50" w:line="500" w:lineRule="exact"/>
        <w:ind w:left="0" w:firstLine="0"/>
        <w:jc w:val="left"/>
        <w:outlineLvl w:val="3"/>
        <w:rPr>
          <w:rFonts w:eastAsia="仿宋_GB2312"/>
          <w:b/>
          <w:bCs/>
          <w:sz w:val="28"/>
          <w:szCs w:val="28"/>
        </w:rPr>
      </w:pPr>
      <w:r>
        <w:rPr>
          <w:rFonts w:eastAsia="仿宋_GB2312"/>
          <w:b/>
          <w:bCs/>
          <w:sz w:val="28"/>
          <w:szCs w:val="28"/>
        </w:rPr>
        <w:t>预测范围</w:t>
      </w:r>
    </w:p>
    <w:p>
      <w:pPr>
        <w:spacing w:line="500" w:lineRule="exact"/>
        <w:ind w:firstLine="560" w:firstLineChars="200"/>
        <w:rPr>
          <w:rFonts w:eastAsia="仿宋_GB2312"/>
          <w:sz w:val="28"/>
          <w:szCs w:val="28"/>
        </w:rPr>
      </w:pPr>
      <w:r>
        <w:rPr>
          <w:rFonts w:eastAsia="仿宋_GB2312"/>
          <w:sz w:val="28"/>
          <w:szCs w:val="28"/>
        </w:rPr>
        <w:t>根据《环境影响评价技术导则 声环境》(HJ2.4-2021)要求：一级评价范围以建设项目边界向外200m为评价范围，二、三级评价范围可根据建设项目所在区域和相邻区域的声环境功能区类别及声环境保护目标等实际情况适当缩小，本项目声评价等级为三级评价，选取建设项目边界向外200m作为评价范围。根据现场踏勘及周边500m范围图可看出，200m范围内无噪声敏感点。</w:t>
      </w:r>
    </w:p>
    <w:p>
      <w:pPr>
        <w:keepNext/>
        <w:widowControl/>
        <w:numPr>
          <w:ilvl w:val="3"/>
          <w:numId w:val="1"/>
        </w:numPr>
        <w:adjustRightInd w:val="0"/>
        <w:snapToGrid w:val="0"/>
        <w:spacing w:after="120" w:afterLines="50" w:line="500" w:lineRule="exact"/>
        <w:ind w:left="0" w:firstLine="0"/>
        <w:jc w:val="left"/>
        <w:outlineLvl w:val="3"/>
        <w:rPr>
          <w:rFonts w:eastAsia="仿宋_GB2312"/>
          <w:b/>
          <w:bCs/>
          <w:sz w:val="28"/>
          <w:szCs w:val="28"/>
        </w:rPr>
      </w:pPr>
      <w:r>
        <w:rPr>
          <w:rFonts w:eastAsia="仿宋_GB2312"/>
          <w:b/>
          <w:bCs/>
          <w:sz w:val="28"/>
          <w:szCs w:val="28"/>
        </w:rPr>
        <w:t>预测结果及分析</w:t>
      </w:r>
    </w:p>
    <w:p>
      <w:pPr>
        <w:pStyle w:val="152"/>
        <w:spacing w:line="500" w:lineRule="exact"/>
        <w:ind w:firstLineChars="0"/>
        <w:rPr>
          <w:rFonts w:eastAsia="仿宋_GB2312"/>
          <w:sz w:val="28"/>
          <w:szCs w:val="28"/>
        </w:rPr>
      </w:pPr>
      <w:r>
        <w:rPr>
          <w:rFonts w:eastAsia="仿宋_GB2312"/>
          <w:sz w:val="28"/>
          <w:szCs w:val="28"/>
        </w:rPr>
        <w:t>根据以上预测模式计算出本项目噪声源对厂界噪声的贡献值，同时以项目实测噪声值作为本底值，从而计算各厂界的预测值。厂界环境噪声预测结果见下表：</w:t>
      </w:r>
    </w:p>
    <w:p>
      <w:pPr>
        <w:adjustRightInd w:val="0"/>
        <w:snapToGrid w:val="0"/>
        <w:spacing w:line="500" w:lineRule="exact"/>
        <w:jc w:val="center"/>
        <w:rPr>
          <w:rFonts w:eastAsia="仿宋_GB2312"/>
          <w:b/>
          <w:kern w:val="0"/>
          <w:sz w:val="24"/>
          <w:szCs w:val="20"/>
        </w:rPr>
      </w:pPr>
      <w:r>
        <w:rPr>
          <w:rFonts w:eastAsia="仿宋_GB2312"/>
          <w:b/>
          <w:sz w:val="24"/>
        </w:rPr>
        <w:t xml:space="preserve">表5.2-23 </w:t>
      </w:r>
      <w:r>
        <w:rPr>
          <w:rFonts w:eastAsia="仿宋_GB2312"/>
          <w:b/>
          <w:kern w:val="0"/>
          <w:sz w:val="24"/>
          <w:szCs w:val="20"/>
        </w:rPr>
        <w:t xml:space="preserve"> 噪声影响预测结果  单位：dB（A）</w:t>
      </w:r>
    </w:p>
    <w:tbl>
      <w:tblPr>
        <w:tblStyle w:val="87"/>
        <w:tblW w:w="94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3"/>
        <w:gridCol w:w="901"/>
        <w:gridCol w:w="585"/>
        <w:gridCol w:w="584"/>
        <w:gridCol w:w="584"/>
        <w:gridCol w:w="584"/>
        <w:gridCol w:w="525"/>
        <w:gridCol w:w="568"/>
        <w:gridCol w:w="709"/>
        <w:gridCol w:w="685"/>
        <w:gridCol w:w="637"/>
        <w:gridCol w:w="637"/>
        <w:gridCol w:w="521"/>
        <w:gridCol w:w="521"/>
        <w:gridCol w:w="465"/>
        <w:gridCol w:w="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503" w:type="dxa"/>
            <w:vMerge w:val="restart"/>
            <w:shd w:val="clear" w:color="auto" w:fill="auto"/>
            <w:vAlign w:val="center"/>
          </w:tcPr>
          <w:p>
            <w:pPr>
              <w:widowControl/>
              <w:jc w:val="center"/>
              <w:rPr>
                <w:rFonts w:ascii="仿宋" w:hAnsi="仿宋" w:eastAsia="仿宋"/>
                <w:kern w:val="0"/>
                <w:szCs w:val="21"/>
              </w:rPr>
            </w:pPr>
            <w:r>
              <w:rPr>
                <w:rFonts w:ascii="仿宋" w:hAnsi="仿宋" w:eastAsia="仿宋"/>
                <w:kern w:val="0"/>
                <w:szCs w:val="21"/>
              </w:rPr>
              <w:t>序号</w:t>
            </w:r>
          </w:p>
        </w:tc>
        <w:tc>
          <w:tcPr>
            <w:tcW w:w="901" w:type="dxa"/>
            <w:vMerge w:val="restart"/>
            <w:shd w:val="clear" w:color="auto" w:fill="auto"/>
            <w:vAlign w:val="center"/>
          </w:tcPr>
          <w:p>
            <w:pPr>
              <w:widowControl/>
              <w:jc w:val="center"/>
              <w:rPr>
                <w:rFonts w:ascii="仿宋" w:hAnsi="仿宋" w:eastAsia="仿宋"/>
                <w:kern w:val="0"/>
                <w:szCs w:val="21"/>
              </w:rPr>
            </w:pPr>
            <w:r>
              <w:rPr>
                <w:rFonts w:ascii="仿宋" w:hAnsi="仿宋" w:eastAsia="仿宋"/>
                <w:kern w:val="0"/>
                <w:szCs w:val="21"/>
              </w:rPr>
              <w:t>关心点</w:t>
            </w:r>
          </w:p>
        </w:tc>
        <w:tc>
          <w:tcPr>
            <w:tcW w:w="1169" w:type="dxa"/>
            <w:gridSpan w:val="2"/>
            <w:shd w:val="clear" w:color="auto" w:fill="auto"/>
            <w:vAlign w:val="center"/>
          </w:tcPr>
          <w:p>
            <w:pPr>
              <w:widowControl/>
              <w:jc w:val="center"/>
              <w:rPr>
                <w:rFonts w:ascii="仿宋" w:hAnsi="仿宋" w:eastAsia="仿宋"/>
                <w:kern w:val="0"/>
                <w:szCs w:val="21"/>
              </w:rPr>
            </w:pPr>
            <w:r>
              <w:rPr>
                <w:rFonts w:ascii="仿宋" w:hAnsi="仿宋" w:eastAsia="仿宋"/>
                <w:kern w:val="0"/>
                <w:szCs w:val="21"/>
              </w:rPr>
              <w:t>噪声背景值</w:t>
            </w:r>
          </w:p>
        </w:tc>
        <w:tc>
          <w:tcPr>
            <w:tcW w:w="1168" w:type="dxa"/>
            <w:gridSpan w:val="2"/>
            <w:shd w:val="clear" w:color="auto" w:fill="auto"/>
            <w:vAlign w:val="center"/>
          </w:tcPr>
          <w:p>
            <w:pPr>
              <w:widowControl/>
              <w:jc w:val="center"/>
              <w:rPr>
                <w:rFonts w:ascii="仿宋" w:hAnsi="仿宋" w:eastAsia="仿宋"/>
                <w:kern w:val="0"/>
                <w:szCs w:val="21"/>
              </w:rPr>
            </w:pPr>
            <w:r>
              <w:rPr>
                <w:rFonts w:ascii="仿宋" w:hAnsi="仿宋" w:eastAsia="仿宋"/>
                <w:kern w:val="0"/>
                <w:szCs w:val="21"/>
              </w:rPr>
              <w:t>噪声现状值</w:t>
            </w:r>
          </w:p>
        </w:tc>
        <w:tc>
          <w:tcPr>
            <w:tcW w:w="1093" w:type="dxa"/>
            <w:gridSpan w:val="2"/>
            <w:shd w:val="clear" w:color="auto" w:fill="auto"/>
            <w:vAlign w:val="center"/>
          </w:tcPr>
          <w:p>
            <w:pPr>
              <w:widowControl/>
              <w:jc w:val="center"/>
              <w:rPr>
                <w:rFonts w:ascii="仿宋" w:hAnsi="仿宋" w:eastAsia="仿宋"/>
                <w:kern w:val="0"/>
                <w:szCs w:val="21"/>
              </w:rPr>
            </w:pPr>
            <w:r>
              <w:rPr>
                <w:rFonts w:ascii="仿宋" w:hAnsi="仿宋" w:eastAsia="仿宋"/>
                <w:kern w:val="0"/>
                <w:szCs w:val="21"/>
              </w:rPr>
              <w:t>噪声标准</w:t>
            </w:r>
          </w:p>
        </w:tc>
        <w:tc>
          <w:tcPr>
            <w:tcW w:w="1394" w:type="dxa"/>
            <w:gridSpan w:val="2"/>
            <w:shd w:val="clear" w:color="auto" w:fill="auto"/>
            <w:vAlign w:val="center"/>
          </w:tcPr>
          <w:p>
            <w:pPr>
              <w:widowControl/>
              <w:jc w:val="center"/>
              <w:rPr>
                <w:rFonts w:ascii="仿宋" w:hAnsi="仿宋" w:eastAsia="仿宋"/>
                <w:kern w:val="0"/>
                <w:szCs w:val="21"/>
              </w:rPr>
            </w:pPr>
            <w:r>
              <w:rPr>
                <w:rFonts w:ascii="仿宋" w:hAnsi="仿宋" w:eastAsia="仿宋"/>
                <w:kern w:val="0"/>
                <w:szCs w:val="21"/>
              </w:rPr>
              <w:t>噪声贡献值</w:t>
            </w:r>
          </w:p>
        </w:tc>
        <w:tc>
          <w:tcPr>
            <w:tcW w:w="1274" w:type="dxa"/>
            <w:gridSpan w:val="2"/>
            <w:shd w:val="clear" w:color="auto" w:fill="auto"/>
            <w:vAlign w:val="center"/>
          </w:tcPr>
          <w:p>
            <w:pPr>
              <w:widowControl/>
              <w:jc w:val="center"/>
              <w:rPr>
                <w:rFonts w:ascii="仿宋" w:hAnsi="仿宋" w:eastAsia="仿宋"/>
                <w:kern w:val="0"/>
                <w:szCs w:val="21"/>
              </w:rPr>
            </w:pPr>
            <w:r>
              <w:rPr>
                <w:rFonts w:ascii="仿宋" w:hAnsi="仿宋" w:eastAsia="仿宋"/>
                <w:kern w:val="0"/>
                <w:szCs w:val="21"/>
              </w:rPr>
              <w:t>噪声预测值</w:t>
            </w:r>
          </w:p>
        </w:tc>
        <w:tc>
          <w:tcPr>
            <w:tcW w:w="1042" w:type="dxa"/>
            <w:gridSpan w:val="2"/>
            <w:shd w:val="clear" w:color="auto" w:fill="auto"/>
            <w:vAlign w:val="center"/>
          </w:tcPr>
          <w:p>
            <w:pPr>
              <w:widowControl/>
              <w:jc w:val="center"/>
              <w:rPr>
                <w:rFonts w:ascii="仿宋" w:hAnsi="仿宋" w:eastAsia="仿宋"/>
                <w:kern w:val="0"/>
                <w:szCs w:val="21"/>
              </w:rPr>
            </w:pPr>
            <w:r>
              <w:rPr>
                <w:rFonts w:ascii="仿宋" w:hAnsi="仿宋" w:eastAsia="仿宋"/>
                <w:kern w:val="0"/>
                <w:szCs w:val="21"/>
              </w:rPr>
              <w:t>较现状增量</w:t>
            </w:r>
          </w:p>
        </w:tc>
        <w:tc>
          <w:tcPr>
            <w:tcW w:w="930" w:type="dxa"/>
            <w:gridSpan w:val="2"/>
            <w:shd w:val="clear" w:color="auto" w:fill="auto"/>
            <w:vAlign w:val="center"/>
          </w:tcPr>
          <w:p>
            <w:pPr>
              <w:widowControl/>
              <w:jc w:val="center"/>
              <w:rPr>
                <w:rFonts w:ascii="仿宋" w:hAnsi="仿宋" w:eastAsia="仿宋"/>
                <w:kern w:val="0"/>
                <w:szCs w:val="21"/>
              </w:rPr>
            </w:pPr>
            <w:r>
              <w:rPr>
                <w:rFonts w:ascii="仿宋" w:hAnsi="仿宋" w:eastAsia="仿宋"/>
                <w:kern w:val="0"/>
                <w:szCs w:val="21"/>
              </w:rPr>
              <w:t>超标和达标情况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503" w:type="dxa"/>
            <w:vMerge w:val="continue"/>
            <w:shd w:val="clear" w:color="auto" w:fill="auto"/>
            <w:vAlign w:val="center"/>
          </w:tcPr>
          <w:p>
            <w:pPr>
              <w:widowControl/>
              <w:jc w:val="center"/>
              <w:rPr>
                <w:rFonts w:ascii="仿宋" w:hAnsi="仿宋" w:eastAsia="仿宋"/>
                <w:kern w:val="0"/>
                <w:szCs w:val="21"/>
              </w:rPr>
            </w:pPr>
          </w:p>
        </w:tc>
        <w:tc>
          <w:tcPr>
            <w:tcW w:w="901" w:type="dxa"/>
            <w:vMerge w:val="continue"/>
            <w:shd w:val="clear" w:color="auto" w:fill="auto"/>
            <w:vAlign w:val="center"/>
          </w:tcPr>
          <w:p>
            <w:pPr>
              <w:widowControl/>
              <w:jc w:val="center"/>
              <w:rPr>
                <w:rFonts w:ascii="仿宋" w:hAnsi="仿宋" w:eastAsia="仿宋"/>
                <w:kern w:val="0"/>
                <w:szCs w:val="21"/>
              </w:rPr>
            </w:pPr>
          </w:p>
        </w:tc>
        <w:tc>
          <w:tcPr>
            <w:tcW w:w="585" w:type="dxa"/>
            <w:shd w:val="clear" w:color="auto" w:fill="auto"/>
            <w:vAlign w:val="center"/>
          </w:tcPr>
          <w:p>
            <w:pPr>
              <w:widowControl/>
              <w:jc w:val="center"/>
              <w:rPr>
                <w:rFonts w:ascii="仿宋" w:hAnsi="仿宋" w:eastAsia="仿宋"/>
                <w:kern w:val="0"/>
                <w:szCs w:val="21"/>
              </w:rPr>
            </w:pPr>
            <w:r>
              <w:rPr>
                <w:rFonts w:ascii="仿宋" w:hAnsi="仿宋" w:eastAsia="仿宋"/>
                <w:kern w:val="0"/>
                <w:szCs w:val="21"/>
              </w:rPr>
              <w:t>昼间</w:t>
            </w:r>
          </w:p>
        </w:tc>
        <w:tc>
          <w:tcPr>
            <w:tcW w:w="584" w:type="dxa"/>
            <w:shd w:val="clear" w:color="auto" w:fill="auto"/>
            <w:vAlign w:val="center"/>
          </w:tcPr>
          <w:p>
            <w:pPr>
              <w:widowControl/>
              <w:jc w:val="center"/>
              <w:rPr>
                <w:rFonts w:ascii="仿宋" w:hAnsi="仿宋" w:eastAsia="仿宋"/>
                <w:kern w:val="0"/>
                <w:szCs w:val="21"/>
              </w:rPr>
            </w:pPr>
            <w:r>
              <w:rPr>
                <w:rFonts w:ascii="仿宋" w:hAnsi="仿宋" w:eastAsia="仿宋"/>
                <w:kern w:val="0"/>
                <w:szCs w:val="21"/>
              </w:rPr>
              <w:t>夜间</w:t>
            </w:r>
          </w:p>
        </w:tc>
        <w:tc>
          <w:tcPr>
            <w:tcW w:w="584" w:type="dxa"/>
            <w:shd w:val="clear" w:color="auto" w:fill="auto"/>
            <w:vAlign w:val="center"/>
          </w:tcPr>
          <w:p>
            <w:pPr>
              <w:widowControl/>
              <w:jc w:val="center"/>
              <w:rPr>
                <w:rFonts w:ascii="仿宋" w:hAnsi="仿宋" w:eastAsia="仿宋"/>
                <w:kern w:val="0"/>
                <w:szCs w:val="21"/>
              </w:rPr>
            </w:pPr>
            <w:r>
              <w:rPr>
                <w:rFonts w:ascii="仿宋" w:hAnsi="仿宋" w:eastAsia="仿宋"/>
                <w:kern w:val="0"/>
                <w:szCs w:val="21"/>
              </w:rPr>
              <w:t>昼间</w:t>
            </w:r>
          </w:p>
        </w:tc>
        <w:tc>
          <w:tcPr>
            <w:tcW w:w="584" w:type="dxa"/>
            <w:shd w:val="clear" w:color="auto" w:fill="auto"/>
            <w:vAlign w:val="center"/>
          </w:tcPr>
          <w:p>
            <w:pPr>
              <w:widowControl/>
              <w:jc w:val="center"/>
              <w:rPr>
                <w:rFonts w:ascii="仿宋" w:hAnsi="仿宋" w:eastAsia="仿宋"/>
                <w:kern w:val="0"/>
                <w:szCs w:val="21"/>
              </w:rPr>
            </w:pPr>
            <w:r>
              <w:rPr>
                <w:rFonts w:ascii="仿宋" w:hAnsi="仿宋" w:eastAsia="仿宋"/>
                <w:kern w:val="0"/>
                <w:szCs w:val="21"/>
              </w:rPr>
              <w:t>夜间</w:t>
            </w:r>
          </w:p>
        </w:tc>
        <w:tc>
          <w:tcPr>
            <w:tcW w:w="525" w:type="dxa"/>
            <w:shd w:val="clear" w:color="auto" w:fill="auto"/>
            <w:vAlign w:val="center"/>
          </w:tcPr>
          <w:p>
            <w:pPr>
              <w:widowControl/>
              <w:jc w:val="center"/>
              <w:rPr>
                <w:rFonts w:ascii="仿宋" w:hAnsi="仿宋" w:eastAsia="仿宋"/>
                <w:kern w:val="0"/>
                <w:szCs w:val="21"/>
              </w:rPr>
            </w:pPr>
            <w:r>
              <w:rPr>
                <w:rFonts w:ascii="仿宋" w:hAnsi="仿宋" w:eastAsia="仿宋"/>
                <w:kern w:val="0"/>
                <w:szCs w:val="21"/>
              </w:rPr>
              <w:t>昼间</w:t>
            </w:r>
          </w:p>
        </w:tc>
        <w:tc>
          <w:tcPr>
            <w:tcW w:w="568" w:type="dxa"/>
            <w:shd w:val="clear" w:color="auto" w:fill="auto"/>
            <w:vAlign w:val="center"/>
          </w:tcPr>
          <w:p>
            <w:pPr>
              <w:widowControl/>
              <w:jc w:val="center"/>
              <w:rPr>
                <w:rFonts w:ascii="仿宋" w:hAnsi="仿宋" w:eastAsia="仿宋"/>
                <w:kern w:val="0"/>
                <w:szCs w:val="21"/>
              </w:rPr>
            </w:pPr>
            <w:r>
              <w:rPr>
                <w:rFonts w:ascii="仿宋" w:hAnsi="仿宋" w:eastAsia="仿宋"/>
                <w:kern w:val="0"/>
                <w:szCs w:val="21"/>
              </w:rPr>
              <w:t>夜间</w:t>
            </w:r>
          </w:p>
        </w:tc>
        <w:tc>
          <w:tcPr>
            <w:tcW w:w="709" w:type="dxa"/>
            <w:shd w:val="clear" w:color="auto" w:fill="auto"/>
            <w:vAlign w:val="center"/>
          </w:tcPr>
          <w:p>
            <w:pPr>
              <w:widowControl/>
              <w:jc w:val="center"/>
              <w:rPr>
                <w:rFonts w:ascii="仿宋" w:hAnsi="仿宋" w:eastAsia="仿宋"/>
                <w:kern w:val="0"/>
                <w:szCs w:val="21"/>
              </w:rPr>
            </w:pPr>
            <w:r>
              <w:rPr>
                <w:rFonts w:ascii="仿宋" w:hAnsi="仿宋" w:eastAsia="仿宋"/>
                <w:kern w:val="0"/>
                <w:szCs w:val="21"/>
              </w:rPr>
              <w:t>昼间</w:t>
            </w:r>
          </w:p>
        </w:tc>
        <w:tc>
          <w:tcPr>
            <w:tcW w:w="685" w:type="dxa"/>
            <w:shd w:val="clear" w:color="auto" w:fill="auto"/>
            <w:vAlign w:val="center"/>
          </w:tcPr>
          <w:p>
            <w:pPr>
              <w:widowControl/>
              <w:jc w:val="center"/>
              <w:rPr>
                <w:rFonts w:ascii="仿宋" w:hAnsi="仿宋" w:eastAsia="仿宋"/>
                <w:kern w:val="0"/>
                <w:szCs w:val="21"/>
              </w:rPr>
            </w:pPr>
            <w:r>
              <w:rPr>
                <w:rFonts w:ascii="仿宋" w:hAnsi="仿宋" w:eastAsia="仿宋"/>
                <w:kern w:val="0"/>
                <w:szCs w:val="21"/>
              </w:rPr>
              <w:t>夜间</w:t>
            </w:r>
          </w:p>
        </w:tc>
        <w:tc>
          <w:tcPr>
            <w:tcW w:w="637" w:type="dxa"/>
            <w:shd w:val="clear" w:color="auto" w:fill="auto"/>
            <w:vAlign w:val="center"/>
          </w:tcPr>
          <w:p>
            <w:pPr>
              <w:widowControl/>
              <w:jc w:val="center"/>
              <w:rPr>
                <w:rFonts w:ascii="仿宋" w:hAnsi="仿宋" w:eastAsia="仿宋"/>
                <w:kern w:val="0"/>
                <w:szCs w:val="21"/>
              </w:rPr>
            </w:pPr>
            <w:r>
              <w:rPr>
                <w:rFonts w:ascii="仿宋" w:hAnsi="仿宋" w:eastAsia="仿宋"/>
                <w:kern w:val="0"/>
                <w:szCs w:val="21"/>
              </w:rPr>
              <w:t>昼间</w:t>
            </w:r>
          </w:p>
        </w:tc>
        <w:tc>
          <w:tcPr>
            <w:tcW w:w="637" w:type="dxa"/>
            <w:shd w:val="clear" w:color="auto" w:fill="auto"/>
            <w:vAlign w:val="center"/>
          </w:tcPr>
          <w:p>
            <w:pPr>
              <w:widowControl/>
              <w:jc w:val="center"/>
              <w:rPr>
                <w:rFonts w:ascii="仿宋" w:hAnsi="仿宋" w:eastAsia="仿宋"/>
                <w:kern w:val="0"/>
                <w:szCs w:val="21"/>
              </w:rPr>
            </w:pPr>
            <w:r>
              <w:rPr>
                <w:rFonts w:ascii="仿宋" w:hAnsi="仿宋" w:eastAsia="仿宋"/>
                <w:kern w:val="0"/>
                <w:szCs w:val="21"/>
              </w:rPr>
              <w:t>夜间</w:t>
            </w:r>
          </w:p>
        </w:tc>
        <w:tc>
          <w:tcPr>
            <w:tcW w:w="521" w:type="dxa"/>
            <w:shd w:val="clear" w:color="auto" w:fill="auto"/>
            <w:vAlign w:val="center"/>
          </w:tcPr>
          <w:p>
            <w:pPr>
              <w:widowControl/>
              <w:jc w:val="center"/>
              <w:rPr>
                <w:rFonts w:ascii="仿宋" w:hAnsi="仿宋" w:eastAsia="仿宋"/>
                <w:kern w:val="0"/>
                <w:szCs w:val="21"/>
              </w:rPr>
            </w:pPr>
            <w:r>
              <w:rPr>
                <w:rFonts w:ascii="仿宋" w:hAnsi="仿宋" w:eastAsia="仿宋"/>
                <w:kern w:val="0"/>
                <w:szCs w:val="21"/>
              </w:rPr>
              <w:t>昼间</w:t>
            </w:r>
          </w:p>
        </w:tc>
        <w:tc>
          <w:tcPr>
            <w:tcW w:w="521" w:type="dxa"/>
            <w:shd w:val="clear" w:color="auto" w:fill="auto"/>
            <w:vAlign w:val="center"/>
          </w:tcPr>
          <w:p>
            <w:pPr>
              <w:widowControl/>
              <w:jc w:val="center"/>
              <w:rPr>
                <w:rFonts w:ascii="仿宋" w:hAnsi="仿宋" w:eastAsia="仿宋"/>
                <w:kern w:val="0"/>
                <w:szCs w:val="21"/>
              </w:rPr>
            </w:pPr>
            <w:r>
              <w:rPr>
                <w:rFonts w:ascii="仿宋" w:hAnsi="仿宋" w:eastAsia="仿宋"/>
                <w:kern w:val="0"/>
                <w:szCs w:val="21"/>
              </w:rPr>
              <w:t>夜间</w:t>
            </w:r>
          </w:p>
        </w:tc>
        <w:tc>
          <w:tcPr>
            <w:tcW w:w="465" w:type="dxa"/>
            <w:shd w:val="clear" w:color="auto" w:fill="auto"/>
            <w:vAlign w:val="center"/>
          </w:tcPr>
          <w:p>
            <w:pPr>
              <w:widowControl/>
              <w:jc w:val="center"/>
              <w:rPr>
                <w:rFonts w:ascii="仿宋" w:hAnsi="仿宋" w:eastAsia="仿宋"/>
                <w:kern w:val="0"/>
                <w:szCs w:val="21"/>
              </w:rPr>
            </w:pPr>
            <w:r>
              <w:rPr>
                <w:rFonts w:ascii="仿宋" w:hAnsi="仿宋" w:eastAsia="仿宋"/>
                <w:kern w:val="0"/>
                <w:szCs w:val="21"/>
              </w:rPr>
              <w:t>昼间</w:t>
            </w:r>
          </w:p>
        </w:tc>
        <w:tc>
          <w:tcPr>
            <w:tcW w:w="465" w:type="dxa"/>
            <w:shd w:val="clear" w:color="auto" w:fill="auto"/>
            <w:vAlign w:val="center"/>
          </w:tcPr>
          <w:p>
            <w:pPr>
              <w:widowControl/>
              <w:jc w:val="center"/>
              <w:rPr>
                <w:rFonts w:ascii="仿宋" w:hAnsi="仿宋" w:eastAsia="仿宋"/>
                <w:kern w:val="0"/>
                <w:szCs w:val="21"/>
              </w:rPr>
            </w:pPr>
            <w:r>
              <w:rPr>
                <w:rFonts w:ascii="仿宋" w:hAnsi="仿宋" w:eastAsia="仿宋"/>
                <w:kern w:val="0"/>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503" w:type="dxa"/>
            <w:shd w:val="clear" w:color="auto" w:fill="auto"/>
            <w:vAlign w:val="center"/>
          </w:tcPr>
          <w:p>
            <w:pPr>
              <w:widowControl/>
              <w:jc w:val="center"/>
              <w:rPr>
                <w:rFonts w:ascii="仿宋" w:hAnsi="仿宋" w:eastAsia="仿宋"/>
                <w:kern w:val="0"/>
                <w:szCs w:val="21"/>
              </w:rPr>
            </w:pPr>
            <w:r>
              <w:rPr>
                <w:rFonts w:ascii="仿宋" w:hAnsi="仿宋" w:eastAsia="仿宋"/>
                <w:kern w:val="0"/>
                <w:szCs w:val="21"/>
              </w:rPr>
              <w:t>1</w:t>
            </w:r>
          </w:p>
        </w:tc>
        <w:tc>
          <w:tcPr>
            <w:tcW w:w="901" w:type="dxa"/>
            <w:shd w:val="clear" w:color="auto" w:fill="auto"/>
            <w:vAlign w:val="center"/>
          </w:tcPr>
          <w:p>
            <w:pPr>
              <w:widowControl/>
              <w:jc w:val="center"/>
              <w:rPr>
                <w:rFonts w:ascii="仿宋" w:hAnsi="仿宋" w:eastAsia="仿宋"/>
                <w:kern w:val="0"/>
                <w:szCs w:val="21"/>
              </w:rPr>
            </w:pPr>
            <w:r>
              <w:rPr>
                <w:rFonts w:ascii="仿宋" w:hAnsi="仿宋" w:eastAsia="仿宋"/>
                <w:kern w:val="0"/>
                <w:szCs w:val="21"/>
              </w:rPr>
              <w:t>东厂界</w:t>
            </w:r>
          </w:p>
        </w:tc>
        <w:tc>
          <w:tcPr>
            <w:tcW w:w="585" w:type="dxa"/>
            <w:shd w:val="clear" w:color="auto" w:fill="auto"/>
            <w:vAlign w:val="center"/>
          </w:tcPr>
          <w:p>
            <w:pPr>
              <w:widowControl/>
              <w:jc w:val="center"/>
              <w:rPr>
                <w:rFonts w:ascii="仿宋" w:hAnsi="仿宋" w:eastAsia="仿宋"/>
                <w:kern w:val="0"/>
                <w:szCs w:val="21"/>
              </w:rPr>
            </w:pPr>
            <w:r>
              <w:rPr>
                <w:rFonts w:hint="eastAsia" w:ascii="仿宋" w:hAnsi="仿宋" w:eastAsia="仿宋"/>
                <w:kern w:val="0"/>
                <w:szCs w:val="21"/>
              </w:rPr>
              <w:t>60</w:t>
            </w:r>
          </w:p>
        </w:tc>
        <w:tc>
          <w:tcPr>
            <w:tcW w:w="584" w:type="dxa"/>
            <w:shd w:val="clear" w:color="auto" w:fill="auto"/>
            <w:vAlign w:val="center"/>
          </w:tcPr>
          <w:p>
            <w:pPr>
              <w:widowControl/>
              <w:jc w:val="center"/>
              <w:rPr>
                <w:rFonts w:ascii="仿宋" w:hAnsi="仿宋" w:eastAsia="仿宋"/>
                <w:kern w:val="0"/>
                <w:szCs w:val="21"/>
              </w:rPr>
            </w:pPr>
            <w:r>
              <w:rPr>
                <w:rFonts w:hint="eastAsia" w:ascii="仿宋" w:hAnsi="仿宋" w:eastAsia="仿宋"/>
                <w:kern w:val="0"/>
                <w:szCs w:val="21"/>
              </w:rPr>
              <w:t>52</w:t>
            </w:r>
          </w:p>
        </w:tc>
        <w:tc>
          <w:tcPr>
            <w:tcW w:w="584" w:type="dxa"/>
            <w:shd w:val="clear" w:color="auto" w:fill="auto"/>
            <w:vAlign w:val="center"/>
          </w:tcPr>
          <w:p>
            <w:pPr>
              <w:widowControl/>
              <w:jc w:val="center"/>
              <w:rPr>
                <w:rFonts w:ascii="仿宋" w:hAnsi="仿宋" w:eastAsia="仿宋"/>
                <w:kern w:val="0"/>
                <w:szCs w:val="21"/>
              </w:rPr>
            </w:pPr>
            <w:r>
              <w:rPr>
                <w:rFonts w:hint="eastAsia" w:ascii="仿宋" w:hAnsi="仿宋" w:eastAsia="仿宋"/>
                <w:kern w:val="0"/>
                <w:szCs w:val="21"/>
              </w:rPr>
              <w:t>60</w:t>
            </w:r>
          </w:p>
        </w:tc>
        <w:tc>
          <w:tcPr>
            <w:tcW w:w="584" w:type="dxa"/>
            <w:shd w:val="clear" w:color="auto" w:fill="auto"/>
            <w:vAlign w:val="center"/>
          </w:tcPr>
          <w:p>
            <w:pPr>
              <w:widowControl/>
              <w:jc w:val="center"/>
              <w:rPr>
                <w:rFonts w:ascii="仿宋" w:hAnsi="仿宋" w:eastAsia="仿宋"/>
                <w:kern w:val="0"/>
                <w:szCs w:val="21"/>
              </w:rPr>
            </w:pPr>
            <w:r>
              <w:rPr>
                <w:rFonts w:hint="eastAsia" w:ascii="仿宋" w:hAnsi="仿宋" w:eastAsia="仿宋"/>
                <w:kern w:val="0"/>
                <w:szCs w:val="21"/>
              </w:rPr>
              <w:t>52</w:t>
            </w:r>
          </w:p>
        </w:tc>
        <w:tc>
          <w:tcPr>
            <w:tcW w:w="525" w:type="dxa"/>
            <w:shd w:val="clear" w:color="auto" w:fill="auto"/>
            <w:vAlign w:val="center"/>
          </w:tcPr>
          <w:p>
            <w:pPr>
              <w:widowControl/>
              <w:jc w:val="center"/>
              <w:rPr>
                <w:rFonts w:ascii="仿宋" w:hAnsi="仿宋" w:eastAsia="仿宋"/>
                <w:kern w:val="0"/>
                <w:szCs w:val="21"/>
              </w:rPr>
            </w:pPr>
            <w:r>
              <w:rPr>
                <w:rFonts w:hint="eastAsia" w:ascii="仿宋" w:hAnsi="仿宋" w:eastAsia="仿宋"/>
                <w:kern w:val="0"/>
                <w:szCs w:val="21"/>
              </w:rPr>
              <w:t>65</w:t>
            </w:r>
          </w:p>
        </w:tc>
        <w:tc>
          <w:tcPr>
            <w:tcW w:w="568" w:type="dxa"/>
            <w:shd w:val="clear" w:color="auto" w:fill="auto"/>
            <w:vAlign w:val="center"/>
          </w:tcPr>
          <w:p>
            <w:pPr>
              <w:widowControl/>
              <w:jc w:val="center"/>
              <w:rPr>
                <w:rFonts w:ascii="仿宋" w:hAnsi="仿宋" w:eastAsia="仿宋"/>
                <w:kern w:val="0"/>
                <w:szCs w:val="21"/>
              </w:rPr>
            </w:pPr>
            <w:r>
              <w:rPr>
                <w:rFonts w:hint="eastAsia" w:ascii="仿宋" w:hAnsi="仿宋" w:eastAsia="仿宋"/>
                <w:kern w:val="0"/>
                <w:szCs w:val="21"/>
              </w:rPr>
              <w:t>55</w:t>
            </w:r>
          </w:p>
        </w:tc>
        <w:tc>
          <w:tcPr>
            <w:tcW w:w="709" w:type="dxa"/>
            <w:shd w:val="clear" w:color="auto" w:fill="auto"/>
            <w:vAlign w:val="center"/>
          </w:tcPr>
          <w:p>
            <w:pPr>
              <w:widowControl/>
              <w:jc w:val="center"/>
              <w:rPr>
                <w:rFonts w:ascii="仿宋" w:hAnsi="仿宋" w:eastAsia="仿宋"/>
                <w:kern w:val="0"/>
                <w:szCs w:val="21"/>
              </w:rPr>
            </w:pPr>
            <w:r>
              <w:rPr>
                <w:rFonts w:hint="eastAsia" w:ascii="仿宋" w:hAnsi="仿宋" w:eastAsia="仿宋"/>
                <w:kern w:val="0"/>
                <w:szCs w:val="21"/>
              </w:rPr>
              <w:t>36</w:t>
            </w:r>
          </w:p>
        </w:tc>
        <w:tc>
          <w:tcPr>
            <w:tcW w:w="685" w:type="dxa"/>
            <w:shd w:val="clear" w:color="auto" w:fill="auto"/>
            <w:vAlign w:val="center"/>
          </w:tcPr>
          <w:p>
            <w:pPr>
              <w:widowControl/>
              <w:jc w:val="center"/>
              <w:rPr>
                <w:rFonts w:ascii="仿宋" w:hAnsi="仿宋" w:eastAsia="仿宋"/>
                <w:kern w:val="0"/>
                <w:szCs w:val="21"/>
              </w:rPr>
            </w:pPr>
            <w:r>
              <w:rPr>
                <w:rFonts w:hint="eastAsia" w:ascii="仿宋" w:hAnsi="仿宋" w:eastAsia="仿宋"/>
                <w:kern w:val="0"/>
                <w:szCs w:val="21"/>
              </w:rPr>
              <w:t>36</w:t>
            </w:r>
          </w:p>
        </w:tc>
        <w:tc>
          <w:tcPr>
            <w:tcW w:w="637" w:type="dxa"/>
            <w:shd w:val="clear" w:color="auto" w:fill="auto"/>
            <w:vAlign w:val="center"/>
          </w:tcPr>
          <w:p>
            <w:pPr>
              <w:widowControl/>
              <w:jc w:val="center"/>
              <w:rPr>
                <w:rFonts w:ascii="仿宋" w:hAnsi="仿宋" w:eastAsia="仿宋"/>
                <w:kern w:val="0"/>
                <w:szCs w:val="21"/>
              </w:rPr>
            </w:pPr>
            <w:r>
              <w:rPr>
                <w:rFonts w:hint="eastAsia" w:ascii="仿宋" w:hAnsi="仿宋" w:eastAsia="仿宋"/>
                <w:kern w:val="0"/>
                <w:szCs w:val="21"/>
              </w:rPr>
              <w:t>60</w:t>
            </w:r>
          </w:p>
        </w:tc>
        <w:tc>
          <w:tcPr>
            <w:tcW w:w="637" w:type="dxa"/>
            <w:shd w:val="clear" w:color="auto" w:fill="auto"/>
            <w:vAlign w:val="center"/>
          </w:tcPr>
          <w:p>
            <w:pPr>
              <w:widowControl/>
              <w:jc w:val="center"/>
              <w:rPr>
                <w:rFonts w:ascii="仿宋" w:hAnsi="仿宋" w:eastAsia="仿宋"/>
                <w:kern w:val="0"/>
                <w:szCs w:val="21"/>
              </w:rPr>
            </w:pPr>
            <w:r>
              <w:rPr>
                <w:rFonts w:hint="eastAsia" w:ascii="仿宋" w:hAnsi="仿宋" w:eastAsia="仿宋"/>
                <w:kern w:val="0"/>
                <w:szCs w:val="21"/>
              </w:rPr>
              <w:t>52</w:t>
            </w:r>
          </w:p>
        </w:tc>
        <w:tc>
          <w:tcPr>
            <w:tcW w:w="521" w:type="dxa"/>
            <w:shd w:val="clear" w:color="auto" w:fill="auto"/>
            <w:vAlign w:val="center"/>
          </w:tcPr>
          <w:p>
            <w:pPr>
              <w:widowControl/>
              <w:jc w:val="center"/>
              <w:rPr>
                <w:rFonts w:ascii="仿宋" w:hAnsi="仿宋" w:eastAsia="仿宋"/>
                <w:kern w:val="0"/>
                <w:szCs w:val="21"/>
              </w:rPr>
            </w:pPr>
            <w:r>
              <w:rPr>
                <w:rFonts w:hint="eastAsia" w:ascii="仿宋" w:hAnsi="仿宋" w:eastAsia="仿宋"/>
                <w:kern w:val="0"/>
                <w:szCs w:val="21"/>
              </w:rPr>
              <w:t>0</w:t>
            </w:r>
          </w:p>
        </w:tc>
        <w:tc>
          <w:tcPr>
            <w:tcW w:w="521" w:type="dxa"/>
            <w:shd w:val="clear" w:color="auto" w:fill="auto"/>
            <w:vAlign w:val="center"/>
          </w:tcPr>
          <w:p>
            <w:pPr>
              <w:widowControl/>
              <w:jc w:val="center"/>
              <w:rPr>
                <w:rFonts w:ascii="仿宋" w:hAnsi="仿宋" w:eastAsia="仿宋"/>
                <w:kern w:val="0"/>
                <w:szCs w:val="21"/>
              </w:rPr>
            </w:pPr>
            <w:r>
              <w:rPr>
                <w:rFonts w:hint="eastAsia" w:ascii="仿宋" w:hAnsi="仿宋" w:eastAsia="仿宋"/>
                <w:kern w:val="0"/>
                <w:szCs w:val="21"/>
              </w:rPr>
              <w:t>0</w:t>
            </w:r>
          </w:p>
        </w:tc>
        <w:tc>
          <w:tcPr>
            <w:tcW w:w="465" w:type="dxa"/>
            <w:shd w:val="clear" w:color="auto" w:fill="auto"/>
            <w:vAlign w:val="center"/>
          </w:tcPr>
          <w:p>
            <w:pPr>
              <w:widowControl/>
              <w:jc w:val="center"/>
              <w:rPr>
                <w:rFonts w:ascii="仿宋" w:hAnsi="仿宋" w:eastAsia="仿宋"/>
                <w:kern w:val="0"/>
                <w:szCs w:val="21"/>
              </w:rPr>
            </w:pPr>
            <w:r>
              <w:rPr>
                <w:rFonts w:ascii="仿宋" w:hAnsi="仿宋" w:eastAsia="仿宋"/>
                <w:kern w:val="0"/>
                <w:szCs w:val="21"/>
              </w:rPr>
              <w:t>达标</w:t>
            </w:r>
          </w:p>
        </w:tc>
        <w:tc>
          <w:tcPr>
            <w:tcW w:w="465" w:type="dxa"/>
            <w:shd w:val="clear" w:color="auto" w:fill="auto"/>
            <w:vAlign w:val="center"/>
          </w:tcPr>
          <w:p>
            <w:pPr>
              <w:widowControl/>
              <w:jc w:val="center"/>
              <w:rPr>
                <w:rFonts w:ascii="仿宋" w:hAnsi="仿宋" w:eastAsia="仿宋"/>
                <w:kern w:val="0"/>
                <w:szCs w:val="21"/>
              </w:rPr>
            </w:pPr>
            <w:r>
              <w:rPr>
                <w:rFonts w:ascii="仿宋" w:hAnsi="仿宋" w:eastAsia="仿宋"/>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503" w:type="dxa"/>
            <w:shd w:val="clear" w:color="auto" w:fill="auto"/>
            <w:vAlign w:val="center"/>
          </w:tcPr>
          <w:p>
            <w:pPr>
              <w:widowControl/>
              <w:jc w:val="center"/>
              <w:rPr>
                <w:rFonts w:ascii="仿宋" w:hAnsi="仿宋" w:eastAsia="仿宋"/>
                <w:kern w:val="0"/>
                <w:szCs w:val="21"/>
              </w:rPr>
            </w:pPr>
            <w:r>
              <w:rPr>
                <w:rFonts w:ascii="仿宋" w:hAnsi="仿宋" w:eastAsia="仿宋"/>
                <w:kern w:val="0"/>
                <w:szCs w:val="21"/>
              </w:rPr>
              <w:t>2</w:t>
            </w:r>
          </w:p>
        </w:tc>
        <w:tc>
          <w:tcPr>
            <w:tcW w:w="901" w:type="dxa"/>
            <w:shd w:val="clear" w:color="auto" w:fill="auto"/>
            <w:vAlign w:val="center"/>
          </w:tcPr>
          <w:p>
            <w:pPr>
              <w:widowControl/>
              <w:jc w:val="center"/>
              <w:rPr>
                <w:rFonts w:ascii="仿宋" w:hAnsi="仿宋" w:eastAsia="仿宋"/>
                <w:kern w:val="0"/>
                <w:szCs w:val="21"/>
              </w:rPr>
            </w:pPr>
            <w:r>
              <w:rPr>
                <w:rFonts w:ascii="仿宋" w:hAnsi="仿宋" w:eastAsia="仿宋"/>
                <w:kern w:val="0"/>
                <w:szCs w:val="21"/>
              </w:rPr>
              <w:t>南厂界</w:t>
            </w:r>
          </w:p>
        </w:tc>
        <w:tc>
          <w:tcPr>
            <w:tcW w:w="585" w:type="dxa"/>
            <w:shd w:val="clear" w:color="auto" w:fill="auto"/>
            <w:vAlign w:val="center"/>
          </w:tcPr>
          <w:p>
            <w:pPr>
              <w:widowControl/>
              <w:jc w:val="center"/>
              <w:rPr>
                <w:rFonts w:ascii="仿宋" w:hAnsi="仿宋" w:eastAsia="仿宋"/>
                <w:kern w:val="0"/>
                <w:szCs w:val="21"/>
              </w:rPr>
            </w:pPr>
            <w:r>
              <w:rPr>
                <w:rFonts w:hint="eastAsia" w:ascii="仿宋" w:hAnsi="仿宋" w:eastAsia="仿宋"/>
                <w:kern w:val="0"/>
                <w:szCs w:val="21"/>
              </w:rPr>
              <w:t>62</w:t>
            </w:r>
          </w:p>
        </w:tc>
        <w:tc>
          <w:tcPr>
            <w:tcW w:w="584" w:type="dxa"/>
            <w:shd w:val="clear" w:color="auto" w:fill="auto"/>
            <w:vAlign w:val="center"/>
          </w:tcPr>
          <w:p>
            <w:pPr>
              <w:widowControl/>
              <w:jc w:val="center"/>
              <w:rPr>
                <w:rFonts w:ascii="仿宋" w:hAnsi="仿宋" w:eastAsia="仿宋"/>
                <w:kern w:val="0"/>
                <w:szCs w:val="21"/>
              </w:rPr>
            </w:pPr>
            <w:r>
              <w:rPr>
                <w:rFonts w:hint="eastAsia" w:ascii="仿宋" w:hAnsi="仿宋" w:eastAsia="仿宋"/>
                <w:kern w:val="0"/>
                <w:szCs w:val="21"/>
              </w:rPr>
              <w:t>52</w:t>
            </w:r>
          </w:p>
        </w:tc>
        <w:tc>
          <w:tcPr>
            <w:tcW w:w="584" w:type="dxa"/>
            <w:shd w:val="clear" w:color="auto" w:fill="auto"/>
            <w:vAlign w:val="center"/>
          </w:tcPr>
          <w:p>
            <w:pPr>
              <w:widowControl/>
              <w:jc w:val="center"/>
              <w:rPr>
                <w:rFonts w:ascii="仿宋" w:hAnsi="仿宋" w:eastAsia="仿宋"/>
                <w:kern w:val="0"/>
                <w:szCs w:val="21"/>
              </w:rPr>
            </w:pPr>
            <w:r>
              <w:rPr>
                <w:rFonts w:hint="eastAsia" w:ascii="仿宋" w:hAnsi="仿宋" w:eastAsia="仿宋"/>
                <w:kern w:val="0"/>
                <w:szCs w:val="21"/>
              </w:rPr>
              <w:t>62</w:t>
            </w:r>
          </w:p>
        </w:tc>
        <w:tc>
          <w:tcPr>
            <w:tcW w:w="584" w:type="dxa"/>
            <w:shd w:val="clear" w:color="auto" w:fill="auto"/>
            <w:vAlign w:val="center"/>
          </w:tcPr>
          <w:p>
            <w:pPr>
              <w:widowControl/>
              <w:jc w:val="center"/>
              <w:rPr>
                <w:rFonts w:ascii="仿宋" w:hAnsi="仿宋" w:eastAsia="仿宋"/>
                <w:kern w:val="0"/>
                <w:szCs w:val="21"/>
              </w:rPr>
            </w:pPr>
            <w:r>
              <w:rPr>
                <w:rFonts w:hint="eastAsia" w:ascii="仿宋" w:hAnsi="仿宋" w:eastAsia="仿宋"/>
                <w:kern w:val="0"/>
                <w:szCs w:val="21"/>
              </w:rPr>
              <w:t>52</w:t>
            </w:r>
          </w:p>
        </w:tc>
        <w:tc>
          <w:tcPr>
            <w:tcW w:w="525" w:type="dxa"/>
            <w:shd w:val="clear" w:color="auto" w:fill="auto"/>
            <w:vAlign w:val="center"/>
          </w:tcPr>
          <w:p>
            <w:pPr>
              <w:widowControl/>
              <w:jc w:val="center"/>
              <w:rPr>
                <w:rFonts w:ascii="仿宋" w:hAnsi="仿宋" w:eastAsia="仿宋"/>
                <w:kern w:val="0"/>
                <w:szCs w:val="21"/>
              </w:rPr>
            </w:pPr>
            <w:r>
              <w:rPr>
                <w:rFonts w:ascii="仿宋" w:hAnsi="仿宋" w:eastAsia="仿宋"/>
                <w:kern w:val="0"/>
                <w:szCs w:val="21"/>
              </w:rPr>
              <w:t>70</w:t>
            </w:r>
          </w:p>
        </w:tc>
        <w:tc>
          <w:tcPr>
            <w:tcW w:w="568" w:type="dxa"/>
            <w:shd w:val="clear" w:color="auto" w:fill="auto"/>
            <w:vAlign w:val="center"/>
          </w:tcPr>
          <w:p>
            <w:pPr>
              <w:widowControl/>
              <w:jc w:val="center"/>
              <w:rPr>
                <w:rFonts w:ascii="仿宋" w:hAnsi="仿宋" w:eastAsia="仿宋"/>
                <w:kern w:val="0"/>
                <w:szCs w:val="21"/>
              </w:rPr>
            </w:pPr>
            <w:r>
              <w:rPr>
                <w:rFonts w:hint="eastAsia" w:ascii="仿宋" w:hAnsi="仿宋" w:eastAsia="仿宋"/>
                <w:kern w:val="0"/>
                <w:szCs w:val="21"/>
              </w:rPr>
              <w:t>55</w:t>
            </w:r>
          </w:p>
        </w:tc>
        <w:tc>
          <w:tcPr>
            <w:tcW w:w="709" w:type="dxa"/>
            <w:shd w:val="clear" w:color="auto" w:fill="auto"/>
            <w:vAlign w:val="center"/>
          </w:tcPr>
          <w:p>
            <w:pPr>
              <w:widowControl/>
              <w:jc w:val="center"/>
              <w:rPr>
                <w:rFonts w:ascii="仿宋" w:hAnsi="仿宋" w:eastAsia="仿宋"/>
                <w:kern w:val="0"/>
                <w:szCs w:val="21"/>
              </w:rPr>
            </w:pPr>
            <w:r>
              <w:rPr>
                <w:rFonts w:hint="eastAsia" w:ascii="仿宋" w:hAnsi="仿宋" w:eastAsia="仿宋"/>
                <w:kern w:val="0"/>
                <w:szCs w:val="21"/>
              </w:rPr>
              <w:t>29</w:t>
            </w:r>
          </w:p>
        </w:tc>
        <w:tc>
          <w:tcPr>
            <w:tcW w:w="685" w:type="dxa"/>
            <w:shd w:val="clear" w:color="auto" w:fill="auto"/>
            <w:vAlign w:val="center"/>
          </w:tcPr>
          <w:p>
            <w:pPr>
              <w:widowControl/>
              <w:jc w:val="center"/>
              <w:rPr>
                <w:rFonts w:ascii="仿宋" w:hAnsi="仿宋" w:eastAsia="仿宋"/>
                <w:kern w:val="0"/>
                <w:szCs w:val="21"/>
              </w:rPr>
            </w:pPr>
            <w:r>
              <w:rPr>
                <w:rFonts w:hint="eastAsia" w:ascii="仿宋" w:hAnsi="仿宋" w:eastAsia="仿宋"/>
                <w:kern w:val="0"/>
                <w:szCs w:val="21"/>
              </w:rPr>
              <w:t>29</w:t>
            </w:r>
          </w:p>
        </w:tc>
        <w:tc>
          <w:tcPr>
            <w:tcW w:w="637" w:type="dxa"/>
            <w:shd w:val="clear" w:color="auto" w:fill="auto"/>
            <w:vAlign w:val="center"/>
          </w:tcPr>
          <w:p>
            <w:pPr>
              <w:widowControl/>
              <w:jc w:val="center"/>
              <w:rPr>
                <w:rFonts w:ascii="仿宋" w:hAnsi="仿宋" w:eastAsia="仿宋"/>
                <w:kern w:val="0"/>
                <w:szCs w:val="21"/>
              </w:rPr>
            </w:pPr>
            <w:r>
              <w:rPr>
                <w:rFonts w:hint="eastAsia" w:ascii="仿宋" w:hAnsi="仿宋" w:eastAsia="仿宋"/>
                <w:kern w:val="0"/>
                <w:szCs w:val="21"/>
              </w:rPr>
              <w:t>62</w:t>
            </w:r>
          </w:p>
        </w:tc>
        <w:tc>
          <w:tcPr>
            <w:tcW w:w="637" w:type="dxa"/>
            <w:shd w:val="clear" w:color="auto" w:fill="auto"/>
            <w:vAlign w:val="center"/>
          </w:tcPr>
          <w:p>
            <w:pPr>
              <w:widowControl/>
              <w:jc w:val="center"/>
              <w:rPr>
                <w:rFonts w:ascii="仿宋" w:hAnsi="仿宋" w:eastAsia="仿宋"/>
                <w:kern w:val="0"/>
                <w:szCs w:val="21"/>
              </w:rPr>
            </w:pPr>
            <w:r>
              <w:rPr>
                <w:rFonts w:hint="eastAsia" w:ascii="仿宋" w:hAnsi="仿宋" w:eastAsia="仿宋"/>
                <w:kern w:val="0"/>
                <w:szCs w:val="21"/>
              </w:rPr>
              <w:t>52</w:t>
            </w:r>
          </w:p>
        </w:tc>
        <w:tc>
          <w:tcPr>
            <w:tcW w:w="521" w:type="dxa"/>
            <w:shd w:val="clear" w:color="auto" w:fill="auto"/>
            <w:vAlign w:val="center"/>
          </w:tcPr>
          <w:p>
            <w:pPr>
              <w:widowControl/>
              <w:jc w:val="center"/>
              <w:rPr>
                <w:rFonts w:ascii="仿宋" w:hAnsi="仿宋" w:eastAsia="仿宋"/>
                <w:kern w:val="0"/>
                <w:szCs w:val="21"/>
              </w:rPr>
            </w:pPr>
            <w:r>
              <w:rPr>
                <w:rFonts w:hint="eastAsia" w:ascii="仿宋" w:hAnsi="仿宋" w:eastAsia="仿宋"/>
                <w:kern w:val="0"/>
                <w:szCs w:val="21"/>
              </w:rPr>
              <w:t>0</w:t>
            </w:r>
          </w:p>
        </w:tc>
        <w:tc>
          <w:tcPr>
            <w:tcW w:w="521" w:type="dxa"/>
            <w:shd w:val="clear" w:color="auto" w:fill="auto"/>
            <w:vAlign w:val="center"/>
          </w:tcPr>
          <w:p>
            <w:pPr>
              <w:widowControl/>
              <w:jc w:val="center"/>
              <w:rPr>
                <w:rFonts w:ascii="仿宋" w:hAnsi="仿宋" w:eastAsia="仿宋"/>
                <w:kern w:val="0"/>
                <w:szCs w:val="21"/>
              </w:rPr>
            </w:pPr>
            <w:r>
              <w:rPr>
                <w:rFonts w:hint="eastAsia" w:ascii="仿宋" w:hAnsi="仿宋" w:eastAsia="仿宋"/>
                <w:kern w:val="0"/>
                <w:szCs w:val="21"/>
              </w:rPr>
              <w:t>0</w:t>
            </w:r>
          </w:p>
        </w:tc>
        <w:tc>
          <w:tcPr>
            <w:tcW w:w="465" w:type="dxa"/>
            <w:shd w:val="clear" w:color="auto" w:fill="auto"/>
            <w:vAlign w:val="center"/>
          </w:tcPr>
          <w:p>
            <w:pPr>
              <w:widowControl/>
              <w:jc w:val="center"/>
              <w:rPr>
                <w:rFonts w:ascii="仿宋" w:hAnsi="仿宋" w:eastAsia="仿宋"/>
                <w:kern w:val="0"/>
                <w:szCs w:val="21"/>
              </w:rPr>
            </w:pPr>
            <w:r>
              <w:rPr>
                <w:rFonts w:ascii="仿宋" w:hAnsi="仿宋" w:eastAsia="仿宋"/>
                <w:kern w:val="0"/>
                <w:szCs w:val="21"/>
              </w:rPr>
              <w:t>达标</w:t>
            </w:r>
          </w:p>
        </w:tc>
        <w:tc>
          <w:tcPr>
            <w:tcW w:w="465" w:type="dxa"/>
            <w:shd w:val="clear" w:color="auto" w:fill="auto"/>
            <w:vAlign w:val="center"/>
          </w:tcPr>
          <w:p>
            <w:pPr>
              <w:widowControl/>
              <w:jc w:val="center"/>
              <w:rPr>
                <w:rFonts w:ascii="仿宋" w:hAnsi="仿宋" w:eastAsia="仿宋"/>
                <w:kern w:val="0"/>
                <w:szCs w:val="21"/>
              </w:rPr>
            </w:pPr>
            <w:r>
              <w:rPr>
                <w:rFonts w:ascii="仿宋" w:hAnsi="仿宋" w:eastAsia="仿宋"/>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503" w:type="dxa"/>
            <w:shd w:val="clear" w:color="auto" w:fill="auto"/>
            <w:vAlign w:val="center"/>
          </w:tcPr>
          <w:p>
            <w:pPr>
              <w:widowControl/>
              <w:jc w:val="center"/>
              <w:rPr>
                <w:rFonts w:ascii="仿宋" w:hAnsi="仿宋" w:eastAsia="仿宋"/>
                <w:kern w:val="0"/>
                <w:szCs w:val="21"/>
              </w:rPr>
            </w:pPr>
            <w:r>
              <w:rPr>
                <w:rFonts w:ascii="仿宋" w:hAnsi="仿宋" w:eastAsia="仿宋"/>
                <w:kern w:val="0"/>
                <w:szCs w:val="21"/>
              </w:rPr>
              <w:t>3</w:t>
            </w:r>
          </w:p>
        </w:tc>
        <w:tc>
          <w:tcPr>
            <w:tcW w:w="901" w:type="dxa"/>
            <w:shd w:val="clear" w:color="auto" w:fill="auto"/>
            <w:vAlign w:val="center"/>
          </w:tcPr>
          <w:p>
            <w:pPr>
              <w:widowControl/>
              <w:jc w:val="center"/>
              <w:rPr>
                <w:rFonts w:ascii="仿宋" w:hAnsi="仿宋" w:eastAsia="仿宋"/>
                <w:kern w:val="0"/>
                <w:szCs w:val="21"/>
              </w:rPr>
            </w:pPr>
            <w:r>
              <w:rPr>
                <w:rFonts w:ascii="仿宋" w:hAnsi="仿宋" w:eastAsia="仿宋"/>
                <w:kern w:val="0"/>
                <w:szCs w:val="21"/>
              </w:rPr>
              <w:t>西厂界</w:t>
            </w:r>
          </w:p>
        </w:tc>
        <w:tc>
          <w:tcPr>
            <w:tcW w:w="585" w:type="dxa"/>
            <w:shd w:val="clear" w:color="auto" w:fill="auto"/>
            <w:vAlign w:val="center"/>
          </w:tcPr>
          <w:p>
            <w:pPr>
              <w:widowControl/>
              <w:jc w:val="center"/>
              <w:rPr>
                <w:rFonts w:ascii="仿宋" w:hAnsi="仿宋" w:eastAsia="仿宋"/>
                <w:kern w:val="0"/>
                <w:szCs w:val="21"/>
              </w:rPr>
            </w:pPr>
            <w:r>
              <w:rPr>
                <w:rFonts w:hint="eastAsia" w:ascii="仿宋" w:hAnsi="仿宋" w:eastAsia="仿宋"/>
                <w:kern w:val="0"/>
                <w:szCs w:val="21"/>
              </w:rPr>
              <w:t>54</w:t>
            </w:r>
          </w:p>
        </w:tc>
        <w:tc>
          <w:tcPr>
            <w:tcW w:w="584" w:type="dxa"/>
            <w:shd w:val="clear" w:color="auto" w:fill="auto"/>
            <w:vAlign w:val="center"/>
          </w:tcPr>
          <w:p>
            <w:pPr>
              <w:widowControl/>
              <w:jc w:val="center"/>
              <w:rPr>
                <w:rFonts w:ascii="仿宋" w:hAnsi="仿宋" w:eastAsia="仿宋"/>
                <w:kern w:val="0"/>
                <w:szCs w:val="21"/>
              </w:rPr>
            </w:pPr>
            <w:r>
              <w:rPr>
                <w:rFonts w:hint="eastAsia" w:ascii="仿宋" w:hAnsi="仿宋" w:eastAsia="仿宋"/>
                <w:kern w:val="0"/>
                <w:szCs w:val="21"/>
              </w:rPr>
              <w:t>48</w:t>
            </w:r>
          </w:p>
        </w:tc>
        <w:tc>
          <w:tcPr>
            <w:tcW w:w="584" w:type="dxa"/>
            <w:shd w:val="clear" w:color="auto" w:fill="auto"/>
            <w:vAlign w:val="center"/>
          </w:tcPr>
          <w:p>
            <w:pPr>
              <w:widowControl/>
              <w:jc w:val="center"/>
              <w:rPr>
                <w:rFonts w:ascii="仿宋" w:hAnsi="仿宋" w:eastAsia="仿宋"/>
                <w:kern w:val="0"/>
                <w:szCs w:val="21"/>
              </w:rPr>
            </w:pPr>
            <w:r>
              <w:rPr>
                <w:rFonts w:hint="eastAsia" w:ascii="仿宋" w:hAnsi="仿宋" w:eastAsia="仿宋"/>
                <w:kern w:val="0"/>
                <w:szCs w:val="21"/>
              </w:rPr>
              <w:t>54</w:t>
            </w:r>
          </w:p>
        </w:tc>
        <w:tc>
          <w:tcPr>
            <w:tcW w:w="584" w:type="dxa"/>
            <w:shd w:val="clear" w:color="auto" w:fill="auto"/>
            <w:vAlign w:val="center"/>
          </w:tcPr>
          <w:p>
            <w:pPr>
              <w:widowControl/>
              <w:jc w:val="center"/>
              <w:rPr>
                <w:rFonts w:ascii="仿宋" w:hAnsi="仿宋" w:eastAsia="仿宋"/>
                <w:kern w:val="0"/>
                <w:szCs w:val="21"/>
              </w:rPr>
            </w:pPr>
            <w:r>
              <w:rPr>
                <w:rFonts w:hint="eastAsia" w:ascii="仿宋" w:hAnsi="仿宋" w:eastAsia="仿宋"/>
                <w:kern w:val="0"/>
                <w:szCs w:val="21"/>
              </w:rPr>
              <w:t>48</w:t>
            </w:r>
          </w:p>
        </w:tc>
        <w:tc>
          <w:tcPr>
            <w:tcW w:w="525" w:type="dxa"/>
            <w:shd w:val="clear" w:color="auto" w:fill="auto"/>
            <w:vAlign w:val="center"/>
          </w:tcPr>
          <w:p>
            <w:pPr>
              <w:widowControl/>
              <w:jc w:val="center"/>
              <w:rPr>
                <w:rFonts w:ascii="仿宋" w:hAnsi="仿宋" w:eastAsia="仿宋"/>
                <w:kern w:val="0"/>
                <w:szCs w:val="21"/>
              </w:rPr>
            </w:pPr>
            <w:r>
              <w:rPr>
                <w:rFonts w:hint="eastAsia" w:ascii="仿宋" w:hAnsi="仿宋" w:eastAsia="仿宋"/>
                <w:kern w:val="0"/>
                <w:szCs w:val="21"/>
              </w:rPr>
              <w:t>65</w:t>
            </w:r>
          </w:p>
        </w:tc>
        <w:tc>
          <w:tcPr>
            <w:tcW w:w="568" w:type="dxa"/>
            <w:shd w:val="clear" w:color="auto" w:fill="auto"/>
            <w:vAlign w:val="center"/>
          </w:tcPr>
          <w:p>
            <w:pPr>
              <w:widowControl/>
              <w:jc w:val="center"/>
              <w:rPr>
                <w:rFonts w:ascii="仿宋" w:hAnsi="仿宋" w:eastAsia="仿宋"/>
                <w:kern w:val="0"/>
                <w:szCs w:val="21"/>
              </w:rPr>
            </w:pPr>
            <w:r>
              <w:rPr>
                <w:rFonts w:hint="eastAsia" w:ascii="仿宋" w:hAnsi="仿宋" w:eastAsia="仿宋"/>
                <w:kern w:val="0"/>
                <w:szCs w:val="21"/>
              </w:rPr>
              <w:t>55</w:t>
            </w:r>
          </w:p>
        </w:tc>
        <w:tc>
          <w:tcPr>
            <w:tcW w:w="709" w:type="dxa"/>
            <w:shd w:val="clear" w:color="auto" w:fill="auto"/>
            <w:vAlign w:val="center"/>
          </w:tcPr>
          <w:p>
            <w:pPr>
              <w:widowControl/>
              <w:jc w:val="center"/>
              <w:rPr>
                <w:rFonts w:ascii="仿宋" w:hAnsi="仿宋" w:eastAsia="仿宋"/>
                <w:kern w:val="0"/>
                <w:szCs w:val="21"/>
              </w:rPr>
            </w:pPr>
            <w:r>
              <w:rPr>
                <w:rFonts w:hint="eastAsia" w:ascii="仿宋" w:hAnsi="仿宋" w:eastAsia="仿宋"/>
                <w:kern w:val="0"/>
                <w:szCs w:val="21"/>
              </w:rPr>
              <w:t>18</w:t>
            </w:r>
          </w:p>
        </w:tc>
        <w:tc>
          <w:tcPr>
            <w:tcW w:w="685" w:type="dxa"/>
            <w:shd w:val="clear" w:color="auto" w:fill="auto"/>
            <w:vAlign w:val="center"/>
          </w:tcPr>
          <w:p>
            <w:pPr>
              <w:widowControl/>
              <w:jc w:val="center"/>
              <w:rPr>
                <w:rFonts w:ascii="仿宋" w:hAnsi="仿宋" w:eastAsia="仿宋"/>
                <w:kern w:val="0"/>
                <w:szCs w:val="21"/>
              </w:rPr>
            </w:pPr>
            <w:r>
              <w:rPr>
                <w:rFonts w:hint="eastAsia" w:ascii="仿宋" w:hAnsi="仿宋" w:eastAsia="仿宋"/>
                <w:kern w:val="0"/>
                <w:szCs w:val="21"/>
              </w:rPr>
              <w:t>18</w:t>
            </w:r>
          </w:p>
        </w:tc>
        <w:tc>
          <w:tcPr>
            <w:tcW w:w="637" w:type="dxa"/>
            <w:shd w:val="clear" w:color="auto" w:fill="auto"/>
            <w:vAlign w:val="center"/>
          </w:tcPr>
          <w:p>
            <w:pPr>
              <w:widowControl/>
              <w:jc w:val="center"/>
              <w:rPr>
                <w:rFonts w:ascii="仿宋" w:hAnsi="仿宋" w:eastAsia="仿宋"/>
                <w:kern w:val="0"/>
                <w:szCs w:val="21"/>
              </w:rPr>
            </w:pPr>
            <w:r>
              <w:rPr>
                <w:rFonts w:hint="eastAsia" w:ascii="仿宋" w:hAnsi="仿宋" w:eastAsia="仿宋"/>
                <w:kern w:val="0"/>
                <w:szCs w:val="21"/>
              </w:rPr>
              <w:t>54</w:t>
            </w:r>
          </w:p>
        </w:tc>
        <w:tc>
          <w:tcPr>
            <w:tcW w:w="637" w:type="dxa"/>
            <w:shd w:val="clear" w:color="auto" w:fill="auto"/>
            <w:vAlign w:val="center"/>
          </w:tcPr>
          <w:p>
            <w:pPr>
              <w:widowControl/>
              <w:jc w:val="center"/>
              <w:rPr>
                <w:rFonts w:ascii="仿宋" w:hAnsi="仿宋" w:eastAsia="仿宋"/>
                <w:kern w:val="0"/>
                <w:szCs w:val="21"/>
              </w:rPr>
            </w:pPr>
            <w:r>
              <w:rPr>
                <w:rFonts w:hint="eastAsia" w:ascii="仿宋" w:hAnsi="仿宋" w:eastAsia="仿宋"/>
                <w:kern w:val="0"/>
                <w:szCs w:val="21"/>
              </w:rPr>
              <w:t>48</w:t>
            </w:r>
          </w:p>
        </w:tc>
        <w:tc>
          <w:tcPr>
            <w:tcW w:w="521" w:type="dxa"/>
            <w:shd w:val="clear" w:color="auto" w:fill="auto"/>
            <w:vAlign w:val="center"/>
          </w:tcPr>
          <w:p>
            <w:pPr>
              <w:widowControl/>
              <w:jc w:val="center"/>
              <w:rPr>
                <w:rFonts w:ascii="仿宋" w:hAnsi="仿宋" w:eastAsia="仿宋"/>
                <w:kern w:val="0"/>
                <w:szCs w:val="21"/>
              </w:rPr>
            </w:pPr>
            <w:r>
              <w:rPr>
                <w:rFonts w:hint="eastAsia" w:ascii="仿宋" w:hAnsi="仿宋" w:eastAsia="仿宋"/>
                <w:kern w:val="0"/>
                <w:szCs w:val="21"/>
              </w:rPr>
              <w:t>0</w:t>
            </w:r>
          </w:p>
        </w:tc>
        <w:tc>
          <w:tcPr>
            <w:tcW w:w="521" w:type="dxa"/>
            <w:shd w:val="clear" w:color="auto" w:fill="auto"/>
            <w:vAlign w:val="center"/>
          </w:tcPr>
          <w:p>
            <w:pPr>
              <w:widowControl/>
              <w:jc w:val="center"/>
              <w:rPr>
                <w:rFonts w:ascii="仿宋" w:hAnsi="仿宋" w:eastAsia="仿宋"/>
                <w:kern w:val="0"/>
                <w:szCs w:val="21"/>
              </w:rPr>
            </w:pPr>
            <w:r>
              <w:rPr>
                <w:rFonts w:hint="eastAsia" w:ascii="仿宋" w:hAnsi="仿宋" w:eastAsia="仿宋"/>
                <w:kern w:val="0"/>
                <w:szCs w:val="21"/>
              </w:rPr>
              <w:t>0</w:t>
            </w:r>
          </w:p>
        </w:tc>
        <w:tc>
          <w:tcPr>
            <w:tcW w:w="465" w:type="dxa"/>
            <w:shd w:val="clear" w:color="auto" w:fill="auto"/>
            <w:vAlign w:val="center"/>
          </w:tcPr>
          <w:p>
            <w:pPr>
              <w:widowControl/>
              <w:jc w:val="center"/>
              <w:rPr>
                <w:rFonts w:ascii="仿宋" w:hAnsi="仿宋" w:eastAsia="仿宋"/>
                <w:kern w:val="0"/>
                <w:szCs w:val="21"/>
              </w:rPr>
            </w:pPr>
            <w:r>
              <w:rPr>
                <w:rFonts w:ascii="仿宋" w:hAnsi="仿宋" w:eastAsia="仿宋"/>
                <w:kern w:val="0"/>
                <w:szCs w:val="21"/>
              </w:rPr>
              <w:t>达标</w:t>
            </w:r>
          </w:p>
        </w:tc>
        <w:tc>
          <w:tcPr>
            <w:tcW w:w="465" w:type="dxa"/>
            <w:shd w:val="clear" w:color="auto" w:fill="auto"/>
            <w:vAlign w:val="center"/>
          </w:tcPr>
          <w:p>
            <w:pPr>
              <w:widowControl/>
              <w:jc w:val="center"/>
              <w:rPr>
                <w:rFonts w:ascii="仿宋" w:hAnsi="仿宋" w:eastAsia="仿宋"/>
                <w:kern w:val="0"/>
                <w:szCs w:val="21"/>
              </w:rPr>
            </w:pPr>
            <w:r>
              <w:rPr>
                <w:rFonts w:ascii="仿宋" w:hAnsi="仿宋" w:eastAsia="仿宋"/>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503" w:type="dxa"/>
            <w:shd w:val="clear" w:color="auto" w:fill="auto"/>
            <w:vAlign w:val="center"/>
          </w:tcPr>
          <w:p>
            <w:pPr>
              <w:widowControl/>
              <w:jc w:val="center"/>
              <w:rPr>
                <w:rFonts w:ascii="仿宋" w:hAnsi="仿宋" w:eastAsia="仿宋"/>
                <w:kern w:val="0"/>
                <w:szCs w:val="21"/>
              </w:rPr>
            </w:pPr>
            <w:r>
              <w:rPr>
                <w:rFonts w:ascii="仿宋" w:hAnsi="仿宋" w:eastAsia="仿宋"/>
                <w:kern w:val="0"/>
                <w:szCs w:val="21"/>
              </w:rPr>
              <w:t>4</w:t>
            </w:r>
          </w:p>
        </w:tc>
        <w:tc>
          <w:tcPr>
            <w:tcW w:w="901" w:type="dxa"/>
            <w:shd w:val="clear" w:color="auto" w:fill="auto"/>
            <w:vAlign w:val="center"/>
          </w:tcPr>
          <w:p>
            <w:pPr>
              <w:widowControl/>
              <w:jc w:val="center"/>
              <w:rPr>
                <w:rFonts w:ascii="仿宋" w:hAnsi="仿宋" w:eastAsia="仿宋"/>
                <w:kern w:val="0"/>
                <w:szCs w:val="21"/>
              </w:rPr>
            </w:pPr>
            <w:r>
              <w:rPr>
                <w:rFonts w:ascii="仿宋" w:hAnsi="仿宋" w:eastAsia="仿宋"/>
                <w:kern w:val="0"/>
                <w:szCs w:val="21"/>
              </w:rPr>
              <w:t>北厂界</w:t>
            </w:r>
          </w:p>
        </w:tc>
        <w:tc>
          <w:tcPr>
            <w:tcW w:w="585" w:type="dxa"/>
            <w:shd w:val="clear" w:color="auto" w:fill="auto"/>
            <w:vAlign w:val="center"/>
          </w:tcPr>
          <w:p>
            <w:pPr>
              <w:widowControl/>
              <w:jc w:val="center"/>
              <w:rPr>
                <w:rFonts w:ascii="仿宋" w:hAnsi="仿宋" w:eastAsia="仿宋"/>
                <w:kern w:val="0"/>
                <w:szCs w:val="21"/>
              </w:rPr>
            </w:pPr>
            <w:r>
              <w:rPr>
                <w:rFonts w:hint="eastAsia" w:ascii="仿宋" w:hAnsi="仿宋" w:eastAsia="仿宋"/>
                <w:kern w:val="0"/>
                <w:szCs w:val="21"/>
              </w:rPr>
              <w:t>53</w:t>
            </w:r>
          </w:p>
        </w:tc>
        <w:tc>
          <w:tcPr>
            <w:tcW w:w="584" w:type="dxa"/>
            <w:shd w:val="clear" w:color="auto" w:fill="auto"/>
            <w:vAlign w:val="center"/>
          </w:tcPr>
          <w:p>
            <w:pPr>
              <w:widowControl/>
              <w:jc w:val="center"/>
              <w:rPr>
                <w:rFonts w:ascii="仿宋" w:hAnsi="仿宋" w:eastAsia="仿宋"/>
                <w:kern w:val="0"/>
                <w:szCs w:val="21"/>
              </w:rPr>
            </w:pPr>
            <w:r>
              <w:rPr>
                <w:rFonts w:hint="eastAsia" w:ascii="仿宋" w:hAnsi="仿宋" w:eastAsia="仿宋"/>
                <w:kern w:val="0"/>
                <w:szCs w:val="21"/>
              </w:rPr>
              <w:t>47</w:t>
            </w:r>
          </w:p>
        </w:tc>
        <w:tc>
          <w:tcPr>
            <w:tcW w:w="584" w:type="dxa"/>
            <w:shd w:val="clear" w:color="auto" w:fill="auto"/>
            <w:vAlign w:val="center"/>
          </w:tcPr>
          <w:p>
            <w:pPr>
              <w:widowControl/>
              <w:jc w:val="center"/>
              <w:rPr>
                <w:rFonts w:ascii="仿宋" w:hAnsi="仿宋" w:eastAsia="仿宋"/>
                <w:kern w:val="0"/>
                <w:szCs w:val="21"/>
              </w:rPr>
            </w:pPr>
            <w:r>
              <w:rPr>
                <w:rFonts w:hint="eastAsia" w:ascii="仿宋" w:hAnsi="仿宋" w:eastAsia="仿宋"/>
                <w:kern w:val="0"/>
                <w:szCs w:val="21"/>
              </w:rPr>
              <w:t>53</w:t>
            </w:r>
          </w:p>
        </w:tc>
        <w:tc>
          <w:tcPr>
            <w:tcW w:w="584" w:type="dxa"/>
            <w:shd w:val="clear" w:color="auto" w:fill="auto"/>
            <w:vAlign w:val="center"/>
          </w:tcPr>
          <w:p>
            <w:pPr>
              <w:widowControl/>
              <w:jc w:val="center"/>
              <w:rPr>
                <w:rFonts w:ascii="仿宋" w:hAnsi="仿宋" w:eastAsia="仿宋"/>
                <w:kern w:val="0"/>
                <w:szCs w:val="21"/>
              </w:rPr>
            </w:pPr>
            <w:r>
              <w:rPr>
                <w:rFonts w:hint="eastAsia" w:ascii="仿宋" w:hAnsi="仿宋" w:eastAsia="仿宋"/>
                <w:kern w:val="0"/>
                <w:szCs w:val="21"/>
              </w:rPr>
              <w:t>47</w:t>
            </w:r>
          </w:p>
        </w:tc>
        <w:tc>
          <w:tcPr>
            <w:tcW w:w="525" w:type="dxa"/>
            <w:shd w:val="clear" w:color="auto" w:fill="auto"/>
            <w:vAlign w:val="center"/>
          </w:tcPr>
          <w:p>
            <w:pPr>
              <w:widowControl/>
              <w:jc w:val="center"/>
              <w:rPr>
                <w:rFonts w:ascii="仿宋" w:hAnsi="仿宋" w:eastAsia="仿宋"/>
                <w:kern w:val="0"/>
                <w:szCs w:val="21"/>
              </w:rPr>
            </w:pPr>
            <w:r>
              <w:rPr>
                <w:rFonts w:hint="eastAsia" w:ascii="仿宋" w:hAnsi="仿宋" w:eastAsia="仿宋"/>
                <w:kern w:val="0"/>
                <w:szCs w:val="21"/>
              </w:rPr>
              <w:t>65</w:t>
            </w:r>
          </w:p>
        </w:tc>
        <w:tc>
          <w:tcPr>
            <w:tcW w:w="568" w:type="dxa"/>
            <w:shd w:val="clear" w:color="auto" w:fill="auto"/>
            <w:vAlign w:val="center"/>
          </w:tcPr>
          <w:p>
            <w:pPr>
              <w:widowControl/>
              <w:jc w:val="center"/>
              <w:rPr>
                <w:rFonts w:ascii="仿宋" w:hAnsi="仿宋" w:eastAsia="仿宋"/>
                <w:kern w:val="0"/>
                <w:szCs w:val="21"/>
              </w:rPr>
            </w:pPr>
            <w:r>
              <w:rPr>
                <w:rFonts w:hint="eastAsia" w:ascii="仿宋" w:hAnsi="仿宋" w:eastAsia="仿宋"/>
                <w:kern w:val="0"/>
                <w:szCs w:val="21"/>
              </w:rPr>
              <w:t>55</w:t>
            </w:r>
          </w:p>
        </w:tc>
        <w:tc>
          <w:tcPr>
            <w:tcW w:w="709" w:type="dxa"/>
            <w:shd w:val="clear" w:color="auto" w:fill="auto"/>
            <w:vAlign w:val="center"/>
          </w:tcPr>
          <w:p>
            <w:pPr>
              <w:widowControl/>
              <w:jc w:val="center"/>
              <w:rPr>
                <w:rFonts w:ascii="仿宋" w:hAnsi="仿宋" w:eastAsia="仿宋"/>
                <w:kern w:val="0"/>
                <w:szCs w:val="21"/>
              </w:rPr>
            </w:pPr>
            <w:r>
              <w:rPr>
                <w:rFonts w:hint="eastAsia" w:ascii="仿宋" w:hAnsi="仿宋" w:eastAsia="仿宋"/>
                <w:kern w:val="0"/>
                <w:szCs w:val="21"/>
              </w:rPr>
              <w:t>40</w:t>
            </w:r>
          </w:p>
        </w:tc>
        <w:tc>
          <w:tcPr>
            <w:tcW w:w="685" w:type="dxa"/>
            <w:shd w:val="clear" w:color="auto" w:fill="auto"/>
            <w:vAlign w:val="center"/>
          </w:tcPr>
          <w:p>
            <w:pPr>
              <w:widowControl/>
              <w:jc w:val="center"/>
              <w:rPr>
                <w:rFonts w:ascii="仿宋" w:hAnsi="仿宋" w:eastAsia="仿宋"/>
                <w:kern w:val="0"/>
                <w:szCs w:val="21"/>
              </w:rPr>
            </w:pPr>
            <w:r>
              <w:rPr>
                <w:rFonts w:hint="eastAsia" w:ascii="仿宋" w:hAnsi="仿宋" w:eastAsia="仿宋"/>
                <w:kern w:val="0"/>
                <w:szCs w:val="21"/>
              </w:rPr>
              <w:t>40</w:t>
            </w:r>
          </w:p>
        </w:tc>
        <w:tc>
          <w:tcPr>
            <w:tcW w:w="637" w:type="dxa"/>
            <w:shd w:val="clear" w:color="auto" w:fill="auto"/>
            <w:vAlign w:val="center"/>
          </w:tcPr>
          <w:p>
            <w:pPr>
              <w:widowControl/>
              <w:jc w:val="center"/>
              <w:rPr>
                <w:rFonts w:ascii="仿宋" w:hAnsi="仿宋" w:eastAsia="仿宋"/>
                <w:kern w:val="0"/>
                <w:szCs w:val="21"/>
              </w:rPr>
            </w:pPr>
            <w:r>
              <w:rPr>
                <w:rFonts w:hint="eastAsia" w:ascii="仿宋" w:hAnsi="仿宋" w:eastAsia="仿宋"/>
                <w:kern w:val="0"/>
                <w:szCs w:val="21"/>
              </w:rPr>
              <w:t>54</w:t>
            </w:r>
          </w:p>
        </w:tc>
        <w:tc>
          <w:tcPr>
            <w:tcW w:w="637" w:type="dxa"/>
            <w:shd w:val="clear" w:color="auto" w:fill="auto"/>
            <w:vAlign w:val="center"/>
          </w:tcPr>
          <w:p>
            <w:pPr>
              <w:widowControl/>
              <w:jc w:val="center"/>
              <w:rPr>
                <w:rFonts w:ascii="仿宋" w:hAnsi="仿宋" w:eastAsia="仿宋"/>
                <w:kern w:val="0"/>
                <w:szCs w:val="21"/>
              </w:rPr>
            </w:pPr>
            <w:r>
              <w:rPr>
                <w:rFonts w:hint="eastAsia" w:ascii="仿宋" w:hAnsi="仿宋" w:eastAsia="仿宋"/>
                <w:kern w:val="0"/>
                <w:szCs w:val="21"/>
              </w:rPr>
              <w:t>48</w:t>
            </w:r>
          </w:p>
        </w:tc>
        <w:tc>
          <w:tcPr>
            <w:tcW w:w="521" w:type="dxa"/>
            <w:shd w:val="clear" w:color="auto" w:fill="auto"/>
            <w:vAlign w:val="center"/>
          </w:tcPr>
          <w:p>
            <w:pPr>
              <w:widowControl/>
              <w:jc w:val="center"/>
              <w:rPr>
                <w:rFonts w:ascii="仿宋" w:hAnsi="仿宋" w:eastAsia="仿宋"/>
                <w:kern w:val="0"/>
                <w:szCs w:val="21"/>
              </w:rPr>
            </w:pPr>
            <w:r>
              <w:rPr>
                <w:rFonts w:hint="eastAsia" w:ascii="仿宋" w:hAnsi="仿宋" w:eastAsia="仿宋"/>
                <w:kern w:val="0"/>
                <w:szCs w:val="21"/>
              </w:rPr>
              <w:t>1</w:t>
            </w:r>
          </w:p>
        </w:tc>
        <w:tc>
          <w:tcPr>
            <w:tcW w:w="521" w:type="dxa"/>
            <w:shd w:val="clear" w:color="auto" w:fill="auto"/>
            <w:vAlign w:val="center"/>
          </w:tcPr>
          <w:p>
            <w:pPr>
              <w:widowControl/>
              <w:jc w:val="center"/>
              <w:rPr>
                <w:rFonts w:ascii="仿宋" w:hAnsi="仿宋" w:eastAsia="仿宋"/>
                <w:kern w:val="0"/>
                <w:szCs w:val="21"/>
              </w:rPr>
            </w:pPr>
            <w:r>
              <w:rPr>
                <w:rFonts w:hint="eastAsia" w:ascii="仿宋" w:hAnsi="仿宋" w:eastAsia="仿宋"/>
                <w:kern w:val="0"/>
                <w:szCs w:val="21"/>
              </w:rPr>
              <w:t>1</w:t>
            </w:r>
          </w:p>
        </w:tc>
        <w:tc>
          <w:tcPr>
            <w:tcW w:w="465" w:type="dxa"/>
            <w:shd w:val="clear" w:color="auto" w:fill="auto"/>
            <w:vAlign w:val="center"/>
          </w:tcPr>
          <w:p>
            <w:pPr>
              <w:widowControl/>
              <w:jc w:val="center"/>
              <w:rPr>
                <w:rFonts w:ascii="仿宋" w:hAnsi="仿宋" w:eastAsia="仿宋"/>
                <w:kern w:val="0"/>
                <w:szCs w:val="21"/>
              </w:rPr>
            </w:pPr>
            <w:r>
              <w:rPr>
                <w:rFonts w:ascii="仿宋" w:hAnsi="仿宋" w:eastAsia="仿宋"/>
                <w:kern w:val="0"/>
                <w:szCs w:val="21"/>
              </w:rPr>
              <w:t>达标</w:t>
            </w:r>
          </w:p>
        </w:tc>
        <w:tc>
          <w:tcPr>
            <w:tcW w:w="465" w:type="dxa"/>
            <w:shd w:val="clear" w:color="auto" w:fill="auto"/>
            <w:vAlign w:val="center"/>
          </w:tcPr>
          <w:p>
            <w:pPr>
              <w:widowControl/>
              <w:jc w:val="center"/>
              <w:rPr>
                <w:rFonts w:ascii="仿宋" w:hAnsi="仿宋" w:eastAsia="仿宋"/>
                <w:kern w:val="0"/>
                <w:szCs w:val="21"/>
              </w:rPr>
            </w:pPr>
            <w:r>
              <w:rPr>
                <w:rFonts w:ascii="仿宋" w:hAnsi="仿宋" w:eastAsia="仿宋"/>
                <w:kern w:val="0"/>
                <w:szCs w:val="21"/>
              </w:rPr>
              <w:t>达标</w:t>
            </w:r>
          </w:p>
        </w:tc>
      </w:tr>
    </w:tbl>
    <w:p>
      <w:pPr>
        <w:spacing w:line="500" w:lineRule="exact"/>
        <w:ind w:firstLine="560" w:firstLineChars="200"/>
        <w:rPr>
          <w:rFonts w:eastAsia="仿宋_GB2312"/>
          <w:sz w:val="28"/>
          <w:szCs w:val="28"/>
        </w:rPr>
      </w:pPr>
      <w:r>
        <w:rPr>
          <w:rFonts w:eastAsia="仿宋_GB2312"/>
          <w:sz w:val="28"/>
        </w:rPr>
        <w:t>由</w:t>
      </w:r>
      <w:r>
        <w:rPr>
          <w:rFonts w:eastAsia="仿宋_GB2312"/>
          <w:kern w:val="0"/>
          <w:sz w:val="28"/>
          <w:szCs w:val="28"/>
        </w:rPr>
        <w:t>上表</w:t>
      </w:r>
      <w:r>
        <w:rPr>
          <w:rFonts w:eastAsia="仿宋_GB2312"/>
          <w:sz w:val="28"/>
        </w:rPr>
        <w:t>可见，</w:t>
      </w:r>
      <w:r>
        <w:rPr>
          <w:rFonts w:hint="eastAsia" w:eastAsia="仿宋_GB2312"/>
          <w:spacing w:val="8"/>
          <w:sz w:val="28"/>
          <w:szCs w:val="28"/>
        </w:rPr>
        <w:t>项目所在地东、西、北</w:t>
      </w:r>
      <w:r>
        <w:rPr>
          <w:rFonts w:eastAsia="仿宋_GB2312"/>
          <w:spacing w:val="8"/>
          <w:sz w:val="28"/>
          <w:szCs w:val="28"/>
        </w:rPr>
        <w:t>厂界</w:t>
      </w:r>
      <w:r>
        <w:rPr>
          <w:rFonts w:eastAsia="仿宋_GB2312"/>
          <w:sz w:val="28"/>
        </w:rPr>
        <w:t>昼、夜间噪声预测值均符合《</w:t>
      </w:r>
      <w:r>
        <w:rPr>
          <w:rFonts w:eastAsia="仿宋_GB2312"/>
          <w:sz w:val="28"/>
          <w:szCs w:val="28"/>
        </w:rPr>
        <w:t>工业企业厂界环境噪声排放标准》（GB12348-2008）中3类标准</w:t>
      </w:r>
      <w:r>
        <w:rPr>
          <w:rFonts w:hint="eastAsia" w:eastAsia="仿宋_GB2312"/>
          <w:sz w:val="28"/>
          <w:szCs w:val="28"/>
        </w:rPr>
        <w:t>，南厂界</w:t>
      </w:r>
      <w:r>
        <w:rPr>
          <w:rFonts w:eastAsia="仿宋_GB2312"/>
          <w:sz w:val="28"/>
        </w:rPr>
        <w:t>符合《</w:t>
      </w:r>
      <w:r>
        <w:rPr>
          <w:rFonts w:eastAsia="仿宋_GB2312"/>
          <w:sz w:val="28"/>
          <w:szCs w:val="28"/>
        </w:rPr>
        <w:t>工业企业厂界环境噪声排放标准》（GB12348-2008）中4类标准</w:t>
      </w:r>
      <w:r>
        <w:rPr>
          <w:rFonts w:eastAsia="仿宋_GB2312"/>
          <w:sz w:val="28"/>
        </w:rPr>
        <w:t>。</w:t>
      </w:r>
    </w:p>
    <w:p>
      <w:pPr>
        <w:keepNext/>
        <w:numPr>
          <w:ilvl w:val="2"/>
          <w:numId w:val="1"/>
        </w:numPr>
        <w:tabs>
          <w:tab w:val="left" w:pos="709"/>
        </w:tabs>
        <w:spacing w:after="120" w:afterLines="50" w:line="500" w:lineRule="exact"/>
        <w:ind w:left="0" w:firstLine="0"/>
        <w:outlineLvl w:val="2"/>
        <w:rPr>
          <w:rFonts w:eastAsia="仿宋_GB2312"/>
          <w:b/>
          <w:sz w:val="28"/>
          <w:szCs w:val="28"/>
        </w:rPr>
      </w:pPr>
      <w:r>
        <w:rPr>
          <w:rFonts w:eastAsia="仿宋_GB2312"/>
          <w:b/>
          <w:sz w:val="28"/>
          <w:szCs w:val="28"/>
        </w:rPr>
        <w:t>固体废物环境影响评价</w:t>
      </w:r>
    </w:p>
    <w:p>
      <w:pPr>
        <w:keepNext/>
        <w:widowControl/>
        <w:numPr>
          <w:ilvl w:val="3"/>
          <w:numId w:val="1"/>
        </w:numPr>
        <w:adjustRightInd w:val="0"/>
        <w:snapToGrid w:val="0"/>
        <w:spacing w:after="120" w:afterLines="50" w:line="500" w:lineRule="exact"/>
        <w:ind w:left="0" w:firstLine="0"/>
        <w:jc w:val="left"/>
        <w:outlineLvl w:val="3"/>
        <w:rPr>
          <w:rFonts w:eastAsia="仿宋_GB2312"/>
          <w:b/>
          <w:bCs/>
          <w:sz w:val="28"/>
          <w:szCs w:val="28"/>
        </w:rPr>
      </w:pPr>
      <w:r>
        <w:rPr>
          <w:rFonts w:eastAsia="仿宋_GB2312"/>
          <w:b/>
          <w:bCs/>
          <w:sz w:val="28"/>
          <w:szCs w:val="28"/>
        </w:rPr>
        <w:t>固废产排情况汇总</w:t>
      </w:r>
    </w:p>
    <w:p>
      <w:pPr>
        <w:spacing w:line="500" w:lineRule="exact"/>
        <w:ind w:firstLine="560" w:firstLineChars="200"/>
        <w:rPr>
          <w:rFonts w:eastAsia="仿宋_GB2312"/>
          <w:b/>
          <w:sz w:val="24"/>
        </w:rPr>
      </w:pPr>
      <w:r>
        <w:rPr>
          <w:rFonts w:eastAsia="仿宋_GB2312"/>
          <w:sz w:val="28"/>
          <w:szCs w:val="28"/>
        </w:rPr>
        <w:t>本项目固体废物利用处置方式见下表。</w:t>
      </w:r>
    </w:p>
    <w:p>
      <w:pPr>
        <w:adjustRightInd w:val="0"/>
        <w:snapToGrid w:val="0"/>
        <w:spacing w:line="500" w:lineRule="exact"/>
        <w:jc w:val="center"/>
        <w:rPr>
          <w:rFonts w:eastAsia="仿宋_GB2312"/>
          <w:b/>
          <w:sz w:val="24"/>
          <w:highlight w:val="yellow"/>
        </w:rPr>
        <w:sectPr>
          <w:pgSz w:w="11906" w:h="16838"/>
          <w:pgMar w:top="1440" w:right="1797" w:bottom="1440" w:left="1797" w:header="539" w:footer="992" w:gutter="0"/>
          <w:cols w:space="720" w:num="1"/>
          <w:docGrid w:linePitch="286" w:charSpace="0"/>
        </w:sectPr>
      </w:pPr>
    </w:p>
    <w:p>
      <w:pPr>
        <w:adjustRightInd w:val="0"/>
        <w:snapToGrid w:val="0"/>
        <w:spacing w:line="500" w:lineRule="exact"/>
        <w:jc w:val="center"/>
        <w:rPr>
          <w:rFonts w:eastAsia="仿宋_GB2312"/>
          <w:b/>
          <w:sz w:val="24"/>
        </w:rPr>
      </w:pPr>
      <w:r>
        <w:rPr>
          <w:rFonts w:eastAsia="仿宋_GB2312"/>
          <w:b/>
          <w:sz w:val="24"/>
        </w:rPr>
        <w:t>表5.2-24  本项目固体废物利用处置方式  单位：t/a</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341"/>
        <w:gridCol w:w="917"/>
        <w:gridCol w:w="959"/>
        <w:gridCol w:w="709"/>
        <w:gridCol w:w="475"/>
        <w:gridCol w:w="1359"/>
        <w:gridCol w:w="740"/>
        <w:gridCol w:w="607"/>
        <w:gridCol w:w="913"/>
        <w:gridCol w:w="402"/>
        <w:gridCol w:w="969"/>
        <w:gridCol w:w="913"/>
        <w:gridCol w:w="1083"/>
        <w:gridCol w:w="1083"/>
        <w:gridCol w:w="1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222" w:type="pct"/>
            <w:vAlign w:val="center"/>
          </w:tcPr>
          <w:p>
            <w:pPr>
              <w:widowControl/>
              <w:jc w:val="center"/>
              <w:rPr>
                <w:rFonts w:ascii="仿宋" w:hAnsi="仿宋" w:eastAsia="仿宋"/>
                <w:kern w:val="0"/>
                <w:szCs w:val="21"/>
              </w:rPr>
            </w:pPr>
            <w:r>
              <w:rPr>
                <w:rFonts w:hint="eastAsia" w:ascii="仿宋" w:hAnsi="仿宋" w:eastAsia="仿宋"/>
                <w:kern w:val="0"/>
                <w:szCs w:val="21"/>
              </w:rPr>
              <w:t>序号</w:t>
            </w:r>
          </w:p>
        </w:tc>
        <w:tc>
          <w:tcPr>
            <w:tcW w:w="473" w:type="pct"/>
            <w:vAlign w:val="center"/>
          </w:tcPr>
          <w:p>
            <w:pPr>
              <w:widowControl/>
              <w:jc w:val="center"/>
              <w:rPr>
                <w:rFonts w:ascii="仿宋" w:hAnsi="仿宋" w:eastAsia="仿宋"/>
                <w:kern w:val="0"/>
                <w:szCs w:val="21"/>
              </w:rPr>
            </w:pPr>
            <w:r>
              <w:rPr>
                <w:rFonts w:ascii="仿宋" w:hAnsi="仿宋" w:eastAsia="仿宋"/>
                <w:kern w:val="0"/>
                <w:szCs w:val="21"/>
              </w:rPr>
              <w:t>编号</w:t>
            </w:r>
          </w:p>
        </w:tc>
        <w:tc>
          <w:tcPr>
            <w:tcW w:w="323" w:type="pct"/>
            <w:tcMar>
              <w:left w:w="0" w:type="dxa"/>
              <w:right w:w="0" w:type="dxa"/>
            </w:tcMar>
            <w:vAlign w:val="center"/>
          </w:tcPr>
          <w:p>
            <w:pPr>
              <w:widowControl/>
              <w:jc w:val="center"/>
              <w:rPr>
                <w:rFonts w:ascii="仿宋" w:hAnsi="仿宋" w:eastAsia="仿宋"/>
                <w:kern w:val="0"/>
                <w:szCs w:val="21"/>
              </w:rPr>
            </w:pPr>
            <w:r>
              <w:rPr>
                <w:rFonts w:ascii="仿宋" w:hAnsi="仿宋" w:eastAsia="仿宋"/>
                <w:kern w:val="0"/>
                <w:szCs w:val="21"/>
              </w:rPr>
              <w:t>固废名称</w:t>
            </w:r>
          </w:p>
        </w:tc>
        <w:tc>
          <w:tcPr>
            <w:tcW w:w="338" w:type="pct"/>
            <w:tcMar>
              <w:left w:w="0" w:type="dxa"/>
              <w:right w:w="0" w:type="dxa"/>
            </w:tcMar>
            <w:vAlign w:val="center"/>
          </w:tcPr>
          <w:p>
            <w:pPr>
              <w:widowControl/>
              <w:jc w:val="center"/>
              <w:rPr>
                <w:rFonts w:ascii="仿宋" w:hAnsi="仿宋" w:eastAsia="仿宋"/>
                <w:kern w:val="0"/>
                <w:szCs w:val="21"/>
              </w:rPr>
            </w:pPr>
            <w:r>
              <w:rPr>
                <w:rFonts w:ascii="仿宋" w:hAnsi="仿宋" w:eastAsia="仿宋"/>
                <w:kern w:val="0"/>
                <w:szCs w:val="21"/>
              </w:rPr>
              <w:t>属性</w:t>
            </w:r>
          </w:p>
        </w:tc>
        <w:tc>
          <w:tcPr>
            <w:tcW w:w="250" w:type="pct"/>
            <w:tcMar>
              <w:left w:w="0" w:type="dxa"/>
              <w:right w:w="0" w:type="dxa"/>
            </w:tcMar>
            <w:vAlign w:val="center"/>
          </w:tcPr>
          <w:p>
            <w:pPr>
              <w:widowControl/>
              <w:jc w:val="center"/>
              <w:rPr>
                <w:rFonts w:ascii="仿宋" w:hAnsi="仿宋" w:eastAsia="仿宋"/>
                <w:kern w:val="0"/>
                <w:szCs w:val="21"/>
              </w:rPr>
            </w:pPr>
            <w:r>
              <w:rPr>
                <w:rFonts w:ascii="仿宋" w:hAnsi="仿宋" w:eastAsia="仿宋"/>
                <w:kern w:val="0"/>
                <w:szCs w:val="21"/>
              </w:rPr>
              <w:t>产生工序</w:t>
            </w:r>
          </w:p>
        </w:tc>
        <w:tc>
          <w:tcPr>
            <w:tcW w:w="167" w:type="pct"/>
            <w:tcMar>
              <w:left w:w="0" w:type="dxa"/>
              <w:right w:w="0" w:type="dxa"/>
            </w:tcMar>
            <w:vAlign w:val="center"/>
          </w:tcPr>
          <w:p>
            <w:pPr>
              <w:widowControl/>
              <w:jc w:val="center"/>
              <w:rPr>
                <w:rFonts w:ascii="仿宋" w:hAnsi="仿宋" w:eastAsia="仿宋"/>
                <w:kern w:val="0"/>
                <w:szCs w:val="21"/>
              </w:rPr>
            </w:pPr>
            <w:r>
              <w:rPr>
                <w:rFonts w:ascii="仿宋" w:hAnsi="仿宋" w:eastAsia="仿宋"/>
                <w:kern w:val="0"/>
                <w:szCs w:val="21"/>
              </w:rPr>
              <w:t>形态</w:t>
            </w:r>
          </w:p>
        </w:tc>
        <w:tc>
          <w:tcPr>
            <w:tcW w:w="479" w:type="pct"/>
            <w:tcMar>
              <w:left w:w="0" w:type="dxa"/>
              <w:right w:w="0" w:type="dxa"/>
            </w:tcMar>
            <w:vAlign w:val="center"/>
          </w:tcPr>
          <w:p>
            <w:pPr>
              <w:widowControl/>
              <w:jc w:val="center"/>
              <w:rPr>
                <w:rFonts w:ascii="仿宋" w:hAnsi="仿宋" w:eastAsia="仿宋"/>
                <w:kern w:val="0"/>
                <w:szCs w:val="21"/>
              </w:rPr>
            </w:pPr>
            <w:r>
              <w:rPr>
                <w:rFonts w:ascii="仿宋" w:hAnsi="仿宋" w:eastAsia="仿宋"/>
                <w:kern w:val="0"/>
                <w:szCs w:val="21"/>
              </w:rPr>
              <w:t>主要成分</w:t>
            </w:r>
          </w:p>
        </w:tc>
        <w:tc>
          <w:tcPr>
            <w:tcW w:w="261" w:type="pct"/>
            <w:tcMar>
              <w:left w:w="0" w:type="dxa"/>
              <w:right w:w="0" w:type="dxa"/>
            </w:tcMar>
            <w:vAlign w:val="center"/>
          </w:tcPr>
          <w:p>
            <w:pPr>
              <w:widowControl/>
              <w:jc w:val="center"/>
              <w:rPr>
                <w:rFonts w:ascii="仿宋" w:hAnsi="仿宋" w:eastAsia="仿宋"/>
                <w:kern w:val="0"/>
                <w:szCs w:val="21"/>
              </w:rPr>
            </w:pPr>
            <w:r>
              <w:rPr>
                <w:rFonts w:ascii="仿宋" w:hAnsi="仿宋" w:eastAsia="仿宋"/>
                <w:kern w:val="0"/>
                <w:szCs w:val="21"/>
              </w:rPr>
              <w:t>危险特性鉴别方法</w:t>
            </w:r>
          </w:p>
        </w:tc>
        <w:tc>
          <w:tcPr>
            <w:tcW w:w="214" w:type="pct"/>
            <w:vAlign w:val="center"/>
          </w:tcPr>
          <w:p>
            <w:pPr>
              <w:widowControl/>
              <w:jc w:val="center"/>
              <w:rPr>
                <w:rFonts w:ascii="仿宋" w:hAnsi="仿宋" w:eastAsia="仿宋"/>
                <w:kern w:val="0"/>
                <w:szCs w:val="21"/>
              </w:rPr>
            </w:pPr>
            <w:r>
              <w:rPr>
                <w:rFonts w:ascii="仿宋" w:hAnsi="仿宋" w:eastAsia="仿宋"/>
                <w:kern w:val="0"/>
                <w:szCs w:val="21"/>
              </w:rPr>
              <w:t>危险特性</w:t>
            </w:r>
          </w:p>
        </w:tc>
        <w:tc>
          <w:tcPr>
            <w:tcW w:w="322" w:type="pct"/>
            <w:vAlign w:val="center"/>
          </w:tcPr>
          <w:p>
            <w:pPr>
              <w:widowControl/>
              <w:jc w:val="center"/>
              <w:rPr>
                <w:rFonts w:ascii="仿宋" w:hAnsi="仿宋" w:eastAsia="仿宋"/>
                <w:kern w:val="0"/>
                <w:szCs w:val="21"/>
              </w:rPr>
            </w:pPr>
            <w:r>
              <w:rPr>
                <w:rFonts w:ascii="仿宋" w:hAnsi="仿宋" w:eastAsia="仿宋"/>
                <w:kern w:val="0"/>
                <w:szCs w:val="21"/>
              </w:rPr>
              <w:t>废物</w:t>
            </w:r>
          </w:p>
          <w:p>
            <w:pPr>
              <w:widowControl/>
              <w:jc w:val="center"/>
              <w:rPr>
                <w:rFonts w:ascii="仿宋" w:hAnsi="仿宋" w:eastAsia="仿宋"/>
                <w:kern w:val="0"/>
                <w:szCs w:val="21"/>
              </w:rPr>
            </w:pPr>
            <w:r>
              <w:rPr>
                <w:rFonts w:ascii="仿宋" w:hAnsi="仿宋" w:eastAsia="仿宋"/>
                <w:kern w:val="0"/>
                <w:szCs w:val="21"/>
              </w:rPr>
              <w:t>类别</w:t>
            </w:r>
          </w:p>
        </w:tc>
        <w:tc>
          <w:tcPr>
            <w:tcW w:w="483" w:type="pct"/>
            <w:gridSpan w:val="2"/>
            <w:vAlign w:val="center"/>
          </w:tcPr>
          <w:p>
            <w:pPr>
              <w:widowControl/>
              <w:jc w:val="center"/>
              <w:rPr>
                <w:rFonts w:ascii="仿宋" w:hAnsi="仿宋" w:eastAsia="仿宋"/>
                <w:kern w:val="0"/>
                <w:szCs w:val="21"/>
              </w:rPr>
            </w:pPr>
            <w:r>
              <w:rPr>
                <w:rFonts w:ascii="仿宋" w:hAnsi="仿宋" w:eastAsia="仿宋"/>
                <w:kern w:val="0"/>
                <w:szCs w:val="21"/>
              </w:rPr>
              <w:t>废物</w:t>
            </w:r>
          </w:p>
          <w:p>
            <w:pPr>
              <w:widowControl/>
              <w:jc w:val="center"/>
              <w:rPr>
                <w:rFonts w:ascii="仿宋" w:hAnsi="仿宋" w:eastAsia="仿宋"/>
                <w:kern w:val="0"/>
                <w:szCs w:val="21"/>
              </w:rPr>
            </w:pPr>
            <w:r>
              <w:rPr>
                <w:rFonts w:ascii="仿宋" w:hAnsi="仿宋" w:eastAsia="仿宋"/>
                <w:kern w:val="0"/>
                <w:szCs w:val="21"/>
              </w:rPr>
              <w:t>代码</w:t>
            </w:r>
          </w:p>
        </w:tc>
        <w:tc>
          <w:tcPr>
            <w:tcW w:w="322" w:type="pct"/>
            <w:vAlign w:val="center"/>
          </w:tcPr>
          <w:p>
            <w:pPr>
              <w:widowControl/>
              <w:jc w:val="center"/>
              <w:rPr>
                <w:rFonts w:ascii="仿宋" w:hAnsi="仿宋" w:eastAsia="仿宋"/>
                <w:kern w:val="0"/>
                <w:szCs w:val="21"/>
              </w:rPr>
            </w:pPr>
            <w:r>
              <w:rPr>
                <w:rFonts w:ascii="仿宋" w:hAnsi="仿宋" w:eastAsia="仿宋"/>
                <w:kern w:val="0"/>
                <w:szCs w:val="21"/>
              </w:rPr>
              <w:t>估算产生量（t/a）</w:t>
            </w:r>
          </w:p>
        </w:tc>
        <w:tc>
          <w:tcPr>
            <w:tcW w:w="382" w:type="pct"/>
            <w:vAlign w:val="center"/>
          </w:tcPr>
          <w:p>
            <w:pPr>
              <w:widowControl/>
              <w:jc w:val="center"/>
              <w:rPr>
                <w:rFonts w:ascii="仿宋" w:hAnsi="仿宋" w:eastAsia="仿宋" w:cs="宋体"/>
                <w:bCs/>
                <w:kern w:val="0"/>
                <w:szCs w:val="21"/>
              </w:rPr>
            </w:pPr>
            <w:r>
              <w:rPr>
                <w:rFonts w:hint="eastAsia" w:ascii="仿宋" w:hAnsi="仿宋" w:eastAsia="仿宋" w:cs="宋体"/>
                <w:bCs/>
                <w:kern w:val="0"/>
                <w:szCs w:val="21"/>
              </w:rPr>
              <w:t>产废周期</w:t>
            </w:r>
          </w:p>
        </w:tc>
        <w:tc>
          <w:tcPr>
            <w:tcW w:w="382" w:type="pct"/>
            <w:vAlign w:val="center"/>
          </w:tcPr>
          <w:p>
            <w:pPr>
              <w:widowControl/>
              <w:jc w:val="center"/>
              <w:rPr>
                <w:rFonts w:ascii="仿宋" w:hAnsi="仿宋" w:eastAsia="仿宋" w:cs="宋体"/>
                <w:bCs/>
                <w:kern w:val="0"/>
                <w:szCs w:val="21"/>
              </w:rPr>
            </w:pPr>
            <w:r>
              <w:rPr>
                <w:rFonts w:hint="eastAsia" w:ascii="仿宋" w:hAnsi="仿宋" w:eastAsia="仿宋" w:cs="宋体"/>
                <w:bCs/>
                <w:kern w:val="0"/>
                <w:szCs w:val="21"/>
              </w:rPr>
              <w:t>污染物防治措施</w:t>
            </w:r>
          </w:p>
        </w:tc>
        <w:tc>
          <w:tcPr>
            <w:tcW w:w="379" w:type="pct"/>
            <w:vAlign w:val="center"/>
          </w:tcPr>
          <w:p>
            <w:pPr>
              <w:widowControl/>
              <w:jc w:val="center"/>
              <w:rPr>
                <w:rFonts w:ascii="仿宋" w:hAnsi="仿宋" w:eastAsia="仿宋" w:cs="宋体"/>
                <w:bCs/>
                <w:kern w:val="0"/>
                <w:szCs w:val="21"/>
              </w:rPr>
            </w:pPr>
            <w:r>
              <w:rPr>
                <w:rFonts w:hint="eastAsia" w:ascii="仿宋" w:hAnsi="仿宋" w:eastAsia="仿宋" w:cs="宋体"/>
                <w:bCs/>
                <w:kern w:val="0"/>
                <w:szCs w:val="21"/>
              </w:rPr>
              <w:t>排放量（</w:t>
            </w:r>
            <w:r>
              <w:rPr>
                <w:rFonts w:ascii="仿宋" w:hAnsi="仿宋" w:eastAsia="仿宋"/>
                <w:bCs/>
                <w:kern w:val="0"/>
                <w:szCs w:val="21"/>
              </w:rPr>
              <w:t>t/a</w:t>
            </w:r>
            <w:r>
              <w:rPr>
                <w:rFonts w:hint="eastAsia" w:ascii="仿宋" w:hAnsi="仿宋" w:eastAsia="仿宋" w:cs="宋体"/>
                <w:bCs/>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222" w:type="pct"/>
            <w:vAlign w:val="center"/>
          </w:tcPr>
          <w:p>
            <w:pPr>
              <w:widowControl/>
              <w:jc w:val="center"/>
              <w:rPr>
                <w:rFonts w:ascii="仿宋" w:hAnsi="仿宋" w:eastAsia="仿宋"/>
                <w:kern w:val="0"/>
                <w:sz w:val="22"/>
                <w:szCs w:val="22"/>
              </w:rPr>
            </w:pPr>
            <w:r>
              <w:rPr>
                <w:rFonts w:hint="eastAsia" w:ascii="仿宋" w:hAnsi="仿宋" w:eastAsia="仿宋"/>
                <w:sz w:val="22"/>
                <w:szCs w:val="22"/>
              </w:rPr>
              <w:t>1</w:t>
            </w:r>
          </w:p>
        </w:tc>
        <w:tc>
          <w:tcPr>
            <w:tcW w:w="473" w:type="pct"/>
            <w:vAlign w:val="center"/>
          </w:tcPr>
          <w:p>
            <w:pPr>
              <w:jc w:val="center"/>
              <w:rPr>
                <w:rFonts w:ascii="仿宋" w:hAnsi="仿宋" w:eastAsia="仿宋"/>
                <w:szCs w:val="21"/>
              </w:rPr>
            </w:pPr>
            <w:r>
              <w:rPr>
                <w:rFonts w:ascii="仿宋" w:hAnsi="仿宋" w:eastAsia="仿宋"/>
                <w:szCs w:val="21"/>
                <w:vertAlign w:val="subscript"/>
              </w:rPr>
              <w:t>/</w:t>
            </w:r>
          </w:p>
        </w:tc>
        <w:tc>
          <w:tcPr>
            <w:tcW w:w="323" w:type="pct"/>
            <w:tcMar>
              <w:left w:w="0" w:type="dxa"/>
              <w:right w:w="0" w:type="dxa"/>
            </w:tcMar>
            <w:vAlign w:val="center"/>
          </w:tcPr>
          <w:p>
            <w:pPr>
              <w:jc w:val="center"/>
              <w:rPr>
                <w:rFonts w:ascii="仿宋" w:hAnsi="仿宋" w:eastAsia="仿宋" w:cs="宋体"/>
                <w:szCs w:val="21"/>
              </w:rPr>
            </w:pPr>
            <w:r>
              <w:rPr>
                <w:rFonts w:hint="eastAsia" w:ascii="仿宋" w:hAnsi="仿宋" w:eastAsia="仿宋"/>
                <w:szCs w:val="21"/>
              </w:rPr>
              <w:t>生活垃圾</w:t>
            </w:r>
          </w:p>
        </w:tc>
        <w:tc>
          <w:tcPr>
            <w:tcW w:w="338" w:type="pct"/>
            <w:tcMar>
              <w:left w:w="0" w:type="dxa"/>
              <w:right w:w="0" w:type="dxa"/>
            </w:tcMar>
            <w:vAlign w:val="center"/>
          </w:tcPr>
          <w:p>
            <w:pPr>
              <w:jc w:val="center"/>
              <w:rPr>
                <w:rFonts w:ascii="仿宋" w:hAnsi="仿宋" w:eastAsia="仿宋"/>
                <w:szCs w:val="21"/>
              </w:rPr>
            </w:pPr>
            <w:r>
              <w:rPr>
                <w:rFonts w:ascii="仿宋" w:hAnsi="仿宋" w:eastAsia="仿宋"/>
                <w:szCs w:val="21"/>
              </w:rPr>
              <w:t>/</w:t>
            </w:r>
          </w:p>
        </w:tc>
        <w:tc>
          <w:tcPr>
            <w:tcW w:w="250" w:type="pct"/>
            <w:tcMar>
              <w:left w:w="0" w:type="dxa"/>
              <w:right w:w="0" w:type="dxa"/>
            </w:tcMar>
            <w:vAlign w:val="center"/>
          </w:tcPr>
          <w:p>
            <w:pPr>
              <w:jc w:val="center"/>
              <w:rPr>
                <w:rFonts w:ascii="仿宋" w:hAnsi="仿宋" w:eastAsia="仿宋" w:cs="宋体"/>
                <w:szCs w:val="21"/>
              </w:rPr>
            </w:pPr>
            <w:r>
              <w:rPr>
                <w:rFonts w:hint="eastAsia" w:ascii="仿宋" w:hAnsi="仿宋" w:eastAsia="仿宋"/>
                <w:szCs w:val="21"/>
              </w:rPr>
              <w:t>办公、生活</w:t>
            </w:r>
          </w:p>
        </w:tc>
        <w:tc>
          <w:tcPr>
            <w:tcW w:w="167" w:type="pct"/>
            <w:tcMar>
              <w:left w:w="0" w:type="dxa"/>
              <w:right w:w="0" w:type="dxa"/>
            </w:tcMar>
            <w:vAlign w:val="center"/>
          </w:tcPr>
          <w:p>
            <w:pPr>
              <w:jc w:val="center"/>
              <w:rPr>
                <w:rFonts w:ascii="仿宋" w:hAnsi="仿宋" w:eastAsia="仿宋"/>
                <w:szCs w:val="21"/>
              </w:rPr>
            </w:pPr>
            <w:r>
              <w:rPr>
                <w:rFonts w:hint="eastAsia" w:ascii="仿宋" w:hAnsi="仿宋" w:eastAsia="仿宋"/>
                <w:szCs w:val="21"/>
              </w:rPr>
              <w:t>固</w:t>
            </w:r>
          </w:p>
        </w:tc>
        <w:tc>
          <w:tcPr>
            <w:tcW w:w="479" w:type="pct"/>
            <w:tcMar>
              <w:left w:w="0" w:type="dxa"/>
              <w:right w:w="0" w:type="dxa"/>
            </w:tcMar>
            <w:vAlign w:val="center"/>
          </w:tcPr>
          <w:p>
            <w:pPr>
              <w:jc w:val="center"/>
              <w:rPr>
                <w:rFonts w:ascii="仿宋" w:hAnsi="仿宋" w:eastAsia="仿宋"/>
                <w:szCs w:val="21"/>
              </w:rPr>
            </w:pPr>
            <w:r>
              <w:rPr>
                <w:rFonts w:hint="eastAsia" w:ascii="仿宋" w:hAnsi="仿宋" w:eastAsia="仿宋"/>
                <w:szCs w:val="21"/>
              </w:rPr>
              <w:t>生活垃圾</w:t>
            </w:r>
          </w:p>
        </w:tc>
        <w:tc>
          <w:tcPr>
            <w:tcW w:w="261" w:type="pct"/>
            <w:vMerge w:val="restart"/>
            <w:tcMar>
              <w:left w:w="0" w:type="dxa"/>
              <w:right w:w="0" w:type="dxa"/>
            </w:tcMar>
            <w:vAlign w:val="center"/>
          </w:tcPr>
          <w:p>
            <w:pPr>
              <w:tabs>
                <w:tab w:val="left" w:pos="3240"/>
              </w:tabs>
              <w:adjustRightInd w:val="0"/>
              <w:snapToGrid w:val="0"/>
              <w:jc w:val="center"/>
              <w:rPr>
                <w:rFonts w:ascii="仿宋" w:hAnsi="仿宋" w:eastAsia="仿宋"/>
                <w:bCs/>
                <w:kern w:val="0"/>
                <w:szCs w:val="21"/>
              </w:rPr>
            </w:pPr>
            <w:r>
              <w:rPr>
                <w:rFonts w:ascii="仿宋" w:hAnsi="仿宋" w:eastAsia="仿宋"/>
                <w:bCs/>
                <w:kern w:val="0"/>
                <w:szCs w:val="21"/>
              </w:rPr>
              <w:t>《国家危险废物名录》（2021年）</w:t>
            </w:r>
          </w:p>
        </w:tc>
        <w:tc>
          <w:tcPr>
            <w:tcW w:w="1020" w:type="pct"/>
            <w:gridSpan w:val="4"/>
            <w:vAlign w:val="center"/>
          </w:tcPr>
          <w:p>
            <w:pPr>
              <w:jc w:val="center"/>
              <w:rPr>
                <w:rFonts w:ascii="仿宋" w:hAnsi="仿宋" w:eastAsia="仿宋"/>
                <w:szCs w:val="21"/>
              </w:rPr>
            </w:pPr>
            <w:r>
              <w:rPr>
                <w:rFonts w:ascii="仿宋" w:hAnsi="仿宋" w:eastAsia="仿宋"/>
                <w:szCs w:val="21"/>
              </w:rPr>
              <w:t>/</w:t>
            </w:r>
          </w:p>
        </w:tc>
        <w:tc>
          <w:tcPr>
            <w:tcW w:w="322" w:type="pct"/>
            <w:vAlign w:val="center"/>
          </w:tcPr>
          <w:p>
            <w:pPr>
              <w:jc w:val="center"/>
              <w:rPr>
                <w:rFonts w:ascii="仿宋" w:hAnsi="仿宋" w:eastAsia="仿宋"/>
                <w:szCs w:val="21"/>
              </w:rPr>
            </w:pPr>
            <w:r>
              <w:rPr>
                <w:rFonts w:hint="eastAsia" w:ascii="仿宋" w:hAnsi="仿宋" w:eastAsia="仿宋"/>
                <w:szCs w:val="21"/>
              </w:rPr>
              <w:t>6.75</w:t>
            </w:r>
          </w:p>
        </w:tc>
        <w:tc>
          <w:tcPr>
            <w:tcW w:w="382" w:type="pct"/>
            <w:vAlign w:val="center"/>
          </w:tcPr>
          <w:p>
            <w:pPr>
              <w:jc w:val="center"/>
              <w:rPr>
                <w:rFonts w:ascii="仿宋" w:hAnsi="仿宋" w:eastAsia="仿宋"/>
                <w:szCs w:val="21"/>
              </w:rPr>
            </w:pPr>
            <w:r>
              <w:rPr>
                <w:rFonts w:hint="eastAsia" w:ascii="仿宋" w:hAnsi="仿宋" w:eastAsia="仿宋"/>
                <w:szCs w:val="21"/>
              </w:rPr>
              <w:t>每天</w:t>
            </w:r>
          </w:p>
        </w:tc>
        <w:tc>
          <w:tcPr>
            <w:tcW w:w="382" w:type="pct"/>
            <w:vAlign w:val="center"/>
          </w:tcPr>
          <w:p>
            <w:pPr>
              <w:jc w:val="center"/>
              <w:rPr>
                <w:rFonts w:ascii="仿宋" w:hAnsi="仿宋" w:eastAsia="仿宋"/>
                <w:szCs w:val="21"/>
              </w:rPr>
            </w:pPr>
            <w:r>
              <w:rPr>
                <w:rFonts w:hint="eastAsia" w:ascii="仿宋" w:hAnsi="仿宋" w:eastAsia="仿宋"/>
                <w:szCs w:val="21"/>
              </w:rPr>
              <w:t>环卫</w:t>
            </w:r>
            <w:r>
              <w:rPr>
                <w:rFonts w:ascii="仿宋" w:hAnsi="仿宋" w:eastAsia="仿宋"/>
                <w:szCs w:val="21"/>
              </w:rPr>
              <w:t>部门统一收集处理</w:t>
            </w:r>
          </w:p>
        </w:tc>
        <w:tc>
          <w:tcPr>
            <w:tcW w:w="379" w:type="pct"/>
            <w:vAlign w:val="center"/>
          </w:tcPr>
          <w:p>
            <w:pPr>
              <w:jc w:val="center"/>
              <w:rPr>
                <w:rFonts w:ascii="仿宋" w:hAnsi="仿宋" w:eastAsia="仿宋"/>
                <w:szCs w:val="21"/>
              </w:rPr>
            </w:pPr>
            <w:r>
              <w:rPr>
                <w:rFonts w:hint="eastAsia" w:ascii="仿宋" w:hAnsi="仿宋" w:eastAsia="仿宋"/>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222" w:type="pct"/>
            <w:vAlign w:val="center"/>
          </w:tcPr>
          <w:p>
            <w:pPr>
              <w:jc w:val="center"/>
              <w:rPr>
                <w:rFonts w:ascii="仿宋" w:hAnsi="仿宋" w:eastAsia="仿宋"/>
                <w:sz w:val="22"/>
                <w:szCs w:val="22"/>
              </w:rPr>
            </w:pPr>
            <w:r>
              <w:rPr>
                <w:rFonts w:hint="eastAsia" w:ascii="仿宋" w:hAnsi="仿宋" w:eastAsia="仿宋"/>
                <w:sz w:val="22"/>
                <w:szCs w:val="22"/>
              </w:rPr>
              <w:t>2</w:t>
            </w:r>
          </w:p>
        </w:tc>
        <w:tc>
          <w:tcPr>
            <w:tcW w:w="473" w:type="pct"/>
            <w:vAlign w:val="center"/>
          </w:tcPr>
          <w:p>
            <w:pPr>
              <w:jc w:val="center"/>
              <w:rPr>
                <w:rFonts w:ascii="仿宋" w:hAnsi="仿宋" w:eastAsia="仿宋"/>
                <w:szCs w:val="21"/>
              </w:rPr>
            </w:pPr>
            <w:r>
              <w:rPr>
                <w:rFonts w:hint="eastAsia" w:ascii="仿宋" w:hAnsi="仿宋" w:eastAsia="仿宋"/>
                <w:kern w:val="0"/>
                <w:szCs w:val="21"/>
              </w:rPr>
              <w:t>S3</w:t>
            </w:r>
          </w:p>
        </w:tc>
        <w:tc>
          <w:tcPr>
            <w:tcW w:w="323" w:type="pct"/>
            <w:tcMar>
              <w:left w:w="0" w:type="dxa"/>
              <w:right w:w="0" w:type="dxa"/>
            </w:tcMar>
            <w:vAlign w:val="center"/>
          </w:tcPr>
          <w:p>
            <w:pPr>
              <w:jc w:val="center"/>
              <w:rPr>
                <w:rFonts w:ascii="仿宋" w:hAnsi="仿宋" w:eastAsia="仿宋" w:cs="宋体"/>
                <w:szCs w:val="21"/>
              </w:rPr>
            </w:pPr>
            <w:r>
              <w:rPr>
                <w:rFonts w:hint="eastAsia" w:ascii="仿宋" w:hAnsi="仿宋" w:eastAsia="仿宋"/>
                <w:szCs w:val="21"/>
              </w:rPr>
              <w:t>废胶带</w:t>
            </w:r>
          </w:p>
        </w:tc>
        <w:tc>
          <w:tcPr>
            <w:tcW w:w="338" w:type="pct"/>
            <w:tcMar>
              <w:left w:w="0" w:type="dxa"/>
              <w:right w:w="0" w:type="dxa"/>
            </w:tcMar>
            <w:vAlign w:val="center"/>
          </w:tcPr>
          <w:p>
            <w:pPr>
              <w:jc w:val="center"/>
              <w:rPr>
                <w:rFonts w:ascii="仿宋" w:hAnsi="仿宋" w:eastAsia="仿宋"/>
                <w:szCs w:val="21"/>
              </w:rPr>
            </w:pPr>
            <w:r>
              <w:rPr>
                <w:rFonts w:hint="eastAsia" w:ascii="仿宋" w:hAnsi="仿宋" w:eastAsia="仿宋"/>
                <w:szCs w:val="21"/>
              </w:rPr>
              <w:t>一般固废</w:t>
            </w:r>
          </w:p>
        </w:tc>
        <w:tc>
          <w:tcPr>
            <w:tcW w:w="250" w:type="pct"/>
            <w:tcMar>
              <w:left w:w="0" w:type="dxa"/>
              <w:right w:w="0" w:type="dxa"/>
            </w:tcMar>
            <w:vAlign w:val="center"/>
          </w:tcPr>
          <w:p>
            <w:pPr>
              <w:widowControl/>
              <w:jc w:val="center"/>
              <w:rPr>
                <w:rFonts w:ascii="仿宋" w:hAnsi="仿宋" w:eastAsia="仿宋"/>
                <w:szCs w:val="21"/>
              </w:rPr>
            </w:pPr>
            <w:r>
              <w:rPr>
                <w:rFonts w:hint="eastAsia" w:ascii="仿宋" w:hAnsi="仿宋" w:eastAsia="仿宋"/>
                <w:kern w:val="0"/>
                <w:szCs w:val="21"/>
              </w:rPr>
              <w:t>分切</w:t>
            </w:r>
          </w:p>
        </w:tc>
        <w:tc>
          <w:tcPr>
            <w:tcW w:w="167" w:type="pct"/>
            <w:tcMar>
              <w:left w:w="0" w:type="dxa"/>
              <w:right w:w="0" w:type="dxa"/>
            </w:tcMar>
            <w:vAlign w:val="center"/>
          </w:tcPr>
          <w:p>
            <w:pPr>
              <w:tabs>
                <w:tab w:val="left" w:pos="3240"/>
              </w:tabs>
              <w:adjustRightInd w:val="0"/>
              <w:snapToGrid w:val="0"/>
              <w:jc w:val="center"/>
              <w:rPr>
                <w:rFonts w:ascii="仿宋" w:hAnsi="仿宋" w:eastAsia="仿宋"/>
                <w:szCs w:val="21"/>
              </w:rPr>
            </w:pPr>
            <w:r>
              <w:rPr>
                <w:rFonts w:hint="eastAsia" w:ascii="仿宋" w:hAnsi="仿宋" w:eastAsia="仿宋"/>
                <w:bCs/>
                <w:kern w:val="0"/>
                <w:szCs w:val="21"/>
              </w:rPr>
              <w:t>固</w:t>
            </w:r>
          </w:p>
        </w:tc>
        <w:tc>
          <w:tcPr>
            <w:tcW w:w="479" w:type="pct"/>
            <w:tcMar>
              <w:left w:w="0" w:type="dxa"/>
              <w:right w:w="0" w:type="dxa"/>
            </w:tcMar>
            <w:vAlign w:val="center"/>
          </w:tcPr>
          <w:p>
            <w:pPr>
              <w:tabs>
                <w:tab w:val="left" w:pos="3240"/>
              </w:tabs>
              <w:adjustRightInd w:val="0"/>
              <w:snapToGrid w:val="0"/>
              <w:jc w:val="center"/>
              <w:rPr>
                <w:rFonts w:ascii="仿宋" w:hAnsi="仿宋" w:eastAsia="仿宋"/>
                <w:szCs w:val="21"/>
              </w:rPr>
            </w:pPr>
            <w:r>
              <w:rPr>
                <w:rFonts w:hint="eastAsia" w:ascii="仿宋" w:hAnsi="仿宋" w:eastAsia="仿宋"/>
                <w:bCs/>
                <w:kern w:val="0"/>
                <w:szCs w:val="21"/>
              </w:rPr>
              <w:t>膜、胶粘剂固份</w:t>
            </w:r>
          </w:p>
        </w:tc>
        <w:tc>
          <w:tcPr>
            <w:tcW w:w="261" w:type="pct"/>
            <w:vMerge w:val="continue"/>
            <w:tcMar>
              <w:left w:w="0" w:type="dxa"/>
              <w:right w:w="0" w:type="dxa"/>
            </w:tcMar>
            <w:vAlign w:val="center"/>
          </w:tcPr>
          <w:p>
            <w:pPr>
              <w:tabs>
                <w:tab w:val="left" w:pos="3240"/>
              </w:tabs>
              <w:adjustRightInd w:val="0"/>
              <w:snapToGrid w:val="0"/>
              <w:jc w:val="center"/>
              <w:rPr>
                <w:rFonts w:ascii="仿宋" w:hAnsi="仿宋" w:eastAsia="仿宋"/>
                <w:bCs/>
                <w:kern w:val="0"/>
                <w:szCs w:val="21"/>
              </w:rPr>
            </w:pPr>
          </w:p>
        </w:tc>
        <w:tc>
          <w:tcPr>
            <w:tcW w:w="1020" w:type="pct"/>
            <w:gridSpan w:val="4"/>
            <w:vAlign w:val="center"/>
          </w:tcPr>
          <w:p>
            <w:pPr>
              <w:jc w:val="center"/>
              <w:rPr>
                <w:rFonts w:ascii="仿宋" w:hAnsi="仿宋" w:eastAsia="仿宋"/>
                <w:szCs w:val="21"/>
              </w:rPr>
            </w:pPr>
            <w:r>
              <w:rPr>
                <w:rFonts w:hint="eastAsia" w:ascii="仿宋" w:hAnsi="仿宋" w:eastAsia="仿宋"/>
                <w:szCs w:val="21"/>
              </w:rPr>
              <w:t>292</w:t>
            </w:r>
            <w:r>
              <w:rPr>
                <w:rFonts w:ascii="仿宋" w:hAnsi="仿宋" w:eastAsia="仿宋"/>
                <w:szCs w:val="21"/>
              </w:rPr>
              <w:t>-001-99</w:t>
            </w:r>
          </w:p>
        </w:tc>
        <w:tc>
          <w:tcPr>
            <w:tcW w:w="322" w:type="pct"/>
            <w:vAlign w:val="center"/>
          </w:tcPr>
          <w:p>
            <w:pPr>
              <w:jc w:val="center"/>
              <w:rPr>
                <w:rFonts w:ascii="仿宋" w:hAnsi="仿宋" w:eastAsia="仿宋"/>
                <w:szCs w:val="21"/>
              </w:rPr>
            </w:pPr>
            <w:r>
              <w:rPr>
                <w:rFonts w:ascii="仿宋" w:hAnsi="仿宋" w:eastAsia="仿宋"/>
                <w:szCs w:val="21"/>
              </w:rPr>
              <w:t>48.3</w:t>
            </w:r>
          </w:p>
        </w:tc>
        <w:tc>
          <w:tcPr>
            <w:tcW w:w="382" w:type="pct"/>
            <w:vAlign w:val="center"/>
          </w:tcPr>
          <w:p>
            <w:pPr>
              <w:jc w:val="center"/>
              <w:rPr>
                <w:rFonts w:ascii="仿宋" w:hAnsi="仿宋" w:eastAsia="仿宋"/>
                <w:szCs w:val="21"/>
              </w:rPr>
            </w:pPr>
            <w:r>
              <w:rPr>
                <w:rFonts w:hint="eastAsia" w:ascii="仿宋" w:hAnsi="仿宋" w:eastAsia="仿宋"/>
                <w:szCs w:val="21"/>
              </w:rPr>
              <w:t>每天</w:t>
            </w:r>
          </w:p>
        </w:tc>
        <w:tc>
          <w:tcPr>
            <w:tcW w:w="382" w:type="pct"/>
            <w:vAlign w:val="center"/>
          </w:tcPr>
          <w:p>
            <w:pPr>
              <w:jc w:val="center"/>
              <w:rPr>
                <w:rFonts w:ascii="仿宋" w:hAnsi="仿宋" w:eastAsia="仿宋"/>
                <w:szCs w:val="21"/>
              </w:rPr>
            </w:pPr>
            <w:r>
              <w:rPr>
                <w:rFonts w:hint="eastAsia" w:ascii="仿宋" w:hAnsi="仿宋" w:eastAsia="仿宋"/>
                <w:szCs w:val="21"/>
              </w:rPr>
              <w:t>外售综合利用</w:t>
            </w:r>
          </w:p>
        </w:tc>
        <w:tc>
          <w:tcPr>
            <w:tcW w:w="379" w:type="pct"/>
            <w:vAlign w:val="center"/>
          </w:tcPr>
          <w:p>
            <w:pPr>
              <w:jc w:val="center"/>
              <w:rPr>
                <w:rFonts w:ascii="仿宋" w:hAnsi="仿宋" w:eastAsia="仿宋"/>
                <w:szCs w:val="21"/>
              </w:rPr>
            </w:pPr>
            <w:r>
              <w:rPr>
                <w:rFonts w:hint="eastAsia" w:ascii="仿宋" w:hAnsi="仿宋" w:eastAsia="仿宋"/>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222" w:type="pct"/>
            <w:vAlign w:val="center"/>
          </w:tcPr>
          <w:p>
            <w:pPr>
              <w:jc w:val="center"/>
              <w:rPr>
                <w:rFonts w:ascii="仿宋" w:hAnsi="仿宋" w:eastAsia="仿宋"/>
                <w:sz w:val="22"/>
                <w:szCs w:val="22"/>
              </w:rPr>
            </w:pPr>
            <w:r>
              <w:rPr>
                <w:rFonts w:hint="eastAsia" w:ascii="仿宋" w:hAnsi="仿宋" w:eastAsia="仿宋"/>
                <w:sz w:val="22"/>
                <w:szCs w:val="22"/>
              </w:rPr>
              <w:t>3</w:t>
            </w:r>
          </w:p>
        </w:tc>
        <w:tc>
          <w:tcPr>
            <w:tcW w:w="473" w:type="pct"/>
            <w:vAlign w:val="center"/>
          </w:tcPr>
          <w:p>
            <w:pPr>
              <w:jc w:val="center"/>
              <w:rPr>
                <w:rFonts w:ascii="仿宋" w:hAnsi="仿宋" w:eastAsia="仿宋"/>
                <w:kern w:val="0"/>
                <w:szCs w:val="21"/>
              </w:rPr>
            </w:pPr>
            <w:r>
              <w:rPr>
                <w:rFonts w:hint="eastAsia" w:ascii="仿宋" w:hAnsi="仿宋" w:eastAsia="仿宋"/>
                <w:kern w:val="0"/>
                <w:szCs w:val="21"/>
              </w:rPr>
              <w:t>S1</w:t>
            </w:r>
          </w:p>
        </w:tc>
        <w:tc>
          <w:tcPr>
            <w:tcW w:w="323" w:type="pct"/>
            <w:tcMar>
              <w:left w:w="0" w:type="dxa"/>
              <w:right w:w="0" w:type="dxa"/>
            </w:tcMar>
            <w:vAlign w:val="center"/>
          </w:tcPr>
          <w:p>
            <w:pPr>
              <w:jc w:val="center"/>
              <w:rPr>
                <w:rFonts w:ascii="仿宋" w:hAnsi="仿宋" w:eastAsia="仿宋"/>
                <w:kern w:val="0"/>
                <w:szCs w:val="21"/>
              </w:rPr>
            </w:pPr>
            <w:r>
              <w:rPr>
                <w:rFonts w:hint="eastAsia" w:ascii="仿宋" w:hAnsi="仿宋" w:eastAsia="仿宋"/>
                <w:szCs w:val="21"/>
              </w:rPr>
              <w:t>废胶水</w:t>
            </w:r>
          </w:p>
        </w:tc>
        <w:tc>
          <w:tcPr>
            <w:tcW w:w="338" w:type="pct"/>
            <w:tcMar>
              <w:left w:w="0" w:type="dxa"/>
              <w:right w:w="0" w:type="dxa"/>
            </w:tcMar>
            <w:vAlign w:val="center"/>
          </w:tcPr>
          <w:p>
            <w:pPr>
              <w:jc w:val="center"/>
              <w:rPr>
                <w:rFonts w:ascii="仿宋" w:hAnsi="仿宋" w:eastAsia="仿宋"/>
                <w:szCs w:val="21"/>
              </w:rPr>
            </w:pPr>
            <w:r>
              <w:rPr>
                <w:rFonts w:hint="eastAsia" w:ascii="仿宋" w:hAnsi="仿宋" w:eastAsia="仿宋"/>
                <w:szCs w:val="21"/>
              </w:rPr>
              <w:t>危险固废</w:t>
            </w:r>
          </w:p>
        </w:tc>
        <w:tc>
          <w:tcPr>
            <w:tcW w:w="250" w:type="pct"/>
            <w:tcMar>
              <w:left w:w="0" w:type="dxa"/>
              <w:right w:w="0" w:type="dxa"/>
            </w:tcMar>
            <w:vAlign w:val="center"/>
          </w:tcPr>
          <w:p>
            <w:pPr>
              <w:widowControl/>
              <w:jc w:val="center"/>
              <w:rPr>
                <w:rFonts w:ascii="仿宋" w:hAnsi="仿宋" w:eastAsia="仿宋"/>
                <w:kern w:val="0"/>
                <w:szCs w:val="21"/>
              </w:rPr>
            </w:pPr>
            <w:r>
              <w:rPr>
                <w:rFonts w:hint="eastAsia" w:ascii="仿宋" w:hAnsi="仿宋" w:eastAsia="仿宋"/>
                <w:kern w:val="0"/>
                <w:szCs w:val="21"/>
              </w:rPr>
              <w:t>配胶</w:t>
            </w:r>
          </w:p>
        </w:tc>
        <w:tc>
          <w:tcPr>
            <w:tcW w:w="167" w:type="pct"/>
            <w:tcMar>
              <w:left w:w="0" w:type="dxa"/>
              <w:right w:w="0" w:type="dxa"/>
            </w:tcMar>
            <w:vAlign w:val="center"/>
          </w:tcPr>
          <w:p>
            <w:pPr>
              <w:tabs>
                <w:tab w:val="left" w:pos="3240"/>
              </w:tabs>
              <w:adjustRightInd w:val="0"/>
              <w:snapToGrid w:val="0"/>
              <w:jc w:val="center"/>
              <w:rPr>
                <w:rFonts w:ascii="仿宋" w:hAnsi="仿宋" w:eastAsia="仿宋"/>
                <w:bCs/>
                <w:kern w:val="0"/>
                <w:szCs w:val="21"/>
              </w:rPr>
            </w:pPr>
            <w:r>
              <w:rPr>
                <w:rFonts w:hint="eastAsia" w:ascii="仿宋" w:hAnsi="仿宋" w:eastAsia="仿宋"/>
                <w:bCs/>
                <w:kern w:val="0"/>
                <w:szCs w:val="21"/>
              </w:rPr>
              <w:t>液</w:t>
            </w:r>
          </w:p>
        </w:tc>
        <w:tc>
          <w:tcPr>
            <w:tcW w:w="479" w:type="pct"/>
            <w:tcMar>
              <w:left w:w="0" w:type="dxa"/>
              <w:right w:w="0" w:type="dxa"/>
            </w:tcMar>
            <w:vAlign w:val="center"/>
          </w:tcPr>
          <w:p>
            <w:pPr>
              <w:tabs>
                <w:tab w:val="left" w:pos="3240"/>
              </w:tabs>
              <w:adjustRightInd w:val="0"/>
              <w:snapToGrid w:val="0"/>
              <w:jc w:val="center"/>
              <w:rPr>
                <w:rFonts w:ascii="仿宋" w:hAnsi="仿宋" w:eastAsia="仿宋"/>
                <w:bCs/>
                <w:kern w:val="0"/>
                <w:szCs w:val="21"/>
              </w:rPr>
            </w:pPr>
            <w:r>
              <w:rPr>
                <w:rFonts w:hint="eastAsia" w:ascii="仿宋" w:hAnsi="仿宋" w:eastAsia="仿宋"/>
                <w:bCs/>
                <w:kern w:val="0"/>
                <w:szCs w:val="21"/>
              </w:rPr>
              <w:t>有机物</w:t>
            </w:r>
          </w:p>
        </w:tc>
        <w:tc>
          <w:tcPr>
            <w:tcW w:w="261" w:type="pct"/>
            <w:vMerge w:val="continue"/>
            <w:tcMar>
              <w:left w:w="0" w:type="dxa"/>
              <w:right w:w="0" w:type="dxa"/>
            </w:tcMar>
            <w:vAlign w:val="center"/>
          </w:tcPr>
          <w:p>
            <w:pPr>
              <w:tabs>
                <w:tab w:val="left" w:pos="3240"/>
              </w:tabs>
              <w:adjustRightInd w:val="0"/>
              <w:snapToGrid w:val="0"/>
              <w:jc w:val="center"/>
              <w:rPr>
                <w:rFonts w:ascii="仿宋" w:hAnsi="仿宋" w:eastAsia="仿宋"/>
                <w:bCs/>
                <w:kern w:val="0"/>
                <w:szCs w:val="21"/>
              </w:rPr>
            </w:pPr>
          </w:p>
        </w:tc>
        <w:tc>
          <w:tcPr>
            <w:tcW w:w="214" w:type="pct"/>
            <w:vAlign w:val="center"/>
          </w:tcPr>
          <w:p>
            <w:pPr>
              <w:jc w:val="center"/>
              <w:rPr>
                <w:rFonts w:ascii="仿宋" w:hAnsi="仿宋" w:eastAsia="仿宋"/>
                <w:szCs w:val="21"/>
              </w:rPr>
            </w:pPr>
            <w:r>
              <w:rPr>
                <w:rFonts w:ascii="仿宋" w:hAnsi="仿宋" w:eastAsia="仿宋"/>
                <w:szCs w:val="21"/>
              </w:rPr>
              <w:t>T</w:t>
            </w:r>
          </w:p>
        </w:tc>
        <w:tc>
          <w:tcPr>
            <w:tcW w:w="464" w:type="pct"/>
            <w:gridSpan w:val="2"/>
            <w:vAlign w:val="center"/>
          </w:tcPr>
          <w:p>
            <w:pPr>
              <w:jc w:val="center"/>
              <w:rPr>
                <w:rFonts w:ascii="仿宋" w:hAnsi="仿宋" w:eastAsia="仿宋"/>
                <w:szCs w:val="21"/>
              </w:rPr>
            </w:pPr>
            <w:r>
              <w:rPr>
                <w:rFonts w:ascii="仿宋" w:hAnsi="仿宋" w:eastAsia="仿宋"/>
                <w:szCs w:val="21"/>
              </w:rPr>
              <w:t>HW13</w:t>
            </w:r>
          </w:p>
        </w:tc>
        <w:tc>
          <w:tcPr>
            <w:tcW w:w="341" w:type="pct"/>
            <w:vAlign w:val="center"/>
          </w:tcPr>
          <w:p>
            <w:pPr>
              <w:jc w:val="center"/>
              <w:rPr>
                <w:rFonts w:ascii="仿宋" w:hAnsi="仿宋" w:eastAsia="仿宋"/>
                <w:szCs w:val="21"/>
              </w:rPr>
            </w:pPr>
            <w:r>
              <w:rPr>
                <w:rFonts w:ascii="仿宋" w:hAnsi="仿宋" w:eastAsia="仿宋"/>
                <w:szCs w:val="21"/>
              </w:rPr>
              <w:t>900-014-13</w:t>
            </w:r>
          </w:p>
        </w:tc>
        <w:tc>
          <w:tcPr>
            <w:tcW w:w="322" w:type="pct"/>
            <w:vAlign w:val="center"/>
          </w:tcPr>
          <w:p>
            <w:pPr>
              <w:jc w:val="center"/>
              <w:rPr>
                <w:rFonts w:ascii="仿宋" w:hAnsi="仿宋" w:eastAsia="仿宋"/>
                <w:szCs w:val="21"/>
              </w:rPr>
            </w:pPr>
            <w:r>
              <w:rPr>
                <w:rFonts w:hint="eastAsia" w:ascii="仿宋" w:hAnsi="仿宋" w:eastAsia="仿宋"/>
                <w:szCs w:val="21"/>
              </w:rPr>
              <w:t>1.8</w:t>
            </w:r>
            <w:r>
              <w:rPr>
                <w:rFonts w:ascii="仿宋" w:hAnsi="仿宋" w:eastAsia="仿宋"/>
                <w:szCs w:val="21"/>
              </w:rPr>
              <w:t>14</w:t>
            </w:r>
          </w:p>
        </w:tc>
        <w:tc>
          <w:tcPr>
            <w:tcW w:w="382" w:type="pct"/>
            <w:vAlign w:val="center"/>
          </w:tcPr>
          <w:p>
            <w:pPr>
              <w:jc w:val="center"/>
              <w:rPr>
                <w:rFonts w:ascii="仿宋" w:hAnsi="仿宋" w:eastAsia="仿宋"/>
                <w:szCs w:val="21"/>
              </w:rPr>
            </w:pPr>
            <w:r>
              <w:rPr>
                <w:rFonts w:hint="eastAsia" w:ascii="仿宋" w:hAnsi="仿宋" w:eastAsia="仿宋"/>
                <w:szCs w:val="21"/>
              </w:rPr>
              <w:t>每天</w:t>
            </w:r>
          </w:p>
        </w:tc>
        <w:tc>
          <w:tcPr>
            <w:tcW w:w="382" w:type="pct"/>
            <w:vMerge w:val="restart"/>
            <w:vAlign w:val="center"/>
          </w:tcPr>
          <w:p>
            <w:pPr>
              <w:jc w:val="center"/>
              <w:rPr>
                <w:rFonts w:ascii="仿宋" w:hAnsi="仿宋" w:eastAsia="仿宋"/>
                <w:szCs w:val="21"/>
              </w:rPr>
            </w:pPr>
            <w:r>
              <w:rPr>
                <w:rFonts w:hint="eastAsia" w:ascii="仿宋" w:hAnsi="仿宋" w:eastAsia="仿宋" w:cs="宋体"/>
                <w:kern w:val="0"/>
                <w:szCs w:val="21"/>
              </w:rPr>
              <w:t>委托有资质单位处置</w:t>
            </w:r>
          </w:p>
        </w:tc>
        <w:tc>
          <w:tcPr>
            <w:tcW w:w="379" w:type="pct"/>
            <w:vAlign w:val="center"/>
          </w:tcPr>
          <w:p>
            <w:pPr>
              <w:jc w:val="center"/>
              <w:rPr>
                <w:rFonts w:ascii="仿宋" w:hAnsi="仿宋" w:eastAsia="仿宋"/>
                <w:szCs w:val="21"/>
              </w:rPr>
            </w:pPr>
            <w:r>
              <w:rPr>
                <w:rFonts w:hint="eastAsia" w:ascii="仿宋" w:hAnsi="仿宋" w:eastAsia="仿宋"/>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222" w:type="pct"/>
            <w:vAlign w:val="center"/>
          </w:tcPr>
          <w:p>
            <w:pPr>
              <w:jc w:val="center"/>
              <w:rPr>
                <w:rFonts w:ascii="仿宋" w:hAnsi="仿宋" w:eastAsia="仿宋"/>
                <w:sz w:val="22"/>
                <w:szCs w:val="22"/>
              </w:rPr>
            </w:pPr>
            <w:r>
              <w:rPr>
                <w:rFonts w:hint="eastAsia" w:ascii="仿宋" w:hAnsi="仿宋" w:eastAsia="仿宋"/>
                <w:sz w:val="22"/>
                <w:szCs w:val="22"/>
              </w:rPr>
              <w:t>4</w:t>
            </w:r>
          </w:p>
        </w:tc>
        <w:tc>
          <w:tcPr>
            <w:tcW w:w="473" w:type="pct"/>
            <w:vAlign w:val="center"/>
          </w:tcPr>
          <w:p>
            <w:pPr>
              <w:widowControl/>
              <w:jc w:val="center"/>
              <w:rPr>
                <w:rFonts w:ascii="仿宋" w:hAnsi="仿宋" w:eastAsia="仿宋"/>
                <w:kern w:val="0"/>
                <w:szCs w:val="21"/>
              </w:rPr>
            </w:pPr>
            <w:r>
              <w:rPr>
                <w:rFonts w:hint="eastAsia" w:ascii="仿宋" w:hAnsi="仿宋" w:eastAsia="仿宋"/>
                <w:kern w:val="0"/>
                <w:szCs w:val="21"/>
              </w:rPr>
              <w:t>S2</w:t>
            </w:r>
          </w:p>
        </w:tc>
        <w:tc>
          <w:tcPr>
            <w:tcW w:w="323" w:type="pct"/>
            <w:tcMar>
              <w:left w:w="0" w:type="dxa"/>
              <w:right w:w="0" w:type="dxa"/>
            </w:tcMar>
            <w:vAlign w:val="center"/>
          </w:tcPr>
          <w:p>
            <w:pPr>
              <w:widowControl/>
              <w:jc w:val="center"/>
              <w:rPr>
                <w:rFonts w:ascii="仿宋" w:hAnsi="仿宋" w:eastAsia="仿宋"/>
                <w:kern w:val="0"/>
                <w:szCs w:val="21"/>
              </w:rPr>
            </w:pPr>
            <w:r>
              <w:rPr>
                <w:rFonts w:hint="eastAsia" w:ascii="仿宋" w:hAnsi="仿宋" w:eastAsia="仿宋"/>
                <w:kern w:val="0"/>
                <w:szCs w:val="21"/>
              </w:rPr>
              <w:t>废清洗液</w:t>
            </w:r>
          </w:p>
        </w:tc>
        <w:tc>
          <w:tcPr>
            <w:tcW w:w="338" w:type="pct"/>
            <w:tcMar>
              <w:left w:w="0" w:type="dxa"/>
              <w:right w:w="0" w:type="dxa"/>
            </w:tcMar>
            <w:vAlign w:val="center"/>
          </w:tcPr>
          <w:p>
            <w:pPr>
              <w:jc w:val="center"/>
              <w:rPr>
                <w:rFonts w:ascii="仿宋" w:hAnsi="仿宋" w:eastAsia="仿宋"/>
                <w:szCs w:val="21"/>
              </w:rPr>
            </w:pPr>
            <w:r>
              <w:rPr>
                <w:rFonts w:hint="eastAsia" w:ascii="仿宋" w:hAnsi="仿宋" w:eastAsia="仿宋"/>
                <w:szCs w:val="21"/>
              </w:rPr>
              <w:t>危险废物</w:t>
            </w:r>
          </w:p>
        </w:tc>
        <w:tc>
          <w:tcPr>
            <w:tcW w:w="250" w:type="pct"/>
            <w:tcMar>
              <w:left w:w="0" w:type="dxa"/>
              <w:right w:w="0" w:type="dxa"/>
            </w:tcMar>
            <w:vAlign w:val="center"/>
          </w:tcPr>
          <w:p>
            <w:pPr>
              <w:widowControl/>
              <w:jc w:val="center"/>
              <w:rPr>
                <w:rFonts w:ascii="仿宋" w:hAnsi="仿宋" w:eastAsia="仿宋"/>
                <w:szCs w:val="21"/>
              </w:rPr>
            </w:pPr>
            <w:r>
              <w:rPr>
                <w:rFonts w:hint="eastAsia" w:ascii="仿宋" w:hAnsi="仿宋" w:eastAsia="仿宋"/>
                <w:kern w:val="0"/>
                <w:szCs w:val="21"/>
              </w:rPr>
              <w:t>清洗</w:t>
            </w:r>
          </w:p>
        </w:tc>
        <w:tc>
          <w:tcPr>
            <w:tcW w:w="167" w:type="pct"/>
            <w:tcMar>
              <w:left w:w="0" w:type="dxa"/>
              <w:right w:w="0" w:type="dxa"/>
            </w:tcMar>
            <w:vAlign w:val="center"/>
          </w:tcPr>
          <w:p>
            <w:pPr>
              <w:tabs>
                <w:tab w:val="left" w:pos="3240"/>
              </w:tabs>
              <w:adjustRightInd w:val="0"/>
              <w:snapToGrid w:val="0"/>
              <w:jc w:val="center"/>
              <w:rPr>
                <w:rFonts w:ascii="仿宋" w:hAnsi="仿宋" w:eastAsia="仿宋"/>
                <w:szCs w:val="21"/>
              </w:rPr>
            </w:pPr>
            <w:r>
              <w:rPr>
                <w:rFonts w:hint="eastAsia" w:ascii="仿宋" w:hAnsi="仿宋" w:eastAsia="仿宋"/>
                <w:bCs/>
                <w:kern w:val="0"/>
                <w:szCs w:val="21"/>
              </w:rPr>
              <w:t>液</w:t>
            </w:r>
          </w:p>
        </w:tc>
        <w:tc>
          <w:tcPr>
            <w:tcW w:w="479" w:type="pct"/>
            <w:tcMar>
              <w:left w:w="0" w:type="dxa"/>
              <w:right w:w="0" w:type="dxa"/>
            </w:tcMar>
            <w:vAlign w:val="center"/>
          </w:tcPr>
          <w:p>
            <w:pPr>
              <w:tabs>
                <w:tab w:val="left" w:pos="3240"/>
              </w:tabs>
              <w:adjustRightInd w:val="0"/>
              <w:snapToGrid w:val="0"/>
              <w:jc w:val="center"/>
              <w:rPr>
                <w:rFonts w:ascii="仿宋" w:hAnsi="仿宋" w:eastAsia="仿宋"/>
                <w:szCs w:val="21"/>
              </w:rPr>
            </w:pPr>
            <w:r>
              <w:rPr>
                <w:rFonts w:hint="eastAsia" w:ascii="仿宋" w:hAnsi="仿宋" w:eastAsia="仿宋"/>
                <w:bCs/>
                <w:kern w:val="0"/>
                <w:szCs w:val="21"/>
              </w:rPr>
              <w:t>有机溶剂</w:t>
            </w:r>
          </w:p>
        </w:tc>
        <w:tc>
          <w:tcPr>
            <w:tcW w:w="261" w:type="pct"/>
            <w:vMerge w:val="continue"/>
            <w:tcMar>
              <w:left w:w="0" w:type="dxa"/>
              <w:right w:w="0" w:type="dxa"/>
            </w:tcMar>
            <w:vAlign w:val="center"/>
          </w:tcPr>
          <w:p>
            <w:pPr>
              <w:tabs>
                <w:tab w:val="left" w:pos="3240"/>
              </w:tabs>
              <w:adjustRightInd w:val="0"/>
              <w:snapToGrid w:val="0"/>
              <w:jc w:val="center"/>
              <w:rPr>
                <w:rFonts w:ascii="仿宋" w:hAnsi="仿宋" w:eastAsia="仿宋"/>
                <w:bCs/>
                <w:kern w:val="0"/>
                <w:szCs w:val="21"/>
              </w:rPr>
            </w:pPr>
          </w:p>
        </w:tc>
        <w:tc>
          <w:tcPr>
            <w:tcW w:w="214" w:type="pct"/>
            <w:vAlign w:val="center"/>
          </w:tcPr>
          <w:p>
            <w:pPr>
              <w:jc w:val="center"/>
              <w:rPr>
                <w:rFonts w:ascii="仿宋" w:hAnsi="仿宋" w:eastAsia="仿宋"/>
                <w:szCs w:val="21"/>
              </w:rPr>
            </w:pPr>
            <w:r>
              <w:rPr>
                <w:rFonts w:ascii="仿宋" w:hAnsi="仿宋" w:eastAsia="仿宋"/>
                <w:szCs w:val="21"/>
              </w:rPr>
              <w:t>T</w:t>
            </w:r>
          </w:p>
        </w:tc>
        <w:tc>
          <w:tcPr>
            <w:tcW w:w="464" w:type="pct"/>
            <w:gridSpan w:val="2"/>
            <w:vAlign w:val="center"/>
          </w:tcPr>
          <w:p>
            <w:pPr>
              <w:jc w:val="center"/>
              <w:rPr>
                <w:rFonts w:ascii="仿宋" w:hAnsi="仿宋" w:eastAsia="仿宋"/>
                <w:szCs w:val="21"/>
              </w:rPr>
            </w:pPr>
            <w:r>
              <w:rPr>
                <w:rFonts w:ascii="仿宋" w:hAnsi="仿宋" w:eastAsia="仿宋"/>
                <w:szCs w:val="21"/>
              </w:rPr>
              <w:t>HW06</w:t>
            </w:r>
          </w:p>
        </w:tc>
        <w:tc>
          <w:tcPr>
            <w:tcW w:w="341" w:type="pct"/>
            <w:vAlign w:val="center"/>
          </w:tcPr>
          <w:p>
            <w:pPr>
              <w:jc w:val="center"/>
              <w:rPr>
                <w:rFonts w:ascii="仿宋" w:hAnsi="仿宋" w:eastAsia="仿宋"/>
                <w:szCs w:val="21"/>
              </w:rPr>
            </w:pPr>
            <w:r>
              <w:rPr>
                <w:rFonts w:ascii="仿宋" w:hAnsi="仿宋" w:eastAsia="仿宋"/>
                <w:szCs w:val="21"/>
              </w:rPr>
              <w:t>900-404-06</w:t>
            </w:r>
          </w:p>
        </w:tc>
        <w:tc>
          <w:tcPr>
            <w:tcW w:w="322" w:type="pct"/>
            <w:vAlign w:val="center"/>
          </w:tcPr>
          <w:p>
            <w:pPr>
              <w:jc w:val="center"/>
              <w:rPr>
                <w:rFonts w:ascii="仿宋" w:hAnsi="仿宋" w:eastAsia="仿宋"/>
                <w:szCs w:val="21"/>
              </w:rPr>
            </w:pPr>
            <w:r>
              <w:rPr>
                <w:rFonts w:hint="eastAsia" w:ascii="仿宋" w:hAnsi="仿宋" w:eastAsia="仿宋"/>
                <w:szCs w:val="21"/>
              </w:rPr>
              <w:t>3.6</w:t>
            </w:r>
          </w:p>
        </w:tc>
        <w:tc>
          <w:tcPr>
            <w:tcW w:w="382" w:type="pct"/>
            <w:vAlign w:val="center"/>
          </w:tcPr>
          <w:p>
            <w:pPr>
              <w:jc w:val="center"/>
              <w:rPr>
                <w:rFonts w:ascii="仿宋" w:hAnsi="仿宋" w:eastAsia="仿宋"/>
                <w:szCs w:val="21"/>
              </w:rPr>
            </w:pPr>
            <w:r>
              <w:rPr>
                <w:rFonts w:hint="eastAsia" w:ascii="仿宋" w:hAnsi="仿宋" w:eastAsia="仿宋"/>
                <w:szCs w:val="21"/>
              </w:rPr>
              <w:t>每天</w:t>
            </w:r>
          </w:p>
        </w:tc>
        <w:tc>
          <w:tcPr>
            <w:tcW w:w="382" w:type="pct"/>
            <w:vMerge w:val="continue"/>
            <w:vAlign w:val="center"/>
          </w:tcPr>
          <w:p>
            <w:pPr>
              <w:jc w:val="center"/>
              <w:rPr>
                <w:rFonts w:ascii="仿宋" w:hAnsi="仿宋" w:eastAsia="仿宋"/>
                <w:szCs w:val="21"/>
              </w:rPr>
            </w:pPr>
          </w:p>
        </w:tc>
        <w:tc>
          <w:tcPr>
            <w:tcW w:w="379" w:type="pct"/>
            <w:vAlign w:val="center"/>
          </w:tcPr>
          <w:p>
            <w:pPr>
              <w:jc w:val="center"/>
              <w:rPr>
                <w:rFonts w:ascii="仿宋" w:hAnsi="仿宋" w:eastAsia="仿宋"/>
                <w:szCs w:val="21"/>
              </w:rPr>
            </w:pPr>
            <w:r>
              <w:rPr>
                <w:rFonts w:hint="eastAsia" w:ascii="仿宋" w:hAnsi="仿宋" w:eastAsia="仿宋"/>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222" w:type="pct"/>
            <w:vAlign w:val="center"/>
          </w:tcPr>
          <w:p>
            <w:pPr>
              <w:jc w:val="center"/>
              <w:rPr>
                <w:rFonts w:ascii="仿宋" w:hAnsi="仿宋" w:eastAsia="仿宋"/>
                <w:sz w:val="22"/>
                <w:szCs w:val="22"/>
              </w:rPr>
            </w:pPr>
            <w:r>
              <w:rPr>
                <w:rFonts w:hint="eastAsia" w:ascii="仿宋" w:hAnsi="仿宋" w:eastAsia="仿宋"/>
                <w:sz w:val="22"/>
                <w:szCs w:val="22"/>
              </w:rPr>
              <w:t>5</w:t>
            </w:r>
          </w:p>
        </w:tc>
        <w:tc>
          <w:tcPr>
            <w:tcW w:w="473" w:type="pct"/>
            <w:vAlign w:val="center"/>
          </w:tcPr>
          <w:p>
            <w:pPr>
              <w:widowControl/>
              <w:jc w:val="center"/>
              <w:rPr>
                <w:rFonts w:ascii="仿宋" w:hAnsi="仿宋" w:eastAsia="仿宋"/>
                <w:kern w:val="0"/>
                <w:szCs w:val="21"/>
              </w:rPr>
            </w:pPr>
            <w:r>
              <w:rPr>
                <w:rFonts w:hint="eastAsia" w:ascii="仿宋" w:hAnsi="仿宋" w:eastAsia="仿宋"/>
                <w:kern w:val="0"/>
                <w:szCs w:val="21"/>
              </w:rPr>
              <w:t>S4</w:t>
            </w:r>
          </w:p>
        </w:tc>
        <w:tc>
          <w:tcPr>
            <w:tcW w:w="323" w:type="pct"/>
            <w:tcMar>
              <w:left w:w="0" w:type="dxa"/>
              <w:right w:w="0" w:type="dxa"/>
            </w:tcMar>
            <w:vAlign w:val="center"/>
          </w:tcPr>
          <w:p>
            <w:pPr>
              <w:widowControl/>
              <w:jc w:val="center"/>
              <w:rPr>
                <w:rFonts w:ascii="仿宋" w:hAnsi="仿宋" w:eastAsia="仿宋"/>
                <w:kern w:val="0"/>
                <w:szCs w:val="21"/>
              </w:rPr>
            </w:pPr>
            <w:r>
              <w:rPr>
                <w:rFonts w:hint="eastAsia" w:ascii="仿宋" w:hAnsi="仿宋" w:eastAsia="仿宋"/>
                <w:kern w:val="0"/>
                <w:szCs w:val="21"/>
              </w:rPr>
              <w:t>废原料桶</w:t>
            </w:r>
          </w:p>
        </w:tc>
        <w:tc>
          <w:tcPr>
            <w:tcW w:w="338" w:type="pct"/>
            <w:tcMar>
              <w:left w:w="0" w:type="dxa"/>
              <w:right w:w="0" w:type="dxa"/>
            </w:tcMar>
            <w:vAlign w:val="center"/>
          </w:tcPr>
          <w:p>
            <w:pPr>
              <w:jc w:val="center"/>
              <w:rPr>
                <w:rFonts w:ascii="仿宋" w:hAnsi="仿宋" w:eastAsia="仿宋"/>
                <w:szCs w:val="21"/>
              </w:rPr>
            </w:pPr>
            <w:r>
              <w:rPr>
                <w:rFonts w:hint="eastAsia" w:ascii="仿宋" w:hAnsi="仿宋" w:eastAsia="仿宋"/>
                <w:szCs w:val="21"/>
              </w:rPr>
              <w:t>危险废物</w:t>
            </w:r>
          </w:p>
        </w:tc>
        <w:tc>
          <w:tcPr>
            <w:tcW w:w="250" w:type="pct"/>
            <w:tcMar>
              <w:left w:w="0" w:type="dxa"/>
              <w:right w:w="0" w:type="dxa"/>
            </w:tcMar>
            <w:vAlign w:val="center"/>
          </w:tcPr>
          <w:p>
            <w:pPr>
              <w:widowControl/>
              <w:jc w:val="center"/>
              <w:rPr>
                <w:rFonts w:ascii="仿宋" w:hAnsi="仿宋" w:eastAsia="仿宋"/>
                <w:kern w:val="0"/>
                <w:szCs w:val="21"/>
              </w:rPr>
            </w:pPr>
            <w:r>
              <w:rPr>
                <w:rFonts w:hint="eastAsia" w:ascii="仿宋" w:hAnsi="仿宋" w:eastAsia="仿宋"/>
                <w:kern w:val="0"/>
                <w:szCs w:val="21"/>
              </w:rPr>
              <w:t>存储</w:t>
            </w:r>
          </w:p>
        </w:tc>
        <w:tc>
          <w:tcPr>
            <w:tcW w:w="167" w:type="pct"/>
            <w:tcMar>
              <w:left w:w="0" w:type="dxa"/>
              <w:right w:w="0" w:type="dxa"/>
            </w:tcMar>
            <w:vAlign w:val="center"/>
          </w:tcPr>
          <w:p>
            <w:pPr>
              <w:tabs>
                <w:tab w:val="left" w:pos="3240"/>
              </w:tabs>
              <w:adjustRightInd w:val="0"/>
              <w:snapToGrid w:val="0"/>
              <w:jc w:val="center"/>
              <w:rPr>
                <w:rFonts w:ascii="仿宋" w:hAnsi="仿宋" w:eastAsia="仿宋"/>
                <w:bCs/>
                <w:kern w:val="0"/>
                <w:szCs w:val="21"/>
              </w:rPr>
            </w:pPr>
            <w:r>
              <w:rPr>
                <w:rFonts w:hint="eastAsia" w:ascii="仿宋" w:hAnsi="仿宋" w:eastAsia="仿宋"/>
                <w:bCs/>
                <w:kern w:val="0"/>
                <w:szCs w:val="21"/>
              </w:rPr>
              <w:t>固</w:t>
            </w:r>
          </w:p>
        </w:tc>
        <w:tc>
          <w:tcPr>
            <w:tcW w:w="479" w:type="pct"/>
            <w:tcMar>
              <w:left w:w="0" w:type="dxa"/>
              <w:right w:w="0" w:type="dxa"/>
            </w:tcMar>
            <w:vAlign w:val="center"/>
          </w:tcPr>
          <w:p>
            <w:pPr>
              <w:tabs>
                <w:tab w:val="left" w:pos="3240"/>
              </w:tabs>
              <w:adjustRightInd w:val="0"/>
              <w:snapToGrid w:val="0"/>
              <w:jc w:val="center"/>
              <w:rPr>
                <w:rFonts w:ascii="仿宋" w:hAnsi="仿宋" w:eastAsia="仿宋"/>
                <w:bCs/>
                <w:kern w:val="0"/>
                <w:szCs w:val="21"/>
              </w:rPr>
            </w:pPr>
            <w:r>
              <w:rPr>
                <w:rFonts w:hint="eastAsia" w:ascii="仿宋" w:hAnsi="仿宋" w:eastAsia="仿宋"/>
                <w:bCs/>
                <w:kern w:val="0"/>
                <w:szCs w:val="21"/>
              </w:rPr>
              <w:t>有机溶剂</w:t>
            </w:r>
          </w:p>
        </w:tc>
        <w:tc>
          <w:tcPr>
            <w:tcW w:w="261" w:type="pct"/>
            <w:vMerge w:val="continue"/>
            <w:tcMar>
              <w:left w:w="0" w:type="dxa"/>
              <w:right w:w="0" w:type="dxa"/>
            </w:tcMar>
            <w:vAlign w:val="center"/>
          </w:tcPr>
          <w:p>
            <w:pPr>
              <w:tabs>
                <w:tab w:val="left" w:pos="3240"/>
              </w:tabs>
              <w:adjustRightInd w:val="0"/>
              <w:snapToGrid w:val="0"/>
              <w:jc w:val="center"/>
              <w:rPr>
                <w:rFonts w:ascii="仿宋" w:hAnsi="仿宋" w:eastAsia="仿宋"/>
                <w:bCs/>
                <w:kern w:val="0"/>
                <w:szCs w:val="21"/>
              </w:rPr>
            </w:pPr>
          </w:p>
        </w:tc>
        <w:tc>
          <w:tcPr>
            <w:tcW w:w="214" w:type="pct"/>
            <w:vAlign w:val="center"/>
          </w:tcPr>
          <w:p>
            <w:pPr>
              <w:jc w:val="center"/>
              <w:rPr>
                <w:rFonts w:ascii="仿宋" w:hAnsi="仿宋" w:eastAsia="仿宋"/>
                <w:szCs w:val="21"/>
              </w:rPr>
            </w:pPr>
            <w:r>
              <w:rPr>
                <w:rFonts w:ascii="仿宋" w:hAnsi="仿宋" w:eastAsia="仿宋"/>
                <w:szCs w:val="21"/>
              </w:rPr>
              <w:t>T/In</w:t>
            </w:r>
          </w:p>
        </w:tc>
        <w:tc>
          <w:tcPr>
            <w:tcW w:w="464" w:type="pct"/>
            <w:gridSpan w:val="2"/>
            <w:vAlign w:val="center"/>
          </w:tcPr>
          <w:p>
            <w:pPr>
              <w:jc w:val="center"/>
              <w:rPr>
                <w:rFonts w:ascii="仿宋" w:hAnsi="仿宋" w:eastAsia="仿宋"/>
                <w:szCs w:val="21"/>
              </w:rPr>
            </w:pPr>
            <w:r>
              <w:rPr>
                <w:rFonts w:ascii="仿宋" w:hAnsi="仿宋" w:eastAsia="仿宋"/>
                <w:szCs w:val="21"/>
              </w:rPr>
              <w:t>HW49</w:t>
            </w:r>
          </w:p>
        </w:tc>
        <w:tc>
          <w:tcPr>
            <w:tcW w:w="341" w:type="pct"/>
            <w:vAlign w:val="center"/>
          </w:tcPr>
          <w:p>
            <w:pPr>
              <w:jc w:val="center"/>
              <w:rPr>
                <w:rFonts w:ascii="仿宋" w:hAnsi="仿宋" w:eastAsia="仿宋"/>
                <w:szCs w:val="21"/>
              </w:rPr>
            </w:pPr>
            <w:r>
              <w:rPr>
                <w:rFonts w:ascii="仿宋" w:hAnsi="仿宋" w:eastAsia="仿宋"/>
                <w:szCs w:val="21"/>
              </w:rPr>
              <w:t>900-041-49</w:t>
            </w:r>
          </w:p>
        </w:tc>
        <w:tc>
          <w:tcPr>
            <w:tcW w:w="322" w:type="pct"/>
            <w:vAlign w:val="center"/>
          </w:tcPr>
          <w:p>
            <w:pPr>
              <w:jc w:val="center"/>
              <w:rPr>
                <w:rFonts w:ascii="仿宋" w:hAnsi="仿宋" w:eastAsia="仿宋"/>
                <w:szCs w:val="21"/>
              </w:rPr>
            </w:pPr>
            <w:r>
              <w:rPr>
                <w:rFonts w:hint="eastAsia" w:ascii="仿宋" w:hAnsi="仿宋" w:eastAsia="仿宋"/>
                <w:szCs w:val="21"/>
              </w:rPr>
              <w:t>2.2</w:t>
            </w:r>
          </w:p>
        </w:tc>
        <w:tc>
          <w:tcPr>
            <w:tcW w:w="382" w:type="pct"/>
            <w:vAlign w:val="center"/>
          </w:tcPr>
          <w:p>
            <w:pPr>
              <w:jc w:val="center"/>
              <w:rPr>
                <w:rFonts w:ascii="仿宋" w:hAnsi="仿宋" w:eastAsia="仿宋"/>
                <w:szCs w:val="21"/>
              </w:rPr>
            </w:pPr>
            <w:r>
              <w:rPr>
                <w:rFonts w:hint="eastAsia" w:ascii="仿宋" w:hAnsi="仿宋" w:eastAsia="仿宋"/>
                <w:szCs w:val="21"/>
              </w:rPr>
              <w:t>每天</w:t>
            </w:r>
          </w:p>
        </w:tc>
        <w:tc>
          <w:tcPr>
            <w:tcW w:w="382" w:type="pct"/>
            <w:vMerge w:val="continue"/>
            <w:vAlign w:val="center"/>
          </w:tcPr>
          <w:p>
            <w:pPr>
              <w:jc w:val="center"/>
              <w:rPr>
                <w:rFonts w:ascii="仿宋" w:hAnsi="仿宋" w:eastAsia="仿宋"/>
                <w:szCs w:val="21"/>
              </w:rPr>
            </w:pPr>
          </w:p>
        </w:tc>
        <w:tc>
          <w:tcPr>
            <w:tcW w:w="379" w:type="pct"/>
            <w:vAlign w:val="center"/>
          </w:tcPr>
          <w:p>
            <w:pPr>
              <w:jc w:val="center"/>
              <w:rPr>
                <w:rFonts w:ascii="仿宋" w:hAnsi="仿宋" w:eastAsia="仿宋"/>
                <w:szCs w:val="21"/>
              </w:rPr>
            </w:pPr>
            <w:r>
              <w:rPr>
                <w:rFonts w:hint="eastAsia" w:ascii="仿宋" w:hAnsi="仿宋" w:eastAsia="仿宋"/>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222" w:type="pct"/>
            <w:vAlign w:val="center"/>
          </w:tcPr>
          <w:p>
            <w:pPr>
              <w:jc w:val="center"/>
              <w:rPr>
                <w:rFonts w:ascii="仿宋" w:hAnsi="仿宋" w:eastAsia="仿宋"/>
                <w:sz w:val="22"/>
                <w:szCs w:val="22"/>
              </w:rPr>
            </w:pPr>
            <w:r>
              <w:rPr>
                <w:rFonts w:hint="eastAsia" w:ascii="仿宋" w:hAnsi="仿宋" w:eastAsia="仿宋"/>
                <w:sz w:val="22"/>
                <w:szCs w:val="22"/>
              </w:rPr>
              <w:t>6</w:t>
            </w:r>
          </w:p>
        </w:tc>
        <w:tc>
          <w:tcPr>
            <w:tcW w:w="473" w:type="pct"/>
            <w:vAlign w:val="center"/>
          </w:tcPr>
          <w:p>
            <w:pPr>
              <w:widowControl/>
              <w:jc w:val="center"/>
              <w:rPr>
                <w:rFonts w:ascii="仿宋" w:hAnsi="仿宋" w:eastAsia="仿宋"/>
                <w:kern w:val="0"/>
                <w:szCs w:val="21"/>
              </w:rPr>
            </w:pPr>
            <w:r>
              <w:rPr>
                <w:rFonts w:hint="eastAsia" w:ascii="仿宋" w:hAnsi="仿宋" w:eastAsia="仿宋"/>
                <w:kern w:val="0"/>
                <w:szCs w:val="21"/>
              </w:rPr>
              <w:t>S5</w:t>
            </w:r>
          </w:p>
        </w:tc>
        <w:tc>
          <w:tcPr>
            <w:tcW w:w="323" w:type="pct"/>
            <w:tcMar>
              <w:left w:w="0" w:type="dxa"/>
              <w:right w:w="0" w:type="dxa"/>
            </w:tcMar>
            <w:vAlign w:val="center"/>
          </w:tcPr>
          <w:p>
            <w:pPr>
              <w:widowControl/>
              <w:jc w:val="center"/>
              <w:rPr>
                <w:rFonts w:ascii="仿宋" w:hAnsi="仿宋" w:eastAsia="仿宋"/>
                <w:kern w:val="0"/>
                <w:szCs w:val="21"/>
              </w:rPr>
            </w:pPr>
            <w:r>
              <w:rPr>
                <w:rFonts w:hint="eastAsia" w:ascii="仿宋" w:hAnsi="仿宋" w:eastAsia="仿宋"/>
                <w:kern w:val="0"/>
                <w:szCs w:val="21"/>
              </w:rPr>
              <w:t>废抹布手套</w:t>
            </w:r>
          </w:p>
        </w:tc>
        <w:tc>
          <w:tcPr>
            <w:tcW w:w="338" w:type="pct"/>
            <w:tcMar>
              <w:left w:w="0" w:type="dxa"/>
              <w:right w:w="0" w:type="dxa"/>
            </w:tcMar>
            <w:vAlign w:val="center"/>
          </w:tcPr>
          <w:p>
            <w:pPr>
              <w:jc w:val="center"/>
              <w:rPr>
                <w:rFonts w:ascii="仿宋" w:hAnsi="仿宋" w:eastAsia="仿宋"/>
                <w:szCs w:val="21"/>
              </w:rPr>
            </w:pPr>
            <w:r>
              <w:rPr>
                <w:rFonts w:hint="eastAsia" w:ascii="仿宋" w:hAnsi="仿宋" w:eastAsia="仿宋"/>
                <w:szCs w:val="21"/>
              </w:rPr>
              <w:t>危险废物</w:t>
            </w:r>
          </w:p>
        </w:tc>
        <w:tc>
          <w:tcPr>
            <w:tcW w:w="250" w:type="pct"/>
            <w:tcMar>
              <w:left w:w="0" w:type="dxa"/>
              <w:right w:w="0" w:type="dxa"/>
            </w:tcMar>
            <w:vAlign w:val="center"/>
          </w:tcPr>
          <w:p>
            <w:pPr>
              <w:widowControl/>
              <w:jc w:val="center"/>
              <w:rPr>
                <w:rFonts w:ascii="仿宋" w:hAnsi="仿宋" w:eastAsia="仿宋"/>
                <w:szCs w:val="21"/>
              </w:rPr>
            </w:pPr>
            <w:r>
              <w:rPr>
                <w:rFonts w:hint="eastAsia" w:ascii="仿宋" w:hAnsi="仿宋" w:eastAsia="仿宋"/>
                <w:kern w:val="0"/>
                <w:szCs w:val="21"/>
              </w:rPr>
              <w:t>清洗</w:t>
            </w:r>
          </w:p>
        </w:tc>
        <w:tc>
          <w:tcPr>
            <w:tcW w:w="167" w:type="pct"/>
            <w:tcMar>
              <w:left w:w="0" w:type="dxa"/>
              <w:right w:w="0" w:type="dxa"/>
            </w:tcMar>
            <w:vAlign w:val="center"/>
          </w:tcPr>
          <w:p>
            <w:pPr>
              <w:tabs>
                <w:tab w:val="left" w:pos="3240"/>
              </w:tabs>
              <w:adjustRightInd w:val="0"/>
              <w:snapToGrid w:val="0"/>
              <w:jc w:val="center"/>
              <w:rPr>
                <w:rFonts w:ascii="仿宋" w:hAnsi="仿宋" w:eastAsia="仿宋"/>
                <w:szCs w:val="21"/>
              </w:rPr>
            </w:pPr>
            <w:r>
              <w:rPr>
                <w:rFonts w:hint="eastAsia" w:ascii="仿宋" w:hAnsi="仿宋" w:eastAsia="仿宋"/>
                <w:bCs/>
                <w:kern w:val="0"/>
                <w:szCs w:val="21"/>
              </w:rPr>
              <w:t>固</w:t>
            </w:r>
          </w:p>
        </w:tc>
        <w:tc>
          <w:tcPr>
            <w:tcW w:w="479" w:type="pct"/>
            <w:tcMar>
              <w:left w:w="0" w:type="dxa"/>
              <w:right w:w="0" w:type="dxa"/>
            </w:tcMar>
            <w:vAlign w:val="center"/>
          </w:tcPr>
          <w:p>
            <w:pPr>
              <w:tabs>
                <w:tab w:val="left" w:pos="3240"/>
              </w:tabs>
              <w:adjustRightInd w:val="0"/>
              <w:snapToGrid w:val="0"/>
              <w:jc w:val="center"/>
              <w:rPr>
                <w:rFonts w:ascii="仿宋" w:hAnsi="仿宋" w:eastAsia="仿宋"/>
                <w:szCs w:val="21"/>
              </w:rPr>
            </w:pPr>
            <w:r>
              <w:rPr>
                <w:rFonts w:hint="eastAsia" w:ascii="仿宋" w:hAnsi="仿宋" w:eastAsia="仿宋"/>
                <w:bCs/>
                <w:kern w:val="0"/>
                <w:szCs w:val="21"/>
              </w:rPr>
              <w:t>清洗剂</w:t>
            </w:r>
          </w:p>
        </w:tc>
        <w:tc>
          <w:tcPr>
            <w:tcW w:w="261" w:type="pct"/>
            <w:vMerge w:val="continue"/>
            <w:tcMar>
              <w:left w:w="0" w:type="dxa"/>
              <w:right w:w="0" w:type="dxa"/>
            </w:tcMar>
            <w:vAlign w:val="center"/>
          </w:tcPr>
          <w:p>
            <w:pPr>
              <w:tabs>
                <w:tab w:val="left" w:pos="3240"/>
              </w:tabs>
              <w:adjustRightInd w:val="0"/>
              <w:snapToGrid w:val="0"/>
              <w:jc w:val="center"/>
              <w:rPr>
                <w:rFonts w:ascii="仿宋" w:hAnsi="仿宋" w:eastAsia="仿宋"/>
                <w:bCs/>
                <w:kern w:val="0"/>
                <w:szCs w:val="21"/>
              </w:rPr>
            </w:pPr>
          </w:p>
        </w:tc>
        <w:tc>
          <w:tcPr>
            <w:tcW w:w="214" w:type="pct"/>
            <w:vAlign w:val="center"/>
          </w:tcPr>
          <w:p>
            <w:pPr>
              <w:jc w:val="center"/>
              <w:rPr>
                <w:rFonts w:ascii="仿宋" w:hAnsi="仿宋" w:eastAsia="仿宋"/>
                <w:szCs w:val="21"/>
              </w:rPr>
            </w:pPr>
            <w:r>
              <w:rPr>
                <w:rFonts w:ascii="仿宋" w:hAnsi="仿宋" w:eastAsia="仿宋"/>
                <w:szCs w:val="21"/>
              </w:rPr>
              <w:t>T,I</w:t>
            </w:r>
          </w:p>
        </w:tc>
        <w:tc>
          <w:tcPr>
            <w:tcW w:w="464" w:type="pct"/>
            <w:gridSpan w:val="2"/>
            <w:vAlign w:val="center"/>
          </w:tcPr>
          <w:p>
            <w:pPr>
              <w:jc w:val="center"/>
              <w:rPr>
                <w:rFonts w:ascii="仿宋" w:hAnsi="仿宋" w:eastAsia="仿宋"/>
                <w:szCs w:val="21"/>
              </w:rPr>
            </w:pPr>
            <w:r>
              <w:rPr>
                <w:rFonts w:ascii="仿宋" w:hAnsi="仿宋" w:eastAsia="仿宋"/>
                <w:szCs w:val="21"/>
              </w:rPr>
              <w:t>HW</w:t>
            </w:r>
            <w:r>
              <w:rPr>
                <w:rFonts w:hint="eastAsia" w:ascii="仿宋" w:hAnsi="仿宋" w:eastAsia="仿宋"/>
                <w:szCs w:val="21"/>
              </w:rPr>
              <w:t>49</w:t>
            </w:r>
          </w:p>
        </w:tc>
        <w:tc>
          <w:tcPr>
            <w:tcW w:w="341" w:type="pct"/>
            <w:vAlign w:val="center"/>
          </w:tcPr>
          <w:p>
            <w:pPr>
              <w:jc w:val="center"/>
              <w:rPr>
                <w:rFonts w:ascii="仿宋" w:hAnsi="仿宋" w:eastAsia="仿宋"/>
                <w:szCs w:val="21"/>
              </w:rPr>
            </w:pPr>
            <w:r>
              <w:rPr>
                <w:rFonts w:ascii="仿宋" w:hAnsi="仿宋" w:eastAsia="仿宋"/>
                <w:szCs w:val="21"/>
              </w:rPr>
              <w:t>900-</w:t>
            </w:r>
            <w:r>
              <w:rPr>
                <w:rFonts w:hint="eastAsia" w:ascii="仿宋" w:hAnsi="仿宋" w:eastAsia="仿宋"/>
                <w:szCs w:val="21"/>
              </w:rPr>
              <w:t>041-49</w:t>
            </w:r>
          </w:p>
        </w:tc>
        <w:tc>
          <w:tcPr>
            <w:tcW w:w="322" w:type="pct"/>
            <w:vAlign w:val="center"/>
          </w:tcPr>
          <w:p>
            <w:pPr>
              <w:jc w:val="center"/>
              <w:rPr>
                <w:rFonts w:ascii="仿宋" w:hAnsi="仿宋" w:eastAsia="仿宋"/>
                <w:szCs w:val="21"/>
              </w:rPr>
            </w:pPr>
            <w:r>
              <w:rPr>
                <w:rFonts w:hint="eastAsia" w:ascii="仿宋" w:hAnsi="仿宋" w:eastAsia="仿宋"/>
                <w:szCs w:val="21"/>
              </w:rPr>
              <w:t>1</w:t>
            </w:r>
          </w:p>
        </w:tc>
        <w:tc>
          <w:tcPr>
            <w:tcW w:w="382" w:type="pct"/>
            <w:vAlign w:val="center"/>
          </w:tcPr>
          <w:p>
            <w:pPr>
              <w:jc w:val="center"/>
              <w:rPr>
                <w:rFonts w:ascii="仿宋" w:hAnsi="仿宋" w:eastAsia="仿宋"/>
                <w:szCs w:val="21"/>
              </w:rPr>
            </w:pPr>
            <w:r>
              <w:rPr>
                <w:rFonts w:hint="eastAsia" w:ascii="仿宋" w:hAnsi="仿宋" w:eastAsia="仿宋"/>
                <w:szCs w:val="21"/>
              </w:rPr>
              <w:t>每天</w:t>
            </w:r>
          </w:p>
        </w:tc>
        <w:tc>
          <w:tcPr>
            <w:tcW w:w="382" w:type="pct"/>
            <w:vMerge w:val="continue"/>
            <w:vAlign w:val="center"/>
          </w:tcPr>
          <w:p>
            <w:pPr>
              <w:jc w:val="center"/>
              <w:rPr>
                <w:rFonts w:ascii="仿宋" w:hAnsi="仿宋" w:eastAsia="仿宋"/>
                <w:szCs w:val="21"/>
              </w:rPr>
            </w:pPr>
          </w:p>
        </w:tc>
        <w:tc>
          <w:tcPr>
            <w:tcW w:w="379" w:type="pct"/>
            <w:vAlign w:val="center"/>
          </w:tcPr>
          <w:p>
            <w:pPr>
              <w:jc w:val="center"/>
              <w:rPr>
                <w:rFonts w:ascii="仿宋" w:hAnsi="仿宋" w:eastAsia="仿宋"/>
                <w:szCs w:val="21"/>
              </w:rPr>
            </w:pPr>
            <w:r>
              <w:rPr>
                <w:rFonts w:hint="eastAsia" w:ascii="仿宋" w:hAnsi="仿宋" w:eastAsia="仿宋"/>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222" w:type="pct"/>
            <w:vAlign w:val="center"/>
          </w:tcPr>
          <w:p>
            <w:pPr>
              <w:jc w:val="center"/>
              <w:rPr>
                <w:rFonts w:ascii="仿宋" w:hAnsi="仿宋" w:eastAsia="仿宋"/>
                <w:sz w:val="22"/>
                <w:szCs w:val="22"/>
              </w:rPr>
            </w:pPr>
            <w:r>
              <w:rPr>
                <w:rFonts w:hint="eastAsia" w:ascii="仿宋" w:hAnsi="仿宋" w:eastAsia="仿宋"/>
                <w:sz w:val="22"/>
                <w:szCs w:val="22"/>
              </w:rPr>
              <w:t>7</w:t>
            </w:r>
          </w:p>
        </w:tc>
        <w:tc>
          <w:tcPr>
            <w:tcW w:w="473" w:type="pct"/>
            <w:vAlign w:val="center"/>
          </w:tcPr>
          <w:p>
            <w:pPr>
              <w:widowControl/>
              <w:jc w:val="center"/>
              <w:rPr>
                <w:rFonts w:ascii="仿宋" w:hAnsi="仿宋" w:eastAsia="仿宋"/>
                <w:kern w:val="0"/>
                <w:szCs w:val="21"/>
              </w:rPr>
            </w:pPr>
            <w:r>
              <w:rPr>
                <w:rFonts w:hint="eastAsia" w:ascii="仿宋" w:hAnsi="仿宋" w:eastAsia="仿宋"/>
                <w:kern w:val="0"/>
                <w:szCs w:val="21"/>
              </w:rPr>
              <w:t>S6</w:t>
            </w:r>
          </w:p>
        </w:tc>
        <w:tc>
          <w:tcPr>
            <w:tcW w:w="323" w:type="pct"/>
            <w:tcMar>
              <w:left w:w="0" w:type="dxa"/>
              <w:right w:w="0" w:type="dxa"/>
            </w:tcMar>
            <w:vAlign w:val="center"/>
          </w:tcPr>
          <w:p>
            <w:pPr>
              <w:widowControl/>
              <w:jc w:val="center"/>
              <w:rPr>
                <w:rFonts w:ascii="仿宋" w:hAnsi="仿宋" w:eastAsia="仿宋"/>
                <w:kern w:val="0"/>
                <w:szCs w:val="21"/>
              </w:rPr>
            </w:pPr>
            <w:r>
              <w:rPr>
                <w:rFonts w:hint="eastAsia" w:ascii="仿宋" w:hAnsi="仿宋" w:eastAsia="仿宋"/>
                <w:kern w:val="0"/>
                <w:szCs w:val="21"/>
              </w:rPr>
              <w:t>废机油</w:t>
            </w:r>
          </w:p>
        </w:tc>
        <w:tc>
          <w:tcPr>
            <w:tcW w:w="338" w:type="pct"/>
            <w:tcMar>
              <w:left w:w="0" w:type="dxa"/>
              <w:right w:w="0" w:type="dxa"/>
            </w:tcMar>
            <w:vAlign w:val="center"/>
          </w:tcPr>
          <w:p>
            <w:pPr>
              <w:jc w:val="center"/>
              <w:rPr>
                <w:rFonts w:ascii="仿宋" w:hAnsi="仿宋" w:eastAsia="仿宋"/>
                <w:szCs w:val="21"/>
              </w:rPr>
            </w:pPr>
            <w:r>
              <w:rPr>
                <w:rFonts w:hint="eastAsia" w:ascii="仿宋" w:hAnsi="仿宋" w:eastAsia="仿宋"/>
                <w:szCs w:val="21"/>
              </w:rPr>
              <w:t>危险废物</w:t>
            </w:r>
          </w:p>
        </w:tc>
        <w:tc>
          <w:tcPr>
            <w:tcW w:w="250" w:type="pct"/>
            <w:tcMar>
              <w:left w:w="0" w:type="dxa"/>
              <w:right w:w="0" w:type="dxa"/>
            </w:tcMar>
            <w:vAlign w:val="center"/>
          </w:tcPr>
          <w:p>
            <w:pPr>
              <w:widowControl/>
              <w:jc w:val="center"/>
              <w:rPr>
                <w:rFonts w:ascii="仿宋" w:hAnsi="仿宋" w:eastAsia="仿宋"/>
                <w:szCs w:val="21"/>
              </w:rPr>
            </w:pPr>
            <w:r>
              <w:rPr>
                <w:rFonts w:hint="eastAsia" w:ascii="仿宋" w:hAnsi="仿宋" w:eastAsia="仿宋"/>
                <w:kern w:val="0"/>
                <w:szCs w:val="21"/>
              </w:rPr>
              <w:t>维修</w:t>
            </w:r>
          </w:p>
        </w:tc>
        <w:tc>
          <w:tcPr>
            <w:tcW w:w="167" w:type="pct"/>
            <w:tcMar>
              <w:left w:w="0" w:type="dxa"/>
              <w:right w:w="0" w:type="dxa"/>
            </w:tcMar>
            <w:vAlign w:val="center"/>
          </w:tcPr>
          <w:p>
            <w:pPr>
              <w:tabs>
                <w:tab w:val="left" w:pos="3240"/>
              </w:tabs>
              <w:adjustRightInd w:val="0"/>
              <w:snapToGrid w:val="0"/>
              <w:jc w:val="center"/>
              <w:rPr>
                <w:rFonts w:ascii="仿宋" w:hAnsi="仿宋" w:eastAsia="仿宋"/>
                <w:szCs w:val="21"/>
              </w:rPr>
            </w:pPr>
            <w:r>
              <w:rPr>
                <w:rFonts w:hint="eastAsia" w:ascii="仿宋" w:hAnsi="仿宋" w:eastAsia="仿宋"/>
                <w:bCs/>
                <w:kern w:val="0"/>
                <w:szCs w:val="21"/>
              </w:rPr>
              <w:t>液</w:t>
            </w:r>
          </w:p>
        </w:tc>
        <w:tc>
          <w:tcPr>
            <w:tcW w:w="479" w:type="pct"/>
            <w:tcMar>
              <w:left w:w="0" w:type="dxa"/>
              <w:right w:w="0" w:type="dxa"/>
            </w:tcMar>
            <w:vAlign w:val="center"/>
          </w:tcPr>
          <w:p>
            <w:pPr>
              <w:tabs>
                <w:tab w:val="left" w:pos="3240"/>
              </w:tabs>
              <w:adjustRightInd w:val="0"/>
              <w:snapToGrid w:val="0"/>
              <w:jc w:val="center"/>
              <w:rPr>
                <w:rFonts w:ascii="仿宋" w:hAnsi="仿宋" w:eastAsia="仿宋"/>
                <w:szCs w:val="21"/>
              </w:rPr>
            </w:pPr>
            <w:r>
              <w:rPr>
                <w:rFonts w:hint="eastAsia" w:ascii="仿宋" w:hAnsi="仿宋" w:eastAsia="仿宋"/>
                <w:bCs/>
                <w:kern w:val="0"/>
                <w:szCs w:val="21"/>
              </w:rPr>
              <w:t>机油</w:t>
            </w:r>
          </w:p>
        </w:tc>
        <w:tc>
          <w:tcPr>
            <w:tcW w:w="261" w:type="pct"/>
            <w:vMerge w:val="continue"/>
            <w:tcMar>
              <w:left w:w="0" w:type="dxa"/>
              <w:right w:w="0" w:type="dxa"/>
            </w:tcMar>
            <w:vAlign w:val="center"/>
          </w:tcPr>
          <w:p>
            <w:pPr>
              <w:tabs>
                <w:tab w:val="left" w:pos="3240"/>
              </w:tabs>
              <w:adjustRightInd w:val="0"/>
              <w:snapToGrid w:val="0"/>
              <w:jc w:val="center"/>
              <w:rPr>
                <w:rFonts w:ascii="仿宋" w:hAnsi="仿宋" w:eastAsia="仿宋"/>
                <w:bCs/>
                <w:kern w:val="0"/>
                <w:szCs w:val="21"/>
              </w:rPr>
            </w:pPr>
          </w:p>
        </w:tc>
        <w:tc>
          <w:tcPr>
            <w:tcW w:w="214" w:type="pct"/>
            <w:vAlign w:val="center"/>
          </w:tcPr>
          <w:p>
            <w:pPr>
              <w:jc w:val="center"/>
              <w:rPr>
                <w:rFonts w:ascii="仿宋" w:hAnsi="仿宋" w:eastAsia="仿宋"/>
                <w:szCs w:val="21"/>
              </w:rPr>
            </w:pPr>
            <w:r>
              <w:rPr>
                <w:rFonts w:ascii="仿宋" w:hAnsi="仿宋" w:eastAsia="仿宋"/>
                <w:szCs w:val="21"/>
              </w:rPr>
              <w:t>T,I</w:t>
            </w:r>
          </w:p>
        </w:tc>
        <w:tc>
          <w:tcPr>
            <w:tcW w:w="464" w:type="pct"/>
            <w:gridSpan w:val="2"/>
            <w:vAlign w:val="center"/>
          </w:tcPr>
          <w:p>
            <w:pPr>
              <w:jc w:val="center"/>
              <w:rPr>
                <w:rFonts w:ascii="仿宋" w:hAnsi="仿宋" w:eastAsia="仿宋"/>
                <w:szCs w:val="21"/>
              </w:rPr>
            </w:pPr>
            <w:r>
              <w:rPr>
                <w:rFonts w:hint="eastAsia" w:ascii="仿宋" w:hAnsi="仿宋" w:eastAsia="仿宋"/>
                <w:szCs w:val="21"/>
              </w:rPr>
              <w:t>HW08</w:t>
            </w:r>
          </w:p>
        </w:tc>
        <w:tc>
          <w:tcPr>
            <w:tcW w:w="341" w:type="pct"/>
            <w:vAlign w:val="center"/>
          </w:tcPr>
          <w:p>
            <w:pPr>
              <w:jc w:val="center"/>
              <w:rPr>
                <w:rFonts w:ascii="仿宋" w:hAnsi="仿宋" w:eastAsia="仿宋"/>
                <w:szCs w:val="21"/>
              </w:rPr>
            </w:pPr>
            <w:r>
              <w:rPr>
                <w:rFonts w:hint="eastAsia" w:ascii="仿宋" w:hAnsi="仿宋" w:eastAsia="仿宋"/>
                <w:szCs w:val="21"/>
              </w:rPr>
              <w:t>900-249-08</w:t>
            </w:r>
          </w:p>
        </w:tc>
        <w:tc>
          <w:tcPr>
            <w:tcW w:w="322" w:type="pct"/>
            <w:vAlign w:val="center"/>
          </w:tcPr>
          <w:p>
            <w:pPr>
              <w:jc w:val="center"/>
              <w:rPr>
                <w:rFonts w:ascii="仿宋" w:hAnsi="仿宋" w:eastAsia="仿宋"/>
                <w:szCs w:val="21"/>
              </w:rPr>
            </w:pPr>
            <w:r>
              <w:rPr>
                <w:rFonts w:hint="eastAsia" w:ascii="仿宋" w:hAnsi="仿宋" w:eastAsia="仿宋"/>
                <w:szCs w:val="21"/>
              </w:rPr>
              <w:t>0.3</w:t>
            </w:r>
          </w:p>
        </w:tc>
        <w:tc>
          <w:tcPr>
            <w:tcW w:w="382" w:type="pct"/>
            <w:vAlign w:val="center"/>
          </w:tcPr>
          <w:p>
            <w:pPr>
              <w:jc w:val="center"/>
              <w:rPr>
                <w:rFonts w:ascii="仿宋" w:hAnsi="仿宋" w:eastAsia="仿宋"/>
                <w:szCs w:val="21"/>
              </w:rPr>
            </w:pPr>
            <w:r>
              <w:rPr>
                <w:rFonts w:hint="eastAsia" w:ascii="仿宋" w:hAnsi="仿宋" w:eastAsia="仿宋"/>
                <w:szCs w:val="21"/>
              </w:rPr>
              <w:t>每天</w:t>
            </w:r>
          </w:p>
        </w:tc>
        <w:tc>
          <w:tcPr>
            <w:tcW w:w="382" w:type="pct"/>
            <w:vMerge w:val="continue"/>
            <w:vAlign w:val="center"/>
          </w:tcPr>
          <w:p>
            <w:pPr>
              <w:jc w:val="center"/>
              <w:rPr>
                <w:rFonts w:ascii="仿宋" w:hAnsi="仿宋" w:eastAsia="仿宋"/>
                <w:szCs w:val="21"/>
              </w:rPr>
            </w:pPr>
          </w:p>
        </w:tc>
        <w:tc>
          <w:tcPr>
            <w:tcW w:w="379" w:type="pct"/>
            <w:vAlign w:val="center"/>
          </w:tcPr>
          <w:p>
            <w:pPr>
              <w:jc w:val="center"/>
              <w:rPr>
                <w:rFonts w:ascii="仿宋" w:hAnsi="仿宋" w:eastAsia="仿宋"/>
                <w:szCs w:val="21"/>
              </w:rPr>
            </w:pPr>
            <w:r>
              <w:rPr>
                <w:rFonts w:hint="eastAsia" w:ascii="仿宋" w:hAnsi="仿宋" w:eastAsia="仿宋"/>
                <w:szCs w:val="21"/>
              </w:rPr>
              <w:t>0</w:t>
            </w:r>
          </w:p>
        </w:tc>
      </w:tr>
    </w:tbl>
    <w:p>
      <w:pPr>
        <w:pStyle w:val="45"/>
        <w:rPr>
          <w:highlight w:val="yellow"/>
        </w:rPr>
      </w:pPr>
    </w:p>
    <w:p>
      <w:pPr>
        <w:pStyle w:val="45"/>
        <w:rPr>
          <w:highlight w:val="yellow"/>
        </w:rPr>
        <w:sectPr>
          <w:pgSz w:w="16838" w:h="11906" w:orient="landscape"/>
          <w:pgMar w:top="1797" w:right="1440" w:bottom="1797" w:left="1440" w:header="539" w:footer="992" w:gutter="0"/>
          <w:cols w:space="720" w:num="1"/>
          <w:docGrid w:linePitch="286" w:charSpace="0"/>
        </w:sectPr>
      </w:pPr>
    </w:p>
    <w:p>
      <w:pPr>
        <w:keepNext/>
        <w:widowControl/>
        <w:numPr>
          <w:ilvl w:val="3"/>
          <w:numId w:val="1"/>
        </w:numPr>
        <w:adjustRightInd w:val="0"/>
        <w:snapToGrid w:val="0"/>
        <w:spacing w:after="120" w:afterLines="50" w:line="500" w:lineRule="exact"/>
        <w:ind w:left="0" w:firstLine="0"/>
        <w:jc w:val="left"/>
        <w:outlineLvl w:val="3"/>
        <w:rPr>
          <w:rFonts w:eastAsia="仿宋_GB2312"/>
          <w:b/>
          <w:bCs/>
          <w:sz w:val="28"/>
          <w:szCs w:val="28"/>
        </w:rPr>
      </w:pPr>
      <w:r>
        <w:rPr>
          <w:rFonts w:eastAsia="仿宋_GB2312"/>
          <w:b/>
          <w:bCs/>
          <w:sz w:val="28"/>
          <w:szCs w:val="28"/>
        </w:rPr>
        <w:t>固废环境影响分析</w:t>
      </w:r>
    </w:p>
    <w:p>
      <w:pPr>
        <w:spacing w:line="500" w:lineRule="exact"/>
        <w:ind w:firstLine="560" w:firstLineChars="200"/>
        <w:rPr>
          <w:rFonts w:eastAsia="仿宋_GB2312"/>
          <w:kern w:val="44"/>
          <w:sz w:val="28"/>
          <w:szCs w:val="28"/>
        </w:rPr>
      </w:pPr>
      <w:r>
        <w:rPr>
          <w:rFonts w:eastAsia="仿宋_GB2312"/>
          <w:kern w:val="44"/>
          <w:sz w:val="28"/>
          <w:szCs w:val="28"/>
        </w:rPr>
        <w:t>本项目产生的</w:t>
      </w:r>
      <w:r>
        <w:rPr>
          <w:rFonts w:hint="eastAsia" w:eastAsia="仿宋_GB2312"/>
          <w:kern w:val="44"/>
          <w:sz w:val="28"/>
          <w:szCs w:val="28"/>
        </w:rPr>
        <w:t>生活垃圾</w:t>
      </w:r>
      <w:r>
        <w:rPr>
          <w:rFonts w:eastAsia="仿宋_GB2312"/>
          <w:kern w:val="44"/>
          <w:sz w:val="28"/>
          <w:szCs w:val="28"/>
        </w:rPr>
        <w:t>由环卫部门统一收集处理</w:t>
      </w:r>
      <w:r>
        <w:rPr>
          <w:rFonts w:hint="eastAsia" w:eastAsia="仿宋_GB2312"/>
          <w:kern w:val="44"/>
          <w:sz w:val="28"/>
          <w:szCs w:val="28"/>
        </w:rPr>
        <w:t>；废胶带</w:t>
      </w:r>
      <w:r>
        <w:rPr>
          <w:rFonts w:eastAsia="仿宋_GB2312"/>
          <w:kern w:val="44"/>
          <w:sz w:val="28"/>
          <w:szCs w:val="28"/>
        </w:rPr>
        <w:t>外售综合利用</w:t>
      </w:r>
      <w:r>
        <w:rPr>
          <w:rFonts w:hint="eastAsia" w:eastAsia="仿宋_GB2312"/>
          <w:kern w:val="44"/>
          <w:sz w:val="28"/>
          <w:szCs w:val="28"/>
        </w:rPr>
        <w:t>；废胶水、废清洗液、废原料桶、废抹布手套及废机油交由</w:t>
      </w:r>
      <w:r>
        <w:rPr>
          <w:rFonts w:eastAsia="仿宋_GB2312"/>
          <w:kern w:val="44"/>
          <w:sz w:val="28"/>
          <w:szCs w:val="28"/>
        </w:rPr>
        <w:t>有资质单位处置。</w:t>
      </w:r>
    </w:p>
    <w:p>
      <w:pPr>
        <w:spacing w:line="500" w:lineRule="exact"/>
        <w:ind w:firstLine="560" w:firstLineChars="200"/>
        <w:rPr>
          <w:rFonts w:eastAsia="仿宋_GB2312"/>
          <w:kern w:val="44"/>
          <w:sz w:val="28"/>
          <w:szCs w:val="28"/>
        </w:rPr>
      </w:pPr>
      <w:r>
        <w:rPr>
          <w:rFonts w:eastAsia="仿宋_GB2312"/>
          <w:kern w:val="44"/>
          <w:sz w:val="28"/>
          <w:szCs w:val="28"/>
        </w:rPr>
        <w:t>本项目固体废物处置率100%，对周围环境无直接影响</w:t>
      </w:r>
      <w:r>
        <w:rPr>
          <w:rFonts w:hint="eastAsia" w:eastAsia="仿宋_GB2312"/>
          <w:kern w:val="44"/>
          <w:sz w:val="28"/>
          <w:szCs w:val="28"/>
        </w:rPr>
        <w:t>。</w:t>
      </w:r>
      <w:r>
        <w:rPr>
          <w:rFonts w:eastAsia="仿宋_GB2312"/>
          <w:kern w:val="44"/>
          <w:sz w:val="28"/>
          <w:szCs w:val="28"/>
        </w:rPr>
        <w:t>固废管理过程可能造成的环境影响如下：</w:t>
      </w:r>
    </w:p>
    <w:p>
      <w:pPr>
        <w:spacing w:line="500" w:lineRule="exact"/>
        <w:ind w:firstLine="560" w:firstLineChars="200"/>
        <w:rPr>
          <w:rFonts w:eastAsia="仿宋_GB2312"/>
          <w:sz w:val="28"/>
          <w:szCs w:val="28"/>
        </w:rPr>
      </w:pPr>
      <w:r>
        <w:rPr>
          <w:rFonts w:hint="eastAsia" w:eastAsia="仿宋_GB2312" w:cs="宋体"/>
          <w:sz w:val="28"/>
          <w:szCs w:val="28"/>
        </w:rPr>
        <w:t>①</w:t>
      </w:r>
      <w:r>
        <w:rPr>
          <w:rFonts w:eastAsia="仿宋_GB2312"/>
          <w:sz w:val="28"/>
          <w:szCs w:val="28"/>
        </w:rPr>
        <w:t>固体废物的分类收集、贮存，危险废物与一般工业固体废物、生活垃圾的混放对环境的影响</w:t>
      </w:r>
    </w:p>
    <w:p>
      <w:pPr>
        <w:spacing w:line="500" w:lineRule="exact"/>
        <w:ind w:firstLine="560" w:firstLineChars="200"/>
        <w:rPr>
          <w:rFonts w:eastAsia="仿宋_GB2312"/>
          <w:sz w:val="28"/>
          <w:szCs w:val="28"/>
        </w:rPr>
      </w:pPr>
      <w:r>
        <w:rPr>
          <w:rFonts w:eastAsia="仿宋_GB2312"/>
          <w:sz w:val="28"/>
          <w:szCs w:val="28"/>
        </w:rPr>
        <w:t>本项目危险废物中含有有毒、易燃性物质，若与一般工业固体废物或生活垃圾混放，会对其造成污染，受污染的固体废物若按照原有的处置方式进行处理（回收、填埋、焚烧），可能会对大气环境、水环境以及土壤造成污染；若误将危险废物当做一般工业固体废物或生活垃圾进行处理，会对大气环境、水环境以及土壤造成污染；此外，危险废物与一般工业固体废物、生活垃圾的混放会加大发生火灾事故的风险，从而造成对大气环境、水环境以及土壤的污染。</w:t>
      </w:r>
    </w:p>
    <w:p>
      <w:pPr>
        <w:spacing w:line="500" w:lineRule="exact"/>
        <w:ind w:firstLine="560" w:firstLineChars="200"/>
        <w:rPr>
          <w:rFonts w:eastAsia="仿宋_GB2312"/>
          <w:sz w:val="28"/>
          <w:szCs w:val="28"/>
        </w:rPr>
      </w:pPr>
      <w:r>
        <w:rPr>
          <w:rFonts w:hint="eastAsia" w:eastAsia="仿宋_GB2312" w:cs="宋体"/>
          <w:sz w:val="28"/>
          <w:szCs w:val="28"/>
        </w:rPr>
        <w:t>②</w:t>
      </w:r>
      <w:r>
        <w:rPr>
          <w:rFonts w:eastAsia="仿宋_GB2312"/>
          <w:sz w:val="28"/>
          <w:szCs w:val="28"/>
        </w:rPr>
        <w:t>包装、运输过程中散落、泄漏的环境影响</w:t>
      </w:r>
    </w:p>
    <w:p>
      <w:pPr>
        <w:spacing w:line="500" w:lineRule="exact"/>
        <w:ind w:firstLine="560" w:firstLineChars="200"/>
        <w:rPr>
          <w:rFonts w:eastAsia="仿宋_GB2312"/>
          <w:sz w:val="28"/>
          <w:szCs w:val="28"/>
        </w:rPr>
      </w:pPr>
      <w:r>
        <w:rPr>
          <w:rFonts w:eastAsia="仿宋_GB2312"/>
          <w:sz w:val="28"/>
          <w:szCs w:val="28"/>
        </w:rPr>
        <w:t>本项目危险废物在包装、运输过程中发生散落、泄露时，若接触土壤或进入水体，则会对泄露处的水环境和土壤造成污染；本项目危险废物中含有有毒、易燃性物质，散落、泄露事故发生后，若未及时处置或在种种外力作用下发生火灾，会造成次生、伴生的环境污染。</w:t>
      </w:r>
    </w:p>
    <w:p>
      <w:pPr>
        <w:spacing w:line="500" w:lineRule="exact"/>
        <w:ind w:firstLine="560" w:firstLineChars="200"/>
        <w:rPr>
          <w:rFonts w:eastAsia="仿宋_GB2312"/>
          <w:sz w:val="28"/>
          <w:szCs w:val="28"/>
        </w:rPr>
      </w:pPr>
      <w:r>
        <w:rPr>
          <w:rFonts w:hint="eastAsia" w:eastAsia="仿宋_GB2312" w:cs="宋体"/>
          <w:sz w:val="28"/>
          <w:szCs w:val="28"/>
        </w:rPr>
        <w:t>③</w:t>
      </w:r>
      <w:r>
        <w:rPr>
          <w:rFonts w:eastAsia="仿宋_GB2312"/>
          <w:sz w:val="28"/>
          <w:szCs w:val="28"/>
        </w:rPr>
        <w:t>堆放、贮存场所的环境影响</w:t>
      </w:r>
    </w:p>
    <w:p>
      <w:pPr>
        <w:spacing w:line="500" w:lineRule="exact"/>
        <w:ind w:firstLine="560" w:firstLineChars="200"/>
        <w:rPr>
          <w:rFonts w:eastAsia="仿宋_GB2312"/>
          <w:sz w:val="28"/>
          <w:szCs w:val="28"/>
        </w:rPr>
      </w:pPr>
      <w:r>
        <w:rPr>
          <w:rFonts w:eastAsia="仿宋_GB2312"/>
          <w:sz w:val="28"/>
          <w:szCs w:val="28"/>
        </w:rPr>
        <w:t>本项目危险废物呈固态、液态，其中含有有毒、易燃性物质。若是堆放、贮存场所未按照要求严格做到防火、防雨、防扬散、防渗漏或堆场内的危险废物未得到及时清运，可能会造成泄露、火灾等环境事故，从而造成对大气环境、水环境以及土壤的污染。</w:t>
      </w:r>
    </w:p>
    <w:p>
      <w:pPr>
        <w:spacing w:line="500" w:lineRule="exact"/>
        <w:ind w:firstLine="560" w:firstLineChars="200"/>
        <w:rPr>
          <w:rFonts w:eastAsia="仿宋_GB2312"/>
          <w:sz w:val="28"/>
          <w:szCs w:val="28"/>
        </w:rPr>
      </w:pPr>
      <w:r>
        <w:rPr>
          <w:rFonts w:hint="eastAsia" w:eastAsia="仿宋_GB2312" w:cs="宋体"/>
          <w:sz w:val="28"/>
          <w:szCs w:val="28"/>
        </w:rPr>
        <w:t>⑷</w:t>
      </w:r>
      <w:r>
        <w:rPr>
          <w:rFonts w:eastAsia="仿宋_GB2312"/>
          <w:sz w:val="28"/>
          <w:szCs w:val="28"/>
        </w:rPr>
        <w:t>综合利用、处理、处置的环境影响</w:t>
      </w:r>
    </w:p>
    <w:p>
      <w:pPr>
        <w:spacing w:line="500" w:lineRule="exact"/>
        <w:ind w:firstLine="560" w:firstLineChars="200"/>
        <w:rPr>
          <w:rFonts w:eastAsia="仿宋_GB2312"/>
          <w:kern w:val="44"/>
          <w:sz w:val="28"/>
          <w:szCs w:val="28"/>
        </w:rPr>
      </w:pPr>
      <w:r>
        <w:rPr>
          <w:rFonts w:eastAsia="仿宋_GB2312"/>
          <w:sz w:val="28"/>
          <w:szCs w:val="28"/>
        </w:rPr>
        <w:t>本项目危险废物均委托有资质单位处置，各种危险废物若未做好分类收集、有效处理，可能会对大气、土壤和水环境造成二次污染。</w:t>
      </w:r>
    </w:p>
    <w:p>
      <w:pPr>
        <w:keepNext/>
        <w:numPr>
          <w:ilvl w:val="2"/>
          <w:numId w:val="1"/>
        </w:numPr>
        <w:tabs>
          <w:tab w:val="left" w:pos="709"/>
        </w:tabs>
        <w:spacing w:after="120" w:afterLines="50" w:line="500" w:lineRule="exact"/>
        <w:ind w:left="0" w:firstLine="0"/>
        <w:outlineLvl w:val="2"/>
        <w:rPr>
          <w:rFonts w:eastAsia="仿宋_GB2312"/>
          <w:b/>
          <w:sz w:val="28"/>
          <w:szCs w:val="28"/>
        </w:rPr>
      </w:pPr>
      <w:r>
        <w:rPr>
          <w:rFonts w:eastAsia="仿宋_GB2312"/>
          <w:b/>
          <w:sz w:val="28"/>
          <w:szCs w:val="28"/>
        </w:rPr>
        <w:t>地下水环境影响</w:t>
      </w:r>
      <w:r>
        <w:rPr>
          <w:rFonts w:hint="eastAsia" w:eastAsia="仿宋_GB2312"/>
          <w:b/>
          <w:sz w:val="28"/>
          <w:szCs w:val="28"/>
        </w:rPr>
        <w:t>评价</w:t>
      </w:r>
    </w:p>
    <w:p>
      <w:pPr>
        <w:keepNext/>
        <w:widowControl/>
        <w:numPr>
          <w:ilvl w:val="3"/>
          <w:numId w:val="1"/>
        </w:numPr>
        <w:tabs>
          <w:tab w:val="left" w:pos="0"/>
        </w:tabs>
        <w:adjustRightInd w:val="0"/>
        <w:snapToGrid w:val="0"/>
        <w:spacing w:after="120" w:afterLines="50" w:line="500" w:lineRule="exact"/>
        <w:ind w:left="0" w:firstLine="0"/>
        <w:jc w:val="left"/>
        <w:outlineLvl w:val="3"/>
        <w:rPr>
          <w:rFonts w:eastAsia="仿宋_GB2312"/>
          <w:b/>
          <w:bCs/>
          <w:sz w:val="28"/>
          <w:szCs w:val="28"/>
        </w:rPr>
      </w:pPr>
      <w:r>
        <w:rPr>
          <w:rFonts w:eastAsia="仿宋_GB2312"/>
          <w:b/>
          <w:bCs/>
          <w:sz w:val="28"/>
          <w:szCs w:val="28"/>
        </w:rPr>
        <w:t>区域水文地质条件</w:t>
      </w:r>
    </w:p>
    <w:p>
      <w:pPr>
        <w:spacing w:line="500" w:lineRule="exact"/>
        <w:ind w:firstLine="560" w:firstLineChars="200"/>
        <w:rPr>
          <w:rFonts w:eastAsia="仿宋_GB2312"/>
          <w:sz w:val="28"/>
          <w:szCs w:val="28"/>
        </w:rPr>
      </w:pPr>
      <w:r>
        <w:rPr>
          <w:rFonts w:eastAsia="仿宋_GB2312"/>
          <w:sz w:val="28"/>
          <w:szCs w:val="28"/>
        </w:rPr>
        <w:t>一、地下水类型</w:t>
      </w:r>
    </w:p>
    <w:p>
      <w:pPr>
        <w:spacing w:line="500" w:lineRule="exact"/>
        <w:ind w:firstLine="560" w:firstLineChars="200"/>
        <w:rPr>
          <w:rFonts w:eastAsia="仿宋_GB2312"/>
          <w:sz w:val="28"/>
          <w:szCs w:val="28"/>
        </w:rPr>
      </w:pPr>
      <w:r>
        <w:rPr>
          <w:rFonts w:eastAsia="仿宋_GB2312"/>
          <w:sz w:val="28"/>
          <w:szCs w:val="28"/>
        </w:rPr>
        <w:t>根据地下水的赋存条件等，可将区内地下水划分为三种类型，即松散岩类孔隙水、碳酸盐岩类裂隙溶洞水、基岩裂隙水。</w:t>
      </w:r>
    </w:p>
    <w:p>
      <w:pPr>
        <w:spacing w:line="500" w:lineRule="exact"/>
        <w:ind w:firstLine="560" w:firstLineChars="200"/>
        <w:rPr>
          <w:rFonts w:eastAsia="仿宋_GB2312"/>
          <w:sz w:val="28"/>
          <w:szCs w:val="28"/>
        </w:rPr>
      </w:pPr>
      <w:r>
        <w:rPr>
          <w:rFonts w:eastAsia="仿宋_GB2312"/>
          <w:sz w:val="28"/>
          <w:szCs w:val="28"/>
        </w:rPr>
        <w:t>1、松散岩类孔隙水</w:t>
      </w:r>
    </w:p>
    <w:p>
      <w:pPr>
        <w:spacing w:line="500" w:lineRule="exact"/>
        <w:ind w:firstLine="560" w:firstLineChars="200"/>
        <w:rPr>
          <w:rFonts w:eastAsia="仿宋_GB2312"/>
          <w:sz w:val="28"/>
          <w:szCs w:val="28"/>
        </w:rPr>
      </w:pPr>
      <w:r>
        <w:rPr>
          <w:rFonts w:eastAsia="仿宋_GB2312"/>
          <w:sz w:val="28"/>
          <w:szCs w:val="28"/>
        </w:rPr>
        <w:t>松散岩类孔隙水是常州市区主要地下水类型，根据含水层时代、成因、埋藏条件以及水力联系等，自上而下可依次分为孔隙潜水和第</w:t>
      </w:r>
      <w:r>
        <w:rPr>
          <w:rFonts w:hint="eastAsia" w:eastAsia="仿宋_GB2312" w:cs="宋体"/>
          <w:sz w:val="28"/>
          <w:szCs w:val="28"/>
        </w:rPr>
        <w:t>Ⅰ</w:t>
      </w:r>
      <w:r>
        <w:rPr>
          <w:rFonts w:eastAsia="仿宋_GB2312"/>
          <w:sz w:val="28"/>
          <w:szCs w:val="28"/>
        </w:rPr>
        <w:t>、第</w:t>
      </w:r>
      <w:r>
        <w:rPr>
          <w:rFonts w:hint="eastAsia" w:eastAsia="仿宋_GB2312" w:cs="宋体"/>
          <w:sz w:val="28"/>
          <w:szCs w:val="28"/>
        </w:rPr>
        <w:t>Ⅱ</w:t>
      </w:r>
      <w:r>
        <w:rPr>
          <w:rFonts w:eastAsia="仿宋_GB2312"/>
          <w:sz w:val="28"/>
          <w:szCs w:val="28"/>
        </w:rPr>
        <w:t>、第</w:t>
      </w:r>
      <w:r>
        <w:rPr>
          <w:rFonts w:hint="eastAsia" w:eastAsia="仿宋_GB2312" w:cs="宋体"/>
          <w:sz w:val="28"/>
          <w:szCs w:val="28"/>
        </w:rPr>
        <w:t>Ⅲ</w:t>
      </w:r>
      <w:r>
        <w:rPr>
          <w:rFonts w:eastAsia="仿宋_GB2312"/>
          <w:sz w:val="28"/>
          <w:szCs w:val="28"/>
        </w:rPr>
        <w:t>承压含水层（组）。</w:t>
      </w:r>
    </w:p>
    <w:p>
      <w:pPr>
        <w:spacing w:line="500" w:lineRule="exact"/>
        <w:ind w:firstLine="560" w:firstLineChars="200"/>
        <w:rPr>
          <w:rFonts w:eastAsia="仿宋_GB2312"/>
          <w:sz w:val="28"/>
          <w:szCs w:val="28"/>
        </w:rPr>
      </w:pPr>
      <w:r>
        <w:rPr>
          <w:rFonts w:hint="eastAsia" w:eastAsia="仿宋_GB2312" w:cs="宋体"/>
          <w:sz w:val="28"/>
          <w:szCs w:val="28"/>
        </w:rPr>
        <w:t>⑴</w:t>
      </w:r>
      <w:r>
        <w:rPr>
          <w:rFonts w:eastAsia="仿宋_GB2312"/>
          <w:sz w:val="28"/>
          <w:szCs w:val="28"/>
        </w:rPr>
        <w:t>潜水含水层（组）</w:t>
      </w:r>
    </w:p>
    <w:p>
      <w:pPr>
        <w:spacing w:line="500" w:lineRule="exact"/>
        <w:ind w:firstLine="560" w:firstLineChars="200"/>
        <w:rPr>
          <w:rFonts w:eastAsia="仿宋_GB2312"/>
          <w:sz w:val="28"/>
          <w:szCs w:val="28"/>
        </w:rPr>
      </w:pPr>
      <w:r>
        <w:rPr>
          <w:rFonts w:eastAsia="仿宋_GB2312"/>
          <w:sz w:val="28"/>
          <w:szCs w:val="28"/>
        </w:rPr>
        <w:t>孔隙潜水在区内广泛分布，赋存于近地表的土层中，含水层岩性以第四系全新统（Q4）和上更新统冲湖积相灰黄、黄褐色粉质粘土为主，厚度一般在4-12m之间。赋水性较差，单井涌水量一般3-10m</w:t>
      </w:r>
      <w:r>
        <w:rPr>
          <w:rFonts w:eastAsia="仿宋_GB2312"/>
          <w:sz w:val="28"/>
          <w:szCs w:val="28"/>
          <w:vertAlign w:val="superscript"/>
        </w:rPr>
        <w:t>3</w:t>
      </w:r>
      <w:r>
        <w:rPr>
          <w:rFonts w:eastAsia="仿宋_GB2312"/>
          <w:sz w:val="28"/>
          <w:szCs w:val="28"/>
        </w:rPr>
        <w:t>/d。水化学类型主要为HCO</w:t>
      </w:r>
      <w:r>
        <w:rPr>
          <w:rFonts w:eastAsia="仿宋_GB2312"/>
          <w:sz w:val="28"/>
          <w:szCs w:val="28"/>
          <w:vertAlign w:val="subscript"/>
        </w:rPr>
        <w:t>3</w:t>
      </w:r>
      <w:r>
        <w:rPr>
          <w:rFonts w:eastAsia="仿宋_GB2312"/>
          <w:sz w:val="28"/>
          <w:szCs w:val="28"/>
        </w:rPr>
        <w:t>—Ca•Na、HCO</w:t>
      </w:r>
      <w:r>
        <w:rPr>
          <w:rFonts w:eastAsia="仿宋_GB2312"/>
          <w:sz w:val="28"/>
          <w:szCs w:val="28"/>
          <w:vertAlign w:val="subscript"/>
        </w:rPr>
        <w:t>3</w:t>
      </w:r>
      <w:r>
        <w:rPr>
          <w:rFonts w:eastAsia="仿宋_GB2312"/>
          <w:sz w:val="28"/>
          <w:szCs w:val="28"/>
        </w:rPr>
        <w:t>•Cl—Ca•Na型及HCO</w:t>
      </w:r>
      <w:r>
        <w:rPr>
          <w:rFonts w:eastAsia="仿宋_GB2312"/>
          <w:sz w:val="28"/>
          <w:szCs w:val="28"/>
          <w:vertAlign w:val="subscript"/>
        </w:rPr>
        <w:t>3</w:t>
      </w:r>
      <w:r>
        <w:rPr>
          <w:rFonts w:eastAsia="仿宋_GB2312"/>
          <w:sz w:val="28"/>
          <w:szCs w:val="28"/>
        </w:rPr>
        <w:t>—Ca•Mg型，矿化度一般小于1g/L。水位埋深一般1-3m，其动态受大气降水和地表水影响，随季节变化而波动，丰水期埋深较浅，枯水季节埋深较大，年变幅1m左右。</w:t>
      </w:r>
    </w:p>
    <w:p>
      <w:pPr>
        <w:spacing w:line="500" w:lineRule="exact"/>
        <w:ind w:firstLine="560" w:firstLineChars="200"/>
        <w:rPr>
          <w:rFonts w:eastAsia="仿宋_GB2312"/>
          <w:sz w:val="28"/>
          <w:szCs w:val="28"/>
        </w:rPr>
      </w:pPr>
      <w:r>
        <w:rPr>
          <w:rFonts w:eastAsia="仿宋_GB2312"/>
          <w:sz w:val="28"/>
          <w:szCs w:val="28"/>
        </w:rPr>
        <w:t>区内民井大多取用该层地下水，主要用于生活洗涤。</w:t>
      </w:r>
    </w:p>
    <w:p>
      <w:pPr>
        <w:spacing w:line="500" w:lineRule="exact"/>
        <w:ind w:firstLine="560" w:firstLineChars="200"/>
        <w:rPr>
          <w:rFonts w:eastAsia="仿宋_GB2312"/>
          <w:sz w:val="28"/>
          <w:szCs w:val="28"/>
        </w:rPr>
      </w:pPr>
      <w:r>
        <w:rPr>
          <w:rFonts w:hint="eastAsia" w:eastAsia="仿宋_GB2312" w:cs="宋体"/>
          <w:sz w:val="28"/>
          <w:szCs w:val="28"/>
        </w:rPr>
        <w:t>⑵</w:t>
      </w:r>
      <w:r>
        <w:rPr>
          <w:rFonts w:eastAsia="仿宋_GB2312"/>
          <w:sz w:val="28"/>
          <w:szCs w:val="28"/>
        </w:rPr>
        <w:t>第</w:t>
      </w:r>
      <w:r>
        <w:rPr>
          <w:rFonts w:hint="eastAsia" w:eastAsia="仿宋_GB2312" w:cs="宋体"/>
          <w:sz w:val="28"/>
          <w:szCs w:val="28"/>
        </w:rPr>
        <w:t>Ⅰ</w:t>
      </w:r>
      <w:r>
        <w:rPr>
          <w:rFonts w:eastAsia="仿宋_GB2312"/>
          <w:sz w:val="28"/>
          <w:szCs w:val="28"/>
        </w:rPr>
        <w:t>承压含水层（组）</w:t>
      </w:r>
    </w:p>
    <w:p>
      <w:pPr>
        <w:spacing w:line="500" w:lineRule="exact"/>
        <w:ind w:firstLine="560" w:firstLineChars="200"/>
        <w:rPr>
          <w:rFonts w:eastAsia="仿宋_GB2312"/>
          <w:sz w:val="28"/>
          <w:szCs w:val="28"/>
        </w:rPr>
      </w:pPr>
      <w:r>
        <w:rPr>
          <w:rFonts w:eastAsia="仿宋_GB2312"/>
          <w:sz w:val="28"/>
          <w:szCs w:val="28"/>
        </w:rPr>
        <w:t>除孟河镇、焦溪-横山桥、潘家镇南部环太湖丘陵前沿地带缺失外，广泛分布于平原区。含水层岩性主要为上更新统冲积、冲湖积相灰-灰黄色粉砂、细砂、粉土组成。含水层呈多层状结构特点，一般由1-3个砂层组成，依据砂层的展布规律可分为上下两段：上段砂层顶板埋深多在10m起浅，起伏变化不大，含水层厚度多在5-15m之间，大于15m的砂层主要分布在北部沿江带及中部厚余-西林-龙虎塘一线，该层水与上伏潜水联系密切，具有微承压性质。牛塘—横山桥以北砂层岩性以粉砂为主，该线以南砂层岩性多为粉土或粉土和粉砂互层；下段砂层顶板埋深多在25-35m，北部沿江带岩性多为粉细砂、中细砂，砂层厚度较大，一般在15-30m之间，局部地段与下覆第</w:t>
      </w:r>
      <w:r>
        <w:rPr>
          <w:rFonts w:hint="eastAsia" w:eastAsia="仿宋_GB2312" w:cs="宋体"/>
          <w:sz w:val="28"/>
          <w:szCs w:val="28"/>
        </w:rPr>
        <w:t>Ⅱ</w:t>
      </w:r>
      <w:r>
        <w:rPr>
          <w:rFonts w:eastAsia="仿宋_GB2312"/>
          <w:sz w:val="28"/>
          <w:szCs w:val="28"/>
        </w:rPr>
        <w:t>承压含水层相通。南部平原区砂层的连续性较差，多呈透镜体状分布，岩性以粉土、粉砂为主，砂层厚度一般小于10m。</w:t>
      </w:r>
    </w:p>
    <w:p>
      <w:pPr>
        <w:spacing w:line="500" w:lineRule="exact"/>
        <w:ind w:firstLine="560" w:firstLineChars="200"/>
        <w:rPr>
          <w:rFonts w:eastAsia="仿宋_GB2312"/>
          <w:sz w:val="28"/>
          <w:szCs w:val="28"/>
        </w:rPr>
      </w:pPr>
      <w:r>
        <w:rPr>
          <w:rFonts w:eastAsia="仿宋_GB2312"/>
          <w:sz w:val="28"/>
          <w:szCs w:val="28"/>
        </w:rPr>
        <w:t>总体来看，含水层厚度及富水性存在从东西两侧向中部、北部厚度增大、富水性渐好的变化规律。北部魏村、新桥、龙虎塘一线厚度20-40m，富水性较好，单井涌水量大于500m</w:t>
      </w:r>
      <w:r>
        <w:rPr>
          <w:rFonts w:eastAsia="仿宋_GB2312"/>
          <w:sz w:val="28"/>
          <w:szCs w:val="28"/>
          <w:vertAlign w:val="superscript"/>
        </w:rPr>
        <w:t>3</w:t>
      </w:r>
      <w:r>
        <w:rPr>
          <w:rFonts w:eastAsia="仿宋_GB2312"/>
          <w:sz w:val="28"/>
          <w:szCs w:val="28"/>
        </w:rPr>
        <w:t>/d；常州市区及南部地区厚度15-25m，单井涌水量在300-500m</w:t>
      </w:r>
      <w:r>
        <w:rPr>
          <w:rFonts w:eastAsia="仿宋_GB2312"/>
          <w:sz w:val="28"/>
          <w:szCs w:val="28"/>
          <w:vertAlign w:val="superscript"/>
        </w:rPr>
        <w:t>3</w:t>
      </w:r>
      <w:r>
        <w:rPr>
          <w:rFonts w:eastAsia="仿宋_GB2312"/>
          <w:sz w:val="28"/>
          <w:szCs w:val="28"/>
        </w:rPr>
        <w:t>/d之间；西北部孟河-奔牛-邹区以西、西南部湟里、东部横山桥—遥观—前黄以东含水层厚度多小于15m，单井涌水量小于300m</w:t>
      </w:r>
      <w:r>
        <w:rPr>
          <w:rFonts w:eastAsia="仿宋_GB2312"/>
          <w:sz w:val="28"/>
          <w:szCs w:val="28"/>
          <w:vertAlign w:val="superscript"/>
        </w:rPr>
        <w:t>3</w:t>
      </w:r>
      <w:r>
        <w:rPr>
          <w:rFonts w:eastAsia="仿宋_GB2312"/>
          <w:sz w:val="28"/>
          <w:szCs w:val="28"/>
        </w:rPr>
        <w:t>/d。</w:t>
      </w:r>
    </w:p>
    <w:p>
      <w:pPr>
        <w:spacing w:line="500" w:lineRule="exact"/>
        <w:ind w:firstLine="560" w:firstLineChars="200"/>
        <w:rPr>
          <w:rFonts w:eastAsia="仿宋_GB2312"/>
          <w:sz w:val="28"/>
          <w:szCs w:val="28"/>
        </w:rPr>
      </w:pPr>
      <w:r>
        <w:rPr>
          <w:rFonts w:eastAsia="仿宋_GB2312"/>
          <w:sz w:val="28"/>
          <w:szCs w:val="28"/>
        </w:rPr>
        <w:t>第</w:t>
      </w:r>
      <w:r>
        <w:rPr>
          <w:rFonts w:hint="eastAsia" w:eastAsia="仿宋_GB2312" w:cs="宋体"/>
          <w:sz w:val="28"/>
          <w:szCs w:val="28"/>
        </w:rPr>
        <w:t>Ⅰ</w:t>
      </w:r>
      <w:r>
        <w:rPr>
          <w:rFonts w:eastAsia="仿宋_GB2312"/>
          <w:sz w:val="28"/>
          <w:szCs w:val="28"/>
        </w:rPr>
        <w:t>承压水水化学类型以HCO</w:t>
      </w:r>
      <w:r>
        <w:rPr>
          <w:rFonts w:eastAsia="仿宋_GB2312"/>
          <w:sz w:val="28"/>
          <w:szCs w:val="28"/>
          <w:vertAlign w:val="subscript"/>
        </w:rPr>
        <w:t>3</w:t>
      </w:r>
      <w:r>
        <w:rPr>
          <w:rFonts w:eastAsia="仿宋_GB2312"/>
          <w:sz w:val="28"/>
          <w:szCs w:val="28"/>
        </w:rPr>
        <w:t>—Ca型、HCO</w:t>
      </w:r>
      <w:r>
        <w:rPr>
          <w:rFonts w:eastAsia="仿宋_GB2312"/>
          <w:sz w:val="28"/>
          <w:szCs w:val="28"/>
          <w:vertAlign w:val="subscript"/>
        </w:rPr>
        <w:t>3</w:t>
      </w:r>
      <w:r>
        <w:rPr>
          <w:rFonts w:eastAsia="仿宋_GB2312"/>
          <w:sz w:val="28"/>
          <w:szCs w:val="28"/>
        </w:rPr>
        <w:t>—Ca•Na型为主，矿化度一般小于1.0g/L。</w:t>
      </w:r>
    </w:p>
    <w:p>
      <w:pPr>
        <w:spacing w:line="500" w:lineRule="exact"/>
        <w:ind w:firstLine="560" w:firstLineChars="200"/>
        <w:rPr>
          <w:rFonts w:eastAsia="仿宋_GB2312"/>
          <w:sz w:val="28"/>
          <w:szCs w:val="28"/>
        </w:rPr>
      </w:pPr>
      <w:r>
        <w:rPr>
          <w:rFonts w:hint="eastAsia" w:eastAsia="仿宋_GB2312" w:cs="宋体"/>
          <w:sz w:val="28"/>
          <w:szCs w:val="28"/>
        </w:rPr>
        <w:t>⑶</w:t>
      </w:r>
      <w:r>
        <w:rPr>
          <w:rFonts w:eastAsia="仿宋_GB2312"/>
          <w:sz w:val="28"/>
          <w:szCs w:val="28"/>
        </w:rPr>
        <w:t>第</w:t>
      </w:r>
      <w:r>
        <w:rPr>
          <w:rFonts w:hint="eastAsia" w:eastAsia="仿宋_GB2312" w:cs="宋体"/>
          <w:sz w:val="28"/>
          <w:szCs w:val="28"/>
        </w:rPr>
        <w:t>Ⅱ</w:t>
      </w:r>
      <w:r>
        <w:rPr>
          <w:rFonts w:eastAsia="仿宋_GB2312"/>
          <w:sz w:val="28"/>
          <w:szCs w:val="28"/>
        </w:rPr>
        <w:t>承压含水层（组）</w:t>
      </w:r>
    </w:p>
    <w:p>
      <w:pPr>
        <w:spacing w:line="500" w:lineRule="exact"/>
        <w:ind w:firstLine="560" w:firstLineChars="200"/>
        <w:rPr>
          <w:rFonts w:eastAsia="仿宋_GB2312"/>
          <w:sz w:val="28"/>
          <w:szCs w:val="28"/>
        </w:rPr>
      </w:pPr>
      <w:r>
        <w:rPr>
          <w:rFonts w:eastAsia="仿宋_GB2312"/>
          <w:sz w:val="28"/>
          <w:szCs w:val="28"/>
        </w:rPr>
        <w:t>第</w:t>
      </w:r>
      <w:r>
        <w:rPr>
          <w:rFonts w:hint="eastAsia" w:eastAsia="仿宋_GB2312" w:cs="宋体"/>
          <w:sz w:val="28"/>
          <w:szCs w:val="28"/>
        </w:rPr>
        <w:t>Ⅱ</w:t>
      </w:r>
      <w:r>
        <w:rPr>
          <w:rFonts w:eastAsia="仿宋_GB2312"/>
          <w:sz w:val="28"/>
          <w:szCs w:val="28"/>
        </w:rPr>
        <w:t>承压含水层是2000年前常州市区的地下水主要开采层，除新北区孟河-九里以西、湟里、横山桥、新安一带以及南部潘家等局部地区缺失外，广泛分布。含水层由中更新统灰、灰黄色粉砂、细砂、中砂和含砾粗砂组成，顶板埋深一般大于60m，砂层厚度由南至北由薄渐厚，富水性渐好。北部魏村-安家-龙虎塘沿江含水层厚度大于50m，单井涌水量大于3000m</w:t>
      </w:r>
      <w:r>
        <w:rPr>
          <w:rFonts w:eastAsia="仿宋_GB2312"/>
          <w:sz w:val="28"/>
          <w:szCs w:val="28"/>
          <w:vertAlign w:val="superscript"/>
        </w:rPr>
        <w:t>3</w:t>
      </w:r>
      <w:r>
        <w:rPr>
          <w:rFonts w:eastAsia="仿宋_GB2312"/>
          <w:sz w:val="28"/>
          <w:szCs w:val="28"/>
        </w:rPr>
        <w:t>/d，城区及其东南部含水层厚度多在30-50m，单井涌水量1000-3000 m</w:t>
      </w:r>
      <w:r>
        <w:rPr>
          <w:rFonts w:eastAsia="仿宋_GB2312"/>
          <w:sz w:val="28"/>
          <w:szCs w:val="28"/>
          <w:vertAlign w:val="superscript"/>
        </w:rPr>
        <w:t>3</w:t>
      </w:r>
      <w:r>
        <w:rPr>
          <w:rFonts w:eastAsia="仿宋_GB2312"/>
          <w:sz w:val="28"/>
          <w:szCs w:val="28"/>
        </w:rPr>
        <w:t>/d之间，其它地区含水层厚度多在10-30m，单井涌水量在300-1000 m</w:t>
      </w:r>
      <w:r>
        <w:rPr>
          <w:rFonts w:eastAsia="仿宋_GB2312"/>
          <w:sz w:val="28"/>
          <w:szCs w:val="28"/>
          <w:vertAlign w:val="superscript"/>
        </w:rPr>
        <w:t>3</w:t>
      </w:r>
      <w:r>
        <w:rPr>
          <w:rFonts w:eastAsia="仿宋_GB2312"/>
          <w:sz w:val="28"/>
          <w:szCs w:val="28"/>
        </w:rPr>
        <w:t>/d，西部、东南部边缘厚度小于10m，单井涌水量小于300m</w:t>
      </w:r>
      <w:r>
        <w:rPr>
          <w:rFonts w:eastAsia="仿宋_GB2312"/>
          <w:sz w:val="28"/>
          <w:szCs w:val="28"/>
          <w:vertAlign w:val="superscript"/>
        </w:rPr>
        <w:t>3</w:t>
      </w:r>
      <w:r>
        <w:rPr>
          <w:rFonts w:eastAsia="仿宋_GB2312"/>
          <w:sz w:val="28"/>
          <w:szCs w:val="28"/>
        </w:rPr>
        <w:t>/d。</w:t>
      </w:r>
    </w:p>
    <w:p>
      <w:pPr>
        <w:spacing w:line="500" w:lineRule="exact"/>
        <w:ind w:firstLine="560" w:firstLineChars="200"/>
        <w:rPr>
          <w:rFonts w:eastAsia="仿宋_GB2312"/>
          <w:sz w:val="28"/>
          <w:szCs w:val="28"/>
        </w:rPr>
      </w:pPr>
      <w:r>
        <w:rPr>
          <w:rFonts w:eastAsia="仿宋_GB2312"/>
          <w:sz w:val="28"/>
          <w:szCs w:val="28"/>
        </w:rPr>
        <w:t>第</w:t>
      </w:r>
      <w:r>
        <w:rPr>
          <w:rFonts w:hint="eastAsia" w:eastAsia="仿宋_GB2312" w:cs="宋体"/>
          <w:sz w:val="28"/>
          <w:szCs w:val="28"/>
        </w:rPr>
        <w:t>Ⅱ</w:t>
      </w:r>
      <w:r>
        <w:rPr>
          <w:rFonts w:eastAsia="仿宋_GB2312"/>
          <w:sz w:val="28"/>
          <w:szCs w:val="28"/>
        </w:rPr>
        <w:t>承压水水质较好，水化学类型一般为HCO</w:t>
      </w:r>
      <w:r>
        <w:rPr>
          <w:rFonts w:eastAsia="仿宋_GB2312"/>
          <w:sz w:val="28"/>
          <w:szCs w:val="28"/>
          <w:vertAlign w:val="subscript"/>
        </w:rPr>
        <w:t>3</w:t>
      </w:r>
      <w:r>
        <w:rPr>
          <w:rFonts w:eastAsia="仿宋_GB2312"/>
          <w:sz w:val="28"/>
          <w:szCs w:val="28"/>
        </w:rPr>
        <w:t>—Ca•Na、HCO</w:t>
      </w:r>
      <w:r>
        <w:rPr>
          <w:rFonts w:eastAsia="仿宋_GB2312"/>
          <w:sz w:val="28"/>
          <w:szCs w:val="28"/>
          <w:vertAlign w:val="subscript"/>
        </w:rPr>
        <w:t>3</w:t>
      </w:r>
      <w:r>
        <w:rPr>
          <w:rFonts w:eastAsia="仿宋_GB2312"/>
          <w:sz w:val="28"/>
          <w:szCs w:val="28"/>
        </w:rPr>
        <w:t>—Na或HCO</w:t>
      </w:r>
      <w:r>
        <w:rPr>
          <w:rFonts w:eastAsia="仿宋_GB2312"/>
          <w:sz w:val="28"/>
          <w:szCs w:val="28"/>
          <w:vertAlign w:val="subscript"/>
        </w:rPr>
        <w:t>3</w:t>
      </w:r>
      <w:r>
        <w:rPr>
          <w:rFonts w:eastAsia="仿宋_GB2312"/>
          <w:sz w:val="28"/>
          <w:szCs w:val="28"/>
        </w:rPr>
        <w:t>—Na•Ca型，矿化度一般在0.3-0.6g/L之间。</w:t>
      </w:r>
    </w:p>
    <w:p>
      <w:pPr>
        <w:spacing w:line="500" w:lineRule="exact"/>
        <w:ind w:firstLine="560" w:firstLineChars="200"/>
        <w:rPr>
          <w:rFonts w:eastAsia="仿宋_GB2312"/>
          <w:sz w:val="28"/>
          <w:szCs w:val="28"/>
        </w:rPr>
      </w:pPr>
      <w:r>
        <w:rPr>
          <w:rFonts w:eastAsia="仿宋_GB2312"/>
          <w:sz w:val="28"/>
          <w:szCs w:val="28"/>
        </w:rPr>
        <w:t>据水位动态监测资料，自2000年深层地下水禁采以来,常州市区水位明显回升，目前水位埋深一般20-70m之间，2009年平均水位埋深42.29m，比2008年升高2.03m，漏斗中心最大水位埋深64.78m（芳渚机厂）。</w:t>
      </w:r>
    </w:p>
    <w:p>
      <w:pPr>
        <w:spacing w:line="500" w:lineRule="exact"/>
        <w:ind w:firstLine="560" w:firstLineChars="200"/>
        <w:rPr>
          <w:rFonts w:eastAsia="仿宋_GB2312"/>
          <w:sz w:val="28"/>
          <w:szCs w:val="28"/>
        </w:rPr>
      </w:pPr>
      <w:r>
        <w:rPr>
          <w:rFonts w:hint="eastAsia" w:eastAsia="仿宋_GB2312" w:cs="宋体"/>
          <w:sz w:val="28"/>
          <w:szCs w:val="28"/>
        </w:rPr>
        <w:t>⑷</w:t>
      </w:r>
      <w:r>
        <w:rPr>
          <w:rFonts w:eastAsia="仿宋_GB2312"/>
          <w:sz w:val="28"/>
          <w:szCs w:val="28"/>
        </w:rPr>
        <w:t>第</w:t>
      </w:r>
      <w:r>
        <w:rPr>
          <w:rFonts w:hint="eastAsia" w:eastAsia="仿宋_GB2312" w:cs="宋体"/>
          <w:sz w:val="28"/>
          <w:szCs w:val="28"/>
        </w:rPr>
        <w:t>Ⅲ</w:t>
      </w:r>
      <w:r>
        <w:rPr>
          <w:rFonts w:eastAsia="仿宋_GB2312"/>
          <w:sz w:val="28"/>
          <w:szCs w:val="28"/>
        </w:rPr>
        <w:t>承压含水层组</w:t>
      </w:r>
    </w:p>
    <w:p>
      <w:pPr>
        <w:spacing w:line="500" w:lineRule="exact"/>
        <w:ind w:firstLine="560" w:firstLineChars="200"/>
        <w:rPr>
          <w:rFonts w:eastAsia="仿宋_GB2312"/>
          <w:sz w:val="28"/>
          <w:szCs w:val="28"/>
        </w:rPr>
      </w:pPr>
      <w:r>
        <w:rPr>
          <w:rFonts w:eastAsia="仿宋_GB2312"/>
          <w:sz w:val="28"/>
          <w:szCs w:val="28"/>
        </w:rPr>
        <w:t>除常州市区东南、东北、西南、西北角缺失外，其它平原区广泛分布。含水层岩性主要为下更新统冲积、冲湖积相的灰黄色、灰白色、灰绿色粉砂、中砂、含砾粗砂，局部含泥质。顶板埋深一般北部深，南部浅，安家-龙虎塘一线以北埋深大于120m， 南部一般小于100m。含水层厚度自北向南由厚变薄，变化于15-50m。龙虎塘以北地区单井涌水量大于1000m</w:t>
      </w:r>
      <w:r>
        <w:rPr>
          <w:rFonts w:eastAsia="仿宋_GB2312"/>
          <w:sz w:val="28"/>
          <w:szCs w:val="28"/>
          <w:vertAlign w:val="superscript"/>
        </w:rPr>
        <w:t>3</w:t>
      </w:r>
      <w:r>
        <w:rPr>
          <w:rFonts w:eastAsia="仿宋_GB2312"/>
          <w:sz w:val="28"/>
          <w:szCs w:val="28"/>
        </w:rPr>
        <w:t>/d，向南富水性逐渐减弱，至南部夏溪以及遥观-鸣凰一线以南单井涌水量小于100m</w:t>
      </w:r>
      <w:r>
        <w:rPr>
          <w:rFonts w:eastAsia="仿宋_GB2312"/>
          <w:sz w:val="28"/>
          <w:szCs w:val="28"/>
          <w:vertAlign w:val="superscript"/>
        </w:rPr>
        <w:t>3</w:t>
      </w:r>
      <w:r>
        <w:rPr>
          <w:rFonts w:eastAsia="仿宋_GB2312"/>
          <w:sz w:val="28"/>
          <w:szCs w:val="28"/>
        </w:rPr>
        <w:t>/d。</w:t>
      </w:r>
    </w:p>
    <w:p>
      <w:pPr>
        <w:spacing w:line="500" w:lineRule="exact"/>
        <w:ind w:firstLine="560" w:firstLineChars="200"/>
        <w:rPr>
          <w:rFonts w:eastAsia="仿宋_GB2312"/>
          <w:sz w:val="28"/>
          <w:szCs w:val="28"/>
        </w:rPr>
      </w:pPr>
      <w:r>
        <w:rPr>
          <w:rFonts w:eastAsia="仿宋_GB2312"/>
          <w:sz w:val="28"/>
          <w:szCs w:val="28"/>
        </w:rPr>
        <w:t>第</w:t>
      </w:r>
      <w:r>
        <w:rPr>
          <w:rFonts w:hint="eastAsia" w:eastAsia="仿宋_GB2312" w:cs="宋体"/>
          <w:sz w:val="28"/>
          <w:szCs w:val="28"/>
        </w:rPr>
        <w:t>Ⅲ</w:t>
      </w:r>
      <w:r>
        <w:rPr>
          <w:rFonts w:eastAsia="仿宋_GB2312"/>
          <w:sz w:val="28"/>
          <w:szCs w:val="28"/>
        </w:rPr>
        <w:t>承压水水质较好，由南到北水化学类型由HCO</w:t>
      </w:r>
      <w:r>
        <w:rPr>
          <w:rFonts w:eastAsia="仿宋_GB2312"/>
          <w:sz w:val="28"/>
          <w:szCs w:val="28"/>
          <w:vertAlign w:val="subscript"/>
        </w:rPr>
        <w:t>3</w:t>
      </w:r>
      <w:r>
        <w:rPr>
          <w:rFonts w:eastAsia="仿宋_GB2312"/>
          <w:sz w:val="28"/>
          <w:szCs w:val="28"/>
        </w:rPr>
        <w:t>—Ca型逐渐变为HCO</w:t>
      </w:r>
      <w:r>
        <w:rPr>
          <w:rFonts w:eastAsia="仿宋_GB2312"/>
          <w:sz w:val="28"/>
          <w:szCs w:val="28"/>
          <w:vertAlign w:val="subscript"/>
        </w:rPr>
        <w:t>3</w:t>
      </w:r>
      <w:r>
        <w:rPr>
          <w:rFonts w:eastAsia="仿宋_GB2312"/>
          <w:sz w:val="28"/>
          <w:szCs w:val="28"/>
        </w:rPr>
        <w:t>—Ca•Na型、HCO</w:t>
      </w:r>
      <w:r>
        <w:rPr>
          <w:rFonts w:eastAsia="仿宋_GB2312"/>
          <w:sz w:val="28"/>
          <w:szCs w:val="28"/>
          <w:vertAlign w:val="subscript"/>
        </w:rPr>
        <w:t>3</w:t>
      </w:r>
      <w:r>
        <w:rPr>
          <w:rFonts w:eastAsia="仿宋_GB2312"/>
          <w:sz w:val="28"/>
          <w:szCs w:val="28"/>
        </w:rPr>
        <w:t>—Na•Ca型、HCO</w:t>
      </w:r>
      <w:r>
        <w:rPr>
          <w:rFonts w:eastAsia="仿宋_GB2312"/>
          <w:sz w:val="28"/>
          <w:szCs w:val="28"/>
          <w:vertAlign w:val="subscript"/>
        </w:rPr>
        <w:t>3</w:t>
      </w:r>
      <w:r>
        <w:rPr>
          <w:rFonts w:eastAsia="仿宋_GB2312"/>
          <w:sz w:val="28"/>
          <w:szCs w:val="28"/>
        </w:rPr>
        <w:t>—Na型，矿化度一般在0.6-0.8g/L之间。</w:t>
      </w:r>
    </w:p>
    <w:p>
      <w:pPr>
        <w:spacing w:line="500" w:lineRule="exact"/>
        <w:ind w:firstLine="560" w:firstLineChars="200"/>
        <w:rPr>
          <w:rFonts w:eastAsia="仿宋_GB2312"/>
          <w:sz w:val="28"/>
          <w:szCs w:val="28"/>
        </w:rPr>
      </w:pPr>
      <w:r>
        <w:rPr>
          <w:rFonts w:eastAsia="仿宋_GB2312"/>
          <w:sz w:val="28"/>
          <w:szCs w:val="28"/>
        </w:rPr>
        <w:t>2、碳酸盐岩类裂隙溶洞水</w:t>
      </w:r>
    </w:p>
    <w:p>
      <w:pPr>
        <w:spacing w:line="500" w:lineRule="exact"/>
        <w:ind w:firstLine="560" w:firstLineChars="200"/>
        <w:rPr>
          <w:rFonts w:eastAsia="仿宋_GB2312"/>
          <w:sz w:val="28"/>
          <w:szCs w:val="28"/>
        </w:rPr>
      </w:pPr>
      <w:r>
        <w:rPr>
          <w:rFonts w:eastAsia="仿宋_GB2312"/>
          <w:sz w:val="28"/>
          <w:szCs w:val="28"/>
        </w:rPr>
        <w:t>工作区西北部孟河镇-黄山一带小范围内分布有裸露型溶洞裂隙水，含水层由震旦系上统灯影组中厚层白云岩、硅质白云岩和陡山陀组中厚层灰岩、泥质灰岩组成，溶洞裂隙发育，该地区基岩井一般深度100-200m，涌水量300-400m</w:t>
      </w:r>
      <w:r>
        <w:rPr>
          <w:rFonts w:eastAsia="仿宋_GB2312"/>
          <w:sz w:val="28"/>
          <w:szCs w:val="28"/>
          <w:vertAlign w:val="superscript"/>
        </w:rPr>
        <w:t>3</w:t>
      </w:r>
      <w:r>
        <w:rPr>
          <w:rFonts w:eastAsia="仿宋_GB2312"/>
          <w:sz w:val="28"/>
          <w:szCs w:val="28"/>
        </w:rPr>
        <w:t>/d。</w:t>
      </w:r>
    </w:p>
    <w:p>
      <w:pPr>
        <w:spacing w:line="500" w:lineRule="exact"/>
        <w:ind w:firstLine="560" w:firstLineChars="200"/>
        <w:rPr>
          <w:rFonts w:eastAsia="仿宋_GB2312"/>
          <w:sz w:val="28"/>
          <w:szCs w:val="28"/>
        </w:rPr>
      </w:pPr>
      <w:r>
        <w:rPr>
          <w:rFonts w:eastAsia="仿宋_GB2312"/>
          <w:sz w:val="28"/>
          <w:szCs w:val="28"/>
        </w:rPr>
        <w:t>除西北部裸露区外，区内还存在隐伏型灰岩溶洞裂隙水，主要分布在横林、郑陆桥-横山桥、湖塘桥以及卜弋桥等四个块段，各块段埋藏深度不同，富水性也各不相同。</w:t>
      </w:r>
    </w:p>
    <w:p>
      <w:pPr>
        <w:spacing w:line="500" w:lineRule="exact"/>
        <w:ind w:firstLine="560" w:firstLineChars="200"/>
        <w:rPr>
          <w:rFonts w:eastAsia="仿宋_GB2312"/>
          <w:sz w:val="28"/>
          <w:szCs w:val="28"/>
        </w:rPr>
      </w:pPr>
      <w:r>
        <w:rPr>
          <w:rFonts w:eastAsia="仿宋_GB2312"/>
          <w:sz w:val="28"/>
          <w:szCs w:val="28"/>
        </w:rPr>
        <w:t>横林块段灰岩溶洞裂隙水开采强烈，经过多年的开采，2002年横林块段平均水位埋深已达到82.26m，由于其顶板埋深浅（最浅处仅65m左右），在开采作用下，已形成地面塌陷、地面沉降、地裂缝等灾害。</w:t>
      </w:r>
    </w:p>
    <w:p>
      <w:pPr>
        <w:spacing w:line="500" w:lineRule="exact"/>
        <w:ind w:firstLine="560" w:firstLineChars="200"/>
        <w:rPr>
          <w:rFonts w:eastAsia="仿宋_GB2312"/>
          <w:sz w:val="28"/>
          <w:szCs w:val="28"/>
        </w:rPr>
      </w:pPr>
    </w:p>
    <w:p>
      <w:pPr>
        <w:spacing w:line="500" w:lineRule="exact"/>
        <w:ind w:firstLine="560" w:firstLineChars="200"/>
        <w:rPr>
          <w:rFonts w:eastAsia="仿宋_GB2312"/>
          <w:sz w:val="28"/>
          <w:szCs w:val="28"/>
        </w:rPr>
      </w:pPr>
    </w:p>
    <w:p>
      <w:pPr>
        <w:spacing w:line="500" w:lineRule="exact"/>
        <w:ind w:firstLine="482" w:firstLineChars="200"/>
        <w:jc w:val="center"/>
        <w:rPr>
          <w:rFonts w:eastAsia="仿宋_GB2312"/>
          <w:b/>
          <w:sz w:val="24"/>
        </w:rPr>
      </w:pPr>
      <w:r>
        <w:rPr>
          <w:rFonts w:eastAsia="仿宋_GB2312"/>
          <w:b/>
          <w:sz w:val="24"/>
        </w:rPr>
        <w:t>表5.2-25  常州市区隐伏灰岩溶洞裂隙水块段一览表</w:t>
      </w:r>
    </w:p>
    <w:tbl>
      <w:tblPr>
        <w:tblStyle w:val="8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2"/>
        <w:gridCol w:w="872"/>
        <w:gridCol w:w="960"/>
        <w:gridCol w:w="945"/>
        <w:gridCol w:w="710"/>
        <w:gridCol w:w="1015"/>
        <w:gridCol w:w="1252"/>
        <w:gridCol w:w="20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pct"/>
            <w:vAlign w:val="center"/>
          </w:tcPr>
          <w:p>
            <w:pPr>
              <w:jc w:val="center"/>
              <w:rPr>
                <w:rFonts w:ascii="仿宋" w:hAnsi="仿宋" w:eastAsia="仿宋"/>
              </w:rPr>
            </w:pPr>
            <w:r>
              <w:rPr>
                <w:rFonts w:ascii="仿宋" w:hAnsi="仿宋" w:eastAsia="仿宋"/>
              </w:rPr>
              <w:t>隐伏块段</w:t>
            </w:r>
          </w:p>
        </w:tc>
        <w:tc>
          <w:tcPr>
            <w:tcW w:w="511" w:type="pct"/>
            <w:vAlign w:val="center"/>
          </w:tcPr>
          <w:p>
            <w:pPr>
              <w:jc w:val="center"/>
              <w:rPr>
                <w:rFonts w:ascii="仿宋" w:hAnsi="仿宋" w:eastAsia="仿宋"/>
              </w:rPr>
            </w:pPr>
            <w:r>
              <w:rPr>
                <w:rFonts w:ascii="仿宋" w:hAnsi="仿宋" w:eastAsia="仿宋"/>
              </w:rPr>
              <w:t>分布位置</w:t>
            </w:r>
          </w:p>
        </w:tc>
        <w:tc>
          <w:tcPr>
            <w:tcW w:w="563" w:type="pct"/>
            <w:vAlign w:val="center"/>
          </w:tcPr>
          <w:p>
            <w:pPr>
              <w:jc w:val="center"/>
              <w:rPr>
                <w:rFonts w:ascii="仿宋" w:hAnsi="仿宋" w:eastAsia="仿宋"/>
              </w:rPr>
            </w:pPr>
            <w:r>
              <w:rPr>
                <w:rFonts w:ascii="仿宋" w:hAnsi="仿宋" w:eastAsia="仿宋"/>
              </w:rPr>
              <w:t>分布面积(km</w:t>
            </w:r>
            <w:r>
              <w:rPr>
                <w:rFonts w:ascii="仿宋" w:hAnsi="仿宋" w:eastAsia="仿宋"/>
                <w:vertAlign w:val="superscript"/>
              </w:rPr>
              <w:t>2</w:t>
            </w:r>
            <w:r>
              <w:rPr>
                <w:rFonts w:ascii="仿宋" w:hAnsi="仿宋" w:eastAsia="仿宋"/>
              </w:rPr>
              <w:t>)</w:t>
            </w:r>
          </w:p>
        </w:tc>
        <w:tc>
          <w:tcPr>
            <w:tcW w:w="554" w:type="pct"/>
            <w:vAlign w:val="center"/>
          </w:tcPr>
          <w:p>
            <w:pPr>
              <w:jc w:val="center"/>
              <w:rPr>
                <w:rFonts w:ascii="仿宋" w:hAnsi="仿宋" w:eastAsia="仿宋"/>
              </w:rPr>
            </w:pPr>
            <w:r>
              <w:rPr>
                <w:rFonts w:ascii="仿宋" w:hAnsi="仿宋" w:eastAsia="仿宋"/>
              </w:rPr>
              <w:t>含水层岩性</w:t>
            </w:r>
          </w:p>
        </w:tc>
        <w:tc>
          <w:tcPr>
            <w:tcW w:w="416" w:type="pct"/>
            <w:vAlign w:val="center"/>
          </w:tcPr>
          <w:p>
            <w:pPr>
              <w:jc w:val="center"/>
              <w:rPr>
                <w:rFonts w:ascii="仿宋" w:hAnsi="仿宋" w:eastAsia="仿宋"/>
              </w:rPr>
            </w:pPr>
            <w:r>
              <w:rPr>
                <w:rFonts w:ascii="仿宋" w:hAnsi="仿宋" w:eastAsia="仿宋"/>
              </w:rPr>
              <w:t>上覆岩层</w:t>
            </w:r>
          </w:p>
        </w:tc>
        <w:tc>
          <w:tcPr>
            <w:tcW w:w="595" w:type="pct"/>
            <w:vAlign w:val="center"/>
          </w:tcPr>
          <w:p>
            <w:pPr>
              <w:jc w:val="center"/>
              <w:rPr>
                <w:rFonts w:ascii="仿宋" w:hAnsi="仿宋" w:eastAsia="仿宋"/>
              </w:rPr>
            </w:pPr>
            <w:r>
              <w:rPr>
                <w:rFonts w:ascii="仿宋" w:hAnsi="仿宋" w:eastAsia="仿宋"/>
              </w:rPr>
              <w:t>顶板埋深(m)</w:t>
            </w:r>
          </w:p>
        </w:tc>
        <w:tc>
          <w:tcPr>
            <w:tcW w:w="734" w:type="pct"/>
            <w:vAlign w:val="center"/>
          </w:tcPr>
          <w:p>
            <w:pPr>
              <w:jc w:val="center"/>
              <w:rPr>
                <w:rFonts w:ascii="仿宋" w:hAnsi="仿宋" w:eastAsia="仿宋"/>
              </w:rPr>
            </w:pPr>
            <w:r>
              <w:rPr>
                <w:rFonts w:ascii="仿宋" w:hAnsi="仿宋" w:eastAsia="仿宋"/>
              </w:rPr>
              <w:t>单井涌水量(m3/d)</w:t>
            </w:r>
          </w:p>
        </w:tc>
        <w:tc>
          <w:tcPr>
            <w:tcW w:w="1197" w:type="pct"/>
            <w:vAlign w:val="center"/>
          </w:tcPr>
          <w:p>
            <w:pPr>
              <w:jc w:val="center"/>
              <w:rPr>
                <w:rFonts w:ascii="仿宋" w:hAnsi="仿宋" w:eastAsia="仿宋"/>
              </w:rPr>
            </w:pPr>
            <w:r>
              <w:rPr>
                <w:rFonts w:ascii="仿宋" w:hAnsi="仿宋" w:eastAsia="仿宋"/>
              </w:rPr>
              <w:t>水质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pct"/>
            <w:vAlign w:val="center"/>
          </w:tcPr>
          <w:p>
            <w:pPr>
              <w:jc w:val="center"/>
              <w:rPr>
                <w:rFonts w:ascii="仿宋" w:hAnsi="仿宋" w:eastAsia="仿宋"/>
              </w:rPr>
            </w:pPr>
            <w:r>
              <w:rPr>
                <w:rFonts w:ascii="仿宋" w:hAnsi="仿宋" w:eastAsia="仿宋"/>
              </w:rPr>
              <w:t>横林</w:t>
            </w:r>
          </w:p>
        </w:tc>
        <w:tc>
          <w:tcPr>
            <w:tcW w:w="511" w:type="pct"/>
            <w:vAlign w:val="center"/>
          </w:tcPr>
          <w:p>
            <w:pPr>
              <w:jc w:val="center"/>
              <w:rPr>
                <w:rFonts w:ascii="仿宋" w:hAnsi="仿宋" w:eastAsia="仿宋"/>
                <w:kern w:val="0"/>
                <w:szCs w:val="20"/>
              </w:rPr>
            </w:pPr>
            <w:r>
              <w:rPr>
                <w:rFonts w:ascii="仿宋" w:hAnsi="仿宋" w:eastAsia="仿宋"/>
              </w:rPr>
              <w:t>横林-</w:t>
            </w:r>
          </w:p>
          <w:p>
            <w:pPr>
              <w:jc w:val="center"/>
              <w:rPr>
                <w:rFonts w:ascii="仿宋" w:hAnsi="仿宋" w:eastAsia="仿宋"/>
              </w:rPr>
            </w:pPr>
            <w:r>
              <w:rPr>
                <w:rFonts w:ascii="仿宋" w:hAnsi="仿宋" w:eastAsia="仿宋"/>
              </w:rPr>
              <w:t>横山桥</w:t>
            </w:r>
          </w:p>
        </w:tc>
        <w:tc>
          <w:tcPr>
            <w:tcW w:w="563" w:type="pct"/>
            <w:vAlign w:val="center"/>
          </w:tcPr>
          <w:p>
            <w:pPr>
              <w:jc w:val="center"/>
              <w:rPr>
                <w:rFonts w:ascii="仿宋" w:hAnsi="仿宋" w:eastAsia="仿宋"/>
              </w:rPr>
            </w:pPr>
            <w:r>
              <w:rPr>
                <w:rFonts w:ascii="仿宋" w:hAnsi="仿宋" w:eastAsia="仿宋"/>
              </w:rPr>
              <w:t>50</w:t>
            </w:r>
          </w:p>
        </w:tc>
        <w:tc>
          <w:tcPr>
            <w:tcW w:w="554" w:type="pct"/>
            <w:vAlign w:val="center"/>
          </w:tcPr>
          <w:p>
            <w:pPr>
              <w:jc w:val="center"/>
              <w:rPr>
                <w:rFonts w:ascii="仿宋" w:hAnsi="仿宋" w:eastAsia="仿宋"/>
              </w:rPr>
            </w:pPr>
            <w:r>
              <w:rPr>
                <w:rFonts w:ascii="仿宋" w:hAnsi="仿宋" w:eastAsia="仿宋"/>
              </w:rPr>
              <w:t>T1-2</w:t>
            </w:r>
          </w:p>
        </w:tc>
        <w:tc>
          <w:tcPr>
            <w:tcW w:w="416" w:type="pct"/>
            <w:vAlign w:val="center"/>
          </w:tcPr>
          <w:p>
            <w:pPr>
              <w:jc w:val="center"/>
              <w:rPr>
                <w:rFonts w:ascii="仿宋" w:hAnsi="仿宋" w:eastAsia="仿宋"/>
              </w:rPr>
            </w:pPr>
            <w:r>
              <w:rPr>
                <w:rFonts w:ascii="仿宋" w:hAnsi="仿宋" w:eastAsia="仿宋"/>
              </w:rPr>
              <w:t>Q</w:t>
            </w:r>
          </w:p>
        </w:tc>
        <w:tc>
          <w:tcPr>
            <w:tcW w:w="595" w:type="pct"/>
            <w:vAlign w:val="center"/>
          </w:tcPr>
          <w:p>
            <w:pPr>
              <w:jc w:val="center"/>
              <w:rPr>
                <w:rFonts w:ascii="仿宋" w:hAnsi="仿宋" w:eastAsia="仿宋"/>
              </w:rPr>
            </w:pPr>
            <w:r>
              <w:rPr>
                <w:rFonts w:ascii="仿宋" w:hAnsi="仿宋" w:eastAsia="仿宋"/>
              </w:rPr>
              <w:t>65-128</w:t>
            </w:r>
          </w:p>
        </w:tc>
        <w:tc>
          <w:tcPr>
            <w:tcW w:w="734" w:type="pct"/>
            <w:vAlign w:val="center"/>
          </w:tcPr>
          <w:p>
            <w:pPr>
              <w:jc w:val="center"/>
              <w:rPr>
                <w:rFonts w:ascii="仿宋" w:hAnsi="仿宋" w:eastAsia="仿宋"/>
              </w:rPr>
            </w:pPr>
            <w:r>
              <w:rPr>
                <w:rFonts w:ascii="仿宋" w:hAnsi="仿宋" w:eastAsia="仿宋"/>
              </w:rPr>
              <w:t>300-1000</w:t>
            </w:r>
          </w:p>
        </w:tc>
        <w:tc>
          <w:tcPr>
            <w:tcW w:w="1197" w:type="pct"/>
            <w:vAlign w:val="center"/>
          </w:tcPr>
          <w:p>
            <w:pPr>
              <w:jc w:val="center"/>
              <w:rPr>
                <w:rFonts w:ascii="仿宋" w:hAnsi="仿宋" w:eastAsia="仿宋"/>
              </w:rPr>
            </w:pPr>
            <w:r>
              <w:rPr>
                <w:rFonts w:ascii="仿宋" w:hAnsi="仿宋" w:eastAsia="仿宋"/>
              </w:rPr>
              <w:t>水质良好，HCO</w:t>
            </w:r>
            <w:r>
              <w:rPr>
                <w:rFonts w:ascii="仿宋" w:hAnsi="仿宋" w:eastAsia="仿宋"/>
                <w:vertAlign w:val="subscript"/>
              </w:rPr>
              <w:t>3</w:t>
            </w:r>
            <w:r>
              <w:rPr>
                <w:rFonts w:ascii="仿宋" w:hAnsi="仿宋" w:eastAsia="仿宋"/>
              </w:rPr>
              <w:t>·CL- Na·Ca型淡水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pct"/>
            <w:vAlign w:val="center"/>
          </w:tcPr>
          <w:p>
            <w:pPr>
              <w:jc w:val="center"/>
              <w:rPr>
                <w:rFonts w:ascii="仿宋" w:hAnsi="仿宋" w:eastAsia="仿宋"/>
              </w:rPr>
            </w:pPr>
            <w:r>
              <w:rPr>
                <w:rFonts w:ascii="仿宋" w:hAnsi="仿宋" w:eastAsia="仿宋"/>
              </w:rPr>
              <w:t>郑陆桥</w:t>
            </w:r>
          </w:p>
        </w:tc>
        <w:tc>
          <w:tcPr>
            <w:tcW w:w="511" w:type="pct"/>
            <w:vAlign w:val="center"/>
          </w:tcPr>
          <w:p>
            <w:pPr>
              <w:jc w:val="center"/>
              <w:rPr>
                <w:rFonts w:ascii="仿宋" w:hAnsi="仿宋" w:eastAsia="仿宋"/>
              </w:rPr>
            </w:pPr>
            <w:r>
              <w:rPr>
                <w:rFonts w:ascii="仿宋" w:hAnsi="仿宋" w:eastAsia="仿宋"/>
              </w:rPr>
              <w:t>郑陆桥</w:t>
            </w:r>
          </w:p>
        </w:tc>
        <w:tc>
          <w:tcPr>
            <w:tcW w:w="563" w:type="pct"/>
            <w:vAlign w:val="center"/>
          </w:tcPr>
          <w:p>
            <w:pPr>
              <w:jc w:val="center"/>
              <w:rPr>
                <w:rFonts w:ascii="仿宋" w:hAnsi="仿宋" w:eastAsia="仿宋"/>
              </w:rPr>
            </w:pPr>
            <w:r>
              <w:rPr>
                <w:rFonts w:ascii="仿宋" w:hAnsi="仿宋" w:eastAsia="仿宋"/>
              </w:rPr>
              <w:t>25</w:t>
            </w:r>
          </w:p>
        </w:tc>
        <w:tc>
          <w:tcPr>
            <w:tcW w:w="554" w:type="pct"/>
            <w:vAlign w:val="center"/>
          </w:tcPr>
          <w:p>
            <w:pPr>
              <w:jc w:val="center"/>
              <w:rPr>
                <w:rFonts w:ascii="仿宋" w:hAnsi="仿宋" w:eastAsia="仿宋"/>
              </w:rPr>
            </w:pPr>
            <w:r>
              <w:rPr>
                <w:rFonts w:ascii="仿宋" w:hAnsi="仿宋" w:eastAsia="仿宋"/>
              </w:rPr>
              <w:t>T1-2</w:t>
            </w:r>
          </w:p>
        </w:tc>
        <w:tc>
          <w:tcPr>
            <w:tcW w:w="416" w:type="pct"/>
            <w:vAlign w:val="center"/>
          </w:tcPr>
          <w:p>
            <w:pPr>
              <w:jc w:val="center"/>
              <w:rPr>
                <w:rFonts w:ascii="仿宋" w:hAnsi="仿宋" w:eastAsia="仿宋"/>
              </w:rPr>
            </w:pPr>
            <w:r>
              <w:rPr>
                <w:rFonts w:ascii="仿宋" w:hAnsi="仿宋" w:eastAsia="仿宋"/>
              </w:rPr>
              <w:t>Q、K</w:t>
            </w:r>
          </w:p>
        </w:tc>
        <w:tc>
          <w:tcPr>
            <w:tcW w:w="595" w:type="pct"/>
            <w:vAlign w:val="center"/>
          </w:tcPr>
          <w:p>
            <w:pPr>
              <w:jc w:val="center"/>
              <w:rPr>
                <w:rFonts w:ascii="仿宋" w:hAnsi="仿宋" w:eastAsia="仿宋"/>
              </w:rPr>
            </w:pPr>
            <w:r>
              <w:rPr>
                <w:rFonts w:ascii="仿宋" w:hAnsi="仿宋" w:eastAsia="仿宋"/>
              </w:rPr>
              <w:t>120-300</w:t>
            </w:r>
          </w:p>
        </w:tc>
        <w:tc>
          <w:tcPr>
            <w:tcW w:w="734" w:type="pct"/>
            <w:vAlign w:val="center"/>
          </w:tcPr>
          <w:p>
            <w:pPr>
              <w:jc w:val="center"/>
              <w:rPr>
                <w:rFonts w:ascii="仿宋" w:hAnsi="仿宋" w:eastAsia="仿宋"/>
              </w:rPr>
            </w:pPr>
            <w:r>
              <w:rPr>
                <w:rFonts w:ascii="仿宋" w:hAnsi="仿宋" w:eastAsia="仿宋"/>
              </w:rPr>
              <w:t>300-1000</w:t>
            </w:r>
          </w:p>
        </w:tc>
        <w:tc>
          <w:tcPr>
            <w:tcW w:w="1197" w:type="pct"/>
            <w:vAlign w:val="center"/>
          </w:tcPr>
          <w:p>
            <w:pPr>
              <w:jc w:val="center"/>
              <w:rPr>
                <w:rFonts w:ascii="仿宋" w:hAnsi="仿宋" w:eastAsia="仿宋"/>
              </w:rPr>
            </w:pPr>
            <w:r>
              <w:rPr>
                <w:rFonts w:ascii="仿宋" w:hAnsi="仿宋" w:eastAsia="仿宋"/>
              </w:rPr>
              <w:t>水质较差，HCO</w:t>
            </w:r>
            <w:r>
              <w:rPr>
                <w:rFonts w:ascii="仿宋" w:hAnsi="仿宋" w:eastAsia="仿宋"/>
                <w:vertAlign w:val="subscript"/>
              </w:rPr>
              <w:t>3</w:t>
            </w:r>
            <w:r>
              <w:rPr>
                <w:rFonts w:ascii="仿宋" w:hAnsi="仿宋" w:eastAsia="仿宋"/>
              </w:rPr>
              <w:t>·SO</w:t>
            </w:r>
            <w:r>
              <w:rPr>
                <w:rFonts w:ascii="仿宋" w:hAnsi="仿宋" w:eastAsia="仿宋"/>
                <w:vertAlign w:val="superscript"/>
              </w:rPr>
              <w:t xml:space="preserve">4- </w:t>
            </w:r>
            <w:r>
              <w:rPr>
                <w:rFonts w:ascii="仿宋" w:hAnsi="仿宋" w:eastAsia="仿宋"/>
              </w:rPr>
              <w:t>Na·Ca型微咸水。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pct"/>
            <w:vAlign w:val="center"/>
          </w:tcPr>
          <w:p>
            <w:pPr>
              <w:jc w:val="center"/>
              <w:rPr>
                <w:rFonts w:ascii="仿宋" w:hAnsi="仿宋" w:eastAsia="仿宋"/>
              </w:rPr>
            </w:pPr>
            <w:r>
              <w:rPr>
                <w:rFonts w:ascii="仿宋" w:hAnsi="仿宋" w:eastAsia="仿宋"/>
              </w:rPr>
              <w:t>湖塘桥</w:t>
            </w:r>
          </w:p>
        </w:tc>
        <w:tc>
          <w:tcPr>
            <w:tcW w:w="511" w:type="pct"/>
            <w:vAlign w:val="center"/>
          </w:tcPr>
          <w:p>
            <w:pPr>
              <w:jc w:val="center"/>
              <w:rPr>
                <w:rFonts w:ascii="仿宋" w:hAnsi="仿宋" w:eastAsia="仿宋"/>
                <w:kern w:val="0"/>
                <w:szCs w:val="20"/>
              </w:rPr>
            </w:pPr>
            <w:r>
              <w:rPr>
                <w:rFonts w:ascii="仿宋" w:hAnsi="仿宋" w:eastAsia="仿宋"/>
              </w:rPr>
              <w:t>湖塘-</w:t>
            </w:r>
          </w:p>
          <w:p>
            <w:pPr>
              <w:jc w:val="center"/>
              <w:rPr>
                <w:rFonts w:ascii="仿宋" w:hAnsi="仿宋" w:eastAsia="仿宋"/>
              </w:rPr>
            </w:pPr>
            <w:r>
              <w:rPr>
                <w:rFonts w:ascii="仿宋" w:hAnsi="仿宋" w:eastAsia="仿宋"/>
              </w:rPr>
              <w:t>马杭</w:t>
            </w:r>
          </w:p>
        </w:tc>
        <w:tc>
          <w:tcPr>
            <w:tcW w:w="563" w:type="pct"/>
            <w:vAlign w:val="center"/>
          </w:tcPr>
          <w:p>
            <w:pPr>
              <w:jc w:val="center"/>
              <w:rPr>
                <w:rFonts w:ascii="仿宋" w:hAnsi="仿宋" w:eastAsia="仿宋"/>
              </w:rPr>
            </w:pPr>
            <w:r>
              <w:rPr>
                <w:rFonts w:ascii="仿宋" w:hAnsi="仿宋" w:eastAsia="仿宋"/>
              </w:rPr>
              <w:t>40</w:t>
            </w:r>
          </w:p>
        </w:tc>
        <w:tc>
          <w:tcPr>
            <w:tcW w:w="554" w:type="pct"/>
            <w:vAlign w:val="center"/>
          </w:tcPr>
          <w:p>
            <w:pPr>
              <w:jc w:val="center"/>
              <w:rPr>
                <w:rFonts w:ascii="仿宋" w:hAnsi="仿宋" w:eastAsia="仿宋"/>
              </w:rPr>
            </w:pPr>
            <w:r>
              <w:rPr>
                <w:rFonts w:ascii="仿宋" w:hAnsi="仿宋" w:eastAsia="仿宋"/>
              </w:rPr>
              <w:t>T1-2</w:t>
            </w:r>
          </w:p>
        </w:tc>
        <w:tc>
          <w:tcPr>
            <w:tcW w:w="416" w:type="pct"/>
            <w:vAlign w:val="center"/>
          </w:tcPr>
          <w:p>
            <w:pPr>
              <w:jc w:val="center"/>
              <w:rPr>
                <w:rFonts w:ascii="仿宋" w:hAnsi="仿宋" w:eastAsia="仿宋"/>
              </w:rPr>
            </w:pPr>
            <w:r>
              <w:rPr>
                <w:rFonts w:ascii="仿宋" w:hAnsi="仿宋" w:eastAsia="仿宋"/>
              </w:rPr>
              <w:t>Q、K</w:t>
            </w:r>
          </w:p>
        </w:tc>
        <w:tc>
          <w:tcPr>
            <w:tcW w:w="595" w:type="pct"/>
            <w:vAlign w:val="center"/>
          </w:tcPr>
          <w:p>
            <w:pPr>
              <w:jc w:val="center"/>
              <w:rPr>
                <w:rFonts w:ascii="仿宋" w:hAnsi="仿宋" w:eastAsia="仿宋"/>
              </w:rPr>
            </w:pPr>
            <w:r>
              <w:rPr>
                <w:rFonts w:ascii="仿宋" w:hAnsi="仿宋" w:eastAsia="仿宋"/>
              </w:rPr>
              <w:t>250-300</w:t>
            </w:r>
          </w:p>
        </w:tc>
        <w:tc>
          <w:tcPr>
            <w:tcW w:w="734" w:type="pct"/>
            <w:vAlign w:val="center"/>
          </w:tcPr>
          <w:p>
            <w:pPr>
              <w:jc w:val="center"/>
              <w:rPr>
                <w:rFonts w:ascii="仿宋" w:hAnsi="仿宋" w:eastAsia="仿宋"/>
              </w:rPr>
            </w:pPr>
            <w:r>
              <w:rPr>
                <w:rFonts w:ascii="仿宋" w:hAnsi="仿宋" w:eastAsia="仿宋"/>
              </w:rPr>
              <w:t>86-143</w:t>
            </w:r>
          </w:p>
        </w:tc>
        <w:tc>
          <w:tcPr>
            <w:tcW w:w="1197" w:type="pct"/>
            <w:vAlign w:val="center"/>
          </w:tcPr>
          <w:p>
            <w:pPr>
              <w:jc w:val="center"/>
              <w:rPr>
                <w:rFonts w:ascii="仿宋" w:hAnsi="仿宋" w:eastAsia="仿宋"/>
              </w:rPr>
            </w:pPr>
            <w:r>
              <w:rPr>
                <w:rFonts w:ascii="仿宋" w:hAnsi="仿宋" w:eastAsia="仿宋"/>
              </w:rPr>
              <w:t>水质较差，SO</w:t>
            </w:r>
            <w:r>
              <w:rPr>
                <w:rFonts w:ascii="仿宋" w:hAnsi="仿宋" w:eastAsia="仿宋"/>
                <w:vertAlign w:val="subscript"/>
              </w:rPr>
              <w:t>4</w:t>
            </w:r>
            <w:r>
              <w:rPr>
                <w:rFonts w:ascii="仿宋" w:hAnsi="仿宋" w:eastAsia="仿宋"/>
              </w:rPr>
              <w:t>·HCO</w:t>
            </w:r>
            <w:r>
              <w:rPr>
                <w:rFonts w:ascii="仿宋" w:hAnsi="仿宋" w:eastAsia="仿宋"/>
                <w:vertAlign w:val="superscript"/>
              </w:rPr>
              <w:t>3-</w:t>
            </w:r>
            <w:r>
              <w:rPr>
                <w:rFonts w:ascii="仿宋" w:hAnsi="仿宋" w:eastAsia="仿宋"/>
              </w:rPr>
              <w:t xml:space="preserve"> Na·Ca型微咸水。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pct"/>
            <w:vAlign w:val="center"/>
          </w:tcPr>
          <w:p>
            <w:pPr>
              <w:jc w:val="center"/>
              <w:rPr>
                <w:rFonts w:ascii="仿宋" w:hAnsi="仿宋" w:eastAsia="仿宋"/>
              </w:rPr>
            </w:pPr>
            <w:r>
              <w:rPr>
                <w:rFonts w:ascii="仿宋" w:hAnsi="仿宋" w:eastAsia="仿宋"/>
              </w:rPr>
              <w:t>卜弋</w:t>
            </w:r>
          </w:p>
        </w:tc>
        <w:tc>
          <w:tcPr>
            <w:tcW w:w="511" w:type="pct"/>
            <w:vAlign w:val="center"/>
          </w:tcPr>
          <w:p>
            <w:pPr>
              <w:jc w:val="center"/>
              <w:rPr>
                <w:rFonts w:ascii="仿宋" w:hAnsi="仿宋" w:eastAsia="仿宋"/>
                <w:kern w:val="0"/>
                <w:szCs w:val="20"/>
              </w:rPr>
            </w:pPr>
            <w:r>
              <w:rPr>
                <w:rFonts w:ascii="仿宋" w:hAnsi="仿宋" w:eastAsia="仿宋"/>
              </w:rPr>
              <w:t>卜弋-</w:t>
            </w:r>
          </w:p>
          <w:p>
            <w:pPr>
              <w:jc w:val="center"/>
              <w:rPr>
                <w:rFonts w:ascii="仿宋" w:hAnsi="仿宋" w:eastAsia="仿宋"/>
              </w:rPr>
            </w:pPr>
            <w:r>
              <w:rPr>
                <w:rFonts w:ascii="仿宋" w:hAnsi="仿宋" w:eastAsia="仿宋"/>
              </w:rPr>
              <w:t>厚余</w:t>
            </w:r>
          </w:p>
        </w:tc>
        <w:tc>
          <w:tcPr>
            <w:tcW w:w="563" w:type="pct"/>
            <w:vAlign w:val="center"/>
          </w:tcPr>
          <w:p>
            <w:pPr>
              <w:jc w:val="center"/>
              <w:rPr>
                <w:rFonts w:ascii="仿宋" w:hAnsi="仿宋" w:eastAsia="仿宋"/>
              </w:rPr>
            </w:pPr>
            <w:r>
              <w:rPr>
                <w:rFonts w:ascii="仿宋" w:hAnsi="仿宋" w:eastAsia="仿宋"/>
              </w:rPr>
              <w:t>10</w:t>
            </w:r>
          </w:p>
        </w:tc>
        <w:tc>
          <w:tcPr>
            <w:tcW w:w="554" w:type="pct"/>
            <w:vAlign w:val="center"/>
          </w:tcPr>
          <w:p>
            <w:pPr>
              <w:jc w:val="center"/>
              <w:rPr>
                <w:rFonts w:ascii="仿宋" w:hAnsi="仿宋" w:eastAsia="仿宋"/>
              </w:rPr>
            </w:pPr>
            <w:r>
              <w:rPr>
                <w:rFonts w:ascii="仿宋" w:hAnsi="仿宋" w:eastAsia="仿宋"/>
              </w:rPr>
              <w:t>T1-2</w:t>
            </w:r>
          </w:p>
        </w:tc>
        <w:tc>
          <w:tcPr>
            <w:tcW w:w="416" w:type="pct"/>
            <w:vAlign w:val="center"/>
          </w:tcPr>
          <w:p>
            <w:pPr>
              <w:jc w:val="center"/>
              <w:rPr>
                <w:rFonts w:ascii="仿宋" w:hAnsi="仿宋" w:eastAsia="仿宋"/>
              </w:rPr>
            </w:pPr>
            <w:r>
              <w:rPr>
                <w:rFonts w:ascii="仿宋" w:hAnsi="仿宋" w:eastAsia="仿宋"/>
              </w:rPr>
              <w:t>Q、E</w:t>
            </w:r>
          </w:p>
        </w:tc>
        <w:tc>
          <w:tcPr>
            <w:tcW w:w="595" w:type="pct"/>
            <w:vAlign w:val="center"/>
          </w:tcPr>
          <w:p>
            <w:pPr>
              <w:jc w:val="center"/>
              <w:rPr>
                <w:rFonts w:ascii="仿宋" w:hAnsi="仿宋" w:eastAsia="仿宋"/>
              </w:rPr>
            </w:pPr>
            <w:r>
              <w:rPr>
                <w:rFonts w:ascii="仿宋" w:hAnsi="仿宋" w:eastAsia="仿宋"/>
              </w:rPr>
              <w:t>100-200</w:t>
            </w:r>
          </w:p>
        </w:tc>
        <w:tc>
          <w:tcPr>
            <w:tcW w:w="734" w:type="pct"/>
            <w:vAlign w:val="center"/>
          </w:tcPr>
          <w:p>
            <w:pPr>
              <w:jc w:val="center"/>
              <w:rPr>
                <w:rFonts w:ascii="仿宋" w:hAnsi="仿宋" w:eastAsia="仿宋"/>
              </w:rPr>
            </w:pPr>
            <w:r>
              <w:rPr>
                <w:rFonts w:ascii="仿宋" w:hAnsi="仿宋" w:eastAsia="仿宋"/>
              </w:rPr>
              <w:t>500-1000</w:t>
            </w:r>
          </w:p>
        </w:tc>
        <w:tc>
          <w:tcPr>
            <w:tcW w:w="1197" w:type="pct"/>
            <w:vAlign w:val="center"/>
          </w:tcPr>
          <w:p>
            <w:pPr>
              <w:jc w:val="center"/>
              <w:rPr>
                <w:rFonts w:ascii="仿宋" w:hAnsi="仿宋" w:eastAsia="仿宋"/>
              </w:rPr>
            </w:pPr>
            <w:r>
              <w:rPr>
                <w:rFonts w:ascii="仿宋" w:hAnsi="仿宋" w:eastAsia="仿宋"/>
              </w:rPr>
              <w:t>水质较差，SO</w:t>
            </w:r>
            <w:r>
              <w:rPr>
                <w:rFonts w:ascii="仿宋" w:hAnsi="仿宋" w:eastAsia="仿宋"/>
                <w:vertAlign w:val="subscript"/>
              </w:rPr>
              <w:t>4</w:t>
            </w:r>
            <w:r>
              <w:rPr>
                <w:rFonts w:ascii="仿宋" w:hAnsi="仿宋" w:eastAsia="仿宋"/>
              </w:rPr>
              <w:t>·HCO</w:t>
            </w:r>
            <w:r>
              <w:rPr>
                <w:rFonts w:ascii="仿宋" w:hAnsi="仿宋" w:eastAsia="仿宋"/>
                <w:vertAlign w:val="superscript"/>
              </w:rPr>
              <w:t xml:space="preserve">3- </w:t>
            </w:r>
            <w:r>
              <w:rPr>
                <w:rFonts w:ascii="仿宋" w:hAnsi="仿宋" w:eastAsia="仿宋"/>
              </w:rPr>
              <w:t>Na·Ca型微咸水。</w:t>
            </w:r>
          </w:p>
        </w:tc>
      </w:tr>
    </w:tbl>
    <w:p>
      <w:pPr>
        <w:spacing w:line="500" w:lineRule="exact"/>
        <w:ind w:firstLine="560" w:firstLineChars="200"/>
        <w:rPr>
          <w:rFonts w:eastAsia="仿宋_GB2312"/>
          <w:sz w:val="28"/>
          <w:szCs w:val="28"/>
        </w:rPr>
      </w:pPr>
      <w:r>
        <w:rPr>
          <w:rFonts w:eastAsia="仿宋_GB2312"/>
          <w:sz w:val="28"/>
          <w:szCs w:val="28"/>
        </w:rPr>
        <w:t>3、基岩裂隙水</w:t>
      </w:r>
    </w:p>
    <w:p>
      <w:pPr>
        <w:spacing w:line="500" w:lineRule="exact"/>
        <w:ind w:firstLine="560" w:firstLineChars="200"/>
        <w:rPr>
          <w:rFonts w:eastAsia="仿宋_GB2312"/>
          <w:sz w:val="28"/>
          <w:szCs w:val="28"/>
        </w:rPr>
      </w:pPr>
      <w:r>
        <w:rPr>
          <w:rFonts w:eastAsia="仿宋_GB2312"/>
          <w:sz w:val="28"/>
          <w:szCs w:val="28"/>
        </w:rPr>
        <w:t>主要分布于新安、焦溪、南择、潘家等地，岩性为泥盆系上统五通组紫红色粉砂岩、含砾中粗砂岩以及茅山群粉砂质泥岩、粉砂岩等，风化裂隙发育，富水性受断裂构造控制，在北西向和北东向断裂带交汇附近，构造裂隙发育，富水性较好，单井涌水量一般100-500m</w:t>
      </w:r>
      <w:r>
        <w:rPr>
          <w:rFonts w:eastAsia="仿宋_GB2312"/>
          <w:sz w:val="28"/>
          <w:szCs w:val="28"/>
          <w:vertAlign w:val="superscript"/>
        </w:rPr>
        <w:t>3</w:t>
      </w:r>
      <w:r>
        <w:rPr>
          <w:rFonts w:eastAsia="仿宋_GB2312"/>
          <w:sz w:val="28"/>
          <w:szCs w:val="28"/>
        </w:rPr>
        <w:t>/d。</w:t>
      </w:r>
    </w:p>
    <w:p>
      <w:pPr>
        <w:spacing w:line="500" w:lineRule="exact"/>
        <w:ind w:firstLine="560" w:firstLineChars="200"/>
        <w:rPr>
          <w:rFonts w:eastAsia="仿宋_GB2312"/>
          <w:sz w:val="28"/>
          <w:szCs w:val="28"/>
        </w:rPr>
      </w:pPr>
      <w:r>
        <w:rPr>
          <w:rFonts w:eastAsia="仿宋_GB2312"/>
          <w:sz w:val="28"/>
          <w:szCs w:val="28"/>
        </w:rPr>
        <w:t>本项目所在区域水文地质图见</w:t>
      </w:r>
      <w:r>
        <w:rPr>
          <w:rFonts w:hint="eastAsia" w:eastAsia="仿宋_GB2312"/>
          <w:sz w:val="28"/>
          <w:szCs w:val="28"/>
        </w:rPr>
        <w:t>下图</w:t>
      </w:r>
      <w:r>
        <w:rPr>
          <w:rFonts w:eastAsia="仿宋_GB2312"/>
          <w:sz w:val="28"/>
          <w:szCs w:val="28"/>
        </w:rPr>
        <w:t>。</w:t>
      </w:r>
    </w:p>
    <w:p>
      <w:pPr>
        <w:spacing w:line="500" w:lineRule="exact"/>
        <w:ind w:firstLine="560" w:firstLineChars="200"/>
        <w:rPr>
          <w:rFonts w:eastAsia="仿宋_GB2312"/>
          <w:sz w:val="28"/>
          <w:szCs w:val="28"/>
        </w:rPr>
        <w:sectPr>
          <w:footerReference r:id="rId24" w:type="default"/>
          <w:footerReference r:id="rId25" w:type="even"/>
          <w:pgSz w:w="11906" w:h="16838"/>
          <w:pgMar w:top="1440" w:right="1797" w:bottom="1440" w:left="1797" w:header="539" w:footer="992" w:gutter="0"/>
          <w:cols w:space="720" w:num="1"/>
        </w:sectPr>
      </w:pPr>
    </w:p>
    <w:p>
      <w:pPr>
        <w:jc w:val="center"/>
        <w:rPr>
          <w:rFonts w:eastAsia="仿宋_GB2312"/>
        </w:rPr>
      </w:pPr>
      <w:r>
        <w:rPr>
          <w:rFonts w:eastAsia="仿宋_GB2312"/>
        </w:rPr>
        <w:drawing>
          <wp:inline distT="0" distB="0" distL="0" distR="0">
            <wp:extent cx="8370570" cy="4626610"/>
            <wp:effectExtent l="1905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noChangeArrowheads="1"/>
                    </pic:cNvPicPr>
                  </pic:nvPicPr>
                  <pic:blipFill>
                    <a:blip r:embed="rId78"/>
                    <a:srcRect l="1228" t="1384" r="2341" b="1038"/>
                    <a:stretch>
                      <a:fillRect/>
                    </a:stretch>
                  </pic:blipFill>
                  <pic:spPr>
                    <a:xfrm>
                      <a:off x="0" y="0"/>
                      <a:ext cx="8370570" cy="4626610"/>
                    </a:xfrm>
                    <a:prstGeom prst="rect">
                      <a:avLst/>
                    </a:prstGeom>
                    <a:noFill/>
                    <a:ln w="9525">
                      <a:noFill/>
                      <a:miter lim="800000"/>
                      <a:headEnd/>
                      <a:tailEnd/>
                    </a:ln>
                  </pic:spPr>
                </pic:pic>
              </a:graphicData>
            </a:graphic>
          </wp:inline>
        </w:drawing>
      </w:r>
    </w:p>
    <w:p>
      <w:pPr>
        <w:jc w:val="center"/>
        <w:rPr>
          <w:rFonts w:eastAsia="仿宋_GB2312"/>
        </w:rPr>
      </w:pPr>
    </w:p>
    <w:p>
      <w:pPr>
        <w:tabs>
          <w:tab w:val="left" w:pos="7380"/>
        </w:tabs>
        <w:overflowPunct w:val="0"/>
        <w:spacing w:before="152" w:after="240" w:afterLines="100"/>
        <w:jc w:val="center"/>
        <w:rPr>
          <w:rFonts w:eastAsia="仿宋_GB2312"/>
          <w:b/>
          <w:sz w:val="24"/>
        </w:rPr>
      </w:pPr>
      <w:r>
        <w:rPr>
          <w:rFonts w:eastAsia="仿宋_GB2312"/>
          <w:b/>
          <w:sz w:val="24"/>
        </w:rPr>
        <w:t>图5.2-12    常州地区第四系水文地质剖面示意图</w:t>
      </w:r>
    </w:p>
    <w:p>
      <w:pPr>
        <w:widowControl/>
        <w:rPr>
          <w:rFonts w:eastAsia="仿宋_GB2312"/>
        </w:rPr>
        <w:sectPr>
          <w:pgSz w:w="16838" w:h="11906" w:orient="landscape"/>
          <w:pgMar w:top="1440" w:right="1797" w:bottom="1440" w:left="1797" w:header="539" w:footer="992" w:gutter="0"/>
          <w:cols w:space="720" w:num="1"/>
        </w:sectPr>
      </w:pPr>
    </w:p>
    <w:p>
      <w:pPr>
        <w:adjustRightInd w:val="0"/>
        <w:snapToGrid w:val="0"/>
        <w:spacing w:line="500" w:lineRule="exact"/>
        <w:ind w:firstLine="561"/>
        <w:rPr>
          <w:rFonts w:eastAsia="仿宋_GB2312"/>
          <w:sz w:val="28"/>
          <w:szCs w:val="28"/>
        </w:rPr>
      </w:pPr>
      <w:r>
        <w:rPr>
          <w:rFonts w:eastAsia="仿宋_GB2312"/>
          <w:sz w:val="28"/>
          <w:szCs w:val="28"/>
        </w:rPr>
        <w:t>二、地下水补给、径流与排泄</w:t>
      </w:r>
    </w:p>
    <w:p>
      <w:pPr>
        <w:adjustRightInd w:val="0"/>
        <w:snapToGrid w:val="0"/>
        <w:spacing w:line="500" w:lineRule="exact"/>
        <w:ind w:firstLine="561"/>
        <w:rPr>
          <w:rFonts w:eastAsia="仿宋_GB2312"/>
          <w:sz w:val="28"/>
          <w:szCs w:val="28"/>
        </w:rPr>
      </w:pPr>
      <w:r>
        <w:rPr>
          <w:rFonts w:hint="eastAsia" w:eastAsia="仿宋_GB2312" w:cs="宋体"/>
          <w:sz w:val="28"/>
          <w:szCs w:val="28"/>
        </w:rPr>
        <w:t>⑴</w:t>
      </w:r>
      <w:r>
        <w:rPr>
          <w:rFonts w:eastAsia="仿宋_GB2312"/>
          <w:sz w:val="28"/>
          <w:szCs w:val="28"/>
        </w:rPr>
        <w:t>松散岩类孔隙水</w:t>
      </w:r>
    </w:p>
    <w:p>
      <w:pPr>
        <w:adjustRightInd w:val="0"/>
        <w:snapToGrid w:val="0"/>
        <w:spacing w:line="500" w:lineRule="exact"/>
        <w:ind w:firstLine="561"/>
        <w:rPr>
          <w:rFonts w:eastAsia="仿宋_GB2312"/>
          <w:sz w:val="28"/>
          <w:szCs w:val="28"/>
        </w:rPr>
      </w:pPr>
      <w:r>
        <w:rPr>
          <w:rFonts w:eastAsia="仿宋_GB2312"/>
          <w:sz w:val="28"/>
          <w:szCs w:val="28"/>
        </w:rPr>
        <w:t>常州市属于北亚热带湿润气候区，雨量充沛，地形平坦，有利于大气降水入渗补给。此外，地面河网密布，地表水与地下水关系密切，两者呈互补关系。</w:t>
      </w:r>
    </w:p>
    <w:p>
      <w:pPr>
        <w:adjustRightInd w:val="0"/>
        <w:snapToGrid w:val="0"/>
        <w:spacing w:line="500" w:lineRule="exact"/>
        <w:ind w:firstLine="561"/>
        <w:rPr>
          <w:rFonts w:eastAsia="仿宋_GB2312"/>
          <w:sz w:val="28"/>
          <w:szCs w:val="28"/>
        </w:rPr>
      </w:pPr>
      <w:r>
        <w:rPr>
          <w:rFonts w:eastAsia="仿宋_GB2312"/>
          <w:sz w:val="28"/>
          <w:szCs w:val="28"/>
        </w:rPr>
        <w:t>潜水主要接受大气降水和灌溉水的入渗补给。在天然状态下与地表水体之间存在互补关系。即枯水期浅层地下水补给地表水，而丰水期则是地表水补给浅层地下水。其迳流主要受地形地貌条件控制，总体而言水平迳流缓慢，主要通过蒸发和蒸腾、排向地表水体、民井开采、越流补给深层水等几种方式排泄。</w:t>
      </w:r>
    </w:p>
    <w:p>
      <w:pPr>
        <w:adjustRightInd w:val="0"/>
        <w:snapToGrid w:val="0"/>
        <w:spacing w:line="500" w:lineRule="exact"/>
        <w:ind w:firstLine="561"/>
        <w:rPr>
          <w:rFonts w:eastAsia="仿宋_GB2312"/>
          <w:sz w:val="28"/>
          <w:szCs w:val="28"/>
        </w:rPr>
      </w:pPr>
      <w:r>
        <w:rPr>
          <w:rFonts w:eastAsia="仿宋_GB2312"/>
          <w:sz w:val="28"/>
          <w:szCs w:val="28"/>
        </w:rPr>
        <w:t>孔隙承压水的补给来源主要有上部含水层的越流补给、长江水侧向补给以及含水层顶板粘性土的压密释水，在天然状态下，水力坡度小，该层地下水的迳流运动比较缓慢。在开采条件下，主要表现为由周边向水位降落漏斗中心迳流，人工开采是深层孔隙承压水的主要排泄途径，其次是区域水位落差造成压力水头差，以越流的方式补给相邻的含水层。</w:t>
      </w:r>
    </w:p>
    <w:p>
      <w:pPr>
        <w:adjustRightInd w:val="0"/>
        <w:snapToGrid w:val="0"/>
        <w:spacing w:line="500" w:lineRule="exact"/>
        <w:ind w:firstLine="561"/>
        <w:rPr>
          <w:rFonts w:eastAsia="仿宋_GB2312"/>
          <w:sz w:val="28"/>
          <w:szCs w:val="28"/>
        </w:rPr>
      </w:pPr>
      <w:r>
        <w:rPr>
          <w:rFonts w:hint="eastAsia" w:eastAsia="仿宋_GB2312" w:cs="宋体"/>
          <w:sz w:val="28"/>
          <w:szCs w:val="28"/>
        </w:rPr>
        <w:t>⑵</w:t>
      </w:r>
      <w:r>
        <w:rPr>
          <w:rFonts w:eastAsia="仿宋_GB2312"/>
          <w:sz w:val="28"/>
          <w:szCs w:val="28"/>
        </w:rPr>
        <w:t>基岩裂隙水</w:t>
      </w:r>
    </w:p>
    <w:p>
      <w:pPr>
        <w:adjustRightInd w:val="0"/>
        <w:snapToGrid w:val="0"/>
        <w:spacing w:line="500" w:lineRule="exact"/>
        <w:ind w:firstLine="561"/>
        <w:rPr>
          <w:rFonts w:eastAsia="仿宋_GB2312"/>
          <w:sz w:val="28"/>
          <w:szCs w:val="28"/>
        </w:rPr>
      </w:pPr>
      <w:r>
        <w:rPr>
          <w:rFonts w:eastAsia="仿宋_GB2312"/>
          <w:sz w:val="28"/>
          <w:szCs w:val="28"/>
        </w:rPr>
        <w:t>基岩的埋藏条件不同，其补迳排条件也不相同。裸露区基岩主要接受大气降水补给，以人工开采或泉的形式排泄。在横林隐伏型灰岩溶洞裂隙水区，除侧向迳流补给外，还接受第</w:t>
      </w:r>
      <w:r>
        <w:rPr>
          <w:rFonts w:hint="eastAsia" w:eastAsia="仿宋_GB2312" w:cs="宋体"/>
          <w:sz w:val="28"/>
          <w:szCs w:val="28"/>
        </w:rPr>
        <w:t>Ⅱ</w:t>
      </w:r>
      <w:r>
        <w:rPr>
          <w:rFonts w:eastAsia="仿宋_GB2312"/>
          <w:sz w:val="28"/>
          <w:szCs w:val="28"/>
        </w:rPr>
        <w:t>孔隙承压水的补给。</w:t>
      </w:r>
    </w:p>
    <w:p>
      <w:pPr>
        <w:keepNext/>
        <w:widowControl/>
        <w:numPr>
          <w:ilvl w:val="3"/>
          <w:numId w:val="1"/>
        </w:numPr>
        <w:tabs>
          <w:tab w:val="left" w:pos="0"/>
        </w:tabs>
        <w:adjustRightInd w:val="0"/>
        <w:snapToGrid w:val="0"/>
        <w:spacing w:after="120" w:afterLines="50" w:line="500" w:lineRule="exact"/>
        <w:ind w:left="0" w:firstLine="0"/>
        <w:jc w:val="left"/>
        <w:outlineLvl w:val="3"/>
        <w:rPr>
          <w:rFonts w:eastAsia="仿宋_GB2312"/>
          <w:b/>
          <w:bCs/>
          <w:sz w:val="28"/>
          <w:szCs w:val="28"/>
        </w:rPr>
      </w:pPr>
      <w:r>
        <w:rPr>
          <w:rFonts w:eastAsia="仿宋_GB2312"/>
          <w:b/>
          <w:bCs/>
          <w:sz w:val="28"/>
          <w:szCs w:val="28"/>
        </w:rPr>
        <w:t>项目所在地水文地质条件</w:t>
      </w:r>
    </w:p>
    <w:p>
      <w:pPr>
        <w:adjustRightInd w:val="0"/>
        <w:snapToGrid w:val="0"/>
        <w:spacing w:line="500" w:lineRule="exact"/>
        <w:ind w:firstLine="561"/>
        <w:rPr>
          <w:rFonts w:eastAsia="仿宋_GB2312"/>
          <w:sz w:val="28"/>
          <w:szCs w:val="28"/>
        </w:rPr>
      </w:pPr>
      <w:r>
        <w:rPr>
          <w:rFonts w:hint="eastAsia" w:eastAsia="仿宋_GB2312"/>
          <w:sz w:val="28"/>
          <w:szCs w:val="28"/>
        </w:rPr>
        <w:t>项目所在地层概况参考周边企业地质勘探报告，场地内地层属第四系全新统(Q4)及上更新统(Q3)长江下游三角洲冲积层，自上而下可分为8个工程地质单元层，15个亚层，分述见表5.2-2</w:t>
      </w:r>
      <w:r>
        <w:rPr>
          <w:rFonts w:eastAsia="仿宋_GB2312"/>
          <w:sz w:val="28"/>
          <w:szCs w:val="28"/>
        </w:rPr>
        <w:t>8</w:t>
      </w:r>
      <w:r>
        <w:rPr>
          <w:rFonts w:hint="eastAsia" w:eastAsia="仿宋_GB2312"/>
          <w:sz w:val="28"/>
          <w:szCs w:val="28"/>
        </w:rPr>
        <w:t>。场地地质剖面图和地岩性柱状图分别见图5.2-13和图5.2-14。</w:t>
      </w:r>
    </w:p>
    <w:p>
      <w:pPr>
        <w:widowControl/>
        <w:rPr>
          <w:rFonts w:eastAsia="仿宋_GB2312"/>
          <w:b/>
          <w:highlight w:val="green"/>
        </w:rPr>
      </w:pPr>
    </w:p>
    <w:p>
      <w:pPr>
        <w:widowControl/>
        <w:rPr>
          <w:rFonts w:eastAsia="仿宋_GB2312"/>
          <w:b/>
          <w:highlight w:val="green"/>
        </w:rPr>
        <w:sectPr>
          <w:pgSz w:w="11906" w:h="16838"/>
          <w:pgMar w:top="1440" w:right="1797" w:bottom="1440" w:left="1797" w:header="539" w:footer="992" w:gutter="0"/>
          <w:cols w:space="720" w:num="1"/>
        </w:sectPr>
      </w:pPr>
    </w:p>
    <w:p>
      <w:pPr>
        <w:tabs>
          <w:tab w:val="left" w:pos="7380"/>
        </w:tabs>
        <w:overflowPunct w:val="0"/>
        <w:jc w:val="center"/>
        <w:rPr>
          <w:rFonts w:eastAsia="仿宋_GB2312"/>
          <w:b/>
          <w:sz w:val="24"/>
        </w:rPr>
      </w:pPr>
      <w:r>
        <w:rPr>
          <w:rFonts w:eastAsia="仿宋_GB2312"/>
          <w:b/>
          <w:sz w:val="24"/>
        </w:rPr>
        <w:t>表5.2-26  土层特性简表</w:t>
      </w:r>
    </w:p>
    <w:tbl>
      <w:tblPr>
        <w:tblStyle w:val="87"/>
        <w:tblW w:w="525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65"/>
        <w:gridCol w:w="1003"/>
        <w:gridCol w:w="929"/>
        <w:gridCol w:w="1688"/>
        <w:gridCol w:w="1684"/>
        <w:gridCol w:w="954"/>
        <w:gridCol w:w="912"/>
        <w:gridCol w:w="3698"/>
        <w:gridCol w:w="1070"/>
        <w:gridCol w:w="122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012" w:type="dxa"/>
            <w:vMerge w:val="restart"/>
            <w:vAlign w:val="center"/>
          </w:tcPr>
          <w:p>
            <w:pPr>
              <w:widowControl/>
              <w:spacing w:line="240" w:lineRule="exact"/>
              <w:jc w:val="center"/>
              <w:rPr>
                <w:rFonts w:eastAsia="仿宋_GB2312"/>
                <w:bCs/>
                <w:kern w:val="0"/>
                <w:szCs w:val="21"/>
              </w:rPr>
            </w:pPr>
            <w:r>
              <w:rPr>
                <w:rFonts w:eastAsia="仿宋_GB2312"/>
                <w:bCs/>
                <w:kern w:val="0"/>
                <w:szCs w:val="21"/>
              </w:rPr>
              <w:t>时代</w:t>
            </w:r>
          </w:p>
          <w:p>
            <w:pPr>
              <w:widowControl/>
              <w:spacing w:line="240" w:lineRule="exact"/>
              <w:jc w:val="center"/>
              <w:rPr>
                <w:rFonts w:eastAsia="仿宋_GB2312"/>
                <w:bCs/>
                <w:kern w:val="0"/>
                <w:szCs w:val="21"/>
              </w:rPr>
            </w:pPr>
            <w:r>
              <w:rPr>
                <w:rFonts w:eastAsia="仿宋_GB2312"/>
                <w:bCs/>
                <w:kern w:val="0"/>
                <w:szCs w:val="21"/>
              </w:rPr>
              <w:t>成因</w:t>
            </w:r>
          </w:p>
        </w:tc>
        <w:tc>
          <w:tcPr>
            <w:tcW w:w="1054" w:type="dxa"/>
            <w:vMerge w:val="restart"/>
            <w:vAlign w:val="center"/>
          </w:tcPr>
          <w:p>
            <w:pPr>
              <w:widowControl/>
              <w:spacing w:line="240" w:lineRule="exact"/>
              <w:jc w:val="center"/>
              <w:rPr>
                <w:rFonts w:eastAsia="仿宋_GB2312"/>
                <w:bCs/>
                <w:kern w:val="0"/>
                <w:szCs w:val="21"/>
              </w:rPr>
            </w:pPr>
            <w:r>
              <w:rPr>
                <w:rFonts w:eastAsia="仿宋_GB2312"/>
                <w:bCs/>
                <w:kern w:val="0"/>
                <w:szCs w:val="21"/>
              </w:rPr>
              <w:t>土层</w:t>
            </w:r>
          </w:p>
          <w:p>
            <w:pPr>
              <w:widowControl/>
              <w:spacing w:line="240" w:lineRule="exact"/>
              <w:jc w:val="center"/>
              <w:rPr>
                <w:rFonts w:eastAsia="仿宋_GB2312"/>
                <w:bCs/>
                <w:kern w:val="0"/>
                <w:szCs w:val="21"/>
              </w:rPr>
            </w:pPr>
            <w:r>
              <w:rPr>
                <w:rFonts w:eastAsia="仿宋_GB2312"/>
                <w:bCs/>
                <w:kern w:val="0"/>
                <w:szCs w:val="21"/>
              </w:rPr>
              <w:t>编号</w:t>
            </w:r>
          </w:p>
        </w:tc>
        <w:tc>
          <w:tcPr>
            <w:tcW w:w="974" w:type="dxa"/>
            <w:vMerge w:val="restart"/>
            <w:vAlign w:val="center"/>
          </w:tcPr>
          <w:p>
            <w:pPr>
              <w:widowControl/>
              <w:spacing w:line="240" w:lineRule="exact"/>
              <w:jc w:val="center"/>
              <w:rPr>
                <w:rFonts w:eastAsia="仿宋_GB2312"/>
                <w:bCs/>
                <w:kern w:val="0"/>
                <w:szCs w:val="21"/>
              </w:rPr>
            </w:pPr>
            <w:r>
              <w:rPr>
                <w:rFonts w:eastAsia="仿宋_GB2312"/>
                <w:bCs/>
                <w:kern w:val="0"/>
                <w:szCs w:val="21"/>
              </w:rPr>
              <w:t>土名</w:t>
            </w:r>
          </w:p>
        </w:tc>
        <w:tc>
          <w:tcPr>
            <w:tcW w:w="1788" w:type="dxa"/>
            <w:vMerge w:val="restart"/>
            <w:vAlign w:val="center"/>
          </w:tcPr>
          <w:p>
            <w:pPr>
              <w:widowControl/>
              <w:spacing w:line="240" w:lineRule="exact"/>
              <w:jc w:val="center"/>
              <w:rPr>
                <w:rFonts w:eastAsia="仿宋_GB2312"/>
                <w:bCs/>
                <w:kern w:val="0"/>
                <w:szCs w:val="21"/>
              </w:rPr>
            </w:pPr>
            <w:r>
              <w:rPr>
                <w:rFonts w:eastAsia="仿宋_GB2312"/>
                <w:bCs/>
                <w:kern w:val="0"/>
                <w:szCs w:val="21"/>
              </w:rPr>
              <w:t>层底标高（m）</w:t>
            </w:r>
          </w:p>
          <w:p>
            <w:pPr>
              <w:widowControl/>
              <w:spacing w:line="240" w:lineRule="exact"/>
              <w:jc w:val="center"/>
              <w:rPr>
                <w:rFonts w:eastAsia="仿宋_GB2312"/>
                <w:bCs/>
                <w:kern w:val="0"/>
                <w:szCs w:val="21"/>
              </w:rPr>
            </w:pPr>
            <w:r>
              <w:rPr>
                <w:rFonts w:eastAsia="仿宋_GB2312"/>
                <w:bCs/>
                <w:kern w:val="0"/>
                <w:szCs w:val="21"/>
              </w:rPr>
              <w:t>范围值（平均值）</w:t>
            </w:r>
          </w:p>
        </w:tc>
        <w:tc>
          <w:tcPr>
            <w:tcW w:w="1783" w:type="dxa"/>
            <w:vMerge w:val="restart"/>
            <w:vAlign w:val="center"/>
          </w:tcPr>
          <w:p>
            <w:pPr>
              <w:widowControl/>
              <w:spacing w:line="240" w:lineRule="exact"/>
              <w:jc w:val="center"/>
              <w:rPr>
                <w:rFonts w:eastAsia="仿宋_GB2312"/>
                <w:bCs/>
                <w:kern w:val="0"/>
                <w:szCs w:val="21"/>
              </w:rPr>
            </w:pPr>
            <w:r>
              <w:rPr>
                <w:rFonts w:eastAsia="仿宋_GB2312"/>
                <w:bCs/>
                <w:kern w:val="0"/>
                <w:szCs w:val="21"/>
              </w:rPr>
              <w:t>层厚（m）</w:t>
            </w:r>
          </w:p>
          <w:p>
            <w:pPr>
              <w:widowControl/>
              <w:spacing w:line="240" w:lineRule="exact"/>
              <w:jc w:val="center"/>
              <w:rPr>
                <w:rFonts w:eastAsia="仿宋_GB2312"/>
                <w:bCs/>
                <w:kern w:val="0"/>
                <w:szCs w:val="21"/>
              </w:rPr>
            </w:pPr>
            <w:r>
              <w:rPr>
                <w:rFonts w:eastAsia="仿宋_GB2312"/>
                <w:bCs/>
                <w:kern w:val="0"/>
                <w:szCs w:val="21"/>
              </w:rPr>
              <w:t>范围值（平均值）</w:t>
            </w:r>
          </w:p>
        </w:tc>
        <w:tc>
          <w:tcPr>
            <w:tcW w:w="1001" w:type="dxa"/>
            <w:vMerge w:val="restart"/>
            <w:vAlign w:val="center"/>
          </w:tcPr>
          <w:p>
            <w:pPr>
              <w:widowControl/>
              <w:spacing w:line="240" w:lineRule="exact"/>
              <w:jc w:val="center"/>
              <w:rPr>
                <w:rFonts w:eastAsia="仿宋_GB2312"/>
                <w:bCs/>
                <w:kern w:val="0"/>
                <w:szCs w:val="21"/>
              </w:rPr>
            </w:pPr>
            <w:r>
              <w:rPr>
                <w:rFonts w:eastAsia="仿宋_GB2312"/>
                <w:bCs/>
                <w:kern w:val="0"/>
                <w:szCs w:val="21"/>
              </w:rPr>
              <w:t>颜色</w:t>
            </w:r>
          </w:p>
        </w:tc>
        <w:tc>
          <w:tcPr>
            <w:tcW w:w="956" w:type="dxa"/>
            <w:vMerge w:val="restart"/>
            <w:vAlign w:val="center"/>
          </w:tcPr>
          <w:p>
            <w:pPr>
              <w:widowControl/>
              <w:spacing w:line="240" w:lineRule="exact"/>
              <w:jc w:val="center"/>
              <w:rPr>
                <w:rFonts w:eastAsia="仿宋_GB2312"/>
                <w:bCs/>
                <w:kern w:val="0"/>
                <w:szCs w:val="21"/>
              </w:rPr>
            </w:pPr>
            <w:r>
              <w:rPr>
                <w:rFonts w:eastAsia="仿宋_GB2312"/>
                <w:bCs/>
                <w:kern w:val="0"/>
                <w:szCs w:val="21"/>
              </w:rPr>
              <w:t>状态或密实度</w:t>
            </w:r>
          </w:p>
        </w:tc>
        <w:tc>
          <w:tcPr>
            <w:tcW w:w="3941" w:type="dxa"/>
            <w:vMerge w:val="restart"/>
            <w:vAlign w:val="center"/>
          </w:tcPr>
          <w:p>
            <w:pPr>
              <w:widowControl/>
              <w:spacing w:line="240" w:lineRule="exact"/>
              <w:jc w:val="center"/>
              <w:rPr>
                <w:rFonts w:eastAsia="仿宋_GB2312"/>
                <w:bCs/>
                <w:kern w:val="0"/>
                <w:szCs w:val="21"/>
              </w:rPr>
            </w:pPr>
            <w:r>
              <w:rPr>
                <w:rFonts w:eastAsia="仿宋_GB2312"/>
                <w:bCs/>
                <w:kern w:val="0"/>
                <w:szCs w:val="21"/>
              </w:rPr>
              <w:t>其他描述</w:t>
            </w:r>
          </w:p>
        </w:tc>
        <w:tc>
          <w:tcPr>
            <w:tcW w:w="2422" w:type="dxa"/>
            <w:gridSpan w:val="2"/>
            <w:vAlign w:val="center"/>
          </w:tcPr>
          <w:p>
            <w:pPr>
              <w:widowControl/>
              <w:spacing w:line="240" w:lineRule="exact"/>
              <w:jc w:val="center"/>
              <w:rPr>
                <w:rFonts w:eastAsia="仿宋_GB2312"/>
                <w:bCs/>
                <w:kern w:val="0"/>
                <w:szCs w:val="21"/>
              </w:rPr>
            </w:pPr>
            <w:r>
              <w:rPr>
                <w:rFonts w:eastAsia="仿宋_GB2312"/>
                <w:bCs/>
                <w:kern w:val="0"/>
                <w:szCs w:val="21"/>
              </w:rPr>
              <w:t>静探指标平均值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012" w:type="dxa"/>
            <w:vMerge w:val="continue"/>
            <w:vAlign w:val="center"/>
          </w:tcPr>
          <w:p>
            <w:pPr>
              <w:widowControl/>
              <w:jc w:val="left"/>
              <w:rPr>
                <w:rFonts w:eastAsia="仿宋_GB2312"/>
                <w:bCs/>
                <w:kern w:val="0"/>
                <w:szCs w:val="21"/>
              </w:rPr>
            </w:pPr>
          </w:p>
        </w:tc>
        <w:tc>
          <w:tcPr>
            <w:tcW w:w="1054" w:type="dxa"/>
            <w:vMerge w:val="continue"/>
            <w:vAlign w:val="center"/>
          </w:tcPr>
          <w:p>
            <w:pPr>
              <w:widowControl/>
              <w:jc w:val="left"/>
              <w:rPr>
                <w:rFonts w:eastAsia="仿宋_GB2312"/>
                <w:bCs/>
                <w:kern w:val="0"/>
                <w:szCs w:val="21"/>
              </w:rPr>
            </w:pPr>
          </w:p>
        </w:tc>
        <w:tc>
          <w:tcPr>
            <w:tcW w:w="974" w:type="dxa"/>
            <w:vMerge w:val="continue"/>
            <w:vAlign w:val="center"/>
          </w:tcPr>
          <w:p>
            <w:pPr>
              <w:widowControl/>
              <w:jc w:val="left"/>
              <w:rPr>
                <w:rFonts w:eastAsia="仿宋_GB2312"/>
                <w:bCs/>
                <w:kern w:val="0"/>
                <w:szCs w:val="21"/>
              </w:rPr>
            </w:pPr>
          </w:p>
        </w:tc>
        <w:tc>
          <w:tcPr>
            <w:tcW w:w="1788" w:type="dxa"/>
            <w:vMerge w:val="continue"/>
            <w:vAlign w:val="center"/>
          </w:tcPr>
          <w:p>
            <w:pPr>
              <w:widowControl/>
              <w:jc w:val="left"/>
              <w:rPr>
                <w:rFonts w:eastAsia="仿宋_GB2312"/>
                <w:bCs/>
                <w:kern w:val="0"/>
                <w:szCs w:val="21"/>
              </w:rPr>
            </w:pPr>
          </w:p>
        </w:tc>
        <w:tc>
          <w:tcPr>
            <w:tcW w:w="1783" w:type="dxa"/>
            <w:vMerge w:val="continue"/>
            <w:vAlign w:val="center"/>
          </w:tcPr>
          <w:p>
            <w:pPr>
              <w:widowControl/>
              <w:jc w:val="left"/>
              <w:rPr>
                <w:rFonts w:eastAsia="仿宋_GB2312"/>
                <w:bCs/>
                <w:kern w:val="0"/>
                <w:szCs w:val="21"/>
              </w:rPr>
            </w:pPr>
          </w:p>
        </w:tc>
        <w:tc>
          <w:tcPr>
            <w:tcW w:w="1001" w:type="dxa"/>
            <w:vMerge w:val="continue"/>
            <w:vAlign w:val="center"/>
          </w:tcPr>
          <w:p>
            <w:pPr>
              <w:widowControl/>
              <w:jc w:val="left"/>
              <w:rPr>
                <w:rFonts w:eastAsia="仿宋_GB2312"/>
                <w:bCs/>
                <w:kern w:val="0"/>
                <w:szCs w:val="21"/>
              </w:rPr>
            </w:pPr>
          </w:p>
        </w:tc>
        <w:tc>
          <w:tcPr>
            <w:tcW w:w="956" w:type="dxa"/>
            <w:vMerge w:val="continue"/>
            <w:vAlign w:val="center"/>
          </w:tcPr>
          <w:p>
            <w:pPr>
              <w:widowControl/>
              <w:jc w:val="left"/>
              <w:rPr>
                <w:rFonts w:eastAsia="仿宋_GB2312"/>
                <w:bCs/>
                <w:kern w:val="0"/>
                <w:szCs w:val="21"/>
              </w:rPr>
            </w:pPr>
          </w:p>
        </w:tc>
        <w:tc>
          <w:tcPr>
            <w:tcW w:w="3941" w:type="dxa"/>
            <w:vMerge w:val="continue"/>
            <w:vAlign w:val="center"/>
          </w:tcPr>
          <w:p>
            <w:pPr>
              <w:widowControl/>
              <w:jc w:val="left"/>
              <w:rPr>
                <w:rFonts w:eastAsia="仿宋_GB2312"/>
                <w:bCs/>
                <w:kern w:val="0"/>
                <w:szCs w:val="21"/>
              </w:rPr>
            </w:pPr>
          </w:p>
        </w:tc>
        <w:tc>
          <w:tcPr>
            <w:tcW w:w="1126" w:type="dxa"/>
            <w:vAlign w:val="center"/>
          </w:tcPr>
          <w:p>
            <w:pPr>
              <w:widowControl/>
              <w:spacing w:line="240" w:lineRule="exact"/>
              <w:jc w:val="center"/>
              <w:rPr>
                <w:rFonts w:eastAsia="仿宋_GB2312"/>
                <w:bCs/>
                <w:kern w:val="0"/>
                <w:szCs w:val="21"/>
              </w:rPr>
            </w:pPr>
            <w:r>
              <w:rPr>
                <w:rFonts w:eastAsia="仿宋_GB2312"/>
                <w:bCs/>
                <w:kern w:val="0"/>
                <w:szCs w:val="21"/>
              </w:rPr>
              <w:t>锥尖阻力qc（MPa）</w:t>
            </w:r>
          </w:p>
        </w:tc>
        <w:tc>
          <w:tcPr>
            <w:tcW w:w="1296" w:type="dxa"/>
            <w:vAlign w:val="center"/>
          </w:tcPr>
          <w:p>
            <w:pPr>
              <w:widowControl/>
              <w:spacing w:line="240" w:lineRule="exact"/>
              <w:jc w:val="center"/>
              <w:rPr>
                <w:rFonts w:eastAsia="仿宋_GB2312"/>
                <w:bCs/>
                <w:kern w:val="0"/>
                <w:szCs w:val="21"/>
              </w:rPr>
            </w:pPr>
            <w:r>
              <w:rPr>
                <w:rFonts w:eastAsia="仿宋_GB2312"/>
                <w:bCs/>
                <w:kern w:val="0"/>
                <w:szCs w:val="21"/>
              </w:rPr>
              <w:t>侧壁摩阻力fs（kPa）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012" w:type="dxa"/>
            <w:vAlign w:val="center"/>
          </w:tcPr>
          <w:p>
            <w:pPr>
              <w:widowControl/>
              <w:spacing w:line="240" w:lineRule="exact"/>
              <w:jc w:val="center"/>
              <w:rPr>
                <w:rFonts w:eastAsia="仿宋_GB2312"/>
                <w:kern w:val="0"/>
                <w:szCs w:val="21"/>
              </w:rPr>
            </w:pPr>
            <w:r>
              <w:rPr>
                <w:rFonts w:eastAsia="仿宋_GB2312"/>
                <w:kern w:val="0"/>
                <w:szCs w:val="21"/>
              </w:rPr>
              <w:t>Q4ml</w:t>
            </w:r>
          </w:p>
        </w:tc>
        <w:tc>
          <w:tcPr>
            <w:tcW w:w="1054" w:type="dxa"/>
            <w:vAlign w:val="center"/>
          </w:tcPr>
          <w:p>
            <w:pPr>
              <w:widowControl/>
              <w:spacing w:line="240" w:lineRule="exact"/>
              <w:jc w:val="center"/>
              <w:rPr>
                <w:rFonts w:eastAsia="仿宋_GB2312"/>
                <w:kern w:val="0"/>
                <w:szCs w:val="21"/>
              </w:rPr>
            </w:pPr>
          </w:p>
        </w:tc>
        <w:tc>
          <w:tcPr>
            <w:tcW w:w="974" w:type="dxa"/>
            <w:vAlign w:val="center"/>
          </w:tcPr>
          <w:p>
            <w:pPr>
              <w:widowControl/>
              <w:spacing w:line="240" w:lineRule="exact"/>
              <w:jc w:val="center"/>
              <w:rPr>
                <w:rFonts w:eastAsia="仿宋_GB2312"/>
                <w:kern w:val="0"/>
                <w:szCs w:val="21"/>
              </w:rPr>
            </w:pPr>
            <w:r>
              <w:rPr>
                <w:rFonts w:eastAsia="仿宋_GB2312"/>
                <w:kern w:val="0"/>
                <w:szCs w:val="21"/>
              </w:rPr>
              <w:t>填土</w:t>
            </w:r>
          </w:p>
        </w:tc>
        <w:tc>
          <w:tcPr>
            <w:tcW w:w="1788" w:type="dxa"/>
            <w:vAlign w:val="center"/>
          </w:tcPr>
          <w:p>
            <w:pPr>
              <w:widowControl/>
              <w:spacing w:line="240" w:lineRule="exact"/>
              <w:jc w:val="center"/>
              <w:rPr>
                <w:rFonts w:eastAsia="仿宋_GB2312"/>
                <w:kern w:val="0"/>
                <w:szCs w:val="21"/>
              </w:rPr>
            </w:pPr>
            <w:r>
              <w:rPr>
                <w:rFonts w:eastAsia="仿宋_GB2312"/>
                <w:kern w:val="0"/>
                <w:szCs w:val="21"/>
              </w:rPr>
              <w:t>-0.16～5.12</w:t>
            </w:r>
          </w:p>
          <w:p>
            <w:pPr>
              <w:widowControl/>
              <w:spacing w:line="240" w:lineRule="exact"/>
              <w:jc w:val="center"/>
              <w:rPr>
                <w:rFonts w:eastAsia="仿宋_GB2312"/>
                <w:kern w:val="0"/>
                <w:szCs w:val="21"/>
              </w:rPr>
            </w:pPr>
            <w:r>
              <w:rPr>
                <w:rFonts w:eastAsia="仿宋_GB2312"/>
                <w:kern w:val="0"/>
                <w:szCs w:val="21"/>
              </w:rPr>
              <w:t>（3.74）</w:t>
            </w:r>
          </w:p>
        </w:tc>
        <w:tc>
          <w:tcPr>
            <w:tcW w:w="1783" w:type="dxa"/>
            <w:vAlign w:val="center"/>
          </w:tcPr>
          <w:p>
            <w:pPr>
              <w:widowControl/>
              <w:spacing w:line="240" w:lineRule="exact"/>
              <w:jc w:val="center"/>
              <w:rPr>
                <w:rFonts w:eastAsia="仿宋_GB2312"/>
                <w:kern w:val="0"/>
                <w:szCs w:val="21"/>
              </w:rPr>
            </w:pPr>
            <w:r>
              <w:rPr>
                <w:rFonts w:eastAsia="仿宋_GB2312"/>
                <w:kern w:val="0"/>
                <w:szCs w:val="21"/>
              </w:rPr>
              <w:t>0.2～5.2</w:t>
            </w:r>
          </w:p>
          <w:p>
            <w:pPr>
              <w:widowControl/>
              <w:spacing w:line="240" w:lineRule="exact"/>
              <w:jc w:val="center"/>
              <w:rPr>
                <w:rFonts w:eastAsia="仿宋_GB2312"/>
                <w:kern w:val="0"/>
                <w:szCs w:val="21"/>
              </w:rPr>
            </w:pPr>
            <w:r>
              <w:rPr>
                <w:rFonts w:eastAsia="仿宋_GB2312"/>
                <w:kern w:val="0"/>
                <w:szCs w:val="21"/>
              </w:rPr>
              <w:t>（1.34）</w:t>
            </w:r>
          </w:p>
        </w:tc>
        <w:tc>
          <w:tcPr>
            <w:tcW w:w="1001" w:type="dxa"/>
            <w:vAlign w:val="center"/>
          </w:tcPr>
          <w:p>
            <w:pPr>
              <w:widowControl/>
              <w:spacing w:line="240" w:lineRule="exact"/>
              <w:jc w:val="center"/>
              <w:rPr>
                <w:rFonts w:eastAsia="仿宋_GB2312"/>
                <w:kern w:val="0"/>
                <w:szCs w:val="21"/>
              </w:rPr>
            </w:pPr>
            <w:r>
              <w:rPr>
                <w:rFonts w:eastAsia="仿宋_GB2312"/>
                <w:kern w:val="0"/>
                <w:szCs w:val="21"/>
              </w:rPr>
              <w:t>杂色</w:t>
            </w:r>
          </w:p>
        </w:tc>
        <w:tc>
          <w:tcPr>
            <w:tcW w:w="956" w:type="dxa"/>
            <w:vAlign w:val="center"/>
          </w:tcPr>
          <w:p>
            <w:pPr>
              <w:widowControl/>
              <w:spacing w:line="240" w:lineRule="exact"/>
              <w:jc w:val="center"/>
              <w:rPr>
                <w:rFonts w:eastAsia="仿宋_GB2312"/>
                <w:kern w:val="0"/>
                <w:szCs w:val="21"/>
              </w:rPr>
            </w:pPr>
            <w:r>
              <w:rPr>
                <w:rFonts w:eastAsia="仿宋_GB2312"/>
                <w:kern w:val="0"/>
                <w:szCs w:val="21"/>
              </w:rPr>
              <w:t>松散</w:t>
            </w:r>
          </w:p>
        </w:tc>
        <w:tc>
          <w:tcPr>
            <w:tcW w:w="3941" w:type="dxa"/>
            <w:vAlign w:val="center"/>
          </w:tcPr>
          <w:p>
            <w:pPr>
              <w:widowControl/>
              <w:spacing w:line="240" w:lineRule="exact"/>
              <w:jc w:val="center"/>
              <w:rPr>
                <w:rFonts w:eastAsia="仿宋_GB2312"/>
                <w:kern w:val="0"/>
                <w:szCs w:val="21"/>
              </w:rPr>
            </w:pPr>
            <w:r>
              <w:rPr>
                <w:rFonts w:eastAsia="仿宋_GB2312"/>
                <w:kern w:val="0"/>
                <w:szCs w:val="21"/>
              </w:rPr>
              <w:t>主要软塑状粘性土为主，含少量细砂、淤泥及碎石子等，其中顶部夹植物根茎</w:t>
            </w:r>
          </w:p>
        </w:tc>
        <w:tc>
          <w:tcPr>
            <w:tcW w:w="1126" w:type="dxa"/>
            <w:vAlign w:val="center"/>
          </w:tcPr>
          <w:p>
            <w:pPr>
              <w:widowControl/>
              <w:spacing w:line="240" w:lineRule="exact"/>
              <w:jc w:val="center"/>
              <w:rPr>
                <w:rFonts w:eastAsia="仿宋_GB2312"/>
                <w:kern w:val="0"/>
                <w:szCs w:val="21"/>
              </w:rPr>
            </w:pPr>
            <w:r>
              <w:rPr>
                <w:rFonts w:eastAsia="仿宋_GB2312"/>
                <w:kern w:val="0"/>
                <w:szCs w:val="21"/>
              </w:rPr>
              <w:t>1.03</w:t>
            </w:r>
          </w:p>
        </w:tc>
        <w:tc>
          <w:tcPr>
            <w:tcW w:w="1296" w:type="dxa"/>
            <w:vAlign w:val="center"/>
          </w:tcPr>
          <w:p>
            <w:pPr>
              <w:widowControl/>
              <w:spacing w:line="240" w:lineRule="exact"/>
              <w:jc w:val="center"/>
              <w:rPr>
                <w:rFonts w:eastAsia="仿宋_GB2312"/>
                <w:kern w:val="0"/>
                <w:szCs w:val="21"/>
              </w:rPr>
            </w:pPr>
            <w:r>
              <w:rPr>
                <w:rFonts w:eastAsia="仿宋_GB2312"/>
                <w:kern w:val="0"/>
                <w:szCs w:val="21"/>
              </w:rPr>
              <w:t>33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012" w:type="dxa"/>
            <w:vMerge w:val="restart"/>
            <w:vAlign w:val="center"/>
          </w:tcPr>
          <w:p>
            <w:pPr>
              <w:widowControl/>
              <w:spacing w:line="240" w:lineRule="exact"/>
              <w:jc w:val="center"/>
              <w:rPr>
                <w:rFonts w:eastAsia="仿宋_GB2312"/>
                <w:kern w:val="0"/>
                <w:szCs w:val="21"/>
              </w:rPr>
            </w:pPr>
            <w:r>
              <w:rPr>
                <w:rFonts w:eastAsia="仿宋_GB2312"/>
                <w:kern w:val="0"/>
                <w:szCs w:val="21"/>
              </w:rPr>
              <w:t>Q4al</w:t>
            </w:r>
          </w:p>
        </w:tc>
        <w:tc>
          <w:tcPr>
            <w:tcW w:w="1054" w:type="dxa"/>
            <w:vAlign w:val="center"/>
          </w:tcPr>
          <w:p>
            <w:pPr>
              <w:widowControl/>
              <w:spacing w:line="240" w:lineRule="exact"/>
              <w:jc w:val="center"/>
              <w:rPr>
                <w:rFonts w:eastAsia="仿宋_GB2312"/>
                <w:kern w:val="0"/>
                <w:szCs w:val="21"/>
              </w:rPr>
            </w:pPr>
            <w:r>
              <w:rPr>
                <w:rFonts w:hint="eastAsia" w:ascii="宋体" w:hAnsi="宋体" w:cs="宋体"/>
                <w:kern w:val="0"/>
                <w:szCs w:val="21"/>
              </w:rPr>
              <w:t>②</w:t>
            </w:r>
            <w:r>
              <w:rPr>
                <w:rFonts w:eastAsia="仿宋_GB2312"/>
                <w:kern w:val="0"/>
                <w:szCs w:val="21"/>
              </w:rPr>
              <w:t>1</w:t>
            </w:r>
          </w:p>
        </w:tc>
        <w:tc>
          <w:tcPr>
            <w:tcW w:w="974" w:type="dxa"/>
            <w:vAlign w:val="center"/>
          </w:tcPr>
          <w:p>
            <w:pPr>
              <w:widowControl/>
              <w:spacing w:line="240" w:lineRule="exact"/>
              <w:jc w:val="center"/>
              <w:rPr>
                <w:rFonts w:eastAsia="仿宋_GB2312"/>
                <w:kern w:val="0"/>
                <w:szCs w:val="21"/>
              </w:rPr>
            </w:pPr>
            <w:r>
              <w:rPr>
                <w:rFonts w:eastAsia="仿宋_GB2312"/>
                <w:kern w:val="0"/>
                <w:szCs w:val="21"/>
              </w:rPr>
              <w:t>淤泥质粉质粘土</w:t>
            </w:r>
          </w:p>
        </w:tc>
        <w:tc>
          <w:tcPr>
            <w:tcW w:w="1788" w:type="dxa"/>
            <w:vAlign w:val="center"/>
          </w:tcPr>
          <w:p>
            <w:pPr>
              <w:widowControl/>
              <w:spacing w:line="240" w:lineRule="exact"/>
              <w:jc w:val="center"/>
              <w:rPr>
                <w:rFonts w:eastAsia="仿宋_GB2312"/>
                <w:kern w:val="0"/>
                <w:szCs w:val="21"/>
              </w:rPr>
            </w:pPr>
            <w:r>
              <w:rPr>
                <w:rFonts w:eastAsia="仿宋_GB2312"/>
                <w:kern w:val="0"/>
                <w:szCs w:val="21"/>
              </w:rPr>
              <w:t>-4.90～3.71</w:t>
            </w:r>
          </w:p>
          <w:p>
            <w:pPr>
              <w:widowControl/>
              <w:spacing w:line="240" w:lineRule="exact"/>
              <w:jc w:val="center"/>
              <w:rPr>
                <w:rFonts w:eastAsia="仿宋_GB2312"/>
                <w:kern w:val="0"/>
                <w:szCs w:val="21"/>
              </w:rPr>
            </w:pPr>
            <w:r>
              <w:rPr>
                <w:rFonts w:eastAsia="仿宋_GB2312"/>
                <w:kern w:val="0"/>
                <w:szCs w:val="21"/>
              </w:rPr>
              <w:t>（1.15）</w:t>
            </w:r>
          </w:p>
        </w:tc>
        <w:tc>
          <w:tcPr>
            <w:tcW w:w="1783" w:type="dxa"/>
            <w:vAlign w:val="center"/>
          </w:tcPr>
          <w:p>
            <w:pPr>
              <w:widowControl/>
              <w:spacing w:line="240" w:lineRule="exact"/>
              <w:jc w:val="center"/>
              <w:rPr>
                <w:rFonts w:eastAsia="仿宋_GB2312"/>
                <w:kern w:val="0"/>
                <w:szCs w:val="21"/>
              </w:rPr>
            </w:pPr>
            <w:r>
              <w:rPr>
                <w:rFonts w:eastAsia="仿宋_GB2312"/>
                <w:kern w:val="0"/>
                <w:szCs w:val="21"/>
              </w:rPr>
              <w:t>0.6～7.2</w:t>
            </w:r>
          </w:p>
          <w:p>
            <w:pPr>
              <w:widowControl/>
              <w:spacing w:line="240" w:lineRule="exact"/>
              <w:jc w:val="center"/>
              <w:rPr>
                <w:rFonts w:eastAsia="仿宋_GB2312"/>
                <w:kern w:val="0"/>
                <w:szCs w:val="21"/>
              </w:rPr>
            </w:pPr>
            <w:r>
              <w:rPr>
                <w:rFonts w:eastAsia="仿宋_GB2312"/>
                <w:kern w:val="0"/>
                <w:szCs w:val="21"/>
              </w:rPr>
              <w:t>（2.07）</w:t>
            </w:r>
          </w:p>
        </w:tc>
        <w:tc>
          <w:tcPr>
            <w:tcW w:w="1001" w:type="dxa"/>
            <w:vAlign w:val="center"/>
          </w:tcPr>
          <w:p>
            <w:pPr>
              <w:widowControl/>
              <w:spacing w:line="240" w:lineRule="exact"/>
              <w:jc w:val="center"/>
              <w:rPr>
                <w:rFonts w:eastAsia="仿宋_GB2312"/>
                <w:kern w:val="0"/>
                <w:szCs w:val="21"/>
              </w:rPr>
            </w:pPr>
            <w:r>
              <w:rPr>
                <w:rFonts w:eastAsia="仿宋_GB2312"/>
                <w:kern w:val="0"/>
                <w:szCs w:val="21"/>
              </w:rPr>
              <w:t>灰色</w:t>
            </w:r>
          </w:p>
        </w:tc>
        <w:tc>
          <w:tcPr>
            <w:tcW w:w="956" w:type="dxa"/>
            <w:vAlign w:val="center"/>
          </w:tcPr>
          <w:p>
            <w:pPr>
              <w:widowControl/>
              <w:spacing w:line="240" w:lineRule="exact"/>
              <w:jc w:val="center"/>
              <w:rPr>
                <w:rFonts w:eastAsia="仿宋_GB2312"/>
                <w:kern w:val="0"/>
                <w:szCs w:val="21"/>
              </w:rPr>
            </w:pPr>
            <w:r>
              <w:rPr>
                <w:rFonts w:eastAsia="仿宋_GB2312"/>
                <w:kern w:val="0"/>
                <w:szCs w:val="21"/>
              </w:rPr>
              <w:t>流塑</w:t>
            </w:r>
          </w:p>
        </w:tc>
        <w:tc>
          <w:tcPr>
            <w:tcW w:w="3941" w:type="dxa"/>
            <w:vAlign w:val="center"/>
          </w:tcPr>
          <w:p>
            <w:pPr>
              <w:widowControl/>
              <w:spacing w:line="240" w:lineRule="exact"/>
              <w:jc w:val="center"/>
              <w:rPr>
                <w:rFonts w:eastAsia="仿宋_GB2312"/>
                <w:kern w:val="0"/>
                <w:szCs w:val="21"/>
              </w:rPr>
            </w:pPr>
            <w:r>
              <w:rPr>
                <w:rFonts w:eastAsia="仿宋_GB2312"/>
                <w:kern w:val="0"/>
                <w:szCs w:val="21"/>
              </w:rPr>
              <w:t>含少量腐殖质、云母碎屑，稍有光泽，韧性中等，干强度中等，无摇振反应，局部夹薄层粉土，呈互层状，属高压缩性土，场地大部缺失，仅中部局部存在</w:t>
            </w:r>
          </w:p>
        </w:tc>
        <w:tc>
          <w:tcPr>
            <w:tcW w:w="1126" w:type="dxa"/>
            <w:vAlign w:val="center"/>
          </w:tcPr>
          <w:p>
            <w:pPr>
              <w:widowControl/>
              <w:spacing w:line="240" w:lineRule="exact"/>
              <w:jc w:val="center"/>
              <w:rPr>
                <w:rFonts w:eastAsia="仿宋_GB2312"/>
                <w:kern w:val="0"/>
                <w:szCs w:val="21"/>
              </w:rPr>
            </w:pPr>
            <w:r>
              <w:rPr>
                <w:rFonts w:eastAsia="仿宋_GB2312"/>
                <w:kern w:val="0"/>
                <w:szCs w:val="21"/>
              </w:rPr>
              <w:t>0.46</w:t>
            </w:r>
          </w:p>
        </w:tc>
        <w:tc>
          <w:tcPr>
            <w:tcW w:w="1296" w:type="dxa"/>
            <w:vAlign w:val="center"/>
          </w:tcPr>
          <w:p>
            <w:pPr>
              <w:widowControl/>
              <w:spacing w:line="240" w:lineRule="exact"/>
              <w:jc w:val="center"/>
              <w:rPr>
                <w:rFonts w:eastAsia="仿宋_GB2312"/>
                <w:kern w:val="0"/>
                <w:szCs w:val="21"/>
              </w:rPr>
            </w:pPr>
            <w:r>
              <w:rPr>
                <w:rFonts w:eastAsia="仿宋_GB2312"/>
                <w:kern w:val="0"/>
                <w:szCs w:val="21"/>
              </w:rPr>
              <w:t>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012" w:type="dxa"/>
            <w:vMerge w:val="continue"/>
            <w:vAlign w:val="center"/>
          </w:tcPr>
          <w:p>
            <w:pPr>
              <w:widowControl/>
              <w:jc w:val="left"/>
              <w:rPr>
                <w:rFonts w:eastAsia="仿宋_GB2312"/>
                <w:kern w:val="0"/>
                <w:szCs w:val="21"/>
              </w:rPr>
            </w:pPr>
          </w:p>
        </w:tc>
        <w:tc>
          <w:tcPr>
            <w:tcW w:w="1054" w:type="dxa"/>
            <w:vAlign w:val="center"/>
          </w:tcPr>
          <w:p>
            <w:pPr>
              <w:widowControl/>
              <w:spacing w:line="240" w:lineRule="exact"/>
              <w:jc w:val="center"/>
              <w:rPr>
                <w:rFonts w:eastAsia="仿宋_GB2312"/>
                <w:kern w:val="0"/>
                <w:szCs w:val="21"/>
              </w:rPr>
            </w:pPr>
            <w:r>
              <w:rPr>
                <w:rFonts w:hint="eastAsia" w:ascii="宋体" w:hAnsi="宋体" w:cs="宋体"/>
                <w:kern w:val="0"/>
                <w:szCs w:val="21"/>
              </w:rPr>
              <w:t>②</w:t>
            </w:r>
            <w:r>
              <w:rPr>
                <w:rFonts w:eastAsia="仿宋_GB2312"/>
                <w:kern w:val="0"/>
                <w:szCs w:val="21"/>
              </w:rPr>
              <w:t>2</w:t>
            </w:r>
          </w:p>
        </w:tc>
        <w:tc>
          <w:tcPr>
            <w:tcW w:w="974" w:type="dxa"/>
            <w:vAlign w:val="center"/>
          </w:tcPr>
          <w:p>
            <w:pPr>
              <w:widowControl/>
              <w:spacing w:line="240" w:lineRule="exact"/>
              <w:jc w:val="center"/>
              <w:rPr>
                <w:rFonts w:eastAsia="仿宋_GB2312"/>
                <w:kern w:val="0"/>
                <w:szCs w:val="21"/>
              </w:rPr>
            </w:pPr>
            <w:r>
              <w:rPr>
                <w:rFonts w:eastAsia="仿宋_GB2312"/>
                <w:kern w:val="0"/>
                <w:szCs w:val="21"/>
              </w:rPr>
              <w:t>粉质粘土</w:t>
            </w:r>
          </w:p>
        </w:tc>
        <w:tc>
          <w:tcPr>
            <w:tcW w:w="1788" w:type="dxa"/>
            <w:vAlign w:val="center"/>
          </w:tcPr>
          <w:p>
            <w:pPr>
              <w:widowControl/>
              <w:spacing w:line="240" w:lineRule="exact"/>
              <w:jc w:val="center"/>
              <w:rPr>
                <w:rFonts w:eastAsia="仿宋_GB2312"/>
                <w:kern w:val="0"/>
                <w:szCs w:val="21"/>
              </w:rPr>
            </w:pPr>
            <w:r>
              <w:rPr>
                <w:rFonts w:eastAsia="仿宋_GB2312"/>
                <w:kern w:val="0"/>
                <w:szCs w:val="21"/>
              </w:rPr>
              <w:t>-10.10～3.06</w:t>
            </w:r>
          </w:p>
          <w:p>
            <w:pPr>
              <w:widowControl/>
              <w:spacing w:line="240" w:lineRule="exact"/>
              <w:jc w:val="center"/>
              <w:rPr>
                <w:rFonts w:eastAsia="仿宋_GB2312"/>
                <w:kern w:val="0"/>
                <w:szCs w:val="21"/>
              </w:rPr>
            </w:pPr>
            <w:r>
              <w:rPr>
                <w:rFonts w:eastAsia="仿宋_GB2312"/>
                <w:kern w:val="0"/>
                <w:szCs w:val="21"/>
              </w:rPr>
              <w:t>（-1.75）</w:t>
            </w:r>
          </w:p>
        </w:tc>
        <w:tc>
          <w:tcPr>
            <w:tcW w:w="1783" w:type="dxa"/>
            <w:vAlign w:val="center"/>
          </w:tcPr>
          <w:p>
            <w:pPr>
              <w:widowControl/>
              <w:spacing w:line="240" w:lineRule="exact"/>
              <w:jc w:val="center"/>
              <w:rPr>
                <w:rFonts w:eastAsia="仿宋_GB2312"/>
                <w:kern w:val="0"/>
                <w:szCs w:val="21"/>
              </w:rPr>
            </w:pPr>
            <w:r>
              <w:rPr>
                <w:rFonts w:eastAsia="仿宋_GB2312"/>
                <w:kern w:val="0"/>
                <w:szCs w:val="21"/>
              </w:rPr>
              <w:t>0.7～8.7</w:t>
            </w:r>
          </w:p>
          <w:p>
            <w:pPr>
              <w:widowControl/>
              <w:spacing w:line="240" w:lineRule="exact"/>
              <w:jc w:val="center"/>
              <w:rPr>
                <w:rFonts w:eastAsia="仿宋_GB2312"/>
                <w:kern w:val="0"/>
                <w:szCs w:val="21"/>
              </w:rPr>
            </w:pPr>
            <w:r>
              <w:rPr>
                <w:rFonts w:eastAsia="仿宋_GB2312"/>
                <w:kern w:val="0"/>
                <w:szCs w:val="21"/>
              </w:rPr>
              <w:t>（3.43）</w:t>
            </w:r>
          </w:p>
        </w:tc>
        <w:tc>
          <w:tcPr>
            <w:tcW w:w="1001" w:type="dxa"/>
            <w:vAlign w:val="center"/>
          </w:tcPr>
          <w:p>
            <w:pPr>
              <w:widowControl/>
              <w:spacing w:line="240" w:lineRule="exact"/>
              <w:jc w:val="center"/>
              <w:rPr>
                <w:rFonts w:eastAsia="仿宋_GB2312"/>
                <w:kern w:val="0"/>
                <w:szCs w:val="21"/>
              </w:rPr>
            </w:pPr>
            <w:r>
              <w:rPr>
                <w:rFonts w:eastAsia="仿宋_GB2312"/>
                <w:kern w:val="0"/>
                <w:szCs w:val="21"/>
              </w:rPr>
              <w:t>灰～黄灰色</w:t>
            </w:r>
          </w:p>
        </w:tc>
        <w:tc>
          <w:tcPr>
            <w:tcW w:w="956" w:type="dxa"/>
            <w:vAlign w:val="center"/>
          </w:tcPr>
          <w:p>
            <w:pPr>
              <w:widowControl/>
              <w:spacing w:line="240" w:lineRule="exact"/>
              <w:jc w:val="center"/>
              <w:rPr>
                <w:rFonts w:eastAsia="仿宋_GB2312"/>
                <w:kern w:val="0"/>
                <w:szCs w:val="21"/>
              </w:rPr>
            </w:pPr>
            <w:r>
              <w:rPr>
                <w:rFonts w:eastAsia="仿宋_GB2312"/>
                <w:kern w:val="0"/>
                <w:szCs w:val="21"/>
              </w:rPr>
              <w:t>可塑</w:t>
            </w:r>
          </w:p>
        </w:tc>
        <w:tc>
          <w:tcPr>
            <w:tcW w:w="3941" w:type="dxa"/>
            <w:vAlign w:val="center"/>
          </w:tcPr>
          <w:p>
            <w:pPr>
              <w:widowControl/>
              <w:spacing w:line="240" w:lineRule="exact"/>
              <w:jc w:val="center"/>
              <w:rPr>
                <w:rFonts w:eastAsia="仿宋_GB2312"/>
                <w:kern w:val="0"/>
                <w:szCs w:val="21"/>
              </w:rPr>
            </w:pPr>
            <w:r>
              <w:rPr>
                <w:rFonts w:eastAsia="仿宋_GB2312"/>
                <w:kern w:val="0"/>
                <w:szCs w:val="21"/>
              </w:rPr>
              <w:t>含少量腐殖质，稍有光泽，韧性中等，干强度中等，无摇振反应，属中压缩性土，场地大部缺失，仅中部局部存在</w:t>
            </w:r>
          </w:p>
        </w:tc>
        <w:tc>
          <w:tcPr>
            <w:tcW w:w="1126" w:type="dxa"/>
            <w:vAlign w:val="center"/>
          </w:tcPr>
          <w:p>
            <w:pPr>
              <w:widowControl/>
              <w:spacing w:line="240" w:lineRule="exact"/>
              <w:jc w:val="center"/>
              <w:rPr>
                <w:rFonts w:eastAsia="仿宋_GB2312"/>
                <w:kern w:val="0"/>
                <w:szCs w:val="21"/>
              </w:rPr>
            </w:pPr>
            <w:r>
              <w:rPr>
                <w:rFonts w:eastAsia="仿宋_GB2312"/>
                <w:kern w:val="0"/>
                <w:szCs w:val="21"/>
              </w:rPr>
              <w:t>1.37</w:t>
            </w:r>
          </w:p>
        </w:tc>
        <w:tc>
          <w:tcPr>
            <w:tcW w:w="1296" w:type="dxa"/>
            <w:vAlign w:val="center"/>
          </w:tcPr>
          <w:p>
            <w:pPr>
              <w:widowControl/>
              <w:spacing w:line="240" w:lineRule="exact"/>
              <w:jc w:val="center"/>
              <w:rPr>
                <w:rFonts w:eastAsia="仿宋_GB2312"/>
                <w:kern w:val="0"/>
                <w:szCs w:val="21"/>
              </w:rPr>
            </w:pPr>
            <w:r>
              <w:rPr>
                <w:rFonts w:eastAsia="仿宋_GB2312"/>
                <w:kern w:val="0"/>
                <w:szCs w:val="21"/>
              </w:rPr>
              <w:t>42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012" w:type="dxa"/>
            <w:vMerge w:val="restart"/>
            <w:vAlign w:val="center"/>
          </w:tcPr>
          <w:p>
            <w:pPr>
              <w:widowControl/>
              <w:spacing w:line="240" w:lineRule="exact"/>
              <w:jc w:val="center"/>
              <w:rPr>
                <w:rFonts w:eastAsia="仿宋_GB2312"/>
                <w:kern w:val="0"/>
                <w:szCs w:val="21"/>
              </w:rPr>
            </w:pPr>
            <w:r>
              <w:rPr>
                <w:rFonts w:eastAsia="仿宋_GB2312"/>
                <w:kern w:val="0"/>
                <w:szCs w:val="21"/>
              </w:rPr>
              <w:t>Q3al</w:t>
            </w:r>
          </w:p>
        </w:tc>
        <w:tc>
          <w:tcPr>
            <w:tcW w:w="1054" w:type="dxa"/>
            <w:vAlign w:val="center"/>
          </w:tcPr>
          <w:p>
            <w:pPr>
              <w:widowControl/>
              <w:spacing w:line="240" w:lineRule="exact"/>
              <w:jc w:val="center"/>
              <w:rPr>
                <w:rFonts w:eastAsia="仿宋_GB2312"/>
                <w:kern w:val="0"/>
                <w:szCs w:val="21"/>
              </w:rPr>
            </w:pPr>
            <w:r>
              <w:rPr>
                <w:rFonts w:hint="eastAsia" w:ascii="宋体" w:hAnsi="宋体" w:cs="宋体"/>
                <w:kern w:val="0"/>
                <w:szCs w:val="21"/>
              </w:rPr>
              <w:t>③</w:t>
            </w:r>
            <w:r>
              <w:rPr>
                <w:rFonts w:eastAsia="仿宋_GB2312"/>
                <w:kern w:val="0"/>
                <w:szCs w:val="21"/>
              </w:rPr>
              <w:t>1</w:t>
            </w:r>
          </w:p>
        </w:tc>
        <w:tc>
          <w:tcPr>
            <w:tcW w:w="974" w:type="dxa"/>
            <w:vAlign w:val="center"/>
          </w:tcPr>
          <w:p>
            <w:pPr>
              <w:widowControl/>
              <w:spacing w:line="240" w:lineRule="exact"/>
              <w:jc w:val="center"/>
              <w:rPr>
                <w:rFonts w:eastAsia="仿宋_GB2312"/>
                <w:kern w:val="0"/>
                <w:szCs w:val="21"/>
              </w:rPr>
            </w:pPr>
            <w:r>
              <w:rPr>
                <w:rFonts w:eastAsia="仿宋_GB2312"/>
                <w:kern w:val="0"/>
                <w:szCs w:val="21"/>
              </w:rPr>
              <w:t>粉质粘土</w:t>
            </w:r>
          </w:p>
        </w:tc>
        <w:tc>
          <w:tcPr>
            <w:tcW w:w="1788" w:type="dxa"/>
            <w:vAlign w:val="center"/>
          </w:tcPr>
          <w:p>
            <w:pPr>
              <w:widowControl/>
              <w:spacing w:line="240" w:lineRule="exact"/>
              <w:jc w:val="center"/>
              <w:rPr>
                <w:rFonts w:eastAsia="仿宋_GB2312"/>
                <w:kern w:val="0"/>
                <w:szCs w:val="21"/>
              </w:rPr>
            </w:pPr>
            <w:r>
              <w:rPr>
                <w:rFonts w:eastAsia="仿宋_GB2312"/>
                <w:kern w:val="0"/>
                <w:szCs w:val="21"/>
              </w:rPr>
              <w:t>-1.75～1.04</w:t>
            </w:r>
          </w:p>
          <w:p>
            <w:pPr>
              <w:widowControl/>
              <w:spacing w:line="240" w:lineRule="exact"/>
              <w:jc w:val="center"/>
              <w:rPr>
                <w:rFonts w:eastAsia="仿宋_GB2312"/>
                <w:kern w:val="0"/>
                <w:szCs w:val="21"/>
              </w:rPr>
            </w:pPr>
            <w:r>
              <w:rPr>
                <w:rFonts w:eastAsia="仿宋_GB2312"/>
                <w:kern w:val="0"/>
                <w:szCs w:val="21"/>
              </w:rPr>
              <w:t>（-0.34）</w:t>
            </w:r>
          </w:p>
        </w:tc>
        <w:tc>
          <w:tcPr>
            <w:tcW w:w="1783" w:type="dxa"/>
            <w:vAlign w:val="center"/>
          </w:tcPr>
          <w:p>
            <w:pPr>
              <w:widowControl/>
              <w:spacing w:line="240" w:lineRule="exact"/>
              <w:jc w:val="center"/>
              <w:rPr>
                <w:rFonts w:eastAsia="仿宋_GB2312"/>
                <w:kern w:val="0"/>
                <w:szCs w:val="21"/>
              </w:rPr>
            </w:pPr>
            <w:r>
              <w:rPr>
                <w:rFonts w:eastAsia="仿宋_GB2312"/>
                <w:kern w:val="0"/>
                <w:szCs w:val="21"/>
              </w:rPr>
              <w:t>0.8～5.4</w:t>
            </w:r>
          </w:p>
          <w:p>
            <w:pPr>
              <w:widowControl/>
              <w:spacing w:line="240" w:lineRule="exact"/>
              <w:jc w:val="center"/>
              <w:rPr>
                <w:rFonts w:eastAsia="仿宋_GB2312"/>
                <w:kern w:val="0"/>
                <w:szCs w:val="21"/>
              </w:rPr>
            </w:pPr>
            <w:r>
              <w:rPr>
                <w:rFonts w:eastAsia="仿宋_GB2312"/>
                <w:kern w:val="0"/>
                <w:szCs w:val="21"/>
              </w:rPr>
              <w:t>（4.02）</w:t>
            </w:r>
          </w:p>
        </w:tc>
        <w:tc>
          <w:tcPr>
            <w:tcW w:w="1001" w:type="dxa"/>
            <w:vAlign w:val="center"/>
          </w:tcPr>
          <w:p>
            <w:pPr>
              <w:widowControl/>
              <w:spacing w:line="240" w:lineRule="exact"/>
              <w:jc w:val="center"/>
              <w:rPr>
                <w:rFonts w:eastAsia="仿宋_GB2312"/>
                <w:kern w:val="0"/>
                <w:szCs w:val="21"/>
              </w:rPr>
            </w:pPr>
            <w:r>
              <w:rPr>
                <w:rFonts w:eastAsia="仿宋_GB2312"/>
                <w:kern w:val="0"/>
                <w:szCs w:val="21"/>
              </w:rPr>
              <w:t>黄褐色</w:t>
            </w:r>
          </w:p>
        </w:tc>
        <w:tc>
          <w:tcPr>
            <w:tcW w:w="956" w:type="dxa"/>
            <w:vAlign w:val="center"/>
          </w:tcPr>
          <w:p>
            <w:pPr>
              <w:widowControl/>
              <w:spacing w:line="240" w:lineRule="exact"/>
              <w:jc w:val="center"/>
              <w:rPr>
                <w:rFonts w:eastAsia="仿宋_GB2312"/>
                <w:kern w:val="0"/>
                <w:szCs w:val="21"/>
              </w:rPr>
            </w:pPr>
            <w:r>
              <w:rPr>
                <w:rFonts w:eastAsia="仿宋_GB2312"/>
                <w:kern w:val="0"/>
                <w:szCs w:val="21"/>
              </w:rPr>
              <w:t>可塑</w:t>
            </w:r>
          </w:p>
        </w:tc>
        <w:tc>
          <w:tcPr>
            <w:tcW w:w="3941" w:type="dxa"/>
            <w:vAlign w:val="center"/>
          </w:tcPr>
          <w:p>
            <w:pPr>
              <w:widowControl/>
              <w:spacing w:line="240" w:lineRule="exact"/>
              <w:jc w:val="center"/>
              <w:rPr>
                <w:rFonts w:eastAsia="仿宋_GB2312"/>
                <w:kern w:val="0"/>
                <w:szCs w:val="21"/>
              </w:rPr>
            </w:pPr>
            <w:r>
              <w:rPr>
                <w:rFonts w:eastAsia="仿宋_GB2312"/>
                <w:kern w:val="0"/>
                <w:szCs w:val="21"/>
              </w:rPr>
              <w:t>含少量铁锰质氧化物斑点，夹灰色高岭土条纹，切面较光滑，干强度中等，韧性中等，无摇振反应，在暗塘区缺失，属中压缩性土</w:t>
            </w:r>
          </w:p>
        </w:tc>
        <w:tc>
          <w:tcPr>
            <w:tcW w:w="1126" w:type="dxa"/>
            <w:vAlign w:val="center"/>
          </w:tcPr>
          <w:p>
            <w:pPr>
              <w:widowControl/>
              <w:spacing w:line="240" w:lineRule="exact"/>
              <w:jc w:val="center"/>
              <w:rPr>
                <w:rFonts w:eastAsia="仿宋_GB2312"/>
                <w:kern w:val="0"/>
                <w:szCs w:val="21"/>
              </w:rPr>
            </w:pPr>
            <w:r>
              <w:rPr>
                <w:rFonts w:eastAsia="仿宋_GB2312"/>
                <w:kern w:val="0"/>
                <w:szCs w:val="21"/>
              </w:rPr>
              <w:t>0.71</w:t>
            </w:r>
          </w:p>
        </w:tc>
        <w:tc>
          <w:tcPr>
            <w:tcW w:w="1296" w:type="dxa"/>
            <w:vAlign w:val="center"/>
          </w:tcPr>
          <w:p>
            <w:pPr>
              <w:widowControl/>
              <w:spacing w:line="240" w:lineRule="exact"/>
              <w:jc w:val="center"/>
              <w:rPr>
                <w:rFonts w:eastAsia="仿宋_GB2312"/>
                <w:kern w:val="0"/>
                <w:szCs w:val="21"/>
              </w:rPr>
            </w:pPr>
            <w:r>
              <w:rPr>
                <w:rFonts w:eastAsia="仿宋_GB2312"/>
                <w:kern w:val="0"/>
                <w:szCs w:val="21"/>
              </w:rPr>
              <w:t>71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012" w:type="dxa"/>
            <w:vMerge w:val="continue"/>
            <w:vAlign w:val="center"/>
          </w:tcPr>
          <w:p>
            <w:pPr>
              <w:widowControl/>
              <w:jc w:val="left"/>
              <w:rPr>
                <w:rFonts w:eastAsia="仿宋_GB2312"/>
                <w:kern w:val="0"/>
                <w:szCs w:val="21"/>
              </w:rPr>
            </w:pPr>
          </w:p>
        </w:tc>
        <w:tc>
          <w:tcPr>
            <w:tcW w:w="1054" w:type="dxa"/>
            <w:vAlign w:val="center"/>
          </w:tcPr>
          <w:p>
            <w:pPr>
              <w:widowControl/>
              <w:spacing w:line="240" w:lineRule="exact"/>
              <w:jc w:val="center"/>
              <w:rPr>
                <w:rFonts w:eastAsia="仿宋_GB2312"/>
                <w:kern w:val="0"/>
                <w:szCs w:val="21"/>
              </w:rPr>
            </w:pPr>
            <w:r>
              <w:rPr>
                <w:rFonts w:hint="eastAsia" w:ascii="宋体" w:hAnsi="宋体" w:cs="宋体"/>
                <w:kern w:val="0"/>
                <w:szCs w:val="21"/>
              </w:rPr>
              <w:t>③</w:t>
            </w:r>
            <w:r>
              <w:rPr>
                <w:rFonts w:eastAsia="仿宋_GB2312"/>
                <w:kern w:val="0"/>
                <w:szCs w:val="21"/>
              </w:rPr>
              <w:t>2</w:t>
            </w:r>
          </w:p>
        </w:tc>
        <w:tc>
          <w:tcPr>
            <w:tcW w:w="974" w:type="dxa"/>
            <w:vAlign w:val="center"/>
          </w:tcPr>
          <w:p>
            <w:pPr>
              <w:widowControl/>
              <w:spacing w:line="240" w:lineRule="exact"/>
              <w:jc w:val="center"/>
              <w:rPr>
                <w:rFonts w:eastAsia="仿宋_GB2312"/>
                <w:kern w:val="0"/>
                <w:szCs w:val="21"/>
              </w:rPr>
            </w:pPr>
            <w:r>
              <w:rPr>
                <w:rFonts w:eastAsia="仿宋_GB2312"/>
                <w:kern w:val="0"/>
                <w:szCs w:val="21"/>
              </w:rPr>
              <w:t>粉质粘土</w:t>
            </w:r>
          </w:p>
        </w:tc>
        <w:tc>
          <w:tcPr>
            <w:tcW w:w="1788" w:type="dxa"/>
            <w:vAlign w:val="center"/>
          </w:tcPr>
          <w:p>
            <w:pPr>
              <w:widowControl/>
              <w:spacing w:line="240" w:lineRule="exact"/>
              <w:jc w:val="center"/>
              <w:rPr>
                <w:rFonts w:eastAsia="仿宋_GB2312"/>
                <w:kern w:val="0"/>
                <w:szCs w:val="21"/>
              </w:rPr>
            </w:pPr>
            <w:r>
              <w:rPr>
                <w:rFonts w:eastAsia="仿宋_GB2312"/>
                <w:kern w:val="0"/>
                <w:szCs w:val="21"/>
              </w:rPr>
              <w:t>-3.15～-1.26</w:t>
            </w:r>
          </w:p>
          <w:p>
            <w:pPr>
              <w:widowControl/>
              <w:spacing w:line="240" w:lineRule="exact"/>
              <w:jc w:val="center"/>
              <w:rPr>
                <w:rFonts w:eastAsia="仿宋_GB2312"/>
                <w:kern w:val="0"/>
                <w:szCs w:val="21"/>
              </w:rPr>
            </w:pPr>
            <w:r>
              <w:rPr>
                <w:rFonts w:eastAsia="仿宋_GB2312"/>
                <w:kern w:val="0"/>
                <w:szCs w:val="21"/>
              </w:rPr>
              <w:t>（-2.14）</w:t>
            </w:r>
          </w:p>
        </w:tc>
        <w:tc>
          <w:tcPr>
            <w:tcW w:w="1783" w:type="dxa"/>
            <w:vAlign w:val="center"/>
          </w:tcPr>
          <w:p>
            <w:pPr>
              <w:widowControl/>
              <w:spacing w:line="240" w:lineRule="exact"/>
              <w:jc w:val="center"/>
              <w:rPr>
                <w:rFonts w:eastAsia="仿宋_GB2312"/>
                <w:kern w:val="0"/>
                <w:szCs w:val="21"/>
              </w:rPr>
            </w:pPr>
            <w:r>
              <w:rPr>
                <w:rFonts w:eastAsia="仿宋_GB2312"/>
                <w:kern w:val="0"/>
                <w:szCs w:val="21"/>
              </w:rPr>
              <w:t>0.8～3.0</w:t>
            </w:r>
          </w:p>
          <w:p>
            <w:pPr>
              <w:widowControl/>
              <w:spacing w:line="240" w:lineRule="exact"/>
              <w:jc w:val="center"/>
              <w:rPr>
                <w:rFonts w:eastAsia="仿宋_GB2312"/>
                <w:kern w:val="0"/>
                <w:szCs w:val="21"/>
              </w:rPr>
            </w:pPr>
            <w:r>
              <w:rPr>
                <w:rFonts w:eastAsia="仿宋_GB2312"/>
                <w:kern w:val="0"/>
                <w:szCs w:val="21"/>
              </w:rPr>
              <w:t>（1.79）</w:t>
            </w:r>
          </w:p>
        </w:tc>
        <w:tc>
          <w:tcPr>
            <w:tcW w:w="1001" w:type="dxa"/>
            <w:vAlign w:val="center"/>
          </w:tcPr>
          <w:p>
            <w:pPr>
              <w:widowControl/>
              <w:spacing w:line="240" w:lineRule="exact"/>
              <w:jc w:val="center"/>
              <w:rPr>
                <w:rFonts w:eastAsia="仿宋_GB2312"/>
                <w:kern w:val="0"/>
                <w:szCs w:val="21"/>
              </w:rPr>
            </w:pPr>
            <w:r>
              <w:rPr>
                <w:rFonts w:eastAsia="仿宋_GB2312"/>
                <w:kern w:val="0"/>
                <w:szCs w:val="21"/>
              </w:rPr>
              <w:t>褐黄色</w:t>
            </w:r>
          </w:p>
        </w:tc>
        <w:tc>
          <w:tcPr>
            <w:tcW w:w="956" w:type="dxa"/>
            <w:vAlign w:val="center"/>
          </w:tcPr>
          <w:p>
            <w:pPr>
              <w:widowControl/>
              <w:spacing w:line="240" w:lineRule="exact"/>
              <w:jc w:val="center"/>
              <w:rPr>
                <w:rFonts w:eastAsia="仿宋_GB2312"/>
                <w:kern w:val="0"/>
                <w:szCs w:val="21"/>
              </w:rPr>
            </w:pPr>
            <w:r>
              <w:rPr>
                <w:rFonts w:eastAsia="仿宋_GB2312"/>
                <w:kern w:val="0"/>
                <w:szCs w:val="21"/>
              </w:rPr>
              <w:t>可～硬塑</w:t>
            </w:r>
          </w:p>
        </w:tc>
        <w:tc>
          <w:tcPr>
            <w:tcW w:w="3941" w:type="dxa"/>
            <w:vAlign w:val="center"/>
          </w:tcPr>
          <w:p>
            <w:pPr>
              <w:widowControl/>
              <w:spacing w:line="240" w:lineRule="exact"/>
              <w:jc w:val="center"/>
              <w:rPr>
                <w:rFonts w:eastAsia="仿宋_GB2312"/>
                <w:kern w:val="0"/>
                <w:szCs w:val="21"/>
              </w:rPr>
            </w:pPr>
            <w:r>
              <w:rPr>
                <w:rFonts w:eastAsia="仿宋_GB2312"/>
                <w:kern w:val="0"/>
                <w:szCs w:val="21"/>
              </w:rPr>
              <w:t>含少量铁锰质结核，直径1~3mm，夹少量高岭土条纹，切面较光滑，干强度中等，韧性中等，无摇振反应，在暗塘区局部缺失，属中压缩性土</w:t>
            </w:r>
          </w:p>
        </w:tc>
        <w:tc>
          <w:tcPr>
            <w:tcW w:w="1126" w:type="dxa"/>
            <w:vAlign w:val="center"/>
          </w:tcPr>
          <w:p>
            <w:pPr>
              <w:widowControl/>
              <w:spacing w:line="240" w:lineRule="exact"/>
              <w:jc w:val="center"/>
              <w:rPr>
                <w:rFonts w:eastAsia="仿宋_GB2312"/>
                <w:kern w:val="0"/>
                <w:szCs w:val="21"/>
              </w:rPr>
            </w:pPr>
            <w:r>
              <w:rPr>
                <w:rFonts w:eastAsia="仿宋_GB2312"/>
                <w:kern w:val="0"/>
                <w:szCs w:val="21"/>
              </w:rPr>
              <w:t>2.16</w:t>
            </w:r>
          </w:p>
        </w:tc>
        <w:tc>
          <w:tcPr>
            <w:tcW w:w="1296" w:type="dxa"/>
            <w:vAlign w:val="center"/>
          </w:tcPr>
          <w:p>
            <w:pPr>
              <w:widowControl/>
              <w:spacing w:line="240" w:lineRule="exact"/>
              <w:jc w:val="center"/>
              <w:rPr>
                <w:rFonts w:eastAsia="仿宋_GB2312"/>
                <w:kern w:val="0"/>
                <w:szCs w:val="21"/>
              </w:rPr>
            </w:pPr>
            <w:r>
              <w:rPr>
                <w:rFonts w:eastAsia="仿宋_GB2312"/>
                <w:kern w:val="0"/>
                <w:szCs w:val="21"/>
              </w:rPr>
              <w:t>105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012" w:type="dxa"/>
            <w:vMerge w:val="continue"/>
            <w:vAlign w:val="center"/>
          </w:tcPr>
          <w:p>
            <w:pPr>
              <w:widowControl/>
              <w:jc w:val="left"/>
              <w:rPr>
                <w:rFonts w:eastAsia="仿宋_GB2312"/>
                <w:kern w:val="0"/>
                <w:szCs w:val="21"/>
              </w:rPr>
            </w:pPr>
          </w:p>
        </w:tc>
        <w:tc>
          <w:tcPr>
            <w:tcW w:w="1054" w:type="dxa"/>
            <w:vAlign w:val="center"/>
          </w:tcPr>
          <w:p>
            <w:pPr>
              <w:widowControl/>
              <w:spacing w:line="240" w:lineRule="exact"/>
              <w:jc w:val="center"/>
              <w:rPr>
                <w:rFonts w:eastAsia="仿宋_GB2312"/>
                <w:kern w:val="0"/>
                <w:szCs w:val="21"/>
              </w:rPr>
            </w:pPr>
            <w:r>
              <w:rPr>
                <w:rFonts w:hint="eastAsia" w:ascii="宋体" w:hAnsi="宋体" w:cs="宋体"/>
                <w:kern w:val="0"/>
                <w:szCs w:val="21"/>
              </w:rPr>
              <w:t>④</w:t>
            </w:r>
          </w:p>
        </w:tc>
        <w:tc>
          <w:tcPr>
            <w:tcW w:w="974" w:type="dxa"/>
            <w:vAlign w:val="center"/>
          </w:tcPr>
          <w:p>
            <w:pPr>
              <w:widowControl/>
              <w:spacing w:line="240" w:lineRule="exact"/>
              <w:jc w:val="center"/>
              <w:rPr>
                <w:rFonts w:eastAsia="仿宋_GB2312"/>
                <w:kern w:val="0"/>
                <w:szCs w:val="21"/>
              </w:rPr>
            </w:pPr>
            <w:r>
              <w:rPr>
                <w:rFonts w:eastAsia="仿宋_GB2312"/>
                <w:kern w:val="0"/>
                <w:szCs w:val="21"/>
              </w:rPr>
              <w:t>粉质粘土夹粉土</w:t>
            </w:r>
          </w:p>
        </w:tc>
        <w:tc>
          <w:tcPr>
            <w:tcW w:w="1788" w:type="dxa"/>
            <w:vAlign w:val="center"/>
          </w:tcPr>
          <w:p>
            <w:pPr>
              <w:widowControl/>
              <w:spacing w:line="240" w:lineRule="exact"/>
              <w:jc w:val="center"/>
              <w:rPr>
                <w:rFonts w:eastAsia="仿宋_GB2312"/>
                <w:kern w:val="0"/>
                <w:szCs w:val="21"/>
              </w:rPr>
            </w:pPr>
            <w:r>
              <w:rPr>
                <w:rFonts w:eastAsia="仿宋_GB2312"/>
                <w:kern w:val="0"/>
                <w:szCs w:val="21"/>
              </w:rPr>
              <w:t>-5.29～2.34</w:t>
            </w:r>
          </w:p>
          <w:p>
            <w:pPr>
              <w:widowControl/>
              <w:spacing w:line="240" w:lineRule="exact"/>
              <w:jc w:val="center"/>
              <w:rPr>
                <w:rFonts w:eastAsia="仿宋_GB2312"/>
                <w:kern w:val="0"/>
                <w:szCs w:val="21"/>
              </w:rPr>
            </w:pPr>
            <w:r>
              <w:rPr>
                <w:rFonts w:eastAsia="仿宋_GB2312"/>
                <w:kern w:val="0"/>
                <w:szCs w:val="21"/>
              </w:rPr>
              <w:t>（-3.59）</w:t>
            </w:r>
          </w:p>
        </w:tc>
        <w:tc>
          <w:tcPr>
            <w:tcW w:w="1783" w:type="dxa"/>
            <w:vAlign w:val="center"/>
          </w:tcPr>
          <w:p>
            <w:pPr>
              <w:widowControl/>
              <w:spacing w:line="240" w:lineRule="exact"/>
              <w:jc w:val="center"/>
              <w:rPr>
                <w:rFonts w:eastAsia="仿宋_GB2312"/>
                <w:kern w:val="0"/>
                <w:szCs w:val="21"/>
              </w:rPr>
            </w:pPr>
            <w:r>
              <w:rPr>
                <w:rFonts w:eastAsia="仿宋_GB2312"/>
                <w:kern w:val="0"/>
                <w:szCs w:val="21"/>
              </w:rPr>
              <w:t>0.6～2.8</w:t>
            </w:r>
          </w:p>
          <w:p>
            <w:pPr>
              <w:widowControl/>
              <w:spacing w:line="240" w:lineRule="exact"/>
              <w:jc w:val="center"/>
              <w:rPr>
                <w:rFonts w:eastAsia="仿宋_GB2312"/>
                <w:kern w:val="0"/>
                <w:szCs w:val="21"/>
              </w:rPr>
            </w:pPr>
            <w:r>
              <w:rPr>
                <w:rFonts w:eastAsia="仿宋_GB2312"/>
                <w:kern w:val="0"/>
                <w:szCs w:val="21"/>
              </w:rPr>
              <w:t>（1.44）</w:t>
            </w:r>
          </w:p>
        </w:tc>
        <w:tc>
          <w:tcPr>
            <w:tcW w:w="1001" w:type="dxa"/>
            <w:vAlign w:val="center"/>
          </w:tcPr>
          <w:p>
            <w:pPr>
              <w:widowControl/>
              <w:spacing w:line="240" w:lineRule="exact"/>
              <w:jc w:val="center"/>
              <w:rPr>
                <w:rFonts w:eastAsia="仿宋_GB2312"/>
                <w:kern w:val="0"/>
                <w:szCs w:val="21"/>
              </w:rPr>
            </w:pPr>
            <w:r>
              <w:rPr>
                <w:rFonts w:eastAsia="仿宋_GB2312"/>
                <w:kern w:val="0"/>
                <w:szCs w:val="21"/>
              </w:rPr>
              <w:t>灰黄色</w:t>
            </w:r>
          </w:p>
        </w:tc>
        <w:tc>
          <w:tcPr>
            <w:tcW w:w="956" w:type="dxa"/>
            <w:vAlign w:val="center"/>
          </w:tcPr>
          <w:p>
            <w:pPr>
              <w:widowControl/>
              <w:spacing w:line="240" w:lineRule="exact"/>
              <w:jc w:val="center"/>
              <w:rPr>
                <w:rFonts w:eastAsia="仿宋_GB2312"/>
                <w:kern w:val="0"/>
                <w:szCs w:val="21"/>
              </w:rPr>
            </w:pPr>
            <w:r>
              <w:rPr>
                <w:rFonts w:eastAsia="仿宋_GB2312"/>
                <w:kern w:val="0"/>
                <w:szCs w:val="21"/>
              </w:rPr>
              <w:t>可塑</w:t>
            </w:r>
          </w:p>
        </w:tc>
        <w:tc>
          <w:tcPr>
            <w:tcW w:w="3941" w:type="dxa"/>
            <w:vAlign w:val="center"/>
          </w:tcPr>
          <w:p>
            <w:pPr>
              <w:widowControl/>
              <w:spacing w:line="240" w:lineRule="exact"/>
              <w:jc w:val="center"/>
              <w:rPr>
                <w:rFonts w:eastAsia="仿宋_GB2312"/>
                <w:kern w:val="0"/>
                <w:szCs w:val="21"/>
              </w:rPr>
            </w:pPr>
            <w:r>
              <w:rPr>
                <w:rFonts w:eastAsia="仿宋_GB2312"/>
                <w:kern w:val="0"/>
                <w:szCs w:val="21"/>
              </w:rPr>
              <w:t>稍有光泽，韧性中等，干强度中等，此层上部以粉质粘土为主，夹少量粉土，底部局部以粉土为主，夹粉质粘土，属中压缩性土</w:t>
            </w:r>
          </w:p>
        </w:tc>
        <w:tc>
          <w:tcPr>
            <w:tcW w:w="1126" w:type="dxa"/>
            <w:vAlign w:val="center"/>
          </w:tcPr>
          <w:p>
            <w:pPr>
              <w:widowControl/>
              <w:spacing w:line="240" w:lineRule="exact"/>
              <w:jc w:val="center"/>
              <w:rPr>
                <w:rFonts w:eastAsia="仿宋_GB2312"/>
                <w:kern w:val="0"/>
                <w:szCs w:val="21"/>
              </w:rPr>
            </w:pPr>
            <w:r>
              <w:rPr>
                <w:rFonts w:eastAsia="仿宋_GB2312"/>
                <w:kern w:val="0"/>
                <w:szCs w:val="21"/>
              </w:rPr>
              <w:t>2.12</w:t>
            </w:r>
          </w:p>
        </w:tc>
        <w:tc>
          <w:tcPr>
            <w:tcW w:w="1296" w:type="dxa"/>
            <w:vAlign w:val="center"/>
          </w:tcPr>
          <w:p>
            <w:pPr>
              <w:widowControl/>
              <w:spacing w:line="240" w:lineRule="exact"/>
              <w:jc w:val="center"/>
              <w:rPr>
                <w:rFonts w:eastAsia="仿宋_GB2312"/>
                <w:kern w:val="0"/>
                <w:szCs w:val="21"/>
              </w:rPr>
            </w:pPr>
            <w:r>
              <w:rPr>
                <w:rFonts w:eastAsia="仿宋_GB2312"/>
                <w:kern w:val="0"/>
                <w:szCs w:val="21"/>
              </w:rPr>
              <w:t>79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012" w:type="dxa"/>
            <w:vMerge w:val="continue"/>
            <w:vAlign w:val="center"/>
          </w:tcPr>
          <w:p>
            <w:pPr>
              <w:widowControl/>
              <w:jc w:val="left"/>
              <w:rPr>
                <w:rFonts w:eastAsia="仿宋_GB2312"/>
                <w:kern w:val="0"/>
                <w:szCs w:val="21"/>
              </w:rPr>
            </w:pPr>
          </w:p>
        </w:tc>
        <w:tc>
          <w:tcPr>
            <w:tcW w:w="1054" w:type="dxa"/>
            <w:vAlign w:val="center"/>
          </w:tcPr>
          <w:p>
            <w:pPr>
              <w:widowControl/>
              <w:spacing w:line="240" w:lineRule="exact"/>
              <w:jc w:val="center"/>
              <w:rPr>
                <w:rFonts w:eastAsia="仿宋_GB2312"/>
                <w:kern w:val="0"/>
                <w:szCs w:val="21"/>
              </w:rPr>
            </w:pPr>
            <w:r>
              <w:rPr>
                <w:rFonts w:hint="eastAsia" w:ascii="宋体" w:hAnsi="宋体" w:cs="宋体"/>
                <w:kern w:val="0"/>
                <w:szCs w:val="21"/>
              </w:rPr>
              <w:t>⑤</w:t>
            </w:r>
            <w:r>
              <w:rPr>
                <w:rFonts w:eastAsia="仿宋_GB2312"/>
                <w:kern w:val="0"/>
                <w:szCs w:val="21"/>
              </w:rPr>
              <w:t>1</w:t>
            </w:r>
          </w:p>
        </w:tc>
        <w:tc>
          <w:tcPr>
            <w:tcW w:w="974" w:type="dxa"/>
            <w:vAlign w:val="center"/>
          </w:tcPr>
          <w:p>
            <w:pPr>
              <w:widowControl/>
              <w:spacing w:line="240" w:lineRule="exact"/>
              <w:jc w:val="center"/>
              <w:rPr>
                <w:rFonts w:eastAsia="仿宋_GB2312"/>
                <w:kern w:val="0"/>
                <w:szCs w:val="21"/>
              </w:rPr>
            </w:pPr>
            <w:r>
              <w:rPr>
                <w:rFonts w:eastAsia="仿宋_GB2312"/>
                <w:kern w:val="0"/>
                <w:szCs w:val="21"/>
              </w:rPr>
              <w:t>粉砂夹粉土</w:t>
            </w:r>
          </w:p>
        </w:tc>
        <w:tc>
          <w:tcPr>
            <w:tcW w:w="1788" w:type="dxa"/>
            <w:vAlign w:val="center"/>
          </w:tcPr>
          <w:p>
            <w:pPr>
              <w:widowControl/>
              <w:spacing w:line="240" w:lineRule="exact"/>
              <w:jc w:val="center"/>
              <w:rPr>
                <w:rFonts w:eastAsia="仿宋_GB2312"/>
                <w:kern w:val="0"/>
                <w:szCs w:val="21"/>
              </w:rPr>
            </w:pPr>
            <w:r>
              <w:rPr>
                <w:rFonts w:eastAsia="仿宋_GB2312"/>
                <w:kern w:val="0"/>
                <w:szCs w:val="21"/>
              </w:rPr>
              <w:t>-23.73～4.21</w:t>
            </w:r>
          </w:p>
          <w:p>
            <w:pPr>
              <w:widowControl/>
              <w:spacing w:line="240" w:lineRule="exact"/>
              <w:jc w:val="center"/>
              <w:rPr>
                <w:rFonts w:eastAsia="仿宋_GB2312"/>
                <w:kern w:val="0"/>
                <w:szCs w:val="21"/>
              </w:rPr>
            </w:pPr>
            <w:r>
              <w:rPr>
                <w:rFonts w:eastAsia="仿宋_GB2312"/>
                <w:kern w:val="0"/>
                <w:szCs w:val="21"/>
              </w:rPr>
              <w:t>（-7.36）</w:t>
            </w:r>
          </w:p>
        </w:tc>
        <w:tc>
          <w:tcPr>
            <w:tcW w:w="1783" w:type="dxa"/>
            <w:vAlign w:val="center"/>
          </w:tcPr>
          <w:p>
            <w:pPr>
              <w:widowControl/>
              <w:spacing w:line="240" w:lineRule="exact"/>
              <w:jc w:val="center"/>
              <w:rPr>
                <w:rFonts w:eastAsia="仿宋_GB2312"/>
                <w:kern w:val="0"/>
                <w:szCs w:val="21"/>
              </w:rPr>
            </w:pPr>
            <w:r>
              <w:rPr>
                <w:rFonts w:eastAsia="仿宋_GB2312"/>
                <w:kern w:val="0"/>
                <w:szCs w:val="21"/>
              </w:rPr>
              <w:t>0.3～19.2</w:t>
            </w:r>
          </w:p>
          <w:p>
            <w:pPr>
              <w:widowControl/>
              <w:spacing w:line="240" w:lineRule="exact"/>
              <w:jc w:val="center"/>
              <w:rPr>
                <w:rFonts w:eastAsia="仿宋_GB2312"/>
                <w:kern w:val="0"/>
                <w:szCs w:val="21"/>
              </w:rPr>
            </w:pPr>
            <w:r>
              <w:rPr>
                <w:rFonts w:eastAsia="仿宋_GB2312"/>
                <w:kern w:val="0"/>
                <w:szCs w:val="21"/>
              </w:rPr>
              <w:t>（3.68）</w:t>
            </w:r>
          </w:p>
        </w:tc>
        <w:tc>
          <w:tcPr>
            <w:tcW w:w="1001" w:type="dxa"/>
            <w:vAlign w:val="center"/>
          </w:tcPr>
          <w:p>
            <w:pPr>
              <w:widowControl/>
              <w:spacing w:line="240" w:lineRule="exact"/>
              <w:jc w:val="center"/>
              <w:rPr>
                <w:rFonts w:eastAsia="仿宋_GB2312"/>
                <w:kern w:val="0"/>
                <w:szCs w:val="21"/>
              </w:rPr>
            </w:pPr>
            <w:r>
              <w:rPr>
                <w:rFonts w:eastAsia="仿宋_GB2312"/>
                <w:kern w:val="0"/>
                <w:szCs w:val="21"/>
              </w:rPr>
              <w:t>灰黄色</w:t>
            </w:r>
          </w:p>
        </w:tc>
        <w:tc>
          <w:tcPr>
            <w:tcW w:w="956" w:type="dxa"/>
            <w:vAlign w:val="center"/>
          </w:tcPr>
          <w:p>
            <w:pPr>
              <w:widowControl/>
              <w:spacing w:line="240" w:lineRule="exact"/>
              <w:jc w:val="center"/>
              <w:rPr>
                <w:rFonts w:eastAsia="仿宋_GB2312"/>
                <w:kern w:val="0"/>
                <w:szCs w:val="21"/>
              </w:rPr>
            </w:pPr>
            <w:r>
              <w:rPr>
                <w:rFonts w:eastAsia="仿宋_GB2312"/>
                <w:kern w:val="0"/>
                <w:szCs w:val="21"/>
              </w:rPr>
              <w:t>可塑</w:t>
            </w:r>
          </w:p>
        </w:tc>
        <w:tc>
          <w:tcPr>
            <w:tcW w:w="3941" w:type="dxa"/>
            <w:vAlign w:val="center"/>
          </w:tcPr>
          <w:p>
            <w:pPr>
              <w:widowControl/>
              <w:spacing w:line="240" w:lineRule="exact"/>
              <w:jc w:val="center"/>
              <w:rPr>
                <w:rFonts w:eastAsia="仿宋_GB2312"/>
                <w:kern w:val="0"/>
                <w:szCs w:val="21"/>
              </w:rPr>
            </w:pPr>
            <w:r>
              <w:rPr>
                <w:rFonts w:eastAsia="仿宋_GB2312"/>
                <w:kern w:val="0"/>
                <w:szCs w:val="21"/>
              </w:rPr>
              <w:t>饱和，主要矿物成分为石英、长石，含云母碎屑，颗粒级配差，夹粉土，属中压缩性土。此层场地厚度变化较大，北部薄，向南部变厚，夹粉土较多</w:t>
            </w:r>
          </w:p>
        </w:tc>
        <w:tc>
          <w:tcPr>
            <w:tcW w:w="1126" w:type="dxa"/>
            <w:vAlign w:val="center"/>
          </w:tcPr>
          <w:p>
            <w:pPr>
              <w:widowControl/>
              <w:spacing w:line="240" w:lineRule="exact"/>
              <w:jc w:val="center"/>
              <w:rPr>
                <w:rFonts w:eastAsia="仿宋_GB2312"/>
                <w:kern w:val="0"/>
                <w:szCs w:val="21"/>
              </w:rPr>
            </w:pPr>
            <w:r>
              <w:rPr>
                <w:rFonts w:eastAsia="仿宋_GB2312"/>
                <w:kern w:val="0"/>
                <w:szCs w:val="21"/>
              </w:rPr>
              <w:t>7.63</w:t>
            </w:r>
          </w:p>
        </w:tc>
        <w:tc>
          <w:tcPr>
            <w:tcW w:w="1296" w:type="dxa"/>
            <w:vAlign w:val="center"/>
          </w:tcPr>
          <w:p>
            <w:pPr>
              <w:widowControl/>
              <w:spacing w:line="240" w:lineRule="exact"/>
              <w:jc w:val="center"/>
              <w:rPr>
                <w:rFonts w:eastAsia="仿宋_GB2312"/>
                <w:kern w:val="0"/>
                <w:szCs w:val="21"/>
              </w:rPr>
            </w:pPr>
            <w:r>
              <w:rPr>
                <w:rFonts w:eastAsia="仿宋_GB2312"/>
                <w:kern w:val="0"/>
                <w:szCs w:val="21"/>
              </w:rPr>
              <w:t>102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012" w:type="dxa"/>
            <w:vMerge w:val="continue"/>
            <w:vAlign w:val="center"/>
          </w:tcPr>
          <w:p>
            <w:pPr>
              <w:widowControl/>
              <w:jc w:val="left"/>
              <w:rPr>
                <w:rFonts w:eastAsia="仿宋_GB2312"/>
                <w:kern w:val="0"/>
                <w:szCs w:val="21"/>
              </w:rPr>
            </w:pPr>
          </w:p>
        </w:tc>
        <w:tc>
          <w:tcPr>
            <w:tcW w:w="1054" w:type="dxa"/>
            <w:vAlign w:val="center"/>
          </w:tcPr>
          <w:p>
            <w:pPr>
              <w:widowControl/>
              <w:spacing w:line="240" w:lineRule="exact"/>
              <w:jc w:val="center"/>
              <w:rPr>
                <w:rFonts w:eastAsia="仿宋_GB2312"/>
                <w:kern w:val="0"/>
                <w:szCs w:val="21"/>
              </w:rPr>
            </w:pPr>
            <w:r>
              <w:rPr>
                <w:rFonts w:hint="eastAsia" w:ascii="宋体" w:hAnsi="宋体" w:cs="宋体"/>
                <w:kern w:val="0"/>
                <w:szCs w:val="21"/>
              </w:rPr>
              <w:t>⑤</w:t>
            </w:r>
            <w:r>
              <w:rPr>
                <w:rFonts w:eastAsia="仿宋_GB2312"/>
                <w:kern w:val="0"/>
                <w:szCs w:val="21"/>
              </w:rPr>
              <w:t>2</w:t>
            </w:r>
          </w:p>
        </w:tc>
        <w:tc>
          <w:tcPr>
            <w:tcW w:w="974" w:type="dxa"/>
            <w:vAlign w:val="center"/>
          </w:tcPr>
          <w:p>
            <w:pPr>
              <w:widowControl/>
              <w:spacing w:line="240" w:lineRule="exact"/>
              <w:jc w:val="center"/>
              <w:rPr>
                <w:rFonts w:eastAsia="仿宋_GB2312"/>
                <w:kern w:val="0"/>
                <w:szCs w:val="21"/>
              </w:rPr>
            </w:pPr>
            <w:r>
              <w:rPr>
                <w:rFonts w:eastAsia="仿宋_GB2312"/>
                <w:kern w:val="0"/>
                <w:szCs w:val="21"/>
              </w:rPr>
              <w:t>粉砂</w:t>
            </w:r>
          </w:p>
        </w:tc>
        <w:tc>
          <w:tcPr>
            <w:tcW w:w="1788" w:type="dxa"/>
            <w:vAlign w:val="center"/>
          </w:tcPr>
          <w:p>
            <w:pPr>
              <w:widowControl/>
              <w:spacing w:line="240" w:lineRule="exact"/>
              <w:jc w:val="center"/>
              <w:rPr>
                <w:rFonts w:eastAsia="仿宋_GB2312"/>
                <w:kern w:val="0"/>
                <w:szCs w:val="21"/>
              </w:rPr>
            </w:pPr>
            <w:r>
              <w:rPr>
                <w:rFonts w:eastAsia="仿宋_GB2312"/>
                <w:kern w:val="0"/>
                <w:szCs w:val="21"/>
              </w:rPr>
              <w:t>-23.82～20.10</w:t>
            </w:r>
          </w:p>
          <w:p>
            <w:pPr>
              <w:widowControl/>
              <w:spacing w:line="240" w:lineRule="exact"/>
              <w:jc w:val="center"/>
              <w:rPr>
                <w:rFonts w:eastAsia="仿宋_GB2312"/>
                <w:kern w:val="0"/>
                <w:szCs w:val="21"/>
              </w:rPr>
            </w:pPr>
            <w:r>
              <w:rPr>
                <w:rFonts w:eastAsia="仿宋_GB2312"/>
                <w:kern w:val="0"/>
                <w:szCs w:val="21"/>
              </w:rPr>
              <w:t>（-23.25）</w:t>
            </w:r>
          </w:p>
        </w:tc>
        <w:tc>
          <w:tcPr>
            <w:tcW w:w="1783" w:type="dxa"/>
            <w:vAlign w:val="center"/>
          </w:tcPr>
          <w:p>
            <w:pPr>
              <w:widowControl/>
              <w:spacing w:line="240" w:lineRule="exact"/>
              <w:jc w:val="center"/>
              <w:rPr>
                <w:rFonts w:eastAsia="仿宋_GB2312"/>
                <w:kern w:val="0"/>
                <w:szCs w:val="21"/>
              </w:rPr>
            </w:pPr>
            <w:r>
              <w:rPr>
                <w:rFonts w:eastAsia="仿宋_GB2312"/>
                <w:kern w:val="0"/>
                <w:szCs w:val="21"/>
              </w:rPr>
              <w:t>1.0～13.6</w:t>
            </w:r>
          </w:p>
          <w:p>
            <w:pPr>
              <w:widowControl/>
              <w:spacing w:line="240" w:lineRule="exact"/>
              <w:jc w:val="center"/>
              <w:rPr>
                <w:rFonts w:eastAsia="仿宋_GB2312"/>
                <w:kern w:val="0"/>
                <w:szCs w:val="21"/>
              </w:rPr>
            </w:pPr>
            <w:r>
              <w:rPr>
                <w:rFonts w:eastAsia="仿宋_GB2312"/>
                <w:kern w:val="0"/>
                <w:szCs w:val="21"/>
              </w:rPr>
              <w:t>（8.29）</w:t>
            </w:r>
          </w:p>
        </w:tc>
        <w:tc>
          <w:tcPr>
            <w:tcW w:w="1001" w:type="dxa"/>
            <w:vAlign w:val="center"/>
          </w:tcPr>
          <w:p>
            <w:pPr>
              <w:widowControl/>
              <w:spacing w:line="240" w:lineRule="exact"/>
              <w:jc w:val="center"/>
              <w:rPr>
                <w:rFonts w:eastAsia="仿宋_GB2312"/>
                <w:kern w:val="0"/>
                <w:szCs w:val="21"/>
              </w:rPr>
            </w:pPr>
            <w:r>
              <w:rPr>
                <w:rFonts w:eastAsia="仿宋_GB2312"/>
                <w:kern w:val="0"/>
                <w:szCs w:val="21"/>
              </w:rPr>
              <w:t>灰黄色</w:t>
            </w:r>
          </w:p>
        </w:tc>
        <w:tc>
          <w:tcPr>
            <w:tcW w:w="956" w:type="dxa"/>
            <w:vAlign w:val="center"/>
          </w:tcPr>
          <w:p>
            <w:pPr>
              <w:widowControl/>
              <w:spacing w:line="240" w:lineRule="exact"/>
              <w:jc w:val="center"/>
              <w:rPr>
                <w:rFonts w:eastAsia="仿宋_GB2312"/>
                <w:kern w:val="0"/>
                <w:szCs w:val="21"/>
              </w:rPr>
            </w:pPr>
            <w:r>
              <w:rPr>
                <w:rFonts w:eastAsia="仿宋_GB2312"/>
                <w:kern w:val="0"/>
                <w:szCs w:val="21"/>
              </w:rPr>
              <w:t>密实</w:t>
            </w:r>
          </w:p>
        </w:tc>
        <w:tc>
          <w:tcPr>
            <w:tcW w:w="3941" w:type="dxa"/>
            <w:vAlign w:val="center"/>
          </w:tcPr>
          <w:p>
            <w:pPr>
              <w:widowControl/>
              <w:spacing w:line="240" w:lineRule="exact"/>
              <w:jc w:val="center"/>
              <w:rPr>
                <w:rFonts w:eastAsia="仿宋_GB2312"/>
                <w:kern w:val="0"/>
                <w:szCs w:val="21"/>
              </w:rPr>
            </w:pPr>
            <w:r>
              <w:rPr>
                <w:rFonts w:eastAsia="仿宋_GB2312"/>
                <w:kern w:val="0"/>
                <w:szCs w:val="21"/>
              </w:rPr>
              <w:t>主要矿物成分为石英、长石，含云母碎片，偶见姜结石，此层在场地中南侧分布，北部缺失，属中缩性土</w:t>
            </w:r>
          </w:p>
        </w:tc>
        <w:tc>
          <w:tcPr>
            <w:tcW w:w="1126" w:type="dxa"/>
            <w:vAlign w:val="center"/>
          </w:tcPr>
          <w:p>
            <w:pPr>
              <w:widowControl/>
              <w:spacing w:line="240" w:lineRule="exact"/>
              <w:jc w:val="center"/>
              <w:rPr>
                <w:rFonts w:eastAsia="仿宋_GB2312"/>
                <w:kern w:val="0"/>
                <w:szCs w:val="21"/>
              </w:rPr>
            </w:pPr>
            <w:r>
              <w:rPr>
                <w:rFonts w:eastAsia="仿宋_GB2312"/>
                <w:kern w:val="0"/>
                <w:szCs w:val="21"/>
              </w:rPr>
              <w:t>15.34</w:t>
            </w:r>
          </w:p>
        </w:tc>
        <w:tc>
          <w:tcPr>
            <w:tcW w:w="1296" w:type="dxa"/>
            <w:vAlign w:val="center"/>
          </w:tcPr>
          <w:p>
            <w:pPr>
              <w:widowControl/>
              <w:spacing w:line="240" w:lineRule="exact"/>
              <w:jc w:val="center"/>
              <w:rPr>
                <w:rFonts w:eastAsia="仿宋_GB2312"/>
                <w:kern w:val="0"/>
                <w:szCs w:val="21"/>
              </w:rPr>
            </w:pPr>
            <w:r>
              <w:rPr>
                <w:rFonts w:eastAsia="仿宋_GB2312"/>
                <w:kern w:val="0"/>
                <w:szCs w:val="21"/>
              </w:rPr>
              <w:t>163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012" w:type="dxa"/>
            <w:vMerge w:val="restart"/>
            <w:vAlign w:val="center"/>
          </w:tcPr>
          <w:p>
            <w:pPr>
              <w:widowControl/>
              <w:spacing w:line="240" w:lineRule="exact"/>
              <w:jc w:val="center"/>
              <w:rPr>
                <w:rFonts w:eastAsia="仿宋_GB2312"/>
                <w:kern w:val="0"/>
                <w:szCs w:val="21"/>
              </w:rPr>
            </w:pPr>
            <w:r>
              <w:rPr>
                <w:rFonts w:eastAsia="仿宋_GB2312"/>
                <w:kern w:val="0"/>
                <w:szCs w:val="21"/>
              </w:rPr>
              <w:t>Q3al</w:t>
            </w:r>
          </w:p>
        </w:tc>
        <w:tc>
          <w:tcPr>
            <w:tcW w:w="1054" w:type="dxa"/>
            <w:vAlign w:val="center"/>
          </w:tcPr>
          <w:p>
            <w:pPr>
              <w:widowControl/>
              <w:spacing w:line="240" w:lineRule="exact"/>
              <w:jc w:val="center"/>
              <w:rPr>
                <w:rFonts w:eastAsia="仿宋_GB2312"/>
                <w:kern w:val="0"/>
                <w:szCs w:val="21"/>
              </w:rPr>
            </w:pPr>
            <w:r>
              <w:rPr>
                <w:rFonts w:hint="eastAsia" w:ascii="宋体" w:hAnsi="宋体" w:cs="宋体"/>
                <w:kern w:val="0"/>
                <w:szCs w:val="21"/>
              </w:rPr>
              <w:t>⑥</w:t>
            </w:r>
            <w:r>
              <w:rPr>
                <w:rFonts w:eastAsia="仿宋_GB2312"/>
                <w:kern w:val="0"/>
                <w:szCs w:val="21"/>
              </w:rPr>
              <w:t>1</w:t>
            </w:r>
          </w:p>
        </w:tc>
        <w:tc>
          <w:tcPr>
            <w:tcW w:w="974" w:type="dxa"/>
            <w:vAlign w:val="center"/>
          </w:tcPr>
          <w:p>
            <w:pPr>
              <w:widowControl/>
              <w:spacing w:line="240" w:lineRule="exact"/>
              <w:jc w:val="center"/>
              <w:rPr>
                <w:rFonts w:eastAsia="仿宋_GB2312"/>
                <w:kern w:val="0"/>
                <w:szCs w:val="21"/>
              </w:rPr>
            </w:pPr>
            <w:r>
              <w:rPr>
                <w:rFonts w:eastAsia="仿宋_GB2312"/>
                <w:kern w:val="0"/>
                <w:szCs w:val="21"/>
              </w:rPr>
              <w:t>粉质粘土</w:t>
            </w:r>
          </w:p>
        </w:tc>
        <w:tc>
          <w:tcPr>
            <w:tcW w:w="1788" w:type="dxa"/>
            <w:vAlign w:val="center"/>
          </w:tcPr>
          <w:p>
            <w:pPr>
              <w:widowControl/>
              <w:spacing w:line="240" w:lineRule="exact"/>
              <w:jc w:val="center"/>
              <w:rPr>
                <w:rFonts w:eastAsia="仿宋_GB2312"/>
                <w:kern w:val="0"/>
                <w:szCs w:val="21"/>
              </w:rPr>
            </w:pPr>
            <w:r>
              <w:rPr>
                <w:rFonts w:eastAsia="仿宋_GB2312"/>
                <w:kern w:val="0"/>
                <w:szCs w:val="21"/>
              </w:rPr>
              <w:t>-13.35～-11.22</w:t>
            </w:r>
          </w:p>
          <w:p>
            <w:pPr>
              <w:widowControl/>
              <w:spacing w:line="240" w:lineRule="exact"/>
              <w:jc w:val="center"/>
              <w:rPr>
                <w:rFonts w:eastAsia="仿宋_GB2312"/>
                <w:kern w:val="0"/>
                <w:szCs w:val="21"/>
              </w:rPr>
            </w:pPr>
            <w:r>
              <w:rPr>
                <w:rFonts w:eastAsia="仿宋_GB2312"/>
                <w:kern w:val="0"/>
                <w:szCs w:val="21"/>
              </w:rPr>
              <w:t>（-12.16）</w:t>
            </w:r>
          </w:p>
        </w:tc>
        <w:tc>
          <w:tcPr>
            <w:tcW w:w="1783" w:type="dxa"/>
            <w:vAlign w:val="center"/>
          </w:tcPr>
          <w:p>
            <w:pPr>
              <w:widowControl/>
              <w:spacing w:line="240" w:lineRule="exact"/>
              <w:jc w:val="center"/>
              <w:rPr>
                <w:rFonts w:eastAsia="仿宋_GB2312"/>
                <w:kern w:val="0"/>
                <w:szCs w:val="21"/>
              </w:rPr>
            </w:pPr>
            <w:r>
              <w:rPr>
                <w:rFonts w:eastAsia="仿宋_GB2312"/>
                <w:kern w:val="0"/>
                <w:szCs w:val="21"/>
              </w:rPr>
              <w:t>5.8～8.2</w:t>
            </w:r>
          </w:p>
          <w:p>
            <w:pPr>
              <w:widowControl/>
              <w:spacing w:line="240" w:lineRule="exact"/>
              <w:jc w:val="center"/>
              <w:rPr>
                <w:rFonts w:eastAsia="仿宋_GB2312"/>
                <w:kern w:val="0"/>
                <w:szCs w:val="21"/>
              </w:rPr>
            </w:pPr>
            <w:r>
              <w:rPr>
                <w:rFonts w:eastAsia="仿宋_GB2312"/>
                <w:kern w:val="0"/>
                <w:szCs w:val="21"/>
              </w:rPr>
              <w:t>（7.12）</w:t>
            </w:r>
          </w:p>
        </w:tc>
        <w:tc>
          <w:tcPr>
            <w:tcW w:w="1001" w:type="dxa"/>
            <w:vAlign w:val="center"/>
          </w:tcPr>
          <w:p>
            <w:pPr>
              <w:widowControl/>
              <w:spacing w:line="240" w:lineRule="exact"/>
              <w:jc w:val="center"/>
              <w:rPr>
                <w:rFonts w:eastAsia="仿宋_GB2312"/>
                <w:kern w:val="0"/>
                <w:szCs w:val="21"/>
              </w:rPr>
            </w:pPr>
            <w:r>
              <w:rPr>
                <w:rFonts w:eastAsia="仿宋_GB2312"/>
                <w:kern w:val="0"/>
                <w:szCs w:val="21"/>
              </w:rPr>
              <w:t>灰~绿灰色</w:t>
            </w:r>
          </w:p>
        </w:tc>
        <w:tc>
          <w:tcPr>
            <w:tcW w:w="956" w:type="dxa"/>
            <w:vAlign w:val="center"/>
          </w:tcPr>
          <w:p>
            <w:pPr>
              <w:widowControl/>
              <w:spacing w:line="240" w:lineRule="exact"/>
              <w:jc w:val="center"/>
              <w:rPr>
                <w:rFonts w:eastAsia="仿宋_GB2312"/>
                <w:kern w:val="0"/>
                <w:szCs w:val="21"/>
              </w:rPr>
            </w:pPr>
            <w:r>
              <w:rPr>
                <w:rFonts w:eastAsia="仿宋_GB2312"/>
                <w:kern w:val="0"/>
                <w:szCs w:val="21"/>
              </w:rPr>
              <w:t>可塑</w:t>
            </w:r>
          </w:p>
        </w:tc>
        <w:tc>
          <w:tcPr>
            <w:tcW w:w="3941" w:type="dxa"/>
            <w:vAlign w:val="center"/>
          </w:tcPr>
          <w:p>
            <w:pPr>
              <w:widowControl/>
              <w:spacing w:line="240" w:lineRule="exact"/>
              <w:jc w:val="center"/>
              <w:rPr>
                <w:rFonts w:eastAsia="仿宋_GB2312"/>
                <w:kern w:val="0"/>
                <w:szCs w:val="21"/>
              </w:rPr>
            </w:pPr>
            <w:r>
              <w:rPr>
                <w:rFonts w:eastAsia="仿宋_GB2312"/>
                <w:kern w:val="0"/>
                <w:szCs w:val="21"/>
              </w:rPr>
              <w:t>稍有光泽，韧性中等，干强度中等，局部夹粉土，局部为软塑状粉质粘土，含少量有机物，属中压缩性土</w:t>
            </w:r>
          </w:p>
        </w:tc>
        <w:tc>
          <w:tcPr>
            <w:tcW w:w="1126" w:type="dxa"/>
            <w:vAlign w:val="center"/>
          </w:tcPr>
          <w:p>
            <w:pPr>
              <w:widowControl/>
              <w:spacing w:line="240" w:lineRule="exact"/>
              <w:jc w:val="center"/>
              <w:rPr>
                <w:rFonts w:eastAsia="仿宋_GB2312"/>
                <w:kern w:val="0"/>
                <w:szCs w:val="21"/>
              </w:rPr>
            </w:pPr>
            <w:r>
              <w:rPr>
                <w:rFonts w:eastAsia="仿宋_GB2312"/>
                <w:kern w:val="0"/>
                <w:szCs w:val="21"/>
              </w:rPr>
              <w:t>1.59</w:t>
            </w:r>
          </w:p>
        </w:tc>
        <w:tc>
          <w:tcPr>
            <w:tcW w:w="1296" w:type="dxa"/>
            <w:vAlign w:val="center"/>
          </w:tcPr>
          <w:p>
            <w:pPr>
              <w:widowControl/>
              <w:spacing w:line="240" w:lineRule="exact"/>
              <w:jc w:val="center"/>
              <w:rPr>
                <w:rFonts w:eastAsia="仿宋_GB2312"/>
                <w:kern w:val="0"/>
                <w:szCs w:val="21"/>
              </w:rPr>
            </w:pPr>
            <w:r>
              <w:rPr>
                <w:rFonts w:eastAsia="仿宋_GB2312"/>
                <w:kern w:val="0"/>
                <w:szCs w:val="21"/>
              </w:rPr>
              <w:t>42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012" w:type="dxa"/>
            <w:vMerge w:val="continue"/>
            <w:vAlign w:val="center"/>
          </w:tcPr>
          <w:p>
            <w:pPr>
              <w:widowControl/>
              <w:jc w:val="left"/>
              <w:rPr>
                <w:rFonts w:eastAsia="仿宋_GB2312"/>
                <w:kern w:val="0"/>
                <w:szCs w:val="21"/>
              </w:rPr>
            </w:pPr>
          </w:p>
        </w:tc>
        <w:tc>
          <w:tcPr>
            <w:tcW w:w="1054" w:type="dxa"/>
            <w:vAlign w:val="center"/>
          </w:tcPr>
          <w:p>
            <w:pPr>
              <w:widowControl/>
              <w:spacing w:line="240" w:lineRule="exact"/>
              <w:jc w:val="center"/>
              <w:rPr>
                <w:rFonts w:eastAsia="仿宋_GB2312"/>
                <w:kern w:val="0"/>
                <w:szCs w:val="21"/>
              </w:rPr>
            </w:pPr>
            <w:r>
              <w:rPr>
                <w:rFonts w:hint="eastAsia" w:ascii="宋体" w:hAnsi="宋体" w:cs="宋体"/>
                <w:kern w:val="0"/>
                <w:szCs w:val="21"/>
              </w:rPr>
              <w:t>⑥</w:t>
            </w:r>
            <w:r>
              <w:rPr>
                <w:rFonts w:eastAsia="仿宋_GB2312"/>
                <w:kern w:val="0"/>
                <w:szCs w:val="21"/>
              </w:rPr>
              <w:t>2</w:t>
            </w:r>
          </w:p>
        </w:tc>
        <w:tc>
          <w:tcPr>
            <w:tcW w:w="974" w:type="dxa"/>
            <w:vAlign w:val="center"/>
          </w:tcPr>
          <w:p>
            <w:pPr>
              <w:widowControl/>
              <w:spacing w:line="240" w:lineRule="exact"/>
              <w:jc w:val="center"/>
              <w:rPr>
                <w:rFonts w:eastAsia="仿宋_GB2312"/>
                <w:kern w:val="0"/>
                <w:szCs w:val="21"/>
              </w:rPr>
            </w:pPr>
            <w:r>
              <w:rPr>
                <w:rFonts w:eastAsia="仿宋_GB2312"/>
                <w:kern w:val="0"/>
                <w:szCs w:val="21"/>
              </w:rPr>
              <w:t>粉土夹粉质粘土</w:t>
            </w:r>
          </w:p>
        </w:tc>
        <w:tc>
          <w:tcPr>
            <w:tcW w:w="1788" w:type="dxa"/>
            <w:vAlign w:val="center"/>
          </w:tcPr>
          <w:p>
            <w:pPr>
              <w:widowControl/>
              <w:spacing w:line="240" w:lineRule="exact"/>
              <w:jc w:val="center"/>
              <w:rPr>
                <w:rFonts w:eastAsia="仿宋_GB2312"/>
                <w:kern w:val="0"/>
                <w:szCs w:val="21"/>
              </w:rPr>
            </w:pPr>
            <w:r>
              <w:rPr>
                <w:rFonts w:eastAsia="仿宋_GB2312"/>
                <w:kern w:val="0"/>
                <w:szCs w:val="21"/>
              </w:rPr>
              <w:t>-19.74～-16.77</w:t>
            </w:r>
          </w:p>
          <w:p>
            <w:pPr>
              <w:widowControl/>
              <w:spacing w:line="240" w:lineRule="exact"/>
              <w:jc w:val="center"/>
              <w:rPr>
                <w:rFonts w:eastAsia="仿宋_GB2312"/>
                <w:kern w:val="0"/>
                <w:szCs w:val="21"/>
              </w:rPr>
            </w:pPr>
            <w:r>
              <w:rPr>
                <w:rFonts w:eastAsia="仿宋_GB2312"/>
                <w:kern w:val="0"/>
                <w:szCs w:val="21"/>
              </w:rPr>
              <w:t>（-18.27）</w:t>
            </w:r>
          </w:p>
        </w:tc>
        <w:tc>
          <w:tcPr>
            <w:tcW w:w="1783" w:type="dxa"/>
            <w:vAlign w:val="center"/>
          </w:tcPr>
          <w:p>
            <w:pPr>
              <w:widowControl/>
              <w:spacing w:line="240" w:lineRule="exact"/>
              <w:jc w:val="center"/>
              <w:rPr>
                <w:rFonts w:eastAsia="仿宋_GB2312"/>
                <w:kern w:val="0"/>
                <w:szCs w:val="21"/>
              </w:rPr>
            </w:pPr>
            <w:r>
              <w:rPr>
                <w:rFonts w:eastAsia="仿宋_GB2312"/>
                <w:kern w:val="0"/>
                <w:szCs w:val="21"/>
              </w:rPr>
              <w:t>4.6～7.4</w:t>
            </w:r>
          </w:p>
          <w:p>
            <w:pPr>
              <w:widowControl/>
              <w:spacing w:line="240" w:lineRule="exact"/>
              <w:jc w:val="center"/>
              <w:rPr>
                <w:rFonts w:eastAsia="仿宋_GB2312"/>
                <w:kern w:val="0"/>
                <w:szCs w:val="21"/>
              </w:rPr>
            </w:pPr>
            <w:r>
              <w:rPr>
                <w:rFonts w:eastAsia="仿宋_GB2312"/>
                <w:kern w:val="0"/>
                <w:szCs w:val="21"/>
              </w:rPr>
              <w:t>（6.1）</w:t>
            </w:r>
          </w:p>
        </w:tc>
        <w:tc>
          <w:tcPr>
            <w:tcW w:w="1001" w:type="dxa"/>
            <w:vAlign w:val="center"/>
          </w:tcPr>
          <w:p>
            <w:pPr>
              <w:widowControl/>
              <w:spacing w:line="240" w:lineRule="exact"/>
              <w:jc w:val="center"/>
              <w:rPr>
                <w:rFonts w:eastAsia="仿宋_GB2312"/>
                <w:kern w:val="0"/>
                <w:szCs w:val="21"/>
              </w:rPr>
            </w:pPr>
            <w:r>
              <w:rPr>
                <w:rFonts w:eastAsia="仿宋_GB2312"/>
                <w:kern w:val="0"/>
                <w:szCs w:val="21"/>
              </w:rPr>
              <w:t>灰~黄灰色</w:t>
            </w:r>
          </w:p>
        </w:tc>
        <w:tc>
          <w:tcPr>
            <w:tcW w:w="956" w:type="dxa"/>
            <w:vAlign w:val="center"/>
          </w:tcPr>
          <w:p>
            <w:pPr>
              <w:widowControl/>
              <w:spacing w:line="240" w:lineRule="exact"/>
              <w:jc w:val="center"/>
              <w:rPr>
                <w:rFonts w:eastAsia="仿宋_GB2312"/>
                <w:kern w:val="0"/>
                <w:szCs w:val="21"/>
              </w:rPr>
            </w:pPr>
            <w:r>
              <w:rPr>
                <w:rFonts w:eastAsia="仿宋_GB2312"/>
                <w:kern w:val="0"/>
                <w:szCs w:val="21"/>
              </w:rPr>
              <w:t>稍密</w:t>
            </w:r>
          </w:p>
        </w:tc>
        <w:tc>
          <w:tcPr>
            <w:tcW w:w="3941" w:type="dxa"/>
            <w:vAlign w:val="center"/>
          </w:tcPr>
          <w:p>
            <w:pPr>
              <w:widowControl/>
              <w:spacing w:line="240" w:lineRule="exact"/>
              <w:jc w:val="center"/>
              <w:rPr>
                <w:rFonts w:eastAsia="仿宋_GB2312"/>
                <w:kern w:val="0"/>
                <w:szCs w:val="21"/>
              </w:rPr>
            </w:pPr>
            <w:r>
              <w:rPr>
                <w:rFonts w:eastAsia="仿宋_GB2312"/>
                <w:kern w:val="0"/>
                <w:szCs w:val="21"/>
              </w:rPr>
              <w:t>粉土，很湿，韧性低，干强度低，粉质粘土，稍有光泽，韧性中等，干强度中等，具水平层理，粉土厚15~35mm,粉质粘土厚5~10mm,局部为粉砂夹粉质粘土，属中等压缩性土</w:t>
            </w:r>
          </w:p>
        </w:tc>
        <w:tc>
          <w:tcPr>
            <w:tcW w:w="1126" w:type="dxa"/>
            <w:vAlign w:val="center"/>
          </w:tcPr>
          <w:p>
            <w:pPr>
              <w:widowControl/>
              <w:spacing w:line="240" w:lineRule="exact"/>
              <w:jc w:val="center"/>
              <w:rPr>
                <w:rFonts w:eastAsia="仿宋_GB2312"/>
                <w:kern w:val="0"/>
                <w:szCs w:val="21"/>
              </w:rPr>
            </w:pPr>
            <w:r>
              <w:rPr>
                <w:rFonts w:eastAsia="仿宋_GB2312"/>
                <w:kern w:val="0"/>
                <w:szCs w:val="21"/>
              </w:rPr>
              <w:t>5.16</w:t>
            </w:r>
          </w:p>
        </w:tc>
        <w:tc>
          <w:tcPr>
            <w:tcW w:w="1296" w:type="dxa"/>
            <w:vAlign w:val="center"/>
          </w:tcPr>
          <w:p>
            <w:pPr>
              <w:widowControl/>
              <w:spacing w:line="240" w:lineRule="exact"/>
              <w:jc w:val="center"/>
              <w:rPr>
                <w:rFonts w:eastAsia="仿宋_GB2312"/>
                <w:kern w:val="0"/>
                <w:szCs w:val="21"/>
              </w:rPr>
            </w:pPr>
            <w:r>
              <w:rPr>
                <w:rFonts w:eastAsia="仿宋_GB2312"/>
                <w:kern w:val="0"/>
                <w:szCs w:val="21"/>
              </w:rPr>
              <w:t>109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012" w:type="dxa"/>
            <w:vMerge w:val="continue"/>
            <w:vAlign w:val="center"/>
          </w:tcPr>
          <w:p>
            <w:pPr>
              <w:widowControl/>
              <w:jc w:val="left"/>
              <w:rPr>
                <w:rFonts w:eastAsia="仿宋_GB2312"/>
                <w:kern w:val="0"/>
                <w:szCs w:val="21"/>
              </w:rPr>
            </w:pPr>
          </w:p>
        </w:tc>
        <w:tc>
          <w:tcPr>
            <w:tcW w:w="1054" w:type="dxa"/>
            <w:vAlign w:val="center"/>
          </w:tcPr>
          <w:p>
            <w:pPr>
              <w:widowControl/>
              <w:spacing w:line="240" w:lineRule="exact"/>
              <w:jc w:val="center"/>
              <w:rPr>
                <w:rFonts w:eastAsia="仿宋_GB2312"/>
                <w:kern w:val="0"/>
                <w:szCs w:val="21"/>
              </w:rPr>
            </w:pPr>
            <w:r>
              <w:rPr>
                <w:rFonts w:hint="eastAsia" w:ascii="宋体" w:hAnsi="宋体" w:cs="宋体"/>
                <w:kern w:val="0"/>
                <w:szCs w:val="21"/>
              </w:rPr>
              <w:t>⑥</w:t>
            </w:r>
            <w:r>
              <w:rPr>
                <w:rFonts w:eastAsia="仿宋_GB2312"/>
                <w:kern w:val="0"/>
                <w:szCs w:val="21"/>
              </w:rPr>
              <w:t>3</w:t>
            </w:r>
          </w:p>
        </w:tc>
        <w:tc>
          <w:tcPr>
            <w:tcW w:w="974" w:type="dxa"/>
            <w:vAlign w:val="center"/>
          </w:tcPr>
          <w:p>
            <w:pPr>
              <w:widowControl/>
              <w:spacing w:line="240" w:lineRule="exact"/>
              <w:jc w:val="center"/>
              <w:rPr>
                <w:rFonts w:eastAsia="仿宋_GB2312"/>
                <w:kern w:val="0"/>
                <w:szCs w:val="21"/>
              </w:rPr>
            </w:pPr>
            <w:r>
              <w:rPr>
                <w:rFonts w:eastAsia="仿宋_GB2312"/>
                <w:kern w:val="0"/>
                <w:szCs w:val="21"/>
              </w:rPr>
              <w:t>粉质粘土夹粉土</w:t>
            </w:r>
          </w:p>
        </w:tc>
        <w:tc>
          <w:tcPr>
            <w:tcW w:w="1788" w:type="dxa"/>
            <w:vAlign w:val="center"/>
          </w:tcPr>
          <w:p>
            <w:pPr>
              <w:widowControl/>
              <w:spacing w:line="240" w:lineRule="exact"/>
              <w:jc w:val="center"/>
              <w:rPr>
                <w:rFonts w:eastAsia="仿宋_GB2312"/>
                <w:kern w:val="0"/>
                <w:szCs w:val="21"/>
              </w:rPr>
            </w:pPr>
            <w:r>
              <w:rPr>
                <w:rFonts w:eastAsia="仿宋_GB2312"/>
                <w:kern w:val="0"/>
                <w:szCs w:val="21"/>
              </w:rPr>
              <w:t>-23.68～-21.88</w:t>
            </w:r>
          </w:p>
          <w:p>
            <w:pPr>
              <w:widowControl/>
              <w:spacing w:line="240" w:lineRule="exact"/>
              <w:jc w:val="center"/>
              <w:rPr>
                <w:rFonts w:eastAsia="仿宋_GB2312"/>
                <w:kern w:val="0"/>
                <w:szCs w:val="21"/>
              </w:rPr>
            </w:pPr>
            <w:r>
              <w:rPr>
                <w:rFonts w:eastAsia="仿宋_GB2312"/>
                <w:kern w:val="0"/>
                <w:szCs w:val="21"/>
              </w:rPr>
              <w:t>（-22.66）</w:t>
            </w:r>
          </w:p>
        </w:tc>
        <w:tc>
          <w:tcPr>
            <w:tcW w:w="1783" w:type="dxa"/>
            <w:vAlign w:val="center"/>
          </w:tcPr>
          <w:p>
            <w:pPr>
              <w:widowControl/>
              <w:spacing w:line="240" w:lineRule="exact"/>
              <w:jc w:val="center"/>
              <w:rPr>
                <w:rFonts w:eastAsia="仿宋_GB2312"/>
                <w:kern w:val="0"/>
                <w:szCs w:val="21"/>
              </w:rPr>
            </w:pPr>
            <w:r>
              <w:rPr>
                <w:rFonts w:eastAsia="仿宋_GB2312"/>
                <w:kern w:val="0"/>
                <w:szCs w:val="21"/>
              </w:rPr>
              <w:t>1.2～5.8</w:t>
            </w:r>
          </w:p>
          <w:p>
            <w:pPr>
              <w:widowControl/>
              <w:spacing w:line="240" w:lineRule="exact"/>
              <w:jc w:val="center"/>
              <w:rPr>
                <w:rFonts w:eastAsia="仿宋_GB2312"/>
                <w:kern w:val="0"/>
                <w:szCs w:val="21"/>
              </w:rPr>
            </w:pPr>
            <w:r>
              <w:rPr>
                <w:rFonts w:eastAsia="仿宋_GB2312"/>
                <w:kern w:val="0"/>
                <w:szCs w:val="21"/>
              </w:rPr>
              <w:t>（4.37）</w:t>
            </w:r>
          </w:p>
        </w:tc>
        <w:tc>
          <w:tcPr>
            <w:tcW w:w="1001" w:type="dxa"/>
            <w:vAlign w:val="center"/>
          </w:tcPr>
          <w:p>
            <w:pPr>
              <w:widowControl/>
              <w:spacing w:line="240" w:lineRule="exact"/>
              <w:jc w:val="center"/>
              <w:rPr>
                <w:rFonts w:eastAsia="仿宋_GB2312"/>
                <w:kern w:val="0"/>
                <w:szCs w:val="21"/>
              </w:rPr>
            </w:pPr>
            <w:r>
              <w:rPr>
                <w:rFonts w:eastAsia="仿宋_GB2312"/>
                <w:kern w:val="0"/>
                <w:szCs w:val="21"/>
              </w:rPr>
              <w:t>灰色</w:t>
            </w:r>
          </w:p>
        </w:tc>
        <w:tc>
          <w:tcPr>
            <w:tcW w:w="956" w:type="dxa"/>
            <w:vAlign w:val="center"/>
          </w:tcPr>
          <w:p>
            <w:pPr>
              <w:widowControl/>
              <w:spacing w:line="240" w:lineRule="exact"/>
              <w:jc w:val="center"/>
              <w:rPr>
                <w:rFonts w:eastAsia="仿宋_GB2312"/>
                <w:kern w:val="0"/>
                <w:szCs w:val="21"/>
              </w:rPr>
            </w:pPr>
            <w:r>
              <w:rPr>
                <w:rFonts w:eastAsia="仿宋_GB2312"/>
                <w:kern w:val="0"/>
                <w:szCs w:val="21"/>
              </w:rPr>
              <w:t>软～可塑</w:t>
            </w:r>
          </w:p>
        </w:tc>
        <w:tc>
          <w:tcPr>
            <w:tcW w:w="3941" w:type="dxa"/>
            <w:vAlign w:val="center"/>
          </w:tcPr>
          <w:p>
            <w:pPr>
              <w:widowControl/>
              <w:spacing w:line="240" w:lineRule="exact"/>
              <w:jc w:val="center"/>
              <w:rPr>
                <w:rFonts w:eastAsia="仿宋_GB2312"/>
                <w:kern w:val="0"/>
                <w:szCs w:val="21"/>
              </w:rPr>
            </w:pPr>
            <w:r>
              <w:rPr>
                <w:rFonts w:eastAsia="仿宋_GB2312"/>
                <w:kern w:val="0"/>
                <w:szCs w:val="21"/>
              </w:rPr>
              <w:t>粉质粘土，稍有光泽，韧性中等，干强度中等，具水平层理，粉质粘土厚15~35mm,粉土厚5~8mm,属中等压缩性土</w:t>
            </w:r>
          </w:p>
        </w:tc>
        <w:tc>
          <w:tcPr>
            <w:tcW w:w="1126" w:type="dxa"/>
            <w:vAlign w:val="center"/>
          </w:tcPr>
          <w:p>
            <w:pPr>
              <w:widowControl/>
              <w:spacing w:line="240" w:lineRule="exact"/>
              <w:jc w:val="center"/>
              <w:rPr>
                <w:rFonts w:eastAsia="仿宋_GB2312"/>
                <w:kern w:val="0"/>
                <w:szCs w:val="21"/>
              </w:rPr>
            </w:pPr>
            <w:r>
              <w:rPr>
                <w:rFonts w:eastAsia="仿宋_GB2312"/>
                <w:kern w:val="0"/>
                <w:szCs w:val="21"/>
              </w:rPr>
              <w:t>2.99</w:t>
            </w:r>
          </w:p>
        </w:tc>
        <w:tc>
          <w:tcPr>
            <w:tcW w:w="1296" w:type="dxa"/>
            <w:vAlign w:val="center"/>
          </w:tcPr>
          <w:p>
            <w:pPr>
              <w:widowControl/>
              <w:spacing w:line="240" w:lineRule="exact"/>
              <w:jc w:val="center"/>
              <w:rPr>
                <w:rFonts w:eastAsia="仿宋_GB2312"/>
                <w:kern w:val="0"/>
                <w:szCs w:val="21"/>
              </w:rPr>
            </w:pPr>
            <w:r>
              <w:rPr>
                <w:rFonts w:eastAsia="仿宋_GB2312"/>
                <w:kern w:val="0"/>
                <w:szCs w:val="21"/>
              </w:rPr>
              <w:t>77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012" w:type="dxa"/>
            <w:vMerge w:val="continue"/>
            <w:vAlign w:val="center"/>
          </w:tcPr>
          <w:p>
            <w:pPr>
              <w:widowControl/>
              <w:jc w:val="left"/>
              <w:rPr>
                <w:rFonts w:eastAsia="仿宋_GB2312"/>
                <w:kern w:val="0"/>
                <w:szCs w:val="21"/>
              </w:rPr>
            </w:pPr>
          </w:p>
        </w:tc>
        <w:tc>
          <w:tcPr>
            <w:tcW w:w="1054" w:type="dxa"/>
            <w:vAlign w:val="center"/>
          </w:tcPr>
          <w:p>
            <w:pPr>
              <w:widowControl/>
              <w:spacing w:line="240" w:lineRule="exact"/>
              <w:jc w:val="center"/>
              <w:rPr>
                <w:rFonts w:eastAsia="仿宋_GB2312"/>
                <w:kern w:val="0"/>
                <w:szCs w:val="21"/>
              </w:rPr>
            </w:pPr>
            <w:r>
              <w:rPr>
                <w:rFonts w:hint="eastAsia" w:ascii="宋体" w:hAnsi="宋体" w:cs="宋体"/>
                <w:kern w:val="0"/>
                <w:szCs w:val="21"/>
              </w:rPr>
              <w:t>⑦</w:t>
            </w:r>
            <w:r>
              <w:rPr>
                <w:rFonts w:eastAsia="仿宋_GB2312"/>
                <w:kern w:val="0"/>
                <w:szCs w:val="21"/>
              </w:rPr>
              <w:t>1</w:t>
            </w:r>
          </w:p>
        </w:tc>
        <w:tc>
          <w:tcPr>
            <w:tcW w:w="974" w:type="dxa"/>
            <w:vAlign w:val="center"/>
          </w:tcPr>
          <w:p>
            <w:pPr>
              <w:widowControl/>
              <w:spacing w:line="240" w:lineRule="exact"/>
              <w:jc w:val="center"/>
              <w:rPr>
                <w:rFonts w:eastAsia="仿宋_GB2312"/>
                <w:kern w:val="0"/>
                <w:szCs w:val="21"/>
              </w:rPr>
            </w:pPr>
            <w:r>
              <w:rPr>
                <w:rFonts w:eastAsia="仿宋_GB2312"/>
                <w:kern w:val="0"/>
                <w:szCs w:val="21"/>
              </w:rPr>
              <w:t>粉质粘土</w:t>
            </w:r>
          </w:p>
        </w:tc>
        <w:tc>
          <w:tcPr>
            <w:tcW w:w="1788" w:type="dxa"/>
            <w:vAlign w:val="center"/>
          </w:tcPr>
          <w:p>
            <w:pPr>
              <w:widowControl/>
              <w:spacing w:line="240" w:lineRule="exact"/>
              <w:jc w:val="center"/>
              <w:rPr>
                <w:rFonts w:eastAsia="仿宋_GB2312"/>
                <w:kern w:val="0"/>
                <w:szCs w:val="21"/>
              </w:rPr>
            </w:pPr>
            <w:r>
              <w:rPr>
                <w:rFonts w:eastAsia="仿宋_GB2312"/>
                <w:kern w:val="0"/>
                <w:szCs w:val="21"/>
              </w:rPr>
              <w:t>-32.85～-28.72</w:t>
            </w:r>
          </w:p>
          <w:p>
            <w:pPr>
              <w:widowControl/>
              <w:spacing w:line="240" w:lineRule="exact"/>
              <w:jc w:val="center"/>
              <w:rPr>
                <w:rFonts w:eastAsia="仿宋_GB2312"/>
                <w:kern w:val="0"/>
                <w:szCs w:val="21"/>
              </w:rPr>
            </w:pPr>
            <w:r>
              <w:rPr>
                <w:rFonts w:eastAsia="仿宋_GB2312"/>
                <w:kern w:val="0"/>
                <w:szCs w:val="21"/>
              </w:rPr>
              <w:t>（-29.74）</w:t>
            </w:r>
          </w:p>
        </w:tc>
        <w:tc>
          <w:tcPr>
            <w:tcW w:w="1783" w:type="dxa"/>
            <w:vAlign w:val="center"/>
          </w:tcPr>
          <w:p>
            <w:pPr>
              <w:widowControl/>
              <w:spacing w:line="240" w:lineRule="exact"/>
              <w:jc w:val="center"/>
              <w:rPr>
                <w:rFonts w:eastAsia="仿宋_GB2312"/>
                <w:kern w:val="0"/>
                <w:szCs w:val="21"/>
              </w:rPr>
            </w:pPr>
            <w:r>
              <w:rPr>
                <w:rFonts w:eastAsia="仿宋_GB2312"/>
                <w:kern w:val="0"/>
                <w:szCs w:val="21"/>
              </w:rPr>
              <w:t>5.4～9.9</w:t>
            </w:r>
          </w:p>
          <w:p>
            <w:pPr>
              <w:widowControl/>
              <w:spacing w:line="240" w:lineRule="exact"/>
              <w:jc w:val="center"/>
              <w:rPr>
                <w:rFonts w:eastAsia="仿宋_GB2312"/>
                <w:kern w:val="0"/>
                <w:szCs w:val="21"/>
              </w:rPr>
            </w:pPr>
            <w:r>
              <w:rPr>
                <w:rFonts w:eastAsia="仿宋_GB2312"/>
                <w:kern w:val="0"/>
                <w:szCs w:val="21"/>
              </w:rPr>
              <w:t>（7.09）</w:t>
            </w:r>
          </w:p>
        </w:tc>
        <w:tc>
          <w:tcPr>
            <w:tcW w:w="1001" w:type="dxa"/>
            <w:vAlign w:val="center"/>
          </w:tcPr>
          <w:p>
            <w:pPr>
              <w:widowControl/>
              <w:spacing w:line="240" w:lineRule="exact"/>
              <w:jc w:val="center"/>
              <w:rPr>
                <w:rFonts w:eastAsia="仿宋_GB2312"/>
                <w:kern w:val="0"/>
                <w:szCs w:val="21"/>
              </w:rPr>
            </w:pPr>
            <w:r>
              <w:rPr>
                <w:rFonts w:eastAsia="仿宋_GB2312"/>
                <w:kern w:val="0"/>
                <w:szCs w:val="21"/>
              </w:rPr>
              <w:t>灰色</w:t>
            </w:r>
          </w:p>
        </w:tc>
        <w:tc>
          <w:tcPr>
            <w:tcW w:w="956" w:type="dxa"/>
            <w:vAlign w:val="center"/>
          </w:tcPr>
          <w:p>
            <w:pPr>
              <w:widowControl/>
              <w:spacing w:line="240" w:lineRule="exact"/>
              <w:jc w:val="center"/>
              <w:rPr>
                <w:rFonts w:eastAsia="仿宋_GB2312"/>
                <w:kern w:val="0"/>
                <w:szCs w:val="21"/>
              </w:rPr>
            </w:pPr>
            <w:r>
              <w:rPr>
                <w:rFonts w:eastAsia="仿宋_GB2312"/>
                <w:kern w:val="0"/>
                <w:szCs w:val="21"/>
              </w:rPr>
              <w:t>可塑</w:t>
            </w:r>
          </w:p>
        </w:tc>
        <w:tc>
          <w:tcPr>
            <w:tcW w:w="3941" w:type="dxa"/>
            <w:vAlign w:val="center"/>
          </w:tcPr>
          <w:p>
            <w:pPr>
              <w:widowControl/>
              <w:spacing w:line="240" w:lineRule="exact"/>
              <w:jc w:val="center"/>
              <w:rPr>
                <w:rFonts w:eastAsia="仿宋_GB2312"/>
                <w:kern w:val="0"/>
                <w:szCs w:val="21"/>
              </w:rPr>
            </w:pPr>
            <w:r>
              <w:rPr>
                <w:rFonts w:eastAsia="仿宋_GB2312"/>
                <w:kern w:val="0"/>
                <w:szCs w:val="21"/>
              </w:rPr>
              <w:t>稍有光泽，韧性中等，干强度中等，无摇振反应，夹粉土，底部夹粉土较多，属中压缩性土，此层在场地中南侧分布，北部缺失</w:t>
            </w:r>
          </w:p>
        </w:tc>
        <w:tc>
          <w:tcPr>
            <w:tcW w:w="1126" w:type="dxa"/>
            <w:vAlign w:val="center"/>
          </w:tcPr>
          <w:p>
            <w:pPr>
              <w:widowControl/>
              <w:spacing w:line="240" w:lineRule="exact"/>
              <w:jc w:val="center"/>
              <w:rPr>
                <w:rFonts w:eastAsia="仿宋_GB2312"/>
                <w:kern w:val="0"/>
                <w:szCs w:val="21"/>
              </w:rPr>
            </w:pPr>
            <w:r>
              <w:rPr>
                <w:rFonts w:eastAsia="仿宋_GB2312"/>
                <w:kern w:val="0"/>
                <w:szCs w:val="21"/>
              </w:rPr>
              <w:t>2.17</w:t>
            </w:r>
          </w:p>
        </w:tc>
        <w:tc>
          <w:tcPr>
            <w:tcW w:w="1296" w:type="dxa"/>
            <w:vAlign w:val="center"/>
          </w:tcPr>
          <w:p>
            <w:pPr>
              <w:widowControl/>
              <w:spacing w:line="240" w:lineRule="exact"/>
              <w:jc w:val="center"/>
              <w:rPr>
                <w:rFonts w:eastAsia="仿宋_GB2312"/>
                <w:kern w:val="0"/>
                <w:szCs w:val="21"/>
              </w:rPr>
            </w:pPr>
            <w:r>
              <w:rPr>
                <w:rFonts w:eastAsia="仿宋_GB2312"/>
                <w:kern w:val="0"/>
                <w:szCs w:val="21"/>
              </w:rPr>
              <w:t>39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012" w:type="dxa"/>
            <w:vMerge w:val="continue"/>
            <w:vAlign w:val="center"/>
          </w:tcPr>
          <w:p>
            <w:pPr>
              <w:widowControl/>
              <w:jc w:val="left"/>
              <w:rPr>
                <w:rFonts w:eastAsia="仿宋_GB2312"/>
                <w:kern w:val="0"/>
                <w:szCs w:val="21"/>
              </w:rPr>
            </w:pPr>
          </w:p>
        </w:tc>
        <w:tc>
          <w:tcPr>
            <w:tcW w:w="1054" w:type="dxa"/>
            <w:vAlign w:val="center"/>
          </w:tcPr>
          <w:p>
            <w:pPr>
              <w:widowControl/>
              <w:spacing w:line="240" w:lineRule="exact"/>
              <w:jc w:val="center"/>
              <w:rPr>
                <w:rFonts w:eastAsia="仿宋_GB2312"/>
                <w:kern w:val="0"/>
                <w:szCs w:val="21"/>
              </w:rPr>
            </w:pPr>
            <w:r>
              <w:rPr>
                <w:rFonts w:hint="eastAsia" w:ascii="宋体" w:hAnsi="宋体" w:cs="宋体"/>
                <w:kern w:val="0"/>
                <w:szCs w:val="21"/>
              </w:rPr>
              <w:t>⑦</w:t>
            </w:r>
            <w:r>
              <w:rPr>
                <w:rFonts w:eastAsia="仿宋_GB2312"/>
                <w:kern w:val="0"/>
                <w:szCs w:val="21"/>
              </w:rPr>
              <w:t>2</w:t>
            </w:r>
          </w:p>
        </w:tc>
        <w:tc>
          <w:tcPr>
            <w:tcW w:w="974" w:type="dxa"/>
            <w:vAlign w:val="center"/>
          </w:tcPr>
          <w:p>
            <w:pPr>
              <w:widowControl/>
              <w:spacing w:line="240" w:lineRule="exact"/>
              <w:jc w:val="center"/>
              <w:rPr>
                <w:rFonts w:eastAsia="仿宋_GB2312"/>
                <w:kern w:val="0"/>
                <w:szCs w:val="21"/>
              </w:rPr>
            </w:pPr>
            <w:r>
              <w:rPr>
                <w:rFonts w:eastAsia="仿宋_GB2312"/>
                <w:kern w:val="0"/>
                <w:szCs w:val="21"/>
              </w:rPr>
              <w:t>粉质粘土</w:t>
            </w:r>
          </w:p>
        </w:tc>
        <w:tc>
          <w:tcPr>
            <w:tcW w:w="1788" w:type="dxa"/>
            <w:vAlign w:val="center"/>
          </w:tcPr>
          <w:p>
            <w:pPr>
              <w:widowControl/>
              <w:spacing w:line="240" w:lineRule="exact"/>
              <w:jc w:val="center"/>
              <w:rPr>
                <w:rFonts w:eastAsia="仿宋_GB2312"/>
                <w:kern w:val="0"/>
                <w:szCs w:val="21"/>
              </w:rPr>
            </w:pPr>
            <w:r>
              <w:rPr>
                <w:rFonts w:eastAsia="仿宋_GB2312"/>
                <w:kern w:val="0"/>
                <w:szCs w:val="21"/>
              </w:rPr>
              <w:t>-33.47～-29.44</w:t>
            </w:r>
          </w:p>
          <w:p>
            <w:pPr>
              <w:widowControl/>
              <w:spacing w:line="240" w:lineRule="exact"/>
              <w:jc w:val="center"/>
              <w:rPr>
                <w:rFonts w:eastAsia="仿宋_GB2312"/>
                <w:kern w:val="0"/>
                <w:szCs w:val="21"/>
              </w:rPr>
            </w:pPr>
            <w:r>
              <w:rPr>
                <w:rFonts w:eastAsia="仿宋_GB2312"/>
                <w:kern w:val="0"/>
                <w:szCs w:val="21"/>
              </w:rPr>
              <w:t>（-30.88）</w:t>
            </w:r>
          </w:p>
        </w:tc>
        <w:tc>
          <w:tcPr>
            <w:tcW w:w="1783" w:type="dxa"/>
            <w:vAlign w:val="center"/>
          </w:tcPr>
          <w:p>
            <w:pPr>
              <w:widowControl/>
              <w:spacing w:line="240" w:lineRule="exact"/>
              <w:jc w:val="center"/>
              <w:rPr>
                <w:rFonts w:eastAsia="仿宋_GB2312"/>
                <w:kern w:val="0"/>
                <w:szCs w:val="21"/>
              </w:rPr>
            </w:pPr>
            <w:r>
              <w:rPr>
                <w:rFonts w:eastAsia="仿宋_GB2312"/>
                <w:kern w:val="0"/>
                <w:szCs w:val="21"/>
              </w:rPr>
              <w:t>1.9～10.3</w:t>
            </w:r>
          </w:p>
          <w:p>
            <w:pPr>
              <w:widowControl/>
              <w:spacing w:line="240" w:lineRule="exact"/>
              <w:jc w:val="center"/>
              <w:rPr>
                <w:rFonts w:eastAsia="仿宋_GB2312"/>
                <w:kern w:val="0"/>
                <w:szCs w:val="21"/>
              </w:rPr>
            </w:pPr>
            <w:r>
              <w:rPr>
                <w:rFonts w:eastAsia="仿宋_GB2312"/>
                <w:kern w:val="0"/>
                <w:szCs w:val="21"/>
              </w:rPr>
              <w:t>（7.18）</w:t>
            </w:r>
          </w:p>
        </w:tc>
        <w:tc>
          <w:tcPr>
            <w:tcW w:w="1001" w:type="dxa"/>
            <w:vAlign w:val="center"/>
          </w:tcPr>
          <w:p>
            <w:pPr>
              <w:widowControl/>
              <w:spacing w:line="240" w:lineRule="exact"/>
              <w:jc w:val="center"/>
              <w:rPr>
                <w:rFonts w:eastAsia="仿宋_GB2312"/>
                <w:kern w:val="0"/>
                <w:szCs w:val="21"/>
              </w:rPr>
            </w:pPr>
            <w:r>
              <w:rPr>
                <w:rFonts w:eastAsia="仿宋_GB2312"/>
                <w:kern w:val="0"/>
                <w:szCs w:val="21"/>
              </w:rPr>
              <w:t>灰黄色</w:t>
            </w:r>
          </w:p>
        </w:tc>
        <w:tc>
          <w:tcPr>
            <w:tcW w:w="956" w:type="dxa"/>
            <w:vAlign w:val="center"/>
          </w:tcPr>
          <w:p>
            <w:pPr>
              <w:widowControl/>
              <w:spacing w:line="240" w:lineRule="exact"/>
              <w:jc w:val="center"/>
              <w:rPr>
                <w:rFonts w:eastAsia="仿宋_GB2312"/>
                <w:kern w:val="0"/>
                <w:szCs w:val="21"/>
              </w:rPr>
            </w:pPr>
            <w:r>
              <w:rPr>
                <w:rFonts w:eastAsia="仿宋_GB2312"/>
                <w:kern w:val="0"/>
                <w:szCs w:val="21"/>
              </w:rPr>
              <w:t>可～硬塑</w:t>
            </w:r>
          </w:p>
        </w:tc>
        <w:tc>
          <w:tcPr>
            <w:tcW w:w="3941" w:type="dxa"/>
            <w:vAlign w:val="center"/>
          </w:tcPr>
          <w:p>
            <w:pPr>
              <w:widowControl/>
              <w:spacing w:line="240" w:lineRule="exact"/>
              <w:jc w:val="center"/>
              <w:rPr>
                <w:rFonts w:eastAsia="仿宋_GB2312"/>
                <w:kern w:val="0"/>
                <w:szCs w:val="21"/>
              </w:rPr>
            </w:pPr>
            <w:r>
              <w:rPr>
                <w:rFonts w:eastAsia="仿宋_GB2312"/>
                <w:kern w:val="0"/>
                <w:szCs w:val="21"/>
              </w:rPr>
              <w:t>稍有光泽，韧性中等，干强度中等，无摇振反应，局部呈硬塑，属中压缩性土。此层在场地中北侧分布，南部缺失</w:t>
            </w:r>
          </w:p>
        </w:tc>
        <w:tc>
          <w:tcPr>
            <w:tcW w:w="1126" w:type="dxa"/>
            <w:vAlign w:val="center"/>
          </w:tcPr>
          <w:p>
            <w:pPr>
              <w:widowControl/>
              <w:spacing w:line="240" w:lineRule="exact"/>
              <w:jc w:val="center"/>
              <w:rPr>
                <w:rFonts w:eastAsia="仿宋_GB2312"/>
                <w:kern w:val="0"/>
                <w:szCs w:val="21"/>
              </w:rPr>
            </w:pPr>
            <w:r>
              <w:rPr>
                <w:rFonts w:eastAsia="仿宋_GB2312"/>
                <w:kern w:val="0"/>
                <w:szCs w:val="21"/>
              </w:rPr>
              <w:t>3.33</w:t>
            </w:r>
          </w:p>
        </w:tc>
        <w:tc>
          <w:tcPr>
            <w:tcW w:w="1296" w:type="dxa"/>
            <w:vAlign w:val="center"/>
          </w:tcPr>
          <w:p>
            <w:pPr>
              <w:widowControl/>
              <w:spacing w:line="240" w:lineRule="exact"/>
              <w:jc w:val="center"/>
              <w:rPr>
                <w:rFonts w:eastAsia="仿宋_GB2312"/>
                <w:kern w:val="0"/>
                <w:szCs w:val="21"/>
              </w:rPr>
            </w:pPr>
            <w:r>
              <w:rPr>
                <w:rFonts w:eastAsia="仿宋_GB2312"/>
                <w:kern w:val="0"/>
                <w:szCs w:val="21"/>
              </w:rPr>
              <w:t>93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012" w:type="dxa"/>
            <w:vMerge w:val="continue"/>
            <w:vAlign w:val="center"/>
          </w:tcPr>
          <w:p>
            <w:pPr>
              <w:widowControl/>
              <w:jc w:val="left"/>
              <w:rPr>
                <w:rFonts w:eastAsia="仿宋_GB2312"/>
                <w:kern w:val="0"/>
                <w:szCs w:val="21"/>
              </w:rPr>
            </w:pPr>
          </w:p>
        </w:tc>
        <w:tc>
          <w:tcPr>
            <w:tcW w:w="1054" w:type="dxa"/>
            <w:vAlign w:val="center"/>
          </w:tcPr>
          <w:p>
            <w:pPr>
              <w:widowControl/>
              <w:spacing w:line="240" w:lineRule="exact"/>
              <w:jc w:val="center"/>
              <w:rPr>
                <w:rFonts w:eastAsia="仿宋_GB2312"/>
                <w:kern w:val="0"/>
                <w:szCs w:val="21"/>
              </w:rPr>
            </w:pPr>
            <w:r>
              <w:rPr>
                <w:rFonts w:hint="eastAsia" w:ascii="宋体" w:hAnsi="宋体" w:cs="宋体"/>
                <w:kern w:val="0"/>
                <w:szCs w:val="21"/>
              </w:rPr>
              <w:t>⑧</w:t>
            </w:r>
            <w:r>
              <w:rPr>
                <w:rFonts w:eastAsia="仿宋_GB2312"/>
                <w:kern w:val="0"/>
                <w:szCs w:val="21"/>
              </w:rPr>
              <w:t>1</w:t>
            </w:r>
          </w:p>
        </w:tc>
        <w:tc>
          <w:tcPr>
            <w:tcW w:w="974" w:type="dxa"/>
            <w:vAlign w:val="center"/>
          </w:tcPr>
          <w:p>
            <w:pPr>
              <w:widowControl/>
              <w:spacing w:line="240" w:lineRule="exact"/>
              <w:jc w:val="center"/>
              <w:rPr>
                <w:rFonts w:eastAsia="仿宋_GB2312"/>
                <w:kern w:val="0"/>
                <w:szCs w:val="21"/>
              </w:rPr>
            </w:pPr>
            <w:r>
              <w:rPr>
                <w:rFonts w:eastAsia="仿宋_GB2312"/>
                <w:kern w:val="0"/>
                <w:szCs w:val="21"/>
              </w:rPr>
              <w:t>粉砂夹粉土</w:t>
            </w:r>
          </w:p>
        </w:tc>
        <w:tc>
          <w:tcPr>
            <w:tcW w:w="1788" w:type="dxa"/>
            <w:vAlign w:val="center"/>
          </w:tcPr>
          <w:p>
            <w:pPr>
              <w:widowControl/>
              <w:spacing w:line="240" w:lineRule="exact"/>
              <w:jc w:val="center"/>
              <w:rPr>
                <w:rFonts w:eastAsia="仿宋_GB2312"/>
                <w:kern w:val="0"/>
                <w:szCs w:val="21"/>
              </w:rPr>
            </w:pPr>
            <w:r>
              <w:rPr>
                <w:rFonts w:eastAsia="仿宋_GB2312"/>
                <w:kern w:val="0"/>
                <w:szCs w:val="21"/>
              </w:rPr>
              <w:t>-40.11～-37.17</w:t>
            </w:r>
          </w:p>
          <w:p>
            <w:pPr>
              <w:widowControl/>
              <w:spacing w:line="240" w:lineRule="exact"/>
              <w:jc w:val="center"/>
              <w:rPr>
                <w:rFonts w:eastAsia="仿宋_GB2312"/>
                <w:kern w:val="0"/>
                <w:szCs w:val="21"/>
              </w:rPr>
            </w:pPr>
            <w:r>
              <w:rPr>
                <w:rFonts w:eastAsia="仿宋_GB2312"/>
                <w:kern w:val="0"/>
                <w:szCs w:val="21"/>
              </w:rPr>
              <w:t>（-38.10）</w:t>
            </w:r>
          </w:p>
        </w:tc>
        <w:tc>
          <w:tcPr>
            <w:tcW w:w="1783" w:type="dxa"/>
            <w:vAlign w:val="center"/>
          </w:tcPr>
          <w:p>
            <w:pPr>
              <w:widowControl/>
              <w:spacing w:line="240" w:lineRule="exact"/>
              <w:jc w:val="center"/>
              <w:rPr>
                <w:rFonts w:eastAsia="仿宋_GB2312"/>
                <w:kern w:val="0"/>
                <w:szCs w:val="21"/>
              </w:rPr>
            </w:pPr>
            <w:r>
              <w:rPr>
                <w:rFonts w:eastAsia="仿宋_GB2312"/>
                <w:kern w:val="0"/>
                <w:szCs w:val="21"/>
              </w:rPr>
              <w:t>6.2～9.5</w:t>
            </w:r>
          </w:p>
          <w:p>
            <w:pPr>
              <w:widowControl/>
              <w:spacing w:line="240" w:lineRule="exact"/>
              <w:jc w:val="center"/>
              <w:rPr>
                <w:rFonts w:eastAsia="仿宋_GB2312"/>
                <w:kern w:val="0"/>
                <w:szCs w:val="21"/>
              </w:rPr>
            </w:pPr>
            <w:r>
              <w:rPr>
                <w:rFonts w:eastAsia="仿宋_GB2312"/>
                <w:kern w:val="0"/>
                <w:szCs w:val="21"/>
              </w:rPr>
              <w:t>（8.24）</w:t>
            </w:r>
          </w:p>
        </w:tc>
        <w:tc>
          <w:tcPr>
            <w:tcW w:w="1001" w:type="dxa"/>
            <w:vAlign w:val="center"/>
          </w:tcPr>
          <w:p>
            <w:pPr>
              <w:widowControl/>
              <w:spacing w:line="240" w:lineRule="exact"/>
              <w:jc w:val="center"/>
              <w:rPr>
                <w:rFonts w:eastAsia="仿宋_GB2312"/>
                <w:kern w:val="0"/>
                <w:szCs w:val="21"/>
              </w:rPr>
            </w:pPr>
            <w:r>
              <w:rPr>
                <w:rFonts w:eastAsia="仿宋_GB2312"/>
                <w:kern w:val="0"/>
                <w:szCs w:val="21"/>
              </w:rPr>
              <w:t>灰～黄灰色</w:t>
            </w:r>
          </w:p>
        </w:tc>
        <w:tc>
          <w:tcPr>
            <w:tcW w:w="956" w:type="dxa"/>
            <w:vAlign w:val="center"/>
          </w:tcPr>
          <w:p>
            <w:pPr>
              <w:widowControl/>
              <w:spacing w:line="240" w:lineRule="exact"/>
              <w:jc w:val="center"/>
              <w:rPr>
                <w:rFonts w:eastAsia="仿宋_GB2312"/>
                <w:kern w:val="0"/>
                <w:szCs w:val="21"/>
              </w:rPr>
            </w:pPr>
            <w:r>
              <w:rPr>
                <w:rFonts w:eastAsia="仿宋_GB2312"/>
                <w:kern w:val="0"/>
                <w:szCs w:val="21"/>
              </w:rPr>
              <w:t>密实</w:t>
            </w:r>
          </w:p>
        </w:tc>
        <w:tc>
          <w:tcPr>
            <w:tcW w:w="3941" w:type="dxa"/>
            <w:vAlign w:val="center"/>
          </w:tcPr>
          <w:p>
            <w:pPr>
              <w:widowControl/>
              <w:spacing w:line="240" w:lineRule="exact"/>
              <w:jc w:val="center"/>
              <w:rPr>
                <w:rFonts w:eastAsia="仿宋_GB2312"/>
                <w:kern w:val="0"/>
                <w:szCs w:val="21"/>
              </w:rPr>
            </w:pPr>
            <w:r>
              <w:rPr>
                <w:rFonts w:eastAsia="仿宋_GB2312"/>
                <w:kern w:val="0"/>
                <w:szCs w:val="21"/>
              </w:rPr>
              <w:t>饱和，主要矿物成分为石英、长石，含云母碎屑，颗粒级配差，场地中部夹粉土较多，局部粉砂粉土互层状，偶夹粉质粘土，此层下部局部偶夹细砂，夹姜石，直径1~6cm，属中压缩性土</w:t>
            </w:r>
          </w:p>
        </w:tc>
        <w:tc>
          <w:tcPr>
            <w:tcW w:w="1126" w:type="dxa"/>
            <w:vAlign w:val="center"/>
          </w:tcPr>
          <w:p>
            <w:pPr>
              <w:widowControl/>
              <w:spacing w:line="240" w:lineRule="exact"/>
              <w:jc w:val="center"/>
              <w:rPr>
                <w:rFonts w:eastAsia="仿宋_GB2312"/>
                <w:kern w:val="0"/>
                <w:szCs w:val="21"/>
              </w:rPr>
            </w:pPr>
            <w:r>
              <w:rPr>
                <w:rFonts w:eastAsia="仿宋_GB2312"/>
                <w:kern w:val="0"/>
                <w:szCs w:val="21"/>
              </w:rPr>
              <w:t>14.06</w:t>
            </w:r>
          </w:p>
        </w:tc>
        <w:tc>
          <w:tcPr>
            <w:tcW w:w="1296" w:type="dxa"/>
            <w:vAlign w:val="center"/>
          </w:tcPr>
          <w:p>
            <w:pPr>
              <w:widowControl/>
              <w:spacing w:line="240" w:lineRule="exact"/>
              <w:jc w:val="center"/>
              <w:rPr>
                <w:rFonts w:eastAsia="仿宋_GB2312"/>
                <w:kern w:val="0"/>
                <w:szCs w:val="21"/>
              </w:rPr>
            </w:pPr>
            <w:r>
              <w:rPr>
                <w:rFonts w:eastAsia="仿宋_GB2312"/>
                <w:kern w:val="0"/>
                <w:szCs w:val="21"/>
              </w:rPr>
              <w:t>177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012" w:type="dxa"/>
            <w:vMerge w:val="continue"/>
            <w:vAlign w:val="center"/>
          </w:tcPr>
          <w:p>
            <w:pPr>
              <w:widowControl/>
              <w:jc w:val="left"/>
              <w:rPr>
                <w:rFonts w:eastAsia="仿宋_GB2312"/>
                <w:kern w:val="0"/>
                <w:szCs w:val="21"/>
              </w:rPr>
            </w:pPr>
          </w:p>
        </w:tc>
        <w:tc>
          <w:tcPr>
            <w:tcW w:w="1054" w:type="dxa"/>
            <w:vAlign w:val="center"/>
          </w:tcPr>
          <w:p>
            <w:pPr>
              <w:widowControl/>
              <w:spacing w:line="240" w:lineRule="exact"/>
              <w:jc w:val="center"/>
              <w:rPr>
                <w:rFonts w:eastAsia="仿宋_GB2312"/>
                <w:kern w:val="0"/>
                <w:szCs w:val="21"/>
              </w:rPr>
            </w:pPr>
            <w:r>
              <w:rPr>
                <w:rFonts w:hint="eastAsia" w:ascii="宋体" w:hAnsi="宋体" w:cs="宋体"/>
                <w:kern w:val="0"/>
                <w:szCs w:val="21"/>
              </w:rPr>
              <w:t>⑧</w:t>
            </w:r>
            <w:r>
              <w:rPr>
                <w:rFonts w:eastAsia="仿宋_GB2312"/>
                <w:kern w:val="0"/>
                <w:szCs w:val="21"/>
              </w:rPr>
              <w:t>2</w:t>
            </w:r>
          </w:p>
        </w:tc>
        <w:tc>
          <w:tcPr>
            <w:tcW w:w="974" w:type="dxa"/>
            <w:vAlign w:val="center"/>
          </w:tcPr>
          <w:p>
            <w:pPr>
              <w:widowControl/>
              <w:spacing w:line="240" w:lineRule="exact"/>
              <w:jc w:val="center"/>
              <w:rPr>
                <w:rFonts w:eastAsia="仿宋_GB2312"/>
                <w:kern w:val="0"/>
                <w:szCs w:val="21"/>
              </w:rPr>
            </w:pPr>
            <w:r>
              <w:rPr>
                <w:rFonts w:eastAsia="仿宋_GB2312"/>
                <w:kern w:val="0"/>
                <w:szCs w:val="21"/>
              </w:rPr>
              <w:t>细砂</w:t>
            </w:r>
          </w:p>
        </w:tc>
        <w:tc>
          <w:tcPr>
            <w:tcW w:w="1788" w:type="dxa"/>
            <w:vAlign w:val="center"/>
          </w:tcPr>
          <w:p>
            <w:pPr>
              <w:widowControl/>
              <w:spacing w:line="240" w:lineRule="exact"/>
              <w:jc w:val="center"/>
              <w:rPr>
                <w:rFonts w:eastAsia="仿宋_GB2312"/>
                <w:kern w:val="0"/>
                <w:szCs w:val="21"/>
              </w:rPr>
            </w:pPr>
            <w:r>
              <w:rPr>
                <w:rFonts w:eastAsia="仿宋_GB2312"/>
                <w:kern w:val="0"/>
                <w:szCs w:val="21"/>
              </w:rPr>
              <w:t>未钻穿</w:t>
            </w:r>
          </w:p>
        </w:tc>
        <w:tc>
          <w:tcPr>
            <w:tcW w:w="1783" w:type="dxa"/>
            <w:vAlign w:val="center"/>
          </w:tcPr>
          <w:p>
            <w:pPr>
              <w:widowControl/>
              <w:spacing w:line="240" w:lineRule="exact"/>
              <w:jc w:val="center"/>
              <w:rPr>
                <w:rFonts w:eastAsia="仿宋_GB2312"/>
                <w:kern w:val="0"/>
                <w:szCs w:val="21"/>
              </w:rPr>
            </w:pPr>
            <w:r>
              <w:rPr>
                <w:rFonts w:eastAsia="仿宋_GB2312"/>
                <w:kern w:val="0"/>
                <w:szCs w:val="21"/>
              </w:rPr>
              <w:t>/</w:t>
            </w:r>
          </w:p>
        </w:tc>
        <w:tc>
          <w:tcPr>
            <w:tcW w:w="1001" w:type="dxa"/>
            <w:vAlign w:val="center"/>
          </w:tcPr>
          <w:p>
            <w:pPr>
              <w:widowControl/>
              <w:spacing w:line="240" w:lineRule="exact"/>
              <w:jc w:val="center"/>
              <w:rPr>
                <w:rFonts w:eastAsia="仿宋_GB2312"/>
                <w:kern w:val="0"/>
                <w:szCs w:val="21"/>
              </w:rPr>
            </w:pPr>
            <w:r>
              <w:rPr>
                <w:rFonts w:eastAsia="仿宋_GB2312"/>
                <w:kern w:val="0"/>
                <w:szCs w:val="21"/>
              </w:rPr>
              <w:t>灰黄～青灰色</w:t>
            </w:r>
          </w:p>
        </w:tc>
        <w:tc>
          <w:tcPr>
            <w:tcW w:w="956" w:type="dxa"/>
            <w:vAlign w:val="center"/>
          </w:tcPr>
          <w:p>
            <w:pPr>
              <w:widowControl/>
              <w:spacing w:line="240" w:lineRule="exact"/>
              <w:jc w:val="center"/>
              <w:rPr>
                <w:rFonts w:eastAsia="仿宋_GB2312"/>
                <w:kern w:val="0"/>
                <w:szCs w:val="21"/>
              </w:rPr>
            </w:pPr>
            <w:r>
              <w:rPr>
                <w:rFonts w:eastAsia="仿宋_GB2312"/>
                <w:kern w:val="0"/>
                <w:szCs w:val="21"/>
              </w:rPr>
              <w:t>密实</w:t>
            </w:r>
          </w:p>
        </w:tc>
        <w:tc>
          <w:tcPr>
            <w:tcW w:w="3941" w:type="dxa"/>
            <w:vAlign w:val="center"/>
          </w:tcPr>
          <w:p>
            <w:pPr>
              <w:widowControl/>
              <w:spacing w:line="240" w:lineRule="exact"/>
              <w:jc w:val="center"/>
              <w:rPr>
                <w:rFonts w:eastAsia="仿宋_GB2312"/>
                <w:kern w:val="0"/>
                <w:szCs w:val="21"/>
              </w:rPr>
            </w:pPr>
            <w:r>
              <w:rPr>
                <w:rFonts w:eastAsia="仿宋_GB2312"/>
                <w:kern w:val="0"/>
                <w:szCs w:val="21"/>
              </w:rPr>
              <w:t>饱和，主要矿物成分为石英、长石，含少量云母碎屑，颗粒级配差，夹姜石，直径1-7cm，局部富集。属中偏低压缩性土</w:t>
            </w:r>
          </w:p>
        </w:tc>
        <w:tc>
          <w:tcPr>
            <w:tcW w:w="1126" w:type="dxa"/>
            <w:vAlign w:val="center"/>
          </w:tcPr>
          <w:p>
            <w:pPr>
              <w:widowControl/>
              <w:spacing w:line="240" w:lineRule="exact"/>
              <w:jc w:val="center"/>
              <w:rPr>
                <w:rFonts w:eastAsia="仿宋_GB2312"/>
                <w:kern w:val="0"/>
                <w:szCs w:val="21"/>
              </w:rPr>
            </w:pPr>
            <w:r>
              <w:rPr>
                <w:rFonts w:eastAsia="仿宋_GB2312"/>
                <w:kern w:val="0"/>
                <w:szCs w:val="21"/>
              </w:rPr>
              <w:t>16.39</w:t>
            </w:r>
          </w:p>
        </w:tc>
        <w:tc>
          <w:tcPr>
            <w:tcW w:w="1296" w:type="dxa"/>
            <w:vAlign w:val="center"/>
          </w:tcPr>
          <w:p>
            <w:pPr>
              <w:widowControl/>
              <w:spacing w:line="240" w:lineRule="exact"/>
              <w:jc w:val="center"/>
              <w:rPr>
                <w:rFonts w:eastAsia="仿宋_GB2312"/>
                <w:kern w:val="0"/>
                <w:szCs w:val="21"/>
              </w:rPr>
            </w:pPr>
            <w:r>
              <w:rPr>
                <w:rFonts w:eastAsia="仿宋_GB2312"/>
                <w:kern w:val="0"/>
                <w:szCs w:val="21"/>
              </w:rPr>
              <w:t>224</w:t>
            </w:r>
          </w:p>
        </w:tc>
      </w:tr>
    </w:tbl>
    <w:p>
      <w:pPr>
        <w:jc w:val="center"/>
        <w:rPr>
          <w:rFonts w:eastAsia="仿宋_GB2312"/>
        </w:rPr>
      </w:pPr>
    </w:p>
    <w:p>
      <w:pPr>
        <w:jc w:val="center"/>
        <w:rPr>
          <w:rFonts w:eastAsia="仿宋_GB2312"/>
        </w:rPr>
      </w:pPr>
      <w:r>
        <w:rPr>
          <w:rFonts w:eastAsia="仿宋"/>
        </w:rPr>
        <w:drawing>
          <wp:inline distT="0" distB="0" distL="0" distR="0">
            <wp:extent cx="7402830" cy="5398770"/>
            <wp:effectExtent l="0" t="0" r="7620" b="0"/>
            <wp:docPr id="29" name="图片 7" descr="wps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descr="wps3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7402830" cy="5398770"/>
                    </a:xfrm>
                    <a:prstGeom prst="rect">
                      <a:avLst/>
                    </a:prstGeom>
                    <a:noFill/>
                    <a:ln>
                      <a:noFill/>
                    </a:ln>
                  </pic:spPr>
                </pic:pic>
              </a:graphicData>
            </a:graphic>
          </wp:inline>
        </w:drawing>
      </w:r>
    </w:p>
    <w:p>
      <w:pPr>
        <w:tabs>
          <w:tab w:val="left" w:pos="7380"/>
        </w:tabs>
        <w:overflowPunct w:val="0"/>
        <w:spacing w:before="152" w:after="240" w:afterLines="100"/>
        <w:jc w:val="center"/>
        <w:rPr>
          <w:rFonts w:eastAsia="仿宋_GB2312"/>
          <w:b/>
          <w:sz w:val="24"/>
        </w:rPr>
      </w:pPr>
      <w:r>
        <w:rPr>
          <w:rFonts w:eastAsia="仿宋_GB2312"/>
          <w:b/>
          <w:sz w:val="24"/>
        </w:rPr>
        <w:t>图5.2-13   项目所在地地质剖面图</w:t>
      </w:r>
    </w:p>
    <w:p>
      <w:pPr>
        <w:widowControl/>
        <w:rPr>
          <w:rFonts w:eastAsia="仿宋_GB2312"/>
          <w:highlight w:val="green"/>
          <w:lang w:val="zh-CN"/>
        </w:rPr>
        <w:sectPr>
          <w:pgSz w:w="16838" w:h="11906" w:orient="landscape"/>
          <w:pgMar w:top="1440" w:right="1797" w:bottom="1440" w:left="1797" w:header="539" w:footer="992" w:gutter="0"/>
          <w:cols w:space="720" w:num="1"/>
        </w:sectPr>
      </w:pPr>
    </w:p>
    <w:p>
      <w:pPr>
        <w:jc w:val="center"/>
        <w:rPr>
          <w:rFonts w:eastAsia="仿宋_GB2312"/>
          <w:highlight w:val="green"/>
        </w:rPr>
      </w:pPr>
      <w:r>
        <w:rPr>
          <w:rFonts w:ascii="仿宋_GB2312" w:eastAsia="仿宋"/>
        </w:rPr>
        <w:drawing>
          <wp:inline distT="0" distB="0" distL="0" distR="0">
            <wp:extent cx="5303520" cy="7410450"/>
            <wp:effectExtent l="0" t="0" r="0" b="0"/>
            <wp:docPr id="19" name="图片 8" descr="wps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descr="wps3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5303520" cy="7410450"/>
                    </a:xfrm>
                    <a:prstGeom prst="rect">
                      <a:avLst/>
                    </a:prstGeom>
                    <a:noFill/>
                    <a:ln>
                      <a:noFill/>
                    </a:ln>
                  </pic:spPr>
                </pic:pic>
              </a:graphicData>
            </a:graphic>
          </wp:inline>
        </w:drawing>
      </w:r>
    </w:p>
    <w:p>
      <w:pPr>
        <w:tabs>
          <w:tab w:val="left" w:pos="7380"/>
        </w:tabs>
        <w:overflowPunct w:val="0"/>
        <w:spacing w:before="152" w:after="240" w:afterLines="100"/>
        <w:jc w:val="center"/>
        <w:rPr>
          <w:rFonts w:eastAsia="仿宋_GB2312"/>
          <w:b/>
          <w:sz w:val="24"/>
        </w:rPr>
      </w:pPr>
      <w:r>
        <w:rPr>
          <w:rFonts w:eastAsia="仿宋_GB2312"/>
          <w:b/>
          <w:sz w:val="24"/>
        </w:rPr>
        <w:t>图5.2-14   项目所在地岩性柱状图</w:t>
      </w:r>
    </w:p>
    <w:p>
      <w:pPr>
        <w:spacing w:line="500" w:lineRule="exact"/>
        <w:ind w:firstLine="560" w:firstLineChars="200"/>
        <w:rPr>
          <w:rFonts w:eastAsia="仿宋_GB2312"/>
          <w:sz w:val="28"/>
          <w:szCs w:val="28"/>
        </w:rPr>
      </w:pPr>
      <w:r>
        <w:rPr>
          <w:rFonts w:eastAsia="仿宋_GB2312"/>
          <w:sz w:val="28"/>
          <w:szCs w:val="28"/>
        </w:rPr>
        <w:t>二、地下水类型及补径排关系</w:t>
      </w:r>
    </w:p>
    <w:p>
      <w:pPr>
        <w:spacing w:line="500" w:lineRule="exact"/>
        <w:ind w:firstLine="560" w:firstLineChars="200"/>
        <w:rPr>
          <w:rFonts w:eastAsia="仿宋_GB2312"/>
          <w:sz w:val="28"/>
          <w:szCs w:val="28"/>
        </w:rPr>
      </w:pPr>
      <w:r>
        <w:rPr>
          <w:rFonts w:hint="eastAsia" w:eastAsia="仿宋_GB2312"/>
          <w:sz w:val="28"/>
          <w:szCs w:val="28"/>
        </w:rPr>
        <w:t>拟建场地地下水按其埋藏条件可分为潜水和承压水。</w:t>
      </w:r>
    </w:p>
    <w:p>
      <w:pPr>
        <w:spacing w:line="500" w:lineRule="exact"/>
        <w:ind w:firstLine="560" w:firstLineChars="200"/>
        <w:rPr>
          <w:rFonts w:eastAsia="仿宋_GB2312"/>
          <w:sz w:val="28"/>
          <w:szCs w:val="28"/>
        </w:rPr>
      </w:pPr>
      <w:r>
        <w:rPr>
          <w:rFonts w:hint="eastAsia" w:eastAsia="仿宋_GB2312"/>
          <w:sz w:val="28"/>
          <w:szCs w:val="28"/>
        </w:rPr>
        <w:t>潜水埋藏于①层填土、②1层淤泥质粉质粘土中，其主要补给源为大气降水、人工用水、地表迳流，主要以蒸腾作用排泄，本次测得潜水水位埋深为2.3m。</w:t>
      </w:r>
    </w:p>
    <w:p>
      <w:pPr>
        <w:spacing w:line="500" w:lineRule="exact"/>
        <w:ind w:firstLine="560" w:firstLineChars="200"/>
        <w:rPr>
          <w:rFonts w:eastAsia="仿宋_GB2312"/>
          <w:sz w:val="28"/>
          <w:szCs w:val="28"/>
        </w:rPr>
      </w:pPr>
      <w:r>
        <w:rPr>
          <w:rFonts w:hint="eastAsia" w:eastAsia="仿宋_GB2312"/>
          <w:sz w:val="28"/>
          <w:szCs w:val="28"/>
        </w:rPr>
        <w:t>承压水埋藏于⑤1层粉砂夹粉土、⑤2层粉砂、⑥2层粉土夹粉质粘土、⑧1层粉砂夹粉土和⑧2层细砂中，其主要补给源为通济河水的侧向补给，排泄途径亦相同，水量较丰富。本次勘察期间测得其埋深为地面下7.7～8.4m,稳定水头标高平均为黄海高程-2.2m，承压水年变化幅度约+0.5m。</w:t>
      </w:r>
    </w:p>
    <w:p>
      <w:pPr>
        <w:spacing w:line="500" w:lineRule="exact"/>
        <w:ind w:firstLine="560" w:firstLineChars="200"/>
        <w:rPr>
          <w:rFonts w:eastAsia="仿宋_GB2312"/>
          <w:sz w:val="28"/>
          <w:szCs w:val="28"/>
        </w:rPr>
      </w:pPr>
      <w:r>
        <w:rPr>
          <w:rFonts w:hint="eastAsia" w:eastAsia="仿宋_GB2312"/>
          <w:sz w:val="28"/>
          <w:szCs w:val="28"/>
        </w:rPr>
        <w:t>常州地区历史最高洪水位为1931年黄海标高3.70m，1991年为3.63m，本场地位于常州市防洪Ⅱ类区，抗洪水位取黄海高程3.90m。</w:t>
      </w:r>
    </w:p>
    <w:p>
      <w:pPr>
        <w:spacing w:line="500" w:lineRule="exact"/>
        <w:ind w:firstLine="560" w:firstLineChars="200"/>
        <w:rPr>
          <w:rFonts w:eastAsia="仿宋_GB2312"/>
          <w:sz w:val="28"/>
          <w:szCs w:val="28"/>
        </w:rPr>
      </w:pPr>
      <w:r>
        <w:rPr>
          <w:rFonts w:hint="eastAsia" w:eastAsia="仿宋_GB2312"/>
          <w:sz w:val="28"/>
          <w:szCs w:val="28"/>
        </w:rPr>
        <w:t>但从整体来看，研究区含水层主要为孔隙潜水，研究区的污染物主要在包气带和潜水含水层中迁移。</w:t>
      </w:r>
    </w:p>
    <w:p>
      <w:pPr>
        <w:spacing w:line="500" w:lineRule="exact"/>
        <w:ind w:firstLine="560" w:firstLineChars="200"/>
        <w:rPr>
          <w:rFonts w:eastAsia="仿宋_GB2312"/>
          <w:highlight w:val="green"/>
        </w:rPr>
      </w:pPr>
      <w:r>
        <w:rPr>
          <w:rFonts w:hint="eastAsia" w:eastAsia="仿宋_GB2312"/>
          <w:sz w:val="28"/>
          <w:szCs w:val="28"/>
        </w:rPr>
        <w:t>区域潜水含水层补给来源为大气降水和地表水侧向补给，排泄主要为蒸发和侧向补给河流，区域地下水和周边地表水(通济河)联系较为紧密。</w:t>
      </w:r>
    </w:p>
    <w:p>
      <w:pPr>
        <w:keepNext/>
        <w:widowControl/>
        <w:numPr>
          <w:ilvl w:val="3"/>
          <w:numId w:val="1"/>
        </w:numPr>
        <w:tabs>
          <w:tab w:val="left" w:pos="0"/>
        </w:tabs>
        <w:adjustRightInd w:val="0"/>
        <w:snapToGrid w:val="0"/>
        <w:spacing w:after="120" w:afterLines="50" w:line="500" w:lineRule="exact"/>
        <w:ind w:left="0" w:firstLine="0"/>
        <w:jc w:val="left"/>
        <w:outlineLvl w:val="3"/>
        <w:rPr>
          <w:rFonts w:eastAsia="仿宋_GB2312"/>
          <w:b/>
          <w:bCs/>
          <w:sz w:val="28"/>
          <w:szCs w:val="28"/>
        </w:rPr>
      </w:pPr>
      <w:r>
        <w:rPr>
          <w:rFonts w:eastAsia="仿宋_GB2312"/>
          <w:b/>
          <w:bCs/>
          <w:sz w:val="28"/>
          <w:szCs w:val="28"/>
        </w:rPr>
        <w:t>地下水的开采现状</w:t>
      </w:r>
    </w:p>
    <w:p>
      <w:pPr>
        <w:spacing w:line="500" w:lineRule="exact"/>
        <w:ind w:firstLine="560" w:firstLineChars="200"/>
        <w:rPr>
          <w:rFonts w:eastAsia="仿宋_GB2312"/>
          <w:sz w:val="28"/>
          <w:szCs w:val="28"/>
        </w:rPr>
      </w:pPr>
      <w:r>
        <w:rPr>
          <w:rFonts w:eastAsia="仿宋_GB2312"/>
          <w:sz w:val="28"/>
          <w:szCs w:val="28"/>
        </w:rPr>
        <w:t>评价区内无地下水生活用水供水水源地，没有分散式居民水井。居民生活用水取自自来水管网统一供给。地下水开发利用程度较低。</w:t>
      </w:r>
    </w:p>
    <w:p>
      <w:pPr>
        <w:keepNext/>
        <w:widowControl/>
        <w:numPr>
          <w:ilvl w:val="3"/>
          <w:numId w:val="1"/>
        </w:numPr>
        <w:tabs>
          <w:tab w:val="left" w:pos="0"/>
        </w:tabs>
        <w:adjustRightInd w:val="0"/>
        <w:snapToGrid w:val="0"/>
        <w:spacing w:after="120" w:afterLines="50" w:line="500" w:lineRule="exact"/>
        <w:ind w:left="0" w:firstLine="0"/>
        <w:jc w:val="left"/>
        <w:outlineLvl w:val="3"/>
        <w:rPr>
          <w:rFonts w:eastAsia="仿宋_GB2312"/>
          <w:b/>
          <w:bCs/>
          <w:sz w:val="28"/>
          <w:szCs w:val="28"/>
        </w:rPr>
      </w:pPr>
      <w:r>
        <w:rPr>
          <w:rFonts w:eastAsia="仿宋_GB2312"/>
          <w:b/>
          <w:bCs/>
          <w:sz w:val="28"/>
          <w:szCs w:val="28"/>
        </w:rPr>
        <w:t>地下水保护目标</w:t>
      </w:r>
    </w:p>
    <w:p>
      <w:pPr>
        <w:spacing w:line="500" w:lineRule="exact"/>
        <w:ind w:firstLine="560" w:firstLineChars="200"/>
        <w:rPr>
          <w:rFonts w:eastAsia="仿宋_GB2312"/>
          <w:sz w:val="28"/>
          <w:szCs w:val="28"/>
        </w:rPr>
      </w:pPr>
      <w:r>
        <w:rPr>
          <w:rFonts w:eastAsia="仿宋_GB2312"/>
          <w:sz w:val="28"/>
          <w:szCs w:val="28"/>
        </w:rPr>
        <w:t>项目所在地不在水源保护区内，评价区潜水不是具有供水意义的含水层，因此本项目确定地下水潜水含水层为地下水保护目标。</w:t>
      </w:r>
    </w:p>
    <w:p>
      <w:pPr>
        <w:keepNext/>
        <w:widowControl/>
        <w:numPr>
          <w:ilvl w:val="3"/>
          <w:numId w:val="1"/>
        </w:numPr>
        <w:adjustRightInd w:val="0"/>
        <w:snapToGrid w:val="0"/>
        <w:spacing w:after="120" w:afterLines="50" w:line="500" w:lineRule="exact"/>
        <w:ind w:left="0" w:firstLine="0"/>
        <w:jc w:val="left"/>
        <w:outlineLvl w:val="3"/>
        <w:rPr>
          <w:rFonts w:eastAsia="仿宋_GB2312"/>
          <w:b/>
          <w:bCs/>
          <w:sz w:val="28"/>
          <w:szCs w:val="28"/>
        </w:rPr>
      </w:pPr>
      <w:r>
        <w:rPr>
          <w:rFonts w:eastAsia="仿宋_GB2312"/>
          <w:b/>
          <w:bCs/>
          <w:sz w:val="28"/>
          <w:szCs w:val="28"/>
        </w:rPr>
        <w:t>地下水环境影响评价</w:t>
      </w:r>
    </w:p>
    <w:p>
      <w:pPr>
        <w:spacing w:line="500" w:lineRule="exact"/>
        <w:ind w:firstLine="560" w:firstLineChars="200"/>
        <w:rPr>
          <w:rFonts w:eastAsia="仿宋_GB2312"/>
          <w:sz w:val="28"/>
          <w:szCs w:val="28"/>
        </w:rPr>
      </w:pPr>
      <w:r>
        <w:rPr>
          <w:rFonts w:eastAsia="仿宋_GB2312"/>
          <w:sz w:val="28"/>
          <w:szCs w:val="28"/>
        </w:rPr>
        <w:t>可能受本项目影响且具有饮用水开发利用价值的敏感含水层为孔隙潜水及承压含水层，因此作为本次影响预测的地下水保护目标。</w:t>
      </w:r>
    </w:p>
    <w:p>
      <w:pPr>
        <w:spacing w:line="500" w:lineRule="exact"/>
        <w:ind w:firstLine="562" w:firstLineChars="200"/>
        <w:rPr>
          <w:rFonts w:eastAsia="仿宋_GB2312"/>
          <w:b/>
          <w:sz w:val="28"/>
          <w:szCs w:val="28"/>
        </w:rPr>
      </w:pPr>
      <w:r>
        <w:rPr>
          <w:rFonts w:eastAsia="仿宋_GB2312"/>
          <w:b/>
          <w:sz w:val="28"/>
          <w:szCs w:val="28"/>
        </w:rPr>
        <w:t>一、工况分析</w:t>
      </w:r>
    </w:p>
    <w:p>
      <w:pPr>
        <w:spacing w:line="500" w:lineRule="exact"/>
        <w:ind w:firstLine="560" w:firstLineChars="200"/>
        <w:rPr>
          <w:rFonts w:eastAsia="仿宋_GB2312"/>
          <w:sz w:val="28"/>
          <w:szCs w:val="28"/>
        </w:rPr>
      </w:pPr>
      <w:r>
        <w:rPr>
          <w:rFonts w:eastAsia="仿宋_GB2312"/>
          <w:sz w:val="28"/>
          <w:szCs w:val="28"/>
        </w:rPr>
        <w:t>本项目可能对地下水产生影响的环节为生产过程中原辅料和废水(液)的跑、冒、滴、漏，主要在危废储存仓库、生产车间、事故应急池、固废堆场等，项目所在地工程设计阶段对厂区内的一般防渗区、重点防渗区均考虑采取地下水防渗处理措施。正常生产时车间的跑冒滴漏不会下渗到地下水中。室外管道和阀门的跑冒滴漏水量较小，时间一般不超过1小时。且本项目用地现状为工业用地，确保确保各项防渗措施得以落实、加强维护和厂区环境管理的前提下，正常工况下对地下水基本无渗漏，污染极小。</w:t>
      </w:r>
    </w:p>
    <w:p>
      <w:pPr>
        <w:spacing w:line="500" w:lineRule="exact"/>
        <w:ind w:firstLine="560" w:firstLineChars="200"/>
        <w:rPr>
          <w:rFonts w:eastAsia="仿宋_GB2312"/>
          <w:sz w:val="28"/>
          <w:szCs w:val="28"/>
        </w:rPr>
      </w:pPr>
      <w:r>
        <w:rPr>
          <w:rFonts w:eastAsia="仿宋_GB2312"/>
          <w:sz w:val="28"/>
          <w:szCs w:val="28"/>
        </w:rPr>
        <w:t>非正常工况下，若出现设施故障、管道破裂、危废储存仓库及生产车间防渗层损坏开裂等现象，物料将对地下水造成点源污染，污染物可能下渗至孔隙潜水及承压层中，从而在含水层中运移。</w:t>
      </w:r>
    </w:p>
    <w:p>
      <w:pPr>
        <w:spacing w:line="500" w:lineRule="exact"/>
        <w:ind w:firstLine="562" w:firstLineChars="200"/>
        <w:rPr>
          <w:rFonts w:eastAsia="仿宋_GB2312"/>
          <w:b/>
          <w:sz w:val="28"/>
          <w:szCs w:val="28"/>
        </w:rPr>
      </w:pPr>
      <w:r>
        <w:rPr>
          <w:rFonts w:eastAsia="仿宋_GB2312"/>
          <w:b/>
          <w:sz w:val="28"/>
          <w:szCs w:val="28"/>
        </w:rPr>
        <w:t>二、预测因子</w:t>
      </w:r>
    </w:p>
    <w:p>
      <w:pPr>
        <w:spacing w:line="500" w:lineRule="exact"/>
        <w:ind w:firstLine="560" w:firstLineChars="200"/>
        <w:rPr>
          <w:rFonts w:eastAsia="仿宋_GB2312"/>
          <w:sz w:val="28"/>
          <w:szCs w:val="28"/>
        </w:rPr>
      </w:pPr>
      <w:r>
        <w:rPr>
          <w:rFonts w:eastAsia="仿宋_GB2312"/>
          <w:sz w:val="28"/>
          <w:szCs w:val="28"/>
        </w:rPr>
        <w:t>非正常状况以危废仓库地下水环境保护措施因系统老化、腐蚀等原因不能正常运行或保护效果达不到设计要求来预测对地下水的影响。本次选取预测因子COD</w:t>
      </w:r>
      <w:r>
        <w:rPr>
          <w:rFonts w:eastAsia="仿宋_GB2312"/>
          <w:sz w:val="28"/>
          <w:szCs w:val="28"/>
          <w:vertAlign w:val="subscript"/>
        </w:rPr>
        <w:t>Mn</w:t>
      </w:r>
      <w:r>
        <w:rPr>
          <w:rFonts w:eastAsia="仿宋_GB2312"/>
          <w:sz w:val="28"/>
          <w:szCs w:val="28"/>
        </w:rPr>
        <w:t>作为地下水预测因子。</w:t>
      </w:r>
      <w:r>
        <w:rPr>
          <w:rFonts w:hint="eastAsia" w:eastAsia="仿宋_GB2312"/>
          <w:sz w:val="28"/>
          <w:szCs w:val="28"/>
        </w:rPr>
        <w:t>根据</w:t>
      </w:r>
      <w:r>
        <w:rPr>
          <w:rFonts w:eastAsia="仿宋_GB2312"/>
          <w:sz w:val="28"/>
          <w:szCs w:val="28"/>
        </w:rPr>
        <w:t>前述工程分析，</w:t>
      </w:r>
      <w:r>
        <w:rPr>
          <w:rFonts w:hint="eastAsia" w:eastAsia="仿宋_GB2312"/>
          <w:sz w:val="28"/>
          <w:szCs w:val="28"/>
        </w:rPr>
        <w:t>本项目危废废清洗液中COD浓度约为10000mg/L，则</w:t>
      </w:r>
      <w:r>
        <w:rPr>
          <w:rFonts w:eastAsia="仿宋_GB2312"/>
          <w:sz w:val="28"/>
          <w:szCs w:val="28"/>
        </w:rPr>
        <w:t>COD</w:t>
      </w:r>
      <w:r>
        <w:rPr>
          <w:rFonts w:eastAsia="仿宋_GB2312"/>
          <w:sz w:val="28"/>
          <w:szCs w:val="28"/>
          <w:vertAlign w:val="subscript"/>
        </w:rPr>
        <w:t>Mn</w:t>
      </w:r>
      <w:r>
        <w:rPr>
          <w:rFonts w:hint="eastAsia" w:eastAsia="仿宋_GB2312"/>
          <w:sz w:val="28"/>
          <w:szCs w:val="28"/>
        </w:rPr>
        <w:t>浓度约为</w:t>
      </w:r>
      <w:r>
        <w:rPr>
          <w:rFonts w:eastAsia="仿宋_GB2312"/>
          <w:sz w:val="28"/>
          <w:szCs w:val="28"/>
        </w:rPr>
        <w:t>5</w:t>
      </w:r>
      <w:r>
        <w:rPr>
          <w:rFonts w:hint="eastAsia" w:eastAsia="仿宋_GB2312"/>
          <w:sz w:val="28"/>
          <w:szCs w:val="28"/>
        </w:rPr>
        <w:t>000mg/L</w:t>
      </w:r>
      <w:r>
        <w:rPr>
          <w:rFonts w:eastAsia="仿宋_GB2312"/>
          <w:sz w:val="28"/>
          <w:szCs w:val="28"/>
        </w:rPr>
        <w:t>(多年数据积累表明高锰酸盐指数一般来说是COD的40%-50%)</w:t>
      </w:r>
      <w:r>
        <w:rPr>
          <w:rFonts w:hint="eastAsia" w:eastAsia="仿宋_GB2312"/>
          <w:sz w:val="28"/>
          <w:szCs w:val="28"/>
        </w:rPr>
        <w:t>。</w:t>
      </w:r>
    </w:p>
    <w:p>
      <w:pPr>
        <w:spacing w:line="500" w:lineRule="exact"/>
        <w:ind w:firstLine="562" w:firstLineChars="200"/>
        <w:rPr>
          <w:rFonts w:eastAsia="仿宋_GB2312"/>
          <w:b/>
          <w:sz w:val="28"/>
          <w:szCs w:val="28"/>
        </w:rPr>
      </w:pPr>
      <w:r>
        <w:rPr>
          <w:rFonts w:eastAsia="仿宋_GB2312"/>
          <w:b/>
          <w:sz w:val="28"/>
          <w:szCs w:val="28"/>
        </w:rPr>
        <w:t>三、预测模型</w:t>
      </w:r>
    </w:p>
    <w:p>
      <w:pPr>
        <w:spacing w:line="500" w:lineRule="exact"/>
        <w:ind w:firstLine="560" w:firstLineChars="200"/>
        <w:rPr>
          <w:rFonts w:eastAsia="仿宋_GB2312"/>
          <w:sz w:val="28"/>
          <w:szCs w:val="28"/>
        </w:rPr>
      </w:pPr>
      <w:r>
        <w:rPr>
          <w:rFonts w:eastAsia="仿宋_GB2312"/>
          <w:sz w:val="28"/>
          <w:szCs w:val="28"/>
        </w:rPr>
        <w:t>根据勘查结果，所在场地内各土层在垂直、水平方向上厚度埋深变化不大，总体各土层均匀性较好。厂区周边的潜水区与承压水区的水文地质条件较简单，可通过解析法预测地下水环境影响。正常情况下，厂区基本不产生地下水污染。主要预测非正常工况下，排污设备出现故障或处理池发生开裂等非正常工况时，废液将会发生渗漏，最坏情况是废液持续排出，从而污染地下水。因此将污染源视为连续稳定释放的点源，通过对污染物源强的分析，筛选出具有代表性的COD</w:t>
      </w:r>
      <w:r>
        <w:rPr>
          <w:rFonts w:eastAsia="仿宋_GB2312"/>
          <w:sz w:val="28"/>
          <w:szCs w:val="28"/>
          <w:vertAlign w:val="subscript"/>
        </w:rPr>
        <w:t>Mn</w:t>
      </w:r>
      <w:r>
        <w:rPr>
          <w:rFonts w:eastAsia="仿宋_GB2312"/>
          <w:sz w:val="28"/>
          <w:szCs w:val="28"/>
        </w:rPr>
        <w:t>进行正向推算。分别计算100天、1000天、10年后的污染物达标扩散距离（最大迁移距离）。</w:t>
      </w:r>
    </w:p>
    <w:p>
      <w:pPr>
        <w:spacing w:line="500" w:lineRule="exact"/>
        <w:ind w:firstLine="560" w:firstLineChars="200"/>
        <w:rPr>
          <w:rFonts w:eastAsia="仿宋_GB2312"/>
          <w:sz w:val="28"/>
          <w:szCs w:val="28"/>
        </w:rPr>
      </w:pPr>
      <w:r>
        <w:rPr>
          <w:rFonts w:eastAsia="仿宋_GB2312"/>
          <w:sz w:val="28"/>
          <w:szCs w:val="28"/>
        </w:rPr>
        <w:t>对污染物的厂区潜水环境影响预测采用《环境影响评价技术导则-地下水环境》（HJ610-2016）附录D推荐的一维半无限长多孔介质柱体，一端为定浓度边界模式。其解析解为：</w:t>
      </w:r>
    </w:p>
    <w:p>
      <w:pPr>
        <w:jc w:val="center"/>
        <w:rPr>
          <w:rFonts w:eastAsia="仿宋_GB2312"/>
          <w:sz w:val="28"/>
          <w:szCs w:val="28"/>
        </w:rPr>
      </w:pPr>
      <w:r>
        <w:rPr>
          <w:rFonts w:eastAsia="仿宋_GB2312"/>
          <w:sz w:val="28"/>
          <w:szCs w:val="28"/>
        </w:rPr>
        <w:drawing>
          <wp:inline distT="0" distB="0" distL="0" distR="0">
            <wp:extent cx="3407410" cy="640715"/>
            <wp:effectExtent l="19050" t="0" r="2540" b="0"/>
            <wp:docPr id="5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
                    <pic:cNvPicPr>
                      <a:picLocks noChangeAspect="1" noChangeArrowheads="1"/>
                    </pic:cNvPicPr>
                  </pic:nvPicPr>
                  <pic:blipFill>
                    <a:blip r:embed="rId81"/>
                    <a:srcRect/>
                    <a:stretch>
                      <a:fillRect/>
                    </a:stretch>
                  </pic:blipFill>
                  <pic:spPr>
                    <a:xfrm>
                      <a:off x="0" y="0"/>
                      <a:ext cx="3407410" cy="640715"/>
                    </a:xfrm>
                    <a:prstGeom prst="rect">
                      <a:avLst/>
                    </a:prstGeom>
                    <a:noFill/>
                    <a:ln w="9525">
                      <a:noFill/>
                      <a:miter lim="800000"/>
                      <a:headEnd/>
                      <a:tailEnd/>
                    </a:ln>
                  </pic:spPr>
                </pic:pic>
              </a:graphicData>
            </a:graphic>
          </wp:inline>
        </w:drawing>
      </w:r>
    </w:p>
    <w:p>
      <w:pPr>
        <w:spacing w:line="500" w:lineRule="exact"/>
        <w:ind w:firstLine="560" w:firstLineChars="200"/>
        <w:rPr>
          <w:rFonts w:eastAsia="仿宋_GB2312"/>
          <w:sz w:val="28"/>
          <w:szCs w:val="28"/>
        </w:rPr>
      </w:pPr>
      <w:r>
        <w:rPr>
          <w:rFonts w:eastAsia="仿宋_GB2312"/>
          <w:sz w:val="28"/>
          <w:szCs w:val="28"/>
        </w:rPr>
        <w:t>式中：</w:t>
      </w:r>
    </w:p>
    <w:p>
      <w:pPr>
        <w:spacing w:line="500" w:lineRule="exact"/>
        <w:ind w:firstLine="560" w:firstLineChars="200"/>
        <w:rPr>
          <w:rFonts w:eastAsia="仿宋_GB2312"/>
          <w:sz w:val="28"/>
          <w:szCs w:val="28"/>
        </w:rPr>
      </w:pPr>
      <w:r>
        <w:rPr>
          <w:rFonts w:eastAsia="仿宋_GB2312"/>
          <w:sz w:val="28"/>
          <w:szCs w:val="28"/>
        </w:rPr>
        <w:t>x—距注入点的距离，m；</w:t>
      </w:r>
    </w:p>
    <w:p>
      <w:pPr>
        <w:spacing w:line="500" w:lineRule="exact"/>
        <w:ind w:firstLine="560" w:firstLineChars="200"/>
        <w:rPr>
          <w:rFonts w:eastAsia="仿宋_GB2312"/>
          <w:sz w:val="28"/>
          <w:szCs w:val="28"/>
        </w:rPr>
      </w:pPr>
      <w:r>
        <w:rPr>
          <w:rFonts w:eastAsia="仿宋_GB2312"/>
          <w:sz w:val="28"/>
          <w:szCs w:val="28"/>
        </w:rPr>
        <w:t>t—时间，d；</w:t>
      </w:r>
    </w:p>
    <w:p>
      <w:pPr>
        <w:spacing w:line="500" w:lineRule="exact"/>
        <w:ind w:firstLine="560" w:firstLineChars="200"/>
        <w:rPr>
          <w:rFonts w:eastAsia="仿宋_GB2312"/>
          <w:sz w:val="28"/>
          <w:szCs w:val="28"/>
        </w:rPr>
      </w:pPr>
      <w:r>
        <w:rPr>
          <w:rFonts w:eastAsia="仿宋_GB2312"/>
          <w:sz w:val="28"/>
          <w:szCs w:val="28"/>
        </w:rPr>
        <w:t>C(x，t)—t时刻x处的示踪剂浓度，g/L；</w:t>
      </w:r>
    </w:p>
    <w:p>
      <w:pPr>
        <w:spacing w:line="500" w:lineRule="exact"/>
        <w:ind w:firstLine="560" w:firstLineChars="200"/>
        <w:rPr>
          <w:rFonts w:eastAsia="仿宋_GB2312"/>
          <w:sz w:val="28"/>
          <w:szCs w:val="28"/>
        </w:rPr>
      </w:pPr>
      <w:r>
        <w:rPr>
          <w:rFonts w:eastAsia="仿宋_GB2312"/>
          <w:sz w:val="28"/>
          <w:szCs w:val="28"/>
        </w:rPr>
        <w:t>C</w:t>
      </w:r>
      <w:r>
        <w:rPr>
          <w:rFonts w:eastAsia="仿宋_GB2312"/>
          <w:sz w:val="28"/>
          <w:szCs w:val="28"/>
          <w:vertAlign w:val="subscript"/>
        </w:rPr>
        <w:t>0</w:t>
      </w:r>
      <w:r>
        <w:rPr>
          <w:rFonts w:eastAsia="仿宋_GB2312"/>
          <w:sz w:val="28"/>
          <w:szCs w:val="28"/>
        </w:rPr>
        <w:t>—注入的示踪剂浓度，g/L；</w:t>
      </w:r>
    </w:p>
    <w:p>
      <w:pPr>
        <w:spacing w:line="500" w:lineRule="exact"/>
        <w:ind w:firstLine="560" w:firstLineChars="200"/>
        <w:rPr>
          <w:rFonts w:eastAsia="仿宋_GB2312"/>
          <w:sz w:val="28"/>
          <w:szCs w:val="28"/>
        </w:rPr>
      </w:pPr>
      <w:r>
        <w:rPr>
          <w:rFonts w:eastAsia="仿宋_GB2312"/>
          <w:sz w:val="28"/>
          <w:szCs w:val="28"/>
        </w:rPr>
        <w:t>u—水流速度，m/d；</w:t>
      </w:r>
    </w:p>
    <w:p>
      <w:pPr>
        <w:spacing w:line="500" w:lineRule="exact"/>
        <w:ind w:firstLine="560" w:firstLineChars="200"/>
        <w:rPr>
          <w:rFonts w:eastAsia="仿宋_GB2312"/>
          <w:sz w:val="28"/>
          <w:szCs w:val="28"/>
        </w:rPr>
      </w:pPr>
      <w:r>
        <w:rPr>
          <w:rFonts w:eastAsia="仿宋_GB2312"/>
          <w:sz w:val="28"/>
          <w:szCs w:val="28"/>
        </w:rPr>
        <w:t>D</w:t>
      </w:r>
      <w:r>
        <w:rPr>
          <w:rFonts w:eastAsia="仿宋_GB2312"/>
          <w:sz w:val="28"/>
          <w:szCs w:val="28"/>
          <w:vertAlign w:val="subscript"/>
        </w:rPr>
        <w:t>L</w:t>
      </w:r>
      <w:r>
        <w:rPr>
          <w:rFonts w:eastAsia="仿宋_GB2312"/>
          <w:sz w:val="28"/>
          <w:szCs w:val="28"/>
        </w:rPr>
        <w:t>—纵向弥散系数，m</w:t>
      </w:r>
      <w:r>
        <w:rPr>
          <w:rFonts w:eastAsia="仿宋_GB2312"/>
          <w:sz w:val="28"/>
          <w:szCs w:val="28"/>
          <w:vertAlign w:val="superscript"/>
        </w:rPr>
        <w:t>2</w:t>
      </w:r>
      <w:r>
        <w:rPr>
          <w:rFonts w:eastAsia="仿宋_GB2312"/>
          <w:sz w:val="28"/>
          <w:szCs w:val="28"/>
        </w:rPr>
        <w:t>/d；</w:t>
      </w:r>
    </w:p>
    <w:p>
      <w:pPr>
        <w:spacing w:line="500" w:lineRule="exact"/>
        <w:ind w:firstLine="560" w:firstLineChars="200"/>
        <w:rPr>
          <w:rFonts w:eastAsia="仿宋_GB2312"/>
          <w:sz w:val="28"/>
          <w:szCs w:val="28"/>
        </w:rPr>
      </w:pPr>
      <w:r>
        <w:rPr>
          <w:rFonts w:eastAsia="仿宋_GB2312"/>
          <w:sz w:val="28"/>
          <w:szCs w:val="28"/>
        </w:rPr>
        <w:t>erfc()—余误差函数。</w:t>
      </w:r>
    </w:p>
    <w:p>
      <w:pPr>
        <w:spacing w:line="500" w:lineRule="exact"/>
        <w:ind w:firstLine="560" w:firstLineChars="200"/>
        <w:rPr>
          <w:rFonts w:eastAsia="仿宋_GB2312"/>
          <w:sz w:val="28"/>
          <w:szCs w:val="28"/>
        </w:rPr>
      </w:pPr>
      <w:r>
        <w:rPr>
          <w:rFonts w:eastAsia="仿宋_GB2312"/>
          <w:sz w:val="28"/>
          <w:szCs w:val="28"/>
        </w:rPr>
        <w:t>地下水实际流速和弥散系数的确定方法：</w:t>
      </w:r>
    </w:p>
    <w:p>
      <w:pPr>
        <w:spacing w:line="500" w:lineRule="exact"/>
        <w:ind w:firstLine="560" w:firstLineChars="200"/>
        <w:rPr>
          <w:rFonts w:eastAsia="仿宋_GB2312"/>
          <w:sz w:val="28"/>
          <w:szCs w:val="28"/>
        </w:rPr>
      </w:pPr>
      <w:r>
        <w:rPr>
          <w:rFonts w:eastAsia="仿宋_GB2312"/>
          <w:sz w:val="28"/>
          <w:szCs w:val="28"/>
        </w:rPr>
        <w:t>u=K×I/n；D</w:t>
      </w:r>
      <w:r>
        <w:rPr>
          <w:rFonts w:eastAsia="仿宋_GB2312"/>
          <w:sz w:val="28"/>
          <w:szCs w:val="28"/>
          <w:vertAlign w:val="subscript"/>
        </w:rPr>
        <w:t>L</w:t>
      </w:r>
      <w:r>
        <w:rPr>
          <w:rFonts w:eastAsia="仿宋_GB2312"/>
          <w:sz w:val="28"/>
          <w:szCs w:val="28"/>
        </w:rPr>
        <w:t>=a</w:t>
      </w:r>
      <w:r>
        <w:rPr>
          <w:rFonts w:eastAsia="仿宋_GB2312"/>
          <w:sz w:val="28"/>
          <w:szCs w:val="28"/>
          <w:vertAlign w:val="subscript"/>
        </w:rPr>
        <w:t>L</w:t>
      </w:r>
      <w:r>
        <w:rPr>
          <w:rFonts w:eastAsia="仿宋_GB2312"/>
          <w:sz w:val="28"/>
          <w:szCs w:val="28"/>
        </w:rPr>
        <w:t>×U</w:t>
      </w:r>
      <w:r>
        <w:rPr>
          <w:rFonts w:eastAsia="仿宋_GB2312"/>
          <w:sz w:val="28"/>
          <w:szCs w:val="28"/>
          <w:vertAlign w:val="superscript"/>
        </w:rPr>
        <w:t>m</w:t>
      </w:r>
      <w:r>
        <w:rPr>
          <w:rFonts w:eastAsia="仿宋_GB2312"/>
          <w:sz w:val="28"/>
          <w:szCs w:val="28"/>
        </w:rPr>
        <w:t>；D</w:t>
      </w:r>
      <w:r>
        <w:rPr>
          <w:rFonts w:eastAsia="仿宋_GB2312"/>
          <w:sz w:val="28"/>
          <w:szCs w:val="28"/>
          <w:vertAlign w:val="subscript"/>
        </w:rPr>
        <w:t>T</w:t>
      </w:r>
      <w:r>
        <w:rPr>
          <w:rFonts w:eastAsia="仿宋_GB2312"/>
          <w:sz w:val="28"/>
          <w:szCs w:val="28"/>
        </w:rPr>
        <w:t>=a</w:t>
      </w:r>
      <w:r>
        <w:rPr>
          <w:rFonts w:eastAsia="仿宋_GB2312"/>
          <w:sz w:val="28"/>
          <w:szCs w:val="28"/>
          <w:vertAlign w:val="subscript"/>
        </w:rPr>
        <w:t>T</w:t>
      </w:r>
      <w:r>
        <w:rPr>
          <w:rFonts w:eastAsia="仿宋_GB2312"/>
          <w:sz w:val="28"/>
          <w:szCs w:val="28"/>
        </w:rPr>
        <w:t>×U</w:t>
      </w:r>
      <w:r>
        <w:rPr>
          <w:rFonts w:eastAsia="仿宋_GB2312"/>
          <w:sz w:val="28"/>
          <w:szCs w:val="28"/>
          <w:vertAlign w:val="superscript"/>
        </w:rPr>
        <w:t>m</w:t>
      </w:r>
    </w:p>
    <w:p>
      <w:pPr>
        <w:spacing w:line="500" w:lineRule="exact"/>
        <w:ind w:firstLine="560" w:firstLineChars="200"/>
        <w:rPr>
          <w:rFonts w:eastAsia="仿宋_GB2312"/>
          <w:sz w:val="28"/>
          <w:szCs w:val="28"/>
        </w:rPr>
      </w:pPr>
      <w:r>
        <w:rPr>
          <w:rFonts w:eastAsia="仿宋_GB2312"/>
          <w:sz w:val="28"/>
          <w:szCs w:val="28"/>
        </w:rPr>
        <w:t>式中：</w:t>
      </w:r>
    </w:p>
    <w:p>
      <w:pPr>
        <w:spacing w:line="500" w:lineRule="exact"/>
        <w:ind w:firstLine="560" w:firstLineChars="200"/>
        <w:rPr>
          <w:rFonts w:eastAsia="仿宋_GB2312"/>
          <w:sz w:val="28"/>
          <w:szCs w:val="28"/>
        </w:rPr>
      </w:pPr>
      <w:r>
        <w:rPr>
          <w:rFonts w:eastAsia="仿宋_GB2312"/>
          <w:sz w:val="28"/>
          <w:szCs w:val="28"/>
        </w:rPr>
        <w:t>u—地下水实际流速，m/d；</w:t>
      </w:r>
    </w:p>
    <w:p>
      <w:pPr>
        <w:spacing w:line="500" w:lineRule="exact"/>
        <w:ind w:firstLine="560" w:firstLineChars="200"/>
        <w:rPr>
          <w:rFonts w:eastAsia="仿宋_GB2312"/>
          <w:sz w:val="28"/>
          <w:szCs w:val="28"/>
        </w:rPr>
      </w:pPr>
      <w:r>
        <w:rPr>
          <w:rFonts w:eastAsia="仿宋_GB2312"/>
          <w:sz w:val="28"/>
          <w:szCs w:val="28"/>
        </w:rPr>
        <w:t>K—渗透系数，m/d；</w:t>
      </w:r>
    </w:p>
    <w:p>
      <w:pPr>
        <w:spacing w:line="500" w:lineRule="exact"/>
        <w:ind w:firstLine="560" w:firstLineChars="200"/>
        <w:rPr>
          <w:rFonts w:eastAsia="仿宋_GB2312"/>
          <w:sz w:val="28"/>
          <w:szCs w:val="28"/>
        </w:rPr>
      </w:pPr>
      <w:r>
        <w:rPr>
          <w:rFonts w:eastAsia="仿宋_GB2312"/>
          <w:sz w:val="28"/>
          <w:szCs w:val="28"/>
        </w:rPr>
        <w:t>I—水力坡度；</w:t>
      </w:r>
    </w:p>
    <w:p>
      <w:pPr>
        <w:spacing w:line="500" w:lineRule="exact"/>
        <w:ind w:firstLine="560" w:firstLineChars="200"/>
        <w:rPr>
          <w:rFonts w:eastAsia="仿宋_GB2312"/>
          <w:sz w:val="28"/>
          <w:szCs w:val="28"/>
        </w:rPr>
      </w:pPr>
      <w:r>
        <w:rPr>
          <w:rFonts w:eastAsia="仿宋_GB2312"/>
          <w:sz w:val="28"/>
          <w:szCs w:val="28"/>
        </w:rPr>
        <w:t>n—孔隙度；</w:t>
      </w:r>
    </w:p>
    <w:p>
      <w:pPr>
        <w:spacing w:line="500" w:lineRule="exact"/>
        <w:ind w:firstLine="560" w:firstLineChars="200"/>
        <w:rPr>
          <w:rFonts w:eastAsia="仿宋_GB2312"/>
          <w:sz w:val="28"/>
          <w:szCs w:val="28"/>
        </w:rPr>
      </w:pPr>
      <w:r>
        <w:rPr>
          <w:rFonts w:eastAsia="仿宋_GB2312"/>
          <w:sz w:val="28"/>
          <w:szCs w:val="28"/>
        </w:rPr>
        <w:t>m—指数；</w:t>
      </w:r>
    </w:p>
    <w:p>
      <w:pPr>
        <w:spacing w:line="500" w:lineRule="exact"/>
        <w:ind w:firstLine="560" w:firstLineChars="200"/>
        <w:rPr>
          <w:rFonts w:eastAsia="仿宋_GB2312"/>
          <w:sz w:val="28"/>
          <w:szCs w:val="28"/>
        </w:rPr>
      </w:pPr>
      <w:r>
        <w:rPr>
          <w:rFonts w:eastAsia="仿宋_GB2312"/>
          <w:sz w:val="28"/>
          <w:szCs w:val="28"/>
        </w:rPr>
        <w:t>D</w:t>
      </w:r>
      <w:r>
        <w:rPr>
          <w:rFonts w:eastAsia="仿宋_GB2312"/>
          <w:sz w:val="28"/>
          <w:szCs w:val="28"/>
          <w:vertAlign w:val="subscript"/>
        </w:rPr>
        <w:t>L</w:t>
      </w:r>
      <w:r>
        <w:rPr>
          <w:rFonts w:eastAsia="仿宋_GB2312"/>
          <w:sz w:val="28"/>
          <w:szCs w:val="28"/>
        </w:rPr>
        <w:t>—纵向弥散系数，m</w:t>
      </w:r>
      <w:r>
        <w:rPr>
          <w:rFonts w:eastAsia="仿宋_GB2312"/>
          <w:sz w:val="28"/>
          <w:szCs w:val="28"/>
          <w:vertAlign w:val="superscript"/>
        </w:rPr>
        <w:t>2</w:t>
      </w:r>
      <w:r>
        <w:rPr>
          <w:rFonts w:eastAsia="仿宋_GB2312"/>
          <w:sz w:val="28"/>
          <w:szCs w:val="28"/>
        </w:rPr>
        <w:t>/d；</w:t>
      </w:r>
    </w:p>
    <w:p>
      <w:pPr>
        <w:spacing w:line="500" w:lineRule="exact"/>
        <w:ind w:firstLine="560" w:firstLineChars="200"/>
        <w:rPr>
          <w:rFonts w:eastAsia="仿宋_GB2312"/>
          <w:sz w:val="28"/>
          <w:szCs w:val="28"/>
        </w:rPr>
      </w:pPr>
      <w:r>
        <w:rPr>
          <w:rFonts w:eastAsia="仿宋_GB2312"/>
          <w:sz w:val="28"/>
          <w:szCs w:val="28"/>
        </w:rPr>
        <w:t>D</w:t>
      </w:r>
      <w:r>
        <w:rPr>
          <w:rFonts w:eastAsia="仿宋_GB2312"/>
          <w:sz w:val="28"/>
          <w:szCs w:val="28"/>
          <w:vertAlign w:val="subscript"/>
        </w:rPr>
        <w:t>T</w:t>
      </w:r>
      <w:r>
        <w:rPr>
          <w:rFonts w:eastAsia="仿宋_GB2312"/>
          <w:sz w:val="28"/>
          <w:szCs w:val="28"/>
        </w:rPr>
        <w:t>—横向弥散系数，m</w:t>
      </w:r>
      <w:r>
        <w:rPr>
          <w:rFonts w:eastAsia="仿宋_GB2312"/>
          <w:sz w:val="28"/>
          <w:szCs w:val="28"/>
          <w:vertAlign w:val="superscript"/>
        </w:rPr>
        <w:t>2</w:t>
      </w:r>
      <w:r>
        <w:rPr>
          <w:rFonts w:eastAsia="仿宋_GB2312"/>
          <w:sz w:val="28"/>
          <w:szCs w:val="28"/>
        </w:rPr>
        <w:t>/d；</w:t>
      </w:r>
    </w:p>
    <w:p>
      <w:pPr>
        <w:spacing w:line="500" w:lineRule="exact"/>
        <w:ind w:firstLine="560" w:firstLineChars="200"/>
        <w:rPr>
          <w:rFonts w:eastAsia="仿宋_GB2312"/>
          <w:sz w:val="28"/>
          <w:szCs w:val="28"/>
        </w:rPr>
      </w:pPr>
      <w:r>
        <w:rPr>
          <w:rFonts w:eastAsia="仿宋_GB2312"/>
          <w:sz w:val="28"/>
          <w:szCs w:val="28"/>
        </w:rPr>
        <w:t>a</w:t>
      </w:r>
      <w:r>
        <w:rPr>
          <w:rFonts w:eastAsia="仿宋_GB2312"/>
          <w:sz w:val="28"/>
          <w:szCs w:val="28"/>
          <w:vertAlign w:val="subscript"/>
        </w:rPr>
        <w:t>L</w:t>
      </w:r>
      <w:r>
        <w:rPr>
          <w:rFonts w:eastAsia="仿宋_GB2312"/>
          <w:sz w:val="28"/>
          <w:szCs w:val="28"/>
        </w:rPr>
        <w:t>—纵向弥散度；</w:t>
      </w:r>
    </w:p>
    <w:p>
      <w:pPr>
        <w:spacing w:line="500" w:lineRule="exact"/>
        <w:ind w:firstLine="560" w:firstLineChars="200"/>
        <w:rPr>
          <w:rFonts w:eastAsia="仿宋_GB2312"/>
          <w:sz w:val="28"/>
          <w:szCs w:val="28"/>
        </w:rPr>
      </w:pPr>
      <w:r>
        <w:rPr>
          <w:rFonts w:eastAsia="仿宋_GB2312"/>
          <w:sz w:val="28"/>
          <w:szCs w:val="28"/>
        </w:rPr>
        <w:t>a</w:t>
      </w:r>
      <w:r>
        <w:rPr>
          <w:rFonts w:eastAsia="仿宋_GB2312"/>
          <w:sz w:val="28"/>
          <w:szCs w:val="28"/>
          <w:vertAlign w:val="subscript"/>
        </w:rPr>
        <w:t>T</w:t>
      </w:r>
      <w:r>
        <w:rPr>
          <w:rFonts w:eastAsia="仿宋_GB2312"/>
          <w:sz w:val="28"/>
          <w:szCs w:val="28"/>
        </w:rPr>
        <w:t>—横向弥散度。</w:t>
      </w:r>
    </w:p>
    <w:p>
      <w:pPr>
        <w:spacing w:line="500" w:lineRule="exact"/>
        <w:ind w:firstLine="560" w:firstLineChars="200"/>
        <w:rPr>
          <w:rFonts w:eastAsia="仿宋_GB2312"/>
          <w:sz w:val="28"/>
          <w:szCs w:val="28"/>
        </w:rPr>
      </w:pPr>
      <w:r>
        <w:rPr>
          <w:rFonts w:eastAsia="仿宋_GB2312"/>
          <w:sz w:val="28"/>
          <w:szCs w:val="28"/>
        </w:rPr>
        <w:t>根据《环境影响评价技术导则-地下水环境》（HJ610-2016）附录B经验值表确定渗透系数，经类比同类地质勘查结果、查阅资料结合室内土工试验，可以确定孔隙度和弥散度，最终经计算得到实际水流速度u和纵向弥散系数D</w:t>
      </w:r>
      <w:r>
        <w:rPr>
          <w:rFonts w:eastAsia="仿宋_GB2312"/>
          <w:sz w:val="28"/>
          <w:szCs w:val="28"/>
          <w:vertAlign w:val="subscript"/>
        </w:rPr>
        <w:t>L</w:t>
      </w:r>
      <w:r>
        <w:rPr>
          <w:rFonts w:eastAsia="仿宋_GB2312"/>
          <w:sz w:val="28"/>
          <w:szCs w:val="28"/>
        </w:rPr>
        <w:t>。</w:t>
      </w:r>
    </w:p>
    <w:p>
      <w:pPr>
        <w:spacing w:line="500" w:lineRule="exact"/>
        <w:ind w:firstLine="562" w:firstLineChars="200"/>
        <w:rPr>
          <w:rFonts w:eastAsia="仿宋_GB2312"/>
          <w:b/>
          <w:sz w:val="28"/>
          <w:szCs w:val="28"/>
        </w:rPr>
      </w:pPr>
      <w:r>
        <w:rPr>
          <w:rFonts w:eastAsia="仿宋_GB2312"/>
          <w:b/>
          <w:sz w:val="28"/>
          <w:szCs w:val="28"/>
        </w:rPr>
        <w:t>四、模型参数</w:t>
      </w:r>
    </w:p>
    <w:p>
      <w:pPr>
        <w:spacing w:line="500" w:lineRule="exact"/>
        <w:ind w:firstLine="560" w:firstLineChars="200"/>
        <w:rPr>
          <w:rFonts w:eastAsia="仿宋_GB2312"/>
          <w:sz w:val="28"/>
          <w:szCs w:val="28"/>
        </w:rPr>
      </w:pPr>
      <w:r>
        <w:rPr>
          <w:rFonts w:hint="eastAsia" w:eastAsia="仿宋_GB2312" w:cs="宋体"/>
          <w:sz w:val="28"/>
          <w:szCs w:val="28"/>
        </w:rPr>
        <w:t>①</w:t>
      </w:r>
      <w:r>
        <w:rPr>
          <w:rFonts w:eastAsia="仿宋_GB2312"/>
          <w:sz w:val="28"/>
          <w:szCs w:val="28"/>
        </w:rPr>
        <w:t>渗透系数、水力坡度、给水度</w:t>
      </w:r>
    </w:p>
    <w:p>
      <w:pPr>
        <w:spacing w:line="500" w:lineRule="exact"/>
        <w:ind w:firstLine="560" w:firstLineChars="200"/>
        <w:rPr>
          <w:rFonts w:eastAsia="仿宋_GB2312"/>
          <w:sz w:val="28"/>
          <w:szCs w:val="28"/>
        </w:rPr>
      </w:pPr>
      <w:r>
        <w:rPr>
          <w:rFonts w:eastAsia="仿宋_GB2312"/>
          <w:sz w:val="28"/>
          <w:szCs w:val="28"/>
        </w:rPr>
        <w:t>本项目建设区含水层渗透系数根据地勘调查报告潜水层土质分析，取0.5m/d；水力坡度取2.5‰；粘土给水度取0.02~0.035。</w:t>
      </w:r>
    </w:p>
    <w:p>
      <w:pPr>
        <w:spacing w:line="500" w:lineRule="exact"/>
        <w:ind w:firstLine="560" w:firstLineChars="200"/>
        <w:rPr>
          <w:rFonts w:eastAsia="仿宋_GB2312"/>
          <w:sz w:val="28"/>
          <w:szCs w:val="28"/>
        </w:rPr>
      </w:pPr>
      <w:r>
        <w:rPr>
          <w:rFonts w:hint="eastAsia" w:eastAsia="仿宋_GB2312" w:cs="宋体"/>
          <w:sz w:val="28"/>
          <w:szCs w:val="28"/>
        </w:rPr>
        <w:t>②</w:t>
      </w:r>
      <w:r>
        <w:rPr>
          <w:rFonts w:eastAsia="仿宋_GB2312"/>
          <w:sz w:val="28"/>
          <w:szCs w:val="28"/>
        </w:rPr>
        <w:t>弥散系数</w:t>
      </w:r>
    </w:p>
    <w:p>
      <w:pPr>
        <w:spacing w:line="500" w:lineRule="exact"/>
        <w:ind w:firstLine="560" w:firstLineChars="200"/>
        <w:rPr>
          <w:rFonts w:eastAsia="仿宋_GB2312"/>
          <w:sz w:val="28"/>
          <w:szCs w:val="28"/>
        </w:rPr>
      </w:pPr>
      <w:r>
        <w:rPr>
          <w:rFonts w:eastAsia="仿宋_GB2312"/>
          <w:sz w:val="28"/>
          <w:szCs w:val="28"/>
        </w:rPr>
        <w:t>根据相关文献及经验取值，考虑评价区含水层岩性，项目建设区含水层纵向弥散系数取值为0.05m</w:t>
      </w:r>
      <w:r>
        <w:rPr>
          <w:rFonts w:eastAsia="仿宋_GB2312"/>
          <w:sz w:val="28"/>
          <w:szCs w:val="28"/>
          <w:vertAlign w:val="superscript"/>
        </w:rPr>
        <w:t>2</w:t>
      </w:r>
      <w:r>
        <w:rPr>
          <w:rFonts w:eastAsia="仿宋_GB2312"/>
          <w:sz w:val="28"/>
          <w:szCs w:val="28"/>
        </w:rPr>
        <w:t>/d。横向y方向的弥散系数D</w:t>
      </w:r>
      <w:r>
        <w:rPr>
          <w:rFonts w:eastAsia="仿宋_GB2312"/>
          <w:sz w:val="28"/>
          <w:szCs w:val="28"/>
          <w:vertAlign w:val="subscript"/>
        </w:rPr>
        <w:t>T</w:t>
      </w:r>
      <w:r>
        <w:rPr>
          <w:rFonts w:eastAsia="仿宋_GB2312"/>
          <w:sz w:val="28"/>
          <w:szCs w:val="28"/>
        </w:rPr>
        <w:t>，根据经验一般D</w:t>
      </w:r>
      <w:r>
        <w:rPr>
          <w:rFonts w:eastAsia="仿宋_GB2312"/>
          <w:sz w:val="28"/>
          <w:szCs w:val="28"/>
          <w:vertAlign w:val="subscript"/>
        </w:rPr>
        <w:t>T</w:t>
      </w:r>
      <w:r>
        <w:rPr>
          <w:rFonts w:eastAsia="仿宋_GB2312"/>
          <w:sz w:val="28"/>
          <w:szCs w:val="28"/>
        </w:rPr>
        <w:t>/D</w:t>
      </w:r>
      <w:r>
        <w:rPr>
          <w:rFonts w:eastAsia="仿宋_GB2312"/>
          <w:sz w:val="28"/>
          <w:szCs w:val="28"/>
          <w:vertAlign w:val="subscript"/>
        </w:rPr>
        <w:t>L</w:t>
      </w:r>
      <w:r>
        <w:rPr>
          <w:rFonts w:eastAsia="仿宋_GB2312"/>
          <w:sz w:val="28"/>
          <w:szCs w:val="28"/>
        </w:rPr>
        <w:t>=0.1，因此D</w:t>
      </w:r>
      <w:r>
        <w:rPr>
          <w:rFonts w:eastAsia="仿宋_GB2312"/>
          <w:sz w:val="28"/>
          <w:szCs w:val="28"/>
          <w:vertAlign w:val="subscript"/>
        </w:rPr>
        <w:t>T</w:t>
      </w:r>
      <w:r>
        <w:rPr>
          <w:rFonts w:eastAsia="仿宋_GB2312"/>
          <w:sz w:val="28"/>
          <w:szCs w:val="28"/>
        </w:rPr>
        <w:t>取0.005m</w:t>
      </w:r>
      <w:r>
        <w:rPr>
          <w:rFonts w:eastAsia="仿宋_GB2312"/>
          <w:sz w:val="28"/>
          <w:szCs w:val="28"/>
          <w:vertAlign w:val="superscript"/>
        </w:rPr>
        <w:t>2</w:t>
      </w:r>
      <w:r>
        <w:rPr>
          <w:rFonts w:eastAsia="仿宋_GB2312"/>
          <w:sz w:val="28"/>
          <w:szCs w:val="28"/>
        </w:rPr>
        <w:t>/d。</w:t>
      </w:r>
    </w:p>
    <w:p>
      <w:pPr>
        <w:spacing w:line="500" w:lineRule="exact"/>
        <w:ind w:firstLine="560" w:firstLineChars="200"/>
        <w:rPr>
          <w:rFonts w:eastAsia="仿宋_GB2312"/>
          <w:sz w:val="28"/>
          <w:szCs w:val="28"/>
        </w:rPr>
      </w:pPr>
      <w:r>
        <w:rPr>
          <w:rFonts w:hint="eastAsia" w:eastAsia="仿宋_GB2312" w:cs="宋体"/>
          <w:sz w:val="28"/>
          <w:szCs w:val="28"/>
        </w:rPr>
        <w:t>③</w:t>
      </w:r>
      <w:r>
        <w:rPr>
          <w:rFonts w:eastAsia="仿宋_GB2312"/>
          <w:sz w:val="28"/>
          <w:szCs w:val="28"/>
        </w:rPr>
        <w:t>地下水实际流速</w:t>
      </w:r>
    </w:p>
    <w:p>
      <w:pPr>
        <w:spacing w:line="500" w:lineRule="exact"/>
        <w:ind w:firstLine="560" w:firstLineChars="200"/>
        <w:rPr>
          <w:rFonts w:eastAsia="仿宋_GB2312"/>
          <w:sz w:val="28"/>
          <w:szCs w:val="28"/>
        </w:rPr>
      </w:pPr>
      <w:r>
        <w:rPr>
          <w:rFonts w:eastAsia="仿宋_GB2312"/>
          <w:sz w:val="28"/>
          <w:szCs w:val="28"/>
        </w:rPr>
        <w:t>根据地勘资料提供的孔隙比</w:t>
      </w:r>
      <w:r>
        <w:rPr>
          <w:rFonts w:eastAsia="仿宋_GB2312"/>
          <w:sz w:val="28"/>
          <w:szCs w:val="28"/>
        </w:rPr>
        <w:drawing>
          <wp:inline distT="0" distB="0" distL="0" distR="0">
            <wp:extent cx="101600" cy="140970"/>
            <wp:effectExtent l="19050" t="0" r="0" b="0"/>
            <wp:docPr id="5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
                    <pic:cNvPicPr>
                      <a:picLocks noChangeAspect="1" noChangeArrowheads="1"/>
                    </pic:cNvPicPr>
                  </pic:nvPicPr>
                  <pic:blipFill>
                    <a:blip r:embed="rId82"/>
                    <a:srcRect/>
                    <a:stretch>
                      <a:fillRect/>
                    </a:stretch>
                  </pic:blipFill>
                  <pic:spPr>
                    <a:xfrm>
                      <a:off x="0" y="0"/>
                      <a:ext cx="101600" cy="140970"/>
                    </a:xfrm>
                    <a:prstGeom prst="rect">
                      <a:avLst/>
                    </a:prstGeom>
                    <a:noFill/>
                    <a:ln w="9525">
                      <a:noFill/>
                      <a:miter lim="800000"/>
                      <a:headEnd/>
                      <a:tailEnd/>
                    </a:ln>
                  </pic:spPr>
                </pic:pic>
              </a:graphicData>
            </a:graphic>
          </wp:inline>
        </w:drawing>
      </w:r>
      <w:r>
        <w:rPr>
          <w:rFonts w:eastAsia="仿宋_GB2312"/>
          <w:sz w:val="28"/>
          <w:szCs w:val="28"/>
        </w:rPr>
        <w:t>数据，计算得出该区域的土壤孔隙度n取得平均值为0.505，有效孔隙度按0.27计。</w:t>
      </w:r>
    </w:p>
    <w:p>
      <w:pPr>
        <w:spacing w:line="500" w:lineRule="exact"/>
        <w:ind w:firstLine="560" w:firstLineChars="200"/>
        <w:rPr>
          <w:rFonts w:eastAsia="仿宋_GB2312"/>
          <w:sz w:val="28"/>
          <w:szCs w:val="28"/>
        </w:rPr>
      </w:pPr>
      <w:r>
        <w:rPr>
          <w:rFonts w:eastAsia="仿宋_GB2312"/>
          <w:sz w:val="28"/>
          <w:szCs w:val="28"/>
        </w:rPr>
        <w:t>地下水实际流速的确定按下列方法取得：</w:t>
      </w:r>
    </w:p>
    <w:p>
      <w:pPr>
        <w:spacing w:line="500" w:lineRule="exact"/>
        <w:ind w:firstLine="560" w:firstLineChars="200"/>
        <w:jc w:val="center"/>
        <w:rPr>
          <w:rFonts w:eastAsia="仿宋_GB2312"/>
          <w:sz w:val="28"/>
          <w:szCs w:val="28"/>
        </w:rPr>
      </w:pPr>
      <w:r>
        <w:rPr>
          <w:rFonts w:eastAsia="仿宋_GB2312"/>
          <w:sz w:val="28"/>
          <w:szCs w:val="28"/>
        </w:rPr>
        <w:t>U＝K×I/n</w:t>
      </w:r>
    </w:p>
    <w:p>
      <w:pPr>
        <w:spacing w:line="500" w:lineRule="exact"/>
        <w:ind w:firstLine="560" w:firstLineChars="200"/>
        <w:rPr>
          <w:rFonts w:eastAsia="仿宋_GB2312"/>
          <w:sz w:val="28"/>
          <w:szCs w:val="28"/>
        </w:rPr>
      </w:pPr>
      <w:r>
        <w:rPr>
          <w:rFonts w:eastAsia="仿宋_GB2312"/>
          <w:sz w:val="28"/>
          <w:szCs w:val="28"/>
        </w:rPr>
        <w:t>其中：U—地下水实际流速，m/d；</w:t>
      </w:r>
    </w:p>
    <w:p>
      <w:pPr>
        <w:spacing w:line="500" w:lineRule="exact"/>
        <w:ind w:firstLine="560" w:firstLineChars="200"/>
        <w:rPr>
          <w:rFonts w:eastAsia="仿宋_GB2312"/>
          <w:sz w:val="28"/>
          <w:szCs w:val="28"/>
        </w:rPr>
      </w:pPr>
      <w:r>
        <w:rPr>
          <w:rFonts w:eastAsia="仿宋_GB2312"/>
          <w:sz w:val="28"/>
          <w:szCs w:val="28"/>
        </w:rPr>
        <w:t xml:space="preserve">      K—渗透系数，m/d；</w:t>
      </w:r>
    </w:p>
    <w:p>
      <w:pPr>
        <w:spacing w:line="500" w:lineRule="exact"/>
        <w:ind w:firstLine="560" w:firstLineChars="200"/>
        <w:rPr>
          <w:rFonts w:eastAsia="仿宋_GB2312"/>
          <w:sz w:val="28"/>
          <w:szCs w:val="28"/>
        </w:rPr>
      </w:pPr>
      <w:r>
        <w:rPr>
          <w:rFonts w:eastAsia="仿宋_GB2312"/>
          <w:sz w:val="28"/>
          <w:szCs w:val="28"/>
        </w:rPr>
        <w:t xml:space="preserve">      I—水力坡度；</w:t>
      </w:r>
    </w:p>
    <w:p>
      <w:pPr>
        <w:spacing w:line="500" w:lineRule="exact"/>
        <w:ind w:firstLine="560" w:firstLineChars="200"/>
        <w:rPr>
          <w:rFonts w:eastAsia="仿宋_GB2312"/>
          <w:sz w:val="28"/>
          <w:szCs w:val="28"/>
        </w:rPr>
      </w:pPr>
      <w:r>
        <w:rPr>
          <w:rFonts w:eastAsia="仿宋_GB2312"/>
          <w:sz w:val="28"/>
          <w:szCs w:val="28"/>
        </w:rPr>
        <w:t xml:space="preserve">      n—孔隙度；</w:t>
      </w:r>
    </w:p>
    <w:p>
      <w:pPr>
        <w:spacing w:line="500" w:lineRule="exact"/>
        <w:ind w:firstLine="560" w:firstLineChars="200"/>
        <w:rPr>
          <w:rFonts w:eastAsia="仿宋_GB2312"/>
          <w:sz w:val="28"/>
          <w:szCs w:val="28"/>
        </w:rPr>
      </w:pPr>
      <w:r>
        <w:rPr>
          <w:rFonts w:eastAsia="仿宋_GB2312"/>
          <w:sz w:val="28"/>
          <w:szCs w:val="28"/>
        </w:rPr>
        <w:t>计算得出项目建设区含水层地下水实际流速U=4.6×10</w:t>
      </w:r>
      <w:r>
        <w:rPr>
          <w:rFonts w:eastAsia="仿宋_GB2312"/>
          <w:sz w:val="28"/>
          <w:szCs w:val="28"/>
          <w:vertAlign w:val="superscript"/>
        </w:rPr>
        <w:t>-3</w:t>
      </w:r>
      <w:r>
        <w:rPr>
          <w:rFonts w:eastAsia="仿宋_GB2312"/>
          <w:sz w:val="28"/>
          <w:szCs w:val="28"/>
        </w:rPr>
        <w:t>m/d。</w:t>
      </w:r>
    </w:p>
    <w:p>
      <w:pPr>
        <w:spacing w:line="500" w:lineRule="exact"/>
        <w:ind w:firstLine="562" w:firstLineChars="200"/>
        <w:rPr>
          <w:rFonts w:eastAsia="仿宋_GB2312"/>
          <w:b/>
          <w:sz w:val="28"/>
          <w:szCs w:val="28"/>
        </w:rPr>
      </w:pPr>
      <w:r>
        <w:rPr>
          <w:rFonts w:eastAsia="仿宋_GB2312"/>
          <w:b/>
          <w:sz w:val="28"/>
          <w:szCs w:val="28"/>
        </w:rPr>
        <w:t>五、</w:t>
      </w:r>
      <w:r>
        <w:rPr>
          <w:rFonts w:hint="eastAsia" w:eastAsia="仿宋_GB2312"/>
          <w:b/>
          <w:sz w:val="28"/>
          <w:szCs w:val="28"/>
        </w:rPr>
        <w:t>评价标准</w:t>
      </w:r>
    </w:p>
    <w:p>
      <w:pPr>
        <w:spacing w:line="500" w:lineRule="exact"/>
        <w:ind w:firstLine="560" w:firstLineChars="200"/>
        <w:rPr>
          <w:rFonts w:eastAsia="仿宋_GB2312"/>
          <w:sz w:val="28"/>
          <w:szCs w:val="21"/>
        </w:rPr>
      </w:pPr>
      <w:r>
        <w:rPr>
          <w:rFonts w:eastAsia="仿宋_GB2312"/>
          <w:sz w:val="28"/>
          <w:szCs w:val="21"/>
        </w:rPr>
        <w:t>根据水文地质参数及污染源强，利用相应的地下水污染模型进行模拟，主要模拟在非正常状况下预测因子对地下水的影响状况，根据该地区地下水质量及现状，确定以各预测因子的地下水质量标准（GB/T14848-2017）中的I类标准为超标限值；以各预测因子的检测方法检出限作为影响限值；以预测因子的现状监测值作为背景值，在预测中进行叠加计算并预测影响。</w:t>
      </w:r>
    </w:p>
    <w:p>
      <w:pPr>
        <w:spacing w:line="500" w:lineRule="exact"/>
        <w:jc w:val="center"/>
        <w:rPr>
          <w:rFonts w:eastAsia="仿宋_GB2312"/>
          <w:b/>
          <w:sz w:val="24"/>
        </w:rPr>
      </w:pPr>
      <w:r>
        <w:rPr>
          <w:rFonts w:eastAsia="仿宋_GB2312"/>
          <w:b/>
          <w:sz w:val="24"/>
        </w:rPr>
        <w:t>表</w:t>
      </w:r>
      <w:r>
        <w:rPr>
          <w:rFonts w:hint="eastAsia" w:eastAsia="仿宋_GB2312"/>
          <w:b/>
          <w:sz w:val="24"/>
        </w:rPr>
        <w:t>5.2-2</w:t>
      </w:r>
      <w:r>
        <w:rPr>
          <w:rFonts w:eastAsia="仿宋_GB2312"/>
          <w:b/>
          <w:sz w:val="24"/>
        </w:rPr>
        <w:t>7  超标及影响范围限值  mg/L</w:t>
      </w:r>
    </w:p>
    <w:tbl>
      <w:tblPr>
        <w:tblStyle w:val="4085"/>
        <w:tblW w:w="5000" w:type="pct"/>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autofit"/>
        <w:tblCellMar>
          <w:top w:w="0" w:type="dxa"/>
          <w:left w:w="108" w:type="dxa"/>
          <w:bottom w:w="0" w:type="dxa"/>
          <w:right w:w="108" w:type="dxa"/>
        </w:tblCellMar>
      </w:tblPr>
      <w:tblGrid>
        <w:gridCol w:w="818"/>
        <w:gridCol w:w="1841"/>
        <w:gridCol w:w="2224"/>
        <w:gridCol w:w="1820"/>
        <w:gridCol w:w="1819"/>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80" w:type="pct"/>
            <w:vAlign w:val="center"/>
          </w:tcPr>
          <w:p>
            <w:pPr>
              <w:widowControl/>
              <w:jc w:val="center"/>
              <w:rPr>
                <w:rFonts w:ascii="仿宋" w:hAnsi="仿宋" w:eastAsia="仿宋"/>
                <w:kern w:val="0"/>
                <w:szCs w:val="21"/>
              </w:rPr>
            </w:pPr>
            <w:r>
              <w:rPr>
                <w:rFonts w:ascii="仿宋" w:hAnsi="仿宋" w:eastAsia="仿宋"/>
                <w:kern w:val="0"/>
                <w:szCs w:val="21"/>
              </w:rPr>
              <w:t>序号</w:t>
            </w:r>
          </w:p>
        </w:tc>
        <w:tc>
          <w:tcPr>
            <w:tcW w:w="1080" w:type="pct"/>
            <w:vAlign w:val="center"/>
          </w:tcPr>
          <w:p>
            <w:pPr>
              <w:widowControl/>
              <w:jc w:val="center"/>
              <w:rPr>
                <w:rFonts w:ascii="仿宋" w:hAnsi="仿宋" w:eastAsia="仿宋"/>
                <w:kern w:val="0"/>
                <w:szCs w:val="21"/>
              </w:rPr>
            </w:pPr>
            <w:r>
              <w:rPr>
                <w:rFonts w:ascii="仿宋" w:hAnsi="仿宋" w:eastAsia="仿宋"/>
                <w:kern w:val="0"/>
                <w:szCs w:val="21"/>
              </w:rPr>
              <w:t>污染因子</w:t>
            </w:r>
          </w:p>
        </w:tc>
        <w:tc>
          <w:tcPr>
            <w:tcW w:w="1305" w:type="pct"/>
            <w:vAlign w:val="center"/>
          </w:tcPr>
          <w:p>
            <w:pPr>
              <w:widowControl/>
              <w:jc w:val="center"/>
              <w:rPr>
                <w:rFonts w:ascii="仿宋" w:hAnsi="仿宋" w:eastAsia="仿宋"/>
                <w:kern w:val="0"/>
                <w:szCs w:val="21"/>
              </w:rPr>
            </w:pPr>
            <w:r>
              <w:rPr>
                <w:rFonts w:ascii="仿宋" w:hAnsi="仿宋" w:eastAsia="仿宋"/>
                <w:kern w:val="0"/>
                <w:szCs w:val="21"/>
              </w:rPr>
              <w:t>影响限值</w:t>
            </w:r>
          </w:p>
        </w:tc>
        <w:tc>
          <w:tcPr>
            <w:tcW w:w="1068" w:type="pct"/>
            <w:vAlign w:val="center"/>
          </w:tcPr>
          <w:p>
            <w:pPr>
              <w:widowControl/>
              <w:jc w:val="center"/>
              <w:rPr>
                <w:rFonts w:ascii="仿宋" w:hAnsi="仿宋" w:eastAsia="仿宋"/>
                <w:kern w:val="0"/>
                <w:szCs w:val="21"/>
              </w:rPr>
            </w:pPr>
            <w:r>
              <w:rPr>
                <w:rFonts w:ascii="仿宋" w:hAnsi="仿宋" w:eastAsia="仿宋"/>
                <w:kern w:val="0"/>
                <w:szCs w:val="21"/>
              </w:rPr>
              <w:t>超标限值</w:t>
            </w:r>
          </w:p>
        </w:tc>
        <w:tc>
          <w:tcPr>
            <w:tcW w:w="1067" w:type="pct"/>
            <w:vAlign w:val="center"/>
          </w:tcPr>
          <w:p>
            <w:pPr>
              <w:widowControl/>
              <w:jc w:val="center"/>
              <w:rPr>
                <w:rFonts w:ascii="仿宋" w:hAnsi="仿宋" w:eastAsia="仿宋"/>
                <w:kern w:val="0"/>
                <w:szCs w:val="21"/>
              </w:rPr>
            </w:pPr>
            <w:r>
              <w:rPr>
                <w:rFonts w:ascii="仿宋" w:hAnsi="仿宋" w:eastAsia="仿宋"/>
                <w:kern w:val="0"/>
                <w:szCs w:val="21"/>
              </w:rPr>
              <w:t>背景值</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80" w:type="pct"/>
            <w:vAlign w:val="center"/>
          </w:tcPr>
          <w:p>
            <w:pPr>
              <w:widowControl/>
              <w:jc w:val="center"/>
              <w:rPr>
                <w:rFonts w:ascii="仿宋" w:hAnsi="仿宋" w:eastAsia="仿宋"/>
                <w:kern w:val="0"/>
                <w:szCs w:val="21"/>
              </w:rPr>
            </w:pPr>
            <w:r>
              <w:rPr>
                <w:rFonts w:ascii="仿宋" w:hAnsi="仿宋" w:eastAsia="仿宋"/>
                <w:kern w:val="0"/>
                <w:szCs w:val="21"/>
              </w:rPr>
              <w:t>1</w:t>
            </w:r>
          </w:p>
        </w:tc>
        <w:tc>
          <w:tcPr>
            <w:tcW w:w="1080" w:type="pct"/>
            <w:vAlign w:val="center"/>
          </w:tcPr>
          <w:p>
            <w:pPr>
              <w:widowControl/>
              <w:jc w:val="center"/>
              <w:rPr>
                <w:rFonts w:ascii="仿宋" w:hAnsi="仿宋" w:eastAsia="仿宋"/>
                <w:kern w:val="0"/>
                <w:szCs w:val="21"/>
              </w:rPr>
            </w:pPr>
            <w:r>
              <w:rPr>
                <w:rFonts w:ascii="仿宋" w:hAnsi="仿宋" w:eastAsia="仿宋"/>
                <w:kern w:val="0"/>
                <w:szCs w:val="21"/>
              </w:rPr>
              <w:t>高锰酸盐指数</w:t>
            </w:r>
          </w:p>
        </w:tc>
        <w:tc>
          <w:tcPr>
            <w:tcW w:w="1305" w:type="pct"/>
            <w:vAlign w:val="center"/>
          </w:tcPr>
          <w:p>
            <w:pPr>
              <w:widowControl/>
              <w:jc w:val="center"/>
              <w:rPr>
                <w:rFonts w:ascii="仿宋" w:hAnsi="仿宋" w:eastAsia="仿宋"/>
                <w:kern w:val="0"/>
                <w:szCs w:val="21"/>
              </w:rPr>
            </w:pPr>
            <w:r>
              <w:rPr>
                <w:rFonts w:ascii="仿宋" w:hAnsi="仿宋" w:eastAsia="仿宋"/>
                <w:kern w:val="0"/>
                <w:szCs w:val="21"/>
              </w:rPr>
              <w:t>0.5</w:t>
            </w:r>
          </w:p>
        </w:tc>
        <w:tc>
          <w:tcPr>
            <w:tcW w:w="1068" w:type="pct"/>
            <w:vAlign w:val="center"/>
          </w:tcPr>
          <w:p>
            <w:pPr>
              <w:widowControl/>
              <w:jc w:val="center"/>
              <w:rPr>
                <w:rFonts w:ascii="仿宋" w:hAnsi="仿宋" w:eastAsia="仿宋"/>
                <w:kern w:val="0"/>
                <w:szCs w:val="21"/>
              </w:rPr>
            </w:pPr>
            <w:r>
              <w:rPr>
                <w:rFonts w:ascii="仿宋" w:hAnsi="仿宋" w:eastAsia="仿宋"/>
                <w:kern w:val="0"/>
                <w:szCs w:val="21"/>
              </w:rPr>
              <w:t>1.0</w:t>
            </w:r>
          </w:p>
        </w:tc>
        <w:tc>
          <w:tcPr>
            <w:tcW w:w="1067" w:type="pct"/>
            <w:vAlign w:val="center"/>
          </w:tcPr>
          <w:p>
            <w:pPr>
              <w:widowControl/>
              <w:jc w:val="center"/>
              <w:rPr>
                <w:rFonts w:ascii="仿宋" w:hAnsi="仿宋" w:eastAsia="仿宋"/>
                <w:kern w:val="0"/>
                <w:szCs w:val="21"/>
              </w:rPr>
            </w:pPr>
            <w:r>
              <w:rPr>
                <w:rFonts w:hint="eastAsia" w:ascii="仿宋" w:hAnsi="仿宋" w:eastAsia="仿宋"/>
                <w:kern w:val="0"/>
                <w:szCs w:val="21"/>
              </w:rPr>
              <w:t>0.71</w:t>
            </w:r>
          </w:p>
        </w:tc>
      </w:tr>
    </w:tbl>
    <w:p>
      <w:pPr>
        <w:spacing w:line="500" w:lineRule="exact"/>
        <w:ind w:firstLine="562" w:firstLineChars="200"/>
        <w:rPr>
          <w:rFonts w:eastAsia="仿宋_GB2312"/>
          <w:b/>
          <w:sz w:val="28"/>
          <w:szCs w:val="28"/>
        </w:rPr>
      </w:pPr>
      <w:r>
        <w:rPr>
          <w:rFonts w:hint="eastAsia" w:eastAsia="仿宋_GB2312"/>
          <w:b/>
          <w:sz w:val="28"/>
          <w:szCs w:val="28"/>
        </w:rPr>
        <w:t>六</w:t>
      </w:r>
      <w:r>
        <w:rPr>
          <w:rFonts w:eastAsia="仿宋_GB2312"/>
          <w:b/>
          <w:sz w:val="28"/>
          <w:szCs w:val="28"/>
        </w:rPr>
        <w:t>、预测结果</w:t>
      </w:r>
    </w:p>
    <w:p>
      <w:pPr>
        <w:spacing w:line="500" w:lineRule="exact"/>
        <w:ind w:firstLine="560" w:firstLineChars="200"/>
        <w:rPr>
          <w:rFonts w:eastAsia="仿宋_GB2312"/>
          <w:sz w:val="28"/>
          <w:szCs w:val="28"/>
        </w:rPr>
      </w:pPr>
      <w:r>
        <w:rPr>
          <w:rFonts w:eastAsia="仿宋_GB2312"/>
          <w:sz w:val="28"/>
          <w:szCs w:val="28"/>
        </w:rPr>
        <w:t>非正常情况下污染物位移范围计算见表5.2-28。</w:t>
      </w:r>
    </w:p>
    <w:p>
      <w:pPr>
        <w:spacing w:line="500" w:lineRule="exact"/>
        <w:jc w:val="center"/>
        <w:rPr>
          <w:rFonts w:eastAsia="仿宋_GB2312"/>
          <w:b/>
          <w:sz w:val="24"/>
        </w:rPr>
      </w:pPr>
      <w:r>
        <w:rPr>
          <w:rFonts w:eastAsia="仿宋_GB2312"/>
          <w:b/>
          <w:sz w:val="24"/>
        </w:rPr>
        <w:t>表5.2-28  污染物运移范围预测结果表  (mg/L)</w:t>
      </w:r>
    </w:p>
    <w:tbl>
      <w:tblPr>
        <w:tblStyle w:val="8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8"/>
        <w:gridCol w:w="1888"/>
        <w:gridCol w:w="1888"/>
        <w:gridCol w:w="1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vMerge w:val="restart"/>
            <w:tcBorders>
              <w:tl2br w:val="nil"/>
              <w:tr2bl w:val="nil"/>
            </w:tcBorders>
            <w:shd w:val="clear" w:color="auto" w:fill="auto"/>
            <w:vAlign w:val="center"/>
          </w:tcPr>
          <w:p>
            <w:pPr>
              <w:widowControl/>
              <w:jc w:val="center"/>
              <w:rPr>
                <w:rFonts w:ascii="仿宋" w:hAnsi="仿宋" w:eastAsia="仿宋"/>
                <w:kern w:val="0"/>
                <w:szCs w:val="21"/>
              </w:rPr>
            </w:pPr>
            <w:r>
              <w:rPr>
                <w:rFonts w:ascii="仿宋" w:hAnsi="仿宋" w:eastAsia="仿宋"/>
                <w:kern w:val="0"/>
                <w:szCs w:val="21"/>
              </w:rPr>
              <w:t>扩散距离(m)</w:t>
            </w:r>
          </w:p>
        </w:tc>
        <w:tc>
          <w:tcPr>
            <w:tcW w:w="3323" w:type="pct"/>
            <w:gridSpan w:val="3"/>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持续泄漏影响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vMerge w:val="continue"/>
            <w:tcBorders>
              <w:tl2br w:val="nil"/>
              <w:tr2bl w:val="nil"/>
            </w:tcBorders>
            <w:vAlign w:val="center"/>
          </w:tcPr>
          <w:p>
            <w:pPr>
              <w:widowControl/>
              <w:jc w:val="center"/>
              <w:rPr>
                <w:rFonts w:ascii="仿宋" w:hAnsi="仿宋" w:eastAsia="仿宋"/>
                <w:kern w:val="0"/>
                <w:szCs w:val="21"/>
              </w:rPr>
            </w:pPr>
          </w:p>
        </w:tc>
        <w:tc>
          <w:tcPr>
            <w:tcW w:w="3323" w:type="pct"/>
            <w:gridSpan w:val="3"/>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szCs w:val="21"/>
              </w:rPr>
              <w:t>COD</w:t>
            </w:r>
            <w:r>
              <w:rPr>
                <w:rFonts w:ascii="仿宋" w:hAnsi="仿宋" w:eastAsia="仿宋"/>
                <w:szCs w:val="21"/>
                <w:vertAlign w:val="subscript"/>
              </w:rPr>
              <w:t>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vMerge w:val="continue"/>
            <w:tcBorders>
              <w:tl2br w:val="nil"/>
              <w:tr2bl w:val="nil"/>
            </w:tcBorders>
            <w:vAlign w:val="center"/>
          </w:tcPr>
          <w:p>
            <w:pPr>
              <w:widowControl/>
              <w:jc w:val="center"/>
              <w:rPr>
                <w:rFonts w:ascii="仿宋" w:hAnsi="仿宋" w:eastAsia="仿宋"/>
                <w:kern w:val="0"/>
                <w:szCs w:val="21"/>
              </w:rPr>
            </w:pPr>
          </w:p>
        </w:tc>
        <w:tc>
          <w:tcPr>
            <w:tcW w:w="1108"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100天</w:t>
            </w:r>
          </w:p>
        </w:tc>
        <w:tc>
          <w:tcPr>
            <w:tcW w:w="1108"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1000天</w:t>
            </w:r>
          </w:p>
        </w:tc>
        <w:tc>
          <w:tcPr>
            <w:tcW w:w="110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10年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0</w:t>
            </w:r>
          </w:p>
        </w:tc>
        <w:tc>
          <w:tcPr>
            <w:tcW w:w="1108"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szCs w:val="21"/>
              </w:rPr>
              <w:t>5000.000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5000.000</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5000.000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1</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4429.286</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5415.429</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5649.429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2</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3125.571</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4997.571</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5432.143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3</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2055.857</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4563.000</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5231.571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4</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1240.200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4145.143</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5014.286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5</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690.300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3744.000</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4813.714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6</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352.671</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3342.857</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4596.429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7</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165.471</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2975.143</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4395.857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8</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70.869</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2624.143</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4178.571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9</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27.746</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2306.571</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3978.000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10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9.861</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1989.000</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3777.429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11</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3.192</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1721.571</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3576.857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12</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0.944</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1469.186</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3376.286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13</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0.254</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1245.214</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3175.714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14</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0.062</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1046.314</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2991.857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15</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0.014</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872.486</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2808.000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16</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0.003</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720.386</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2640.857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17</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0.001</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590.014</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2473.714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18</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479.700</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2306.571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19</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386.100</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2139.429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20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307.543</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1989.000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21</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244.029</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1838.571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22</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190.543</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1704.857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23</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148.423</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1576.157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24</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114.326</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1452.471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25</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87.249</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1333.800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26</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66.021</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1223.486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27</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49.474</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1118.186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28</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36.771</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1021.243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29</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27.077</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929.314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30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19.723</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844.071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31</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14.207</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765.514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32</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10.162</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691.971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33</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7.204</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623.443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34</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5.064</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561.600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35</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3.527</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503.100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36</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2.424</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451.286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37</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1.655</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402.814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38</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1.118</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359.357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39</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0.749</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319.243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40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0.496</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282.471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41</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0.326</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250.714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42</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0.212</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220.629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43</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0.137</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193.886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44</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0.088</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170.486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45</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0.055</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149.760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46</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0.035</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130.873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47</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0.022</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114.159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48</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0.013</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99.283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49</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0.008</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86.079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50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0.005</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74.546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51</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0.003</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64.350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52</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0.002</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55.324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53</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0.001</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47.469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54</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0.001</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40.783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55</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34.766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56</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29.584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57</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25.239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58</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21.394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59</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18.051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60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15.243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61</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12.837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62</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10.764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63</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9.009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64</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7.521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65</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6.268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66</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5.215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67</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4.312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68</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3.560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69</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2.942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70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2.424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71</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1.989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72</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1.621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73</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1.324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74</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1.076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75</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0.874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76</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0.707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77</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0.572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78</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79</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80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81</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82</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83</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84</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85</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86</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87</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88</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89</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90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91</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92</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93</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94</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95</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96</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97</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98</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99</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7" w:type="pct"/>
            <w:tcBorders>
              <w:tl2br w:val="nil"/>
              <w:tr2bl w:val="nil"/>
            </w:tcBorders>
            <w:shd w:val="clear" w:color="auto" w:fill="auto"/>
            <w:noWrap/>
            <w:vAlign w:val="center"/>
          </w:tcPr>
          <w:p>
            <w:pPr>
              <w:widowControl/>
              <w:jc w:val="center"/>
              <w:rPr>
                <w:rFonts w:ascii="仿宋" w:hAnsi="仿宋" w:eastAsia="仿宋"/>
                <w:kern w:val="0"/>
                <w:szCs w:val="21"/>
              </w:rPr>
            </w:pPr>
            <w:r>
              <w:rPr>
                <w:rFonts w:ascii="仿宋" w:hAnsi="仿宋" w:eastAsia="仿宋"/>
                <w:kern w:val="0"/>
                <w:szCs w:val="21"/>
              </w:rPr>
              <w:t>100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8"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0.000</w:t>
            </w:r>
          </w:p>
        </w:tc>
        <w:tc>
          <w:tcPr>
            <w:tcW w:w="1107" w:type="pct"/>
            <w:tcBorders>
              <w:tl2br w:val="nil"/>
              <w:tr2bl w:val="nil"/>
            </w:tcBorders>
            <w:shd w:val="clear" w:color="auto" w:fill="auto"/>
            <w:noWrap/>
            <w:vAlign w:val="center"/>
          </w:tcPr>
          <w:p>
            <w:pPr>
              <w:jc w:val="center"/>
              <w:rPr>
                <w:rFonts w:ascii="仿宋" w:hAnsi="仿宋" w:eastAsia="仿宋"/>
                <w:szCs w:val="21"/>
              </w:rPr>
            </w:pPr>
            <w:r>
              <w:rPr>
                <w:rFonts w:ascii="仿宋" w:hAnsi="仿宋" w:eastAsia="仿宋"/>
                <w:szCs w:val="21"/>
              </w:rPr>
              <w:t>0.002</w:t>
            </w:r>
          </w:p>
        </w:tc>
      </w:tr>
    </w:tbl>
    <w:p>
      <w:pPr>
        <w:spacing w:line="500" w:lineRule="exact"/>
        <w:ind w:firstLine="560" w:firstLineChars="200"/>
        <w:rPr>
          <w:rFonts w:eastAsia="仿宋_GB2312"/>
          <w:sz w:val="28"/>
          <w:szCs w:val="28"/>
        </w:rPr>
      </w:pPr>
      <w:r>
        <w:rPr>
          <w:rFonts w:eastAsia="仿宋_GB2312"/>
          <w:sz w:val="28"/>
          <w:szCs w:val="28"/>
        </w:rPr>
        <w:t>从预测结果可以看出，在叠加本底值后，废</w:t>
      </w:r>
      <w:r>
        <w:rPr>
          <w:rFonts w:hint="eastAsia" w:eastAsia="仿宋_GB2312"/>
          <w:sz w:val="28"/>
          <w:szCs w:val="28"/>
        </w:rPr>
        <w:t>清洗液</w:t>
      </w:r>
      <w:r>
        <w:rPr>
          <w:rFonts w:eastAsia="仿宋_GB2312"/>
          <w:sz w:val="28"/>
          <w:szCs w:val="28"/>
          <w:lang w:val="zh-CN"/>
        </w:rPr>
        <w:t>持续泄漏时，泄漏第100天时，超标距离最远为12m；泄漏第1000天时，超标距离最远为39m；泄漏10年后，超标距离最远为75m</w:t>
      </w:r>
      <w:r>
        <w:rPr>
          <w:rFonts w:eastAsia="仿宋_GB2312"/>
          <w:sz w:val="28"/>
          <w:szCs w:val="28"/>
        </w:rPr>
        <w:t>。</w:t>
      </w:r>
    </w:p>
    <w:p>
      <w:pPr>
        <w:spacing w:line="500" w:lineRule="exact"/>
        <w:ind w:firstLine="562" w:firstLineChars="200"/>
        <w:rPr>
          <w:rFonts w:eastAsia="仿宋_GB2312"/>
          <w:b/>
          <w:sz w:val="28"/>
          <w:szCs w:val="28"/>
        </w:rPr>
      </w:pPr>
      <w:r>
        <w:rPr>
          <w:rFonts w:eastAsia="仿宋_GB2312"/>
          <w:b/>
          <w:sz w:val="28"/>
          <w:szCs w:val="28"/>
        </w:rPr>
        <w:t>六、评价结论</w:t>
      </w:r>
    </w:p>
    <w:p>
      <w:pPr>
        <w:spacing w:line="500" w:lineRule="exact"/>
        <w:ind w:firstLine="560" w:firstLineChars="200"/>
        <w:rPr>
          <w:rFonts w:eastAsia="仿宋_GB2312"/>
          <w:sz w:val="28"/>
          <w:szCs w:val="28"/>
        </w:rPr>
      </w:pPr>
      <w:r>
        <w:rPr>
          <w:rFonts w:eastAsia="仿宋_GB2312"/>
          <w:sz w:val="28"/>
          <w:szCs w:val="28"/>
        </w:rPr>
        <w:t>（1）在建设项目施工质量保证较好、运营过程中各项措施充分落实，污染防渗措施有效情况下（正常工况下），建设项目对区域地下水质不产生影响。在非正常工况下，会在场区及周边较小范围内污染地下水。污染物（高锰酸盐指数）模拟预测结果显示：10年后项目所在地泄漏的污染物在水平方向最大迁移距离约68m。总体来说污染物在地下水中迁移速度缓慢，项目场地污染物的渗漏/泄漏对地下水影响范围很小，高浓度的污染物主要出现在项目所在地的危废贮存库渗漏的地下水中，而不会影响到区域地下水和周边水井水质。</w:t>
      </w:r>
    </w:p>
    <w:p>
      <w:pPr>
        <w:spacing w:line="500" w:lineRule="exact"/>
        <w:ind w:firstLine="560" w:firstLineChars="200"/>
        <w:rPr>
          <w:rFonts w:eastAsia="仿宋_GB2312"/>
          <w:sz w:val="28"/>
          <w:szCs w:val="28"/>
        </w:rPr>
      </w:pPr>
      <w:r>
        <w:rPr>
          <w:rFonts w:eastAsia="仿宋_GB2312"/>
          <w:sz w:val="28"/>
          <w:szCs w:val="28"/>
        </w:rPr>
        <w:t>（2）污染物扩散范围主要与地层结构及其渗透性、水文地质条件、废水下渗量以及某种污染物浓度的背景值等因素有关。其中地层结构及其渗透性、水文地质条件为主要因素，从水文地质单元来看，项目所在地水力梯度小，水流速度慢，污染物不容易随水流迁移；研究区地层以风化基岩为主，透水性较小，污染物在其中迁移距离较小。</w:t>
      </w:r>
    </w:p>
    <w:p>
      <w:pPr>
        <w:spacing w:line="500" w:lineRule="exact"/>
        <w:ind w:firstLine="560" w:firstLineChars="200"/>
        <w:rPr>
          <w:rFonts w:eastAsia="仿宋_GB2312"/>
          <w:sz w:val="28"/>
          <w:szCs w:val="28"/>
        </w:rPr>
      </w:pPr>
      <w:r>
        <w:rPr>
          <w:rFonts w:eastAsia="仿宋_GB2312"/>
          <w:sz w:val="28"/>
          <w:szCs w:val="28"/>
        </w:rPr>
        <w:t>（3）项目所在地周边无地下水饮用水源，环境保护目标在污染物最大迁移距离之外，不会受本项目的影响。结合有效监测、防治措施的运行，项目所在地废水对地下水环境的影响基本可控。</w:t>
      </w:r>
    </w:p>
    <w:p>
      <w:pPr>
        <w:keepNext/>
        <w:numPr>
          <w:ilvl w:val="2"/>
          <w:numId w:val="1"/>
        </w:numPr>
        <w:tabs>
          <w:tab w:val="left" w:pos="709"/>
        </w:tabs>
        <w:spacing w:after="120" w:afterLines="50" w:line="500" w:lineRule="exact"/>
        <w:ind w:left="0" w:firstLine="0"/>
        <w:outlineLvl w:val="2"/>
        <w:rPr>
          <w:rFonts w:eastAsia="仿宋_GB2312"/>
          <w:b/>
          <w:bCs/>
          <w:sz w:val="30"/>
          <w:szCs w:val="30"/>
        </w:rPr>
      </w:pPr>
      <w:r>
        <w:rPr>
          <w:rFonts w:hint="eastAsia" w:eastAsia="仿宋_GB2312"/>
          <w:b/>
          <w:bCs/>
          <w:sz w:val="30"/>
          <w:szCs w:val="30"/>
        </w:rPr>
        <w:t>土壤</w:t>
      </w:r>
      <w:r>
        <w:rPr>
          <w:rFonts w:eastAsia="仿宋_GB2312"/>
          <w:b/>
          <w:bCs/>
          <w:sz w:val="30"/>
          <w:szCs w:val="30"/>
        </w:rPr>
        <w:t>环境影响</w:t>
      </w:r>
      <w:r>
        <w:rPr>
          <w:rFonts w:hint="eastAsia" w:eastAsia="仿宋_GB2312"/>
          <w:b/>
          <w:bCs/>
          <w:sz w:val="30"/>
          <w:szCs w:val="30"/>
        </w:rPr>
        <w:t>评价</w:t>
      </w:r>
    </w:p>
    <w:p>
      <w:pPr>
        <w:keepNext/>
        <w:widowControl/>
        <w:numPr>
          <w:ilvl w:val="3"/>
          <w:numId w:val="1"/>
        </w:numPr>
        <w:adjustRightInd w:val="0"/>
        <w:snapToGrid w:val="0"/>
        <w:spacing w:after="120" w:afterLines="50" w:line="500" w:lineRule="exact"/>
        <w:ind w:left="0" w:firstLine="0"/>
        <w:jc w:val="left"/>
        <w:outlineLvl w:val="3"/>
        <w:rPr>
          <w:rFonts w:eastAsia="仿宋_GB2312"/>
          <w:b/>
          <w:bCs/>
          <w:sz w:val="28"/>
          <w:szCs w:val="28"/>
        </w:rPr>
      </w:pPr>
      <w:r>
        <w:rPr>
          <w:rFonts w:hint="eastAsia" w:eastAsia="仿宋_GB2312"/>
          <w:b/>
          <w:bCs/>
          <w:sz w:val="28"/>
          <w:szCs w:val="28"/>
        </w:rPr>
        <w:t>基础信息</w:t>
      </w:r>
    </w:p>
    <w:p>
      <w:pPr>
        <w:spacing w:line="500" w:lineRule="exact"/>
        <w:ind w:firstLine="560" w:firstLineChars="200"/>
        <w:rPr>
          <w:rFonts w:eastAsia="仿宋_GB2312"/>
          <w:sz w:val="28"/>
          <w:szCs w:val="28"/>
        </w:rPr>
      </w:pPr>
      <w:r>
        <w:rPr>
          <w:rFonts w:eastAsia="仿宋_GB2312"/>
          <w:sz w:val="28"/>
          <w:szCs w:val="28"/>
        </w:rPr>
        <w:t>本项目所在的气象气候、地形地貌特征、水文地质见本项目第4.1章节。</w:t>
      </w:r>
    </w:p>
    <w:p>
      <w:pPr>
        <w:spacing w:line="500" w:lineRule="exact"/>
        <w:ind w:firstLine="560" w:firstLineChars="200"/>
        <w:rPr>
          <w:rFonts w:eastAsia="仿宋_GB2312"/>
          <w:sz w:val="28"/>
          <w:szCs w:val="28"/>
        </w:rPr>
      </w:pPr>
      <w:r>
        <w:rPr>
          <w:rFonts w:hint="eastAsia" w:eastAsia="仿宋_GB2312"/>
          <w:sz w:val="28"/>
          <w:szCs w:val="28"/>
        </w:rPr>
        <w:t>根据《环境影响评价技术导则 土壤环境（试行）》（HJ 964-018），确定本项目土壤环境影响评价范围为项目厂界内以及厂界外扩</w:t>
      </w:r>
      <w:r>
        <w:rPr>
          <w:rFonts w:eastAsia="仿宋_GB2312"/>
          <w:sz w:val="28"/>
          <w:szCs w:val="28"/>
        </w:rPr>
        <w:t>200</w:t>
      </w:r>
      <w:r>
        <w:rPr>
          <w:rFonts w:hint="eastAsia" w:eastAsia="仿宋_GB2312"/>
          <w:sz w:val="28"/>
          <w:szCs w:val="28"/>
        </w:rPr>
        <w:t>米的范围。</w:t>
      </w:r>
    </w:p>
    <w:p>
      <w:pPr>
        <w:spacing w:line="500" w:lineRule="exact"/>
        <w:ind w:firstLine="560" w:firstLineChars="200"/>
        <w:rPr>
          <w:rFonts w:eastAsia="仿宋_GB2312"/>
          <w:sz w:val="28"/>
          <w:szCs w:val="28"/>
        </w:rPr>
      </w:pPr>
      <w:r>
        <w:rPr>
          <w:rFonts w:hint="eastAsia" w:ascii="仿宋" w:hAnsi="仿宋" w:eastAsia="仿宋"/>
          <w:sz w:val="28"/>
          <w:szCs w:val="28"/>
        </w:rPr>
        <w:t>①</w:t>
      </w:r>
      <w:r>
        <w:rPr>
          <w:rFonts w:hint="eastAsia" w:eastAsia="仿宋_GB2312"/>
          <w:sz w:val="28"/>
          <w:szCs w:val="28"/>
        </w:rPr>
        <w:t>评价范围内土地使用历史回顾</w:t>
      </w:r>
    </w:p>
    <w:p>
      <w:pPr>
        <w:spacing w:line="500" w:lineRule="exact"/>
        <w:ind w:firstLine="560" w:firstLineChars="200"/>
        <w:rPr>
          <w:rFonts w:eastAsia="仿宋_GB2312"/>
          <w:sz w:val="28"/>
          <w:szCs w:val="28"/>
        </w:rPr>
      </w:pPr>
      <w:r>
        <w:rPr>
          <w:rFonts w:hint="eastAsia" w:eastAsia="仿宋_GB2312"/>
          <w:sz w:val="28"/>
          <w:szCs w:val="28"/>
        </w:rPr>
        <w:t>评价范围内土地利用类型主要以工业用地为主。根据现场</w:t>
      </w:r>
      <w:r>
        <w:rPr>
          <w:rFonts w:eastAsia="仿宋_GB2312"/>
          <w:sz w:val="28"/>
          <w:szCs w:val="28"/>
        </w:rPr>
        <w:t>调查可知，</w:t>
      </w:r>
      <w:r>
        <w:rPr>
          <w:rFonts w:hint="eastAsia" w:eastAsia="仿宋_GB2312"/>
          <w:sz w:val="28"/>
          <w:szCs w:val="28"/>
        </w:rPr>
        <w:t>本项目场地历史上为</w:t>
      </w:r>
      <w:r>
        <w:rPr>
          <w:rFonts w:eastAsia="仿宋_GB2312"/>
          <w:sz w:val="28"/>
          <w:szCs w:val="28"/>
        </w:rPr>
        <w:t>空地及</w:t>
      </w:r>
      <w:r>
        <w:rPr>
          <w:rFonts w:hint="eastAsia" w:eastAsia="仿宋_GB2312"/>
          <w:sz w:val="28"/>
          <w:szCs w:val="28"/>
        </w:rPr>
        <w:t>鹤溪村</w:t>
      </w:r>
      <w:r>
        <w:rPr>
          <w:rFonts w:eastAsia="仿宋_GB2312"/>
          <w:sz w:val="28"/>
          <w:szCs w:val="28"/>
        </w:rPr>
        <w:t>部分居民区，</w:t>
      </w:r>
      <w:r>
        <w:rPr>
          <w:rFonts w:hint="eastAsia" w:eastAsia="仿宋_GB2312"/>
          <w:sz w:val="28"/>
          <w:szCs w:val="28"/>
        </w:rPr>
        <w:t>现在</w:t>
      </w:r>
      <w:r>
        <w:rPr>
          <w:rFonts w:eastAsia="仿宋_GB2312"/>
          <w:sz w:val="28"/>
          <w:szCs w:val="28"/>
        </w:rPr>
        <w:t>地块内已</w:t>
      </w:r>
      <w:r>
        <w:rPr>
          <w:rFonts w:hint="eastAsia" w:eastAsia="仿宋_GB2312"/>
          <w:sz w:val="28"/>
          <w:szCs w:val="28"/>
        </w:rPr>
        <w:t>拆除</w:t>
      </w:r>
      <w:r>
        <w:rPr>
          <w:rFonts w:eastAsia="仿宋_GB2312"/>
          <w:sz w:val="28"/>
          <w:szCs w:val="28"/>
        </w:rPr>
        <w:t>完毕为净</w:t>
      </w:r>
      <w:r>
        <w:rPr>
          <w:rFonts w:hint="eastAsia" w:eastAsia="仿宋_GB2312"/>
          <w:sz w:val="28"/>
          <w:szCs w:val="28"/>
        </w:rPr>
        <w:t>地，根据本地块</w:t>
      </w:r>
      <w:r>
        <w:rPr>
          <w:rFonts w:eastAsia="仿宋_GB2312"/>
          <w:sz w:val="28"/>
          <w:szCs w:val="28"/>
        </w:rPr>
        <w:t>的土壤检测报告：</w:t>
      </w:r>
      <w:r>
        <w:rPr>
          <w:rFonts w:hint="eastAsia" w:eastAsia="仿宋_GB2312"/>
          <w:sz w:val="28"/>
          <w:szCs w:val="28"/>
        </w:rPr>
        <w:t>地块土壤样品检出因子浓度符合《土壤环境质量</w:t>
      </w:r>
      <w:r>
        <w:rPr>
          <w:rFonts w:eastAsia="仿宋_GB2312"/>
          <w:sz w:val="28"/>
          <w:szCs w:val="28"/>
        </w:rPr>
        <w:t xml:space="preserve"> </w:t>
      </w:r>
      <w:r>
        <w:rPr>
          <w:rFonts w:hint="eastAsia" w:eastAsia="仿宋_GB2312"/>
          <w:sz w:val="28"/>
          <w:szCs w:val="28"/>
        </w:rPr>
        <w:t>建设用地土壤污染风险管控标准（试行）》（</w:t>
      </w:r>
      <w:r>
        <w:rPr>
          <w:rFonts w:eastAsia="仿宋_GB2312"/>
          <w:sz w:val="28"/>
          <w:szCs w:val="28"/>
        </w:rPr>
        <w:t>GB36600-2018</w:t>
      </w:r>
      <w:r>
        <w:rPr>
          <w:rFonts w:hint="eastAsia" w:eastAsia="仿宋_GB2312"/>
          <w:sz w:val="28"/>
          <w:szCs w:val="28"/>
        </w:rPr>
        <w:t>）第二类用地筛选值标准，同时土壤样品检出因子浓度也符合《土壤环境质量</w:t>
      </w:r>
      <w:r>
        <w:rPr>
          <w:rFonts w:eastAsia="仿宋_GB2312"/>
          <w:sz w:val="28"/>
          <w:szCs w:val="28"/>
        </w:rPr>
        <w:t xml:space="preserve"> </w:t>
      </w:r>
      <w:r>
        <w:rPr>
          <w:rFonts w:hint="eastAsia" w:eastAsia="仿宋_GB2312"/>
          <w:sz w:val="28"/>
          <w:szCs w:val="28"/>
        </w:rPr>
        <w:t>建设用地土壤污染风险管控标准（试行）》（</w:t>
      </w:r>
      <w:r>
        <w:rPr>
          <w:rFonts w:eastAsia="仿宋_GB2312"/>
          <w:sz w:val="28"/>
          <w:szCs w:val="28"/>
        </w:rPr>
        <w:t>GB36600-2018</w:t>
      </w:r>
      <w:r>
        <w:rPr>
          <w:rFonts w:hint="eastAsia" w:eastAsia="仿宋_GB2312"/>
          <w:sz w:val="28"/>
          <w:szCs w:val="28"/>
        </w:rPr>
        <w:t>）第一类用地筛选值标准。土地利用历史影像见下图：</w:t>
      </w:r>
    </w:p>
    <w:p>
      <w:pPr>
        <w:jc w:val="center"/>
        <w:rPr>
          <w:rFonts w:ascii="仿宋_GB2312" w:eastAsia="仿宋"/>
        </w:rPr>
      </w:pPr>
      <w:r>
        <w:drawing>
          <wp:inline distT="0" distB="0" distL="0" distR="0">
            <wp:extent cx="4161790" cy="3388360"/>
            <wp:effectExtent l="0" t="0" r="0" b="2540"/>
            <wp:docPr id="1122" name="图片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 name="图片 1122"/>
                    <pic:cNvPicPr>
                      <a:picLocks noChangeAspect="1"/>
                    </pic:cNvPicPr>
                  </pic:nvPicPr>
                  <pic:blipFill>
                    <a:blip r:embed="rId83"/>
                    <a:stretch>
                      <a:fillRect/>
                    </a:stretch>
                  </pic:blipFill>
                  <pic:spPr>
                    <a:xfrm>
                      <a:off x="0" y="0"/>
                      <a:ext cx="4163567" cy="3389732"/>
                    </a:xfrm>
                    <a:prstGeom prst="rect">
                      <a:avLst/>
                    </a:prstGeom>
                  </pic:spPr>
                </pic:pic>
              </a:graphicData>
            </a:graphic>
          </wp:inline>
        </w:drawing>
      </w:r>
    </w:p>
    <w:p>
      <w:pPr>
        <w:jc w:val="center"/>
        <w:rPr>
          <w:rFonts w:eastAsia="仿宋_GB2312"/>
          <w:b/>
          <w:bCs/>
          <w:sz w:val="24"/>
        </w:rPr>
      </w:pPr>
      <w:r>
        <w:rPr>
          <w:rFonts w:ascii="仿宋_GB2312" w:eastAsia="仿宋"/>
        </w:rPr>
        <w:fldChar w:fldCharType="begin"/>
      </w:r>
      <w:r>
        <w:rPr>
          <w:rFonts w:ascii="仿宋_GB2312" w:eastAsia="仿宋"/>
        </w:rPr>
        <w:instrText xml:space="preserve"> INCLUDEPICTURE "C:\\Users\\ADMINI~1\\AppData\\Local\\Temp\\ksohtml20592\\wps31.jpg" \* MERGEFORMATINET </w:instrText>
      </w:r>
      <w:r>
        <w:rPr>
          <w:rFonts w:ascii="仿宋_GB2312" w:eastAsia="仿宋"/>
        </w:rPr>
        <w:fldChar w:fldCharType="separate"/>
      </w:r>
      <w:r>
        <w:rPr>
          <w:rFonts w:ascii="仿宋_GB2312" w:eastAsia="仿宋"/>
        </w:rPr>
        <w:fldChar w:fldCharType="begin"/>
      </w:r>
      <w:r>
        <w:rPr>
          <w:rFonts w:ascii="仿宋_GB2312" w:eastAsia="仿宋"/>
        </w:rPr>
        <w:instrText xml:space="preserve"> INCLUDEPICTURE  "C:\\Users\\ADMINI~1\\AppData\\Local\\Temp\\ksohtml20592\\wps31.jpg" \* MERGEFORMATINET </w:instrText>
      </w:r>
      <w:r>
        <w:rPr>
          <w:rFonts w:ascii="仿宋_GB2312" w:eastAsia="仿宋"/>
        </w:rPr>
        <w:fldChar w:fldCharType="separate"/>
      </w:r>
      <w:r>
        <w:rPr>
          <w:rFonts w:ascii="仿宋_GB2312" w:eastAsia="仿宋"/>
        </w:rPr>
        <w:fldChar w:fldCharType="begin"/>
      </w:r>
      <w:r>
        <w:rPr>
          <w:rFonts w:ascii="仿宋_GB2312" w:eastAsia="仿宋"/>
        </w:rPr>
        <w:instrText xml:space="preserve"> INCLUDEPICTURE  "C:\\Users\\ADMINI~1\\AppData\\Local\\Temp\\ksohtml20592\\wps31.jpg" \* MERGEFORMATINET </w:instrText>
      </w:r>
      <w:r>
        <w:rPr>
          <w:rFonts w:ascii="仿宋_GB2312" w:eastAsia="仿宋"/>
        </w:rPr>
        <w:fldChar w:fldCharType="separate"/>
      </w:r>
      <w:r>
        <w:rPr>
          <w:rFonts w:ascii="仿宋_GB2312" w:eastAsia="仿宋"/>
        </w:rPr>
        <w:fldChar w:fldCharType="begin"/>
      </w:r>
      <w:r>
        <w:rPr>
          <w:rFonts w:ascii="仿宋_GB2312" w:eastAsia="仿宋"/>
        </w:rPr>
        <w:instrText xml:space="preserve"> INCLUDEPICTURE  "C:\\Users\\ADMINI~1\\AppData\\Local\\Temp\\ksohtml20592\\wps31.jpg" \* MERGEFORMATINET </w:instrText>
      </w:r>
      <w:r>
        <w:rPr>
          <w:rFonts w:ascii="仿宋_GB2312" w:eastAsia="仿宋"/>
        </w:rPr>
        <w:fldChar w:fldCharType="separate"/>
      </w:r>
      <w:r>
        <w:rPr>
          <w:rFonts w:ascii="仿宋_GB2312" w:eastAsia="仿宋"/>
        </w:rPr>
        <w:fldChar w:fldCharType="begin"/>
      </w:r>
      <w:r>
        <w:rPr>
          <w:rFonts w:ascii="仿宋_GB2312" w:eastAsia="仿宋"/>
        </w:rPr>
        <w:instrText xml:space="preserve"> INCLUDEPICTURE  "C:\\Users\\ADMINI~1\\AppData\\Local\\Temp\\ksohtml20592\\wps31.jpg" \* MERGEFORMATINET </w:instrText>
      </w:r>
      <w:r>
        <w:rPr>
          <w:rFonts w:ascii="仿宋_GB2312" w:eastAsia="仿宋"/>
        </w:rPr>
        <w:fldChar w:fldCharType="separate"/>
      </w:r>
      <w:r>
        <w:rPr>
          <w:rFonts w:ascii="仿宋_GB2312" w:eastAsia="仿宋"/>
        </w:rPr>
        <w:fldChar w:fldCharType="begin"/>
      </w:r>
      <w:r>
        <w:rPr>
          <w:rFonts w:ascii="仿宋_GB2312" w:eastAsia="仿宋"/>
        </w:rPr>
        <w:instrText xml:space="preserve"> INCLUDEPICTURE  "C:\\Users\\ADMINI~1\\AppData\\Local\\Temp\\ksohtml20592\\wps31.jpg" \* MERGEFORMATINET </w:instrText>
      </w:r>
      <w:r>
        <w:rPr>
          <w:rFonts w:ascii="仿宋_GB2312" w:eastAsia="仿宋"/>
        </w:rPr>
        <w:fldChar w:fldCharType="separate"/>
      </w:r>
      <w:r>
        <w:rPr>
          <w:rFonts w:ascii="仿宋_GB2312" w:eastAsia="仿宋"/>
        </w:rPr>
        <w:fldChar w:fldCharType="begin"/>
      </w:r>
      <w:r>
        <w:rPr>
          <w:rFonts w:ascii="仿宋_GB2312" w:eastAsia="仿宋"/>
        </w:rPr>
        <w:instrText xml:space="preserve"> INCLUDEPICTURE  "C:\\Users\\ADMINI~1\\AppData\\Local\\Temp\\ksohtml20592\\wps31.jpg" \* MERGEFORMATINET </w:instrText>
      </w:r>
      <w:r>
        <w:rPr>
          <w:rFonts w:ascii="仿宋_GB2312" w:eastAsia="仿宋"/>
        </w:rPr>
        <w:fldChar w:fldCharType="separate"/>
      </w:r>
      <w:r>
        <w:rPr>
          <w:rFonts w:ascii="仿宋_GB2312" w:eastAsia="仿宋"/>
        </w:rPr>
        <w:fldChar w:fldCharType="begin"/>
      </w:r>
      <w:r>
        <w:rPr>
          <w:rFonts w:ascii="仿宋_GB2312" w:eastAsia="仿宋"/>
        </w:rPr>
        <w:instrText xml:space="preserve"> INCLUDEPICTURE  "C:\\Users\\ADMINI~1\\AppData\\Local\\Temp\\ksohtml20592\\wps31.jpg" \* MERGEFORMATINET </w:instrText>
      </w:r>
      <w:r>
        <w:rPr>
          <w:rFonts w:ascii="仿宋_GB2312" w:eastAsia="仿宋"/>
        </w:rPr>
        <w:fldChar w:fldCharType="separate"/>
      </w:r>
      <w:r>
        <w:rPr>
          <w:rFonts w:ascii="仿宋_GB2312" w:eastAsia="仿宋"/>
        </w:rPr>
        <w:fldChar w:fldCharType="begin"/>
      </w:r>
      <w:r>
        <w:rPr>
          <w:rFonts w:ascii="仿宋_GB2312" w:eastAsia="仿宋"/>
        </w:rPr>
        <w:instrText xml:space="preserve"> INCLUDEPICTURE  "C:\\Users\\ADMINI~1\\AppData\\Local\\Temp\\ksohtml20592\\wps31.jpg" \* MERGEFORMATINET </w:instrText>
      </w:r>
      <w:r>
        <w:rPr>
          <w:rFonts w:ascii="仿宋_GB2312" w:eastAsia="仿宋"/>
        </w:rPr>
        <w:fldChar w:fldCharType="separate"/>
      </w:r>
      <w:r>
        <w:rPr>
          <w:rFonts w:ascii="仿宋_GB2312" w:eastAsia="仿宋"/>
        </w:rPr>
        <w:fldChar w:fldCharType="begin"/>
      </w:r>
      <w:r>
        <w:rPr>
          <w:rFonts w:ascii="仿宋_GB2312" w:eastAsia="仿宋"/>
        </w:rPr>
        <w:instrText xml:space="preserve"> INCLUDEPICTURE  "C:\\Users\\ADMINI~1\\AppData\\Local\\Temp\\ksohtml20592\\wps31.jpg" \* MERGEFORMATINET </w:instrText>
      </w:r>
      <w:r>
        <w:rPr>
          <w:rFonts w:ascii="仿宋_GB2312" w:eastAsia="仿宋"/>
        </w:rPr>
        <w:fldChar w:fldCharType="separate"/>
      </w:r>
      <w:r>
        <w:rPr>
          <w:rFonts w:ascii="仿宋_GB2312" w:eastAsia="仿宋"/>
        </w:rPr>
        <w:fldChar w:fldCharType="begin"/>
      </w:r>
      <w:r>
        <w:rPr>
          <w:rFonts w:ascii="仿宋_GB2312" w:eastAsia="仿宋"/>
        </w:rPr>
        <w:instrText xml:space="preserve"> INCLUDEPICTURE  "C:\\Users\\ADMINI~1\\AppData\\Local\\Temp\\ksohtml20592\\wps31.jpg" \* MERGEFORMATINET </w:instrText>
      </w:r>
      <w:r>
        <w:rPr>
          <w:rFonts w:ascii="仿宋_GB2312" w:eastAsia="仿宋"/>
        </w:rPr>
        <w:fldChar w:fldCharType="separate"/>
      </w:r>
      <w:r>
        <w:rPr>
          <w:rFonts w:ascii="仿宋_GB2312" w:eastAsia="仿宋"/>
        </w:rPr>
        <w:fldChar w:fldCharType="begin"/>
      </w:r>
      <w:r>
        <w:rPr>
          <w:rFonts w:ascii="仿宋_GB2312" w:eastAsia="仿宋"/>
        </w:rPr>
        <w:instrText xml:space="preserve"> INCLUDEPICTURE  "C:\\Users\\ADMINI~1\\AppData\\Local\\Temp\\ksohtml20592\\wps31.jpg" \* MERGEFORMATINET </w:instrText>
      </w:r>
      <w:r>
        <w:rPr>
          <w:rFonts w:ascii="仿宋_GB2312" w:eastAsia="仿宋"/>
        </w:rPr>
        <w:fldChar w:fldCharType="separate"/>
      </w:r>
      <w:r>
        <w:rPr>
          <w:rFonts w:ascii="仿宋_GB2312" w:eastAsia="仿宋"/>
        </w:rPr>
        <w:fldChar w:fldCharType="begin"/>
      </w:r>
      <w:r>
        <w:rPr>
          <w:rFonts w:ascii="仿宋_GB2312" w:eastAsia="仿宋"/>
        </w:rPr>
        <w:instrText xml:space="preserve"> INCLUDEPICTURE  "C:\\Users\\ADMINI~1\\AppData\\Local\\Temp\\ksohtml20592\\wps31.jpg" \* MERGEFORMATINET </w:instrText>
      </w:r>
      <w:r>
        <w:rPr>
          <w:rFonts w:ascii="仿宋_GB2312" w:eastAsia="仿宋"/>
        </w:rPr>
        <w:fldChar w:fldCharType="end"/>
      </w:r>
      <w:r>
        <w:rPr>
          <w:rFonts w:ascii="仿宋_GB2312" w:eastAsia="仿宋"/>
        </w:rPr>
        <w:fldChar w:fldCharType="end"/>
      </w:r>
      <w:r>
        <w:rPr>
          <w:rFonts w:ascii="仿宋_GB2312" w:eastAsia="仿宋"/>
        </w:rPr>
        <w:fldChar w:fldCharType="end"/>
      </w:r>
      <w:r>
        <w:rPr>
          <w:rFonts w:ascii="仿宋_GB2312" w:eastAsia="仿宋"/>
        </w:rPr>
        <w:fldChar w:fldCharType="end"/>
      </w:r>
      <w:r>
        <w:rPr>
          <w:rFonts w:ascii="仿宋_GB2312" w:eastAsia="仿宋"/>
        </w:rPr>
        <w:fldChar w:fldCharType="end"/>
      </w:r>
      <w:r>
        <w:rPr>
          <w:rFonts w:ascii="仿宋_GB2312" w:eastAsia="仿宋"/>
        </w:rPr>
        <w:fldChar w:fldCharType="end"/>
      </w:r>
      <w:r>
        <w:rPr>
          <w:rFonts w:ascii="仿宋_GB2312" w:eastAsia="仿宋"/>
        </w:rPr>
        <w:fldChar w:fldCharType="end"/>
      </w:r>
      <w:r>
        <w:rPr>
          <w:rFonts w:ascii="仿宋_GB2312" w:eastAsia="仿宋"/>
        </w:rPr>
        <w:fldChar w:fldCharType="end"/>
      </w:r>
      <w:r>
        <w:rPr>
          <w:rFonts w:ascii="仿宋_GB2312" w:eastAsia="仿宋"/>
        </w:rPr>
        <w:fldChar w:fldCharType="end"/>
      </w:r>
      <w:r>
        <w:rPr>
          <w:rFonts w:ascii="仿宋_GB2312" w:eastAsia="仿宋"/>
        </w:rPr>
        <w:fldChar w:fldCharType="end"/>
      </w:r>
      <w:r>
        <w:rPr>
          <w:rFonts w:ascii="仿宋_GB2312" w:eastAsia="仿宋"/>
        </w:rPr>
        <w:fldChar w:fldCharType="end"/>
      </w:r>
      <w:r>
        <w:rPr>
          <w:rFonts w:ascii="仿宋_GB2312" w:eastAsia="仿宋"/>
        </w:rPr>
        <w:fldChar w:fldCharType="end"/>
      </w:r>
      <w:r>
        <w:rPr>
          <w:rFonts w:ascii="仿宋_GB2312" w:eastAsia="仿宋"/>
        </w:rPr>
        <w:fldChar w:fldCharType="end"/>
      </w:r>
      <w:r>
        <w:rPr>
          <w:rFonts w:eastAsia="仿宋_GB2312"/>
          <w:b/>
          <w:bCs/>
          <w:sz w:val="24"/>
        </w:rPr>
        <w:t xml:space="preserve">图5.2-15  </w:t>
      </w:r>
      <w:r>
        <w:rPr>
          <w:rFonts w:hint="eastAsia" w:eastAsia="仿宋_GB2312"/>
          <w:b/>
          <w:bCs/>
          <w:sz w:val="24"/>
        </w:rPr>
        <w:t>2018年历史影像图</w:t>
      </w:r>
      <w:r>
        <w:rPr>
          <w:rFonts w:eastAsia="仿宋_GB2312"/>
          <w:b/>
          <w:bCs/>
          <w:sz w:val="24"/>
        </w:rPr>
        <w:br w:type="page"/>
      </w:r>
    </w:p>
    <w:p>
      <w:pPr>
        <w:keepNext/>
        <w:keepLines/>
        <w:spacing w:after="50" w:line="500" w:lineRule="exact"/>
        <w:outlineLvl w:val="3"/>
        <w:rPr>
          <w:rFonts w:eastAsia="仿宋_GB2312"/>
          <w:b/>
          <w:bCs/>
          <w:sz w:val="28"/>
          <w:szCs w:val="28"/>
        </w:rPr>
      </w:pPr>
      <w:r>
        <w:rPr>
          <w:rFonts w:eastAsia="仿宋_GB2312"/>
          <w:b/>
          <w:bCs/>
          <w:sz w:val="28"/>
          <w:szCs w:val="28"/>
        </w:rPr>
        <w:t>5.2.6.2土壤环境影响评价</w:t>
      </w:r>
    </w:p>
    <w:p>
      <w:pPr>
        <w:spacing w:line="500" w:lineRule="exact"/>
        <w:ind w:firstLine="562" w:firstLineChars="200"/>
        <w:rPr>
          <w:rFonts w:eastAsia="仿宋_GB2312"/>
          <w:b/>
          <w:sz w:val="28"/>
          <w:szCs w:val="28"/>
        </w:rPr>
      </w:pPr>
      <w:r>
        <w:rPr>
          <w:rFonts w:eastAsia="仿宋_GB2312"/>
          <w:b/>
          <w:sz w:val="28"/>
          <w:szCs w:val="28"/>
        </w:rPr>
        <w:t>一、预测范围</w:t>
      </w:r>
    </w:p>
    <w:p>
      <w:pPr>
        <w:spacing w:line="500" w:lineRule="exact"/>
        <w:ind w:firstLine="560" w:firstLineChars="200"/>
        <w:rPr>
          <w:rFonts w:eastAsia="仿宋_GB2312"/>
          <w:sz w:val="28"/>
          <w:szCs w:val="28"/>
        </w:rPr>
      </w:pPr>
      <w:r>
        <w:rPr>
          <w:rFonts w:eastAsia="仿宋_GB2312"/>
          <w:sz w:val="28"/>
          <w:szCs w:val="28"/>
        </w:rPr>
        <w:t>土壤环境影响预测范围与现状调查评价范围一致，厂区范围内及周边200</w:t>
      </w:r>
      <w:r>
        <w:rPr>
          <w:rFonts w:hint="eastAsia" w:eastAsia="仿宋_GB2312"/>
          <w:sz w:val="28"/>
          <w:szCs w:val="28"/>
        </w:rPr>
        <w:t>m</w:t>
      </w:r>
      <w:r>
        <w:rPr>
          <w:rFonts w:eastAsia="仿宋_GB2312"/>
          <w:sz w:val="28"/>
          <w:szCs w:val="28"/>
        </w:rPr>
        <w:t>范围。</w:t>
      </w:r>
    </w:p>
    <w:p>
      <w:pPr>
        <w:spacing w:line="500" w:lineRule="exact"/>
        <w:ind w:firstLine="562" w:firstLineChars="200"/>
        <w:rPr>
          <w:rFonts w:eastAsia="仿宋_GB2312"/>
          <w:b/>
          <w:sz w:val="28"/>
          <w:szCs w:val="28"/>
        </w:rPr>
      </w:pPr>
      <w:r>
        <w:rPr>
          <w:rFonts w:eastAsia="仿宋_GB2312"/>
          <w:b/>
          <w:sz w:val="28"/>
          <w:szCs w:val="28"/>
        </w:rPr>
        <w:t>二、预测时段</w:t>
      </w:r>
    </w:p>
    <w:p>
      <w:pPr>
        <w:spacing w:line="500" w:lineRule="exact"/>
        <w:ind w:firstLine="560" w:firstLineChars="200"/>
        <w:rPr>
          <w:rFonts w:eastAsia="仿宋_GB2312"/>
          <w:sz w:val="28"/>
          <w:szCs w:val="28"/>
        </w:rPr>
      </w:pPr>
      <w:r>
        <w:rPr>
          <w:rFonts w:eastAsia="仿宋_GB2312"/>
          <w:sz w:val="28"/>
          <w:szCs w:val="28"/>
        </w:rPr>
        <w:t>预测时段设定为大气沉降发生后的10年、20年、30年。</w:t>
      </w:r>
    </w:p>
    <w:p>
      <w:pPr>
        <w:spacing w:line="500" w:lineRule="exact"/>
        <w:ind w:firstLine="562" w:firstLineChars="200"/>
        <w:rPr>
          <w:rFonts w:eastAsia="仿宋_GB2312"/>
          <w:b/>
          <w:sz w:val="28"/>
          <w:szCs w:val="28"/>
        </w:rPr>
      </w:pPr>
      <w:r>
        <w:rPr>
          <w:rFonts w:eastAsia="仿宋_GB2312"/>
          <w:b/>
          <w:sz w:val="28"/>
          <w:szCs w:val="28"/>
        </w:rPr>
        <w:t>三、预测情景</w:t>
      </w:r>
    </w:p>
    <w:p>
      <w:pPr>
        <w:spacing w:line="500" w:lineRule="exact"/>
        <w:ind w:firstLine="560" w:firstLineChars="200"/>
        <w:rPr>
          <w:rFonts w:eastAsia="仿宋_GB2312"/>
          <w:sz w:val="28"/>
          <w:szCs w:val="28"/>
        </w:rPr>
      </w:pPr>
      <w:r>
        <w:rPr>
          <w:rFonts w:eastAsia="仿宋_GB2312"/>
          <w:sz w:val="28"/>
          <w:szCs w:val="28"/>
        </w:rPr>
        <w:t>本次评价的土壤污染事故情景确定为：大气污染物持续排放，大气沉降对土壤的影响。</w:t>
      </w:r>
    </w:p>
    <w:p>
      <w:pPr>
        <w:spacing w:line="500" w:lineRule="exact"/>
        <w:ind w:firstLine="562" w:firstLineChars="200"/>
        <w:rPr>
          <w:rFonts w:eastAsia="仿宋_GB2312"/>
          <w:b/>
          <w:sz w:val="28"/>
          <w:szCs w:val="28"/>
        </w:rPr>
      </w:pPr>
      <w:r>
        <w:rPr>
          <w:rFonts w:eastAsia="仿宋_GB2312"/>
          <w:b/>
          <w:sz w:val="28"/>
          <w:szCs w:val="28"/>
        </w:rPr>
        <w:t>四、预测因子</w:t>
      </w:r>
    </w:p>
    <w:p>
      <w:pPr>
        <w:spacing w:line="500" w:lineRule="exact"/>
        <w:ind w:firstLine="560" w:firstLineChars="200"/>
        <w:rPr>
          <w:rFonts w:eastAsia="仿宋_GB2312"/>
          <w:sz w:val="28"/>
          <w:szCs w:val="28"/>
        </w:rPr>
      </w:pPr>
      <w:r>
        <w:rPr>
          <w:rFonts w:eastAsia="仿宋_GB2312"/>
          <w:sz w:val="28"/>
          <w:szCs w:val="28"/>
        </w:rPr>
        <w:t>大气污染物持续排放，大气沉降对土壤有富集的影响，考虑到本项目主要的大气污染物为</w:t>
      </w:r>
      <w:r>
        <w:rPr>
          <w:rFonts w:hint="eastAsia" w:eastAsia="仿宋_GB2312"/>
          <w:sz w:val="28"/>
          <w:szCs w:val="28"/>
        </w:rPr>
        <w:t>二甲苯</w:t>
      </w:r>
      <w:r>
        <w:rPr>
          <w:rFonts w:eastAsia="仿宋_GB2312"/>
          <w:sz w:val="28"/>
          <w:szCs w:val="28"/>
        </w:rPr>
        <w:t>，本项目预测因子选取</w:t>
      </w:r>
      <w:r>
        <w:rPr>
          <w:rFonts w:hint="eastAsia" w:eastAsia="仿宋_GB2312"/>
          <w:sz w:val="28"/>
          <w:szCs w:val="28"/>
        </w:rPr>
        <w:t>二甲苯</w:t>
      </w:r>
      <w:r>
        <w:rPr>
          <w:rFonts w:eastAsia="仿宋_GB2312"/>
          <w:sz w:val="28"/>
          <w:szCs w:val="28"/>
        </w:rPr>
        <w:t>。</w:t>
      </w:r>
    </w:p>
    <w:p>
      <w:pPr>
        <w:spacing w:line="500" w:lineRule="exact"/>
        <w:ind w:firstLine="562" w:firstLineChars="200"/>
        <w:rPr>
          <w:rFonts w:eastAsia="仿宋_GB2312"/>
          <w:b/>
          <w:sz w:val="28"/>
          <w:szCs w:val="28"/>
        </w:rPr>
      </w:pPr>
      <w:r>
        <w:rPr>
          <w:rFonts w:eastAsia="仿宋_GB2312"/>
          <w:b/>
          <w:sz w:val="28"/>
          <w:szCs w:val="28"/>
        </w:rPr>
        <w:t>五、预测模型</w:t>
      </w:r>
    </w:p>
    <w:p>
      <w:pPr>
        <w:spacing w:line="500" w:lineRule="exact"/>
        <w:ind w:firstLine="560" w:firstLineChars="200"/>
        <w:rPr>
          <w:rFonts w:eastAsia="仿宋_GB2312"/>
          <w:sz w:val="28"/>
          <w:szCs w:val="28"/>
        </w:rPr>
      </w:pPr>
      <w:r>
        <w:rPr>
          <w:rFonts w:eastAsia="仿宋_GB2312"/>
          <w:sz w:val="28"/>
          <w:szCs w:val="28"/>
        </w:rPr>
        <w:t>本次评价采用《环境影响评价技术导则-土壤环境（试行）》（HJ964-2018）推荐的方法一进行计算。</w:t>
      </w:r>
    </w:p>
    <w:p>
      <w:pPr>
        <w:spacing w:line="500" w:lineRule="exact"/>
        <w:ind w:firstLine="560" w:firstLineChars="200"/>
        <w:rPr>
          <w:rFonts w:eastAsia="仿宋_GB2312"/>
          <w:sz w:val="28"/>
          <w:szCs w:val="28"/>
        </w:rPr>
      </w:pPr>
      <w:r>
        <w:rPr>
          <w:rFonts w:eastAsia="仿宋_GB2312"/>
          <w:sz w:val="28"/>
          <w:szCs w:val="28"/>
        </w:rPr>
        <w:t>（1）单位质量土壤中某中物质的增量可用下式计算。</w:t>
      </w:r>
    </w:p>
    <w:p>
      <w:pPr>
        <w:widowControl/>
        <w:spacing w:before="120" w:beforeLines="50" w:line="360" w:lineRule="auto"/>
        <w:ind w:firstLine="560"/>
        <w:jc w:val="center"/>
        <w:rPr>
          <w:rFonts w:eastAsia="仿宋_GB2312"/>
          <w:kern w:val="0"/>
          <w:sz w:val="24"/>
        </w:rPr>
      </w:pPr>
      <w:r>
        <w:rPr>
          <w:rFonts w:eastAsia="仿宋_GB2312"/>
          <w:position w:val="-10"/>
        </w:rPr>
        <w:object>
          <v:shape id="_x0000_i1025" o:spt="75" type="#_x0000_t75" style="height:21.9pt;width:201.6pt;" o:ole="t" filled="f" o:preferrelative="t" stroked="f" coordsize="21600,21600">
            <v:path/>
            <v:fill on="f" focussize="0,0"/>
            <v:stroke on="f" joinstyle="miter"/>
            <v:imagedata r:id="rId85" o:title=""/>
            <o:lock v:ext="edit" aspectratio="t"/>
            <w10:wrap type="none"/>
            <w10:anchorlock/>
          </v:shape>
          <o:OLEObject Type="Embed" ProgID="Equation.3" ShapeID="_x0000_i1025" DrawAspect="Content" ObjectID="_1468075726" r:id="rId84">
            <o:LockedField>false</o:LockedField>
          </o:OLEObject>
        </w:object>
      </w:r>
    </w:p>
    <w:p>
      <w:pPr>
        <w:spacing w:line="500" w:lineRule="exact"/>
        <w:ind w:firstLine="560" w:firstLineChars="200"/>
        <w:rPr>
          <w:rFonts w:eastAsia="仿宋_GB2312"/>
          <w:sz w:val="28"/>
          <w:szCs w:val="28"/>
        </w:rPr>
      </w:pPr>
      <w:r>
        <w:rPr>
          <w:rFonts w:eastAsia="仿宋_GB2312"/>
          <w:sz w:val="28"/>
          <w:szCs w:val="28"/>
        </w:rPr>
        <w:t>式中：</w:t>
      </w:r>
      <w:r>
        <w:rPr>
          <w:rFonts w:eastAsia="仿宋_GB2312"/>
          <w:sz w:val="28"/>
          <w:szCs w:val="28"/>
        </w:rPr>
        <w:object>
          <v:shape id="_x0000_i1026" o:spt="75" type="#_x0000_t75" style="height:14.4pt;width:21.9pt;" o:ole="t" filled="f" o:preferrelative="t" stroked="f" coordsize="21600,21600">
            <v:path/>
            <v:fill on="f" focussize="0,0"/>
            <v:stroke on="f" joinstyle="miter"/>
            <v:imagedata r:id="rId87" o:title=""/>
            <o:lock v:ext="edit" aspectratio="t"/>
            <w10:wrap type="none"/>
            <w10:anchorlock/>
          </v:shape>
          <o:OLEObject Type="Embed" ProgID="Equation.3" ShapeID="_x0000_i1026" DrawAspect="Content" ObjectID="_1468075727" r:id="rId86">
            <o:LockedField>false</o:LockedField>
          </o:OLEObject>
        </w:object>
      </w:r>
      <w:r>
        <w:rPr>
          <w:rFonts w:eastAsia="仿宋_GB2312"/>
          <w:sz w:val="28"/>
          <w:szCs w:val="28"/>
        </w:rPr>
        <w:t>——单位质量表层土壤中某种物质的增量，g/kg；</w:t>
      </w:r>
    </w:p>
    <w:p>
      <w:pPr>
        <w:spacing w:line="500" w:lineRule="exact"/>
        <w:ind w:firstLine="560" w:firstLineChars="200"/>
        <w:rPr>
          <w:rFonts w:eastAsia="仿宋_GB2312"/>
          <w:sz w:val="28"/>
          <w:szCs w:val="28"/>
        </w:rPr>
      </w:pPr>
      <w:r>
        <w:rPr>
          <w:rFonts w:eastAsia="仿宋_GB2312"/>
          <w:sz w:val="28"/>
          <w:szCs w:val="28"/>
        </w:rPr>
        <w:t>I</w:t>
      </w:r>
      <w:r>
        <w:rPr>
          <w:rFonts w:eastAsia="仿宋_GB2312"/>
          <w:sz w:val="28"/>
          <w:szCs w:val="28"/>
          <w:vertAlign w:val="subscript"/>
        </w:rPr>
        <w:t>S</w:t>
      </w:r>
      <w:r>
        <w:rPr>
          <w:rFonts w:eastAsia="仿宋_GB2312"/>
          <w:sz w:val="28"/>
          <w:szCs w:val="28"/>
        </w:rPr>
        <w:t>——预测评价范围内单位年份表层土壤中某种物质的输入量，g;</w:t>
      </w:r>
    </w:p>
    <w:p>
      <w:pPr>
        <w:spacing w:line="500" w:lineRule="exact"/>
        <w:ind w:firstLine="560" w:firstLineChars="200"/>
        <w:rPr>
          <w:rFonts w:eastAsia="仿宋_GB2312"/>
          <w:sz w:val="28"/>
          <w:szCs w:val="28"/>
        </w:rPr>
      </w:pPr>
      <w:r>
        <w:rPr>
          <w:rFonts w:eastAsia="仿宋_GB2312"/>
          <w:sz w:val="28"/>
          <w:szCs w:val="28"/>
        </w:rPr>
        <w:t>L</w:t>
      </w:r>
      <w:r>
        <w:rPr>
          <w:rFonts w:eastAsia="仿宋_GB2312"/>
          <w:sz w:val="28"/>
          <w:szCs w:val="28"/>
          <w:vertAlign w:val="subscript"/>
        </w:rPr>
        <w:t>S</w:t>
      </w:r>
      <w:r>
        <w:rPr>
          <w:rFonts w:eastAsia="仿宋_GB2312"/>
          <w:sz w:val="28"/>
          <w:szCs w:val="28"/>
        </w:rPr>
        <w:t>——预测评价范围内单位年份表层土壤中某种物质经淋溶排出的量，g;</w:t>
      </w:r>
    </w:p>
    <w:p>
      <w:pPr>
        <w:spacing w:line="500" w:lineRule="exact"/>
        <w:ind w:firstLine="560" w:firstLineChars="200"/>
        <w:rPr>
          <w:rFonts w:eastAsia="仿宋_GB2312"/>
          <w:sz w:val="28"/>
          <w:szCs w:val="28"/>
        </w:rPr>
      </w:pPr>
      <w:r>
        <w:rPr>
          <w:rFonts w:eastAsia="仿宋_GB2312"/>
          <w:sz w:val="28"/>
          <w:szCs w:val="28"/>
        </w:rPr>
        <w:t>R</w:t>
      </w:r>
      <w:r>
        <w:rPr>
          <w:rFonts w:eastAsia="仿宋_GB2312"/>
          <w:sz w:val="28"/>
          <w:szCs w:val="28"/>
          <w:vertAlign w:val="subscript"/>
        </w:rPr>
        <w:t>S</w:t>
      </w:r>
      <w:r>
        <w:rPr>
          <w:rFonts w:eastAsia="仿宋_GB2312"/>
          <w:sz w:val="28"/>
          <w:szCs w:val="28"/>
        </w:rPr>
        <w:t>——预测评价范围内单位年份表层土壤中某种物质经径流排出的量，g;</w:t>
      </w:r>
    </w:p>
    <w:p>
      <w:pPr>
        <w:tabs>
          <w:tab w:val="left" w:pos="900"/>
          <w:tab w:val="left" w:pos="960"/>
        </w:tabs>
        <w:spacing w:line="480" w:lineRule="exact"/>
        <w:ind w:firstLine="560" w:firstLineChars="200"/>
        <w:contextualSpacing/>
        <w:rPr>
          <w:rFonts w:ascii="华文仿宋" w:hAnsi="华文仿宋" w:eastAsia="华文仿宋" w:cs="华文仿宋"/>
          <w:sz w:val="28"/>
          <w:szCs w:val="28"/>
        </w:rPr>
      </w:pPr>
      <w:r>
        <w:rPr>
          <w:rFonts w:eastAsia="仿宋_GB2312"/>
          <w:sz w:val="28"/>
          <w:szCs w:val="28"/>
        </w:rPr>
        <w:object>
          <v:shape id="_x0000_i1027" o:spt="75" type="#_x0000_t75" style="height:21.9pt;width:14.4pt;" o:ole="t" filled="f" o:preferrelative="t" stroked="f" coordsize="21600,21600">
            <v:path/>
            <v:fill on="f" focussize="0,0"/>
            <v:stroke on="f" joinstyle="miter"/>
            <v:imagedata r:id="rId89" o:title=""/>
            <o:lock v:ext="edit" aspectratio="t"/>
            <w10:wrap type="none"/>
            <w10:anchorlock/>
          </v:shape>
          <o:OLEObject Type="Embed" ProgID="Equation.3" ShapeID="_x0000_i1027" DrawAspect="Content" ObjectID="_1468075728" r:id="rId88">
            <o:LockedField>false</o:LockedField>
          </o:OLEObject>
        </w:object>
      </w:r>
      <w:r>
        <w:rPr>
          <w:rFonts w:eastAsia="仿宋_GB2312"/>
          <w:sz w:val="28"/>
          <w:szCs w:val="28"/>
        </w:rPr>
        <w:t>——表层土壤容重，kg/m</w:t>
      </w:r>
      <w:r>
        <w:rPr>
          <w:rFonts w:eastAsia="仿宋_GB2312"/>
          <w:sz w:val="28"/>
          <w:szCs w:val="28"/>
          <w:vertAlign w:val="superscript"/>
        </w:rPr>
        <w:t>3</w:t>
      </w:r>
      <w:r>
        <w:rPr>
          <w:rFonts w:eastAsia="仿宋_GB2312"/>
          <w:sz w:val="28"/>
          <w:szCs w:val="28"/>
        </w:rPr>
        <w:t>;</w:t>
      </w:r>
      <w:r>
        <w:rPr>
          <w:rFonts w:hint="eastAsia" w:eastAsia="仿宋_GB2312"/>
          <w:sz w:val="28"/>
          <w:szCs w:val="28"/>
        </w:rPr>
        <w:t>根据检测报告（2023）科检（环）字第（C-039）号</w:t>
      </w:r>
      <w:r>
        <w:rPr>
          <w:rFonts w:hint="eastAsia" w:ascii="华文仿宋" w:hAnsi="华文仿宋" w:eastAsia="华文仿宋" w:cs="华文仿宋"/>
          <w:sz w:val="28"/>
          <w:szCs w:val="28"/>
        </w:rPr>
        <w:t>，</w:t>
      </w:r>
      <w:r>
        <w:rPr>
          <w:rFonts w:hint="eastAsia" w:eastAsia="仿宋_GB2312"/>
          <w:sz w:val="28"/>
          <w:szCs w:val="28"/>
        </w:rPr>
        <w:t>取1.27g/m</w:t>
      </w:r>
      <w:r>
        <w:rPr>
          <w:rFonts w:hint="eastAsia" w:eastAsia="仿宋_GB2312"/>
          <w:sz w:val="28"/>
          <w:szCs w:val="28"/>
          <w:vertAlign w:val="superscript"/>
        </w:rPr>
        <w:t>3</w:t>
      </w:r>
      <w:r>
        <w:rPr>
          <w:rFonts w:hint="eastAsia" w:eastAsia="仿宋_GB2312"/>
          <w:sz w:val="28"/>
          <w:szCs w:val="28"/>
        </w:rPr>
        <w:t>；</w:t>
      </w:r>
    </w:p>
    <w:p>
      <w:pPr>
        <w:spacing w:line="500" w:lineRule="exact"/>
        <w:ind w:firstLine="560" w:firstLineChars="200"/>
        <w:rPr>
          <w:rFonts w:eastAsia="仿宋_GB2312"/>
          <w:sz w:val="28"/>
          <w:szCs w:val="28"/>
        </w:rPr>
      </w:pPr>
      <w:r>
        <w:rPr>
          <w:rFonts w:eastAsia="仿宋_GB2312"/>
          <w:sz w:val="28"/>
          <w:szCs w:val="28"/>
        </w:rPr>
        <w:t>A——预测评价范围，m</w:t>
      </w:r>
      <w:r>
        <w:rPr>
          <w:rFonts w:eastAsia="仿宋_GB2312"/>
          <w:sz w:val="28"/>
          <w:szCs w:val="28"/>
          <w:vertAlign w:val="superscript"/>
        </w:rPr>
        <w:t>2</w:t>
      </w:r>
      <w:r>
        <w:rPr>
          <w:rFonts w:eastAsia="仿宋_GB2312"/>
          <w:sz w:val="28"/>
          <w:szCs w:val="28"/>
        </w:rPr>
        <w:t>;</w:t>
      </w:r>
    </w:p>
    <w:p>
      <w:pPr>
        <w:spacing w:line="500" w:lineRule="exact"/>
        <w:ind w:firstLine="560" w:firstLineChars="200"/>
        <w:rPr>
          <w:rFonts w:eastAsia="仿宋_GB2312"/>
          <w:sz w:val="28"/>
          <w:szCs w:val="28"/>
        </w:rPr>
      </w:pPr>
      <w:r>
        <w:rPr>
          <w:rFonts w:eastAsia="仿宋_GB2312"/>
          <w:sz w:val="28"/>
          <w:szCs w:val="28"/>
        </w:rPr>
        <w:t>D——表层土壤深度，一般取0.2m，可根据实际情况适当调整;</w:t>
      </w:r>
    </w:p>
    <w:p>
      <w:pPr>
        <w:spacing w:line="500" w:lineRule="exact"/>
        <w:ind w:firstLine="560" w:firstLineChars="200"/>
        <w:rPr>
          <w:rFonts w:eastAsia="仿宋_GB2312"/>
          <w:sz w:val="28"/>
          <w:szCs w:val="28"/>
        </w:rPr>
      </w:pPr>
      <w:r>
        <w:rPr>
          <w:rFonts w:eastAsia="仿宋_GB2312"/>
          <w:sz w:val="28"/>
          <w:szCs w:val="28"/>
        </w:rPr>
        <w:t>n——持续年份，a。</w:t>
      </w:r>
    </w:p>
    <w:p>
      <w:pPr>
        <w:spacing w:line="500" w:lineRule="exact"/>
        <w:ind w:firstLine="560" w:firstLineChars="200"/>
        <w:rPr>
          <w:rFonts w:eastAsia="仿宋_GB2312"/>
          <w:sz w:val="28"/>
          <w:szCs w:val="28"/>
        </w:rPr>
      </w:pPr>
      <w:r>
        <w:rPr>
          <w:rFonts w:eastAsia="仿宋_GB2312"/>
          <w:sz w:val="28"/>
          <w:szCs w:val="28"/>
        </w:rPr>
        <w:t>（2）单位质量土壤中某种物质的预测值可根据其增量叠加现状值进行计算。</w:t>
      </w:r>
    </w:p>
    <w:p>
      <w:pPr>
        <w:ind w:firstLine="560"/>
        <w:jc w:val="center"/>
        <w:rPr>
          <w:rFonts w:eastAsia="仿宋_GB2312"/>
        </w:rPr>
      </w:pPr>
      <w:r>
        <w:rPr>
          <w:rFonts w:eastAsia="仿宋_GB2312"/>
          <w:position w:val="-10"/>
        </w:rPr>
        <w:object>
          <v:shape id="_x0000_i1028" o:spt="75" type="#_x0000_t75" style="height:21.9pt;width:72pt;" o:ole="t" filled="f" o:preferrelative="t" stroked="f" coordsize="21600,21600">
            <v:path/>
            <v:fill on="f" focussize="0,0"/>
            <v:stroke on="f" joinstyle="miter"/>
            <v:imagedata r:id="rId91" o:title=""/>
            <o:lock v:ext="edit" aspectratio="t"/>
            <w10:wrap type="none"/>
            <w10:anchorlock/>
          </v:shape>
          <o:OLEObject Type="Embed" ProgID="Equation.3" ShapeID="_x0000_i1028" DrawAspect="Content" ObjectID="_1468075729" r:id="rId90">
            <o:LockedField>false</o:LockedField>
          </o:OLEObject>
        </w:object>
      </w:r>
    </w:p>
    <w:p>
      <w:pPr>
        <w:spacing w:line="500" w:lineRule="exact"/>
        <w:ind w:firstLine="560" w:firstLineChars="200"/>
        <w:rPr>
          <w:rFonts w:eastAsia="仿宋_GB2312"/>
          <w:sz w:val="28"/>
          <w:szCs w:val="28"/>
        </w:rPr>
      </w:pPr>
      <w:r>
        <w:rPr>
          <w:rFonts w:eastAsia="仿宋_GB2312"/>
          <w:sz w:val="28"/>
          <w:szCs w:val="28"/>
        </w:rPr>
        <w:t>式中，S</w:t>
      </w:r>
      <w:r>
        <w:rPr>
          <w:rFonts w:eastAsia="仿宋_GB2312"/>
          <w:sz w:val="28"/>
          <w:szCs w:val="28"/>
          <w:vertAlign w:val="subscript"/>
        </w:rPr>
        <w:t>b</w:t>
      </w:r>
      <w:r>
        <w:rPr>
          <w:rFonts w:eastAsia="仿宋_GB2312"/>
          <w:sz w:val="28"/>
          <w:szCs w:val="28"/>
        </w:rPr>
        <w:t>——单位质量土壤中某种物质的现状值，g/kg；</w:t>
      </w:r>
    </w:p>
    <w:p>
      <w:pPr>
        <w:spacing w:line="500" w:lineRule="exact"/>
        <w:ind w:firstLine="560" w:firstLineChars="200"/>
        <w:rPr>
          <w:rFonts w:eastAsia="仿宋_GB2312"/>
          <w:sz w:val="28"/>
          <w:szCs w:val="28"/>
        </w:rPr>
      </w:pPr>
      <w:r>
        <w:rPr>
          <w:rFonts w:eastAsia="仿宋_GB2312"/>
          <w:sz w:val="28"/>
          <w:szCs w:val="28"/>
        </w:rPr>
        <w:t>S——单位质量土壤中某种物质的预测值，g/kg.</w:t>
      </w:r>
    </w:p>
    <w:p>
      <w:pPr>
        <w:spacing w:line="500" w:lineRule="exact"/>
        <w:ind w:firstLine="562" w:firstLineChars="200"/>
        <w:rPr>
          <w:rFonts w:eastAsia="仿宋_GB2312"/>
          <w:b/>
          <w:sz w:val="28"/>
          <w:szCs w:val="28"/>
        </w:rPr>
      </w:pPr>
      <w:r>
        <w:rPr>
          <w:rFonts w:eastAsia="仿宋_GB2312"/>
          <w:b/>
          <w:sz w:val="28"/>
          <w:szCs w:val="28"/>
        </w:rPr>
        <w:t>六、预测参数</w:t>
      </w:r>
    </w:p>
    <w:p>
      <w:pPr>
        <w:spacing w:line="500" w:lineRule="exact"/>
        <w:ind w:firstLine="560" w:firstLineChars="200"/>
        <w:rPr>
          <w:rFonts w:eastAsia="仿宋_GB2312"/>
          <w:sz w:val="28"/>
          <w:szCs w:val="28"/>
        </w:rPr>
      </w:pPr>
      <w:r>
        <w:rPr>
          <w:rFonts w:eastAsia="仿宋_GB2312"/>
          <w:sz w:val="28"/>
          <w:szCs w:val="28"/>
        </w:rPr>
        <w:t>1、污染源强I</w:t>
      </w:r>
      <w:r>
        <w:rPr>
          <w:rFonts w:eastAsia="仿宋_GB2312"/>
          <w:sz w:val="28"/>
          <w:szCs w:val="28"/>
          <w:vertAlign w:val="subscript"/>
        </w:rPr>
        <w:t>S</w:t>
      </w:r>
      <w:r>
        <w:rPr>
          <w:rFonts w:eastAsia="仿宋_GB2312"/>
          <w:sz w:val="28"/>
          <w:szCs w:val="28"/>
        </w:rPr>
        <w:t>计算如</w:t>
      </w:r>
      <w:r>
        <w:rPr>
          <w:rFonts w:hint="eastAsia" w:eastAsia="仿宋_GB2312"/>
          <w:sz w:val="28"/>
          <w:szCs w:val="28"/>
        </w:rPr>
        <w:tab/>
      </w:r>
      <w:r>
        <w:rPr>
          <w:rFonts w:eastAsia="仿宋_GB2312"/>
          <w:sz w:val="28"/>
          <w:szCs w:val="28"/>
        </w:rPr>
        <w:t>下：</w:t>
      </w:r>
    </w:p>
    <w:p>
      <w:pPr>
        <w:spacing w:line="500" w:lineRule="exact"/>
        <w:ind w:firstLine="560" w:firstLineChars="200"/>
        <w:jc w:val="center"/>
        <w:rPr>
          <w:rFonts w:eastAsia="仿宋_GB2312"/>
          <w:sz w:val="28"/>
          <w:szCs w:val="28"/>
        </w:rPr>
      </w:pPr>
      <w:r>
        <w:rPr>
          <w:rFonts w:eastAsia="仿宋_GB2312"/>
          <w:sz w:val="28"/>
          <w:szCs w:val="28"/>
        </w:rPr>
        <w:t>I</w:t>
      </w:r>
      <w:r>
        <w:rPr>
          <w:rFonts w:eastAsia="仿宋_GB2312"/>
          <w:sz w:val="28"/>
          <w:szCs w:val="28"/>
          <w:vertAlign w:val="subscript"/>
        </w:rPr>
        <w:t>S</w:t>
      </w:r>
      <w:r>
        <w:rPr>
          <w:rFonts w:eastAsia="仿宋_GB2312"/>
          <w:sz w:val="28"/>
          <w:szCs w:val="28"/>
        </w:rPr>
        <w:t>=C*V*T*A</w:t>
      </w:r>
    </w:p>
    <w:p>
      <w:pPr>
        <w:spacing w:line="500" w:lineRule="exact"/>
        <w:ind w:firstLine="560" w:firstLineChars="200"/>
        <w:rPr>
          <w:rFonts w:eastAsia="仿宋_GB2312"/>
          <w:sz w:val="28"/>
          <w:szCs w:val="28"/>
        </w:rPr>
      </w:pPr>
      <w:r>
        <w:rPr>
          <w:rFonts w:eastAsia="仿宋_GB2312"/>
          <w:sz w:val="28"/>
          <w:szCs w:val="28"/>
        </w:rPr>
        <w:t>C——污染物浓度，mg/m</w:t>
      </w:r>
      <w:r>
        <w:rPr>
          <w:rFonts w:eastAsia="仿宋_GB2312"/>
          <w:sz w:val="28"/>
          <w:szCs w:val="28"/>
          <w:vertAlign w:val="superscript"/>
        </w:rPr>
        <w:t>3</w:t>
      </w:r>
      <w:r>
        <w:rPr>
          <w:rFonts w:eastAsia="仿宋_GB2312"/>
          <w:sz w:val="28"/>
          <w:szCs w:val="28"/>
        </w:rPr>
        <w:t>；偏安全考虑，本项目取</w:t>
      </w:r>
      <w:r>
        <w:rPr>
          <w:rFonts w:hint="eastAsia" w:eastAsia="仿宋_GB2312"/>
          <w:sz w:val="28"/>
          <w:szCs w:val="28"/>
        </w:rPr>
        <w:t>二甲苯</w:t>
      </w:r>
      <w:r>
        <w:rPr>
          <w:rFonts w:eastAsia="仿宋_GB2312"/>
          <w:sz w:val="28"/>
          <w:szCs w:val="28"/>
        </w:rPr>
        <w:t>年平均最大落地浓度贡献值0.6mg/m</w:t>
      </w:r>
      <w:r>
        <w:rPr>
          <w:rFonts w:eastAsia="仿宋_GB2312"/>
          <w:sz w:val="28"/>
          <w:szCs w:val="28"/>
          <w:vertAlign w:val="superscript"/>
        </w:rPr>
        <w:t>3</w:t>
      </w:r>
      <w:r>
        <w:rPr>
          <w:rFonts w:eastAsia="仿宋_GB2312"/>
          <w:sz w:val="28"/>
          <w:szCs w:val="28"/>
        </w:rPr>
        <w:t>。</w:t>
      </w:r>
    </w:p>
    <w:p>
      <w:pPr>
        <w:spacing w:line="500" w:lineRule="exact"/>
        <w:ind w:firstLine="560" w:firstLineChars="200"/>
        <w:rPr>
          <w:rFonts w:eastAsia="仿宋_GB2312"/>
          <w:sz w:val="28"/>
          <w:szCs w:val="28"/>
        </w:rPr>
      </w:pPr>
      <w:r>
        <w:rPr>
          <w:rFonts w:eastAsia="仿宋_GB2312"/>
          <w:sz w:val="28"/>
          <w:szCs w:val="28"/>
        </w:rPr>
        <w:t>V——污染物沉降速率，m/s；沉降速率取0.001m/s；</w:t>
      </w:r>
    </w:p>
    <w:p>
      <w:pPr>
        <w:spacing w:line="500" w:lineRule="exact"/>
        <w:ind w:firstLine="560" w:firstLineChars="200"/>
        <w:rPr>
          <w:rFonts w:eastAsia="仿宋_GB2312"/>
          <w:sz w:val="28"/>
          <w:szCs w:val="28"/>
        </w:rPr>
      </w:pPr>
      <w:r>
        <w:rPr>
          <w:rFonts w:eastAsia="仿宋_GB2312"/>
          <w:sz w:val="28"/>
          <w:szCs w:val="28"/>
        </w:rPr>
        <w:t>T——年内污染物沉降时间，s。取全年300天（每天8小时）连续排放沉降；</w:t>
      </w:r>
    </w:p>
    <w:p>
      <w:pPr>
        <w:spacing w:line="500" w:lineRule="exact"/>
        <w:ind w:firstLine="560" w:firstLineChars="200"/>
        <w:rPr>
          <w:rFonts w:eastAsia="仿宋_GB2312"/>
          <w:sz w:val="28"/>
          <w:szCs w:val="28"/>
        </w:rPr>
      </w:pPr>
      <w:r>
        <w:rPr>
          <w:rFonts w:eastAsia="仿宋_GB2312"/>
          <w:sz w:val="28"/>
          <w:szCs w:val="28"/>
        </w:rPr>
        <w:t>A——预测评价面积，</w:t>
      </w:r>
      <w:r>
        <w:rPr>
          <w:rFonts w:hint="eastAsia" w:eastAsia="仿宋_GB2312"/>
          <w:sz w:val="28"/>
          <w:szCs w:val="28"/>
        </w:rPr>
        <w:t>本次土壤评价范围为本项目拟建地及占地范围外</w:t>
      </w:r>
      <w:r>
        <w:rPr>
          <w:rFonts w:eastAsia="仿宋_GB2312"/>
          <w:sz w:val="28"/>
          <w:szCs w:val="28"/>
        </w:rPr>
        <w:t>200</w:t>
      </w:r>
      <w:r>
        <w:rPr>
          <w:rFonts w:hint="eastAsia" w:eastAsia="仿宋_GB2312"/>
          <w:sz w:val="28"/>
          <w:szCs w:val="28"/>
        </w:rPr>
        <w:t>m范围内，因此预测评价范围为2336m</w:t>
      </w:r>
      <w:r>
        <w:rPr>
          <w:rFonts w:hint="eastAsia" w:eastAsia="仿宋_GB2312"/>
          <w:sz w:val="28"/>
          <w:szCs w:val="28"/>
          <w:vertAlign w:val="superscript"/>
        </w:rPr>
        <w:t>2</w:t>
      </w:r>
      <w:r>
        <w:rPr>
          <w:rFonts w:eastAsia="仿宋_GB2312"/>
          <w:sz w:val="28"/>
          <w:szCs w:val="28"/>
        </w:rPr>
        <w:t>。</w:t>
      </w:r>
    </w:p>
    <w:p>
      <w:pPr>
        <w:spacing w:line="500" w:lineRule="exact"/>
        <w:ind w:firstLine="560" w:firstLineChars="200"/>
        <w:rPr>
          <w:rFonts w:eastAsia="仿宋_GB2312"/>
          <w:sz w:val="28"/>
          <w:szCs w:val="28"/>
        </w:rPr>
      </w:pPr>
      <w:r>
        <w:rPr>
          <w:rFonts w:hint="eastAsia" w:eastAsia="仿宋_GB2312"/>
          <w:sz w:val="28"/>
          <w:szCs w:val="28"/>
        </w:rPr>
        <w:t>综上，算出污染源强二甲苯输入量I</w:t>
      </w:r>
      <w:r>
        <w:rPr>
          <w:rFonts w:hint="eastAsia" w:eastAsia="仿宋_GB2312"/>
          <w:sz w:val="28"/>
          <w:szCs w:val="28"/>
          <w:vertAlign w:val="subscript"/>
        </w:rPr>
        <w:t>S</w:t>
      </w:r>
      <w:r>
        <w:rPr>
          <w:rFonts w:hint="eastAsia" w:eastAsia="仿宋_GB2312"/>
          <w:sz w:val="28"/>
          <w:szCs w:val="28"/>
        </w:rPr>
        <w:t>=</w:t>
      </w:r>
      <w:r>
        <w:rPr>
          <w:rFonts w:eastAsia="仿宋_GB2312"/>
          <w:sz w:val="28"/>
          <w:szCs w:val="28"/>
        </w:rPr>
        <w:t>12109</w:t>
      </w:r>
      <w:r>
        <w:rPr>
          <w:rFonts w:hint="eastAsia" w:eastAsia="仿宋_GB2312"/>
          <w:sz w:val="28"/>
          <w:szCs w:val="28"/>
        </w:rPr>
        <w:t>g。</w:t>
      </w:r>
    </w:p>
    <w:p>
      <w:pPr>
        <w:spacing w:line="500" w:lineRule="exact"/>
        <w:ind w:firstLine="560" w:firstLineChars="200"/>
        <w:rPr>
          <w:rFonts w:eastAsia="仿宋_GB2312"/>
          <w:sz w:val="28"/>
          <w:szCs w:val="28"/>
        </w:rPr>
      </w:pPr>
      <w:r>
        <w:rPr>
          <w:rFonts w:eastAsia="仿宋_GB2312"/>
          <w:sz w:val="28"/>
          <w:szCs w:val="28"/>
        </w:rPr>
        <w:t>2、因此本次评价淋溶排出量取L</w:t>
      </w:r>
      <w:r>
        <w:rPr>
          <w:rFonts w:eastAsia="仿宋_GB2312"/>
          <w:sz w:val="28"/>
          <w:szCs w:val="28"/>
          <w:vertAlign w:val="subscript"/>
        </w:rPr>
        <w:t>S</w:t>
      </w:r>
      <w:r>
        <w:rPr>
          <w:rFonts w:eastAsia="仿宋_GB2312"/>
          <w:sz w:val="28"/>
          <w:szCs w:val="28"/>
        </w:rPr>
        <w:t>=0。</w:t>
      </w:r>
    </w:p>
    <w:p>
      <w:pPr>
        <w:spacing w:line="500" w:lineRule="exact"/>
        <w:ind w:firstLine="560" w:firstLineChars="200"/>
        <w:rPr>
          <w:rFonts w:eastAsia="仿宋_GB2312"/>
          <w:sz w:val="28"/>
          <w:szCs w:val="28"/>
        </w:rPr>
      </w:pPr>
      <w:r>
        <w:rPr>
          <w:rFonts w:eastAsia="仿宋_GB2312"/>
          <w:sz w:val="28"/>
          <w:szCs w:val="28"/>
        </w:rPr>
        <w:t>3、因此本次评价径流排出量取R</w:t>
      </w:r>
      <w:r>
        <w:rPr>
          <w:rFonts w:eastAsia="仿宋_GB2312"/>
          <w:sz w:val="28"/>
          <w:szCs w:val="28"/>
          <w:vertAlign w:val="subscript"/>
        </w:rPr>
        <w:t>S</w:t>
      </w:r>
      <w:r>
        <w:rPr>
          <w:rFonts w:eastAsia="仿宋_GB2312"/>
          <w:sz w:val="28"/>
          <w:szCs w:val="28"/>
        </w:rPr>
        <w:t>=0。</w:t>
      </w:r>
    </w:p>
    <w:p>
      <w:pPr>
        <w:spacing w:line="500" w:lineRule="exact"/>
        <w:ind w:firstLine="560" w:firstLineChars="200"/>
        <w:rPr>
          <w:rFonts w:eastAsia="仿宋_GB2312"/>
          <w:sz w:val="28"/>
          <w:szCs w:val="28"/>
        </w:rPr>
      </w:pPr>
      <w:r>
        <w:rPr>
          <w:rFonts w:eastAsia="仿宋_GB2312"/>
          <w:sz w:val="28"/>
          <w:szCs w:val="28"/>
        </w:rPr>
        <w:t>4、根据土壤理化特性调查，表层土壤容重平均值为</w:t>
      </w:r>
      <w:r>
        <w:rPr>
          <w:rFonts w:hint="eastAsia" w:eastAsia="仿宋_GB2312"/>
          <w:sz w:val="28"/>
          <w:szCs w:val="28"/>
        </w:rPr>
        <w:t>1.27</w:t>
      </w:r>
      <w:r>
        <w:rPr>
          <w:rFonts w:eastAsia="仿宋_GB2312"/>
          <w:sz w:val="28"/>
          <w:szCs w:val="28"/>
        </w:rPr>
        <w:t>g/m</w:t>
      </w:r>
      <w:r>
        <w:rPr>
          <w:rFonts w:eastAsia="仿宋_GB2312"/>
          <w:sz w:val="28"/>
          <w:szCs w:val="28"/>
          <w:vertAlign w:val="superscript"/>
        </w:rPr>
        <w:t>3</w:t>
      </w:r>
      <w:r>
        <w:rPr>
          <w:rFonts w:eastAsia="仿宋_GB2312"/>
          <w:sz w:val="28"/>
          <w:szCs w:val="28"/>
        </w:rPr>
        <w:t>。</w:t>
      </w:r>
    </w:p>
    <w:p>
      <w:pPr>
        <w:spacing w:line="500" w:lineRule="exact"/>
        <w:ind w:firstLine="560" w:firstLineChars="200"/>
        <w:rPr>
          <w:rFonts w:eastAsia="仿宋_GB2312"/>
          <w:sz w:val="28"/>
          <w:szCs w:val="28"/>
        </w:rPr>
      </w:pPr>
      <w:r>
        <w:rPr>
          <w:rFonts w:eastAsia="仿宋_GB2312"/>
          <w:sz w:val="28"/>
          <w:szCs w:val="28"/>
        </w:rPr>
        <w:t>5、预测评价面积A=</w:t>
      </w:r>
      <w:r>
        <w:rPr>
          <w:rFonts w:hint="eastAsia" w:eastAsia="仿宋_GB2312"/>
          <w:sz w:val="28"/>
          <w:szCs w:val="28"/>
        </w:rPr>
        <w:t>2336</w:t>
      </w:r>
      <w:r>
        <w:rPr>
          <w:rFonts w:eastAsia="仿宋_GB2312"/>
          <w:sz w:val="28"/>
          <w:szCs w:val="28"/>
        </w:rPr>
        <w:t>m</w:t>
      </w:r>
      <w:r>
        <w:rPr>
          <w:rFonts w:eastAsia="仿宋_GB2312"/>
          <w:sz w:val="28"/>
          <w:szCs w:val="28"/>
          <w:vertAlign w:val="superscript"/>
        </w:rPr>
        <w:t>2</w:t>
      </w:r>
      <w:r>
        <w:rPr>
          <w:rFonts w:eastAsia="仿宋_GB2312"/>
          <w:sz w:val="28"/>
          <w:szCs w:val="28"/>
        </w:rPr>
        <w:t>。</w:t>
      </w:r>
    </w:p>
    <w:p>
      <w:pPr>
        <w:spacing w:line="500" w:lineRule="exact"/>
        <w:ind w:firstLine="560" w:firstLineChars="200"/>
        <w:rPr>
          <w:rFonts w:eastAsia="仿宋_GB2312"/>
          <w:sz w:val="28"/>
          <w:szCs w:val="28"/>
        </w:rPr>
      </w:pPr>
      <w:r>
        <w:rPr>
          <w:rFonts w:eastAsia="仿宋_GB2312"/>
          <w:sz w:val="28"/>
          <w:szCs w:val="28"/>
        </w:rPr>
        <w:t>6、表层土壤深度D=0.2m。</w:t>
      </w:r>
    </w:p>
    <w:p>
      <w:pPr>
        <w:spacing w:line="500" w:lineRule="exact"/>
        <w:ind w:firstLine="560" w:firstLineChars="200"/>
        <w:rPr>
          <w:rFonts w:eastAsia="仿宋_GB2312"/>
          <w:sz w:val="28"/>
          <w:szCs w:val="28"/>
        </w:rPr>
      </w:pPr>
      <w:r>
        <w:rPr>
          <w:rFonts w:eastAsia="仿宋_GB2312"/>
          <w:sz w:val="28"/>
          <w:szCs w:val="28"/>
        </w:rPr>
        <w:t>7、持续年份n=10年、20年、30年。</w:t>
      </w:r>
    </w:p>
    <w:p>
      <w:pPr>
        <w:spacing w:line="500" w:lineRule="exact"/>
        <w:ind w:firstLine="562" w:firstLineChars="200"/>
        <w:rPr>
          <w:rFonts w:eastAsia="仿宋_GB2312"/>
          <w:b/>
          <w:sz w:val="28"/>
          <w:szCs w:val="28"/>
        </w:rPr>
      </w:pPr>
      <w:r>
        <w:rPr>
          <w:rFonts w:eastAsia="仿宋_GB2312"/>
          <w:b/>
          <w:sz w:val="28"/>
          <w:szCs w:val="28"/>
        </w:rPr>
        <w:t>七、评价标准</w:t>
      </w:r>
    </w:p>
    <w:p>
      <w:pPr>
        <w:spacing w:line="500" w:lineRule="exact"/>
        <w:ind w:firstLine="560" w:firstLineChars="200"/>
        <w:rPr>
          <w:rFonts w:eastAsia="仿宋_GB2312"/>
          <w:sz w:val="28"/>
          <w:szCs w:val="28"/>
        </w:rPr>
      </w:pPr>
      <w:r>
        <w:rPr>
          <w:rFonts w:eastAsia="仿宋_GB2312"/>
          <w:sz w:val="28"/>
          <w:szCs w:val="28"/>
        </w:rPr>
        <w:t>预测结果中的</w:t>
      </w:r>
      <w:r>
        <w:rPr>
          <w:rFonts w:hint="eastAsia" w:eastAsia="仿宋_GB2312"/>
          <w:sz w:val="28"/>
          <w:szCs w:val="28"/>
        </w:rPr>
        <w:t>二甲苯</w:t>
      </w:r>
      <w:r>
        <w:rPr>
          <w:rFonts w:eastAsia="仿宋_GB2312"/>
          <w:sz w:val="28"/>
          <w:szCs w:val="28"/>
        </w:rPr>
        <w:t>含量参照《土壤环境质量 建设用地土壤污染风险管控标准（试行）》（GB36600-2018）中第二类用地标准中污染风险筛选值执行，</w:t>
      </w:r>
      <w:r>
        <w:rPr>
          <w:rFonts w:hint="eastAsia" w:eastAsia="仿宋_GB2312"/>
          <w:sz w:val="28"/>
          <w:szCs w:val="28"/>
        </w:rPr>
        <w:t>二</w:t>
      </w:r>
      <w:r>
        <w:rPr>
          <w:rFonts w:eastAsia="仿宋_GB2312"/>
          <w:sz w:val="28"/>
          <w:szCs w:val="28"/>
        </w:rPr>
        <w:t>甲苯筛选值标准为570mg/kg。</w:t>
      </w:r>
    </w:p>
    <w:p>
      <w:pPr>
        <w:spacing w:line="500" w:lineRule="exact"/>
        <w:ind w:firstLine="560" w:firstLineChars="200"/>
        <w:rPr>
          <w:rFonts w:eastAsia="仿宋_GB2312"/>
          <w:sz w:val="28"/>
          <w:szCs w:val="28"/>
        </w:rPr>
      </w:pPr>
      <w:r>
        <w:rPr>
          <w:rFonts w:eastAsia="仿宋_GB2312"/>
          <w:sz w:val="28"/>
          <w:szCs w:val="28"/>
        </w:rPr>
        <w:t>根据土壤现状质量监测结果，本次评价采用各监测点位中</w:t>
      </w:r>
      <w:r>
        <w:rPr>
          <w:rFonts w:hint="eastAsia" w:eastAsia="仿宋_GB2312"/>
          <w:sz w:val="28"/>
          <w:szCs w:val="28"/>
        </w:rPr>
        <w:t>二甲苯</w:t>
      </w:r>
      <w:r>
        <w:rPr>
          <w:rFonts w:eastAsia="仿宋_GB2312"/>
          <w:sz w:val="28"/>
          <w:szCs w:val="28"/>
        </w:rPr>
        <w:t>含量的最大值作为背景值，本次监测中各点位</w:t>
      </w:r>
      <w:r>
        <w:rPr>
          <w:rFonts w:hint="eastAsia" w:eastAsia="仿宋_GB2312"/>
          <w:sz w:val="28"/>
          <w:szCs w:val="28"/>
        </w:rPr>
        <w:t>二甲苯未检测出，</w:t>
      </w:r>
      <w:r>
        <w:rPr>
          <w:rFonts w:eastAsia="仿宋_GB2312"/>
          <w:sz w:val="28"/>
          <w:szCs w:val="28"/>
        </w:rPr>
        <w:t>则以</w:t>
      </w:r>
      <w:r>
        <w:rPr>
          <w:rFonts w:hint="eastAsia" w:eastAsia="仿宋_GB2312"/>
          <w:sz w:val="28"/>
          <w:szCs w:val="28"/>
        </w:rPr>
        <w:t>二甲苯检出限</w:t>
      </w:r>
      <w:r>
        <w:rPr>
          <w:rFonts w:eastAsia="仿宋_GB2312"/>
          <w:sz w:val="28"/>
          <w:szCs w:val="28"/>
        </w:rPr>
        <w:t>为背景值为</w:t>
      </w:r>
      <w:r>
        <w:rPr>
          <w:rFonts w:hint="eastAsia" w:eastAsia="仿宋_GB2312"/>
          <w:sz w:val="28"/>
          <w:szCs w:val="28"/>
        </w:rPr>
        <w:t>1.2</w:t>
      </w:r>
      <w:r>
        <w:rPr>
          <w:rFonts w:eastAsia="仿宋_GB2312"/>
          <w:sz w:val="28"/>
          <w:szCs w:val="28"/>
        </w:rPr>
        <w:t>μg/kg。</w:t>
      </w:r>
    </w:p>
    <w:p>
      <w:pPr>
        <w:spacing w:line="500" w:lineRule="exact"/>
        <w:ind w:firstLine="562" w:firstLineChars="200"/>
        <w:rPr>
          <w:rFonts w:eastAsia="仿宋_GB2312"/>
          <w:b/>
          <w:sz w:val="28"/>
          <w:szCs w:val="28"/>
        </w:rPr>
      </w:pPr>
      <w:r>
        <w:rPr>
          <w:rFonts w:eastAsia="仿宋_GB2312"/>
          <w:b/>
          <w:sz w:val="28"/>
          <w:szCs w:val="28"/>
        </w:rPr>
        <w:t>八、预测结果</w:t>
      </w:r>
    </w:p>
    <w:p>
      <w:pPr>
        <w:spacing w:line="500" w:lineRule="exact"/>
        <w:ind w:firstLine="560" w:firstLineChars="200"/>
        <w:rPr>
          <w:rFonts w:eastAsia="仿宋_GB2312"/>
          <w:sz w:val="28"/>
          <w:szCs w:val="28"/>
        </w:rPr>
      </w:pPr>
      <w:r>
        <w:rPr>
          <w:rFonts w:eastAsia="仿宋_GB2312"/>
          <w:sz w:val="28"/>
          <w:szCs w:val="28"/>
        </w:rPr>
        <w:t>预测结果如下：</w:t>
      </w:r>
    </w:p>
    <w:p>
      <w:pPr>
        <w:tabs>
          <w:tab w:val="left" w:pos="1395"/>
          <w:tab w:val="center" w:pos="4153"/>
        </w:tabs>
        <w:spacing w:line="500" w:lineRule="exact"/>
        <w:jc w:val="center"/>
        <w:rPr>
          <w:rFonts w:eastAsia="仿宋_GB2312"/>
          <w:b/>
          <w:bCs/>
          <w:sz w:val="24"/>
        </w:rPr>
      </w:pPr>
      <w:r>
        <w:rPr>
          <w:rFonts w:eastAsia="仿宋_GB2312"/>
          <w:b/>
          <w:bCs/>
          <w:sz w:val="24"/>
        </w:rPr>
        <w:t xml:space="preserve">表5.2-29  </w:t>
      </w:r>
      <w:r>
        <w:rPr>
          <w:rFonts w:hint="eastAsia" w:eastAsia="仿宋_GB2312"/>
          <w:b/>
          <w:bCs/>
          <w:sz w:val="24"/>
        </w:rPr>
        <w:t>二甲苯</w:t>
      </w:r>
      <w:r>
        <w:rPr>
          <w:rFonts w:eastAsia="仿宋_GB2312"/>
          <w:b/>
          <w:bCs/>
          <w:sz w:val="24"/>
        </w:rPr>
        <w:t>对土壤累积影响预测</w:t>
      </w:r>
    </w:p>
    <w:tbl>
      <w:tblPr>
        <w:tblStyle w:val="87"/>
        <w:tblW w:w="5558" w:type="pct"/>
        <w:tblInd w:w="-4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3"/>
        <w:gridCol w:w="1322"/>
        <w:gridCol w:w="1309"/>
        <w:gridCol w:w="1387"/>
        <w:gridCol w:w="1228"/>
        <w:gridCol w:w="1205"/>
        <w:gridCol w:w="1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pct"/>
            <w:tcBorders>
              <w:tl2br w:val="nil"/>
              <w:tr2bl w:val="nil"/>
            </w:tcBorders>
            <w:vAlign w:val="center"/>
          </w:tcPr>
          <w:p>
            <w:pPr>
              <w:spacing w:line="320" w:lineRule="exact"/>
              <w:contextualSpacing/>
              <w:jc w:val="center"/>
              <w:rPr>
                <w:rFonts w:eastAsia="仿宋_GB2312"/>
              </w:rPr>
            </w:pPr>
            <w:r>
              <w:rPr>
                <w:rFonts w:eastAsia="仿宋_GB2312"/>
              </w:rPr>
              <w:t>污染物</w:t>
            </w:r>
          </w:p>
        </w:tc>
        <w:tc>
          <w:tcPr>
            <w:tcW w:w="698" w:type="pct"/>
            <w:tcBorders>
              <w:tl2br w:val="nil"/>
              <w:tr2bl w:val="nil"/>
            </w:tcBorders>
            <w:vAlign w:val="center"/>
          </w:tcPr>
          <w:p>
            <w:pPr>
              <w:spacing w:line="320" w:lineRule="exact"/>
              <w:contextualSpacing/>
              <w:jc w:val="center"/>
              <w:rPr>
                <w:rFonts w:eastAsia="仿宋_GB2312"/>
              </w:rPr>
            </w:pPr>
            <w:r>
              <w:rPr>
                <w:rFonts w:eastAsia="仿宋_GB2312"/>
              </w:rPr>
              <w:t>年输入量I</w:t>
            </w:r>
            <w:r>
              <w:rPr>
                <w:rFonts w:eastAsia="仿宋_GB2312"/>
                <w:vertAlign w:val="subscript"/>
              </w:rPr>
              <w:t>S</w:t>
            </w:r>
            <w:r>
              <w:rPr>
                <w:rFonts w:eastAsia="仿宋_GB2312"/>
              </w:rPr>
              <w:t xml:space="preserve"> (g)</w:t>
            </w:r>
          </w:p>
        </w:tc>
        <w:tc>
          <w:tcPr>
            <w:tcW w:w="691" w:type="pct"/>
            <w:tcBorders>
              <w:tl2br w:val="nil"/>
              <w:tr2bl w:val="nil"/>
            </w:tcBorders>
            <w:vAlign w:val="center"/>
          </w:tcPr>
          <w:p>
            <w:pPr>
              <w:spacing w:line="320" w:lineRule="exact"/>
              <w:contextualSpacing/>
              <w:jc w:val="center"/>
              <w:rPr>
                <w:rFonts w:eastAsia="仿宋_GB2312"/>
              </w:rPr>
            </w:pPr>
            <w:r>
              <w:rPr>
                <w:rFonts w:eastAsia="仿宋_GB2312"/>
              </w:rPr>
              <w:t>10年累计量S</w:t>
            </w:r>
            <w:r>
              <w:rPr>
                <w:rFonts w:eastAsia="仿宋_GB2312"/>
                <w:vertAlign w:val="subscript"/>
              </w:rPr>
              <w:t>10</w:t>
            </w:r>
            <w:r>
              <w:rPr>
                <w:rFonts w:eastAsia="仿宋_GB2312"/>
              </w:rPr>
              <w:t>（mg/kg）</w:t>
            </w:r>
          </w:p>
        </w:tc>
        <w:tc>
          <w:tcPr>
            <w:tcW w:w="732" w:type="pct"/>
            <w:tcBorders>
              <w:tl2br w:val="nil"/>
              <w:tr2bl w:val="nil"/>
            </w:tcBorders>
            <w:vAlign w:val="center"/>
          </w:tcPr>
          <w:p>
            <w:pPr>
              <w:spacing w:line="320" w:lineRule="exact"/>
              <w:contextualSpacing/>
              <w:jc w:val="center"/>
              <w:rPr>
                <w:rFonts w:eastAsia="仿宋_GB2312"/>
              </w:rPr>
            </w:pPr>
            <w:r>
              <w:rPr>
                <w:rFonts w:eastAsia="仿宋_GB2312"/>
              </w:rPr>
              <w:t>20年累计量S</w:t>
            </w:r>
            <w:r>
              <w:rPr>
                <w:rFonts w:eastAsia="仿宋_GB2312"/>
                <w:vertAlign w:val="subscript"/>
              </w:rPr>
              <w:t>20</w:t>
            </w:r>
            <w:r>
              <w:rPr>
                <w:rFonts w:eastAsia="仿宋_GB2312"/>
              </w:rPr>
              <w:t>（mg/kg）</w:t>
            </w:r>
          </w:p>
        </w:tc>
        <w:tc>
          <w:tcPr>
            <w:tcW w:w="648" w:type="pct"/>
            <w:tcBorders>
              <w:tl2br w:val="nil"/>
              <w:tr2bl w:val="nil"/>
            </w:tcBorders>
            <w:vAlign w:val="center"/>
          </w:tcPr>
          <w:p>
            <w:pPr>
              <w:spacing w:line="320" w:lineRule="exact"/>
              <w:contextualSpacing/>
              <w:jc w:val="center"/>
              <w:rPr>
                <w:rFonts w:eastAsia="仿宋_GB2312"/>
              </w:rPr>
            </w:pPr>
            <w:r>
              <w:rPr>
                <w:rFonts w:eastAsia="仿宋_GB2312"/>
              </w:rPr>
              <w:t>30年累计量S</w:t>
            </w:r>
            <w:r>
              <w:rPr>
                <w:rFonts w:eastAsia="仿宋_GB2312"/>
                <w:vertAlign w:val="subscript"/>
              </w:rPr>
              <w:t>30</w:t>
            </w:r>
            <w:r>
              <w:rPr>
                <w:rFonts w:eastAsia="仿宋_GB2312"/>
              </w:rPr>
              <w:t>（mg/kg）</w:t>
            </w:r>
          </w:p>
        </w:tc>
        <w:tc>
          <w:tcPr>
            <w:tcW w:w="636" w:type="pct"/>
            <w:tcBorders>
              <w:tl2br w:val="nil"/>
              <w:tr2bl w:val="nil"/>
            </w:tcBorders>
            <w:vAlign w:val="center"/>
          </w:tcPr>
          <w:p>
            <w:pPr>
              <w:spacing w:line="320" w:lineRule="exact"/>
              <w:contextualSpacing/>
              <w:jc w:val="center"/>
              <w:rPr>
                <w:rFonts w:eastAsia="仿宋_GB2312"/>
              </w:rPr>
            </w:pPr>
            <w:r>
              <w:rPr>
                <w:rFonts w:eastAsia="仿宋_GB2312"/>
              </w:rPr>
              <w:t>现状值S</w:t>
            </w:r>
            <w:r>
              <w:rPr>
                <w:rFonts w:eastAsia="仿宋_GB2312"/>
                <w:vertAlign w:val="subscript"/>
              </w:rPr>
              <w:t>b</w:t>
            </w:r>
            <w:r>
              <w:rPr>
                <w:rFonts w:eastAsia="仿宋_GB2312"/>
              </w:rPr>
              <w:t>（mg/kg）</w:t>
            </w:r>
          </w:p>
        </w:tc>
        <w:tc>
          <w:tcPr>
            <w:tcW w:w="902" w:type="pct"/>
            <w:tcBorders>
              <w:tl2br w:val="nil"/>
              <w:tr2bl w:val="nil"/>
            </w:tcBorders>
            <w:vAlign w:val="center"/>
          </w:tcPr>
          <w:p>
            <w:pPr>
              <w:spacing w:line="320" w:lineRule="exact"/>
              <w:contextualSpacing/>
              <w:jc w:val="center"/>
              <w:rPr>
                <w:rFonts w:eastAsia="仿宋_GB2312"/>
              </w:rPr>
            </w:pPr>
            <w:r>
              <w:rPr>
                <w:rFonts w:eastAsia="仿宋_GB2312"/>
              </w:rPr>
              <w:t>评价标准（mg/kg）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pct"/>
            <w:tcBorders>
              <w:tl2br w:val="nil"/>
              <w:tr2bl w:val="nil"/>
            </w:tcBorders>
            <w:vAlign w:val="center"/>
          </w:tcPr>
          <w:p>
            <w:pPr>
              <w:spacing w:line="320" w:lineRule="exact"/>
              <w:contextualSpacing/>
              <w:jc w:val="center"/>
              <w:rPr>
                <w:rFonts w:eastAsia="仿宋_GB2312"/>
              </w:rPr>
            </w:pPr>
            <w:r>
              <w:rPr>
                <w:rFonts w:hint="eastAsia" w:eastAsia="仿宋_GB2312"/>
              </w:rPr>
              <w:t>二甲苯</w:t>
            </w:r>
          </w:p>
        </w:tc>
        <w:tc>
          <w:tcPr>
            <w:tcW w:w="698" w:type="pct"/>
            <w:tcBorders>
              <w:tl2br w:val="nil"/>
              <w:tr2bl w:val="nil"/>
            </w:tcBorders>
            <w:vAlign w:val="center"/>
          </w:tcPr>
          <w:p>
            <w:pPr>
              <w:widowControl/>
              <w:spacing w:line="320" w:lineRule="exact"/>
              <w:jc w:val="center"/>
              <w:rPr>
                <w:rFonts w:eastAsia="仿宋_GB2312"/>
              </w:rPr>
            </w:pPr>
            <w:r>
              <w:rPr>
                <w:rFonts w:eastAsia="仿宋_GB2312"/>
              </w:rPr>
              <w:t>12109</w:t>
            </w:r>
          </w:p>
        </w:tc>
        <w:tc>
          <w:tcPr>
            <w:tcW w:w="1309" w:type="dxa"/>
            <w:tcBorders>
              <w:tl2br w:val="nil"/>
              <w:tr2bl w:val="nil"/>
            </w:tcBorders>
            <w:vAlign w:val="center"/>
          </w:tcPr>
          <w:p>
            <w:pPr>
              <w:widowControl/>
              <w:spacing w:line="320" w:lineRule="exact"/>
              <w:jc w:val="center"/>
              <w:rPr>
                <w:rFonts w:eastAsia="仿宋_GB2312"/>
              </w:rPr>
            </w:pPr>
            <w:r>
              <w:rPr>
                <w:rFonts w:eastAsia="仿宋_GB2312"/>
              </w:rPr>
              <w:t>56.3</w:t>
            </w:r>
          </w:p>
        </w:tc>
        <w:tc>
          <w:tcPr>
            <w:tcW w:w="1387" w:type="dxa"/>
            <w:tcBorders>
              <w:tl2br w:val="nil"/>
              <w:tr2bl w:val="nil"/>
            </w:tcBorders>
            <w:vAlign w:val="center"/>
          </w:tcPr>
          <w:p>
            <w:pPr>
              <w:widowControl/>
              <w:spacing w:line="320" w:lineRule="exact"/>
              <w:jc w:val="center"/>
              <w:rPr>
                <w:rFonts w:eastAsia="仿宋_GB2312"/>
              </w:rPr>
            </w:pPr>
            <w:r>
              <w:rPr>
                <w:rFonts w:eastAsia="仿宋_GB2312"/>
              </w:rPr>
              <w:t>76.6</w:t>
            </w:r>
          </w:p>
        </w:tc>
        <w:tc>
          <w:tcPr>
            <w:tcW w:w="1228" w:type="dxa"/>
            <w:tcBorders>
              <w:tl2br w:val="nil"/>
              <w:tr2bl w:val="nil"/>
            </w:tcBorders>
            <w:vAlign w:val="center"/>
          </w:tcPr>
          <w:p>
            <w:pPr>
              <w:widowControl/>
              <w:spacing w:line="320" w:lineRule="exact"/>
              <w:jc w:val="center"/>
              <w:rPr>
                <w:rFonts w:eastAsia="仿宋_GB2312"/>
              </w:rPr>
            </w:pPr>
            <w:r>
              <w:rPr>
                <w:rFonts w:eastAsia="仿宋_GB2312"/>
              </w:rPr>
              <w:t>60.9</w:t>
            </w:r>
          </w:p>
        </w:tc>
        <w:tc>
          <w:tcPr>
            <w:tcW w:w="636" w:type="pct"/>
            <w:tcBorders>
              <w:tl2br w:val="nil"/>
              <w:tr2bl w:val="nil"/>
            </w:tcBorders>
            <w:vAlign w:val="center"/>
          </w:tcPr>
          <w:p>
            <w:pPr>
              <w:spacing w:line="320" w:lineRule="exact"/>
              <w:contextualSpacing/>
              <w:jc w:val="center"/>
              <w:rPr>
                <w:rFonts w:eastAsia="仿宋_GB2312"/>
              </w:rPr>
            </w:pPr>
            <w:r>
              <w:rPr>
                <w:rFonts w:hint="eastAsia" w:eastAsia="仿宋_GB2312"/>
              </w:rPr>
              <w:t>0.0012</w:t>
            </w:r>
          </w:p>
        </w:tc>
        <w:tc>
          <w:tcPr>
            <w:tcW w:w="902" w:type="pct"/>
            <w:tcBorders>
              <w:tl2br w:val="nil"/>
              <w:tr2bl w:val="nil"/>
            </w:tcBorders>
            <w:vAlign w:val="center"/>
          </w:tcPr>
          <w:p>
            <w:pPr>
              <w:spacing w:line="320" w:lineRule="exact"/>
              <w:contextualSpacing/>
              <w:jc w:val="center"/>
              <w:rPr>
                <w:rFonts w:eastAsia="仿宋_GB2312"/>
              </w:rPr>
            </w:pPr>
            <w:r>
              <w:rPr>
                <w:rFonts w:hint="eastAsia" w:eastAsia="仿宋_GB2312"/>
              </w:rPr>
              <w:t>570</w:t>
            </w:r>
          </w:p>
        </w:tc>
      </w:tr>
    </w:tbl>
    <w:p>
      <w:pPr>
        <w:spacing w:line="500" w:lineRule="exact"/>
        <w:ind w:firstLine="560" w:firstLineChars="200"/>
        <w:rPr>
          <w:rFonts w:eastAsia="仿宋_GB2312"/>
          <w:sz w:val="28"/>
          <w:szCs w:val="28"/>
        </w:rPr>
      </w:pPr>
      <w:r>
        <w:rPr>
          <w:rFonts w:eastAsia="仿宋_GB2312"/>
          <w:sz w:val="28"/>
          <w:szCs w:val="28"/>
        </w:rPr>
        <w:t>通过计算，本项目运行10至30年后，</w:t>
      </w:r>
      <w:r>
        <w:rPr>
          <w:rFonts w:hint="eastAsia" w:eastAsia="仿宋_GB2312"/>
          <w:sz w:val="28"/>
          <w:szCs w:val="28"/>
        </w:rPr>
        <w:t>二甲苯</w:t>
      </w:r>
      <w:r>
        <w:rPr>
          <w:rFonts w:eastAsia="仿宋_GB2312"/>
          <w:sz w:val="28"/>
          <w:szCs w:val="28"/>
        </w:rPr>
        <w:t>在土壤中的累积量远小于建设用地土壤污染风险筛选值，不会对周边土壤产生明显影响。</w:t>
      </w:r>
    </w:p>
    <w:p>
      <w:pPr>
        <w:keepNext/>
        <w:keepLines/>
        <w:spacing w:after="50" w:line="500" w:lineRule="exact"/>
        <w:outlineLvl w:val="3"/>
        <w:rPr>
          <w:rFonts w:eastAsia="仿宋_GB2312"/>
          <w:b/>
          <w:bCs/>
          <w:sz w:val="28"/>
          <w:szCs w:val="28"/>
        </w:rPr>
      </w:pPr>
      <w:r>
        <w:rPr>
          <w:rFonts w:eastAsia="仿宋_GB2312"/>
          <w:b/>
          <w:bCs/>
          <w:sz w:val="28"/>
          <w:szCs w:val="28"/>
        </w:rPr>
        <w:t>5.1.6.3土壤环境影响评价结论</w:t>
      </w:r>
    </w:p>
    <w:p>
      <w:pPr>
        <w:spacing w:line="500" w:lineRule="exact"/>
        <w:ind w:firstLine="560" w:firstLineChars="200"/>
        <w:rPr>
          <w:rFonts w:eastAsia="仿宋_GB2312"/>
          <w:sz w:val="28"/>
          <w:szCs w:val="28"/>
        </w:rPr>
      </w:pPr>
      <w:r>
        <w:rPr>
          <w:rFonts w:eastAsia="仿宋_GB2312"/>
          <w:sz w:val="28"/>
          <w:szCs w:val="28"/>
        </w:rPr>
        <w:t>本次土壤环境影响评价完成后，对土壤环境影响评价主要内容与结论进行自查，详见下表。</w:t>
      </w:r>
    </w:p>
    <w:p>
      <w:pPr>
        <w:spacing w:line="480" w:lineRule="exact"/>
        <w:ind w:firstLine="482"/>
        <w:jc w:val="center"/>
        <w:rPr>
          <w:rFonts w:eastAsia="仿宋_GB2312"/>
          <w:b/>
          <w:sz w:val="24"/>
        </w:rPr>
      </w:pPr>
      <w:r>
        <w:rPr>
          <w:rFonts w:eastAsia="仿宋_GB2312"/>
          <w:b/>
          <w:sz w:val="24"/>
        </w:rPr>
        <w:t>表5.2-30  土壤环境影响评价自查表</w:t>
      </w:r>
    </w:p>
    <w:tbl>
      <w:tblPr>
        <w:tblStyle w:val="4082"/>
        <w:tblW w:w="92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441"/>
        <w:gridCol w:w="1706"/>
        <w:gridCol w:w="311"/>
        <w:gridCol w:w="1276"/>
        <w:gridCol w:w="1701"/>
        <w:gridCol w:w="142"/>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1" w:type="dxa"/>
            <w:gridSpan w:val="2"/>
            <w:tcBorders>
              <w:tl2br w:val="nil"/>
              <w:tr2bl w:val="nil"/>
            </w:tcBorders>
            <w:vAlign w:val="center"/>
          </w:tcPr>
          <w:p>
            <w:pPr>
              <w:spacing w:line="310" w:lineRule="exact"/>
              <w:jc w:val="center"/>
              <w:rPr>
                <w:rFonts w:eastAsia="仿宋_GB2312"/>
                <w:b/>
              </w:rPr>
            </w:pPr>
            <w:r>
              <w:rPr>
                <w:rFonts w:eastAsia="仿宋_GB2312"/>
                <w:b/>
              </w:rPr>
              <w:t>工作内容</w:t>
            </w:r>
          </w:p>
        </w:tc>
        <w:tc>
          <w:tcPr>
            <w:tcW w:w="7120" w:type="dxa"/>
            <w:gridSpan w:val="6"/>
            <w:tcBorders>
              <w:tl2br w:val="nil"/>
              <w:tr2bl w:val="nil"/>
            </w:tcBorders>
            <w:vAlign w:val="center"/>
          </w:tcPr>
          <w:p>
            <w:pPr>
              <w:spacing w:line="310" w:lineRule="exact"/>
              <w:jc w:val="center"/>
              <w:rPr>
                <w:rFonts w:eastAsia="仿宋_GB2312"/>
                <w:b/>
              </w:rPr>
            </w:pPr>
            <w:r>
              <w:rPr>
                <w:rFonts w:eastAsia="仿宋_GB2312"/>
                <w:b/>
              </w:rPr>
              <w:t>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vMerge w:val="restart"/>
            <w:tcBorders>
              <w:tl2br w:val="nil"/>
              <w:tr2bl w:val="nil"/>
            </w:tcBorders>
            <w:vAlign w:val="center"/>
          </w:tcPr>
          <w:p>
            <w:pPr>
              <w:spacing w:line="310" w:lineRule="exact"/>
              <w:jc w:val="center"/>
              <w:rPr>
                <w:rFonts w:eastAsia="仿宋_GB2312"/>
              </w:rPr>
            </w:pPr>
            <w:r>
              <w:rPr>
                <w:rFonts w:eastAsia="仿宋_GB2312"/>
              </w:rPr>
              <w:t>影响识别</w:t>
            </w:r>
          </w:p>
        </w:tc>
        <w:tc>
          <w:tcPr>
            <w:tcW w:w="1441" w:type="dxa"/>
            <w:tcBorders>
              <w:tl2br w:val="nil"/>
              <w:tr2bl w:val="nil"/>
            </w:tcBorders>
            <w:vAlign w:val="center"/>
          </w:tcPr>
          <w:p>
            <w:pPr>
              <w:spacing w:line="310" w:lineRule="exact"/>
              <w:jc w:val="center"/>
              <w:rPr>
                <w:rFonts w:eastAsia="仿宋_GB2312"/>
              </w:rPr>
            </w:pPr>
            <w:r>
              <w:rPr>
                <w:rFonts w:eastAsia="仿宋_GB2312"/>
              </w:rPr>
              <w:t>影响类型</w:t>
            </w:r>
          </w:p>
        </w:tc>
        <w:tc>
          <w:tcPr>
            <w:tcW w:w="7120" w:type="dxa"/>
            <w:gridSpan w:val="6"/>
            <w:tcBorders>
              <w:tl2br w:val="nil"/>
              <w:tr2bl w:val="nil"/>
            </w:tcBorders>
            <w:vAlign w:val="center"/>
          </w:tcPr>
          <w:p>
            <w:pPr>
              <w:spacing w:line="310" w:lineRule="exact"/>
              <w:jc w:val="left"/>
              <w:rPr>
                <w:rFonts w:eastAsia="仿宋_GB2312"/>
              </w:rPr>
            </w:pPr>
            <w:r>
              <w:rPr>
                <w:rFonts w:eastAsia="仿宋_GB2312"/>
              </w:rPr>
              <w:t>污染影响型√；生态影响型□；两种兼有□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vMerge w:val="continue"/>
            <w:tcBorders>
              <w:tl2br w:val="nil"/>
              <w:tr2bl w:val="nil"/>
            </w:tcBorders>
            <w:vAlign w:val="center"/>
          </w:tcPr>
          <w:p>
            <w:pPr>
              <w:spacing w:line="310" w:lineRule="exact"/>
              <w:jc w:val="center"/>
              <w:rPr>
                <w:rFonts w:eastAsia="仿宋_GB2312"/>
              </w:rPr>
            </w:pPr>
          </w:p>
        </w:tc>
        <w:tc>
          <w:tcPr>
            <w:tcW w:w="1441" w:type="dxa"/>
            <w:tcBorders>
              <w:tl2br w:val="nil"/>
              <w:tr2bl w:val="nil"/>
            </w:tcBorders>
            <w:vAlign w:val="center"/>
          </w:tcPr>
          <w:p>
            <w:pPr>
              <w:spacing w:line="310" w:lineRule="exact"/>
              <w:jc w:val="center"/>
              <w:rPr>
                <w:rFonts w:eastAsia="仿宋_GB2312"/>
              </w:rPr>
            </w:pPr>
            <w:r>
              <w:rPr>
                <w:rFonts w:eastAsia="仿宋_GB2312"/>
              </w:rPr>
              <w:t>土地利用类型</w:t>
            </w:r>
          </w:p>
        </w:tc>
        <w:tc>
          <w:tcPr>
            <w:tcW w:w="7120" w:type="dxa"/>
            <w:gridSpan w:val="6"/>
            <w:tcBorders>
              <w:tl2br w:val="nil"/>
              <w:tr2bl w:val="nil"/>
            </w:tcBorders>
            <w:vAlign w:val="center"/>
          </w:tcPr>
          <w:p>
            <w:pPr>
              <w:spacing w:line="310" w:lineRule="exact"/>
              <w:jc w:val="left"/>
              <w:rPr>
                <w:rFonts w:eastAsia="仿宋_GB2312"/>
              </w:rPr>
            </w:pPr>
            <w:r>
              <w:rPr>
                <w:rFonts w:eastAsia="仿宋_GB2312"/>
              </w:rPr>
              <w:t>建设用地√；农用地□；未利用地□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vMerge w:val="continue"/>
            <w:tcBorders>
              <w:tl2br w:val="nil"/>
              <w:tr2bl w:val="nil"/>
            </w:tcBorders>
            <w:vAlign w:val="center"/>
          </w:tcPr>
          <w:p>
            <w:pPr>
              <w:spacing w:line="310" w:lineRule="exact"/>
              <w:jc w:val="center"/>
              <w:rPr>
                <w:rFonts w:eastAsia="仿宋_GB2312"/>
              </w:rPr>
            </w:pPr>
          </w:p>
        </w:tc>
        <w:tc>
          <w:tcPr>
            <w:tcW w:w="1441" w:type="dxa"/>
            <w:tcBorders>
              <w:tl2br w:val="nil"/>
              <w:tr2bl w:val="nil"/>
            </w:tcBorders>
            <w:vAlign w:val="center"/>
          </w:tcPr>
          <w:p>
            <w:pPr>
              <w:spacing w:line="310" w:lineRule="exact"/>
              <w:jc w:val="center"/>
              <w:rPr>
                <w:rFonts w:eastAsia="仿宋_GB2312"/>
              </w:rPr>
            </w:pPr>
            <w:r>
              <w:rPr>
                <w:rFonts w:eastAsia="仿宋_GB2312"/>
              </w:rPr>
              <w:t>占地规模</w:t>
            </w:r>
          </w:p>
        </w:tc>
        <w:tc>
          <w:tcPr>
            <w:tcW w:w="7120" w:type="dxa"/>
            <w:gridSpan w:val="6"/>
            <w:tcBorders>
              <w:tl2br w:val="nil"/>
              <w:tr2bl w:val="nil"/>
            </w:tcBorders>
            <w:vAlign w:val="center"/>
          </w:tcPr>
          <w:p>
            <w:pPr>
              <w:spacing w:line="310" w:lineRule="exact"/>
              <w:jc w:val="left"/>
              <w:rPr>
                <w:rFonts w:eastAsia="仿宋_GB2312"/>
              </w:rPr>
            </w:pPr>
            <w:r>
              <w:rPr>
                <w:rFonts w:eastAsia="仿宋_GB2312"/>
              </w:rPr>
              <w:t>（</w:t>
            </w:r>
            <w:r>
              <w:rPr>
                <w:rFonts w:hint="eastAsia" w:eastAsia="仿宋_GB2312"/>
              </w:rPr>
              <w:t>0.2336</w:t>
            </w:r>
            <w:r>
              <w:rPr>
                <w:rFonts w:eastAsia="仿宋_GB2312"/>
              </w:rPr>
              <w:t>）hm</w:t>
            </w:r>
            <w:r>
              <w:rPr>
                <w:rFonts w:eastAsia="仿宋_GB2312"/>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vMerge w:val="continue"/>
            <w:tcBorders>
              <w:tl2br w:val="nil"/>
              <w:tr2bl w:val="nil"/>
            </w:tcBorders>
            <w:vAlign w:val="center"/>
          </w:tcPr>
          <w:p>
            <w:pPr>
              <w:spacing w:line="310" w:lineRule="exact"/>
              <w:jc w:val="center"/>
              <w:rPr>
                <w:rFonts w:eastAsia="仿宋_GB2312"/>
              </w:rPr>
            </w:pPr>
          </w:p>
        </w:tc>
        <w:tc>
          <w:tcPr>
            <w:tcW w:w="1441" w:type="dxa"/>
            <w:tcBorders>
              <w:tl2br w:val="nil"/>
              <w:tr2bl w:val="nil"/>
            </w:tcBorders>
            <w:vAlign w:val="center"/>
          </w:tcPr>
          <w:p>
            <w:pPr>
              <w:spacing w:line="310" w:lineRule="exact"/>
              <w:jc w:val="center"/>
              <w:rPr>
                <w:rFonts w:eastAsia="仿宋_GB2312"/>
              </w:rPr>
            </w:pPr>
            <w:r>
              <w:rPr>
                <w:rFonts w:eastAsia="仿宋_GB2312"/>
              </w:rPr>
              <w:t>敏感目标信息</w:t>
            </w:r>
          </w:p>
        </w:tc>
        <w:tc>
          <w:tcPr>
            <w:tcW w:w="7120" w:type="dxa"/>
            <w:gridSpan w:val="6"/>
            <w:tcBorders>
              <w:tl2br w:val="nil"/>
              <w:tr2bl w:val="nil"/>
            </w:tcBorders>
            <w:vAlign w:val="center"/>
          </w:tcPr>
          <w:p>
            <w:pPr>
              <w:spacing w:line="310" w:lineRule="exact"/>
              <w:jc w:val="left"/>
              <w:rPr>
                <w:rFonts w:eastAsia="仿宋_GB2312"/>
              </w:rPr>
            </w:pPr>
            <w:r>
              <w:rPr>
                <w:rFonts w:hint="eastAsia" w:eastAsia="仿宋_GB2312"/>
              </w:rPr>
              <w:t>见</w:t>
            </w:r>
            <w:r>
              <w:rPr>
                <w:rFonts w:eastAsia="仿宋_GB2312"/>
              </w:rPr>
              <w:t>前文表</w:t>
            </w:r>
            <w:r>
              <w:rPr>
                <w:rFonts w:hint="eastAsia" w:eastAsia="仿宋_GB2312"/>
              </w:rPr>
              <w:t>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vMerge w:val="continue"/>
            <w:tcBorders>
              <w:tl2br w:val="nil"/>
              <w:tr2bl w:val="nil"/>
            </w:tcBorders>
            <w:vAlign w:val="center"/>
          </w:tcPr>
          <w:p>
            <w:pPr>
              <w:spacing w:line="310" w:lineRule="exact"/>
              <w:jc w:val="center"/>
              <w:rPr>
                <w:rFonts w:eastAsia="仿宋_GB2312"/>
              </w:rPr>
            </w:pPr>
          </w:p>
        </w:tc>
        <w:tc>
          <w:tcPr>
            <w:tcW w:w="1441" w:type="dxa"/>
            <w:tcBorders>
              <w:tl2br w:val="nil"/>
              <w:tr2bl w:val="nil"/>
            </w:tcBorders>
            <w:vAlign w:val="center"/>
          </w:tcPr>
          <w:p>
            <w:pPr>
              <w:spacing w:line="310" w:lineRule="exact"/>
              <w:jc w:val="center"/>
              <w:rPr>
                <w:rFonts w:eastAsia="仿宋_GB2312"/>
              </w:rPr>
            </w:pPr>
            <w:r>
              <w:rPr>
                <w:rFonts w:eastAsia="仿宋_GB2312"/>
              </w:rPr>
              <w:t>影响途径</w:t>
            </w:r>
          </w:p>
        </w:tc>
        <w:tc>
          <w:tcPr>
            <w:tcW w:w="7120" w:type="dxa"/>
            <w:gridSpan w:val="6"/>
            <w:tcBorders>
              <w:tl2br w:val="nil"/>
              <w:tr2bl w:val="nil"/>
            </w:tcBorders>
            <w:vAlign w:val="center"/>
          </w:tcPr>
          <w:p>
            <w:pPr>
              <w:spacing w:line="310" w:lineRule="exact"/>
              <w:jc w:val="left"/>
              <w:rPr>
                <w:rFonts w:eastAsia="仿宋_GB2312"/>
              </w:rPr>
            </w:pPr>
            <w:r>
              <w:rPr>
                <w:rFonts w:eastAsia="仿宋_GB2312"/>
              </w:rPr>
              <w:t>大气沉降√；地面漫流□；垂直入渗□；地下水位□；其他□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vMerge w:val="continue"/>
            <w:tcBorders>
              <w:tl2br w:val="nil"/>
              <w:tr2bl w:val="nil"/>
            </w:tcBorders>
            <w:vAlign w:val="center"/>
          </w:tcPr>
          <w:p>
            <w:pPr>
              <w:spacing w:line="310" w:lineRule="exact"/>
              <w:jc w:val="center"/>
              <w:rPr>
                <w:rFonts w:eastAsia="仿宋_GB2312"/>
              </w:rPr>
            </w:pPr>
          </w:p>
        </w:tc>
        <w:tc>
          <w:tcPr>
            <w:tcW w:w="1441" w:type="dxa"/>
            <w:tcBorders>
              <w:tl2br w:val="nil"/>
              <w:tr2bl w:val="nil"/>
            </w:tcBorders>
            <w:vAlign w:val="center"/>
          </w:tcPr>
          <w:p>
            <w:pPr>
              <w:spacing w:line="310" w:lineRule="exact"/>
              <w:jc w:val="center"/>
              <w:rPr>
                <w:rFonts w:eastAsia="仿宋_GB2312"/>
              </w:rPr>
            </w:pPr>
            <w:r>
              <w:rPr>
                <w:rFonts w:eastAsia="仿宋_GB2312"/>
              </w:rPr>
              <w:t>全部污染物</w:t>
            </w:r>
          </w:p>
        </w:tc>
        <w:tc>
          <w:tcPr>
            <w:tcW w:w="7120" w:type="dxa"/>
            <w:gridSpan w:val="6"/>
            <w:tcBorders>
              <w:tl2br w:val="nil"/>
              <w:tr2bl w:val="nil"/>
            </w:tcBorders>
            <w:vAlign w:val="center"/>
          </w:tcPr>
          <w:p>
            <w:pPr>
              <w:spacing w:line="310" w:lineRule="exact"/>
              <w:jc w:val="left"/>
              <w:rPr>
                <w:rFonts w:eastAsia="仿宋_GB2312"/>
              </w:rPr>
            </w:pPr>
            <w:r>
              <w:rPr>
                <w:rFonts w:hint="eastAsia" w:eastAsia="仿宋_GB2312"/>
              </w:rPr>
              <w:t>二甲苯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vMerge w:val="continue"/>
            <w:tcBorders>
              <w:tl2br w:val="nil"/>
              <w:tr2bl w:val="nil"/>
            </w:tcBorders>
            <w:vAlign w:val="center"/>
          </w:tcPr>
          <w:p>
            <w:pPr>
              <w:spacing w:line="310" w:lineRule="exact"/>
              <w:jc w:val="center"/>
              <w:rPr>
                <w:rFonts w:eastAsia="仿宋_GB2312"/>
              </w:rPr>
            </w:pPr>
          </w:p>
        </w:tc>
        <w:tc>
          <w:tcPr>
            <w:tcW w:w="1441" w:type="dxa"/>
            <w:tcBorders>
              <w:tl2br w:val="nil"/>
              <w:tr2bl w:val="nil"/>
            </w:tcBorders>
            <w:vAlign w:val="center"/>
          </w:tcPr>
          <w:p>
            <w:pPr>
              <w:spacing w:line="310" w:lineRule="exact"/>
              <w:jc w:val="center"/>
              <w:rPr>
                <w:rFonts w:eastAsia="仿宋_GB2312"/>
              </w:rPr>
            </w:pPr>
            <w:r>
              <w:rPr>
                <w:rFonts w:eastAsia="仿宋_GB2312"/>
              </w:rPr>
              <w:t>特征因子</w:t>
            </w:r>
          </w:p>
        </w:tc>
        <w:tc>
          <w:tcPr>
            <w:tcW w:w="7120" w:type="dxa"/>
            <w:gridSpan w:val="6"/>
            <w:tcBorders>
              <w:tl2br w:val="nil"/>
              <w:tr2bl w:val="nil"/>
            </w:tcBorders>
            <w:vAlign w:val="center"/>
          </w:tcPr>
          <w:p>
            <w:pPr>
              <w:spacing w:line="310" w:lineRule="exact"/>
              <w:jc w:val="left"/>
              <w:rPr>
                <w:rFonts w:eastAsia="仿宋_GB2312"/>
              </w:rPr>
            </w:pPr>
            <w:r>
              <w:rPr>
                <w:rFonts w:hint="eastAsia" w:eastAsia="仿宋_GB2312"/>
              </w:rPr>
              <w:t>二甲苯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vMerge w:val="continue"/>
            <w:tcBorders>
              <w:tl2br w:val="nil"/>
              <w:tr2bl w:val="nil"/>
            </w:tcBorders>
            <w:vAlign w:val="center"/>
          </w:tcPr>
          <w:p>
            <w:pPr>
              <w:spacing w:line="310" w:lineRule="exact"/>
              <w:jc w:val="center"/>
              <w:rPr>
                <w:rFonts w:eastAsia="仿宋_GB2312"/>
              </w:rPr>
            </w:pPr>
          </w:p>
        </w:tc>
        <w:tc>
          <w:tcPr>
            <w:tcW w:w="1441" w:type="dxa"/>
            <w:tcBorders>
              <w:tl2br w:val="nil"/>
              <w:tr2bl w:val="nil"/>
            </w:tcBorders>
            <w:vAlign w:val="center"/>
          </w:tcPr>
          <w:p>
            <w:pPr>
              <w:spacing w:line="310" w:lineRule="exact"/>
              <w:jc w:val="center"/>
              <w:rPr>
                <w:rFonts w:eastAsia="仿宋_GB2312"/>
              </w:rPr>
            </w:pPr>
            <w:r>
              <w:rPr>
                <w:rFonts w:eastAsia="仿宋_GB2312"/>
              </w:rPr>
              <w:t>所属土壤环境影响评价项目类别</w:t>
            </w:r>
          </w:p>
        </w:tc>
        <w:tc>
          <w:tcPr>
            <w:tcW w:w="7120" w:type="dxa"/>
            <w:gridSpan w:val="6"/>
            <w:tcBorders>
              <w:tl2br w:val="nil"/>
              <w:tr2bl w:val="nil"/>
            </w:tcBorders>
            <w:vAlign w:val="center"/>
          </w:tcPr>
          <w:p>
            <w:pPr>
              <w:spacing w:line="310" w:lineRule="exact"/>
              <w:jc w:val="left"/>
              <w:rPr>
                <w:rFonts w:eastAsia="仿宋_GB2312"/>
              </w:rPr>
            </w:pPr>
            <w:r>
              <w:rPr>
                <w:rFonts w:eastAsia="仿宋_GB2312"/>
              </w:rPr>
              <w:t>I类√；II类□；III类□；IV类□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vMerge w:val="continue"/>
            <w:tcBorders>
              <w:tl2br w:val="nil"/>
              <w:tr2bl w:val="nil"/>
            </w:tcBorders>
            <w:vAlign w:val="center"/>
          </w:tcPr>
          <w:p>
            <w:pPr>
              <w:spacing w:line="310" w:lineRule="exact"/>
              <w:jc w:val="center"/>
              <w:rPr>
                <w:rFonts w:eastAsia="仿宋_GB2312"/>
              </w:rPr>
            </w:pPr>
          </w:p>
        </w:tc>
        <w:tc>
          <w:tcPr>
            <w:tcW w:w="1441" w:type="dxa"/>
            <w:tcBorders>
              <w:tl2br w:val="nil"/>
              <w:tr2bl w:val="nil"/>
            </w:tcBorders>
            <w:vAlign w:val="center"/>
          </w:tcPr>
          <w:p>
            <w:pPr>
              <w:spacing w:line="310" w:lineRule="exact"/>
              <w:jc w:val="center"/>
              <w:rPr>
                <w:rFonts w:eastAsia="仿宋_GB2312"/>
              </w:rPr>
            </w:pPr>
            <w:r>
              <w:rPr>
                <w:rFonts w:eastAsia="仿宋_GB2312"/>
              </w:rPr>
              <w:t>敏感程度</w:t>
            </w:r>
          </w:p>
        </w:tc>
        <w:tc>
          <w:tcPr>
            <w:tcW w:w="7120" w:type="dxa"/>
            <w:gridSpan w:val="6"/>
            <w:tcBorders>
              <w:tl2br w:val="nil"/>
              <w:tr2bl w:val="nil"/>
            </w:tcBorders>
            <w:vAlign w:val="center"/>
          </w:tcPr>
          <w:p>
            <w:pPr>
              <w:spacing w:line="310" w:lineRule="exact"/>
              <w:jc w:val="left"/>
              <w:rPr>
                <w:rFonts w:eastAsia="仿宋_GB2312"/>
              </w:rPr>
            </w:pPr>
            <w:r>
              <w:rPr>
                <w:rFonts w:eastAsia="仿宋_GB2312"/>
              </w:rPr>
              <w:t>敏感□；较感敏□；不敏感√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1" w:type="dxa"/>
            <w:gridSpan w:val="2"/>
            <w:tcBorders>
              <w:tl2br w:val="nil"/>
              <w:tr2bl w:val="nil"/>
            </w:tcBorders>
            <w:vAlign w:val="center"/>
          </w:tcPr>
          <w:p>
            <w:pPr>
              <w:spacing w:line="310" w:lineRule="exact"/>
              <w:jc w:val="center"/>
              <w:rPr>
                <w:rFonts w:eastAsia="仿宋_GB2312"/>
              </w:rPr>
            </w:pPr>
            <w:r>
              <w:rPr>
                <w:rFonts w:eastAsia="仿宋_GB2312"/>
              </w:rPr>
              <w:t>评价工作等级</w:t>
            </w:r>
          </w:p>
        </w:tc>
        <w:tc>
          <w:tcPr>
            <w:tcW w:w="7120" w:type="dxa"/>
            <w:gridSpan w:val="6"/>
            <w:tcBorders>
              <w:tl2br w:val="nil"/>
              <w:tr2bl w:val="nil"/>
            </w:tcBorders>
            <w:vAlign w:val="center"/>
          </w:tcPr>
          <w:p>
            <w:pPr>
              <w:spacing w:line="310" w:lineRule="exact"/>
              <w:jc w:val="center"/>
              <w:rPr>
                <w:rFonts w:eastAsia="仿宋_GB2312"/>
              </w:rPr>
            </w:pPr>
            <w:r>
              <w:rPr>
                <w:rFonts w:eastAsia="仿宋_GB2312"/>
              </w:rPr>
              <w:t>一级□；二级√；三级□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vMerge w:val="restart"/>
            <w:tcBorders>
              <w:tl2br w:val="nil"/>
              <w:tr2bl w:val="nil"/>
            </w:tcBorders>
            <w:vAlign w:val="center"/>
          </w:tcPr>
          <w:p>
            <w:pPr>
              <w:spacing w:line="310" w:lineRule="exact"/>
              <w:jc w:val="center"/>
              <w:rPr>
                <w:rFonts w:eastAsia="仿宋_GB2312"/>
              </w:rPr>
            </w:pPr>
            <w:r>
              <w:rPr>
                <w:rFonts w:eastAsia="仿宋_GB2312"/>
              </w:rPr>
              <w:t>现状调查内容</w:t>
            </w:r>
          </w:p>
        </w:tc>
        <w:tc>
          <w:tcPr>
            <w:tcW w:w="1441" w:type="dxa"/>
            <w:tcBorders>
              <w:tl2br w:val="nil"/>
              <w:tr2bl w:val="nil"/>
            </w:tcBorders>
            <w:vAlign w:val="center"/>
          </w:tcPr>
          <w:p>
            <w:pPr>
              <w:spacing w:line="310" w:lineRule="exact"/>
              <w:jc w:val="center"/>
              <w:rPr>
                <w:rFonts w:eastAsia="仿宋_GB2312"/>
              </w:rPr>
            </w:pPr>
            <w:r>
              <w:rPr>
                <w:rFonts w:eastAsia="仿宋_GB2312"/>
              </w:rPr>
              <w:t>资料收集</w:t>
            </w:r>
          </w:p>
        </w:tc>
        <w:tc>
          <w:tcPr>
            <w:tcW w:w="7120" w:type="dxa"/>
            <w:gridSpan w:val="6"/>
            <w:tcBorders>
              <w:tl2br w:val="nil"/>
              <w:tr2bl w:val="nil"/>
            </w:tcBorders>
            <w:vAlign w:val="center"/>
          </w:tcPr>
          <w:p>
            <w:pPr>
              <w:spacing w:line="310" w:lineRule="exact"/>
              <w:jc w:val="center"/>
              <w:rPr>
                <w:rFonts w:eastAsia="仿宋_GB2312"/>
              </w:rPr>
            </w:pPr>
            <w:r>
              <w:rPr>
                <w:rFonts w:eastAsia="仿宋_GB2312"/>
              </w:rPr>
              <w:t>a）√；b）√；c）√；d）□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vMerge w:val="continue"/>
            <w:tcBorders>
              <w:tl2br w:val="nil"/>
              <w:tr2bl w:val="nil"/>
            </w:tcBorders>
            <w:vAlign w:val="center"/>
          </w:tcPr>
          <w:p>
            <w:pPr>
              <w:spacing w:line="310" w:lineRule="exact"/>
              <w:jc w:val="center"/>
              <w:rPr>
                <w:rFonts w:eastAsia="仿宋_GB2312"/>
              </w:rPr>
            </w:pPr>
          </w:p>
        </w:tc>
        <w:tc>
          <w:tcPr>
            <w:tcW w:w="1441" w:type="dxa"/>
            <w:tcBorders>
              <w:tl2br w:val="nil"/>
              <w:tr2bl w:val="nil"/>
            </w:tcBorders>
            <w:vAlign w:val="center"/>
          </w:tcPr>
          <w:p>
            <w:pPr>
              <w:spacing w:line="310" w:lineRule="exact"/>
              <w:jc w:val="center"/>
              <w:rPr>
                <w:rFonts w:eastAsia="仿宋_GB2312"/>
              </w:rPr>
            </w:pPr>
            <w:r>
              <w:rPr>
                <w:rFonts w:eastAsia="仿宋_GB2312"/>
              </w:rPr>
              <w:t>理化特性</w:t>
            </w:r>
          </w:p>
        </w:tc>
        <w:tc>
          <w:tcPr>
            <w:tcW w:w="7120" w:type="dxa"/>
            <w:gridSpan w:val="6"/>
            <w:tcBorders>
              <w:tl2br w:val="nil"/>
              <w:tr2bl w:val="nil"/>
            </w:tcBorders>
            <w:vAlign w:val="center"/>
          </w:tcPr>
          <w:p>
            <w:pPr>
              <w:spacing w:line="310" w:lineRule="exact"/>
              <w:jc w:val="center"/>
              <w:rPr>
                <w:rFonts w:eastAsia="仿宋_GB2312"/>
              </w:rPr>
            </w:pPr>
            <w:r>
              <w:rPr>
                <w:rFonts w:eastAsia="仿宋_GB2312"/>
              </w:rPr>
              <w:t>见表4.2-8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vMerge w:val="continue"/>
            <w:tcBorders>
              <w:tl2br w:val="nil"/>
              <w:tr2bl w:val="nil"/>
            </w:tcBorders>
            <w:vAlign w:val="center"/>
          </w:tcPr>
          <w:p>
            <w:pPr>
              <w:spacing w:line="310" w:lineRule="exact"/>
              <w:jc w:val="center"/>
              <w:rPr>
                <w:rFonts w:eastAsia="仿宋_GB2312"/>
              </w:rPr>
            </w:pPr>
          </w:p>
        </w:tc>
        <w:tc>
          <w:tcPr>
            <w:tcW w:w="1441" w:type="dxa"/>
            <w:vMerge w:val="restart"/>
            <w:tcBorders>
              <w:tl2br w:val="nil"/>
              <w:tr2bl w:val="nil"/>
            </w:tcBorders>
            <w:vAlign w:val="center"/>
          </w:tcPr>
          <w:p>
            <w:pPr>
              <w:spacing w:line="310" w:lineRule="exact"/>
              <w:jc w:val="center"/>
              <w:rPr>
                <w:rFonts w:eastAsia="仿宋_GB2312"/>
              </w:rPr>
            </w:pPr>
            <w:r>
              <w:rPr>
                <w:rFonts w:eastAsia="仿宋_GB2312"/>
              </w:rPr>
              <w:t>现状监测点位</w:t>
            </w:r>
          </w:p>
        </w:tc>
        <w:tc>
          <w:tcPr>
            <w:tcW w:w="1706" w:type="dxa"/>
            <w:tcBorders>
              <w:tl2br w:val="nil"/>
              <w:tr2bl w:val="nil"/>
            </w:tcBorders>
            <w:vAlign w:val="center"/>
          </w:tcPr>
          <w:p>
            <w:pPr>
              <w:spacing w:line="310" w:lineRule="exact"/>
              <w:jc w:val="center"/>
              <w:rPr>
                <w:rFonts w:eastAsia="仿宋_GB2312"/>
              </w:rPr>
            </w:pPr>
          </w:p>
        </w:tc>
        <w:tc>
          <w:tcPr>
            <w:tcW w:w="1587" w:type="dxa"/>
            <w:gridSpan w:val="2"/>
            <w:tcBorders>
              <w:tl2br w:val="nil"/>
              <w:tr2bl w:val="nil"/>
            </w:tcBorders>
            <w:vAlign w:val="center"/>
          </w:tcPr>
          <w:p>
            <w:pPr>
              <w:spacing w:line="310" w:lineRule="exact"/>
              <w:jc w:val="center"/>
              <w:rPr>
                <w:rFonts w:eastAsia="仿宋_GB2312"/>
              </w:rPr>
            </w:pPr>
            <w:r>
              <w:rPr>
                <w:rFonts w:eastAsia="仿宋_GB2312"/>
              </w:rPr>
              <w:t>占地范围内</w:t>
            </w:r>
          </w:p>
        </w:tc>
        <w:tc>
          <w:tcPr>
            <w:tcW w:w="1843" w:type="dxa"/>
            <w:gridSpan w:val="2"/>
            <w:tcBorders>
              <w:tl2br w:val="nil"/>
              <w:tr2bl w:val="nil"/>
            </w:tcBorders>
            <w:vAlign w:val="center"/>
          </w:tcPr>
          <w:p>
            <w:pPr>
              <w:spacing w:line="310" w:lineRule="exact"/>
              <w:jc w:val="center"/>
              <w:rPr>
                <w:rFonts w:eastAsia="仿宋_GB2312"/>
              </w:rPr>
            </w:pPr>
            <w:r>
              <w:rPr>
                <w:rFonts w:eastAsia="仿宋_GB2312"/>
              </w:rPr>
              <w:t>占地范围外</w:t>
            </w:r>
          </w:p>
        </w:tc>
        <w:tc>
          <w:tcPr>
            <w:tcW w:w="1984" w:type="dxa"/>
            <w:tcBorders>
              <w:tl2br w:val="nil"/>
              <w:tr2bl w:val="nil"/>
            </w:tcBorders>
            <w:vAlign w:val="center"/>
          </w:tcPr>
          <w:p>
            <w:pPr>
              <w:spacing w:line="310" w:lineRule="exact"/>
              <w:jc w:val="center"/>
              <w:rPr>
                <w:rFonts w:eastAsia="仿宋_GB2312"/>
              </w:rPr>
            </w:pPr>
            <w:r>
              <w:rPr>
                <w:rFonts w:eastAsia="仿宋_GB2312"/>
              </w:rPr>
              <w:t>深度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vMerge w:val="continue"/>
            <w:tcBorders>
              <w:tl2br w:val="nil"/>
              <w:tr2bl w:val="nil"/>
            </w:tcBorders>
            <w:vAlign w:val="center"/>
          </w:tcPr>
          <w:p>
            <w:pPr>
              <w:spacing w:line="310" w:lineRule="exact"/>
              <w:jc w:val="center"/>
              <w:rPr>
                <w:rFonts w:eastAsia="仿宋_GB2312"/>
              </w:rPr>
            </w:pPr>
          </w:p>
        </w:tc>
        <w:tc>
          <w:tcPr>
            <w:tcW w:w="1441" w:type="dxa"/>
            <w:vMerge w:val="continue"/>
            <w:tcBorders>
              <w:tl2br w:val="nil"/>
              <w:tr2bl w:val="nil"/>
            </w:tcBorders>
            <w:vAlign w:val="center"/>
          </w:tcPr>
          <w:p>
            <w:pPr>
              <w:spacing w:line="310" w:lineRule="exact"/>
              <w:jc w:val="center"/>
              <w:rPr>
                <w:rFonts w:eastAsia="仿宋_GB2312"/>
              </w:rPr>
            </w:pPr>
          </w:p>
        </w:tc>
        <w:tc>
          <w:tcPr>
            <w:tcW w:w="1706" w:type="dxa"/>
            <w:tcBorders>
              <w:tl2br w:val="nil"/>
              <w:tr2bl w:val="nil"/>
            </w:tcBorders>
            <w:vAlign w:val="center"/>
          </w:tcPr>
          <w:p>
            <w:pPr>
              <w:spacing w:line="310" w:lineRule="exact"/>
              <w:jc w:val="center"/>
              <w:rPr>
                <w:rFonts w:eastAsia="仿宋_GB2312"/>
              </w:rPr>
            </w:pPr>
            <w:r>
              <w:rPr>
                <w:rFonts w:eastAsia="仿宋_GB2312"/>
              </w:rPr>
              <w:t>表层样点位</w:t>
            </w:r>
          </w:p>
        </w:tc>
        <w:tc>
          <w:tcPr>
            <w:tcW w:w="1587" w:type="dxa"/>
            <w:gridSpan w:val="2"/>
            <w:tcBorders>
              <w:tl2br w:val="nil"/>
              <w:tr2bl w:val="nil"/>
            </w:tcBorders>
            <w:vAlign w:val="center"/>
          </w:tcPr>
          <w:p>
            <w:pPr>
              <w:spacing w:line="310" w:lineRule="exact"/>
              <w:jc w:val="center"/>
              <w:rPr>
                <w:rFonts w:eastAsia="仿宋_GB2312"/>
              </w:rPr>
            </w:pPr>
            <w:r>
              <w:rPr>
                <w:rFonts w:eastAsia="仿宋_GB2312"/>
              </w:rPr>
              <w:t>2个</w:t>
            </w:r>
          </w:p>
        </w:tc>
        <w:tc>
          <w:tcPr>
            <w:tcW w:w="1843" w:type="dxa"/>
            <w:gridSpan w:val="2"/>
            <w:tcBorders>
              <w:tl2br w:val="nil"/>
              <w:tr2bl w:val="nil"/>
            </w:tcBorders>
            <w:vAlign w:val="center"/>
          </w:tcPr>
          <w:p>
            <w:pPr>
              <w:spacing w:line="310" w:lineRule="exact"/>
              <w:jc w:val="center"/>
              <w:rPr>
                <w:rFonts w:eastAsia="仿宋_GB2312"/>
              </w:rPr>
            </w:pPr>
            <w:r>
              <w:rPr>
                <w:rFonts w:eastAsia="仿宋_GB2312"/>
              </w:rPr>
              <w:t>4个</w:t>
            </w:r>
          </w:p>
        </w:tc>
        <w:tc>
          <w:tcPr>
            <w:tcW w:w="1984" w:type="dxa"/>
            <w:tcBorders>
              <w:tl2br w:val="nil"/>
              <w:tr2bl w:val="nil"/>
            </w:tcBorders>
            <w:vAlign w:val="center"/>
          </w:tcPr>
          <w:p>
            <w:pPr>
              <w:spacing w:line="310" w:lineRule="exact"/>
              <w:jc w:val="center"/>
              <w:rPr>
                <w:rFonts w:eastAsia="仿宋_GB2312"/>
              </w:rPr>
            </w:pPr>
            <w:r>
              <w:rPr>
                <w:rFonts w:eastAsia="仿宋_GB2312"/>
              </w:rPr>
              <w:t>0~0.2m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vMerge w:val="continue"/>
            <w:tcBorders>
              <w:tl2br w:val="nil"/>
              <w:tr2bl w:val="nil"/>
            </w:tcBorders>
            <w:vAlign w:val="center"/>
          </w:tcPr>
          <w:p>
            <w:pPr>
              <w:spacing w:line="310" w:lineRule="exact"/>
              <w:jc w:val="center"/>
              <w:rPr>
                <w:rFonts w:eastAsia="仿宋_GB2312"/>
              </w:rPr>
            </w:pPr>
          </w:p>
        </w:tc>
        <w:tc>
          <w:tcPr>
            <w:tcW w:w="1441" w:type="dxa"/>
            <w:vMerge w:val="continue"/>
            <w:tcBorders>
              <w:tl2br w:val="nil"/>
              <w:tr2bl w:val="nil"/>
            </w:tcBorders>
            <w:vAlign w:val="center"/>
          </w:tcPr>
          <w:p>
            <w:pPr>
              <w:spacing w:line="310" w:lineRule="exact"/>
              <w:jc w:val="center"/>
              <w:rPr>
                <w:rFonts w:eastAsia="仿宋_GB2312"/>
              </w:rPr>
            </w:pPr>
          </w:p>
        </w:tc>
        <w:tc>
          <w:tcPr>
            <w:tcW w:w="1706" w:type="dxa"/>
            <w:tcBorders>
              <w:tl2br w:val="nil"/>
              <w:tr2bl w:val="nil"/>
            </w:tcBorders>
            <w:vAlign w:val="center"/>
          </w:tcPr>
          <w:p>
            <w:pPr>
              <w:spacing w:line="310" w:lineRule="exact"/>
              <w:jc w:val="center"/>
              <w:rPr>
                <w:rFonts w:eastAsia="仿宋_GB2312"/>
              </w:rPr>
            </w:pPr>
            <w:r>
              <w:rPr>
                <w:rFonts w:eastAsia="仿宋_GB2312"/>
              </w:rPr>
              <w:t>柱状样点位</w:t>
            </w:r>
          </w:p>
        </w:tc>
        <w:tc>
          <w:tcPr>
            <w:tcW w:w="1587" w:type="dxa"/>
            <w:gridSpan w:val="2"/>
            <w:tcBorders>
              <w:tl2br w:val="nil"/>
              <w:tr2bl w:val="nil"/>
            </w:tcBorders>
            <w:vAlign w:val="center"/>
          </w:tcPr>
          <w:p>
            <w:pPr>
              <w:spacing w:line="310" w:lineRule="exact"/>
              <w:jc w:val="center"/>
              <w:rPr>
                <w:rFonts w:eastAsia="仿宋_GB2312"/>
              </w:rPr>
            </w:pPr>
            <w:r>
              <w:rPr>
                <w:rFonts w:eastAsia="仿宋_GB2312"/>
              </w:rPr>
              <w:t>5个</w:t>
            </w:r>
          </w:p>
        </w:tc>
        <w:tc>
          <w:tcPr>
            <w:tcW w:w="1843" w:type="dxa"/>
            <w:gridSpan w:val="2"/>
            <w:tcBorders>
              <w:tl2br w:val="nil"/>
              <w:tr2bl w:val="nil"/>
            </w:tcBorders>
            <w:vAlign w:val="center"/>
          </w:tcPr>
          <w:p>
            <w:pPr>
              <w:spacing w:line="310" w:lineRule="exact"/>
              <w:jc w:val="center"/>
              <w:rPr>
                <w:rFonts w:eastAsia="仿宋_GB2312"/>
              </w:rPr>
            </w:pPr>
            <w:r>
              <w:rPr>
                <w:rFonts w:eastAsia="仿宋_GB2312"/>
              </w:rPr>
              <w:t>0个</w:t>
            </w:r>
          </w:p>
        </w:tc>
        <w:tc>
          <w:tcPr>
            <w:tcW w:w="1984" w:type="dxa"/>
            <w:tcBorders>
              <w:tl2br w:val="nil"/>
              <w:tr2bl w:val="nil"/>
            </w:tcBorders>
            <w:vAlign w:val="center"/>
          </w:tcPr>
          <w:p>
            <w:pPr>
              <w:spacing w:line="310" w:lineRule="exact"/>
              <w:jc w:val="center"/>
              <w:rPr>
                <w:rFonts w:eastAsia="仿宋_GB2312"/>
              </w:rPr>
            </w:pPr>
            <w:r>
              <w:rPr>
                <w:rFonts w:hint="eastAsia" w:eastAsia="仿宋_GB2312"/>
                <w:szCs w:val="21"/>
              </w:rPr>
              <w:t>0~0.2m、0.5~1m、1.5~2</w:t>
            </w:r>
            <w:r>
              <w:rPr>
                <w:rFonts w:eastAsia="仿宋_GB2312"/>
                <w:szCs w:val="21"/>
              </w:rPr>
              <w:t>m</w:t>
            </w:r>
            <w:r>
              <w:rPr>
                <w:rFonts w:hint="eastAsia" w:eastAsia="仿宋_GB2312"/>
                <w:szCs w:val="21"/>
              </w:rPr>
              <w:t>、4~</w:t>
            </w:r>
            <w:r>
              <w:rPr>
                <w:rFonts w:eastAsia="仿宋_GB2312"/>
                <w:szCs w:val="21"/>
              </w:rPr>
              <w:t>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vMerge w:val="continue"/>
            <w:tcBorders>
              <w:tl2br w:val="nil"/>
              <w:tr2bl w:val="nil"/>
            </w:tcBorders>
            <w:vAlign w:val="center"/>
          </w:tcPr>
          <w:p>
            <w:pPr>
              <w:spacing w:line="310" w:lineRule="exact"/>
              <w:jc w:val="center"/>
              <w:rPr>
                <w:rFonts w:eastAsia="仿宋_GB2312"/>
              </w:rPr>
            </w:pPr>
          </w:p>
        </w:tc>
        <w:tc>
          <w:tcPr>
            <w:tcW w:w="1441" w:type="dxa"/>
            <w:tcBorders>
              <w:tl2br w:val="nil"/>
              <w:tr2bl w:val="nil"/>
            </w:tcBorders>
            <w:vAlign w:val="center"/>
          </w:tcPr>
          <w:p>
            <w:pPr>
              <w:spacing w:line="310" w:lineRule="exact"/>
              <w:jc w:val="center"/>
              <w:rPr>
                <w:rFonts w:eastAsia="仿宋_GB2312"/>
              </w:rPr>
            </w:pPr>
            <w:r>
              <w:rPr>
                <w:rFonts w:eastAsia="仿宋_GB2312"/>
              </w:rPr>
              <w:t>现状监测因子</w:t>
            </w:r>
          </w:p>
        </w:tc>
        <w:tc>
          <w:tcPr>
            <w:tcW w:w="7120" w:type="dxa"/>
            <w:gridSpan w:val="6"/>
            <w:tcBorders>
              <w:tl2br w:val="nil"/>
              <w:tr2bl w:val="nil"/>
            </w:tcBorders>
            <w:vAlign w:val="center"/>
          </w:tcPr>
          <w:p>
            <w:pPr>
              <w:spacing w:line="310" w:lineRule="exact"/>
              <w:jc w:val="center"/>
              <w:rPr>
                <w:rFonts w:eastAsia="仿宋_GB2312"/>
              </w:rPr>
            </w:pPr>
            <w:r>
              <w:rPr>
                <w:rFonts w:hint="eastAsia" w:eastAsia="仿宋_GB2312"/>
              </w:rPr>
              <w:t>总汞、总砷、铜、镍、铅、镉、</w:t>
            </w:r>
            <w:r>
              <w:rPr>
                <w:rFonts w:eastAsia="仿宋_GB2312"/>
              </w:rPr>
              <w:t>铬</w:t>
            </w:r>
            <w:r>
              <w:rPr>
                <w:rFonts w:hint="eastAsia" w:eastAsia="仿宋_GB2312"/>
              </w:rPr>
              <w:t>（六价）、石油烃、苯乙烯、氯甲烷、氯乙烯、1,1-二氯乙烯、二氯甲烷、反-1,2-二氯乙烯、1,1-二氯乙烷、顺-1,2-二氯乙烯、氯仿、1,1,1-三氯乙烷、四氯化碳、苯、1,2-二氯乙烷、三氯乙烯、1,2-二氯丙烷、甲苯、1,1,2-三氯乙烷、四氯乙烯、氯苯、1,1,1,2-四氯乙烷、乙苯、间,对二甲苯、邻二甲苯、苯乙烯、1,1,2,2-四氯乙烷、1,2,3-三氯丙烷、1,4-二氯苯、1,2-二氯苯、苯胺、</w:t>
            </w:r>
            <w:r>
              <w:rPr>
                <w:rFonts w:eastAsia="仿宋_GB2312"/>
              </w:rPr>
              <w:t>2-</w:t>
            </w:r>
            <w:r>
              <w:rPr>
                <w:rFonts w:hint="eastAsia" w:eastAsia="仿宋_GB2312"/>
              </w:rPr>
              <w:t>氯苯酚、硝基苯、萘、苯并</w:t>
            </w:r>
            <w:r>
              <w:rPr>
                <w:rFonts w:eastAsia="仿宋_GB2312"/>
              </w:rPr>
              <w:t>[a]</w:t>
            </w:r>
            <w:r>
              <w:rPr>
                <w:rFonts w:hint="eastAsia" w:eastAsia="仿宋_GB2312"/>
              </w:rPr>
              <w:t>蒽、</w:t>
            </w:r>
            <w:r>
              <w:rPr>
                <w:rFonts w:hint="eastAsia" w:ascii="微软雅黑" w:hAnsi="微软雅黑" w:eastAsia="微软雅黑" w:cs="微软雅黑"/>
              </w:rPr>
              <w:t>䓛</w:t>
            </w:r>
            <w:r>
              <w:rPr>
                <w:rFonts w:hint="eastAsia" w:eastAsia="仿宋_GB2312"/>
              </w:rPr>
              <w:t>、苯并</w:t>
            </w:r>
            <w:r>
              <w:rPr>
                <w:rFonts w:eastAsia="仿宋_GB2312"/>
              </w:rPr>
              <w:t>[b]</w:t>
            </w:r>
            <w:r>
              <w:rPr>
                <w:rFonts w:hint="eastAsia" w:eastAsia="仿宋_GB2312"/>
              </w:rPr>
              <w:t>荧蒽、苯并</w:t>
            </w:r>
            <w:r>
              <w:rPr>
                <w:rFonts w:eastAsia="仿宋_GB2312"/>
              </w:rPr>
              <w:t>[k]</w:t>
            </w:r>
            <w:r>
              <w:rPr>
                <w:rFonts w:hint="eastAsia" w:eastAsia="仿宋_GB2312"/>
              </w:rPr>
              <w:t>荧蒽、苯并</w:t>
            </w:r>
            <w:r>
              <w:rPr>
                <w:rFonts w:eastAsia="仿宋_GB2312"/>
              </w:rPr>
              <w:t>[a]</w:t>
            </w:r>
            <w:r>
              <w:rPr>
                <w:rFonts w:hint="eastAsia" w:eastAsia="仿宋_GB2312"/>
              </w:rPr>
              <w:t>芘、茚并</w:t>
            </w:r>
            <w:r>
              <w:rPr>
                <w:rFonts w:eastAsia="仿宋_GB2312"/>
              </w:rPr>
              <w:t>[1,2,3-cd]</w:t>
            </w:r>
            <w:r>
              <w:rPr>
                <w:rFonts w:hint="eastAsia" w:eastAsia="仿宋_GB2312"/>
              </w:rPr>
              <w:t>芘、二苯并</w:t>
            </w:r>
            <w:r>
              <w:rPr>
                <w:rFonts w:eastAsia="仿宋_GB2312"/>
              </w:rPr>
              <w:t>[a</w:t>
            </w:r>
            <w:r>
              <w:rPr>
                <w:rFonts w:hint="eastAsia" w:eastAsia="仿宋_GB2312"/>
              </w:rPr>
              <w:t>，</w:t>
            </w:r>
            <w:r>
              <w:rPr>
                <w:rFonts w:eastAsia="仿宋_GB2312"/>
              </w:rPr>
              <w:t>h]</w:t>
            </w:r>
            <w:r>
              <w:rPr>
                <w:rFonts w:hint="eastAsia" w:eastAsia="仿宋_GB2312"/>
              </w:rPr>
              <w:t>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vMerge w:val="restart"/>
            <w:tcBorders>
              <w:tl2br w:val="nil"/>
              <w:tr2bl w:val="nil"/>
            </w:tcBorders>
            <w:vAlign w:val="center"/>
          </w:tcPr>
          <w:p>
            <w:pPr>
              <w:spacing w:line="310" w:lineRule="exact"/>
              <w:jc w:val="center"/>
              <w:rPr>
                <w:rFonts w:eastAsia="仿宋_GB2312"/>
              </w:rPr>
            </w:pPr>
            <w:r>
              <w:rPr>
                <w:rFonts w:eastAsia="仿宋_GB2312"/>
              </w:rPr>
              <w:t>现状评价</w:t>
            </w:r>
          </w:p>
        </w:tc>
        <w:tc>
          <w:tcPr>
            <w:tcW w:w="1441" w:type="dxa"/>
            <w:tcBorders>
              <w:tl2br w:val="nil"/>
              <w:tr2bl w:val="nil"/>
            </w:tcBorders>
            <w:vAlign w:val="center"/>
          </w:tcPr>
          <w:p>
            <w:pPr>
              <w:spacing w:line="310" w:lineRule="exact"/>
              <w:jc w:val="center"/>
              <w:rPr>
                <w:rFonts w:eastAsia="仿宋_GB2312"/>
              </w:rPr>
            </w:pPr>
            <w:r>
              <w:rPr>
                <w:rFonts w:eastAsia="仿宋_GB2312"/>
              </w:rPr>
              <w:t>评价因子</w:t>
            </w:r>
          </w:p>
        </w:tc>
        <w:tc>
          <w:tcPr>
            <w:tcW w:w="7120" w:type="dxa"/>
            <w:gridSpan w:val="6"/>
            <w:tcBorders>
              <w:tl2br w:val="nil"/>
              <w:tr2bl w:val="nil"/>
            </w:tcBorders>
            <w:vAlign w:val="center"/>
          </w:tcPr>
          <w:p>
            <w:pPr>
              <w:spacing w:line="310" w:lineRule="exact"/>
              <w:jc w:val="center"/>
              <w:rPr>
                <w:rFonts w:eastAsia="仿宋_GB2312"/>
              </w:rPr>
            </w:pPr>
            <w:r>
              <w:rPr>
                <w:rFonts w:hint="eastAsia" w:eastAsia="仿宋_GB2312"/>
              </w:rPr>
              <w:t>总汞、总砷、铜、镍、铅、镉、</w:t>
            </w:r>
            <w:r>
              <w:rPr>
                <w:rFonts w:eastAsia="仿宋_GB2312"/>
              </w:rPr>
              <w:t>铬</w:t>
            </w:r>
            <w:r>
              <w:rPr>
                <w:rFonts w:hint="eastAsia" w:eastAsia="仿宋_GB2312"/>
              </w:rPr>
              <w:t>（六价）、石油烃、苯乙烯、氯甲烷、氯乙烯、1,1-二氯乙烯、二氯甲烷、反-1,2-二氯乙烯、1,1-二氯乙烷、顺-1,2-二氯乙烯、氯仿、1,1,1-三氯乙烷、四氯化碳、苯、1,2-二氯乙烷、三氯乙烯、1,2-二氯丙烷、甲苯、1,1,2-三氯乙烷、四氯乙烯、氯苯、1,1,1,2-四氯乙烷、乙苯、间,对二甲苯、邻二甲苯、苯乙烯、1,1,2,2-四氯乙烷、1,2,3-三氯丙烷、1,4-二氯苯、1,2-二氯苯、苯胺、</w:t>
            </w:r>
            <w:r>
              <w:rPr>
                <w:rFonts w:eastAsia="仿宋_GB2312"/>
              </w:rPr>
              <w:t>2-</w:t>
            </w:r>
            <w:r>
              <w:rPr>
                <w:rFonts w:hint="eastAsia" w:eastAsia="仿宋_GB2312"/>
              </w:rPr>
              <w:t>氯苯酚、硝基苯、萘、苯并</w:t>
            </w:r>
            <w:r>
              <w:rPr>
                <w:rFonts w:eastAsia="仿宋_GB2312"/>
              </w:rPr>
              <w:t>[a]</w:t>
            </w:r>
            <w:r>
              <w:rPr>
                <w:rFonts w:hint="eastAsia" w:eastAsia="仿宋_GB2312"/>
              </w:rPr>
              <w:t>蒽、</w:t>
            </w:r>
            <w:r>
              <w:rPr>
                <w:rFonts w:hint="eastAsia" w:ascii="微软雅黑" w:hAnsi="微软雅黑" w:eastAsia="微软雅黑" w:cs="微软雅黑"/>
              </w:rPr>
              <w:t>䓛</w:t>
            </w:r>
            <w:r>
              <w:rPr>
                <w:rFonts w:hint="eastAsia" w:eastAsia="仿宋_GB2312"/>
              </w:rPr>
              <w:t>、苯并</w:t>
            </w:r>
            <w:r>
              <w:rPr>
                <w:rFonts w:eastAsia="仿宋_GB2312"/>
              </w:rPr>
              <w:t>[b]</w:t>
            </w:r>
            <w:r>
              <w:rPr>
                <w:rFonts w:hint="eastAsia" w:eastAsia="仿宋_GB2312"/>
              </w:rPr>
              <w:t>荧蒽、苯并</w:t>
            </w:r>
            <w:r>
              <w:rPr>
                <w:rFonts w:eastAsia="仿宋_GB2312"/>
              </w:rPr>
              <w:t>[k]</w:t>
            </w:r>
            <w:r>
              <w:rPr>
                <w:rFonts w:hint="eastAsia" w:eastAsia="仿宋_GB2312"/>
              </w:rPr>
              <w:t>荧蒽、苯并</w:t>
            </w:r>
            <w:r>
              <w:rPr>
                <w:rFonts w:eastAsia="仿宋_GB2312"/>
              </w:rPr>
              <w:t>[a]</w:t>
            </w:r>
            <w:r>
              <w:rPr>
                <w:rFonts w:hint="eastAsia" w:eastAsia="仿宋_GB2312"/>
              </w:rPr>
              <w:t>芘、茚并</w:t>
            </w:r>
            <w:r>
              <w:rPr>
                <w:rFonts w:eastAsia="仿宋_GB2312"/>
              </w:rPr>
              <w:t>[1,2,3-cd]</w:t>
            </w:r>
            <w:r>
              <w:rPr>
                <w:rFonts w:hint="eastAsia" w:eastAsia="仿宋_GB2312"/>
              </w:rPr>
              <w:t>芘、二苯并</w:t>
            </w:r>
            <w:r>
              <w:rPr>
                <w:rFonts w:eastAsia="仿宋_GB2312"/>
              </w:rPr>
              <w:t>[a</w:t>
            </w:r>
            <w:r>
              <w:rPr>
                <w:rFonts w:hint="eastAsia" w:eastAsia="仿宋_GB2312"/>
              </w:rPr>
              <w:t>，</w:t>
            </w:r>
            <w:r>
              <w:rPr>
                <w:rFonts w:eastAsia="仿宋_GB2312"/>
              </w:rPr>
              <w:t>h]</w:t>
            </w:r>
            <w:r>
              <w:rPr>
                <w:rFonts w:hint="eastAsia" w:eastAsia="仿宋_GB2312"/>
              </w:rPr>
              <w:t>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vMerge w:val="continue"/>
            <w:tcBorders>
              <w:tl2br w:val="nil"/>
              <w:tr2bl w:val="nil"/>
            </w:tcBorders>
            <w:vAlign w:val="center"/>
          </w:tcPr>
          <w:p>
            <w:pPr>
              <w:spacing w:line="310" w:lineRule="exact"/>
              <w:jc w:val="center"/>
              <w:rPr>
                <w:rFonts w:eastAsia="仿宋_GB2312"/>
              </w:rPr>
            </w:pPr>
          </w:p>
        </w:tc>
        <w:tc>
          <w:tcPr>
            <w:tcW w:w="1441" w:type="dxa"/>
            <w:tcBorders>
              <w:tl2br w:val="nil"/>
              <w:tr2bl w:val="nil"/>
            </w:tcBorders>
            <w:vAlign w:val="center"/>
          </w:tcPr>
          <w:p>
            <w:pPr>
              <w:spacing w:line="310" w:lineRule="exact"/>
              <w:jc w:val="center"/>
              <w:rPr>
                <w:rFonts w:eastAsia="仿宋_GB2312"/>
              </w:rPr>
            </w:pPr>
            <w:r>
              <w:rPr>
                <w:rFonts w:eastAsia="仿宋_GB2312"/>
              </w:rPr>
              <w:t>评价标准</w:t>
            </w:r>
          </w:p>
        </w:tc>
        <w:tc>
          <w:tcPr>
            <w:tcW w:w="7120" w:type="dxa"/>
            <w:gridSpan w:val="6"/>
            <w:tcBorders>
              <w:tl2br w:val="nil"/>
              <w:tr2bl w:val="nil"/>
            </w:tcBorders>
            <w:vAlign w:val="center"/>
          </w:tcPr>
          <w:p>
            <w:pPr>
              <w:spacing w:line="310" w:lineRule="exact"/>
              <w:jc w:val="center"/>
              <w:rPr>
                <w:rFonts w:eastAsia="仿宋_GB2312"/>
              </w:rPr>
            </w:pPr>
            <w:r>
              <w:rPr>
                <w:rFonts w:eastAsia="仿宋_GB2312"/>
              </w:rPr>
              <w:t>GB15618√；GB36600√；表D.1□；表D.2□；其他（）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vMerge w:val="continue"/>
            <w:tcBorders>
              <w:tl2br w:val="nil"/>
              <w:tr2bl w:val="nil"/>
            </w:tcBorders>
            <w:vAlign w:val="center"/>
          </w:tcPr>
          <w:p>
            <w:pPr>
              <w:spacing w:line="310" w:lineRule="exact"/>
              <w:jc w:val="center"/>
              <w:rPr>
                <w:rFonts w:eastAsia="仿宋_GB2312"/>
              </w:rPr>
            </w:pPr>
          </w:p>
        </w:tc>
        <w:tc>
          <w:tcPr>
            <w:tcW w:w="1441" w:type="dxa"/>
            <w:tcBorders>
              <w:tl2br w:val="nil"/>
              <w:tr2bl w:val="nil"/>
            </w:tcBorders>
            <w:vAlign w:val="center"/>
          </w:tcPr>
          <w:p>
            <w:pPr>
              <w:spacing w:line="310" w:lineRule="exact"/>
              <w:jc w:val="center"/>
              <w:rPr>
                <w:rFonts w:eastAsia="仿宋_GB2312"/>
              </w:rPr>
            </w:pPr>
            <w:r>
              <w:rPr>
                <w:rFonts w:eastAsia="仿宋_GB2312"/>
              </w:rPr>
              <w:t>现状评价结论</w:t>
            </w:r>
          </w:p>
        </w:tc>
        <w:tc>
          <w:tcPr>
            <w:tcW w:w="7120" w:type="dxa"/>
            <w:gridSpan w:val="6"/>
            <w:tcBorders>
              <w:tl2br w:val="nil"/>
              <w:tr2bl w:val="nil"/>
            </w:tcBorders>
            <w:vAlign w:val="center"/>
          </w:tcPr>
          <w:p>
            <w:pPr>
              <w:spacing w:line="310" w:lineRule="exact"/>
              <w:jc w:val="center"/>
              <w:rPr>
                <w:rFonts w:eastAsia="仿宋_GB2312"/>
              </w:rPr>
            </w:pPr>
            <w:r>
              <w:rPr>
                <w:rFonts w:hint="eastAsia" w:eastAsia="仿宋_GB2312"/>
              </w:rPr>
              <w:t>T9点位</w:t>
            </w:r>
            <w:r>
              <w:rPr>
                <w:rFonts w:eastAsia="仿宋_GB2312"/>
              </w:rPr>
              <w:t>满足</w:t>
            </w:r>
            <w:r>
              <w:rPr>
                <w:rFonts w:hint="eastAsia" w:eastAsia="仿宋_GB2312"/>
              </w:rPr>
              <w:t>《</w:t>
            </w:r>
            <w:r>
              <w:rPr>
                <w:rFonts w:eastAsia="仿宋_GB2312"/>
              </w:rPr>
              <w:t>土壤环境质量 农用地土壤污染风险管控标准（试行）</w:t>
            </w:r>
            <w:r>
              <w:rPr>
                <w:rFonts w:hint="eastAsia" w:eastAsia="仿宋_GB2312"/>
              </w:rPr>
              <w:t>》</w:t>
            </w:r>
            <w:r>
              <w:rPr>
                <w:rFonts w:eastAsia="仿宋_GB2312"/>
              </w:rPr>
              <w:t>(GB 15618</w:t>
            </w:r>
            <w:r>
              <w:rPr>
                <w:rFonts w:hint="eastAsia" w:eastAsia="仿宋_GB2312"/>
              </w:rPr>
              <w:t>-</w:t>
            </w:r>
            <w:r>
              <w:rPr>
                <w:rFonts w:eastAsia="仿宋_GB2312"/>
              </w:rPr>
              <w:t>2018)</w:t>
            </w:r>
            <w:r>
              <w:rPr>
                <w:rFonts w:hint="eastAsia" w:eastAsia="仿宋_GB2312"/>
              </w:rPr>
              <w:t>中</w:t>
            </w:r>
            <w:r>
              <w:rPr>
                <w:rFonts w:eastAsia="仿宋_GB2312"/>
              </w:rPr>
              <w:t>农用地土壤环境质量标准，其余点位所测各项土壤指标均符合《土壤环境质量建设用地土壤污染风险管控标准</w:t>
            </w:r>
            <w:r>
              <w:rPr>
                <w:rFonts w:hint="eastAsia" w:eastAsia="仿宋_GB2312"/>
              </w:rPr>
              <w:t>（试行）</w:t>
            </w:r>
            <w:r>
              <w:rPr>
                <w:rFonts w:eastAsia="仿宋_GB2312"/>
              </w:rPr>
              <w:t>》（GB36600-2018）中</w:t>
            </w:r>
            <w:r>
              <w:rPr>
                <w:rFonts w:hint="eastAsia" w:eastAsia="仿宋_GB2312"/>
              </w:rPr>
              <w:t>第二类用地</w:t>
            </w:r>
            <w:r>
              <w:rPr>
                <w:rFonts w:eastAsia="仿宋_GB2312"/>
              </w:rPr>
              <w:t>的筛选值，区域内土壤环境质量良好。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vMerge w:val="restart"/>
            <w:tcBorders>
              <w:tl2br w:val="nil"/>
              <w:tr2bl w:val="nil"/>
            </w:tcBorders>
            <w:vAlign w:val="center"/>
          </w:tcPr>
          <w:p>
            <w:pPr>
              <w:spacing w:line="310" w:lineRule="exact"/>
              <w:jc w:val="center"/>
              <w:rPr>
                <w:rFonts w:eastAsia="仿宋_GB2312"/>
              </w:rPr>
            </w:pPr>
            <w:r>
              <w:rPr>
                <w:rFonts w:eastAsia="仿宋_GB2312"/>
              </w:rPr>
              <w:t>影响预测</w:t>
            </w:r>
          </w:p>
        </w:tc>
        <w:tc>
          <w:tcPr>
            <w:tcW w:w="1441" w:type="dxa"/>
            <w:tcBorders>
              <w:tl2br w:val="nil"/>
              <w:tr2bl w:val="nil"/>
            </w:tcBorders>
            <w:vAlign w:val="center"/>
          </w:tcPr>
          <w:p>
            <w:pPr>
              <w:spacing w:line="310" w:lineRule="exact"/>
              <w:jc w:val="center"/>
              <w:rPr>
                <w:rFonts w:eastAsia="仿宋_GB2312"/>
              </w:rPr>
            </w:pPr>
            <w:r>
              <w:rPr>
                <w:rFonts w:eastAsia="仿宋_GB2312"/>
              </w:rPr>
              <w:t>预测因子</w:t>
            </w:r>
          </w:p>
        </w:tc>
        <w:tc>
          <w:tcPr>
            <w:tcW w:w="7120" w:type="dxa"/>
            <w:gridSpan w:val="6"/>
            <w:tcBorders>
              <w:tl2br w:val="nil"/>
              <w:tr2bl w:val="nil"/>
            </w:tcBorders>
            <w:vAlign w:val="center"/>
          </w:tcPr>
          <w:p>
            <w:pPr>
              <w:spacing w:line="310" w:lineRule="exact"/>
              <w:jc w:val="center"/>
              <w:rPr>
                <w:rFonts w:eastAsia="仿宋_GB2312"/>
              </w:rPr>
            </w:pPr>
            <w:r>
              <w:rPr>
                <w:rFonts w:hint="eastAsia" w:eastAsia="仿宋_GB2312"/>
              </w:rPr>
              <w:t>二甲苯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vMerge w:val="continue"/>
            <w:tcBorders>
              <w:tl2br w:val="nil"/>
              <w:tr2bl w:val="nil"/>
            </w:tcBorders>
            <w:vAlign w:val="center"/>
          </w:tcPr>
          <w:p>
            <w:pPr>
              <w:spacing w:line="310" w:lineRule="exact"/>
              <w:jc w:val="center"/>
              <w:rPr>
                <w:rFonts w:eastAsia="仿宋_GB2312"/>
              </w:rPr>
            </w:pPr>
          </w:p>
        </w:tc>
        <w:tc>
          <w:tcPr>
            <w:tcW w:w="1441" w:type="dxa"/>
            <w:tcBorders>
              <w:tl2br w:val="nil"/>
              <w:tr2bl w:val="nil"/>
            </w:tcBorders>
            <w:vAlign w:val="center"/>
          </w:tcPr>
          <w:p>
            <w:pPr>
              <w:spacing w:line="310" w:lineRule="exact"/>
              <w:jc w:val="center"/>
              <w:rPr>
                <w:rFonts w:eastAsia="仿宋_GB2312"/>
              </w:rPr>
            </w:pPr>
            <w:r>
              <w:rPr>
                <w:rFonts w:eastAsia="仿宋_GB2312"/>
              </w:rPr>
              <w:t>预测方法</w:t>
            </w:r>
          </w:p>
        </w:tc>
        <w:tc>
          <w:tcPr>
            <w:tcW w:w="7120" w:type="dxa"/>
            <w:gridSpan w:val="6"/>
            <w:tcBorders>
              <w:tl2br w:val="nil"/>
              <w:tr2bl w:val="nil"/>
            </w:tcBorders>
            <w:vAlign w:val="center"/>
          </w:tcPr>
          <w:p>
            <w:pPr>
              <w:spacing w:line="310" w:lineRule="exact"/>
              <w:jc w:val="center"/>
              <w:rPr>
                <w:rFonts w:eastAsia="仿宋_GB2312"/>
              </w:rPr>
            </w:pPr>
            <w:r>
              <w:rPr>
                <w:rFonts w:eastAsia="仿宋_GB2312"/>
              </w:rPr>
              <w:t>附录E√；附录F□；其他（）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vMerge w:val="continue"/>
            <w:tcBorders>
              <w:tl2br w:val="nil"/>
              <w:tr2bl w:val="nil"/>
            </w:tcBorders>
            <w:vAlign w:val="center"/>
          </w:tcPr>
          <w:p>
            <w:pPr>
              <w:spacing w:line="310" w:lineRule="exact"/>
              <w:jc w:val="center"/>
              <w:rPr>
                <w:rFonts w:eastAsia="仿宋_GB2312"/>
              </w:rPr>
            </w:pPr>
          </w:p>
        </w:tc>
        <w:tc>
          <w:tcPr>
            <w:tcW w:w="1441" w:type="dxa"/>
            <w:tcBorders>
              <w:tl2br w:val="nil"/>
              <w:tr2bl w:val="nil"/>
            </w:tcBorders>
            <w:vAlign w:val="center"/>
          </w:tcPr>
          <w:p>
            <w:pPr>
              <w:spacing w:line="310" w:lineRule="exact"/>
              <w:jc w:val="center"/>
              <w:rPr>
                <w:rFonts w:eastAsia="仿宋_GB2312"/>
              </w:rPr>
            </w:pPr>
            <w:r>
              <w:rPr>
                <w:rFonts w:eastAsia="仿宋_GB2312"/>
              </w:rPr>
              <w:t>预测分析内容</w:t>
            </w:r>
          </w:p>
        </w:tc>
        <w:tc>
          <w:tcPr>
            <w:tcW w:w="7120" w:type="dxa"/>
            <w:gridSpan w:val="6"/>
            <w:tcBorders>
              <w:tl2br w:val="nil"/>
              <w:tr2bl w:val="nil"/>
            </w:tcBorders>
            <w:vAlign w:val="center"/>
          </w:tcPr>
          <w:p>
            <w:pPr>
              <w:spacing w:line="310" w:lineRule="exact"/>
              <w:jc w:val="center"/>
              <w:rPr>
                <w:rFonts w:eastAsia="仿宋_GB2312"/>
              </w:rPr>
            </w:pPr>
            <w:r>
              <w:rPr>
                <w:rFonts w:eastAsia="仿宋_GB2312"/>
              </w:rPr>
              <w:t>影响范围（）</w:t>
            </w:r>
          </w:p>
          <w:p>
            <w:pPr>
              <w:spacing w:line="310" w:lineRule="exact"/>
              <w:jc w:val="center"/>
              <w:rPr>
                <w:rFonts w:eastAsia="仿宋_GB2312"/>
              </w:rPr>
            </w:pPr>
            <w:r>
              <w:rPr>
                <w:rFonts w:eastAsia="仿宋_GB2312"/>
              </w:rPr>
              <w:t>影响程度（</w:t>
            </w:r>
            <w:r>
              <w:rPr>
                <w:rFonts w:hint="eastAsia" w:eastAsia="仿宋_GB2312"/>
              </w:rPr>
              <w:t>苯乙烯</w:t>
            </w:r>
            <w:r>
              <w:rPr>
                <w:rFonts w:eastAsia="仿宋_GB2312"/>
              </w:rPr>
              <w:t>对土壤影响很小，在土壤中的累积量远小于建设用地第二类用地土壤污染风险筛选值）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vMerge w:val="continue"/>
            <w:tcBorders>
              <w:tl2br w:val="nil"/>
              <w:tr2bl w:val="nil"/>
            </w:tcBorders>
            <w:vAlign w:val="center"/>
          </w:tcPr>
          <w:p>
            <w:pPr>
              <w:spacing w:line="310" w:lineRule="exact"/>
              <w:jc w:val="center"/>
              <w:rPr>
                <w:rFonts w:eastAsia="仿宋_GB2312"/>
              </w:rPr>
            </w:pPr>
          </w:p>
        </w:tc>
        <w:tc>
          <w:tcPr>
            <w:tcW w:w="1441" w:type="dxa"/>
            <w:tcBorders>
              <w:tl2br w:val="nil"/>
              <w:tr2bl w:val="nil"/>
            </w:tcBorders>
            <w:vAlign w:val="center"/>
          </w:tcPr>
          <w:p>
            <w:pPr>
              <w:spacing w:line="310" w:lineRule="exact"/>
              <w:jc w:val="center"/>
              <w:rPr>
                <w:rFonts w:eastAsia="仿宋_GB2312"/>
              </w:rPr>
            </w:pPr>
            <w:r>
              <w:rPr>
                <w:rFonts w:eastAsia="仿宋_GB2312"/>
              </w:rPr>
              <w:t>预测结论</w:t>
            </w:r>
          </w:p>
        </w:tc>
        <w:tc>
          <w:tcPr>
            <w:tcW w:w="7120" w:type="dxa"/>
            <w:gridSpan w:val="6"/>
            <w:tcBorders>
              <w:tl2br w:val="nil"/>
              <w:tr2bl w:val="nil"/>
            </w:tcBorders>
            <w:vAlign w:val="center"/>
          </w:tcPr>
          <w:p>
            <w:pPr>
              <w:spacing w:line="310" w:lineRule="exact"/>
              <w:jc w:val="center"/>
              <w:rPr>
                <w:rFonts w:eastAsia="仿宋_GB2312"/>
              </w:rPr>
            </w:pPr>
            <w:r>
              <w:rPr>
                <w:rFonts w:eastAsia="仿宋_GB2312"/>
              </w:rPr>
              <w:t>达标结论：a）√；b）□；c）□</w:t>
            </w:r>
          </w:p>
          <w:p>
            <w:pPr>
              <w:spacing w:line="310" w:lineRule="exact"/>
              <w:jc w:val="center"/>
              <w:rPr>
                <w:rFonts w:eastAsia="仿宋_GB2312"/>
              </w:rPr>
            </w:pPr>
            <w:r>
              <w:rPr>
                <w:rFonts w:eastAsia="仿宋_GB2312"/>
              </w:rPr>
              <w:t>不达标结论：a）□；b）□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vMerge w:val="restart"/>
            <w:tcBorders>
              <w:tl2br w:val="nil"/>
              <w:tr2bl w:val="nil"/>
            </w:tcBorders>
            <w:vAlign w:val="center"/>
          </w:tcPr>
          <w:p>
            <w:pPr>
              <w:spacing w:line="310" w:lineRule="exact"/>
              <w:jc w:val="center"/>
              <w:rPr>
                <w:rFonts w:eastAsia="仿宋_GB2312"/>
              </w:rPr>
            </w:pPr>
            <w:r>
              <w:rPr>
                <w:rFonts w:eastAsia="仿宋_GB2312"/>
              </w:rPr>
              <w:t>防治措施</w:t>
            </w:r>
          </w:p>
        </w:tc>
        <w:tc>
          <w:tcPr>
            <w:tcW w:w="1441" w:type="dxa"/>
            <w:tcBorders>
              <w:tl2br w:val="nil"/>
              <w:tr2bl w:val="nil"/>
            </w:tcBorders>
            <w:vAlign w:val="center"/>
          </w:tcPr>
          <w:p>
            <w:pPr>
              <w:spacing w:line="310" w:lineRule="exact"/>
              <w:jc w:val="center"/>
              <w:rPr>
                <w:rFonts w:eastAsia="仿宋_GB2312"/>
              </w:rPr>
            </w:pPr>
            <w:r>
              <w:rPr>
                <w:rFonts w:eastAsia="仿宋_GB2312"/>
              </w:rPr>
              <w:t>防控措施</w:t>
            </w:r>
          </w:p>
        </w:tc>
        <w:tc>
          <w:tcPr>
            <w:tcW w:w="7120" w:type="dxa"/>
            <w:gridSpan w:val="6"/>
            <w:tcBorders>
              <w:tl2br w:val="nil"/>
              <w:tr2bl w:val="nil"/>
            </w:tcBorders>
            <w:vAlign w:val="center"/>
          </w:tcPr>
          <w:p>
            <w:pPr>
              <w:spacing w:line="310" w:lineRule="exact"/>
              <w:jc w:val="center"/>
              <w:rPr>
                <w:rFonts w:eastAsia="仿宋_GB2312"/>
              </w:rPr>
            </w:pPr>
            <w:r>
              <w:rPr>
                <w:rFonts w:eastAsia="仿宋_GB2312"/>
              </w:rPr>
              <w:t>土壤环境质量现状保障√；源头控制√；过程防控√；其他（）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vMerge w:val="continue"/>
            <w:tcBorders>
              <w:tl2br w:val="nil"/>
              <w:tr2bl w:val="nil"/>
            </w:tcBorders>
            <w:vAlign w:val="center"/>
          </w:tcPr>
          <w:p>
            <w:pPr>
              <w:spacing w:line="310" w:lineRule="exact"/>
              <w:jc w:val="center"/>
              <w:rPr>
                <w:rFonts w:eastAsia="仿宋_GB2312"/>
              </w:rPr>
            </w:pPr>
          </w:p>
        </w:tc>
        <w:tc>
          <w:tcPr>
            <w:tcW w:w="1441" w:type="dxa"/>
            <w:vMerge w:val="restart"/>
            <w:tcBorders>
              <w:tl2br w:val="nil"/>
              <w:tr2bl w:val="nil"/>
            </w:tcBorders>
            <w:vAlign w:val="center"/>
          </w:tcPr>
          <w:p>
            <w:pPr>
              <w:spacing w:line="310" w:lineRule="exact"/>
              <w:jc w:val="center"/>
              <w:rPr>
                <w:rFonts w:eastAsia="仿宋_GB2312"/>
              </w:rPr>
            </w:pPr>
            <w:r>
              <w:rPr>
                <w:rFonts w:eastAsia="仿宋_GB2312"/>
              </w:rPr>
              <w:t>跟踪监测</w:t>
            </w:r>
          </w:p>
        </w:tc>
        <w:tc>
          <w:tcPr>
            <w:tcW w:w="2017" w:type="dxa"/>
            <w:gridSpan w:val="2"/>
            <w:tcBorders>
              <w:tl2br w:val="nil"/>
              <w:tr2bl w:val="nil"/>
            </w:tcBorders>
            <w:vAlign w:val="center"/>
          </w:tcPr>
          <w:p>
            <w:pPr>
              <w:spacing w:line="310" w:lineRule="exact"/>
              <w:jc w:val="center"/>
              <w:rPr>
                <w:rFonts w:eastAsia="仿宋_GB2312"/>
              </w:rPr>
            </w:pPr>
            <w:r>
              <w:rPr>
                <w:rFonts w:eastAsia="仿宋_GB2312"/>
              </w:rPr>
              <w:t>监测点位</w:t>
            </w:r>
          </w:p>
        </w:tc>
        <w:tc>
          <w:tcPr>
            <w:tcW w:w="2977" w:type="dxa"/>
            <w:gridSpan w:val="2"/>
            <w:tcBorders>
              <w:tl2br w:val="nil"/>
              <w:tr2bl w:val="nil"/>
            </w:tcBorders>
            <w:vAlign w:val="center"/>
          </w:tcPr>
          <w:p>
            <w:pPr>
              <w:spacing w:line="310" w:lineRule="exact"/>
              <w:jc w:val="center"/>
              <w:rPr>
                <w:rFonts w:eastAsia="仿宋_GB2312"/>
              </w:rPr>
            </w:pPr>
            <w:r>
              <w:rPr>
                <w:rFonts w:eastAsia="仿宋_GB2312"/>
              </w:rPr>
              <w:t>监测指标</w:t>
            </w:r>
          </w:p>
        </w:tc>
        <w:tc>
          <w:tcPr>
            <w:tcW w:w="2126" w:type="dxa"/>
            <w:gridSpan w:val="2"/>
            <w:tcBorders>
              <w:tl2br w:val="nil"/>
              <w:tr2bl w:val="nil"/>
            </w:tcBorders>
            <w:vAlign w:val="center"/>
          </w:tcPr>
          <w:p>
            <w:pPr>
              <w:spacing w:line="310" w:lineRule="exact"/>
              <w:jc w:val="center"/>
              <w:rPr>
                <w:rFonts w:eastAsia="仿宋_GB2312"/>
              </w:rPr>
            </w:pPr>
            <w:r>
              <w:rPr>
                <w:rFonts w:eastAsia="仿宋_GB2312"/>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vMerge w:val="continue"/>
            <w:tcBorders>
              <w:tl2br w:val="nil"/>
              <w:tr2bl w:val="nil"/>
            </w:tcBorders>
            <w:vAlign w:val="center"/>
          </w:tcPr>
          <w:p>
            <w:pPr>
              <w:spacing w:line="310" w:lineRule="exact"/>
              <w:jc w:val="center"/>
              <w:rPr>
                <w:rFonts w:eastAsia="仿宋_GB2312"/>
              </w:rPr>
            </w:pPr>
          </w:p>
        </w:tc>
        <w:tc>
          <w:tcPr>
            <w:tcW w:w="1441" w:type="dxa"/>
            <w:vMerge w:val="continue"/>
            <w:tcBorders>
              <w:tl2br w:val="nil"/>
              <w:tr2bl w:val="nil"/>
            </w:tcBorders>
            <w:vAlign w:val="center"/>
          </w:tcPr>
          <w:p>
            <w:pPr>
              <w:spacing w:line="310" w:lineRule="exact"/>
              <w:jc w:val="center"/>
              <w:rPr>
                <w:rFonts w:eastAsia="仿宋_GB2312"/>
              </w:rPr>
            </w:pPr>
          </w:p>
        </w:tc>
        <w:tc>
          <w:tcPr>
            <w:tcW w:w="2017" w:type="dxa"/>
            <w:gridSpan w:val="2"/>
            <w:tcBorders>
              <w:tl2br w:val="nil"/>
              <w:tr2bl w:val="nil"/>
            </w:tcBorders>
            <w:vAlign w:val="center"/>
          </w:tcPr>
          <w:p>
            <w:pPr>
              <w:spacing w:line="310" w:lineRule="exact"/>
              <w:jc w:val="center"/>
              <w:rPr>
                <w:rFonts w:eastAsia="仿宋_GB2312"/>
              </w:rPr>
            </w:pPr>
            <w:r>
              <w:rPr>
                <w:rFonts w:eastAsia="仿宋_GB2312"/>
              </w:rPr>
              <w:t>生产车间及敏感点</w:t>
            </w:r>
          </w:p>
        </w:tc>
        <w:tc>
          <w:tcPr>
            <w:tcW w:w="2977" w:type="dxa"/>
            <w:gridSpan w:val="2"/>
            <w:tcBorders>
              <w:tl2br w:val="nil"/>
              <w:tr2bl w:val="nil"/>
            </w:tcBorders>
            <w:vAlign w:val="center"/>
          </w:tcPr>
          <w:p>
            <w:pPr>
              <w:spacing w:line="310" w:lineRule="exact"/>
              <w:jc w:val="center"/>
              <w:rPr>
                <w:rFonts w:eastAsia="仿宋_GB2312"/>
              </w:rPr>
            </w:pPr>
            <w:r>
              <w:rPr>
                <w:rFonts w:hint="eastAsia" w:eastAsia="仿宋_GB2312"/>
              </w:rPr>
              <w:t>二甲苯</w:t>
            </w:r>
          </w:p>
        </w:tc>
        <w:tc>
          <w:tcPr>
            <w:tcW w:w="2126" w:type="dxa"/>
            <w:gridSpan w:val="2"/>
            <w:tcBorders>
              <w:tl2br w:val="nil"/>
              <w:tr2bl w:val="nil"/>
            </w:tcBorders>
            <w:vAlign w:val="center"/>
          </w:tcPr>
          <w:p>
            <w:pPr>
              <w:spacing w:line="310" w:lineRule="exact"/>
              <w:jc w:val="center"/>
              <w:rPr>
                <w:rFonts w:eastAsia="仿宋_GB2312"/>
              </w:rPr>
            </w:pPr>
            <w:r>
              <w:rPr>
                <w:rFonts w:eastAsia="仿宋_GB2312"/>
              </w:rPr>
              <w:t>3年/次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vMerge w:val="continue"/>
            <w:tcBorders>
              <w:tl2br w:val="nil"/>
              <w:tr2bl w:val="nil"/>
            </w:tcBorders>
            <w:vAlign w:val="center"/>
          </w:tcPr>
          <w:p>
            <w:pPr>
              <w:spacing w:line="310" w:lineRule="exact"/>
              <w:jc w:val="center"/>
              <w:rPr>
                <w:rFonts w:eastAsia="仿宋_GB2312"/>
              </w:rPr>
            </w:pPr>
          </w:p>
        </w:tc>
        <w:tc>
          <w:tcPr>
            <w:tcW w:w="1441" w:type="dxa"/>
            <w:tcBorders>
              <w:tl2br w:val="nil"/>
              <w:tr2bl w:val="nil"/>
            </w:tcBorders>
            <w:vAlign w:val="center"/>
          </w:tcPr>
          <w:p>
            <w:pPr>
              <w:spacing w:line="310" w:lineRule="exact"/>
              <w:jc w:val="center"/>
              <w:rPr>
                <w:rFonts w:eastAsia="仿宋_GB2312"/>
              </w:rPr>
            </w:pPr>
            <w:r>
              <w:rPr>
                <w:rFonts w:eastAsia="仿宋_GB2312"/>
              </w:rPr>
              <w:t>信息公开指标</w:t>
            </w:r>
          </w:p>
        </w:tc>
        <w:tc>
          <w:tcPr>
            <w:tcW w:w="7120" w:type="dxa"/>
            <w:gridSpan w:val="6"/>
            <w:tcBorders>
              <w:tl2br w:val="nil"/>
              <w:tr2bl w:val="nil"/>
            </w:tcBorders>
            <w:vAlign w:val="center"/>
          </w:tcPr>
          <w:p>
            <w:pPr>
              <w:spacing w:line="310" w:lineRule="exact"/>
              <w:jc w:val="center"/>
              <w:rPr>
                <w:rFonts w:eastAsia="仿宋_GB2312"/>
              </w:rPr>
            </w:pPr>
            <w:r>
              <w:rPr>
                <w:rFonts w:eastAsia="仿宋_GB2312"/>
              </w:rPr>
              <w:t>特征因子的监测结果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1" w:type="dxa"/>
            <w:gridSpan w:val="2"/>
            <w:tcBorders>
              <w:tl2br w:val="nil"/>
              <w:tr2bl w:val="nil"/>
            </w:tcBorders>
            <w:vAlign w:val="center"/>
          </w:tcPr>
          <w:p>
            <w:pPr>
              <w:spacing w:line="310" w:lineRule="exact"/>
              <w:jc w:val="center"/>
              <w:rPr>
                <w:rFonts w:eastAsia="仿宋_GB2312"/>
              </w:rPr>
            </w:pPr>
            <w:r>
              <w:rPr>
                <w:rFonts w:eastAsia="仿宋_GB2312"/>
              </w:rPr>
              <w:t>评价结论</w:t>
            </w:r>
          </w:p>
        </w:tc>
        <w:tc>
          <w:tcPr>
            <w:tcW w:w="7120" w:type="dxa"/>
            <w:gridSpan w:val="6"/>
            <w:tcBorders>
              <w:tl2br w:val="nil"/>
              <w:tr2bl w:val="nil"/>
            </w:tcBorders>
            <w:vAlign w:val="center"/>
          </w:tcPr>
          <w:p>
            <w:pPr>
              <w:spacing w:line="310" w:lineRule="exact"/>
              <w:jc w:val="center"/>
              <w:rPr>
                <w:rFonts w:eastAsia="仿宋_GB2312"/>
              </w:rPr>
            </w:pPr>
            <w:r>
              <w:rPr>
                <w:rFonts w:eastAsia="仿宋_GB2312"/>
              </w:rPr>
              <w:t>项目对可能产生土壤影响的各项途径均进行有效预防，在确保各项防渗措施得以落实，并加强维护和厂区环境管理的前提下，项目不会对土壤环境产生明显影响。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1" w:type="dxa"/>
            <w:gridSpan w:val="8"/>
            <w:tcBorders>
              <w:tl2br w:val="nil"/>
              <w:tr2bl w:val="nil"/>
            </w:tcBorders>
            <w:vAlign w:val="center"/>
          </w:tcPr>
          <w:p>
            <w:pPr>
              <w:spacing w:line="310" w:lineRule="exact"/>
              <w:jc w:val="center"/>
              <w:rPr>
                <w:rFonts w:eastAsia="仿宋_GB2312"/>
              </w:rPr>
            </w:pPr>
            <w:r>
              <w:rPr>
                <w:rFonts w:eastAsia="仿宋_GB2312"/>
              </w:rPr>
              <w:t>注：“□”为打勾项，填“√”；“（）”为内容填写项</w:t>
            </w:r>
          </w:p>
        </w:tc>
      </w:tr>
    </w:tbl>
    <w:p>
      <w:pPr>
        <w:keepNext/>
        <w:numPr>
          <w:ilvl w:val="2"/>
          <w:numId w:val="1"/>
        </w:numPr>
        <w:tabs>
          <w:tab w:val="left" w:pos="709"/>
        </w:tabs>
        <w:spacing w:after="120" w:afterLines="50" w:line="500" w:lineRule="exact"/>
        <w:ind w:left="0" w:firstLine="0"/>
        <w:outlineLvl w:val="2"/>
        <w:rPr>
          <w:rFonts w:eastAsia="仿宋_GB2312"/>
          <w:b/>
          <w:bCs/>
          <w:sz w:val="30"/>
          <w:szCs w:val="30"/>
        </w:rPr>
      </w:pPr>
      <w:r>
        <w:rPr>
          <w:rFonts w:hint="eastAsia" w:eastAsia="仿宋_GB2312"/>
          <w:b/>
          <w:bCs/>
          <w:sz w:val="30"/>
          <w:szCs w:val="30"/>
        </w:rPr>
        <w:t>生态</w:t>
      </w:r>
      <w:r>
        <w:rPr>
          <w:rFonts w:eastAsia="仿宋_GB2312"/>
          <w:b/>
          <w:bCs/>
          <w:sz w:val="30"/>
          <w:szCs w:val="30"/>
        </w:rPr>
        <w:t>环境影响</w:t>
      </w:r>
      <w:r>
        <w:rPr>
          <w:rFonts w:hint="eastAsia" w:eastAsia="仿宋_GB2312"/>
          <w:b/>
          <w:bCs/>
          <w:sz w:val="30"/>
          <w:szCs w:val="30"/>
        </w:rPr>
        <w:t>评价</w:t>
      </w:r>
    </w:p>
    <w:p>
      <w:pPr>
        <w:spacing w:line="500" w:lineRule="exact"/>
        <w:ind w:firstLine="552" w:firstLineChars="200"/>
        <w:rPr>
          <w:rFonts w:eastAsia="仿宋_GB2312"/>
          <w:spacing w:val="-2"/>
          <w:sz w:val="28"/>
          <w:szCs w:val="20"/>
        </w:rPr>
      </w:pPr>
      <w:r>
        <w:rPr>
          <w:rFonts w:hint="eastAsia" w:eastAsia="仿宋_GB2312"/>
          <w:spacing w:val="-2"/>
          <w:sz w:val="28"/>
          <w:szCs w:val="20"/>
        </w:rPr>
        <w:t>本项目为</w:t>
      </w:r>
      <w:r>
        <w:rPr>
          <w:rFonts w:eastAsia="仿宋_GB2312"/>
          <w:spacing w:val="-2"/>
          <w:sz w:val="28"/>
          <w:szCs w:val="20"/>
        </w:rPr>
        <w:t>新建项目，</w:t>
      </w:r>
      <w:r>
        <w:rPr>
          <w:rFonts w:hint="eastAsia" w:eastAsia="仿宋_GB2312"/>
          <w:spacing w:val="-2"/>
          <w:sz w:val="28"/>
          <w:szCs w:val="20"/>
        </w:rPr>
        <w:t>对拟建地周边生态环境影响较小。</w:t>
      </w:r>
    </w:p>
    <w:p>
      <w:pPr>
        <w:keepNext/>
        <w:keepLines/>
        <w:numPr>
          <w:ilvl w:val="1"/>
          <w:numId w:val="1"/>
        </w:numPr>
        <w:tabs>
          <w:tab w:val="left" w:pos="0"/>
          <w:tab w:val="left" w:pos="426"/>
        </w:tabs>
        <w:spacing w:before="120" w:beforeLines="50" w:after="120" w:afterLines="50" w:line="500" w:lineRule="exact"/>
        <w:outlineLvl w:val="1"/>
        <w:rPr>
          <w:rFonts w:eastAsia="仿宋_GB2312"/>
          <w:b/>
          <w:spacing w:val="6"/>
          <w:kern w:val="0"/>
          <w:sz w:val="30"/>
          <w:szCs w:val="30"/>
        </w:rPr>
      </w:pPr>
      <w:bookmarkStart w:id="327" w:name="_Toc140565273"/>
      <w:r>
        <w:rPr>
          <w:rFonts w:eastAsia="仿宋_GB2312"/>
          <w:b/>
          <w:spacing w:val="6"/>
          <w:kern w:val="0"/>
          <w:sz w:val="30"/>
          <w:szCs w:val="30"/>
        </w:rPr>
        <w:t>环境风险评价</w:t>
      </w:r>
      <w:bookmarkEnd w:id="327"/>
    </w:p>
    <w:p>
      <w:pPr>
        <w:spacing w:line="500" w:lineRule="exact"/>
        <w:ind w:firstLine="552" w:firstLineChars="200"/>
        <w:rPr>
          <w:rFonts w:eastAsia="仿宋_GB2312"/>
          <w:spacing w:val="-2"/>
          <w:sz w:val="28"/>
          <w:szCs w:val="20"/>
        </w:rPr>
      </w:pPr>
      <w:r>
        <w:rPr>
          <w:rFonts w:eastAsia="仿宋_GB2312"/>
          <w:spacing w:val="-2"/>
          <w:sz w:val="28"/>
          <w:szCs w:val="20"/>
        </w:rPr>
        <w:t>根据国家环境保护部《关于进一步加强环境影响评价管理防范环境风险的通知》（环发[2012]77号）文件的有关规定，依据《建设项目环境风险评价技术导则》</w:t>
      </w:r>
      <w:r>
        <w:rPr>
          <w:rFonts w:hint="eastAsia" w:eastAsia="仿宋_GB2312"/>
          <w:spacing w:val="-2"/>
          <w:sz w:val="28"/>
          <w:szCs w:val="20"/>
        </w:rPr>
        <w:t>（H</w:t>
      </w:r>
      <w:r>
        <w:rPr>
          <w:rFonts w:eastAsia="仿宋_GB2312"/>
          <w:spacing w:val="-2"/>
          <w:sz w:val="28"/>
          <w:szCs w:val="20"/>
        </w:rPr>
        <w:t>J169-2018</w:t>
      </w:r>
      <w:r>
        <w:rPr>
          <w:rFonts w:hint="eastAsia" w:eastAsia="仿宋_GB2312"/>
          <w:spacing w:val="-2"/>
          <w:sz w:val="28"/>
          <w:szCs w:val="20"/>
        </w:rPr>
        <w:t>）</w:t>
      </w:r>
      <w:r>
        <w:rPr>
          <w:rFonts w:eastAsia="仿宋_GB2312"/>
          <w:spacing w:val="-2"/>
          <w:sz w:val="28"/>
          <w:szCs w:val="20"/>
        </w:rPr>
        <w:t>的要求，本次环境影响评价对厂区进行风险评价。</w:t>
      </w:r>
    </w:p>
    <w:p>
      <w:pPr>
        <w:keepNext/>
        <w:numPr>
          <w:ilvl w:val="2"/>
          <w:numId w:val="1"/>
        </w:numPr>
        <w:tabs>
          <w:tab w:val="left" w:pos="709"/>
        </w:tabs>
        <w:spacing w:after="120" w:afterLines="50" w:line="500" w:lineRule="exact"/>
        <w:ind w:left="0" w:firstLine="0"/>
        <w:outlineLvl w:val="2"/>
        <w:rPr>
          <w:rFonts w:eastAsia="仿宋_GB2312"/>
          <w:b/>
          <w:sz w:val="28"/>
          <w:szCs w:val="28"/>
        </w:rPr>
      </w:pPr>
      <w:r>
        <w:rPr>
          <w:rFonts w:hint="eastAsia" w:eastAsia="仿宋_GB2312"/>
          <w:b/>
          <w:sz w:val="28"/>
          <w:szCs w:val="28"/>
        </w:rPr>
        <w:t>评价依据</w:t>
      </w:r>
    </w:p>
    <w:p>
      <w:pPr>
        <w:keepNext/>
        <w:widowControl/>
        <w:numPr>
          <w:ilvl w:val="3"/>
          <w:numId w:val="1"/>
        </w:numPr>
        <w:adjustRightInd w:val="0"/>
        <w:snapToGrid w:val="0"/>
        <w:spacing w:after="120" w:afterLines="50" w:line="500" w:lineRule="exact"/>
        <w:ind w:left="0" w:firstLine="0"/>
        <w:jc w:val="left"/>
        <w:outlineLvl w:val="3"/>
        <w:rPr>
          <w:rFonts w:eastAsia="仿宋_GB2312"/>
          <w:b/>
          <w:bCs/>
          <w:sz w:val="28"/>
          <w:szCs w:val="28"/>
        </w:rPr>
      </w:pPr>
      <w:r>
        <w:rPr>
          <w:rFonts w:hint="eastAsia" w:eastAsia="仿宋_GB2312"/>
          <w:b/>
          <w:bCs/>
          <w:sz w:val="28"/>
          <w:szCs w:val="28"/>
        </w:rPr>
        <w:t>环境风险评价等级</w:t>
      </w:r>
    </w:p>
    <w:p>
      <w:pPr>
        <w:spacing w:line="500" w:lineRule="exact"/>
        <w:ind w:firstLine="562" w:firstLineChars="200"/>
        <w:rPr>
          <w:rFonts w:eastAsia="仿宋_GB2312"/>
          <w:b/>
          <w:sz w:val="28"/>
          <w:szCs w:val="20"/>
        </w:rPr>
      </w:pPr>
      <w:r>
        <w:rPr>
          <w:rFonts w:hint="eastAsia" w:eastAsia="仿宋_GB2312"/>
          <w:b/>
          <w:sz w:val="28"/>
          <w:szCs w:val="20"/>
        </w:rPr>
        <w:t>一、危险物质及工艺系统危险性（P）</w:t>
      </w:r>
    </w:p>
    <w:p>
      <w:pPr>
        <w:spacing w:line="500" w:lineRule="exact"/>
        <w:ind w:firstLine="560" w:firstLineChars="200"/>
        <w:rPr>
          <w:rFonts w:eastAsia="仿宋_GB2312"/>
          <w:sz w:val="28"/>
          <w:szCs w:val="20"/>
        </w:rPr>
      </w:pPr>
      <w:r>
        <w:rPr>
          <w:rFonts w:hint="eastAsia" w:eastAsia="仿宋_GB2312"/>
          <w:sz w:val="28"/>
          <w:szCs w:val="20"/>
        </w:rPr>
        <w:t>（1）</w:t>
      </w:r>
      <w:r>
        <w:rPr>
          <w:rFonts w:eastAsia="仿宋_GB2312"/>
          <w:sz w:val="28"/>
          <w:szCs w:val="20"/>
        </w:rPr>
        <w:t>危险物质数量与临界量比值（Q）</w:t>
      </w:r>
    </w:p>
    <w:p>
      <w:pPr>
        <w:spacing w:line="500" w:lineRule="exact"/>
        <w:ind w:firstLine="560" w:firstLineChars="200"/>
        <w:rPr>
          <w:rFonts w:eastAsia="仿宋_GB2312"/>
          <w:sz w:val="28"/>
          <w:szCs w:val="20"/>
        </w:rPr>
      </w:pPr>
      <w:r>
        <w:rPr>
          <w:rFonts w:eastAsia="仿宋_GB2312"/>
          <w:sz w:val="28"/>
          <w:szCs w:val="20"/>
        </w:rPr>
        <w:t>对照附录B，计算所涉及的每种危险物质在厂界内的最大存在总量与其在附录B中对应临界量的比值Q。</w:t>
      </w:r>
    </w:p>
    <w:p>
      <w:pPr>
        <w:spacing w:line="500" w:lineRule="exact"/>
        <w:ind w:firstLine="560" w:firstLineChars="200"/>
        <w:rPr>
          <w:rFonts w:eastAsia="仿宋_GB2312"/>
          <w:sz w:val="28"/>
          <w:szCs w:val="20"/>
        </w:rPr>
      </w:pPr>
      <w:r>
        <w:rPr>
          <w:rFonts w:eastAsia="仿宋_GB2312"/>
          <w:sz w:val="28"/>
          <w:szCs w:val="20"/>
        </w:rPr>
        <w:t>当只涉及一种危险物质时，计算该物质的总量与其临界量比值，即为Q；</w:t>
      </w:r>
    </w:p>
    <w:p>
      <w:pPr>
        <w:spacing w:line="500" w:lineRule="exact"/>
        <w:ind w:firstLine="560" w:firstLineChars="200"/>
        <w:rPr>
          <w:rFonts w:eastAsia="仿宋_GB2312"/>
          <w:sz w:val="28"/>
          <w:szCs w:val="20"/>
        </w:rPr>
      </w:pPr>
      <w:r>
        <w:rPr>
          <w:rFonts w:eastAsia="仿宋_GB2312"/>
          <w:sz w:val="28"/>
          <w:szCs w:val="20"/>
        </w:rPr>
        <w:t>当存在多种危险物质时，则按下式计算物质总量与其临界量比值（Q）：</w:t>
      </w:r>
    </w:p>
    <w:p>
      <w:pPr>
        <w:spacing w:line="500" w:lineRule="exact"/>
        <w:ind w:firstLine="420" w:firstLineChars="200"/>
        <w:rPr>
          <w:rFonts w:eastAsia="仿宋_GB2312"/>
          <w:sz w:val="28"/>
          <w:szCs w:val="20"/>
        </w:rPr>
      </w:pPr>
      <w:r>
        <w:rPr>
          <w:rFonts w:eastAsia="仿宋_GB2312"/>
        </w:rPr>
        <w:drawing>
          <wp:anchor distT="0" distB="0" distL="114300" distR="114300" simplePos="0" relativeHeight="251660288" behindDoc="0" locked="0" layoutInCell="1" allowOverlap="1">
            <wp:simplePos x="0" y="0"/>
            <wp:positionH relativeFrom="margin">
              <wp:align>center</wp:align>
            </wp:positionH>
            <wp:positionV relativeFrom="paragraph">
              <wp:posOffset>142875</wp:posOffset>
            </wp:positionV>
            <wp:extent cx="1657350" cy="428625"/>
            <wp:effectExtent l="0" t="0" r="0" b="9525"/>
            <wp:wrapNone/>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1657350" cy="428625"/>
                    </a:xfrm>
                    <a:prstGeom prst="rect">
                      <a:avLst/>
                    </a:prstGeom>
                    <a:noFill/>
                    <a:ln>
                      <a:noFill/>
                    </a:ln>
                  </pic:spPr>
                </pic:pic>
              </a:graphicData>
            </a:graphic>
          </wp:anchor>
        </w:drawing>
      </w:r>
    </w:p>
    <w:p>
      <w:pPr>
        <w:spacing w:line="500" w:lineRule="exact"/>
        <w:ind w:firstLine="560" w:firstLineChars="200"/>
        <w:rPr>
          <w:rFonts w:eastAsia="仿宋_GB2312"/>
          <w:sz w:val="28"/>
          <w:szCs w:val="20"/>
        </w:rPr>
      </w:pPr>
    </w:p>
    <w:p>
      <w:pPr>
        <w:spacing w:line="500" w:lineRule="exact"/>
        <w:ind w:firstLine="560" w:firstLineChars="200"/>
        <w:rPr>
          <w:rFonts w:eastAsia="仿宋_GB2312"/>
          <w:sz w:val="28"/>
          <w:szCs w:val="20"/>
        </w:rPr>
      </w:pPr>
      <w:r>
        <w:rPr>
          <w:rFonts w:eastAsia="仿宋_GB2312"/>
          <w:sz w:val="28"/>
          <w:szCs w:val="20"/>
        </w:rPr>
        <w:t>式中：q</w:t>
      </w:r>
      <w:r>
        <w:rPr>
          <w:rFonts w:eastAsia="仿宋_GB2312"/>
          <w:sz w:val="28"/>
          <w:szCs w:val="20"/>
          <w:vertAlign w:val="subscript"/>
        </w:rPr>
        <w:t>1</w:t>
      </w:r>
      <w:r>
        <w:rPr>
          <w:rFonts w:eastAsia="仿宋_GB2312"/>
          <w:sz w:val="28"/>
          <w:szCs w:val="20"/>
        </w:rPr>
        <w:t>，q</w:t>
      </w:r>
      <w:r>
        <w:rPr>
          <w:rFonts w:eastAsia="仿宋_GB2312"/>
          <w:sz w:val="28"/>
          <w:szCs w:val="20"/>
          <w:vertAlign w:val="subscript"/>
        </w:rPr>
        <w:t>2</w:t>
      </w:r>
      <w:r>
        <w:rPr>
          <w:rFonts w:eastAsia="仿宋_GB2312"/>
          <w:sz w:val="28"/>
          <w:szCs w:val="20"/>
        </w:rPr>
        <w:t>，...，q</w:t>
      </w:r>
      <w:r>
        <w:rPr>
          <w:rFonts w:eastAsia="仿宋_GB2312"/>
          <w:sz w:val="28"/>
          <w:szCs w:val="20"/>
          <w:vertAlign w:val="subscript"/>
        </w:rPr>
        <w:t>n</w:t>
      </w:r>
      <w:r>
        <w:rPr>
          <w:rFonts w:eastAsia="仿宋_GB2312"/>
          <w:sz w:val="28"/>
          <w:szCs w:val="20"/>
        </w:rPr>
        <w:t>——每种危险物质的最大存在总量，t；</w:t>
      </w:r>
    </w:p>
    <w:p>
      <w:pPr>
        <w:spacing w:line="500" w:lineRule="exact"/>
        <w:ind w:firstLine="1400" w:firstLineChars="500"/>
        <w:rPr>
          <w:rFonts w:eastAsia="仿宋_GB2312"/>
          <w:sz w:val="28"/>
          <w:szCs w:val="20"/>
        </w:rPr>
      </w:pPr>
      <w:r>
        <w:rPr>
          <w:rFonts w:eastAsia="仿宋_GB2312"/>
          <w:sz w:val="28"/>
          <w:szCs w:val="20"/>
        </w:rPr>
        <w:t>Q</w:t>
      </w:r>
      <w:r>
        <w:rPr>
          <w:rFonts w:eastAsia="仿宋_GB2312"/>
          <w:sz w:val="28"/>
          <w:szCs w:val="20"/>
          <w:vertAlign w:val="subscript"/>
        </w:rPr>
        <w:t>1</w:t>
      </w:r>
      <w:r>
        <w:rPr>
          <w:rFonts w:eastAsia="仿宋_GB2312"/>
          <w:sz w:val="28"/>
          <w:szCs w:val="20"/>
        </w:rPr>
        <w:t>, Q</w:t>
      </w:r>
      <w:r>
        <w:rPr>
          <w:rFonts w:eastAsia="仿宋_GB2312"/>
          <w:sz w:val="28"/>
          <w:szCs w:val="20"/>
          <w:vertAlign w:val="subscript"/>
        </w:rPr>
        <w:t>2</w:t>
      </w:r>
      <w:r>
        <w:rPr>
          <w:rFonts w:eastAsia="仿宋_GB2312"/>
          <w:sz w:val="28"/>
          <w:szCs w:val="20"/>
        </w:rPr>
        <w:t>, ..., Q</w:t>
      </w:r>
      <w:r>
        <w:rPr>
          <w:rFonts w:eastAsia="仿宋_GB2312"/>
          <w:sz w:val="28"/>
          <w:szCs w:val="20"/>
          <w:vertAlign w:val="subscript"/>
        </w:rPr>
        <w:t>n</w:t>
      </w:r>
      <w:r>
        <w:rPr>
          <w:rFonts w:eastAsia="仿宋_GB2312"/>
          <w:sz w:val="28"/>
          <w:szCs w:val="20"/>
        </w:rPr>
        <w:t>——每种危险物质的临界量，t。</w:t>
      </w:r>
    </w:p>
    <w:p>
      <w:pPr>
        <w:spacing w:line="500" w:lineRule="exact"/>
        <w:ind w:firstLine="1400" w:firstLineChars="500"/>
        <w:rPr>
          <w:rFonts w:eastAsia="仿宋_GB2312"/>
          <w:sz w:val="28"/>
          <w:szCs w:val="20"/>
        </w:rPr>
      </w:pPr>
      <w:r>
        <w:rPr>
          <w:rFonts w:eastAsia="仿宋_GB2312"/>
          <w:sz w:val="28"/>
          <w:szCs w:val="20"/>
        </w:rPr>
        <w:t>当 Q&lt;1时，该项目环境风险潜势为</w:t>
      </w:r>
      <w:r>
        <w:rPr>
          <w:rFonts w:hint="eastAsia" w:eastAsia="仿宋_GB2312"/>
          <w:sz w:val="28"/>
          <w:szCs w:val="20"/>
        </w:rPr>
        <w:t>Ⅰ</w:t>
      </w:r>
      <w:r>
        <w:rPr>
          <w:rFonts w:eastAsia="仿宋_GB2312"/>
          <w:sz w:val="28"/>
          <w:szCs w:val="20"/>
        </w:rPr>
        <w:t>。</w:t>
      </w:r>
    </w:p>
    <w:p>
      <w:pPr>
        <w:spacing w:line="500" w:lineRule="exact"/>
        <w:ind w:firstLine="1400" w:firstLineChars="500"/>
        <w:rPr>
          <w:rFonts w:eastAsia="仿宋_GB2312"/>
          <w:sz w:val="28"/>
          <w:szCs w:val="20"/>
        </w:rPr>
      </w:pPr>
      <w:r>
        <w:rPr>
          <w:rFonts w:eastAsia="仿宋_GB2312"/>
          <w:sz w:val="28"/>
          <w:szCs w:val="20"/>
        </w:rPr>
        <w:t>当Q≥1时，将Q值划分为：</w:t>
      </w:r>
      <w:r>
        <w:rPr>
          <w:rFonts w:hint="eastAsia" w:eastAsia="仿宋_GB2312"/>
          <w:sz w:val="28"/>
          <w:szCs w:val="20"/>
        </w:rPr>
        <w:t>①</w:t>
      </w:r>
      <w:r>
        <w:rPr>
          <w:rFonts w:eastAsia="仿宋_GB2312"/>
          <w:sz w:val="28"/>
          <w:szCs w:val="20"/>
        </w:rPr>
        <w:t>1≤Q&lt;10；</w:t>
      </w:r>
      <w:r>
        <w:rPr>
          <w:rFonts w:hint="eastAsia" w:eastAsia="仿宋_GB2312"/>
          <w:sz w:val="28"/>
          <w:szCs w:val="20"/>
        </w:rPr>
        <w:t>②</w:t>
      </w:r>
      <w:r>
        <w:rPr>
          <w:rFonts w:eastAsia="仿宋_GB2312"/>
          <w:sz w:val="28"/>
          <w:szCs w:val="20"/>
        </w:rPr>
        <w:t>10≤Q&lt;100；</w:t>
      </w:r>
      <w:r>
        <w:rPr>
          <w:rFonts w:hint="eastAsia" w:eastAsia="仿宋_GB2312"/>
          <w:sz w:val="28"/>
          <w:szCs w:val="20"/>
        </w:rPr>
        <w:t>③</w:t>
      </w:r>
      <w:r>
        <w:rPr>
          <w:rFonts w:eastAsia="仿宋_GB2312"/>
          <w:sz w:val="28"/>
          <w:szCs w:val="20"/>
        </w:rPr>
        <w:t>Q≥100。</w:t>
      </w:r>
    </w:p>
    <w:p>
      <w:pPr>
        <w:spacing w:line="500" w:lineRule="exact"/>
        <w:ind w:firstLine="560" w:firstLineChars="200"/>
        <w:rPr>
          <w:rFonts w:eastAsia="仿宋_GB2312"/>
          <w:sz w:val="28"/>
          <w:szCs w:val="20"/>
        </w:rPr>
      </w:pPr>
      <w:r>
        <w:rPr>
          <w:rFonts w:eastAsia="仿宋_GB2312"/>
          <w:sz w:val="28"/>
          <w:szCs w:val="20"/>
        </w:rPr>
        <w:t>厂区内所有物质与附录B对照情况见表5.3-1</w:t>
      </w:r>
      <w:r>
        <w:rPr>
          <w:rFonts w:hint="eastAsia" w:eastAsia="仿宋_GB2312"/>
          <w:sz w:val="28"/>
          <w:szCs w:val="20"/>
        </w:rPr>
        <w:t>。</w:t>
      </w:r>
    </w:p>
    <w:p>
      <w:pPr>
        <w:spacing w:line="500" w:lineRule="exact"/>
        <w:ind w:firstLine="482" w:firstLineChars="200"/>
        <w:jc w:val="center"/>
        <w:rPr>
          <w:rFonts w:eastAsia="仿宋_GB2312"/>
          <w:b/>
          <w:sz w:val="24"/>
        </w:rPr>
      </w:pPr>
    </w:p>
    <w:p>
      <w:pPr>
        <w:spacing w:line="500" w:lineRule="exact"/>
        <w:ind w:firstLine="482" w:firstLineChars="200"/>
        <w:jc w:val="center"/>
        <w:rPr>
          <w:rFonts w:eastAsia="仿宋_GB2312"/>
          <w:b/>
          <w:sz w:val="24"/>
        </w:rPr>
      </w:pPr>
    </w:p>
    <w:p>
      <w:pPr>
        <w:spacing w:line="500" w:lineRule="exact"/>
        <w:ind w:firstLine="482" w:firstLineChars="200"/>
        <w:jc w:val="center"/>
        <w:rPr>
          <w:rFonts w:eastAsia="仿宋_GB2312"/>
          <w:b/>
          <w:sz w:val="24"/>
        </w:rPr>
      </w:pPr>
    </w:p>
    <w:p>
      <w:pPr>
        <w:spacing w:line="500" w:lineRule="exact"/>
        <w:ind w:firstLine="482" w:firstLineChars="200"/>
        <w:jc w:val="center"/>
        <w:rPr>
          <w:rFonts w:eastAsia="仿宋_GB2312"/>
          <w:b/>
          <w:sz w:val="24"/>
        </w:rPr>
      </w:pPr>
    </w:p>
    <w:p>
      <w:pPr>
        <w:spacing w:line="500" w:lineRule="exact"/>
        <w:ind w:firstLine="482" w:firstLineChars="200"/>
        <w:jc w:val="center"/>
        <w:rPr>
          <w:rFonts w:eastAsia="仿宋_GB2312"/>
          <w:sz w:val="28"/>
          <w:szCs w:val="20"/>
        </w:rPr>
      </w:pPr>
      <w:r>
        <w:rPr>
          <w:rFonts w:eastAsia="仿宋_GB2312"/>
          <w:b/>
          <w:sz w:val="24"/>
        </w:rPr>
        <w:t xml:space="preserve">表5.3-1 </w:t>
      </w:r>
      <w:r>
        <w:rPr>
          <w:rFonts w:hint="eastAsia" w:eastAsia="仿宋_GB2312"/>
          <w:b/>
          <w:sz w:val="24"/>
        </w:rPr>
        <w:t>全厂</w:t>
      </w:r>
      <w:r>
        <w:rPr>
          <w:rFonts w:eastAsia="仿宋_GB2312"/>
          <w:b/>
          <w:sz w:val="24"/>
        </w:rPr>
        <w:t>原辅料最大存在量</w:t>
      </w:r>
      <w:r>
        <w:rPr>
          <w:rFonts w:hint="eastAsia" w:eastAsia="仿宋_GB2312"/>
          <w:b/>
          <w:sz w:val="24"/>
        </w:rPr>
        <w:t>一览表</w:t>
      </w:r>
    </w:p>
    <w:tbl>
      <w:tblPr>
        <w:tblStyle w:val="88"/>
        <w:tblW w:w="98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985"/>
        <w:gridCol w:w="2126"/>
        <w:gridCol w:w="2410"/>
        <w:gridCol w:w="2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709" w:type="dxa"/>
            <w:vAlign w:val="center"/>
          </w:tcPr>
          <w:p>
            <w:pPr>
              <w:jc w:val="center"/>
              <w:rPr>
                <w:rFonts w:ascii="仿宋" w:hAnsi="仿宋" w:eastAsia="仿宋"/>
                <w:bCs/>
                <w:szCs w:val="21"/>
              </w:rPr>
            </w:pPr>
            <w:r>
              <w:rPr>
                <w:rFonts w:hint="eastAsia" w:ascii="仿宋" w:hAnsi="仿宋" w:eastAsia="仿宋"/>
                <w:bCs/>
                <w:szCs w:val="21"/>
              </w:rPr>
              <w:t>序号</w:t>
            </w:r>
          </w:p>
        </w:tc>
        <w:tc>
          <w:tcPr>
            <w:tcW w:w="1985" w:type="dxa"/>
            <w:vAlign w:val="center"/>
          </w:tcPr>
          <w:p>
            <w:pPr>
              <w:jc w:val="center"/>
              <w:rPr>
                <w:rFonts w:ascii="仿宋" w:hAnsi="仿宋" w:eastAsia="仿宋"/>
                <w:bCs/>
                <w:szCs w:val="21"/>
              </w:rPr>
            </w:pPr>
            <w:r>
              <w:rPr>
                <w:rFonts w:hint="eastAsia" w:ascii="仿宋" w:hAnsi="仿宋" w:eastAsia="仿宋"/>
                <w:bCs/>
                <w:szCs w:val="21"/>
              </w:rPr>
              <w:t>名称</w:t>
            </w:r>
          </w:p>
        </w:tc>
        <w:tc>
          <w:tcPr>
            <w:tcW w:w="2126" w:type="dxa"/>
            <w:vAlign w:val="center"/>
          </w:tcPr>
          <w:p>
            <w:pPr>
              <w:jc w:val="center"/>
              <w:rPr>
                <w:rFonts w:ascii="仿宋" w:hAnsi="仿宋" w:eastAsia="仿宋"/>
                <w:bCs/>
                <w:szCs w:val="21"/>
              </w:rPr>
            </w:pPr>
            <w:r>
              <w:rPr>
                <w:rFonts w:hint="eastAsia" w:ascii="仿宋" w:hAnsi="仿宋" w:eastAsia="仿宋"/>
                <w:bCs/>
                <w:szCs w:val="21"/>
              </w:rPr>
              <w:t>最大</w:t>
            </w:r>
            <w:r>
              <w:rPr>
                <w:rFonts w:ascii="仿宋" w:hAnsi="仿宋" w:eastAsia="仿宋"/>
                <w:bCs/>
                <w:szCs w:val="21"/>
              </w:rPr>
              <w:t>存在量</w:t>
            </w:r>
            <w:r>
              <w:rPr>
                <w:rFonts w:hint="eastAsia" w:ascii="仿宋" w:hAnsi="仿宋" w:eastAsia="仿宋"/>
                <w:bCs/>
                <w:szCs w:val="21"/>
              </w:rPr>
              <w:t>/t</w:t>
            </w:r>
          </w:p>
        </w:tc>
        <w:tc>
          <w:tcPr>
            <w:tcW w:w="2410" w:type="dxa"/>
            <w:vAlign w:val="center"/>
          </w:tcPr>
          <w:p>
            <w:pPr>
              <w:jc w:val="center"/>
              <w:rPr>
                <w:rFonts w:ascii="仿宋" w:hAnsi="仿宋" w:eastAsia="仿宋"/>
                <w:bCs/>
                <w:szCs w:val="21"/>
              </w:rPr>
            </w:pPr>
            <w:r>
              <w:rPr>
                <w:rFonts w:hint="eastAsia" w:ascii="仿宋" w:hAnsi="仿宋" w:eastAsia="仿宋"/>
                <w:bCs/>
                <w:szCs w:val="21"/>
              </w:rPr>
              <w:t>主要</w:t>
            </w:r>
            <w:r>
              <w:rPr>
                <w:rFonts w:ascii="仿宋" w:hAnsi="仿宋" w:eastAsia="仿宋"/>
                <w:bCs/>
                <w:szCs w:val="21"/>
              </w:rPr>
              <w:t>成分</w:t>
            </w:r>
          </w:p>
        </w:tc>
        <w:tc>
          <w:tcPr>
            <w:tcW w:w="2615" w:type="dxa"/>
            <w:vAlign w:val="center"/>
          </w:tcPr>
          <w:p>
            <w:pPr>
              <w:jc w:val="center"/>
              <w:rPr>
                <w:rFonts w:ascii="仿宋" w:hAnsi="仿宋" w:eastAsia="仿宋"/>
                <w:bCs/>
                <w:szCs w:val="21"/>
              </w:rPr>
            </w:pPr>
            <w:r>
              <w:rPr>
                <w:rFonts w:hint="eastAsia" w:ascii="仿宋" w:hAnsi="仿宋" w:eastAsia="仿宋"/>
                <w:bCs/>
                <w:szCs w:val="21"/>
              </w:rPr>
              <w:t>危险</w:t>
            </w:r>
            <w:r>
              <w:rPr>
                <w:rFonts w:ascii="仿宋" w:hAnsi="仿宋" w:eastAsia="仿宋"/>
                <w:bCs/>
                <w:szCs w:val="21"/>
              </w:rPr>
              <w:t>物质最大存在量</w:t>
            </w:r>
            <w:r>
              <w:rPr>
                <w:rFonts w:hint="eastAsia" w:ascii="仿宋" w:hAnsi="仿宋" w:eastAsia="仿宋"/>
                <w:bCs/>
                <w:szCs w:val="21"/>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709" w:type="dxa"/>
            <w:vMerge w:val="restart"/>
            <w:vAlign w:val="center"/>
          </w:tcPr>
          <w:p>
            <w:pPr>
              <w:jc w:val="center"/>
              <w:rPr>
                <w:rFonts w:ascii="仿宋" w:hAnsi="仿宋" w:eastAsia="仿宋"/>
                <w:bCs/>
                <w:szCs w:val="21"/>
              </w:rPr>
            </w:pPr>
            <w:r>
              <w:rPr>
                <w:rFonts w:hint="eastAsia" w:ascii="仿宋" w:hAnsi="仿宋" w:eastAsia="仿宋"/>
                <w:bCs/>
                <w:szCs w:val="21"/>
              </w:rPr>
              <w:t>1</w:t>
            </w:r>
          </w:p>
        </w:tc>
        <w:tc>
          <w:tcPr>
            <w:tcW w:w="1985" w:type="dxa"/>
            <w:vMerge w:val="restart"/>
            <w:vAlign w:val="center"/>
          </w:tcPr>
          <w:p>
            <w:pPr>
              <w:jc w:val="center"/>
              <w:rPr>
                <w:rFonts w:ascii="仿宋" w:hAnsi="仿宋" w:eastAsia="仿宋"/>
                <w:bCs/>
                <w:szCs w:val="21"/>
              </w:rPr>
            </w:pPr>
            <w:r>
              <w:rPr>
                <w:rFonts w:hint="eastAsia" w:ascii="仿宋" w:hAnsi="仿宋" w:eastAsia="仿宋"/>
                <w:bCs/>
                <w:szCs w:val="21"/>
              </w:rPr>
              <w:t>胶粘剂</w:t>
            </w:r>
          </w:p>
        </w:tc>
        <w:tc>
          <w:tcPr>
            <w:tcW w:w="2126" w:type="dxa"/>
            <w:vMerge w:val="restart"/>
            <w:vAlign w:val="center"/>
          </w:tcPr>
          <w:p>
            <w:pPr>
              <w:jc w:val="center"/>
              <w:rPr>
                <w:rFonts w:ascii="仿宋" w:hAnsi="仿宋" w:eastAsia="仿宋"/>
                <w:bCs/>
                <w:szCs w:val="21"/>
              </w:rPr>
            </w:pPr>
            <w:r>
              <w:rPr>
                <w:rFonts w:hint="eastAsia" w:ascii="仿宋" w:hAnsi="仿宋" w:eastAsia="仿宋"/>
                <w:bCs/>
                <w:szCs w:val="21"/>
              </w:rPr>
              <w:t>25</w:t>
            </w:r>
          </w:p>
        </w:tc>
        <w:tc>
          <w:tcPr>
            <w:tcW w:w="2410" w:type="dxa"/>
            <w:vAlign w:val="center"/>
          </w:tcPr>
          <w:p>
            <w:pPr>
              <w:jc w:val="center"/>
              <w:rPr>
                <w:rFonts w:ascii="仿宋" w:hAnsi="仿宋" w:eastAsia="仿宋"/>
                <w:bCs/>
                <w:szCs w:val="21"/>
              </w:rPr>
            </w:pPr>
            <w:r>
              <w:rPr>
                <w:rFonts w:hint="eastAsia" w:ascii="仿宋" w:hAnsi="仿宋" w:eastAsia="仿宋"/>
                <w:bCs/>
                <w:szCs w:val="21"/>
              </w:rPr>
              <w:t>乙酸</w:t>
            </w:r>
            <w:r>
              <w:rPr>
                <w:rFonts w:ascii="仿宋" w:hAnsi="仿宋" w:eastAsia="仿宋"/>
                <w:bCs/>
                <w:szCs w:val="21"/>
              </w:rPr>
              <w:t>乙酯</w:t>
            </w:r>
            <w:r>
              <w:rPr>
                <w:rFonts w:hint="eastAsia" w:ascii="仿宋" w:hAnsi="仿宋" w:eastAsia="仿宋"/>
                <w:bCs/>
                <w:szCs w:val="21"/>
              </w:rPr>
              <w:t>44.8</w:t>
            </w:r>
            <w:r>
              <w:rPr>
                <w:rFonts w:ascii="仿宋" w:hAnsi="仿宋" w:eastAsia="仿宋"/>
                <w:bCs/>
                <w:szCs w:val="21"/>
              </w:rPr>
              <w:t>%</w:t>
            </w:r>
          </w:p>
        </w:tc>
        <w:tc>
          <w:tcPr>
            <w:tcW w:w="2615" w:type="dxa"/>
            <w:vAlign w:val="center"/>
          </w:tcPr>
          <w:p>
            <w:pPr>
              <w:jc w:val="center"/>
              <w:rPr>
                <w:rFonts w:ascii="仿宋" w:hAnsi="仿宋" w:eastAsia="仿宋"/>
                <w:bCs/>
                <w:szCs w:val="21"/>
              </w:rPr>
            </w:pPr>
            <w:r>
              <w:rPr>
                <w:rFonts w:hint="eastAsia" w:ascii="仿宋" w:hAnsi="仿宋" w:eastAsia="仿宋"/>
                <w:bCs/>
                <w:szCs w:val="21"/>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709" w:type="dxa"/>
            <w:vMerge w:val="continue"/>
            <w:vAlign w:val="center"/>
          </w:tcPr>
          <w:p>
            <w:pPr>
              <w:jc w:val="center"/>
              <w:rPr>
                <w:rFonts w:ascii="仿宋" w:hAnsi="仿宋" w:eastAsia="仿宋"/>
                <w:bCs/>
                <w:szCs w:val="21"/>
              </w:rPr>
            </w:pPr>
          </w:p>
        </w:tc>
        <w:tc>
          <w:tcPr>
            <w:tcW w:w="1985" w:type="dxa"/>
            <w:vMerge w:val="continue"/>
            <w:vAlign w:val="center"/>
          </w:tcPr>
          <w:p>
            <w:pPr>
              <w:jc w:val="center"/>
              <w:rPr>
                <w:rFonts w:ascii="仿宋" w:hAnsi="仿宋" w:eastAsia="仿宋"/>
                <w:bCs/>
                <w:szCs w:val="21"/>
              </w:rPr>
            </w:pPr>
          </w:p>
        </w:tc>
        <w:tc>
          <w:tcPr>
            <w:tcW w:w="2126" w:type="dxa"/>
            <w:vMerge w:val="continue"/>
            <w:vAlign w:val="center"/>
          </w:tcPr>
          <w:p>
            <w:pPr>
              <w:jc w:val="center"/>
              <w:rPr>
                <w:rFonts w:ascii="仿宋" w:hAnsi="仿宋" w:eastAsia="仿宋"/>
                <w:bCs/>
                <w:szCs w:val="21"/>
              </w:rPr>
            </w:pPr>
          </w:p>
        </w:tc>
        <w:tc>
          <w:tcPr>
            <w:tcW w:w="2410" w:type="dxa"/>
            <w:vAlign w:val="center"/>
          </w:tcPr>
          <w:p>
            <w:pPr>
              <w:jc w:val="center"/>
              <w:rPr>
                <w:rFonts w:ascii="仿宋" w:hAnsi="仿宋" w:eastAsia="仿宋"/>
                <w:bCs/>
                <w:szCs w:val="21"/>
              </w:rPr>
            </w:pPr>
            <w:r>
              <w:rPr>
                <w:rFonts w:hint="eastAsia" w:ascii="仿宋" w:hAnsi="仿宋" w:eastAsia="仿宋"/>
                <w:bCs/>
                <w:szCs w:val="21"/>
              </w:rPr>
              <w:t>二甲苯4.95</w:t>
            </w:r>
            <w:r>
              <w:rPr>
                <w:rFonts w:ascii="仿宋" w:hAnsi="仿宋" w:eastAsia="仿宋"/>
                <w:bCs/>
                <w:szCs w:val="21"/>
              </w:rPr>
              <w:t>%</w:t>
            </w:r>
          </w:p>
        </w:tc>
        <w:tc>
          <w:tcPr>
            <w:tcW w:w="2615" w:type="dxa"/>
            <w:vAlign w:val="center"/>
          </w:tcPr>
          <w:p>
            <w:pPr>
              <w:jc w:val="center"/>
              <w:rPr>
                <w:rFonts w:ascii="仿宋" w:hAnsi="仿宋" w:eastAsia="仿宋"/>
                <w:bCs/>
                <w:szCs w:val="21"/>
              </w:rPr>
            </w:pPr>
            <w:r>
              <w:rPr>
                <w:rFonts w:hint="eastAsia" w:ascii="仿宋" w:hAnsi="仿宋" w:eastAsia="仿宋"/>
                <w:bCs/>
                <w:szCs w:val="21"/>
              </w:rPr>
              <w:t>1.2375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709" w:type="dxa"/>
            <w:vAlign w:val="center"/>
          </w:tcPr>
          <w:p>
            <w:pPr>
              <w:jc w:val="center"/>
              <w:rPr>
                <w:rFonts w:ascii="仿宋" w:hAnsi="仿宋" w:eastAsia="仿宋"/>
                <w:bCs/>
                <w:szCs w:val="21"/>
              </w:rPr>
            </w:pPr>
            <w:r>
              <w:rPr>
                <w:rFonts w:hint="eastAsia" w:ascii="仿宋" w:hAnsi="仿宋" w:eastAsia="仿宋"/>
                <w:bCs/>
                <w:szCs w:val="21"/>
              </w:rPr>
              <w:t>2</w:t>
            </w:r>
          </w:p>
        </w:tc>
        <w:tc>
          <w:tcPr>
            <w:tcW w:w="1985" w:type="dxa"/>
            <w:vAlign w:val="center"/>
          </w:tcPr>
          <w:p>
            <w:pPr>
              <w:jc w:val="center"/>
              <w:rPr>
                <w:rFonts w:ascii="仿宋" w:hAnsi="仿宋" w:eastAsia="仿宋"/>
                <w:bCs/>
                <w:szCs w:val="21"/>
              </w:rPr>
            </w:pPr>
            <w:r>
              <w:rPr>
                <w:rFonts w:hint="eastAsia" w:ascii="仿宋" w:hAnsi="仿宋" w:eastAsia="仿宋"/>
                <w:bCs/>
                <w:szCs w:val="21"/>
              </w:rPr>
              <w:t>清洗剂</w:t>
            </w:r>
          </w:p>
        </w:tc>
        <w:tc>
          <w:tcPr>
            <w:tcW w:w="2126" w:type="dxa"/>
            <w:vAlign w:val="center"/>
          </w:tcPr>
          <w:p>
            <w:pPr>
              <w:jc w:val="center"/>
              <w:rPr>
                <w:rFonts w:ascii="仿宋" w:hAnsi="仿宋" w:eastAsia="仿宋"/>
                <w:bCs/>
                <w:szCs w:val="21"/>
              </w:rPr>
            </w:pPr>
            <w:r>
              <w:rPr>
                <w:rFonts w:hint="eastAsia" w:ascii="仿宋" w:hAnsi="仿宋" w:eastAsia="仿宋"/>
                <w:bCs/>
                <w:szCs w:val="21"/>
              </w:rPr>
              <w:t>0.1</w:t>
            </w:r>
          </w:p>
        </w:tc>
        <w:tc>
          <w:tcPr>
            <w:tcW w:w="2410" w:type="dxa"/>
            <w:vAlign w:val="center"/>
          </w:tcPr>
          <w:p>
            <w:pPr>
              <w:jc w:val="center"/>
              <w:rPr>
                <w:rFonts w:ascii="仿宋" w:hAnsi="仿宋" w:eastAsia="仿宋"/>
                <w:bCs/>
                <w:szCs w:val="21"/>
              </w:rPr>
            </w:pPr>
            <w:r>
              <w:rPr>
                <w:rFonts w:hint="eastAsia" w:ascii="仿宋" w:hAnsi="仿宋" w:eastAsia="仿宋"/>
                <w:bCs/>
                <w:szCs w:val="21"/>
              </w:rPr>
              <w:t>乙酸乙酯100</w:t>
            </w:r>
            <w:r>
              <w:rPr>
                <w:rFonts w:ascii="仿宋" w:hAnsi="仿宋" w:eastAsia="仿宋"/>
                <w:bCs/>
                <w:szCs w:val="21"/>
              </w:rPr>
              <w:t>%</w:t>
            </w:r>
          </w:p>
        </w:tc>
        <w:tc>
          <w:tcPr>
            <w:tcW w:w="2615" w:type="dxa"/>
            <w:vAlign w:val="center"/>
          </w:tcPr>
          <w:p>
            <w:pPr>
              <w:jc w:val="center"/>
              <w:rPr>
                <w:rFonts w:ascii="仿宋" w:hAnsi="仿宋" w:eastAsia="仿宋"/>
                <w:bCs/>
                <w:szCs w:val="21"/>
              </w:rPr>
            </w:pPr>
            <w:r>
              <w:rPr>
                <w:rFonts w:hint="eastAsia" w:ascii="仿宋" w:hAnsi="仿宋" w:eastAsia="仿宋"/>
                <w:bCs/>
                <w:szCs w:val="21"/>
              </w:rPr>
              <w:t>0.1</w:t>
            </w:r>
          </w:p>
        </w:tc>
      </w:tr>
    </w:tbl>
    <w:p>
      <w:pPr>
        <w:spacing w:line="500" w:lineRule="exact"/>
        <w:ind w:firstLine="482" w:firstLineChars="200"/>
        <w:jc w:val="center"/>
        <w:rPr>
          <w:rFonts w:eastAsia="仿宋_GB2312"/>
          <w:sz w:val="28"/>
          <w:szCs w:val="20"/>
        </w:rPr>
      </w:pPr>
      <w:r>
        <w:rPr>
          <w:rFonts w:eastAsia="仿宋_GB2312"/>
          <w:b/>
          <w:sz w:val="24"/>
        </w:rPr>
        <w:t>表5.3-2  Q</w:t>
      </w:r>
      <w:r>
        <w:rPr>
          <w:rFonts w:hint="eastAsia" w:eastAsia="仿宋_GB2312"/>
          <w:b/>
          <w:sz w:val="24"/>
        </w:rPr>
        <w:t>值计算结果一览表</w:t>
      </w:r>
    </w:p>
    <w:tbl>
      <w:tblPr>
        <w:tblStyle w:val="87"/>
        <w:tblW w:w="593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50"/>
        <w:gridCol w:w="1504"/>
        <w:gridCol w:w="1504"/>
        <w:gridCol w:w="1254"/>
        <w:gridCol w:w="1754"/>
        <w:gridCol w:w="1252"/>
        <w:gridCol w:w="1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74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szCs w:val="21"/>
              </w:rPr>
            </w:pPr>
            <w:r>
              <w:rPr>
                <w:rFonts w:ascii="仿宋" w:hAnsi="仿宋" w:eastAsia="仿宋"/>
                <w:bCs/>
                <w:szCs w:val="21"/>
              </w:rPr>
              <w:t>序号</w:t>
            </w:r>
          </w:p>
        </w:tc>
        <w:tc>
          <w:tcPr>
            <w:tcW w:w="150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szCs w:val="21"/>
              </w:rPr>
            </w:pPr>
            <w:r>
              <w:rPr>
                <w:rFonts w:hint="eastAsia" w:ascii="仿宋" w:hAnsi="仿宋" w:eastAsia="仿宋"/>
                <w:bCs/>
                <w:szCs w:val="21"/>
              </w:rPr>
              <w:t>所在区域</w:t>
            </w:r>
          </w:p>
        </w:tc>
        <w:tc>
          <w:tcPr>
            <w:tcW w:w="150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szCs w:val="21"/>
              </w:rPr>
            </w:pPr>
            <w:r>
              <w:rPr>
                <w:rFonts w:ascii="仿宋" w:hAnsi="仿宋" w:eastAsia="仿宋"/>
                <w:bCs/>
                <w:szCs w:val="21"/>
              </w:rPr>
              <w:t>危险物质名称</w:t>
            </w:r>
          </w:p>
        </w:tc>
        <w:tc>
          <w:tcPr>
            <w:tcW w:w="125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szCs w:val="21"/>
              </w:rPr>
            </w:pPr>
            <w:r>
              <w:rPr>
                <w:rFonts w:ascii="仿宋" w:hAnsi="仿宋" w:eastAsia="仿宋"/>
                <w:bCs/>
                <w:szCs w:val="21"/>
              </w:rPr>
              <w:t>CAS号</w:t>
            </w:r>
          </w:p>
        </w:tc>
        <w:tc>
          <w:tcPr>
            <w:tcW w:w="175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szCs w:val="21"/>
              </w:rPr>
            </w:pPr>
            <w:r>
              <w:rPr>
                <w:rFonts w:ascii="仿宋" w:hAnsi="仿宋" w:eastAsia="仿宋"/>
                <w:bCs/>
                <w:szCs w:val="21"/>
              </w:rPr>
              <w:t>最大存在总量 qn/t</w:t>
            </w:r>
          </w:p>
        </w:tc>
        <w:tc>
          <w:tcPr>
            <w:tcW w:w="125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szCs w:val="21"/>
              </w:rPr>
            </w:pPr>
            <w:r>
              <w:rPr>
                <w:rFonts w:ascii="仿宋" w:hAnsi="仿宋" w:eastAsia="仿宋"/>
                <w:bCs/>
                <w:szCs w:val="21"/>
              </w:rPr>
              <w:t>临界量 Qn/t</w:t>
            </w:r>
          </w:p>
        </w:tc>
        <w:tc>
          <w:tcPr>
            <w:tcW w:w="184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szCs w:val="21"/>
              </w:rPr>
            </w:pPr>
            <w:r>
              <w:rPr>
                <w:rFonts w:ascii="仿宋" w:hAnsi="仿宋" w:eastAsia="仿宋"/>
                <w:bCs/>
                <w:szCs w:val="21"/>
              </w:rPr>
              <w:t>该种危险物质 Q值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74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szCs w:val="21"/>
              </w:rPr>
            </w:pPr>
            <w:r>
              <w:rPr>
                <w:rFonts w:hint="eastAsia" w:ascii="仿宋" w:hAnsi="仿宋" w:eastAsia="仿宋"/>
                <w:bCs/>
                <w:szCs w:val="21"/>
              </w:rPr>
              <w:t>1</w:t>
            </w:r>
          </w:p>
        </w:tc>
        <w:tc>
          <w:tcPr>
            <w:tcW w:w="1504" w:type="dxa"/>
            <w:vMerge w:val="restart"/>
            <w:tcBorders>
              <w:top w:val="single" w:color="auto" w:sz="4" w:space="0"/>
              <w:left w:val="single" w:color="auto" w:sz="4" w:space="0"/>
              <w:right w:val="single" w:color="auto" w:sz="4" w:space="0"/>
            </w:tcBorders>
            <w:vAlign w:val="center"/>
          </w:tcPr>
          <w:p>
            <w:pPr>
              <w:jc w:val="center"/>
              <w:rPr>
                <w:rFonts w:ascii="仿宋" w:hAnsi="仿宋" w:eastAsia="仿宋"/>
                <w:bCs/>
                <w:szCs w:val="21"/>
              </w:rPr>
            </w:pPr>
            <w:r>
              <w:rPr>
                <w:rFonts w:hint="eastAsia" w:ascii="仿宋" w:hAnsi="仿宋" w:eastAsia="仿宋"/>
                <w:bCs/>
                <w:szCs w:val="21"/>
              </w:rPr>
              <w:t>生产区</w:t>
            </w:r>
          </w:p>
        </w:tc>
        <w:tc>
          <w:tcPr>
            <w:tcW w:w="150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szCs w:val="21"/>
              </w:rPr>
            </w:pPr>
            <w:r>
              <w:rPr>
                <w:rFonts w:hint="eastAsia" w:ascii="仿宋" w:hAnsi="仿宋" w:eastAsia="仿宋"/>
                <w:bCs/>
                <w:szCs w:val="21"/>
              </w:rPr>
              <w:t>乙酸乙酯</w:t>
            </w:r>
          </w:p>
        </w:tc>
        <w:tc>
          <w:tcPr>
            <w:tcW w:w="1254"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 w:hAnsi="仿宋" w:eastAsia="仿宋"/>
                <w:bCs/>
                <w:szCs w:val="21"/>
              </w:rPr>
            </w:pPr>
            <w:r>
              <w:rPr>
                <w:rFonts w:hint="eastAsia" w:ascii="仿宋" w:hAnsi="仿宋" w:eastAsia="仿宋"/>
                <w:bCs/>
                <w:szCs w:val="21"/>
              </w:rPr>
              <w:t>141</w:t>
            </w:r>
            <w:r>
              <w:rPr>
                <w:rFonts w:ascii="仿宋" w:hAnsi="仿宋" w:eastAsia="仿宋"/>
                <w:bCs/>
                <w:szCs w:val="21"/>
              </w:rPr>
              <w:t>-78-6</w:t>
            </w:r>
          </w:p>
        </w:tc>
        <w:tc>
          <w:tcPr>
            <w:tcW w:w="175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szCs w:val="21"/>
              </w:rPr>
            </w:pPr>
            <w:r>
              <w:rPr>
                <w:rFonts w:hint="eastAsia" w:ascii="仿宋" w:hAnsi="仿宋" w:eastAsia="仿宋"/>
                <w:bCs/>
                <w:szCs w:val="21"/>
              </w:rPr>
              <w:t>9.04</w:t>
            </w:r>
          </w:p>
        </w:tc>
        <w:tc>
          <w:tcPr>
            <w:tcW w:w="1252"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 w:hAnsi="仿宋" w:eastAsia="仿宋"/>
                <w:bCs/>
                <w:szCs w:val="21"/>
              </w:rPr>
            </w:pPr>
            <w:r>
              <w:rPr>
                <w:rFonts w:hint="eastAsia" w:ascii="仿宋" w:hAnsi="仿宋" w:eastAsia="仿宋"/>
                <w:bCs/>
                <w:szCs w:val="21"/>
              </w:rPr>
              <w:t>10</w:t>
            </w:r>
          </w:p>
        </w:tc>
        <w:tc>
          <w:tcPr>
            <w:tcW w:w="184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szCs w:val="21"/>
              </w:rPr>
            </w:pPr>
            <w:r>
              <w:rPr>
                <w:rFonts w:hint="eastAsia" w:ascii="仿宋" w:hAnsi="仿宋" w:eastAsia="仿宋"/>
                <w:bCs/>
                <w:szCs w:val="21"/>
              </w:rPr>
              <w:t>0.904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74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szCs w:val="21"/>
              </w:rPr>
            </w:pPr>
            <w:r>
              <w:rPr>
                <w:rFonts w:hint="eastAsia" w:ascii="仿宋" w:hAnsi="仿宋" w:eastAsia="仿宋"/>
                <w:bCs/>
                <w:szCs w:val="21"/>
              </w:rPr>
              <w:t>2</w:t>
            </w:r>
          </w:p>
        </w:tc>
        <w:tc>
          <w:tcPr>
            <w:tcW w:w="1504" w:type="dxa"/>
            <w:vMerge w:val="continue"/>
            <w:tcBorders>
              <w:left w:val="single" w:color="auto" w:sz="4" w:space="0"/>
              <w:right w:val="single" w:color="auto" w:sz="4" w:space="0"/>
            </w:tcBorders>
            <w:vAlign w:val="center"/>
          </w:tcPr>
          <w:p>
            <w:pPr>
              <w:jc w:val="center"/>
              <w:rPr>
                <w:rFonts w:ascii="仿宋" w:hAnsi="仿宋" w:eastAsia="仿宋"/>
                <w:bCs/>
                <w:szCs w:val="21"/>
              </w:rPr>
            </w:pPr>
          </w:p>
        </w:tc>
        <w:tc>
          <w:tcPr>
            <w:tcW w:w="150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szCs w:val="21"/>
              </w:rPr>
            </w:pPr>
            <w:r>
              <w:rPr>
                <w:rFonts w:hint="eastAsia" w:ascii="仿宋" w:hAnsi="仿宋" w:eastAsia="仿宋"/>
                <w:bCs/>
                <w:szCs w:val="21"/>
              </w:rPr>
              <w:t>二甲苯</w:t>
            </w:r>
          </w:p>
        </w:tc>
        <w:tc>
          <w:tcPr>
            <w:tcW w:w="1254"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 w:hAnsi="仿宋" w:eastAsia="仿宋"/>
                <w:bCs/>
                <w:szCs w:val="21"/>
              </w:rPr>
            </w:pPr>
            <w:r>
              <w:rPr>
                <w:rFonts w:hint="eastAsia" w:ascii="仿宋" w:hAnsi="仿宋" w:eastAsia="仿宋"/>
                <w:bCs/>
                <w:szCs w:val="21"/>
              </w:rPr>
              <w:t>1330</w:t>
            </w:r>
            <w:r>
              <w:rPr>
                <w:rFonts w:ascii="仿宋" w:hAnsi="仿宋" w:eastAsia="仿宋"/>
                <w:bCs/>
                <w:szCs w:val="21"/>
              </w:rPr>
              <w:t>-20-7</w:t>
            </w:r>
          </w:p>
        </w:tc>
        <w:tc>
          <w:tcPr>
            <w:tcW w:w="175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szCs w:val="21"/>
              </w:rPr>
            </w:pPr>
            <w:r>
              <w:rPr>
                <w:rFonts w:hint="eastAsia" w:ascii="仿宋" w:hAnsi="仿宋" w:eastAsia="仿宋"/>
                <w:bCs/>
                <w:szCs w:val="21"/>
              </w:rPr>
              <w:t>0.99</w:t>
            </w:r>
          </w:p>
        </w:tc>
        <w:tc>
          <w:tcPr>
            <w:tcW w:w="125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szCs w:val="21"/>
              </w:rPr>
            </w:pPr>
            <w:r>
              <w:rPr>
                <w:rFonts w:hint="eastAsia" w:ascii="仿宋" w:hAnsi="仿宋" w:eastAsia="仿宋"/>
                <w:bCs/>
                <w:szCs w:val="21"/>
              </w:rPr>
              <w:t>10</w:t>
            </w:r>
          </w:p>
        </w:tc>
        <w:tc>
          <w:tcPr>
            <w:tcW w:w="184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szCs w:val="21"/>
              </w:rPr>
            </w:pPr>
            <w:r>
              <w:rPr>
                <w:rFonts w:hint="eastAsia" w:ascii="仿宋" w:hAnsi="仿宋" w:eastAsia="仿宋"/>
                <w:bCs/>
                <w:szCs w:val="21"/>
              </w:rPr>
              <w:t>0.099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74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szCs w:val="21"/>
              </w:rPr>
            </w:pPr>
            <w:r>
              <w:rPr>
                <w:rFonts w:ascii="仿宋" w:hAnsi="仿宋" w:eastAsia="仿宋"/>
                <w:bCs/>
                <w:szCs w:val="21"/>
              </w:rPr>
              <w:t>3</w:t>
            </w:r>
          </w:p>
        </w:tc>
        <w:tc>
          <w:tcPr>
            <w:tcW w:w="1504" w:type="dxa"/>
            <w:vMerge w:val="restart"/>
            <w:tcBorders>
              <w:top w:val="single" w:color="auto" w:sz="4" w:space="0"/>
              <w:left w:val="single" w:color="auto" w:sz="4" w:space="0"/>
              <w:right w:val="single" w:color="auto" w:sz="4" w:space="0"/>
            </w:tcBorders>
            <w:vAlign w:val="center"/>
          </w:tcPr>
          <w:p>
            <w:pPr>
              <w:jc w:val="center"/>
              <w:rPr>
                <w:rFonts w:ascii="仿宋" w:hAnsi="仿宋" w:eastAsia="仿宋"/>
                <w:bCs/>
                <w:szCs w:val="21"/>
              </w:rPr>
            </w:pPr>
            <w:r>
              <w:rPr>
                <w:rFonts w:hint="eastAsia" w:ascii="仿宋" w:hAnsi="仿宋" w:eastAsia="仿宋"/>
                <w:bCs/>
                <w:szCs w:val="21"/>
              </w:rPr>
              <w:t>配料间</w:t>
            </w:r>
          </w:p>
        </w:tc>
        <w:tc>
          <w:tcPr>
            <w:tcW w:w="150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szCs w:val="21"/>
              </w:rPr>
            </w:pPr>
            <w:r>
              <w:rPr>
                <w:rFonts w:hint="eastAsia" w:ascii="仿宋" w:hAnsi="仿宋" w:eastAsia="仿宋"/>
                <w:bCs/>
                <w:szCs w:val="21"/>
              </w:rPr>
              <w:t>乙酸乙酯</w:t>
            </w:r>
          </w:p>
        </w:tc>
        <w:tc>
          <w:tcPr>
            <w:tcW w:w="1254"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 w:hAnsi="仿宋" w:eastAsia="仿宋"/>
                <w:bCs/>
                <w:szCs w:val="21"/>
              </w:rPr>
            </w:pPr>
            <w:r>
              <w:rPr>
                <w:rFonts w:hint="eastAsia" w:ascii="仿宋" w:hAnsi="仿宋" w:eastAsia="仿宋"/>
                <w:bCs/>
                <w:szCs w:val="21"/>
              </w:rPr>
              <w:t>141</w:t>
            </w:r>
            <w:r>
              <w:rPr>
                <w:rFonts w:ascii="仿宋" w:hAnsi="仿宋" w:eastAsia="仿宋"/>
                <w:bCs/>
                <w:szCs w:val="21"/>
              </w:rPr>
              <w:t>-78-6</w:t>
            </w:r>
          </w:p>
        </w:tc>
        <w:tc>
          <w:tcPr>
            <w:tcW w:w="175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szCs w:val="21"/>
              </w:rPr>
            </w:pPr>
            <w:r>
              <w:rPr>
                <w:rFonts w:hint="eastAsia" w:ascii="仿宋" w:hAnsi="仿宋" w:eastAsia="仿宋"/>
                <w:bCs/>
                <w:szCs w:val="21"/>
              </w:rPr>
              <w:t>2.26</w:t>
            </w:r>
          </w:p>
        </w:tc>
        <w:tc>
          <w:tcPr>
            <w:tcW w:w="1252"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 w:hAnsi="仿宋" w:eastAsia="仿宋"/>
                <w:bCs/>
                <w:szCs w:val="21"/>
              </w:rPr>
            </w:pPr>
            <w:r>
              <w:rPr>
                <w:rFonts w:hint="eastAsia" w:ascii="仿宋" w:hAnsi="仿宋" w:eastAsia="仿宋"/>
                <w:bCs/>
                <w:szCs w:val="21"/>
              </w:rPr>
              <w:t>10</w:t>
            </w:r>
          </w:p>
        </w:tc>
        <w:tc>
          <w:tcPr>
            <w:tcW w:w="184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szCs w:val="21"/>
              </w:rPr>
            </w:pPr>
            <w:r>
              <w:rPr>
                <w:rFonts w:hint="eastAsia" w:ascii="仿宋" w:hAnsi="仿宋" w:eastAsia="仿宋"/>
                <w:bCs/>
                <w:szCs w:val="21"/>
              </w:rPr>
              <w:t>0.226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74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szCs w:val="21"/>
              </w:rPr>
            </w:pPr>
            <w:r>
              <w:rPr>
                <w:rFonts w:ascii="仿宋" w:hAnsi="仿宋" w:eastAsia="仿宋"/>
                <w:bCs/>
                <w:szCs w:val="21"/>
              </w:rPr>
              <w:t>4</w:t>
            </w:r>
          </w:p>
        </w:tc>
        <w:tc>
          <w:tcPr>
            <w:tcW w:w="1504" w:type="dxa"/>
            <w:vMerge w:val="continue"/>
            <w:tcBorders>
              <w:left w:val="single" w:color="auto" w:sz="4" w:space="0"/>
              <w:right w:val="single" w:color="auto" w:sz="4" w:space="0"/>
            </w:tcBorders>
            <w:vAlign w:val="center"/>
          </w:tcPr>
          <w:p>
            <w:pPr>
              <w:jc w:val="center"/>
              <w:rPr>
                <w:rFonts w:ascii="仿宋" w:hAnsi="仿宋" w:eastAsia="仿宋"/>
                <w:bCs/>
                <w:szCs w:val="21"/>
              </w:rPr>
            </w:pPr>
          </w:p>
        </w:tc>
        <w:tc>
          <w:tcPr>
            <w:tcW w:w="150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szCs w:val="21"/>
              </w:rPr>
            </w:pPr>
            <w:r>
              <w:rPr>
                <w:rFonts w:hint="eastAsia" w:ascii="仿宋" w:hAnsi="仿宋" w:eastAsia="仿宋"/>
                <w:bCs/>
                <w:szCs w:val="21"/>
              </w:rPr>
              <w:t>二甲苯</w:t>
            </w:r>
          </w:p>
        </w:tc>
        <w:tc>
          <w:tcPr>
            <w:tcW w:w="1254"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 w:hAnsi="仿宋" w:eastAsia="仿宋"/>
                <w:bCs/>
                <w:szCs w:val="21"/>
              </w:rPr>
            </w:pPr>
            <w:r>
              <w:rPr>
                <w:rFonts w:hint="eastAsia" w:ascii="仿宋" w:hAnsi="仿宋" w:eastAsia="仿宋"/>
                <w:bCs/>
                <w:szCs w:val="21"/>
              </w:rPr>
              <w:t>1330</w:t>
            </w:r>
            <w:r>
              <w:rPr>
                <w:rFonts w:ascii="仿宋" w:hAnsi="仿宋" w:eastAsia="仿宋"/>
                <w:bCs/>
                <w:szCs w:val="21"/>
              </w:rPr>
              <w:t>-20-7</w:t>
            </w:r>
          </w:p>
        </w:tc>
        <w:tc>
          <w:tcPr>
            <w:tcW w:w="175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szCs w:val="21"/>
              </w:rPr>
            </w:pPr>
            <w:r>
              <w:rPr>
                <w:rFonts w:hint="eastAsia" w:ascii="仿宋" w:hAnsi="仿宋" w:eastAsia="仿宋"/>
                <w:bCs/>
                <w:szCs w:val="21"/>
              </w:rPr>
              <w:t>0.2475</w:t>
            </w:r>
          </w:p>
        </w:tc>
        <w:tc>
          <w:tcPr>
            <w:tcW w:w="125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szCs w:val="21"/>
              </w:rPr>
            </w:pPr>
            <w:r>
              <w:rPr>
                <w:rFonts w:hint="eastAsia" w:ascii="仿宋" w:hAnsi="仿宋" w:eastAsia="仿宋"/>
                <w:bCs/>
                <w:szCs w:val="21"/>
              </w:rPr>
              <w:t>10</w:t>
            </w:r>
          </w:p>
        </w:tc>
        <w:tc>
          <w:tcPr>
            <w:tcW w:w="184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szCs w:val="21"/>
              </w:rPr>
            </w:pPr>
            <w:r>
              <w:rPr>
                <w:rFonts w:hint="eastAsia" w:ascii="仿宋" w:hAnsi="仿宋" w:eastAsia="仿宋"/>
                <w:bCs/>
                <w:szCs w:val="21"/>
              </w:rPr>
              <w:t>0.02475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74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szCs w:val="21"/>
              </w:rPr>
            </w:pPr>
            <w:r>
              <w:rPr>
                <w:rFonts w:hint="eastAsia" w:ascii="仿宋" w:hAnsi="仿宋" w:eastAsia="仿宋"/>
                <w:bCs/>
                <w:szCs w:val="21"/>
              </w:rPr>
              <w:t>5</w:t>
            </w:r>
          </w:p>
        </w:tc>
        <w:tc>
          <w:tcPr>
            <w:tcW w:w="1504" w:type="dxa"/>
            <w:vMerge w:val="restart"/>
            <w:tcBorders>
              <w:left w:val="single" w:color="auto" w:sz="4" w:space="0"/>
              <w:right w:val="single" w:color="auto" w:sz="4" w:space="0"/>
            </w:tcBorders>
            <w:vAlign w:val="center"/>
          </w:tcPr>
          <w:p>
            <w:pPr>
              <w:jc w:val="center"/>
              <w:rPr>
                <w:rFonts w:ascii="仿宋" w:hAnsi="仿宋" w:eastAsia="仿宋"/>
                <w:bCs/>
                <w:szCs w:val="21"/>
              </w:rPr>
            </w:pPr>
            <w:r>
              <w:rPr>
                <w:rFonts w:hint="eastAsia" w:ascii="仿宋" w:hAnsi="仿宋" w:eastAsia="仿宋"/>
                <w:bCs/>
                <w:szCs w:val="21"/>
              </w:rPr>
              <w:t>危废仓库</w:t>
            </w:r>
          </w:p>
        </w:tc>
        <w:tc>
          <w:tcPr>
            <w:tcW w:w="150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szCs w:val="21"/>
              </w:rPr>
            </w:pPr>
            <w:r>
              <w:rPr>
                <w:rFonts w:hint="eastAsia" w:ascii="仿宋" w:hAnsi="仿宋" w:eastAsia="仿宋"/>
                <w:bCs/>
                <w:szCs w:val="21"/>
              </w:rPr>
              <w:t>废</w:t>
            </w:r>
            <w:r>
              <w:rPr>
                <w:rFonts w:ascii="仿宋" w:hAnsi="仿宋" w:eastAsia="仿宋"/>
                <w:bCs/>
                <w:szCs w:val="21"/>
              </w:rPr>
              <w:t>胶水</w:t>
            </w:r>
          </w:p>
        </w:tc>
        <w:tc>
          <w:tcPr>
            <w:tcW w:w="125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szCs w:val="21"/>
              </w:rPr>
            </w:pPr>
            <w:r>
              <w:rPr>
                <w:rFonts w:hint="eastAsia" w:ascii="仿宋" w:hAnsi="仿宋" w:eastAsia="仿宋"/>
                <w:bCs/>
                <w:szCs w:val="21"/>
              </w:rPr>
              <w:t>/</w:t>
            </w:r>
          </w:p>
        </w:tc>
        <w:tc>
          <w:tcPr>
            <w:tcW w:w="175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szCs w:val="21"/>
              </w:rPr>
            </w:pPr>
            <w:r>
              <w:rPr>
                <w:rFonts w:hint="eastAsia" w:ascii="仿宋" w:hAnsi="仿宋" w:eastAsia="仿宋"/>
                <w:bCs/>
                <w:szCs w:val="21"/>
              </w:rPr>
              <w:t>0.918</w:t>
            </w:r>
          </w:p>
        </w:tc>
        <w:tc>
          <w:tcPr>
            <w:tcW w:w="125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szCs w:val="21"/>
              </w:rPr>
            </w:pPr>
            <w:r>
              <w:rPr>
                <w:rFonts w:hint="eastAsia" w:ascii="仿宋" w:hAnsi="仿宋" w:eastAsia="仿宋"/>
                <w:bCs/>
                <w:szCs w:val="21"/>
              </w:rPr>
              <w:t>100</w:t>
            </w:r>
          </w:p>
        </w:tc>
        <w:tc>
          <w:tcPr>
            <w:tcW w:w="184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szCs w:val="21"/>
              </w:rPr>
            </w:pPr>
            <w:r>
              <w:rPr>
                <w:rFonts w:hint="eastAsia" w:ascii="仿宋" w:hAnsi="仿宋" w:eastAsia="仿宋"/>
                <w:bCs/>
                <w:szCs w:val="21"/>
              </w:rPr>
              <w:t>0.00918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74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szCs w:val="21"/>
              </w:rPr>
            </w:pPr>
            <w:r>
              <w:rPr>
                <w:rFonts w:hint="eastAsia" w:ascii="仿宋" w:hAnsi="仿宋" w:eastAsia="仿宋"/>
                <w:bCs/>
                <w:szCs w:val="21"/>
              </w:rPr>
              <w:t>6</w:t>
            </w:r>
          </w:p>
        </w:tc>
        <w:tc>
          <w:tcPr>
            <w:tcW w:w="1504" w:type="dxa"/>
            <w:vMerge w:val="continue"/>
            <w:tcBorders>
              <w:left w:val="single" w:color="auto" w:sz="4" w:space="0"/>
              <w:right w:val="single" w:color="auto" w:sz="4" w:space="0"/>
            </w:tcBorders>
            <w:vAlign w:val="center"/>
          </w:tcPr>
          <w:p>
            <w:pPr>
              <w:jc w:val="center"/>
              <w:rPr>
                <w:rFonts w:ascii="仿宋" w:hAnsi="仿宋" w:eastAsia="仿宋"/>
                <w:bCs/>
                <w:szCs w:val="21"/>
              </w:rPr>
            </w:pPr>
          </w:p>
        </w:tc>
        <w:tc>
          <w:tcPr>
            <w:tcW w:w="150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szCs w:val="21"/>
              </w:rPr>
            </w:pPr>
            <w:r>
              <w:rPr>
                <w:rFonts w:hint="eastAsia" w:ascii="仿宋" w:hAnsi="仿宋" w:eastAsia="仿宋"/>
                <w:bCs/>
                <w:szCs w:val="21"/>
              </w:rPr>
              <w:t>废</w:t>
            </w:r>
            <w:r>
              <w:rPr>
                <w:rFonts w:ascii="仿宋" w:hAnsi="仿宋" w:eastAsia="仿宋"/>
                <w:bCs/>
                <w:szCs w:val="21"/>
              </w:rPr>
              <w:t>清洗液</w:t>
            </w:r>
          </w:p>
        </w:tc>
        <w:tc>
          <w:tcPr>
            <w:tcW w:w="125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szCs w:val="21"/>
              </w:rPr>
            </w:pPr>
            <w:r>
              <w:rPr>
                <w:rFonts w:hint="eastAsia" w:ascii="仿宋" w:hAnsi="仿宋" w:eastAsia="仿宋"/>
                <w:bCs/>
                <w:szCs w:val="21"/>
              </w:rPr>
              <w:t>/</w:t>
            </w:r>
          </w:p>
        </w:tc>
        <w:tc>
          <w:tcPr>
            <w:tcW w:w="175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szCs w:val="21"/>
              </w:rPr>
            </w:pPr>
            <w:r>
              <w:rPr>
                <w:rFonts w:hint="eastAsia" w:ascii="仿宋" w:hAnsi="仿宋" w:eastAsia="仿宋"/>
                <w:bCs/>
                <w:szCs w:val="21"/>
              </w:rPr>
              <w:t>0.9</w:t>
            </w:r>
          </w:p>
        </w:tc>
        <w:tc>
          <w:tcPr>
            <w:tcW w:w="125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szCs w:val="21"/>
              </w:rPr>
            </w:pPr>
            <w:r>
              <w:rPr>
                <w:rFonts w:hint="eastAsia" w:ascii="仿宋" w:hAnsi="仿宋" w:eastAsia="仿宋"/>
                <w:bCs/>
                <w:szCs w:val="21"/>
              </w:rPr>
              <w:t>10</w:t>
            </w:r>
          </w:p>
        </w:tc>
        <w:tc>
          <w:tcPr>
            <w:tcW w:w="184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szCs w:val="21"/>
              </w:rPr>
            </w:pPr>
            <w:r>
              <w:rPr>
                <w:rFonts w:hint="eastAsia" w:ascii="仿宋" w:hAnsi="仿宋" w:eastAsia="仿宋"/>
                <w:bCs/>
                <w:szCs w:val="21"/>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74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szCs w:val="21"/>
              </w:rPr>
            </w:pPr>
            <w:r>
              <w:rPr>
                <w:rFonts w:hint="eastAsia" w:ascii="仿宋" w:hAnsi="仿宋" w:eastAsia="仿宋"/>
                <w:bCs/>
                <w:szCs w:val="21"/>
              </w:rPr>
              <w:t>7</w:t>
            </w:r>
          </w:p>
        </w:tc>
        <w:tc>
          <w:tcPr>
            <w:tcW w:w="1504" w:type="dxa"/>
            <w:vMerge w:val="continue"/>
            <w:tcBorders>
              <w:left w:val="single" w:color="auto" w:sz="4" w:space="0"/>
              <w:right w:val="single" w:color="auto" w:sz="4" w:space="0"/>
            </w:tcBorders>
            <w:vAlign w:val="center"/>
          </w:tcPr>
          <w:p>
            <w:pPr>
              <w:jc w:val="center"/>
              <w:rPr>
                <w:rFonts w:ascii="仿宋" w:hAnsi="仿宋" w:eastAsia="仿宋"/>
                <w:bCs/>
                <w:szCs w:val="21"/>
              </w:rPr>
            </w:pPr>
          </w:p>
        </w:tc>
        <w:tc>
          <w:tcPr>
            <w:tcW w:w="150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szCs w:val="21"/>
              </w:rPr>
            </w:pPr>
            <w:r>
              <w:rPr>
                <w:rFonts w:hint="eastAsia" w:ascii="仿宋" w:hAnsi="仿宋" w:eastAsia="仿宋"/>
                <w:bCs/>
                <w:szCs w:val="21"/>
              </w:rPr>
              <w:t>废机油</w:t>
            </w:r>
          </w:p>
        </w:tc>
        <w:tc>
          <w:tcPr>
            <w:tcW w:w="125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szCs w:val="21"/>
              </w:rPr>
            </w:pPr>
            <w:r>
              <w:rPr>
                <w:rFonts w:hint="eastAsia" w:ascii="仿宋" w:hAnsi="仿宋" w:eastAsia="仿宋"/>
                <w:bCs/>
                <w:szCs w:val="21"/>
              </w:rPr>
              <w:t>/</w:t>
            </w:r>
          </w:p>
        </w:tc>
        <w:tc>
          <w:tcPr>
            <w:tcW w:w="175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szCs w:val="21"/>
              </w:rPr>
            </w:pPr>
            <w:r>
              <w:rPr>
                <w:rFonts w:hint="eastAsia" w:ascii="仿宋" w:hAnsi="仿宋" w:eastAsia="仿宋"/>
                <w:bCs/>
                <w:szCs w:val="21"/>
              </w:rPr>
              <w:t>0.25</w:t>
            </w:r>
          </w:p>
        </w:tc>
        <w:tc>
          <w:tcPr>
            <w:tcW w:w="125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szCs w:val="21"/>
              </w:rPr>
            </w:pPr>
            <w:r>
              <w:rPr>
                <w:rFonts w:hint="eastAsia" w:ascii="仿宋" w:hAnsi="仿宋" w:eastAsia="仿宋"/>
                <w:bCs/>
                <w:szCs w:val="21"/>
              </w:rPr>
              <w:t>2500</w:t>
            </w:r>
          </w:p>
        </w:tc>
        <w:tc>
          <w:tcPr>
            <w:tcW w:w="1847"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szCs w:val="21"/>
              </w:rPr>
            </w:pPr>
            <w:r>
              <w:rPr>
                <w:rFonts w:hint="eastAsia" w:ascii="仿宋" w:hAnsi="仿宋" w:eastAsia="仿宋"/>
                <w:bCs/>
                <w:szCs w:val="21"/>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74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rFonts w:eastAsia="仿宋_GB2312"/>
                <w:szCs w:val="21"/>
              </w:rPr>
            </w:pPr>
          </w:p>
        </w:tc>
        <w:tc>
          <w:tcPr>
            <w:tcW w:w="7268"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rFonts w:eastAsia="仿宋_GB2312"/>
                <w:szCs w:val="21"/>
              </w:rPr>
            </w:pPr>
            <w:r>
              <w:rPr>
                <w:rFonts w:eastAsia="仿宋_GB2312"/>
                <w:szCs w:val="21"/>
              </w:rPr>
              <w:t>项目 Q 值 Σ</w:t>
            </w:r>
          </w:p>
        </w:tc>
        <w:tc>
          <w:tcPr>
            <w:tcW w:w="1847"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1</w:t>
            </w:r>
            <w:r>
              <w:rPr>
                <w:szCs w:val="21"/>
              </w:rPr>
              <w:t>.35</w:t>
            </w:r>
          </w:p>
        </w:tc>
      </w:tr>
    </w:tbl>
    <w:p>
      <w:pPr>
        <w:spacing w:line="500" w:lineRule="exact"/>
        <w:ind w:firstLine="560" w:firstLineChars="200"/>
        <w:rPr>
          <w:rFonts w:eastAsia="仿宋_GB2312"/>
          <w:sz w:val="28"/>
          <w:szCs w:val="20"/>
        </w:rPr>
      </w:pPr>
      <w:r>
        <w:rPr>
          <w:rFonts w:hint="eastAsia" w:eastAsia="仿宋_GB2312"/>
          <w:sz w:val="28"/>
          <w:szCs w:val="20"/>
        </w:rPr>
        <w:t>其中废胶水参考</w:t>
      </w:r>
      <w:r>
        <w:rPr>
          <w:rFonts w:eastAsia="仿宋_GB2312"/>
          <w:sz w:val="28"/>
          <w:szCs w:val="20"/>
        </w:rPr>
        <w:t>建设项目环境风险评价技术导则(HJ 169-2018</w:t>
      </w:r>
      <w:r>
        <w:rPr>
          <w:rFonts w:hint="eastAsia" w:eastAsia="仿宋_GB2312"/>
          <w:sz w:val="28"/>
          <w:szCs w:val="20"/>
        </w:rPr>
        <w:t>)中附录B危害</w:t>
      </w:r>
      <w:r>
        <w:rPr>
          <w:rFonts w:eastAsia="仿宋_GB2312"/>
          <w:sz w:val="28"/>
          <w:szCs w:val="20"/>
        </w:rPr>
        <w:t>水环境物质</w:t>
      </w:r>
      <w:r>
        <w:rPr>
          <w:rFonts w:hint="eastAsia" w:eastAsia="仿宋_GB2312"/>
          <w:sz w:val="28"/>
          <w:szCs w:val="20"/>
        </w:rPr>
        <w:t>的</w:t>
      </w:r>
      <w:r>
        <w:rPr>
          <w:rFonts w:eastAsia="仿宋_GB2312"/>
          <w:sz w:val="28"/>
          <w:szCs w:val="20"/>
        </w:rPr>
        <w:t>临界量</w:t>
      </w:r>
      <w:r>
        <w:rPr>
          <w:rFonts w:hint="eastAsia" w:eastAsia="仿宋_GB2312"/>
          <w:sz w:val="28"/>
          <w:szCs w:val="20"/>
        </w:rPr>
        <w:t>100</w:t>
      </w:r>
      <w:r>
        <w:rPr>
          <w:rFonts w:eastAsia="仿宋_GB2312"/>
          <w:sz w:val="28"/>
          <w:szCs w:val="20"/>
        </w:rPr>
        <w:t>t，废机油参考</w:t>
      </w:r>
      <w:r>
        <w:rPr>
          <w:rFonts w:hint="eastAsia" w:eastAsia="仿宋_GB2312"/>
          <w:sz w:val="28"/>
          <w:szCs w:val="20"/>
        </w:rPr>
        <w:t>油类物质</w:t>
      </w:r>
      <w:r>
        <w:rPr>
          <w:rFonts w:eastAsia="仿宋_GB2312"/>
          <w:sz w:val="28"/>
          <w:szCs w:val="20"/>
        </w:rPr>
        <w:t>的临界量</w:t>
      </w:r>
      <w:r>
        <w:rPr>
          <w:rFonts w:hint="eastAsia" w:eastAsia="仿宋_GB2312"/>
          <w:sz w:val="28"/>
          <w:szCs w:val="20"/>
        </w:rPr>
        <w:t>2500</w:t>
      </w:r>
      <w:r>
        <w:rPr>
          <w:rFonts w:eastAsia="仿宋_GB2312"/>
          <w:sz w:val="28"/>
          <w:szCs w:val="20"/>
        </w:rPr>
        <w:t>t</w:t>
      </w:r>
      <w:r>
        <w:rPr>
          <w:rFonts w:hint="eastAsia" w:eastAsia="仿宋_GB2312"/>
          <w:sz w:val="28"/>
          <w:szCs w:val="20"/>
        </w:rPr>
        <w:t>。</w:t>
      </w:r>
    </w:p>
    <w:p>
      <w:pPr>
        <w:spacing w:line="500" w:lineRule="exact"/>
        <w:ind w:firstLine="560" w:firstLineChars="200"/>
        <w:rPr>
          <w:rFonts w:eastAsia="仿宋_GB2312"/>
          <w:sz w:val="28"/>
          <w:szCs w:val="20"/>
        </w:rPr>
      </w:pPr>
      <w:r>
        <w:rPr>
          <w:rFonts w:hint="eastAsia" w:eastAsia="仿宋_GB2312"/>
          <w:sz w:val="28"/>
          <w:szCs w:val="20"/>
        </w:rPr>
        <w:t>由上表可知，</w:t>
      </w:r>
      <w:r>
        <w:rPr>
          <w:rFonts w:eastAsia="仿宋_GB2312"/>
          <w:sz w:val="28"/>
          <w:szCs w:val="20"/>
        </w:rPr>
        <w:t>Q</w:t>
      </w:r>
      <w:r>
        <w:rPr>
          <w:rFonts w:hint="eastAsia" w:eastAsia="仿宋_GB2312"/>
          <w:sz w:val="28"/>
          <w:szCs w:val="20"/>
        </w:rPr>
        <w:t>值为1.</w:t>
      </w:r>
      <w:r>
        <w:rPr>
          <w:rFonts w:eastAsia="仿宋_GB2312"/>
          <w:sz w:val="28"/>
          <w:szCs w:val="20"/>
        </w:rPr>
        <w:t>35</w:t>
      </w:r>
      <w:r>
        <w:rPr>
          <w:rFonts w:hint="eastAsia" w:eastAsia="仿宋_GB2312"/>
          <w:sz w:val="28"/>
          <w:szCs w:val="20"/>
        </w:rPr>
        <w:t>（1≤</w:t>
      </w:r>
      <w:r>
        <w:rPr>
          <w:rFonts w:eastAsia="仿宋_GB2312"/>
          <w:iCs/>
          <w:sz w:val="28"/>
          <w:szCs w:val="20"/>
        </w:rPr>
        <w:t>Q</w:t>
      </w:r>
      <w:r>
        <w:rPr>
          <w:rFonts w:hint="eastAsia" w:eastAsia="仿宋_GB2312"/>
          <w:iCs/>
          <w:sz w:val="28"/>
          <w:szCs w:val="20"/>
        </w:rPr>
        <w:t>＜10</w:t>
      </w:r>
      <w:r>
        <w:rPr>
          <w:rFonts w:hint="eastAsia" w:eastAsia="仿宋_GB2312"/>
          <w:sz w:val="28"/>
          <w:szCs w:val="20"/>
        </w:rPr>
        <w:t>）。</w:t>
      </w:r>
    </w:p>
    <w:p>
      <w:pPr>
        <w:spacing w:line="500" w:lineRule="exact"/>
        <w:ind w:firstLine="560" w:firstLineChars="200"/>
        <w:rPr>
          <w:rFonts w:eastAsia="仿宋_GB2312"/>
          <w:sz w:val="28"/>
          <w:szCs w:val="20"/>
        </w:rPr>
      </w:pPr>
      <w:r>
        <w:rPr>
          <w:rFonts w:hint="eastAsia" w:eastAsia="仿宋_GB2312"/>
          <w:sz w:val="28"/>
          <w:szCs w:val="20"/>
        </w:rPr>
        <w:t>（2）行业及生产工艺（M）</w:t>
      </w:r>
    </w:p>
    <w:p>
      <w:pPr>
        <w:spacing w:line="500" w:lineRule="exact"/>
        <w:ind w:firstLine="560" w:firstLineChars="200"/>
        <w:rPr>
          <w:rFonts w:eastAsia="仿宋_GB2312"/>
          <w:sz w:val="28"/>
          <w:szCs w:val="20"/>
        </w:rPr>
      </w:pPr>
      <w:r>
        <w:rPr>
          <w:rFonts w:hint="eastAsia" w:eastAsia="仿宋_GB2312"/>
          <w:sz w:val="28"/>
          <w:szCs w:val="20"/>
        </w:rPr>
        <w:t>分析项目所属行业及生产工艺特点，按照表5.2-2评估生产工艺情况。具有多套工艺单元的项目，对每套生产工艺分别评分并求和。将M划分为（1）M&gt;20；（2）10&lt;M≤20；（3）5&lt;M≤10；（4）M=5，分别以M1、M2、M3和M4表示。</w:t>
      </w:r>
    </w:p>
    <w:p>
      <w:pPr>
        <w:tabs>
          <w:tab w:val="left" w:pos="1665"/>
        </w:tabs>
        <w:adjustRightInd w:val="0"/>
        <w:snapToGrid w:val="0"/>
        <w:ind w:firstLine="482"/>
        <w:jc w:val="center"/>
        <w:rPr>
          <w:rFonts w:ascii="仿宋" w:hAnsi="仿宋" w:eastAsia="仿宋"/>
          <w:b/>
          <w:sz w:val="24"/>
          <w:szCs w:val="28"/>
        </w:rPr>
      </w:pPr>
      <w:r>
        <w:rPr>
          <w:rFonts w:ascii="仿宋" w:hAnsi="仿宋" w:eastAsia="仿宋"/>
          <w:b/>
          <w:sz w:val="24"/>
        </w:rPr>
        <w:t>表</w:t>
      </w:r>
      <w:r>
        <w:rPr>
          <w:rFonts w:hint="eastAsia" w:ascii="仿宋" w:hAnsi="仿宋" w:eastAsia="仿宋"/>
          <w:b/>
          <w:sz w:val="24"/>
        </w:rPr>
        <w:t>5.3</w:t>
      </w:r>
      <w:r>
        <w:rPr>
          <w:rFonts w:ascii="仿宋" w:hAnsi="仿宋" w:eastAsia="仿宋"/>
          <w:b/>
          <w:sz w:val="24"/>
        </w:rPr>
        <w:t>-3</w:t>
      </w:r>
      <w:r>
        <w:rPr>
          <w:rFonts w:ascii="仿宋" w:hAnsi="仿宋" w:eastAsia="仿宋"/>
          <w:b/>
          <w:sz w:val="24"/>
          <w:szCs w:val="28"/>
        </w:rPr>
        <w:t xml:space="preserve">  行业及生产工艺（M）</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706"/>
        <w:gridCol w:w="5389"/>
        <w:gridCol w:w="1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26" w:type="pct"/>
            <w:vAlign w:val="center"/>
          </w:tcPr>
          <w:p>
            <w:pPr>
              <w:adjustRightInd w:val="0"/>
              <w:snapToGrid w:val="0"/>
              <w:jc w:val="center"/>
              <w:textAlignment w:val="baseline"/>
              <w:rPr>
                <w:rFonts w:ascii="仿宋" w:hAnsi="仿宋" w:eastAsia="仿宋"/>
                <w:szCs w:val="21"/>
              </w:rPr>
            </w:pPr>
            <w:r>
              <w:rPr>
                <w:rFonts w:ascii="仿宋" w:hAnsi="仿宋" w:eastAsia="仿宋"/>
                <w:szCs w:val="21"/>
              </w:rPr>
              <w:t>行业</w:t>
            </w:r>
          </w:p>
        </w:tc>
        <w:tc>
          <w:tcPr>
            <w:tcW w:w="3240" w:type="pct"/>
            <w:vAlign w:val="center"/>
          </w:tcPr>
          <w:p>
            <w:pPr>
              <w:adjustRightInd w:val="0"/>
              <w:snapToGrid w:val="0"/>
              <w:jc w:val="center"/>
              <w:textAlignment w:val="baseline"/>
              <w:rPr>
                <w:rFonts w:ascii="仿宋" w:hAnsi="仿宋" w:eastAsia="仿宋"/>
                <w:szCs w:val="21"/>
              </w:rPr>
            </w:pPr>
            <w:r>
              <w:rPr>
                <w:rFonts w:ascii="仿宋" w:hAnsi="仿宋" w:eastAsia="仿宋"/>
                <w:szCs w:val="21"/>
              </w:rPr>
              <w:t>评估依据</w:t>
            </w:r>
          </w:p>
        </w:tc>
        <w:tc>
          <w:tcPr>
            <w:tcW w:w="734" w:type="pct"/>
            <w:vAlign w:val="center"/>
          </w:tcPr>
          <w:p>
            <w:pPr>
              <w:adjustRightInd w:val="0"/>
              <w:snapToGrid w:val="0"/>
              <w:jc w:val="center"/>
              <w:textAlignment w:val="baseline"/>
              <w:rPr>
                <w:rFonts w:ascii="仿宋" w:hAnsi="仿宋" w:eastAsia="仿宋"/>
                <w:szCs w:val="21"/>
              </w:rPr>
            </w:pPr>
            <w:r>
              <w:rPr>
                <w:rFonts w:ascii="仿宋" w:hAnsi="仿宋" w:eastAsia="仿宋"/>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26" w:type="pct"/>
            <w:vMerge w:val="restart"/>
            <w:vAlign w:val="center"/>
          </w:tcPr>
          <w:p>
            <w:pPr>
              <w:adjustRightInd w:val="0"/>
              <w:snapToGrid w:val="0"/>
              <w:jc w:val="center"/>
              <w:textAlignment w:val="baseline"/>
              <w:rPr>
                <w:rFonts w:ascii="仿宋" w:hAnsi="仿宋" w:eastAsia="仿宋"/>
                <w:szCs w:val="21"/>
              </w:rPr>
            </w:pPr>
            <w:r>
              <w:rPr>
                <w:rFonts w:ascii="仿宋" w:hAnsi="仿宋" w:eastAsia="仿宋"/>
                <w:szCs w:val="21"/>
              </w:rPr>
              <w:t>石化、化工、医药、轻工、化纤、有色冶炼等</w:t>
            </w:r>
          </w:p>
        </w:tc>
        <w:tc>
          <w:tcPr>
            <w:tcW w:w="3240" w:type="pct"/>
            <w:vAlign w:val="center"/>
          </w:tcPr>
          <w:p>
            <w:pPr>
              <w:adjustRightInd w:val="0"/>
              <w:snapToGrid w:val="0"/>
              <w:jc w:val="center"/>
              <w:textAlignment w:val="baseline"/>
              <w:rPr>
                <w:rFonts w:ascii="仿宋" w:hAnsi="仿宋" w:eastAsia="仿宋"/>
                <w:szCs w:val="21"/>
              </w:rPr>
            </w:pPr>
            <w:r>
              <w:rPr>
                <w:rFonts w:ascii="仿宋" w:hAnsi="仿宋" w:eastAsia="仿宋"/>
                <w:szCs w:val="21"/>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734" w:type="pct"/>
            <w:vAlign w:val="center"/>
          </w:tcPr>
          <w:p>
            <w:pPr>
              <w:adjustRightInd w:val="0"/>
              <w:snapToGrid w:val="0"/>
              <w:jc w:val="center"/>
              <w:textAlignment w:val="baseline"/>
              <w:rPr>
                <w:rFonts w:ascii="仿宋" w:hAnsi="仿宋" w:eastAsia="仿宋"/>
                <w:szCs w:val="21"/>
              </w:rPr>
            </w:pPr>
            <w:r>
              <w:rPr>
                <w:rFonts w:ascii="仿宋" w:hAnsi="仿宋" w:eastAsia="仿宋"/>
                <w:szCs w:val="21"/>
              </w:rPr>
              <w:t>10/套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26" w:type="pct"/>
            <w:vMerge w:val="continue"/>
            <w:vAlign w:val="center"/>
          </w:tcPr>
          <w:p>
            <w:pPr>
              <w:adjustRightInd w:val="0"/>
              <w:snapToGrid w:val="0"/>
              <w:jc w:val="center"/>
              <w:textAlignment w:val="baseline"/>
              <w:rPr>
                <w:rFonts w:ascii="仿宋" w:hAnsi="仿宋" w:eastAsia="仿宋"/>
                <w:szCs w:val="21"/>
              </w:rPr>
            </w:pPr>
          </w:p>
        </w:tc>
        <w:tc>
          <w:tcPr>
            <w:tcW w:w="3240" w:type="pct"/>
            <w:vAlign w:val="center"/>
          </w:tcPr>
          <w:p>
            <w:pPr>
              <w:kinsoku w:val="0"/>
              <w:overflowPunct w:val="0"/>
              <w:adjustRightInd w:val="0"/>
              <w:snapToGrid w:val="0"/>
              <w:jc w:val="center"/>
              <w:textAlignment w:val="baseline"/>
              <w:rPr>
                <w:rFonts w:ascii="仿宋" w:hAnsi="仿宋" w:eastAsia="仿宋"/>
                <w:szCs w:val="21"/>
              </w:rPr>
            </w:pPr>
            <w:r>
              <w:rPr>
                <w:rFonts w:ascii="仿宋" w:hAnsi="仿宋" w:eastAsia="仿宋"/>
                <w:szCs w:val="21"/>
              </w:rPr>
              <w:t>无机酸制酸工艺、焦化工艺</w:t>
            </w:r>
          </w:p>
        </w:tc>
        <w:tc>
          <w:tcPr>
            <w:tcW w:w="734" w:type="pct"/>
            <w:vAlign w:val="center"/>
          </w:tcPr>
          <w:p>
            <w:pPr>
              <w:kinsoku w:val="0"/>
              <w:overflowPunct w:val="0"/>
              <w:adjustRightInd w:val="0"/>
              <w:snapToGrid w:val="0"/>
              <w:jc w:val="center"/>
              <w:textAlignment w:val="baseline"/>
              <w:rPr>
                <w:rFonts w:ascii="仿宋" w:hAnsi="仿宋" w:eastAsia="仿宋"/>
                <w:szCs w:val="21"/>
              </w:rPr>
            </w:pPr>
            <w:r>
              <w:rPr>
                <w:rFonts w:ascii="仿宋" w:hAnsi="仿宋" w:eastAsia="仿宋"/>
                <w:szCs w:val="21"/>
              </w:rPr>
              <w:t>5/套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26" w:type="pct"/>
            <w:vMerge w:val="continue"/>
            <w:vAlign w:val="center"/>
          </w:tcPr>
          <w:p>
            <w:pPr>
              <w:adjustRightInd w:val="0"/>
              <w:snapToGrid w:val="0"/>
              <w:jc w:val="center"/>
              <w:textAlignment w:val="baseline"/>
              <w:rPr>
                <w:rFonts w:ascii="仿宋" w:hAnsi="仿宋" w:eastAsia="仿宋"/>
                <w:szCs w:val="21"/>
              </w:rPr>
            </w:pPr>
          </w:p>
        </w:tc>
        <w:tc>
          <w:tcPr>
            <w:tcW w:w="3240" w:type="pct"/>
            <w:vAlign w:val="center"/>
          </w:tcPr>
          <w:p>
            <w:pPr>
              <w:kinsoku w:val="0"/>
              <w:overflowPunct w:val="0"/>
              <w:adjustRightInd w:val="0"/>
              <w:snapToGrid w:val="0"/>
              <w:jc w:val="center"/>
              <w:textAlignment w:val="baseline"/>
              <w:rPr>
                <w:rFonts w:ascii="仿宋" w:hAnsi="仿宋" w:eastAsia="仿宋"/>
                <w:szCs w:val="21"/>
              </w:rPr>
            </w:pPr>
            <w:r>
              <w:rPr>
                <w:rFonts w:ascii="仿宋" w:hAnsi="仿宋" w:eastAsia="仿宋"/>
                <w:szCs w:val="21"/>
              </w:rPr>
              <w:t>其他高温或高压，且涉及危险物质的工艺过程</w:t>
            </w:r>
            <w:r>
              <w:rPr>
                <w:rFonts w:hint="eastAsia" w:ascii="仿宋" w:hAnsi="仿宋" w:eastAsia="仿宋"/>
                <w:szCs w:val="21"/>
              </w:rPr>
              <w:t>①</w:t>
            </w:r>
            <w:r>
              <w:rPr>
                <w:rFonts w:ascii="仿宋" w:hAnsi="仿宋" w:eastAsia="仿宋"/>
                <w:szCs w:val="21"/>
              </w:rPr>
              <w:t>、危险物质贮存罐区</w:t>
            </w:r>
          </w:p>
        </w:tc>
        <w:tc>
          <w:tcPr>
            <w:tcW w:w="734" w:type="pct"/>
            <w:vAlign w:val="center"/>
          </w:tcPr>
          <w:p>
            <w:pPr>
              <w:kinsoku w:val="0"/>
              <w:overflowPunct w:val="0"/>
              <w:adjustRightInd w:val="0"/>
              <w:snapToGrid w:val="0"/>
              <w:jc w:val="center"/>
              <w:textAlignment w:val="baseline"/>
              <w:rPr>
                <w:rFonts w:ascii="仿宋" w:hAnsi="仿宋" w:eastAsia="仿宋"/>
                <w:szCs w:val="21"/>
              </w:rPr>
            </w:pPr>
            <w:r>
              <w:rPr>
                <w:rFonts w:ascii="仿宋" w:hAnsi="仿宋" w:eastAsia="仿宋"/>
                <w:szCs w:val="21"/>
              </w:rPr>
              <w:t>5/套（罐区）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26" w:type="pct"/>
            <w:vAlign w:val="center"/>
          </w:tcPr>
          <w:p>
            <w:pPr>
              <w:adjustRightInd w:val="0"/>
              <w:snapToGrid w:val="0"/>
              <w:jc w:val="center"/>
              <w:textAlignment w:val="baseline"/>
              <w:rPr>
                <w:rFonts w:ascii="仿宋" w:hAnsi="仿宋" w:eastAsia="仿宋"/>
                <w:szCs w:val="21"/>
              </w:rPr>
            </w:pPr>
            <w:r>
              <w:rPr>
                <w:rFonts w:ascii="仿宋" w:hAnsi="仿宋" w:eastAsia="仿宋"/>
                <w:szCs w:val="21"/>
              </w:rPr>
              <w:t>管道、港口/码头等</w:t>
            </w:r>
          </w:p>
        </w:tc>
        <w:tc>
          <w:tcPr>
            <w:tcW w:w="3240" w:type="pct"/>
            <w:vAlign w:val="center"/>
          </w:tcPr>
          <w:p>
            <w:pPr>
              <w:adjustRightInd w:val="0"/>
              <w:snapToGrid w:val="0"/>
              <w:jc w:val="center"/>
              <w:textAlignment w:val="baseline"/>
              <w:rPr>
                <w:rFonts w:ascii="仿宋" w:hAnsi="仿宋" w:eastAsia="仿宋"/>
                <w:szCs w:val="21"/>
              </w:rPr>
            </w:pPr>
            <w:r>
              <w:rPr>
                <w:rFonts w:ascii="仿宋" w:hAnsi="仿宋" w:eastAsia="仿宋"/>
                <w:szCs w:val="21"/>
              </w:rPr>
              <w:t>涉及危险物质管道运输项目、港口/码头等</w:t>
            </w:r>
          </w:p>
        </w:tc>
        <w:tc>
          <w:tcPr>
            <w:tcW w:w="734" w:type="pct"/>
            <w:vAlign w:val="center"/>
          </w:tcPr>
          <w:p>
            <w:pPr>
              <w:adjustRightInd w:val="0"/>
              <w:snapToGrid w:val="0"/>
              <w:jc w:val="center"/>
              <w:textAlignment w:val="baseline"/>
              <w:rPr>
                <w:rFonts w:ascii="仿宋" w:hAnsi="仿宋" w:eastAsia="仿宋"/>
                <w:szCs w:val="21"/>
              </w:rPr>
            </w:pPr>
            <w:r>
              <w:rPr>
                <w:rFonts w:ascii="仿宋" w:hAnsi="仿宋" w:eastAsia="仿宋"/>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26" w:type="pct"/>
            <w:vAlign w:val="center"/>
          </w:tcPr>
          <w:p>
            <w:pPr>
              <w:adjustRightInd w:val="0"/>
              <w:snapToGrid w:val="0"/>
              <w:jc w:val="center"/>
              <w:textAlignment w:val="baseline"/>
              <w:rPr>
                <w:rFonts w:ascii="仿宋" w:hAnsi="仿宋" w:eastAsia="仿宋"/>
                <w:szCs w:val="21"/>
              </w:rPr>
            </w:pPr>
            <w:r>
              <w:rPr>
                <w:rFonts w:ascii="仿宋" w:hAnsi="仿宋" w:eastAsia="仿宋"/>
                <w:szCs w:val="21"/>
              </w:rPr>
              <w:t>石油天然气</w:t>
            </w:r>
          </w:p>
        </w:tc>
        <w:tc>
          <w:tcPr>
            <w:tcW w:w="3240" w:type="pct"/>
            <w:vAlign w:val="center"/>
          </w:tcPr>
          <w:p>
            <w:pPr>
              <w:adjustRightInd w:val="0"/>
              <w:snapToGrid w:val="0"/>
              <w:jc w:val="center"/>
              <w:textAlignment w:val="baseline"/>
              <w:rPr>
                <w:rFonts w:ascii="仿宋" w:hAnsi="仿宋" w:eastAsia="仿宋"/>
                <w:szCs w:val="21"/>
              </w:rPr>
            </w:pPr>
            <w:r>
              <w:rPr>
                <w:rFonts w:ascii="仿宋" w:hAnsi="仿宋" w:eastAsia="仿宋"/>
                <w:szCs w:val="21"/>
              </w:rPr>
              <w:t>石油、天然气、页岩气开采（含净化），气库（不含加气站的气库），油库（不含加气站的油库）、油气管线</w:t>
            </w:r>
            <w:r>
              <w:rPr>
                <w:rFonts w:hint="eastAsia" w:ascii="仿宋" w:hAnsi="仿宋" w:eastAsia="仿宋"/>
                <w:szCs w:val="21"/>
              </w:rPr>
              <w:t>②</w:t>
            </w:r>
            <w:r>
              <w:rPr>
                <w:rFonts w:ascii="仿宋" w:hAnsi="仿宋" w:eastAsia="仿宋"/>
                <w:szCs w:val="21"/>
              </w:rPr>
              <w:t>（不含城镇燃气管线）</w:t>
            </w:r>
          </w:p>
        </w:tc>
        <w:tc>
          <w:tcPr>
            <w:tcW w:w="734" w:type="pct"/>
            <w:vAlign w:val="center"/>
          </w:tcPr>
          <w:p>
            <w:pPr>
              <w:adjustRightInd w:val="0"/>
              <w:snapToGrid w:val="0"/>
              <w:jc w:val="center"/>
              <w:textAlignment w:val="baseline"/>
              <w:rPr>
                <w:rFonts w:ascii="仿宋" w:hAnsi="仿宋" w:eastAsia="仿宋"/>
                <w:szCs w:val="21"/>
              </w:rPr>
            </w:pPr>
            <w:r>
              <w:rPr>
                <w:rFonts w:ascii="仿宋" w:hAnsi="仿宋" w:eastAsia="仿宋"/>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26" w:type="pct"/>
            <w:vAlign w:val="center"/>
          </w:tcPr>
          <w:p>
            <w:pPr>
              <w:adjustRightInd w:val="0"/>
              <w:snapToGrid w:val="0"/>
              <w:jc w:val="center"/>
              <w:textAlignment w:val="baseline"/>
              <w:rPr>
                <w:rFonts w:ascii="仿宋" w:hAnsi="仿宋" w:eastAsia="仿宋"/>
                <w:szCs w:val="21"/>
              </w:rPr>
            </w:pPr>
            <w:r>
              <w:rPr>
                <w:rFonts w:ascii="仿宋" w:hAnsi="仿宋" w:eastAsia="仿宋"/>
                <w:szCs w:val="21"/>
              </w:rPr>
              <w:t>其他</w:t>
            </w:r>
          </w:p>
        </w:tc>
        <w:tc>
          <w:tcPr>
            <w:tcW w:w="3240" w:type="pct"/>
            <w:vAlign w:val="center"/>
          </w:tcPr>
          <w:p>
            <w:pPr>
              <w:adjustRightInd w:val="0"/>
              <w:snapToGrid w:val="0"/>
              <w:jc w:val="center"/>
              <w:textAlignment w:val="baseline"/>
              <w:rPr>
                <w:rFonts w:ascii="仿宋" w:hAnsi="仿宋" w:eastAsia="仿宋"/>
                <w:szCs w:val="21"/>
              </w:rPr>
            </w:pPr>
            <w:r>
              <w:rPr>
                <w:rFonts w:ascii="仿宋" w:hAnsi="仿宋" w:eastAsia="仿宋"/>
                <w:szCs w:val="21"/>
              </w:rPr>
              <w:t>涉及危险物质使用、贮存的项目</w:t>
            </w:r>
          </w:p>
        </w:tc>
        <w:tc>
          <w:tcPr>
            <w:tcW w:w="734" w:type="pct"/>
            <w:vAlign w:val="center"/>
          </w:tcPr>
          <w:p>
            <w:pPr>
              <w:adjustRightInd w:val="0"/>
              <w:snapToGrid w:val="0"/>
              <w:jc w:val="center"/>
              <w:textAlignment w:val="baseline"/>
              <w:rPr>
                <w:rFonts w:ascii="仿宋" w:hAnsi="仿宋" w:eastAsia="仿宋"/>
                <w:szCs w:val="21"/>
              </w:rPr>
            </w:pPr>
            <w:r>
              <w:rPr>
                <w:rFonts w:ascii="仿宋" w:hAnsi="仿宋" w:eastAsia="仿宋"/>
                <w:szCs w:val="21"/>
              </w:rPr>
              <w:t>5</w:t>
            </w:r>
          </w:p>
        </w:tc>
      </w:tr>
    </w:tbl>
    <w:p>
      <w:pPr>
        <w:adjustRightInd w:val="0"/>
        <w:snapToGrid w:val="0"/>
        <w:ind w:firstLine="560"/>
        <w:rPr>
          <w:rFonts w:ascii="仿宋" w:hAnsi="仿宋" w:eastAsia="仿宋"/>
        </w:rPr>
      </w:pPr>
      <w:r>
        <w:rPr>
          <w:rFonts w:hint="eastAsia" w:ascii="仿宋" w:hAnsi="仿宋" w:eastAsia="仿宋" w:cs="宋体"/>
        </w:rPr>
        <w:t>①</w:t>
      </w:r>
      <w:r>
        <w:rPr>
          <w:rFonts w:ascii="仿宋" w:hAnsi="仿宋" w:eastAsia="仿宋"/>
        </w:rPr>
        <w:t>高温指工艺温度≥300</w:t>
      </w:r>
      <w:r>
        <w:rPr>
          <w:rFonts w:hint="eastAsia" w:ascii="仿宋" w:hAnsi="仿宋" w:eastAsia="仿宋" w:cs="宋体"/>
        </w:rPr>
        <w:t>℃</w:t>
      </w:r>
      <w:r>
        <w:rPr>
          <w:rFonts w:ascii="仿宋" w:hAnsi="仿宋" w:eastAsia="仿宋"/>
        </w:rPr>
        <w:t>，高压指压力容器的设计压力（P）≥10.0MPa；</w:t>
      </w:r>
      <w:r>
        <w:rPr>
          <w:rFonts w:hint="eastAsia" w:ascii="仿宋" w:hAnsi="仿宋" w:eastAsia="仿宋" w:cs="宋体"/>
        </w:rPr>
        <w:t>②</w:t>
      </w:r>
      <w:r>
        <w:rPr>
          <w:rFonts w:ascii="仿宋" w:hAnsi="仿宋" w:eastAsia="仿宋"/>
        </w:rPr>
        <w:t>长输管道运输项目应按站场、管线分段进行评价。</w:t>
      </w:r>
    </w:p>
    <w:p>
      <w:pPr>
        <w:spacing w:line="500" w:lineRule="exact"/>
        <w:ind w:firstLine="560" w:firstLineChars="200"/>
        <w:rPr>
          <w:rFonts w:eastAsia="仿宋_GB2312"/>
          <w:sz w:val="28"/>
          <w:szCs w:val="20"/>
        </w:rPr>
      </w:pPr>
      <w:r>
        <w:rPr>
          <w:rFonts w:hint="eastAsia" w:eastAsia="仿宋_GB2312"/>
          <w:sz w:val="28"/>
          <w:szCs w:val="20"/>
        </w:rPr>
        <w:t>企业生产工艺评估结果见表5.3-</w:t>
      </w:r>
      <w:r>
        <w:rPr>
          <w:rFonts w:eastAsia="仿宋_GB2312"/>
          <w:sz w:val="28"/>
          <w:szCs w:val="20"/>
        </w:rPr>
        <w:t>4</w:t>
      </w:r>
      <w:r>
        <w:rPr>
          <w:rFonts w:hint="eastAsia" w:eastAsia="仿宋_GB2312"/>
          <w:sz w:val="28"/>
          <w:szCs w:val="20"/>
        </w:rPr>
        <w:t>。</w:t>
      </w:r>
    </w:p>
    <w:p>
      <w:pPr>
        <w:tabs>
          <w:tab w:val="left" w:pos="1665"/>
        </w:tabs>
        <w:adjustRightInd w:val="0"/>
        <w:snapToGrid w:val="0"/>
        <w:ind w:firstLine="482"/>
        <w:jc w:val="center"/>
        <w:rPr>
          <w:rFonts w:ascii="仿宋" w:hAnsi="仿宋" w:eastAsia="仿宋"/>
          <w:b/>
          <w:sz w:val="24"/>
          <w:szCs w:val="22"/>
        </w:rPr>
      </w:pPr>
      <w:r>
        <w:rPr>
          <w:rFonts w:ascii="仿宋" w:hAnsi="仿宋" w:eastAsia="仿宋"/>
          <w:b/>
          <w:sz w:val="24"/>
        </w:rPr>
        <w:t>表</w:t>
      </w:r>
      <w:r>
        <w:rPr>
          <w:rFonts w:hint="eastAsia" w:ascii="仿宋" w:hAnsi="仿宋" w:eastAsia="仿宋"/>
          <w:b/>
          <w:sz w:val="24"/>
        </w:rPr>
        <w:t>5.3</w:t>
      </w:r>
      <w:r>
        <w:rPr>
          <w:rFonts w:ascii="仿宋" w:hAnsi="仿宋" w:eastAsia="仿宋"/>
          <w:b/>
          <w:sz w:val="24"/>
        </w:rPr>
        <w:t>-4</w:t>
      </w:r>
      <w:r>
        <w:rPr>
          <w:rFonts w:ascii="仿宋" w:hAnsi="仿宋" w:eastAsia="仿宋"/>
          <w:b/>
          <w:sz w:val="24"/>
          <w:szCs w:val="28"/>
        </w:rPr>
        <w:t xml:space="preserve"> 企业生产工艺评估结果表</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54"/>
        <w:gridCol w:w="2327"/>
        <w:gridCol w:w="2347"/>
        <w:gridCol w:w="1879"/>
        <w:gridCol w:w="11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93" w:type="pct"/>
            <w:tcBorders>
              <w:top w:val="single" w:color="auto" w:sz="4" w:space="0"/>
              <w:left w:val="single" w:color="auto" w:sz="4" w:space="0"/>
              <w:bottom w:val="single" w:color="auto" w:sz="4" w:space="0"/>
              <w:right w:val="single" w:color="auto" w:sz="4" w:space="0"/>
            </w:tcBorders>
            <w:vAlign w:val="center"/>
          </w:tcPr>
          <w:p>
            <w:pPr>
              <w:kinsoku w:val="0"/>
              <w:overflowPunct w:val="0"/>
              <w:adjustRightInd w:val="0"/>
              <w:snapToGrid w:val="0"/>
              <w:spacing w:line="320" w:lineRule="exact"/>
              <w:jc w:val="center"/>
              <w:rPr>
                <w:rFonts w:ascii="仿宋" w:hAnsi="仿宋" w:eastAsia="仿宋"/>
              </w:rPr>
            </w:pPr>
            <w:r>
              <w:rPr>
                <w:rFonts w:ascii="仿宋" w:hAnsi="仿宋" w:eastAsia="仿宋"/>
              </w:rPr>
              <w:t>序号</w:t>
            </w:r>
          </w:p>
        </w:tc>
        <w:tc>
          <w:tcPr>
            <w:tcW w:w="1399" w:type="pct"/>
            <w:tcBorders>
              <w:top w:val="single" w:color="auto" w:sz="4" w:space="0"/>
              <w:left w:val="single" w:color="auto" w:sz="4" w:space="0"/>
              <w:bottom w:val="single" w:color="auto" w:sz="4" w:space="0"/>
              <w:right w:val="single" w:color="auto" w:sz="4" w:space="0"/>
            </w:tcBorders>
            <w:vAlign w:val="center"/>
          </w:tcPr>
          <w:p>
            <w:pPr>
              <w:kinsoku w:val="0"/>
              <w:overflowPunct w:val="0"/>
              <w:adjustRightInd w:val="0"/>
              <w:snapToGrid w:val="0"/>
              <w:spacing w:line="320" w:lineRule="exact"/>
              <w:jc w:val="center"/>
              <w:rPr>
                <w:rFonts w:ascii="仿宋" w:hAnsi="仿宋" w:eastAsia="仿宋"/>
              </w:rPr>
            </w:pPr>
            <w:r>
              <w:rPr>
                <w:rFonts w:ascii="仿宋" w:hAnsi="仿宋" w:eastAsia="仿宋"/>
              </w:rPr>
              <w:t>行业</w:t>
            </w:r>
          </w:p>
        </w:tc>
        <w:tc>
          <w:tcPr>
            <w:tcW w:w="1411" w:type="pct"/>
            <w:tcBorders>
              <w:top w:val="single" w:color="auto" w:sz="4" w:space="0"/>
              <w:left w:val="single" w:color="auto" w:sz="4" w:space="0"/>
              <w:bottom w:val="single" w:color="auto" w:sz="4" w:space="0"/>
              <w:right w:val="single" w:color="auto" w:sz="4" w:space="0"/>
            </w:tcBorders>
            <w:vAlign w:val="center"/>
          </w:tcPr>
          <w:p>
            <w:pPr>
              <w:kinsoku w:val="0"/>
              <w:overflowPunct w:val="0"/>
              <w:adjustRightInd w:val="0"/>
              <w:snapToGrid w:val="0"/>
              <w:spacing w:line="320" w:lineRule="exact"/>
              <w:jc w:val="center"/>
              <w:rPr>
                <w:rFonts w:ascii="仿宋" w:hAnsi="仿宋" w:eastAsia="仿宋"/>
              </w:rPr>
            </w:pPr>
            <w:r>
              <w:rPr>
                <w:rFonts w:ascii="仿宋" w:hAnsi="仿宋" w:eastAsia="仿宋"/>
              </w:rPr>
              <w:t>生产工艺</w:t>
            </w:r>
          </w:p>
        </w:tc>
        <w:tc>
          <w:tcPr>
            <w:tcW w:w="1130" w:type="pct"/>
            <w:tcBorders>
              <w:top w:val="single" w:color="auto" w:sz="4" w:space="0"/>
              <w:left w:val="single" w:color="auto" w:sz="4" w:space="0"/>
              <w:bottom w:val="single" w:color="auto" w:sz="4" w:space="0"/>
              <w:right w:val="single" w:color="auto" w:sz="4" w:space="0"/>
            </w:tcBorders>
            <w:vAlign w:val="center"/>
          </w:tcPr>
          <w:p>
            <w:pPr>
              <w:kinsoku w:val="0"/>
              <w:overflowPunct w:val="0"/>
              <w:adjustRightInd w:val="0"/>
              <w:snapToGrid w:val="0"/>
              <w:spacing w:line="320" w:lineRule="exact"/>
              <w:jc w:val="center"/>
              <w:rPr>
                <w:rFonts w:ascii="仿宋" w:hAnsi="仿宋" w:eastAsia="仿宋"/>
              </w:rPr>
            </w:pPr>
            <w:r>
              <w:rPr>
                <w:rFonts w:ascii="仿宋" w:hAnsi="仿宋" w:eastAsia="仿宋"/>
              </w:rPr>
              <w:t>数量/套（罐区）</w:t>
            </w:r>
          </w:p>
        </w:tc>
        <w:tc>
          <w:tcPr>
            <w:tcW w:w="667" w:type="pct"/>
            <w:tcBorders>
              <w:top w:val="single" w:color="auto" w:sz="4" w:space="0"/>
              <w:left w:val="single" w:color="auto" w:sz="4" w:space="0"/>
              <w:bottom w:val="single" w:color="auto" w:sz="4" w:space="0"/>
              <w:right w:val="single" w:color="auto" w:sz="4" w:space="0"/>
            </w:tcBorders>
            <w:vAlign w:val="center"/>
          </w:tcPr>
          <w:p>
            <w:pPr>
              <w:kinsoku w:val="0"/>
              <w:overflowPunct w:val="0"/>
              <w:adjustRightInd w:val="0"/>
              <w:snapToGrid w:val="0"/>
              <w:spacing w:line="320" w:lineRule="exact"/>
              <w:jc w:val="center"/>
              <w:rPr>
                <w:rFonts w:ascii="仿宋" w:hAnsi="仿宋" w:eastAsia="仿宋"/>
              </w:rPr>
            </w:pPr>
            <w:r>
              <w:rPr>
                <w:rFonts w:ascii="仿宋" w:hAnsi="仿宋" w:eastAsia="仿宋"/>
              </w:rPr>
              <w:t>M分值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93" w:type="pct"/>
            <w:tcBorders>
              <w:top w:val="single" w:color="auto" w:sz="4" w:space="0"/>
              <w:left w:val="single" w:color="auto" w:sz="4" w:space="0"/>
              <w:bottom w:val="single" w:color="auto" w:sz="4" w:space="0"/>
              <w:right w:val="single" w:color="auto" w:sz="4" w:space="0"/>
            </w:tcBorders>
            <w:vAlign w:val="center"/>
          </w:tcPr>
          <w:p>
            <w:pPr>
              <w:kinsoku w:val="0"/>
              <w:overflowPunct w:val="0"/>
              <w:adjustRightInd w:val="0"/>
              <w:snapToGrid w:val="0"/>
              <w:spacing w:line="320" w:lineRule="exact"/>
              <w:jc w:val="center"/>
              <w:rPr>
                <w:rFonts w:ascii="仿宋" w:hAnsi="仿宋" w:eastAsia="仿宋"/>
              </w:rPr>
            </w:pPr>
            <w:r>
              <w:rPr>
                <w:rFonts w:ascii="仿宋" w:hAnsi="仿宋" w:eastAsia="仿宋"/>
              </w:rPr>
              <w:t>1</w:t>
            </w:r>
          </w:p>
        </w:tc>
        <w:tc>
          <w:tcPr>
            <w:tcW w:w="1399" w:type="pct"/>
            <w:tcBorders>
              <w:top w:val="single" w:color="auto" w:sz="4" w:space="0"/>
              <w:left w:val="single" w:color="auto" w:sz="4" w:space="0"/>
              <w:bottom w:val="single" w:color="auto" w:sz="4" w:space="0"/>
              <w:right w:val="single" w:color="auto" w:sz="4" w:space="0"/>
            </w:tcBorders>
            <w:vAlign w:val="center"/>
          </w:tcPr>
          <w:p>
            <w:pPr>
              <w:kinsoku w:val="0"/>
              <w:overflowPunct w:val="0"/>
              <w:adjustRightInd w:val="0"/>
              <w:snapToGrid w:val="0"/>
              <w:spacing w:line="320" w:lineRule="exact"/>
              <w:jc w:val="center"/>
              <w:rPr>
                <w:rFonts w:ascii="仿宋" w:hAnsi="仿宋" w:eastAsia="仿宋"/>
              </w:rPr>
            </w:pPr>
            <w:r>
              <w:rPr>
                <w:rFonts w:ascii="仿宋" w:hAnsi="仿宋" w:eastAsia="仿宋"/>
              </w:rPr>
              <w:t>本项目属于塑料</w:t>
            </w:r>
            <w:r>
              <w:rPr>
                <w:rFonts w:hint="eastAsia" w:ascii="仿宋" w:hAnsi="仿宋" w:eastAsia="仿宋"/>
              </w:rPr>
              <w:t>制品</w:t>
            </w:r>
            <w:r>
              <w:rPr>
                <w:rFonts w:ascii="仿宋" w:hAnsi="仿宋" w:eastAsia="仿宋"/>
              </w:rPr>
              <w:t>制造，属于除石化、化工、医药、轻工、化纤、有色冶炼外的其他行业</w:t>
            </w:r>
          </w:p>
        </w:tc>
        <w:tc>
          <w:tcPr>
            <w:tcW w:w="1411" w:type="pct"/>
            <w:tcBorders>
              <w:top w:val="single" w:color="auto" w:sz="4" w:space="0"/>
              <w:left w:val="single" w:color="auto" w:sz="4" w:space="0"/>
              <w:bottom w:val="single" w:color="auto" w:sz="4" w:space="0"/>
              <w:right w:val="single" w:color="auto" w:sz="4" w:space="0"/>
            </w:tcBorders>
            <w:vAlign w:val="center"/>
          </w:tcPr>
          <w:p>
            <w:pPr>
              <w:kinsoku w:val="0"/>
              <w:overflowPunct w:val="0"/>
              <w:adjustRightInd w:val="0"/>
              <w:snapToGrid w:val="0"/>
              <w:spacing w:line="320" w:lineRule="exact"/>
              <w:jc w:val="center"/>
              <w:rPr>
                <w:rFonts w:ascii="仿宋" w:hAnsi="仿宋" w:eastAsia="仿宋"/>
              </w:rPr>
            </w:pPr>
            <w:r>
              <w:rPr>
                <w:rFonts w:ascii="仿宋" w:hAnsi="仿宋" w:eastAsia="仿宋"/>
              </w:rPr>
              <w:t>涉及危险物质使用、贮存的项目</w:t>
            </w:r>
          </w:p>
        </w:tc>
        <w:tc>
          <w:tcPr>
            <w:tcW w:w="1130" w:type="pct"/>
            <w:tcBorders>
              <w:top w:val="single" w:color="auto" w:sz="4" w:space="0"/>
              <w:left w:val="single" w:color="auto" w:sz="4" w:space="0"/>
              <w:bottom w:val="single" w:color="auto" w:sz="4" w:space="0"/>
              <w:right w:val="single" w:color="auto" w:sz="4" w:space="0"/>
            </w:tcBorders>
            <w:vAlign w:val="center"/>
          </w:tcPr>
          <w:p>
            <w:pPr>
              <w:kinsoku w:val="0"/>
              <w:overflowPunct w:val="0"/>
              <w:adjustRightInd w:val="0"/>
              <w:snapToGrid w:val="0"/>
              <w:spacing w:line="320" w:lineRule="exact"/>
              <w:jc w:val="center"/>
              <w:rPr>
                <w:rFonts w:ascii="仿宋" w:hAnsi="仿宋" w:eastAsia="仿宋"/>
              </w:rPr>
            </w:pPr>
            <w:r>
              <w:rPr>
                <w:rFonts w:ascii="仿宋" w:hAnsi="仿宋" w:eastAsia="仿宋"/>
              </w:rPr>
              <w:t>1</w:t>
            </w:r>
          </w:p>
        </w:tc>
        <w:tc>
          <w:tcPr>
            <w:tcW w:w="667" w:type="pct"/>
            <w:tcBorders>
              <w:top w:val="single" w:color="auto" w:sz="4" w:space="0"/>
              <w:left w:val="single" w:color="auto" w:sz="4" w:space="0"/>
              <w:bottom w:val="single" w:color="auto" w:sz="4" w:space="0"/>
              <w:right w:val="single" w:color="auto" w:sz="4" w:space="0"/>
            </w:tcBorders>
            <w:vAlign w:val="center"/>
          </w:tcPr>
          <w:p>
            <w:pPr>
              <w:kinsoku w:val="0"/>
              <w:overflowPunct w:val="0"/>
              <w:adjustRightInd w:val="0"/>
              <w:snapToGrid w:val="0"/>
              <w:spacing w:line="320" w:lineRule="exact"/>
              <w:jc w:val="center"/>
              <w:rPr>
                <w:rFonts w:ascii="仿宋" w:hAnsi="仿宋" w:eastAsia="仿宋"/>
              </w:rPr>
            </w:pPr>
            <w:r>
              <w:rPr>
                <w:rFonts w:ascii="仿宋" w:hAnsi="仿宋" w:eastAsia="仿宋"/>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333" w:type="pct"/>
            <w:gridSpan w:val="4"/>
            <w:tcBorders>
              <w:top w:val="single" w:color="auto" w:sz="4" w:space="0"/>
              <w:left w:val="single" w:color="auto" w:sz="4" w:space="0"/>
              <w:bottom w:val="single" w:color="auto" w:sz="4" w:space="0"/>
              <w:right w:val="single" w:color="auto" w:sz="4" w:space="0"/>
            </w:tcBorders>
            <w:vAlign w:val="center"/>
          </w:tcPr>
          <w:p>
            <w:pPr>
              <w:kinsoku w:val="0"/>
              <w:overflowPunct w:val="0"/>
              <w:adjustRightInd w:val="0"/>
              <w:snapToGrid w:val="0"/>
              <w:spacing w:line="320" w:lineRule="exact"/>
              <w:jc w:val="center"/>
              <w:rPr>
                <w:rFonts w:ascii="仿宋" w:hAnsi="仿宋" w:eastAsia="仿宋"/>
              </w:rPr>
            </w:pPr>
            <w:r>
              <w:rPr>
                <w:rFonts w:ascii="仿宋" w:hAnsi="仿宋" w:eastAsia="仿宋"/>
              </w:rPr>
              <w:t>项目 M值 Σ</w:t>
            </w:r>
          </w:p>
        </w:tc>
        <w:tc>
          <w:tcPr>
            <w:tcW w:w="667" w:type="pct"/>
            <w:tcBorders>
              <w:top w:val="single" w:color="auto" w:sz="4" w:space="0"/>
              <w:left w:val="single" w:color="auto" w:sz="4" w:space="0"/>
              <w:bottom w:val="single" w:color="auto" w:sz="4" w:space="0"/>
              <w:right w:val="single" w:color="auto" w:sz="4" w:space="0"/>
            </w:tcBorders>
            <w:vAlign w:val="center"/>
          </w:tcPr>
          <w:p>
            <w:pPr>
              <w:kinsoku w:val="0"/>
              <w:overflowPunct w:val="0"/>
              <w:adjustRightInd w:val="0"/>
              <w:snapToGrid w:val="0"/>
              <w:spacing w:line="320" w:lineRule="exact"/>
              <w:jc w:val="center"/>
              <w:rPr>
                <w:rFonts w:ascii="仿宋" w:hAnsi="仿宋" w:eastAsia="仿宋"/>
              </w:rPr>
            </w:pPr>
            <w:r>
              <w:rPr>
                <w:rFonts w:ascii="仿宋" w:hAnsi="仿宋" w:eastAsia="仿宋"/>
              </w:rPr>
              <w:t>5</w:t>
            </w:r>
          </w:p>
        </w:tc>
      </w:tr>
    </w:tbl>
    <w:p>
      <w:pPr>
        <w:spacing w:line="500" w:lineRule="exact"/>
        <w:ind w:firstLine="560" w:firstLineChars="200"/>
        <w:rPr>
          <w:rFonts w:eastAsia="仿宋_GB2312"/>
          <w:sz w:val="28"/>
          <w:szCs w:val="20"/>
        </w:rPr>
      </w:pPr>
      <w:r>
        <w:rPr>
          <w:rFonts w:hint="eastAsia" w:eastAsia="仿宋_GB2312"/>
          <w:sz w:val="28"/>
          <w:szCs w:val="20"/>
        </w:rPr>
        <w:t>由上表可知，M值为5（M=5），以M4表示。</w:t>
      </w:r>
    </w:p>
    <w:p>
      <w:pPr>
        <w:spacing w:line="500" w:lineRule="exact"/>
        <w:ind w:firstLine="560" w:firstLineChars="200"/>
        <w:rPr>
          <w:rFonts w:eastAsia="仿宋_GB2312"/>
          <w:sz w:val="28"/>
          <w:szCs w:val="20"/>
        </w:rPr>
      </w:pPr>
      <w:r>
        <w:rPr>
          <w:rFonts w:hint="eastAsia" w:eastAsia="仿宋_GB2312"/>
          <w:sz w:val="28"/>
          <w:szCs w:val="20"/>
        </w:rPr>
        <w:t>（3）危险物质及工艺系统危险性（P）</w:t>
      </w:r>
    </w:p>
    <w:p>
      <w:pPr>
        <w:spacing w:line="500" w:lineRule="exact"/>
        <w:ind w:firstLine="560" w:firstLineChars="200"/>
        <w:rPr>
          <w:rFonts w:eastAsia="仿宋_GB2312"/>
          <w:sz w:val="28"/>
          <w:szCs w:val="20"/>
        </w:rPr>
      </w:pPr>
      <w:r>
        <w:rPr>
          <w:rFonts w:hint="eastAsia" w:eastAsia="仿宋_GB2312"/>
          <w:sz w:val="28"/>
          <w:szCs w:val="20"/>
        </w:rPr>
        <w:t>根据危险物质数量与临界量比值（Q）和行业及生产工艺（M），企业危险物质及工艺系统危险性等级确定情况见表5.3-</w:t>
      </w:r>
      <w:r>
        <w:rPr>
          <w:rFonts w:eastAsia="仿宋_GB2312"/>
          <w:sz w:val="28"/>
          <w:szCs w:val="20"/>
        </w:rPr>
        <w:t>5</w:t>
      </w:r>
      <w:r>
        <w:rPr>
          <w:rFonts w:hint="eastAsia" w:eastAsia="仿宋_GB2312"/>
          <w:sz w:val="28"/>
          <w:szCs w:val="20"/>
        </w:rPr>
        <w:t>。</w:t>
      </w:r>
    </w:p>
    <w:p>
      <w:pPr>
        <w:tabs>
          <w:tab w:val="left" w:pos="1665"/>
        </w:tabs>
        <w:adjustRightInd w:val="0"/>
        <w:snapToGrid w:val="0"/>
        <w:ind w:firstLine="482"/>
        <w:jc w:val="center"/>
        <w:rPr>
          <w:rFonts w:ascii="仿宋" w:hAnsi="仿宋" w:eastAsia="仿宋"/>
          <w:b/>
          <w:sz w:val="24"/>
          <w:szCs w:val="28"/>
        </w:rPr>
      </w:pPr>
      <w:r>
        <w:rPr>
          <w:rFonts w:ascii="仿宋" w:hAnsi="仿宋" w:eastAsia="仿宋"/>
          <w:b/>
          <w:sz w:val="24"/>
        </w:rPr>
        <w:t>表</w:t>
      </w:r>
      <w:r>
        <w:rPr>
          <w:rFonts w:hint="eastAsia" w:ascii="仿宋" w:hAnsi="仿宋" w:eastAsia="仿宋"/>
          <w:b/>
          <w:sz w:val="24"/>
        </w:rPr>
        <w:t>5.3</w:t>
      </w:r>
      <w:r>
        <w:rPr>
          <w:rFonts w:ascii="仿宋" w:hAnsi="仿宋" w:eastAsia="仿宋"/>
          <w:b/>
          <w:sz w:val="24"/>
        </w:rPr>
        <w:t>-5</w:t>
      </w:r>
      <w:r>
        <w:rPr>
          <w:rFonts w:ascii="仿宋" w:hAnsi="仿宋" w:eastAsia="仿宋"/>
          <w:b/>
          <w:sz w:val="24"/>
          <w:szCs w:val="28"/>
        </w:rPr>
        <w:t xml:space="preserve"> 危险物质及工艺系统危险性等级判断（P）</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923"/>
        <w:gridCol w:w="1598"/>
        <w:gridCol w:w="1600"/>
        <w:gridCol w:w="1600"/>
        <w:gridCol w:w="1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156" w:type="pct"/>
            <w:vMerge w:val="restart"/>
            <w:shd w:val="clear" w:color="auto" w:fill="auto"/>
            <w:vAlign w:val="center"/>
          </w:tcPr>
          <w:p>
            <w:pPr>
              <w:kinsoku w:val="0"/>
              <w:overflowPunct w:val="0"/>
              <w:adjustRightInd w:val="0"/>
              <w:snapToGrid w:val="0"/>
              <w:spacing w:line="320" w:lineRule="exact"/>
              <w:jc w:val="center"/>
              <w:rPr>
                <w:rFonts w:ascii="仿宋" w:hAnsi="仿宋" w:eastAsia="仿宋"/>
              </w:rPr>
            </w:pPr>
            <w:r>
              <w:rPr>
                <w:rFonts w:ascii="仿宋" w:hAnsi="仿宋" w:eastAsia="仿宋"/>
              </w:rPr>
              <w:t>危险物质数量与临界量比值（Q）</w:t>
            </w:r>
          </w:p>
        </w:tc>
        <w:tc>
          <w:tcPr>
            <w:tcW w:w="3844" w:type="pct"/>
            <w:gridSpan w:val="4"/>
            <w:shd w:val="clear" w:color="auto" w:fill="auto"/>
            <w:vAlign w:val="center"/>
          </w:tcPr>
          <w:p>
            <w:pPr>
              <w:kinsoku w:val="0"/>
              <w:overflowPunct w:val="0"/>
              <w:adjustRightInd w:val="0"/>
              <w:snapToGrid w:val="0"/>
              <w:spacing w:line="320" w:lineRule="exact"/>
              <w:jc w:val="center"/>
              <w:rPr>
                <w:rFonts w:ascii="仿宋" w:hAnsi="仿宋" w:eastAsia="仿宋"/>
              </w:rPr>
            </w:pPr>
            <w:r>
              <w:rPr>
                <w:rFonts w:ascii="仿宋" w:hAnsi="仿宋" w:eastAsia="仿宋"/>
              </w:rPr>
              <w:t>行业及生产工艺（M）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156" w:type="pct"/>
            <w:vMerge w:val="continue"/>
            <w:shd w:val="clear" w:color="auto" w:fill="auto"/>
            <w:vAlign w:val="center"/>
          </w:tcPr>
          <w:p>
            <w:pPr>
              <w:kinsoku w:val="0"/>
              <w:overflowPunct w:val="0"/>
              <w:adjustRightInd w:val="0"/>
              <w:snapToGrid w:val="0"/>
              <w:spacing w:line="320" w:lineRule="exact"/>
              <w:jc w:val="center"/>
              <w:rPr>
                <w:rFonts w:ascii="仿宋" w:hAnsi="仿宋" w:eastAsia="仿宋"/>
              </w:rPr>
            </w:pPr>
          </w:p>
        </w:tc>
        <w:tc>
          <w:tcPr>
            <w:tcW w:w="961" w:type="pct"/>
            <w:shd w:val="clear" w:color="auto" w:fill="auto"/>
            <w:vAlign w:val="center"/>
          </w:tcPr>
          <w:p>
            <w:pPr>
              <w:kinsoku w:val="0"/>
              <w:overflowPunct w:val="0"/>
              <w:adjustRightInd w:val="0"/>
              <w:snapToGrid w:val="0"/>
              <w:spacing w:line="320" w:lineRule="exact"/>
              <w:jc w:val="center"/>
              <w:rPr>
                <w:rFonts w:ascii="仿宋" w:hAnsi="仿宋" w:eastAsia="仿宋"/>
              </w:rPr>
            </w:pPr>
            <w:r>
              <w:rPr>
                <w:rFonts w:ascii="仿宋" w:hAnsi="仿宋" w:eastAsia="仿宋"/>
              </w:rPr>
              <w:t>M1</w:t>
            </w:r>
          </w:p>
        </w:tc>
        <w:tc>
          <w:tcPr>
            <w:tcW w:w="962" w:type="pct"/>
            <w:shd w:val="clear" w:color="auto" w:fill="auto"/>
            <w:vAlign w:val="center"/>
          </w:tcPr>
          <w:p>
            <w:pPr>
              <w:kinsoku w:val="0"/>
              <w:overflowPunct w:val="0"/>
              <w:adjustRightInd w:val="0"/>
              <w:snapToGrid w:val="0"/>
              <w:spacing w:line="320" w:lineRule="exact"/>
              <w:jc w:val="center"/>
              <w:rPr>
                <w:rFonts w:ascii="仿宋" w:hAnsi="仿宋" w:eastAsia="仿宋"/>
              </w:rPr>
            </w:pPr>
            <w:r>
              <w:rPr>
                <w:rFonts w:ascii="仿宋" w:hAnsi="仿宋" w:eastAsia="仿宋"/>
              </w:rPr>
              <w:t>M2</w:t>
            </w:r>
          </w:p>
        </w:tc>
        <w:tc>
          <w:tcPr>
            <w:tcW w:w="962" w:type="pct"/>
            <w:shd w:val="clear" w:color="auto" w:fill="auto"/>
            <w:vAlign w:val="center"/>
          </w:tcPr>
          <w:p>
            <w:pPr>
              <w:kinsoku w:val="0"/>
              <w:overflowPunct w:val="0"/>
              <w:adjustRightInd w:val="0"/>
              <w:snapToGrid w:val="0"/>
              <w:spacing w:line="320" w:lineRule="exact"/>
              <w:jc w:val="center"/>
              <w:rPr>
                <w:rFonts w:ascii="仿宋" w:hAnsi="仿宋" w:eastAsia="仿宋"/>
              </w:rPr>
            </w:pPr>
            <w:r>
              <w:rPr>
                <w:rFonts w:ascii="仿宋" w:hAnsi="仿宋" w:eastAsia="仿宋"/>
              </w:rPr>
              <w:t>M3</w:t>
            </w:r>
          </w:p>
        </w:tc>
        <w:tc>
          <w:tcPr>
            <w:tcW w:w="959" w:type="pct"/>
            <w:shd w:val="clear" w:color="auto" w:fill="auto"/>
            <w:vAlign w:val="center"/>
          </w:tcPr>
          <w:p>
            <w:pPr>
              <w:kinsoku w:val="0"/>
              <w:overflowPunct w:val="0"/>
              <w:adjustRightInd w:val="0"/>
              <w:snapToGrid w:val="0"/>
              <w:spacing w:line="320" w:lineRule="exact"/>
              <w:jc w:val="center"/>
              <w:rPr>
                <w:rFonts w:ascii="仿宋" w:hAnsi="仿宋" w:eastAsia="仿宋"/>
              </w:rPr>
            </w:pPr>
            <w:r>
              <w:rPr>
                <w:rFonts w:ascii="仿宋" w:hAnsi="仿宋" w:eastAsia="仿宋"/>
              </w:rPr>
              <w:t>M4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156" w:type="pct"/>
            <w:shd w:val="clear" w:color="auto" w:fill="auto"/>
            <w:vAlign w:val="center"/>
          </w:tcPr>
          <w:p>
            <w:pPr>
              <w:kinsoku w:val="0"/>
              <w:overflowPunct w:val="0"/>
              <w:adjustRightInd w:val="0"/>
              <w:snapToGrid w:val="0"/>
              <w:spacing w:line="320" w:lineRule="exact"/>
              <w:jc w:val="center"/>
              <w:rPr>
                <w:rFonts w:ascii="仿宋" w:hAnsi="仿宋" w:eastAsia="仿宋"/>
              </w:rPr>
            </w:pPr>
            <w:r>
              <w:rPr>
                <w:rFonts w:ascii="仿宋" w:hAnsi="仿宋" w:eastAsia="仿宋"/>
              </w:rPr>
              <w:t>Q≥100</w:t>
            </w:r>
          </w:p>
        </w:tc>
        <w:tc>
          <w:tcPr>
            <w:tcW w:w="961" w:type="pct"/>
            <w:shd w:val="clear" w:color="auto" w:fill="auto"/>
            <w:vAlign w:val="center"/>
          </w:tcPr>
          <w:p>
            <w:pPr>
              <w:kinsoku w:val="0"/>
              <w:overflowPunct w:val="0"/>
              <w:adjustRightInd w:val="0"/>
              <w:snapToGrid w:val="0"/>
              <w:spacing w:line="320" w:lineRule="exact"/>
              <w:jc w:val="center"/>
              <w:rPr>
                <w:rFonts w:ascii="仿宋" w:hAnsi="仿宋" w:eastAsia="仿宋"/>
              </w:rPr>
            </w:pPr>
            <w:r>
              <w:rPr>
                <w:rFonts w:ascii="仿宋" w:hAnsi="仿宋" w:eastAsia="仿宋"/>
              </w:rPr>
              <w:t>P1</w:t>
            </w:r>
          </w:p>
        </w:tc>
        <w:tc>
          <w:tcPr>
            <w:tcW w:w="962" w:type="pct"/>
            <w:shd w:val="clear" w:color="auto" w:fill="auto"/>
            <w:vAlign w:val="center"/>
          </w:tcPr>
          <w:p>
            <w:pPr>
              <w:kinsoku w:val="0"/>
              <w:overflowPunct w:val="0"/>
              <w:adjustRightInd w:val="0"/>
              <w:snapToGrid w:val="0"/>
              <w:spacing w:line="320" w:lineRule="exact"/>
              <w:jc w:val="center"/>
              <w:rPr>
                <w:rFonts w:ascii="仿宋" w:hAnsi="仿宋" w:eastAsia="仿宋"/>
              </w:rPr>
            </w:pPr>
            <w:r>
              <w:rPr>
                <w:rFonts w:ascii="仿宋" w:hAnsi="仿宋" w:eastAsia="仿宋"/>
              </w:rPr>
              <w:t>P1</w:t>
            </w:r>
          </w:p>
        </w:tc>
        <w:tc>
          <w:tcPr>
            <w:tcW w:w="962" w:type="pct"/>
            <w:shd w:val="clear" w:color="auto" w:fill="auto"/>
            <w:vAlign w:val="center"/>
          </w:tcPr>
          <w:p>
            <w:pPr>
              <w:kinsoku w:val="0"/>
              <w:overflowPunct w:val="0"/>
              <w:adjustRightInd w:val="0"/>
              <w:snapToGrid w:val="0"/>
              <w:spacing w:line="320" w:lineRule="exact"/>
              <w:jc w:val="center"/>
              <w:rPr>
                <w:rFonts w:ascii="仿宋" w:hAnsi="仿宋" w:eastAsia="仿宋"/>
              </w:rPr>
            </w:pPr>
            <w:r>
              <w:rPr>
                <w:rFonts w:ascii="仿宋" w:hAnsi="仿宋" w:eastAsia="仿宋"/>
              </w:rPr>
              <w:t>P2</w:t>
            </w:r>
          </w:p>
        </w:tc>
        <w:tc>
          <w:tcPr>
            <w:tcW w:w="959" w:type="pct"/>
            <w:shd w:val="clear" w:color="auto" w:fill="auto"/>
            <w:vAlign w:val="center"/>
          </w:tcPr>
          <w:p>
            <w:pPr>
              <w:kinsoku w:val="0"/>
              <w:overflowPunct w:val="0"/>
              <w:adjustRightInd w:val="0"/>
              <w:snapToGrid w:val="0"/>
              <w:spacing w:line="320" w:lineRule="exact"/>
              <w:jc w:val="center"/>
              <w:rPr>
                <w:rFonts w:ascii="仿宋" w:hAnsi="仿宋" w:eastAsia="仿宋"/>
              </w:rPr>
            </w:pPr>
            <w:r>
              <w:rPr>
                <w:rFonts w:ascii="仿宋" w:hAnsi="仿宋" w:eastAsia="仿宋"/>
              </w:rPr>
              <w:t>P3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156" w:type="pct"/>
            <w:shd w:val="clear" w:color="auto" w:fill="auto"/>
            <w:vAlign w:val="center"/>
          </w:tcPr>
          <w:p>
            <w:pPr>
              <w:kinsoku w:val="0"/>
              <w:overflowPunct w:val="0"/>
              <w:adjustRightInd w:val="0"/>
              <w:snapToGrid w:val="0"/>
              <w:spacing w:line="320" w:lineRule="exact"/>
              <w:jc w:val="center"/>
              <w:rPr>
                <w:rFonts w:ascii="仿宋" w:hAnsi="仿宋" w:eastAsia="仿宋"/>
              </w:rPr>
            </w:pPr>
            <w:r>
              <w:rPr>
                <w:rFonts w:ascii="仿宋" w:hAnsi="仿宋" w:eastAsia="仿宋"/>
              </w:rPr>
              <w:t>10≤Q＜100</w:t>
            </w:r>
          </w:p>
        </w:tc>
        <w:tc>
          <w:tcPr>
            <w:tcW w:w="961" w:type="pct"/>
            <w:shd w:val="clear" w:color="auto" w:fill="auto"/>
            <w:vAlign w:val="center"/>
          </w:tcPr>
          <w:p>
            <w:pPr>
              <w:kinsoku w:val="0"/>
              <w:overflowPunct w:val="0"/>
              <w:adjustRightInd w:val="0"/>
              <w:snapToGrid w:val="0"/>
              <w:spacing w:line="320" w:lineRule="exact"/>
              <w:jc w:val="center"/>
              <w:rPr>
                <w:rFonts w:ascii="仿宋" w:hAnsi="仿宋" w:eastAsia="仿宋"/>
              </w:rPr>
            </w:pPr>
            <w:r>
              <w:rPr>
                <w:rFonts w:ascii="仿宋" w:hAnsi="仿宋" w:eastAsia="仿宋"/>
              </w:rPr>
              <w:t>P1</w:t>
            </w:r>
          </w:p>
        </w:tc>
        <w:tc>
          <w:tcPr>
            <w:tcW w:w="962" w:type="pct"/>
            <w:shd w:val="clear" w:color="auto" w:fill="auto"/>
            <w:vAlign w:val="center"/>
          </w:tcPr>
          <w:p>
            <w:pPr>
              <w:kinsoku w:val="0"/>
              <w:overflowPunct w:val="0"/>
              <w:adjustRightInd w:val="0"/>
              <w:snapToGrid w:val="0"/>
              <w:spacing w:line="320" w:lineRule="exact"/>
              <w:jc w:val="center"/>
              <w:rPr>
                <w:rFonts w:ascii="仿宋" w:hAnsi="仿宋" w:eastAsia="仿宋"/>
              </w:rPr>
            </w:pPr>
            <w:r>
              <w:rPr>
                <w:rFonts w:ascii="仿宋" w:hAnsi="仿宋" w:eastAsia="仿宋"/>
              </w:rPr>
              <w:t>P2</w:t>
            </w:r>
          </w:p>
        </w:tc>
        <w:tc>
          <w:tcPr>
            <w:tcW w:w="962" w:type="pct"/>
            <w:shd w:val="clear" w:color="auto" w:fill="auto"/>
            <w:vAlign w:val="center"/>
          </w:tcPr>
          <w:p>
            <w:pPr>
              <w:kinsoku w:val="0"/>
              <w:overflowPunct w:val="0"/>
              <w:adjustRightInd w:val="0"/>
              <w:snapToGrid w:val="0"/>
              <w:spacing w:line="320" w:lineRule="exact"/>
              <w:jc w:val="center"/>
              <w:rPr>
                <w:rFonts w:ascii="仿宋" w:hAnsi="仿宋" w:eastAsia="仿宋"/>
              </w:rPr>
            </w:pPr>
            <w:r>
              <w:rPr>
                <w:rFonts w:ascii="仿宋" w:hAnsi="仿宋" w:eastAsia="仿宋"/>
              </w:rPr>
              <w:t>P3</w:t>
            </w:r>
          </w:p>
        </w:tc>
        <w:tc>
          <w:tcPr>
            <w:tcW w:w="959" w:type="pct"/>
            <w:shd w:val="clear" w:color="auto" w:fill="auto"/>
            <w:vAlign w:val="center"/>
          </w:tcPr>
          <w:p>
            <w:pPr>
              <w:kinsoku w:val="0"/>
              <w:overflowPunct w:val="0"/>
              <w:adjustRightInd w:val="0"/>
              <w:snapToGrid w:val="0"/>
              <w:spacing w:line="320" w:lineRule="exact"/>
              <w:jc w:val="center"/>
              <w:rPr>
                <w:rFonts w:ascii="仿宋" w:hAnsi="仿宋" w:eastAsia="仿宋"/>
              </w:rPr>
            </w:pPr>
            <w:r>
              <w:rPr>
                <w:rFonts w:ascii="仿宋" w:hAnsi="仿宋" w:eastAsia="仿宋"/>
              </w:rPr>
              <w:t>P4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156" w:type="pct"/>
            <w:shd w:val="clear" w:color="auto" w:fill="auto"/>
            <w:vAlign w:val="center"/>
          </w:tcPr>
          <w:p>
            <w:pPr>
              <w:kinsoku w:val="0"/>
              <w:overflowPunct w:val="0"/>
              <w:adjustRightInd w:val="0"/>
              <w:snapToGrid w:val="0"/>
              <w:spacing w:line="320" w:lineRule="exact"/>
              <w:jc w:val="center"/>
              <w:rPr>
                <w:rFonts w:ascii="仿宋" w:hAnsi="仿宋" w:eastAsia="仿宋"/>
              </w:rPr>
            </w:pPr>
            <w:r>
              <w:rPr>
                <w:rFonts w:ascii="仿宋" w:hAnsi="仿宋" w:eastAsia="仿宋"/>
              </w:rPr>
              <w:t>1≤Q＜10</w:t>
            </w:r>
          </w:p>
        </w:tc>
        <w:tc>
          <w:tcPr>
            <w:tcW w:w="961" w:type="pct"/>
            <w:shd w:val="clear" w:color="auto" w:fill="auto"/>
            <w:vAlign w:val="center"/>
          </w:tcPr>
          <w:p>
            <w:pPr>
              <w:kinsoku w:val="0"/>
              <w:overflowPunct w:val="0"/>
              <w:adjustRightInd w:val="0"/>
              <w:snapToGrid w:val="0"/>
              <w:spacing w:line="320" w:lineRule="exact"/>
              <w:jc w:val="center"/>
              <w:rPr>
                <w:rFonts w:ascii="仿宋" w:hAnsi="仿宋" w:eastAsia="仿宋"/>
              </w:rPr>
            </w:pPr>
            <w:r>
              <w:rPr>
                <w:rFonts w:ascii="仿宋" w:hAnsi="仿宋" w:eastAsia="仿宋"/>
              </w:rPr>
              <w:t>P2</w:t>
            </w:r>
          </w:p>
        </w:tc>
        <w:tc>
          <w:tcPr>
            <w:tcW w:w="962" w:type="pct"/>
            <w:shd w:val="clear" w:color="auto" w:fill="auto"/>
            <w:vAlign w:val="center"/>
          </w:tcPr>
          <w:p>
            <w:pPr>
              <w:kinsoku w:val="0"/>
              <w:overflowPunct w:val="0"/>
              <w:adjustRightInd w:val="0"/>
              <w:snapToGrid w:val="0"/>
              <w:spacing w:line="320" w:lineRule="exact"/>
              <w:jc w:val="center"/>
              <w:rPr>
                <w:rFonts w:ascii="仿宋" w:hAnsi="仿宋" w:eastAsia="仿宋"/>
              </w:rPr>
            </w:pPr>
            <w:r>
              <w:rPr>
                <w:rFonts w:ascii="仿宋" w:hAnsi="仿宋" w:eastAsia="仿宋"/>
              </w:rPr>
              <w:t>P3</w:t>
            </w:r>
          </w:p>
        </w:tc>
        <w:tc>
          <w:tcPr>
            <w:tcW w:w="962" w:type="pct"/>
            <w:shd w:val="clear" w:color="auto" w:fill="auto"/>
            <w:vAlign w:val="center"/>
          </w:tcPr>
          <w:p>
            <w:pPr>
              <w:kinsoku w:val="0"/>
              <w:overflowPunct w:val="0"/>
              <w:adjustRightInd w:val="0"/>
              <w:snapToGrid w:val="0"/>
              <w:spacing w:line="320" w:lineRule="exact"/>
              <w:jc w:val="center"/>
              <w:rPr>
                <w:rFonts w:ascii="仿宋" w:hAnsi="仿宋" w:eastAsia="仿宋"/>
              </w:rPr>
            </w:pPr>
            <w:r>
              <w:rPr>
                <w:rFonts w:ascii="仿宋" w:hAnsi="仿宋" w:eastAsia="仿宋"/>
              </w:rPr>
              <w:t>P4</w:t>
            </w:r>
          </w:p>
        </w:tc>
        <w:tc>
          <w:tcPr>
            <w:tcW w:w="959" w:type="pct"/>
            <w:shd w:val="clear" w:color="auto" w:fill="D7D7D7" w:themeFill="background1" w:themeFillShade="D8"/>
            <w:vAlign w:val="center"/>
          </w:tcPr>
          <w:p>
            <w:pPr>
              <w:kinsoku w:val="0"/>
              <w:overflowPunct w:val="0"/>
              <w:adjustRightInd w:val="0"/>
              <w:snapToGrid w:val="0"/>
              <w:spacing w:line="320" w:lineRule="exact"/>
              <w:jc w:val="center"/>
              <w:rPr>
                <w:rFonts w:ascii="仿宋" w:hAnsi="仿宋" w:eastAsia="仿宋"/>
              </w:rPr>
            </w:pPr>
            <w:r>
              <w:rPr>
                <w:rFonts w:ascii="仿宋" w:hAnsi="仿宋" w:eastAsia="仿宋"/>
              </w:rPr>
              <w:t>P4</w:t>
            </w:r>
          </w:p>
        </w:tc>
      </w:tr>
    </w:tbl>
    <w:p>
      <w:pPr>
        <w:spacing w:line="500" w:lineRule="exact"/>
        <w:ind w:firstLine="560" w:firstLineChars="200"/>
        <w:rPr>
          <w:rFonts w:eastAsia="仿宋_GB2312"/>
          <w:sz w:val="28"/>
          <w:szCs w:val="20"/>
        </w:rPr>
      </w:pPr>
      <w:r>
        <w:rPr>
          <w:rFonts w:hint="eastAsia" w:eastAsia="仿宋_GB2312"/>
          <w:sz w:val="28"/>
          <w:szCs w:val="20"/>
        </w:rPr>
        <w:t>综上，企业危险物质及工艺系统危险性等级为P4。风险单元分布图见附</w:t>
      </w:r>
      <w:r>
        <w:rPr>
          <w:rFonts w:hint="eastAsia" w:eastAsia="仿宋_GB2312"/>
          <w:b/>
          <w:sz w:val="28"/>
          <w:szCs w:val="20"/>
        </w:rPr>
        <w:t>图5.3-1</w:t>
      </w:r>
      <w:r>
        <w:rPr>
          <w:rFonts w:hint="eastAsia" w:eastAsia="仿宋_GB2312"/>
          <w:sz w:val="28"/>
          <w:szCs w:val="20"/>
        </w:rPr>
        <w:t>。</w:t>
      </w:r>
    </w:p>
    <w:p>
      <w:pPr>
        <w:spacing w:line="500" w:lineRule="exact"/>
        <w:ind w:firstLine="562" w:firstLineChars="200"/>
        <w:rPr>
          <w:rFonts w:eastAsia="仿宋_GB2312"/>
          <w:b/>
          <w:sz w:val="28"/>
          <w:szCs w:val="20"/>
        </w:rPr>
      </w:pPr>
      <w:r>
        <w:rPr>
          <w:rFonts w:hint="eastAsia" w:eastAsia="仿宋_GB2312"/>
          <w:b/>
          <w:sz w:val="28"/>
          <w:szCs w:val="20"/>
        </w:rPr>
        <w:t>二、各要素环境敏感程度（</w:t>
      </w:r>
      <w:r>
        <w:rPr>
          <w:rFonts w:eastAsia="仿宋_GB2312"/>
          <w:b/>
          <w:sz w:val="28"/>
          <w:szCs w:val="20"/>
        </w:rPr>
        <w:t>E</w:t>
      </w:r>
      <w:r>
        <w:rPr>
          <w:rFonts w:hint="eastAsia" w:eastAsia="仿宋_GB2312"/>
          <w:b/>
          <w:sz w:val="28"/>
          <w:szCs w:val="20"/>
        </w:rPr>
        <w:t>）</w:t>
      </w:r>
    </w:p>
    <w:p>
      <w:pPr>
        <w:spacing w:line="500" w:lineRule="exact"/>
        <w:ind w:firstLine="562" w:firstLineChars="200"/>
        <w:rPr>
          <w:rFonts w:eastAsia="仿宋_GB2312"/>
          <w:b/>
          <w:sz w:val="28"/>
          <w:szCs w:val="20"/>
        </w:rPr>
      </w:pPr>
      <w:r>
        <w:rPr>
          <w:rFonts w:eastAsia="仿宋_GB2312"/>
          <w:b/>
          <w:sz w:val="28"/>
          <w:szCs w:val="20"/>
        </w:rPr>
        <w:t>1</w:t>
      </w:r>
      <w:r>
        <w:rPr>
          <w:rFonts w:hint="eastAsia" w:eastAsia="仿宋_GB2312"/>
          <w:b/>
          <w:sz w:val="28"/>
          <w:szCs w:val="20"/>
        </w:rPr>
        <w:t>、判定依据</w:t>
      </w:r>
    </w:p>
    <w:p>
      <w:pPr>
        <w:spacing w:line="500" w:lineRule="exact"/>
        <w:ind w:firstLine="560" w:firstLineChars="200"/>
        <w:rPr>
          <w:rFonts w:eastAsia="仿宋_GB2312"/>
          <w:sz w:val="28"/>
          <w:szCs w:val="20"/>
        </w:rPr>
      </w:pPr>
      <w:r>
        <w:rPr>
          <w:rFonts w:hint="eastAsia" w:eastAsia="仿宋_GB2312"/>
          <w:sz w:val="28"/>
          <w:szCs w:val="20"/>
        </w:rPr>
        <w:t>（</w:t>
      </w:r>
      <w:r>
        <w:rPr>
          <w:rFonts w:eastAsia="仿宋_GB2312"/>
          <w:sz w:val="28"/>
          <w:szCs w:val="20"/>
        </w:rPr>
        <w:t>1</w:t>
      </w:r>
      <w:r>
        <w:rPr>
          <w:rFonts w:hint="eastAsia" w:eastAsia="仿宋_GB2312"/>
          <w:sz w:val="28"/>
          <w:szCs w:val="20"/>
        </w:rPr>
        <w:t>）大气环境</w:t>
      </w:r>
    </w:p>
    <w:p>
      <w:pPr>
        <w:spacing w:line="500" w:lineRule="exact"/>
        <w:ind w:firstLine="560" w:firstLineChars="200"/>
        <w:rPr>
          <w:rFonts w:eastAsia="仿宋_GB2312"/>
          <w:sz w:val="28"/>
          <w:szCs w:val="20"/>
        </w:rPr>
      </w:pPr>
      <w:r>
        <w:rPr>
          <w:rFonts w:hint="eastAsia" w:eastAsia="仿宋_GB2312"/>
          <w:sz w:val="28"/>
          <w:szCs w:val="20"/>
        </w:rPr>
        <w:t>依据环境敏感目标环境敏感性及人口密度划分环境风险受体的敏感性，共分为三种类型，</w:t>
      </w:r>
      <w:r>
        <w:rPr>
          <w:rFonts w:eastAsia="仿宋_GB2312"/>
          <w:sz w:val="28"/>
          <w:szCs w:val="20"/>
        </w:rPr>
        <w:t>E1</w:t>
      </w:r>
      <w:r>
        <w:rPr>
          <w:rFonts w:hint="eastAsia" w:eastAsia="仿宋_GB2312"/>
          <w:sz w:val="28"/>
          <w:szCs w:val="20"/>
        </w:rPr>
        <w:t>为环境高度敏感区，</w:t>
      </w:r>
      <w:r>
        <w:rPr>
          <w:rFonts w:eastAsia="仿宋_GB2312"/>
          <w:sz w:val="28"/>
          <w:szCs w:val="20"/>
        </w:rPr>
        <w:t>E2</w:t>
      </w:r>
      <w:r>
        <w:rPr>
          <w:rFonts w:hint="eastAsia" w:eastAsia="仿宋_GB2312"/>
          <w:sz w:val="28"/>
          <w:szCs w:val="20"/>
        </w:rPr>
        <w:t>为环境中度敏感区，</w:t>
      </w:r>
      <w:r>
        <w:rPr>
          <w:rFonts w:eastAsia="仿宋_GB2312"/>
          <w:sz w:val="28"/>
          <w:szCs w:val="20"/>
        </w:rPr>
        <w:t>E3</w:t>
      </w:r>
      <w:r>
        <w:rPr>
          <w:rFonts w:hint="eastAsia" w:eastAsia="仿宋_GB2312"/>
          <w:sz w:val="28"/>
          <w:szCs w:val="20"/>
        </w:rPr>
        <w:t>为环境低度敏感区，分级原则见表</w:t>
      </w:r>
      <w:r>
        <w:rPr>
          <w:rFonts w:eastAsia="仿宋_GB2312"/>
          <w:sz w:val="28"/>
          <w:szCs w:val="20"/>
        </w:rPr>
        <w:t>5.3-6</w:t>
      </w:r>
      <w:r>
        <w:rPr>
          <w:rFonts w:hint="eastAsia" w:eastAsia="仿宋_GB2312"/>
          <w:sz w:val="28"/>
          <w:szCs w:val="20"/>
        </w:rPr>
        <w:t>。</w:t>
      </w:r>
    </w:p>
    <w:p>
      <w:pPr>
        <w:spacing w:line="500" w:lineRule="exact"/>
        <w:jc w:val="center"/>
        <w:rPr>
          <w:rFonts w:eastAsia="仿宋_GB2312"/>
          <w:b/>
          <w:sz w:val="24"/>
        </w:rPr>
      </w:pPr>
      <w:r>
        <w:rPr>
          <w:rFonts w:hint="eastAsia" w:eastAsia="仿宋_GB2312"/>
          <w:b/>
          <w:sz w:val="24"/>
        </w:rPr>
        <w:t>表</w:t>
      </w:r>
      <w:r>
        <w:rPr>
          <w:rFonts w:eastAsia="仿宋_GB2312"/>
          <w:b/>
          <w:sz w:val="24"/>
        </w:rPr>
        <w:t xml:space="preserve">5.3-6 </w:t>
      </w:r>
      <w:r>
        <w:rPr>
          <w:rFonts w:hint="eastAsia" w:eastAsia="仿宋_GB2312"/>
          <w:b/>
          <w:sz w:val="24"/>
        </w:rPr>
        <w:t>大气环境敏感程度分级</w:t>
      </w:r>
    </w:p>
    <w:tbl>
      <w:tblPr>
        <w:tblStyle w:val="8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457"/>
        <w:gridCol w:w="7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45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cs="仿宋"/>
                <w:bCs/>
                <w:szCs w:val="21"/>
              </w:rPr>
            </w:pPr>
            <w:r>
              <w:rPr>
                <w:rFonts w:ascii="仿宋" w:hAnsi="仿宋" w:eastAsia="仿宋" w:cs="仿宋"/>
                <w:bCs/>
                <w:szCs w:val="21"/>
              </w:rPr>
              <w:t>分级</w:t>
            </w:r>
          </w:p>
        </w:tc>
        <w:tc>
          <w:tcPr>
            <w:tcW w:w="75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cs="仿宋"/>
                <w:bCs/>
                <w:szCs w:val="21"/>
              </w:rPr>
            </w:pPr>
            <w:r>
              <w:rPr>
                <w:rFonts w:ascii="仿宋" w:hAnsi="仿宋" w:eastAsia="仿宋" w:cs="仿宋"/>
                <w:bCs/>
                <w:szCs w:val="21"/>
              </w:rPr>
              <w:t>大气环境敏感性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45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cs="仿宋"/>
                <w:bCs/>
                <w:szCs w:val="21"/>
              </w:rPr>
            </w:pPr>
            <w:r>
              <w:rPr>
                <w:rFonts w:ascii="仿宋" w:hAnsi="仿宋" w:eastAsia="仿宋" w:cs="仿宋"/>
                <w:bCs/>
                <w:szCs w:val="21"/>
              </w:rPr>
              <w:t>E1</w:t>
            </w:r>
          </w:p>
        </w:tc>
        <w:tc>
          <w:tcPr>
            <w:tcW w:w="75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cs="仿宋"/>
                <w:bCs/>
                <w:szCs w:val="21"/>
              </w:rPr>
            </w:pPr>
            <w:r>
              <w:rPr>
                <w:rFonts w:ascii="仿宋" w:hAnsi="仿宋" w:eastAsia="仿宋" w:cs="仿宋"/>
                <w:bCs/>
                <w:szCs w:val="21"/>
              </w:rPr>
              <w:t>周边5km范围内居住区、医疗卫生、文化教育、科研、行政办公等机构人口总数大于5万人，或其他需要特殊保护区域；或周边500m范围内人口总数大于1000人；油气、化学品输送管线管段周边200m范围内，每千米管段人口数大于200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45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cs="仿宋"/>
                <w:bCs/>
                <w:szCs w:val="21"/>
              </w:rPr>
            </w:pPr>
            <w:r>
              <w:rPr>
                <w:rFonts w:ascii="仿宋" w:hAnsi="仿宋" w:eastAsia="仿宋" w:cs="仿宋"/>
                <w:bCs/>
                <w:szCs w:val="21"/>
              </w:rPr>
              <w:t>E2</w:t>
            </w:r>
          </w:p>
        </w:tc>
        <w:tc>
          <w:tcPr>
            <w:tcW w:w="75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cs="仿宋"/>
                <w:bCs/>
                <w:szCs w:val="21"/>
              </w:rPr>
            </w:pPr>
            <w:r>
              <w:rPr>
                <w:rFonts w:ascii="仿宋" w:hAnsi="仿宋" w:eastAsia="仿宋" w:cs="仿宋"/>
                <w:bCs/>
                <w:szCs w:val="21"/>
              </w:rPr>
              <w:t>周边5km范围内居住区、医疗卫生、文化教育、科研、行政办公等机构人口总数大于1万人，小于5万人；或周边500m范围内人口总数大于500人，小于1000人；油气、化学品输送管线管段周边 200m范围内，每千米管段人口数大于100人，小于200人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45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cs="仿宋"/>
                <w:bCs/>
                <w:szCs w:val="21"/>
              </w:rPr>
            </w:pPr>
            <w:r>
              <w:rPr>
                <w:rFonts w:ascii="仿宋" w:hAnsi="仿宋" w:eastAsia="仿宋" w:cs="仿宋"/>
                <w:bCs/>
                <w:szCs w:val="21"/>
              </w:rPr>
              <w:t>E3</w:t>
            </w:r>
          </w:p>
        </w:tc>
        <w:tc>
          <w:tcPr>
            <w:tcW w:w="75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cs="仿宋"/>
                <w:bCs/>
                <w:szCs w:val="21"/>
              </w:rPr>
            </w:pPr>
            <w:r>
              <w:rPr>
                <w:rFonts w:ascii="仿宋" w:hAnsi="仿宋" w:eastAsia="仿宋" w:cs="仿宋"/>
                <w:bCs/>
                <w:szCs w:val="21"/>
              </w:rPr>
              <w:t>周边5km范围内居住区、医疗卫生、文化教育、科研、行政办公等机构人口总数小于1万人；或周边500m范围内人口总数小于500人；油气、化学品输送管线管段周边200m范围内，每千米管段人口数小于100人</w:t>
            </w:r>
          </w:p>
        </w:tc>
      </w:tr>
    </w:tbl>
    <w:p>
      <w:pPr>
        <w:spacing w:line="500" w:lineRule="exact"/>
        <w:ind w:firstLine="560" w:firstLineChars="200"/>
        <w:rPr>
          <w:rFonts w:eastAsia="仿宋_GB2312"/>
          <w:sz w:val="28"/>
          <w:szCs w:val="20"/>
        </w:rPr>
      </w:pPr>
      <w:r>
        <w:rPr>
          <w:rFonts w:hint="eastAsia" w:eastAsia="仿宋_GB2312"/>
          <w:sz w:val="28"/>
          <w:szCs w:val="20"/>
        </w:rPr>
        <w:t>本项目</w:t>
      </w:r>
      <w:r>
        <w:rPr>
          <w:rFonts w:eastAsia="仿宋_GB2312"/>
          <w:sz w:val="28"/>
          <w:szCs w:val="20"/>
        </w:rPr>
        <w:t>周边5km范围内居住区、医疗卫生、文化教育、科研、行政办公等机构人口总数大于5万人</w:t>
      </w:r>
      <w:r>
        <w:rPr>
          <w:rFonts w:hint="eastAsia" w:eastAsia="仿宋_GB2312"/>
          <w:sz w:val="28"/>
          <w:szCs w:val="20"/>
        </w:rPr>
        <w:t>，本项目所在区域大气环境敏感程度为</w:t>
      </w:r>
      <w:r>
        <w:rPr>
          <w:rFonts w:eastAsia="仿宋_GB2312"/>
          <w:sz w:val="28"/>
          <w:szCs w:val="20"/>
        </w:rPr>
        <w:t>E</w:t>
      </w:r>
      <w:r>
        <w:rPr>
          <w:rFonts w:hint="eastAsia" w:eastAsia="仿宋_GB2312"/>
          <w:sz w:val="28"/>
          <w:szCs w:val="20"/>
        </w:rPr>
        <w:t>1级。</w:t>
      </w:r>
    </w:p>
    <w:p>
      <w:pPr>
        <w:spacing w:line="500" w:lineRule="exact"/>
        <w:ind w:firstLine="560" w:firstLineChars="200"/>
        <w:rPr>
          <w:rFonts w:eastAsia="仿宋_GB2312"/>
          <w:sz w:val="28"/>
          <w:szCs w:val="20"/>
        </w:rPr>
      </w:pPr>
      <w:r>
        <w:rPr>
          <w:rFonts w:hint="eastAsia" w:eastAsia="仿宋_GB2312"/>
          <w:sz w:val="28"/>
          <w:szCs w:val="20"/>
        </w:rPr>
        <w:t>（</w:t>
      </w:r>
      <w:r>
        <w:rPr>
          <w:rFonts w:eastAsia="仿宋_GB2312"/>
          <w:sz w:val="28"/>
          <w:szCs w:val="20"/>
        </w:rPr>
        <w:t>2</w:t>
      </w:r>
      <w:r>
        <w:rPr>
          <w:rFonts w:hint="eastAsia" w:eastAsia="仿宋_GB2312"/>
          <w:sz w:val="28"/>
          <w:szCs w:val="20"/>
        </w:rPr>
        <w:t>）地表水环境</w:t>
      </w:r>
    </w:p>
    <w:p>
      <w:pPr>
        <w:spacing w:line="500" w:lineRule="exact"/>
        <w:ind w:firstLine="560" w:firstLineChars="200"/>
        <w:rPr>
          <w:rFonts w:eastAsia="仿宋_GB2312"/>
          <w:sz w:val="28"/>
          <w:szCs w:val="20"/>
        </w:rPr>
      </w:pPr>
      <w:r>
        <w:rPr>
          <w:rFonts w:hint="eastAsia" w:eastAsia="仿宋_GB2312"/>
          <w:sz w:val="28"/>
          <w:szCs w:val="20"/>
        </w:rPr>
        <w:t>依据事故情况下危险物质泄漏到水体的排放点受纳地表水体功能敏感性，与下游环境敏感目标情况，共分为三种类型，</w:t>
      </w:r>
      <w:r>
        <w:rPr>
          <w:rFonts w:eastAsia="仿宋_GB2312"/>
          <w:sz w:val="28"/>
          <w:szCs w:val="20"/>
        </w:rPr>
        <w:t>E1</w:t>
      </w:r>
      <w:r>
        <w:rPr>
          <w:rFonts w:hint="eastAsia" w:eastAsia="仿宋_GB2312"/>
          <w:sz w:val="28"/>
          <w:szCs w:val="20"/>
        </w:rPr>
        <w:t>为环境高度敏感区，</w:t>
      </w:r>
      <w:r>
        <w:rPr>
          <w:rFonts w:eastAsia="仿宋_GB2312"/>
          <w:sz w:val="28"/>
          <w:szCs w:val="20"/>
        </w:rPr>
        <w:t>E2</w:t>
      </w:r>
      <w:r>
        <w:rPr>
          <w:rFonts w:hint="eastAsia" w:eastAsia="仿宋_GB2312"/>
          <w:sz w:val="28"/>
          <w:szCs w:val="20"/>
        </w:rPr>
        <w:t>为环境中度敏感区，</w:t>
      </w:r>
      <w:r>
        <w:rPr>
          <w:rFonts w:eastAsia="仿宋_GB2312"/>
          <w:sz w:val="28"/>
          <w:szCs w:val="20"/>
        </w:rPr>
        <w:t>E3</w:t>
      </w:r>
      <w:r>
        <w:rPr>
          <w:rFonts w:hint="eastAsia" w:eastAsia="仿宋_GB2312"/>
          <w:sz w:val="28"/>
          <w:szCs w:val="20"/>
        </w:rPr>
        <w:t>为环境低度敏感区，分级原则见表</w:t>
      </w:r>
      <w:r>
        <w:rPr>
          <w:rFonts w:eastAsia="仿宋_GB2312"/>
          <w:sz w:val="28"/>
          <w:szCs w:val="20"/>
        </w:rPr>
        <w:t>5.3-7</w:t>
      </w:r>
      <w:r>
        <w:rPr>
          <w:rFonts w:hint="eastAsia" w:eastAsia="仿宋_GB2312"/>
          <w:sz w:val="28"/>
          <w:szCs w:val="20"/>
        </w:rPr>
        <w:t>。其中地表水功能敏感性分区和环境敏感目标分级分别见表</w:t>
      </w:r>
      <w:r>
        <w:rPr>
          <w:rFonts w:eastAsia="仿宋_GB2312"/>
          <w:sz w:val="28"/>
          <w:szCs w:val="20"/>
        </w:rPr>
        <w:t>5.3-8</w:t>
      </w:r>
      <w:r>
        <w:rPr>
          <w:rFonts w:hint="eastAsia" w:eastAsia="仿宋_GB2312"/>
          <w:sz w:val="28"/>
          <w:szCs w:val="20"/>
        </w:rPr>
        <w:t>和表</w:t>
      </w:r>
      <w:r>
        <w:rPr>
          <w:rFonts w:eastAsia="仿宋_GB2312"/>
          <w:sz w:val="28"/>
          <w:szCs w:val="20"/>
        </w:rPr>
        <w:t>5.3-9</w:t>
      </w:r>
      <w:r>
        <w:rPr>
          <w:rFonts w:hint="eastAsia" w:eastAsia="仿宋_GB2312"/>
          <w:sz w:val="28"/>
          <w:szCs w:val="20"/>
        </w:rPr>
        <w:t>。</w:t>
      </w:r>
    </w:p>
    <w:p>
      <w:pPr>
        <w:spacing w:line="500" w:lineRule="exact"/>
        <w:jc w:val="center"/>
        <w:rPr>
          <w:rFonts w:eastAsia="仿宋_GB2312"/>
          <w:b/>
          <w:sz w:val="24"/>
        </w:rPr>
      </w:pPr>
      <w:r>
        <w:rPr>
          <w:rFonts w:hint="eastAsia" w:eastAsia="仿宋_GB2312"/>
          <w:b/>
          <w:sz w:val="24"/>
        </w:rPr>
        <w:t>表</w:t>
      </w:r>
      <w:r>
        <w:rPr>
          <w:rFonts w:eastAsia="仿宋_GB2312"/>
          <w:b/>
          <w:sz w:val="24"/>
        </w:rPr>
        <w:t>5.3-7</w:t>
      </w:r>
      <w:r>
        <w:rPr>
          <w:rFonts w:hint="eastAsia" w:eastAsia="仿宋_GB2312"/>
          <w:b/>
          <w:sz w:val="24"/>
        </w:rPr>
        <w:t>地表水环境敏感程度分级</w:t>
      </w:r>
    </w:p>
    <w:tbl>
      <w:tblPr>
        <w:tblStyle w:val="87"/>
        <w:tblW w:w="918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22"/>
        <w:gridCol w:w="2064"/>
        <w:gridCol w:w="2268"/>
        <w:gridCol w:w="21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 w:hRule="atLeast"/>
          <w:jc w:val="center"/>
        </w:trPr>
        <w:tc>
          <w:tcPr>
            <w:tcW w:w="2722" w:type="dxa"/>
            <w:vMerge w:val="restart"/>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环境敏感目标</w:t>
            </w:r>
          </w:p>
        </w:tc>
        <w:tc>
          <w:tcPr>
            <w:tcW w:w="6458" w:type="dxa"/>
            <w:gridSpan w:val="3"/>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地表水功能敏感性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2722" w:type="dxa"/>
            <w:vMerge w:val="continue"/>
            <w:tcBorders>
              <w:tl2br w:val="nil"/>
              <w:tr2bl w:val="nil"/>
            </w:tcBorders>
            <w:vAlign w:val="center"/>
          </w:tcPr>
          <w:p>
            <w:pPr>
              <w:spacing w:line="240" w:lineRule="exact"/>
              <w:jc w:val="center"/>
              <w:rPr>
                <w:rFonts w:ascii="仿宋" w:hAnsi="仿宋" w:eastAsia="仿宋" w:cs="仿宋"/>
                <w:bCs/>
                <w:szCs w:val="21"/>
              </w:rPr>
            </w:pPr>
          </w:p>
        </w:tc>
        <w:tc>
          <w:tcPr>
            <w:tcW w:w="2064" w:type="dxa"/>
            <w:tcBorders>
              <w:tl2br w:val="nil"/>
              <w:tr2bl w:val="nil"/>
            </w:tcBorders>
            <w:vAlign w:val="center"/>
          </w:tcPr>
          <w:p>
            <w:pPr>
              <w:spacing w:line="240" w:lineRule="exact"/>
              <w:jc w:val="center"/>
              <w:rPr>
                <w:rFonts w:ascii="仿宋" w:hAnsi="仿宋" w:eastAsia="仿宋" w:cs="仿宋"/>
                <w:b/>
                <w:bCs/>
                <w:szCs w:val="21"/>
              </w:rPr>
            </w:pPr>
            <w:r>
              <w:rPr>
                <w:rFonts w:ascii="仿宋" w:hAnsi="仿宋" w:eastAsia="仿宋" w:cs="仿宋"/>
                <w:b/>
                <w:bCs/>
                <w:szCs w:val="21"/>
              </w:rPr>
              <w:t>F1</w:t>
            </w:r>
          </w:p>
        </w:tc>
        <w:tc>
          <w:tcPr>
            <w:tcW w:w="2268" w:type="dxa"/>
            <w:tcBorders>
              <w:tl2br w:val="nil"/>
              <w:tr2bl w:val="nil"/>
            </w:tcBorders>
            <w:vAlign w:val="center"/>
          </w:tcPr>
          <w:p>
            <w:pPr>
              <w:spacing w:line="240" w:lineRule="exact"/>
              <w:jc w:val="center"/>
              <w:rPr>
                <w:rFonts w:ascii="仿宋" w:hAnsi="仿宋" w:eastAsia="仿宋" w:cs="仿宋"/>
                <w:b/>
                <w:bCs/>
                <w:szCs w:val="21"/>
              </w:rPr>
            </w:pPr>
            <w:r>
              <w:rPr>
                <w:rFonts w:ascii="仿宋" w:hAnsi="仿宋" w:eastAsia="仿宋" w:cs="仿宋"/>
                <w:b/>
                <w:bCs/>
                <w:szCs w:val="21"/>
              </w:rPr>
              <w:t>F2</w:t>
            </w:r>
          </w:p>
        </w:tc>
        <w:tc>
          <w:tcPr>
            <w:tcW w:w="2126" w:type="dxa"/>
            <w:tcBorders>
              <w:tl2br w:val="nil"/>
              <w:tr2bl w:val="nil"/>
            </w:tcBorders>
            <w:vAlign w:val="center"/>
          </w:tcPr>
          <w:p>
            <w:pPr>
              <w:spacing w:line="240" w:lineRule="exact"/>
              <w:jc w:val="center"/>
              <w:rPr>
                <w:rFonts w:ascii="仿宋" w:hAnsi="仿宋" w:eastAsia="仿宋" w:cs="仿宋"/>
                <w:b/>
                <w:bCs/>
                <w:szCs w:val="21"/>
              </w:rPr>
            </w:pPr>
            <w:r>
              <w:rPr>
                <w:rFonts w:ascii="仿宋" w:hAnsi="仿宋" w:eastAsia="仿宋" w:cs="仿宋"/>
                <w:b/>
                <w:bCs/>
                <w:szCs w:val="21"/>
              </w:rPr>
              <w:t>F3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2722"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S1</w:t>
            </w:r>
          </w:p>
        </w:tc>
        <w:tc>
          <w:tcPr>
            <w:tcW w:w="2064"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E1</w:t>
            </w:r>
          </w:p>
        </w:tc>
        <w:tc>
          <w:tcPr>
            <w:tcW w:w="2268"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E1</w:t>
            </w:r>
          </w:p>
        </w:tc>
        <w:tc>
          <w:tcPr>
            <w:tcW w:w="2126"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E2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2722"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S2</w:t>
            </w:r>
          </w:p>
        </w:tc>
        <w:tc>
          <w:tcPr>
            <w:tcW w:w="2064"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E1</w:t>
            </w:r>
          </w:p>
        </w:tc>
        <w:tc>
          <w:tcPr>
            <w:tcW w:w="2268"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E2</w:t>
            </w:r>
          </w:p>
        </w:tc>
        <w:tc>
          <w:tcPr>
            <w:tcW w:w="2126"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E3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2722"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S3</w:t>
            </w:r>
          </w:p>
        </w:tc>
        <w:tc>
          <w:tcPr>
            <w:tcW w:w="2064"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E1</w:t>
            </w:r>
          </w:p>
        </w:tc>
        <w:tc>
          <w:tcPr>
            <w:tcW w:w="2268"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E2</w:t>
            </w:r>
          </w:p>
        </w:tc>
        <w:tc>
          <w:tcPr>
            <w:tcW w:w="2126"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E3</w:t>
            </w:r>
          </w:p>
        </w:tc>
      </w:tr>
    </w:tbl>
    <w:p>
      <w:pPr>
        <w:spacing w:line="500" w:lineRule="exact"/>
        <w:jc w:val="center"/>
        <w:rPr>
          <w:rFonts w:eastAsia="仿宋_GB2312"/>
          <w:b/>
          <w:sz w:val="24"/>
        </w:rPr>
      </w:pPr>
      <w:r>
        <w:rPr>
          <w:rFonts w:hint="eastAsia" w:eastAsia="仿宋_GB2312"/>
          <w:b/>
          <w:sz w:val="24"/>
        </w:rPr>
        <w:t>表</w:t>
      </w:r>
      <w:r>
        <w:rPr>
          <w:rFonts w:eastAsia="仿宋_GB2312"/>
          <w:b/>
          <w:sz w:val="24"/>
        </w:rPr>
        <w:t xml:space="preserve">5.3-8 </w:t>
      </w:r>
      <w:r>
        <w:rPr>
          <w:rFonts w:hint="eastAsia" w:eastAsia="仿宋_GB2312"/>
          <w:b/>
          <w:sz w:val="24"/>
        </w:rPr>
        <w:t>地表水功能敏感性分区</w:t>
      </w:r>
    </w:p>
    <w:tbl>
      <w:tblPr>
        <w:tblStyle w:val="87"/>
        <w:tblW w:w="918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39"/>
        <w:gridCol w:w="78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339"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敏感性</w:t>
            </w:r>
          </w:p>
        </w:tc>
        <w:tc>
          <w:tcPr>
            <w:tcW w:w="7841"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地表水环境敏感特征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339"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敏感 F1</w:t>
            </w:r>
          </w:p>
        </w:tc>
        <w:tc>
          <w:tcPr>
            <w:tcW w:w="7841"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排放点进入地表水水域环境功能为</w:t>
            </w:r>
            <w:r>
              <w:rPr>
                <w:rFonts w:hint="eastAsia" w:ascii="仿宋" w:hAnsi="仿宋" w:eastAsia="仿宋" w:cs="仿宋"/>
                <w:bCs/>
                <w:szCs w:val="21"/>
              </w:rPr>
              <w:t>Ⅱ</w:t>
            </w:r>
            <w:r>
              <w:rPr>
                <w:rFonts w:ascii="仿宋" w:hAnsi="仿宋" w:eastAsia="仿宋" w:cs="仿宋"/>
                <w:bCs/>
                <w:szCs w:val="21"/>
              </w:rPr>
              <w:t>类及以上，或海水水质分类第一类；或以发生事故时，危险物质泄漏到水体的排放点算起，排放进入受纳河流最大流速时，24h流经范围内涉跨国界的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339"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较敏感F2</w:t>
            </w:r>
          </w:p>
        </w:tc>
        <w:tc>
          <w:tcPr>
            <w:tcW w:w="7841"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排放点进入地表水水域环境功能为</w:t>
            </w:r>
            <w:r>
              <w:rPr>
                <w:rFonts w:hint="eastAsia" w:ascii="仿宋" w:hAnsi="仿宋" w:eastAsia="仿宋" w:cs="仿宋"/>
                <w:bCs/>
                <w:szCs w:val="21"/>
              </w:rPr>
              <w:t>Ⅲ</w:t>
            </w:r>
            <w:r>
              <w:rPr>
                <w:rFonts w:ascii="仿宋" w:hAnsi="仿宋" w:eastAsia="仿宋" w:cs="仿宋"/>
                <w:bCs/>
                <w:szCs w:val="21"/>
              </w:rPr>
              <w:t>类，或海水水质分类第二类；或以发生事故时，危险物质泄漏到水体的排放点算起，排放进入受纳河流最大流速时，24h流经范围内涉跨省界的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339"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低敏感F3</w:t>
            </w:r>
          </w:p>
        </w:tc>
        <w:tc>
          <w:tcPr>
            <w:tcW w:w="7841"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上述地区之外的其他地区</w:t>
            </w:r>
          </w:p>
        </w:tc>
      </w:tr>
    </w:tbl>
    <w:p>
      <w:pPr>
        <w:spacing w:line="500" w:lineRule="exact"/>
        <w:ind w:firstLine="482" w:firstLineChars="200"/>
        <w:jc w:val="center"/>
        <w:rPr>
          <w:rFonts w:eastAsia="仿宋_GB2312"/>
          <w:b/>
          <w:sz w:val="24"/>
        </w:rPr>
      </w:pPr>
      <w:r>
        <w:rPr>
          <w:rFonts w:hint="eastAsia" w:eastAsia="仿宋_GB2312"/>
          <w:b/>
          <w:sz w:val="24"/>
        </w:rPr>
        <w:t>表</w:t>
      </w:r>
      <w:r>
        <w:rPr>
          <w:rFonts w:eastAsia="仿宋_GB2312"/>
          <w:b/>
          <w:sz w:val="24"/>
        </w:rPr>
        <w:t xml:space="preserve">5.3-9 </w:t>
      </w:r>
      <w:r>
        <w:rPr>
          <w:rFonts w:hint="eastAsia" w:eastAsia="仿宋_GB2312"/>
          <w:b/>
          <w:sz w:val="24"/>
        </w:rPr>
        <w:t>环境敏感目标分级</w:t>
      </w:r>
    </w:p>
    <w:tbl>
      <w:tblPr>
        <w:tblStyle w:val="87"/>
        <w:tblW w:w="918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7"/>
        <w:gridCol w:w="79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 w:hRule="atLeast"/>
          <w:jc w:val="center"/>
        </w:trPr>
        <w:tc>
          <w:tcPr>
            <w:tcW w:w="1187"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分级</w:t>
            </w:r>
          </w:p>
        </w:tc>
        <w:tc>
          <w:tcPr>
            <w:tcW w:w="7993"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环境敏感目标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187"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S1</w:t>
            </w:r>
          </w:p>
        </w:tc>
        <w:tc>
          <w:tcPr>
            <w:tcW w:w="7993"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发生事故时，危险物质泄漏到内陆水体的排放点下游（顺水流向）10km范围内、近岸海域一个潮周期水质点可能达到的最大水平距离的两倍范围内，有如下一类或多类环境风险受体：集中式地表水饮用水水源保护区（包括一级保护区、二级保护区及准保护区）；农村及分散式饮用水水源保护区；自然保护区；重要湿地；珍稀濒危野生动植物天然集中分布区；重要水生生物的自然产卵场及索饵场、越冬场和洄游通道；世界文化和自然遗产地；红树林、珊瑚礁等滨海湿地生态系统；珍稀、濒危海洋生物的天然集中分布区；海洋特别保护区；海上自然保护区；盐场保护区；海水浴场；海洋自然历史遗迹；风景名胜区；或其他特殊重要保护区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187"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S2</w:t>
            </w:r>
          </w:p>
        </w:tc>
        <w:tc>
          <w:tcPr>
            <w:tcW w:w="7993"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发生事故时，危险物质泄漏到内陆水体的排放点下游（顺水流向）10 km 范围内、近岸海域一个潮周期水质点可能达到的最大水平距离的两倍范围内，有如下一类或多类环境风险受体的：水产养殖区；天然渔场；森林公园；地质公园；海滨风景游览区；具有重要经济价值的海洋生物生存区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187"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S3</w:t>
            </w:r>
          </w:p>
        </w:tc>
        <w:tc>
          <w:tcPr>
            <w:tcW w:w="7993"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排放点下游（顺水流向）10km范围、近岸海域一个潮周期水质点可能达到的最大水平距离的两倍范围内无上述类型1和类型2包括的敏感保护目标</w:t>
            </w:r>
          </w:p>
        </w:tc>
      </w:tr>
    </w:tbl>
    <w:p>
      <w:pPr>
        <w:spacing w:line="500" w:lineRule="exact"/>
        <w:ind w:firstLine="560" w:firstLineChars="200"/>
        <w:rPr>
          <w:rFonts w:eastAsia="仿宋_GB2312"/>
          <w:sz w:val="28"/>
          <w:szCs w:val="20"/>
        </w:rPr>
      </w:pPr>
      <w:r>
        <w:rPr>
          <w:rFonts w:hint="eastAsia" w:eastAsia="仿宋_GB2312"/>
          <w:sz w:val="28"/>
          <w:szCs w:val="20"/>
        </w:rPr>
        <w:t>本项目排放点</w:t>
      </w:r>
      <w:r>
        <w:rPr>
          <w:rFonts w:eastAsia="仿宋_GB2312"/>
          <w:sz w:val="28"/>
          <w:szCs w:val="20"/>
        </w:rPr>
        <w:t>进入地表水水域环境功能为</w:t>
      </w:r>
      <w:r>
        <w:rPr>
          <w:rFonts w:hint="eastAsia" w:eastAsia="仿宋_GB2312"/>
          <w:sz w:val="28"/>
          <w:szCs w:val="20"/>
        </w:rPr>
        <w:t>Ⅲ</w:t>
      </w:r>
      <w:r>
        <w:rPr>
          <w:rFonts w:eastAsia="仿宋_GB2312"/>
          <w:sz w:val="28"/>
          <w:szCs w:val="20"/>
        </w:rPr>
        <w:t>类</w:t>
      </w:r>
      <w:r>
        <w:rPr>
          <w:rFonts w:hint="eastAsia" w:eastAsia="仿宋_GB2312"/>
          <w:sz w:val="28"/>
          <w:szCs w:val="20"/>
        </w:rPr>
        <w:t>，本项目所在区域地表水功能敏感性为F2，环境敏感目标分级为S</w:t>
      </w:r>
      <w:r>
        <w:rPr>
          <w:rFonts w:eastAsia="仿宋_GB2312"/>
          <w:sz w:val="28"/>
          <w:szCs w:val="20"/>
        </w:rPr>
        <w:t>3</w:t>
      </w:r>
      <w:r>
        <w:rPr>
          <w:rFonts w:hint="eastAsia" w:eastAsia="仿宋_GB2312"/>
          <w:sz w:val="28"/>
          <w:szCs w:val="20"/>
        </w:rPr>
        <w:t>，所以本项目地表水环境敏感程度为</w:t>
      </w:r>
      <w:r>
        <w:rPr>
          <w:rFonts w:eastAsia="仿宋_GB2312"/>
          <w:sz w:val="28"/>
          <w:szCs w:val="20"/>
        </w:rPr>
        <w:t>E2</w:t>
      </w:r>
      <w:r>
        <w:rPr>
          <w:rFonts w:hint="eastAsia" w:eastAsia="仿宋_GB2312"/>
          <w:sz w:val="28"/>
          <w:szCs w:val="20"/>
        </w:rPr>
        <w:t>级。</w:t>
      </w:r>
    </w:p>
    <w:p>
      <w:pPr>
        <w:spacing w:line="500" w:lineRule="exact"/>
        <w:ind w:firstLine="560" w:firstLineChars="200"/>
        <w:rPr>
          <w:rFonts w:eastAsia="仿宋_GB2312"/>
          <w:sz w:val="28"/>
          <w:szCs w:val="20"/>
        </w:rPr>
      </w:pPr>
      <w:r>
        <w:rPr>
          <w:rFonts w:eastAsia="仿宋_GB2312"/>
          <w:sz w:val="28"/>
          <w:szCs w:val="20"/>
        </w:rPr>
        <w:t>（3）地下水环境</w:t>
      </w:r>
    </w:p>
    <w:p>
      <w:pPr>
        <w:spacing w:line="500" w:lineRule="exact"/>
        <w:ind w:firstLine="560" w:firstLineChars="200"/>
        <w:rPr>
          <w:rFonts w:eastAsia="仿宋_GB2312"/>
          <w:sz w:val="28"/>
          <w:szCs w:val="20"/>
        </w:rPr>
      </w:pPr>
      <w:r>
        <w:rPr>
          <w:rFonts w:eastAsia="仿宋_GB2312"/>
          <w:sz w:val="28"/>
          <w:szCs w:val="20"/>
        </w:rPr>
        <w:t>依据地下水功能敏感性与包气带防污性能，共分为三种类型，E1为环境高度敏感区，E2为环境中度敏感区，E3为环境低度敏感区，分级原则见表5.3-10。其中地下水功能敏感性分区和包气带防污性能分级分别见表5.3-</w:t>
      </w:r>
      <w:r>
        <w:rPr>
          <w:rFonts w:hint="eastAsia" w:eastAsia="仿宋_GB2312"/>
          <w:sz w:val="28"/>
          <w:szCs w:val="20"/>
        </w:rPr>
        <w:t>1</w:t>
      </w:r>
      <w:r>
        <w:rPr>
          <w:rFonts w:eastAsia="仿宋_GB2312"/>
          <w:sz w:val="28"/>
          <w:szCs w:val="20"/>
        </w:rPr>
        <w:t>1和表5.3-</w:t>
      </w:r>
      <w:r>
        <w:rPr>
          <w:rFonts w:hint="eastAsia" w:eastAsia="仿宋_GB2312"/>
          <w:sz w:val="28"/>
          <w:szCs w:val="20"/>
        </w:rPr>
        <w:t>1</w:t>
      </w:r>
      <w:r>
        <w:rPr>
          <w:rFonts w:eastAsia="仿宋_GB2312"/>
          <w:sz w:val="28"/>
          <w:szCs w:val="20"/>
        </w:rPr>
        <w:t>2。当同一建设项目涉及两个G分区或D分级及以上时，取相对高值。</w:t>
      </w:r>
    </w:p>
    <w:p>
      <w:pPr>
        <w:spacing w:line="500" w:lineRule="exact"/>
        <w:ind w:firstLine="482" w:firstLineChars="200"/>
        <w:jc w:val="center"/>
        <w:rPr>
          <w:rFonts w:eastAsia="仿宋_GB2312"/>
          <w:b/>
          <w:sz w:val="24"/>
        </w:rPr>
      </w:pPr>
      <w:r>
        <w:rPr>
          <w:rFonts w:hint="eastAsia" w:eastAsia="仿宋_GB2312"/>
          <w:b/>
          <w:sz w:val="24"/>
        </w:rPr>
        <w:t>表</w:t>
      </w:r>
      <w:r>
        <w:rPr>
          <w:rFonts w:eastAsia="仿宋_GB2312"/>
          <w:b/>
          <w:sz w:val="24"/>
        </w:rPr>
        <w:t xml:space="preserve">5.3-10 </w:t>
      </w:r>
      <w:r>
        <w:rPr>
          <w:rFonts w:hint="eastAsia" w:eastAsia="仿宋_GB2312"/>
          <w:b/>
          <w:sz w:val="24"/>
        </w:rPr>
        <w:t>地下水环境敏感程度分级</w:t>
      </w:r>
    </w:p>
    <w:tbl>
      <w:tblPr>
        <w:tblStyle w:val="8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59"/>
        <w:gridCol w:w="1645"/>
        <w:gridCol w:w="2295"/>
        <w:gridCol w:w="22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 w:hRule="atLeast"/>
          <w:jc w:val="center"/>
        </w:trPr>
        <w:tc>
          <w:tcPr>
            <w:tcW w:w="2959" w:type="dxa"/>
            <w:vMerge w:val="restart"/>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包气带防污性能</w:t>
            </w:r>
          </w:p>
        </w:tc>
        <w:tc>
          <w:tcPr>
            <w:tcW w:w="6236" w:type="dxa"/>
            <w:gridSpan w:val="3"/>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地下水功能敏感性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2959" w:type="dxa"/>
            <w:vMerge w:val="continue"/>
            <w:tcBorders>
              <w:tl2br w:val="nil"/>
              <w:tr2bl w:val="nil"/>
            </w:tcBorders>
            <w:vAlign w:val="center"/>
          </w:tcPr>
          <w:p>
            <w:pPr>
              <w:spacing w:line="240" w:lineRule="exact"/>
              <w:jc w:val="center"/>
              <w:rPr>
                <w:rFonts w:ascii="仿宋" w:hAnsi="仿宋" w:eastAsia="仿宋" w:cs="仿宋"/>
                <w:bCs/>
                <w:szCs w:val="21"/>
              </w:rPr>
            </w:pPr>
          </w:p>
        </w:tc>
        <w:tc>
          <w:tcPr>
            <w:tcW w:w="1645" w:type="dxa"/>
            <w:tcBorders>
              <w:tl2br w:val="nil"/>
              <w:tr2bl w:val="nil"/>
            </w:tcBorders>
            <w:vAlign w:val="center"/>
          </w:tcPr>
          <w:p>
            <w:pPr>
              <w:spacing w:line="240" w:lineRule="exact"/>
              <w:jc w:val="center"/>
              <w:rPr>
                <w:rFonts w:ascii="仿宋" w:hAnsi="仿宋" w:eastAsia="仿宋" w:cs="仿宋"/>
                <w:b/>
                <w:bCs/>
                <w:szCs w:val="21"/>
              </w:rPr>
            </w:pPr>
            <w:r>
              <w:rPr>
                <w:rFonts w:ascii="仿宋" w:hAnsi="仿宋" w:eastAsia="仿宋" w:cs="仿宋"/>
                <w:b/>
                <w:bCs/>
                <w:szCs w:val="21"/>
              </w:rPr>
              <w:t>G1</w:t>
            </w:r>
          </w:p>
        </w:tc>
        <w:tc>
          <w:tcPr>
            <w:tcW w:w="2295" w:type="dxa"/>
            <w:tcBorders>
              <w:tl2br w:val="nil"/>
              <w:tr2bl w:val="nil"/>
            </w:tcBorders>
            <w:vAlign w:val="center"/>
          </w:tcPr>
          <w:p>
            <w:pPr>
              <w:spacing w:line="240" w:lineRule="exact"/>
              <w:jc w:val="center"/>
              <w:rPr>
                <w:rFonts w:ascii="仿宋" w:hAnsi="仿宋" w:eastAsia="仿宋" w:cs="仿宋"/>
                <w:b/>
                <w:bCs/>
                <w:szCs w:val="21"/>
              </w:rPr>
            </w:pPr>
            <w:r>
              <w:rPr>
                <w:rFonts w:ascii="仿宋" w:hAnsi="仿宋" w:eastAsia="仿宋" w:cs="仿宋"/>
                <w:b/>
                <w:bCs/>
                <w:szCs w:val="21"/>
              </w:rPr>
              <w:t>G2</w:t>
            </w:r>
          </w:p>
        </w:tc>
        <w:tc>
          <w:tcPr>
            <w:tcW w:w="2296" w:type="dxa"/>
            <w:tcBorders>
              <w:tl2br w:val="nil"/>
              <w:tr2bl w:val="nil"/>
            </w:tcBorders>
            <w:vAlign w:val="center"/>
          </w:tcPr>
          <w:p>
            <w:pPr>
              <w:spacing w:line="240" w:lineRule="exact"/>
              <w:jc w:val="center"/>
              <w:rPr>
                <w:rFonts w:ascii="仿宋" w:hAnsi="仿宋" w:eastAsia="仿宋" w:cs="仿宋"/>
                <w:b/>
                <w:bCs/>
                <w:szCs w:val="21"/>
              </w:rPr>
            </w:pPr>
            <w:r>
              <w:rPr>
                <w:rFonts w:ascii="仿宋" w:hAnsi="仿宋" w:eastAsia="仿宋" w:cs="仿宋"/>
                <w:b/>
                <w:bCs/>
                <w:szCs w:val="21"/>
              </w:rPr>
              <w:t>G3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2959"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D1</w:t>
            </w:r>
          </w:p>
        </w:tc>
        <w:tc>
          <w:tcPr>
            <w:tcW w:w="1645"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E1</w:t>
            </w:r>
          </w:p>
        </w:tc>
        <w:tc>
          <w:tcPr>
            <w:tcW w:w="2295"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E1</w:t>
            </w:r>
          </w:p>
        </w:tc>
        <w:tc>
          <w:tcPr>
            <w:tcW w:w="2296"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E2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2959"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D2</w:t>
            </w:r>
          </w:p>
        </w:tc>
        <w:tc>
          <w:tcPr>
            <w:tcW w:w="1645"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E1</w:t>
            </w:r>
          </w:p>
        </w:tc>
        <w:tc>
          <w:tcPr>
            <w:tcW w:w="2295"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E2</w:t>
            </w:r>
          </w:p>
        </w:tc>
        <w:tc>
          <w:tcPr>
            <w:tcW w:w="2296"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E3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2959"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D3</w:t>
            </w:r>
          </w:p>
        </w:tc>
        <w:tc>
          <w:tcPr>
            <w:tcW w:w="1645"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E2</w:t>
            </w:r>
          </w:p>
        </w:tc>
        <w:tc>
          <w:tcPr>
            <w:tcW w:w="2295"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E3</w:t>
            </w:r>
          </w:p>
        </w:tc>
        <w:tc>
          <w:tcPr>
            <w:tcW w:w="2296"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E3</w:t>
            </w:r>
          </w:p>
        </w:tc>
      </w:tr>
    </w:tbl>
    <w:p>
      <w:pPr>
        <w:spacing w:line="500" w:lineRule="exact"/>
        <w:ind w:firstLine="482" w:firstLineChars="200"/>
        <w:jc w:val="center"/>
        <w:rPr>
          <w:rFonts w:eastAsia="仿宋_GB2312"/>
          <w:b/>
          <w:sz w:val="24"/>
        </w:rPr>
      </w:pPr>
      <w:r>
        <w:rPr>
          <w:rFonts w:hint="eastAsia" w:eastAsia="仿宋_GB2312"/>
          <w:b/>
          <w:sz w:val="24"/>
        </w:rPr>
        <w:t>表</w:t>
      </w:r>
      <w:r>
        <w:rPr>
          <w:rFonts w:eastAsia="仿宋_GB2312"/>
          <w:b/>
          <w:sz w:val="24"/>
        </w:rPr>
        <w:t>5.3-</w:t>
      </w:r>
      <w:r>
        <w:rPr>
          <w:rFonts w:hint="eastAsia" w:eastAsia="仿宋_GB2312"/>
          <w:b/>
          <w:sz w:val="24"/>
        </w:rPr>
        <w:t>1</w:t>
      </w:r>
      <w:r>
        <w:rPr>
          <w:rFonts w:eastAsia="仿宋_GB2312"/>
          <w:b/>
          <w:sz w:val="24"/>
        </w:rPr>
        <w:t xml:space="preserve">1  </w:t>
      </w:r>
      <w:r>
        <w:rPr>
          <w:rFonts w:hint="eastAsia" w:eastAsia="仿宋_GB2312"/>
          <w:b/>
          <w:sz w:val="24"/>
        </w:rPr>
        <w:t>地下水功能敏感性分区</w:t>
      </w:r>
      <w:r>
        <w:rPr>
          <w:rFonts w:eastAsia="仿宋_GB2312"/>
          <w:b/>
          <w:sz w:val="24"/>
        </w:rPr>
        <w:t xml:space="preserve"> </w:t>
      </w:r>
    </w:p>
    <w:tbl>
      <w:tblPr>
        <w:tblStyle w:val="87"/>
        <w:tblW w:w="918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5"/>
        <w:gridCol w:w="78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285"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敏感性</w:t>
            </w:r>
          </w:p>
        </w:tc>
        <w:tc>
          <w:tcPr>
            <w:tcW w:w="7895"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地下水环境敏感特征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285"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敏感G1</w:t>
            </w:r>
          </w:p>
        </w:tc>
        <w:tc>
          <w:tcPr>
            <w:tcW w:w="7895"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285"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较敏感G2</w:t>
            </w:r>
          </w:p>
        </w:tc>
        <w:tc>
          <w:tcPr>
            <w:tcW w:w="7895"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集中式饮用水水源（包括已建成的在用、备用、应急水源，在建和规划的饮用水水源）准保护区以外的补给径流区；未划定准保护区的集中式饮用水水源，其保护区以外的补给径流区；分散式饮用水水源地；特殊地下水资源（如热水、矿泉水、温泉等）保护区以外的分布区等其他未列入上述敏感分级 的环境敏感区*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285"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不敏感G3</w:t>
            </w:r>
          </w:p>
        </w:tc>
        <w:tc>
          <w:tcPr>
            <w:tcW w:w="7895"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上述地区之外的其他地区</w:t>
            </w:r>
          </w:p>
        </w:tc>
      </w:tr>
    </w:tbl>
    <w:p>
      <w:pPr>
        <w:ind w:firstLine="420"/>
        <w:rPr>
          <w:rFonts w:eastAsia="仿宋_GB2312"/>
          <w:szCs w:val="21"/>
        </w:rPr>
      </w:pPr>
      <w:r>
        <w:rPr>
          <w:rFonts w:hint="eastAsia" w:eastAsia="仿宋_GB2312"/>
          <w:szCs w:val="21"/>
        </w:rPr>
        <w:t>*注：“环境敏感区”是指《建设项目环境影响评价分类管理名录》中所界定的涉及地下水的环境敏感区。</w:t>
      </w:r>
    </w:p>
    <w:p>
      <w:pPr>
        <w:spacing w:line="500" w:lineRule="exact"/>
        <w:ind w:firstLine="482" w:firstLineChars="200"/>
        <w:jc w:val="center"/>
        <w:rPr>
          <w:rFonts w:eastAsia="仿宋_GB2312"/>
          <w:b/>
          <w:sz w:val="24"/>
        </w:rPr>
      </w:pPr>
      <w:r>
        <w:rPr>
          <w:rFonts w:hint="eastAsia" w:eastAsia="仿宋_GB2312"/>
          <w:b/>
          <w:sz w:val="24"/>
        </w:rPr>
        <w:t>表</w:t>
      </w:r>
      <w:r>
        <w:rPr>
          <w:rFonts w:eastAsia="仿宋_GB2312"/>
          <w:b/>
          <w:sz w:val="24"/>
        </w:rPr>
        <w:t>5.3-</w:t>
      </w:r>
      <w:r>
        <w:rPr>
          <w:rFonts w:hint="eastAsia" w:eastAsia="仿宋_GB2312"/>
          <w:b/>
          <w:sz w:val="24"/>
        </w:rPr>
        <w:t>1</w:t>
      </w:r>
      <w:r>
        <w:rPr>
          <w:rFonts w:eastAsia="仿宋_GB2312"/>
          <w:b/>
          <w:sz w:val="24"/>
        </w:rPr>
        <w:t xml:space="preserve">2 </w:t>
      </w:r>
      <w:r>
        <w:rPr>
          <w:rFonts w:hint="eastAsia" w:eastAsia="仿宋_GB2312"/>
          <w:b/>
          <w:sz w:val="24"/>
        </w:rPr>
        <w:t>包气带防污性能分级</w:t>
      </w:r>
    </w:p>
    <w:tbl>
      <w:tblPr>
        <w:tblStyle w:val="87"/>
        <w:tblW w:w="918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7"/>
        <w:gridCol w:w="78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 w:hRule="atLeast"/>
          <w:jc w:val="center"/>
        </w:trPr>
        <w:tc>
          <w:tcPr>
            <w:tcW w:w="1287"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分级</w:t>
            </w:r>
          </w:p>
        </w:tc>
        <w:tc>
          <w:tcPr>
            <w:tcW w:w="7893"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包气带岩土的渗透性能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287"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D3</w:t>
            </w:r>
          </w:p>
        </w:tc>
        <w:tc>
          <w:tcPr>
            <w:tcW w:w="7893"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Mb≥1.0m，K≤1.0×10</w:t>
            </w:r>
            <w:r>
              <w:rPr>
                <w:rFonts w:ascii="仿宋" w:hAnsi="仿宋" w:eastAsia="仿宋" w:cs="仿宋"/>
                <w:bCs/>
                <w:szCs w:val="21"/>
                <w:vertAlign w:val="superscript"/>
              </w:rPr>
              <w:t>-6</w:t>
            </w:r>
            <w:r>
              <w:rPr>
                <w:rFonts w:ascii="仿宋" w:hAnsi="仿宋" w:eastAsia="仿宋" w:cs="仿宋"/>
                <w:bCs/>
                <w:szCs w:val="21"/>
              </w:rPr>
              <w:t>cm/s，且分布连续、稳定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287"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D2</w:t>
            </w:r>
          </w:p>
        </w:tc>
        <w:tc>
          <w:tcPr>
            <w:tcW w:w="7893"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0.5m≤Mb&lt;1.0m，K≤1.0×10</w:t>
            </w:r>
            <w:r>
              <w:rPr>
                <w:rFonts w:ascii="仿宋" w:hAnsi="仿宋" w:eastAsia="仿宋" w:cs="仿宋"/>
                <w:bCs/>
                <w:szCs w:val="21"/>
                <w:vertAlign w:val="superscript"/>
              </w:rPr>
              <w:t>-6</w:t>
            </w:r>
            <w:r>
              <w:rPr>
                <w:rFonts w:ascii="仿宋" w:hAnsi="仿宋" w:eastAsia="仿宋" w:cs="仿宋"/>
                <w:bCs/>
                <w:szCs w:val="21"/>
              </w:rPr>
              <w:t>cm/s，且分布连续、稳定</w:t>
            </w:r>
          </w:p>
          <w:p>
            <w:pPr>
              <w:spacing w:line="240" w:lineRule="exact"/>
              <w:jc w:val="center"/>
              <w:rPr>
                <w:rFonts w:ascii="仿宋" w:hAnsi="仿宋" w:eastAsia="仿宋" w:cs="仿宋"/>
                <w:bCs/>
                <w:szCs w:val="21"/>
              </w:rPr>
            </w:pPr>
            <w:r>
              <w:rPr>
                <w:rFonts w:ascii="仿宋" w:hAnsi="仿宋" w:eastAsia="仿宋" w:cs="仿宋"/>
                <w:bCs/>
                <w:szCs w:val="21"/>
              </w:rPr>
              <w:t>Mb≥1.0m，1.0×10</w:t>
            </w:r>
            <w:r>
              <w:rPr>
                <w:rFonts w:ascii="仿宋" w:hAnsi="仿宋" w:eastAsia="仿宋" w:cs="仿宋"/>
                <w:bCs/>
                <w:szCs w:val="21"/>
                <w:vertAlign w:val="superscript"/>
              </w:rPr>
              <w:t>-6</w:t>
            </w:r>
            <w:r>
              <w:rPr>
                <w:rFonts w:ascii="仿宋" w:hAnsi="仿宋" w:eastAsia="仿宋" w:cs="仿宋"/>
                <w:bCs/>
                <w:szCs w:val="21"/>
              </w:rPr>
              <w:t>cm/s&lt;K≤1.0×10</w:t>
            </w:r>
            <w:r>
              <w:rPr>
                <w:rFonts w:ascii="仿宋" w:hAnsi="仿宋" w:eastAsia="仿宋" w:cs="仿宋"/>
                <w:bCs/>
                <w:szCs w:val="21"/>
                <w:vertAlign w:val="superscript"/>
              </w:rPr>
              <w:t>-4</w:t>
            </w:r>
            <w:r>
              <w:rPr>
                <w:rFonts w:ascii="仿宋" w:hAnsi="仿宋" w:eastAsia="仿宋" w:cs="仿宋"/>
                <w:bCs/>
                <w:szCs w:val="21"/>
              </w:rPr>
              <w:t>cm/s，且分布连续、稳定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287"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D1</w:t>
            </w:r>
          </w:p>
        </w:tc>
        <w:tc>
          <w:tcPr>
            <w:tcW w:w="7893" w:type="dxa"/>
            <w:tcBorders>
              <w:tl2br w:val="nil"/>
              <w:tr2bl w:val="nil"/>
            </w:tcBorders>
            <w:vAlign w:val="center"/>
          </w:tcPr>
          <w:p>
            <w:pPr>
              <w:spacing w:line="240" w:lineRule="exact"/>
              <w:jc w:val="center"/>
              <w:rPr>
                <w:rFonts w:ascii="仿宋" w:hAnsi="仿宋" w:eastAsia="仿宋" w:cs="仿宋"/>
                <w:bCs/>
                <w:szCs w:val="21"/>
              </w:rPr>
            </w:pPr>
            <w:r>
              <w:rPr>
                <w:rFonts w:ascii="仿宋" w:hAnsi="仿宋" w:eastAsia="仿宋" w:cs="仿宋"/>
                <w:bCs/>
                <w:szCs w:val="21"/>
              </w:rPr>
              <w:t>岩（土）层不满足上述“D2”和“D3”条件</w:t>
            </w:r>
          </w:p>
        </w:tc>
      </w:tr>
    </w:tbl>
    <w:p>
      <w:pPr>
        <w:ind w:firstLine="420"/>
        <w:rPr>
          <w:rFonts w:eastAsia="仿宋_GB2312"/>
          <w:b/>
          <w:bCs/>
          <w:szCs w:val="21"/>
        </w:rPr>
      </w:pPr>
      <w:r>
        <w:rPr>
          <w:rFonts w:hint="eastAsia" w:eastAsia="仿宋_GB2312"/>
          <w:szCs w:val="21"/>
        </w:rPr>
        <w:t>注：Mb为岩土层单层厚度。K为渗透系数。</w:t>
      </w:r>
    </w:p>
    <w:p>
      <w:pPr>
        <w:spacing w:line="500" w:lineRule="exact"/>
        <w:ind w:firstLine="560" w:firstLineChars="200"/>
        <w:rPr>
          <w:rFonts w:eastAsia="仿宋_GB2312"/>
          <w:sz w:val="28"/>
          <w:szCs w:val="20"/>
        </w:rPr>
      </w:pPr>
      <w:r>
        <w:rPr>
          <w:rFonts w:hint="eastAsia" w:eastAsia="仿宋_GB2312"/>
          <w:sz w:val="28"/>
          <w:szCs w:val="20"/>
        </w:rPr>
        <w:t>本项目</w:t>
      </w:r>
      <w:r>
        <w:rPr>
          <w:rFonts w:eastAsia="仿宋_GB2312"/>
          <w:sz w:val="28"/>
          <w:szCs w:val="20"/>
        </w:rPr>
        <w:t>不在集中式饮用水水源（包括已建成的在用、备用、应急水源，在建和规划的饮用水水源）准保护区</w:t>
      </w:r>
      <w:r>
        <w:rPr>
          <w:rFonts w:hint="eastAsia" w:eastAsia="仿宋_GB2312"/>
          <w:sz w:val="28"/>
          <w:szCs w:val="20"/>
        </w:rPr>
        <w:t>内，本项目所在区域地下水功能敏感性为</w:t>
      </w:r>
      <w:r>
        <w:rPr>
          <w:rFonts w:eastAsia="仿宋_GB2312"/>
          <w:sz w:val="28"/>
          <w:szCs w:val="20"/>
        </w:rPr>
        <w:t>G3</w:t>
      </w:r>
      <w:r>
        <w:rPr>
          <w:rFonts w:hint="eastAsia" w:eastAsia="仿宋_GB2312"/>
          <w:sz w:val="28"/>
          <w:szCs w:val="20"/>
        </w:rPr>
        <w:t>，包气带防污性能分级为</w:t>
      </w:r>
      <w:r>
        <w:rPr>
          <w:rFonts w:eastAsia="仿宋_GB2312"/>
          <w:sz w:val="28"/>
          <w:szCs w:val="20"/>
        </w:rPr>
        <w:t>D2</w:t>
      </w:r>
      <w:r>
        <w:rPr>
          <w:rFonts w:hint="eastAsia" w:eastAsia="仿宋_GB2312"/>
          <w:sz w:val="28"/>
          <w:szCs w:val="20"/>
        </w:rPr>
        <w:t>，所以本项目地下水环境敏感程度为</w:t>
      </w:r>
      <w:r>
        <w:rPr>
          <w:rFonts w:eastAsia="仿宋_GB2312"/>
          <w:sz w:val="28"/>
          <w:szCs w:val="20"/>
        </w:rPr>
        <w:t>E3</w:t>
      </w:r>
      <w:r>
        <w:rPr>
          <w:rFonts w:hint="eastAsia" w:eastAsia="仿宋_GB2312"/>
          <w:sz w:val="28"/>
          <w:szCs w:val="20"/>
        </w:rPr>
        <w:t>级。</w:t>
      </w:r>
    </w:p>
    <w:p>
      <w:pPr>
        <w:spacing w:line="500" w:lineRule="exact"/>
        <w:ind w:firstLine="562" w:firstLineChars="200"/>
        <w:rPr>
          <w:rFonts w:eastAsia="仿宋_GB2312"/>
          <w:b/>
          <w:sz w:val="28"/>
          <w:szCs w:val="20"/>
        </w:rPr>
      </w:pPr>
      <w:r>
        <w:rPr>
          <w:rFonts w:eastAsia="仿宋_GB2312"/>
          <w:b/>
          <w:sz w:val="28"/>
          <w:szCs w:val="20"/>
        </w:rPr>
        <w:t>2、对照分析</w:t>
      </w:r>
    </w:p>
    <w:p>
      <w:pPr>
        <w:adjustRightInd w:val="0"/>
        <w:snapToGrid w:val="0"/>
        <w:spacing w:line="500" w:lineRule="exact"/>
        <w:ind w:firstLine="560" w:firstLineChars="200"/>
        <w:rPr>
          <w:rFonts w:ascii="华文仿宋" w:hAnsi="华文仿宋" w:eastAsia="华文仿宋" w:cs="华文仿宋"/>
          <w:sz w:val="28"/>
          <w:szCs w:val="28"/>
        </w:rPr>
      </w:pPr>
      <w:r>
        <w:rPr>
          <w:rFonts w:eastAsia="仿宋_GB2312"/>
          <w:sz w:val="28"/>
          <w:szCs w:val="20"/>
        </w:rPr>
        <w:t>依据上述判定依据，建设项目环境敏感特征对照分析结果见表5.3-</w:t>
      </w:r>
      <w:r>
        <w:rPr>
          <w:rFonts w:hint="eastAsia" w:eastAsia="仿宋_GB2312"/>
          <w:sz w:val="28"/>
          <w:szCs w:val="20"/>
        </w:rPr>
        <w:t>1</w:t>
      </w:r>
      <w:r>
        <w:rPr>
          <w:rFonts w:eastAsia="仿宋_GB2312"/>
          <w:sz w:val="28"/>
          <w:szCs w:val="20"/>
        </w:rPr>
        <w:t>3。</w:t>
      </w:r>
      <w:r>
        <w:rPr>
          <w:rFonts w:hint="eastAsia" w:eastAsia="仿宋_GB2312"/>
          <w:sz w:val="28"/>
          <w:szCs w:val="20"/>
        </w:rPr>
        <w:t>本项目周边环境敏感目标分布图见附图5.3-2。</w:t>
      </w:r>
    </w:p>
    <w:p>
      <w:pPr>
        <w:spacing w:line="500" w:lineRule="exact"/>
        <w:ind w:firstLine="482" w:firstLineChars="200"/>
        <w:jc w:val="center"/>
        <w:rPr>
          <w:rFonts w:eastAsia="仿宋_GB2312"/>
          <w:b/>
          <w:sz w:val="24"/>
        </w:rPr>
      </w:pPr>
      <w:r>
        <w:rPr>
          <w:rFonts w:hint="eastAsia" w:eastAsia="仿宋_GB2312"/>
          <w:b/>
          <w:sz w:val="24"/>
        </w:rPr>
        <w:t>表</w:t>
      </w:r>
      <w:r>
        <w:rPr>
          <w:rFonts w:eastAsia="仿宋_GB2312"/>
          <w:b/>
          <w:sz w:val="24"/>
        </w:rPr>
        <w:t>5.3-</w:t>
      </w:r>
      <w:r>
        <w:rPr>
          <w:rFonts w:hint="eastAsia" w:eastAsia="仿宋_GB2312"/>
          <w:b/>
          <w:sz w:val="24"/>
        </w:rPr>
        <w:t>1</w:t>
      </w:r>
      <w:r>
        <w:rPr>
          <w:rFonts w:eastAsia="仿宋_GB2312"/>
          <w:b/>
          <w:sz w:val="24"/>
        </w:rPr>
        <w:t xml:space="preserve">3  </w:t>
      </w:r>
      <w:r>
        <w:rPr>
          <w:rFonts w:hint="eastAsia" w:eastAsia="仿宋_GB2312"/>
          <w:b/>
          <w:sz w:val="24"/>
        </w:rPr>
        <w:t>建设项目环境敏感特征表</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8"/>
        <w:gridCol w:w="1337"/>
        <w:gridCol w:w="11"/>
        <w:gridCol w:w="1326"/>
        <w:gridCol w:w="22"/>
        <w:gridCol w:w="1333"/>
        <w:gridCol w:w="15"/>
        <w:gridCol w:w="1349"/>
        <w:gridCol w:w="1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Align w:val="center"/>
          </w:tcPr>
          <w:p>
            <w:pPr>
              <w:spacing w:line="280" w:lineRule="exact"/>
              <w:jc w:val="center"/>
              <w:rPr>
                <w:rFonts w:ascii="仿宋" w:hAnsi="仿宋" w:eastAsia="仿宋"/>
                <w:szCs w:val="21"/>
              </w:rPr>
            </w:pPr>
            <w:r>
              <w:rPr>
                <w:rFonts w:ascii="仿宋" w:hAnsi="仿宋" w:eastAsia="仿宋"/>
                <w:szCs w:val="21"/>
              </w:rPr>
              <w:t>环境要素</w:t>
            </w:r>
          </w:p>
        </w:tc>
        <w:tc>
          <w:tcPr>
            <w:tcW w:w="1337" w:type="dxa"/>
            <w:vAlign w:val="center"/>
          </w:tcPr>
          <w:p>
            <w:pPr>
              <w:spacing w:line="280" w:lineRule="exact"/>
              <w:jc w:val="center"/>
              <w:rPr>
                <w:rFonts w:ascii="仿宋" w:hAnsi="仿宋" w:eastAsia="仿宋"/>
                <w:szCs w:val="21"/>
              </w:rPr>
            </w:pPr>
            <w:r>
              <w:rPr>
                <w:rFonts w:ascii="仿宋" w:hAnsi="仿宋" w:eastAsia="仿宋"/>
                <w:szCs w:val="21"/>
              </w:rPr>
              <w:t>环境保护目标</w:t>
            </w:r>
          </w:p>
        </w:tc>
        <w:tc>
          <w:tcPr>
            <w:tcW w:w="1337" w:type="dxa"/>
            <w:gridSpan w:val="2"/>
            <w:vAlign w:val="center"/>
          </w:tcPr>
          <w:p>
            <w:pPr>
              <w:spacing w:line="280" w:lineRule="exact"/>
              <w:jc w:val="center"/>
              <w:rPr>
                <w:rFonts w:ascii="仿宋" w:hAnsi="仿宋" w:eastAsia="仿宋"/>
                <w:szCs w:val="21"/>
              </w:rPr>
            </w:pPr>
            <w:r>
              <w:rPr>
                <w:rFonts w:ascii="仿宋" w:hAnsi="仿宋" w:eastAsia="仿宋"/>
                <w:szCs w:val="21"/>
              </w:rPr>
              <w:t>方位</w:t>
            </w:r>
          </w:p>
        </w:tc>
        <w:tc>
          <w:tcPr>
            <w:tcW w:w="1355" w:type="dxa"/>
            <w:gridSpan w:val="2"/>
            <w:vAlign w:val="center"/>
          </w:tcPr>
          <w:p>
            <w:pPr>
              <w:spacing w:line="280" w:lineRule="exact"/>
              <w:jc w:val="center"/>
              <w:rPr>
                <w:rFonts w:ascii="仿宋" w:hAnsi="仿宋" w:eastAsia="仿宋"/>
                <w:szCs w:val="21"/>
              </w:rPr>
            </w:pPr>
            <w:r>
              <w:rPr>
                <w:rFonts w:ascii="仿宋" w:hAnsi="仿宋" w:eastAsia="仿宋"/>
                <w:szCs w:val="21"/>
              </w:rPr>
              <w:t xml:space="preserve">规模(人) </w:t>
            </w:r>
          </w:p>
        </w:tc>
        <w:tc>
          <w:tcPr>
            <w:tcW w:w="1364" w:type="dxa"/>
            <w:gridSpan w:val="2"/>
            <w:vAlign w:val="center"/>
          </w:tcPr>
          <w:p>
            <w:pPr>
              <w:spacing w:line="280" w:lineRule="exact"/>
              <w:jc w:val="center"/>
              <w:rPr>
                <w:rFonts w:ascii="仿宋" w:hAnsi="仿宋" w:eastAsia="仿宋"/>
                <w:szCs w:val="21"/>
              </w:rPr>
            </w:pPr>
            <w:r>
              <w:rPr>
                <w:rFonts w:ascii="仿宋" w:hAnsi="仿宋" w:eastAsia="仿宋"/>
                <w:szCs w:val="21"/>
              </w:rPr>
              <w:t>距离（m）</w:t>
            </w:r>
          </w:p>
        </w:tc>
        <w:tc>
          <w:tcPr>
            <w:tcW w:w="1791" w:type="dxa"/>
            <w:vAlign w:val="center"/>
          </w:tcPr>
          <w:p>
            <w:pPr>
              <w:spacing w:line="280" w:lineRule="exact"/>
              <w:jc w:val="center"/>
              <w:rPr>
                <w:rFonts w:ascii="仿宋" w:hAnsi="仿宋" w:eastAsia="仿宋"/>
                <w:szCs w:val="21"/>
              </w:rPr>
            </w:pPr>
            <w:r>
              <w:rPr>
                <w:rFonts w:ascii="仿宋" w:hAnsi="仿宋" w:eastAsia="仿宋"/>
                <w:szCs w:val="21"/>
              </w:rPr>
              <w:t>环境功能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restart"/>
            <w:vAlign w:val="center"/>
          </w:tcPr>
          <w:p>
            <w:pPr>
              <w:spacing w:line="280" w:lineRule="exact"/>
              <w:jc w:val="center"/>
              <w:rPr>
                <w:rFonts w:ascii="仿宋" w:hAnsi="仿宋" w:eastAsia="仿宋"/>
                <w:szCs w:val="21"/>
              </w:rPr>
            </w:pPr>
            <w:r>
              <w:rPr>
                <w:rFonts w:hint="eastAsia" w:ascii="仿宋" w:hAnsi="仿宋" w:eastAsia="仿宋"/>
                <w:szCs w:val="21"/>
              </w:rPr>
              <w:t>大气</w:t>
            </w:r>
            <w:r>
              <w:rPr>
                <w:rFonts w:ascii="仿宋" w:hAnsi="仿宋" w:eastAsia="仿宋"/>
                <w:szCs w:val="21"/>
              </w:rPr>
              <w:t>环境</w:t>
            </w: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唐庄</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E</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80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768</w:t>
            </w:r>
          </w:p>
        </w:tc>
        <w:tc>
          <w:tcPr>
            <w:tcW w:w="1791" w:type="dxa"/>
            <w:vMerge w:val="restart"/>
            <w:vAlign w:val="center"/>
          </w:tcPr>
          <w:p>
            <w:pPr>
              <w:spacing w:line="280" w:lineRule="exact"/>
              <w:jc w:val="center"/>
              <w:rPr>
                <w:rFonts w:ascii="仿宋" w:hAnsi="仿宋" w:eastAsia="仿宋"/>
                <w:szCs w:val="21"/>
              </w:rPr>
            </w:pPr>
            <w:r>
              <w:rPr>
                <w:rFonts w:ascii="仿宋" w:hAnsi="仿宋" w:eastAsia="仿宋"/>
                <w:szCs w:val="21"/>
              </w:rPr>
              <w:t>《环境空气质量标准》（GB3095-2012）二级标准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宋庄</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E</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120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916</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陈家庄</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E</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300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1921</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史巷</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E</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420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2337</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东村</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E</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320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3805</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拓荡村</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E</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30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4245</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上庄</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SE</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40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1522</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金城花园</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SE</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300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1665</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阳光花园</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SE</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1000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1878</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丽锦嘉园</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SE</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1500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1924</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凤凰城</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SE</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4500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2140</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城北小区</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SE</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5000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2190</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丹丽花园</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SE</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5200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2207</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城区小学</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SE</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1000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2218</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丹阳社区</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SE</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2000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2286</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北环小区</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SE</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3000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2290</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博爱医院</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SE</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1000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2433</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亲亲家园</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SE</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1000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2540</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良常小学</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SE</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1000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2568</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春草堂</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SE</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2400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2680</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春风二村</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SE</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3000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2695</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春风新村</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SE</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3200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2701</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文昌花园</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SE</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2200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2730</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矢巷</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SE</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1000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2860</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金坛市人民医院</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SE</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1000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3215</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公园新村</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SE</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2500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3421</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金彩花园</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SE</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2000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3565</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紫金园</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SE</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2200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3584</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金禧园</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SE</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2200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3655</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凯尔尚郡</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SE</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3000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3726</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东方村</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SE</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400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3850</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新安花园</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SE</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500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3952</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城市花园</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SE</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4200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4012</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寺巷村</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SE</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430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4112</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东园小区</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SE</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3000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4216</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焦园村</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SE</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2000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4330</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华园三村</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SE</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3500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4529</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瑶池别墅</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SE</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5000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4580</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金海湾公馆</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SE</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2300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4615</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翠园新村</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SE</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4500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4772</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华城二村</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SE</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3000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4777</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华城新村</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SE</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2300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4820</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华苑公园</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SE</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4300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4911</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景潭花园</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SE</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1000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4975</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金城镇中心幼儿园</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S</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1000</w:t>
            </w:r>
          </w:p>
        </w:tc>
        <w:tc>
          <w:tcPr>
            <w:tcW w:w="1364"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409</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元巷新村</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S</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1000</w:t>
            </w:r>
          </w:p>
        </w:tc>
        <w:tc>
          <w:tcPr>
            <w:tcW w:w="1364"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597</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邮堂庙</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S</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400</w:t>
            </w:r>
          </w:p>
        </w:tc>
        <w:tc>
          <w:tcPr>
            <w:tcW w:w="1364"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1015</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冯庄村</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S</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300</w:t>
            </w:r>
          </w:p>
        </w:tc>
        <w:tc>
          <w:tcPr>
            <w:tcW w:w="1364"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1316</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美地蓝庭</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S</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2000</w:t>
            </w:r>
          </w:p>
        </w:tc>
        <w:tc>
          <w:tcPr>
            <w:tcW w:w="1364"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1799</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园区新村</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S</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2000</w:t>
            </w:r>
          </w:p>
        </w:tc>
        <w:tc>
          <w:tcPr>
            <w:tcW w:w="1364"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2012</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花园西庙村</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S</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3000</w:t>
            </w:r>
          </w:p>
        </w:tc>
        <w:tc>
          <w:tcPr>
            <w:tcW w:w="1364"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2446</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金坛区第二中学</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S</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1000</w:t>
            </w:r>
          </w:p>
        </w:tc>
        <w:tc>
          <w:tcPr>
            <w:tcW w:w="1364"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2693</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文荟苑</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S</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2000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2922</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文化新村</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S</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3500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3286</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范家棚</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S</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1000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3705</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西下坵</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S</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400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4260</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东下坵</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S</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500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4394</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南洲花园</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S</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2000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4846</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元巷小区</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WS</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2000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280</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南墅</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WS</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1000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1520</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长竹梗新村</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WS</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200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2228</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社河头</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WS</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450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2411</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西环新村</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WS</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400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2558</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南西坝头</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WS</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230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3018</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新庄村</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WS</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400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3120</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前时干</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WS</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520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3546</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唐巷</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WS</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40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3896</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南瑶村</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WS</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50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3925</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午干</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WS</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80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4014</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江家村</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WS</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100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4118</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南垫</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WS</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50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4825</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思模村</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WS</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40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5000</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后崔庄</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W</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70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2083</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东大亭</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W</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40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4730</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沈渎桥</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NW</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50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2107</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司马基</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NW</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30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2850</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卜家庄</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NW</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80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3421</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潭头</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NW</w:t>
            </w:r>
          </w:p>
        </w:tc>
        <w:tc>
          <w:tcPr>
            <w:tcW w:w="1355" w:type="dxa"/>
            <w:gridSpan w:val="2"/>
            <w:vAlign w:val="center"/>
          </w:tcPr>
          <w:p>
            <w:pPr>
              <w:widowControl/>
              <w:autoSpaceDE w:val="0"/>
              <w:autoSpaceDN w:val="0"/>
              <w:adjustRightInd w:val="0"/>
              <w:snapToGrid w:val="0"/>
              <w:jc w:val="center"/>
              <w:rPr>
                <w:rFonts w:ascii="仿宋" w:hAnsi="仿宋" w:eastAsia="仿宋"/>
                <w:szCs w:val="21"/>
              </w:rPr>
            </w:pPr>
            <w:r>
              <w:rPr>
                <w:rFonts w:hint="eastAsia" w:ascii="仿宋" w:hAnsi="仿宋" w:eastAsia="仿宋"/>
                <w:bCs/>
                <w:szCs w:val="21"/>
              </w:rPr>
              <w:t>90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4224</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南圩</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N</w:t>
            </w:r>
          </w:p>
        </w:tc>
        <w:tc>
          <w:tcPr>
            <w:tcW w:w="1355" w:type="dxa"/>
            <w:gridSpan w:val="2"/>
            <w:vAlign w:val="center"/>
          </w:tcPr>
          <w:p>
            <w:pPr>
              <w:spacing w:line="240" w:lineRule="exact"/>
              <w:jc w:val="center"/>
              <w:rPr>
                <w:rFonts w:ascii="仿宋" w:hAnsi="仿宋" w:eastAsia="仿宋"/>
                <w:szCs w:val="21"/>
              </w:rPr>
            </w:pPr>
            <w:r>
              <w:rPr>
                <w:rFonts w:hint="eastAsia" w:ascii="仿宋" w:hAnsi="仿宋" w:eastAsia="仿宋" w:cs="仿宋"/>
                <w:bCs/>
                <w:szCs w:val="21"/>
              </w:rPr>
              <w:t>80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2268</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陈家棚</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N</w:t>
            </w:r>
          </w:p>
        </w:tc>
        <w:tc>
          <w:tcPr>
            <w:tcW w:w="1355" w:type="dxa"/>
            <w:gridSpan w:val="2"/>
            <w:vAlign w:val="center"/>
          </w:tcPr>
          <w:p>
            <w:pPr>
              <w:spacing w:line="240" w:lineRule="exact"/>
              <w:jc w:val="center"/>
              <w:rPr>
                <w:rFonts w:ascii="仿宋" w:hAnsi="仿宋" w:eastAsia="仿宋"/>
                <w:szCs w:val="21"/>
              </w:rPr>
            </w:pPr>
            <w:r>
              <w:rPr>
                <w:rFonts w:hint="eastAsia" w:ascii="仿宋" w:hAnsi="仿宋" w:eastAsia="仿宋" w:cs="仿宋"/>
                <w:bCs/>
                <w:szCs w:val="21"/>
              </w:rPr>
              <w:t>50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2995</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后管庄</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N</w:t>
            </w:r>
          </w:p>
        </w:tc>
        <w:tc>
          <w:tcPr>
            <w:tcW w:w="1355" w:type="dxa"/>
            <w:gridSpan w:val="2"/>
            <w:vAlign w:val="center"/>
          </w:tcPr>
          <w:p>
            <w:pPr>
              <w:spacing w:line="240" w:lineRule="exact"/>
              <w:jc w:val="center"/>
              <w:rPr>
                <w:rFonts w:ascii="仿宋" w:hAnsi="仿宋" w:eastAsia="仿宋"/>
                <w:szCs w:val="21"/>
              </w:rPr>
            </w:pPr>
            <w:r>
              <w:rPr>
                <w:rFonts w:hint="eastAsia" w:ascii="仿宋" w:hAnsi="仿宋" w:eastAsia="仿宋" w:cs="仿宋"/>
                <w:bCs/>
                <w:szCs w:val="21"/>
              </w:rPr>
              <w:t>30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3461</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南庄</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NE</w:t>
            </w:r>
          </w:p>
        </w:tc>
        <w:tc>
          <w:tcPr>
            <w:tcW w:w="1355" w:type="dxa"/>
            <w:gridSpan w:val="2"/>
            <w:vAlign w:val="center"/>
          </w:tcPr>
          <w:p>
            <w:pPr>
              <w:spacing w:line="240" w:lineRule="exact"/>
              <w:jc w:val="center"/>
              <w:rPr>
                <w:rFonts w:ascii="仿宋" w:hAnsi="仿宋" w:eastAsia="仿宋"/>
                <w:szCs w:val="21"/>
              </w:rPr>
            </w:pPr>
            <w:r>
              <w:rPr>
                <w:rFonts w:hint="eastAsia" w:ascii="仿宋" w:hAnsi="仿宋" w:eastAsia="仿宋" w:cs="仿宋"/>
                <w:bCs/>
                <w:szCs w:val="21"/>
              </w:rPr>
              <w:t>50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3060</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中巷</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NE</w:t>
            </w:r>
          </w:p>
        </w:tc>
        <w:tc>
          <w:tcPr>
            <w:tcW w:w="1355" w:type="dxa"/>
            <w:gridSpan w:val="2"/>
            <w:vAlign w:val="center"/>
          </w:tcPr>
          <w:p>
            <w:pPr>
              <w:spacing w:line="240" w:lineRule="exact"/>
              <w:jc w:val="center"/>
              <w:rPr>
                <w:rFonts w:ascii="仿宋" w:hAnsi="仿宋" w:eastAsia="仿宋"/>
                <w:szCs w:val="21"/>
              </w:rPr>
            </w:pPr>
            <w:r>
              <w:rPr>
                <w:rFonts w:hint="eastAsia" w:ascii="仿宋" w:hAnsi="仿宋" w:eastAsia="仿宋" w:cs="仿宋"/>
                <w:bCs/>
                <w:szCs w:val="21"/>
              </w:rPr>
              <w:t>60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3659</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后村</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NE</w:t>
            </w:r>
          </w:p>
        </w:tc>
        <w:tc>
          <w:tcPr>
            <w:tcW w:w="1355" w:type="dxa"/>
            <w:gridSpan w:val="2"/>
            <w:vAlign w:val="center"/>
          </w:tcPr>
          <w:p>
            <w:pPr>
              <w:spacing w:line="240" w:lineRule="exact"/>
              <w:jc w:val="center"/>
              <w:rPr>
                <w:rFonts w:ascii="仿宋" w:hAnsi="仿宋" w:eastAsia="仿宋"/>
                <w:szCs w:val="21"/>
              </w:rPr>
            </w:pPr>
            <w:r>
              <w:rPr>
                <w:rFonts w:hint="eastAsia" w:ascii="仿宋" w:hAnsi="仿宋" w:eastAsia="仿宋" w:cs="仿宋"/>
                <w:bCs/>
                <w:szCs w:val="21"/>
              </w:rPr>
              <w:t>50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4015</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37" w:type="dxa"/>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大郑庄</w:t>
            </w:r>
          </w:p>
        </w:tc>
        <w:tc>
          <w:tcPr>
            <w:tcW w:w="1337" w:type="dxa"/>
            <w:gridSpan w:val="2"/>
            <w:vAlign w:val="center"/>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NE</w:t>
            </w:r>
          </w:p>
        </w:tc>
        <w:tc>
          <w:tcPr>
            <w:tcW w:w="1355" w:type="dxa"/>
            <w:gridSpan w:val="2"/>
            <w:vAlign w:val="center"/>
          </w:tcPr>
          <w:p>
            <w:pPr>
              <w:spacing w:line="240" w:lineRule="exact"/>
              <w:jc w:val="center"/>
              <w:rPr>
                <w:rFonts w:ascii="仿宋" w:hAnsi="仿宋" w:eastAsia="仿宋"/>
                <w:szCs w:val="21"/>
              </w:rPr>
            </w:pPr>
            <w:r>
              <w:rPr>
                <w:rFonts w:hint="eastAsia" w:ascii="仿宋" w:hAnsi="仿宋" w:eastAsia="仿宋" w:cs="仿宋"/>
                <w:bCs/>
                <w:szCs w:val="21"/>
              </w:rPr>
              <w:t>80</w:t>
            </w:r>
          </w:p>
        </w:tc>
        <w:tc>
          <w:tcPr>
            <w:tcW w:w="1364" w:type="dxa"/>
            <w:gridSpan w:val="2"/>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4618</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5393" w:type="dxa"/>
            <w:gridSpan w:val="7"/>
            <w:vAlign w:val="center"/>
          </w:tcPr>
          <w:p>
            <w:pPr>
              <w:adjustRightInd w:val="0"/>
              <w:snapToGrid w:val="0"/>
              <w:jc w:val="center"/>
              <w:rPr>
                <w:rFonts w:ascii="仿宋" w:hAnsi="仿宋" w:eastAsia="仿宋"/>
                <w:szCs w:val="21"/>
              </w:rPr>
            </w:pPr>
            <w:r>
              <w:rPr>
                <w:rFonts w:hint="eastAsia" w:ascii="仿宋" w:hAnsi="仿宋" w:eastAsia="仿宋"/>
                <w:szCs w:val="21"/>
              </w:rPr>
              <w:t>厂址周边500m范围内人口数小计</w:t>
            </w:r>
          </w:p>
        </w:tc>
        <w:tc>
          <w:tcPr>
            <w:tcW w:w="1791" w:type="dxa"/>
            <w:vAlign w:val="center"/>
          </w:tcPr>
          <w:p>
            <w:pPr>
              <w:spacing w:line="280" w:lineRule="exact"/>
              <w:jc w:val="center"/>
              <w:rPr>
                <w:rFonts w:ascii="仿宋" w:hAnsi="仿宋" w:eastAsia="仿宋"/>
                <w:szCs w:val="21"/>
              </w:rPr>
            </w:pPr>
            <w:r>
              <w:rPr>
                <w:rFonts w:hint="eastAsia" w:ascii="仿宋" w:hAnsi="仿宋" w:eastAsia="仿宋"/>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5393" w:type="dxa"/>
            <w:gridSpan w:val="7"/>
            <w:vAlign w:val="center"/>
          </w:tcPr>
          <w:p>
            <w:pPr>
              <w:adjustRightInd w:val="0"/>
              <w:snapToGrid w:val="0"/>
              <w:jc w:val="center"/>
              <w:rPr>
                <w:rFonts w:ascii="仿宋" w:hAnsi="仿宋" w:eastAsia="仿宋"/>
                <w:szCs w:val="21"/>
              </w:rPr>
            </w:pPr>
            <w:r>
              <w:rPr>
                <w:rFonts w:hint="eastAsia" w:ascii="仿宋" w:hAnsi="仿宋" w:eastAsia="仿宋"/>
                <w:szCs w:val="21"/>
              </w:rPr>
              <w:t>厂址周边5km范围内人口数小计</w:t>
            </w:r>
          </w:p>
        </w:tc>
        <w:tc>
          <w:tcPr>
            <w:tcW w:w="1791" w:type="dxa"/>
            <w:vAlign w:val="center"/>
          </w:tcPr>
          <w:p>
            <w:pPr>
              <w:spacing w:line="280" w:lineRule="exact"/>
              <w:jc w:val="center"/>
              <w:rPr>
                <w:rFonts w:ascii="仿宋" w:hAnsi="仿宋" w:eastAsia="仿宋"/>
                <w:szCs w:val="21"/>
              </w:rPr>
            </w:pPr>
            <w:r>
              <w:rPr>
                <w:rFonts w:hint="eastAsia" w:ascii="仿宋" w:hAnsi="仿宋" w:eastAsia="仿宋"/>
                <w:szCs w:val="21"/>
              </w:rPr>
              <w:t>115360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restart"/>
            <w:vAlign w:val="center"/>
          </w:tcPr>
          <w:p>
            <w:pPr>
              <w:spacing w:line="280" w:lineRule="exact"/>
              <w:jc w:val="center"/>
              <w:rPr>
                <w:rFonts w:ascii="仿宋" w:hAnsi="仿宋" w:eastAsia="仿宋"/>
                <w:szCs w:val="21"/>
              </w:rPr>
            </w:pPr>
            <w:r>
              <w:rPr>
                <w:rFonts w:hint="eastAsia" w:ascii="仿宋" w:hAnsi="仿宋" w:eastAsia="仿宋"/>
                <w:szCs w:val="21"/>
              </w:rPr>
              <w:t>地表水</w:t>
            </w:r>
            <w:r>
              <w:rPr>
                <w:rFonts w:ascii="仿宋" w:hAnsi="仿宋" w:eastAsia="仿宋"/>
                <w:szCs w:val="21"/>
              </w:rPr>
              <w:t>环境</w:t>
            </w:r>
          </w:p>
        </w:tc>
        <w:tc>
          <w:tcPr>
            <w:tcW w:w="1348" w:type="dxa"/>
            <w:gridSpan w:val="2"/>
            <w:vAlign w:val="center"/>
          </w:tcPr>
          <w:p>
            <w:pPr>
              <w:widowControl/>
              <w:autoSpaceDE w:val="0"/>
              <w:autoSpaceDN w:val="0"/>
              <w:adjustRightInd w:val="0"/>
              <w:snapToGrid w:val="0"/>
              <w:jc w:val="center"/>
              <w:rPr>
                <w:rFonts w:ascii="仿宋" w:hAnsi="仿宋" w:eastAsia="仿宋" w:cs="仿宋"/>
                <w:bCs/>
                <w:szCs w:val="21"/>
              </w:rPr>
            </w:pPr>
            <w:r>
              <w:rPr>
                <w:rFonts w:ascii="仿宋" w:hAnsi="仿宋" w:eastAsia="仿宋"/>
                <w:bCs/>
                <w:szCs w:val="21"/>
              </w:rPr>
              <w:t>丹金溧漕河</w:t>
            </w:r>
          </w:p>
        </w:tc>
        <w:tc>
          <w:tcPr>
            <w:tcW w:w="1348" w:type="dxa"/>
            <w:gridSpan w:val="2"/>
            <w:vAlign w:val="center"/>
          </w:tcPr>
          <w:p>
            <w:pPr>
              <w:pStyle w:val="124"/>
              <w:spacing w:line="240" w:lineRule="exact"/>
              <w:rPr>
                <w:rFonts w:ascii="仿宋" w:hAnsi="仿宋" w:eastAsia="仿宋" w:cs="仿宋"/>
                <w:bCs/>
                <w:szCs w:val="21"/>
              </w:rPr>
            </w:pPr>
            <w:r>
              <w:rPr>
                <w:rFonts w:hint="eastAsia" w:ascii="仿宋" w:hAnsi="仿宋" w:eastAsia="仿宋" w:cs="仿宋"/>
                <w:bCs/>
                <w:szCs w:val="21"/>
              </w:rPr>
              <w:t>W</w:t>
            </w:r>
          </w:p>
        </w:tc>
        <w:tc>
          <w:tcPr>
            <w:tcW w:w="1348" w:type="dxa"/>
            <w:gridSpan w:val="2"/>
            <w:vAlign w:val="center"/>
          </w:tcPr>
          <w:p>
            <w:pPr>
              <w:adjustRightInd w:val="0"/>
              <w:snapToGrid w:val="0"/>
              <w:spacing w:line="280" w:lineRule="exact"/>
              <w:jc w:val="center"/>
              <w:rPr>
                <w:rFonts w:ascii="仿宋" w:hAnsi="仿宋" w:eastAsia="仿宋"/>
                <w:szCs w:val="21"/>
              </w:rPr>
            </w:pPr>
            <w:r>
              <w:rPr>
                <w:rFonts w:hint="eastAsia" w:ascii="仿宋" w:hAnsi="仿宋" w:eastAsia="仿宋"/>
                <w:szCs w:val="21"/>
              </w:rPr>
              <w:t>/</w:t>
            </w:r>
          </w:p>
        </w:tc>
        <w:tc>
          <w:tcPr>
            <w:tcW w:w="1349" w:type="dxa"/>
            <w:vAlign w:val="center"/>
          </w:tcPr>
          <w:p>
            <w:pPr>
              <w:widowControl/>
              <w:jc w:val="center"/>
              <w:rPr>
                <w:rFonts w:ascii="仿宋" w:hAnsi="仿宋" w:eastAsia="仿宋" w:cs="仿宋"/>
                <w:bCs/>
                <w:szCs w:val="21"/>
              </w:rPr>
            </w:pPr>
            <w:r>
              <w:rPr>
                <w:rFonts w:ascii="仿宋" w:hAnsi="仿宋" w:eastAsia="仿宋"/>
                <w:bCs/>
                <w:szCs w:val="21"/>
              </w:rPr>
              <w:t>1880</w:t>
            </w:r>
          </w:p>
        </w:tc>
        <w:tc>
          <w:tcPr>
            <w:tcW w:w="1791" w:type="dxa"/>
            <w:vMerge w:val="restart"/>
            <w:vAlign w:val="center"/>
          </w:tcPr>
          <w:p>
            <w:pPr>
              <w:spacing w:line="280" w:lineRule="exact"/>
              <w:jc w:val="center"/>
              <w:rPr>
                <w:rFonts w:ascii="仿宋" w:hAnsi="仿宋" w:eastAsia="仿宋"/>
                <w:szCs w:val="21"/>
              </w:rPr>
            </w:pPr>
            <w:r>
              <w:rPr>
                <w:rFonts w:ascii="仿宋" w:hAnsi="仿宋" w:eastAsia="仿宋"/>
                <w:szCs w:val="21"/>
              </w:rPr>
              <w:t>《地表水环境质量标准》（GB3838-2002）中</w:t>
            </w:r>
            <w:r>
              <w:rPr>
                <w:rFonts w:hint="eastAsia" w:ascii="仿宋" w:hAnsi="仿宋" w:eastAsia="仿宋" w:cs="宋体"/>
                <w:bCs/>
                <w:szCs w:val="21"/>
              </w:rPr>
              <w:t>Ⅲ</w:t>
            </w:r>
            <w:r>
              <w:rPr>
                <w:rFonts w:ascii="仿宋" w:hAnsi="仿宋" w:eastAsia="仿宋"/>
                <w:szCs w:val="21"/>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48" w:type="dxa"/>
            <w:gridSpan w:val="2"/>
            <w:vAlign w:val="center"/>
          </w:tcPr>
          <w:p>
            <w:pPr>
              <w:widowControl/>
              <w:autoSpaceDE w:val="0"/>
              <w:autoSpaceDN w:val="0"/>
              <w:adjustRightInd w:val="0"/>
              <w:snapToGrid w:val="0"/>
              <w:jc w:val="center"/>
              <w:rPr>
                <w:rFonts w:ascii="仿宋" w:hAnsi="仿宋" w:eastAsia="仿宋" w:cs="仿宋"/>
                <w:bCs/>
                <w:szCs w:val="21"/>
              </w:rPr>
            </w:pPr>
            <w:r>
              <w:rPr>
                <w:rFonts w:ascii="仿宋" w:hAnsi="仿宋" w:eastAsia="仿宋"/>
                <w:bCs/>
                <w:szCs w:val="21"/>
              </w:rPr>
              <w:t>尧塘河</w:t>
            </w:r>
          </w:p>
        </w:tc>
        <w:tc>
          <w:tcPr>
            <w:tcW w:w="1348" w:type="dxa"/>
            <w:gridSpan w:val="2"/>
            <w:vAlign w:val="center"/>
          </w:tcPr>
          <w:p>
            <w:pPr>
              <w:pStyle w:val="124"/>
              <w:spacing w:line="240" w:lineRule="exact"/>
              <w:rPr>
                <w:rFonts w:ascii="仿宋" w:hAnsi="仿宋" w:eastAsia="仿宋" w:cs="仿宋"/>
                <w:bCs/>
                <w:szCs w:val="21"/>
              </w:rPr>
            </w:pPr>
            <w:r>
              <w:rPr>
                <w:rFonts w:hint="eastAsia" w:ascii="仿宋" w:hAnsi="仿宋" w:eastAsia="仿宋" w:cs="仿宋"/>
                <w:bCs/>
                <w:szCs w:val="21"/>
              </w:rPr>
              <w:t>SE</w:t>
            </w:r>
          </w:p>
        </w:tc>
        <w:tc>
          <w:tcPr>
            <w:tcW w:w="1348" w:type="dxa"/>
            <w:gridSpan w:val="2"/>
            <w:vAlign w:val="center"/>
          </w:tcPr>
          <w:p>
            <w:pPr>
              <w:adjustRightInd w:val="0"/>
              <w:snapToGrid w:val="0"/>
              <w:spacing w:line="280" w:lineRule="exact"/>
              <w:jc w:val="center"/>
              <w:rPr>
                <w:rFonts w:ascii="仿宋" w:hAnsi="仿宋" w:eastAsia="仿宋"/>
                <w:szCs w:val="21"/>
              </w:rPr>
            </w:pPr>
            <w:r>
              <w:rPr>
                <w:rFonts w:hint="eastAsia" w:ascii="仿宋" w:hAnsi="仿宋" w:eastAsia="仿宋"/>
                <w:szCs w:val="21"/>
              </w:rPr>
              <w:t>/</w:t>
            </w:r>
          </w:p>
        </w:tc>
        <w:tc>
          <w:tcPr>
            <w:tcW w:w="1349" w:type="dxa"/>
            <w:vAlign w:val="center"/>
          </w:tcPr>
          <w:p>
            <w:pPr>
              <w:widowControl/>
              <w:jc w:val="center"/>
              <w:rPr>
                <w:rFonts w:ascii="仿宋" w:hAnsi="仿宋" w:eastAsia="仿宋" w:cs="仿宋"/>
                <w:bCs/>
                <w:szCs w:val="21"/>
              </w:rPr>
            </w:pPr>
            <w:r>
              <w:rPr>
                <w:rFonts w:ascii="仿宋" w:hAnsi="仿宋" w:eastAsia="仿宋"/>
                <w:bCs/>
                <w:szCs w:val="21"/>
              </w:rPr>
              <w:t>2700</w:t>
            </w:r>
          </w:p>
        </w:tc>
        <w:tc>
          <w:tcPr>
            <w:tcW w:w="1791" w:type="dxa"/>
            <w:vMerge w:val="continue"/>
            <w:vAlign w:val="center"/>
          </w:tcPr>
          <w:p>
            <w:pPr>
              <w:spacing w:line="280" w:lineRule="exact"/>
              <w:jc w:val="center"/>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5393" w:type="dxa"/>
            <w:gridSpan w:val="7"/>
            <w:vAlign w:val="center"/>
          </w:tcPr>
          <w:p>
            <w:pPr>
              <w:spacing w:line="280" w:lineRule="exact"/>
              <w:jc w:val="center"/>
              <w:rPr>
                <w:rFonts w:ascii="仿宋" w:hAnsi="仿宋" w:eastAsia="仿宋"/>
                <w:szCs w:val="21"/>
              </w:rPr>
            </w:pPr>
            <w:r>
              <w:rPr>
                <w:rFonts w:hint="eastAsia" w:ascii="仿宋" w:hAnsi="仿宋" w:eastAsia="仿宋"/>
                <w:szCs w:val="21"/>
              </w:rPr>
              <w:t>地表水</w:t>
            </w:r>
            <w:r>
              <w:rPr>
                <w:rFonts w:ascii="仿宋" w:hAnsi="仿宋" w:eastAsia="仿宋"/>
                <w:szCs w:val="21"/>
              </w:rPr>
              <w:t>环境</w:t>
            </w:r>
            <w:r>
              <w:rPr>
                <w:rFonts w:hint="eastAsia" w:ascii="仿宋" w:hAnsi="仿宋" w:eastAsia="仿宋"/>
                <w:szCs w:val="21"/>
              </w:rPr>
              <w:t>敏感</w:t>
            </w:r>
            <w:r>
              <w:rPr>
                <w:rFonts w:ascii="仿宋" w:hAnsi="仿宋" w:eastAsia="仿宋"/>
                <w:szCs w:val="21"/>
              </w:rPr>
              <w:t>程度</w:t>
            </w:r>
            <w:r>
              <w:rPr>
                <w:rFonts w:hint="eastAsia" w:ascii="仿宋" w:hAnsi="仿宋" w:eastAsia="仿宋"/>
                <w:szCs w:val="21"/>
              </w:rPr>
              <w:t>E值</w:t>
            </w:r>
          </w:p>
        </w:tc>
        <w:tc>
          <w:tcPr>
            <w:tcW w:w="1791" w:type="dxa"/>
            <w:vAlign w:val="center"/>
          </w:tcPr>
          <w:p>
            <w:pPr>
              <w:spacing w:line="280" w:lineRule="exact"/>
              <w:jc w:val="center"/>
              <w:rPr>
                <w:rFonts w:ascii="仿宋" w:hAnsi="仿宋" w:eastAsia="仿宋"/>
                <w:szCs w:val="21"/>
              </w:rPr>
            </w:pPr>
            <w:r>
              <w:rPr>
                <w:rFonts w:ascii="仿宋" w:hAnsi="仿宋" w:eastAsia="仿宋"/>
                <w:szCs w:val="21"/>
              </w:rPr>
              <w:t>E2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restart"/>
            <w:vAlign w:val="center"/>
          </w:tcPr>
          <w:p>
            <w:pPr>
              <w:spacing w:line="280" w:lineRule="exact"/>
              <w:jc w:val="center"/>
              <w:rPr>
                <w:rFonts w:ascii="仿宋" w:hAnsi="仿宋" w:eastAsia="仿宋"/>
                <w:szCs w:val="21"/>
              </w:rPr>
            </w:pPr>
            <w:r>
              <w:rPr>
                <w:rFonts w:hint="eastAsia" w:ascii="仿宋" w:hAnsi="仿宋" w:eastAsia="仿宋"/>
                <w:szCs w:val="21"/>
              </w:rPr>
              <w:t>地下水环境</w:t>
            </w:r>
          </w:p>
        </w:tc>
        <w:tc>
          <w:tcPr>
            <w:tcW w:w="1348" w:type="dxa"/>
            <w:gridSpan w:val="2"/>
            <w:vAlign w:val="center"/>
          </w:tcPr>
          <w:p>
            <w:pPr>
              <w:adjustRightInd w:val="0"/>
              <w:snapToGrid w:val="0"/>
              <w:jc w:val="center"/>
              <w:rPr>
                <w:rFonts w:ascii="仿宋" w:hAnsi="仿宋" w:eastAsia="仿宋"/>
                <w:szCs w:val="21"/>
              </w:rPr>
            </w:pPr>
            <w:r>
              <w:rPr>
                <w:rFonts w:ascii="仿宋" w:hAnsi="仿宋" w:eastAsia="仿宋"/>
                <w:szCs w:val="21"/>
              </w:rPr>
              <w:t>序号</w:t>
            </w:r>
          </w:p>
        </w:tc>
        <w:tc>
          <w:tcPr>
            <w:tcW w:w="1348" w:type="dxa"/>
            <w:gridSpan w:val="2"/>
            <w:vAlign w:val="center"/>
          </w:tcPr>
          <w:p>
            <w:pPr>
              <w:adjustRightInd w:val="0"/>
              <w:snapToGrid w:val="0"/>
              <w:jc w:val="center"/>
              <w:rPr>
                <w:rFonts w:ascii="仿宋" w:hAnsi="仿宋" w:eastAsia="仿宋"/>
                <w:szCs w:val="21"/>
              </w:rPr>
            </w:pPr>
            <w:r>
              <w:rPr>
                <w:rFonts w:ascii="仿宋" w:hAnsi="仿宋" w:eastAsia="仿宋"/>
                <w:szCs w:val="21"/>
              </w:rPr>
              <w:t>环境敏感区名称</w:t>
            </w:r>
          </w:p>
        </w:tc>
        <w:tc>
          <w:tcPr>
            <w:tcW w:w="1348" w:type="dxa"/>
            <w:gridSpan w:val="2"/>
            <w:vAlign w:val="center"/>
          </w:tcPr>
          <w:p>
            <w:pPr>
              <w:adjustRightInd w:val="0"/>
              <w:snapToGrid w:val="0"/>
              <w:jc w:val="center"/>
              <w:rPr>
                <w:rFonts w:ascii="仿宋" w:hAnsi="仿宋" w:eastAsia="仿宋"/>
                <w:szCs w:val="21"/>
              </w:rPr>
            </w:pPr>
            <w:r>
              <w:rPr>
                <w:rFonts w:ascii="仿宋" w:hAnsi="仿宋" w:eastAsia="仿宋"/>
                <w:szCs w:val="21"/>
              </w:rPr>
              <w:t>环境敏感特征</w:t>
            </w:r>
          </w:p>
        </w:tc>
        <w:tc>
          <w:tcPr>
            <w:tcW w:w="1349" w:type="dxa"/>
            <w:vAlign w:val="center"/>
          </w:tcPr>
          <w:p>
            <w:pPr>
              <w:adjustRightInd w:val="0"/>
              <w:snapToGrid w:val="0"/>
              <w:jc w:val="center"/>
              <w:rPr>
                <w:rFonts w:ascii="仿宋" w:hAnsi="仿宋" w:eastAsia="仿宋"/>
                <w:szCs w:val="21"/>
              </w:rPr>
            </w:pPr>
            <w:r>
              <w:rPr>
                <w:rFonts w:ascii="仿宋" w:hAnsi="仿宋" w:eastAsia="仿宋"/>
                <w:szCs w:val="21"/>
              </w:rPr>
              <w:t>水质目标</w:t>
            </w:r>
          </w:p>
        </w:tc>
        <w:tc>
          <w:tcPr>
            <w:tcW w:w="1791" w:type="dxa"/>
            <w:vAlign w:val="center"/>
          </w:tcPr>
          <w:p>
            <w:pPr>
              <w:adjustRightInd w:val="0"/>
              <w:snapToGrid w:val="0"/>
              <w:jc w:val="center"/>
              <w:rPr>
                <w:rFonts w:ascii="仿宋" w:hAnsi="仿宋" w:eastAsia="仿宋"/>
                <w:szCs w:val="21"/>
              </w:rPr>
            </w:pPr>
            <w:r>
              <w:rPr>
                <w:rFonts w:ascii="仿宋" w:hAnsi="仿宋" w:eastAsia="仿宋"/>
                <w:szCs w:val="21"/>
              </w:rPr>
              <w:t>包气带防污性能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1348" w:type="dxa"/>
            <w:gridSpan w:val="2"/>
            <w:vAlign w:val="center"/>
          </w:tcPr>
          <w:p>
            <w:pPr>
              <w:adjustRightInd w:val="0"/>
              <w:snapToGrid w:val="0"/>
              <w:jc w:val="center"/>
              <w:rPr>
                <w:rFonts w:ascii="仿宋" w:hAnsi="仿宋" w:eastAsia="仿宋"/>
                <w:szCs w:val="21"/>
              </w:rPr>
            </w:pPr>
            <w:r>
              <w:rPr>
                <w:rFonts w:hint="eastAsia" w:ascii="仿宋" w:hAnsi="仿宋" w:eastAsia="仿宋"/>
                <w:szCs w:val="21"/>
              </w:rPr>
              <w:t>1</w:t>
            </w:r>
          </w:p>
        </w:tc>
        <w:tc>
          <w:tcPr>
            <w:tcW w:w="1348" w:type="dxa"/>
            <w:gridSpan w:val="2"/>
            <w:vAlign w:val="center"/>
          </w:tcPr>
          <w:p>
            <w:pPr>
              <w:adjustRightInd w:val="0"/>
              <w:snapToGrid w:val="0"/>
              <w:jc w:val="center"/>
              <w:rPr>
                <w:rFonts w:ascii="仿宋" w:hAnsi="仿宋" w:eastAsia="仿宋"/>
                <w:szCs w:val="21"/>
              </w:rPr>
            </w:pPr>
            <w:r>
              <w:rPr>
                <w:rFonts w:ascii="仿宋" w:hAnsi="仿宋" w:eastAsia="仿宋"/>
                <w:szCs w:val="21"/>
              </w:rPr>
              <w:t>周边6km</w:t>
            </w:r>
            <w:r>
              <w:rPr>
                <w:rFonts w:ascii="仿宋" w:hAnsi="仿宋" w:eastAsia="仿宋"/>
                <w:szCs w:val="21"/>
                <w:vertAlign w:val="superscript"/>
              </w:rPr>
              <w:t>2</w:t>
            </w:r>
            <w:r>
              <w:rPr>
                <w:rFonts w:ascii="仿宋" w:hAnsi="仿宋" w:eastAsia="仿宋"/>
                <w:szCs w:val="21"/>
              </w:rPr>
              <w:t>范围地下水潜水含水层</w:t>
            </w:r>
          </w:p>
        </w:tc>
        <w:tc>
          <w:tcPr>
            <w:tcW w:w="1348" w:type="dxa"/>
            <w:gridSpan w:val="2"/>
            <w:vAlign w:val="center"/>
          </w:tcPr>
          <w:p>
            <w:pPr>
              <w:adjustRightInd w:val="0"/>
              <w:snapToGrid w:val="0"/>
              <w:jc w:val="center"/>
              <w:rPr>
                <w:rFonts w:ascii="仿宋" w:hAnsi="仿宋" w:eastAsia="仿宋"/>
                <w:szCs w:val="21"/>
              </w:rPr>
            </w:pPr>
            <w:r>
              <w:rPr>
                <w:rFonts w:hint="eastAsia" w:ascii="仿宋" w:hAnsi="仿宋" w:eastAsia="仿宋"/>
                <w:szCs w:val="21"/>
              </w:rPr>
              <w:t>不敏感</w:t>
            </w:r>
          </w:p>
        </w:tc>
        <w:tc>
          <w:tcPr>
            <w:tcW w:w="1349" w:type="dxa"/>
            <w:vAlign w:val="center"/>
          </w:tcPr>
          <w:p>
            <w:pPr>
              <w:adjustRightInd w:val="0"/>
              <w:snapToGrid w:val="0"/>
              <w:jc w:val="center"/>
              <w:rPr>
                <w:rFonts w:ascii="仿宋" w:hAnsi="仿宋" w:eastAsia="仿宋"/>
                <w:szCs w:val="21"/>
              </w:rPr>
            </w:pPr>
            <w:r>
              <w:rPr>
                <w:rFonts w:hint="eastAsia" w:ascii="仿宋" w:hAnsi="仿宋" w:eastAsia="仿宋"/>
                <w:szCs w:val="21"/>
              </w:rPr>
              <w:t>/</w:t>
            </w:r>
          </w:p>
        </w:tc>
        <w:tc>
          <w:tcPr>
            <w:tcW w:w="1791" w:type="dxa"/>
            <w:vAlign w:val="center"/>
          </w:tcPr>
          <w:p>
            <w:pPr>
              <w:adjustRightInd w:val="0"/>
              <w:snapToGrid w:val="0"/>
              <w:jc w:val="center"/>
              <w:rPr>
                <w:rFonts w:ascii="仿宋" w:hAnsi="仿宋" w:eastAsia="仿宋"/>
                <w:szCs w:val="21"/>
              </w:rPr>
            </w:pPr>
            <w:r>
              <w:rPr>
                <w:rFonts w:hint="eastAsia" w:ascii="仿宋" w:hAnsi="仿宋" w:eastAsia="仿宋"/>
                <w:szCs w:val="21"/>
              </w:rPr>
              <w:t>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pPr>
              <w:spacing w:line="280" w:lineRule="exact"/>
              <w:jc w:val="center"/>
              <w:rPr>
                <w:rFonts w:ascii="仿宋" w:hAnsi="仿宋" w:eastAsia="仿宋"/>
                <w:szCs w:val="21"/>
              </w:rPr>
            </w:pPr>
          </w:p>
        </w:tc>
        <w:tc>
          <w:tcPr>
            <w:tcW w:w="5393" w:type="dxa"/>
            <w:gridSpan w:val="7"/>
            <w:vAlign w:val="center"/>
          </w:tcPr>
          <w:p>
            <w:pPr>
              <w:adjustRightInd w:val="0"/>
              <w:snapToGrid w:val="0"/>
              <w:jc w:val="center"/>
              <w:rPr>
                <w:rFonts w:ascii="仿宋" w:hAnsi="仿宋" w:eastAsia="仿宋"/>
                <w:szCs w:val="21"/>
              </w:rPr>
            </w:pPr>
            <w:r>
              <w:rPr>
                <w:rFonts w:hint="eastAsia" w:ascii="仿宋" w:hAnsi="仿宋" w:eastAsia="仿宋"/>
                <w:szCs w:val="21"/>
              </w:rPr>
              <w:t>地下水环境敏感程度 E值</w:t>
            </w:r>
          </w:p>
        </w:tc>
        <w:tc>
          <w:tcPr>
            <w:tcW w:w="1791" w:type="dxa"/>
            <w:vAlign w:val="center"/>
          </w:tcPr>
          <w:p>
            <w:pPr>
              <w:adjustRightInd w:val="0"/>
              <w:snapToGrid w:val="0"/>
              <w:jc w:val="center"/>
              <w:rPr>
                <w:rFonts w:ascii="仿宋" w:hAnsi="仿宋" w:eastAsia="仿宋"/>
                <w:szCs w:val="21"/>
              </w:rPr>
            </w:pPr>
            <w:r>
              <w:rPr>
                <w:rFonts w:hint="eastAsia" w:ascii="仿宋" w:hAnsi="仿宋" w:eastAsia="仿宋"/>
                <w:szCs w:val="21"/>
              </w:rPr>
              <w:t>E3</w:t>
            </w:r>
          </w:p>
        </w:tc>
      </w:tr>
    </w:tbl>
    <w:p>
      <w:pPr>
        <w:spacing w:line="500" w:lineRule="exact"/>
        <w:ind w:firstLine="562" w:firstLineChars="200"/>
        <w:rPr>
          <w:rFonts w:eastAsia="仿宋_GB2312"/>
          <w:b/>
          <w:sz w:val="28"/>
          <w:szCs w:val="20"/>
        </w:rPr>
      </w:pPr>
      <w:r>
        <w:rPr>
          <w:rFonts w:eastAsia="仿宋_GB2312"/>
          <w:b/>
          <w:sz w:val="28"/>
          <w:szCs w:val="20"/>
        </w:rPr>
        <w:t>三、环境风险潜势划分</w:t>
      </w:r>
    </w:p>
    <w:p>
      <w:pPr>
        <w:adjustRightInd w:val="0"/>
        <w:snapToGrid w:val="0"/>
        <w:spacing w:line="500" w:lineRule="exact"/>
        <w:ind w:firstLine="562" w:firstLineChars="200"/>
        <w:rPr>
          <w:rFonts w:eastAsia="仿宋_GB2312"/>
          <w:b/>
          <w:bCs/>
          <w:sz w:val="28"/>
          <w:szCs w:val="20"/>
        </w:rPr>
      </w:pPr>
      <w:r>
        <w:rPr>
          <w:rFonts w:hint="eastAsia" w:eastAsia="仿宋_GB2312"/>
          <w:b/>
          <w:bCs/>
          <w:sz w:val="28"/>
          <w:szCs w:val="20"/>
        </w:rPr>
        <w:t>1、判定依据</w:t>
      </w:r>
    </w:p>
    <w:p>
      <w:pPr>
        <w:spacing w:line="500" w:lineRule="exact"/>
        <w:ind w:firstLine="560" w:firstLineChars="200"/>
        <w:rPr>
          <w:rFonts w:eastAsia="仿宋_GB2312"/>
          <w:sz w:val="28"/>
          <w:szCs w:val="20"/>
        </w:rPr>
      </w:pPr>
      <w:r>
        <w:rPr>
          <w:rFonts w:eastAsia="仿宋_GB2312"/>
          <w:sz w:val="28"/>
          <w:szCs w:val="20"/>
        </w:rPr>
        <w:t>建设项目环境风险潜势划分为</w:t>
      </w:r>
      <w:r>
        <w:rPr>
          <w:rFonts w:hint="eastAsia" w:eastAsia="仿宋_GB2312"/>
          <w:sz w:val="28"/>
          <w:szCs w:val="20"/>
        </w:rPr>
        <w:t>Ⅰ</w:t>
      </w:r>
      <w:r>
        <w:rPr>
          <w:rFonts w:eastAsia="仿宋_GB2312"/>
          <w:sz w:val="28"/>
          <w:szCs w:val="20"/>
        </w:rPr>
        <w:t>、</w:t>
      </w:r>
      <w:r>
        <w:rPr>
          <w:rFonts w:hint="eastAsia" w:eastAsia="仿宋_GB2312"/>
          <w:sz w:val="28"/>
          <w:szCs w:val="20"/>
        </w:rPr>
        <w:t>Ⅱ</w:t>
      </w:r>
      <w:r>
        <w:rPr>
          <w:rFonts w:eastAsia="仿宋_GB2312"/>
          <w:sz w:val="28"/>
          <w:szCs w:val="20"/>
        </w:rPr>
        <w:t>、</w:t>
      </w:r>
      <w:r>
        <w:rPr>
          <w:rFonts w:hint="eastAsia" w:eastAsia="仿宋_GB2312"/>
          <w:sz w:val="28"/>
          <w:szCs w:val="20"/>
        </w:rPr>
        <w:t>Ⅲ</w:t>
      </w:r>
      <w:r>
        <w:rPr>
          <w:rFonts w:eastAsia="仿宋_GB2312"/>
          <w:sz w:val="28"/>
          <w:szCs w:val="20"/>
        </w:rPr>
        <w:t>、</w:t>
      </w:r>
      <w:r>
        <w:rPr>
          <w:rFonts w:hint="eastAsia" w:eastAsia="仿宋_GB2312"/>
          <w:sz w:val="28"/>
          <w:szCs w:val="20"/>
        </w:rPr>
        <w:t>Ⅳ</w:t>
      </w:r>
      <w:r>
        <w:rPr>
          <w:rFonts w:eastAsia="仿宋_GB2312"/>
          <w:sz w:val="28"/>
          <w:szCs w:val="20"/>
        </w:rPr>
        <w:t>/</w:t>
      </w:r>
      <w:r>
        <w:rPr>
          <w:rFonts w:hint="eastAsia" w:eastAsia="仿宋_GB2312"/>
          <w:sz w:val="28"/>
          <w:szCs w:val="20"/>
        </w:rPr>
        <w:t>Ⅳ</w:t>
      </w:r>
      <w:r>
        <w:rPr>
          <w:rFonts w:eastAsia="仿宋_GB2312"/>
          <w:sz w:val="28"/>
          <w:szCs w:val="20"/>
        </w:rPr>
        <w:t>+级。根据建设项目涉及的物质和工艺系统的危险性（P）及其所在地的环境敏感程度（E），结合事故情形下环境影响途径，对建设项目潜在环境危害程度进行概化分析，本项目环境风险潜势确定情况见下表。</w:t>
      </w:r>
    </w:p>
    <w:p>
      <w:pPr>
        <w:adjustRightInd w:val="0"/>
        <w:snapToGrid w:val="0"/>
        <w:spacing w:line="480" w:lineRule="exact"/>
        <w:ind w:firstLine="482"/>
        <w:jc w:val="center"/>
        <w:rPr>
          <w:rFonts w:ascii="仿宋" w:hAnsi="仿宋" w:eastAsia="仿宋"/>
          <w:b/>
          <w:sz w:val="24"/>
          <w:szCs w:val="22"/>
        </w:rPr>
      </w:pPr>
      <w:r>
        <w:rPr>
          <w:rFonts w:ascii="仿宋" w:hAnsi="仿宋" w:eastAsia="仿宋"/>
          <w:b/>
          <w:sz w:val="24"/>
        </w:rPr>
        <w:t>表</w:t>
      </w:r>
      <w:r>
        <w:rPr>
          <w:rFonts w:hint="eastAsia" w:ascii="仿宋" w:hAnsi="仿宋" w:eastAsia="仿宋"/>
          <w:b/>
          <w:sz w:val="24"/>
        </w:rPr>
        <w:t>5.3</w:t>
      </w:r>
      <w:r>
        <w:rPr>
          <w:rFonts w:ascii="仿宋" w:hAnsi="仿宋" w:eastAsia="仿宋"/>
          <w:b/>
          <w:sz w:val="24"/>
        </w:rPr>
        <w:t>-14</w:t>
      </w:r>
      <w:r>
        <w:rPr>
          <w:rFonts w:ascii="仿宋" w:hAnsi="仿宋" w:eastAsia="仿宋"/>
          <w:b/>
          <w:sz w:val="24"/>
          <w:szCs w:val="22"/>
        </w:rPr>
        <w:t xml:space="preserve">  建设项目环境风险潜势确定情况</w:t>
      </w:r>
    </w:p>
    <w:tbl>
      <w:tblPr>
        <w:tblStyle w:val="87"/>
        <w:tblW w:w="5261"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1"/>
        <w:gridCol w:w="1607"/>
        <w:gridCol w:w="1565"/>
        <w:gridCol w:w="1594"/>
        <w:gridCol w:w="1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27" w:type="pct"/>
            <w:vMerge w:val="restart"/>
            <w:shd w:val="clear" w:color="auto" w:fill="auto"/>
            <w:tcMar>
              <w:left w:w="0" w:type="dxa"/>
              <w:right w:w="0" w:type="dxa"/>
            </w:tcMar>
            <w:vAlign w:val="center"/>
          </w:tcPr>
          <w:p>
            <w:pPr>
              <w:kinsoku w:val="0"/>
              <w:overflowPunct w:val="0"/>
              <w:adjustRightInd w:val="0"/>
              <w:snapToGrid w:val="0"/>
              <w:jc w:val="center"/>
              <w:rPr>
                <w:rFonts w:ascii="仿宋" w:hAnsi="仿宋" w:eastAsia="仿宋"/>
                <w:kern w:val="0"/>
              </w:rPr>
            </w:pPr>
            <w:r>
              <w:rPr>
                <w:rFonts w:ascii="仿宋" w:hAnsi="仿宋" w:eastAsia="仿宋"/>
                <w:kern w:val="0"/>
              </w:rPr>
              <w:t>环境敏感程度（E）</w:t>
            </w:r>
          </w:p>
        </w:tc>
        <w:tc>
          <w:tcPr>
            <w:tcW w:w="3672" w:type="pct"/>
            <w:gridSpan w:val="4"/>
            <w:shd w:val="clear" w:color="auto" w:fill="auto"/>
            <w:tcMar>
              <w:left w:w="0" w:type="dxa"/>
              <w:right w:w="0" w:type="dxa"/>
            </w:tcMar>
            <w:vAlign w:val="center"/>
          </w:tcPr>
          <w:p>
            <w:pPr>
              <w:kinsoku w:val="0"/>
              <w:overflowPunct w:val="0"/>
              <w:adjustRightInd w:val="0"/>
              <w:snapToGrid w:val="0"/>
              <w:jc w:val="center"/>
              <w:rPr>
                <w:rFonts w:ascii="仿宋" w:hAnsi="仿宋" w:eastAsia="仿宋"/>
                <w:kern w:val="0"/>
              </w:rPr>
            </w:pPr>
            <w:r>
              <w:rPr>
                <w:rFonts w:ascii="仿宋" w:hAnsi="仿宋" w:eastAsia="仿宋"/>
                <w:kern w:val="0"/>
              </w:rPr>
              <w:t>危险物质及工艺系统危险性（P）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27" w:type="pct"/>
            <w:vMerge w:val="continue"/>
            <w:shd w:val="clear" w:color="auto" w:fill="auto"/>
            <w:tcMar>
              <w:left w:w="0" w:type="dxa"/>
              <w:right w:w="0" w:type="dxa"/>
            </w:tcMar>
            <w:vAlign w:val="center"/>
          </w:tcPr>
          <w:p>
            <w:pPr>
              <w:widowControl/>
              <w:rPr>
                <w:rFonts w:ascii="仿宋" w:hAnsi="仿宋" w:eastAsia="仿宋"/>
                <w:kern w:val="0"/>
              </w:rPr>
            </w:pPr>
          </w:p>
        </w:tc>
        <w:tc>
          <w:tcPr>
            <w:tcW w:w="918" w:type="pct"/>
            <w:shd w:val="clear" w:color="auto" w:fill="auto"/>
            <w:tcMar>
              <w:left w:w="0" w:type="dxa"/>
              <w:right w:w="0" w:type="dxa"/>
            </w:tcMar>
            <w:vAlign w:val="center"/>
          </w:tcPr>
          <w:p>
            <w:pPr>
              <w:kinsoku w:val="0"/>
              <w:overflowPunct w:val="0"/>
              <w:adjustRightInd w:val="0"/>
              <w:snapToGrid w:val="0"/>
              <w:jc w:val="center"/>
              <w:rPr>
                <w:rFonts w:ascii="仿宋" w:hAnsi="仿宋" w:eastAsia="仿宋"/>
                <w:kern w:val="0"/>
              </w:rPr>
            </w:pPr>
            <w:r>
              <w:rPr>
                <w:rFonts w:ascii="仿宋" w:hAnsi="仿宋" w:eastAsia="仿宋"/>
                <w:kern w:val="0"/>
              </w:rPr>
              <w:t>极高危害（P1）</w:t>
            </w:r>
          </w:p>
        </w:tc>
        <w:tc>
          <w:tcPr>
            <w:tcW w:w="894" w:type="pct"/>
            <w:shd w:val="clear" w:color="auto" w:fill="auto"/>
            <w:tcMar>
              <w:left w:w="0" w:type="dxa"/>
              <w:right w:w="0" w:type="dxa"/>
            </w:tcMar>
            <w:vAlign w:val="center"/>
          </w:tcPr>
          <w:p>
            <w:pPr>
              <w:kinsoku w:val="0"/>
              <w:overflowPunct w:val="0"/>
              <w:adjustRightInd w:val="0"/>
              <w:snapToGrid w:val="0"/>
              <w:jc w:val="center"/>
              <w:rPr>
                <w:rFonts w:ascii="仿宋" w:hAnsi="仿宋" w:eastAsia="仿宋"/>
                <w:kern w:val="0"/>
              </w:rPr>
            </w:pPr>
            <w:r>
              <w:rPr>
                <w:rFonts w:ascii="仿宋" w:hAnsi="仿宋" w:eastAsia="仿宋"/>
                <w:kern w:val="0"/>
              </w:rPr>
              <w:t>高度危害（P2）</w:t>
            </w:r>
          </w:p>
        </w:tc>
        <w:tc>
          <w:tcPr>
            <w:tcW w:w="911" w:type="pct"/>
            <w:shd w:val="clear" w:color="auto" w:fill="auto"/>
            <w:tcMar>
              <w:left w:w="0" w:type="dxa"/>
              <w:right w:w="0" w:type="dxa"/>
            </w:tcMar>
            <w:vAlign w:val="center"/>
          </w:tcPr>
          <w:p>
            <w:pPr>
              <w:kinsoku w:val="0"/>
              <w:overflowPunct w:val="0"/>
              <w:adjustRightInd w:val="0"/>
              <w:snapToGrid w:val="0"/>
              <w:jc w:val="center"/>
              <w:rPr>
                <w:rFonts w:ascii="仿宋" w:hAnsi="仿宋" w:eastAsia="仿宋"/>
                <w:kern w:val="0"/>
              </w:rPr>
            </w:pPr>
            <w:r>
              <w:rPr>
                <w:rFonts w:ascii="仿宋" w:hAnsi="仿宋" w:eastAsia="仿宋"/>
                <w:kern w:val="0"/>
              </w:rPr>
              <w:t>中度危害（P3）</w:t>
            </w:r>
          </w:p>
        </w:tc>
        <w:tc>
          <w:tcPr>
            <w:tcW w:w="947" w:type="pct"/>
            <w:shd w:val="clear" w:color="auto" w:fill="auto"/>
            <w:tcMar>
              <w:left w:w="0" w:type="dxa"/>
              <w:right w:w="0" w:type="dxa"/>
            </w:tcMar>
            <w:vAlign w:val="center"/>
          </w:tcPr>
          <w:p>
            <w:pPr>
              <w:kinsoku w:val="0"/>
              <w:overflowPunct w:val="0"/>
              <w:adjustRightInd w:val="0"/>
              <w:snapToGrid w:val="0"/>
              <w:jc w:val="center"/>
              <w:rPr>
                <w:rFonts w:ascii="仿宋" w:hAnsi="仿宋" w:eastAsia="仿宋"/>
                <w:kern w:val="0"/>
              </w:rPr>
            </w:pPr>
            <w:r>
              <w:rPr>
                <w:rFonts w:ascii="仿宋" w:hAnsi="仿宋" w:eastAsia="仿宋"/>
                <w:kern w:val="0"/>
              </w:rPr>
              <w:t>轻度危害（P4）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5"/>
            <w:shd w:val="clear" w:color="auto" w:fill="auto"/>
            <w:tcMar>
              <w:left w:w="0" w:type="dxa"/>
              <w:right w:w="0" w:type="dxa"/>
            </w:tcMar>
            <w:vAlign w:val="center"/>
          </w:tcPr>
          <w:p>
            <w:pPr>
              <w:kinsoku w:val="0"/>
              <w:overflowPunct w:val="0"/>
              <w:adjustRightInd w:val="0"/>
              <w:snapToGrid w:val="0"/>
              <w:jc w:val="center"/>
              <w:rPr>
                <w:rFonts w:ascii="仿宋" w:hAnsi="仿宋" w:eastAsia="仿宋"/>
                <w:b/>
                <w:kern w:val="0"/>
              </w:rPr>
            </w:pPr>
            <w:r>
              <w:rPr>
                <w:rFonts w:ascii="仿宋" w:hAnsi="仿宋" w:eastAsia="仿宋"/>
                <w:b/>
                <w:kern w:val="0"/>
              </w:rPr>
              <w:t>一、大气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27" w:type="pct"/>
            <w:shd w:val="clear" w:color="auto" w:fill="auto"/>
            <w:tcMar>
              <w:left w:w="0" w:type="dxa"/>
              <w:right w:w="0" w:type="dxa"/>
            </w:tcMar>
            <w:vAlign w:val="center"/>
          </w:tcPr>
          <w:p>
            <w:pPr>
              <w:kinsoku w:val="0"/>
              <w:overflowPunct w:val="0"/>
              <w:adjustRightInd w:val="0"/>
              <w:snapToGrid w:val="0"/>
              <w:jc w:val="center"/>
              <w:rPr>
                <w:rFonts w:ascii="仿宋" w:hAnsi="仿宋" w:eastAsia="仿宋"/>
                <w:kern w:val="0"/>
              </w:rPr>
            </w:pPr>
            <w:r>
              <w:rPr>
                <w:rFonts w:ascii="仿宋" w:hAnsi="仿宋" w:eastAsia="仿宋"/>
                <w:kern w:val="0"/>
              </w:rPr>
              <w:t>环境高度敏感区（E1）</w:t>
            </w:r>
          </w:p>
        </w:tc>
        <w:tc>
          <w:tcPr>
            <w:tcW w:w="918" w:type="pct"/>
            <w:shd w:val="clear" w:color="auto" w:fill="auto"/>
            <w:tcMar>
              <w:left w:w="0" w:type="dxa"/>
              <w:right w:w="0" w:type="dxa"/>
            </w:tcMar>
            <w:vAlign w:val="center"/>
          </w:tcPr>
          <w:p>
            <w:pPr>
              <w:kinsoku w:val="0"/>
              <w:overflowPunct w:val="0"/>
              <w:adjustRightInd w:val="0"/>
              <w:snapToGrid w:val="0"/>
              <w:jc w:val="center"/>
              <w:rPr>
                <w:rFonts w:ascii="仿宋" w:hAnsi="仿宋" w:eastAsia="仿宋"/>
                <w:kern w:val="0"/>
              </w:rPr>
            </w:pPr>
            <w:r>
              <w:rPr>
                <w:rFonts w:hint="eastAsia" w:ascii="仿宋" w:hAnsi="仿宋" w:eastAsia="仿宋" w:cs="宋体"/>
                <w:kern w:val="0"/>
              </w:rPr>
              <w:t>Ⅳ</w:t>
            </w:r>
            <w:r>
              <w:rPr>
                <w:rFonts w:ascii="仿宋" w:hAnsi="仿宋" w:eastAsia="仿宋"/>
                <w:kern w:val="0"/>
                <w:vertAlign w:val="superscript"/>
              </w:rPr>
              <w:t>+</w:t>
            </w:r>
          </w:p>
        </w:tc>
        <w:tc>
          <w:tcPr>
            <w:tcW w:w="894" w:type="pct"/>
            <w:shd w:val="clear" w:color="auto" w:fill="auto"/>
            <w:tcMar>
              <w:left w:w="0" w:type="dxa"/>
              <w:right w:w="0" w:type="dxa"/>
            </w:tcMar>
            <w:vAlign w:val="center"/>
          </w:tcPr>
          <w:p>
            <w:pPr>
              <w:kinsoku w:val="0"/>
              <w:overflowPunct w:val="0"/>
              <w:adjustRightInd w:val="0"/>
              <w:snapToGrid w:val="0"/>
              <w:jc w:val="center"/>
              <w:rPr>
                <w:rFonts w:ascii="仿宋" w:hAnsi="仿宋" w:eastAsia="仿宋"/>
                <w:kern w:val="0"/>
              </w:rPr>
            </w:pPr>
            <w:r>
              <w:rPr>
                <w:rFonts w:hint="eastAsia" w:ascii="仿宋" w:hAnsi="仿宋" w:eastAsia="仿宋" w:cs="宋体"/>
                <w:kern w:val="0"/>
              </w:rPr>
              <w:t>Ⅳ</w:t>
            </w:r>
          </w:p>
        </w:tc>
        <w:tc>
          <w:tcPr>
            <w:tcW w:w="911" w:type="pct"/>
            <w:shd w:val="clear" w:color="auto" w:fill="auto"/>
            <w:tcMar>
              <w:left w:w="0" w:type="dxa"/>
              <w:right w:w="0" w:type="dxa"/>
            </w:tcMar>
            <w:vAlign w:val="center"/>
          </w:tcPr>
          <w:p>
            <w:pPr>
              <w:kinsoku w:val="0"/>
              <w:overflowPunct w:val="0"/>
              <w:adjustRightInd w:val="0"/>
              <w:snapToGrid w:val="0"/>
              <w:jc w:val="center"/>
              <w:rPr>
                <w:rFonts w:ascii="仿宋" w:hAnsi="仿宋" w:eastAsia="仿宋"/>
                <w:kern w:val="0"/>
              </w:rPr>
            </w:pPr>
            <w:r>
              <w:rPr>
                <w:rFonts w:hint="eastAsia" w:ascii="仿宋" w:hAnsi="仿宋" w:eastAsia="仿宋" w:cs="宋体"/>
                <w:kern w:val="0"/>
              </w:rPr>
              <w:t>Ⅲ</w:t>
            </w:r>
          </w:p>
        </w:tc>
        <w:tc>
          <w:tcPr>
            <w:tcW w:w="947" w:type="pct"/>
            <w:shd w:val="clear" w:color="auto" w:fill="BEBEBE" w:themeFill="background1" w:themeFillShade="BF"/>
            <w:tcMar>
              <w:left w:w="0" w:type="dxa"/>
              <w:right w:w="0" w:type="dxa"/>
            </w:tcMar>
            <w:vAlign w:val="center"/>
          </w:tcPr>
          <w:p>
            <w:pPr>
              <w:kinsoku w:val="0"/>
              <w:overflowPunct w:val="0"/>
              <w:adjustRightInd w:val="0"/>
              <w:snapToGrid w:val="0"/>
              <w:jc w:val="center"/>
              <w:rPr>
                <w:rFonts w:ascii="仿宋" w:hAnsi="仿宋" w:eastAsia="仿宋"/>
                <w:kern w:val="0"/>
              </w:rPr>
            </w:pPr>
            <w:r>
              <w:rPr>
                <w:rFonts w:hint="eastAsia" w:ascii="仿宋" w:hAnsi="仿宋" w:eastAsia="仿宋" w:cs="宋体"/>
                <w:kern w:val="0"/>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27" w:type="pct"/>
            <w:shd w:val="clear" w:color="auto" w:fill="auto"/>
            <w:tcMar>
              <w:left w:w="0" w:type="dxa"/>
              <w:right w:w="0" w:type="dxa"/>
            </w:tcMar>
            <w:vAlign w:val="center"/>
          </w:tcPr>
          <w:p>
            <w:pPr>
              <w:kinsoku w:val="0"/>
              <w:overflowPunct w:val="0"/>
              <w:adjustRightInd w:val="0"/>
              <w:snapToGrid w:val="0"/>
              <w:jc w:val="center"/>
              <w:rPr>
                <w:rFonts w:ascii="仿宋" w:hAnsi="仿宋" w:eastAsia="仿宋"/>
                <w:kern w:val="0"/>
              </w:rPr>
            </w:pPr>
            <w:r>
              <w:rPr>
                <w:rFonts w:ascii="仿宋" w:hAnsi="仿宋" w:eastAsia="仿宋"/>
                <w:kern w:val="0"/>
              </w:rPr>
              <w:t>环境中度敏感区（E2）</w:t>
            </w:r>
          </w:p>
        </w:tc>
        <w:tc>
          <w:tcPr>
            <w:tcW w:w="918" w:type="pct"/>
            <w:shd w:val="clear" w:color="auto" w:fill="auto"/>
            <w:tcMar>
              <w:left w:w="0" w:type="dxa"/>
              <w:right w:w="0" w:type="dxa"/>
            </w:tcMar>
            <w:vAlign w:val="center"/>
          </w:tcPr>
          <w:p>
            <w:pPr>
              <w:kinsoku w:val="0"/>
              <w:overflowPunct w:val="0"/>
              <w:adjustRightInd w:val="0"/>
              <w:snapToGrid w:val="0"/>
              <w:jc w:val="center"/>
              <w:rPr>
                <w:rFonts w:ascii="仿宋" w:hAnsi="仿宋" w:eastAsia="仿宋"/>
                <w:kern w:val="0"/>
              </w:rPr>
            </w:pPr>
            <w:r>
              <w:rPr>
                <w:rFonts w:hint="eastAsia" w:ascii="仿宋" w:hAnsi="仿宋" w:eastAsia="仿宋" w:cs="宋体"/>
                <w:kern w:val="0"/>
              </w:rPr>
              <w:t>Ⅳ</w:t>
            </w:r>
          </w:p>
        </w:tc>
        <w:tc>
          <w:tcPr>
            <w:tcW w:w="894" w:type="pct"/>
            <w:shd w:val="clear" w:color="auto" w:fill="auto"/>
            <w:tcMar>
              <w:left w:w="0" w:type="dxa"/>
              <w:right w:w="0" w:type="dxa"/>
            </w:tcMar>
            <w:vAlign w:val="center"/>
          </w:tcPr>
          <w:p>
            <w:pPr>
              <w:kinsoku w:val="0"/>
              <w:overflowPunct w:val="0"/>
              <w:adjustRightInd w:val="0"/>
              <w:snapToGrid w:val="0"/>
              <w:jc w:val="center"/>
              <w:rPr>
                <w:rFonts w:ascii="仿宋" w:hAnsi="仿宋" w:eastAsia="仿宋"/>
                <w:kern w:val="0"/>
              </w:rPr>
            </w:pPr>
            <w:r>
              <w:rPr>
                <w:rFonts w:hint="eastAsia" w:ascii="仿宋" w:hAnsi="仿宋" w:eastAsia="仿宋" w:cs="宋体"/>
                <w:kern w:val="0"/>
              </w:rPr>
              <w:t>Ⅲ</w:t>
            </w:r>
          </w:p>
        </w:tc>
        <w:tc>
          <w:tcPr>
            <w:tcW w:w="911" w:type="pct"/>
            <w:shd w:val="clear" w:color="auto" w:fill="auto"/>
            <w:tcMar>
              <w:left w:w="0" w:type="dxa"/>
              <w:right w:w="0" w:type="dxa"/>
            </w:tcMar>
            <w:vAlign w:val="center"/>
          </w:tcPr>
          <w:p>
            <w:pPr>
              <w:kinsoku w:val="0"/>
              <w:overflowPunct w:val="0"/>
              <w:adjustRightInd w:val="0"/>
              <w:snapToGrid w:val="0"/>
              <w:jc w:val="center"/>
              <w:rPr>
                <w:rFonts w:ascii="仿宋" w:hAnsi="仿宋" w:eastAsia="仿宋"/>
                <w:kern w:val="0"/>
              </w:rPr>
            </w:pPr>
            <w:r>
              <w:rPr>
                <w:rFonts w:hint="eastAsia" w:ascii="仿宋" w:hAnsi="仿宋" w:eastAsia="仿宋" w:cs="宋体"/>
                <w:kern w:val="0"/>
              </w:rPr>
              <w:t>Ⅲ</w:t>
            </w:r>
          </w:p>
        </w:tc>
        <w:tc>
          <w:tcPr>
            <w:tcW w:w="947" w:type="pct"/>
            <w:shd w:val="clear" w:color="auto" w:fill="auto"/>
            <w:tcMar>
              <w:left w:w="0" w:type="dxa"/>
              <w:right w:w="0" w:type="dxa"/>
            </w:tcMar>
            <w:vAlign w:val="center"/>
          </w:tcPr>
          <w:p>
            <w:pPr>
              <w:kinsoku w:val="0"/>
              <w:overflowPunct w:val="0"/>
              <w:adjustRightInd w:val="0"/>
              <w:snapToGrid w:val="0"/>
              <w:jc w:val="center"/>
              <w:rPr>
                <w:rFonts w:ascii="仿宋" w:hAnsi="仿宋" w:eastAsia="仿宋"/>
                <w:kern w:val="0"/>
              </w:rPr>
            </w:pPr>
            <w:r>
              <w:rPr>
                <w:rFonts w:hint="eastAsia" w:ascii="仿宋" w:hAnsi="仿宋" w:eastAsia="仿宋" w:cs="宋体"/>
                <w:kern w:val="0"/>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27" w:type="pct"/>
            <w:shd w:val="clear" w:color="auto" w:fill="auto"/>
            <w:tcMar>
              <w:left w:w="0" w:type="dxa"/>
              <w:right w:w="0" w:type="dxa"/>
            </w:tcMar>
            <w:vAlign w:val="center"/>
          </w:tcPr>
          <w:p>
            <w:pPr>
              <w:kinsoku w:val="0"/>
              <w:overflowPunct w:val="0"/>
              <w:adjustRightInd w:val="0"/>
              <w:snapToGrid w:val="0"/>
              <w:jc w:val="center"/>
              <w:rPr>
                <w:rFonts w:ascii="仿宋" w:hAnsi="仿宋" w:eastAsia="仿宋"/>
                <w:kern w:val="0"/>
              </w:rPr>
            </w:pPr>
            <w:r>
              <w:rPr>
                <w:rFonts w:ascii="仿宋" w:hAnsi="仿宋" w:eastAsia="仿宋"/>
                <w:kern w:val="0"/>
              </w:rPr>
              <w:t>环境低度敏感区（E3）</w:t>
            </w:r>
          </w:p>
        </w:tc>
        <w:tc>
          <w:tcPr>
            <w:tcW w:w="918" w:type="pct"/>
            <w:shd w:val="clear" w:color="auto" w:fill="auto"/>
            <w:tcMar>
              <w:left w:w="0" w:type="dxa"/>
              <w:right w:w="0" w:type="dxa"/>
            </w:tcMar>
            <w:vAlign w:val="center"/>
          </w:tcPr>
          <w:p>
            <w:pPr>
              <w:kinsoku w:val="0"/>
              <w:overflowPunct w:val="0"/>
              <w:adjustRightInd w:val="0"/>
              <w:snapToGrid w:val="0"/>
              <w:jc w:val="center"/>
              <w:rPr>
                <w:rFonts w:ascii="仿宋" w:hAnsi="仿宋" w:eastAsia="仿宋"/>
                <w:kern w:val="0"/>
              </w:rPr>
            </w:pPr>
            <w:r>
              <w:rPr>
                <w:rFonts w:hint="eastAsia" w:ascii="仿宋" w:hAnsi="仿宋" w:eastAsia="仿宋" w:cs="宋体"/>
                <w:kern w:val="0"/>
              </w:rPr>
              <w:t>Ⅲ</w:t>
            </w:r>
          </w:p>
        </w:tc>
        <w:tc>
          <w:tcPr>
            <w:tcW w:w="894" w:type="pct"/>
            <w:shd w:val="clear" w:color="auto" w:fill="auto"/>
            <w:tcMar>
              <w:left w:w="0" w:type="dxa"/>
              <w:right w:w="0" w:type="dxa"/>
            </w:tcMar>
            <w:vAlign w:val="center"/>
          </w:tcPr>
          <w:p>
            <w:pPr>
              <w:kinsoku w:val="0"/>
              <w:overflowPunct w:val="0"/>
              <w:adjustRightInd w:val="0"/>
              <w:snapToGrid w:val="0"/>
              <w:jc w:val="center"/>
              <w:rPr>
                <w:rFonts w:ascii="仿宋" w:hAnsi="仿宋" w:eastAsia="仿宋"/>
                <w:kern w:val="0"/>
              </w:rPr>
            </w:pPr>
            <w:r>
              <w:rPr>
                <w:rFonts w:hint="eastAsia" w:ascii="仿宋" w:hAnsi="仿宋" w:eastAsia="仿宋" w:cs="宋体"/>
                <w:kern w:val="0"/>
              </w:rPr>
              <w:t>Ⅲ</w:t>
            </w:r>
          </w:p>
        </w:tc>
        <w:tc>
          <w:tcPr>
            <w:tcW w:w="911" w:type="pct"/>
            <w:shd w:val="clear" w:color="auto" w:fill="auto"/>
            <w:tcMar>
              <w:left w:w="0" w:type="dxa"/>
              <w:right w:w="0" w:type="dxa"/>
            </w:tcMar>
            <w:vAlign w:val="center"/>
          </w:tcPr>
          <w:p>
            <w:pPr>
              <w:kinsoku w:val="0"/>
              <w:overflowPunct w:val="0"/>
              <w:adjustRightInd w:val="0"/>
              <w:snapToGrid w:val="0"/>
              <w:jc w:val="center"/>
              <w:rPr>
                <w:rFonts w:ascii="仿宋" w:hAnsi="仿宋" w:eastAsia="仿宋"/>
                <w:kern w:val="0"/>
              </w:rPr>
            </w:pPr>
            <w:r>
              <w:rPr>
                <w:rFonts w:hint="eastAsia" w:ascii="仿宋" w:hAnsi="仿宋" w:eastAsia="仿宋" w:cs="宋体"/>
                <w:kern w:val="0"/>
              </w:rPr>
              <w:t>Ⅱ</w:t>
            </w:r>
          </w:p>
        </w:tc>
        <w:tc>
          <w:tcPr>
            <w:tcW w:w="947" w:type="pct"/>
            <w:shd w:val="clear" w:color="auto" w:fill="auto"/>
            <w:tcMar>
              <w:left w:w="0" w:type="dxa"/>
              <w:right w:w="0" w:type="dxa"/>
            </w:tcMar>
            <w:vAlign w:val="center"/>
          </w:tcPr>
          <w:p>
            <w:pPr>
              <w:kinsoku w:val="0"/>
              <w:overflowPunct w:val="0"/>
              <w:adjustRightInd w:val="0"/>
              <w:snapToGrid w:val="0"/>
              <w:jc w:val="center"/>
              <w:rPr>
                <w:rFonts w:ascii="仿宋" w:hAnsi="仿宋" w:eastAsia="仿宋"/>
                <w:kern w:val="0"/>
              </w:rPr>
            </w:pPr>
            <w:r>
              <w:rPr>
                <w:rFonts w:hint="eastAsia" w:ascii="仿宋" w:hAnsi="仿宋" w:eastAsia="仿宋" w:cs="宋体"/>
                <w:kern w:val="0"/>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5"/>
            <w:shd w:val="clear" w:color="auto" w:fill="auto"/>
            <w:tcMar>
              <w:left w:w="0" w:type="dxa"/>
              <w:right w:w="0" w:type="dxa"/>
            </w:tcMar>
            <w:vAlign w:val="center"/>
          </w:tcPr>
          <w:p>
            <w:pPr>
              <w:kinsoku w:val="0"/>
              <w:overflowPunct w:val="0"/>
              <w:adjustRightInd w:val="0"/>
              <w:snapToGrid w:val="0"/>
              <w:jc w:val="center"/>
              <w:rPr>
                <w:rFonts w:ascii="仿宋" w:hAnsi="仿宋" w:eastAsia="仿宋"/>
                <w:b/>
                <w:kern w:val="0"/>
              </w:rPr>
            </w:pPr>
            <w:r>
              <w:rPr>
                <w:rFonts w:ascii="仿宋" w:hAnsi="仿宋" w:eastAsia="仿宋"/>
                <w:b/>
                <w:kern w:val="0"/>
              </w:rPr>
              <w:t>二、地表水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27" w:type="pct"/>
            <w:shd w:val="clear" w:color="auto" w:fill="auto"/>
            <w:tcMar>
              <w:left w:w="0" w:type="dxa"/>
              <w:right w:w="0" w:type="dxa"/>
            </w:tcMar>
            <w:vAlign w:val="center"/>
          </w:tcPr>
          <w:p>
            <w:pPr>
              <w:kinsoku w:val="0"/>
              <w:overflowPunct w:val="0"/>
              <w:adjustRightInd w:val="0"/>
              <w:snapToGrid w:val="0"/>
              <w:jc w:val="center"/>
              <w:rPr>
                <w:rFonts w:ascii="仿宋" w:hAnsi="仿宋" w:eastAsia="仿宋"/>
                <w:kern w:val="0"/>
              </w:rPr>
            </w:pPr>
            <w:r>
              <w:rPr>
                <w:rFonts w:ascii="仿宋" w:hAnsi="仿宋" w:eastAsia="仿宋"/>
                <w:kern w:val="0"/>
              </w:rPr>
              <w:t>环境高度敏感区（E1）</w:t>
            </w:r>
          </w:p>
        </w:tc>
        <w:tc>
          <w:tcPr>
            <w:tcW w:w="918" w:type="pct"/>
            <w:shd w:val="clear" w:color="auto" w:fill="auto"/>
            <w:tcMar>
              <w:left w:w="0" w:type="dxa"/>
              <w:right w:w="0" w:type="dxa"/>
            </w:tcMar>
            <w:vAlign w:val="center"/>
          </w:tcPr>
          <w:p>
            <w:pPr>
              <w:kinsoku w:val="0"/>
              <w:overflowPunct w:val="0"/>
              <w:adjustRightInd w:val="0"/>
              <w:snapToGrid w:val="0"/>
              <w:jc w:val="center"/>
              <w:rPr>
                <w:rFonts w:ascii="仿宋" w:hAnsi="仿宋" w:eastAsia="仿宋"/>
                <w:kern w:val="0"/>
              </w:rPr>
            </w:pPr>
            <w:r>
              <w:rPr>
                <w:rFonts w:hint="eastAsia" w:ascii="仿宋" w:hAnsi="仿宋" w:eastAsia="仿宋" w:cs="宋体"/>
                <w:kern w:val="0"/>
              </w:rPr>
              <w:t>Ⅳ</w:t>
            </w:r>
            <w:r>
              <w:rPr>
                <w:rFonts w:ascii="仿宋" w:hAnsi="仿宋" w:eastAsia="仿宋"/>
                <w:kern w:val="0"/>
                <w:vertAlign w:val="superscript"/>
              </w:rPr>
              <w:t>+</w:t>
            </w:r>
          </w:p>
        </w:tc>
        <w:tc>
          <w:tcPr>
            <w:tcW w:w="894" w:type="pct"/>
            <w:shd w:val="clear" w:color="auto" w:fill="auto"/>
            <w:tcMar>
              <w:left w:w="0" w:type="dxa"/>
              <w:right w:w="0" w:type="dxa"/>
            </w:tcMar>
            <w:vAlign w:val="center"/>
          </w:tcPr>
          <w:p>
            <w:pPr>
              <w:kinsoku w:val="0"/>
              <w:overflowPunct w:val="0"/>
              <w:adjustRightInd w:val="0"/>
              <w:snapToGrid w:val="0"/>
              <w:jc w:val="center"/>
              <w:rPr>
                <w:rFonts w:ascii="仿宋" w:hAnsi="仿宋" w:eastAsia="仿宋"/>
                <w:kern w:val="0"/>
              </w:rPr>
            </w:pPr>
            <w:r>
              <w:rPr>
                <w:rFonts w:hint="eastAsia" w:ascii="仿宋" w:hAnsi="仿宋" w:eastAsia="仿宋" w:cs="宋体"/>
                <w:kern w:val="0"/>
              </w:rPr>
              <w:t>Ⅳ</w:t>
            </w:r>
          </w:p>
        </w:tc>
        <w:tc>
          <w:tcPr>
            <w:tcW w:w="911" w:type="pct"/>
            <w:shd w:val="clear" w:color="auto" w:fill="auto"/>
            <w:tcMar>
              <w:left w:w="0" w:type="dxa"/>
              <w:right w:w="0" w:type="dxa"/>
            </w:tcMar>
            <w:vAlign w:val="center"/>
          </w:tcPr>
          <w:p>
            <w:pPr>
              <w:kinsoku w:val="0"/>
              <w:overflowPunct w:val="0"/>
              <w:adjustRightInd w:val="0"/>
              <w:snapToGrid w:val="0"/>
              <w:jc w:val="center"/>
              <w:rPr>
                <w:rFonts w:ascii="仿宋" w:hAnsi="仿宋" w:eastAsia="仿宋"/>
                <w:kern w:val="0"/>
              </w:rPr>
            </w:pPr>
            <w:r>
              <w:rPr>
                <w:rFonts w:hint="eastAsia" w:ascii="仿宋" w:hAnsi="仿宋" w:eastAsia="仿宋" w:cs="宋体"/>
                <w:kern w:val="0"/>
              </w:rPr>
              <w:t>Ⅲ</w:t>
            </w:r>
          </w:p>
        </w:tc>
        <w:tc>
          <w:tcPr>
            <w:tcW w:w="947" w:type="pct"/>
            <w:tcBorders>
              <w:bottom w:val="single" w:color="auto" w:sz="4" w:space="0"/>
            </w:tcBorders>
            <w:shd w:val="clear" w:color="auto" w:fill="auto"/>
            <w:tcMar>
              <w:left w:w="0" w:type="dxa"/>
              <w:right w:w="0" w:type="dxa"/>
            </w:tcMar>
            <w:vAlign w:val="center"/>
          </w:tcPr>
          <w:p>
            <w:pPr>
              <w:kinsoku w:val="0"/>
              <w:overflowPunct w:val="0"/>
              <w:adjustRightInd w:val="0"/>
              <w:snapToGrid w:val="0"/>
              <w:jc w:val="center"/>
              <w:rPr>
                <w:rFonts w:ascii="仿宋" w:hAnsi="仿宋" w:eastAsia="仿宋"/>
                <w:kern w:val="0"/>
              </w:rPr>
            </w:pPr>
            <w:r>
              <w:rPr>
                <w:rFonts w:hint="eastAsia" w:ascii="仿宋" w:hAnsi="仿宋" w:eastAsia="仿宋" w:cs="宋体"/>
                <w:kern w:val="0"/>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27" w:type="pct"/>
            <w:shd w:val="clear" w:color="auto" w:fill="auto"/>
            <w:tcMar>
              <w:left w:w="0" w:type="dxa"/>
              <w:right w:w="0" w:type="dxa"/>
            </w:tcMar>
            <w:vAlign w:val="center"/>
          </w:tcPr>
          <w:p>
            <w:pPr>
              <w:kinsoku w:val="0"/>
              <w:overflowPunct w:val="0"/>
              <w:adjustRightInd w:val="0"/>
              <w:snapToGrid w:val="0"/>
              <w:jc w:val="center"/>
              <w:rPr>
                <w:rFonts w:ascii="仿宋" w:hAnsi="仿宋" w:eastAsia="仿宋"/>
                <w:kern w:val="0"/>
              </w:rPr>
            </w:pPr>
            <w:r>
              <w:rPr>
                <w:rFonts w:ascii="仿宋" w:hAnsi="仿宋" w:eastAsia="仿宋"/>
                <w:kern w:val="0"/>
              </w:rPr>
              <w:t>环境中度敏感区（E2）</w:t>
            </w:r>
          </w:p>
        </w:tc>
        <w:tc>
          <w:tcPr>
            <w:tcW w:w="918" w:type="pct"/>
            <w:shd w:val="clear" w:color="auto" w:fill="auto"/>
            <w:tcMar>
              <w:left w:w="0" w:type="dxa"/>
              <w:right w:w="0" w:type="dxa"/>
            </w:tcMar>
            <w:vAlign w:val="center"/>
          </w:tcPr>
          <w:p>
            <w:pPr>
              <w:kinsoku w:val="0"/>
              <w:overflowPunct w:val="0"/>
              <w:adjustRightInd w:val="0"/>
              <w:snapToGrid w:val="0"/>
              <w:jc w:val="center"/>
              <w:rPr>
                <w:rFonts w:ascii="仿宋" w:hAnsi="仿宋" w:eastAsia="仿宋"/>
                <w:kern w:val="0"/>
              </w:rPr>
            </w:pPr>
            <w:r>
              <w:rPr>
                <w:rFonts w:hint="eastAsia" w:ascii="仿宋" w:hAnsi="仿宋" w:eastAsia="仿宋" w:cs="宋体"/>
                <w:kern w:val="0"/>
              </w:rPr>
              <w:t>Ⅳ</w:t>
            </w:r>
          </w:p>
        </w:tc>
        <w:tc>
          <w:tcPr>
            <w:tcW w:w="894" w:type="pct"/>
            <w:shd w:val="clear" w:color="auto" w:fill="auto"/>
            <w:tcMar>
              <w:left w:w="0" w:type="dxa"/>
              <w:right w:w="0" w:type="dxa"/>
            </w:tcMar>
            <w:vAlign w:val="center"/>
          </w:tcPr>
          <w:p>
            <w:pPr>
              <w:kinsoku w:val="0"/>
              <w:overflowPunct w:val="0"/>
              <w:adjustRightInd w:val="0"/>
              <w:snapToGrid w:val="0"/>
              <w:jc w:val="center"/>
              <w:rPr>
                <w:rFonts w:ascii="仿宋" w:hAnsi="仿宋" w:eastAsia="仿宋"/>
                <w:kern w:val="0"/>
              </w:rPr>
            </w:pPr>
            <w:r>
              <w:rPr>
                <w:rFonts w:hint="eastAsia" w:ascii="仿宋" w:hAnsi="仿宋" w:eastAsia="仿宋" w:cs="宋体"/>
                <w:kern w:val="0"/>
              </w:rPr>
              <w:t>Ⅲ</w:t>
            </w:r>
          </w:p>
        </w:tc>
        <w:tc>
          <w:tcPr>
            <w:tcW w:w="911" w:type="pct"/>
            <w:shd w:val="clear" w:color="auto" w:fill="auto"/>
            <w:tcMar>
              <w:left w:w="0" w:type="dxa"/>
              <w:right w:w="0" w:type="dxa"/>
            </w:tcMar>
            <w:vAlign w:val="center"/>
          </w:tcPr>
          <w:p>
            <w:pPr>
              <w:kinsoku w:val="0"/>
              <w:overflowPunct w:val="0"/>
              <w:adjustRightInd w:val="0"/>
              <w:snapToGrid w:val="0"/>
              <w:jc w:val="center"/>
              <w:rPr>
                <w:rFonts w:ascii="仿宋" w:hAnsi="仿宋" w:eastAsia="仿宋"/>
                <w:kern w:val="0"/>
              </w:rPr>
            </w:pPr>
            <w:r>
              <w:rPr>
                <w:rFonts w:hint="eastAsia" w:ascii="仿宋" w:hAnsi="仿宋" w:eastAsia="仿宋" w:cs="宋体"/>
                <w:kern w:val="0"/>
              </w:rPr>
              <w:t>Ⅲ</w:t>
            </w:r>
          </w:p>
        </w:tc>
        <w:tc>
          <w:tcPr>
            <w:tcW w:w="947" w:type="pct"/>
            <w:tcBorders>
              <w:bottom w:val="single" w:color="auto" w:sz="4" w:space="0"/>
            </w:tcBorders>
            <w:shd w:val="pct20" w:color="auto" w:fill="auto"/>
            <w:tcMar>
              <w:left w:w="0" w:type="dxa"/>
              <w:right w:w="0" w:type="dxa"/>
            </w:tcMar>
            <w:vAlign w:val="center"/>
          </w:tcPr>
          <w:p>
            <w:pPr>
              <w:kinsoku w:val="0"/>
              <w:overflowPunct w:val="0"/>
              <w:adjustRightInd w:val="0"/>
              <w:snapToGrid w:val="0"/>
              <w:jc w:val="center"/>
              <w:rPr>
                <w:rFonts w:ascii="仿宋" w:hAnsi="仿宋" w:eastAsia="仿宋"/>
                <w:kern w:val="0"/>
              </w:rPr>
            </w:pPr>
            <w:r>
              <w:rPr>
                <w:rFonts w:hint="eastAsia" w:ascii="仿宋" w:hAnsi="仿宋" w:eastAsia="仿宋" w:cs="宋体"/>
                <w:kern w:val="0"/>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27" w:type="pct"/>
            <w:shd w:val="clear" w:color="auto" w:fill="auto"/>
            <w:tcMar>
              <w:left w:w="0" w:type="dxa"/>
              <w:right w:w="0" w:type="dxa"/>
            </w:tcMar>
            <w:vAlign w:val="center"/>
          </w:tcPr>
          <w:p>
            <w:pPr>
              <w:kinsoku w:val="0"/>
              <w:overflowPunct w:val="0"/>
              <w:adjustRightInd w:val="0"/>
              <w:snapToGrid w:val="0"/>
              <w:jc w:val="center"/>
              <w:rPr>
                <w:rFonts w:ascii="仿宋" w:hAnsi="仿宋" w:eastAsia="仿宋"/>
                <w:kern w:val="0"/>
              </w:rPr>
            </w:pPr>
            <w:r>
              <w:rPr>
                <w:rFonts w:ascii="仿宋" w:hAnsi="仿宋" w:eastAsia="仿宋"/>
                <w:kern w:val="0"/>
              </w:rPr>
              <w:t>环境低度敏感区（E3）</w:t>
            </w:r>
          </w:p>
        </w:tc>
        <w:tc>
          <w:tcPr>
            <w:tcW w:w="918" w:type="pct"/>
            <w:shd w:val="clear" w:color="auto" w:fill="auto"/>
            <w:tcMar>
              <w:left w:w="0" w:type="dxa"/>
              <w:right w:w="0" w:type="dxa"/>
            </w:tcMar>
            <w:vAlign w:val="center"/>
          </w:tcPr>
          <w:p>
            <w:pPr>
              <w:kinsoku w:val="0"/>
              <w:overflowPunct w:val="0"/>
              <w:adjustRightInd w:val="0"/>
              <w:snapToGrid w:val="0"/>
              <w:jc w:val="center"/>
              <w:rPr>
                <w:rFonts w:ascii="仿宋" w:hAnsi="仿宋" w:eastAsia="仿宋"/>
                <w:kern w:val="0"/>
              </w:rPr>
            </w:pPr>
            <w:r>
              <w:rPr>
                <w:rFonts w:hint="eastAsia" w:ascii="仿宋" w:hAnsi="仿宋" w:eastAsia="仿宋" w:cs="宋体"/>
                <w:kern w:val="0"/>
              </w:rPr>
              <w:t>Ⅲ</w:t>
            </w:r>
          </w:p>
        </w:tc>
        <w:tc>
          <w:tcPr>
            <w:tcW w:w="894" w:type="pct"/>
            <w:shd w:val="clear" w:color="auto" w:fill="auto"/>
            <w:tcMar>
              <w:left w:w="0" w:type="dxa"/>
              <w:right w:w="0" w:type="dxa"/>
            </w:tcMar>
            <w:vAlign w:val="center"/>
          </w:tcPr>
          <w:p>
            <w:pPr>
              <w:kinsoku w:val="0"/>
              <w:overflowPunct w:val="0"/>
              <w:adjustRightInd w:val="0"/>
              <w:snapToGrid w:val="0"/>
              <w:jc w:val="center"/>
              <w:rPr>
                <w:rFonts w:ascii="仿宋" w:hAnsi="仿宋" w:eastAsia="仿宋"/>
                <w:kern w:val="0"/>
              </w:rPr>
            </w:pPr>
            <w:r>
              <w:rPr>
                <w:rFonts w:hint="eastAsia" w:ascii="仿宋" w:hAnsi="仿宋" w:eastAsia="仿宋" w:cs="宋体"/>
                <w:kern w:val="0"/>
              </w:rPr>
              <w:t>Ⅲ</w:t>
            </w:r>
          </w:p>
        </w:tc>
        <w:tc>
          <w:tcPr>
            <w:tcW w:w="911" w:type="pct"/>
            <w:shd w:val="clear" w:color="auto" w:fill="auto"/>
            <w:tcMar>
              <w:left w:w="0" w:type="dxa"/>
              <w:right w:w="0" w:type="dxa"/>
            </w:tcMar>
            <w:vAlign w:val="center"/>
          </w:tcPr>
          <w:p>
            <w:pPr>
              <w:kinsoku w:val="0"/>
              <w:overflowPunct w:val="0"/>
              <w:adjustRightInd w:val="0"/>
              <w:snapToGrid w:val="0"/>
              <w:jc w:val="center"/>
              <w:rPr>
                <w:rFonts w:ascii="仿宋" w:hAnsi="仿宋" w:eastAsia="仿宋"/>
                <w:kern w:val="0"/>
              </w:rPr>
            </w:pPr>
            <w:r>
              <w:rPr>
                <w:rFonts w:hint="eastAsia" w:ascii="仿宋" w:hAnsi="仿宋" w:eastAsia="仿宋" w:cs="宋体"/>
                <w:kern w:val="0"/>
              </w:rPr>
              <w:t>Ⅱ</w:t>
            </w:r>
          </w:p>
        </w:tc>
        <w:tc>
          <w:tcPr>
            <w:tcW w:w="947" w:type="pct"/>
            <w:shd w:val="clear" w:color="auto" w:fill="auto"/>
            <w:tcMar>
              <w:left w:w="0" w:type="dxa"/>
              <w:right w:w="0" w:type="dxa"/>
            </w:tcMar>
            <w:vAlign w:val="center"/>
          </w:tcPr>
          <w:p>
            <w:pPr>
              <w:kinsoku w:val="0"/>
              <w:overflowPunct w:val="0"/>
              <w:adjustRightInd w:val="0"/>
              <w:snapToGrid w:val="0"/>
              <w:jc w:val="center"/>
              <w:rPr>
                <w:rFonts w:ascii="仿宋" w:hAnsi="仿宋" w:eastAsia="仿宋"/>
                <w:kern w:val="0"/>
              </w:rPr>
            </w:pPr>
            <w:r>
              <w:rPr>
                <w:rFonts w:hint="eastAsia" w:ascii="仿宋" w:hAnsi="仿宋" w:eastAsia="仿宋" w:cs="宋体"/>
                <w:kern w:val="0"/>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5"/>
            <w:shd w:val="clear" w:color="auto" w:fill="auto"/>
            <w:tcMar>
              <w:left w:w="0" w:type="dxa"/>
              <w:right w:w="0" w:type="dxa"/>
            </w:tcMar>
            <w:vAlign w:val="center"/>
          </w:tcPr>
          <w:p>
            <w:pPr>
              <w:kinsoku w:val="0"/>
              <w:overflowPunct w:val="0"/>
              <w:adjustRightInd w:val="0"/>
              <w:snapToGrid w:val="0"/>
              <w:jc w:val="center"/>
              <w:rPr>
                <w:rFonts w:ascii="仿宋" w:hAnsi="仿宋" w:eastAsia="仿宋"/>
                <w:b/>
                <w:kern w:val="0"/>
              </w:rPr>
            </w:pPr>
            <w:r>
              <w:rPr>
                <w:rFonts w:ascii="仿宋" w:hAnsi="仿宋" w:eastAsia="仿宋"/>
                <w:b/>
                <w:kern w:val="0"/>
              </w:rPr>
              <w:t>三、地下水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27" w:type="pct"/>
            <w:shd w:val="clear" w:color="auto" w:fill="auto"/>
            <w:tcMar>
              <w:left w:w="0" w:type="dxa"/>
              <w:right w:w="0" w:type="dxa"/>
            </w:tcMar>
            <w:vAlign w:val="center"/>
          </w:tcPr>
          <w:p>
            <w:pPr>
              <w:kinsoku w:val="0"/>
              <w:overflowPunct w:val="0"/>
              <w:adjustRightInd w:val="0"/>
              <w:snapToGrid w:val="0"/>
              <w:jc w:val="center"/>
              <w:rPr>
                <w:rFonts w:ascii="仿宋" w:hAnsi="仿宋" w:eastAsia="仿宋"/>
                <w:kern w:val="0"/>
              </w:rPr>
            </w:pPr>
            <w:r>
              <w:rPr>
                <w:rFonts w:ascii="仿宋" w:hAnsi="仿宋" w:eastAsia="仿宋"/>
                <w:kern w:val="0"/>
              </w:rPr>
              <w:t>环境高度敏感区（E1）</w:t>
            </w:r>
          </w:p>
        </w:tc>
        <w:tc>
          <w:tcPr>
            <w:tcW w:w="918" w:type="pct"/>
            <w:shd w:val="clear" w:color="auto" w:fill="auto"/>
            <w:tcMar>
              <w:left w:w="0" w:type="dxa"/>
              <w:right w:w="0" w:type="dxa"/>
            </w:tcMar>
            <w:vAlign w:val="center"/>
          </w:tcPr>
          <w:p>
            <w:pPr>
              <w:kinsoku w:val="0"/>
              <w:overflowPunct w:val="0"/>
              <w:adjustRightInd w:val="0"/>
              <w:snapToGrid w:val="0"/>
              <w:jc w:val="center"/>
              <w:rPr>
                <w:rFonts w:ascii="仿宋" w:hAnsi="仿宋" w:eastAsia="仿宋"/>
                <w:kern w:val="0"/>
              </w:rPr>
            </w:pPr>
            <w:r>
              <w:rPr>
                <w:rFonts w:hint="eastAsia" w:ascii="仿宋" w:hAnsi="仿宋" w:eastAsia="仿宋" w:cs="宋体"/>
                <w:kern w:val="0"/>
              </w:rPr>
              <w:t>Ⅳ</w:t>
            </w:r>
            <w:r>
              <w:rPr>
                <w:rFonts w:ascii="仿宋" w:hAnsi="仿宋" w:eastAsia="仿宋"/>
                <w:kern w:val="0"/>
                <w:vertAlign w:val="superscript"/>
              </w:rPr>
              <w:t>+</w:t>
            </w:r>
          </w:p>
        </w:tc>
        <w:tc>
          <w:tcPr>
            <w:tcW w:w="894" w:type="pct"/>
            <w:shd w:val="clear" w:color="auto" w:fill="auto"/>
            <w:tcMar>
              <w:left w:w="0" w:type="dxa"/>
              <w:right w:w="0" w:type="dxa"/>
            </w:tcMar>
            <w:vAlign w:val="center"/>
          </w:tcPr>
          <w:p>
            <w:pPr>
              <w:kinsoku w:val="0"/>
              <w:overflowPunct w:val="0"/>
              <w:adjustRightInd w:val="0"/>
              <w:snapToGrid w:val="0"/>
              <w:jc w:val="center"/>
              <w:rPr>
                <w:rFonts w:ascii="仿宋" w:hAnsi="仿宋" w:eastAsia="仿宋"/>
                <w:kern w:val="0"/>
              </w:rPr>
            </w:pPr>
            <w:r>
              <w:rPr>
                <w:rFonts w:hint="eastAsia" w:ascii="仿宋" w:hAnsi="仿宋" w:eastAsia="仿宋" w:cs="宋体"/>
                <w:kern w:val="0"/>
              </w:rPr>
              <w:t>Ⅳ</w:t>
            </w:r>
          </w:p>
        </w:tc>
        <w:tc>
          <w:tcPr>
            <w:tcW w:w="911" w:type="pct"/>
            <w:shd w:val="clear" w:color="auto" w:fill="auto"/>
            <w:tcMar>
              <w:left w:w="0" w:type="dxa"/>
              <w:right w:w="0" w:type="dxa"/>
            </w:tcMar>
            <w:vAlign w:val="center"/>
          </w:tcPr>
          <w:p>
            <w:pPr>
              <w:kinsoku w:val="0"/>
              <w:overflowPunct w:val="0"/>
              <w:adjustRightInd w:val="0"/>
              <w:snapToGrid w:val="0"/>
              <w:jc w:val="center"/>
              <w:rPr>
                <w:rFonts w:ascii="仿宋" w:hAnsi="仿宋" w:eastAsia="仿宋"/>
                <w:kern w:val="0"/>
              </w:rPr>
            </w:pPr>
            <w:r>
              <w:rPr>
                <w:rFonts w:hint="eastAsia" w:ascii="仿宋" w:hAnsi="仿宋" w:eastAsia="仿宋" w:cs="宋体"/>
                <w:kern w:val="0"/>
              </w:rPr>
              <w:t>Ⅲ</w:t>
            </w:r>
          </w:p>
        </w:tc>
        <w:tc>
          <w:tcPr>
            <w:tcW w:w="947" w:type="pct"/>
            <w:shd w:val="clear" w:color="auto" w:fill="auto"/>
            <w:tcMar>
              <w:left w:w="0" w:type="dxa"/>
              <w:right w:w="0" w:type="dxa"/>
            </w:tcMar>
            <w:vAlign w:val="center"/>
          </w:tcPr>
          <w:p>
            <w:pPr>
              <w:kinsoku w:val="0"/>
              <w:overflowPunct w:val="0"/>
              <w:adjustRightInd w:val="0"/>
              <w:snapToGrid w:val="0"/>
              <w:jc w:val="center"/>
              <w:rPr>
                <w:rFonts w:ascii="仿宋" w:hAnsi="仿宋" w:eastAsia="仿宋"/>
                <w:kern w:val="0"/>
              </w:rPr>
            </w:pPr>
            <w:r>
              <w:rPr>
                <w:rFonts w:hint="eastAsia" w:ascii="仿宋" w:hAnsi="仿宋" w:eastAsia="仿宋" w:cs="宋体"/>
                <w:kern w:val="0"/>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27" w:type="pct"/>
            <w:shd w:val="clear" w:color="auto" w:fill="auto"/>
            <w:tcMar>
              <w:left w:w="0" w:type="dxa"/>
              <w:right w:w="0" w:type="dxa"/>
            </w:tcMar>
            <w:vAlign w:val="center"/>
          </w:tcPr>
          <w:p>
            <w:pPr>
              <w:kinsoku w:val="0"/>
              <w:overflowPunct w:val="0"/>
              <w:adjustRightInd w:val="0"/>
              <w:snapToGrid w:val="0"/>
              <w:jc w:val="center"/>
              <w:rPr>
                <w:rFonts w:ascii="仿宋" w:hAnsi="仿宋" w:eastAsia="仿宋"/>
                <w:kern w:val="0"/>
              </w:rPr>
            </w:pPr>
            <w:r>
              <w:rPr>
                <w:rFonts w:ascii="仿宋" w:hAnsi="仿宋" w:eastAsia="仿宋"/>
                <w:kern w:val="0"/>
              </w:rPr>
              <w:t>环境中度敏感区（E2）</w:t>
            </w:r>
          </w:p>
        </w:tc>
        <w:tc>
          <w:tcPr>
            <w:tcW w:w="918" w:type="pct"/>
            <w:shd w:val="clear" w:color="auto" w:fill="auto"/>
            <w:tcMar>
              <w:left w:w="0" w:type="dxa"/>
              <w:right w:w="0" w:type="dxa"/>
            </w:tcMar>
            <w:vAlign w:val="center"/>
          </w:tcPr>
          <w:p>
            <w:pPr>
              <w:kinsoku w:val="0"/>
              <w:overflowPunct w:val="0"/>
              <w:adjustRightInd w:val="0"/>
              <w:snapToGrid w:val="0"/>
              <w:jc w:val="center"/>
              <w:rPr>
                <w:rFonts w:ascii="仿宋" w:hAnsi="仿宋" w:eastAsia="仿宋"/>
                <w:kern w:val="0"/>
              </w:rPr>
            </w:pPr>
            <w:r>
              <w:rPr>
                <w:rFonts w:hint="eastAsia" w:ascii="仿宋" w:hAnsi="仿宋" w:eastAsia="仿宋" w:cs="宋体"/>
                <w:kern w:val="0"/>
              </w:rPr>
              <w:t>Ⅳ</w:t>
            </w:r>
          </w:p>
        </w:tc>
        <w:tc>
          <w:tcPr>
            <w:tcW w:w="894" w:type="pct"/>
            <w:shd w:val="clear" w:color="auto" w:fill="auto"/>
            <w:tcMar>
              <w:left w:w="0" w:type="dxa"/>
              <w:right w:w="0" w:type="dxa"/>
            </w:tcMar>
            <w:vAlign w:val="center"/>
          </w:tcPr>
          <w:p>
            <w:pPr>
              <w:kinsoku w:val="0"/>
              <w:overflowPunct w:val="0"/>
              <w:adjustRightInd w:val="0"/>
              <w:snapToGrid w:val="0"/>
              <w:jc w:val="center"/>
              <w:rPr>
                <w:rFonts w:ascii="仿宋" w:hAnsi="仿宋" w:eastAsia="仿宋"/>
                <w:kern w:val="0"/>
              </w:rPr>
            </w:pPr>
            <w:r>
              <w:rPr>
                <w:rFonts w:hint="eastAsia" w:ascii="仿宋" w:hAnsi="仿宋" w:eastAsia="仿宋" w:cs="宋体"/>
                <w:kern w:val="0"/>
              </w:rPr>
              <w:t>Ⅲ</w:t>
            </w:r>
          </w:p>
        </w:tc>
        <w:tc>
          <w:tcPr>
            <w:tcW w:w="911" w:type="pct"/>
            <w:shd w:val="clear" w:color="auto" w:fill="auto"/>
            <w:tcMar>
              <w:left w:w="0" w:type="dxa"/>
              <w:right w:w="0" w:type="dxa"/>
            </w:tcMar>
            <w:vAlign w:val="center"/>
          </w:tcPr>
          <w:p>
            <w:pPr>
              <w:kinsoku w:val="0"/>
              <w:overflowPunct w:val="0"/>
              <w:adjustRightInd w:val="0"/>
              <w:snapToGrid w:val="0"/>
              <w:jc w:val="center"/>
              <w:rPr>
                <w:rFonts w:ascii="仿宋" w:hAnsi="仿宋" w:eastAsia="仿宋"/>
                <w:kern w:val="0"/>
              </w:rPr>
            </w:pPr>
            <w:r>
              <w:rPr>
                <w:rFonts w:hint="eastAsia" w:ascii="仿宋" w:hAnsi="仿宋" w:eastAsia="仿宋" w:cs="宋体"/>
                <w:kern w:val="0"/>
              </w:rPr>
              <w:t>Ⅲ</w:t>
            </w:r>
          </w:p>
        </w:tc>
        <w:tc>
          <w:tcPr>
            <w:tcW w:w="947" w:type="pct"/>
            <w:shd w:val="clear" w:color="auto" w:fill="auto"/>
            <w:tcMar>
              <w:left w:w="0" w:type="dxa"/>
              <w:right w:w="0" w:type="dxa"/>
            </w:tcMar>
            <w:vAlign w:val="center"/>
          </w:tcPr>
          <w:p>
            <w:pPr>
              <w:kinsoku w:val="0"/>
              <w:overflowPunct w:val="0"/>
              <w:adjustRightInd w:val="0"/>
              <w:snapToGrid w:val="0"/>
              <w:jc w:val="center"/>
              <w:rPr>
                <w:rFonts w:ascii="仿宋" w:hAnsi="仿宋" w:eastAsia="仿宋"/>
                <w:kern w:val="0"/>
              </w:rPr>
            </w:pPr>
            <w:r>
              <w:rPr>
                <w:rFonts w:hint="eastAsia" w:ascii="仿宋" w:hAnsi="仿宋" w:eastAsia="仿宋" w:cs="宋体"/>
                <w:kern w:val="0"/>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27" w:type="pct"/>
            <w:shd w:val="clear" w:color="auto" w:fill="auto"/>
            <w:tcMar>
              <w:left w:w="0" w:type="dxa"/>
              <w:right w:w="0" w:type="dxa"/>
            </w:tcMar>
            <w:vAlign w:val="center"/>
          </w:tcPr>
          <w:p>
            <w:pPr>
              <w:kinsoku w:val="0"/>
              <w:overflowPunct w:val="0"/>
              <w:adjustRightInd w:val="0"/>
              <w:snapToGrid w:val="0"/>
              <w:jc w:val="center"/>
              <w:rPr>
                <w:rFonts w:ascii="仿宋" w:hAnsi="仿宋" w:eastAsia="仿宋"/>
                <w:kern w:val="0"/>
              </w:rPr>
            </w:pPr>
            <w:r>
              <w:rPr>
                <w:rFonts w:ascii="仿宋" w:hAnsi="仿宋" w:eastAsia="仿宋"/>
                <w:kern w:val="0"/>
              </w:rPr>
              <w:t>环境低度敏感区（E3）</w:t>
            </w:r>
          </w:p>
        </w:tc>
        <w:tc>
          <w:tcPr>
            <w:tcW w:w="918" w:type="pct"/>
            <w:shd w:val="clear" w:color="auto" w:fill="auto"/>
            <w:tcMar>
              <w:left w:w="0" w:type="dxa"/>
              <w:right w:w="0" w:type="dxa"/>
            </w:tcMar>
            <w:vAlign w:val="center"/>
          </w:tcPr>
          <w:p>
            <w:pPr>
              <w:kinsoku w:val="0"/>
              <w:overflowPunct w:val="0"/>
              <w:adjustRightInd w:val="0"/>
              <w:snapToGrid w:val="0"/>
              <w:jc w:val="center"/>
              <w:rPr>
                <w:rFonts w:ascii="仿宋" w:hAnsi="仿宋" w:eastAsia="仿宋"/>
                <w:kern w:val="0"/>
              </w:rPr>
            </w:pPr>
            <w:r>
              <w:rPr>
                <w:rFonts w:hint="eastAsia" w:ascii="仿宋" w:hAnsi="仿宋" w:eastAsia="仿宋" w:cs="宋体"/>
                <w:kern w:val="0"/>
              </w:rPr>
              <w:t>Ⅲ</w:t>
            </w:r>
          </w:p>
        </w:tc>
        <w:tc>
          <w:tcPr>
            <w:tcW w:w="894" w:type="pct"/>
            <w:shd w:val="clear" w:color="auto" w:fill="auto"/>
            <w:tcMar>
              <w:left w:w="0" w:type="dxa"/>
              <w:right w:w="0" w:type="dxa"/>
            </w:tcMar>
            <w:vAlign w:val="center"/>
          </w:tcPr>
          <w:p>
            <w:pPr>
              <w:kinsoku w:val="0"/>
              <w:overflowPunct w:val="0"/>
              <w:adjustRightInd w:val="0"/>
              <w:snapToGrid w:val="0"/>
              <w:jc w:val="center"/>
              <w:rPr>
                <w:rFonts w:ascii="仿宋" w:hAnsi="仿宋" w:eastAsia="仿宋"/>
                <w:kern w:val="0"/>
              </w:rPr>
            </w:pPr>
            <w:r>
              <w:rPr>
                <w:rFonts w:hint="eastAsia" w:ascii="仿宋" w:hAnsi="仿宋" w:eastAsia="仿宋" w:cs="宋体"/>
                <w:kern w:val="0"/>
              </w:rPr>
              <w:t>Ⅲ</w:t>
            </w:r>
          </w:p>
        </w:tc>
        <w:tc>
          <w:tcPr>
            <w:tcW w:w="911" w:type="pct"/>
            <w:shd w:val="clear" w:color="auto" w:fill="auto"/>
            <w:tcMar>
              <w:left w:w="0" w:type="dxa"/>
              <w:right w:w="0" w:type="dxa"/>
            </w:tcMar>
            <w:vAlign w:val="center"/>
          </w:tcPr>
          <w:p>
            <w:pPr>
              <w:kinsoku w:val="0"/>
              <w:overflowPunct w:val="0"/>
              <w:adjustRightInd w:val="0"/>
              <w:snapToGrid w:val="0"/>
              <w:jc w:val="center"/>
              <w:rPr>
                <w:rFonts w:ascii="仿宋" w:hAnsi="仿宋" w:eastAsia="仿宋"/>
                <w:kern w:val="0"/>
              </w:rPr>
            </w:pPr>
            <w:r>
              <w:rPr>
                <w:rFonts w:hint="eastAsia" w:ascii="仿宋" w:hAnsi="仿宋" w:eastAsia="仿宋" w:cs="宋体"/>
                <w:kern w:val="0"/>
              </w:rPr>
              <w:t>Ⅱ</w:t>
            </w:r>
          </w:p>
        </w:tc>
        <w:tc>
          <w:tcPr>
            <w:tcW w:w="947" w:type="pct"/>
            <w:shd w:val="clear" w:color="auto" w:fill="BEBEBE" w:themeFill="background1" w:themeFillShade="BF"/>
            <w:tcMar>
              <w:left w:w="0" w:type="dxa"/>
              <w:right w:w="0" w:type="dxa"/>
            </w:tcMar>
            <w:vAlign w:val="center"/>
          </w:tcPr>
          <w:p>
            <w:pPr>
              <w:kinsoku w:val="0"/>
              <w:overflowPunct w:val="0"/>
              <w:adjustRightInd w:val="0"/>
              <w:snapToGrid w:val="0"/>
              <w:jc w:val="center"/>
              <w:rPr>
                <w:rFonts w:ascii="仿宋" w:hAnsi="仿宋" w:eastAsia="仿宋"/>
                <w:kern w:val="0"/>
              </w:rPr>
            </w:pPr>
            <w:r>
              <w:rPr>
                <w:rFonts w:hint="eastAsia" w:ascii="仿宋" w:hAnsi="仿宋" w:eastAsia="仿宋" w:cs="宋体"/>
                <w:kern w:val="0"/>
              </w:rPr>
              <w:t>Ⅰ</w:t>
            </w:r>
          </w:p>
        </w:tc>
      </w:tr>
    </w:tbl>
    <w:p>
      <w:pPr>
        <w:ind w:firstLine="420"/>
        <w:rPr>
          <w:rFonts w:eastAsia="仿宋_GB2312"/>
          <w:szCs w:val="21"/>
        </w:rPr>
      </w:pPr>
      <w:r>
        <w:rPr>
          <w:rFonts w:hint="eastAsia" w:eastAsia="仿宋_GB2312"/>
          <w:szCs w:val="21"/>
        </w:rPr>
        <w:t>注：Ⅳ+为极高环境风险。</w:t>
      </w:r>
    </w:p>
    <w:p>
      <w:pPr>
        <w:spacing w:line="500" w:lineRule="exact"/>
        <w:ind w:firstLine="562" w:firstLineChars="200"/>
        <w:rPr>
          <w:rFonts w:eastAsia="仿宋_GB2312"/>
          <w:b/>
          <w:sz w:val="28"/>
          <w:szCs w:val="20"/>
        </w:rPr>
      </w:pPr>
      <w:r>
        <w:rPr>
          <w:rFonts w:eastAsia="仿宋_GB2312"/>
          <w:b/>
          <w:sz w:val="28"/>
          <w:szCs w:val="20"/>
        </w:rPr>
        <w:t>四、环境风险评价工作等级确定</w:t>
      </w:r>
    </w:p>
    <w:p>
      <w:pPr>
        <w:spacing w:line="500" w:lineRule="exact"/>
        <w:ind w:firstLine="560" w:firstLineChars="200"/>
        <w:rPr>
          <w:rFonts w:eastAsia="仿宋_GB2312"/>
          <w:sz w:val="28"/>
          <w:szCs w:val="20"/>
        </w:rPr>
      </w:pPr>
      <w:r>
        <w:rPr>
          <w:rFonts w:eastAsia="仿宋_GB2312"/>
          <w:sz w:val="28"/>
          <w:szCs w:val="20"/>
        </w:rPr>
        <w:t>环境风险评价工作级别判定标准见表5.3-15。</w:t>
      </w:r>
    </w:p>
    <w:p>
      <w:pPr>
        <w:spacing w:line="500" w:lineRule="exact"/>
        <w:ind w:firstLine="482" w:firstLineChars="200"/>
        <w:jc w:val="center"/>
        <w:rPr>
          <w:rFonts w:eastAsia="仿宋_GB2312"/>
          <w:b/>
          <w:bCs/>
          <w:sz w:val="24"/>
        </w:rPr>
      </w:pPr>
      <w:r>
        <w:rPr>
          <w:rFonts w:eastAsia="仿宋_GB2312"/>
          <w:b/>
          <w:sz w:val="24"/>
        </w:rPr>
        <w:t>表5.3-15  环境风险评价工作级别</w:t>
      </w:r>
      <w:r>
        <w:rPr>
          <w:rFonts w:eastAsia="仿宋_GB2312"/>
          <w:b/>
          <w:bCs/>
          <w:sz w:val="24"/>
        </w:rPr>
        <w:t>判定标准</w:t>
      </w:r>
    </w:p>
    <w:tbl>
      <w:tblPr>
        <w:tblStyle w:val="87"/>
        <w:tblW w:w="91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80"/>
        <w:gridCol w:w="1580"/>
        <w:gridCol w:w="1818"/>
        <w:gridCol w:w="1818"/>
        <w:gridCol w:w="2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880" w:type="dxa"/>
            <w:tcBorders>
              <w:top w:val="single" w:color="auto" w:sz="4" w:space="0"/>
              <w:left w:val="single" w:color="auto" w:sz="4" w:space="0"/>
              <w:bottom w:val="single" w:color="auto" w:sz="4" w:space="0"/>
              <w:right w:val="single" w:color="auto" w:sz="4" w:space="0"/>
            </w:tcBorders>
            <w:vAlign w:val="center"/>
          </w:tcPr>
          <w:p>
            <w:pPr>
              <w:kinsoku w:val="0"/>
              <w:overflowPunct w:val="0"/>
              <w:adjustRightInd w:val="0"/>
              <w:snapToGrid w:val="0"/>
              <w:jc w:val="center"/>
              <w:rPr>
                <w:rFonts w:ascii="仿宋" w:hAnsi="仿宋" w:eastAsia="仿宋"/>
                <w:kern w:val="0"/>
              </w:rPr>
            </w:pPr>
            <w:r>
              <w:rPr>
                <w:rFonts w:ascii="仿宋" w:hAnsi="仿宋" w:eastAsia="仿宋"/>
                <w:kern w:val="0"/>
              </w:rPr>
              <w:t>环境风险潜势</w:t>
            </w:r>
          </w:p>
        </w:tc>
        <w:tc>
          <w:tcPr>
            <w:tcW w:w="1580" w:type="dxa"/>
            <w:tcBorders>
              <w:top w:val="single" w:color="auto" w:sz="4" w:space="0"/>
              <w:left w:val="single" w:color="auto" w:sz="4" w:space="0"/>
              <w:bottom w:val="single" w:color="auto" w:sz="4" w:space="0"/>
              <w:right w:val="single" w:color="auto" w:sz="4" w:space="0"/>
            </w:tcBorders>
            <w:vAlign w:val="center"/>
          </w:tcPr>
          <w:p>
            <w:pPr>
              <w:kinsoku w:val="0"/>
              <w:overflowPunct w:val="0"/>
              <w:adjustRightInd w:val="0"/>
              <w:snapToGrid w:val="0"/>
              <w:jc w:val="center"/>
              <w:rPr>
                <w:rFonts w:ascii="仿宋" w:hAnsi="仿宋" w:eastAsia="仿宋"/>
                <w:kern w:val="0"/>
              </w:rPr>
            </w:pPr>
            <w:r>
              <w:rPr>
                <w:rFonts w:hint="eastAsia" w:ascii="仿宋" w:hAnsi="仿宋" w:eastAsia="仿宋"/>
                <w:kern w:val="0"/>
              </w:rPr>
              <w:t>Ⅳ</w:t>
            </w:r>
            <w:r>
              <w:rPr>
                <w:rFonts w:ascii="仿宋" w:hAnsi="仿宋" w:eastAsia="仿宋"/>
                <w:kern w:val="0"/>
              </w:rPr>
              <w:t>、</w:t>
            </w:r>
            <w:r>
              <w:rPr>
                <w:rFonts w:hint="eastAsia" w:ascii="仿宋" w:hAnsi="仿宋" w:eastAsia="仿宋"/>
                <w:kern w:val="0"/>
              </w:rPr>
              <w:t>Ⅳ</w:t>
            </w:r>
            <w:r>
              <w:rPr>
                <w:rFonts w:ascii="仿宋" w:hAnsi="仿宋" w:eastAsia="仿宋"/>
                <w:kern w:val="0"/>
              </w:rPr>
              <w:t>+</w:t>
            </w:r>
          </w:p>
        </w:tc>
        <w:tc>
          <w:tcPr>
            <w:tcW w:w="1818" w:type="dxa"/>
            <w:tcBorders>
              <w:top w:val="single" w:color="auto" w:sz="4" w:space="0"/>
              <w:left w:val="single" w:color="auto" w:sz="4" w:space="0"/>
              <w:bottom w:val="single" w:color="auto" w:sz="4" w:space="0"/>
              <w:right w:val="single" w:color="auto" w:sz="4" w:space="0"/>
            </w:tcBorders>
            <w:vAlign w:val="center"/>
          </w:tcPr>
          <w:p>
            <w:pPr>
              <w:kinsoku w:val="0"/>
              <w:overflowPunct w:val="0"/>
              <w:adjustRightInd w:val="0"/>
              <w:snapToGrid w:val="0"/>
              <w:jc w:val="center"/>
              <w:rPr>
                <w:rFonts w:ascii="仿宋" w:hAnsi="仿宋" w:eastAsia="仿宋"/>
                <w:kern w:val="0"/>
              </w:rPr>
            </w:pPr>
            <w:r>
              <w:rPr>
                <w:rFonts w:hint="eastAsia" w:ascii="仿宋" w:hAnsi="仿宋" w:eastAsia="仿宋"/>
                <w:kern w:val="0"/>
              </w:rPr>
              <w:t>Ⅲ</w:t>
            </w:r>
          </w:p>
        </w:tc>
        <w:tc>
          <w:tcPr>
            <w:tcW w:w="1818" w:type="dxa"/>
            <w:tcBorders>
              <w:top w:val="single" w:color="auto" w:sz="4" w:space="0"/>
              <w:left w:val="single" w:color="auto" w:sz="4" w:space="0"/>
              <w:bottom w:val="single" w:color="auto" w:sz="4" w:space="0"/>
              <w:right w:val="single" w:color="auto" w:sz="4" w:space="0"/>
            </w:tcBorders>
            <w:vAlign w:val="center"/>
          </w:tcPr>
          <w:p>
            <w:pPr>
              <w:kinsoku w:val="0"/>
              <w:overflowPunct w:val="0"/>
              <w:adjustRightInd w:val="0"/>
              <w:snapToGrid w:val="0"/>
              <w:jc w:val="center"/>
              <w:rPr>
                <w:rFonts w:ascii="仿宋" w:hAnsi="仿宋" w:eastAsia="仿宋"/>
                <w:kern w:val="0"/>
              </w:rPr>
            </w:pPr>
            <w:r>
              <w:rPr>
                <w:rFonts w:hint="eastAsia" w:ascii="仿宋" w:hAnsi="仿宋" w:eastAsia="仿宋"/>
                <w:kern w:val="0"/>
              </w:rPr>
              <w:t>Ⅱ</w:t>
            </w:r>
          </w:p>
        </w:tc>
        <w:tc>
          <w:tcPr>
            <w:tcW w:w="2054" w:type="dxa"/>
            <w:tcBorders>
              <w:top w:val="single" w:color="auto" w:sz="4" w:space="0"/>
              <w:left w:val="single" w:color="auto" w:sz="4" w:space="0"/>
              <w:bottom w:val="single" w:color="auto" w:sz="4" w:space="0"/>
              <w:right w:val="single" w:color="auto" w:sz="4" w:space="0"/>
            </w:tcBorders>
            <w:shd w:val="clear" w:color="auto" w:fill="auto"/>
            <w:vAlign w:val="center"/>
          </w:tcPr>
          <w:p>
            <w:pPr>
              <w:kinsoku w:val="0"/>
              <w:overflowPunct w:val="0"/>
              <w:adjustRightInd w:val="0"/>
              <w:snapToGrid w:val="0"/>
              <w:jc w:val="center"/>
              <w:rPr>
                <w:rFonts w:ascii="仿宋" w:hAnsi="仿宋" w:eastAsia="仿宋"/>
                <w:kern w:val="0"/>
              </w:rPr>
            </w:pPr>
            <w:r>
              <w:rPr>
                <w:rFonts w:hint="eastAsia" w:ascii="仿宋" w:hAnsi="仿宋" w:eastAsia="仿宋"/>
                <w:kern w:val="0"/>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880" w:type="dxa"/>
            <w:tcBorders>
              <w:top w:val="single" w:color="auto" w:sz="4" w:space="0"/>
              <w:left w:val="single" w:color="auto" w:sz="4" w:space="0"/>
              <w:bottom w:val="single" w:color="auto" w:sz="4" w:space="0"/>
              <w:right w:val="single" w:color="auto" w:sz="4" w:space="0"/>
            </w:tcBorders>
            <w:vAlign w:val="center"/>
          </w:tcPr>
          <w:p>
            <w:pPr>
              <w:kinsoku w:val="0"/>
              <w:overflowPunct w:val="0"/>
              <w:adjustRightInd w:val="0"/>
              <w:snapToGrid w:val="0"/>
              <w:jc w:val="center"/>
              <w:rPr>
                <w:rFonts w:ascii="仿宋" w:hAnsi="仿宋" w:eastAsia="仿宋"/>
                <w:kern w:val="0"/>
              </w:rPr>
            </w:pPr>
            <w:r>
              <w:rPr>
                <w:rFonts w:ascii="仿宋" w:hAnsi="仿宋" w:eastAsia="仿宋"/>
                <w:kern w:val="0"/>
              </w:rPr>
              <w:t>评价工作等级</w:t>
            </w:r>
          </w:p>
        </w:tc>
        <w:tc>
          <w:tcPr>
            <w:tcW w:w="1580" w:type="dxa"/>
            <w:tcBorders>
              <w:top w:val="single" w:color="auto" w:sz="4" w:space="0"/>
              <w:left w:val="single" w:color="auto" w:sz="4" w:space="0"/>
              <w:bottom w:val="single" w:color="auto" w:sz="4" w:space="0"/>
              <w:right w:val="single" w:color="auto" w:sz="4" w:space="0"/>
            </w:tcBorders>
            <w:vAlign w:val="center"/>
          </w:tcPr>
          <w:p>
            <w:pPr>
              <w:kinsoku w:val="0"/>
              <w:overflowPunct w:val="0"/>
              <w:adjustRightInd w:val="0"/>
              <w:snapToGrid w:val="0"/>
              <w:jc w:val="center"/>
              <w:rPr>
                <w:rFonts w:ascii="仿宋" w:hAnsi="仿宋" w:eastAsia="仿宋"/>
                <w:kern w:val="0"/>
              </w:rPr>
            </w:pPr>
            <w:r>
              <w:rPr>
                <w:rFonts w:ascii="仿宋" w:hAnsi="仿宋" w:eastAsia="仿宋"/>
                <w:kern w:val="0"/>
              </w:rPr>
              <w:t>一</w:t>
            </w:r>
          </w:p>
        </w:tc>
        <w:tc>
          <w:tcPr>
            <w:tcW w:w="1818" w:type="dxa"/>
            <w:tcBorders>
              <w:top w:val="single" w:color="auto" w:sz="4" w:space="0"/>
              <w:left w:val="single" w:color="auto" w:sz="4" w:space="0"/>
              <w:bottom w:val="single" w:color="auto" w:sz="4" w:space="0"/>
              <w:right w:val="single" w:color="auto" w:sz="4" w:space="0"/>
            </w:tcBorders>
            <w:vAlign w:val="center"/>
          </w:tcPr>
          <w:p>
            <w:pPr>
              <w:kinsoku w:val="0"/>
              <w:overflowPunct w:val="0"/>
              <w:adjustRightInd w:val="0"/>
              <w:snapToGrid w:val="0"/>
              <w:jc w:val="center"/>
              <w:rPr>
                <w:rFonts w:ascii="仿宋" w:hAnsi="仿宋" w:eastAsia="仿宋"/>
                <w:kern w:val="0"/>
              </w:rPr>
            </w:pPr>
            <w:r>
              <w:rPr>
                <w:rFonts w:ascii="仿宋" w:hAnsi="仿宋" w:eastAsia="仿宋"/>
                <w:kern w:val="0"/>
              </w:rPr>
              <w:t>二</w:t>
            </w:r>
          </w:p>
        </w:tc>
        <w:tc>
          <w:tcPr>
            <w:tcW w:w="1818" w:type="dxa"/>
            <w:tcBorders>
              <w:top w:val="single" w:color="auto" w:sz="4" w:space="0"/>
              <w:left w:val="single" w:color="auto" w:sz="4" w:space="0"/>
              <w:bottom w:val="single" w:color="auto" w:sz="4" w:space="0"/>
              <w:right w:val="single" w:color="auto" w:sz="4" w:space="0"/>
            </w:tcBorders>
            <w:vAlign w:val="center"/>
          </w:tcPr>
          <w:p>
            <w:pPr>
              <w:kinsoku w:val="0"/>
              <w:overflowPunct w:val="0"/>
              <w:adjustRightInd w:val="0"/>
              <w:snapToGrid w:val="0"/>
              <w:jc w:val="center"/>
              <w:rPr>
                <w:rFonts w:ascii="仿宋" w:hAnsi="仿宋" w:eastAsia="仿宋"/>
                <w:kern w:val="0"/>
              </w:rPr>
            </w:pPr>
            <w:r>
              <w:rPr>
                <w:rFonts w:ascii="仿宋" w:hAnsi="仿宋" w:eastAsia="仿宋"/>
                <w:kern w:val="0"/>
              </w:rPr>
              <w:t>三</w:t>
            </w:r>
          </w:p>
        </w:tc>
        <w:tc>
          <w:tcPr>
            <w:tcW w:w="2054" w:type="dxa"/>
            <w:tcBorders>
              <w:top w:val="single" w:color="auto" w:sz="4" w:space="0"/>
              <w:left w:val="single" w:color="auto" w:sz="4" w:space="0"/>
              <w:bottom w:val="single" w:color="auto" w:sz="4" w:space="0"/>
              <w:right w:val="single" w:color="auto" w:sz="4" w:space="0"/>
            </w:tcBorders>
            <w:shd w:val="clear" w:color="auto" w:fill="auto"/>
            <w:vAlign w:val="center"/>
          </w:tcPr>
          <w:p>
            <w:pPr>
              <w:kinsoku w:val="0"/>
              <w:overflowPunct w:val="0"/>
              <w:adjustRightInd w:val="0"/>
              <w:snapToGrid w:val="0"/>
              <w:jc w:val="center"/>
              <w:rPr>
                <w:rFonts w:ascii="仿宋" w:hAnsi="仿宋" w:eastAsia="仿宋"/>
                <w:kern w:val="0"/>
              </w:rPr>
            </w:pPr>
            <w:r>
              <w:rPr>
                <w:rFonts w:ascii="仿宋" w:hAnsi="仿宋" w:eastAsia="仿宋"/>
                <w:kern w:val="0"/>
              </w:rPr>
              <w:t>简单分析*</w:t>
            </w:r>
          </w:p>
        </w:tc>
      </w:tr>
    </w:tbl>
    <w:p>
      <w:pPr>
        <w:ind w:firstLine="420"/>
        <w:rPr>
          <w:rFonts w:eastAsia="仿宋_GB2312"/>
          <w:szCs w:val="21"/>
        </w:rPr>
      </w:pPr>
      <w:r>
        <w:rPr>
          <w:rFonts w:hint="eastAsia" w:eastAsia="仿宋_GB2312"/>
          <w:szCs w:val="21"/>
        </w:rPr>
        <w:t>注：简单分析是相对于详细评价工作内容而言，在描述危险物质、环境影响途径、环境危害后果、风险防范措施等方面给出定性的说明。</w:t>
      </w:r>
    </w:p>
    <w:p>
      <w:pPr>
        <w:spacing w:line="500" w:lineRule="exact"/>
        <w:ind w:firstLine="560" w:firstLineChars="200"/>
        <w:rPr>
          <w:rFonts w:eastAsia="仿宋_GB2312"/>
          <w:sz w:val="28"/>
          <w:szCs w:val="20"/>
        </w:rPr>
      </w:pPr>
      <w:r>
        <w:rPr>
          <w:rFonts w:eastAsia="仿宋_GB2312"/>
          <w:sz w:val="28"/>
          <w:szCs w:val="20"/>
        </w:rPr>
        <w:t>根据环境风险评价级别划分标准判定表，本项目各要素环境风险评价等级确定情况。</w:t>
      </w:r>
    </w:p>
    <w:p>
      <w:pPr>
        <w:spacing w:line="500" w:lineRule="exact"/>
        <w:ind w:firstLine="482" w:firstLineChars="200"/>
        <w:jc w:val="center"/>
        <w:rPr>
          <w:rFonts w:eastAsia="仿宋_GB2312"/>
          <w:b/>
          <w:sz w:val="24"/>
        </w:rPr>
      </w:pPr>
      <w:r>
        <w:rPr>
          <w:rFonts w:eastAsia="仿宋_GB2312"/>
          <w:b/>
          <w:sz w:val="24"/>
        </w:rPr>
        <w:t>表</w:t>
      </w:r>
      <w:r>
        <w:rPr>
          <w:rFonts w:hint="eastAsia" w:eastAsia="仿宋_GB2312"/>
          <w:b/>
          <w:sz w:val="24"/>
        </w:rPr>
        <w:t>5.3-1</w:t>
      </w:r>
      <w:r>
        <w:rPr>
          <w:rFonts w:eastAsia="仿宋_GB2312"/>
          <w:b/>
          <w:sz w:val="24"/>
        </w:rPr>
        <w:t>6</w:t>
      </w:r>
      <w:r>
        <w:rPr>
          <w:rFonts w:hint="eastAsia" w:eastAsia="仿宋_GB2312"/>
          <w:b/>
          <w:sz w:val="24"/>
        </w:rPr>
        <w:t xml:space="preserve"> </w:t>
      </w:r>
      <w:r>
        <w:rPr>
          <w:rFonts w:eastAsia="仿宋_GB2312"/>
          <w:b/>
          <w:sz w:val="24"/>
        </w:rPr>
        <w:t>各要素环境风险评价工作等级及评价内容</w:t>
      </w:r>
    </w:p>
    <w:tbl>
      <w:tblPr>
        <w:tblStyle w:val="87"/>
        <w:tblW w:w="54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15"/>
        <w:gridCol w:w="1550"/>
        <w:gridCol w:w="6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775" w:type="pct"/>
            <w:tcBorders>
              <w:top w:val="single" w:color="auto" w:sz="4" w:space="0"/>
              <w:left w:val="single" w:color="auto" w:sz="4" w:space="0"/>
              <w:bottom w:val="single" w:color="auto" w:sz="4" w:space="0"/>
              <w:right w:val="single" w:color="auto" w:sz="4" w:space="0"/>
            </w:tcBorders>
            <w:vAlign w:val="center"/>
          </w:tcPr>
          <w:p>
            <w:pPr>
              <w:kinsoku w:val="0"/>
              <w:overflowPunct w:val="0"/>
              <w:adjustRightInd w:val="0"/>
              <w:snapToGrid w:val="0"/>
              <w:jc w:val="center"/>
              <w:rPr>
                <w:rFonts w:ascii="仿宋" w:hAnsi="仿宋" w:eastAsia="仿宋"/>
                <w:kern w:val="0"/>
              </w:rPr>
            </w:pPr>
            <w:bookmarkStart w:id="328" w:name="OLE_LINK91"/>
            <w:r>
              <w:rPr>
                <w:rFonts w:ascii="仿宋" w:hAnsi="仿宋" w:eastAsia="仿宋"/>
                <w:kern w:val="0"/>
              </w:rPr>
              <w:t>环境要素</w:t>
            </w:r>
          </w:p>
        </w:tc>
        <w:tc>
          <w:tcPr>
            <w:tcW w:w="849" w:type="pct"/>
            <w:tcBorders>
              <w:top w:val="single" w:color="auto" w:sz="4" w:space="0"/>
              <w:left w:val="single" w:color="auto" w:sz="4" w:space="0"/>
              <w:bottom w:val="single" w:color="auto" w:sz="4" w:space="0"/>
              <w:right w:val="single" w:color="auto" w:sz="4" w:space="0"/>
            </w:tcBorders>
            <w:vAlign w:val="center"/>
          </w:tcPr>
          <w:p>
            <w:pPr>
              <w:kinsoku w:val="0"/>
              <w:overflowPunct w:val="0"/>
              <w:adjustRightInd w:val="0"/>
              <w:snapToGrid w:val="0"/>
              <w:jc w:val="center"/>
              <w:rPr>
                <w:rFonts w:ascii="仿宋" w:hAnsi="仿宋" w:eastAsia="仿宋"/>
                <w:kern w:val="0"/>
              </w:rPr>
            </w:pPr>
            <w:r>
              <w:rPr>
                <w:rFonts w:ascii="仿宋" w:hAnsi="仿宋" w:eastAsia="仿宋"/>
                <w:kern w:val="0"/>
              </w:rPr>
              <w:t>评价工作等级</w:t>
            </w:r>
          </w:p>
        </w:tc>
        <w:tc>
          <w:tcPr>
            <w:tcW w:w="3376" w:type="pct"/>
            <w:tcBorders>
              <w:top w:val="single" w:color="auto" w:sz="4" w:space="0"/>
              <w:left w:val="single" w:color="auto" w:sz="4" w:space="0"/>
              <w:bottom w:val="single" w:color="auto" w:sz="4" w:space="0"/>
              <w:right w:val="single" w:color="auto" w:sz="4" w:space="0"/>
            </w:tcBorders>
            <w:vAlign w:val="center"/>
          </w:tcPr>
          <w:p>
            <w:pPr>
              <w:kinsoku w:val="0"/>
              <w:overflowPunct w:val="0"/>
              <w:adjustRightInd w:val="0"/>
              <w:snapToGrid w:val="0"/>
              <w:jc w:val="center"/>
              <w:rPr>
                <w:rFonts w:ascii="仿宋" w:hAnsi="仿宋" w:eastAsia="仿宋"/>
                <w:kern w:val="0"/>
              </w:rPr>
            </w:pPr>
            <w:r>
              <w:rPr>
                <w:rFonts w:ascii="仿宋" w:hAnsi="仿宋" w:eastAsia="仿宋"/>
                <w:kern w:val="0"/>
              </w:rPr>
              <w:t>评价工作内容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775" w:type="pct"/>
            <w:tcBorders>
              <w:top w:val="single" w:color="auto" w:sz="4" w:space="0"/>
              <w:left w:val="single" w:color="auto" w:sz="4" w:space="0"/>
              <w:bottom w:val="single" w:color="auto" w:sz="4" w:space="0"/>
              <w:right w:val="single" w:color="auto" w:sz="4" w:space="0"/>
            </w:tcBorders>
            <w:vAlign w:val="center"/>
          </w:tcPr>
          <w:p>
            <w:pPr>
              <w:kinsoku w:val="0"/>
              <w:overflowPunct w:val="0"/>
              <w:adjustRightInd w:val="0"/>
              <w:snapToGrid w:val="0"/>
              <w:jc w:val="center"/>
              <w:rPr>
                <w:rFonts w:ascii="仿宋" w:hAnsi="仿宋" w:eastAsia="仿宋"/>
                <w:kern w:val="0"/>
              </w:rPr>
            </w:pPr>
            <w:r>
              <w:rPr>
                <w:rFonts w:ascii="仿宋" w:hAnsi="仿宋" w:eastAsia="仿宋"/>
                <w:kern w:val="0"/>
              </w:rPr>
              <w:t>大气</w:t>
            </w:r>
          </w:p>
        </w:tc>
        <w:tc>
          <w:tcPr>
            <w:tcW w:w="849" w:type="pct"/>
            <w:tcBorders>
              <w:top w:val="single" w:color="auto" w:sz="4" w:space="0"/>
              <w:left w:val="single" w:color="auto" w:sz="4" w:space="0"/>
              <w:bottom w:val="single" w:color="auto" w:sz="4" w:space="0"/>
              <w:right w:val="single" w:color="auto" w:sz="4" w:space="0"/>
            </w:tcBorders>
            <w:vAlign w:val="center"/>
          </w:tcPr>
          <w:p>
            <w:pPr>
              <w:kinsoku w:val="0"/>
              <w:overflowPunct w:val="0"/>
              <w:adjustRightInd w:val="0"/>
              <w:snapToGrid w:val="0"/>
              <w:jc w:val="center"/>
              <w:rPr>
                <w:rFonts w:ascii="仿宋" w:hAnsi="仿宋" w:eastAsia="仿宋"/>
                <w:kern w:val="0"/>
              </w:rPr>
            </w:pPr>
            <w:r>
              <w:rPr>
                <w:rFonts w:ascii="仿宋" w:hAnsi="仿宋" w:eastAsia="仿宋"/>
                <w:kern w:val="0"/>
              </w:rPr>
              <w:t>二</w:t>
            </w:r>
          </w:p>
        </w:tc>
        <w:tc>
          <w:tcPr>
            <w:tcW w:w="3376" w:type="pct"/>
            <w:tcBorders>
              <w:top w:val="single" w:color="auto" w:sz="4" w:space="0"/>
              <w:left w:val="single" w:color="auto" w:sz="4" w:space="0"/>
              <w:bottom w:val="single" w:color="auto" w:sz="4" w:space="0"/>
              <w:right w:val="single" w:color="auto" w:sz="4" w:space="0"/>
            </w:tcBorders>
            <w:vAlign w:val="center"/>
          </w:tcPr>
          <w:p>
            <w:pPr>
              <w:kinsoku w:val="0"/>
              <w:overflowPunct w:val="0"/>
              <w:adjustRightInd w:val="0"/>
              <w:snapToGrid w:val="0"/>
              <w:jc w:val="center"/>
              <w:rPr>
                <w:rFonts w:ascii="仿宋" w:hAnsi="仿宋" w:eastAsia="仿宋"/>
                <w:kern w:val="0"/>
              </w:rPr>
            </w:pPr>
            <w:r>
              <w:rPr>
                <w:rFonts w:ascii="仿宋" w:hAnsi="仿宋" w:eastAsia="仿宋"/>
                <w:kern w:val="0"/>
              </w:rPr>
              <w:t>选取最不利气象条件，选择适用的数值方案进行分析预测，给出风险事故情形下危险物质释放可能造成的大气环境影响范围与程度。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775" w:type="pct"/>
            <w:tcBorders>
              <w:top w:val="single" w:color="auto" w:sz="4" w:space="0"/>
              <w:left w:val="single" w:color="auto" w:sz="4" w:space="0"/>
              <w:bottom w:val="single" w:color="auto" w:sz="4" w:space="0"/>
              <w:right w:val="single" w:color="auto" w:sz="4" w:space="0"/>
            </w:tcBorders>
            <w:vAlign w:val="center"/>
          </w:tcPr>
          <w:p>
            <w:pPr>
              <w:kinsoku w:val="0"/>
              <w:overflowPunct w:val="0"/>
              <w:adjustRightInd w:val="0"/>
              <w:snapToGrid w:val="0"/>
              <w:jc w:val="center"/>
              <w:rPr>
                <w:rFonts w:ascii="仿宋" w:hAnsi="仿宋" w:eastAsia="仿宋"/>
                <w:kern w:val="0"/>
              </w:rPr>
            </w:pPr>
            <w:r>
              <w:rPr>
                <w:rFonts w:ascii="仿宋" w:hAnsi="仿宋" w:eastAsia="仿宋"/>
                <w:kern w:val="0"/>
              </w:rPr>
              <w:t>地表水</w:t>
            </w:r>
          </w:p>
        </w:tc>
        <w:tc>
          <w:tcPr>
            <w:tcW w:w="849" w:type="pct"/>
            <w:tcBorders>
              <w:top w:val="single" w:color="auto" w:sz="4" w:space="0"/>
              <w:left w:val="single" w:color="auto" w:sz="4" w:space="0"/>
              <w:bottom w:val="single" w:color="auto" w:sz="4" w:space="0"/>
              <w:right w:val="single" w:color="auto" w:sz="4" w:space="0"/>
            </w:tcBorders>
            <w:vAlign w:val="center"/>
          </w:tcPr>
          <w:p>
            <w:pPr>
              <w:kinsoku w:val="0"/>
              <w:overflowPunct w:val="0"/>
              <w:adjustRightInd w:val="0"/>
              <w:snapToGrid w:val="0"/>
              <w:jc w:val="center"/>
              <w:rPr>
                <w:rFonts w:ascii="仿宋" w:hAnsi="仿宋" w:eastAsia="仿宋"/>
                <w:kern w:val="0"/>
              </w:rPr>
            </w:pPr>
            <w:r>
              <w:rPr>
                <w:rFonts w:ascii="仿宋" w:hAnsi="仿宋" w:eastAsia="仿宋"/>
                <w:kern w:val="0"/>
              </w:rPr>
              <w:t>三</w:t>
            </w:r>
          </w:p>
        </w:tc>
        <w:tc>
          <w:tcPr>
            <w:tcW w:w="3376" w:type="pct"/>
            <w:tcBorders>
              <w:top w:val="single" w:color="auto" w:sz="4" w:space="0"/>
              <w:left w:val="single" w:color="auto" w:sz="4" w:space="0"/>
              <w:bottom w:val="single" w:color="auto" w:sz="4" w:space="0"/>
              <w:right w:val="single" w:color="auto" w:sz="4" w:space="0"/>
            </w:tcBorders>
            <w:vAlign w:val="center"/>
          </w:tcPr>
          <w:p>
            <w:pPr>
              <w:kinsoku w:val="0"/>
              <w:overflowPunct w:val="0"/>
              <w:adjustRightInd w:val="0"/>
              <w:snapToGrid w:val="0"/>
              <w:jc w:val="center"/>
              <w:rPr>
                <w:rFonts w:ascii="仿宋" w:hAnsi="仿宋" w:eastAsia="仿宋"/>
                <w:kern w:val="0"/>
              </w:rPr>
            </w:pPr>
            <w:r>
              <w:rPr>
                <w:rFonts w:hint="eastAsia" w:ascii="仿宋" w:hAnsi="仿宋" w:eastAsia="仿宋"/>
                <w:kern w:val="0"/>
              </w:rPr>
              <w:t>本项目仅仅</w:t>
            </w:r>
            <w:r>
              <w:rPr>
                <w:rFonts w:ascii="仿宋" w:hAnsi="仿宋" w:eastAsia="仿宋"/>
                <w:kern w:val="0"/>
              </w:rPr>
              <w:t>产生生活污水</w:t>
            </w:r>
            <w:r>
              <w:rPr>
                <w:rFonts w:hint="eastAsia" w:ascii="仿宋" w:hAnsi="仿宋" w:eastAsia="仿宋"/>
                <w:kern w:val="0"/>
              </w:rPr>
              <w:t>。</w:t>
            </w:r>
            <w:r>
              <w:rPr>
                <w:rFonts w:ascii="仿宋" w:hAnsi="仿宋" w:eastAsia="仿宋"/>
                <w:kern w:val="0"/>
              </w:rPr>
              <w:t>发生泄漏、火灾或爆炸事故时，关闭排放口的截流阀，将事故废水截留在雨水或污水收集系统内以待进一步处理，收集系统不能容纳泄漏物或伴生/次生污染物时，用提升泵将其打入事故应急池暂存，可防止事故伴生/次生的泄漏物、污水、消防水直接流入园区污水管网和雨水管网，进而进入周边地表体。因此，</w:t>
            </w:r>
            <w:r>
              <w:rPr>
                <w:rFonts w:hint="eastAsia" w:ascii="仿宋" w:hAnsi="仿宋" w:eastAsia="仿宋"/>
                <w:kern w:val="0"/>
              </w:rPr>
              <w:t>本次环评</w:t>
            </w:r>
            <w:r>
              <w:rPr>
                <w:rFonts w:ascii="仿宋" w:hAnsi="仿宋" w:eastAsia="仿宋"/>
                <w:kern w:val="0"/>
              </w:rPr>
              <w:t>不进行地表水风险预测评价。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775" w:type="pct"/>
            <w:tcBorders>
              <w:top w:val="single" w:color="auto" w:sz="4" w:space="0"/>
              <w:left w:val="single" w:color="auto" w:sz="4" w:space="0"/>
              <w:bottom w:val="single" w:color="auto" w:sz="4" w:space="0"/>
              <w:right w:val="single" w:color="auto" w:sz="4" w:space="0"/>
            </w:tcBorders>
            <w:vAlign w:val="center"/>
          </w:tcPr>
          <w:p>
            <w:pPr>
              <w:kinsoku w:val="0"/>
              <w:overflowPunct w:val="0"/>
              <w:adjustRightInd w:val="0"/>
              <w:snapToGrid w:val="0"/>
              <w:jc w:val="center"/>
              <w:rPr>
                <w:rFonts w:ascii="仿宋" w:hAnsi="仿宋" w:eastAsia="仿宋"/>
                <w:kern w:val="0"/>
              </w:rPr>
            </w:pPr>
            <w:r>
              <w:rPr>
                <w:rFonts w:ascii="仿宋" w:hAnsi="仿宋" w:eastAsia="仿宋"/>
                <w:kern w:val="0"/>
              </w:rPr>
              <w:t>地下水</w:t>
            </w:r>
          </w:p>
        </w:tc>
        <w:tc>
          <w:tcPr>
            <w:tcW w:w="849" w:type="pct"/>
            <w:tcBorders>
              <w:top w:val="single" w:color="auto" w:sz="4" w:space="0"/>
              <w:left w:val="single" w:color="auto" w:sz="4" w:space="0"/>
              <w:bottom w:val="single" w:color="auto" w:sz="4" w:space="0"/>
              <w:right w:val="single" w:color="auto" w:sz="4" w:space="0"/>
            </w:tcBorders>
            <w:vAlign w:val="center"/>
          </w:tcPr>
          <w:p>
            <w:pPr>
              <w:kinsoku w:val="0"/>
              <w:overflowPunct w:val="0"/>
              <w:adjustRightInd w:val="0"/>
              <w:snapToGrid w:val="0"/>
              <w:jc w:val="center"/>
              <w:rPr>
                <w:rFonts w:ascii="仿宋" w:hAnsi="仿宋" w:eastAsia="仿宋"/>
                <w:kern w:val="0"/>
              </w:rPr>
            </w:pPr>
            <w:r>
              <w:rPr>
                <w:rFonts w:ascii="仿宋" w:hAnsi="仿宋" w:eastAsia="仿宋"/>
                <w:kern w:val="0"/>
              </w:rPr>
              <w:t>简单分析</w:t>
            </w:r>
          </w:p>
        </w:tc>
        <w:tc>
          <w:tcPr>
            <w:tcW w:w="3376" w:type="pct"/>
            <w:tcBorders>
              <w:top w:val="single" w:color="auto" w:sz="4" w:space="0"/>
              <w:left w:val="single" w:color="auto" w:sz="4" w:space="0"/>
              <w:bottom w:val="single" w:color="auto" w:sz="4" w:space="0"/>
              <w:right w:val="single" w:color="auto" w:sz="4" w:space="0"/>
            </w:tcBorders>
            <w:vAlign w:val="center"/>
          </w:tcPr>
          <w:p>
            <w:pPr>
              <w:kinsoku w:val="0"/>
              <w:overflowPunct w:val="0"/>
              <w:adjustRightInd w:val="0"/>
              <w:snapToGrid w:val="0"/>
              <w:jc w:val="center"/>
              <w:rPr>
                <w:rFonts w:ascii="仿宋" w:hAnsi="仿宋" w:eastAsia="仿宋"/>
                <w:kern w:val="0"/>
              </w:rPr>
            </w:pPr>
            <w:r>
              <w:rPr>
                <w:rFonts w:ascii="仿宋" w:hAnsi="仿宋" w:eastAsia="仿宋"/>
                <w:kern w:val="0"/>
              </w:rPr>
              <w:t>描述危险物质、环境影响途径、环境危害后果、风险防范措施等方面给出定性的说明。</w:t>
            </w:r>
          </w:p>
        </w:tc>
      </w:tr>
      <w:bookmarkEnd w:id="328"/>
    </w:tbl>
    <w:p>
      <w:pPr>
        <w:spacing w:line="500" w:lineRule="exact"/>
        <w:ind w:firstLine="560" w:firstLineChars="200"/>
        <w:rPr>
          <w:rFonts w:eastAsia="仿宋_GB2312"/>
          <w:sz w:val="28"/>
          <w:szCs w:val="20"/>
        </w:rPr>
      </w:pPr>
      <w:r>
        <w:rPr>
          <w:rFonts w:eastAsia="仿宋_GB2312"/>
          <w:sz w:val="28"/>
          <w:szCs w:val="20"/>
        </w:rPr>
        <w:t>根据上述分析，该项目的大气环境风险潜势等级为</w:t>
      </w:r>
      <w:r>
        <w:rPr>
          <w:rFonts w:hint="eastAsia" w:eastAsia="仿宋_GB2312"/>
          <w:sz w:val="28"/>
          <w:szCs w:val="20"/>
        </w:rPr>
        <w:t>Ⅲ</w:t>
      </w:r>
      <w:r>
        <w:rPr>
          <w:rFonts w:eastAsia="仿宋_GB2312"/>
          <w:sz w:val="28"/>
          <w:szCs w:val="20"/>
        </w:rPr>
        <w:t>，应进行</w:t>
      </w:r>
      <w:r>
        <w:rPr>
          <w:rFonts w:hint="eastAsia" w:eastAsia="仿宋_GB2312"/>
          <w:sz w:val="28"/>
          <w:szCs w:val="20"/>
        </w:rPr>
        <w:t>二</w:t>
      </w:r>
      <w:r>
        <w:rPr>
          <w:rFonts w:eastAsia="仿宋_GB2312"/>
          <w:sz w:val="28"/>
          <w:szCs w:val="20"/>
        </w:rPr>
        <w:t>级评价；地表水环境风险潜势等级为</w:t>
      </w:r>
      <w:r>
        <w:rPr>
          <w:rFonts w:hint="eastAsia" w:eastAsia="仿宋_GB2312"/>
          <w:sz w:val="28"/>
          <w:szCs w:val="20"/>
        </w:rPr>
        <w:t>Ⅱ</w:t>
      </w:r>
      <w:r>
        <w:rPr>
          <w:rFonts w:eastAsia="仿宋_GB2312"/>
          <w:sz w:val="28"/>
          <w:szCs w:val="20"/>
        </w:rPr>
        <w:t>，结合上文，本次不进行地表水风险预测评价；地</w:t>
      </w:r>
      <w:r>
        <w:rPr>
          <w:rFonts w:hint="eastAsia" w:eastAsia="仿宋_GB2312"/>
          <w:sz w:val="28"/>
          <w:szCs w:val="20"/>
        </w:rPr>
        <w:t>下</w:t>
      </w:r>
      <w:r>
        <w:rPr>
          <w:rFonts w:eastAsia="仿宋_GB2312"/>
          <w:sz w:val="28"/>
          <w:szCs w:val="20"/>
        </w:rPr>
        <w:t>水环境风险潜势等级为</w:t>
      </w:r>
      <w:r>
        <w:rPr>
          <w:rFonts w:hint="eastAsia" w:eastAsia="仿宋_GB2312"/>
          <w:sz w:val="28"/>
          <w:szCs w:val="20"/>
        </w:rPr>
        <w:t>Ⅰ</w:t>
      </w:r>
      <w:r>
        <w:rPr>
          <w:rFonts w:eastAsia="仿宋_GB2312"/>
          <w:sz w:val="28"/>
          <w:szCs w:val="20"/>
        </w:rPr>
        <w:t>，应进行</w:t>
      </w:r>
      <w:r>
        <w:rPr>
          <w:rFonts w:hint="eastAsia" w:eastAsia="仿宋_GB2312"/>
          <w:sz w:val="28"/>
          <w:szCs w:val="20"/>
        </w:rPr>
        <w:t>简单</w:t>
      </w:r>
      <w:r>
        <w:rPr>
          <w:rFonts w:eastAsia="仿宋_GB2312"/>
          <w:sz w:val="28"/>
          <w:szCs w:val="20"/>
        </w:rPr>
        <w:t>分析。</w:t>
      </w:r>
    </w:p>
    <w:p>
      <w:pPr>
        <w:keepNext/>
        <w:widowControl/>
        <w:numPr>
          <w:ilvl w:val="3"/>
          <w:numId w:val="1"/>
        </w:numPr>
        <w:adjustRightInd w:val="0"/>
        <w:snapToGrid w:val="0"/>
        <w:spacing w:after="120" w:afterLines="50" w:line="500" w:lineRule="exact"/>
        <w:ind w:left="0" w:firstLine="0"/>
        <w:jc w:val="left"/>
        <w:outlineLvl w:val="3"/>
        <w:rPr>
          <w:rFonts w:eastAsia="仿宋_GB2312"/>
          <w:b/>
          <w:bCs/>
          <w:sz w:val="28"/>
          <w:szCs w:val="28"/>
        </w:rPr>
      </w:pPr>
      <w:r>
        <w:rPr>
          <w:rFonts w:eastAsia="仿宋_GB2312"/>
          <w:b/>
          <w:bCs/>
          <w:sz w:val="28"/>
          <w:szCs w:val="28"/>
        </w:rPr>
        <w:t>评价范围</w:t>
      </w:r>
    </w:p>
    <w:p>
      <w:pPr>
        <w:spacing w:line="500" w:lineRule="exact"/>
        <w:ind w:firstLine="560" w:firstLineChars="200"/>
        <w:rPr>
          <w:rFonts w:eastAsia="仿宋_GB2312"/>
          <w:sz w:val="28"/>
          <w:szCs w:val="20"/>
        </w:rPr>
      </w:pPr>
      <w:bookmarkStart w:id="329" w:name="_Hlk2176514"/>
      <w:r>
        <w:rPr>
          <w:rFonts w:eastAsia="仿宋_GB2312"/>
          <w:sz w:val="28"/>
          <w:szCs w:val="20"/>
        </w:rPr>
        <w:t>根据《评价技术导则建设项目环境风险》（HJ169-2018），本项目各要素环境风险评价范围见表</w:t>
      </w:r>
      <w:r>
        <w:rPr>
          <w:rFonts w:hint="eastAsia" w:eastAsia="仿宋_GB2312"/>
          <w:sz w:val="28"/>
          <w:szCs w:val="20"/>
        </w:rPr>
        <w:t>5.3-1</w:t>
      </w:r>
      <w:r>
        <w:rPr>
          <w:rFonts w:eastAsia="仿宋_GB2312"/>
          <w:sz w:val="28"/>
          <w:szCs w:val="20"/>
        </w:rPr>
        <w:t>7。</w:t>
      </w:r>
    </w:p>
    <w:bookmarkEnd w:id="329"/>
    <w:p>
      <w:pPr>
        <w:adjustRightInd w:val="0"/>
        <w:snapToGrid w:val="0"/>
        <w:spacing w:line="480" w:lineRule="exact"/>
        <w:ind w:firstLine="482"/>
        <w:jc w:val="center"/>
        <w:rPr>
          <w:rFonts w:ascii="仿宋" w:hAnsi="仿宋" w:eastAsia="仿宋"/>
          <w:b/>
          <w:sz w:val="24"/>
        </w:rPr>
      </w:pPr>
      <w:r>
        <w:rPr>
          <w:rFonts w:eastAsia="仿宋_GB2312"/>
          <w:b/>
          <w:sz w:val="24"/>
        </w:rPr>
        <w:t>表</w:t>
      </w:r>
      <w:r>
        <w:rPr>
          <w:rFonts w:hint="eastAsia" w:eastAsia="仿宋_GB2312"/>
          <w:b/>
          <w:sz w:val="24"/>
        </w:rPr>
        <w:t>5.3-1</w:t>
      </w:r>
      <w:r>
        <w:rPr>
          <w:rFonts w:eastAsia="仿宋_GB2312"/>
          <w:b/>
          <w:sz w:val="24"/>
        </w:rPr>
        <w:t>7</w:t>
      </w:r>
      <w:r>
        <w:rPr>
          <w:rFonts w:hint="eastAsia" w:ascii="仿宋" w:hAnsi="仿宋" w:eastAsia="仿宋"/>
          <w:b/>
          <w:sz w:val="24"/>
        </w:rPr>
        <w:t xml:space="preserve"> </w:t>
      </w:r>
      <w:r>
        <w:rPr>
          <w:rFonts w:ascii="仿宋" w:hAnsi="仿宋" w:eastAsia="仿宋"/>
          <w:b/>
          <w:sz w:val="24"/>
        </w:rPr>
        <w:t>各要素环境风险评价范围</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898"/>
        <w:gridCol w:w="6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141" w:type="pct"/>
            <w:tcBorders>
              <w:top w:val="single" w:color="auto" w:sz="4" w:space="0"/>
              <w:left w:val="single" w:color="auto" w:sz="4" w:space="0"/>
              <w:bottom w:val="single" w:color="auto" w:sz="4" w:space="0"/>
              <w:right w:val="single" w:color="auto" w:sz="4" w:space="0"/>
            </w:tcBorders>
            <w:vAlign w:val="center"/>
          </w:tcPr>
          <w:p>
            <w:pPr>
              <w:kinsoku w:val="0"/>
              <w:overflowPunct w:val="0"/>
              <w:adjustRightInd w:val="0"/>
              <w:snapToGrid w:val="0"/>
              <w:jc w:val="center"/>
              <w:rPr>
                <w:rFonts w:ascii="仿宋" w:hAnsi="仿宋" w:eastAsia="仿宋"/>
                <w:kern w:val="0"/>
              </w:rPr>
            </w:pPr>
            <w:r>
              <w:rPr>
                <w:rFonts w:ascii="仿宋" w:hAnsi="仿宋" w:eastAsia="仿宋"/>
                <w:kern w:val="0"/>
              </w:rPr>
              <w:t>环境要素</w:t>
            </w:r>
          </w:p>
        </w:tc>
        <w:tc>
          <w:tcPr>
            <w:tcW w:w="3859" w:type="pct"/>
            <w:tcBorders>
              <w:top w:val="single" w:color="auto" w:sz="4" w:space="0"/>
              <w:left w:val="single" w:color="auto" w:sz="4" w:space="0"/>
              <w:bottom w:val="single" w:color="auto" w:sz="4" w:space="0"/>
              <w:right w:val="single" w:color="auto" w:sz="4" w:space="0"/>
            </w:tcBorders>
            <w:vAlign w:val="center"/>
          </w:tcPr>
          <w:p>
            <w:pPr>
              <w:kinsoku w:val="0"/>
              <w:overflowPunct w:val="0"/>
              <w:adjustRightInd w:val="0"/>
              <w:snapToGrid w:val="0"/>
              <w:jc w:val="center"/>
              <w:rPr>
                <w:rFonts w:ascii="仿宋" w:hAnsi="仿宋" w:eastAsia="仿宋"/>
                <w:kern w:val="0"/>
              </w:rPr>
            </w:pPr>
            <w:r>
              <w:rPr>
                <w:rFonts w:ascii="仿宋" w:hAnsi="仿宋" w:eastAsia="仿宋"/>
                <w:kern w:val="0"/>
              </w:rPr>
              <w:t>评价范围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141" w:type="pct"/>
            <w:tcBorders>
              <w:top w:val="single" w:color="auto" w:sz="4" w:space="0"/>
              <w:left w:val="single" w:color="auto" w:sz="4" w:space="0"/>
              <w:bottom w:val="single" w:color="auto" w:sz="4" w:space="0"/>
              <w:right w:val="single" w:color="auto" w:sz="4" w:space="0"/>
            </w:tcBorders>
            <w:vAlign w:val="center"/>
          </w:tcPr>
          <w:p>
            <w:pPr>
              <w:kinsoku w:val="0"/>
              <w:overflowPunct w:val="0"/>
              <w:adjustRightInd w:val="0"/>
              <w:snapToGrid w:val="0"/>
              <w:jc w:val="center"/>
              <w:rPr>
                <w:rFonts w:ascii="仿宋" w:hAnsi="仿宋" w:eastAsia="仿宋"/>
                <w:kern w:val="0"/>
              </w:rPr>
            </w:pPr>
            <w:r>
              <w:rPr>
                <w:rFonts w:ascii="仿宋" w:hAnsi="仿宋" w:eastAsia="仿宋"/>
                <w:kern w:val="0"/>
              </w:rPr>
              <w:t>大气</w:t>
            </w:r>
          </w:p>
        </w:tc>
        <w:tc>
          <w:tcPr>
            <w:tcW w:w="3859" w:type="pct"/>
            <w:tcBorders>
              <w:top w:val="single" w:color="auto" w:sz="4" w:space="0"/>
              <w:left w:val="single" w:color="auto" w:sz="4" w:space="0"/>
              <w:bottom w:val="single" w:color="auto" w:sz="4" w:space="0"/>
              <w:right w:val="single" w:color="auto" w:sz="4" w:space="0"/>
            </w:tcBorders>
            <w:vAlign w:val="center"/>
          </w:tcPr>
          <w:p>
            <w:pPr>
              <w:kinsoku w:val="0"/>
              <w:overflowPunct w:val="0"/>
              <w:adjustRightInd w:val="0"/>
              <w:snapToGrid w:val="0"/>
              <w:jc w:val="center"/>
              <w:rPr>
                <w:rFonts w:ascii="仿宋" w:hAnsi="仿宋" w:eastAsia="仿宋"/>
                <w:kern w:val="0"/>
              </w:rPr>
            </w:pPr>
            <w:r>
              <w:rPr>
                <w:rFonts w:ascii="仿宋" w:hAnsi="仿宋" w:eastAsia="仿宋"/>
                <w:kern w:val="0"/>
              </w:rPr>
              <w:t>距建设项目边界5km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141" w:type="pct"/>
            <w:tcBorders>
              <w:top w:val="single" w:color="auto" w:sz="4" w:space="0"/>
              <w:left w:val="single" w:color="auto" w:sz="4" w:space="0"/>
              <w:bottom w:val="single" w:color="auto" w:sz="4" w:space="0"/>
              <w:right w:val="single" w:color="auto" w:sz="4" w:space="0"/>
            </w:tcBorders>
            <w:vAlign w:val="center"/>
          </w:tcPr>
          <w:p>
            <w:pPr>
              <w:kinsoku w:val="0"/>
              <w:overflowPunct w:val="0"/>
              <w:adjustRightInd w:val="0"/>
              <w:snapToGrid w:val="0"/>
              <w:jc w:val="center"/>
              <w:rPr>
                <w:rFonts w:ascii="仿宋" w:hAnsi="仿宋" w:eastAsia="仿宋"/>
                <w:kern w:val="0"/>
              </w:rPr>
            </w:pPr>
            <w:r>
              <w:rPr>
                <w:rFonts w:ascii="仿宋" w:hAnsi="仿宋" w:eastAsia="仿宋"/>
                <w:kern w:val="0"/>
              </w:rPr>
              <w:t>地表水</w:t>
            </w:r>
          </w:p>
        </w:tc>
        <w:tc>
          <w:tcPr>
            <w:tcW w:w="3859" w:type="pct"/>
            <w:tcBorders>
              <w:top w:val="single" w:color="auto" w:sz="4" w:space="0"/>
              <w:left w:val="single" w:color="auto" w:sz="4" w:space="0"/>
              <w:bottom w:val="single" w:color="auto" w:sz="4" w:space="0"/>
              <w:right w:val="single" w:color="auto" w:sz="4" w:space="0"/>
            </w:tcBorders>
            <w:vAlign w:val="center"/>
          </w:tcPr>
          <w:p>
            <w:pPr>
              <w:kinsoku w:val="0"/>
              <w:overflowPunct w:val="0"/>
              <w:adjustRightInd w:val="0"/>
              <w:snapToGrid w:val="0"/>
              <w:jc w:val="center"/>
              <w:rPr>
                <w:rFonts w:ascii="仿宋" w:hAnsi="仿宋" w:eastAsia="仿宋"/>
                <w:kern w:val="0"/>
              </w:rPr>
            </w:pPr>
            <w:r>
              <w:rPr>
                <w:rFonts w:ascii="仿宋" w:hAnsi="仿宋" w:eastAsia="仿宋"/>
                <w:kern w:val="0"/>
              </w:rPr>
              <w:t>结合上文，本次不进行地表水风险预测评价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141" w:type="pct"/>
            <w:tcBorders>
              <w:top w:val="single" w:color="auto" w:sz="4" w:space="0"/>
              <w:left w:val="single" w:color="auto" w:sz="4" w:space="0"/>
              <w:bottom w:val="single" w:color="auto" w:sz="4" w:space="0"/>
              <w:right w:val="single" w:color="auto" w:sz="4" w:space="0"/>
            </w:tcBorders>
            <w:vAlign w:val="center"/>
          </w:tcPr>
          <w:p>
            <w:pPr>
              <w:kinsoku w:val="0"/>
              <w:overflowPunct w:val="0"/>
              <w:adjustRightInd w:val="0"/>
              <w:snapToGrid w:val="0"/>
              <w:jc w:val="center"/>
              <w:rPr>
                <w:rFonts w:ascii="仿宋" w:hAnsi="仿宋" w:eastAsia="仿宋"/>
                <w:kern w:val="0"/>
              </w:rPr>
            </w:pPr>
            <w:r>
              <w:rPr>
                <w:rFonts w:ascii="仿宋" w:hAnsi="仿宋" w:eastAsia="仿宋"/>
                <w:kern w:val="0"/>
              </w:rPr>
              <w:t>地下水</w:t>
            </w:r>
          </w:p>
        </w:tc>
        <w:tc>
          <w:tcPr>
            <w:tcW w:w="3859" w:type="pct"/>
            <w:tcBorders>
              <w:top w:val="single" w:color="auto" w:sz="4" w:space="0"/>
              <w:left w:val="single" w:color="auto" w:sz="4" w:space="0"/>
              <w:bottom w:val="single" w:color="auto" w:sz="4" w:space="0"/>
              <w:right w:val="single" w:color="auto" w:sz="4" w:space="0"/>
            </w:tcBorders>
            <w:vAlign w:val="center"/>
          </w:tcPr>
          <w:p>
            <w:pPr>
              <w:kinsoku w:val="0"/>
              <w:overflowPunct w:val="0"/>
              <w:adjustRightInd w:val="0"/>
              <w:snapToGrid w:val="0"/>
              <w:jc w:val="center"/>
              <w:rPr>
                <w:rFonts w:ascii="仿宋" w:hAnsi="仿宋" w:eastAsia="仿宋"/>
                <w:kern w:val="0"/>
              </w:rPr>
            </w:pPr>
            <w:r>
              <w:rPr>
                <w:rFonts w:ascii="仿宋" w:hAnsi="仿宋" w:eastAsia="仿宋"/>
                <w:kern w:val="0"/>
              </w:rPr>
              <w:t>周边6km</w:t>
            </w:r>
            <w:r>
              <w:rPr>
                <w:rFonts w:ascii="仿宋" w:hAnsi="仿宋" w:eastAsia="仿宋"/>
                <w:kern w:val="0"/>
                <w:vertAlign w:val="superscript"/>
              </w:rPr>
              <w:t>2</w:t>
            </w:r>
            <w:r>
              <w:rPr>
                <w:rFonts w:ascii="仿宋" w:hAnsi="仿宋" w:eastAsia="仿宋"/>
                <w:kern w:val="0"/>
              </w:rPr>
              <w:t>范围内潜水层</w:t>
            </w:r>
          </w:p>
        </w:tc>
      </w:tr>
    </w:tbl>
    <w:p>
      <w:pPr>
        <w:keepNext/>
        <w:numPr>
          <w:ilvl w:val="2"/>
          <w:numId w:val="1"/>
        </w:numPr>
        <w:tabs>
          <w:tab w:val="left" w:pos="709"/>
        </w:tabs>
        <w:spacing w:after="120" w:afterLines="50" w:line="500" w:lineRule="exact"/>
        <w:ind w:left="0" w:firstLine="0"/>
        <w:outlineLvl w:val="2"/>
        <w:rPr>
          <w:rFonts w:eastAsia="仿宋_GB2312"/>
          <w:b/>
          <w:sz w:val="28"/>
          <w:szCs w:val="28"/>
        </w:rPr>
      </w:pPr>
      <w:r>
        <w:rPr>
          <w:rFonts w:hint="eastAsia" w:eastAsia="仿宋_GB2312"/>
          <w:b/>
          <w:sz w:val="28"/>
          <w:szCs w:val="28"/>
        </w:rPr>
        <w:t>风险事故情形及最大可信事故</w:t>
      </w:r>
    </w:p>
    <w:p>
      <w:pPr>
        <w:keepNext/>
        <w:widowControl/>
        <w:numPr>
          <w:ilvl w:val="3"/>
          <w:numId w:val="1"/>
        </w:numPr>
        <w:adjustRightInd w:val="0"/>
        <w:snapToGrid w:val="0"/>
        <w:spacing w:after="120" w:afterLines="50" w:line="500" w:lineRule="exact"/>
        <w:ind w:left="0" w:firstLine="0"/>
        <w:jc w:val="left"/>
        <w:outlineLvl w:val="3"/>
        <w:rPr>
          <w:rFonts w:eastAsia="仿宋_GB2312"/>
          <w:b/>
          <w:bCs/>
          <w:sz w:val="28"/>
          <w:szCs w:val="28"/>
        </w:rPr>
      </w:pPr>
      <w:r>
        <w:rPr>
          <w:rFonts w:hint="eastAsia" w:eastAsia="仿宋_GB2312"/>
          <w:b/>
          <w:bCs/>
          <w:sz w:val="28"/>
          <w:szCs w:val="28"/>
        </w:rPr>
        <w:t>风险事故情形</w:t>
      </w:r>
    </w:p>
    <w:p>
      <w:pPr>
        <w:spacing w:line="500" w:lineRule="exact"/>
        <w:ind w:firstLine="560" w:firstLineChars="200"/>
        <w:rPr>
          <w:rFonts w:eastAsia="仿宋_GB2312"/>
          <w:sz w:val="28"/>
          <w:szCs w:val="20"/>
        </w:rPr>
      </w:pPr>
      <w:r>
        <w:rPr>
          <w:rFonts w:eastAsia="仿宋_GB2312"/>
          <w:sz w:val="28"/>
          <w:szCs w:val="20"/>
        </w:rPr>
        <w:t>本公司</w:t>
      </w:r>
      <w:r>
        <w:rPr>
          <w:rFonts w:hint="eastAsia" w:eastAsia="仿宋_GB2312"/>
          <w:sz w:val="28"/>
          <w:szCs w:val="20"/>
        </w:rPr>
        <w:t>主要</w:t>
      </w:r>
      <w:r>
        <w:rPr>
          <w:rFonts w:eastAsia="仿宋_GB2312"/>
          <w:sz w:val="28"/>
          <w:szCs w:val="20"/>
        </w:rPr>
        <w:t>从事胶带的生产，从事故的类型来分，一是火灾或爆炸，二是物料的泄漏；从事故的严重性和损失后果可分为重大事故和一般性事故。国际化工界将重大事故定义为：导致反应装置及其它经济损失超过2.5万美元，或者造成严重人员伤亡的事故。火灾或爆炸事故常常属于此类事故。而一般事故是指那些没有造成重大经济损失和人员伤亡的事故，但此类事故如不采取有效措施加以控制，将对周围的环境产生不利影响。物料泄漏事故常常属于一般性的事故。</w:t>
      </w:r>
    </w:p>
    <w:p>
      <w:pPr>
        <w:spacing w:line="500" w:lineRule="exact"/>
        <w:ind w:firstLine="560" w:firstLineChars="200"/>
        <w:rPr>
          <w:rFonts w:eastAsia="仿宋_GB2312"/>
          <w:sz w:val="28"/>
          <w:szCs w:val="20"/>
        </w:rPr>
      </w:pPr>
      <w:r>
        <w:rPr>
          <w:rFonts w:eastAsia="仿宋_GB2312"/>
          <w:sz w:val="28"/>
          <w:szCs w:val="20"/>
        </w:rPr>
        <w:t>（1）物料泄漏事故</w:t>
      </w:r>
    </w:p>
    <w:p>
      <w:pPr>
        <w:spacing w:line="500" w:lineRule="exact"/>
        <w:ind w:firstLine="560" w:firstLineChars="200"/>
        <w:rPr>
          <w:rFonts w:eastAsia="仿宋_GB2312"/>
          <w:sz w:val="28"/>
          <w:szCs w:val="20"/>
        </w:rPr>
      </w:pPr>
      <w:r>
        <w:rPr>
          <w:rFonts w:eastAsia="仿宋_GB2312"/>
          <w:sz w:val="28"/>
          <w:szCs w:val="20"/>
        </w:rPr>
        <w:t>根据《建设项目环境风险评价技术导则》（HJ 169-2018）附录E，常见物料泄漏事故类型及频率统计分析见表5.</w:t>
      </w:r>
      <w:r>
        <w:rPr>
          <w:rFonts w:hint="eastAsia" w:eastAsia="仿宋_GB2312"/>
          <w:sz w:val="28"/>
          <w:szCs w:val="20"/>
        </w:rPr>
        <w:t>3</w:t>
      </w:r>
      <w:r>
        <w:rPr>
          <w:rFonts w:eastAsia="仿宋_GB2312"/>
          <w:sz w:val="28"/>
          <w:szCs w:val="20"/>
        </w:rPr>
        <w:t>-18。</w:t>
      </w:r>
    </w:p>
    <w:p>
      <w:pPr>
        <w:adjustRightInd w:val="0"/>
        <w:snapToGrid w:val="0"/>
        <w:ind w:firstLine="482"/>
        <w:jc w:val="center"/>
        <w:rPr>
          <w:rFonts w:ascii="仿宋" w:hAnsi="仿宋" w:eastAsia="仿宋"/>
          <w:b/>
          <w:bCs/>
          <w:sz w:val="24"/>
        </w:rPr>
      </w:pPr>
      <w:r>
        <w:rPr>
          <w:rFonts w:ascii="仿宋" w:hAnsi="仿宋" w:eastAsia="仿宋"/>
          <w:b/>
          <w:sz w:val="24"/>
        </w:rPr>
        <w:t>表</w:t>
      </w:r>
      <w:r>
        <w:rPr>
          <w:rFonts w:hint="eastAsia" w:ascii="仿宋" w:hAnsi="仿宋" w:eastAsia="仿宋"/>
          <w:b/>
          <w:sz w:val="24"/>
        </w:rPr>
        <w:t>5.3</w:t>
      </w:r>
      <w:r>
        <w:rPr>
          <w:rFonts w:ascii="仿宋" w:hAnsi="仿宋" w:eastAsia="仿宋"/>
          <w:b/>
          <w:sz w:val="24"/>
        </w:rPr>
        <w:t>-</w:t>
      </w:r>
      <w:r>
        <w:rPr>
          <w:rFonts w:hint="eastAsia" w:ascii="仿宋" w:hAnsi="仿宋" w:eastAsia="仿宋"/>
          <w:b/>
          <w:sz w:val="24"/>
        </w:rPr>
        <w:t>1</w:t>
      </w:r>
      <w:r>
        <w:rPr>
          <w:rFonts w:ascii="仿宋" w:hAnsi="仿宋" w:eastAsia="仿宋"/>
          <w:b/>
          <w:sz w:val="24"/>
        </w:rPr>
        <w:t xml:space="preserve">8 </w:t>
      </w:r>
      <w:r>
        <w:rPr>
          <w:rFonts w:ascii="仿宋" w:hAnsi="仿宋" w:eastAsia="仿宋"/>
          <w:b/>
          <w:bCs/>
          <w:sz w:val="24"/>
        </w:rPr>
        <w:t xml:space="preserve"> 物料泄漏事故类型及频率统计表</w:t>
      </w:r>
    </w:p>
    <w:tbl>
      <w:tblPr>
        <w:tblStyle w:val="87"/>
        <w:tblW w:w="89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84"/>
        <w:gridCol w:w="4817"/>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2184" w:type="dxa"/>
            <w:vAlign w:val="center"/>
          </w:tcPr>
          <w:p>
            <w:pPr>
              <w:kinsoku w:val="0"/>
              <w:overflowPunct w:val="0"/>
              <w:adjustRightInd w:val="0"/>
              <w:snapToGrid w:val="0"/>
              <w:jc w:val="center"/>
              <w:rPr>
                <w:rFonts w:ascii="仿宋" w:hAnsi="仿宋" w:eastAsia="仿宋"/>
              </w:rPr>
            </w:pPr>
            <w:r>
              <w:rPr>
                <w:rFonts w:ascii="仿宋" w:hAnsi="仿宋" w:eastAsia="仿宋"/>
              </w:rPr>
              <w:t>部件类型</w:t>
            </w:r>
          </w:p>
        </w:tc>
        <w:tc>
          <w:tcPr>
            <w:tcW w:w="4817" w:type="dxa"/>
            <w:vAlign w:val="center"/>
          </w:tcPr>
          <w:p>
            <w:pPr>
              <w:kinsoku w:val="0"/>
              <w:overflowPunct w:val="0"/>
              <w:adjustRightInd w:val="0"/>
              <w:snapToGrid w:val="0"/>
              <w:jc w:val="center"/>
              <w:rPr>
                <w:rFonts w:ascii="仿宋" w:hAnsi="仿宋" w:eastAsia="仿宋"/>
              </w:rPr>
            </w:pPr>
            <w:r>
              <w:rPr>
                <w:rFonts w:ascii="仿宋" w:hAnsi="仿宋" w:eastAsia="仿宋"/>
              </w:rPr>
              <w:t>泄漏模式</w:t>
            </w:r>
          </w:p>
        </w:tc>
        <w:tc>
          <w:tcPr>
            <w:tcW w:w="1984" w:type="dxa"/>
            <w:vAlign w:val="center"/>
          </w:tcPr>
          <w:p>
            <w:pPr>
              <w:kinsoku w:val="0"/>
              <w:overflowPunct w:val="0"/>
              <w:adjustRightInd w:val="0"/>
              <w:snapToGrid w:val="0"/>
              <w:jc w:val="center"/>
              <w:rPr>
                <w:rFonts w:ascii="仿宋" w:hAnsi="仿宋" w:eastAsia="仿宋"/>
              </w:rPr>
            </w:pPr>
            <w:r>
              <w:rPr>
                <w:rFonts w:ascii="仿宋" w:hAnsi="仿宋" w:eastAsia="仿宋"/>
              </w:rPr>
              <w:t>泄漏频率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184" w:type="dxa"/>
            <w:vAlign w:val="center"/>
          </w:tcPr>
          <w:p>
            <w:pPr>
              <w:kinsoku w:val="0"/>
              <w:overflowPunct w:val="0"/>
              <w:adjustRightInd w:val="0"/>
              <w:snapToGrid w:val="0"/>
              <w:jc w:val="center"/>
              <w:rPr>
                <w:rFonts w:ascii="仿宋" w:hAnsi="仿宋" w:eastAsia="仿宋"/>
              </w:rPr>
            </w:pPr>
            <w:r>
              <w:rPr>
                <w:rFonts w:ascii="仿宋" w:hAnsi="仿宋" w:eastAsia="仿宋"/>
              </w:rPr>
              <w:t>反应器/工艺储罐/气体储罐/塔器</w:t>
            </w:r>
          </w:p>
        </w:tc>
        <w:tc>
          <w:tcPr>
            <w:tcW w:w="4817" w:type="dxa"/>
            <w:vAlign w:val="center"/>
          </w:tcPr>
          <w:p>
            <w:pPr>
              <w:kinsoku w:val="0"/>
              <w:overflowPunct w:val="0"/>
              <w:adjustRightInd w:val="0"/>
              <w:snapToGrid w:val="0"/>
              <w:jc w:val="center"/>
              <w:rPr>
                <w:rFonts w:ascii="仿宋" w:hAnsi="仿宋" w:eastAsia="仿宋"/>
              </w:rPr>
            </w:pPr>
            <w:r>
              <w:rPr>
                <w:rFonts w:ascii="仿宋" w:hAnsi="仿宋" w:eastAsia="仿宋"/>
              </w:rPr>
              <w:t>泄漏孔径为10mm孔径</w:t>
            </w:r>
          </w:p>
          <w:p>
            <w:pPr>
              <w:kinsoku w:val="0"/>
              <w:overflowPunct w:val="0"/>
              <w:adjustRightInd w:val="0"/>
              <w:snapToGrid w:val="0"/>
              <w:jc w:val="center"/>
              <w:rPr>
                <w:rFonts w:ascii="仿宋" w:hAnsi="仿宋" w:eastAsia="仿宋"/>
              </w:rPr>
            </w:pPr>
            <w:r>
              <w:rPr>
                <w:rFonts w:ascii="仿宋" w:hAnsi="仿宋" w:eastAsia="仿宋"/>
              </w:rPr>
              <w:t>10min内储罐泄漏完</w:t>
            </w:r>
          </w:p>
          <w:p>
            <w:pPr>
              <w:kinsoku w:val="0"/>
              <w:overflowPunct w:val="0"/>
              <w:adjustRightInd w:val="0"/>
              <w:snapToGrid w:val="0"/>
              <w:jc w:val="center"/>
              <w:rPr>
                <w:rFonts w:ascii="仿宋" w:hAnsi="仿宋" w:eastAsia="仿宋"/>
              </w:rPr>
            </w:pPr>
            <w:r>
              <w:rPr>
                <w:rFonts w:ascii="仿宋" w:hAnsi="仿宋" w:eastAsia="仿宋"/>
              </w:rPr>
              <w:t>储罐全破裂</w:t>
            </w:r>
          </w:p>
        </w:tc>
        <w:tc>
          <w:tcPr>
            <w:tcW w:w="1984" w:type="dxa"/>
            <w:vAlign w:val="center"/>
          </w:tcPr>
          <w:p>
            <w:pPr>
              <w:kinsoku w:val="0"/>
              <w:overflowPunct w:val="0"/>
              <w:adjustRightInd w:val="0"/>
              <w:snapToGrid w:val="0"/>
              <w:jc w:val="center"/>
              <w:rPr>
                <w:rFonts w:ascii="仿宋" w:hAnsi="仿宋" w:eastAsia="仿宋"/>
              </w:rPr>
            </w:pPr>
            <w:r>
              <w:rPr>
                <w:rFonts w:ascii="仿宋" w:hAnsi="仿宋" w:eastAsia="仿宋"/>
              </w:rPr>
              <w:t>1.00×10</w:t>
            </w:r>
            <w:r>
              <w:rPr>
                <w:rFonts w:ascii="仿宋" w:hAnsi="仿宋" w:eastAsia="仿宋"/>
                <w:vertAlign w:val="superscript"/>
              </w:rPr>
              <w:t>-4</w:t>
            </w:r>
            <w:r>
              <w:rPr>
                <w:rFonts w:ascii="仿宋" w:hAnsi="仿宋" w:eastAsia="仿宋"/>
              </w:rPr>
              <w:t>/a</w:t>
            </w:r>
          </w:p>
          <w:p>
            <w:pPr>
              <w:kinsoku w:val="0"/>
              <w:overflowPunct w:val="0"/>
              <w:adjustRightInd w:val="0"/>
              <w:snapToGrid w:val="0"/>
              <w:jc w:val="center"/>
              <w:rPr>
                <w:rFonts w:ascii="仿宋" w:hAnsi="仿宋" w:eastAsia="仿宋"/>
              </w:rPr>
            </w:pPr>
            <w:r>
              <w:rPr>
                <w:rFonts w:ascii="仿宋" w:hAnsi="仿宋" w:eastAsia="仿宋"/>
              </w:rPr>
              <w:t>5.00×10</w:t>
            </w:r>
            <w:r>
              <w:rPr>
                <w:rFonts w:ascii="仿宋" w:hAnsi="仿宋" w:eastAsia="仿宋"/>
                <w:vertAlign w:val="superscript"/>
              </w:rPr>
              <w:t>-6</w:t>
            </w:r>
            <w:r>
              <w:rPr>
                <w:rFonts w:ascii="仿宋" w:hAnsi="仿宋" w:eastAsia="仿宋"/>
              </w:rPr>
              <w:t>/a</w:t>
            </w:r>
          </w:p>
          <w:p>
            <w:pPr>
              <w:kinsoku w:val="0"/>
              <w:overflowPunct w:val="0"/>
              <w:adjustRightInd w:val="0"/>
              <w:snapToGrid w:val="0"/>
              <w:jc w:val="center"/>
              <w:rPr>
                <w:rFonts w:ascii="仿宋" w:hAnsi="仿宋" w:eastAsia="仿宋"/>
              </w:rPr>
            </w:pPr>
            <w:r>
              <w:rPr>
                <w:rFonts w:ascii="仿宋" w:hAnsi="仿宋" w:eastAsia="仿宋"/>
              </w:rPr>
              <w:t>5.00×10</w:t>
            </w:r>
            <w:r>
              <w:rPr>
                <w:rFonts w:ascii="仿宋" w:hAnsi="仿宋" w:eastAsia="仿宋"/>
                <w:vertAlign w:val="superscript"/>
              </w:rPr>
              <w:t>-6</w:t>
            </w:r>
            <w:r>
              <w:rPr>
                <w:rFonts w:ascii="仿宋" w:hAnsi="仿宋" w:eastAsia="仿宋"/>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184" w:type="dxa"/>
            <w:vAlign w:val="center"/>
          </w:tcPr>
          <w:p>
            <w:pPr>
              <w:kinsoku w:val="0"/>
              <w:overflowPunct w:val="0"/>
              <w:adjustRightInd w:val="0"/>
              <w:snapToGrid w:val="0"/>
              <w:jc w:val="center"/>
              <w:rPr>
                <w:rFonts w:ascii="仿宋" w:hAnsi="仿宋" w:eastAsia="仿宋"/>
              </w:rPr>
            </w:pPr>
            <w:r>
              <w:rPr>
                <w:rFonts w:ascii="仿宋" w:hAnsi="仿宋" w:eastAsia="仿宋"/>
              </w:rPr>
              <w:t>常压单包容储罐</w:t>
            </w:r>
          </w:p>
        </w:tc>
        <w:tc>
          <w:tcPr>
            <w:tcW w:w="4817" w:type="dxa"/>
            <w:vAlign w:val="center"/>
          </w:tcPr>
          <w:p>
            <w:pPr>
              <w:kinsoku w:val="0"/>
              <w:overflowPunct w:val="0"/>
              <w:adjustRightInd w:val="0"/>
              <w:snapToGrid w:val="0"/>
              <w:jc w:val="center"/>
              <w:rPr>
                <w:rFonts w:ascii="仿宋" w:hAnsi="仿宋" w:eastAsia="仿宋"/>
              </w:rPr>
            </w:pPr>
            <w:r>
              <w:rPr>
                <w:rFonts w:ascii="仿宋" w:hAnsi="仿宋" w:eastAsia="仿宋"/>
              </w:rPr>
              <w:t>泄漏孔径为10mm孔径</w:t>
            </w:r>
          </w:p>
          <w:p>
            <w:pPr>
              <w:kinsoku w:val="0"/>
              <w:overflowPunct w:val="0"/>
              <w:adjustRightInd w:val="0"/>
              <w:snapToGrid w:val="0"/>
              <w:jc w:val="center"/>
              <w:rPr>
                <w:rFonts w:ascii="仿宋" w:hAnsi="仿宋" w:eastAsia="仿宋"/>
              </w:rPr>
            </w:pPr>
            <w:r>
              <w:rPr>
                <w:rFonts w:ascii="仿宋" w:hAnsi="仿宋" w:eastAsia="仿宋"/>
              </w:rPr>
              <w:t>10min内储罐泄漏完</w:t>
            </w:r>
          </w:p>
          <w:p>
            <w:pPr>
              <w:kinsoku w:val="0"/>
              <w:overflowPunct w:val="0"/>
              <w:adjustRightInd w:val="0"/>
              <w:snapToGrid w:val="0"/>
              <w:jc w:val="center"/>
              <w:rPr>
                <w:rFonts w:ascii="仿宋" w:hAnsi="仿宋" w:eastAsia="仿宋"/>
              </w:rPr>
            </w:pPr>
            <w:r>
              <w:rPr>
                <w:rFonts w:ascii="仿宋" w:hAnsi="仿宋" w:eastAsia="仿宋"/>
              </w:rPr>
              <w:t>储罐全破裂</w:t>
            </w:r>
          </w:p>
        </w:tc>
        <w:tc>
          <w:tcPr>
            <w:tcW w:w="1984" w:type="dxa"/>
            <w:vAlign w:val="center"/>
          </w:tcPr>
          <w:p>
            <w:pPr>
              <w:kinsoku w:val="0"/>
              <w:overflowPunct w:val="0"/>
              <w:adjustRightInd w:val="0"/>
              <w:snapToGrid w:val="0"/>
              <w:jc w:val="center"/>
              <w:rPr>
                <w:rFonts w:ascii="仿宋" w:hAnsi="仿宋" w:eastAsia="仿宋"/>
              </w:rPr>
            </w:pPr>
            <w:r>
              <w:rPr>
                <w:rFonts w:ascii="仿宋" w:hAnsi="仿宋" w:eastAsia="仿宋"/>
              </w:rPr>
              <w:t>1.00×10</w:t>
            </w:r>
            <w:r>
              <w:rPr>
                <w:rFonts w:ascii="仿宋" w:hAnsi="仿宋" w:eastAsia="仿宋"/>
                <w:vertAlign w:val="superscript"/>
              </w:rPr>
              <w:t>-4</w:t>
            </w:r>
            <w:r>
              <w:rPr>
                <w:rFonts w:ascii="仿宋" w:hAnsi="仿宋" w:eastAsia="仿宋"/>
              </w:rPr>
              <w:t>/a</w:t>
            </w:r>
          </w:p>
          <w:p>
            <w:pPr>
              <w:kinsoku w:val="0"/>
              <w:overflowPunct w:val="0"/>
              <w:adjustRightInd w:val="0"/>
              <w:snapToGrid w:val="0"/>
              <w:jc w:val="center"/>
              <w:rPr>
                <w:rFonts w:ascii="仿宋" w:hAnsi="仿宋" w:eastAsia="仿宋"/>
              </w:rPr>
            </w:pPr>
            <w:r>
              <w:rPr>
                <w:rFonts w:ascii="仿宋" w:hAnsi="仿宋" w:eastAsia="仿宋"/>
              </w:rPr>
              <w:t>5.00×10</w:t>
            </w:r>
            <w:r>
              <w:rPr>
                <w:rFonts w:ascii="仿宋" w:hAnsi="仿宋" w:eastAsia="仿宋"/>
                <w:vertAlign w:val="superscript"/>
              </w:rPr>
              <w:t>-6</w:t>
            </w:r>
            <w:r>
              <w:rPr>
                <w:rFonts w:ascii="仿宋" w:hAnsi="仿宋" w:eastAsia="仿宋"/>
              </w:rPr>
              <w:t>/a</w:t>
            </w:r>
          </w:p>
          <w:p>
            <w:pPr>
              <w:kinsoku w:val="0"/>
              <w:overflowPunct w:val="0"/>
              <w:adjustRightInd w:val="0"/>
              <w:snapToGrid w:val="0"/>
              <w:jc w:val="center"/>
              <w:rPr>
                <w:rFonts w:ascii="仿宋" w:hAnsi="仿宋" w:eastAsia="仿宋"/>
              </w:rPr>
            </w:pPr>
            <w:r>
              <w:rPr>
                <w:rFonts w:ascii="仿宋" w:hAnsi="仿宋" w:eastAsia="仿宋"/>
              </w:rPr>
              <w:t>5.00×10</w:t>
            </w:r>
            <w:r>
              <w:rPr>
                <w:rFonts w:ascii="仿宋" w:hAnsi="仿宋" w:eastAsia="仿宋"/>
                <w:vertAlign w:val="superscript"/>
              </w:rPr>
              <w:t>-6</w:t>
            </w:r>
            <w:r>
              <w:rPr>
                <w:rFonts w:ascii="仿宋" w:hAnsi="仿宋" w:eastAsia="仿宋"/>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184" w:type="dxa"/>
            <w:vAlign w:val="center"/>
          </w:tcPr>
          <w:p>
            <w:pPr>
              <w:kinsoku w:val="0"/>
              <w:overflowPunct w:val="0"/>
              <w:adjustRightInd w:val="0"/>
              <w:snapToGrid w:val="0"/>
              <w:jc w:val="center"/>
              <w:rPr>
                <w:rFonts w:ascii="仿宋" w:hAnsi="仿宋" w:eastAsia="仿宋"/>
              </w:rPr>
            </w:pPr>
            <w:r>
              <w:rPr>
                <w:rFonts w:ascii="仿宋" w:hAnsi="仿宋" w:eastAsia="仿宋"/>
              </w:rPr>
              <w:t>常压双包容储罐</w:t>
            </w:r>
          </w:p>
        </w:tc>
        <w:tc>
          <w:tcPr>
            <w:tcW w:w="4817" w:type="dxa"/>
            <w:vAlign w:val="center"/>
          </w:tcPr>
          <w:p>
            <w:pPr>
              <w:kinsoku w:val="0"/>
              <w:overflowPunct w:val="0"/>
              <w:adjustRightInd w:val="0"/>
              <w:snapToGrid w:val="0"/>
              <w:jc w:val="center"/>
              <w:rPr>
                <w:rFonts w:ascii="仿宋" w:hAnsi="仿宋" w:eastAsia="仿宋"/>
              </w:rPr>
            </w:pPr>
            <w:r>
              <w:rPr>
                <w:rFonts w:ascii="仿宋" w:hAnsi="仿宋" w:eastAsia="仿宋"/>
              </w:rPr>
              <w:t>泄漏孔径为10mm孔径</w:t>
            </w:r>
          </w:p>
          <w:p>
            <w:pPr>
              <w:kinsoku w:val="0"/>
              <w:overflowPunct w:val="0"/>
              <w:adjustRightInd w:val="0"/>
              <w:snapToGrid w:val="0"/>
              <w:jc w:val="center"/>
              <w:rPr>
                <w:rFonts w:ascii="仿宋" w:hAnsi="仿宋" w:eastAsia="仿宋"/>
              </w:rPr>
            </w:pPr>
            <w:r>
              <w:rPr>
                <w:rFonts w:ascii="仿宋" w:hAnsi="仿宋" w:eastAsia="仿宋"/>
              </w:rPr>
              <w:t>10min内储罐泄漏完</w:t>
            </w:r>
          </w:p>
          <w:p>
            <w:pPr>
              <w:kinsoku w:val="0"/>
              <w:overflowPunct w:val="0"/>
              <w:adjustRightInd w:val="0"/>
              <w:snapToGrid w:val="0"/>
              <w:jc w:val="center"/>
              <w:rPr>
                <w:rFonts w:ascii="仿宋" w:hAnsi="仿宋" w:eastAsia="仿宋"/>
              </w:rPr>
            </w:pPr>
            <w:r>
              <w:rPr>
                <w:rFonts w:ascii="仿宋" w:hAnsi="仿宋" w:eastAsia="仿宋"/>
              </w:rPr>
              <w:t>储罐全破裂</w:t>
            </w:r>
          </w:p>
        </w:tc>
        <w:tc>
          <w:tcPr>
            <w:tcW w:w="1984" w:type="dxa"/>
            <w:vAlign w:val="center"/>
          </w:tcPr>
          <w:p>
            <w:pPr>
              <w:kinsoku w:val="0"/>
              <w:overflowPunct w:val="0"/>
              <w:adjustRightInd w:val="0"/>
              <w:snapToGrid w:val="0"/>
              <w:jc w:val="center"/>
              <w:rPr>
                <w:rFonts w:ascii="仿宋" w:hAnsi="仿宋" w:eastAsia="仿宋"/>
              </w:rPr>
            </w:pPr>
            <w:r>
              <w:rPr>
                <w:rFonts w:ascii="仿宋" w:hAnsi="仿宋" w:eastAsia="仿宋"/>
              </w:rPr>
              <w:t>1.00×10</w:t>
            </w:r>
            <w:r>
              <w:rPr>
                <w:rFonts w:ascii="仿宋" w:hAnsi="仿宋" w:eastAsia="仿宋"/>
                <w:vertAlign w:val="superscript"/>
              </w:rPr>
              <w:t>-4</w:t>
            </w:r>
            <w:r>
              <w:rPr>
                <w:rFonts w:ascii="仿宋" w:hAnsi="仿宋" w:eastAsia="仿宋"/>
              </w:rPr>
              <w:t>/a</w:t>
            </w:r>
          </w:p>
          <w:p>
            <w:pPr>
              <w:kinsoku w:val="0"/>
              <w:overflowPunct w:val="0"/>
              <w:adjustRightInd w:val="0"/>
              <w:snapToGrid w:val="0"/>
              <w:jc w:val="center"/>
              <w:rPr>
                <w:rFonts w:ascii="仿宋" w:hAnsi="仿宋" w:eastAsia="仿宋"/>
              </w:rPr>
            </w:pPr>
            <w:r>
              <w:rPr>
                <w:rFonts w:ascii="仿宋" w:hAnsi="仿宋" w:eastAsia="仿宋"/>
              </w:rPr>
              <w:t>1.25×10</w:t>
            </w:r>
            <w:r>
              <w:rPr>
                <w:rFonts w:ascii="仿宋" w:hAnsi="仿宋" w:eastAsia="仿宋"/>
                <w:vertAlign w:val="superscript"/>
              </w:rPr>
              <w:t>-8</w:t>
            </w:r>
            <w:r>
              <w:rPr>
                <w:rFonts w:ascii="仿宋" w:hAnsi="仿宋" w:eastAsia="仿宋"/>
              </w:rPr>
              <w:t>/a</w:t>
            </w:r>
          </w:p>
          <w:p>
            <w:pPr>
              <w:kinsoku w:val="0"/>
              <w:overflowPunct w:val="0"/>
              <w:adjustRightInd w:val="0"/>
              <w:snapToGrid w:val="0"/>
              <w:jc w:val="center"/>
              <w:rPr>
                <w:rFonts w:ascii="仿宋" w:hAnsi="仿宋" w:eastAsia="仿宋"/>
              </w:rPr>
            </w:pPr>
            <w:r>
              <w:rPr>
                <w:rFonts w:ascii="仿宋" w:hAnsi="仿宋" w:eastAsia="仿宋"/>
              </w:rPr>
              <w:t>1.25×10</w:t>
            </w:r>
            <w:r>
              <w:rPr>
                <w:rFonts w:ascii="仿宋" w:hAnsi="仿宋" w:eastAsia="仿宋"/>
                <w:vertAlign w:val="superscript"/>
              </w:rPr>
              <w:t>-8</w:t>
            </w:r>
            <w:r>
              <w:rPr>
                <w:rFonts w:ascii="仿宋" w:hAnsi="仿宋" w:eastAsia="仿宋"/>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184" w:type="dxa"/>
            <w:vAlign w:val="center"/>
          </w:tcPr>
          <w:p>
            <w:pPr>
              <w:kinsoku w:val="0"/>
              <w:overflowPunct w:val="0"/>
              <w:adjustRightInd w:val="0"/>
              <w:snapToGrid w:val="0"/>
              <w:jc w:val="center"/>
              <w:rPr>
                <w:rFonts w:ascii="仿宋" w:hAnsi="仿宋" w:eastAsia="仿宋"/>
              </w:rPr>
            </w:pPr>
            <w:r>
              <w:rPr>
                <w:rFonts w:ascii="仿宋" w:hAnsi="仿宋" w:eastAsia="仿宋"/>
              </w:rPr>
              <w:t>常压全包容储罐</w:t>
            </w:r>
          </w:p>
        </w:tc>
        <w:tc>
          <w:tcPr>
            <w:tcW w:w="4817" w:type="dxa"/>
            <w:vAlign w:val="center"/>
          </w:tcPr>
          <w:p>
            <w:pPr>
              <w:kinsoku w:val="0"/>
              <w:overflowPunct w:val="0"/>
              <w:adjustRightInd w:val="0"/>
              <w:snapToGrid w:val="0"/>
              <w:jc w:val="center"/>
              <w:rPr>
                <w:rFonts w:ascii="仿宋" w:hAnsi="仿宋" w:eastAsia="仿宋"/>
              </w:rPr>
            </w:pPr>
            <w:r>
              <w:rPr>
                <w:rFonts w:ascii="仿宋" w:hAnsi="仿宋" w:eastAsia="仿宋"/>
              </w:rPr>
              <w:t>储罐全破裂</w:t>
            </w:r>
          </w:p>
        </w:tc>
        <w:tc>
          <w:tcPr>
            <w:tcW w:w="1984" w:type="dxa"/>
            <w:vAlign w:val="center"/>
          </w:tcPr>
          <w:p>
            <w:pPr>
              <w:kinsoku w:val="0"/>
              <w:overflowPunct w:val="0"/>
              <w:adjustRightInd w:val="0"/>
              <w:snapToGrid w:val="0"/>
              <w:jc w:val="center"/>
              <w:rPr>
                <w:rFonts w:ascii="仿宋" w:hAnsi="仿宋" w:eastAsia="仿宋"/>
              </w:rPr>
            </w:pPr>
            <w:r>
              <w:rPr>
                <w:rFonts w:ascii="仿宋" w:hAnsi="仿宋" w:eastAsia="仿宋"/>
              </w:rPr>
              <w:t>1.00×10</w:t>
            </w:r>
            <w:r>
              <w:rPr>
                <w:rFonts w:ascii="仿宋" w:hAnsi="仿宋" w:eastAsia="仿宋"/>
                <w:vertAlign w:val="superscript"/>
              </w:rPr>
              <w:t>-8</w:t>
            </w:r>
            <w:r>
              <w:rPr>
                <w:rFonts w:ascii="仿宋" w:hAnsi="仿宋" w:eastAsia="仿宋"/>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184" w:type="dxa"/>
            <w:vAlign w:val="center"/>
          </w:tcPr>
          <w:p>
            <w:pPr>
              <w:kinsoku w:val="0"/>
              <w:overflowPunct w:val="0"/>
              <w:adjustRightInd w:val="0"/>
              <w:snapToGrid w:val="0"/>
              <w:jc w:val="center"/>
              <w:rPr>
                <w:rFonts w:ascii="仿宋" w:hAnsi="仿宋" w:eastAsia="仿宋"/>
              </w:rPr>
            </w:pPr>
            <w:r>
              <w:rPr>
                <w:rFonts w:ascii="仿宋" w:hAnsi="仿宋" w:eastAsia="仿宋"/>
              </w:rPr>
              <w:t>内径≤75mm的管道</w:t>
            </w:r>
          </w:p>
        </w:tc>
        <w:tc>
          <w:tcPr>
            <w:tcW w:w="4817" w:type="dxa"/>
            <w:vAlign w:val="center"/>
          </w:tcPr>
          <w:p>
            <w:pPr>
              <w:kinsoku w:val="0"/>
              <w:overflowPunct w:val="0"/>
              <w:adjustRightInd w:val="0"/>
              <w:snapToGrid w:val="0"/>
              <w:jc w:val="center"/>
              <w:rPr>
                <w:rFonts w:ascii="仿宋" w:hAnsi="仿宋" w:eastAsia="仿宋"/>
              </w:rPr>
            </w:pPr>
            <w:r>
              <w:rPr>
                <w:rFonts w:ascii="仿宋" w:hAnsi="仿宋" w:eastAsia="仿宋"/>
              </w:rPr>
              <w:t>泄漏孔径为10%孔径</w:t>
            </w:r>
          </w:p>
          <w:p>
            <w:pPr>
              <w:kinsoku w:val="0"/>
              <w:overflowPunct w:val="0"/>
              <w:adjustRightInd w:val="0"/>
              <w:snapToGrid w:val="0"/>
              <w:jc w:val="center"/>
              <w:rPr>
                <w:rFonts w:ascii="仿宋" w:hAnsi="仿宋" w:eastAsia="仿宋"/>
              </w:rPr>
            </w:pPr>
            <w:r>
              <w:rPr>
                <w:rFonts w:ascii="仿宋" w:hAnsi="仿宋" w:eastAsia="仿宋"/>
              </w:rPr>
              <w:t>全管径泄漏</w:t>
            </w:r>
          </w:p>
        </w:tc>
        <w:tc>
          <w:tcPr>
            <w:tcW w:w="1984" w:type="dxa"/>
            <w:vAlign w:val="center"/>
          </w:tcPr>
          <w:p>
            <w:pPr>
              <w:kinsoku w:val="0"/>
              <w:overflowPunct w:val="0"/>
              <w:adjustRightInd w:val="0"/>
              <w:snapToGrid w:val="0"/>
              <w:jc w:val="center"/>
              <w:rPr>
                <w:rFonts w:ascii="仿宋" w:hAnsi="仿宋" w:eastAsia="仿宋"/>
              </w:rPr>
            </w:pPr>
            <w:r>
              <w:rPr>
                <w:rFonts w:ascii="仿宋" w:hAnsi="仿宋" w:eastAsia="仿宋"/>
              </w:rPr>
              <w:t>5.00×10</w:t>
            </w:r>
            <w:r>
              <w:rPr>
                <w:rFonts w:ascii="仿宋" w:hAnsi="仿宋" w:eastAsia="仿宋"/>
                <w:vertAlign w:val="superscript"/>
              </w:rPr>
              <w:t>-6</w:t>
            </w:r>
            <w:r>
              <w:rPr>
                <w:rFonts w:ascii="仿宋" w:hAnsi="仿宋" w:eastAsia="仿宋"/>
              </w:rPr>
              <w:t>/（m·a）</w:t>
            </w:r>
          </w:p>
          <w:p>
            <w:pPr>
              <w:kinsoku w:val="0"/>
              <w:overflowPunct w:val="0"/>
              <w:adjustRightInd w:val="0"/>
              <w:snapToGrid w:val="0"/>
              <w:jc w:val="center"/>
              <w:rPr>
                <w:rFonts w:ascii="仿宋" w:hAnsi="仿宋" w:eastAsia="仿宋"/>
              </w:rPr>
            </w:pPr>
            <w:r>
              <w:rPr>
                <w:rFonts w:ascii="仿宋" w:hAnsi="仿宋" w:eastAsia="仿宋"/>
              </w:rPr>
              <w:t>1.00×10</w:t>
            </w:r>
            <w:r>
              <w:rPr>
                <w:rFonts w:ascii="仿宋" w:hAnsi="仿宋" w:eastAsia="仿宋"/>
                <w:vertAlign w:val="superscript"/>
              </w:rPr>
              <w:t>-6</w:t>
            </w:r>
            <w:r>
              <w:rPr>
                <w:rFonts w:ascii="仿宋" w:hAnsi="仿宋" w:eastAsia="仿宋"/>
              </w:rPr>
              <w:t>/（m·a）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184" w:type="dxa"/>
            <w:vAlign w:val="center"/>
          </w:tcPr>
          <w:p>
            <w:pPr>
              <w:kinsoku w:val="0"/>
              <w:overflowPunct w:val="0"/>
              <w:adjustRightInd w:val="0"/>
              <w:snapToGrid w:val="0"/>
              <w:jc w:val="center"/>
              <w:rPr>
                <w:rFonts w:ascii="仿宋" w:hAnsi="仿宋" w:eastAsia="仿宋"/>
              </w:rPr>
            </w:pPr>
            <w:r>
              <w:rPr>
                <w:rFonts w:ascii="仿宋" w:hAnsi="仿宋" w:eastAsia="仿宋"/>
              </w:rPr>
              <w:t>75mm&lt;内径≤150mm的管道</w:t>
            </w:r>
          </w:p>
        </w:tc>
        <w:tc>
          <w:tcPr>
            <w:tcW w:w="4817" w:type="dxa"/>
            <w:vAlign w:val="center"/>
          </w:tcPr>
          <w:p>
            <w:pPr>
              <w:kinsoku w:val="0"/>
              <w:overflowPunct w:val="0"/>
              <w:adjustRightInd w:val="0"/>
              <w:snapToGrid w:val="0"/>
              <w:jc w:val="center"/>
              <w:rPr>
                <w:rFonts w:ascii="仿宋" w:hAnsi="仿宋" w:eastAsia="仿宋"/>
              </w:rPr>
            </w:pPr>
            <w:r>
              <w:rPr>
                <w:rFonts w:ascii="仿宋" w:hAnsi="仿宋" w:eastAsia="仿宋"/>
              </w:rPr>
              <w:t>泄漏孔径为10%孔径</w:t>
            </w:r>
          </w:p>
          <w:p>
            <w:pPr>
              <w:kinsoku w:val="0"/>
              <w:overflowPunct w:val="0"/>
              <w:adjustRightInd w:val="0"/>
              <w:snapToGrid w:val="0"/>
              <w:jc w:val="center"/>
              <w:rPr>
                <w:rFonts w:ascii="仿宋" w:hAnsi="仿宋" w:eastAsia="仿宋"/>
              </w:rPr>
            </w:pPr>
            <w:r>
              <w:rPr>
                <w:rFonts w:ascii="仿宋" w:hAnsi="仿宋" w:eastAsia="仿宋"/>
              </w:rPr>
              <w:t>全管径泄漏</w:t>
            </w:r>
          </w:p>
        </w:tc>
        <w:tc>
          <w:tcPr>
            <w:tcW w:w="1984" w:type="dxa"/>
            <w:vAlign w:val="center"/>
          </w:tcPr>
          <w:p>
            <w:pPr>
              <w:kinsoku w:val="0"/>
              <w:overflowPunct w:val="0"/>
              <w:adjustRightInd w:val="0"/>
              <w:snapToGrid w:val="0"/>
              <w:jc w:val="center"/>
              <w:rPr>
                <w:rFonts w:ascii="仿宋" w:hAnsi="仿宋" w:eastAsia="仿宋"/>
              </w:rPr>
            </w:pPr>
            <w:r>
              <w:rPr>
                <w:rFonts w:ascii="仿宋" w:hAnsi="仿宋" w:eastAsia="仿宋"/>
              </w:rPr>
              <w:t>2.00×10</w:t>
            </w:r>
            <w:r>
              <w:rPr>
                <w:rFonts w:ascii="仿宋" w:hAnsi="仿宋" w:eastAsia="仿宋"/>
                <w:vertAlign w:val="superscript"/>
              </w:rPr>
              <w:t>-6</w:t>
            </w:r>
            <w:r>
              <w:rPr>
                <w:rFonts w:ascii="仿宋" w:hAnsi="仿宋" w:eastAsia="仿宋"/>
              </w:rPr>
              <w:t>/（m·a）</w:t>
            </w:r>
          </w:p>
          <w:p>
            <w:pPr>
              <w:kinsoku w:val="0"/>
              <w:overflowPunct w:val="0"/>
              <w:adjustRightInd w:val="0"/>
              <w:snapToGrid w:val="0"/>
              <w:jc w:val="center"/>
              <w:rPr>
                <w:rFonts w:ascii="仿宋" w:hAnsi="仿宋" w:eastAsia="仿宋"/>
              </w:rPr>
            </w:pPr>
            <w:r>
              <w:rPr>
                <w:rFonts w:ascii="仿宋" w:hAnsi="仿宋" w:eastAsia="仿宋"/>
              </w:rPr>
              <w:t>3.00×10</w:t>
            </w:r>
            <w:r>
              <w:rPr>
                <w:rFonts w:ascii="仿宋" w:hAnsi="仿宋" w:eastAsia="仿宋"/>
                <w:vertAlign w:val="superscript"/>
              </w:rPr>
              <w:t>-7</w:t>
            </w:r>
            <w:r>
              <w:rPr>
                <w:rFonts w:ascii="仿宋" w:hAnsi="仿宋" w:eastAsia="仿宋"/>
              </w:rPr>
              <w:t>/（m·a）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184" w:type="dxa"/>
            <w:vAlign w:val="center"/>
          </w:tcPr>
          <w:p>
            <w:pPr>
              <w:kinsoku w:val="0"/>
              <w:overflowPunct w:val="0"/>
              <w:adjustRightInd w:val="0"/>
              <w:snapToGrid w:val="0"/>
              <w:jc w:val="center"/>
              <w:rPr>
                <w:rFonts w:ascii="仿宋" w:hAnsi="仿宋" w:eastAsia="仿宋"/>
              </w:rPr>
            </w:pPr>
            <w:r>
              <w:rPr>
                <w:rFonts w:ascii="仿宋" w:hAnsi="仿宋" w:eastAsia="仿宋"/>
              </w:rPr>
              <w:t>内径&gt;150mm的管道</w:t>
            </w:r>
          </w:p>
        </w:tc>
        <w:tc>
          <w:tcPr>
            <w:tcW w:w="4817" w:type="dxa"/>
            <w:vAlign w:val="center"/>
          </w:tcPr>
          <w:p>
            <w:pPr>
              <w:kinsoku w:val="0"/>
              <w:overflowPunct w:val="0"/>
              <w:adjustRightInd w:val="0"/>
              <w:snapToGrid w:val="0"/>
              <w:jc w:val="center"/>
              <w:rPr>
                <w:rFonts w:ascii="仿宋" w:hAnsi="仿宋" w:eastAsia="仿宋"/>
              </w:rPr>
            </w:pPr>
            <w:r>
              <w:rPr>
                <w:rFonts w:ascii="仿宋" w:hAnsi="仿宋" w:eastAsia="仿宋"/>
              </w:rPr>
              <w:t>泄漏孔径为10%孔径（最大50mm）</w:t>
            </w:r>
          </w:p>
          <w:p>
            <w:pPr>
              <w:kinsoku w:val="0"/>
              <w:overflowPunct w:val="0"/>
              <w:adjustRightInd w:val="0"/>
              <w:snapToGrid w:val="0"/>
              <w:jc w:val="center"/>
              <w:rPr>
                <w:rFonts w:ascii="仿宋" w:hAnsi="仿宋" w:eastAsia="仿宋"/>
              </w:rPr>
            </w:pPr>
            <w:r>
              <w:rPr>
                <w:rFonts w:ascii="仿宋" w:hAnsi="仿宋" w:eastAsia="仿宋"/>
              </w:rPr>
              <w:t>全管径泄漏</w:t>
            </w:r>
          </w:p>
        </w:tc>
        <w:tc>
          <w:tcPr>
            <w:tcW w:w="1984" w:type="dxa"/>
            <w:vAlign w:val="center"/>
          </w:tcPr>
          <w:p>
            <w:pPr>
              <w:kinsoku w:val="0"/>
              <w:overflowPunct w:val="0"/>
              <w:adjustRightInd w:val="0"/>
              <w:snapToGrid w:val="0"/>
              <w:jc w:val="center"/>
              <w:rPr>
                <w:rFonts w:ascii="仿宋" w:hAnsi="仿宋" w:eastAsia="仿宋"/>
              </w:rPr>
            </w:pPr>
            <w:r>
              <w:rPr>
                <w:rFonts w:ascii="仿宋" w:hAnsi="仿宋" w:eastAsia="仿宋"/>
              </w:rPr>
              <w:t>2.40×10</w:t>
            </w:r>
            <w:r>
              <w:rPr>
                <w:rFonts w:ascii="仿宋" w:hAnsi="仿宋" w:eastAsia="仿宋"/>
                <w:vertAlign w:val="superscript"/>
              </w:rPr>
              <w:t>-6</w:t>
            </w:r>
            <w:r>
              <w:rPr>
                <w:rFonts w:ascii="仿宋" w:hAnsi="仿宋" w:eastAsia="仿宋"/>
              </w:rPr>
              <w:t>/（m·a）</w:t>
            </w:r>
          </w:p>
          <w:p>
            <w:pPr>
              <w:kinsoku w:val="0"/>
              <w:overflowPunct w:val="0"/>
              <w:adjustRightInd w:val="0"/>
              <w:snapToGrid w:val="0"/>
              <w:jc w:val="center"/>
              <w:rPr>
                <w:rFonts w:ascii="仿宋" w:hAnsi="仿宋" w:eastAsia="仿宋"/>
              </w:rPr>
            </w:pPr>
            <w:r>
              <w:rPr>
                <w:rFonts w:ascii="仿宋" w:hAnsi="仿宋" w:eastAsia="仿宋"/>
              </w:rPr>
              <w:t>1.00×10</w:t>
            </w:r>
            <w:r>
              <w:rPr>
                <w:rFonts w:ascii="仿宋" w:hAnsi="仿宋" w:eastAsia="仿宋"/>
                <w:vertAlign w:val="superscript"/>
              </w:rPr>
              <w:t>-7</w:t>
            </w:r>
            <w:r>
              <w:rPr>
                <w:rFonts w:ascii="仿宋" w:hAnsi="仿宋" w:eastAsia="仿宋"/>
              </w:rPr>
              <w:t>/（m·a）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184" w:type="dxa"/>
            <w:vAlign w:val="center"/>
          </w:tcPr>
          <w:p>
            <w:pPr>
              <w:kinsoku w:val="0"/>
              <w:overflowPunct w:val="0"/>
              <w:adjustRightInd w:val="0"/>
              <w:snapToGrid w:val="0"/>
              <w:jc w:val="center"/>
              <w:rPr>
                <w:rFonts w:ascii="仿宋" w:hAnsi="仿宋" w:eastAsia="仿宋"/>
              </w:rPr>
            </w:pPr>
            <w:r>
              <w:rPr>
                <w:rFonts w:ascii="仿宋" w:hAnsi="仿宋" w:eastAsia="仿宋"/>
              </w:rPr>
              <w:t>泵体和压缩机</w:t>
            </w:r>
          </w:p>
        </w:tc>
        <w:tc>
          <w:tcPr>
            <w:tcW w:w="4817" w:type="dxa"/>
            <w:vAlign w:val="center"/>
          </w:tcPr>
          <w:p>
            <w:pPr>
              <w:kinsoku w:val="0"/>
              <w:overflowPunct w:val="0"/>
              <w:adjustRightInd w:val="0"/>
              <w:snapToGrid w:val="0"/>
              <w:jc w:val="center"/>
              <w:rPr>
                <w:rFonts w:ascii="仿宋" w:hAnsi="仿宋" w:eastAsia="仿宋"/>
              </w:rPr>
            </w:pPr>
            <w:r>
              <w:rPr>
                <w:rFonts w:ascii="仿宋" w:hAnsi="仿宋" w:eastAsia="仿宋"/>
              </w:rPr>
              <w:t>泵体和压缩机最大连接管泄漏孔径为10%孔径（最大50mm）</w:t>
            </w:r>
          </w:p>
          <w:p>
            <w:pPr>
              <w:kinsoku w:val="0"/>
              <w:overflowPunct w:val="0"/>
              <w:adjustRightInd w:val="0"/>
              <w:snapToGrid w:val="0"/>
              <w:jc w:val="center"/>
              <w:rPr>
                <w:rFonts w:ascii="仿宋" w:hAnsi="仿宋" w:eastAsia="仿宋"/>
              </w:rPr>
            </w:pPr>
            <w:r>
              <w:rPr>
                <w:rFonts w:ascii="仿宋" w:hAnsi="仿宋" w:eastAsia="仿宋"/>
              </w:rPr>
              <w:t>泵体和压缩机最大连接管全管径泄漏</w:t>
            </w:r>
          </w:p>
        </w:tc>
        <w:tc>
          <w:tcPr>
            <w:tcW w:w="1984" w:type="dxa"/>
            <w:vAlign w:val="center"/>
          </w:tcPr>
          <w:p>
            <w:pPr>
              <w:kinsoku w:val="0"/>
              <w:overflowPunct w:val="0"/>
              <w:adjustRightInd w:val="0"/>
              <w:snapToGrid w:val="0"/>
              <w:jc w:val="center"/>
              <w:rPr>
                <w:rFonts w:ascii="仿宋" w:hAnsi="仿宋" w:eastAsia="仿宋"/>
              </w:rPr>
            </w:pPr>
            <w:r>
              <w:rPr>
                <w:rFonts w:ascii="仿宋" w:hAnsi="仿宋" w:eastAsia="仿宋"/>
              </w:rPr>
              <w:t>5.00×10</w:t>
            </w:r>
            <w:r>
              <w:rPr>
                <w:rFonts w:ascii="仿宋" w:hAnsi="仿宋" w:eastAsia="仿宋"/>
                <w:vertAlign w:val="superscript"/>
              </w:rPr>
              <w:t>-4</w:t>
            </w:r>
            <w:r>
              <w:rPr>
                <w:rFonts w:ascii="仿宋" w:hAnsi="仿宋" w:eastAsia="仿宋"/>
              </w:rPr>
              <w:t>/a</w:t>
            </w:r>
          </w:p>
          <w:p>
            <w:pPr>
              <w:kinsoku w:val="0"/>
              <w:overflowPunct w:val="0"/>
              <w:adjustRightInd w:val="0"/>
              <w:snapToGrid w:val="0"/>
              <w:jc w:val="center"/>
              <w:rPr>
                <w:rFonts w:ascii="仿宋" w:hAnsi="仿宋" w:eastAsia="仿宋"/>
              </w:rPr>
            </w:pPr>
            <w:r>
              <w:rPr>
                <w:rFonts w:ascii="仿宋" w:hAnsi="仿宋" w:eastAsia="仿宋"/>
              </w:rPr>
              <w:t>1.00×10</w:t>
            </w:r>
            <w:r>
              <w:rPr>
                <w:rFonts w:ascii="仿宋" w:hAnsi="仿宋" w:eastAsia="仿宋"/>
                <w:vertAlign w:val="superscript"/>
              </w:rPr>
              <w:t>-4</w:t>
            </w:r>
            <w:r>
              <w:rPr>
                <w:rFonts w:ascii="仿宋" w:hAnsi="仿宋" w:eastAsia="仿宋"/>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184" w:type="dxa"/>
            <w:vAlign w:val="center"/>
          </w:tcPr>
          <w:p>
            <w:pPr>
              <w:kinsoku w:val="0"/>
              <w:overflowPunct w:val="0"/>
              <w:adjustRightInd w:val="0"/>
              <w:snapToGrid w:val="0"/>
              <w:jc w:val="center"/>
              <w:rPr>
                <w:rFonts w:ascii="仿宋" w:hAnsi="仿宋" w:eastAsia="仿宋"/>
              </w:rPr>
            </w:pPr>
            <w:r>
              <w:rPr>
                <w:rFonts w:ascii="仿宋" w:hAnsi="仿宋" w:eastAsia="仿宋"/>
              </w:rPr>
              <w:t>装卸臂</w:t>
            </w:r>
          </w:p>
        </w:tc>
        <w:tc>
          <w:tcPr>
            <w:tcW w:w="4817" w:type="dxa"/>
            <w:vAlign w:val="center"/>
          </w:tcPr>
          <w:p>
            <w:pPr>
              <w:kinsoku w:val="0"/>
              <w:overflowPunct w:val="0"/>
              <w:adjustRightInd w:val="0"/>
              <w:snapToGrid w:val="0"/>
              <w:jc w:val="center"/>
              <w:rPr>
                <w:rFonts w:ascii="仿宋" w:hAnsi="仿宋" w:eastAsia="仿宋"/>
              </w:rPr>
            </w:pPr>
            <w:r>
              <w:rPr>
                <w:rFonts w:ascii="仿宋" w:hAnsi="仿宋" w:eastAsia="仿宋"/>
              </w:rPr>
              <w:t>装卸臂连接管泄漏孔径为10%孔径（最大50mm）</w:t>
            </w:r>
          </w:p>
          <w:p>
            <w:pPr>
              <w:kinsoku w:val="0"/>
              <w:overflowPunct w:val="0"/>
              <w:adjustRightInd w:val="0"/>
              <w:snapToGrid w:val="0"/>
              <w:jc w:val="center"/>
              <w:rPr>
                <w:rFonts w:ascii="仿宋" w:hAnsi="仿宋" w:eastAsia="仿宋"/>
              </w:rPr>
            </w:pPr>
            <w:r>
              <w:rPr>
                <w:rFonts w:ascii="仿宋" w:hAnsi="仿宋" w:eastAsia="仿宋"/>
              </w:rPr>
              <w:t>装卸臂全管径泄漏</w:t>
            </w:r>
          </w:p>
        </w:tc>
        <w:tc>
          <w:tcPr>
            <w:tcW w:w="1984" w:type="dxa"/>
            <w:vAlign w:val="center"/>
          </w:tcPr>
          <w:p>
            <w:pPr>
              <w:kinsoku w:val="0"/>
              <w:overflowPunct w:val="0"/>
              <w:adjustRightInd w:val="0"/>
              <w:snapToGrid w:val="0"/>
              <w:jc w:val="center"/>
              <w:rPr>
                <w:rFonts w:ascii="仿宋" w:hAnsi="仿宋" w:eastAsia="仿宋"/>
              </w:rPr>
            </w:pPr>
            <w:r>
              <w:rPr>
                <w:rFonts w:ascii="仿宋" w:hAnsi="仿宋" w:eastAsia="仿宋"/>
              </w:rPr>
              <w:t>3.00×10</w:t>
            </w:r>
            <w:r>
              <w:rPr>
                <w:rFonts w:ascii="仿宋" w:hAnsi="仿宋" w:eastAsia="仿宋"/>
                <w:vertAlign w:val="superscript"/>
              </w:rPr>
              <w:t>-7</w:t>
            </w:r>
            <w:r>
              <w:rPr>
                <w:rFonts w:ascii="仿宋" w:hAnsi="仿宋" w:eastAsia="仿宋"/>
              </w:rPr>
              <w:t>/h</w:t>
            </w:r>
          </w:p>
          <w:p>
            <w:pPr>
              <w:kinsoku w:val="0"/>
              <w:overflowPunct w:val="0"/>
              <w:adjustRightInd w:val="0"/>
              <w:snapToGrid w:val="0"/>
              <w:jc w:val="center"/>
              <w:rPr>
                <w:rFonts w:ascii="仿宋" w:hAnsi="仿宋" w:eastAsia="仿宋"/>
              </w:rPr>
            </w:pPr>
            <w:r>
              <w:rPr>
                <w:rFonts w:ascii="仿宋" w:hAnsi="仿宋" w:eastAsia="仿宋"/>
              </w:rPr>
              <w:t>3.00×10</w:t>
            </w:r>
            <w:r>
              <w:rPr>
                <w:rFonts w:ascii="仿宋" w:hAnsi="仿宋" w:eastAsia="仿宋"/>
                <w:vertAlign w:val="superscript"/>
              </w:rPr>
              <w:t>-8</w:t>
            </w:r>
            <w:r>
              <w:rPr>
                <w:rFonts w:ascii="仿宋" w:hAnsi="仿宋" w:eastAsia="仿宋"/>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184" w:type="dxa"/>
            <w:vAlign w:val="center"/>
          </w:tcPr>
          <w:p>
            <w:pPr>
              <w:kinsoku w:val="0"/>
              <w:overflowPunct w:val="0"/>
              <w:adjustRightInd w:val="0"/>
              <w:snapToGrid w:val="0"/>
              <w:jc w:val="center"/>
              <w:rPr>
                <w:rFonts w:ascii="仿宋" w:hAnsi="仿宋" w:eastAsia="仿宋"/>
              </w:rPr>
            </w:pPr>
            <w:r>
              <w:rPr>
                <w:rFonts w:ascii="仿宋" w:hAnsi="仿宋" w:eastAsia="仿宋"/>
              </w:rPr>
              <w:t>装卸软管</w:t>
            </w:r>
          </w:p>
        </w:tc>
        <w:tc>
          <w:tcPr>
            <w:tcW w:w="4817" w:type="dxa"/>
            <w:vAlign w:val="center"/>
          </w:tcPr>
          <w:p>
            <w:pPr>
              <w:kinsoku w:val="0"/>
              <w:overflowPunct w:val="0"/>
              <w:adjustRightInd w:val="0"/>
              <w:snapToGrid w:val="0"/>
              <w:jc w:val="center"/>
              <w:rPr>
                <w:rFonts w:ascii="仿宋" w:hAnsi="仿宋" w:eastAsia="仿宋"/>
              </w:rPr>
            </w:pPr>
            <w:r>
              <w:rPr>
                <w:rFonts w:ascii="仿宋" w:hAnsi="仿宋" w:eastAsia="仿宋"/>
              </w:rPr>
              <w:t>装卸软管连接管泄漏孔径为10%孔径（最大50mm）</w:t>
            </w:r>
          </w:p>
          <w:p>
            <w:pPr>
              <w:kinsoku w:val="0"/>
              <w:overflowPunct w:val="0"/>
              <w:adjustRightInd w:val="0"/>
              <w:snapToGrid w:val="0"/>
              <w:jc w:val="center"/>
              <w:rPr>
                <w:rFonts w:ascii="仿宋" w:hAnsi="仿宋" w:eastAsia="仿宋"/>
              </w:rPr>
            </w:pPr>
            <w:r>
              <w:rPr>
                <w:rFonts w:ascii="仿宋" w:hAnsi="仿宋" w:eastAsia="仿宋"/>
              </w:rPr>
              <w:t>装卸软管全管径泄漏</w:t>
            </w:r>
          </w:p>
        </w:tc>
        <w:tc>
          <w:tcPr>
            <w:tcW w:w="1984" w:type="dxa"/>
            <w:vAlign w:val="center"/>
          </w:tcPr>
          <w:p>
            <w:pPr>
              <w:kinsoku w:val="0"/>
              <w:overflowPunct w:val="0"/>
              <w:adjustRightInd w:val="0"/>
              <w:snapToGrid w:val="0"/>
              <w:jc w:val="center"/>
              <w:rPr>
                <w:rFonts w:ascii="仿宋" w:hAnsi="仿宋" w:eastAsia="仿宋"/>
              </w:rPr>
            </w:pPr>
            <w:r>
              <w:rPr>
                <w:rFonts w:ascii="仿宋" w:hAnsi="仿宋" w:eastAsia="仿宋"/>
              </w:rPr>
              <w:t>4.00×10</w:t>
            </w:r>
            <w:r>
              <w:rPr>
                <w:rFonts w:ascii="仿宋" w:hAnsi="仿宋" w:eastAsia="仿宋"/>
                <w:vertAlign w:val="superscript"/>
              </w:rPr>
              <w:t>-5</w:t>
            </w:r>
            <w:r>
              <w:rPr>
                <w:rFonts w:ascii="仿宋" w:hAnsi="仿宋" w:eastAsia="仿宋"/>
              </w:rPr>
              <w:t>/h</w:t>
            </w:r>
          </w:p>
          <w:p>
            <w:pPr>
              <w:kinsoku w:val="0"/>
              <w:overflowPunct w:val="0"/>
              <w:adjustRightInd w:val="0"/>
              <w:snapToGrid w:val="0"/>
              <w:jc w:val="center"/>
              <w:rPr>
                <w:rFonts w:ascii="仿宋" w:hAnsi="仿宋" w:eastAsia="仿宋"/>
              </w:rPr>
            </w:pPr>
            <w:r>
              <w:rPr>
                <w:rFonts w:ascii="仿宋" w:hAnsi="仿宋" w:eastAsia="仿宋"/>
              </w:rPr>
              <w:t>4.00×10</w:t>
            </w:r>
            <w:r>
              <w:rPr>
                <w:rFonts w:ascii="仿宋" w:hAnsi="仿宋" w:eastAsia="仿宋"/>
                <w:vertAlign w:val="superscript"/>
              </w:rPr>
              <w:t>-6</w:t>
            </w:r>
            <w:r>
              <w:rPr>
                <w:rFonts w:ascii="仿宋" w:hAnsi="仿宋" w:eastAsia="仿宋"/>
              </w:rPr>
              <w:t>/h</w:t>
            </w:r>
          </w:p>
        </w:tc>
      </w:tr>
    </w:tbl>
    <w:p>
      <w:pPr>
        <w:spacing w:line="500" w:lineRule="exact"/>
        <w:ind w:firstLine="560" w:firstLineChars="200"/>
        <w:rPr>
          <w:rFonts w:eastAsia="仿宋_GB2312"/>
          <w:sz w:val="28"/>
          <w:szCs w:val="20"/>
        </w:rPr>
      </w:pPr>
      <w:r>
        <w:rPr>
          <w:rFonts w:eastAsia="仿宋_GB2312"/>
          <w:sz w:val="28"/>
          <w:szCs w:val="20"/>
        </w:rPr>
        <w:t>物料泄漏主要原因包括垫圈破损、仪表失灵、连接密封不良等，具体见下表。</w:t>
      </w:r>
    </w:p>
    <w:p>
      <w:pPr>
        <w:adjustRightInd w:val="0"/>
        <w:snapToGrid w:val="0"/>
        <w:ind w:firstLine="482"/>
        <w:jc w:val="center"/>
        <w:rPr>
          <w:rFonts w:ascii="仿宋" w:hAnsi="仿宋" w:eastAsia="仿宋"/>
          <w:b/>
          <w:sz w:val="24"/>
        </w:rPr>
      </w:pPr>
      <w:r>
        <w:rPr>
          <w:rFonts w:ascii="仿宋" w:hAnsi="仿宋" w:eastAsia="仿宋"/>
          <w:b/>
          <w:sz w:val="24"/>
        </w:rPr>
        <w:t>表</w:t>
      </w:r>
      <w:r>
        <w:rPr>
          <w:rFonts w:hint="eastAsia" w:ascii="仿宋" w:hAnsi="仿宋" w:eastAsia="仿宋"/>
          <w:b/>
          <w:sz w:val="24"/>
        </w:rPr>
        <w:t>5.3</w:t>
      </w:r>
      <w:r>
        <w:rPr>
          <w:rFonts w:ascii="仿宋" w:hAnsi="仿宋" w:eastAsia="仿宋"/>
          <w:b/>
          <w:sz w:val="24"/>
        </w:rPr>
        <w:t>-</w:t>
      </w:r>
      <w:r>
        <w:rPr>
          <w:rFonts w:hint="eastAsia" w:ascii="仿宋" w:hAnsi="仿宋" w:eastAsia="仿宋"/>
          <w:b/>
          <w:sz w:val="24"/>
        </w:rPr>
        <w:t>1</w:t>
      </w:r>
      <w:r>
        <w:rPr>
          <w:rFonts w:ascii="仿宋" w:hAnsi="仿宋" w:eastAsia="仿宋"/>
          <w:b/>
          <w:sz w:val="24"/>
        </w:rPr>
        <w:t>9  物料泄漏事故原因统计表</w:t>
      </w:r>
    </w:p>
    <w:tbl>
      <w:tblPr>
        <w:tblStyle w:val="87"/>
        <w:tblW w:w="89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0"/>
        <w:gridCol w:w="2338"/>
        <w:gridCol w:w="2525"/>
        <w:gridCol w:w="2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tblHeader/>
          <w:jc w:val="center"/>
        </w:trPr>
        <w:tc>
          <w:tcPr>
            <w:tcW w:w="1790" w:type="dxa"/>
            <w:vAlign w:val="center"/>
          </w:tcPr>
          <w:p>
            <w:pPr>
              <w:adjustRightInd w:val="0"/>
              <w:snapToGrid w:val="0"/>
              <w:jc w:val="center"/>
              <w:rPr>
                <w:rFonts w:ascii="仿宋" w:hAnsi="仿宋" w:eastAsia="仿宋"/>
              </w:rPr>
            </w:pPr>
            <w:r>
              <w:rPr>
                <w:rFonts w:ascii="仿宋" w:hAnsi="仿宋" w:eastAsia="仿宋"/>
              </w:rPr>
              <w:t>序号</w:t>
            </w:r>
          </w:p>
        </w:tc>
        <w:tc>
          <w:tcPr>
            <w:tcW w:w="2337" w:type="dxa"/>
            <w:vAlign w:val="center"/>
          </w:tcPr>
          <w:p>
            <w:pPr>
              <w:adjustRightInd w:val="0"/>
              <w:snapToGrid w:val="0"/>
              <w:jc w:val="center"/>
              <w:rPr>
                <w:rFonts w:ascii="仿宋" w:hAnsi="仿宋" w:eastAsia="仿宋"/>
              </w:rPr>
            </w:pPr>
            <w:r>
              <w:rPr>
                <w:rFonts w:ascii="仿宋" w:hAnsi="仿宋" w:eastAsia="仿宋"/>
              </w:rPr>
              <w:t>事故原因</w:t>
            </w:r>
          </w:p>
        </w:tc>
        <w:tc>
          <w:tcPr>
            <w:tcW w:w="2525" w:type="dxa"/>
            <w:vAlign w:val="center"/>
          </w:tcPr>
          <w:p>
            <w:pPr>
              <w:adjustRightInd w:val="0"/>
              <w:snapToGrid w:val="0"/>
              <w:jc w:val="center"/>
              <w:rPr>
                <w:rFonts w:ascii="仿宋" w:hAnsi="仿宋" w:eastAsia="仿宋"/>
              </w:rPr>
            </w:pPr>
            <w:r>
              <w:rPr>
                <w:rFonts w:ascii="仿宋" w:hAnsi="仿宋" w:eastAsia="仿宋"/>
              </w:rPr>
              <w:t>发生概率（次/年）</w:t>
            </w:r>
          </w:p>
        </w:tc>
        <w:tc>
          <w:tcPr>
            <w:tcW w:w="2313" w:type="dxa"/>
            <w:vAlign w:val="center"/>
          </w:tcPr>
          <w:p>
            <w:pPr>
              <w:adjustRightInd w:val="0"/>
              <w:snapToGrid w:val="0"/>
              <w:jc w:val="center"/>
              <w:rPr>
                <w:rFonts w:ascii="仿宋" w:hAnsi="仿宋" w:eastAsia="仿宋"/>
              </w:rPr>
            </w:pPr>
            <w:r>
              <w:rPr>
                <w:rFonts w:ascii="仿宋" w:hAnsi="仿宋" w:eastAsia="仿宋"/>
              </w:rPr>
              <w:t>占比例（%）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1790" w:type="dxa"/>
            <w:vAlign w:val="center"/>
          </w:tcPr>
          <w:p>
            <w:pPr>
              <w:adjustRightInd w:val="0"/>
              <w:snapToGrid w:val="0"/>
              <w:jc w:val="center"/>
              <w:rPr>
                <w:rFonts w:ascii="仿宋" w:hAnsi="仿宋" w:eastAsia="仿宋"/>
              </w:rPr>
            </w:pPr>
            <w:r>
              <w:rPr>
                <w:rFonts w:ascii="仿宋" w:hAnsi="仿宋" w:eastAsia="仿宋"/>
              </w:rPr>
              <w:t>1</w:t>
            </w:r>
          </w:p>
        </w:tc>
        <w:tc>
          <w:tcPr>
            <w:tcW w:w="2337" w:type="dxa"/>
            <w:vAlign w:val="center"/>
          </w:tcPr>
          <w:p>
            <w:pPr>
              <w:adjustRightInd w:val="0"/>
              <w:snapToGrid w:val="0"/>
              <w:jc w:val="center"/>
              <w:rPr>
                <w:rFonts w:ascii="仿宋" w:hAnsi="仿宋" w:eastAsia="仿宋"/>
              </w:rPr>
            </w:pPr>
            <w:r>
              <w:rPr>
                <w:rFonts w:ascii="仿宋" w:hAnsi="仿宋" w:eastAsia="仿宋"/>
              </w:rPr>
              <w:t>垫圈破损</w:t>
            </w:r>
          </w:p>
        </w:tc>
        <w:tc>
          <w:tcPr>
            <w:tcW w:w="2525" w:type="dxa"/>
            <w:vAlign w:val="center"/>
          </w:tcPr>
          <w:p>
            <w:pPr>
              <w:adjustRightInd w:val="0"/>
              <w:snapToGrid w:val="0"/>
              <w:jc w:val="center"/>
              <w:rPr>
                <w:rFonts w:ascii="仿宋" w:hAnsi="仿宋" w:eastAsia="仿宋"/>
              </w:rPr>
            </w:pPr>
            <w:r>
              <w:rPr>
                <w:rFonts w:ascii="仿宋" w:hAnsi="仿宋" w:eastAsia="仿宋"/>
              </w:rPr>
              <w:t>2.5</w:t>
            </w:r>
            <w:r>
              <w:rPr>
                <w:rFonts w:ascii="仿宋" w:hAnsi="仿宋" w:eastAsia="仿宋"/>
              </w:rPr>
              <w:sym w:font="Symbol" w:char="F0B4"/>
            </w:r>
            <w:r>
              <w:rPr>
                <w:rFonts w:ascii="仿宋" w:hAnsi="仿宋" w:eastAsia="仿宋"/>
              </w:rPr>
              <w:t>10</w:t>
            </w:r>
            <w:r>
              <w:rPr>
                <w:rFonts w:ascii="仿宋" w:hAnsi="仿宋" w:eastAsia="仿宋"/>
                <w:vertAlign w:val="superscript"/>
              </w:rPr>
              <w:t>-2</w:t>
            </w:r>
          </w:p>
        </w:tc>
        <w:tc>
          <w:tcPr>
            <w:tcW w:w="2313" w:type="dxa"/>
            <w:vAlign w:val="center"/>
          </w:tcPr>
          <w:p>
            <w:pPr>
              <w:adjustRightInd w:val="0"/>
              <w:snapToGrid w:val="0"/>
              <w:jc w:val="center"/>
              <w:rPr>
                <w:rFonts w:ascii="仿宋" w:hAnsi="仿宋" w:eastAsia="仿宋"/>
              </w:rPr>
            </w:pPr>
            <w:r>
              <w:rPr>
                <w:rFonts w:ascii="仿宋" w:hAnsi="仿宋" w:eastAsia="仿宋"/>
              </w:rPr>
              <w:t>46.1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1790" w:type="dxa"/>
            <w:vAlign w:val="center"/>
          </w:tcPr>
          <w:p>
            <w:pPr>
              <w:adjustRightInd w:val="0"/>
              <w:snapToGrid w:val="0"/>
              <w:jc w:val="center"/>
              <w:rPr>
                <w:rFonts w:ascii="仿宋" w:hAnsi="仿宋" w:eastAsia="仿宋"/>
              </w:rPr>
            </w:pPr>
            <w:r>
              <w:rPr>
                <w:rFonts w:ascii="仿宋" w:hAnsi="仿宋" w:eastAsia="仿宋"/>
              </w:rPr>
              <w:t>2</w:t>
            </w:r>
          </w:p>
        </w:tc>
        <w:tc>
          <w:tcPr>
            <w:tcW w:w="2337" w:type="dxa"/>
            <w:vAlign w:val="center"/>
          </w:tcPr>
          <w:p>
            <w:pPr>
              <w:adjustRightInd w:val="0"/>
              <w:snapToGrid w:val="0"/>
              <w:jc w:val="center"/>
              <w:rPr>
                <w:rFonts w:ascii="仿宋" w:hAnsi="仿宋" w:eastAsia="仿宋"/>
              </w:rPr>
            </w:pPr>
            <w:r>
              <w:rPr>
                <w:rFonts w:ascii="仿宋" w:hAnsi="仿宋" w:eastAsia="仿宋"/>
              </w:rPr>
              <w:t>仪表失灵</w:t>
            </w:r>
          </w:p>
        </w:tc>
        <w:tc>
          <w:tcPr>
            <w:tcW w:w="2525" w:type="dxa"/>
            <w:vAlign w:val="center"/>
          </w:tcPr>
          <w:p>
            <w:pPr>
              <w:adjustRightInd w:val="0"/>
              <w:snapToGrid w:val="0"/>
              <w:jc w:val="center"/>
              <w:rPr>
                <w:rFonts w:ascii="仿宋" w:hAnsi="仿宋" w:eastAsia="仿宋"/>
              </w:rPr>
            </w:pPr>
            <w:r>
              <w:rPr>
                <w:rFonts w:ascii="仿宋" w:hAnsi="仿宋" w:eastAsia="仿宋"/>
              </w:rPr>
              <w:t>8.3</w:t>
            </w:r>
            <w:r>
              <w:rPr>
                <w:rFonts w:ascii="仿宋" w:hAnsi="仿宋" w:eastAsia="仿宋"/>
              </w:rPr>
              <w:sym w:font="Symbol" w:char="F0B4"/>
            </w:r>
            <w:r>
              <w:rPr>
                <w:rFonts w:ascii="仿宋" w:hAnsi="仿宋" w:eastAsia="仿宋"/>
              </w:rPr>
              <w:t>10</w:t>
            </w:r>
            <w:r>
              <w:rPr>
                <w:rFonts w:ascii="仿宋" w:hAnsi="仿宋" w:eastAsia="仿宋"/>
                <w:vertAlign w:val="superscript"/>
              </w:rPr>
              <w:t>-3</w:t>
            </w:r>
          </w:p>
        </w:tc>
        <w:tc>
          <w:tcPr>
            <w:tcW w:w="2313" w:type="dxa"/>
            <w:vAlign w:val="center"/>
          </w:tcPr>
          <w:p>
            <w:pPr>
              <w:adjustRightInd w:val="0"/>
              <w:snapToGrid w:val="0"/>
              <w:jc w:val="center"/>
              <w:rPr>
                <w:rFonts w:ascii="仿宋" w:hAnsi="仿宋" w:eastAsia="仿宋"/>
              </w:rPr>
            </w:pPr>
            <w:r>
              <w:rPr>
                <w:rFonts w:ascii="仿宋" w:hAnsi="仿宋" w:eastAsia="仿宋"/>
              </w:rPr>
              <w:t>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1790" w:type="dxa"/>
            <w:vAlign w:val="center"/>
          </w:tcPr>
          <w:p>
            <w:pPr>
              <w:adjustRightInd w:val="0"/>
              <w:snapToGrid w:val="0"/>
              <w:jc w:val="center"/>
              <w:rPr>
                <w:rFonts w:ascii="仿宋" w:hAnsi="仿宋" w:eastAsia="仿宋"/>
              </w:rPr>
            </w:pPr>
            <w:r>
              <w:rPr>
                <w:rFonts w:ascii="仿宋" w:hAnsi="仿宋" w:eastAsia="仿宋"/>
              </w:rPr>
              <w:t>3</w:t>
            </w:r>
          </w:p>
        </w:tc>
        <w:tc>
          <w:tcPr>
            <w:tcW w:w="2337" w:type="dxa"/>
            <w:vAlign w:val="center"/>
          </w:tcPr>
          <w:p>
            <w:pPr>
              <w:adjustRightInd w:val="0"/>
              <w:snapToGrid w:val="0"/>
              <w:jc w:val="center"/>
              <w:rPr>
                <w:rFonts w:ascii="仿宋" w:hAnsi="仿宋" w:eastAsia="仿宋"/>
              </w:rPr>
            </w:pPr>
            <w:r>
              <w:rPr>
                <w:rFonts w:ascii="仿宋" w:hAnsi="仿宋" w:eastAsia="仿宋"/>
              </w:rPr>
              <w:t>连接密封不良</w:t>
            </w:r>
          </w:p>
        </w:tc>
        <w:tc>
          <w:tcPr>
            <w:tcW w:w="2525" w:type="dxa"/>
            <w:vAlign w:val="center"/>
          </w:tcPr>
          <w:p>
            <w:pPr>
              <w:adjustRightInd w:val="0"/>
              <w:snapToGrid w:val="0"/>
              <w:jc w:val="center"/>
              <w:rPr>
                <w:rFonts w:ascii="仿宋" w:hAnsi="仿宋" w:eastAsia="仿宋"/>
              </w:rPr>
            </w:pPr>
            <w:r>
              <w:rPr>
                <w:rFonts w:ascii="仿宋" w:hAnsi="仿宋" w:eastAsia="仿宋"/>
              </w:rPr>
              <w:t>8.3</w:t>
            </w:r>
            <w:r>
              <w:rPr>
                <w:rFonts w:ascii="仿宋" w:hAnsi="仿宋" w:eastAsia="仿宋"/>
              </w:rPr>
              <w:sym w:font="Symbol" w:char="F0B4"/>
            </w:r>
            <w:r>
              <w:rPr>
                <w:rFonts w:ascii="仿宋" w:hAnsi="仿宋" w:eastAsia="仿宋"/>
              </w:rPr>
              <w:t>10</w:t>
            </w:r>
            <w:r>
              <w:rPr>
                <w:rFonts w:ascii="仿宋" w:hAnsi="仿宋" w:eastAsia="仿宋"/>
                <w:vertAlign w:val="superscript"/>
              </w:rPr>
              <w:t>-3</w:t>
            </w:r>
          </w:p>
        </w:tc>
        <w:tc>
          <w:tcPr>
            <w:tcW w:w="2313" w:type="dxa"/>
            <w:vAlign w:val="center"/>
          </w:tcPr>
          <w:p>
            <w:pPr>
              <w:adjustRightInd w:val="0"/>
              <w:snapToGrid w:val="0"/>
              <w:jc w:val="center"/>
              <w:rPr>
                <w:rFonts w:ascii="仿宋" w:hAnsi="仿宋" w:eastAsia="仿宋"/>
              </w:rPr>
            </w:pPr>
            <w:r>
              <w:rPr>
                <w:rFonts w:ascii="仿宋" w:hAnsi="仿宋" w:eastAsia="仿宋"/>
              </w:rPr>
              <w:t>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1790" w:type="dxa"/>
            <w:vAlign w:val="center"/>
          </w:tcPr>
          <w:p>
            <w:pPr>
              <w:adjustRightInd w:val="0"/>
              <w:snapToGrid w:val="0"/>
              <w:jc w:val="center"/>
              <w:rPr>
                <w:rFonts w:ascii="仿宋" w:hAnsi="仿宋" w:eastAsia="仿宋"/>
              </w:rPr>
            </w:pPr>
            <w:r>
              <w:rPr>
                <w:rFonts w:ascii="仿宋" w:hAnsi="仿宋" w:eastAsia="仿宋"/>
              </w:rPr>
              <w:t>4</w:t>
            </w:r>
          </w:p>
        </w:tc>
        <w:tc>
          <w:tcPr>
            <w:tcW w:w="2337" w:type="dxa"/>
            <w:vAlign w:val="center"/>
          </w:tcPr>
          <w:p>
            <w:pPr>
              <w:adjustRightInd w:val="0"/>
              <w:snapToGrid w:val="0"/>
              <w:jc w:val="center"/>
              <w:rPr>
                <w:rFonts w:ascii="仿宋" w:hAnsi="仿宋" w:eastAsia="仿宋"/>
              </w:rPr>
            </w:pPr>
            <w:r>
              <w:rPr>
                <w:rFonts w:ascii="仿宋" w:hAnsi="仿宋" w:eastAsia="仿宋"/>
              </w:rPr>
              <w:t>泵故障</w:t>
            </w:r>
          </w:p>
        </w:tc>
        <w:tc>
          <w:tcPr>
            <w:tcW w:w="2525" w:type="dxa"/>
            <w:vAlign w:val="center"/>
          </w:tcPr>
          <w:p>
            <w:pPr>
              <w:adjustRightInd w:val="0"/>
              <w:snapToGrid w:val="0"/>
              <w:jc w:val="center"/>
              <w:rPr>
                <w:rFonts w:ascii="仿宋" w:hAnsi="仿宋" w:eastAsia="仿宋"/>
              </w:rPr>
            </w:pPr>
            <w:r>
              <w:rPr>
                <w:rFonts w:ascii="仿宋" w:hAnsi="仿宋" w:eastAsia="仿宋"/>
              </w:rPr>
              <w:t>4.2</w:t>
            </w:r>
            <w:r>
              <w:rPr>
                <w:rFonts w:ascii="仿宋" w:hAnsi="仿宋" w:eastAsia="仿宋"/>
              </w:rPr>
              <w:sym w:font="Symbol" w:char="F0B4"/>
            </w:r>
            <w:r>
              <w:rPr>
                <w:rFonts w:ascii="仿宋" w:hAnsi="仿宋" w:eastAsia="仿宋"/>
              </w:rPr>
              <w:t>10</w:t>
            </w:r>
            <w:r>
              <w:rPr>
                <w:rFonts w:ascii="仿宋" w:hAnsi="仿宋" w:eastAsia="仿宋"/>
                <w:vertAlign w:val="superscript"/>
              </w:rPr>
              <w:t>-3</w:t>
            </w:r>
          </w:p>
        </w:tc>
        <w:tc>
          <w:tcPr>
            <w:tcW w:w="2313" w:type="dxa"/>
            <w:vAlign w:val="center"/>
          </w:tcPr>
          <w:p>
            <w:pPr>
              <w:adjustRightInd w:val="0"/>
              <w:snapToGrid w:val="0"/>
              <w:jc w:val="center"/>
              <w:rPr>
                <w:rFonts w:ascii="仿宋" w:hAnsi="仿宋" w:eastAsia="仿宋"/>
              </w:rPr>
            </w:pPr>
            <w:r>
              <w:rPr>
                <w:rFonts w:ascii="仿宋" w:hAnsi="仿宋" w:eastAsia="仿宋"/>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1790" w:type="dxa"/>
            <w:vAlign w:val="center"/>
          </w:tcPr>
          <w:p>
            <w:pPr>
              <w:adjustRightInd w:val="0"/>
              <w:snapToGrid w:val="0"/>
              <w:jc w:val="center"/>
              <w:rPr>
                <w:rFonts w:ascii="仿宋" w:hAnsi="仿宋" w:eastAsia="仿宋"/>
              </w:rPr>
            </w:pPr>
            <w:r>
              <w:rPr>
                <w:rFonts w:ascii="仿宋" w:hAnsi="仿宋" w:eastAsia="仿宋"/>
              </w:rPr>
              <w:t>5</w:t>
            </w:r>
          </w:p>
        </w:tc>
        <w:tc>
          <w:tcPr>
            <w:tcW w:w="2337" w:type="dxa"/>
            <w:vAlign w:val="center"/>
          </w:tcPr>
          <w:p>
            <w:pPr>
              <w:adjustRightInd w:val="0"/>
              <w:snapToGrid w:val="0"/>
              <w:jc w:val="center"/>
              <w:rPr>
                <w:rFonts w:ascii="仿宋" w:hAnsi="仿宋" w:eastAsia="仿宋"/>
              </w:rPr>
            </w:pPr>
            <w:r>
              <w:rPr>
                <w:rFonts w:ascii="仿宋" w:hAnsi="仿宋" w:eastAsia="仿宋"/>
              </w:rPr>
              <w:t>人为事故</w:t>
            </w:r>
          </w:p>
        </w:tc>
        <w:tc>
          <w:tcPr>
            <w:tcW w:w="2525" w:type="dxa"/>
            <w:vAlign w:val="center"/>
          </w:tcPr>
          <w:p>
            <w:pPr>
              <w:adjustRightInd w:val="0"/>
              <w:snapToGrid w:val="0"/>
              <w:jc w:val="center"/>
              <w:rPr>
                <w:rFonts w:ascii="仿宋" w:hAnsi="仿宋" w:eastAsia="仿宋"/>
              </w:rPr>
            </w:pPr>
            <w:r>
              <w:rPr>
                <w:rFonts w:ascii="仿宋" w:hAnsi="仿宋" w:eastAsia="仿宋"/>
              </w:rPr>
              <w:t>8.3</w:t>
            </w:r>
            <w:r>
              <w:rPr>
                <w:rFonts w:ascii="仿宋" w:hAnsi="仿宋" w:eastAsia="仿宋"/>
              </w:rPr>
              <w:sym w:font="Symbol" w:char="F0B4"/>
            </w:r>
            <w:r>
              <w:rPr>
                <w:rFonts w:ascii="仿宋" w:hAnsi="仿宋" w:eastAsia="仿宋"/>
              </w:rPr>
              <w:t>10</w:t>
            </w:r>
            <w:r>
              <w:rPr>
                <w:rFonts w:ascii="仿宋" w:hAnsi="仿宋" w:eastAsia="仿宋"/>
                <w:vertAlign w:val="superscript"/>
              </w:rPr>
              <w:t>-3</w:t>
            </w:r>
          </w:p>
        </w:tc>
        <w:tc>
          <w:tcPr>
            <w:tcW w:w="2313" w:type="dxa"/>
            <w:vAlign w:val="center"/>
          </w:tcPr>
          <w:p>
            <w:pPr>
              <w:adjustRightInd w:val="0"/>
              <w:snapToGrid w:val="0"/>
              <w:jc w:val="center"/>
              <w:rPr>
                <w:rFonts w:ascii="仿宋" w:hAnsi="仿宋" w:eastAsia="仿宋"/>
              </w:rPr>
            </w:pPr>
            <w:r>
              <w:rPr>
                <w:rFonts w:ascii="仿宋" w:hAnsi="仿宋" w:eastAsia="仿宋"/>
              </w:rPr>
              <w:t>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4128" w:type="dxa"/>
            <w:gridSpan w:val="2"/>
            <w:vAlign w:val="center"/>
          </w:tcPr>
          <w:p>
            <w:pPr>
              <w:adjustRightInd w:val="0"/>
              <w:snapToGrid w:val="0"/>
              <w:jc w:val="center"/>
              <w:rPr>
                <w:rFonts w:ascii="仿宋" w:hAnsi="仿宋" w:eastAsia="仿宋"/>
              </w:rPr>
            </w:pPr>
            <w:r>
              <w:rPr>
                <w:rFonts w:ascii="仿宋" w:hAnsi="仿宋" w:eastAsia="仿宋"/>
              </w:rPr>
              <w:t>合计</w:t>
            </w:r>
          </w:p>
        </w:tc>
        <w:tc>
          <w:tcPr>
            <w:tcW w:w="2525" w:type="dxa"/>
            <w:vAlign w:val="center"/>
          </w:tcPr>
          <w:p>
            <w:pPr>
              <w:adjustRightInd w:val="0"/>
              <w:snapToGrid w:val="0"/>
              <w:jc w:val="center"/>
              <w:rPr>
                <w:rFonts w:ascii="仿宋" w:hAnsi="仿宋" w:eastAsia="仿宋"/>
              </w:rPr>
            </w:pPr>
            <w:r>
              <w:rPr>
                <w:rFonts w:ascii="仿宋" w:hAnsi="仿宋" w:eastAsia="仿宋"/>
              </w:rPr>
              <w:t>5.41</w:t>
            </w:r>
            <w:r>
              <w:rPr>
                <w:rFonts w:ascii="仿宋" w:hAnsi="仿宋" w:eastAsia="仿宋"/>
              </w:rPr>
              <w:sym w:font="Symbol" w:char="F0B4"/>
            </w:r>
            <w:r>
              <w:rPr>
                <w:rFonts w:ascii="仿宋" w:hAnsi="仿宋" w:eastAsia="仿宋"/>
              </w:rPr>
              <w:t>10</w:t>
            </w:r>
            <w:r>
              <w:rPr>
                <w:rFonts w:ascii="仿宋" w:hAnsi="仿宋" w:eastAsia="仿宋"/>
                <w:vertAlign w:val="superscript"/>
              </w:rPr>
              <w:t>-2</w:t>
            </w:r>
          </w:p>
        </w:tc>
        <w:tc>
          <w:tcPr>
            <w:tcW w:w="2313" w:type="dxa"/>
            <w:vAlign w:val="center"/>
          </w:tcPr>
          <w:p>
            <w:pPr>
              <w:adjustRightInd w:val="0"/>
              <w:snapToGrid w:val="0"/>
              <w:jc w:val="center"/>
              <w:rPr>
                <w:rFonts w:ascii="仿宋" w:hAnsi="仿宋" w:eastAsia="仿宋"/>
              </w:rPr>
            </w:pPr>
            <w:r>
              <w:rPr>
                <w:rFonts w:ascii="仿宋" w:hAnsi="仿宋" w:eastAsia="仿宋"/>
              </w:rPr>
              <w:t>100</w:t>
            </w:r>
          </w:p>
        </w:tc>
      </w:tr>
    </w:tbl>
    <w:p>
      <w:pPr>
        <w:spacing w:line="500" w:lineRule="exact"/>
        <w:ind w:firstLine="560" w:firstLineChars="200"/>
        <w:rPr>
          <w:rFonts w:eastAsia="仿宋_GB2312"/>
          <w:sz w:val="28"/>
          <w:szCs w:val="20"/>
        </w:rPr>
      </w:pPr>
      <w:r>
        <w:rPr>
          <w:rFonts w:eastAsia="仿宋_GB2312"/>
          <w:sz w:val="28"/>
          <w:szCs w:val="20"/>
        </w:rPr>
        <w:t>参照国际上和国内先进企业泄漏事故概率统计调查分析，此类事故发生概率国外先进的化工企业为0.0541次/年，而国内较先进的企业约为0.2~0.4次/年。</w:t>
      </w:r>
    </w:p>
    <w:p>
      <w:pPr>
        <w:spacing w:line="500" w:lineRule="exact"/>
        <w:ind w:firstLine="560" w:firstLineChars="200"/>
        <w:rPr>
          <w:rFonts w:eastAsia="仿宋_GB2312"/>
          <w:sz w:val="28"/>
          <w:szCs w:val="20"/>
        </w:rPr>
      </w:pPr>
      <w:r>
        <w:rPr>
          <w:rFonts w:eastAsia="仿宋_GB2312"/>
          <w:sz w:val="28"/>
          <w:szCs w:val="20"/>
        </w:rPr>
        <w:t>（2）火灾或爆炸事故</w:t>
      </w:r>
    </w:p>
    <w:p>
      <w:pPr>
        <w:spacing w:line="500" w:lineRule="exact"/>
        <w:ind w:firstLine="560" w:firstLineChars="200"/>
        <w:rPr>
          <w:rFonts w:eastAsia="仿宋_GB2312"/>
          <w:sz w:val="28"/>
          <w:szCs w:val="20"/>
        </w:rPr>
      </w:pPr>
      <w:r>
        <w:rPr>
          <w:rFonts w:eastAsia="仿宋_GB2312"/>
          <w:sz w:val="28"/>
          <w:szCs w:val="20"/>
        </w:rPr>
        <w:t>发生火灾或爆炸事故的潜在因素分为物质因素和诱发因素，其中物质因素主要涉及物质的危险性、物质系数以及危险物质是否达到一定的规模，它们是事故发生的内在因素，而诱发因素是引起事故的外在动力，包括生产装置设备的工作状态，以及环境因素、人为因素和管理因素。火灾和爆炸事故的主要原因见下表。</w:t>
      </w:r>
    </w:p>
    <w:p>
      <w:pPr>
        <w:adjustRightInd w:val="0"/>
        <w:snapToGrid w:val="0"/>
        <w:ind w:firstLine="482"/>
        <w:jc w:val="center"/>
        <w:rPr>
          <w:rFonts w:ascii="仿宋" w:hAnsi="仿宋" w:eastAsia="仿宋"/>
          <w:b/>
          <w:sz w:val="24"/>
        </w:rPr>
      </w:pPr>
      <w:r>
        <w:rPr>
          <w:rFonts w:ascii="仿宋" w:hAnsi="仿宋" w:eastAsia="仿宋"/>
          <w:b/>
          <w:sz w:val="24"/>
        </w:rPr>
        <w:t>表</w:t>
      </w:r>
      <w:r>
        <w:rPr>
          <w:rFonts w:hint="eastAsia" w:ascii="仿宋" w:hAnsi="仿宋" w:eastAsia="仿宋"/>
          <w:b/>
          <w:sz w:val="24"/>
        </w:rPr>
        <w:t>5.3</w:t>
      </w:r>
      <w:r>
        <w:rPr>
          <w:rFonts w:ascii="仿宋" w:hAnsi="仿宋" w:eastAsia="仿宋"/>
          <w:b/>
          <w:sz w:val="24"/>
        </w:rPr>
        <w:t>-20  火灾和爆炸事故原因分析表</w:t>
      </w:r>
    </w:p>
    <w:tbl>
      <w:tblPr>
        <w:tblStyle w:val="8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764"/>
        <w:gridCol w:w="6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91" w:type="dxa"/>
            <w:vAlign w:val="center"/>
          </w:tcPr>
          <w:p>
            <w:pPr>
              <w:adjustRightInd w:val="0"/>
              <w:snapToGrid w:val="0"/>
              <w:jc w:val="center"/>
              <w:rPr>
                <w:rFonts w:ascii="仿宋" w:hAnsi="仿宋" w:eastAsia="仿宋"/>
              </w:rPr>
            </w:pPr>
            <w:r>
              <w:rPr>
                <w:rFonts w:ascii="仿宋" w:hAnsi="仿宋" w:eastAsia="仿宋"/>
              </w:rPr>
              <w:t>序号</w:t>
            </w:r>
          </w:p>
        </w:tc>
        <w:tc>
          <w:tcPr>
            <w:tcW w:w="8301" w:type="dxa"/>
            <w:gridSpan w:val="2"/>
            <w:vAlign w:val="center"/>
          </w:tcPr>
          <w:p>
            <w:pPr>
              <w:adjustRightInd w:val="0"/>
              <w:snapToGrid w:val="0"/>
              <w:jc w:val="center"/>
              <w:rPr>
                <w:rFonts w:ascii="仿宋" w:hAnsi="仿宋" w:eastAsia="仿宋"/>
              </w:rPr>
            </w:pPr>
            <w:r>
              <w:rPr>
                <w:rFonts w:ascii="仿宋" w:hAnsi="仿宋" w:eastAsia="仿宋"/>
              </w:rPr>
              <w:t>事故原因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vAlign w:val="center"/>
          </w:tcPr>
          <w:p>
            <w:pPr>
              <w:adjustRightInd w:val="0"/>
              <w:snapToGrid w:val="0"/>
              <w:jc w:val="center"/>
              <w:rPr>
                <w:rFonts w:ascii="仿宋" w:hAnsi="仿宋" w:eastAsia="仿宋"/>
              </w:rPr>
            </w:pPr>
            <w:r>
              <w:rPr>
                <w:rFonts w:ascii="仿宋" w:hAnsi="仿宋" w:eastAsia="仿宋"/>
              </w:rPr>
              <w:t>1</w:t>
            </w:r>
          </w:p>
        </w:tc>
        <w:tc>
          <w:tcPr>
            <w:tcW w:w="1764" w:type="dxa"/>
            <w:vAlign w:val="center"/>
          </w:tcPr>
          <w:p>
            <w:pPr>
              <w:adjustRightInd w:val="0"/>
              <w:snapToGrid w:val="0"/>
              <w:jc w:val="center"/>
              <w:rPr>
                <w:rFonts w:ascii="仿宋" w:hAnsi="仿宋" w:eastAsia="仿宋"/>
              </w:rPr>
            </w:pPr>
            <w:r>
              <w:rPr>
                <w:rFonts w:ascii="仿宋" w:hAnsi="仿宋" w:eastAsia="仿宋"/>
              </w:rPr>
              <w:t>明火</w:t>
            </w:r>
          </w:p>
        </w:tc>
        <w:tc>
          <w:tcPr>
            <w:tcW w:w="6537" w:type="dxa"/>
            <w:vAlign w:val="center"/>
          </w:tcPr>
          <w:p>
            <w:pPr>
              <w:adjustRightInd w:val="0"/>
              <w:snapToGrid w:val="0"/>
              <w:jc w:val="center"/>
              <w:rPr>
                <w:rFonts w:ascii="仿宋" w:hAnsi="仿宋" w:eastAsia="仿宋"/>
              </w:rPr>
            </w:pPr>
            <w:r>
              <w:rPr>
                <w:rFonts w:ascii="仿宋" w:hAnsi="仿宋" w:eastAsia="仿宋"/>
              </w:rPr>
              <w:t>生产过程中的焊接和切割动火作业、现场吸烟、激动车辆喷烟排火等。为导致火灾爆炸事故最常见、最直接的原因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vAlign w:val="center"/>
          </w:tcPr>
          <w:p>
            <w:pPr>
              <w:adjustRightInd w:val="0"/>
              <w:snapToGrid w:val="0"/>
              <w:jc w:val="center"/>
              <w:rPr>
                <w:rFonts w:ascii="仿宋" w:hAnsi="仿宋" w:eastAsia="仿宋"/>
              </w:rPr>
            </w:pPr>
            <w:r>
              <w:rPr>
                <w:rFonts w:ascii="仿宋" w:hAnsi="仿宋" w:eastAsia="仿宋"/>
              </w:rPr>
              <w:t>2</w:t>
            </w:r>
          </w:p>
        </w:tc>
        <w:tc>
          <w:tcPr>
            <w:tcW w:w="1764" w:type="dxa"/>
            <w:vAlign w:val="center"/>
          </w:tcPr>
          <w:p>
            <w:pPr>
              <w:adjustRightInd w:val="0"/>
              <w:snapToGrid w:val="0"/>
              <w:jc w:val="center"/>
              <w:rPr>
                <w:rFonts w:ascii="仿宋" w:hAnsi="仿宋" w:eastAsia="仿宋"/>
              </w:rPr>
            </w:pPr>
            <w:r>
              <w:rPr>
                <w:rFonts w:ascii="仿宋" w:hAnsi="仿宋" w:eastAsia="仿宋"/>
              </w:rPr>
              <w:t>违章作业</w:t>
            </w:r>
          </w:p>
        </w:tc>
        <w:tc>
          <w:tcPr>
            <w:tcW w:w="6537" w:type="dxa"/>
            <w:vAlign w:val="center"/>
          </w:tcPr>
          <w:p>
            <w:pPr>
              <w:adjustRightInd w:val="0"/>
              <w:snapToGrid w:val="0"/>
              <w:jc w:val="center"/>
              <w:rPr>
                <w:rFonts w:ascii="仿宋" w:hAnsi="仿宋" w:eastAsia="仿宋"/>
              </w:rPr>
            </w:pPr>
            <w:r>
              <w:rPr>
                <w:rFonts w:ascii="仿宋" w:hAnsi="仿宋" w:eastAsia="仿宋"/>
              </w:rPr>
              <w:t>违章指挥、违章操作、误操作、擅离工作岗位、纪律松弛及思想麻痹等行为是导致火灾爆炸事故的重要原因，违章作业直接或间接引起火灾爆炸事故占全部事故的60%以上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vAlign w:val="center"/>
          </w:tcPr>
          <w:p>
            <w:pPr>
              <w:adjustRightInd w:val="0"/>
              <w:snapToGrid w:val="0"/>
              <w:jc w:val="center"/>
              <w:rPr>
                <w:rFonts w:ascii="仿宋" w:hAnsi="仿宋" w:eastAsia="仿宋"/>
              </w:rPr>
            </w:pPr>
            <w:r>
              <w:rPr>
                <w:rFonts w:ascii="仿宋" w:hAnsi="仿宋" w:eastAsia="仿宋"/>
              </w:rPr>
              <w:t>3</w:t>
            </w:r>
          </w:p>
        </w:tc>
        <w:tc>
          <w:tcPr>
            <w:tcW w:w="1764" w:type="dxa"/>
            <w:vAlign w:val="center"/>
          </w:tcPr>
          <w:p>
            <w:pPr>
              <w:adjustRightInd w:val="0"/>
              <w:snapToGrid w:val="0"/>
              <w:jc w:val="center"/>
              <w:rPr>
                <w:rFonts w:ascii="仿宋" w:hAnsi="仿宋" w:eastAsia="仿宋"/>
              </w:rPr>
            </w:pPr>
            <w:r>
              <w:rPr>
                <w:rFonts w:ascii="仿宋" w:hAnsi="仿宋" w:eastAsia="仿宋"/>
              </w:rPr>
              <w:t>设备、设施质量缺陷或故障</w:t>
            </w:r>
          </w:p>
        </w:tc>
        <w:tc>
          <w:tcPr>
            <w:tcW w:w="6537" w:type="dxa"/>
            <w:vAlign w:val="center"/>
          </w:tcPr>
          <w:p>
            <w:pPr>
              <w:adjustRightInd w:val="0"/>
              <w:snapToGrid w:val="0"/>
              <w:jc w:val="center"/>
              <w:rPr>
                <w:rFonts w:ascii="仿宋" w:hAnsi="仿宋" w:eastAsia="仿宋"/>
              </w:rPr>
            </w:pPr>
            <w:r>
              <w:rPr>
                <w:rFonts w:hint="eastAsia" w:ascii="仿宋" w:hAnsi="仿宋" w:eastAsia="仿宋"/>
              </w:rPr>
              <w:t>①</w:t>
            </w:r>
            <w:r>
              <w:rPr>
                <w:rFonts w:ascii="仿宋" w:hAnsi="仿宋" w:eastAsia="仿宋"/>
              </w:rPr>
              <w:t>电气设备设施：选用不当、不满足防火要求，存在质量缺陷；</w:t>
            </w:r>
            <w:r>
              <w:rPr>
                <w:rFonts w:hint="eastAsia" w:ascii="仿宋" w:hAnsi="仿宋" w:eastAsia="仿宋"/>
              </w:rPr>
              <w:t>②</w:t>
            </w:r>
            <w:r>
              <w:rPr>
                <w:rFonts w:ascii="仿宋" w:hAnsi="仿宋" w:eastAsia="仿宋"/>
              </w:rPr>
              <w:t>储运设备设施：储设施主体选材、制造安装中存在质量缺陷或受腐蚀、老化极不正常操作而引起泄漏，附件和安全装置存在质量缺陷和被损坏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vAlign w:val="center"/>
          </w:tcPr>
          <w:p>
            <w:pPr>
              <w:adjustRightInd w:val="0"/>
              <w:snapToGrid w:val="0"/>
              <w:jc w:val="center"/>
              <w:rPr>
                <w:rFonts w:ascii="仿宋" w:hAnsi="仿宋" w:eastAsia="仿宋"/>
              </w:rPr>
            </w:pPr>
            <w:r>
              <w:rPr>
                <w:rFonts w:ascii="仿宋" w:hAnsi="仿宋" w:eastAsia="仿宋"/>
              </w:rPr>
              <w:t>4</w:t>
            </w:r>
          </w:p>
        </w:tc>
        <w:tc>
          <w:tcPr>
            <w:tcW w:w="1764" w:type="dxa"/>
            <w:vAlign w:val="center"/>
          </w:tcPr>
          <w:p>
            <w:pPr>
              <w:adjustRightInd w:val="0"/>
              <w:snapToGrid w:val="0"/>
              <w:jc w:val="center"/>
              <w:rPr>
                <w:rFonts w:ascii="仿宋" w:hAnsi="仿宋" w:eastAsia="仿宋"/>
              </w:rPr>
            </w:pPr>
            <w:r>
              <w:rPr>
                <w:rFonts w:ascii="仿宋" w:hAnsi="仿宋" w:eastAsia="仿宋"/>
              </w:rPr>
              <w:t>工程技术和设计缺陷</w:t>
            </w:r>
          </w:p>
        </w:tc>
        <w:tc>
          <w:tcPr>
            <w:tcW w:w="6537" w:type="dxa"/>
            <w:vAlign w:val="center"/>
          </w:tcPr>
          <w:p>
            <w:pPr>
              <w:adjustRightInd w:val="0"/>
              <w:snapToGrid w:val="0"/>
              <w:jc w:val="center"/>
              <w:rPr>
                <w:rFonts w:ascii="仿宋" w:hAnsi="仿宋" w:eastAsia="仿宋"/>
              </w:rPr>
            </w:pPr>
            <w:r>
              <w:rPr>
                <w:rFonts w:hint="eastAsia" w:ascii="仿宋" w:hAnsi="仿宋" w:eastAsia="仿宋"/>
              </w:rPr>
              <w:t>①</w:t>
            </w:r>
            <w:r>
              <w:rPr>
                <w:rFonts w:ascii="仿宋" w:hAnsi="仿宋" w:eastAsia="仿宋"/>
              </w:rPr>
              <w:t>建筑物布局不合理，防火间距不够；</w:t>
            </w:r>
            <w:r>
              <w:rPr>
                <w:rFonts w:hint="eastAsia" w:ascii="仿宋" w:hAnsi="仿宋" w:eastAsia="仿宋"/>
              </w:rPr>
              <w:t>②</w:t>
            </w:r>
            <w:r>
              <w:rPr>
                <w:rFonts w:ascii="仿宋" w:hAnsi="仿宋" w:eastAsia="仿宋"/>
              </w:rPr>
              <w:t>建筑物的防火等级达不到要求；</w:t>
            </w:r>
            <w:r>
              <w:rPr>
                <w:rFonts w:hint="eastAsia" w:ascii="仿宋" w:hAnsi="仿宋" w:eastAsia="仿宋"/>
              </w:rPr>
              <w:t>③</w:t>
            </w:r>
            <w:r>
              <w:rPr>
                <w:rFonts w:ascii="仿宋" w:hAnsi="仿宋" w:eastAsia="仿宋"/>
              </w:rPr>
              <w:t>消防设施不配套；</w:t>
            </w:r>
            <w:r>
              <w:rPr>
                <w:rFonts w:hint="eastAsia" w:ascii="仿宋" w:hAnsi="仿宋" w:eastAsia="仿宋"/>
              </w:rPr>
              <w:t>④</w:t>
            </w:r>
            <w:r>
              <w:rPr>
                <w:rFonts w:ascii="仿宋" w:hAnsi="仿宋" w:eastAsia="仿宋"/>
              </w:rPr>
              <w:t>装卸工艺及流程不合理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vAlign w:val="center"/>
          </w:tcPr>
          <w:p>
            <w:pPr>
              <w:adjustRightInd w:val="0"/>
              <w:snapToGrid w:val="0"/>
              <w:jc w:val="center"/>
              <w:rPr>
                <w:rFonts w:ascii="仿宋" w:hAnsi="仿宋" w:eastAsia="仿宋"/>
              </w:rPr>
            </w:pPr>
            <w:r>
              <w:rPr>
                <w:rFonts w:ascii="仿宋" w:hAnsi="仿宋" w:eastAsia="仿宋"/>
              </w:rPr>
              <w:t>5</w:t>
            </w:r>
          </w:p>
        </w:tc>
        <w:tc>
          <w:tcPr>
            <w:tcW w:w="1764" w:type="dxa"/>
            <w:vAlign w:val="center"/>
          </w:tcPr>
          <w:p>
            <w:pPr>
              <w:adjustRightInd w:val="0"/>
              <w:snapToGrid w:val="0"/>
              <w:jc w:val="center"/>
              <w:rPr>
                <w:rFonts w:ascii="仿宋" w:hAnsi="仿宋" w:eastAsia="仿宋"/>
              </w:rPr>
            </w:pPr>
            <w:r>
              <w:rPr>
                <w:rFonts w:ascii="仿宋" w:hAnsi="仿宋" w:eastAsia="仿宋"/>
              </w:rPr>
              <w:t>静电、放电</w:t>
            </w:r>
          </w:p>
        </w:tc>
        <w:tc>
          <w:tcPr>
            <w:tcW w:w="6537" w:type="dxa"/>
            <w:vAlign w:val="center"/>
          </w:tcPr>
          <w:p>
            <w:pPr>
              <w:adjustRightInd w:val="0"/>
              <w:snapToGrid w:val="0"/>
              <w:jc w:val="center"/>
              <w:rPr>
                <w:rFonts w:ascii="仿宋" w:hAnsi="仿宋" w:eastAsia="仿宋"/>
              </w:rPr>
            </w:pPr>
            <w:r>
              <w:rPr>
                <w:rFonts w:ascii="仿宋" w:hAnsi="仿宋" w:eastAsia="仿宋"/>
              </w:rPr>
              <w:t>油品在装卸、输送作业中，由于流动和被搅动、冲击、易产生和积聚静电，人体携带静电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91" w:type="dxa"/>
            <w:vAlign w:val="center"/>
          </w:tcPr>
          <w:p>
            <w:pPr>
              <w:adjustRightInd w:val="0"/>
              <w:snapToGrid w:val="0"/>
              <w:jc w:val="center"/>
              <w:rPr>
                <w:rFonts w:ascii="仿宋" w:hAnsi="仿宋" w:eastAsia="仿宋"/>
              </w:rPr>
            </w:pPr>
            <w:r>
              <w:rPr>
                <w:rFonts w:ascii="仿宋" w:hAnsi="仿宋" w:eastAsia="仿宋"/>
              </w:rPr>
              <w:t>6</w:t>
            </w:r>
          </w:p>
        </w:tc>
        <w:tc>
          <w:tcPr>
            <w:tcW w:w="1764" w:type="dxa"/>
            <w:vAlign w:val="center"/>
          </w:tcPr>
          <w:p>
            <w:pPr>
              <w:adjustRightInd w:val="0"/>
              <w:snapToGrid w:val="0"/>
              <w:jc w:val="center"/>
              <w:rPr>
                <w:rFonts w:ascii="仿宋" w:hAnsi="仿宋" w:eastAsia="仿宋"/>
              </w:rPr>
            </w:pPr>
            <w:r>
              <w:rPr>
                <w:rFonts w:ascii="仿宋" w:hAnsi="仿宋" w:eastAsia="仿宋"/>
              </w:rPr>
              <w:t>雷击及杂散电流</w:t>
            </w:r>
          </w:p>
        </w:tc>
        <w:tc>
          <w:tcPr>
            <w:tcW w:w="6537" w:type="dxa"/>
            <w:vAlign w:val="center"/>
          </w:tcPr>
          <w:p>
            <w:pPr>
              <w:adjustRightInd w:val="0"/>
              <w:snapToGrid w:val="0"/>
              <w:jc w:val="center"/>
              <w:rPr>
                <w:rFonts w:ascii="仿宋" w:hAnsi="仿宋" w:eastAsia="仿宋"/>
              </w:rPr>
            </w:pPr>
            <w:r>
              <w:rPr>
                <w:rFonts w:hint="eastAsia" w:ascii="仿宋" w:hAnsi="仿宋" w:eastAsia="仿宋"/>
              </w:rPr>
              <w:t>①</w:t>
            </w:r>
            <w:r>
              <w:rPr>
                <w:rFonts w:ascii="仿宋" w:hAnsi="仿宋" w:eastAsia="仿宋"/>
              </w:rPr>
              <w:t>建筑物、储罐的防雷设施不齐备或防雷接地措施不足；</w:t>
            </w:r>
            <w:r>
              <w:rPr>
                <w:rFonts w:hint="eastAsia" w:ascii="仿宋" w:hAnsi="仿宋" w:eastAsia="仿宋"/>
              </w:rPr>
              <w:t>②</w:t>
            </w:r>
            <w:r>
              <w:rPr>
                <w:rFonts w:ascii="仿宋" w:hAnsi="仿宋" w:eastAsia="仿宋"/>
              </w:rPr>
              <w:t>杂散电流窜入危险作业场所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vAlign w:val="center"/>
          </w:tcPr>
          <w:p>
            <w:pPr>
              <w:adjustRightInd w:val="0"/>
              <w:snapToGrid w:val="0"/>
              <w:jc w:val="center"/>
              <w:rPr>
                <w:rFonts w:ascii="仿宋" w:hAnsi="仿宋" w:eastAsia="仿宋"/>
              </w:rPr>
            </w:pPr>
            <w:r>
              <w:rPr>
                <w:rFonts w:ascii="仿宋" w:hAnsi="仿宋" w:eastAsia="仿宋"/>
              </w:rPr>
              <w:t>7</w:t>
            </w:r>
          </w:p>
        </w:tc>
        <w:tc>
          <w:tcPr>
            <w:tcW w:w="1764" w:type="dxa"/>
            <w:vAlign w:val="center"/>
          </w:tcPr>
          <w:p>
            <w:pPr>
              <w:adjustRightInd w:val="0"/>
              <w:snapToGrid w:val="0"/>
              <w:jc w:val="center"/>
              <w:rPr>
                <w:rFonts w:ascii="仿宋" w:hAnsi="仿宋" w:eastAsia="仿宋"/>
              </w:rPr>
            </w:pPr>
            <w:r>
              <w:rPr>
                <w:rFonts w:ascii="仿宋" w:hAnsi="仿宋" w:eastAsia="仿宋"/>
              </w:rPr>
              <w:t>其他原因</w:t>
            </w:r>
          </w:p>
        </w:tc>
        <w:tc>
          <w:tcPr>
            <w:tcW w:w="6537" w:type="dxa"/>
            <w:vAlign w:val="center"/>
          </w:tcPr>
          <w:p>
            <w:pPr>
              <w:adjustRightInd w:val="0"/>
              <w:snapToGrid w:val="0"/>
              <w:jc w:val="center"/>
              <w:rPr>
                <w:rFonts w:ascii="仿宋" w:hAnsi="仿宋" w:eastAsia="仿宋"/>
              </w:rPr>
            </w:pPr>
            <w:r>
              <w:rPr>
                <w:rFonts w:ascii="仿宋" w:hAnsi="仿宋" w:eastAsia="仿宋"/>
              </w:rPr>
              <w:t>撞击摩擦、交通事故、人为蓄意破坏及自然灾害等</w:t>
            </w:r>
          </w:p>
        </w:tc>
      </w:tr>
    </w:tbl>
    <w:p>
      <w:pPr>
        <w:spacing w:line="500" w:lineRule="exact"/>
        <w:ind w:firstLine="560" w:firstLineChars="200"/>
        <w:rPr>
          <w:rFonts w:eastAsia="仿宋_GB2312"/>
          <w:sz w:val="28"/>
          <w:szCs w:val="20"/>
        </w:rPr>
      </w:pPr>
      <w:r>
        <w:rPr>
          <w:rFonts w:eastAsia="仿宋_GB2312"/>
          <w:sz w:val="28"/>
          <w:szCs w:val="20"/>
        </w:rPr>
        <w:t>发生火灾、爆炸事故时，火灾热辐射和爆炸冲击波会导致人员伤害和财产损失，同时火灾、爆炸事故中未完全燃烧的危险物质以及燃烧过程中产生的伴生/次生污染物将会对环境产生影响，而前者属于安全评价分析的范畴。因此，环境风险评价主要关注火灾、爆炸事故中未完全燃烧的危险物质以及燃烧过程中的伴生/次生污染物对环境的影响。</w:t>
      </w:r>
    </w:p>
    <w:p>
      <w:pPr>
        <w:spacing w:line="500" w:lineRule="exact"/>
        <w:ind w:firstLine="560" w:firstLineChars="200"/>
        <w:rPr>
          <w:rFonts w:eastAsia="仿宋_GB2312"/>
          <w:sz w:val="28"/>
          <w:szCs w:val="20"/>
        </w:rPr>
      </w:pPr>
      <w:r>
        <w:rPr>
          <w:rFonts w:eastAsia="仿宋_GB2312"/>
          <w:sz w:val="28"/>
          <w:szCs w:val="20"/>
        </w:rPr>
        <w:t>（3）比较各类事故对环境影响的可能性和严重性，5类污染事故的排列次数见表5.</w:t>
      </w:r>
      <w:r>
        <w:rPr>
          <w:rFonts w:hint="eastAsia" w:eastAsia="仿宋_GB2312"/>
          <w:sz w:val="28"/>
          <w:szCs w:val="20"/>
        </w:rPr>
        <w:t>3</w:t>
      </w:r>
      <w:r>
        <w:rPr>
          <w:rFonts w:eastAsia="仿宋_GB2312"/>
          <w:sz w:val="28"/>
          <w:szCs w:val="20"/>
        </w:rPr>
        <w:t>-</w:t>
      </w:r>
      <w:r>
        <w:rPr>
          <w:rFonts w:hint="eastAsia" w:eastAsia="仿宋_GB2312"/>
          <w:sz w:val="28"/>
          <w:szCs w:val="20"/>
        </w:rPr>
        <w:t>21</w:t>
      </w:r>
      <w:r>
        <w:rPr>
          <w:rFonts w:eastAsia="仿宋_GB2312"/>
          <w:sz w:val="28"/>
          <w:szCs w:val="20"/>
        </w:rPr>
        <w:t>。火灾事故排出的烟雾和炭粒会直接影响周围居住区及植物，其可能性排列在第1位，但因属于暂时性危害，严重性被列于最后。有毒液体泄漏事较为常见，水体和土壤的污染会引起许多环境问题，因此可能性和严重性均居第2位。爆炸震动波可能会使10km以内的建筑物受损，其严重性居第1位。据记载特大爆炸事故中3t重的设备碎片会飞出1000m以外，故爆炸飞出物对环境的威胁也是有的。据国内35年以来的统计，有毒气体外逸比较容易控制，故对环境产生影响的可能性最小，但如果泄漏量大，则造成严重性是比较大的。</w:t>
      </w:r>
    </w:p>
    <w:p>
      <w:pPr>
        <w:adjustRightInd w:val="0"/>
        <w:snapToGrid w:val="0"/>
        <w:ind w:firstLine="482"/>
        <w:jc w:val="center"/>
        <w:rPr>
          <w:rFonts w:ascii="仿宋" w:hAnsi="仿宋" w:eastAsia="仿宋"/>
          <w:b/>
          <w:sz w:val="24"/>
        </w:rPr>
      </w:pPr>
      <w:r>
        <w:rPr>
          <w:rFonts w:ascii="仿宋" w:hAnsi="仿宋" w:eastAsia="仿宋"/>
          <w:b/>
          <w:sz w:val="24"/>
        </w:rPr>
        <w:t>表</w:t>
      </w:r>
      <w:r>
        <w:rPr>
          <w:rFonts w:hint="eastAsia" w:ascii="仿宋" w:hAnsi="仿宋" w:eastAsia="仿宋"/>
          <w:b/>
          <w:sz w:val="24"/>
        </w:rPr>
        <w:t>5.3</w:t>
      </w:r>
      <w:r>
        <w:rPr>
          <w:rFonts w:ascii="仿宋" w:hAnsi="仿宋" w:eastAsia="仿宋"/>
          <w:b/>
          <w:sz w:val="24"/>
        </w:rPr>
        <w:t>-</w:t>
      </w:r>
      <w:r>
        <w:rPr>
          <w:rFonts w:hint="eastAsia" w:ascii="仿宋" w:hAnsi="仿宋" w:eastAsia="仿宋"/>
          <w:b/>
          <w:sz w:val="24"/>
        </w:rPr>
        <w:t>2</w:t>
      </w:r>
      <w:r>
        <w:rPr>
          <w:rFonts w:ascii="仿宋" w:hAnsi="仿宋" w:eastAsia="仿宋"/>
          <w:b/>
          <w:sz w:val="24"/>
        </w:rPr>
        <w:t>1  污染事故可能性、严重性排序表</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5"/>
        <w:gridCol w:w="4580"/>
        <w:gridCol w:w="1416"/>
        <w:gridCol w:w="13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701" w:type="pct"/>
            <w:vAlign w:val="center"/>
          </w:tcPr>
          <w:p>
            <w:pPr>
              <w:adjustRightInd w:val="0"/>
              <w:snapToGrid w:val="0"/>
              <w:jc w:val="center"/>
              <w:rPr>
                <w:rFonts w:ascii="仿宋" w:hAnsi="仿宋" w:eastAsia="仿宋"/>
              </w:rPr>
            </w:pPr>
            <w:r>
              <w:rPr>
                <w:rFonts w:ascii="仿宋" w:hAnsi="仿宋" w:eastAsia="仿宋"/>
              </w:rPr>
              <w:t>序号</w:t>
            </w:r>
          </w:p>
        </w:tc>
        <w:tc>
          <w:tcPr>
            <w:tcW w:w="2687" w:type="pct"/>
            <w:vAlign w:val="center"/>
          </w:tcPr>
          <w:p>
            <w:pPr>
              <w:adjustRightInd w:val="0"/>
              <w:snapToGrid w:val="0"/>
              <w:jc w:val="center"/>
              <w:rPr>
                <w:rFonts w:ascii="仿宋" w:hAnsi="仿宋" w:eastAsia="仿宋"/>
              </w:rPr>
            </w:pPr>
            <w:r>
              <w:rPr>
                <w:rFonts w:ascii="仿宋" w:hAnsi="仿宋" w:eastAsia="仿宋"/>
              </w:rPr>
              <w:t>污染事故类型</w:t>
            </w:r>
          </w:p>
        </w:tc>
        <w:tc>
          <w:tcPr>
            <w:tcW w:w="831" w:type="pct"/>
            <w:vAlign w:val="center"/>
          </w:tcPr>
          <w:p>
            <w:pPr>
              <w:adjustRightInd w:val="0"/>
              <w:snapToGrid w:val="0"/>
              <w:jc w:val="center"/>
              <w:rPr>
                <w:rFonts w:ascii="仿宋" w:hAnsi="仿宋" w:eastAsia="仿宋"/>
              </w:rPr>
            </w:pPr>
            <w:r>
              <w:rPr>
                <w:rFonts w:ascii="仿宋" w:hAnsi="仿宋" w:eastAsia="仿宋"/>
              </w:rPr>
              <w:t>可能性排序</w:t>
            </w:r>
          </w:p>
        </w:tc>
        <w:tc>
          <w:tcPr>
            <w:tcW w:w="781" w:type="pct"/>
            <w:vAlign w:val="center"/>
          </w:tcPr>
          <w:p>
            <w:pPr>
              <w:adjustRightInd w:val="0"/>
              <w:snapToGrid w:val="0"/>
              <w:jc w:val="center"/>
              <w:rPr>
                <w:rFonts w:ascii="仿宋" w:hAnsi="仿宋" w:eastAsia="仿宋"/>
              </w:rPr>
            </w:pPr>
            <w:r>
              <w:rPr>
                <w:rFonts w:ascii="仿宋" w:hAnsi="仿宋" w:eastAsia="仿宋"/>
              </w:rPr>
              <w:t>严重性排序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701" w:type="pct"/>
            <w:vAlign w:val="center"/>
          </w:tcPr>
          <w:p>
            <w:pPr>
              <w:adjustRightInd w:val="0"/>
              <w:snapToGrid w:val="0"/>
              <w:jc w:val="center"/>
              <w:rPr>
                <w:rFonts w:ascii="仿宋" w:hAnsi="仿宋" w:eastAsia="仿宋"/>
              </w:rPr>
            </w:pPr>
            <w:r>
              <w:rPr>
                <w:rFonts w:ascii="仿宋" w:hAnsi="仿宋" w:eastAsia="仿宋"/>
              </w:rPr>
              <w:t>1</w:t>
            </w:r>
          </w:p>
        </w:tc>
        <w:tc>
          <w:tcPr>
            <w:tcW w:w="2687" w:type="pct"/>
            <w:vAlign w:val="center"/>
          </w:tcPr>
          <w:p>
            <w:pPr>
              <w:adjustRightInd w:val="0"/>
              <w:snapToGrid w:val="0"/>
              <w:jc w:val="center"/>
              <w:rPr>
                <w:rFonts w:ascii="仿宋" w:hAnsi="仿宋" w:eastAsia="仿宋"/>
              </w:rPr>
            </w:pPr>
            <w:r>
              <w:rPr>
                <w:rFonts w:ascii="仿宋" w:hAnsi="仿宋" w:eastAsia="仿宋"/>
              </w:rPr>
              <w:t>着火燃烧后烟雾影响环境</w:t>
            </w:r>
          </w:p>
        </w:tc>
        <w:tc>
          <w:tcPr>
            <w:tcW w:w="831" w:type="pct"/>
            <w:vAlign w:val="center"/>
          </w:tcPr>
          <w:p>
            <w:pPr>
              <w:adjustRightInd w:val="0"/>
              <w:snapToGrid w:val="0"/>
              <w:jc w:val="center"/>
              <w:rPr>
                <w:rFonts w:ascii="仿宋" w:hAnsi="仿宋" w:eastAsia="仿宋"/>
              </w:rPr>
            </w:pPr>
            <w:r>
              <w:rPr>
                <w:rFonts w:ascii="仿宋" w:hAnsi="仿宋" w:eastAsia="仿宋"/>
              </w:rPr>
              <w:t>1</w:t>
            </w:r>
          </w:p>
        </w:tc>
        <w:tc>
          <w:tcPr>
            <w:tcW w:w="781" w:type="pct"/>
            <w:vAlign w:val="center"/>
          </w:tcPr>
          <w:p>
            <w:pPr>
              <w:adjustRightInd w:val="0"/>
              <w:snapToGrid w:val="0"/>
              <w:jc w:val="center"/>
              <w:rPr>
                <w:rFonts w:ascii="仿宋" w:hAnsi="仿宋" w:eastAsia="仿宋"/>
              </w:rPr>
            </w:pPr>
            <w:r>
              <w:rPr>
                <w:rFonts w:ascii="仿宋" w:hAnsi="仿宋" w:eastAsia="仿宋"/>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701" w:type="pct"/>
            <w:vAlign w:val="center"/>
          </w:tcPr>
          <w:p>
            <w:pPr>
              <w:adjustRightInd w:val="0"/>
              <w:snapToGrid w:val="0"/>
              <w:jc w:val="center"/>
              <w:rPr>
                <w:rFonts w:ascii="仿宋" w:hAnsi="仿宋" w:eastAsia="仿宋"/>
              </w:rPr>
            </w:pPr>
            <w:r>
              <w:rPr>
                <w:rFonts w:ascii="仿宋" w:hAnsi="仿宋" w:eastAsia="仿宋"/>
              </w:rPr>
              <w:t>2</w:t>
            </w:r>
          </w:p>
        </w:tc>
        <w:tc>
          <w:tcPr>
            <w:tcW w:w="2687" w:type="pct"/>
            <w:vAlign w:val="center"/>
          </w:tcPr>
          <w:p>
            <w:pPr>
              <w:adjustRightInd w:val="0"/>
              <w:snapToGrid w:val="0"/>
              <w:jc w:val="center"/>
              <w:rPr>
                <w:rFonts w:ascii="仿宋" w:hAnsi="仿宋" w:eastAsia="仿宋"/>
              </w:rPr>
            </w:pPr>
            <w:r>
              <w:rPr>
                <w:rFonts w:ascii="仿宋" w:hAnsi="仿宋" w:eastAsia="仿宋"/>
              </w:rPr>
              <w:t>爆炸碎片飞出界外影响环境造成损失</w:t>
            </w:r>
          </w:p>
        </w:tc>
        <w:tc>
          <w:tcPr>
            <w:tcW w:w="831" w:type="pct"/>
            <w:vAlign w:val="center"/>
          </w:tcPr>
          <w:p>
            <w:pPr>
              <w:adjustRightInd w:val="0"/>
              <w:snapToGrid w:val="0"/>
              <w:jc w:val="center"/>
              <w:rPr>
                <w:rFonts w:ascii="仿宋" w:hAnsi="仿宋" w:eastAsia="仿宋"/>
              </w:rPr>
            </w:pPr>
            <w:r>
              <w:rPr>
                <w:rFonts w:ascii="仿宋" w:hAnsi="仿宋" w:eastAsia="仿宋"/>
              </w:rPr>
              <w:t>4</w:t>
            </w:r>
          </w:p>
        </w:tc>
        <w:tc>
          <w:tcPr>
            <w:tcW w:w="781" w:type="pct"/>
            <w:vAlign w:val="center"/>
          </w:tcPr>
          <w:p>
            <w:pPr>
              <w:adjustRightInd w:val="0"/>
              <w:snapToGrid w:val="0"/>
              <w:jc w:val="center"/>
              <w:rPr>
                <w:rFonts w:ascii="仿宋" w:hAnsi="仿宋" w:eastAsia="仿宋"/>
              </w:rPr>
            </w:pPr>
            <w:r>
              <w:rPr>
                <w:rFonts w:ascii="仿宋" w:hAnsi="仿宋" w:eastAsia="仿宋"/>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701" w:type="pct"/>
            <w:vAlign w:val="center"/>
          </w:tcPr>
          <w:p>
            <w:pPr>
              <w:adjustRightInd w:val="0"/>
              <w:snapToGrid w:val="0"/>
              <w:jc w:val="center"/>
              <w:rPr>
                <w:rFonts w:ascii="仿宋" w:hAnsi="仿宋" w:eastAsia="仿宋"/>
              </w:rPr>
            </w:pPr>
            <w:r>
              <w:rPr>
                <w:rFonts w:ascii="仿宋" w:hAnsi="仿宋" w:eastAsia="仿宋"/>
              </w:rPr>
              <w:t>3</w:t>
            </w:r>
          </w:p>
        </w:tc>
        <w:tc>
          <w:tcPr>
            <w:tcW w:w="2687" w:type="pct"/>
            <w:vAlign w:val="center"/>
          </w:tcPr>
          <w:p>
            <w:pPr>
              <w:adjustRightInd w:val="0"/>
              <w:snapToGrid w:val="0"/>
              <w:jc w:val="center"/>
              <w:rPr>
                <w:rFonts w:ascii="仿宋" w:hAnsi="仿宋" w:eastAsia="仿宋"/>
              </w:rPr>
            </w:pPr>
            <w:r>
              <w:rPr>
                <w:rFonts w:ascii="仿宋" w:hAnsi="仿宋" w:eastAsia="仿宋"/>
              </w:rPr>
              <w:t>有毒气体外逸污染环境</w:t>
            </w:r>
          </w:p>
        </w:tc>
        <w:tc>
          <w:tcPr>
            <w:tcW w:w="831" w:type="pct"/>
            <w:vAlign w:val="center"/>
          </w:tcPr>
          <w:p>
            <w:pPr>
              <w:adjustRightInd w:val="0"/>
              <w:snapToGrid w:val="0"/>
              <w:jc w:val="center"/>
              <w:rPr>
                <w:rFonts w:ascii="仿宋" w:hAnsi="仿宋" w:eastAsia="仿宋"/>
              </w:rPr>
            </w:pPr>
            <w:r>
              <w:rPr>
                <w:rFonts w:ascii="仿宋" w:hAnsi="仿宋" w:eastAsia="仿宋"/>
              </w:rPr>
              <w:t>5</w:t>
            </w:r>
          </w:p>
        </w:tc>
        <w:tc>
          <w:tcPr>
            <w:tcW w:w="781" w:type="pct"/>
            <w:vAlign w:val="center"/>
          </w:tcPr>
          <w:p>
            <w:pPr>
              <w:adjustRightInd w:val="0"/>
              <w:snapToGrid w:val="0"/>
              <w:jc w:val="center"/>
              <w:rPr>
                <w:rFonts w:ascii="仿宋" w:hAnsi="仿宋" w:eastAsia="仿宋"/>
              </w:rPr>
            </w:pPr>
            <w:r>
              <w:rPr>
                <w:rFonts w:ascii="仿宋" w:hAnsi="仿宋" w:eastAsia="仿宋"/>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701" w:type="pct"/>
            <w:vAlign w:val="center"/>
          </w:tcPr>
          <w:p>
            <w:pPr>
              <w:adjustRightInd w:val="0"/>
              <w:snapToGrid w:val="0"/>
              <w:jc w:val="center"/>
              <w:rPr>
                <w:rFonts w:ascii="仿宋" w:hAnsi="仿宋" w:eastAsia="仿宋"/>
              </w:rPr>
            </w:pPr>
            <w:r>
              <w:rPr>
                <w:rFonts w:ascii="仿宋" w:hAnsi="仿宋" w:eastAsia="仿宋"/>
              </w:rPr>
              <w:t>4</w:t>
            </w:r>
          </w:p>
        </w:tc>
        <w:tc>
          <w:tcPr>
            <w:tcW w:w="2687" w:type="pct"/>
            <w:vAlign w:val="center"/>
          </w:tcPr>
          <w:p>
            <w:pPr>
              <w:adjustRightInd w:val="0"/>
              <w:snapToGrid w:val="0"/>
              <w:jc w:val="center"/>
              <w:rPr>
                <w:rFonts w:ascii="仿宋" w:hAnsi="仿宋" w:eastAsia="仿宋"/>
              </w:rPr>
            </w:pPr>
            <w:r>
              <w:rPr>
                <w:rFonts w:ascii="仿宋" w:hAnsi="仿宋" w:eastAsia="仿宋"/>
              </w:rPr>
              <w:t>燃爆或泄漏后有毒液体流入周围环境造成污染</w:t>
            </w:r>
          </w:p>
        </w:tc>
        <w:tc>
          <w:tcPr>
            <w:tcW w:w="831" w:type="pct"/>
            <w:vAlign w:val="center"/>
          </w:tcPr>
          <w:p>
            <w:pPr>
              <w:adjustRightInd w:val="0"/>
              <w:snapToGrid w:val="0"/>
              <w:jc w:val="center"/>
              <w:rPr>
                <w:rFonts w:ascii="仿宋" w:hAnsi="仿宋" w:eastAsia="仿宋"/>
              </w:rPr>
            </w:pPr>
            <w:r>
              <w:rPr>
                <w:rFonts w:ascii="仿宋" w:hAnsi="仿宋" w:eastAsia="仿宋"/>
              </w:rPr>
              <w:t>2</w:t>
            </w:r>
          </w:p>
        </w:tc>
        <w:tc>
          <w:tcPr>
            <w:tcW w:w="781" w:type="pct"/>
            <w:vAlign w:val="center"/>
          </w:tcPr>
          <w:p>
            <w:pPr>
              <w:adjustRightInd w:val="0"/>
              <w:snapToGrid w:val="0"/>
              <w:jc w:val="center"/>
              <w:rPr>
                <w:rFonts w:ascii="仿宋" w:hAnsi="仿宋" w:eastAsia="仿宋"/>
              </w:rPr>
            </w:pPr>
            <w:r>
              <w:rPr>
                <w:rFonts w:ascii="仿宋" w:hAnsi="仿宋" w:eastAsia="仿宋"/>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701" w:type="pct"/>
            <w:vAlign w:val="center"/>
          </w:tcPr>
          <w:p>
            <w:pPr>
              <w:adjustRightInd w:val="0"/>
              <w:snapToGrid w:val="0"/>
              <w:jc w:val="center"/>
              <w:rPr>
                <w:rFonts w:ascii="仿宋" w:hAnsi="仿宋" w:eastAsia="仿宋"/>
              </w:rPr>
            </w:pPr>
            <w:r>
              <w:rPr>
                <w:rFonts w:ascii="仿宋" w:hAnsi="仿宋" w:eastAsia="仿宋"/>
              </w:rPr>
              <w:t>5</w:t>
            </w:r>
          </w:p>
        </w:tc>
        <w:tc>
          <w:tcPr>
            <w:tcW w:w="2687" w:type="pct"/>
            <w:vAlign w:val="center"/>
          </w:tcPr>
          <w:p>
            <w:pPr>
              <w:adjustRightInd w:val="0"/>
              <w:snapToGrid w:val="0"/>
              <w:jc w:val="center"/>
              <w:rPr>
                <w:rFonts w:ascii="仿宋" w:hAnsi="仿宋" w:eastAsia="仿宋"/>
              </w:rPr>
            </w:pPr>
            <w:r>
              <w:rPr>
                <w:rFonts w:ascii="仿宋" w:hAnsi="仿宋" w:eastAsia="仿宋"/>
              </w:rPr>
              <w:t>爆炸震动波及界外环境造成损失</w:t>
            </w:r>
          </w:p>
        </w:tc>
        <w:tc>
          <w:tcPr>
            <w:tcW w:w="831" w:type="pct"/>
            <w:vAlign w:val="center"/>
          </w:tcPr>
          <w:p>
            <w:pPr>
              <w:adjustRightInd w:val="0"/>
              <w:snapToGrid w:val="0"/>
              <w:jc w:val="center"/>
              <w:rPr>
                <w:rFonts w:ascii="仿宋" w:hAnsi="仿宋" w:eastAsia="仿宋"/>
              </w:rPr>
            </w:pPr>
            <w:r>
              <w:rPr>
                <w:rFonts w:ascii="仿宋" w:hAnsi="仿宋" w:eastAsia="仿宋"/>
              </w:rPr>
              <w:t>3</w:t>
            </w:r>
          </w:p>
        </w:tc>
        <w:tc>
          <w:tcPr>
            <w:tcW w:w="781" w:type="pct"/>
            <w:vAlign w:val="center"/>
          </w:tcPr>
          <w:p>
            <w:pPr>
              <w:adjustRightInd w:val="0"/>
              <w:snapToGrid w:val="0"/>
              <w:jc w:val="center"/>
              <w:rPr>
                <w:rFonts w:ascii="仿宋" w:hAnsi="仿宋" w:eastAsia="仿宋"/>
              </w:rPr>
            </w:pPr>
            <w:r>
              <w:rPr>
                <w:rFonts w:ascii="仿宋" w:hAnsi="仿宋" w:eastAsia="仿宋"/>
              </w:rPr>
              <w:t>1</w:t>
            </w:r>
          </w:p>
        </w:tc>
      </w:tr>
    </w:tbl>
    <w:p>
      <w:pPr>
        <w:keepNext/>
        <w:widowControl/>
        <w:numPr>
          <w:ilvl w:val="3"/>
          <w:numId w:val="1"/>
        </w:numPr>
        <w:adjustRightInd w:val="0"/>
        <w:snapToGrid w:val="0"/>
        <w:spacing w:after="120" w:afterLines="50" w:line="500" w:lineRule="exact"/>
        <w:ind w:left="0" w:firstLine="0"/>
        <w:jc w:val="left"/>
        <w:outlineLvl w:val="3"/>
        <w:rPr>
          <w:rFonts w:eastAsia="仿宋_GB2312"/>
          <w:b/>
          <w:bCs/>
          <w:kern w:val="0"/>
          <w:sz w:val="30"/>
          <w:szCs w:val="30"/>
        </w:rPr>
      </w:pPr>
      <w:r>
        <w:rPr>
          <w:rFonts w:hint="eastAsia" w:eastAsia="仿宋_GB2312"/>
          <w:b/>
          <w:bCs/>
          <w:kern w:val="0"/>
          <w:sz w:val="30"/>
          <w:szCs w:val="30"/>
        </w:rPr>
        <w:t>最大可信事故</w:t>
      </w:r>
    </w:p>
    <w:p>
      <w:pPr>
        <w:spacing w:line="500" w:lineRule="exact"/>
        <w:ind w:firstLine="560" w:firstLineChars="200"/>
        <w:rPr>
          <w:rFonts w:eastAsia="仿宋_GB2312"/>
          <w:sz w:val="28"/>
          <w:szCs w:val="28"/>
        </w:rPr>
      </w:pPr>
      <w:r>
        <w:rPr>
          <w:rFonts w:eastAsia="仿宋_GB2312"/>
          <w:sz w:val="28"/>
          <w:szCs w:val="28"/>
        </w:rPr>
        <w:t>根据《建设项目环境风险评价技术导则》（HJ169-2018），最大可信事故的定义为基于经验统计分析，在一定可能性区间内发生的事故中，造成环境危害最严重的事故。</w:t>
      </w:r>
    </w:p>
    <w:p>
      <w:pPr>
        <w:spacing w:line="500" w:lineRule="exact"/>
        <w:ind w:firstLine="560" w:firstLineChars="200"/>
        <w:rPr>
          <w:rFonts w:eastAsia="仿宋_GB2312"/>
          <w:sz w:val="28"/>
          <w:szCs w:val="28"/>
        </w:rPr>
      </w:pPr>
      <w:r>
        <w:rPr>
          <w:rFonts w:eastAsia="仿宋_GB2312"/>
          <w:sz w:val="28"/>
          <w:szCs w:val="28"/>
        </w:rPr>
        <w:t>通过以上类比分析，企业最大可信事故为涉及危险物质的输送、装置或</w:t>
      </w:r>
      <w:r>
        <w:rPr>
          <w:rFonts w:hint="eastAsia" w:eastAsia="仿宋_GB2312"/>
          <w:sz w:val="28"/>
          <w:szCs w:val="28"/>
        </w:rPr>
        <w:t>包装桶</w:t>
      </w:r>
      <w:r>
        <w:rPr>
          <w:rFonts w:eastAsia="仿宋_GB2312"/>
          <w:sz w:val="28"/>
          <w:szCs w:val="28"/>
        </w:rPr>
        <w:t>的物料泄漏，以及涉及危险物质的输送、装置或</w:t>
      </w:r>
      <w:r>
        <w:rPr>
          <w:rFonts w:hint="eastAsia" w:eastAsia="仿宋_GB2312"/>
          <w:sz w:val="28"/>
          <w:szCs w:val="28"/>
        </w:rPr>
        <w:t>包装桶</w:t>
      </w:r>
      <w:r>
        <w:rPr>
          <w:rFonts w:eastAsia="仿宋_GB2312"/>
          <w:sz w:val="28"/>
          <w:szCs w:val="28"/>
        </w:rPr>
        <w:t>在发生火灾爆炸事故时导致的伴生/次生污染物对周围环境的影响，具体事故情形见表5.</w:t>
      </w:r>
      <w:r>
        <w:rPr>
          <w:rFonts w:hint="eastAsia" w:eastAsia="仿宋_GB2312"/>
          <w:sz w:val="28"/>
          <w:szCs w:val="28"/>
        </w:rPr>
        <w:t>3</w:t>
      </w:r>
      <w:r>
        <w:rPr>
          <w:rFonts w:eastAsia="仿宋_GB2312"/>
          <w:sz w:val="28"/>
          <w:szCs w:val="28"/>
        </w:rPr>
        <w:t>-22</w:t>
      </w:r>
      <w:r>
        <w:rPr>
          <w:rFonts w:hint="eastAsia" w:eastAsia="仿宋_GB2312"/>
          <w:sz w:val="28"/>
          <w:szCs w:val="28"/>
        </w:rPr>
        <w:t>，</w:t>
      </w:r>
      <w:r>
        <w:rPr>
          <w:rFonts w:eastAsia="仿宋_GB2312"/>
          <w:sz w:val="28"/>
          <w:szCs w:val="28"/>
        </w:rPr>
        <w:t>最大可信事故情形见表5.</w:t>
      </w:r>
      <w:r>
        <w:rPr>
          <w:rFonts w:hint="eastAsia" w:eastAsia="仿宋_GB2312"/>
          <w:sz w:val="28"/>
          <w:szCs w:val="28"/>
        </w:rPr>
        <w:t>3</w:t>
      </w:r>
      <w:r>
        <w:rPr>
          <w:rFonts w:eastAsia="仿宋_GB2312"/>
          <w:sz w:val="28"/>
          <w:szCs w:val="28"/>
        </w:rPr>
        <w:t>-23。</w:t>
      </w:r>
    </w:p>
    <w:p>
      <w:pPr>
        <w:adjustRightInd w:val="0"/>
        <w:snapToGrid w:val="0"/>
        <w:ind w:firstLine="482"/>
        <w:jc w:val="center"/>
        <w:rPr>
          <w:rFonts w:ascii="仿宋" w:hAnsi="仿宋" w:eastAsia="仿宋"/>
          <w:b/>
          <w:sz w:val="24"/>
        </w:rPr>
      </w:pPr>
      <w:r>
        <w:rPr>
          <w:rFonts w:ascii="仿宋" w:hAnsi="仿宋" w:eastAsia="仿宋"/>
          <w:b/>
          <w:sz w:val="24"/>
        </w:rPr>
        <w:t>表</w:t>
      </w:r>
      <w:r>
        <w:rPr>
          <w:rFonts w:hint="eastAsia" w:ascii="仿宋" w:hAnsi="仿宋" w:eastAsia="仿宋"/>
          <w:b/>
          <w:sz w:val="24"/>
        </w:rPr>
        <w:t>5.3</w:t>
      </w:r>
      <w:r>
        <w:rPr>
          <w:rFonts w:ascii="仿宋" w:hAnsi="仿宋" w:eastAsia="仿宋"/>
          <w:b/>
          <w:sz w:val="24"/>
        </w:rPr>
        <w:t>-</w:t>
      </w:r>
      <w:r>
        <w:rPr>
          <w:rFonts w:hint="eastAsia" w:ascii="仿宋" w:hAnsi="仿宋" w:eastAsia="仿宋"/>
          <w:b/>
          <w:sz w:val="24"/>
        </w:rPr>
        <w:t>2</w:t>
      </w:r>
      <w:r>
        <w:rPr>
          <w:rFonts w:ascii="仿宋" w:hAnsi="仿宋" w:eastAsia="仿宋"/>
          <w:b/>
          <w:sz w:val="24"/>
        </w:rPr>
        <w:t>2  事故情形汇总表</w:t>
      </w:r>
    </w:p>
    <w:tbl>
      <w:tblPr>
        <w:tblStyle w:val="87"/>
        <w:tblW w:w="511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36"/>
        <w:gridCol w:w="1157"/>
        <w:gridCol w:w="1820"/>
        <w:gridCol w:w="1545"/>
        <w:gridCol w:w="766"/>
        <w:gridCol w:w="2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6" w:type="pct"/>
            <w:vAlign w:val="center"/>
          </w:tcPr>
          <w:p>
            <w:pPr>
              <w:adjustRightInd w:val="0"/>
              <w:snapToGrid w:val="0"/>
              <w:jc w:val="center"/>
              <w:rPr>
                <w:rFonts w:ascii="仿宋" w:hAnsi="仿宋" w:eastAsia="仿宋"/>
              </w:rPr>
            </w:pPr>
            <w:r>
              <w:rPr>
                <w:rFonts w:ascii="仿宋" w:hAnsi="仿宋" w:eastAsia="仿宋"/>
              </w:rPr>
              <w:t>序号</w:t>
            </w:r>
          </w:p>
        </w:tc>
        <w:tc>
          <w:tcPr>
            <w:tcW w:w="680" w:type="pct"/>
            <w:vAlign w:val="center"/>
          </w:tcPr>
          <w:p>
            <w:pPr>
              <w:adjustRightInd w:val="0"/>
              <w:snapToGrid w:val="0"/>
              <w:jc w:val="center"/>
              <w:rPr>
                <w:rFonts w:ascii="仿宋" w:hAnsi="仿宋" w:eastAsia="仿宋"/>
              </w:rPr>
            </w:pPr>
            <w:r>
              <w:rPr>
                <w:rFonts w:ascii="仿宋" w:hAnsi="仿宋" w:eastAsia="仿宋"/>
              </w:rPr>
              <w:t>危险单元</w:t>
            </w:r>
          </w:p>
        </w:tc>
        <w:tc>
          <w:tcPr>
            <w:tcW w:w="1070" w:type="pct"/>
            <w:vAlign w:val="center"/>
          </w:tcPr>
          <w:p>
            <w:pPr>
              <w:adjustRightInd w:val="0"/>
              <w:snapToGrid w:val="0"/>
              <w:jc w:val="center"/>
              <w:rPr>
                <w:rFonts w:ascii="仿宋" w:hAnsi="仿宋" w:eastAsia="仿宋"/>
              </w:rPr>
            </w:pPr>
            <w:r>
              <w:rPr>
                <w:rFonts w:ascii="仿宋" w:hAnsi="仿宋" w:eastAsia="仿宋"/>
              </w:rPr>
              <w:t>风险源</w:t>
            </w:r>
          </w:p>
        </w:tc>
        <w:tc>
          <w:tcPr>
            <w:tcW w:w="908" w:type="pct"/>
            <w:vAlign w:val="center"/>
          </w:tcPr>
          <w:p>
            <w:pPr>
              <w:adjustRightInd w:val="0"/>
              <w:snapToGrid w:val="0"/>
              <w:jc w:val="center"/>
              <w:rPr>
                <w:rFonts w:ascii="仿宋" w:hAnsi="仿宋" w:eastAsia="仿宋"/>
              </w:rPr>
            </w:pPr>
            <w:r>
              <w:rPr>
                <w:rFonts w:ascii="仿宋" w:hAnsi="仿宋" w:eastAsia="仿宋"/>
              </w:rPr>
              <w:t>主要危险</w:t>
            </w:r>
          </w:p>
          <w:p>
            <w:pPr>
              <w:adjustRightInd w:val="0"/>
              <w:snapToGrid w:val="0"/>
              <w:jc w:val="center"/>
              <w:rPr>
                <w:rFonts w:ascii="仿宋" w:hAnsi="仿宋" w:eastAsia="仿宋"/>
              </w:rPr>
            </w:pPr>
            <w:r>
              <w:rPr>
                <w:rFonts w:ascii="仿宋" w:hAnsi="仿宋" w:eastAsia="仿宋"/>
              </w:rPr>
              <w:t>物质</w:t>
            </w:r>
          </w:p>
        </w:tc>
        <w:tc>
          <w:tcPr>
            <w:tcW w:w="450" w:type="pct"/>
            <w:vAlign w:val="center"/>
          </w:tcPr>
          <w:p>
            <w:pPr>
              <w:adjustRightInd w:val="0"/>
              <w:snapToGrid w:val="0"/>
              <w:jc w:val="center"/>
              <w:rPr>
                <w:rFonts w:ascii="仿宋" w:hAnsi="仿宋" w:eastAsia="仿宋"/>
              </w:rPr>
            </w:pPr>
            <w:r>
              <w:rPr>
                <w:rFonts w:ascii="仿宋" w:hAnsi="仿宋" w:eastAsia="仿宋"/>
              </w:rPr>
              <w:t>环境风险</w:t>
            </w:r>
          </w:p>
          <w:p>
            <w:pPr>
              <w:adjustRightInd w:val="0"/>
              <w:snapToGrid w:val="0"/>
              <w:jc w:val="center"/>
              <w:rPr>
                <w:rFonts w:ascii="仿宋" w:hAnsi="仿宋" w:eastAsia="仿宋"/>
              </w:rPr>
            </w:pPr>
            <w:r>
              <w:rPr>
                <w:rFonts w:ascii="仿宋" w:hAnsi="仿宋" w:eastAsia="仿宋"/>
              </w:rPr>
              <w:t>类型</w:t>
            </w:r>
          </w:p>
        </w:tc>
        <w:tc>
          <w:tcPr>
            <w:tcW w:w="1634" w:type="pct"/>
            <w:vAlign w:val="center"/>
          </w:tcPr>
          <w:p>
            <w:pPr>
              <w:adjustRightInd w:val="0"/>
              <w:snapToGrid w:val="0"/>
              <w:jc w:val="center"/>
              <w:rPr>
                <w:rFonts w:ascii="仿宋" w:hAnsi="仿宋" w:eastAsia="仿宋"/>
              </w:rPr>
            </w:pPr>
            <w:r>
              <w:rPr>
                <w:rFonts w:ascii="仿宋" w:hAnsi="仿宋" w:eastAsia="仿宋"/>
              </w:rPr>
              <w:t>环境影响</w:t>
            </w:r>
          </w:p>
          <w:p>
            <w:pPr>
              <w:adjustRightInd w:val="0"/>
              <w:snapToGrid w:val="0"/>
              <w:jc w:val="center"/>
              <w:rPr>
                <w:rFonts w:ascii="仿宋" w:hAnsi="仿宋" w:eastAsia="仿宋"/>
              </w:rPr>
            </w:pPr>
            <w:r>
              <w:rPr>
                <w:rFonts w:ascii="仿宋" w:hAnsi="仿宋" w:eastAsia="仿宋"/>
              </w:rPr>
              <w:t>途径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6" w:type="pct"/>
            <w:vAlign w:val="center"/>
          </w:tcPr>
          <w:p>
            <w:pPr>
              <w:adjustRightInd w:val="0"/>
              <w:snapToGrid w:val="0"/>
              <w:jc w:val="center"/>
              <w:rPr>
                <w:rFonts w:ascii="仿宋" w:hAnsi="仿宋" w:eastAsia="仿宋"/>
              </w:rPr>
            </w:pPr>
            <w:r>
              <w:rPr>
                <w:rFonts w:ascii="仿宋" w:hAnsi="仿宋" w:eastAsia="仿宋"/>
              </w:rPr>
              <w:t>1</w:t>
            </w:r>
          </w:p>
        </w:tc>
        <w:tc>
          <w:tcPr>
            <w:tcW w:w="680" w:type="pct"/>
            <w:vAlign w:val="center"/>
          </w:tcPr>
          <w:p>
            <w:pPr>
              <w:adjustRightInd w:val="0"/>
              <w:snapToGrid w:val="0"/>
              <w:jc w:val="center"/>
              <w:rPr>
                <w:rFonts w:ascii="仿宋" w:hAnsi="仿宋" w:eastAsia="仿宋"/>
              </w:rPr>
            </w:pPr>
            <w:r>
              <w:rPr>
                <w:rFonts w:ascii="仿宋" w:hAnsi="仿宋" w:eastAsia="仿宋"/>
              </w:rPr>
              <w:t>车间</w:t>
            </w:r>
          </w:p>
        </w:tc>
        <w:tc>
          <w:tcPr>
            <w:tcW w:w="1070" w:type="pct"/>
            <w:vAlign w:val="center"/>
          </w:tcPr>
          <w:p>
            <w:pPr>
              <w:adjustRightInd w:val="0"/>
              <w:snapToGrid w:val="0"/>
              <w:jc w:val="center"/>
              <w:rPr>
                <w:rFonts w:ascii="仿宋" w:hAnsi="仿宋" w:eastAsia="仿宋"/>
              </w:rPr>
            </w:pPr>
            <w:r>
              <w:rPr>
                <w:rFonts w:hint="eastAsia" w:ascii="仿宋" w:hAnsi="仿宋" w:eastAsia="仿宋"/>
              </w:rPr>
              <w:t>涂布线</w:t>
            </w:r>
          </w:p>
        </w:tc>
        <w:tc>
          <w:tcPr>
            <w:tcW w:w="908" w:type="pct"/>
            <w:vAlign w:val="center"/>
          </w:tcPr>
          <w:p>
            <w:pPr>
              <w:adjustRightInd w:val="0"/>
              <w:snapToGrid w:val="0"/>
              <w:jc w:val="center"/>
              <w:rPr>
                <w:rFonts w:ascii="仿宋" w:hAnsi="仿宋" w:eastAsia="仿宋"/>
              </w:rPr>
            </w:pPr>
            <w:r>
              <w:rPr>
                <w:rFonts w:hint="eastAsia" w:ascii="仿宋" w:hAnsi="仿宋" w:eastAsia="仿宋"/>
              </w:rPr>
              <w:t>乙酸乙酯、</w:t>
            </w:r>
            <w:r>
              <w:rPr>
                <w:rFonts w:ascii="仿宋" w:hAnsi="仿宋" w:eastAsia="仿宋"/>
              </w:rPr>
              <w:t>二甲苯</w:t>
            </w:r>
          </w:p>
        </w:tc>
        <w:tc>
          <w:tcPr>
            <w:tcW w:w="450" w:type="pct"/>
            <w:vAlign w:val="center"/>
          </w:tcPr>
          <w:p>
            <w:pPr>
              <w:adjustRightInd w:val="0"/>
              <w:snapToGrid w:val="0"/>
              <w:jc w:val="center"/>
              <w:rPr>
                <w:rFonts w:ascii="仿宋" w:hAnsi="仿宋" w:eastAsia="仿宋"/>
              </w:rPr>
            </w:pPr>
            <w:r>
              <w:rPr>
                <w:rFonts w:hint="eastAsia" w:ascii="仿宋" w:hAnsi="仿宋" w:eastAsia="仿宋"/>
              </w:rPr>
              <w:t>火灾</w:t>
            </w:r>
          </w:p>
        </w:tc>
        <w:tc>
          <w:tcPr>
            <w:tcW w:w="1634" w:type="pct"/>
            <w:vAlign w:val="center"/>
          </w:tcPr>
          <w:p>
            <w:pPr>
              <w:adjustRightInd w:val="0"/>
              <w:snapToGrid w:val="0"/>
              <w:jc w:val="center"/>
              <w:rPr>
                <w:rFonts w:ascii="仿宋" w:hAnsi="仿宋" w:eastAsia="仿宋"/>
              </w:rPr>
            </w:pPr>
            <w:r>
              <w:rPr>
                <w:rFonts w:ascii="仿宋" w:hAnsi="仿宋" w:eastAsia="仿宋"/>
              </w:rPr>
              <w:t>不完全燃烧产物烟尘、CO等直接扩散至大气环境、消防废水通过地表径流进入土壤或地</w:t>
            </w:r>
            <w:r>
              <w:rPr>
                <w:rFonts w:hint="eastAsia" w:ascii="仿宋" w:hAnsi="仿宋" w:eastAsia="仿宋"/>
              </w:rPr>
              <w:t>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4" w:hRule="atLeast"/>
          <w:jc w:val="center"/>
        </w:trPr>
        <w:tc>
          <w:tcPr>
            <w:tcW w:w="256" w:type="pct"/>
            <w:vAlign w:val="center"/>
          </w:tcPr>
          <w:p>
            <w:pPr>
              <w:adjustRightInd w:val="0"/>
              <w:snapToGrid w:val="0"/>
              <w:jc w:val="center"/>
              <w:rPr>
                <w:rFonts w:ascii="仿宋" w:hAnsi="仿宋" w:eastAsia="仿宋"/>
              </w:rPr>
            </w:pPr>
            <w:r>
              <w:rPr>
                <w:rFonts w:hint="eastAsia" w:ascii="仿宋" w:hAnsi="仿宋" w:eastAsia="仿宋"/>
              </w:rPr>
              <w:t>2</w:t>
            </w:r>
          </w:p>
        </w:tc>
        <w:tc>
          <w:tcPr>
            <w:tcW w:w="680" w:type="pct"/>
            <w:vAlign w:val="center"/>
          </w:tcPr>
          <w:p>
            <w:pPr>
              <w:adjustRightInd w:val="0"/>
              <w:snapToGrid w:val="0"/>
              <w:jc w:val="center"/>
              <w:rPr>
                <w:rFonts w:ascii="仿宋" w:hAnsi="仿宋" w:eastAsia="仿宋"/>
              </w:rPr>
            </w:pPr>
            <w:r>
              <w:rPr>
                <w:rFonts w:hint="eastAsia" w:ascii="仿宋" w:hAnsi="仿宋" w:eastAsia="仿宋"/>
              </w:rPr>
              <w:t>配胶间</w:t>
            </w:r>
          </w:p>
        </w:tc>
        <w:tc>
          <w:tcPr>
            <w:tcW w:w="1070" w:type="pct"/>
            <w:vAlign w:val="center"/>
          </w:tcPr>
          <w:p>
            <w:pPr>
              <w:adjustRightInd w:val="0"/>
              <w:snapToGrid w:val="0"/>
              <w:jc w:val="center"/>
              <w:rPr>
                <w:rFonts w:ascii="仿宋" w:hAnsi="仿宋" w:eastAsia="仿宋"/>
              </w:rPr>
            </w:pPr>
            <w:r>
              <w:rPr>
                <w:rFonts w:hint="eastAsia" w:ascii="仿宋" w:hAnsi="仿宋" w:eastAsia="仿宋"/>
              </w:rPr>
              <w:t>胶粘剂、固化剂</w:t>
            </w:r>
          </w:p>
        </w:tc>
        <w:tc>
          <w:tcPr>
            <w:tcW w:w="908" w:type="pct"/>
            <w:vAlign w:val="center"/>
          </w:tcPr>
          <w:p>
            <w:pPr>
              <w:adjustRightInd w:val="0"/>
              <w:snapToGrid w:val="0"/>
              <w:jc w:val="center"/>
              <w:rPr>
                <w:rFonts w:ascii="仿宋" w:hAnsi="仿宋" w:eastAsia="仿宋"/>
              </w:rPr>
            </w:pPr>
            <w:r>
              <w:rPr>
                <w:rFonts w:hint="eastAsia" w:ascii="仿宋" w:hAnsi="仿宋" w:eastAsia="仿宋"/>
              </w:rPr>
              <w:t>乙酸乙酯、</w:t>
            </w:r>
            <w:r>
              <w:rPr>
                <w:rFonts w:ascii="仿宋" w:hAnsi="仿宋" w:eastAsia="仿宋"/>
              </w:rPr>
              <w:t>二甲苯</w:t>
            </w:r>
          </w:p>
        </w:tc>
        <w:tc>
          <w:tcPr>
            <w:tcW w:w="450" w:type="pct"/>
            <w:vAlign w:val="center"/>
          </w:tcPr>
          <w:p>
            <w:pPr>
              <w:adjustRightInd w:val="0"/>
              <w:snapToGrid w:val="0"/>
              <w:jc w:val="center"/>
              <w:rPr>
                <w:rFonts w:ascii="仿宋" w:hAnsi="仿宋" w:eastAsia="仿宋"/>
              </w:rPr>
            </w:pPr>
            <w:r>
              <w:rPr>
                <w:rFonts w:ascii="仿宋" w:hAnsi="仿宋" w:eastAsia="仿宋"/>
              </w:rPr>
              <w:t>物料泄漏</w:t>
            </w:r>
          </w:p>
        </w:tc>
        <w:tc>
          <w:tcPr>
            <w:tcW w:w="1634" w:type="pct"/>
            <w:vAlign w:val="center"/>
          </w:tcPr>
          <w:p>
            <w:pPr>
              <w:adjustRightInd w:val="0"/>
              <w:snapToGrid w:val="0"/>
              <w:jc w:val="center"/>
              <w:rPr>
                <w:rFonts w:ascii="仿宋" w:hAnsi="仿宋" w:eastAsia="仿宋"/>
              </w:rPr>
            </w:pPr>
            <w:r>
              <w:rPr>
                <w:rFonts w:hint="eastAsia" w:ascii="仿宋" w:hAnsi="仿宋" w:eastAsia="仿宋"/>
              </w:rPr>
              <w:t>乙酸乙酯、二甲苯</w:t>
            </w:r>
            <w:r>
              <w:rPr>
                <w:rFonts w:ascii="仿宋" w:hAnsi="仿宋" w:eastAsia="仿宋"/>
              </w:rPr>
              <w:t>直接扩散至大气环境、污染物沉降入土壤及地下水或泄漏液体通过地表径流进入土壤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6" w:type="pct"/>
            <w:vAlign w:val="center"/>
          </w:tcPr>
          <w:p>
            <w:pPr>
              <w:adjustRightInd w:val="0"/>
              <w:snapToGrid w:val="0"/>
              <w:jc w:val="center"/>
              <w:rPr>
                <w:rFonts w:ascii="仿宋" w:hAnsi="仿宋" w:eastAsia="仿宋"/>
              </w:rPr>
            </w:pPr>
            <w:r>
              <w:rPr>
                <w:rFonts w:hint="eastAsia" w:ascii="仿宋" w:hAnsi="仿宋" w:eastAsia="仿宋"/>
              </w:rPr>
              <w:t>3</w:t>
            </w:r>
          </w:p>
        </w:tc>
        <w:tc>
          <w:tcPr>
            <w:tcW w:w="680" w:type="pct"/>
            <w:vAlign w:val="center"/>
          </w:tcPr>
          <w:p>
            <w:pPr>
              <w:adjustRightInd w:val="0"/>
              <w:snapToGrid w:val="0"/>
              <w:jc w:val="center"/>
              <w:rPr>
                <w:rFonts w:ascii="仿宋" w:hAnsi="仿宋" w:eastAsia="仿宋"/>
              </w:rPr>
            </w:pPr>
            <w:r>
              <w:rPr>
                <w:rFonts w:hint="eastAsia" w:ascii="仿宋" w:hAnsi="仿宋" w:eastAsia="仿宋"/>
              </w:rPr>
              <w:t>危废库</w:t>
            </w:r>
          </w:p>
        </w:tc>
        <w:tc>
          <w:tcPr>
            <w:tcW w:w="1070" w:type="pct"/>
            <w:vAlign w:val="center"/>
          </w:tcPr>
          <w:p>
            <w:pPr>
              <w:adjustRightInd w:val="0"/>
              <w:snapToGrid w:val="0"/>
              <w:jc w:val="center"/>
              <w:rPr>
                <w:rFonts w:ascii="仿宋" w:hAnsi="仿宋" w:eastAsia="仿宋"/>
              </w:rPr>
            </w:pPr>
            <w:r>
              <w:rPr>
                <w:rFonts w:hint="eastAsia" w:ascii="仿宋" w:hAnsi="仿宋" w:eastAsia="仿宋"/>
              </w:rPr>
              <w:t>废清洗剂、废胶粘剂</w:t>
            </w:r>
          </w:p>
        </w:tc>
        <w:tc>
          <w:tcPr>
            <w:tcW w:w="908" w:type="pct"/>
            <w:vAlign w:val="center"/>
          </w:tcPr>
          <w:p>
            <w:pPr>
              <w:adjustRightInd w:val="0"/>
              <w:snapToGrid w:val="0"/>
              <w:jc w:val="center"/>
              <w:rPr>
                <w:rFonts w:ascii="仿宋" w:hAnsi="仿宋" w:eastAsia="仿宋"/>
              </w:rPr>
            </w:pPr>
            <w:r>
              <w:rPr>
                <w:rFonts w:hint="eastAsia" w:ascii="仿宋" w:hAnsi="仿宋" w:eastAsia="仿宋"/>
              </w:rPr>
              <w:t>乙酸乙酯、二甲苯</w:t>
            </w:r>
          </w:p>
        </w:tc>
        <w:tc>
          <w:tcPr>
            <w:tcW w:w="450" w:type="pct"/>
            <w:vAlign w:val="center"/>
          </w:tcPr>
          <w:p>
            <w:pPr>
              <w:adjustRightInd w:val="0"/>
              <w:snapToGrid w:val="0"/>
              <w:jc w:val="center"/>
              <w:rPr>
                <w:rFonts w:ascii="仿宋" w:hAnsi="仿宋" w:eastAsia="仿宋"/>
              </w:rPr>
            </w:pPr>
            <w:r>
              <w:rPr>
                <w:rFonts w:ascii="仿宋" w:hAnsi="仿宋" w:eastAsia="仿宋"/>
              </w:rPr>
              <w:t>物料泄漏</w:t>
            </w:r>
          </w:p>
        </w:tc>
        <w:tc>
          <w:tcPr>
            <w:tcW w:w="1634" w:type="pct"/>
            <w:vAlign w:val="center"/>
          </w:tcPr>
          <w:p>
            <w:pPr>
              <w:adjustRightInd w:val="0"/>
              <w:snapToGrid w:val="0"/>
              <w:jc w:val="center"/>
              <w:rPr>
                <w:rFonts w:ascii="仿宋" w:hAnsi="仿宋" w:eastAsia="仿宋"/>
              </w:rPr>
            </w:pPr>
            <w:r>
              <w:rPr>
                <w:rFonts w:ascii="仿宋" w:hAnsi="仿宋" w:eastAsia="仿宋"/>
              </w:rPr>
              <w:t>泄漏液体下渗入土壤、</w:t>
            </w:r>
            <w:r>
              <w:rPr>
                <w:rFonts w:hint="eastAsia" w:ascii="仿宋" w:hAnsi="仿宋" w:eastAsia="仿宋"/>
              </w:rPr>
              <w:t>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6" w:type="pct"/>
            <w:vMerge w:val="restart"/>
            <w:vAlign w:val="center"/>
          </w:tcPr>
          <w:p>
            <w:pPr>
              <w:adjustRightInd w:val="0"/>
              <w:snapToGrid w:val="0"/>
              <w:jc w:val="center"/>
              <w:rPr>
                <w:rFonts w:ascii="仿宋" w:hAnsi="仿宋" w:eastAsia="仿宋"/>
              </w:rPr>
            </w:pPr>
            <w:r>
              <w:rPr>
                <w:rFonts w:hint="eastAsia" w:ascii="仿宋" w:hAnsi="仿宋" w:eastAsia="仿宋"/>
              </w:rPr>
              <w:t>4</w:t>
            </w:r>
          </w:p>
        </w:tc>
        <w:tc>
          <w:tcPr>
            <w:tcW w:w="680" w:type="pct"/>
            <w:vMerge w:val="restart"/>
            <w:vAlign w:val="center"/>
          </w:tcPr>
          <w:p>
            <w:pPr>
              <w:adjustRightInd w:val="0"/>
              <w:snapToGrid w:val="0"/>
              <w:jc w:val="center"/>
              <w:rPr>
                <w:rFonts w:ascii="仿宋" w:hAnsi="仿宋" w:eastAsia="仿宋"/>
              </w:rPr>
            </w:pPr>
            <w:r>
              <w:rPr>
                <w:rFonts w:hint="eastAsia" w:ascii="仿宋" w:hAnsi="仿宋" w:eastAsia="仿宋"/>
              </w:rPr>
              <w:t>RTO设备</w:t>
            </w:r>
          </w:p>
        </w:tc>
        <w:tc>
          <w:tcPr>
            <w:tcW w:w="1070" w:type="pct"/>
            <w:vAlign w:val="center"/>
          </w:tcPr>
          <w:p>
            <w:pPr>
              <w:adjustRightInd w:val="0"/>
              <w:snapToGrid w:val="0"/>
              <w:jc w:val="center"/>
              <w:rPr>
                <w:rFonts w:ascii="仿宋" w:hAnsi="仿宋" w:eastAsia="仿宋"/>
              </w:rPr>
            </w:pPr>
            <w:r>
              <w:rPr>
                <w:rFonts w:ascii="仿宋" w:hAnsi="仿宋" w:eastAsia="仿宋"/>
              </w:rPr>
              <w:t>管道、阀门</w:t>
            </w:r>
          </w:p>
        </w:tc>
        <w:tc>
          <w:tcPr>
            <w:tcW w:w="908" w:type="pct"/>
            <w:vAlign w:val="center"/>
          </w:tcPr>
          <w:p>
            <w:pPr>
              <w:adjustRightInd w:val="0"/>
              <w:snapToGrid w:val="0"/>
              <w:jc w:val="center"/>
              <w:rPr>
                <w:rFonts w:ascii="仿宋" w:hAnsi="仿宋" w:eastAsia="仿宋"/>
              </w:rPr>
            </w:pPr>
            <w:r>
              <w:rPr>
                <w:rFonts w:ascii="仿宋" w:hAnsi="仿宋" w:eastAsia="仿宋"/>
              </w:rPr>
              <w:t>天然气</w:t>
            </w:r>
          </w:p>
        </w:tc>
        <w:tc>
          <w:tcPr>
            <w:tcW w:w="450" w:type="pct"/>
            <w:vAlign w:val="center"/>
          </w:tcPr>
          <w:p>
            <w:pPr>
              <w:adjustRightInd w:val="0"/>
              <w:snapToGrid w:val="0"/>
              <w:jc w:val="center"/>
              <w:rPr>
                <w:rFonts w:ascii="仿宋" w:hAnsi="仿宋" w:eastAsia="仿宋"/>
              </w:rPr>
            </w:pPr>
            <w:r>
              <w:rPr>
                <w:rFonts w:ascii="仿宋" w:hAnsi="仿宋" w:eastAsia="仿宋"/>
              </w:rPr>
              <w:t>火灾、爆炸</w:t>
            </w:r>
          </w:p>
        </w:tc>
        <w:tc>
          <w:tcPr>
            <w:tcW w:w="1634" w:type="pct"/>
            <w:vMerge w:val="restart"/>
            <w:vAlign w:val="center"/>
          </w:tcPr>
          <w:p>
            <w:pPr>
              <w:adjustRightInd w:val="0"/>
              <w:snapToGrid w:val="0"/>
              <w:jc w:val="center"/>
              <w:rPr>
                <w:rFonts w:ascii="仿宋" w:hAnsi="仿宋" w:eastAsia="仿宋"/>
              </w:rPr>
            </w:pPr>
            <w:r>
              <w:rPr>
                <w:rFonts w:ascii="仿宋" w:hAnsi="仿宋" w:eastAsia="仿宋"/>
              </w:rPr>
              <w:t>不完全燃烧产物烟尘、CO等直接扩散至大气环境、消防废水通过地表径流进入土壤或地</w:t>
            </w:r>
            <w:r>
              <w:rPr>
                <w:rFonts w:hint="eastAsia" w:ascii="仿宋" w:hAnsi="仿宋" w:eastAsia="仿宋"/>
              </w:rPr>
              <w:t>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6" w:type="pct"/>
            <w:vMerge w:val="continue"/>
            <w:vAlign w:val="center"/>
          </w:tcPr>
          <w:p>
            <w:pPr>
              <w:adjustRightInd w:val="0"/>
              <w:snapToGrid w:val="0"/>
              <w:jc w:val="center"/>
              <w:rPr>
                <w:rFonts w:ascii="仿宋" w:hAnsi="仿宋" w:eastAsia="仿宋"/>
              </w:rPr>
            </w:pPr>
          </w:p>
        </w:tc>
        <w:tc>
          <w:tcPr>
            <w:tcW w:w="680" w:type="pct"/>
            <w:vMerge w:val="continue"/>
            <w:vAlign w:val="center"/>
          </w:tcPr>
          <w:p>
            <w:pPr>
              <w:adjustRightInd w:val="0"/>
              <w:snapToGrid w:val="0"/>
              <w:jc w:val="center"/>
              <w:rPr>
                <w:rFonts w:ascii="仿宋" w:hAnsi="仿宋" w:eastAsia="仿宋"/>
              </w:rPr>
            </w:pPr>
          </w:p>
        </w:tc>
        <w:tc>
          <w:tcPr>
            <w:tcW w:w="1070" w:type="pct"/>
            <w:vAlign w:val="center"/>
          </w:tcPr>
          <w:p>
            <w:pPr>
              <w:adjustRightInd w:val="0"/>
              <w:snapToGrid w:val="0"/>
              <w:jc w:val="center"/>
              <w:rPr>
                <w:rFonts w:ascii="仿宋" w:hAnsi="仿宋" w:eastAsia="仿宋"/>
              </w:rPr>
            </w:pPr>
            <w:r>
              <w:rPr>
                <w:rFonts w:hint="eastAsia" w:ascii="仿宋" w:hAnsi="仿宋" w:eastAsia="仿宋"/>
              </w:rPr>
              <w:t>导热油炉</w:t>
            </w:r>
          </w:p>
        </w:tc>
        <w:tc>
          <w:tcPr>
            <w:tcW w:w="908" w:type="pct"/>
            <w:vAlign w:val="center"/>
          </w:tcPr>
          <w:p>
            <w:pPr>
              <w:adjustRightInd w:val="0"/>
              <w:snapToGrid w:val="0"/>
              <w:jc w:val="center"/>
              <w:rPr>
                <w:rFonts w:ascii="仿宋" w:hAnsi="仿宋" w:eastAsia="仿宋"/>
              </w:rPr>
            </w:pPr>
            <w:r>
              <w:rPr>
                <w:rFonts w:hint="eastAsia" w:ascii="仿宋" w:hAnsi="仿宋" w:eastAsia="仿宋"/>
              </w:rPr>
              <w:t>导热油</w:t>
            </w:r>
          </w:p>
        </w:tc>
        <w:tc>
          <w:tcPr>
            <w:tcW w:w="450" w:type="pct"/>
            <w:vAlign w:val="center"/>
          </w:tcPr>
          <w:p>
            <w:pPr>
              <w:adjustRightInd w:val="0"/>
              <w:snapToGrid w:val="0"/>
              <w:jc w:val="center"/>
              <w:rPr>
                <w:rFonts w:ascii="仿宋" w:hAnsi="仿宋" w:eastAsia="仿宋"/>
              </w:rPr>
            </w:pPr>
            <w:r>
              <w:rPr>
                <w:rFonts w:ascii="仿宋" w:hAnsi="仿宋" w:eastAsia="仿宋"/>
              </w:rPr>
              <w:t>火灾、爆炸</w:t>
            </w:r>
          </w:p>
        </w:tc>
        <w:tc>
          <w:tcPr>
            <w:tcW w:w="1634" w:type="pct"/>
            <w:vMerge w:val="continue"/>
            <w:vAlign w:val="center"/>
          </w:tcPr>
          <w:p>
            <w:pPr>
              <w:adjustRightInd w:val="0"/>
              <w:snapToGrid w:val="0"/>
              <w:jc w:val="cente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6" w:type="pct"/>
            <w:vAlign w:val="center"/>
          </w:tcPr>
          <w:p>
            <w:pPr>
              <w:adjustRightInd w:val="0"/>
              <w:snapToGrid w:val="0"/>
              <w:jc w:val="center"/>
              <w:rPr>
                <w:rFonts w:ascii="仿宋" w:hAnsi="仿宋" w:eastAsia="仿宋"/>
              </w:rPr>
            </w:pPr>
            <w:r>
              <w:rPr>
                <w:rFonts w:hint="eastAsia" w:ascii="仿宋" w:hAnsi="仿宋" w:eastAsia="仿宋"/>
              </w:rPr>
              <w:t>5</w:t>
            </w:r>
          </w:p>
        </w:tc>
        <w:tc>
          <w:tcPr>
            <w:tcW w:w="680" w:type="pct"/>
            <w:vAlign w:val="center"/>
          </w:tcPr>
          <w:p>
            <w:pPr>
              <w:adjustRightInd w:val="0"/>
              <w:snapToGrid w:val="0"/>
              <w:jc w:val="center"/>
              <w:rPr>
                <w:rFonts w:ascii="仿宋" w:hAnsi="仿宋" w:eastAsia="仿宋"/>
              </w:rPr>
            </w:pPr>
            <w:r>
              <w:rPr>
                <w:rFonts w:ascii="仿宋" w:hAnsi="仿宋" w:eastAsia="仿宋"/>
              </w:rPr>
              <w:t>配电间</w:t>
            </w:r>
            <w:r>
              <w:rPr>
                <w:rFonts w:hint="eastAsia" w:ascii="仿宋" w:hAnsi="仿宋" w:eastAsia="仿宋"/>
              </w:rPr>
              <w:t>、废气</w:t>
            </w:r>
            <w:r>
              <w:rPr>
                <w:rFonts w:ascii="仿宋" w:hAnsi="仿宋" w:eastAsia="仿宋"/>
              </w:rPr>
              <w:t>装置等电气设备所在地</w:t>
            </w:r>
          </w:p>
        </w:tc>
        <w:tc>
          <w:tcPr>
            <w:tcW w:w="1070" w:type="pct"/>
            <w:vAlign w:val="center"/>
          </w:tcPr>
          <w:p>
            <w:pPr>
              <w:adjustRightInd w:val="0"/>
              <w:snapToGrid w:val="0"/>
              <w:jc w:val="center"/>
              <w:rPr>
                <w:rFonts w:ascii="仿宋" w:hAnsi="仿宋" w:eastAsia="仿宋"/>
              </w:rPr>
            </w:pPr>
            <w:r>
              <w:rPr>
                <w:rFonts w:ascii="仿宋" w:hAnsi="仿宋" w:eastAsia="仿宋"/>
              </w:rPr>
              <w:t>电气设备</w:t>
            </w:r>
          </w:p>
        </w:tc>
        <w:tc>
          <w:tcPr>
            <w:tcW w:w="908" w:type="pct"/>
            <w:vAlign w:val="center"/>
          </w:tcPr>
          <w:p>
            <w:pPr>
              <w:adjustRightInd w:val="0"/>
              <w:snapToGrid w:val="0"/>
              <w:jc w:val="center"/>
              <w:rPr>
                <w:rFonts w:ascii="仿宋" w:hAnsi="仿宋" w:eastAsia="仿宋"/>
              </w:rPr>
            </w:pPr>
            <w:r>
              <w:rPr>
                <w:rFonts w:ascii="仿宋" w:hAnsi="仿宋" w:eastAsia="仿宋"/>
              </w:rPr>
              <w:t>烟尘、CO、机油等</w:t>
            </w:r>
          </w:p>
        </w:tc>
        <w:tc>
          <w:tcPr>
            <w:tcW w:w="450" w:type="pct"/>
            <w:vAlign w:val="center"/>
          </w:tcPr>
          <w:p>
            <w:pPr>
              <w:adjustRightInd w:val="0"/>
              <w:snapToGrid w:val="0"/>
              <w:jc w:val="center"/>
              <w:rPr>
                <w:rFonts w:ascii="仿宋" w:hAnsi="仿宋" w:eastAsia="仿宋"/>
              </w:rPr>
            </w:pPr>
            <w:r>
              <w:rPr>
                <w:rFonts w:ascii="仿宋" w:hAnsi="仿宋" w:eastAsia="仿宋"/>
              </w:rPr>
              <w:t>火灾、爆炸</w:t>
            </w:r>
          </w:p>
        </w:tc>
        <w:tc>
          <w:tcPr>
            <w:tcW w:w="1634" w:type="pct"/>
            <w:vAlign w:val="center"/>
          </w:tcPr>
          <w:p>
            <w:pPr>
              <w:adjustRightInd w:val="0"/>
              <w:snapToGrid w:val="0"/>
              <w:jc w:val="center"/>
              <w:rPr>
                <w:rFonts w:ascii="仿宋" w:hAnsi="仿宋" w:eastAsia="仿宋"/>
              </w:rPr>
            </w:pPr>
            <w:r>
              <w:rPr>
                <w:rFonts w:ascii="仿宋" w:hAnsi="仿宋" w:eastAsia="仿宋"/>
              </w:rPr>
              <w:t>不完全燃烧产物烟尘、CO等直接扩散至大气环境、消防废水通过地表径流进入土壤或地</w:t>
            </w:r>
          </w:p>
        </w:tc>
      </w:tr>
    </w:tbl>
    <w:p>
      <w:pPr>
        <w:adjustRightInd w:val="0"/>
        <w:snapToGrid w:val="0"/>
        <w:ind w:firstLine="482"/>
        <w:jc w:val="center"/>
        <w:rPr>
          <w:rFonts w:ascii="仿宋" w:hAnsi="仿宋" w:eastAsia="仿宋"/>
          <w:b/>
          <w:sz w:val="24"/>
        </w:rPr>
      </w:pPr>
      <w:r>
        <w:rPr>
          <w:rFonts w:ascii="仿宋" w:hAnsi="仿宋" w:eastAsia="仿宋"/>
          <w:b/>
          <w:sz w:val="24"/>
        </w:rPr>
        <w:t>表</w:t>
      </w:r>
      <w:r>
        <w:rPr>
          <w:rFonts w:hint="eastAsia" w:ascii="仿宋" w:hAnsi="仿宋" w:eastAsia="仿宋"/>
          <w:b/>
          <w:sz w:val="24"/>
        </w:rPr>
        <w:t>5.3</w:t>
      </w:r>
      <w:r>
        <w:rPr>
          <w:rFonts w:ascii="仿宋" w:hAnsi="仿宋" w:eastAsia="仿宋"/>
          <w:b/>
          <w:sz w:val="24"/>
        </w:rPr>
        <w:t>-</w:t>
      </w:r>
      <w:r>
        <w:rPr>
          <w:rFonts w:hint="eastAsia" w:ascii="仿宋" w:hAnsi="仿宋" w:eastAsia="仿宋"/>
          <w:b/>
          <w:sz w:val="24"/>
        </w:rPr>
        <w:t>2</w:t>
      </w:r>
      <w:r>
        <w:rPr>
          <w:rFonts w:ascii="仿宋" w:hAnsi="仿宋" w:eastAsia="仿宋"/>
          <w:b/>
          <w:sz w:val="24"/>
        </w:rPr>
        <w:t xml:space="preserve">3  </w:t>
      </w:r>
      <w:r>
        <w:rPr>
          <w:rFonts w:hint="eastAsia" w:ascii="仿宋" w:hAnsi="仿宋" w:eastAsia="仿宋"/>
          <w:b/>
          <w:sz w:val="24"/>
        </w:rPr>
        <w:t>最大</w:t>
      </w:r>
      <w:r>
        <w:rPr>
          <w:rFonts w:ascii="仿宋" w:hAnsi="仿宋" w:eastAsia="仿宋"/>
          <w:b/>
          <w:sz w:val="24"/>
        </w:rPr>
        <w:t>可信事故情形汇总表</w:t>
      </w:r>
    </w:p>
    <w:tbl>
      <w:tblPr>
        <w:tblStyle w:val="87"/>
        <w:tblW w:w="50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36"/>
        <w:gridCol w:w="1154"/>
        <w:gridCol w:w="1815"/>
        <w:gridCol w:w="1539"/>
        <w:gridCol w:w="764"/>
        <w:gridCol w:w="2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7" w:type="pct"/>
            <w:vAlign w:val="center"/>
          </w:tcPr>
          <w:p>
            <w:pPr>
              <w:adjustRightInd w:val="0"/>
              <w:snapToGrid w:val="0"/>
              <w:jc w:val="center"/>
              <w:rPr>
                <w:rFonts w:ascii="仿宋" w:hAnsi="仿宋" w:eastAsia="仿宋"/>
              </w:rPr>
            </w:pPr>
            <w:r>
              <w:rPr>
                <w:rFonts w:ascii="仿宋" w:hAnsi="仿宋" w:eastAsia="仿宋"/>
              </w:rPr>
              <w:t>序号</w:t>
            </w:r>
          </w:p>
        </w:tc>
        <w:tc>
          <w:tcPr>
            <w:tcW w:w="681" w:type="pct"/>
            <w:vAlign w:val="center"/>
          </w:tcPr>
          <w:p>
            <w:pPr>
              <w:adjustRightInd w:val="0"/>
              <w:snapToGrid w:val="0"/>
              <w:jc w:val="center"/>
              <w:rPr>
                <w:rFonts w:ascii="仿宋" w:hAnsi="仿宋" w:eastAsia="仿宋"/>
              </w:rPr>
            </w:pPr>
            <w:r>
              <w:rPr>
                <w:rFonts w:ascii="仿宋" w:hAnsi="仿宋" w:eastAsia="仿宋"/>
              </w:rPr>
              <w:t>危险单元</w:t>
            </w:r>
          </w:p>
        </w:tc>
        <w:tc>
          <w:tcPr>
            <w:tcW w:w="1071" w:type="pct"/>
            <w:vAlign w:val="center"/>
          </w:tcPr>
          <w:p>
            <w:pPr>
              <w:adjustRightInd w:val="0"/>
              <w:snapToGrid w:val="0"/>
              <w:jc w:val="center"/>
              <w:rPr>
                <w:rFonts w:ascii="仿宋" w:hAnsi="仿宋" w:eastAsia="仿宋"/>
              </w:rPr>
            </w:pPr>
            <w:r>
              <w:rPr>
                <w:rFonts w:ascii="仿宋" w:hAnsi="仿宋" w:eastAsia="仿宋"/>
              </w:rPr>
              <w:t>风险源</w:t>
            </w:r>
          </w:p>
        </w:tc>
        <w:tc>
          <w:tcPr>
            <w:tcW w:w="908" w:type="pct"/>
            <w:vAlign w:val="center"/>
          </w:tcPr>
          <w:p>
            <w:pPr>
              <w:adjustRightInd w:val="0"/>
              <w:snapToGrid w:val="0"/>
              <w:jc w:val="center"/>
              <w:rPr>
                <w:rFonts w:ascii="仿宋" w:hAnsi="仿宋" w:eastAsia="仿宋"/>
              </w:rPr>
            </w:pPr>
            <w:r>
              <w:rPr>
                <w:rFonts w:ascii="仿宋" w:hAnsi="仿宋" w:eastAsia="仿宋"/>
              </w:rPr>
              <w:t>主要危险</w:t>
            </w:r>
          </w:p>
          <w:p>
            <w:pPr>
              <w:adjustRightInd w:val="0"/>
              <w:snapToGrid w:val="0"/>
              <w:jc w:val="center"/>
              <w:rPr>
                <w:rFonts w:ascii="仿宋" w:hAnsi="仿宋" w:eastAsia="仿宋"/>
              </w:rPr>
            </w:pPr>
            <w:r>
              <w:rPr>
                <w:rFonts w:ascii="仿宋" w:hAnsi="仿宋" w:eastAsia="仿宋"/>
              </w:rPr>
              <w:t>物质</w:t>
            </w:r>
          </w:p>
        </w:tc>
        <w:tc>
          <w:tcPr>
            <w:tcW w:w="451" w:type="pct"/>
            <w:vAlign w:val="center"/>
          </w:tcPr>
          <w:p>
            <w:pPr>
              <w:adjustRightInd w:val="0"/>
              <w:snapToGrid w:val="0"/>
              <w:jc w:val="center"/>
              <w:rPr>
                <w:rFonts w:ascii="仿宋" w:hAnsi="仿宋" w:eastAsia="仿宋"/>
              </w:rPr>
            </w:pPr>
            <w:r>
              <w:rPr>
                <w:rFonts w:ascii="仿宋" w:hAnsi="仿宋" w:eastAsia="仿宋"/>
              </w:rPr>
              <w:t>环境风险</w:t>
            </w:r>
          </w:p>
          <w:p>
            <w:pPr>
              <w:adjustRightInd w:val="0"/>
              <w:snapToGrid w:val="0"/>
              <w:jc w:val="center"/>
              <w:rPr>
                <w:rFonts w:ascii="仿宋" w:hAnsi="仿宋" w:eastAsia="仿宋"/>
              </w:rPr>
            </w:pPr>
            <w:r>
              <w:rPr>
                <w:rFonts w:ascii="仿宋" w:hAnsi="仿宋" w:eastAsia="仿宋"/>
              </w:rPr>
              <w:t>类型</w:t>
            </w:r>
          </w:p>
        </w:tc>
        <w:tc>
          <w:tcPr>
            <w:tcW w:w="1632" w:type="pct"/>
            <w:vAlign w:val="center"/>
          </w:tcPr>
          <w:p>
            <w:pPr>
              <w:adjustRightInd w:val="0"/>
              <w:snapToGrid w:val="0"/>
              <w:jc w:val="center"/>
              <w:rPr>
                <w:rFonts w:ascii="仿宋" w:hAnsi="仿宋" w:eastAsia="仿宋"/>
              </w:rPr>
            </w:pPr>
            <w:r>
              <w:rPr>
                <w:rFonts w:ascii="仿宋" w:hAnsi="仿宋" w:eastAsia="仿宋"/>
              </w:rPr>
              <w:t>环境影响</w:t>
            </w:r>
          </w:p>
          <w:p>
            <w:pPr>
              <w:adjustRightInd w:val="0"/>
              <w:snapToGrid w:val="0"/>
              <w:jc w:val="center"/>
              <w:rPr>
                <w:rFonts w:ascii="仿宋" w:hAnsi="仿宋" w:eastAsia="仿宋"/>
              </w:rPr>
            </w:pPr>
            <w:r>
              <w:rPr>
                <w:rFonts w:ascii="仿宋" w:hAnsi="仿宋" w:eastAsia="仿宋"/>
              </w:rPr>
              <w:t>途径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7" w:type="pct"/>
            <w:vAlign w:val="center"/>
          </w:tcPr>
          <w:p>
            <w:pPr>
              <w:adjustRightInd w:val="0"/>
              <w:snapToGrid w:val="0"/>
              <w:jc w:val="center"/>
              <w:rPr>
                <w:rFonts w:ascii="仿宋" w:hAnsi="仿宋" w:eastAsia="仿宋"/>
              </w:rPr>
            </w:pPr>
            <w:r>
              <w:rPr>
                <w:rFonts w:ascii="仿宋" w:hAnsi="仿宋" w:eastAsia="仿宋"/>
              </w:rPr>
              <w:t>1</w:t>
            </w:r>
          </w:p>
        </w:tc>
        <w:tc>
          <w:tcPr>
            <w:tcW w:w="681" w:type="pct"/>
            <w:vAlign w:val="center"/>
          </w:tcPr>
          <w:p>
            <w:pPr>
              <w:adjustRightInd w:val="0"/>
              <w:snapToGrid w:val="0"/>
              <w:jc w:val="center"/>
              <w:rPr>
                <w:rFonts w:ascii="仿宋" w:hAnsi="仿宋" w:eastAsia="仿宋"/>
              </w:rPr>
            </w:pPr>
            <w:r>
              <w:rPr>
                <w:rFonts w:ascii="仿宋" w:hAnsi="仿宋" w:eastAsia="仿宋"/>
              </w:rPr>
              <w:t>车间</w:t>
            </w:r>
          </w:p>
        </w:tc>
        <w:tc>
          <w:tcPr>
            <w:tcW w:w="1071" w:type="pct"/>
            <w:vAlign w:val="center"/>
          </w:tcPr>
          <w:p>
            <w:pPr>
              <w:adjustRightInd w:val="0"/>
              <w:snapToGrid w:val="0"/>
              <w:jc w:val="center"/>
              <w:rPr>
                <w:rFonts w:ascii="仿宋" w:hAnsi="仿宋" w:eastAsia="仿宋"/>
              </w:rPr>
            </w:pPr>
            <w:r>
              <w:rPr>
                <w:rFonts w:hint="eastAsia" w:ascii="仿宋" w:hAnsi="仿宋" w:eastAsia="仿宋"/>
              </w:rPr>
              <w:t>涂布线</w:t>
            </w:r>
          </w:p>
        </w:tc>
        <w:tc>
          <w:tcPr>
            <w:tcW w:w="908" w:type="pct"/>
            <w:vAlign w:val="center"/>
          </w:tcPr>
          <w:p>
            <w:pPr>
              <w:adjustRightInd w:val="0"/>
              <w:snapToGrid w:val="0"/>
              <w:jc w:val="center"/>
              <w:rPr>
                <w:rFonts w:ascii="仿宋" w:hAnsi="仿宋" w:eastAsia="仿宋"/>
              </w:rPr>
            </w:pPr>
            <w:r>
              <w:rPr>
                <w:rFonts w:hint="eastAsia" w:ascii="仿宋" w:hAnsi="仿宋" w:eastAsia="仿宋"/>
              </w:rPr>
              <w:t>乙酸乙酯、</w:t>
            </w:r>
            <w:r>
              <w:rPr>
                <w:rFonts w:ascii="仿宋" w:hAnsi="仿宋" w:eastAsia="仿宋"/>
              </w:rPr>
              <w:t>二甲苯</w:t>
            </w:r>
          </w:p>
        </w:tc>
        <w:tc>
          <w:tcPr>
            <w:tcW w:w="451" w:type="pct"/>
            <w:vAlign w:val="center"/>
          </w:tcPr>
          <w:p>
            <w:pPr>
              <w:adjustRightInd w:val="0"/>
              <w:snapToGrid w:val="0"/>
              <w:jc w:val="center"/>
              <w:rPr>
                <w:rFonts w:ascii="仿宋" w:hAnsi="仿宋" w:eastAsia="仿宋"/>
              </w:rPr>
            </w:pPr>
            <w:r>
              <w:rPr>
                <w:rFonts w:hint="eastAsia" w:ascii="仿宋" w:hAnsi="仿宋" w:eastAsia="仿宋"/>
              </w:rPr>
              <w:t>火灾</w:t>
            </w:r>
          </w:p>
        </w:tc>
        <w:tc>
          <w:tcPr>
            <w:tcW w:w="1632" w:type="pct"/>
            <w:vAlign w:val="center"/>
          </w:tcPr>
          <w:p>
            <w:pPr>
              <w:adjustRightInd w:val="0"/>
              <w:snapToGrid w:val="0"/>
              <w:jc w:val="center"/>
              <w:rPr>
                <w:rFonts w:ascii="仿宋" w:hAnsi="仿宋" w:eastAsia="仿宋"/>
              </w:rPr>
            </w:pPr>
            <w:r>
              <w:rPr>
                <w:rFonts w:ascii="仿宋" w:hAnsi="仿宋" w:eastAsia="仿宋"/>
              </w:rPr>
              <w:t>不完全燃烧产物烟尘、CO等直接扩散至大气环境、消防废水通过地表径流进入土壤或地</w:t>
            </w:r>
            <w:r>
              <w:rPr>
                <w:rFonts w:hint="eastAsia" w:ascii="仿宋" w:hAnsi="仿宋" w:eastAsia="仿宋"/>
              </w:rPr>
              <w:t>下水</w:t>
            </w:r>
          </w:p>
        </w:tc>
      </w:tr>
    </w:tbl>
    <w:p>
      <w:pPr>
        <w:keepNext/>
        <w:numPr>
          <w:ilvl w:val="2"/>
          <w:numId w:val="1"/>
        </w:numPr>
        <w:tabs>
          <w:tab w:val="left" w:pos="709"/>
        </w:tabs>
        <w:spacing w:after="120" w:afterLines="50" w:line="500" w:lineRule="exact"/>
        <w:ind w:left="0" w:firstLine="0"/>
        <w:outlineLvl w:val="2"/>
        <w:rPr>
          <w:rFonts w:eastAsia="仿宋_GB2312"/>
          <w:bCs/>
          <w:sz w:val="32"/>
          <w:szCs w:val="32"/>
        </w:rPr>
      </w:pPr>
      <w:r>
        <w:rPr>
          <w:rFonts w:hint="eastAsia" w:eastAsia="仿宋_GB2312"/>
          <w:b/>
          <w:sz w:val="28"/>
          <w:szCs w:val="28"/>
        </w:rPr>
        <w:t>风险影响分析</w:t>
      </w:r>
    </w:p>
    <w:p>
      <w:pPr>
        <w:keepNext/>
        <w:widowControl/>
        <w:numPr>
          <w:ilvl w:val="3"/>
          <w:numId w:val="1"/>
        </w:numPr>
        <w:adjustRightInd w:val="0"/>
        <w:snapToGrid w:val="0"/>
        <w:spacing w:after="120" w:afterLines="50" w:line="500" w:lineRule="exact"/>
        <w:ind w:left="0" w:firstLine="0"/>
        <w:jc w:val="left"/>
        <w:outlineLvl w:val="3"/>
        <w:rPr>
          <w:rFonts w:eastAsia="仿宋_GB2312"/>
          <w:b/>
          <w:bCs/>
          <w:sz w:val="28"/>
          <w:szCs w:val="28"/>
        </w:rPr>
      </w:pPr>
      <w:r>
        <w:rPr>
          <w:rFonts w:hint="eastAsia" w:eastAsia="仿宋_GB2312"/>
          <w:b/>
          <w:bCs/>
          <w:sz w:val="28"/>
          <w:szCs w:val="28"/>
        </w:rPr>
        <w:t>泄漏事故环境影响分析</w:t>
      </w:r>
    </w:p>
    <w:p>
      <w:pPr>
        <w:spacing w:line="500" w:lineRule="exact"/>
        <w:ind w:firstLine="560" w:firstLineChars="200"/>
        <w:rPr>
          <w:rFonts w:eastAsia="仿宋_GB2312"/>
          <w:sz w:val="28"/>
          <w:szCs w:val="28"/>
        </w:rPr>
      </w:pPr>
      <w:r>
        <w:rPr>
          <w:rFonts w:eastAsia="仿宋_GB2312"/>
          <w:sz w:val="28"/>
          <w:szCs w:val="28"/>
        </w:rPr>
        <w:t>全厂主要存在易燃液体、毒害性液体的泄漏。</w:t>
      </w:r>
      <w:r>
        <w:rPr>
          <w:rFonts w:hint="eastAsia" w:eastAsia="仿宋_GB2312"/>
          <w:sz w:val="28"/>
          <w:szCs w:val="28"/>
        </w:rPr>
        <w:t>本项目RTO设备中配备导热油炉</w:t>
      </w:r>
      <w:r>
        <w:rPr>
          <w:rFonts w:eastAsia="仿宋_GB2312"/>
          <w:sz w:val="28"/>
          <w:szCs w:val="28"/>
        </w:rPr>
        <w:t>，泄漏后可在地面或操作平台上形成液池，易燃液体由于液池表面的对流而蒸发，蒸发速度随其沸点、液池面积、环境温度而有所不同，易燃液体表面蒸发产生的可燃蒸气遇引火源会发生池火灾，泄漏可造成人员灼伤。</w:t>
      </w:r>
    </w:p>
    <w:p>
      <w:pPr>
        <w:spacing w:line="500" w:lineRule="exact"/>
        <w:ind w:firstLine="560" w:firstLineChars="200"/>
        <w:rPr>
          <w:rFonts w:eastAsia="仿宋_GB2312"/>
          <w:sz w:val="28"/>
          <w:szCs w:val="28"/>
        </w:rPr>
      </w:pPr>
      <w:r>
        <w:rPr>
          <w:rFonts w:eastAsia="仿宋_GB2312"/>
          <w:sz w:val="28"/>
          <w:szCs w:val="28"/>
        </w:rPr>
        <w:t>项目储存及生产装置内的有毒有害危险品，在储存及生产时可能发生泄漏风险，对外环境的影响程度主要取决于泄漏量、对事故发生采取的应急措施效果和事故后处理的效果。从国内外泄漏事故影响来看，此类事故通常影响严重，不仅表现在对外环境的污染，更严重的表现在对一定范围内人员健康的影响，甚至生命安全。</w:t>
      </w:r>
    </w:p>
    <w:p>
      <w:pPr>
        <w:spacing w:line="500" w:lineRule="exact"/>
        <w:ind w:firstLine="560" w:firstLineChars="200"/>
        <w:rPr>
          <w:rFonts w:eastAsia="仿宋_GB2312"/>
          <w:sz w:val="28"/>
          <w:szCs w:val="28"/>
        </w:rPr>
      </w:pPr>
      <w:bookmarkStart w:id="330" w:name="OLE_LINK28"/>
      <w:r>
        <w:rPr>
          <w:rFonts w:eastAsia="仿宋_GB2312"/>
          <w:sz w:val="28"/>
          <w:szCs w:val="28"/>
        </w:rPr>
        <w:t>本次评价根据原辅料用量及物料的毒理物性，选择</w:t>
      </w:r>
      <w:r>
        <w:rPr>
          <w:rFonts w:hint="eastAsia" w:eastAsia="仿宋_GB2312"/>
          <w:sz w:val="28"/>
          <w:szCs w:val="28"/>
        </w:rPr>
        <w:t>二甲苯、乙酸乙酯</w:t>
      </w:r>
      <w:r>
        <w:rPr>
          <w:rFonts w:eastAsia="仿宋_GB2312"/>
          <w:sz w:val="28"/>
          <w:szCs w:val="28"/>
        </w:rPr>
        <w:t>作为代表，估算泄漏事故源强。</w:t>
      </w:r>
    </w:p>
    <w:p>
      <w:pPr>
        <w:spacing w:line="500" w:lineRule="exact"/>
        <w:ind w:firstLine="560" w:firstLineChars="200"/>
        <w:rPr>
          <w:rFonts w:eastAsia="仿宋_GB2312"/>
          <w:sz w:val="28"/>
          <w:szCs w:val="28"/>
        </w:rPr>
      </w:pPr>
      <w:r>
        <w:rPr>
          <w:rFonts w:eastAsia="仿宋_GB2312"/>
          <w:sz w:val="28"/>
          <w:szCs w:val="28"/>
        </w:rPr>
        <w:t>考虑到在泄漏事故发生后，在风力蒸发作用下，会挥发至大气中，产生大气环境影响。综合考虑物料的理化性质、挥发性、毒性有害性，假设发生泄漏事故后，可在10秒时间间隔内启动紧急切断装置，防止继续泄漏，仓库地面扩散面积可控制在15m</w:t>
      </w:r>
      <w:r>
        <w:rPr>
          <w:rFonts w:eastAsia="仿宋_GB2312"/>
          <w:sz w:val="28"/>
          <w:szCs w:val="28"/>
          <w:vertAlign w:val="superscript"/>
        </w:rPr>
        <w:t>2</w:t>
      </w:r>
      <w:r>
        <w:rPr>
          <w:rFonts w:eastAsia="仿宋_GB2312"/>
          <w:sz w:val="28"/>
          <w:szCs w:val="28"/>
        </w:rPr>
        <w:t>以内，在</w:t>
      </w:r>
      <w:r>
        <w:rPr>
          <w:rFonts w:hint="eastAsia" w:eastAsia="仿宋_GB2312"/>
          <w:sz w:val="28"/>
          <w:szCs w:val="28"/>
        </w:rPr>
        <w:t>10</w:t>
      </w:r>
      <w:r>
        <w:rPr>
          <w:rFonts w:eastAsia="仿宋_GB2312"/>
          <w:sz w:val="28"/>
          <w:szCs w:val="28"/>
        </w:rPr>
        <w:t>分钟内处理事故泄漏物质完毕，即事故持续时间为</w:t>
      </w:r>
      <w:r>
        <w:rPr>
          <w:rFonts w:hint="eastAsia" w:eastAsia="仿宋_GB2312"/>
          <w:sz w:val="28"/>
          <w:szCs w:val="28"/>
        </w:rPr>
        <w:t>10</w:t>
      </w:r>
      <w:r>
        <w:rPr>
          <w:rFonts w:eastAsia="仿宋_GB2312"/>
          <w:sz w:val="28"/>
          <w:szCs w:val="28"/>
        </w:rPr>
        <w:t>分钟。</w:t>
      </w:r>
      <w:r>
        <w:rPr>
          <w:rFonts w:hint="eastAsia" w:eastAsia="仿宋_GB2312"/>
          <w:sz w:val="28"/>
          <w:szCs w:val="28"/>
        </w:rPr>
        <w:t>二甲苯最大</w:t>
      </w:r>
      <w:r>
        <w:rPr>
          <w:rFonts w:eastAsia="仿宋_GB2312"/>
          <w:sz w:val="28"/>
          <w:szCs w:val="28"/>
        </w:rPr>
        <w:t>存在总量为</w:t>
      </w:r>
      <w:r>
        <w:rPr>
          <w:rFonts w:hint="eastAsia" w:eastAsia="仿宋_GB2312"/>
          <w:sz w:val="28"/>
          <w:szCs w:val="28"/>
        </w:rPr>
        <w:t>1.24</w:t>
      </w:r>
      <w:r>
        <w:rPr>
          <w:rFonts w:eastAsia="仿宋_GB2312"/>
          <w:sz w:val="28"/>
          <w:szCs w:val="28"/>
        </w:rPr>
        <w:t>t，</w:t>
      </w:r>
      <w:r>
        <w:rPr>
          <w:rFonts w:hint="eastAsia" w:eastAsia="仿宋_GB2312"/>
          <w:sz w:val="28"/>
          <w:szCs w:val="28"/>
        </w:rPr>
        <w:t>二甲苯密度为0.86</w:t>
      </w:r>
      <w:r>
        <w:rPr>
          <w:rFonts w:eastAsia="仿宋_GB2312"/>
          <w:sz w:val="28"/>
          <w:szCs w:val="28"/>
        </w:rPr>
        <w:t>g/cm</w:t>
      </w:r>
      <w:r>
        <w:rPr>
          <w:rFonts w:eastAsia="仿宋_GB2312"/>
          <w:sz w:val="28"/>
          <w:szCs w:val="28"/>
          <w:vertAlign w:val="superscript"/>
        </w:rPr>
        <w:t>3</w:t>
      </w:r>
      <w:r>
        <w:rPr>
          <w:rFonts w:hint="eastAsia" w:eastAsia="仿宋_GB2312"/>
          <w:sz w:val="28"/>
          <w:szCs w:val="28"/>
        </w:rPr>
        <w:t>；乙酸乙酯最大</w:t>
      </w:r>
      <w:r>
        <w:rPr>
          <w:rFonts w:eastAsia="仿宋_GB2312"/>
          <w:sz w:val="28"/>
          <w:szCs w:val="28"/>
        </w:rPr>
        <w:t>存在总量为</w:t>
      </w:r>
      <w:r>
        <w:rPr>
          <w:rFonts w:hint="eastAsia" w:eastAsia="仿宋_GB2312"/>
          <w:sz w:val="28"/>
          <w:szCs w:val="28"/>
        </w:rPr>
        <w:t>11.3</w:t>
      </w:r>
      <w:r>
        <w:rPr>
          <w:rFonts w:eastAsia="仿宋_GB2312"/>
          <w:sz w:val="28"/>
          <w:szCs w:val="28"/>
        </w:rPr>
        <w:t>t，</w:t>
      </w:r>
      <w:r>
        <w:rPr>
          <w:rFonts w:hint="eastAsia" w:eastAsia="仿宋_GB2312"/>
          <w:sz w:val="28"/>
          <w:szCs w:val="28"/>
        </w:rPr>
        <w:t>乙酸乙酯密度为0.9</w:t>
      </w:r>
      <w:r>
        <w:rPr>
          <w:rFonts w:eastAsia="仿宋_GB2312"/>
          <w:sz w:val="28"/>
          <w:szCs w:val="28"/>
        </w:rPr>
        <w:t>g/cm</w:t>
      </w:r>
      <w:r>
        <w:rPr>
          <w:rFonts w:eastAsia="仿宋_GB2312"/>
          <w:sz w:val="28"/>
          <w:szCs w:val="28"/>
          <w:vertAlign w:val="superscript"/>
        </w:rPr>
        <w:t>3</w:t>
      </w:r>
      <w:r>
        <w:rPr>
          <w:rFonts w:hint="eastAsia" w:eastAsia="仿宋_GB2312"/>
          <w:sz w:val="28"/>
          <w:szCs w:val="28"/>
        </w:rPr>
        <w:t>。包装桶</w:t>
      </w:r>
      <w:r>
        <w:rPr>
          <w:rFonts w:eastAsia="仿宋_GB2312"/>
          <w:sz w:val="28"/>
          <w:szCs w:val="28"/>
        </w:rPr>
        <w:t>上裂口面积为</w:t>
      </w:r>
      <w:r>
        <w:rPr>
          <w:rFonts w:hint="eastAsia" w:eastAsia="仿宋_GB2312"/>
          <w:sz w:val="28"/>
          <w:szCs w:val="28"/>
        </w:rPr>
        <w:t>0.002</w:t>
      </w:r>
      <w:r>
        <w:rPr>
          <w:rFonts w:eastAsia="仿宋_GB2312"/>
          <w:sz w:val="28"/>
          <w:szCs w:val="28"/>
        </w:rPr>
        <w:t>m</w:t>
      </w:r>
      <w:r>
        <w:rPr>
          <w:rFonts w:eastAsia="仿宋_GB2312"/>
          <w:sz w:val="28"/>
          <w:szCs w:val="28"/>
          <w:vertAlign w:val="superscript"/>
        </w:rPr>
        <w:t>2</w:t>
      </w:r>
      <w:r>
        <w:rPr>
          <w:rFonts w:hint="eastAsia" w:eastAsia="仿宋_GB2312"/>
          <w:sz w:val="28"/>
          <w:szCs w:val="28"/>
        </w:rPr>
        <w:t>，</w:t>
      </w:r>
      <w:r>
        <w:rPr>
          <w:rFonts w:eastAsia="仿宋_GB2312"/>
          <w:sz w:val="28"/>
          <w:szCs w:val="28"/>
        </w:rPr>
        <w:t>裂口之上</w:t>
      </w:r>
      <w:r>
        <w:rPr>
          <w:rFonts w:hint="eastAsia" w:eastAsia="仿宋_GB2312"/>
          <w:sz w:val="28"/>
          <w:szCs w:val="28"/>
        </w:rPr>
        <w:t>液位高度为0</w:t>
      </w:r>
      <w:r>
        <w:rPr>
          <w:rFonts w:eastAsia="仿宋_GB2312"/>
          <w:sz w:val="28"/>
          <w:szCs w:val="28"/>
        </w:rPr>
        <w:t>.1m</w:t>
      </w:r>
      <w:r>
        <w:rPr>
          <w:rFonts w:hint="eastAsia" w:eastAsia="仿宋_GB2312"/>
          <w:sz w:val="28"/>
          <w:szCs w:val="28"/>
        </w:rPr>
        <w:t>。</w:t>
      </w:r>
    </w:p>
    <w:p>
      <w:pPr>
        <w:spacing w:line="500" w:lineRule="exact"/>
        <w:ind w:firstLine="560" w:firstLineChars="200"/>
        <w:rPr>
          <w:rFonts w:eastAsia="仿宋_GB2312"/>
          <w:sz w:val="28"/>
          <w:szCs w:val="28"/>
        </w:rPr>
      </w:pPr>
      <w:r>
        <w:rPr>
          <w:rFonts w:eastAsia="仿宋_GB2312"/>
          <w:sz w:val="28"/>
          <w:szCs w:val="28"/>
        </w:rPr>
        <w:t>液体物质泄漏源强用流体力学的伯努利方程计算如下：</w:t>
      </w:r>
    </w:p>
    <w:bookmarkEnd w:id="330"/>
    <w:p>
      <w:pPr>
        <w:pStyle w:val="33"/>
        <w:jc w:val="center"/>
        <w:rPr>
          <w:rFonts w:eastAsia="仿宋_GB2312"/>
        </w:rPr>
      </w:pPr>
      <w:r>
        <w:rPr>
          <w:rFonts w:eastAsia="仿宋_GB2312"/>
        </w:rPr>
        <w:drawing>
          <wp:inline distT="0" distB="0" distL="0" distR="0">
            <wp:extent cx="2409825" cy="581025"/>
            <wp:effectExtent l="0" t="0" r="9525" b="9525"/>
            <wp:docPr id="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3"/>
                    <pic:cNvPicPr>
                      <a:picLocks noChangeAspect="1" noChangeArrowheads="1"/>
                    </pic:cNvPicPr>
                  </pic:nvPicPr>
                  <pic:blipFill>
                    <a:blip r:embed="rId93"/>
                    <a:srcRect/>
                    <a:stretch>
                      <a:fillRect/>
                    </a:stretch>
                  </pic:blipFill>
                  <pic:spPr>
                    <a:xfrm>
                      <a:off x="0" y="0"/>
                      <a:ext cx="2409825" cy="581025"/>
                    </a:xfrm>
                    <a:prstGeom prst="rect">
                      <a:avLst/>
                    </a:prstGeom>
                    <a:noFill/>
                    <a:ln w="9525">
                      <a:noFill/>
                      <a:miter lim="800000"/>
                      <a:headEnd/>
                      <a:tailEnd/>
                    </a:ln>
                  </pic:spPr>
                </pic:pic>
              </a:graphicData>
            </a:graphic>
          </wp:inline>
        </w:drawing>
      </w:r>
    </w:p>
    <w:p>
      <w:pPr>
        <w:spacing w:line="500" w:lineRule="exact"/>
        <w:ind w:firstLine="560" w:firstLineChars="200"/>
        <w:rPr>
          <w:rFonts w:eastAsia="仿宋_GB2312"/>
          <w:sz w:val="28"/>
          <w:szCs w:val="28"/>
        </w:rPr>
      </w:pPr>
      <w:bookmarkStart w:id="331" w:name="OLE_LINK30"/>
      <w:r>
        <w:rPr>
          <w:rFonts w:eastAsia="仿宋_GB2312"/>
          <w:sz w:val="28"/>
          <w:szCs w:val="28"/>
        </w:rPr>
        <w:t>式中：Q</w:t>
      </w:r>
      <w:r>
        <w:rPr>
          <w:rFonts w:eastAsia="仿宋_GB2312"/>
          <w:sz w:val="28"/>
          <w:szCs w:val="28"/>
          <w:vertAlign w:val="subscript"/>
        </w:rPr>
        <w:t>L</w:t>
      </w:r>
      <w:r>
        <w:rPr>
          <w:rFonts w:eastAsia="仿宋_GB2312"/>
          <w:sz w:val="28"/>
          <w:szCs w:val="28"/>
        </w:rPr>
        <w:t>——液体泄漏速度，kg/s；</w:t>
      </w:r>
    </w:p>
    <w:p>
      <w:pPr>
        <w:spacing w:line="500" w:lineRule="exact"/>
        <w:ind w:firstLine="560" w:firstLineChars="200"/>
        <w:rPr>
          <w:rFonts w:eastAsia="仿宋_GB2312"/>
          <w:sz w:val="28"/>
          <w:szCs w:val="28"/>
        </w:rPr>
      </w:pPr>
      <w:r>
        <w:rPr>
          <w:rFonts w:eastAsia="仿宋_GB2312"/>
          <w:sz w:val="28"/>
          <w:szCs w:val="28"/>
        </w:rPr>
        <w:t>C</w:t>
      </w:r>
      <w:r>
        <w:rPr>
          <w:rFonts w:eastAsia="仿宋_GB2312"/>
          <w:sz w:val="28"/>
          <w:szCs w:val="28"/>
          <w:vertAlign w:val="subscript"/>
        </w:rPr>
        <w:t>d</w:t>
      </w:r>
      <w:r>
        <w:rPr>
          <w:rFonts w:eastAsia="仿宋_GB2312"/>
          <w:sz w:val="28"/>
          <w:szCs w:val="28"/>
        </w:rPr>
        <w:t>——泄漏系数；</w:t>
      </w:r>
    </w:p>
    <w:p>
      <w:pPr>
        <w:spacing w:line="500" w:lineRule="exact"/>
        <w:ind w:firstLine="560" w:firstLineChars="200"/>
        <w:rPr>
          <w:rFonts w:eastAsia="仿宋_GB2312"/>
          <w:sz w:val="28"/>
          <w:szCs w:val="28"/>
        </w:rPr>
      </w:pPr>
      <w:r>
        <w:rPr>
          <w:rFonts w:eastAsia="仿宋_GB2312"/>
          <w:sz w:val="28"/>
          <w:szCs w:val="28"/>
        </w:rPr>
        <w:t>A——裂口面积，m</w:t>
      </w:r>
      <w:r>
        <w:rPr>
          <w:rFonts w:eastAsia="仿宋_GB2312"/>
          <w:sz w:val="28"/>
          <w:szCs w:val="28"/>
          <w:vertAlign w:val="superscript"/>
        </w:rPr>
        <w:t>2</w:t>
      </w:r>
      <w:r>
        <w:rPr>
          <w:rFonts w:eastAsia="仿宋_GB2312"/>
          <w:sz w:val="28"/>
          <w:szCs w:val="28"/>
        </w:rPr>
        <w:t>；</w:t>
      </w:r>
    </w:p>
    <w:p>
      <w:pPr>
        <w:spacing w:line="500" w:lineRule="exact"/>
        <w:ind w:firstLine="560" w:firstLineChars="200"/>
        <w:rPr>
          <w:rFonts w:eastAsia="仿宋_GB2312"/>
          <w:sz w:val="28"/>
          <w:szCs w:val="28"/>
        </w:rPr>
      </w:pPr>
      <w:r>
        <w:rPr>
          <w:rFonts w:eastAsia="仿宋_GB2312"/>
          <w:sz w:val="28"/>
          <w:szCs w:val="28"/>
        </w:rPr>
        <w:t>ρ——泄漏液体密度，kg/m</w:t>
      </w:r>
      <w:r>
        <w:rPr>
          <w:rFonts w:eastAsia="仿宋_GB2312"/>
          <w:sz w:val="28"/>
          <w:szCs w:val="28"/>
          <w:vertAlign w:val="superscript"/>
        </w:rPr>
        <w:t>3</w:t>
      </w:r>
      <w:r>
        <w:rPr>
          <w:rFonts w:eastAsia="仿宋_GB2312"/>
          <w:sz w:val="28"/>
          <w:szCs w:val="28"/>
        </w:rPr>
        <w:t>；</w:t>
      </w:r>
    </w:p>
    <w:p>
      <w:pPr>
        <w:spacing w:line="500" w:lineRule="exact"/>
        <w:ind w:firstLine="560" w:firstLineChars="200"/>
        <w:rPr>
          <w:rFonts w:eastAsia="仿宋_GB2312"/>
          <w:sz w:val="28"/>
          <w:szCs w:val="28"/>
        </w:rPr>
      </w:pPr>
      <w:r>
        <w:rPr>
          <w:rFonts w:eastAsia="仿宋_GB2312"/>
          <w:sz w:val="28"/>
          <w:szCs w:val="28"/>
        </w:rPr>
        <w:t>P——容器内介质压力，Pa；</w:t>
      </w:r>
    </w:p>
    <w:p>
      <w:pPr>
        <w:spacing w:line="500" w:lineRule="exact"/>
        <w:ind w:firstLine="560" w:firstLineChars="200"/>
        <w:rPr>
          <w:rFonts w:eastAsia="仿宋_GB2312"/>
          <w:sz w:val="28"/>
          <w:szCs w:val="28"/>
        </w:rPr>
      </w:pPr>
      <w:r>
        <w:rPr>
          <w:rFonts w:eastAsia="仿宋_GB2312"/>
          <w:sz w:val="28"/>
          <w:szCs w:val="28"/>
        </w:rPr>
        <w:t>P0——环境压力，Pa；</w:t>
      </w:r>
    </w:p>
    <w:p>
      <w:pPr>
        <w:spacing w:line="500" w:lineRule="exact"/>
        <w:ind w:firstLine="560" w:firstLineChars="200"/>
        <w:rPr>
          <w:rFonts w:eastAsia="仿宋_GB2312"/>
          <w:sz w:val="28"/>
          <w:szCs w:val="28"/>
        </w:rPr>
      </w:pPr>
      <w:r>
        <w:rPr>
          <w:rFonts w:eastAsia="仿宋_GB2312"/>
          <w:sz w:val="28"/>
          <w:szCs w:val="28"/>
        </w:rPr>
        <w:t>g——重力加速度，9.8m/s</w:t>
      </w:r>
      <w:r>
        <w:rPr>
          <w:rFonts w:eastAsia="仿宋_GB2312"/>
          <w:sz w:val="28"/>
          <w:szCs w:val="28"/>
          <w:vertAlign w:val="superscript"/>
        </w:rPr>
        <w:t>2</w:t>
      </w:r>
      <w:r>
        <w:rPr>
          <w:rFonts w:eastAsia="仿宋_GB2312"/>
          <w:sz w:val="28"/>
          <w:szCs w:val="28"/>
        </w:rPr>
        <w:t>；</w:t>
      </w:r>
    </w:p>
    <w:p>
      <w:pPr>
        <w:spacing w:line="500" w:lineRule="exact"/>
        <w:ind w:firstLine="560" w:firstLineChars="200"/>
        <w:rPr>
          <w:rFonts w:eastAsia="仿宋_GB2312"/>
          <w:sz w:val="28"/>
          <w:szCs w:val="28"/>
        </w:rPr>
      </w:pPr>
      <w:r>
        <w:rPr>
          <w:rFonts w:eastAsia="仿宋_GB2312"/>
          <w:sz w:val="28"/>
          <w:szCs w:val="28"/>
        </w:rPr>
        <w:t>h——裂口之上液位高度，m；</w:t>
      </w:r>
    </w:p>
    <w:bookmarkEnd w:id="331"/>
    <w:p>
      <w:pPr>
        <w:spacing w:line="500" w:lineRule="exact"/>
        <w:ind w:firstLine="560" w:firstLineChars="200"/>
        <w:rPr>
          <w:rFonts w:eastAsia="仿宋_GB2312"/>
          <w:sz w:val="28"/>
          <w:szCs w:val="28"/>
        </w:rPr>
      </w:pPr>
      <w:r>
        <w:rPr>
          <w:rFonts w:eastAsia="仿宋_GB2312"/>
          <w:sz w:val="28"/>
          <w:szCs w:val="28"/>
        </w:rPr>
        <w:t>泄漏液体蒸发速率计算方法如下：</w:t>
      </w:r>
    </w:p>
    <w:p>
      <w:pPr>
        <w:spacing w:line="500" w:lineRule="exact"/>
        <w:ind w:firstLine="560" w:firstLineChars="200"/>
        <w:rPr>
          <w:rFonts w:eastAsia="仿宋_GB2312"/>
          <w:sz w:val="28"/>
          <w:szCs w:val="28"/>
        </w:rPr>
      </w:pPr>
      <w:bookmarkStart w:id="332" w:name="OLE_LINK36"/>
      <w:r>
        <w:rPr>
          <w:rFonts w:eastAsia="仿宋_GB2312"/>
          <w:sz w:val="28"/>
          <w:szCs w:val="28"/>
        </w:rPr>
        <w:t>（1）闪蒸蒸发估算</w:t>
      </w:r>
    </w:p>
    <w:bookmarkEnd w:id="332"/>
    <w:p>
      <w:pPr>
        <w:spacing w:line="500" w:lineRule="exact"/>
        <w:ind w:firstLine="560" w:firstLineChars="200"/>
      </w:pPr>
      <w:bookmarkStart w:id="333" w:name="OLE_LINK29"/>
      <w:r>
        <w:rPr>
          <w:rFonts w:eastAsia="仿宋_GB2312"/>
          <w:sz w:val="28"/>
          <w:szCs w:val="28"/>
        </w:rPr>
        <w:t>液体中闪蒸部分</w:t>
      </w:r>
      <w:r>
        <w:rPr>
          <w:rFonts w:hAnsi="宋体"/>
        </w:rPr>
        <w:t>：</w:t>
      </w:r>
    </w:p>
    <w:bookmarkEnd w:id="333"/>
    <w:p>
      <w:pPr>
        <w:pStyle w:val="531"/>
        <w:rPr>
          <w:rStyle w:val="737"/>
          <w:rFonts w:ascii="Times New Roman" w:hAnsi="Times New Roman" w:cs="Times New Roman"/>
        </w:rPr>
      </w:pPr>
      <w:r>
        <w:rPr>
          <w:rFonts w:ascii="Times New Roman" w:hAnsi="Times New Roman" w:cs="Times New Roman"/>
        </w:rPr>
        <w:drawing>
          <wp:inline distT="0" distB="0" distL="0" distR="0">
            <wp:extent cx="1323975" cy="533400"/>
            <wp:effectExtent l="19050" t="0" r="9525" b="0"/>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noChangeArrowheads="1"/>
                    </pic:cNvPicPr>
                  </pic:nvPicPr>
                  <pic:blipFill>
                    <a:blip r:embed="rId94"/>
                    <a:srcRect/>
                    <a:stretch>
                      <a:fillRect/>
                    </a:stretch>
                  </pic:blipFill>
                  <pic:spPr>
                    <a:xfrm>
                      <a:off x="0" y="0"/>
                      <a:ext cx="1323975" cy="533400"/>
                    </a:xfrm>
                    <a:prstGeom prst="rect">
                      <a:avLst/>
                    </a:prstGeom>
                    <a:noFill/>
                    <a:ln w="9525">
                      <a:noFill/>
                      <a:miter lim="800000"/>
                      <a:headEnd/>
                      <a:tailEnd/>
                    </a:ln>
                  </pic:spPr>
                </pic:pic>
              </a:graphicData>
            </a:graphic>
          </wp:inline>
        </w:drawing>
      </w:r>
    </w:p>
    <w:p>
      <w:pPr>
        <w:spacing w:line="500" w:lineRule="exact"/>
        <w:ind w:firstLine="560" w:firstLineChars="200"/>
        <w:rPr>
          <w:rFonts w:eastAsia="仿宋_GB2312"/>
          <w:sz w:val="28"/>
          <w:szCs w:val="28"/>
        </w:rPr>
      </w:pPr>
      <w:r>
        <w:rPr>
          <w:rFonts w:eastAsia="仿宋_GB2312"/>
          <w:sz w:val="28"/>
          <w:szCs w:val="28"/>
        </w:rPr>
        <w:t>过热液体闪蒸蒸发速率可按下式估算：</w:t>
      </w:r>
    </w:p>
    <w:p>
      <w:pPr>
        <w:pStyle w:val="531"/>
        <w:rPr>
          <w:rFonts w:ascii="Times New Roman" w:hAnsi="Times New Roman" w:cs="Times New Roman"/>
        </w:rPr>
      </w:pPr>
      <w:r>
        <w:rPr>
          <w:rFonts w:ascii="Times New Roman" w:hAnsi="Times New Roman" w:cs="Times New Roman"/>
        </w:rPr>
        <w:drawing>
          <wp:inline distT="0" distB="0" distL="0" distR="0">
            <wp:extent cx="1228725" cy="323850"/>
            <wp:effectExtent l="19050" t="0" r="9525" b="0"/>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noChangeArrowheads="1"/>
                    </pic:cNvPicPr>
                  </pic:nvPicPr>
                  <pic:blipFill>
                    <a:blip r:embed="rId95"/>
                    <a:srcRect/>
                    <a:stretch>
                      <a:fillRect/>
                    </a:stretch>
                  </pic:blipFill>
                  <pic:spPr>
                    <a:xfrm>
                      <a:off x="0" y="0"/>
                      <a:ext cx="1228725" cy="323850"/>
                    </a:xfrm>
                    <a:prstGeom prst="rect">
                      <a:avLst/>
                    </a:prstGeom>
                    <a:noFill/>
                    <a:ln w="9525">
                      <a:noFill/>
                      <a:miter lim="800000"/>
                      <a:headEnd/>
                      <a:tailEnd/>
                    </a:ln>
                  </pic:spPr>
                </pic:pic>
              </a:graphicData>
            </a:graphic>
          </wp:inline>
        </w:drawing>
      </w:r>
    </w:p>
    <w:p>
      <w:pPr>
        <w:spacing w:line="500" w:lineRule="exact"/>
        <w:ind w:firstLine="560" w:firstLineChars="200"/>
        <w:rPr>
          <w:rFonts w:eastAsia="仿宋_GB2312"/>
          <w:sz w:val="28"/>
          <w:szCs w:val="28"/>
        </w:rPr>
      </w:pPr>
      <w:bookmarkStart w:id="334" w:name="OLE_LINK37"/>
      <w:bookmarkStart w:id="335" w:name="OLE_LINK38"/>
      <w:r>
        <w:rPr>
          <w:rFonts w:eastAsia="仿宋_GB2312"/>
          <w:sz w:val="28"/>
          <w:szCs w:val="28"/>
        </w:rPr>
        <w:t>式中：F</w:t>
      </w:r>
      <w:r>
        <w:rPr>
          <w:rFonts w:eastAsia="仿宋_GB2312"/>
          <w:sz w:val="28"/>
          <w:szCs w:val="28"/>
          <w:vertAlign w:val="subscript"/>
        </w:rPr>
        <w:t>V</w:t>
      </w:r>
      <w:r>
        <w:rPr>
          <w:rFonts w:eastAsia="仿宋_GB2312"/>
          <w:sz w:val="28"/>
          <w:szCs w:val="28"/>
        </w:rPr>
        <w:t>——</w:t>
      </w:r>
      <w:bookmarkStart w:id="336" w:name="OLE_LINK31"/>
      <w:r>
        <w:rPr>
          <w:rFonts w:eastAsia="仿宋_GB2312"/>
          <w:sz w:val="28"/>
          <w:szCs w:val="28"/>
        </w:rPr>
        <w:t>泄漏液体的</w:t>
      </w:r>
      <w:bookmarkEnd w:id="336"/>
      <w:r>
        <w:rPr>
          <w:rFonts w:eastAsia="仿宋_GB2312"/>
          <w:sz w:val="28"/>
          <w:szCs w:val="28"/>
        </w:rPr>
        <w:t>闪蒸比例；</w:t>
      </w:r>
    </w:p>
    <w:p>
      <w:pPr>
        <w:spacing w:line="500" w:lineRule="exact"/>
        <w:ind w:firstLine="560" w:firstLineChars="200"/>
        <w:rPr>
          <w:rFonts w:eastAsia="仿宋_GB2312"/>
          <w:sz w:val="28"/>
          <w:szCs w:val="28"/>
        </w:rPr>
      </w:pPr>
      <w:r>
        <w:rPr>
          <w:rFonts w:eastAsia="仿宋_GB2312"/>
          <w:sz w:val="28"/>
          <w:szCs w:val="28"/>
        </w:rPr>
        <w:t>T</w:t>
      </w:r>
      <w:r>
        <w:rPr>
          <w:rFonts w:eastAsia="仿宋_GB2312"/>
          <w:sz w:val="28"/>
          <w:szCs w:val="28"/>
          <w:vertAlign w:val="subscript"/>
        </w:rPr>
        <w:t>T</w:t>
      </w:r>
      <w:r>
        <w:rPr>
          <w:rFonts w:eastAsia="仿宋_GB2312"/>
          <w:sz w:val="28"/>
          <w:szCs w:val="28"/>
        </w:rPr>
        <w:t>——储存温度</w:t>
      </w:r>
      <w:bookmarkStart w:id="337" w:name="OLE_LINK32"/>
      <w:r>
        <w:rPr>
          <w:rFonts w:eastAsia="仿宋_GB2312"/>
          <w:sz w:val="28"/>
          <w:szCs w:val="28"/>
        </w:rPr>
        <w:t>，K；</w:t>
      </w:r>
      <w:bookmarkEnd w:id="337"/>
    </w:p>
    <w:p>
      <w:pPr>
        <w:spacing w:line="500" w:lineRule="exact"/>
        <w:ind w:firstLine="560" w:firstLineChars="200"/>
        <w:rPr>
          <w:rFonts w:eastAsia="仿宋_GB2312"/>
          <w:sz w:val="28"/>
          <w:szCs w:val="28"/>
        </w:rPr>
      </w:pPr>
      <w:r>
        <w:rPr>
          <w:rFonts w:eastAsia="仿宋_GB2312"/>
          <w:sz w:val="28"/>
          <w:szCs w:val="28"/>
        </w:rPr>
        <w:t>T</w:t>
      </w:r>
      <w:r>
        <w:rPr>
          <w:rFonts w:eastAsia="仿宋_GB2312"/>
          <w:sz w:val="28"/>
          <w:szCs w:val="28"/>
          <w:vertAlign w:val="subscript"/>
        </w:rPr>
        <w:t>b</w:t>
      </w:r>
      <w:r>
        <w:rPr>
          <w:rFonts w:eastAsia="仿宋_GB2312"/>
          <w:sz w:val="28"/>
          <w:szCs w:val="28"/>
        </w:rPr>
        <w:t>——泄漏液体的沸点，K；</w:t>
      </w:r>
    </w:p>
    <w:p>
      <w:pPr>
        <w:spacing w:line="500" w:lineRule="exact"/>
        <w:ind w:firstLine="560" w:firstLineChars="200"/>
        <w:rPr>
          <w:rFonts w:eastAsia="仿宋_GB2312"/>
          <w:sz w:val="28"/>
          <w:szCs w:val="28"/>
        </w:rPr>
      </w:pPr>
      <w:r>
        <w:rPr>
          <w:rFonts w:eastAsia="仿宋_GB2312"/>
          <w:sz w:val="28"/>
          <w:szCs w:val="28"/>
        </w:rPr>
        <w:t>H</w:t>
      </w:r>
      <w:r>
        <w:rPr>
          <w:rFonts w:eastAsia="仿宋_GB2312"/>
          <w:sz w:val="28"/>
          <w:szCs w:val="28"/>
          <w:vertAlign w:val="subscript"/>
        </w:rPr>
        <w:t>v</w:t>
      </w:r>
      <w:r>
        <w:rPr>
          <w:rFonts w:eastAsia="仿宋_GB2312"/>
          <w:sz w:val="28"/>
          <w:szCs w:val="28"/>
        </w:rPr>
        <w:t>——</w:t>
      </w:r>
      <w:bookmarkStart w:id="338" w:name="OLE_LINK33"/>
      <w:r>
        <w:rPr>
          <w:rFonts w:eastAsia="仿宋_GB2312"/>
          <w:sz w:val="28"/>
          <w:szCs w:val="28"/>
        </w:rPr>
        <w:t>泄漏液体的蒸发热</w:t>
      </w:r>
      <w:bookmarkEnd w:id="338"/>
      <w:r>
        <w:rPr>
          <w:rFonts w:eastAsia="仿宋_GB2312"/>
          <w:sz w:val="28"/>
          <w:szCs w:val="28"/>
        </w:rPr>
        <w:t>，</w:t>
      </w:r>
      <w:bookmarkStart w:id="339" w:name="OLE_LINK34"/>
      <w:r>
        <w:rPr>
          <w:rFonts w:eastAsia="仿宋_GB2312"/>
          <w:sz w:val="28"/>
          <w:szCs w:val="28"/>
        </w:rPr>
        <w:t>J/kg</w:t>
      </w:r>
      <w:bookmarkEnd w:id="339"/>
      <w:r>
        <w:rPr>
          <w:rFonts w:eastAsia="仿宋_GB2312"/>
          <w:sz w:val="28"/>
          <w:szCs w:val="28"/>
        </w:rPr>
        <w:t>；</w:t>
      </w:r>
    </w:p>
    <w:p>
      <w:pPr>
        <w:spacing w:line="500" w:lineRule="exact"/>
        <w:ind w:firstLine="560" w:firstLineChars="200"/>
        <w:rPr>
          <w:rFonts w:eastAsia="仿宋_GB2312"/>
          <w:sz w:val="28"/>
          <w:szCs w:val="28"/>
        </w:rPr>
      </w:pPr>
      <w:r>
        <w:rPr>
          <w:rFonts w:eastAsia="仿宋_GB2312"/>
          <w:sz w:val="28"/>
          <w:szCs w:val="28"/>
        </w:rPr>
        <w:t>C</w:t>
      </w:r>
      <w:r>
        <w:rPr>
          <w:rFonts w:eastAsia="仿宋_GB2312"/>
          <w:sz w:val="28"/>
          <w:szCs w:val="28"/>
          <w:vertAlign w:val="subscript"/>
        </w:rPr>
        <w:t>p</w:t>
      </w:r>
      <w:r>
        <w:rPr>
          <w:rFonts w:eastAsia="仿宋_GB2312"/>
          <w:sz w:val="28"/>
          <w:szCs w:val="28"/>
        </w:rPr>
        <w:t>——泄漏液体的定压比热容，J/</w:t>
      </w:r>
      <w:bookmarkStart w:id="340" w:name="OLE_LINK40"/>
      <w:r>
        <w:rPr>
          <w:rFonts w:eastAsia="仿宋_GB2312"/>
          <w:sz w:val="28"/>
          <w:szCs w:val="28"/>
        </w:rPr>
        <w:t>（kg·K）</w:t>
      </w:r>
      <w:bookmarkEnd w:id="340"/>
      <w:r>
        <w:rPr>
          <w:rFonts w:eastAsia="仿宋_GB2312"/>
          <w:sz w:val="28"/>
          <w:szCs w:val="28"/>
        </w:rPr>
        <w:t>；</w:t>
      </w:r>
    </w:p>
    <w:p>
      <w:pPr>
        <w:spacing w:line="500" w:lineRule="exact"/>
        <w:ind w:firstLine="560" w:firstLineChars="200"/>
        <w:rPr>
          <w:rFonts w:eastAsia="仿宋_GB2312"/>
          <w:sz w:val="28"/>
          <w:szCs w:val="28"/>
        </w:rPr>
      </w:pPr>
      <w:r>
        <w:rPr>
          <w:rFonts w:eastAsia="仿宋_GB2312"/>
          <w:sz w:val="28"/>
          <w:szCs w:val="28"/>
        </w:rPr>
        <w:t>Q</w:t>
      </w:r>
      <w:r>
        <w:rPr>
          <w:rFonts w:eastAsia="仿宋_GB2312"/>
          <w:sz w:val="28"/>
          <w:szCs w:val="28"/>
          <w:vertAlign w:val="subscript"/>
        </w:rPr>
        <w:t>1</w:t>
      </w:r>
      <w:r>
        <w:rPr>
          <w:rFonts w:eastAsia="仿宋_GB2312"/>
          <w:sz w:val="28"/>
          <w:szCs w:val="28"/>
        </w:rPr>
        <w:t>——</w:t>
      </w:r>
      <w:bookmarkStart w:id="341" w:name="OLE_LINK39"/>
      <w:r>
        <w:rPr>
          <w:rFonts w:eastAsia="仿宋_GB2312"/>
          <w:sz w:val="28"/>
          <w:szCs w:val="28"/>
        </w:rPr>
        <w:t>过热液体闪蒸蒸发速率，</w:t>
      </w:r>
      <w:bookmarkStart w:id="342" w:name="OLE_LINK35"/>
      <w:r>
        <w:rPr>
          <w:rFonts w:eastAsia="仿宋_GB2312"/>
          <w:sz w:val="28"/>
          <w:szCs w:val="28"/>
        </w:rPr>
        <w:t>kg/s；</w:t>
      </w:r>
      <w:bookmarkEnd w:id="341"/>
      <w:bookmarkEnd w:id="342"/>
    </w:p>
    <w:p>
      <w:pPr>
        <w:spacing w:line="500" w:lineRule="exact"/>
        <w:ind w:firstLine="560" w:firstLineChars="200"/>
        <w:rPr>
          <w:rFonts w:eastAsia="仿宋_GB2312"/>
          <w:sz w:val="28"/>
          <w:szCs w:val="28"/>
        </w:rPr>
      </w:pPr>
      <w:r>
        <w:rPr>
          <w:rFonts w:eastAsia="仿宋_GB2312"/>
          <w:sz w:val="28"/>
          <w:szCs w:val="28"/>
        </w:rPr>
        <w:t>Q</w:t>
      </w:r>
      <w:r>
        <w:rPr>
          <w:rFonts w:eastAsia="仿宋_GB2312"/>
          <w:sz w:val="28"/>
          <w:szCs w:val="28"/>
          <w:vertAlign w:val="subscript"/>
        </w:rPr>
        <w:t>L</w:t>
      </w:r>
      <w:r>
        <w:rPr>
          <w:rFonts w:eastAsia="仿宋_GB2312"/>
          <w:sz w:val="28"/>
          <w:szCs w:val="28"/>
        </w:rPr>
        <w:t>——物质泄漏速率，kg/s；</w:t>
      </w:r>
      <w:bookmarkEnd w:id="334"/>
      <w:bookmarkEnd w:id="335"/>
    </w:p>
    <w:p>
      <w:pPr>
        <w:spacing w:line="500" w:lineRule="exact"/>
        <w:ind w:firstLine="560" w:firstLineChars="200"/>
        <w:rPr>
          <w:rFonts w:eastAsia="仿宋_GB2312"/>
          <w:sz w:val="28"/>
          <w:szCs w:val="28"/>
        </w:rPr>
      </w:pPr>
      <w:bookmarkStart w:id="343" w:name="OLE_LINK43"/>
      <w:r>
        <w:rPr>
          <w:rFonts w:eastAsia="仿宋_GB2312"/>
          <w:sz w:val="28"/>
          <w:szCs w:val="28"/>
        </w:rPr>
        <w:t>（2）热量蒸发估算</w:t>
      </w:r>
    </w:p>
    <w:bookmarkEnd w:id="343"/>
    <w:p>
      <w:pPr>
        <w:pStyle w:val="531"/>
        <w:rPr>
          <w:rFonts w:ascii="Times New Roman" w:hAnsi="Times New Roman" w:cs="Times New Roman"/>
        </w:rPr>
      </w:pPr>
      <w:r>
        <w:rPr>
          <w:rFonts w:ascii="Times New Roman" w:hAnsi="Times New Roman" w:cs="Times New Roman"/>
        </w:rPr>
        <w:drawing>
          <wp:inline distT="0" distB="0" distL="0" distR="0">
            <wp:extent cx="1809750" cy="590550"/>
            <wp:effectExtent l="19050" t="0" r="0" b="0"/>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noChangeArrowheads="1"/>
                    </pic:cNvPicPr>
                  </pic:nvPicPr>
                  <pic:blipFill>
                    <a:blip r:embed="rId96"/>
                    <a:srcRect/>
                    <a:stretch>
                      <a:fillRect/>
                    </a:stretch>
                  </pic:blipFill>
                  <pic:spPr>
                    <a:xfrm>
                      <a:off x="0" y="0"/>
                      <a:ext cx="1809750" cy="590550"/>
                    </a:xfrm>
                    <a:prstGeom prst="rect">
                      <a:avLst/>
                    </a:prstGeom>
                    <a:noFill/>
                    <a:ln w="9525">
                      <a:noFill/>
                      <a:miter lim="800000"/>
                      <a:headEnd/>
                      <a:tailEnd/>
                    </a:ln>
                  </pic:spPr>
                </pic:pic>
              </a:graphicData>
            </a:graphic>
          </wp:inline>
        </w:drawing>
      </w:r>
    </w:p>
    <w:p>
      <w:pPr>
        <w:spacing w:line="500" w:lineRule="exact"/>
        <w:ind w:firstLine="560" w:firstLineChars="200"/>
        <w:rPr>
          <w:rFonts w:eastAsia="仿宋_GB2312"/>
          <w:sz w:val="28"/>
          <w:szCs w:val="28"/>
        </w:rPr>
      </w:pPr>
      <w:bookmarkStart w:id="344" w:name="OLE_LINK44"/>
      <w:r>
        <w:rPr>
          <w:rFonts w:eastAsia="仿宋_GB2312"/>
          <w:sz w:val="28"/>
          <w:szCs w:val="28"/>
        </w:rPr>
        <w:t>式中：Q</w:t>
      </w:r>
      <w:r>
        <w:rPr>
          <w:rFonts w:eastAsia="仿宋_GB2312"/>
          <w:sz w:val="28"/>
          <w:szCs w:val="28"/>
          <w:vertAlign w:val="subscript"/>
        </w:rPr>
        <w:t>2</w:t>
      </w:r>
      <w:r>
        <w:rPr>
          <w:rFonts w:eastAsia="仿宋_GB2312"/>
          <w:sz w:val="28"/>
          <w:szCs w:val="28"/>
        </w:rPr>
        <w:t>——</w:t>
      </w:r>
      <w:bookmarkStart w:id="345" w:name="OLE_LINK55"/>
      <w:r>
        <w:rPr>
          <w:rFonts w:eastAsia="仿宋_GB2312"/>
          <w:sz w:val="28"/>
          <w:szCs w:val="28"/>
        </w:rPr>
        <w:t>热量蒸发速率，kg/s；</w:t>
      </w:r>
    </w:p>
    <w:bookmarkEnd w:id="345"/>
    <w:p>
      <w:pPr>
        <w:spacing w:line="500" w:lineRule="exact"/>
        <w:ind w:firstLine="560" w:firstLineChars="200"/>
        <w:rPr>
          <w:rFonts w:eastAsia="仿宋_GB2312"/>
          <w:sz w:val="28"/>
          <w:szCs w:val="28"/>
        </w:rPr>
      </w:pPr>
      <w:bookmarkStart w:id="346" w:name="OLE_LINK46"/>
      <w:r>
        <w:rPr>
          <w:rFonts w:eastAsia="仿宋_GB2312"/>
          <w:sz w:val="28"/>
          <w:szCs w:val="28"/>
        </w:rPr>
        <w:t>T</w:t>
      </w:r>
      <w:r>
        <w:rPr>
          <w:rFonts w:eastAsia="仿宋_GB2312"/>
          <w:sz w:val="28"/>
          <w:szCs w:val="28"/>
          <w:vertAlign w:val="subscript"/>
        </w:rPr>
        <w:t>0</w:t>
      </w:r>
      <w:r>
        <w:rPr>
          <w:rFonts w:eastAsia="仿宋_GB2312"/>
          <w:sz w:val="28"/>
          <w:szCs w:val="28"/>
        </w:rPr>
        <w:t>——环境温度，K；</w:t>
      </w:r>
    </w:p>
    <w:bookmarkEnd w:id="346"/>
    <w:p>
      <w:pPr>
        <w:spacing w:line="500" w:lineRule="exact"/>
        <w:ind w:firstLine="560" w:firstLineChars="200"/>
        <w:rPr>
          <w:rFonts w:eastAsia="仿宋_GB2312"/>
          <w:sz w:val="28"/>
          <w:szCs w:val="28"/>
        </w:rPr>
      </w:pPr>
      <w:r>
        <w:rPr>
          <w:rFonts w:eastAsia="仿宋_GB2312"/>
          <w:sz w:val="28"/>
          <w:szCs w:val="28"/>
        </w:rPr>
        <w:t>T</w:t>
      </w:r>
      <w:r>
        <w:rPr>
          <w:rFonts w:eastAsia="仿宋_GB2312"/>
          <w:sz w:val="28"/>
          <w:szCs w:val="28"/>
          <w:vertAlign w:val="subscript"/>
        </w:rPr>
        <w:t>b</w:t>
      </w:r>
      <w:r>
        <w:rPr>
          <w:rFonts w:eastAsia="仿宋_GB2312"/>
          <w:sz w:val="28"/>
          <w:szCs w:val="28"/>
        </w:rPr>
        <w:t>——泄漏液体的沸点，K；</w:t>
      </w:r>
    </w:p>
    <w:p>
      <w:pPr>
        <w:spacing w:line="500" w:lineRule="exact"/>
        <w:ind w:firstLine="560" w:firstLineChars="200"/>
        <w:rPr>
          <w:rFonts w:eastAsia="仿宋_GB2312"/>
          <w:sz w:val="28"/>
          <w:szCs w:val="28"/>
        </w:rPr>
      </w:pPr>
      <w:r>
        <w:rPr>
          <w:rFonts w:eastAsia="仿宋_GB2312"/>
          <w:sz w:val="28"/>
          <w:szCs w:val="28"/>
        </w:rPr>
        <w:t>H——液体的汽化热，J/kg；</w:t>
      </w:r>
    </w:p>
    <w:p>
      <w:pPr>
        <w:spacing w:line="500" w:lineRule="exact"/>
        <w:ind w:firstLine="560" w:firstLineChars="200"/>
        <w:rPr>
          <w:rFonts w:eastAsia="仿宋_GB2312"/>
          <w:sz w:val="28"/>
          <w:szCs w:val="28"/>
        </w:rPr>
      </w:pPr>
      <w:r>
        <w:rPr>
          <w:rFonts w:eastAsia="仿宋_GB2312"/>
          <w:sz w:val="28"/>
          <w:szCs w:val="28"/>
        </w:rPr>
        <w:t>t——蒸发时间，s；</w:t>
      </w:r>
    </w:p>
    <w:p>
      <w:pPr>
        <w:spacing w:line="500" w:lineRule="exact"/>
        <w:ind w:firstLine="560" w:firstLineChars="200"/>
        <w:rPr>
          <w:rFonts w:eastAsia="仿宋_GB2312"/>
          <w:sz w:val="28"/>
          <w:szCs w:val="28"/>
        </w:rPr>
      </w:pPr>
      <w:r>
        <w:rPr>
          <w:rFonts w:eastAsia="仿宋_GB2312"/>
          <w:sz w:val="28"/>
          <w:szCs w:val="28"/>
        </w:rPr>
        <w:t>λ——表面热导系数，W/（m·K）；</w:t>
      </w:r>
    </w:p>
    <w:p>
      <w:pPr>
        <w:spacing w:line="500" w:lineRule="exact"/>
        <w:ind w:firstLine="560" w:firstLineChars="200"/>
        <w:rPr>
          <w:rFonts w:eastAsia="仿宋_GB2312"/>
          <w:sz w:val="28"/>
          <w:szCs w:val="28"/>
        </w:rPr>
      </w:pPr>
      <w:r>
        <w:rPr>
          <w:rFonts w:eastAsia="仿宋_GB2312"/>
          <w:sz w:val="28"/>
          <w:szCs w:val="28"/>
        </w:rPr>
        <w:t>S</w:t>
      </w:r>
      <w:bookmarkStart w:id="347" w:name="OLE_LINK41"/>
      <w:r>
        <w:rPr>
          <w:rFonts w:eastAsia="仿宋_GB2312"/>
          <w:sz w:val="28"/>
          <w:szCs w:val="28"/>
        </w:rPr>
        <w:t>——</w:t>
      </w:r>
      <w:bookmarkEnd w:id="347"/>
      <w:r>
        <w:rPr>
          <w:rFonts w:eastAsia="仿宋_GB2312"/>
          <w:sz w:val="28"/>
          <w:szCs w:val="28"/>
        </w:rPr>
        <w:t>液池面积，</w:t>
      </w:r>
      <w:bookmarkStart w:id="348" w:name="OLE_LINK42"/>
      <w:r>
        <w:rPr>
          <w:rFonts w:eastAsia="仿宋_GB2312"/>
          <w:sz w:val="28"/>
          <w:szCs w:val="28"/>
        </w:rPr>
        <w:t>m</w:t>
      </w:r>
      <w:r>
        <w:rPr>
          <w:rFonts w:eastAsia="仿宋_GB2312"/>
          <w:sz w:val="28"/>
          <w:szCs w:val="28"/>
          <w:vertAlign w:val="superscript"/>
        </w:rPr>
        <w:t>2</w:t>
      </w:r>
      <w:r>
        <w:rPr>
          <w:rFonts w:eastAsia="仿宋_GB2312"/>
          <w:sz w:val="28"/>
          <w:szCs w:val="28"/>
        </w:rPr>
        <w:t>；</w:t>
      </w:r>
      <w:bookmarkEnd w:id="348"/>
    </w:p>
    <w:p>
      <w:pPr>
        <w:spacing w:line="500" w:lineRule="exact"/>
        <w:ind w:firstLine="560" w:firstLineChars="200"/>
        <w:rPr>
          <w:rFonts w:eastAsia="仿宋_GB2312"/>
          <w:sz w:val="28"/>
          <w:szCs w:val="28"/>
        </w:rPr>
      </w:pPr>
      <w:r>
        <w:rPr>
          <w:rFonts w:eastAsia="仿宋_GB2312"/>
          <w:sz w:val="28"/>
          <w:szCs w:val="28"/>
        </w:rPr>
        <w:t>α——表面热扩散系数，m</w:t>
      </w:r>
      <w:r>
        <w:rPr>
          <w:rFonts w:eastAsia="仿宋_GB2312"/>
          <w:sz w:val="28"/>
          <w:szCs w:val="28"/>
          <w:vertAlign w:val="superscript"/>
        </w:rPr>
        <w:t>2</w:t>
      </w:r>
      <w:r>
        <w:rPr>
          <w:rFonts w:eastAsia="仿宋_GB2312"/>
          <w:sz w:val="28"/>
          <w:szCs w:val="28"/>
        </w:rPr>
        <w:t>/s；</w:t>
      </w:r>
    </w:p>
    <w:bookmarkEnd w:id="344"/>
    <w:p>
      <w:pPr>
        <w:spacing w:line="500" w:lineRule="exact"/>
        <w:ind w:firstLine="560" w:firstLineChars="200"/>
        <w:rPr>
          <w:rFonts w:eastAsia="仿宋_GB2312"/>
          <w:sz w:val="28"/>
          <w:szCs w:val="28"/>
        </w:rPr>
      </w:pPr>
      <w:r>
        <w:rPr>
          <w:rFonts w:eastAsia="仿宋_GB2312"/>
          <w:sz w:val="28"/>
          <w:szCs w:val="28"/>
        </w:rPr>
        <w:t>（3）质量蒸发估算</w:t>
      </w:r>
    </w:p>
    <w:p>
      <w:pPr>
        <w:pStyle w:val="531"/>
        <w:rPr>
          <w:rFonts w:ascii="Times New Roman" w:hAnsi="Times New Roman" w:cs="Times New Roman"/>
        </w:rPr>
      </w:pPr>
      <w:r>
        <w:rPr>
          <w:rFonts w:ascii="Times New Roman" w:hAnsi="Times New Roman" w:cs="Times New Roman"/>
        </w:rPr>
        <w:drawing>
          <wp:inline distT="0" distB="0" distL="0" distR="0">
            <wp:extent cx="1847850" cy="600075"/>
            <wp:effectExtent l="19050" t="0" r="0" b="0"/>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noChangeArrowheads="1"/>
                    </pic:cNvPicPr>
                  </pic:nvPicPr>
                  <pic:blipFill>
                    <a:blip r:embed="rId97"/>
                    <a:srcRect/>
                    <a:stretch>
                      <a:fillRect/>
                    </a:stretch>
                  </pic:blipFill>
                  <pic:spPr>
                    <a:xfrm>
                      <a:off x="0" y="0"/>
                      <a:ext cx="1847850" cy="600075"/>
                    </a:xfrm>
                    <a:prstGeom prst="rect">
                      <a:avLst/>
                    </a:prstGeom>
                    <a:noFill/>
                    <a:ln w="9525">
                      <a:noFill/>
                      <a:miter lim="800000"/>
                      <a:headEnd/>
                      <a:tailEnd/>
                    </a:ln>
                  </pic:spPr>
                </pic:pic>
              </a:graphicData>
            </a:graphic>
          </wp:inline>
        </w:drawing>
      </w:r>
    </w:p>
    <w:p>
      <w:pPr>
        <w:spacing w:line="500" w:lineRule="exact"/>
        <w:ind w:firstLine="560" w:firstLineChars="200"/>
        <w:rPr>
          <w:rFonts w:eastAsia="仿宋_GB2312"/>
          <w:sz w:val="28"/>
          <w:szCs w:val="28"/>
        </w:rPr>
      </w:pPr>
      <w:bookmarkStart w:id="349" w:name="OLE_LINK51"/>
      <w:r>
        <w:rPr>
          <w:rFonts w:eastAsia="仿宋_GB2312"/>
          <w:sz w:val="28"/>
          <w:szCs w:val="28"/>
        </w:rPr>
        <w:t>式中：</w:t>
      </w:r>
      <w:bookmarkStart w:id="350" w:name="OLE_LINK52"/>
      <w:r>
        <w:rPr>
          <w:rFonts w:eastAsia="仿宋_GB2312"/>
          <w:sz w:val="28"/>
          <w:szCs w:val="28"/>
        </w:rPr>
        <w:t>Q</w:t>
      </w:r>
      <w:r>
        <w:rPr>
          <w:rFonts w:eastAsia="仿宋_GB2312"/>
          <w:sz w:val="28"/>
          <w:szCs w:val="28"/>
          <w:vertAlign w:val="subscript"/>
        </w:rPr>
        <w:t>3</w:t>
      </w:r>
      <w:bookmarkEnd w:id="350"/>
      <w:r>
        <w:rPr>
          <w:rFonts w:eastAsia="仿宋_GB2312"/>
          <w:sz w:val="28"/>
          <w:szCs w:val="28"/>
        </w:rPr>
        <w:t>——</w:t>
      </w:r>
      <w:bookmarkStart w:id="351" w:name="OLE_LINK54"/>
      <w:r>
        <w:rPr>
          <w:rFonts w:eastAsia="仿宋_GB2312"/>
          <w:sz w:val="28"/>
          <w:szCs w:val="28"/>
        </w:rPr>
        <w:t>质量蒸发速率，kg/s；</w:t>
      </w:r>
      <w:bookmarkEnd w:id="351"/>
    </w:p>
    <w:p>
      <w:pPr>
        <w:spacing w:line="500" w:lineRule="exact"/>
        <w:ind w:firstLine="560" w:firstLineChars="200"/>
        <w:rPr>
          <w:rFonts w:eastAsia="仿宋_GB2312"/>
          <w:sz w:val="28"/>
          <w:szCs w:val="28"/>
        </w:rPr>
      </w:pPr>
      <w:r>
        <w:rPr>
          <w:rFonts w:eastAsia="仿宋_GB2312"/>
          <w:sz w:val="28"/>
          <w:szCs w:val="28"/>
        </w:rPr>
        <w:t>p——液体表面蒸气压，Pa；</w:t>
      </w:r>
    </w:p>
    <w:p>
      <w:pPr>
        <w:spacing w:line="500" w:lineRule="exact"/>
        <w:ind w:firstLine="560" w:firstLineChars="200"/>
        <w:rPr>
          <w:rFonts w:eastAsia="仿宋_GB2312"/>
          <w:sz w:val="28"/>
          <w:szCs w:val="28"/>
        </w:rPr>
      </w:pPr>
      <w:r>
        <w:rPr>
          <w:rFonts w:eastAsia="仿宋_GB2312"/>
          <w:sz w:val="28"/>
          <w:szCs w:val="28"/>
        </w:rPr>
        <w:t>R——气体常数，J/（mol·K）；</w:t>
      </w:r>
    </w:p>
    <w:p>
      <w:pPr>
        <w:spacing w:line="500" w:lineRule="exact"/>
        <w:ind w:firstLine="560" w:firstLineChars="200"/>
        <w:rPr>
          <w:rFonts w:eastAsia="仿宋_GB2312"/>
          <w:sz w:val="28"/>
          <w:szCs w:val="28"/>
        </w:rPr>
      </w:pPr>
      <w:r>
        <w:rPr>
          <w:rFonts w:eastAsia="仿宋_GB2312"/>
          <w:sz w:val="28"/>
          <w:szCs w:val="28"/>
        </w:rPr>
        <w:t>T0</w:t>
      </w:r>
      <w:bookmarkStart w:id="352" w:name="OLE_LINK47"/>
      <w:r>
        <w:rPr>
          <w:rFonts w:eastAsia="仿宋_GB2312"/>
          <w:sz w:val="28"/>
          <w:szCs w:val="28"/>
        </w:rPr>
        <w:t>——</w:t>
      </w:r>
      <w:bookmarkEnd w:id="352"/>
      <w:r>
        <w:rPr>
          <w:rFonts w:eastAsia="仿宋_GB2312"/>
          <w:sz w:val="28"/>
          <w:szCs w:val="28"/>
        </w:rPr>
        <w:t>环境温度，K；</w:t>
      </w:r>
    </w:p>
    <w:p>
      <w:pPr>
        <w:spacing w:line="500" w:lineRule="exact"/>
        <w:ind w:firstLine="560" w:firstLineChars="200"/>
        <w:rPr>
          <w:rFonts w:eastAsia="仿宋_GB2312"/>
          <w:sz w:val="28"/>
          <w:szCs w:val="28"/>
        </w:rPr>
      </w:pPr>
      <w:r>
        <w:rPr>
          <w:rFonts w:eastAsia="仿宋_GB2312"/>
          <w:sz w:val="28"/>
          <w:szCs w:val="28"/>
        </w:rPr>
        <w:t>M</w:t>
      </w:r>
      <w:bookmarkStart w:id="353" w:name="OLE_LINK48"/>
      <w:r>
        <w:rPr>
          <w:rFonts w:eastAsia="仿宋_GB2312"/>
          <w:sz w:val="28"/>
          <w:szCs w:val="28"/>
        </w:rPr>
        <w:t>——物质的摩尔质量，kg/mol；</w:t>
      </w:r>
    </w:p>
    <w:bookmarkEnd w:id="353"/>
    <w:p>
      <w:pPr>
        <w:spacing w:line="500" w:lineRule="exact"/>
        <w:ind w:firstLine="560" w:firstLineChars="200"/>
        <w:rPr>
          <w:rFonts w:eastAsia="仿宋_GB2312"/>
          <w:sz w:val="28"/>
          <w:szCs w:val="28"/>
        </w:rPr>
      </w:pPr>
      <w:r>
        <w:rPr>
          <w:rFonts w:eastAsia="仿宋_GB2312"/>
          <w:sz w:val="28"/>
          <w:szCs w:val="28"/>
        </w:rPr>
        <w:t>u——风速，m/s；</w:t>
      </w:r>
    </w:p>
    <w:p>
      <w:pPr>
        <w:spacing w:line="500" w:lineRule="exact"/>
        <w:ind w:firstLine="560" w:firstLineChars="200"/>
        <w:rPr>
          <w:rFonts w:eastAsia="仿宋_GB2312"/>
          <w:sz w:val="28"/>
          <w:szCs w:val="28"/>
        </w:rPr>
      </w:pPr>
      <w:r>
        <w:rPr>
          <w:rFonts w:eastAsia="仿宋_GB2312"/>
          <w:sz w:val="28"/>
          <w:szCs w:val="28"/>
        </w:rPr>
        <w:t>r</w:t>
      </w:r>
      <w:bookmarkStart w:id="354" w:name="OLE_LINK50"/>
      <w:r>
        <w:rPr>
          <w:rFonts w:eastAsia="仿宋_GB2312"/>
          <w:sz w:val="28"/>
          <w:szCs w:val="28"/>
        </w:rPr>
        <w:t>——液池半径，m；</w:t>
      </w:r>
      <w:bookmarkEnd w:id="354"/>
    </w:p>
    <w:p>
      <w:pPr>
        <w:spacing w:line="500" w:lineRule="exact"/>
        <w:ind w:firstLine="560" w:firstLineChars="200"/>
        <w:rPr>
          <w:rFonts w:eastAsia="仿宋_GB2312"/>
          <w:sz w:val="28"/>
          <w:szCs w:val="28"/>
        </w:rPr>
      </w:pPr>
      <w:r>
        <w:rPr>
          <w:rFonts w:eastAsia="仿宋_GB2312"/>
          <w:sz w:val="28"/>
          <w:szCs w:val="28"/>
        </w:rPr>
        <w:t>α，n——大气稳定系数；</w:t>
      </w:r>
    </w:p>
    <w:bookmarkEnd w:id="349"/>
    <w:p>
      <w:pPr>
        <w:spacing w:line="500" w:lineRule="exact"/>
        <w:ind w:firstLine="560" w:firstLineChars="200"/>
        <w:rPr>
          <w:rFonts w:eastAsia="仿宋_GB2312"/>
          <w:sz w:val="28"/>
          <w:szCs w:val="28"/>
        </w:rPr>
      </w:pPr>
      <w:r>
        <w:rPr>
          <w:rFonts w:eastAsia="仿宋_GB2312"/>
          <w:sz w:val="28"/>
          <w:szCs w:val="28"/>
        </w:rPr>
        <w:t>液体蒸发总量按下式计算：</w:t>
      </w:r>
    </w:p>
    <w:p>
      <w:pPr>
        <w:pStyle w:val="531"/>
        <w:rPr>
          <w:rFonts w:ascii="Times New Roman" w:hAnsi="Times New Roman" w:cs="Times New Roman"/>
        </w:rPr>
      </w:pPr>
      <w:r>
        <w:rPr>
          <w:rFonts w:ascii="Times New Roman" w:hAnsi="Times New Roman" w:cs="Times New Roman"/>
        </w:rPr>
        <w:drawing>
          <wp:inline distT="0" distB="0" distL="0" distR="0">
            <wp:extent cx="1981200" cy="342900"/>
            <wp:effectExtent l="19050" t="0" r="0" b="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noChangeArrowheads="1"/>
                    </pic:cNvPicPr>
                  </pic:nvPicPr>
                  <pic:blipFill>
                    <a:blip r:embed="rId98"/>
                    <a:srcRect/>
                    <a:stretch>
                      <a:fillRect/>
                    </a:stretch>
                  </pic:blipFill>
                  <pic:spPr>
                    <a:xfrm>
                      <a:off x="0" y="0"/>
                      <a:ext cx="1981200" cy="342900"/>
                    </a:xfrm>
                    <a:prstGeom prst="rect">
                      <a:avLst/>
                    </a:prstGeom>
                    <a:noFill/>
                    <a:ln w="9525">
                      <a:noFill/>
                      <a:miter lim="800000"/>
                      <a:headEnd/>
                      <a:tailEnd/>
                    </a:ln>
                  </pic:spPr>
                </pic:pic>
              </a:graphicData>
            </a:graphic>
          </wp:inline>
        </w:drawing>
      </w:r>
    </w:p>
    <w:p>
      <w:pPr>
        <w:spacing w:line="500" w:lineRule="exact"/>
        <w:ind w:firstLine="560" w:firstLineChars="200"/>
        <w:rPr>
          <w:rFonts w:eastAsia="仿宋_GB2312"/>
          <w:sz w:val="28"/>
          <w:szCs w:val="28"/>
        </w:rPr>
      </w:pPr>
      <w:r>
        <w:rPr>
          <w:rFonts w:eastAsia="仿宋_GB2312"/>
          <w:sz w:val="28"/>
          <w:szCs w:val="28"/>
        </w:rPr>
        <w:t>式中：Wp——液体蒸发总量，kg；</w:t>
      </w:r>
    </w:p>
    <w:p>
      <w:pPr>
        <w:spacing w:line="500" w:lineRule="exact"/>
        <w:ind w:firstLine="560" w:firstLineChars="200"/>
        <w:rPr>
          <w:rFonts w:eastAsia="仿宋_GB2312"/>
          <w:sz w:val="28"/>
          <w:szCs w:val="28"/>
        </w:rPr>
      </w:pPr>
      <w:r>
        <w:rPr>
          <w:rFonts w:eastAsia="仿宋_GB2312"/>
          <w:sz w:val="28"/>
          <w:szCs w:val="28"/>
        </w:rPr>
        <w:t>Q</w:t>
      </w:r>
      <w:r>
        <w:rPr>
          <w:rFonts w:eastAsia="仿宋_GB2312"/>
          <w:sz w:val="28"/>
          <w:szCs w:val="28"/>
          <w:vertAlign w:val="subscript"/>
        </w:rPr>
        <w:t>1</w:t>
      </w:r>
      <w:r>
        <w:rPr>
          <w:rFonts w:eastAsia="仿宋_GB2312"/>
          <w:sz w:val="28"/>
          <w:szCs w:val="28"/>
        </w:rPr>
        <w:t>——过热液体闪蒸蒸发速率，kg/s；</w:t>
      </w:r>
    </w:p>
    <w:p>
      <w:pPr>
        <w:spacing w:line="500" w:lineRule="exact"/>
        <w:ind w:firstLine="560" w:firstLineChars="200"/>
        <w:rPr>
          <w:rFonts w:eastAsia="仿宋_GB2312"/>
          <w:sz w:val="28"/>
          <w:szCs w:val="28"/>
        </w:rPr>
      </w:pPr>
      <w:bookmarkStart w:id="355" w:name="OLE_LINK53"/>
      <w:r>
        <w:rPr>
          <w:rFonts w:eastAsia="仿宋_GB2312"/>
          <w:sz w:val="28"/>
          <w:szCs w:val="28"/>
        </w:rPr>
        <w:t>Q</w:t>
      </w:r>
      <w:bookmarkEnd w:id="355"/>
      <w:r>
        <w:rPr>
          <w:rFonts w:eastAsia="仿宋_GB2312"/>
          <w:sz w:val="28"/>
          <w:szCs w:val="28"/>
          <w:vertAlign w:val="subscript"/>
        </w:rPr>
        <w:t>2</w:t>
      </w:r>
      <w:r>
        <w:rPr>
          <w:rFonts w:eastAsia="仿宋_GB2312"/>
          <w:sz w:val="28"/>
          <w:szCs w:val="28"/>
        </w:rPr>
        <w:t>——热量蒸发速率，kg/s；</w:t>
      </w:r>
    </w:p>
    <w:p>
      <w:pPr>
        <w:spacing w:line="500" w:lineRule="exact"/>
        <w:ind w:firstLine="560" w:firstLineChars="200"/>
        <w:rPr>
          <w:rFonts w:eastAsia="仿宋_GB2312"/>
          <w:sz w:val="28"/>
          <w:szCs w:val="28"/>
        </w:rPr>
      </w:pPr>
      <w:r>
        <w:rPr>
          <w:rFonts w:eastAsia="仿宋_GB2312"/>
          <w:sz w:val="28"/>
          <w:szCs w:val="28"/>
        </w:rPr>
        <w:t>Q</w:t>
      </w:r>
      <w:r>
        <w:rPr>
          <w:rFonts w:eastAsia="仿宋_GB2312"/>
          <w:sz w:val="28"/>
          <w:szCs w:val="28"/>
          <w:vertAlign w:val="subscript"/>
        </w:rPr>
        <w:t>3</w:t>
      </w:r>
      <w:r>
        <w:rPr>
          <w:rFonts w:eastAsia="仿宋_GB2312"/>
          <w:sz w:val="28"/>
          <w:szCs w:val="28"/>
        </w:rPr>
        <w:t>——质量蒸发速率，kg/s；</w:t>
      </w:r>
    </w:p>
    <w:p>
      <w:pPr>
        <w:spacing w:line="500" w:lineRule="exact"/>
        <w:ind w:firstLine="560" w:firstLineChars="200"/>
        <w:rPr>
          <w:rFonts w:eastAsia="仿宋_GB2312"/>
          <w:sz w:val="28"/>
          <w:szCs w:val="28"/>
        </w:rPr>
      </w:pPr>
      <w:bookmarkStart w:id="356" w:name="OLE_LINK56"/>
      <w:r>
        <w:rPr>
          <w:rFonts w:eastAsia="仿宋_GB2312"/>
          <w:sz w:val="28"/>
          <w:szCs w:val="28"/>
        </w:rPr>
        <w:t>t</w:t>
      </w:r>
      <w:r>
        <w:rPr>
          <w:rFonts w:eastAsia="仿宋_GB2312"/>
          <w:sz w:val="28"/>
          <w:szCs w:val="28"/>
          <w:vertAlign w:val="subscript"/>
        </w:rPr>
        <w:t>1</w:t>
      </w:r>
      <w:bookmarkEnd w:id="356"/>
      <w:r>
        <w:rPr>
          <w:rFonts w:eastAsia="仿宋_GB2312"/>
          <w:sz w:val="28"/>
          <w:szCs w:val="28"/>
        </w:rPr>
        <w:t>——</w:t>
      </w:r>
      <w:bookmarkStart w:id="357" w:name="OLE_LINK57"/>
      <w:r>
        <w:rPr>
          <w:rFonts w:eastAsia="仿宋_GB2312"/>
          <w:sz w:val="28"/>
          <w:szCs w:val="28"/>
        </w:rPr>
        <w:t>闪蒸蒸发时间，s；</w:t>
      </w:r>
      <w:bookmarkEnd w:id="357"/>
    </w:p>
    <w:p>
      <w:pPr>
        <w:spacing w:line="500" w:lineRule="exact"/>
        <w:ind w:firstLine="560" w:firstLineChars="200"/>
        <w:rPr>
          <w:rFonts w:eastAsia="仿宋_GB2312"/>
          <w:sz w:val="28"/>
          <w:szCs w:val="28"/>
        </w:rPr>
      </w:pPr>
      <w:r>
        <w:rPr>
          <w:rFonts w:eastAsia="仿宋_GB2312"/>
          <w:sz w:val="28"/>
          <w:szCs w:val="28"/>
        </w:rPr>
        <w:t>t</w:t>
      </w:r>
      <w:r>
        <w:rPr>
          <w:rFonts w:eastAsia="仿宋_GB2312"/>
          <w:sz w:val="28"/>
          <w:szCs w:val="28"/>
          <w:vertAlign w:val="subscript"/>
        </w:rPr>
        <w:t>2</w:t>
      </w:r>
      <w:r>
        <w:rPr>
          <w:rFonts w:eastAsia="仿宋_GB2312"/>
          <w:sz w:val="28"/>
          <w:szCs w:val="28"/>
        </w:rPr>
        <w:t>——热量蒸发时间，s；</w:t>
      </w:r>
    </w:p>
    <w:p>
      <w:pPr>
        <w:spacing w:line="500" w:lineRule="exact"/>
        <w:ind w:firstLine="560" w:firstLineChars="200"/>
        <w:rPr>
          <w:rFonts w:eastAsia="仿宋_GB2312"/>
          <w:sz w:val="28"/>
          <w:szCs w:val="28"/>
        </w:rPr>
      </w:pPr>
      <w:r>
        <w:rPr>
          <w:rFonts w:eastAsia="仿宋_GB2312"/>
          <w:sz w:val="28"/>
          <w:szCs w:val="28"/>
        </w:rPr>
        <w:t>t</w:t>
      </w:r>
      <w:r>
        <w:rPr>
          <w:rFonts w:eastAsia="仿宋_GB2312"/>
          <w:sz w:val="28"/>
          <w:szCs w:val="28"/>
          <w:vertAlign w:val="subscript"/>
        </w:rPr>
        <w:t>3</w:t>
      </w:r>
      <w:r>
        <w:rPr>
          <w:rFonts w:eastAsia="仿宋_GB2312"/>
          <w:sz w:val="28"/>
          <w:szCs w:val="28"/>
        </w:rPr>
        <w:t>——从液体泄漏到完全清理完毕的时间，s；</w:t>
      </w:r>
    </w:p>
    <w:p>
      <w:pPr>
        <w:spacing w:line="500" w:lineRule="exact"/>
        <w:ind w:firstLine="560" w:firstLineChars="200"/>
        <w:rPr>
          <w:rFonts w:eastAsia="仿宋_GB2312"/>
          <w:sz w:val="28"/>
          <w:szCs w:val="28"/>
        </w:rPr>
      </w:pPr>
      <w:r>
        <w:rPr>
          <w:rFonts w:hint="eastAsia" w:eastAsia="仿宋_GB2312"/>
          <w:sz w:val="28"/>
          <w:szCs w:val="28"/>
        </w:rPr>
        <w:t>二甲苯、乙酸乙酯</w:t>
      </w:r>
      <w:r>
        <w:rPr>
          <w:rFonts w:eastAsia="仿宋_GB2312"/>
          <w:sz w:val="28"/>
          <w:szCs w:val="28"/>
        </w:rPr>
        <w:t>泄漏后蒸发不考虑闪蒸，仅考虑热量蒸发和质量蒸发</w:t>
      </w:r>
      <w:r>
        <w:rPr>
          <w:rFonts w:hint="eastAsia" w:eastAsia="仿宋_GB2312"/>
          <w:sz w:val="28"/>
          <w:szCs w:val="28"/>
        </w:rPr>
        <w:t>，</w:t>
      </w:r>
      <w:r>
        <w:rPr>
          <w:rFonts w:eastAsia="仿宋_GB2312"/>
          <w:sz w:val="28"/>
          <w:szCs w:val="28"/>
        </w:rPr>
        <w:t>在年平均风速(2.5m/s)情况下，污染物的挥发量计算结果见表</w:t>
      </w:r>
      <w:r>
        <w:rPr>
          <w:rFonts w:hint="eastAsia" w:eastAsia="仿宋_GB2312"/>
          <w:sz w:val="28"/>
          <w:szCs w:val="28"/>
        </w:rPr>
        <w:t>5.3-24</w:t>
      </w:r>
      <w:r>
        <w:rPr>
          <w:rFonts w:eastAsia="仿宋_GB2312"/>
          <w:sz w:val="28"/>
          <w:szCs w:val="28"/>
        </w:rPr>
        <w:t>。</w:t>
      </w:r>
    </w:p>
    <w:p>
      <w:pPr>
        <w:adjustRightInd w:val="0"/>
        <w:snapToGrid w:val="0"/>
        <w:ind w:firstLine="482"/>
        <w:jc w:val="center"/>
        <w:rPr>
          <w:rFonts w:ascii="仿宋" w:hAnsi="仿宋" w:eastAsia="仿宋"/>
          <w:b/>
          <w:sz w:val="24"/>
        </w:rPr>
      </w:pPr>
      <w:r>
        <w:rPr>
          <w:rFonts w:ascii="仿宋" w:hAnsi="仿宋" w:eastAsia="仿宋"/>
          <w:b/>
          <w:sz w:val="24"/>
        </w:rPr>
        <w:t>表</w:t>
      </w:r>
      <w:r>
        <w:rPr>
          <w:rFonts w:hint="eastAsia" w:ascii="仿宋" w:hAnsi="仿宋" w:eastAsia="仿宋"/>
          <w:b/>
          <w:sz w:val="24"/>
        </w:rPr>
        <w:t xml:space="preserve">5.3-24 </w:t>
      </w:r>
      <w:r>
        <w:rPr>
          <w:rFonts w:ascii="仿宋" w:hAnsi="仿宋" w:eastAsia="仿宋"/>
          <w:b/>
          <w:sz w:val="24"/>
        </w:rPr>
        <w:t>事故污染源参数表</w:t>
      </w:r>
    </w:p>
    <w:tbl>
      <w:tblPr>
        <w:tblStyle w:val="87"/>
        <w:tblW w:w="92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24"/>
        <w:gridCol w:w="992"/>
        <w:gridCol w:w="1375"/>
        <w:gridCol w:w="929"/>
        <w:gridCol w:w="1417"/>
        <w:gridCol w:w="1020"/>
        <w:gridCol w:w="964"/>
        <w:gridCol w:w="1024"/>
        <w:gridCol w:w="1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2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r>
              <w:rPr>
                <w:rFonts w:ascii="仿宋" w:hAnsi="仿宋" w:eastAsia="仿宋"/>
              </w:rPr>
              <w:t>序号</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r>
              <w:rPr>
                <w:rFonts w:ascii="仿宋" w:hAnsi="仿宋" w:eastAsia="仿宋"/>
              </w:rPr>
              <w:t>风险事故情形描述</w:t>
            </w:r>
          </w:p>
        </w:tc>
        <w:tc>
          <w:tcPr>
            <w:tcW w:w="137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r>
              <w:rPr>
                <w:rFonts w:ascii="仿宋" w:hAnsi="仿宋" w:eastAsia="仿宋"/>
              </w:rPr>
              <w:t>危险单元</w:t>
            </w:r>
          </w:p>
        </w:tc>
        <w:tc>
          <w:tcPr>
            <w:tcW w:w="92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r>
              <w:rPr>
                <w:rFonts w:ascii="仿宋" w:hAnsi="仿宋" w:eastAsia="仿宋"/>
              </w:rPr>
              <w:t>危险</w:t>
            </w:r>
          </w:p>
          <w:p>
            <w:pPr>
              <w:adjustRightInd w:val="0"/>
              <w:snapToGrid w:val="0"/>
              <w:jc w:val="center"/>
              <w:rPr>
                <w:rFonts w:ascii="仿宋" w:hAnsi="仿宋" w:eastAsia="仿宋"/>
              </w:rPr>
            </w:pPr>
            <w:r>
              <w:rPr>
                <w:rFonts w:ascii="仿宋" w:hAnsi="仿宋" w:eastAsia="仿宋"/>
              </w:rPr>
              <w:t>物质</w:t>
            </w:r>
          </w:p>
        </w:tc>
        <w:tc>
          <w:tcPr>
            <w:tcW w:w="141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r>
              <w:rPr>
                <w:rFonts w:ascii="仿宋" w:hAnsi="仿宋" w:eastAsia="仿宋"/>
              </w:rPr>
              <w:t>影响途径</w:t>
            </w:r>
          </w:p>
        </w:tc>
        <w:tc>
          <w:tcPr>
            <w:tcW w:w="102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r>
              <w:rPr>
                <w:rFonts w:ascii="仿宋" w:hAnsi="仿宋" w:eastAsia="仿宋"/>
              </w:rPr>
              <w:t>释放或泄漏速率</w:t>
            </w:r>
          </w:p>
          <w:p>
            <w:pPr>
              <w:adjustRightInd w:val="0"/>
              <w:snapToGrid w:val="0"/>
              <w:jc w:val="center"/>
              <w:rPr>
                <w:rFonts w:ascii="仿宋" w:hAnsi="仿宋" w:eastAsia="仿宋"/>
              </w:rPr>
            </w:pPr>
            <w:r>
              <w:rPr>
                <w:rFonts w:ascii="仿宋" w:hAnsi="仿宋" w:eastAsia="仿宋"/>
              </w:rPr>
              <w:t>（kg/s）</w:t>
            </w:r>
          </w:p>
        </w:tc>
        <w:tc>
          <w:tcPr>
            <w:tcW w:w="96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r>
              <w:rPr>
                <w:rFonts w:ascii="仿宋" w:hAnsi="仿宋" w:eastAsia="仿宋"/>
              </w:rPr>
              <w:t>释放或泄漏时间</w:t>
            </w:r>
          </w:p>
          <w:p>
            <w:pPr>
              <w:adjustRightInd w:val="0"/>
              <w:snapToGrid w:val="0"/>
              <w:jc w:val="center"/>
              <w:rPr>
                <w:rFonts w:ascii="仿宋" w:hAnsi="仿宋" w:eastAsia="仿宋"/>
              </w:rPr>
            </w:pPr>
            <w:r>
              <w:rPr>
                <w:rFonts w:ascii="仿宋" w:hAnsi="仿宋" w:eastAsia="仿宋"/>
              </w:rPr>
              <w:t>（min）</w:t>
            </w:r>
          </w:p>
        </w:tc>
        <w:tc>
          <w:tcPr>
            <w:tcW w:w="102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r>
              <w:rPr>
                <w:rFonts w:ascii="仿宋" w:hAnsi="仿宋" w:eastAsia="仿宋"/>
              </w:rPr>
              <w:t>最大释放或泄漏量</w:t>
            </w:r>
          </w:p>
          <w:p>
            <w:pPr>
              <w:adjustRightInd w:val="0"/>
              <w:snapToGrid w:val="0"/>
              <w:jc w:val="center"/>
              <w:rPr>
                <w:rFonts w:ascii="仿宋" w:hAnsi="仿宋" w:eastAsia="仿宋"/>
              </w:rPr>
            </w:pPr>
            <w:r>
              <w:rPr>
                <w:rFonts w:ascii="仿宋" w:hAnsi="仿宋" w:eastAsia="仿宋"/>
              </w:rPr>
              <w:t>（kg）</w:t>
            </w:r>
          </w:p>
        </w:tc>
        <w:tc>
          <w:tcPr>
            <w:tcW w:w="102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r>
              <w:rPr>
                <w:rFonts w:ascii="仿宋" w:hAnsi="仿宋" w:eastAsia="仿宋"/>
              </w:rPr>
              <w:t>泄漏液体 蒸发速率</w:t>
            </w:r>
          </w:p>
          <w:p>
            <w:pPr>
              <w:adjustRightInd w:val="0"/>
              <w:snapToGrid w:val="0"/>
              <w:jc w:val="center"/>
              <w:rPr>
                <w:rFonts w:ascii="仿宋" w:hAnsi="仿宋" w:eastAsia="仿宋"/>
              </w:rPr>
            </w:pPr>
            <w:r>
              <w:rPr>
                <w:rFonts w:ascii="仿宋" w:hAnsi="仿宋" w:eastAsia="仿宋"/>
              </w:rPr>
              <w:t>（kg/s）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2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r>
              <w:rPr>
                <w:rFonts w:ascii="仿宋" w:hAnsi="仿宋" w:eastAsia="仿宋"/>
              </w:rPr>
              <w:t>1</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r>
              <w:rPr>
                <w:rFonts w:hint="eastAsia" w:ascii="仿宋" w:hAnsi="仿宋" w:eastAsia="仿宋"/>
              </w:rPr>
              <w:t>包装桶</w:t>
            </w:r>
            <w:r>
              <w:rPr>
                <w:rFonts w:ascii="仿宋" w:hAnsi="仿宋" w:eastAsia="仿宋"/>
              </w:rPr>
              <w:t>泄漏</w:t>
            </w:r>
          </w:p>
        </w:tc>
        <w:tc>
          <w:tcPr>
            <w:tcW w:w="137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r>
              <w:rPr>
                <w:rFonts w:hint="eastAsia" w:ascii="仿宋" w:hAnsi="仿宋" w:eastAsia="仿宋"/>
              </w:rPr>
              <w:t>胶粘剂包装桶</w:t>
            </w:r>
          </w:p>
        </w:tc>
        <w:tc>
          <w:tcPr>
            <w:tcW w:w="92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r>
              <w:rPr>
                <w:rFonts w:hint="eastAsia" w:ascii="仿宋" w:hAnsi="仿宋" w:eastAsia="仿宋"/>
              </w:rPr>
              <w:t>二甲苯</w:t>
            </w:r>
          </w:p>
        </w:tc>
        <w:tc>
          <w:tcPr>
            <w:tcW w:w="141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r>
              <w:rPr>
                <w:rFonts w:hint="eastAsia" w:ascii="仿宋" w:hAnsi="仿宋" w:eastAsia="仿宋"/>
              </w:rPr>
              <w:t>地表水、土壤</w:t>
            </w:r>
          </w:p>
        </w:tc>
        <w:tc>
          <w:tcPr>
            <w:tcW w:w="102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eastAsia="仿宋_GB2312"/>
                <w:szCs w:val="21"/>
              </w:rPr>
            </w:pPr>
            <w:r>
              <w:rPr>
                <w:rFonts w:hint="eastAsia" w:eastAsia="仿宋_GB2312"/>
                <w:szCs w:val="21"/>
              </w:rPr>
              <w:t>0.305</w:t>
            </w:r>
          </w:p>
        </w:tc>
        <w:tc>
          <w:tcPr>
            <w:tcW w:w="96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eastAsia="仿宋_GB2312"/>
                <w:szCs w:val="21"/>
              </w:rPr>
            </w:pPr>
            <w:r>
              <w:rPr>
                <w:rFonts w:hint="eastAsia" w:eastAsia="仿宋_GB2312"/>
                <w:szCs w:val="21"/>
              </w:rPr>
              <w:t>15</w:t>
            </w:r>
          </w:p>
        </w:tc>
        <w:tc>
          <w:tcPr>
            <w:tcW w:w="102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eastAsia="仿宋_GB2312"/>
                <w:snapToGrid w:val="0"/>
                <w:szCs w:val="21"/>
              </w:rPr>
            </w:pPr>
            <w:r>
              <w:rPr>
                <w:rFonts w:hint="eastAsia" w:eastAsia="仿宋_GB2312"/>
                <w:snapToGrid w:val="0"/>
                <w:szCs w:val="21"/>
              </w:rPr>
              <w:t>274.5</w:t>
            </w:r>
          </w:p>
        </w:tc>
        <w:tc>
          <w:tcPr>
            <w:tcW w:w="102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eastAsia="仿宋_GB2312"/>
                <w:szCs w:val="21"/>
              </w:rPr>
            </w:pPr>
            <w:r>
              <w:rPr>
                <w:rFonts w:hint="eastAsia" w:eastAsia="仿宋_GB2312"/>
                <w:szCs w:val="21"/>
              </w:rPr>
              <w:t>0.0012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2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r>
              <w:rPr>
                <w:rFonts w:hint="eastAsia" w:ascii="仿宋" w:hAnsi="仿宋" w:eastAsia="仿宋"/>
              </w:rPr>
              <w:t>2</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r>
              <w:rPr>
                <w:rFonts w:hint="eastAsia" w:ascii="仿宋" w:hAnsi="仿宋" w:eastAsia="仿宋"/>
              </w:rPr>
              <w:t>包装桶</w:t>
            </w:r>
            <w:r>
              <w:rPr>
                <w:rFonts w:ascii="仿宋" w:hAnsi="仿宋" w:eastAsia="仿宋"/>
              </w:rPr>
              <w:t>泄漏</w:t>
            </w:r>
          </w:p>
        </w:tc>
        <w:tc>
          <w:tcPr>
            <w:tcW w:w="137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r>
              <w:rPr>
                <w:rFonts w:hint="eastAsia" w:ascii="仿宋" w:hAnsi="仿宋" w:eastAsia="仿宋"/>
              </w:rPr>
              <w:t>胶粘剂包装桶</w:t>
            </w:r>
          </w:p>
        </w:tc>
        <w:tc>
          <w:tcPr>
            <w:tcW w:w="92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r>
              <w:rPr>
                <w:rFonts w:hint="eastAsia" w:ascii="仿宋" w:hAnsi="仿宋" w:eastAsia="仿宋"/>
              </w:rPr>
              <w:t>乙酸乙酯</w:t>
            </w:r>
          </w:p>
        </w:tc>
        <w:tc>
          <w:tcPr>
            <w:tcW w:w="141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rPr>
            </w:pPr>
            <w:r>
              <w:rPr>
                <w:rFonts w:hint="eastAsia" w:ascii="仿宋" w:hAnsi="仿宋" w:eastAsia="仿宋"/>
              </w:rPr>
              <w:t>地表水、土壤</w:t>
            </w:r>
          </w:p>
        </w:tc>
        <w:tc>
          <w:tcPr>
            <w:tcW w:w="102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eastAsia="仿宋_GB2312"/>
                <w:szCs w:val="21"/>
              </w:rPr>
            </w:pPr>
            <w:r>
              <w:rPr>
                <w:rFonts w:hint="eastAsia" w:eastAsia="仿宋_GB2312"/>
                <w:szCs w:val="21"/>
              </w:rPr>
              <w:t>0.313</w:t>
            </w:r>
          </w:p>
        </w:tc>
        <w:tc>
          <w:tcPr>
            <w:tcW w:w="96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eastAsia="仿宋_GB2312"/>
                <w:szCs w:val="21"/>
              </w:rPr>
            </w:pPr>
            <w:r>
              <w:rPr>
                <w:rFonts w:hint="eastAsia" w:eastAsia="仿宋_GB2312"/>
                <w:szCs w:val="21"/>
              </w:rPr>
              <w:t>15</w:t>
            </w:r>
          </w:p>
        </w:tc>
        <w:tc>
          <w:tcPr>
            <w:tcW w:w="102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eastAsia="仿宋_GB2312"/>
                <w:snapToGrid w:val="0"/>
                <w:szCs w:val="21"/>
              </w:rPr>
            </w:pPr>
            <w:r>
              <w:rPr>
                <w:rFonts w:hint="eastAsia" w:eastAsia="仿宋_GB2312"/>
                <w:snapToGrid w:val="0"/>
                <w:szCs w:val="21"/>
              </w:rPr>
              <w:t>281.7</w:t>
            </w:r>
          </w:p>
        </w:tc>
        <w:tc>
          <w:tcPr>
            <w:tcW w:w="102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eastAsia="仿宋_GB2312"/>
                <w:szCs w:val="21"/>
              </w:rPr>
            </w:pPr>
            <w:r>
              <w:rPr>
                <w:rFonts w:hint="eastAsia" w:eastAsia="仿宋_GB2312"/>
                <w:szCs w:val="21"/>
              </w:rPr>
              <w:t>0.0018</w:t>
            </w:r>
          </w:p>
        </w:tc>
      </w:tr>
    </w:tbl>
    <w:p>
      <w:pPr>
        <w:keepNext/>
        <w:widowControl/>
        <w:numPr>
          <w:ilvl w:val="3"/>
          <w:numId w:val="1"/>
        </w:numPr>
        <w:adjustRightInd w:val="0"/>
        <w:snapToGrid w:val="0"/>
        <w:spacing w:after="120" w:afterLines="50" w:line="500" w:lineRule="exact"/>
        <w:ind w:left="0" w:firstLine="0"/>
        <w:jc w:val="left"/>
        <w:outlineLvl w:val="3"/>
        <w:rPr>
          <w:rFonts w:eastAsia="仿宋_GB2312"/>
          <w:b/>
          <w:sz w:val="28"/>
          <w:szCs w:val="28"/>
        </w:rPr>
      </w:pPr>
      <w:r>
        <w:rPr>
          <w:rFonts w:eastAsia="仿宋_GB2312"/>
          <w:b/>
          <w:sz w:val="28"/>
          <w:szCs w:val="28"/>
        </w:rPr>
        <w:t>次生/伴生污染物排放</w:t>
      </w:r>
    </w:p>
    <w:p>
      <w:pPr>
        <w:spacing w:line="500" w:lineRule="exact"/>
        <w:ind w:firstLine="560" w:firstLineChars="200"/>
        <w:rPr>
          <w:rFonts w:eastAsia="仿宋_GB2312"/>
          <w:sz w:val="28"/>
          <w:szCs w:val="28"/>
        </w:rPr>
      </w:pPr>
      <w:r>
        <w:rPr>
          <w:rFonts w:eastAsia="仿宋_GB2312"/>
          <w:sz w:val="28"/>
          <w:szCs w:val="28"/>
        </w:rPr>
        <w:t>泄漏导致火灾、爆炸，泄漏物料在空气中形成易燃、易爆的混合物后，遇明火、高热极易燃烧爆炸。事故中未完全燃烧的危险物质在高温下迅速挥发释放至大气，且燃烧过程中产生次生/伴生污染。</w:t>
      </w:r>
    </w:p>
    <w:p>
      <w:pPr>
        <w:spacing w:line="500" w:lineRule="exact"/>
        <w:ind w:firstLine="560" w:firstLineChars="200"/>
        <w:rPr>
          <w:rFonts w:eastAsia="仿宋"/>
          <w:sz w:val="28"/>
          <w:szCs w:val="28"/>
        </w:rPr>
      </w:pPr>
      <w:r>
        <w:rPr>
          <w:rFonts w:eastAsia="仿宋"/>
          <w:sz w:val="28"/>
          <w:szCs w:val="28"/>
        </w:rPr>
        <w:t>1、伴生/次生</w:t>
      </w:r>
    </w:p>
    <w:p>
      <w:pPr>
        <w:spacing w:line="500" w:lineRule="exact"/>
        <w:ind w:firstLine="560" w:firstLineChars="200"/>
        <w:rPr>
          <w:rFonts w:eastAsia="仿宋"/>
          <w:sz w:val="28"/>
          <w:szCs w:val="28"/>
        </w:rPr>
      </w:pPr>
      <w:r>
        <w:rPr>
          <w:rFonts w:eastAsia="仿宋"/>
          <w:sz w:val="28"/>
          <w:szCs w:val="28"/>
        </w:rPr>
        <w:t>（1）CO</w:t>
      </w:r>
    </w:p>
    <w:p>
      <w:pPr>
        <w:spacing w:line="500" w:lineRule="exact"/>
        <w:ind w:firstLine="560" w:firstLineChars="200"/>
        <w:rPr>
          <w:rFonts w:eastAsia="仿宋"/>
          <w:sz w:val="28"/>
          <w:szCs w:val="28"/>
        </w:rPr>
      </w:pPr>
      <w:r>
        <w:rPr>
          <w:rFonts w:hint="eastAsia" w:eastAsia="仿宋"/>
          <w:sz w:val="28"/>
          <w:szCs w:val="28"/>
        </w:rPr>
        <w:t>导热油炉</w:t>
      </w:r>
      <w:r>
        <w:rPr>
          <w:rFonts w:eastAsia="仿宋"/>
          <w:sz w:val="28"/>
          <w:szCs w:val="28"/>
        </w:rPr>
        <w:t>发生泄漏、火灾事故后，假设大多数物料随消防水进入事故水池，</w:t>
      </w:r>
      <w:r>
        <w:rPr>
          <w:rFonts w:hint="eastAsia" w:eastAsia="仿宋"/>
          <w:sz w:val="28"/>
          <w:szCs w:val="28"/>
        </w:rPr>
        <w:t>10</w:t>
      </w:r>
      <w:r>
        <w:rPr>
          <w:rFonts w:eastAsia="仿宋"/>
          <w:sz w:val="28"/>
          <w:szCs w:val="28"/>
        </w:rPr>
        <w:t>%</w:t>
      </w:r>
      <w:r>
        <w:rPr>
          <w:rFonts w:hint="eastAsia" w:eastAsia="仿宋"/>
          <w:sz w:val="28"/>
          <w:szCs w:val="28"/>
        </w:rPr>
        <w:t>导热油</w:t>
      </w:r>
      <w:r>
        <w:rPr>
          <w:rFonts w:eastAsia="仿宋"/>
          <w:sz w:val="28"/>
          <w:szCs w:val="28"/>
        </w:rPr>
        <w:t>燃烧，燃烧的</w:t>
      </w:r>
      <w:r>
        <w:rPr>
          <w:rFonts w:hint="eastAsia" w:eastAsia="仿宋"/>
          <w:sz w:val="28"/>
          <w:szCs w:val="28"/>
        </w:rPr>
        <w:t>导热油</w:t>
      </w:r>
      <w:r>
        <w:rPr>
          <w:rFonts w:eastAsia="仿宋"/>
          <w:sz w:val="28"/>
          <w:szCs w:val="28"/>
        </w:rPr>
        <w:t>中有</w:t>
      </w:r>
      <w:r>
        <w:rPr>
          <w:rFonts w:hint="eastAsia" w:eastAsia="仿宋"/>
          <w:sz w:val="28"/>
          <w:szCs w:val="28"/>
        </w:rPr>
        <w:t>3</w:t>
      </w:r>
      <w:r>
        <w:rPr>
          <w:rFonts w:eastAsia="仿宋"/>
          <w:sz w:val="28"/>
          <w:szCs w:val="28"/>
        </w:rPr>
        <w:t>%不完全燃烧生成一氧化碳，燃烧持续时间为2小时。</w:t>
      </w:r>
    </w:p>
    <w:p>
      <w:pPr>
        <w:spacing w:line="500" w:lineRule="exact"/>
        <w:ind w:firstLine="560" w:firstLineChars="200"/>
        <w:rPr>
          <w:rFonts w:eastAsia="仿宋"/>
          <w:sz w:val="28"/>
          <w:szCs w:val="28"/>
        </w:rPr>
      </w:pPr>
      <w:r>
        <w:rPr>
          <w:rFonts w:eastAsia="仿宋"/>
          <w:sz w:val="28"/>
          <w:szCs w:val="28"/>
        </w:rPr>
        <w:t>参照《建设项目环境风险评价技术导则》（HJ169-2018）中油品火灾伴生/次生一氧化碳产生量计算方法为：</w:t>
      </w:r>
    </w:p>
    <w:p>
      <w:pPr>
        <w:spacing w:line="500" w:lineRule="exact"/>
        <w:ind w:firstLine="560" w:firstLineChars="200"/>
        <w:jc w:val="center"/>
        <w:rPr>
          <w:rFonts w:eastAsia="仿宋"/>
          <w:sz w:val="28"/>
          <w:szCs w:val="28"/>
        </w:rPr>
      </w:pPr>
      <w:r>
        <w:rPr>
          <w:rFonts w:eastAsia="仿宋"/>
          <w:i/>
          <w:sz w:val="28"/>
          <w:szCs w:val="28"/>
        </w:rPr>
        <w:t>G</w:t>
      </w:r>
      <w:r>
        <w:rPr>
          <w:rFonts w:eastAsia="仿宋"/>
          <w:sz w:val="28"/>
          <w:szCs w:val="28"/>
          <w:vertAlign w:val="subscript"/>
        </w:rPr>
        <w:t>CO</w:t>
      </w:r>
      <w:r>
        <w:rPr>
          <w:rFonts w:eastAsia="仿宋"/>
          <w:sz w:val="28"/>
          <w:szCs w:val="28"/>
        </w:rPr>
        <w:t>=2330</w:t>
      </w:r>
      <w:r>
        <w:rPr>
          <w:rFonts w:eastAsia="仿宋"/>
          <w:i/>
          <w:sz w:val="28"/>
          <w:szCs w:val="28"/>
        </w:rPr>
        <w:t>qCQ</w:t>
      </w:r>
    </w:p>
    <w:p>
      <w:pPr>
        <w:pStyle w:val="365"/>
        <w:spacing w:line="500" w:lineRule="exact"/>
        <w:ind w:left="992" w:firstLine="0" w:firstLineChars="0"/>
        <w:rPr>
          <w:rFonts w:eastAsia="仿宋"/>
          <w:sz w:val="28"/>
          <w:szCs w:val="28"/>
        </w:rPr>
      </w:pPr>
      <w:r>
        <w:rPr>
          <w:rFonts w:eastAsia="仿宋"/>
          <w:sz w:val="28"/>
          <w:szCs w:val="28"/>
        </w:rPr>
        <w:t>式中：</w:t>
      </w:r>
      <w:r>
        <w:rPr>
          <w:rFonts w:eastAsia="仿宋"/>
          <w:i/>
          <w:sz w:val="28"/>
          <w:szCs w:val="28"/>
        </w:rPr>
        <w:t>G</w:t>
      </w:r>
      <w:r>
        <w:rPr>
          <w:rFonts w:eastAsia="仿宋"/>
          <w:sz w:val="28"/>
          <w:szCs w:val="28"/>
          <w:vertAlign w:val="subscript"/>
        </w:rPr>
        <w:t>CO</w:t>
      </w:r>
      <w:r>
        <w:rPr>
          <w:rFonts w:eastAsia="仿宋"/>
          <w:sz w:val="28"/>
          <w:szCs w:val="28"/>
        </w:rPr>
        <w:t>——一氧化碳的产生量，kg/s；</w:t>
      </w:r>
    </w:p>
    <w:p>
      <w:pPr>
        <w:pStyle w:val="365"/>
        <w:spacing w:line="500" w:lineRule="exact"/>
        <w:ind w:left="992" w:firstLine="0" w:firstLineChars="0"/>
        <w:rPr>
          <w:rFonts w:eastAsia="仿宋"/>
          <w:sz w:val="28"/>
          <w:szCs w:val="28"/>
        </w:rPr>
      </w:pPr>
      <w:r>
        <w:rPr>
          <w:rFonts w:eastAsia="仿宋"/>
          <w:i/>
          <w:sz w:val="28"/>
          <w:szCs w:val="28"/>
        </w:rPr>
        <w:t>C</w:t>
      </w:r>
      <w:r>
        <w:rPr>
          <w:rFonts w:eastAsia="仿宋"/>
          <w:sz w:val="28"/>
          <w:szCs w:val="28"/>
        </w:rPr>
        <w:t>——物质中碳的质量百分比含量，本次评价取6</w:t>
      </w:r>
      <w:r>
        <w:rPr>
          <w:rFonts w:hint="eastAsia" w:eastAsia="仿宋"/>
          <w:sz w:val="28"/>
          <w:szCs w:val="28"/>
        </w:rPr>
        <w:t>0</w:t>
      </w:r>
      <w:r>
        <w:rPr>
          <w:rFonts w:eastAsia="仿宋"/>
          <w:sz w:val="28"/>
          <w:szCs w:val="28"/>
        </w:rPr>
        <w:t>%；</w:t>
      </w:r>
    </w:p>
    <w:p>
      <w:pPr>
        <w:pStyle w:val="365"/>
        <w:spacing w:line="500" w:lineRule="exact"/>
        <w:ind w:left="992" w:firstLine="0" w:firstLineChars="0"/>
        <w:rPr>
          <w:rFonts w:eastAsia="仿宋"/>
          <w:sz w:val="28"/>
          <w:szCs w:val="28"/>
        </w:rPr>
      </w:pPr>
      <w:r>
        <w:rPr>
          <w:rFonts w:eastAsia="仿宋"/>
          <w:i/>
          <w:sz w:val="28"/>
          <w:szCs w:val="28"/>
        </w:rPr>
        <w:t>q</w:t>
      </w:r>
      <w:r>
        <w:rPr>
          <w:rFonts w:eastAsia="仿宋"/>
          <w:sz w:val="28"/>
          <w:szCs w:val="28"/>
        </w:rPr>
        <w:t>——化学不完全燃烧值，取1.5%~6.0%，本次评价取2%；</w:t>
      </w:r>
    </w:p>
    <w:p>
      <w:pPr>
        <w:pStyle w:val="365"/>
        <w:spacing w:line="500" w:lineRule="exact"/>
        <w:ind w:left="992" w:firstLine="0" w:firstLineChars="0"/>
        <w:rPr>
          <w:rFonts w:eastAsia="仿宋"/>
          <w:sz w:val="28"/>
          <w:szCs w:val="28"/>
        </w:rPr>
      </w:pPr>
      <w:r>
        <w:rPr>
          <w:rFonts w:eastAsia="仿宋"/>
          <w:i/>
          <w:sz w:val="28"/>
          <w:szCs w:val="28"/>
        </w:rPr>
        <w:t>Q</w:t>
      </w:r>
      <w:r>
        <w:rPr>
          <w:rFonts w:eastAsia="仿宋"/>
          <w:sz w:val="28"/>
          <w:szCs w:val="28"/>
        </w:rPr>
        <w:t>——参与燃烧的物质量，t/s。经计算，</w:t>
      </w:r>
      <w:r>
        <w:rPr>
          <w:rFonts w:eastAsia="仿宋"/>
          <w:i/>
          <w:sz w:val="28"/>
          <w:szCs w:val="28"/>
        </w:rPr>
        <w:t>Q</w:t>
      </w:r>
      <w:r>
        <w:rPr>
          <w:rFonts w:eastAsia="仿宋"/>
          <w:sz w:val="28"/>
          <w:szCs w:val="28"/>
        </w:rPr>
        <w:t>值为</w:t>
      </w:r>
      <w:r>
        <w:rPr>
          <w:rFonts w:eastAsia="仿宋_GB2312"/>
          <w:kern w:val="0"/>
          <w:sz w:val="28"/>
          <w:szCs w:val="28"/>
        </w:rPr>
        <w:t>0.2t×</w:t>
      </w:r>
      <w:r>
        <w:rPr>
          <w:rFonts w:hint="eastAsia" w:eastAsia="仿宋_GB2312"/>
          <w:kern w:val="0"/>
          <w:sz w:val="28"/>
          <w:szCs w:val="28"/>
        </w:rPr>
        <w:t>10</w:t>
      </w:r>
      <w:r>
        <w:rPr>
          <w:rFonts w:eastAsia="仿宋_GB2312"/>
          <w:kern w:val="0"/>
          <w:sz w:val="28"/>
          <w:szCs w:val="28"/>
        </w:rPr>
        <w:t>%×</w:t>
      </w:r>
      <w:r>
        <w:rPr>
          <w:rFonts w:hint="eastAsia" w:eastAsia="仿宋_GB2312"/>
          <w:kern w:val="0"/>
          <w:sz w:val="28"/>
          <w:szCs w:val="28"/>
        </w:rPr>
        <w:t>3</w:t>
      </w:r>
      <w:r>
        <w:rPr>
          <w:rFonts w:eastAsia="仿宋_GB2312"/>
          <w:kern w:val="0"/>
          <w:sz w:val="28"/>
          <w:szCs w:val="28"/>
        </w:rPr>
        <w:t>%/（</w:t>
      </w:r>
      <w:r>
        <w:rPr>
          <w:rFonts w:hint="eastAsia" w:eastAsia="仿宋_GB2312"/>
          <w:kern w:val="0"/>
          <w:sz w:val="28"/>
          <w:szCs w:val="28"/>
        </w:rPr>
        <w:t>2</w:t>
      </w:r>
      <w:r>
        <w:rPr>
          <w:rFonts w:eastAsia="仿宋_GB2312"/>
          <w:kern w:val="0"/>
          <w:sz w:val="28"/>
          <w:szCs w:val="28"/>
        </w:rPr>
        <w:t>×3600）=8.3</w:t>
      </w:r>
      <w:r>
        <w:rPr>
          <w:rFonts w:hint="eastAsia" w:eastAsia="仿宋_GB2312"/>
          <w:kern w:val="0"/>
          <w:sz w:val="28"/>
          <w:szCs w:val="28"/>
        </w:rPr>
        <w:t>*10</w:t>
      </w:r>
      <w:r>
        <w:rPr>
          <w:rFonts w:hint="eastAsia" w:eastAsia="仿宋_GB2312"/>
          <w:kern w:val="0"/>
          <w:sz w:val="28"/>
          <w:szCs w:val="28"/>
          <w:vertAlign w:val="superscript"/>
        </w:rPr>
        <w:t>-</w:t>
      </w:r>
      <w:r>
        <w:rPr>
          <w:rFonts w:eastAsia="仿宋_GB2312"/>
          <w:kern w:val="0"/>
          <w:sz w:val="28"/>
          <w:szCs w:val="28"/>
          <w:vertAlign w:val="superscript"/>
        </w:rPr>
        <w:t>8</w:t>
      </w:r>
      <w:r>
        <w:rPr>
          <w:rFonts w:eastAsia="仿宋_GB2312"/>
          <w:kern w:val="0"/>
          <w:sz w:val="28"/>
          <w:szCs w:val="28"/>
        </w:rPr>
        <w:t>t/s</w:t>
      </w:r>
      <w:r>
        <w:rPr>
          <w:rFonts w:eastAsia="仿宋"/>
          <w:sz w:val="28"/>
          <w:szCs w:val="28"/>
        </w:rPr>
        <w:t>。</w:t>
      </w:r>
    </w:p>
    <w:p>
      <w:pPr>
        <w:autoSpaceDE w:val="0"/>
        <w:autoSpaceDN w:val="0"/>
        <w:adjustRightInd w:val="0"/>
        <w:spacing w:line="500" w:lineRule="exact"/>
        <w:ind w:left="567"/>
        <w:rPr>
          <w:rFonts w:eastAsia="仿宋_GB2312"/>
          <w:kern w:val="0"/>
          <w:sz w:val="28"/>
          <w:szCs w:val="28"/>
        </w:rPr>
      </w:pPr>
      <w:r>
        <w:rPr>
          <w:rFonts w:eastAsia="仿宋_GB2312"/>
          <w:kern w:val="0"/>
          <w:sz w:val="28"/>
          <w:szCs w:val="28"/>
        </w:rPr>
        <w:t>则泄漏发生火灾次生CO释放速率为：</w:t>
      </w:r>
    </w:p>
    <w:p>
      <w:pPr>
        <w:pStyle w:val="365"/>
        <w:autoSpaceDE w:val="0"/>
        <w:autoSpaceDN w:val="0"/>
        <w:adjustRightInd w:val="0"/>
        <w:spacing w:line="500" w:lineRule="exact"/>
        <w:ind w:left="992" w:firstLine="0" w:firstLineChars="0"/>
        <w:rPr>
          <w:rFonts w:eastAsia="仿宋_GB2312"/>
          <w:kern w:val="0"/>
          <w:sz w:val="28"/>
          <w:szCs w:val="28"/>
        </w:rPr>
      </w:pPr>
      <w:r>
        <w:rPr>
          <w:rFonts w:eastAsia="仿宋_GB2312"/>
          <w:kern w:val="0"/>
          <w:sz w:val="28"/>
          <w:szCs w:val="28"/>
        </w:rPr>
        <w:t>2330×</w:t>
      </w:r>
      <w:r>
        <w:rPr>
          <w:rFonts w:hint="eastAsia" w:eastAsia="仿宋_GB2312"/>
          <w:kern w:val="0"/>
          <w:sz w:val="28"/>
          <w:szCs w:val="28"/>
        </w:rPr>
        <w:t>2</w:t>
      </w:r>
      <w:r>
        <w:rPr>
          <w:rFonts w:eastAsia="仿宋_GB2312"/>
          <w:kern w:val="0"/>
          <w:sz w:val="28"/>
          <w:szCs w:val="28"/>
        </w:rPr>
        <w:t>%×60%×8</w:t>
      </w:r>
      <w:r>
        <w:rPr>
          <w:rFonts w:hint="eastAsia" w:eastAsia="仿宋_GB2312"/>
          <w:kern w:val="0"/>
          <w:sz w:val="28"/>
          <w:szCs w:val="28"/>
        </w:rPr>
        <w:t>.</w:t>
      </w:r>
      <w:r>
        <w:rPr>
          <w:rFonts w:eastAsia="仿宋_GB2312"/>
          <w:kern w:val="0"/>
          <w:sz w:val="28"/>
          <w:szCs w:val="28"/>
        </w:rPr>
        <w:t>3</w:t>
      </w:r>
      <w:r>
        <w:rPr>
          <w:rFonts w:hint="eastAsia" w:eastAsia="仿宋_GB2312"/>
          <w:kern w:val="0"/>
          <w:sz w:val="28"/>
          <w:szCs w:val="28"/>
        </w:rPr>
        <w:t>*10</w:t>
      </w:r>
      <w:r>
        <w:rPr>
          <w:rFonts w:hint="eastAsia" w:eastAsia="仿宋_GB2312"/>
          <w:kern w:val="0"/>
          <w:sz w:val="28"/>
          <w:szCs w:val="28"/>
          <w:vertAlign w:val="superscript"/>
        </w:rPr>
        <w:t>-</w:t>
      </w:r>
      <w:r>
        <w:rPr>
          <w:rFonts w:eastAsia="仿宋_GB2312"/>
          <w:kern w:val="0"/>
          <w:sz w:val="28"/>
          <w:szCs w:val="28"/>
          <w:vertAlign w:val="superscript"/>
        </w:rPr>
        <w:t>8</w:t>
      </w:r>
      <w:r>
        <w:rPr>
          <w:rFonts w:eastAsia="仿宋_GB2312"/>
          <w:kern w:val="0"/>
          <w:sz w:val="28"/>
          <w:szCs w:val="28"/>
        </w:rPr>
        <w:t>=2.3</w:t>
      </w:r>
      <w:r>
        <w:rPr>
          <w:rFonts w:hint="eastAsia" w:eastAsia="仿宋_GB2312"/>
          <w:kern w:val="0"/>
          <w:sz w:val="28"/>
          <w:szCs w:val="28"/>
        </w:rPr>
        <w:t>*10</w:t>
      </w:r>
      <w:r>
        <w:rPr>
          <w:rFonts w:hint="eastAsia" w:eastAsia="仿宋_GB2312"/>
          <w:kern w:val="0"/>
          <w:sz w:val="28"/>
          <w:szCs w:val="28"/>
          <w:vertAlign w:val="superscript"/>
        </w:rPr>
        <w:t>-</w:t>
      </w:r>
      <w:r>
        <w:rPr>
          <w:rFonts w:eastAsia="仿宋_GB2312"/>
          <w:kern w:val="0"/>
          <w:sz w:val="28"/>
          <w:szCs w:val="28"/>
          <w:vertAlign w:val="superscript"/>
        </w:rPr>
        <w:t>6</w:t>
      </w:r>
      <w:r>
        <w:rPr>
          <w:rFonts w:eastAsia="仿宋_GB2312"/>
          <w:kern w:val="0"/>
          <w:sz w:val="28"/>
          <w:szCs w:val="28"/>
        </w:rPr>
        <w:t>kg/s</w:t>
      </w:r>
    </w:p>
    <w:p>
      <w:pPr>
        <w:keepNext/>
        <w:numPr>
          <w:ilvl w:val="2"/>
          <w:numId w:val="1"/>
        </w:numPr>
        <w:tabs>
          <w:tab w:val="left" w:pos="709"/>
        </w:tabs>
        <w:spacing w:after="120" w:afterLines="50" w:line="500" w:lineRule="exact"/>
        <w:ind w:left="0" w:firstLine="0"/>
        <w:outlineLvl w:val="2"/>
        <w:rPr>
          <w:rFonts w:eastAsia="仿宋_GB2312"/>
          <w:bCs/>
          <w:sz w:val="32"/>
          <w:szCs w:val="32"/>
        </w:rPr>
      </w:pPr>
      <w:r>
        <w:rPr>
          <w:rFonts w:hint="eastAsia" w:eastAsia="仿宋_GB2312"/>
          <w:b/>
          <w:sz w:val="28"/>
          <w:szCs w:val="28"/>
        </w:rPr>
        <w:t>风险预测与评价</w:t>
      </w:r>
    </w:p>
    <w:p>
      <w:pPr>
        <w:keepNext/>
        <w:widowControl/>
        <w:numPr>
          <w:ilvl w:val="3"/>
          <w:numId w:val="1"/>
        </w:numPr>
        <w:adjustRightInd w:val="0"/>
        <w:snapToGrid w:val="0"/>
        <w:spacing w:after="120" w:afterLines="50" w:line="500" w:lineRule="exact"/>
        <w:ind w:left="0" w:firstLine="0"/>
        <w:jc w:val="left"/>
        <w:outlineLvl w:val="3"/>
        <w:rPr>
          <w:rFonts w:eastAsia="仿宋_GB2312"/>
          <w:b/>
          <w:bCs/>
          <w:sz w:val="28"/>
          <w:szCs w:val="28"/>
        </w:rPr>
      </w:pPr>
      <w:r>
        <w:rPr>
          <w:rFonts w:hint="eastAsia" w:eastAsia="仿宋_GB2312"/>
          <w:b/>
          <w:bCs/>
          <w:sz w:val="28"/>
          <w:szCs w:val="28"/>
        </w:rPr>
        <w:t>有毒有害物质在大气中的扩散</w:t>
      </w:r>
    </w:p>
    <w:p>
      <w:pPr>
        <w:numPr>
          <w:ilvl w:val="0"/>
          <w:numId w:val="16"/>
        </w:numPr>
        <w:spacing w:line="500" w:lineRule="exact"/>
        <w:ind w:firstLine="560" w:firstLineChars="200"/>
        <w:rPr>
          <w:rFonts w:eastAsia="仿宋_GB2312"/>
          <w:sz w:val="28"/>
          <w:szCs w:val="28"/>
        </w:rPr>
      </w:pPr>
      <w:r>
        <w:rPr>
          <w:rFonts w:hint="eastAsia" w:eastAsia="仿宋_GB2312"/>
          <w:sz w:val="28"/>
          <w:szCs w:val="28"/>
        </w:rPr>
        <w:t>预测模型</w:t>
      </w:r>
    </w:p>
    <w:p>
      <w:pPr>
        <w:snapToGrid w:val="0"/>
        <w:spacing w:line="500" w:lineRule="exact"/>
        <w:ind w:firstLine="560" w:firstLineChars="200"/>
        <w:rPr>
          <w:rFonts w:eastAsia="仿宋_GB2312"/>
          <w:sz w:val="28"/>
          <w:szCs w:val="28"/>
        </w:rPr>
      </w:pPr>
      <w:r>
        <w:rPr>
          <w:rFonts w:eastAsia="仿宋_GB2312"/>
          <w:sz w:val="28"/>
          <w:szCs w:val="28"/>
        </w:rPr>
        <w:t>根据理查德森数（Ri）作为标准判断选择SLAB模型或AFTOX模型进行预测。根据连续排放或瞬时排放的判定，本项目为连续排放，其中</w:t>
      </w:r>
      <w:r>
        <w:rPr>
          <w:rFonts w:hint="eastAsia" w:eastAsia="仿宋_GB2312"/>
          <w:sz w:val="28"/>
          <w:szCs w:val="28"/>
        </w:rPr>
        <w:t>二甲苯、乙酸乙酯、</w:t>
      </w:r>
      <w:r>
        <w:rPr>
          <w:rFonts w:eastAsia="仿宋_GB2312"/>
          <w:sz w:val="28"/>
          <w:szCs w:val="28"/>
        </w:rPr>
        <w:t>CO的Ri小于1/6，选用AFTOX模型进行预测。</w:t>
      </w:r>
    </w:p>
    <w:p>
      <w:pPr>
        <w:numPr>
          <w:ilvl w:val="0"/>
          <w:numId w:val="16"/>
        </w:numPr>
        <w:spacing w:line="500" w:lineRule="exact"/>
        <w:ind w:firstLine="560" w:firstLineChars="200"/>
        <w:rPr>
          <w:rFonts w:eastAsia="仿宋_GB2312"/>
          <w:sz w:val="28"/>
          <w:szCs w:val="28"/>
        </w:rPr>
      </w:pPr>
      <w:r>
        <w:rPr>
          <w:rFonts w:hint="eastAsia" w:eastAsia="仿宋_GB2312"/>
          <w:sz w:val="28"/>
          <w:szCs w:val="28"/>
        </w:rPr>
        <w:t>预测范围与计算点</w:t>
      </w:r>
    </w:p>
    <w:p>
      <w:pPr>
        <w:snapToGrid w:val="0"/>
        <w:spacing w:line="500" w:lineRule="exact"/>
        <w:ind w:firstLine="560" w:firstLineChars="200"/>
        <w:rPr>
          <w:rFonts w:eastAsia="仿宋_GB2312"/>
          <w:sz w:val="28"/>
          <w:szCs w:val="28"/>
        </w:rPr>
      </w:pPr>
      <w:r>
        <w:rPr>
          <w:rFonts w:eastAsia="仿宋_GB2312"/>
          <w:sz w:val="28"/>
          <w:szCs w:val="28"/>
        </w:rPr>
        <w:t>（1）预测范围</w:t>
      </w:r>
    </w:p>
    <w:p>
      <w:pPr>
        <w:snapToGrid w:val="0"/>
        <w:spacing w:line="500" w:lineRule="exact"/>
        <w:ind w:firstLine="560" w:firstLineChars="200"/>
        <w:rPr>
          <w:rFonts w:eastAsia="仿宋_GB2312"/>
          <w:sz w:val="28"/>
          <w:szCs w:val="28"/>
        </w:rPr>
      </w:pPr>
      <w:r>
        <w:rPr>
          <w:rFonts w:eastAsia="仿宋_GB2312"/>
          <w:sz w:val="28"/>
          <w:szCs w:val="28"/>
        </w:rPr>
        <w:t>由预测模型计算获取，但不超过10km。</w:t>
      </w:r>
    </w:p>
    <w:p>
      <w:pPr>
        <w:snapToGrid w:val="0"/>
        <w:spacing w:line="500" w:lineRule="exact"/>
        <w:ind w:firstLine="560" w:firstLineChars="200"/>
        <w:rPr>
          <w:rFonts w:eastAsia="仿宋_GB2312"/>
          <w:sz w:val="28"/>
          <w:szCs w:val="28"/>
        </w:rPr>
      </w:pPr>
      <w:r>
        <w:rPr>
          <w:rFonts w:eastAsia="仿宋_GB2312"/>
          <w:sz w:val="28"/>
          <w:szCs w:val="28"/>
        </w:rPr>
        <w:t>（2）计算点</w:t>
      </w:r>
    </w:p>
    <w:p>
      <w:pPr>
        <w:snapToGrid w:val="0"/>
        <w:spacing w:line="500" w:lineRule="exact"/>
        <w:ind w:firstLine="560" w:firstLineChars="200"/>
        <w:rPr>
          <w:rFonts w:eastAsia="仿宋_GB2312"/>
          <w:sz w:val="28"/>
          <w:szCs w:val="28"/>
        </w:rPr>
      </w:pPr>
      <w:r>
        <w:rPr>
          <w:rFonts w:eastAsia="仿宋_GB2312"/>
          <w:sz w:val="28"/>
          <w:szCs w:val="28"/>
        </w:rPr>
        <w:t>包括特殊计算点和一般计算点。特殊计算点指大气环境敏感目标等关心点（具体见下表），一般计算点指下风向不同距离点，步长取50m。</w:t>
      </w:r>
    </w:p>
    <w:p>
      <w:pPr>
        <w:adjustRightInd w:val="0"/>
        <w:snapToGrid w:val="0"/>
        <w:spacing w:line="500" w:lineRule="exact"/>
        <w:jc w:val="center"/>
        <w:rPr>
          <w:rFonts w:eastAsia="仿宋_GB2312"/>
          <w:b/>
          <w:sz w:val="24"/>
        </w:rPr>
      </w:pPr>
      <w:r>
        <w:rPr>
          <w:rFonts w:eastAsia="仿宋_GB2312"/>
          <w:b/>
          <w:sz w:val="24"/>
        </w:rPr>
        <w:t>表5.3-25  大气环境敏感目标</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6"/>
        <w:gridCol w:w="1982"/>
        <w:gridCol w:w="1080"/>
        <w:gridCol w:w="1456"/>
        <w:gridCol w:w="1018"/>
        <w:gridCol w:w="1022"/>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508" w:type="pct"/>
            <w:vAlign w:val="center"/>
          </w:tcPr>
          <w:p>
            <w:pPr>
              <w:pStyle w:val="448"/>
              <w:spacing w:line="320" w:lineRule="exact"/>
              <w:rPr>
                <w:rFonts w:ascii="仿宋" w:hAnsi="仿宋" w:eastAsia="仿宋"/>
                <w:bCs/>
              </w:rPr>
            </w:pPr>
            <w:r>
              <w:rPr>
                <w:rFonts w:ascii="仿宋" w:hAnsi="仿宋" w:eastAsia="仿宋"/>
                <w:bCs/>
              </w:rPr>
              <w:t>环境要素</w:t>
            </w:r>
          </w:p>
        </w:tc>
        <w:tc>
          <w:tcPr>
            <w:tcW w:w="1162" w:type="pct"/>
            <w:vAlign w:val="center"/>
          </w:tcPr>
          <w:p>
            <w:pPr>
              <w:pStyle w:val="448"/>
              <w:spacing w:line="320" w:lineRule="exact"/>
              <w:rPr>
                <w:rFonts w:ascii="仿宋" w:hAnsi="仿宋" w:eastAsia="仿宋"/>
              </w:rPr>
            </w:pPr>
            <w:r>
              <w:rPr>
                <w:rFonts w:ascii="仿宋" w:hAnsi="仿宋" w:eastAsia="仿宋"/>
                <w:bCs/>
              </w:rPr>
              <w:t>名称</w:t>
            </w:r>
          </w:p>
        </w:tc>
        <w:tc>
          <w:tcPr>
            <w:tcW w:w="633" w:type="pct"/>
            <w:vAlign w:val="center"/>
          </w:tcPr>
          <w:p>
            <w:pPr>
              <w:pStyle w:val="448"/>
              <w:spacing w:line="320" w:lineRule="exact"/>
              <w:rPr>
                <w:rFonts w:ascii="仿宋" w:hAnsi="仿宋" w:eastAsia="仿宋"/>
              </w:rPr>
            </w:pPr>
            <w:r>
              <w:rPr>
                <w:rFonts w:ascii="仿宋" w:hAnsi="仿宋" w:eastAsia="仿宋"/>
              </w:rPr>
              <w:t>保护对象</w:t>
            </w:r>
          </w:p>
        </w:tc>
        <w:tc>
          <w:tcPr>
            <w:tcW w:w="854" w:type="pct"/>
            <w:vAlign w:val="center"/>
          </w:tcPr>
          <w:p>
            <w:pPr>
              <w:pStyle w:val="448"/>
              <w:spacing w:line="320" w:lineRule="exact"/>
              <w:rPr>
                <w:rFonts w:ascii="仿宋" w:hAnsi="仿宋" w:eastAsia="仿宋"/>
              </w:rPr>
            </w:pPr>
            <w:r>
              <w:rPr>
                <w:rFonts w:ascii="仿宋" w:hAnsi="仿宋" w:eastAsia="仿宋"/>
              </w:rPr>
              <w:t>保护内容</w:t>
            </w:r>
            <w:r>
              <w:rPr>
                <w:rFonts w:hint="eastAsia" w:ascii="仿宋" w:hAnsi="仿宋" w:eastAsia="仿宋"/>
              </w:rPr>
              <w:t>/人</w:t>
            </w:r>
          </w:p>
        </w:tc>
        <w:tc>
          <w:tcPr>
            <w:tcW w:w="597" w:type="pct"/>
            <w:vAlign w:val="center"/>
          </w:tcPr>
          <w:p>
            <w:pPr>
              <w:pStyle w:val="448"/>
              <w:spacing w:line="320" w:lineRule="exact"/>
              <w:rPr>
                <w:rFonts w:ascii="仿宋" w:hAnsi="仿宋" w:eastAsia="仿宋"/>
              </w:rPr>
            </w:pPr>
            <w:r>
              <w:rPr>
                <w:rFonts w:ascii="仿宋" w:hAnsi="仿宋" w:eastAsia="仿宋"/>
              </w:rPr>
              <w:t>环境功能区</w:t>
            </w:r>
          </w:p>
        </w:tc>
        <w:tc>
          <w:tcPr>
            <w:tcW w:w="599" w:type="pct"/>
            <w:vAlign w:val="center"/>
          </w:tcPr>
          <w:p>
            <w:pPr>
              <w:pStyle w:val="448"/>
              <w:spacing w:line="320" w:lineRule="exact"/>
              <w:rPr>
                <w:rFonts w:ascii="仿宋" w:hAnsi="仿宋" w:eastAsia="仿宋"/>
              </w:rPr>
            </w:pPr>
            <w:r>
              <w:rPr>
                <w:rFonts w:ascii="仿宋" w:hAnsi="仿宋" w:eastAsia="仿宋"/>
              </w:rPr>
              <w:t>相对厂址方向</w:t>
            </w:r>
          </w:p>
        </w:tc>
        <w:tc>
          <w:tcPr>
            <w:tcW w:w="644" w:type="pct"/>
            <w:vAlign w:val="center"/>
          </w:tcPr>
          <w:p>
            <w:pPr>
              <w:pStyle w:val="448"/>
              <w:spacing w:line="320" w:lineRule="exact"/>
              <w:rPr>
                <w:rFonts w:ascii="仿宋" w:hAnsi="仿宋" w:eastAsia="仿宋"/>
              </w:rPr>
            </w:pPr>
            <w:r>
              <w:rPr>
                <w:rFonts w:ascii="仿宋" w:hAnsi="仿宋" w:eastAsia="仿宋"/>
              </w:rPr>
              <w:t>相对厂界距离/m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508" w:type="pct"/>
            <w:vMerge w:val="restart"/>
            <w:vAlign w:val="center"/>
          </w:tcPr>
          <w:p>
            <w:pPr>
              <w:widowControl/>
              <w:spacing w:line="320" w:lineRule="exact"/>
              <w:jc w:val="center"/>
              <w:rPr>
                <w:rFonts w:ascii="仿宋" w:hAnsi="仿宋" w:eastAsia="仿宋"/>
              </w:rPr>
            </w:pPr>
            <w:r>
              <w:rPr>
                <w:rFonts w:ascii="仿宋" w:hAnsi="仿宋" w:eastAsia="仿宋"/>
              </w:rPr>
              <w:t>大气环境</w:t>
            </w:r>
          </w:p>
        </w:tc>
        <w:tc>
          <w:tcPr>
            <w:tcW w:w="1162" w:type="pct"/>
            <w:vAlign w:val="center"/>
          </w:tcPr>
          <w:p>
            <w:pPr>
              <w:widowControl/>
              <w:spacing w:line="320" w:lineRule="exact"/>
              <w:jc w:val="center"/>
              <w:rPr>
                <w:rFonts w:ascii="仿宋" w:hAnsi="仿宋" w:eastAsia="仿宋"/>
              </w:rPr>
            </w:pPr>
            <w:r>
              <w:rPr>
                <w:rFonts w:hint="eastAsia" w:ascii="仿宋" w:hAnsi="仿宋" w:eastAsia="仿宋"/>
                <w:bCs/>
                <w:szCs w:val="21"/>
              </w:rPr>
              <w:t>元巷小区</w:t>
            </w:r>
          </w:p>
        </w:tc>
        <w:tc>
          <w:tcPr>
            <w:tcW w:w="633" w:type="pct"/>
            <w:vAlign w:val="center"/>
          </w:tcPr>
          <w:p>
            <w:pPr>
              <w:spacing w:line="320" w:lineRule="exact"/>
              <w:jc w:val="center"/>
              <w:rPr>
                <w:rFonts w:ascii="仿宋" w:hAnsi="仿宋" w:eastAsia="仿宋"/>
              </w:rPr>
            </w:pPr>
            <w:r>
              <w:rPr>
                <w:rFonts w:hint="eastAsia" w:ascii="仿宋" w:hAnsi="仿宋" w:eastAsia="仿宋"/>
              </w:rPr>
              <w:t>居住区</w:t>
            </w:r>
          </w:p>
        </w:tc>
        <w:tc>
          <w:tcPr>
            <w:tcW w:w="854" w:type="pct"/>
            <w:vAlign w:val="center"/>
          </w:tcPr>
          <w:p>
            <w:pPr>
              <w:widowControl/>
              <w:spacing w:line="320" w:lineRule="exact"/>
              <w:jc w:val="center"/>
              <w:rPr>
                <w:rFonts w:ascii="仿宋" w:hAnsi="仿宋" w:eastAsia="仿宋"/>
              </w:rPr>
            </w:pPr>
            <w:r>
              <w:rPr>
                <w:rFonts w:hint="eastAsia" w:ascii="仿宋" w:hAnsi="仿宋" w:eastAsia="仿宋"/>
                <w:bCs/>
                <w:szCs w:val="21"/>
              </w:rPr>
              <w:t>2000</w:t>
            </w:r>
          </w:p>
        </w:tc>
        <w:tc>
          <w:tcPr>
            <w:tcW w:w="597" w:type="pct"/>
            <w:vAlign w:val="center"/>
          </w:tcPr>
          <w:p>
            <w:pPr>
              <w:spacing w:line="320" w:lineRule="exact"/>
              <w:jc w:val="center"/>
              <w:rPr>
                <w:rFonts w:ascii="仿宋" w:hAnsi="仿宋" w:eastAsia="仿宋"/>
              </w:rPr>
            </w:pPr>
            <w:r>
              <w:rPr>
                <w:rFonts w:ascii="仿宋" w:hAnsi="仿宋" w:eastAsia="仿宋"/>
                <w:bCs/>
                <w:kern w:val="0"/>
                <w:szCs w:val="21"/>
                <w:lang w:val="zh-CN"/>
              </w:rPr>
              <w:t>二类区</w:t>
            </w:r>
          </w:p>
        </w:tc>
        <w:tc>
          <w:tcPr>
            <w:tcW w:w="599" w:type="pct"/>
            <w:vAlign w:val="center"/>
          </w:tcPr>
          <w:p>
            <w:pPr>
              <w:adjustRightInd w:val="0"/>
              <w:snapToGrid w:val="0"/>
              <w:spacing w:line="320" w:lineRule="exact"/>
              <w:jc w:val="center"/>
              <w:rPr>
                <w:rFonts w:ascii="仿宋" w:hAnsi="仿宋" w:eastAsia="仿宋"/>
              </w:rPr>
            </w:pPr>
            <w:r>
              <w:rPr>
                <w:rFonts w:hint="eastAsia" w:ascii="仿宋" w:hAnsi="仿宋" w:eastAsia="仿宋"/>
                <w:bCs/>
                <w:szCs w:val="21"/>
              </w:rPr>
              <w:t>WS</w:t>
            </w:r>
          </w:p>
        </w:tc>
        <w:tc>
          <w:tcPr>
            <w:tcW w:w="644" w:type="pct"/>
            <w:vAlign w:val="center"/>
          </w:tcPr>
          <w:p>
            <w:pPr>
              <w:adjustRightInd w:val="0"/>
              <w:snapToGrid w:val="0"/>
              <w:spacing w:line="320" w:lineRule="exact"/>
              <w:jc w:val="center"/>
              <w:rPr>
                <w:rFonts w:ascii="仿宋" w:hAnsi="仿宋" w:eastAsia="仿宋"/>
              </w:rPr>
            </w:pPr>
            <w:r>
              <w:rPr>
                <w:rFonts w:hint="eastAsia" w:ascii="仿宋" w:hAnsi="仿宋" w:eastAsia="仿宋"/>
                <w:bCs/>
                <w:szCs w:val="21"/>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508" w:type="pct"/>
            <w:vMerge w:val="continue"/>
            <w:vAlign w:val="center"/>
          </w:tcPr>
          <w:p>
            <w:pPr>
              <w:widowControl/>
              <w:spacing w:line="320" w:lineRule="exact"/>
              <w:jc w:val="center"/>
              <w:rPr>
                <w:rFonts w:ascii="仿宋" w:hAnsi="仿宋" w:eastAsia="仿宋"/>
              </w:rPr>
            </w:pPr>
          </w:p>
        </w:tc>
        <w:tc>
          <w:tcPr>
            <w:tcW w:w="1162" w:type="pct"/>
            <w:vAlign w:val="center"/>
          </w:tcPr>
          <w:p>
            <w:pPr>
              <w:widowControl/>
              <w:spacing w:line="320" w:lineRule="exact"/>
              <w:jc w:val="center"/>
              <w:rPr>
                <w:rFonts w:ascii="仿宋" w:hAnsi="仿宋" w:eastAsia="仿宋"/>
                <w:bCs/>
                <w:spacing w:val="10"/>
                <w:szCs w:val="21"/>
              </w:rPr>
            </w:pPr>
            <w:r>
              <w:rPr>
                <w:rFonts w:hint="eastAsia" w:ascii="仿宋" w:hAnsi="仿宋" w:eastAsia="仿宋"/>
                <w:bCs/>
                <w:szCs w:val="21"/>
              </w:rPr>
              <w:t>金城镇中心幼儿园</w:t>
            </w:r>
          </w:p>
        </w:tc>
        <w:tc>
          <w:tcPr>
            <w:tcW w:w="633" w:type="pct"/>
            <w:vAlign w:val="center"/>
          </w:tcPr>
          <w:p>
            <w:pPr>
              <w:spacing w:line="320" w:lineRule="exact"/>
              <w:jc w:val="center"/>
              <w:rPr>
                <w:rFonts w:ascii="仿宋" w:hAnsi="仿宋" w:eastAsia="仿宋"/>
              </w:rPr>
            </w:pPr>
            <w:r>
              <w:rPr>
                <w:rFonts w:hint="eastAsia" w:ascii="仿宋" w:hAnsi="仿宋" w:eastAsia="仿宋"/>
              </w:rPr>
              <w:t>学校</w:t>
            </w:r>
          </w:p>
        </w:tc>
        <w:tc>
          <w:tcPr>
            <w:tcW w:w="854" w:type="pct"/>
            <w:vAlign w:val="center"/>
          </w:tcPr>
          <w:p>
            <w:pPr>
              <w:widowControl/>
              <w:spacing w:line="320" w:lineRule="exact"/>
              <w:jc w:val="center"/>
              <w:rPr>
                <w:rFonts w:ascii="仿宋" w:hAnsi="仿宋" w:eastAsia="仿宋"/>
                <w:spacing w:val="10"/>
                <w:szCs w:val="21"/>
              </w:rPr>
            </w:pPr>
            <w:r>
              <w:rPr>
                <w:rFonts w:hint="eastAsia" w:ascii="仿宋" w:hAnsi="仿宋" w:eastAsia="仿宋"/>
                <w:bCs/>
                <w:szCs w:val="21"/>
              </w:rPr>
              <w:t>1000</w:t>
            </w:r>
          </w:p>
        </w:tc>
        <w:tc>
          <w:tcPr>
            <w:tcW w:w="597" w:type="pct"/>
            <w:vAlign w:val="center"/>
          </w:tcPr>
          <w:p>
            <w:pPr>
              <w:spacing w:line="320" w:lineRule="exact"/>
              <w:jc w:val="center"/>
              <w:rPr>
                <w:rFonts w:ascii="仿宋" w:hAnsi="仿宋" w:eastAsia="仿宋"/>
                <w:bCs/>
              </w:rPr>
            </w:pPr>
            <w:r>
              <w:rPr>
                <w:rFonts w:ascii="仿宋" w:hAnsi="仿宋" w:eastAsia="仿宋"/>
                <w:bCs/>
                <w:kern w:val="0"/>
                <w:szCs w:val="21"/>
                <w:lang w:val="zh-CN"/>
              </w:rPr>
              <w:t>二类区</w:t>
            </w:r>
          </w:p>
        </w:tc>
        <w:tc>
          <w:tcPr>
            <w:tcW w:w="599" w:type="pct"/>
            <w:vAlign w:val="center"/>
          </w:tcPr>
          <w:p>
            <w:pPr>
              <w:adjustRightInd w:val="0"/>
              <w:snapToGrid w:val="0"/>
              <w:spacing w:line="320" w:lineRule="exact"/>
              <w:jc w:val="center"/>
              <w:rPr>
                <w:rFonts w:ascii="仿宋" w:hAnsi="仿宋" w:eastAsia="仿宋"/>
                <w:spacing w:val="10"/>
                <w:szCs w:val="21"/>
              </w:rPr>
            </w:pPr>
            <w:r>
              <w:rPr>
                <w:rFonts w:hint="eastAsia" w:ascii="仿宋" w:hAnsi="仿宋" w:eastAsia="仿宋"/>
                <w:bCs/>
                <w:szCs w:val="21"/>
              </w:rPr>
              <w:t>S</w:t>
            </w:r>
          </w:p>
        </w:tc>
        <w:tc>
          <w:tcPr>
            <w:tcW w:w="644" w:type="pct"/>
            <w:vAlign w:val="center"/>
          </w:tcPr>
          <w:p>
            <w:pPr>
              <w:adjustRightInd w:val="0"/>
              <w:snapToGrid w:val="0"/>
              <w:spacing w:line="320" w:lineRule="exact"/>
              <w:jc w:val="center"/>
              <w:rPr>
                <w:rFonts w:ascii="仿宋" w:hAnsi="仿宋" w:eastAsia="仿宋"/>
                <w:spacing w:val="10"/>
                <w:szCs w:val="21"/>
              </w:rPr>
            </w:pPr>
            <w:r>
              <w:rPr>
                <w:rFonts w:hint="eastAsia" w:ascii="仿宋" w:hAnsi="仿宋" w:eastAsia="仿宋"/>
                <w:bCs/>
                <w:szCs w:val="21"/>
              </w:rPr>
              <w:t>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8" w:type="pct"/>
            <w:vMerge w:val="continue"/>
            <w:vAlign w:val="center"/>
          </w:tcPr>
          <w:p>
            <w:pPr>
              <w:widowControl/>
              <w:spacing w:line="320" w:lineRule="exact"/>
              <w:jc w:val="center"/>
              <w:rPr>
                <w:rFonts w:ascii="仿宋" w:hAnsi="仿宋" w:eastAsia="仿宋"/>
              </w:rPr>
            </w:pPr>
          </w:p>
        </w:tc>
        <w:tc>
          <w:tcPr>
            <w:tcW w:w="1162" w:type="pct"/>
            <w:vAlign w:val="center"/>
          </w:tcPr>
          <w:p>
            <w:pPr>
              <w:widowControl/>
              <w:spacing w:line="320" w:lineRule="exact"/>
              <w:jc w:val="center"/>
              <w:rPr>
                <w:rFonts w:ascii="仿宋" w:hAnsi="仿宋" w:eastAsia="仿宋"/>
              </w:rPr>
            </w:pPr>
            <w:r>
              <w:rPr>
                <w:rFonts w:hint="eastAsia" w:ascii="仿宋" w:hAnsi="仿宋" w:eastAsia="仿宋"/>
                <w:bCs/>
                <w:szCs w:val="21"/>
              </w:rPr>
              <w:t>元巷新村</w:t>
            </w:r>
          </w:p>
        </w:tc>
        <w:tc>
          <w:tcPr>
            <w:tcW w:w="633" w:type="pct"/>
            <w:vAlign w:val="center"/>
          </w:tcPr>
          <w:p>
            <w:pPr>
              <w:widowControl/>
              <w:spacing w:line="320" w:lineRule="exact"/>
              <w:jc w:val="center"/>
              <w:rPr>
                <w:rFonts w:ascii="仿宋" w:hAnsi="仿宋" w:eastAsia="仿宋"/>
                <w:bCs/>
              </w:rPr>
            </w:pPr>
            <w:r>
              <w:rPr>
                <w:rFonts w:hint="eastAsia" w:ascii="仿宋" w:hAnsi="仿宋" w:eastAsia="仿宋"/>
              </w:rPr>
              <w:t>居住区</w:t>
            </w:r>
          </w:p>
        </w:tc>
        <w:tc>
          <w:tcPr>
            <w:tcW w:w="854" w:type="pct"/>
            <w:vAlign w:val="center"/>
          </w:tcPr>
          <w:p>
            <w:pPr>
              <w:spacing w:line="300" w:lineRule="exact"/>
              <w:jc w:val="center"/>
              <w:rPr>
                <w:rFonts w:ascii="仿宋" w:hAnsi="仿宋" w:eastAsia="仿宋"/>
                <w:spacing w:val="10"/>
                <w:szCs w:val="21"/>
              </w:rPr>
            </w:pPr>
            <w:r>
              <w:rPr>
                <w:rFonts w:hint="eastAsia" w:ascii="仿宋" w:hAnsi="仿宋" w:eastAsia="仿宋"/>
                <w:bCs/>
                <w:szCs w:val="21"/>
              </w:rPr>
              <w:t>1000</w:t>
            </w:r>
          </w:p>
        </w:tc>
        <w:tc>
          <w:tcPr>
            <w:tcW w:w="597" w:type="pct"/>
            <w:vAlign w:val="center"/>
          </w:tcPr>
          <w:p>
            <w:pPr>
              <w:widowControl/>
              <w:spacing w:line="320" w:lineRule="exact"/>
              <w:jc w:val="center"/>
              <w:rPr>
                <w:rFonts w:ascii="仿宋" w:hAnsi="仿宋" w:eastAsia="仿宋"/>
                <w:bCs/>
              </w:rPr>
            </w:pPr>
            <w:r>
              <w:rPr>
                <w:rFonts w:ascii="仿宋" w:hAnsi="仿宋" w:eastAsia="仿宋"/>
                <w:bCs/>
                <w:kern w:val="0"/>
                <w:szCs w:val="21"/>
                <w:lang w:val="zh-CN"/>
              </w:rPr>
              <w:t>二类区</w:t>
            </w:r>
          </w:p>
        </w:tc>
        <w:tc>
          <w:tcPr>
            <w:tcW w:w="599" w:type="pct"/>
            <w:vAlign w:val="center"/>
          </w:tcPr>
          <w:p>
            <w:pPr>
              <w:spacing w:line="300" w:lineRule="exact"/>
              <w:jc w:val="center"/>
              <w:rPr>
                <w:rFonts w:ascii="仿宋" w:hAnsi="仿宋" w:eastAsia="仿宋"/>
                <w:szCs w:val="21"/>
              </w:rPr>
            </w:pPr>
            <w:r>
              <w:rPr>
                <w:rFonts w:hint="eastAsia" w:ascii="仿宋" w:hAnsi="仿宋" w:eastAsia="仿宋"/>
                <w:bCs/>
                <w:szCs w:val="21"/>
              </w:rPr>
              <w:t>S</w:t>
            </w:r>
          </w:p>
        </w:tc>
        <w:tc>
          <w:tcPr>
            <w:tcW w:w="644" w:type="pct"/>
            <w:vAlign w:val="center"/>
          </w:tcPr>
          <w:p>
            <w:pPr>
              <w:spacing w:line="300" w:lineRule="exact"/>
              <w:jc w:val="center"/>
              <w:rPr>
                <w:rFonts w:ascii="仿宋" w:hAnsi="仿宋" w:eastAsia="仿宋"/>
                <w:spacing w:val="10"/>
                <w:szCs w:val="21"/>
              </w:rPr>
            </w:pPr>
            <w:r>
              <w:rPr>
                <w:rFonts w:hint="eastAsia" w:ascii="仿宋" w:hAnsi="仿宋" w:eastAsia="仿宋"/>
                <w:bCs/>
                <w:szCs w:val="21"/>
              </w:rPr>
              <w:t>597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8" w:type="pct"/>
            <w:vMerge w:val="continue"/>
            <w:vAlign w:val="center"/>
          </w:tcPr>
          <w:p>
            <w:pPr>
              <w:widowControl/>
              <w:spacing w:line="320" w:lineRule="exact"/>
              <w:jc w:val="center"/>
              <w:rPr>
                <w:rFonts w:ascii="仿宋" w:hAnsi="仿宋" w:eastAsia="仿宋"/>
              </w:rPr>
            </w:pPr>
          </w:p>
        </w:tc>
        <w:tc>
          <w:tcPr>
            <w:tcW w:w="1162" w:type="pct"/>
            <w:vAlign w:val="bottom"/>
          </w:tcPr>
          <w:p>
            <w:pPr>
              <w:widowControl/>
              <w:autoSpaceDE w:val="0"/>
              <w:autoSpaceDN w:val="0"/>
              <w:adjustRightInd w:val="0"/>
              <w:snapToGrid w:val="0"/>
              <w:jc w:val="center"/>
              <w:rPr>
                <w:rFonts w:ascii="仿宋" w:hAnsi="仿宋" w:eastAsia="仿宋"/>
              </w:rPr>
            </w:pPr>
            <w:r>
              <w:rPr>
                <w:rFonts w:hint="eastAsia" w:ascii="仿宋" w:hAnsi="仿宋" w:eastAsia="仿宋"/>
                <w:bCs/>
                <w:szCs w:val="21"/>
              </w:rPr>
              <w:t>唐庄</w:t>
            </w:r>
          </w:p>
        </w:tc>
        <w:tc>
          <w:tcPr>
            <w:tcW w:w="633" w:type="pct"/>
            <w:vAlign w:val="center"/>
          </w:tcPr>
          <w:p>
            <w:pPr>
              <w:widowControl/>
              <w:spacing w:line="320" w:lineRule="exact"/>
              <w:jc w:val="center"/>
              <w:rPr>
                <w:rFonts w:ascii="仿宋" w:hAnsi="仿宋" w:eastAsia="仿宋"/>
                <w:bCs/>
              </w:rPr>
            </w:pPr>
            <w:r>
              <w:rPr>
                <w:rFonts w:hint="eastAsia" w:ascii="仿宋" w:hAnsi="仿宋" w:eastAsia="仿宋"/>
              </w:rPr>
              <w:t>居住区</w:t>
            </w:r>
          </w:p>
        </w:tc>
        <w:tc>
          <w:tcPr>
            <w:tcW w:w="854" w:type="pct"/>
            <w:vAlign w:val="bottom"/>
          </w:tcPr>
          <w:p>
            <w:pPr>
              <w:widowControl/>
              <w:autoSpaceDE w:val="0"/>
              <w:autoSpaceDN w:val="0"/>
              <w:adjustRightInd w:val="0"/>
              <w:snapToGrid w:val="0"/>
              <w:jc w:val="center"/>
              <w:rPr>
                <w:rFonts w:ascii="仿宋" w:hAnsi="仿宋" w:eastAsia="仿宋"/>
              </w:rPr>
            </w:pPr>
            <w:r>
              <w:rPr>
                <w:rFonts w:hint="eastAsia" w:ascii="仿宋" w:hAnsi="仿宋" w:eastAsia="仿宋"/>
                <w:bCs/>
                <w:szCs w:val="21"/>
              </w:rPr>
              <w:t>80</w:t>
            </w:r>
          </w:p>
        </w:tc>
        <w:tc>
          <w:tcPr>
            <w:tcW w:w="597" w:type="pct"/>
            <w:vAlign w:val="center"/>
          </w:tcPr>
          <w:p>
            <w:pPr>
              <w:spacing w:line="320" w:lineRule="exact"/>
              <w:jc w:val="center"/>
              <w:rPr>
                <w:rFonts w:ascii="仿宋" w:hAnsi="仿宋" w:eastAsia="仿宋"/>
              </w:rPr>
            </w:pPr>
            <w:r>
              <w:rPr>
                <w:rFonts w:ascii="仿宋" w:hAnsi="仿宋" w:eastAsia="仿宋"/>
                <w:bCs/>
                <w:kern w:val="0"/>
                <w:szCs w:val="21"/>
                <w:lang w:val="zh-CN"/>
              </w:rPr>
              <w:t>二类区</w:t>
            </w:r>
          </w:p>
        </w:tc>
        <w:tc>
          <w:tcPr>
            <w:tcW w:w="599" w:type="pct"/>
            <w:vAlign w:val="bottom"/>
          </w:tcPr>
          <w:p>
            <w:pPr>
              <w:widowControl/>
              <w:autoSpaceDE w:val="0"/>
              <w:autoSpaceDN w:val="0"/>
              <w:adjustRightInd w:val="0"/>
              <w:snapToGrid w:val="0"/>
              <w:jc w:val="center"/>
              <w:rPr>
                <w:rFonts w:ascii="仿宋" w:hAnsi="仿宋" w:eastAsia="仿宋"/>
                <w:spacing w:val="10"/>
                <w:szCs w:val="21"/>
              </w:rPr>
            </w:pPr>
            <w:r>
              <w:rPr>
                <w:rFonts w:hint="eastAsia" w:ascii="仿宋" w:hAnsi="仿宋" w:eastAsia="仿宋"/>
                <w:bCs/>
                <w:szCs w:val="21"/>
              </w:rPr>
              <w:t>E</w:t>
            </w:r>
          </w:p>
        </w:tc>
        <w:tc>
          <w:tcPr>
            <w:tcW w:w="644" w:type="pct"/>
            <w:vAlign w:val="bottom"/>
          </w:tcPr>
          <w:p>
            <w:pPr>
              <w:widowControl/>
              <w:autoSpaceDE w:val="0"/>
              <w:autoSpaceDN w:val="0"/>
              <w:adjustRightInd w:val="0"/>
              <w:snapToGrid w:val="0"/>
              <w:jc w:val="center"/>
              <w:rPr>
                <w:rFonts w:ascii="仿宋" w:hAnsi="仿宋" w:eastAsia="仿宋"/>
                <w:spacing w:val="10"/>
                <w:szCs w:val="21"/>
              </w:rPr>
            </w:pPr>
            <w:r>
              <w:rPr>
                <w:rFonts w:hint="eastAsia" w:ascii="仿宋" w:hAnsi="仿宋" w:eastAsia="仿宋"/>
                <w:bCs/>
                <w:szCs w:val="21"/>
              </w:rPr>
              <w:t>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8" w:type="pct"/>
            <w:vMerge w:val="continue"/>
            <w:vAlign w:val="center"/>
          </w:tcPr>
          <w:p>
            <w:pPr>
              <w:widowControl/>
              <w:spacing w:line="320" w:lineRule="exact"/>
              <w:jc w:val="center"/>
              <w:rPr>
                <w:rFonts w:ascii="仿宋" w:hAnsi="仿宋" w:eastAsia="仿宋"/>
              </w:rPr>
            </w:pPr>
          </w:p>
        </w:tc>
        <w:tc>
          <w:tcPr>
            <w:tcW w:w="1162" w:type="pct"/>
            <w:vAlign w:val="bottom"/>
          </w:tcPr>
          <w:p>
            <w:pPr>
              <w:widowControl/>
              <w:autoSpaceDE w:val="0"/>
              <w:autoSpaceDN w:val="0"/>
              <w:adjustRightInd w:val="0"/>
              <w:snapToGrid w:val="0"/>
              <w:jc w:val="center"/>
              <w:rPr>
                <w:rFonts w:ascii="仿宋" w:hAnsi="仿宋" w:eastAsia="仿宋"/>
              </w:rPr>
            </w:pPr>
            <w:r>
              <w:rPr>
                <w:rFonts w:hint="eastAsia" w:ascii="仿宋" w:hAnsi="仿宋" w:eastAsia="仿宋"/>
                <w:bCs/>
                <w:szCs w:val="21"/>
              </w:rPr>
              <w:t>宋庄</w:t>
            </w:r>
          </w:p>
        </w:tc>
        <w:tc>
          <w:tcPr>
            <w:tcW w:w="633" w:type="pct"/>
            <w:vAlign w:val="center"/>
          </w:tcPr>
          <w:p>
            <w:pPr>
              <w:widowControl/>
              <w:spacing w:line="320" w:lineRule="exact"/>
              <w:jc w:val="center"/>
              <w:rPr>
                <w:rFonts w:ascii="仿宋" w:hAnsi="仿宋" w:eastAsia="仿宋"/>
                <w:bCs/>
              </w:rPr>
            </w:pPr>
            <w:r>
              <w:rPr>
                <w:rFonts w:hint="eastAsia" w:ascii="仿宋" w:hAnsi="仿宋" w:eastAsia="仿宋"/>
              </w:rPr>
              <w:t>居住区</w:t>
            </w:r>
          </w:p>
        </w:tc>
        <w:tc>
          <w:tcPr>
            <w:tcW w:w="854" w:type="pct"/>
            <w:vAlign w:val="bottom"/>
          </w:tcPr>
          <w:p>
            <w:pPr>
              <w:widowControl/>
              <w:autoSpaceDE w:val="0"/>
              <w:autoSpaceDN w:val="0"/>
              <w:adjustRightInd w:val="0"/>
              <w:snapToGrid w:val="0"/>
              <w:jc w:val="center"/>
              <w:rPr>
                <w:rFonts w:ascii="仿宋" w:hAnsi="仿宋" w:eastAsia="仿宋"/>
              </w:rPr>
            </w:pPr>
            <w:r>
              <w:rPr>
                <w:rFonts w:hint="eastAsia" w:ascii="仿宋" w:hAnsi="仿宋" w:eastAsia="仿宋"/>
                <w:bCs/>
                <w:szCs w:val="21"/>
              </w:rPr>
              <w:t>120</w:t>
            </w:r>
          </w:p>
        </w:tc>
        <w:tc>
          <w:tcPr>
            <w:tcW w:w="597" w:type="pct"/>
            <w:vAlign w:val="center"/>
          </w:tcPr>
          <w:p>
            <w:pPr>
              <w:spacing w:line="320" w:lineRule="exact"/>
              <w:jc w:val="center"/>
              <w:rPr>
                <w:rFonts w:ascii="仿宋" w:hAnsi="仿宋" w:eastAsia="仿宋"/>
              </w:rPr>
            </w:pPr>
            <w:r>
              <w:rPr>
                <w:rFonts w:ascii="仿宋" w:hAnsi="仿宋" w:eastAsia="仿宋"/>
                <w:bCs/>
                <w:kern w:val="0"/>
                <w:szCs w:val="21"/>
                <w:lang w:val="zh-CN"/>
              </w:rPr>
              <w:t>二类区</w:t>
            </w:r>
          </w:p>
        </w:tc>
        <w:tc>
          <w:tcPr>
            <w:tcW w:w="599" w:type="pct"/>
            <w:vAlign w:val="bottom"/>
          </w:tcPr>
          <w:p>
            <w:pPr>
              <w:widowControl/>
              <w:autoSpaceDE w:val="0"/>
              <w:autoSpaceDN w:val="0"/>
              <w:adjustRightInd w:val="0"/>
              <w:snapToGrid w:val="0"/>
              <w:jc w:val="center"/>
              <w:rPr>
                <w:rFonts w:ascii="仿宋" w:hAnsi="仿宋" w:eastAsia="仿宋"/>
                <w:spacing w:val="10"/>
                <w:szCs w:val="21"/>
              </w:rPr>
            </w:pPr>
            <w:r>
              <w:rPr>
                <w:rFonts w:hint="eastAsia" w:ascii="仿宋" w:hAnsi="仿宋" w:eastAsia="仿宋"/>
                <w:bCs/>
                <w:szCs w:val="21"/>
              </w:rPr>
              <w:t>E</w:t>
            </w:r>
          </w:p>
        </w:tc>
        <w:tc>
          <w:tcPr>
            <w:tcW w:w="644" w:type="pct"/>
            <w:vAlign w:val="bottom"/>
          </w:tcPr>
          <w:p>
            <w:pPr>
              <w:widowControl/>
              <w:autoSpaceDE w:val="0"/>
              <w:autoSpaceDN w:val="0"/>
              <w:adjustRightInd w:val="0"/>
              <w:snapToGrid w:val="0"/>
              <w:jc w:val="center"/>
              <w:rPr>
                <w:rFonts w:ascii="仿宋" w:hAnsi="仿宋" w:eastAsia="仿宋"/>
                <w:spacing w:val="10"/>
                <w:szCs w:val="21"/>
              </w:rPr>
            </w:pPr>
            <w:r>
              <w:rPr>
                <w:rFonts w:hint="eastAsia" w:ascii="仿宋" w:hAnsi="仿宋" w:eastAsia="仿宋"/>
                <w:bCs/>
                <w:szCs w:val="21"/>
              </w:rPr>
              <w:t>916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8" w:type="pct"/>
            <w:vMerge w:val="continue"/>
            <w:vAlign w:val="center"/>
          </w:tcPr>
          <w:p>
            <w:pPr>
              <w:widowControl/>
              <w:spacing w:line="320" w:lineRule="exact"/>
              <w:jc w:val="center"/>
              <w:rPr>
                <w:rFonts w:ascii="仿宋" w:hAnsi="仿宋" w:eastAsia="仿宋"/>
              </w:rPr>
            </w:pPr>
          </w:p>
        </w:tc>
        <w:tc>
          <w:tcPr>
            <w:tcW w:w="1162" w:type="pct"/>
            <w:vAlign w:val="center"/>
          </w:tcPr>
          <w:p>
            <w:pPr>
              <w:widowControl/>
              <w:autoSpaceDE w:val="0"/>
              <w:autoSpaceDN w:val="0"/>
              <w:adjustRightInd w:val="0"/>
              <w:snapToGrid w:val="0"/>
              <w:jc w:val="center"/>
              <w:rPr>
                <w:rFonts w:ascii="仿宋" w:hAnsi="仿宋" w:eastAsia="仿宋"/>
              </w:rPr>
            </w:pPr>
            <w:r>
              <w:rPr>
                <w:rFonts w:hint="eastAsia" w:ascii="仿宋" w:hAnsi="仿宋" w:eastAsia="仿宋"/>
                <w:bCs/>
                <w:szCs w:val="21"/>
              </w:rPr>
              <w:t>邮堂庙</w:t>
            </w:r>
          </w:p>
        </w:tc>
        <w:tc>
          <w:tcPr>
            <w:tcW w:w="633" w:type="pct"/>
            <w:vAlign w:val="center"/>
          </w:tcPr>
          <w:p>
            <w:pPr>
              <w:spacing w:line="320" w:lineRule="exact"/>
              <w:jc w:val="center"/>
              <w:rPr>
                <w:rFonts w:ascii="仿宋" w:hAnsi="仿宋" w:eastAsia="仿宋"/>
              </w:rPr>
            </w:pPr>
            <w:r>
              <w:rPr>
                <w:rFonts w:hint="eastAsia" w:ascii="仿宋" w:hAnsi="仿宋" w:eastAsia="仿宋"/>
              </w:rPr>
              <w:t>居住区</w:t>
            </w:r>
          </w:p>
        </w:tc>
        <w:tc>
          <w:tcPr>
            <w:tcW w:w="854" w:type="pct"/>
            <w:vAlign w:val="center"/>
          </w:tcPr>
          <w:p>
            <w:pPr>
              <w:widowControl/>
              <w:spacing w:line="320" w:lineRule="exact"/>
              <w:jc w:val="center"/>
              <w:rPr>
                <w:rFonts w:ascii="仿宋" w:hAnsi="仿宋" w:eastAsia="仿宋"/>
              </w:rPr>
            </w:pPr>
            <w:r>
              <w:rPr>
                <w:rFonts w:hint="eastAsia" w:ascii="仿宋" w:hAnsi="仿宋" w:eastAsia="仿宋"/>
              </w:rPr>
              <w:t>400</w:t>
            </w:r>
          </w:p>
        </w:tc>
        <w:tc>
          <w:tcPr>
            <w:tcW w:w="597" w:type="pct"/>
            <w:vAlign w:val="center"/>
          </w:tcPr>
          <w:p>
            <w:pPr>
              <w:spacing w:line="320" w:lineRule="exact"/>
              <w:jc w:val="center"/>
              <w:rPr>
                <w:rFonts w:ascii="仿宋" w:hAnsi="仿宋" w:eastAsia="仿宋"/>
              </w:rPr>
            </w:pPr>
            <w:r>
              <w:rPr>
                <w:rFonts w:ascii="仿宋" w:hAnsi="仿宋" w:eastAsia="仿宋"/>
                <w:bCs/>
                <w:kern w:val="0"/>
                <w:szCs w:val="21"/>
                <w:lang w:val="zh-CN"/>
              </w:rPr>
              <w:t>二类区</w:t>
            </w:r>
          </w:p>
        </w:tc>
        <w:tc>
          <w:tcPr>
            <w:tcW w:w="599" w:type="pct"/>
            <w:vAlign w:val="center"/>
          </w:tcPr>
          <w:p>
            <w:pPr>
              <w:widowControl/>
              <w:autoSpaceDE w:val="0"/>
              <w:autoSpaceDN w:val="0"/>
              <w:adjustRightInd w:val="0"/>
              <w:snapToGrid w:val="0"/>
              <w:jc w:val="center"/>
              <w:rPr>
                <w:rFonts w:ascii="仿宋" w:hAnsi="仿宋" w:eastAsia="仿宋"/>
                <w:spacing w:val="10"/>
                <w:szCs w:val="21"/>
              </w:rPr>
            </w:pPr>
            <w:r>
              <w:rPr>
                <w:rFonts w:hint="eastAsia" w:ascii="仿宋" w:hAnsi="仿宋" w:eastAsia="仿宋"/>
                <w:bCs/>
                <w:szCs w:val="21"/>
              </w:rPr>
              <w:t>S</w:t>
            </w:r>
          </w:p>
        </w:tc>
        <w:tc>
          <w:tcPr>
            <w:tcW w:w="644" w:type="pct"/>
            <w:vAlign w:val="center"/>
          </w:tcPr>
          <w:p>
            <w:pPr>
              <w:widowControl/>
              <w:autoSpaceDE w:val="0"/>
              <w:autoSpaceDN w:val="0"/>
              <w:adjustRightInd w:val="0"/>
              <w:snapToGrid w:val="0"/>
              <w:jc w:val="center"/>
              <w:rPr>
                <w:rFonts w:ascii="仿宋" w:hAnsi="仿宋" w:eastAsia="仿宋"/>
                <w:spacing w:val="10"/>
                <w:szCs w:val="21"/>
              </w:rPr>
            </w:pPr>
            <w:r>
              <w:rPr>
                <w:rFonts w:hint="eastAsia" w:ascii="仿宋" w:hAnsi="仿宋" w:eastAsia="仿宋"/>
                <w:bCs/>
                <w:szCs w:val="21"/>
              </w:rPr>
              <w:t>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8" w:type="pct"/>
            <w:vMerge w:val="continue"/>
            <w:vAlign w:val="center"/>
          </w:tcPr>
          <w:p>
            <w:pPr>
              <w:widowControl/>
              <w:spacing w:line="320" w:lineRule="exact"/>
              <w:jc w:val="center"/>
              <w:rPr>
                <w:rFonts w:ascii="仿宋" w:hAnsi="仿宋" w:eastAsia="仿宋"/>
              </w:rPr>
            </w:pPr>
          </w:p>
        </w:tc>
        <w:tc>
          <w:tcPr>
            <w:tcW w:w="1162" w:type="pct"/>
            <w:vAlign w:val="center"/>
          </w:tcPr>
          <w:p>
            <w:pPr>
              <w:widowControl/>
              <w:autoSpaceDE w:val="0"/>
              <w:autoSpaceDN w:val="0"/>
              <w:adjustRightInd w:val="0"/>
              <w:snapToGrid w:val="0"/>
              <w:jc w:val="center"/>
              <w:rPr>
                <w:rFonts w:ascii="仿宋" w:hAnsi="仿宋" w:eastAsia="仿宋"/>
              </w:rPr>
            </w:pPr>
            <w:r>
              <w:rPr>
                <w:rFonts w:hint="eastAsia" w:ascii="仿宋" w:hAnsi="仿宋" w:eastAsia="仿宋"/>
                <w:bCs/>
                <w:szCs w:val="21"/>
              </w:rPr>
              <w:t>冯庄村</w:t>
            </w:r>
          </w:p>
        </w:tc>
        <w:tc>
          <w:tcPr>
            <w:tcW w:w="633" w:type="pct"/>
            <w:vAlign w:val="center"/>
          </w:tcPr>
          <w:p>
            <w:pPr>
              <w:widowControl/>
              <w:spacing w:line="320" w:lineRule="exact"/>
              <w:jc w:val="center"/>
              <w:rPr>
                <w:rFonts w:ascii="仿宋" w:hAnsi="仿宋" w:eastAsia="仿宋"/>
                <w:bCs/>
              </w:rPr>
            </w:pPr>
            <w:r>
              <w:rPr>
                <w:rFonts w:hint="eastAsia" w:ascii="仿宋" w:hAnsi="仿宋" w:eastAsia="仿宋"/>
              </w:rPr>
              <w:t>居住区</w:t>
            </w:r>
          </w:p>
        </w:tc>
        <w:tc>
          <w:tcPr>
            <w:tcW w:w="854" w:type="pct"/>
            <w:vAlign w:val="center"/>
          </w:tcPr>
          <w:p>
            <w:pPr>
              <w:widowControl/>
              <w:spacing w:line="320" w:lineRule="exact"/>
              <w:jc w:val="center"/>
              <w:rPr>
                <w:rFonts w:ascii="仿宋" w:hAnsi="仿宋" w:eastAsia="仿宋"/>
              </w:rPr>
            </w:pPr>
            <w:r>
              <w:rPr>
                <w:rFonts w:hint="eastAsia" w:ascii="仿宋" w:hAnsi="仿宋" w:eastAsia="仿宋"/>
              </w:rPr>
              <w:t>400</w:t>
            </w:r>
          </w:p>
        </w:tc>
        <w:tc>
          <w:tcPr>
            <w:tcW w:w="597" w:type="pct"/>
            <w:vAlign w:val="center"/>
          </w:tcPr>
          <w:p>
            <w:pPr>
              <w:spacing w:line="320" w:lineRule="exact"/>
              <w:jc w:val="center"/>
              <w:rPr>
                <w:rFonts w:ascii="仿宋" w:hAnsi="仿宋" w:eastAsia="仿宋"/>
              </w:rPr>
            </w:pPr>
            <w:r>
              <w:rPr>
                <w:rFonts w:ascii="仿宋" w:hAnsi="仿宋" w:eastAsia="仿宋"/>
                <w:bCs/>
                <w:kern w:val="0"/>
                <w:szCs w:val="21"/>
                <w:lang w:val="zh-CN"/>
              </w:rPr>
              <w:t>二类区</w:t>
            </w:r>
          </w:p>
        </w:tc>
        <w:tc>
          <w:tcPr>
            <w:tcW w:w="599" w:type="pct"/>
            <w:vAlign w:val="center"/>
          </w:tcPr>
          <w:p>
            <w:pPr>
              <w:widowControl/>
              <w:autoSpaceDE w:val="0"/>
              <w:autoSpaceDN w:val="0"/>
              <w:adjustRightInd w:val="0"/>
              <w:snapToGrid w:val="0"/>
              <w:jc w:val="center"/>
              <w:rPr>
                <w:rFonts w:ascii="仿宋" w:hAnsi="仿宋" w:eastAsia="仿宋"/>
                <w:spacing w:val="10"/>
                <w:szCs w:val="21"/>
              </w:rPr>
            </w:pPr>
            <w:r>
              <w:rPr>
                <w:rFonts w:hint="eastAsia" w:ascii="仿宋" w:hAnsi="仿宋" w:eastAsia="仿宋"/>
                <w:bCs/>
                <w:szCs w:val="21"/>
              </w:rPr>
              <w:t>S</w:t>
            </w:r>
          </w:p>
        </w:tc>
        <w:tc>
          <w:tcPr>
            <w:tcW w:w="644" w:type="pct"/>
            <w:vAlign w:val="center"/>
          </w:tcPr>
          <w:p>
            <w:pPr>
              <w:widowControl/>
              <w:autoSpaceDE w:val="0"/>
              <w:autoSpaceDN w:val="0"/>
              <w:adjustRightInd w:val="0"/>
              <w:snapToGrid w:val="0"/>
              <w:jc w:val="center"/>
              <w:rPr>
                <w:rFonts w:ascii="仿宋" w:hAnsi="仿宋" w:eastAsia="仿宋"/>
                <w:spacing w:val="10"/>
                <w:szCs w:val="21"/>
              </w:rPr>
            </w:pPr>
            <w:r>
              <w:rPr>
                <w:rFonts w:hint="eastAsia" w:ascii="仿宋" w:hAnsi="仿宋" w:eastAsia="仿宋"/>
                <w:bCs/>
                <w:szCs w:val="21"/>
              </w:rPr>
              <w:t>1316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8" w:type="pct"/>
            <w:vMerge w:val="continue"/>
            <w:vAlign w:val="center"/>
          </w:tcPr>
          <w:p>
            <w:pPr>
              <w:widowControl/>
              <w:spacing w:line="320" w:lineRule="exact"/>
              <w:jc w:val="center"/>
              <w:rPr>
                <w:rFonts w:ascii="仿宋" w:hAnsi="仿宋" w:eastAsia="仿宋"/>
              </w:rPr>
            </w:pPr>
          </w:p>
        </w:tc>
        <w:tc>
          <w:tcPr>
            <w:tcW w:w="1162" w:type="pct"/>
            <w:vAlign w:val="center"/>
          </w:tcPr>
          <w:p>
            <w:pPr>
              <w:widowControl/>
              <w:spacing w:line="320" w:lineRule="exact"/>
              <w:jc w:val="center"/>
              <w:rPr>
                <w:rFonts w:ascii="仿宋" w:hAnsi="仿宋" w:eastAsia="仿宋"/>
              </w:rPr>
            </w:pPr>
            <w:r>
              <w:rPr>
                <w:rFonts w:hint="eastAsia" w:ascii="仿宋" w:hAnsi="仿宋" w:eastAsia="仿宋"/>
                <w:bCs/>
                <w:szCs w:val="21"/>
              </w:rPr>
              <w:t>南墅</w:t>
            </w:r>
          </w:p>
        </w:tc>
        <w:tc>
          <w:tcPr>
            <w:tcW w:w="633" w:type="pct"/>
            <w:vAlign w:val="center"/>
          </w:tcPr>
          <w:p>
            <w:pPr>
              <w:spacing w:line="320" w:lineRule="exact"/>
              <w:jc w:val="center"/>
              <w:rPr>
                <w:rFonts w:ascii="仿宋" w:hAnsi="仿宋" w:eastAsia="仿宋"/>
              </w:rPr>
            </w:pPr>
            <w:r>
              <w:rPr>
                <w:rFonts w:hint="eastAsia" w:ascii="仿宋" w:hAnsi="仿宋" w:eastAsia="仿宋"/>
              </w:rPr>
              <w:t>居住区</w:t>
            </w:r>
          </w:p>
        </w:tc>
        <w:tc>
          <w:tcPr>
            <w:tcW w:w="854" w:type="pct"/>
            <w:vAlign w:val="center"/>
          </w:tcPr>
          <w:p>
            <w:pPr>
              <w:widowControl/>
              <w:spacing w:line="320" w:lineRule="exact"/>
              <w:jc w:val="center"/>
              <w:rPr>
                <w:rFonts w:ascii="仿宋" w:hAnsi="仿宋" w:eastAsia="仿宋"/>
              </w:rPr>
            </w:pPr>
            <w:r>
              <w:rPr>
                <w:rFonts w:hint="eastAsia" w:ascii="仿宋" w:hAnsi="仿宋" w:eastAsia="仿宋"/>
              </w:rPr>
              <w:t>1000</w:t>
            </w:r>
          </w:p>
        </w:tc>
        <w:tc>
          <w:tcPr>
            <w:tcW w:w="597" w:type="pct"/>
            <w:vAlign w:val="center"/>
          </w:tcPr>
          <w:p>
            <w:pPr>
              <w:spacing w:line="320" w:lineRule="exact"/>
              <w:jc w:val="center"/>
              <w:rPr>
                <w:rFonts w:ascii="仿宋" w:hAnsi="仿宋" w:eastAsia="仿宋"/>
              </w:rPr>
            </w:pPr>
            <w:r>
              <w:rPr>
                <w:rFonts w:ascii="仿宋" w:hAnsi="仿宋" w:eastAsia="仿宋"/>
                <w:bCs/>
                <w:kern w:val="0"/>
                <w:szCs w:val="21"/>
                <w:lang w:val="zh-CN"/>
              </w:rPr>
              <w:t>二类区</w:t>
            </w:r>
          </w:p>
        </w:tc>
        <w:tc>
          <w:tcPr>
            <w:tcW w:w="599" w:type="pct"/>
            <w:vAlign w:val="center"/>
          </w:tcPr>
          <w:p>
            <w:pPr>
              <w:spacing w:line="300" w:lineRule="exact"/>
              <w:jc w:val="center"/>
              <w:rPr>
                <w:rFonts w:ascii="仿宋" w:hAnsi="仿宋" w:eastAsia="仿宋"/>
                <w:spacing w:val="10"/>
                <w:szCs w:val="21"/>
              </w:rPr>
            </w:pPr>
            <w:r>
              <w:rPr>
                <w:rFonts w:hint="eastAsia" w:ascii="仿宋" w:hAnsi="仿宋" w:eastAsia="仿宋"/>
                <w:bCs/>
                <w:szCs w:val="21"/>
              </w:rPr>
              <w:t>WS</w:t>
            </w:r>
          </w:p>
        </w:tc>
        <w:tc>
          <w:tcPr>
            <w:tcW w:w="644" w:type="pct"/>
            <w:vAlign w:val="center"/>
          </w:tcPr>
          <w:p>
            <w:pPr>
              <w:spacing w:line="300" w:lineRule="exact"/>
              <w:jc w:val="center"/>
              <w:rPr>
                <w:rFonts w:ascii="仿宋" w:hAnsi="仿宋" w:eastAsia="仿宋"/>
                <w:spacing w:val="10"/>
                <w:szCs w:val="21"/>
              </w:rPr>
            </w:pPr>
            <w:r>
              <w:rPr>
                <w:rFonts w:hint="eastAsia" w:ascii="仿宋" w:hAnsi="仿宋" w:eastAsia="仿宋"/>
                <w:bCs/>
                <w:szCs w:val="21"/>
              </w:rPr>
              <w:t>1520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8" w:type="pct"/>
            <w:vMerge w:val="continue"/>
            <w:vAlign w:val="center"/>
          </w:tcPr>
          <w:p>
            <w:pPr>
              <w:widowControl/>
              <w:spacing w:line="320" w:lineRule="exact"/>
              <w:jc w:val="center"/>
              <w:rPr>
                <w:rFonts w:ascii="仿宋" w:hAnsi="仿宋" w:eastAsia="仿宋"/>
              </w:rPr>
            </w:pPr>
          </w:p>
        </w:tc>
        <w:tc>
          <w:tcPr>
            <w:tcW w:w="1162" w:type="pct"/>
            <w:vAlign w:val="center"/>
          </w:tcPr>
          <w:p>
            <w:pPr>
              <w:widowControl/>
              <w:spacing w:line="320" w:lineRule="exact"/>
              <w:jc w:val="center"/>
              <w:rPr>
                <w:rFonts w:ascii="仿宋" w:hAnsi="仿宋" w:eastAsia="仿宋"/>
              </w:rPr>
            </w:pPr>
            <w:r>
              <w:rPr>
                <w:rFonts w:hint="eastAsia" w:ascii="仿宋" w:hAnsi="仿宋" w:eastAsia="仿宋"/>
                <w:bCs/>
                <w:szCs w:val="21"/>
              </w:rPr>
              <w:t>丽锦嘉园</w:t>
            </w:r>
          </w:p>
        </w:tc>
        <w:tc>
          <w:tcPr>
            <w:tcW w:w="633" w:type="pct"/>
            <w:vAlign w:val="center"/>
          </w:tcPr>
          <w:p>
            <w:pPr>
              <w:spacing w:line="320" w:lineRule="exact"/>
              <w:jc w:val="center"/>
              <w:rPr>
                <w:rFonts w:ascii="仿宋" w:hAnsi="仿宋" w:eastAsia="仿宋"/>
              </w:rPr>
            </w:pPr>
            <w:r>
              <w:rPr>
                <w:rFonts w:hint="eastAsia" w:ascii="仿宋" w:hAnsi="仿宋" w:eastAsia="仿宋"/>
              </w:rPr>
              <w:t>居住区</w:t>
            </w:r>
          </w:p>
        </w:tc>
        <w:tc>
          <w:tcPr>
            <w:tcW w:w="854" w:type="pct"/>
            <w:vAlign w:val="center"/>
          </w:tcPr>
          <w:p>
            <w:pPr>
              <w:widowControl/>
              <w:spacing w:line="320" w:lineRule="exact"/>
              <w:jc w:val="center"/>
              <w:rPr>
                <w:rFonts w:ascii="仿宋" w:hAnsi="仿宋" w:eastAsia="仿宋"/>
              </w:rPr>
            </w:pPr>
            <w:r>
              <w:rPr>
                <w:rFonts w:hint="eastAsia" w:ascii="仿宋" w:hAnsi="仿宋" w:eastAsia="仿宋"/>
              </w:rPr>
              <w:t>1500</w:t>
            </w:r>
          </w:p>
        </w:tc>
        <w:tc>
          <w:tcPr>
            <w:tcW w:w="597" w:type="pct"/>
            <w:vAlign w:val="center"/>
          </w:tcPr>
          <w:p>
            <w:pPr>
              <w:spacing w:line="320" w:lineRule="exact"/>
              <w:jc w:val="center"/>
              <w:rPr>
                <w:rFonts w:ascii="仿宋" w:hAnsi="仿宋" w:eastAsia="仿宋"/>
              </w:rPr>
            </w:pPr>
            <w:r>
              <w:rPr>
                <w:rFonts w:ascii="仿宋" w:hAnsi="仿宋" w:eastAsia="仿宋"/>
                <w:bCs/>
                <w:kern w:val="0"/>
                <w:szCs w:val="21"/>
                <w:lang w:val="zh-CN"/>
              </w:rPr>
              <w:t>二类区</w:t>
            </w:r>
          </w:p>
        </w:tc>
        <w:tc>
          <w:tcPr>
            <w:tcW w:w="599" w:type="pct"/>
            <w:vAlign w:val="center"/>
          </w:tcPr>
          <w:p>
            <w:pPr>
              <w:spacing w:line="300" w:lineRule="exact"/>
              <w:jc w:val="center"/>
              <w:rPr>
                <w:rFonts w:ascii="仿宋" w:hAnsi="仿宋" w:eastAsia="仿宋"/>
                <w:spacing w:val="10"/>
                <w:szCs w:val="21"/>
              </w:rPr>
            </w:pPr>
            <w:r>
              <w:rPr>
                <w:rFonts w:hint="eastAsia" w:ascii="仿宋" w:hAnsi="仿宋" w:eastAsia="仿宋"/>
                <w:bCs/>
                <w:szCs w:val="21"/>
              </w:rPr>
              <w:t>SE</w:t>
            </w:r>
          </w:p>
        </w:tc>
        <w:tc>
          <w:tcPr>
            <w:tcW w:w="644" w:type="pct"/>
            <w:vAlign w:val="center"/>
          </w:tcPr>
          <w:p>
            <w:pPr>
              <w:spacing w:line="300" w:lineRule="exact"/>
              <w:jc w:val="center"/>
              <w:rPr>
                <w:rFonts w:ascii="仿宋" w:hAnsi="仿宋" w:eastAsia="仿宋"/>
                <w:spacing w:val="10"/>
                <w:szCs w:val="21"/>
              </w:rPr>
            </w:pPr>
            <w:r>
              <w:rPr>
                <w:rFonts w:hint="eastAsia" w:ascii="仿宋" w:hAnsi="仿宋" w:eastAsia="仿宋"/>
                <w:bCs/>
                <w:szCs w:val="21"/>
              </w:rPr>
              <w:t>1924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8" w:type="pct"/>
            <w:vMerge w:val="continue"/>
            <w:vAlign w:val="center"/>
          </w:tcPr>
          <w:p>
            <w:pPr>
              <w:widowControl/>
              <w:spacing w:line="320" w:lineRule="exact"/>
              <w:jc w:val="center"/>
              <w:rPr>
                <w:rFonts w:ascii="仿宋" w:hAnsi="仿宋" w:eastAsia="仿宋"/>
              </w:rPr>
            </w:pPr>
          </w:p>
        </w:tc>
        <w:tc>
          <w:tcPr>
            <w:tcW w:w="1162" w:type="pct"/>
            <w:vAlign w:val="center"/>
          </w:tcPr>
          <w:p>
            <w:pPr>
              <w:widowControl/>
              <w:spacing w:line="320" w:lineRule="exact"/>
              <w:jc w:val="center"/>
              <w:rPr>
                <w:rFonts w:ascii="仿宋" w:hAnsi="仿宋" w:eastAsia="仿宋"/>
              </w:rPr>
            </w:pPr>
            <w:r>
              <w:rPr>
                <w:rFonts w:hint="eastAsia" w:ascii="仿宋" w:hAnsi="仿宋" w:eastAsia="仿宋"/>
                <w:bCs/>
                <w:szCs w:val="21"/>
              </w:rPr>
              <w:t>沈渎桥</w:t>
            </w:r>
          </w:p>
        </w:tc>
        <w:tc>
          <w:tcPr>
            <w:tcW w:w="633" w:type="pct"/>
            <w:vAlign w:val="center"/>
          </w:tcPr>
          <w:p>
            <w:pPr>
              <w:spacing w:line="320" w:lineRule="exact"/>
              <w:jc w:val="center"/>
              <w:rPr>
                <w:rFonts w:ascii="仿宋" w:hAnsi="仿宋" w:eastAsia="仿宋"/>
              </w:rPr>
            </w:pPr>
            <w:r>
              <w:rPr>
                <w:rFonts w:hint="eastAsia" w:ascii="仿宋" w:hAnsi="仿宋" w:eastAsia="仿宋"/>
              </w:rPr>
              <w:t>居住区</w:t>
            </w:r>
          </w:p>
        </w:tc>
        <w:tc>
          <w:tcPr>
            <w:tcW w:w="854" w:type="pct"/>
            <w:vAlign w:val="center"/>
          </w:tcPr>
          <w:p>
            <w:pPr>
              <w:widowControl/>
              <w:spacing w:line="320" w:lineRule="exact"/>
              <w:jc w:val="center"/>
              <w:rPr>
                <w:rFonts w:ascii="仿宋" w:hAnsi="仿宋" w:eastAsia="仿宋"/>
              </w:rPr>
            </w:pPr>
            <w:r>
              <w:rPr>
                <w:rFonts w:hint="eastAsia" w:ascii="仿宋" w:hAnsi="仿宋" w:eastAsia="仿宋"/>
              </w:rPr>
              <w:t>50</w:t>
            </w:r>
          </w:p>
        </w:tc>
        <w:tc>
          <w:tcPr>
            <w:tcW w:w="597" w:type="pct"/>
            <w:vAlign w:val="center"/>
          </w:tcPr>
          <w:p>
            <w:pPr>
              <w:spacing w:line="320" w:lineRule="exact"/>
              <w:jc w:val="center"/>
              <w:rPr>
                <w:rFonts w:ascii="仿宋" w:hAnsi="仿宋" w:eastAsia="仿宋"/>
              </w:rPr>
            </w:pPr>
            <w:r>
              <w:rPr>
                <w:rFonts w:ascii="仿宋" w:hAnsi="仿宋" w:eastAsia="仿宋"/>
                <w:bCs/>
                <w:kern w:val="0"/>
                <w:szCs w:val="21"/>
                <w:lang w:val="zh-CN"/>
              </w:rPr>
              <w:t>二类区</w:t>
            </w:r>
          </w:p>
        </w:tc>
        <w:tc>
          <w:tcPr>
            <w:tcW w:w="599" w:type="pct"/>
            <w:vAlign w:val="center"/>
          </w:tcPr>
          <w:p>
            <w:pPr>
              <w:spacing w:line="300" w:lineRule="exact"/>
              <w:jc w:val="center"/>
              <w:rPr>
                <w:rFonts w:ascii="仿宋" w:hAnsi="仿宋" w:eastAsia="仿宋"/>
                <w:spacing w:val="10"/>
                <w:szCs w:val="21"/>
              </w:rPr>
            </w:pPr>
            <w:r>
              <w:rPr>
                <w:rFonts w:hint="eastAsia" w:ascii="仿宋" w:hAnsi="仿宋" w:eastAsia="仿宋"/>
                <w:bCs/>
                <w:szCs w:val="21"/>
              </w:rPr>
              <w:t>NW</w:t>
            </w:r>
          </w:p>
        </w:tc>
        <w:tc>
          <w:tcPr>
            <w:tcW w:w="644" w:type="pct"/>
            <w:vAlign w:val="center"/>
          </w:tcPr>
          <w:p>
            <w:pPr>
              <w:spacing w:line="300" w:lineRule="exact"/>
              <w:jc w:val="center"/>
              <w:rPr>
                <w:rFonts w:ascii="仿宋" w:hAnsi="仿宋" w:eastAsia="仿宋"/>
                <w:spacing w:val="10"/>
                <w:szCs w:val="21"/>
              </w:rPr>
            </w:pPr>
            <w:r>
              <w:rPr>
                <w:rFonts w:hint="eastAsia" w:ascii="仿宋" w:hAnsi="仿宋" w:eastAsia="仿宋"/>
                <w:bCs/>
                <w:szCs w:val="21"/>
              </w:rPr>
              <w:t>2107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8" w:type="pct"/>
            <w:vMerge w:val="continue"/>
            <w:vAlign w:val="center"/>
          </w:tcPr>
          <w:p>
            <w:pPr>
              <w:widowControl/>
              <w:spacing w:line="320" w:lineRule="exact"/>
              <w:jc w:val="center"/>
              <w:rPr>
                <w:rFonts w:ascii="仿宋" w:hAnsi="仿宋" w:eastAsia="仿宋"/>
              </w:rPr>
            </w:pPr>
          </w:p>
        </w:tc>
        <w:tc>
          <w:tcPr>
            <w:tcW w:w="1162" w:type="pct"/>
            <w:vAlign w:val="center"/>
          </w:tcPr>
          <w:p>
            <w:pPr>
              <w:widowControl/>
              <w:spacing w:line="320" w:lineRule="exact"/>
              <w:jc w:val="center"/>
              <w:rPr>
                <w:rFonts w:ascii="仿宋" w:hAnsi="仿宋" w:eastAsia="仿宋"/>
                <w:bCs/>
                <w:szCs w:val="21"/>
              </w:rPr>
            </w:pPr>
            <w:r>
              <w:rPr>
                <w:rFonts w:hint="eastAsia" w:ascii="仿宋" w:hAnsi="仿宋" w:eastAsia="仿宋"/>
                <w:bCs/>
                <w:szCs w:val="21"/>
              </w:rPr>
              <w:t>新庄村</w:t>
            </w:r>
          </w:p>
        </w:tc>
        <w:tc>
          <w:tcPr>
            <w:tcW w:w="633" w:type="pct"/>
            <w:vAlign w:val="center"/>
          </w:tcPr>
          <w:p>
            <w:pPr>
              <w:spacing w:line="320" w:lineRule="exact"/>
              <w:jc w:val="center"/>
              <w:rPr>
                <w:rFonts w:ascii="仿宋" w:hAnsi="仿宋" w:eastAsia="仿宋"/>
              </w:rPr>
            </w:pPr>
            <w:r>
              <w:rPr>
                <w:rFonts w:hint="eastAsia" w:ascii="仿宋" w:hAnsi="仿宋" w:eastAsia="仿宋"/>
              </w:rPr>
              <w:t>居住区</w:t>
            </w:r>
          </w:p>
        </w:tc>
        <w:tc>
          <w:tcPr>
            <w:tcW w:w="854" w:type="pct"/>
            <w:vAlign w:val="center"/>
          </w:tcPr>
          <w:p>
            <w:pPr>
              <w:widowControl/>
              <w:spacing w:line="320" w:lineRule="exact"/>
              <w:jc w:val="center"/>
              <w:rPr>
                <w:rFonts w:ascii="仿宋" w:hAnsi="仿宋" w:eastAsia="仿宋"/>
              </w:rPr>
            </w:pPr>
            <w:r>
              <w:rPr>
                <w:rFonts w:hint="eastAsia" w:ascii="仿宋" w:hAnsi="仿宋" w:eastAsia="仿宋"/>
              </w:rPr>
              <w:t>400</w:t>
            </w:r>
          </w:p>
        </w:tc>
        <w:tc>
          <w:tcPr>
            <w:tcW w:w="597" w:type="pct"/>
            <w:vAlign w:val="center"/>
          </w:tcPr>
          <w:p>
            <w:pPr>
              <w:spacing w:line="320" w:lineRule="exact"/>
              <w:jc w:val="center"/>
              <w:rPr>
                <w:rFonts w:ascii="仿宋" w:hAnsi="仿宋" w:eastAsia="仿宋"/>
                <w:bCs/>
                <w:kern w:val="0"/>
                <w:szCs w:val="21"/>
                <w:lang w:val="zh-CN"/>
              </w:rPr>
            </w:pPr>
            <w:r>
              <w:rPr>
                <w:rFonts w:ascii="仿宋" w:hAnsi="仿宋" w:eastAsia="仿宋"/>
                <w:bCs/>
                <w:kern w:val="0"/>
                <w:szCs w:val="21"/>
                <w:lang w:val="zh-CN"/>
              </w:rPr>
              <w:t>二类区</w:t>
            </w:r>
          </w:p>
        </w:tc>
        <w:tc>
          <w:tcPr>
            <w:tcW w:w="599" w:type="pct"/>
            <w:vAlign w:val="center"/>
          </w:tcPr>
          <w:p>
            <w:pPr>
              <w:spacing w:line="300" w:lineRule="exact"/>
              <w:jc w:val="center"/>
              <w:rPr>
                <w:rFonts w:ascii="仿宋" w:hAnsi="仿宋" w:eastAsia="仿宋"/>
                <w:bCs/>
                <w:szCs w:val="21"/>
              </w:rPr>
            </w:pPr>
            <w:r>
              <w:rPr>
                <w:rFonts w:hint="eastAsia" w:ascii="仿宋" w:hAnsi="仿宋" w:eastAsia="仿宋"/>
                <w:bCs/>
                <w:szCs w:val="21"/>
              </w:rPr>
              <w:t>WS</w:t>
            </w:r>
          </w:p>
        </w:tc>
        <w:tc>
          <w:tcPr>
            <w:tcW w:w="644" w:type="pct"/>
            <w:vAlign w:val="center"/>
          </w:tcPr>
          <w:p>
            <w:pPr>
              <w:spacing w:line="300" w:lineRule="exact"/>
              <w:jc w:val="center"/>
              <w:rPr>
                <w:rFonts w:ascii="仿宋" w:hAnsi="仿宋" w:eastAsia="仿宋"/>
                <w:bCs/>
                <w:szCs w:val="21"/>
              </w:rPr>
            </w:pPr>
            <w:r>
              <w:rPr>
                <w:rFonts w:hint="eastAsia" w:ascii="仿宋" w:hAnsi="仿宋" w:eastAsia="仿宋"/>
                <w:bCs/>
                <w:szCs w:val="21"/>
              </w:rPr>
              <w:t>3120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8" w:type="pct"/>
            <w:vMerge w:val="continue"/>
            <w:vAlign w:val="center"/>
          </w:tcPr>
          <w:p>
            <w:pPr>
              <w:widowControl/>
              <w:spacing w:line="320" w:lineRule="exact"/>
              <w:jc w:val="center"/>
              <w:rPr>
                <w:rFonts w:ascii="仿宋" w:hAnsi="仿宋" w:eastAsia="仿宋"/>
              </w:rPr>
            </w:pPr>
          </w:p>
        </w:tc>
        <w:tc>
          <w:tcPr>
            <w:tcW w:w="1162" w:type="pct"/>
            <w:vAlign w:val="center"/>
          </w:tcPr>
          <w:p>
            <w:pPr>
              <w:widowControl/>
              <w:spacing w:line="320" w:lineRule="exact"/>
              <w:jc w:val="center"/>
              <w:rPr>
                <w:rFonts w:ascii="仿宋" w:hAnsi="仿宋" w:eastAsia="仿宋"/>
                <w:bCs/>
                <w:szCs w:val="21"/>
              </w:rPr>
            </w:pPr>
            <w:r>
              <w:rPr>
                <w:rFonts w:hint="eastAsia" w:ascii="仿宋" w:hAnsi="仿宋" w:eastAsia="仿宋"/>
                <w:bCs/>
                <w:szCs w:val="21"/>
              </w:rPr>
              <w:t>午干</w:t>
            </w:r>
          </w:p>
        </w:tc>
        <w:tc>
          <w:tcPr>
            <w:tcW w:w="633" w:type="pct"/>
            <w:vAlign w:val="center"/>
          </w:tcPr>
          <w:p>
            <w:pPr>
              <w:spacing w:line="320" w:lineRule="exact"/>
              <w:jc w:val="center"/>
              <w:rPr>
                <w:rFonts w:ascii="仿宋" w:hAnsi="仿宋" w:eastAsia="仿宋"/>
              </w:rPr>
            </w:pPr>
            <w:r>
              <w:rPr>
                <w:rFonts w:hint="eastAsia" w:ascii="仿宋" w:hAnsi="仿宋" w:eastAsia="仿宋"/>
              </w:rPr>
              <w:t>居住区</w:t>
            </w:r>
          </w:p>
        </w:tc>
        <w:tc>
          <w:tcPr>
            <w:tcW w:w="854" w:type="pct"/>
            <w:vAlign w:val="center"/>
          </w:tcPr>
          <w:p>
            <w:pPr>
              <w:widowControl/>
              <w:spacing w:line="320" w:lineRule="exact"/>
              <w:jc w:val="center"/>
              <w:rPr>
                <w:rFonts w:ascii="仿宋" w:hAnsi="仿宋" w:eastAsia="仿宋"/>
              </w:rPr>
            </w:pPr>
            <w:r>
              <w:rPr>
                <w:rFonts w:hint="eastAsia" w:ascii="仿宋" w:hAnsi="仿宋" w:eastAsia="仿宋"/>
                <w:bCs/>
                <w:szCs w:val="21"/>
              </w:rPr>
              <w:t>80</w:t>
            </w:r>
          </w:p>
        </w:tc>
        <w:tc>
          <w:tcPr>
            <w:tcW w:w="597" w:type="pct"/>
            <w:vAlign w:val="center"/>
          </w:tcPr>
          <w:p>
            <w:pPr>
              <w:spacing w:line="320" w:lineRule="exact"/>
              <w:jc w:val="center"/>
              <w:rPr>
                <w:rFonts w:ascii="仿宋" w:hAnsi="仿宋" w:eastAsia="仿宋"/>
                <w:bCs/>
                <w:kern w:val="0"/>
                <w:szCs w:val="21"/>
                <w:lang w:val="zh-CN"/>
              </w:rPr>
            </w:pPr>
            <w:r>
              <w:rPr>
                <w:rFonts w:ascii="仿宋" w:hAnsi="仿宋" w:eastAsia="仿宋"/>
                <w:bCs/>
                <w:kern w:val="0"/>
                <w:szCs w:val="21"/>
                <w:lang w:val="zh-CN"/>
              </w:rPr>
              <w:t>二类区</w:t>
            </w:r>
          </w:p>
        </w:tc>
        <w:tc>
          <w:tcPr>
            <w:tcW w:w="599" w:type="pct"/>
            <w:vAlign w:val="bottom"/>
          </w:tcPr>
          <w:p>
            <w:pPr>
              <w:widowControl/>
              <w:autoSpaceDE w:val="0"/>
              <w:autoSpaceDN w:val="0"/>
              <w:adjustRightInd w:val="0"/>
              <w:snapToGrid w:val="0"/>
              <w:jc w:val="center"/>
              <w:rPr>
                <w:rFonts w:ascii="仿宋" w:hAnsi="仿宋" w:eastAsia="仿宋"/>
                <w:bCs/>
                <w:szCs w:val="21"/>
              </w:rPr>
            </w:pPr>
            <w:r>
              <w:rPr>
                <w:rFonts w:hint="eastAsia" w:ascii="仿宋" w:hAnsi="仿宋" w:eastAsia="仿宋"/>
                <w:bCs/>
                <w:szCs w:val="21"/>
              </w:rPr>
              <w:t>WS</w:t>
            </w:r>
          </w:p>
        </w:tc>
        <w:tc>
          <w:tcPr>
            <w:tcW w:w="644" w:type="pct"/>
            <w:vAlign w:val="center"/>
          </w:tcPr>
          <w:p>
            <w:pPr>
              <w:spacing w:line="300" w:lineRule="exact"/>
              <w:jc w:val="center"/>
              <w:rPr>
                <w:rFonts w:ascii="仿宋" w:hAnsi="仿宋" w:eastAsia="仿宋"/>
                <w:bCs/>
                <w:szCs w:val="21"/>
              </w:rPr>
            </w:pPr>
            <w:r>
              <w:rPr>
                <w:rFonts w:hint="eastAsia" w:ascii="仿宋" w:hAnsi="仿宋" w:eastAsia="仿宋"/>
                <w:bCs/>
                <w:szCs w:val="21"/>
              </w:rPr>
              <w:t>4014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8" w:type="pct"/>
            <w:vMerge w:val="continue"/>
            <w:vAlign w:val="center"/>
          </w:tcPr>
          <w:p>
            <w:pPr>
              <w:widowControl/>
              <w:spacing w:line="320" w:lineRule="exact"/>
              <w:jc w:val="center"/>
              <w:rPr>
                <w:rFonts w:ascii="仿宋" w:hAnsi="仿宋" w:eastAsia="仿宋"/>
              </w:rPr>
            </w:pPr>
          </w:p>
        </w:tc>
        <w:tc>
          <w:tcPr>
            <w:tcW w:w="1162" w:type="pct"/>
            <w:vAlign w:val="center"/>
          </w:tcPr>
          <w:p>
            <w:pPr>
              <w:widowControl/>
              <w:spacing w:line="320" w:lineRule="exact"/>
              <w:jc w:val="center"/>
              <w:rPr>
                <w:rFonts w:ascii="仿宋" w:hAnsi="仿宋" w:eastAsia="仿宋"/>
                <w:bCs/>
                <w:szCs w:val="21"/>
              </w:rPr>
            </w:pPr>
            <w:r>
              <w:rPr>
                <w:rFonts w:hint="eastAsia" w:ascii="仿宋" w:hAnsi="仿宋" w:eastAsia="仿宋"/>
                <w:bCs/>
                <w:szCs w:val="21"/>
              </w:rPr>
              <w:t>思模村</w:t>
            </w:r>
          </w:p>
        </w:tc>
        <w:tc>
          <w:tcPr>
            <w:tcW w:w="633" w:type="pct"/>
            <w:vAlign w:val="center"/>
          </w:tcPr>
          <w:p>
            <w:pPr>
              <w:spacing w:line="320" w:lineRule="exact"/>
              <w:jc w:val="center"/>
              <w:rPr>
                <w:rFonts w:ascii="仿宋" w:hAnsi="仿宋" w:eastAsia="仿宋"/>
              </w:rPr>
            </w:pPr>
            <w:r>
              <w:rPr>
                <w:rFonts w:hint="eastAsia" w:ascii="仿宋" w:hAnsi="仿宋" w:eastAsia="仿宋"/>
              </w:rPr>
              <w:t>居住区</w:t>
            </w:r>
          </w:p>
        </w:tc>
        <w:tc>
          <w:tcPr>
            <w:tcW w:w="854" w:type="pct"/>
            <w:vAlign w:val="center"/>
          </w:tcPr>
          <w:p>
            <w:pPr>
              <w:widowControl/>
              <w:spacing w:line="320" w:lineRule="exact"/>
              <w:jc w:val="center"/>
              <w:rPr>
                <w:rFonts w:ascii="仿宋" w:hAnsi="仿宋" w:eastAsia="仿宋"/>
              </w:rPr>
            </w:pPr>
            <w:r>
              <w:rPr>
                <w:rFonts w:hint="eastAsia" w:ascii="仿宋" w:hAnsi="仿宋" w:eastAsia="仿宋"/>
              </w:rPr>
              <w:t>40</w:t>
            </w:r>
          </w:p>
        </w:tc>
        <w:tc>
          <w:tcPr>
            <w:tcW w:w="597" w:type="pct"/>
            <w:vAlign w:val="center"/>
          </w:tcPr>
          <w:p>
            <w:pPr>
              <w:spacing w:line="320" w:lineRule="exact"/>
              <w:jc w:val="center"/>
              <w:rPr>
                <w:rFonts w:ascii="仿宋" w:hAnsi="仿宋" w:eastAsia="仿宋"/>
                <w:bCs/>
                <w:kern w:val="0"/>
                <w:szCs w:val="21"/>
                <w:lang w:val="zh-CN"/>
              </w:rPr>
            </w:pPr>
            <w:r>
              <w:rPr>
                <w:rFonts w:ascii="仿宋" w:hAnsi="仿宋" w:eastAsia="仿宋"/>
                <w:bCs/>
                <w:kern w:val="0"/>
                <w:szCs w:val="21"/>
                <w:lang w:val="zh-CN"/>
              </w:rPr>
              <w:t>二类区</w:t>
            </w:r>
          </w:p>
        </w:tc>
        <w:tc>
          <w:tcPr>
            <w:tcW w:w="599" w:type="pct"/>
            <w:vAlign w:val="center"/>
          </w:tcPr>
          <w:p>
            <w:pPr>
              <w:spacing w:line="300" w:lineRule="exact"/>
              <w:jc w:val="center"/>
              <w:rPr>
                <w:rFonts w:ascii="仿宋" w:hAnsi="仿宋" w:eastAsia="仿宋"/>
                <w:bCs/>
                <w:szCs w:val="21"/>
              </w:rPr>
            </w:pPr>
            <w:r>
              <w:rPr>
                <w:rFonts w:hint="eastAsia" w:ascii="仿宋" w:hAnsi="仿宋" w:eastAsia="仿宋"/>
                <w:bCs/>
                <w:szCs w:val="21"/>
              </w:rPr>
              <w:t>WS</w:t>
            </w:r>
          </w:p>
        </w:tc>
        <w:tc>
          <w:tcPr>
            <w:tcW w:w="644" w:type="pct"/>
            <w:vAlign w:val="center"/>
          </w:tcPr>
          <w:p>
            <w:pPr>
              <w:spacing w:line="300" w:lineRule="exact"/>
              <w:jc w:val="center"/>
              <w:rPr>
                <w:rFonts w:ascii="仿宋" w:hAnsi="仿宋" w:eastAsia="仿宋"/>
                <w:bCs/>
                <w:szCs w:val="21"/>
              </w:rPr>
            </w:pPr>
            <w:r>
              <w:rPr>
                <w:rFonts w:hint="eastAsia" w:ascii="仿宋" w:hAnsi="仿宋" w:eastAsia="仿宋"/>
                <w:bCs/>
                <w:szCs w:val="21"/>
              </w:rPr>
              <w:t>5000</w:t>
            </w:r>
          </w:p>
        </w:tc>
      </w:tr>
    </w:tbl>
    <w:p>
      <w:pPr>
        <w:numPr>
          <w:ilvl w:val="0"/>
          <w:numId w:val="16"/>
        </w:numPr>
        <w:spacing w:line="500" w:lineRule="exact"/>
        <w:ind w:firstLine="560" w:firstLineChars="200"/>
        <w:rPr>
          <w:rFonts w:eastAsia="仿宋_GB2312"/>
          <w:sz w:val="28"/>
          <w:szCs w:val="28"/>
        </w:rPr>
      </w:pPr>
      <w:r>
        <w:rPr>
          <w:rFonts w:hint="eastAsia" w:eastAsia="仿宋_GB2312"/>
          <w:sz w:val="28"/>
          <w:szCs w:val="28"/>
        </w:rPr>
        <w:t>事故源参数</w:t>
      </w:r>
    </w:p>
    <w:p>
      <w:pPr>
        <w:snapToGrid w:val="0"/>
        <w:spacing w:line="500" w:lineRule="exact"/>
        <w:ind w:firstLine="560" w:firstLineChars="200"/>
        <w:rPr>
          <w:rFonts w:eastAsia="仿宋_GB2312"/>
          <w:sz w:val="28"/>
          <w:szCs w:val="28"/>
        </w:rPr>
      </w:pPr>
      <w:r>
        <w:rPr>
          <w:rFonts w:eastAsia="仿宋_GB2312"/>
          <w:sz w:val="28"/>
          <w:szCs w:val="28"/>
        </w:rPr>
        <w:t>本项目大气事故源参数汇总情况见下表。</w:t>
      </w:r>
    </w:p>
    <w:p>
      <w:pPr>
        <w:adjustRightInd w:val="0"/>
        <w:snapToGrid w:val="0"/>
        <w:ind w:firstLine="482"/>
        <w:jc w:val="center"/>
        <w:rPr>
          <w:rFonts w:ascii="仿宋" w:hAnsi="仿宋" w:eastAsia="仿宋"/>
          <w:b/>
          <w:sz w:val="24"/>
        </w:rPr>
      </w:pPr>
      <w:r>
        <w:rPr>
          <w:rFonts w:ascii="仿宋" w:hAnsi="仿宋" w:eastAsia="仿宋"/>
          <w:b/>
          <w:sz w:val="24"/>
        </w:rPr>
        <w:t>表</w:t>
      </w:r>
      <w:r>
        <w:rPr>
          <w:rFonts w:hint="eastAsia" w:ascii="仿宋" w:hAnsi="仿宋" w:eastAsia="仿宋"/>
          <w:b/>
          <w:sz w:val="24"/>
        </w:rPr>
        <w:t>5.3</w:t>
      </w:r>
      <w:r>
        <w:rPr>
          <w:rFonts w:ascii="仿宋" w:hAnsi="仿宋" w:eastAsia="仿宋"/>
          <w:b/>
          <w:sz w:val="24"/>
        </w:rPr>
        <w:t>-26 大气风险预测模型主要参数表</w:t>
      </w:r>
    </w:p>
    <w:tbl>
      <w:tblPr>
        <w:tblStyle w:val="87"/>
        <w:tblW w:w="495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46"/>
        <w:gridCol w:w="2128"/>
        <w:gridCol w:w="1624"/>
        <w:gridCol w:w="1295"/>
        <w:gridCol w:w="1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70" w:type="pct"/>
            <w:gridSpan w:val="2"/>
            <w:vMerge w:val="restart"/>
            <w:vAlign w:val="center"/>
          </w:tcPr>
          <w:p>
            <w:pPr>
              <w:jc w:val="center"/>
              <w:rPr>
                <w:rFonts w:ascii="仿宋" w:hAnsi="仿宋" w:eastAsia="仿宋"/>
                <w:bCs/>
              </w:rPr>
            </w:pPr>
            <w:r>
              <w:rPr>
                <w:rFonts w:ascii="仿宋" w:hAnsi="仿宋" w:eastAsia="仿宋"/>
                <w:bCs/>
              </w:rPr>
              <w:t>类别</w:t>
            </w:r>
          </w:p>
        </w:tc>
        <w:tc>
          <w:tcPr>
            <w:tcW w:w="2830" w:type="pct"/>
            <w:gridSpan w:val="3"/>
            <w:vAlign w:val="center"/>
          </w:tcPr>
          <w:p>
            <w:pPr>
              <w:jc w:val="center"/>
              <w:rPr>
                <w:rFonts w:ascii="仿宋" w:hAnsi="仿宋" w:eastAsia="仿宋"/>
                <w:bCs/>
              </w:rPr>
            </w:pPr>
            <w:r>
              <w:rPr>
                <w:rFonts w:ascii="仿宋" w:hAnsi="仿宋" w:eastAsia="仿宋"/>
                <w:bCs/>
              </w:rPr>
              <w:t>危险物质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70" w:type="pct"/>
            <w:gridSpan w:val="2"/>
            <w:vMerge w:val="continue"/>
            <w:vAlign w:val="center"/>
          </w:tcPr>
          <w:p>
            <w:pPr>
              <w:jc w:val="center"/>
              <w:rPr>
                <w:rFonts w:ascii="仿宋" w:hAnsi="仿宋" w:eastAsia="仿宋"/>
                <w:bCs/>
              </w:rPr>
            </w:pPr>
          </w:p>
        </w:tc>
        <w:tc>
          <w:tcPr>
            <w:tcW w:w="986" w:type="pct"/>
            <w:vAlign w:val="center"/>
          </w:tcPr>
          <w:p>
            <w:pPr>
              <w:jc w:val="center"/>
              <w:rPr>
                <w:rFonts w:ascii="仿宋" w:hAnsi="仿宋" w:eastAsia="仿宋"/>
                <w:bCs/>
              </w:rPr>
            </w:pPr>
            <w:r>
              <w:rPr>
                <w:rFonts w:hint="eastAsia" w:ascii="仿宋" w:hAnsi="仿宋" w:eastAsia="仿宋"/>
                <w:bCs/>
              </w:rPr>
              <w:t>二甲苯</w:t>
            </w:r>
          </w:p>
        </w:tc>
        <w:tc>
          <w:tcPr>
            <w:tcW w:w="786" w:type="pct"/>
            <w:vAlign w:val="center"/>
          </w:tcPr>
          <w:p>
            <w:pPr>
              <w:jc w:val="center"/>
              <w:rPr>
                <w:rFonts w:ascii="仿宋" w:hAnsi="仿宋" w:eastAsia="仿宋"/>
                <w:bCs/>
              </w:rPr>
            </w:pPr>
            <w:r>
              <w:rPr>
                <w:rFonts w:ascii="仿宋" w:hAnsi="仿宋" w:eastAsia="仿宋"/>
                <w:bCs/>
              </w:rPr>
              <w:t>乙酸乙酯</w:t>
            </w:r>
          </w:p>
        </w:tc>
        <w:tc>
          <w:tcPr>
            <w:tcW w:w="1058" w:type="pct"/>
            <w:vAlign w:val="center"/>
          </w:tcPr>
          <w:p>
            <w:pPr>
              <w:jc w:val="center"/>
              <w:rPr>
                <w:rFonts w:ascii="仿宋" w:hAnsi="仿宋" w:eastAsia="仿宋"/>
                <w:bCs/>
              </w:rPr>
            </w:pPr>
            <w:r>
              <w:rPr>
                <w:rFonts w:hint="eastAsia" w:ascii="仿宋" w:hAnsi="仿宋" w:eastAsia="仿宋"/>
                <w:bCs/>
              </w:rPr>
              <w:t>CO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70" w:type="pct"/>
            <w:gridSpan w:val="2"/>
            <w:vAlign w:val="center"/>
          </w:tcPr>
          <w:p>
            <w:pPr>
              <w:jc w:val="center"/>
              <w:rPr>
                <w:rFonts w:ascii="仿宋" w:hAnsi="仿宋" w:eastAsia="仿宋"/>
                <w:bCs/>
              </w:rPr>
            </w:pPr>
            <w:r>
              <w:rPr>
                <w:rFonts w:ascii="仿宋" w:hAnsi="仿宋" w:eastAsia="仿宋"/>
                <w:bCs/>
              </w:rPr>
              <w:t>泄漏设备类型及尺寸</w:t>
            </w:r>
          </w:p>
        </w:tc>
        <w:tc>
          <w:tcPr>
            <w:tcW w:w="986" w:type="pct"/>
            <w:vAlign w:val="center"/>
          </w:tcPr>
          <w:p>
            <w:pPr>
              <w:jc w:val="center"/>
              <w:rPr>
                <w:rFonts w:ascii="仿宋" w:hAnsi="仿宋" w:eastAsia="仿宋"/>
                <w:bCs/>
              </w:rPr>
            </w:pPr>
            <w:r>
              <w:rPr>
                <w:rFonts w:ascii="仿宋" w:hAnsi="仿宋" w:eastAsia="仿宋"/>
                <w:bCs/>
              </w:rPr>
              <w:t>0.</w:t>
            </w:r>
            <w:r>
              <w:rPr>
                <w:rFonts w:hint="eastAsia" w:ascii="仿宋" w:hAnsi="仿宋" w:eastAsia="仿宋"/>
                <w:bCs/>
              </w:rPr>
              <w:t>1m</w:t>
            </w:r>
            <w:r>
              <w:rPr>
                <w:rFonts w:ascii="仿宋" w:hAnsi="仿宋" w:eastAsia="仿宋"/>
                <w:bCs/>
                <w:vertAlign w:val="superscript"/>
              </w:rPr>
              <w:t>3</w:t>
            </w:r>
          </w:p>
        </w:tc>
        <w:tc>
          <w:tcPr>
            <w:tcW w:w="786" w:type="pct"/>
            <w:vAlign w:val="center"/>
          </w:tcPr>
          <w:p>
            <w:pPr>
              <w:adjustRightInd w:val="0"/>
              <w:snapToGrid w:val="0"/>
              <w:jc w:val="center"/>
              <w:rPr>
                <w:rFonts w:ascii="仿宋" w:hAnsi="仿宋" w:eastAsia="仿宋"/>
                <w:bCs/>
              </w:rPr>
            </w:pPr>
            <w:r>
              <w:rPr>
                <w:rFonts w:ascii="仿宋" w:hAnsi="仿宋" w:eastAsia="仿宋"/>
                <w:bCs/>
              </w:rPr>
              <w:t>0.</w:t>
            </w:r>
            <w:r>
              <w:rPr>
                <w:rFonts w:hint="eastAsia" w:ascii="仿宋" w:hAnsi="仿宋" w:eastAsia="仿宋"/>
                <w:bCs/>
              </w:rPr>
              <w:t>1m</w:t>
            </w:r>
            <w:r>
              <w:rPr>
                <w:rFonts w:ascii="仿宋" w:hAnsi="仿宋" w:eastAsia="仿宋"/>
                <w:bCs/>
                <w:vertAlign w:val="superscript"/>
              </w:rPr>
              <w:t>3</w:t>
            </w:r>
          </w:p>
        </w:tc>
        <w:tc>
          <w:tcPr>
            <w:tcW w:w="1058" w:type="pct"/>
            <w:vAlign w:val="center"/>
          </w:tcPr>
          <w:p>
            <w:pPr>
              <w:adjustRightInd w:val="0"/>
              <w:snapToGrid w:val="0"/>
              <w:jc w:val="center"/>
              <w:rPr>
                <w:rFonts w:ascii="仿宋" w:hAnsi="仿宋" w:eastAsia="仿宋"/>
                <w:bCs/>
              </w:rPr>
            </w:pPr>
            <w:r>
              <w:rPr>
                <w:rFonts w:hint="eastAsia" w:ascii="仿宋" w:hAnsi="仿宋" w:eastAsia="仿宋"/>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78" w:type="pct"/>
            <w:vMerge w:val="restart"/>
            <w:vAlign w:val="center"/>
          </w:tcPr>
          <w:p>
            <w:pPr>
              <w:jc w:val="center"/>
              <w:rPr>
                <w:rFonts w:ascii="仿宋" w:hAnsi="仿宋" w:eastAsia="仿宋"/>
                <w:bCs/>
              </w:rPr>
            </w:pPr>
            <w:r>
              <w:rPr>
                <w:rFonts w:ascii="仿宋" w:hAnsi="仿宋" w:eastAsia="仿宋"/>
                <w:bCs/>
              </w:rPr>
              <w:t>操作</w:t>
            </w:r>
          </w:p>
          <w:p>
            <w:pPr>
              <w:jc w:val="center"/>
              <w:rPr>
                <w:rFonts w:ascii="仿宋" w:hAnsi="仿宋" w:eastAsia="仿宋"/>
                <w:bCs/>
              </w:rPr>
            </w:pPr>
            <w:r>
              <w:rPr>
                <w:rFonts w:ascii="仿宋" w:hAnsi="仿宋" w:eastAsia="仿宋"/>
                <w:bCs/>
              </w:rPr>
              <w:t>参数</w:t>
            </w:r>
          </w:p>
        </w:tc>
        <w:tc>
          <w:tcPr>
            <w:tcW w:w="1292" w:type="pct"/>
            <w:vAlign w:val="center"/>
          </w:tcPr>
          <w:p>
            <w:pPr>
              <w:jc w:val="center"/>
              <w:rPr>
                <w:rFonts w:ascii="仿宋" w:hAnsi="仿宋" w:eastAsia="仿宋"/>
                <w:bCs/>
              </w:rPr>
            </w:pPr>
            <w:r>
              <w:rPr>
                <w:rFonts w:ascii="仿宋" w:hAnsi="仿宋" w:eastAsia="仿宋"/>
                <w:bCs/>
              </w:rPr>
              <w:t>压力</w:t>
            </w:r>
          </w:p>
        </w:tc>
        <w:tc>
          <w:tcPr>
            <w:tcW w:w="986" w:type="pct"/>
            <w:vAlign w:val="center"/>
          </w:tcPr>
          <w:p>
            <w:pPr>
              <w:jc w:val="center"/>
              <w:rPr>
                <w:rFonts w:ascii="仿宋" w:hAnsi="仿宋" w:eastAsia="仿宋"/>
                <w:bCs/>
              </w:rPr>
            </w:pPr>
            <w:r>
              <w:rPr>
                <w:rFonts w:ascii="仿宋" w:hAnsi="仿宋" w:eastAsia="仿宋"/>
                <w:bCs/>
              </w:rPr>
              <w:t>常压</w:t>
            </w:r>
          </w:p>
        </w:tc>
        <w:tc>
          <w:tcPr>
            <w:tcW w:w="786" w:type="pct"/>
            <w:vAlign w:val="center"/>
          </w:tcPr>
          <w:p>
            <w:pPr>
              <w:jc w:val="center"/>
              <w:rPr>
                <w:rFonts w:ascii="仿宋" w:hAnsi="仿宋" w:eastAsia="仿宋"/>
                <w:bCs/>
              </w:rPr>
            </w:pPr>
            <w:r>
              <w:rPr>
                <w:rFonts w:ascii="仿宋" w:hAnsi="仿宋" w:eastAsia="仿宋"/>
                <w:bCs/>
              </w:rPr>
              <w:t>常压</w:t>
            </w:r>
          </w:p>
        </w:tc>
        <w:tc>
          <w:tcPr>
            <w:tcW w:w="1058" w:type="pct"/>
            <w:vAlign w:val="center"/>
          </w:tcPr>
          <w:p>
            <w:pPr>
              <w:adjustRightInd w:val="0"/>
              <w:snapToGrid w:val="0"/>
              <w:jc w:val="center"/>
              <w:rPr>
                <w:rFonts w:ascii="仿宋" w:hAnsi="仿宋" w:eastAsia="仿宋"/>
                <w:bCs/>
              </w:rPr>
            </w:pPr>
            <w:r>
              <w:rPr>
                <w:rFonts w:hint="eastAsia" w:ascii="仿宋" w:hAnsi="仿宋" w:eastAsia="仿宋"/>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78" w:type="pct"/>
            <w:vMerge w:val="continue"/>
            <w:vAlign w:val="center"/>
          </w:tcPr>
          <w:p>
            <w:pPr>
              <w:jc w:val="center"/>
              <w:rPr>
                <w:rFonts w:ascii="仿宋" w:hAnsi="仿宋" w:eastAsia="仿宋"/>
                <w:bCs/>
              </w:rPr>
            </w:pPr>
          </w:p>
        </w:tc>
        <w:tc>
          <w:tcPr>
            <w:tcW w:w="1292" w:type="pct"/>
            <w:vAlign w:val="center"/>
          </w:tcPr>
          <w:p>
            <w:pPr>
              <w:jc w:val="center"/>
              <w:rPr>
                <w:rFonts w:ascii="仿宋" w:hAnsi="仿宋" w:eastAsia="仿宋"/>
                <w:bCs/>
              </w:rPr>
            </w:pPr>
            <w:r>
              <w:rPr>
                <w:rFonts w:ascii="仿宋" w:hAnsi="仿宋" w:eastAsia="仿宋"/>
                <w:bCs/>
              </w:rPr>
              <w:t>温度</w:t>
            </w:r>
          </w:p>
        </w:tc>
        <w:tc>
          <w:tcPr>
            <w:tcW w:w="986" w:type="pct"/>
            <w:vAlign w:val="center"/>
          </w:tcPr>
          <w:p>
            <w:pPr>
              <w:jc w:val="center"/>
              <w:rPr>
                <w:rFonts w:ascii="仿宋" w:hAnsi="仿宋" w:eastAsia="仿宋"/>
                <w:bCs/>
              </w:rPr>
            </w:pPr>
            <w:r>
              <w:rPr>
                <w:rFonts w:ascii="仿宋" w:hAnsi="仿宋" w:eastAsia="仿宋"/>
                <w:bCs/>
              </w:rPr>
              <w:t>常温</w:t>
            </w:r>
          </w:p>
        </w:tc>
        <w:tc>
          <w:tcPr>
            <w:tcW w:w="786" w:type="pct"/>
            <w:vAlign w:val="center"/>
          </w:tcPr>
          <w:p>
            <w:pPr>
              <w:jc w:val="center"/>
              <w:rPr>
                <w:rFonts w:ascii="仿宋" w:hAnsi="仿宋" w:eastAsia="仿宋"/>
                <w:bCs/>
              </w:rPr>
            </w:pPr>
            <w:r>
              <w:rPr>
                <w:rFonts w:ascii="仿宋" w:hAnsi="仿宋" w:eastAsia="仿宋"/>
                <w:bCs/>
              </w:rPr>
              <w:t>常温</w:t>
            </w:r>
          </w:p>
        </w:tc>
        <w:tc>
          <w:tcPr>
            <w:tcW w:w="1058" w:type="pct"/>
            <w:vAlign w:val="center"/>
          </w:tcPr>
          <w:p>
            <w:pPr>
              <w:adjustRightInd w:val="0"/>
              <w:snapToGrid w:val="0"/>
              <w:jc w:val="center"/>
              <w:rPr>
                <w:rFonts w:ascii="仿宋" w:hAnsi="仿宋" w:eastAsia="仿宋"/>
                <w:bCs/>
              </w:rPr>
            </w:pPr>
            <w:r>
              <w:rPr>
                <w:rFonts w:hint="eastAsia" w:ascii="仿宋" w:hAnsi="仿宋" w:eastAsia="仿宋"/>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78" w:type="pct"/>
            <w:vMerge w:val="restart"/>
            <w:vAlign w:val="center"/>
          </w:tcPr>
          <w:p>
            <w:pPr>
              <w:jc w:val="center"/>
              <w:rPr>
                <w:rFonts w:ascii="仿宋" w:hAnsi="仿宋" w:eastAsia="仿宋"/>
                <w:bCs/>
              </w:rPr>
            </w:pPr>
            <w:r>
              <w:rPr>
                <w:rFonts w:ascii="仿宋" w:hAnsi="仿宋" w:eastAsia="仿宋"/>
                <w:bCs/>
              </w:rPr>
              <w:t>泄漏物质理化特性</w:t>
            </w:r>
          </w:p>
        </w:tc>
        <w:tc>
          <w:tcPr>
            <w:tcW w:w="1292" w:type="pct"/>
            <w:vAlign w:val="center"/>
          </w:tcPr>
          <w:p>
            <w:pPr>
              <w:jc w:val="center"/>
              <w:rPr>
                <w:rFonts w:ascii="仿宋" w:hAnsi="仿宋" w:eastAsia="仿宋"/>
                <w:bCs/>
              </w:rPr>
            </w:pPr>
            <w:r>
              <w:rPr>
                <w:rFonts w:ascii="仿宋" w:hAnsi="仿宋" w:eastAsia="仿宋"/>
                <w:bCs/>
              </w:rPr>
              <w:t>摩尔质量</w:t>
            </w:r>
          </w:p>
        </w:tc>
        <w:tc>
          <w:tcPr>
            <w:tcW w:w="986" w:type="pct"/>
            <w:vAlign w:val="center"/>
          </w:tcPr>
          <w:p>
            <w:pPr>
              <w:adjustRightInd w:val="0"/>
              <w:snapToGrid w:val="0"/>
              <w:spacing w:line="240" w:lineRule="exact"/>
              <w:jc w:val="center"/>
              <w:rPr>
                <w:rFonts w:ascii="仿宋" w:hAnsi="仿宋" w:eastAsia="仿宋"/>
                <w:bCs/>
              </w:rPr>
            </w:pPr>
            <w:r>
              <w:rPr>
                <w:rFonts w:hint="eastAsia" w:ascii="仿宋" w:hAnsi="仿宋" w:eastAsia="仿宋"/>
                <w:bCs/>
              </w:rPr>
              <w:t>106.165</w:t>
            </w:r>
          </w:p>
        </w:tc>
        <w:tc>
          <w:tcPr>
            <w:tcW w:w="786" w:type="pct"/>
            <w:vAlign w:val="center"/>
          </w:tcPr>
          <w:p>
            <w:pPr>
              <w:adjustRightInd w:val="0"/>
              <w:snapToGrid w:val="0"/>
              <w:ind w:left="-56" w:hanging="105"/>
              <w:jc w:val="center"/>
              <w:rPr>
                <w:rFonts w:eastAsia="仿宋_GB2312"/>
                <w:szCs w:val="21"/>
              </w:rPr>
            </w:pPr>
            <w:r>
              <w:rPr>
                <w:rFonts w:eastAsia="仿宋_GB2312"/>
                <w:szCs w:val="21"/>
              </w:rPr>
              <w:t>88.11</w:t>
            </w:r>
          </w:p>
        </w:tc>
        <w:tc>
          <w:tcPr>
            <w:tcW w:w="1058" w:type="pct"/>
            <w:vAlign w:val="center"/>
          </w:tcPr>
          <w:p>
            <w:pPr>
              <w:adjustRightInd w:val="0"/>
              <w:snapToGrid w:val="0"/>
              <w:ind w:left="-56" w:hanging="105"/>
              <w:jc w:val="center"/>
              <w:rPr>
                <w:rFonts w:eastAsia="仿宋_GB2312"/>
                <w:szCs w:val="21"/>
              </w:rPr>
            </w:pPr>
            <w:r>
              <w:rPr>
                <w:rFonts w:eastAsia="仿宋_GB2312"/>
                <w:szCs w:val="21"/>
              </w:rPr>
              <w:t>28.0101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78" w:type="pct"/>
            <w:vMerge w:val="continue"/>
            <w:vAlign w:val="center"/>
          </w:tcPr>
          <w:p>
            <w:pPr>
              <w:jc w:val="center"/>
              <w:rPr>
                <w:rFonts w:ascii="仿宋" w:hAnsi="仿宋" w:eastAsia="仿宋"/>
                <w:bCs/>
              </w:rPr>
            </w:pPr>
          </w:p>
        </w:tc>
        <w:tc>
          <w:tcPr>
            <w:tcW w:w="1292" w:type="pct"/>
            <w:vAlign w:val="center"/>
          </w:tcPr>
          <w:p>
            <w:pPr>
              <w:jc w:val="center"/>
              <w:rPr>
                <w:rFonts w:ascii="仿宋" w:hAnsi="仿宋" w:eastAsia="仿宋"/>
                <w:bCs/>
              </w:rPr>
            </w:pPr>
            <w:r>
              <w:rPr>
                <w:rFonts w:ascii="仿宋" w:hAnsi="仿宋" w:eastAsia="仿宋"/>
                <w:bCs/>
              </w:rPr>
              <w:t>沸点（K）</w:t>
            </w:r>
          </w:p>
        </w:tc>
        <w:tc>
          <w:tcPr>
            <w:tcW w:w="986" w:type="pct"/>
            <w:vAlign w:val="center"/>
          </w:tcPr>
          <w:p>
            <w:pPr>
              <w:adjustRightInd w:val="0"/>
              <w:snapToGrid w:val="0"/>
              <w:spacing w:line="240" w:lineRule="exact"/>
              <w:jc w:val="center"/>
              <w:rPr>
                <w:rFonts w:ascii="仿宋" w:hAnsi="仿宋" w:eastAsia="仿宋"/>
                <w:bCs/>
              </w:rPr>
            </w:pPr>
            <w:r>
              <w:rPr>
                <w:rFonts w:ascii="仿宋" w:hAnsi="仿宋" w:eastAsia="仿宋"/>
                <w:bCs/>
              </w:rPr>
              <w:t>417.55</w:t>
            </w:r>
          </w:p>
        </w:tc>
        <w:tc>
          <w:tcPr>
            <w:tcW w:w="786" w:type="pct"/>
            <w:vAlign w:val="center"/>
          </w:tcPr>
          <w:p>
            <w:pPr>
              <w:adjustRightInd w:val="0"/>
              <w:snapToGrid w:val="0"/>
              <w:ind w:left="-56" w:hanging="105"/>
              <w:jc w:val="center"/>
              <w:rPr>
                <w:rFonts w:eastAsia="仿宋_GB2312"/>
                <w:szCs w:val="21"/>
              </w:rPr>
            </w:pPr>
            <w:r>
              <w:rPr>
                <w:rFonts w:eastAsia="仿宋_GB2312"/>
                <w:szCs w:val="21"/>
              </w:rPr>
              <w:t>350.3</w:t>
            </w:r>
          </w:p>
        </w:tc>
        <w:tc>
          <w:tcPr>
            <w:tcW w:w="1058" w:type="pct"/>
            <w:vAlign w:val="center"/>
          </w:tcPr>
          <w:p>
            <w:pPr>
              <w:adjustRightInd w:val="0"/>
              <w:snapToGrid w:val="0"/>
              <w:ind w:left="-56" w:hanging="105"/>
              <w:jc w:val="center"/>
              <w:rPr>
                <w:rFonts w:eastAsia="仿宋_GB2312"/>
                <w:szCs w:val="21"/>
              </w:rPr>
            </w:pPr>
            <w:r>
              <w:rPr>
                <w:rFonts w:eastAsia="仿宋_GB2312"/>
                <w:szCs w:val="21"/>
              </w:rPr>
              <w:t>81.65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78" w:type="pct"/>
            <w:vMerge w:val="continue"/>
            <w:vAlign w:val="center"/>
          </w:tcPr>
          <w:p>
            <w:pPr>
              <w:jc w:val="center"/>
              <w:rPr>
                <w:rFonts w:ascii="仿宋" w:hAnsi="仿宋" w:eastAsia="仿宋"/>
                <w:bCs/>
              </w:rPr>
            </w:pPr>
          </w:p>
        </w:tc>
        <w:tc>
          <w:tcPr>
            <w:tcW w:w="1292" w:type="pct"/>
            <w:vAlign w:val="center"/>
          </w:tcPr>
          <w:p>
            <w:pPr>
              <w:jc w:val="center"/>
              <w:rPr>
                <w:rFonts w:ascii="仿宋" w:hAnsi="仿宋" w:eastAsia="仿宋"/>
                <w:bCs/>
              </w:rPr>
            </w:pPr>
            <w:r>
              <w:rPr>
                <w:rFonts w:ascii="仿宋" w:hAnsi="仿宋" w:eastAsia="仿宋"/>
                <w:bCs/>
              </w:rPr>
              <w:t>临界温度（K）</w:t>
            </w:r>
          </w:p>
        </w:tc>
        <w:tc>
          <w:tcPr>
            <w:tcW w:w="986" w:type="pct"/>
            <w:vAlign w:val="center"/>
          </w:tcPr>
          <w:p>
            <w:pPr>
              <w:jc w:val="center"/>
              <w:rPr>
                <w:rFonts w:ascii="仿宋" w:hAnsi="仿宋" w:eastAsia="仿宋"/>
                <w:bCs/>
              </w:rPr>
            </w:pPr>
            <w:r>
              <w:rPr>
                <w:rFonts w:hint="eastAsia" w:ascii="仿宋" w:hAnsi="仿宋" w:eastAsia="仿宋"/>
                <w:bCs/>
              </w:rPr>
              <w:t>630.35</w:t>
            </w:r>
          </w:p>
        </w:tc>
        <w:tc>
          <w:tcPr>
            <w:tcW w:w="786" w:type="pct"/>
            <w:vAlign w:val="center"/>
          </w:tcPr>
          <w:p>
            <w:pPr>
              <w:adjustRightInd w:val="0"/>
              <w:snapToGrid w:val="0"/>
              <w:ind w:left="-56" w:hanging="105"/>
              <w:jc w:val="center"/>
              <w:rPr>
                <w:rFonts w:eastAsia="仿宋_GB2312"/>
                <w:szCs w:val="21"/>
              </w:rPr>
            </w:pPr>
            <w:r>
              <w:rPr>
                <w:rFonts w:eastAsia="仿宋_GB2312"/>
                <w:szCs w:val="21"/>
              </w:rPr>
              <w:t>523.15</w:t>
            </w:r>
          </w:p>
        </w:tc>
        <w:tc>
          <w:tcPr>
            <w:tcW w:w="1058" w:type="pct"/>
            <w:vAlign w:val="center"/>
          </w:tcPr>
          <w:p>
            <w:pPr>
              <w:adjustRightInd w:val="0"/>
              <w:snapToGrid w:val="0"/>
              <w:ind w:left="-56" w:hanging="105"/>
              <w:jc w:val="center"/>
              <w:rPr>
                <w:rFonts w:eastAsia="仿宋_GB2312"/>
                <w:szCs w:val="21"/>
              </w:rPr>
            </w:pPr>
            <w:r>
              <w:rPr>
                <w:rFonts w:hint="eastAsia" w:eastAsia="仿宋_GB2312"/>
                <w:szCs w:val="21"/>
              </w:rPr>
              <w:t>1</w:t>
            </w:r>
            <w:r>
              <w:rPr>
                <w:rFonts w:eastAsia="仿宋_GB2312"/>
                <w:szCs w:val="21"/>
              </w:rPr>
              <w:t>32.92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78" w:type="pct"/>
            <w:vMerge w:val="continue"/>
            <w:vAlign w:val="center"/>
          </w:tcPr>
          <w:p>
            <w:pPr>
              <w:jc w:val="center"/>
              <w:rPr>
                <w:rFonts w:ascii="仿宋" w:hAnsi="仿宋" w:eastAsia="仿宋"/>
                <w:bCs/>
              </w:rPr>
            </w:pPr>
          </w:p>
        </w:tc>
        <w:tc>
          <w:tcPr>
            <w:tcW w:w="1292" w:type="pct"/>
            <w:vAlign w:val="center"/>
          </w:tcPr>
          <w:p>
            <w:pPr>
              <w:jc w:val="center"/>
              <w:rPr>
                <w:rFonts w:ascii="仿宋" w:hAnsi="仿宋" w:eastAsia="仿宋"/>
                <w:bCs/>
              </w:rPr>
            </w:pPr>
            <w:r>
              <w:rPr>
                <w:rFonts w:ascii="仿宋" w:hAnsi="仿宋" w:eastAsia="仿宋"/>
                <w:bCs/>
              </w:rPr>
              <w:t>临界压力（MPa）</w:t>
            </w:r>
          </w:p>
        </w:tc>
        <w:tc>
          <w:tcPr>
            <w:tcW w:w="986" w:type="pct"/>
            <w:vAlign w:val="center"/>
          </w:tcPr>
          <w:p>
            <w:pPr>
              <w:jc w:val="center"/>
              <w:rPr>
                <w:rFonts w:ascii="仿宋" w:hAnsi="仿宋" w:eastAsia="仿宋"/>
                <w:bCs/>
              </w:rPr>
            </w:pPr>
            <w:r>
              <w:rPr>
                <w:rFonts w:hint="eastAsia" w:ascii="仿宋" w:hAnsi="仿宋" w:eastAsia="仿宋"/>
                <w:bCs/>
              </w:rPr>
              <w:t>3.70</w:t>
            </w:r>
          </w:p>
        </w:tc>
        <w:tc>
          <w:tcPr>
            <w:tcW w:w="786" w:type="pct"/>
            <w:vAlign w:val="center"/>
          </w:tcPr>
          <w:p>
            <w:pPr>
              <w:adjustRightInd w:val="0"/>
              <w:snapToGrid w:val="0"/>
              <w:ind w:left="-56" w:hanging="105"/>
              <w:jc w:val="center"/>
              <w:rPr>
                <w:rFonts w:eastAsia="仿宋_GB2312"/>
                <w:szCs w:val="21"/>
              </w:rPr>
            </w:pPr>
            <w:r>
              <w:rPr>
                <w:rFonts w:eastAsia="仿宋_GB2312"/>
                <w:szCs w:val="21"/>
              </w:rPr>
              <w:t>37.95918</w:t>
            </w:r>
          </w:p>
        </w:tc>
        <w:tc>
          <w:tcPr>
            <w:tcW w:w="1058" w:type="pct"/>
            <w:vAlign w:val="center"/>
          </w:tcPr>
          <w:p>
            <w:pPr>
              <w:adjustRightInd w:val="0"/>
              <w:snapToGrid w:val="0"/>
              <w:ind w:left="-56" w:hanging="105"/>
              <w:jc w:val="center"/>
              <w:rPr>
                <w:rFonts w:eastAsia="仿宋_GB2312"/>
                <w:szCs w:val="21"/>
              </w:rPr>
            </w:pPr>
            <w:r>
              <w:rPr>
                <w:rFonts w:eastAsia="仿宋_GB2312"/>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78" w:type="pct"/>
            <w:vMerge w:val="continue"/>
            <w:vAlign w:val="center"/>
          </w:tcPr>
          <w:p>
            <w:pPr>
              <w:jc w:val="center"/>
              <w:rPr>
                <w:rFonts w:ascii="仿宋" w:hAnsi="仿宋" w:eastAsia="仿宋"/>
                <w:bCs/>
              </w:rPr>
            </w:pPr>
          </w:p>
        </w:tc>
        <w:tc>
          <w:tcPr>
            <w:tcW w:w="1292" w:type="pct"/>
            <w:vAlign w:val="center"/>
          </w:tcPr>
          <w:p>
            <w:pPr>
              <w:jc w:val="center"/>
              <w:rPr>
                <w:rFonts w:ascii="仿宋" w:hAnsi="仿宋" w:eastAsia="仿宋"/>
                <w:bCs/>
              </w:rPr>
            </w:pPr>
            <w:r>
              <w:rPr>
                <w:rFonts w:ascii="仿宋" w:hAnsi="仿宋" w:eastAsia="仿宋"/>
                <w:bCs/>
              </w:rPr>
              <w:t>比热容比</w:t>
            </w:r>
          </w:p>
        </w:tc>
        <w:tc>
          <w:tcPr>
            <w:tcW w:w="986" w:type="pct"/>
            <w:vAlign w:val="center"/>
          </w:tcPr>
          <w:p>
            <w:pPr>
              <w:jc w:val="center"/>
              <w:rPr>
                <w:rFonts w:ascii="仿宋" w:hAnsi="仿宋" w:eastAsia="仿宋"/>
                <w:bCs/>
              </w:rPr>
            </w:pPr>
            <w:r>
              <w:rPr>
                <w:rFonts w:hint="eastAsia" w:ascii="仿宋" w:hAnsi="仿宋" w:eastAsia="仿宋"/>
                <w:bCs/>
              </w:rPr>
              <w:t>1.36</w:t>
            </w:r>
          </w:p>
        </w:tc>
        <w:tc>
          <w:tcPr>
            <w:tcW w:w="786" w:type="pct"/>
            <w:vAlign w:val="center"/>
          </w:tcPr>
          <w:p>
            <w:pPr>
              <w:adjustRightInd w:val="0"/>
              <w:snapToGrid w:val="0"/>
              <w:ind w:left="-56" w:hanging="105"/>
              <w:jc w:val="center"/>
              <w:rPr>
                <w:rFonts w:eastAsia="仿宋_GB2312"/>
                <w:szCs w:val="21"/>
              </w:rPr>
            </w:pPr>
            <w:r>
              <w:rPr>
                <w:rFonts w:hint="eastAsia" w:eastAsia="仿宋_GB2312"/>
                <w:szCs w:val="21"/>
              </w:rPr>
              <w:t>1</w:t>
            </w:r>
            <w:r>
              <w:rPr>
                <w:rFonts w:eastAsia="仿宋_GB2312"/>
                <w:szCs w:val="21"/>
              </w:rPr>
              <w:t>.41</w:t>
            </w:r>
          </w:p>
        </w:tc>
        <w:tc>
          <w:tcPr>
            <w:tcW w:w="1058" w:type="pct"/>
            <w:vAlign w:val="center"/>
          </w:tcPr>
          <w:p>
            <w:pPr>
              <w:adjustRightInd w:val="0"/>
              <w:snapToGrid w:val="0"/>
              <w:ind w:left="-56" w:hanging="105"/>
              <w:jc w:val="center"/>
              <w:rPr>
                <w:rFonts w:eastAsia="仿宋_GB2312"/>
                <w:szCs w:val="21"/>
              </w:rPr>
            </w:pPr>
            <w:r>
              <w:rPr>
                <w:rFonts w:hint="eastAsia" w:eastAsia="仿宋_GB2312"/>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78" w:type="pct"/>
            <w:vMerge w:val="continue"/>
            <w:vAlign w:val="center"/>
          </w:tcPr>
          <w:p>
            <w:pPr>
              <w:jc w:val="center"/>
              <w:rPr>
                <w:rFonts w:ascii="仿宋" w:hAnsi="仿宋" w:eastAsia="仿宋"/>
                <w:bCs/>
              </w:rPr>
            </w:pPr>
          </w:p>
        </w:tc>
        <w:tc>
          <w:tcPr>
            <w:tcW w:w="1292" w:type="pct"/>
            <w:vAlign w:val="center"/>
          </w:tcPr>
          <w:p>
            <w:pPr>
              <w:jc w:val="center"/>
              <w:rPr>
                <w:rFonts w:ascii="仿宋" w:hAnsi="仿宋" w:eastAsia="仿宋"/>
                <w:bCs/>
              </w:rPr>
            </w:pPr>
            <w:r>
              <w:rPr>
                <w:rFonts w:ascii="仿宋" w:hAnsi="仿宋" w:eastAsia="仿宋"/>
                <w:bCs/>
              </w:rPr>
              <w:t>气体定压比热容（J/Kg·K）</w:t>
            </w:r>
          </w:p>
        </w:tc>
        <w:tc>
          <w:tcPr>
            <w:tcW w:w="986" w:type="pct"/>
            <w:vAlign w:val="center"/>
          </w:tcPr>
          <w:p>
            <w:pPr>
              <w:jc w:val="center"/>
              <w:rPr>
                <w:rFonts w:ascii="仿宋" w:hAnsi="仿宋" w:eastAsia="仿宋"/>
                <w:bCs/>
              </w:rPr>
            </w:pPr>
            <w:r>
              <w:rPr>
                <w:rFonts w:hint="eastAsia" w:ascii="仿宋" w:hAnsi="仿宋" w:eastAsia="仿宋"/>
                <w:bCs/>
              </w:rPr>
              <w:t>/</w:t>
            </w:r>
          </w:p>
        </w:tc>
        <w:tc>
          <w:tcPr>
            <w:tcW w:w="786" w:type="pct"/>
            <w:vAlign w:val="center"/>
          </w:tcPr>
          <w:p>
            <w:pPr>
              <w:adjustRightInd w:val="0"/>
              <w:snapToGrid w:val="0"/>
              <w:ind w:left="-56" w:hanging="105"/>
              <w:jc w:val="center"/>
              <w:rPr>
                <w:rFonts w:eastAsia="仿宋_GB2312"/>
                <w:szCs w:val="21"/>
              </w:rPr>
            </w:pPr>
            <w:r>
              <w:rPr>
                <w:rFonts w:eastAsia="仿宋_GB2312"/>
                <w:szCs w:val="21"/>
              </w:rPr>
              <w:t>1335.653</w:t>
            </w:r>
          </w:p>
        </w:tc>
        <w:tc>
          <w:tcPr>
            <w:tcW w:w="1058" w:type="pct"/>
            <w:vAlign w:val="center"/>
          </w:tcPr>
          <w:p>
            <w:pPr>
              <w:adjustRightInd w:val="0"/>
              <w:snapToGrid w:val="0"/>
              <w:ind w:left="-56" w:hanging="105"/>
              <w:jc w:val="center"/>
              <w:rPr>
                <w:rFonts w:eastAsia="仿宋_GB2312"/>
                <w:szCs w:val="21"/>
              </w:rPr>
            </w:pPr>
            <w:r>
              <w:rPr>
                <w:rFonts w:hint="eastAsia" w:eastAsia="仿宋_GB2312"/>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78" w:type="pct"/>
            <w:vMerge w:val="continue"/>
            <w:vAlign w:val="center"/>
          </w:tcPr>
          <w:p>
            <w:pPr>
              <w:jc w:val="center"/>
              <w:rPr>
                <w:rFonts w:ascii="仿宋" w:hAnsi="仿宋" w:eastAsia="仿宋"/>
                <w:bCs/>
              </w:rPr>
            </w:pPr>
          </w:p>
        </w:tc>
        <w:tc>
          <w:tcPr>
            <w:tcW w:w="1292" w:type="pct"/>
            <w:vAlign w:val="center"/>
          </w:tcPr>
          <w:p>
            <w:pPr>
              <w:jc w:val="center"/>
              <w:rPr>
                <w:rFonts w:ascii="仿宋" w:hAnsi="仿宋" w:eastAsia="仿宋"/>
                <w:bCs/>
              </w:rPr>
            </w:pPr>
            <w:r>
              <w:rPr>
                <w:rFonts w:ascii="仿宋" w:hAnsi="仿宋" w:eastAsia="仿宋"/>
                <w:bCs/>
              </w:rPr>
              <w:t>液体定压比热容（J/Kg·K）</w:t>
            </w:r>
          </w:p>
        </w:tc>
        <w:tc>
          <w:tcPr>
            <w:tcW w:w="986" w:type="pct"/>
            <w:vAlign w:val="center"/>
          </w:tcPr>
          <w:p>
            <w:pPr>
              <w:jc w:val="center"/>
              <w:rPr>
                <w:rFonts w:ascii="仿宋" w:hAnsi="仿宋" w:eastAsia="仿宋"/>
                <w:bCs/>
              </w:rPr>
            </w:pPr>
            <w:r>
              <w:rPr>
                <w:rFonts w:hint="eastAsia" w:ascii="仿宋" w:hAnsi="仿宋" w:eastAsia="仿宋"/>
                <w:bCs/>
              </w:rPr>
              <w:t>/</w:t>
            </w:r>
          </w:p>
        </w:tc>
        <w:tc>
          <w:tcPr>
            <w:tcW w:w="786" w:type="pct"/>
            <w:vAlign w:val="center"/>
          </w:tcPr>
          <w:p>
            <w:pPr>
              <w:adjustRightInd w:val="0"/>
              <w:snapToGrid w:val="0"/>
              <w:ind w:left="-56" w:hanging="105"/>
              <w:jc w:val="center"/>
              <w:rPr>
                <w:rFonts w:eastAsia="仿宋_GB2312"/>
                <w:szCs w:val="21"/>
              </w:rPr>
            </w:pPr>
            <w:r>
              <w:rPr>
                <w:rFonts w:eastAsia="仿宋_GB2312"/>
                <w:szCs w:val="21"/>
              </w:rPr>
              <w:t>/</w:t>
            </w:r>
          </w:p>
        </w:tc>
        <w:tc>
          <w:tcPr>
            <w:tcW w:w="1058" w:type="pct"/>
            <w:vAlign w:val="center"/>
          </w:tcPr>
          <w:p>
            <w:pPr>
              <w:adjustRightInd w:val="0"/>
              <w:snapToGrid w:val="0"/>
              <w:ind w:left="-56" w:hanging="105"/>
              <w:jc w:val="center"/>
              <w:rPr>
                <w:rFonts w:eastAsia="仿宋_GB2312"/>
                <w:szCs w:val="21"/>
              </w:rPr>
            </w:pPr>
            <w:r>
              <w:rPr>
                <w:rFonts w:hint="eastAsia" w:eastAsia="仿宋_GB2312"/>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78" w:type="pct"/>
            <w:vMerge w:val="continue"/>
            <w:vAlign w:val="center"/>
          </w:tcPr>
          <w:p>
            <w:pPr>
              <w:jc w:val="center"/>
              <w:rPr>
                <w:rFonts w:ascii="仿宋" w:hAnsi="仿宋" w:eastAsia="仿宋"/>
                <w:bCs/>
              </w:rPr>
            </w:pPr>
          </w:p>
        </w:tc>
        <w:tc>
          <w:tcPr>
            <w:tcW w:w="1292" w:type="pct"/>
            <w:vAlign w:val="center"/>
          </w:tcPr>
          <w:p>
            <w:pPr>
              <w:jc w:val="center"/>
              <w:rPr>
                <w:rFonts w:ascii="仿宋" w:hAnsi="仿宋" w:eastAsia="仿宋"/>
                <w:bCs/>
              </w:rPr>
            </w:pPr>
            <w:r>
              <w:rPr>
                <w:rFonts w:ascii="仿宋" w:hAnsi="仿宋" w:eastAsia="仿宋"/>
                <w:bCs/>
              </w:rPr>
              <w:t>液体密度</w:t>
            </w:r>
            <w:r>
              <w:rPr>
                <w:rFonts w:hint="eastAsia" w:ascii="仿宋" w:hAnsi="仿宋" w:eastAsia="仿宋"/>
                <w:bCs/>
              </w:rPr>
              <w:t>（kg</w:t>
            </w:r>
            <w:r>
              <w:rPr>
                <w:rFonts w:ascii="仿宋" w:hAnsi="仿宋" w:eastAsia="仿宋"/>
                <w:bCs/>
              </w:rPr>
              <w:t>/</w:t>
            </w:r>
            <w:r>
              <w:rPr>
                <w:rFonts w:hint="eastAsia" w:ascii="仿宋" w:hAnsi="仿宋" w:eastAsia="仿宋"/>
                <w:bCs/>
              </w:rPr>
              <w:t>m</w:t>
            </w:r>
            <w:r>
              <w:rPr>
                <w:rFonts w:ascii="仿宋" w:hAnsi="仿宋" w:eastAsia="仿宋"/>
                <w:bCs/>
                <w:vertAlign w:val="superscript"/>
              </w:rPr>
              <w:t>3</w:t>
            </w:r>
            <w:r>
              <w:rPr>
                <w:rFonts w:hint="eastAsia" w:ascii="仿宋" w:hAnsi="仿宋" w:eastAsia="仿宋"/>
                <w:bCs/>
              </w:rPr>
              <w:t>）</w:t>
            </w:r>
          </w:p>
        </w:tc>
        <w:tc>
          <w:tcPr>
            <w:tcW w:w="986" w:type="pct"/>
            <w:vAlign w:val="center"/>
          </w:tcPr>
          <w:p>
            <w:pPr>
              <w:jc w:val="center"/>
              <w:rPr>
                <w:rFonts w:ascii="仿宋" w:hAnsi="仿宋" w:eastAsia="仿宋"/>
                <w:bCs/>
              </w:rPr>
            </w:pPr>
            <w:r>
              <w:rPr>
                <w:rFonts w:hint="eastAsia" w:ascii="仿宋" w:hAnsi="仿宋" w:eastAsia="仿宋"/>
                <w:bCs/>
              </w:rPr>
              <w:t>0.86</w:t>
            </w:r>
          </w:p>
        </w:tc>
        <w:tc>
          <w:tcPr>
            <w:tcW w:w="786" w:type="pct"/>
            <w:vAlign w:val="center"/>
          </w:tcPr>
          <w:p>
            <w:pPr>
              <w:adjustRightInd w:val="0"/>
              <w:snapToGrid w:val="0"/>
              <w:ind w:left="-56" w:hanging="105"/>
              <w:jc w:val="center"/>
              <w:rPr>
                <w:rFonts w:ascii="仿宋" w:hAnsi="仿宋" w:eastAsia="仿宋"/>
                <w:bCs/>
              </w:rPr>
            </w:pPr>
            <w:r>
              <w:rPr>
                <w:rFonts w:ascii="仿宋" w:hAnsi="仿宋" w:eastAsia="仿宋"/>
                <w:bCs/>
              </w:rPr>
              <w:t>0.902</w:t>
            </w:r>
          </w:p>
        </w:tc>
        <w:tc>
          <w:tcPr>
            <w:tcW w:w="1058" w:type="pct"/>
            <w:vAlign w:val="center"/>
          </w:tcPr>
          <w:p>
            <w:pPr>
              <w:adjustRightInd w:val="0"/>
              <w:snapToGrid w:val="0"/>
              <w:ind w:left="-56" w:hanging="105"/>
              <w:jc w:val="center"/>
              <w:rPr>
                <w:rFonts w:ascii="仿宋" w:hAnsi="仿宋" w:eastAsia="仿宋"/>
                <w:bCs/>
              </w:rPr>
            </w:pPr>
            <w:r>
              <w:rPr>
                <w:rFonts w:ascii="仿宋" w:hAnsi="仿宋" w:eastAsia="仿宋"/>
                <w:bCs/>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78" w:type="pct"/>
            <w:vMerge w:val="continue"/>
            <w:vAlign w:val="center"/>
          </w:tcPr>
          <w:p>
            <w:pPr>
              <w:jc w:val="center"/>
              <w:rPr>
                <w:rFonts w:ascii="仿宋" w:hAnsi="仿宋" w:eastAsia="仿宋"/>
                <w:bCs/>
              </w:rPr>
            </w:pPr>
          </w:p>
        </w:tc>
        <w:tc>
          <w:tcPr>
            <w:tcW w:w="1292" w:type="pct"/>
            <w:vAlign w:val="center"/>
          </w:tcPr>
          <w:p>
            <w:pPr>
              <w:jc w:val="center"/>
              <w:rPr>
                <w:rFonts w:ascii="仿宋" w:hAnsi="仿宋" w:eastAsia="仿宋"/>
                <w:bCs/>
              </w:rPr>
            </w:pPr>
            <w:r>
              <w:rPr>
                <w:rFonts w:ascii="仿宋" w:hAnsi="仿宋" w:eastAsia="仿宋"/>
                <w:bCs/>
              </w:rPr>
              <w:t>汽化热</w:t>
            </w:r>
          </w:p>
        </w:tc>
        <w:tc>
          <w:tcPr>
            <w:tcW w:w="986" w:type="pct"/>
            <w:vAlign w:val="center"/>
          </w:tcPr>
          <w:p>
            <w:pPr>
              <w:jc w:val="center"/>
              <w:rPr>
                <w:rFonts w:ascii="仿宋" w:hAnsi="仿宋" w:eastAsia="仿宋"/>
                <w:bCs/>
              </w:rPr>
            </w:pPr>
            <w:r>
              <w:rPr>
                <w:rFonts w:hint="eastAsia" w:ascii="仿宋" w:hAnsi="仿宋" w:eastAsia="仿宋"/>
                <w:bCs/>
              </w:rPr>
              <w:t>/</w:t>
            </w:r>
          </w:p>
        </w:tc>
        <w:tc>
          <w:tcPr>
            <w:tcW w:w="786" w:type="pct"/>
            <w:vAlign w:val="center"/>
          </w:tcPr>
          <w:p>
            <w:pPr>
              <w:adjustRightInd w:val="0"/>
              <w:snapToGrid w:val="0"/>
              <w:ind w:left="-56" w:hanging="105"/>
              <w:jc w:val="center"/>
              <w:rPr>
                <w:rFonts w:eastAsia="仿宋_GB2312"/>
                <w:szCs w:val="21"/>
              </w:rPr>
            </w:pPr>
            <w:r>
              <w:rPr>
                <w:rFonts w:eastAsia="仿宋_GB2312"/>
                <w:szCs w:val="21"/>
              </w:rPr>
              <w:t>/</w:t>
            </w:r>
          </w:p>
        </w:tc>
        <w:tc>
          <w:tcPr>
            <w:tcW w:w="1058" w:type="pct"/>
            <w:vAlign w:val="center"/>
          </w:tcPr>
          <w:p>
            <w:pPr>
              <w:adjustRightInd w:val="0"/>
              <w:snapToGrid w:val="0"/>
              <w:ind w:left="-56" w:hanging="105"/>
              <w:jc w:val="center"/>
              <w:rPr>
                <w:rFonts w:eastAsia="仿宋_GB2312"/>
                <w:szCs w:val="21"/>
              </w:rPr>
            </w:pPr>
            <w:r>
              <w:rPr>
                <w:rFonts w:hint="eastAsia" w:eastAsia="仿宋_GB2312"/>
                <w:szCs w:val="21"/>
              </w:rPr>
              <w:t>/</w:t>
            </w:r>
          </w:p>
        </w:tc>
      </w:tr>
    </w:tbl>
    <w:p>
      <w:pPr>
        <w:numPr>
          <w:ilvl w:val="0"/>
          <w:numId w:val="16"/>
        </w:numPr>
        <w:spacing w:line="500" w:lineRule="exact"/>
        <w:ind w:firstLine="560" w:firstLineChars="200"/>
        <w:rPr>
          <w:rFonts w:eastAsia="仿宋_GB2312"/>
          <w:sz w:val="28"/>
          <w:szCs w:val="28"/>
        </w:rPr>
      </w:pPr>
      <w:r>
        <w:rPr>
          <w:rFonts w:hint="eastAsia" w:eastAsia="仿宋_GB2312"/>
          <w:sz w:val="28"/>
          <w:szCs w:val="28"/>
        </w:rPr>
        <w:t>气象参数</w:t>
      </w:r>
    </w:p>
    <w:p>
      <w:pPr>
        <w:snapToGrid w:val="0"/>
        <w:spacing w:line="500" w:lineRule="exact"/>
        <w:ind w:firstLine="560" w:firstLineChars="200"/>
        <w:rPr>
          <w:rFonts w:eastAsia="仿宋_GB2312"/>
          <w:sz w:val="28"/>
          <w:szCs w:val="28"/>
        </w:rPr>
      </w:pPr>
      <w:r>
        <w:rPr>
          <w:rFonts w:eastAsia="仿宋_GB2312"/>
          <w:sz w:val="28"/>
          <w:szCs w:val="28"/>
        </w:rPr>
        <w:t>本项目气象参数见下表。</w:t>
      </w:r>
    </w:p>
    <w:p>
      <w:pPr>
        <w:adjustRightInd w:val="0"/>
        <w:snapToGrid w:val="0"/>
        <w:ind w:firstLine="482"/>
        <w:jc w:val="center"/>
        <w:rPr>
          <w:rFonts w:ascii="仿宋" w:hAnsi="仿宋" w:eastAsia="仿宋"/>
          <w:b/>
          <w:sz w:val="24"/>
          <w:szCs w:val="22"/>
        </w:rPr>
      </w:pPr>
      <w:r>
        <w:rPr>
          <w:rFonts w:ascii="仿宋" w:hAnsi="仿宋" w:eastAsia="仿宋"/>
          <w:b/>
          <w:sz w:val="24"/>
          <w:szCs w:val="22"/>
        </w:rPr>
        <w:t>表5.</w:t>
      </w:r>
      <w:r>
        <w:rPr>
          <w:rFonts w:hint="eastAsia" w:ascii="仿宋" w:hAnsi="仿宋" w:eastAsia="仿宋"/>
          <w:b/>
          <w:sz w:val="24"/>
          <w:szCs w:val="22"/>
        </w:rPr>
        <w:t>3</w:t>
      </w:r>
      <w:r>
        <w:rPr>
          <w:rFonts w:ascii="仿宋" w:hAnsi="仿宋" w:eastAsia="仿宋"/>
          <w:b/>
          <w:sz w:val="24"/>
          <w:szCs w:val="22"/>
        </w:rPr>
        <w:t xml:space="preserve">-27 </w:t>
      </w:r>
      <w:r>
        <w:rPr>
          <w:rFonts w:hint="eastAsia" w:ascii="仿宋" w:hAnsi="仿宋" w:eastAsia="仿宋"/>
          <w:b/>
          <w:sz w:val="24"/>
          <w:szCs w:val="22"/>
        </w:rPr>
        <w:t>事故源参数汇总表</w:t>
      </w:r>
    </w:p>
    <w:tbl>
      <w:tblPr>
        <w:tblStyle w:val="87"/>
        <w:tblW w:w="5000"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0" w:type="dxa"/>
          <w:bottom w:w="0" w:type="dxa"/>
          <w:right w:w="0" w:type="dxa"/>
        </w:tblCellMar>
      </w:tblPr>
      <w:tblGrid>
        <w:gridCol w:w="1281"/>
        <w:gridCol w:w="2112"/>
        <w:gridCol w:w="4923"/>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18" w:hRule="atLeast"/>
          <w:jc w:val="center"/>
        </w:trPr>
        <w:tc>
          <w:tcPr>
            <w:tcW w:w="770"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rPr>
            </w:pPr>
            <w:r>
              <w:rPr>
                <w:rFonts w:ascii="仿宋" w:hAnsi="仿宋" w:eastAsia="仿宋"/>
                <w:bCs/>
              </w:rPr>
              <w:t>参数类型</w:t>
            </w:r>
          </w:p>
        </w:tc>
        <w:tc>
          <w:tcPr>
            <w:tcW w:w="1270"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rPr>
            </w:pPr>
            <w:r>
              <w:rPr>
                <w:rFonts w:ascii="仿宋" w:hAnsi="仿宋" w:eastAsia="仿宋"/>
                <w:bCs/>
              </w:rPr>
              <w:t>选项</w:t>
            </w:r>
          </w:p>
        </w:tc>
        <w:tc>
          <w:tcPr>
            <w:tcW w:w="2960"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rPr>
            </w:pPr>
            <w:r>
              <w:rPr>
                <w:rFonts w:ascii="仿宋" w:hAnsi="仿宋" w:eastAsia="仿宋"/>
                <w:bCs/>
              </w:rPr>
              <w:t>参数</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770" w:type="pct"/>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rPr>
            </w:pPr>
            <w:r>
              <w:rPr>
                <w:rFonts w:ascii="仿宋" w:hAnsi="仿宋" w:eastAsia="仿宋"/>
                <w:bCs/>
              </w:rPr>
              <w:t>基本情况</w:t>
            </w:r>
          </w:p>
        </w:tc>
        <w:tc>
          <w:tcPr>
            <w:tcW w:w="1270"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rPr>
            </w:pPr>
            <w:r>
              <w:rPr>
                <w:rFonts w:ascii="仿宋" w:hAnsi="仿宋" w:eastAsia="仿宋"/>
                <w:bCs/>
              </w:rPr>
              <w:t>事故源经度/（°）</w:t>
            </w:r>
          </w:p>
        </w:tc>
        <w:tc>
          <w:tcPr>
            <w:tcW w:w="2960"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rPr>
            </w:pPr>
            <w:r>
              <w:rPr>
                <w:rFonts w:hint="eastAsia" w:ascii="仿宋" w:hAnsi="仿宋" w:eastAsia="仿宋"/>
                <w:bCs/>
              </w:rPr>
              <w:t>119.55242</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770"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rPr>
            </w:pPr>
          </w:p>
        </w:tc>
        <w:tc>
          <w:tcPr>
            <w:tcW w:w="1270"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rPr>
            </w:pPr>
            <w:r>
              <w:rPr>
                <w:rFonts w:ascii="仿宋" w:hAnsi="仿宋" w:eastAsia="仿宋"/>
                <w:bCs/>
              </w:rPr>
              <w:t>事故源纬度/（°）</w:t>
            </w:r>
          </w:p>
        </w:tc>
        <w:tc>
          <w:tcPr>
            <w:tcW w:w="2960"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rPr>
            </w:pPr>
            <w:r>
              <w:rPr>
                <w:rFonts w:hint="eastAsia" w:ascii="仿宋" w:hAnsi="仿宋" w:eastAsia="仿宋"/>
                <w:bCs/>
              </w:rPr>
              <w:t>31.769831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770"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rPr>
            </w:pPr>
          </w:p>
        </w:tc>
        <w:tc>
          <w:tcPr>
            <w:tcW w:w="1270"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rPr>
            </w:pPr>
            <w:r>
              <w:rPr>
                <w:rFonts w:ascii="仿宋" w:hAnsi="仿宋" w:eastAsia="仿宋"/>
                <w:bCs/>
              </w:rPr>
              <w:t>事故源类型</w:t>
            </w:r>
          </w:p>
        </w:tc>
        <w:tc>
          <w:tcPr>
            <w:tcW w:w="2960"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rPr>
            </w:pPr>
            <w:r>
              <w:rPr>
                <w:rFonts w:ascii="仿宋" w:hAnsi="仿宋" w:eastAsia="仿宋"/>
                <w:bCs/>
              </w:rPr>
              <w:t>泄漏</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770" w:type="pct"/>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rPr>
            </w:pPr>
            <w:r>
              <w:rPr>
                <w:rFonts w:ascii="仿宋" w:hAnsi="仿宋" w:eastAsia="仿宋"/>
                <w:bCs/>
              </w:rPr>
              <w:t>气象参数</w:t>
            </w:r>
          </w:p>
        </w:tc>
        <w:tc>
          <w:tcPr>
            <w:tcW w:w="1270"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rPr>
            </w:pPr>
            <w:r>
              <w:rPr>
                <w:rFonts w:ascii="仿宋" w:hAnsi="仿宋" w:eastAsia="仿宋"/>
                <w:bCs/>
              </w:rPr>
              <w:t>气象条件类型</w:t>
            </w:r>
          </w:p>
        </w:tc>
        <w:tc>
          <w:tcPr>
            <w:tcW w:w="2960"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rPr>
            </w:pPr>
            <w:r>
              <w:rPr>
                <w:rFonts w:ascii="仿宋" w:hAnsi="仿宋" w:eastAsia="仿宋"/>
                <w:bCs/>
              </w:rPr>
              <w:t>最不利气象</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770"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rPr>
            </w:pPr>
          </w:p>
        </w:tc>
        <w:tc>
          <w:tcPr>
            <w:tcW w:w="1270"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rPr>
            </w:pPr>
            <w:r>
              <w:rPr>
                <w:rFonts w:ascii="仿宋" w:hAnsi="仿宋" w:eastAsia="仿宋"/>
                <w:bCs/>
              </w:rPr>
              <w:t>风速（m/s）</w:t>
            </w:r>
          </w:p>
        </w:tc>
        <w:tc>
          <w:tcPr>
            <w:tcW w:w="2960"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rPr>
            </w:pPr>
            <w:r>
              <w:rPr>
                <w:rFonts w:ascii="仿宋" w:hAnsi="仿宋" w:eastAsia="仿宋"/>
                <w:bCs/>
              </w:rPr>
              <w:t>1.5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770"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rPr>
            </w:pPr>
          </w:p>
        </w:tc>
        <w:tc>
          <w:tcPr>
            <w:tcW w:w="1270"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rPr>
            </w:pPr>
            <w:r>
              <w:rPr>
                <w:rFonts w:ascii="仿宋" w:hAnsi="仿宋" w:eastAsia="仿宋"/>
                <w:bCs/>
              </w:rPr>
              <w:t>环境温度（</w:t>
            </w:r>
            <w:r>
              <w:rPr>
                <w:rFonts w:hint="eastAsia" w:ascii="仿宋" w:hAnsi="仿宋" w:eastAsia="仿宋"/>
                <w:bCs/>
              </w:rPr>
              <w:t>℃</w:t>
            </w:r>
            <w:r>
              <w:rPr>
                <w:rFonts w:ascii="仿宋" w:hAnsi="仿宋" w:eastAsia="仿宋"/>
                <w:bCs/>
              </w:rPr>
              <w:t>）</w:t>
            </w:r>
          </w:p>
        </w:tc>
        <w:tc>
          <w:tcPr>
            <w:tcW w:w="2960"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rPr>
            </w:pPr>
            <w:r>
              <w:rPr>
                <w:rFonts w:ascii="仿宋" w:hAnsi="仿宋" w:eastAsia="仿宋"/>
                <w:bCs/>
              </w:rPr>
              <w:t>25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770"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rPr>
            </w:pPr>
          </w:p>
        </w:tc>
        <w:tc>
          <w:tcPr>
            <w:tcW w:w="1270"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rPr>
            </w:pPr>
            <w:r>
              <w:rPr>
                <w:rFonts w:ascii="仿宋" w:hAnsi="仿宋" w:eastAsia="仿宋"/>
                <w:bCs/>
              </w:rPr>
              <w:t>相对湿度（%）</w:t>
            </w:r>
          </w:p>
        </w:tc>
        <w:tc>
          <w:tcPr>
            <w:tcW w:w="2960"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rPr>
            </w:pPr>
            <w:r>
              <w:rPr>
                <w:rFonts w:ascii="仿宋" w:hAnsi="仿宋" w:eastAsia="仿宋"/>
                <w:bCs/>
              </w:rPr>
              <w:t>50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770"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rPr>
            </w:pPr>
          </w:p>
        </w:tc>
        <w:tc>
          <w:tcPr>
            <w:tcW w:w="1270"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rPr>
            </w:pPr>
            <w:r>
              <w:rPr>
                <w:rFonts w:ascii="仿宋" w:hAnsi="仿宋" w:eastAsia="仿宋"/>
                <w:bCs/>
              </w:rPr>
              <w:t>稳定度</w:t>
            </w:r>
          </w:p>
        </w:tc>
        <w:tc>
          <w:tcPr>
            <w:tcW w:w="2960"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rPr>
            </w:pPr>
            <w:r>
              <w:rPr>
                <w:rFonts w:ascii="仿宋" w:hAnsi="仿宋" w:eastAsia="仿宋"/>
                <w:bCs/>
              </w:rPr>
              <w:t>F</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770" w:type="pct"/>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rPr>
            </w:pPr>
            <w:r>
              <w:rPr>
                <w:rFonts w:ascii="仿宋" w:hAnsi="仿宋" w:eastAsia="仿宋"/>
                <w:bCs/>
              </w:rPr>
              <w:t>其他参数</w:t>
            </w:r>
          </w:p>
        </w:tc>
        <w:tc>
          <w:tcPr>
            <w:tcW w:w="1270"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rPr>
            </w:pPr>
            <w:r>
              <w:rPr>
                <w:rFonts w:ascii="仿宋" w:hAnsi="仿宋" w:eastAsia="仿宋"/>
                <w:bCs/>
              </w:rPr>
              <w:t>地表粗糙度/m</w:t>
            </w:r>
          </w:p>
        </w:tc>
        <w:tc>
          <w:tcPr>
            <w:tcW w:w="2960"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rPr>
            </w:pPr>
            <w:r>
              <w:rPr>
                <w:rFonts w:ascii="仿宋" w:hAnsi="仿宋" w:eastAsia="仿宋"/>
                <w:bCs/>
              </w:rPr>
              <w:t>0.03</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770"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rPr>
            </w:pPr>
          </w:p>
        </w:tc>
        <w:tc>
          <w:tcPr>
            <w:tcW w:w="1270"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rPr>
            </w:pPr>
            <w:r>
              <w:rPr>
                <w:rFonts w:ascii="仿宋" w:hAnsi="仿宋" w:eastAsia="仿宋"/>
                <w:bCs/>
              </w:rPr>
              <w:t>是否考虑地形</w:t>
            </w:r>
          </w:p>
        </w:tc>
        <w:tc>
          <w:tcPr>
            <w:tcW w:w="2960"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rPr>
            </w:pPr>
            <w:r>
              <w:rPr>
                <w:rFonts w:ascii="仿宋" w:hAnsi="仿宋" w:eastAsia="仿宋"/>
                <w:bCs/>
              </w:rPr>
              <w:t>是</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770"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rPr>
            </w:pPr>
          </w:p>
        </w:tc>
        <w:tc>
          <w:tcPr>
            <w:tcW w:w="1270"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rPr>
            </w:pPr>
            <w:r>
              <w:rPr>
                <w:rFonts w:ascii="仿宋" w:hAnsi="仿宋" w:eastAsia="仿宋"/>
                <w:bCs/>
              </w:rPr>
              <w:t>地形数据精度</w:t>
            </w:r>
          </w:p>
        </w:tc>
        <w:tc>
          <w:tcPr>
            <w:tcW w:w="2960"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Cs/>
              </w:rPr>
            </w:pPr>
            <w:r>
              <w:rPr>
                <w:rFonts w:ascii="仿宋" w:hAnsi="仿宋" w:eastAsia="仿宋"/>
                <w:bCs/>
              </w:rPr>
              <w:t>90米</w:t>
            </w:r>
          </w:p>
        </w:tc>
      </w:tr>
    </w:tbl>
    <w:p>
      <w:pPr>
        <w:numPr>
          <w:ilvl w:val="0"/>
          <w:numId w:val="16"/>
        </w:numPr>
        <w:spacing w:line="500" w:lineRule="exact"/>
        <w:ind w:firstLine="560" w:firstLineChars="200"/>
        <w:rPr>
          <w:rFonts w:eastAsia="仿宋_GB2312"/>
          <w:sz w:val="28"/>
          <w:szCs w:val="28"/>
        </w:rPr>
      </w:pPr>
      <w:r>
        <w:rPr>
          <w:rFonts w:hint="eastAsia" w:eastAsia="仿宋_GB2312"/>
          <w:sz w:val="28"/>
          <w:szCs w:val="28"/>
        </w:rPr>
        <w:t>大气毒性终点浓度值</w:t>
      </w:r>
    </w:p>
    <w:p>
      <w:pPr>
        <w:snapToGrid w:val="0"/>
        <w:spacing w:line="500" w:lineRule="exact"/>
        <w:ind w:firstLine="560" w:firstLineChars="200"/>
        <w:rPr>
          <w:rFonts w:eastAsia="仿宋_GB2312"/>
          <w:sz w:val="28"/>
          <w:szCs w:val="28"/>
        </w:rPr>
      </w:pPr>
      <w:r>
        <w:rPr>
          <w:rFonts w:eastAsia="仿宋_GB2312"/>
          <w:sz w:val="28"/>
          <w:szCs w:val="28"/>
        </w:rPr>
        <w:t>本项目大气毒性终点浓度值见下表。</w:t>
      </w:r>
    </w:p>
    <w:p>
      <w:pPr>
        <w:adjustRightInd w:val="0"/>
        <w:snapToGrid w:val="0"/>
        <w:ind w:firstLine="482"/>
        <w:jc w:val="center"/>
        <w:rPr>
          <w:rFonts w:ascii="仿宋" w:hAnsi="仿宋" w:eastAsia="仿宋"/>
          <w:b/>
          <w:sz w:val="24"/>
          <w:szCs w:val="22"/>
        </w:rPr>
      </w:pPr>
    </w:p>
    <w:p>
      <w:pPr>
        <w:adjustRightInd w:val="0"/>
        <w:snapToGrid w:val="0"/>
        <w:ind w:firstLine="482"/>
        <w:jc w:val="center"/>
        <w:rPr>
          <w:rFonts w:ascii="仿宋" w:hAnsi="仿宋" w:eastAsia="仿宋"/>
          <w:b/>
          <w:sz w:val="24"/>
          <w:szCs w:val="22"/>
        </w:rPr>
      </w:pPr>
    </w:p>
    <w:p>
      <w:pPr>
        <w:adjustRightInd w:val="0"/>
        <w:snapToGrid w:val="0"/>
        <w:ind w:firstLine="482"/>
        <w:jc w:val="center"/>
        <w:rPr>
          <w:rFonts w:ascii="仿宋" w:hAnsi="仿宋" w:eastAsia="仿宋"/>
          <w:b/>
          <w:sz w:val="24"/>
          <w:szCs w:val="22"/>
        </w:rPr>
      </w:pPr>
    </w:p>
    <w:p>
      <w:pPr>
        <w:adjustRightInd w:val="0"/>
        <w:snapToGrid w:val="0"/>
        <w:ind w:firstLine="482"/>
        <w:jc w:val="center"/>
        <w:rPr>
          <w:rFonts w:ascii="仿宋" w:hAnsi="仿宋" w:eastAsia="仿宋"/>
          <w:b/>
          <w:sz w:val="24"/>
          <w:szCs w:val="22"/>
        </w:rPr>
      </w:pPr>
    </w:p>
    <w:p>
      <w:pPr>
        <w:adjustRightInd w:val="0"/>
        <w:snapToGrid w:val="0"/>
        <w:ind w:firstLine="482"/>
        <w:jc w:val="center"/>
        <w:rPr>
          <w:rFonts w:ascii="仿宋" w:hAnsi="仿宋" w:eastAsia="仿宋"/>
          <w:b/>
          <w:sz w:val="24"/>
          <w:szCs w:val="22"/>
        </w:rPr>
      </w:pPr>
      <w:r>
        <w:rPr>
          <w:rFonts w:ascii="仿宋" w:hAnsi="仿宋" w:eastAsia="仿宋"/>
          <w:b/>
          <w:sz w:val="24"/>
          <w:szCs w:val="22"/>
        </w:rPr>
        <w:t>表5.</w:t>
      </w:r>
      <w:r>
        <w:rPr>
          <w:rFonts w:hint="eastAsia" w:ascii="仿宋" w:hAnsi="仿宋" w:eastAsia="仿宋"/>
          <w:b/>
          <w:sz w:val="24"/>
          <w:szCs w:val="22"/>
        </w:rPr>
        <w:t>3</w:t>
      </w:r>
      <w:r>
        <w:rPr>
          <w:rFonts w:ascii="仿宋" w:hAnsi="仿宋" w:eastAsia="仿宋"/>
          <w:b/>
          <w:sz w:val="24"/>
          <w:szCs w:val="22"/>
        </w:rPr>
        <w:t>-28 大气毒性终点浓度值汇总表</w:t>
      </w:r>
    </w:p>
    <w:tbl>
      <w:tblPr>
        <w:tblStyle w:val="87"/>
        <w:tblW w:w="502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21"/>
        <w:gridCol w:w="1962"/>
        <w:gridCol w:w="3012"/>
        <w:gridCol w:w="2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12" w:type="pct"/>
            <w:vAlign w:val="center"/>
          </w:tcPr>
          <w:p>
            <w:pPr>
              <w:jc w:val="center"/>
              <w:rPr>
                <w:rFonts w:ascii="仿宋" w:hAnsi="仿宋" w:eastAsia="仿宋"/>
                <w:bCs/>
              </w:rPr>
            </w:pPr>
            <w:r>
              <w:rPr>
                <w:rFonts w:ascii="仿宋" w:hAnsi="仿宋" w:eastAsia="仿宋"/>
                <w:bCs/>
              </w:rPr>
              <w:t>序号</w:t>
            </w:r>
          </w:p>
        </w:tc>
        <w:tc>
          <w:tcPr>
            <w:tcW w:w="1174" w:type="pct"/>
            <w:vAlign w:val="center"/>
          </w:tcPr>
          <w:p>
            <w:pPr>
              <w:jc w:val="center"/>
              <w:rPr>
                <w:rFonts w:ascii="仿宋" w:hAnsi="仿宋" w:eastAsia="仿宋"/>
                <w:bCs/>
              </w:rPr>
            </w:pPr>
            <w:r>
              <w:rPr>
                <w:rFonts w:ascii="仿宋" w:hAnsi="仿宋" w:eastAsia="仿宋"/>
                <w:bCs/>
              </w:rPr>
              <w:t>危险物质</w:t>
            </w:r>
          </w:p>
        </w:tc>
        <w:tc>
          <w:tcPr>
            <w:tcW w:w="1802" w:type="pct"/>
            <w:vAlign w:val="center"/>
          </w:tcPr>
          <w:p>
            <w:pPr>
              <w:jc w:val="center"/>
              <w:rPr>
                <w:rFonts w:ascii="仿宋" w:hAnsi="仿宋" w:eastAsia="仿宋"/>
                <w:bCs/>
              </w:rPr>
            </w:pPr>
            <w:r>
              <w:rPr>
                <w:rFonts w:ascii="仿宋" w:hAnsi="仿宋" w:eastAsia="仿宋"/>
                <w:bCs/>
              </w:rPr>
              <w:t>指标</w:t>
            </w:r>
          </w:p>
        </w:tc>
        <w:tc>
          <w:tcPr>
            <w:tcW w:w="1712" w:type="pct"/>
            <w:vAlign w:val="center"/>
          </w:tcPr>
          <w:p>
            <w:pPr>
              <w:jc w:val="center"/>
              <w:rPr>
                <w:rFonts w:ascii="仿宋" w:hAnsi="仿宋" w:eastAsia="仿宋"/>
                <w:bCs/>
              </w:rPr>
            </w:pPr>
            <w:r>
              <w:rPr>
                <w:rFonts w:ascii="仿宋" w:hAnsi="仿宋" w:eastAsia="仿宋"/>
                <w:bCs/>
              </w:rPr>
              <w:t>浓度值（mg/m</w:t>
            </w:r>
            <w:r>
              <w:rPr>
                <w:rFonts w:ascii="仿宋" w:hAnsi="仿宋" w:eastAsia="仿宋"/>
                <w:bCs/>
                <w:vertAlign w:val="superscript"/>
              </w:rPr>
              <w:t>3</w:t>
            </w:r>
            <w:r>
              <w:rPr>
                <w:rFonts w:ascii="仿宋" w:hAnsi="仿宋" w:eastAsia="仿宋"/>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12" w:type="pct"/>
            <w:vMerge w:val="restart"/>
            <w:vAlign w:val="center"/>
          </w:tcPr>
          <w:p>
            <w:pPr>
              <w:jc w:val="center"/>
              <w:rPr>
                <w:rFonts w:ascii="仿宋" w:hAnsi="仿宋" w:eastAsia="仿宋"/>
                <w:bCs/>
              </w:rPr>
            </w:pPr>
            <w:r>
              <w:rPr>
                <w:rFonts w:ascii="仿宋" w:hAnsi="仿宋" w:eastAsia="仿宋"/>
                <w:bCs/>
              </w:rPr>
              <w:t>1</w:t>
            </w:r>
          </w:p>
        </w:tc>
        <w:tc>
          <w:tcPr>
            <w:tcW w:w="1174" w:type="pct"/>
            <w:vMerge w:val="restart"/>
            <w:vAlign w:val="center"/>
          </w:tcPr>
          <w:p>
            <w:pPr>
              <w:jc w:val="center"/>
              <w:rPr>
                <w:rFonts w:ascii="仿宋" w:hAnsi="仿宋" w:eastAsia="仿宋"/>
                <w:bCs/>
              </w:rPr>
            </w:pPr>
            <w:r>
              <w:rPr>
                <w:rFonts w:hint="eastAsia" w:ascii="仿宋" w:hAnsi="仿宋" w:eastAsia="仿宋"/>
                <w:bCs/>
              </w:rPr>
              <w:t>二甲苯</w:t>
            </w:r>
          </w:p>
        </w:tc>
        <w:tc>
          <w:tcPr>
            <w:tcW w:w="1802" w:type="pct"/>
            <w:vAlign w:val="center"/>
          </w:tcPr>
          <w:p>
            <w:pPr>
              <w:jc w:val="center"/>
              <w:rPr>
                <w:rFonts w:ascii="仿宋" w:hAnsi="仿宋" w:eastAsia="仿宋"/>
                <w:bCs/>
              </w:rPr>
            </w:pPr>
            <w:r>
              <w:rPr>
                <w:rFonts w:ascii="仿宋" w:hAnsi="仿宋" w:eastAsia="仿宋"/>
                <w:bCs/>
              </w:rPr>
              <w:t>大气毒性终点浓度-1</w:t>
            </w:r>
          </w:p>
        </w:tc>
        <w:tc>
          <w:tcPr>
            <w:tcW w:w="1712" w:type="pct"/>
            <w:vAlign w:val="center"/>
          </w:tcPr>
          <w:p>
            <w:pPr>
              <w:jc w:val="center"/>
              <w:rPr>
                <w:rFonts w:ascii="仿宋" w:hAnsi="仿宋" w:eastAsia="仿宋"/>
                <w:bCs/>
              </w:rPr>
            </w:pPr>
            <w:r>
              <w:rPr>
                <w:rFonts w:hint="eastAsia" w:ascii="仿宋" w:hAnsi="仿宋" w:eastAsia="仿宋"/>
                <w:bCs/>
              </w:rPr>
              <w:t>11000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0" w:hRule="atLeast"/>
          <w:jc w:val="center"/>
        </w:trPr>
        <w:tc>
          <w:tcPr>
            <w:tcW w:w="312" w:type="pct"/>
            <w:vMerge w:val="continue"/>
            <w:vAlign w:val="center"/>
          </w:tcPr>
          <w:p>
            <w:pPr>
              <w:jc w:val="center"/>
              <w:rPr>
                <w:rFonts w:ascii="仿宋" w:hAnsi="仿宋" w:eastAsia="仿宋"/>
                <w:bCs/>
              </w:rPr>
            </w:pPr>
          </w:p>
        </w:tc>
        <w:tc>
          <w:tcPr>
            <w:tcW w:w="1174" w:type="pct"/>
            <w:vMerge w:val="continue"/>
            <w:vAlign w:val="center"/>
          </w:tcPr>
          <w:p>
            <w:pPr>
              <w:jc w:val="center"/>
              <w:rPr>
                <w:rFonts w:ascii="仿宋" w:hAnsi="仿宋" w:eastAsia="仿宋"/>
                <w:bCs/>
              </w:rPr>
            </w:pPr>
          </w:p>
        </w:tc>
        <w:tc>
          <w:tcPr>
            <w:tcW w:w="1802" w:type="pct"/>
            <w:vAlign w:val="center"/>
          </w:tcPr>
          <w:p>
            <w:pPr>
              <w:jc w:val="center"/>
              <w:rPr>
                <w:rFonts w:ascii="仿宋" w:hAnsi="仿宋" w:eastAsia="仿宋"/>
                <w:bCs/>
              </w:rPr>
            </w:pPr>
            <w:r>
              <w:rPr>
                <w:rFonts w:ascii="仿宋" w:hAnsi="仿宋" w:eastAsia="仿宋"/>
                <w:bCs/>
              </w:rPr>
              <w:t>大气毒性终点浓度-2</w:t>
            </w:r>
          </w:p>
        </w:tc>
        <w:tc>
          <w:tcPr>
            <w:tcW w:w="1712" w:type="pct"/>
            <w:vAlign w:val="center"/>
          </w:tcPr>
          <w:p>
            <w:pPr>
              <w:jc w:val="center"/>
              <w:rPr>
                <w:rFonts w:ascii="仿宋" w:hAnsi="仿宋" w:eastAsia="仿宋"/>
                <w:bCs/>
              </w:rPr>
            </w:pPr>
            <w:r>
              <w:rPr>
                <w:rFonts w:hint="eastAsia" w:ascii="仿宋" w:hAnsi="仿宋" w:eastAsia="仿宋"/>
                <w:bCs/>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0" w:hRule="atLeast"/>
          <w:jc w:val="center"/>
        </w:trPr>
        <w:tc>
          <w:tcPr>
            <w:tcW w:w="312" w:type="pct"/>
            <w:vMerge w:val="restart"/>
            <w:vAlign w:val="center"/>
          </w:tcPr>
          <w:p>
            <w:pPr>
              <w:jc w:val="center"/>
              <w:rPr>
                <w:rFonts w:ascii="仿宋" w:hAnsi="仿宋" w:eastAsia="仿宋"/>
                <w:bCs/>
              </w:rPr>
            </w:pPr>
            <w:r>
              <w:rPr>
                <w:rFonts w:hint="eastAsia" w:ascii="仿宋" w:hAnsi="仿宋" w:eastAsia="仿宋"/>
                <w:bCs/>
              </w:rPr>
              <w:t>2</w:t>
            </w:r>
          </w:p>
        </w:tc>
        <w:tc>
          <w:tcPr>
            <w:tcW w:w="1174" w:type="pct"/>
            <w:vMerge w:val="restart"/>
            <w:vAlign w:val="center"/>
          </w:tcPr>
          <w:p>
            <w:pPr>
              <w:jc w:val="center"/>
              <w:rPr>
                <w:rFonts w:ascii="仿宋" w:hAnsi="仿宋" w:eastAsia="仿宋"/>
                <w:bCs/>
              </w:rPr>
            </w:pPr>
            <w:r>
              <w:rPr>
                <w:rFonts w:ascii="仿宋" w:hAnsi="仿宋" w:eastAsia="仿宋"/>
                <w:bCs/>
              </w:rPr>
              <w:t>乙酸乙酯</w:t>
            </w:r>
          </w:p>
        </w:tc>
        <w:tc>
          <w:tcPr>
            <w:tcW w:w="1802" w:type="pct"/>
            <w:vAlign w:val="center"/>
          </w:tcPr>
          <w:p>
            <w:pPr>
              <w:jc w:val="center"/>
              <w:rPr>
                <w:rFonts w:ascii="仿宋" w:hAnsi="仿宋" w:eastAsia="仿宋"/>
                <w:bCs/>
              </w:rPr>
            </w:pPr>
            <w:r>
              <w:rPr>
                <w:rFonts w:ascii="仿宋" w:hAnsi="仿宋" w:eastAsia="仿宋"/>
                <w:bCs/>
              </w:rPr>
              <w:t>大气毒性终点浓度-1</w:t>
            </w:r>
          </w:p>
        </w:tc>
        <w:tc>
          <w:tcPr>
            <w:tcW w:w="1712" w:type="pct"/>
            <w:vAlign w:val="center"/>
          </w:tcPr>
          <w:p>
            <w:pPr>
              <w:spacing w:line="300" w:lineRule="exact"/>
              <w:jc w:val="center"/>
              <w:rPr>
                <w:rFonts w:eastAsia="仿宋_GB2312"/>
                <w:szCs w:val="21"/>
              </w:rPr>
            </w:pPr>
            <w:r>
              <w:rPr>
                <w:rFonts w:hint="eastAsia" w:eastAsia="仿宋_GB2312"/>
                <w:szCs w:val="21"/>
              </w:rPr>
              <w:t>36000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0" w:hRule="atLeast"/>
          <w:jc w:val="center"/>
        </w:trPr>
        <w:tc>
          <w:tcPr>
            <w:tcW w:w="312" w:type="pct"/>
            <w:vMerge w:val="continue"/>
            <w:vAlign w:val="center"/>
          </w:tcPr>
          <w:p>
            <w:pPr>
              <w:jc w:val="center"/>
              <w:rPr>
                <w:rFonts w:ascii="仿宋" w:hAnsi="仿宋" w:eastAsia="仿宋"/>
                <w:bCs/>
              </w:rPr>
            </w:pPr>
          </w:p>
        </w:tc>
        <w:tc>
          <w:tcPr>
            <w:tcW w:w="1174" w:type="pct"/>
            <w:vMerge w:val="continue"/>
            <w:vAlign w:val="center"/>
          </w:tcPr>
          <w:p>
            <w:pPr>
              <w:jc w:val="center"/>
              <w:rPr>
                <w:rFonts w:ascii="仿宋" w:hAnsi="仿宋" w:eastAsia="仿宋"/>
                <w:bCs/>
              </w:rPr>
            </w:pPr>
          </w:p>
        </w:tc>
        <w:tc>
          <w:tcPr>
            <w:tcW w:w="1802" w:type="pct"/>
            <w:vAlign w:val="center"/>
          </w:tcPr>
          <w:p>
            <w:pPr>
              <w:jc w:val="center"/>
              <w:rPr>
                <w:rFonts w:ascii="仿宋" w:hAnsi="仿宋" w:eastAsia="仿宋"/>
                <w:bCs/>
              </w:rPr>
            </w:pPr>
            <w:r>
              <w:rPr>
                <w:rFonts w:ascii="仿宋" w:hAnsi="仿宋" w:eastAsia="仿宋"/>
                <w:bCs/>
              </w:rPr>
              <w:t>大气毒性终点浓度-2</w:t>
            </w:r>
          </w:p>
        </w:tc>
        <w:tc>
          <w:tcPr>
            <w:tcW w:w="1712" w:type="pct"/>
            <w:vAlign w:val="center"/>
          </w:tcPr>
          <w:p>
            <w:pPr>
              <w:spacing w:line="300" w:lineRule="exact"/>
              <w:jc w:val="center"/>
              <w:rPr>
                <w:rFonts w:eastAsia="仿宋_GB2312"/>
                <w:szCs w:val="21"/>
              </w:rPr>
            </w:pPr>
            <w:r>
              <w:rPr>
                <w:rFonts w:hint="eastAsia" w:eastAsia="仿宋_GB2312"/>
                <w:szCs w:val="21"/>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0" w:hRule="atLeast"/>
          <w:jc w:val="center"/>
        </w:trPr>
        <w:tc>
          <w:tcPr>
            <w:tcW w:w="312" w:type="pct"/>
            <w:vMerge w:val="restart"/>
            <w:vAlign w:val="center"/>
          </w:tcPr>
          <w:p>
            <w:pPr>
              <w:jc w:val="center"/>
              <w:rPr>
                <w:rFonts w:ascii="仿宋" w:hAnsi="仿宋" w:eastAsia="仿宋"/>
                <w:bCs/>
              </w:rPr>
            </w:pPr>
            <w:r>
              <w:rPr>
                <w:rFonts w:hint="eastAsia" w:ascii="仿宋" w:hAnsi="仿宋" w:eastAsia="仿宋"/>
                <w:bCs/>
              </w:rPr>
              <w:t>3</w:t>
            </w:r>
          </w:p>
        </w:tc>
        <w:tc>
          <w:tcPr>
            <w:tcW w:w="1174" w:type="pct"/>
            <w:vMerge w:val="restart"/>
            <w:vAlign w:val="center"/>
          </w:tcPr>
          <w:p>
            <w:pPr>
              <w:jc w:val="center"/>
              <w:rPr>
                <w:rFonts w:ascii="仿宋" w:hAnsi="仿宋" w:eastAsia="仿宋"/>
                <w:bCs/>
              </w:rPr>
            </w:pPr>
            <w:r>
              <w:rPr>
                <w:rFonts w:eastAsia="仿宋"/>
                <w:szCs w:val="21"/>
              </w:rPr>
              <w:t>CO</w:t>
            </w:r>
          </w:p>
        </w:tc>
        <w:tc>
          <w:tcPr>
            <w:tcW w:w="1802" w:type="pct"/>
            <w:vAlign w:val="center"/>
          </w:tcPr>
          <w:p>
            <w:pPr>
              <w:jc w:val="center"/>
              <w:rPr>
                <w:rFonts w:ascii="仿宋" w:hAnsi="仿宋" w:eastAsia="仿宋"/>
                <w:bCs/>
              </w:rPr>
            </w:pPr>
            <w:r>
              <w:rPr>
                <w:rFonts w:ascii="仿宋" w:hAnsi="仿宋" w:eastAsia="仿宋"/>
                <w:bCs/>
              </w:rPr>
              <w:t>大气毒性终点浓度-1</w:t>
            </w:r>
          </w:p>
        </w:tc>
        <w:tc>
          <w:tcPr>
            <w:tcW w:w="1712" w:type="pct"/>
            <w:vAlign w:val="center"/>
          </w:tcPr>
          <w:p>
            <w:pPr>
              <w:jc w:val="center"/>
              <w:rPr>
                <w:rFonts w:ascii="仿宋" w:hAnsi="仿宋" w:eastAsia="仿宋"/>
                <w:bCs/>
              </w:rPr>
            </w:pPr>
            <w:r>
              <w:rPr>
                <w:rFonts w:hint="eastAsia" w:ascii="仿宋" w:hAnsi="仿宋" w:eastAsia="仿宋"/>
                <w:bCs/>
              </w:rPr>
              <w:t>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0" w:hRule="atLeast"/>
          <w:jc w:val="center"/>
        </w:trPr>
        <w:tc>
          <w:tcPr>
            <w:tcW w:w="312" w:type="pct"/>
            <w:vMerge w:val="continue"/>
            <w:vAlign w:val="center"/>
          </w:tcPr>
          <w:p>
            <w:pPr>
              <w:jc w:val="center"/>
              <w:rPr>
                <w:rFonts w:ascii="仿宋" w:hAnsi="仿宋" w:eastAsia="仿宋"/>
                <w:bCs/>
              </w:rPr>
            </w:pPr>
          </w:p>
        </w:tc>
        <w:tc>
          <w:tcPr>
            <w:tcW w:w="1174" w:type="pct"/>
            <w:vMerge w:val="continue"/>
            <w:vAlign w:val="center"/>
          </w:tcPr>
          <w:p>
            <w:pPr>
              <w:jc w:val="center"/>
              <w:rPr>
                <w:rFonts w:ascii="仿宋" w:hAnsi="仿宋" w:eastAsia="仿宋"/>
                <w:bCs/>
              </w:rPr>
            </w:pPr>
          </w:p>
        </w:tc>
        <w:tc>
          <w:tcPr>
            <w:tcW w:w="1802" w:type="pct"/>
            <w:vAlign w:val="center"/>
          </w:tcPr>
          <w:p>
            <w:pPr>
              <w:jc w:val="center"/>
              <w:rPr>
                <w:rFonts w:ascii="仿宋" w:hAnsi="仿宋" w:eastAsia="仿宋"/>
                <w:bCs/>
              </w:rPr>
            </w:pPr>
            <w:r>
              <w:rPr>
                <w:rFonts w:ascii="仿宋" w:hAnsi="仿宋" w:eastAsia="仿宋"/>
                <w:bCs/>
              </w:rPr>
              <w:t>大气毒性终点浓度-2</w:t>
            </w:r>
          </w:p>
        </w:tc>
        <w:tc>
          <w:tcPr>
            <w:tcW w:w="1712" w:type="pct"/>
            <w:vAlign w:val="center"/>
          </w:tcPr>
          <w:p>
            <w:pPr>
              <w:jc w:val="center"/>
              <w:rPr>
                <w:rFonts w:ascii="仿宋" w:hAnsi="仿宋" w:eastAsia="仿宋"/>
                <w:bCs/>
              </w:rPr>
            </w:pPr>
            <w:r>
              <w:rPr>
                <w:rFonts w:hint="eastAsia" w:ascii="仿宋" w:hAnsi="仿宋" w:eastAsia="仿宋"/>
                <w:bCs/>
              </w:rPr>
              <w:t>95</w:t>
            </w:r>
          </w:p>
        </w:tc>
      </w:tr>
    </w:tbl>
    <w:p>
      <w:pPr>
        <w:numPr>
          <w:ilvl w:val="0"/>
          <w:numId w:val="16"/>
        </w:numPr>
        <w:spacing w:line="500" w:lineRule="exact"/>
        <w:ind w:firstLine="560" w:firstLineChars="200"/>
        <w:rPr>
          <w:rFonts w:eastAsia="仿宋_GB2312"/>
          <w:sz w:val="28"/>
          <w:szCs w:val="28"/>
        </w:rPr>
      </w:pPr>
      <w:r>
        <w:rPr>
          <w:rFonts w:hint="eastAsia" w:eastAsia="仿宋_GB2312"/>
          <w:sz w:val="28"/>
          <w:szCs w:val="28"/>
        </w:rPr>
        <w:t>预测结果</w:t>
      </w:r>
    </w:p>
    <w:p>
      <w:pPr>
        <w:snapToGrid w:val="0"/>
        <w:spacing w:line="500" w:lineRule="exact"/>
        <w:ind w:firstLine="560" w:firstLineChars="200"/>
        <w:rPr>
          <w:rFonts w:eastAsia="仿宋_GB2312"/>
          <w:sz w:val="28"/>
          <w:szCs w:val="28"/>
        </w:rPr>
      </w:pPr>
      <w:r>
        <w:rPr>
          <w:rFonts w:eastAsia="仿宋_GB2312"/>
          <w:sz w:val="28"/>
          <w:szCs w:val="28"/>
        </w:rPr>
        <w:t>事故排放预测选取了最不利气象条件，预测在不同条件下</w:t>
      </w:r>
      <w:r>
        <w:rPr>
          <w:rFonts w:hint="eastAsia" w:eastAsia="仿宋_GB2312"/>
          <w:sz w:val="28"/>
          <w:szCs w:val="28"/>
        </w:rPr>
        <w:t>二甲苯、乙酸乙酯</w:t>
      </w:r>
      <w:r>
        <w:rPr>
          <w:rFonts w:eastAsia="仿宋_GB2312"/>
          <w:sz w:val="28"/>
          <w:szCs w:val="28"/>
        </w:rPr>
        <w:t>泄漏和事故状态下伴生、次生</w:t>
      </w:r>
      <w:r>
        <w:rPr>
          <w:rFonts w:hint="eastAsia" w:eastAsia="仿宋_GB2312"/>
          <w:sz w:val="28"/>
          <w:szCs w:val="28"/>
        </w:rPr>
        <w:t>CO</w:t>
      </w:r>
      <w:r>
        <w:rPr>
          <w:rFonts w:eastAsia="仿宋_GB2312"/>
          <w:sz w:val="28"/>
          <w:szCs w:val="28"/>
        </w:rPr>
        <w:t>下风向的轴线浓度，预测结果见下列各表。</w:t>
      </w:r>
    </w:p>
    <w:p>
      <w:pPr>
        <w:adjustRightInd w:val="0"/>
        <w:snapToGrid w:val="0"/>
        <w:ind w:firstLine="482"/>
        <w:jc w:val="center"/>
        <w:rPr>
          <w:rFonts w:ascii="仿宋" w:hAnsi="仿宋" w:eastAsia="仿宋"/>
          <w:b/>
          <w:sz w:val="24"/>
          <w:szCs w:val="22"/>
        </w:rPr>
      </w:pPr>
      <w:r>
        <w:rPr>
          <w:rFonts w:ascii="仿宋" w:hAnsi="仿宋" w:eastAsia="仿宋"/>
          <w:b/>
          <w:sz w:val="24"/>
          <w:szCs w:val="22"/>
        </w:rPr>
        <w:t>表</w:t>
      </w:r>
      <w:r>
        <w:rPr>
          <w:rFonts w:hint="eastAsia" w:ascii="仿宋" w:hAnsi="仿宋" w:eastAsia="仿宋"/>
          <w:b/>
          <w:sz w:val="24"/>
          <w:szCs w:val="22"/>
        </w:rPr>
        <w:t>5.3-2</w:t>
      </w:r>
      <w:r>
        <w:rPr>
          <w:rFonts w:ascii="仿宋" w:hAnsi="仿宋" w:eastAsia="仿宋"/>
          <w:b/>
          <w:sz w:val="24"/>
          <w:szCs w:val="22"/>
        </w:rPr>
        <w:t xml:space="preserve">9 </w:t>
      </w:r>
      <w:r>
        <w:rPr>
          <w:rFonts w:hint="eastAsia" w:ascii="仿宋" w:hAnsi="仿宋" w:eastAsia="仿宋"/>
          <w:b/>
          <w:sz w:val="24"/>
          <w:szCs w:val="22"/>
        </w:rPr>
        <w:t>各因子</w:t>
      </w:r>
      <w:r>
        <w:rPr>
          <w:rFonts w:ascii="仿宋" w:hAnsi="仿宋" w:eastAsia="仿宋"/>
          <w:b/>
          <w:sz w:val="24"/>
          <w:szCs w:val="22"/>
        </w:rPr>
        <w:t>泄漏下风向的轴线浓度</w:t>
      </w:r>
    </w:p>
    <w:tbl>
      <w:tblPr>
        <w:tblStyle w:val="87"/>
        <w:tblW w:w="109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30"/>
        <w:gridCol w:w="1717"/>
        <w:gridCol w:w="1628"/>
        <w:gridCol w:w="1806"/>
        <w:gridCol w:w="1503"/>
        <w:gridCol w:w="1467"/>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1230" w:type="dxa"/>
            <w:vMerge w:val="restart"/>
            <w:noWrap/>
            <w:tcMar>
              <w:top w:w="15" w:type="dxa"/>
              <w:left w:w="15" w:type="dxa"/>
              <w:bottom w:w="0" w:type="dxa"/>
              <w:right w:w="15" w:type="dxa"/>
            </w:tcMar>
            <w:vAlign w:val="center"/>
          </w:tcPr>
          <w:p>
            <w:pPr>
              <w:jc w:val="center"/>
              <w:rPr>
                <w:rFonts w:eastAsia="仿宋"/>
                <w:szCs w:val="21"/>
              </w:rPr>
            </w:pPr>
            <w:r>
              <w:rPr>
                <w:rFonts w:eastAsia="仿宋"/>
                <w:szCs w:val="21"/>
              </w:rPr>
              <w:t>稳定度</w:t>
            </w:r>
          </w:p>
        </w:tc>
        <w:tc>
          <w:tcPr>
            <w:tcW w:w="3345" w:type="dxa"/>
            <w:gridSpan w:val="2"/>
            <w:noWrap/>
            <w:tcMar>
              <w:top w:w="15" w:type="dxa"/>
              <w:left w:w="15" w:type="dxa"/>
              <w:bottom w:w="0" w:type="dxa"/>
              <w:right w:w="15" w:type="dxa"/>
            </w:tcMar>
            <w:vAlign w:val="center"/>
          </w:tcPr>
          <w:p>
            <w:pPr>
              <w:jc w:val="center"/>
              <w:rPr>
                <w:rFonts w:eastAsia="仿宋"/>
                <w:szCs w:val="21"/>
              </w:rPr>
            </w:pPr>
            <w:r>
              <w:rPr>
                <w:rFonts w:hint="eastAsia" w:eastAsia="仿宋"/>
                <w:szCs w:val="21"/>
              </w:rPr>
              <w:t>二甲苯</w:t>
            </w:r>
          </w:p>
        </w:tc>
        <w:tc>
          <w:tcPr>
            <w:tcW w:w="3309" w:type="dxa"/>
            <w:gridSpan w:val="2"/>
            <w:noWrap/>
            <w:tcMar>
              <w:top w:w="15" w:type="dxa"/>
              <w:left w:w="15" w:type="dxa"/>
              <w:bottom w:w="0" w:type="dxa"/>
              <w:right w:w="15" w:type="dxa"/>
            </w:tcMar>
            <w:vAlign w:val="center"/>
          </w:tcPr>
          <w:p>
            <w:pPr>
              <w:jc w:val="center"/>
              <w:rPr>
                <w:rFonts w:eastAsia="仿宋"/>
                <w:szCs w:val="21"/>
              </w:rPr>
            </w:pPr>
            <w:r>
              <w:rPr>
                <w:rFonts w:eastAsia="仿宋"/>
                <w:szCs w:val="21"/>
              </w:rPr>
              <w:t>乙酸乙酯</w:t>
            </w:r>
          </w:p>
        </w:tc>
        <w:tc>
          <w:tcPr>
            <w:tcW w:w="3026" w:type="dxa"/>
            <w:gridSpan w:val="2"/>
          </w:tcPr>
          <w:p>
            <w:pPr>
              <w:jc w:val="center"/>
              <w:rPr>
                <w:rFonts w:eastAsia="仿宋"/>
                <w:szCs w:val="21"/>
              </w:rPr>
            </w:pPr>
            <w:r>
              <w:rPr>
                <w:rFonts w:hint="eastAsia" w:eastAsia="仿宋"/>
                <w:szCs w:val="21"/>
              </w:rPr>
              <w:t>CO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1230" w:type="dxa"/>
            <w:vMerge w:val="continue"/>
            <w:vAlign w:val="center"/>
          </w:tcPr>
          <w:p>
            <w:pPr>
              <w:jc w:val="center"/>
              <w:rPr>
                <w:rFonts w:eastAsia="仿宋"/>
                <w:szCs w:val="21"/>
              </w:rPr>
            </w:pPr>
          </w:p>
        </w:tc>
        <w:tc>
          <w:tcPr>
            <w:tcW w:w="3345" w:type="dxa"/>
            <w:gridSpan w:val="2"/>
            <w:noWrap/>
            <w:tcMar>
              <w:top w:w="15" w:type="dxa"/>
              <w:left w:w="15" w:type="dxa"/>
              <w:bottom w:w="0" w:type="dxa"/>
              <w:right w:w="15" w:type="dxa"/>
            </w:tcMar>
            <w:vAlign w:val="center"/>
          </w:tcPr>
          <w:p>
            <w:pPr>
              <w:jc w:val="center"/>
              <w:rPr>
                <w:rFonts w:eastAsia="仿宋"/>
                <w:szCs w:val="21"/>
              </w:rPr>
            </w:pPr>
            <w:r>
              <w:rPr>
                <w:rFonts w:eastAsia="仿宋"/>
                <w:szCs w:val="21"/>
              </w:rPr>
              <w:t>F</w:t>
            </w:r>
          </w:p>
        </w:tc>
        <w:tc>
          <w:tcPr>
            <w:tcW w:w="3309" w:type="dxa"/>
            <w:gridSpan w:val="2"/>
            <w:noWrap/>
            <w:tcMar>
              <w:top w:w="15" w:type="dxa"/>
              <w:left w:w="15" w:type="dxa"/>
              <w:bottom w:w="0" w:type="dxa"/>
              <w:right w:w="15" w:type="dxa"/>
            </w:tcMar>
            <w:vAlign w:val="center"/>
          </w:tcPr>
          <w:p>
            <w:pPr>
              <w:jc w:val="center"/>
              <w:rPr>
                <w:rFonts w:eastAsia="仿宋"/>
                <w:szCs w:val="21"/>
              </w:rPr>
            </w:pPr>
            <w:r>
              <w:rPr>
                <w:rFonts w:eastAsia="仿宋"/>
                <w:szCs w:val="21"/>
              </w:rPr>
              <w:t>F</w:t>
            </w:r>
          </w:p>
        </w:tc>
        <w:tc>
          <w:tcPr>
            <w:tcW w:w="3026" w:type="dxa"/>
            <w:gridSpan w:val="2"/>
          </w:tcPr>
          <w:p>
            <w:pPr>
              <w:jc w:val="center"/>
              <w:rPr>
                <w:rFonts w:eastAsia="仿宋"/>
                <w:szCs w:val="21"/>
              </w:rPr>
            </w:pPr>
            <w:r>
              <w:rPr>
                <w:rFonts w:hint="eastAsia" w:eastAsia="仿宋"/>
                <w:szCs w:val="21"/>
              </w:rPr>
              <w:t>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1230" w:type="dxa"/>
            <w:noWrap/>
            <w:tcMar>
              <w:top w:w="15" w:type="dxa"/>
              <w:left w:w="15" w:type="dxa"/>
              <w:bottom w:w="0" w:type="dxa"/>
              <w:right w:w="15" w:type="dxa"/>
            </w:tcMar>
            <w:vAlign w:val="center"/>
          </w:tcPr>
          <w:p>
            <w:pPr>
              <w:jc w:val="center"/>
              <w:rPr>
                <w:rFonts w:eastAsia="仿宋"/>
                <w:szCs w:val="21"/>
              </w:rPr>
            </w:pPr>
            <w:r>
              <w:rPr>
                <w:rFonts w:eastAsia="仿宋"/>
                <w:szCs w:val="21"/>
              </w:rPr>
              <w:t>距离（m）</w:t>
            </w:r>
          </w:p>
        </w:tc>
        <w:tc>
          <w:tcPr>
            <w:tcW w:w="1717" w:type="dxa"/>
            <w:noWrap/>
            <w:tcMar>
              <w:top w:w="15" w:type="dxa"/>
              <w:left w:w="15" w:type="dxa"/>
              <w:bottom w:w="0" w:type="dxa"/>
              <w:right w:w="15" w:type="dxa"/>
            </w:tcMar>
            <w:vAlign w:val="center"/>
          </w:tcPr>
          <w:p>
            <w:pPr>
              <w:jc w:val="center"/>
              <w:rPr>
                <w:rFonts w:eastAsia="仿宋"/>
                <w:szCs w:val="21"/>
              </w:rPr>
            </w:pPr>
            <w:r>
              <w:rPr>
                <w:rFonts w:eastAsia="仿宋"/>
                <w:szCs w:val="21"/>
              </w:rPr>
              <w:t>浓度出现时间（min）</w:t>
            </w:r>
          </w:p>
        </w:tc>
        <w:tc>
          <w:tcPr>
            <w:tcW w:w="1628" w:type="dxa"/>
            <w:noWrap/>
            <w:tcMar>
              <w:top w:w="15" w:type="dxa"/>
              <w:left w:w="15" w:type="dxa"/>
              <w:bottom w:w="0" w:type="dxa"/>
              <w:right w:w="15" w:type="dxa"/>
            </w:tcMar>
            <w:vAlign w:val="center"/>
          </w:tcPr>
          <w:p>
            <w:pPr>
              <w:jc w:val="center"/>
              <w:rPr>
                <w:rFonts w:eastAsia="仿宋"/>
                <w:szCs w:val="21"/>
              </w:rPr>
            </w:pPr>
            <w:r>
              <w:rPr>
                <w:rFonts w:eastAsia="仿宋"/>
                <w:szCs w:val="21"/>
              </w:rPr>
              <w:t>高峰浓度（mg/m</w:t>
            </w:r>
            <w:r>
              <w:rPr>
                <w:rFonts w:eastAsia="仿宋"/>
                <w:szCs w:val="21"/>
                <w:vertAlign w:val="superscript"/>
              </w:rPr>
              <w:t>3</w:t>
            </w:r>
            <w:r>
              <w:rPr>
                <w:rFonts w:eastAsia="仿宋"/>
                <w:szCs w:val="21"/>
              </w:rPr>
              <w:t>）</w:t>
            </w:r>
          </w:p>
        </w:tc>
        <w:tc>
          <w:tcPr>
            <w:tcW w:w="1806" w:type="dxa"/>
            <w:noWrap/>
            <w:tcMar>
              <w:top w:w="15" w:type="dxa"/>
              <w:left w:w="15" w:type="dxa"/>
              <w:bottom w:w="0" w:type="dxa"/>
              <w:right w:w="15" w:type="dxa"/>
            </w:tcMar>
            <w:vAlign w:val="center"/>
          </w:tcPr>
          <w:p>
            <w:pPr>
              <w:jc w:val="center"/>
              <w:rPr>
                <w:rFonts w:eastAsia="仿宋"/>
                <w:szCs w:val="21"/>
              </w:rPr>
            </w:pPr>
            <w:r>
              <w:rPr>
                <w:rFonts w:eastAsia="仿宋"/>
                <w:szCs w:val="21"/>
              </w:rPr>
              <w:t>浓度出现时间（min）</w:t>
            </w:r>
          </w:p>
        </w:tc>
        <w:tc>
          <w:tcPr>
            <w:tcW w:w="1503" w:type="dxa"/>
            <w:noWrap/>
            <w:tcMar>
              <w:top w:w="15" w:type="dxa"/>
              <w:left w:w="15" w:type="dxa"/>
              <w:bottom w:w="0" w:type="dxa"/>
              <w:right w:w="15" w:type="dxa"/>
            </w:tcMar>
            <w:vAlign w:val="center"/>
          </w:tcPr>
          <w:p>
            <w:pPr>
              <w:jc w:val="center"/>
              <w:rPr>
                <w:rFonts w:eastAsia="仿宋"/>
                <w:szCs w:val="21"/>
              </w:rPr>
            </w:pPr>
            <w:r>
              <w:rPr>
                <w:rFonts w:eastAsia="仿宋"/>
                <w:szCs w:val="21"/>
              </w:rPr>
              <w:t>高峰浓度（mg/m</w:t>
            </w:r>
            <w:r>
              <w:rPr>
                <w:rFonts w:eastAsia="仿宋"/>
                <w:szCs w:val="21"/>
                <w:vertAlign w:val="superscript"/>
              </w:rPr>
              <w:t>3</w:t>
            </w:r>
            <w:r>
              <w:rPr>
                <w:rFonts w:eastAsia="仿宋"/>
                <w:szCs w:val="21"/>
              </w:rPr>
              <w:t>）</w:t>
            </w:r>
          </w:p>
        </w:tc>
        <w:tc>
          <w:tcPr>
            <w:tcW w:w="1467" w:type="dxa"/>
            <w:vAlign w:val="center"/>
          </w:tcPr>
          <w:p>
            <w:pPr>
              <w:jc w:val="center"/>
              <w:rPr>
                <w:rFonts w:eastAsia="仿宋"/>
                <w:szCs w:val="21"/>
              </w:rPr>
            </w:pPr>
            <w:r>
              <w:rPr>
                <w:rFonts w:eastAsia="仿宋"/>
                <w:szCs w:val="21"/>
              </w:rPr>
              <w:t>浓度出现时间（min）</w:t>
            </w:r>
          </w:p>
        </w:tc>
        <w:tc>
          <w:tcPr>
            <w:tcW w:w="1559" w:type="dxa"/>
            <w:vAlign w:val="center"/>
          </w:tcPr>
          <w:p>
            <w:pPr>
              <w:jc w:val="center"/>
              <w:rPr>
                <w:rFonts w:eastAsia="仿宋"/>
                <w:szCs w:val="21"/>
              </w:rPr>
            </w:pPr>
            <w:r>
              <w:rPr>
                <w:rFonts w:eastAsia="仿宋"/>
                <w:szCs w:val="21"/>
              </w:rPr>
              <w:t>高峰浓度（mg/m</w:t>
            </w:r>
            <w:r>
              <w:rPr>
                <w:rFonts w:eastAsia="仿宋"/>
                <w:szCs w:val="21"/>
                <w:vertAlign w:val="superscript"/>
              </w:rPr>
              <w:t>3</w:t>
            </w:r>
            <w:r>
              <w:rPr>
                <w:rFonts w:eastAsia="仿宋"/>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1230" w:type="dxa"/>
            <w:noWrap/>
            <w:tcMar>
              <w:top w:w="15" w:type="dxa"/>
              <w:left w:w="15" w:type="dxa"/>
              <w:bottom w:w="0" w:type="dxa"/>
              <w:right w:w="15" w:type="dxa"/>
            </w:tcMar>
            <w:vAlign w:val="center"/>
          </w:tcPr>
          <w:p>
            <w:pPr>
              <w:jc w:val="center"/>
              <w:rPr>
                <w:rFonts w:eastAsia="仿宋"/>
                <w:szCs w:val="21"/>
              </w:rPr>
            </w:pPr>
            <w:r>
              <w:rPr>
                <w:rFonts w:eastAsia="仿宋"/>
                <w:szCs w:val="21"/>
              </w:rPr>
              <w:t>10</w:t>
            </w:r>
          </w:p>
        </w:tc>
        <w:tc>
          <w:tcPr>
            <w:tcW w:w="1717" w:type="dxa"/>
            <w:noWrap/>
            <w:tcMar>
              <w:top w:w="15" w:type="dxa"/>
              <w:left w:w="15" w:type="dxa"/>
              <w:bottom w:w="0" w:type="dxa"/>
              <w:right w:w="15" w:type="dxa"/>
            </w:tcMar>
            <w:vAlign w:val="center"/>
          </w:tcPr>
          <w:p>
            <w:pPr>
              <w:widowControl/>
              <w:jc w:val="center"/>
              <w:rPr>
                <w:rFonts w:eastAsia="仿宋"/>
                <w:szCs w:val="21"/>
              </w:rPr>
            </w:pPr>
            <w:r>
              <w:rPr>
                <w:rFonts w:hint="eastAsia" w:eastAsia="仿宋_GB2312"/>
                <w:szCs w:val="21"/>
              </w:rPr>
              <w:t>0.083</w:t>
            </w:r>
          </w:p>
        </w:tc>
        <w:tc>
          <w:tcPr>
            <w:tcW w:w="1628"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277.870</w:t>
            </w:r>
          </w:p>
        </w:tc>
        <w:tc>
          <w:tcPr>
            <w:tcW w:w="1806"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 xml:space="preserve">0.111 </w:t>
            </w:r>
          </w:p>
        </w:tc>
        <w:tc>
          <w:tcPr>
            <w:tcW w:w="1503"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 xml:space="preserve">14.220 </w:t>
            </w:r>
          </w:p>
        </w:tc>
        <w:tc>
          <w:tcPr>
            <w:tcW w:w="1467" w:type="dxa"/>
            <w:vAlign w:val="center"/>
          </w:tcPr>
          <w:p>
            <w:pPr>
              <w:jc w:val="center"/>
              <w:rPr>
                <w:rFonts w:eastAsia="仿宋"/>
                <w:kern w:val="0"/>
                <w:szCs w:val="21"/>
              </w:rPr>
            </w:pPr>
            <w:r>
              <w:rPr>
                <w:rFonts w:hint="eastAsia" w:eastAsia="仿宋_GB2312"/>
                <w:szCs w:val="21"/>
              </w:rPr>
              <w:t xml:space="preserve">0.083 </w:t>
            </w:r>
          </w:p>
        </w:tc>
        <w:tc>
          <w:tcPr>
            <w:tcW w:w="1559" w:type="dxa"/>
            <w:vAlign w:val="center"/>
          </w:tcPr>
          <w:p>
            <w:pPr>
              <w:jc w:val="center"/>
              <w:rPr>
                <w:rFonts w:eastAsia="仿宋"/>
                <w:szCs w:val="21"/>
              </w:rPr>
            </w:pPr>
            <w:r>
              <w:rPr>
                <w:rFonts w:hint="eastAsia" w:eastAsia="仿宋_GB2312"/>
                <w:szCs w:val="21"/>
              </w:rPr>
              <w:t xml:space="preserve">510.160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1230" w:type="dxa"/>
            <w:noWrap/>
            <w:tcMar>
              <w:top w:w="15" w:type="dxa"/>
              <w:left w:w="15" w:type="dxa"/>
              <w:bottom w:w="0" w:type="dxa"/>
              <w:right w:w="15" w:type="dxa"/>
            </w:tcMar>
            <w:vAlign w:val="center"/>
          </w:tcPr>
          <w:p>
            <w:pPr>
              <w:jc w:val="center"/>
              <w:rPr>
                <w:rFonts w:eastAsia="仿宋"/>
                <w:szCs w:val="21"/>
              </w:rPr>
            </w:pPr>
            <w:r>
              <w:rPr>
                <w:rFonts w:eastAsia="仿宋"/>
                <w:szCs w:val="21"/>
              </w:rPr>
              <w:t>60</w:t>
            </w:r>
          </w:p>
        </w:tc>
        <w:tc>
          <w:tcPr>
            <w:tcW w:w="1717"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0.167</w:t>
            </w:r>
          </w:p>
        </w:tc>
        <w:tc>
          <w:tcPr>
            <w:tcW w:w="1628"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98.969</w:t>
            </w:r>
          </w:p>
        </w:tc>
        <w:tc>
          <w:tcPr>
            <w:tcW w:w="1806"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 xml:space="preserve">0.222 </w:t>
            </w:r>
          </w:p>
        </w:tc>
        <w:tc>
          <w:tcPr>
            <w:tcW w:w="1503"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 xml:space="preserve">2727.400 </w:t>
            </w:r>
          </w:p>
        </w:tc>
        <w:tc>
          <w:tcPr>
            <w:tcW w:w="1467" w:type="dxa"/>
            <w:vAlign w:val="center"/>
          </w:tcPr>
          <w:p>
            <w:pPr>
              <w:jc w:val="center"/>
              <w:rPr>
                <w:rFonts w:eastAsia="仿宋"/>
                <w:szCs w:val="21"/>
              </w:rPr>
            </w:pPr>
            <w:r>
              <w:rPr>
                <w:rFonts w:hint="eastAsia" w:eastAsia="仿宋_GB2312"/>
                <w:szCs w:val="21"/>
              </w:rPr>
              <w:t xml:space="preserve">0.167 </w:t>
            </w:r>
          </w:p>
        </w:tc>
        <w:tc>
          <w:tcPr>
            <w:tcW w:w="1559" w:type="dxa"/>
            <w:vAlign w:val="center"/>
          </w:tcPr>
          <w:p>
            <w:pPr>
              <w:jc w:val="center"/>
              <w:rPr>
                <w:rFonts w:eastAsia="仿宋"/>
                <w:szCs w:val="21"/>
              </w:rPr>
            </w:pPr>
            <w:r>
              <w:rPr>
                <w:rFonts w:hint="eastAsia" w:eastAsia="仿宋_GB2312"/>
                <w:szCs w:val="21"/>
              </w:rPr>
              <w:t xml:space="preserve">181.700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1230" w:type="dxa"/>
            <w:noWrap/>
            <w:tcMar>
              <w:top w:w="15" w:type="dxa"/>
              <w:left w:w="15" w:type="dxa"/>
              <w:bottom w:w="0" w:type="dxa"/>
              <w:right w:w="15" w:type="dxa"/>
            </w:tcMar>
            <w:vAlign w:val="center"/>
          </w:tcPr>
          <w:p>
            <w:pPr>
              <w:jc w:val="center"/>
              <w:rPr>
                <w:rFonts w:eastAsia="仿宋"/>
                <w:szCs w:val="21"/>
              </w:rPr>
            </w:pPr>
            <w:r>
              <w:rPr>
                <w:rFonts w:hint="eastAsia" w:eastAsia="仿宋"/>
                <w:szCs w:val="21"/>
              </w:rPr>
              <w:t>110</w:t>
            </w:r>
          </w:p>
        </w:tc>
        <w:tc>
          <w:tcPr>
            <w:tcW w:w="1717"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0.333</w:t>
            </w:r>
          </w:p>
        </w:tc>
        <w:tc>
          <w:tcPr>
            <w:tcW w:w="1628"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33.679</w:t>
            </w:r>
          </w:p>
        </w:tc>
        <w:tc>
          <w:tcPr>
            <w:tcW w:w="1806"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 xml:space="preserve">0.444 </w:t>
            </w:r>
          </w:p>
        </w:tc>
        <w:tc>
          <w:tcPr>
            <w:tcW w:w="1503"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 xml:space="preserve">7740.600 </w:t>
            </w:r>
          </w:p>
        </w:tc>
        <w:tc>
          <w:tcPr>
            <w:tcW w:w="1467" w:type="dxa"/>
            <w:vAlign w:val="center"/>
          </w:tcPr>
          <w:p>
            <w:pPr>
              <w:jc w:val="center"/>
              <w:rPr>
                <w:rFonts w:eastAsia="仿宋"/>
                <w:szCs w:val="21"/>
              </w:rPr>
            </w:pPr>
            <w:r>
              <w:rPr>
                <w:rFonts w:hint="eastAsia" w:eastAsia="仿宋_GB2312"/>
                <w:szCs w:val="21"/>
              </w:rPr>
              <w:t xml:space="preserve">0.333 </w:t>
            </w:r>
          </w:p>
        </w:tc>
        <w:tc>
          <w:tcPr>
            <w:tcW w:w="1559" w:type="dxa"/>
            <w:vAlign w:val="center"/>
          </w:tcPr>
          <w:p>
            <w:pPr>
              <w:jc w:val="center"/>
              <w:rPr>
                <w:rFonts w:eastAsia="仿宋"/>
                <w:szCs w:val="21"/>
              </w:rPr>
            </w:pPr>
            <w:r>
              <w:rPr>
                <w:rFonts w:hint="eastAsia" w:eastAsia="仿宋_GB2312"/>
                <w:szCs w:val="21"/>
              </w:rPr>
              <w:t xml:space="preserve">61.833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1230" w:type="dxa"/>
            <w:noWrap/>
            <w:tcMar>
              <w:top w:w="15" w:type="dxa"/>
              <w:left w:w="15" w:type="dxa"/>
              <w:bottom w:w="0" w:type="dxa"/>
              <w:right w:w="15" w:type="dxa"/>
            </w:tcMar>
            <w:vAlign w:val="center"/>
          </w:tcPr>
          <w:p>
            <w:pPr>
              <w:jc w:val="center"/>
              <w:rPr>
                <w:rFonts w:eastAsia="仿宋"/>
                <w:szCs w:val="21"/>
              </w:rPr>
            </w:pPr>
            <w:r>
              <w:rPr>
                <w:rFonts w:hint="eastAsia" w:eastAsia="仿宋"/>
                <w:szCs w:val="21"/>
              </w:rPr>
              <w:t>160</w:t>
            </w:r>
          </w:p>
        </w:tc>
        <w:tc>
          <w:tcPr>
            <w:tcW w:w="1717"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0.500</w:t>
            </w:r>
          </w:p>
        </w:tc>
        <w:tc>
          <w:tcPr>
            <w:tcW w:w="1628"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18.963</w:t>
            </w:r>
          </w:p>
        </w:tc>
        <w:tc>
          <w:tcPr>
            <w:tcW w:w="1806"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 xml:space="preserve">0.667 </w:t>
            </w:r>
          </w:p>
        </w:tc>
        <w:tc>
          <w:tcPr>
            <w:tcW w:w="1503"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 xml:space="preserve">6717.900 </w:t>
            </w:r>
          </w:p>
        </w:tc>
        <w:tc>
          <w:tcPr>
            <w:tcW w:w="1467" w:type="dxa"/>
            <w:vAlign w:val="center"/>
          </w:tcPr>
          <w:p>
            <w:pPr>
              <w:jc w:val="center"/>
              <w:rPr>
                <w:rFonts w:eastAsia="仿宋"/>
                <w:szCs w:val="21"/>
              </w:rPr>
            </w:pPr>
            <w:r>
              <w:rPr>
                <w:rFonts w:hint="eastAsia" w:eastAsia="仿宋_GB2312"/>
                <w:szCs w:val="21"/>
              </w:rPr>
              <w:t xml:space="preserve">0.500 </w:t>
            </w:r>
          </w:p>
        </w:tc>
        <w:tc>
          <w:tcPr>
            <w:tcW w:w="1559" w:type="dxa"/>
            <w:vAlign w:val="center"/>
          </w:tcPr>
          <w:p>
            <w:pPr>
              <w:jc w:val="center"/>
              <w:rPr>
                <w:rFonts w:eastAsia="仿宋"/>
                <w:szCs w:val="21"/>
              </w:rPr>
            </w:pPr>
            <w:r>
              <w:rPr>
                <w:rFonts w:hint="eastAsia" w:eastAsia="仿宋_GB2312"/>
                <w:szCs w:val="21"/>
              </w:rPr>
              <w:t xml:space="preserve">34.814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1230" w:type="dxa"/>
            <w:noWrap/>
            <w:tcMar>
              <w:top w:w="15" w:type="dxa"/>
              <w:left w:w="15" w:type="dxa"/>
              <w:bottom w:w="0" w:type="dxa"/>
              <w:right w:w="15" w:type="dxa"/>
            </w:tcMar>
            <w:vAlign w:val="center"/>
          </w:tcPr>
          <w:p>
            <w:pPr>
              <w:jc w:val="center"/>
              <w:rPr>
                <w:rFonts w:eastAsia="仿宋"/>
                <w:szCs w:val="21"/>
              </w:rPr>
            </w:pPr>
            <w:r>
              <w:rPr>
                <w:rFonts w:hint="eastAsia" w:eastAsia="仿宋"/>
                <w:szCs w:val="21"/>
              </w:rPr>
              <w:t>210</w:t>
            </w:r>
          </w:p>
        </w:tc>
        <w:tc>
          <w:tcPr>
            <w:tcW w:w="1717"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0.667</w:t>
            </w:r>
          </w:p>
        </w:tc>
        <w:tc>
          <w:tcPr>
            <w:tcW w:w="1628"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13.243</w:t>
            </w:r>
          </w:p>
        </w:tc>
        <w:tc>
          <w:tcPr>
            <w:tcW w:w="1806"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 xml:space="preserve">0.889 </w:t>
            </w:r>
          </w:p>
        </w:tc>
        <w:tc>
          <w:tcPr>
            <w:tcW w:w="1503"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 xml:space="preserve">5182.100 </w:t>
            </w:r>
          </w:p>
        </w:tc>
        <w:tc>
          <w:tcPr>
            <w:tcW w:w="1467" w:type="dxa"/>
            <w:vAlign w:val="center"/>
          </w:tcPr>
          <w:p>
            <w:pPr>
              <w:jc w:val="center"/>
              <w:rPr>
                <w:rFonts w:eastAsia="仿宋"/>
                <w:szCs w:val="21"/>
              </w:rPr>
            </w:pPr>
            <w:r>
              <w:rPr>
                <w:rFonts w:hint="eastAsia" w:eastAsia="仿宋_GB2312"/>
                <w:szCs w:val="21"/>
              </w:rPr>
              <w:t xml:space="preserve">0.667 </w:t>
            </w:r>
          </w:p>
        </w:tc>
        <w:tc>
          <w:tcPr>
            <w:tcW w:w="1559" w:type="dxa"/>
            <w:vAlign w:val="center"/>
          </w:tcPr>
          <w:p>
            <w:pPr>
              <w:jc w:val="center"/>
              <w:rPr>
                <w:rFonts w:eastAsia="仿宋"/>
                <w:szCs w:val="21"/>
              </w:rPr>
            </w:pPr>
            <w:r>
              <w:rPr>
                <w:rFonts w:hint="eastAsia" w:eastAsia="仿宋_GB2312"/>
                <w:szCs w:val="21"/>
              </w:rPr>
              <w:t xml:space="preserve">24.313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1230" w:type="dxa"/>
            <w:noWrap/>
            <w:tcMar>
              <w:top w:w="15" w:type="dxa"/>
              <w:left w:w="15" w:type="dxa"/>
              <w:bottom w:w="0" w:type="dxa"/>
              <w:right w:w="15" w:type="dxa"/>
            </w:tcMar>
            <w:vAlign w:val="center"/>
          </w:tcPr>
          <w:p>
            <w:pPr>
              <w:jc w:val="center"/>
              <w:rPr>
                <w:rFonts w:eastAsia="仿宋"/>
                <w:szCs w:val="21"/>
              </w:rPr>
            </w:pPr>
            <w:r>
              <w:rPr>
                <w:rFonts w:hint="eastAsia" w:eastAsia="仿宋"/>
                <w:szCs w:val="21"/>
              </w:rPr>
              <w:t>310</w:t>
            </w:r>
          </w:p>
        </w:tc>
        <w:tc>
          <w:tcPr>
            <w:tcW w:w="1717"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0.833</w:t>
            </w:r>
          </w:p>
        </w:tc>
        <w:tc>
          <w:tcPr>
            <w:tcW w:w="1628"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10.104</w:t>
            </w:r>
          </w:p>
        </w:tc>
        <w:tc>
          <w:tcPr>
            <w:tcW w:w="1806"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 xml:space="preserve">1.111 </w:t>
            </w:r>
          </w:p>
        </w:tc>
        <w:tc>
          <w:tcPr>
            <w:tcW w:w="1503"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 xml:space="preserve">4005.300 </w:t>
            </w:r>
          </w:p>
        </w:tc>
        <w:tc>
          <w:tcPr>
            <w:tcW w:w="1467" w:type="dxa"/>
            <w:vAlign w:val="center"/>
          </w:tcPr>
          <w:p>
            <w:pPr>
              <w:jc w:val="center"/>
              <w:rPr>
                <w:rFonts w:eastAsia="仿宋"/>
                <w:szCs w:val="21"/>
              </w:rPr>
            </w:pPr>
            <w:r>
              <w:rPr>
                <w:rFonts w:hint="eastAsia" w:eastAsia="仿宋_GB2312"/>
                <w:szCs w:val="21"/>
              </w:rPr>
              <w:t xml:space="preserve">0.833 </w:t>
            </w:r>
          </w:p>
        </w:tc>
        <w:tc>
          <w:tcPr>
            <w:tcW w:w="1559" w:type="dxa"/>
            <w:vAlign w:val="center"/>
          </w:tcPr>
          <w:p>
            <w:pPr>
              <w:jc w:val="center"/>
              <w:rPr>
                <w:rFonts w:eastAsia="仿宋"/>
                <w:szCs w:val="21"/>
              </w:rPr>
            </w:pPr>
            <w:r>
              <w:rPr>
                <w:rFonts w:hint="eastAsia" w:eastAsia="仿宋_GB2312"/>
                <w:szCs w:val="21"/>
              </w:rPr>
              <w:t xml:space="preserve">18.551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1230" w:type="dxa"/>
            <w:noWrap/>
            <w:tcMar>
              <w:top w:w="15" w:type="dxa"/>
              <w:left w:w="15" w:type="dxa"/>
              <w:bottom w:w="0" w:type="dxa"/>
              <w:right w:w="15" w:type="dxa"/>
            </w:tcMar>
            <w:vAlign w:val="center"/>
          </w:tcPr>
          <w:p>
            <w:pPr>
              <w:jc w:val="center"/>
              <w:rPr>
                <w:rFonts w:eastAsia="仿宋"/>
                <w:szCs w:val="21"/>
              </w:rPr>
            </w:pPr>
            <w:r>
              <w:rPr>
                <w:rFonts w:hint="eastAsia" w:eastAsia="仿宋"/>
                <w:szCs w:val="21"/>
              </w:rPr>
              <w:t>410</w:t>
            </w:r>
          </w:p>
        </w:tc>
        <w:tc>
          <w:tcPr>
            <w:tcW w:w="1717"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1.667</w:t>
            </w:r>
          </w:p>
        </w:tc>
        <w:tc>
          <w:tcPr>
            <w:tcW w:w="1628"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4.037</w:t>
            </w:r>
          </w:p>
        </w:tc>
        <w:tc>
          <w:tcPr>
            <w:tcW w:w="1806"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 xml:space="preserve">2.222 </w:t>
            </w:r>
          </w:p>
        </w:tc>
        <w:tc>
          <w:tcPr>
            <w:tcW w:w="1503"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 xml:space="preserve">1511.100 </w:t>
            </w:r>
          </w:p>
        </w:tc>
        <w:tc>
          <w:tcPr>
            <w:tcW w:w="1467" w:type="dxa"/>
            <w:vAlign w:val="center"/>
          </w:tcPr>
          <w:p>
            <w:pPr>
              <w:jc w:val="center"/>
              <w:rPr>
                <w:rFonts w:eastAsia="仿宋"/>
                <w:szCs w:val="21"/>
              </w:rPr>
            </w:pPr>
            <w:r>
              <w:rPr>
                <w:rFonts w:hint="eastAsia" w:eastAsia="仿宋_GB2312"/>
                <w:szCs w:val="21"/>
              </w:rPr>
              <w:t xml:space="preserve">1.667 </w:t>
            </w:r>
          </w:p>
        </w:tc>
        <w:tc>
          <w:tcPr>
            <w:tcW w:w="1559" w:type="dxa"/>
            <w:vAlign w:val="center"/>
          </w:tcPr>
          <w:p>
            <w:pPr>
              <w:jc w:val="center"/>
              <w:rPr>
                <w:rFonts w:eastAsia="仿宋"/>
                <w:szCs w:val="21"/>
              </w:rPr>
            </w:pPr>
            <w:r>
              <w:rPr>
                <w:rFonts w:hint="eastAsia" w:eastAsia="仿宋_GB2312"/>
                <w:szCs w:val="21"/>
              </w:rPr>
              <w:t xml:space="preserve">7.412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1230" w:type="dxa"/>
            <w:noWrap/>
            <w:tcMar>
              <w:top w:w="15" w:type="dxa"/>
              <w:left w:w="15" w:type="dxa"/>
              <w:bottom w:w="0" w:type="dxa"/>
              <w:right w:w="15" w:type="dxa"/>
            </w:tcMar>
            <w:vAlign w:val="center"/>
          </w:tcPr>
          <w:p>
            <w:pPr>
              <w:jc w:val="center"/>
              <w:rPr>
                <w:rFonts w:eastAsia="仿宋"/>
                <w:szCs w:val="21"/>
              </w:rPr>
            </w:pPr>
            <w:r>
              <w:rPr>
                <w:rFonts w:hint="eastAsia" w:eastAsia="仿宋"/>
                <w:szCs w:val="21"/>
              </w:rPr>
              <w:t>510</w:t>
            </w:r>
          </w:p>
        </w:tc>
        <w:tc>
          <w:tcPr>
            <w:tcW w:w="1717"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2.500</w:t>
            </w:r>
          </w:p>
        </w:tc>
        <w:tc>
          <w:tcPr>
            <w:tcW w:w="1628"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2.208</w:t>
            </w:r>
          </w:p>
        </w:tc>
        <w:tc>
          <w:tcPr>
            <w:tcW w:w="1806"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 xml:space="preserve">3.333 </w:t>
            </w:r>
          </w:p>
        </w:tc>
        <w:tc>
          <w:tcPr>
            <w:tcW w:w="1503"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 xml:space="preserve">801.630 </w:t>
            </w:r>
          </w:p>
        </w:tc>
        <w:tc>
          <w:tcPr>
            <w:tcW w:w="1467" w:type="dxa"/>
            <w:vAlign w:val="center"/>
          </w:tcPr>
          <w:p>
            <w:pPr>
              <w:jc w:val="center"/>
              <w:rPr>
                <w:rFonts w:eastAsia="仿宋"/>
                <w:szCs w:val="21"/>
              </w:rPr>
            </w:pPr>
            <w:r>
              <w:rPr>
                <w:rFonts w:hint="eastAsia" w:eastAsia="仿宋_GB2312"/>
                <w:szCs w:val="21"/>
              </w:rPr>
              <w:t xml:space="preserve">2.500 </w:t>
            </w:r>
          </w:p>
        </w:tc>
        <w:tc>
          <w:tcPr>
            <w:tcW w:w="1559" w:type="dxa"/>
            <w:vAlign w:val="center"/>
          </w:tcPr>
          <w:p>
            <w:pPr>
              <w:jc w:val="center"/>
              <w:rPr>
                <w:rFonts w:eastAsia="仿宋"/>
                <w:szCs w:val="21"/>
              </w:rPr>
            </w:pPr>
            <w:r>
              <w:rPr>
                <w:rFonts w:hint="eastAsia" w:eastAsia="仿宋_GB2312"/>
                <w:szCs w:val="21"/>
              </w:rPr>
              <w:t xml:space="preserve">4.053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1230" w:type="dxa"/>
            <w:noWrap/>
            <w:tcMar>
              <w:top w:w="15" w:type="dxa"/>
              <w:left w:w="15" w:type="dxa"/>
              <w:bottom w:w="0" w:type="dxa"/>
              <w:right w:w="15" w:type="dxa"/>
            </w:tcMar>
            <w:vAlign w:val="center"/>
          </w:tcPr>
          <w:p>
            <w:pPr>
              <w:jc w:val="center"/>
              <w:rPr>
                <w:rFonts w:eastAsia="仿宋"/>
                <w:szCs w:val="21"/>
              </w:rPr>
            </w:pPr>
            <w:r>
              <w:rPr>
                <w:rFonts w:hint="eastAsia" w:eastAsia="仿宋"/>
                <w:szCs w:val="21"/>
              </w:rPr>
              <w:t>610</w:t>
            </w:r>
          </w:p>
        </w:tc>
        <w:tc>
          <w:tcPr>
            <w:tcW w:w="1717"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3.333</w:t>
            </w:r>
          </w:p>
        </w:tc>
        <w:tc>
          <w:tcPr>
            <w:tcW w:w="1628"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1.409</w:t>
            </w:r>
          </w:p>
        </w:tc>
        <w:tc>
          <w:tcPr>
            <w:tcW w:w="1806"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 xml:space="preserve">4.444 </w:t>
            </w:r>
          </w:p>
        </w:tc>
        <w:tc>
          <w:tcPr>
            <w:tcW w:w="1503"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 xml:space="preserve">504.310 </w:t>
            </w:r>
          </w:p>
        </w:tc>
        <w:tc>
          <w:tcPr>
            <w:tcW w:w="1467" w:type="dxa"/>
            <w:vAlign w:val="center"/>
          </w:tcPr>
          <w:p>
            <w:pPr>
              <w:jc w:val="center"/>
              <w:rPr>
                <w:rFonts w:eastAsia="仿宋"/>
                <w:szCs w:val="21"/>
              </w:rPr>
            </w:pPr>
            <w:r>
              <w:rPr>
                <w:rFonts w:hint="eastAsia" w:eastAsia="仿宋_GB2312"/>
                <w:szCs w:val="21"/>
              </w:rPr>
              <w:t xml:space="preserve">3.333 </w:t>
            </w:r>
          </w:p>
        </w:tc>
        <w:tc>
          <w:tcPr>
            <w:tcW w:w="1559" w:type="dxa"/>
            <w:vAlign w:val="center"/>
          </w:tcPr>
          <w:p>
            <w:pPr>
              <w:jc w:val="center"/>
              <w:rPr>
                <w:rFonts w:eastAsia="仿宋"/>
                <w:szCs w:val="21"/>
              </w:rPr>
            </w:pPr>
            <w:r>
              <w:rPr>
                <w:rFonts w:hint="eastAsia" w:eastAsia="仿宋_GB2312"/>
                <w:szCs w:val="21"/>
              </w:rPr>
              <w:t xml:space="preserve">2.587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1230" w:type="dxa"/>
            <w:noWrap/>
            <w:tcMar>
              <w:top w:w="15" w:type="dxa"/>
              <w:left w:w="15" w:type="dxa"/>
              <w:bottom w:w="0" w:type="dxa"/>
              <w:right w:w="15" w:type="dxa"/>
            </w:tcMar>
            <w:vAlign w:val="center"/>
          </w:tcPr>
          <w:p>
            <w:pPr>
              <w:jc w:val="center"/>
              <w:rPr>
                <w:rFonts w:eastAsia="仿宋"/>
                <w:szCs w:val="21"/>
              </w:rPr>
            </w:pPr>
            <w:r>
              <w:rPr>
                <w:rFonts w:hint="eastAsia" w:eastAsia="仿宋"/>
                <w:szCs w:val="21"/>
              </w:rPr>
              <w:t>710</w:t>
            </w:r>
          </w:p>
        </w:tc>
        <w:tc>
          <w:tcPr>
            <w:tcW w:w="1717"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4.167</w:t>
            </w:r>
          </w:p>
        </w:tc>
        <w:tc>
          <w:tcPr>
            <w:tcW w:w="1628"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0.987</w:t>
            </w:r>
          </w:p>
        </w:tc>
        <w:tc>
          <w:tcPr>
            <w:tcW w:w="1806"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 xml:space="preserve">5.556 </w:t>
            </w:r>
          </w:p>
        </w:tc>
        <w:tc>
          <w:tcPr>
            <w:tcW w:w="1503"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 xml:space="preserve">350.310 </w:t>
            </w:r>
          </w:p>
        </w:tc>
        <w:tc>
          <w:tcPr>
            <w:tcW w:w="1467" w:type="dxa"/>
            <w:vAlign w:val="center"/>
          </w:tcPr>
          <w:p>
            <w:pPr>
              <w:jc w:val="center"/>
              <w:rPr>
                <w:rFonts w:eastAsia="仿宋"/>
                <w:szCs w:val="21"/>
              </w:rPr>
            </w:pPr>
            <w:r>
              <w:rPr>
                <w:rFonts w:hint="eastAsia" w:eastAsia="仿宋_GB2312"/>
                <w:szCs w:val="21"/>
              </w:rPr>
              <w:t xml:space="preserve">4.167 </w:t>
            </w:r>
          </w:p>
        </w:tc>
        <w:tc>
          <w:tcPr>
            <w:tcW w:w="1559" w:type="dxa"/>
            <w:vAlign w:val="center"/>
          </w:tcPr>
          <w:p>
            <w:pPr>
              <w:jc w:val="center"/>
              <w:rPr>
                <w:rFonts w:eastAsia="仿宋"/>
                <w:szCs w:val="21"/>
              </w:rPr>
            </w:pPr>
            <w:r>
              <w:rPr>
                <w:rFonts w:hint="eastAsia" w:eastAsia="仿宋_GB2312"/>
                <w:szCs w:val="21"/>
              </w:rPr>
              <w:t xml:space="preserve">1.812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1230" w:type="dxa"/>
            <w:noWrap/>
            <w:tcMar>
              <w:top w:w="15" w:type="dxa"/>
              <w:left w:w="15" w:type="dxa"/>
              <w:bottom w:w="0" w:type="dxa"/>
              <w:right w:w="15" w:type="dxa"/>
            </w:tcMar>
            <w:vAlign w:val="center"/>
          </w:tcPr>
          <w:p>
            <w:pPr>
              <w:jc w:val="center"/>
              <w:rPr>
                <w:rFonts w:eastAsia="仿宋"/>
                <w:szCs w:val="21"/>
              </w:rPr>
            </w:pPr>
            <w:r>
              <w:rPr>
                <w:rFonts w:hint="eastAsia" w:eastAsia="仿宋"/>
                <w:szCs w:val="21"/>
              </w:rPr>
              <w:t>810</w:t>
            </w:r>
          </w:p>
        </w:tc>
        <w:tc>
          <w:tcPr>
            <w:tcW w:w="1717"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5.000</w:t>
            </w:r>
          </w:p>
        </w:tc>
        <w:tc>
          <w:tcPr>
            <w:tcW w:w="1628"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0.735</w:t>
            </w:r>
          </w:p>
        </w:tc>
        <w:tc>
          <w:tcPr>
            <w:tcW w:w="1806"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 xml:space="preserve">6.667 </w:t>
            </w:r>
          </w:p>
        </w:tc>
        <w:tc>
          <w:tcPr>
            <w:tcW w:w="1503"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 xml:space="preserve">259.530 </w:t>
            </w:r>
          </w:p>
        </w:tc>
        <w:tc>
          <w:tcPr>
            <w:tcW w:w="1467" w:type="dxa"/>
            <w:vAlign w:val="center"/>
          </w:tcPr>
          <w:p>
            <w:pPr>
              <w:jc w:val="center"/>
              <w:rPr>
                <w:rFonts w:eastAsia="仿宋"/>
                <w:szCs w:val="21"/>
              </w:rPr>
            </w:pPr>
            <w:r>
              <w:rPr>
                <w:rFonts w:hint="eastAsia" w:eastAsia="仿宋_GB2312"/>
                <w:szCs w:val="21"/>
              </w:rPr>
              <w:t xml:space="preserve">5.000 </w:t>
            </w:r>
          </w:p>
        </w:tc>
        <w:tc>
          <w:tcPr>
            <w:tcW w:w="1559" w:type="dxa"/>
            <w:vAlign w:val="center"/>
          </w:tcPr>
          <w:p>
            <w:pPr>
              <w:jc w:val="center"/>
              <w:rPr>
                <w:rFonts w:eastAsia="仿宋"/>
                <w:szCs w:val="21"/>
              </w:rPr>
            </w:pPr>
            <w:r>
              <w:rPr>
                <w:rFonts w:hint="eastAsia" w:eastAsia="仿宋_GB2312"/>
                <w:szCs w:val="21"/>
              </w:rPr>
              <w:t xml:space="preserve">1.349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1230" w:type="dxa"/>
            <w:noWrap/>
            <w:tcMar>
              <w:top w:w="15" w:type="dxa"/>
              <w:left w:w="15" w:type="dxa"/>
              <w:bottom w:w="0" w:type="dxa"/>
              <w:right w:w="15" w:type="dxa"/>
            </w:tcMar>
            <w:vAlign w:val="center"/>
          </w:tcPr>
          <w:p>
            <w:pPr>
              <w:jc w:val="center"/>
              <w:rPr>
                <w:rFonts w:eastAsia="仿宋"/>
                <w:szCs w:val="21"/>
              </w:rPr>
            </w:pPr>
            <w:r>
              <w:rPr>
                <w:rFonts w:hint="eastAsia" w:eastAsia="仿宋"/>
                <w:szCs w:val="21"/>
              </w:rPr>
              <w:t>910</w:t>
            </w:r>
          </w:p>
        </w:tc>
        <w:tc>
          <w:tcPr>
            <w:tcW w:w="1717"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5.833</w:t>
            </w:r>
          </w:p>
        </w:tc>
        <w:tc>
          <w:tcPr>
            <w:tcW w:w="1628"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0.571</w:t>
            </w:r>
          </w:p>
        </w:tc>
        <w:tc>
          <w:tcPr>
            <w:tcW w:w="1806"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 xml:space="preserve">7.778 </w:t>
            </w:r>
          </w:p>
        </w:tc>
        <w:tc>
          <w:tcPr>
            <w:tcW w:w="1503"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 xml:space="preserve">201.160 </w:t>
            </w:r>
          </w:p>
        </w:tc>
        <w:tc>
          <w:tcPr>
            <w:tcW w:w="1467" w:type="dxa"/>
            <w:vAlign w:val="center"/>
          </w:tcPr>
          <w:p>
            <w:pPr>
              <w:jc w:val="center"/>
              <w:rPr>
                <w:rFonts w:eastAsia="仿宋"/>
                <w:szCs w:val="21"/>
              </w:rPr>
            </w:pPr>
            <w:r>
              <w:rPr>
                <w:rFonts w:hint="eastAsia" w:eastAsia="仿宋_GB2312"/>
                <w:szCs w:val="21"/>
              </w:rPr>
              <w:t xml:space="preserve">5.833 </w:t>
            </w:r>
          </w:p>
        </w:tc>
        <w:tc>
          <w:tcPr>
            <w:tcW w:w="1559" w:type="dxa"/>
            <w:vAlign w:val="center"/>
          </w:tcPr>
          <w:p>
            <w:pPr>
              <w:jc w:val="center"/>
              <w:rPr>
                <w:rFonts w:eastAsia="仿宋"/>
                <w:szCs w:val="21"/>
              </w:rPr>
            </w:pPr>
            <w:r>
              <w:rPr>
                <w:rFonts w:hint="eastAsia" w:eastAsia="仿宋_GB2312"/>
                <w:szCs w:val="21"/>
              </w:rPr>
              <w:t xml:space="preserve">1.049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1230" w:type="dxa"/>
            <w:noWrap/>
            <w:tcMar>
              <w:top w:w="15" w:type="dxa"/>
              <w:left w:w="15" w:type="dxa"/>
              <w:bottom w:w="0" w:type="dxa"/>
              <w:right w:w="15" w:type="dxa"/>
            </w:tcMar>
            <w:vAlign w:val="center"/>
          </w:tcPr>
          <w:p>
            <w:pPr>
              <w:jc w:val="center"/>
              <w:rPr>
                <w:rFonts w:eastAsia="仿宋"/>
                <w:szCs w:val="21"/>
              </w:rPr>
            </w:pPr>
            <w:r>
              <w:rPr>
                <w:rFonts w:hint="eastAsia" w:eastAsia="仿宋"/>
                <w:szCs w:val="21"/>
              </w:rPr>
              <w:t>10</w:t>
            </w:r>
            <w:r>
              <w:rPr>
                <w:rFonts w:eastAsia="仿宋"/>
                <w:szCs w:val="21"/>
              </w:rPr>
              <w:t>10</w:t>
            </w:r>
          </w:p>
        </w:tc>
        <w:tc>
          <w:tcPr>
            <w:tcW w:w="1717"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6.667</w:t>
            </w:r>
          </w:p>
        </w:tc>
        <w:tc>
          <w:tcPr>
            <w:tcW w:w="1628"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0.459</w:t>
            </w:r>
          </w:p>
        </w:tc>
        <w:tc>
          <w:tcPr>
            <w:tcW w:w="1806"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 xml:space="preserve">8.889 </w:t>
            </w:r>
          </w:p>
        </w:tc>
        <w:tc>
          <w:tcPr>
            <w:tcW w:w="1503"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 xml:space="preserve">161.210 </w:t>
            </w:r>
          </w:p>
        </w:tc>
        <w:tc>
          <w:tcPr>
            <w:tcW w:w="1467" w:type="dxa"/>
            <w:vAlign w:val="center"/>
          </w:tcPr>
          <w:p>
            <w:pPr>
              <w:jc w:val="center"/>
              <w:rPr>
                <w:rFonts w:eastAsia="仿宋"/>
                <w:szCs w:val="21"/>
              </w:rPr>
            </w:pPr>
            <w:r>
              <w:rPr>
                <w:rFonts w:hint="eastAsia" w:eastAsia="仿宋_GB2312"/>
                <w:szCs w:val="21"/>
              </w:rPr>
              <w:t xml:space="preserve">6.667 </w:t>
            </w:r>
          </w:p>
        </w:tc>
        <w:tc>
          <w:tcPr>
            <w:tcW w:w="1559" w:type="dxa"/>
            <w:vAlign w:val="center"/>
          </w:tcPr>
          <w:p>
            <w:pPr>
              <w:jc w:val="center"/>
              <w:rPr>
                <w:rFonts w:eastAsia="仿宋"/>
                <w:szCs w:val="21"/>
              </w:rPr>
            </w:pPr>
            <w:r>
              <w:rPr>
                <w:rFonts w:hint="eastAsia" w:eastAsia="仿宋_GB2312"/>
                <w:szCs w:val="21"/>
              </w:rPr>
              <w:t xml:space="preserve">0.842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1230" w:type="dxa"/>
            <w:noWrap/>
            <w:tcMar>
              <w:top w:w="15" w:type="dxa"/>
              <w:left w:w="15" w:type="dxa"/>
              <w:bottom w:w="0" w:type="dxa"/>
              <w:right w:w="15" w:type="dxa"/>
            </w:tcMar>
            <w:vAlign w:val="center"/>
          </w:tcPr>
          <w:p>
            <w:pPr>
              <w:jc w:val="center"/>
              <w:rPr>
                <w:rFonts w:eastAsia="仿宋"/>
                <w:szCs w:val="21"/>
              </w:rPr>
            </w:pPr>
            <w:r>
              <w:rPr>
                <w:rFonts w:hint="eastAsia" w:eastAsia="仿宋"/>
                <w:szCs w:val="21"/>
              </w:rPr>
              <w:t>1110</w:t>
            </w:r>
          </w:p>
        </w:tc>
        <w:tc>
          <w:tcPr>
            <w:tcW w:w="1717"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7.500</w:t>
            </w:r>
          </w:p>
        </w:tc>
        <w:tc>
          <w:tcPr>
            <w:tcW w:w="1628"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0.378</w:t>
            </w:r>
          </w:p>
        </w:tc>
        <w:tc>
          <w:tcPr>
            <w:tcW w:w="1806"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 xml:space="preserve">10.000 </w:t>
            </w:r>
          </w:p>
        </w:tc>
        <w:tc>
          <w:tcPr>
            <w:tcW w:w="1503"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 xml:space="preserve">132.560 </w:t>
            </w:r>
          </w:p>
        </w:tc>
        <w:tc>
          <w:tcPr>
            <w:tcW w:w="1467" w:type="dxa"/>
            <w:vAlign w:val="center"/>
          </w:tcPr>
          <w:p>
            <w:pPr>
              <w:jc w:val="center"/>
              <w:rPr>
                <w:rFonts w:eastAsia="仿宋"/>
                <w:szCs w:val="21"/>
              </w:rPr>
            </w:pPr>
            <w:r>
              <w:rPr>
                <w:rFonts w:hint="eastAsia" w:eastAsia="仿宋_GB2312"/>
                <w:szCs w:val="21"/>
              </w:rPr>
              <w:t xml:space="preserve">7.500 </w:t>
            </w:r>
          </w:p>
        </w:tc>
        <w:tc>
          <w:tcPr>
            <w:tcW w:w="1559" w:type="dxa"/>
            <w:vAlign w:val="center"/>
          </w:tcPr>
          <w:p>
            <w:pPr>
              <w:jc w:val="center"/>
              <w:rPr>
                <w:rFonts w:eastAsia="仿宋"/>
                <w:szCs w:val="21"/>
              </w:rPr>
            </w:pPr>
            <w:r>
              <w:rPr>
                <w:rFonts w:hint="eastAsia" w:eastAsia="仿宋_GB2312"/>
                <w:szCs w:val="21"/>
              </w:rPr>
              <w:t xml:space="preserve">0.694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1230" w:type="dxa"/>
            <w:noWrap/>
            <w:tcMar>
              <w:top w:w="15" w:type="dxa"/>
              <w:left w:w="15" w:type="dxa"/>
              <w:bottom w:w="0" w:type="dxa"/>
              <w:right w:w="15" w:type="dxa"/>
            </w:tcMar>
            <w:vAlign w:val="center"/>
          </w:tcPr>
          <w:p>
            <w:pPr>
              <w:jc w:val="center"/>
              <w:rPr>
                <w:rFonts w:eastAsia="仿宋"/>
                <w:szCs w:val="21"/>
              </w:rPr>
            </w:pPr>
            <w:r>
              <w:rPr>
                <w:rFonts w:hint="eastAsia" w:eastAsia="仿宋"/>
                <w:szCs w:val="21"/>
              </w:rPr>
              <w:t>1210</w:t>
            </w:r>
          </w:p>
        </w:tc>
        <w:tc>
          <w:tcPr>
            <w:tcW w:w="1717"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8.333</w:t>
            </w:r>
          </w:p>
        </w:tc>
        <w:tc>
          <w:tcPr>
            <w:tcW w:w="1628"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0.317</w:t>
            </w:r>
          </w:p>
        </w:tc>
        <w:tc>
          <w:tcPr>
            <w:tcW w:w="1806"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 xml:space="preserve">11.111 </w:t>
            </w:r>
          </w:p>
        </w:tc>
        <w:tc>
          <w:tcPr>
            <w:tcW w:w="1503"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 xml:space="preserve">111.230 </w:t>
            </w:r>
          </w:p>
        </w:tc>
        <w:tc>
          <w:tcPr>
            <w:tcW w:w="1467" w:type="dxa"/>
            <w:vAlign w:val="center"/>
          </w:tcPr>
          <w:p>
            <w:pPr>
              <w:jc w:val="center"/>
              <w:rPr>
                <w:rFonts w:eastAsia="仿宋"/>
                <w:szCs w:val="21"/>
              </w:rPr>
            </w:pPr>
            <w:r>
              <w:rPr>
                <w:rFonts w:hint="eastAsia" w:eastAsia="仿宋_GB2312"/>
                <w:szCs w:val="21"/>
              </w:rPr>
              <w:t xml:space="preserve">8.333 </w:t>
            </w:r>
          </w:p>
        </w:tc>
        <w:tc>
          <w:tcPr>
            <w:tcW w:w="1559" w:type="dxa"/>
            <w:vAlign w:val="center"/>
          </w:tcPr>
          <w:p>
            <w:pPr>
              <w:jc w:val="center"/>
              <w:rPr>
                <w:rFonts w:eastAsia="仿宋"/>
                <w:szCs w:val="21"/>
              </w:rPr>
            </w:pPr>
            <w:r>
              <w:rPr>
                <w:rFonts w:hint="eastAsia" w:eastAsia="仿宋_GB2312"/>
                <w:szCs w:val="21"/>
              </w:rPr>
              <w:t xml:space="preserve">0.583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1230" w:type="dxa"/>
            <w:noWrap/>
            <w:tcMar>
              <w:top w:w="15" w:type="dxa"/>
              <w:left w:w="15" w:type="dxa"/>
              <w:bottom w:w="0" w:type="dxa"/>
              <w:right w:w="15" w:type="dxa"/>
            </w:tcMar>
            <w:vAlign w:val="center"/>
          </w:tcPr>
          <w:p>
            <w:pPr>
              <w:jc w:val="center"/>
              <w:rPr>
                <w:rFonts w:eastAsia="仿宋"/>
                <w:szCs w:val="21"/>
              </w:rPr>
            </w:pPr>
            <w:r>
              <w:rPr>
                <w:rFonts w:hint="eastAsia" w:eastAsia="仿宋"/>
                <w:szCs w:val="21"/>
              </w:rPr>
              <w:t>1310</w:t>
            </w:r>
          </w:p>
        </w:tc>
        <w:tc>
          <w:tcPr>
            <w:tcW w:w="1717"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10.000</w:t>
            </w:r>
          </w:p>
        </w:tc>
        <w:tc>
          <w:tcPr>
            <w:tcW w:w="1628"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0.235</w:t>
            </w:r>
          </w:p>
        </w:tc>
        <w:tc>
          <w:tcPr>
            <w:tcW w:w="1806"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 xml:space="preserve">13.333 </w:t>
            </w:r>
          </w:p>
        </w:tc>
        <w:tc>
          <w:tcPr>
            <w:tcW w:w="1503"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 xml:space="preserve">82.076 </w:t>
            </w:r>
          </w:p>
        </w:tc>
        <w:tc>
          <w:tcPr>
            <w:tcW w:w="1467" w:type="dxa"/>
            <w:vAlign w:val="center"/>
          </w:tcPr>
          <w:p>
            <w:pPr>
              <w:jc w:val="center"/>
              <w:rPr>
                <w:rFonts w:eastAsia="仿宋"/>
                <w:szCs w:val="21"/>
              </w:rPr>
            </w:pPr>
            <w:r>
              <w:rPr>
                <w:rFonts w:hint="eastAsia" w:eastAsia="仿宋_GB2312"/>
                <w:szCs w:val="21"/>
              </w:rPr>
              <w:t xml:space="preserve">10.000 </w:t>
            </w:r>
          </w:p>
        </w:tc>
        <w:tc>
          <w:tcPr>
            <w:tcW w:w="1559" w:type="dxa"/>
            <w:vAlign w:val="center"/>
          </w:tcPr>
          <w:p>
            <w:pPr>
              <w:jc w:val="center"/>
              <w:rPr>
                <w:rFonts w:eastAsia="仿宋"/>
                <w:szCs w:val="21"/>
              </w:rPr>
            </w:pPr>
            <w:r>
              <w:rPr>
                <w:rFonts w:hint="eastAsia" w:eastAsia="仿宋_GB2312"/>
                <w:szCs w:val="21"/>
              </w:rPr>
              <w:t xml:space="preserve">0.431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1230" w:type="dxa"/>
            <w:noWrap/>
            <w:tcMar>
              <w:top w:w="15" w:type="dxa"/>
              <w:left w:w="15" w:type="dxa"/>
              <w:bottom w:w="0" w:type="dxa"/>
              <w:right w:w="15" w:type="dxa"/>
            </w:tcMar>
            <w:vAlign w:val="center"/>
          </w:tcPr>
          <w:p>
            <w:pPr>
              <w:jc w:val="center"/>
              <w:rPr>
                <w:rFonts w:eastAsia="仿宋"/>
                <w:szCs w:val="21"/>
              </w:rPr>
            </w:pPr>
            <w:r>
              <w:rPr>
                <w:rFonts w:hint="eastAsia" w:eastAsia="仿宋"/>
                <w:szCs w:val="21"/>
              </w:rPr>
              <w:t>1410</w:t>
            </w:r>
          </w:p>
        </w:tc>
        <w:tc>
          <w:tcPr>
            <w:tcW w:w="1717"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11.667</w:t>
            </w:r>
          </w:p>
        </w:tc>
        <w:tc>
          <w:tcPr>
            <w:tcW w:w="1628"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0.182</w:t>
            </w:r>
          </w:p>
        </w:tc>
        <w:tc>
          <w:tcPr>
            <w:tcW w:w="1806"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 xml:space="preserve">18.556 </w:t>
            </w:r>
          </w:p>
        </w:tc>
        <w:tc>
          <w:tcPr>
            <w:tcW w:w="1503"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 xml:space="preserve">63.443 </w:t>
            </w:r>
          </w:p>
        </w:tc>
        <w:tc>
          <w:tcPr>
            <w:tcW w:w="1467" w:type="dxa"/>
            <w:vAlign w:val="center"/>
          </w:tcPr>
          <w:p>
            <w:pPr>
              <w:jc w:val="center"/>
              <w:rPr>
                <w:rFonts w:eastAsia="仿宋"/>
                <w:szCs w:val="21"/>
              </w:rPr>
            </w:pPr>
            <w:r>
              <w:rPr>
                <w:rFonts w:hint="eastAsia" w:eastAsia="仿宋_GB2312"/>
                <w:szCs w:val="21"/>
              </w:rPr>
              <w:t xml:space="preserve">11.667 </w:t>
            </w:r>
          </w:p>
        </w:tc>
        <w:tc>
          <w:tcPr>
            <w:tcW w:w="1559" w:type="dxa"/>
            <w:vAlign w:val="center"/>
          </w:tcPr>
          <w:p>
            <w:pPr>
              <w:jc w:val="center"/>
              <w:rPr>
                <w:rFonts w:eastAsia="仿宋"/>
                <w:szCs w:val="21"/>
              </w:rPr>
            </w:pPr>
            <w:r>
              <w:rPr>
                <w:rFonts w:hint="eastAsia" w:eastAsia="仿宋_GB2312"/>
                <w:szCs w:val="21"/>
              </w:rPr>
              <w:t xml:space="preserve">0.333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1230" w:type="dxa"/>
            <w:noWrap/>
            <w:tcMar>
              <w:top w:w="15" w:type="dxa"/>
              <w:left w:w="15" w:type="dxa"/>
              <w:bottom w:w="0" w:type="dxa"/>
              <w:right w:w="15" w:type="dxa"/>
            </w:tcMar>
            <w:vAlign w:val="center"/>
          </w:tcPr>
          <w:p>
            <w:pPr>
              <w:jc w:val="center"/>
              <w:rPr>
                <w:rFonts w:eastAsia="仿宋"/>
                <w:szCs w:val="21"/>
              </w:rPr>
            </w:pPr>
            <w:r>
              <w:rPr>
                <w:rFonts w:hint="eastAsia" w:eastAsia="仿宋"/>
                <w:szCs w:val="21"/>
              </w:rPr>
              <w:t>1510</w:t>
            </w:r>
          </w:p>
        </w:tc>
        <w:tc>
          <w:tcPr>
            <w:tcW w:w="1717"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13.333</w:t>
            </w:r>
          </w:p>
        </w:tc>
        <w:tc>
          <w:tcPr>
            <w:tcW w:w="1628"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0.151</w:t>
            </w:r>
          </w:p>
        </w:tc>
        <w:tc>
          <w:tcPr>
            <w:tcW w:w="1806"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 xml:space="preserve">20.778 </w:t>
            </w:r>
          </w:p>
        </w:tc>
        <w:tc>
          <w:tcPr>
            <w:tcW w:w="1503"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 xml:space="preserve">52.672 </w:t>
            </w:r>
          </w:p>
        </w:tc>
        <w:tc>
          <w:tcPr>
            <w:tcW w:w="1467" w:type="dxa"/>
            <w:vAlign w:val="center"/>
          </w:tcPr>
          <w:p>
            <w:pPr>
              <w:jc w:val="center"/>
              <w:rPr>
                <w:rFonts w:eastAsia="仿宋"/>
                <w:szCs w:val="21"/>
              </w:rPr>
            </w:pPr>
            <w:r>
              <w:rPr>
                <w:rFonts w:hint="eastAsia" w:eastAsia="仿宋_GB2312"/>
                <w:szCs w:val="21"/>
              </w:rPr>
              <w:t xml:space="preserve">13.333 </w:t>
            </w:r>
          </w:p>
        </w:tc>
        <w:tc>
          <w:tcPr>
            <w:tcW w:w="1559" w:type="dxa"/>
            <w:vAlign w:val="center"/>
          </w:tcPr>
          <w:p>
            <w:pPr>
              <w:jc w:val="center"/>
              <w:rPr>
                <w:rFonts w:eastAsia="仿宋"/>
                <w:szCs w:val="21"/>
              </w:rPr>
            </w:pPr>
            <w:r>
              <w:rPr>
                <w:rFonts w:hint="eastAsia" w:eastAsia="仿宋_GB2312"/>
                <w:szCs w:val="21"/>
              </w:rPr>
              <w:t xml:space="preserve">0.277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1230" w:type="dxa"/>
            <w:noWrap/>
            <w:tcMar>
              <w:top w:w="15" w:type="dxa"/>
              <w:left w:w="15" w:type="dxa"/>
              <w:bottom w:w="0" w:type="dxa"/>
              <w:right w:w="15" w:type="dxa"/>
            </w:tcMar>
            <w:vAlign w:val="center"/>
          </w:tcPr>
          <w:p>
            <w:pPr>
              <w:jc w:val="center"/>
              <w:rPr>
                <w:rFonts w:eastAsia="仿宋"/>
                <w:szCs w:val="21"/>
              </w:rPr>
            </w:pPr>
            <w:r>
              <w:rPr>
                <w:rFonts w:hint="eastAsia" w:eastAsia="仿宋"/>
                <w:szCs w:val="21"/>
              </w:rPr>
              <w:t>1610</w:t>
            </w:r>
          </w:p>
        </w:tc>
        <w:tc>
          <w:tcPr>
            <w:tcW w:w="1717"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15.000</w:t>
            </w:r>
          </w:p>
        </w:tc>
        <w:tc>
          <w:tcPr>
            <w:tcW w:w="1628"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0.129</w:t>
            </w:r>
          </w:p>
        </w:tc>
        <w:tc>
          <w:tcPr>
            <w:tcW w:w="1806"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 xml:space="preserve">23.000 </w:t>
            </w:r>
          </w:p>
        </w:tc>
        <w:tc>
          <w:tcPr>
            <w:tcW w:w="1503"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 xml:space="preserve">45.030 </w:t>
            </w:r>
          </w:p>
        </w:tc>
        <w:tc>
          <w:tcPr>
            <w:tcW w:w="1467" w:type="dxa"/>
            <w:vAlign w:val="center"/>
          </w:tcPr>
          <w:p>
            <w:pPr>
              <w:jc w:val="center"/>
              <w:rPr>
                <w:rFonts w:eastAsia="仿宋"/>
                <w:szCs w:val="21"/>
              </w:rPr>
            </w:pPr>
            <w:r>
              <w:rPr>
                <w:rFonts w:hint="eastAsia" w:eastAsia="仿宋_GB2312"/>
                <w:szCs w:val="21"/>
              </w:rPr>
              <w:t xml:space="preserve">15.000 </w:t>
            </w:r>
          </w:p>
        </w:tc>
        <w:tc>
          <w:tcPr>
            <w:tcW w:w="1559" w:type="dxa"/>
            <w:vAlign w:val="center"/>
          </w:tcPr>
          <w:p>
            <w:pPr>
              <w:jc w:val="center"/>
              <w:rPr>
                <w:rFonts w:eastAsia="仿宋"/>
                <w:szCs w:val="21"/>
              </w:rPr>
            </w:pPr>
            <w:r>
              <w:rPr>
                <w:rFonts w:hint="eastAsia" w:eastAsia="仿宋_GB2312"/>
                <w:szCs w:val="21"/>
              </w:rPr>
              <w:t xml:space="preserve">0.237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1230" w:type="dxa"/>
            <w:noWrap/>
            <w:tcMar>
              <w:top w:w="15" w:type="dxa"/>
              <w:left w:w="15" w:type="dxa"/>
              <w:bottom w:w="0" w:type="dxa"/>
              <w:right w:w="15" w:type="dxa"/>
            </w:tcMar>
            <w:vAlign w:val="center"/>
          </w:tcPr>
          <w:p>
            <w:pPr>
              <w:jc w:val="center"/>
              <w:rPr>
                <w:rFonts w:eastAsia="仿宋"/>
                <w:szCs w:val="21"/>
              </w:rPr>
            </w:pPr>
            <w:r>
              <w:rPr>
                <w:rFonts w:hint="eastAsia" w:eastAsia="仿宋"/>
                <w:szCs w:val="21"/>
              </w:rPr>
              <w:t>1710</w:t>
            </w:r>
          </w:p>
        </w:tc>
        <w:tc>
          <w:tcPr>
            <w:tcW w:w="1717"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19.667</w:t>
            </w:r>
          </w:p>
        </w:tc>
        <w:tc>
          <w:tcPr>
            <w:tcW w:w="1628"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0.112</w:t>
            </w:r>
          </w:p>
        </w:tc>
        <w:tc>
          <w:tcPr>
            <w:tcW w:w="1806"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 xml:space="preserve">25.222 </w:t>
            </w:r>
          </w:p>
        </w:tc>
        <w:tc>
          <w:tcPr>
            <w:tcW w:w="1503"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 xml:space="preserve">39.135 </w:t>
            </w:r>
          </w:p>
        </w:tc>
        <w:tc>
          <w:tcPr>
            <w:tcW w:w="1467" w:type="dxa"/>
            <w:vAlign w:val="center"/>
          </w:tcPr>
          <w:p>
            <w:pPr>
              <w:jc w:val="center"/>
              <w:rPr>
                <w:rFonts w:eastAsia="仿宋"/>
                <w:szCs w:val="21"/>
              </w:rPr>
            </w:pPr>
            <w:r>
              <w:rPr>
                <w:rFonts w:hint="eastAsia" w:eastAsia="仿宋_GB2312"/>
                <w:szCs w:val="21"/>
              </w:rPr>
              <w:t xml:space="preserve">19.667 </w:t>
            </w:r>
          </w:p>
        </w:tc>
        <w:tc>
          <w:tcPr>
            <w:tcW w:w="1559" w:type="dxa"/>
            <w:vAlign w:val="center"/>
          </w:tcPr>
          <w:p>
            <w:pPr>
              <w:jc w:val="center"/>
              <w:rPr>
                <w:rFonts w:eastAsia="仿宋"/>
                <w:szCs w:val="21"/>
              </w:rPr>
            </w:pPr>
            <w:r>
              <w:rPr>
                <w:rFonts w:hint="eastAsia" w:eastAsia="仿宋_GB2312"/>
                <w:szCs w:val="21"/>
              </w:rPr>
              <w:t xml:space="preserve">0.206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1230" w:type="dxa"/>
            <w:noWrap/>
            <w:tcMar>
              <w:top w:w="15" w:type="dxa"/>
              <w:left w:w="15" w:type="dxa"/>
              <w:bottom w:w="0" w:type="dxa"/>
              <w:right w:w="15" w:type="dxa"/>
            </w:tcMar>
            <w:vAlign w:val="center"/>
          </w:tcPr>
          <w:p>
            <w:pPr>
              <w:jc w:val="center"/>
              <w:rPr>
                <w:rFonts w:eastAsia="仿宋"/>
                <w:szCs w:val="21"/>
              </w:rPr>
            </w:pPr>
            <w:r>
              <w:rPr>
                <w:rFonts w:hint="eastAsia" w:eastAsia="仿宋"/>
                <w:szCs w:val="21"/>
              </w:rPr>
              <w:t>1810</w:t>
            </w:r>
          </w:p>
        </w:tc>
        <w:tc>
          <w:tcPr>
            <w:tcW w:w="1717"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23.000</w:t>
            </w:r>
          </w:p>
        </w:tc>
        <w:tc>
          <w:tcPr>
            <w:tcW w:w="1628"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0.088</w:t>
            </w:r>
          </w:p>
        </w:tc>
        <w:tc>
          <w:tcPr>
            <w:tcW w:w="1806"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 xml:space="preserve">30.667 </w:t>
            </w:r>
          </w:p>
        </w:tc>
        <w:tc>
          <w:tcPr>
            <w:tcW w:w="1503"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 xml:space="preserve">30.695 </w:t>
            </w:r>
          </w:p>
        </w:tc>
        <w:tc>
          <w:tcPr>
            <w:tcW w:w="1467" w:type="dxa"/>
            <w:vAlign w:val="center"/>
          </w:tcPr>
          <w:p>
            <w:pPr>
              <w:jc w:val="center"/>
              <w:rPr>
                <w:rFonts w:eastAsia="仿宋"/>
                <w:szCs w:val="21"/>
              </w:rPr>
            </w:pPr>
            <w:r>
              <w:rPr>
                <w:rFonts w:hint="eastAsia" w:eastAsia="仿宋_GB2312"/>
                <w:szCs w:val="21"/>
              </w:rPr>
              <w:t xml:space="preserve">23.000 </w:t>
            </w:r>
          </w:p>
        </w:tc>
        <w:tc>
          <w:tcPr>
            <w:tcW w:w="1559" w:type="dxa"/>
            <w:vAlign w:val="center"/>
          </w:tcPr>
          <w:p>
            <w:pPr>
              <w:jc w:val="center"/>
              <w:rPr>
                <w:rFonts w:eastAsia="仿宋"/>
                <w:szCs w:val="21"/>
              </w:rPr>
            </w:pPr>
            <w:r>
              <w:rPr>
                <w:rFonts w:hint="eastAsia" w:eastAsia="仿宋_GB2312"/>
                <w:szCs w:val="21"/>
              </w:rPr>
              <w:t xml:space="preserve">0.162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1230" w:type="dxa"/>
            <w:noWrap/>
            <w:tcMar>
              <w:top w:w="15" w:type="dxa"/>
              <w:left w:w="15" w:type="dxa"/>
              <w:bottom w:w="0" w:type="dxa"/>
              <w:right w:w="15" w:type="dxa"/>
            </w:tcMar>
            <w:vAlign w:val="center"/>
          </w:tcPr>
          <w:p>
            <w:pPr>
              <w:jc w:val="center"/>
              <w:rPr>
                <w:rFonts w:eastAsia="仿宋"/>
                <w:szCs w:val="21"/>
              </w:rPr>
            </w:pPr>
            <w:r>
              <w:rPr>
                <w:rFonts w:hint="eastAsia" w:eastAsia="仿宋"/>
                <w:szCs w:val="21"/>
              </w:rPr>
              <w:t>1910</w:t>
            </w:r>
          </w:p>
        </w:tc>
        <w:tc>
          <w:tcPr>
            <w:tcW w:w="1717"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26.333</w:t>
            </w:r>
          </w:p>
        </w:tc>
        <w:tc>
          <w:tcPr>
            <w:tcW w:w="1628"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0.072</w:t>
            </w:r>
          </w:p>
        </w:tc>
        <w:tc>
          <w:tcPr>
            <w:tcW w:w="1806"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 xml:space="preserve">35.111 </w:t>
            </w:r>
          </w:p>
        </w:tc>
        <w:tc>
          <w:tcPr>
            <w:tcW w:w="1503"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 xml:space="preserve">24.993 </w:t>
            </w:r>
          </w:p>
        </w:tc>
        <w:tc>
          <w:tcPr>
            <w:tcW w:w="1467" w:type="dxa"/>
            <w:vAlign w:val="center"/>
          </w:tcPr>
          <w:p>
            <w:pPr>
              <w:jc w:val="center"/>
              <w:rPr>
                <w:rFonts w:eastAsia="仿宋"/>
                <w:szCs w:val="21"/>
              </w:rPr>
            </w:pPr>
            <w:r>
              <w:rPr>
                <w:rFonts w:hint="eastAsia" w:eastAsia="仿宋_GB2312"/>
                <w:szCs w:val="21"/>
              </w:rPr>
              <w:t xml:space="preserve">26.333 </w:t>
            </w:r>
          </w:p>
        </w:tc>
        <w:tc>
          <w:tcPr>
            <w:tcW w:w="1559" w:type="dxa"/>
            <w:vAlign w:val="center"/>
          </w:tcPr>
          <w:p>
            <w:pPr>
              <w:jc w:val="center"/>
              <w:rPr>
                <w:rFonts w:eastAsia="仿宋"/>
                <w:szCs w:val="21"/>
              </w:rPr>
            </w:pPr>
            <w:r>
              <w:rPr>
                <w:rFonts w:hint="eastAsia" w:eastAsia="仿宋_GB2312"/>
                <w:szCs w:val="21"/>
              </w:rPr>
              <w:t xml:space="preserve">0.132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1230" w:type="dxa"/>
            <w:noWrap/>
            <w:tcMar>
              <w:top w:w="15" w:type="dxa"/>
              <w:left w:w="15" w:type="dxa"/>
              <w:bottom w:w="0" w:type="dxa"/>
              <w:right w:w="15" w:type="dxa"/>
            </w:tcMar>
            <w:vAlign w:val="center"/>
          </w:tcPr>
          <w:p>
            <w:pPr>
              <w:jc w:val="center"/>
              <w:rPr>
                <w:rFonts w:eastAsia="仿宋"/>
                <w:szCs w:val="21"/>
              </w:rPr>
            </w:pPr>
            <w:r>
              <w:rPr>
                <w:rFonts w:hint="eastAsia" w:eastAsia="仿宋"/>
                <w:szCs w:val="21"/>
              </w:rPr>
              <w:t>2010</w:t>
            </w:r>
          </w:p>
        </w:tc>
        <w:tc>
          <w:tcPr>
            <w:tcW w:w="1717"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30.667</w:t>
            </w:r>
          </w:p>
        </w:tc>
        <w:tc>
          <w:tcPr>
            <w:tcW w:w="1628"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0.060</w:t>
            </w:r>
          </w:p>
        </w:tc>
        <w:tc>
          <w:tcPr>
            <w:tcW w:w="1806"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 xml:space="preserve">40.555 </w:t>
            </w:r>
          </w:p>
        </w:tc>
        <w:tc>
          <w:tcPr>
            <w:tcW w:w="1503"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 xml:space="preserve">20.916 </w:t>
            </w:r>
          </w:p>
        </w:tc>
        <w:tc>
          <w:tcPr>
            <w:tcW w:w="1467" w:type="dxa"/>
            <w:vAlign w:val="center"/>
          </w:tcPr>
          <w:p>
            <w:pPr>
              <w:jc w:val="center"/>
              <w:rPr>
                <w:rFonts w:eastAsia="仿宋"/>
                <w:szCs w:val="21"/>
              </w:rPr>
            </w:pPr>
            <w:r>
              <w:rPr>
                <w:rFonts w:hint="eastAsia" w:eastAsia="仿宋_GB2312"/>
                <w:szCs w:val="21"/>
              </w:rPr>
              <w:t xml:space="preserve">30.667 </w:t>
            </w:r>
          </w:p>
        </w:tc>
        <w:tc>
          <w:tcPr>
            <w:tcW w:w="1559" w:type="dxa"/>
            <w:vAlign w:val="center"/>
          </w:tcPr>
          <w:p>
            <w:pPr>
              <w:jc w:val="center"/>
              <w:rPr>
                <w:rFonts w:eastAsia="仿宋"/>
                <w:szCs w:val="21"/>
              </w:rPr>
            </w:pPr>
            <w:r>
              <w:rPr>
                <w:rFonts w:hint="eastAsia" w:eastAsia="仿宋_GB2312"/>
                <w:szCs w:val="21"/>
              </w:rPr>
              <w:t xml:space="preserve">0.110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1230" w:type="dxa"/>
            <w:noWrap/>
            <w:tcMar>
              <w:top w:w="15" w:type="dxa"/>
              <w:left w:w="15" w:type="dxa"/>
              <w:bottom w:w="0" w:type="dxa"/>
              <w:right w:w="15" w:type="dxa"/>
            </w:tcMar>
            <w:vAlign w:val="center"/>
          </w:tcPr>
          <w:p>
            <w:pPr>
              <w:jc w:val="center"/>
              <w:rPr>
                <w:rFonts w:eastAsia="仿宋"/>
                <w:szCs w:val="21"/>
              </w:rPr>
            </w:pPr>
            <w:r>
              <w:rPr>
                <w:rFonts w:hint="eastAsia" w:eastAsia="仿宋"/>
                <w:szCs w:val="21"/>
              </w:rPr>
              <w:t>3010</w:t>
            </w:r>
          </w:p>
        </w:tc>
        <w:tc>
          <w:tcPr>
            <w:tcW w:w="1717"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34.000</w:t>
            </w:r>
          </w:p>
        </w:tc>
        <w:tc>
          <w:tcPr>
            <w:tcW w:w="1628"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0.051</w:t>
            </w:r>
          </w:p>
        </w:tc>
        <w:tc>
          <w:tcPr>
            <w:tcW w:w="1806"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 xml:space="preserve">45.000 </w:t>
            </w:r>
          </w:p>
        </w:tc>
        <w:tc>
          <w:tcPr>
            <w:tcW w:w="1503"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 xml:space="preserve">17.874 </w:t>
            </w:r>
          </w:p>
        </w:tc>
        <w:tc>
          <w:tcPr>
            <w:tcW w:w="1467" w:type="dxa"/>
            <w:vAlign w:val="center"/>
          </w:tcPr>
          <w:p>
            <w:pPr>
              <w:jc w:val="center"/>
              <w:rPr>
                <w:rFonts w:eastAsia="仿宋"/>
                <w:szCs w:val="21"/>
              </w:rPr>
            </w:pPr>
            <w:r>
              <w:rPr>
                <w:rFonts w:hint="eastAsia" w:eastAsia="仿宋_GB2312"/>
                <w:szCs w:val="21"/>
              </w:rPr>
              <w:t xml:space="preserve">34.000 </w:t>
            </w:r>
          </w:p>
        </w:tc>
        <w:tc>
          <w:tcPr>
            <w:tcW w:w="1559" w:type="dxa"/>
            <w:vAlign w:val="center"/>
          </w:tcPr>
          <w:p>
            <w:pPr>
              <w:jc w:val="center"/>
              <w:rPr>
                <w:rFonts w:eastAsia="仿宋"/>
                <w:szCs w:val="21"/>
              </w:rPr>
            </w:pPr>
            <w:r>
              <w:rPr>
                <w:rFonts w:hint="eastAsia" w:eastAsia="仿宋_GB2312"/>
                <w:szCs w:val="21"/>
              </w:rPr>
              <w:t xml:space="preserve">0.094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1230" w:type="dxa"/>
            <w:noWrap/>
            <w:tcMar>
              <w:top w:w="15" w:type="dxa"/>
              <w:left w:w="15" w:type="dxa"/>
              <w:bottom w:w="0" w:type="dxa"/>
              <w:right w:w="15" w:type="dxa"/>
            </w:tcMar>
            <w:vAlign w:val="center"/>
          </w:tcPr>
          <w:p>
            <w:pPr>
              <w:jc w:val="center"/>
              <w:rPr>
                <w:rFonts w:eastAsia="仿宋"/>
                <w:szCs w:val="21"/>
              </w:rPr>
            </w:pPr>
            <w:r>
              <w:rPr>
                <w:rFonts w:hint="eastAsia" w:eastAsia="仿宋"/>
                <w:szCs w:val="21"/>
              </w:rPr>
              <w:t>4010</w:t>
            </w:r>
          </w:p>
        </w:tc>
        <w:tc>
          <w:tcPr>
            <w:tcW w:w="1717"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38.333</w:t>
            </w:r>
          </w:p>
        </w:tc>
        <w:tc>
          <w:tcPr>
            <w:tcW w:w="1628"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0.045</w:t>
            </w:r>
          </w:p>
        </w:tc>
        <w:tc>
          <w:tcPr>
            <w:tcW w:w="1806"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 xml:space="preserve">50.444 </w:t>
            </w:r>
          </w:p>
        </w:tc>
        <w:tc>
          <w:tcPr>
            <w:tcW w:w="1503"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 xml:space="preserve">15.530 </w:t>
            </w:r>
          </w:p>
        </w:tc>
        <w:tc>
          <w:tcPr>
            <w:tcW w:w="1467" w:type="dxa"/>
            <w:vAlign w:val="center"/>
          </w:tcPr>
          <w:p>
            <w:pPr>
              <w:jc w:val="center"/>
              <w:rPr>
                <w:rFonts w:eastAsia="仿宋"/>
                <w:szCs w:val="21"/>
              </w:rPr>
            </w:pPr>
            <w:r>
              <w:rPr>
                <w:rFonts w:hint="eastAsia" w:eastAsia="仿宋_GB2312"/>
                <w:szCs w:val="21"/>
              </w:rPr>
              <w:t xml:space="preserve">38.333 </w:t>
            </w:r>
          </w:p>
        </w:tc>
        <w:tc>
          <w:tcPr>
            <w:tcW w:w="1559" w:type="dxa"/>
            <w:vAlign w:val="center"/>
          </w:tcPr>
          <w:p>
            <w:pPr>
              <w:jc w:val="center"/>
              <w:rPr>
                <w:rFonts w:eastAsia="仿宋"/>
                <w:szCs w:val="21"/>
              </w:rPr>
            </w:pPr>
            <w:r>
              <w:rPr>
                <w:rFonts w:hint="eastAsia" w:eastAsia="仿宋_GB2312"/>
                <w:szCs w:val="21"/>
              </w:rPr>
              <w:t xml:space="preserve">0.082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1230" w:type="dxa"/>
            <w:noWrap/>
            <w:tcMar>
              <w:top w:w="15" w:type="dxa"/>
              <w:left w:w="15" w:type="dxa"/>
              <w:bottom w:w="0" w:type="dxa"/>
              <w:right w:w="15" w:type="dxa"/>
            </w:tcMar>
            <w:vAlign w:val="center"/>
          </w:tcPr>
          <w:p>
            <w:pPr>
              <w:jc w:val="center"/>
              <w:rPr>
                <w:rFonts w:eastAsia="仿宋"/>
                <w:szCs w:val="21"/>
              </w:rPr>
            </w:pPr>
            <w:r>
              <w:rPr>
                <w:rFonts w:hint="eastAsia" w:eastAsia="仿宋"/>
                <w:szCs w:val="21"/>
              </w:rPr>
              <w:t>4910</w:t>
            </w:r>
          </w:p>
        </w:tc>
        <w:tc>
          <w:tcPr>
            <w:tcW w:w="1717"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42.500</w:t>
            </w:r>
          </w:p>
        </w:tc>
        <w:tc>
          <w:tcPr>
            <w:tcW w:w="1628"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0.038</w:t>
            </w:r>
          </w:p>
        </w:tc>
        <w:tc>
          <w:tcPr>
            <w:tcW w:w="1806"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 xml:space="preserve">57.000 </w:t>
            </w:r>
          </w:p>
        </w:tc>
        <w:tc>
          <w:tcPr>
            <w:tcW w:w="1503"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 xml:space="preserve">13.270 </w:t>
            </w:r>
          </w:p>
        </w:tc>
        <w:tc>
          <w:tcPr>
            <w:tcW w:w="1467" w:type="dxa"/>
            <w:vAlign w:val="center"/>
          </w:tcPr>
          <w:p>
            <w:pPr>
              <w:jc w:val="center"/>
              <w:rPr>
                <w:rFonts w:eastAsia="仿宋"/>
                <w:szCs w:val="21"/>
              </w:rPr>
            </w:pPr>
            <w:r>
              <w:rPr>
                <w:rFonts w:hint="eastAsia" w:eastAsia="仿宋_GB2312"/>
                <w:szCs w:val="21"/>
              </w:rPr>
              <w:t xml:space="preserve">42.500 </w:t>
            </w:r>
          </w:p>
        </w:tc>
        <w:tc>
          <w:tcPr>
            <w:tcW w:w="1559" w:type="dxa"/>
            <w:vAlign w:val="center"/>
          </w:tcPr>
          <w:p>
            <w:pPr>
              <w:jc w:val="center"/>
              <w:rPr>
                <w:rFonts w:eastAsia="仿宋"/>
                <w:szCs w:val="21"/>
              </w:rPr>
            </w:pPr>
            <w:r>
              <w:rPr>
                <w:rFonts w:hint="eastAsia" w:eastAsia="仿宋_GB2312"/>
                <w:szCs w:val="21"/>
              </w:rPr>
              <w:t xml:space="preserve">0.070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1230" w:type="dxa"/>
            <w:noWrap/>
            <w:tcMar>
              <w:top w:w="15" w:type="dxa"/>
              <w:left w:w="15" w:type="dxa"/>
              <w:bottom w:w="0" w:type="dxa"/>
              <w:right w:w="15" w:type="dxa"/>
            </w:tcMar>
            <w:vAlign w:val="center"/>
          </w:tcPr>
          <w:p>
            <w:pPr>
              <w:jc w:val="center"/>
              <w:rPr>
                <w:rFonts w:eastAsia="仿宋"/>
                <w:szCs w:val="21"/>
              </w:rPr>
            </w:pPr>
            <w:r>
              <w:rPr>
                <w:rFonts w:hint="eastAsia" w:eastAsia="仿宋"/>
                <w:szCs w:val="21"/>
              </w:rPr>
              <w:t>4960</w:t>
            </w:r>
          </w:p>
        </w:tc>
        <w:tc>
          <w:tcPr>
            <w:tcW w:w="1717"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47.667</w:t>
            </w:r>
          </w:p>
        </w:tc>
        <w:tc>
          <w:tcPr>
            <w:tcW w:w="1628"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0.033</w:t>
            </w:r>
          </w:p>
        </w:tc>
        <w:tc>
          <w:tcPr>
            <w:tcW w:w="1806"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 xml:space="preserve">62.555 </w:t>
            </w:r>
          </w:p>
        </w:tc>
        <w:tc>
          <w:tcPr>
            <w:tcW w:w="1503" w:type="dxa"/>
            <w:noWrap/>
            <w:tcMar>
              <w:top w:w="15" w:type="dxa"/>
              <w:left w:w="15" w:type="dxa"/>
              <w:bottom w:w="0" w:type="dxa"/>
              <w:right w:w="15" w:type="dxa"/>
            </w:tcMar>
            <w:vAlign w:val="center"/>
          </w:tcPr>
          <w:p>
            <w:pPr>
              <w:jc w:val="center"/>
              <w:rPr>
                <w:rFonts w:eastAsia="仿宋"/>
                <w:szCs w:val="21"/>
              </w:rPr>
            </w:pPr>
            <w:r>
              <w:rPr>
                <w:rFonts w:hint="eastAsia" w:eastAsia="仿宋_GB2312"/>
                <w:szCs w:val="21"/>
              </w:rPr>
              <w:t xml:space="preserve">11.528 </w:t>
            </w:r>
          </w:p>
        </w:tc>
        <w:tc>
          <w:tcPr>
            <w:tcW w:w="1467" w:type="dxa"/>
            <w:vAlign w:val="center"/>
          </w:tcPr>
          <w:p>
            <w:pPr>
              <w:jc w:val="center"/>
              <w:rPr>
                <w:rFonts w:eastAsia="仿宋"/>
                <w:szCs w:val="21"/>
              </w:rPr>
            </w:pPr>
            <w:r>
              <w:rPr>
                <w:rFonts w:hint="eastAsia" w:eastAsia="仿宋_GB2312"/>
                <w:szCs w:val="21"/>
              </w:rPr>
              <w:t xml:space="preserve">47.667 </w:t>
            </w:r>
          </w:p>
        </w:tc>
        <w:tc>
          <w:tcPr>
            <w:tcW w:w="1559" w:type="dxa"/>
            <w:vAlign w:val="center"/>
          </w:tcPr>
          <w:p>
            <w:pPr>
              <w:jc w:val="center"/>
              <w:rPr>
                <w:rFonts w:eastAsia="仿宋"/>
                <w:szCs w:val="21"/>
              </w:rPr>
            </w:pPr>
            <w:r>
              <w:rPr>
                <w:rFonts w:hint="eastAsia" w:eastAsia="仿宋_GB2312"/>
                <w:szCs w:val="21"/>
              </w:rPr>
              <w:t xml:space="preserve">0.061 </w:t>
            </w:r>
          </w:p>
        </w:tc>
      </w:tr>
    </w:tbl>
    <w:p>
      <w:pPr>
        <w:snapToGrid w:val="0"/>
        <w:spacing w:line="500" w:lineRule="exact"/>
        <w:ind w:firstLine="560" w:firstLineChars="200"/>
        <w:rPr>
          <w:rFonts w:eastAsia="仿宋_GB2312"/>
          <w:sz w:val="28"/>
          <w:szCs w:val="28"/>
        </w:rPr>
      </w:pPr>
      <w:r>
        <w:rPr>
          <w:rFonts w:eastAsia="仿宋_GB2312"/>
          <w:sz w:val="28"/>
          <w:szCs w:val="28"/>
        </w:rPr>
        <w:t>综上，大气环境风险评价结果见表</w:t>
      </w:r>
      <w:r>
        <w:rPr>
          <w:rFonts w:hint="eastAsia" w:eastAsia="仿宋_GB2312"/>
          <w:sz w:val="28"/>
          <w:szCs w:val="28"/>
        </w:rPr>
        <w:t>5.3-</w:t>
      </w:r>
      <w:r>
        <w:rPr>
          <w:rFonts w:eastAsia="仿宋_GB2312"/>
          <w:sz w:val="28"/>
          <w:szCs w:val="28"/>
        </w:rPr>
        <w:t>30</w:t>
      </w:r>
      <w:r>
        <w:rPr>
          <w:rFonts w:hint="eastAsia" w:eastAsia="仿宋_GB2312"/>
          <w:sz w:val="28"/>
          <w:szCs w:val="28"/>
        </w:rPr>
        <w:t>。</w:t>
      </w:r>
    </w:p>
    <w:p>
      <w:pPr>
        <w:adjustRightInd w:val="0"/>
        <w:snapToGrid w:val="0"/>
        <w:ind w:firstLine="482"/>
        <w:jc w:val="center"/>
        <w:rPr>
          <w:rFonts w:ascii="仿宋" w:hAnsi="仿宋" w:eastAsia="仿宋"/>
          <w:b/>
          <w:sz w:val="24"/>
          <w:szCs w:val="22"/>
        </w:rPr>
      </w:pPr>
    </w:p>
    <w:p>
      <w:pPr>
        <w:adjustRightInd w:val="0"/>
        <w:snapToGrid w:val="0"/>
        <w:ind w:firstLine="482"/>
        <w:jc w:val="center"/>
        <w:rPr>
          <w:rFonts w:ascii="仿宋" w:hAnsi="仿宋" w:eastAsia="仿宋"/>
          <w:b/>
          <w:sz w:val="24"/>
          <w:szCs w:val="22"/>
        </w:rPr>
      </w:pPr>
      <w:r>
        <w:rPr>
          <w:rFonts w:ascii="仿宋" w:hAnsi="仿宋" w:eastAsia="仿宋"/>
          <w:b/>
          <w:sz w:val="24"/>
          <w:szCs w:val="22"/>
        </w:rPr>
        <w:t>表</w:t>
      </w:r>
      <w:r>
        <w:rPr>
          <w:rFonts w:hint="eastAsia" w:ascii="仿宋" w:hAnsi="仿宋" w:eastAsia="仿宋"/>
          <w:b/>
          <w:sz w:val="24"/>
          <w:szCs w:val="22"/>
        </w:rPr>
        <w:t>5.3-3</w:t>
      </w:r>
      <w:r>
        <w:rPr>
          <w:rFonts w:ascii="仿宋" w:hAnsi="仿宋" w:eastAsia="仿宋"/>
          <w:b/>
          <w:sz w:val="24"/>
          <w:szCs w:val="22"/>
        </w:rPr>
        <w:t xml:space="preserve">0 </w:t>
      </w:r>
      <w:r>
        <w:rPr>
          <w:rFonts w:hint="eastAsia" w:ascii="仿宋" w:hAnsi="仿宋" w:eastAsia="仿宋"/>
          <w:b/>
          <w:sz w:val="24"/>
          <w:szCs w:val="22"/>
        </w:rPr>
        <w:t>大气环境风险评价结果</w:t>
      </w:r>
    </w:p>
    <w:tbl>
      <w:tblPr>
        <w:tblStyle w:val="87"/>
        <w:tblW w:w="90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19"/>
        <w:gridCol w:w="2127"/>
        <w:gridCol w:w="1784"/>
        <w:gridCol w:w="2092"/>
        <w:gridCol w:w="1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119" w:type="dxa"/>
            <w:tcBorders>
              <w:tl2br w:val="nil"/>
              <w:tr2bl w:val="nil"/>
            </w:tcBorders>
            <w:vAlign w:val="center"/>
          </w:tcPr>
          <w:p>
            <w:pPr>
              <w:jc w:val="center"/>
              <w:rPr>
                <w:rFonts w:eastAsia="仿宋"/>
                <w:szCs w:val="21"/>
              </w:rPr>
            </w:pPr>
            <w:r>
              <w:rPr>
                <w:rFonts w:eastAsia="仿宋"/>
                <w:szCs w:val="21"/>
              </w:rPr>
              <w:t>危险物质</w:t>
            </w:r>
          </w:p>
        </w:tc>
        <w:tc>
          <w:tcPr>
            <w:tcW w:w="7980" w:type="dxa"/>
            <w:gridSpan w:val="4"/>
            <w:tcBorders>
              <w:tl2br w:val="nil"/>
              <w:tr2bl w:val="nil"/>
            </w:tcBorders>
            <w:vAlign w:val="center"/>
          </w:tcPr>
          <w:p>
            <w:pPr>
              <w:jc w:val="center"/>
              <w:rPr>
                <w:rFonts w:eastAsia="仿宋"/>
                <w:szCs w:val="21"/>
              </w:rPr>
            </w:pPr>
            <w:r>
              <w:rPr>
                <w:rFonts w:eastAsia="仿宋"/>
                <w:szCs w:val="21"/>
              </w:rPr>
              <w:t>大气环境影响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119" w:type="dxa"/>
            <w:vMerge w:val="restart"/>
            <w:tcBorders>
              <w:tl2br w:val="nil"/>
              <w:tr2bl w:val="nil"/>
            </w:tcBorders>
            <w:vAlign w:val="center"/>
          </w:tcPr>
          <w:p>
            <w:pPr>
              <w:jc w:val="center"/>
              <w:rPr>
                <w:rFonts w:eastAsia="仿宋"/>
                <w:szCs w:val="21"/>
              </w:rPr>
            </w:pPr>
            <w:r>
              <w:rPr>
                <w:rFonts w:eastAsia="仿宋"/>
                <w:szCs w:val="21"/>
              </w:rPr>
              <w:t>二甲苯泄漏</w:t>
            </w:r>
          </w:p>
        </w:tc>
        <w:tc>
          <w:tcPr>
            <w:tcW w:w="2127" w:type="dxa"/>
            <w:tcBorders>
              <w:tl2br w:val="nil"/>
              <w:tr2bl w:val="nil"/>
            </w:tcBorders>
            <w:vAlign w:val="center"/>
          </w:tcPr>
          <w:p>
            <w:pPr>
              <w:jc w:val="center"/>
              <w:rPr>
                <w:rFonts w:eastAsia="仿宋"/>
                <w:szCs w:val="21"/>
              </w:rPr>
            </w:pPr>
            <w:r>
              <w:rPr>
                <w:rFonts w:eastAsia="仿宋"/>
                <w:szCs w:val="21"/>
              </w:rPr>
              <w:t>指标</w:t>
            </w:r>
          </w:p>
        </w:tc>
        <w:tc>
          <w:tcPr>
            <w:tcW w:w="1784" w:type="dxa"/>
            <w:tcBorders>
              <w:tl2br w:val="nil"/>
              <w:tr2bl w:val="nil"/>
            </w:tcBorders>
            <w:vAlign w:val="center"/>
          </w:tcPr>
          <w:p>
            <w:pPr>
              <w:jc w:val="center"/>
              <w:rPr>
                <w:rFonts w:eastAsia="仿宋"/>
                <w:szCs w:val="21"/>
              </w:rPr>
            </w:pPr>
            <w:r>
              <w:rPr>
                <w:rFonts w:eastAsia="仿宋"/>
                <w:szCs w:val="21"/>
              </w:rPr>
              <w:t>浓度值（mg/m</w:t>
            </w:r>
            <w:r>
              <w:rPr>
                <w:rFonts w:eastAsia="仿宋"/>
                <w:szCs w:val="21"/>
                <w:vertAlign w:val="superscript"/>
              </w:rPr>
              <w:t>3</w:t>
            </w:r>
            <w:r>
              <w:rPr>
                <w:rFonts w:eastAsia="仿宋"/>
                <w:szCs w:val="21"/>
              </w:rPr>
              <w:t>）</w:t>
            </w:r>
          </w:p>
        </w:tc>
        <w:tc>
          <w:tcPr>
            <w:tcW w:w="2092" w:type="dxa"/>
            <w:tcBorders>
              <w:tl2br w:val="nil"/>
              <w:tr2bl w:val="nil"/>
            </w:tcBorders>
            <w:vAlign w:val="center"/>
          </w:tcPr>
          <w:p>
            <w:pPr>
              <w:jc w:val="center"/>
              <w:rPr>
                <w:rFonts w:eastAsia="仿宋"/>
                <w:szCs w:val="21"/>
              </w:rPr>
            </w:pPr>
            <w:r>
              <w:rPr>
                <w:rFonts w:eastAsia="仿宋"/>
                <w:szCs w:val="21"/>
              </w:rPr>
              <w:t>最远影响距离（m）</w:t>
            </w:r>
          </w:p>
        </w:tc>
        <w:tc>
          <w:tcPr>
            <w:tcW w:w="1977" w:type="dxa"/>
            <w:tcBorders>
              <w:tl2br w:val="nil"/>
              <w:tr2bl w:val="nil"/>
            </w:tcBorders>
            <w:vAlign w:val="center"/>
          </w:tcPr>
          <w:p>
            <w:pPr>
              <w:jc w:val="center"/>
              <w:rPr>
                <w:rFonts w:eastAsia="仿宋"/>
                <w:szCs w:val="21"/>
              </w:rPr>
            </w:pPr>
            <w:r>
              <w:rPr>
                <w:rFonts w:eastAsia="仿宋"/>
                <w:szCs w:val="21"/>
              </w:rPr>
              <w:t>到达时间（min）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119" w:type="dxa"/>
            <w:vMerge w:val="continue"/>
            <w:tcBorders>
              <w:tl2br w:val="nil"/>
              <w:tr2bl w:val="nil"/>
            </w:tcBorders>
            <w:vAlign w:val="center"/>
          </w:tcPr>
          <w:p>
            <w:pPr>
              <w:jc w:val="center"/>
              <w:rPr>
                <w:rFonts w:eastAsia="仿宋"/>
                <w:szCs w:val="21"/>
              </w:rPr>
            </w:pPr>
          </w:p>
        </w:tc>
        <w:tc>
          <w:tcPr>
            <w:tcW w:w="2127" w:type="dxa"/>
            <w:tcBorders>
              <w:tl2br w:val="nil"/>
              <w:tr2bl w:val="nil"/>
            </w:tcBorders>
            <w:vAlign w:val="center"/>
          </w:tcPr>
          <w:p>
            <w:pPr>
              <w:jc w:val="center"/>
              <w:rPr>
                <w:rFonts w:eastAsia="仿宋"/>
                <w:szCs w:val="21"/>
              </w:rPr>
            </w:pPr>
            <w:r>
              <w:rPr>
                <w:rFonts w:eastAsia="仿宋"/>
                <w:szCs w:val="21"/>
              </w:rPr>
              <w:t>大气毒性终点浓度-1</w:t>
            </w:r>
          </w:p>
        </w:tc>
        <w:tc>
          <w:tcPr>
            <w:tcW w:w="1784" w:type="dxa"/>
            <w:tcBorders>
              <w:tl2br w:val="nil"/>
              <w:tr2bl w:val="nil"/>
            </w:tcBorders>
            <w:vAlign w:val="center"/>
          </w:tcPr>
          <w:p>
            <w:pPr>
              <w:jc w:val="center"/>
              <w:rPr>
                <w:rFonts w:eastAsia="仿宋"/>
                <w:szCs w:val="21"/>
              </w:rPr>
            </w:pPr>
            <w:r>
              <w:rPr>
                <w:rFonts w:hint="eastAsia" w:ascii="仿宋" w:hAnsi="仿宋" w:eastAsia="仿宋"/>
                <w:bCs/>
              </w:rPr>
              <w:t>11000</w:t>
            </w:r>
          </w:p>
        </w:tc>
        <w:tc>
          <w:tcPr>
            <w:tcW w:w="2092" w:type="dxa"/>
            <w:tcBorders>
              <w:tl2br w:val="nil"/>
              <w:tr2bl w:val="nil"/>
            </w:tcBorders>
            <w:vAlign w:val="center"/>
          </w:tcPr>
          <w:p>
            <w:pPr>
              <w:jc w:val="center"/>
              <w:rPr>
                <w:rFonts w:eastAsia="仿宋"/>
                <w:szCs w:val="21"/>
              </w:rPr>
            </w:pPr>
            <w:r>
              <w:rPr>
                <w:rFonts w:hint="eastAsia" w:eastAsia="仿宋"/>
                <w:szCs w:val="21"/>
              </w:rPr>
              <w:t>/</w:t>
            </w:r>
          </w:p>
        </w:tc>
        <w:tc>
          <w:tcPr>
            <w:tcW w:w="1977" w:type="dxa"/>
            <w:tcBorders>
              <w:tl2br w:val="nil"/>
              <w:tr2bl w:val="nil"/>
            </w:tcBorders>
            <w:vAlign w:val="center"/>
          </w:tcPr>
          <w:p>
            <w:pPr>
              <w:jc w:val="center"/>
              <w:rPr>
                <w:rFonts w:eastAsia="仿宋"/>
                <w:szCs w:val="21"/>
              </w:rPr>
            </w:pPr>
            <w:r>
              <w:rPr>
                <w:rFonts w:hint="eastAsia" w:eastAsia="仿宋"/>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119" w:type="dxa"/>
            <w:vMerge w:val="continue"/>
            <w:tcBorders>
              <w:tl2br w:val="nil"/>
              <w:tr2bl w:val="nil"/>
            </w:tcBorders>
            <w:vAlign w:val="center"/>
          </w:tcPr>
          <w:p>
            <w:pPr>
              <w:jc w:val="center"/>
              <w:rPr>
                <w:rFonts w:eastAsia="仿宋"/>
                <w:szCs w:val="21"/>
              </w:rPr>
            </w:pPr>
          </w:p>
        </w:tc>
        <w:tc>
          <w:tcPr>
            <w:tcW w:w="2127" w:type="dxa"/>
            <w:tcBorders>
              <w:tl2br w:val="nil"/>
              <w:tr2bl w:val="nil"/>
            </w:tcBorders>
            <w:vAlign w:val="center"/>
          </w:tcPr>
          <w:p>
            <w:pPr>
              <w:jc w:val="center"/>
              <w:rPr>
                <w:rFonts w:eastAsia="仿宋"/>
                <w:szCs w:val="21"/>
              </w:rPr>
            </w:pPr>
            <w:r>
              <w:rPr>
                <w:rFonts w:eastAsia="仿宋"/>
                <w:szCs w:val="21"/>
              </w:rPr>
              <w:t>大气毒性终点浓度-2</w:t>
            </w:r>
          </w:p>
        </w:tc>
        <w:tc>
          <w:tcPr>
            <w:tcW w:w="1784" w:type="dxa"/>
            <w:tcBorders>
              <w:tl2br w:val="nil"/>
              <w:tr2bl w:val="nil"/>
            </w:tcBorders>
            <w:vAlign w:val="center"/>
          </w:tcPr>
          <w:p>
            <w:pPr>
              <w:jc w:val="center"/>
              <w:rPr>
                <w:rFonts w:eastAsia="仿宋"/>
                <w:szCs w:val="21"/>
              </w:rPr>
            </w:pPr>
            <w:r>
              <w:rPr>
                <w:rFonts w:hint="eastAsia" w:ascii="仿宋" w:hAnsi="仿宋" w:eastAsia="仿宋"/>
                <w:bCs/>
              </w:rPr>
              <w:t>4000</w:t>
            </w:r>
          </w:p>
        </w:tc>
        <w:tc>
          <w:tcPr>
            <w:tcW w:w="2092" w:type="dxa"/>
            <w:tcBorders>
              <w:tl2br w:val="nil"/>
              <w:tr2bl w:val="nil"/>
            </w:tcBorders>
            <w:vAlign w:val="center"/>
          </w:tcPr>
          <w:p>
            <w:pPr>
              <w:jc w:val="center"/>
              <w:rPr>
                <w:rFonts w:eastAsia="仿宋"/>
                <w:szCs w:val="21"/>
              </w:rPr>
            </w:pPr>
            <w:r>
              <w:rPr>
                <w:rFonts w:hint="eastAsia" w:eastAsia="仿宋"/>
                <w:szCs w:val="21"/>
              </w:rPr>
              <w:t>/</w:t>
            </w:r>
          </w:p>
        </w:tc>
        <w:tc>
          <w:tcPr>
            <w:tcW w:w="1977" w:type="dxa"/>
            <w:tcBorders>
              <w:tl2br w:val="nil"/>
              <w:tr2bl w:val="nil"/>
            </w:tcBorders>
            <w:vAlign w:val="center"/>
          </w:tcPr>
          <w:p>
            <w:pPr>
              <w:jc w:val="center"/>
              <w:rPr>
                <w:rFonts w:eastAsia="仿宋"/>
                <w:szCs w:val="21"/>
              </w:rPr>
            </w:pPr>
            <w:r>
              <w:rPr>
                <w:rFonts w:hint="eastAsia" w:eastAsia="仿宋"/>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119" w:type="dxa"/>
            <w:vMerge w:val="continue"/>
            <w:tcBorders>
              <w:tl2br w:val="nil"/>
              <w:tr2bl w:val="nil"/>
            </w:tcBorders>
            <w:vAlign w:val="center"/>
          </w:tcPr>
          <w:p>
            <w:pPr>
              <w:jc w:val="center"/>
              <w:rPr>
                <w:rFonts w:eastAsia="仿宋"/>
                <w:szCs w:val="21"/>
              </w:rPr>
            </w:pPr>
          </w:p>
        </w:tc>
        <w:tc>
          <w:tcPr>
            <w:tcW w:w="2127" w:type="dxa"/>
            <w:tcBorders>
              <w:tl2br w:val="nil"/>
              <w:tr2bl w:val="nil"/>
            </w:tcBorders>
            <w:vAlign w:val="center"/>
          </w:tcPr>
          <w:p>
            <w:pPr>
              <w:jc w:val="center"/>
              <w:rPr>
                <w:rFonts w:eastAsia="仿宋"/>
                <w:szCs w:val="21"/>
              </w:rPr>
            </w:pPr>
            <w:r>
              <w:rPr>
                <w:rFonts w:eastAsia="仿宋"/>
                <w:szCs w:val="21"/>
              </w:rPr>
              <w:t>敏感目标名称</w:t>
            </w:r>
          </w:p>
        </w:tc>
        <w:tc>
          <w:tcPr>
            <w:tcW w:w="1784" w:type="dxa"/>
            <w:tcBorders>
              <w:tl2br w:val="nil"/>
              <w:tr2bl w:val="nil"/>
            </w:tcBorders>
            <w:vAlign w:val="center"/>
          </w:tcPr>
          <w:p>
            <w:pPr>
              <w:jc w:val="center"/>
              <w:rPr>
                <w:rFonts w:eastAsia="仿宋"/>
                <w:szCs w:val="21"/>
              </w:rPr>
            </w:pPr>
            <w:r>
              <w:rPr>
                <w:rFonts w:eastAsia="仿宋"/>
                <w:szCs w:val="21"/>
              </w:rPr>
              <w:t>超标时间（min）</w:t>
            </w:r>
          </w:p>
        </w:tc>
        <w:tc>
          <w:tcPr>
            <w:tcW w:w="2092" w:type="dxa"/>
            <w:tcBorders>
              <w:tl2br w:val="nil"/>
              <w:tr2bl w:val="nil"/>
            </w:tcBorders>
            <w:vAlign w:val="center"/>
          </w:tcPr>
          <w:p>
            <w:pPr>
              <w:jc w:val="center"/>
              <w:rPr>
                <w:rFonts w:eastAsia="仿宋"/>
                <w:szCs w:val="21"/>
              </w:rPr>
            </w:pPr>
            <w:r>
              <w:rPr>
                <w:rFonts w:eastAsia="仿宋"/>
                <w:szCs w:val="21"/>
              </w:rPr>
              <w:t>超标持续时间（min）</w:t>
            </w:r>
          </w:p>
        </w:tc>
        <w:tc>
          <w:tcPr>
            <w:tcW w:w="1977" w:type="dxa"/>
            <w:tcBorders>
              <w:tl2br w:val="nil"/>
              <w:tr2bl w:val="nil"/>
            </w:tcBorders>
            <w:vAlign w:val="center"/>
          </w:tcPr>
          <w:p>
            <w:pPr>
              <w:jc w:val="center"/>
              <w:rPr>
                <w:rFonts w:eastAsia="仿宋"/>
                <w:szCs w:val="21"/>
              </w:rPr>
            </w:pPr>
            <w:r>
              <w:rPr>
                <w:rFonts w:eastAsia="仿宋"/>
                <w:szCs w:val="21"/>
              </w:rPr>
              <w:t>最大浓度（mg/m</w:t>
            </w:r>
            <w:r>
              <w:rPr>
                <w:rFonts w:eastAsia="仿宋"/>
                <w:szCs w:val="21"/>
                <w:vertAlign w:val="superscript"/>
              </w:rPr>
              <w:t>3</w:t>
            </w:r>
            <w:r>
              <w:rPr>
                <w:rFonts w:eastAsia="仿宋"/>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jc w:val="center"/>
        </w:trPr>
        <w:tc>
          <w:tcPr>
            <w:tcW w:w="1119" w:type="dxa"/>
            <w:vMerge w:val="continue"/>
            <w:tcBorders>
              <w:tl2br w:val="nil"/>
              <w:tr2bl w:val="nil"/>
            </w:tcBorders>
            <w:vAlign w:val="center"/>
          </w:tcPr>
          <w:p>
            <w:pPr>
              <w:jc w:val="center"/>
              <w:rPr>
                <w:rFonts w:eastAsia="仿宋"/>
                <w:szCs w:val="21"/>
              </w:rPr>
            </w:pPr>
          </w:p>
        </w:tc>
        <w:tc>
          <w:tcPr>
            <w:tcW w:w="2127" w:type="dxa"/>
            <w:tcBorders>
              <w:tl2br w:val="nil"/>
              <w:tr2bl w:val="nil"/>
            </w:tcBorders>
            <w:vAlign w:val="center"/>
          </w:tcPr>
          <w:p>
            <w:pPr>
              <w:widowControl/>
              <w:spacing w:line="320" w:lineRule="exact"/>
              <w:jc w:val="center"/>
              <w:rPr>
                <w:rFonts w:eastAsia="仿宋"/>
                <w:szCs w:val="21"/>
              </w:rPr>
            </w:pPr>
            <w:r>
              <w:rPr>
                <w:rFonts w:hint="eastAsia" w:eastAsia="仿宋"/>
                <w:bCs/>
                <w:szCs w:val="21"/>
              </w:rPr>
              <w:t>元巷小区</w:t>
            </w:r>
          </w:p>
        </w:tc>
        <w:tc>
          <w:tcPr>
            <w:tcW w:w="1784" w:type="dxa"/>
            <w:tcBorders>
              <w:tl2br w:val="nil"/>
              <w:tr2bl w:val="nil"/>
            </w:tcBorders>
            <w:vAlign w:val="center"/>
          </w:tcPr>
          <w:p>
            <w:pPr>
              <w:jc w:val="center"/>
              <w:rPr>
                <w:rFonts w:eastAsia="仿宋"/>
                <w:szCs w:val="21"/>
              </w:rPr>
            </w:pPr>
            <w:r>
              <w:rPr>
                <w:rFonts w:hint="eastAsia" w:eastAsia="仿宋"/>
                <w:szCs w:val="21"/>
              </w:rPr>
              <w:t>/</w:t>
            </w:r>
          </w:p>
        </w:tc>
        <w:tc>
          <w:tcPr>
            <w:tcW w:w="2092" w:type="dxa"/>
            <w:tcBorders>
              <w:tl2br w:val="nil"/>
              <w:tr2bl w:val="nil"/>
            </w:tcBorders>
            <w:vAlign w:val="center"/>
          </w:tcPr>
          <w:p>
            <w:pPr>
              <w:jc w:val="center"/>
              <w:rPr>
                <w:rFonts w:eastAsia="仿宋"/>
                <w:szCs w:val="21"/>
              </w:rPr>
            </w:pPr>
            <w:r>
              <w:rPr>
                <w:rFonts w:hint="eastAsia" w:eastAsia="仿宋"/>
                <w:szCs w:val="21"/>
              </w:rPr>
              <w:t>/</w:t>
            </w:r>
          </w:p>
        </w:tc>
        <w:tc>
          <w:tcPr>
            <w:tcW w:w="1977" w:type="dxa"/>
            <w:tcBorders>
              <w:tl2br w:val="nil"/>
              <w:tr2bl w:val="nil"/>
            </w:tcBorders>
            <w:vAlign w:val="center"/>
          </w:tcPr>
          <w:p>
            <w:pPr>
              <w:jc w:val="center"/>
              <w:rPr>
                <w:rFonts w:eastAsia="仿宋"/>
                <w:szCs w:val="21"/>
              </w:rPr>
            </w:pPr>
            <w:r>
              <w:rPr>
                <w:rFonts w:hint="eastAsia" w:eastAsia="仿宋"/>
                <w:szCs w:val="21"/>
              </w:rPr>
              <w:t>11.21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jc w:val="center"/>
        </w:trPr>
        <w:tc>
          <w:tcPr>
            <w:tcW w:w="1119" w:type="dxa"/>
            <w:vMerge w:val="continue"/>
            <w:tcBorders>
              <w:tl2br w:val="nil"/>
              <w:tr2bl w:val="nil"/>
            </w:tcBorders>
            <w:vAlign w:val="center"/>
          </w:tcPr>
          <w:p>
            <w:pPr>
              <w:jc w:val="center"/>
              <w:rPr>
                <w:rFonts w:eastAsia="仿宋"/>
                <w:szCs w:val="21"/>
              </w:rPr>
            </w:pPr>
          </w:p>
        </w:tc>
        <w:tc>
          <w:tcPr>
            <w:tcW w:w="2127" w:type="dxa"/>
            <w:tcBorders>
              <w:tl2br w:val="nil"/>
              <w:tr2bl w:val="nil"/>
            </w:tcBorders>
            <w:vAlign w:val="center"/>
          </w:tcPr>
          <w:p>
            <w:pPr>
              <w:widowControl/>
              <w:spacing w:line="320" w:lineRule="exact"/>
              <w:jc w:val="center"/>
              <w:rPr>
                <w:rFonts w:eastAsia="仿宋"/>
                <w:szCs w:val="21"/>
              </w:rPr>
            </w:pPr>
            <w:r>
              <w:rPr>
                <w:rFonts w:hint="eastAsia" w:eastAsia="仿宋"/>
                <w:bCs/>
                <w:szCs w:val="21"/>
              </w:rPr>
              <w:t>金城镇中心幼儿园</w:t>
            </w:r>
          </w:p>
        </w:tc>
        <w:tc>
          <w:tcPr>
            <w:tcW w:w="1784" w:type="dxa"/>
            <w:tcBorders>
              <w:tl2br w:val="nil"/>
              <w:tr2bl w:val="nil"/>
            </w:tcBorders>
            <w:vAlign w:val="center"/>
          </w:tcPr>
          <w:p>
            <w:pPr>
              <w:jc w:val="center"/>
              <w:rPr>
                <w:rFonts w:eastAsia="仿宋"/>
                <w:szCs w:val="21"/>
              </w:rPr>
            </w:pPr>
            <w:r>
              <w:rPr>
                <w:rFonts w:hint="eastAsia" w:eastAsia="仿宋"/>
                <w:szCs w:val="21"/>
              </w:rPr>
              <w:t>/</w:t>
            </w:r>
          </w:p>
        </w:tc>
        <w:tc>
          <w:tcPr>
            <w:tcW w:w="2092" w:type="dxa"/>
            <w:tcBorders>
              <w:tl2br w:val="nil"/>
              <w:tr2bl w:val="nil"/>
            </w:tcBorders>
            <w:vAlign w:val="center"/>
          </w:tcPr>
          <w:p>
            <w:pPr>
              <w:jc w:val="center"/>
              <w:rPr>
                <w:rFonts w:eastAsia="仿宋"/>
                <w:szCs w:val="21"/>
              </w:rPr>
            </w:pPr>
            <w:r>
              <w:rPr>
                <w:rFonts w:hint="eastAsia" w:eastAsia="仿宋"/>
                <w:szCs w:val="21"/>
              </w:rPr>
              <w:t>/</w:t>
            </w:r>
          </w:p>
        </w:tc>
        <w:tc>
          <w:tcPr>
            <w:tcW w:w="1977" w:type="dxa"/>
            <w:tcBorders>
              <w:tl2br w:val="nil"/>
              <w:tr2bl w:val="nil"/>
            </w:tcBorders>
            <w:vAlign w:val="center"/>
          </w:tcPr>
          <w:p>
            <w:pPr>
              <w:jc w:val="center"/>
              <w:rPr>
                <w:rFonts w:eastAsia="仿宋"/>
                <w:szCs w:val="21"/>
              </w:rPr>
            </w:pPr>
            <w:r>
              <w:rPr>
                <w:rFonts w:hint="eastAsia" w:eastAsia="仿宋"/>
                <w:szCs w:val="21"/>
              </w:rPr>
              <w:t>4.03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jc w:val="center"/>
        </w:trPr>
        <w:tc>
          <w:tcPr>
            <w:tcW w:w="1119" w:type="dxa"/>
            <w:vMerge w:val="continue"/>
            <w:tcBorders>
              <w:tl2br w:val="nil"/>
              <w:tr2bl w:val="nil"/>
            </w:tcBorders>
            <w:vAlign w:val="center"/>
          </w:tcPr>
          <w:p>
            <w:pPr>
              <w:jc w:val="center"/>
              <w:rPr>
                <w:rFonts w:eastAsia="仿宋"/>
                <w:szCs w:val="21"/>
              </w:rPr>
            </w:pPr>
          </w:p>
        </w:tc>
        <w:tc>
          <w:tcPr>
            <w:tcW w:w="2127" w:type="dxa"/>
            <w:tcBorders>
              <w:tl2br w:val="nil"/>
              <w:tr2bl w:val="nil"/>
            </w:tcBorders>
            <w:vAlign w:val="center"/>
          </w:tcPr>
          <w:p>
            <w:pPr>
              <w:widowControl/>
              <w:spacing w:line="320" w:lineRule="exact"/>
              <w:jc w:val="center"/>
              <w:rPr>
                <w:rFonts w:eastAsia="仿宋"/>
                <w:szCs w:val="21"/>
              </w:rPr>
            </w:pPr>
            <w:r>
              <w:rPr>
                <w:rFonts w:hint="eastAsia" w:eastAsia="仿宋"/>
                <w:bCs/>
                <w:szCs w:val="21"/>
              </w:rPr>
              <w:t>元巷新村</w:t>
            </w:r>
          </w:p>
        </w:tc>
        <w:tc>
          <w:tcPr>
            <w:tcW w:w="1784" w:type="dxa"/>
            <w:tcBorders>
              <w:tl2br w:val="nil"/>
              <w:tr2bl w:val="nil"/>
            </w:tcBorders>
            <w:vAlign w:val="center"/>
          </w:tcPr>
          <w:p>
            <w:pPr>
              <w:jc w:val="center"/>
              <w:rPr>
                <w:rFonts w:eastAsia="仿宋"/>
                <w:szCs w:val="21"/>
              </w:rPr>
            </w:pPr>
            <w:r>
              <w:rPr>
                <w:rFonts w:hint="eastAsia" w:eastAsia="仿宋"/>
                <w:szCs w:val="21"/>
              </w:rPr>
              <w:t>/</w:t>
            </w:r>
          </w:p>
        </w:tc>
        <w:tc>
          <w:tcPr>
            <w:tcW w:w="2092" w:type="dxa"/>
            <w:tcBorders>
              <w:tl2br w:val="nil"/>
              <w:tr2bl w:val="nil"/>
            </w:tcBorders>
            <w:vAlign w:val="center"/>
          </w:tcPr>
          <w:p>
            <w:pPr>
              <w:jc w:val="center"/>
              <w:rPr>
                <w:rFonts w:eastAsia="仿宋"/>
                <w:szCs w:val="21"/>
              </w:rPr>
            </w:pPr>
            <w:r>
              <w:rPr>
                <w:rFonts w:hint="eastAsia" w:eastAsia="仿宋"/>
                <w:szCs w:val="21"/>
              </w:rPr>
              <w:t>/</w:t>
            </w:r>
          </w:p>
        </w:tc>
        <w:tc>
          <w:tcPr>
            <w:tcW w:w="1977" w:type="dxa"/>
            <w:tcBorders>
              <w:tl2br w:val="nil"/>
              <w:tr2bl w:val="nil"/>
            </w:tcBorders>
            <w:vAlign w:val="center"/>
          </w:tcPr>
          <w:p>
            <w:pPr>
              <w:jc w:val="center"/>
              <w:rPr>
                <w:rFonts w:eastAsia="仿宋"/>
                <w:szCs w:val="21"/>
              </w:rPr>
            </w:pPr>
            <w:r>
              <w:rPr>
                <w:rFonts w:hint="eastAsia" w:eastAsia="仿宋"/>
                <w:szCs w:val="21"/>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jc w:val="center"/>
        </w:trPr>
        <w:tc>
          <w:tcPr>
            <w:tcW w:w="1119" w:type="dxa"/>
            <w:vMerge w:val="continue"/>
            <w:tcBorders>
              <w:tl2br w:val="nil"/>
              <w:tr2bl w:val="nil"/>
            </w:tcBorders>
            <w:vAlign w:val="center"/>
          </w:tcPr>
          <w:p>
            <w:pPr>
              <w:jc w:val="center"/>
              <w:rPr>
                <w:rFonts w:eastAsia="仿宋"/>
                <w:szCs w:val="21"/>
              </w:rPr>
            </w:pPr>
          </w:p>
        </w:tc>
        <w:tc>
          <w:tcPr>
            <w:tcW w:w="2127" w:type="dxa"/>
            <w:tcBorders>
              <w:tl2br w:val="nil"/>
              <w:tr2bl w:val="nil"/>
            </w:tcBorders>
            <w:vAlign w:val="bottom"/>
          </w:tcPr>
          <w:p>
            <w:pPr>
              <w:widowControl/>
              <w:autoSpaceDE w:val="0"/>
              <w:autoSpaceDN w:val="0"/>
              <w:adjustRightInd w:val="0"/>
              <w:snapToGrid w:val="0"/>
              <w:jc w:val="center"/>
              <w:rPr>
                <w:rFonts w:eastAsia="仿宋"/>
                <w:szCs w:val="21"/>
              </w:rPr>
            </w:pPr>
            <w:r>
              <w:rPr>
                <w:rFonts w:hint="eastAsia" w:eastAsia="仿宋"/>
                <w:bCs/>
                <w:szCs w:val="21"/>
              </w:rPr>
              <w:t>唐庄</w:t>
            </w:r>
          </w:p>
        </w:tc>
        <w:tc>
          <w:tcPr>
            <w:tcW w:w="1784" w:type="dxa"/>
            <w:tcBorders>
              <w:tl2br w:val="nil"/>
              <w:tr2bl w:val="nil"/>
            </w:tcBorders>
            <w:vAlign w:val="center"/>
          </w:tcPr>
          <w:p>
            <w:pPr>
              <w:jc w:val="center"/>
              <w:rPr>
                <w:rFonts w:eastAsia="仿宋"/>
                <w:szCs w:val="21"/>
              </w:rPr>
            </w:pPr>
            <w:r>
              <w:rPr>
                <w:rFonts w:hint="eastAsia" w:eastAsia="仿宋"/>
                <w:szCs w:val="21"/>
              </w:rPr>
              <w:t>/</w:t>
            </w:r>
          </w:p>
        </w:tc>
        <w:tc>
          <w:tcPr>
            <w:tcW w:w="2092" w:type="dxa"/>
            <w:tcBorders>
              <w:tl2br w:val="nil"/>
              <w:tr2bl w:val="nil"/>
            </w:tcBorders>
            <w:vAlign w:val="center"/>
          </w:tcPr>
          <w:p>
            <w:pPr>
              <w:jc w:val="center"/>
              <w:rPr>
                <w:rFonts w:eastAsia="仿宋"/>
                <w:szCs w:val="21"/>
              </w:rPr>
            </w:pPr>
            <w:r>
              <w:rPr>
                <w:rFonts w:hint="eastAsia" w:eastAsia="仿宋"/>
                <w:szCs w:val="21"/>
              </w:rPr>
              <w:t>/</w:t>
            </w:r>
          </w:p>
        </w:tc>
        <w:tc>
          <w:tcPr>
            <w:tcW w:w="1977" w:type="dxa"/>
            <w:tcBorders>
              <w:tl2br w:val="nil"/>
              <w:tr2bl w:val="nil"/>
            </w:tcBorders>
            <w:vAlign w:val="center"/>
          </w:tcPr>
          <w:p>
            <w:pPr>
              <w:jc w:val="center"/>
              <w:rPr>
                <w:rFonts w:eastAsia="仿宋"/>
                <w:szCs w:val="21"/>
              </w:rPr>
            </w:pPr>
            <w:r>
              <w:rPr>
                <w:rFonts w:hint="eastAsia" w:eastAsia="仿宋"/>
                <w:szCs w:val="21"/>
              </w:rPr>
              <w:t>0.812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jc w:val="center"/>
        </w:trPr>
        <w:tc>
          <w:tcPr>
            <w:tcW w:w="1119" w:type="dxa"/>
            <w:vMerge w:val="continue"/>
            <w:tcBorders>
              <w:tl2br w:val="nil"/>
              <w:tr2bl w:val="nil"/>
            </w:tcBorders>
            <w:vAlign w:val="center"/>
          </w:tcPr>
          <w:p>
            <w:pPr>
              <w:jc w:val="center"/>
              <w:rPr>
                <w:rFonts w:eastAsia="仿宋"/>
                <w:szCs w:val="21"/>
              </w:rPr>
            </w:pPr>
          </w:p>
        </w:tc>
        <w:tc>
          <w:tcPr>
            <w:tcW w:w="2127" w:type="dxa"/>
            <w:tcBorders>
              <w:tl2br w:val="nil"/>
              <w:tr2bl w:val="nil"/>
            </w:tcBorders>
            <w:vAlign w:val="bottom"/>
          </w:tcPr>
          <w:p>
            <w:pPr>
              <w:widowControl/>
              <w:autoSpaceDE w:val="0"/>
              <w:autoSpaceDN w:val="0"/>
              <w:adjustRightInd w:val="0"/>
              <w:snapToGrid w:val="0"/>
              <w:jc w:val="center"/>
              <w:rPr>
                <w:rFonts w:eastAsia="仿宋"/>
                <w:szCs w:val="21"/>
              </w:rPr>
            </w:pPr>
            <w:r>
              <w:rPr>
                <w:rFonts w:hint="eastAsia" w:eastAsia="仿宋"/>
                <w:bCs/>
                <w:szCs w:val="21"/>
              </w:rPr>
              <w:t>宋庄</w:t>
            </w:r>
          </w:p>
        </w:tc>
        <w:tc>
          <w:tcPr>
            <w:tcW w:w="1784" w:type="dxa"/>
            <w:tcBorders>
              <w:tl2br w:val="nil"/>
              <w:tr2bl w:val="nil"/>
            </w:tcBorders>
            <w:vAlign w:val="center"/>
          </w:tcPr>
          <w:p>
            <w:pPr>
              <w:jc w:val="center"/>
              <w:rPr>
                <w:rFonts w:eastAsia="仿宋"/>
                <w:szCs w:val="21"/>
              </w:rPr>
            </w:pPr>
            <w:r>
              <w:rPr>
                <w:rFonts w:hint="eastAsia" w:eastAsia="仿宋"/>
                <w:szCs w:val="21"/>
              </w:rPr>
              <w:t>/</w:t>
            </w:r>
          </w:p>
        </w:tc>
        <w:tc>
          <w:tcPr>
            <w:tcW w:w="2092" w:type="dxa"/>
            <w:tcBorders>
              <w:tl2br w:val="nil"/>
              <w:tr2bl w:val="nil"/>
            </w:tcBorders>
            <w:vAlign w:val="center"/>
          </w:tcPr>
          <w:p>
            <w:pPr>
              <w:jc w:val="center"/>
              <w:rPr>
                <w:rFonts w:eastAsia="仿宋"/>
                <w:szCs w:val="21"/>
              </w:rPr>
            </w:pPr>
            <w:r>
              <w:rPr>
                <w:rFonts w:hint="eastAsia" w:eastAsia="仿宋"/>
                <w:szCs w:val="21"/>
              </w:rPr>
              <w:t>/</w:t>
            </w:r>
          </w:p>
        </w:tc>
        <w:tc>
          <w:tcPr>
            <w:tcW w:w="1977" w:type="dxa"/>
            <w:tcBorders>
              <w:tl2br w:val="nil"/>
              <w:tr2bl w:val="nil"/>
            </w:tcBorders>
            <w:vAlign w:val="center"/>
          </w:tcPr>
          <w:p>
            <w:pPr>
              <w:jc w:val="center"/>
              <w:rPr>
                <w:rFonts w:eastAsia="仿宋"/>
                <w:szCs w:val="21"/>
              </w:rPr>
            </w:pPr>
            <w:r>
              <w:rPr>
                <w:rFonts w:hint="eastAsia" w:eastAsia="仿宋"/>
                <w:szCs w:val="21"/>
              </w:rPr>
              <w:t>0.571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jc w:val="center"/>
        </w:trPr>
        <w:tc>
          <w:tcPr>
            <w:tcW w:w="1119" w:type="dxa"/>
            <w:vMerge w:val="continue"/>
            <w:tcBorders>
              <w:tl2br w:val="nil"/>
              <w:tr2bl w:val="nil"/>
            </w:tcBorders>
            <w:vAlign w:val="center"/>
          </w:tcPr>
          <w:p>
            <w:pPr>
              <w:jc w:val="center"/>
              <w:rPr>
                <w:rFonts w:eastAsia="仿宋"/>
                <w:szCs w:val="21"/>
              </w:rPr>
            </w:pPr>
          </w:p>
        </w:tc>
        <w:tc>
          <w:tcPr>
            <w:tcW w:w="2127" w:type="dxa"/>
            <w:tcBorders>
              <w:tl2br w:val="nil"/>
              <w:tr2bl w:val="nil"/>
            </w:tcBorders>
            <w:vAlign w:val="center"/>
          </w:tcPr>
          <w:p>
            <w:pPr>
              <w:widowControl/>
              <w:autoSpaceDE w:val="0"/>
              <w:autoSpaceDN w:val="0"/>
              <w:adjustRightInd w:val="0"/>
              <w:snapToGrid w:val="0"/>
              <w:jc w:val="center"/>
              <w:rPr>
                <w:rFonts w:eastAsia="仿宋"/>
                <w:szCs w:val="21"/>
              </w:rPr>
            </w:pPr>
            <w:r>
              <w:rPr>
                <w:rFonts w:hint="eastAsia" w:eastAsia="仿宋"/>
                <w:bCs/>
                <w:szCs w:val="21"/>
              </w:rPr>
              <w:t>邮堂庙</w:t>
            </w:r>
          </w:p>
        </w:tc>
        <w:tc>
          <w:tcPr>
            <w:tcW w:w="1784" w:type="dxa"/>
            <w:tcBorders>
              <w:tl2br w:val="nil"/>
              <w:tr2bl w:val="nil"/>
            </w:tcBorders>
            <w:vAlign w:val="center"/>
          </w:tcPr>
          <w:p>
            <w:pPr>
              <w:jc w:val="center"/>
              <w:rPr>
                <w:rFonts w:eastAsia="仿宋"/>
                <w:szCs w:val="21"/>
              </w:rPr>
            </w:pPr>
            <w:r>
              <w:rPr>
                <w:rFonts w:hint="eastAsia" w:eastAsia="仿宋"/>
                <w:szCs w:val="21"/>
              </w:rPr>
              <w:t>/</w:t>
            </w:r>
          </w:p>
        </w:tc>
        <w:tc>
          <w:tcPr>
            <w:tcW w:w="2092" w:type="dxa"/>
            <w:tcBorders>
              <w:tl2br w:val="nil"/>
              <w:tr2bl w:val="nil"/>
            </w:tcBorders>
            <w:vAlign w:val="center"/>
          </w:tcPr>
          <w:p>
            <w:pPr>
              <w:jc w:val="center"/>
              <w:rPr>
                <w:rFonts w:eastAsia="仿宋"/>
                <w:szCs w:val="21"/>
              </w:rPr>
            </w:pPr>
            <w:r>
              <w:rPr>
                <w:rFonts w:hint="eastAsia" w:eastAsia="仿宋"/>
                <w:szCs w:val="21"/>
              </w:rPr>
              <w:t>/</w:t>
            </w:r>
          </w:p>
        </w:tc>
        <w:tc>
          <w:tcPr>
            <w:tcW w:w="1977" w:type="dxa"/>
            <w:tcBorders>
              <w:tl2br w:val="nil"/>
              <w:tr2bl w:val="nil"/>
            </w:tcBorders>
            <w:vAlign w:val="center"/>
          </w:tcPr>
          <w:p>
            <w:pPr>
              <w:jc w:val="center"/>
              <w:rPr>
                <w:rFonts w:eastAsia="仿宋"/>
                <w:szCs w:val="21"/>
              </w:rPr>
            </w:pPr>
            <w:r>
              <w:rPr>
                <w:rFonts w:hint="eastAsia" w:eastAsia="仿宋"/>
                <w:szCs w:val="21"/>
              </w:rPr>
              <w:t>0.459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jc w:val="center"/>
        </w:trPr>
        <w:tc>
          <w:tcPr>
            <w:tcW w:w="1119" w:type="dxa"/>
            <w:vMerge w:val="continue"/>
            <w:tcBorders>
              <w:tl2br w:val="nil"/>
              <w:tr2bl w:val="nil"/>
            </w:tcBorders>
            <w:vAlign w:val="center"/>
          </w:tcPr>
          <w:p>
            <w:pPr>
              <w:jc w:val="center"/>
              <w:rPr>
                <w:rFonts w:eastAsia="仿宋"/>
                <w:szCs w:val="21"/>
              </w:rPr>
            </w:pPr>
          </w:p>
        </w:tc>
        <w:tc>
          <w:tcPr>
            <w:tcW w:w="2127" w:type="dxa"/>
            <w:tcBorders>
              <w:tl2br w:val="nil"/>
              <w:tr2bl w:val="nil"/>
            </w:tcBorders>
            <w:vAlign w:val="center"/>
          </w:tcPr>
          <w:p>
            <w:pPr>
              <w:widowControl/>
              <w:autoSpaceDE w:val="0"/>
              <w:autoSpaceDN w:val="0"/>
              <w:adjustRightInd w:val="0"/>
              <w:snapToGrid w:val="0"/>
              <w:jc w:val="center"/>
              <w:rPr>
                <w:rFonts w:eastAsia="仿宋"/>
                <w:szCs w:val="21"/>
              </w:rPr>
            </w:pPr>
            <w:r>
              <w:rPr>
                <w:rFonts w:hint="eastAsia" w:eastAsia="仿宋"/>
                <w:bCs/>
                <w:szCs w:val="21"/>
              </w:rPr>
              <w:t>冯庄村</w:t>
            </w:r>
          </w:p>
        </w:tc>
        <w:tc>
          <w:tcPr>
            <w:tcW w:w="1784" w:type="dxa"/>
            <w:tcBorders>
              <w:tl2br w:val="nil"/>
              <w:tr2bl w:val="nil"/>
            </w:tcBorders>
            <w:vAlign w:val="center"/>
          </w:tcPr>
          <w:p>
            <w:pPr>
              <w:jc w:val="center"/>
              <w:rPr>
                <w:rFonts w:eastAsia="仿宋"/>
                <w:szCs w:val="21"/>
              </w:rPr>
            </w:pPr>
            <w:r>
              <w:rPr>
                <w:rFonts w:hint="eastAsia" w:eastAsia="仿宋"/>
                <w:szCs w:val="21"/>
              </w:rPr>
              <w:t>/</w:t>
            </w:r>
          </w:p>
        </w:tc>
        <w:tc>
          <w:tcPr>
            <w:tcW w:w="2092" w:type="dxa"/>
            <w:tcBorders>
              <w:tl2br w:val="nil"/>
              <w:tr2bl w:val="nil"/>
            </w:tcBorders>
            <w:vAlign w:val="center"/>
          </w:tcPr>
          <w:p>
            <w:pPr>
              <w:jc w:val="center"/>
              <w:rPr>
                <w:rFonts w:eastAsia="仿宋"/>
                <w:szCs w:val="21"/>
              </w:rPr>
            </w:pPr>
            <w:r>
              <w:rPr>
                <w:rFonts w:hint="eastAsia" w:eastAsia="仿宋"/>
                <w:szCs w:val="21"/>
              </w:rPr>
              <w:t>/</w:t>
            </w:r>
          </w:p>
        </w:tc>
        <w:tc>
          <w:tcPr>
            <w:tcW w:w="1977" w:type="dxa"/>
            <w:tcBorders>
              <w:tl2br w:val="nil"/>
              <w:tr2bl w:val="nil"/>
            </w:tcBorders>
            <w:vAlign w:val="center"/>
          </w:tcPr>
          <w:p>
            <w:pPr>
              <w:jc w:val="center"/>
              <w:rPr>
                <w:rFonts w:eastAsia="仿宋"/>
                <w:szCs w:val="21"/>
              </w:rPr>
            </w:pPr>
            <w:r>
              <w:rPr>
                <w:rFonts w:hint="eastAsia" w:eastAsia="仿宋"/>
                <w:szCs w:val="21"/>
              </w:rPr>
              <w:t>0.235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jc w:val="center"/>
        </w:trPr>
        <w:tc>
          <w:tcPr>
            <w:tcW w:w="1119" w:type="dxa"/>
            <w:vMerge w:val="continue"/>
            <w:tcBorders>
              <w:tl2br w:val="nil"/>
              <w:tr2bl w:val="nil"/>
            </w:tcBorders>
            <w:vAlign w:val="center"/>
          </w:tcPr>
          <w:p>
            <w:pPr>
              <w:jc w:val="center"/>
              <w:rPr>
                <w:rFonts w:eastAsia="仿宋"/>
                <w:szCs w:val="21"/>
              </w:rPr>
            </w:pPr>
          </w:p>
        </w:tc>
        <w:tc>
          <w:tcPr>
            <w:tcW w:w="2127" w:type="dxa"/>
            <w:tcBorders>
              <w:tl2br w:val="nil"/>
              <w:tr2bl w:val="nil"/>
            </w:tcBorders>
            <w:vAlign w:val="center"/>
          </w:tcPr>
          <w:p>
            <w:pPr>
              <w:widowControl/>
              <w:spacing w:line="320" w:lineRule="exact"/>
              <w:jc w:val="center"/>
              <w:rPr>
                <w:rFonts w:eastAsia="仿宋"/>
                <w:szCs w:val="21"/>
              </w:rPr>
            </w:pPr>
            <w:r>
              <w:rPr>
                <w:rFonts w:hint="eastAsia" w:eastAsia="仿宋"/>
                <w:bCs/>
                <w:szCs w:val="21"/>
              </w:rPr>
              <w:t>南墅</w:t>
            </w:r>
          </w:p>
        </w:tc>
        <w:tc>
          <w:tcPr>
            <w:tcW w:w="1784" w:type="dxa"/>
            <w:tcBorders>
              <w:tl2br w:val="nil"/>
              <w:tr2bl w:val="nil"/>
            </w:tcBorders>
            <w:vAlign w:val="center"/>
          </w:tcPr>
          <w:p>
            <w:pPr>
              <w:jc w:val="center"/>
              <w:rPr>
                <w:rFonts w:eastAsia="仿宋"/>
                <w:szCs w:val="21"/>
              </w:rPr>
            </w:pPr>
            <w:r>
              <w:rPr>
                <w:rFonts w:hint="eastAsia" w:eastAsia="仿宋"/>
                <w:szCs w:val="21"/>
              </w:rPr>
              <w:t>/</w:t>
            </w:r>
          </w:p>
        </w:tc>
        <w:tc>
          <w:tcPr>
            <w:tcW w:w="2092" w:type="dxa"/>
            <w:tcBorders>
              <w:tl2br w:val="nil"/>
              <w:tr2bl w:val="nil"/>
            </w:tcBorders>
            <w:vAlign w:val="center"/>
          </w:tcPr>
          <w:p>
            <w:pPr>
              <w:jc w:val="center"/>
              <w:rPr>
                <w:rFonts w:eastAsia="仿宋"/>
                <w:szCs w:val="21"/>
              </w:rPr>
            </w:pPr>
            <w:r>
              <w:rPr>
                <w:rFonts w:hint="eastAsia" w:eastAsia="仿宋"/>
                <w:szCs w:val="21"/>
              </w:rPr>
              <w:t>/</w:t>
            </w:r>
          </w:p>
        </w:tc>
        <w:tc>
          <w:tcPr>
            <w:tcW w:w="1977" w:type="dxa"/>
            <w:tcBorders>
              <w:tl2br w:val="nil"/>
              <w:tr2bl w:val="nil"/>
            </w:tcBorders>
            <w:vAlign w:val="center"/>
          </w:tcPr>
          <w:p>
            <w:pPr>
              <w:jc w:val="center"/>
              <w:rPr>
                <w:rFonts w:eastAsia="仿宋"/>
                <w:szCs w:val="21"/>
              </w:rPr>
            </w:pPr>
            <w:r>
              <w:rPr>
                <w:rFonts w:hint="eastAsia" w:eastAsia="仿宋"/>
                <w:szCs w:val="21"/>
              </w:rPr>
              <w:t>0.151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jc w:val="center"/>
        </w:trPr>
        <w:tc>
          <w:tcPr>
            <w:tcW w:w="1119" w:type="dxa"/>
            <w:vMerge w:val="continue"/>
            <w:tcBorders>
              <w:tl2br w:val="nil"/>
              <w:tr2bl w:val="nil"/>
            </w:tcBorders>
            <w:vAlign w:val="center"/>
          </w:tcPr>
          <w:p>
            <w:pPr>
              <w:jc w:val="center"/>
              <w:rPr>
                <w:rFonts w:eastAsia="仿宋"/>
                <w:szCs w:val="21"/>
              </w:rPr>
            </w:pPr>
          </w:p>
        </w:tc>
        <w:tc>
          <w:tcPr>
            <w:tcW w:w="2127" w:type="dxa"/>
            <w:tcBorders>
              <w:tl2br w:val="nil"/>
              <w:tr2bl w:val="nil"/>
            </w:tcBorders>
            <w:vAlign w:val="center"/>
          </w:tcPr>
          <w:p>
            <w:pPr>
              <w:widowControl/>
              <w:spacing w:line="320" w:lineRule="exact"/>
              <w:jc w:val="center"/>
              <w:rPr>
                <w:rFonts w:eastAsia="仿宋"/>
                <w:szCs w:val="21"/>
              </w:rPr>
            </w:pPr>
            <w:r>
              <w:rPr>
                <w:rFonts w:hint="eastAsia" w:eastAsia="仿宋"/>
                <w:bCs/>
                <w:szCs w:val="21"/>
              </w:rPr>
              <w:t>丽锦嘉园</w:t>
            </w:r>
          </w:p>
        </w:tc>
        <w:tc>
          <w:tcPr>
            <w:tcW w:w="1784" w:type="dxa"/>
            <w:tcBorders>
              <w:tl2br w:val="nil"/>
              <w:tr2bl w:val="nil"/>
            </w:tcBorders>
            <w:vAlign w:val="center"/>
          </w:tcPr>
          <w:p>
            <w:pPr>
              <w:jc w:val="center"/>
              <w:rPr>
                <w:rFonts w:eastAsia="仿宋"/>
                <w:szCs w:val="21"/>
              </w:rPr>
            </w:pPr>
            <w:r>
              <w:rPr>
                <w:rFonts w:hint="eastAsia" w:eastAsia="仿宋"/>
                <w:szCs w:val="21"/>
              </w:rPr>
              <w:t>/</w:t>
            </w:r>
          </w:p>
        </w:tc>
        <w:tc>
          <w:tcPr>
            <w:tcW w:w="2092" w:type="dxa"/>
            <w:tcBorders>
              <w:tl2br w:val="nil"/>
              <w:tr2bl w:val="nil"/>
            </w:tcBorders>
            <w:vAlign w:val="center"/>
          </w:tcPr>
          <w:p>
            <w:pPr>
              <w:jc w:val="center"/>
              <w:rPr>
                <w:rFonts w:eastAsia="仿宋"/>
                <w:szCs w:val="21"/>
              </w:rPr>
            </w:pPr>
            <w:r>
              <w:rPr>
                <w:rFonts w:hint="eastAsia" w:eastAsia="仿宋"/>
                <w:szCs w:val="21"/>
              </w:rPr>
              <w:t>/</w:t>
            </w:r>
          </w:p>
        </w:tc>
        <w:tc>
          <w:tcPr>
            <w:tcW w:w="1977" w:type="dxa"/>
            <w:tcBorders>
              <w:tl2br w:val="nil"/>
              <w:tr2bl w:val="nil"/>
            </w:tcBorders>
            <w:vAlign w:val="center"/>
          </w:tcPr>
          <w:p>
            <w:pPr>
              <w:jc w:val="center"/>
              <w:rPr>
                <w:rFonts w:eastAsia="仿宋"/>
                <w:szCs w:val="21"/>
              </w:rPr>
            </w:pPr>
            <w:r>
              <w:rPr>
                <w:rFonts w:hint="eastAsia" w:eastAsia="仿宋"/>
                <w:szCs w:val="21"/>
              </w:rPr>
              <w:t>0.072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jc w:val="center"/>
        </w:trPr>
        <w:tc>
          <w:tcPr>
            <w:tcW w:w="1119" w:type="dxa"/>
            <w:vMerge w:val="continue"/>
            <w:tcBorders>
              <w:tl2br w:val="nil"/>
              <w:tr2bl w:val="nil"/>
            </w:tcBorders>
            <w:vAlign w:val="center"/>
          </w:tcPr>
          <w:p>
            <w:pPr>
              <w:jc w:val="center"/>
              <w:rPr>
                <w:rFonts w:eastAsia="仿宋"/>
                <w:szCs w:val="21"/>
              </w:rPr>
            </w:pPr>
          </w:p>
        </w:tc>
        <w:tc>
          <w:tcPr>
            <w:tcW w:w="2127" w:type="dxa"/>
            <w:tcBorders>
              <w:tl2br w:val="nil"/>
              <w:tr2bl w:val="nil"/>
            </w:tcBorders>
            <w:vAlign w:val="center"/>
          </w:tcPr>
          <w:p>
            <w:pPr>
              <w:widowControl/>
              <w:spacing w:line="320" w:lineRule="exact"/>
              <w:jc w:val="center"/>
              <w:rPr>
                <w:rFonts w:eastAsia="仿宋"/>
                <w:szCs w:val="21"/>
              </w:rPr>
            </w:pPr>
            <w:r>
              <w:rPr>
                <w:rFonts w:hint="eastAsia" w:eastAsia="仿宋"/>
                <w:bCs/>
                <w:szCs w:val="21"/>
              </w:rPr>
              <w:t>沈渎桥</w:t>
            </w:r>
          </w:p>
        </w:tc>
        <w:tc>
          <w:tcPr>
            <w:tcW w:w="1784" w:type="dxa"/>
            <w:tcBorders>
              <w:tl2br w:val="nil"/>
              <w:tr2bl w:val="nil"/>
            </w:tcBorders>
            <w:vAlign w:val="center"/>
          </w:tcPr>
          <w:p>
            <w:pPr>
              <w:jc w:val="center"/>
              <w:rPr>
                <w:rFonts w:eastAsia="仿宋"/>
                <w:szCs w:val="21"/>
              </w:rPr>
            </w:pPr>
            <w:r>
              <w:rPr>
                <w:rFonts w:hint="eastAsia" w:eastAsia="仿宋"/>
                <w:szCs w:val="21"/>
              </w:rPr>
              <w:t>/</w:t>
            </w:r>
          </w:p>
        </w:tc>
        <w:tc>
          <w:tcPr>
            <w:tcW w:w="2092" w:type="dxa"/>
            <w:tcBorders>
              <w:tl2br w:val="nil"/>
              <w:tr2bl w:val="nil"/>
            </w:tcBorders>
            <w:vAlign w:val="center"/>
          </w:tcPr>
          <w:p>
            <w:pPr>
              <w:jc w:val="center"/>
              <w:rPr>
                <w:rFonts w:eastAsia="仿宋"/>
                <w:szCs w:val="21"/>
              </w:rPr>
            </w:pPr>
            <w:r>
              <w:rPr>
                <w:rFonts w:hint="eastAsia" w:eastAsia="仿宋"/>
                <w:szCs w:val="21"/>
              </w:rPr>
              <w:t>/</w:t>
            </w:r>
          </w:p>
        </w:tc>
        <w:tc>
          <w:tcPr>
            <w:tcW w:w="1977" w:type="dxa"/>
            <w:tcBorders>
              <w:tl2br w:val="nil"/>
              <w:tr2bl w:val="nil"/>
            </w:tcBorders>
            <w:vAlign w:val="center"/>
          </w:tcPr>
          <w:p>
            <w:pPr>
              <w:jc w:val="center"/>
              <w:rPr>
                <w:rFonts w:eastAsia="仿宋"/>
                <w:szCs w:val="21"/>
              </w:rPr>
            </w:pPr>
            <w:r>
              <w:rPr>
                <w:rFonts w:hint="eastAsia" w:eastAsia="仿宋"/>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jc w:val="center"/>
        </w:trPr>
        <w:tc>
          <w:tcPr>
            <w:tcW w:w="1119" w:type="dxa"/>
            <w:vMerge w:val="continue"/>
            <w:tcBorders>
              <w:tl2br w:val="nil"/>
              <w:tr2bl w:val="nil"/>
            </w:tcBorders>
            <w:vAlign w:val="center"/>
          </w:tcPr>
          <w:p>
            <w:pPr>
              <w:jc w:val="center"/>
              <w:rPr>
                <w:rFonts w:eastAsia="仿宋"/>
                <w:szCs w:val="21"/>
              </w:rPr>
            </w:pPr>
          </w:p>
        </w:tc>
        <w:tc>
          <w:tcPr>
            <w:tcW w:w="2127" w:type="dxa"/>
            <w:tcBorders>
              <w:tl2br w:val="nil"/>
              <w:tr2bl w:val="nil"/>
            </w:tcBorders>
            <w:vAlign w:val="center"/>
          </w:tcPr>
          <w:p>
            <w:pPr>
              <w:widowControl/>
              <w:spacing w:line="320" w:lineRule="exact"/>
              <w:jc w:val="center"/>
              <w:rPr>
                <w:rFonts w:eastAsia="仿宋"/>
                <w:szCs w:val="21"/>
              </w:rPr>
            </w:pPr>
            <w:r>
              <w:rPr>
                <w:rFonts w:hint="eastAsia" w:eastAsia="仿宋"/>
                <w:bCs/>
                <w:szCs w:val="21"/>
              </w:rPr>
              <w:t>新庄村</w:t>
            </w:r>
          </w:p>
        </w:tc>
        <w:tc>
          <w:tcPr>
            <w:tcW w:w="1784" w:type="dxa"/>
            <w:tcBorders>
              <w:tl2br w:val="nil"/>
              <w:tr2bl w:val="nil"/>
            </w:tcBorders>
            <w:vAlign w:val="center"/>
          </w:tcPr>
          <w:p>
            <w:pPr>
              <w:jc w:val="center"/>
              <w:rPr>
                <w:rFonts w:eastAsia="仿宋"/>
                <w:szCs w:val="21"/>
              </w:rPr>
            </w:pPr>
            <w:r>
              <w:rPr>
                <w:rFonts w:hint="eastAsia" w:eastAsia="仿宋"/>
                <w:szCs w:val="21"/>
              </w:rPr>
              <w:t>/</w:t>
            </w:r>
          </w:p>
        </w:tc>
        <w:tc>
          <w:tcPr>
            <w:tcW w:w="2092" w:type="dxa"/>
            <w:tcBorders>
              <w:tl2br w:val="nil"/>
              <w:tr2bl w:val="nil"/>
            </w:tcBorders>
            <w:vAlign w:val="center"/>
          </w:tcPr>
          <w:p>
            <w:pPr>
              <w:jc w:val="center"/>
              <w:rPr>
                <w:rFonts w:eastAsia="仿宋"/>
                <w:szCs w:val="21"/>
              </w:rPr>
            </w:pPr>
            <w:r>
              <w:rPr>
                <w:rFonts w:hint="eastAsia" w:eastAsia="仿宋"/>
                <w:szCs w:val="21"/>
              </w:rPr>
              <w:t>/</w:t>
            </w:r>
          </w:p>
        </w:tc>
        <w:tc>
          <w:tcPr>
            <w:tcW w:w="1977" w:type="dxa"/>
            <w:tcBorders>
              <w:tl2br w:val="nil"/>
              <w:tr2bl w:val="nil"/>
            </w:tcBorders>
            <w:vAlign w:val="center"/>
          </w:tcPr>
          <w:p>
            <w:pPr>
              <w:jc w:val="center"/>
              <w:rPr>
                <w:rFonts w:eastAsia="仿宋"/>
                <w:szCs w:val="21"/>
              </w:rPr>
            </w:pPr>
            <w:r>
              <w:rPr>
                <w:rFonts w:hint="eastAsia" w:eastAsia="仿宋"/>
                <w:szCs w:val="21"/>
              </w:rPr>
              <w:t>0.048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jc w:val="center"/>
        </w:trPr>
        <w:tc>
          <w:tcPr>
            <w:tcW w:w="1119" w:type="dxa"/>
            <w:vMerge w:val="continue"/>
            <w:tcBorders>
              <w:tl2br w:val="nil"/>
              <w:tr2bl w:val="nil"/>
            </w:tcBorders>
            <w:vAlign w:val="center"/>
          </w:tcPr>
          <w:p>
            <w:pPr>
              <w:jc w:val="center"/>
              <w:rPr>
                <w:rFonts w:eastAsia="仿宋"/>
                <w:szCs w:val="21"/>
              </w:rPr>
            </w:pPr>
          </w:p>
        </w:tc>
        <w:tc>
          <w:tcPr>
            <w:tcW w:w="2127" w:type="dxa"/>
            <w:tcBorders>
              <w:tl2br w:val="nil"/>
              <w:tr2bl w:val="nil"/>
            </w:tcBorders>
            <w:vAlign w:val="center"/>
          </w:tcPr>
          <w:p>
            <w:pPr>
              <w:widowControl/>
              <w:spacing w:line="320" w:lineRule="exact"/>
              <w:jc w:val="center"/>
              <w:rPr>
                <w:rFonts w:eastAsia="仿宋"/>
                <w:szCs w:val="21"/>
              </w:rPr>
            </w:pPr>
            <w:r>
              <w:rPr>
                <w:rFonts w:hint="eastAsia" w:eastAsia="仿宋"/>
                <w:bCs/>
                <w:szCs w:val="21"/>
              </w:rPr>
              <w:t>午干</w:t>
            </w:r>
          </w:p>
        </w:tc>
        <w:tc>
          <w:tcPr>
            <w:tcW w:w="1784" w:type="dxa"/>
            <w:tcBorders>
              <w:tl2br w:val="nil"/>
              <w:tr2bl w:val="nil"/>
            </w:tcBorders>
            <w:vAlign w:val="center"/>
          </w:tcPr>
          <w:p>
            <w:pPr>
              <w:jc w:val="center"/>
              <w:rPr>
                <w:rFonts w:eastAsia="仿宋"/>
                <w:szCs w:val="21"/>
              </w:rPr>
            </w:pPr>
            <w:r>
              <w:rPr>
                <w:rFonts w:hint="eastAsia" w:eastAsia="仿宋"/>
                <w:szCs w:val="21"/>
              </w:rPr>
              <w:t>/</w:t>
            </w:r>
          </w:p>
        </w:tc>
        <w:tc>
          <w:tcPr>
            <w:tcW w:w="2092" w:type="dxa"/>
            <w:tcBorders>
              <w:tl2br w:val="nil"/>
              <w:tr2bl w:val="nil"/>
            </w:tcBorders>
            <w:vAlign w:val="center"/>
          </w:tcPr>
          <w:p>
            <w:pPr>
              <w:jc w:val="center"/>
              <w:rPr>
                <w:rFonts w:eastAsia="仿宋"/>
                <w:szCs w:val="21"/>
              </w:rPr>
            </w:pPr>
            <w:r>
              <w:rPr>
                <w:rFonts w:hint="eastAsia" w:eastAsia="仿宋"/>
                <w:szCs w:val="21"/>
              </w:rPr>
              <w:t>/</w:t>
            </w:r>
          </w:p>
        </w:tc>
        <w:tc>
          <w:tcPr>
            <w:tcW w:w="1977" w:type="dxa"/>
            <w:tcBorders>
              <w:tl2br w:val="nil"/>
              <w:tr2bl w:val="nil"/>
            </w:tcBorders>
            <w:vAlign w:val="center"/>
          </w:tcPr>
          <w:p>
            <w:pPr>
              <w:jc w:val="center"/>
              <w:rPr>
                <w:rFonts w:eastAsia="仿宋"/>
                <w:szCs w:val="21"/>
              </w:rPr>
            </w:pPr>
            <w:r>
              <w:rPr>
                <w:rFonts w:hint="eastAsia" w:eastAsia="仿宋"/>
                <w:szCs w:val="21"/>
              </w:rPr>
              <w:t>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jc w:val="center"/>
        </w:trPr>
        <w:tc>
          <w:tcPr>
            <w:tcW w:w="1119" w:type="dxa"/>
            <w:vMerge w:val="continue"/>
            <w:tcBorders>
              <w:tl2br w:val="nil"/>
              <w:tr2bl w:val="nil"/>
            </w:tcBorders>
            <w:vAlign w:val="center"/>
          </w:tcPr>
          <w:p>
            <w:pPr>
              <w:jc w:val="center"/>
              <w:rPr>
                <w:rFonts w:eastAsia="仿宋"/>
                <w:szCs w:val="21"/>
              </w:rPr>
            </w:pPr>
          </w:p>
        </w:tc>
        <w:tc>
          <w:tcPr>
            <w:tcW w:w="2127" w:type="dxa"/>
            <w:tcBorders>
              <w:tl2br w:val="nil"/>
              <w:tr2bl w:val="nil"/>
            </w:tcBorders>
            <w:vAlign w:val="center"/>
          </w:tcPr>
          <w:p>
            <w:pPr>
              <w:widowControl/>
              <w:spacing w:line="320" w:lineRule="exact"/>
              <w:jc w:val="center"/>
              <w:rPr>
                <w:rFonts w:eastAsia="仿宋"/>
                <w:szCs w:val="21"/>
              </w:rPr>
            </w:pPr>
            <w:r>
              <w:rPr>
                <w:rFonts w:hint="eastAsia" w:eastAsia="仿宋"/>
                <w:bCs/>
                <w:szCs w:val="21"/>
              </w:rPr>
              <w:t>思模村</w:t>
            </w:r>
          </w:p>
        </w:tc>
        <w:tc>
          <w:tcPr>
            <w:tcW w:w="1784" w:type="dxa"/>
            <w:tcBorders>
              <w:tl2br w:val="nil"/>
              <w:tr2bl w:val="nil"/>
            </w:tcBorders>
            <w:vAlign w:val="center"/>
          </w:tcPr>
          <w:p>
            <w:pPr>
              <w:jc w:val="center"/>
              <w:rPr>
                <w:rFonts w:eastAsia="仿宋"/>
                <w:szCs w:val="21"/>
              </w:rPr>
            </w:pPr>
            <w:r>
              <w:rPr>
                <w:rFonts w:hint="eastAsia" w:eastAsia="仿宋"/>
                <w:szCs w:val="21"/>
              </w:rPr>
              <w:t>/</w:t>
            </w:r>
          </w:p>
        </w:tc>
        <w:tc>
          <w:tcPr>
            <w:tcW w:w="2092" w:type="dxa"/>
            <w:tcBorders>
              <w:tl2br w:val="nil"/>
              <w:tr2bl w:val="nil"/>
            </w:tcBorders>
            <w:vAlign w:val="center"/>
          </w:tcPr>
          <w:p>
            <w:pPr>
              <w:jc w:val="center"/>
              <w:rPr>
                <w:rFonts w:eastAsia="仿宋"/>
                <w:szCs w:val="21"/>
              </w:rPr>
            </w:pPr>
            <w:r>
              <w:rPr>
                <w:rFonts w:hint="eastAsia" w:eastAsia="仿宋"/>
                <w:szCs w:val="21"/>
              </w:rPr>
              <w:t>/</w:t>
            </w:r>
          </w:p>
        </w:tc>
        <w:tc>
          <w:tcPr>
            <w:tcW w:w="1977" w:type="dxa"/>
            <w:tcBorders>
              <w:tl2br w:val="nil"/>
              <w:tr2bl w:val="nil"/>
            </w:tcBorders>
            <w:vAlign w:val="center"/>
          </w:tcPr>
          <w:p>
            <w:pPr>
              <w:jc w:val="center"/>
              <w:rPr>
                <w:rFonts w:eastAsia="仿宋"/>
                <w:szCs w:val="21"/>
              </w:rPr>
            </w:pPr>
            <w:r>
              <w:rPr>
                <w:rFonts w:hint="eastAsia" w:eastAsia="仿宋"/>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0" w:hRule="atLeast"/>
          <w:jc w:val="center"/>
        </w:trPr>
        <w:tc>
          <w:tcPr>
            <w:tcW w:w="1119" w:type="dxa"/>
            <w:vMerge w:val="restart"/>
            <w:tcBorders>
              <w:tl2br w:val="nil"/>
              <w:tr2bl w:val="nil"/>
            </w:tcBorders>
            <w:vAlign w:val="center"/>
          </w:tcPr>
          <w:p>
            <w:pPr>
              <w:jc w:val="center"/>
              <w:rPr>
                <w:rFonts w:eastAsia="仿宋"/>
                <w:szCs w:val="21"/>
              </w:rPr>
            </w:pPr>
            <w:r>
              <w:rPr>
                <w:rFonts w:hint="eastAsia" w:eastAsia="仿宋"/>
                <w:szCs w:val="21"/>
              </w:rPr>
              <w:t>乙酸乙酯泄露</w:t>
            </w:r>
          </w:p>
        </w:tc>
        <w:tc>
          <w:tcPr>
            <w:tcW w:w="2127" w:type="dxa"/>
            <w:tcBorders>
              <w:tl2br w:val="nil"/>
              <w:tr2bl w:val="nil"/>
            </w:tcBorders>
            <w:vAlign w:val="center"/>
          </w:tcPr>
          <w:p>
            <w:pPr>
              <w:jc w:val="center"/>
              <w:rPr>
                <w:rFonts w:eastAsia="仿宋"/>
                <w:szCs w:val="21"/>
              </w:rPr>
            </w:pPr>
            <w:r>
              <w:rPr>
                <w:rFonts w:eastAsia="仿宋"/>
                <w:szCs w:val="21"/>
              </w:rPr>
              <w:t>指标</w:t>
            </w:r>
          </w:p>
        </w:tc>
        <w:tc>
          <w:tcPr>
            <w:tcW w:w="1784" w:type="dxa"/>
            <w:tcBorders>
              <w:tl2br w:val="nil"/>
              <w:tr2bl w:val="nil"/>
            </w:tcBorders>
            <w:vAlign w:val="center"/>
          </w:tcPr>
          <w:p>
            <w:pPr>
              <w:jc w:val="center"/>
              <w:rPr>
                <w:rFonts w:eastAsia="仿宋"/>
                <w:szCs w:val="21"/>
              </w:rPr>
            </w:pPr>
            <w:r>
              <w:rPr>
                <w:rFonts w:eastAsia="仿宋"/>
                <w:szCs w:val="21"/>
              </w:rPr>
              <w:t>浓度值（mg/m</w:t>
            </w:r>
            <w:r>
              <w:rPr>
                <w:rFonts w:eastAsia="仿宋"/>
                <w:szCs w:val="21"/>
                <w:vertAlign w:val="superscript"/>
              </w:rPr>
              <w:t>3</w:t>
            </w:r>
            <w:r>
              <w:rPr>
                <w:rFonts w:eastAsia="仿宋"/>
                <w:szCs w:val="21"/>
              </w:rPr>
              <w:t>）</w:t>
            </w:r>
          </w:p>
        </w:tc>
        <w:tc>
          <w:tcPr>
            <w:tcW w:w="2092" w:type="dxa"/>
            <w:tcBorders>
              <w:tl2br w:val="nil"/>
              <w:tr2bl w:val="nil"/>
            </w:tcBorders>
            <w:vAlign w:val="center"/>
          </w:tcPr>
          <w:p>
            <w:pPr>
              <w:jc w:val="center"/>
              <w:rPr>
                <w:rFonts w:eastAsia="仿宋"/>
                <w:szCs w:val="21"/>
              </w:rPr>
            </w:pPr>
            <w:r>
              <w:rPr>
                <w:rFonts w:eastAsia="仿宋"/>
                <w:szCs w:val="21"/>
              </w:rPr>
              <w:t>最远影响距离（m）</w:t>
            </w:r>
          </w:p>
        </w:tc>
        <w:tc>
          <w:tcPr>
            <w:tcW w:w="1977" w:type="dxa"/>
            <w:tcBorders>
              <w:tl2br w:val="nil"/>
              <w:tr2bl w:val="nil"/>
            </w:tcBorders>
            <w:vAlign w:val="center"/>
          </w:tcPr>
          <w:p>
            <w:pPr>
              <w:jc w:val="center"/>
              <w:rPr>
                <w:rFonts w:eastAsia="仿宋"/>
                <w:szCs w:val="21"/>
              </w:rPr>
            </w:pPr>
            <w:r>
              <w:rPr>
                <w:rFonts w:eastAsia="仿宋"/>
                <w:szCs w:val="21"/>
              </w:rPr>
              <w:t>到达时间（min）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0" w:hRule="atLeast"/>
          <w:jc w:val="center"/>
        </w:trPr>
        <w:tc>
          <w:tcPr>
            <w:tcW w:w="1119" w:type="dxa"/>
            <w:vMerge w:val="continue"/>
            <w:tcBorders>
              <w:tl2br w:val="nil"/>
              <w:tr2bl w:val="nil"/>
            </w:tcBorders>
            <w:vAlign w:val="center"/>
          </w:tcPr>
          <w:p>
            <w:pPr>
              <w:jc w:val="center"/>
              <w:rPr>
                <w:rFonts w:eastAsia="仿宋"/>
                <w:szCs w:val="21"/>
              </w:rPr>
            </w:pPr>
          </w:p>
        </w:tc>
        <w:tc>
          <w:tcPr>
            <w:tcW w:w="2127" w:type="dxa"/>
            <w:tcBorders>
              <w:tl2br w:val="nil"/>
              <w:tr2bl w:val="nil"/>
            </w:tcBorders>
            <w:vAlign w:val="center"/>
          </w:tcPr>
          <w:p>
            <w:pPr>
              <w:jc w:val="center"/>
              <w:rPr>
                <w:rFonts w:eastAsia="仿宋"/>
                <w:szCs w:val="21"/>
              </w:rPr>
            </w:pPr>
            <w:r>
              <w:rPr>
                <w:rFonts w:eastAsia="仿宋"/>
                <w:szCs w:val="21"/>
              </w:rPr>
              <w:t>大气毒性终点浓度-1</w:t>
            </w:r>
          </w:p>
        </w:tc>
        <w:tc>
          <w:tcPr>
            <w:tcW w:w="1784" w:type="dxa"/>
            <w:tcBorders>
              <w:tl2br w:val="nil"/>
              <w:tr2bl w:val="nil"/>
            </w:tcBorders>
            <w:vAlign w:val="center"/>
          </w:tcPr>
          <w:p>
            <w:pPr>
              <w:spacing w:line="300" w:lineRule="exact"/>
              <w:jc w:val="center"/>
              <w:rPr>
                <w:rFonts w:eastAsia="仿宋"/>
                <w:szCs w:val="21"/>
              </w:rPr>
            </w:pPr>
            <w:r>
              <w:rPr>
                <w:rFonts w:hint="eastAsia" w:eastAsia="仿宋_GB2312"/>
                <w:szCs w:val="21"/>
              </w:rPr>
              <w:t>36000</w:t>
            </w:r>
          </w:p>
        </w:tc>
        <w:tc>
          <w:tcPr>
            <w:tcW w:w="2092" w:type="dxa"/>
            <w:tcBorders>
              <w:tl2br w:val="nil"/>
              <w:tr2bl w:val="nil"/>
            </w:tcBorders>
            <w:vAlign w:val="center"/>
          </w:tcPr>
          <w:p>
            <w:pPr>
              <w:jc w:val="center"/>
              <w:rPr>
                <w:rFonts w:eastAsia="仿宋"/>
                <w:szCs w:val="21"/>
              </w:rPr>
            </w:pPr>
            <w:r>
              <w:rPr>
                <w:rFonts w:hint="eastAsia" w:eastAsia="仿宋"/>
                <w:szCs w:val="21"/>
              </w:rPr>
              <w:t>/</w:t>
            </w:r>
          </w:p>
        </w:tc>
        <w:tc>
          <w:tcPr>
            <w:tcW w:w="1977" w:type="dxa"/>
            <w:tcBorders>
              <w:tl2br w:val="nil"/>
              <w:tr2bl w:val="nil"/>
            </w:tcBorders>
            <w:vAlign w:val="center"/>
          </w:tcPr>
          <w:p>
            <w:pPr>
              <w:jc w:val="center"/>
              <w:rPr>
                <w:rFonts w:eastAsia="仿宋"/>
                <w:szCs w:val="21"/>
              </w:rPr>
            </w:pPr>
            <w:r>
              <w:rPr>
                <w:rFonts w:hint="eastAsia" w:eastAsia="仿宋"/>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0" w:hRule="atLeast"/>
          <w:jc w:val="center"/>
        </w:trPr>
        <w:tc>
          <w:tcPr>
            <w:tcW w:w="1119" w:type="dxa"/>
            <w:vMerge w:val="continue"/>
            <w:tcBorders>
              <w:tl2br w:val="nil"/>
              <w:tr2bl w:val="nil"/>
            </w:tcBorders>
            <w:vAlign w:val="center"/>
          </w:tcPr>
          <w:p>
            <w:pPr>
              <w:jc w:val="center"/>
              <w:rPr>
                <w:rFonts w:eastAsia="仿宋"/>
                <w:szCs w:val="21"/>
              </w:rPr>
            </w:pPr>
          </w:p>
        </w:tc>
        <w:tc>
          <w:tcPr>
            <w:tcW w:w="2127" w:type="dxa"/>
            <w:tcBorders>
              <w:tl2br w:val="nil"/>
              <w:tr2bl w:val="nil"/>
            </w:tcBorders>
            <w:vAlign w:val="center"/>
          </w:tcPr>
          <w:p>
            <w:pPr>
              <w:jc w:val="center"/>
              <w:rPr>
                <w:rFonts w:eastAsia="仿宋"/>
                <w:szCs w:val="21"/>
              </w:rPr>
            </w:pPr>
            <w:r>
              <w:rPr>
                <w:rFonts w:eastAsia="仿宋"/>
                <w:szCs w:val="21"/>
              </w:rPr>
              <w:t>大气毒性终点浓度-2</w:t>
            </w:r>
          </w:p>
        </w:tc>
        <w:tc>
          <w:tcPr>
            <w:tcW w:w="1784" w:type="dxa"/>
            <w:tcBorders>
              <w:tl2br w:val="nil"/>
              <w:tr2bl w:val="nil"/>
            </w:tcBorders>
            <w:vAlign w:val="center"/>
          </w:tcPr>
          <w:p>
            <w:pPr>
              <w:spacing w:line="300" w:lineRule="exact"/>
              <w:jc w:val="center"/>
              <w:rPr>
                <w:rFonts w:eastAsia="仿宋"/>
                <w:szCs w:val="21"/>
              </w:rPr>
            </w:pPr>
            <w:r>
              <w:rPr>
                <w:rFonts w:hint="eastAsia" w:eastAsia="仿宋_GB2312"/>
                <w:szCs w:val="21"/>
              </w:rPr>
              <w:t>6000</w:t>
            </w:r>
          </w:p>
        </w:tc>
        <w:tc>
          <w:tcPr>
            <w:tcW w:w="2092" w:type="dxa"/>
            <w:tcBorders>
              <w:tl2br w:val="nil"/>
              <w:tr2bl w:val="nil"/>
            </w:tcBorders>
            <w:vAlign w:val="center"/>
          </w:tcPr>
          <w:p>
            <w:pPr>
              <w:jc w:val="center"/>
              <w:rPr>
                <w:rFonts w:eastAsia="仿宋"/>
                <w:szCs w:val="21"/>
              </w:rPr>
            </w:pPr>
            <w:r>
              <w:rPr>
                <w:rFonts w:hint="eastAsia" w:eastAsia="仿宋"/>
                <w:szCs w:val="21"/>
              </w:rPr>
              <w:t>180</w:t>
            </w:r>
          </w:p>
        </w:tc>
        <w:tc>
          <w:tcPr>
            <w:tcW w:w="1977" w:type="dxa"/>
            <w:tcBorders>
              <w:tl2br w:val="nil"/>
              <w:tr2bl w:val="nil"/>
            </w:tcBorders>
            <w:vAlign w:val="center"/>
          </w:tcPr>
          <w:p>
            <w:pPr>
              <w:jc w:val="center"/>
              <w:rPr>
                <w:rFonts w:eastAsia="仿宋"/>
                <w:szCs w:val="21"/>
              </w:rPr>
            </w:pPr>
            <w:r>
              <w:rPr>
                <w:rFonts w:hint="eastAsia" w:eastAsia="仿宋"/>
                <w:szCs w:val="21"/>
              </w:rPr>
              <w:t>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0" w:hRule="atLeast"/>
          <w:jc w:val="center"/>
        </w:trPr>
        <w:tc>
          <w:tcPr>
            <w:tcW w:w="1119" w:type="dxa"/>
            <w:vMerge w:val="continue"/>
            <w:tcBorders>
              <w:tl2br w:val="nil"/>
              <w:tr2bl w:val="nil"/>
            </w:tcBorders>
            <w:vAlign w:val="center"/>
          </w:tcPr>
          <w:p>
            <w:pPr>
              <w:jc w:val="center"/>
              <w:rPr>
                <w:rFonts w:eastAsia="仿宋"/>
                <w:szCs w:val="21"/>
              </w:rPr>
            </w:pPr>
          </w:p>
        </w:tc>
        <w:tc>
          <w:tcPr>
            <w:tcW w:w="2127" w:type="dxa"/>
            <w:tcBorders>
              <w:tl2br w:val="nil"/>
              <w:tr2bl w:val="nil"/>
            </w:tcBorders>
            <w:vAlign w:val="center"/>
          </w:tcPr>
          <w:p>
            <w:pPr>
              <w:jc w:val="center"/>
              <w:rPr>
                <w:rFonts w:eastAsia="仿宋"/>
                <w:szCs w:val="21"/>
              </w:rPr>
            </w:pPr>
            <w:r>
              <w:rPr>
                <w:rFonts w:eastAsia="仿宋"/>
                <w:szCs w:val="21"/>
              </w:rPr>
              <w:t>敏感目标名称</w:t>
            </w:r>
          </w:p>
        </w:tc>
        <w:tc>
          <w:tcPr>
            <w:tcW w:w="1784" w:type="dxa"/>
            <w:tcBorders>
              <w:tl2br w:val="nil"/>
              <w:tr2bl w:val="nil"/>
            </w:tcBorders>
            <w:vAlign w:val="center"/>
          </w:tcPr>
          <w:p>
            <w:pPr>
              <w:jc w:val="center"/>
              <w:rPr>
                <w:rFonts w:eastAsia="仿宋"/>
                <w:szCs w:val="21"/>
              </w:rPr>
            </w:pPr>
            <w:r>
              <w:rPr>
                <w:rFonts w:eastAsia="仿宋"/>
                <w:szCs w:val="21"/>
              </w:rPr>
              <w:t>超标时间（min）</w:t>
            </w:r>
          </w:p>
        </w:tc>
        <w:tc>
          <w:tcPr>
            <w:tcW w:w="2092" w:type="dxa"/>
            <w:tcBorders>
              <w:tl2br w:val="nil"/>
              <w:tr2bl w:val="nil"/>
            </w:tcBorders>
            <w:vAlign w:val="center"/>
          </w:tcPr>
          <w:p>
            <w:pPr>
              <w:jc w:val="center"/>
              <w:rPr>
                <w:rFonts w:eastAsia="仿宋"/>
                <w:szCs w:val="21"/>
              </w:rPr>
            </w:pPr>
            <w:r>
              <w:rPr>
                <w:rFonts w:eastAsia="仿宋"/>
                <w:szCs w:val="21"/>
              </w:rPr>
              <w:t>超标持续时间（min）</w:t>
            </w:r>
          </w:p>
        </w:tc>
        <w:tc>
          <w:tcPr>
            <w:tcW w:w="1977" w:type="dxa"/>
            <w:tcBorders>
              <w:tl2br w:val="nil"/>
              <w:tr2bl w:val="nil"/>
            </w:tcBorders>
            <w:vAlign w:val="center"/>
          </w:tcPr>
          <w:p>
            <w:pPr>
              <w:jc w:val="center"/>
              <w:rPr>
                <w:rFonts w:eastAsia="仿宋"/>
                <w:szCs w:val="21"/>
              </w:rPr>
            </w:pPr>
            <w:r>
              <w:rPr>
                <w:rFonts w:eastAsia="仿宋"/>
                <w:szCs w:val="21"/>
              </w:rPr>
              <w:t>最大浓度（mg/m</w:t>
            </w:r>
            <w:r>
              <w:rPr>
                <w:rFonts w:eastAsia="仿宋"/>
                <w:szCs w:val="21"/>
                <w:vertAlign w:val="superscript"/>
              </w:rPr>
              <w:t>3</w:t>
            </w:r>
            <w:r>
              <w:rPr>
                <w:rFonts w:eastAsia="仿宋"/>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0" w:hRule="atLeast"/>
          <w:jc w:val="center"/>
        </w:trPr>
        <w:tc>
          <w:tcPr>
            <w:tcW w:w="1119" w:type="dxa"/>
            <w:vMerge w:val="continue"/>
            <w:tcBorders>
              <w:tl2br w:val="nil"/>
              <w:tr2bl w:val="nil"/>
            </w:tcBorders>
            <w:vAlign w:val="center"/>
          </w:tcPr>
          <w:p>
            <w:pPr>
              <w:jc w:val="center"/>
              <w:rPr>
                <w:rFonts w:eastAsia="仿宋"/>
                <w:szCs w:val="21"/>
              </w:rPr>
            </w:pPr>
          </w:p>
        </w:tc>
        <w:tc>
          <w:tcPr>
            <w:tcW w:w="2127" w:type="dxa"/>
            <w:tcBorders>
              <w:tl2br w:val="nil"/>
              <w:tr2bl w:val="nil"/>
            </w:tcBorders>
            <w:vAlign w:val="center"/>
          </w:tcPr>
          <w:p>
            <w:pPr>
              <w:widowControl/>
              <w:spacing w:line="320" w:lineRule="exact"/>
              <w:jc w:val="center"/>
              <w:rPr>
                <w:rFonts w:eastAsia="仿宋"/>
                <w:szCs w:val="21"/>
              </w:rPr>
            </w:pPr>
            <w:r>
              <w:rPr>
                <w:rFonts w:hint="eastAsia" w:eastAsia="仿宋"/>
                <w:bCs/>
                <w:szCs w:val="21"/>
              </w:rPr>
              <w:t>元巷小区</w:t>
            </w:r>
          </w:p>
        </w:tc>
        <w:tc>
          <w:tcPr>
            <w:tcW w:w="1784" w:type="dxa"/>
            <w:tcBorders>
              <w:tl2br w:val="nil"/>
              <w:tr2bl w:val="nil"/>
            </w:tcBorders>
            <w:vAlign w:val="center"/>
          </w:tcPr>
          <w:p>
            <w:pPr>
              <w:jc w:val="center"/>
              <w:rPr>
                <w:rFonts w:eastAsia="仿宋"/>
                <w:szCs w:val="21"/>
              </w:rPr>
            </w:pPr>
            <w:r>
              <w:rPr>
                <w:rFonts w:hint="eastAsia" w:eastAsia="仿宋"/>
                <w:szCs w:val="21"/>
              </w:rPr>
              <w:t>/</w:t>
            </w:r>
          </w:p>
        </w:tc>
        <w:tc>
          <w:tcPr>
            <w:tcW w:w="2092" w:type="dxa"/>
            <w:tcBorders>
              <w:tl2br w:val="nil"/>
              <w:tr2bl w:val="nil"/>
            </w:tcBorders>
            <w:vAlign w:val="center"/>
          </w:tcPr>
          <w:p>
            <w:pPr>
              <w:jc w:val="center"/>
              <w:rPr>
                <w:rFonts w:eastAsia="仿宋"/>
                <w:szCs w:val="21"/>
              </w:rPr>
            </w:pPr>
            <w:r>
              <w:rPr>
                <w:rFonts w:hint="eastAsia" w:eastAsia="仿宋"/>
                <w:szCs w:val="21"/>
              </w:rPr>
              <w:t>/</w:t>
            </w:r>
          </w:p>
        </w:tc>
        <w:tc>
          <w:tcPr>
            <w:tcW w:w="1977" w:type="dxa"/>
            <w:tcBorders>
              <w:tl2br w:val="nil"/>
              <w:tr2bl w:val="nil"/>
            </w:tcBorders>
            <w:vAlign w:val="center"/>
          </w:tcPr>
          <w:p>
            <w:pPr>
              <w:jc w:val="center"/>
              <w:rPr>
                <w:rFonts w:eastAsia="仿宋"/>
                <w:szCs w:val="21"/>
              </w:rPr>
            </w:pPr>
            <w:r>
              <w:rPr>
                <w:rFonts w:hint="eastAsia" w:eastAsia="仿宋"/>
                <w:szCs w:val="21"/>
              </w:rPr>
              <w:t>4325.32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0" w:hRule="atLeast"/>
          <w:jc w:val="center"/>
        </w:trPr>
        <w:tc>
          <w:tcPr>
            <w:tcW w:w="1119" w:type="dxa"/>
            <w:vMerge w:val="continue"/>
            <w:tcBorders>
              <w:tl2br w:val="nil"/>
              <w:tr2bl w:val="nil"/>
            </w:tcBorders>
            <w:vAlign w:val="center"/>
          </w:tcPr>
          <w:p>
            <w:pPr>
              <w:jc w:val="center"/>
              <w:rPr>
                <w:rFonts w:eastAsia="仿宋"/>
                <w:szCs w:val="21"/>
              </w:rPr>
            </w:pPr>
          </w:p>
        </w:tc>
        <w:tc>
          <w:tcPr>
            <w:tcW w:w="2127" w:type="dxa"/>
            <w:tcBorders>
              <w:tl2br w:val="nil"/>
              <w:tr2bl w:val="nil"/>
            </w:tcBorders>
            <w:vAlign w:val="center"/>
          </w:tcPr>
          <w:p>
            <w:pPr>
              <w:widowControl/>
              <w:spacing w:line="320" w:lineRule="exact"/>
              <w:jc w:val="center"/>
              <w:rPr>
                <w:rFonts w:eastAsia="仿宋"/>
                <w:szCs w:val="21"/>
              </w:rPr>
            </w:pPr>
            <w:r>
              <w:rPr>
                <w:rFonts w:hint="eastAsia" w:eastAsia="仿宋"/>
                <w:bCs/>
                <w:szCs w:val="21"/>
              </w:rPr>
              <w:t>金城镇中心幼儿园</w:t>
            </w:r>
          </w:p>
        </w:tc>
        <w:tc>
          <w:tcPr>
            <w:tcW w:w="1784" w:type="dxa"/>
            <w:tcBorders>
              <w:tl2br w:val="nil"/>
              <w:tr2bl w:val="nil"/>
            </w:tcBorders>
            <w:vAlign w:val="center"/>
          </w:tcPr>
          <w:p>
            <w:pPr>
              <w:jc w:val="center"/>
              <w:rPr>
                <w:rFonts w:eastAsia="仿宋"/>
                <w:szCs w:val="21"/>
              </w:rPr>
            </w:pPr>
            <w:r>
              <w:rPr>
                <w:rFonts w:hint="eastAsia" w:eastAsia="仿宋"/>
                <w:szCs w:val="21"/>
              </w:rPr>
              <w:t>/</w:t>
            </w:r>
          </w:p>
        </w:tc>
        <w:tc>
          <w:tcPr>
            <w:tcW w:w="2092" w:type="dxa"/>
            <w:tcBorders>
              <w:tl2br w:val="nil"/>
              <w:tr2bl w:val="nil"/>
            </w:tcBorders>
            <w:vAlign w:val="center"/>
          </w:tcPr>
          <w:p>
            <w:pPr>
              <w:jc w:val="center"/>
              <w:rPr>
                <w:rFonts w:eastAsia="仿宋"/>
                <w:szCs w:val="21"/>
              </w:rPr>
            </w:pPr>
            <w:r>
              <w:rPr>
                <w:rFonts w:hint="eastAsia" w:eastAsia="仿宋"/>
                <w:szCs w:val="21"/>
              </w:rPr>
              <w:t>/</w:t>
            </w:r>
          </w:p>
        </w:tc>
        <w:tc>
          <w:tcPr>
            <w:tcW w:w="1977" w:type="dxa"/>
            <w:tcBorders>
              <w:tl2br w:val="nil"/>
              <w:tr2bl w:val="nil"/>
            </w:tcBorders>
            <w:vAlign w:val="center"/>
          </w:tcPr>
          <w:p>
            <w:pPr>
              <w:jc w:val="center"/>
              <w:rPr>
                <w:rFonts w:eastAsia="仿宋"/>
                <w:szCs w:val="21"/>
              </w:rPr>
            </w:pPr>
            <w:r>
              <w:rPr>
                <w:rFonts w:hint="eastAsia" w:eastAsia="仿宋_GB2312"/>
                <w:szCs w:val="21"/>
              </w:rPr>
              <w:t>1511.100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0" w:hRule="atLeast"/>
          <w:jc w:val="center"/>
        </w:trPr>
        <w:tc>
          <w:tcPr>
            <w:tcW w:w="1119" w:type="dxa"/>
            <w:vMerge w:val="continue"/>
            <w:tcBorders>
              <w:tl2br w:val="nil"/>
              <w:tr2bl w:val="nil"/>
            </w:tcBorders>
            <w:vAlign w:val="center"/>
          </w:tcPr>
          <w:p>
            <w:pPr>
              <w:jc w:val="center"/>
              <w:rPr>
                <w:rFonts w:eastAsia="仿宋"/>
                <w:szCs w:val="21"/>
              </w:rPr>
            </w:pPr>
          </w:p>
        </w:tc>
        <w:tc>
          <w:tcPr>
            <w:tcW w:w="2127" w:type="dxa"/>
            <w:tcBorders>
              <w:tl2br w:val="nil"/>
              <w:tr2bl w:val="nil"/>
            </w:tcBorders>
            <w:vAlign w:val="center"/>
          </w:tcPr>
          <w:p>
            <w:pPr>
              <w:widowControl/>
              <w:spacing w:line="320" w:lineRule="exact"/>
              <w:jc w:val="center"/>
              <w:rPr>
                <w:rFonts w:eastAsia="仿宋"/>
                <w:szCs w:val="21"/>
              </w:rPr>
            </w:pPr>
            <w:r>
              <w:rPr>
                <w:rFonts w:hint="eastAsia" w:eastAsia="仿宋"/>
                <w:bCs/>
                <w:szCs w:val="21"/>
              </w:rPr>
              <w:t>元巷新村</w:t>
            </w:r>
          </w:p>
        </w:tc>
        <w:tc>
          <w:tcPr>
            <w:tcW w:w="1784" w:type="dxa"/>
            <w:tcBorders>
              <w:tl2br w:val="nil"/>
              <w:tr2bl w:val="nil"/>
            </w:tcBorders>
            <w:vAlign w:val="center"/>
          </w:tcPr>
          <w:p>
            <w:pPr>
              <w:jc w:val="center"/>
              <w:rPr>
                <w:rFonts w:eastAsia="仿宋"/>
                <w:szCs w:val="21"/>
              </w:rPr>
            </w:pPr>
            <w:r>
              <w:rPr>
                <w:rFonts w:hint="eastAsia" w:eastAsia="仿宋"/>
                <w:szCs w:val="21"/>
              </w:rPr>
              <w:t>/</w:t>
            </w:r>
          </w:p>
        </w:tc>
        <w:tc>
          <w:tcPr>
            <w:tcW w:w="2092" w:type="dxa"/>
            <w:tcBorders>
              <w:tl2br w:val="nil"/>
              <w:tr2bl w:val="nil"/>
            </w:tcBorders>
            <w:vAlign w:val="center"/>
          </w:tcPr>
          <w:p>
            <w:pPr>
              <w:jc w:val="center"/>
              <w:rPr>
                <w:rFonts w:eastAsia="仿宋"/>
                <w:szCs w:val="21"/>
              </w:rPr>
            </w:pPr>
            <w:r>
              <w:rPr>
                <w:rFonts w:hint="eastAsia" w:eastAsia="仿宋"/>
                <w:szCs w:val="21"/>
              </w:rPr>
              <w:t>/</w:t>
            </w:r>
          </w:p>
        </w:tc>
        <w:tc>
          <w:tcPr>
            <w:tcW w:w="1977" w:type="dxa"/>
            <w:tcBorders>
              <w:tl2br w:val="nil"/>
              <w:tr2bl w:val="nil"/>
            </w:tcBorders>
            <w:vAlign w:val="center"/>
          </w:tcPr>
          <w:p>
            <w:pPr>
              <w:jc w:val="center"/>
              <w:rPr>
                <w:rFonts w:eastAsia="仿宋"/>
                <w:szCs w:val="21"/>
              </w:rPr>
            </w:pPr>
            <w:r>
              <w:rPr>
                <w:rFonts w:hint="eastAsia" w:eastAsia="仿宋_GB2312"/>
                <w:szCs w:val="21"/>
              </w:rPr>
              <w:t>504.310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0" w:hRule="atLeast"/>
          <w:jc w:val="center"/>
        </w:trPr>
        <w:tc>
          <w:tcPr>
            <w:tcW w:w="1119" w:type="dxa"/>
            <w:vMerge w:val="continue"/>
            <w:tcBorders>
              <w:tl2br w:val="nil"/>
              <w:tr2bl w:val="nil"/>
            </w:tcBorders>
            <w:vAlign w:val="center"/>
          </w:tcPr>
          <w:p>
            <w:pPr>
              <w:jc w:val="center"/>
              <w:rPr>
                <w:rFonts w:eastAsia="仿宋"/>
                <w:szCs w:val="21"/>
              </w:rPr>
            </w:pPr>
          </w:p>
        </w:tc>
        <w:tc>
          <w:tcPr>
            <w:tcW w:w="2127" w:type="dxa"/>
            <w:tcBorders>
              <w:tl2br w:val="nil"/>
              <w:tr2bl w:val="nil"/>
            </w:tcBorders>
            <w:vAlign w:val="bottom"/>
          </w:tcPr>
          <w:p>
            <w:pPr>
              <w:widowControl/>
              <w:autoSpaceDE w:val="0"/>
              <w:autoSpaceDN w:val="0"/>
              <w:adjustRightInd w:val="0"/>
              <w:snapToGrid w:val="0"/>
              <w:jc w:val="center"/>
              <w:rPr>
                <w:rFonts w:eastAsia="仿宋"/>
                <w:szCs w:val="21"/>
              </w:rPr>
            </w:pPr>
            <w:r>
              <w:rPr>
                <w:rFonts w:hint="eastAsia" w:eastAsia="仿宋"/>
                <w:bCs/>
                <w:szCs w:val="21"/>
              </w:rPr>
              <w:t>唐庄</w:t>
            </w:r>
          </w:p>
        </w:tc>
        <w:tc>
          <w:tcPr>
            <w:tcW w:w="1784" w:type="dxa"/>
            <w:tcBorders>
              <w:tl2br w:val="nil"/>
              <w:tr2bl w:val="nil"/>
            </w:tcBorders>
            <w:vAlign w:val="center"/>
          </w:tcPr>
          <w:p>
            <w:pPr>
              <w:jc w:val="center"/>
              <w:rPr>
                <w:rFonts w:eastAsia="仿宋"/>
                <w:szCs w:val="21"/>
              </w:rPr>
            </w:pPr>
            <w:r>
              <w:rPr>
                <w:rFonts w:hint="eastAsia" w:eastAsia="仿宋"/>
                <w:szCs w:val="21"/>
              </w:rPr>
              <w:t>/</w:t>
            </w:r>
          </w:p>
        </w:tc>
        <w:tc>
          <w:tcPr>
            <w:tcW w:w="2092" w:type="dxa"/>
            <w:tcBorders>
              <w:tl2br w:val="nil"/>
              <w:tr2bl w:val="nil"/>
            </w:tcBorders>
            <w:vAlign w:val="center"/>
          </w:tcPr>
          <w:p>
            <w:pPr>
              <w:jc w:val="center"/>
              <w:rPr>
                <w:rFonts w:eastAsia="仿宋"/>
                <w:szCs w:val="21"/>
              </w:rPr>
            </w:pPr>
            <w:r>
              <w:rPr>
                <w:rFonts w:hint="eastAsia" w:eastAsia="仿宋"/>
                <w:szCs w:val="21"/>
              </w:rPr>
              <w:t>/</w:t>
            </w:r>
          </w:p>
        </w:tc>
        <w:tc>
          <w:tcPr>
            <w:tcW w:w="1977" w:type="dxa"/>
            <w:tcBorders>
              <w:tl2br w:val="nil"/>
              <w:tr2bl w:val="nil"/>
            </w:tcBorders>
            <w:vAlign w:val="center"/>
          </w:tcPr>
          <w:p>
            <w:pPr>
              <w:jc w:val="center"/>
              <w:rPr>
                <w:rFonts w:eastAsia="仿宋"/>
                <w:szCs w:val="21"/>
              </w:rPr>
            </w:pPr>
            <w:r>
              <w:rPr>
                <w:rFonts w:hint="eastAsia" w:eastAsia="仿宋"/>
                <w:szCs w:val="21"/>
              </w:rPr>
              <w:t>280.17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0" w:hRule="atLeast"/>
          <w:jc w:val="center"/>
        </w:trPr>
        <w:tc>
          <w:tcPr>
            <w:tcW w:w="1119" w:type="dxa"/>
            <w:vMerge w:val="continue"/>
            <w:tcBorders>
              <w:tl2br w:val="nil"/>
              <w:tr2bl w:val="nil"/>
            </w:tcBorders>
            <w:vAlign w:val="center"/>
          </w:tcPr>
          <w:p>
            <w:pPr>
              <w:jc w:val="center"/>
              <w:rPr>
                <w:rFonts w:eastAsia="仿宋"/>
                <w:szCs w:val="21"/>
              </w:rPr>
            </w:pPr>
          </w:p>
        </w:tc>
        <w:tc>
          <w:tcPr>
            <w:tcW w:w="2127" w:type="dxa"/>
            <w:tcBorders>
              <w:tl2br w:val="nil"/>
              <w:tr2bl w:val="nil"/>
            </w:tcBorders>
            <w:vAlign w:val="bottom"/>
          </w:tcPr>
          <w:p>
            <w:pPr>
              <w:widowControl/>
              <w:autoSpaceDE w:val="0"/>
              <w:autoSpaceDN w:val="0"/>
              <w:adjustRightInd w:val="0"/>
              <w:snapToGrid w:val="0"/>
              <w:jc w:val="center"/>
              <w:rPr>
                <w:rFonts w:eastAsia="仿宋"/>
                <w:szCs w:val="21"/>
              </w:rPr>
            </w:pPr>
            <w:r>
              <w:rPr>
                <w:rFonts w:hint="eastAsia" w:eastAsia="仿宋"/>
                <w:bCs/>
                <w:szCs w:val="21"/>
              </w:rPr>
              <w:t>宋庄</w:t>
            </w:r>
          </w:p>
        </w:tc>
        <w:tc>
          <w:tcPr>
            <w:tcW w:w="1784" w:type="dxa"/>
            <w:tcBorders>
              <w:tl2br w:val="nil"/>
              <w:tr2bl w:val="nil"/>
            </w:tcBorders>
            <w:vAlign w:val="center"/>
          </w:tcPr>
          <w:p>
            <w:pPr>
              <w:jc w:val="center"/>
              <w:rPr>
                <w:rFonts w:eastAsia="仿宋"/>
                <w:szCs w:val="21"/>
              </w:rPr>
            </w:pPr>
            <w:r>
              <w:rPr>
                <w:rFonts w:hint="eastAsia" w:eastAsia="仿宋"/>
                <w:szCs w:val="21"/>
              </w:rPr>
              <w:t>/</w:t>
            </w:r>
          </w:p>
        </w:tc>
        <w:tc>
          <w:tcPr>
            <w:tcW w:w="2092" w:type="dxa"/>
            <w:tcBorders>
              <w:tl2br w:val="nil"/>
              <w:tr2bl w:val="nil"/>
            </w:tcBorders>
            <w:vAlign w:val="center"/>
          </w:tcPr>
          <w:p>
            <w:pPr>
              <w:jc w:val="center"/>
              <w:rPr>
                <w:rFonts w:eastAsia="仿宋"/>
                <w:szCs w:val="21"/>
              </w:rPr>
            </w:pPr>
            <w:r>
              <w:rPr>
                <w:rFonts w:hint="eastAsia" w:eastAsia="仿宋"/>
                <w:szCs w:val="21"/>
              </w:rPr>
              <w:t>/</w:t>
            </w:r>
          </w:p>
        </w:tc>
        <w:tc>
          <w:tcPr>
            <w:tcW w:w="1977" w:type="dxa"/>
            <w:tcBorders>
              <w:tl2br w:val="nil"/>
              <w:tr2bl w:val="nil"/>
            </w:tcBorders>
            <w:vAlign w:val="center"/>
          </w:tcPr>
          <w:p>
            <w:pPr>
              <w:jc w:val="center"/>
              <w:rPr>
                <w:rFonts w:eastAsia="仿宋"/>
                <w:szCs w:val="21"/>
              </w:rPr>
            </w:pPr>
            <w:r>
              <w:rPr>
                <w:rFonts w:hint="eastAsia" w:eastAsia="仿宋_GB2312"/>
                <w:szCs w:val="21"/>
              </w:rPr>
              <w:t>201.16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0" w:hRule="atLeast"/>
          <w:jc w:val="center"/>
        </w:trPr>
        <w:tc>
          <w:tcPr>
            <w:tcW w:w="1119" w:type="dxa"/>
            <w:vMerge w:val="continue"/>
            <w:tcBorders>
              <w:tl2br w:val="nil"/>
              <w:tr2bl w:val="nil"/>
            </w:tcBorders>
            <w:vAlign w:val="center"/>
          </w:tcPr>
          <w:p>
            <w:pPr>
              <w:jc w:val="center"/>
              <w:rPr>
                <w:rFonts w:eastAsia="仿宋"/>
                <w:szCs w:val="21"/>
              </w:rPr>
            </w:pPr>
          </w:p>
        </w:tc>
        <w:tc>
          <w:tcPr>
            <w:tcW w:w="2127" w:type="dxa"/>
            <w:tcBorders>
              <w:tl2br w:val="nil"/>
              <w:tr2bl w:val="nil"/>
            </w:tcBorders>
            <w:vAlign w:val="center"/>
          </w:tcPr>
          <w:p>
            <w:pPr>
              <w:widowControl/>
              <w:autoSpaceDE w:val="0"/>
              <w:autoSpaceDN w:val="0"/>
              <w:adjustRightInd w:val="0"/>
              <w:snapToGrid w:val="0"/>
              <w:jc w:val="center"/>
              <w:rPr>
                <w:rFonts w:eastAsia="仿宋"/>
                <w:szCs w:val="21"/>
              </w:rPr>
            </w:pPr>
            <w:r>
              <w:rPr>
                <w:rFonts w:hint="eastAsia" w:eastAsia="仿宋"/>
                <w:bCs/>
                <w:szCs w:val="21"/>
              </w:rPr>
              <w:t>邮堂庙</w:t>
            </w:r>
          </w:p>
        </w:tc>
        <w:tc>
          <w:tcPr>
            <w:tcW w:w="1784" w:type="dxa"/>
            <w:tcBorders>
              <w:tl2br w:val="nil"/>
              <w:tr2bl w:val="nil"/>
            </w:tcBorders>
            <w:vAlign w:val="center"/>
          </w:tcPr>
          <w:p>
            <w:pPr>
              <w:jc w:val="center"/>
              <w:rPr>
                <w:rFonts w:eastAsia="仿宋"/>
                <w:szCs w:val="21"/>
              </w:rPr>
            </w:pPr>
            <w:r>
              <w:rPr>
                <w:rFonts w:hint="eastAsia" w:eastAsia="仿宋"/>
                <w:szCs w:val="21"/>
              </w:rPr>
              <w:t>/</w:t>
            </w:r>
          </w:p>
        </w:tc>
        <w:tc>
          <w:tcPr>
            <w:tcW w:w="2092" w:type="dxa"/>
            <w:tcBorders>
              <w:tl2br w:val="nil"/>
              <w:tr2bl w:val="nil"/>
            </w:tcBorders>
            <w:vAlign w:val="center"/>
          </w:tcPr>
          <w:p>
            <w:pPr>
              <w:jc w:val="center"/>
              <w:rPr>
                <w:rFonts w:eastAsia="仿宋"/>
                <w:szCs w:val="21"/>
              </w:rPr>
            </w:pPr>
            <w:r>
              <w:rPr>
                <w:rFonts w:hint="eastAsia" w:eastAsia="仿宋"/>
                <w:szCs w:val="21"/>
              </w:rPr>
              <w:t>/</w:t>
            </w:r>
          </w:p>
        </w:tc>
        <w:tc>
          <w:tcPr>
            <w:tcW w:w="1977" w:type="dxa"/>
            <w:tcBorders>
              <w:tl2br w:val="nil"/>
              <w:tr2bl w:val="nil"/>
            </w:tcBorders>
            <w:vAlign w:val="center"/>
          </w:tcPr>
          <w:p>
            <w:pPr>
              <w:jc w:val="center"/>
              <w:rPr>
                <w:rFonts w:eastAsia="仿宋"/>
                <w:szCs w:val="21"/>
              </w:rPr>
            </w:pPr>
            <w:r>
              <w:rPr>
                <w:rFonts w:hint="eastAsia" w:eastAsia="仿宋_GB2312"/>
                <w:szCs w:val="21"/>
              </w:rPr>
              <w:t>161.21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0" w:hRule="atLeast"/>
          <w:jc w:val="center"/>
        </w:trPr>
        <w:tc>
          <w:tcPr>
            <w:tcW w:w="1119" w:type="dxa"/>
            <w:vMerge w:val="continue"/>
            <w:tcBorders>
              <w:tl2br w:val="nil"/>
              <w:tr2bl w:val="nil"/>
            </w:tcBorders>
            <w:vAlign w:val="center"/>
          </w:tcPr>
          <w:p>
            <w:pPr>
              <w:jc w:val="center"/>
              <w:rPr>
                <w:rFonts w:eastAsia="仿宋"/>
                <w:szCs w:val="21"/>
              </w:rPr>
            </w:pPr>
          </w:p>
        </w:tc>
        <w:tc>
          <w:tcPr>
            <w:tcW w:w="2127" w:type="dxa"/>
            <w:tcBorders>
              <w:tl2br w:val="nil"/>
              <w:tr2bl w:val="nil"/>
            </w:tcBorders>
            <w:vAlign w:val="center"/>
          </w:tcPr>
          <w:p>
            <w:pPr>
              <w:widowControl/>
              <w:autoSpaceDE w:val="0"/>
              <w:autoSpaceDN w:val="0"/>
              <w:adjustRightInd w:val="0"/>
              <w:snapToGrid w:val="0"/>
              <w:jc w:val="center"/>
              <w:rPr>
                <w:rFonts w:eastAsia="仿宋"/>
                <w:szCs w:val="21"/>
              </w:rPr>
            </w:pPr>
            <w:r>
              <w:rPr>
                <w:rFonts w:hint="eastAsia" w:eastAsia="仿宋"/>
                <w:bCs/>
                <w:szCs w:val="21"/>
              </w:rPr>
              <w:t>冯庄村</w:t>
            </w:r>
          </w:p>
        </w:tc>
        <w:tc>
          <w:tcPr>
            <w:tcW w:w="1784" w:type="dxa"/>
            <w:tcBorders>
              <w:tl2br w:val="nil"/>
              <w:tr2bl w:val="nil"/>
            </w:tcBorders>
            <w:vAlign w:val="center"/>
          </w:tcPr>
          <w:p>
            <w:pPr>
              <w:jc w:val="center"/>
              <w:rPr>
                <w:rFonts w:eastAsia="仿宋"/>
                <w:szCs w:val="21"/>
              </w:rPr>
            </w:pPr>
            <w:r>
              <w:rPr>
                <w:rFonts w:hint="eastAsia" w:eastAsia="仿宋"/>
                <w:szCs w:val="21"/>
              </w:rPr>
              <w:t>/</w:t>
            </w:r>
          </w:p>
        </w:tc>
        <w:tc>
          <w:tcPr>
            <w:tcW w:w="2092" w:type="dxa"/>
            <w:tcBorders>
              <w:tl2br w:val="nil"/>
              <w:tr2bl w:val="nil"/>
            </w:tcBorders>
            <w:vAlign w:val="center"/>
          </w:tcPr>
          <w:p>
            <w:pPr>
              <w:jc w:val="center"/>
              <w:rPr>
                <w:rFonts w:eastAsia="仿宋"/>
                <w:szCs w:val="21"/>
              </w:rPr>
            </w:pPr>
            <w:r>
              <w:rPr>
                <w:rFonts w:hint="eastAsia" w:eastAsia="仿宋"/>
                <w:szCs w:val="21"/>
              </w:rPr>
              <w:t>/</w:t>
            </w:r>
          </w:p>
        </w:tc>
        <w:tc>
          <w:tcPr>
            <w:tcW w:w="1977" w:type="dxa"/>
            <w:tcBorders>
              <w:tl2br w:val="nil"/>
              <w:tr2bl w:val="nil"/>
            </w:tcBorders>
            <w:vAlign w:val="center"/>
          </w:tcPr>
          <w:p>
            <w:pPr>
              <w:jc w:val="center"/>
              <w:rPr>
                <w:rFonts w:eastAsia="仿宋"/>
                <w:szCs w:val="21"/>
              </w:rPr>
            </w:pPr>
            <w:r>
              <w:rPr>
                <w:rFonts w:hint="eastAsia" w:eastAsia="仿宋_GB2312"/>
                <w:szCs w:val="21"/>
              </w:rPr>
              <w:t>82.076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0" w:hRule="atLeast"/>
          <w:jc w:val="center"/>
        </w:trPr>
        <w:tc>
          <w:tcPr>
            <w:tcW w:w="1119" w:type="dxa"/>
            <w:vMerge w:val="continue"/>
            <w:tcBorders>
              <w:tl2br w:val="nil"/>
              <w:tr2bl w:val="nil"/>
            </w:tcBorders>
            <w:vAlign w:val="center"/>
          </w:tcPr>
          <w:p>
            <w:pPr>
              <w:jc w:val="center"/>
              <w:rPr>
                <w:rFonts w:eastAsia="仿宋"/>
                <w:szCs w:val="21"/>
              </w:rPr>
            </w:pPr>
          </w:p>
        </w:tc>
        <w:tc>
          <w:tcPr>
            <w:tcW w:w="2127" w:type="dxa"/>
            <w:tcBorders>
              <w:tl2br w:val="nil"/>
              <w:tr2bl w:val="nil"/>
            </w:tcBorders>
            <w:vAlign w:val="center"/>
          </w:tcPr>
          <w:p>
            <w:pPr>
              <w:widowControl/>
              <w:spacing w:line="320" w:lineRule="exact"/>
              <w:jc w:val="center"/>
              <w:rPr>
                <w:rFonts w:eastAsia="仿宋"/>
                <w:szCs w:val="21"/>
              </w:rPr>
            </w:pPr>
            <w:r>
              <w:rPr>
                <w:rFonts w:hint="eastAsia" w:eastAsia="仿宋"/>
                <w:bCs/>
                <w:szCs w:val="21"/>
              </w:rPr>
              <w:t>南墅</w:t>
            </w:r>
          </w:p>
        </w:tc>
        <w:tc>
          <w:tcPr>
            <w:tcW w:w="1784" w:type="dxa"/>
            <w:tcBorders>
              <w:tl2br w:val="nil"/>
              <w:tr2bl w:val="nil"/>
            </w:tcBorders>
            <w:vAlign w:val="center"/>
          </w:tcPr>
          <w:p>
            <w:pPr>
              <w:jc w:val="center"/>
              <w:rPr>
                <w:rFonts w:eastAsia="仿宋"/>
                <w:szCs w:val="21"/>
              </w:rPr>
            </w:pPr>
            <w:r>
              <w:rPr>
                <w:rFonts w:hint="eastAsia" w:eastAsia="仿宋"/>
                <w:szCs w:val="21"/>
              </w:rPr>
              <w:t>/</w:t>
            </w:r>
          </w:p>
        </w:tc>
        <w:tc>
          <w:tcPr>
            <w:tcW w:w="2092" w:type="dxa"/>
            <w:tcBorders>
              <w:tl2br w:val="nil"/>
              <w:tr2bl w:val="nil"/>
            </w:tcBorders>
            <w:vAlign w:val="center"/>
          </w:tcPr>
          <w:p>
            <w:pPr>
              <w:jc w:val="center"/>
              <w:rPr>
                <w:rFonts w:eastAsia="仿宋"/>
                <w:szCs w:val="21"/>
              </w:rPr>
            </w:pPr>
            <w:r>
              <w:rPr>
                <w:rFonts w:hint="eastAsia" w:eastAsia="仿宋"/>
                <w:szCs w:val="21"/>
              </w:rPr>
              <w:t>/</w:t>
            </w:r>
          </w:p>
        </w:tc>
        <w:tc>
          <w:tcPr>
            <w:tcW w:w="1977" w:type="dxa"/>
            <w:tcBorders>
              <w:tl2br w:val="nil"/>
              <w:tr2bl w:val="nil"/>
            </w:tcBorders>
            <w:vAlign w:val="center"/>
          </w:tcPr>
          <w:p>
            <w:pPr>
              <w:jc w:val="center"/>
              <w:rPr>
                <w:rFonts w:eastAsia="仿宋_GB2312"/>
                <w:szCs w:val="21"/>
              </w:rPr>
            </w:pPr>
            <w:r>
              <w:rPr>
                <w:rFonts w:hint="eastAsia" w:eastAsia="仿宋_GB2312"/>
                <w:szCs w:val="21"/>
              </w:rPr>
              <w:t>52.672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0" w:hRule="atLeast"/>
          <w:jc w:val="center"/>
        </w:trPr>
        <w:tc>
          <w:tcPr>
            <w:tcW w:w="1119" w:type="dxa"/>
            <w:vMerge w:val="continue"/>
            <w:tcBorders>
              <w:tl2br w:val="nil"/>
              <w:tr2bl w:val="nil"/>
            </w:tcBorders>
            <w:vAlign w:val="center"/>
          </w:tcPr>
          <w:p>
            <w:pPr>
              <w:jc w:val="center"/>
              <w:rPr>
                <w:rFonts w:eastAsia="仿宋"/>
                <w:szCs w:val="21"/>
              </w:rPr>
            </w:pPr>
          </w:p>
        </w:tc>
        <w:tc>
          <w:tcPr>
            <w:tcW w:w="2127" w:type="dxa"/>
            <w:tcBorders>
              <w:tl2br w:val="nil"/>
              <w:tr2bl w:val="nil"/>
            </w:tcBorders>
            <w:vAlign w:val="center"/>
          </w:tcPr>
          <w:p>
            <w:pPr>
              <w:widowControl/>
              <w:spacing w:line="320" w:lineRule="exact"/>
              <w:jc w:val="center"/>
              <w:rPr>
                <w:rFonts w:eastAsia="仿宋"/>
                <w:szCs w:val="21"/>
              </w:rPr>
            </w:pPr>
            <w:r>
              <w:rPr>
                <w:rFonts w:hint="eastAsia" w:eastAsia="仿宋"/>
                <w:bCs/>
                <w:szCs w:val="21"/>
              </w:rPr>
              <w:t>丽锦嘉园</w:t>
            </w:r>
          </w:p>
        </w:tc>
        <w:tc>
          <w:tcPr>
            <w:tcW w:w="1784" w:type="dxa"/>
            <w:tcBorders>
              <w:tl2br w:val="nil"/>
              <w:tr2bl w:val="nil"/>
            </w:tcBorders>
            <w:vAlign w:val="center"/>
          </w:tcPr>
          <w:p>
            <w:pPr>
              <w:jc w:val="center"/>
              <w:rPr>
                <w:rFonts w:eastAsia="仿宋"/>
                <w:szCs w:val="21"/>
              </w:rPr>
            </w:pPr>
            <w:r>
              <w:rPr>
                <w:rFonts w:hint="eastAsia" w:eastAsia="仿宋"/>
                <w:szCs w:val="21"/>
              </w:rPr>
              <w:t>/</w:t>
            </w:r>
          </w:p>
        </w:tc>
        <w:tc>
          <w:tcPr>
            <w:tcW w:w="2092" w:type="dxa"/>
            <w:tcBorders>
              <w:tl2br w:val="nil"/>
              <w:tr2bl w:val="nil"/>
            </w:tcBorders>
            <w:vAlign w:val="center"/>
          </w:tcPr>
          <w:p>
            <w:pPr>
              <w:jc w:val="center"/>
              <w:rPr>
                <w:rFonts w:eastAsia="仿宋"/>
                <w:szCs w:val="21"/>
              </w:rPr>
            </w:pPr>
            <w:r>
              <w:rPr>
                <w:rFonts w:hint="eastAsia" w:eastAsia="仿宋"/>
                <w:szCs w:val="21"/>
              </w:rPr>
              <w:t>/</w:t>
            </w:r>
          </w:p>
        </w:tc>
        <w:tc>
          <w:tcPr>
            <w:tcW w:w="1977" w:type="dxa"/>
            <w:tcBorders>
              <w:tl2br w:val="nil"/>
              <w:tr2bl w:val="nil"/>
            </w:tcBorders>
            <w:vAlign w:val="center"/>
          </w:tcPr>
          <w:p>
            <w:pPr>
              <w:jc w:val="center"/>
              <w:rPr>
                <w:rFonts w:eastAsia="仿宋_GB2312"/>
                <w:szCs w:val="21"/>
              </w:rPr>
            </w:pPr>
            <w:r>
              <w:rPr>
                <w:rFonts w:hint="eastAsia" w:eastAsia="仿宋_GB2312"/>
                <w:szCs w:val="21"/>
              </w:rPr>
              <w:t>24.993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0" w:hRule="atLeast"/>
          <w:jc w:val="center"/>
        </w:trPr>
        <w:tc>
          <w:tcPr>
            <w:tcW w:w="1119" w:type="dxa"/>
            <w:vMerge w:val="continue"/>
            <w:tcBorders>
              <w:tl2br w:val="nil"/>
              <w:tr2bl w:val="nil"/>
            </w:tcBorders>
            <w:vAlign w:val="center"/>
          </w:tcPr>
          <w:p>
            <w:pPr>
              <w:jc w:val="center"/>
              <w:rPr>
                <w:rFonts w:eastAsia="仿宋"/>
                <w:szCs w:val="21"/>
              </w:rPr>
            </w:pPr>
          </w:p>
        </w:tc>
        <w:tc>
          <w:tcPr>
            <w:tcW w:w="2127" w:type="dxa"/>
            <w:tcBorders>
              <w:tl2br w:val="nil"/>
              <w:tr2bl w:val="nil"/>
            </w:tcBorders>
            <w:vAlign w:val="center"/>
          </w:tcPr>
          <w:p>
            <w:pPr>
              <w:widowControl/>
              <w:spacing w:line="320" w:lineRule="exact"/>
              <w:jc w:val="center"/>
              <w:rPr>
                <w:rFonts w:eastAsia="仿宋"/>
                <w:szCs w:val="21"/>
              </w:rPr>
            </w:pPr>
            <w:r>
              <w:rPr>
                <w:rFonts w:hint="eastAsia" w:eastAsia="仿宋"/>
                <w:bCs/>
                <w:szCs w:val="21"/>
              </w:rPr>
              <w:t>沈渎桥</w:t>
            </w:r>
          </w:p>
        </w:tc>
        <w:tc>
          <w:tcPr>
            <w:tcW w:w="1784" w:type="dxa"/>
            <w:tcBorders>
              <w:tl2br w:val="nil"/>
              <w:tr2bl w:val="nil"/>
            </w:tcBorders>
            <w:vAlign w:val="center"/>
          </w:tcPr>
          <w:p>
            <w:pPr>
              <w:jc w:val="center"/>
              <w:rPr>
                <w:rFonts w:eastAsia="仿宋"/>
                <w:szCs w:val="21"/>
              </w:rPr>
            </w:pPr>
            <w:r>
              <w:rPr>
                <w:rFonts w:hint="eastAsia" w:eastAsia="仿宋"/>
                <w:szCs w:val="21"/>
              </w:rPr>
              <w:t>/</w:t>
            </w:r>
          </w:p>
        </w:tc>
        <w:tc>
          <w:tcPr>
            <w:tcW w:w="2092" w:type="dxa"/>
            <w:tcBorders>
              <w:tl2br w:val="nil"/>
              <w:tr2bl w:val="nil"/>
            </w:tcBorders>
            <w:vAlign w:val="center"/>
          </w:tcPr>
          <w:p>
            <w:pPr>
              <w:jc w:val="center"/>
              <w:rPr>
                <w:rFonts w:eastAsia="仿宋"/>
                <w:szCs w:val="21"/>
              </w:rPr>
            </w:pPr>
            <w:r>
              <w:rPr>
                <w:rFonts w:hint="eastAsia" w:eastAsia="仿宋"/>
                <w:szCs w:val="21"/>
              </w:rPr>
              <w:t>/</w:t>
            </w:r>
          </w:p>
        </w:tc>
        <w:tc>
          <w:tcPr>
            <w:tcW w:w="1977" w:type="dxa"/>
            <w:tcBorders>
              <w:tl2br w:val="nil"/>
              <w:tr2bl w:val="nil"/>
            </w:tcBorders>
            <w:vAlign w:val="center"/>
          </w:tcPr>
          <w:p>
            <w:pPr>
              <w:jc w:val="center"/>
              <w:rPr>
                <w:rFonts w:eastAsia="仿宋_GB2312"/>
                <w:szCs w:val="21"/>
              </w:rPr>
            </w:pPr>
            <w:r>
              <w:rPr>
                <w:rFonts w:hint="eastAsia" w:eastAsia="仿宋_GB2312"/>
                <w:szCs w:val="21"/>
              </w:rPr>
              <w:t>20.900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0" w:hRule="atLeast"/>
          <w:jc w:val="center"/>
        </w:trPr>
        <w:tc>
          <w:tcPr>
            <w:tcW w:w="1119" w:type="dxa"/>
            <w:vMerge w:val="continue"/>
            <w:tcBorders>
              <w:tl2br w:val="nil"/>
              <w:tr2bl w:val="nil"/>
            </w:tcBorders>
            <w:vAlign w:val="center"/>
          </w:tcPr>
          <w:p>
            <w:pPr>
              <w:jc w:val="center"/>
              <w:rPr>
                <w:rFonts w:eastAsia="仿宋"/>
                <w:szCs w:val="21"/>
              </w:rPr>
            </w:pPr>
          </w:p>
        </w:tc>
        <w:tc>
          <w:tcPr>
            <w:tcW w:w="2127" w:type="dxa"/>
            <w:tcBorders>
              <w:tl2br w:val="nil"/>
              <w:tr2bl w:val="nil"/>
            </w:tcBorders>
            <w:vAlign w:val="center"/>
          </w:tcPr>
          <w:p>
            <w:pPr>
              <w:widowControl/>
              <w:spacing w:line="320" w:lineRule="exact"/>
              <w:jc w:val="center"/>
              <w:rPr>
                <w:rFonts w:eastAsia="仿宋"/>
                <w:szCs w:val="21"/>
              </w:rPr>
            </w:pPr>
            <w:r>
              <w:rPr>
                <w:rFonts w:hint="eastAsia" w:eastAsia="仿宋"/>
                <w:bCs/>
                <w:szCs w:val="21"/>
              </w:rPr>
              <w:t>新庄村</w:t>
            </w:r>
          </w:p>
        </w:tc>
        <w:tc>
          <w:tcPr>
            <w:tcW w:w="1784" w:type="dxa"/>
            <w:tcBorders>
              <w:tl2br w:val="nil"/>
              <w:tr2bl w:val="nil"/>
            </w:tcBorders>
            <w:vAlign w:val="center"/>
          </w:tcPr>
          <w:p>
            <w:pPr>
              <w:jc w:val="center"/>
              <w:rPr>
                <w:rFonts w:eastAsia="仿宋"/>
                <w:szCs w:val="21"/>
              </w:rPr>
            </w:pPr>
            <w:r>
              <w:rPr>
                <w:rFonts w:hint="eastAsia" w:eastAsia="仿宋"/>
                <w:szCs w:val="21"/>
              </w:rPr>
              <w:t>/</w:t>
            </w:r>
          </w:p>
        </w:tc>
        <w:tc>
          <w:tcPr>
            <w:tcW w:w="2092" w:type="dxa"/>
            <w:tcBorders>
              <w:tl2br w:val="nil"/>
              <w:tr2bl w:val="nil"/>
            </w:tcBorders>
            <w:vAlign w:val="center"/>
          </w:tcPr>
          <w:p>
            <w:pPr>
              <w:jc w:val="center"/>
              <w:rPr>
                <w:rFonts w:eastAsia="仿宋"/>
                <w:szCs w:val="21"/>
              </w:rPr>
            </w:pPr>
            <w:r>
              <w:rPr>
                <w:rFonts w:hint="eastAsia" w:eastAsia="仿宋"/>
                <w:szCs w:val="21"/>
              </w:rPr>
              <w:t>/</w:t>
            </w:r>
          </w:p>
        </w:tc>
        <w:tc>
          <w:tcPr>
            <w:tcW w:w="1977" w:type="dxa"/>
            <w:tcBorders>
              <w:tl2br w:val="nil"/>
              <w:tr2bl w:val="nil"/>
            </w:tcBorders>
            <w:vAlign w:val="center"/>
          </w:tcPr>
          <w:p>
            <w:pPr>
              <w:jc w:val="center"/>
              <w:rPr>
                <w:rFonts w:eastAsia="仿宋"/>
                <w:szCs w:val="21"/>
              </w:rPr>
            </w:pPr>
            <w:r>
              <w:rPr>
                <w:rFonts w:hint="eastAsia" w:eastAsia="仿宋_GB2312"/>
                <w:szCs w:val="21"/>
              </w:rPr>
              <w:t>16.214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0" w:hRule="atLeast"/>
          <w:jc w:val="center"/>
        </w:trPr>
        <w:tc>
          <w:tcPr>
            <w:tcW w:w="1119" w:type="dxa"/>
            <w:vMerge w:val="continue"/>
            <w:tcBorders>
              <w:tl2br w:val="nil"/>
              <w:tr2bl w:val="nil"/>
            </w:tcBorders>
            <w:vAlign w:val="center"/>
          </w:tcPr>
          <w:p>
            <w:pPr>
              <w:jc w:val="center"/>
              <w:rPr>
                <w:rFonts w:eastAsia="仿宋"/>
                <w:szCs w:val="21"/>
              </w:rPr>
            </w:pPr>
          </w:p>
        </w:tc>
        <w:tc>
          <w:tcPr>
            <w:tcW w:w="2127" w:type="dxa"/>
            <w:tcBorders>
              <w:tl2br w:val="nil"/>
              <w:tr2bl w:val="nil"/>
            </w:tcBorders>
            <w:vAlign w:val="center"/>
          </w:tcPr>
          <w:p>
            <w:pPr>
              <w:widowControl/>
              <w:spacing w:line="320" w:lineRule="exact"/>
              <w:jc w:val="center"/>
              <w:rPr>
                <w:rFonts w:eastAsia="仿宋"/>
                <w:szCs w:val="21"/>
              </w:rPr>
            </w:pPr>
            <w:r>
              <w:rPr>
                <w:rFonts w:hint="eastAsia" w:eastAsia="仿宋"/>
                <w:bCs/>
                <w:szCs w:val="21"/>
              </w:rPr>
              <w:t>午干</w:t>
            </w:r>
          </w:p>
        </w:tc>
        <w:tc>
          <w:tcPr>
            <w:tcW w:w="1784" w:type="dxa"/>
            <w:tcBorders>
              <w:tl2br w:val="nil"/>
              <w:tr2bl w:val="nil"/>
            </w:tcBorders>
            <w:vAlign w:val="center"/>
          </w:tcPr>
          <w:p>
            <w:pPr>
              <w:jc w:val="center"/>
              <w:rPr>
                <w:rFonts w:eastAsia="仿宋"/>
                <w:szCs w:val="21"/>
              </w:rPr>
            </w:pPr>
            <w:r>
              <w:rPr>
                <w:rFonts w:hint="eastAsia" w:eastAsia="仿宋"/>
                <w:szCs w:val="21"/>
              </w:rPr>
              <w:t>/</w:t>
            </w:r>
          </w:p>
        </w:tc>
        <w:tc>
          <w:tcPr>
            <w:tcW w:w="2092" w:type="dxa"/>
            <w:tcBorders>
              <w:tl2br w:val="nil"/>
              <w:tr2bl w:val="nil"/>
            </w:tcBorders>
            <w:vAlign w:val="center"/>
          </w:tcPr>
          <w:p>
            <w:pPr>
              <w:jc w:val="center"/>
              <w:rPr>
                <w:rFonts w:eastAsia="仿宋"/>
                <w:szCs w:val="21"/>
              </w:rPr>
            </w:pPr>
            <w:r>
              <w:rPr>
                <w:rFonts w:hint="eastAsia" w:eastAsia="仿宋"/>
                <w:szCs w:val="21"/>
              </w:rPr>
              <w:t>/</w:t>
            </w:r>
          </w:p>
        </w:tc>
        <w:tc>
          <w:tcPr>
            <w:tcW w:w="1977" w:type="dxa"/>
            <w:tcBorders>
              <w:tl2br w:val="nil"/>
              <w:tr2bl w:val="nil"/>
            </w:tcBorders>
            <w:vAlign w:val="center"/>
          </w:tcPr>
          <w:p>
            <w:pPr>
              <w:jc w:val="center"/>
              <w:rPr>
                <w:rFonts w:eastAsia="仿宋"/>
                <w:szCs w:val="21"/>
              </w:rPr>
            </w:pPr>
            <w:r>
              <w:rPr>
                <w:rFonts w:hint="eastAsia" w:eastAsia="仿宋_GB2312"/>
                <w:szCs w:val="21"/>
              </w:rPr>
              <w:t>15.53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0" w:hRule="atLeast"/>
          <w:jc w:val="center"/>
        </w:trPr>
        <w:tc>
          <w:tcPr>
            <w:tcW w:w="1119" w:type="dxa"/>
            <w:vMerge w:val="continue"/>
            <w:tcBorders>
              <w:tl2br w:val="nil"/>
              <w:tr2bl w:val="nil"/>
            </w:tcBorders>
            <w:vAlign w:val="center"/>
          </w:tcPr>
          <w:p>
            <w:pPr>
              <w:jc w:val="center"/>
              <w:rPr>
                <w:rFonts w:eastAsia="仿宋"/>
                <w:szCs w:val="21"/>
              </w:rPr>
            </w:pPr>
          </w:p>
        </w:tc>
        <w:tc>
          <w:tcPr>
            <w:tcW w:w="2127" w:type="dxa"/>
            <w:tcBorders>
              <w:tl2br w:val="nil"/>
              <w:tr2bl w:val="nil"/>
            </w:tcBorders>
            <w:vAlign w:val="center"/>
          </w:tcPr>
          <w:p>
            <w:pPr>
              <w:widowControl/>
              <w:spacing w:line="320" w:lineRule="exact"/>
              <w:jc w:val="center"/>
              <w:rPr>
                <w:rFonts w:eastAsia="仿宋"/>
                <w:szCs w:val="21"/>
              </w:rPr>
            </w:pPr>
            <w:r>
              <w:rPr>
                <w:rFonts w:hint="eastAsia" w:eastAsia="仿宋"/>
                <w:bCs/>
                <w:szCs w:val="21"/>
              </w:rPr>
              <w:t>思模村</w:t>
            </w:r>
          </w:p>
        </w:tc>
        <w:tc>
          <w:tcPr>
            <w:tcW w:w="1784" w:type="dxa"/>
            <w:tcBorders>
              <w:tl2br w:val="nil"/>
              <w:tr2bl w:val="nil"/>
            </w:tcBorders>
            <w:vAlign w:val="center"/>
          </w:tcPr>
          <w:p>
            <w:pPr>
              <w:jc w:val="center"/>
              <w:rPr>
                <w:rFonts w:eastAsia="仿宋"/>
                <w:szCs w:val="21"/>
              </w:rPr>
            </w:pPr>
            <w:r>
              <w:rPr>
                <w:rFonts w:hint="eastAsia" w:eastAsia="仿宋"/>
                <w:szCs w:val="21"/>
              </w:rPr>
              <w:t>/</w:t>
            </w:r>
          </w:p>
        </w:tc>
        <w:tc>
          <w:tcPr>
            <w:tcW w:w="2092" w:type="dxa"/>
            <w:tcBorders>
              <w:tl2br w:val="nil"/>
              <w:tr2bl w:val="nil"/>
            </w:tcBorders>
            <w:vAlign w:val="center"/>
          </w:tcPr>
          <w:p>
            <w:pPr>
              <w:jc w:val="center"/>
              <w:rPr>
                <w:rFonts w:eastAsia="仿宋"/>
                <w:szCs w:val="21"/>
              </w:rPr>
            </w:pPr>
            <w:r>
              <w:rPr>
                <w:rFonts w:hint="eastAsia" w:eastAsia="仿宋"/>
                <w:szCs w:val="21"/>
              </w:rPr>
              <w:t>/</w:t>
            </w:r>
          </w:p>
        </w:tc>
        <w:tc>
          <w:tcPr>
            <w:tcW w:w="1977" w:type="dxa"/>
            <w:tcBorders>
              <w:tl2br w:val="nil"/>
              <w:tr2bl w:val="nil"/>
            </w:tcBorders>
            <w:vAlign w:val="center"/>
          </w:tcPr>
          <w:p>
            <w:pPr>
              <w:jc w:val="center"/>
              <w:rPr>
                <w:rFonts w:eastAsia="仿宋_GB2312"/>
                <w:szCs w:val="21"/>
              </w:rPr>
            </w:pPr>
            <w:r>
              <w:rPr>
                <w:rFonts w:hint="eastAsia" w:eastAsia="仿宋_GB2312"/>
                <w:szCs w:val="21"/>
              </w:rPr>
              <w:t>10.121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0" w:hRule="atLeast"/>
          <w:jc w:val="center"/>
        </w:trPr>
        <w:tc>
          <w:tcPr>
            <w:tcW w:w="1119" w:type="dxa"/>
            <w:vMerge w:val="restart"/>
            <w:tcBorders>
              <w:tl2br w:val="nil"/>
              <w:tr2bl w:val="nil"/>
            </w:tcBorders>
            <w:vAlign w:val="center"/>
          </w:tcPr>
          <w:p>
            <w:pPr>
              <w:jc w:val="center"/>
              <w:rPr>
                <w:rFonts w:eastAsia="仿宋"/>
                <w:szCs w:val="21"/>
              </w:rPr>
            </w:pPr>
            <w:r>
              <w:rPr>
                <w:rFonts w:eastAsia="仿宋"/>
                <w:szCs w:val="21"/>
              </w:rPr>
              <w:t>CO（火灾伴生/次生）</w:t>
            </w:r>
          </w:p>
        </w:tc>
        <w:tc>
          <w:tcPr>
            <w:tcW w:w="2127" w:type="dxa"/>
            <w:tcBorders>
              <w:tl2br w:val="nil"/>
              <w:tr2bl w:val="nil"/>
            </w:tcBorders>
            <w:vAlign w:val="center"/>
          </w:tcPr>
          <w:p>
            <w:pPr>
              <w:jc w:val="center"/>
              <w:rPr>
                <w:rFonts w:eastAsia="仿宋"/>
                <w:szCs w:val="21"/>
              </w:rPr>
            </w:pPr>
            <w:r>
              <w:rPr>
                <w:rFonts w:eastAsia="仿宋"/>
                <w:szCs w:val="21"/>
              </w:rPr>
              <w:t>指标</w:t>
            </w:r>
          </w:p>
        </w:tc>
        <w:tc>
          <w:tcPr>
            <w:tcW w:w="1784" w:type="dxa"/>
            <w:tcBorders>
              <w:tl2br w:val="nil"/>
              <w:tr2bl w:val="nil"/>
            </w:tcBorders>
            <w:vAlign w:val="center"/>
          </w:tcPr>
          <w:p>
            <w:pPr>
              <w:jc w:val="center"/>
              <w:rPr>
                <w:rFonts w:eastAsia="仿宋"/>
                <w:szCs w:val="21"/>
              </w:rPr>
            </w:pPr>
            <w:r>
              <w:rPr>
                <w:rFonts w:eastAsia="仿宋"/>
                <w:szCs w:val="21"/>
              </w:rPr>
              <w:t>浓度值（mg/m</w:t>
            </w:r>
            <w:r>
              <w:rPr>
                <w:rFonts w:eastAsia="仿宋"/>
                <w:szCs w:val="21"/>
                <w:vertAlign w:val="superscript"/>
              </w:rPr>
              <w:t>3</w:t>
            </w:r>
            <w:r>
              <w:rPr>
                <w:rFonts w:eastAsia="仿宋"/>
                <w:szCs w:val="21"/>
              </w:rPr>
              <w:t>）</w:t>
            </w:r>
          </w:p>
        </w:tc>
        <w:tc>
          <w:tcPr>
            <w:tcW w:w="2092" w:type="dxa"/>
            <w:tcBorders>
              <w:tl2br w:val="nil"/>
              <w:tr2bl w:val="nil"/>
            </w:tcBorders>
            <w:vAlign w:val="center"/>
          </w:tcPr>
          <w:p>
            <w:pPr>
              <w:jc w:val="center"/>
              <w:rPr>
                <w:rFonts w:eastAsia="仿宋"/>
                <w:szCs w:val="21"/>
              </w:rPr>
            </w:pPr>
            <w:r>
              <w:rPr>
                <w:rFonts w:eastAsia="仿宋"/>
                <w:szCs w:val="21"/>
              </w:rPr>
              <w:t>最远影响距离（m）</w:t>
            </w:r>
          </w:p>
        </w:tc>
        <w:tc>
          <w:tcPr>
            <w:tcW w:w="1977" w:type="dxa"/>
            <w:tcBorders>
              <w:tl2br w:val="nil"/>
              <w:tr2bl w:val="nil"/>
            </w:tcBorders>
            <w:vAlign w:val="center"/>
          </w:tcPr>
          <w:p>
            <w:pPr>
              <w:jc w:val="center"/>
              <w:rPr>
                <w:rFonts w:eastAsia="仿宋"/>
                <w:szCs w:val="21"/>
              </w:rPr>
            </w:pPr>
            <w:r>
              <w:rPr>
                <w:rFonts w:eastAsia="仿宋"/>
                <w:szCs w:val="21"/>
              </w:rPr>
              <w:t>到达时间（min）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0" w:hRule="atLeast"/>
          <w:jc w:val="center"/>
        </w:trPr>
        <w:tc>
          <w:tcPr>
            <w:tcW w:w="1119" w:type="dxa"/>
            <w:vMerge w:val="continue"/>
            <w:tcBorders>
              <w:tl2br w:val="nil"/>
              <w:tr2bl w:val="nil"/>
            </w:tcBorders>
            <w:vAlign w:val="center"/>
          </w:tcPr>
          <w:p>
            <w:pPr>
              <w:jc w:val="center"/>
              <w:rPr>
                <w:rFonts w:eastAsia="仿宋"/>
                <w:szCs w:val="21"/>
              </w:rPr>
            </w:pPr>
          </w:p>
        </w:tc>
        <w:tc>
          <w:tcPr>
            <w:tcW w:w="2127" w:type="dxa"/>
            <w:tcBorders>
              <w:tl2br w:val="nil"/>
              <w:tr2bl w:val="nil"/>
            </w:tcBorders>
            <w:vAlign w:val="center"/>
          </w:tcPr>
          <w:p>
            <w:pPr>
              <w:jc w:val="center"/>
              <w:rPr>
                <w:rFonts w:eastAsia="仿宋"/>
                <w:szCs w:val="21"/>
              </w:rPr>
            </w:pPr>
            <w:r>
              <w:rPr>
                <w:rFonts w:eastAsia="仿宋"/>
                <w:szCs w:val="21"/>
              </w:rPr>
              <w:t>大气毒性终点浓度-1</w:t>
            </w:r>
          </w:p>
        </w:tc>
        <w:tc>
          <w:tcPr>
            <w:tcW w:w="1784" w:type="dxa"/>
            <w:tcBorders>
              <w:tl2br w:val="nil"/>
              <w:tr2bl w:val="nil"/>
            </w:tcBorders>
            <w:vAlign w:val="center"/>
          </w:tcPr>
          <w:p>
            <w:pPr>
              <w:jc w:val="center"/>
              <w:rPr>
                <w:rFonts w:eastAsia="仿宋"/>
                <w:szCs w:val="21"/>
              </w:rPr>
            </w:pPr>
            <w:r>
              <w:rPr>
                <w:rFonts w:hint="eastAsia" w:ascii="仿宋" w:hAnsi="仿宋" w:eastAsia="仿宋"/>
                <w:bCs/>
              </w:rPr>
              <w:t>380</w:t>
            </w:r>
          </w:p>
        </w:tc>
        <w:tc>
          <w:tcPr>
            <w:tcW w:w="2092" w:type="dxa"/>
            <w:tcBorders>
              <w:tl2br w:val="nil"/>
              <w:tr2bl w:val="nil"/>
            </w:tcBorders>
            <w:vAlign w:val="center"/>
          </w:tcPr>
          <w:p>
            <w:pPr>
              <w:jc w:val="center"/>
              <w:rPr>
                <w:rFonts w:eastAsia="仿宋"/>
                <w:szCs w:val="21"/>
              </w:rPr>
            </w:pPr>
            <w:r>
              <w:rPr>
                <w:rFonts w:hint="eastAsia" w:eastAsia="仿宋"/>
                <w:szCs w:val="21"/>
              </w:rPr>
              <w:t>40</w:t>
            </w:r>
          </w:p>
        </w:tc>
        <w:tc>
          <w:tcPr>
            <w:tcW w:w="1977" w:type="dxa"/>
            <w:tcBorders>
              <w:tl2br w:val="nil"/>
              <w:tr2bl w:val="nil"/>
            </w:tcBorders>
            <w:vAlign w:val="center"/>
          </w:tcPr>
          <w:p>
            <w:pPr>
              <w:jc w:val="center"/>
              <w:rPr>
                <w:rFonts w:eastAsia="仿宋"/>
                <w:szCs w:val="21"/>
              </w:rPr>
            </w:pPr>
            <w:r>
              <w:rPr>
                <w:rFonts w:hint="eastAsia" w:eastAsia="仿宋"/>
                <w:szCs w:val="21"/>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0" w:hRule="atLeast"/>
          <w:jc w:val="center"/>
        </w:trPr>
        <w:tc>
          <w:tcPr>
            <w:tcW w:w="1119" w:type="dxa"/>
            <w:vMerge w:val="continue"/>
            <w:tcBorders>
              <w:tl2br w:val="nil"/>
              <w:tr2bl w:val="nil"/>
            </w:tcBorders>
            <w:vAlign w:val="center"/>
          </w:tcPr>
          <w:p>
            <w:pPr>
              <w:jc w:val="center"/>
              <w:rPr>
                <w:rFonts w:eastAsia="仿宋"/>
                <w:szCs w:val="21"/>
              </w:rPr>
            </w:pPr>
          </w:p>
        </w:tc>
        <w:tc>
          <w:tcPr>
            <w:tcW w:w="2127" w:type="dxa"/>
            <w:tcBorders>
              <w:tl2br w:val="nil"/>
              <w:tr2bl w:val="nil"/>
            </w:tcBorders>
            <w:vAlign w:val="center"/>
          </w:tcPr>
          <w:p>
            <w:pPr>
              <w:jc w:val="center"/>
              <w:rPr>
                <w:rFonts w:eastAsia="仿宋"/>
                <w:szCs w:val="21"/>
              </w:rPr>
            </w:pPr>
            <w:r>
              <w:rPr>
                <w:rFonts w:eastAsia="仿宋"/>
                <w:szCs w:val="21"/>
              </w:rPr>
              <w:t>大气毒性终点浓度-2</w:t>
            </w:r>
          </w:p>
        </w:tc>
        <w:tc>
          <w:tcPr>
            <w:tcW w:w="1784" w:type="dxa"/>
            <w:tcBorders>
              <w:tl2br w:val="nil"/>
              <w:tr2bl w:val="nil"/>
            </w:tcBorders>
            <w:vAlign w:val="center"/>
          </w:tcPr>
          <w:p>
            <w:pPr>
              <w:jc w:val="center"/>
              <w:rPr>
                <w:rFonts w:eastAsia="仿宋"/>
                <w:szCs w:val="21"/>
              </w:rPr>
            </w:pPr>
            <w:r>
              <w:rPr>
                <w:rFonts w:hint="eastAsia" w:ascii="仿宋" w:hAnsi="仿宋" w:eastAsia="仿宋"/>
                <w:bCs/>
              </w:rPr>
              <w:t>95</w:t>
            </w:r>
          </w:p>
        </w:tc>
        <w:tc>
          <w:tcPr>
            <w:tcW w:w="2092" w:type="dxa"/>
            <w:tcBorders>
              <w:tl2br w:val="nil"/>
              <w:tr2bl w:val="nil"/>
            </w:tcBorders>
            <w:vAlign w:val="center"/>
          </w:tcPr>
          <w:p>
            <w:pPr>
              <w:jc w:val="center"/>
              <w:rPr>
                <w:rFonts w:eastAsia="仿宋"/>
                <w:szCs w:val="21"/>
              </w:rPr>
            </w:pPr>
            <w:r>
              <w:rPr>
                <w:rFonts w:hint="eastAsia" w:eastAsia="仿宋"/>
                <w:szCs w:val="21"/>
              </w:rPr>
              <w:t>100</w:t>
            </w:r>
          </w:p>
        </w:tc>
        <w:tc>
          <w:tcPr>
            <w:tcW w:w="1977" w:type="dxa"/>
            <w:tcBorders>
              <w:tl2br w:val="nil"/>
              <w:tr2bl w:val="nil"/>
            </w:tcBorders>
            <w:vAlign w:val="center"/>
          </w:tcPr>
          <w:p>
            <w:pPr>
              <w:jc w:val="center"/>
              <w:rPr>
                <w:rFonts w:eastAsia="仿宋"/>
                <w:szCs w:val="21"/>
              </w:rPr>
            </w:pPr>
            <w:r>
              <w:rPr>
                <w:rFonts w:hint="eastAsia" w:eastAsia="仿宋"/>
                <w:szCs w:val="21"/>
              </w:rPr>
              <w: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0" w:hRule="atLeast"/>
          <w:jc w:val="center"/>
        </w:trPr>
        <w:tc>
          <w:tcPr>
            <w:tcW w:w="1119" w:type="dxa"/>
            <w:vMerge w:val="continue"/>
            <w:tcBorders>
              <w:tl2br w:val="nil"/>
              <w:tr2bl w:val="nil"/>
            </w:tcBorders>
            <w:vAlign w:val="center"/>
          </w:tcPr>
          <w:p>
            <w:pPr>
              <w:jc w:val="center"/>
              <w:rPr>
                <w:rFonts w:eastAsia="仿宋"/>
                <w:szCs w:val="21"/>
              </w:rPr>
            </w:pPr>
          </w:p>
        </w:tc>
        <w:tc>
          <w:tcPr>
            <w:tcW w:w="2127" w:type="dxa"/>
            <w:tcBorders>
              <w:tl2br w:val="nil"/>
              <w:tr2bl w:val="nil"/>
            </w:tcBorders>
            <w:vAlign w:val="center"/>
          </w:tcPr>
          <w:p>
            <w:pPr>
              <w:jc w:val="center"/>
              <w:rPr>
                <w:rFonts w:eastAsia="仿宋"/>
                <w:szCs w:val="21"/>
              </w:rPr>
            </w:pPr>
            <w:r>
              <w:rPr>
                <w:rFonts w:eastAsia="仿宋"/>
                <w:szCs w:val="21"/>
              </w:rPr>
              <w:t>敏感目标名称</w:t>
            </w:r>
          </w:p>
        </w:tc>
        <w:tc>
          <w:tcPr>
            <w:tcW w:w="1784" w:type="dxa"/>
            <w:tcBorders>
              <w:tl2br w:val="nil"/>
              <w:tr2bl w:val="nil"/>
            </w:tcBorders>
            <w:vAlign w:val="center"/>
          </w:tcPr>
          <w:p>
            <w:pPr>
              <w:jc w:val="center"/>
              <w:rPr>
                <w:rFonts w:eastAsia="仿宋"/>
                <w:szCs w:val="21"/>
              </w:rPr>
            </w:pPr>
            <w:r>
              <w:rPr>
                <w:rFonts w:eastAsia="仿宋"/>
                <w:szCs w:val="21"/>
              </w:rPr>
              <w:t>超标时间（min）</w:t>
            </w:r>
          </w:p>
        </w:tc>
        <w:tc>
          <w:tcPr>
            <w:tcW w:w="2092" w:type="dxa"/>
            <w:tcBorders>
              <w:tl2br w:val="nil"/>
              <w:tr2bl w:val="nil"/>
            </w:tcBorders>
            <w:vAlign w:val="center"/>
          </w:tcPr>
          <w:p>
            <w:pPr>
              <w:jc w:val="center"/>
              <w:rPr>
                <w:rFonts w:eastAsia="仿宋"/>
                <w:szCs w:val="21"/>
              </w:rPr>
            </w:pPr>
            <w:r>
              <w:rPr>
                <w:rFonts w:eastAsia="仿宋"/>
                <w:szCs w:val="21"/>
              </w:rPr>
              <w:t>超标持续时间（min）</w:t>
            </w:r>
          </w:p>
        </w:tc>
        <w:tc>
          <w:tcPr>
            <w:tcW w:w="1977" w:type="dxa"/>
            <w:tcBorders>
              <w:tl2br w:val="nil"/>
              <w:tr2bl w:val="nil"/>
            </w:tcBorders>
            <w:vAlign w:val="center"/>
          </w:tcPr>
          <w:p>
            <w:pPr>
              <w:jc w:val="center"/>
              <w:rPr>
                <w:rFonts w:eastAsia="仿宋"/>
                <w:szCs w:val="21"/>
              </w:rPr>
            </w:pPr>
            <w:r>
              <w:rPr>
                <w:rFonts w:eastAsia="仿宋"/>
                <w:szCs w:val="21"/>
              </w:rPr>
              <w:t>最大浓度（mg/m</w:t>
            </w:r>
            <w:r>
              <w:rPr>
                <w:rFonts w:eastAsia="仿宋"/>
                <w:szCs w:val="21"/>
                <w:vertAlign w:val="superscript"/>
              </w:rPr>
              <w:t>3</w:t>
            </w:r>
            <w:r>
              <w:rPr>
                <w:rFonts w:eastAsia="仿宋"/>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0" w:hRule="atLeast"/>
          <w:jc w:val="center"/>
        </w:trPr>
        <w:tc>
          <w:tcPr>
            <w:tcW w:w="1119" w:type="dxa"/>
            <w:vMerge w:val="continue"/>
            <w:tcBorders>
              <w:tl2br w:val="nil"/>
              <w:tr2bl w:val="nil"/>
            </w:tcBorders>
            <w:vAlign w:val="center"/>
          </w:tcPr>
          <w:p>
            <w:pPr>
              <w:jc w:val="center"/>
              <w:rPr>
                <w:rFonts w:eastAsia="仿宋"/>
                <w:szCs w:val="21"/>
              </w:rPr>
            </w:pPr>
          </w:p>
        </w:tc>
        <w:tc>
          <w:tcPr>
            <w:tcW w:w="2127" w:type="dxa"/>
            <w:tcBorders>
              <w:tl2br w:val="nil"/>
              <w:tr2bl w:val="nil"/>
            </w:tcBorders>
            <w:vAlign w:val="center"/>
          </w:tcPr>
          <w:p>
            <w:pPr>
              <w:widowControl/>
              <w:spacing w:line="320" w:lineRule="exact"/>
              <w:jc w:val="center"/>
              <w:rPr>
                <w:rFonts w:eastAsia="仿宋"/>
                <w:szCs w:val="21"/>
              </w:rPr>
            </w:pPr>
            <w:r>
              <w:rPr>
                <w:rFonts w:hint="eastAsia" w:eastAsia="仿宋"/>
                <w:bCs/>
                <w:szCs w:val="21"/>
              </w:rPr>
              <w:t>元巷小区</w:t>
            </w:r>
          </w:p>
        </w:tc>
        <w:tc>
          <w:tcPr>
            <w:tcW w:w="1784" w:type="dxa"/>
            <w:tcBorders>
              <w:tl2br w:val="nil"/>
              <w:tr2bl w:val="nil"/>
            </w:tcBorders>
            <w:vAlign w:val="center"/>
          </w:tcPr>
          <w:p>
            <w:pPr>
              <w:jc w:val="center"/>
              <w:rPr>
                <w:rFonts w:eastAsia="仿宋"/>
                <w:szCs w:val="21"/>
              </w:rPr>
            </w:pPr>
            <w:r>
              <w:rPr>
                <w:rFonts w:hint="eastAsia" w:eastAsia="仿宋"/>
                <w:szCs w:val="21"/>
              </w:rPr>
              <w:t>/</w:t>
            </w:r>
          </w:p>
        </w:tc>
        <w:tc>
          <w:tcPr>
            <w:tcW w:w="2092" w:type="dxa"/>
            <w:tcBorders>
              <w:tl2br w:val="nil"/>
              <w:tr2bl w:val="nil"/>
            </w:tcBorders>
            <w:vAlign w:val="center"/>
          </w:tcPr>
          <w:p>
            <w:pPr>
              <w:jc w:val="center"/>
              <w:rPr>
                <w:rFonts w:eastAsia="仿宋"/>
                <w:szCs w:val="21"/>
              </w:rPr>
            </w:pPr>
            <w:r>
              <w:rPr>
                <w:rFonts w:hint="eastAsia" w:eastAsia="仿宋"/>
                <w:szCs w:val="21"/>
              </w:rPr>
              <w:t>/</w:t>
            </w:r>
          </w:p>
        </w:tc>
        <w:tc>
          <w:tcPr>
            <w:tcW w:w="1977" w:type="dxa"/>
            <w:tcBorders>
              <w:tl2br w:val="nil"/>
              <w:tr2bl w:val="nil"/>
            </w:tcBorders>
            <w:vAlign w:val="center"/>
          </w:tcPr>
          <w:p>
            <w:pPr>
              <w:jc w:val="center"/>
              <w:rPr>
                <w:rFonts w:eastAsia="仿宋"/>
                <w:szCs w:val="21"/>
              </w:rPr>
            </w:pPr>
            <w:r>
              <w:rPr>
                <w:rFonts w:hint="eastAsia" w:eastAsia="仿宋"/>
                <w:szCs w:val="21"/>
              </w:rPr>
              <w:t>19.264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0" w:hRule="atLeast"/>
          <w:jc w:val="center"/>
        </w:trPr>
        <w:tc>
          <w:tcPr>
            <w:tcW w:w="1119" w:type="dxa"/>
            <w:vMerge w:val="continue"/>
            <w:tcBorders>
              <w:tl2br w:val="nil"/>
              <w:tr2bl w:val="nil"/>
            </w:tcBorders>
            <w:vAlign w:val="center"/>
          </w:tcPr>
          <w:p>
            <w:pPr>
              <w:jc w:val="center"/>
              <w:rPr>
                <w:rFonts w:eastAsia="仿宋"/>
                <w:szCs w:val="21"/>
              </w:rPr>
            </w:pPr>
          </w:p>
        </w:tc>
        <w:tc>
          <w:tcPr>
            <w:tcW w:w="2127" w:type="dxa"/>
            <w:tcBorders>
              <w:tl2br w:val="nil"/>
              <w:tr2bl w:val="nil"/>
            </w:tcBorders>
            <w:vAlign w:val="center"/>
          </w:tcPr>
          <w:p>
            <w:pPr>
              <w:widowControl/>
              <w:spacing w:line="320" w:lineRule="exact"/>
              <w:jc w:val="center"/>
              <w:rPr>
                <w:rFonts w:eastAsia="仿宋"/>
                <w:szCs w:val="21"/>
              </w:rPr>
            </w:pPr>
            <w:r>
              <w:rPr>
                <w:rFonts w:hint="eastAsia" w:eastAsia="仿宋"/>
                <w:bCs/>
                <w:szCs w:val="21"/>
              </w:rPr>
              <w:t>金城镇中心幼儿园</w:t>
            </w:r>
          </w:p>
        </w:tc>
        <w:tc>
          <w:tcPr>
            <w:tcW w:w="1784" w:type="dxa"/>
            <w:tcBorders>
              <w:tl2br w:val="nil"/>
              <w:tr2bl w:val="nil"/>
            </w:tcBorders>
            <w:vAlign w:val="center"/>
          </w:tcPr>
          <w:p>
            <w:pPr>
              <w:jc w:val="center"/>
              <w:rPr>
                <w:rFonts w:eastAsia="仿宋"/>
                <w:szCs w:val="21"/>
              </w:rPr>
            </w:pPr>
            <w:r>
              <w:rPr>
                <w:rFonts w:hint="eastAsia" w:eastAsia="仿宋"/>
                <w:szCs w:val="21"/>
              </w:rPr>
              <w:t>/</w:t>
            </w:r>
          </w:p>
        </w:tc>
        <w:tc>
          <w:tcPr>
            <w:tcW w:w="2092" w:type="dxa"/>
            <w:tcBorders>
              <w:tl2br w:val="nil"/>
              <w:tr2bl w:val="nil"/>
            </w:tcBorders>
            <w:vAlign w:val="center"/>
          </w:tcPr>
          <w:p>
            <w:pPr>
              <w:jc w:val="center"/>
              <w:rPr>
                <w:rFonts w:eastAsia="仿宋"/>
                <w:szCs w:val="21"/>
              </w:rPr>
            </w:pPr>
            <w:r>
              <w:rPr>
                <w:rFonts w:hint="eastAsia" w:eastAsia="仿宋"/>
                <w:szCs w:val="21"/>
              </w:rPr>
              <w:t>/</w:t>
            </w:r>
          </w:p>
        </w:tc>
        <w:tc>
          <w:tcPr>
            <w:tcW w:w="1977" w:type="dxa"/>
            <w:tcBorders>
              <w:tl2br w:val="nil"/>
              <w:tr2bl w:val="nil"/>
            </w:tcBorders>
            <w:vAlign w:val="center"/>
          </w:tcPr>
          <w:p>
            <w:pPr>
              <w:jc w:val="center"/>
              <w:rPr>
                <w:rFonts w:eastAsia="仿宋"/>
                <w:szCs w:val="21"/>
              </w:rPr>
            </w:pPr>
            <w:r>
              <w:rPr>
                <w:rFonts w:hint="eastAsia" w:eastAsia="仿宋_GB2312"/>
                <w:szCs w:val="21"/>
              </w:rPr>
              <w:t>7.412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0" w:hRule="atLeast"/>
          <w:jc w:val="center"/>
        </w:trPr>
        <w:tc>
          <w:tcPr>
            <w:tcW w:w="1119" w:type="dxa"/>
            <w:vMerge w:val="continue"/>
            <w:tcBorders>
              <w:tl2br w:val="nil"/>
              <w:tr2bl w:val="nil"/>
            </w:tcBorders>
            <w:vAlign w:val="center"/>
          </w:tcPr>
          <w:p>
            <w:pPr>
              <w:jc w:val="center"/>
              <w:rPr>
                <w:rFonts w:eastAsia="仿宋"/>
                <w:szCs w:val="21"/>
              </w:rPr>
            </w:pPr>
          </w:p>
        </w:tc>
        <w:tc>
          <w:tcPr>
            <w:tcW w:w="2127" w:type="dxa"/>
            <w:tcBorders>
              <w:tl2br w:val="nil"/>
              <w:tr2bl w:val="nil"/>
            </w:tcBorders>
            <w:vAlign w:val="center"/>
          </w:tcPr>
          <w:p>
            <w:pPr>
              <w:widowControl/>
              <w:spacing w:line="320" w:lineRule="exact"/>
              <w:jc w:val="center"/>
              <w:rPr>
                <w:rFonts w:eastAsia="仿宋"/>
                <w:szCs w:val="21"/>
              </w:rPr>
            </w:pPr>
            <w:r>
              <w:rPr>
                <w:rFonts w:hint="eastAsia" w:eastAsia="仿宋"/>
                <w:bCs/>
                <w:szCs w:val="21"/>
              </w:rPr>
              <w:t>元巷新村</w:t>
            </w:r>
          </w:p>
        </w:tc>
        <w:tc>
          <w:tcPr>
            <w:tcW w:w="1784" w:type="dxa"/>
            <w:tcBorders>
              <w:tl2br w:val="nil"/>
              <w:tr2bl w:val="nil"/>
            </w:tcBorders>
            <w:vAlign w:val="center"/>
          </w:tcPr>
          <w:p>
            <w:pPr>
              <w:jc w:val="center"/>
              <w:rPr>
                <w:rFonts w:eastAsia="仿宋"/>
                <w:szCs w:val="21"/>
              </w:rPr>
            </w:pPr>
            <w:r>
              <w:rPr>
                <w:rFonts w:hint="eastAsia" w:eastAsia="仿宋"/>
                <w:szCs w:val="21"/>
              </w:rPr>
              <w:t>/</w:t>
            </w:r>
          </w:p>
        </w:tc>
        <w:tc>
          <w:tcPr>
            <w:tcW w:w="2092" w:type="dxa"/>
            <w:tcBorders>
              <w:tl2br w:val="nil"/>
              <w:tr2bl w:val="nil"/>
            </w:tcBorders>
            <w:vAlign w:val="center"/>
          </w:tcPr>
          <w:p>
            <w:pPr>
              <w:jc w:val="center"/>
              <w:rPr>
                <w:rFonts w:eastAsia="仿宋"/>
                <w:szCs w:val="21"/>
              </w:rPr>
            </w:pPr>
            <w:r>
              <w:rPr>
                <w:rFonts w:hint="eastAsia" w:eastAsia="仿宋"/>
                <w:szCs w:val="21"/>
              </w:rPr>
              <w:t>/</w:t>
            </w:r>
          </w:p>
        </w:tc>
        <w:tc>
          <w:tcPr>
            <w:tcW w:w="1977" w:type="dxa"/>
            <w:tcBorders>
              <w:tl2br w:val="nil"/>
              <w:tr2bl w:val="nil"/>
            </w:tcBorders>
            <w:vAlign w:val="center"/>
          </w:tcPr>
          <w:p>
            <w:pPr>
              <w:jc w:val="center"/>
              <w:rPr>
                <w:rFonts w:eastAsia="仿宋"/>
                <w:szCs w:val="21"/>
              </w:rPr>
            </w:pPr>
            <w:r>
              <w:rPr>
                <w:rFonts w:hint="eastAsia" w:eastAsia="仿宋"/>
                <w:szCs w:val="21"/>
              </w:rPr>
              <w:t>3.542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0" w:hRule="atLeast"/>
          <w:jc w:val="center"/>
        </w:trPr>
        <w:tc>
          <w:tcPr>
            <w:tcW w:w="1119" w:type="dxa"/>
            <w:vMerge w:val="continue"/>
            <w:tcBorders>
              <w:tl2br w:val="nil"/>
              <w:tr2bl w:val="nil"/>
            </w:tcBorders>
            <w:vAlign w:val="center"/>
          </w:tcPr>
          <w:p>
            <w:pPr>
              <w:jc w:val="center"/>
              <w:rPr>
                <w:rFonts w:eastAsia="仿宋"/>
                <w:szCs w:val="21"/>
              </w:rPr>
            </w:pPr>
          </w:p>
        </w:tc>
        <w:tc>
          <w:tcPr>
            <w:tcW w:w="2127" w:type="dxa"/>
            <w:tcBorders>
              <w:tl2br w:val="nil"/>
              <w:tr2bl w:val="nil"/>
            </w:tcBorders>
            <w:vAlign w:val="bottom"/>
          </w:tcPr>
          <w:p>
            <w:pPr>
              <w:widowControl/>
              <w:autoSpaceDE w:val="0"/>
              <w:autoSpaceDN w:val="0"/>
              <w:adjustRightInd w:val="0"/>
              <w:snapToGrid w:val="0"/>
              <w:jc w:val="center"/>
              <w:rPr>
                <w:rFonts w:eastAsia="仿宋"/>
                <w:szCs w:val="21"/>
              </w:rPr>
            </w:pPr>
            <w:r>
              <w:rPr>
                <w:rFonts w:hint="eastAsia" w:eastAsia="仿宋"/>
                <w:bCs/>
                <w:szCs w:val="21"/>
              </w:rPr>
              <w:t>唐庄</w:t>
            </w:r>
          </w:p>
        </w:tc>
        <w:tc>
          <w:tcPr>
            <w:tcW w:w="1784" w:type="dxa"/>
            <w:tcBorders>
              <w:tl2br w:val="nil"/>
              <w:tr2bl w:val="nil"/>
            </w:tcBorders>
            <w:vAlign w:val="center"/>
          </w:tcPr>
          <w:p>
            <w:pPr>
              <w:jc w:val="center"/>
              <w:rPr>
                <w:rFonts w:eastAsia="仿宋"/>
                <w:szCs w:val="21"/>
              </w:rPr>
            </w:pPr>
            <w:r>
              <w:rPr>
                <w:rFonts w:hint="eastAsia" w:eastAsia="仿宋"/>
                <w:szCs w:val="21"/>
              </w:rPr>
              <w:t>/</w:t>
            </w:r>
          </w:p>
        </w:tc>
        <w:tc>
          <w:tcPr>
            <w:tcW w:w="2092" w:type="dxa"/>
            <w:tcBorders>
              <w:tl2br w:val="nil"/>
              <w:tr2bl w:val="nil"/>
            </w:tcBorders>
            <w:vAlign w:val="center"/>
          </w:tcPr>
          <w:p>
            <w:pPr>
              <w:jc w:val="center"/>
              <w:rPr>
                <w:rFonts w:eastAsia="仿宋"/>
                <w:szCs w:val="21"/>
              </w:rPr>
            </w:pPr>
            <w:r>
              <w:rPr>
                <w:rFonts w:hint="eastAsia" w:eastAsia="仿宋"/>
                <w:szCs w:val="21"/>
              </w:rPr>
              <w:t>/</w:t>
            </w:r>
          </w:p>
        </w:tc>
        <w:tc>
          <w:tcPr>
            <w:tcW w:w="1977" w:type="dxa"/>
            <w:tcBorders>
              <w:tl2br w:val="nil"/>
              <w:tr2bl w:val="nil"/>
            </w:tcBorders>
            <w:vAlign w:val="center"/>
          </w:tcPr>
          <w:p>
            <w:pPr>
              <w:jc w:val="center"/>
              <w:rPr>
                <w:rFonts w:eastAsia="仿宋"/>
                <w:szCs w:val="21"/>
              </w:rPr>
            </w:pPr>
            <w:r>
              <w:rPr>
                <w:rFonts w:hint="eastAsia" w:eastAsia="仿宋"/>
                <w:szCs w:val="21"/>
              </w:rPr>
              <w:t>1.522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0" w:hRule="atLeast"/>
          <w:jc w:val="center"/>
        </w:trPr>
        <w:tc>
          <w:tcPr>
            <w:tcW w:w="1119" w:type="dxa"/>
            <w:vMerge w:val="continue"/>
            <w:tcBorders>
              <w:tl2br w:val="nil"/>
              <w:tr2bl w:val="nil"/>
            </w:tcBorders>
            <w:vAlign w:val="center"/>
          </w:tcPr>
          <w:p>
            <w:pPr>
              <w:jc w:val="center"/>
              <w:rPr>
                <w:rFonts w:eastAsia="仿宋"/>
                <w:szCs w:val="21"/>
              </w:rPr>
            </w:pPr>
          </w:p>
        </w:tc>
        <w:tc>
          <w:tcPr>
            <w:tcW w:w="2127" w:type="dxa"/>
            <w:tcBorders>
              <w:tl2br w:val="nil"/>
              <w:tr2bl w:val="nil"/>
            </w:tcBorders>
            <w:vAlign w:val="bottom"/>
          </w:tcPr>
          <w:p>
            <w:pPr>
              <w:widowControl/>
              <w:autoSpaceDE w:val="0"/>
              <w:autoSpaceDN w:val="0"/>
              <w:adjustRightInd w:val="0"/>
              <w:snapToGrid w:val="0"/>
              <w:jc w:val="center"/>
              <w:rPr>
                <w:rFonts w:eastAsia="仿宋"/>
                <w:szCs w:val="21"/>
              </w:rPr>
            </w:pPr>
            <w:r>
              <w:rPr>
                <w:rFonts w:hint="eastAsia" w:eastAsia="仿宋"/>
                <w:bCs/>
                <w:szCs w:val="21"/>
              </w:rPr>
              <w:t>宋庄</w:t>
            </w:r>
          </w:p>
        </w:tc>
        <w:tc>
          <w:tcPr>
            <w:tcW w:w="1784" w:type="dxa"/>
            <w:tcBorders>
              <w:tl2br w:val="nil"/>
              <w:tr2bl w:val="nil"/>
            </w:tcBorders>
            <w:vAlign w:val="center"/>
          </w:tcPr>
          <w:p>
            <w:pPr>
              <w:jc w:val="center"/>
              <w:rPr>
                <w:rFonts w:eastAsia="仿宋"/>
                <w:szCs w:val="21"/>
              </w:rPr>
            </w:pPr>
            <w:r>
              <w:rPr>
                <w:rFonts w:hint="eastAsia" w:eastAsia="仿宋"/>
                <w:szCs w:val="21"/>
              </w:rPr>
              <w:t>/</w:t>
            </w:r>
          </w:p>
        </w:tc>
        <w:tc>
          <w:tcPr>
            <w:tcW w:w="2092" w:type="dxa"/>
            <w:tcBorders>
              <w:tl2br w:val="nil"/>
              <w:tr2bl w:val="nil"/>
            </w:tcBorders>
            <w:vAlign w:val="center"/>
          </w:tcPr>
          <w:p>
            <w:pPr>
              <w:jc w:val="center"/>
              <w:rPr>
                <w:rFonts w:eastAsia="仿宋"/>
                <w:szCs w:val="21"/>
              </w:rPr>
            </w:pPr>
            <w:r>
              <w:rPr>
                <w:rFonts w:hint="eastAsia" w:eastAsia="仿宋"/>
                <w:szCs w:val="21"/>
              </w:rPr>
              <w:t>/</w:t>
            </w:r>
          </w:p>
        </w:tc>
        <w:tc>
          <w:tcPr>
            <w:tcW w:w="1977" w:type="dxa"/>
            <w:tcBorders>
              <w:tl2br w:val="nil"/>
              <w:tr2bl w:val="nil"/>
            </w:tcBorders>
            <w:vAlign w:val="center"/>
          </w:tcPr>
          <w:p>
            <w:pPr>
              <w:jc w:val="center"/>
              <w:rPr>
                <w:rFonts w:eastAsia="仿宋"/>
                <w:szCs w:val="21"/>
              </w:rPr>
            </w:pPr>
            <w:r>
              <w:rPr>
                <w:rFonts w:hint="eastAsia" w:eastAsia="仿宋_GB2312"/>
                <w:szCs w:val="21"/>
              </w:rPr>
              <w:t>1.049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0" w:hRule="atLeast"/>
          <w:jc w:val="center"/>
        </w:trPr>
        <w:tc>
          <w:tcPr>
            <w:tcW w:w="1119" w:type="dxa"/>
            <w:vMerge w:val="continue"/>
            <w:tcBorders>
              <w:tl2br w:val="nil"/>
              <w:tr2bl w:val="nil"/>
            </w:tcBorders>
            <w:vAlign w:val="center"/>
          </w:tcPr>
          <w:p>
            <w:pPr>
              <w:jc w:val="center"/>
              <w:rPr>
                <w:rFonts w:eastAsia="仿宋"/>
                <w:szCs w:val="21"/>
              </w:rPr>
            </w:pPr>
          </w:p>
        </w:tc>
        <w:tc>
          <w:tcPr>
            <w:tcW w:w="2127" w:type="dxa"/>
            <w:tcBorders>
              <w:tl2br w:val="nil"/>
              <w:tr2bl w:val="nil"/>
            </w:tcBorders>
            <w:vAlign w:val="center"/>
          </w:tcPr>
          <w:p>
            <w:pPr>
              <w:widowControl/>
              <w:autoSpaceDE w:val="0"/>
              <w:autoSpaceDN w:val="0"/>
              <w:adjustRightInd w:val="0"/>
              <w:snapToGrid w:val="0"/>
              <w:jc w:val="center"/>
              <w:rPr>
                <w:rFonts w:eastAsia="仿宋"/>
                <w:szCs w:val="21"/>
              </w:rPr>
            </w:pPr>
            <w:r>
              <w:rPr>
                <w:rFonts w:hint="eastAsia" w:eastAsia="仿宋"/>
                <w:bCs/>
                <w:szCs w:val="21"/>
              </w:rPr>
              <w:t>邮堂庙</w:t>
            </w:r>
          </w:p>
        </w:tc>
        <w:tc>
          <w:tcPr>
            <w:tcW w:w="1784" w:type="dxa"/>
            <w:tcBorders>
              <w:tl2br w:val="nil"/>
              <w:tr2bl w:val="nil"/>
            </w:tcBorders>
            <w:vAlign w:val="center"/>
          </w:tcPr>
          <w:p>
            <w:pPr>
              <w:jc w:val="center"/>
              <w:rPr>
                <w:rFonts w:eastAsia="仿宋"/>
                <w:szCs w:val="21"/>
              </w:rPr>
            </w:pPr>
            <w:r>
              <w:rPr>
                <w:rFonts w:hint="eastAsia" w:eastAsia="仿宋"/>
                <w:szCs w:val="21"/>
              </w:rPr>
              <w:t>/</w:t>
            </w:r>
          </w:p>
        </w:tc>
        <w:tc>
          <w:tcPr>
            <w:tcW w:w="2092" w:type="dxa"/>
            <w:tcBorders>
              <w:tl2br w:val="nil"/>
              <w:tr2bl w:val="nil"/>
            </w:tcBorders>
            <w:vAlign w:val="center"/>
          </w:tcPr>
          <w:p>
            <w:pPr>
              <w:jc w:val="center"/>
              <w:rPr>
                <w:rFonts w:eastAsia="仿宋"/>
                <w:szCs w:val="21"/>
              </w:rPr>
            </w:pPr>
            <w:r>
              <w:rPr>
                <w:rFonts w:hint="eastAsia" w:eastAsia="仿宋"/>
                <w:szCs w:val="21"/>
              </w:rPr>
              <w:t>/</w:t>
            </w:r>
          </w:p>
        </w:tc>
        <w:tc>
          <w:tcPr>
            <w:tcW w:w="1977" w:type="dxa"/>
            <w:tcBorders>
              <w:tl2br w:val="nil"/>
              <w:tr2bl w:val="nil"/>
            </w:tcBorders>
            <w:vAlign w:val="center"/>
          </w:tcPr>
          <w:p>
            <w:pPr>
              <w:jc w:val="center"/>
              <w:rPr>
                <w:rFonts w:eastAsia="仿宋"/>
                <w:szCs w:val="21"/>
              </w:rPr>
            </w:pPr>
            <w:r>
              <w:rPr>
                <w:rFonts w:hint="eastAsia" w:eastAsia="仿宋_GB2312"/>
                <w:szCs w:val="21"/>
              </w:rPr>
              <w:t xml:space="preserve">0.842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0" w:hRule="atLeast"/>
          <w:jc w:val="center"/>
        </w:trPr>
        <w:tc>
          <w:tcPr>
            <w:tcW w:w="1119" w:type="dxa"/>
            <w:vMerge w:val="continue"/>
            <w:tcBorders>
              <w:tl2br w:val="nil"/>
              <w:tr2bl w:val="nil"/>
            </w:tcBorders>
            <w:vAlign w:val="center"/>
          </w:tcPr>
          <w:p>
            <w:pPr>
              <w:jc w:val="center"/>
              <w:rPr>
                <w:rFonts w:eastAsia="仿宋"/>
                <w:szCs w:val="21"/>
              </w:rPr>
            </w:pPr>
          </w:p>
        </w:tc>
        <w:tc>
          <w:tcPr>
            <w:tcW w:w="2127" w:type="dxa"/>
            <w:tcBorders>
              <w:tl2br w:val="nil"/>
              <w:tr2bl w:val="nil"/>
            </w:tcBorders>
            <w:vAlign w:val="center"/>
          </w:tcPr>
          <w:p>
            <w:pPr>
              <w:widowControl/>
              <w:autoSpaceDE w:val="0"/>
              <w:autoSpaceDN w:val="0"/>
              <w:adjustRightInd w:val="0"/>
              <w:snapToGrid w:val="0"/>
              <w:jc w:val="center"/>
              <w:rPr>
                <w:rFonts w:eastAsia="仿宋"/>
                <w:szCs w:val="21"/>
              </w:rPr>
            </w:pPr>
            <w:r>
              <w:rPr>
                <w:rFonts w:hint="eastAsia" w:eastAsia="仿宋"/>
                <w:bCs/>
                <w:szCs w:val="21"/>
              </w:rPr>
              <w:t>冯庄村</w:t>
            </w:r>
          </w:p>
        </w:tc>
        <w:tc>
          <w:tcPr>
            <w:tcW w:w="1784" w:type="dxa"/>
            <w:tcBorders>
              <w:tl2br w:val="nil"/>
              <w:tr2bl w:val="nil"/>
            </w:tcBorders>
            <w:vAlign w:val="center"/>
          </w:tcPr>
          <w:p>
            <w:pPr>
              <w:jc w:val="center"/>
              <w:rPr>
                <w:rFonts w:eastAsia="仿宋"/>
                <w:szCs w:val="21"/>
              </w:rPr>
            </w:pPr>
            <w:r>
              <w:rPr>
                <w:rFonts w:hint="eastAsia" w:eastAsia="仿宋"/>
                <w:szCs w:val="21"/>
              </w:rPr>
              <w:t>/</w:t>
            </w:r>
          </w:p>
        </w:tc>
        <w:tc>
          <w:tcPr>
            <w:tcW w:w="2092" w:type="dxa"/>
            <w:tcBorders>
              <w:tl2br w:val="nil"/>
              <w:tr2bl w:val="nil"/>
            </w:tcBorders>
            <w:vAlign w:val="center"/>
          </w:tcPr>
          <w:p>
            <w:pPr>
              <w:jc w:val="center"/>
              <w:rPr>
                <w:rFonts w:eastAsia="仿宋"/>
                <w:szCs w:val="21"/>
              </w:rPr>
            </w:pPr>
            <w:r>
              <w:rPr>
                <w:rFonts w:hint="eastAsia" w:eastAsia="仿宋"/>
                <w:szCs w:val="21"/>
              </w:rPr>
              <w:t>/</w:t>
            </w:r>
          </w:p>
        </w:tc>
        <w:tc>
          <w:tcPr>
            <w:tcW w:w="1977" w:type="dxa"/>
            <w:tcBorders>
              <w:tl2br w:val="nil"/>
              <w:tr2bl w:val="nil"/>
            </w:tcBorders>
            <w:vAlign w:val="center"/>
          </w:tcPr>
          <w:p>
            <w:pPr>
              <w:jc w:val="center"/>
              <w:rPr>
                <w:rFonts w:eastAsia="仿宋"/>
                <w:szCs w:val="21"/>
              </w:rPr>
            </w:pPr>
            <w:r>
              <w:rPr>
                <w:rFonts w:hint="eastAsia" w:eastAsia="仿宋_GB2312"/>
                <w:szCs w:val="21"/>
              </w:rPr>
              <w:t>0.431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0" w:hRule="atLeast"/>
          <w:jc w:val="center"/>
        </w:trPr>
        <w:tc>
          <w:tcPr>
            <w:tcW w:w="1119" w:type="dxa"/>
            <w:vMerge w:val="continue"/>
            <w:tcBorders>
              <w:tl2br w:val="nil"/>
              <w:tr2bl w:val="nil"/>
            </w:tcBorders>
            <w:vAlign w:val="center"/>
          </w:tcPr>
          <w:p>
            <w:pPr>
              <w:jc w:val="center"/>
              <w:rPr>
                <w:rFonts w:eastAsia="仿宋"/>
                <w:szCs w:val="21"/>
              </w:rPr>
            </w:pPr>
          </w:p>
        </w:tc>
        <w:tc>
          <w:tcPr>
            <w:tcW w:w="2127" w:type="dxa"/>
            <w:tcBorders>
              <w:tl2br w:val="nil"/>
              <w:tr2bl w:val="nil"/>
            </w:tcBorders>
            <w:vAlign w:val="center"/>
          </w:tcPr>
          <w:p>
            <w:pPr>
              <w:widowControl/>
              <w:spacing w:line="320" w:lineRule="exact"/>
              <w:jc w:val="center"/>
              <w:rPr>
                <w:rFonts w:eastAsia="仿宋"/>
                <w:szCs w:val="21"/>
              </w:rPr>
            </w:pPr>
            <w:r>
              <w:rPr>
                <w:rFonts w:hint="eastAsia" w:eastAsia="仿宋"/>
                <w:bCs/>
                <w:szCs w:val="21"/>
              </w:rPr>
              <w:t>南墅</w:t>
            </w:r>
          </w:p>
        </w:tc>
        <w:tc>
          <w:tcPr>
            <w:tcW w:w="1784" w:type="dxa"/>
            <w:tcBorders>
              <w:tl2br w:val="nil"/>
              <w:tr2bl w:val="nil"/>
            </w:tcBorders>
            <w:vAlign w:val="center"/>
          </w:tcPr>
          <w:p>
            <w:pPr>
              <w:jc w:val="center"/>
              <w:rPr>
                <w:rFonts w:eastAsia="仿宋"/>
                <w:szCs w:val="21"/>
              </w:rPr>
            </w:pPr>
            <w:r>
              <w:rPr>
                <w:rFonts w:hint="eastAsia" w:eastAsia="仿宋"/>
                <w:szCs w:val="21"/>
              </w:rPr>
              <w:t>/</w:t>
            </w:r>
          </w:p>
        </w:tc>
        <w:tc>
          <w:tcPr>
            <w:tcW w:w="2092" w:type="dxa"/>
            <w:tcBorders>
              <w:tl2br w:val="nil"/>
              <w:tr2bl w:val="nil"/>
            </w:tcBorders>
            <w:vAlign w:val="center"/>
          </w:tcPr>
          <w:p>
            <w:pPr>
              <w:jc w:val="center"/>
              <w:rPr>
                <w:rFonts w:eastAsia="仿宋"/>
                <w:szCs w:val="21"/>
              </w:rPr>
            </w:pPr>
            <w:r>
              <w:rPr>
                <w:rFonts w:hint="eastAsia" w:eastAsia="仿宋"/>
                <w:szCs w:val="21"/>
              </w:rPr>
              <w:t>/</w:t>
            </w:r>
          </w:p>
        </w:tc>
        <w:tc>
          <w:tcPr>
            <w:tcW w:w="1977" w:type="dxa"/>
            <w:tcBorders>
              <w:tl2br w:val="nil"/>
              <w:tr2bl w:val="nil"/>
            </w:tcBorders>
            <w:vAlign w:val="center"/>
          </w:tcPr>
          <w:p>
            <w:pPr>
              <w:jc w:val="center"/>
              <w:rPr>
                <w:rFonts w:eastAsia="仿宋"/>
                <w:szCs w:val="21"/>
              </w:rPr>
            </w:pPr>
            <w:r>
              <w:rPr>
                <w:rFonts w:hint="eastAsia" w:eastAsia="仿宋_GB2312"/>
                <w:szCs w:val="21"/>
              </w:rPr>
              <w:t xml:space="preserve">0.277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0" w:hRule="atLeast"/>
          <w:jc w:val="center"/>
        </w:trPr>
        <w:tc>
          <w:tcPr>
            <w:tcW w:w="1119" w:type="dxa"/>
            <w:vMerge w:val="continue"/>
            <w:tcBorders>
              <w:tl2br w:val="nil"/>
              <w:tr2bl w:val="nil"/>
            </w:tcBorders>
            <w:vAlign w:val="center"/>
          </w:tcPr>
          <w:p>
            <w:pPr>
              <w:jc w:val="center"/>
              <w:rPr>
                <w:rFonts w:eastAsia="仿宋"/>
                <w:szCs w:val="21"/>
              </w:rPr>
            </w:pPr>
          </w:p>
        </w:tc>
        <w:tc>
          <w:tcPr>
            <w:tcW w:w="2127" w:type="dxa"/>
            <w:tcBorders>
              <w:tl2br w:val="nil"/>
              <w:tr2bl w:val="nil"/>
            </w:tcBorders>
            <w:vAlign w:val="center"/>
          </w:tcPr>
          <w:p>
            <w:pPr>
              <w:widowControl/>
              <w:spacing w:line="320" w:lineRule="exact"/>
              <w:jc w:val="center"/>
              <w:rPr>
                <w:rFonts w:eastAsia="仿宋"/>
                <w:szCs w:val="21"/>
              </w:rPr>
            </w:pPr>
            <w:r>
              <w:rPr>
                <w:rFonts w:hint="eastAsia" w:eastAsia="仿宋"/>
                <w:bCs/>
                <w:szCs w:val="21"/>
              </w:rPr>
              <w:t>丽锦嘉园</w:t>
            </w:r>
          </w:p>
        </w:tc>
        <w:tc>
          <w:tcPr>
            <w:tcW w:w="1784" w:type="dxa"/>
            <w:tcBorders>
              <w:tl2br w:val="nil"/>
              <w:tr2bl w:val="nil"/>
            </w:tcBorders>
            <w:vAlign w:val="center"/>
          </w:tcPr>
          <w:p>
            <w:pPr>
              <w:jc w:val="center"/>
              <w:rPr>
                <w:rFonts w:eastAsia="仿宋"/>
                <w:szCs w:val="21"/>
              </w:rPr>
            </w:pPr>
            <w:r>
              <w:rPr>
                <w:rFonts w:hint="eastAsia" w:eastAsia="仿宋"/>
                <w:szCs w:val="21"/>
              </w:rPr>
              <w:t>/</w:t>
            </w:r>
          </w:p>
        </w:tc>
        <w:tc>
          <w:tcPr>
            <w:tcW w:w="2092" w:type="dxa"/>
            <w:tcBorders>
              <w:tl2br w:val="nil"/>
              <w:tr2bl w:val="nil"/>
            </w:tcBorders>
            <w:vAlign w:val="center"/>
          </w:tcPr>
          <w:p>
            <w:pPr>
              <w:jc w:val="center"/>
              <w:rPr>
                <w:rFonts w:eastAsia="仿宋"/>
                <w:szCs w:val="21"/>
              </w:rPr>
            </w:pPr>
            <w:r>
              <w:rPr>
                <w:rFonts w:hint="eastAsia" w:eastAsia="仿宋"/>
                <w:szCs w:val="21"/>
              </w:rPr>
              <w:t>/</w:t>
            </w:r>
          </w:p>
        </w:tc>
        <w:tc>
          <w:tcPr>
            <w:tcW w:w="1977" w:type="dxa"/>
            <w:tcBorders>
              <w:tl2br w:val="nil"/>
              <w:tr2bl w:val="nil"/>
            </w:tcBorders>
            <w:vAlign w:val="center"/>
          </w:tcPr>
          <w:p>
            <w:pPr>
              <w:jc w:val="center"/>
              <w:rPr>
                <w:rFonts w:eastAsia="仿宋"/>
                <w:szCs w:val="21"/>
              </w:rPr>
            </w:pPr>
            <w:r>
              <w:rPr>
                <w:rFonts w:hint="eastAsia" w:eastAsia="仿宋"/>
                <w:szCs w:val="21"/>
              </w:rPr>
              <w:t>0.130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0" w:hRule="atLeast"/>
          <w:jc w:val="center"/>
        </w:trPr>
        <w:tc>
          <w:tcPr>
            <w:tcW w:w="1119" w:type="dxa"/>
            <w:vMerge w:val="continue"/>
            <w:tcBorders>
              <w:tl2br w:val="nil"/>
              <w:tr2bl w:val="nil"/>
            </w:tcBorders>
            <w:vAlign w:val="center"/>
          </w:tcPr>
          <w:p>
            <w:pPr>
              <w:jc w:val="center"/>
              <w:rPr>
                <w:rFonts w:eastAsia="仿宋"/>
                <w:szCs w:val="21"/>
              </w:rPr>
            </w:pPr>
          </w:p>
        </w:tc>
        <w:tc>
          <w:tcPr>
            <w:tcW w:w="2127" w:type="dxa"/>
            <w:tcBorders>
              <w:tl2br w:val="nil"/>
              <w:tr2bl w:val="nil"/>
            </w:tcBorders>
            <w:vAlign w:val="center"/>
          </w:tcPr>
          <w:p>
            <w:pPr>
              <w:widowControl/>
              <w:spacing w:line="320" w:lineRule="exact"/>
              <w:jc w:val="center"/>
              <w:rPr>
                <w:rFonts w:eastAsia="仿宋"/>
                <w:szCs w:val="21"/>
              </w:rPr>
            </w:pPr>
            <w:r>
              <w:rPr>
                <w:rFonts w:hint="eastAsia" w:eastAsia="仿宋"/>
                <w:bCs/>
                <w:szCs w:val="21"/>
              </w:rPr>
              <w:t>沈渎桥</w:t>
            </w:r>
          </w:p>
        </w:tc>
        <w:tc>
          <w:tcPr>
            <w:tcW w:w="1784" w:type="dxa"/>
            <w:tcBorders>
              <w:tl2br w:val="nil"/>
              <w:tr2bl w:val="nil"/>
            </w:tcBorders>
            <w:vAlign w:val="center"/>
          </w:tcPr>
          <w:p>
            <w:pPr>
              <w:jc w:val="center"/>
              <w:rPr>
                <w:rFonts w:eastAsia="仿宋"/>
                <w:szCs w:val="21"/>
              </w:rPr>
            </w:pPr>
            <w:r>
              <w:rPr>
                <w:rFonts w:hint="eastAsia" w:eastAsia="仿宋"/>
                <w:szCs w:val="21"/>
              </w:rPr>
              <w:t>/</w:t>
            </w:r>
          </w:p>
        </w:tc>
        <w:tc>
          <w:tcPr>
            <w:tcW w:w="2092" w:type="dxa"/>
            <w:tcBorders>
              <w:tl2br w:val="nil"/>
              <w:tr2bl w:val="nil"/>
            </w:tcBorders>
            <w:vAlign w:val="center"/>
          </w:tcPr>
          <w:p>
            <w:pPr>
              <w:jc w:val="center"/>
              <w:rPr>
                <w:rFonts w:eastAsia="仿宋"/>
                <w:szCs w:val="21"/>
              </w:rPr>
            </w:pPr>
            <w:r>
              <w:rPr>
                <w:rFonts w:hint="eastAsia" w:eastAsia="仿宋"/>
                <w:szCs w:val="21"/>
              </w:rPr>
              <w:t>/</w:t>
            </w:r>
          </w:p>
        </w:tc>
        <w:tc>
          <w:tcPr>
            <w:tcW w:w="1977" w:type="dxa"/>
            <w:tcBorders>
              <w:tl2br w:val="nil"/>
              <w:tr2bl w:val="nil"/>
            </w:tcBorders>
            <w:vAlign w:val="center"/>
          </w:tcPr>
          <w:p>
            <w:pPr>
              <w:jc w:val="center"/>
              <w:rPr>
                <w:rFonts w:eastAsia="仿宋"/>
                <w:szCs w:val="21"/>
              </w:rPr>
            </w:pPr>
            <w:r>
              <w:rPr>
                <w:rFonts w:hint="eastAsia" w:eastAsia="仿宋"/>
                <w:szCs w:val="21"/>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0" w:hRule="atLeast"/>
          <w:jc w:val="center"/>
        </w:trPr>
        <w:tc>
          <w:tcPr>
            <w:tcW w:w="1119" w:type="dxa"/>
            <w:vMerge w:val="continue"/>
            <w:tcBorders>
              <w:tl2br w:val="nil"/>
              <w:tr2bl w:val="nil"/>
            </w:tcBorders>
            <w:vAlign w:val="center"/>
          </w:tcPr>
          <w:p>
            <w:pPr>
              <w:jc w:val="center"/>
              <w:rPr>
                <w:rFonts w:eastAsia="仿宋"/>
                <w:szCs w:val="21"/>
              </w:rPr>
            </w:pPr>
          </w:p>
        </w:tc>
        <w:tc>
          <w:tcPr>
            <w:tcW w:w="2127" w:type="dxa"/>
            <w:tcBorders>
              <w:tl2br w:val="nil"/>
              <w:tr2bl w:val="nil"/>
            </w:tcBorders>
            <w:vAlign w:val="center"/>
          </w:tcPr>
          <w:p>
            <w:pPr>
              <w:widowControl/>
              <w:spacing w:line="320" w:lineRule="exact"/>
              <w:jc w:val="center"/>
              <w:rPr>
                <w:rFonts w:eastAsia="仿宋"/>
                <w:szCs w:val="21"/>
              </w:rPr>
            </w:pPr>
            <w:r>
              <w:rPr>
                <w:rFonts w:hint="eastAsia" w:eastAsia="仿宋"/>
                <w:bCs/>
                <w:szCs w:val="21"/>
              </w:rPr>
              <w:t>新庄村</w:t>
            </w:r>
          </w:p>
        </w:tc>
        <w:tc>
          <w:tcPr>
            <w:tcW w:w="1784" w:type="dxa"/>
            <w:tcBorders>
              <w:tl2br w:val="nil"/>
              <w:tr2bl w:val="nil"/>
            </w:tcBorders>
            <w:vAlign w:val="center"/>
          </w:tcPr>
          <w:p>
            <w:pPr>
              <w:jc w:val="center"/>
              <w:rPr>
                <w:rFonts w:eastAsia="仿宋"/>
                <w:szCs w:val="21"/>
              </w:rPr>
            </w:pPr>
            <w:r>
              <w:rPr>
                <w:rFonts w:hint="eastAsia" w:eastAsia="仿宋"/>
                <w:szCs w:val="21"/>
              </w:rPr>
              <w:t>/</w:t>
            </w:r>
          </w:p>
        </w:tc>
        <w:tc>
          <w:tcPr>
            <w:tcW w:w="2092" w:type="dxa"/>
            <w:tcBorders>
              <w:tl2br w:val="nil"/>
              <w:tr2bl w:val="nil"/>
            </w:tcBorders>
            <w:vAlign w:val="center"/>
          </w:tcPr>
          <w:p>
            <w:pPr>
              <w:jc w:val="center"/>
              <w:rPr>
                <w:rFonts w:eastAsia="仿宋"/>
                <w:szCs w:val="21"/>
              </w:rPr>
            </w:pPr>
            <w:r>
              <w:rPr>
                <w:rFonts w:hint="eastAsia" w:eastAsia="仿宋"/>
                <w:szCs w:val="21"/>
              </w:rPr>
              <w:t>/</w:t>
            </w:r>
          </w:p>
        </w:tc>
        <w:tc>
          <w:tcPr>
            <w:tcW w:w="1977" w:type="dxa"/>
            <w:tcBorders>
              <w:tl2br w:val="nil"/>
              <w:tr2bl w:val="nil"/>
            </w:tcBorders>
            <w:vAlign w:val="center"/>
          </w:tcPr>
          <w:p>
            <w:pPr>
              <w:jc w:val="center"/>
              <w:rPr>
                <w:rFonts w:eastAsia="仿宋"/>
                <w:szCs w:val="21"/>
              </w:rPr>
            </w:pPr>
            <w:r>
              <w:rPr>
                <w:rFonts w:hint="eastAsia" w:eastAsia="仿宋"/>
                <w:szCs w:val="21"/>
              </w:rPr>
              <w:t>0.084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0" w:hRule="atLeast"/>
          <w:jc w:val="center"/>
        </w:trPr>
        <w:tc>
          <w:tcPr>
            <w:tcW w:w="1119" w:type="dxa"/>
            <w:vMerge w:val="continue"/>
            <w:tcBorders>
              <w:tl2br w:val="nil"/>
              <w:tr2bl w:val="nil"/>
            </w:tcBorders>
            <w:vAlign w:val="center"/>
          </w:tcPr>
          <w:p>
            <w:pPr>
              <w:jc w:val="center"/>
              <w:rPr>
                <w:rFonts w:eastAsia="仿宋"/>
                <w:szCs w:val="21"/>
              </w:rPr>
            </w:pPr>
          </w:p>
        </w:tc>
        <w:tc>
          <w:tcPr>
            <w:tcW w:w="2127" w:type="dxa"/>
            <w:tcBorders>
              <w:tl2br w:val="nil"/>
              <w:tr2bl w:val="nil"/>
            </w:tcBorders>
            <w:vAlign w:val="center"/>
          </w:tcPr>
          <w:p>
            <w:pPr>
              <w:widowControl/>
              <w:spacing w:line="320" w:lineRule="exact"/>
              <w:jc w:val="center"/>
              <w:rPr>
                <w:rFonts w:eastAsia="仿宋"/>
                <w:szCs w:val="21"/>
              </w:rPr>
            </w:pPr>
            <w:r>
              <w:rPr>
                <w:rFonts w:hint="eastAsia" w:eastAsia="仿宋"/>
                <w:bCs/>
                <w:szCs w:val="21"/>
              </w:rPr>
              <w:t>午干</w:t>
            </w:r>
          </w:p>
        </w:tc>
        <w:tc>
          <w:tcPr>
            <w:tcW w:w="1784" w:type="dxa"/>
            <w:tcBorders>
              <w:tl2br w:val="nil"/>
              <w:tr2bl w:val="nil"/>
            </w:tcBorders>
            <w:vAlign w:val="center"/>
          </w:tcPr>
          <w:p>
            <w:pPr>
              <w:jc w:val="center"/>
              <w:rPr>
                <w:rFonts w:eastAsia="仿宋"/>
                <w:szCs w:val="21"/>
              </w:rPr>
            </w:pPr>
            <w:r>
              <w:rPr>
                <w:rFonts w:hint="eastAsia" w:eastAsia="仿宋"/>
                <w:szCs w:val="21"/>
              </w:rPr>
              <w:t>/</w:t>
            </w:r>
          </w:p>
        </w:tc>
        <w:tc>
          <w:tcPr>
            <w:tcW w:w="2092" w:type="dxa"/>
            <w:tcBorders>
              <w:tl2br w:val="nil"/>
              <w:tr2bl w:val="nil"/>
            </w:tcBorders>
            <w:vAlign w:val="center"/>
          </w:tcPr>
          <w:p>
            <w:pPr>
              <w:jc w:val="center"/>
              <w:rPr>
                <w:rFonts w:eastAsia="仿宋"/>
                <w:szCs w:val="21"/>
              </w:rPr>
            </w:pPr>
            <w:r>
              <w:rPr>
                <w:rFonts w:hint="eastAsia" w:eastAsia="仿宋"/>
                <w:szCs w:val="21"/>
              </w:rPr>
              <w:t>/</w:t>
            </w:r>
          </w:p>
        </w:tc>
        <w:tc>
          <w:tcPr>
            <w:tcW w:w="1977" w:type="dxa"/>
            <w:tcBorders>
              <w:tl2br w:val="nil"/>
              <w:tr2bl w:val="nil"/>
            </w:tcBorders>
            <w:vAlign w:val="center"/>
          </w:tcPr>
          <w:p>
            <w:pPr>
              <w:jc w:val="center"/>
              <w:rPr>
                <w:rFonts w:eastAsia="仿宋"/>
                <w:szCs w:val="21"/>
              </w:rPr>
            </w:pPr>
            <w:r>
              <w:rPr>
                <w:rFonts w:hint="eastAsia" w:eastAsia="仿宋_GB2312"/>
                <w:szCs w:val="21"/>
              </w:rPr>
              <w:t xml:space="preserve">0.082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0" w:hRule="atLeast"/>
          <w:jc w:val="center"/>
        </w:trPr>
        <w:tc>
          <w:tcPr>
            <w:tcW w:w="1119" w:type="dxa"/>
            <w:vMerge w:val="continue"/>
            <w:tcBorders>
              <w:tl2br w:val="nil"/>
              <w:tr2bl w:val="nil"/>
            </w:tcBorders>
            <w:vAlign w:val="center"/>
          </w:tcPr>
          <w:p>
            <w:pPr>
              <w:jc w:val="center"/>
              <w:rPr>
                <w:rFonts w:eastAsia="仿宋"/>
                <w:szCs w:val="21"/>
              </w:rPr>
            </w:pPr>
          </w:p>
        </w:tc>
        <w:tc>
          <w:tcPr>
            <w:tcW w:w="2127" w:type="dxa"/>
            <w:tcBorders>
              <w:tl2br w:val="nil"/>
              <w:tr2bl w:val="nil"/>
            </w:tcBorders>
            <w:vAlign w:val="center"/>
          </w:tcPr>
          <w:p>
            <w:pPr>
              <w:widowControl/>
              <w:spacing w:line="320" w:lineRule="exact"/>
              <w:jc w:val="center"/>
              <w:rPr>
                <w:rFonts w:eastAsia="仿宋"/>
                <w:szCs w:val="21"/>
              </w:rPr>
            </w:pPr>
            <w:r>
              <w:rPr>
                <w:rFonts w:hint="eastAsia" w:eastAsia="仿宋"/>
                <w:bCs/>
                <w:szCs w:val="21"/>
              </w:rPr>
              <w:t>思模村</w:t>
            </w:r>
          </w:p>
        </w:tc>
        <w:tc>
          <w:tcPr>
            <w:tcW w:w="1784" w:type="dxa"/>
            <w:tcBorders>
              <w:tl2br w:val="nil"/>
              <w:tr2bl w:val="nil"/>
            </w:tcBorders>
            <w:vAlign w:val="center"/>
          </w:tcPr>
          <w:p>
            <w:pPr>
              <w:jc w:val="center"/>
              <w:rPr>
                <w:rFonts w:eastAsia="仿宋"/>
                <w:szCs w:val="21"/>
              </w:rPr>
            </w:pPr>
            <w:r>
              <w:rPr>
                <w:rFonts w:hint="eastAsia" w:eastAsia="仿宋"/>
                <w:szCs w:val="21"/>
              </w:rPr>
              <w:t>/</w:t>
            </w:r>
          </w:p>
        </w:tc>
        <w:tc>
          <w:tcPr>
            <w:tcW w:w="2092" w:type="dxa"/>
            <w:tcBorders>
              <w:tl2br w:val="nil"/>
              <w:tr2bl w:val="nil"/>
            </w:tcBorders>
            <w:vAlign w:val="center"/>
          </w:tcPr>
          <w:p>
            <w:pPr>
              <w:jc w:val="center"/>
              <w:rPr>
                <w:rFonts w:eastAsia="仿宋"/>
                <w:szCs w:val="21"/>
              </w:rPr>
            </w:pPr>
            <w:r>
              <w:rPr>
                <w:rFonts w:hint="eastAsia" w:eastAsia="仿宋"/>
                <w:szCs w:val="21"/>
              </w:rPr>
              <w:t>/</w:t>
            </w:r>
          </w:p>
        </w:tc>
        <w:tc>
          <w:tcPr>
            <w:tcW w:w="1977" w:type="dxa"/>
            <w:tcBorders>
              <w:tl2br w:val="nil"/>
              <w:tr2bl w:val="nil"/>
            </w:tcBorders>
            <w:vAlign w:val="center"/>
          </w:tcPr>
          <w:p>
            <w:pPr>
              <w:jc w:val="center"/>
              <w:rPr>
                <w:rFonts w:eastAsia="仿宋"/>
                <w:szCs w:val="21"/>
              </w:rPr>
            </w:pPr>
            <w:r>
              <w:rPr>
                <w:rFonts w:hint="eastAsia" w:eastAsia="仿宋"/>
                <w:szCs w:val="21"/>
              </w:rPr>
              <w:t>0.054</w:t>
            </w:r>
          </w:p>
        </w:tc>
      </w:tr>
    </w:tbl>
    <w:p>
      <w:pPr>
        <w:spacing w:line="500" w:lineRule="exact"/>
        <w:ind w:firstLine="560" w:firstLineChars="200"/>
        <w:rPr>
          <w:rFonts w:eastAsia="仿宋"/>
          <w:spacing w:val="10"/>
          <w:sz w:val="28"/>
          <w:szCs w:val="28"/>
        </w:rPr>
      </w:pPr>
      <w:r>
        <w:rPr>
          <w:rFonts w:eastAsia="仿宋"/>
          <w:bCs/>
          <w:sz w:val="28"/>
          <w:szCs w:val="28"/>
        </w:rPr>
        <w:t>由上表可知，最不利气象条件下，事故发生30min后，评价范围内各保护目标的</w:t>
      </w:r>
      <w:r>
        <w:rPr>
          <w:rFonts w:hint="eastAsia" w:eastAsia="仿宋"/>
          <w:bCs/>
          <w:sz w:val="28"/>
          <w:szCs w:val="28"/>
        </w:rPr>
        <w:t>乙酸乙酯、二甲苯</w:t>
      </w:r>
      <w:r>
        <w:rPr>
          <w:rFonts w:eastAsia="仿宋"/>
          <w:spacing w:val="10"/>
          <w:sz w:val="28"/>
          <w:szCs w:val="28"/>
        </w:rPr>
        <w:t>泄漏和火灾、爆炸释放、事故状态下</w:t>
      </w:r>
      <w:r>
        <w:rPr>
          <w:rFonts w:eastAsia="仿宋"/>
          <w:bCs/>
          <w:spacing w:val="10"/>
          <w:sz w:val="28"/>
          <w:szCs w:val="28"/>
        </w:rPr>
        <w:t>伴生、次生</w:t>
      </w:r>
      <w:r>
        <w:rPr>
          <w:rFonts w:eastAsia="仿宋"/>
          <w:spacing w:val="10"/>
          <w:sz w:val="28"/>
          <w:szCs w:val="28"/>
        </w:rPr>
        <w:t>CO均不超过大气毒性终点浓度-1和大气毒性终点浓度-2。</w:t>
      </w:r>
    </w:p>
    <w:p>
      <w:pPr>
        <w:keepNext/>
        <w:widowControl/>
        <w:numPr>
          <w:ilvl w:val="3"/>
          <w:numId w:val="1"/>
        </w:numPr>
        <w:adjustRightInd w:val="0"/>
        <w:snapToGrid w:val="0"/>
        <w:spacing w:after="120" w:afterLines="50" w:line="500" w:lineRule="exact"/>
        <w:ind w:left="0" w:firstLine="0"/>
        <w:jc w:val="left"/>
        <w:outlineLvl w:val="3"/>
        <w:rPr>
          <w:rFonts w:eastAsia="仿宋_GB2312"/>
          <w:b/>
          <w:bCs/>
          <w:sz w:val="28"/>
          <w:szCs w:val="28"/>
        </w:rPr>
      </w:pPr>
      <w:r>
        <w:rPr>
          <w:rFonts w:hint="eastAsia" w:eastAsia="仿宋_GB2312"/>
          <w:b/>
          <w:bCs/>
          <w:sz w:val="28"/>
          <w:szCs w:val="28"/>
        </w:rPr>
        <w:t>有毒有害物质在地</w:t>
      </w:r>
      <w:r>
        <w:rPr>
          <w:rFonts w:eastAsia="仿宋_GB2312"/>
          <w:b/>
          <w:bCs/>
          <w:sz w:val="28"/>
          <w:szCs w:val="28"/>
        </w:rPr>
        <w:t>表水</w:t>
      </w:r>
      <w:r>
        <w:rPr>
          <w:rFonts w:hint="eastAsia" w:eastAsia="仿宋_GB2312"/>
          <w:b/>
          <w:bCs/>
          <w:sz w:val="28"/>
          <w:szCs w:val="28"/>
        </w:rPr>
        <w:t>环境中的运移扩散</w:t>
      </w:r>
    </w:p>
    <w:p>
      <w:pPr>
        <w:spacing w:line="500" w:lineRule="exact"/>
        <w:ind w:firstLine="560" w:firstLineChars="200"/>
        <w:rPr>
          <w:rFonts w:eastAsia="仿宋"/>
          <w:bCs/>
          <w:sz w:val="28"/>
          <w:szCs w:val="28"/>
        </w:rPr>
      </w:pPr>
      <w:r>
        <w:rPr>
          <w:rFonts w:eastAsia="仿宋"/>
          <w:bCs/>
          <w:sz w:val="28"/>
          <w:szCs w:val="28"/>
        </w:rPr>
        <w:t>（1）地表水污染源分析</w:t>
      </w:r>
    </w:p>
    <w:p>
      <w:pPr>
        <w:spacing w:line="500" w:lineRule="exact"/>
        <w:ind w:firstLine="560" w:firstLineChars="200"/>
        <w:rPr>
          <w:rFonts w:eastAsia="仿宋"/>
          <w:bCs/>
          <w:sz w:val="28"/>
          <w:szCs w:val="28"/>
        </w:rPr>
      </w:pPr>
      <w:r>
        <w:rPr>
          <w:rFonts w:eastAsia="仿宋"/>
          <w:bCs/>
          <w:sz w:val="28"/>
          <w:szCs w:val="28"/>
        </w:rPr>
        <w:t>物料泄漏以及火灾、爆炸事故发生时产生的事故废水处理不当而排入附近地表水体时，将对周边地表水环境产生影响。</w:t>
      </w:r>
    </w:p>
    <w:p>
      <w:pPr>
        <w:spacing w:line="500" w:lineRule="exact"/>
        <w:ind w:firstLine="560" w:firstLineChars="200"/>
        <w:rPr>
          <w:rFonts w:eastAsia="仿宋"/>
          <w:bCs/>
          <w:sz w:val="28"/>
          <w:szCs w:val="28"/>
        </w:rPr>
      </w:pPr>
      <w:r>
        <w:rPr>
          <w:rFonts w:eastAsia="仿宋"/>
          <w:bCs/>
          <w:sz w:val="28"/>
          <w:szCs w:val="28"/>
        </w:rPr>
        <w:t>（2）地表水污染情景分析</w:t>
      </w:r>
    </w:p>
    <w:p>
      <w:pPr>
        <w:spacing w:line="500" w:lineRule="exact"/>
        <w:ind w:firstLine="560" w:firstLineChars="200"/>
        <w:rPr>
          <w:rFonts w:eastAsia="仿宋"/>
          <w:bCs/>
          <w:sz w:val="28"/>
          <w:szCs w:val="28"/>
        </w:rPr>
      </w:pPr>
      <w:r>
        <w:rPr>
          <w:rFonts w:hint="eastAsia" w:eastAsia="仿宋"/>
          <w:bCs/>
          <w:sz w:val="28"/>
          <w:szCs w:val="28"/>
        </w:rPr>
        <w:t>江苏</w:t>
      </w:r>
      <w:r>
        <w:rPr>
          <w:rFonts w:eastAsia="仿宋"/>
          <w:bCs/>
          <w:sz w:val="28"/>
          <w:szCs w:val="28"/>
        </w:rPr>
        <w:t>双联新能源科技有限公司厂区落实雨污分流排水体制，设置了雨水、污水收集排放系统，雨水排放口、污水排放口均设置截流阀。发生泄漏、火灾或爆炸事故时，关闭排放口的截流阀，将事故废水截留在雨水或污水收集系统内以待进一步处理，收集系统不能容纳泄漏物或伴生/次生污染物时，通过厂区污水管线输送至事故应急池暂存，可防止事故伴生/次生的泄漏物、污水、消防水直接流入园区污水管网和雨水管网，进而进入周边地表水环境。</w:t>
      </w:r>
    </w:p>
    <w:p>
      <w:pPr>
        <w:spacing w:line="500" w:lineRule="exact"/>
        <w:ind w:firstLine="560" w:firstLineChars="200"/>
        <w:rPr>
          <w:rFonts w:eastAsia="仿宋"/>
          <w:bCs/>
          <w:sz w:val="28"/>
          <w:szCs w:val="28"/>
        </w:rPr>
      </w:pPr>
      <w:r>
        <w:rPr>
          <w:rFonts w:eastAsia="仿宋"/>
          <w:bCs/>
          <w:sz w:val="28"/>
          <w:szCs w:val="28"/>
        </w:rPr>
        <w:t>（3）</w:t>
      </w:r>
      <w:r>
        <w:rPr>
          <w:rFonts w:hint="eastAsia" w:eastAsia="仿宋"/>
          <w:bCs/>
          <w:sz w:val="28"/>
          <w:szCs w:val="28"/>
        </w:rPr>
        <w:t>事故</w:t>
      </w:r>
      <w:r>
        <w:rPr>
          <w:rFonts w:eastAsia="仿宋"/>
          <w:bCs/>
          <w:sz w:val="28"/>
          <w:szCs w:val="28"/>
        </w:rPr>
        <w:t>应急池设置</w:t>
      </w:r>
    </w:p>
    <w:p>
      <w:pPr>
        <w:spacing w:line="500" w:lineRule="exact"/>
        <w:ind w:firstLine="560" w:firstLineChars="200"/>
        <w:rPr>
          <w:rFonts w:eastAsia="仿宋"/>
          <w:bCs/>
          <w:sz w:val="28"/>
          <w:szCs w:val="28"/>
        </w:rPr>
      </w:pPr>
      <w:r>
        <w:rPr>
          <w:rFonts w:eastAsia="仿宋"/>
          <w:bCs/>
          <w:sz w:val="28"/>
          <w:szCs w:val="28"/>
        </w:rPr>
        <w:t>根据</w:t>
      </w:r>
      <w:r>
        <w:rPr>
          <w:rFonts w:hint="eastAsia" w:eastAsia="仿宋"/>
          <w:bCs/>
          <w:sz w:val="28"/>
          <w:szCs w:val="28"/>
        </w:rPr>
        <w:t>《建筑防火通用规范》（G</w:t>
      </w:r>
      <w:r>
        <w:rPr>
          <w:rFonts w:eastAsia="仿宋"/>
          <w:bCs/>
          <w:sz w:val="28"/>
          <w:szCs w:val="28"/>
        </w:rPr>
        <w:t>B55037-2022</w:t>
      </w:r>
      <w:r>
        <w:rPr>
          <w:rFonts w:hint="eastAsia" w:eastAsia="仿宋"/>
          <w:bCs/>
          <w:sz w:val="28"/>
          <w:szCs w:val="28"/>
        </w:rPr>
        <w:t>）、《建筑设计防火规范》（G</w:t>
      </w:r>
      <w:r>
        <w:rPr>
          <w:rFonts w:eastAsia="仿宋"/>
          <w:bCs/>
          <w:sz w:val="28"/>
          <w:szCs w:val="28"/>
        </w:rPr>
        <w:t>B50016-2014,2018</w:t>
      </w:r>
      <w:r>
        <w:rPr>
          <w:rFonts w:hint="eastAsia" w:eastAsia="仿宋"/>
          <w:bCs/>
          <w:sz w:val="28"/>
          <w:szCs w:val="28"/>
        </w:rPr>
        <w:t>年版）、《消防给水及消火栓系统技术规范》（G</w:t>
      </w:r>
      <w:r>
        <w:rPr>
          <w:rFonts w:eastAsia="仿宋"/>
          <w:bCs/>
          <w:sz w:val="28"/>
          <w:szCs w:val="28"/>
        </w:rPr>
        <w:t>B50974-2014</w:t>
      </w:r>
      <w:r>
        <w:rPr>
          <w:rFonts w:hint="eastAsia" w:eastAsia="仿宋"/>
          <w:bCs/>
          <w:sz w:val="28"/>
          <w:szCs w:val="28"/>
        </w:rPr>
        <w:t>）等</w:t>
      </w:r>
      <w:r>
        <w:rPr>
          <w:rFonts w:eastAsia="仿宋"/>
          <w:bCs/>
          <w:sz w:val="28"/>
          <w:szCs w:val="28"/>
        </w:rPr>
        <w:t>，在进行城镇、居住区、企事业单位规划和建筑设计时，必须同时设计消防给水系统，消防用水可由给水管网、天然水源或消防水池供给。</w:t>
      </w:r>
    </w:p>
    <w:p>
      <w:pPr>
        <w:spacing w:line="500" w:lineRule="exact"/>
        <w:ind w:firstLine="560" w:firstLineChars="200"/>
        <w:rPr>
          <w:rFonts w:eastAsia="仿宋"/>
          <w:bCs/>
          <w:sz w:val="28"/>
          <w:szCs w:val="28"/>
        </w:rPr>
      </w:pPr>
      <w:r>
        <w:rPr>
          <w:rFonts w:hint="eastAsia" w:eastAsia="仿宋"/>
          <w:bCs/>
          <w:sz w:val="28"/>
          <w:szCs w:val="28"/>
        </w:rPr>
        <w:t>由于本次江苏双联新能源材料科技有限</w:t>
      </w:r>
      <w:r>
        <w:rPr>
          <w:rFonts w:eastAsia="仿宋"/>
          <w:bCs/>
          <w:sz w:val="28"/>
          <w:szCs w:val="28"/>
        </w:rPr>
        <w:t>公司</w:t>
      </w:r>
      <w:r>
        <w:rPr>
          <w:rFonts w:hint="eastAsia" w:eastAsia="仿宋"/>
          <w:bCs/>
          <w:sz w:val="28"/>
          <w:szCs w:val="28"/>
        </w:rPr>
        <w:t>租用常州威斯双联科技有限公司厂房，两公司位于同一厂区内，雨水管同时使用，因此以整个厂区计算事故应急池容量。</w:t>
      </w:r>
    </w:p>
    <w:p>
      <w:pPr>
        <w:spacing w:line="500" w:lineRule="exact"/>
        <w:ind w:firstLine="560" w:firstLineChars="200"/>
        <w:rPr>
          <w:rFonts w:eastAsia="仿宋"/>
          <w:bCs/>
          <w:sz w:val="28"/>
          <w:szCs w:val="28"/>
        </w:rPr>
      </w:pPr>
      <w:r>
        <w:rPr>
          <w:rFonts w:eastAsia="仿宋"/>
          <w:bCs/>
          <w:sz w:val="28"/>
          <w:szCs w:val="28"/>
        </w:rPr>
        <w:t>（1）消防水</w:t>
      </w:r>
    </w:p>
    <w:p>
      <w:pPr>
        <w:spacing w:line="500" w:lineRule="exact"/>
        <w:ind w:firstLine="560" w:firstLineChars="200"/>
        <w:rPr>
          <w:rFonts w:eastAsia="仿宋"/>
          <w:bCs/>
          <w:sz w:val="28"/>
          <w:szCs w:val="28"/>
        </w:rPr>
      </w:pPr>
      <w:r>
        <w:rPr>
          <w:rFonts w:hint="eastAsia" w:eastAsia="仿宋"/>
          <w:bCs/>
          <w:sz w:val="28"/>
          <w:szCs w:val="28"/>
        </w:rPr>
        <w:t>厂区</w:t>
      </w:r>
      <w:r>
        <w:rPr>
          <w:rFonts w:eastAsia="仿宋"/>
          <w:bCs/>
          <w:sz w:val="28"/>
          <w:szCs w:val="28"/>
        </w:rPr>
        <w:t>最大消防用水量20L/s，持续时间1h，用水量为72m</w:t>
      </w:r>
      <w:r>
        <w:rPr>
          <w:rFonts w:eastAsia="仿宋"/>
          <w:bCs/>
          <w:sz w:val="28"/>
          <w:szCs w:val="28"/>
          <w:vertAlign w:val="superscript"/>
        </w:rPr>
        <w:t>3</w:t>
      </w:r>
      <w:r>
        <w:rPr>
          <w:rFonts w:hint="eastAsia" w:eastAsia="仿宋"/>
          <w:bCs/>
          <w:sz w:val="28"/>
          <w:szCs w:val="28"/>
        </w:rPr>
        <w:t>。</w:t>
      </w:r>
    </w:p>
    <w:p>
      <w:pPr>
        <w:spacing w:line="500" w:lineRule="exact"/>
        <w:ind w:firstLine="560" w:firstLineChars="200"/>
        <w:rPr>
          <w:rFonts w:eastAsia="仿宋"/>
          <w:bCs/>
          <w:sz w:val="28"/>
          <w:szCs w:val="28"/>
        </w:rPr>
      </w:pPr>
      <w:r>
        <w:rPr>
          <w:rFonts w:eastAsia="仿宋"/>
          <w:bCs/>
          <w:sz w:val="28"/>
          <w:szCs w:val="28"/>
        </w:rPr>
        <w:t>（2）事故应急池</w:t>
      </w:r>
    </w:p>
    <w:p>
      <w:pPr>
        <w:spacing w:line="500" w:lineRule="exact"/>
        <w:ind w:firstLine="560" w:firstLineChars="200"/>
        <w:rPr>
          <w:rFonts w:eastAsia="仿宋"/>
          <w:bCs/>
          <w:sz w:val="28"/>
          <w:szCs w:val="28"/>
        </w:rPr>
      </w:pPr>
      <w:r>
        <w:rPr>
          <w:rFonts w:eastAsia="仿宋"/>
          <w:bCs/>
          <w:sz w:val="28"/>
          <w:szCs w:val="28"/>
        </w:rPr>
        <w:t>项目事故应急池容量计算如下：</w:t>
      </w:r>
    </w:p>
    <w:p>
      <w:pPr>
        <w:spacing w:line="500" w:lineRule="exact"/>
        <w:ind w:firstLine="560" w:firstLineChars="200"/>
        <w:rPr>
          <w:rFonts w:eastAsia="仿宋"/>
          <w:bCs/>
          <w:sz w:val="28"/>
          <w:szCs w:val="28"/>
        </w:rPr>
      </w:pPr>
      <w:r>
        <w:rPr>
          <w:rFonts w:eastAsia="仿宋"/>
          <w:bCs/>
          <w:sz w:val="28"/>
          <w:szCs w:val="28"/>
        </w:rPr>
        <w:t>事故池容量V总=(V1+V2-V3)+V4+V5</w:t>
      </w:r>
    </w:p>
    <w:p>
      <w:pPr>
        <w:spacing w:line="500" w:lineRule="exact"/>
        <w:ind w:firstLine="560" w:firstLineChars="200"/>
        <w:rPr>
          <w:rFonts w:eastAsia="仿宋"/>
          <w:bCs/>
          <w:sz w:val="28"/>
          <w:szCs w:val="28"/>
        </w:rPr>
      </w:pPr>
      <w:r>
        <w:rPr>
          <w:rFonts w:eastAsia="仿宋"/>
          <w:bCs/>
          <w:sz w:val="28"/>
          <w:szCs w:val="28"/>
        </w:rPr>
        <w:t>V1：事故一个罐或一个装置物料</w:t>
      </w:r>
    </w:p>
    <w:p>
      <w:pPr>
        <w:spacing w:line="500" w:lineRule="exact"/>
        <w:ind w:firstLine="560" w:firstLineChars="200"/>
        <w:rPr>
          <w:rFonts w:eastAsia="仿宋"/>
          <w:bCs/>
          <w:sz w:val="28"/>
          <w:szCs w:val="28"/>
        </w:rPr>
      </w:pPr>
      <w:r>
        <w:rPr>
          <w:rFonts w:eastAsia="仿宋"/>
          <w:bCs/>
          <w:sz w:val="28"/>
          <w:szCs w:val="28"/>
        </w:rPr>
        <w:t>V2：事故状态下最大消防水量；</w:t>
      </w:r>
    </w:p>
    <w:p>
      <w:pPr>
        <w:spacing w:line="500" w:lineRule="exact"/>
        <w:ind w:firstLine="560" w:firstLineChars="200"/>
        <w:rPr>
          <w:rFonts w:eastAsia="仿宋"/>
          <w:bCs/>
          <w:sz w:val="28"/>
          <w:szCs w:val="28"/>
        </w:rPr>
      </w:pPr>
      <w:r>
        <w:rPr>
          <w:rFonts w:eastAsia="仿宋"/>
          <w:bCs/>
          <w:sz w:val="28"/>
          <w:szCs w:val="28"/>
        </w:rPr>
        <w:t>V3：事故时可以转输到其它储存或处理设施的物料量</w:t>
      </w:r>
    </w:p>
    <w:p>
      <w:pPr>
        <w:spacing w:line="500" w:lineRule="exact"/>
        <w:ind w:firstLine="560" w:firstLineChars="200"/>
        <w:rPr>
          <w:rFonts w:eastAsia="仿宋"/>
          <w:bCs/>
          <w:sz w:val="28"/>
          <w:szCs w:val="28"/>
        </w:rPr>
      </w:pPr>
      <w:r>
        <w:rPr>
          <w:rFonts w:eastAsia="仿宋"/>
          <w:bCs/>
          <w:sz w:val="28"/>
          <w:szCs w:val="28"/>
        </w:rPr>
        <w:t>V4：发生事故时必须进入该收集系统的生产废水量</w:t>
      </w:r>
    </w:p>
    <w:p>
      <w:pPr>
        <w:spacing w:line="500" w:lineRule="exact"/>
        <w:ind w:firstLine="560" w:firstLineChars="200"/>
        <w:rPr>
          <w:rFonts w:eastAsia="仿宋"/>
          <w:bCs/>
          <w:sz w:val="28"/>
          <w:szCs w:val="28"/>
        </w:rPr>
      </w:pPr>
      <w:r>
        <w:rPr>
          <w:rFonts w:eastAsia="仿宋"/>
          <w:bCs/>
          <w:sz w:val="28"/>
          <w:szCs w:val="28"/>
        </w:rPr>
        <w:t>V5：发生事故时可能进入该收集系统的降雨量</w:t>
      </w:r>
    </w:p>
    <w:p>
      <w:pPr>
        <w:spacing w:line="500" w:lineRule="exact"/>
        <w:ind w:firstLine="560" w:firstLineChars="200"/>
        <w:rPr>
          <w:rFonts w:eastAsia="仿宋"/>
          <w:bCs/>
          <w:sz w:val="28"/>
          <w:szCs w:val="28"/>
        </w:rPr>
      </w:pPr>
      <w:r>
        <w:rPr>
          <w:rFonts w:hint="eastAsia" w:eastAsia="仿宋"/>
          <w:bCs/>
          <w:sz w:val="28"/>
          <w:szCs w:val="28"/>
        </w:rPr>
        <w:t>①</w:t>
      </w:r>
      <w:r>
        <w:rPr>
          <w:rFonts w:eastAsia="仿宋"/>
          <w:bCs/>
          <w:sz w:val="28"/>
          <w:szCs w:val="28"/>
        </w:rPr>
        <w:t>V1</w:t>
      </w:r>
    </w:p>
    <w:p>
      <w:pPr>
        <w:spacing w:line="500" w:lineRule="exact"/>
        <w:ind w:firstLine="560" w:firstLineChars="200"/>
        <w:rPr>
          <w:rFonts w:eastAsia="仿宋"/>
          <w:bCs/>
          <w:sz w:val="28"/>
          <w:szCs w:val="28"/>
        </w:rPr>
      </w:pPr>
      <w:r>
        <w:rPr>
          <w:rFonts w:eastAsia="仿宋"/>
          <w:bCs/>
          <w:sz w:val="28"/>
          <w:szCs w:val="28"/>
        </w:rPr>
        <w:t>厂区内无储罐，原料包装均采取桶装方式，V1=0.</w:t>
      </w:r>
      <w:r>
        <w:rPr>
          <w:rFonts w:hint="eastAsia" w:eastAsia="仿宋"/>
          <w:bCs/>
          <w:sz w:val="28"/>
          <w:szCs w:val="28"/>
        </w:rPr>
        <w:t>1</w:t>
      </w:r>
      <w:r>
        <w:rPr>
          <w:rFonts w:eastAsia="仿宋"/>
          <w:bCs/>
          <w:sz w:val="28"/>
          <w:szCs w:val="28"/>
        </w:rPr>
        <w:t>m</w:t>
      </w:r>
      <w:r>
        <w:rPr>
          <w:rFonts w:eastAsia="仿宋"/>
          <w:bCs/>
          <w:sz w:val="28"/>
          <w:szCs w:val="28"/>
          <w:vertAlign w:val="superscript"/>
        </w:rPr>
        <w:t>3</w:t>
      </w:r>
      <w:r>
        <w:rPr>
          <w:rFonts w:eastAsia="仿宋"/>
          <w:bCs/>
          <w:sz w:val="28"/>
          <w:szCs w:val="28"/>
        </w:rPr>
        <w:t>。</w:t>
      </w:r>
    </w:p>
    <w:p>
      <w:pPr>
        <w:spacing w:line="500" w:lineRule="exact"/>
        <w:ind w:firstLine="560" w:firstLineChars="200"/>
        <w:rPr>
          <w:rFonts w:eastAsia="仿宋"/>
          <w:bCs/>
          <w:sz w:val="28"/>
          <w:szCs w:val="28"/>
        </w:rPr>
      </w:pPr>
      <w:r>
        <w:rPr>
          <w:rFonts w:hint="eastAsia" w:eastAsia="仿宋"/>
          <w:bCs/>
          <w:sz w:val="28"/>
          <w:szCs w:val="28"/>
        </w:rPr>
        <w:t>②</w:t>
      </w:r>
      <w:r>
        <w:rPr>
          <w:rFonts w:eastAsia="仿宋"/>
          <w:bCs/>
          <w:sz w:val="28"/>
          <w:szCs w:val="28"/>
        </w:rPr>
        <w:t>V2</w:t>
      </w:r>
    </w:p>
    <w:p>
      <w:pPr>
        <w:spacing w:line="500" w:lineRule="exact"/>
        <w:ind w:firstLine="560" w:firstLineChars="200"/>
        <w:rPr>
          <w:rFonts w:eastAsia="仿宋"/>
          <w:bCs/>
          <w:sz w:val="28"/>
          <w:szCs w:val="28"/>
        </w:rPr>
      </w:pPr>
      <w:r>
        <w:rPr>
          <w:rFonts w:eastAsia="仿宋"/>
          <w:bCs/>
          <w:sz w:val="28"/>
          <w:szCs w:val="28"/>
        </w:rPr>
        <w:t>全厂最大消防用水量20L/s，持续时间</w:t>
      </w:r>
      <w:r>
        <w:rPr>
          <w:rFonts w:hint="eastAsia" w:eastAsia="仿宋"/>
          <w:bCs/>
          <w:sz w:val="28"/>
          <w:szCs w:val="28"/>
        </w:rPr>
        <w:t>1</w:t>
      </w:r>
      <w:r>
        <w:rPr>
          <w:rFonts w:eastAsia="仿宋"/>
          <w:bCs/>
          <w:sz w:val="28"/>
          <w:szCs w:val="28"/>
        </w:rPr>
        <w:t>h，用水量为</w:t>
      </w:r>
      <w:r>
        <w:rPr>
          <w:rFonts w:hint="eastAsia" w:eastAsia="仿宋"/>
          <w:bCs/>
          <w:sz w:val="28"/>
          <w:szCs w:val="28"/>
        </w:rPr>
        <w:t>72</w:t>
      </w:r>
      <w:r>
        <w:rPr>
          <w:rFonts w:eastAsia="仿宋"/>
          <w:bCs/>
          <w:sz w:val="28"/>
          <w:szCs w:val="28"/>
        </w:rPr>
        <w:t>m</w:t>
      </w:r>
      <w:r>
        <w:rPr>
          <w:rFonts w:eastAsia="仿宋"/>
          <w:bCs/>
          <w:sz w:val="28"/>
          <w:szCs w:val="28"/>
          <w:vertAlign w:val="superscript"/>
        </w:rPr>
        <w:t>3</w:t>
      </w:r>
      <w:r>
        <w:rPr>
          <w:rFonts w:eastAsia="仿宋"/>
          <w:bCs/>
          <w:sz w:val="28"/>
          <w:szCs w:val="28"/>
        </w:rPr>
        <w:t>，因此V2为消防水量</w:t>
      </w:r>
      <w:r>
        <w:rPr>
          <w:rFonts w:hint="eastAsia" w:eastAsia="仿宋"/>
          <w:bCs/>
          <w:sz w:val="28"/>
          <w:szCs w:val="28"/>
        </w:rPr>
        <w:t>72</w:t>
      </w:r>
      <w:r>
        <w:rPr>
          <w:rFonts w:eastAsia="仿宋"/>
          <w:bCs/>
          <w:sz w:val="28"/>
          <w:szCs w:val="28"/>
        </w:rPr>
        <w:t>m</w:t>
      </w:r>
      <w:r>
        <w:rPr>
          <w:rFonts w:eastAsia="仿宋"/>
          <w:bCs/>
          <w:sz w:val="28"/>
          <w:szCs w:val="28"/>
          <w:vertAlign w:val="superscript"/>
        </w:rPr>
        <w:t>3</w:t>
      </w:r>
      <w:r>
        <w:rPr>
          <w:rFonts w:eastAsia="仿宋"/>
          <w:bCs/>
          <w:sz w:val="28"/>
          <w:szCs w:val="28"/>
        </w:rPr>
        <w:t>。</w:t>
      </w:r>
    </w:p>
    <w:p>
      <w:pPr>
        <w:pStyle w:val="365"/>
        <w:numPr>
          <w:ilvl w:val="0"/>
          <w:numId w:val="17"/>
        </w:numPr>
        <w:spacing w:line="500" w:lineRule="exact"/>
        <w:ind w:firstLineChars="0"/>
        <w:rPr>
          <w:rFonts w:eastAsia="仿宋"/>
          <w:bCs/>
          <w:sz w:val="28"/>
          <w:szCs w:val="28"/>
        </w:rPr>
      </w:pPr>
      <w:r>
        <w:rPr>
          <w:rFonts w:eastAsia="仿宋"/>
          <w:bCs/>
          <w:sz w:val="28"/>
          <w:szCs w:val="28"/>
        </w:rPr>
        <w:t>V3</w:t>
      </w:r>
    </w:p>
    <w:p>
      <w:pPr>
        <w:spacing w:line="500" w:lineRule="exact"/>
        <w:ind w:firstLine="560" w:firstLineChars="200"/>
        <w:rPr>
          <w:rFonts w:eastAsia="仿宋"/>
          <w:bCs/>
          <w:sz w:val="28"/>
          <w:szCs w:val="28"/>
        </w:rPr>
      </w:pPr>
      <w:r>
        <w:rPr>
          <w:rFonts w:eastAsia="仿宋"/>
          <w:bCs/>
          <w:sz w:val="28"/>
          <w:szCs w:val="28"/>
        </w:rPr>
        <w:t>事故发生时可以暂存的设施</w:t>
      </w:r>
      <w:r>
        <w:rPr>
          <w:rFonts w:hint="eastAsia" w:eastAsia="仿宋"/>
          <w:bCs/>
          <w:sz w:val="28"/>
          <w:szCs w:val="28"/>
        </w:rPr>
        <w:t>主要</w:t>
      </w:r>
      <w:r>
        <w:rPr>
          <w:rFonts w:eastAsia="仿宋"/>
          <w:bCs/>
          <w:sz w:val="28"/>
          <w:szCs w:val="28"/>
        </w:rPr>
        <w:t>为雨水管网，</w:t>
      </w:r>
      <w:r>
        <w:rPr>
          <w:rFonts w:hint="eastAsia" w:eastAsia="仿宋"/>
          <w:bCs/>
          <w:sz w:val="28"/>
          <w:szCs w:val="28"/>
        </w:rPr>
        <w:t>根据</w:t>
      </w:r>
      <w:r>
        <w:rPr>
          <w:rFonts w:eastAsia="仿宋"/>
          <w:bCs/>
          <w:sz w:val="28"/>
          <w:szCs w:val="28"/>
        </w:rPr>
        <w:t>厂区雨水管网工程图</w:t>
      </w:r>
      <w:r>
        <w:rPr>
          <w:rFonts w:hint="eastAsia" w:eastAsia="仿宋"/>
          <w:bCs/>
          <w:sz w:val="28"/>
          <w:szCs w:val="28"/>
        </w:rPr>
        <w:t>计算</w:t>
      </w:r>
      <w:r>
        <w:rPr>
          <w:rFonts w:eastAsia="仿宋"/>
          <w:bCs/>
          <w:sz w:val="28"/>
          <w:szCs w:val="28"/>
        </w:rPr>
        <w:t>，</w:t>
      </w:r>
      <w:r>
        <w:rPr>
          <w:rFonts w:hint="eastAsia" w:eastAsia="仿宋"/>
          <w:bCs/>
          <w:sz w:val="28"/>
          <w:szCs w:val="28"/>
        </w:rPr>
        <w:t>总容积（3</w:t>
      </w:r>
      <w:r>
        <w:rPr>
          <w:rFonts w:eastAsia="仿宋"/>
          <w:bCs/>
          <w:sz w:val="28"/>
          <w:szCs w:val="28"/>
        </w:rPr>
        <w:t>.14*0.25</w:t>
      </w:r>
      <w:r>
        <w:rPr>
          <w:rFonts w:eastAsia="仿宋"/>
          <w:bCs/>
          <w:sz w:val="28"/>
          <w:szCs w:val="28"/>
          <w:vertAlign w:val="superscript"/>
        </w:rPr>
        <w:t>2</w:t>
      </w:r>
      <w:r>
        <w:rPr>
          <w:rFonts w:eastAsia="仿宋"/>
          <w:bCs/>
          <w:sz w:val="28"/>
          <w:szCs w:val="28"/>
        </w:rPr>
        <w:t>*390+</w:t>
      </w:r>
      <w:r>
        <w:rPr>
          <w:rFonts w:hint="eastAsia" w:eastAsia="仿宋"/>
          <w:bCs/>
          <w:sz w:val="28"/>
          <w:szCs w:val="28"/>
        </w:rPr>
        <w:t>3</w:t>
      </w:r>
      <w:r>
        <w:rPr>
          <w:rFonts w:eastAsia="仿宋"/>
          <w:bCs/>
          <w:sz w:val="28"/>
          <w:szCs w:val="28"/>
        </w:rPr>
        <w:t>.14*0.3</w:t>
      </w:r>
      <w:r>
        <w:rPr>
          <w:rFonts w:eastAsia="仿宋"/>
          <w:bCs/>
          <w:sz w:val="28"/>
          <w:szCs w:val="28"/>
          <w:vertAlign w:val="superscript"/>
        </w:rPr>
        <w:t>2</w:t>
      </w:r>
      <w:r>
        <w:rPr>
          <w:rFonts w:eastAsia="仿宋"/>
          <w:bCs/>
          <w:sz w:val="28"/>
          <w:szCs w:val="28"/>
        </w:rPr>
        <w:t>*120</w:t>
      </w:r>
      <w:r>
        <w:rPr>
          <w:rFonts w:hint="eastAsia" w:eastAsia="仿宋"/>
          <w:bCs/>
          <w:sz w:val="28"/>
          <w:szCs w:val="28"/>
        </w:rPr>
        <w:t>）</w:t>
      </w:r>
      <w:r>
        <w:rPr>
          <w:rFonts w:eastAsia="仿宋"/>
          <w:bCs/>
          <w:sz w:val="28"/>
          <w:szCs w:val="28"/>
        </w:rPr>
        <w:t>110m</w:t>
      </w:r>
      <w:r>
        <w:rPr>
          <w:rFonts w:eastAsia="仿宋"/>
          <w:bCs/>
          <w:sz w:val="28"/>
          <w:szCs w:val="28"/>
          <w:vertAlign w:val="superscript"/>
        </w:rPr>
        <w:t>3</w:t>
      </w:r>
      <w:r>
        <w:rPr>
          <w:rFonts w:hint="eastAsia" w:eastAsia="仿宋"/>
          <w:bCs/>
          <w:sz w:val="28"/>
          <w:szCs w:val="28"/>
        </w:rPr>
        <w:t>，按照80</w:t>
      </w:r>
      <w:r>
        <w:rPr>
          <w:rFonts w:eastAsia="仿宋"/>
          <w:bCs/>
          <w:sz w:val="28"/>
          <w:szCs w:val="28"/>
        </w:rPr>
        <w:t>%计算，则V3=88m</w:t>
      </w:r>
      <w:r>
        <w:rPr>
          <w:rFonts w:eastAsia="仿宋"/>
          <w:bCs/>
          <w:sz w:val="28"/>
          <w:szCs w:val="28"/>
          <w:vertAlign w:val="superscript"/>
        </w:rPr>
        <w:t>3</w:t>
      </w:r>
      <w:r>
        <w:rPr>
          <w:rFonts w:eastAsia="仿宋"/>
          <w:bCs/>
          <w:sz w:val="28"/>
          <w:szCs w:val="28"/>
        </w:rPr>
        <w:t>。</w:t>
      </w:r>
    </w:p>
    <w:p>
      <w:pPr>
        <w:spacing w:line="500" w:lineRule="exact"/>
        <w:ind w:firstLine="560" w:firstLineChars="200"/>
        <w:rPr>
          <w:rFonts w:eastAsia="仿宋"/>
          <w:bCs/>
          <w:sz w:val="28"/>
          <w:szCs w:val="28"/>
        </w:rPr>
      </w:pPr>
      <w:r>
        <w:rPr>
          <w:rFonts w:hint="eastAsia" w:eastAsia="仿宋"/>
          <w:bCs/>
          <w:sz w:val="28"/>
          <w:szCs w:val="28"/>
        </w:rPr>
        <w:t>④</w:t>
      </w:r>
      <w:r>
        <w:rPr>
          <w:rFonts w:eastAsia="仿宋"/>
          <w:bCs/>
          <w:sz w:val="28"/>
          <w:szCs w:val="28"/>
        </w:rPr>
        <w:t>V4</w:t>
      </w:r>
    </w:p>
    <w:p>
      <w:pPr>
        <w:spacing w:line="500" w:lineRule="exact"/>
        <w:ind w:firstLine="560" w:firstLineChars="200"/>
        <w:rPr>
          <w:rFonts w:eastAsia="仿宋"/>
          <w:bCs/>
          <w:sz w:val="28"/>
          <w:szCs w:val="28"/>
        </w:rPr>
      </w:pPr>
      <w:r>
        <w:rPr>
          <w:rFonts w:eastAsia="仿宋"/>
          <w:bCs/>
          <w:sz w:val="28"/>
          <w:szCs w:val="28"/>
        </w:rPr>
        <w:t>发生事故时进入收集系统的生产废水量为0m</w:t>
      </w:r>
      <w:r>
        <w:rPr>
          <w:rFonts w:eastAsia="仿宋"/>
          <w:bCs/>
          <w:sz w:val="28"/>
          <w:szCs w:val="28"/>
          <w:vertAlign w:val="superscript"/>
        </w:rPr>
        <w:t>3</w:t>
      </w:r>
      <w:r>
        <w:rPr>
          <w:rFonts w:eastAsia="仿宋"/>
          <w:bCs/>
          <w:sz w:val="28"/>
          <w:szCs w:val="28"/>
        </w:rPr>
        <w:t>，V4=0m</w:t>
      </w:r>
      <w:r>
        <w:rPr>
          <w:rFonts w:eastAsia="仿宋"/>
          <w:bCs/>
          <w:sz w:val="28"/>
          <w:szCs w:val="28"/>
          <w:vertAlign w:val="superscript"/>
        </w:rPr>
        <w:t>3</w:t>
      </w:r>
      <w:r>
        <w:rPr>
          <w:rFonts w:eastAsia="仿宋"/>
          <w:bCs/>
          <w:sz w:val="28"/>
          <w:szCs w:val="28"/>
        </w:rPr>
        <w:t>。</w:t>
      </w:r>
    </w:p>
    <w:p>
      <w:pPr>
        <w:spacing w:line="500" w:lineRule="exact"/>
        <w:ind w:firstLine="560" w:firstLineChars="200"/>
        <w:rPr>
          <w:rFonts w:eastAsia="仿宋"/>
          <w:bCs/>
          <w:sz w:val="28"/>
          <w:szCs w:val="28"/>
        </w:rPr>
      </w:pPr>
      <w:r>
        <w:rPr>
          <w:rFonts w:hint="eastAsia" w:eastAsia="仿宋"/>
          <w:bCs/>
          <w:sz w:val="28"/>
          <w:szCs w:val="28"/>
        </w:rPr>
        <w:t>⑤</w:t>
      </w:r>
      <w:r>
        <w:rPr>
          <w:rFonts w:eastAsia="仿宋"/>
          <w:bCs/>
          <w:sz w:val="28"/>
          <w:szCs w:val="28"/>
        </w:rPr>
        <w:t>V5</w:t>
      </w:r>
    </w:p>
    <w:p>
      <w:pPr>
        <w:spacing w:line="500" w:lineRule="exact"/>
        <w:ind w:firstLine="560" w:firstLineChars="200"/>
        <w:rPr>
          <w:rFonts w:eastAsia="仿宋"/>
          <w:bCs/>
          <w:sz w:val="28"/>
          <w:szCs w:val="28"/>
        </w:rPr>
      </w:pPr>
      <w:r>
        <w:rPr>
          <w:rFonts w:eastAsia="仿宋"/>
          <w:bCs/>
          <w:sz w:val="28"/>
          <w:szCs w:val="28"/>
        </w:rPr>
        <w:t>常州平均降雨量1226.9 mm；多年降平均雨天数120天，平均日降雨量q＝10.2mm，事故状态下汇水面积约9200平方米，计算V5＝</w:t>
      </w:r>
      <w:r>
        <w:rPr>
          <w:rFonts w:hint="eastAsia" w:eastAsia="仿宋"/>
          <w:bCs/>
          <w:sz w:val="28"/>
          <w:szCs w:val="28"/>
        </w:rPr>
        <w:t>9</w:t>
      </w:r>
      <w:r>
        <w:rPr>
          <w:rFonts w:eastAsia="仿宋"/>
          <w:bCs/>
          <w:sz w:val="28"/>
          <w:szCs w:val="28"/>
        </w:rPr>
        <w:t>3.84m</w:t>
      </w:r>
      <w:r>
        <w:rPr>
          <w:rFonts w:eastAsia="仿宋"/>
          <w:bCs/>
          <w:sz w:val="28"/>
          <w:szCs w:val="28"/>
          <w:vertAlign w:val="superscript"/>
        </w:rPr>
        <w:t>3</w:t>
      </w:r>
      <w:r>
        <w:rPr>
          <w:rFonts w:eastAsia="仿宋"/>
          <w:bCs/>
          <w:sz w:val="28"/>
          <w:szCs w:val="28"/>
        </w:rPr>
        <w:t>。</w:t>
      </w:r>
    </w:p>
    <w:p>
      <w:pPr>
        <w:spacing w:line="500" w:lineRule="exact"/>
        <w:ind w:firstLine="560" w:firstLineChars="200"/>
        <w:rPr>
          <w:rFonts w:eastAsia="仿宋"/>
          <w:bCs/>
          <w:sz w:val="28"/>
          <w:szCs w:val="28"/>
        </w:rPr>
      </w:pPr>
      <w:r>
        <w:rPr>
          <w:rFonts w:eastAsia="仿宋"/>
          <w:bCs/>
          <w:sz w:val="28"/>
          <w:szCs w:val="28"/>
        </w:rPr>
        <w:t>V5=qF</w:t>
      </w:r>
      <w:r>
        <w:rPr>
          <w:rFonts w:hint="eastAsia" w:eastAsia="仿宋"/>
          <w:bCs/>
          <w:sz w:val="28"/>
          <w:szCs w:val="28"/>
        </w:rPr>
        <w:t>/1000</w:t>
      </w:r>
    </w:p>
    <w:p>
      <w:pPr>
        <w:spacing w:line="500" w:lineRule="exact"/>
        <w:ind w:firstLine="560" w:firstLineChars="200"/>
        <w:rPr>
          <w:rFonts w:eastAsia="仿宋"/>
          <w:bCs/>
          <w:sz w:val="28"/>
          <w:szCs w:val="28"/>
        </w:rPr>
      </w:pPr>
      <w:r>
        <w:rPr>
          <w:rFonts w:eastAsia="仿宋"/>
          <w:bCs/>
          <w:sz w:val="28"/>
          <w:szCs w:val="28"/>
        </w:rPr>
        <w:t>q—降雨强度，mm；</w:t>
      </w:r>
    </w:p>
    <w:p>
      <w:pPr>
        <w:spacing w:line="500" w:lineRule="exact"/>
        <w:ind w:firstLine="560" w:firstLineChars="200"/>
        <w:rPr>
          <w:rFonts w:eastAsia="仿宋"/>
          <w:bCs/>
          <w:sz w:val="28"/>
          <w:szCs w:val="28"/>
        </w:rPr>
      </w:pPr>
      <w:r>
        <w:rPr>
          <w:rFonts w:eastAsia="仿宋"/>
          <w:bCs/>
          <w:sz w:val="28"/>
          <w:szCs w:val="28"/>
        </w:rPr>
        <w:t>F—必须进入事故废水收集系统的雨水汇水面积，m</w:t>
      </w:r>
      <w:r>
        <w:rPr>
          <w:rFonts w:eastAsia="仿宋"/>
          <w:bCs/>
          <w:sz w:val="28"/>
          <w:szCs w:val="28"/>
          <w:vertAlign w:val="superscript"/>
        </w:rPr>
        <w:t>2</w:t>
      </w:r>
      <w:r>
        <w:rPr>
          <w:rFonts w:eastAsia="仿宋"/>
          <w:bCs/>
          <w:sz w:val="28"/>
          <w:szCs w:val="28"/>
        </w:rPr>
        <w:t>。</w:t>
      </w:r>
    </w:p>
    <w:p>
      <w:pPr>
        <w:spacing w:line="500" w:lineRule="exact"/>
        <w:ind w:firstLine="560" w:firstLineChars="200"/>
        <w:rPr>
          <w:rFonts w:eastAsia="仿宋"/>
          <w:bCs/>
          <w:sz w:val="28"/>
          <w:szCs w:val="28"/>
        </w:rPr>
      </w:pPr>
      <w:r>
        <w:rPr>
          <w:rFonts w:eastAsia="仿宋"/>
          <w:bCs/>
          <w:sz w:val="28"/>
          <w:szCs w:val="28"/>
        </w:rPr>
        <w:t>计算结果如下：</w:t>
      </w:r>
    </w:p>
    <w:p>
      <w:pPr>
        <w:spacing w:line="500" w:lineRule="exact"/>
        <w:ind w:firstLine="560" w:firstLineChars="200"/>
        <w:rPr>
          <w:rFonts w:eastAsia="仿宋"/>
          <w:bCs/>
          <w:sz w:val="28"/>
          <w:szCs w:val="28"/>
        </w:rPr>
      </w:pPr>
      <w:r>
        <w:rPr>
          <w:rFonts w:eastAsia="仿宋"/>
          <w:bCs/>
          <w:sz w:val="28"/>
          <w:szCs w:val="28"/>
        </w:rPr>
        <w:t>V总=(V1+V2-V3)+V4+V5=（</w:t>
      </w:r>
      <w:r>
        <w:rPr>
          <w:rFonts w:hint="eastAsia" w:eastAsia="仿宋"/>
          <w:bCs/>
          <w:sz w:val="28"/>
          <w:szCs w:val="28"/>
        </w:rPr>
        <w:t>0</w:t>
      </w:r>
      <w:r>
        <w:rPr>
          <w:rFonts w:eastAsia="仿宋"/>
          <w:bCs/>
          <w:sz w:val="28"/>
          <w:szCs w:val="28"/>
        </w:rPr>
        <w:t>.</w:t>
      </w:r>
      <w:r>
        <w:rPr>
          <w:rFonts w:hint="eastAsia" w:eastAsia="仿宋"/>
          <w:bCs/>
          <w:sz w:val="28"/>
          <w:szCs w:val="28"/>
        </w:rPr>
        <w:t>1</w:t>
      </w:r>
      <w:r>
        <w:rPr>
          <w:rFonts w:eastAsia="仿宋"/>
          <w:bCs/>
          <w:sz w:val="28"/>
          <w:szCs w:val="28"/>
        </w:rPr>
        <w:t>+</w:t>
      </w:r>
      <w:r>
        <w:rPr>
          <w:rFonts w:hint="eastAsia" w:eastAsia="仿宋"/>
          <w:bCs/>
          <w:sz w:val="28"/>
          <w:szCs w:val="28"/>
        </w:rPr>
        <w:t>72</w:t>
      </w:r>
      <w:r>
        <w:rPr>
          <w:rFonts w:eastAsia="仿宋"/>
          <w:bCs/>
          <w:sz w:val="28"/>
          <w:szCs w:val="28"/>
        </w:rPr>
        <w:t>-88）+0+93.84=77.94m</w:t>
      </w:r>
      <w:r>
        <w:rPr>
          <w:rFonts w:eastAsia="仿宋"/>
          <w:bCs/>
          <w:sz w:val="28"/>
          <w:szCs w:val="28"/>
          <w:vertAlign w:val="superscript"/>
        </w:rPr>
        <w:t>3</w:t>
      </w:r>
    </w:p>
    <w:p>
      <w:pPr>
        <w:spacing w:line="500" w:lineRule="exact"/>
        <w:ind w:firstLine="560" w:firstLineChars="200"/>
        <w:rPr>
          <w:rFonts w:eastAsia="仿宋"/>
          <w:bCs/>
          <w:sz w:val="28"/>
          <w:szCs w:val="28"/>
        </w:rPr>
      </w:pPr>
      <w:r>
        <w:rPr>
          <w:rFonts w:eastAsia="仿宋"/>
          <w:bCs/>
          <w:sz w:val="28"/>
          <w:szCs w:val="28"/>
        </w:rPr>
        <w:t>由以上估算可知，厂区内应设置一座有效容积不少于77.94m</w:t>
      </w:r>
      <w:r>
        <w:rPr>
          <w:rFonts w:eastAsia="仿宋"/>
          <w:bCs/>
          <w:sz w:val="28"/>
          <w:szCs w:val="28"/>
          <w:vertAlign w:val="superscript"/>
        </w:rPr>
        <w:t>3</w:t>
      </w:r>
      <w:r>
        <w:rPr>
          <w:rFonts w:eastAsia="仿宋"/>
          <w:bCs/>
          <w:sz w:val="28"/>
          <w:szCs w:val="28"/>
        </w:rPr>
        <w:t>事故应急池。本项目</w:t>
      </w:r>
      <w:r>
        <w:rPr>
          <w:rFonts w:hint="eastAsia" w:eastAsia="仿宋"/>
          <w:bCs/>
          <w:sz w:val="28"/>
          <w:szCs w:val="28"/>
        </w:rPr>
        <w:t>依托厂区内</w:t>
      </w:r>
      <w:r>
        <w:rPr>
          <w:rFonts w:eastAsia="仿宋"/>
          <w:bCs/>
          <w:sz w:val="28"/>
          <w:szCs w:val="28"/>
        </w:rPr>
        <w:t>一座埋地</w:t>
      </w:r>
      <w:r>
        <w:rPr>
          <w:rFonts w:hint="eastAsia" w:eastAsia="仿宋"/>
          <w:bCs/>
          <w:sz w:val="28"/>
          <w:szCs w:val="28"/>
        </w:rPr>
        <w:t>10</w:t>
      </w:r>
      <w:r>
        <w:rPr>
          <w:rFonts w:eastAsia="仿宋"/>
          <w:bCs/>
          <w:sz w:val="28"/>
          <w:szCs w:val="28"/>
        </w:rPr>
        <w:t>0m</w:t>
      </w:r>
      <w:r>
        <w:rPr>
          <w:rFonts w:eastAsia="仿宋"/>
          <w:bCs/>
          <w:sz w:val="28"/>
          <w:szCs w:val="28"/>
          <w:vertAlign w:val="superscript"/>
        </w:rPr>
        <w:t>3</w:t>
      </w:r>
      <w:r>
        <w:rPr>
          <w:rFonts w:eastAsia="仿宋"/>
          <w:bCs/>
          <w:sz w:val="28"/>
          <w:szCs w:val="28"/>
        </w:rPr>
        <w:t>事故应急池并配套相应的应急管道，</w:t>
      </w:r>
      <w:r>
        <w:rPr>
          <w:rFonts w:hint="eastAsia" w:eastAsia="仿宋"/>
          <w:bCs/>
          <w:sz w:val="28"/>
          <w:szCs w:val="28"/>
        </w:rPr>
        <w:t>可以容纳两公司事故状态下的废水，</w:t>
      </w:r>
      <w:r>
        <w:rPr>
          <w:rFonts w:eastAsia="仿宋"/>
          <w:bCs/>
          <w:sz w:val="28"/>
          <w:szCs w:val="28"/>
        </w:rPr>
        <w:t>在发生事故时关闭雨水排放口的截流阀，将事故废水截留在雨水收集系统内以待进一步处理，防止伴生和次生的泄漏物料、污水、消防水直接进入厂内污水管网和雨水管网，给污水处理厂造成一定的冲击。</w:t>
      </w:r>
    </w:p>
    <w:p>
      <w:pPr>
        <w:spacing w:line="500" w:lineRule="exact"/>
        <w:ind w:firstLine="560" w:firstLineChars="200"/>
        <w:rPr>
          <w:rFonts w:eastAsia="仿宋"/>
          <w:bCs/>
          <w:sz w:val="28"/>
          <w:szCs w:val="28"/>
        </w:rPr>
      </w:pPr>
      <w:r>
        <w:rPr>
          <w:rFonts w:hint="eastAsia" w:eastAsia="仿宋"/>
          <w:bCs/>
          <w:sz w:val="28"/>
          <w:szCs w:val="28"/>
        </w:rPr>
        <w:t>对于</w:t>
      </w:r>
      <w:r>
        <w:rPr>
          <w:rFonts w:eastAsia="仿宋"/>
          <w:bCs/>
          <w:sz w:val="28"/>
          <w:szCs w:val="28"/>
        </w:rPr>
        <w:t>消防尾水，主要做到以下几点：(1)厂区内所有雨水管道的进口均须设置封闭阀，能够及时阻断被污染的消防尾水或其它废水进入清下水通道；(2)厂区内车间和仓库四周应设置地沟，对泄漏出来的物料和消防尾水进行围堵、收集；(3)应实行严格的“清、污分流”；</w:t>
      </w:r>
      <w:r>
        <w:rPr>
          <w:rFonts w:hint="eastAsia" w:eastAsia="仿宋"/>
          <w:bCs/>
          <w:sz w:val="28"/>
          <w:szCs w:val="28"/>
        </w:rPr>
        <w:t>（4）</w:t>
      </w:r>
      <w:r>
        <w:rPr>
          <w:rFonts w:eastAsia="仿宋"/>
          <w:bCs/>
          <w:sz w:val="28"/>
          <w:szCs w:val="28"/>
        </w:rPr>
        <w:t>事故发生后，首先切断</w:t>
      </w:r>
      <w:r>
        <w:rPr>
          <w:rFonts w:hint="eastAsia" w:eastAsia="仿宋"/>
          <w:bCs/>
          <w:sz w:val="28"/>
          <w:szCs w:val="28"/>
        </w:rPr>
        <w:t>雨水</w:t>
      </w:r>
      <w:r>
        <w:rPr>
          <w:rFonts w:eastAsia="仿宋"/>
          <w:bCs/>
          <w:sz w:val="28"/>
          <w:szCs w:val="28"/>
        </w:rPr>
        <w:t>排放口，防止装置内的消防水经雨水系统进入外环境。在</w:t>
      </w:r>
      <w:r>
        <w:rPr>
          <w:rFonts w:hint="eastAsia" w:eastAsia="仿宋"/>
          <w:bCs/>
          <w:sz w:val="28"/>
          <w:szCs w:val="28"/>
        </w:rPr>
        <w:t>雨水</w:t>
      </w:r>
      <w:r>
        <w:rPr>
          <w:rFonts w:eastAsia="仿宋"/>
          <w:bCs/>
          <w:sz w:val="28"/>
          <w:szCs w:val="28"/>
        </w:rPr>
        <w:t>排口安装切换阀门，一旦消防水进入雨水系统可以及时切换至污水系统，并将消防水收集至事故池进行处理</w:t>
      </w:r>
      <w:r>
        <w:rPr>
          <w:rFonts w:hint="eastAsia" w:eastAsia="仿宋"/>
          <w:bCs/>
          <w:sz w:val="28"/>
          <w:szCs w:val="28"/>
        </w:rPr>
        <w:t>。</w:t>
      </w:r>
    </w:p>
    <w:p>
      <w:pPr>
        <w:keepNext/>
        <w:widowControl/>
        <w:numPr>
          <w:ilvl w:val="3"/>
          <w:numId w:val="1"/>
        </w:numPr>
        <w:adjustRightInd w:val="0"/>
        <w:snapToGrid w:val="0"/>
        <w:spacing w:after="120" w:afterLines="50" w:line="500" w:lineRule="exact"/>
        <w:ind w:left="0" w:firstLine="0"/>
        <w:jc w:val="left"/>
        <w:outlineLvl w:val="3"/>
        <w:rPr>
          <w:rFonts w:eastAsia="仿宋_GB2312"/>
          <w:b/>
          <w:bCs/>
          <w:sz w:val="28"/>
          <w:szCs w:val="28"/>
        </w:rPr>
      </w:pPr>
      <w:r>
        <w:rPr>
          <w:rFonts w:hint="eastAsia" w:eastAsia="仿宋_GB2312"/>
          <w:b/>
          <w:bCs/>
          <w:sz w:val="28"/>
          <w:szCs w:val="28"/>
        </w:rPr>
        <w:t>有毒有害物质在地下水环境中的运移扩散</w:t>
      </w:r>
    </w:p>
    <w:p>
      <w:pPr>
        <w:spacing w:line="400" w:lineRule="exact"/>
        <w:jc w:val="center"/>
        <w:rPr>
          <w:rFonts w:eastAsia="仿宋"/>
          <w:b/>
          <w:sz w:val="24"/>
          <w:szCs w:val="20"/>
        </w:rPr>
      </w:pPr>
      <w:r>
        <w:rPr>
          <w:rFonts w:eastAsia="仿宋"/>
          <w:b/>
          <w:sz w:val="24"/>
          <w:szCs w:val="20"/>
        </w:rPr>
        <w:t>表5.</w:t>
      </w:r>
      <w:r>
        <w:rPr>
          <w:rFonts w:hint="eastAsia" w:eastAsia="仿宋"/>
          <w:b/>
          <w:sz w:val="24"/>
          <w:szCs w:val="20"/>
        </w:rPr>
        <w:t>3</w:t>
      </w:r>
      <w:r>
        <w:rPr>
          <w:rFonts w:eastAsia="仿宋"/>
          <w:b/>
          <w:sz w:val="24"/>
          <w:szCs w:val="20"/>
        </w:rPr>
        <w:t>-31  建设项目地下水环境风险简单分析内容表</w:t>
      </w:r>
    </w:p>
    <w:tbl>
      <w:tblPr>
        <w:tblStyle w:val="88"/>
        <w:tblW w:w="9073"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1"/>
        <w:gridCol w:w="1665"/>
        <w:gridCol w:w="1666"/>
        <w:gridCol w:w="1665"/>
        <w:gridCol w:w="1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vAlign w:val="center"/>
          </w:tcPr>
          <w:p>
            <w:pPr>
              <w:spacing w:line="320" w:lineRule="exact"/>
              <w:jc w:val="center"/>
              <w:rPr>
                <w:rFonts w:eastAsia="仿宋"/>
                <w:szCs w:val="21"/>
              </w:rPr>
            </w:pPr>
            <w:r>
              <w:rPr>
                <w:rFonts w:eastAsia="仿宋"/>
                <w:szCs w:val="21"/>
              </w:rPr>
              <w:t>建设项目名称</w:t>
            </w:r>
          </w:p>
        </w:tc>
        <w:tc>
          <w:tcPr>
            <w:tcW w:w="6662" w:type="dxa"/>
            <w:gridSpan w:val="4"/>
            <w:vAlign w:val="center"/>
          </w:tcPr>
          <w:p>
            <w:pPr>
              <w:spacing w:line="320" w:lineRule="exact"/>
              <w:jc w:val="center"/>
              <w:rPr>
                <w:rFonts w:eastAsia="仿宋"/>
                <w:szCs w:val="21"/>
              </w:rPr>
            </w:pPr>
            <w:r>
              <w:rPr>
                <w:rFonts w:hint="eastAsia" w:eastAsia="仿宋"/>
                <w:szCs w:val="21"/>
              </w:rPr>
              <w:t>江苏双联新能源材料科技有限</w:t>
            </w:r>
            <w:r>
              <w:rPr>
                <w:rFonts w:eastAsia="仿宋"/>
                <w:szCs w:val="21"/>
              </w:rPr>
              <w:t>公司</w:t>
            </w:r>
            <w:r>
              <w:rPr>
                <w:rFonts w:hint="eastAsia" w:eastAsia="仿宋"/>
                <w:szCs w:val="21"/>
              </w:rPr>
              <w:t>新建年产新能源电子材料3</w:t>
            </w:r>
            <w:r>
              <w:rPr>
                <w:rFonts w:eastAsia="仿宋"/>
                <w:szCs w:val="21"/>
              </w:rPr>
              <w:t>000</w:t>
            </w:r>
            <w:r>
              <w:rPr>
                <w:rFonts w:hint="eastAsia" w:eastAsia="仿宋"/>
                <w:szCs w:val="21"/>
              </w:rPr>
              <w:t>万平方米项目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vAlign w:val="center"/>
          </w:tcPr>
          <w:p>
            <w:pPr>
              <w:spacing w:line="320" w:lineRule="exact"/>
              <w:jc w:val="center"/>
              <w:rPr>
                <w:rFonts w:eastAsia="仿宋"/>
                <w:szCs w:val="21"/>
              </w:rPr>
            </w:pPr>
            <w:r>
              <w:rPr>
                <w:rFonts w:eastAsia="仿宋"/>
                <w:szCs w:val="21"/>
              </w:rPr>
              <w:t>建设地点</w:t>
            </w:r>
          </w:p>
        </w:tc>
        <w:tc>
          <w:tcPr>
            <w:tcW w:w="6662" w:type="dxa"/>
            <w:gridSpan w:val="4"/>
            <w:vAlign w:val="center"/>
          </w:tcPr>
          <w:p>
            <w:pPr>
              <w:spacing w:line="320" w:lineRule="exact"/>
              <w:jc w:val="center"/>
              <w:rPr>
                <w:rFonts w:eastAsia="仿宋"/>
                <w:szCs w:val="21"/>
              </w:rPr>
            </w:pPr>
            <w:r>
              <w:rPr>
                <w:rFonts w:hint="eastAsia" w:eastAsia="仿宋"/>
                <w:szCs w:val="21"/>
              </w:rPr>
              <w:t>常州市金坛区</w:t>
            </w:r>
            <w:r>
              <w:rPr>
                <w:rFonts w:eastAsia="仿宋"/>
                <w:szCs w:val="21"/>
              </w:rPr>
              <w:t>金城镇红山路29号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vAlign w:val="center"/>
          </w:tcPr>
          <w:p>
            <w:pPr>
              <w:spacing w:line="320" w:lineRule="exact"/>
              <w:jc w:val="center"/>
              <w:rPr>
                <w:rFonts w:eastAsia="仿宋"/>
                <w:szCs w:val="21"/>
              </w:rPr>
            </w:pPr>
            <w:r>
              <w:rPr>
                <w:rFonts w:eastAsia="仿宋"/>
                <w:szCs w:val="21"/>
              </w:rPr>
              <w:t>地理坐标</w:t>
            </w:r>
          </w:p>
        </w:tc>
        <w:tc>
          <w:tcPr>
            <w:tcW w:w="1665" w:type="dxa"/>
            <w:vAlign w:val="center"/>
          </w:tcPr>
          <w:p>
            <w:pPr>
              <w:spacing w:line="320" w:lineRule="exact"/>
              <w:jc w:val="center"/>
              <w:rPr>
                <w:rFonts w:eastAsia="仿宋"/>
                <w:szCs w:val="21"/>
              </w:rPr>
            </w:pPr>
            <w:r>
              <w:rPr>
                <w:rFonts w:eastAsia="仿宋"/>
                <w:szCs w:val="21"/>
              </w:rPr>
              <w:t>经度</w:t>
            </w:r>
          </w:p>
        </w:tc>
        <w:tc>
          <w:tcPr>
            <w:tcW w:w="1666" w:type="dxa"/>
            <w:vAlign w:val="center"/>
          </w:tcPr>
          <w:p>
            <w:pPr>
              <w:spacing w:line="320" w:lineRule="exact"/>
              <w:jc w:val="center"/>
              <w:rPr>
                <w:rFonts w:eastAsia="仿宋"/>
                <w:szCs w:val="21"/>
              </w:rPr>
            </w:pPr>
            <w:r>
              <w:rPr>
                <w:rFonts w:hint="eastAsia" w:eastAsia="仿宋"/>
                <w:szCs w:val="21"/>
              </w:rPr>
              <w:t>119.5524238</w:t>
            </w:r>
          </w:p>
        </w:tc>
        <w:tc>
          <w:tcPr>
            <w:tcW w:w="1665" w:type="dxa"/>
            <w:vAlign w:val="center"/>
          </w:tcPr>
          <w:p>
            <w:pPr>
              <w:spacing w:line="320" w:lineRule="exact"/>
              <w:jc w:val="center"/>
              <w:rPr>
                <w:rFonts w:eastAsia="仿宋"/>
                <w:szCs w:val="21"/>
              </w:rPr>
            </w:pPr>
            <w:r>
              <w:rPr>
                <w:rFonts w:eastAsia="仿宋"/>
                <w:szCs w:val="21"/>
              </w:rPr>
              <w:t>经度</w:t>
            </w:r>
          </w:p>
        </w:tc>
        <w:tc>
          <w:tcPr>
            <w:tcW w:w="1666" w:type="dxa"/>
            <w:vAlign w:val="center"/>
          </w:tcPr>
          <w:p>
            <w:pPr>
              <w:spacing w:line="320" w:lineRule="exact"/>
              <w:jc w:val="center"/>
              <w:rPr>
                <w:rFonts w:eastAsia="仿宋"/>
                <w:szCs w:val="21"/>
              </w:rPr>
            </w:pPr>
            <w:r>
              <w:rPr>
                <w:rFonts w:hint="eastAsia" w:eastAsia="仿宋"/>
                <w:szCs w:val="21"/>
              </w:rPr>
              <w:t>31.7698393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vAlign w:val="center"/>
          </w:tcPr>
          <w:p>
            <w:pPr>
              <w:spacing w:line="320" w:lineRule="exact"/>
              <w:jc w:val="center"/>
              <w:rPr>
                <w:rFonts w:eastAsia="仿宋"/>
                <w:szCs w:val="21"/>
              </w:rPr>
            </w:pPr>
            <w:r>
              <w:rPr>
                <w:rFonts w:eastAsia="仿宋"/>
                <w:szCs w:val="21"/>
              </w:rPr>
              <w:t>主要危险物质及分布</w:t>
            </w:r>
          </w:p>
        </w:tc>
        <w:tc>
          <w:tcPr>
            <w:tcW w:w="6662" w:type="dxa"/>
            <w:gridSpan w:val="4"/>
            <w:vAlign w:val="center"/>
          </w:tcPr>
          <w:p>
            <w:pPr>
              <w:spacing w:line="320" w:lineRule="exact"/>
              <w:jc w:val="left"/>
              <w:rPr>
                <w:rFonts w:eastAsia="仿宋"/>
                <w:szCs w:val="21"/>
              </w:rPr>
            </w:pPr>
            <w:r>
              <w:rPr>
                <w:rFonts w:hint="eastAsia" w:eastAsia="仿宋"/>
                <w:szCs w:val="21"/>
              </w:rPr>
              <w:t>胶粘剂、固化剂、清洗剂；原材料库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vAlign w:val="center"/>
          </w:tcPr>
          <w:p>
            <w:pPr>
              <w:spacing w:line="320" w:lineRule="exact"/>
              <w:jc w:val="center"/>
              <w:rPr>
                <w:rFonts w:eastAsia="仿宋"/>
                <w:szCs w:val="21"/>
              </w:rPr>
            </w:pPr>
            <w:r>
              <w:rPr>
                <w:rFonts w:eastAsia="仿宋"/>
                <w:szCs w:val="21"/>
              </w:rPr>
              <w:t>环境影响途径及危害后果</w:t>
            </w:r>
          </w:p>
        </w:tc>
        <w:tc>
          <w:tcPr>
            <w:tcW w:w="6662" w:type="dxa"/>
            <w:gridSpan w:val="4"/>
            <w:vAlign w:val="center"/>
          </w:tcPr>
          <w:p>
            <w:pPr>
              <w:spacing w:line="320" w:lineRule="exact"/>
              <w:jc w:val="left"/>
              <w:rPr>
                <w:rFonts w:eastAsia="仿宋"/>
                <w:szCs w:val="21"/>
              </w:rPr>
            </w:pPr>
            <w:r>
              <w:rPr>
                <w:rFonts w:eastAsia="仿宋"/>
                <w:szCs w:val="21"/>
              </w:rPr>
              <w:t>事故情况下，若出现危废堆场、消防水池、事故应急水池等防渗层损坏开裂等现象，物料将对地下水造成点源污染，污染物可能下渗至孔隙潜水及承压层中，从而在含水层中运移。考虑最不利情况，即消防水池防渗层损坏开裂、污水下渗时，预测对周边地下水环境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vAlign w:val="center"/>
          </w:tcPr>
          <w:p>
            <w:pPr>
              <w:spacing w:line="320" w:lineRule="exact"/>
              <w:jc w:val="center"/>
              <w:rPr>
                <w:rFonts w:eastAsia="仿宋"/>
                <w:szCs w:val="21"/>
              </w:rPr>
            </w:pPr>
            <w:r>
              <w:rPr>
                <w:rFonts w:eastAsia="仿宋"/>
                <w:szCs w:val="21"/>
              </w:rPr>
              <w:t>风险防范措施要求</w:t>
            </w:r>
          </w:p>
        </w:tc>
        <w:tc>
          <w:tcPr>
            <w:tcW w:w="6662" w:type="dxa"/>
            <w:gridSpan w:val="4"/>
            <w:vAlign w:val="center"/>
          </w:tcPr>
          <w:p>
            <w:pPr>
              <w:spacing w:line="320" w:lineRule="exact"/>
              <w:jc w:val="left"/>
              <w:rPr>
                <w:rFonts w:eastAsia="仿宋"/>
                <w:szCs w:val="21"/>
              </w:rPr>
            </w:pPr>
            <w:r>
              <w:rPr>
                <w:rFonts w:eastAsia="仿宋"/>
                <w:szCs w:val="21"/>
              </w:rPr>
              <w:t>企业需加强日常的运行管理，尽量避免事故的发生。本项目可能对地下水产生影响的主要区域在装置区、固废堆场、事故应急池等，拟建工程设计阶段对厂区内的一般防渗区、重点防渗区均考虑采取地下水防渗处理措施。正常生产时，车间的跑冒滴漏不会下渗到地下水中。室外管道和阀门的跑冒滴漏量较小。且本项目用地现状为工业用地，在确保各项防渗措施得以落实并维护和加强厂区环境管理的前提下，对地下水基本无渗漏、污染较小。</w:t>
            </w:r>
          </w:p>
        </w:tc>
      </w:tr>
    </w:tbl>
    <w:p>
      <w:pPr>
        <w:keepNext/>
        <w:numPr>
          <w:ilvl w:val="2"/>
          <w:numId w:val="1"/>
        </w:numPr>
        <w:tabs>
          <w:tab w:val="left" w:pos="709"/>
        </w:tabs>
        <w:spacing w:after="120" w:afterLines="50" w:line="500" w:lineRule="exact"/>
        <w:ind w:left="0" w:firstLine="0"/>
        <w:outlineLvl w:val="2"/>
        <w:rPr>
          <w:rFonts w:eastAsia="仿宋_GB2312"/>
          <w:b/>
          <w:sz w:val="28"/>
          <w:szCs w:val="28"/>
        </w:rPr>
      </w:pPr>
      <w:r>
        <w:rPr>
          <w:rFonts w:eastAsia="仿宋_GB2312"/>
          <w:b/>
          <w:sz w:val="28"/>
          <w:szCs w:val="28"/>
        </w:rPr>
        <w:t>环境风险防范措施及应急要求</w:t>
      </w:r>
    </w:p>
    <w:p>
      <w:pPr>
        <w:spacing w:line="500" w:lineRule="exact"/>
        <w:ind w:firstLine="561"/>
        <w:rPr>
          <w:rFonts w:eastAsia="仿宋_GB2312"/>
          <w:b/>
          <w:sz w:val="28"/>
          <w:szCs w:val="28"/>
        </w:rPr>
      </w:pPr>
      <w:r>
        <w:rPr>
          <w:rFonts w:eastAsia="仿宋_GB2312"/>
          <w:b/>
          <w:sz w:val="28"/>
          <w:szCs w:val="28"/>
        </w:rPr>
        <w:t>防范措施</w:t>
      </w:r>
    </w:p>
    <w:p>
      <w:pPr>
        <w:spacing w:line="500" w:lineRule="exact"/>
        <w:ind w:firstLine="561"/>
        <w:rPr>
          <w:rFonts w:eastAsia="仿宋_GB2312"/>
          <w:sz w:val="28"/>
          <w:szCs w:val="28"/>
        </w:rPr>
      </w:pPr>
      <w:r>
        <w:rPr>
          <w:rFonts w:eastAsia="仿宋_GB2312"/>
          <w:sz w:val="28"/>
          <w:szCs w:val="28"/>
        </w:rPr>
        <w:fldChar w:fldCharType="begin"/>
      </w:r>
      <w:r>
        <w:rPr>
          <w:rFonts w:eastAsia="仿宋_GB2312"/>
          <w:sz w:val="28"/>
          <w:szCs w:val="28"/>
        </w:rPr>
        <w:instrText xml:space="preserve"> = 1 \* GB3 </w:instrText>
      </w:r>
      <w:r>
        <w:rPr>
          <w:rFonts w:eastAsia="仿宋_GB2312"/>
          <w:sz w:val="28"/>
          <w:szCs w:val="28"/>
        </w:rPr>
        <w:fldChar w:fldCharType="separate"/>
      </w:r>
      <w:r>
        <w:rPr>
          <w:rFonts w:hint="eastAsia" w:ascii="宋体" w:hAnsi="宋体" w:cs="宋体"/>
          <w:sz w:val="28"/>
          <w:szCs w:val="28"/>
        </w:rPr>
        <w:t>①</w:t>
      </w:r>
      <w:r>
        <w:rPr>
          <w:rFonts w:eastAsia="仿宋_GB2312"/>
          <w:sz w:val="28"/>
          <w:szCs w:val="28"/>
        </w:rPr>
        <w:fldChar w:fldCharType="end"/>
      </w:r>
      <w:r>
        <w:rPr>
          <w:rFonts w:hint="eastAsia" w:eastAsia="仿宋_GB2312"/>
          <w:sz w:val="28"/>
          <w:szCs w:val="28"/>
        </w:rPr>
        <w:t>原材料</w:t>
      </w:r>
      <w:r>
        <w:rPr>
          <w:rFonts w:eastAsia="仿宋_GB2312"/>
          <w:sz w:val="28"/>
          <w:szCs w:val="28"/>
        </w:rPr>
        <w:t>库防范措施</w:t>
      </w:r>
    </w:p>
    <w:p>
      <w:pPr>
        <w:spacing w:line="500" w:lineRule="exact"/>
        <w:ind w:firstLine="561"/>
        <w:rPr>
          <w:rFonts w:eastAsia="仿宋_GB2312"/>
          <w:sz w:val="28"/>
          <w:szCs w:val="28"/>
        </w:rPr>
      </w:pPr>
      <w:r>
        <w:rPr>
          <w:rFonts w:eastAsia="仿宋_GB2312"/>
          <w:sz w:val="28"/>
          <w:szCs w:val="28"/>
        </w:rPr>
        <w:t>在储存化学品时应严格遵守《常用化学危险品贮存通则》中的相关规定设计各仓库及建筑物，各建筑物应同时满足《建筑设计防火规范》中的各项规定，以达到安全生产、消防的安全距离和安全措施的要求。</w:t>
      </w:r>
    </w:p>
    <w:p>
      <w:pPr>
        <w:spacing w:line="500" w:lineRule="exact"/>
        <w:ind w:firstLine="561"/>
        <w:rPr>
          <w:rFonts w:eastAsia="仿宋_GB2312"/>
          <w:sz w:val="28"/>
          <w:szCs w:val="28"/>
        </w:rPr>
      </w:pPr>
      <w:r>
        <w:rPr>
          <w:rFonts w:eastAsia="仿宋_GB2312"/>
          <w:sz w:val="28"/>
          <w:szCs w:val="28"/>
        </w:rPr>
        <w:t>根据《常用化学危险品贮存通则》（GB15603-1995）中要求，在贮存和使用危险化学品的过程中，应做到以下几点：</w:t>
      </w:r>
    </w:p>
    <w:p>
      <w:pPr>
        <w:spacing w:line="500" w:lineRule="exact"/>
        <w:ind w:firstLine="561"/>
        <w:rPr>
          <w:rFonts w:eastAsia="仿宋_GB2312"/>
          <w:sz w:val="28"/>
          <w:szCs w:val="28"/>
        </w:rPr>
      </w:pPr>
      <w:r>
        <w:rPr>
          <w:rFonts w:eastAsia="仿宋_GB2312"/>
          <w:sz w:val="28"/>
          <w:szCs w:val="28"/>
        </w:rPr>
        <w:t>（1）危险品仓库必须配备有专业知识的技术人员，库房及场所应设专人管理，管理人员必须配备可靠的个人安全防护用品。</w:t>
      </w:r>
    </w:p>
    <w:p>
      <w:pPr>
        <w:spacing w:line="500" w:lineRule="exact"/>
        <w:ind w:firstLine="561"/>
        <w:rPr>
          <w:rFonts w:eastAsia="仿宋_GB2312"/>
          <w:sz w:val="28"/>
          <w:szCs w:val="28"/>
        </w:rPr>
      </w:pPr>
      <w:r>
        <w:rPr>
          <w:rFonts w:eastAsia="仿宋_GB2312"/>
          <w:sz w:val="28"/>
          <w:szCs w:val="28"/>
        </w:rPr>
        <w:t>（2）原料入库时，应严格检验物品质量、数量、包装情况、有无泄漏。入库后应采取适当的养护措施，在贮存期内，定期检查，发现其品质变化、包装破损、渗漏、稳定剂短缺等，应及时处理。</w:t>
      </w:r>
    </w:p>
    <w:p>
      <w:pPr>
        <w:spacing w:line="500" w:lineRule="exact"/>
        <w:ind w:firstLine="561"/>
        <w:rPr>
          <w:rFonts w:eastAsia="仿宋_GB2312"/>
          <w:sz w:val="28"/>
          <w:szCs w:val="28"/>
        </w:rPr>
      </w:pPr>
      <w:r>
        <w:rPr>
          <w:rFonts w:eastAsia="仿宋_GB2312"/>
          <w:sz w:val="28"/>
          <w:szCs w:val="28"/>
        </w:rPr>
        <w:t>（3）库房温度、湿度应严格控制、经常检查，发现变化及时调整。并配备相应灭火器。</w:t>
      </w:r>
    </w:p>
    <w:p>
      <w:pPr>
        <w:spacing w:line="500" w:lineRule="exact"/>
        <w:ind w:firstLine="561"/>
        <w:rPr>
          <w:rFonts w:eastAsia="仿宋_GB2312"/>
          <w:sz w:val="28"/>
          <w:szCs w:val="28"/>
        </w:rPr>
      </w:pPr>
      <w:r>
        <w:rPr>
          <w:rFonts w:eastAsia="仿宋_GB2312"/>
          <w:sz w:val="28"/>
          <w:szCs w:val="28"/>
        </w:rPr>
        <w:t>（4）使用危险化学品的过程中，泄漏或渗漏的包装容器应迅速移至安全区域。</w:t>
      </w:r>
    </w:p>
    <w:p>
      <w:pPr>
        <w:spacing w:line="500" w:lineRule="exact"/>
        <w:ind w:firstLine="561"/>
        <w:rPr>
          <w:rFonts w:eastAsia="仿宋_GB2312"/>
          <w:sz w:val="28"/>
          <w:szCs w:val="28"/>
        </w:rPr>
      </w:pPr>
      <w:r>
        <w:rPr>
          <w:rFonts w:eastAsia="仿宋_GB2312"/>
          <w:sz w:val="28"/>
          <w:szCs w:val="28"/>
        </w:rPr>
        <w:t>（5）危险品仓库工作人员应进行培训，经考核合格后持证上岗。</w:t>
      </w:r>
    </w:p>
    <w:p>
      <w:pPr>
        <w:spacing w:line="500" w:lineRule="exact"/>
        <w:ind w:firstLine="561"/>
        <w:rPr>
          <w:rFonts w:eastAsia="仿宋_GB2312"/>
          <w:sz w:val="28"/>
          <w:szCs w:val="28"/>
        </w:rPr>
      </w:pPr>
      <w:r>
        <w:rPr>
          <w:rFonts w:eastAsia="仿宋_GB2312"/>
          <w:sz w:val="28"/>
          <w:szCs w:val="28"/>
        </w:rPr>
        <w:t>（6）应制定应急处理措施，编制事故应急预案，应对意外突发事件。</w:t>
      </w:r>
    </w:p>
    <w:p>
      <w:pPr>
        <w:spacing w:line="500" w:lineRule="exact"/>
        <w:ind w:firstLine="561"/>
        <w:rPr>
          <w:rFonts w:eastAsia="仿宋_GB2312"/>
          <w:sz w:val="28"/>
          <w:szCs w:val="28"/>
        </w:rPr>
      </w:pPr>
      <w:r>
        <w:rPr>
          <w:rFonts w:eastAsia="仿宋_GB2312"/>
          <w:sz w:val="28"/>
          <w:szCs w:val="28"/>
        </w:rPr>
        <w:t>（7）企业需存储一定量的吸附材料泄漏事故发生时的应急处置。</w:t>
      </w:r>
    </w:p>
    <w:p>
      <w:pPr>
        <w:spacing w:line="500" w:lineRule="exact"/>
        <w:ind w:firstLine="561"/>
        <w:rPr>
          <w:rFonts w:eastAsia="仿宋_GB2312"/>
          <w:sz w:val="28"/>
          <w:szCs w:val="28"/>
        </w:rPr>
      </w:pPr>
      <w:r>
        <w:rPr>
          <w:rFonts w:eastAsia="仿宋_GB2312"/>
          <w:sz w:val="28"/>
          <w:szCs w:val="28"/>
        </w:rPr>
        <w:t>（8）企业涉及存放液体、半固体危化品的区域需设置围堰，防止危化品</w:t>
      </w:r>
    </w:p>
    <w:p>
      <w:pPr>
        <w:spacing w:line="500" w:lineRule="exact"/>
        <w:ind w:firstLine="700" w:firstLineChars="250"/>
        <w:rPr>
          <w:rFonts w:eastAsia="仿宋_GB2312"/>
          <w:sz w:val="28"/>
          <w:szCs w:val="28"/>
        </w:rPr>
      </w:pPr>
      <w:r>
        <w:rPr>
          <w:rFonts w:eastAsia="仿宋_GB2312"/>
          <w:sz w:val="28"/>
          <w:szCs w:val="28"/>
        </w:rPr>
        <w:fldChar w:fldCharType="begin"/>
      </w:r>
      <w:r>
        <w:rPr>
          <w:rFonts w:eastAsia="仿宋_GB2312"/>
          <w:sz w:val="28"/>
          <w:szCs w:val="28"/>
        </w:rPr>
        <w:instrText xml:space="preserve"> = 2 \* GB3 </w:instrText>
      </w:r>
      <w:r>
        <w:rPr>
          <w:rFonts w:eastAsia="仿宋_GB2312"/>
          <w:sz w:val="28"/>
          <w:szCs w:val="28"/>
        </w:rPr>
        <w:fldChar w:fldCharType="separate"/>
      </w:r>
      <w:r>
        <w:rPr>
          <w:rFonts w:hint="eastAsia" w:ascii="宋体" w:hAnsi="宋体" w:cs="宋体"/>
          <w:sz w:val="28"/>
          <w:szCs w:val="28"/>
        </w:rPr>
        <w:t>②</w:t>
      </w:r>
      <w:r>
        <w:rPr>
          <w:rFonts w:eastAsia="仿宋_GB2312"/>
          <w:sz w:val="28"/>
          <w:szCs w:val="28"/>
        </w:rPr>
        <w:fldChar w:fldCharType="end"/>
      </w:r>
      <w:r>
        <w:rPr>
          <w:rFonts w:eastAsia="仿宋_GB2312"/>
          <w:sz w:val="28"/>
          <w:szCs w:val="28"/>
        </w:rPr>
        <w:t>固废及危废堆场防范措施</w:t>
      </w:r>
    </w:p>
    <w:p>
      <w:pPr>
        <w:spacing w:line="500" w:lineRule="exact"/>
        <w:ind w:firstLine="561"/>
        <w:rPr>
          <w:rFonts w:eastAsia="仿宋_GB2312"/>
          <w:sz w:val="28"/>
          <w:szCs w:val="28"/>
        </w:rPr>
      </w:pPr>
      <w:r>
        <w:rPr>
          <w:rFonts w:eastAsia="仿宋_GB2312"/>
          <w:sz w:val="28"/>
          <w:szCs w:val="28"/>
        </w:rPr>
        <w:t>（1）应建造专用的危险废物贮存设施，也可利用原有构筑物改建成危险废物贮存设施。</w:t>
      </w:r>
    </w:p>
    <w:p>
      <w:pPr>
        <w:spacing w:line="500" w:lineRule="exact"/>
        <w:ind w:firstLine="561"/>
        <w:rPr>
          <w:rFonts w:eastAsia="仿宋_GB2312"/>
          <w:sz w:val="28"/>
          <w:szCs w:val="28"/>
        </w:rPr>
      </w:pPr>
      <w:r>
        <w:rPr>
          <w:rFonts w:eastAsia="仿宋_GB2312"/>
          <w:sz w:val="28"/>
          <w:szCs w:val="28"/>
        </w:rPr>
        <w:t>（2）在常温常压下易爆、易燃及排出有毒气体的危险废物必须进行预处理，使之稳定后贮存，否则，按易爆、易燃危险品贮存。</w:t>
      </w:r>
    </w:p>
    <w:p>
      <w:pPr>
        <w:spacing w:line="500" w:lineRule="exact"/>
        <w:ind w:firstLine="561"/>
        <w:rPr>
          <w:rFonts w:eastAsia="仿宋_GB2312"/>
          <w:sz w:val="28"/>
          <w:szCs w:val="28"/>
        </w:rPr>
      </w:pPr>
      <w:r>
        <w:rPr>
          <w:rFonts w:eastAsia="仿宋_GB2312"/>
          <w:sz w:val="28"/>
          <w:szCs w:val="28"/>
        </w:rPr>
        <w:t>（3）禁止将不相容（相互反应）的危险废物在同一容器内混装。</w:t>
      </w:r>
    </w:p>
    <w:p>
      <w:pPr>
        <w:spacing w:line="500" w:lineRule="exact"/>
        <w:ind w:firstLine="561"/>
        <w:rPr>
          <w:rFonts w:eastAsia="仿宋_GB2312"/>
          <w:sz w:val="28"/>
          <w:szCs w:val="28"/>
        </w:rPr>
      </w:pPr>
      <w:r>
        <w:rPr>
          <w:rFonts w:eastAsia="仿宋_GB2312"/>
          <w:sz w:val="28"/>
          <w:szCs w:val="28"/>
        </w:rPr>
        <w:t>（4）无法装入常用容器的危险废物可用防漏胶袋等盛装。</w:t>
      </w:r>
    </w:p>
    <w:p>
      <w:pPr>
        <w:spacing w:line="500" w:lineRule="exact"/>
        <w:ind w:firstLine="561"/>
        <w:rPr>
          <w:rFonts w:eastAsia="仿宋_GB2312"/>
          <w:sz w:val="28"/>
          <w:szCs w:val="28"/>
        </w:rPr>
      </w:pPr>
      <w:r>
        <w:rPr>
          <w:rFonts w:eastAsia="仿宋_GB2312"/>
          <w:sz w:val="28"/>
          <w:szCs w:val="28"/>
        </w:rPr>
        <w:t>（5）盛装危险废物的容器上必须粘贴符合《危险废物贮存污染控制标准》附录A所示的标签。</w:t>
      </w:r>
    </w:p>
    <w:p>
      <w:pPr>
        <w:spacing w:line="500" w:lineRule="exact"/>
        <w:ind w:firstLine="561"/>
        <w:rPr>
          <w:rFonts w:eastAsia="仿宋_GB2312"/>
          <w:sz w:val="28"/>
          <w:szCs w:val="28"/>
        </w:rPr>
      </w:pPr>
      <w:r>
        <w:rPr>
          <w:rFonts w:eastAsia="仿宋_GB2312"/>
          <w:sz w:val="28"/>
          <w:szCs w:val="28"/>
        </w:rPr>
        <w:t>（6）装载液体、半固体危险废物的容器内须留足够空间，容器顶部与液体表面之间保留100毫米以上的空间。</w:t>
      </w:r>
    </w:p>
    <w:p>
      <w:pPr>
        <w:spacing w:line="500" w:lineRule="exact"/>
        <w:ind w:firstLine="561"/>
        <w:rPr>
          <w:rFonts w:eastAsia="仿宋_GB2312"/>
          <w:sz w:val="28"/>
          <w:szCs w:val="28"/>
        </w:rPr>
      </w:pPr>
      <w:r>
        <w:rPr>
          <w:rFonts w:eastAsia="仿宋_GB2312"/>
          <w:sz w:val="28"/>
          <w:szCs w:val="28"/>
        </w:rPr>
        <w:t>（7）固废应分类收集、性质相悖的固废严禁接触；</w:t>
      </w:r>
    </w:p>
    <w:p>
      <w:pPr>
        <w:spacing w:line="500" w:lineRule="exact"/>
        <w:ind w:firstLine="561"/>
        <w:rPr>
          <w:rFonts w:eastAsia="仿宋_GB2312"/>
          <w:sz w:val="28"/>
          <w:szCs w:val="28"/>
        </w:rPr>
      </w:pPr>
      <w:r>
        <w:rPr>
          <w:rFonts w:eastAsia="仿宋_GB2312"/>
          <w:sz w:val="28"/>
          <w:szCs w:val="28"/>
        </w:rPr>
        <w:t>（8）固废收集后应及时送固废堆场暂存，并做好台帐；固废堆场应按照防扬散、防雨、防渗、防漏、防盗的要求设置。</w:t>
      </w:r>
    </w:p>
    <w:p>
      <w:pPr>
        <w:spacing w:line="500" w:lineRule="exact"/>
        <w:ind w:firstLine="561"/>
        <w:rPr>
          <w:rFonts w:eastAsia="仿宋_GB2312"/>
          <w:sz w:val="28"/>
          <w:szCs w:val="28"/>
        </w:rPr>
      </w:pPr>
      <w:r>
        <w:rPr>
          <w:rFonts w:eastAsia="仿宋_GB2312"/>
          <w:sz w:val="28"/>
          <w:szCs w:val="28"/>
        </w:rPr>
        <w:t>（9）定期对堆场内固废进行处理，危险固废应委托有资质单位处置，一般固废按照环评文件规定进行合理处置，危险废物做好转移联单手续；</w:t>
      </w:r>
    </w:p>
    <w:p>
      <w:pPr>
        <w:spacing w:line="500" w:lineRule="exact"/>
        <w:ind w:firstLine="561"/>
        <w:rPr>
          <w:rFonts w:eastAsia="仿宋_GB2312"/>
          <w:sz w:val="28"/>
          <w:szCs w:val="28"/>
        </w:rPr>
      </w:pPr>
      <w:r>
        <w:rPr>
          <w:rFonts w:eastAsia="仿宋_GB2312"/>
          <w:sz w:val="28"/>
          <w:szCs w:val="28"/>
        </w:rPr>
        <w:t>（10）定期检查固废堆场，及时发现物质的泄漏、挥发，堆场内应配备空容器和泄漏吸附、吸收物及时对泄漏物进行吸附、吸收和收集；危险废物堆场内应设置泄漏收集槽，方便对泄漏物料的收集。</w:t>
      </w:r>
    </w:p>
    <w:p>
      <w:pPr>
        <w:spacing w:line="500" w:lineRule="exact"/>
        <w:ind w:firstLine="561"/>
        <w:rPr>
          <w:rFonts w:eastAsia="仿宋_GB2312"/>
          <w:sz w:val="28"/>
          <w:szCs w:val="28"/>
        </w:rPr>
      </w:pPr>
      <w:r>
        <w:rPr>
          <w:rFonts w:eastAsia="仿宋_GB2312"/>
          <w:sz w:val="28"/>
          <w:szCs w:val="28"/>
        </w:rPr>
        <w:t>（11）危险固废在运输、装车、转移过程中，应轻拿轻放。</w:t>
      </w:r>
    </w:p>
    <w:p>
      <w:pPr>
        <w:spacing w:line="500" w:lineRule="exact"/>
        <w:ind w:firstLine="561"/>
        <w:rPr>
          <w:rFonts w:eastAsia="仿宋_GB2312"/>
          <w:sz w:val="28"/>
          <w:szCs w:val="28"/>
        </w:rPr>
      </w:pPr>
      <w:r>
        <w:rPr>
          <w:rFonts w:eastAsia="仿宋_GB2312"/>
          <w:sz w:val="28"/>
          <w:szCs w:val="28"/>
        </w:rPr>
        <w:t>（12）加强管理，固废堆场附近严禁烟火、易燃易爆的固体废物应做好防静电措施。</w:t>
      </w:r>
    </w:p>
    <w:p>
      <w:pPr>
        <w:spacing w:line="500" w:lineRule="exact"/>
        <w:ind w:firstLine="561"/>
        <w:rPr>
          <w:rFonts w:eastAsia="仿宋_GB2312"/>
          <w:sz w:val="28"/>
          <w:szCs w:val="28"/>
        </w:rPr>
      </w:pPr>
      <w:r>
        <w:rPr>
          <w:rFonts w:eastAsia="仿宋_GB2312"/>
          <w:sz w:val="28"/>
          <w:szCs w:val="28"/>
        </w:rPr>
        <w:fldChar w:fldCharType="begin"/>
      </w:r>
      <w:r>
        <w:rPr>
          <w:rFonts w:eastAsia="仿宋_GB2312"/>
          <w:sz w:val="28"/>
          <w:szCs w:val="28"/>
        </w:rPr>
        <w:instrText xml:space="preserve"> = 3 \* GB3 </w:instrText>
      </w:r>
      <w:r>
        <w:rPr>
          <w:rFonts w:eastAsia="仿宋_GB2312"/>
          <w:sz w:val="28"/>
          <w:szCs w:val="28"/>
        </w:rPr>
        <w:fldChar w:fldCharType="separate"/>
      </w:r>
      <w:r>
        <w:rPr>
          <w:rFonts w:hint="eastAsia" w:ascii="宋体" w:hAnsi="宋体" w:cs="宋体"/>
          <w:sz w:val="28"/>
          <w:szCs w:val="28"/>
        </w:rPr>
        <w:t>③</w:t>
      </w:r>
      <w:r>
        <w:rPr>
          <w:rFonts w:eastAsia="仿宋_GB2312"/>
          <w:sz w:val="28"/>
          <w:szCs w:val="28"/>
        </w:rPr>
        <w:fldChar w:fldCharType="end"/>
      </w:r>
      <w:r>
        <w:rPr>
          <w:rFonts w:hint="eastAsia" w:eastAsia="仿宋_GB2312"/>
          <w:sz w:val="28"/>
          <w:szCs w:val="28"/>
        </w:rPr>
        <w:t>车间</w:t>
      </w:r>
      <w:r>
        <w:rPr>
          <w:rFonts w:eastAsia="仿宋_GB2312"/>
          <w:sz w:val="28"/>
          <w:szCs w:val="28"/>
        </w:rPr>
        <w:t>防范措施</w:t>
      </w:r>
    </w:p>
    <w:p>
      <w:pPr>
        <w:spacing w:line="500" w:lineRule="exact"/>
        <w:ind w:firstLine="561"/>
        <w:rPr>
          <w:rFonts w:eastAsia="仿宋_GB2312"/>
          <w:sz w:val="28"/>
          <w:szCs w:val="28"/>
        </w:rPr>
      </w:pPr>
      <w:r>
        <w:rPr>
          <w:rFonts w:eastAsia="仿宋_GB2312"/>
          <w:sz w:val="28"/>
          <w:szCs w:val="28"/>
        </w:rPr>
        <w:t>（1）生产厂房已按照</w:t>
      </w:r>
      <w:r>
        <w:rPr>
          <w:rFonts w:hint="eastAsia" w:eastAsia="仿宋_GB2312"/>
          <w:sz w:val="28"/>
          <w:szCs w:val="28"/>
        </w:rPr>
        <w:t>《建筑防火通用规范》（G</w:t>
      </w:r>
      <w:r>
        <w:rPr>
          <w:rFonts w:eastAsia="仿宋_GB2312"/>
          <w:sz w:val="28"/>
          <w:szCs w:val="28"/>
        </w:rPr>
        <w:t>B55037-2022</w:t>
      </w:r>
      <w:r>
        <w:rPr>
          <w:rFonts w:hint="eastAsia" w:eastAsia="仿宋_GB2312"/>
          <w:sz w:val="28"/>
          <w:szCs w:val="28"/>
        </w:rPr>
        <w:t>）、《建筑设计防火规范》（G</w:t>
      </w:r>
      <w:r>
        <w:rPr>
          <w:rFonts w:eastAsia="仿宋_GB2312"/>
          <w:sz w:val="28"/>
          <w:szCs w:val="28"/>
        </w:rPr>
        <w:t>B50016-2014,2018</w:t>
      </w:r>
      <w:r>
        <w:rPr>
          <w:rFonts w:hint="eastAsia" w:eastAsia="仿宋_GB2312"/>
          <w:sz w:val="28"/>
          <w:szCs w:val="28"/>
        </w:rPr>
        <w:t>年版）</w:t>
      </w:r>
      <w:r>
        <w:rPr>
          <w:rFonts w:eastAsia="仿宋_GB2312"/>
          <w:sz w:val="28"/>
          <w:szCs w:val="28"/>
        </w:rPr>
        <w:t>等标准的要求建设，设置防火间距、平面布置等。</w:t>
      </w:r>
    </w:p>
    <w:p>
      <w:pPr>
        <w:spacing w:line="500" w:lineRule="exact"/>
        <w:ind w:firstLine="561"/>
        <w:rPr>
          <w:rFonts w:eastAsia="仿宋_GB2312"/>
          <w:sz w:val="28"/>
          <w:szCs w:val="28"/>
        </w:rPr>
      </w:pPr>
      <w:r>
        <w:rPr>
          <w:rFonts w:eastAsia="仿宋_GB2312"/>
          <w:sz w:val="28"/>
          <w:szCs w:val="28"/>
        </w:rPr>
        <w:t>（2）在装液体物料时防止静电产生，防止操作人员带电作业；在危险操作时，操作人员应使用抗静电工作帽和具有导电性的作业鞋；有防雷装置，特别防止雷击；车间定期洒水。</w:t>
      </w:r>
    </w:p>
    <w:p>
      <w:pPr>
        <w:spacing w:line="500" w:lineRule="exact"/>
        <w:ind w:firstLine="561"/>
        <w:rPr>
          <w:rFonts w:eastAsia="仿宋_GB2312"/>
          <w:sz w:val="28"/>
          <w:szCs w:val="28"/>
        </w:rPr>
      </w:pPr>
      <w:r>
        <w:rPr>
          <w:rFonts w:eastAsia="仿宋_GB2312"/>
          <w:sz w:val="28"/>
          <w:szCs w:val="28"/>
        </w:rPr>
        <w:t>（3）应加强火源的管理，严禁烟火带入，且设置明显的显示标志，建立奖惩制度。对设备需进行维修焊接，应经安全部门确认、准许，并有记录。机动车在厂内行驶，须安装阻火器，必要设备安装防火、防爆装置。</w:t>
      </w:r>
    </w:p>
    <w:p>
      <w:pPr>
        <w:spacing w:line="500" w:lineRule="exact"/>
        <w:ind w:firstLine="561"/>
        <w:rPr>
          <w:rFonts w:eastAsia="仿宋_GB2312"/>
          <w:sz w:val="28"/>
          <w:szCs w:val="28"/>
        </w:rPr>
      </w:pPr>
      <w:r>
        <w:rPr>
          <w:rFonts w:eastAsia="仿宋_GB2312"/>
          <w:sz w:val="28"/>
          <w:szCs w:val="28"/>
        </w:rPr>
        <w:t>（4）设备的安全管理：定期对设备进行安全检测，检测内容、时间、人员应有记录保存。安全检测应根据设备的安全性、危险性设定检测频次。</w:t>
      </w:r>
    </w:p>
    <w:p>
      <w:pPr>
        <w:spacing w:line="500" w:lineRule="exact"/>
        <w:ind w:firstLine="561"/>
        <w:rPr>
          <w:rFonts w:eastAsia="仿宋_GB2312"/>
          <w:sz w:val="28"/>
          <w:szCs w:val="28"/>
        </w:rPr>
      </w:pPr>
      <w:r>
        <w:rPr>
          <w:rFonts w:eastAsia="仿宋_GB2312"/>
          <w:sz w:val="28"/>
          <w:szCs w:val="28"/>
        </w:rPr>
        <w:t>（5）要有完善的安全消防措施。从平面布置上，本厂按国家消防安全规定，设置足够的安全距离和道路，以便安全疏散和消防。各重点部位存储区设备应设置消防系统、消火栓和干粉灭火器等。</w:t>
      </w:r>
    </w:p>
    <w:p>
      <w:pPr>
        <w:spacing w:line="500" w:lineRule="exact"/>
        <w:ind w:firstLine="561"/>
        <w:rPr>
          <w:rFonts w:eastAsia="仿宋_GB2312"/>
          <w:sz w:val="28"/>
          <w:szCs w:val="28"/>
        </w:rPr>
      </w:pPr>
      <w:r>
        <w:rPr>
          <w:rFonts w:eastAsia="仿宋_GB2312"/>
          <w:sz w:val="28"/>
          <w:szCs w:val="28"/>
        </w:rPr>
        <w:t>（6）原辅料及产品容易发生火灾事故，要注意消防设施的配置，提高工作人员的安全意识，设置火灾报警系统。</w:t>
      </w:r>
    </w:p>
    <w:p>
      <w:pPr>
        <w:spacing w:line="500" w:lineRule="exact"/>
        <w:ind w:firstLine="561"/>
        <w:rPr>
          <w:rFonts w:eastAsia="仿宋_GB2312"/>
          <w:sz w:val="28"/>
          <w:szCs w:val="28"/>
        </w:rPr>
      </w:pPr>
      <w:r>
        <w:rPr>
          <w:rFonts w:hint="eastAsia" w:eastAsia="仿宋_GB2312"/>
          <w:sz w:val="28"/>
          <w:szCs w:val="28"/>
        </w:rPr>
        <w:t>④废气处理设施</w:t>
      </w:r>
      <w:r>
        <w:rPr>
          <w:rFonts w:eastAsia="仿宋_GB2312"/>
          <w:sz w:val="28"/>
          <w:szCs w:val="28"/>
        </w:rPr>
        <w:t>防范措施</w:t>
      </w:r>
    </w:p>
    <w:p>
      <w:pPr>
        <w:spacing w:line="500" w:lineRule="exact"/>
        <w:ind w:firstLine="561"/>
        <w:rPr>
          <w:rFonts w:eastAsia="仿宋_GB2312"/>
          <w:sz w:val="28"/>
          <w:szCs w:val="28"/>
        </w:rPr>
      </w:pPr>
      <w:r>
        <w:rPr>
          <w:rFonts w:hint="eastAsia" w:eastAsia="仿宋_GB2312"/>
          <w:sz w:val="28"/>
          <w:szCs w:val="28"/>
        </w:rPr>
        <w:t>（1）按照环保主管部门的规定，严格实行废气的总量控制，产量与废气处理设施的处理能力合理匹配。</w:t>
      </w:r>
    </w:p>
    <w:p>
      <w:pPr>
        <w:spacing w:line="500" w:lineRule="exact"/>
        <w:ind w:firstLine="561"/>
        <w:rPr>
          <w:rFonts w:eastAsia="仿宋_GB2312"/>
          <w:sz w:val="28"/>
          <w:szCs w:val="28"/>
        </w:rPr>
      </w:pPr>
      <w:r>
        <w:rPr>
          <w:rFonts w:hint="eastAsia" w:eastAsia="仿宋_GB2312"/>
          <w:sz w:val="28"/>
          <w:szCs w:val="28"/>
        </w:rPr>
        <w:t>（2）废气处理设施管理部门加强与其他各部门的信息沟通，当废气量或污染因子浓度可能突然升高时提前发出预警信息。</w:t>
      </w:r>
    </w:p>
    <w:p>
      <w:pPr>
        <w:spacing w:line="500" w:lineRule="exact"/>
        <w:ind w:firstLine="561"/>
        <w:rPr>
          <w:rFonts w:eastAsia="仿宋_GB2312"/>
          <w:sz w:val="28"/>
          <w:szCs w:val="28"/>
        </w:rPr>
      </w:pPr>
      <w:r>
        <w:rPr>
          <w:rFonts w:hint="eastAsia" w:eastAsia="仿宋_GB2312"/>
          <w:sz w:val="28"/>
          <w:szCs w:val="28"/>
        </w:rPr>
        <w:t>（3）加强废气处理设备设施及废气排放管道的维护、管理、发现故障及时修复。</w:t>
      </w:r>
    </w:p>
    <w:p>
      <w:pPr>
        <w:spacing w:line="500" w:lineRule="exact"/>
        <w:ind w:firstLine="561"/>
        <w:rPr>
          <w:rFonts w:eastAsia="仿宋_GB2312"/>
          <w:sz w:val="28"/>
          <w:szCs w:val="28"/>
        </w:rPr>
      </w:pPr>
      <w:r>
        <w:rPr>
          <w:rFonts w:hint="eastAsia" w:eastAsia="仿宋_GB2312"/>
          <w:sz w:val="28"/>
          <w:szCs w:val="28"/>
        </w:rPr>
        <w:t>（4）结合实际，制定科学的废气处理操作规程，实行标准化操作;操作人员外送培训合格，持证上岗。</w:t>
      </w:r>
    </w:p>
    <w:p>
      <w:pPr>
        <w:spacing w:line="500" w:lineRule="exact"/>
        <w:ind w:firstLine="561"/>
        <w:rPr>
          <w:rFonts w:eastAsia="仿宋_GB2312"/>
          <w:sz w:val="28"/>
          <w:szCs w:val="28"/>
        </w:rPr>
      </w:pPr>
      <w:r>
        <w:rPr>
          <w:rFonts w:hint="eastAsia" w:eastAsia="仿宋_GB2312"/>
          <w:sz w:val="28"/>
          <w:szCs w:val="28"/>
        </w:rPr>
        <w:t>（5）定期对废气处理装置进行设备维护。</w:t>
      </w:r>
    </w:p>
    <w:p>
      <w:pPr>
        <w:spacing w:line="500" w:lineRule="exact"/>
        <w:ind w:firstLine="561"/>
        <w:rPr>
          <w:rFonts w:eastAsia="仿宋_GB2312"/>
          <w:sz w:val="28"/>
          <w:szCs w:val="28"/>
        </w:rPr>
      </w:pPr>
      <w:r>
        <w:rPr>
          <w:rFonts w:hint="eastAsia" w:eastAsia="仿宋_GB2312"/>
          <w:sz w:val="28"/>
          <w:szCs w:val="28"/>
        </w:rPr>
        <w:t>（6）对于导热油炉应该定期检查运行状况，</w:t>
      </w:r>
      <w:r>
        <w:rPr>
          <w:rFonts w:eastAsia="仿宋_GB2312"/>
          <w:sz w:val="28"/>
          <w:szCs w:val="28"/>
        </w:rPr>
        <w:t>确保设备的正常运行，包括电路系统、控制器、传感器和保护装置等的完好性。定期进行系统的维护，清洁蓄热器、修复或更换老化的元件，以及检查设备的绝缘状态等。在选购导热油的过程中，要求从正规渠道按照其规格、标准来选购，有效避免导热油质量不达标引发的安全问题。同时，在确保导热油质量达标的基础上，在实际使用过程中要求按照科学流程进行操作、管理，避免人为因素造成锅炉管道安全隐患。</w:t>
      </w:r>
    </w:p>
    <w:p>
      <w:pPr>
        <w:spacing w:line="500" w:lineRule="exact"/>
        <w:ind w:firstLine="561"/>
        <w:rPr>
          <w:rFonts w:eastAsia="仿宋_GB2312"/>
          <w:b/>
          <w:sz w:val="28"/>
          <w:szCs w:val="28"/>
        </w:rPr>
      </w:pPr>
      <w:r>
        <w:rPr>
          <w:rFonts w:eastAsia="仿宋_GB2312"/>
          <w:b/>
          <w:sz w:val="28"/>
          <w:szCs w:val="28"/>
        </w:rPr>
        <w:t>应急措施</w:t>
      </w:r>
    </w:p>
    <w:p>
      <w:pPr>
        <w:spacing w:line="500" w:lineRule="exact"/>
        <w:ind w:firstLine="561"/>
        <w:rPr>
          <w:rFonts w:eastAsia="仿宋_GB2312"/>
          <w:bCs/>
          <w:sz w:val="28"/>
          <w:szCs w:val="28"/>
        </w:rPr>
      </w:pPr>
      <w:r>
        <w:rPr>
          <w:rFonts w:hint="eastAsia" w:ascii="宋体" w:hAnsi="宋体" w:cs="宋体"/>
          <w:bCs/>
          <w:sz w:val="28"/>
          <w:szCs w:val="28"/>
        </w:rPr>
        <w:t>①</w:t>
      </w:r>
      <w:r>
        <w:rPr>
          <w:rFonts w:eastAsia="仿宋_GB2312"/>
          <w:bCs/>
          <w:sz w:val="28"/>
          <w:szCs w:val="28"/>
        </w:rPr>
        <w:t>泄漏事故的应急处理</w:t>
      </w:r>
    </w:p>
    <w:p>
      <w:pPr>
        <w:spacing w:line="500" w:lineRule="exact"/>
        <w:ind w:firstLine="561"/>
        <w:rPr>
          <w:rFonts w:eastAsia="仿宋_GB2312"/>
          <w:bCs/>
          <w:sz w:val="28"/>
          <w:szCs w:val="28"/>
        </w:rPr>
      </w:pPr>
      <w:r>
        <w:rPr>
          <w:rFonts w:hint="eastAsia" w:eastAsia="仿宋_GB2312"/>
          <w:bCs/>
          <w:sz w:val="28"/>
          <w:szCs w:val="28"/>
        </w:rPr>
        <w:t>原料</w:t>
      </w:r>
      <w:r>
        <w:rPr>
          <w:rFonts w:eastAsia="仿宋_GB2312"/>
          <w:bCs/>
          <w:sz w:val="28"/>
          <w:szCs w:val="28"/>
        </w:rPr>
        <w:t>发生泄漏时，车间岗位要查明泄漏部位（装置）和原因，凡能切断物料或倒槽处理等措施消除事故的则以自救为主，如泄漏部位无法控制的，调度应果断下达急救处置的命令，同时发出报警。</w:t>
      </w:r>
    </w:p>
    <w:p>
      <w:pPr>
        <w:spacing w:line="500" w:lineRule="exact"/>
        <w:ind w:firstLine="561"/>
        <w:rPr>
          <w:rFonts w:eastAsia="仿宋_GB2312"/>
          <w:bCs/>
          <w:sz w:val="28"/>
          <w:szCs w:val="28"/>
        </w:rPr>
      </w:pPr>
      <w:r>
        <w:rPr>
          <w:rFonts w:eastAsia="仿宋_GB2312"/>
          <w:bCs/>
          <w:sz w:val="28"/>
          <w:szCs w:val="28"/>
        </w:rPr>
        <w:t>泄漏时应切断电源。应急处理人员带好防毒面具，穿化学防护服。在确保安全情况下堵漏。用活性炭或其它惰性材料吸收，然后作为危险废物送有资质单位处理。如大量泄漏，利用围堤收容，然后收集、转移、回收或无害处理后废弃。</w:t>
      </w:r>
    </w:p>
    <w:p>
      <w:pPr>
        <w:spacing w:line="500" w:lineRule="exact"/>
        <w:ind w:firstLine="561"/>
        <w:rPr>
          <w:rFonts w:eastAsia="仿宋_GB2312"/>
          <w:bCs/>
          <w:sz w:val="28"/>
          <w:szCs w:val="28"/>
        </w:rPr>
      </w:pPr>
      <w:r>
        <w:rPr>
          <w:rFonts w:eastAsia="仿宋_GB2312"/>
          <w:bCs/>
          <w:sz w:val="28"/>
          <w:szCs w:val="28"/>
        </w:rPr>
        <w:t>对皮肤接触人员应脱去被污染的衣着，用肥皂水和清水彻底冲洗皮肤；眼睛接触人员应提起眼睑，用流动清水或生理盐水冲洗，就医；吸入人员迅速脱离现场至空气新鲜处，保持呼吸道通畅。</w:t>
      </w:r>
    </w:p>
    <w:p>
      <w:pPr>
        <w:spacing w:line="500" w:lineRule="exact"/>
        <w:ind w:firstLine="561"/>
        <w:rPr>
          <w:rFonts w:eastAsia="仿宋_GB2312"/>
          <w:sz w:val="28"/>
          <w:szCs w:val="28"/>
        </w:rPr>
      </w:pPr>
      <w:r>
        <w:rPr>
          <w:rFonts w:hint="eastAsia" w:eastAsia="仿宋_GB2312"/>
          <w:sz w:val="28"/>
          <w:szCs w:val="28"/>
        </w:rPr>
        <w:t>对于导热油炉泄露：1、发生导热油储槽泄漏时应立即用沙子对泄露出来的导热油区域进行围堵，防止热油四处流淌。</w:t>
      </w:r>
      <w:r>
        <w:rPr>
          <w:rFonts w:eastAsia="仿宋_GB2312"/>
          <w:sz w:val="28"/>
          <w:szCs w:val="28"/>
        </w:rPr>
        <w:t>2</w:t>
      </w:r>
      <w:r>
        <w:rPr>
          <w:rFonts w:hint="eastAsia" w:eastAsia="仿宋_GB2312"/>
          <w:sz w:val="28"/>
          <w:szCs w:val="28"/>
        </w:rPr>
        <w:t>、.立即将炉内的热油转移至专用的热油桶中。3、泄漏出来的热油区域控制明火源，一般不易引起火灾，但需对泄漏的热油尽快收集处置。</w:t>
      </w:r>
      <w:r>
        <w:rPr>
          <w:rFonts w:eastAsia="仿宋_GB2312"/>
          <w:sz w:val="28"/>
          <w:szCs w:val="28"/>
        </w:rPr>
        <w:t>4</w:t>
      </w:r>
      <w:r>
        <w:rPr>
          <w:rFonts w:hint="eastAsia" w:eastAsia="仿宋_GB2312"/>
          <w:sz w:val="28"/>
          <w:szCs w:val="28"/>
        </w:rPr>
        <w:t>.若炉体泄漏，应立即停止热油炉运行，停止热油循环泵。</w:t>
      </w:r>
      <w:r>
        <w:rPr>
          <w:rFonts w:eastAsia="仿宋_GB2312"/>
          <w:sz w:val="28"/>
          <w:szCs w:val="28"/>
        </w:rPr>
        <w:t>4</w:t>
      </w:r>
      <w:r>
        <w:rPr>
          <w:rFonts w:hint="eastAsia" w:eastAsia="仿宋_GB2312"/>
          <w:sz w:val="28"/>
          <w:szCs w:val="28"/>
        </w:rPr>
        <w:t>因泄露的热油可能导致火灾事故的发生，需对因热油引起的明火采用干粉灭火器进行灭火，泄露的热油用沙子或其他吸附材料进行覆盖与收集。</w:t>
      </w:r>
    </w:p>
    <w:p>
      <w:pPr>
        <w:spacing w:line="500" w:lineRule="exact"/>
        <w:ind w:firstLine="561"/>
        <w:rPr>
          <w:rFonts w:eastAsia="仿宋_GB2312"/>
          <w:sz w:val="28"/>
          <w:szCs w:val="28"/>
        </w:rPr>
      </w:pPr>
      <w:r>
        <w:rPr>
          <w:rFonts w:hint="eastAsia" w:ascii="宋体" w:hAnsi="宋体" w:cs="宋体"/>
          <w:bCs/>
          <w:sz w:val="28"/>
          <w:szCs w:val="28"/>
        </w:rPr>
        <w:t>②</w:t>
      </w:r>
      <w:r>
        <w:rPr>
          <w:rFonts w:eastAsia="仿宋_GB2312"/>
          <w:bCs/>
          <w:sz w:val="28"/>
          <w:szCs w:val="28"/>
        </w:rPr>
        <w:t>火灾、爆炸事故的处理</w:t>
      </w:r>
    </w:p>
    <w:p>
      <w:pPr>
        <w:spacing w:line="500" w:lineRule="exact"/>
        <w:ind w:firstLine="561"/>
        <w:rPr>
          <w:rFonts w:eastAsia="仿宋_GB2312"/>
          <w:bCs/>
          <w:sz w:val="28"/>
          <w:szCs w:val="28"/>
        </w:rPr>
      </w:pPr>
      <w:r>
        <w:rPr>
          <w:rFonts w:eastAsia="仿宋_GB2312"/>
          <w:bCs/>
          <w:sz w:val="28"/>
          <w:szCs w:val="28"/>
        </w:rPr>
        <w:t>初期火灾的处理</w:t>
      </w:r>
    </w:p>
    <w:p>
      <w:pPr>
        <w:spacing w:line="500" w:lineRule="exact"/>
        <w:ind w:firstLine="561"/>
        <w:rPr>
          <w:rFonts w:eastAsia="仿宋_GB2312"/>
          <w:bCs/>
          <w:sz w:val="28"/>
          <w:szCs w:val="28"/>
        </w:rPr>
      </w:pPr>
      <w:r>
        <w:rPr>
          <w:rFonts w:eastAsia="仿宋_GB2312"/>
          <w:bCs/>
          <w:sz w:val="28"/>
          <w:szCs w:val="28"/>
        </w:rPr>
        <w:t>火灾初期的3-5分钟是火灾自救的关键时机，迅速、正确地扑灭初期火灾可防止火灾蔓延扩大，减少事故损失。因此，火灾现场人员应迅速利用周边消防设施、灭火器材迅速扑灭初期火灾。</w:t>
      </w:r>
    </w:p>
    <w:p>
      <w:pPr>
        <w:spacing w:line="500" w:lineRule="exact"/>
        <w:ind w:firstLine="561"/>
        <w:rPr>
          <w:rFonts w:eastAsia="仿宋_GB2312"/>
          <w:bCs/>
          <w:sz w:val="28"/>
          <w:szCs w:val="28"/>
        </w:rPr>
      </w:pPr>
      <w:r>
        <w:rPr>
          <w:rFonts w:eastAsia="仿宋_GB2312"/>
          <w:bCs/>
          <w:sz w:val="28"/>
          <w:szCs w:val="28"/>
        </w:rPr>
        <w:t>初期火灾扑救时，应熟悉掌握各种消防设施、灭火器材的性能，不可用错。</w:t>
      </w:r>
    </w:p>
    <w:p>
      <w:pPr>
        <w:spacing w:line="500" w:lineRule="exact"/>
        <w:ind w:firstLine="561"/>
        <w:rPr>
          <w:rFonts w:eastAsia="仿宋_GB2312"/>
          <w:bCs/>
          <w:sz w:val="28"/>
          <w:szCs w:val="28"/>
        </w:rPr>
      </w:pPr>
      <w:r>
        <w:rPr>
          <w:rFonts w:eastAsia="仿宋_GB2312"/>
          <w:bCs/>
          <w:sz w:val="28"/>
          <w:szCs w:val="28"/>
        </w:rPr>
        <w:t>发生初期火灾或扑灭初期火灾后，应及时向应急救援组组长报告，调查分析火灾起因并作出处理。</w:t>
      </w:r>
    </w:p>
    <w:p>
      <w:pPr>
        <w:spacing w:line="500" w:lineRule="exact"/>
        <w:ind w:firstLine="561"/>
        <w:rPr>
          <w:rFonts w:eastAsia="仿宋_GB2312"/>
          <w:bCs/>
          <w:sz w:val="28"/>
          <w:szCs w:val="28"/>
        </w:rPr>
      </w:pPr>
      <w:r>
        <w:rPr>
          <w:rFonts w:eastAsia="仿宋_GB2312"/>
          <w:bCs/>
          <w:sz w:val="28"/>
          <w:szCs w:val="28"/>
        </w:rPr>
        <w:t>发生火灾、爆炸事故后的处理措施</w:t>
      </w:r>
    </w:p>
    <w:p>
      <w:pPr>
        <w:spacing w:line="500" w:lineRule="exact"/>
        <w:ind w:firstLine="561"/>
        <w:rPr>
          <w:rFonts w:eastAsia="仿宋_GB2312"/>
          <w:bCs/>
          <w:sz w:val="28"/>
          <w:szCs w:val="28"/>
        </w:rPr>
      </w:pPr>
      <w:r>
        <w:rPr>
          <w:rFonts w:eastAsia="仿宋_GB2312"/>
          <w:bCs/>
          <w:sz w:val="28"/>
          <w:szCs w:val="28"/>
        </w:rPr>
        <w:t>应急救援组接到报警后，迅速通知有关人员，同时发出警报，应急救援人员应迅速赶往事故现场。</w:t>
      </w:r>
    </w:p>
    <w:p>
      <w:pPr>
        <w:spacing w:line="500" w:lineRule="exact"/>
        <w:ind w:firstLine="561"/>
        <w:rPr>
          <w:rFonts w:eastAsia="仿宋_GB2312"/>
          <w:bCs/>
          <w:sz w:val="28"/>
          <w:szCs w:val="28"/>
        </w:rPr>
      </w:pPr>
      <w:r>
        <w:rPr>
          <w:rFonts w:eastAsia="仿宋_GB2312"/>
          <w:bCs/>
          <w:sz w:val="28"/>
          <w:szCs w:val="28"/>
        </w:rPr>
        <w:t>切断电源。火灾、爆炸事故现场情况，拨打119、120及相关部门报警求援电话，详细说明火警发生的地址、处所、建筑物状况、人员伤亡情况等，同时派出人员接应消防队、救护车和清除交通通道障碍。</w:t>
      </w:r>
    </w:p>
    <w:p>
      <w:pPr>
        <w:spacing w:line="500" w:lineRule="exact"/>
        <w:ind w:firstLine="561"/>
        <w:rPr>
          <w:rFonts w:eastAsia="仿宋_GB2312"/>
          <w:bCs/>
          <w:sz w:val="28"/>
          <w:szCs w:val="28"/>
        </w:rPr>
      </w:pPr>
      <w:r>
        <w:rPr>
          <w:rFonts w:eastAsia="仿宋_GB2312"/>
          <w:bCs/>
          <w:sz w:val="28"/>
          <w:szCs w:val="28"/>
        </w:rPr>
        <w:t>迅速组织抢救伤员，引导、疏散员工、周围群众撤离事故现场；在事故现场设置警戒线，防止无关人员进入。</w:t>
      </w:r>
    </w:p>
    <w:p>
      <w:pPr>
        <w:spacing w:line="500" w:lineRule="exact"/>
        <w:ind w:firstLine="561"/>
        <w:rPr>
          <w:rFonts w:eastAsia="仿宋_GB2312"/>
          <w:bCs/>
          <w:sz w:val="28"/>
          <w:szCs w:val="28"/>
        </w:rPr>
      </w:pPr>
      <w:r>
        <w:rPr>
          <w:rFonts w:eastAsia="仿宋_GB2312"/>
          <w:bCs/>
          <w:sz w:val="28"/>
          <w:szCs w:val="28"/>
        </w:rPr>
        <w:t>视火灾、爆炸事故现场情况，开展火灾自救、配合消防队开展扑救。</w:t>
      </w:r>
    </w:p>
    <w:p>
      <w:pPr>
        <w:spacing w:line="500" w:lineRule="exact"/>
        <w:ind w:firstLine="561"/>
        <w:rPr>
          <w:rFonts w:eastAsia="仿宋_GB2312"/>
          <w:bCs/>
          <w:sz w:val="28"/>
          <w:szCs w:val="28"/>
        </w:rPr>
      </w:pPr>
      <w:r>
        <w:rPr>
          <w:rFonts w:eastAsia="仿宋_GB2312"/>
          <w:bCs/>
          <w:sz w:val="28"/>
          <w:szCs w:val="28"/>
        </w:rPr>
        <w:t>对火灾、爆炸现场以外区域采取隔离、隔绝等措施，防止火势扩大蔓延。</w:t>
      </w:r>
    </w:p>
    <w:p>
      <w:pPr>
        <w:spacing w:line="500" w:lineRule="exact"/>
        <w:ind w:firstLine="561"/>
        <w:rPr>
          <w:rFonts w:eastAsia="仿宋_GB2312"/>
          <w:bCs/>
          <w:sz w:val="28"/>
          <w:szCs w:val="28"/>
        </w:rPr>
      </w:pPr>
      <w:r>
        <w:rPr>
          <w:rFonts w:eastAsia="仿宋_GB2312"/>
          <w:bCs/>
          <w:sz w:val="28"/>
          <w:szCs w:val="28"/>
        </w:rPr>
        <w:t>将现场内及附近的危险物质迅速转移至安全地带。</w:t>
      </w:r>
    </w:p>
    <w:p>
      <w:pPr>
        <w:spacing w:line="500" w:lineRule="exact"/>
        <w:ind w:firstLine="561"/>
        <w:rPr>
          <w:rFonts w:eastAsia="仿宋_GB2312"/>
          <w:bCs/>
          <w:sz w:val="28"/>
          <w:szCs w:val="28"/>
        </w:rPr>
      </w:pPr>
      <w:r>
        <w:rPr>
          <w:rFonts w:eastAsia="仿宋_GB2312"/>
          <w:bCs/>
          <w:sz w:val="28"/>
          <w:szCs w:val="28"/>
        </w:rPr>
        <w:t>事故救援中，应注意穿戴好各种防护用品（具），防止救援人员伤害。</w:t>
      </w:r>
    </w:p>
    <w:p>
      <w:pPr>
        <w:spacing w:line="500" w:lineRule="exact"/>
        <w:ind w:firstLine="561"/>
        <w:rPr>
          <w:rFonts w:eastAsia="仿宋_GB2312"/>
          <w:bCs/>
          <w:sz w:val="28"/>
          <w:szCs w:val="28"/>
        </w:rPr>
      </w:pPr>
      <w:r>
        <w:rPr>
          <w:rFonts w:eastAsia="仿宋_GB2312"/>
          <w:bCs/>
          <w:sz w:val="28"/>
          <w:szCs w:val="28"/>
        </w:rPr>
        <w:t>故发生后，应保护好事故现场，以便事后开展事故调查。</w:t>
      </w:r>
    </w:p>
    <w:p>
      <w:pPr>
        <w:spacing w:line="500" w:lineRule="exact"/>
        <w:ind w:firstLine="561"/>
        <w:rPr>
          <w:rFonts w:eastAsia="仿宋_GB2312"/>
          <w:sz w:val="28"/>
          <w:szCs w:val="28"/>
        </w:rPr>
      </w:pPr>
      <w:r>
        <w:rPr>
          <w:rFonts w:hint="eastAsia" w:ascii="宋体" w:hAnsi="宋体" w:cs="宋体"/>
          <w:sz w:val="28"/>
          <w:szCs w:val="28"/>
        </w:rPr>
        <w:t>③</w:t>
      </w:r>
      <w:r>
        <w:rPr>
          <w:rFonts w:eastAsia="仿宋_GB2312"/>
          <w:sz w:val="28"/>
          <w:szCs w:val="28"/>
        </w:rPr>
        <w:t>风险事故处理措施</w:t>
      </w:r>
    </w:p>
    <w:p>
      <w:pPr>
        <w:spacing w:line="500" w:lineRule="exact"/>
        <w:ind w:firstLine="561"/>
        <w:rPr>
          <w:rFonts w:eastAsia="仿宋_GB2312"/>
          <w:b/>
          <w:sz w:val="28"/>
          <w:szCs w:val="28"/>
        </w:rPr>
      </w:pPr>
      <w:r>
        <w:rPr>
          <w:rFonts w:eastAsia="仿宋_GB2312"/>
          <w:sz w:val="28"/>
          <w:szCs w:val="28"/>
        </w:rPr>
        <w:t>为了有效地处理风险事故，应有切实可行的处置措施。项目风险事故应急措施包括设备器材、事故现场指挥、救护、通讯等系统的建立、现场应急措施方案、事故危害监测队伍、现场撤离和善后措施方案等。</w:t>
      </w:r>
    </w:p>
    <w:p>
      <w:pPr>
        <w:spacing w:line="500" w:lineRule="exact"/>
        <w:ind w:firstLine="561"/>
        <w:rPr>
          <w:rFonts w:eastAsia="仿宋_GB2312"/>
          <w:sz w:val="28"/>
          <w:szCs w:val="28"/>
        </w:rPr>
      </w:pPr>
      <w:r>
        <w:rPr>
          <w:rFonts w:eastAsia="仿宋_GB2312"/>
          <w:sz w:val="28"/>
          <w:szCs w:val="28"/>
        </w:rPr>
        <w:t>（1）设立报警、通讯系统以及事故处置领导体系。</w:t>
      </w:r>
    </w:p>
    <w:p>
      <w:pPr>
        <w:spacing w:line="500" w:lineRule="exact"/>
        <w:ind w:firstLine="561"/>
        <w:rPr>
          <w:rFonts w:eastAsia="仿宋_GB2312"/>
          <w:sz w:val="28"/>
          <w:szCs w:val="28"/>
        </w:rPr>
      </w:pPr>
      <w:r>
        <w:rPr>
          <w:rFonts w:eastAsia="仿宋_GB2312"/>
          <w:sz w:val="28"/>
          <w:szCs w:val="28"/>
        </w:rPr>
        <w:t>（2）制定有效处理事故的应急行动方案，并得到有关部门的认可，能与有关部门有效配合。</w:t>
      </w:r>
    </w:p>
    <w:p>
      <w:pPr>
        <w:spacing w:line="500" w:lineRule="exact"/>
        <w:ind w:firstLine="561"/>
        <w:rPr>
          <w:rFonts w:eastAsia="仿宋_GB2312"/>
          <w:sz w:val="28"/>
          <w:szCs w:val="28"/>
        </w:rPr>
      </w:pPr>
      <w:r>
        <w:rPr>
          <w:rFonts w:eastAsia="仿宋_GB2312"/>
          <w:sz w:val="28"/>
          <w:szCs w:val="28"/>
        </w:rPr>
        <w:t>（3）明确职责，并落实到单位和有关人员。</w:t>
      </w:r>
    </w:p>
    <w:p>
      <w:pPr>
        <w:spacing w:line="500" w:lineRule="exact"/>
        <w:ind w:firstLine="561"/>
        <w:rPr>
          <w:rFonts w:eastAsia="仿宋_GB2312"/>
          <w:sz w:val="28"/>
          <w:szCs w:val="28"/>
        </w:rPr>
      </w:pPr>
      <w:r>
        <w:rPr>
          <w:rFonts w:eastAsia="仿宋_GB2312"/>
          <w:sz w:val="28"/>
          <w:szCs w:val="28"/>
        </w:rPr>
        <w:t>（4）制定控制和减少事故影响范围、程度以及补救行动的实施计划。</w:t>
      </w:r>
    </w:p>
    <w:p>
      <w:pPr>
        <w:spacing w:line="500" w:lineRule="exact"/>
        <w:ind w:firstLine="561"/>
        <w:rPr>
          <w:rFonts w:eastAsia="仿宋_GB2312"/>
          <w:sz w:val="28"/>
          <w:szCs w:val="28"/>
        </w:rPr>
      </w:pPr>
      <w:r>
        <w:rPr>
          <w:rFonts w:eastAsia="仿宋_GB2312"/>
          <w:sz w:val="28"/>
          <w:szCs w:val="28"/>
        </w:rPr>
        <w:t>（5）对事故现场管理以及事故处置全过程的监督，应由富有事故处置经验的人员或有关部门工作人员承担。</w:t>
      </w:r>
    </w:p>
    <w:p>
      <w:pPr>
        <w:spacing w:line="500" w:lineRule="exact"/>
        <w:ind w:firstLine="561"/>
        <w:rPr>
          <w:rFonts w:eastAsia="仿宋_GB2312"/>
          <w:sz w:val="28"/>
          <w:szCs w:val="28"/>
        </w:rPr>
      </w:pPr>
      <w:r>
        <w:rPr>
          <w:rFonts w:eastAsia="仿宋_GB2312"/>
          <w:sz w:val="28"/>
          <w:szCs w:val="28"/>
        </w:rPr>
        <w:t>（6）为提高事故处置队伍的协同救援水平和实战能力，检验救援体系的应急综合运作状态，提高其实战水平，应进行应急救援演练。</w:t>
      </w:r>
    </w:p>
    <w:p>
      <w:pPr>
        <w:spacing w:line="500" w:lineRule="exact"/>
        <w:ind w:firstLine="561"/>
        <w:rPr>
          <w:rFonts w:eastAsia="仿宋_GB2312"/>
          <w:sz w:val="28"/>
          <w:szCs w:val="28"/>
        </w:rPr>
      </w:pPr>
      <w:r>
        <w:rPr>
          <w:rFonts w:hint="eastAsia" w:ascii="宋体" w:hAnsi="宋体" w:cs="宋体"/>
          <w:sz w:val="28"/>
          <w:szCs w:val="28"/>
        </w:rPr>
        <w:t>④</w:t>
      </w:r>
      <w:r>
        <w:rPr>
          <w:rFonts w:eastAsia="仿宋_GB2312"/>
          <w:sz w:val="28"/>
          <w:szCs w:val="28"/>
        </w:rPr>
        <w:t>消防及火灾报警系统</w:t>
      </w:r>
    </w:p>
    <w:p>
      <w:pPr>
        <w:spacing w:line="500" w:lineRule="exact"/>
        <w:ind w:firstLine="561"/>
        <w:rPr>
          <w:rFonts w:eastAsia="仿宋_GB2312"/>
          <w:sz w:val="28"/>
          <w:szCs w:val="28"/>
        </w:rPr>
      </w:pPr>
      <w:r>
        <w:rPr>
          <w:rFonts w:eastAsia="仿宋_GB2312"/>
          <w:sz w:val="28"/>
          <w:szCs w:val="28"/>
        </w:rPr>
        <w:t>本项目全厂区配备必要的消防设施，包括消火栓、灭火器等。</w:t>
      </w:r>
    </w:p>
    <w:p>
      <w:pPr>
        <w:spacing w:line="500" w:lineRule="exact"/>
        <w:ind w:firstLine="561"/>
        <w:rPr>
          <w:rFonts w:eastAsia="仿宋_GB2312"/>
          <w:sz w:val="28"/>
          <w:szCs w:val="28"/>
        </w:rPr>
      </w:pPr>
      <w:r>
        <w:rPr>
          <w:rFonts w:eastAsia="仿宋_GB2312"/>
          <w:sz w:val="28"/>
          <w:szCs w:val="28"/>
        </w:rPr>
        <w:t>室外消防给水管网按环状布置，管网上设置室内消火栓，消火栓旁放置干粉灭火器。</w:t>
      </w:r>
    </w:p>
    <w:p>
      <w:pPr>
        <w:spacing w:line="500" w:lineRule="exact"/>
        <w:ind w:firstLine="561"/>
        <w:rPr>
          <w:rFonts w:ascii="宋体" w:hAnsi="宋体" w:cs="宋体"/>
          <w:sz w:val="28"/>
          <w:szCs w:val="28"/>
        </w:rPr>
      </w:pPr>
      <w:r>
        <w:rPr>
          <w:rFonts w:hint="eastAsia" w:ascii="宋体" w:hAnsi="宋体" w:cs="宋体"/>
          <w:sz w:val="28"/>
          <w:szCs w:val="28"/>
        </w:rPr>
        <w:t>⑤</w:t>
      </w:r>
      <w:r>
        <w:rPr>
          <w:rFonts w:hint="eastAsia" w:eastAsia="仿宋_GB2312"/>
          <w:sz w:val="28"/>
          <w:szCs w:val="28"/>
        </w:rPr>
        <w:t>事故废水处理措施</w:t>
      </w:r>
    </w:p>
    <w:p>
      <w:pPr>
        <w:spacing w:line="500" w:lineRule="exact"/>
        <w:ind w:firstLine="561"/>
        <w:rPr>
          <w:rFonts w:eastAsia="仿宋_GB2312"/>
          <w:sz w:val="28"/>
          <w:szCs w:val="28"/>
        </w:rPr>
      </w:pPr>
      <w:r>
        <w:rPr>
          <w:rFonts w:eastAsia="仿宋_GB2312"/>
          <w:sz w:val="28"/>
          <w:szCs w:val="28"/>
        </w:rPr>
        <w:t>雨水排口设置截流阀，发生泄漏、火灾或爆炸事故时，泄漏物事故伴生、次生消防水流入雨水收集系统，紧急关闭截流阀，可将泄漏物、消防水截流在雨水收集系统内，若厂内污水处理装置不能处理泄漏物，必须委托有资质的单位安全处置，杜绝以任何形式进入园区的污水管网和雨水管网。确保无任何事故废水流入周边地表水，不对周边环境产生影响。</w:t>
      </w:r>
    </w:p>
    <w:p>
      <w:pPr>
        <w:spacing w:line="500" w:lineRule="exact"/>
        <w:ind w:firstLine="561"/>
        <w:rPr>
          <w:rFonts w:eastAsia="仿宋_GB2312"/>
          <w:b/>
          <w:sz w:val="28"/>
          <w:szCs w:val="28"/>
        </w:rPr>
      </w:pPr>
      <w:r>
        <w:rPr>
          <w:rFonts w:hint="eastAsia" w:eastAsia="仿宋_GB2312"/>
          <w:b/>
          <w:sz w:val="28"/>
          <w:szCs w:val="28"/>
        </w:rPr>
        <w:t>三级防控体系</w:t>
      </w:r>
    </w:p>
    <w:p>
      <w:pPr>
        <w:spacing w:line="500" w:lineRule="exact"/>
        <w:ind w:firstLine="560" w:firstLineChars="200"/>
        <w:rPr>
          <w:rFonts w:eastAsia="仿宋_GB2312"/>
          <w:sz w:val="28"/>
          <w:szCs w:val="28"/>
        </w:rPr>
      </w:pPr>
      <w:r>
        <w:rPr>
          <w:rFonts w:eastAsia="仿宋_GB2312"/>
          <w:sz w:val="28"/>
          <w:szCs w:val="28"/>
        </w:rPr>
        <w:t>针对本公司</w:t>
      </w:r>
      <w:r>
        <w:rPr>
          <w:rFonts w:hint="eastAsia" w:eastAsia="仿宋_GB2312"/>
          <w:sz w:val="28"/>
          <w:szCs w:val="28"/>
        </w:rPr>
        <w:t>生产特性、原辅料使用及贮存情况，建立水污染源、过程处理和最终排放的“三级防控”机制，以防范生产过程中发生事故或事故处理过程中因物料泄漏产生的污染物对周边水环境的污染，有效降低环境风险，确保环境安全。</w:t>
      </w:r>
    </w:p>
    <w:p>
      <w:pPr>
        <w:spacing w:line="500" w:lineRule="exact"/>
        <w:ind w:firstLine="560" w:firstLineChars="200"/>
        <w:rPr>
          <w:rFonts w:eastAsia="仿宋_GB2312"/>
          <w:sz w:val="28"/>
          <w:szCs w:val="28"/>
        </w:rPr>
      </w:pPr>
      <w:r>
        <w:rPr>
          <w:rFonts w:eastAsia="仿宋_GB2312"/>
          <w:sz w:val="28"/>
          <w:szCs w:val="28"/>
        </w:rPr>
        <w:t>水污染突发环境事件应急三级防控体系</w:t>
      </w:r>
    </w:p>
    <w:p>
      <w:pPr>
        <w:spacing w:line="500" w:lineRule="exact"/>
        <w:ind w:firstLine="560" w:firstLineChars="200"/>
        <w:rPr>
          <w:rFonts w:eastAsia="仿宋"/>
          <w:sz w:val="28"/>
          <w:szCs w:val="28"/>
        </w:rPr>
      </w:pPr>
      <w:r>
        <w:rPr>
          <w:rFonts w:eastAsia="仿宋"/>
          <w:sz w:val="28"/>
          <w:szCs w:val="28"/>
        </w:rPr>
        <w:t>（1</w:t>
      </w:r>
      <w:r>
        <w:rPr>
          <w:rFonts w:hint="eastAsia" w:eastAsia="仿宋"/>
          <w:sz w:val="28"/>
          <w:szCs w:val="28"/>
        </w:rPr>
        <w:t>）一</w:t>
      </w:r>
      <w:r>
        <w:rPr>
          <w:rFonts w:eastAsia="仿宋"/>
          <w:sz w:val="28"/>
          <w:szCs w:val="28"/>
        </w:rPr>
        <w:t>级防控措施：</w:t>
      </w:r>
      <w:r>
        <w:rPr>
          <w:rFonts w:hint="eastAsia" w:eastAsia="仿宋"/>
          <w:sz w:val="28"/>
          <w:szCs w:val="28"/>
        </w:rPr>
        <w:t>将污染物控制在生产车间。设置防泄漏装置，构筑生产过程中的第一层防控网。</w:t>
      </w:r>
    </w:p>
    <w:p>
      <w:pPr>
        <w:spacing w:line="500" w:lineRule="exact"/>
        <w:ind w:firstLine="560" w:firstLineChars="200"/>
        <w:rPr>
          <w:rFonts w:eastAsia="仿宋"/>
          <w:sz w:val="28"/>
          <w:szCs w:val="28"/>
        </w:rPr>
      </w:pPr>
      <w:r>
        <w:rPr>
          <w:rFonts w:eastAsia="仿宋"/>
          <w:sz w:val="28"/>
          <w:szCs w:val="28"/>
        </w:rPr>
        <w:t>（2</w:t>
      </w:r>
      <w:r>
        <w:rPr>
          <w:rFonts w:hint="eastAsia" w:eastAsia="仿宋"/>
          <w:sz w:val="28"/>
          <w:szCs w:val="28"/>
        </w:rPr>
        <w:t>）二</w:t>
      </w:r>
      <w:r>
        <w:rPr>
          <w:rFonts w:eastAsia="仿宋"/>
          <w:sz w:val="28"/>
          <w:szCs w:val="28"/>
        </w:rPr>
        <w:t>级防控措施：</w:t>
      </w:r>
      <w:r>
        <w:rPr>
          <w:rFonts w:hint="eastAsia" w:eastAsia="仿宋_GB2312"/>
          <w:sz w:val="28"/>
          <w:szCs w:val="28"/>
        </w:rPr>
        <w:t>园区内</w:t>
      </w:r>
      <w:r>
        <w:rPr>
          <w:rFonts w:eastAsia="仿宋_GB2312"/>
          <w:sz w:val="28"/>
          <w:szCs w:val="28"/>
        </w:rPr>
        <w:t>设置</w:t>
      </w:r>
      <w:r>
        <w:rPr>
          <w:rFonts w:hint="eastAsia" w:eastAsia="仿宋_GB2312"/>
          <w:sz w:val="28"/>
          <w:szCs w:val="28"/>
        </w:rPr>
        <w:t>10</w:t>
      </w:r>
      <w:r>
        <w:rPr>
          <w:rFonts w:eastAsia="仿宋_GB2312"/>
          <w:sz w:val="28"/>
          <w:szCs w:val="28"/>
        </w:rPr>
        <w:t>0m</w:t>
      </w:r>
      <w:r>
        <w:rPr>
          <w:rFonts w:eastAsia="仿宋_GB2312"/>
          <w:sz w:val="28"/>
          <w:szCs w:val="28"/>
          <w:vertAlign w:val="superscript"/>
        </w:rPr>
        <w:t>3</w:t>
      </w:r>
      <w:r>
        <w:rPr>
          <w:rFonts w:eastAsia="仿宋_GB2312"/>
          <w:sz w:val="28"/>
          <w:szCs w:val="28"/>
        </w:rPr>
        <w:t>的事故应急池</w:t>
      </w:r>
      <w:r>
        <w:rPr>
          <w:rFonts w:eastAsia="仿宋"/>
          <w:sz w:val="28"/>
          <w:szCs w:val="28"/>
        </w:rPr>
        <w:t>，事故状态下可容纳事故废水。一个雨水排口、一个事故应急池均设置阀门。一般工况下事故应急池保持阀门关闭，保证无雨水进入事故应急池；事故状态下打开事故应急池阀门，关闭雨水排口阀门，将事故废水存储在应急池内，待事故结束后，委托有资质单位处置。</w:t>
      </w:r>
    </w:p>
    <w:p>
      <w:pPr>
        <w:spacing w:line="500" w:lineRule="exact"/>
        <w:ind w:firstLine="560" w:firstLineChars="200"/>
        <w:rPr>
          <w:rFonts w:eastAsia="仿宋"/>
          <w:sz w:val="28"/>
          <w:szCs w:val="28"/>
        </w:rPr>
      </w:pPr>
      <w:r>
        <w:rPr>
          <w:rFonts w:eastAsia="仿宋"/>
          <w:sz w:val="28"/>
          <w:szCs w:val="28"/>
        </w:rPr>
        <w:t>（3）三级防控措施：</w:t>
      </w:r>
    </w:p>
    <w:p>
      <w:pPr>
        <w:spacing w:line="500" w:lineRule="exact"/>
        <w:ind w:firstLine="560" w:firstLineChars="200"/>
        <w:rPr>
          <w:rFonts w:eastAsia="仿宋_GB2312"/>
          <w:sz w:val="28"/>
          <w:szCs w:val="28"/>
        </w:rPr>
      </w:pPr>
      <w:r>
        <w:rPr>
          <w:rFonts w:eastAsia="仿宋_GB2312"/>
          <w:sz w:val="28"/>
          <w:szCs w:val="28"/>
        </w:rPr>
        <w:t>厂区有雨水排口一个，厂区内雨水管网经雨水排口与</w:t>
      </w:r>
      <w:r>
        <w:rPr>
          <w:rFonts w:hint="eastAsia" w:eastAsia="仿宋_GB2312"/>
          <w:sz w:val="28"/>
          <w:szCs w:val="28"/>
        </w:rPr>
        <w:t>红山路</w:t>
      </w:r>
      <w:r>
        <w:rPr>
          <w:rFonts w:eastAsia="仿宋_GB2312"/>
          <w:sz w:val="28"/>
          <w:szCs w:val="28"/>
        </w:rPr>
        <w:t>市政雨水管网相连通。若事故状态下，阀门出现故障，事故废水流入</w:t>
      </w:r>
      <w:r>
        <w:rPr>
          <w:rFonts w:hint="eastAsia" w:eastAsia="仿宋_GB2312"/>
          <w:sz w:val="28"/>
          <w:szCs w:val="28"/>
        </w:rPr>
        <w:t>红山路</w:t>
      </w:r>
      <w:r>
        <w:rPr>
          <w:rFonts w:eastAsia="仿宋_GB2312"/>
          <w:sz w:val="28"/>
          <w:szCs w:val="28"/>
        </w:rPr>
        <w:t>市政雨水管网，则立刻采用黄沙袋、围堵气囊等措施对就近的市政雨水井中雨水管网进行堵截，或立刻通知相关部门及时关闭相应市政管网的总排口，防止事故废水进入周边水体。</w:t>
      </w:r>
    </w:p>
    <w:p>
      <w:pPr>
        <w:spacing w:line="500" w:lineRule="exact"/>
        <w:ind w:firstLine="560" w:firstLineChars="200"/>
        <w:rPr>
          <w:rFonts w:eastAsia="仿宋"/>
          <w:sz w:val="28"/>
          <w:szCs w:val="28"/>
        </w:rPr>
      </w:pPr>
      <w:r>
        <w:rPr>
          <w:rFonts w:eastAsia="仿宋"/>
          <w:sz w:val="28"/>
          <w:szCs w:val="28"/>
        </w:rPr>
        <w:t>若事故较大，事故废水量巨大，堵截段市政管网中也无法容纳事故废水；或事故废水直接由厂区流入</w:t>
      </w:r>
      <w:r>
        <w:rPr>
          <w:rFonts w:hint="eastAsia" w:eastAsia="仿宋"/>
          <w:sz w:val="28"/>
          <w:szCs w:val="28"/>
        </w:rPr>
        <w:t>附近河道</w:t>
      </w:r>
      <w:r>
        <w:rPr>
          <w:rFonts w:eastAsia="仿宋"/>
          <w:sz w:val="28"/>
          <w:szCs w:val="28"/>
        </w:rPr>
        <w:t>，则需立刻报告相关部门，政府部门及时协调环保、公安、水利、医疗等各方面的资源，组成应急小组，协同解决突发事故。</w:t>
      </w:r>
      <w:r>
        <w:rPr>
          <w:rFonts w:hint="eastAsia" w:eastAsia="仿宋"/>
          <w:sz w:val="28"/>
          <w:szCs w:val="28"/>
        </w:rPr>
        <w:t>利用周边内河内浜、景观河道设置终端闸坝建设缓冲区，作为事故状态下的预防调控手段。确保污染控制在有限范围内，杜绝污染物进入敏感水体。</w:t>
      </w:r>
    </w:p>
    <w:p>
      <w:pPr>
        <w:keepNext/>
        <w:numPr>
          <w:ilvl w:val="2"/>
          <w:numId w:val="1"/>
        </w:numPr>
        <w:tabs>
          <w:tab w:val="left" w:pos="709"/>
        </w:tabs>
        <w:spacing w:after="120" w:afterLines="50" w:line="500" w:lineRule="exact"/>
        <w:ind w:left="0" w:firstLine="0"/>
        <w:outlineLvl w:val="2"/>
        <w:rPr>
          <w:rFonts w:eastAsia="仿宋_GB2312"/>
          <w:b/>
          <w:sz w:val="28"/>
          <w:szCs w:val="28"/>
        </w:rPr>
      </w:pPr>
      <w:r>
        <w:rPr>
          <w:rFonts w:eastAsia="仿宋_GB2312"/>
          <w:b/>
          <w:sz w:val="28"/>
          <w:szCs w:val="28"/>
        </w:rPr>
        <w:t>小结</w:t>
      </w:r>
    </w:p>
    <w:p>
      <w:pPr>
        <w:spacing w:line="500" w:lineRule="exact"/>
        <w:ind w:firstLine="561"/>
        <w:rPr>
          <w:rFonts w:eastAsia="仿宋_GB2312"/>
          <w:sz w:val="28"/>
          <w:szCs w:val="28"/>
        </w:rPr>
      </w:pPr>
      <w:r>
        <w:rPr>
          <w:rFonts w:eastAsia="仿宋_GB2312"/>
          <w:sz w:val="28"/>
          <w:szCs w:val="28"/>
        </w:rPr>
        <w:t>本项目厂区危险物质具有一定的危险性，企业厂区危险物质危险性较低，发生泄漏和火灾爆炸事故对周围环境影响较小，卫生防护距离内无敏感居民点，在完善生产管理制度，加强重点风险源监控的基础上，针对企业可能发生的各类事故情形和存在的风险因素设置了相应的风险防范措施，并提出了应急预案的编制要求，确保一旦发生突发事故，企业能够快速有效的采取措施减少事故危害。综上，企业在严格采取以上措施，厂区环境风险可控。</w:t>
      </w:r>
    </w:p>
    <w:p>
      <w:pPr>
        <w:snapToGrid w:val="0"/>
        <w:spacing w:line="500" w:lineRule="exact"/>
        <w:rPr>
          <w:rFonts w:eastAsia="仿宋_GB2312"/>
          <w:sz w:val="28"/>
          <w:szCs w:val="28"/>
        </w:rPr>
        <w:sectPr>
          <w:headerReference r:id="rId26" w:type="even"/>
          <w:pgSz w:w="11906" w:h="16838"/>
          <w:pgMar w:top="1440" w:right="1800" w:bottom="1440" w:left="1800" w:header="851" w:footer="992" w:gutter="0"/>
          <w:cols w:space="425" w:num="1"/>
          <w:docGrid w:linePitch="312" w:charSpace="0"/>
        </w:sectPr>
      </w:pPr>
    </w:p>
    <w:p>
      <w:pPr>
        <w:pStyle w:val="2"/>
        <w:numPr>
          <w:ilvl w:val="0"/>
          <w:numId w:val="1"/>
        </w:numPr>
        <w:tabs>
          <w:tab w:val="left" w:pos="284"/>
        </w:tabs>
        <w:spacing w:before="120" w:beforeLines="50" w:after="120" w:afterLines="50" w:line="500" w:lineRule="exact"/>
        <w:ind w:left="0" w:firstLine="0"/>
        <w:rPr>
          <w:rFonts w:eastAsia="仿宋_GB2312"/>
          <w:bCs w:val="0"/>
          <w:sz w:val="36"/>
          <w:szCs w:val="36"/>
        </w:rPr>
      </w:pPr>
      <w:bookmarkStart w:id="358" w:name="_Toc140565274"/>
      <w:bookmarkStart w:id="359" w:name="_Toc328747145"/>
      <w:bookmarkStart w:id="360" w:name="_Toc236536271"/>
      <w:bookmarkStart w:id="361" w:name="_Toc240859376"/>
      <w:bookmarkStart w:id="362" w:name="_Toc238363448"/>
      <w:bookmarkStart w:id="363" w:name="_Toc53416336"/>
      <w:bookmarkStart w:id="364" w:name="_Toc229298260"/>
      <w:bookmarkStart w:id="365" w:name="_Toc73158236"/>
      <w:bookmarkStart w:id="366" w:name="_Toc107787858"/>
      <w:bookmarkStart w:id="367" w:name="_Toc97910984"/>
      <w:r>
        <w:rPr>
          <w:rFonts w:eastAsia="仿宋_GB2312"/>
          <w:bCs w:val="0"/>
          <w:sz w:val="36"/>
          <w:szCs w:val="36"/>
        </w:rPr>
        <w:t>环境保护措施及其可行性论证</w:t>
      </w:r>
      <w:bookmarkEnd w:id="358"/>
      <w:bookmarkEnd w:id="359"/>
    </w:p>
    <w:bookmarkEnd w:id="360"/>
    <w:bookmarkEnd w:id="361"/>
    <w:bookmarkEnd w:id="362"/>
    <w:bookmarkEnd w:id="363"/>
    <w:bookmarkEnd w:id="364"/>
    <w:bookmarkEnd w:id="365"/>
    <w:bookmarkEnd w:id="366"/>
    <w:bookmarkEnd w:id="367"/>
    <w:p>
      <w:pPr>
        <w:pStyle w:val="3"/>
        <w:spacing w:before="120" w:after="120"/>
      </w:pPr>
      <w:bookmarkStart w:id="368" w:name="_Toc328747146"/>
      <w:bookmarkStart w:id="369" w:name="_Toc327388491"/>
      <w:bookmarkStart w:id="370" w:name="_Toc125882633"/>
      <w:bookmarkStart w:id="371" w:name="_Toc140565275"/>
      <w:r>
        <w:t>大气环境保护措施及其经济、技术论证</w:t>
      </w:r>
      <w:bookmarkEnd w:id="368"/>
      <w:bookmarkEnd w:id="369"/>
      <w:bookmarkEnd w:id="370"/>
      <w:bookmarkEnd w:id="371"/>
    </w:p>
    <w:p>
      <w:pPr>
        <w:pStyle w:val="4"/>
        <w:keepLines w:val="0"/>
        <w:numPr>
          <w:ilvl w:val="2"/>
          <w:numId w:val="1"/>
        </w:numPr>
        <w:tabs>
          <w:tab w:val="left" w:pos="709"/>
        </w:tabs>
        <w:spacing w:before="0" w:after="120" w:afterLines="50" w:line="500" w:lineRule="exact"/>
        <w:ind w:left="0" w:firstLine="0"/>
        <w:rPr>
          <w:rFonts w:eastAsia="仿宋_GB2312"/>
          <w:bCs w:val="0"/>
          <w:sz w:val="28"/>
        </w:rPr>
      </w:pPr>
      <w:r>
        <w:rPr>
          <w:rFonts w:eastAsia="仿宋_GB2312"/>
          <w:bCs w:val="0"/>
          <w:sz w:val="28"/>
        </w:rPr>
        <w:t>有组织废气污染防治措施</w:t>
      </w:r>
    </w:p>
    <w:p>
      <w:pPr>
        <w:spacing w:line="500" w:lineRule="exact"/>
        <w:ind w:firstLine="560" w:firstLineChars="200"/>
        <w:rPr>
          <w:rFonts w:eastAsia="仿宋_GB2312"/>
          <w:sz w:val="28"/>
          <w:szCs w:val="28"/>
        </w:rPr>
      </w:pPr>
      <w:r>
        <w:rPr>
          <w:rFonts w:hint="eastAsia" w:eastAsia="仿宋_GB2312"/>
          <w:sz w:val="28"/>
          <w:szCs w:val="28"/>
        </w:rPr>
        <w:t>车间一：配胶废气G1在密闭房内经集气罩捕集，房间整体处于负压状态，涂布干燥废气G2、清洗废气G3在</w:t>
      </w:r>
      <w:r>
        <w:rPr>
          <w:rFonts w:eastAsia="仿宋_GB2312"/>
          <w:sz w:val="28"/>
          <w:szCs w:val="28"/>
        </w:rPr>
        <w:t>密闭设备</w:t>
      </w:r>
      <w:r>
        <w:rPr>
          <w:rFonts w:hint="eastAsia" w:eastAsia="仿宋_GB2312"/>
          <w:sz w:val="28"/>
          <w:szCs w:val="28"/>
        </w:rPr>
        <w:t>内</w:t>
      </w:r>
      <w:r>
        <w:rPr>
          <w:rFonts w:eastAsia="仿宋_GB2312"/>
          <w:sz w:val="28"/>
          <w:szCs w:val="28"/>
        </w:rPr>
        <w:t>负压</w:t>
      </w:r>
      <w:r>
        <w:rPr>
          <w:rFonts w:hint="eastAsia" w:eastAsia="仿宋_GB2312"/>
          <w:sz w:val="28"/>
          <w:szCs w:val="28"/>
        </w:rPr>
        <w:t>收集</w:t>
      </w:r>
      <w:r>
        <w:rPr>
          <w:rFonts w:eastAsia="仿宋_GB2312"/>
          <w:sz w:val="28"/>
          <w:szCs w:val="28"/>
        </w:rPr>
        <w:t>一并</w:t>
      </w:r>
      <w:r>
        <w:rPr>
          <w:rFonts w:hint="eastAsia" w:eastAsia="仿宋_GB2312"/>
          <w:sz w:val="28"/>
          <w:szCs w:val="28"/>
        </w:rPr>
        <w:t>进入RTO废气</w:t>
      </w:r>
      <w:r>
        <w:rPr>
          <w:rFonts w:eastAsia="仿宋_GB2312"/>
          <w:sz w:val="28"/>
          <w:szCs w:val="28"/>
        </w:rPr>
        <w:t>处理装置处理</w:t>
      </w:r>
      <w:r>
        <w:rPr>
          <w:rFonts w:hint="eastAsia" w:eastAsia="仿宋_GB2312"/>
          <w:sz w:val="28"/>
          <w:szCs w:val="28"/>
        </w:rPr>
        <w:t>，各工段废气经密闭支管收集汇入主管，保持负压，确保废气有效收集，捕集效率99</w:t>
      </w:r>
      <w:r>
        <w:rPr>
          <w:rFonts w:eastAsia="仿宋_GB2312"/>
          <w:sz w:val="28"/>
          <w:szCs w:val="28"/>
        </w:rPr>
        <w:t>.5</w:t>
      </w:r>
      <w:r>
        <w:rPr>
          <w:rFonts w:hint="eastAsia" w:eastAsia="仿宋_GB2312"/>
          <w:sz w:val="28"/>
          <w:szCs w:val="28"/>
        </w:rPr>
        <w:t>%，处理后通过</w:t>
      </w:r>
      <w:r>
        <w:rPr>
          <w:rFonts w:eastAsia="仿宋_GB2312"/>
          <w:sz w:val="28"/>
          <w:szCs w:val="28"/>
        </w:rPr>
        <w:t>一根</w:t>
      </w:r>
      <w:r>
        <w:rPr>
          <w:rFonts w:hint="eastAsia" w:eastAsia="仿宋_GB2312"/>
          <w:sz w:val="28"/>
          <w:szCs w:val="28"/>
        </w:rPr>
        <w:t>15米</w:t>
      </w:r>
      <w:r>
        <w:rPr>
          <w:rFonts w:eastAsia="仿宋_GB2312"/>
          <w:sz w:val="28"/>
          <w:szCs w:val="28"/>
        </w:rPr>
        <w:t>排气筒（</w:t>
      </w:r>
      <w:r>
        <w:rPr>
          <w:rFonts w:hint="eastAsia" w:eastAsia="仿宋_GB2312"/>
          <w:sz w:val="28"/>
          <w:szCs w:val="28"/>
        </w:rPr>
        <w:t>1</w:t>
      </w:r>
      <w:r>
        <w:rPr>
          <w:rFonts w:eastAsia="仿宋_GB2312"/>
          <w:sz w:val="28"/>
          <w:szCs w:val="28"/>
        </w:rPr>
        <w:t>#）</w:t>
      </w:r>
      <w:r>
        <w:rPr>
          <w:rFonts w:hint="eastAsia" w:eastAsia="仿宋_GB2312"/>
          <w:sz w:val="28"/>
          <w:szCs w:val="28"/>
        </w:rPr>
        <w:t>外排，</w:t>
      </w:r>
      <w:r>
        <w:rPr>
          <w:rFonts w:eastAsia="仿宋_GB2312"/>
          <w:sz w:val="28"/>
          <w:szCs w:val="28"/>
        </w:rPr>
        <w:t>系统风量</w:t>
      </w:r>
      <w:r>
        <w:rPr>
          <w:rFonts w:hint="eastAsia" w:eastAsia="仿宋_GB2312"/>
          <w:sz w:val="28"/>
          <w:szCs w:val="28"/>
        </w:rPr>
        <w:t>为50</w:t>
      </w:r>
      <w:r>
        <w:rPr>
          <w:rFonts w:eastAsia="仿宋_GB2312"/>
          <w:sz w:val="28"/>
          <w:szCs w:val="28"/>
        </w:rPr>
        <w:t>000m</w:t>
      </w:r>
      <w:r>
        <w:rPr>
          <w:rFonts w:eastAsia="仿宋_GB2312"/>
          <w:sz w:val="28"/>
          <w:szCs w:val="28"/>
          <w:vertAlign w:val="superscript"/>
        </w:rPr>
        <w:t>3</w:t>
      </w:r>
      <w:r>
        <w:rPr>
          <w:rFonts w:eastAsia="仿宋_GB2312"/>
          <w:sz w:val="28"/>
          <w:szCs w:val="28"/>
        </w:rPr>
        <w:t>/h</w:t>
      </w:r>
      <w:r>
        <w:rPr>
          <w:rFonts w:hint="eastAsia" w:eastAsia="仿宋_GB2312"/>
          <w:sz w:val="28"/>
          <w:szCs w:val="28"/>
        </w:rPr>
        <w:t>。</w:t>
      </w:r>
    </w:p>
    <w:p>
      <w:pPr>
        <w:spacing w:line="500" w:lineRule="exact"/>
        <w:ind w:firstLine="560" w:firstLineChars="200"/>
        <w:rPr>
          <w:rFonts w:eastAsia="仿宋_GB2312"/>
          <w:sz w:val="28"/>
          <w:szCs w:val="28"/>
        </w:rPr>
      </w:pPr>
      <w:r>
        <w:rPr>
          <w:rFonts w:hint="eastAsia" w:eastAsia="仿宋_GB2312"/>
          <w:sz w:val="28"/>
          <w:szCs w:val="28"/>
        </w:rPr>
        <w:t>危废仓库废气通过集气罩收集后进两级活性炭吸附装置处理后通过</w:t>
      </w:r>
      <w:r>
        <w:rPr>
          <w:rFonts w:eastAsia="仿宋_GB2312"/>
          <w:sz w:val="28"/>
          <w:szCs w:val="28"/>
        </w:rPr>
        <w:t>一根</w:t>
      </w:r>
      <w:r>
        <w:rPr>
          <w:rFonts w:hint="eastAsia" w:eastAsia="仿宋_GB2312"/>
          <w:sz w:val="28"/>
          <w:szCs w:val="28"/>
        </w:rPr>
        <w:t>15米</w:t>
      </w:r>
      <w:r>
        <w:rPr>
          <w:rFonts w:eastAsia="仿宋_GB2312"/>
          <w:sz w:val="28"/>
          <w:szCs w:val="28"/>
        </w:rPr>
        <w:t>排气筒（</w:t>
      </w:r>
      <w:r>
        <w:rPr>
          <w:rFonts w:hint="eastAsia" w:eastAsia="仿宋_GB2312"/>
          <w:sz w:val="28"/>
          <w:szCs w:val="28"/>
        </w:rPr>
        <w:t>2</w:t>
      </w:r>
      <w:r>
        <w:rPr>
          <w:rFonts w:eastAsia="仿宋_GB2312"/>
          <w:sz w:val="28"/>
          <w:szCs w:val="28"/>
        </w:rPr>
        <w:t>#）</w:t>
      </w:r>
      <w:r>
        <w:rPr>
          <w:rFonts w:hint="eastAsia" w:eastAsia="仿宋_GB2312"/>
          <w:sz w:val="28"/>
          <w:szCs w:val="28"/>
        </w:rPr>
        <w:t>外排，</w:t>
      </w:r>
      <w:r>
        <w:rPr>
          <w:rFonts w:eastAsia="仿宋_GB2312"/>
          <w:sz w:val="28"/>
          <w:szCs w:val="28"/>
        </w:rPr>
        <w:t>系统风量</w:t>
      </w:r>
      <w:r>
        <w:rPr>
          <w:rFonts w:hint="eastAsia" w:eastAsia="仿宋_GB2312"/>
          <w:sz w:val="28"/>
          <w:szCs w:val="28"/>
        </w:rPr>
        <w:t>为2</w:t>
      </w:r>
      <w:r>
        <w:rPr>
          <w:rFonts w:eastAsia="仿宋_GB2312"/>
          <w:sz w:val="28"/>
          <w:szCs w:val="28"/>
        </w:rPr>
        <w:t>000m</w:t>
      </w:r>
      <w:r>
        <w:rPr>
          <w:rFonts w:eastAsia="仿宋_GB2312"/>
          <w:sz w:val="28"/>
          <w:szCs w:val="28"/>
          <w:vertAlign w:val="superscript"/>
        </w:rPr>
        <w:t>3</w:t>
      </w:r>
      <w:r>
        <w:rPr>
          <w:rFonts w:eastAsia="仿宋_GB2312"/>
          <w:sz w:val="28"/>
          <w:szCs w:val="28"/>
        </w:rPr>
        <w:t>/h</w:t>
      </w:r>
      <w:r>
        <w:rPr>
          <w:rFonts w:hint="eastAsia" w:eastAsia="仿宋_GB2312"/>
          <w:sz w:val="28"/>
          <w:szCs w:val="28"/>
        </w:rPr>
        <w:t>。</w:t>
      </w:r>
    </w:p>
    <w:p>
      <w:pPr>
        <w:spacing w:line="500" w:lineRule="exact"/>
        <w:ind w:firstLine="560" w:firstLineChars="200"/>
        <w:rPr>
          <w:rFonts w:eastAsia="仿宋_GB2312"/>
          <w:sz w:val="28"/>
          <w:szCs w:val="28"/>
        </w:rPr>
      </w:pPr>
      <w:r>
        <w:rPr>
          <w:rFonts w:eastAsia="仿宋_GB2312"/>
          <w:sz w:val="28"/>
          <w:szCs w:val="28"/>
        </w:rPr>
        <w:t>废气处置方式具体见下图：</w:t>
      </w:r>
    </w:p>
    <w:p>
      <w:pPr>
        <w:jc w:val="center"/>
        <w:rPr>
          <w:rFonts w:eastAsia="仿宋_GB2312"/>
          <w:b/>
          <w:sz w:val="24"/>
        </w:rPr>
      </w:pPr>
      <w:r>
        <w:drawing>
          <wp:inline distT="0" distB="0" distL="114300" distR="114300">
            <wp:extent cx="5700395" cy="1909445"/>
            <wp:effectExtent l="0" t="0" r="0" b="0"/>
            <wp:docPr id="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8"/>
                    <pic:cNvPicPr>
                      <a:picLocks noChangeAspect="1"/>
                    </pic:cNvPicPr>
                  </pic:nvPicPr>
                  <pic:blipFill>
                    <a:blip r:embed="rId99"/>
                    <a:stretch>
                      <a:fillRect/>
                    </a:stretch>
                  </pic:blipFill>
                  <pic:spPr>
                    <a:xfrm>
                      <a:off x="0" y="0"/>
                      <a:ext cx="5700395" cy="1909445"/>
                    </a:xfrm>
                    <a:prstGeom prst="rect">
                      <a:avLst/>
                    </a:prstGeom>
                  </pic:spPr>
                </pic:pic>
              </a:graphicData>
            </a:graphic>
          </wp:inline>
        </w:drawing>
      </w:r>
    </w:p>
    <w:p>
      <w:pPr>
        <w:spacing w:line="500" w:lineRule="exact"/>
        <w:ind w:firstLine="482" w:firstLineChars="200"/>
        <w:jc w:val="center"/>
        <w:rPr>
          <w:rFonts w:eastAsia="仿宋_GB2312"/>
          <w:b/>
          <w:sz w:val="24"/>
        </w:rPr>
      </w:pPr>
      <w:r>
        <w:rPr>
          <w:rFonts w:eastAsia="仿宋_GB2312"/>
          <w:b/>
          <w:sz w:val="24"/>
        </w:rPr>
        <w:t xml:space="preserve">图6.1-1  </w:t>
      </w:r>
      <w:r>
        <w:rPr>
          <w:rFonts w:hint="eastAsia" w:eastAsia="仿宋_GB2312"/>
          <w:b/>
          <w:sz w:val="24"/>
        </w:rPr>
        <w:t>本项目</w:t>
      </w:r>
      <w:r>
        <w:rPr>
          <w:rFonts w:eastAsia="仿宋_GB2312"/>
          <w:b/>
          <w:sz w:val="24"/>
        </w:rPr>
        <w:t>废气处置方式示意图</w:t>
      </w:r>
    </w:p>
    <w:p>
      <w:pPr>
        <w:spacing w:line="500" w:lineRule="exact"/>
        <w:ind w:firstLine="560" w:firstLineChars="200"/>
        <w:rPr>
          <w:rFonts w:eastAsia="仿宋_GB2312"/>
          <w:sz w:val="28"/>
          <w:szCs w:val="28"/>
        </w:rPr>
      </w:pPr>
      <w:r>
        <w:rPr>
          <w:rFonts w:hint="eastAsia" w:eastAsia="仿宋_GB2312"/>
          <w:sz w:val="28"/>
          <w:szCs w:val="28"/>
        </w:rPr>
        <w:t>废气治理措施处理效果有效性分析：</w:t>
      </w:r>
    </w:p>
    <w:p>
      <w:pPr>
        <w:adjustRightInd w:val="0"/>
        <w:snapToGrid w:val="0"/>
        <w:spacing w:line="500" w:lineRule="exact"/>
        <w:ind w:firstLine="560" w:firstLineChars="200"/>
        <w:rPr>
          <w:rFonts w:eastAsia="仿宋_GB2312"/>
          <w:sz w:val="28"/>
          <w:szCs w:val="28"/>
        </w:rPr>
      </w:pPr>
      <w:r>
        <w:rPr>
          <w:rFonts w:hint="eastAsia" w:eastAsia="仿宋_GB2312"/>
          <w:sz w:val="28"/>
          <w:szCs w:val="28"/>
        </w:rPr>
        <w:t>车间内配胶间与</w:t>
      </w:r>
      <w:r>
        <w:rPr>
          <w:rFonts w:eastAsia="仿宋_GB2312"/>
          <w:sz w:val="28"/>
          <w:szCs w:val="28"/>
        </w:rPr>
        <w:t>涂布线为</w:t>
      </w:r>
      <w:r>
        <w:rPr>
          <w:rFonts w:hint="eastAsia" w:eastAsia="仿宋_GB2312"/>
          <w:sz w:val="28"/>
          <w:szCs w:val="28"/>
        </w:rPr>
        <w:t>独立</w:t>
      </w:r>
      <w:r>
        <w:rPr>
          <w:rFonts w:eastAsia="仿宋_GB2312"/>
          <w:sz w:val="28"/>
          <w:szCs w:val="28"/>
        </w:rPr>
        <w:t>密闭区域，</w:t>
      </w:r>
      <w:r>
        <w:rPr>
          <w:rFonts w:hint="eastAsia" w:eastAsia="仿宋_GB2312"/>
          <w:sz w:val="28"/>
          <w:szCs w:val="28"/>
        </w:rPr>
        <w:t>生产时车间内门窗密闭，其中清洗工段位于涂布干燥区域内，配胶间、</w:t>
      </w:r>
      <w:r>
        <w:rPr>
          <w:rFonts w:eastAsia="仿宋_GB2312"/>
          <w:sz w:val="28"/>
          <w:szCs w:val="28"/>
        </w:rPr>
        <w:t>涂布线</w:t>
      </w:r>
      <w:r>
        <w:rPr>
          <w:rFonts w:hint="eastAsia" w:eastAsia="仿宋_GB2312"/>
          <w:sz w:val="28"/>
          <w:szCs w:val="28"/>
        </w:rPr>
        <w:t>规格参数</w:t>
      </w:r>
      <w:r>
        <w:rPr>
          <w:rFonts w:eastAsia="仿宋_GB2312"/>
          <w:sz w:val="28"/>
          <w:szCs w:val="28"/>
        </w:rPr>
        <w:t>见下表</w:t>
      </w:r>
      <w:r>
        <w:rPr>
          <w:rFonts w:hint="eastAsia" w:eastAsia="仿宋_GB2312"/>
          <w:sz w:val="28"/>
          <w:szCs w:val="28"/>
        </w:rPr>
        <w:t>：</w:t>
      </w:r>
    </w:p>
    <w:p>
      <w:pPr>
        <w:spacing w:line="320" w:lineRule="exact"/>
        <w:jc w:val="center"/>
        <w:rPr>
          <w:rFonts w:eastAsia="仿宋_GB2312"/>
          <w:b/>
          <w:sz w:val="24"/>
        </w:rPr>
      </w:pPr>
      <w:r>
        <w:rPr>
          <w:rFonts w:hint="eastAsia" w:eastAsia="仿宋_GB2312"/>
          <w:b/>
          <w:sz w:val="24"/>
        </w:rPr>
        <w:t>表6.1-</w:t>
      </w:r>
      <w:r>
        <w:rPr>
          <w:rFonts w:eastAsia="仿宋_GB2312"/>
          <w:b/>
          <w:sz w:val="24"/>
        </w:rPr>
        <w:t>1</w:t>
      </w:r>
      <w:r>
        <w:rPr>
          <w:rFonts w:hint="eastAsia" w:eastAsia="仿宋_GB2312"/>
          <w:b/>
          <w:sz w:val="24"/>
        </w:rPr>
        <w:t xml:space="preserve">  本项目涉及的主要单元尺寸参数一览表</w:t>
      </w:r>
    </w:p>
    <w:tbl>
      <w:tblPr>
        <w:tblStyle w:val="87"/>
        <w:tblW w:w="432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69"/>
        <w:gridCol w:w="3048"/>
        <w:gridCol w:w="1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149" w:type="pct"/>
            <w:shd w:val="clear" w:color="auto" w:fill="auto"/>
            <w:noWrap/>
            <w:vAlign w:val="center"/>
          </w:tcPr>
          <w:p>
            <w:pPr>
              <w:spacing w:line="320" w:lineRule="exact"/>
              <w:jc w:val="center"/>
              <w:rPr>
                <w:rFonts w:eastAsia="仿宋"/>
                <w:szCs w:val="21"/>
              </w:rPr>
            </w:pPr>
            <w:r>
              <w:rPr>
                <w:rFonts w:hint="eastAsia" w:eastAsia="仿宋"/>
                <w:szCs w:val="21"/>
              </w:rPr>
              <w:t>名称</w:t>
            </w:r>
          </w:p>
        </w:tc>
        <w:tc>
          <w:tcPr>
            <w:tcW w:w="2067" w:type="pct"/>
            <w:shd w:val="clear" w:color="auto" w:fill="auto"/>
            <w:noWrap/>
            <w:vAlign w:val="center"/>
          </w:tcPr>
          <w:p>
            <w:pPr>
              <w:spacing w:line="320" w:lineRule="exact"/>
              <w:jc w:val="center"/>
              <w:rPr>
                <w:rFonts w:eastAsia="仿宋"/>
                <w:szCs w:val="21"/>
              </w:rPr>
            </w:pPr>
            <w:r>
              <w:rPr>
                <w:rFonts w:hint="eastAsia" w:eastAsia="仿宋"/>
                <w:szCs w:val="21"/>
              </w:rPr>
              <w:t>规格及参数</w:t>
            </w:r>
          </w:p>
        </w:tc>
        <w:tc>
          <w:tcPr>
            <w:tcW w:w="783" w:type="pct"/>
            <w:shd w:val="clear" w:color="auto" w:fill="auto"/>
            <w:noWrap/>
            <w:vAlign w:val="center"/>
          </w:tcPr>
          <w:p>
            <w:pPr>
              <w:spacing w:line="320" w:lineRule="exact"/>
              <w:jc w:val="center"/>
              <w:rPr>
                <w:rFonts w:eastAsia="仿宋"/>
                <w:szCs w:val="21"/>
              </w:rPr>
            </w:pPr>
            <w:r>
              <w:rPr>
                <w:rFonts w:hint="eastAsia" w:eastAsia="仿宋"/>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149" w:type="pct"/>
            <w:shd w:val="clear" w:color="auto" w:fill="auto"/>
            <w:noWrap/>
            <w:vAlign w:val="center"/>
          </w:tcPr>
          <w:p>
            <w:pPr>
              <w:spacing w:line="320" w:lineRule="exact"/>
              <w:jc w:val="center"/>
              <w:rPr>
                <w:rFonts w:eastAsia="仿宋"/>
                <w:szCs w:val="21"/>
              </w:rPr>
            </w:pPr>
            <w:r>
              <w:rPr>
                <w:rFonts w:eastAsia="仿宋"/>
                <w:szCs w:val="21"/>
              </w:rPr>
              <w:t>配胶间</w:t>
            </w:r>
          </w:p>
        </w:tc>
        <w:tc>
          <w:tcPr>
            <w:tcW w:w="2067" w:type="pct"/>
            <w:shd w:val="clear" w:color="auto" w:fill="auto"/>
            <w:noWrap/>
            <w:vAlign w:val="center"/>
          </w:tcPr>
          <w:p>
            <w:pPr>
              <w:widowControl/>
              <w:spacing w:line="320" w:lineRule="exact"/>
              <w:jc w:val="center"/>
              <w:textAlignment w:val="center"/>
              <w:rPr>
                <w:rFonts w:eastAsia="仿宋"/>
                <w:szCs w:val="21"/>
              </w:rPr>
            </w:pPr>
            <w:r>
              <w:rPr>
                <w:rFonts w:hint="eastAsia" w:eastAsia="仿宋"/>
                <w:szCs w:val="21"/>
              </w:rPr>
              <w:t>L18m*W6m*H5m</w:t>
            </w:r>
          </w:p>
        </w:tc>
        <w:tc>
          <w:tcPr>
            <w:tcW w:w="783" w:type="pct"/>
            <w:shd w:val="clear" w:color="auto" w:fill="auto"/>
            <w:noWrap/>
            <w:vAlign w:val="center"/>
          </w:tcPr>
          <w:p>
            <w:pPr>
              <w:spacing w:line="320" w:lineRule="exact"/>
              <w:jc w:val="center"/>
              <w:rPr>
                <w:rFonts w:eastAsia="仿宋"/>
                <w:szCs w:val="21"/>
              </w:rPr>
            </w:pPr>
            <w:r>
              <w:rPr>
                <w:rFonts w:hint="eastAsia" w:eastAsia="仿宋"/>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149" w:type="pct"/>
            <w:shd w:val="clear" w:color="auto" w:fill="auto"/>
            <w:noWrap/>
            <w:vAlign w:val="center"/>
          </w:tcPr>
          <w:p>
            <w:pPr>
              <w:spacing w:line="320" w:lineRule="exact"/>
              <w:jc w:val="center"/>
              <w:rPr>
                <w:rFonts w:eastAsia="仿宋"/>
                <w:szCs w:val="21"/>
              </w:rPr>
            </w:pPr>
            <w:r>
              <w:rPr>
                <w:rFonts w:hint="eastAsia" w:eastAsia="仿宋"/>
                <w:szCs w:val="21"/>
              </w:rPr>
              <w:t>涂布干燥间</w:t>
            </w:r>
          </w:p>
        </w:tc>
        <w:tc>
          <w:tcPr>
            <w:tcW w:w="2067" w:type="pct"/>
            <w:noWrap/>
            <w:vAlign w:val="center"/>
          </w:tcPr>
          <w:p>
            <w:pPr>
              <w:widowControl/>
              <w:spacing w:line="320" w:lineRule="exact"/>
              <w:jc w:val="center"/>
              <w:textAlignment w:val="center"/>
              <w:rPr>
                <w:rFonts w:eastAsia="仿宋"/>
                <w:szCs w:val="21"/>
              </w:rPr>
            </w:pPr>
            <w:r>
              <w:rPr>
                <w:rFonts w:hint="eastAsia" w:eastAsia="仿宋"/>
                <w:szCs w:val="21"/>
              </w:rPr>
              <w:t>L26m*W40m*H5m</w:t>
            </w:r>
          </w:p>
        </w:tc>
        <w:tc>
          <w:tcPr>
            <w:tcW w:w="783" w:type="pct"/>
            <w:shd w:val="clear" w:color="auto" w:fill="auto"/>
            <w:noWrap/>
            <w:vAlign w:val="center"/>
          </w:tcPr>
          <w:p>
            <w:pPr>
              <w:spacing w:line="320" w:lineRule="exact"/>
              <w:jc w:val="center"/>
              <w:rPr>
                <w:rFonts w:eastAsia="仿宋"/>
                <w:szCs w:val="21"/>
              </w:rPr>
            </w:pPr>
            <w:r>
              <w:rPr>
                <w:rFonts w:hint="eastAsia" w:eastAsia="仿宋"/>
                <w:szCs w:val="21"/>
              </w:rPr>
              <w:t>新建</w:t>
            </w:r>
          </w:p>
        </w:tc>
      </w:tr>
    </w:tbl>
    <w:p>
      <w:pPr>
        <w:pStyle w:val="69"/>
        <w:adjustRightInd w:val="0"/>
        <w:snapToGrid w:val="0"/>
        <w:spacing w:after="0" w:line="500" w:lineRule="exact"/>
        <w:ind w:left="0" w:leftChars="0" w:firstLine="561"/>
        <w:rPr>
          <w:rFonts w:eastAsia="仿宋_GB2312"/>
          <w:sz w:val="28"/>
          <w:szCs w:val="28"/>
        </w:rPr>
      </w:pPr>
      <w:r>
        <w:rPr>
          <w:rFonts w:hint="eastAsia" w:eastAsia="仿宋_GB2312"/>
          <w:sz w:val="28"/>
          <w:szCs w:val="28"/>
        </w:rPr>
        <w:t>根据废气设施单位提供的风量计算依据，计算过程如下：送风风速以0.3m/s计，换风次数为</w:t>
      </w:r>
      <w:r>
        <w:rPr>
          <w:rFonts w:eastAsia="仿宋_GB2312"/>
          <w:sz w:val="28"/>
          <w:szCs w:val="28"/>
        </w:rPr>
        <w:t>6</w:t>
      </w:r>
      <w:r>
        <w:rPr>
          <w:rFonts w:hint="eastAsia" w:eastAsia="仿宋_GB2312"/>
          <w:sz w:val="28"/>
          <w:szCs w:val="28"/>
        </w:rPr>
        <w:t>次/时，因此配胶间风量Q=540*6=3240m</w:t>
      </w:r>
      <w:r>
        <w:rPr>
          <w:rFonts w:hint="eastAsia" w:eastAsia="仿宋_GB2312"/>
          <w:sz w:val="28"/>
          <w:szCs w:val="28"/>
          <w:vertAlign w:val="superscript"/>
        </w:rPr>
        <w:t>3</w:t>
      </w:r>
      <w:r>
        <w:rPr>
          <w:rFonts w:hint="eastAsia" w:eastAsia="仿宋_GB2312"/>
          <w:sz w:val="28"/>
          <w:szCs w:val="28"/>
        </w:rPr>
        <w:t>/h，涂布干燥区风量Q=1043*6=6258m</w:t>
      </w:r>
      <w:r>
        <w:rPr>
          <w:rFonts w:hint="eastAsia" w:eastAsia="仿宋_GB2312"/>
          <w:sz w:val="28"/>
          <w:szCs w:val="28"/>
          <w:vertAlign w:val="superscript"/>
        </w:rPr>
        <w:t>3</w:t>
      </w:r>
      <w:r>
        <w:rPr>
          <w:rFonts w:hint="eastAsia" w:eastAsia="仿宋_GB2312"/>
          <w:sz w:val="28"/>
          <w:szCs w:val="28"/>
        </w:rPr>
        <w:t>/h，本项目有机废气废气处理设施配套风机设计风量约50000m</w:t>
      </w:r>
      <w:r>
        <w:rPr>
          <w:rFonts w:hint="eastAsia" w:eastAsia="仿宋_GB2312"/>
          <w:sz w:val="28"/>
          <w:szCs w:val="28"/>
          <w:vertAlign w:val="superscript"/>
        </w:rPr>
        <w:t>3</w:t>
      </w:r>
      <w:r>
        <w:rPr>
          <w:rFonts w:hint="eastAsia" w:eastAsia="仿宋_GB2312"/>
          <w:sz w:val="28"/>
          <w:szCs w:val="28"/>
        </w:rPr>
        <w:t>/h。</w:t>
      </w:r>
    </w:p>
    <w:p>
      <w:pPr>
        <w:pStyle w:val="4"/>
        <w:keepLines w:val="0"/>
        <w:numPr>
          <w:ilvl w:val="2"/>
          <w:numId w:val="1"/>
        </w:numPr>
        <w:tabs>
          <w:tab w:val="left" w:pos="709"/>
        </w:tabs>
        <w:spacing w:before="0" w:after="120" w:afterLines="50" w:line="500" w:lineRule="exact"/>
        <w:ind w:left="0" w:firstLine="0"/>
        <w:rPr>
          <w:rFonts w:eastAsia="仿宋_GB2312"/>
          <w:bCs w:val="0"/>
          <w:sz w:val="28"/>
        </w:rPr>
      </w:pPr>
      <w:r>
        <w:rPr>
          <w:rFonts w:eastAsia="仿宋_GB2312"/>
          <w:bCs w:val="0"/>
          <w:sz w:val="28"/>
        </w:rPr>
        <w:t>无组织废气污染防治措施评述</w:t>
      </w:r>
    </w:p>
    <w:p>
      <w:pPr>
        <w:adjustRightInd w:val="0"/>
        <w:snapToGrid w:val="0"/>
        <w:spacing w:line="500" w:lineRule="exact"/>
        <w:ind w:firstLine="560" w:firstLineChars="200"/>
        <w:rPr>
          <w:rFonts w:eastAsia="仿宋_GB2312"/>
          <w:sz w:val="28"/>
          <w:szCs w:val="28"/>
        </w:rPr>
      </w:pPr>
      <w:r>
        <w:rPr>
          <w:rFonts w:hint="eastAsia" w:eastAsia="仿宋_GB2312"/>
          <w:sz w:val="28"/>
          <w:szCs w:val="28"/>
        </w:rPr>
        <w:t>本项目</w:t>
      </w:r>
      <w:r>
        <w:rPr>
          <w:rFonts w:eastAsia="仿宋_GB2312"/>
          <w:sz w:val="28"/>
          <w:szCs w:val="28"/>
        </w:rPr>
        <w:t>无组织废气</w:t>
      </w:r>
      <w:r>
        <w:rPr>
          <w:rFonts w:hint="eastAsia" w:eastAsia="仿宋_GB2312"/>
          <w:sz w:val="28"/>
          <w:szCs w:val="28"/>
        </w:rPr>
        <w:t>主要</w:t>
      </w:r>
      <w:r>
        <w:rPr>
          <w:rFonts w:eastAsia="仿宋_GB2312"/>
          <w:sz w:val="28"/>
          <w:szCs w:val="28"/>
        </w:rPr>
        <w:t>为</w:t>
      </w:r>
      <w:r>
        <w:rPr>
          <w:rFonts w:hint="eastAsia" w:eastAsia="仿宋_GB2312"/>
          <w:sz w:val="28"/>
          <w:szCs w:val="28"/>
        </w:rPr>
        <w:t>车间</w:t>
      </w:r>
      <w:r>
        <w:rPr>
          <w:rFonts w:eastAsia="仿宋_GB2312"/>
          <w:sz w:val="28"/>
          <w:szCs w:val="28"/>
        </w:rPr>
        <w:t>一</w:t>
      </w:r>
      <w:r>
        <w:rPr>
          <w:rFonts w:hint="eastAsia" w:eastAsia="仿宋_GB2312"/>
          <w:sz w:val="28"/>
          <w:szCs w:val="28"/>
        </w:rPr>
        <w:t>未</w:t>
      </w:r>
      <w:r>
        <w:rPr>
          <w:rFonts w:eastAsia="仿宋_GB2312"/>
          <w:sz w:val="28"/>
          <w:szCs w:val="28"/>
        </w:rPr>
        <w:t>捕集到的工艺废气</w:t>
      </w:r>
      <w:r>
        <w:rPr>
          <w:rFonts w:hint="eastAsia" w:eastAsia="仿宋_GB2312"/>
          <w:sz w:val="28"/>
          <w:szCs w:val="28"/>
        </w:rPr>
        <w:t>，</w:t>
      </w:r>
      <w:r>
        <w:rPr>
          <w:rFonts w:eastAsia="仿宋_GB2312"/>
          <w:sz w:val="28"/>
          <w:szCs w:val="28"/>
        </w:rPr>
        <w:t>即</w:t>
      </w:r>
      <w:r>
        <w:rPr>
          <w:rFonts w:hint="eastAsia" w:eastAsia="仿宋_GB2312"/>
          <w:sz w:val="28"/>
          <w:szCs w:val="28"/>
        </w:rPr>
        <w:t>车间配胶废气G1、涂布干燥废气G2、清洗废气G3</w:t>
      </w:r>
    </w:p>
    <w:p>
      <w:pPr>
        <w:spacing w:line="500" w:lineRule="exact"/>
        <w:ind w:firstLine="560" w:firstLineChars="200"/>
        <w:rPr>
          <w:rFonts w:eastAsia="仿宋_GB2312"/>
          <w:sz w:val="28"/>
          <w:szCs w:val="28"/>
        </w:rPr>
      </w:pPr>
      <w:r>
        <w:rPr>
          <w:rFonts w:hint="eastAsia" w:eastAsia="仿宋_GB2312"/>
          <w:sz w:val="28"/>
          <w:szCs w:val="28"/>
        </w:rPr>
        <w:t>为进一步减少无组织废气的排放，按照《挥发性</w:t>
      </w:r>
      <w:r>
        <w:rPr>
          <w:rFonts w:eastAsia="仿宋_GB2312"/>
          <w:sz w:val="28"/>
          <w:szCs w:val="28"/>
        </w:rPr>
        <w:t>有机物无组织</w:t>
      </w:r>
      <w:r>
        <w:rPr>
          <w:rFonts w:hint="eastAsia" w:eastAsia="仿宋_GB2312"/>
          <w:sz w:val="28"/>
          <w:szCs w:val="28"/>
        </w:rPr>
        <w:t>排放控制</w:t>
      </w:r>
      <w:r>
        <w:rPr>
          <w:rFonts w:eastAsia="仿宋_GB2312"/>
          <w:sz w:val="28"/>
          <w:szCs w:val="28"/>
        </w:rPr>
        <w:t>标准</w:t>
      </w:r>
      <w:r>
        <w:rPr>
          <w:rFonts w:hint="eastAsia" w:eastAsia="仿宋_GB2312"/>
          <w:sz w:val="28"/>
          <w:szCs w:val="28"/>
        </w:rPr>
        <w:t>》（GB37822-2019）中</w:t>
      </w:r>
      <w:r>
        <w:rPr>
          <w:rFonts w:eastAsia="仿宋_GB2312"/>
          <w:sz w:val="28"/>
          <w:szCs w:val="28"/>
        </w:rPr>
        <w:t>的要求，</w:t>
      </w:r>
      <w:r>
        <w:rPr>
          <w:rFonts w:hint="eastAsia" w:eastAsia="仿宋_GB2312"/>
          <w:sz w:val="28"/>
          <w:szCs w:val="28"/>
        </w:rPr>
        <w:t>采取如下措施：</w:t>
      </w:r>
    </w:p>
    <w:p>
      <w:pPr>
        <w:spacing w:line="500" w:lineRule="exact"/>
        <w:ind w:firstLine="560" w:firstLineChars="200"/>
        <w:rPr>
          <w:rFonts w:eastAsia="仿宋_GB2312"/>
          <w:sz w:val="28"/>
          <w:szCs w:val="28"/>
        </w:rPr>
      </w:pPr>
      <w:r>
        <w:rPr>
          <w:rFonts w:hint="eastAsia" w:eastAsia="仿宋_GB2312"/>
          <w:sz w:val="28"/>
          <w:szCs w:val="28"/>
        </w:rPr>
        <w:t>(</w:t>
      </w:r>
      <w:r>
        <w:rPr>
          <w:rFonts w:eastAsia="仿宋_GB2312"/>
          <w:sz w:val="28"/>
          <w:szCs w:val="28"/>
        </w:rPr>
        <w:t>1)</w:t>
      </w:r>
      <w:r>
        <w:rPr>
          <w:rFonts w:hint="eastAsia" w:eastAsia="仿宋_GB2312"/>
          <w:sz w:val="28"/>
          <w:szCs w:val="28"/>
        </w:rPr>
        <w:t>密闭</w:t>
      </w:r>
      <w:r>
        <w:rPr>
          <w:rFonts w:eastAsia="仿宋_GB2312"/>
          <w:sz w:val="28"/>
          <w:szCs w:val="28"/>
        </w:rPr>
        <w:t>生产空间</w:t>
      </w:r>
      <w:r>
        <w:rPr>
          <w:rFonts w:hint="eastAsia" w:eastAsia="仿宋_GB2312"/>
          <w:sz w:val="28"/>
          <w:szCs w:val="28"/>
        </w:rPr>
        <w:t>严格按照操作规范进行，同时确保密闭</w:t>
      </w:r>
      <w:r>
        <w:rPr>
          <w:rFonts w:eastAsia="仿宋_GB2312"/>
          <w:sz w:val="28"/>
          <w:szCs w:val="28"/>
        </w:rPr>
        <w:t>房间及废气</w:t>
      </w:r>
      <w:r>
        <w:rPr>
          <w:rFonts w:hint="eastAsia" w:eastAsia="仿宋_GB2312"/>
          <w:sz w:val="28"/>
          <w:szCs w:val="28"/>
        </w:rPr>
        <w:t>收集装置的气密性，定期检查排气筒和密闭</w:t>
      </w:r>
      <w:r>
        <w:rPr>
          <w:rFonts w:eastAsia="仿宋_GB2312"/>
          <w:sz w:val="28"/>
          <w:szCs w:val="28"/>
        </w:rPr>
        <w:t>生产空间的</w:t>
      </w:r>
      <w:r>
        <w:rPr>
          <w:rFonts w:hint="eastAsia" w:eastAsia="仿宋_GB2312"/>
          <w:sz w:val="28"/>
          <w:szCs w:val="28"/>
        </w:rPr>
        <w:t>负压值，如有异常，需立即采取措施。</w:t>
      </w:r>
    </w:p>
    <w:p>
      <w:pPr>
        <w:spacing w:line="500" w:lineRule="exact"/>
        <w:ind w:firstLine="560" w:firstLineChars="200"/>
        <w:rPr>
          <w:rFonts w:eastAsia="仿宋_GB2312"/>
          <w:sz w:val="28"/>
          <w:szCs w:val="28"/>
        </w:rPr>
      </w:pPr>
      <w:r>
        <w:rPr>
          <w:rFonts w:hint="eastAsia" w:eastAsia="仿宋_GB2312"/>
          <w:sz w:val="28"/>
          <w:szCs w:val="28"/>
        </w:rPr>
        <w:t>(</w:t>
      </w:r>
      <w:r>
        <w:rPr>
          <w:rFonts w:eastAsia="仿宋_GB2312"/>
          <w:sz w:val="28"/>
          <w:szCs w:val="28"/>
        </w:rPr>
        <w:t>2)</w:t>
      </w:r>
      <w:r>
        <w:rPr>
          <w:rFonts w:hint="eastAsia" w:eastAsia="仿宋_GB2312"/>
          <w:sz w:val="28"/>
          <w:szCs w:val="28"/>
        </w:rPr>
        <w:t>合理布置车间，将产生无组织废气的工序布置在远离厂界的地方，以减少无组织废气对厂界周围环境的影响。</w:t>
      </w:r>
    </w:p>
    <w:p>
      <w:pPr>
        <w:spacing w:line="500" w:lineRule="exact"/>
        <w:ind w:firstLine="560" w:firstLineChars="200"/>
        <w:rPr>
          <w:rFonts w:eastAsia="仿宋_GB2312"/>
          <w:sz w:val="28"/>
          <w:szCs w:val="28"/>
        </w:rPr>
      </w:pPr>
      <w:r>
        <w:rPr>
          <w:rFonts w:hint="eastAsia" w:eastAsia="仿宋_GB2312"/>
          <w:sz w:val="28"/>
          <w:szCs w:val="28"/>
        </w:rPr>
        <w:t>(3)化学品</w:t>
      </w:r>
      <w:r>
        <w:rPr>
          <w:rFonts w:eastAsia="仿宋_GB2312"/>
          <w:sz w:val="28"/>
          <w:szCs w:val="28"/>
        </w:rPr>
        <w:t>原辅料存放于</w:t>
      </w:r>
      <w:r>
        <w:rPr>
          <w:rFonts w:hint="eastAsia" w:eastAsia="仿宋_GB2312"/>
          <w:sz w:val="28"/>
          <w:szCs w:val="28"/>
        </w:rPr>
        <w:t>原料库</w:t>
      </w:r>
      <w:r>
        <w:rPr>
          <w:rFonts w:eastAsia="仿宋_GB2312"/>
          <w:sz w:val="28"/>
          <w:szCs w:val="28"/>
        </w:rPr>
        <w:t>内，</w:t>
      </w:r>
      <w:r>
        <w:rPr>
          <w:rFonts w:hint="eastAsia" w:eastAsia="仿宋_GB2312"/>
          <w:sz w:val="28"/>
          <w:szCs w:val="28"/>
        </w:rPr>
        <w:t>容器</w:t>
      </w:r>
      <w:r>
        <w:rPr>
          <w:rFonts w:eastAsia="仿宋_GB2312"/>
          <w:sz w:val="28"/>
          <w:szCs w:val="28"/>
        </w:rPr>
        <w:t>应加盖封口，保持密闭</w:t>
      </w:r>
      <w:r>
        <w:rPr>
          <w:rFonts w:hint="eastAsia" w:eastAsia="仿宋_GB2312"/>
          <w:sz w:val="28"/>
          <w:szCs w:val="28"/>
        </w:rPr>
        <w:t>。本项目使用的稀释剂</w:t>
      </w:r>
      <w:r>
        <w:rPr>
          <w:rFonts w:eastAsia="仿宋_GB2312"/>
          <w:sz w:val="28"/>
          <w:szCs w:val="28"/>
        </w:rPr>
        <w:t>、固化剂等</w:t>
      </w:r>
      <w:r>
        <w:rPr>
          <w:rFonts w:hint="eastAsia" w:eastAsia="仿宋_GB2312"/>
          <w:sz w:val="28"/>
          <w:szCs w:val="28"/>
        </w:rPr>
        <w:t>含VOCs物料采用密闭包装方式，临时储存于密闭的原料仓库中，在非取用状态时全部加盖保持密闭。液态VOCs原料从原料仓库转移至车间过程均不打开包装容器。</w:t>
      </w:r>
    </w:p>
    <w:p>
      <w:pPr>
        <w:spacing w:line="500" w:lineRule="exact"/>
        <w:ind w:firstLine="560" w:firstLineChars="200"/>
        <w:rPr>
          <w:rFonts w:eastAsia="仿宋_GB2312"/>
          <w:sz w:val="28"/>
          <w:szCs w:val="28"/>
        </w:rPr>
      </w:pPr>
      <w:r>
        <w:rPr>
          <w:rFonts w:hint="eastAsia" w:eastAsia="仿宋_GB2312"/>
          <w:sz w:val="28"/>
          <w:szCs w:val="28"/>
        </w:rPr>
        <w:t>(</w:t>
      </w:r>
      <w:r>
        <w:rPr>
          <w:rFonts w:eastAsia="仿宋_GB2312"/>
          <w:sz w:val="28"/>
          <w:szCs w:val="28"/>
        </w:rPr>
        <w:t>4)</w:t>
      </w:r>
      <w:r>
        <w:rPr>
          <w:rFonts w:hint="eastAsia" w:eastAsia="仿宋_GB2312"/>
          <w:sz w:val="28"/>
          <w:szCs w:val="28"/>
        </w:rPr>
        <w:t>用过</w:t>
      </w:r>
      <w:r>
        <w:rPr>
          <w:rFonts w:eastAsia="仿宋_GB2312"/>
          <w:sz w:val="28"/>
          <w:szCs w:val="28"/>
        </w:rPr>
        <w:t>的原料桶</w:t>
      </w:r>
      <w:r>
        <w:rPr>
          <w:rFonts w:hint="eastAsia" w:eastAsia="仿宋_GB2312"/>
          <w:sz w:val="28"/>
          <w:szCs w:val="28"/>
        </w:rPr>
        <w:t>应立即</w:t>
      </w:r>
      <w:r>
        <w:rPr>
          <w:rFonts w:eastAsia="仿宋_GB2312"/>
          <w:sz w:val="28"/>
          <w:szCs w:val="28"/>
        </w:rPr>
        <w:t>加盖</w:t>
      </w:r>
      <w:r>
        <w:rPr>
          <w:rFonts w:hint="eastAsia" w:eastAsia="仿宋_GB2312"/>
          <w:sz w:val="28"/>
          <w:szCs w:val="28"/>
        </w:rPr>
        <w:t>储存，并立即</w:t>
      </w:r>
      <w:r>
        <w:rPr>
          <w:rFonts w:eastAsia="仿宋_GB2312"/>
          <w:sz w:val="28"/>
          <w:szCs w:val="28"/>
        </w:rPr>
        <w:t>暂存在危废库内。</w:t>
      </w:r>
    </w:p>
    <w:p>
      <w:pPr>
        <w:spacing w:line="500" w:lineRule="exact"/>
        <w:ind w:firstLine="560" w:firstLineChars="200"/>
        <w:rPr>
          <w:rFonts w:eastAsia="仿宋_GB2312"/>
          <w:sz w:val="28"/>
          <w:szCs w:val="28"/>
        </w:rPr>
      </w:pPr>
      <w:r>
        <w:rPr>
          <w:rFonts w:hint="eastAsia" w:eastAsia="仿宋_GB2312"/>
          <w:sz w:val="28"/>
          <w:szCs w:val="28"/>
        </w:rPr>
        <w:t>(</w:t>
      </w:r>
      <w:r>
        <w:rPr>
          <w:rFonts w:eastAsia="仿宋_GB2312"/>
          <w:sz w:val="28"/>
          <w:szCs w:val="28"/>
        </w:rPr>
        <w:t>5)加强厂区和厂界的绿化工作，减少无组织废气对周围环境的影响。</w:t>
      </w:r>
    </w:p>
    <w:p>
      <w:pPr>
        <w:spacing w:line="500" w:lineRule="exact"/>
        <w:ind w:firstLine="560" w:firstLineChars="200"/>
        <w:rPr>
          <w:rFonts w:eastAsia="仿宋_GB2312"/>
          <w:sz w:val="28"/>
          <w:szCs w:val="28"/>
        </w:rPr>
      </w:pPr>
      <w:r>
        <w:rPr>
          <w:rFonts w:hint="eastAsia" w:eastAsia="仿宋_GB2312"/>
          <w:sz w:val="28"/>
          <w:szCs w:val="28"/>
        </w:rPr>
        <w:t>(</w:t>
      </w:r>
      <w:r>
        <w:rPr>
          <w:rFonts w:eastAsia="仿宋_GB2312"/>
          <w:sz w:val="28"/>
          <w:szCs w:val="28"/>
        </w:rPr>
        <w:t>6)</w:t>
      </w:r>
      <w:r>
        <w:rPr>
          <w:rFonts w:hint="eastAsia" w:eastAsia="仿宋_GB2312"/>
          <w:sz w:val="28"/>
          <w:szCs w:val="28"/>
        </w:rPr>
        <w:t>无组织排放废气均通过车间强制通风，降低生产厂房内污染物浓度。</w:t>
      </w:r>
    </w:p>
    <w:p>
      <w:pPr>
        <w:pStyle w:val="4"/>
        <w:keepLines w:val="0"/>
        <w:numPr>
          <w:ilvl w:val="2"/>
          <w:numId w:val="1"/>
        </w:numPr>
        <w:tabs>
          <w:tab w:val="left" w:pos="709"/>
        </w:tabs>
        <w:spacing w:before="0" w:after="120" w:afterLines="50" w:line="500" w:lineRule="exact"/>
        <w:ind w:left="0" w:firstLine="0"/>
        <w:rPr>
          <w:rFonts w:eastAsia="仿宋_GB2312"/>
          <w:bCs w:val="0"/>
          <w:sz w:val="28"/>
        </w:rPr>
      </w:pPr>
      <w:r>
        <w:rPr>
          <w:rFonts w:eastAsia="仿宋_GB2312"/>
          <w:bCs w:val="0"/>
          <w:sz w:val="28"/>
        </w:rPr>
        <w:t>技术可行性分析</w:t>
      </w:r>
    </w:p>
    <w:p>
      <w:pPr>
        <w:spacing w:line="490" w:lineRule="exact"/>
        <w:ind w:firstLine="560" w:firstLineChars="200"/>
        <w:rPr>
          <w:rFonts w:eastAsia="仿宋_GB2312"/>
          <w:sz w:val="28"/>
          <w:szCs w:val="28"/>
        </w:rPr>
      </w:pPr>
      <w:r>
        <w:rPr>
          <w:rFonts w:hint="eastAsia" w:eastAsia="仿宋_GB2312"/>
          <w:sz w:val="28"/>
          <w:szCs w:val="28"/>
        </w:rPr>
        <w:t>有机化合物是污染大气的重要污染物之一，主要来源于石油、化工、有机溶剂行业的生产过程以及有机溶剂的使用过程，对人体器官有刺激作用。根据有机废气的性质、特点以及其中有机物回收的可能性等条件，可采用不同的净化和回收方法。目前，国内针对喷涂废气采取的治理措施主要的净化方法见表</w:t>
      </w:r>
      <w:r>
        <w:rPr>
          <w:rFonts w:eastAsia="仿宋_GB2312"/>
          <w:sz w:val="28"/>
          <w:szCs w:val="28"/>
        </w:rPr>
        <w:t>6</w:t>
      </w:r>
      <w:r>
        <w:rPr>
          <w:rFonts w:hint="eastAsia" w:eastAsia="仿宋_GB2312"/>
          <w:sz w:val="28"/>
          <w:szCs w:val="28"/>
        </w:rPr>
        <w:t>.1-</w:t>
      </w:r>
      <w:r>
        <w:rPr>
          <w:rFonts w:eastAsia="仿宋_GB2312"/>
          <w:sz w:val="28"/>
          <w:szCs w:val="28"/>
        </w:rPr>
        <w:t>2</w:t>
      </w:r>
      <w:r>
        <w:rPr>
          <w:rFonts w:hint="eastAsia" w:eastAsia="仿宋_GB2312"/>
          <w:sz w:val="28"/>
          <w:szCs w:val="28"/>
        </w:rPr>
        <w:t>。</w:t>
      </w:r>
    </w:p>
    <w:p>
      <w:pPr>
        <w:spacing w:line="320" w:lineRule="exact"/>
        <w:jc w:val="center"/>
        <w:rPr>
          <w:rFonts w:eastAsia="仿宋_GB2312"/>
          <w:b/>
          <w:sz w:val="24"/>
        </w:rPr>
      </w:pPr>
    </w:p>
    <w:p>
      <w:pPr>
        <w:spacing w:line="320" w:lineRule="exact"/>
        <w:jc w:val="center"/>
        <w:rPr>
          <w:rFonts w:eastAsia="仿宋_GB2312"/>
          <w:b/>
          <w:sz w:val="24"/>
        </w:rPr>
      </w:pPr>
    </w:p>
    <w:p>
      <w:pPr>
        <w:spacing w:line="320" w:lineRule="exact"/>
        <w:jc w:val="center"/>
        <w:rPr>
          <w:rFonts w:eastAsia="仿宋_GB2312"/>
          <w:b/>
          <w:sz w:val="24"/>
        </w:rPr>
      </w:pPr>
      <w:r>
        <w:rPr>
          <w:rFonts w:hint="eastAsia" w:eastAsia="仿宋_GB2312"/>
          <w:b/>
          <w:sz w:val="24"/>
        </w:rPr>
        <w:t>表</w:t>
      </w:r>
      <w:r>
        <w:rPr>
          <w:rFonts w:eastAsia="仿宋_GB2312"/>
          <w:b/>
          <w:sz w:val="24"/>
        </w:rPr>
        <w:t>6</w:t>
      </w:r>
      <w:r>
        <w:rPr>
          <w:rFonts w:hint="eastAsia" w:eastAsia="仿宋_GB2312"/>
          <w:b/>
          <w:sz w:val="24"/>
        </w:rPr>
        <w:t>.1-</w:t>
      </w:r>
      <w:r>
        <w:rPr>
          <w:rFonts w:eastAsia="仿宋_GB2312"/>
          <w:b/>
          <w:sz w:val="24"/>
        </w:rPr>
        <w:t>2</w:t>
      </w:r>
      <w:r>
        <w:rPr>
          <w:rFonts w:hint="eastAsia" w:eastAsia="仿宋_GB2312"/>
          <w:b/>
          <w:sz w:val="24"/>
        </w:rPr>
        <w:t xml:space="preserve">   有机化合物主要的净化方法</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
        <w:gridCol w:w="2550"/>
        <w:gridCol w:w="1860"/>
        <w:gridCol w:w="3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5" w:type="dxa"/>
            <w:vAlign w:val="center"/>
          </w:tcPr>
          <w:p>
            <w:pPr>
              <w:spacing w:line="320" w:lineRule="exact"/>
              <w:jc w:val="center"/>
              <w:rPr>
                <w:rFonts w:eastAsia="仿宋"/>
                <w:szCs w:val="21"/>
              </w:rPr>
            </w:pPr>
            <w:r>
              <w:rPr>
                <w:rFonts w:hint="eastAsia" w:eastAsia="仿宋"/>
                <w:szCs w:val="21"/>
              </w:rPr>
              <w:t>净化方法</w:t>
            </w:r>
          </w:p>
        </w:tc>
        <w:tc>
          <w:tcPr>
            <w:tcW w:w="2482" w:type="dxa"/>
            <w:vAlign w:val="center"/>
          </w:tcPr>
          <w:p>
            <w:pPr>
              <w:spacing w:line="320" w:lineRule="exact"/>
              <w:jc w:val="center"/>
              <w:rPr>
                <w:rFonts w:eastAsia="仿宋"/>
                <w:szCs w:val="21"/>
              </w:rPr>
            </w:pPr>
            <w:r>
              <w:rPr>
                <w:rFonts w:hint="eastAsia" w:eastAsia="仿宋"/>
                <w:szCs w:val="21"/>
              </w:rPr>
              <w:t>方法要点</w:t>
            </w:r>
          </w:p>
        </w:tc>
        <w:tc>
          <w:tcPr>
            <w:tcW w:w="1811" w:type="dxa"/>
            <w:vAlign w:val="center"/>
          </w:tcPr>
          <w:p>
            <w:pPr>
              <w:spacing w:line="320" w:lineRule="exact"/>
              <w:jc w:val="center"/>
              <w:rPr>
                <w:rFonts w:eastAsia="仿宋"/>
                <w:szCs w:val="21"/>
              </w:rPr>
            </w:pPr>
            <w:r>
              <w:rPr>
                <w:rFonts w:hint="eastAsia" w:eastAsia="仿宋"/>
                <w:szCs w:val="21"/>
              </w:rPr>
              <w:t>适用范围</w:t>
            </w:r>
          </w:p>
        </w:tc>
        <w:tc>
          <w:tcPr>
            <w:tcW w:w="3088" w:type="dxa"/>
            <w:vAlign w:val="center"/>
          </w:tcPr>
          <w:p>
            <w:pPr>
              <w:spacing w:line="320" w:lineRule="exact"/>
              <w:jc w:val="center"/>
              <w:rPr>
                <w:rFonts w:eastAsia="仿宋"/>
                <w:szCs w:val="21"/>
              </w:rPr>
            </w:pPr>
            <w:r>
              <w:rPr>
                <w:rFonts w:hint="eastAsia" w:eastAsia="仿宋"/>
                <w:szCs w:val="21"/>
              </w:rPr>
              <w:t>优缺点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5" w:type="dxa"/>
            <w:vAlign w:val="center"/>
          </w:tcPr>
          <w:p>
            <w:pPr>
              <w:spacing w:line="320" w:lineRule="exact"/>
              <w:jc w:val="center"/>
              <w:rPr>
                <w:rFonts w:eastAsia="仿宋"/>
                <w:szCs w:val="21"/>
              </w:rPr>
            </w:pPr>
            <w:r>
              <w:rPr>
                <w:rFonts w:hint="eastAsia" w:eastAsia="仿宋"/>
                <w:szCs w:val="21"/>
              </w:rPr>
              <w:t>燃烧法</w:t>
            </w:r>
          </w:p>
        </w:tc>
        <w:tc>
          <w:tcPr>
            <w:tcW w:w="2482" w:type="dxa"/>
            <w:vAlign w:val="center"/>
          </w:tcPr>
          <w:p>
            <w:pPr>
              <w:spacing w:line="320" w:lineRule="exact"/>
              <w:jc w:val="center"/>
              <w:rPr>
                <w:rFonts w:eastAsia="仿宋"/>
                <w:szCs w:val="21"/>
              </w:rPr>
            </w:pPr>
            <w:r>
              <w:rPr>
                <w:rFonts w:hint="eastAsia" w:eastAsia="仿宋"/>
                <w:szCs w:val="21"/>
              </w:rPr>
              <w:t>将废气中的有机物作为燃料烧掉或将其在高温下进行氧化分解，温度范围为600～1100℃</w:t>
            </w:r>
          </w:p>
        </w:tc>
        <w:tc>
          <w:tcPr>
            <w:tcW w:w="1811" w:type="dxa"/>
            <w:vAlign w:val="center"/>
          </w:tcPr>
          <w:p>
            <w:pPr>
              <w:spacing w:line="320" w:lineRule="exact"/>
              <w:jc w:val="center"/>
              <w:rPr>
                <w:rFonts w:eastAsia="仿宋"/>
                <w:szCs w:val="21"/>
              </w:rPr>
            </w:pPr>
            <w:r>
              <w:rPr>
                <w:rFonts w:hint="eastAsia" w:eastAsia="仿宋"/>
                <w:szCs w:val="21"/>
              </w:rPr>
              <w:t>适用于中、高浓度范围废气的净化</w:t>
            </w:r>
          </w:p>
        </w:tc>
        <w:tc>
          <w:tcPr>
            <w:tcW w:w="3088" w:type="dxa"/>
            <w:vAlign w:val="center"/>
          </w:tcPr>
          <w:p>
            <w:pPr>
              <w:spacing w:line="320" w:lineRule="exact"/>
              <w:jc w:val="center"/>
              <w:rPr>
                <w:rFonts w:eastAsia="仿宋"/>
                <w:szCs w:val="21"/>
              </w:rPr>
            </w:pPr>
            <w:r>
              <w:rPr>
                <w:rFonts w:hint="eastAsia" w:eastAsia="仿宋"/>
                <w:szCs w:val="21"/>
              </w:rPr>
              <w:t>设备简单，操作简便，投资少，净化彻底，效率高，能回收利用热量，但不能回收有机物质。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5" w:type="dxa"/>
            <w:vAlign w:val="center"/>
          </w:tcPr>
          <w:p>
            <w:pPr>
              <w:spacing w:line="320" w:lineRule="exact"/>
              <w:jc w:val="center"/>
              <w:rPr>
                <w:rFonts w:eastAsia="仿宋"/>
                <w:szCs w:val="21"/>
              </w:rPr>
            </w:pPr>
            <w:r>
              <w:rPr>
                <w:rFonts w:hint="eastAsia" w:eastAsia="仿宋"/>
                <w:szCs w:val="21"/>
              </w:rPr>
              <w:t>催化</w:t>
            </w:r>
          </w:p>
          <w:p>
            <w:pPr>
              <w:spacing w:line="320" w:lineRule="exact"/>
              <w:jc w:val="center"/>
              <w:rPr>
                <w:rFonts w:eastAsia="仿宋"/>
                <w:szCs w:val="21"/>
              </w:rPr>
            </w:pPr>
            <w:r>
              <w:rPr>
                <w:rFonts w:hint="eastAsia" w:eastAsia="仿宋"/>
                <w:szCs w:val="21"/>
              </w:rPr>
              <w:t>燃烧法</w:t>
            </w:r>
          </w:p>
        </w:tc>
        <w:tc>
          <w:tcPr>
            <w:tcW w:w="2482" w:type="dxa"/>
            <w:vAlign w:val="center"/>
          </w:tcPr>
          <w:p>
            <w:pPr>
              <w:spacing w:line="320" w:lineRule="exact"/>
              <w:jc w:val="center"/>
              <w:rPr>
                <w:rFonts w:eastAsia="仿宋"/>
                <w:szCs w:val="21"/>
              </w:rPr>
            </w:pPr>
            <w:r>
              <w:rPr>
                <w:rFonts w:hint="eastAsia" w:eastAsia="仿宋"/>
                <w:szCs w:val="21"/>
              </w:rPr>
              <w:t>在氧化催化剂作用下，将有机物氧化成CO</w:t>
            </w:r>
            <w:r>
              <w:rPr>
                <w:rFonts w:hint="eastAsia" w:eastAsia="仿宋"/>
                <w:szCs w:val="21"/>
                <w:vertAlign w:val="subscript"/>
              </w:rPr>
              <w:t>2</w:t>
            </w:r>
            <w:r>
              <w:rPr>
                <w:rFonts w:hint="eastAsia" w:eastAsia="仿宋"/>
                <w:szCs w:val="21"/>
              </w:rPr>
              <w:t>和H</w:t>
            </w:r>
            <w:r>
              <w:rPr>
                <w:rFonts w:hint="eastAsia" w:eastAsia="仿宋"/>
                <w:szCs w:val="21"/>
                <w:vertAlign w:val="subscript"/>
              </w:rPr>
              <w:t>2</w:t>
            </w:r>
            <w:r>
              <w:rPr>
                <w:rFonts w:hint="eastAsia" w:eastAsia="仿宋"/>
                <w:szCs w:val="21"/>
              </w:rPr>
              <w:t>O，温度范围为200～400℃</w:t>
            </w:r>
          </w:p>
        </w:tc>
        <w:tc>
          <w:tcPr>
            <w:tcW w:w="1811" w:type="dxa"/>
            <w:vAlign w:val="center"/>
          </w:tcPr>
          <w:p>
            <w:pPr>
              <w:spacing w:line="320" w:lineRule="exact"/>
              <w:jc w:val="center"/>
              <w:rPr>
                <w:rFonts w:eastAsia="仿宋"/>
                <w:szCs w:val="21"/>
              </w:rPr>
            </w:pPr>
            <w:r>
              <w:rPr>
                <w:rFonts w:hint="eastAsia" w:eastAsia="仿宋"/>
                <w:szCs w:val="21"/>
              </w:rPr>
              <w:t>适用于各种浓度废气的净化，适用于连续排气的场合</w:t>
            </w:r>
          </w:p>
        </w:tc>
        <w:tc>
          <w:tcPr>
            <w:tcW w:w="3088" w:type="dxa"/>
            <w:vAlign w:val="center"/>
          </w:tcPr>
          <w:p>
            <w:pPr>
              <w:spacing w:line="320" w:lineRule="exact"/>
              <w:jc w:val="center"/>
              <w:rPr>
                <w:rFonts w:eastAsia="仿宋"/>
                <w:szCs w:val="21"/>
              </w:rPr>
            </w:pPr>
            <w:r>
              <w:rPr>
                <w:rFonts w:hint="eastAsia" w:eastAsia="仿宋"/>
                <w:szCs w:val="21"/>
              </w:rPr>
              <w:t>净化装置和生产装置紧密结合在一起，既有很高的净化效率，又可充分利用能量、节约电力。气体流畅、阻力小，燃烧余热可利用。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5" w:type="dxa"/>
            <w:vAlign w:val="center"/>
          </w:tcPr>
          <w:p>
            <w:pPr>
              <w:spacing w:line="320" w:lineRule="exact"/>
              <w:jc w:val="center"/>
              <w:rPr>
                <w:rFonts w:eastAsia="仿宋"/>
                <w:szCs w:val="21"/>
              </w:rPr>
            </w:pPr>
            <w:r>
              <w:rPr>
                <w:rFonts w:hint="eastAsia" w:eastAsia="仿宋"/>
                <w:szCs w:val="21"/>
              </w:rPr>
              <w:t>吸附法</w:t>
            </w:r>
          </w:p>
        </w:tc>
        <w:tc>
          <w:tcPr>
            <w:tcW w:w="2482" w:type="dxa"/>
            <w:vAlign w:val="center"/>
          </w:tcPr>
          <w:p>
            <w:pPr>
              <w:spacing w:line="320" w:lineRule="exact"/>
              <w:jc w:val="center"/>
              <w:rPr>
                <w:rFonts w:eastAsia="仿宋"/>
                <w:szCs w:val="21"/>
              </w:rPr>
            </w:pPr>
            <w:r>
              <w:rPr>
                <w:rFonts w:hint="eastAsia" w:eastAsia="仿宋"/>
                <w:szCs w:val="21"/>
              </w:rPr>
              <w:t>用适当的吸收剂对废气中有机物组分进行物理吸附，温度范围为常温</w:t>
            </w:r>
          </w:p>
        </w:tc>
        <w:tc>
          <w:tcPr>
            <w:tcW w:w="1811" w:type="dxa"/>
            <w:vAlign w:val="center"/>
          </w:tcPr>
          <w:p>
            <w:pPr>
              <w:spacing w:line="320" w:lineRule="exact"/>
              <w:jc w:val="center"/>
              <w:rPr>
                <w:rFonts w:eastAsia="仿宋"/>
                <w:szCs w:val="21"/>
              </w:rPr>
            </w:pPr>
            <w:r>
              <w:rPr>
                <w:rFonts w:hint="eastAsia" w:eastAsia="仿宋"/>
                <w:szCs w:val="21"/>
              </w:rPr>
              <w:t>适用于低浓度废气的净化</w:t>
            </w:r>
          </w:p>
        </w:tc>
        <w:tc>
          <w:tcPr>
            <w:tcW w:w="3088" w:type="dxa"/>
            <w:vAlign w:val="center"/>
          </w:tcPr>
          <w:p>
            <w:pPr>
              <w:spacing w:line="320" w:lineRule="exact"/>
              <w:jc w:val="center"/>
              <w:rPr>
                <w:rFonts w:eastAsia="仿宋"/>
                <w:szCs w:val="21"/>
              </w:rPr>
            </w:pPr>
            <w:r>
              <w:rPr>
                <w:rFonts w:hint="eastAsia" w:eastAsia="仿宋"/>
                <w:szCs w:val="21"/>
              </w:rPr>
              <w:t>装置简单，易安装，操作简单，可回收溶剂；但处理量较大，占地面积较大。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5" w:type="dxa"/>
            <w:vAlign w:val="center"/>
          </w:tcPr>
          <w:p>
            <w:pPr>
              <w:spacing w:line="320" w:lineRule="exact"/>
              <w:jc w:val="center"/>
              <w:rPr>
                <w:rFonts w:eastAsia="仿宋"/>
                <w:szCs w:val="21"/>
              </w:rPr>
            </w:pPr>
            <w:r>
              <w:rPr>
                <w:rFonts w:hint="eastAsia" w:eastAsia="仿宋"/>
                <w:szCs w:val="21"/>
              </w:rPr>
              <w:t>吸收法</w:t>
            </w:r>
          </w:p>
        </w:tc>
        <w:tc>
          <w:tcPr>
            <w:tcW w:w="2482" w:type="dxa"/>
            <w:vAlign w:val="center"/>
          </w:tcPr>
          <w:p>
            <w:pPr>
              <w:spacing w:line="320" w:lineRule="exact"/>
              <w:jc w:val="center"/>
              <w:rPr>
                <w:rFonts w:eastAsia="仿宋"/>
                <w:szCs w:val="21"/>
              </w:rPr>
            </w:pPr>
            <w:r>
              <w:rPr>
                <w:rFonts w:hint="eastAsia" w:eastAsia="仿宋"/>
                <w:szCs w:val="21"/>
              </w:rPr>
              <w:t>用适当的吸收剂对废气中有机物组分进行物理吸收，温度范围为常温</w:t>
            </w:r>
          </w:p>
        </w:tc>
        <w:tc>
          <w:tcPr>
            <w:tcW w:w="1811" w:type="dxa"/>
            <w:vAlign w:val="center"/>
          </w:tcPr>
          <w:p>
            <w:pPr>
              <w:spacing w:line="320" w:lineRule="exact"/>
              <w:jc w:val="center"/>
              <w:rPr>
                <w:rFonts w:eastAsia="仿宋"/>
                <w:szCs w:val="21"/>
              </w:rPr>
            </w:pPr>
            <w:r>
              <w:rPr>
                <w:rFonts w:hint="eastAsia" w:eastAsia="仿宋"/>
                <w:szCs w:val="21"/>
              </w:rPr>
              <w:t>对废气浓度限制较小，适用于含有颗粒物废气的净化</w:t>
            </w:r>
          </w:p>
        </w:tc>
        <w:tc>
          <w:tcPr>
            <w:tcW w:w="3088" w:type="dxa"/>
            <w:vAlign w:val="center"/>
          </w:tcPr>
          <w:p>
            <w:pPr>
              <w:spacing w:line="320" w:lineRule="exact"/>
              <w:jc w:val="center"/>
              <w:rPr>
                <w:rFonts w:eastAsia="仿宋"/>
                <w:szCs w:val="21"/>
              </w:rPr>
            </w:pPr>
            <w:r>
              <w:rPr>
                <w:rFonts w:hint="eastAsia" w:eastAsia="仿宋"/>
                <w:szCs w:val="21"/>
              </w:rPr>
              <w:t>设备结构简单，操作方便，净化率高；但用于净化较大气量时，吸收液耗量很大。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5" w:type="dxa"/>
            <w:vAlign w:val="center"/>
          </w:tcPr>
          <w:p>
            <w:pPr>
              <w:spacing w:line="320" w:lineRule="exact"/>
              <w:jc w:val="center"/>
              <w:rPr>
                <w:rFonts w:eastAsia="仿宋"/>
                <w:szCs w:val="21"/>
              </w:rPr>
            </w:pPr>
            <w:r>
              <w:rPr>
                <w:rFonts w:hint="eastAsia" w:eastAsia="仿宋"/>
                <w:szCs w:val="21"/>
              </w:rPr>
              <w:t>冷凝法</w:t>
            </w:r>
          </w:p>
        </w:tc>
        <w:tc>
          <w:tcPr>
            <w:tcW w:w="2482" w:type="dxa"/>
            <w:vAlign w:val="center"/>
          </w:tcPr>
          <w:p>
            <w:pPr>
              <w:spacing w:line="320" w:lineRule="exact"/>
              <w:jc w:val="center"/>
              <w:rPr>
                <w:rFonts w:eastAsia="仿宋"/>
                <w:szCs w:val="21"/>
              </w:rPr>
            </w:pPr>
            <w:r>
              <w:rPr>
                <w:rFonts w:hint="eastAsia" w:eastAsia="仿宋"/>
                <w:szCs w:val="21"/>
              </w:rPr>
              <w:t>采用低温，使有机物组分冷却至露点以下，液化回收</w:t>
            </w:r>
          </w:p>
        </w:tc>
        <w:tc>
          <w:tcPr>
            <w:tcW w:w="1811" w:type="dxa"/>
            <w:vAlign w:val="center"/>
          </w:tcPr>
          <w:p>
            <w:pPr>
              <w:spacing w:line="320" w:lineRule="exact"/>
              <w:jc w:val="center"/>
              <w:rPr>
                <w:rFonts w:eastAsia="仿宋"/>
                <w:szCs w:val="21"/>
              </w:rPr>
            </w:pPr>
            <w:r>
              <w:rPr>
                <w:rFonts w:hint="eastAsia" w:eastAsia="仿宋"/>
                <w:szCs w:val="21"/>
              </w:rPr>
              <w:t>适用于高浓度废气的净化</w:t>
            </w:r>
          </w:p>
        </w:tc>
        <w:tc>
          <w:tcPr>
            <w:tcW w:w="3088" w:type="dxa"/>
            <w:vAlign w:val="center"/>
          </w:tcPr>
          <w:p>
            <w:pPr>
              <w:spacing w:line="320" w:lineRule="exact"/>
              <w:jc w:val="center"/>
              <w:rPr>
                <w:rFonts w:eastAsia="仿宋"/>
                <w:szCs w:val="21"/>
              </w:rPr>
            </w:pPr>
            <w:r>
              <w:rPr>
                <w:rFonts w:hint="eastAsia" w:eastAsia="仿宋"/>
                <w:szCs w:val="21"/>
              </w:rPr>
              <w:t>设备结构简单，操作方便；但对废气的净化程度受冷凝温度的限制，要求净化程度高或处理低浓度废气时，需要将废气冷却到很低的温度。</w:t>
            </w:r>
          </w:p>
        </w:tc>
      </w:tr>
    </w:tbl>
    <w:p>
      <w:pPr>
        <w:spacing w:line="500" w:lineRule="exact"/>
        <w:ind w:firstLine="560" w:firstLineChars="200"/>
        <w:rPr>
          <w:rFonts w:eastAsia="仿宋_GB2312"/>
          <w:sz w:val="28"/>
          <w:szCs w:val="28"/>
        </w:rPr>
      </w:pPr>
      <w:r>
        <w:rPr>
          <w:rFonts w:hint="eastAsia" w:eastAsia="仿宋_GB2312"/>
          <w:sz w:val="28"/>
          <w:szCs w:val="28"/>
        </w:rPr>
        <w:t>①燃烧法和催化燃烧法</w:t>
      </w:r>
    </w:p>
    <w:p>
      <w:pPr>
        <w:spacing w:line="500" w:lineRule="exact"/>
        <w:ind w:firstLine="560" w:firstLineChars="200"/>
        <w:rPr>
          <w:rFonts w:eastAsia="仿宋_GB2312"/>
          <w:sz w:val="28"/>
          <w:szCs w:val="28"/>
        </w:rPr>
      </w:pPr>
      <w:r>
        <w:rPr>
          <w:rFonts w:hint="eastAsia" w:eastAsia="仿宋_GB2312"/>
          <w:sz w:val="28"/>
          <w:szCs w:val="28"/>
        </w:rPr>
        <w:t>燃烧法即用燃烧的方法销毁有害气体、蒸汽或烟尘，所发生的化学作用主要是燃烧氧化作用及高温下的热分解；因此这种方法只能适用于净化那些可燃的或在高温下可以分解的有害气体。催化燃烧实际上为完全的催化氧化，即在催化剂作用下，使气体中的有害可燃组分完全氧化为CO</w:t>
      </w:r>
      <w:r>
        <w:rPr>
          <w:rFonts w:hint="eastAsia" w:eastAsia="仿宋_GB2312"/>
          <w:sz w:val="28"/>
          <w:szCs w:val="28"/>
          <w:vertAlign w:val="subscript"/>
        </w:rPr>
        <w:t>2</w:t>
      </w:r>
      <w:r>
        <w:rPr>
          <w:rFonts w:hint="eastAsia" w:eastAsia="仿宋_GB2312"/>
          <w:sz w:val="28"/>
          <w:szCs w:val="28"/>
        </w:rPr>
        <w:t>和H</w:t>
      </w:r>
      <w:r>
        <w:rPr>
          <w:rFonts w:hint="eastAsia" w:eastAsia="仿宋_GB2312"/>
          <w:sz w:val="28"/>
          <w:szCs w:val="28"/>
          <w:vertAlign w:val="subscript"/>
        </w:rPr>
        <w:t>2</w:t>
      </w:r>
      <w:r>
        <w:rPr>
          <w:rFonts w:hint="eastAsia" w:eastAsia="仿宋_GB2312"/>
          <w:sz w:val="28"/>
          <w:szCs w:val="28"/>
        </w:rPr>
        <w:t>O；催化剂以贵金属铂、钯催化剂使用最多，这些催化剂活性好、寿命厂、使用稳定。</w:t>
      </w:r>
    </w:p>
    <w:p>
      <w:pPr>
        <w:spacing w:line="500" w:lineRule="exact"/>
        <w:ind w:firstLine="560" w:firstLineChars="200"/>
        <w:rPr>
          <w:rFonts w:eastAsia="仿宋_GB2312"/>
          <w:sz w:val="28"/>
          <w:szCs w:val="28"/>
        </w:rPr>
      </w:pPr>
      <w:r>
        <w:rPr>
          <w:rFonts w:hint="eastAsia" w:eastAsia="仿宋_GB2312"/>
          <w:sz w:val="28"/>
          <w:szCs w:val="28"/>
        </w:rPr>
        <w:t>②吸附法</w:t>
      </w:r>
    </w:p>
    <w:p>
      <w:pPr>
        <w:spacing w:line="500" w:lineRule="exact"/>
        <w:ind w:firstLine="560" w:firstLineChars="200"/>
        <w:rPr>
          <w:rFonts w:eastAsia="仿宋_GB2312"/>
          <w:sz w:val="28"/>
          <w:szCs w:val="28"/>
        </w:rPr>
      </w:pPr>
      <w:r>
        <w:rPr>
          <w:rFonts w:hint="eastAsia" w:eastAsia="仿宋_GB2312"/>
          <w:sz w:val="28"/>
          <w:szCs w:val="28"/>
        </w:rPr>
        <w:t>吸附法最适于处理低浓度废气，对污染物浓度高的废气一般不采用吸附法治理；常用的吸附剂有：活性炭、硅胶、沸石、活性氧化铝等。目前应用最广泛、效果最好的吸附剂是活性炭。</w:t>
      </w:r>
    </w:p>
    <w:p>
      <w:pPr>
        <w:spacing w:line="500" w:lineRule="exact"/>
        <w:ind w:firstLine="560" w:firstLineChars="200"/>
        <w:rPr>
          <w:rFonts w:eastAsia="仿宋_GB2312"/>
          <w:sz w:val="28"/>
          <w:szCs w:val="28"/>
        </w:rPr>
      </w:pPr>
      <w:r>
        <w:rPr>
          <w:rFonts w:hint="eastAsia" w:eastAsia="仿宋_GB2312"/>
          <w:sz w:val="28"/>
          <w:szCs w:val="28"/>
        </w:rPr>
        <w:t>③吸收法</w:t>
      </w:r>
    </w:p>
    <w:p>
      <w:pPr>
        <w:spacing w:line="500" w:lineRule="exact"/>
        <w:ind w:firstLine="560" w:firstLineChars="200"/>
        <w:rPr>
          <w:rFonts w:eastAsia="仿宋_GB2312"/>
          <w:sz w:val="28"/>
          <w:szCs w:val="28"/>
        </w:rPr>
      </w:pPr>
      <w:r>
        <w:rPr>
          <w:rFonts w:hint="eastAsia" w:eastAsia="仿宋_GB2312"/>
          <w:sz w:val="28"/>
          <w:szCs w:val="28"/>
        </w:rPr>
        <w:t>在对有机物废气进行治理的方法中，吸收法的应用不广泛，特别是对使用有机溶剂的行业，还不能达到工业应用水平，主要是由于吸收剂本身的性质不理想且吸收剂的再生与处理还存在一些问题。</w:t>
      </w:r>
    </w:p>
    <w:p>
      <w:pPr>
        <w:spacing w:line="500" w:lineRule="exact"/>
        <w:ind w:firstLine="560" w:firstLineChars="200"/>
        <w:rPr>
          <w:rFonts w:eastAsia="仿宋_GB2312"/>
          <w:sz w:val="28"/>
          <w:szCs w:val="28"/>
        </w:rPr>
      </w:pPr>
      <w:r>
        <w:rPr>
          <w:rFonts w:hint="eastAsia" w:eastAsia="仿宋_GB2312"/>
          <w:sz w:val="28"/>
          <w:szCs w:val="28"/>
        </w:rPr>
        <w:t>④冷凝法</w:t>
      </w:r>
    </w:p>
    <w:p>
      <w:pPr>
        <w:spacing w:line="500" w:lineRule="exact"/>
        <w:ind w:firstLine="560" w:firstLineChars="200"/>
        <w:rPr>
          <w:rFonts w:eastAsia="仿宋_GB2312"/>
          <w:sz w:val="28"/>
          <w:szCs w:val="28"/>
        </w:rPr>
      </w:pPr>
      <w:r>
        <w:rPr>
          <w:rFonts w:hint="eastAsia" w:eastAsia="仿宋_GB2312"/>
          <w:sz w:val="28"/>
          <w:szCs w:val="28"/>
        </w:rPr>
        <w:t>冷凝法主要用于处理高浓度废气、处理含有大量水蒸气的高温废气和作为燃烧法与吸附法净化的预处理；但对废气的净化程度受冷凝温度的限制，要求净化程度高或处理低浓度废气时，需要将废气冷却到很低的温度，经济上不合算。</w:t>
      </w:r>
    </w:p>
    <w:p>
      <w:pPr>
        <w:spacing w:line="500" w:lineRule="exact"/>
        <w:ind w:firstLine="560" w:firstLineChars="200"/>
        <w:rPr>
          <w:rFonts w:eastAsia="仿宋_GB2312"/>
          <w:sz w:val="28"/>
          <w:szCs w:val="28"/>
        </w:rPr>
      </w:pPr>
      <w:r>
        <w:rPr>
          <w:rFonts w:hint="eastAsia" w:eastAsia="仿宋_GB2312"/>
          <w:sz w:val="28"/>
          <w:szCs w:val="28"/>
        </w:rPr>
        <w:t>根据《江苏省重点行业挥发性有机物污染控制指南》（苏环办[2014]128号）、</w:t>
      </w:r>
      <w:r>
        <w:rPr>
          <w:rFonts w:eastAsia="仿宋_GB2312"/>
          <w:sz w:val="28"/>
          <w:szCs w:val="28"/>
        </w:rPr>
        <w:t>《</w:t>
      </w:r>
      <w:r>
        <w:rPr>
          <w:rFonts w:hint="eastAsia" w:eastAsia="仿宋_GB2312"/>
          <w:bCs/>
          <w:sz w:val="28"/>
          <w:szCs w:val="28"/>
        </w:rPr>
        <w:t>重点行业挥发性有机物综合治理方案</w:t>
      </w:r>
      <w:r>
        <w:rPr>
          <w:rFonts w:eastAsia="仿宋_GB2312"/>
          <w:sz w:val="28"/>
          <w:szCs w:val="28"/>
        </w:rPr>
        <w:t>》</w:t>
      </w:r>
      <w:r>
        <w:rPr>
          <w:rFonts w:hint="eastAsia" w:eastAsia="仿宋_GB2312"/>
          <w:sz w:val="28"/>
          <w:szCs w:val="28"/>
        </w:rPr>
        <w:t>（2019年6月26日），“对于1000ppm</w:t>
      </w:r>
      <w:r>
        <w:rPr>
          <w:rFonts w:eastAsia="仿宋_GB2312"/>
          <w:sz w:val="28"/>
          <w:szCs w:val="28"/>
        </w:rPr>
        <w:t>~5000ppm的</w:t>
      </w:r>
      <w:r>
        <w:rPr>
          <w:rFonts w:hint="eastAsia" w:eastAsia="仿宋_GB2312"/>
          <w:sz w:val="28"/>
          <w:szCs w:val="28"/>
        </w:rPr>
        <w:t>中等浓度VOC</w:t>
      </w:r>
      <w:r>
        <w:rPr>
          <w:rFonts w:eastAsia="仿宋_GB2312"/>
          <w:sz w:val="28"/>
          <w:szCs w:val="28"/>
        </w:rPr>
        <w:t>s</w:t>
      </w:r>
      <w:r>
        <w:rPr>
          <w:rFonts w:hint="eastAsia" w:eastAsia="仿宋_GB2312"/>
          <w:sz w:val="28"/>
          <w:szCs w:val="28"/>
        </w:rPr>
        <w:t>废气，具备回收价值的宜采用吸附技术回收有机溶剂，不具备</w:t>
      </w:r>
      <w:r>
        <w:rPr>
          <w:rFonts w:eastAsia="仿宋_GB2312"/>
          <w:sz w:val="28"/>
          <w:szCs w:val="28"/>
        </w:rPr>
        <w:t>回收价值的可采用</w:t>
      </w:r>
      <w:r>
        <w:rPr>
          <w:rFonts w:hint="eastAsia" w:eastAsia="仿宋_GB2312"/>
          <w:sz w:val="28"/>
          <w:szCs w:val="28"/>
        </w:rPr>
        <w:t>催化燃烧</w:t>
      </w:r>
      <w:r>
        <w:rPr>
          <w:rFonts w:eastAsia="仿宋_GB2312"/>
          <w:sz w:val="28"/>
          <w:szCs w:val="28"/>
        </w:rPr>
        <w:t>、</w:t>
      </w:r>
      <w:r>
        <w:rPr>
          <w:rFonts w:hint="eastAsia" w:eastAsia="仿宋_GB2312"/>
          <w:sz w:val="28"/>
          <w:szCs w:val="28"/>
        </w:rPr>
        <w:t>RTO炉</w:t>
      </w:r>
      <w:r>
        <w:rPr>
          <w:rFonts w:eastAsia="仿宋_GB2312"/>
          <w:sz w:val="28"/>
          <w:szCs w:val="28"/>
        </w:rPr>
        <w:t>高温焚烧等技术</w:t>
      </w:r>
      <w:r>
        <w:rPr>
          <w:rFonts w:hint="eastAsia" w:eastAsia="仿宋_GB2312"/>
          <w:sz w:val="28"/>
          <w:szCs w:val="28"/>
        </w:rPr>
        <w:t>净化处理后达标排放。”“高浓度废气，优先进行溶剂回收，难以回收的，宜采用高温焚烧、催化燃烧等技术。”</w:t>
      </w:r>
    </w:p>
    <w:p>
      <w:pPr>
        <w:pStyle w:val="69"/>
        <w:adjustRightInd w:val="0"/>
        <w:snapToGrid w:val="0"/>
        <w:spacing w:line="500" w:lineRule="exact"/>
        <w:ind w:left="0" w:leftChars="0" w:firstLine="560"/>
        <w:rPr>
          <w:rFonts w:eastAsia="仿宋_GB2312" w:cs="仿宋"/>
          <w:sz w:val="28"/>
          <w:szCs w:val="28"/>
        </w:rPr>
      </w:pPr>
      <w:r>
        <w:rPr>
          <w:rFonts w:hint="eastAsia" w:eastAsia="仿宋_GB2312" w:cs="仿宋"/>
          <w:sz w:val="28"/>
          <w:szCs w:val="28"/>
        </w:rPr>
        <w:t>本项目</w:t>
      </w:r>
      <w:r>
        <w:rPr>
          <w:rFonts w:eastAsia="仿宋_GB2312" w:cs="仿宋"/>
          <w:sz w:val="28"/>
          <w:szCs w:val="28"/>
        </w:rPr>
        <w:t>有机废气</w:t>
      </w:r>
      <w:r>
        <w:rPr>
          <w:rFonts w:hint="eastAsia" w:eastAsia="仿宋_GB2312" w:cs="仿宋"/>
          <w:sz w:val="28"/>
          <w:szCs w:val="28"/>
        </w:rPr>
        <w:t>属于</w:t>
      </w:r>
      <w:r>
        <w:rPr>
          <w:rFonts w:hint="eastAsia" w:eastAsia="仿宋_GB2312"/>
          <w:sz w:val="28"/>
          <w:szCs w:val="28"/>
        </w:rPr>
        <w:t>1000ppm</w:t>
      </w:r>
      <w:r>
        <w:rPr>
          <w:rFonts w:eastAsia="仿宋_GB2312"/>
          <w:sz w:val="28"/>
          <w:szCs w:val="28"/>
        </w:rPr>
        <w:t>~5000ppm的</w:t>
      </w:r>
      <w:r>
        <w:rPr>
          <w:rFonts w:hint="eastAsia" w:eastAsia="仿宋_GB2312"/>
          <w:sz w:val="28"/>
          <w:szCs w:val="28"/>
        </w:rPr>
        <w:t>中等浓度VOC</w:t>
      </w:r>
      <w:r>
        <w:rPr>
          <w:rFonts w:eastAsia="仿宋_GB2312"/>
          <w:sz w:val="28"/>
          <w:szCs w:val="28"/>
        </w:rPr>
        <w:t>s</w:t>
      </w:r>
      <w:r>
        <w:rPr>
          <w:rFonts w:hint="eastAsia" w:eastAsia="仿宋_GB2312"/>
          <w:sz w:val="28"/>
          <w:szCs w:val="28"/>
        </w:rPr>
        <w:t>废气</w:t>
      </w:r>
      <w:r>
        <w:rPr>
          <w:rFonts w:hint="eastAsia" w:eastAsia="仿宋_GB2312" w:cs="仿宋"/>
          <w:sz w:val="28"/>
          <w:szCs w:val="28"/>
        </w:rPr>
        <w:t>，采用R</w:t>
      </w:r>
      <w:r>
        <w:rPr>
          <w:rFonts w:eastAsia="仿宋_GB2312" w:cs="仿宋"/>
          <w:sz w:val="28"/>
          <w:szCs w:val="28"/>
        </w:rPr>
        <w:t>TO</w:t>
      </w:r>
      <w:r>
        <w:rPr>
          <w:rFonts w:hint="eastAsia" w:eastAsia="仿宋_GB2312"/>
          <w:sz w:val="28"/>
          <w:szCs w:val="28"/>
        </w:rPr>
        <w:t>炉</w:t>
      </w:r>
      <w:r>
        <w:rPr>
          <w:rFonts w:eastAsia="仿宋_GB2312"/>
          <w:sz w:val="28"/>
          <w:szCs w:val="28"/>
        </w:rPr>
        <w:t>高温焚烧</w:t>
      </w:r>
      <w:r>
        <w:rPr>
          <w:rFonts w:hint="eastAsia" w:eastAsia="仿宋_GB2312" w:cs="仿宋"/>
          <w:sz w:val="28"/>
          <w:szCs w:val="28"/>
        </w:rPr>
        <w:t>处理方式治理，因此，本有机废气治理措施符合《江苏省重点行业挥发性有机物污染控制指南》（苏环办[2014]128号）、</w:t>
      </w:r>
      <w:r>
        <w:rPr>
          <w:rFonts w:eastAsia="仿宋_GB2312"/>
          <w:sz w:val="28"/>
          <w:szCs w:val="28"/>
        </w:rPr>
        <w:t>《</w:t>
      </w:r>
      <w:r>
        <w:rPr>
          <w:rFonts w:hint="eastAsia" w:eastAsia="仿宋_GB2312"/>
          <w:bCs/>
          <w:sz w:val="28"/>
          <w:szCs w:val="28"/>
        </w:rPr>
        <w:t>重点行业挥发性有机物综合治理方案</w:t>
      </w:r>
      <w:r>
        <w:rPr>
          <w:rFonts w:eastAsia="仿宋_GB2312"/>
          <w:sz w:val="28"/>
          <w:szCs w:val="28"/>
        </w:rPr>
        <w:t>》</w:t>
      </w:r>
      <w:r>
        <w:rPr>
          <w:rFonts w:hint="eastAsia" w:eastAsia="仿宋_GB2312" w:cs="仿宋"/>
          <w:sz w:val="28"/>
          <w:szCs w:val="28"/>
        </w:rPr>
        <w:t>要求。</w:t>
      </w:r>
    </w:p>
    <w:p>
      <w:pPr>
        <w:spacing w:line="500" w:lineRule="exact"/>
        <w:ind w:firstLine="562" w:firstLineChars="200"/>
        <w:rPr>
          <w:rFonts w:eastAsia="仿宋_GB2312"/>
          <w:b/>
          <w:sz w:val="28"/>
          <w:szCs w:val="28"/>
        </w:rPr>
      </w:pPr>
      <w:r>
        <w:rPr>
          <w:rFonts w:hint="eastAsia" w:eastAsia="仿宋_GB2312"/>
          <w:b/>
          <w:sz w:val="28"/>
          <w:szCs w:val="28"/>
        </w:rPr>
        <w:t>※三</w:t>
      </w:r>
      <w:r>
        <w:rPr>
          <w:rFonts w:eastAsia="仿宋_GB2312"/>
          <w:b/>
          <w:sz w:val="28"/>
          <w:szCs w:val="28"/>
        </w:rPr>
        <w:t>床</w:t>
      </w:r>
      <w:r>
        <w:rPr>
          <w:rFonts w:hint="eastAsia" w:eastAsia="仿宋_GB2312"/>
          <w:b/>
          <w:sz w:val="28"/>
          <w:szCs w:val="28"/>
        </w:rPr>
        <w:t>式RTO焚烧</w:t>
      </w:r>
      <w:r>
        <w:rPr>
          <w:rFonts w:eastAsia="仿宋_GB2312"/>
          <w:b/>
          <w:sz w:val="28"/>
          <w:szCs w:val="28"/>
        </w:rPr>
        <w:t>处理</w:t>
      </w:r>
    </w:p>
    <w:p>
      <w:pPr>
        <w:spacing w:line="500" w:lineRule="exact"/>
        <w:ind w:firstLine="560" w:firstLineChars="200"/>
        <w:rPr>
          <w:rFonts w:eastAsia="仿宋_GB2312"/>
          <w:sz w:val="28"/>
          <w:szCs w:val="28"/>
        </w:rPr>
      </w:pPr>
      <w:r>
        <w:rPr>
          <w:rFonts w:hint="eastAsia" w:eastAsia="仿宋_GB2312"/>
          <w:sz w:val="28"/>
          <w:szCs w:val="28"/>
        </w:rPr>
        <w:t>（一）废气</w:t>
      </w:r>
      <w:r>
        <w:rPr>
          <w:rFonts w:eastAsia="仿宋_GB2312"/>
          <w:sz w:val="28"/>
          <w:szCs w:val="28"/>
        </w:rPr>
        <w:t>处理原理</w:t>
      </w:r>
    </w:p>
    <w:p>
      <w:pPr>
        <w:spacing w:line="500" w:lineRule="exact"/>
        <w:ind w:firstLine="560" w:firstLineChars="200"/>
        <w:rPr>
          <w:rFonts w:eastAsia="仿宋_GB2312"/>
          <w:sz w:val="28"/>
          <w:szCs w:val="28"/>
        </w:rPr>
      </w:pPr>
      <w:r>
        <w:rPr>
          <w:rFonts w:hint="eastAsia" w:eastAsia="仿宋_GB2312"/>
          <w:sz w:val="28"/>
          <w:szCs w:val="28"/>
        </w:rPr>
        <w:t>三床式</w:t>
      </w:r>
      <w:r>
        <w:rPr>
          <w:rFonts w:eastAsia="仿宋_GB2312"/>
          <w:sz w:val="28"/>
          <w:szCs w:val="28"/>
        </w:rPr>
        <w:t>RTO</w:t>
      </w:r>
      <w:r>
        <w:rPr>
          <w:rFonts w:hint="eastAsia" w:eastAsia="仿宋_GB2312"/>
          <w:sz w:val="28"/>
          <w:szCs w:val="28"/>
        </w:rPr>
        <w:t>，也称多床式蓄热式氧化炉，采用一进一出一吹扫的结构运行，拥有独立的吹扫室和静态稳定的密闭阀门，确保更高的净化效率。其原理是在高温下将可燃废气氧化成对应的氧化物和水，从而净化废气，并回收废气分解时所释放出来的热量，热回收效率达到</w:t>
      </w:r>
      <w:r>
        <w:rPr>
          <w:rFonts w:eastAsia="仿宋_GB2312"/>
          <w:sz w:val="28"/>
          <w:szCs w:val="28"/>
        </w:rPr>
        <w:t>95%</w:t>
      </w:r>
      <w:r>
        <w:rPr>
          <w:rFonts w:hint="eastAsia" w:eastAsia="仿宋_GB2312"/>
          <w:sz w:val="28"/>
          <w:szCs w:val="28"/>
        </w:rPr>
        <w:t>以上，净化效率效率可达</w:t>
      </w:r>
      <w:r>
        <w:rPr>
          <w:rFonts w:eastAsia="仿宋_GB2312"/>
          <w:sz w:val="28"/>
          <w:szCs w:val="28"/>
        </w:rPr>
        <w:t>99%</w:t>
      </w:r>
      <w:r>
        <w:rPr>
          <w:rFonts w:hint="eastAsia" w:eastAsia="仿宋_GB2312"/>
          <w:sz w:val="28"/>
          <w:szCs w:val="28"/>
        </w:rPr>
        <w:t>以上。</w:t>
      </w:r>
    </w:p>
    <w:p>
      <w:pPr>
        <w:spacing w:line="500" w:lineRule="exact"/>
        <w:ind w:firstLine="560" w:firstLineChars="200"/>
        <w:rPr>
          <w:rFonts w:eastAsia="仿宋_GB2312"/>
          <w:sz w:val="28"/>
          <w:szCs w:val="28"/>
        </w:rPr>
      </w:pPr>
      <w:r>
        <w:rPr>
          <w:rFonts w:hint="eastAsia" w:eastAsia="仿宋_GB2312"/>
          <w:sz w:val="28"/>
          <w:szCs w:val="28"/>
        </w:rPr>
        <w:t>（二）三</w:t>
      </w:r>
      <w:r>
        <w:rPr>
          <w:rFonts w:eastAsia="仿宋_GB2312"/>
          <w:sz w:val="28"/>
          <w:szCs w:val="28"/>
        </w:rPr>
        <w:t>床</w:t>
      </w:r>
      <w:r>
        <w:rPr>
          <w:rFonts w:hint="eastAsia" w:eastAsia="仿宋_GB2312"/>
          <w:sz w:val="28"/>
          <w:szCs w:val="28"/>
        </w:rPr>
        <w:t>式</w:t>
      </w:r>
      <w:r>
        <w:rPr>
          <w:rFonts w:eastAsia="仿宋_GB2312"/>
          <w:sz w:val="28"/>
          <w:szCs w:val="28"/>
        </w:rPr>
        <w:t>RTO</w:t>
      </w:r>
      <w:r>
        <w:rPr>
          <w:rFonts w:hint="eastAsia" w:eastAsia="仿宋_GB2312"/>
          <w:sz w:val="28"/>
          <w:szCs w:val="28"/>
        </w:rPr>
        <w:t>基本结构</w:t>
      </w:r>
    </w:p>
    <w:p>
      <w:pPr>
        <w:spacing w:line="500" w:lineRule="exact"/>
        <w:ind w:firstLine="560" w:firstLineChars="200"/>
        <w:rPr>
          <w:rFonts w:eastAsia="仿宋_GB2312"/>
          <w:sz w:val="28"/>
          <w:szCs w:val="28"/>
        </w:rPr>
      </w:pPr>
      <w:r>
        <w:rPr>
          <w:rFonts w:hint="eastAsia" w:eastAsia="仿宋_GB2312"/>
          <w:sz w:val="28"/>
          <w:szCs w:val="28"/>
        </w:rPr>
        <w:t>三床式</w:t>
      </w:r>
      <w:r>
        <w:rPr>
          <w:rFonts w:eastAsia="仿宋_GB2312"/>
          <w:sz w:val="28"/>
          <w:szCs w:val="28"/>
        </w:rPr>
        <w:t>RTO</w:t>
      </w:r>
      <w:r>
        <w:rPr>
          <w:rFonts w:hint="eastAsia" w:eastAsia="仿宋_GB2312"/>
          <w:sz w:val="28"/>
          <w:szCs w:val="28"/>
        </w:rPr>
        <w:t>主要由燃烧室、陶瓷填料床和切换提升阀等组成。炉体分成3个室，1个进气室、1个出气室、</w:t>
      </w:r>
      <w:r>
        <w:rPr>
          <w:rFonts w:eastAsia="仿宋_GB2312"/>
          <w:sz w:val="28"/>
          <w:szCs w:val="28"/>
        </w:rPr>
        <w:t>1</w:t>
      </w:r>
      <w:r>
        <w:rPr>
          <w:rFonts w:hint="eastAsia" w:eastAsia="仿宋_GB2312"/>
          <w:sz w:val="28"/>
          <w:szCs w:val="28"/>
        </w:rPr>
        <w:t>个吹扫室。废气由引风机送至RTO底部6台密闭提升阀和3台吹扫开关阀经行连续切换运行，阀门采用平推提升阀，确保关闭后不产生泄露，确保所有废气都能通过RTO燃烧室进行高温氧化处理，保证净化率，氧化后的余热通过换热器循环利用，充分满足国家的环保要求和减碳政策。其基本结构如下图所示。</w:t>
      </w:r>
    </w:p>
    <w:p>
      <w:pPr>
        <w:pStyle w:val="33"/>
      </w:pPr>
      <w:r>
        <w:drawing>
          <wp:inline distT="0" distB="0" distL="0" distR="0">
            <wp:extent cx="5274310" cy="2926715"/>
            <wp:effectExtent l="0" t="0" r="254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0"/>
                    <a:stretch>
                      <a:fillRect/>
                    </a:stretch>
                  </pic:blipFill>
                  <pic:spPr>
                    <a:xfrm>
                      <a:off x="0" y="0"/>
                      <a:ext cx="5274310" cy="2926715"/>
                    </a:xfrm>
                    <a:prstGeom prst="rect">
                      <a:avLst/>
                    </a:prstGeom>
                  </pic:spPr>
                </pic:pic>
              </a:graphicData>
            </a:graphic>
          </wp:inline>
        </w:drawing>
      </w:r>
    </w:p>
    <w:p>
      <w:pPr>
        <w:spacing w:line="500" w:lineRule="exact"/>
        <w:ind w:firstLine="482" w:firstLineChars="200"/>
        <w:jc w:val="center"/>
        <w:rPr>
          <w:rFonts w:eastAsia="仿宋_GB2312"/>
          <w:b/>
          <w:sz w:val="24"/>
        </w:rPr>
      </w:pPr>
      <w:r>
        <w:rPr>
          <w:rFonts w:eastAsia="仿宋_GB2312"/>
          <w:b/>
          <w:sz w:val="24"/>
        </w:rPr>
        <w:t xml:space="preserve">图6.1-2  </w:t>
      </w:r>
      <w:r>
        <w:rPr>
          <w:rFonts w:hint="eastAsia" w:eastAsia="仿宋_GB2312"/>
          <w:b/>
          <w:sz w:val="24"/>
        </w:rPr>
        <w:t>三</w:t>
      </w:r>
      <w:r>
        <w:rPr>
          <w:rFonts w:eastAsia="仿宋_GB2312"/>
          <w:b/>
          <w:sz w:val="24"/>
        </w:rPr>
        <w:t>床式</w:t>
      </w:r>
      <w:r>
        <w:rPr>
          <w:rFonts w:hint="eastAsia" w:eastAsia="仿宋_GB2312"/>
          <w:b/>
          <w:sz w:val="24"/>
        </w:rPr>
        <w:t>RTO基本</w:t>
      </w:r>
      <w:r>
        <w:rPr>
          <w:rFonts w:eastAsia="仿宋_GB2312"/>
          <w:b/>
          <w:sz w:val="24"/>
        </w:rPr>
        <w:t>结构图</w:t>
      </w:r>
    </w:p>
    <w:p>
      <w:pPr>
        <w:spacing w:line="500" w:lineRule="exact"/>
        <w:ind w:firstLine="560" w:firstLineChars="200"/>
        <w:rPr>
          <w:rFonts w:eastAsia="仿宋_GB2312"/>
          <w:sz w:val="28"/>
          <w:szCs w:val="28"/>
        </w:rPr>
      </w:pPr>
      <w:r>
        <w:rPr>
          <w:rFonts w:hint="eastAsia" w:eastAsia="仿宋_GB2312"/>
          <w:sz w:val="28"/>
          <w:szCs w:val="28"/>
        </w:rPr>
        <w:t>本项目</w:t>
      </w:r>
      <w:r>
        <w:rPr>
          <w:rFonts w:eastAsia="仿宋_GB2312"/>
          <w:sz w:val="28"/>
          <w:szCs w:val="28"/>
        </w:rPr>
        <w:t>使用的</w:t>
      </w:r>
      <w:r>
        <w:rPr>
          <w:rFonts w:hint="eastAsia" w:eastAsia="仿宋_GB2312"/>
          <w:sz w:val="28"/>
          <w:szCs w:val="28"/>
        </w:rPr>
        <w:t>RTO燃烧</w:t>
      </w:r>
      <w:r>
        <w:rPr>
          <w:rFonts w:eastAsia="仿宋_GB2312"/>
          <w:sz w:val="28"/>
          <w:szCs w:val="28"/>
        </w:rPr>
        <w:t>设备工艺参数如下：</w:t>
      </w:r>
    </w:p>
    <w:p>
      <w:pPr>
        <w:spacing w:line="500" w:lineRule="exact"/>
        <w:ind w:firstLine="482" w:firstLineChars="200"/>
        <w:jc w:val="center"/>
        <w:rPr>
          <w:rFonts w:eastAsia="仿宋_GB2312"/>
          <w:b/>
          <w:sz w:val="24"/>
        </w:rPr>
      </w:pPr>
      <w:r>
        <w:rPr>
          <w:rFonts w:hint="eastAsia" w:eastAsia="仿宋_GB2312"/>
          <w:b/>
          <w:sz w:val="24"/>
        </w:rPr>
        <w:t>表</w:t>
      </w:r>
      <w:r>
        <w:rPr>
          <w:rFonts w:eastAsia="仿宋_GB2312"/>
          <w:b/>
          <w:sz w:val="24"/>
        </w:rPr>
        <w:t>6</w:t>
      </w:r>
      <w:r>
        <w:rPr>
          <w:rFonts w:hint="eastAsia" w:eastAsia="仿宋_GB2312"/>
          <w:b/>
          <w:sz w:val="24"/>
        </w:rPr>
        <w:t>.1-</w:t>
      </w:r>
      <w:r>
        <w:rPr>
          <w:rFonts w:eastAsia="仿宋_GB2312"/>
          <w:b/>
          <w:sz w:val="24"/>
        </w:rPr>
        <w:t>3 RTO</w:t>
      </w:r>
      <w:r>
        <w:rPr>
          <w:rFonts w:hint="eastAsia" w:eastAsia="仿宋_GB2312"/>
          <w:b/>
          <w:sz w:val="24"/>
        </w:rPr>
        <w:t>燃烧</w:t>
      </w:r>
      <w:r>
        <w:rPr>
          <w:rFonts w:eastAsia="仿宋_GB2312"/>
          <w:b/>
          <w:sz w:val="24"/>
        </w:rPr>
        <w:t>设备</w:t>
      </w:r>
      <w:r>
        <w:rPr>
          <w:rFonts w:hint="eastAsia" w:eastAsia="仿宋_GB2312"/>
          <w:b/>
          <w:sz w:val="24"/>
        </w:rPr>
        <w:t>设计</w:t>
      </w:r>
      <w:r>
        <w:rPr>
          <w:rFonts w:eastAsia="仿宋_GB2312"/>
          <w:b/>
          <w:sz w:val="24"/>
        </w:rPr>
        <w:t>参数</w:t>
      </w:r>
    </w:p>
    <w:tbl>
      <w:tblPr>
        <w:tblStyle w:val="87"/>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969"/>
        <w:gridCol w:w="492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969" w:type="dxa"/>
            <w:vAlign w:val="center"/>
          </w:tcPr>
          <w:p>
            <w:pPr>
              <w:spacing w:line="276" w:lineRule="auto"/>
              <w:jc w:val="center"/>
              <w:rPr>
                <w:rFonts w:ascii="仿宋" w:hAnsi="仿宋" w:eastAsia="仿宋"/>
                <w:szCs w:val="20"/>
              </w:rPr>
            </w:pPr>
            <w:r>
              <w:rPr>
                <w:rFonts w:ascii="仿宋" w:hAnsi="仿宋" w:eastAsia="仿宋"/>
                <w:szCs w:val="20"/>
              </w:rPr>
              <w:t>内容</w:t>
            </w:r>
          </w:p>
        </w:tc>
        <w:tc>
          <w:tcPr>
            <w:tcW w:w="4920" w:type="dxa"/>
            <w:vAlign w:val="center"/>
          </w:tcPr>
          <w:p>
            <w:pPr>
              <w:spacing w:line="276" w:lineRule="auto"/>
              <w:jc w:val="center"/>
              <w:rPr>
                <w:rFonts w:ascii="仿宋" w:hAnsi="仿宋" w:eastAsia="仿宋"/>
                <w:szCs w:val="20"/>
              </w:rPr>
            </w:pPr>
            <w:r>
              <w:rPr>
                <w:rFonts w:ascii="仿宋" w:hAnsi="仿宋" w:eastAsia="仿宋"/>
                <w:szCs w:val="20"/>
              </w:rPr>
              <w:t>数据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969" w:type="dxa"/>
            <w:vAlign w:val="center"/>
          </w:tcPr>
          <w:p>
            <w:pPr>
              <w:spacing w:line="276" w:lineRule="auto"/>
              <w:jc w:val="center"/>
              <w:rPr>
                <w:rFonts w:ascii="仿宋" w:hAnsi="仿宋" w:eastAsia="仿宋"/>
                <w:szCs w:val="20"/>
              </w:rPr>
            </w:pPr>
            <w:r>
              <w:rPr>
                <w:rFonts w:hint="eastAsia" w:ascii="仿宋" w:hAnsi="仿宋" w:eastAsia="仿宋"/>
                <w:szCs w:val="20"/>
              </w:rPr>
              <w:t>设计处理</w:t>
            </w:r>
            <w:r>
              <w:rPr>
                <w:rFonts w:ascii="仿宋" w:hAnsi="仿宋" w:eastAsia="仿宋"/>
                <w:szCs w:val="20"/>
              </w:rPr>
              <w:t>风量</w:t>
            </w:r>
          </w:p>
        </w:tc>
        <w:tc>
          <w:tcPr>
            <w:tcW w:w="4920" w:type="dxa"/>
            <w:vAlign w:val="center"/>
          </w:tcPr>
          <w:p>
            <w:pPr>
              <w:spacing w:line="276" w:lineRule="auto"/>
              <w:jc w:val="center"/>
              <w:rPr>
                <w:rFonts w:ascii="仿宋" w:hAnsi="仿宋" w:eastAsia="仿宋"/>
                <w:szCs w:val="20"/>
              </w:rPr>
            </w:pPr>
            <w:r>
              <w:rPr>
                <w:rFonts w:hint="eastAsia" w:ascii="仿宋" w:hAnsi="仿宋" w:eastAsia="仿宋"/>
                <w:szCs w:val="20"/>
              </w:rPr>
              <w:t>50000m</w:t>
            </w:r>
            <w:r>
              <w:rPr>
                <w:rFonts w:hint="eastAsia" w:ascii="仿宋" w:hAnsi="仿宋" w:eastAsia="仿宋"/>
                <w:szCs w:val="20"/>
                <w:vertAlign w:val="superscript"/>
              </w:rPr>
              <w:t>3</w:t>
            </w:r>
            <w:r>
              <w:rPr>
                <w:rFonts w:hint="eastAsia" w:ascii="仿宋" w:hAnsi="仿宋" w:eastAsia="仿宋"/>
                <w:szCs w:val="20"/>
              </w:rPr>
              <w:t>/h</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969" w:type="dxa"/>
            <w:vAlign w:val="center"/>
          </w:tcPr>
          <w:p>
            <w:pPr>
              <w:spacing w:line="276" w:lineRule="auto"/>
              <w:jc w:val="center"/>
              <w:rPr>
                <w:rFonts w:ascii="仿宋" w:hAnsi="仿宋" w:eastAsia="仿宋"/>
                <w:szCs w:val="20"/>
              </w:rPr>
            </w:pPr>
            <w:r>
              <w:rPr>
                <w:rFonts w:hint="eastAsia" w:ascii="仿宋" w:hAnsi="仿宋" w:eastAsia="仿宋"/>
                <w:szCs w:val="20"/>
              </w:rPr>
              <w:t>设计处理最高浓度</w:t>
            </w:r>
          </w:p>
        </w:tc>
        <w:tc>
          <w:tcPr>
            <w:tcW w:w="4920" w:type="dxa"/>
            <w:vAlign w:val="center"/>
          </w:tcPr>
          <w:p>
            <w:pPr>
              <w:spacing w:line="276" w:lineRule="auto"/>
              <w:jc w:val="center"/>
              <w:rPr>
                <w:rFonts w:ascii="仿宋" w:hAnsi="仿宋" w:eastAsia="仿宋"/>
                <w:szCs w:val="20"/>
              </w:rPr>
            </w:pPr>
            <w:r>
              <w:rPr>
                <w:rFonts w:hint="eastAsia" w:ascii="仿宋" w:hAnsi="仿宋" w:eastAsia="仿宋"/>
                <w:szCs w:val="20"/>
              </w:rPr>
              <w:t>3000-8000mg/m</w:t>
            </w:r>
            <w:r>
              <w:rPr>
                <w:rFonts w:hint="eastAsia" w:ascii="仿宋" w:hAnsi="仿宋" w:eastAsia="仿宋"/>
                <w:szCs w:val="20"/>
                <w:vertAlign w:val="superscript"/>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969" w:type="dxa"/>
            <w:vAlign w:val="center"/>
          </w:tcPr>
          <w:p>
            <w:pPr>
              <w:autoSpaceDE w:val="0"/>
              <w:autoSpaceDN w:val="0"/>
              <w:adjustRightInd w:val="0"/>
              <w:jc w:val="center"/>
              <w:rPr>
                <w:rFonts w:ascii="仿宋" w:hAnsi="仿宋" w:eastAsia="仿宋"/>
                <w:kern w:val="0"/>
                <w:szCs w:val="21"/>
              </w:rPr>
            </w:pPr>
            <w:r>
              <w:rPr>
                <w:rFonts w:hint="eastAsia" w:ascii="仿宋" w:hAnsi="仿宋" w:eastAsia="仿宋"/>
                <w:kern w:val="0"/>
                <w:szCs w:val="21"/>
              </w:rPr>
              <w:t>热效率</w:t>
            </w:r>
          </w:p>
        </w:tc>
        <w:tc>
          <w:tcPr>
            <w:tcW w:w="4920" w:type="dxa"/>
            <w:vAlign w:val="center"/>
          </w:tcPr>
          <w:p>
            <w:pPr>
              <w:spacing w:line="276" w:lineRule="auto"/>
              <w:jc w:val="center"/>
              <w:rPr>
                <w:rFonts w:ascii="仿宋" w:hAnsi="仿宋" w:eastAsia="仿宋"/>
                <w:szCs w:val="20"/>
              </w:rPr>
            </w:pPr>
            <w:r>
              <w:rPr>
                <w:rFonts w:ascii="仿宋" w:hAnsi="仿宋" w:eastAsia="仿宋"/>
                <w:szCs w:val="20"/>
              </w:rPr>
              <w:t>≥</w:t>
            </w:r>
            <w:r>
              <w:rPr>
                <w:rFonts w:hint="eastAsia" w:ascii="仿宋" w:hAnsi="仿宋" w:eastAsia="仿宋"/>
                <w:szCs w:val="20"/>
              </w:rPr>
              <w:t>96%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969" w:type="dxa"/>
            <w:vAlign w:val="center"/>
          </w:tcPr>
          <w:p>
            <w:pPr>
              <w:spacing w:line="276" w:lineRule="auto"/>
              <w:jc w:val="center"/>
              <w:rPr>
                <w:rFonts w:ascii="仿宋" w:hAnsi="仿宋" w:eastAsia="仿宋"/>
                <w:szCs w:val="20"/>
              </w:rPr>
            </w:pPr>
            <w:r>
              <w:rPr>
                <w:rFonts w:hint="eastAsia" w:ascii="仿宋" w:hAnsi="仿宋" w:eastAsia="仿宋"/>
                <w:szCs w:val="20"/>
              </w:rPr>
              <w:t>高温滞留时间</w:t>
            </w:r>
          </w:p>
        </w:tc>
        <w:tc>
          <w:tcPr>
            <w:tcW w:w="4920" w:type="dxa"/>
            <w:vAlign w:val="center"/>
          </w:tcPr>
          <w:p>
            <w:pPr>
              <w:spacing w:line="276" w:lineRule="auto"/>
              <w:jc w:val="center"/>
              <w:rPr>
                <w:rFonts w:ascii="仿宋" w:hAnsi="仿宋" w:eastAsia="仿宋"/>
                <w:szCs w:val="20"/>
              </w:rPr>
            </w:pPr>
            <w:r>
              <w:rPr>
                <w:rFonts w:ascii="仿宋" w:hAnsi="仿宋" w:eastAsia="仿宋"/>
                <w:szCs w:val="20"/>
              </w:rPr>
              <w:t>≥</w:t>
            </w:r>
            <w:r>
              <w:rPr>
                <w:rFonts w:hint="eastAsia" w:ascii="仿宋" w:hAnsi="仿宋" w:eastAsia="仿宋"/>
                <w:szCs w:val="20"/>
              </w:rPr>
              <w:t>1.2s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969" w:type="dxa"/>
            <w:vAlign w:val="center"/>
          </w:tcPr>
          <w:p>
            <w:pPr>
              <w:spacing w:line="276" w:lineRule="auto"/>
              <w:jc w:val="center"/>
              <w:rPr>
                <w:rFonts w:ascii="仿宋" w:hAnsi="仿宋" w:eastAsia="仿宋"/>
                <w:szCs w:val="20"/>
              </w:rPr>
            </w:pPr>
            <w:r>
              <w:rPr>
                <w:rFonts w:hint="eastAsia" w:ascii="仿宋" w:hAnsi="仿宋" w:eastAsia="仿宋"/>
                <w:szCs w:val="20"/>
              </w:rPr>
              <w:t>燃烧室温度</w:t>
            </w:r>
          </w:p>
        </w:tc>
        <w:tc>
          <w:tcPr>
            <w:tcW w:w="4920" w:type="dxa"/>
            <w:vAlign w:val="center"/>
          </w:tcPr>
          <w:p>
            <w:pPr>
              <w:spacing w:line="276" w:lineRule="auto"/>
              <w:jc w:val="center"/>
              <w:rPr>
                <w:rFonts w:ascii="仿宋" w:hAnsi="仿宋" w:eastAsia="仿宋"/>
                <w:szCs w:val="20"/>
              </w:rPr>
            </w:pPr>
            <w:r>
              <w:rPr>
                <w:rFonts w:hint="eastAsia" w:ascii="仿宋" w:hAnsi="仿宋" w:eastAsia="仿宋"/>
                <w:szCs w:val="20"/>
              </w:rPr>
              <w:t>760-850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969" w:type="dxa"/>
            <w:vAlign w:val="center"/>
          </w:tcPr>
          <w:p>
            <w:pPr>
              <w:spacing w:line="276" w:lineRule="auto"/>
              <w:jc w:val="center"/>
              <w:rPr>
                <w:rFonts w:ascii="仿宋" w:hAnsi="仿宋" w:eastAsia="仿宋"/>
                <w:szCs w:val="20"/>
              </w:rPr>
            </w:pPr>
            <w:r>
              <w:rPr>
                <w:rFonts w:hint="eastAsia" w:ascii="仿宋" w:hAnsi="仿宋" w:eastAsia="仿宋"/>
                <w:szCs w:val="20"/>
              </w:rPr>
              <w:t>炉体表面温度</w:t>
            </w:r>
          </w:p>
        </w:tc>
        <w:tc>
          <w:tcPr>
            <w:tcW w:w="4920" w:type="dxa"/>
            <w:vAlign w:val="center"/>
          </w:tcPr>
          <w:p>
            <w:pPr>
              <w:spacing w:line="276" w:lineRule="auto"/>
              <w:jc w:val="center"/>
              <w:rPr>
                <w:rFonts w:ascii="仿宋" w:hAnsi="仿宋" w:eastAsia="仿宋"/>
                <w:szCs w:val="20"/>
              </w:rPr>
            </w:pPr>
            <w:r>
              <w:rPr>
                <w:rFonts w:ascii="仿宋" w:hAnsi="仿宋" w:eastAsia="仿宋"/>
                <w:szCs w:val="20"/>
              </w:rPr>
              <w:t>≤</w:t>
            </w:r>
            <w:r>
              <w:rPr>
                <w:rFonts w:hint="eastAsia" w:ascii="仿宋" w:hAnsi="仿宋" w:eastAsia="仿宋"/>
                <w:szCs w:val="20"/>
              </w:rPr>
              <w:t>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969" w:type="dxa"/>
            <w:vAlign w:val="center"/>
          </w:tcPr>
          <w:p>
            <w:pPr>
              <w:spacing w:line="276" w:lineRule="auto"/>
              <w:jc w:val="center"/>
              <w:rPr>
                <w:rFonts w:ascii="仿宋" w:hAnsi="仿宋" w:eastAsia="仿宋"/>
                <w:szCs w:val="20"/>
              </w:rPr>
            </w:pPr>
            <w:r>
              <w:rPr>
                <w:rFonts w:hint="eastAsia" w:ascii="仿宋" w:hAnsi="仿宋" w:eastAsia="仿宋"/>
                <w:szCs w:val="20"/>
              </w:rPr>
              <w:t>炉体进出口温度差</w:t>
            </w:r>
          </w:p>
        </w:tc>
        <w:tc>
          <w:tcPr>
            <w:tcW w:w="4920" w:type="dxa"/>
            <w:vAlign w:val="center"/>
          </w:tcPr>
          <w:p>
            <w:pPr>
              <w:spacing w:line="276" w:lineRule="auto"/>
              <w:jc w:val="center"/>
              <w:rPr>
                <w:rFonts w:ascii="仿宋" w:hAnsi="仿宋" w:eastAsia="仿宋"/>
                <w:szCs w:val="20"/>
              </w:rPr>
            </w:pPr>
            <w:r>
              <w:rPr>
                <w:rFonts w:ascii="仿宋" w:hAnsi="仿宋" w:eastAsia="仿宋"/>
                <w:szCs w:val="20"/>
              </w:rPr>
              <w:t>≤</w:t>
            </w:r>
            <w:r>
              <w:rPr>
                <w:rFonts w:hint="eastAsia" w:ascii="仿宋" w:hAnsi="仿宋" w:eastAsia="仿宋"/>
                <w:szCs w:val="20"/>
              </w:rPr>
              <w:t>40℃（补燃工况）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969" w:type="dxa"/>
            <w:vAlign w:val="center"/>
          </w:tcPr>
          <w:p>
            <w:pPr>
              <w:spacing w:line="276" w:lineRule="auto"/>
              <w:jc w:val="center"/>
              <w:rPr>
                <w:rFonts w:ascii="仿宋" w:hAnsi="仿宋" w:eastAsia="仿宋"/>
                <w:szCs w:val="20"/>
              </w:rPr>
            </w:pPr>
            <w:r>
              <w:rPr>
                <w:rFonts w:ascii="仿宋" w:hAnsi="仿宋" w:eastAsia="仿宋"/>
                <w:szCs w:val="20"/>
              </w:rPr>
              <w:t xml:space="preserve">RTO </w:t>
            </w:r>
            <w:r>
              <w:rPr>
                <w:rFonts w:hint="eastAsia" w:ascii="仿宋" w:hAnsi="仿宋" w:eastAsia="仿宋"/>
                <w:szCs w:val="20"/>
              </w:rPr>
              <w:t>对涂布机压力波动影响</w:t>
            </w:r>
          </w:p>
        </w:tc>
        <w:tc>
          <w:tcPr>
            <w:tcW w:w="4920" w:type="dxa"/>
            <w:vAlign w:val="center"/>
          </w:tcPr>
          <w:p>
            <w:pPr>
              <w:spacing w:line="276" w:lineRule="auto"/>
              <w:jc w:val="center"/>
              <w:rPr>
                <w:rFonts w:ascii="仿宋" w:hAnsi="仿宋" w:eastAsia="仿宋"/>
                <w:szCs w:val="20"/>
              </w:rPr>
            </w:pPr>
            <w:r>
              <w:rPr>
                <w:rFonts w:ascii="仿宋" w:hAnsi="仿宋" w:eastAsia="仿宋"/>
                <w:szCs w:val="20"/>
              </w:rPr>
              <w:t>&lt;±</w:t>
            </w:r>
            <w:r>
              <w:rPr>
                <w:rFonts w:hint="eastAsia" w:ascii="仿宋" w:hAnsi="仿宋" w:eastAsia="仿宋"/>
                <w:szCs w:val="20"/>
              </w:rPr>
              <w:t>50pa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969" w:type="dxa"/>
            <w:vAlign w:val="center"/>
          </w:tcPr>
          <w:p>
            <w:pPr>
              <w:spacing w:line="276" w:lineRule="auto"/>
              <w:jc w:val="center"/>
              <w:rPr>
                <w:rFonts w:ascii="仿宋" w:hAnsi="仿宋" w:eastAsia="仿宋"/>
                <w:szCs w:val="20"/>
              </w:rPr>
            </w:pPr>
            <w:r>
              <w:rPr>
                <w:rFonts w:hint="eastAsia" w:ascii="仿宋" w:hAnsi="仿宋" w:eastAsia="仿宋"/>
                <w:szCs w:val="20"/>
              </w:rPr>
              <w:t>燃料类型</w:t>
            </w:r>
          </w:p>
        </w:tc>
        <w:tc>
          <w:tcPr>
            <w:tcW w:w="4920" w:type="dxa"/>
            <w:vAlign w:val="center"/>
          </w:tcPr>
          <w:p>
            <w:pPr>
              <w:spacing w:line="276" w:lineRule="auto"/>
              <w:jc w:val="center"/>
              <w:rPr>
                <w:rFonts w:ascii="仿宋" w:hAnsi="仿宋" w:eastAsia="仿宋"/>
                <w:szCs w:val="20"/>
              </w:rPr>
            </w:pPr>
            <w:r>
              <w:rPr>
                <w:rFonts w:ascii="仿宋" w:hAnsi="仿宋" w:eastAsia="仿宋"/>
                <w:szCs w:val="20"/>
              </w:rPr>
              <w:t>天然气</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969" w:type="dxa"/>
            <w:vAlign w:val="center"/>
          </w:tcPr>
          <w:p>
            <w:pPr>
              <w:spacing w:line="276" w:lineRule="auto"/>
              <w:jc w:val="center"/>
              <w:rPr>
                <w:rFonts w:ascii="仿宋" w:hAnsi="仿宋" w:eastAsia="仿宋"/>
                <w:szCs w:val="20"/>
              </w:rPr>
            </w:pPr>
            <w:r>
              <w:rPr>
                <w:rFonts w:hint="eastAsia" w:ascii="仿宋" w:hAnsi="仿宋" w:eastAsia="仿宋"/>
                <w:szCs w:val="20"/>
              </w:rPr>
              <w:t>VOC</w:t>
            </w:r>
            <w:r>
              <w:rPr>
                <w:rFonts w:ascii="仿宋" w:hAnsi="仿宋" w:eastAsia="仿宋"/>
                <w:szCs w:val="20"/>
              </w:rPr>
              <w:t>s去除效率</w:t>
            </w:r>
          </w:p>
        </w:tc>
        <w:tc>
          <w:tcPr>
            <w:tcW w:w="4920" w:type="dxa"/>
            <w:vAlign w:val="center"/>
          </w:tcPr>
          <w:p>
            <w:pPr>
              <w:spacing w:line="276" w:lineRule="auto"/>
              <w:jc w:val="center"/>
              <w:rPr>
                <w:rFonts w:ascii="仿宋" w:hAnsi="仿宋" w:eastAsia="仿宋"/>
                <w:szCs w:val="20"/>
              </w:rPr>
            </w:pPr>
            <w:r>
              <w:rPr>
                <w:rFonts w:ascii="仿宋" w:hAnsi="仿宋" w:eastAsia="仿宋"/>
                <w:szCs w:val="20"/>
              </w:rPr>
              <w:t>≥</w:t>
            </w:r>
            <w:r>
              <w:rPr>
                <w:rFonts w:hint="eastAsia" w:ascii="仿宋" w:hAnsi="仿宋" w:eastAsia="仿宋"/>
                <w:szCs w:val="20"/>
              </w:rPr>
              <w:t>99.</w:t>
            </w:r>
            <w:r>
              <w:rPr>
                <w:rFonts w:ascii="仿宋" w:hAnsi="仿宋" w:eastAsia="仿宋"/>
                <w:szCs w:val="20"/>
              </w:rPr>
              <w:t>5</w:t>
            </w:r>
            <w:r>
              <w:rPr>
                <w:rFonts w:hint="eastAsia" w:ascii="仿宋" w:hAnsi="仿宋" w:eastAsia="仿宋"/>
                <w:szCs w:val="20"/>
              </w:rPr>
              <w:t>%</w:t>
            </w:r>
          </w:p>
        </w:tc>
      </w:tr>
    </w:tbl>
    <w:p>
      <w:pPr>
        <w:spacing w:line="500" w:lineRule="exact"/>
        <w:ind w:firstLine="560" w:firstLineChars="200"/>
        <w:rPr>
          <w:rFonts w:eastAsia="仿宋_GB2312"/>
          <w:sz w:val="28"/>
          <w:szCs w:val="28"/>
        </w:rPr>
      </w:pPr>
      <w:r>
        <w:rPr>
          <w:rFonts w:hint="eastAsia" w:eastAsia="仿宋_GB2312"/>
          <w:sz w:val="28"/>
          <w:szCs w:val="28"/>
        </w:rPr>
        <w:t>（三）工程</w:t>
      </w:r>
      <w:r>
        <w:rPr>
          <w:rFonts w:eastAsia="仿宋_GB2312"/>
          <w:sz w:val="28"/>
          <w:szCs w:val="28"/>
        </w:rPr>
        <w:t>实例</w:t>
      </w:r>
    </w:p>
    <w:p>
      <w:pPr>
        <w:spacing w:line="500" w:lineRule="exact"/>
        <w:ind w:firstLine="560" w:firstLineChars="200"/>
        <w:rPr>
          <w:rFonts w:eastAsia="仿宋_GB2312"/>
          <w:sz w:val="28"/>
          <w:szCs w:val="28"/>
        </w:rPr>
      </w:pPr>
      <w:r>
        <w:rPr>
          <w:rFonts w:eastAsia="仿宋_GB2312"/>
          <w:sz w:val="28"/>
          <w:szCs w:val="28"/>
        </w:rPr>
        <w:t>根据《蓄热燃烧法工业有机废气治理工程技术规范》（HJ1093—2020），多室或旋转式蓄热燃烧装置的净化效率不宜低于98%，本项目RTO焚烧炉为</w:t>
      </w:r>
      <w:r>
        <w:rPr>
          <w:rFonts w:hint="eastAsia" w:eastAsia="仿宋_GB2312"/>
          <w:sz w:val="28"/>
          <w:szCs w:val="28"/>
        </w:rPr>
        <w:t>三床式</w:t>
      </w:r>
      <w:r>
        <w:rPr>
          <w:rFonts w:eastAsia="仿宋_GB2312"/>
          <w:sz w:val="28"/>
          <w:szCs w:val="28"/>
        </w:rPr>
        <w:t>蓄热燃烧装置，对VOC</w:t>
      </w:r>
      <w:r>
        <w:rPr>
          <w:rFonts w:eastAsia="仿宋_GB2312"/>
          <w:sz w:val="28"/>
          <w:szCs w:val="28"/>
          <w:vertAlign w:val="subscript"/>
        </w:rPr>
        <w:t>S</w:t>
      </w:r>
      <w:r>
        <w:rPr>
          <w:rFonts w:eastAsia="仿宋_GB2312"/>
          <w:sz w:val="28"/>
          <w:szCs w:val="28"/>
        </w:rPr>
        <w:t>的去除效率设计为99.5%，</w:t>
      </w:r>
      <w:r>
        <w:rPr>
          <w:rFonts w:hint="eastAsia" w:eastAsia="仿宋_GB2312"/>
          <w:sz w:val="28"/>
          <w:szCs w:val="28"/>
        </w:rPr>
        <w:t>根据本项目R</w:t>
      </w:r>
      <w:r>
        <w:rPr>
          <w:rFonts w:eastAsia="仿宋_GB2312"/>
          <w:sz w:val="28"/>
          <w:szCs w:val="28"/>
        </w:rPr>
        <w:t>TO</w:t>
      </w:r>
      <w:r>
        <w:rPr>
          <w:rFonts w:hint="eastAsia" w:eastAsia="仿宋_GB2312"/>
          <w:sz w:val="28"/>
          <w:szCs w:val="28"/>
        </w:rPr>
        <w:t>设备供应商在常熟新时代胶粘制品有限公司、南京坚泰普新材料有限公司中的处理实例，处理</w:t>
      </w:r>
      <w:r>
        <w:rPr>
          <w:rFonts w:eastAsia="仿宋_GB2312"/>
          <w:sz w:val="28"/>
          <w:szCs w:val="28"/>
        </w:rPr>
        <w:t>效率平均值≥</w:t>
      </w:r>
      <w:r>
        <w:rPr>
          <w:rFonts w:hint="eastAsia" w:eastAsia="仿宋_GB2312"/>
          <w:sz w:val="28"/>
          <w:szCs w:val="28"/>
        </w:rPr>
        <w:t>99.</w:t>
      </w:r>
      <w:r>
        <w:rPr>
          <w:rFonts w:eastAsia="仿宋_GB2312"/>
          <w:sz w:val="28"/>
          <w:szCs w:val="28"/>
        </w:rPr>
        <w:t>5</w:t>
      </w:r>
      <w:r>
        <w:rPr>
          <w:rFonts w:hint="eastAsia" w:eastAsia="仿宋_GB2312"/>
          <w:sz w:val="28"/>
          <w:szCs w:val="28"/>
        </w:rPr>
        <w:t>%。</w:t>
      </w:r>
    </w:p>
    <w:p>
      <w:pPr>
        <w:numPr>
          <w:ilvl w:val="0"/>
          <w:numId w:val="18"/>
        </w:numPr>
        <w:spacing w:line="500" w:lineRule="exact"/>
        <w:ind w:firstLine="560" w:firstLineChars="200"/>
        <w:rPr>
          <w:rFonts w:eastAsia="仿宋_GB2312"/>
          <w:sz w:val="28"/>
          <w:szCs w:val="28"/>
        </w:rPr>
      </w:pPr>
      <w:r>
        <w:rPr>
          <w:rFonts w:hint="eastAsia" w:eastAsia="仿宋_GB2312"/>
          <w:sz w:val="28"/>
          <w:szCs w:val="28"/>
        </w:rPr>
        <w:t>RTO废气回用于导热油炉加热的合理性</w:t>
      </w:r>
    </w:p>
    <w:p>
      <w:pPr>
        <w:spacing w:line="500" w:lineRule="exact"/>
        <w:ind w:firstLine="560" w:firstLineChars="200"/>
        <w:rPr>
          <w:rFonts w:eastAsia="仿宋_GB2312"/>
          <w:sz w:val="28"/>
          <w:szCs w:val="28"/>
        </w:rPr>
      </w:pPr>
      <w:r>
        <w:rPr>
          <w:rFonts w:hint="eastAsia" w:eastAsia="仿宋_GB2312"/>
          <w:sz w:val="28"/>
          <w:szCs w:val="28"/>
        </w:rPr>
        <w:t>本项目RTO设备工作时，废气被引入RTO，废气吸收蓄热砖的热量后进入燃烧室焚烧。焚烧后的气体经过蓄热砖将热量储存后排放。蓄热砖可以提供比较大的热能回收效率，可高达96%以上。在焚烧废气时，可节约大量的燃料，降低运行费用。燃烧室设有高温旁通管路，管道接入导热油换热器，利用废气高温氧化时释放的热量（约750℃）对导热油进行升温，升温后的导热油送至业主生产车间，充分利用余热的同时降低了排放废气的温度</w:t>
      </w:r>
      <w:bookmarkStart w:id="372" w:name="3.工艺阐述及操作要点"/>
      <w:bookmarkEnd w:id="372"/>
      <w:bookmarkStart w:id="373" w:name="_bookmark7"/>
      <w:bookmarkEnd w:id="373"/>
      <w:r>
        <w:rPr>
          <w:rFonts w:hint="eastAsia" w:eastAsia="仿宋_GB2312"/>
          <w:sz w:val="28"/>
          <w:szCs w:val="28"/>
        </w:rPr>
        <w:t>。废气经过设备处理后满足排放要求，送至烟囱排放。这种燃烧可将废气中的有机物质氧化成无害的二氧化碳和水蒸气。这种氧化过程是完全自燃的，不需要任何化学剂的投加。</w:t>
      </w:r>
    </w:p>
    <w:p>
      <w:pPr>
        <w:spacing w:line="500" w:lineRule="exact"/>
        <w:ind w:firstLine="560" w:firstLineChars="200"/>
        <w:rPr>
          <w:rFonts w:eastAsia="仿宋_GB2312"/>
          <w:sz w:val="28"/>
          <w:szCs w:val="28"/>
        </w:rPr>
      </w:pPr>
      <w:r>
        <w:rPr>
          <w:rFonts w:hint="eastAsia" w:eastAsia="仿宋_GB2312"/>
          <w:sz w:val="28"/>
          <w:szCs w:val="28"/>
        </w:rPr>
        <w:t>综上所述，结合相关文献及工程实例，本项目对有机废气采用RTO处理</w:t>
      </w:r>
      <w:r>
        <w:rPr>
          <w:rFonts w:eastAsia="仿宋_GB2312"/>
          <w:sz w:val="28"/>
          <w:szCs w:val="28"/>
        </w:rPr>
        <w:t>装置</w:t>
      </w:r>
      <w:r>
        <w:rPr>
          <w:rFonts w:hint="eastAsia" w:eastAsia="仿宋_GB2312"/>
          <w:sz w:val="28"/>
          <w:szCs w:val="28"/>
        </w:rPr>
        <w:t>是可行、可靠的。</w:t>
      </w:r>
    </w:p>
    <w:p>
      <w:pPr>
        <w:pStyle w:val="4"/>
        <w:keepLines w:val="0"/>
        <w:numPr>
          <w:ilvl w:val="2"/>
          <w:numId w:val="1"/>
        </w:numPr>
        <w:tabs>
          <w:tab w:val="left" w:pos="709"/>
        </w:tabs>
        <w:spacing w:before="0" w:after="120" w:afterLines="50" w:line="500" w:lineRule="exact"/>
        <w:ind w:left="0" w:firstLine="0"/>
        <w:rPr>
          <w:rFonts w:eastAsia="仿宋_GB2312"/>
          <w:bCs w:val="0"/>
          <w:sz w:val="28"/>
        </w:rPr>
      </w:pPr>
      <w:r>
        <w:rPr>
          <w:rFonts w:eastAsia="仿宋_GB2312"/>
          <w:bCs w:val="0"/>
          <w:sz w:val="28"/>
        </w:rPr>
        <w:t>废气处理设施长期、稳定运行建议</w:t>
      </w:r>
    </w:p>
    <w:p>
      <w:pPr>
        <w:spacing w:line="500" w:lineRule="exact"/>
        <w:ind w:firstLine="560" w:firstLineChars="200"/>
        <w:rPr>
          <w:rFonts w:eastAsia="仿宋_GB2312"/>
          <w:sz w:val="28"/>
          <w:szCs w:val="28"/>
        </w:rPr>
      </w:pPr>
      <w:r>
        <w:rPr>
          <w:rFonts w:eastAsia="仿宋_GB2312"/>
          <w:sz w:val="28"/>
          <w:szCs w:val="28"/>
        </w:rPr>
        <w:t>1、本项目废气分类收集、处理后通过排气筒排放。公司应配备专职环保人员对环保设施定期监测、维护，确保有组织废气长期、稳定达标排放。</w:t>
      </w:r>
    </w:p>
    <w:p>
      <w:pPr>
        <w:spacing w:line="500" w:lineRule="exact"/>
        <w:ind w:firstLine="560" w:firstLineChars="200"/>
        <w:rPr>
          <w:rFonts w:eastAsia="仿宋_GB2312"/>
          <w:sz w:val="28"/>
          <w:szCs w:val="28"/>
        </w:rPr>
      </w:pPr>
      <w:r>
        <w:rPr>
          <w:rFonts w:eastAsia="仿宋_GB2312"/>
          <w:sz w:val="28"/>
          <w:szCs w:val="28"/>
        </w:rPr>
        <w:t>2、制定严格的生产操作管理制度，生产不同产品时员工必须根据生产产品及工段产生废气性质的不同合理安排相应的生产区域和生产设备，并且及时打开相应废气的收集管道阀门，做好相应的操作台帐记录。</w:t>
      </w:r>
    </w:p>
    <w:p>
      <w:pPr>
        <w:spacing w:line="500" w:lineRule="exact"/>
        <w:ind w:firstLine="560" w:firstLineChars="200"/>
        <w:rPr>
          <w:rFonts w:eastAsia="仿宋_GB2312"/>
          <w:sz w:val="28"/>
          <w:szCs w:val="28"/>
        </w:rPr>
      </w:pPr>
      <w:r>
        <w:rPr>
          <w:rFonts w:hint="eastAsia" w:eastAsia="仿宋_GB2312"/>
          <w:sz w:val="28"/>
          <w:szCs w:val="28"/>
        </w:rPr>
        <w:t>3、对于R</w:t>
      </w:r>
      <w:r>
        <w:rPr>
          <w:rFonts w:eastAsia="仿宋_GB2312"/>
          <w:sz w:val="28"/>
          <w:szCs w:val="28"/>
        </w:rPr>
        <w:t>TO</w:t>
      </w:r>
      <w:r>
        <w:rPr>
          <w:rFonts w:hint="eastAsia" w:eastAsia="仿宋_GB2312"/>
          <w:sz w:val="28"/>
          <w:szCs w:val="28"/>
        </w:rPr>
        <w:t>炉，厂址位置选择与总图布置符合GB50187、GB50489等相关规定，且场址选择遵从方便施工和运行维护等原则，设备的布置应考虑主导风向的影响，并优先考虑减少有害气体、噪声等对周边敏感目标的影响。RTO炉属于明火设备，设置在远离易燃易爆危险区域，防火间距符合GB50016、GB50160、GB51283等相关规定。</w:t>
      </w:r>
    </w:p>
    <w:p>
      <w:pPr>
        <w:spacing w:line="500" w:lineRule="exact"/>
        <w:ind w:firstLine="560" w:firstLineChars="200"/>
        <w:rPr>
          <w:rFonts w:eastAsia="仿宋_GB2312"/>
          <w:sz w:val="28"/>
          <w:szCs w:val="28"/>
        </w:rPr>
      </w:pPr>
      <w:r>
        <w:rPr>
          <w:rFonts w:hint="eastAsia" w:eastAsia="仿宋_GB2312"/>
          <w:sz w:val="28"/>
          <w:szCs w:val="28"/>
        </w:rPr>
        <w:t>本项目RTO炉系统通过设置混合箱、调整风量等措施严格控制RTO炉入口有机物浓度和流速，保证相对平稳、安全运行。废气总管需设置一定的坡度，并定期对废气管道进行定期清洗。本项目R</w:t>
      </w:r>
      <w:r>
        <w:rPr>
          <w:rFonts w:eastAsia="仿宋_GB2312"/>
          <w:sz w:val="28"/>
          <w:szCs w:val="28"/>
        </w:rPr>
        <w:t>TO</w:t>
      </w:r>
      <w:r>
        <w:rPr>
          <w:rFonts w:hint="eastAsia" w:eastAsia="仿宋_GB2312"/>
          <w:sz w:val="28"/>
          <w:szCs w:val="28"/>
        </w:rPr>
        <w:t>炉系统通过强制通风措施，满足最低通风量要求，避免可燃物积聚、回火等，且RTO系统进气管道各危险点(如支管接入总管处)设置压力检测设施、止回装置、紧急切断阀等，以减少管内气体回冲，产生连锁反应。整套系统中设置过载保护、短路保护、断相保护接地保护、电源防雷保护等功能。</w:t>
      </w:r>
    </w:p>
    <w:p>
      <w:pPr>
        <w:pStyle w:val="4"/>
        <w:keepLines w:val="0"/>
        <w:numPr>
          <w:ilvl w:val="2"/>
          <w:numId w:val="1"/>
        </w:numPr>
        <w:tabs>
          <w:tab w:val="left" w:pos="709"/>
        </w:tabs>
        <w:spacing w:before="0" w:after="120" w:afterLines="50" w:line="500" w:lineRule="exact"/>
        <w:ind w:left="0" w:firstLine="0"/>
        <w:rPr>
          <w:rFonts w:eastAsia="仿宋_GB2312"/>
          <w:bCs w:val="0"/>
          <w:sz w:val="28"/>
        </w:rPr>
      </w:pPr>
      <w:r>
        <w:rPr>
          <w:rFonts w:hint="eastAsia" w:eastAsia="仿宋_GB2312"/>
          <w:bCs w:val="0"/>
          <w:sz w:val="28"/>
        </w:rPr>
        <w:t>排气筒设置</w:t>
      </w:r>
      <w:r>
        <w:rPr>
          <w:rFonts w:eastAsia="仿宋_GB2312"/>
          <w:bCs w:val="0"/>
          <w:sz w:val="28"/>
        </w:rPr>
        <w:t>合理性</w:t>
      </w:r>
    </w:p>
    <w:p>
      <w:pPr>
        <w:spacing w:line="500" w:lineRule="exact"/>
        <w:ind w:firstLine="560" w:firstLineChars="200"/>
        <w:rPr>
          <w:rFonts w:eastAsia="仿宋_GB2312"/>
          <w:sz w:val="28"/>
          <w:szCs w:val="28"/>
        </w:rPr>
      </w:pPr>
      <w:r>
        <w:rPr>
          <w:rFonts w:eastAsia="仿宋_GB2312"/>
          <w:sz w:val="28"/>
          <w:szCs w:val="28"/>
        </w:rPr>
        <w:t>本项目按照工艺的严格要求，尽可能将产生废气的工段进行废气有组织收集，再通过设施处理后达标排放。本项目本着同种废气合并排放、不同种类工艺废气分别收集处理的原则，同时兼顾合理布局的原则，</w:t>
      </w:r>
      <w:r>
        <w:rPr>
          <w:rFonts w:hint="eastAsia" w:eastAsia="仿宋_GB2312"/>
          <w:sz w:val="28"/>
          <w:szCs w:val="28"/>
        </w:rPr>
        <w:t>因此</w:t>
      </w:r>
      <w:r>
        <w:rPr>
          <w:rFonts w:eastAsia="仿宋_GB2312"/>
          <w:sz w:val="28"/>
          <w:szCs w:val="28"/>
        </w:rPr>
        <w:t>，本项目共设</w:t>
      </w:r>
      <w:r>
        <w:rPr>
          <w:rFonts w:hint="eastAsia" w:eastAsia="仿宋_GB2312"/>
          <w:sz w:val="28"/>
          <w:szCs w:val="28"/>
        </w:rPr>
        <w:t>2根</w:t>
      </w:r>
      <w:r>
        <w:rPr>
          <w:rFonts w:eastAsia="仿宋_GB2312"/>
          <w:sz w:val="28"/>
          <w:szCs w:val="28"/>
        </w:rPr>
        <w:t>排气筒，</w:t>
      </w:r>
      <w:r>
        <w:rPr>
          <w:rFonts w:hint="eastAsia" w:eastAsia="仿宋_GB2312"/>
          <w:sz w:val="28"/>
          <w:szCs w:val="28"/>
        </w:rPr>
        <w:t>均</w:t>
      </w:r>
      <w:r>
        <w:rPr>
          <w:rFonts w:eastAsia="仿宋_GB2312"/>
          <w:sz w:val="28"/>
          <w:szCs w:val="28"/>
        </w:rPr>
        <w:t>高出周边200m内建筑3m以上，并合理地安排了排气筒的位置，排气筒的高度符合相关规定，出口排气风速满足《制定地方大气污染物排放标准的技术方法》要求，排气筒设置合理。</w:t>
      </w:r>
    </w:p>
    <w:p>
      <w:pPr>
        <w:spacing w:line="500" w:lineRule="exact"/>
        <w:ind w:firstLine="560" w:firstLineChars="200"/>
        <w:rPr>
          <w:rFonts w:eastAsia="仿宋_GB2312"/>
          <w:sz w:val="28"/>
          <w:szCs w:val="28"/>
        </w:rPr>
      </w:pPr>
      <w:r>
        <w:rPr>
          <w:rFonts w:eastAsia="仿宋_GB2312"/>
          <w:sz w:val="28"/>
          <w:szCs w:val="28"/>
        </w:rPr>
        <w:t>经预测计算，本项目地面各污染物浓度贡献值较低，对周边大气环境影响较小，因此该项目排气筒的设置是合理的。</w:t>
      </w:r>
    </w:p>
    <w:p>
      <w:pPr>
        <w:pStyle w:val="3"/>
        <w:spacing w:before="120" w:after="120"/>
      </w:pPr>
      <w:bookmarkStart w:id="374" w:name="_Toc140565276"/>
      <w:bookmarkStart w:id="375" w:name="_Toc328747147"/>
      <w:bookmarkStart w:id="376" w:name="_Toc327388492"/>
      <w:bookmarkStart w:id="377" w:name="_Toc125882634"/>
      <w:r>
        <w:t>地表水环境保护措施及其经济、技术论证</w:t>
      </w:r>
      <w:bookmarkEnd w:id="374"/>
      <w:bookmarkEnd w:id="375"/>
      <w:bookmarkEnd w:id="376"/>
      <w:bookmarkEnd w:id="377"/>
    </w:p>
    <w:p>
      <w:pPr>
        <w:pStyle w:val="4"/>
        <w:keepLines w:val="0"/>
        <w:numPr>
          <w:ilvl w:val="2"/>
          <w:numId w:val="1"/>
        </w:numPr>
        <w:tabs>
          <w:tab w:val="left" w:pos="709"/>
        </w:tabs>
        <w:spacing w:before="0" w:after="120" w:afterLines="50" w:line="500" w:lineRule="exact"/>
        <w:ind w:left="0" w:firstLine="0"/>
        <w:rPr>
          <w:rFonts w:eastAsia="仿宋_GB2312"/>
          <w:bCs w:val="0"/>
          <w:sz w:val="28"/>
        </w:rPr>
      </w:pPr>
      <w:r>
        <w:rPr>
          <w:rFonts w:hint="eastAsia" w:eastAsia="仿宋_GB2312"/>
          <w:bCs w:val="0"/>
          <w:sz w:val="28"/>
        </w:rPr>
        <w:t>废水污染</w:t>
      </w:r>
      <w:r>
        <w:rPr>
          <w:rFonts w:eastAsia="仿宋_GB2312"/>
          <w:bCs w:val="0"/>
          <w:sz w:val="28"/>
        </w:rPr>
        <w:t>防治措施</w:t>
      </w:r>
    </w:p>
    <w:p>
      <w:pPr>
        <w:spacing w:line="480" w:lineRule="exact"/>
        <w:ind w:firstLine="560" w:firstLineChars="200"/>
        <w:rPr>
          <w:rFonts w:eastAsia="仿宋_GB2312"/>
          <w:sz w:val="28"/>
          <w:szCs w:val="28"/>
        </w:rPr>
      </w:pPr>
      <w:r>
        <w:rPr>
          <w:rFonts w:eastAsia="仿宋_GB2312"/>
          <w:sz w:val="28"/>
          <w:szCs w:val="28"/>
        </w:rPr>
        <w:t>本项目实行雨、污分流原则；雨水</w:t>
      </w:r>
      <w:r>
        <w:rPr>
          <w:rFonts w:hint="eastAsia" w:eastAsia="仿宋_GB2312"/>
          <w:sz w:val="28"/>
          <w:szCs w:val="28"/>
        </w:rPr>
        <w:t>经</w:t>
      </w:r>
      <w:r>
        <w:rPr>
          <w:rFonts w:eastAsia="仿宋_GB2312"/>
          <w:sz w:val="28"/>
          <w:szCs w:val="28"/>
        </w:rPr>
        <w:t>厂区雨水管网，</w:t>
      </w:r>
      <w:r>
        <w:rPr>
          <w:rFonts w:hint="eastAsia" w:eastAsia="仿宋_GB2312"/>
          <w:sz w:val="28"/>
          <w:szCs w:val="28"/>
        </w:rPr>
        <w:t>接入</w:t>
      </w:r>
      <w:r>
        <w:rPr>
          <w:rFonts w:eastAsia="仿宋_GB2312"/>
          <w:sz w:val="28"/>
          <w:szCs w:val="28"/>
        </w:rPr>
        <w:t>市政雨水管道系统排入厂区外附近河道。</w:t>
      </w:r>
    </w:p>
    <w:p>
      <w:pPr>
        <w:spacing w:line="500" w:lineRule="exact"/>
        <w:ind w:firstLine="700" w:firstLineChars="250"/>
        <w:jc w:val="left"/>
        <w:rPr>
          <w:rFonts w:eastAsia="仿宋_GB2312"/>
          <w:sz w:val="28"/>
          <w:szCs w:val="28"/>
        </w:rPr>
      </w:pPr>
      <w:r>
        <w:rPr>
          <w:rFonts w:hint="eastAsia" w:eastAsia="仿宋_GB2312"/>
          <w:sz w:val="28"/>
          <w:szCs w:val="28"/>
        </w:rPr>
        <w:t>本项目</w:t>
      </w:r>
      <w:r>
        <w:rPr>
          <w:rFonts w:eastAsia="仿宋_GB2312"/>
          <w:sz w:val="28"/>
          <w:szCs w:val="28"/>
        </w:rPr>
        <w:t>生活污水</w:t>
      </w:r>
      <w:r>
        <w:rPr>
          <w:rFonts w:hint="eastAsia" w:eastAsia="仿宋_GB2312"/>
          <w:sz w:val="28"/>
          <w:szCs w:val="28"/>
        </w:rPr>
        <w:t>经</w:t>
      </w:r>
      <w:r>
        <w:rPr>
          <w:rFonts w:eastAsia="仿宋_GB2312"/>
          <w:sz w:val="28"/>
          <w:szCs w:val="28"/>
        </w:rPr>
        <w:t>厂区污水管网接</w:t>
      </w:r>
      <w:r>
        <w:rPr>
          <w:rFonts w:hint="eastAsia" w:eastAsia="仿宋_GB2312"/>
          <w:sz w:val="28"/>
          <w:szCs w:val="28"/>
        </w:rPr>
        <w:t>入</w:t>
      </w:r>
      <w:r>
        <w:rPr>
          <w:rFonts w:eastAsia="仿宋_GB2312"/>
          <w:sz w:val="28"/>
          <w:szCs w:val="28"/>
        </w:rPr>
        <w:t>市政污水管网，进</w:t>
      </w:r>
      <w:r>
        <w:rPr>
          <w:rFonts w:hint="eastAsia" w:eastAsia="仿宋_GB2312"/>
          <w:sz w:val="28"/>
          <w:szCs w:val="28"/>
        </w:rPr>
        <w:t>金坛</w:t>
      </w:r>
      <w:r>
        <w:rPr>
          <w:rFonts w:eastAsia="仿宋_GB2312"/>
          <w:sz w:val="28"/>
          <w:szCs w:val="28"/>
        </w:rPr>
        <w:t>第二污水处理厂处理。</w:t>
      </w:r>
    </w:p>
    <w:p>
      <w:pPr>
        <w:pStyle w:val="4"/>
        <w:keepLines w:val="0"/>
        <w:tabs>
          <w:tab w:val="left" w:pos="709"/>
        </w:tabs>
        <w:spacing w:before="0" w:after="120" w:afterLines="50" w:line="500" w:lineRule="exact"/>
        <w:rPr>
          <w:rFonts w:eastAsia="仿宋_GB2312"/>
          <w:bCs w:val="0"/>
          <w:sz w:val="28"/>
        </w:rPr>
      </w:pPr>
      <w:r>
        <w:rPr>
          <w:rFonts w:eastAsia="仿宋_GB2312"/>
          <w:bCs w:val="0"/>
          <w:sz w:val="28"/>
        </w:rPr>
        <w:t>6.2.3接管可行性论证</w:t>
      </w:r>
    </w:p>
    <w:p>
      <w:pPr>
        <w:spacing w:line="480" w:lineRule="exact"/>
        <w:ind w:firstLine="560" w:firstLineChars="200"/>
        <w:rPr>
          <w:rFonts w:eastAsia="仿宋_GB2312"/>
          <w:kern w:val="0"/>
          <w:sz w:val="28"/>
          <w:szCs w:val="28"/>
        </w:rPr>
      </w:pPr>
      <w:r>
        <w:rPr>
          <w:rFonts w:eastAsia="仿宋_GB2312"/>
          <w:kern w:val="0"/>
          <w:sz w:val="28"/>
          <w:szCs w:val="28"/>
        </w:rPr>
        <w:fldChar w:fldCharType="begin"/>
      </w:r>
      <w:r>
        <w:rPr>
          <w:rFonts w:eastAsia="仿宋_GB2312"/>
          <w:kern w:val="0"/>
          <w:sz w:val="28"/>
          <w:szCs w:val="28"/>
        </w:rPr>
        <w:instrText xml:space="preserve"> </w:instrText>
      </w:r>
      <w:r>
        <w:rPr>
          <w:rFonts w:hint="eastAsia" w:eastAsia="仿宋_GB2312"/>
          <w:kern w:val="0"/>
          <w:sz w:val="28"/>
          <w:szCs w:val="28"/>
        </w:rPr>
        <w:instrText xml:space="preserve">= 1 \* GB2</w:instrText>
      </w:r>
      <w:r>
        <w:rPr>
          <w:rFonts w:eastAsia="仿宋_GB2312"/>
          <w:kern w:val="0"/>
          <w:sz w:val="28"/>
          <w:szCs w:val="28"/>
        </w:rPr>
        <w:instrText xml:space="preserve"> </w:instrText>
      </w:r>
      <w:r>
        <w:rPr>
          <w:rFonts w:eastAsia="仿宋_GB2312"/>
          <w:kern w:val="0"/>
          <w:sz w:val="28"/>
          <w:szCs w:val="28"/>
        </w:rPr>
        <w:fldChar w:fldCharType="separate"/>
      </w:r>
      <w:r>
        <w:rPr>
          <w:rFonts w:hint="eastAsia" w:eastAsia="仿宋_GB2312"/>
          <w:kern w:val="0"/>
          <w:sz w:val="28"/>
          <w:szCs w:val="28"/>
        </w:rPr>
        <w:t>⑴</w:t>
      </w:r>
      <w:r>
        <w:rPr>
          <w:rFonts w:eastAsia="仿宋_GB2312"/>
          <w:kern w:val="0"/>
          <w:sz w:val="28"/>
          <w:szCs w:val="28"/>
        </w:rPr>
        <w:fldChar w:fldCharType="end"/>
      </w:r>
      <w:r>
        <w:rPr>
          <w:rFonts w:hint="eastAsia" w:eastAsia="仿宋_GB2312"/>
          <w:kern w:val="0"/>
          <w:sz w:val="28"/>
          <w:szCs w:val="28"/>
        </w:rPr>
        <w:t>金坛</w:t>
      </w:r>
      <w:r>
        <w:rPr>
          <w:rFonts w:eastAsia="仿宋_GB2312"/>
          <w:kern w:val="0"/>
          <w:sz w:val="28"/>
          <w:szCs w:val="28"/>
        </w:rPr>
        <w:t>第二污水处理厂概况</w:t>
      </w:r>
    </w:p>
    <w:p>
      <w:pPr>
        <w:spacing w:line="500" w:lineRule="exact"/>
        <w:ind w:firstLine="561"/>
        <w:rPr>
          <w:rFonts w:eastAsia="仿宋_GB2312"/>
          <w:sz w:val="28"/>
          <w:szCs w:val="28"/>
        </w:rPr>
      </w:pPr>
      <w:r>
        <w:rPr>
          <w:rFonts w:eastAsia="仿宋_GB2312"/>
          <w:sz w:val="28"/>
          <w:szCs w:val="28"/>
        </w:rPr>
        <w:t>目前，常州金坛区第二污水处理有限公司总处理规模达6万m</w:t>
      </w:r>
      <w:r>
        <w:rPr>
          <w:rFonts w:eastAsia="仿宋_GB2312"/>
          <w:sz w:val="28"/>
          <w:szCs w:val="28"/>
          <w:vertAlign w:val="superscript"/>
        </w:rPr>
        <w:t>3</w:t>
      </w:r>
      <w:r>
        <w:rPr>
          <w:rFonts w:eastAsia="仿宋_GB2312"/>
          <w:sz w:val="28"/>
          <w:szCs w:val="28"/>
        </w:rPr>
        <w:t>/d，平均接管量约为5.4万m</w:t>
      </w:r>
      <w:r>
        <w:rPr>
          <w:rFonts w:eastAsia="仿宋_GB2312"/>
          <w:sz w:val="28"/>
          <w:szCs w:val="28"/>
          <w:vertAlign w:val="superscript"/>
        </w:rPr>
        <w:t>3</w:t>
      </w:r>
      <w:r>
        <w:rPr>
          <w:rFonts w:eastAsia="仿宋_GB2312"/>
          <w:sz w:val="28"/>
          <w:szCs w:val="28"/>
        </w:rPr>
        <w:t>/d，尾水达到《城镇污水处理厂污染物排放标准》(DB32/4440-2022)表1</w:t>
      </w:r>
      <w:r>
        <w:rPr>
          <w:rFonts w:hint="eastAsia" w:eastAsia="仿宋_GB2312"/>
          <w:sz w:val="28"/>
          <w:szCs w:val="28"/>
        </w:rPr>
        <w:t>和表2中B</w:t>
      </w:r>
      <w:r>
        <w:rPr>
          <w:rFonts w:eastAsia="仿宋_GB2312"/>
          <w:sz w:val="28"/>
          <w:szCs w:val="28"/>
        </w:rPr>
        <w:t>标准后排入尧塘河。出水水质达到再生水标准，考虑污水再生利用，确定回用水量占污水厂总处理水量的30%以上。回用的中水作为金坛经济开发区工业企业冲洗系统补充水、间接冷却水，开发区内企业及市政道路的绿化灌溉用水、道路浇洒用水等。随着工业园内的企业的引入和发展，若园内企业的用水需求增多，可增加再生水的利用量。</w:t>
      </w:r>
    </w:p>
    <w:p>
      <w:pPr>
        <w:spacing w:line="480" w:lineRule="exact"/>
        <w:ind w:firstLine="560" w:firstLineChars="200"/>
        <w:rPr>
          <w:rFonts w:eastAsia="仿宋_GB2312" w:cs="宋体"/>
          <w:sz w:val="28"/>
          <w:szCs w:val="28"/>
        </w:rPr>
      </w:pPr>
      <w:r>
        <w:rPr>
          <w:rFonts w:hint="eastAsia" w:eastAsia="仿宋_GB2312" w:cs="宋体"/>
          <w:sz w:val="28"/>
          <w:szCs w:val="28"/>
        </w:rPr>
        <w:t>⑵</w:t>
      </w:r>
      <w:r>
        <w:rPr>
          <w:rFonts w:hint="eastAsia" w:eastAsia="仿宋_GB2312"/>
          <w:bCs/>
          <w:kern w:val="0"/>
          <w:sz w:val="28"/>
          <w:szCs w:val="28"/>
        </w:rPr>
        <w:t>金坛</w:t>
      </w:r>
      <w:r>
        <w:rPr>
          <w:rFonts w:eastAsia="仿宋_GB2312"/>
          <w:bCs/>
          <w:kern w:val="0"/>
          <w:sz w:val="28"/>
          <w:szCs w:val="28"/>
        </w:rPr>
        <w:t>第二污水处理厂</w:t>
      </w:r>
      <w:r>
        <w:rPr>
          <w:rFonts w:hint="eastAsia" w:eastAsia="仿宋_GB2312" w:cs="宋体"/>
          <w:sz w:val="28"/>
          <w:szCs w:val="28"/>
        </w:rPr>
        <w:t>服务范围</w:t>
      </w:r>
    </w:p>
    <w:p>
      <w:pPr>
        <w:pStyle w:val="123"/>
        <w:ind w:firstLine="560"/>
        <w:jc w:val="both"/>
        <w:rPr>
          <w:rFonts w:ascii="Times New Roman"/>
          <w:b w:val="0"/>
          <w:sz w:val="28"/>
          <w:szCs w:val="28"/>
        </w:rPr>
      </w:pPr>
      <w:r>
        <w:rPr>
          <w:rFonts w:ascii="Times New Roman"/>
          <w:b w:val="0"/>
          <w:sz w:val="28"/>
          <w:szCs w:val="28"/>
        </w:rPr>
        <w:t>常州金坛区第二污水处理有限公司主要收集服务区域内的工业废水和、尧塘镇工业园区企业、开发区河头部分企业工业废水及尧塘、汤庄、水北集镇镇区居民生活污水。本项目所在地属于该污水处理厂的服务范围内。</w:t>
      </w:r>
    </w:p>
    <w:p>
      <w:pPr>
        <w:spacing w:line="480" w:lineRule="exact"/>
        <w:ind w:firstLine="560" w:firstLineChars="200"/>
        <w:rPr>
          <w:rFonts w:eastAsia="仿宋_GB2312"/>
          <w:kern w:val="0"/>
          <w:sz w:val="28"/>
          <w:szCs w:val="28"/>
        </w:rPr>
      </w:pPr>
      <w:r>
        <w:rPr>
          <w:rFonts w:eastAsia="仿宋_GB2312"/>
          <w:kern w:val="0"/>
          <w:sz w:val="28"/>
          <w:szCs w:val="28"/>
        </w:rPr>
        <w:fldChar w:fldCharType="begin"/>
      </w:r>
      <w:r>
        <w:rPr>
          <w:rFonts w:eastAsia="仿宋_GB2312"/>
          <w:kern w:val="0"/>
          <w:sz w:val="28"/>
          <w:szCs w:val="28"/>
        </w:rPr>
        <w:instrText xml:space="preserve"> </w:instrText>
      </w:r>
      <w:r>
        <w:rPr>
          <w:rFonts w:hint="eastAsia" w:eastAsia="仿宋_GB2312"/>
          <w:kern w:val="0"/>
          <w:sz w:val="28"/>
          <w:szCs w:val="28"/>
        </w:rPr>
        <w:instrText xml:space="preserve">= 3 \* GB2</w:instrText>
      </w:r>
      <w:r>
        <w:rPr>
          <w:rFonts w:eastAsia="仿宋_GB2312"/>
          <w:kern w:val="0"/>
          <w:sz w:val="28"/>
          <w:szCs w:val="28"/>
        </w:rPr>
        <w:instrText xml:space="preserve"> </w:instrText>
      </w:r>
      <w:r>
        <w:rPr>
          <w:rFonts w:eastAsia="仿宋_GB2312"/>
          <w:kern w:val="0"/>
          <w:sz w:val="28"/>
          <w:szCs w:val="28"/>
        </w:rPr>
        <w:fldChar w:fldCharType="separate"/>
      </w:r>
      <w:r>
        <w:rPr>
          <w:rFonts w:hint="eastAsia" w:eastAsia="仿宋_GB2312"/>
          <w:kern w:val="0"/>
          <w:sz w:val="28"/>
          <w:szCs w:val="28"/>
        </w:rPr>
        <w:t>⑶</w:t>
      </w:r>
      <w:r>
        <w:rPr>
          <w:rFonts w:eastAsia="仿宋_GB2312"/>
          <w:kern w:val="0"/>
          <w:sz w:val="28"/>
          <w:szCs w:val="28"/>
        </w:rPr>
        <w:fldChar w:fldCharType="end"/>
      </w:r>
      <w:r>
        <w:rPr>
          <w:rFonts w:hint="eastAsia" w:eastAsia="仿宋_GB2312"/>
          <w:kern w:val="0"/>
          <w:sz w:val="28"/>
          <w:szCs w:val="28"/>
        </w:rPr>
        <w:t>接管</w:t>
      </w:r>
      <w:r>
        <w:rPr>
          <w:rFonts w:eastAsia="仿宋_GB2312"/>
          <w:kern w:val="0"/>
          <w:sz w:val="28"/>
          <w:szCs w:val="28"/>
        </w:rPr>
        <w:t>水量、水质可行性</w:t>
      </w:r>
    </w:p>
    <w:p>
      <w:pPr>
        <w:spacing w:line="500" w:lineRule="exact"/>
        <w:ind w:firstLine="560" w:firstLineChars="200"/>
        <w:jc w:val="left"/>
        <w:rPr>
          <w:rFonts w:eastAsia="仿宋_GB2312"/>
          <w:sz w:val="28"/>
          <w:szCs w:val="21"/>
        </w:rPr>
      </w:pPr>
      <w:bookmarkStart w:id="378" w:name="_Toc200707889"/>
      <w:bookmarkStart w:id="379" w:name="_Toc227951059"/>
      <w:bookmarkStart w:id="380" w:name="_Toc238363450"/>
      <w:bookmarkStart w:id="381" w:name="_Toc236536273"/>
      <w:bookmarkStart w:id="382" w:name="_Toc240859378"/>
      <w:bookmarkStart w:id="383" w:name="_Toc170530377"/>
      <w:r>
        <w:rPr>
          <w:rFonts w:eastAsia="仿宋_GB2312"/>
          <w:sz w:val="28"/>
          <w:szCs w:val="21"/>
        </w:rPr>
        <w:t>水量方面</w:t>
      </w:r>
      <w:r>
        <w:rPr>
          <w:rFonts w:hint="eastAsia" w:eastAsia="仿宋_GB2312"/>
          <w:sz w:val="28"/>
          <w:szCs w:val="21"/>
        </w:rPr>
        <w:t>：</w:t>
      </w:r>
    </w:p>
    <w:p>
      <w:pPr>
        <w:spacing w:line="500" w:lineRule="exact"/>
        <w:ind w:firstLine="560" w:firstLineChars="200"/>
        <w:rPr>
          <w:rFonts w:eastAsia="仿宋_GB2312"/>
          <w:sz w:val="28"/>
          <w:szCs w:val="21"/>
        </w:rPr>
      </w:pPr>
      <w:r>
        <w:rPr>
          <w:rFonts w:eastAsia="仿宋_GB2312"/>
          <w:sz w:val="28"/>
          <w:szCs w:val="21"/>
        </w:rPr>
        <w:t>常州金坛区第二污水处理有限公司6万m</w:t>
      </w:r>
      <w:r>
        <w:rPr>
          <w:rFonts w:eastAsia="仿宋_GB2312"/>
          <w:sz w:val="28"/>
          <w:szCs w:val="21"/>
          <w:vertAlign w:val="superscript"/>
        </w:rPr>
        <w:t>3</w:t>
      </w:r>
      <w:r>
        <w:rPr>
          <w:rFonts w:eastAsia="仿宋_GB2312"/>
          <w:sz w:val="28"/>
          <w:szCs w:val="21"/>
        </w:rPr>
        <w:t>/d处理工程已建成。根据该厂流量在线监控，18年平均日接管处理量约为3.8万m</w:t>
      </w:r>
      <w:r>
        <w:rPr>
          <w:rFonts w:eastAsia="仿宋_GB2312"/>
          <w:sz w:val="28"/>
          <w:szCs w:val="21"/>
          <w:vertAlign w:val="superscript"/>
        </w:rPr>
        <w:t>3</w:t>
      </w:r>
      <w:r>
        <w:rPr>
          <w:rFonts w:eastAsia="仿宋_GB2312"/>
          <w:sz w:val="28"/>
          <w:szCs w:val="21"/>
        </w:rPr>
        <w:t>/d，尚余约1.2万m</w:t>
      </w:r>
      <w:r>
        <w:rPr>
          <w:rFonts w:eastAsia="仿宋_GB2312"/>
          <w:sz w:val="28"/>
          <w:szCs w:val="21"/>
          <w:vertAlign w:val="superscript"/>
        </w:rPr>
        <w:t>3</w:t>
      </w:r>
      <w:r>
        <w:rPr>
          <w:rFonts w:eastAsia="仿宋_GB2312"/>
          <w:sz w:val="28"/>
          <w:szCs w:val="21"/>
        </w:rPr>
        <w:t>/d的实际接管余量。本项目实施后，全厂拟接管水量为1080m</w:t>
      </w:r>
      <w:r>
        <w:rPr>
          <w:rFonts w:eastAsia="仿宋_GB2312"/>
          <w:sz w:val="28"/>
          <w:szCs w:val="21"/>
          <w:vertAlign w:val="superscript"/>
        </w:rPr>
        <w:t>3</w:t>
      </w:r>
      <w:r>
        <w:rPr>
          <w:rFonts w:eastAsia="仿宋_GB2312"/>
          <w:sz w:val="28"/>
          <w:szCs w:val="21"/>
        </w:rPr>
        <w:t>/a，即3.6m</w:t>
      </w:r>
      <w:r>
        <w:rPr>
          <w:rFonts w:eastAsia="仿宋_GB2312"/>
          <w:sz w:val="28"/>
          <w:szCs w:val="21"/>
          <w:vertAlign w:val="superscript"/>
        </w:rPr>
        <w:t>3</w:t>
      </w:r>
      <w:r>
        <w:rPr>
          <w:rFonts w:eastAsia="仿宋_GB2312"/>
          <w:sz w:val="28"/>
          <w:szCs w:val="21"/>
        </w:rPr>
        <w:t>/d，因此，常州金坛区第二污水处理有限公司有容量接纳本公司的接管污水。</w:t>
      </w:r>
    </w:p>
    <w:p>
      <w:pPr>
        <w:spacing w:line="500" w:lineRule="exact"/>
        <w:ind w:firstLine="560" w:firstLineChars="200"/>
        <w:jc w:val="left"/>
        <w:rPr>
          <w:rFonts w:eastAsia="仿宋_GB2312"/>
          <w:sz w:val="28"/>
          <w:szCs w:val="21"/>
        </w:rPr>
      </w:pPr>
      <w:r>
        <w:rPr>
          <w:rFonts w:eastAsia="仿宋_GB2312"/>
          <w:sz w:val="28"/>
          <w:szCs w:val="21"/>
        </w:rPr>
        <w:t>（2）水质方面</w:t>
      </w:r>
    </w:p>
    <w:p>
      <w:pPr>
        <w:spacing w:line="500" w:lineRule="exact"/>
        <w:ind w:firstLine="560" w:firstLineChars="200"/>
        <w:rPr>
          <w:rFonts w:eastAsia="仿宋_GB2312"/>
          <w:sz w:val="28"/>
          <w:szCs w:val="21"/>
        </w:rPr>
      </w:pPr>
      <w:r>
        <w:rPr>
          <w:rFonts w:eastAsia="仿宋_GB2312"/>
          <w:sz w:val="28"/>
          <w:szCs w:val="21"/>
        </w:rPr>
        <w:t>本项目投产后，能够达到常州金坛区第二污水处理有限公司接管要求，本项目建成后全厂接管废水水质情况见下表。</w:t>
      </w:r>
    </w:p>
    <w:p>
      <w:pPr>
        <w:ind w:firstLine="482"/>
        <w:jc w:val="center"/>
        <w:rPr>
          <w:rFonts w:eastAsia="仿宋_GB2312"/>
          <w:b/>
          <w:kern w:val="0"/>
          <w:sz w:val="24"/>
          <w:lang w:val="zh-CN"/>
        </w:rPr>
      </w:pPr>
    </w:p>
    <w:p>
      <w:pPr>
        <w:ind w:firstLine="482"/>
        <w:jc w:val="center"/>
        <w:rPr>
          <w:rFonts w:eastAsia="仿宋_GB2312"/>
          <w:b/>
          <w:kern w:val="0"/>
          <w:sz w:val="24"/>
          <w:lang w:val="zh-CN"/>
        </w:rPr>
      </w:pPr>
    </w:p>
    <w:p>
      <w:pPr>
        <w:ind w:firstLine="482"/>
        <w:jc w:val="center"/>
        <w:rPr>
          <w:rFonts w:eastAsia="仿宋_GB2312"/>
          <w:b/>
          <w:kern w:val="0"/>
          <w:sz w:val="24"/>
          <w:lang w:val="zh-CN"/>
        </w:rPr>
      </w:pPr>
      <w:r>
        <w:rPr>
          <w:rFonts w:eastAsia="仿宋_GB2312"/>
          <w:b/>
          <w:kern w:val="0"/>
          <w:sz w:val="24"/>
          <w:lang w:val="zh-CN"/>
        </w:rPr>
        <w:t>表6.2-1  本项目接管废水水质情况表</w:t>
      </w:r>
    </w:p>
    <w:tbl>
      <w:tblPr>
        <w:tblStyle w:val="87"/>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39"/>
        <w:gridCol w:w="3211"/>
        <w:gridCol w:w="31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55" w:type="pct"/>
            <w:vAlign w:val="center"/>
          </w:tcPr>
          <w:p>
            <w:pPr>
              <w:adjustRightInd w:val="0"/>
              <w:snapToGrid w:val="0"/>
              <w:jc w:val="center"/>
              <w:rPr>
                <w:rFonts w:ascii="仿宋" w:hAnsi="仿宋" w:eastAsia="仿宋"/>
              </w:rPr>
            </w:pPr>
            <w:r>
              <w:rPr>
                <w:rFonts w:ascii="仿宋" w:hAnsi="仿宋" w:eastAsia="仿宋"/>
              </w:rPr>
              <w:t>污染物</w:t>
            </w:r>
          </w:p>
        </w:tc>
        <w:tc>
          <w:tcPr>
            <w:tcW w:w="1884" w:type="pct"/>
            <w:vAlign w:val="center"/>
          </w:tcPr>
          <w:p>
            <w:pPr>
              <w:adjustRightInd w:val="0"/>
              <w:snapToGrid w:val="0"/>
              <w:jc w:val="center"/>
              <w:rPr>
                <w:rFonts w:ascii="仿宋" w:hAnsi="仿宋" w:eastAsia="仿宋"/>
              </w:rPr>
            </w:pPr>
            <w:r>
              <w:rPr>
                <w:rFonts w:ascii="仿宋" w:hAnsi="仿宋" w:eastAsia="仿宋"/>
              </w:rPr>
              <w:t>最终接管废水浓度（mg/L）</w:t>
            </w:r>
          </w:p>
        </w:tc>
        <w:tc>
          <w:tcPr>
            <w:tcW w:w="1861" w:type="pct"/>
            <w:vAlign w:val="center"/>
          </w:tcPr>
          <w:p>
            <w:pPr>
              <w:adjustRightInd w:val="0"/>
              <w:snapToGrid w:val="0"/>
              <w:jc w:val="center"/>
              <w:rPr>
                <w:rFonts w:ascii="仿宋" w:hAnsi="仿宋" w:eastAsia="仿宋"/>
              </w:rPr>
            </w:pPr>
            <w:r>
              <w:rPr>
                <w:rFonts w:ascii="仿宋" w:hAnsi="仿宋" w:eastAsia="仿宋"/>
              </w:rPr>
              <w:t>常州金坛区第二污水处理有限公司接管标准（mg/L）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55" w:type="pct"/>
            <w:vAlign w:val="center"/>
          </w:tcPr>
          <w:p>
            <w:pPr>
              <w:widowControl/>
              <w:adjustRightInd w:val="0"/>
              <w:snapToGrid w:val="0"/>
              <w:jc w:val="center"/>
              <w:rPr>
                <w:rFonts w:eastAsia="仿宋_GB2312"/>
                <w:kern w:val="0"/>
              </w:rPr>
            </w:pPr>
            <w:r>
              <w:rPr>
                <w:rFonts w:eastAsia="仿宋_GB2312"/>
              </w:rPr>
              <w:t>COD</w:t>
            </w:r>
          </w:p>
        </w:tc>
        <w:tc>
          <w:tcPr>
            <w:tcW w:w="1884" w:type="pct"/>
            <w:vAlign w:val="center"/>
          </w:tcPr>
          <w:p>
            <w:pPr>
              <w:widowControl/>
              <w:adjustRightInd w:val="0"/>
              <w:snapToGrid w:val="0"/>
              <w:jc w:val="center"/>
              <w:rPr>
                <w:rFonts w:eastAsia="仿宋_GB2312"/>
                <w:kern w:val="0"/>
                <w:sz w:val="22"/>
                <w:szCs w:val="22"/>
              </w:rPr>
            </w:pPr>
            <w:r>
              <w:rPr>
                <w:rFonts w:eastAsia="仿宋_GB2312"/>
              </w:rPr>
              <w:t>400</w:t>
            </w:r>
          </w:p>
        </w:tc>
        <w:tc>
          <w:tcPr>
            <w:tcW w:w="1861" w:type="pct"/>
            <w:vAlign w:val="center"/>
          </w:tcPr>
          <w:p>
            <w:pPr>
              <w:adjustRightInd w:val="0"/>
              <w:snapToGrid w:val="0"/>
              <w:jc w:val="center"/>
              <w:rPr>
                <w:rFonts w:eastAsia="仿宋_GB2312"/>
                <w:kern w:val="0"/>
              </w:rPr>
            </w:pPr>
            <w:r>
              <w:rPr>
                <w:rFonts w:eastAsia="仿宋_GB2312"/>
                <w:kern w:val="0"/>
              </w:rPr>
              <w:t>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55" w:type="pct"/>
            <w:vAlign w:val="center"/>
          </w:tcPr>
          <w:p>
            <w:pPr>
              <w:adjustRightInd w:val="0"/>
              <w:snapToGrid w:val="0"/>
              <w:jc w:val="center"/>
              <w:rPr>
                <w:rFonts w:eastAsia="仿宋_GB2312"/>
              </w:rPr>
            </w:pPr>
            <w:r>
              <w:rPr>
                <w:rFonts w:eastAsia="仿宋_GB2312"/>
              </w:rPr>
              <w:t>SS</w:t>
            </w:r>
          </w:p>
        </w:tc>
        <w:tc>
          <w:tcPr>
            <w:tcW w:w="1884" w:type="pct"/>
            <w:vAlign w:val="center"/>
          </w:tcPr>
          <w:p>
            <w:pPr>
              <w:adjustRightInd w:val="0"/>
              <w:snapToGrid w:val="0"/>
              <w:jc w:val="center"/>
              <w:rPr>
                <w:rFonts w:eastAsia="仿宋_GB2312"/>
                <w:sz w:val="22"/>
                <w:szCs w:val="22"/>
              </w:rPr>
            </w:pPr>
            <w:r>
              <w:rPr>
                <w:rFonts w:eastAsia="仿宋_GB2312"/>
              </w:rPr>
              <w:t>250</w:t>
            </w:r>
          </w:p>
        </w:tc>
        <w:tc>
          <w:tcPr>
            <w:tcW w:w="1861" w:type="pct"/>
            <w:vAlign w:val="center"/>
          </w:tcPr>
          <w:p>
            <w:pPr>
              <w:adjustRightInd w:val="0"/>
              <w:snapToGrid w:val="0"/>
              <w:jc w:val="center"/>
              <w:rPr>
                <w:rFonts w:eastAsia="仿宋_GB2312"/>
                <w:kern w:val="0"/>
              </w:rPr>
            </w:pPr>
            <w:r>
              <w:rPr>
                <w:rFonts w:eastAsia="仿宋_GB2312"/>
                <w:kern w:val="0"/>
                <w:sz w:val="22"/>
                <w:szCs w:val="28"/>
              </w:rPr>
              <w:t>250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55" w:type="pct"/>
            <w:vAlign w:val="center"/>
          </w:tcPr>
          <w:p>
            <w:pPr>
              <w:adjustRightInd w:val="0"/>
              <w:snapToGrid w:val="0"/>
              <w:jc w:val="center"/>
              <w:rPr>
                <w:rFonts w:eastAsia="仿宋_GB2312"/>
              </w:rPr>
            </w:pPr>
            <w:r>
              <w:rPr>
                <w:rFonts w:eastAsia="仿宋_GB2312"/>
              </w:rPr>
              <w:t>NH</w:t>
            </w:r>
            <w:r>
              <w:rPr>
                <w:rFonts w:eastAsia="仿宋_GB2312"/>
                <w:vertAlign w:val="subscript"/>
              </w:rPr>
              <w:t>3</w:t>
            </w:r>
            <w:r>
              <w:rPr>
                <w:rFonts w:eastAsia="仿宋_GB2312"/>
              </w:rPr>
              <w:t>-N</w:t>
            </w:r>
          </w:p>
        </w:tc>
        <w:tc>
          <w:tcPr>
            <w:tcW w:w="1884" w:type="pct"/>
            <w:vAlign w:val="center"/>
          </w:tcPr>
          <w:p>
            <w:pPr>
              <w:adjustRightInd w:val="0"/>
              <w:snapToGrid w:val="0"/>
              <w:jc w:val="center"/>
              <w:rPr>
                <w:rFonts w:eastAsia="仿宋_GB2312"/>
                <w:kern w:val="0"/>
                <w:szCs w:val="21"/>
              </w:rPr>
            </w:pPr>
            <w:r>
              <w:rPr>
                <w:rFonts w:eastAsia="仿宋_GB2312"/>
              </w:rPr>
              <w:t>25</w:t>
            </w:r>
          </w:p>
        </w:tc>
        <w:tc>
          <w:tcPr>
            <w:tcW w:w="1861" w:type="pct"/>
            <w:vAlign w:val="center"/>
          </w:tcPr>
          <w:p>
            <w:pPr>
              <w:adjustRightInd w:val="0"/>
              <w:snapToGrid w:val="0"/>
              <w:jc w:val="center"/>
              <w:rPr>
                <w:rFonts w:eastAsia="仿宋_GB2312"/>
                <w:kern w:val="0"/>
              </w:rPr>
            </w:pPr>
            <w:r>
              <w:rPr>
                <w:rFonts w:eastAsia="仿宋_GB2312"/>
                <w:kern w:val="0"/>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55" w:type="pct"/>
            <w:vAlign w:val="center"/>
          </w:tcPr>
          <w:p>
            <w:pPr>
              <w:adjustRightInd w:val="0"/>
              <w:snapToGrid w:val="0"/>
              <w:jc w:val="center"/>
              <w:rPr>
                <w:rFonts w:eastAsia="仿宋_GB2312"/>
              </w:rPr>
            </w:pPr>
            <w:r>
              <w:rPr>
                <w:rFonts w:eastAsia="仿宋_GB2312"/>
              </w:rPr>
              <w:t>TN</w:t>
            </w:r>
          </w:p>
        </w:tc>
        <w:tc>
          <w:tcPr>
            <w:tcW w:w="1884" w:type="pct"/>
            <w:vAlign w:val="center"/>
          </w:tcPr>
          <w:p>
            <w:pPr>
              <w:adjustRightInd w:val="0"/>
              <w:snapToGrid w:val="0"/>
              <w:jc w:val="center"/>
              <w:rPr>
                <w:rFonts w:eastAsia="仿宋_GB2312"/>
                <w:kern w:val="0"/>
                <w:szCs w:val="21"/>
              </w:rPr>
            </w:pPr>
            <w:r>
              <w:rPr>
                <w:rFonts w:eastAsia="仿宋_GB2312"/>
              </w:rPr>
              <w:t>40</w:t>
            </w:r>
          </w:p>
        </w:tc>
        <w:tc>
          <w:tcPr>
            <w:tcW w:w="1861" w:type="pct"/>
            <w:vAlign w:val="center"/>
          </w:tcPr>
          <w:p>
            <w:pPr>
              <w:adjustRightInd w:val="0"/>
              <w:snapToGrid w:val="0"/>
              <w:jc w:val="center"/>
              <w:rPr>
                <w:rFonts w:eastAsia="仿宋_GB2312"/>
                <w:kern w:val="0"/>
              </w:rPr>
            </w:pPr>
            <w:r>
              <w:rPr>
                <w:rFonts w:eastAsia="仿宋_GB2312"/>
                <w:kern w:val="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55" w:type="pct"/>
            <w:vAlign w:val="center"/>
          </w:tcPr>
          <w:p>
            <w:pPr>
              <w:adjustRightInd w:val="0"/>
              <w:snapToGrid w:val="0"/>
              <w:jc w:val="center"/>
              <w:rPr>
                <w:rFonts w:eastAsia="仿宋_GB2312"/>
              </w:rPr>
            </w:pPr>
            <w:r>
              <w:rPr>
                <w:rFonts w:eastAsia="仿宋_GB2312"/>
              </w:rPr>
              <w:t>TP</w:t>
            </w:r>
          </w:p>
        </w:tc>
        <w:tc>
          <w:tcPr>
            <w:tcW w:w="1884" w:type="pct"/>
            <w:vAlign w:val="center"/>
          </w:tcPr>
          <w:p>
            <w:pPr>
              <w:adjustRightInd w:val="0"/>
              <w:snapToGrid w:val="0"/>
              <w:jc w:val="center"/>
              <w:rPr>
                <w:rFonts w:eastAsia="仿宋_GB2312"/>
                <w:kern w:val="0"/>
                <w:szCs w:val="21"/>
              </w:rPr>
            </w:pPr>
            <w:r>
              <w:rPr>
                <w:rFonts w:eastAsia="仿宋_GB2312"/>
              </w:rPr>
              <w:t>3</w:t>
            </w:r>
          </w:p>
        </w:tc>
        <w:tc>
          <w:tcPr>
            <w:tcW w:w="1861" w:type="pct"/>
            <w:vAlign w:val="center"/>
          </w:tcPr>
          <w:p>
            <w:pPr>
              <w:adjustRightInd w:val="0"/>
              <w:snapToGrid w:val="0"/>
              <w:jc w:val="center"/>
              <w:rPr>
                <w:rFonts w:eastAsia="仿宋_GB2312"/>
                <w:kern w:val="0"/>
              </w:rPr>
            </w:pPr>
            <w:r>
              <w:rPr>
                <w:rFonts w:eastAsia="仿宋_GB2312"/>
                <w:kern w:val="0"/>
              </w:rPr>
              <w:t>3</w:t>
            </w:r>
          </w:p>
        </w:tc>
      </w:tr>
    </w:tbl>
    <w:p>
      <w:pPr>
        <w:pStyle w:val="3"/>
        <w:spacing w:before="120" w:after="120"/>
      </w:pPr>
      <w:bookmarkStart w:id="384" w:name="_Toc140565277"/>
      <w:r>
        <w:t>固体废弃物污染防治措施评述</w:t>
      </w:r>
      <w:bookmarkEnd w:id="378"/>
      <w:bookmarkEnd w:id="379"/>
      <w:bookmarkEnd w:id="380"/>
      <w:bookmarkEnd w:id="381"/>
      <w:bookmarkEnd w:id="382"/>
      <w:bookmarkEnd w:id="383"/>
      <w:bookmarkEnd w:id="384"/>
    </w:p>
    <w:p>
      <w:pPr>
        <w:pStyle w:val="4"/>
        <w:keepLines w:val="0"/>
        <w:numPr>
          <w:ilvl w:val="2"/>
          <w:numId w:val="1"/>
        </w:numPr>
        <w:tabs>
          <w:tab w:val="left" w:pos="709"/>
        </w:tabs>
        <w:spacing w:before="0" w:after="120" w:afterLines="50" w:line="500" w:lineRule="exact"/>
        <w:ind w:left="0" w:firstLine="0"/>
        <w:rPr>
          <w:rFonts w:eastAsia="仿宋_GB2312"/>
          <w:bCs w:val="0"/>
          <w:sz w:val="28"/>
        </w:rPr>
      </w:pPr>
      <w:r>
        <w:rPr>
          <w:rFonts w:eastAsia="仿宋_GB2312"/>
          <w:bCs w:val="0"/>
          <w:sz w:val="28"/>
        </w:rPr>
        <w:t>固废</w:t>
      </w:r>
      <w:r>
        <w:rPr>
          <w:rFonts w:hint="eastAsia" w:eastAsia="仿宋_GB2312"/>
          <w:bCs w:val="0"/>
          <w:sz w:val="28"/>
        </w:rPr>
        <w:t>产生</w:t>
      </w:r>
      <w:r>
        <w:rPr>
          <w:rFonts w:eastAsia="仿宋_GB2312"/>
          <w:bCs w:val="0"/>
          <w:sz w:val="28"/>
        </w:rPr>
        <w:t>及处理处置方式</w:t>
      </w:r>
    </w:p>
    <w:p>
      <w:pPr>
        <w:spacing w:line="500" w:lineRule="exact"/>
        <w:ind w:firstLine="560" w:firstLineChars="200"/>
        <w:rPr>
          <w:rFonts w:eastAsia="仿宋_GB2312"/>
          <w:sz w:val="28"/>
          <w:szCs w:val="28"/>
        </w:rPr>
        <w:sectPr>
          <w:pgSz w:w="11906" w:h="16838"/>
          <w:pgMar w:top="1440" w:right="1800" w:bottom="1440" w:left="1800" w:header="851" w:footer="992" w:gutter="0"/>
          <w:cols w:space="425" w:num="1"/>
          <w:docGrid w:linePitch="312" w:charSpace="0"/>
        </w:sectPr>
      </w:pPr>
      <w:r>
        <w:rPr>
          <w:rFonts w:hint="eastAsia" w:eastAsia="仿宋_GB2312"/>
          <w:sz w:val="28"/>
          <w:szCs w:val="28"/>
        </w:rPr>
        <w:t>本项目固废产生及处置措施汇总情况见</w:t>
      </w:r>
      <w:r>
        <w:rPr>
          <w:rFonts w:eastAsia="仿宋_GB2312"/>
          <w:sz w:val="28"/>
          <w:szCs w:val="28"/>
        </w:rPr>
        <w:fldChar w:fldCharType="begin"/>
      </w:r>
      <w:r>
        <w:rPr>
          <w:rFonts w:eastAsia="仿宋_GB2312"/>
          <w:sz w:val="28"/>
          <w:szCs w:val="28"/>
        </w:rPr>
        <w:instrText xml:space="preserve"> </w:instrText>
      </w:r>
      <w:r>
        <w:rPr>
          <w:rFonts w:hint="eastAsia" w:eastAsia="仿宋_GB2312"/>
          <w:sz w:val="28"/>
          <w:szCs w:val="28"/>
        </w:rPr>
        <w:instrText xml:space="preserve">REF _Ref520473340 \h</w:instrText>
      </w:r>
      <w:r>
        <w:rPr>
          <w:rFonts w:eastAsia="仿宋_GB2312"/>
          <w:sz w:val="28"/>
          <w:szCs w:val="28"/>
        </w:rPr>
        <w:instrText xml:space="preserve">  \* MERGEFORMAT </w:instrText>
      </w:r>
      <w:r>
        <w:rPr>
          <w:rFonts w:eastAsia="仿宋_GB2312"/>
          <w:sz w:val="28"/>
          <w:szCs w:val="28"/>
        </w:rPr>
        <w:fldChar w:fldCharType="separate"/>
      </w:r>
      <w:r>
        <w:rPr>
          <w:rFonts w:hint="eastAsia" w:eastAsia="仿宋_GB2312"/>
          <w:sz w:val="28"/>
          <w:szCs w:val="22"/>
        </w:rPr>
        <w:t>表6.3</w:t>
      </w:r>
      <w:r>
        <w:rPr>
          <w:rFonts w:eastAsia="仿宋_GB2312"/>
          <w:sz w:val="28"/>
          <w:szCs w:val="22"/>
        </w:rPr>
        <w:noBreakHyphen/>
      </w:r>
      <w:r>
        <w:rPr>
          <w:rFonts w:eastAsia="仿宋_GB2312"/>
          <w:sz w:val="28"/>
          <w:szCs w:val="22"/>
        </w:rPr>
        <w:t>1</w:t>
      </w:r>
      <w:r>
        <w:rPr>
          <w:rFonts w:eastAsia="仿宋_GB2312"/>
          <w:sz w:val="28"/>
          <w:szCs w:val="28"/>
        </w:rPr>
        <w:fldChar w:fldCharType="end"/>
      </w:r>
      <w:r>
        <w:rPr>
          <w:rFonts w:hint="eastAsia" w:eastAsia="仿宋_GB2312"/>
          <w:sz w:val="28"/>
          <w:szCs w:val="28"/>
        </w:rPr>
        <w:t>。</w:t>
      </w:r>
    </w:p>
    <w:p>
      <w:pPr>
        <w:keepNext/>
        <w:spacing w:before="120" w:beforeLines="50"/>
        <w:jc w:val="center"/>
        <w:rPr>
          <w:rFonts w:eastAsia="仿宋_GB2312"/>
          <w:b/>
          <w:sz w:val="24"/>
        </w:rPr>
      </w:pPr>
      <w:bookmarkStart w:id="385" w:name="_Ref520473340"/>
      <w:r>
        <w:rPr>
          <w:rFonts w:hint="eastAsia" w:eastAsia="仿宋_GB2312"/>
          <w:b/>
          <w:sz w:val="24"/>
        </w:rPr>
        <w:t>表6.3</w:t>
      </w:r>
      <w:r>
        <w:rPr>
          <w:rFonts w:eastAsia="仿宋_GB2312"/>
          <w:b/>
          <w:sz w:val="24"/>
        </w:rPr>
        <w:noBreakHyphen/>
      </w:r>
      <w:r>
        <w:rPr>
          <w:rFonts w:eastAsia="仿宋_GB2312"/>
          <w:b/>
          <w:sz w:val="24"/>
        </w:rPr>
        <w:fldChar w:fldCharType="begin"/>
      </w:r>
      <w:r>
        <w:rPr>
          <w:rFonts w:eastAsia="仿宋_GB2312"/>
          <w:b/>
          <w:sz w:val="24"/>
        </w:rPr>
        <w:instrText xml:space="preserve"> </w:instrText>
      </w:r>
      <w:r>
        <w:rPr>
          <w:rFonts w:hint="eastAsia" w:eastAsia="仿宋_GB2312"/>
          <w:b/>
          <w:sz w:val="24"/>
        </w:rPr>
        <w:instrText xml:space="preserve">SEQ 表 \* ARABIC \s 3</w:instrText>
      </w:r>
      <w:r>
        <w:rPr>
          <w:rFonts w:eastAsia="仿宋_GB2312"/>
          <w:b/>
          <w:sz w:val="24"/>
        </w:rPr>
        <w:instrText xml:space="preserve"> </w:instrText>
      </w:r>
      <w:r>
        <w:rPr>
          <w:rFonts w:eastAsia="仿宋_GB2312"/>
          <w:b/>
          <w:sz w:val="24"/>
        </w:rPr>
        <w:fldChar w:fldCharType="separate"/>
      </w:r>
      <w:r>
        <w:rPr>
          <w:rFonts w:eastAsia="仿宋_GB2312"/>
          <w:b/>
          <w:sz w:val="24"/>
        </w:rPr>
        <w:t>1</w:t>
      </w:r>
      <w:r>
        <w:rPr>
          <w:rFonts w:eastAsia="仿宋_GB2312"/>
          <w:b/>
          <w:sz w:val="24"/>
        </w:rPr>
        <w:fldChar w:fldCharType="end"/>
      </w:r>
      <w:bookmarkEnd w:id="385"/>
      <w:r>
        <w:rPr>
          <w:rFonts w:hint="eastAsia" w:eastAsia="仿宋_GB2312"/>
          <w:b/>
          <w:sz w:val="24"/>
        </w:rPr>
        <w:t>本项目固废产生及处置措施汇总情况</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341"/>
        <w:gridCol w:w="917"/>
        <w:gridCol w:w="959"/>
        <w:gridCol w:w="709"/>
        <w:gridCol w:w="475"/>
        <w:gridCol w:w="1359"/>
        <w:gridCol w:w="740"/>
        <w:gridCol w:w="607"/>
        <w:gridCol w:w="913"/>
        <w:gridCol w:w="402"/>
        <w:gridCol w:w="969"/>
        <w:gridCol w:w="913"/>
        <w:gridCol w:w="1083"/>
        <w:gridCol w:w="1083"/>
        <w:gridCol w:w="1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222" w:type="pct"/>
            <w:vAlign w:val="center"/>
          </w:tcPr>
          <w:p>
            <w:pPr>
              <w:widowControl/>
              <w:jc w:val="center"/>
              <w:rPr>
                <w:rFonts w:ascii="仿宋" w:hAnsi="仿宋" w:eastAsia="仿宋"/>
                <w:kern w:val="0"/>
                <w:szCs w:val="21"/>
              </w:rPr>
            </w:pPr>
            <w:r>
              <w:rPr>
                <w:rFonts w:hint="eastAsia" w:ascii="仿宋" w:hAnsi="仿宋" w:eastAsia="仿宋"/>
                <w:kern w:val="0"/>
                <w:szCs w:val="21"/>
              </w:rPr>
              <w:t>序号</w:t>
            </w:r>
          </w:p>
        </w:tc>
        <w:tc>
          <w:tcPr>
            <w:tcW w:w="473" w:type="pct"/>
            <w:vAlign w:val="center"/>
          </w:tcPr>
          <w:p>
            <w:pPr>
              <w:widowControl/>
              <w:jc w:val="center"/>
              <w:rPr>
                <w:rFonts w:ascii="仿宋" w:hAnsi="仿宋" w:eastAsia="仿宋"/>
                <w:kern w:val="0"/>
                <w:szCs w:val="21"/>
              </w:rPr>
            </w:pPr>
            <w:r>
              <w:rPr>
                <w:rFonts w:ascii="仿宋" w:hAnsi="仿宋" w:eastAsia="仿宋"/>
                <w:kern w:val="0"/>
                <w:szCs w:val="21"/>
              </w:rPr>
              <w:t>编号</w:t>
            </w:r>
          </w:p>
        </w:tc>
        <w:tc>
          <w:tcPr>
            <w:tcW w:w="323" w:type="pct"/>
            <w:tcMar>
              <w:left w:w="0" w:type="dxa"/>
              <w:right w:w="0" w:type="dxa"/>
            </w:tcMar>
            <w:vAlign w:val="center"/>
          </w:tcPr>
          <w:p>
            <w:pPr>
              <w:widowControl/>
              <w:jc w:val="center"/>
              <w:rPr>
                <w:rFonts w:ascii="仿宋" w:hAnsi="仿宋" w:eastAsia="仿宋"/>
                <w:kern w:val="0"/>
                <w:szCs w:val="21"/>
              </w:rPr>
            </w:pPr>
            <w:r>
              <w:rPr>
                <w:rFonts w:ascii="仿宋" w:hAnsi="仿宋" w:eastAsia="仿宋"/>
                <w:kern w:val="0"/>
                <w:szCs w:val="21"/>
              </w:rPr>
              <w:t>固废名称</w:t>
            </w:r>
          </w:p>
        </w:tc>
        <w:tc>
          <w:tcPr>
            <w:tcW w:w="338" w:type="pct"/>
            <w:tcMar>
              <w:left w:w="0" w:type="dxa"/>
              <w:right w:w="0" w:type="dxa"/>
            </w:tcMar>
            <w:vAlign w:val="center"/>
          </w:tcPr>
          <w:p>
            <w:pPr>
              <w:widowControl/>
              <w:jc w:val="center"/>
              <w:rPr>
                <w:rFonts w:ascii="仿宋" w:hAnsi="仿宋" w:eastAsia="仿宋"/>
                <w:kern w:val="0"/>
                <w:szCs w:val="21"/>
              </w:rPr>
            </w:pPr>
            <w:r>
              <w:rPr>
                <w:rFonts w:ascii="仿宋" w:hAnsi="仿宋" w:eastAsia="仿宋"/>
                <w:kern w:val="0"/>
                <w:szCs w:val="21"/>
              </w:rPr>
              <w:t>属性</w:t>
            </w:r>
          </w:p>
        </w:tc>
        <w:tc>
          <w:tcPr>
            <w:tcW w:w="250" w:type="pct"/>
            <w:tcMar>
              <w:left w:w="0" w:type="dxa"/>
              <w:right w:w="0" w:type="dxa"/>
            </w:tcMar>
            <w:vAlign w:val="center"/>
          </w:tcPr>
          <w:p>
            <w:pPr>
              <w:widowControl/>
              <w:jc w:val="center"/>
              <w:rPr>
                <w:rFonts w:ascii="仿宋" w:hAnsi="仿宋" w:eastAsia="仿宋"/>
                <w:kern w:val="0"/>
                <w:szCs w:val="21"/>
              </w:rPr>
            </w:pPr>
            <w:r>
              <w:rPr>
                <w:rFonts w:ascii="仿宋" w:hAnsi="仿宋" w:eastAsia="仿宋"/>
                <w:kern w:val="0"/>
                <w:szCs w:val="21"/>
              </w:rPr>
              <w:t>产生工序</w:t>
            </w:r>
          </w:p>
        </w:tc>
        <w:tc>
          <w:tcPr>
            <w:tcW w:w="167" w:type="pct"/>
            <w:tcMar>
              <w:left w:w="0" w:type="dxa"/>
              <w:right w:w="0" w:type="dxa"/>
            </w:tcMar>
            <w:vAlign w:val="center"/>
          </w:tcPr>
          <w:p>
            <w:pPr>
              <w:widowControl/>
              <w:jc w:val="center"/>
              <w:rPr>
                <w:rFonts w:ascii="仿宋" w:hAnsi="仿宋" w:eastAsia="仿宋"/>
                <w:kern w:val="0"/>
                <w:szCs w:val="21"/>
              </w:rPr>
            </w:pPr>
            <w:r>
              <w:rPr>
                <w:rFonts w:ascii="仿宋" w:hAnsi="仿宋" w:eastAsia="仿宋"/>
                <w:kern w:val="0"/>
                <w:szCs w:val="21"/>
              </w:rPr>
              <w:t>形态</w:t>
            </w:r>
          </w:p>
        </w:tc>
        <w:tc>
          <w:tcPr>
            <w:tcW w:w="479" w:type="pct"/>
            <w:tcMar>
              <w:left w:w="0" w:type="dxa"/>
              <w:right w:w="0" w:type="dxa"/>
            </w:tcMar>
            <w:vAlign w:val="center"/>
          </w:tcPr>
          <w:p>
            <w:pPr>
              <w:widowControl/>
              <w:jc w:val="center"/>
              <w:rPr>
                <w:rFonts w:ascii="仿宋" w:hAnsi="仿宋" w:eastAsia="仿宋"/>
                <w:kern w:val="0"/>
                <w:szCs w:val="21"/>
              </w:rPr>
            </w:pPr>
            <w:r>
              <w:rPr>
                <w:rFonts w:ascii="仿宋" w:hAnsi="仿宋" w:eastAsia="仿宋"/>
                <w:kern w:val="0"/>
                <w:szCs w:val="21"/>
              </w:rPr>
              <w:t>主要成分</w:t>
            </w:r>
          </w:p>
        </w:tc>
        <w:tc>
          <w:tcPr>
            <w:tcW w:w="261" w:type="pct"/>
            <w:tcMar>
              <w:left w:w="0" w:type="dxa"/>
              <w:right w:w="0" w:type="dxa"/>
            </w:tcMar>
            <w:vAlign w:val="center"/>
          </w:tcPr>
          <w:p>
            <w:pPr>
              <w:widowControl/>
              <w:jc w:val="center"/>
              <w:rPr>
                <w:rFonts w:ascii="仿宋" w:hAnsi="仿宋" w:eastAsia="仿宋"/>
                <w:kern w:val="0"/>
                <w:szCs w:val="21"/>
              </w:rPr>
            </w:pPr>
            <w:r>
              <w:rPr>
                <w:rFonts w:ascii="仿宋" w:hAnsi="仿宋" w:eastAsia="仿宋"/>
                <w:kern w:val="0"/>
                <w:szCs w:val="21"/>
              </w:rPr>
              <w:t>危险特性鉴别方法</w:t>
            </w:r>
          </w:p>
        </w:tc>
        <w:tc>
          <w:tcPr>
            <w:tcW w:w="214" w:type="pct"/>
            <w:vAlign w:val="center"/>
          </w:tcPr>
          <w:p>
            <w:pPr>
              <w:widowControl/>
              <w:jc w:val="center"/>
              <w:rPr>
                <w:rFonts w:ascii="仿宋" w:hAnsi="仿宋" w:eastAsia="仿宋"/>
                <w:kern w:val="0"/>
                <w:szCs w:val="21"/>
              </w:rPr>
            </w:pPr>
            <w:r>
              <w:rPr>
                <w:rFonts w:ascii="仿宋" w:hAnsi="仿宋" w:eastAsia="仿宋"/>
                <w:kern w:val="0"/>
                <w:szCs w:val="21"/>
              </w:rPr>
              <w:t>危险特性</w:t>
            </w:r>
          </w:p>
        </w:tc>
        <w:tc>
          <w:tcPr>
            <w:tcW w:w="322" w:type="pct"/>
            <w:vAlign w:val="center"/>
          </w:tcPr>
          <w:p>
            <w:pPr>
              <w:widowControl/>
              <w:jc w:val="center"/>
              <w:rPr>
                <w:rFonts w:ascii="仿宋" w:hAnsi="仿宋" w:eastAsia="仿宋"/>
                <w:kern w:val="0"/>
                <w:szCs w:val="21"/>
              </w:rPr>
            </w:pPr>
            <w:r>
              <w:rPr>
                <w:rFonts w:ascii="仿宋" w:hAnsi="仿宋" w:eastAsia="仿宋"/>
                <w:kern w:val="0"/>
                <w:szCs w:val="21"/>
              </w:rPr>
              <w:t>废物</w:t>
            </w:r>
          </w:p>
          <w:p>
            <w:pPr>
              <w:widowControl/>
              <w:jc w:val="center"/>
              <w:rPr>
                <w:rFonts w:ascii="仿宋" w:hAnsi="仿宋" w:eastAsia="仿宋"/>
                <w:kern w:val="0"/>
                <w:szCs w:val="21"/>
              </w:rPr>
            </w:pPr>
            <w:r>
              <w:rPr>
                <w:rFonts w:ascii="仿宋" w:hAnsi="仿宋" w:eastAsia="仿宋"/>
                <w:kern w:val="0"/>
                <w:szCs w:val="21"/>
              </w:rPr>
              <w:t>类别</w:t>
            </w:r>
          </w:p>
        </w:tc>
        <w:tc>
          <w:tcPr>
            <w:tcW w:w="483" w:type="pct"/>
            <w:gridSpan w:val="2"/>
            <w:vAlign w:val="center"/>
          </w:tcPr>
          <w:p>
            <w:pPr>
              <w:widowControl/>
              <w:jc w:val="center"/>
              <w:rPr>
                <w:rFonts w:ascii="仿宋" w:hAnsi="仿宋" w:eastAsia="仿宋"/>
                <w:kern w:val="0"/>
                <w:szCs w:val="21"/>
              </w:rPr>
            </w:pPr>
            <w:r>
              <w:rPr>
                <w:rFonts w:ascii="仿宋" w:hAnsi="仿宋" w:eastAsia="仿宋"/>
                <w:kern w:val="0"/>
                <w:szCs w:val="21"/>
              </w:rPr>
              <w:t>废物</w:t>
            </w:r>
          </w:p>
          <w:p>
            <w:pPr>
              <w:widowControl/>
              <w:jc w:val="center"/>
              <w:rPr>
                <w:rFonts w:ascii="仿宋" w:hAnsi="仿宋" w:eastAsia="仿宋"/>
                <w:kern w:val="0"/>
                <w:szCs w:val="21"/>
              </w:rPr>
            </w:pPr>
            <w:r>
              <w:rPr>
                <w:rFonts w:ascii="仿宋" w:hAnsi="仿宋" w:eastAsia="仿宋"/>
                <w:kern w:val="0"/>
                <w:szCs w:val="21"/>
              </w:rPr>
              <w:t>代码</w:t>
            </w:r>
          </w:p>
        </w:tc>
        <w:tc>
          <w:tcPr>
            <w:tcW w:w="322" w:type="pct"/>
            <w:vAlign w:val="center"/>
          </w:tcPr>
          <w:p>
            <w:pPr>
              <w:widowControl/>
              <w:jc w:val="center"/>
              <w:rPr>
                <w:rFonts w:ascii="仿宋" w:hAnsi="仿宋" w:eastAsia="仿宋"/>
                <w:kern w:val="0"/>
                <w:szCs w:val="21"/>
              </w:rPr>
            </w:pPr>
            <w:r>
              <w:rPr>
                <w:rFonts w:ascii="仿宋" w:hAnsi="仿宋" w:eastAsia="仿宋"/>
                <w:kern w:val="0"/>
                <w:szCs w:val="21"/>
              </w:rPr>
              <w:t>估算产生量（t/a）</w:t>
            </w:r>
          </w:p>
        </w:tc>
        <w:tc>
          <w:tcPr>
            <w:tcW w:w="382" w:type="pct"/>
            <w:vAlign w:val="center"/>
          </w:tcPr>
          <w:p>
            <w:pPr>
              <w:widowControl/>
              <w:jc w:val="center"/>
              <w:rPr>
                <w:rFonts w:ascii="仿宋" w:hAnsi="仿宋" w:eastAsia="仿宋" w:cs="宋体"/>
                <w:bCs/>
                <w:kern w:val="0"/>
                <w:szCs w:val="21"/>
              </w:rPr>
            </w:pPr>
            <w:r>
              <w:rPr>
                <w:rFonts w:hint="eastAsia" w:ascii="仿宋" w:hAnsi="仿宋" w:eastAsia="仿宋" w:cs="宋体"/>
                <w:bCs/>
                <w:kern w:val="0"/>
                <w:szCs w:val="21"/>
              </w:rPr>
              <w:t>产废周期</w:t>
            </w:r>
          </w:p>
        </w:tc>
        <w:tc>
          <w:tcPr>
            <w:tcW w:w="382" w:type="pct"/>
            <w:vAlign w:val="center"/>
          </w:tcPr>
          <w:p>
            <w:pPr>
              <w:widowControl/>
              <w:jc w:val="center"/>
              <w:rPr>
                <w:rFonts w:ascii="仿宋" w:hAnsi="仿宋" w:eastAsia="仿宋" w:cs="宋体"/>
                <w:bCs/>
                <w:kern w:val="0"/>
                <w:szCs w:val="21"/>
              </w:rPr>
            </w:pPr>
            <w:r>
              <w:rPr>
                <w:rFonts w:hint="eastAsia" w:ascii="仿宋" w:hAnsi="仿宋" w:eastAsia="仿宋" w:cs="宋体"/>
                <w:bCs/>
                <w:kern w:val="0"/>
                <w:szCs w:val="21"/>
              </w:rPr>
              <w:t>污染物防治措施</w:t>
            </w:r>
          </w:p>
        </w:tc>
        <w:tc>
          <w:tcPr>
            <w:tcW w:w="379" w:type="pct"/>
            <w:vAlign w:val="center"/>
          </w:tcPr>
          <w:p>
            <w:pPr>
              <w:widowControl/>
              <w:jc w:val="center"/>
              <w:rPr>
                <w:rFonts w:ascii="仿宋" w:hAnsi="仿宋" w:eastAsia="仿宋" w:cs="宋体"/>
                <w:bCs/>
                <w:kern w:val="0"/>
                <w:szCs w:val="21"/>
              </w:rPr>
            </w:pPr>
            <w:r>
              <w:rPr>
                <w:rFonts w:hint="eastAsia" w:ascii="仿宋" w:hAnsi="仿宋" w:eastAsia="仿宋" w:cs="宋体"/>
                <w:bCs/>
                <w:kern w:val="0"/>
                <w:szCs w:val="21"/>
              </w:rPr>
              <w:t>排放量（</w:t>
            </w:r>
            <w:r>
              <w:rPr>
                <w:rFonts w:ascii="仿宋" w:hAnsi="仿宋" w:eastAsia="仿宋"/>
                <w:bCs/>
                <w:kern w:val="0"/>
                <w:szCs w:val="21"/>
              </w:rPr>
              <w:t>t/a</w:t>
            </w:r>
            <w:r>
              <w:rPr>
                <w:rFonts w:hint="eastAsia" w:ascii="仿宋" w:hAnsi="仿宋" w:eastAsia="仿宋" w:cs="宋体"/>
                <w:bCs/>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222" w:type="pct"/>
            <w:vAlign w:val="center"/>
          </w:tcPr>
          <w:p>
            <w:pPr>
              <w:widowControl/>
              <w:jc w:val="center"/>
              <w:rPr>
                <w:rFonts w:ascii="仿宋" w:hAnsi="仿宋" w:eastAsia="仿宋"/>
                <w:kern w:val="0"/>
                <w:sz w:val="22"/>
                <w:szCs w:val="22"/>
              </w:rPr>
            </w:pPr>
            <w:r>
              <w:rPr>
                <w:rFonts w:hint="eastAsia" w:ascii="仿宋" w:hAnsi="仿宋" w:eastAsia="仿宋"/>
                <w:sz w:val="22"/>
                <w:szCs w:val="22"/>
              </w:rPr>
              <w:t>1</w:t>
            </w:r>
          </w:p>
        </w:tc>
        <w:tc>
          <w:tcPr>
            <w:tcW w:w="473" w:type="pct"/>
            <w:vAlign w:val="center"/>
          </w:tcPr>
          <w:p>
            <w:pPr>
              <w:jc w:val="center"/>
              <w:rPr>
                <w:rFonts w:ascii="仿宋" w:hAnsi="仿宋" w:eastAsia="仿宋"/>
                <w:szCs w:val="21"/>
              </w:rPr>
            </w:pPr>
            <w:r>
              <w:rPr>
                <w:rFonts w:ascii="仿宋" w:hAnsi="仿宋" w:eastAsia="仿宋"/>
                <w:szCs w:val="21"/>
                <w:vertAlign w:val="subscript"/>
              </w:rPr>
              <w:t>/</w:t>
            </w:r>
          </w:p>
        </w:tc>
        <w:tc>
          <w:tcPr>
            <w:tcW w:w="323" w:type="pct"/>
            <w:tcMar>
              <w:left w:w="0" w:type="dxa"/>
              <w:right w:w="0" w:type="dxa"/>
            </w:tcMar>
            <w:vAlign w:val="center"/>
          </w:tcPr>
          <w:p>
            <w:pPr>
              <w:jc w:val="center"/>
              <w:rPr>
                <w:rFonts w:ascii="仿宋" w:hAnsi="仿宋" w:eastAsia="仿宋" w:cs="宋体"/>
                <w:szCs w:val="21"/>
              </w:rPr>
            </w:pPr>
            <w:r>
              <w:rPr>
                <w:rFonts w:hint="eastAsia" w:ascii="仿宋" w:hAnsi="仿宋" w:eastAsia="仿宋"/>
                <w:szCs w:val="21"/>
              </w:rPr>
              <w:t>生活垃圾</w:t>
            </w:r>
          </w:p>
        </w:tc>
        <w:tc>
          <w:tcPr>
            <w:tcW w:w="338" w:type="pct"/>
            <w:tcMar>
              <w:left w:w="0" w:type="dxa"/>
              <w:right w:w="0" w:type="dxa"/>
            </w:tcMar>
            <w:vAlign w:val="center"/>
          </w:tcPr>
          <w:p>
            <w:pPr>
              <w:jc w:val="center"/>
              <w:rPr>
                <w:rFonts w:ascii="仿宋" w:hAnsi="仿宋" w:eastAsia="仿宋"/>
                <w:szCs w:val="21"/>
              </w:rPr>
            </w:pPr>
            <w:r>
              <w:rPr>
                <w:rFonts w:ascii="仿宋" w:hAnsi="仿宋" w:eastAsia="仿宋"/>
                <w:szCs w:val="21"/>
              </w:rPr>
              <w:t>/</w:t>
            </w:r>
          </w:p>
        </w:tc>
        <w:tc>
          <w:tcPr>
            <w:tcW w:w="250" w:type="pct"/>
            <w:tcMar>
              <w:left w:w="0" w:type="dxa"/>
              <w:right w:w="0" w:type="dxa"/>
            </w:tcMar>
            <w:vAlign w:val="center"/>
          </w:tcPr>
          <w:p>
            <w:pPr>
              <w:jc w:val="center"/>
              <w:rPr>
                <w:rFonts w:ascii="仿宋" w:hAnsi="仿宋" w:eastAsia="仿宋" w:cs="宋体"/>
                <w:szCs w:val="21"/>
              </w:rPr>
            </w:pPr>
            <w:r>
              <w:rPr>
                <w:rFonts w:hint="eastAsia" w:ascii="仿宋" w:hAnsi="仿宋" w:eastAsia="仿宋"/>
                <w:szCs w:val="21"/>
              </w:rPr>
              <w:t>办公、生活</w:t>
            </w:r>
          </w:p>
        </w:tc>
        <w:tc>
          <w:tcPr>
            <w:tcW w:w="167" w:type="pct"/>
            <w:tcMar>
              <w:left w:w="0" w:type="dxa"/>
              <w:right w:w="0" w:type="dxa"/>
            </w:tcMar>
            <w:vAlign w:val="center"/>
          </w:tcPr>
          <w:p>
            <w:pPr>
              <w:jc w:val="center"/>
              <w:rPr>
                <w:rFonts w:ascii="仿宋" w:hAnsi="仿宋" w:eastAsia="仿宋"/>
                <w:szCs w:val="21"/>
              </w:rPr>
            </w:pPr>
            <w:r>
              <w:rPr>
                <w:rFonts w:hint="eastAsia" w:ascii="仿宋" w:hAnsi="仿宋" w:eastAsia="仿宋"/>
                <w:szCs w:val="21"/>
              </w:rPr>
              <w:t>固</w:t>
            </w:r>
          </w:p>
        </w:tc>
        <w:tc>
          <w:tcPr>
            <w:tcW w:w="479" w:type="pct"/>
            <w:tcMar>
              <w:left w:w="0" w:type="dxa"/>
              <w:right w:w="0" w:type="dxa"/>
            </w:tcMar>
            <w:vAlign w:val="center"/>
          </w:tcPr>
          <w:p>
            <w:pPr>
              <w:jc w:val="center"/>
              <w:rPr>
                <w:rFonts w:ascii="仿宋" w:hAnsi="仿宋" w:eastAsia="仿宋"/>
                <w:szCs w:val="21"/>
              </w:rPr>
            </w:pPr>
            <w:r>
              <w:rPr>
                <w:rFonts w:hint="eastAsia" w:ascii="仿宋" w:hAnsi="仿宋" w:eastAsia="仿宋"/>
                <w:szCs w:val="21"/>
              </w:rPr>
              <w:t>生活垃圾</w:t>
            </w:r>
          </w:p>
        </w:tc>
        <w:tc>
          <w:tcPr>
            <w:tcW w:w="261" w:type="pct"/>
            <w:vMerge w:val="restart"/>
            <w:tcMar>
              <w:left w:w="0" w:type="dxa"/>
              <w:right w:w="0" w:type="dxa"/>
            </w:tcMar>
            <w:vAlign w:val="center"/>
          </w:tcPr>
          <w:p>
            <w:pPr>
              <w:tabs>
                <w:tab w:val="left" w:pos="3240"/>
              </w:tabs>
              <w:adjustRightInd w:val="0"/>
              <w:snapToGrid w:val="0"/>
              <w:jc w:val="center"/>
              <w:rPr>
                <w:rFonts w:ascii="仿宋" w:hAnsi="仿宋" w:eastAsia="仿宋"/>
                <w:bCs/>
                <w:kern w:val="0"/>
                <w:szCs w:val="21"/>
              </w:rPr>
            </w:pPr>
            <w:r>
              <w:rPr>
                <w:rFonts w:ascii="仿宋" w:hAnsi="仿宋" w:eastAsia="仿宋"/>
                <w:bCs/>
                <w:kern w:val="0"/>
                <w:szCs w:val="21"/>
              </w:rPr>
              <w:t>《国家危险废物名录》（2021年）</w:t>
            </w:r>
          </w:p>
        </w:tc>
        <w:tc>
          <w:tcPr>
            <w:tcW w:w="1020" w:type="pct"/>
            <w:gridSpan w:val="4"/>
            <w:vAlign w:val="center"/>
          </w:tcPr>
          <w:p>
            <w:pPr>
              <w:jc w:val="center"/>
              <w:rPr>
                <w:rFonts w:ascii="仿宋" w:hAnsi="仿宋" w:eastAsia="仿宋"/>
                <w:szCs w:val="21"/>
              </w:rPr>
            </w:pPr>
            <w:r>
              <w:rPr>
                <w:rFonts w:ascii="仿宋" w:hAnsi="仿宋" w:eastAsia="仿宋"/>
                <w:szCs w:val="21"/>
              </w:rPr>
              <w:t>/</w:t>
            </w:r>
          </w:p>
        </w:tc>
        <w:tc>
          <w:tcPr>
            <w:tcW w:w="322" w:type="pct"/>
            <w:vAlign w:val="center"/>
          </w:tcPr>
          <w:p>
            <w:pPr>
              <w:jc w:val="center"/>
              <w:rPr>
                <w:rFonts w:ascii="仿宋" w:hAnsi="仿宋" w:eastAsia="仿宋"/>
                <w:szCs w:val="21"/>
              </w:rPr>
            </w:pPr>
            <w:r>
              <w:rPr>
                <w:rFonts w:hint="eastAsia" w:ascii="仿宋" w:hAnsi="仿宋" w:eastAsia="仿宋"/>
                <w:szCs w:val="21"/>
              </w:rPr>
              <w:t>6.75</w:t>
            </w:r>
          </w:p>
        </w:tc>
        <w:tc>
          <w:tcPr>
            <w:tcW w:w="382" w:type="pct"/>
            <w:vAlign w:val="center"/>
          </w:tcPr>
          <w:p>
            <w:pPr>
              <w:jc w:val="center"/>
              <w:rPr>
                <w:rFonts w:ascii="仿宋" w:hAnsi="仿宋" w:eastAsia="仿宋"/>
                <w:szCs w:val="21"/>
              </w:rPr>
            </w:pPr>
            <w:r>
              <w:rPr>
                <w:rFonts w:hint="eastAsia" w:ascii="仿宋" w:hAnsi="仿宋" w:eastAsia="仿宋"/>
                <w:szCs w:val="21"/>
              </w:rPr>
              <w:t>每天</w:t>
            </w:r>
          </w:p>
        </w:tc>
        <w:tc>
          <w:tcPr>
            <w:tcW w:w="382" w:type="pct"/>
            <w:vAlign w:val="center"/>
          </w:tcPr>
          <w:p>
            <w:pPr>
              <w:jc w:val="center"/>
              <w:rPr>
                <w:rFonts w:ascii="仿宋" w:hAnsi="仿宋" w:eastAsia="仿宋"/>
                <w:szCs w:val="21"/>
              </w:rPr>
            </w:pPr>
            <w:r>
              <w:rPr>
                <w:rFonts w:hint="eastAsia" w:ascii="仿宋" w:hAnsi="仿宋" w:eastAsia="仿宋"/>
                <w:szCs w:val="21"/>
              </w:rPr>
              <w:t>环卫</w:t>
            </w:r>
            <w:r>
              <w:rPr>
                <w:rFonts w:ascii="仿宋" w:hAnsi="仿宋" w:eastAsia="仿宋"/>
                <w:szCs w:val="21"/>
              </w:rPr>
              <w:t>部门统一收集处理</w:t>
            </w:r>
          </w:p>
        </w:tc>
        <w:tc>
          <w:tcPr>
            <w:tcW w:w="379" w:type="pct"/>
            <w:vAlign w:val="center"/>
          </w:tcPr>
          <w:p>
            <w:pPr>
              <w:jc w:val="center"/>
              <w:rPr>
                <w:rFonts w:ascii="仿宋" w:hAnsi="仿宋" w:eastAsia="仿宋"/>
                <w:szCs w:val="21"/>
              </w:rPr>
            </w:pPr>
            <w:r>
              <w:rPr>
                <w:rFonts w:hint="eastAsia" w:ascii="仿宋" w:hAnsi="仿宋" w:eastAsia="仿宋"/>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222" w:type="pct"/>
            <w:vAlign w:val="center"/>
          </w:tcPr>
          <w:p>
            <w:pPr>
              <w:jc w:val="center"/>
              <w:rPr>
                <w:rFonts w:ascii="仿宋" w:hAnsi="仿宋" w:eastAsia="仿宋"/>
                <w:sz w:val="22"/>
                <w:szCs w:val="22"/>
              </w:rPr>
            </w:pPr>
            <w:r>
              <w:rPr>
                <w:rFonts w:hint="eastAsia" w:ascii="仿宋" w:hAnsi="仿宋" w:eastAsia="仿宋"/>
                <w:sz w:val="22"/>
                <w:szCs w:val="22"/>
              </w:rPr>
              <w:t>2</w:t>
            </w:r>
          </w:p>
        </w:tc>
        <w:tc>
          <w:tcPr>
            <w:tcW w:w="473" w:type="pct"/>
            <w:vAlign w:val="center"/>
          </w:tcPr>
          <w:p>
            <w:pPr>
              <w:jc w:val="center"/>
              <w:rPr>
                <w:rFonts w:ascii="仿宋" w:hAnsi="仿宋" w:eastAsia="仿宋"/>
                <w:szCs w:val="21"/>
              </w:rPr>
            </w:pPr>
            <w:r>
              <w:rPr>
                <w:rFonts w:hint="eastAsia" w:ascii="仿宋" w:hAnsi="仿宋" w:eastAsia="仿宋"/>
                <w:kern w:val="0"/>
                <w:szCs w:val="21"/>
              </w:rPr>
              <w:t>S3</w:t>
            </w:r>
          </w:p>
        </w:tc>
        <w:tc>
          <w:tcPr>
            <w:tcW w:w="323" w:type="pct"/>
            <w:tcMar>
              <w:left w:w="0" w:type="dxa"/>
              <w:right w:w="0" w:type="dxa"/>
            </w:tcMar>
            <w:vAlign w:val="center"/>
          </w:tcPr>
          <w:p>
            <w:pPr>
              <w:jc w:val="center"/>
              <w:rPr>
                <w:rFonts w:ascii="仿宋" w:hAnsi="仿宋" w:eastAsia="仿宋" w:cs="宋体"/>
                <w:szCs w:val="21"/>
              </w:rPr>
            </w:pPr>
            <w:r>
              <w:rPr>
                <w:rFonts w:hint="eastAsia" w:ascii="仿宋" w:hAnsi="仿宋" w:eastAsia="仿宋"/>
                <w:szCs w:val="21"/>
              </w:rPr>
              <w:t>废胶带</w:t>
            </w:r>
          </w:p>
        </w:tc>
        <w:tc>
          <w:tcPr>
            <w:tcW w:w="338" w:type="pct"/>
            <w:tcMar>
              <w:left w:w="0" w:type="dxa"/>
              <w:right w:w="0" w:type="dxa"/>
            </w:tcMar>
            <w:vAlign w:val="center"/>
          </w:tcPr>
          <w:p>
            <w:pPr>
              <w:jc w:val="center"/>
              <w:rPr>
                <w:rFonts w:ascii="仿宋" w:hAnsi="仿宋" w:eastAsia="仿宋"/>
                <w:szCs w:val="21"/>
              </w:rPr>
            </w:pPr>
            <w:r>
              <w:rPr>
                <w:rFonts w:hint="eastAsia" w:ascii="仿宋" w:hAnsi="仿宋" w:eastAsia="仿宋"/>
                <w:szCs w:val="21"/>
              </w:rPr>
              <w:t>一般固废</w:t>
            </w:r>
          </w:p>
        </w:tc>
        <w:tc>
          <w:tcPr>
            <w:tcW w:w="250" w:type="pct"/>
            <w:tcMar>
              <w:left w:w="0" w:type="dxa"/>
              <w:right w:w="0" w:type="dxa"/>
            </w:tcMar>
            <w:vAlign w:val="center"/>
          </w:tcPr>
          <w:p>
            <w:pPr>
              <w:widowControl/>
              <w:jc w:val="center"/>
              <w:rPr>
                <w:rFonts w:ascii="仿宋" w:hAnsi="仿宋" w:eastAsia="仿宋"/>
                <w:szCs w:val="21"/>
              </w:rPr>
            </w:pPr>
            <w:r>
              <w:rPr>
                <w:rFonts w:hint="eastAsia" w:ascii="仿宋" w:hAnsi="仿宋" w:eastAsia="仿宋"/>
                <w:kern w:val="0"/>
                <w:szCs w:val="21"/>
              </w:rPr>
              <w:t>分切</w:t>
            </w:r>
          </w:p>
        </w:tc>
        <w:tc>
          <w:tcPr>
            <w:tcW w:w="167" w:type="pct"/>
            <w:tcMar>
              <w:left w:w="0" w:type="dxa"/>
              <w:right w:w="0" w:type="dxa"/>
            </w:tcMar>
            <w:vAlign w:val="center"/>
          </w:tcPr>
          <w:p>
            <w:pPr>
              <w:tabs>
                <w:tab w:val="left" w:pos="3240"/>
              </w:tabs>
              <w:adjustRightInd w:val="0"/>
              <w:snapToGrid w:val="0"/>
              <w:jc w:val="center"/>
              <w:rPr>
                <w:rFonts w:ascii="仿宋" w:hAnsi="仿宋" w:eastAsia="仿宋"/>
                <w:szCs w:val="21"/>
              </w:rPr>
            </w:pPr>
            <w:r>
              <w:rPr>
                <w:rFonts w:hint="eastAsia" w:ascii="仿宋" w:hAnsi="仿宋" w:eastAsia="仿宋"/>
                <w:bCs/>
                <w:kern w:val="0"/>
                <w:szCs w:val="21"/>
              </w:rPr>
              <w:t>固</w:t>
            </w:r>
          </w:p>
        </w:tc>
        <w:tc>
          <w:tcPr>
            <w:tcW w:w="479" w:type="pct"/>
            <w:tcMar>
              <w:left w:w="0" w:type="dxa"/>
              <w:right w:w="0" w:type="dxa"/>
            </w:tcMar>
            <w:vAlign w:val="center"/>
          </w:tcPr>
          <w:p>
            <w:pPr>
              <w:tabs>
                <w:tab w:val="left" w:pos="3240"/>
              </w:tabs>
              <w:adjustRightInd w:val="0"/>
              <w:snapToGrid w:val="0"/>
              <w:jc w:val="center"/>
              <w:rPr>
                <w:rFonts w:ascii="仿宋" w:hAnsi="仿宋" w:eastAsia="仿宋"/>
                <w:szCs w:val="21"/>
              </w:rPr>
            </w:pPr>
            <w:r>
              <w:rPr>
                <w:rFonts w:hint="eastAsia" w:ascii="仿宋" w:hAnsi="仿宋" w:eastAsia="仿宋"/>
                <w:bCs/>
                <w:kern w:val="0"/>
                <w:szCs w:val="21"/>
              </w:rPr>
              <w:t>膜、胶粘剂固份</w:t>
            </w:r>
          </w:p>
        </w:tc>
        <w:tc>
          <w:tcPr>
            <w:tcW w:w="261" w:type="pct"/>
            <w:vMerge w:val="continue"/>
            <w:tcMar>
              <w:left w:w="0" w:type="dxa"/>
              <w:right w:w="0" w:type="dxa"/>
            </w:tcMar>
            <w:vAlign w:val="center"/>
          </w:tcPr>
          <w:p>
            <w:pPr>
              <w:tabs>
                <w:tab w:val="left" w:pos="3240"/>
              </w:tabs>
              <w:adjustRightInd w:val="0"/>
              <w:snapToGrid w:val="0"/>
              <w:jc w:val="center"/>
              <w:rPr>
                <w:rFonts w:ascii="仿宋" w:hAnsi="仿宋" w:eastAsia="仿宋"/>
                <w:bCs/>
                <w:kern w:val="0"/>
                <w:szCs w:val="21"/>
              </w:rPr>
            </w:pPr>
          </w:p>
        </w:tc>
        <w:tc>
          <w:tcPr>
            <w:tcW w:w="1020" w:type="pct"/>
            <w:gridSpan w:val="4"/>
            <w:vAlign w:val="center"/>
          </w:tcPr>
          <w:p>
            <w:pPr>
              <w:jc w:val="center"/>
              <w:rPr>
                <w:rFonts w:ascii="仿宋" w:hAnsi="仿宋" w:eastAsia="仿宋"/>
                <w:szCs w:val="21"/>
              </w:rPr>
            </w:pPr>
            <w:r>
              <w:rPr>
                <w:rFonts w:hint="eastAsia" w:ascii="仿宋" w:hAnsi="仿宋" w:eastAsia="仿宋"/>
                <w:szCs w:val="21"/>
              </w:rPr>
              <w:t>292</w:t>
            </w:r>
            <w:r>
              <w:rPr>
                <w:rFonts w:ascii="仿宋" w:hAnsi="仿宋" w:eastAsia="仿宋"/>
                <w:szCs w:val="21"/>
              </w:rPr>
              <w:t>-001-99</w:t>
            </w:r>
          </w:p>
        </w:tc>
        <w:tc>
          <w:tcPr>
            <w:tcW w:w="322" w:type="pct"/>
            <w:vAlign w:val="center"/>
          </w:tcPr>
          <w:p>
            <w:pPr>
              <w:jc w:val="center"/>
              <w:rPr>
                <w:rFonts w:ascii="仿宋" w:hAnsi="仿宋" w:eastAsia="仿宋"/>
                <w:szCs w:val="21"/>
              </w:rPr>
            </w:pPr>
            <w:r>
              <w:rPr>
                <w:rFonts w:ascii="仿宋" w:hAnsi="仿宋" w:eastAsia="仿宋"/>
                <w:szCs w:val="21"/>
              </w:rPr>
              <w:t>48.3</w:t>
            </w:r>
          </w:p>
        </w:tc>
        <w:tc>
          <w:tcPr>
            <w:tcW w:w="382" w:type="pct"/>
            <w:vAlign w:val="center"/>
          </w:tcPr>
          <w:p>
            <w:pPr>
              <w:jc w:val="center"/>
              <w:rPr>
                <w:rFonts w:ascii="仿宋" w:hAnsi="仿宋" w:eastAsia="仿宋"/>
                <w:szCs w:val="21"/>
              </w:rPr>
            </w:pPr>
            <w:r>
              <w:rPr>
                <w:rFonts w:hint="eastAsia" w:ascii="仿宋" w:hAnsi="仿宋" w:eastAsia="仿宋"/>
                <w:szCs w:val="21"/>
              </w:rPr>
              <w:t>每天</w:t>
            </w:r>
          </w:p>
        </w:tc>
        <w:tc>
          <w:tcPr>
            <w:tcW w:w="382" w:type="pct"/>
            <w:vAlign w:val="center"/>
          </w:tcPr>
          <w:p>
            <w:pPr>
              <w:jc w:val="center"/>
              <w:rPr>
                <w:rFonts w:ascii="仿宋" w:hAnsi="仿宋" w:eastAsia="仿宋"/>
                <w:szCs w:val="21"/>
              </w:rPr>
            </w:pPr>
            <w:r>
              <w:rPr>
                <w:rFonts w:hint="eastAsia" w:ascii="仿宋" w:hAnsi="仿宋" w:eastAsia="仿宋"/>
                <w:szCs w:val="21"/>
              </w:rPr>
              <w:t>外售综合利用</w:t>
            </w:r>
          </w:p>
        </w:tc>
        <w:tc>
          <w:tcPr>
            <w:tcW w:w="379" w:type="pct"/>
            <w:vAlign w:val="center"/>
          </w:tcPr>
          <w:p>
            <w:pPr>
              <w:jc w:val="center"/>
              <w:rPr>
                <w:rFonts w:ascii="仿宋" w:hAnsi="仿宋" w:eastAsia="仿宋"/>
                <w:szCs w:val="21"/>
              </w:rPr>
            </w:pPr>
            <w:r>
              <w:rPr>
                <w:rFonts w:hint="eastAsia" w:ascii="仿宋" w:hAnsi="仿宋" w:eastAsia="仿宋"/>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222" w:type="pct"/>
            <w:vAlign w:val="center"/>
          </w:tcPr>
          <w:p>
            <w:pPr>
              <w:jc w:val="center"/>
              <w:rPr>
                <w:rFonts w:ascii="仿宋" w:hAnsi="仿宋" w:eastAsia="仿宋"/>
                <w:sz w:val="22"/>
                <w:szCs w:val="22"/>
              </w:rPr>
            </w:pPr>
            <w:r>
              <w:rPr>
                <w:rFonts w:hint="eastAsia" w:ascii="仿宋" w:hAnsi="仿宋" w:eastAsia="仿宋"/>
                <w:sz w:val="22"/>
                <w:szCs w:val="22"/>
              </w:rPr>
              <w:t>3</w:t>
            </w:r>
          </w:p>
        </w:tc>
        <w:tc>
          <w:tcPr>
            <w:tcW w:w="473" w:type="pct"/>
            <w:vAlign w:val="center"/>
          </w:tcPr>
          <w:p>
            <w:pPr>
              <w:jc w:val="center"/>
              <w:rPr>
                <w:rFonts w:ascii="仿宋" w:hAnsi="仿宋" w:eastAsia="仿宋"/>
                <w:kern w:val="0"/>
                <w:szCs w:val="21"/>
              </w:rPr>
            </w:pPr>
            <w:r>
              <w:rPr>
                <w:rFonts w:hint="eastAsia" w:ascii="仿宋" w:hAnsi="仿宋" w:eastAsia="仿宋"/>
                <w:kern w:val="0"/>
                <w:szCs w:val="21"/>
              </w:rPr>
              <w:t>S1</w:t>
            </w:r>
          </w:p>
        </w:tc>
        <w:tc>
          <w:tcPr>
            <w:tcW w:w="323" w:type="pct"/>
            <w:tcMar>
              <w:left w:w="0" w:type="dxa"/>
              <w:right w:w="0" w:type="dxa"/>
            </w:tcMar>
            <w:vAlign w:val="center"/>
          </w:tcPr>
          <w:p>
            <w:pPr>
              <w:jc w:val="center"/>
              <w:rPr>
                <w:rFonts w:ascii="仿宋" w:hAnsi="仿宋" w:eastAsia="仿宋"/>
                <w:kern w:val="0"/>
                <w:szCs w:val="21"/>
              </w:rPr>
            </w:pPr>
            <w:r>
              <w:rPr>
                <w:rFonts w:hint="eastAsia" w:ascii="仿宋" w:hAnsi="仿宋" w:eastAsia="仿宋"/>
                <w:szCs w:val="21"/>
              </w:rPr>
              <w:t>废胶水</w:t>
            </w:r>
          </w:p>
        </w:tc>
        <w:tc>
          <w:tcPr>
            <w:tcW w:w="338" w:type="pct"/>
            <w:tcMar>
              <w:left w:w="0" w:type="dxa"/>
              <w:right w:w="0" w:type="dxa"/>
            </w:tcMar>
            <w:vAlign w:val="center"/>
          </w:tcPr>
          <w:p>
            <w:pPr>
              <w:jc w:val="center"/>
              <w:rPr>
                <w:rFonts w:ascii="仿宋" w:hAnsi="仿宋" w:eastAsia="仿宋"/>
                <w:szCs w:val="21"/>
              </w:rPr>
            </w:pPr>
            <w:r>
              <w:rPr>
                <w:rFonts w:hint="eastAsia" w:ascii="仿宋" w:hAnsi="仿宋" w:eastAsia="仿宋"/>
                <w:szCs w:val="21"/>
              </w:rPr>
              <w:t>危险固废</w:t>
            </w:r>
          </w:p>
        </w:tc>
        <w:tc>
          <w:tcPr>
            <w:tcW w:w="250" w:type="pct"/>
            <w:tcMar>
              <w:left w:w="0" w:type="dxa"/>
              <w:right w:w="0" w:type="dxa"/>
            </w:tcMar>
            <w:vAlign w:val="center"/>
          </w:tcPr>
          <w:p>
            <w:pPr>
              <w:widowControl/>
              <w:jc w:val="center"/>
              <w:rPr>
                <w:rFonts w:ascii="仿宋" w:hAnsi="仿宋" w:eastAsia="仿宋"/>
                <w:kern w:val="0"/>
                <w:szCs w:val="21"/>
              </w:rPr>
            </w:pPr>
            <w:r>
              <w:rPr>
                <w:rFonts w:hint="eastAsia" w:ascii="仿宋" w:hAnsi="仿宋" w:eastAsia="仿宋"/>
                <w:kern w:val="0"/>
                <w:szCs w:val="21"/>
              </w:rPr>
              <w:t>配胶</w:t>
            </w:r>
          </w:p>
        </w:tc>
        <w:tc>
          <w:tcPr>
            <w:tcW w:w="167" w:type="pct"/>
            <w:tcMar>
              <w:left w:w="0" w:type="dxa"/>
              <w:right w:w="0" w:type="dxa"/>
            </w:tcMar>
            <w:vAlign w:val="center"/>
          </w:tcPr>
          <w:p>
            <w:pPr>
              <w:tabs>
                <w:tab w:val="left" w:pos="3240"/>
              </w:tabs>
              <w:adjustRightInd w:val="0"/>
              <w:snapToGrid w:val="0"/>
              <w:jc w:val="center"/>
              <w:rPr>
                <w:rFonts w:ascii="仿宋" w:hAnsi="仿宋" w:eastAsia="仿宋"/>
                <w:bCs/>
                <w:kern w:val="0"/>
                <w:szCs w:val="21"/>
              </w:rPr>
            </w:pPr>
            <w:r>
              <w:rPr>
                <w:rFonts w:hint="eastAsia" w:ascii="仿宋" w:hAnsi="仿宋" w:eastAsia="仿宋"/>
                <w:bCs/>
                <w:kern w:val="0"/>
                <w:szCs w:val="21"/>
              </w:rPr>
              <w:t>液</w:t>
            </w:r>
          </w:p>
        </w:tc>
        <w:tc>
          <w:tcPr>
            <w:tcW w:w="479" w:type="pct"/>
            <w:tcMar>
              <w:left w:w="0" w:type="dxa"/>
              <w:right w:w="0" w:type="dxa"/>
            </w:tcMar>
            <w:vAlign w:val="center"/>
          </w:tcPr>
          <w:p>
            <w:pPr>
              <w:tabs>
                <w:tab w:val="left" w:pos="3240"/>
              </w:tabs>
              <w:adjustRightInd w:val="0"/>
              <w:snapToGrid w:val="0"/>
              <w:jc w:val="center"/>
              <w:rPr>
                <w:rFonts w:ascii="仿宋" w:hAnsi="仿宋" w:eastAsia="仿宋"/>
                <w:bCs/>
                <w:kern w:val="0"/>
                <w:szCs w:val="21"/>
              </w:rPr>
            </w:pPr>
            <w:r>
              <w:rPr>
                <w:rFonts w:hint="eastAsia" w:ascii="仿宋" w:hAnsi="仿宋" w:eastAsia="仿宋"/>
                <w:bCs/>
                <w:kern w:val="0"/>
                <w:szCs w:val="21"/>
              </w:rPr>
              <w:t>有机物</w:t>
            </w:r>
          </w:p>
        </w:tc>
        <w:tc>
          <w:tcPr>
            <w:tcW w:w="261" w:type="pct"/>
            <w:vMerge w:val="continue"/>
            <w:tcMar>
              <w:left w:w="0" w:type="dxa"/>
              <w:right w:w="0" w:type="dxa"/>
            </w:tcMar>
            <w:vAlign w:val="center"/>
          </w:tcPr>
          <w:p>
            <w:pPr>
              <w:tabs>
                <w:tab w:val="left" w:pos="3240"/>
              </w:tabs>
              <w:adjustRightInd w:val="0"/>
              <w:snapToGrid w:val="0"/>
              <w:jc w:val="center"/>
              <w:rPr>
                <w:rFonts w:ascii="仿宋" w:hAnsi="仿宋" w:eastAsia="仿宋"/>
                <w:bCs/>
                <w:kern w:val="0"/>
                <w:szCs w:val="21"/>
              </w:rPr>
            </w:pPr>
          </w:p>
        </w:tc>
        <w:tc>
          <w:tcPr>
            <w:tcW w:w="214" w:type="pct"/>
            <w:vAlign w:val="center"/>
          </w:tcPr>
          <w:p>
            <w:pPr>
              <w:jc w:val="center"/>
              <w:rPr>
                <w:rFonts w:ascii="仿宋" w:hAnsi="仿宋" w:eastAsia="仿宋"/>
                <w:szCs w:val="21"/>
              </w:rPr>
            </w:pPr>
            <w:r>
              <w:rPr>
                <w:rFonts w:ascii="仿宋" w:hAnsi="仿宋" w:eastAsia="仿宋"/>
                <w:szCs w:val="21"/>
              </w:rPr>
              <w:t>T</w:t>
            </w:r>
          </w:p>
        </w:tc>
        <w:tc>
          <w:tcPr>
            <w:tcW w:w="464" w:type="pct"/>
            <w:gridSpan w:val="2"/>
            <w:vAlign w:val="center"/>
          </w:tcPr>
          <w:p>
            <w:pPr>
              <w:jc w:val="center"/>
              <w:rPr>
                <w:rFonts w:ascii="仿宋" w:hAnsi="仿宋" w:eastAsia="仿宋"/>
                <w:szCs w:val="21"/>
              </w:rPr>
            </w:pPr>
            <w:r>
              <w:rPr>
                <w:rFonts w:ascii="仿宋" w:hAnsi="仿宋" w:eastAsia="仿宋"/>
                <w:szCs w:val="21"/>
              </w:rPr>
              <w:t>HW13</w:t>
            </w:r>
          </w:p>
        </w:tc>
        <w:tc>
          <w:tcPr>
            <w:tcW w:w="341" w:type="pct"/>
            <w:vAlign w:val="center"/>
          </w:tcPr>
          <w:p>
            <w:pPr>
              <w:jc w:val="center"/>
              <w:rPr>
                <w:rFonts w:ascii="仿宋" w:hAnsi="仿宋" w:eastAsia="仿宋"/>
                <w:szCs w:val="21"/>
              </w:rPr>
            </w:pPr>
            <w:r>
              <w:rPr>
                <w:rFonts w:ascii="仿宋" w:hAnsi="仿宋" w:eastAsia="仿宋"/>
                <w:szCs w:val="21"/>
              </w:rPr>
              <w:t>900-014-13</w:t>
            </w:r>
          </w:p>
        </w:tc>
        <w:tc>
          <w:tcPr>
            <w:tcW w:w="322" w:type="pct"/>
            <w:vAlign w:val="center"/>
          </w:tcPr>
          <w:p>
            <w:pPr>
              <w:jc w:val="center"/>
              <w:rPr>
                <w:rFonts w:ascii="仿宋" w:hAnsi="仿宋" w:eastAsia="仿宋"/>
                <w:szCs w:val="21"/>
              </w:rPr>
            </w:pPr>
            <w:r>
              <w:rPr>
                <w:rFonts w:hint="eastAsia" w:ascii="仿宋" w:hAnsi="仿宋" w:eastAsia="仿宋"/>
                <w:szCs w:val="21"/>
              </w:rPr>
              <w:t>1.8</w:t>
            </w:r>
            <w:r>
              <w:rPr>
                <w:rFonts w:ascii="仿宋" w:hAnsi="仿宋" w:eastAsia="仿宋"/>
                <w:szCs w:val="21"/>
              </w:rPr>
              <w:t>14</w:t>
            </w:r>
          </w:p>
        </w:tc>
        <w:tc>
          <w:tcPr>
            <w:tcW w:w="382" w:type="pct"/>
            <w:vAlign w:val="center"/>
          </w:tcPr>
          <w:p>
            <w:pPr>
              <w:jc w:val="center"/>
              <w:rPr>
                <w:rFonts w:ascii="仿宋" w:hAnsi="仿宋" w:eastAsia="仿宋"/>
                <w:szCs w:val="21"/>
              </w:rPr>
            </w:pPr>
            <w:r>
              <w:rPr>
                <w:rFonts w:hint="eastAsia" w:ascii="仿宋" w:hAnsi="仿宋" w:eastAsia="仿宋"/>
                <w:szCs w:val="21"/>
              </w:rPr>
              <w:t>每天</w:t>
            </w:r>
          </w:p>
        </w:tc>
        <w:tc>
          <w:tcPr>
            <w:tcW w:w="382" w:type="pct"/>
            <w:vMerge w:val="restart"/>
            <w:vAlign w:val="center"/>
          </w:tcPr>
          <w:p>
            <w:pPr>
              <w:jc w:val="center"/>
              <w:rPr>
                <w:rFonts w:ascii="仿宋" w:hAnsi="仿宋" w:eastAsia="仿宋"/>
                <w:szCs w:val="21"/>
              </w:rPr>
            </w:pPr>
            <w:r>
              <w:rPr>
                <w:rFonts w:hint="eastAsia" w:ascii="仿宋" w:hAnsi="仿宋" w:eastAsia="仿宋" w:cs="宋体"/>
                <w:kern w:val="0"/>
                <w:szCs w:val="21"/>
              </w:rPr>
              <w:t>委托有资质单位处置</w:t>
            </w:r>
          </w:p>
        </w:tc>
        <w:tc>
          <w:tcPr>
            <w:tcW w:w="379" w:type="pct"/>
            <w:vAlign w:val="center"/>
          </w:tcPr>
          <w:p>
            <w:pPr>
              <w:jc w:val="center"/>
              <w:rPr>
                <w:rFonts w:ascii="仿宋" w:hAnsi="仿宋" w:eastAsia="仿宋"/>
                <w:szCs w:val="21"/>
              </w:rPr>
            </w:pPr>
            <w:r>
              <w:rPr>
                <w:rFonts w:hint="eastAsia" w:ascii="仿宋" w:hAnsi="仿宋" w:eastAsia="仿宋"/>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222" w:type="pct"/>
            <w:vAlign w:val="center"/>
          </w:tcPr>
          <w:p>
            <w:pPr>
              <w:jc w:val="center"/>
              <w:rPr>
                <w:rFonts w:ascii="仿宋" w:hAnsi="仿宋" w:eastAsia="仿宋"/>
                <w:sz w:val="22"/>
                <w:szCs w:val="22"/>
              </w:rPr>
            </w:pPr>
            <w:r>
              <w:rPr>
                <w:rFonts w:hint="eastAsia" w:ascii="仿宋" w:hAnsi="仿宋" w:eastAsia="仿宋"/>
                <w:sz w:val="22"/>
                <w:szCs w:val="22"/>
              </w:rPr>
              <w:t>4</w:t>
            </w:r>
          </w:p>
        </w:tc>
        <w:tc>
          <w:tcPr>
            <w:tcW w:w="473" w:type="pct"/>
            <w:vAlign w:val="center"/>
          </w:tcPr>
          <w:p>
            <w:pPr>
              <w:widowControl/>
              <w:jc w:val="center"/>
              <w:rPr>
                <w:rFonts w:ascii="仿宋" w:hAnsi="仿宋" w:eastAsia="仿宋"/>
                <w:kern w:val="0"/>
                <w:szCs w:val="21"/>
              </w:rPr>
            </w:pPr>
            <w:r>
              <w:rPr>
                <w:rFonts w:hint="eastAsia" w:ascii="仿宋" w:hAnsi="仿宋" w:eastAsia="仿宋"/>
                <w:kern w:val="0"/>
                <w:szCs w:val="21"/>
              </w:rPr>
              <w:t>S2</w:t>
            </w:r>
          </w:p>
        </w:tc>
        <w:tc>
          <w:tcPr>
            <w:tcW w:w="323" w:type="pct"/>
            <w:tcMar>
              <w:left w:w="0" w:type="dxa"/>
              <w:right w:w="0" w:type="dxa"/>
            </w:tcMar>
            <w:vAlign w:val="center"/>
          </w:tcPr>
          <w:p>
            <w:pPr>
              <w:widowControl/>
              <w:jc w:val="center"/>
              <w:rPr>
                <w:rFonts w:ascii="仿宋" w:hAnsi="仿宋" w:eastAsia="仿宋"/>
                <w:kern w:val="0"/>
                <w:szCs w:val="21"/>
              </w:rPr>
            </w:pPr>
            <w:r>
              <w:rPr>
                <w:rFonts w:hint="eastAsia" w:ascii="仿宋" w:hAnsi="仿宋" w:eastAsia="仿宋"/>
                <w:kern w:val="0"/>
                <w:szCs w:val="21"/>
              </w:rPr>
              <w:t>废清洗液</w:t>
            </w:r>
          </w:p>
        </w:tc>
        <w:tc>
          <w:tcPr>
            <w:tcW w:w="338" w:type="pct"/>
            <w:tcMar>
              <w:left w:w="0" w:type="dxa"/>
              <w:right w:w="0" w:type="dxa"/>
            </w:tcMar>
            <w:vAlign w:val="center"/>
          </w:tcPr>
          <w:p>
            <w:pPr>
              <w:jc w:val="center"/>
              <w:rPr>
                <w:rFonts w:ascii="仿宋" w:hAnsi="仿宋" w:eastAsia="仿宋"/>
                <w:szCs w:val="21"/>
              </w:rPr>
            </w:pPr>
            <w:r>
              <w:rPr>
                <w:rFonts w:hint="eastAsia" w:ascii="仿宋" w:hAnsi="仿宋" w:eastAsia="仿宋"/>
                <w:szCs w:val="21"/>
              </w:rPr>
              <w:t>危险废物</w:t>
            </w:r>
          </w:p>
        </w:tc>
        <w:tc>
          <w:tcPr>
            <w:tcW w:w="250" w:type="pct"/>
            <w:tcMar>
              <w:left w:w="0" w:type="dxa"/>
              <w:right w:w="0" w:type="dxa"/>
            </w:tcMar>
            <w:vAlign w:val="center"/>
          </w:tcPr>
          <w:p>
            <w:pPr>
              <w:widowControl/>
              <w:jc w:val="center"/>
              <w:rPr>
                <w:rFonts w:ascii="仿宋" w:hAnsi="仿宋" w:eastAsia="仿宋"/>
                <w:szCs w:val="21"/>
              </w:rPr>
            </w:pPr>
            <w:r>
              <w:rPr>
                <w:rFonts w:hint="eastAsia" w:ascii="仿宋" w:hAnsi="仿宋" w:eastAsia="仿宋"/>
                <w:kern w:val="0"/>
                <w:szCs w:val="21"/>
              </w:rPr>
              <w:t>清洗</w:t>
            </w:r>
          </w:p>
        </w:tc>
        <w:tc>
          <w:tcPr>
            <w:tcW w:w="167" w:type="pct"/>
            <w:tcMar>
              <w:left w:w="0" w:type="dxa"/>
              <w:right w:w="0" w:type="dxa"/>
            </w:tcMar>
            <w:vAlign w:val="center"/>
          </w:tcPr>
          <w:p>
            <w:pPr>
              <w:tabs>
                <w:tab w:val="left" w:pos="3240"/>
              </w:tabs>
              <w:adjustRightInd w:val="0"/>
              <w:snapToGrid w:val="0"/>
              <w:jc w:val="center"/>
              <w:rPr>
                <w:rFonts w:ascii="仿宋" w:hAnsi="仿宋" w:eastAsia="仿宋"/>
                <w:szCs w:val="21"/>
              </w:rPr>
            </w:pPr>
            <w:r>
              <w:rPr>
                <w:rFonts w:hint="eastAsia" w:ascii="仿宋" w:hAnsi="仿宋" w:eastAsia="仿宋"/>
                <w:bCs/>
                <w:kern w:val="0"/>
                <w:szCs w:val="21"/>
              </w:rPr>
              <w:t>液</w:t>
            </w:r>
          </w:p>
        </w:tc>
        <w:tc>
          <w:tcPr>
            <w:tcW w:w="479" w:type="pct"/>
            <w:tcMar>
              <w:left w:w="0" w:type="dxa"/>
              <w:right w:w="0" w:type="dxa"/>
            </w:tcMar>
            <w:vAlign w:val="center"/>
          </w:tcPr>
          <w:p>
            <w:pPr>
              <w:tabs>
                <w:tab w:val="left" w:pos="3240"/>
              </w:tabs>
              <w:adjustRightInd w:val="0"/>
              <w:snapToGrid w:val="0"/>
              <w:jc w:val="center"/>
              <w:rPr>
                <w:rFonts w:ascii="仿宋" w:hAnsi="仿宋" w:eastAsia="仿宋"/>
                <w:szCs w:val="21"/>
              </w:rPr>
            </w:pPr>
            <w:r>
              <w:rPr>
                <w:rFonts w:hint="eastAsia" w:ascii="仿宋" w:hAnsi="仿宋" w:eastAsia="仿宋"/>
                <w:bCs/>
                <w:kern w:val="0"/>
                <w:szCs w:val="21"/>
              </w:rPr>
              <w:t>有机溶剂</w:t>
            </w:r>
          </w:p>
        </w:tc>
        <w:tc>
          <w:tcPr>
            <w:tcW w:w="261" w:type="pct"/>
            <w:vMerge w:val="continue"/>
            <w:tcMar>
              <w:left w:w="0" w:type="dxa"/>
              <w:right w:w="0" w:type="dxa"/>
            </w:tcMar>
            <w:vAlign w:val="center"/>
          </w:tcPr>
          <w:p>
            <w:pPr>
              <w:tabs>
                <w:tab w:val="left" w:pos="3240"/>
              </w:tabs>
              <w:adjustRightInd w:val="0"/>
              <w:snapToGrid w:val="0"/>
              <w:jc w:val="center"/>
              <w:rPr>
                <w:rFonts w:ascii="仿宋" w:hAnsi="仿宋" w:eastAsia="仿宋"/>
                <w:bCs/>
                <w:kern w:val="0"/>
                <w:szCs w:val="21"/>
              </w:rPr>
            </w:pPr>
          </w:p>
        </w:tc>
        <w:tc>
          <w:tcPr>
            <w:tcW w:w="214" w:type="pct"/>
            <w:vAlign w:val="center"/>
          </w:tcPr>
          <w:p>
            <w:pPr>
              <w:jc w:val="center"/>
              <w:rPr>
                <w:rFonts w:ascii="仿宋" w:hAnsi="仿宋" w:eastAsia="仿宋"/>
                <w:szCs w:val="21"/>
              </w:rPr>
            </w:pPr>
            <w:r>
              <w:rPr>
                <w:rFonts w:ascii="仿宋" w:hAnsi="仿宋" w:eastAsia="仿宋"/>
                <w:szCs w:val="21"/>
              </w:rPr>
              <w:t>T</w:t>
            </w:r>
          </w:p>
        </w:tc>
        <w:tc>
          <w:tcPr>
            <w:tcW w:w="464" w:type="pct"/>
            <w:gridSpan w:val="2"/>
            <w:vAlign w:val="center"/>
          </w:tcPr>
          <w:p>
            <w:pPr>
              <w:jc w:val="center"/>
              <w:rPr>
                <w:rFonts w:ascii="仿宋" w:hAnsi="仿宋" w:eastAsia="仿宋"/>
                <w:szCs w:val="21"/>
              </w:rPr>
            </w:pPr>
            <w:r>
              <w:rPr>
                <w:rFonts w:ascii="仿宋" w:hAnsi="仿宋" w:eastAsia="仿宋"/>
                <w:szCs w:val="21"/>
              </w:rPr>
              <w:t>HW06</w:t>
            </w:r>
          </w:p>
        </w:tc>
        <w:tc>
          <w:tcPr>
            <w:tcW w:w="341" w:type="pct"/>
            <w:vAlign w:val="center"/>
          </w:tcPr>
          <w:p>
            <w:pPr>
              <w:jc w:val="center"/>
              <w:rPr>
                <w:rFonts w:ascii="仿宋" w:hAnsi="仿宋" w:eastAsia="仿宋"/>
                <w:szCs w:val="21"/>
              </w:rPr>
            </w:pPr>
            <w:r>
              <w:rPr>
                <w:rFonts w:ascii="仿宋" w:hAnsi="仿宋" w:eastAsia="仿宋"/>
                <w:szCs w:val="21"/>
              </w:rPr>
              <w:t>900-404-06</w:t>
            </w:r>
          </w:p>
        </w:tc>
        <w:tc>
          <w:tcPr>
            <w:tcW w:w="322" w:type="pct"/>
            <w:vAlign w:val="center"/>
          </w:tcPr>
          <w:p>
            <w:pPr>
              <w:jc w:val="center"/>
              <w:rPr>
                <w:rFonts w:ascii="仿宋" w:hAnsi="仿宋" w:eastAsia="仿宋"/>
                <w:szCs w:val="21"/>
              </w:rPr>
            </w:pPr>
            <w:r>
              <w:rPr>
                <w:rFonts w:hint="eastAsia" w:ascii="仿宋" w:hAnsi="仿宋" w:eastAsia="仿宋"/>
                <w:szCs w:val="21"/>
              </w:rPr>
              <w:t>3.6</w:t>
            </w:r>
          </w:p>
        </w:tc>
        <w:tc>
          <w:tcPr>
            <w:tcW w:w="382" w:type="pct"/>
            <w:vAlign w:val="center"/>
          </w:tcPr>
          <w:p>
            <w:pPr>
              <w:jc w:val="center"/>
              <w:rPr>
                <w:rFonts w:ascii="仿宋" w:hAnsi="仿宋" w:eastAsia="仿宋"/>
                <w:szCs w:val="21"/>
              </w:rPr>
            </w:pPr>
            <w:r>
              <w:rPr>
                <w:rFonts w:hint="eastAsia" w:ascii="仿宋" w:hAnsi="仿宋" w:eastAsia="仿宋"/>
                <w:szCs w:val="21"/>
              </w:rPr>
              <w:t>每天</w:t>
            </w:r>
          </w:p>
        </w:tc>
        <w:tc>
          <w:tcPr>
            <w:tcW w:w="382" w:type="pct"/>
            <w:vMerge w:val="continue"/>
            <w:vAlign w:val="center"/>
          </w:tcPr>
          <w:p>
            <w:pPr>
              <w:jc w:val="center"/>
              <w:rPr>
                <w:rFonts w:ascii="仿宋" w:hAnsi="仿宋" w:eastAsia="仿宋"/>
                <w:szCs w:val="21"/>
              </w:rPr>
            </w:pPr>
          </w:p>
        </w:tc>
        <w:tc>
          <w:tcPr>
            <w:tcW w:w="379" w:type="pct"/>
            <w:vAlign w:val="center"/>
          </w:tcPr>
          <w:p>
            <w:pPr>
              <w:jc w:val="center"/>
              <w:rPr>
                <w:rFonts w:ascii="仿宋" w:hAnsi="仿宋" w:eastAsia="仿宋"/>
                <w:szCs w:val="21"/>
              </w:rPr>
            </w:pPr>
            <w:r>
              <w:rPr>
                <w:rFonts w:hint="eastAsia" w:ascii="仿宋" w:hAnsi="仿宋" w:eastAsia="仿宋"/>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222" w:type="pct"/>
            <w:vAlign w:val="center"/>
          </w:tcPr>
          <w:p>
            <w:pPr>
              <w:jc w:val="center"/>
              <w:rPr>
                <w:rFonts w:ascii="仿宋" w:hAnsi="仿宋" w:eastAsia="仿宋"/>
                <w:sz w:val="22"/>
                <w:szCs w:val="22"/>
              </w:rPr>
            </w:pPr>
            <w:r>
              <w:rPr>
                <w:rFonts w:hint="eastAsia" w:ascii="仿宋" w:hAnsi="仿宋" w:eastAsia="仿宋"/>
                <w:sz w:val="22"/>
                <w:szCs w:val="22"/>
              </w:rPr>
              <w:t>5</w:t>
            </w:r>
          </w:p>
        </w:tc>
        <w:tc>
          <w:tcPr>
            <w:tcW w:w="473" w:type="pct"/>
            <w:vAlign w:val="center"/>
          </w:tcPr>
          <w:p>
            <w:pPr>
              <w:widowControl/>
              <w:jc w:val="center"/>
              <w:rPr>
                <w:rFonts w:ascii="仿宋" w:hAnsi="仿宋" w:eastAsia="仿宋"/>
                <w:kern w:val="0"/>
                <w:szCs w:val="21"/>
              </w:rPr>
            </w:pPr>
            <w:r>
              <w:rPr>
                <w:rFonts w:hint="eastAsia" w:ascii="仿宋" w:hAnsi="仿宋" w:eastAsia="仿宋"/>
                <w:kern w:val="0"/>
                <w:szCs w:val="21"/>
              </w:rPr>
              <w:t>S4</w:t>
            </w:r>
          </w:p>
        </w:tc>
        <w:tc>
          <w:tcPr>
            <w:tcW w:w="323" w:type="pct"/>
            <w:tcMar>
              <w:left w:w="0" w:type="dxa"/>
              <w:right w:w="0" w:type="dxa"/>
            </w:tcMar>
            <w:vAlign w:val="center"/>
          </w:tcPr>
          <w:p>
            <w:pPr>
              <w:widowControl/>
              <w:jc w:val="center"/>
              <w:rPr>
                <w:rFonts w:ascii="仿宋" w:hAnsi="仿宋" w:eastAsia="仿宋"/>
                <w:kern w:val="0"/>
                <w:szCs w:val="21"/>
              </w:rPr>
            </w:pPr>
            <w:r>
              <w:rPr>
                <w:rFonts w:hint="eastAsia" w:ascii="仿宋" w:hAnsi="仿宋" w:eastAsia="仿宋"/>
                <w:kern w:val="0"/>
                <w:szCs w:val="21"/>
              </w:rPr>
              <w:t>废原料桶</w:t>
            </w:r>
          </w:p>
        </w:tc>
        <w:tc>
          <w:tcPr>
            <w:tcW w:w="338" w:type="pct"/>
            <w:tcMar>
              <w:left w:w="0" w:type="dxa"/>
              <w:right w:w="0" w:type="dxa"/>
            </w:tcMar>
            <w:vAlign w:val="center"/>
          </w:tcPr>
          <w:p>
            <w:pPr>
              <w:jc w:val="center"/>
              <w:rPr>
                <w:rFonts w:ascii="仿宋" w:hAnsi="仿宋" w:eastAsia="仿宋"/>
                <w:szCs w:val="21"/>
              </w:rPr>
            </w:pPr>
            <w:r>
              <w:rPr>
                <w:rFonts w:hint="eastAsia" w:ascii="仿宋" w:hAnsi="仿宋" w:eastAsia="仿宋"/>
                <w:szCs w:val="21"/>
              </w:rPr>
              <w:t>危险废物</w:t>
            </w:r>
          </w:p>
        </w:tc>
        <w:tc>
          <w:tcPr>
            <w:tcW w:w="250" w:type="pct"/>
            <w:tcMar>
              <w:left w:w="0" w:type="dxa"/>
              <w:right w:w="0" w:type="dxa"/>
            </w:tcMar>
            <w:vAlign w:val="center"/>
          </w:tcPr>
          <w:p>
            <w:pPr>
              <w:widowControl/>
              <w:jc w:val="center"/>
              <w:rPr>
                <w:rFonts w:ascii="仿宋" w:hAnsi="仿宋" w:eastAsia="仿宋"/>
                <w:kern w:val="0"/>
                <w:szCs w:val="21"/>
              </w:rPr>
            </w:pPr>
            <w:r>
              <w:rPr>
                <w:rFonts w:hint="eastAsia" w:ascii="仿宋" w:hAnsi="仿宋" w:eastAsia="仿宋"/>
                <w:kern w:val="0"/>
                <w:szCs w:val="21"/>
              </w:rPr>
              <w:t>存储</w:t>
            </w:r>
          </w:p>
        </w:tc>
        <w:tc>
          <w:tcPr>
            <w:tcW w:w="167" w:type="pct"/>
            <w:tcMar>
              <w:left w:w="0" w:type="dxa"/>
              <w:right w:w="0" w:type="dxa"/>
            </w:tcMar>
            <w:vAlign w:val="center"/>
          </w:tcPr>
          <w:p>
            <w:pPr>
              <w:tabs>
                <w:tab w:val="left" w:pos="3240"/>
              </w:tabs>
              <w:adjustRightInd w:val="0"/>
              <w:snapToGrid w:val="0"/>
              <w:jc w:val="center"/>
              <w:rPr>
                <w:rFonts w:ascii="仿宋" w:hAnsi="仿宋" w:eastAsia="仿宋"/>
                <w:bCs/>
                <w:kern w:val="0"/>
                <w:szCs w:val="21"/>
              </w:rPr>
            </w:pPr>
            <w:r>
              <w:rPr>
                <w:rFonts w:hint="eastAsia" w:ascii="仿宋" w:hAnsi="仿宋" w:eastAsia="仿宋"/>
                <w:bCs/>
                <w:kern w:val="0"/>
                <w:szCs w:val="21"/>
              </w:rPr>
              <w:t>固</w:t>
            </w:r>
          </w:p>
        </w:tc>
        <w:tc>
          <w:tcPr>
            <w:tcW w:w="479" w:type="pct"/>
            <w:tcMar>
              <w:left w:w="0" w:type="dxa"/>
              <w:right w:w="0" w:type="dxa"/>
            </w:tcMar>
            <w:vAlign w:val="center"/>
          </w:tcPr>
          <w:p>
            <w:pPr>
              <w:tabs>
                <w:tab w:val="left" w:pos="3240"/>
              </w:tabs>
              <w:adjustRightInd w:val="0"/>
              <w:snapToGrid w:val="0"/>
              <w:jc w:val="center"/>
              <w:rPr>
                <w:rFonts w:ascii="仿宋" w:hAnsi="仿宋" w:eastAsia="仿宋"/>
                <w:bCs/>
                <w:kern w:val="0"/>
                <w:szCs w:val="21"/>
              </w:rPr>
            </w:pPr>
            <w:r>
              <w:rPr>
                <w:rFonts w:hint="eastAsia" w:ascii="仿宋" w:hAnsi="仿宋" w:eastAsia="仿宋"/>
                <w:bCs/>
                <w:kern w:val="0"/>
                <w:szCs w:val="21"/>
              </w:rPr>
              <w:t>有机溶剂</w:t>
            </w:r>
          </w:p>
        </w:tc>
        <w:tc>
          <w:tcPr>
            <w:tcW w:w="261" w:type="pct"/>
            <w:vMerge w:val="continue"/>
            <w:tcMar>
              <w:left w:w="0" w:type="dxa"/>
              <w:right w:w="0" w:type="dxa"/>
            </w:tcMar>
            <w:vAlign w:val="center"/>
          </w:tcPr>
          <w:p>
            <w:pPr>
              <w:tabs>
                <w:tab w:val="left" w:pos="3240"/>
              </w:tabs>
              <w:adjustRightInd w:val="0"/>
              <w:snapToGrid w:val="0"/>
              <w:jc w:val="center"/>
              <w:rPr>
                <w:rFonts w:ascii="仿宋" w:hAnsi="仿宋" w:eastAsia="仿宋"/>
                <w:bCs/>
                <w:kern w:val="0"/>
                <w:szCs w:val="21"/>
              </w:rPr>
            </w:pPr>
          </w:p>
        </w:tc>
        <w:tc>
          <w:tcPr>
            <w:tcW w:w="214" w:type="pct"/>
            <w:vAlign w:val="center"/>
          </w:tcPr>
          <w:p>
            <w:pPr>
              <w:jc w:val="center"/>
              <w:rPr>
                <w:rFonts w:ascii="仿宋" w:hAnsi="仿宋" w:eastAsia="仿宋"/>
                <w:szCs w:val="21"/>
              </w:rPr>
            </w:pPr>
            <w:r>
              <w:rPr>
                <w:rFonts w:ascii="仿宋" w:hAnsi="仿宋" w:eastAsia="仿宋"/>
                <w:szCs w:val="21"/>
              </w:rPr>
              <w:t>T/In</w:t>
            </w:r>
          </w:p>
        </w:tc>
        <w:tc>
          <w:tcPr>
            <w:tcW w:w="464" w:type="pct"/>
            <w:gridSpan w:val="2"/>
            <w:vAlign w:val="center"/>
          </w:tcPr>
          <w:p>
            <w:pPr>
              <w:jc w:val="center"/>
              <w:rPr>
                <w:rFonts w:ascii="仿宋" w:hAnsi="仿宋" w:eastAsia="仿宋"/>
                <w:szCs w:val="21"/>
              </w:rPr>
            </w:pPr>
            <w:r>
              <w:rPr>
                <w:rFonts w:ascii="仿宋" w:hAnsi="仿宋" w:eastAsia="仿宋"/>
                <w:szCs w:val="21"/>
              </w:rPr>
              <w:t>HW49</w:t>
            </w:r>
          </w:p>
        </w:tc>
        <w:tc>
          <w:tcPr>
            <w:tcW w:w="341" w:type="pct"/>
            <w:vAlign w:val="center"/>
          </w:tcPr>
          <w:p>
            <w:pPr>
              <w:jc w:val="center"/>
              <w:rPr>
                <w:rFonts w:ascii="仿宋" w:hAnsi="仿宋" w:eastAsia="仿宋"/>
                <w:szCs w:val="21"/>
              </w:rPr>
            </w:pPr>
            <w:r>
              <w:rPr>
                <w:rFonts w:ascii="仿宋" w:hAnsi="仿宋" w:eastAsia="仿宋"/>
                <w:szCs w:val="21"/>
              </w:rPr>
              <w:t>900-041-49</w:t>
            </w:r>
          </w:p>
        </w:tc>
        <w:tc>
          <w:tcPr>
            <w:tcW w:w="322" w:type="pct"/>
            <w:vAlign w:val="center"/>
          </w:tcPr>
          <w:p>
            <w:pPr>
              <w:jc w:val="center"/>
              <w:rPr>
                <w:rFonts w:ascii="仿宋" w:hAnsi="仿宋" w:eastAsia="仿宋"/>
                <w:szCs w:val="21"/>
              </w:rPr>
            </w:pPr>
            <w:r>
              <w:rPr>
                <w:rFonts w:hint="eastAsia" w:ascii="仿宋" w:hAnsi="仿宋" w:eastAsia="仿宋"/>
                <w:szCs w:val="21"/>
              </w:rPr>
              <w:t>2.2</w:t>
            </w:r>
          </w:p>
        </w:tc>
        <w:tc>
          <w:tcPr>
            <w:tcW w:w="382" w:type="pct"/>
            <w:vAlign w:val="center"/>
          </w:tcPr>
          <w:p>
            <w:pPr>
              <w:jc w:val="center"/>
              <w:rPr>
                <w:rFonts w:ascii="仿宋" w:hAnsi="仿宋" w:eastAsia="仿宋"/>
                <w:szCs w:val="21"/>
              </w:rPr>
            </w:pPr>
            <w:r>
              <w:rPr>
                <w:rFonts w:hint="eastAsia" w:ascii="仿宋" w:hAnsi="仿宋" w:eastAsia="仿宋"/>
                <w:szCs w:val="21"/>
              </w:rPr>
              <w:t>每天</w:t>
            </w:r>
          </w:p>
        </w:tc>
        <w:tc>
          <w:tcPr>
            <w:tcW w:w="382" w:type="pct"/>
            <w:vMerge w:val="continue"/>
            <w:vAlign w:val="center"/>
          </w:tcPr>
          <w:p>
            <w:pPr>
              <w:jc w:val="center"/>
              <w:rPr>
                <w:rFonts w:ascii="仿宋" w:hAnsi="仿宋" w:eastAsia="仿宋"/>
                <w:szCs w:val="21"/>
              </w:rPr>
            </w:pPr>
          </w:p>
        </w:tc>
        <w:tc>
          <w:tcPr>
            <w:tcW w:w="379" w:type="pct"/>
            <w:vAlign w:val="center"/>
          </w:tcPr>
          <w:p>
            <w:pPr>
              <w:jc w:val="center"/>
              <w:rPr>
                <w:rFonts w:ascii="仿宋" w:hAnsi="仿宋" w:eastAsia="仿宋"/>
                <w:szCs w:val="21"/>
              </w:rPr>
            </w:pPr>
            <w:r>
              <w:rPr>
                <w:rFonts w:hint="eastAsia" w:ascii="仿宋" w:hAnsi="仿宋" w:eastAsia="仿宋"/>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222" w:type="pct"/>
            <w:vAlign w:val="center"/>
          </w:tcPr>
          <w:p>
            <w:pPr>
              <w:jc w:val="center"/>
              <w:rPr>
                <w:rFonts w:ascii="仿宋" w:hAnsi="仿宋" w:eastAsia="仿宋"/>
                <w:sz w:val="22"/>
                <w:szCs w:val="22"/>
              </w:rPr>
            </w:pPr>
            <w:r>
              <w:rPr>
                <w:rFonts w:hint="eastAsia" w:ascii="仿宋" w:hAnsi="仿宋" w:eastAsia="仿宋"/>
                <w:sz w:val="22"/>
                <w:szCs w:val="22"/>
              </w:rPr>
              <w:t>6</w:t>
            </w:r>
          </w:p>
        </w:tc>
        <w:tc>
          <w:tcPr>
            <w:tcW w:w="473" w:type="pct"/>
            <w:vAlign w:val="center"/>
          </w:tcPr>
          <w:p>
            <w:pPr>
              <w:widowControl/>
              <w:jc w:val="center"/>
              <w:rPr>
                <w:rFonts w:ascii="仿宋" w:hAnsi="仿宋" w:eastAsia="仿宋"/>
                <w:kern w:val="0"/>
                <w:szCs w:val="21"/>
              </w:rPr>
            </w:pPr>
            <w:r>
              <w:rPr>
                <w:rFonts w:hint="eastAsia" w:ascii="仿宋" w:hAnsi="仿宋" w:eastAsia="仿宋"/>
                <w:kern w:val="0"/>
                <w:szCs w:val="21"/>
              </w:rPr>
              <w:t>S5</w:t>
            </w:r>
          </w:p>
        </w:tc>
        <w:tc>
          <w:tcPr>
            <w:tcW w:w="323" w:type="pct"/>
            <w:tcMar>
              <w:left w:w="0" w:type="dxa"/>
              <w:right w:w="0" w:type="dxa"/>
            </w:tcMar>
            <w:vAlign w:val="center"/>
          </w:tcPr>
          <w:p>
            <w:pPr>
              <w:widowControl/>
              <w:jc w:val="center"/>
              <w:rPr>
                <w:rFonts w:ascii="仿宋" w:hAnsi="仿宋" w:eastAsia="仿宋"/>
                <w:kern w:val="0"/>
                <w:szCs w:val="21"/>
              </w:rPr>
            </w:pPr>
            <w:r>
              <w:rPr>
                <w:rFonts w:hint="eastAsia" w:ascii="仿宋" w:hAnsi="仿宋" w:eastAsia="仿宋"/>
                <w:kern w:val="0"/>
                <w:szCs w:val="21"/>
              </w:rPr>
              <w:t>废抹布手套</w:t>
            </w:r>
          </w:p>
        </w:tc>
        <w:tc>
          <w:tcPr>
            <w:tcW w:w="338" w:type="pct"/>
            <w:tcMar>
              <w:left w:w="0" w:type="dxa"/>
              <w:right w:w="0" w:type="dxa"/>
            </w:tcMar>
            <w:vAlign w:val="center"/>
          </w:tcPr>
          <w:p>
            <w:pPr>
              <w:jc w:val="center"/>
              <w:rPr>
                <w:rFonts w:ascii="仿宋" w:hAnsi="仿宋" w:eastAsia="仿宋"/>
                <w:szCs w:val="21"/>
              </w:rPr>
            </w:pPr>
            <w:r>
              <w:rPr>
                <w:rFonts w:hint="eastAsia" w:ascii="仿宋" w:hAnsi="仿宋" w:eastAsia="仿宋"/>
                <w:szCs w:val="21"/>
              </w:rPr>
              <w:t>危险废物</w:t>
            </w:r>
          </w:p>
        </w:tc>
        <w:tc>
          <w:tcPr>
            <w:tcW w:w="250" w:type="pct"/>
            <w:tcMar>
              <w:left w:w="0" w:type="dxa"/>
              <w:right w:w="0" w:type="dxa"/>
            </w:tcMar>
            <w:vAlign w:val="center"/>
          </w:tcPr>
          <w:p>
            <w:pPr>
              <w:widowControl/>
              <w:jc w:val="center"/>
              <w:rPr>
                <w:rFonts w:ascii="仿宋" w:hAnsi="仿宋" w:eastAsia="仿宋"/>
                <w:szCs w:val="21"/>
              </w:rPr>
            </w:pPr>
            <w:r>
              <w:rPr>
                <w:rFonts w:hint="eastAsia" w:ascii="仿宋" w:hAnsi="仿宋" w:eastAsia="仿宋"/>
                <w:kern w:val="0"/>
                <w:szCs w:val="21"/>
              </w:rPr>
              <w:t>清洗</w:t>
            </w:r>
          </w:p>
        </w:tc>
        <w:tc>
          <w:tcPr>
            <w:tcW w:w="167" w:type="pct"/>
            <w:tcMar>
              <w:left w:w="0" w:type="dxa"/>
              <w:right w:w="0" w:type="dxa"/>
            </w:tcMar>
            <w:vAlign w:val="center"/>
          </w:tcPr>
          <w:p>
            <w:pPr>
              <w:tabs>
                <w:tab w:val="left" w:pos="3240"/>
              </w:tabs>
              <w:adjustRightInd w:val="0"/>
              <w:snapToGrid w:val="0"/>
              <w:jc w:val="center"/>
              <w:rPr>
                <w:rFonts w:ascii="仿宋" w:hAnsi="仿宋" w:eastAsia="仿宋"/>
                <w:szCs w:val="21"/>
              </w:rPr>
            </w:pPr>
            <w:r>
              <w:rPr>
                <w:rFonts w:hint="eastAsia" w:ascii="仿宋" w:hAnsi="仿宋" w:eastAsia="仿宋"/>
                <w:bCs/>
                <w:kern w:val="0"/>
                <w:szCs w:val="21"/>
              </w:rPr>
              <w:t>固</w:t>
            </w:r>
          </w:p>
        </w:tc>
        <w:tc>
          <w:tcPr>
            <w:tcW w:w="479" w:type="pct"/>
            <w:tcMar>
              <w:left w:w="0" w:type="dxa"/>
              <w:right w:w="0" w:type="dxa"/>
            </w:tcMar>
            <w:vAlign w:val="center"/>
          </w:tcPr>
          <w:p>
            <w:pPr>
              <w:tabs>
                <w:tab w:val="left" w:pos="3240"/>
              </w:tabs>
              <w:adjustRightInd w:val="0"/>
              <w:snapToGrid w:val="0"/>
              <w:jc w:val="center"/>
              <w:rPr>
                <w:rFonts w:ascii="仿宋" w:hAnsi="仿宋" w:eastAsia="仿宋"/>
                <w:szCs w:val="21"/>
              </w:rPr>
            </w:pPr>
            <w:r>
              <w:rPr>
                <w:rFonts w:hint="eastAsia" w:ascii="仿宋" w:hAnsi="仿宋" w:eastAsia="仿宋"/>
                <w:bCs/>
                <w:kern w:val="0"/>
                <w:szCs w:val="21"/>
              </w:rPr>
              <w:t>清洗剂</w:t>
            </w:r>
          </w:p>
        </w:tc>
        <w:tc>
          <w:tcPr>
            <w:tcW w:w="261" w:type="pct"/>
            <w:vMerge w:val="continue"/>
            <w:tcMar>
              <w:left w:w="0" w:type="dxa"/>
              <w:right w:w="0" w:type="dxa"/>
            </w:tcMar>
            <w:vAlign w:val="center"/>
          </w:tcPr>
          <w:p>
            <w:pPr>
              <w:tabs>
                <w:tab w:val="left" w:pos="3240"/>
              </w:tabs>
              <w:adjustRightInd w:val="0"/>
              <w:snapToGrid w:val="0"/>
              <w:jc w:val="center"/>
              <w:rPr>
                <w:rFonts w:ascii="仿宋" w:hAnsi="仿宋" w:eastAsia="仿宋"/>
                <w:bCs/>
                <w:kern w:val="0"/>
                <w:szCs w:val="21"/>
              </w:rPr>
            </w:pPr>
          </w:p>
        </w:tc>
        <w:tc>
          <w:tcPr>
            <w:tcW w:w="214" w:type="pct"/>
            <w:vAlign w:val="center"/>
          </w:tcPr>
          <w:p>
            <w:pPr>
              <w:jc w:val="center"/>
              <w:rPr>
                <w:rFonts w:ascii="仿宋" w:hAnsi="仿宋" w:eastAsia="仿宋"/>
                <w:szCs w:val="21"/>
              </w:rPr>
            </w:pPr>
            <w:r>
              <w:rPr>
                <w:rFonts w:ascii="仿宋" w:hAnsi="仿宋" w:eastAsia="仿宋"/>
                <w:szCs w:val="21"/>
              </w:rPr>
              <w:t>T,I</w:t>
            </w:r>
          </w:p>
        </w:tc>
        <w:tc>
          <w:tcPr>
            <w:tcW w:w="464" w:type="pct"/>
            <w:gridSpan w:val="2"/>
            <w:vAlign w:val="center"/>
          </w:tcPr>
          <w:p>
            <w:pPr>
              <w:jc w:val="center"/>
              <w:rPr>
                <w:rFonts w:ascii="仿宋" w:hAnsi="仿宋" w:eastAsia="仿宋"/>
                <w:szCs w:val="21"/>
              </w:rPr>
            </w:pPr>
            <w:r>
              <w:rPr>
                <w:rFonts w:ascii="仿宋" w:hAnsi="仿宋" w:eastAsia="仿宋"/>
                <w:szCs w:val="21"/>
              </w:rPr>
              <w:t>HW</w:t>
            </w:r>
            <w:r>
              <w:rPr>
                <w:rFonts w:hint="eastAsia" w:ascii="仿宋" w:hAnsi="仿宋" w:eastAsia="仿宋"/>
                <w:szCs w:val="21"/>
              </w:rPr>
              <w:t>49</w:t>
            </w:r>
          </w:p>
        </w:tc>
        <w:tc>
          <w:tcPr>
            <w:tcW w:w="341" w:type="pct"/>
            <w:vAlign w:val="center"/>
          </w:tcPr>
          <w:p>
            <w:pPr>
              <w:jc w:val="center"/>
              <w:rPr>
                <w:rFonts w:ascii="仿宋" w:hAnsi="仿宋" w:eastAsia="仿宋"/>
                <w:szCs w:val="21"/>
              </w:rPr>
            </w:pPr>
            <w:r>
              <w:rPr>
                <w:rFonts w:ascii="仿宋" w:hAnsi="仿宋" w:eastAsia="仿宋"/>
                <w:szCs w:val="21"/>
              </w:rPr>
              <w:t>900-</w:t>
            </w:r>
            <w:r>
              <w:rPr>
                <w:rFonts w:hint="eastAsia" w:ascii="仿宋" w:hAnsi="仿宋" w:eastAsia="仿宋"/>
                <w:szCs w:val="21"/>
              </w:rPr>
              <w:t>041-49</w:t>
            </w:r>
          </w:p>
        </w:tc>
        <w:tc>
          <w:tcPr>
            <w:tcW w:w="322" w:type="pct"/>
            <w:vAlign w:val="center"/>
          </w:tcPr>
          <w:p>
            <w:pPr>
              <w:jc w:val="center"/>
              <w:rPr>
                <w:rFonts w:ascii="仿宋" w:hAnsi="仿宋" w:eastAsia="仿宋"/>
                <w:szCs w:val="21"/>
              </w:rPr>
            </w:pPr>
            <w:r>
              <w:rPr>
                <w:rFonts w:hint="eastAsia" w:ascii="仿宋" w:hAnsi="仿宋" w:eastAsia="仿宋"/>
                <w:szCs w:val="21"/>
              </w:rPr>
              <w:t>1</w:t>
            </w:r>
          </w:p>
        </w:tc>
        <w:tc>
          <w:tcPr>
            <w:tcW w:w="382" w:type="pct"/>
            <w:vAlign w:val="center"/>
          </w:tcPr>
          <w:p>
            <w:pPr>
              <w:jc w:val="center"/>
              <w:rPr>
                <w:rFonts w:ascii="仿宋" w:hAnsi="仿宋" w:eastAsia="仿宋"/>
                <w:szCs w:val="21"/>
              </w:rPr>
            </w:pPr>
            <w:r>
              <w:rPr>
                <w:rFonts w:hint="eastAsia" w:ascii="仿宋" w:hAnsi="仿宋" w:eastAsia="仿宋"/>
                <w:szCs w:val="21"/>
              </w:rPr>
              <w:t>每天</w:t>
            </w:r>
          </w:p>
        </w:tc>
        <w:tc>
          <w:tcPr>
            <w:tcW w:w="382" w:type="pct"/>
            <w:vMerge w:val="continue"/>
            <w:vAlign w:val="center"/>
          </w:tcPr>
          <w:p>
            <w:pPr>
              <w:jc w:val="center"/>
              <w:rPr>
                <w:rFonts w:ascii="仿宋" w:hAnsi="仿宋" w:eastAsia="仿宋"/>
                <w:szCs w:val="21"/>
              </w:rPr>
            </w:pPr>
          </w:p>
        </w:tc>
        <w:tc>
          <w:tcPr>
            <w:tcW w:w="379" w:type="pct"/>
            <w:vAlign w:val="center"/>
          </w:tcPr>
          <w:p>
            <w:pPr>
              <w:jc w:val="center"/>
              <w:rPr>
                <w:rFonts w:ascii="仿宋" w:hAnsi="仿宋" w:eastAsia="仿宋"/>
                <w:szCs w:val="21"/>
              </w:rPr>
            </w:pPr>
            <w:r>
              <w:rPr>
                <w:rFonts w:hint="eastAsia" w:ascii="仿宋" w:hAnsi="仿宋" w:eastAsia="仿宋"/>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222" w:type="pct"/>
            <w:vAlign w:val="center"/>
          </w:tcPr>
          <w:p>
            <w:pPr>
              <w:jc w:val="center"/>
              <w:rPr>
                <w:rFonts w:ascii="仿宋" w:hAnsi="仿宋" w:eastAsia="仿宋"/>
                <w:sz w:val="22"/>
                <w:szCs w:val="22"/>
              </w:rPr>
            </w:pPr>
            <w:r>
              <w:rPr>
                <w:rFonts w:hint="eastAsia" w:ascii="仿宋" w:hAnsi="仿宋" w:eastAsia="仿宋"/>
                <w:sz w:val="22"/>
                <w:szCs w:val="22"/>
              </w:rPr>
              <w:t>7</w:t>
            </w:r>
          </w:p>
        </w:tc>
        <w:tc>
          <w:tcPr>
            <w:tcW w:w="473" w:type="pct"/>
            <w:vAlign w:val="center"/>
          </w:tcPr>
          <w:p>
            <w:pPr>
              <w:widowControl/>
              <w:jc w:val="center"/>
              <w:rPr>
                <w:rFonts w:ascii="仿宋" w:hAnsi="仿宋" w:eastAsia="仿宋"/>
                <w:kern w:val="0"/>
                <w:szCs w:val="21"/>
              </w:rPr>
            </w:pPr>
            <w:r>
              <w:rPr>
                <w:rFonts w:hint="eastAsia" w:ascii="仿宋" w:hAnsi="仿宋" w:eastAsia="仿宋"/>
                <w:kern w:val="0"/>
                <w:szCs w:val="21"/>
              </w:rPr>
              <w:t>S6</w:t>
            </w:r>
          </w:p>
        </w:tc>
        <w:tc>
          <w:tcPr>
            <w:tcW w:w="323" w:type="pct"/>
            <w:tcMar>
              <w:left w:w="0" w:type="dxa"/>
              <w:right w:w="0" w:type="dxa"/>
            </w:tcMar>
            <w:vAlign w:val="center"/>
          </w:tcPr>
          <w:p>
            <w:pPr>
              <w:widowControl/>
              <w:jc w:val="center"/>
              <w:rPr>
                <w:rFonts w:ascii="仿宋" w:hAnsi="仿宋" w:eastAsia="仿宋"/>
                <w:kern w:val="0"/>
                <w:szCs w:val="21"/>
              </w:rPr>
            </w:pPr>
            <w:r>
              <w:rPr>
                <w:rFonts w:hint="eastAsia" w:ascii="仿宋" w:hAnsi="仿宋" w:eastAsia="仿宋"/>
                <w:kern w:val="0"/>
                <w:szCs w:val="21"/>
              </w:rPr>
              <w:t>废机油</w:t>
            </w:r>
          </w:p>
        </w:tc>
        <w:tc>
          <w:tcPr>
            <w:tcW w:w="338" w:type="pct"/>
            <w:tcMar>
              <w:left w:w="0" w:type="dxa"/>
              <w:right w:w="0" w:type="dxa"/>
            </w:tcMar>
            <w:vAlign w:val="center"/>
          </w:tcPr>
          <w:p>
            <w:pPr>
              <w:jc w:val="center"/>
              <w:rPr>
                <w:rFonts w:ascii="仿宋" w:hAnsi="仿宋" w:eastAsia="仿宋"/>
                <w:szCs w:val="21"/>
              </w:rPr>
            </w:pPr>
            <w:r>
              <w:rPr>
                <w:rFonts w:hint="eastAsia" w:ascii="仿宋" w:hAnsi="仿宋" w:eastAsia="仿宋"/>
                <w:szCs w:val="21"/>
              </w:rPr>
              <w:t>危险废物</w:t>
            </w:r>
          </w:p>
        </w:tc>
        <w:tc>
          <w:tcPr>
            <w:tcW w:w="250" w:type="pct"/>
            <w:tcMar>
              <w:left w:w="0" w:type="dxa"/>
              <w:right w:w="0" w:type="dxa"/>
            </w:tcMar>
            <w:vAlign w:val="center"/>
          </w:tcPr>
          <w:p>
            <w:pPr>
              <w:widowControl/>
              <w:jc w:val="center"/>
              <w:rPr>
                <w:rFonts w:ascii="仿宋" w:hAnsi="仿宋" w:eastAsia="仿宋"/>
                <w:szCs w:val="21"/>
              </w:rPr>
            </w:pPr>
            <w:r>
              <w:rPr>
                <w:rFonts w:hint="eastAsia" w:ascii="仿宋" w:hAnsi="仿宋" w:eastAsia="仿宋"/>
                <w:kern w:val="0"/>
                <w:szCs w:val="21"/>
              </w:rPr>
              <w:t>维修</w:t>
            </w:r>
          </w:p>
        </w:tc>
        <w:tc>
          <w:tcPr>
            <w:tcW w:w="167" w:type="pct"/>
            <w:tcMar>
              <w:left w:w="0" w:type="dxa"/>
              <w:right w:w="0" w:type="dxa"/>
            </w:tcMar>
            <w:vAlign w:val="center"/>
          </w:tcPr>
          <w:p>
            <w:pPr>
              <w:tabs>
                <w:tab w:val="left" w:pos="3240"/>
              </w:tabs>
              <w:adjustRightInd w:val="0"/>
              <w:snapToGrid w:val="0"/>
              <w:jc w:val="center"/>
              <w:rPr>
                <w:rFonts w:ascii="仿宋" w:hAnsi="仿宋" w:eastAsia="仿宋"/>
                <w:szCs w:val="21"/>
              </w:rPr>
            </w:pPr>
            <w:r>
              <w:rPr>
                <w:rFonts w:hint="eastAsia" w:ascii="仿宋" w:hAnsi="仿宋" w:eastAsia="仿宋"/>
                <w:bCs/>
                <w:kern w:val="0"/>
                <w:szCs w:val="21"/>
              </w:rPr>
              <w:t>液</w:t>
            </w:r>
          </w:p>
        </w:tc>
        <w:tc>
          <w:tcPr>
            <w:tcW w:w="479" w:type="pct"/>
            <w:tcMar>
              <w:left w:w="0" w:type="dxa"/>
              <w:right w:w="0" w:type="dxa"/>
            </w:tcMar>
            <w:vAlign w:val="center"/>
          </w:tcPr>
          <w:p>
            <w:pPr>
              <w:tabs>
                <w:tab w:val="left" w:pos="3240"/>
              </w:tabs>
              <w:adjustRightInd w:val="0"/>
              <w:snapToGrid w:val="0"/>
              <w:jc w:val="center"/>
              <w:rPr>
                <w:rFonts w:ascii="仿宋" w:hAnsi="仿宋" w:eastAsia="仿宋"/>
                <w:szCs w:val="21"/>
              </w:rPr>
            </w:pPr>
            <w:r>
              <w:rPr>
                <w:rFonts w:hint="eastAsia" w:ascii="仿宋" w:hAnsi="仿宋" w:eastAsia="仿宋"/>
                <w:bCs/>
                <w:kern w:val="0"/>
                <w:szCs w:val="21"/>
              </w:rPr>
              <w:t>机油</w:t>
            </w:r>
          </w:p>
        </w:tc>
        <w:tc>
          <w:tcPr>
            <w:tcW w:w="261" w:type="pct"/>
            <w:vMerge w:val="continue"/>
            <w:tcMar>
              <w:left w:w="0" w:type="dxa"/>
              <w:right w:w="0" w:type="dxa"/>
            </w:tcMar>
            <w:vAlign w:val="center"/>
          </w:tcPr>
          <w:p>
            <w:pPr>
              <w:tabs>
                <w:tab w:val="left" w:pos="3240"/>
              </w:tabs>
              <w:adjustRightInd w:val="0"/>
              <w:snapToGrid w:val="0"/>
              <w:jc w:val="center"/>
              <w:rPr>
                <w:rFonts w:ascii="仿宋" w:hAnsi="仿宋" w:eastAsia="仿宋"/>
                <w:bCs/>
                <w:kern w:val="0"/>
                <w:szCs w:val="21"/>
              </w:rPr>
            </w:pPr>
          </w:p>
        </w:tc>
        <w:tc>
          <w:tcPr>
            <w:tcW w:w="214" w:type="pct"/>
            <w:vAlign w:val="center"/>
          </w:tcPr>
          <w:p>
            <w:pPr>
              <w:jc w:val="center"/>
              <w:rPr>
                <w:rFonts w:ascii="仿宋" w:hAnsi="仿宋" w:eastAsia="仿宋"/>
                <w:szCs w:val="21"/>
              </w:rPr>
            </w:pPr>
            <w:r>
              <w:rPr>
                <w:rFonts w:ascii="仿宋" w:hAnsi="仿宋" w:eastAsia="仿宋"/>
                <w:szCs w:val="21"/>
              </w:rPr>
              <w:t>T,I</w:t>
            </w:r>
          </w:p>
        </w:tc>
        <w:tc>
          <w:tcPr>
            <w:tcW w:w="464" w:type="pct"/>
            <w:gridSpan w:val="2"/>
            <w:vAlign w:val="center"/>
          </w:tcPr>
          <w:p>
            <w:pPr>
              <w:jc w:val="center"/>
              <w:rPr>
                <w:rFonts w:ascii="仿宋" w:hAnsi="仿宋" w:eastAsia="仿宋"/>
                <w:szCs w:val="21"/>
              </w:rPr>
            </w:pPr>
            <w:r>
              <w:rPr>
                <w:rFonts w:hint="eastAsia" w:ascii="仿宋" w:hAnsi="仿宋" w:eastAsia="仿宋"/>
                <w:szCs w:val="21"/>
              </w:rPr>
              <w:t>HW08</w:t>
            </w:r>
          </w:p>
        </w:tc>
        <w:tc>
          <w:tcPr>
            <w:tcW w:w="341" w:type="pct"/>
            <w:vAlign w:val="center"/>
          </w:tcPr>
          <w:p>
            <w:pPr>
              <w:jc w:val="center"/>
              <w:rPr>
                <w:rFonts w:ascii="仿宋" w:hAnsi="仿宋" w:eastAsia="仿宋"/>
                <w:szCs w:val="21"/>
              </w:rPr>
            </w:pPr>
            <w:r>
              <w:rPr>
                <w:rFonts w:hint="eastAsia" w:ascii="仿宋" w:hAnsi="仿宋" w:eastAsia="仿宋"/>
                <w:szCs w:val="21"/>
              </w:rPr>
              <w:t>900-249-08</w:t>
            </w:r>
          </w:p>
        </w:tc>
        <w:tc>
          <w:tcPr>
            <w:tcW w:w="322" w:type="pct"/>
            <w:vAlign w:val="center"/>
          </w:tcPr>
          <w:p>
            <w:pPr>
              <w:jc w:val="center"/>
              <w:rPr>
                <w:rFonts w:ascii="仿宋" w:hAnsi="仿宋" w:eastAsia="仿宋"/>
                <w:szCs w:val="21"/>
              </w:rPr>
            </w:pPr>
            <w:r>
              <w:rPr>
                <w:rFonts w:hint="eastAsia" w:ascii="仿宋" w:hAnsi="仿宋" w:eastAsia="仿宋"/>
                <w:szCs w:val="21"/>
              </w:rPr>
              <w:t>0.3</w:t>
            </w:r>
          </w:p>
        </w:tc>
        <w:tc>
          <w:tcPr>
            <w:tcW w:w="382" w:type="pct"/>
            <w:vAlign w:val="center"/>
          </w:tcPr>
          <w:p>
            <w:pPr>
              <w:jc w:val="center"/>
              <w:rPr>
                <w:rFonts w:ascii="仿宋" w:hAnsi="仿宋" w:eastAsia="仿宋"/>
                <w:szCs w:val="21"/>
              </w:rPr>
            </w:pPr>
            <w:r>
              <w:rPr>
                <w:rFonts w:hint="eastAsia" w:ascii="仿宋" w:hAnsi="仿宋" w:eastAsia="仿宋"/>
                <w:szCs w:val="21"/>
              </w:rPr>
              <w:t>每天</w:t>
            </w:r>
          </w:p>
        </w:tc>
        <w:tc>
          <w:tcPr>
            <w:tcW w:w="382" w:type="pct"/>
            <w:vMerge w:val="continue"/>
            <w:vAlign w:val="center"/>
          </w:tcPr>
          <w:p>
            <w:pPr>
              <w:jc w:val="center"/>
              <w:rPr>
                <w:rFonts w:ascii="仿宋" w:hAnsi="仿宋" w:eastAsia="仿宋"/>
                <w:szCs w:val="21"/>
              </w:rPr>
            </w:pPr>
          </w:p>
        </w:tc>
        <w:tc>
          <w:tcPr>
            <w:tcW w:w="379" w:type="pct"/>
            <w:vAlign w:val="center"/>
          </w:tcPr>
          <w:p>
            <w:pPr>
              <w:jc w:val="center"/>
              <w:rPr>
                <w:rFonts w:ascii="仿宋" w:hAnsi="仿宋" w:eastAsia="仿宋"/>
                <w:szCs w:val="21"/>
              </w:rPr>
            </w:pPr>
            <w:r>
              <w:rPr>
                <w:rFonts w:hint="eastAsia" w:ascii="仿宋" w:hAnsi="仿宋" w:eastAsia="仿宋"/>
                <w:szCs w:val="21"/>
              </w:rPr>
              <w:t>0</w:t>
            </w:r>
          </w:p>
        </w:tc>
      </w:tr>
    </w:tbl>
    <w:p>
      <w:pPr>
        <w:spacing w:line="500" w:lineRule="exact"/>
        <w:ind w:firstLine="560" w:firstLineChars="200"/>
        <w:rPr>
          <w:rFonts w:eastAsia="仿宋_GB2312"/>
          <w:sz w:val="28"/>
          <w:szCs w:val="21"/>
        </w:rPr>
      </w:pPr>
    </w:p>
    <w:p>
      <w:pPr>
        <w:spacing w:line="500" w:lineRule="exact"/>
        <w:ind w:firstLine="560" w:firstLineChars="200"/>
        <w:rPr>
          <w:rFonts w:eastAsia="仿宋_GB2312"/>
          <w:sz w:val="28"/>
          <w:szCs w:val="21"/>
        </w:rPr>
      </w:pPr>
    </w:p>
    <w:p/>
    <w:p>
      <w:pPr>
        <w:pStyle w:val="33"/>
      </w:pPr>
    </w:p>
    <w:p>
      <w:pPr>
        <w:pStyle w:val="45"/>
      </w:pPr>
    </w:p>
    <w:p>
      <w:pPr>
        <w:pStyle w:val="45"/>
        <w:sectPr>
          <w:pgSz w:w="16838" w:h="11906" w:orient="landscape"/>
          <w:pgMar w:top="1800" w:right="1440" w:bottom="1800" w:left="1440" w:header="851" w:footer="992" w:gutter="0"/>
          <w:cols w:space="425" w:num="1"/>
          <w:docGrid w:linePitch="312" w:charSpace="0"/>
        </w:sectPr>
      </w:pPr>
    </w:p>
    <w:p>
      <w:pPr>
        <w:spacing w:line="500" w:lineRule="exact"/>
        <w:ind w:firstLine="560" w:firstLineChars="200"/>
        <w:rPr>
          <w:rFonts w:eastAsia="仿宋_GB2312"/>
          <w:sz w:val="28"/>
          <w:szCs w:val="28"/>
        </w:rPr>
      </w:pPr>
      <w:r>
        <w:rPr>
          <w:rFonts w:eastAsia="仿宋_GB2312"/>
          <w:kern w:val="44"/>
          <w:sz w:val="28"/>
          <w:szCs w:val="28"/>
        </w:rPr>
        <w:t>本项目产生</w:t>
      </w:r>
      <w:r>
        <w:rPr>
          <w:rFonts w:hint="eastAsia" w:eastAsia="仿宋_GB2312"/>
          <w:kern w:val="44"/>
          <w:sz w:val="28"/>
          <w:szCs w:val="28"/>
        </w:rPr>
        <w:t>的一般固废</w:t>
      </w:r>
      <w:r>
        <w:rPr>
          <w:rFonts w:eastAsia="仿宋_GB2312"/>
          <w:kern w:val="44"/>
          <w:sz w:val="28"/>
          <w:szCs w:val="28"/>
        </w:rPr>
        <w:t>外售综合利用，</w:t>
      </w:r>
      <w:r>
        <w:rPr>
          <w:rFonts w:hint="eastAsia" w:eastAsia="仿宋_GB2312"/>
          <w:kern w:val="44"/>
          <w:sz w:val="28"/>
          <w:szCs w:val="28"/>
        </w:rPr>
        <w:t>生活垃圾</w:t>
      </w:r>
      <w:r>
        <w:rPr>
          <w:rFonts w:eastAsia="仿宋_GB2312"/>
          <w:kern w:val="44"/>
          <w:sz w:val="28"/>
          <w:szCs w:val="28"/>
        </w:rPr>
        <w:t>由环卫部门统一收集处理，</w:t>
      </w:r>
      <w:r>
        <w:rPr>
          <w:rFonts w:hint="eastAsia" w:eastAsia="仿宋_GB2312"/>
          <w:kern w:val="44"/>
          <w:sz w:val="28"/>
          <w:szCs w:val="28"/>
        </w:rPr>
        <w:t>危险废物交由</w:t>
      </w:r>
      <w:r>
        <w:rPr>
          <w:rFonts w:eastAsia="仿宋_GB2312"/>
          <w:kern w:val="44"/>
          <w:sz w:val="28"/>
          <w:szCs w:val="28"/>
        </w:rPr>
        <w:t>有资质单位处置。</w:t>
      </w:r>
      <w:r>
        <w:rPr>
          <w:rFonts w:hint="eastAsia" w:eastAsia="仿宋_GB2312"/>
          <w:kern w:val="44"/>
          <w:sz w:val="28"/>
          <w:szCs w:val="28"/>
        </w:rPr>
        <w:t>固废100</w:t>
      </w:r>
      <w:r>
        <w:rPr>
          <w:rFonts w:eastAsia="仿宋_GB2312"/>
          <w:kern w:val="44"/>
          <w:sz w:val="28"/>
          <w:szCs w:val="28"/>
        </w:rPr>
        <w:t>%处理处置，零排放。</w:t>
      </w:r>
    </w:p>
    <w:p>
      <w:pPr>
        <w:pStyle w:val="4"/>
        <w:keepLines w:val="0"/>
        <w:numPr>
          <w:ilvl w:val="2"/>
          <w:numId w:val="1"/>
        </w:numPr>
        <w:tabs>
          <w:tab w:val="left" w:pos="709"/>
        </w:tabs>
        <w:spacing w:before="0" w:after="120" w:afterLines="50" w:line="500" w:lineRule="exact"/>
        <w:ind w:left="0" w:firstLine="0"/>
        <w:rPr>
          <w:rFonts w:eastAsia="仿宋_GB2312"/>
          <w:bCs w:val="0"/>
          <w:sz w:val="28"/>
        </w:rPr>
      </w:pPr>
      <w:r>
        <w:rPr>
          <w:rFonts w:hint="eastAsia" w:eastAsia="仿宋_GB2312"/>
          <w:bCs w:val="0"/>
          <w:sz w:val="28"/>
        </w:rPr>
        <w:t>危险废物</w:t>
      </w:r>
      <w:r>
        <w:rPr>
          <w:rFonts w:eastAsia="仿宋_GB2312"/>
          <w:bCs w:val="0"/>
          <w:sz w:val="28"/>
        </w:rPr>
        <w:t>处置可行性</w:t>
      </w:r>
    </w:p>
    <w:p>
      <w:pPr>
        <w:pStyle w:val="50"/>
        <w:spacing w:line="496" w:lineRule="exact"/>
        <w:rPr>
          <w:rFonts w:ascii="Times New Roman"/>
          <w:szCs w:val="28"/>
        </w:rPr>
      </w:pPr>
      <w:r>
        <w:rPr>
          <w:rFonts w:hint="eastAsia" w:ascii="Times New Roman"/>
          <w:szCs w:val="28"/>
        </w:rPr>
        <w:t>（1）处理能力可行性分析</w:t>
      </w:r>
    </w:p>
    <w:p>
      <w:pPr>
        <w:spacing w:line="500" w:lineRule="exact"/>
        <w:ind w:firstLine="560" w:firstLineChars="200"/>
        <w:rPr>
          <w:rFonts w:eastAsia="仿宋_GB2312"/>
          <w:kern w:val="44"/>
          <w:sz w:val="28"/>
          <w:szCs w:val="28"/>
        </w:rPr>
      </w:pPr>
      <w:r>
        <w:rPr>
          <w:rFonts w:hint="eastAsia" w:eastAsia="仿宋_GB2312"/>
          <w:kern w:val="44"/>
          <w:sz w:val="28"/>
          <w:szCs w:val="28"/>
        </w:rPr>
        <w:t>本项目废清洗液</w:t>
      </w:r>
      <w:r>
        <w:rPr>
          <w:rFonts w:eastAsia="仿宋_GB2312"/>
          <w:kern w:val="44"/>
          <w:sz w:val="28"/>
          <w:szCs w:val="28"/>
        </w:rPr>
        <w:t>、废机油</w:t>
      </w:r>
      <w:r>
        <w:rPr>
          <w:rFonts w:hint="eastAsia" w:eastAsia="仿宋_GB2312"/>
          <w:kern w:val="44"/>
          <w:sz w:val="28"/>
          <w:szCs w:val="28"/>
        </w:rPr>
        <w:t>、废胶水意向</w:t>
      </w:r>
      <w:r>
        <w:rPr>
          <w:rFonts w:eastAsia="仿宋_GB2312"/>
          <w:kern w:val="44"/>
          <w:sz w:val="28"/>
          <w:szCs w:val="28"/>
        </w:rPr>
        <w:t>将</w:t>
      </w:r>
      <w:r>
        <w:rPr>
          <w:rFonts w:hint="eastAsia" w:eastAsia="仿宋_GB2312"/>
          <w:kern w:val="44"/>
          <w:sz w:val="28"/>
          <w:szCs w:val="28"/>
        </w:rPr>
        <w:t>与常州市</w:t>
      </w:r>
      <w:r>
        <w:rPr>
          <w:rFonts w:eastAsia="仿宋_GB2312"/>
          <w:kern w:val="44"/>
          <w:sz w:val="28"/>
          <w:szCs w:val="28"/>
        </w:rPr>
        <w:t>风华环保有限公司签订处置协议，</w:t>
      </w:r>
      <w:r>
        <w:rPr>
          <w:rFonts w:hint="eastAsia" w:eastAsia="仿宋_GB2312"/>
          <w:kern w:val="44"/>
          <w:sz w:val="28"/>
          <w:szCs w:val="28"/>
        </w:rPr>
        <w:t>废原料桶、废抹布手套意向</w:t>
      </w:r>
      <w:r>
        <w:rPr>
          <w:rFonts w:eastAsia="仿宋_GB2312"/>
          <w:kern w:val="44"/>
          <w:sz w:val="28"/>
          <w:szCs w:val="28"/>
        </w:rPr>
        <w:t>将</w:t>
      </w:r>
      <w:r>
        <w:rPr>
          <w:rFonts w:hint="eastAsia" w:eastAsia="仿宋_GB2312"/>
          <w:kern w:val="44"/>
          <w:sz w:val="28"/>
          <w:szCs w:val="28"/>
        </w:rPr>
        <w:t>与</w:t>
      </w:r>
      <w:r>
        <w:rPr>
          <w:rFonts w:eastAsia="仿宋_GB2312"/>
          <w:kern w:val="44"/>
          <w:sz w:val="28"/>
          <w:szCs w:val="28"/>
        </w:rPr>
        <w:t>南通天地</w:t>
      </w:r>
      <w:r>
        <w:rPr>
          <w:rFonts w:hint="eastAsia" w:eastAsia="仿宋_GB2312"/>
          <w:kern w:val="44"/>
          <w:sz w:val="28"/>
          <w:szCs w:val="28"/>
        </w:rPr>
        <w:t>和</w:t>
      </w:r>
      <w:r>
        <w:rPr>
          <w:rFonts w:eastAsia="仿宋_GB2312"/>
          <w:kern w:val="44"/>
          <w:sz w:val="28"/>
          <w:szCs w:val="28"/>
        </w:rPr>
        <w:t>环保科技有限公司签订处置协议。</w:t>
      </w:r>
    </w:p>
    <w:p>
      <w:pPr>
        <w:spacing w:line="500" w:lineRule="exact"/>
        <w:ind w:firstLine="560" w:firstLineChars="200"/>
        <w:rPr>
          <w:rFonts w:eastAsia="仿宋_GB2312"/>
          <w:kern w:val="44"/>
          <w:sz w:val="28"/>
          <w:szCs w:val="28"/>
        </w:rPr>
      </w:pPr>
      <w:r>
        <w:rPr>
          <w:rFonts w:eastAsia="仿宋_GB2312"/>
          <w:kern w:val="44"/>
          <w:sz w:val="28"/>
          <w:szCs w:val="28"/>
        </w:rPr>
        <w:t>南通天地</w:t>
      </w:r>
      <w:r>
        <w:rPr>
          <w:rFonts w:hint="eastAsia" w:eastAsia="仿宋_GB2312"/>
          <w:kern w:val="44"/>
          <w:sz w:val="28"/>
          <w:szCs w:val="28"/>
        </w:rPr>
        <w:t>和</w:t>
      </w:r>
      <w:r>
        <w:rPr>
          <w:rFonts w:eastAsia="仿宋_GB2312"/>
          <w:kern w:val="44"/>
          <w:sz w:val="28"/>
          <w:szCs w:val="28"/>
        </w:rPr>
        <w:t>环保科技有限公司</w:t>
      </w:r>
      <w:r>
        <w:rPr>
          <w:rFonts w:hint="eastAsia" w:eastAsia="仿宋_GB2312"/>
          <w:kern w:val="44"/>
          <w:sz w:val="28"/>
          <w:szCs w:val="28"/>
        </w:rPr>
        <w:t>位于启东市滨海工业园区中泰路12号，</w:t>
      </w:r>
      <w:r>
        <w:rPr>
          <w:rFonts w:eastAsia="仿宋_GB2312"/>
          <w:kern w:val="44"/>
          <w:sz w:val="28"/>
          <w:szCs w:val="28"/>
        </w:rPr>
        <w:t>经</w:t>
      </w:r>
      <w:r>
        <w:rPr>
          <w:rFonts w:hint="eastAsia" w:eastAsia="仿宋_GB2312"/>
          <w:kern w:val="44"/>
          <w:sz w:val="28"/>
          <w:szCs w:val="28"/>
        </w:rPr>
        <w:t>南通</w:t>
      </w:r>
      <w:r>
        <w:rPr>
          <w:rFonts w:eastAsia="仿宋_GB2312"/>
          <w:kern w:val="44"/>
          <w:sz w:val="28"/>
          <w:szCs w:val="28"/>
        </w:rPr>
        <w:t>市</w:t>
      </w:r>
      <w:r>
        <w:rPr>
          <w:rFonts w:hint="eastAsia" w:eastAsia="仿宋_GB2312"/>
          <w:kern w:val="44"/>
          <w:sz w:val="28"/>
          <w:szCs w:val="28"/>
        </w:rPr>
        <w:t>环境保护</w:t>
      </w:r>
      <w:r>
        <w:rPr>
          <w:rFonts w:eastAsia="仿宋_GB2312"/>
          <w:kern w:val="44"/>
          <w:sz w:val="28"/>
          <w:szCs w:val="28"/>
        </w:rPr>
        <w:t>局颁发《危险废物经营许可证》。经营范围为</w:t>
      </w:r>
      <w:r>
        <w:rPr>
          <w:rFonts w:hint="eastAsia" w:eastAsia="仿宋_GB2312"/>
          <w:kern w:val="44"/>
          <w:sz w:val="28"/>
          <w:szCs w:val="28"/>
        </w:rPr>
        <w:t>清洗</w:t>
      </w:r>
      <w:r>
        <w:rPr>
          <w:rFonts w:eastAsia="仿宋_GB2312"/>
          <w:kern w:val="44"/>
          <w:sz w:val="28"/>
          <w:szCs w:val="28"/>
        </w:rPr>
        <w:t>处置含废矿物油、染料涂料废物、有机树脂类、废油、含醚废物、废卤化有机溶剂、废有机溶剂、废油漆的</w:t>
      </w:r>
      <w:r>
        <w:rPr>
          <w:rFonts w:hint="eastAsia" w:eastAsia="仿宋_GB2312"/>
          <w:kern w:val="44"/>
          <w:sz w:val="28"/>
          <w:szCs w:val="28"/>
        </w:rPr>
        <w:t>200L包装桶</w:t>
      </w:r>
      <w:r>
        <w:rPr>
          <w:rFonts w:eastAsia="仿宋_GB2312"/>
          <w:kern w:val="44"/>
          <w:sz w:val="28"/>
          <w:szCs w:val="28"/>
        </w:rPr>
        <w:t>（</w:t>
      </w:r>
      <w:r>
        <w:rPr>
          <w:rFonts w:hint="eastAsia" w:eastAsia="仿宋_GB2312"/>
          <w:kern w:val="44"/>
          <w:sz w:val="28"/>
          <w:szCs w:val="28"/>
        </w:rPr>
        <w:t>HW49</w:t>
      </w:r>
      <w:r>
        <w:rPr>
          <w:rFonts w:eastAsia="仿宋_GB2312"/>
          <w:kern w:val="44"/>
          <w:sz w:val="28"/>
          <w:szCs w:val="28"/>
        </w:rPr>
        <w:t>,900-041-49）</w:t>
      </w:r>
      <w:r>
        <w:rPr>
          <w:rFonts w:hint="eastAsia" w:eastAsia="仿宋_GB2312"/>
          <w:kern w:val="44"/>
          <w:sz w:val="28"/>
          <w:szCs w:val="28"/>
        </w:rPr>
        <w:t>340000只/年</w:t>
      </w:r>
      <w:r>
        <w:rPr>
          <w:rFonts w:eastAsia="仿宋_GB2312"/>
          <w:kern w:val="44"/>
          <w:sz w:val="28"/>
          <w:szCs w:val="28"/>
        </w:rPr>
        <w:t>（</w:t>
      </w:r>
      <w:r>
        <w:rPr>
          <w:rFonts w:hint="eastAsia" w:eastAsia="仿宋_GB2312"/>
          <w:kern w:val="44"/>
          <w:sz w:val="28"/>
          <w:szCs w:val="28"/>
        </w:rPr>
        <w:t>其中</w:t>
      </w:r>
      <w:r>
        <w:rPr>
          <w:rFonts w:eastAsia="仿宋_GB2312"/>
          <w:kern w:val="44"/>
          <w:sz w:val="28"/>
          <w:szCs w:val="28"/>
        </w:rPr>
        <w:t>废铁桶</w:t>
      </w:r>
      <w:r>
        <w:rPr>
          <w:rFonts w:hint="eastAsia" w:eastAsia="仿宋_GB2312"/>
          <w:kern w:val="44"/>
          <w:sz w:val="28"/>
          <w:szCs w:val="28"/>
        </w:rPr>
        <w:t>240000只</w:t>
      </w:r>
      <w:r>
        <w:rPr>
          <w:rFonts w:eastAsia="仿宋_GB2312"/>
          <w:kern w:val="44"/>
          <w:sz w:val="28"/>
          <w:szCs w:val="28"/>
        </w:rPr>
        <w:t>，废塑料桶</w:t>
      </w:r>
      <w:r>
        <w:rPr>
          <w:rFonts w:hint="eastAsia" w:eastAsia="仿宋_GB2312"/>
          <w:kern w:val="44"/>
          <w:sz w:val="28"/>
          <w:szCs w:val="28"/>
        </w:rPr>
        <w:t>100000只</w:t>
      </w:r>
      <w:r>
        <w:rPr>
          <w:rFonts w:eastAsia="仿宋_GB2312"/>
          <w:kern w:val="44"/>
          <w:sz w:val="28"/>
          <w:szCs w:val="28"/>
        </w:rPr>
        <w:t>）</w:t>
      </w:r>
      <w:r>
        <w:rPr>
          <w:rFonts w:hint="eastAsia" w:eastAsia="仿宋_GB2312"/>
          <w:kern w:val="44"/>
          <w:sz w:val="28"/>
          <w:szCs w:val="28"/>
        </w:rPr>
        <w:t>，5L-120L包装桶20000吨</w:t>
      </w:r>
      <w:r>
        <w:rPr>
          <w:rFonts w:eastAsia="仿宋_GB2312"/>
          <w:kern w:val="44"/>
          <w:sz w:val="28"/>
          <w:szCs w:val="28"/>
        </w:rPr>
        <w:t>/</w:t>
      </w:r>
      <w:r>
        <w:rPr>
          <w:rFonts w:hint="eastAsia" w:eastAsia="仿宋_GB2312"/>
          <w:kern w:val="44"/>
          <w:sz w:val="28"/>
          <w:szCs w:val="28"/>
        </w:rPr>
        <w:t>年</w:t>
      </w:r>
      <w:r>
        <w:rPr>
          <w:rFonts w:eastAsia="仿宋_GB2312"/>
          <w:kern w:val="44"/>
          <w:sz w:val="28"/>
          <w:szCs w:val="28"/>
        </w:rPr>
        <w:t>（</w:t>
      </w:r>
      <w:r>
        <w:rPr>
          <w:rFonts w:hint="eastAsia" w:eastAsia="仿宋_GB2312"/>
          <w:kern w:val="44"/>
          <w:sz w:val="28"/>
          <w:szCs w:val="28"/>
        </w:rPr>
        <w:t>其中</w:t>
      </w:r>
      <w:r>
        <w:rPr>
          <w:rFonts w:eastAsia="仿宋_GB2312"/>
          <w:kern w:val="44"/>
          <w:sz w:val="28"/>
          <w:szCs w:val="28"/>
        </w:rPr>
        <w:t>废铁桶</w:t>
      </w:r>
      <w:r>
        <w:rPr>
          <w:rFonts w:hint="eastAsia" w:eastAsia="仿宋_GB2312"/>
          <w:kern w:val="44"/>
          <w:sz w:val="28"/>
          <w:szCs w:val="28"/>
        </w:rPr>
        <w:t>15000吨，</w:t>
      </w:r>
      <w:r>
        <w:rPr>
          <w:rFonts w:eastAsia="仿宋_GB2312"/>
          <w:kern w:val="44"/>
          <w:sz w:val="28"/>
          <w:szCs w:val="28"/>
        </w:rPr>
        <w:t>废塑料桶</w:t>
      </w:r>
      <w:r>
        <w:rPr>
          <w:rFonts w:hint="eastAsia" w:eastAsia="仿宋_GB2312"/>
          <w:kern w:val="44"/>
          <w:sz w:val="28"/>
          <w:szCs w:val="28"/>
        </w:rPr>
        <w:t>5000吨</w:t>
      </w:r>
      <w:r>
        <w:rPr>
          <w:rFonts w:eastAsia="仿宋_GB2312"/>
          <w:kern w:val="44"/>
          <w:sz w:val="28"/>
          <w:szCs w:val="28"/>
        </w:rPr>
        <w:t>）</w:t>
      </w:r>
      <w:r>
        <w:rPr>
          <w:rFonts w:hint="eastAsia" w:eastAsia="仿宋_GB2312"/>
          <w:kern w:val="44"/>
          <w:sz w:val="28"/>
          <w:szCs w:val="28"/>
        </w:rPr>
        <w:t>，IBC吨桶10000只/年。</w:t>
      </w:r>
      <w:r>
        <w:rPr>
          <w:rFonts w:eastAsia="仿宋_GB2312"/>
          <w:kern w:val="44"/>
          <w:sz w:val="28"/>
          <w:szCs w:val="28"/>
        </w:rPr>
        <w:t>本项目产生</w:t>
      </w:r>
      <w:r>
        <w:rPr>
          <w:rFonts w:hint="eastAsia" w:eastAsia="仿宋_GB2312"/>
          <w:kern w:val="44"/>
          <w:sz w:val="28"/>
          <w:szCs w:val="28"/>
        </w:rPr>
        <w:t>废有机溶剂</w:t>
      </w:r>
      <w:r>
        <w:rPr>
          <w:rFonts w:eastAsia="仿宋_GB2312"/>
          <w:kern w:val="44"/>
          <w:sz w:val="28"/>
          <w:szCs w:val="28"/>
        </w:rPr>
        <w:t>包装物</w:t>
      </w:r>
      <w:r>
        <w:rPr>
          <w:rFonts w:hint="eastAsia" w:eastAsia="仿宋_GB2312"/>
          <w:kern w:val="44"/>
          <w:sz w:val="28"/>
          <w:szCs w:val="28"/>
        </w:rPr>
        <w:t>（HW49，900</w:t>
      </w:r>
      <w:r>
        <w:rPr>
          <w:rFonts w:eastAsia="仿宋_GB2312"/>
          <w:kern w:val="44"/>
          <w:sz w:val="28"/>
          <w:szCs w:val="28"/>
        </w:rPr>
        <w:t>-041-49</w:t>
      </w:r>
      <w:r>
        <w:rPr>
          <w:rFonts w:hint="eastAsia" w:eastAsia="仿宋_GB2312"/>
          <w:kern w:val="44"/>
          <w:sz w:val="28"/>
          <w:szCs w:val="28"/>
        </w:rPr>
        <w:t>）2.2</w:t>
      </w:r>
      <w:r>
        <w:rPr>
          <w:rFonts w:eastAsia="仿宋_GB2312"/>
          <w:kern w:val="44"/>
          <w:sz w:val="28"/>
          <w:szCs w:val="28"/>
        </w:rPr>
        <w:t>t/a</w:t>
      </w:r>
      <w:r>
        <w:rPr>
          <w:rFonts w:hint="eastAsia" w:eastAsia="仿宋_GB2312"/>
          <w:kern w:val="44"/>
          <w:sz w:val="28"/>
          <w:szCs w:val="28"/>
        </w:rPr>
        <w:t>、废抹布手套（HW49，900</w:t>
      </w:r>
      <w:r>
        <w:rPr>
          <w:rFonts w:eastAsia="仿宋_GB2312"/>
          <w:kern w:val="44"/>
          <w:sz w:val="28"/>
          <w:szCs w:val="28"/>
        </w:rPr>
        <w:t>-041-49</w:t>
      </w:r>
      <w:r>
        <w:rPr>
          <w:rFonts w:hint="eastAsia" w:eastAsia="仿宋_GB2312"/>
          <w:kern w:val="44"/>
          <w:sz w:val="28"/>
          <w:szCs w:val="28"/>
        </w:rPr>
        <w:t>）1t/a</w:t>
      </w:r>
      <w:r>
        <w:rPr>
          <w:rFonts w:eastAsia="仿宋_GB2312"/>
          <w:kern w:val="44"/>
          <w:sz w:val="28"/>
          <w:szCs w:val="28"/>
        </w:rPr>
        <w:t>，在其处置能力及资质范围内，因此委托其处理是可行的。</w:t>
      </w:r>
    </w:p>
    <w:p>
      <w:pPr>
        <w:spacing w:line="500" w:lineRule="exact"/>
        <w:ind w:firstLine="560" w:firstLineChars="200"/>
        <w:rPr>
          <w:rFonts w:eastAsia="仿宋_GB2312"/>
          <w:kern w:val="44"/>
          <w:sz w:val="28"/>
          <w:szCs w:val="28"/>
        </w:rPr>
      </w:pPr>
      <w:r>
        <w:rPr>
          <w:rFonts w:hint="eastAsia" w:eastAsia="仿宋_GB2312"/>
          <w:kern w:val="44"/>
          <w:sz w:val="28"/>
          <w:szCs w:val="28"/>
        </w:rPr>
        <w:t>常州市风华</w:t>
      </w:r>
      <w:r>
        <w:rPr>
          <w:rFonts w:eastAsia="仿宋_GB2312"/>
          <w:kern w:val="44"/>
          <w:sz w:val="28"/>
          <w:szCs w:val="28"/>
        </w:rPr>
        <w:t>环保有限公司位于常州市钟楼经济开发区</w:t>
      </w:r>
      <w:r>
        <w:rPr>
          <w:rFonts w:hint="eastAsia" w:eastAsia="仿宋_GB2312"/>
          <w:kern w:val="44"/>
          <w:sz w:val="28"/>
          <w:szCs w:val="28"/>
        </w:rPr>
        <w:t>星港路65-28号，</w:t>
      </w:r>
      <w:r>
        <w:rPr>
          <w:rFonts w:eastAsia="仿宋_GB2312"/>
          <w:kern w:val="44"/>
          <w:sz w:val="28"/>
          <w:szCs w:val="28"/>
        </w:rPr>
        <w:t>经营范围为</w:t>
      </w:r>
      <w:r>
        <w:rPr>
          <w:rFonts w:hint="eastAsia" w:eastAsia="仿宋_GB2312"/>
          <w:kern w:val="44"/>
          <w:sz w:val="28"/>
          <w:szCs w:val="28"/>
        </w:rPr>
        <w:t>处置、利用废矿物油（HW08，251－001－08、900－199－08、900－200－08、900－201－08、900－203－08、900－204－08、900－209－08、900－210－08、900－214－08、900－216－08、900－217－08、900－218－08、900－219－08、900－220－08、900－249－08）10000吨/年，处置含废有机溶剂水洗液（HW06，900－401－06、900－402－06、900－403－06、900－404－06）15000吨/年，油/水，烃/水混合物或乳化液（HW09，900－005－09、900－006－09、900－007－09）30000吨/年，清洗/喷涂废液（HW12，900－250－12、900－251－12、900－252－12、900－253－12）15000吨/年，表面处理含油废液（HW17，336－052－17、336－053－17、336－054－17、336－055－17、336－056－17、336－057－17、336－058－17、336－060－17、336－062－17、336－063－17、336－064－17、336－066－17、336－069－17、336－101－17）15000吨/年，无机氟化物废物（HW32，900－056－32）和废酸（HW34，314－001－34、397－005－34、397－006－34、397－007－34、900－300-34、900－301－34、900－302－34、900－303－34、900－304－34、900－305－34、900－306－34、900－307－34、900－308－34、900－349－34）40000吨/年，废碱（HW35，900－350－35、900－351－35、900－352－35、900－353－35、900－354－35、900－355－35、900－356－35、900－399－35）10000吨/年。本项目废胶水（HW13</w:t>
      </w:r>
      <w:r>
        <w:rPr>
          <w:rFonts w:eastAsia="仿宋_GB2312"/>
          <w:kern w:val="44"/>
          <w:sz w:val="28"/>
          <w:szCs w:val="28"/>
        </w:rPr>
        <w:t>,900-0</w:t>
      </w:r>
      <w:r>
        <w:rPr>
          <w:rFonts w:hint="eastAsia" w:eastAsia="仿宋_GB2312"/>
          <w:kern w:val="44"/>
          <w:sz w:val="28"/>
          <w:szCs w:val="28"/>
        </w:rPr>
        <w:t>14</w:t>
      </w:r>
      <w:r>
        <w:rPr>
          <w:rFonts w:eastAsia="仿宋_GB2312"/>
          <w:kern w:val="44"/>
          <w:sz w:val="28"/>
          <w:szCs w:val="28"/>
        </w:rPr>
        <w:t>-</w:t>
      </w:r>
      <w:r>
        <w:rPr>
          <w:rFonts w:hint="eastAsia" w:eastAsia="仿宋_GB2312"/>
          <w:kern w:val="44"/>
          <w:sz w:val="28"/>
          <w:szCs w:val="28"/>
        </w:rPr>
        <w:t>13）50</w:t>
      </w:r>
      <w:r>
        <w:rPr>
          <w:rFonts w:eastAsia="仿宋_GB2312"/>
          <w:kern w:val="44"/>
          <w:sz w:val="28"/>
          <w:szCs w:val="28"/>
        </w:rPr>
        <w:t>t/a、废</w:t>
      </w:r>
      <w:r>
        <w:rPr>
          <w:rFonts w:hint="eastAsia" w:eastAsia="仿宋_GB2312"/>
          <w:kern w:val="44"/>
          <w:sz w:val="28"/>
          <w:szCs w:val="28"/>
        </w:rPr>
        <w:t>清洗液（H</w:t>
      </w:r>
      <w:r>
        <w:rPr>
          <w:rFonts w:eastAsia="仿宋_GB2312"/>
          <w:kern w:val="44"/>
          <w:sz w:val="28"/>
          <w:szCs w:val="28"/>
        </w:rPr>
        <w:t>W0</w:t>
      </w:r>
      <w:r>
        <w:rPr>
          <w:rFonts w:hint="eastAsia" w:eastAsia="仿宋_GB2312"/>
          <w:kern w:val="44"/>
          <w:sz w:val="28"/>
          <w:szCs w:val="28"/>
        </w:rPr>
        <w:t>6</w:t>
      </w:r>
      <w:r>
        <w:rPr>
          <w:rFonts w:eastAsia="仿宋_GB2312"/>
          <w:kern w:val="44"/>
          <w:sz w:val="28"/>
          <w:szCs w:val="28"/>
        </w:rPr>
        <w:t>,900-</w:t>
      </w:r>
      <w:r>
        <w:rPr>
          <w:rFonts w:hint="eastAsia" w:eastAsia="仿宋_GB2312"/>
          <w:kern w:val="44"/>
          <w:sz w:val="28"/>
          <w:szCs w:val="28"/>
        </w:rPr>
        <w:t>400</w:t>
      </w:r>
      <w:r>
        <w:rPr>
          <w:rFonts w:eastAsia="仿宋_GB2312"/>
          <w:kern w:val="44"/>
          <w:sz w:val="28"/>
          <w:szCs w:val="28"/>
        </w:rPr>
        <w:t>-0</w:t>
      </w:r>
      <w:r>
        <w:rPr>
          <w:rFonts w:hint="eastAsia" w:eastAsia="仿宋_GB2312"/>
          <w:kern w:val="44"/>
          <w:sz w:val="28"/>
          <w:szCs w:val="28"/>
        </w:rPr>
        <w:t>6）3.6</w:t>
      </w:r>
      <w:r>
        <w:rPr>
          <w:rFonts w:eastAsia="仿宋_GB2312"/>
          <w:kern w:val="44"/>
          <w:sz w:val="28"/>
          <w:szCs w:val="28"/>
        </w:rPr>
        <w:t>t/a</w:t>
      </w:r>
      <w:r>
        <w:rPr>
          <w:rFonts w:hint="eastAsia" w:eastAsia="仿宋_GB2312"/>
          <w:kern w:val="44"/>
          <w:sz w:val="28"/>
          <w:szCs w:val="28"/>
        </w:rPr>
        <w:t>、废机油（HW08,900-249-08）</w:t>
      </w:r>
      <w:r>
        <w:rPr>
          <w:rFonts w:eastAsia="仿宋_GB2312"/>
          <w:kern w:val="44"/>
          <w:sz w:val="28"/>
          <w:szCs w:val="28"/>
        </w:rPr>
        <w:t>在其处置能力及资质范围内，因此委托其处理是可行的。</w:t>
      </w:r>
    </w:p>
    <w:p>
      <w:pPr>
        <w:pStyle w:val="4"/>
        <w:keepLines w:val="0"/>
        <w:numPr>
          <w:ilvl w:val="2"/>
          <w:numId w:val="1"/>
        </w:numPr>
        <w:tabs>
          <w:tab w:val="left" w:pos="709"/>
        </w:tabs>
        <w:spacing w:before="0" w:after="120" w:afterLines="50" w:line="500" w:lineRule="exact"/>
        <w:ind w:left="0" w:firstLine="0"/>
        <w:rPr>
          <w:rFonts w:eastAsia="仿宋_GB2312"/>
          <w:bCs w:val="0"/>
          <w:sz w:val="28"/>
        </w:rPr>
      </w:pPr>
      <w:r>
        <w:rPr>
          <w:rFonts w:eastAsia="仿宋_GB2312"/>
          <w:bCs w:val="0"/>
          <w:sz w:val="28"/>
        </w:rPr>
        <w:t>经济可行性分析</w:t>
      </w:r>
    </w:p>
    <w:p>
      <w:pPr>
        <w:spacing w:line="500" w:lineRule="exact"/>
        <w:ind w:firstLine="560" w:firstLineChars="200"/>
        <w:rPr>
          <w:rFonts w:eastAsia="仿宋_GB2312"/>
          <w:sz w:val="28"/>
          <w:szCs w:val="28"/>
        </w:rPr>
      </w:pPr>
      <w:r>
        <w:rPr>
          <w:rFonts w:eastAsia="仿宋_GB2312"/>
          <w:sz w:val="28"/>
          <w:szCs w:val="28"/>
        </w:rPr>
        <w:t>本项目</w:t>
      </w:r>
      <w:r>
        <w:rPr>
          <w:rFonts w:hint="eastAsia" w:eastAsia="仿宋_GB2312"/>
          <w:sz w:val="28"/>
          <w:szCs w:val="28"/>
        </w:rPr>
        <w:t>产生</w:t>
      </w:r>
      <w:r>
        <w:rPr>
          <w:rFonts w:eastAsia="仿宋_GB2312"/>
          <w:sz w:val="28"/>
          <w:szCs w:val="28"/>
        </w:rPr>
        <w:t>危废</w:t>
      </w:r>
      <w:r>
        <w:rPr>
          <w:rFonts w:hint="eastAsia" w:eastAsia="仿宋_GB2312"/>
          <w:sz w:val="28"/>
          <w:szCs w:val="28"/>
        </w:rPr>
        <w:t>8.9</w:t>
      </w:r>
      <w:r>
        <w:rPr>
          <w:rFonts w:eastAsia="仿宋_GB2312"/>
          <w:sz w:val="28"/>
          <w:szCs w:val="28"/>
        </w:rPr>
        <w:t>t/a，总处置费用约为</w:t>
      </w:r>
      <w:r>
        <w:rPr>
          <w:rFonts w:hint="eastAsia" w:eastAsia="仿宋_GB2312"/>
          <w:sz w:val="28"/>
          <w:szCs w:val="28"/>
        </w:rPr>
        <w:t>25万</w:t>
      </w:r>
      <w:r>
        <w:rPr>
          <w:rFonts w:eastAsia="仿宋_GB2312"/>
          <w:bCs/>
          <w:sz w:val="28"/>
          <w:szCs w:val="28"/>
        </w:rPr>
        <w:t>元/年</w:t>
      </w:r>
      <w:r>
        <w:rPr>
          <w:rFonts w:eastAsia="仿宋_GB2312"/>
          <w:sz w:val="28"/>
          <w:szCs w:val="28"/>
        </w:rPr>
        <w:t>。本项目年产值</w:t>
      </w:r>
      <w:r>
        <w:rPr>
          <w:rFonts w:hint="eastAsia" w:eastAsia="仿宋_GB2312"/>
          <w:sz w:val="28"/>
          <w:szCs w:val="28"/>
        </w:rPr>
        <w:t>13000万</w:t>
      </w:r>
      <w:r>
        <w:rPr>
          <w:rFonts w:eastAsia="仿宋_GB2312"/>
          <w:sz w:val="28"/>
          <w:szCs w:val="28"/>
        </w:rPr>
        <w:t>元，年利润总额</w:t>
      </w:r>
      <w:r>
        <w:rPr>
          <w:rFonts w:hint="eastAsia" w:eastAsia="仿宋_GB2312"/>
          <w:sz w:val="28"/>
          <w:szCs w:val="28"/>
        </w:rPr>
        <w:t>为</w:t>
      </w:r>
      <w:r>
        <w:rPr>
          <w:rFonts w:eastAsia="仿宋_GB2312"/>
          <w:sz w:val="28"/>
          <w:szCs w:val="28"/>
        </w:rPr>
        <w:t>688万元，完全有能力处置危废。因此，本项目固废处置方案从经济方面论证可行的。</w:t>
      </w:r>
    </w:p>
    <w:p>
      <w:pPr>
        <w:pStyle w:val="4"/>
        <w:keepLines w:val="0"/>
        <w:numPr>
          <w:ilvl w:val="2"/>
          <w:numId w:val="1"/>
        </w:numPr>
        <w:tabs>
          <w:tab w:val="left" w:pos="709"/>
        </w:tabs>
        <w:spacing w:before="0" w:after="120" w:afterLines="50" w:line="500" w:lineRule="exact"/>
        <w:ind w:left="0" w:firstLine="0"/>
        <w:rPr>
          <w:rFonts w:eastAsia="仿宋_GB2312"/>
          <w:bCs w:val="0"/>
          <w:sz w:val="28"/>
        </w:rPr>
      </w:pPr>
      <w:r>
        <w:rPr>
          <w:rFonts w:hint="eastAsia" w:eastAsia="仿宋_GB2312"/>
          <w:bCs w:val="0"/>
          <w:sz w:val="28"/>
        </w:rPr>
        <w:t>贮存场所污染防治措施分析</w:t>
      </w:r>
    </w:p>
    <w:p>
      <w:pPr>
        <w:spacing w:line="500" w:lineRule="exact"/>
        <w:ind w:firstLine="560" w:firstLineChars="200"/>
        <w:rPr>
          <w:rFonts w:eastAsia="仿宋_GB2312"/>
          <w:sz w:val="28"/>
          <w:szCs w:val="28"/>
        </w:rPr>
      </w:pPr>
      <w:r>
        <w:rPr>
          <w:rFonts w:hint="eastAsia" w:eastAsia="仿宋_GB2312"/>
          <w:sz w:val="28"/>
          <w:szCs w:val="28"/>
        </w:rPr>
        <w:t>本项目依托租赁</w:t>
      </w:r>
      <w:r>
        <w:rPr>
          <w:rFonts w:eastAsia="仿宋_GB2312"/>
          <w:sz w:val="28"/>
          <w:szCs w:val="28"/>
        </w:rPr>
        <w:t>厂</w:t>
      </w:r>
      <w:r>
        <w:rPr>
          <w:rFonts w:hint="eastAsia" w:eastAsia="仿宋_GB2312"/>
          <w:sz w:val="28"/>
          <w:szCs w:val="28"/>
        </w:rPr>
        <w:t>方一座35m</w:t>
      </w:r>
      <w:r>
        <w:rPr>
          <w:rFonts w:hint="eastAsia" w:eastAsia="仿宋_GB2312"/>
          <w:sz w:val="28"/>
          <w:szCs w:val="28"/>
          <w:vertAlign w:val="superscript"/>
        </w:rPr>
        <w:t>2</w:t>
      </w:r>
      <w:r>
        <w:rPr>
          <w:rFonts w:hint="eastAsia" w:eastAsia="仿宋_GB2312"/>
          <w:sz w:val="28"/>
          <w:szCs w:val="28"/>
        </w:rPr>
        <w:t>危废仓库，其中</w:t>
      </w:r>
      <w:r>
        <w:rPr>
          <w:rFonts w:eastAsia="仿宋_GB2312"/>
          <w:sz w:val="28"/>
          <w:szCs w:val="28"/>
        </w:rPr>
        <w:t>一半的面积用于存在本项目</w:t>
      </w:r>
      <w:r>
        <w:rPr>
          <w:rFonts w:hint="eastAsia" w:eastAsia="仿宋_GB2312"/>
          <w:sz w:val="28"/>
          <w:szCs w:val="28"/>
        </w:rPr>
        <w:t>产生</w:t>
      </w:r>
      <w:r>
        <w:rPr>
          <w:rFonts w:eastAsia="仿宋_GB2312"/>
          <w:sz w:val="28"/>
          <w:szCs w:val="28"/>
        </w:rPr>
        <w:t>的危废，</w:t>
      </w:r>
      <w:r>
        <w:rPr>
          <w:rFonts w:hint="eastAsia" w:eastAsia="仿宋_GB2312"/>
          <w:sz w:val="28"/>
          <w:szCs w:val="28"/>
        </w:rPr>
        <w:t>本项目考虑分类堆放的危废之间设置间距30cm,另外库房内需设置一定的人行通道，实际堆放有效面积为15m</w:t>
      </w:r>
      <w:r>
        <w:rPr>
          <w:rFonts w:hint="eastAsia" w:eastAsia="仿宋_GB2312"/>
          <w:sz w:val="28"/>
          <w:szCs w:val="28"/>
          <w:vertAlign w:val="superscript"/>
        </w:rPr>
        <w:t>2</w:t>
      </w:r>
      <w:r>
        <w:rPr>
          <w:rFonts w:hint="eastAsia" w:eastAsia="仿宋_GB2312"/>
          <w:sz w:val="28"/>
          <w:szCs w:val="28"/>
        </w:rPr>
        <w:t>，类比同类行业危废仓库存储状况，仓库贮存容量约为2t/m</w:t>
      </w:r>
      <w:r>
        <w:rPr>
          <w:rFonts w:hint="eastAsia" w:eastAsia="仿宋_GB2312"/>
          <w:sz w:val="28"/>
          <w:szCs w:val="28"/>
          <w:vertAlign w:val="superscript"/>
        </w:rPr>
        <w:t>2</w:t>
      </w:r>
      <w:r>
        <w:rPr>
          <w:rFonts w:hint="eastAsia" w:eastAsia="仿宋_GB2312"/>
          <w:sz w:val="28"/>
          <w:szCs w:val="28"/>
        </w:rPr>
        <w:t>，则该危废库内最大存储能力为30t。本项目危废总产生量为8</w:t>
      </w:r>
      <w:r>
        <w:rPr>
          <w:rFonts w:eastAsia="仿宋_GB2312"/>
          <w:sz w:val="28"/>
          <w:szCs w:val="28"/>
        </w:rPr>
        <w:t>.914</w:t>
      </w:r>
      <w:r>
        <w:rPr>
          <w:rFonts w:hint="eastAsia" w:eastAsia="仿宋_GB2312"/>
          <w:sz w:val="28"/>
          <w:szCs w:val="28"/>
        </w:rPr>
        <w:t>t/a，因此危废库可满足企业全年危废3个月的贮存需求。企业应按照相关规范要求及时转运各类危废，控制危废在厂内贮存时间小于90天，即厂内每个危废仓库内危废每年至少转运4次。</w:t>
      </w:r>
    </w:p>
    <w:p>
      <w:pPr>
        <w:spacing w:line="500" w:lineRule="exact"/>
        <w:ind w:firstLine="560" w:firstLineChars="200"/>
        <w:rPr>
          <w:rFonts w:eastAsia="仿宋_GB2312"/>
        </w:rPr>
      </w:pPr>
      <w:r>
        <w:rPr>
          <w:rFonts w:hint="eastAsia" w:eastAsia="仿宋_GB2312"/>
          <w:sz w:val="28"/>
          <w:szCs w:val="28"/>
        </w:rPr>
        <w:t>根据《危险废物贮存污染控制标准》(GB18597-2023)中的相关要求，应使用符合标准的容器盛装危险固废;容器及材质要满足相应的强度要求;容器必须完好无损;容器和衬里要与危险固废相容（不互相反应)。</w:t>
      </w:r>
    </w:p>
    <w:p>
      <w:pPr>
        <w:spacing w:line="500" w:lineRule="exact"/>
        <w:ind w:firstLine="560" w:firstLineChars="200"/>
        <w:rPr>
          <w:rFonts w:eastAsia="仿宋_GB2312"/>
          <w:sz w:val="28"/>
          <w:szCs w:val="28"/>
        </w:rPr>
      </w:pPr>
      <w:r>
        <w:rPr>
          <w:rFonts w:hint="eastAsia" w:eastAsia="仿宋_GB2312"/>
          <w:sz w:val="28"/>
          <w:szCs w:val="28"/>
        </w:rPr>
        <w:t>企业应将固态危险固废装入塑料袋中密封，再将其放入纸板桶或塑料桶中密封保存,并分类堆放整齐;液态、半固态危险固废根据其反应性采用有放气孔的塑料桶或铁桶密封保存，在此基础上,本项目危险固废能够按照相关要求分类收集贮存，包装容器符合规定。</w:t>
      </w:r>
    </w:p>
    <w:p>
      <w:pPr>
        <w:spacing w:line="500" w:lineRule="exact"/>
        <w:ind w:firstLine="560" w:firstLineChars="200"/>
        <w:rPr>
          <w:rFonts w:eastAsia="仿宋_GB2312"/>
          <w:sz w:val="28"/>
          <w:szCs w:val="28"/>
        </w:rPr>
      </w:pPr>
      <w:r>
        <w:rPr>
          <w:rFonts w:hint="eastAsia" w:eastAsia="仿宋_GB2312"/>
          <w:sz w:val="28"/>
          <w:szCs w:val="28"/>
        </w:rPr>
        <w:t>考虑到</w:t>
      </w:r>
      <w:r>
        <w:rPr>
          <w:rFonts w:eastAsia="仿宋_GB2312"/>
          <w:sz w:val="28"/>
          <w:szCs w:val="28"/>
        </w:rPr>
        <w:t>危废库内少量的挥发性有机物贮存，会产生少量的有机废气，因此</w:t>
      </w:r>
      <w:r>
        <w:rPr>
          <w:rFonts w:hint="eastAsia" w:eastAsia="仿宋_GB2312"/>
          <w:sz w:val="28"/>
          <w:szCs w:val="28"/>
        </w:rPr>
        <w:t>本项目危废库</w:t>
      </w:r>
      <w:r>
        <w:rPr>
          <w:rFonts w:eastAsia="仿宋_GB2312"/>
          <w:sz w:val="28"/>
          <w:szCs w:val="28"/>
        </w:rPr>
        <w:t>设置二级活性炭吸附装置对危废库内产生的废气进行收集处置</w:t>
      </w:r>
      <w:r>
        <w:rPr>
          <w:rFonts w:hint="eastAsia" w:eastAsia="仿宋_GB2312"/>
          <w:sz w:val="28"/>
          <w:szCs w:val="28"/>
        </w:rPr>
        <w:t>处理后由一根1</w:t>
      </w:r>
      <w:r>
        <w:rPr>
          <w:rFonts w:eastAsia="仿宋_GB2312"/>
          <w:sz w:val="28"/>
          <w:szCs w:val="28"/>
        </w:rPr>
        <w:t>5</w:t>
      </w:r>
      <w:r>
        <w:rPr>
          <w:rFonts w:hint="eastAsia" w:eastAsia="仿宋_GB2312"/>
          <w:sz w:val="28"/>
          <w:szCs w:val="28"/>
        </w:rPr>
        <w:t>m高排气筒排放。</w:t>
      </w:r>
    </w:p>
    <w:p>
      <w:pPr>
        <w:pStyle w:val="4"/>
        <w:keepLines w:val="0"/>
        <w:numPr>
          <w:ilvl w:val="2"/>
          <w:numId w:val="1"/>
        </w:numPr>
        <w:tabs>
          <w:tab w:val="left" w:pos="709"/>
        </w:tabs>
        <w:spacing w:before="0" w:after="120" w:afterLines="50" w:line="500" w:lineRule="exact"/>
        <w:ind w:left="0" w:firstLine="0"/>
        <w:rPr>
          <w:rFonts w:eastAsia="仿宋_GB2312"/>
          <w:bCs w:val="0"/>
          <w:sz w:val="28"/>
        </w:rPr>
      </w:pPr>
      <w:r>
        <w:rPr>
          <w:rFonts w:hint="eastAsia" w:eastAsia="仿宋_GB2312"/>
          <w:bCs w:val="0"/>
          <w:sz w:val="28"/>
        </w:rPr>
        <w:t>运输过程的污染防治措施</w:t>
      </w:r>
    </w:p>
    <w:p>
      <w:pPr>
        <w:spacing w:line="500" w:lineRule="exact"/>
        <w:ind w:firstLine="560" w:firstLineChars="200"/>
        <w:rPr>
          <w:rFonts w:eastAsia="仿宋_GB2312"/>
          <w:sz w:val="28"/>
          <w:szCs w:val="28"/>
        </w:rPr>
      </w:pPr>
      <w:r>
        <w:rPr>
          <w:rFonts w:hint="eastAsia" w:eastAsia="仿宋_GB2312"/>
          <w:sz w:val="28"/>
          <w:szCs w:val="28"/>
        </w:rPr>
        <w:t>公路运输是危险废物的主要运输方式，因此汽车的装卸作业是造成废物污染的重要环节。其次，负责运输的汽车司机也担负不可推卸的重大责任。故在运输中，企业还将做到以下几点：</w:t>
      </w:r>
    </w:p>
    <w:p>
      <w:pPr>
        <w:spacing w:line="500" w:lineRule="exact"/>
        <w:ind w:firstLine="560" w:firstLineChars="200"/>
        <w:rPr>
          <w:rFonts w:eastAsia="仿宋_GB2312"/>
          <w:sz w:val="28"/>
          <w:szCs w:val="28"/>
        </w:rPr>
      </w:pPr>
      <w:r>
        <w:rPr>
          <w:rFonts w:hint="eastAsia" w:eastAsia="仿宋_GB2312"/>
          <w:sz w:val="28"/>
          <w:szCs w:val="28"/>
        </w:rPr>
        <w:t>（1）事先需做出周密的运输计划和行驶路线，其中应包括废物泄漏情况下的有效应急措施，报相关部门核准或备案，危险废物运输过程中严格按照既定路线行驶。</w:t>
      </w:r>
    </w:p>
    <w:p>
      <w:pPr>
        <w:spacing w:line="500" w:lineRule="exact"/>
        <w:ind w:firstLine="560" w:firstLineChars="200"/>
        <w:rPr>
          <w:rFonts w:eastAsia="仿宋_GB2312"/>
          <w:sz w:val="28"/>
          <w:szCs w:val="28"/>
        </w:rPr>
      </w:pPr>
      <w:r>
        <w:rPr>
          <w:rFonts w:hint="eastAsia" w:eastAsia="仿宋_GB2312"/>
          <w:sz w:val="28"/>
          <w:szCs w:val="28"/>
        </w:rPr>
        <w:t>（2）委托有危险废物运输资质的单位运输，承载危险废物的车辆必须有明显的标志或适当的危险符号，以引起关注。在运输过程中需持有运输许可证，其上注明废物来源、性质和运往地点。在废物运输车的前部、后部、车厢两侧设置废物专用警示标识。在驾驶室两侧张贴处理处置中心的名称和运送车辆编号。</w:t>
      </w:r>
    </w:p>
    <w:p>
      <w:pPr>
        <w:spacing w:line="500" w:lineRule="exact"/>
        <w:ind w:firstLine="560" w:firstLineChars="200"/>
        <w:rPr>
          <w:rFonts w:eastAsia="仿宋_GB2312"/>
          <w:sz w:val="28"/>
          <w:szCs w:val="28"/>
        </w:rPr>
      </w:pPr>
      <w:r>
        <w:rPr>
          <w:rFonts w:hint="eastAsia" w:eastAsia="仿宋_GB2312"/>
          <w:sz w:val="28"/>
          <w:szCs w:val="28"/>
        </w:rPr>
        <w:t>（3）对运输危险废物的车辆必须定期进行检查，及时发现安全隐患，确保运输的安全。负责运输的司机必须通过培训，了解相关的安全知识。</w:t>
      </w:r>
    </w:p>
    <w:p>
      <w:pPr>
        <w:spacing w:line="500" w:lineRule="exact"/>
        <w:ind w:firstLine="560" w:firstLineChars="200"/>
        <w:rPr>
          <w:rFonts w:eastAsia="仿宋_GB2312"/>
          <w:sz w:val="28"/>
          <w:szCs w:val="28"/>
        </w:rPr>
      </w:pPr>
      <w:r>
        <w:rPr>
          <w:rFonts w:hint="eastAsia" w:eastAsia="仿宋_GB2312"/>
          <w:sz w:val="28"/>
          <w:szCs w:val="28"/>
        </w:rPr>
        <w:t>（4）车上应配备通讯设备（GPS系统）、处理处置中心联络人员名单及其电话号码，以备发生事故时及时抢救和处理。</w:t>
      </w:r>
    </w:p>
    <w:p>
      <w:pPr>
        <w:spacing w:line="500" w:lineRule="exact"/>
        <w:ind w:firstLine="560" w:firstLineChars="200"/>
        <w:rPr>
          <w:rFonts w:eastAsia="仿宋_GB2312"/>
          <w:sz w:val="28"/>
          <w:szCs w:val="28"/>
        </w:rPr>
      </w:pPr>
      <w:r>
        <w:rPr>
          <w:rFonts w:hint="eastAsia" w:eastAsia="仿宋_GB2312"/>
          <w:sz w:val="28"/>
          <w:szCs w:val="28"/>
        </w:rPr>
        <w:t>防止运输过程中危险废物的污染损害是防止危险废物污染损害的主要环节之一。在运输过程中，如果管理不当或未采取适当的污染防治和安全防护措施，则极易造成污染。我国每年都发生危险废物运输事故，并造成了严重的污染危害。因此，必须对危险废物的运输加以控制和管理。运输危险废物，必须同时符合两个要求，一是必须采取防止污染环境的措施，符合环境保护的要求，做到无害化的运输；二是必须将所运输的危险废物作为危险货物对待，遵守国家有关危险货物运输管理的规定，符合危险货物运输的安全防护要求，做到安全运输。具体的防治污染环境的措施有：</w:t>
      </w:r>
    </w:p>
    <w:p>
      <w:pPr>
        <w:spacing w:line="500" w:lineRule="exact"/>
        <w:ind w:firstLine="560" w:firstLineChars="200"/>
        <w:rPr>
          <w:rFonts w:eastAsia="仿宋_GB2312"/>
          <w:sz w:val="28"/>
          <w:szCs w:val="28"/>
        </w:rPr>
      </w:pPr>
      <w:r>
        <w:rPr>
          <w:rFonts w:hint="eastAsia" w:eastAsia="仿宋_GB2312"/>
          <w:sz w:val="28"/>
          <w:szCs w:val="28"/>
        </w:rPr>
        <w:t>（1）运输时应当采取密闭、遮盖、捆扎等措施防止扬散；</w:t>
      </w:r>
    </w:p>
    <w:p>
      <w:pPr>
        <w:spacing w:line="500" w:lineRule="exact"/>
        <w:ind w:firstLine="560" w:firstLineChars="200"/>
        <w:rPr>
          <w:rFonts w:eastAsia="仿宋_GB2312"/>
          <w:sz w:val="28"/>
          <w:szCs w:val="28"/>
        </w:rPr>
      </w:pPr>
      <w:r>
        <w:rPr>
          <w:rFonts w:hint="eastAsia" w:eastAsia="仿宋_GB2312"/>
          <w:sz w:val="28"/>
          <w:szCs w:val="28"/>
        </w:rPr>
        <w:t>（2）对运输危险废物的设施和设备应当加强管理和维护，保证其正常运行和使用；</w:t>
      </w:r>
    </w:p>
    <w:p>
      <w:pPr>
        <w:spacing w:line="500" w:lineRule="exact"/>
        <w:ind w:firstLine="560" w:firstLineChars="200"/>
        <w:rPr>
          <w:rFonts w:eastAsia="仿宋_GB2312"/>
          <w:sz w:val="28"/>
          <w:szCs w:val="28"/>
        </w:rPr>
      </w:pPr>
      <w:r>
        <w:rPr>
          <w:rFonts w:hint="eastAsia" w:eastAsia="仿宋_GB2312"/>
          <w:sz w:val="28"/>
          <w:szCs w:val="28"/>
        </w:rPr>
        <w:t>（3）不能混合运输性质不相容而又未经安全性处置的危险废物；</w:t>
      </w:r>
    </w:p>
    <w:p>
      <w:pPr>
        <w:spacing w:line="500" w:lineRule="exact"/>
        <w:ind w:firstLine="560" w:firstLineChars="200"/>
        <w:rPr>
          <w:rFonts w:eastAsia="仿宋_GB2312"/>
          <w:sz w:val="28"/>
          <w:szCs w:val="28"/>
        </w:rPr>
      </w:pPr>
      <w:r>
        <w:rPr>
          <w:rFonts w:hint="eastAsia" w:eastAsia="仿宋_GB2312"/>
          <w:sz w:val="28"/>
          <w:szCs w:val="28"/>
        </w:rPr>
        <w:t>（4）转移危险废物时，必须按照规定填危险废物转移联单，并向危险废物移出地和接受地的县级以上地方人民政府环境保护行政主管部门报告；</w:t>
      </w:r>
    </w:p>
    <w:p>
      <w:pPr>
        <w:spacing w:line="500" w:lineRule="exact"/>
        <w:ind w:firstLine="560" w:firstLineChars="200"/>
        <w:rPr>
          <w:rFonts w:eastAsia="仿宋_GB2312"/>
          <w:sz w:val="28"/>
          <w:szCs w:val="28"/>
        </w:rPr>
      </w:pPr>
      <w:r>
        <w:rPr>
          <w:rFonts w:hint="eastAsia" w:eastAsia="仿宋_GB2312"/>
          <w:sz w:val="28"/>
          <w:szCs w:val="28"/>
        </w:rPr>
        <w:t>（5）禁止将危险废物与旅客在同一运输工具上载运；</w:t>
      </w:r>
    </w:p>
    <w:p>
      <w:pPr>
        <w:spacing w:line="500" w:lineRule="exact"/>
        <w:ind w:firstLine="560" w:firstLineChars="200"/>
        <w:rPr>
          <w:rFonts w:eastAsia="仿宋_GB2312"/>
          <w:sz w:val="28"/>
          <w:szCs w:val="28"/>
        </w:rPr>
      </w:pPr>
      <w:r>
        <w:rPr>
          <w:rFonts w:hint="eastAsia" w:eastAsia="仿宋_GB2312"/>
          <w:sz w:val="28"/>
          <w:szCs w:val="28"/>
        </w:rPr>
        <w:t>（6）运输危险废物的设施和设备在转作他用时，必须经过消除污染的处理，方可使用；</w:t>
      </w:r>
    </w:p>
    <w:p>
      <w:pPr>
        <w:spacing w:line="500" w:lineRule="exact"/>
        <w:ind w:firstLine="560" w:firstLineChars="200"/>
        <w:rPr>
          <w:rFonts w:eastAsia="仿宋_GB2312"/>
          <w:sz w:val="28"/>
          <w:szCs w:val="28"/>
        </w:rPr>
      </w:pPr>
      <w:r>
        <w:rPr>
          <w:rFonts w:hint="eastAsia" w:eastAsia="仿宋_GB2312"/>
          <w:sz w:val="28"/>
          <w:szCs w:val="28"/>
        </w:rPr>
        <w:t>（7）运输危险废物的人员，应当接受专业培训；经考核合格后，方可从事运输危险废物的工作；</w:t>
      </w:r>
    </w:p>
    <w:p>
      <w:pPr>
        <w:spacing w:line="500" w:lineRule="exact"/>
        <w:ind w:firstLine="560" w:firstLineChars="200"/>
        <w:rPr>
          <w:rFonts w:eastAsia="仿宋_GB2312"/>
          <w:sz w:val="28"/>
          <w:szCs w:val="28"/>
        </w:rPr>
      </w:pPr>
      <w:r>
        <w:rPr>
          <w:rFonts w:hint="eastAsia" w:eastAsia="仿宋_GB2312"/>
          <w:sz w:val="28"/>
          <w:szCs w:val="28"/>
        </w:rPr>
        <w:t>（8）运输危险废物的单位应当制定在发生意外事故时采取的应急措施和防范措施；</w:t>
      </w:r>
    </w:p>
    <w:p>
      <w:pPr>
        <w:spacing w:line="500" w:lineRule="exact"/>
        <w:ind w:firstLine="560" w:firstLineChars="200"/>
        <w:rPr>
          <w:rFonts w:eastAsia="仿宋_GB2312"/>
          <w:sz w:val="28"/>
          <w:szCs w:val="28"/>
        </w:rPr>
      </w:pPr>
      <w:r>
        <w:rPr>
          <w:rFonts w:hint="eastAsia" w:eastAsia="仿宋_GB2312"/>
          <w:sz w:val="28"/>
          <w:szCs w:val="28"/>
        </w:rPr>
        <w:t>（9）运输时，发生突发性事故必须立即采取措施消除或者减轻对环境的污染危害，及时通报给附近的单位和居民，并向事故发生地县级以上人民政府环境保护行政主管部门和有关部门报告，接受调查处理。</w:t>
      </w:r>
    </w:p>
    <w:p>
      <w:pPr>
        <w:pStyle w:val="4"/>
        <w:keepLines w:val="0"/>
        <w:numPr>
          <w:ilvl w:val="2"/>
          <w:numId w:val="1"/>
        </w:numPr>
        <w:tabs>
          <w:tab w:val="left" w:pos="709"/>
        </w:tabs>
        <w:spacing w:before="0" w:after="120" w:afterLines="50" w:line="500" w:lineRule="exact"/>
        <w:ind w:left="0" w:firstLine="0"/>
        <w:rPr>
          <w:rFonts w:eastAsia="仿宋_GB2312"/>
          <w:bCs w:val="0"/>
          <w:sz w:val="28"/>
        </w:rPr>
      </w:pPr>
      <w:r>
        <w:rPr>
          <w:rFonts w:hint="eastAsia" w:eastAsia="仿宋_GB2312"/>
          <w:bCs w:val="0"/>
          <w:sz w:val="28"/>
        </w:rPr>
        <w:t>一般固废贮运要求</w:t>
      </w:r>
    </w:p>
    <w:p>
      <w:pPr>
        <w:spacing w:line="500" w:lineRule="exact"/>
        <w:ind w:firstLine="560" w:firstLineChars="200"/>
        <w:rPr>
          <w:rFonts w:eastAsia="仿宋_GB2312"/>
          <w:sz w:val="28"/>
          <w:szCs w:val="28"/>
        </w:rPr>
      </w:pPr>
      <w:r>
        <w:rPr>
          <w:rFonts w:hint="eastAsia" w:eastAsia="仿宋_GB2312"/>
          <w:sz w:val="28"/>
          <w:szCs w:val="28"/>
        </w:rPr>
        <w:t>本项目依托租赁</w:t>
      </w:r>
      <w:r>
        <w:rPr>
          <w:rFonts w:eastAsia="仿宋_GB2312"/>
          <w:sz w:val="28"/>
          <w:szCs w:val="28"/>
        </w:rPr>
        <w:t>厂</w:t>
      </w:r>
      <w:r>
        <w:rPr>
          <w:rFonts w:hint="eastAsia" w:eastAsia="仿宋_GB2312"/>
          <w:sz w:val="28"/>
          <w:szCs w:val="28"/>
        </w:rPr>
        <w:t>方一座</w:t>
      </w:r>
      <w:r>
        <w:rPr>
          <w:rFonts w:eastAsia="仿宋_GB2312"/>
          <w:sz w:val="28"/>
          <w:szCs w:val="28"/>
        </w:rPr>
        <w:t>80</w:t>
      </w:r>
      <w:r>
        <w:rPr>
          <w:rFonts w:hint="eastAsia" w:eastAsia="仿宋_GB2312"/>
          <w:sz w:val="28"/>
          <w:szCs w:val="28"/>
        </w:rPr>
        <w:t>m</w:t>
      </w:r>
      <w:r>
        <w:rPr>
          <w:rFonts w:hint="eastAsia" w:eastAsia="仿宋_GB2312"/>
          <w:sz w:val="28"/>
          <w:szCs w:val="28"/>
          <w:vertAlign w:val="superscript"/>
        </w:rPr>
        <w:t>2</w:t>
      </w:r>
      <w:r>
        <w:rPr>
          <w:rFonts w:hint="eastAsia" w:eastAsia="仿宋_GB2312"/>
          <w:sz w:val="28"/>
          <w:szCs w:val="28"/>
        </w:rPr>
        <w:t>一般固废仓库，其中</w:t>
      </w:r>
      <w:r>
        <w:rPr>
          <w:rFonts w:eastAsia="仿宋_GB2312"/>
          <w:sz w:val="28"/>
          <w:szCs w:val="28"/>
        </w:rPr>
        <w:t>一半的面积用于存在本项目</w:t>
      </w:r>
      <w:r>
        <w:rPr>
          <w:rFonts w:hint="eastAsia" w:eastAsia="仿宋_GB2312"/>
          <w:sz w:val="28"/>
          <w:szCs w:val="28"/>
        </w:rPr>
        <w:t>产生</w:t>
      </w:r>
      <w:r>
        <w:rPr>
          <w:rFonts w:eastAsia="仿宋_GB2312"/>
          <w:sz w:val="28"/>
          <w:szCs w:val="28"/>
        </w:rPr>
        <w:t>的</w:t>
      </w:r>
      <w:r>
        <w:rPr>
          <w:rFonts w:hint="eastAsia" w:eastAsia="仿宋_GB2312"/>
          <w:sz w:val="28"/>
          <w:szCs w:val="28"/>
        </w:rPr>
        <w:t>一般固废，根据《一般工业固体废物贮存和填埋污染控制标准》（GB 18599-2020），一般工业固体废物贮存、处置场运行管理要求如下：</w:t>
      </w:r>
    </w:p>
    <w:p>
      <w:pPr>
        <w:spacing w:line="500" w:lineRule="exact"/>
        <w:ind w:firstLine="560" w:firstLineChars="200"/>
        <w:rPr>
          <w:rFonts w:eastAsia="仿宋_GB2312"/>
          <w:sz w:val="28"/>
          <w:szCs w:val="28"/>
        </w:rPr>
      </w:pPr>
      <w:r>
        <w:rPr>
          <w:rFonts w:hint="eastAsia" w:eastAsia="仿宋_GB2312"/>
          <w:sz w:val="28"/>
          <w:szCs w:val="28"/>
        </w:rPr>
        <w:t>⑴一般工业固体废物贮存、处置场，禁止危险废物和生活垃圾混入。</w:t>
      </w:r>
    </w:p>
    <w:p>
      <w:pPr>
        <w:spacing w:line="500" w:lineRule="exact"/>
        <w:ind w:firstLine="560" w:firstLineChars="200"/>
        <w:rPr>
          <w:rFonts w:eastAsia="仿宋_GB2312"/>
          <w:sz w:val="28"/>
          <w:szCs w:val="28"/>
        </w:rPr>
      </w:pPr>
      <w:r>
        <w:rPr>
          <w:rFonts w:hint="eastAsia" w:eastAsia="仿宋_GB2312"/>
          <w:sz w:val="28"/>
          <w:szCs w:val="28"/>
        </w:rPr>
        <w:t>⑵贮存、处置场使用单位，应建立检查维护制度。定期检查维护堤、坝、挡土墙、导流渠等设施，发现有损坏可能或异常，应及时采取必要措施，以保障正常运行。</w:t>
      </w:r>
    </w:p>
    <w:p>
      <w:pPr>
        <w:pStyle w:val="4"/>
        <w:keepLines w:val="0"/>
        <w:numPr>
          <w:ilvl w:val="2"/>
          <w:numId w:val="1"/>
        </w:numPr>
        <w:tabs>
          <w:tab w:val="left" w:pos="709"/>
        </w:tabs>
        <w:spacing w:before="0" w:after="120" w:afterLines="50" w:line="500" w:lineRule="exact"/>
        <w:ind w:left="0" w:firstLine="0"/>
        <w:rPr>
          <w:rFonts w:eastAsia="仿宋_GB2312"/>
          <w:bCs w:val="0"/>
          <w:sz w:val="28"/>
        </w:rPr>
      </w:pPr>
      <w:r>
        <w:rPr>
          <w:rFonts w:eastAsia="仿宋_GB2312"/>
          <w:bCs w:val="0"/>
          <w:sz w:val="28"/>
        </w:rPr>
        <w:t>危险废物相关要求</w:t>
      </w:r>
    </w:p>
    <w:p>
      <w:pPr>
        <w:spacing w:line="500" w:lineRule="exact"/>
        <w:ind w:firstLine="560" w:firstLineChars="200"/>
        <w:rPr>
          <w:rFonts w:eastAsia="仿宋_GB2312"/>
          <w:sz w:val="28"/>
          <w:szCs w:val="28"/>
        </w:rPr>
      </w:pPr>
      <w:r>
        <w:rPr>
          <w:rFonts w:hint="eastAsia" w:eastAsia="仿宋_GB2312"/>
          <w:sz w:val="28"/>
          <w:szCs w:val="28"/>
        </w:rPr>
        <w:t>（1）</w:t>
      </w:r>
      <w:r>
        <w:rPr>
          <w:rFonts w:eastAsia="仿宋_GB2312"/>
          <w:sz w:val="28"/>
          <w:szCs w:val="28"/>
        </w:rPr>
        <w:t>根据《危险废物贮存污染控制标准》（GB18597-2023）及《关于发布一般工业固体废物贮存、处置场污染控制标准（GB18599-2001）等3项国家污染物控制标准修改单的公告》（环保部公告2013年第36号），对危险废物的贮存要求如下：</w:t>
      </w:r>
    </w:p>
    <w:p>
      <w:pPr>
        <w:spacing w:line="500" w:lineRule="exact"/>
        <w:ind w:firstLine="560" w:firstLineChars="200"/>
        <w:rPr>
          <w:rFonts w:eastAsia="仿宋_GB2312"/>
          <w:sz w:val="28"/>
          <w:szCs w:val="28"/>
        </w:rPr>
      </w:pPr>
      <w:r>
        <w:rPr>
          <w:rFonts w:hint="eastAsia" w:eastAsia="仿宋_GB2312"/>
          <w:sz w:val="28"/>
          <w:szCs w:val="28"/>
        </w:rPr>
        <w:t>A、贮存设施应根据危险废物的形态、物理化学性质、包装形式和污染物迁移途径，采取必要的防风、防晒、防雨、防漏、防渗、防腐以及其他环境污染防治措施，不应露天堆放危险废物。</w:t>
      </w:r>
    </w:p>
    <w:p>
      <w:pPr>
        <w:spacing w:line="500" w:lineRule="exact"/>
        <w:ind w:firstLine="560" w:firstLineChars="200"/>
        <w:rPr>
          <w:rFonts w:eastAsia="仿宋_GB2312"/>
          <w:sz w:val="28"/>
          <w:szCs w:val="28"/>
        </w:rPr>
      </w:pPr>
      <w:r>
        <w:rPr>
          <w:rFonts w:hint="eastAsia" w:eastAsia="仿宋_GB2312"/>
          <w:sz w:val="28"/>
          <w:szCs w:val="28"/>
        </w:rPr>
        <w:t>B、贮存设施应根据危险废物的类别、数量、形态、物理化学性质和污染防治等要求设置必要的贮存分区，避免不相容的危险废物接触、混合。</w:t>
      </w:r>
    </w:p>
    <w:p>
      <w:pPr>
        <w:spacing w:line="500" w:lineRule="exact"/>
        <w:ind w:firstLine="560" w:firstLineChars="200"/>
        <w:rPr>
          <w:rFonts w:eastAsia="仿宋_GB2312"/>
          <w:sz w:val="28"/>
          <w:szCs w:val="28"/>
        </w:rPr>
      </w:pPr>
      <w:r>
        <w:rPr>
          <w:rFonts w:hint="eastAsia" w:eastAsia="仿宋_GB2312"/>
          <w:sz w:val="28"/>
          <w:szCs w:val="28"/>
        </w:rPr>
        <w:t>C、贮存设施或贮存分区内地面、墙面裙脚、堵截泄漏的围堰、接触危险废物的隔板和墙体等应采用坚固的材料建造，表面无裂缝。</w:t>
      </w:r>
    </w:p>
    <w:p>
      <w:pPr>
        <w:spacing w:line="500" w:lineRule="exact"/>
        <w:ind w:firstLine="560" w:firstLineChars="200"/>
        <w:rPr>
          <w:rFonts w:eastAsia="仿宋_GB2312"/>
          <w:sz w:val="28"/>
          <w:szCs w:val="28"/>
        </w:rPr>
      </w:pPr>
      <w:r>
        <w:rPr>
          <w:rFonts w:hint="eastAsia" w:eastAsia="仿宋_GB2312"/>
          <w:sz w:val="28"/>
          <w:szCs w:val="28"/>
        </w:rPr>
        <w:t>D、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eastAsia="仿宋_GB2312"/>
          <w:sz w:val="28"/>
          <w:szCs w:val="28"/>
          <w:vertAlign w:val="superscript"/>
        </w:rPr>
        <w:t>-7</w:t>
      </w:r>
      <w:r>
        <w:rPr>
          <w:rFonts w:hint="eastAsia" w:eastAsia="仿宋_GB2312"/>
          <w:sz w:val="28"/>
          <w:szCs w:val="28"/>
        </w:rPr>
        <w:t>cm/s)，或至少2mm厚高密度聚乙烯膜等人工防渗材料（渗透系数不大于10</w:t>
      </w:r>
      <w:r>
        <w:rPr>
          <w:rFonts w:hint="eastAsia" w:eastAsia="仿宋_GB2312"/>
          <w:sz w:val="28"/>
          <w:szCs w:val="28"/>
          <w:vertAlign w:val="superscript"/>
        </w:rPr>
        <w:t>-10</w:t>
      </w:r>
      <w:r>
        <w:rPr>
          <w:rFonts w:hint="eastAsia" w:eastAsia="仿宋_GB2312"/>
          <w:sz w:val="28"/>
          <w:szCs w:val="28"/>
        </w:rPr>
        <w:t>cm/s），或其他防渗性能等效的材料。</w:t>
      </w:r>
    </w:p>
    <w:p>
      <w:pPr>
        <w:spacing w:line="500" w:lineRule="exact"/>
        <w:ind w:firstLine="560" w:firstLineChars="200"/>
        <w:rPr>
          <w:rFonts w:eastAsia="仿宋_GB2312"/>
          <w:sz w:val="28"/>
          <w:szCs w:val="28"/>
        </w:rPr>
      </w:pPr>
      <w:r>
        <w:rPr>
          <w:rFonts w:hint="eastAsia" w:eastAsia="仿宋_GB2312"/>
          <w:sz w:val="28"/>
          <w:szCs w:val="28"/>
        </w:rPr>
        <w:t>E、同一贮存设施宜采用相同的防渗、防腐工艺（包括防渗、防腐结构或材料），防渗、防腐材料应覆盖所有可能与废物及其渗滤液、渗漏液等接触的构筑物表面；采用不同防渗、防腐工艺应分别建设贮存分区。</w:t>
      </w:r>
    </w:p>
    <w:p>
      <w:pPr>
        <w:spacing w:line="500" w:lineRule="exact"/>
        <w:ind w:firstLine="560" w:firstLineChars="200"/>
      </w:pPr>
      <w:r>
        <w:rPr>
          <w:rFonts w:hint="eastAsia" w:eastAsia="仿宋_GB2312"/>
          <w:sz w:val="28"/>
          <w:szCs w:val="28"/>
        </w:rPr>
        <w:t>F、贮存设施应采取技术和管理措施防止无关人员进入。</w:t>
      </w:r>
    </w:p>
    <w:p>
      <w:pPr>
        <w:spacing w:line="500" w:lineRule="exact"/>
        <w:ind w:firstLine="560" w:firstLineChars="200"/>
        <w:rPr>
          <w:rFonts w:eastAsia="仿宋_GB2312"/>
          <w:sz w:val="28"/>
          <w:szCs w:val="28"/>
        </w:rPr>
      </w:pPr>
      <w:r>
        <w:rPr>
          <w:rFonts w:hint="eastAsia" w:eastAsia="仿宋_GB2312"/>
          <w:sz w:val="28"/>
          <w:szCs w:val="28"/>
        </w:rPr>
        <w:t>G、贮存库内不同贮存分区之间应采取隔离措施。隔离措施可根据危险废物特性采用过道、隔板或隔墙等方式。</w:t>
      </w:r>
    </w:p>
    <w:p>
      <w:pPr>
        <w:spacing w:line="500" w:lineRule="exact"/>
        <w:ind w:firstLine="560" w:firstLineChars="200"/>
        <w:rPr>
          <w:rFonts w:eastAsia="仿宋_GB2312"/>
          <w:sz w:val="28"/>
          <w:szCs w:val="28"/>
        </w:rPr>
      </w:pPr>
      <w:r>
        <w:rPr>
          <w:rFonts w:hint="eastAsia" w:eastAsia="仿宋_GB2312"/>
          <w:sz w:val="28"/>
          <w:szCs w:val="28"/>
        </w:rPr>
        <w:t>H、在贮存库内或通过贮存分区方式贮存液态危险废物的，应具有液体泄漏堵截设施，堵截设施最小容积不应低于对应贮存区域最大液态废物容器容积或液态废物总储量1/10（二者取较大者）；用于贮存可能产生渗滤液的危险废物的贮存库或贮存分区应设计渗滤液收集设施，收集设施容积应满足渗滤液的收集要求。</w:t>
      </w:r>
    </w:p>
    <w:p>
      <w:pPr>
        <w:spacing w:line="500" w:lineRule="exact"/>
        <w:ind w:firstLine="560" w:firstLineChars="200"/>
        <w:rPr>
          <w:rFonts w:eastAsia="仿宋_GB2312"/>
          <w:sz w:val="28"/>
          <w:szCs w:val="28"/>
        </w:rPr>
      </w:pPr>
      <w:r>
        <w:rPr>
          <w:rFonts w:hint="eastAsia" w:eastAsia="仿宋_GB2312"/>
          <w:sz w:val="28"/>
          <w:szCs w:val="28"/>
        </w:rPr>
        <w:t>本项目租用常州威斯双联科技有限公司现有危废库，危废库满足上述贮存要求，且危废库内两公司各占地范围采用过道进行隔离，双方各自承担责任。</w:t>
      </w:r>
    </w:p>
    <w:p>
      <w:pPr>
        <w:spacing w:line="500" w:lineRule="exact"/>
        <w:ind w:firstLine="560" w:firstLineChars="200"/>
        <w:rPr>
          <w:rFonts w:eastAsia="仿宋_GB2312"/>
          <w:sz w:val="28"/>
          <w:szCs w:val="28"/>
        </w:rPr>
      </w:pPr>
      <w:r>
        <w:rPr>
          <w:rFonts w:hint="eastAsia" w:eastAsia="仿宋_GB2312"/>
          <w:sz w:val="28"/>
          <w:szCs w:val="28"/>
        </w:rPr>
        <w:t>（2）</w:t>
      </w:r>
      <w:r>
        <w:rPr>
          <w:rFonts w:eastAsia="仿宋_GB2312"/>
          <w:sz w:val="28"/>
          <w:szCs w:val="28"/>
        </w:rPr>
        <w:t>危废贮存容器</w:t>
      </w:r>
    </w:p>
    <w:p>
      <w:pPr>
        <w:spacing w:line="500" w:lineRule="exact"/>
        <w:ind w:firstLine="560" w:firstLineChars="200"/>
        <w:rPr>
          <w:rFonts w:eastAsia="仿宋_GB2312"/>
          <w:sz w:val="28"/>
          <w:szCs w:val="28"/>
        </w:rPr>
      </w:pPr>
      <w:r>
        <w:rPr>
          <w:rFonts w:eastAsia="仿宋_GB2312"/>
          <w:sz w:val="28"/>
          <w:szCs w:val="28"/>
        </w:rPr>
        <w:t>根据《危险废物贮存污染控制标准》（GB18597-2023）</w:t>
      </w:r>
      <w:r>
        <w:rPr>
          <w:rFonts w:hint="eastAsia" w:eastAsia="仿宋_GB2312"/>
          <w:sz w:val="28"/>
          <w:szCs w:val="28"/>
        </w:rPr>
        <w:t>、</w:t>
      </w:r>
      <w:r>
        <w:rPr>
          <w:rFonts w:eastAsia="仿宋_GB2312"/>
          <w:sz w:val="28"/>
          <w:szCs w:val="28"/>
        </w:rPr>
        <w:t>《关于发布一般工业固体废物贮存、处置场污染控制标准（GB18599）等3项国家污染物控制标准修改单的公告》（环保部公告2013年第36号），危险废物贮存容器要求如下：</w:t>
      </w:r>
    </w:p>
    <w:p>
      <w:pPr>
        <w:spacing w:line="500" w:lineRule="exact"/>
        <w:ind w:firstLine="560" w:firstLineChars="200"/>
        <w:rPr>
          <w:rFonts w:eastAsia="仿宋_GB2312"/>
          <w:sz w:val="28"/>
          <w:szCs w:val="28"/>
        </w:rPr>
      </w:pPr>
      <w:r>
        <w:rPr>
          <w:rFonts w:hint="eastAsia" w:eastAsia="仿宋_GB2312"/>
          <w:sz w:val="28"/>
          <w:szCs w:val="28"/>
        </w:rPr>
        <w:t>A、容器和包装物材质、内衬应与盛装的危险废物相容。</w:t>
      </w:r>
    </w:p>
    <w:p>
      <w:pPr>
        <w:spacing w:line="500" w:lineRule="exact"/>
        <w:ind w:firstLine="560" w:firstLineChars="200"/>
        <w:rPr>
          <w:rFonts w:eastAsia="仿宋_GB2312"/>
          <w:sz w:val="28"/>
          <w:szCs w:val="28"/>
        </w:rPr>
      </w:pPr>
      <w:r>
        <w:rPr>
          <w:rFonts w:hint="eastAsia" w:eastAsia="仿宋_GB2312"/>
          <w:sz w:val="28"/>
          <w:szCs w:val="28"/>
        </w:rPr>
        <w:t>B、针对不同类别、形态、物理化学性质的危险废物，其容器和包装物应满足相应的防渗、防漏、防腐和强度等要求。</w:t>
      </w:r>
    </w:p>
    <w:p>
      <w:pPr>
        <w:spacing w:line="500" w:lineRule="exact"/>
        <w:ind w:firstLine="560" w:firstLineChars="200"/>
        <w:rPr>
          <w:rFonts w:eastAsia="仿宋_GB2312"/>
          <w:sz w:val="28"/>
          <w:szCs w:val="28"/>
        </w:rPr>
      </w:pPr>
      <w:r>
        <w:rPr>
          <w:rFonts w:hint="eastAsia" w:eastAsia="仿宋_GB2312"/>
          <w:sz w:val="28"/>
          <w:szCs w:val="28"/>
        </w:rPr>
        <w:t>C、硬质容器和包装物及其支护结构堆叠码放时不应有明显变形，无破损泄漏。</w:t>
      </w:r>
    </w:p>
    <w:p>
      <w:pPr>
        <w:spacing w:line="500" w:lineRule="exact"/>
        <w:ind w:firstLine="560" w:firstLineChars="200"/>
        <w:rPr>
          <w:rFonts w:eastAsia="仿宋_GB2312"/>
          <w:sz w:val="28"/>
          <w:szCs w:val="28"/>
        </w:rPr>
      </w:pPr>
      <w:r>
        <w:rPr>
          <w:rFonts w:hint="eastAsia" w:eastAsia="仿宋_GB2312"/>
          <w:sz w:val="28"/>
          <w:szCs w:val="28"/>
        </w:rPr>
        <w:t>D、柔性容器和包装物堆叠码放时应封口严密，无破损泄漏。</w:t>
      </w:r>
    </w:p>
    <w:p>
      <w:pPr>
        <w:spacing w:line="500" w:lineRule="exact"/>
        <w:ind w:firstLine="560" w:firstLineChars="200"/>
        <w:rPr>
          <w:rFonts w:eastAsia="仿宋_GB2312"/>
          <w:sz w:val="28"/>
          <w:szCs w:val="28"/>
        </w:rPr>
      </w:pPr>
      <w:r>
        <w:rPr>
          <w:rFonts w:hint="eastAsia" w:eastAsia="仿宋_GB2312"/>
          <w:sz w:val="28"/>
          <w:szCs w:val="28"/>
        </w:rPr>
        <w:t>E、使用容器盛装液态、半固态危险废物时，容器内部应留有适当的空间，以适应因温度变化等可能引发的收缩和膨胀，防止其导致容器渗漏或永久变形。</w:t>
      </w:r>
    </w:p>
    <w:p>
      <w:pPr>
        <w:spacing w:line="500" w:lineRule="exact"/>
        <w:ind w:firstLine="560" w:firstLineChars="200"/>
      </w:pPr>
      <w:r>
        <w:rPr>
          <w:rFonts w:hint="eastAsia" w:eastAsia="仿宋_GB2312"/>
          <w:sz w:val="28"/>
          <w:szCs w:val="28"/>
        </w:rPr>
        <w:t>F、容器和包装物外表面应保持清洁。</w:t>
      </w:r>
    </w:p>
    <w:p>
      <w:pPr>
        <w:spacing w:line="500" w:lineRule="exact"/>
        <w:ind w:firstLine="560" w:firstLineChars="200"/>
        <w:rPr>
          <w:rFonts w:eastAsia="仿宋_GB2312"/>
          <w:sz w:val="28"/>
          <w:szCs w:val="28"/>
        </w:rPr>
      </w:pPr>
      <w:r>
        <w:rPr>
          <w:rFonts w:hint="eastAsia" w:eastAsia="仿宋_GB2312"/>
          <w:sz w:val="28"/>
          <w:szCs w:val="28"/>
        </w:rPr>
        <w:t>（3）</w:t>
      </w:r>
      <w:r>
        <w:rPr>
          <w:rFonts w:eastAsia="仿宋_GB2312"/>
          <w:sz w:val="28"/>
          <w:szCs w:val="28"/>
        </w:rPr>
        <w:t>危废堆场选址与设计原则</w:t>
      </w:r>
    </w:p>
    <w:p>
      <w:pPr>
        <w:spacing w:line="500" w:lineRule="exact"/>
        <w:ind w:firstLine="560" w:firstLineChars="200"/>
        <w:rPr>
          <w:rFonts w:eastAsia="仿宋_GB2312"/>
          <w:sz w:val="28"/>
          <w:szCs w:val="28"/>
        </w:rPr>
      </w:pPr>
      <w:r>
        <w:rPr>
          <w:rFonts w:hint="eastAsia" w:eastAsia="仿宋_GB2312"/>
          <w:sz w:val="28"/>
          <w:szCs w:val="28"/>
        </w:rPr>
        <w:t>A、贮存设施选址应满足生态环境保护法律法规、规划和“三线一单”生态环境分区管控的要求，建设项目应依法进行环境影响评价。</w:t>
      </w:r>
    </w:p>
    <w:p>
      <w:pPr>
        <w:spacing w:line="500" w:lineRule="exact"/>
        <w:ind w:firstLine="560" w:firstLineChars="200"/>
        <w:rPr>
          <w:rFonts w:eastAsia="仿宋_GB2312"/>
          <w:sz w:val="28"/>
          <w:szCs w:val="28"/>
        </w:rPr>
      </w:pPr>
      <w:r>
        <w:rPr>
          <w:rFonts w:hint="eastAsia" w:eastAsia="仿宋_GB2312"/>
          <w:sz w:val="28"/>
          <w:szCs w:val="28"/>
        </w:rPr>
        <w:t>B、集中贮存设施不应选在生态保护红线区域、永久基本农田和其他需要特别保护的区域内，不应建在溶洞区或易遭受洪水、滑坡、泥石流、潮汐等严重自然灾害影响的地区。</w:t>
      </w:r>
    </w:p>
    <w:p>
      <w:pPr>
        <w:spacing w:line="500" w:lineRule="exact"/>
        <w:ind w:firstLine="560" w:firstLineChars="200"/>
        <w:rPr>
          <w:rFonts w:eastAsia="仿宋_GB2312"/>
          <w:sz w:val="28"/>
          <w:szCs w:val="28"/>
        </w:rPr>
      </w:pPr>
      <w:r>
        <w:rPr>
          <w:rFonts w:hint="eastAsia" w:eastAsia="仿宋_GB2312"/>
          <w:sz w:val="28"/>
          <w:szCs w:val="28"/>
        </w:rPr>
        <w:t>C、贮存设施不应选在江河、湖泊、运河、渠道、水库及其最高水位线以下的滩地和岸坡，以及法律法规规定禁止贮存危险废物的其他地点。</w:t>
      </w:r>
    </w:p>
    <w:p>
      <w:pPr>
        <w:spacing w:line="500" w:lineRule="exact"/>
        <w:ind w:firstLine="560" w:firstLineChars="200"/>
        <w:rPr>
          <w:rFonts w:eastAsia="仿宋_GB2312"/>
          <w:sz w:val="28"/>
          <w:szCs w:val="28"/>
        </w:rPr>
      </w:pPr>
      <w:r>
        <w:rPr>
          <w:rFonts w:hint="eastAsia" w:eastAsia="仿宋_GB2312"/>
          <w:sz w:val="28"/>
          <w:szCs w:val="28"/>
        </w:rPr>
        <w:t>D、贮存设施场址的位置以及其与周围环境敏感目标的距离应依据环境影响评价文件确定。</w:t>
      </w:r>
    </w:p>
    <w:p>
      <w:pPr>
        <w:spacing w:line="500" w:lineRule="exact"/>
        <w:ind w:firstLine="560" w:firstLineChars="200"/>
        <w:rPr>
          <w:rFonts w:eastAsia="仿宋_GB2312"/>
          <w:sz w:val="28"/>
          <w:szCs w:val="28"/>
        </w:rPr>
      </w:pPr>
      <w:r>
        <w:rPr>
          <w:rFonts w:hint="eastAsia" w:eastAsia="仿宋_GB2312"/>
          <w:sz w:val="28"/>
          <w:szCs w:val="28"/>
        </w:rPr>
        <w:t>（4）</w:t>
      </w:r>
      <w:r>
        <w:rPr>
          <w:rFonts w:eastAsia="仿宋_GB2312"/>
          <w:sz w:val="28"/>
          <w:szCs w:val="28"/>
        </w:rPr>
        <w:t>危险废物的堆放</w:t>
      </w:r>
    </w:p>
    <w:p>
      <w:pPr>
        <w:spacing w:line="500" w:lineRule="exact"/>
        <w:ind w:firstLine="560" w:firstLineChars="200"/>
        <w:rPr>
          <w:rFonts w:eastAsia="仿宋_GB2312"/>
          <w:sz w:val="28"/>
          <w:szCs w:val="28"/>
        </w:rPr>
      </w:pPr>
      <w:r>
        <w:rPr>
          <w:rFonts w:eastAsia="仿宋_GB2312"/>
          <w:sz w:val="28"/>
          <w:szCs w:val="28"/>
        </w:rPr>
        <w:fldChar w:fldCharType="begin"/>
      </w:r>
      <w:r>
        <w:rPr>
          <w:rFonts w:eastAsia="仿宋_GB2312"/>
          <w:sz w:val="28"/>
          <w:szCs w:val="28"/>
        </w:rPr>
        <w:instrText xml:space="preserve"> </w:instrText>
      </w:r>
      <w:r>
        <w:rPr>
          <w:rFonts w:hint="eastAsia" w:eastAsia="仿宋_GB2312"/>
          <w:sz w:val="28"/>
          <w:szCs w:val="28"/>
        </w:rPr>
        <w:instrText xml:space="preserve">= 1 \* GB3</w:instrText>
      </w:r>
      <w:r>
        <w:rPr>
          <w:rFonts w:eastAsia="仿宋_GB2312"/>
          <w:sz w:val="28"/>
          <w:szCs w:val="28"/>
        </w:rPr>
        <w:instrText xml:space="preserve"> </w:instrText>
      </w:r>
      <w:r>
        <w:rPr>
          <w:rFonts w:eastAsia="仿宋_GB2312"/>
          <w:sz w:val="28"/>
          <w:szCs w:val="28"/>
        </w:rPr>
        <w:fldChar w:fldCharType="separate"/>
      </w:r>
      <w:r>
        <w:rPr>
          <w:rFonts w:hint="eastAsia" w:eastAsia="仿宋_GB2312"/>
          <w:sz w:val="28"/>
          <w:szCs w:val="28"/>
        </w:rPr>
        <w:t>①</w:t>
      </w:r>
      <w:r>
        <w:rPr>
          <w:rFonts w:eastAsia="仿宋_GB2312"/>
          <w:sz w:val="28"/>
          <w:szCs w:val="28"/>
        </w:rPr>
        <w:fldChar w:fldCharType="end"/>
      </w:r>
      <w:r>
        <w:rPr>
          <w:rFonts w:eastAsia="仿宋_GB2312"/>
          <w:sz w:val="28"/>
          <w:szCs w:val="28"/>
        </w:rPr>
        <w:t>危险废物在堆场内分类存放。一般包装容器底座设置木垫不直接与地面接触。</w:t>
      </w:r>
    </w:p>
    <w:p>
      <w:pPr>
        <w:spacing w:line="500" w:lineRule="exact"/>
        <w:ind w:firstLine="560" w:firstLineChars="200"/>
        <w:rPr>
          <w:rFonts w:eastAsia="仿宋_GB2312"/>
          <w:sz w:val="28"/>
          <w:szCs w:val="28"/>
        </w:rPr>
      </w:pPr>
      <w:r>
        <w:rPr>
          <w:rFonts w:eastAsia="仿宋_GB2312"/>
          <w:sz w:val="28"/>
          <w:szCs w:val="28"/>
        </w:rPr>
        <w:fldChar w:fldCharType="begin"/>
      </w:r>
      <w:r>
        <w:rPr>
          <w:rFonts w:eastAsia="仿宋_GB2312"/>
          <w:sz w:val="28"/>
          <w:szCs w:val="28"/>
        </w:rPr>
        <w:instrText xml:space="preserve"> </w:instrText>
      </w:r>
      <w:r>
        <w:rPr>
          <w:rFonts w:hint="eastAsia" w:eastAsia="仿宋_GB2312"/>
          <w:sz w:val="28"/>
          <w:szCs w:val="28"/>
        </w:rPr>
        <w:instrText xml:space="preserve">= 2 \* GB3</w:instrText>
      </w:r>
      <w:r>
        <w:rPr>
          <w:rFonts w:eastAsia="仿宋_GB2312"/>
          <w:sz w:val="28"/>
          <w:szCs w:val="28"/>
        </w:rPr>
        <w:instrText xml:space="preserve"> </w:instrText>
      </w:r>
      <w:r>
        <w:rPr>
          <w:rFonts w:eastAsia="仿宋_GB2312"/>
          <w:sz w:val="28"/>
          <w:szCs w:val="28"/>
        </w:rPr>
        <w:fldChar w:fldCharType="separate"/>
      </w:r>
      <w:r>
        <w:rPr>
          <w:rFonts w:hint="eastAsia" w:eastAsia="仿宋_GB2312"/>
          <w:sz w:val="28"/>
          <w:szCs w:val="28"/>
        </w:rPr>
        <w:t>②</w:t>
      </w:r>
      <w:r>
        <w:rPr>
          <w:rFonts w:eastAsia="仿宋_GB2312"/>
          <w:sz w:val="28"/>
          <w:szCs w:val="28"/>
        </w:rPr>
        <w:fldChar w:fldCharType="end"/>
      </w:r>
      <w:r>
        <w:rPr>
          <w:rFonts w:eastAsia="仿宋_GB2312"/>
          <w:sz w:val="28"/>
          <w:szCs w:val="28"/>
        </w:rPr>
        <w:t>堆场周边设置径流疏导系统收集雨水。</w:t>
      </w:r>
    </w:p>
    <w:p>
      <w:pPr>
        <w:spacing w:line="500" w:lineRule="exact"/>
        <w:ind w:firstLine="560" w:firstLineChars="200"/>
        <w:rPr>
          <w:rFonts w:eastAsia="仿宋_GB2312"/>
          <w:sz w:val="28"/>
          <w:szCs w:val="28"/>
        </w:rPr>
      </w:pPr>
      <w:r>
        <w:rPr>
          <w:rFonts w:eastAsia="仿宋_GB2312"/>
          <w:sz w:val="28"/>
          <w:szCs w:val="28"/>
        </w:rPr>
        <w:fldChar w:fldCharType="begin"/>
      </w:r>
      <w:r>
        <w:rPr>
          <w:rFonts w:eastAsia="仿宋_GB2312"/>
          <w:sz w:val="28"/>
          <w:szCs w:val="28"/>
        </w:rPr>
        <w:instrText xml:space="preserve"> </w:instrText>
      </w:r>
      <w:r>
        <w:rPr>
          <w:rFonts w:hint="eastAsia" w:eastAsia="仿宋_GB2312"/>
          <w:sz w:val="28"/>
          <w:szCs w:val="28"/>
        </w:rPr>
        <w:instrText xml:space="preserve">= 3 \* GB3</w:instrText>
      </w:r>
      <w:r>
        <w:rPr>
          <w:rFonts w:eastAsia="仿宋_GB2312"/>
          <w:sz w:val="28"/>
          <w:szCs w:val="28"/>
        </w:rPr>
        <w:instrText xml:space="preserve"> </w:instrText>
      </w:r>
      <w:r>
        <w:rPr>
          <w:rFonts w:eastAsia="仿宋_GB2312"/>
          <w:sz w:val="28"/>
          <w:szCs w:val="28"/>
        </w:rPr>
        <w:fldChar w:fldCharType="separate"/>
      </w:r>
      <w:r>
        <w:rPr>
          <w:rFonts w:hint="eastAsia" w:eastAsia="仿宋_GB2312"/>
          <w:sz w:val="28"/>
          <w:szCs w:val="28"/>
        </w:rPr>
        <w:t>③</w:t>
      </w:r>
      <w:r>
        <w:rPr>
          <w:rFonts w:eastAsia="仿宋_GB2312"/>
          <w:sz w:val="28"/>
          <w:szCs w:val="28"/>
        </w:rPr>
        <w:fldChar w:fldCharType="end"/>
      </w:r>
      <w:r>
        <w:rPr>
          <w:rFonts w:eastAsia="仿宋_GB2312"/>
          <w:sz w:val="28"/>
          <w:szCs w:val="28"/>
        </w:rPr>
        <w:t>堆场应做好防雨、防火、防雷、防扬尘措施。</w:t>
      </w:r>
    </w:p>
    <w:p>
      <w:pPr>
        <w:spacing w:line="500" w:lineRule="exact"/>
        <w:ind w:firstLine="560" w:firstLineChars="200"/>
        <w:rPr>
          <w:rFonts w:eastAsia="仿宋_GB2312"/>
          <w:sz w:val="28"/>
          <w:szCs w:val="28"/>
        </w:rPr>
      </w:pPr>
      <w:r>
        <w:rPr>
          <w:rFonts w:hint="eastAsia" w:eastAsia="仿宋_GB2312"/>
          <w:sz w:val="28"/>
          <w:szCs w:val="28"/>
        </w:rPr>
        <w:t>（5）</w:t>
      </w:r>
      <w:r>
        <w:rPr>
          <w:rFonts w:eastAsia="仿宋_GB2312"/>
          <w:sz w:val="28"/>
          <w:szCs w:val="28"/>
        </w:rPr>
        <w:t>危险废物贮存设施的运行与管理</w:t>
      </w:r>
    </w:p>
    <w:p>
      <w:pPr>
        <w:spacing w:line="500" w:lineRule="exact"/>
        <w:ind w:firstLine="560" w:firstLineChars="200"/>
        <w:rPr>
          <w:rFonts w:eastAsia="仿宋_GB2312"/>
          <w:sz w:val="28"/>
          <w:szCs w:val="28"/>
        </w:rPr>
      </w:pPr>
      <w:r>
        <w:rPr>
          <w:rFonts w:hint="eastAsia" w:eastAsia="仿宋_GB2312"/>
          <w:sz w:val="28"/>
          <w:szCs w:val="28"/>
        </w:rPr>
        <w:t>A、危险废物存入贮存设施前应对危险废物类别和特性与危险废物标签等危险废物识别标志的一致性进行核验，不一致的或类别、特性不明的不应存入。</w:t>
      </w:r>
    </w:p>
    <w:p>
      <w:pPr>
        <w:spacing w:line="500" w:lineRule="exact"/>
        <w:ind w:firstLine="560" w:firstLineChars="200"/>
        <w:rPr>
          <w:rFonts w:eastAsia="仿宋_GB2312"/>
          <w:sz w:val="28"/>
          <w:szCs w:val="28"/>
        </w:rPr>
      </w:pPr>
      <w:r>
        <w:rPr>
          <w:rFonts w:hint="eastAsia" w:eastAsia="仿宋_GB2312"/>
          <w:sz w:val="28"/>
          <w:szCs w:val="28"/>
        </w:rPr>
        <w:t>B、应定期检查危险废物的贮存状况，及时清理贮存设施地面，更换破损泄漏的危险废物贮存容器和包装物，保证堆存危险废物的防雨、防风、防扬尘等设施功能完好。</w:t>
      </w:r>
    </w:p>
    <w:p>
      <w:pPr>
        <w:spacing w:line="500" w:lineRule="exact"/>
        <w:ind w:firstLine="560" w:firstLineChars="200"/>
        <w:rPr>
          <w:rFonts w:eastAsia="仿宋_GB2312"/>
          <w:sz w:val="28"/>
          <w:szCs w:val="28"/>
        </w:rPr>
      </w:pPr>
      <w:r>
        <w:rPr>
          <w:rFonts w:hint="eastAsia" w:eastAsia="仿宋_GB2312"/>
          <w:sz w:val="28"/>
          <w:szCs w:val="28"/>
        </w:rPr>
        <w:t>C、作业设备及车辆等结束作业离开贮存设施时，应对其残留的危险废物进行清理，清理的废物或清洗废水应收集处理。</w:t>
      </w:r>
    </w:p>
    <w:p>
      <w:pPr>
        <w:spacing w:line="500" w:lineRule="exact"/>
        <w:ind w:firstLine="560" w:firstLineChars="200"/>
        <w:rPr>
          <w:rFonts w:eastAsia="仿宋_GB2312"/>
          <w:sz w:val="28"/>
          <w:szCs w:val="28"/>
        </w:rPr>
      </w:pPr>
      <w:r>
        <w:rPr>
          <w:rFonts w:hint="eastAsia" w:eastAsia="仿宋_GB2312"/>
          <w:sz w:val="28"/>
          <w:szCs w:val="28"/>
        </w:rPr>
        <w:t>D、贮存设施运行期间，应按国家有关标准和规定建立危险废物管理台账并保存。</w:t>
      </w:r>
    </w:p>
    <w:p>
      <w:pPr>
        <w:spacing w:line="500" w:lineRule="exact"/>
        <w:ind w:firstLine="560" w:firstLineChars="200"/>
        <w:rPr>
          <w:rFonts w:eastAsia="仿宋_GB2312"/>
          <w:sz w:val="28"/>
          <w:szCs w:val="28"/>
        </w:rPr>
      </w:pPr>
      <w:r>
        <w:rPr>
          <w:rFonts w:hint="eastAsia" w:eastAsia="仿宋_GB2312"/>
          <w:sz w:val="28"/>
          <w:szCs w:val="28"/>
        </w:rPr>
        <w:t>E、贮存设施所有者或运营者应建立贮存设施环境管理制度、管理人员岗位职责制度、设施运行操作制度、人员岗位培训制度等。</w:t>
      </w:r>
    </w:p>
    <w:p>
      <w:pPr>
        <w:spacing w:line="500" w:lineRule="exact"/>
        <w:ind w:firstLine="560" w:firstLineChars="200"/>
        <w:rPr>
          <w:rFonts w:eastAsia="仿宋_GB2312"/>
          <w:sz w:val="28"/>
          <w:szCs w:val="28"/>
        </w:rPr>
      </w:pPr>
      <w:r>
        <w:rPr>
          <w:rFonts w:hint="eastAsia" w:eastAsia="仿宋_GB2312"/>
          <w:sz w:val="28"/>
          <w:szCs w:val="28"/>
        </w:rPr>
        <w:t>F、贮存设施所有者或运营者应依据国家土壤和地下水污染防治的有关规定，结合贮存设施特点建立土壤和地下水污染隐患排查制度，并定期开展隐患排查；发现隐患应及时采取措施消除隐患，并建立档案。</w:t>
      </w:r>
    </w:p>
    <w:p>
      <w:pPr>
        <w:spacing w:line="500" w:lineRule="exact"/>
        <w:ind w:firstLine="560" w:firstLineChars="200"/>
        <w:rPr>
          <w:rFonts w:eastAsia="仿宋_GB2312"/>
          <w:sz w:val="28"/>
          <w:szCs w:val="28"/>
        </w:rPr>
      </w:pPr>
      <w:r>
        <w:rPr>
          <w:rFonts w:hint="eastAsia" w:eastAsia="仿宋_GB2312"/>
          <w:sz w:val="28"/>
          <w:szCs w:val="28"/>
        </w:rPr>
        <w:t>G、贮存设施所有者或运营者应建立贮存设施全部档案，包括设计、施工、验收、运行、监测和环境应急等，应按国家有关档案管理的法律法规进行整理和归档。</w:t>
      </w:r>
    </w:p>
    <w:p>
      <w:pPr>
        <w:spacing w:line="500" w:lineRule="exact"/>
        <w:ind w:firstLine="560" w:firstLineChars="200"/>
        <w:rPr>
          <w:rFonts w:eastAsia="仿宋_GB2312"/>
          <w:sz w:val="28"/>
          <w:szCs w:val="28"/>
        </w:rPr>
      </w:pPr>
      <w:r>
        <w:rPr>
          <w:rFonts w:hint="eastAsia" w:eastAsia="仿宋_GB2312"/>
          <w:sz w:val="28"/>
          <w:szCs w:val="28"/>
        </w:rPr>
        <w:t>（6）</w:t>
      </w:r>
      <w:r>
        <w:rPr>
          <w:rFonts w:eastAsia="仿宋_GB2312"/>
          <w:sz w:val="28"/>
          <w:szCs w:val="28"/>
        </w:rPr>
        <w:t>危险废物贮存设施的安全防护与监测</w:t>
      </w:r>
    </w:p>
    <w:p>
      <w:pPr>
        <w:spacing w:line="500" w:lineRule="exact"/>
        <w:ind w:firstLine="560" w:firstLineChars="200"/>
        <w:rPr>
          <w:rFonts w:eastAsia="仿宋_GB2312"/>
          <w:sz w:val="28"/>
          <w:szCs w:val="28"/>
        </w:rPr>
      </w:pPr>
      <w:r>
        <w:rPr>
          <w:rFonts w:hint="eastAsia" w:eastAsia="仿宋_GB2312"/>
          <w:sz w:val="28"/>
          <w:szCs w:val="28"/>
        </w:rPr>
        <w:t>A、贮存设施的环境监测应纳入主体设施的环境监测计划。</w:t>
      </w:r>
    </w:p>
    <w:p>
      <w:pPr>
        <w:spacing w:line="500" w:lineRule="exact"/>
        <w:ind w:firstLine="560" w:firstLineChars="200"/>
        <w:rPr>
          <w:rFonts w:eastAsia="仿宋_GB2312"/>
          <w:sz w:val="28"/>
          <w:szCs w:val="28"/>
        </w:rPr>
      </w:pPr>
      <w:r>
        <w:rPr>
          <w:rFonts w:hint="eastAsia" w:eastAsia="仿宋_GB2312"/>
          <w:sz w:val="28"/>
          <w:szCs w:val="28"/>
        </w:rPr>
        <w:t>B、贮存设施所有者或运营者应依据《大气污染防治法》《水污染防治法》《土壤污染防治法》等有关法律、《排污许可管理条例》等行政法规和HJ819、HJ1250等规定制订监测方案，对贮存设施污染物排放状况开展自行监测，保存原始监测记录，并公布监测结果。</w:t>
      </w:r>
    </w:p>
    <w:p>
      <w:pPr>
        <w:spacing w:line="500" w:lineRule="exact"/>
        <w:ind w:firstLine="560" w:firstLineChars="200"/>
        <w:rPr>
          <w:rFonts w:eastAsia="仿宋_GB2312"/>
          <w:sz w:val="28"/>
          <w:szCs w:val="28"/>
        </w:rPr>
      </w:pPr>
      <w:r>
        <w:rPr>
          <w:rFonts w:hint="eastAsia" w:eastAsia="仿宋_GB2312"/>
          <w:sz w:val="28"/>
          <w:szCs w:val="28"/>
        </w:rPr>
        <w:t>C、贮存设施废水污染物排放的监测方法和监测指标应符合国家相关标准要求。</w:t>
      </w:r>
    </w:p>
    <w:p>
      <w:pPr>
        <w:spacing w:line="500" w:lineRule="exact"/>
        <w:ind w:firstLine="560" w:firstLineChars="200"/>
        <w:rPr>
          <w:rFonts w:eastAsia="仿宋_GB2312"/>
          <w:sz w:val="28"/>
          <w:szCs w:val="28"/>
        </w:rPr>
      </w:pPr>
      <w:r>
        <w:rPr>
          <w:rFonts w:hint="eastAsia" w:eastAsia="仿宋_GB2312"/>
          <w:sz w:val="28"/>
          <w:szCs w:val="28"/>
        </w:rPr>
        <w:t>D、HJ1259规定的危险废物环境重点监管单位贮存设施地下水环境监测点布设应符合HJ164要求，监测因子应根据贮存废物的特性选择具有代表性且能表征危险废物特性的指标，地下水监测因子分析方法按照GB/T14848执行。</w:t>
      </w:r>
    </w:p>
    <w:p>
      <w:pPr>
        <w:spacing w:line="500" w:lineRule="exact"/>
        <w:ind w:firstLine="560" w:firstLineChars="200"/>
        <w:rPr>
          <w:rFonts w:eastAsia="仿宋_GB2312"/>
          <w:sz w:val="28"/>
          <w:szCs w:val="28"/>
        </w:rPr>
      </w:pPr>
      <w:r>
        <w:rPr>
          <w:rFonts w:hint="eastAsia" w:eastAsia="仿宋_GB2312"/>
          <w:sz w:val="28"/>
          <w:szCs w:val="28"/>
        </w:rPr>
        <w:t>E、配有收集净化系统的贮存设施大气污染物排放的监测采样应按GB/T16157、HJ/T397、HJ732的规定执行。</w:t>
      </w:r>
    </w:p>
    <w:p>
      <w:pPr>
        <w:spacing w:line="500" w:lineRule="exact"/>
        <w:ind w:firstLine="560" w:firstLineChars="200"/>
        <w:rPr>
          <w:rFonts w:eastAsia="仿宋_GB2312"/>
          <w:sz w:val="28"/>
          <w:szCs w:val="28"/>
        </w:rPr>
      </w:pPr>
      <w:r>
        <w:rPr>
          <w:rFonts w:hint="eastAsia" w:eastAsia="仿宋_GB2312"/>
          <w:sz w:val="28"/>
          <w:szCs w:val="28"/>
        </w:rPr>
        <w:t>F、贮存设施无组织气体排放监测因子应根据贮存废物的特性选择具有代表性且能表征危险废物特性的指标；采样点布设、采样及监测方法可按HJ/T55的规定执行，VOCs的无组织排放监测还应符合GB37822的规定。</w:t>
      </w:r>
    </w:p>
    <w:p>
      <w:pPr>
        <w:spacing w:line="500" w:lineRule="exact"/>
        <w:ind w:firstLine="560" w:firstLineChars="200"/>
        <w:rPr>
          <w:rFonts w:eastAsia="仿宋_GB2312"/>
          <w:sz w:val="28"/>
          <w:szCs w:val="28"/>
        </w:rPr>
      </w:pPr>
      <w:r>
        <w:rPr>
          <w:rFonts w:hint="eastAsia" w:eastAsia="仿宋_GB2312"/>
          <w:sz w:val="28"/>
          <w:szCs w:val="28"/>
        </w:rPr>
        <w:t>G、贮存设施恶臭气体的排放监测应符合GB14554、HJ905的规定。</w:t>
      </w:r>
    </w:p>
    <w:p>
      <w:pPr>
        <w:spacing w:line="500" w:lineRule="exact"/>
        <w:ind w:firstLine="560" w:firstLineChars="200"/>
        <w:rPr>
          <w:rFonts w:eastAsia="仿宋_GB2312"/>
          <w:sz w:val="28"/>
          <w:szCs w:val="28"/>
        </w:rPr>
      </w:pPr>
      <w:r>
        <w:rPr>
          <w:rFonts w:eastAsia="仿宋_GB2312"/>
          <w:sz w:val="28"/>
          <w:szCs w:val="28"/>
        </w:rPr>
        <w:t>本项目产生的固体废物处理处置率100%，固废对周围环境不产生二次影响。</w:t>
      </w:r>
    </w:p>
    <w:p>
      <w:pPr>
        <w:spacing w:line="500" w:lineRule="exact"/>
        <w:ind w:firstLine="560" w:firstLineChars="200"/>
        <w:rPr>
          <w:rFonts w:eastAsia="仿宋_GB2312"/>
          <w:sz w:val="28"/>
          <w:szCs w:val="28"/>
        </w:rPr>
      </w:pPr>
      <w:r>
        <w:rPr>
          <w:rFonts w:hint="eastAsia" w:eastAsia="仿宋_GB2312"/>
          <w:sz w:val="28"/>
          <w:szCs w:val="28"/>
        </w:rPr>
        <w:t>（7）</w:t>
      </w:r>
      <w:r>
        <w:rPr>
          <w:rFonts w:eastAsia="仿宋_GB2312"/>
          <w:sz w:val="28"/>
          <w:szCs w:val="28"/>
        </w:rPr>
        <w:t>固废申报</w:t>
      </w:r>
    </w:p>
    <w:p>
      <w:pPr>
        <w:spacing w:line="500" w:lineRule="exact"/>
        <w:ind w:firstLine="560" w:firstLineChars="200"/>
        <w:rPr>
          <w:rFonts w:eastAsia="仿宋_GB2312"/>
          <w:sz w:val="28"/>
          <w:szCs w:val="28"/>
        </w:rPr>
      </w:pPr>
      <w:r>
        <w:rPr>
          <w:rFonts w:eastAsia="仿宋_GB2312"/>
          <w:sz w:val="28"/>
          <w:szCs w:val="28"/>
        </w:rPr>
        <w:t>按照《江苏省固体废物污染环境防治条例》第十条、第二十六条要求，产生工业固体废物及危险废物的各有关单位都必须进行申报登记。企业每年对全年产生工业固体废物及危险废物的种类、产生量、流向、贮存、处置等情况进行申报。</w:t>
      </w:r>
    </w:p>
    <w:p>
      <w:pPr>
        <w:spacing w:line="500" w:lineRule="exact"/>
        <w:ind w:firstLine="560" w:firstLineChars="200"/>
        <w:rPr>
          <w:rFonts w:eastAsia="仿宋_GB2312"/>
          <w:sz w:val="28"/>
          <w:szCs w:val="28"/>
        </w:rPr>
      </w:pPr>
      <w:r>
        <w:rPr>
          <w:rFonts w:eastAsia="仿宋_GB2312"/>
          <w:sz w:val="28"/>
          <w:szCs w:val="28"/>
        </w:rPr>
        <w:t>此外，对照《省生态环境厅关于印发江苏省危险废物贮存规范化管理专项整治行动方案的通知》（苏环办〔2019〕149号）</w:t>
      </w:r>
      <w:r>
        <w:rPr>
          <w:rFonts w:hint="eastAsia" w:eastAsia="仿宋_GB2312"/>
          <w:sz w:val="28"/>
          <w:szCs w:val="28"/>
        </w:rPr>
        <w:t>及《省生态环境</w:t>
      </w:r>
      <w:r>
        <w:rPr>
          <w:rFonts w:eastAsia="仿宋_GB2312"/>
          <w:sz w:val="28"/>
          <w:szCs w:val="28"/>
        </w:rPr>
        <w:t>厅关于进一步加强危险废物污染</w:t>
      </w:r>
      <w:r>
        <w:rPr>
          <w:rFonts w:hint="eastAsia" w:eastAsia="仿宋_GB2312"/>
          <w:sz w:val="28"/>
          <w:szCs w:val="28"/>
        </w:rPr>
        <w:t>防治</w:t>
      </w:r>
      <w:r>
        <w:rPr>
          <w:rFonts w:eastAsia="仿宋_GB2312"/>
          <w:sz w:val="28"/>
          <w:szCs w:val="28"/>
        </w:rPr>
        <w:t>工作的实施意见</w:t>
      </w:r>
      <w:r>
        <w:rPr>
          <w:rFonts w:hint="eastAsia" w:eastAsia="仿宋_GB2312"/>
          <w:sz w:val="28"/>
          <w:szCs w:val="28"/>
        </w:rPr>
        <w:t>》（苏环办〔2019〕327号）中</w:t>
      </w:r>
      <w:r>
        <w:rPr>
          <w:rFonts w:eastAsia="仿宋_GB2312"/>
          <w:sz w:val="28"/>
          <w:szCs w:val="28"/>
        </w:rPr>
        <w:t>排查内容及</w:t>
      </w:r>
      <w:r>
        <w:rPr>
          <w:rFonts w:hint="eastAsia" w:eastAsia="仿宋_GB2312"/>
          <w:sz w:val="28"/>
          <w:szCs w:val="28"/>
        </w:rPr>
        <w:t>整治要求：</w:t>
      </w:r>
    </w:p>
    <w:p>
      <w:pPr>
        <w:spacing w:line="500" w:lineRule="exact"/>
        <w:ind w:firstLine="560" w:firstLineChars="200"/>
        <w:rPr>
          <w:rFonts w:eastAsia="仿宋_GB2312"/>
          <w:sz w:val="28"/>
          <w:szCs w:val="28"/>
        </w:rPr>
      </w:pPr>
      <w:r>
        <w:rPr>
          <w:rFonts w:eastAsia="仿宋_GB2312"/>
          <w:sz w:val="28"/>
          <w:szCs w:val="28"/>
        </w:rPr>
        <w:t>本项目需在明显位置按照</w:t>
      </w:r>
      <w:r>
        <w:rPr>
          <w:rFonts w:hint="eastAsia" w:eastAsia="仿宋_GB2312"/>
          <w:sz w:val="28"/>
          <w:szCs w:val="28"/>
        </w:rPr>
        <w:t>《危险废物识别标志设置技术规范》（H</w:t>
      </w:r>
      <w:r>
        <w:rPr>
          <w:rFonts w:eastAsia="仿宋_GB2312"/>
          <w:sz w:val="28"/>
          <w:szCs w:val="28"/>
        </w:rPr>
        <w:t>J1276-2022</w:t>
      </w:r>
      <w:r>
        <w:rPr>
          <w:rFonts w:hint="eastAsia" w:eastAsia="仿宋_GB2312"/>
          <w:sz w:val="28"/>
          <w:szCs w:val="28"/>
        </w:rPr>
        <w:t>）</w:t>
      </w:r>
      <w:r>
        <w:rPr>
          <w:rFonts w:eastAsia="仿宋_GB2312"/>
          <w:sz w:val="28"/>
          <w:szCs w:val="28"/>
        </w:rPr>
        <w:t>设置警示标志，配备通讯设备、照明设施和消防设施；在出入口、设施内部等关键位置设置视频监控，并与中控室联网；</w:t>
      </w:r>
      <w:r>
        <w:rPr>
          <w:rFonts w:hint="eastAsia" w:eastAsia="仿宋_GB2312"/>
          <w:sz w:val="28"/>
          <w:szCs w:val="28"/>
        </w:rPr>
        <w:t>危险废物标签应以醒目的字样标注“危险废物”；危险废物标签应包含废物名称、废物类别、废物代码、废物形态、危险特性、主要成分、有害成分、注意事项、产生/收集单位名称、联系人、联系方式、产生日期、废物重量和备注；危险废物标签宜设置危险废物数字识别码和二维码。</w:t>
      </w:r>
    </w:p>
    <w:p>
      <w:pPr>
        <w:spacing w:line="500" w:lineRule="exact"/>
        <w:ind w:firstLine="560" w:firstLineChars="200"/>
        <w:rPr>
          <w:rFonts w:eastAsia="仿宋_GB2312"/>
          <w:sz w:val="28"/>
          <w:szCs w:val="28"/>
        </w:rPr>
      </w:pPr>
      <w:r>
        <w:rPr>
          <w:rFonts w:hint="eastAsia" w:eastAsia="仿宋_GB2312"/>
          <w:sz w:val="28"/>
          <w:szCs w:val="28"/>
        </w:rPr>
        <w:t>危险废物贮存分区标志应以醒目的方式标注“危险废物贮存分区标志”字样。危险废物贮存分区标志应包含但不限于设施内部所有贮存分区的平面分布、各分区存放的危险废物信息、本贮存分区的具体位置、环境应急物资所在位置以及进出口位置和方向。危险废物贮存单位可根据自身贮存设施建设情况，在危险废物贮存分区标志中添加收集池、导流沟和通道等信息。危险废物贮存分区标志的信息应随着设施内废物贮存情况的变化及时调整。</w:t>
      </w:r>
    </w:p>
    <w:p>
      <w:pPr>
        <w:spacing w:line="500" w:lineRule="exact"/>
        <w:ind w:firstLine="560" w:firstLineChars="200"/>
        <w:rPr>
          <w:rFonts w:eastAsia="仿宋_GB2312"/>
          <w:sz w:val="28"/>
          <w:szCs w:val="28"/>
        </w:rPr>
      </w:pPr>
      <w:r>
        <w:rPr>
          <w:rFonts w:hint="eastAsia" w:eastAsia="仿宋_GB2312"/>
          <w:sz w:val="28"/>
          <w:szCs w:val="28"/>
        </w:rPr>
        <w:t>危险废物贮存分区的划分应满足GB18597中的有关规定。宜在危险废物贮存设施内的每一个贮存分区处设置危险废物贮存分区标志。危险废物贮存分区标志宜设置在该贮存分区前的通道位置或墙壁、栏杆等易于观察的位置。宜根据危险废物贮存分区标志的设置位置和观察距离按照标准第9.2条中的制作要求设置相应的标志。危险废物贮存分区标志可采用附着式（如钉挂、粘贴等）、悬挂式和柱式（固定于标志杆或支架等物体上)等固定形式。危险废物贮存分区标志中各贮存分区存放的危险废物种类信息可采用卡槽式或附着式(如钉挂、粘贴等)固定方式。</w:t>
      </w:r>
    </w:p>
    <w:p>
      <w:pPr>
        <w:spacing w:line="500" w:lineRule="exact"/>
        <w:ind w:firstLine="560" w:firstLineChars="200"/>
        <w:rPr>
          <w:rFonts w:eastAsia="仿宋_GB2312"/>
          <w:sz w:val="28"/>
          <w:szCs w:val="28"/>
        </w:rPr>
      </w:pPr>
      <w:r>
        <w:rPr>
          <w:rFonts w:eastAsia="仿宋_GB2312"/>
          <w:sz w:val="28"/>
          <w:szCs w:val="28"/>
        </w:rPr>
        <w:t>建立规范的危险废物贮存台账，如实记录废物名称、种类、数量、来源、出入库时间、去向、交接人签字等内容；产生废弃危险化学品的单位根据《关于废弃危险化学品纳入危险废物管理的条件和程序的复函》（环办土壤函</w:t>
      </w:r>
      <w:r>
        <w:rPr>
          <w:rFonts w:hint="eastAsia" w:ascii="微软雅黑" w:hAnsi="微软雅黑" w:eastAsia="微软雅黑" w:cs="微软雅黑"/>
          <w:sz w:val="28"/>
          <w:szCs w:val="28"/>
        </w:rPr>
        <w:t>﹝</w:t>
      </w:r>
      <w:r>
        <w:rPr>
          <w:rFonts w:eastAsia="仿宋_GB2312"/>
          <w:sz w:val="28"/>
          <w:szCs w:val="28"/>
        </w:rPr>
        <w:t>2018</w:t>
      </w:r>
      <w:r>
        <w:rPr>
          <w:rFonts w:hint="eastAsia" w:ascii="微软雅黑" w:hAnsi="微软雅黑" w:eastAsia="微软雅黑" w:cs="微软雅黑"/>
          <w:sz w:val="28"/>
          <w:szCs w:val="28"/>
        </w:rPr>
        <w:t>﹞</w:t>
      </w:r>
      <w:r>
        <w:rPr>
          <w:rFonts w:eastAsia="仿宋_GB2312"/>
          <w:sz w:val="28"/>
          <w:szCs w:val="28"/>
        </w:rPr>
        <w:t>245号）要求，将拟抛弃或者放弃的危险化学品种类、数量等信息纳入危险废物管理计划，向属地生态环境部门申报，经生态环境部门备案后，将贮存设施和贮存情况纳入环境监管范围。</w:t>
      </w:r>
    </w:p>
    <w:p>
      <w:pPr>
        <w:spacing w:line="500" w:lineRule="exact"/>
        <w:ind w:firstLine="560" w:firstLineChars="200"/>
        <w:rPr>
          <w:rFonts w:eastAsia="仿宋_GB2312"/>
          <w:sz w:val="28"/>
          <w:szCs w:val="28"/>
        </w:rPr>
      </w:pPr>
      <w:r>
        <w:rPr>
          <w:rFonts w:eastAsia="仿宋_GB2312"/>
          <w:sz w:val="28"/>
          <w:szCs w:val="28"/>
        </w:rPr>
        <w:t>定期检查易燃、易爆及排出有毒气体的危险废物的规范贮存情况，形成危险废物贮存设施清单。清单内容包括危险废物贮存设施的名称、编号、位置、面积和贮存危险废物种类、危险特性、贮存方式、贮存容积、周转周期等，清单应张贴在厂区醒目位置。</w:t>
      </w:r>
    </w:p>
    <w:p>
      <w:pPr>
        <w:spacing w:line="500" w:lineRule="exact"/>
        <w:ind w:firstLine="560" w:firstLineChars="200"/>
        <w:rPr>
          <w:rFonts w:eastAsia="仿宋_GB2312"/>
          <w:sz w:val="28"/>
          <w:szCs w:val="28"/>
        </w:rPr>
      </w:pPr>
      <w:r>
        <w:rPr>
          <w:rFonts w:hint="eastAsia" w:eastAsia="仿宋_GB2312"/>
          <w:sz w:val="28"/>
          <w:szCs w:val="28"/>
        </w:rPr>
        <w:t>（8）危废是否易燃易爆分析</w:t>
      </w:r>
    </w:p>
    <w:p>
      <w:pPr>
        <w:spacing w:line="500" w:lineRule="exact"/>
        <w:ind w:firstLine="560" w:firstLineChars="200"/>
        <w:rPr>
          <w:rFonts w:eastAsia="仿宋_GB2312"/>
          <w:sz w:val="28"/>
          <w:szCs w:val="28"/>
        </w:rPr>
      </w:pPr>
      <w:r>
        <w:rPr>
          <w:rFonts w:hint="eastAsia" w:eastAsia="仿宋_GB2312"/>
          <w:sz w:val="28"/>
          <w:szCs w:val="28"/>
        </w:rPr>
        <w:t>根据</w:t>
      </w:r>
      <w:r>
        <w:rPr>
          <w:rFonts w:eastAsia="仿宋_GB2312"/>
          <w:sz w:val="28"/>
          <w:szCs w:val="28"/>
        </w:rPr>
        <w:t>物质</w:t>
      </w:r>
      <w:r>
        <w:rPr>
          <w:rFonts w:hint="eastAsia" w:eastAsia="仿宋_GB2312"/>
          <w:sz w:val="28"/>
          <w:szCs w:val="28"/>
        </w:rPr>
        <w:t>理化性质</w:t>
      </w:r>
      <w:r>
        <w:rPr>
          <w:rFonts w:eastAsia="仿宋_GB2312"/>
          <w:sz w:val="28"/>
          <w:szCs w:val="28"/>
        </w:rPr>
        <w:t>，</w:t>
      </w:r>
      <w:r>
        <w:rPr>
          <w:rFonts w:hint="eastAsia" w:eastAsia="仿宋_GB2312"/>
          <w:sz w:val="28"/>
          <w:szCs w:val="28"/>
        </w:rPr>
        <w:t>本项目</w:t>
      </w:r>
      <w:r>
        <w:rPr>
          <w:rFonts w:eastAsia="仿宋_GB2312"/>
          <w:sz w:val="28"/>
          <w:szCs w:val="28"/>
        </w:rPr>
        <w:t>危废均不属于</w:t>
      </w:r>
      <w:r>
        <w:rPr>
          <w:rFonts w:hint="eastAsia" w:eastAsia="仿宋_GB2312"/>
          <w:sz w:val="28"/>
          <w:szCs w:val="28"/>
        </w:rPr>
        <w:t>易燃易爆</w:t>
      </w:r>
      <w:r>
        <w:rPr>
          <w:rFonts w:eastAsia="仿宋_GB2312"/>
          <w:sz w:val="28"/>
          <w:szCs w:val="28"/>
        </w:rPr>
        <w:t>物质，但在存储过程中应注意通风换气，</w:t>
      </w:r>
      <w:r>
        <w:rPr>
          <w:rFonts w:hint="eastAsia" w:eastAsia="仿宋_GB2312"/>
          <w:sz w:val="28"/>
          <w:szCs w:val="28"/>
        </w:rPr>
        <w:t>同时本项目</w:t>
      </w:r>
      <w:r>
        <w:rPr>
          <w:rFonts w:eastAsia="仿宋_GB2312"/>
          <w:sz w:val="28"/>
          <w:szCs w:val="28"/>
        </w:rPr>
        <w:t>危废仓库有废气处理装置，确保不使此类物质在空气中达到爆炸极限引发爆炸事故。</w:t>
      </w:r>
    </w:p>
    <w:p>
      <w:pPr>
        <w:spacing w:line="500" w:lineRule="exact"/>
        <w:ind w:firstLine="560" w:firstLineChars="200"/>
        <w:rPr>
          <w:rFonts w:eastAsia="仿宋_GB2312"/>
          <w:sz w:val="28"/>
          <w:szCs w:val="28"/>
        </w:rPr>
      </w:pPr>
      <w:r>
        <w:rPr>
          <w:rFonts w:eastAsia="仿宋_GB2312"/>
          <w:sz w:val="28"/>
          <w:szCs w:val="28"/>
        </w:rPr>
        <w:t>此外，固体废物在外运过程可能发生抛洒、泄漏，造成土壤及水环境污染，对大气环境造成影响，危害沿线居民健康。因此，项目在危险废物的转移时，按有关规定签订危险废物转移单，并需得到有关环境行政主管部门的批准，且必须委托专门的危险废物运输单位，需具备一定的应急能力。</w:t>
      </w:r>
    </w:p>
    <w:p>
      <w:pPr>
        <w:pStyle w:val="4"/>
        <w:keepLines w:val="0"/>
        <w:numPr>
          <w:ilvl w:val="2"/>
          <w:numId w:val="1"/>
        </w:numPr>
        <w:tabs>
          <w:tab w:val="left" w:pos="709"/>
        </w:tabs>
        <w:spacing w:before="0" w:after="120" w:afterLines="50" w:line="500" w:lineRule="exact"/>
        <w:ind w:left="0" w:firstLine="0"/>
        <w:rPr>
          <w:rFonts w:eastAsia="仿宋_GB2312"/>
          <w:bCs w:val="0"/>
          <w:sz w:val="28"/>
        </w:rPr>
      </w:pPr>
      <w:r>
        <w:rPr>
          <w:rFonts w:hint="eastAsia" w:eastAsia="仿宋_GB2312"/>
          <w:bCs w:val="0"/>
          <w:sz w:val="28"/>
        </w:rPr>
        <w:t>危险</w:t>
      </w:r>
      <w:r>
        <w:rPr>
          <w:rFonts w:eastAsia="仿宋_GB2312"/>
          <w:sz w:val="28"/>
          <w:szCs w:val="28"/>
        </w:rPr>
        <w:t>仓库面积合理性分析</w:t>
      </w:r>
    </w:p>
    <w:p>
      <w:pPr>
        <w:adjustRightInd w:val="0"/>
        <w:snapToGrid w:val="0"/>
        <w:spacing w:line="500" w:lineRule="exact"/>
        <w:ind w:firstLine="560" w:firstLineChars="200"/>
        <w:rPr>
          <w:rFonts w:eastAsia="仿宋_GB2312"/>
          <w:sz w:val="28"/>
          <w:szCs w:val="28"/>
        </w:rPr>
      </w:pPr>
      <w:r>
        <w:rPr>
          <w:rFonts w:hint="eastAsia" w:eastAsia="仿宋_GB2312"/>
          <w:sz w:val="28"/>
          <w:szCs w:val="28"/>
        </w:rPr>
        <w:t>一、本项目危废暂存设施拟设置情况</w:t>
      </w:r>
    </w:p>
    <w:p>
      <w:pPr>
        <w:adjustRightInd w:val="0"/>
        <w:snapToGrid w:val="0"/>
        <w:spacing w:line="500" w:lineRule="exact"/>
        <w:ind w:firstLine="560" w:firstLineChars="200"/>
        <w:rPr>
          <w:rFonts w:eastAsia="仿宋_GB2312"/>
          <w:sz w:val="28"/>
          <w:szCs w:val="28"/>
        </w:rPr>
      </w:pPr>
      <w:r>
        <w:rPr>
          <w:rFonts w:hint="eastAsia" w:eastAsia="仿宋_GB2312"/>
          <w:sz w:val="28"/>
          <w:szCs w:val="28"/>
        </w:rPr>
        <w:t>本项目依托租赁</w:t>
      </w:r>
      <w:r>
        <w:rPr>
          <w:rFonts w:eastAsia="仿宋_GB2312"/>
          <w:sz w:val="28"/>
          <w:szCs w:val="28"/>
        </w:rPr>
        <w:t>厂</w:t>
      </w:r>
      <w:r>
        <w:rPr>
          <w:rFonts w:hint="eastAsia" w:eastAsia="仿宋_GB2312"/>
          <w:sz w:val="28"/>
          <w:szCs w:val="28"/>
        </w:rPr>
        <w:t>方一座35m</w:t>
      </w:r>
      <w:r>
        <w:rPr>
          <w:rFonts w:hint="eastAsia" w:eastAsia="仿宋_GB2312"/>
          <w:sz w:val="28"/>
          <w:szCs w:val="28"/>
          <w:vertAlign w:val="superscript"/>
        </w:rPr>
        <w:t>2</w:t>
      </w:r>
      <w:r>
        <w:rPr>
          <w:rFonts w:hint="eastAsia" w:eastAsia="仿宋_GB2312"/>
          <w:sz w:val="28"/>
          <w:szCs w:val="28"/>
        </w:rPr>
        <w:t>危废仓库，其中</w:t>
      </w:r>
      <w:r>
        <w:rPr>
          <w:rFonts w:eastAsia="仿宋_GB2312"/>
          <w:sz w:val="28"/>
          <w:szCs w:val="28"/>
        </w:rPr>
        <w:t>一半的面积用于存在本项目</w:t>
      </w:r>
      <w:r>
        <w:rPr>
          <w:rFonts w:hint="eastAsia" w:eastAsia="仿宋_GB2312"/>
          <w:sz w:val="28"/>
          <w:szCs w:val="28"/>
        </w:rPr>
        <w:t>产生</w:t>
      </w:r>
      <w:r>
        <w:rPr>
          <w:rFonts w:eastAsia="仿宋_GB2312"/>
          <w:sz w:val="28"/>
          <w:szCs w:val="28"/>
        </w:rPr>
        <w:t>的危废</w:t>
      </w:r>
      <w:r>
        <w:rPr>
          <w:rFonts w:hint="eastAsia" w:eastAsia="仿宋_GB2312"/>
          <w:sz w:val="28"/>
          <w:szCs w:val="28"/>
        </w:rPr>
        <w:t>，有效面积15m</w:t>
      </w:r>
      <w:r>
        <w:rPr>
          <w:rFonts w:eastAsia="仿宋_GB2312"/>
          <w:sz w:val="28"/>
          <w:szCs w:val="28"/>
          <w:vertAlign w:val="superscript"/>
        </w:rPr>
        <w:t>2</w:t>
      </w:r>
      <w:r>
        <w:rPr>
          <w:rFonts w:hint="eastAsia" w:eastAsia="仿宋_GB2312"/>
          <w:sz w:val="28"/>
          <w:szCs w:val="28"/>
        </w:rPr>
        <w:t>。按危废库设置</w:t>
      </w:r>
      <w:r>
        <w:rPr>
          <w:rFonts w:eastAsia="仿宋_GB2312"/>
          <w:sz w:val="28"/>
          <w:szCs w:val="28"/>
        </w:rPr>
        <w:t>规范落实三防</w:t>
      </w:r>
      <w:r>
        <w:rPr>
          <w:rFonts w:hint="eastAsia" w:eastAsia="仿宋_GB2312"/>
          <w:sz w:val="28"/>
          <w:szCs w:val="28"/>
        </w:rPr>
        <w:t>措施，设置导流槽，观察</w:t>
      </w:r>
      <w:r>
        <w:rPr>
          <w:rFonts w:eastAsia="仿宋_GB2312"/>
          <w:sz w:val="28"/>
          <w:szCs w:val="28"/>
        </w:rPr>
        <w:t>窗</w:t>
      </w:r>
      <w:r>
        <w:rPr>
          <w:rFonts w:hint="eastAsia" w:eastAsia="仿宋_GB2312"/>
          <w:sz w:val="28"/>
          <w:szCs w:val="28"/>
        </w:rPr>
        <w:t>，废气处理设施等。暂存设施</w:t>
      </w:r>
      <w:r>
        <w:rPr>
          <w:rFonts w:eastAsia="仿宋_GB2312"/>
          <w:sz w:val="28"/>
          <w:szCs w:val="28"/>
        </w:rPr>
        <w:t>具体情况见表</w:t>
      </w:r>
      <w:r>
        <w:rPr>
          <w:rFonts w:hint="eastAsia" w:eastAsia="仿宋_GB2312"/>
          <w:sz w:val="28"/>
          <w:szCs w:val="28"/>
        </w:rPr>
        <w:t>6.3-3。</w:t>
      </w:r>
    </w:p>
    <w:p>
      <w:pPr>
        <w:adjustRightInd w:val="0"/>
        <w:snapToGrid w:val="0"/>
        <w:spacing w:line="500" w:lineRule="exact"/>
        <w:ind w:firstLine="482" w:firstLineChars="200"/>
        <w:jc w:val="center"/>
        <w:rPr>
          <w:rFonts w:eastAsia="仿宋_GB2312"/>
          <w:b/>
          <w:kern w:val="0"/>
          <w:sz w:val="24"/>
        </w:rPr>
      </w:pPr>
      <w:r>
        <w:rPr>
          <w:rFonts w:hint="eastAsia" w:eastAsia="仿宋_GB2312"/>
          <w:b/>
          <w:kern w:val="0"/>
          <w:sz w:val="24"/>
        </w:rPr>
        <w:t>表6.3-</w:t>
      </w:r>
      <w:r>
        <w:rPr>
          <w:rFonts w:eastAsia="仿宋_GB2312"/>
          <w:b/>
          <w:kern w:val="0"/>
          <w:sz w:val="24"/>
        </w:rPr>
        <w:t>3</w:t>
      </w:r>
      <w:r>
        <w:rPr>
          <w:rFonts w:hint="eastAsia" w:eastAsia="仿宋_GB2312"/>
          <w:b/>
          <w:kern w:val="0"/>
          <w:sz w:val="24"/>
        </w:rPr>
        <w:t xml:space="preserve"> 本项目危废暂存设施设置情况一览表</w:t>
      </w:r>
    </w:p>
    <w:tbl>
      <w:tblPr>
        <w:tblStyle w:val="8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8"/>
        <w:gridCol w:w="968"/>
        <w:gridCol w:w="968"/>
        <w:gridCol w:w="1148"/>
        <w:gridCol w:w="1313"/>
        <w:gridCol w:w="1106"/>
        <w:gridCol w:w="2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0" w:type="auto"/>
            <w:vAlign w:val="center"/>
          </w:tcPr>
          <w:p>
            <w:pPr>
              <w:spacing w:line="240" w:lineRule="exact"/>
              <w:jc w:val="center"/>
              <w:rPr>
                <w:rFonts w:ascii="仿宋" w:hAnsi="仿宋" w:eastAsia="仿宋" w:cs="仿宋"/>
                <w:bCs/>
                <w:szCs w:val="21"/>
              </w:rPr>
            </w:pPr>
            <w:r>
              <w:rPr>
                <w:rFonts w:ascii="仿宋" w:hAnsi="仿宋" w:eastAsia="仿宋" w:cs="仿宋"/>
                <w:bCs/>
                <w:szCs w:val="21"/>
              </w:rPr>
              <w:t>分类</w:t>
            </w:r>
          </w:p>
        </w:tc>
        <w:tc>
          <w:tcPr>
            <w:tcW w:w="0" w:type="auto"/>
            <w:vAlign w:val="center"/>
          </w:tcPr>
          <w:p>
            <w:pPr>
              <w:widowControl/>
              <w:jc w:val="center"/>
              <w:rPr>
                <w:rFonts w:ascii="仿宋" w:hAnsi="仿宋" w:eastAsia="仿宋" w:cs="仿宋"/>
                <w:bCs/>
                <w:szCs w:val="21"/>
              </w:rPr>
            </w:pPr>
            <w:r>
              <w:rPr>
                <w:rFonts w:ascii="仿宋" w:hAnsi="仿宋" w:eastAsia="仿宋" w:cs="仿宋"/>
                <w:bCs/>
                <w:szCs w:val="21"/>
              </w:rPr>
              <w:t>建筑等级</w:t>
            </w:r>
          </w:p>
        </w:tc>
        <w:tc>
          <w:tcPr>
            <w:tcW w:w="0" w:type="auto"/>
            <w:vAlign w:val="center"/>
          </w:tcPr>
          <w:p>
            <w:pPr>
              <w:widowControl/>
              <w:jc w:val="center"/>
              <w:rPr>
                <w:rFonts w:ascii="仿宋" w:hAnsi="仿宋" w:eastAsia="仿宋" w:cs="仿宋"/>
                <w:bCs/>
                <w:szCs w:val="21"/>
              </w:rPr>
            </w:pPr>
            <w:r>
              <w:rPr>
                <w:rFonts w:ascii="仿宋" w:hAnsi="仿宋" w:eastAsia="仿宋" w:cs="仿宋"/>
                <w:bCs/>
                <w:szCs w:val="21"/>
              </w:rPr>
              <w:t>设置层数</w:t>
            </w:r>
          </w:p>
        </w:tc>
        <w:tc>
          <w:tcPr>
            <w:tcW w:w="0" w:type="auto"/>
            <w:vAlign w:val="center"/>
          </w:tcPr>
          <w:p>
            <w:pPr>
              <w:widowControl/>
              <w:jc w:val="center"/>
              <w:rPr>
                <w:rFonts w:ascii="仿宋" w:hAnsi="仿宋" w:eastAsia="仿宋" w:cs="仿宋"/>
                <w:bCs/>
                <w:szCs w:val="21"/>
              </w:rPr>
            </w:pPr>
            <w:r>
              <w:rPr>
                <w:rFonts w:ascii="仿宋" w:hAnsi="仿宋" w:eastAsia="仿宋" w:cs="仿宋"/>
                <w:bCs/>
                <w:szCs w:val="21"/>
              </w:rPr>
              <w:t>建设进度</w:t>
            </w:r>
          </w:p>
        </w:tc>
        <w:tc>
          <w:tcPr>
            <w:tcW w:w="1313" w:type="dxa"/>
            <w:vAlign w:val="center"/>
          </w:tcPr>
          <w:p>
            <w:pPr>
              <w:widowControl/>
              <w:jc w:val="center"/>
              <w:rPr>
                <w:rFonts w:ascii="仿宋" w:hAnsi="仿宋" w:eastAsia="仿宋" w:cs="仿宋"/>
                <w:bCs/>
                <w:szCs w:val="21"/>
              </w:rPr>
            </w:pPr>
            <w:r>
              <w:rPr>
                <w:rFonts w:ascii="仿宋" w:hAnsi="仿宋" w:eastAsia="仿宋" w:cs="仿宋"/>
                <w:bCs/>
                <w:szCs w:val="21"/>
              </w:rPr>
              <w:t>分区</w:t>
            </w:r>
          </w:p>
        </w:tc>
        <w:tc>
          <w:tcPr>
            <w:tcW w:w="1106" w:type="dxa"/>
            <w:vAlign w:val="center"/>
          </w:tcPr>
          <w:p>
            <w:pPr>
              <w:widowControl/>
              <w:jc w:val="center"/>
              <w:rPr>
                <w:rFonts w:ascii="仿宋" w:hAnsi="仿宋" w:eastAsia="仿宋" w:cs="仿宋"/>
                <w:bCs/>
                <w:szCs w:val="21"/>
              </w:rPr>
            </w:pPr>
            <w:r>
              <w:rPr>
                <w:rFonts w:ascii="仿宋" w:hAnsi="仿宋" w:eastAsia="仿宋" w:cs="仿宋"/>
                <w:bCs/>
                <w:szCs w:val="21"/>
              </w:rPr>
              <w:t>占地面积</w:t>
            </w:r>
            <w:r>
              <w:rPr>
                <w:rFonts w:hint="eastAsia" w:ascii="仿宋" w:hAnsi="仿宋" w:eastAsia="仿宋" w:cs="仿宋"/>
                <w:bCs/>
                <w:szCs w:val="21"/>
              </w:rPr>
              <w:t>（m</w:t>
            </w:r>
            <w:r>
              <w:rPr>
                <w:rFonts w:hint="eastAsia" w:ascii="仿宋" w:hAnsi="仿宋" w:eastAsia="仿宋" w:cs="仿宋"/>
                <w:bCs/>
                <w:szCs w:val="21"/>
                <w:vertAlign w:val="superscript"/>
              </w:rPr>
              <w:t>2</w:t>
            </w:r>
            <w:r>
              <w:rPr>
                <w:rFonts w:hint="eastAsia" w:ascii="仿宋" w:hAnsi="仿宋" w:eastAsia="仿宋" w:cs="仿宋"/>
                <w:bCs/>
                <w:szCs w:val="21"/>
              </w:rPr>
              <w:t>）</w:t>
            </w:r>
          </w:p>
        </w:tc>
        <w:tc>
          <w:tcPr>
            <w:tcW w:w="0" w:type="auto"/>
            <w:vAlign w:val="center"/>
          </w:tcPr>
          <w:p>
            <w:pPr>
              <w:spacing w:line="240" w:lineRule="exact"/>
              <w:jc w:val="center"/>
              <w:rPr>
                <w:rFonts w:ascii="仿宋" w:hAnsi="仿宋" w:eastAsia="仿宋" w:cs="仿宋"/>
                <w:bCs/>
                <w:szCs w:val="21"/>
              </w:rPr>
            </w:pPr>
            <w:r>
              <w:rPr>
                <w:rFonts w:ascii="仿宋" w:hAnsi="仿宋" w:eastAsia="仿宋" w:cs="仿宋"/>
                <w:bCs/>
                <w:szCs w:val="21"/>
              </w:rPr>
              <w:t>贮存物料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0" w:hRule="atLeast"/>
          <w:jc w:val="center"/>
        </w:trPr>
        <w:tc>
          <w:tcPr>
            <w:tcW w:w="0" w:type="auto"/>
            <w:vMerge w:val="restart"/>
            <w:vAlign w:val="center"/>
          </w:tcPr>
          <w:p>
            <w:pPr>
              <w:spacing w:line="240" w:lineRule="exact"/>
              <w:jc w:val="center"/>
              <w:rPr>
                <w:rFonts w:ascii="仿宋" w:hAnsi="仿宋" w:eastAsia="仿宋" w:cs="仿宋"/>
                <w:bCs/>
                <w:szCs w:val="21"/>
              </w:rPr>
            </w:pPr>
            <w:r>
              <w:rPr>
                <w:rFonts w:ascii="仿宋" w:hAnsi="仿宋" w:eastAsia="仿宋" w:cs="仿宋"/>
                <w:bCs/>
                <w:szCs w:val="21"/>
              </w:rPr>
              <w:t>危废仓库</w:t>
            </w:r>
          </w:p>
        </w:tc>
        <w:tc>
          <w:tcPr>
            <w:tcW w:w="0" w:type="auto"/>
            <w:vMerge w:val="restar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甲</w:t>
            </w:r>
            <w:r>
              <w:rPr>
                <w:rFonts w:ascii="仿宋" w:hAnsi="仿宋" w:eastAsia="仿宋" w:cs="仿宋"/>
                <w:bCs/>
                <w:szCs w:val="21"/>
              </w:rPr>
              <w:t>类</w:t>
            </w:r>
          </w:p>
        </w:tc>
        <w:tc>
          <w:tcPr>
            <w:tcW w:w="0" w:type="auto"/>
            <w:vMerge w:val="restart"/>
            <w:vAlign w:val="center"/>
          </w:tcPr>
          <w:p>
            <w:pPr>
              <w:spacing w:line="240" w:lineRule="exact"/>
              <w:jc w:val="center"/>
              <w:rPr>
                <w:rFonts w:ascii="仿宋" w:hAnsi="仿宋" w:eastAsia="仿宋" w:cs="仿宋"/>
                <w:bCs/>
                <w:szCs w:val="21"/>
              </w:rPr>
            </w:pPr>
            <w:r>
              <w:rPr>
                <w:rFonts w:ascii="仿宋" w:hAnsi="仿宋" w:eastAsia="仿宋" w:cs="仿宋"/>
                <w:bCs/>
                <w:szCs w:val="21"/>
              </w:rPr>
              <w:t>1</w:t>
            </w:r>
          </w:p>
        </w:tc>
        <w:tc>
          <w:tcPr>
            <w:tcW w:w="0" w:type="auto"/>
            <w:vMerge w:val="restart"/>
            <w:vAlign w:val="center"/>
          </w:tcPr>
          <w:p>
            <w:pPr>
              <w:spacing w:line="240" w:lineRule="exact"/>
              <w:jc w:val="center"/>
              <w:rPr>
                <w:rFonts w:ascii="仿宋" w:hAnsi="仿宋" w:eastAsia="仿宋" w:cs="仿宋"/>
                <w:bCs/>
                <w:szCs w:val="21"/>
              </w:rPr>
            </w:pPr>
            <w:r>
              <w:rPr>
                <w:rFonts w:ascii="仿宋" w:hAnsi="仿宋" w:eastAsia="仿宋" w:cs="仿宋"/>
                <w:bCs/>
                <w:szCs w:val="21"/>
              </w:rPr>
              <w:t>本项目新建</w:t>
            </w:r>
          </w:p>
        </w:tc>
        <w:tc>
          <w:tcPr>
            <w:tcW w:w="1313"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固体区</w:t>
            </w:r>
          </w:p>
        </w:tc>
        <w:tc>
          <w:tcPr>
            <w:tcW w:w="1106"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5</w:t>
            </w:r>
          </w:p>
        </w:tc>
        <w:tc>
          <w:tcPr>
            <w:tcW w:w="0" w:type="auto"/>
            <w:vMerge w:val="restar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本项目产生</w:t>
            </w:r>
            <w:r>
              <w:rPr>
                <w:rFonts w:ascii="仿宋" w:hAnsi="仿宋" w:eastAsia="仿宋" w:cs="仿宋"/>
                <w:bCs/>
                <w:szCs w:val="21"/>
              </w:rPr>
              <w:t>的危险废物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0" w:type="auto"/>
            <w:vMerge w:val="continue"/>
            <w:vAlign w:val="center"/>
          </w:tcPr>
          <w:p>
            <w:pPr>
              <w:spacing w:line="240" w:lineRule="exact"/>
              <w:jc w:val="center"/>
              <w:rPr>
                <w:rFonts w:ascii="仿宋" w:hAnsi="仿宋" w:eastAsia="仿宋" w:cs="仿宋"/>
                <w:bCs/>
                <w:szCs w:val="21"/>
              </w:rPr>
            </w:pPr>
          </w:p>
        </w:tc>
        <w:tc>
          <w:tcPr>
            <w:tcW w:w="0" w:type="auto"/>
            <w:vMerge w:val="continue"/>
            <w:vAlign w:val="center"/>
          </w:tcPr>
          <w:p>
            <w:pPr>
              <w:spacing w:line="240" w:lineRule="exact"/>
              <w:jc w:val="center"/>
              <w:rPr>
                <w:rFonts w:ascii="仿宋" w:hAnsi="仿宋" w:eastAsia="仿宋" w:cs="仿宋"/>
                <w:bCs/>
                <w:szCs w:val="21"/>
              </w:rPr>
            </w:pPr>
          </w:p>
        </w:tc>
        <w:tc>
          <w:tcPr>
            <w:tcW w:w="0" w:type="auto"/>
            <w:vMerge w:val="continue"/>
            <w:vAlign w:val="center"/>
          </w:tcPr>
          <w:p>
            <w:pPr>
              <w:spacing w:line="240" w:lineRule="exact"/>
              <w:jc w:val="center"/>
              <w:rPr>
                <w:rFonts w:ascii="仿宋" w:hAnsi="仿宋" w:eastAsia="仿宋" w:cs="仿宋"/>
                <w:bCs/>
                <w:szCs w:val="21"/>
              </w:rPr>
            </w:pPr>
          </w:p>
        </w:tc>
        <w:tc>
          <w:tcPr>
            <w:tcW w:w="0" w:type="auto"/>
            <w:vMerge w:val="continue"/>
            <w:vAlign w:val="center"/>
          </w:tcPr>
          <w:p>
            <w:pPr>
              <w:spacing w:line="240" w:lineRule="exact"/>
              <w:jc w:val="center"/>
              <w:rPr>
                <w:rFonts w:ascii="仿宋" w:hAnsi="仿宋" w:eastAsia="仿宋" w:cs="仿宋"/>
                <w:bCs/>
                <w:szCs w:val="21"/>
              </w:rPr>
            </w:pPr>
          </w:p>
        </w:tc>
        <w:tc>
          <w:tcPr>
            <w:tcW w:w="1313"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液体</w:t>
            </w:r>
            <w:r>
              <w:rPr>
                <w:rFonts w:ascii="仿宋" w:hAnsi="仿宋" w:eastAsia="仿宋" w:cs="仿宋"/>
                <w:bCs/>
                <w:szCs w:val="21"/>
              </w:rPr>
              <w:t>区</w:t>
            </w:r>
          </w:p>
        </w:tc>
        <w:tc>
          <w:tcPr>
            <w:tcW w:w="1106"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10</w:t>
            </w:r>
          </w:p>
        </w:tc>
        <w:tc>
          <w:tcPr>
            <w:tcW w:w="0" w:type="auto"/>
            <w:vMerge w:val="continue"/>
            <w:vAlign w:val="center"/>
          </w:tcPr>
          <w:p>
            <w:pPr>
              <w:widowControl/>
              <w:jc w:val="center"/>
              <w:rPr>
                <w:rFonts w:eastAsia="仿宋_GB2312"/>
                <w:kern w:val="0"/>
                <w:szCs w:val="21"/>
              </w:rPr>
            </w:pPr>
          </w:p>
        </w:tc>
      </w:tr>
    </w:tbl>
    <w:p>
      <w:pPr>
        <w:adjustRightInd w:val="0"/>
        <w:snapToGrid w:val="0"/>
        <w:spacing w:line="500" w:lineRule="exact"/>
        <w:ind w:firstLine="560" w:firstLineChars="200"/>
        <w:rPr>
          <w:rFonts w:eastAsia="仿宋_GB2312"/>
          <w:sz w:val="28"/>
          <w:szCs w:val="28"/>
        </w:rPr>
      </w:pPr>
      <w:r>
        <w:rPr>
          <w:rFonts w:hint="eastAsia" w:eastAsia="仿宋_GB2312"/>
          <w:sz w:val="28"/>
          <w:szCs w:val="28"/>
        </w:rPr>
        <w:t>本项目</w:t>
      </w:r>
      <w:r>
        <w:rPr>
          <w:rFonts w:eastAsia="仿宋_GB2312"/>
          <w:sz w:val="28"/>
          <w:szCs w:val="28"/>
        </w:rPr>
        <w:t>达产后危废总量为</w:t>
      </w:r>
      <w:r>
        <w:rPr>
          <w:rFonts w:hint="eastAsia" w:eastAsia="仿宋_GB2312"/>
          <w:sz w:val="28"/>
          <w:szCs w:val="28"/>
        </w:rPr>
        <w:t>10.772</w:t>
      </w:r>
      <w:r>
        <w:rPr>
          <w:rFonts w:eastAsia="仿宋_GB2312"/>
          <w:sz w:val="28"/>
          <w:szCs w:val="28"/>
        </w:rPr>
        <w:t>t/a。本项目危废仓库</w:t>
      </w:r>
      <w:r>
        <w:rPr>
          <w:rFonts w:hint="eastAsia" w:eastAsia="仿宋_GB2312"/>
          <w:sz w:val="28"/>
          <w:szCs w:val="28"/>
        </w:rPr>
        <w:t>面积</w:t>
      </w:r>
      <w:r>
        <w:rPr>
          <w:rFonts w:eastAsia="仿宋_GB2312"/>
          <w:sz w:val="28"/>
          <w:szCs w:val="28"/>
        </w:rPr>
        <w:t>15m</w:t>
      </w:r>
      <w:r>
        <w:rPr>
          <w:rFonts w:eastAsia="仿宋_GB2312"/>
          <w:sz w:val="28"/>
          <w:szCs w:val="28"/>
          <w:vertAlign w:val="superscript"/>
        </w:rPr>
        <w:t>2</w:t>
      </w:r>
      <w:r>
        <w:rPr>
          <w:rFonts w:hint="eastAsia" w:eastAsia="仿宋_GB2312"/>
          <w:sz w:val="28"/>
          <w:szCs w:val="28"/>
        </w:rPr>
        <w:t>，</w:t>
      </w:r>
      <w:r>
        <w:rPr>
          <w:rFonts w:eastAsia="仿宋_GB2312"/>
          <w:sz w:val="28"/>
          <w:szCs w:val="28"/>
        </w:rPr>
        <w:t>有效面积约</w:t>
      </w:r>
      <w:r>
        <w:rPr>
          <w:rFonts w:hint="eastAsia" w:eastAsia="仿宋_GB2312"/>
          <w:sz w:val="28"/>
          <w:szCs w:val="28"/>
        </w:rPr>
        <w:t>12</w:t>
      </w:r>
      <w:r>
        <w:rPr>
          <w:rFonts w:eastAsia="仿宋_GB2312"/>
          <w:sz w:val="28"/>
          <w:szCs w:val="28"/>
        </w:rPr>
        <w:t>m</w:t>
      </w:r>
      <w:r>
        <w:rPr>
          <w:rFonts w:eastAsia="仿宋_GB2312"/>
          <w:sz w:val="28"/>
          <w:szCs w:val="28"/>
          <w:vertAlign w:val="superscript"/>
        </w:rPr>
        <w:t>2</w:t>
      </w:r>
      <w:r>
        <w:rPr>
          <w:rFonts w:hint="eastAsia" w:eastAsia="仿宋_GB2312"/>
          <w:sz w:val="28"/>
          <w:szCs w:val="28"/>
        </w:rPr>
        <w:t>。根据</w:t>
      </w:r>
      <w:r>
        <w:rPr>
          <w:rFonts w:eastAsia="仿宋_GB2312"/>
          <w:sz w:val="28"/>
          <w:szCs w:val="28"/>
        </w:rPr>
        <w:t>表6.3-4</w:t>
      </w:r>
      <w:r>
        <w:rPr>
          <w:rFonts w:hint="eastAsia" w:eastAsia="仿宋_GB2312"/>
          <w:sz w:val="28"/>
          <w:szCs w:val="28"/>
        </w:rPr>
        <w:t>的</w:t>
      </w:r>
      <w:r>
        <w:rPr>
          <w:rFonts w:eastAsia="仿宋_GB2312"/>
          <w:sz w:val="28"/>
          <w:szCs w:val="28"/>
        </w:rPr>
        <w:t>分析，</w:t>
      </w:r>
      <w:r>
        <w:rPr>
          <w:rFonts w:hint="eastAsia" w:eastAsia="仿宋_GB2312"/>
          <w:sz w:val="28"/>
          <w:szCs w:val="28"/>
        </w:rPr>
        <w:t>本项目危废</w:t>
      </w:r>
      <w:r>
        <w:rPr>
          <w:rFonts w:eastAsia="仿宋_GB2312"/>
          <w:sz w:val="28"/>
          <w:szCs w:val="28"/>
        </w:rPr>
        <w:t>存储能力合理</w:t>
      </w:r>
      <w:r>
        <w:rPr>
          <w:rFonts w:hint="eastAsia" w:eastAsia="仿宋_GB2312"/>
          <w:sz w:val="28"/>
          <w:szCs w:val="28"/>
        </w:rPr>
        <w:t>。</w:t>
      </w:r>
    </w:p>
    <w:p>
      <w:pPr>
        <w:spacing w:line="500" w:lineRule="exact"/>
        <w:ind w:firstLine="482" w:firstLineChars="200"/>
        <w:jc w:val="center"/>
        <w:rPr>
          <w:rFonts w:eastAsia="仿宋_GB2312"/>
          <w:b/>
          <w:bCs/>
          <w:sz w:val="24"/>
        </w:rPr>
      </w:pPr>
      <w:r>
        <w:rPr>
          <w:rFonts w:hint="eastAsia" w:eastAsia="仿宋_GB2312"/>
          <w:b/>
          <w:bCs/>
          <w:sz w:val="24"/>
        </w:rPr>
        <w:t>表</w:t>
      </w:r>
      <w:r>
        <w:rPr>
          <w:rFonts w:eastAsia="仿宋_GB2312"/>
          <w:b/>
          <w:bCs/>
          <w:sz w:val="24"/>
        </w:rPr>
        <w:t xml:space="preserve">6.3-4 </w:t>
      </w:r>
      <w:r>
        <w:rPr>
          <w:rFonts w:hint="eastAsia" w:eastAsia="仿宋_GB2312"/>
          <w:b/>
          <w:bCs/>
          <w:sz w:val="24"/>
        </w:rPr>
        <w:t>建设项目危险废物贮存场所（设施）基本情况表</w:t>
      </w:r>
    </w:p>
    <w:tbl>
      <w:tblPr>
        <w:tblStyle w:val="87"/>
        <w:tblW w:w="82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7"/>
        <w:gridCol w:w="951"/>
        <w:gridCol w:w="846"/>
        <w:gridCol w:w="854"/>
        <w:gridCol w:w="445"/>
        <w:gridCol w:w="429"/>
        <w:gridCol w:w="856"/>
        <w:gridCol w:w="633"/>
        <w:gridCol w:w="848"/>
        <w:gridCol w:w="848"/>
        <w:gridCol w:w="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Align w:val="center"/>
          </w:tcPr>
          <w:p>
            <w:pPr>
              <w:widowControl/>
              <w:jc w:val="center"/>
              <w:rPr>
                <w:rFonts w:ascii="仿宋" w:hAnsi="仿宋" w:eastAsia="仿宋" w:cs="仿宋"/>
                <w:bCs/>
                <w:szCs w:val="21"/>
              </w:rPr>
            </w:pPr>
            <w:r>
              <w:rPr>
                <w:rFonts w:ascii="仿宋" w:hAnsi="仿宋" w:eastAsia="仿宋" w:cs="仿宋"/>
                <w:bCs/>
                <w:szCs w:val="21"/>
              </w:rPr>
              <w:t>危废类别</w:t>
            </w:r>
          </w:p>
        </w:tc>
        <w:tc>
          <w:tcPr>
            <w:tcW w:w="951" w:type="dxa"/>
            <w:vAlign w:val="center"/>
          </w:tcPr>
          <w:p>
            <w:pPr>
              <w:widowControl/>
              <w:jc w:val="center"/>
              <w:rPr>
                <w:rFonts w:ascii="仿宋" w:hAnsi="仿宋" w:eastAsia="仿宋" w:cs="仿宋"/>
                <w:bCs/>
                <w:szCs w:val="21"/>
              </w:rPr>
            </w:pPr>
            <w:r>
              <w:rPr>
                <w:rFonts w:hint="eastAsia" w:ascii="仿宋" w:hAnsi="仿宋" w:eastAsia="仿宋" w:cs="仿宋"/>
                <w:bCs/>
                <w:szCs w:val="21"/>
              </w:rPr>
              <w:t>产生量</w:t>
            </w:r>
            <w:r>
              <w:rPr>
                <w:rFonts w:ascii="仿宋" w:hAnsi="仿宋" w:eastAsia="仿宋" w:cs="仿宋"/>
                <w:bCs/>
                <w:szCs w:val="21"/>
              </w:rPr>
              <w:t>（t/a）</w:t>
            </w:r>
          </w:p>
        </w:tc>
        <w:tc>
          <w:tcPr>
            <w:tcW w:w="846" w:type="dxa"/>
            <w:vAlign w:val="center"/>
          </w:tcPr>
          <w:p>
            <w:pPr>
              <w:widowControl/>
              <w:jc w:val="center"/>
              <w:rPr>
                <w:rFonts w:ascii="仿宋" w:hAnsi="仿宋" w:eastAsia="仿宋" w:cs="仿宋"/>
                <w:bCs/>
                <w:szCs w:val="21"/>
              </w:rPr>
            </w:pPr>
            <w:r>
              <w:rPr>
                <w:rFonts w:ascii="仿宋" w:hAnsi="仿宋" w:eastAsia="仿宋" w:cs="仿宋"/>
                <w:bCs/>
                <w:szCs w:val="21"/>
              </w:rPr>
              <w:t>综合利用/处置量（t/a)</w:t>
            </w:r>
          </w:p>
        </w:tc>
        <w:tc>
          <w:tcPr>
            <w:tcW w:w="854" w:type="dxa"/>
            <w:vAlign w:val="center"/>
          </w:tcPr>
          <w:p>
            <w:pPr>
              <w:widowControl/>
              <w:jc w:val="center"/>
              <w:rPr>
                <w:rFonts w:ascii="仿宋" w:hAnsi="仿宋" w:eastAsia="仿宋" w:cs="仿宋"/>
                <w:bCs/>
                <w:szCs w:val="21"/>
              </w:rPr>
            </w:pPr>
            <w:r>
              <w:rPr>
                <w:rFonts w:ascii="仿宋" w:hAnsi="仿宋" w:eastAsia="仿宋" w:cs="仿宋"/>
                <w:bCs/>
                <w:szCs w:val="21"/>
              </w:rPr>
              <w:t>日储存量（以3</w:t>
            </w:r>
            <w:r>
              <w:rPr>
                <w:rFonts w:hint="eastAsia" w:ascii="仿宋" w:hAnsi="仿宋" w:eastAsia="仿宋" w:cs="仿宋"/>
                <w:bCs/>
                <w:szCs w:val="21"/>
              </w:rPr>
              <w:t>0</w:t>
            </w:r>
            <w:r>
              <w:rPr>
                <w:rFonts w:ascii="仿宋" w:hAnsi="仿宋" w:eastAsia="仿宋" w:cs="仿宋"/>
                <w:bCs/>
                <w:szCs w:val="21"/>
              </w:rPr>
              <w:t>0d/a计）</w:t>
            </w:r>
            <w:r>
              <w:rPr>
                <w:rFonts w:hint="eastAsia" w:ascii="仿宋" w:hAnsi="仿宋" w:eastAsia="仿宋" w:cs="仿宋"/>
                <w:bCs/>
                <w:szCs w:val="21"/>
              </w:rPr>
              <w:t>kg</w:t>
            </w:r>
          </w:p>
        </w:tc>
        <w:tc>
          <w:tcPr>
            <w:tcW w:w="445" w:type="dxa"/>
            <w:vAlign w:val="center"/>
          </w:tcPr>
          <w:p>
            <w:pPr>
              <w:widowControl/>
              <w:jc w:val="center"/>
              <w:rPr>
                <w:rFonts w:ascii="仿宋" w:hAnsi="仿宋" w:eastAsia="仿宋" w:cs="仿宋"/>
                <w:bCs/>
                <w:szCs w:val="21"/>
              </w:rPr>
            </w:pPr>
            <w:r>
              <w:rPr>
                <w:rFonts w:ascii="仿宋" w:hAnsi="仿宋" w:eastAsia="仿宋" w:cs="仿宋"/>
                <w:bCs/>
                <w:szCs w:val="21"/>
              </w:rPr>
              <w:t>贮存位置</w:t>
            </w:r>
          </w:p>
        </w:tc>
        <w:tc>
          <w:tcPr>
            <w:tcW w:w="429" w:type="dxa"/>
            <w:vAlign w:val="center"/>
          </w:tcPr>
          <w:p>
            <w:pPr>
              <w:widowControl/>
              <w:jc w:val="center"/>
              <w:rPr>
                <w:rFonts w:ascii="仿宋" w:hAnsi="仿宋" w:eastAsia="仿宋" w:cs="仿宋"/>
                <w:bCs/>
                <w:szCs w:val="21"/>
              </w:rPr>
            </w:pPr>
            <w:r>
              <w:rPr>
                <w:rFonts w:ascii="仿宋" w:hAnsi="仿宋" w:eastAsia="仿宋" w:cs="仿宋"/>
                <w:bCs/>
                <w:szCs w:val="21"/>
              </w:rPr>
              <w:t>建筑性质</w:t>
            </w:r>
          </w:p>
        </w:tc>
        <w:tc>
          <w:tcPr>
            <w:tcW w:w="856" w:type="dxa"/>
            <w:vAlign w:val="center"/>
          </w:tcPr>
          <w:p>
            <w:pPr>
              <w:widowControl/>
              <w:jc w:val="center"/>
              <w:rPr>
                <w:rFonts w:ascii="仿宋" w:hAnsi="仿宋" w:eastAsia="仿宋" w:cs="仿宋"/>
                <w:bCs/>
                <w:szCs w:val="21"/>
              </w:rPr>
            </w:pPr>
            <w:r>
              <w:rPr>
                <w:rFonts w:ascii="仿宋" w:hAnsi="仿宋" w:eastAsia="仿宋" w:cs="仿宋"/>
                <w:bCs/>
                <w:szCs w:val="21"/>
              </w:rPr>
              <w:t>面积（m</w:t>
            </w:r>
            <w:r>
              <w:rPr>
                <w:rFonts w:ascii="仿宋" w:hAnsi="仿宋" w:eastAsia="仿宋" w:cs="仿宋"/>
                <w:bCs/>
                <w:szCs w:val="21"/>
                <w:vertAlign w:val="superscript"/>
              </w:rPr>
              <w:t>2</w:t>
            </w:r>
            <w:r>
              <w:rPr>
                <w:rFonts w:ascii="仿宋" w:hAnsi="仿宋" w:eastAsia="仿宋" w:cs="仿宋"/>
                <w:bCs/>
                <w:szCs w:val="21"/>
              </w:rPr>
              <w:t>）</w:t>
            </w:r>
          </w:p>
        </w:tc>
        <w:tc>
          <w:tcPr>
            <w:tcW w:w="633" w:type="dxa"/>
            <w:vAlign w:val="center"/>
          </w:tcPr>
          <w:p>
            <w:pPr>
              <w:widowControl/>
              <w:jc w:val="center"/>
              <w:rPr>
                <w:rFonts w:ascii="仿宋" w:hAnsi="仿宋" w:eastAsia="仿宋" w:cs="仿宋"/>
                <w:bCs/>
                <w:szCs w:val="21"/>
              </w:rPr>
            </w:pPr>
            <w:r>
              <w:rPr>
                <w:rFonts w:ascii="仿宋" w:hAnsi="仿宋" w:eastAsia="仿宋" w:cs="仿宋"/>
                <w:bCs/>
                <w:szCs w:val="21"/>
              </w:rPr>
              <w:t>容积率</w:t>
            </w:r>
          </w:p>
        </w:tc>
        <w:tc>
          <w:tcPr>
            <w:tcW w:w="848" w:type="dxa"/>
            <w:vAlign w:val="center"/>
          </w:tcPr>
          <w:p>
            <w:pPr>
              <w:widowControl/>
              <w:jc w:val="center"/>
              <w:rPr>
                <w:rFonts w:ascii="仿宋" w:hAnsi="仿宋" w:eastAsia="仿宋" w:cs="仿宋"/>
                <w:bCs/>
                <w:szCs w:val="21"/>
              </w:rPr>
            </w:pPr>
            <w:r>
              <w:rPr>
                <w:rFonts w:ascii="仿宋" w:hAnsi="仿宋" w:eastAsia="仿宋" w:cs="仿宋"/>
                <w:bCs/>
                <w:szCs w:val="21"/>
              </w:rPr>
              <w:t>核算每m</w:t>
            </w:r>
            <w:r>
              <w:rPr>
                <w:rFonts w:ascii="仿宋" w:hAnsi="仿宋" w:eastAsia="仿宋" w:cs="仿宋"/>
                <w:bCs/>
                <w:szCs w:val="21"/>
                <w:vertAlign w:val="superscript"/>
              </w:rPr>
              <w:t>2</w:t>
            </w:r>
            <w:r>
              <w:rPr>
                <w:rFonts w:ascii="仿宋" w:hAnsi="仿宋" w:eastAsia="仿宋" w:cs="仿宋"/>
                <w:bCs/>
                <w:szCs w:val="21"/>
              </w:rPr>
              <w:t>存放量</w:t>
            </w:r>
            <w:r>
              <w:rPr>
                <w:rFonts w:hint="eastAsia" w:ascii="仿宋" w:hAnsi="仿宋" w:eastAsia="仿宋" w:cs="仿宋"/>
                <w:bCs/>
                <w:szCs w:val="21"/>
              </w:rPr>
              <w:t>（吨）</w:t>
            </w:r>
          </w:p>
        </w:tc>
        <w:tc>
          <w:tcPr>
            <w:tcW w:w="848" w:type="dxa"/>
            <w:vAlign w:val="center"/>
          </w:tcPr>
          <w:p>
            <w:pPr>
              <w:widowControl/>
              <w:jc w:val="center"/>
              <w:rPr>
                <w:rFonts w:ascii="仿宋" w:hAnsi="仿宋" w:eastAsia="仿宋" w:cs="仿宋"/>
                <w:bCs/>
                <w:szCs w:val="21"/>
              </w:rPr>
            </w:pPr>
            <w:r>
              <w:rPr>
                <w:rFonts w:ascii="仿宋" w:hAnsi="仿宋" w:eastAsia="仿宋" w:cs="仿宋"/>
                <w:bCs/>
                <w:szCs w:val="21"/>
              </w:rPr>
              <w:t>核算最大贮存量（吨）</w:t>
            </w:r>
          </w:p>
        </w:tc>
        <w:tc>
          <w:tcPr>
            <w:tcW w:w="848" w:type="dxa"/>
            <w:vAlign w:val="center"/>
          </w:tcPr>
          <w:p>
            <w:pPr>
              <w:widowControl/>
              <w:jc w:val="center"/>
              <w:rPr>
                <w:rFonts w:ascii="仿宋" w:hAnsi="仿宋" w:eastAsia="仿宋" w:cs="仿宋"/>
                <w:bCs/>
                <w:szCs w:val="21"/>
              </w:rPr>
            </w:pPr>
            <w:r>
              <w:rPr>
                <w:rFonts w:ascii="仿宋" w:hAnsi="仿宋" w:eastAsia="仿宋" w:cs="仿宋"/>
                <w:bCs/>
                <w:szCs w:val="21"/>
              </w:rPr>
              <w:t>可贮存天数（天）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Align w:val="center"/>
          </w:tcPr>
          <w:p>
            <w:pPr>
              <w:widowControl/>
              <w:jc w:val="center"/>
              <w:rPr>
                <w:rFonts w:ascii="仿宋" w:hAnsi="仿宋" w:eastAsia="仿宋" w:cs="仿宋"/>
                <w:bCs/>
                <w:szCs w:val="21"/>
              </w:rPr>
            </w:pPr>
            <w:r>
              <w:rPr>
                <w:rFonts w:hint="eastAsia" w:ascii="仿宋" w:hAnsi="仿宋" w:eastAsia="仿宋" w:cs="仿宋"/>
                <w:bCs/>
                <w:szCs w:val="21"/>
              </w:rPr>
              <w:t>废</w:t>
            </w:r>
            <w:r>
              <w:rPr>
                <w:rFonts w:ascii="仿宋" w:hAnsi="仿宋" w:eastAsia="仿宋" w:cs="仿宋"/>
                <w:bCs/>
                <w:szCs w:val="21"/>
              </w:rPr>
              <w:t>胶水</w:t>
            </w:r>
          </w:p>
        </w:tc>
        <w:tc>
          <w:tcPr>
            <w:tcW w:w="951" w:type="dxa"/>
            <w:vAlign w:val="center"/>
          </w:tcPr>
          <w:p>
            <w:pPr>
              <w:jc w:val="center"/>
              <w:rPr>
                <w:rFonts w:ascii="仿宋" w:hAnsi="仿宋" w:eastAsia="仿宋" w:cs="仿宋"/>
                <w:bCs/>
                <w:szCs w:val="21"/>
              </w:rPr>
            </w:pPr>
            <w:r>
              <w:rPr>
                <w:rFonts w:hint="eastAsia" w:ascii="仿宋" w:hAnsi="仿宋" w:eastAsia="仿宋" w:cs="仿宋"/>
                <w:bCs/>
                <w:szCs w:val="21"/>
              </w:rPr>
              <w:t>1.814</w:t>
            </w:r>
          </w:p>
        </w:tc>
        <w:tc>
          <w:tcPr>
            <w:tcW w:w="846" w:type="dxa"/>
            <w:vAlign w:val="center"/>
          </w:tcPr>
          <w:p>
            <w:pPr>
              <w:jc w:val="center"/>
              <w:rPr>
                <w:rFonts w:ascii="仿宋" w:hAnsi="仿宋" w:eastAsia="仿宋" w:cs="仿宋"/>
                <w:bCs/>
                <w:szCs w:val="21"/>
              </w:rPr>
            </w:pPr>
            <w:r>
              <w:rPr>
                <w:rFonts w:hint="eastAsia" w:ascii="仿宋" w:hAnsi="仿宋" w:eastAsia="仿宋" w:cs="仿宋"/>
                <w:bCs/>
                <w:szCs w:val="21"/>
              </w:rPr>
              <w:t>1.814</w:t>
            </w:r>
          </w:p>
        </w:tc>
        <w:tc>
          <w:tcPr>
            <w:tcW w:w="854" w:type="dxa"/>
            <w:vAlign w:val="center"/>
          </w:tcPr>
          <w:p>
            <w:pPr>
              <w:widowControl/>
              <w:jc w:val="center"/>
              <w:rPr>
                <w:rFonts w:ascii="仿宋" w:hAnsi="仿宋" w:eastAsia="仿宋" w:cs="仿宋"/>
                <w:bCs/>
                <w:szCs w:val="21"/>
              </w:rPr>
            </w:pPr>
            <w:r>
              <w:rPr>
                <w:rFonts w:ascii="仿宋" w:hAnsi="仿宋" w:eastAsia="仿宋" w:cs="仿宋"/>
                <w:bCs/>
                <w:szCs w:val="21"/>
              </w:rPr>
              <w:t>6</w:t>
            </w:r>
          </w:p>
        </w:tc>
        <w:tc>
          <w:tcPr>
            <w:tcW w:w="445" w:type="dxa"/>
            <w:vMerge w:val="restart"/>
            <w:vAlign w:val="center"/>
          </w:tcPr>
          <w:p>
            <w:pPr>
              <w:widowControl/>
              <w:jc w:val="center"/>
              <w:rPr>
                <w:rFonts w:ascii="仿宋" w:hAnsi="仿宋" w:eastAsia="仿宋" w:cs="仿宋"/>
                <w:bCs/>
                <w:szCs w:val="21"/>
              </w:rPr>
            </w:pPr>
            <w:r>
              <w:rPr>
                <w:rFonts w:hint="eastAsia" w:ascii="仿宋" w:hAnsi="仿宋" w:eastAsia="仿宋" w:cs="仿宋"/>
                <w:bCs/>
                <w:szCs w:val="21"/>
              </w:rPr>
              <w:t>液体区</w:t>
            </w:r>
          </w:p>
        </w:tc>
        <w:tc>
          <w:tcPr>
            <w:tcW w:w="429" w:type="dxa"/>
            <w:vMerge w:val="restart"/>
            <w:vAlign w:val="center"/>
          </w:tcPr>
          <w:p>
            <w:pPr>
              <w:widowControl/>
              <w:jc w:val="center"/>
              <w:rPr>
                <w:rFonts w:ascii="仿宋" w:hAnsi="仿宋" w:eastAsia="仿宋" w:cs="仿宋"/>
                <w:bCs/>
                <w:szCs w:val="21"/>
              </w:rPr>
            </w:pPr>
            <w:r>
              <w:rPr>
                <w:rFonts w:hint="eastAsia" w:ascii="仿宋" w:hAnsi="仿宋" w:eastAsia="仿宋" w:cs="仿宋"/>
                <w:bCs/>
                <w:szCs w:val="21"/>
              </w:rPr>
              <w:t>甲类</w:t>
            </w:r>
          </w:p>
        </w:tc>
        <w:tc>
          <w:tcPr>
            <w:tcW w:w="856" w:type="dxa"/>
            <w:vMerge w:val="restart"/>
            <w:vAlign w:val="center"/>
          </w:tcPr>
          <w:p>
            <w:pPr>
              <w:widowControl/>
              <w:jc w:val="center"/>
              <w:rPr>
                <w:rFonts w:ascii="仿宋" w:hAnsi="仿宋" w:eastAsia="仿宋" w:cs="仿宋"/>
                <w:bCs/>
                <w:szCs w:val="21"/>
              </w:rPr>
            </w:pPr>
            <w:r>
              <w:rPr>
                <w:rFonts w:hint="eastAsia" w:ascii="仿宋" w:hAnsi="仿宋" w:eastAsia="仿宋" w:cs="仿宋"/>
                <w:bCs/>
                <w:szCs w:val="21"/>
              </w:rPr>
              <w:t>10</w:t>
            </w:r>
          </w:p>
        </w:tc>
        <w:tc>
          <w:tcPr>
            <w:tcW w:w="633" w:type="dxa"/>
            <w:vMerge w:val="restart"/>
            <w:vAlign w:val="center"/>
          </w:tcPr>
          <w:p>
            <w:pPr>
              <w:widowControl/>
              <w:jc w:val="center"/>
              <w:rPr>
                <w:rFonts w:ascii="仿宋" w:hAnsi="仿宋" w:eastAsia="仿宋" w:cs="仿宋"/>
                <w:bCs/>
                <w:szCs w:val="21"/>
              </w:rPr>
            </w:pPr>
            <w:r>
              <w:rPr>
                <w:rFonts w:ascii="仿宋" w:hAnsi="仿宋" w:eastAsia="仿宋" w:cs="仿宋"/>
                <w:bCs/>
                <w:szCs w:val="21"/>
              </w:rPr>
              <w:t>0.9</w:t>
            </w:r>
          </w:p>
        </w:tc>
        <w:tc>
          <w:tcPr>
            <w:tcW w:w="848" w:type="dxa"/>
            <w:vMerge w:val="restart"/>
            <w:vAlign w:val="center"/>
          </w:tcPr>
          <w:p>
            <w:pPr>
              <w:widowControl/>
              <w:jc w:val="center"/>
              <w:rPr>
                <w:rFonts w:ascii="仿宋" w:hAnsi="仿宋" w:eastAsia="仿宋" w:cs="仿宋"/>
                <w:bCs/>
                <w:szCs w:val="21"/>
              </w:rPr>
            </w:pPr>
            <w:r>
              <w:rPr>
                <w:rFonts w:hint="eastAsia" w:ascii="仿宋" w:hAnsi="仿宋" w:eastAsia="仿宋" w:cs="仿宋"/>
                <w:bCs/>
                <w:szCs w:val="21"/>
              </w:rPr>
              <w:t>2</w:t>
            </w:r>
          </w:p>
        </w:tc>
        <w:tc>
          <w:tcPr>
            <w:tcW w:w="848" w:type="dxa"/>
            <w:vMerge w:val="restart"/>
            <w:vAlign w:val="center"/>
          </w:tcPr>
          <w:p>
            <w:pPr>
              <w:widowControl/>
              <w:jc w:val="center"/>
              <w:rPr>
                <w:rFonts w:ascii="仿宋" w:hAnsi="仿宋" w:eastAsia="仿宋" w:cs="仿宋"/>
                <w:bCs/>
                <w:szCs w:val="21"/>
              </w:rPr>
            </w:pPr>
            <w:r>
              <w:rPr>
                <w:rFonts w:hint="eastAsia" w:ascii="仿宋" w:hAnsi="仿宋" w:eastAsia="仿宋" w:cs="仿宋"/>
                <w:bCs/>
                <w:szCs w:val="21"/>
              </w:rPr>
              <w:t>18</w:t>
            </w:r>
          </w:p>
        </w:tc>
        <w:tc>
          <w:tcPr>
            <w:tcW w:w="848" w:type="dxa"/>
            <w:vMerge w:val="restart"/>
            <w:vAlign w:val="center"/>
          </w:tcPr>
          <w:p>
            <w:pPr>
              <w:widowControl/>
              <w:jc w:val="center"/>
              <w:rPr>
                <w:rFonts w:ascii="仿宋" w:hAnsi="仿宋" w:eastAsia="仿宋" w:cs="仿宋"/>
                <w:bCs/>
                <w:szCs w:val="21"/>
              </w:rPr>
            </w:pPr>
            <w:r>
              <w:rPr>
                <w:rFonts w:hint="eastAsia" w:ascii="仿宋" w:hAnsi="仿宋" w:eastAsia="仿宋" w:cs="仿宋"/>
                <w:bCs/>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Align w:val="center"/>
          </w:tcPr>
          <w:p>
            <w:pPr>
              <w:widowControl/>
              <w:jc w:val="center"/>
              <w:rPr>
                <w:rFonts w:ascii="仿宋" w:hAnsi="仿宋" w:eastAsia="仿宋" w:cs="仿宋"/>
                <w:bCs/>
                <w:szCs w:val="21"/>
              </w:rPr>
            </w:pPr>
            <w:r>
              <w:rPr>
                <w:rFonts w:hint="eastAsia" w:ascii="仿宋" w:hAnsi="仿宋" w:eastAsia="仿宋" w:cs="仿宋"/>
                <w:bCs/>
                <w:szCs w:val="21"/>
              </w:rPr>
              <w:t>废</w:t>
            </w:r>
            <w:r>
              <w:rPr>
                <w:rFonts w:ascii="仿宋" w:hAnsi="仿宋" w:eastAsia="仿宋" w:cs="仿宋"/>
                <w:bCs/>
                <w:szCs w:val="21"/>
              </w:rPr>
              <w:t>清洗液</w:t>
            </w:r>
          </w:p>
        </w:tc>
        <w:tc>
          <w:tcPr>
            <w:tcW w:w="951" w:type="dxa"/>
            <w:vAlign w:val="center"/>
          </w:tcPr>
          <w:p>
            <w:pPr>
              <w:jc w:val="center"/>
              <w:rPr>
                <w:rFonts w:ascii="仿宋" w:hAnsi="仿宋" w:eastAsia="仿宋" w:cs="仿宋"/>
                <w:bCs/>
                <w:szCs w:val="21"/>
              </w:rPr>
            </w:pPr>
            <w:r>
              <w:rPr>
                <w:rFonts w:hint="eastAsia" w:ascii="仿宋" w:hAnsi="仿宋" w:eastAsia="仿宋" w:cs="仿宋"/>
                <w:bCs/>
                <w:szCs w:val="21"/>
              </w:rPr>
              <w:t>3.6</w:t>
            </w:r>
          </w:p>
        </w:tc>
        <w:tc>
          <w:tcPr>
            <w:tcW w:w="846" w:type="dxa"/>
            <w:vAlign w:val="center"/>
          </w:tcPr>
          <w:p>
            <w:pPr>
              <w:jc w:val="center"/>
              <w:rPr>
                <w:rFonts w:ascii="仿宋" w:hAnsi="仿宋" w:eastAsia="仿宋" w:cs="仿宋"/>
                <w:bCs/>
                <w:szCs w:val="21"/>
              </w:rPr>
            </w:pPr>
            <w:r>
              <w:rPr>
                <w:rFonts w:hint="eastAsia" w:ascii="仿宋" w:hAnsi="仿宋" w:eastAsia="仿宋" w:cs="仿宋"/>
                <w:bCs/>
                <w:szCs w:val="21"/>
              </w:rPr>
              <w:t>3.6</w:t>
            </w:r>
          </w:p>
        </w:tc>
        <w:tc>
          <w:tcPr>
            <w:tcW w:w="854" w:type="dxa"/>
            <w:vAlign w:val="center"/>
          </w:tcPr>
          <w:p>
            <w:pPr>
              <w:jc w:val="center"/>
              <w:rPr>
                <w:rFonts w:ascii="仿宋" w:hAnsi="仿宋" w:eastAsia="仿宋" w:cs="仿宋"/>
                <w:bCs/>
                <w:szCs w:val="21"/>
              </w:rPr>
            </w:pPr>
            <w:r>
              <w:rPr>
                <w:rFonts w:hint="eastAsia" w:ascii="仿宋" w:hAnsi="仿宋" w:eastAsia="仿宋" w:cs="仿宋"/>
                <w:bCs/>
                <w:szCs w:val="21"/>
              </w:rPr>
              <w:t>12</w:t>
            </w:r>
          </w:p>
        </w:tc>
        <w:tc>
          <w:tcPr>
            <w:tcW w:w="445" w:type="dxa"/>
            <w:vMerge w:val="continue"/>
            <w:vAlign w:val="center"/>
          </w:tcPr>
          <w:p>
            <w:pPr>
              <w:snapToGrid w:val="0"/>
              <w:jc w:val="center"/>
              <w:rPr>
                <w:rFonts w:eastAsia="仿宋_GB2312"/>
                <w:bCs/>
                <w:kern w:val="0"/>
                <w:szCs w:val="21"/>
              </w:rPr>
            </w:pPr>
          </w:p>
        </w:tc>
        <w:tc>
          <w:tcPr>
            <w:tcW w:w="429" w:type="dxa"/>
            <w:vMerge w:val="continue"/>
            <w:vAlign w:val="center"/>
          </w:tcPr>
          <w:p>
            <w:pPr>
              <w:snapToGrid w:val="0"/>
              <w:jc w:val="center"/>
              <w:rPr>
                <w:rFonts w:eastAsia="仿宋_GB2312"/>
                <w:bCs/>
                <w:kern w:val="0"/>
                <w:szCs w:val="21"/>
              </w:rPr>
            </w:pPr>
          </w:p>
        </w:tc>
        <w:tc>
          <w:tcPr>
            <w:tcW w:w="856" w:type="dxa"/>
            <w:vMerge w:val="continue"/>
            <w:vAlign w:val="center"/>
          </w:tcPr>
          <w:p>
            <w:pPr>
              <w:widowControl/>
              <w:jc w:val="center"/>
              <w:rPr>
                <w:szCs w:val="21"/>
              </w:rPr>
            </w:pPr>
          </w:p>
        </w:tc>
        <w:tc>
          <w:tcPr>
            <w:tcW w:w="633" w:type="dxa"/>
            <w:vMerge w:val="continue"/>
            <w:vAlign w:val="center"/>
          </w:tcPr>
          <w:p>
            <w:pPr>
              <w:jc w:val="center"/>
              <w:rPr>
                <w:szCs w:val="21"/>
              </w:rPr>
            </w:pPr>
          </w:p>
        </w:tc>
        <w:tc>
          <w:tcPr>
            <w:tcW w:w="848" w:type="dxa"/>
            <w:vMerge w:val="continue"/>
            <w:vAlign w:val="center"/>
          </w:tcPr>
          <w:p>
            <w:pPr>
              <w:jc w:val="center"/>
              <w:rPr>
                <w:szCs w:val="21"/>
              </w:rPr>
            </w:pPr>
          </w:p>
        </w:tc>
        <w:tc>
          <w:tcPr>
            <w:tcW w:w="848" w:type="dxa"/>
            <w:vMerge w:val="continue"/>
            <w:vAlign w:val="center"/>
          </w:tcPr>
          <w:p>
            <w:pPr>
              <w:jc w:val="center"/>
              <w:rPr>
                <w:szCs w:val="21"/>
              </w:rPr>
            </w:pPr>
          </w:p>
        </w:tc>
        <w:tc>
          <w:tcPr>
            <w:tcW w:w="848" w:type="dxa"/>
            <w:vMerge w:val="continue"/>
            <w:vAlign w:val="center"/>
          </w:tcPr>
          <w:p>
            <w:pPr>
              <w:jc w:val="center"/>
              <w:rPr>
                <w:rFonts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Align w:val="center"/>
          </w:tcPr>
          <w:p>
            <w:pPr>
              <w:widowControl/>
              <w:jc w:val="center"/>
              <w:rPr>
                <w:rFonts w:ascii="仿宋" w:hAnsi="仿宋" w:eastAsia="仿宋" w:cs="仿宋"/>
                <w:bCs/>
                <w:szCs w:val="21"/>
              </w:rPr>
            </w:pPr>
            <w:r>
              <w:rPr>
                <w:rFonts w:hint="eastAsia" w:ascii="仿宋" w:hAnsi="仿宋" w:eastAsia="仿宋" w:cs="仿宋"/>
                <w:bCs/>
                <w:szCs w:val="21"/>
              </w:rPr>
              <w:t>废</w:t>
            </w:r>
            <w:r>
              <w:rPr>
                <w:rFonts w:ascii="仿宋" w:hAnsi="仿宋" w:eastAsia="仿宋" w:cs="仿宋"/>
                <w:bCs/>
                <w:szCs w:val="21"/>
              </w:rPr>
              <w:t>机油</w:t>
            </w:r>
          </w:p>
        </w:tc>
        <w:tc>
          <w:tcPr>
            <w:tcW w:w="951" w:type="dxa"/>
            <w:vAlign w:val="center"/>
          </w:tcPr>
          <w:p>
            <w:pPr>
              <w:jc w:val="center"/>
              <w:rPr>
                <w:rFonts w:ascii="仿宋" w:hAnsi="仿宋" w:eastAsia="仿宋" w:cs="仿宋"/>
                <w:bCs/>
                <w:szCs w:val="21"/>
              </w:rPr>
            </w:pPr>
            <w:r>
              <w:rPr>
                <w:rFonts w:hint="eastAsia" w:ascii="仿宋" w:hAnsi="仿宋" w:eastAsia="仿宋" w:cs="仿宋"/>
                <w:bCs/>
                <w:szCs w:val="21"/>
              </w:rPr>
              <w:t>0.3</w:t>
            </w:r>
          </w:p>
        </w:tc>
        <w:tc>
          <w:tcPr>
            <w:tcW w:w="846" w:type="dxa"/>
            <w:vAlign w:val="center"/>
          </w:tcPr>
          <w:p>
            <w:pPr>
              <w:jc w:val="center"/>
              <w:rPr>
                <w:rFonts w:ascii="仿宋" w:hAnsi="仿宋" w:eastAsia="仿宋" w:cs="仿宋"/>
                <w:bCs/>
                <w:szCs w:val="21"/>
              </w:rPr>
            </w:pPr>
            <w:r>
              <w:rPr>
                <w:rFonts w:hint="eastAsia" w:ascii="仿宋" w:hAnsi="仿宋" w:eastAsia="仿宋" w:cs="仿宋"/>
                <w:bCs/>
                <w:szCs w:val="21"/>
              </w:rPr>
              <w:t>0.3</w:t>
            </w:r>
          </w:p>
        </w:tc>
        <w:tc>
          <w:tcPr>
            <w:tcW w:w="854" w:type="dxa"/>
            <w:vAlign w:val="center"/>
          </w:tcPr>
          <w:p>
            <w:pPr>
              <w:widowControl/>
              <w:jc w:val="center"/>
              <w:rPr>
                <w:rFonts w:ascii="仿宋" w:hAnsi="仿宋" w:eastAsia="仿宋" w:cs="仿宋"/>
                <w:bCs/>
                <w:szCs w:val="21"/>
              </w:rPr>
            </w:pPr>
            <w:r>
              <w:rPr>
                <w:rFonts w:hint="eastAsia" w:ascii="仿宋" w:hAnsi="仿宋" w:eastAsia="仿宋" w:cs="仿宋"/>
                <w:bCs/>
                <w:szCs w:val="21"/>
              </w:rPr>
              <w:t>1</w:t>
            </w:r>
          </w:p>
        </w:tc>
        <w:tc>
          <w:tcPr>
            <w:tcW w:w="445" w:type="dxa"/>
            <w:vMerge w:val="continue"/>
            <w:vAlign w:val="center"/>
          </w:tcPr>
          <w:p>
            <w:pPr>
              <w:snapToGrid w:val="0"/>
              <w:jc w:val="center"/>
              <w:rPr>
                <w:rFonts w:eastAsia="仿宋_GB2312"/>
                <w:bCs/>
                <w:kern w:val="0"/>
                <w:szCs w:val="21"/>
              </w:rPr>
            </w:pPr>
          </w:p>
        </w:tc>
        <w:tc>
          <w:tcPr>
            <w:tcW w:w="429" w:type="dxa"/>
            <w:vMerge w:val="continue"/>
            <w:vAlign w:val="center"/>
          </w:tcPr>
          <w:p>
            <w:pPr>
              <w:snapToGrid w:val="0"/>
              <w:jc w:val="center"/>
              <w:rPr>
                <w:rFonts w:eastAsia="仿宋_GB2312"/>
                <w:bCs/>
                <w:kern w:val="0"/>
                <w:szCs w:val="21"/>
              </w:rPr>
            </w:pPr>
          </w:p>
        </w:tc>
        <w:tc>
          <w:tcPr>
            <w:tcW w:w="856" w:type="dxa"/>
            <w:vMerge w:val="continue"/>
            <w:vAlign w:val="center"/>
          </w:tcPr>
          <w:p>
            <w:pPr>
              <w:widowControl/>
              <w:jc w:val="center"/>
              <w:rPr>
                <w:szCs w:val="21"/>
              </w:rPr>
            </w:pPr>
          </w:p>
        </w:tc>
        <w:tc>
          <w:tcPr>
            <w:tcW w:w="633" w:type="dxa"/>
            <w:vMerge w:val="continue"/>
            <w:vAlign w:val="center"/>
          </w:tcPr>
          <w:p>
            <w:pPr>
              <w:jc w:val="center"/>
              <w:rPr>
                <w:szCs w:val="21"/>
              </w:rPr>
            </w:pPr>
          </w:p>
        </w:tc>
        <w:tc>
          <w:tcPr>
            <w:tcW w:w="848" w:type="dxa"/>
            <w:vMerge w:val="continue"/>
            <w:vAlign w:val="center"/>
          </w:tcPr>
          <w:p>
            <w:pPr>
              <w:jc w:val="center"/>
              <w:rPr>
                <w:szCs w:val="21"/>
              </w:rPr>
            </w:pPr>
          </w:p>
        </w:tc>
        <w:tc>
          <w:tcPr>
            <w:tcW w:w="848" w:type="dxa"/>
            <w:vMerge w:val="continue"/>
            <w:vAlign w:val="center"/>
          </w:tcPr>
          <w:p>
            <w:pPr>
              <w:jc w:val="center"/>
              <w:rPr>
                <w:szCs w:val="21"/>
              </w:rPr>
            </w:pPr>
          </w:p>
        </w:tc>
        <w:tc>
          <w:tcPr>
            <w:tcW w:w="848" w:type="dxa"/>
            <w:vMerge w:val="continue"/>
            <w:vAlign w:val="center"/>
          </w:tcPr>
          <w:p>
            <w:pPr>
              <w:jc w:val="center"/>
              <w:rPr>
                <w:rFonts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Align w:val="center"/>
          </w:tcPr>
          <w:p>
            <w:pPr>
              <w:widowControl/>
              <w:jc w:val="center"/>
              <w:rPr>
                <w:rFonts w:ascii="仿宋" w:hAnsi="仿宋" w:eastAsia="仿宋" w:cs="仿宋"/>
                <w:bCs/>
                <w:szCs w:val="21"/>
              </w:rPr>
            </w:pPr>
            <w:r>
              <w:rPr>
                <w:rFonts w:hint="eastAsia" w:ascii="仿宋" w:hAnsi="仿宋" w:eastAsia="仿宋" w:cs="仿宋"/>
                <w:bCs/>
                <w:szCs w:val="21"/>
              </w:rPr>
              <w:t>废抹布手套</w:t>
            </w:r>
          </w:p>
        </w:tc>
        <w:tc>
          <w:tcPr>
            <w:tcW w:w="951" w:type="dxa"/>
            <w:vAlign w:val="center"/>
          </w:tcPr>
          <w:p>
            <w:pPr>
              <w:jc w:val="center"/>
              <w:rPr>
                <w:rFonts w:ascii="仿宋" w:hAnsi="仿宋" w:eastAsia="仿宋" w:cs="仿宋"/>
                <w:bCs/>
                <w:szCs w:val="21"/>
              </w:rPr>
            </w:pPr>
            <w:r>
              <w:rPr>
                <w:rFonts w:hint="eastAsia" w:ascii="仿宋" w:hAnsi="仿宋" w:eastAsia="仿宋" w:cs="仿宋"/>
                <w:bCs/>
                <w:szCs w:val="21"/>
              </w:rPr>
              <w:t>1</w:t>
            </w:r>
          </w:p>
        </w:tc>
        <w:tc>
          <w:tcPr>
            <w:tcW w:w="846" w:type="dxa"/>
            <w:vAlign w:val="center"/>
          </w:tcPr>
          <w:p>
            <w:pPr>
              <w:jc w:val="center"/>
              <w:rPr>
                <w:rFonts w:ascii="仿宋" w:hAnsi="仿宋" w:eastAsia="仿宋" w:cs="仿宋"/>
                <w:bCs/>
                <w:szCs w:val="21"/>
              </w:rPr>
            </w:pPr>
            <w:r>
              <w:rPr>
                <w:rFonts w:hint="eastAsia" w:ascii="仿宋" w:hAnsi="仿宋" w:eastAsia="仿宋" w:cs="仿宋"/>
                <w:bCs/>
                <w:szCs w:val="21"/>
              </w:rPr>
              <w:t>1</w:t>
            </w:r>
          </w:p>
        </w:tc>
        <w:tc>
          <w:tcPr>
            <w:tcW w:w="854" w:type="dxa"/>
            <w:vAlign w:val="center"/>
          </w:tcPr>
          <w:p>
            <w:pPr>
              <w:jc w:val="center"/>
              <w:rPr>
                <w:rFonts w:ascii="仿宋" w:hAnsi="仿宋" w:eastAsia="仿宋" w:cs="仿宋"/>
                <w:bCs/>
                <w:szCs w:val="21"/>
              </w:rPr>
            </w:pPr>
            <w:r>
              <w:rPr>
                <w:rFonts w:hint="eastAsia" w:ascii="仿宋" w:hAnsi="仿宋" w:eastAsia="仿宋" w:cs="仿宋"/>
                <w:bCs/>
                <w:szCs w:val="21"/>
              </w:rPr>
              <w:t>3.33</w:t>
            </w:r>
          </w:p>
        </w:tc>
        <w:tc>
          <w:tcPr>
            <w:tcW w:w="445" w:type="dxa"/>
            <w:vMerge w:val="restart"/>
            <w:vAlign w:val="center"/>
          </w:tcPr>
          <w:p>
            <w:pPr>
              <w:widowControl/>
              <w:snapToGrid w:val="0"/>
              <w:jc w:val="center"/>
              <w:rPr>
                <w:rFonts w:ascii="仿宋" w:hAnsi="仿宋" w:eastAsia="仿宋" w:cs="仿宋"/>
                <w:bCs/>
                <w:szCs w:val="21"/>
              </w:rPr>
            </w:pPr>
            <w:r>
              <w:rPr>
                <w:rFonts w:hint="eastAsia" w:ascii="仿宋" w:hAnsi="仿宋" w:eastAsia="仿宋" w:cs="仿宋"/>
                <w:bCs/>
                <w:szCs w:val="21"/>
              </w:rPr>
              <w:t>固体区</w:t>
            </w:r>
          </w:p>
        </w:tc>
        <w:tc>
          <w:tcPr>
            <w:tcW w:w="429" w:type="dxa"/>
            <w:vMerge w:val="continue"/>
            <w:vAlign w:val="center"/>
          </w:tcPr>
          <w:p>
            <w:pPr>
              <w:widowControl/>
              <w:snapToGrid w:val="0"/>
              <w:jc w:val="center"/>
              <w:rPr>
                <w:rFonts w:ascii="仿宋" w:hAnsi="仿宋" w:eastAsia="仿宋" w:cs="仿宋"/>
                <w:bCs/>
                <w:szCs w:val="21"/>
              </w:rPr>
            </w:pPr>
          </w:p>
        </w:tc>
        <w:tc>
          <w:tcPr>
            <w:tcW w:w="856" w:type="dxa"/>
            <w:vMerge w:val="restart"/>
            <w:vAlign w:val="center"/>
          </w:tcPr>
          <w:p>
            <w:pPr>
              <w:widowControl/>
              <w:jc w:val="center"/>
              <w:rPr>
                <w:rFonts w:ascii="仿宋" w:hAnsi="仿宋" w:eastAsia="仿宋" w:cs="仿宋"/>
                <w:bCs/>
                <w:szCs w:val="21"/>
              </w:rPr>
            </w:pPr>
            <w:r>
              <w:rPr>
                <w:rFonts w:hint="eastAsia" w:ascii="仿宋" w:hAnsi="仿宋" w:eastAsia="仿宋" w:cs="仿宋"/>
                <w:bCs/>
                <w:szCs w:val="21"/>
              </w:rPr>
              <w:t>5</w:t>
            </w:r>
          </w:p>
        </w:tc>
        <w:tc>
          <w:tcPr>
            <w:tcW w:w="633" w:type="dxa"/>
            <w:vMerge w:val="restart"/>
            <w:vAlign w:val="center"/>
          </w:tcPr>
          <w:p>
            <w:pPr>
              <w:jc w:val="center"/>
              <w:rPr>
                <w:rFonts w:ascii="仿宋" w:hAnsi="仿宋" w:eastAsia="仿宋" w:cs="仿宋"/>
                <w:bCs/>
                <w:szCs w:val="21"/>
              </w:rPr>
            </w:pPr>
            <w:r>
              <w:rPr>
                <w:rFonts w:ascii="仿宋" w:hAnsi="仿宋" w:eastAsia="仿宋" w:cs="仿宋"/>
                <w:bCs/>
                <w:szCs w:val="21"/>
              </w:rPr>
              <w:t>0.9</w:t>
            </w:r>
          </w:p>
        </w:tc>
        <w:tc>
          <w:tcPr>
            <w:tcW w:w="848" w:type="dxa"/>
            <w:vMerge w:val="restart"/>
            <w:vAlign w:val="center"/>
          </w:tcPr>
          <w:p>
            <w:pPr>
              <w:jc w:val="center"/>
              <w:rPr>
                <w:rFonts w:ascii="仿宋" w:hAnsi="仿宋" w:eastAsia="仿宋" w:cs="仿宋"/>
                <w:bCs/>
                <w:szCs w:val="21"/>
              </w:rPr>
            </w:pPr>
            <w:r>
              <w:rPr>
                <w:rFonts w:hint="eastAsia" w:ascii="仿宋" w:hAnsi="仿宋" w:eastAsia="仿宋" w:cs="仿宋"/>
                <w:bCs/>
                <w:szCs w:val="21"/>
              </w:rPr>
              <w:t>2</w:t>
            </w:r>
          </w:p>
        </w:tc>
        <w:tc>
          <w:tcPr>
            <w:tcW w:w="848" w:type="dxa"/>
            <w:vMerge w:val="restart"/>
            <w:vAlign w:val="center"/>
          </w:tcPr>
          <w:p>
            <w:pPr>
              <w:jc w:val="center"/>
              <w:rPr>
                <w:rFonts w:ascii="仿宋" w:hAnsi="仿宋" w:eastAsia="仿宋" w:cs="仿宋"/>
                <w:bCs/>
                <w:szCs w:val="21"/>
              </w:rPr>
            </w:pPr>
            <w:r>
              <w:rPr>
                <w:rFonts w:hint="eastAsia" w:ascii="仿宋" w:hAnsi="仿宋" w:eastAsia="仿宋" w:cs="仿宋"/>
                <w:bCs/>
                <w:szCs w:val="21"/>
              </w:rPr>
              <w:t>9</w:t>
            </w:r>
          </w:p>
        </w:tc>
        <w:tc>
          <w:tcPr>
            <w:tcW w:w="848" w:type="dxa"/>
            <w:vMerge w:val="restart"/>
            <w:vAlign w:val="center"/>
          </w:tcPr>
          <w:p>
            <w:pPr>
              <w:jc w:val="center"/>
              <w:rPr>
                <w:rFonts w:ascii="仿宋" w:hAnsi="仿宋" w:eastAsia="仿宋" w:cs="仿宋"/>
                <w:bCs/>
                <w:szCs w:val="21"/>
              </w:rPr>
            </w:pPr>
            <w:r>
              <w:rPr>
                <w:rFonts w:hint="eastAsia" w:ascii="仿宋" w:hAnsi="仿宋" w:eastAsia="仿宋" w:cs="仿宋"/>
                <w:bCs/>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Align w:val="center"/>
          </w:tcPr>
          <w:p>
            <w:pPr>
              <w:widowControl/>
              <w:jc w:val="center"/>
              <w:rPr>
                <w:rFonts w:ascii="仿宋" w:hAnsi="仿宋" w:eastAsia="仿宋" w:cs="仿宋"/>
                <w:bCs/>
                <w:szCs w:val="21"/>
              </w:rPr>
            </w:pPr>
            <w:r>
              <w:rPr>
                <w:rFonts w:hint="eastAsia" w:ascii="仿宋" w:hAnsi="仿宋" w:eastAsia="仿宋" w:cs="仿宋"/>
                <w:bCs/>
                <w:szCs w:val="21"/>
              </w:rPr>
              <w:t>废原料</w:t>
            </w:r>
            <w:r>
              <w:rPr>
                <w:rFonts w:ascii="仿宋" w:hAnsi="仿宋" w:eastAsia="仿宋" w:cs="仿宋"/>
                <w:bCs/>
                <w:szCs w:val="21"/>
              </w:rPr>
              <w:t>桶</w:t>
            </w:r>
          </w:p>
        </w:tc>
        <w:tc>
          <w:tcPr>
            <w:tcW w:w="951" w:type="dxa"/>
            <w:vAlign w:val="center"/>
          </w:tcPr>
          <w:p>
            <w:pPr>
              <w:jc w:val="center"/>
              <w:rPr>
                <w:rFonts w:ascii="仿宋" w:hAnsi="仿宋" w:eastAsia="仿宋" w:cs="仿宋"/>
                <w:bCs/>
                <w:szCs w:val="21"/>
              </w:rPr>
            </w:pPr>
            <w:r>
              <w:rPr>
                <w:rFonts w:hint="eastAsia" w:ascii="仿宋" w:hAnsi="仿宋" w:eastAsia="仿宋" w:cs="仿宋"/>
                <w:bCs/>
                <w:szCs w:val="21"/>
              </w:rPr>
              <w:t>2.2</w:t>
            </w:r>
          </w:p>
        </w:tc>
        <w:tc>
          <w:tcPr>
            <w:tcW w:w="846" w:type="dxa"/>
            <w:vAlign w:val="center"/>
          </w:tcPr>
          <w:p>
            <w:pPr>
              <w:jc w:val="center"/>
              <w:rPr>
                <w:rFonts w:ascii="仿宋" w:hAnsi="仿宋" w:eastAsia="仿宋" w:cs="仿宋"/>
                <w:bCs/>
                <w:szCs w:val="21"/>
              </w:rPr>
            </w:pPr>
            <w:r>
              <w:rPr>
                <w:rFonts w:hint="eastAsia" w:ascii="仿宋" w:hAnsi="仿宋" w:eastAsia="仿宋" w:cs="仿宋"/>
                <w:bCs/>
                <w:szCs w:val="21"/>
              </w:rPr>
              <w:t>2.2</w:t>
            </w:r>
          </w:p>
        </w:tc>
        <w:tc>
          <w:tcPr>
            <w:tcW w:w="854" w:type="dxa"/>
            <w:vAlign w:val="center"/>
          </w:tcPr>
          <w:p>
            <w:pPr>
              <w:jc w:val="center"/>
              <w:rPr>
                <w:rFonts w:ascii="仿宋" w:hAnsi="仿宋" w:eastAsia="仿宋" w:cs="仿宋"/>
                <w:bCs/>
                <w:szCs w:val="21"/>
              </w:rPr>
            </w:pPr>
            <w:r>
              <w:rPr>
                <w:rFonts w:hint="eastAsia" w:ascii="仿宋" w:hAnsi="仿宋" w:eastAsia="仿宋" w:cs="仿宋"/>
                <w:bCs/>
                <w:szCs w:val="21"/>
              </w:rPr>
              <w:t>7.33</w:t>
            </w:r>
          </w:p>
        </w:tc>
        <w:tc>
          <w:tcPr>
            <w:tcW w:w="445" w:type="dxa"/>
            <w:vMerge w:val="continue"/>
            <w:vAlign w:val="center"/>
          </w:tcPr>
          <w:p>
            <w:pPr>
              <w:widowControl/>
              <w:snapToGrid w:val="0"/>
              <w:jc w:val="center"/>
              <w:rPr>
                <w:rFonts w:eastAsia="仿宋_GB2312"/>
                <w:bCs/>
                <w:kern w:val="0"/>
                <w:szCs w:val="21"/>
              </w:rPr>
            </w:pPr>
          </w:p>
        </w:tc>
        <w:tc>
          <w:tcPr>
            <w:tcW w:w="429" w:type="dxa"/>
            <w:vMerge w:val="continue"/>
            <w:vAlign w:val="center"/>
          </w:tcPr>
          <w:p>
            <w:pPr>
              <w:widowControl/>
              <w:snapToGrid w:val="0"/>
              <w:jc w:val="center"/>
              <w:rPr>
                <w:rFonts w:eastAsia="仿宋_GB2312"/>
                <w:bCs/>
                <w:kern w:val="0"/>
                <w:szCs w:val="21"/>
              </w:rPr>
            </w:pPr>
          </w:p>
        </w:tc>
        <w:tc>
          <w:tcPr>
            <w:tcW w:w="856" w:type="dxa"/>
            <w:vMerge w:val="continue"/>
            <w:vAlign w:val="center"/>
          </w:tcPr>
          <w:p>
            <w:pPr>
              <w:widowControl/>
              <w:snapToGrid w:val="0"/>
              <w:jc w:val="center"/>
              <w:rPr>
                <w:rFonts w:eastAsia="仿宋_GB2312"/>
                <w:bCs/>
                <w:kern w:val="0"/>
                <w:szCs w:val="21"/>
              </w:rPr>
            </w:pPr>
          </w:p>
        </w:tc>
        <w:tc>
          <w:tcPr>
            <w:tcW w:w="633" w:type="dxa"/>
            <w:vMerge w:val="continue"/>
            <w:vAlign w:val="center"/>
          </w:tcPr>
          <w:p>
            <w:pPr>
              <w:widowControl/>
              <w:snapToGrid w:val="0"/>
              <w:jc w:val="center"/>
              <w:rPr>
                <w:rFonts w:eastAsia="仿宋_GB2312"/>
                <w:bCs/>
                <w:kern w:val="0"/>
                <w:szCs w:val="21"/>
              </w:rPr>
            </w:pPr>
          </w:p>
        </w:tc>
        <w:tc>
          <w:tcPr>
            <w:tcW w:w="848" w:type="dxa"/>
            <w:vMerge w:val="continue"/>
            <w:vAlign w:val="center"/>
          </w:tcPr>
          <w:p>
            <w:pPr>
              <w:widowControl/>
              <w:jc w:val="center"/>
              <w:rPr>
                <w:rFonts w:eastAsia="仿宋_GB2312"/>
                <w:szCs w:val="21"/>
              </w:rPr>
            </w:pPr>
          </w:p>
        </w:tc>
        <w:tc>
          <w:tcPr>
            <w:tcW w:w="848" w:type="dxa"/>
            <w:vMerge w:val="continue"/>
            <w:vAlign w:val="center"/>
          </w:tcPr>
          <w:p>
            <w:pPr>
              <w:jc w:val="center"/>
              <w:rPr>
                <w:rFonts w:eastAsia="仿宋_GB2312"/>
                <w:szCs w:val="21"/>
              </w:rPr>
            </w:pPr>
          </w:p>
        </w:tc>
        <w:tc>
          <w:tcPr>
            <w:tcW w:w="848" w:type="dxa"/>
            <w:vMerge w:val="continue"/>
            <w:vAlign w:val="center"/>
          </w:tcPr>
          <w:p>
            <w:pPr>
              <w:jc w:val="center"/>
              <w:rPr>
                <w:rFonts w:eastAsia="仿宋_GB2312"/>
                <w:szCs w:val="21"/>
              </w:rPr>
            </w:pPr>
          </w:p>
        </w:tc>
      </w:tr>
    </w:tbl>
    <w:p>
      <w:pPr>
        <w:pStyle w:val="4"/>
        <w:keepLines w:val="0"/>
        <w:numPr>
          <w:ilvl w:val="2"/>
          <w:numId w:val="1"/>
        </w:numPr>
        <w:tabs>
          <w:tab w:val="left" w:pos="709"/>
        </w:tabs>
        <w:spacing w:before="0" w:after="120" w:afterLines="50" w:line="500" w:lineRule="exact"/>
        <w:ind w:left="0" w:firstLine="0"/>
        <w:rPr>
          <w:rFonts w:eastAsia="仿宋_GB2312"/>
          <w:bCs w:val="0"/>
          <w:sz w:val="28"/>
        </w:rPr>
      </w:pPr>
      <w:r>
        <w:rPr>
          <w:rFonts w:eastAsia="仿宋_GB2312"/>
          <w:bCs w:val="0"/>
          <w:sz w:val="28"/>
        </w:rPr>
        <w:t>危废外运防治措施</w:t>
      </w:r>
    </w:p>
    <w:p>
      <w:pPr>
        <w:adjustRightInd w:val="0"/>
        <w:snapToGrid w:val="0"/>
        <w:spacing w:line="500" w:lineRule="exact"/>
        <w:ind w:firstLine="560" w:firstLineChars="200"/>
        <w:rPr>
          <w:rFonts w:eastAsia="仿宋_GB2312"/>
          <w:sz w:val="28"/>
          <w:szCs w:val="28"/>
        </w:rPr>
      </w:pPr>
      <w:r>
        <w:rPr>
          <w:rFonts w:eastAsia="仿宋_GB2312"/>
          <w:sz w:val="28"/>
          <w:szCs w:val="28"/>
        </w:rPr>
        <w:t>固体废物在外运过程可能发生抛洒、泄漏，造成土壤及水环境污染，对大气环境造成影响，危害沿线居民健康。因此须采取以下措施：</w:t>
      </w:r>
    </w:p>
    <w:p>
      <w:pPr>
        <w:adjustRightInd w:val="0"/>
        <w:snapToGrid w:val="0"/>
        <w:spacing w:line="500" w:lineRule="exact"/>
        <w:ind w:firstLine="560" w:firstLineChars="200"/>
        <w:rPr>
          <w:rFonts w:eastAsia="仿宋_GB2312"/>
          <w:sz w:val="28"/>
          <w:szCs w:val="28"/>
        </w:rPr>
      </w:pPr>
      <w:r>
        <w:rPr>
          <w:rFonts w:eastAsia="仿宋_GB2312"/>
          <w:sz w:val="28"/>
          <w:szCs w:val="28"/>
        </w:rPr>
        <w:t>运输时应当采取密闭、遮盖、捆扎、喷淋等措施防止扬散；对运输危险废物的设施和设备应当加强管理和维护，保证其正常运行和使用；不能混合运输性质不相容而又未经安全性处置的危险废物；转移危险废物时，必须按照规定填危险废物转移联单，并向危险废物移出地和接受地的县级以上</w:t>
      </w:r>
      <w:r>
        <w:fldChar w:fldCharType="begin"/>
      </w:r>
      <w:r>
        <w:instrText xml:space="preserve"> HYPERLINK "https://www.baidu.com/s?wd=%E5%9C%B0%E6%96%B9%E4%BA%BA%E6%B0%91%E6%94%BF%E5%BA%9C&amp;tn=44039180_cpr&amp;fenlei=mv6quAkxTZn0IZRqIHckPjm4nH00T1d9PjTkuWPWrj9hrjPbnA790ZwV5Hcvrjm3rH6sPfKWUMw85HfYnjn4nH6sgvPsT6KdThsqpZwYTjCEQLGCpyw9Uz4Bmy-bIi4WUvYETgN-TLwGUv3En164PWb1rjcz" \t "_blank" </w:instrText>
      </w:r>
      <w:r>
        <w:fldChar w:fldCharType="separate"/>
      </w:r>
      <w:r>
        <w:rPr>
          <w:rFonts w:eastAsia="仿宋_GB2312"/>
          <w:sz w:val="28"/>
          <w:szCs w:val="28"/>
        </w:rPr>
        <w:t>地方人民政府</w:t>
      </w:r>
      <w:r>
        <w:rPr>
          <w:rFonts w:eastAsia="仿宋_GB2312"/>
          <w:sz w:val="28"/>
          <w:szCs w:val="28"/>
        </w:rPr>
        <w:fldChar w:fldCharType="end"/>
      </w:r>
      <w:r>
        <w:rPr>
          <w:rFonts w:eastAsia="仿宋_GB2312"/>
          <w:sz w:val="28"/>
          <w:szCs w:val="28"/>
        </w:rPr>
        <w:t>环境保护行政主管部门报告；禁止将危险废物与旅客在同一运输工具上载运；运输危险废物的设施和设备在转作他用时，必须经过消除污染的处理，方可使用；运输危险废物的人员，应当接受专业培训；经考核合格后，方可从事运输危险废物的工作；运输危险废物的单位应当制定在发生意外事故时采取的应急措施和防范措施；运输时，发生突发性事故必须立即采取措施消除或者减轻对环境的污染危害，及时通报给附近的单位和居民，并向事故发生地县级以上人民政府环境保护行政主管部门和有关部门报告，接受调查处理。</w:t>
      </w:r>
    </w:p>
    <w:p>
      <w:pPr>
        <w:pStyle w:val="3"/>
        <w:spacing w:before="120" w:after="120"/>
      </w:pPr>
      <w:bookmarkStart w:id="386" w:name="_Toc140565278"/>
      <w:bookmarkStart w:id="387" w:name="_Toc226537088"/>
      <w:r>
        <w:t>噪声污染防治措施评述</w:t>
      </w:r>
      <w:bookmarkEnd w:id="386"/>
      <w:bookmarkEnd w:id="387"/>
    </w:p>
    <w:p>
      <w:pPr>
        <w:pStyle w:val="69"/>
        <w:adjustRightInd w:val="0"/>
        <w:snapToGrid w:val="0"/>
        <w:spacing w:after="0" w:line="500" w:lineRule="exact"/>
        <w:ind w:left="0" w:leftChars="0" w:firstLine="561"/>
        <w:rPr>
          <w:rFonts w:eastAsia="仿宋_GB2312"/>
          <w:sz w:val="28"/>
          <w:szCs w:val="28"/>
        </w:rPr>
      </w:pPr>
      <w:r>
        <w:rPr>
          <w:rFonts w:hint="eastAsia" w:eastAsia="仿宋_GB2312" w:cs="宋体"/>
          <w:sz w:val="28"/>
          <w:szCs w:val="28"/>
        </w:rPr>
        <w:t>⑴</w:t>
      </w:r>
      <w:r>
        <w:rPr>
          <w:rFonts w:eastAsia="仿宋_GB2312"/>
          <w:sz w:val="28"/>
          <w:szCs w:val="28"/>
        </w:rPr>
        <w:t>按照《工业企业噪声控制设计规范》对生产车间内主要噪声源合理布局：</w:t>
      </w:r>
    </w:p>
    <w:p>
      <w:pPr>
        <w:pStyle w:val="69"/>
        <w:adjustRightInd w:val="0"/>
        <w:snapToGrid w:val="0"/>
        <w:spacing w:after="0" w:line="500" w:lineRule="exact"/>
        <w:ind w:left="0" w:leftChars="0" w:firstLine="561"/>
        <w:rPr>
          <w:rFonts w:eastAsia="仿宋_GB2312"/>
          <w:sz w:val="28"/>
          <w:szCs w:val="28"/>
        </w:rPr>
      </w:pPr>
      <w:r>
        <w:rPr>
          <w:rFonts w:hint="eastAsia" w:eastAsia="仿宋_GB2312" w:cs="宋体"/>
          <w:sz w:val="28"/>
          <w:szCs w:val="28"/>
        </w:rPr>
        <w:t>①</w:t>
      </w:r>
      <w:r>
        <w:rPr>
          <w:rFonts w:eastAsia="仿宋_GB2312"/>
          <w:sz w:val="28"/>
          <w:szCs w:val="28"/>
        </w:rPr>
        <w:t>高噪声与低噪声设备分开布置。</w:t>
      </w:r>
    </w:p>
    <w:p>
      <w:pPr>
        <w:pStyle w:val="69"/>
        <w:adjustRightInd w:val="0"/>
        <w:snapToGrid w:val="0"/>
        <w:spacing w:after="0" w:line="500" w:lineRule="exact"/>
        <w:ind w:left="0" w:leftChars="0" w:firstLine="561"/>
        <w:rPr>
          <w:rFonts w:eastAsia="仿宋_GB2312"/>
          <w:sz w:val="28"/>
          <w:szCs w:val="28"/>
        </w:rPr>
      </w:pPr>
      <w:r>
        <w:rPr>
          <w:rFonts w:hint="eastAsia" w:eastAsia="仿宋_GB2312" w:cs="宋体"/>
          <w:sz w:val="28"/>
          <w:szCs w:val="28"/>
        </w:rPr>
        <w:t>②</w:t>
      </w:r>
      <w:r>
        <w:rPr>
          <w:rFonts w:eastAsia="仿宋_GB2312"/>
          <w:sz w:val="28"/>
          <w:szCs w:val="28"/>
        </w:rPr>
        <w:t>在满足工艺流程要求的前提下，高噪声设备相对集中，并尽量布置在车间的一隅。</w:t>
      </w:r>
    </w:p>
    <w:p>
      <w:pPr>
        <w:pStyle w:val="69"/>
        <w:adjustRightInd w:val="0"/>
        <w:snapToGrid w:val="0"/>
        <w:spacing w:after="0" w:line="500" w:lineRule="exact"/>
        <w:ind w:left="0" w:leftChars="0" w:firstLine="561"/>
        <w:rPr>
          <w:rFonts w:eastAsia="仿宋_GB2312"/>
          <w:sz w:val="28"/>
          <w:szCs w:val="28"/>
        </w:rPr>
      </w:pPr>
      <w:r>
        <w:rPr>
          <w:rFonts w:hint="eastAsia" w:eastAsia="仿宋_GB2312" w:cs="宋体"/>
          <w:sz w:val="28"/>
          <w:szCs w:val="28"/>
        </w:rPr>
        <w:t>③</w:t>
      </w:r>
      <w:r>
        <w:rPr>
          <w:rFonts w:eastAsia="仿宋_GB2312"/>
          <w:sz w:val="28"/>
          <w:szCs w:val="28"/>
        </w:rPr>
        <w:t>有强烈振动的设备，不布置在楼板或平台上。</w:t>
      </w:r>
    </w:p>
    <w:p>
      <w:pPr>
        <w:pStyle w:val="69"/>
        <w:adjustRightInd w:val="0"/>
        <w:snapToGrid w:val="0"/>
        <w:spacing w:after="0" w:line="500" w:lineRule="exact"/>
        <w:ind w:left="0" w:leftChars="0" w:firstLine="561"/>
        <w:rPr>
          <w:rFonts w:eastAsia="仿宋_GB2312"/>
          <w:sz w:val="28"/>
          <w:szCs w:val="28"/>
        </w:rPr>
      </w:pPr>
      <w:r>
        <w:rPr>
          <w:rFonts w:hint="eastAsia" w:eastAsia="仿宋_GB2312" w:cs="宋体"/>
          <w:sz w:val="28"/>
          <w:szCs w:val="28"/>
        </w:rPr>
        <w:t>④</w:t>
      </w:r>
      <w:r>
        <w:rPr>
          <w:rFonts w:eastAsia="仿宋_GB2312"/>
          <w:sz w:val="28"/>
          <w:szCs w:val="28"/>
        </w:rPr>
        <w:t>设备布置时，考虑与其配用的噪声控制专用设备的安装和维修所需的空间。</w:t>
      </w:r>
    </w:p>
    <w:p>
      <w:pPr>
        <w:pStyle w:val="69"/>
        <w:adjustRightInd w:val="0"/>
        <w:snapToGrid w:val="0"/>
        <w:spacing w:after="0" w:line="500" w:lineRule="exact"/>
        <w:ind w:left="0" w:leftChars="0" w:firstLine="561"/>
        <w:rPr>
          <w:rFonts w:eastAsia="仿宋_GB2312"/>
          <w:sz w:val="28"/>
          <w:szCs w:val="28"/>
        </w:rPr>
      </w:pPr>
      <w:r>
        <w:rPr>
          <w:rFonts w:hint="eastAsia" w:eastAsia="仿宋_GB2312" w:cs="宋体"/>
          <w:sz w:val="28"/>
          <w:szCs w:val="28"/>
        </w:rPr>
        <w:t>⑵</w:t>
      </w:r>
      <w:r>
        <w:rPr>
          <w:rFonts w:eastAsia="仿宋_GB2312"/>
          <w:sz w:val="28"/>
          <w:szCs w:val="28"/>
        </w:rPr>
        <w:t>选用噪声较低、振动较小的设备；在对主要噪声源设备选择时，应收集和比较同类型设备的噪声指标；对于噪声较大的设备，应从设备选型开始要求供货商提供符合要求的低噪声设备。</w:t>
      </w:r>
    </w:p>
    <w:p>
      <w:pPr>
        <w:pStyle w:val="69"/>
        <w:adjustRightInd w:val="0"/>
        <w:snapToGrid w:val="0"/>
        <w:spacing w:after="0" w:line="500" w:lineRule="exact"/>
        <w:ind w:left="0" w:leftChars="0" w:firstLine="561"/>
        <w:rPr>
          <w:rFonts w:eastAsia="仿宋_GB2312"/>
          <w:sz w:val="28"/>
          <w:szCs w:val="28"/>
        </w:rPr>
      </w:pPr>
      <w:r>
        <w:rPr>
          <w:rFonts w:hint="eastAsia" w:eastAsia="仿宋_GB2312" w:cs="宋体"/>
          <w:sz w:val="28"/>
          <w:szCs w:val="28"/>
        </w:rPr>
        <w:t>⑶</w:t>
      </w:r>
      <w:r>
        <w:rPr>
          <w:rFonts w:eastAsia="仿宋_GB2312"/>
          <w:sz w:val="28"/>
          <w:szCs w:val="28"/>
        </w:rPr>
        <w:t>主要噪声源布置、安装时，应尽量远离厂房边界。</w:t>
      </w:r>
    </w:p>
    <w:p>
      <w:pPr>
        <w:pStyle w:val="69"/>
        <w:adjustRightInd w:val="0"/>
        <w:snapToGrid w:val="0"/>
        <w:spacing w:after="0" w:line="500" w:lineRule="exact"/>
        <w:ind w:left="0" w:leftChars="0" w:firstLine="561"/>
        <w:rPr>
          <w:rFonts w:eastAsia="仿宋_GB2312"/>
          <w:sz w:val="28"/>
          <w:szCs w:val="28"/>
        </w:rPr>
      </w:pPr>
      <w:r>
        <w:rPr>
          <w:rFonts w:hint="eastAsia" w:eastAsia="仿宋_GB2312" w:cs="宋体"/>
          <w:sz w:val="28"/>
          <w:szCs w:val="28"/>
        </w:rPr>
        <w:t>⑷</w:t>
      </w:r>
      <w:r>
        <w:rPr>
          <w:rFonts w:eastAsia="仿宋_GB2312"/>
          <w:sz w:val="28"/>
          <w:szCs w:val="28"/>
        </w:rPr>
        <w:t>空压机噪声采用安装消声器、设置隔声罩以及尽量选用螺杆式空压机以消除脉冲噪声。</w:t>
      </w:r>
    </w:p>
    <w:p>
      <w:pPr>
        <w:pStyle w:val="69"/>
        <w:adjustRightInd w:val="0"/>
        <w:snapToGrid w:val="0"/>
        <w:spacing w:after="0" w:line="500" w:lineRule="exact"/>
        <w:ind w:left="0" w:leftChars="0" w:firstLine="561"/>
        <w:rPr>
          <w:rFonts w:eastAsia="仿宋_GB2312"/>
          <w:sz w:val="28"/>
          <w:szCs w:val="28"/>
        </w:rPr>
      </w:pPr>
      <w:r>
        <w:rPr>
          <w:rFonts w:eastAsia="仿宋_GB2312"/>
          <w:sz w:val="28"/>
          <w:szCs w:val="28"/>
        </w:rPr>
        <w:fldChar w:fldCharType="begin"/>
      </w:r>
      <w:r>
        <w:rPr>
          <w:rFonts w:eastAsia="仿宋_GB2312"/>
          <w:sz w:val="28"/>
          <w:szCs w:val="28"/>
        </w:rPr>
        <w:instrText xml:space="preserve"> </w:instrText>
      </w:r>
      <w:r>
        <w:rPr>
          <w:rFonts w:hint="eastAsia" w:eastAsia="仿宋_GB2312"/>
          <w:sz w:val="28"/>
          <w:szCs w:val="28"/>
        </w:rPr>
        <w:instrText xml:space="preserve">= 5 \* GB2</w:instrText>
      </w:r>
      <w:r>
        <w:rPr>
          <w:rFonts w:eastAsia="仿宋_GB2312"/>
          <w:sz w:val="28"/>
          <w:szCs w:val="28"/>
        </w:rPr>
        <w:instrText xml:space="preserve"> </w:instrText>
      </w:r>
      <w:r>
        <w:rPr>
          <w:rFonts w:eastAsia="仿宋_GB2312"/>
          <w:sz w:val="28"/>
          <w:szCs w:val="28"/>
        </w:rPr>
        <w:fldChar w:fldCharType="separate"/>
      </w:r>
      <w:r>
        <w:rPr>
          <w:rFonts w:hint="eastAsia" w:eastAsia="仿宋_GB2312"/>
          <w:sz w:val="28"/>
          <w:szCs w:val="28"/>
        </w:rPr>
        <w:t>⑸</w:t>
      </w:r>
      <w:r>
        <w:rPr>
          <w:rFonts w:eastAsia="仿宋_GB2312"/>
          <w:sz w:val="28"/>
          <w:szCs w:val="28"/>
        </w:rPr>
        <w:fldChar w:fldCharType="end"/>
      </w:r>
      <w:r>
        <w:rPr>
          <w:rFonts w:eastAsia="仿宋_GB2312"/>
          <w:sz w:val="28"/>
          <w:szCs w:val="28"/>
        </w:rPr>
        <w:t>本项目冷却塔设备距离厂界较近</w:t>
      </w:r>
      <w:r>
        <w:rPr>
          <w:rFonts w:hint="eastAsia" w:eastAsia="仿宋_GB2312"/>
          <w:sz w:val="28"/>
          <w:szCs w:val="28"/>
        </w:rPr>
        <w:t>，</w:t>
      </w:r>
      <w:r>
        <w:rPr>
          <w:rFonts w:eastAsia="仿宋_GB2312"/>
          <w:sz w:val="28"/>
          <w:szCs w:val="28"/>
        </w:rPr>
        <w:t>应做好隔音</w:t>
      </w:r>
      <w:r>
        <w:rPr>
          <w:rFonts w:hint="eastAsia" w:eastAsia="仿宋_GB2312"/>
          <w:sz w:val="28"/>
          <w:szCs w:val="28"/>
        </w:rPr>
        <w:t>、</w:t>
      </w:r>
      <w:r>
        <w:rPr>
          <w:rFonts w:eastAsia="仿宋_GB2312"/>
          <w:sz w:val="28"/>
          <w:szCs w:val="28"/>
        </w:rPr>
        <w:t>消声措施</w:t>
      </w:r>
      <w:r>
        <w:rPr>
          <w:rFonts w:hint="eastAsia" w:eastAsia="仿宋_GB2312"/>
          <w:sz w:val="28"/>
          <w:szCs w:val="28"/>
        </w:rPr>
        <w:t>，</w:t>
      </w:r>
      <w:r>
        <w:rPr>
          <w:rFonts w:eastAsia="仿宋_GB2312"/>
          <w:sz w:val="28"/>
          <w:szCs w:val="28"/>
        </w:rPr>
        <w:t>确保厂界噪声排放达标</w:t>
      </w:r>
      <w:r>
        <w:rPr>
          <w:rFonts w:hint="eastAsia" w:eastAsia="仿宋_GB2312"/>
          <w:sz w:val="28"/>
          <w:szCs w:val="28"/>
        </w:rPr>
        <w:t>。</w:t>
      </w:r>
    </w:p>
    <w:p>
      <w:pPr>
        <w:pStyle w:val="69"/>
        <w:adjustRightInd w:val="0"/>
        <w:snapToGrid w:val="0"/>
        <w:spacing w:after="0" w:line="500" w:lineRule="exact"/>
        <w:ind w:left="0" w:leftChars="0" w:firstLine="561"/>
        <w:rPr>
          <w:rFonts w:eastAsia="仿宋_GB2312"/>
          <w:sz w:val="28"/>
          <w:szCs w:val="28"/>
        </w:rPr>
      </w:pPr>
      <w:r>
        <w:rPr>
          <w:rFonts w:eastAsia="仿宋_GB2312" w:cs="宋体"/>
          <w:sz w:val="28"/>
          <w:szCs w:val="28"/>
        </w:rPr>
        <w:fldChar w:fldCharType="begin"/>
      </w:r>
      <w:r>
        <w:rPr>
          <w:rFonts w:eastAsia="仿宋_GB2312" w:cs="宋体"/>
          <w:sz w:val="28"/>
          <w:szCs w:val="28"/>
        </w:rPr>
        <w:instrText xml:space="preserve"> </w:instrText>
      </w:r>
      <w:r>
        <w:rPr>
          <w:rFonts w:hint="eastAsia" w:eastAsia="仿宋_GB2312" w:cs="宋体"/>
          <w:sz w:val="28"/>
          <w:szCs w:val="28"/>
        </w:rPr>
        <w:instrText xml:space="preserve">= 6 \* GB2</w:instrText>
      </w:r>
      <w:r>
        <w:rPr>
          <w:rFonts w:eastAsia="仿宋_GB2312" w:cs="宋体"/>
          <w:sz w:val="28"/>
          <w:szCs w:val="28"/>
        </w:rPr>
        <w:instrText xml:space="preserve"> </w:instrText>
      </w:r>
      <w:r>
        <w:rPr>
          <w:rFonts w:eastAsia="仿宋_GB2312" w:cs="宋体"/>
          <w:sz w:val="28"/>
          <w:szCs w:val="28"/>
        </w:rPr>
        <w:fldChar w:fldCharType="separate"/>
      </w:r>
      <w:r>
        <w:rPr>
          <w:rFonts w:hint="eastAsia" w:eastAsia="仿宋_GB2312" w:cs="宋体"/>
          <w:sz w:val="28"/>
          <w:szCs w:val="28"/>
        </w:rPr>
        <w:t>⑹</w:t>
      </w:r>
      <w:r>
        <w:rPr>
          <w:rFonts w:eastAsia="仿宋_GB2312" w:cs="宋体"/>
          <w:sz w:val="28"/>
          <w:szCs w:val="28"/>
        </w:rPr>
        <w:fldChar w:fldCharType="end"/>
      </w:r>
      <w:r>
        <w:rPr>
          <w:rFonts w:hint="eastAsia" w:eastAsia="仿宋_GB2312" w:cs="宋体"/>
          <w:sz w:val="28"/>
          <w:szCs w:val="28"/>
        </w:rPr>
        <w:t>本项目</w:t>
      </w:r>
      <w:r>
        <w:rPr>
          <w:rFonts w:eastAsia="仿宋_GB2312" w:cs="宋体"/>
          <w:sz w:val="28"/>
          <w:szCs w:val="28"/>
        </w:rPr>
        <w:t>风机房</w:t>
      </w:r>
      <w:r>
        <w:rPr>
          <w:rFonts w:hint="eastAsia" w:eastAsia="仿宋_GB2312" w:cs="宋体"/>
          <w:sz w:val="28"/>
          <w:szCs w:val="28"/>
        </w:rPr>
        <w:t>采取</w:t>
      </w:r>
      <w:r>
        <w:rPr>
          <w:rFonts w:eastAsia="仿宋_GB2312" w:cs="宋体"/>
          <w:sz w:val="28"/>
          <w:szCs w:val="28"/>
        </w:rPr>
        <w:t>隔音房</w:t>
      </w:r>
      <w:r>
        <w:rPr>
          <w:rFonts w:hint="eastAsia" w:eastAsia="仿宋_GB2312" w:cs="宋体"/>
          <w:sz w:val="28"/>
          <w:szCs w:val="28"/>
        </w:rPr>
        <w:t>措施</w:t>
      </w:r>
      <w:r>
        <w:rPr>
          <w:rFonts w:eastAsia="仿宋_GB2312" w:cs="宋体"/>
          <w:sz w:val="28"/>
          <w:szCs w:val="28"/>
        </w:rPr>
        <w:t>，</w:t>
      </w:r>
      <w:r>
        <w:rPr>
          <w:rFonts w:hint="eastAsia" w:eastAsia="仿宋_GB2312" w:cs="宋体"/>
          <w:sz w:val="28"/>
          <w:szCs w:val="28"/>
        </w:rPr>
        <w:t>确保</w:t>
      </w:r>
      <w:r>
        <w:rPr>
          <w:rFonts w:eastAsia="仿宋_GB2312" w:cs="宋体"/>
          <w:sz w:val="28"/>
          <w:szCs w:val="28"/>
        </w:rPr>
        <w:t>噪声</w:t>
      </w:r>
      <w:r>
        <w:rPr>
          <w:rFonts w:hint="eastAsia" w:eastAsia="仿宋_GB2312" w:cs="宋体"/>
          <w:sz w:val="28"/>
          <w:szCs w:val="28"/>
        </w:rPr>
        <w:t>厂界</w:t>
      </w:r>
      <w:r>
        <w:rPr>
          <w:rFonts w:eastAsia="仿宋_GB2312" w:cs="宋体"/>
          <w:sz w:val="28"/>
          <w:szCs w:val="28"/>
        </w:rPr>
        <w:t>达标。</w:t>
      </w:r>
    </w:p>
    <w:p>
      <w:pPr>
        <w:pStyle w:val="69"/>
        <w:adjustRightInd w:val="0"/>
        <w:snapToGrid w:val="0"/>
        <w:spacing w:after="0" w:line="500" w:lineRule="exact"/>
        <w:ind w:left="0" w:leftChars="0" w:firstLine="561"/>
        <w:rPr>
          <w:rFonts w:eastAsia="仿宋_GB2312"/>
          <w:sz w:val="28"/>
          <w:szCs w:val="28"/>
        </w:rPr>
      </w:pPr>
      <w:r>
        <w:rPr>
          <w:rFonts w:eastAsia="仿宋_GB2312" w:cs="宋体"/>
          <w:sz w:val="28"/>
          <w:szCs w:val="28"/>
        </w:rPr>
        <w:fldChar w:fldCharType="begin"/>
      </w:r>
      <w:r>
        <w:rPr>
          <w:rFonts w:eastAsia="仿宋_GB2312" w:cs="宋体"/>
          <w:sz w:val="28"/>
          <w:szCs w:val="28"/>
        </w:rPr>
        <w:instrText xml:space="preserve"> </w:instrText>
      </w:r>
      <w:r>
        <w:rPr>
          <w:rFonts w:hint="eastAsia" w:eastAsia="仿宋_GB2312" w:cs="宋体"/>
          <w:sz w:val="28"/>
          <w:szCs w:val="28"/>
        </w:rPr>
        <w:instrText xml:space="preserve">= 7 \* GB2</w:instrText>
      </w:r>
      <w:r>
        <w:rPr>
          <w:rFonts w:eastAsia="仿宋_GB2312" w:cs="宋体"/>
          <w:sz w:val="28"/>
          <w:szCs w:val="28"/>
        </w:rPr>
        <w:instrText xml:space="preserve"> </w:instrText>
      </w:r>
      <w:r>
        <w:rPr>
          <w:rFonts w:eastAsia="仿宋_GB2312" w:cs="宋体"/>
          <w:sz w:val="28"/>
          <w:szCs w:val="28"/>
        </w:rPr>
        <w:fldChar w:fldCharType="separate"/>
      </w:r>
      <w:r>
        <w:rPr>
          <w:rFonts w:hint="eastAsia" w:eastAsia="仿宋_GB2312" w:cs="宋体"/>
          <w:sz w:val="28"/>
          <w:szCs w:val="28"/>
        </w:rPr>
        <w:t>⑺</w:t>
      </w:r>
      <w:r>
        <w:rPr>
          <w:rFonts w:eastAsia="仿宋_GB2312" w:cs="宋体"/>
          <w:sz w:val="28"/>
          <w:szCs w:val="28"/>
        </w:rPr>
        <w:fldChar w:fldCharType="end"/>
      </w:r>
      <w:r>
        <w:rPr>
          <w:rFonts w:eastAsia="仿宋_GB2312"/>
          <w:sz w:val="28"/>
          <w:szCs w:val="28"/>
        </w:rPr>
        <w:t>加强生产管理，对主要噪声源采取相应的治理措施，详见表</w:t>
      </w:r>
      <w:r>
        <w:rPr>
          <w:rFonts w:hint="eastAsia" w:eastAsia="仿宋_GB2312"/>
          <w:sz w:val="28"/>
          <w:szCs w:val="28"/>
        </w:rPr>
        <w:t>3.4</w:t>
      </w:r>
      <w:r>
        <w:rPr>
          <w:rFonts w:eastAsia="仿宋_GB2312"/>
          <w:sz w:val="28"/>
          <w:szCs w:val="28"/>
        </w:rPr>
        <w:t>-</w:t>
      </w:r>
      <w:r>
        <w:rPr>
          <w:rFonts w:hint="eastAsia" w:eastAsia="仿宋_GB2312"/>
          <w:sz w:val="28"/>
          <w:szCs w:val="28"/>
        </w:rPr>
        <w:t>6、3.4</w:t>
      </w:r>
      <w:r>
        <w:rPr>
          <w:rFonts w:eastAsia="仿宋_GB2312"/>
          <w:sz w:val="28"/>
          <w:szCs w:val="28"/>
        </w:rPr>
        <w:t>-</w:t>
      </w:r>
      <w:r>
        <w:rPr>
          <w:rFonts w:hint="eastAsia" w:eastAsia="仿宋_GB2312"/>
          <w:sz w:val="28"/>
          <w:szCs w:val="28"/>
        </w:rPr>
        <w:t>7</w:t>
      </w:r>
      <w:r>
        <w:rPr>
          <w:rFonts w:eastAsia="仿宋_GB2312"/>
          <w:sz w:val="28"/>
          <w:szCs w:val="28"/>
        </w:rPr>
        <w:t>。</w:t>
      </w:r>
    </w:p>
    <w:p>
      <w:pPr>
        <w:pStyle w:val="69"/>
        <w:adjustRightInd w:val="0"/>
        <w:snapToGrid w:val="0"/>
        <w:spacing w:after="0" w:line="500" w:lineRule="exact"/>
        <w:ind w:left="0" w:leftChars="0" w:firstLine="561"/>
        <w:rPr>
          <w:rFonts w:eastAsia="仿宋_GB2312"/>
          <w:sz w:val="28"/>
          <w:szCs w:val="28"/>
        </w:rPr>
      </w:pPr>
      <w:r>
        <w:rPr>
          <w:rFonts w:eastAsia="仿宋_GB2312"/>
          <w:sz w:val="28"/>
          <w:szCs w:val="28"/>
        </w:rPr>
        <w:t>在运行管理人员集中的控制室，其门窗等应进行隔声处理，使员工工作环境达到允许噪声标准；值班人员或检修人员应加强个体防护，配戴防噪耳塞、耳罩等。</w:t>
      </w:r>
    </w:p>
    <w:p>
      <w:pPr>
        <w:spacing w:line="500" w:lineRule="exact"/>
        <w:ind w:firstLine="560" w:firstLineChars="200"/>
        <w:rPr>
          <w:rFonts w:eastAsia="仿宋_GB2312"/>
          <w:sz w:val="28"/>
          <w:szCs w:val="28"/>
        </w:rPr>
      </w:pPr>
      <w:r>
        <w:rPr>
          <w:rFonts w:eastAsia="仿宋_GB2312"/>
          <w:sz w:val="28"/>
          <w:szCs w:val="28"/>
        </w:rPr>
        <w:t>此外，针对厂区运输车辆所产生的交通噪声，采取限制超载、定期保养车辆、厂区禁按喇叭等措施以降低交通噪声。</w:t>
      </w:r>
    </w:p>
    <w:p>
      <w:pPr>
        <w:pStyle w:val="3"/>
        <w:spacing w:before="120" w:after="120"/>
      </w:pPr>
      <w:bookmarkStart w:id="388" w:name="_Toc172525416"/>
      <w:bookmarkStart w:id="389" w:name="_Toc140565279"/>
      <w:bookmarkStart w:id="390" w:name="_Toc189730816"/>
      <w:r>
        <w:t>土壤、地下水污染防治措施及可行性分析</w:t>
      </w:r>
      <w:bookmarkEnd w:id="388"/>
      <w:bookmarkEnd w:id="389"/>
      <w:bookmarkEnd w:id="390"/>
    </w:p>
    <w:p>
      <w:pPr>
        <w:pStyle w:val="871"/>
        <w:spacing w:line="500" w:lineRule="exact"/>
        <w:ind w:firstLine="560"/>
        <w:rPr>
          <w:rFonts w:hAnsi="Times New Roman" w:eastAsia="仿宋_GB2312"/>
        </w:rPr>
      </w:pPr>
      <w:r>
        <w:rPr>
          <w:rFonts w:hint="eastAsia" w:hAnsi="Times New Roman" w:eastAsia="仿宋_GB2312"/>
        </w:rPr>
        <w:t>本项目使用的胶粘剂</w:t>
      </w:r>
      <w:r>
        <w:rPr>
          <w:rFonts w:hAnsi="Times New Roman" w:eastAsia="仿宋_GB2312"/>
        </w:rPr>
        <w:t>、固化剂、清洗剂</w:t>
      </w:r>
      <w:r>
        <w:rPr>
          <w:rFonts w:hint="eastAsia" w:hAnsi="Times New Roman" w:eastAsia="仿宋_GB2312"/>
        </w:rPr>
        <w:t>均</w:t>
      </w:r>
      <w:r>
        <w:rPr>
          <w:rFonts w:hAnsi="Times New Roman" w:eastAsia="仿宋_GB2312"/>
        </w:rPr>
        <w:t>存放于</w:t>
      </w:r>
      <w:r>
        <w:rPr>
          <w:rFonts w:hint="eastAsia" w:hAnsi="Times New Roman" w:eastAsia="仿宋_GB2312"/>
        </w:rPr>
        <w:t>原材料</w:t>
      </w:r>
      <w:r>
        <w:rPr>
          <w:rFonts w:hAnsi="Times New Roman" w:eastAsia="仿宋_GB2312"/>
        </w:rPr>
        <w:t>库中，</w:t>
      </w:r>
      <w:r>
        <w:rPr>
          <w:rFonts w:hint="eastAsia" w:hAnsi="Times New Roman" w:eastAsia="仿宋_GB2312"/>
        </w:rPr>
        <w:t>其他</w:t>
      </w:r>
      <w:r>
        <w:rPr>
          <w:rFonts w:hAnsi="Times New Roman" w:eastAsia="仿宋_GB2312"/>
        </w:rPr>
        <w:t>物料存放于车间内的物资区。</w:t>
      </w:r>
    </w:p>
    <w:p>
      <w:pPr>
        <w:pStyle w:val="871"/>
        <w:spacing w:line="500" w:lineRule="exact"/>
        <w:ind w:firstLine="560"/>
        <w:rPr>
          <w:rFonts w:hAnsi="Times New Roman" w:eastAsia="仿宋_GB2312"/>
        </w:rPr>
      </w:pPr>
      <w:r>
        <w:rPr>
          <w:rFonts w:hint="eastAsia" w:hAnsi="Times New Roman" w:eastAsia="仿宋_GB2312"/>
        </w:rPr>
        <w:t>本项目对土壤和地下水的可能影响主要是危废固废堆场内的危废、危险化学品库中化学品的跑、冒、滴、漏可能对土壤和地下水产生的影响。本项目不在地下设置化学品输送管线；固液废弃物在厂内暂存期间，如属有毒有害物质，将用桶或吨袋包装后存放在栈板上</w:t>
      </w:r>
      <w:r>
        <w:rPr>
          <w:rFonts w:hAnsi="Times New Roman" w:eastAsia="仿宋_GB2312"/>
        </w:rPr>
        <w:t>。</w:t>
      </w:r>
    </w:p>
    <w:p>
      <w:pPr>
        <w:pStyle w:val="871"/>
        <w:spacing w:line="500" w:lineRule="exact"/>
        <w:ind w:firstLine="560"/>
        <w:rPr>
          <w:rFonts w:hAnsi="Times New Roman" w:eastAsia="仿宋_GB2312"/>
          <w:b/>
        </w:rPr>
      </w:pPr>
      <w:r>
        <w:rPr>
          <w:rFonts w:hint="eastAsia" w:hAnsi="Times New Roman" w:eastAsia="仿宋_GB2312"/>
        </w:rPr>
        <w:t>本项目对</w:t>
      </w:r>
      <w:r>
        <w:rPr>
          <w:rFonts w:hAnsi="Times New Roman" w:eastAsia="仿宋_GB2312"/>
        </w:rPr>
        <w:t>地下水可能</w:t>
      </w:r>
      <w:r>
        <w:rPr>
          <w:rFonts w:hint="eastAsia" w:hAnsi="Times New Roman" w:eastAsia="仿宋_GB2312"/>
        </w:rPr>
        <w:t>产生</w:t>
      </w:r>
      <w:r>
        <w:rPr>
          <w:rFonts w:hAnsi="Times New Roman" w:eastAsia="仿宋_GB2312"/>
        </w:rPr>
        <w:t>影响的区域主要为：</w:t>
      </w:r>
      <w:r>
        <w:rPr>
          <w:rFonts w:hint="eastAsia" w:hAnsi="Times New Roman" w:eastAsia="仿宋_GB2312"/>
        </w:rPr>
        <w:t>危废仓库、原料库、事故应急池等</w:t>
      </w:r>
      <w:r>
        <w:rPr>
          <w:rFonts w:hAnsi="Times New Roman" w:eastAsia="仿宋_GB2312"/>
        </w:rPr>
        <w:t>。</w:t>
      </w:r>
      <w:r>
        <w:rPr>
          <w:rFonts w:hint="eastAsia" w:hAnsi="Times New Roman" w:eastAsia="仿宋_GB2312"/>
          <w:b/>
        </w:rPr>
        <w:t>本项目</w:t>
      </w:r>
      <w:r>
        <w:rPr>
          <w:rFonts w:hAnsi="Times New Roman" w:eastAsia="仿宋_GB2312"/>
          <w:b/>
        </w:rPr>
        <w:t>分区防渗图见图6.5-</w:t>
      </w:r>
      <w:r>
        <w:rPr>
          <w:rFonts w:hint="eastAsia" w:hAnsi="Times New Roman" w:eastAsia="仿宋_GB2312"/>
          <w:b/>
        </w:rPr>
        <w:t>1</w:t>
      </w:r>
      <w:r>
        <w:rPr>
          <w:rFonts w:hAnsi="Times New Roman" w:eastAsia="仿宋_GB2312"/>
          <w:b/>
        </w:rPr>
        <w:t>。</w:t>
      </w:r>
    </w:p>
    <w:p>
      <w:pPr>
        <w:pStyle w:val="871"/>
        <w:spacing w:line="500" w:lineRule="exact"/>
        <w:ind w:firstLine="560"/>
        <w:rPr>
          <w:rFonts w:hAnsi="Times New Roman" w:eastAsia="仿宋_GB2312"/>
        </w:rPr>
      </w:pPr>
      <w:r>
        <w:rPr>
          <w:rFonts w:hAnsi="Times New Roman" w:eastAsia="仿宋_GB2312"/>
        </w:rPr>
        <w:t>（1）重点防渗区</w:t>
      </w:r>
    </w:p>
    <w:p>
      <w:pPr>
        <w:pStyle w:val="871"/>
        <w:spacing w:line="500" w:lineRule="exact"/>
        <w:ind w:firstLine="560"/>
        <w:rPr>
          <w:rFonts w:hAnsi="Times New Roman" w:eastAsia="仿宋_GB2312"/>
        </w:rPr>
      </w:pPr>
      <w:r>
        <w:rPr>
          <w:rFonts w:hAnsi="Times New Roman" w:eastAsia="仿宋_GB2312"/>
        </w:rPr>
        <w:t>将</w:t>
      </w:r>
      <w:r>
        <w:rPr>
          <w:rFonts w:hint="eastAsia" w:hAnsi="Times New Roman" w:eastAsia="仿宋_GB2312"/>
        </w:rPr>
        <w:t>本项目危废仓库、原材料库</w:t>
      </w:r>
      <w:r>
        <w:rPr>
          <w:rFonts w:hAnsi="Times New Roman" w:eastAsia="仿宋_GB2312"/>
        </w:rPr>
        <w:t>、</w:t>
      </w:r>
      <w:r>
        <w:rPr>
          <w:rFonts w:hint="eastAsia" w:hAnsi="Times New Roman" w:eastAsia="仿宋_GB2312"/>
        </w:rPr>
        <w:t>配胶</w:t>
      </w:r>
      <w:r>
        <w:rPr>
          <w:rFonts w:hAnsi="Times New Roman" w:eastAsia="仿宋_GB2312"/>
        </w:rPr>
        <w:t>间、</w:t>
      </w:r>
      <w:r>
        <w:rPr>
          <w:rFonts w:hint="eastAsia" w:hAnsi="Times New Roman" w:eastAsia="仿宋_GB2312"/>
        </w:rPr>
        <w:t>涂布</w:t>
      </w:r>
      <w:r>
        <w:rPr>
          <w:rFonts w:hAnsi="Times New Roman" w:eastAsia="仿宋_GB2312"/>
        </w:rPr>
        <w:t>区域、</w:t>
      </w:r>
      <w:r>
        <w:rPr>
          <w:rFonts w:hint="eastAsia" w:hAnsi="Times New Roman" w:eastAsia="仿宋_GB2312"/>
        </w:rPr>
        <w:t>事故应急池、</w:t>
      </w:r>
      <w:r>
        <w:rPr>
          <w:rFonts w:hAnsi="Times New Roman" w:eastAsia="仿宋_GB2312"/>
        </w:rPr>
        <w:t>废气处理装置区域</w:t>
      </w:r>
      <w:r>
        <w:rPr>
          <w:rFonts w:hint="eastAsia" w:hAnsi="Times New Roman" w:eastAsia="仿宋_GB2312"/>
        </w:rPr>
        <w:t>设置</w:t>
      </w:r>
      <w:r>
        <w:rPr>
          <w:rFonts w:hAnsi="Times New Roman" w:eastAsia="仿宋_GB2312"/>
        </w:rPr>
        <w:t>为重点防渗区</w:t>
      </w:r>
      <w:r>
        <w:rPr>
          <w:rFonts w:hint="eastAsia" w:hAnsi="Times New Roman" w:eastAsia="仿宋_GB2312"/>
        </w:rPr>
        <w:t>。</w:t>
      </w:r>
    </w:p>
    <w:p>
      <w:pPr>
        <w:pStyle w:val="871"/>
        <w:spacing w:line="500" w:lineRule="exact"/>
        <w:ind w:firstLine="560"/>
        <w:rPr>
          <w:rFonts w:hAnsi="Times New Roman" w:eastAsia="仿宋_GB2312"/>
        </w:rPr>
      </w:pPr>
      <w:r>
        <w:rPr>
          <w:rFonts w:hint="eastAsia" w:hAnsi="Times New Roman" w:eastAsia="仿宋_GB2312"/>
        </w:rPr>
        <w:t>根据《环境</w:t>
      </w:r>
      <w:r>
        <w:rPr>
          <w:rFonts w:hAnsi="Times New Roman" w:eastAsia="仿宋_GB2312"/>
        </w:rPr>
        <w:t>影响评价技术导则</w:t>
      </w:r>
      <w:r>
        <w:rPr>
          <w:rFonts w:hint="eastAsia" w:hAnsi="Times New Roman" w:eastAsia="仿宋_GB2312"/>
        </w:rPr>
        <w:t xml:space="preserve">  地下水</w:t>
      </w:r>
      <w:r>
        <w:rPr>
          <w:rFonts w:hAnsi="Times New Roman" w:eastAsia="仿宋_GB2312"/>
        </w:rPr>
        <w:t>环境</w:t>
      </w:r>
      <w:r>
        <w:rPr>
          <w:rFonts w:hint="eastAsia" w:hAnsi="Times New Roman" w:eastAsia="仿宋_GB2312"/>
        </w:rPr>
        <w:t>》（HJ610-2016）中</w:t>
      </w:r>
      <w:r>
        <w:rPr>
          <w:rFonts w:hAnsi="Times New Roman" w:eastAsia="仿宋_GB2312"/>
        </w:rPr>
        <w:t>要求，重点防渗区在建设过程中将采取严格的防渗措施，</w:t>
      </w:r>
      <w:r>
        <w:rPr>
          <w:rFonts w:hint="eastAsia" w:hAnsi="Times New Roman" w:eastAsia="仿宋_GB2312"/>
        </w:rPr>
        <w:t>确保重点防渗区</w:t>
      </w:r>
      <w:r>
        <w:rPr>
          <w:rFonts w:hAnsi="Times New Roman" w:eastAsia="仿宋_GB2312"/>
        </w:rPr>
        <w:t>防渗性能不低于6.0m厚渗透系数为1.0×10</w:t>
      </w:r>
      <w:r>
        <w:rPr>
          <w:rFonts w:hAnsi="Times New Roman" w:eastAsia="仿宋_GB2312"/>
          <w:vertAlign w:val="superscript"/>
        </w:rPr>
        <w:t>-7</w:t>
      </w:r>
      <w:r>
        <w:rPr>
          <w:rFonts w:hAnsi="Times New Roman" w:eastAsia="仿宋_GB2312"/>
        </w:rPr>
        <w:t>cm/s的粘土层的防渗性能</w:t>
      </w:r>
      <w:r>
        <w:rPr>
          <w:rFonts w:hint="eastAsia" w:hAnsi="Times New Roman" w:eastAsia="仿宋_GB2312"/>
        </w:rPr>
        <w:t>，</w:t>
      </w:r>
      <w:r>
        <w:rPr>
          <w:rFonts w:hAnsi="Times New Roman" w:eastAsia="仿宋_GB2312"/>
        </w:rPr>
        <w:t>确保不发生废水或废液渗漏现象，确保项目所在地的地下水及土壤不受污染。</w:t>
      </w:r>
    </w:p>
    <w:p>
      <w:pPr>
        <w:pStyle w:val="871"/>
        <w:spacing w:line="500" w:lineRule="exact"/>
        <w:ind w:firstLine="560"/>
        <w:rPr>
          <w:rFonts w:hAnsi="Times New Roman" w:eastAsia="仿宋_GB2312"/>
        </w:rPr>
      </w:pPr>
      <w:r>
        <w:rPr>
          <w:rFonts w:hAnsi="Times New Roman" w:eastAsia="仿宋_GB2312"/>
        </w:rPr>
        <w:t>①</w:t>
      </w:r>
      <w:r>
        <w:rPr>
          <w:rFonts w:hint="eastAsia" w:hAnsi="Times New Roman" w:eastAsia="仿宋_GB2312"/>
        </w:rPr>
        <w:t>危废暂存场应严格按照《危险废物贮存污染控制标准》(2013年修订版)进行防渗设计，除必须具备耐腐蚀的硬化地面和基础防渗层，表面无裂痕外，还应具备防风、防雨和防晒功能，并设计径流疏通系统，保证不受25年一遇暴雨的影响。</w:t>
      </w:r>
    </w:p>
    <w:p>
      <w:pPr>
        <w:pStyle w:val="871"/>
        <w:spacing w:line="500" w:lineRule="exact"/>
        <w:ind w:firstLine="560"/>
        <w:rPr>
          <w:rFonts w:hAnsi="Times New Roman" w:eastAsia="仿宋_GB2312"/>
        </w:rPr>
      </w:pPr>
      <w:r>
        <w:rPr>
          <w:rFonts w:hAnsi="Times New Roman" w:eastAsia="仿宋_GB2312"/>
        </w:rPr>
        <w:t>②厂内事故应急池构筑物应采用防渗钢筋混凝土,池体表面涂刷水泥基渗透结晶型防渗涂料。</w:t>
      </w:r>
    </w:p>
    <w:p>
      <w:pPr>
        <w:pStyle w:val="871"/>
        <w:spacing w:line="500" w:lineRule="exact"/>
        <w:ind w:firstLine="560"/>
        <w:rPr>
          <w:rFonts w:hAnsi="Times New Roman" w:eastAsia="仿宋_GB2312"/>
        </w:rPr>
      </w:pPr>
      <w:r>
        <w:rPr>
          <w:rFonts w:hAnsi="Times New Roman" w:eastAsia="仿宋_GB2312"/>
        </w:rPr>
        <w:t>③管线敷设尽量采用“可视化”原则，即管道尽可能地上敷设,做到泄漏污染物“早发现、早处理”。</w:t>
      </w:r>
    </w:p>
    <w:p>
      <w:pPr>
        <w:pStyle w:val="871"/>
        <w:spacing w:line="500" w:lineRule="exact"/>
        <w:ind w:firstLine="560"/>
        <w:rPr>
          <w:rFonts w:hAnsi="Times New Roman" w:eastAsia="仿宋_GB2312"/>
        </w:rPr>
      </w:pPr>
      <w:r>
        <w:rPr>
          <w:rFonts w:hAnsi="Times New Roman" w:eastAsia="仿宋_GB2312"/>
        </w:rPr>
        <w:t>（2）一般防渗区</w:t>
      </w:r>
    </w:p>
    <w:p>
      <w:pPr>
        <w:pStyle w:val="871"/>
        <w:ind w:firstLine="560"/>
        <w:rPr>
          <w:rFonts w:hAnsi="Times New Roman" w:eastAsia="仿宋_GB2312"/>
        </w:rPr>
      </w:pPr>
      <w:r>
        <w:rPr>
          <w:rFonts w:hint="eastAsia" w:hAnsi="Times New Roman" w:eastAsia="仿宋_GB2312"/>
        </w:rPr>
        <w:t>将本项目厂区</w:t>
      </w:r>
      <w:r>
        <w:rPr>
          <w:rFonts w:hAnsi="Times New Roman" w:eastAsia="仿宋_GB2312"/>
        </w:rPr>
        <w:t>道路、</w:t>
      </w:r>
      <w:r>
        <w:rPr>
          <w:rFonts w:hint="eastAsia" w:hAnsi="Times New Roman" w:eastAsia="仿宋_GB2312"/>
        </w:rPr>
        <w:t>车间除</w:t>
      </w:r>
      <w:r>
        <w:rPr>
          <w:rFonts w:hAnsi="Times New Roman" w:eastAsia="仿宋_GB2312"/>
        </w:rPr>
        <w:t>涂布区及配郊区的区域</w:t>
      </w:r>
      <w:r>
        <w:rPr>
          <w:rFonts w:hint="eastAsia" w:hAnsi="Times New Roman" w:eastAsia="仿宋_GB2312"/>
        </w:rPr>
        <w:t>设置</w:t>
      </w:r>
      <w:r>
        <w:rPr>
          <w:rFonts w:hAnsi="Times New Roman" w:eastAsia="仿宋_GB2312"/>
        </w:rPr>
        <w:t>为一般防渗区。</w:t>
      </w:r>
      <w:r>
        <w:rPr>
          <w:rFonts w:hint="eastAsia" w:hAnsi="Times New Roman" w:eastAsia="仿宋_GB2312"/>
        </w:rPr>
        <w:t>根据《环境</w:t>
      </w:r>
      <w:r>
        <w:rPr>
          <w:rFonts w:hAnsi="Times New Roman" w:eastAsia="仿宋_GB2312"/>
        </w:rPr>
        <w:t>影响评价技术导则</w:t>
      </w:r>
      <w:r>
        <w:rPr>
          <w:rFonts w:hint="eastAsia" w:hAnsi="Times New Roman" w:eastAsia="仿宋_GB2312"/>
        </w:rPr>
        <w:t xml:space="preserve">  地下水</w:t>
      </w:r>
      <w:r>
        <w:rPr>
          <w:rFonts w:hAnsi="Times New Roman" w:eastAsia="仿宋_GB2312"/>
        </w:rPr>
        <w:t>环境</w:t>
      </w:r>
      <w:r>
        <w:rPr>
          <w:rFonts w:hint="eastAsia" w:hAnsi="Times New Roman" w:eastAsia="仿宋_GB2312"/>
        </w:rPr>
        <w:t>》（HJ610-2016）中</w:t>
      </w:r>
      <w:r>
        <w:rPr>
          <w:rFonts w:hAnsi="Times New Roman" w:eastAsia="仿宋_GB2312"/>
        </w:rPr>
        <w:t>要求，</w:t>
      </w:r>
      <w:r>
        <w:rPr>
          <w:rFonts w:hint="eastAsia" w:hAnsi="Times New Roman" w:eastAsia="仿宋_GB2312"/>
        </w:rPr>
        <w:t>地面硬化</w:t>
      </w:r>
      <w:r>
        <w:rPr>
          <w:rFonts w:hAnsi="Times New Roman" w:eastAsia="仿宋_GB2312"/>
        </w:rPr>
        <w:t>，</w:t>
      </w:r>
      <w:r>
        <w:rPr>
          <w:rFonts w:hint="eastAsia" w:hAnsi="Times New Roman" w:eastAsia="仿宋_GB2312"/>
        </w:rPr>
        <w:t>确保</w:t>
      </w:r>
      <w:r>
        <w:rPr>
          <w:rFonts w:hAnsi="Times New Roman" w:eastAsia="仿宋_GB2312"/>
        </w:rPr>
        <w:t>一般防渗区的防渗性能不低于1.5m厚渗透系数为1.0×10</w:t>
      </w:r>
      <w:r>
        <w:rPr>
          <w:rFonts w:hAnsi="Times New Roman" w:eastAsia="仿宋_GB2312"/>
          <w:vertAlign w:val="superscript"/>
        </w:rPr>
        <w:t>-7</w:t>
      </w:r>
      <w:r>
        <w:rPr>
          <w:rFonts w:hAnsi="Times New Roman" w:eastAsia="仿宋_GB2312"/>
        </w:rPr>
        <w:t>cm/s的粘土层的防渗性能。</w:t>
      </w:r>
    </w:p>
    <w:p>
      <w:pPr>
        <w:pStyle w:val="871"/>
        <w:ind w:firstLine="560"/>
        <w:rPr>
          <w:rFonts w:hAnsi="Times New Roman" w:eastAsia="仿宋_GB2312"/>
          <w:b/>
        </w:rPr>
      </w:pPr>
      <w:r>
        <w:rPr>
          <w:rFonts w:hAnsi="Times New Roman" w:eastAsia="仿宋_GB2312"/>
        </w:rPr>
        <w:t>建设单位在采取上述各项防渗、防漏措施后，同时加强定期检查，确保不发生</w:t>
      </w:r>
      <w:r>
        <w:rPr>
          <w:rFonts w:hint="eastAsia" w:hAnsi="Times New Roman" w:eastAsia="仿宋_GB2312"/>
        </w:rPr>
        <w:t>化学品</w:t>
      </w:r>
      <w:r>
        <w:rPr>
          <w:rFonts w:hAnsi="Times New Roman" w:eastAsia="仿宋_GB2312"/>
        </w:rPr>
        <w:t>、</w:t>
      </w:r>
      <w:r>
        <w:rPr>
          <w:rFonts w:hint="eastAsia" w:hAnsi="Times New Roman" w:eastAsia="仿宋_GB2312"/>
        </w:rPr>
        <w:t>消防废水</w:t>
      </w:r>
      <w:r>
        <w:rPr>
          <w:rFonts w:hAnsi="Times New Roman" w:eastAsia="仿宋_GB2312"/>
        </w:rPr>
        <w:t>泄漏污染土壤及地下水的事故。</w:t>
      </w:r>
    </w:p>
    <w:p>
      <w:pPr>
        <w:pStyle w:val="871"/>
        <w:adjustRightInd w:val="0"/>
        <w:snapToGrid w:val="0"/>
        <w:ind w:firstLine="0" w:firstLineChars="0"/>
        <w:rPr>
          <w:rFonts w:hAnsi="Times New Roman" w:eastAsia="仿宋_GB2312"/>
        </w:rPr>
      </w:pPr>
      <w:r>
        <w:rPr>
          <w:rFonts w:hAnsi="Times New Roman" w:eastAsia="仿宋_GB2312"/>
        </w:rPr>
        <mc:AlternateContent>
          <mc:Choice Requires="wps">
            <w:drawing>
              <wp:anchor distT="0" distB="0" distL="114300" distR="114300" simplePos="0" relativeHeight="251661312" behindDoc="0" locked="0" layoutInCell="1" allowOverlap="1">
                <wp:simplePos x="0" y="0"/>
                <wp:positionH relativeFrom="column">
                  <wp:posOffset>3876675</wp:posOffset>
                </wp:positionH>
                <wp:positionV relativeFrom="paragraph">
                  <wp:posOffset>476250</wp:posOffset>
                </wp:positionV>
                <wp:extent cx="885825" cy="2667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8858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b/>
                              </w:rPr>
                            </w:pPr>
                            <w:r>
                              <w:rPr>
                                <w:rFonts w:hint="eastAsia"/>
                                <w:b/>
                              </w:rPr>
                              <w:t>地面</w:t>
                            </w:r>
                            <w:r>
                              <w:rPr>
                                <w:b/>
                              </w:rPr>
                              <w:t>硬化</w:t>
                            </w:r>
                            <w:r>
                              <w:rPr>
                                <w:rFonts w:hint="eastAsia"/>
                                <w:b/>
                              </w:rPr>
                              <w:t>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5.25pt;margin-top:37.5pt;height:21pt;width:69.75pt;z-index:251661312;mso-width-relative:page;mso-height-relative:page;" filled="f" stroked="f" coordsize="21600,21600" o:gfxdata="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YTeID9kAAAAKAQAADwAAAAAAAAABACAAAAAi&#10;AAAAZHJzL2Rvd25yZXYueG1sUEsBAhQAFAAAAAgAh07iQBXum5hCAgAAcwQAAA4AAAAAAAAAAQAg&#10;AAAAKAEAAGRycy9lMm9Eb2MueG1sUEsFBgAAAAAGAAYAWQEAANwFAAAAAA==&#10;">
                <v:fill on="f" focussize="0,0"/>
                <v:stroke on="f" weight="0.5pt"/>
                <v:imagedata o:title=""/>
                <o:lock v:ext="edit" aspectratio="f"/>
                <v:textbox>
                  <w:txbxContent>
                    <w:p>
                      <w:pPr>
                        <w:rPr>
                          <w:b/>
                        </w:rPr>
                      </w:pPr>
                      <w:r>
                        <w:rPr>
                          <w:rFonts w:hint="eastAsia"/>
                          <w:b/>
                        </w:rPr>
                        <w:t>地面</w:t>
                      </w:r>
                      <w:r>
                        <w:rPr>
                          <w:b/>
                        </w:rPr>
                        <w:t>硬化</w:t>
                      </w:r>
                      <w:r>
                        <w:rPr>
                          <w:rFonts w:hint="eastAsia"/>
                          <w:b/>
                        </w:rPr>
                        <w:t>层</w:t>
                      </w:r>
                    </w:p>
                  </w:txbxContent>
                </v:textbox>
              </v:shape>
            </w:pict>
          </mc:Fallback>
        </mc:AlternateContent>
      </w:r>
      <w:r>
        <w:rPr>
          <w:rFonts w:hAnsi="Times New Roman" w:eastAsia="仿宋_GB2312"/>
        </w:rPr>
        <mc:AlternateContent>
          <mc:Choice Requires="wps">
            <w:drawing>
              <wp:anchor distT="0" distB="0" distL="114300" distR="114300" simplePos="0" relativeHeight="251659264" behindDoc="0" locked="0" layoutInCell="1" allowOverlap="1">
                <wp:simplePos x="0" y="0"/>
                <wp:positionH relativeFrom="column">
                  <wp:posOffset>3256915</wp:posOffset>
                </wp:positionH>
                <wp:positionV relativeFrom="paragraph">
                  <wp:posOffset>695325</wp:posOffset>
                </wp:positionV>
                <wp:extent cx="1381125" cy="0"/>
                <wp:effectExtent l="0" t="0" r="28575" b="19050"/>
                <wp:wrapNone/>
                <wp:docPr id="6" name="直接连接符 6"/>
                <wp:cNvGraphicFramePr/>
                <a:graphic xmlns:a="http://schemas.openxmlformats.org/drawingml/2006/main">
                  <a:graphicData uri="http://schemas.microsoft.com/office/word/2010/wordprocessingShape">
                    <wps:wsp>
                      <wps:cNvCnPr/>
                      <wps:spPr>
                        <a:xfrm>
                          <a:off x="0" y="0"/>
                          <a:ext cx="1381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56.45pt;margin-top:54.75pt;height:0pt;width:108.75pt;z-index:251659264;mso-width-relative:page;mso-height-relative:page;" filled="f" stroked="t" coordsize="21600,21600" o:gfxdata="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Ahd+E1wAAAAsBAAAPAAAAAAAAAAEAIAAAACIAAABkcnMvZG93bnJldi54bWxQSwECFAAUAAAA&#10;CACHTuJADdN8QO8BAADTAwAADgAAAAAAAAABACAAAAAmAQAAZHJzL2Uyb0RvYy54bWxQSwUGAAAA&#10;AAYABgBZAQAAhwUAAAAA&#10;">
                <v:fill on="f" focussize="0,0"/>
                <v:stroke color="#000000 [3200]" joinstyle="round"/>
                <v:imagedata o:title=""/>
                <o:lock v:ext="edit" aspectratio="f"/>
              </v:line>
            </w:pict>
          </mc:Fallback>
        </mc:AlternateContent>
      </w:r>
      <w:r>
        <w:rPr>
          <w:rFonts w:hAnsi="Times New Roman" w:eastAsia="仿宋_GB2312"/>
        </w:rPr>
        <w:drawing>
          <wp:inline distT="0" distB="0" distL="0" distR="0">
            <wp:extent cx="4772025" cy="2676525"/>
            <wp:effectExtent l="0" t="0" r="0" b="9525"/>
            <wp:docPr id="100" name="图片 100" descr="QQ图片2017060509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QQ图片20170605093411"/>
                    <pic:cNvPicPr>
                      <a:picLocks noChangeAspect="1" noChangeArrowheads="1"/>
                    </pic:cNvPicPr>
                  </pic:nvPicPr>
                  <pic:blipFill>
                    <a:blip r:embed="rId101"/>
                    <a:srcRect/>
                    <a:stretch>
                      <a:fillRect/>
                    </a:stretch>
                  </pic:blipFill>
                  <pic:spPr>
                    <a:xfrm>
                      <a:off x="0" y="0"/>
                      <a:ext cx="4774033" cy="2677934"/>
                    </a:xfrm>
                    <a:prstGeom prst="rect">
                      <a:avLst/>
                    </a:prstGeom>
                    <a:noFill/>
                    <a:ln w="9525">
                      <a:noFill/>
                      <a:miter lim="800000"/>
                      <a:headEnd/>
                      <a:tailEnd/>
                    </a:ln>
                  </pic:spPr>
                </pic:pic>
              </a:graphicData>
            </a:graphic>
          </wp:inline>
        </w:drawing>
      </w:r>
    </w:p>
    <w:p>
      <w:pPr>
        <w:tabs>
          <w:tab w:val="left" w:pos="1875"/>
        </w:tabs>
        <w:rPr>
          <w:rFonts w:eastAsia="仿宋_GB2312"/>
          <w:b/>
          <w:sz w:val="24"/>
        </w:rPr>
      </w:pPr>
      <w:r>
        <w:rPr>
          <w:rFonts w:eastAsia="仿宋_GB2312"/>
        </w:rPr>
        <w:tab/>
      </w:r>
      <w:r>
        <w:rPr>
          <w:rFonts w:eastAsia="仿宋_GB2312"/>
          <w:b/>
          <w:sz w:val="24"/>
        </w:rPr>
        <w:t>图6.5-1  重点区域防渗层的剖面图</w:t>
      </w:r>
    </w:p>
    <w:p>
      <w:pPr>
        <w:pStyle w:val="3"/>
        <w:spacing w:before="120" w:after="120"/>
      </w:pPr>
      <w:bookmarkStart w:id="391" w:name="_Toc140565280"/>
      <w:r>
        <w:t>风险防范及应急措施</w:t>
      </w:r>
      <w:bookmarkEnd w:id="391"/>
    </w:p>
    <w:p>
      <w:pPr>
        <w:pStyle w:val="4"/>
        <w:keepLines w:val="0"/>
        <w:numPr>
          <w:ilvl w:val="2"/>
          <w:numId w:val="1"/>
        </w:numPr>
        <w:tabs>
          <w:tab w:val="left" w:pos="709"/>
        </w:tabs>
        <w:spacing w:before="0" w:after="120" w:afterLines="50" w:line="500" w:lineRule="exact"/>
        <w:ind w:left="0" w:firstLine="0"/>
        <w:rPr>
          <w:rFonts w:eastAsia="仿宋_GB2312"/>
          <w:bCs w:val="0"/>
          <w:sz w:val="28"/>
        </w:rPr>
      </w:pPr>
      <w:r>
        <w:rPr>
          <w:rFonts w:eastAsia="仿宋_GB2312"/>
          <w:bCs w:val="0"/>
          <w:sz w:val="28"/>
        </w:rPr>
        <w:t>风险预防措施</w:t>
      </w:r>
    </w:p>
    <w:p>
      <w:pPr>
        <w:pStyle w:val="5"/>
        <w:keepLines w:val="0"/>
        <w:widowControl/>
        <w:numPr>
          <w:ilvl w:val="3"/>
          <w:numId w:val="1"/>
        </w:numPr>
        <w:adjustRightInd w:val="0"/>
        <w:snapToGrid w:val="0"/>
        <w:spacing w:after="120" w:afterLines="50"/>
        <w:ind w:left="0" w:firstLine="0"/>
        <w:jc w:val="left"/>
        <w:rPr>
          <w:rFonts w:ascii="Times New Roman" w:hAnsi="Times New Roman"/>
          <w:b/>
        </w:rPr>
      </w:pPr>
      <w:r>
        <w:rPr>
          <w:rFonts w:ascii="Times New Roman" w:hAnsi="Times New Roman"/>
          <w:b/>
        </w:rPr>
        <w:t>选址、总图布置和建筑安全防范措施</w:t>
      </w:r>
    </w:p>
    <w:p>
      <w:pPr>
        <w:spacing w:line="500" w:lineRule="exact"/>
        <w:ind w:firstLine="560" w:firstLineChars="200"/>
        <w:rPr>
          <w:rFonts w:eastAsia="仿宋_GB2312"/>
          <w:bCs/>
          <w:sz w:val="28"/>
          <w:szCs w:val="28"/>
        </w:rPr>
      </w:pPr>
      <w:r>
        <w:rPr>
          <w:rFonts w:hint="eastAsia" w:eastAsia="仿宋_GB2312"/>
          <w:bCs/>
          <w:sz w:val="28"/>
          <w:szCs w:val="28"/>
        </w:rPr>
        <w:t>根据现场勘查，企业四周以企业为主，卫生防护距离范围内没有居民点，且项目危化品库和生产装置区离厂界及厂界外的交通干道均有一定的距离，可以起到一定的安全防护和防火作用。厂区总平面布置符合防范事故的要求，并有应急救援设施及救援通道。</w:t>
      </w:r>
    </w:p>
    <w:p>
      <w:pPr>
        <w:pStyle w:val="5"/>
        <w:keepLines w:val="0"/>
        <w:widowControl/>
        <w:numPr>
          <w:ilvl w:val="3"/>
          <w:numId w:val="1"/>
        </w:numPr>
        <w:adjustRightInd w:val="0"/>
        <w:snapToGrid w:val="0"/>
        <w:spacing w:after="120" w:afterLines="50"/>
        <w:ind w:left="0" w:firstLine="0"/>
        <w:jc w:val="left"/>
        <w:rPr>
          <w:rFonts w:ascii="Times New Roman" w:hAnsi="Times New Roman"/>
          <w:b/>
        </w:rPr>
      </w:pPr>
      <w:r>
        <w:rPr>
          <w:rFonts w:ascii="Times New Roman" w:hAnsi="Times New Roman"/>
          <w:b/>
        </w:rPr>
        <w:t xml:space="preserve">危险化学品储运安全防范措施 </w:t>
      </w:r>
    </w:p>
    <w:p>
      <w:pPr>
        <w:spacing w:line="500" w:lineRule="exact"/>
        <w:ind w:firstLine="560" w:firstLineChars="200"/>
        <w:rPr>
          <w:rFonts w:eastAsia="仿宋_GB2312"/>
          <w:bCs/>
          <w:sz w:val="28"/>
          <w:szCs w:val="28"/>
        </w:rPr>
      </w:pPr>
      <w:r>
        <w:rPr>
          <w:rFonts w:eastAsia="仿宋_GB2312"/>
          <w:bCs/>
          <w:sz w:val="28"/>
          <w:szCs w:val="28"/>
        </w:rPr>
        <w:t>运输风险：危险货物在运输过程中，从装卸、运输到保管，工序长，参与人员多；运输方式和工具多；运输范围广、行程长；气温、压力、干湿变化范围大，这些复杂众多的外界因素是运输中造成风险的诱发条件。</w:t>
      </w:r>
    </w:p>
    <w:p>
      <w:pPr>
        <w:spacing w:line="500" w:lineRule="exact"/>
        <w:ind w:firstLine="560" w:firstLineChars="200"/>
        <w:rPr>
          <w:rFonts w:eastAsia="仿宋_GB2312"/>
          <w:bCs/>
          <w:sz w:val="28"/>
          <w:szCs w:val="28"/>
        </w:rPr>
      </w:pPr>
      <w:r>
        <w:rPr>
          <w:rFonts w:eastAsia="仿宋_GB2312"/>
          <w:bCs/>
          <w:sz w:val="28"/>
          <w:szCs w:val="28"/>
        </w:rPr>
        <w:t>针对危险货物本身的危险特性，运输危险货物首先要进行危险货物包装，以减少外界环境如雨雪、阳光、潮湿空气和杂质等的影响；减少运输过程中受到的碰撞、震动、摩擦和挤压，以保持相对稳定状态；减少货物泄漏、挥发以及性质相悖的货物直接接触造成事故。</w:t>
      </w:r>
    </w:p>
    <w:p>
      <w:pPr>
        <w:spacing w:line="500" w:lineRule="exact"/>
        <w:ind w:firstLine="560" w:firstLineChars="200"/>
        <w:rPr>
          <w:rFonts w:eastAsia="仿宋_GB2312"/>
          <w:bCs/>
          <w:sz w:val="28"/>
          <w:szCs w:val="28"/>
        </w:rPr>
      </w:pPr>
      <w:r>
        <w:rPr>
          <w:rFonts w:eastAsia="仿宋_GB2312"/>
          <w:bCs/>
          <w:sz w:val="28"/>
          <w:szCs w:val="28"/>
        </w:rPr>
        <w:t>危险货物在其运输过程中托运－仓储－装货－运货－卸货－仓储－收货过程中，装卸、运输和仓储三个环节中均存在造成事故、对环境造成风险的概率。危险货物运输的基本程序及其风险分析见下表。</w:t>
      </w:r>
    </w:p>
    <w:p>
      <w:pPr>
        <w:spacing w:line="500" w:lineRule="exact"/>
        <w:ind w:right="280"/>
        <w:jc w:val="center"/>
        <w:rPr>
          <w:rFonts w:eastAsia="仿宋_GB2312"/>
          <w:b/>
          <w:sz w:val="24"/>
        </w:rPr>
      </w:pPr>
      <w:bookmarkStart w:id="392" w:name="_Ref288487047"/>
      <w:r>
        <w:rPr>
          <w:rFonts w:eastAsia="仿宋_GB2312"/>
          <w:b/>
          <w:sz w:val="24"/>
        </w:rPr>
        <w:t>表</w:t>
      </w:r>
      <w:bookmarkEnd w:id="392"/>
      <w:r>
        <w:rPr>
          <w:rFonts w:eastAsia="仿宋_GB2312"/>
          <w:b/>
          <w:sz w:val="24"/>
        </w:rPr>
        <w:t>6.6-1  运输过程风险分析表</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837"/>
        <w:gridCol w:w="2126"/>
        <w:gridCol w:w="1275"/>
        <w:gridCol w:w="3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vAlign w:val="center"/>
          </w:tcPr>
          <w:p>
            <w:pPr>
              <w:spacing w:line="240" w:lineRule="exact"/>
              <w:jc w:val="center"/>
              <w:rPr>
                <w:rFonts w:ascii="仿宋" w:hAnsi="仿宋" w:eastAsia="仿宋" w:cs="仿宋"/>
                <w:bCs/>
                <w:szCs w:val="21"/>
              </w:rPr>
            </w:pPr>
            <w:r>
              <w:rPr>
                <w:rFonts w:ascii="仿宋" w:hAnsi="仿宋" w:eastAsia="仿宋" w:cs="仿宋"/>
                <w:bCs/>
                <w:szCs w:val="21"/>
              </w:rPr>
              <w:t>序号</w:t>
            </w:r>
          </w:p>
        </w:tc>
        <w:tc>
          <w:tcPr>
            <w:tcW w:w="491" w:type="pct"/>
            <w:vAlign w:val="center"/>
          </w:tcPr>
          <w:p>
            <w:pPr>
              <w:spacing w:line="240" w:lineRule="exact"/>
              <w:jc w:val="center"/>
              <w:rPr>
                <w:rFonts w:ascii="仿宋" w:hAnsi="仿宋" w:eastAsia="仿宋" w:cs="仿宋"/>
                <w:bCs/>
                <w:szCs w:val="21"/>
              </w:rPr>
            </w:pPr>
            <w:r>
              <w:rPr>
                <w:rFonts w:ascii="仿宋" w:hAnsi="仿宋" w:eastAsia="仿宋" w:cs="仿宋"/>
                <w:bCs/>
                <w:szCs w:val="21"/>
              </w:rPr>
              <w:t>过程</w:t>
            </w:r>
          </w:p>
        </w:tc>
        <w:tc>
          <w:tcPr>
            <w:tcW w:w="1247" w:type="pct"/>
            <w:vAlign w:val="center"/>
          </w:tcPr>
          <w:p>
            <w:pPr>
              <w:spacing w:line="240" w:lineRule="exact"/>
              <w:jc w:val="center"/>
              <w:rPr>
                <w:rFonts w:ascii="仿宋" w:hAnsi="仿宋" w:eastAsia="仿宋" w:cs="仿宋"/>
                <w:bCs/>
                <w:szCs w:val="21"/>
              </w:rPr>
            </w:pPr>
            <w:r>
              <w:rPr>
                <w:rFonts w:ascii="仿宋" w:hAnsi="仿宋" w:eastAsia="仿宋" w:cs="仿宋"/>
                <w:bCs/>
                <w:szCs w:val="21"/>
              </w:rPr>
              <w:t>项目</w:t>
            </w:r>
          </w:p>
        </w:tc>
        <w:tc>
          <w:tcPr>
            <w:tcW w:w="748" w:type="pct"/>
            <w:vAlign w:val="center"/>
          </w:tcPr>
          <w:p>
            <w:pPr>
              <w:spacing w:line="240" w:lineRule="exact"/>
              <w:jc w:val="center"/>
              <w:rPr>
                <w:rFonts w:ascii="仿宋" w:hAnsi="仿宋" w:eastAsia="仿宋" w:cs="仿宋"/>
                <w:bCs/>
                <w:szCs w:val="21"/>
              </w:rPr>
            </w:pPr>
            <w:r>
              <w:rPr>
                <w:rFonts w:ascii="仿宋" w:hAnsi="仿宋" w:eastAsia="仿宋" w:cs="仿宋"/>
                <w:bCs/>
                <w:szCs w:val="21"/>
              </w:rPr>
              <w:t>风险类型</w:t>
            </w:r>
          </w:p>
        </w:tc>
        <w:tc>
          <w:tcPr>
            <w:tcW w:w="2109" w:type="pct"/>
            <w:vAlign w:val="center"/>
          </w:tcPr>
          <w:p>
            <w:pPr>
              <w:spacing w:line="240" w:lineRule="exact"/>
              <w:jc w:val="center"/>
              <w:rPr>
                <w:rFonts w:ascii="仿宋" w:hAnsi="仿宋" w:eastAsia="仿宋" w:cs="仿宋"/>
                <w:bCs/>
                <w:szCs w:val="21"/>
              </w:rPr>
            </w:pPr>
            <w:r>
              <w:rPr>
                <w:rFonts w:ascii="仿宋" w:hAnsi="仿宋" w:eastAsia="仿宋" w:cs="仿宋"/>
                <w:bCs/>
                <w:szCs w:val="21"/>
              </w:rPr>
              <w:t>风险分析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vMerge w:val="restart"/>
            <w:vAlign w:val="center"/>
          </w:tcPr>
          <w:p>
            <w:pPr>
              <w:spacing w:line="240" w:lineRule="exact"/>
              <w:jc w:val="center"/>
              <w:rPr>
                <w:rFonts w:ascii="仿宋" w:hAnsi="仿宋" w:eastAsia="仿宋" w:cs="仿宋"/>
                <w:bCs/>
                <w:szCs w:val="21"/>
              </w:rPr>
            </w:pPr>
            <w:r>
              <w:rPr>
                <w:rFonts w:ascii="仿宋" w:hAnsi="仿宋" w:eastAsia="仿宋" w:cs="仿宋"/>
                <w:bCs/>
                <w:szCs w:val="21"/>
              </w:rPr>
              <w:t>1</w:t>
            </w:r>
          </w:p>
        </w:tc>
        <w:tc>
          <w:tcPr>
            <w:tcW w:w="491" w:type="pct"/>
            <w:vMerge w:val="restart"/>
            <w:vAlign w:val="center"/>
          </w:tcPr>
          <w:p>
            <w:pPr>
              <w:spacing w:line="240" w:lineRule="exact"/>
              <w:jc w:val="center"/>
              <w:rPr>
                <w:rFonts w:ascii="仿宋" w:hAnsi="仿宋" w:eastAsia="仿宋" w:cs="仿宋"/>
                <w:bCs/>
                <w:szCs w:val="21"/>
              </w:rPr>
            </w:pPr>
            <w:r>
              <w:rPr>
                <w:rFonts w:ascii="仿宋" w:hAnsi="仿宋" w:eastAsia="仿宋" w:cs="仿宋"/>
                <w:bCs/>
                <w:szCs w:val="21"/>
              </w:rPr>
              <w:t>包装</w:t>
            </w:r>
          </w:p>
        </w:tc>
        <w:tc>
          <w:tcPr>
            <w:tcW w:w="1247" w:type="pct"/>
            <w:vAlign w:val="center"/>
          </w:tcPr>
          <w:p>
            <w:pPr>
              <w:spacing w:line="240" w:lineRule="exact"/>
              <w:jc w:val="center"/>
              <w:rPr>
                <w:rFonts w:ascii="仿宋" w:hAnsi="仿宋" w:eastAsia="仿宋" w:cs="仿宋"/>
                <w:bCs/>
                <w:szCs w:val="21"/>
              </w:rPr>
            </w:pPr>
            <w:r>
              <w:rPr>
                <w:rFonts w:ascii="仿宋" w:hAnsi="仿宋" w:eastAsia="仿宋" w:cs="仿宋"/>
                <w:bCs/>
                <w:szCs w:val="21"/>
              </w:rPr>
              <w:t>爆炸品专用包装</w:t>
            </w:r>
          </w:p>
        </w:tc>
        <w:tc>
          <w:tcPr>
            <w:tcW w:w="748" w:type="pct"/>
            <w:vAlign w:val="center"/>
          </w:tcPr>
          <w:p>
            <w:pPr>
              <w:spacing w:line="240" w:lineRule="exact"/>
              <w:jc w:val="center"/>
              <w:rPr>
                <w:rFonts w:ascii="仿宋" w:hAnsi="仿宋" w:eastAsia="仿宋" w:cs="仿宋"/>
                <w:bCs/>
                <w:szCs w:val="21"/>
              </w:rPr>
            </w:pPr>
            <w:r>
              <w:rPr>
                <w:rFonts w:ascii="仿宋" w:hAnsi="仿宋" w:eastAsia="仿宋" w:cs="仿宋"/>
                <w:bCs/>
                <w:szCs w:val="21"/>
              </w:rPr>
              <w:t>火灾</w:t>
            </w:r>
          </w:p>
        </w:tc>
        <w:tc>
          <w:tcPr>
            <w:tcW w:w="2109" w:type="pct"/>
            <w:vAlign w:val="center"/>
          </w:tcPr>
          <w:p>
            <w:pPr>
              <w:spacing w:line="240" w:lineRule="exact"/>
              <w:jc w:val="center"/>
              <w:rPr>
                <w:rFonts w:ascii="仿宋" w:hAnsi="仿宋" w:eastAsia="仿宋" w:cs="仿宋"/>
                <w:bCs/>
                <w:szCs w:val="21"/>
              </w:rPr>
            </w:pPr>
            <w:r>
              <w:rPr>
                <w:rFonts w:ascii="仿宋" w:hAnsi="仿宋" w:eastAsia="仿宋" w:cs="仿宋"/>
                <w:bCs/>
                <w:szCs w:val="21"/>
              </w:rPr>
              <w:t>反应速度快、释放热量和气体污染物、财产损失失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vMerge w:val="continue"/>
            <w:vAlign w:val="center"/>
          </w:tcPr>
          <w:p>
            <w:pPr>
              <w:spacing w:line="240" w:lineRule="exact"/>
              <w:jc w:val="center"/>
              <w:rPr>
                <w:rFonts w:ascii="仿宋" w:hAnsi="仿宋" w:eastAsia="仿宋" w:cs="仿宋"/>
                <w:bCs/>
                <w:szCs w:val="21"/>
              </w:rPr>
            </w:pPr>
          </w:p>
        </w:tc>
        <w:tc>
          <w:tcPr>
            <w:tcW w:w="491" w:type="pct"/>
            <w:vMerge w:val="continue"/>
            <w:vAlign w:val="center"/>
          </w:tcPr>
          <w:p>
            <w:pPr>
              <w:spacing w:line="240" w:lineRule="exact"/>
              <w:jc w:val="center"/>
              <w:rPr>
                <w:rFonts w:ascii="仿宋" w:hAnsi="仿宋" w:eastAsia="仿宋" w:cs="仿宋"/>
                <w:bCs/>
                <w:szCs w:val="21"/>
              </w:rPr>
            </w:pPr>
          </w:p>
        </w:tc>
        <w:tc>
          <w:tcPr>
            <w:tcW w:w="1247" w:type="pct"/>
            <w:vAlign w:val="center"/>
          </w:tcPr>
          <w:p>
            <w:pPr>
              <w:spacing w:line="240" w:lineRule="exact"/>
              <w:jc w:val="center"/>
              <w:rPr>
                <w:rFonts w:ascii="仿宋" w:hAnsi="仿宋" w:eastAsia="仿宋" w:cs="仿宋"/>
                <w:bCs/>
                <w:szCs w:val="21"/>
              </w:rPr>
            </w:pPr>
            <w:r>
              <w:rPr>
                <w:rFonts w:ascii="仿宋" w:hAnsi="仿宋" w:eastAsia="仿宋" w:cs="仿宋"/>
                <w:bCs/>
                <w:szCs w:val="21"/>
              </w:rPr>
              <w:t>腐蚀性物品包装</w:t>
            </w:r>
          </w:p>
        </w:tc>
        <w:tc>
          <w:tcPr>
            <w:tcW w:w="748" w:type="pct"/>
            <w:vAlign w:val="center"/>
          </w:tcPr>
          <w:p>
            <w:pPr>
              <w:spacing w:line="240" w:lineRule="exact"/>
              <w:jc w:val="center"/>
              <w:rPr>
                <w:rFonts w:ascii="仿宋" w:hAnsi="仿宋" w:eastAsia="仿宋" w:cs="仿宋"/>
                <w:bCs/>
                <w:szCs w:val="21"/>
              </w:rPr>
            </w:pPr>
            <w:r>
              <w:rPr>
                <w:rFonts w:ascii="仿宋" w:hAnsi="仿宋" w:eastAsia="仿宋" w:cs="仿宋"/>
                <w:bCs/>
                <w:szCs w:val="21"/>
              </w:rPr>
              <w:t>环境危害</w:t>
            </w:r>
          </w:p>
        </w:tc>
        <w:tc>
          <w:tcPr>
            <w:tcW w:w="2109" w:type="pct"/>
            <w:vAlign w:val="center"/>
          </w:tcPr>
          <w:p>
            <w:pPr>
              <w:spacing w:line="240" w:lineRule="exact"/>
              <w:jc w:val="center"/>
              <w:rPr>
                <w:rFonts w:ascii="仿宋" w:hAnsi="仿宋" w:eastAsia="仿宋" w:cs="仿宋"/>
                <w:bCs/>
                <w:szCs w:val="21"/>
              </w:rPr>
            </w:pPr>
            <w:r>
              <w:rPr>
                <w:rFonts w:ascii="仿宋" w:hAnsi="仿宋" w:eastAsia="仿宋" w:cs="仿宋"/>
                <w:bCs/>
                <w:szCs w:val="21"/>
              </w:rPr>
              <w:t>水体污染、土壤污染和生态污染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vMerge w:val="restart"/>
            <w:vAlign w:val="center"/>
          </w:tcPr>
          <w:p>
            <w:pPr>
              <w:spacing w:line="240" w:lineRule="exact"/>
              <w:jc w:val="center"/>
              <w:rPr>
                <w:rFonts w:ascii="仿宋" w:hAnsi="仿宋" w:eastAsia="仿宋" w:cs="仿宋"/>
                <w:bCs/>
                <w:szCs w:val="21"/>
              </w:rPr>
            </w:pPr>
            <w:r>
              <w:rPr>
                <w:rFonts w:ascii="仿宋" w:hAnsi="仿宋" w:eastAsia="仿宋" w:cs="仿宋"/>
                <w:bCs/>
                <w:szCs w:val="21"/>
              </w:rPr>
              <w:t>2</w:t>
            </w:r>
          </w:p>
        </w:tc>
        <w:tc>
          <w:tcPr>
            <w:tcW w:w="491" w:type="pct"/>
            <w:vMerge w:val="restart"/>
            <w:vAlign w:val="center"/>
          </w:tcPr>
          <w:p>
            <w:pPr>
              <w:spacing w:line="240" w:lineRule="exact"/>
              <w:jc w:val="center"/>
              <w:rPr>
                <w:rFonts w:ascii="仿宋" w:hAnsi="仿宋" w:eastAsia="仿宋" w:cs="仿宋"/>
                <w:bCs/>
                <w:szCs w:val="21"/>
              </w:rPr>
            </w:pPr>
            <w:r>
              <w:rPr>
                <w:rFonts w:ascii="仿宋" w:hAnsi="仿宋" w:eastAsia="仿宋" w:cs="仿宋"/>
                <w:bCs/>
                <w:szCs w:val="21"/>
              </w:rPr>
              <w:t>运输</w:t>
            </w:r>
          </w:p>
        </w:tc>
        <w:tc>
          <w:tcPr>
            <w:tcW w:w="1247" w:type="pct"/>
            <w:vAlign w:val="center"/>
          </w:tcPr>
          <w:p>
            <w:pPr>
              <w:spacing w:line="240" w:lineRule="exact"/>
              <w:jc w:val="center"/>
              <w:rPr>
                <w:rFonts w:ascii="仿宋" w:hAnsi="仿宋" w:eastAsia="仿宋" w:cs="仿宋"/>
                <w:bCs/>
                <w:szCs w:val="21"/>
              </w:rPr>
            </w:pPr>
            <w:r>
              <w:rPr>
                <w:rFonts w:ascii="仿宋" w:hAnsi="仿宋" w:eastAsia="仿宋" w:cs="仿宋"/>
                <w:bCs/>
                <w:szCs w:val="21"/>
              </w:rPr>
              <w:t>物品危险品法规</w:t>
            </w:r>
          </w:p>
        </w:tc>
        <w:tc>
          <w:tcPr>
            <w:tcW w:w="748" w:type="pct"/>
            <w:vAlign w:val="center"/>
          </w:tcPr>
          <w:p>
            <w:pPr>
              <w:spacing w:line="240" w:lineRule="exact"/>
              <w:jc w:val="center"/>
              <w:rPr>
                <w:rFonts w:ascii="仿宋" w:hAnsi="仿宋" w:eastAsia="仿宋" w:cs="仿宋"/>
                <w:bCs/>
                <w:szCs w:val="21"/>
              </w:rPr>
            </w:pPr>
            <w:r>
              <w:rPr>
                <w:rFonts w:ascii="仿宋" w:hAnsi="仿宋" w:eastAsia="仿宋" w:cs="仿宋"/>
                <w:bCs/>
                <w:szCs w:val="21"/>
              </w:rPr>
              <w:t>－</w:t>
            </w:r>
          </w:p>
        </w:tc>
        <w:tc>
          <w:tcPr>
            <w:tcW w:w="2109" w:type="pct"/>
            <w:vAlign w:val="center"/>
          </w:tcPr>
          <w:p>
            <w:pPr>
              <w:spacing w:line="240" w:lineRule="exact"/>
              <w:jc w:val="center"/>
              <w:rPr>
                <w:rFonts w:ascii="仿宋" w:hAnsi="仿宋" w:eastAsia="仿宋" w:cs="仿宋"/>
                <w:bCs/>
                <w:szCs w:val="21"/>
              </w:rPr>
            </w:pPr>
            <w:r>
              <w:rPr>
                <w:rFonts w:ascii="仿宋" w:hAnsi="仿宋" w:eastAsia="仿宋" w:cs="仿宋"/>
                <w:bCs/>
                <w:szCs w:val="21"/>
              </w:rPr>
              <w:t>重大风险事故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vMerge w:val="continue"/>
            <w:vAlign w:val="center"/>
          </w:tcPr>
          <w:p>
            <w:pPr>
              <w:spacing w:line="240" w:lineRule="exact"/>
              <w:jc w:val="center"/>
              <w:rPr>
                <w:rFonts w:ascii="仿宋" w:hAnsi="仿宋" w:eastAsia="仿宋" w:cs="仿宋"/>
                <w:bCs/>
                <w:szCs w:val="21"/>
              </w:rPr>
            </w:pPr>
          </w:p>
        </w:tc>
        <w:tc>
          <w:tcPr>
            <w:tcW w:w="491" w:type="pct"/>
            <w:vMerge w:val="continue"/>
            <w:vAlign w:val="center"/>
          </w:tcPr>
          <w:p>
            <w:pPr>
              <w:spacing w:line="240" w:lineRule="exact"/>
              <w:jc w:val="center"/>
              <w:rPr>
                <w:rFonts w:ascii="仿宋" w:hAnsi="仿宋" w:eastAsia="仿宋" w:cs="仿宋"/>
                <w:bCs/>
                <w:szCs w:val="21"/>
              </w:rPr>
            </w:pPr>
          </w:p>
        </w:tc>
        <w:tc>
          <w:tcPr>
            <w:tcW w:w="1247" w:type="pct"/>
            <w:vAlign w:val="center"/>
          </w:tcPr>
          <w:p>
            <w:pPr>
              <w:spacing w:line="240" w:lineRule="exact"/>
              <w:jc w:val="center"/>
              <w:rPr>
                <w:rFonts w:ascii="仿宋" w:hAnsi="仿宋" w:eastAsia="仿宋" w:cs="仿宋"/>
                <w:bCs/>
                <w:szCs w:val="21"/>
              </w:rPr>
            </w:pPr>
            <w:r>
              <w:rPr>
                <w:rFonts w:ascii="仿宋" w:hAnsi="仿宋" w:eastAsia="仿宋" w:cs="仿宋"/>
                <w:bCs/>
                <w:szCs w:val="21"/>
              </w:rPr>
              <w:t>运输包装法规</w:t>
            </w:r>
          </w:p>
        </w:tc>
        <w:tc>
          <w:tcPr>
            <w:tcW w:w="748" w:type="pct"/>
            <w:vAlign w:val="center"/>
          </w:tcPr>
          <w:p>
            <w:pPr>
              <w:spacing w:line="240" w:lineRule="exact"/>
              <w:jc w:val="center"/>
              <w:rPr>
                <w:rFonts w:ascii="仿宋" w:hAnsi="仿宋" w:eastAsia="仿宋" w:cs="仿宋"/>
                <w:bCs/>
                <w:szCs w:val="21"/>
              </w:rPr>
            </w:pPr>
            <w:r>
              <w:rPr>
                <w:rFonts w:ascii="仿宋" w:hAnsi="仿宋" w:eastAsia="仿宋" w:cs="仿宋"/>
                <w:bCs/>
                <w:szCs w:val="21"/>
              </w:rPr>
              <w:t>－</w:t>
            </w:r>
          </w:p>
        </w:tc>
        <w:tc>
          <w:tcPr>
            <w:tcW w:w="2109" w:type="pct"/>
            <w:vAlign w:val="center"/>
          </w:tcPr>
          <w:p>
            <w:pPr>
              <w:spacing w:line="240" w:lineRule="exact"/>
              <w:jc w:val="center"/>
              <w:rPr>
                <w:rFonts w:ascii="仿宋" w:hAnsi="仿宋" w:eastAsia="仿宋" w:cs="仿宋"/>
                <w:bCs/>
                <w:szCs w:val="21"/>
              </w:rPr>
            </w:pPr>
            <w:r>
              <w:rPr>
                <w:rFonts w:ascii="仿宋" w:hAnsi="仿宋" w:eastAsia="仿宋" w:cs="仿宋"/>
                <w:bCs/>
                <w:szCs w:val="21"/>
              </w:rPr>
              <w:t>重大风险事故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vMerge w:val="continue"/>
            <w:vAlign w:val="center"/>
          </w:tcPr>
          <w:p>
            <w:pPr>
              <w:spacing w:line="240" w:lineRule="exact"/>
              <w:jc w:val="center"/>
              <w:rPr>
                <w:rFonts w:ascii="仿宋" w:hAnsi="仿宋" w:eastAsia="仿宋" w:cs="仿宋"/>
                <w:bCs/>
                <w:szCs w:val="21"/>
              </w:rPr>
            </w:pPr>
          </w:p>
        </w:tc>
        <w:tc>
          <w:tcPr>
            <w:tcW w:w="491" w:type="pct"/>
            <w:vMerge w:val="continue"/>
            <w:vAlign w:val="center"/>
          </w:tcPr>
          <w:p>
            <w:pPr>
              <w:spacing w:line="240" w:lineRule="exact"/>
              <w:jc w:val="center"/>
              <w:rPr>
                <w:rFonts w:ascii="仿宋" w:hAnsi="仿宋" w:eastAsia="仿宋" w:cs="仿宋"/>
                <w:bCs/>
                <w:szCs w:val="21"/>
              </w:rPr>
            </w:pPr>
          </w:p>
        </w:tc>
        <w:tc>
          <w:tcPr>
            <w:tcW w:w="1247" w:type="pct"/>
            <w:vAlign w:val="center"/>
          </w:tcPr>
          <w:p>
            <w:pPr>
              <w:spacing w:line="240" w:lineRule="exact"/>
              <w:jc w:val="center"/>
              <w:rPr>
                <w:rFonts w:ascii="仿宋" w:hAnsi="仿宋" w:eastAsia="仿宋" w:cs="仿宋"/>
                <w:bCs/>
                <w:szCs w:val="21"/>
              </w:rPr>
            </w:pPr>
            <w:r>
              <w:rPr>
                <w:rFonts w:ascii="仿宋" w:hAnsi="仿宋" w:eastAsia="仿宋" w:cs="仿宋"/>
                <w:bCs/>
                <w:szCs w:val="21"/>
              </w:rPr>
              <w:t>运输包装标准法规</w:t>
            </w:r>
          </w:p>
        </w:tc>
        <w:tc>
          <w:tcPr>
            <w:tcW w:w="748" w:type="pct"/>
            <w:vAlign w:val="center"/>
          </w:tcPr>
          <w:p>
            <w:pPr>
              <w:spacing w:line="240" w:lineRule="exact"/>
              <w:jc w:val="center"/>
              <w:rPr>
                <w:rFonts w:ascii="仿宋" w:hAnsi="仿宋" w:eastAsia="仿宋" w:cs="仿宋"/>
                <w:bCs/>
                <w:szCs w:val="21"/>
              </w:rPr>
            </w:pPr>
            <w:r>
              <w:rPr>
                <w:rFonts w:ascii="仿宋" w:hAnsi="仿宋" w:eastAsia="仿宋" w:cs="仿宋"/>
                <w:bCs/>
                <w:szCs w:val="21"/>
              </w:rPr>
              <w:t>－</w:t>
            </w:r>
          </w:p>
        </w:tc>
        <w:tc>
          <w:tcPr>
            <w:tcW w:w="2109" w:type="pct"/>
            <w:vAlign w:val="center"/>
          </w:tcPr>
          <w:p>
            <w:pPr>
              <w:spacing w:line="240" w:lineRule="exact"/>
              <w:jc w:val="center"/>
              <w:rPr>
                <w:rFonts w:ascii="仿宋" w:hAnsi="仿宋" w:eastAsia="仿宋" w:cs="仿宋"/>
                <w:bCs/>
                <w:szCs w:val="21"/>
              </w:rPr>
            </w:pPr>
            <w:r>
              <w:rPr>
                <w:rFonts w:ascii="仿宋" w:hAnsi="仿宋" w:eastAsia="仿宋" w:cs="仿宋"/>
                <w:bCs/>
                <w:szCs w:val="21"/>
              </w:rPr>
              <w:t>重大风险事故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vMerge w:val="restart"/>
            <w:vAlign w:val="center"/>
          </w:tcPr>
          <w:p>
            <w:pPr>
              <w:spacing w:line="240" w:lineRule="exact"/>
              <w:jc w:val="center"/>
              <w:rPr>
                <w:rFonts w:ascii="仿宋" w:hAnsi="仿宋" w:eastAsia="仿宋" w:cs="仿宋"/>
                <w:bCs/>
                <w:szCs w:val="21"/>
              </w:rPr>
            </w:pPr>
            <w:r>
              <w:rPr>
                <w:rFonts w:ascii="仿宋" w:hAnsi="仿宋" w:eastAsia="仿宋" w:cs="仿宋"/>
                <w:bCs/>
                <w:szCs w:val="21"/>
              </w:rPr>
              <w:t>3</w:t>
            </w:r>
          </w:p>
        </w:tc>
        <w:tc>
          <w:tcPr>
            <w:tcW w:w="491" w:type="pct"/>
            <w:vMerge w:val="restart"/>
            <w:vAlign w:val="center"/>
          </w:tcPr>
          <w:p>
            <w:pPr>
              <w:spacing w:line="240" w:lineRule="exact"/>
              <w:jc w:val="center"/>
              <w:rPr>
                <w:rFonts w:ascii="仿宋" w:hAnsi="仿宋" w:eastAsia="仿宋" w:cs="仿宋"/>
                <w:bCs/>
                <w:szCs w:val="21"/>
              </w:rPr>
            </w:pPr>
            <w:r>
              <w:rPr>
                <w:rFonts w:ascii="仿宋" w:hAnsi="仿宋" w:eastAsia="仿宋" w:cs="仿宋"/>
                <w:bCs/>
                <w:szCs w:val="21"/>
              </w:rPr>
              <w:t>装卸</w:t>
            </w:r>
          </w:p>
        </w:tc>
        <w:tc>
          <w:tcPr>
            <w:tcW w:w="1247" w:type="pct"/>
            <w:vAlign w:val="center"/>
          </w:tcPr>
          <w:p>
            <w:pPr>
              <w:spacing w:line="240" w:lineRule="exact"/>
              <w:jc w:val="center"/>
              <w:rPr>
                <w:rFonts w:ascii="仿宋" w:hAnsi="仿宋" w:eastAsia="仿宋" w:cs="仿宋"/>
                <w:bCs/>
                <w:szCs w:val="21"/>
              </w:rPr>
            </w:pPr>
            <w:r>
              <w:rPr>
                <w:rFonts w:ascii="仿宋" w:hAnsi="仿宋" w:eastAsia="仿宋" w:cs="仿宋"/>
                <w:bCs/>
                <w:szCs w:val="21"/>
              </w:rPr>
              <w:t>爆炸品专用包装类</w:t>
            </w:r>
          </w:p>
        </w:tc>
        <w:tc>
          <w:tcPr>
            <w:tcW w:w="748" w:type="pct"/>
            <w:vAlign w:val="center"/>
          </w:tcPr>
          <w:p>
            <w:pPr>
              <w:spacing w:line="240" w:lineRule="exact"/>
              <w:jc w:val="center"/>
              <w:rPr>
                <w:rFonts w:ascii="仿宋" w:hAnsi="仿宋" w:eastAsia="仿宋" w:cs="仿宋"/>
                <w:bCs/>
                <w:szCs w:val="21"/>
              </w:rPr>
            </w:pPr>
            <w:r>
              <w:rPr>
                <w:rFonts w:ascii="仿宋" w:hAnsi="仿宋" w:eastAsia="仿宋" w:cs="仿宋"/>
                <w:bCs/>
                <w:szCs w:val="21"/>
              </w:rPr>
              <w:t>火灾</w:t>
            </w:r>
          </w:p>
        </w:tc>
        <w:tc>
          <w:tcPr>
            <w:tcW w:w="2109" w:type="pct"/>
            <w:vAlign w:val="center"/>
          </w:tcPr>
          <w:p>
            <w:pPr>
              <w:spacing w:line="240" w:lineRule="exact"/>
              <w:jc w:val="center"/>
              <w:rPr>
                <w:rFonts w:ascii="仿宋" w:hAnsi="仿宋" w:eastAsia="仿宋" w:cs="仿宋"/>
                <w:bCs/>
                <w:szCs w:val="21"/>
              </w:rPr>
            </w:pPr>
            <w:r>
              <w:rPr>
                <w:rFonts w:ascii="仿宋" w:hAnsi="仿宋" w:eastAsia="仿宋" w:cs="仿宋"/>
                <w:bCs/>
                <w:szCs w:val="21"/>
              </w:rPr>
              <w:t>反应速度快、释放热量和气体污染物、财产损失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vMerge w:val="continue"/>
            <w:vAlign w:val="center"/>
          </w:tcPr>
          <w:p>
            <w:pPr>
              <w:spacing w:line="240" w:lineRule="exact"/>
              <w:jc w:val="center"/>
              <w:rPr>
                <w:rFonts w:ascii="仿宋" w:hAnsi="仿宋" w:eastAsia="仿宋" w:cs="仿宋"/>
                <w:bCs/>
                <w:szCs w:val="21"/>
              </w:rPr>
            </w:pPr>
          </w:p>
        </w:tc>
        <w:tc>
          <w:tcPr>
            <w:tcW w:w="491" w:type="pct"/>
            <w:vMerge w:val="continue"/>
            <w:vAlign w:val="center"/>
          </w:tcPr>
          <w:p>
            <w:pPr>
              <w:spacing w:line="240" w:lineRule="exact"/>
              <w:jc w:val="center"/>
              <w:rPr>
                <w:rFonts w:ascii="仿宋" w:hAnsi="仿宋" w:eastAsia="仿宋" w:cs="仿宋"/>
                <w:bCs/>
                <w:szCs w:val="21"/>
              </w:rPr>
            </w:pPr>
          </w:p>
        </w:tc>
        <w:tc>
          <w:tcPr>
            <w:tcW w:w="1247" w:type="pct"/>
            <w:vAlign w:val="center"/>
          </w:tcPr>
          <w:p>
            <w:pPr>
              <w:spacing w:line="240" w:lineRule="exact"/>
              <w:jc w:val="center"/>
              <w:rPr>
                <w:rFonts w:ascii="仿宋" w:hAnsi="仿宋" w:eastAsia="仿宋" w:cs="仿宋"/>
                <w:bCs/>
                <w:szCs w:val="21"/>
              </w:rPr>
            </w:pPr>
            <w:r>
              <w:rPr>
                <w:rFonts w:ascii="仿宋" w:hAnsi="仿宋" w:eastAsia="仿宋" w:cs="仿宋"/>
                <w:bCs/>
                <w:szCs w:val="21"/>
              </w:rPr>
              <w:t>气瓶包装类</w:t>
            </w:r>
          </w:p>
        </w:tc>
        <w:tc>
          <w:tcPr>
            <w:tcW w:w="748" w:type="pct"/>
            <w:vAlign w:val="center"/>
          </w:tcPr>
          <w:p>
            <w:pPr>
              <w:spacing w:line="240" w:lineRule="exact"/>
              <w:jc w:val="center"/>
              <w:rPr>
                <w:rFonts w:ascii="仿宋" w:hAnsi="仿宋" w:eastAsia="仿宋" w:cs="仿宋"/>
                <w:bCs/>
                <w:szCs w:val="21"/>
              </w:rPr>
            </w:pPr>
            <w:r>
              <w:rPr>
                <w:rFonts w:ascii="仿宋" w:hAnsi="仿宋" w:eastAsia="仿宋" w:cs="仿宋"/>
                <w:bCs/>
                <w:szCs w:val="21"/>
              </w:rPr>
              <w:t>火灾</w:t>
            </w:r>
          </w:p>
        </w:tc>
        <w:tc>
          <w:tcPr>
            <w:tcW w:w="2109" w:type="pct"/>
            <w:vAlign w:val="center"/>
          </w:tcPr>
          <w:p>
            <w:pPr>
              <w:spacing w:line="240" w:lineRule="exact"/>
              <w:jc w:val="center"/>
              <w:rPr>
                <w:rFonts w:ascii="仿宋" w:hAnsi="仿宋" w:eastAsia="仿宋" w:cs="仿宋"/>
                <w:bCs/>
                <w:szCs w:val="21"/>
              </w:rPr>
            </w:pPr>
            <w:r>
              <w:rPr>
                <w:rFonts w:ascii="仿宋" w:hAnsi="仿宋" w:eastAsia="仿宋" w:cs="仿宋"/>
                <w:bCs/>
                <w:szCs w:val="21"/>
              </w:rPr>
              <w:t>反应速度快、释放热量和气体污染物、财产损失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vMerge w:val="continue"/>
            <w:vAlign w:val="center"/>
          </w:tcPr>
          <w:p>
            <w:pPr>
              <w:spacing w:line="240" w:lineRule="exact"/>
              <w:jc w:val="center"/>
              <w:rPr>
                <w:rFonts w:ascii="仿宋" w:hAnsi="仿宋" w:eastAsia="仿宋" w:cs="仿宋"/>
                <w:bCs/>
                <w:szCs w:val="21"/>
              </w:rPr>
            </w:pPr>
          </w:p>
        </w:tc>
        <w:tc>
          <w:tcPr>
            <w:tcW w:w="491" w:type="pct"/>
            <w:vMerge w:val="continue"/>
            <w:vAlign w:val="center"/>
          </w:tcPr>
          <w:p>
            <w:pPr>
              <w:spacing w:line="240" w:lineRule="exact"/>
              <w:jc w:val="center"/>
              <w:rPr>
                <w:rFonts w:ascii="仿宋" w:hAnsi="仿宋" w:eastAsia="仿宋" w:cs="仿宋"/>
                <w:bCs/>
                <w:szCs w:val="21"/>
              </w:rPr>
            </w:pPr>
          </w:p>
        </w:tc>
        <w:tc>
          <w:tcPr>
            <w:tcW w:w="1247" w:type="pct"/>
            <w:vAlign w:val="center"/>
          </w:tcPr>
          <w:p>
            <w:pPr>
              <w:pStyle w:val="406"/>
              <w:snapToGrid w:val="0"/>
              <w:spacing w:after="0" w:line="240" w:lineRule="exact"/>
              <w:ind w:left="0" w:leftChars="0" w:firstLine="0" w:firstLineChars="0"/>
              <w:jc w:val="center"/>
              <w:rPr>
                <w:rFonts w:ascii="仿宋" w:hAnsi="仿宋" w:eastAsia="仿宋" w:cs="仿宋"/>
                <w:bCs/>
                <w:sz w:val="21"/>
                <w:szCs w:val="21"/>
              </w:rPr>
            </w:pPr>
            <w:r>
              <w:rPr>
                <w:rFonts w:ascii="仿宋" w:hAnsi="仿宋" w:eastAsia="仿宋" w:cs="仿宋"/>
                <w:bCs/>
                <w:sz w:val="21"/>
                <w:szCs w:val="21"/>
              </w:rPr>
              <w:t>腐蚀性物品包装类</w:t>
            </w:r>
          </w:p>
        </w:tc>
        <w:tc>
          <w:tcPr>
            <w:tcW w:w="748" w:type="pct"/>
            <w:vAlign w:val="center"/>
          </w:tcPr>
          <w:p>
            <w:pPr>
              <w:pStyle w:val="406"/>
              <w:snapToGrid w:val="0"/>
              <w:spacing w:after="0" w:line="240" w:lineRule="exact"/>
              <w:ind w:left="0" w:leftChars="0" w:firstLine="0" w:firstLineChars="0"/>
              <w:jc w:val="center"/>
              <w:rPr>
                <w:rFonts w:ascii="仿宋" w:hAnsi="仿宋" w:eastAsia="仿宋" w:cs="仿宋"/>
                <w:bCs/>
                <w:sz w:val="21"/>
                <w:szCs w:val="21"/>
              </w:rPr>
            </w:pPr>
            <w:r>
              <w:rPr>
                <w:rFonts w:ascii="仿宋" w:hAnsi="仿宋" w:eastAsia="仿宋" w:cs="仿宋"/>
                <w:bCs/>
                <w:sz w:val="21"/>
                <w:szCs w:val="21"/>
              </w:rPr>
              <w:t>环境危害</w:t>
            </w:r>
          </w:p>
        </w:tc>
        <w:tc>
          <w:tcPr>
            <w:tcW w:w="2109" w:type="pct"/>
            <w:vAlign w:val="center"/>
          </w:tcPr>
          <w:p>
            <w:pPr>
              <w:pStyle w:val="406"/>
              <w:snapToGrid w:val="0"/>
              <w:spacing w:after="0" w:line="240" w:lineRule="exact"/>
              <w:ind w:left="0" w:leftChars="0" w:firstLine="0" w:firstLineChars="0"/>
              <w:jc w:val="center"/>
              <w:rPr>
                <w:rFonts w:ascii="仿宋" w:hAnsi="仿宋" w:eastAsia="仿宋" w:cs="仿宋"/>
                <w:bCs/>
                <w:sz w:val="21"/>
                <w:szCs w:val="21"/>
              </w:rPr>
            </w:pPr>
            <w:r>
              <w:rPr>
                <w:rFonts w:ascii="仿宋" w:hAnsi="仿宋" w:eastAsia="仿宋" w:cs="仿宋"/>
                <w:bCs/>
                <w:sz w:val="21"/>
                <w:szCs w:val="21"/>
              </w:rPr>
              <w:t>水体污染、土壤污染和生态污染</w:t>
            </w:r>
          </w:p>
        </w:tc>
      </w:tr>
    </w:tbl>
    <w:p>
      <w:pPr>
        <w:spacing w:line="500" w:lineRule="exact"/>
        <w:ind w:firstLine="560" w:firstLineChars="200"/>
        <w:rPr>
          <w:rFonts w:eastAsia="仿宋_GB2312"/>
          <w:bCs/>
          <w:sz w:val="28"/>
          <w:szCs w:val="28"/>
        </w:rPr>
      </w:pPr>
      <w:r>
        <w:rPr>
          <w:rFonts w:eastAsia="仿宋_GB2312"/>
          <w:bCs/>
          <w:sz w:val="28"/>
          <w:szCs w:val="28"/>
        </w:rPr>
        <w:t>运输防范措施：危险货物运输中，由于经受多次搬运装卸，因温度、压力的变化，重装重卸，操作不当，容器多次回收利用，强度下降，桶盖垫圈失落没有拧紧，安全阀开启，阀门变形断裂等原因，均易造成气体扩散、液体滴漏、固体散落，出现不同程度的渗漏，甚至可能引起火灾、爆炸或污染环境等事故。对这类事故的应急，按照应急就近的原则，运输操作人员首先采取相应的应急措施，进行渗漏处理，防止危险物质扩散至环境。</w:t>
      </w:r>
    </w:p>
    <w:p>
      <w:pPr>
        <w:spacing w:line="500" w:lineRule="exact"/>
        <w:ind w:firstLine="560" w:firstLineChars="200"/>
        <w:rPr>
          <w:rFonts w:eastAsia="仿宋_GB2312"/>
          <w:bCs/>
          <w:sz w:val="28"/>
          <w:szCs w:val="28"/>
        </w:rPr>
      </w:pPr>
      <w:r>
        <w:rPr>
          <w:rFonts w:eastAsia="仿宋_GB2312"/>
          <w:bCs/>
          <w:sz w:val="28"/>
          <w:szCs w:val="28"/>
        </w:rPr>
        <w:t>在运输途中，由于各种意外原因，产生汽车翻车、装船或沉船等，危险货物有可能散落、抛出至大气、水体或陆域，造成重大环境灾害，对于这类风险事故，要求采取应急措施，包括工程应急措施和社会救援应急预案。</w:t>
      </w:r>
    </w:p>
    <w:p>
      <w:pPr>
        <w:spacing w:line="500" w:lineRule="exact"/>
        <w:ind w:firstLine="560" w:firstLineChars="200"/>
        <w:rPr>
          <w:rFonts w:eastAsia="仿宋_GB2312"/>
          <w:bCs/>
          <w:sz w:val="28"/>
          <w:szCs w:val="28"/>
        </w:rPr>
      </w:pPr>
      <w:r>
        <w:rPr>
          <w:rFonts w:eastAsia="仿宋_GB2312"/>
          <w:bCs/>
          <w:sz w:val="28"/>
          <w:szCs w:val="28"/>
        </w:rPr>
        <w:t>包装过程要求包装材料与危险物相适应、包装封口与危险物相适应；包装标志执行GB190-2009《危险货物包装标志》和GB191-2008《危险货物运输图示标志》。</w:t>
      </w:r>
    </w:p>
    <w:p>
      <w:pPr>
        <w:spacing w:line="500" w:lineRule="exact"/>
        <w:ind w:firstLine="560" w:firstLineChars="200"/>
        <w:rPr>
          <w:rFonts w:eastAsia="仿宋_GB2312"/>
          <w:bCs/>
          <w:sz w:val="28"/>
          <w:szCs w:val="28"/>
        </w:rPr>
      </w:pPr>
      <w:r>
        <w:rPr>
          <w:rFonts w:eastAsia="仿宋_GB2312"/>
          <w:bCs/>
          <w:sz w:val="28"/>
          <w:szCs w:val="28"/>
        </w:rPr>
        <w:t>运输过程应执行GB12463-2009《危险货物运输包装通用技术条件》和各种运输方式的《危险货物运输规则》。</w:t>
      </w:r>
    </w:p>
    <w:p>
      <w:pPr>
        <w:spacing w:line="500" w:lineRule="exact"/>
        <w:ind w:firstLine="560" w:firstLineChars="200"/>
        <w:rPr>
          <w:rFonts w:eastAsia="仿宋_GB2312"/>
          <w:bCs/>
          <w:sz w:val="28"/>
          <w:szCs w:val="28"/>
        </w:rPr>
      </w:pPr>
      <w:r>
        <w:rPr>
          <w:rFonts w:eastAsia="仿宋_GB2312"/>
          <w:bCs/>
          <w:sz w:val="28"/>
          <w:szCs w:val="28"/>
        </w:rPr>
        <w:t>装卸过程要求防震、防撞、防倾斜；断火源、禁火种；通风和降温。</w:t>
      </w:r>
    </w:p>
    <w:p>
      <w:pPr>
        <w:spacing w:line="500" w:lineRule="exact"/>
        <w:ind w:firstLine="560" w:firstLineChars="200"/>
      </w:pPr>
      <w:r>
        <w:rPr>
          <w:rFonts w:eastAsia="仿宋_GB2312"/>
          <w:bCs/>
          <w:sz w:val="28"/>
          <w:szCs w:val="28"/>
        </w:rPr>
        <w:t>危废暂存场所内部需增设视频监控设施以及各类消防应急设施；按危险固废的管理规定进行建档、转移登记。固体废物清运过程中，应严格按规范操作，严禁跑、冒、滴、漏，一旦发生泄漏，及时清理，妥善包装后送至指定的固废存放点。</w:t>
      </w:r>
    </w:p>
    <w:p>
      <w:pPr>
        <w:pStyle w:val="5"/>
        <w:keepLines w:val="0"/>
        <w:widowControl/>
        <w:numPr>
          <w:ilvl w:val="3"/>
          <w:numId w:val="1"/>
        </w:numPr>
        <w:adjustRightInd w:val="0"/>
        <w:snapToGrid w:val="0"/>
        <w:spacing w:after="120" w:afterLines="50"/>
        <w:ind w:left="0" w:firstLine="0"/>
        <w:jc w:val="left"/>
        <w:rPr>
          <w:rFonts w:ascii="Times New Roman" w:hAnsi="Times New Roman"/>
          <w:b/>
        </w:rPr>
      </w:pPr>
      <w:r>
        <w:rPr>
          <w:rFonts w:ascii="Times New Roman" w:hAnsi="Times New Roman"/>
          <w:b/>
        </w:rPr>
        <w:t xml:space="preserve">危险废物泄漏事故的防范措施 </w:t>
      </w:r>
    </w:p>
    <w:p>
      <w:pPr>
        <w:spacing w:line="500" w:lineRule="exact"/>
        <w:ind w:firstLine="560" w:firstLineChars="200"/>
        <w:rPr>
          <w:rFonts w:eastAsia="仿宋_GB2312"/>
          <w:bCs/>
          <w:sz w:val="28"/>
          <w:szCs w:val="28"/>
        </w:rPr>
      </w:pPr>
      <w:r>
        <w:rPr>
          <w:rFonts w:eastAsia="仿宋_GB2312"/>
          <w:bCs/>
          <w:sz w:val="28"/>
          <w:szCs w:val="28"/>
        </w:rPr>
        <w:t>本</w:t>
      </w:r>
      <w:r>
        <w:rPr>
          <w:rFonts w:hint="eastAsia" w:eastAsia="仿宋_GB2312"/>
          <w:bCs/>
          <w:sz w:val="28"/>
          <w:szCs w:val="28"/>
        </w:rPr>
        <w:t>项目</w:t>
      </w:r>
      <w:r>
        <w:rPr>
          <w:rFonts w:eastAsia="仿宋_GB2312"/>
          <w:bCs/>
          <w:sz w:val="28"/>
          <w:szCs w:val="28"/>
        </w:rPr>
        <w:t>危险废物泄漏事故的预防是储运过程中最重要的环节，发生泄漏事故可能引起火灾和爆炸等一系列重大事故。经验表明：设备失灵和人为的操作失误是引发溢出的主要原因。因此选用较好的设备、精心设计、认真的管理和操作人员的责任心是减少溢出泄漏事故的关键。</w:t>
      </w:r>
    </w:p>
    <w:p>
      <w:pPr>
        <w:spacing w:line="500" w:lineRule="exact"/>
        <w:ind w:firstLine="560" w:firstLineChars="200"/>
        <w:rPr>
          <w:rFonts w:eastAsia="仿宋_GB2312"/>
          <w:bCs/>
          <w:sz w:val="28"/>
          <w:szCs w:val="28"/>
        </w:rPr>
      </w:pPr>
      <w:r>
        <w:rPr>
          <w:rFonts w:hint="eastAsia" w:eastAsia="仿宋_GB2312"/>
          <w:bCs/>
          <w:sz w:val="28"/>
          <w:szCs w:val="28"/>
        </w:rPr>
        <w:t>危废仓库</w:t>
      </w:r>
      <w:r>
        <w:rPr>
          <w:rFonts w:eastAsia="仿宋_GB2312"/>
          <w:bCs/>
          <w:sz w:val="28"/>
          <w:szCs w:val="28"/>
        </w:rPr>
        <w:t>设置围堰，并设有导流槽导流进入</w:t>
      </w:r>
      <w:r>
        <w:rPr>
          <w:rFonts w:hint="eastAsia" w:eastAsia="仿宋_GB2312"/>
          <w:bCs/>
          <w:sz w:val="28"/>
          <w:szCs w:val="28"/>
        </w:rPr>
        <w:t>收集坑</w:t>
      </w:r>
      <w:r>
        <w:rPr>
          <w:rFonts w:eastAsia="仿宋_GB2312"/>
          <w:bCs/>
          <w:sz w:val="28"/>
          <w:szCs w:val="28"/>
        </w:rPr>
        <w:t>，以便发生泄漏事故时做好收集的作用。围堰容积均满足至少一个</w:t>
      </w:r>
      <w:r>
        <w:rPr>
          <w:rFonts w:hint="eastAsia" w:eastAsia="仿宋_GB2312"/>
          <w:bCs/>
          <w:sz w:val="28"/>
          <w:szCs w:val="28"/>
        </w:rPr>
        <w:t>原料桶</w:t>
      </w:r>
      <w:r>
        <w:rPr>
          <w:rFonts w:eastAsia="仿宋_GB2312"/>
          <w:bCs/>
          <w:sz w:val="28"/>
          <w:szCs w:val="28"/>
        </w:rPr>
        <w:t>的泄漏量。</w:t>
      </w:r>
    </w:p>
    <w:p>
      <w:pPr>
        <w:spacing w:line="500" w:lineRule="exact"/>
        <w:ind w:firstLine="560" w:firstLineChars="200"/>
        <w:rPr>
          <w:rFonts w:eastAsia="仿宋_GB2312"/>
          <w:bCs/>
          <w:sz w:val="28"/>
          <w:szCs w:val="28"/>
        </w:rPr>
      </w:pPr>
      <w:r>
        <w:rPr>
          <w:rFonts w:eastAsia="仿宋_GB2312"/>
          <w:bCs/>
          <w:sz w:val="28"/>
          <w:szCs w:val="28"/>
        </w:rPr>
        <w:t>固废堆场做好“三防”措施，并设置渗滤液导流槽。</w:t>
      </w:r>
    </w:p>
    <w:p>
      <w:pPr>
        <w:pStyle w:val="5"/>
        <w:keepLines w:val="0"/>
        <w:widowControl/>
        <w:numPr>
          <w:ilvl w:val="3"/>
          <w:numId w:val="1"/>
        </w:numPr>
        <w:adjustRightInd w:val="0"/>
        <w:snapToGrid w:val="0"/>
        <w:spacing w:after="120" w:afterLines="50"/>
        <w:ind w:left="0" w:firstLine="0"/>
        <w:jc w:val="left"/>
        <w:rPr>
          <w:rFonts w:ascii="Times New Roman" w:hAnsi="Times New Roman"/>
          <w:b/>
        </w:rPr>
      </w:pPr>
      <w:r>
        <w:rPr>
          <w:rFonts w:ascii="Times New Roman" w:hAnsi="Times New Roman"/>
          <w:b/>
        </w:rPr>
        <w:t>废气处理系统的防范措施</w:t>
      </w:r>
    </w:p>
    <w:p>
      <w:pPr>
        <w:spacing w:line="500" w:lineRule="exact"/>
        <w:ind w:firstLine="560" w:firstLineChars="200"/>
        <w:rPr>
          <w:rFonts w:eastAsia="仿宋_GB2312"/>
          <w:bCs/>
          <w:sz w:val="28"/>
          <w:szCs w:val="28"/>
        </w:rPr>
      </w:pPr>
      <w:r>
        <w:rPr>
          <w:rFonts w:hint="eastAsia" w:eastAsia="仿宋_GB2312"/>
          <w:bCs/>
          <w:sz w:val="28"/>
          <w:szCs w:val="28"/>
        </w:rPr>
        <w:t>⑴由专人负责日常环境管理工作，制订“环保管理人员职责”和“环境污染防治措施”制度，加强废气治理设施的监督和管理。</w:t>
      </w:r>
    </w:p>
    <w:p>
      <w:pPr>
        <w:spacing w:line="500" w:lineRule="exact"/>
        <w:ind w:firstLine="560" w:firstLineChars="200"/>
        <w:rPr>
          <w:rFonts w:eastAsia="仿宋_GB2312"/>
          <w:bCs/>
          <w:sz w:val="28"/>
          <w:szCs w:val="28"/>
        </w:rPr>
      </w:pPr>
      <w:r>
        <w:rPr>
          <w:rFonts w:hint="eastAsia" w:eastAsia="仿宋_GB2312"/>
          <w:bCs/>
          <w:sz w:val="28"/>
          <w:szCs w:val="28"/>
        </w:rPr>
        <w:t>⑵加强废气处理设施及设备的定期检修和维护工作，发现事故隐患，及时解决。</w:t>
      </w:r>
    </w:p>
    <w:p>
      <w:pPr>
        <w:spacing w:line="500" w:lineRule="exact"/>
        <w:ind w:firstLine="560" w:firstLineChars="200"/>
        <w:rPr>
          <w:rFonts w:eastAsia="仿宋_GB2312"/>
          <w:bCs/>
          <w:sz w:val="28"/>
          <w:szCs w:val="28"/>
        </w:rPr>
      </w:pPr>
      <w:r>
        <w:rPr>
          <w:rFonts w:hint="eastAsia" w:eastAsia="仿宋_GB2312"/>
          <w:bCs/>
          <w:sz w:val="28"/>
          <w:szCs w:val="28"/>
        </w:rPr>
        <w:t>⑶主要的生产设备要有备用件。例如风机、空压机等动力设备均应当做到一用一备。</w:t>
      </w:r>
    </w:p>
    <w:p>
      <w:pPr>
        <w:spacing w:line="500" w:lineRule="exact"/>
        <w:ind w:firstLine="560" w:firstLineChars="200"/>
        <w:rPr>
          <w:rFonts w:eastAsia="仿宋_GB2312"/>
          <w:bCs/>
          <w:sz w:val="28"/>
          <w:szCs w:val="28"/>
        </w:rPr>
      </w:pPr>
      <w:r>
        <w:rPr>
          <w:rFonts w:hint="eastAsia" w:eastAsia="仿宋_GB2312"/>
          <w:bCs/>
          <w:sz w:val="28"/>
          <w:szCs w:val="28"/>
        </w:rPr>
        <w:t>⑷引进技术先进、处理效果好的废气治理设备和设施，保证污染物达标排放。</w:t>
      </w:r>
    </w:p>
    <w:p>
      <w:pPr>
        <w:spacing w:line="500" w:lineRule="exact"/>
        <w:ind w:firstLine="560" w:firstLineChars="200"/>
        <w:rPr>
          <w:rFonts w:eastAsia="仿宋_GB2312"/>
          <w:sz w:val="28"/>
          <w:szCs w:val="28"/>
        </w:rPr>
      </w:pPr>
      <w:r>
        <w:rPr>
          <w:rFonts w:eastAsia="仿宋_GB2312"/>
          <w:sz w:val="28"/>
          <w:szCs w:val="28"/>
        </w:rPr>
        <w:t>由于</w:t>
      </w:r>
      <w:r>
        <w:rPr>
          <w:rFonts w:hint="eastAsia" w:eastAsia="仿宋_GB2312"/>
          <w:sz w:val="28"/>
          <w:szCs w:val="28"/>
        </w:rPr>
        <w:t>本项目RTO</w:t>
      </w:r>
      <w:r>
        <w:rPr>
          <w:rFonts w:eastAsia="仿宋_GB2312"/>
          <w:sz w:val="28"/>
          <w:szCs w:val="28"/>
        </w:rPr>
        <w:t>装置处理的是易燃易爆气体，本设计采取以下安全措施，确保系统安全运行：</w:t>
      </w:r>
    </w:p>
    <w:p>
      <w:pPr>
        <w:spacing w:line="500" w:lineRule="exact"/>
        <w:ind w:firstLine="560" w:firstLineChars="200"/>
        <w:rPr>
          <w:rFonts w:eastAsia="仿宋_GB2312"/>
          <w:sz w:val="28"/>
          <w:szCs w:val="28"/>
        </w:rPr>
      </w:pPr>
      <w:r>
        <w:rPr>
          <w:rFonts w:hint="eastAsia" w:eastAsia="仿宋_GB2312"/>
          <w:sz w:val="28"/>
          <w:szCs w:val="28"/>
        </w:rPr>
        <w:t>1、设备安全措施</w:t>
      </w:r>
    </w:p>
    <w:p>
      <w:pPr>
        <w:spacing w:line="500" w:lineRule="exact"/>
        <w:ind w:firstLine="560" w:firstLineChars="200"/>
        <w:rPr>
          <w:rFonts w:eastAsia="仿宋_GB2312"/>
          <w:sz w:val="28"/>
          <w:szCs w:val="28"/>
        </w:rPr>
      </w:pPr>
      <w:r>
        <w:rPr>
          <w:rFonts w:eastAsia="仿宋_GB2312"/>
          <w:sz w:val="28"/>
          <w:szCs w:val="28"/>
        </w:rPr>
        <w:fldChar w:fldCharType="begin"/>
      </w:r>
      <w:r>
        <w:rPr>
          <w:rFonts w:eastAsia="仿宋_GB2312"/>
          <w:sz w:val="28"/>
          <w:szCs w:val="28"/>
        </w:rPr>
        <w:instrText xml:space="preserve"> </w:instrText>
      </w:r>
      <w:r>
        <w:rPr>
          <w:rFonts w:hint="eastAsia" w:eastAsia="仿宋_GB2312"/>
          <w:sz w:val="28"/>
          <w:szCs w:val="28"/>
        </w:rPr>
        <w:instrText xml:space="preserve">= 1 \* GB3</w:instrText>
      </w:r>
      <w:r>
        <w:rPr>
          <w:rFonts w:eastAsia="仿宋_GB2312"/>
          <w:sz w:val="28"/>
          <w:szCs w:val="28"/>
        </w:rPr>
        <w:instrText xml:space="preserve"> </w:instrText>
      </w:r>
      <w:r>
        <w:rPr>
          <w:rFonts w:eastAsia="仿宋_GB2312"/>
          <w:sz w:val="28"/>
          <w:szCs w:val="28"/>
        </w:rPr>
        <w:fldChar w:fldCharType="separate"/>
      </w:r>
      <w:r>
        <w:rPr>
          <w:rFonts w:hint="eastAsia" w:eastAsia="仿宋_GB2312"/>
          <w:sz w:val="28"/>
          <w:szCs w:val="28"/>
        </w:rPr>
        <w:t>①</w:t>
      </w:r>
      <w:r>
        <w:rPr>
          <w:rFonts w:eastAsia="仿宋_GB2312"/>
          <w:sz w:val="28"/>
          <w:szCs w:val="28"/>
        </w:rPr>
        <w:fldChar w:fldCharType="end"/>
      </w:r>
      <w:r>
        <w:rPr>
          <w:rFonts w:eastAsia="仿宋_GB2312"/>
          <w:sz w:val="28"/>
          <w:szCs w:val="28"/>
        </w:rPr>
        <w:t>在设备的进口设置了阻火除尘装置，将生产线和处理设备之间的任何危险断开，同时处理废气源中的灰尘，保证废气的洁净度。</w:t>
      </w:r>
    </w:p>
    <w:p>
      <w:pPr>
        <w:spacing w:line="500" w:lineRule="exact"/>
        <w:ind w:firstLine="560" w:firstLineChars="200"/>
        <w:rPr>
          <w:rFonts w:eastAsia="仿宋_GB2312"/>
          <w:sz w:val="28"/>
          <w:szCs w:val="28"/>
        </w:rPr>
      </w:pPr>
      <w:r>
        <w:rPr>
          <w:rFonts w:eastAsia="仿宋_GB2312"/>
          <w:sz w:val="28"/>
          <w:szCs w:val="28"/>
        </w:rPr>
        <w:fldChar w:fldCharType="begin"/>
      </w:r>
      <w:r>
        <w:rPr>
          <w:rFonts w:eastAsia="仿宋_GB2312"/>
          <w:sz w:val="28"/>
          <w:szCs w:val="28"/>
        </w:rPr>
        <w:instrText xml:space="preserve"> </w:instrText>
      </w:r>
      <w:r>
        <w:rPr>
          <w:rFonts w:hint="eastAsia" w:eastAsia="仿宋_GB2312"/>
          <w:sz w:val="28"/>
          <w:szCs w:val="28"/>
        </w:rPr>
        <w:instrText xml:space="preserve">= 2 \* GB3</w:instrText>
      </w:r>
      <w:r>
        <w:rPr>
          <w:rFonts w:eastAsia="仿宋_GB2312"/>
          <w:sz w:val="28"/>
          <w:szCs w:val="28"/>
        </w:rPr>
        <w:instrText xml:space="preserve"> </w:instrText>
      </w:r>
      <w:r>
        <w:rPr>
          <w:rFonts w:eastAsia="仿宋_GB2312"/>
          <w:sz w:val="28"/>
          <w:szCs w:val="28"/>
        </w:rPr>
        <w:fldChar w:fldCharType="separate"/>
      </w:r>
      <w:r>
        <w:rPr>
          <w:rFonts w:hint="eastAsia" w:eastAsia="仿宋_GB2312"/>
          <w:sz w:val="28"/>
          <w:szCs w:val="28"/>
        </w:rPr>
        <w:t>②</w:t>
      </w:r>
      <w:r>
        <w:rPr>
          <w:rFonts w:eastAsia="仿宋_GB2312"/>
          <w:sz w:val="28"/>
          <w:szCs w:val="28"/>
        </w:rPr>
        <w:fldChar w:fldCharType="end"/>
      </w:r>
      <w:r>
        <w:rPr>
          <w:rFonts w:eastAsia="仿宋_GB2312"/>
          <w:sz w:val="28"/>
          <w:szCs w:val="28"/>
        </w:rPr>
        <w:t>在反应室内设置了泄压口，当设备内部的压力＞30Kpa时，自动泄压，使设备始终在安全状态下运行。</w:t>
      </w:r>
    </w:p>
    <w:p>
      <w:pPr>
        <w:spacing w:line="500" w:lineRule="exact"/>
        <w:ind w:firstLine="560" w:firstLineChars="200"/>
        <w:rPr>
          <w:rFonts w:eastAsia="仿宋_GB2312"/>
          <w:sz w:val="28"/>
          <w:szCs w:val="28"/>
        </w:rPr>
      </w:pPr>
      <w:r>
        <w:rPr>
          <w:rFonts w:eastAsia="仿宋_GB2312"/>
          <w:sz w:val="28"/>
          <w:szCs w:val="28"/>
        </w:rPr>
        <w:fldChar w:fldCharType="begin"/>
      </w:r>
      <w:r>
        <w:rPr>
          <w:rFonts w:eastAsia="仿宋_GB2312"/>
          <w:sz w:val="28"/>
          <w:szCs w:val="28"/>
        </w:rPr>
        <w:instrText xml:space="preserve"> </w:instrText>
      </w:r>
      <w:r>
        <w:rPr>
          <w:rFonts w:hint="eastAsia" w:eastAsia="仿宋_GB2312"/>
          <w:sz w:val="28"/>
          <w:szCs w:val="28"/>
        </w:rPr>
        <w:instrText xml:space="preserve">= 3 \* GB3</w:instrText>
      </w:r>
      <w:r>
        <w:rPr>
          <w:rFonts w:eastAsia="仿宋_GB2312"/>
          <w:sz w:val="28"/>
          <w:szCs w:val="28"/>
        </w:rPr>
        <w:instrText xml:space="preserve"> </w:instrText>
      </w:r>
      <w:r>
        <w:rPr>
          <w:rFonts w:eastAsia="仿宋_GB2312"/>
          <w:sz w:val="28"/>
          <w:szCs w:val="28"/>
        </w:rPr>
        <w:fldChar w:fldCharType="separate"/>
      </w:r>
      <w:r>
        <w:rPr>
          <w:rFonts w:hint="eastAsia" w:eastAsia="仿宋_GB2312"/>
          <w:sz w:val="28"/>
          <w:szCs w:val="28"/>
        </w:rPr>
        <w:t>③</w:t>
      </w:r>
      <w:r>
        <w:rPr>
          <w:rFonts w:eastAsia="仿宋_GB2312"/>
          <w:sz w:val="28"/>
          <w:szCs w:val="28"/>
        </w:rPr>
        <w:fldChar w:fldCharType="end"/>
      </w:r>
      <w:r>
        <w:rPr>
          <w:rFonts w:eastAsia="仿宋_GB2312"/>
          <w:sz w:val="28"/>
          <w:szCs w:val="28"/>
        </w:rPr>
        <w:t>设备进口处设置电动补新风阀门及风机，当废气浓度过高时，自动将废气稀释才能保证处理设备在安全状态下运行。</w:t>
      </w:r>
    </w:p>
    <w:p>
      <w:pPr>
        <w:spacing w:line="500" w:lineRule="exact"/>
        <w:ind w:firstLine="560" w:firstLineChars="200"/>
        <w:rPr>
          <w:rFonts w:eastAsia="仿宋_GB2312"/>
          <w:sz w:val="28"/>
          <w:szCs w:val="28"/>
        </w:rPr>
      </w:pPr>
      <w:r>
        <w:rPr>
          <w:rFonts w:eastAsia="仿宋_GB2312"/>
          <w:sz w:val="28"/>
          <w:szCs w:val="28"/>
        </w:rPr>
        <w:fldChar w:fldCharType="begin"/>
      </w:r>
      <w:r>
        <w:rPr>
          <w:rFonts w:eastAsia="仿宋_GB2312"/>
          <w:sz w:val="28"/>
          <w:szCs w:val="28"/>
        </w:rPr>
        <w:instrText xml:space="preserve"> </w:instrText>
      </w:r>
      <w:r>
        <w:rPr>
          <w:rFonts w:hint="eastAsia" w:eastAsia="仿宋_GB2312"/>
          <w:sz w:val="28"/>
          <w:szCs w:val="28"/>
        </w:rPr>
        <w:instrText xml:space="preserve">= 4 \* GB3</w:instrText>
      </w:r>
      <w:r>
        <w:rPr>
          <w:rFonts w:eastAsia="仿宋_GB2312"/>
          <w:sz w:val="28"/>
          <w:szCs w:val="28"/>
        </w:rPr>
        <w:instrText xml:space="preserve"> </w:instrText>
      </w:r>
      <w:r>
        <w:rPr>
          <w:rFonts w:eastAsia="仿宋_GB2312"/>
          <w:sz w:val="28"/>
          <w:szCs w:val="28"/>
        </w:rPr>
        <w:fldChar w:fldCharType="separate"/>
      </w:r>
      <w:r>
        <w:rPr>
          <w:rFonts w:hint="eastAsia" w:eastAsia="仿宋_GB2312"/>
          <w:sz w:val="28"/>
          <w:szCs w:val="28"/>
        </w:rPr>
        <w:t>④</w:t>
      </w:r>
      <w:r>
        <w:rPr>
          <w:rFonts w:eastAsia="仿宋_GB2312"/>
          <w:sz w:val="28"/>
          <w:szCs w:val="28"/>
        </w:rPr>
        <w:fldChar w:fldCharType="end"/>
      </w:r>
      <w:r>
        <w:rPr>
          <w:rFonts w:eastAsia="仿宋_GB2312"/>
          <w:sz w:val="28"/>
          <w:szCs w:val="28"/>
        </w:rPr>
        <w:t>整个系统为负压工作方式，废气不存在外溢现象。</w:t>
      </w:r>
    </w:p>
    <w:p>
      <w:pPr>
        <w:spacing w:line="500" w:lineRule="exact"/>
        <w:ind w:firstLine="560" w:firstLineChars="200"/>
        <w:rPr>
          <w:rFonts w:eastAsia="仿宋_GB2312"/>
          <w:sz w:val="28"/>
          <w:szCs w:val="28"/>
        </w:rPr>
      </w:pPr>
      <w:r>
        <w:rPr>
          <w:rFonts w:eastAsia="仿宋_GB2312"/>
          <w:sz w:val="28"/>
          <w:szCs w:val="28"/>
        </w:rPr>
        <w:fldChar w:fldCharType="begin"/>
      </w:r>
      <w:r>
        <w:rPr>
          <w:rFonts w:eastAsia="仿宋_GB2312"/>
          <w:sz w:val="28"/>
          <w:szCs w:val="28"/>
        </w:rPr>
        <w:instrText xml:space="preserve"> </w:instrText>
      </w:r>
      <w:r>
        <w:rPr>
          <w:rFonts w:hint="eastAsia" w:eastAsia="仿宋_GB2312"/>
          <w:sz w:val="28"/>
          <w:szCs w:val="28"/>
        </w:rPr>
        <w:instrText xml:space="preserve">= 5 \* GB3</w:instrText>
      </w:r>
      <w:r>
        <w:rPr>
          <w:rFonts w:eastAsia="仿宋_GB2312"/>
          <w:sz w:val="28"/>
          <w:szCs w:val="28"/>
        </w:rPr>
        <w:instrText xml:space="preserve"> </w:instrText>
      </w:r>
      <w:r>
        <w:rPr>
          <w:rFonts w:eastAsia="仿宋_GB2312"/>
          <w:sz w:val="28"/>
          <w:szCs w:val="28"/>
        </w:rPr>
        <w:fldChar w:fldCharType="separate"/>
      </w:r>
      <w:r>
        <w:rPr>
          <w:rFonts w:hint="eastAsia" w:eastAsia="仿宋_GB2312"/>
          <w:sz w:val="28"/>
          <w:szCs w:val="28"/>
        </w:rPr>
        <w:t>⑤</w:t>
      </w:r>
      <w:r>
        <w:rPr>
          <w:rFonts w:eastAsia="仿宋_GB2312"/>
          <w:sz w:val="28"/>
          <w:szCs w:val="28"/>
        </w:rPr>
        <w:fldChar w:fldCharType="end"/>
      </w:r>
      <w:r>
        <w:rPr>
          <w:rFonts w:eastAsia="仿宋_GB2312"/>
          <w:sz w:val="28"/>
          <w:szCs w:val="28"/>
        </w:rPr>
        <w:t>设备外表面用绝缘保温材料进行保温，使表面的温度不超过室温15</w:t>
      </w:r>
      <w:r>
        <w:rPr>
          <w:rFonts w:hint="eastAsia" w:ascii="宋体" w:hAnsi="宋体" w:cs="宋体"/>
          <w:sz w:val="28"/>
          <w:szCs w:val="28"/>
        </w:rPr>
        <w:t>℃</w:t>
      </w:r>
      <w:r>
        <w:rPr>
          <w:rFonts w:eastAsia="仿宋_GB2312"/>
          <w:sz w:val="28"/>
          <w:szCs w:val="28"/>
        </w:rPr>
        <w:t>以上，整个设备的绝缘电阻小于2MΩ。</w:t>
      </w:r>
    </w:p>
    <w:p>
      <w:pPr>
        <w:spacing w:line="500" w:lineRule="exact"/>
        <w:ind w:firstLine="560" w:firstLineChars="200"/>
        <w:rPr>
          <w:rFonts w:eastAsia="仿宋_GB2312"/>
          <w:sz w:val="28"/>
          <w:szCs w:val="28"/>
        </w:rPr>
      </w:pPr>
      <w:r>
        <w:rPr>
          <w:rFonts w:hint="eastAsia" w:eastAsia="仿宋_GB2312"/>
          <w:sz w:val="28"/>
          <w:szCs w:val="28"/>
        </w:rPr>
        <w:t>2、安全运行要求</w:t>
      </w:r>
    </w:p>
    <w:p>
      <w:pPr>
        <w:spacing w:line="500" w:lineRule="exact"/>
        <w:ind w:firstLine="560" w:firstLineChars="200"/>
        <w:rPr>
          <w:rFonts w:eastAsia="仿宋_GB2312"/>
          <w:sz w:val="28"/>
          <w:szCs w:val="28"/>
        </w:rPr>
      </w:pPr>
      <w:r>
        <w:rPr>
          <w:rFonts w:eastAsia="仿宋_GB2312"/>
          <w:sz w:val="28"/>
          <w:szCs w:val="28"/>
        </w:rPr>
        <w:fldChar w:fldCharType="begin"/>
      </w:r>
      <w:r>
        <w:rPr>
          <w:rFonts w:eastAsia="仿宋_GB2312"/>
          <w:sz w:val="28"/>
          <w:szCs w:val="28"/>
        </w:rPr>
        <w:instrText xml:space="preserve"> </w:instrText>
      </w:r>
      <w:r>
        <w:rPr>
          <w:rFonts w:hint="eastAsia" w:eastAsia="仿宋_GB2312"/>
          <w:sz w:val="28"/>
          <w:szCs w:val="28"/>
        </w:rPr>
        <w:instrText xml:space="preserve">= 1 \* GB3</w:instrText>
      </w:r>
      <w:r>
        <w:rPr>
          <w:rFonts w:eastAsia="仿宋_GB2312"/>
          <w:sz w:val="28"/>
          <w:szCs w:val="28"/>
        </w:rPr>
        <w:instrText xml:space="preserve"> </w:instrText>
      </w:r>
      <w:r>
        <w:rPr>
          <w:rFonts w:eastAsia="仿宋_GB2312"/>
          <w:sz w:val="28"/>
          <w:szCs w:val="28"/>
        </w:rPr>
        <w:fldChar w:fldCharType="separate"/>
      </w:r>
      <w:r>
        <w:rPr>
          <w:rFonts w:hint="eastAsia" w:eastAsia="仿宋_GB2312"/>
          <w:sz w:val="28"/>
          <w:szCs w:val="28"/>
        </w:rPr>
        <w:t>①</w:t>
      </w:r>
      <w:r>
        <w:rPr>
          <w:rFonts w:eastAsia="仿宋_GB2312"/>
          <w:sz w:val="28"/>
          <w:szCs w:val="28"/>
        </w:rPr>
        <w:fldChar w:fldCharType="end"/>
      </w:r>
      <w:r>
        <w:rPr>
          <w:rFonts w:hint="eastAsia" w:eastAsia="仿宋_GB2312"/>
          <w:sz w:val="28"/>
          <w:szCs w:val="28"/>
        </w:rPr>
        <w:t>RTO炉系统投运前，应对管理和运行人员进行培训，掌握治理设备、附属设备的操作和应急处理措施。培训内容包括:基本原理和工艺流程;RTO炉系统进气品种及危险特性防护措施;安全操作技术规程、岗位操作法、岗位作业指导书:事故应急预案和现场应急处置方案:设备运行故障的发现、检查和排除;RTO炉系统安全运行相关管理制度。</w:t>
      </w:r>
    </w:p>
    <w:p>
      <w:pPr>
        <w:spacing w:line="500" w:lineRule="exact"/>
        <w:ind w:firstLine="560" w:firstLineChars="200"/>
        <w:rPr>
          <w:rFonts w:eastAsia="仿宋_GB2312"/>
          <w:sz w:val="28"/>
          <w:szCs w:val="28"/>
        </w:rPr>
      </w:pPr>
      <w:r>
        <w:rPr>
          <w:rFonts w:eastAsia="仿宋_GB2312"/>
          <w:sz w:val="28"/>
          <w:szCs w:val="28"/>
        </w:rPr>
        <w:fldChar w:fldCharType="begin"/>
      </w:r>
      <w:r>
        <w:rPr>
          <w:rFonts w:eastAsia="仿宋_GB2312"/>
          <w:sz w:val="28"/>
          <w:szCs w:val="28"/>
        </w:rPr>
        <w:instrText xml:space="preserve"> </w:instrText>
      </w:r>
      <w:r>
        <w:rPr>
          <w:rFonts w:hint="eastAsia" w:eastAsia="仿宋_GB2312"/>
          <w:sz w:val="28"/>
          <w:szCs w:val="28"/>
        </w:rPr>
        <w:instrText xml:space="preserve">= 2 \* GB3</w:instrText>
      </w:r>
      <w:r>
        <w:rPr>
          <w:rFonts w:eastAsia="仿宋_GB2312"/>
          <w:sz w:val="28"/>
          <w:szCs w:val="28"/>
        </w:rPr>
        <w:instrText xml:space="preserve"> </w:instrText>
      </w:r>
      <w:r>
        <w:rPr>
          <w:rFonts w:eastAsia="仿宋_GB2312"/>
          <w:sz w:val="28"/>
          <w:szCs w:val="28"/>
        </w:rPr>
        <w:fldChar w:fldCharType="separate"/>
      </w:r>
      <w:r>
        <w:rPr>
          <w:rFonts w:hint="eastAsia" w:eastAsia="仿宋_GB2312"/>
          <w:sz w:val="28"/>
          <w:szCs w:val="28"/>
        </w:rPr>
        <w:t>②</w:t>
      </w:r>
      <w:r>
        <w:rPr>
          <w:rFonts w:eastAsia="仿宋_GB2312"/>
          <w:sz w:val="28"/>
          <w:szCs w:val="28"/>
        </w:rPr>
        <w:fldChar w:fldCharType="end"/>
      </w:r>
      <w:r>
        <w:rPr>
          <w:rFonts w:hint="eastAsia" w:eastAsia="仿宋_GB2312"/>
          <w:sz w:val="28"/>
          <w:szCs w:val="28"/>
        </w:rPr>
        <w:t>RTO炉系统投运前，应进行安全条件确认，重点做好各相关仪器仪表、联锁系统、紧急停车系统的校验、校准，确保安全设施、职业卫生设施、消防设施齐全、完好、备用。</w:t>
      </w:r>
    </w:p>
    <w:p>
      <w:pPr>
        <w:spacing w:line="500" w:lineRule="exact"/>
        <w:ind w:firstLine="560" w:firstLineChars="200"/>
        <w:rPr>
          <w:rFonts w:eastAsia="仿宋_GB2312"/>
          <w:sz w:val="28"/>
          <w:szCs w:val="28"/>
        </w:rPr>
      </w:pPr>
      <w:r>
        <w:rPr>
          <w:rFonts w:eastAsia="仿宋_GB2312"/>
          <w:sz w:val="28"/>
          <w:szCs w:val="28"/>
        </w:rPr>
        <w:fldChar w:fldCharType="begin"/>
      </w:r>
      <w:r>
        <w:rPr>
          <w:rFonts w:eastAsia="仿宋_GB2312"/>
          <w:sz w:val="28"/>
          <w:szCs w:val="28"/>
        </w:rPr>
        <w:instrText xml:space="preserve"> </w:instrText>
      </w:r>
      <w:r>
        <w:rPr>
          <w:rFonts w:hint="eastAsia" w:eastAsia="仿宋_GB2312"/>
          <w:sz w:val="28"/>
          <w:szCs w:val="28"/>
        </w:rPr>
        <w:instrText xml:space="preserve">= 3 \* GB3</w:instrText>
      </w:r>
      <w:r>
        <w:rPr>
          <w:rFonts w:eastAsia="仿宋_GB2312"/>
          <w:sz w:val="28"/>
          <w:szCs w:val="28"/>
        </w:rPr>
        <w:instrText xml:space="preserve"> </w:instrText>
      </w:r>
      <w:r>
        <w:rPr>
          <w:rFonts w:eastAsia="仿宋_GB2312"/>
          <w:sz w:val="28"/>
          <w:szCs w:val="28"/>
        </w:rPr>
        <w:fldChar w:fldCharType="separate"/>
      </w:r>
      <w:r>
        <w:rPr>
          <w:rFonts w:hint="eastAsia" w:eastAsia="仿宋_GB2312"/>
          <w:sz w:val="28"/>
          <w:szCs w:val="28"/>
        </w:rPr>
        <w:t>③</w:t>
      </w:r>
      <w:r>
        <w:rPr>
          <w:rFonts w:eastAsia="仿宋_GB2312"/>
          <w:sz w:val="28"/>
          <w:szCs w:val="28"/>
        </w:rPr>
        <w:fldChar w:fldCharType="end"/>
      </w:r>
      <w:r>
        <w:rPr>
          <w:rFonts w:hint="eastAsia" w:eastAsia="仿宋_GB2312"/>
          <w:sz w:val="28"/>
          <w:szCs w:val="28"/>
        </w:rPr>
        <w:t>RTO炉系统启动时，先用新鲜空气对RTO炉进行吹扫置换，防止高浓度尾气残留，点火时引爆。吹扫置换结束后.从燃烧室出口取样分析可燃气浓度&lt;25%LEL为吹扫合格，否则需重新吹扫置换。</w:t>
      </w:r>
    </w:p>
    <w:p>
      <w:pPr>
        <w:spacing w:line="500" w:lineRule="exact"/>
        <w:ind w:firstLine="560" w:firstLineChars="200"/>
        <w:rPr>
          <w:rFonts w:eastAsia="仿宋_GB2312"/>
          <w:sz w:val="28"/>
          <w:szCs w:val="28"/>
        </w:rPr>
      </w:pPr>
      <w:r>
        <w:rPr>
          <w:rFonts w:eastAsia="仿宋_GB2312"/>
          <w:sz w:val="28"/>
          <w:szCs w:val="28"/>
        </w:rPr>
        <w:fldChar w:fldCharType="begin"/>
      </w:r>
      <w:r>
        <w:rPr>
          <w:rFonts w:eastAsia="仿宋_GB2312"/>
          <w:sz w:val="28"/>
          <w:szCs w:val="28"/>
        </w:rPr>
        <w:instrText xml:space="preserve"> </w:instrText>
      </w:r>
      <w:r>
        <w:rPr>
          <w:rFonts w:hint="eastAsia" w:eastAsia="仿宋_GB2312"/>
          <w:sz w:val="28"/>
          <w:szCs w:val="28"/>
        </w:rPr>
        <w:instrText xml:space="preserve">= 4 \* GB3</w:instrText>
      </w:r>
      <w:r>
        <w:rPr>
          <w:rFonts w:eastAsia="仿宋_GB2312"/>
          <w:sz w:val="28"/>
          <w:szCs w:val="28"/>
        </w:rPr>
        <w:instrText xml:space="preserve"> </w:instrText>
      </w:r>
      <w:r>
        <w:rPr>
          <w:rFonts w:eastAsia="仿宋_GB2312"/>
          <w:sz w:val="28"/>
          <w:szCs w:val="28"/>
        </w:rPr>
        <w:fldChar w:fldCharType="separate"/>
      </w:r>
      <w:r>
        <w:rPr>
          <w:rFonts w:hint="eastAsia" w:eastAsia="仿宋_GB2312"/>
          <w:sz w:val="28"/>
          <w:szCs w:val="28"/>
        </w:rPr>
        <w:t>④</w:t>
      </w:r>
      <w:r>
        <w:rPr>
          <w:rFonts w:eastAsia="仿宋_GB2312"/>
          <w:sz w:val="28"/>
          <w:szCs w:val="28"/>
        </w:rPr>
        <w:fldChar w:fldCharType="end"/>
      </w:r>
      <w:r>
        <w:rPr>
          <w:rFonts w:hint="eastAsia" w:eastAsia="仿宋_GB2312"/>
          <w:sz w:val="28"/>
          <w:szCs w:val="28"/>
        </w:rPr>
        <w:t>点火条件满足后，首先点燃燃烧器的母火，确认无误后再导入燃料点燃主火进行预热炉体。</w:t>
      </w:r>
    </w:p>
    <w:p>
      <w:pPr>
        <w:spacing w:line="500" w:lineRule="exact"/>
        <w:ind w:firstLine="560" w:firstLineChars="200"/>
        <w:rPr>
          <w:rFonts w:eastAsia="仿宋_GB2312"/>
          <w:sz w:val="28"/>
          <w:szCs w:val="28"/>
        </w:rPr>
      </w:pPr>
      <w:r>
        <w:rPr>
          <w:rFonts w:eastAsia="仿宋_GB2312"/>
          <w:sz w:val="28"/>
          <w:szCs w:val="28"/>
        </w:rPr>
        <w:fldChar w:fldCharType="begin"/>
      </w:r>
      <w:r>
        <w:rPr>
          <w:rFonts w:eastAsia="仿宋_GB2312"/>
          <w:sz w:val="28"/>
          <w:szCs w:val="28"/>
        </w:rPr>
        <w:instrText xml:space="preserve"> </w:instrText>
      </w:r>
      <w:r>
        <w:rPr>
          <w:rFonts w:hint="eastAsia" w:eastAsia="仿宋_GB2312"/>
          <w:sz w:val="28"/>
          <w:szCs w:val="28"/>
        </w:rPr>
        <w:instrText xml:space="preserve">= 5 \* GB3</w:instrText>
      </w:r>
      <w:r>
        <w:rPr>
          <w:rFonts w:eastAsia="仿宋_GB2312"/>
          <w:sz w:val="28"/>
          <w:szCs w:val="28"/>
        </w:rPr>
        <w:instrText xml:space="preserve"> </w:instrText>
      </w:r>
      <w:r>
        <w:rPr>
          <w:rFonts w:eastAsia="仿宋_GB2312"/>
          <w:sz w:val="28"/>
          <w:szCs w:val="28"/>
        </w:rPr>
        <w:fldChar w:fldCharType="separate"/>
      </w:r>
      <w:r>
        <w:rPr>
          <w:rFonts w:hint="eastAsia" w:eastAsia="仿宋_GB2312"/>
          <w:sz w:val="28"/>
          <w:szCs w:val="28"/>
        </w:rPr>
        <w:t>⑤</w:t>
      </w:r>
      <w:r>
        <w:rPr>
          <w:rFonts w:eastAsia="仿宋_GB2312"/>
          <w:sz w:val="28"/>
          <w:szCs w:val="28"/>
        </w:rPr>
        <w:fldChar w:fldCharType="end"/>
      </w:r>
      <w:r>
        <w:rPr>
          <w:rFonts w:hint="eastAsia" w:eastAsia="仿宋_GB2312"/>
          <w:sz w:val="28"/>
          <w:szCs w:val="28"/>
        </w:rPr>
        <w:t>当RTO炉温度出现异常时，通过PLC或DCS程序自动控制关闭废气阀，全开紧急排放阀和新风阀，使RTO炉设备完全通过新鲜风降温。</w:t>
      </w:r>
    </w:p>
    <w:p>
      <w:pPr>
        <w:spacing w:line="500" w:lineRule="exact"/>
        <w:ind w:firstLine="560" w:firstLineChars="200"/>
        <w:rPr>
          <w:rFonts w:eastAsia="仿宋_GB2312"/>
          <w:sz w:val="28"/>
          <w:szCs w:val="28"/>
        </w:rPr>
      </w:pPr>
      <w:r>
        <w:rPr>
          <w:rFonts w:hint="eastAsia" w:eastAsia="仿宋_GB2312"/>
          <w:sz w:val="28"/>
          <w:szCs w:val="28"/>
        </w:rPr>
        <w:t>⑥当燃烧室温度冷却到200°C以下，RTO炉进入停车状态。</w:t>
      </w:r>
    </w:p>
    <w:p>
      <w:pPr>
        <w:spacing w:line="500" w:lineRule="exact"/>
        <w:ind w:firstLine="560" w:firstLineChars="200"/>
        <w:rPr>
          <w:rFonts w:eastAsia="仿宋_GB2312"/>
          <w:sz w:val="28"/>
          <w:szCs w:val="28"/>
        </w:rPr>
      </w:pPr>
      <w:r>
        <w:rPr>
          <w:rFonts w:hint="eastAsia" w:eastAsia="仿宋_GB2312"/>
          <w:sz w:val="28"/>
          <w:szCs w:val="28"/>
        </w:rPr>
        <w:t>⑦RTO炉系统运行过程中，岗位操作人员应按企业规章做好巡查、记录、维护、保养等工作。</w:t>
      </w:r>
    </w:p>
    <w:p>
      <w:pPr>
        <w:pStyle w:val="5"/>
        <w:keepLines w:val="0"/>
        <w:widowControl/>
        <w:numPr>
          <w:ilvl w:val="3"/>
          <w:numId w:val="1"/>
        </w:numPr>
        <w:adjustRightInd w:val="0"/>
        <w:snapToGrid w:val="0"/>
        <w:spacing w:after="120" w:afterLines="50"/>
        <w:ind w:left="0" w:firstLine="0"/>
        <w:jc w:val="left"/>
        <w:rPr>
          <w:rFonts w:ascii="Times New Roman" w:hAnsi="Times New Roman"/>
          <w:b/>
        </w:rPr>
      </w:pPr>
      <w:r>
        <w:rPr>
          <w:rFonts w:ascii="Times New Roman" w:hAnsi="Times New Roman"/>
          <w:b/>
        </w:rPr>
        <w:t>火灾和爆炸事故的防范措施</w:t>
      </w:r>
    </w:p>
    <w:p>
      <w:pPr>
        <w:spacing w:line="500" w:lineRule="exact"/>
        <w:ind w:firstLine="560" w:firstLineChars="200"/>
        <w:rPr>
          <w:rFonts w:eastAsia="仿宋_GB2312"/>
          <w:bCs/>
          <w:sz w:val="28"/>
          <w:szCs w:val="28"/>
        </w:rPr>
      </w:pPr>
      <w:r>
        <w:rPr>
          <w:rFonts w:eastAsia="仿宋_GB2312"/>
          <w:bCs/>
          <w:sz w:val="28"/>
          <w:szCs w:val="28"/>
        </w:rPr>
        <w:t>(1)生产厂房已按照《建筑设计防火规范》等标准的要求建设，设置防火间距、平面布置等。</w:t>
      </w:r>
    </w:p>
    <w:p>
      <w:pPr>
        <w:spacing w:line="500" w:lineRule="exact"/>
        <w:ind w:firstLine="560" w:firstLineChars="200"/>
        <w:rPr>
          <w:rFonts w:eastAsia="仿宋_GB2312"/>
          <w:bCs/>
          <w:sz w:val="28"/>
          <w:szCs w:val="28"/>
        </w:rPr>
      </w:pPr>
      <w:r>
        <w:rPr>
          <w:rFonts w:eastAsia="仿宋_GB2312"/>
          <w:bCs/>
          <w:sz w:val="28"/>
          <w:szCs w:val="28"/>
        </w:rPr>
        <w:t>(2)储运设备的安全管理：定期对储运设备进行安全检测，检测内容、时间、人员应有记录保存。安全检测应根据设备的安全性、危险性设定检测频次。</w:t>
      </w:r>
    </w:p>
    <w:p>
      <w:pPr>
        <w:spacing w:line="500" w:lineRule="exact"/>
        <w:ind w:firstLine="560" w:firstLineChars="200"/>
        <w:rPr>
          <w:rFonts w:eastAsia="仿宋_GB2312"/>
          <w:bCs/>
          <w:sz w:val="28"/>
          <w:szCs w:val="28"/>
        </w:rPr>
      </w:pPr>
      <w:r>
        <w:rPr>
          <w:rFonts w:eastAsia="仿宋_GB2312"/>
          <w:bCs/>
          <w:sz w:val="28"/>
          <w:szCs w:val="28"/>
        </w:rPr>
        <w:t>(3)应加强火源的管理，严禁烟火带入，对设备需进行维修焊接，应经安全部门确认、准许，并有记录。</w:t>
      </w:r>
    </w:p>
    <w:p>
      <w:pPr>
        <w:spacing w:line="500" w:lineRule="exact"/>
        <w:ind w:firstLine="560" w:firstLineChars="200"/>
        <w:rPr>
          <w:rFonts w:eastAsia="仿宋_GB2312"/>
          <w:bCs/>
          <w:sz w:val="28"/>
          <w:szCs w:val="28"/>
        </w:rPr>
      </w:pPr>
      <w:r>
        <w:rPr>
          <w:rFonts w:eastAsia="仿宋_GB2312"/>
          <w:bCs/>
          <w:sz w:val="28"/>
          <w:szCs w:val="28"/>
        </w:rPr>
        <w:t>(4)要有完善的安全消防措施。从平面布置上，本厂的</w:t>
      </w:r>
      <w:r>
        <w:rPr>
          <w:rFonts w:hint="eastAsia" w:eastAsia="仿宋_GB2312"/>
          <w:bCs/>
          <w:sz w:val="28"/>
          <w:szCs w:val="28"/>
        </w:rPr>
        <w:t>化学品中转库</w:t>
      </w:r>
      <w:r>
        <w:rPr>
          <w:rFonts w:eastAsia="仿宋_GB2312"/>
          <w:bCs/>
          <w:sz w:val="28"/>
          <w:szCs w:val="28"/>
        </w:rPr>
        <w:t>、</w:t>
      </w:r>
      <w:r>
        <w:rPr>
          <w:rFonts w:hint="eastAsia" w:eastAsia="仿宋_GB2312"/>
          <w:bCs/>
          <w:sz w:val="28"/>
          <w:szCs w:val="28"/>
        </w:rPr>
        <w:t>车间</w:t>
      </w:r>
      <w:r>
        <w:rPr>
          <w:rFonts w:eastAsia="仿宋_GB2312"/>
          <w:bCs/>
          <w:sz w:val="28"/>
          <w:szCs w:val="28"/>
        </w:rPr>
        <w:t xml:space="preserve">之间应按国家消防安全规定，设置足够的安全距离和道路，以便安全疏散和消防。各重点部位设置有灭火器，并且对其作定期检查。 </w:t>
      </w:r>
    </w:p>
    <w:p>
      <w:pPr>
        <w:pStyle w:val="5"/>
        <w:keepLines w:val="0"/>
        <w:widowControl/>
        <w:numPr>
          <w:ilvl w:val="3"/>
          <w:numId w:val="1"/>
        </w:numPr>
        <w:adjustRightInd w:val="0"/>
        <w:snapToGrid w:val="0"/>
        <w:spacing w:after="120" w:afterLines="50"/>
        <w:ind w:left="0" w:firstLine="0"/>
        <w:jc w:val="left"/>
        <w:rPr>
          <w:rFonts w:ascii="Times New Roman" w:hAnsi="Times New Roman"/>
          <w:b/>
        </w:rPr>
      </w:pPr>
      <w:r>
        <w:rPr>
          <w:rFonts w:ascii="Times New Roman" w:hAnsi="Times New Roman"/>
          <w:b/>
        </w:rPr>
        <w:t>电气、电讯防范措施</w:t>
      </w:r>
    </w:p>
    <w:p>
      <w:pPr>
        <w:spacing w:line="500" w:lineRule="exact"/>
        <w:ind w:firstLine="560" w:firstLineChars="200"/>
        <w:rPr>
          <w:rFonts w:eastAsia="仿宋_GB2312"/>
          <w:bCs/>
          <w:sz w:val="28"/>
          <w:szCs w:val="28"/>
        </w:rPr>
      </w:pPr>
      <w:r>
        <w:rPr>
          <w:rFonts w:eastAsia="仿宋_GB2312"/>
          <w:bCs/>
          <w:sz w:val="28"/>
          <w:szCs w:val="28"/>
        </w:rPr>
        <w:t>爆炸危险环境内的电气设备必须是符合现行国家标准并有国家检验部门防爆合格证的产品。</w:t>
      </w:r>
    </w:p>
    <w:p>
      <w:pPr>
        <w:spacing w:line="500" w:lineRule="exact"/>
        <w:ind w:firstLine="560" w:firstLineChars="200"/>
        <w:rPr>
          <w:rFonts w:eastAsia="仿宋_GB2312"/>
          <w:bCs/>
          <w:sz w:val="28"/>
          <w:szCs w:val="28"/>
        </w:rPr>
      </w:pPr>
      <w:r>
        <w:rPr>
          <w:rFonts w:eastAsia="仿宋_GB2312"/>
          <w:bCs/>
          <w:sz w:val="28"/>
          <w:szCs w:val="28"/>
        </w:rPr>
        <w:t>爆炸危险环境内的电气设备应能防止周围化学、机械、热和生物因素的危害，应与环境温度、空气湿度、海拔高度、日光辐射、风沙、地震等环境条件下的要求相适应。其结构应满足电气设备在规定的运行条件下不会降低防爆性能的要求。</w:t>
      </w:r>
    </w:p>
    <w:p>
      <w:pPr>
        <w:spacing w:line="500" w:lineRule="exact"/>
        <w:ind w:firstLine="560" w:firstLineChars="200"/>
        <w:rPr>
          <w:rFonts w:eastAsia="仿宋_GB2312"/>
          <w:bCs/>
          <w:sz w:val="28"/>
          <w:szCs w:val="28"/>
        </w:rPr>
      </w:pPr>
      <w:r>
        <w:rPr>
          <w:rFonts w:hint="eastAsia" w:eastAsia="仿宋_GB2312" w:cs="宋体"/>
          <w:bCs/>
          <w:sz w:val="28"/>
          <w:szCs w:val="28"/>
        </w:rPr>
        <w:t>①</w:t>
      </w:r>
      <w:r>
        <w:rPr>
          <w:rFonts w:eastAsia="仿宋_GB2312"/>
          <w:bCs/>
          <w:sz w:val="28"/>
          <w:szCs w:val="28"/>
        </w:rPr>
        <w:t>电气线路位置的选择</w:t>
      </w:r>
    </w:p>
    <w:p>
      <w:pPr>
        <w:spacing w:line="500" w:lineRule="exact"/>
        <w:ind w:firstLine="560" w:firstLineChars="200"/>
        <w:rPr>
          <w:rFonts w:eastAsia="仿宋_GB2312"/>
          <w:bCs/>
          <w:sz w:val="28"/>
          <w:szCs w:val="28"/>
        </w:rPr>
      </w:pPr>
      <w:r>
        <w:rPr>
          <w:rFonts w:eastAsia="仿宋_GB2312"/>
          <w:bCs/>
          <w:sz w:val="28"/>
          <w:szCs w:val="28"/>
        </w:rPr>
        <w:t>在爆炸危险性较小或距离释放源较远的位置，应当考虑敷设电气线路。例如，当爆炸危险气体或蒸气比空气重时，电气线路应在高处敷设，电缆则直接埋地敷设或电缆沟充砂敷设；当爆炸危险气体或蒸气比空气轻时，电气线路宜敷设在低处，电缆则采取电缆沟敷设。</w:t>
      </w:r>
    </w:p>
    <w:p>
      <w:pPr>
        <w:spacing w:line="500" w:lineRule="exact"/>
        <w:ind w:firstLine="560" w:firstLineChars="200"/>
        <w:rPr>
          <w:rFonts w:eastAsia="仿宋_GB2312"/>
          <w:bCs/>
          <w:sz w:val="28"/>
          <w:szCs w:val="28"/>
        </w:rPr>
      </w:pPr>
      <w:r>
        <w:rPr>
          <w:rFonts w:eastAsia="仿宋_GB2312"/>
          <w:bCs/>
          <w:sz w:val="28"/>
          <w:szCs w:val="28"/>
        </w:rPr>
        <w:t>电气线路宜沿有爆炸危险的建筑物的外墙敷设。当电气线路沿输送易燃气体或易燃液体的管道栈桥敷设时，应尽量沿危险程度较低的管道一侧敷设。当易燃气体或蒸气比空气重时，电气线路应在管道上方；当易燃气体或蒸气比空气轻时，电气线路应在管道下方。</w:t>
      </w:r>
    </w:p>
    <w:p>
      <w:pPr>
        <w:spacing w:line="500" w:lineRule="exact"/>
        <w:ind w:firstLine="560" w:firstLineChars="200"/>
        <w:rPr>
          <w:rFonts w:eastAsia="仿宋_GB2312"/>
          <w:bCs/>
          <w:sz w:val="28"/>
          <w:szCs w:val="28"/>
        </w:rPr>
      </w:pPr>
      <w:r>
        <w:rPr>
          <w:rFonts w:eastAsia="仿宋_GB2312"/>
          <w:bCs/>
          <w:sz w:val="28"/>
          <w:szCs w:val="28"/>
        </w:rPr>
        <w:t>电气线路应避开可能受到机械损伤、振动、污染、腐蚀及受热的地方；否则，应采取防护措施。</w:t>
      </w:r>
    </w:p>
    <w:p>
      <w:pPr>
        <w:spacing w:line="500" w:lineRule="exact"/>
        <w:ind w:firstLine="560" w:firstLineChars="200"/>
        <w:rPr>
          <w:rFonts w:eastAsia="仿宋_GB2312"/>
          <w:bCs/>
          <w:sz w:val="28"/>
          <w:szCs w:val="28"/>
        </w:rPr>
      </w:pPr>
      <w:r>
        <w:rPr>
          <w:rFonts w:hint="eastAsia" w:eastAsia="仿宋_GB2312" w:cs="宋体"/>
          <w:bCs/>
          <w:sz w:val="28"/>
          <w:szCs w:val="28"/>
        </w:rPr>
        <w:t>②</w:t>
      </w:r>
      <w:r>
        <w:rPr>
          <w:rFonts w:eastAsia="仿宋_GB2312"/>
          <w:bCs/>
          <w:sz w:val="28"/>
          <w:szCs w:val="28"/>
        </w:rPr>
        <w:t>线路敷设方式的选择</w:t>
      </w:r>
    </w:p>
    <w:p>
      <w:pPr>
        <w:spacing w:line="500" w:lineRule="exact"/>
        <w:ind w:firstLine="560" w:firstLineChars="200"/>
        <w:rPr>
          <w:rFonts w:eastAsia="仿宋_GB2312"/>
          <w:bCs/>
          <w:sz w:val="28"/>
          <w:szCs w:val="28"/>
        </w:rPr>
      </w:pPr>
      <w:r>
        <w:rPr>
          <w:rFonts w:eastAsia="仿宋_GB2312"/>
          <w:bCs/>
          <w:sz w:val="28"/>
          <w:szCs w:val="28"/>
        </w:rPr>
        <w:t>爆炸危险环境中，电气线路主要有防爆钢管配线和电缆配线，其敷设方式应符合要求。爆炸危险环境不得明敷电气线路。</w:t>
      </w:r>
    </w:p>
    <w:p>
      <w:pPr>
        <w:spacing w:line="500" w:lineRule="exact"/>
        <w:ind w:firstLine="560" w:firstLineChars="200"/>
        <w:rPr>
          <w:rFonts w:eastAsia="仿宋_GB2312"/>
          <w:bCs/>
          <w:sz w:val="28"/>
          <w:szCs w:val="28"/>
        </w:rPr>
      </w:pPr>
      <w:r>
        <w:rPr>
          <w:rFonts w:eastAsia="仿宋_GB2312"/>
          <w:bCs/>
          <w:sz w:val="28"/>
          <w:szCs w:val="28"/>
        </w:rPr>
        <w:t>固定敷设的电力电缆应采用铠装电缆。固定敷设的照明、通讯、信号和控制电缆可采用铠装电缆和塑料护套电缆。非固定敷设的电缆应采用非塑性橡胶护套电缆。</w:t>
      </w:r>
    </w:p>
    <w:p>
      <w:pPr>
        <w:spacing w:line="500" w:lineRule="exact"/>
        <w:ind w:firstLine="560" w:firstLineChars="200"/>
        <w:rPr>
          <w:rFonts w:eastAsia="仿宋_GB2312"/>
          <w:bCs/>
          <w:sz w:val="28"/>
          <w:szCs w:val="28"/>
        </w:rPr>
      </w:pPr>
      <w:r>
        <w:rPr>
          <w:rFonts w:eastAsia="仿宋_GB2312"/>
          <w:bCs/>
          <w:sz w:val="28"/>
          <w:szCs w:val="28"/>
        </w:rPr>
        <w:t>不同用途的电缆应分开敷设。</w:t>
      </w:r>
    </w:p>
    <w:p>
      <w:pPr>
        <w:spacing w:line="500" w:lineRule="exact"/>
        <w:ind w:firstLine="560" w:firstLineChars="200"/>
        <w:rPr>
          <w:rFonts w:eastAsia="仿宋_GB2312"/>
          <w:bCs/>
          <w:sz w:val="28"/>
          <w:szCs w:val="28"/>
        </w:rPr>
      </w:pPr>
      <w:r>
        <w:rPr>
          <w:rFonts w:hint="eastAsia" w:eastAsia="仿宋_GB2312" w:cs="宋体"/>
          <w:bCs/>
          <w:sz w:val="28"/>
          <w:szCs w:val="28"/>
        </w:rPr>
        <w:t>③</w:t>
      </w:r>
      <w:r>
        <w:rPr>
          <w:rFonts w:eastAsia="仿宋_GB2312"/>
          <w:bCs/>
          <w:sz w:val="28"/>
          <w:szCs w:val="28"/>
        </w:rPr>
        <w:t>隔离密封</w:t>
      </w:r>
    </w:p>
    <w:p>
      <w:pPr>
        <w:spacing w:line="500" w:lineRule="exact"/>
        <w:ind w:firstLine="560" w:firstLineChars="200"/>
        <w:rPr>
          <w:rFonts w:eastAsia="仿宋_GB2312"/>
          <w:bCs/>
          <w:sz w:val="28"/>
          <w:szCs w:val="28"/>
        </w:rPr>
      </w:pPr>
      <w:r>
        <w:rPr>
          <w:rFonts w:eastAsia="仿宋_GB2312"/>
          <w:bCs/>
          <w:sz w:val="28"/>
          <w:szCs w:val="28"/>
        </w:rPr>
        <w:t>敷设电气线路的沟道以及保护管、电缆或钢管在穿过爆炸危险环境等级不同的区域之间的隔墙或楼板时，应用非燃性材料严密堵塞。</w:t>
      </w:r>
    </w:p>
    <w:p>
      <w:pPr>
        <w:spacing w:line="500" w:lineRule="exact"/>
        <w:ind w:firstLine="560" w:firstLineChars="200"/>
        <w:rPr>
          <w:rFonts w:eastAsia="仿宋_GB2312"/>
          <w:bCs/>
          <w:sz w:val="28"/>
          <w:szCs w:val="28"/>
        </w:rPr>
      </w:pPr>
      <w:r>
        <w:rPr>
          <w:rFonts w:eastAsia="仿宋_GB2312"/>
          <w:bCs/>
          <w:sz w:val="28"/>
          <w:szCs w:val="28"/>
        </w:rPr>
        <w:t>电缆配线的保护管管口与电缆之间，应使用密封胶泥进行密封。在两级区域交界处的电缆沟内应充砂、填阻火材料或加设防火隔墙。</w:t>
      </w:r>
    </w:p>
    <w:p>
      <w:pPr>
        <w:pStyle w:val="5"/>
        <w:keepLines w:val="0"/>
        <w:widowControl/>
        <w:numPr>
          <w:ilvl w:val="3"/>
          <w:numId w:val="1"/>
        </w:numPr>
        <w:adjustRightInd w:val="0"/>
        <w:snapToGrid w:val="0"/>
        <w:spacing w:after="120" w:afterLines="50"/>
        <w:ind w:left="0" w:firstLine="0"/>
        <w:jc w:val="left"/>
        <w:rPr>
          <w:rFonts w:ascii="Times New Roman" w:hAnsi="Times New Roman"/>
          <w:b/>
        </w:rPr>
      </w:pPr>
      <w:r>
        <w:rPr>
          <w:rFonts w:ascii="Times New Roman" w:hAnsi="Times New Roman"/>
          <w:b/>
        </w:rPr>
        <w:t>消防及火灾报警系统</w:t>
      </w:r>
    </w:p>
    <w:p>
      <w:pPr>
        <w:spacing w:line="500" w:lineRule="exact"/>
        <w:ind w:firstLine="560" w:firstLineChars="200"/>
        <w:rPr>
          <w:rFonts w:eastAsia="仿宋_GB2312"/>
          <w:bCs/>
          <w:sz w:val="28"/>
          <w:szCs w:val="28"/>
        </w:rPr>
      </w:pPr>
      <w:r>
        <w:rPr>
          <w:rFonts w:hint="eastAsia" w:eastAsia="仿宋_GB2312"/>
          <w:bCs/>
          <w:sz w:val="28"/>
          <w:szCs w:val="28"/>
        </w:rPr>
        <w:t>本项目</w:t>
      </w:r>
      <w:r>
        <w:rPr>
          <w:rFonts w:eastAsia="仿宋_GB2312"/>
          <w:bCs/>
          <w:sz w:val="28"/>
          <w:szCs w:val="28"/>
        </w:rPr>
        <w:t>已配备必要的消防设施，包括消火栓、灭火器等。</w:t>
      </w:r>
    </w:p>
    <w:p>
      <w:pPr>
        <w:spacing w:line="500" w:lineRule="exact"/>
        <w:ind w:firstLine="560" w:firstLineChars="200"/>
        <w:rPr>
          <w:rFonts w:eastAsia="仿宋_GB2312"/>
          <w:bCs/>
          <w:sz w:val="28"/>
          <w:szCs w:val="28"/>
        </w:rPr>
      </w:pPr>
      <w:r>
        <w:rPr>
          <w:rFonts w:hint="eastAsia" w:eastAsia="仿宋_GB2312"/>
          <w:bCs/>
          <w:sz w:val="28"/>
          <w:szCs w:val="28"/>
        </w:rPr>
        <w:t>本项目</w:t>
      </w:r>
      <w:r>
        <w:rPr>
          <w:rFonts w:eastAsia="仿宋_GB2312"/>
          <w:bCs/>
          <w:sz w:val="28"/>
          <w:szCs w:val="28"/>
        </w:rPr>
        <w:t>厂区雨水、污水排口设置</w:t>
      </w:r>
      <w:r>
        <w:rPr>
          <w:rFonts w:hint="eastAsia" w:eastAsia="仿宋_GB2312"/>
          <w:bCs/>
          <w:sz w:val="28"/>
          <w:szCs w:val="28"/>
        </w:rPr>
        <w:t>的</w:t>
      </w:r>
      <w:r>
        <w:rPr>
          <w:rFonts w:eastAsia="仿宋_GB2312"/>
          <w:bCs/>
          <w:sz w:val="28"/>
          <w:szCs w:val="28"/>
        </w:rPr>
        <w:t>截流阀，发生泄露、火灾或爆炸事故时，泄露物事故伴生、次生消防水流入雨水收集系统或污水收集系统，紧急关闭截流阀，可将泄露物、消防水截流在雨水收集系统，</w:t>
      </w:r>
      <w:r>
        <w:rPr>
          <w:rFonts w:hint="eastAsia" w:eastAsia="仿宋_GB2312"/>
          <w:bCs/>
          <w:sz w:val="28"/>
          <w:szCs w:val="28"/>
        </w:rPr>
        <w:t>进入</w:t>
      </w:r>
      <w:r>
        <w:rPr>
          <w:rFonts w:eastAsia="仿宋_GB2312"/>
          <w:bCs/>
          <w:sz w:val="28"/>
          <w:szCs w:val="28"/>
        </w:rPr>
        <w:t>事故应急池中，不会使得污染水进入市政污水和雨水管网。</w:t>
      </w:r>
    </w:p>
    <w:p>
      <w:pPr>
        <w:pStyle w:val="5"/>
        <w:keepLines w:val="0"/>
        <w:widowControl/>
        <w:numPr>
          <w:ilvl w:val="3"/>
          <w:numId w:val="1"/>
        </w:numPr>
        <w:adjustRightInd w:val="0"/>
        <w:snapToGrid w:val="0"/>
        <w:spacing w:after="120" w:afterLines="50"/>
        <w:ind w:left="0" w:firstLine="0"/>
        <w:jc w:val="left"/>
        <w:rPr>
          <w:rFonts w:ascii="Times New Roman" w:hAnsi="Times New Roman"/>
          <w:b/>
        </w:rPr>
      </w:pPr>
      <w:r>
        <w:rPr>
          <w:rFonts w:ascii="Times New Roman" w:hAnsi="Times New Roman"/>
          <w:b/>
        </w:rPr>
        <w:t>强化安全生产和管理</w:t>
      </w:r>
    </w:p>
    <w:p>
      <w:pPr>
        <w:spacing w:line="500" w:lineRule="exact"/>
        <w:ind w:firstLine="560" w:firstLineChars="200"/>
        <w:rPr>
          <w:rFonts w:eastAsia="仿宋_GB2312"/>
          <w:bCs/>
          <w:sz w:val="28"/>
          <w:szCs w:val="28"/>
        </w:rPr>
      </w:pPr>
      <w:r>
        <w:rPr>
          <w:rFonts w:eastAsia="仿宋_GB2312"/>
          <w:bCs/>
          <w:sz w:val="28"/>
          <w:szCs w:val="28"/>
        </w:rPr>
        <w:t>在管理上设置专业安全卫生监督机构，建立严格的规章制度和安全生产措施，所有工作人员必须培训上岗，绝不容许引入不安全因素到生产作业中去。</w:t>
      </w:r>
    </w:p>
    <w:p>
      <w:pPr>
        <w:spacing w:line="500" w:lineRule="exact"/>
        <w:ind w:firstLine="560" w:firstLineChars="200"/>
        <w:rPr>
          <w:rFonts w:eastAsia="仿宋_GB2312"/>
          <w:bCs/>
          <w:sz w:val="28"/>
          <w:szCs w:val="28"/>
        </w:rPr>
      </w:pPr>
      <w:r>
        <w:rPr>
          <w:rFonts w:eastAsia="仿宋_GB2312"/>
          <w:bCs/>
          <w:sz w:val="28"/>
          <w:szCs w:val="28"/>
        </w:rPr>
        <w:t>采用密封性能良好的阀门、泵等设备和配件；在防爆区域内使用的电气等设备，均需采用相应防爆等级的防爆产品。</w:t>
      </w:r>
    </w:p>
    <w:p>
      <w:pPr>
        <w:spacing w:line="500" w:lineRule="exact"/>
        <w:ind w:firstLine="560" w:firstLineChars="200"/>
        <w:rPr>
          <w:rFonts w:eastAsia="仿宋_GB2312"/>
          <w:bCs/>
          <w:sz w:val="28"/>
          <w:szCs w:val="28"/>
        </w:rPr>
      </w:pPr>
      <w:r>
        <w:rPr>
          <w:rFonts w:eastAsia="仿宋_GB2312"/>
          <w:bCs/>
          <w:sz w:val="28"/>
          <w:szCs w:val="28"/>
        </w:rPr>
        <w:t>遵守安全操作规程，严禁在生产区、仓库区明火作业，需要采用电焊作业，需上报主管部门，并作好相应的防护措施。</w:t>
      </w:r>
    </w:p>
    <w:p>
      <w:pPr>
        <w:spacing w:line="500" w:lineRule="exact"/>
        <w:ind w:firstLine="560" w:firstLineChars="200"/>
        <w:rPr>
          <w:rFonts w:eastAsia="仿宋_GB2312"/>
          <w:bCs/>
          <w:sz w:val="28"/>
          <w:szCs w:val="28"/>
        </w:rPr>
      </w:pPr>
      <w:r>
        <w:rPr>
          <w:rFonts w:eastAsia="仿宋_GB2312"/>
          <w:bCs/>
          <w:sz w:val="28"/>
          <w:szCs w:val="28"/>
        </w:rPr>
        <w:t>生产区、仓库均设禁止吸烟标志，防止人为吸烟引起明火火灾等事故。物料输送管均需设有防静电装置。</w:t>
      </w:r>
    </w:p>
    <w:p>
      <w:pPr>
        <w:spacing w:line="500" w:lineRule="exact"/>
        <w:ind w:firstLine="560" w:firstLineChars="200"/>
        <w:rPr>
          <w:rFonts w:eastAsia="仿宋_GB2312"/>
          <w:bCs/>
          <w:sz w:val="28"/>
          <w:szCs w:val="28"/>
        </w:rPr>
      </w:pPr>
      <w:r>
        <w:rPr>
          <w:rFonts w:eastAsia="仿宋_GB2312"/>
          <w:bCs/>
          <w:sz w:val="28"/>
          <w:szCs w:val="28"/>
        </w:rPr>
        <w:t>同时，</w:t>
      </w:r>
      <w:r>
        <w:rPr>
          <w:rFonts w:hint="eastAsia" w:eastAsia="仿宋_GB2312"/>
          <w:bCs/>
          <w:sz w:val="28"/>
          <w:szCs w:val="28"/>
        </w:rPr>
        <w:t>化学品仓库</w:t>
      </w:r>
      <w:r>
        <w:rPr>
          <w:rFonts w:eastAsia="仿宋_GB2312"/>
          <w:bCs/>
          <w:sz w:val="28"/>
          <w:szCs w:val="28"/>
        </w:rPr>
        <w:t>所有的电器设备均采用防爆型设备，设备和管道设有防雷防静电接地设施；汽车运输车设有链条接地；落实现场人员地劳动保护措施；严格执行有关的操作运行规章制度，在各岗位设置警示标牌。</w:t>
      </w:r>
    </w:p>
    <w:p>
      <w:pPr>
        <w:pStyle w:val="4"/>
        <w:keepLines w:val="0"/>
        <w:numPr>
          <w:ilvl w:val="2"/>
          <w:numId w:val="1"/>
        </w:numPr>
        <w:tabs>
          <w:tab w:val="left" w:pos="709"/>
        </w:tabs>
        <w:spacing w:before="0" w:after="120" w:afterLines="50" w:line="500" w:lineRule="exact"/>
        <w:ind w:left="0" w:firstLine="0"/>
        <w:rPr>
          <w:rFonts w:eastAsia="仿宋_GB2312"/>
          <w:bCs w:val="0"/>
          <w:sz w:val="28"/>
        </w:rPr>
      </w:pPr>
      <w:bookmarkStart w:id="393" w:name="_Toc469058884"/>
      <w:bookmarkStart w:id="394" w:name="_Toc371416692"/>
      <w:bookmarkStart w:id="395" w:name="_Toc279579719"/>
      <w:r>
        <w:rPr>
          <w:rFonts w:eastAsia="仿宋_GB2312"/>
          <w:bCs w:val="0"/>
          <w:sz w:val="28"/>
        </w:rPr>
        <w:t>应急预案</w:t>
      </w:r>
      <w:bookmarkEnd w:id="393"/>
      <w:bookmarkEnd w:id="394"/>
      <w:bookmarkEnd w:id="395"/>
    </w:p>
    <w:p>
      <w:pPr>
        <w:pStyle w:val="5"/>
        <w:keepLines w:val="0"/>
        <w:widowControl/>
        <w:numPr>
          <w:ilvl w:val="3"/>
          <w:numId w:val="1"/>
        </w:numPr>
        <w:adjustRightInd w:val="0"/>
        <w:snapToGrid w:val="0"/>
        <w:spacing w:after="120" w:afterLines="50"/>
        <w:ind w:left="0" w:firstLine="0"/>
        <w:jc w:val="left"/>
        <w:rPr>
          <w:rFonts w:ascii="Times New Roman" w:hAnsi="Times New Roman"/>
          <w:b/>
        </w:rPr>
      </w:pPr>
      <w:r>
        <w:rPr>
          <w:rFonts w:ascii="Times New Roman" w:hAnsi="Times New Roman"/>
          <w:b/>
        </w:rPr>
        <w:t>意外事故应急救援工作预案</w:t>
      </w:r>
    </w:p>
    <w:p>
      <w:pPr>
        <w:spacing w:line="500" w:lineRule="exact"/>
        <w:ind w:firstLine="560" w:firstLineChars="200"/>
        <w:rPr>
          <w:rFonts w:eastAsia="仿宋_GB2312"/>
          <w:sz w:val="28"/>
          <w:szCs w:val="28"/>
        </w:rPr>
      </w:pPr>
      <w:bookmarkStart w:id="396" w:name="_Toc150574797"/>
      <w:r>
        <w:rPr>
          <w:rFonts w:eastAsia="仿宋_GB2312"/>
          <w:sz w:val="28"/>
          <w:szCs w:val="28"/>
        </w:rPr>
        <w:t>为确保生产的正常进行，并及时处理可能发生的突然事件，本项目</w:t>
      </w:r>
      <w:r>
        <w:rPr>
          <w:rFonts w:hint="eastAsia" w:eastAsia="仿宋_GB2312"/>
          <w:sz w:val="28"/>
          <w:szCs w:val="28"/>
        </w:rPr>
        <w:t>应</w:t>
      </w:r>
      <w:r>
        <w:rPr>
          <w:rFonts w:eastAsia="仿宋_GB2312"/>
          <w:sz w:val="28"/>
          <w:szCs w:val="28"/>
        </w:rPr>
        <w:t>按《企事业单位和工业园区突发环境事件应急预案编制导则》（DB32</w:t>
      </w:r>
      <w:r>
        <w:rPr>
          <w:rFonts w:hint="eastAsia" w:eastAsia="仿宋_GB2312"/>
          <w:sz w:val="28"/>
          <w:szCs w:val="28"/>
        </w:rPr>
        <w:t>/</w:t>
      </w:r>
      <w:r>
        <w:rPr>
          <w:rFonts w:eastAsia="仿宋_GB2312"/>
          <w:sz w:val="28"/>
          <w:szCs w:val="28"/>
        </w:rPr>
        <w:t>T</w:t>
      </w:r>
      <w:r>
        <w:rPr>
          <w:rFonts w:hint="eastAsia" w:eastAsia="仿宋_GB2312"/>
          <w:sz w:val="28"/>
          <w:szCs w:val="28"/>
        </w:rPr>
        <w:t xml:space="preserve"> </w:t>
      </w:r>
      <w:r>
        <w:rPr>
          <w:rFonts w:eastAsia="仿宋_GB2312"/>
          <w:sz w:val="28"/>
          <w:szCs w:val="28"/>
        </w:rPr>
        <w:t>3795-2020）的要求制订应急救援预案，包括有停电、泄漏等事故应急预案。</w:t>
      </w:r>
    </w:p>
    <w:p>
      <w:pPr>
        <w:spacing w:line="500" w:lineRule="exact"/>
        <w:ind w:firstLine="560" w:firstLineChars="200"/>
        <w:rPr>
          <w:rFonts w:eastAsia="仿宋_GB2312"/>
          <w:sz w:val="28"/>
          <w:szCs w:val="28"/>
        </w:rPr>
      </w:pPr>
      <w:r>
        <w:rPr>
          <w:rFonts w:hint="eastAsia" w:eastAsia="仿宋_GB2312" w:cs="宋体"/>
          <w:sz w:val="28"/>
          <w:szCs w:val="28"/>
        </w:rPr>
        <w:t>①</w:t>
      </w:r>
      <w:r>
        <w:rPr>
          <w:rFonts w:eastAsia="仿宋_GB2312"/>
          <w:sz w:val="28"/>
          <w:szCs w:val="28"/>
        </w:rPr>
        <w:t>停电应急救援预案</w:t>
      </w:r>
    </w:p>
    <w:p>
      <w:pPr>
        <w:spacing w:line="500" w:lineRule="exact"/>
        <w:ind w:firstLine="560" w:firstLineChars="200"/>
        <w:rPr>
          <w:rFonts w:eastAsia="仿宋_GB2312"/>
          <w:sz w:val="28"/>
          <w:szCs w:val="28"/>
        </w:rPr>
      </w:pPr>
      <w:r>
        <w:rPr>
          <w:rFonts w:eastAsia="仿宋_GB2312"/>
          <w:sz w:val="28"/>
          <w:szCs w:val="28"/>
        </w:rPr>
        <w:t>一旦发生停电，应立即开启应急灯，检查各重点部位；关闭各类开关，以防突然来电损坏电器设备，并及时向上级主管部门报告；查清停电原因，记录停电时间、来电时间和注意事项。</w:t>
      </w:r>
    </w:p>
    <w:p>
      <w:pPr>
        <w:spacing w:line="500" w:lineRule="exact"/>
        <w:ind w:firstLine="560" w:firstLineChars="200"/>
        <w:rPr>
          <w:rFonts w:eastAsia="仿宋_GB2312"/>
          <w:sz w:val="28"/>
          <w:szCs w:val="28"/>
        </w:rPr>
      </w:pPr>
      <w:r>
        <w:rPr>
          <w:rFonts w:hint="eastAsia" w:eastAsia="仿宋_GB2312" w:cs="宋体"/>
          <w:sz w:val="28"/>
          <w:szCs w:val="28"/>
        </w:rPr>
        <w:t>②</w:t>
      </w:r>
      <w:r>
        <w:rPr>
          <w:rFonts w:eastAsia="仿宋_GB2312"/>
          <w:sz w:val="28"/>
          <w:szCs w:val="28"/>
        </w:rPr>
        <w:t>泄漏应急救援预案</w:t>
      </w:r>
    </w:p>
    <w:p>
      <w:pPr>
        <w:spacing w:line="500" w:lineRule="exact"/>
        <w:ind w:firstLine="560" w:firstLineChars="200"/>
        <w:rPr>
          <w:rFonts w:eastAsia="仿宋_GB2312"/>
          <w:sz w:val="28"/>
          <w:szCs w:val="28"/>
        </w:rPr>
      </w:pPr>
      <w:r>
        <w:rPr>
          <w:rFonts w:eastAsia="仿宋_GB2312"/>
          <w:sz w:val="28"/>
          <w:szCs w:val="28"/>
        </w:rPr>
        <w:t>a、切断物料，停止一切作业，做好人员和外来车辆的疏散工作，并消除一切火源，并防止因抢险造成其他金属物品的碰撞而产生火花。</w:t>
      </w:r>
    </w:p>
    <w:p>
      <w:pPr>
        <w:spacing w:line="500" w:lineRule="exact"/>
        <w:ind w:firstLine="560" w:firstLineChars="200"/>
        <w:rPr>
          <w:rFonts w:eastAsia="仿宋_GB2312"/>
          <w:sz w:val="28"/>
          <w:szCs w:val="28"/>
        </w:rPr>
      </w:pPr>
      <w:r>
        <w:rPr>
          <w:rFonts w:eastAsia="仿宋_GB2312"/>
          <w:sz w:val="28"/>
          <w:szCs w:val="28"/>
        </w:rPr>
        <w:t>b、如果泄漏量大，一时难以控制，应扩大警戒区域，迅速报警“110”。</w:t>
      </w:r>
    </w:p>
    <w:p>
      <w:pPr>
        <w:spacing w:line="500" w:lineRule="exact"/>
        <w:ind w:firstLine="560" w:firstLineChars="200"/>
        <w:rPr>
          <w:rFonts w:eastAsia="仿宋_GB2312"/>
          <w:sz w:val="28"/>
          <w:szCs w:val="28"/>
        </w:rPr>
      </w:pPr>
      <w:r>
        <w:rPr>
          <w:rFonts w:hint="eastAsia" w:eastAsia="仿宋_GB2312" w:cs="宋体"/>
          <w:sz w:val="28"/>
          <w:szCs w:val="28"/>
        </w:rPr>
        <w:t>③</w:t>
      </w:r>
      <w:r>
        <w:rPr>
          <w:rFonts w:eastAsia="仿宋_GB2312"/>
          <w:sz w:val="28"/>
          <w:szCs w:val="28"/>
        </w:rPr>
        <w:t>应急措施</w:t>
      </w:r>
    </w:p>
    <w:p>
      <w:pPr>
        <w:spacing w:line="500" w:lineRule="exact"/>
        <w:ind w:firstLine="560" w:firstLineChars="200"/>
        <w:rPr>
          <w:rFonts w:eastAsia="仿宋_GB2312"/>
          <w:sz w:val="28"/>
          <w:szCs w:val="28"/>
        </w:rPr>
      </w:pPr>
      <w:r>
        <w:rPr>
          <w:rFonts w:eastAsia="仿宋_GB2312"/>
          <w:sz w:val="28"/>
          <w:szCs w:val="28"/>
        </w:rPr>
        <w:t>建成投运前，应建立事故应急救援组织体系和安全管理网络，明确应急救援组织领导及相关部门职责，并按规定向政府部门备案。</w:t>
      </w:r>
    </w:p>
    <w:p>
      <w:pPr>
        <w:spacing w:line="500" w:lineRule="exact"/>
        <w:ind w:firstLine="560" w:firstLineChars="200"/>
        <w:rPr>
          <w:rFonts w:eastAsia="仿宋_GB2312"/>
          <w:sz w:val="28"/>
          <w:szCs w:val="28"/>
        </w:rPr>
      </w:pPr>
      <w:r>
        <w:rPr>
          <w:rFonts w:eastAsia="仿宋_GB2312"/>
          <w:sz w:val="28"/>
          <w:szCs w:val="28"/>
        </w:rPr>
        <w:t>建立应急堵漏器材、工具库，器材、工具配套齐全，应急取用方便及时。</w:t>
      </w:r>
    </w:p>
    <w:p>
      <w:pPr>
        <w:spacing w:line="500" w:lineRule="exact"/>
        <w:ind w:firstLine="560" w:firstLineChars="200"/>
        <w:rPr>
          <w:rFonts w:eastAsia="仿宋_GB2312"/>
          <w:sz w:val="28"/>
          <w:szCs w:val="28"/>
        </w:rPr>
      </w:pPr>
      <w:r>
        <w:rPr>
          <w:rFonts w:eastAsia="仿宋_GB2312"/>
          <w:sz w:val="28"/>
          <w:szCs w:val="28"/>
        </w:rPr>
        <w:t>组织全体人员学习事故应急救援预案，定期开展演练，做好总结讲评，不断提高职工处理突发事件的能力，并及时修订预案。</w:t>
      </w:r>
    </w:p>
    <w:p>
      <w:pPr>
        <w:spacing w:line="500" w:lineRule="exact"/>
        <w:ind w:firstLine="560" w:firstLineChars="200"/>
        <w:rPr>
          <w:rFonts w:eastAsia="仿宋_GB2312"/>
          <w:sz w:val="28"/>
          <w:szCs w:val="28"/>
        </w:rPr>
      </w:pPr>
      <w:r>
        <w:rPr>
          <w:rFonts w:eastAsia="仿宋_GB2312"/>
          <w:sz w:val="28"/>
          <w:szCs w:val="28"/>
        </w:rPr>
        <w:t>加强全体人员尤其是作业人员的岗位技术练兵，提高作业人员操作技能，熟知应急救援程序，熟练掌握应急救援过程中的自救、互救方法。</w:t>
      </w:r>
    </w:p>
    <w:p>
      <w:pPr>
        <w:spacing w:line="500" w:lineRule="exact"/>
        <w:ind w:firstLine="560" w:firstLineChars="200"/>
        <w:rPr>
          <w:rFonts w:eastAsia="仿宋_GB2312"/>
          <w:sz w:val="28"/>
          <w:szCs w:val="28"/>
        </w:rPr>
      </w:pPr>
      <w:r>
        <w:rPr>
          <w:rFonts w:eastAsia="仿宋_GB2312"/>
          <w:sz w:val="28"/>
          <w:szCs w:val="28"/>
        </w:rPr>
        <w:t>配备必要的消防、气防器材，熟练掌握消防、气防器材的使用方法，并加强考核。</w:t>
      </w:r>
    </w:p>
    <w:p>
      <w:pPr>
        <w:pStyle w:val="5"/>
        <w:keepLines w:val="0"/>
        <w:widowControl/>
        <w:numPr>
          <w:ilvl w:val="3"/>
          <w:numId w:val="1"/>
        </w:numPr>
        <w:adjustRightInd w:val="0"/>
        <w:snapToGrid w:val="0"/>
        <w:spacing w:after="120" w:afterLines="50"/>
        <w:ind w:left="0" w:firstLine="0"/>
        <w:jc w:val="left"/>
        <w:rPr>
          <w:rFonts w:ascii="Times New Roman" w:hAnsi="Times New Roman"/>
          <w:b/>
        </w:rPr>
      </w:pPr>
      <w:r>
        <w:rPr>
          <w:rFonts w:ascii="Times New Roman" w:hAnsi="Times New Roman"/>
          <w:b/>
        </w:rPr>
        <w:t>应急组织机构、人员</w:t>
      </w:r>
    </w:p>
    <w:p>
      <w:pPr>
        <w:spacing w:line="500" w:lineRule="exact"/>
        <w:ind w:firstLine="570"/>
        <w:rPr>
          <w:rFonts w:eastAsia="仿宋_GB2312"/>
          <w:sz w:val="28"/>
          <w:szCs w:val="28"/>
        </w:rPr>
      </w:pPr>
      <w:r>
        <w:rPr>
          <w:rFonts w:eastAsia="仿宋_GB2312"/>
          <w:sz w:val="28"/>
          <w:szCs w:val="28"/>
        </w:rPr>
        <w:t>公司已成立事故应急救援指挥领导小组，由总经理、副总经理、行政经理及生产主管组成。发生重大事故时，以指挥领导小组为中心，在厂区办公楼内立即成立应急救援指挥部。由总经理任总指挥，负责全公司应急救援工作的组织和指挥。若总经理外出时，由生产管理经理为临时总指挥，全权负责救援工作。</w:t>
      </w:r>
    </w:p>
    <w:p>
      <w:pPr>
        <w:spacing w:line="500" w:lineRule="exact"/>
        <w:ind w:firstLine="570"/>
        <w:rPr>
          <w:rFonts w:eastAsia="仿宋_GB2312"/>
          <w:sz w:val="28"/>
          <w:szCs w:val="28"/>
        </w:rPr>
      </w:pPr>
      <w:r>
        <w:rPr>
          <w:rFonts w:eastAsia="仿宋_GB2312"/>
          <w:sz w:val="28"/>
          <w:szCs w:val="28"/>
        </w:rPr>
        <w:t>领导小组负责资源配置、应急队伍的调动，确定现场指挥人员，协调事故现场有关工作，事故状态下各级人员的职责，事故信息的上报工作，接受政府的指令和调动，组织应急预案的演练，负责保护事故现场及相关数据。</w:t>
      </w:r>
    </w:p>
    <w:p>
      <w:pPr>
        <w:pStyle w:val="5"/>
        <w:keepLines w:val="0"/>
        <w:widowControl/>
        <w:numPr>
          <w:ilvl w:val="3"/>
          <w:numId w:val="1"/>
        </w:numPr>
        <w:adjustRightInd w:val="0"/>
        <w:snapToGrid w:val="0"/>
        <w:spacing w:after="120" w:afterLines="50"/>
        <w:ind w:left="0" w:firstLine="0"/>
        <w:jc w:val="left"/>
        <w:rPr>
          <w:rFonts w:ascii="Times New Roman" w:hAnsi="Times New Roman"/>
          <w:b/>
        </w:rPr>
      </w:pPr>
      <w:r>
        <w:rPr>
          <w:rFonts w:ascii="Times New Roman" w:hAnsi="Times New Roman"/>
          <w:b/>
        </w:rPr>
        <w:t>预案分级响应条件</w:t>
      </w:r>
    </w:p>
    <w:p>
      <w:pPr>
        <w:spacing w:line="500" w:lineRule="exact"/>
        <w:ind w:firstLine="560" w:firstLineChars="200"/>
        <w:rPr>
          <w:rFonts w:eastAsia="仿宋_GB2312"/>
          <w:sz w:val="28"/>
          <w:szCs w:val="28"/>
        </w:rPr>
      </w:pPr>
      <w:r>
        <w:rPr>
          <w:rFonts w:eastAsia="仿宋_GB2312"/>
          <w:sz w:val="28"/>
          <w:szCs w:val="28"/>
        </w:rPr>
        <w:t>依据事故的类别、危害程度的级别和评估结果，在发现以下情况时，必须启动应急方案：</w:t>
      </w:r>
    </w:p>
    <w:p>
      <w:pPr>
        <w:spacing w:line="500" w:lineRule="exact"/>
        <w:ind w:firstLine="560" w:firstLineChars="200"/>
        <w:rPr>
          <w:rFonts w:eastAsia="仿宋_GB2312"/>
          <w:sz w:val="28"/>
          <w:szCs w:val="28"/>
        </w:rPr>
      </w:pPr>
      <w:r>
        <w:rPr>
          <w:rFonts w:hint="eastAsia" w:eastAsia="仿宋_GB2312" w:cs="宋体"/>
          <w:sz w:val="28"/>
          <w:szCs w:val="28"/>
        </w:rPr>
        <w:t>⑴</w:t>
      </w:r>
      <w:r>
        <w:rPr>
          <w:rFonts w:eastAsia="仿宋_GB2312"/>
          <w:sz w:val="28"/>
          <w:szCs w:val="28"/>
        </w:rPr>
        <w:t>水灾、气温过高过低、台风、雷雨、地震；</w:t>
      </w:r>
    </w:p>
    <w:p>
      <w:pPr>
        <w:spacing w:line="500" w:lineRule="exact"/>
        <w:ind w:firstLine="560" w:firstLineChars="200"/>
        <w:rPr>
          <w:rFonts w:eastAsia="仿宋_GB2312"/>
          <w:sz w:val="28"/>
          <w:szCs w:val="28"/>
        </w:rPr>
      </w:pPr>
      <w:r>
        <w:rPr>
          <w:rFonts w:hint="eastAsia" w:eastAsia="仿宋_GB2312" w:cs="宋体"/>
          <w:sz w:val="28"/>
          <w:szCs w:val="28"/>
        </w:rPr>
        <w:t>⑵</w:t>
      </w:r>
      <w:r>
        <w:rPr>
          <w:rFonts w:eastAsia="仿宋_GB2312"/>
          <w:sz w:val="28"/>
          <w:szCs w:val="28"/>
        </w:rPr>
        <w:t>人为灾难如：爆炸威胁；</w:t>
      </w:r>
    </w:p>
    <w:p>
      <w:pPr>
        <w:spacing w:line="500" w:lineRule="exact"/>
        <w:ind w:firstLine="560" w:firstLineChars="200"/>
        <w:rPr>
          <w:rFonts w:eastAsia="仿宋_GB2312"/>
          <w:sz w:val="28"/>
          <w:szCs w:val="28"/>
        </w:rPr>
      </w:pPr>
      <w:r>
        <w:rPr>
          <w:rFonts w:hint="eastAsia" w:eastAsia="仿宋_GB2312" w:cs="宋体"/>
          <w:sz w:val="28"/>
          <w:szCs w:val="28"/>
        </w:rPr>
        <w:t>⑶</w:t>
      </w:r>
      <w:r>
        <w:rPr>
          <w:rFonts w:eastAsia="仿宋_GB2312"/>
          <w:sz w:val="28"/>
          <w:szCs w:val="28"/>
        </w:rPr>
        <w:t>由于突发事故等原因在运输过程中泄露；</w:t>
      </w:r>
    </w:p>
    <w:p>
      <w:pPr>
        <w:spacing w:line="500" w:lineRule="exact"/>
        <w:ind w:firstLine="570"/>
        <w:rPr>
          <w:rFonts w:eastAsia="仿宋_GB2312"/>
          <w:sz w:val="28"/>
          <w:szCs w:val="28"/>
        </w:rPr>
      </w:pPr>
      <w:r>
        <w:rPr>
          <w:rFonts w:eastAsia="仿宋_GB2312"/>
          <w:sz w:val="28"/>
          <w:szCs w:val="28"/>
        </w:rPr>
        <w:t>在生产过程中，生产车间和仓库发生化学品泄漏事故后，岗位操作人员应立即向生产主管、值班长、厂部值班人员汇报并采取相应措施，予以处理。</w:t>
      </w:r>
    </w:p>
    <w:p>
      <w:pPr>
        <w:spacing w:line="500" w:lineRule="exact"/>
        <w:ind w:firstLine="570"/>
        <w:rPr>
          <w:rFonts w:eastAsia="仿宋_GB2312"/>
          <w:sz w:val="28"/>
          <w:szCs w:val="28"/>
        </w:rPr>
      </w:pPr>
      <w:r>
        <w:rPr>
          <w:rFonts w:eastAsia="仿宋_GB2312"/>
          <w:sz w:val="28"/>
          <w:szCs w:val="28"/>
        </w:rPr>
        <w:t>当处理无效，泄漏有扩大趋势时，应及时向公司主管报告；公司主管在接到报告后，下达按应急救援预案处置的指令，立即通知公司应急救援领导小组成员到达现场，并迅速成立应急指挥部，各专业组按各自职责开展应急救援工作。</w:t>
      </w:r>
    </w:p>
    <w:p>
      <w:pPr>
        <w:spacing w:line="500" w:lineRule="exact"/>
        <w:ind w:firstLine="570"/>
        <w:rPr>
          <w:rFonts w:eastAsia="仿宋_GB2312"/>
          <w:sz w:val="28"/>
          <w:szCs w:val="28"/>
        </w:rPr>
      </w:pPr>
      <w:r>
        <w:rPr>
          <w:rFonts w:eastAsia="仿宋_GB2312"/>
          <w:sz w:val="28"/>
          <w:szCs w:val="28"/>
        </w:rPr>
        <w:t>当发生重大泄漏事故时，指挥部成员通知各自所在部门，按专业对口迅速向园区安全部门以及当地安监局、公安局、</w:t>
      </w:r>
      <w:r>
        <w:rPr>
          <w:rFonts w:hint="eastAsia" w:eastAsia="仿宋_GB2312"/>
          <w:sz w:val="28"/>
          <w:szCs w:val="28"/>
        </w:rPr>
        <w:t>生态</w:t>
      </w:r>
      <w:r>
        <w:rPr>
          <w:rFonts w:eastAsia="仿宋_GB2312"/>
          <w:sz w:val="28"/>
          <w:szCs w:val="28"/>
        </w:rPr>
        <w:t>环境局、卫生局等上级领导机关报告事故情况。</w:t>
      </w:r>
    </w:p>
    <w:p>
      <w:pPr>
        <w:pStyle w:val="5"/>
        <w:keepLines w:val="0"/>
        <w:widowControl/>
        <w:numPr>
          <w:ilvl w:val="3"/>
          <w:numId w:val="1"/>
        </w:numPr>
        <w:adjustRightInd w:val="0"/>
        <w:snapToGrid w:val="0"/>
        <w:spacing w:after="120" w:afterLines="50"/>
        <w:ind w:left="0" w:firstLine="0"/>
        <w:jc w:val="left"/>
        <w:rPr>
          <w:rFonts w:ascii="Times New Roman" w:hAnsi="Times New Roman"/>
          <w:b/>
        </w:rPr>
      </w:pPr>
      <w:r>
        <w:rPr>
          <w:rFonts w:ascii="Times New Roman" w:hAnsi="Times New Roman"/>
          <w:b/>
        </w:rPr>
        <w:t>应急救援保障</w:t>
      </w:r>
    </w:p>
    <w:p>
      <w:pPr>
        <w:spacing w:line="500" w:lineRule="exact"/>
        <w:ind w:firstLine="560" w:firstLineChars="200"/>
        <w:rPr>
          <w:rFonts w:eastAsia="仿宋_GB2312"/>
          <w:sz w:val="28"/>
          <w:szCs w:val="28"/>
        </w:rPr>
      </w:pPr>
      <w:r>
        <w:rPr>
          <w:rFonts w:eastAsia="仿宋_GB2312"/>
          <w:sz w:val="28"/>
          <w:szCs w:val="28"/>
        </w:rPr>
        <w:t>救援物资包括：急救箱；担架；合适的灭火器和灭火毯。</w:t>
      </w:r>
    </w:p>
    <w:p>
      <w:pPr>
        <w:spacing w:line="500" w:lineRule="exact"/>
        <w:ind w:firstLine="560" w:firstLineChars="200"/>
        <w:rPr>
          <w:rFonts w:eastAsia="仿宋_GB2312"/>
          <w:sz w:val="28"/>
          <w:szCs w:val="28"/>
        </w:rPr>
      </w:pPr>
      <w:r>
        <w:rPr>
          <w:rFonts w:eastAsia="仿宋_GB2312"/>
          <w:sz w:val="28"/>
          <w:szCs w:val="28"/>
        </w:rPr>
        <w:t>配备以下设备：全套防护服；带有能有效防护化学物质和颗粒的滤毒罐的全面罩式防毒面具；房间消毒设备，如喷雾器；工具，如锤子、斧子、扳手、螺丝刀、梯子和绳子；划分危险区域界限的仪器和标志。</w:t>
      </w:r>
    </w:p>
    <w:p>
      <w:pPr>
        <w:pStyle w:val="5"/>
        <w:keepLines w:val="0"/>
        <w:widowControl/>
        <w:numPr>
          <w:ilvl w:val="3"/>
          <w:numId w:val="1"/>
        </w:numPr>
        <w:adjustRightInd w:val="0"/>
        <w:snapToGrid w:val="0"/>
        <w:spacing w:after="120" w:afterLines="50"/>
        <w:ind w:left="0" w:firstLine="0"/>
        <w:jc w:val="left"/>
        <w:rPr>
          <w:rFonts w:ascii="Times New Roman" w:hAnsi="Times New Roman"/>
          <w:b/>
        </w:rPr>
      </w:pPr>
      <w:r>
        <w:rPr>
          <w:rFonts w:ascii="Times New Roman" w:hAnsi="Times New Roman"/>
          <w:b/>
        </w:rPr>
        <w:t>报警、通讯联络方式</w:t>
      </w:r>
    </w:p>
    <w:p>
      <w:pPr>
        <w:spacing w:line="500" w:lineRule="exact"/>
        <w:ind w:firstLine="570"/>
        <w:rPr>
          <w:rFonts w:eastAsia="仿宋_GB2312"/>
          <w:sz w:val="28"/>
          <w:szCs w:val="28"/>
        </w:rPr>
      </w:pPr>
      <w:r>
        <w:rPr>
          <w:rFonts w:eastAsia="仿宋_GB2312"/>
          <w:sz w:val="28"/>
          <w:szCs w:val="28"/>
        </w:rPr>
        <w:t>(1) 报警</w:t>
      </w:r>
    </w:p>
    <w:p>
      <w:pPr>
        <w:spacing w:line="500" w:lineRule="exact"/>
        <w:ind w:firstLine="570"/>
        <w:rPr>
          <w:rFonts w:eastAsia="仿宋_GB2312"/>
          <w:sz w:val="28"/>
          <w:szCs w:val="28"/>
        </w:rPr>
      </w:pPr>
      <w:r>
        <w:rPr>
          <w:rFonts w:eastAsia="仿宋_GB2312"/>
          <w:sz w:val="28"/>
          <w:szCs w:val="28"/>
        </w:rPr>
        <w:t>公司接警中心白天设在公司安全保卫部，夜间设在公司值班室，各室配有外部电话，生产岗位配有内部电话。在生产过程中，如岗位操作人员或巡检时发现危险目标发生泄漏，应立即采取相应措施处理。操作人员无法控制时，应立即用电话向公司接警室报警。</w:t>
      </w:r>
    </w:p>
    <w:p>
      <w:pPr>
        <w:spacing w:line="500" w:lineRule="exact"/>
        <w:ind w:firstLine="570"/>
        <w:rPr>
          <w:rFonts w:eastAsia="仿宋_GB2312"/>
          <w:sz w:val="28"/>
          <w:szCs w:val="28"/>
        </w:rPr>
      </w:pPr>
      <w:r>
        <w:rPr>
          <w:rFonts w:eastAsia="仿宋_GB2312"/>
          <w:sz w:val="28"/>
          <w:szCs w:val="28"/>
        </w:rPr>
        <w:t>接警室接到报警后，依照泄漏事故的程度，应立即向应急救援领导小组有关人员汇报，确定启动应急救援程序。并通知领导小组其他人员与相关部门。</w:t>
      </w:r>
    </w:p>
    <w:p>
      <w:pPr>
        <w:spacing w:line="500" w:lineRule="exact"/>
        <w:ind w:firstLine="570"/>
        <w:rPr>
          <w:rFonts w:eastAsia="仿宋_GB2312"/>
          <w:sz w:val="28"/>
          <w:szCs w:val="28"/>
        </w:rPr>
      </w:pPr>
      <w:r>
        <w:rPr>
          <w:rFonts w:hint="eastAsia" w:eastAsia="仿宋_GB2312" w:cs="宋体"/>
          <w:sz w:val="28"/>
          <w:szCs w:val="28"/>
        </w:rPr>
        <w:t>⑵</w:t>
      </w:r>
      <w:r>
        <w:rPr>
          <w:rFonts w:eastAsia="仿宋_GB2312"/>
          <w:sz w:val="28"/>
          <w:szCs w:val="28"/>
        </w:rPr>
        <w:t>联络手段</w:t>
      </w:r>
    </w:p>
    <w:p>
      <w:pPr>
        <w:spacing w:line="500" w:lineRule="exact"/>
        <w:ind w:firstLine="560" w:firstLineChars="200"/>
        <w:rPr>
          <w:rFonts w:eastAsia="仿宋_GB2312"/>
          <w:sz w:val="28"/>
          <w:szCs w:val="28"/>
        </w:rPr>
      </w:pPr>
      <w:r>
        <w:rPr>
          <w:rFonts w:eastAsia="仿宋_GB2312"/>
          <w:sz w:val="28"/>
          <w:szCs w:val="28"/>
        </w:rPr>
        <w:t>公司内各部门应该有专门的联系电话，各部门负责人固定电话及手机均要登记，一旦发生事故及时依靠电话通知。在所有电话机附近应显著张贴联系对象电话号码及地址，公司各部门的电话及地址；各车间负责任相关联系方式；环保安全官员；消防队；医院/急救机构；警察；医学官员；负责的技术员；水、气和电的维修部门。</w:t>
      </w:r>
    </w:p>
    <w:p>
      <w:pPr>
        <w:spacing w:line="500" w:lineRule="exact"/>
        <w:ind w:firstLine="570"/>
        <w:rPr>
          <w:rFonts w:eastAsia="仿宋_GB2312"/>
          <w:sz w:val="28"/>
          <w:szCs w:val="28"/>
        </w:rPr>
      </w:pPr>
      <w:r>
        <w:rPr>
          <w:rFonts w:eastAsia="仿宋_GB2312"/>
          <w:sz w:val="28"/>
          <w:szCs w:val="28"/>
        </w:rPr>
        <w:t>运输危险化学品的驾驶员、押运员的的联络方式详细登记，注意在出车前应将本人的手机号码留给领导小组（或安全员）。</w:t>
      </w:r>
    </w:p>
    <w:bookmarkEnd w:id="396"/>
    <w:p>
      <w:pPr>
        <w:pStyle w:val="5"/>
        <w:keepLines w:val="0"/>
        <w:widowControl/>
        <w:numPr>
          <w:ilvl w:val="3"/>
          <w:numId w:val="1"/>
        </w:numPr>
        <w:adjustRightInd w:val="0"/>
        <w:snapToGrid w:val="0"/>
        <w:spacing w:after="120" w:afterLines="50"/>
        <w:ind w:left="0" w:firstLine="0"/>
        <w:jc w:val="left"/>
        <w:rPr>
          <w:rFonts w:ascii="Times New Roman" w:hAnsi="Times New Roman"/>
          <w:b/>
        </w:rPr>
      </w:pPr>
      <w:r>
        <w:rPr>
          <w:rFonts w:ascii="Times New Roman" w:hAnsi="Times New Roman"/>
          <w:b/>
        </w:rPr>
        <w:t>应急环境监测、抢险、救援及控制措施</w:t>
      </w:r>
    </w:p>
    <w:p>
      <w:pPr>
        <w:spacing w:line="500" w:lineRule="exact"/>
        <w:ind w:firstLine="560" w:firstLineChars="200"/>
        <w:rPr>
          <w:rFonts w:eastAsia="仿宋_GB2312"/>
          <w:sz w:val="28"/>
          <w:szCs w:val="28"/>
        </w:rPr>
      </w:pPr>
      <w:r>
        <w:rPr>
          <w:rFonts w:hint="eastAsia" w:eastAsia="仿宋_GB2312" w:cs="宋体"/>
          <w:sz w:val="28"/>
          <w:szCs w:val="28"/>
        </w:rPr>
        <w:t>⑴</w:t>
      </w:r>
      <w:r>
        <w:rPr>
          <w:rFonts w:eastAsia="仿宋_GB2312"/>
          <w:sz w:val="28"/>
          <w:szCs w:val="28"/>
        </w:rPr>
        <w:t>检测的方式、方法</w:t>
      </w:r>
    </w:p>
    <w:p>
      <w:pPr>
        <w:pStyle w:val="152"/>
        <w:spacing w:before="48" w:line="500" w:lineRule="exact"/>
        <w:ind w:firstLine="560"/>
        <w:rPr>
          <w:rFonts w:eastAsia="仿宋_GB2312"/>
          <w:sz w:val="28"/>
          <w:szCs w:val="28"/>
        </w:rPr>
      </w:pPr>
      <w:r>
        <w:rPr>
          <w:rFonts w:eastAsia="仿宋_GB2312"/>
          <w:sz w:val="28"/>
          <w:szCs w:val="28"/>
        </w:rPr>
        <w:t>环保检测人员到达现场后，查明泄漏物质浓度和扩散情况，根据当时风向、风速、判断扩散和方向、速度，并对泄漏气体下风向扩散区域进行监测，监测情况及时向指挥部报告。必要时根据指挥部决定通知气体扩散区域内的员工撤离或指挥采取简易有效的保护措施。</w:t>
      </w:r>
    </w:p>
    <w:p>
      <w:pPr>
        <w:pStyle w:val="868"/>
        <w:ind w:firstLine="560"/>
      </w:pPr>
      <w:r>
        <w:t>应急监测因子主要包括大气监测因子和水质监测因子，具体如下：</w:t>
      </w:r>
    </w:p>
    <w:p>
      <w:pPr>
        <w:pStyle w:val="868"/>
        <w:ind w:firstLine="560"/>
      </w:pPr>
      <w:r>
        <w:t>大气监测因子：</w:t>
      </w:r>
      <w:r>
        <w:rPr>
          <w:rFonts w:hint="eastAsia"/>
        </w:rPr>
        <w:t>二甲苯</w:t>
      </w:r>
      <w:r>
        <w:t>、</w:t>
      </w:r>
      <w:r>
        <w:rPr>
          <w:rFonts w:hint="eastAsia"/>
        </w:rPr>
        <w:t>乙酸乙酯、非甲烷总烃</w:t>
      </w:r>
    </w:p>
    <w:p>
      <w:pPr>
        <w:pStyle w:val="868"/>
        <w:ind w:firstLine="560"/>
      </w:pPr>
      <w:r>
        <w:t>水质监测因子：pH、</w:t>
      </w:r>
      <w:r>
        <w:rPr>
          <w:rFonts w:hint="eastAsia"/>
        </w:rPr>
        <w:t>二甲苯、乙酸乙酯</w:t>
      </w:r>
    </w:p>
    <w:p>
      <w:pPr>
        <w:pStyle w:val="868"/>
        <w:ind w:firstLine="560"/>
      </w:pPr>
      <w:r>
        <w:t>事故发生时下风向的厂界各设一监测点。</w:t>
      </w:r>
    </w:p>
    <w:p>
      <w:pPr>
        <w:snapToGrid w:val="0"/>
        <w:spacing w:line="500" w:lineRule="exact"/>
        <w:jc w:val="center"/>
        <w:rPr>
          <w:rFonts w:eastAsia="仿宋_GB2312"/>
          <w:sz w:val="24"/>
        </w:rPr>
      </w:pPr>
      <w:r>
        <w:rPr>
          <w:rFonts w:eastAsia="仿宋_GB2312"/>
          <w:b/>
          <w:sz w:val="24"/>
        </w:rPr>
        <w:t>表6.6-4    监测点位布设情况</w:t>
      </w:r>
    </w:p>
    <w:tbl>
      <w:tblPr>
        <w:tblStyle w:val="87"/>
        <w:tblW w:w="457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18"/>
        <w:gridCol w:w="4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807" w:type="pct"/>
            <w:vAlign w:val="center"/>
          </w:tcPr>
          <w:p>
            <w:pPr>
              <w:spacing w:line="240" w:lineRule="exact"/>
              <w:jc w:val="center"/>
              <w:rPr>
                <w:rFonts w:ascii="仿宋" w:hAnsi="仿宋" w:eastAsia="仿宋" w:cs="仿宋"/>
                <w:bCs/>
                <w:szCs w:val="21"/>
              </w:rPr>
            </w:pPr>
            <w:r>
              <w:rPr>
                <w:rFonts w:ascii="仿宋" w:hAnsi="仿宋" w:eastAsia="仿宋" w:cs="仿宋"/>
                <w:bCs/>
                <w:szCs w:val="21"/>
              </w:rPr>
              <w:t>风向</w:t>
            </w:r>
          </w:p>
        </w:tc>
        <w:tc>
          <w:tcPr>
            <w:tcW w:w="3192" w:type="pct"/>
            <w:vAlign w:val="center"/>
          </w:tcPr>
          <w:p>
            <w:pPr>
              <w:spacing w:line="240" w:lineRule="exact"/>
              <w:jc w:val="center"/>
              <w:rPr>
                <w:rFonts w:ascii="仿宋" w:hAnsi="仿宋" w:eastAsia="仿宋" w:cs="仿宋"/>
                <w:bCs/>
                <w:szCs w:val="21"/>
              </w:rPr>
            </w:pPr>
            <w:r>
              <w:rPr>
                <w:rFonts w:ascii="仿宋" w:hAnsi="仿宋" w:eastAsia="仿宋" w:cs="仿宋"/>
                <w:bCs/>
                <w:szCs w:val="21"/>
              </w:rPr>
              <w:t>监测厂界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1807" w:type="pct"/>
            <w:vAlign w:val="center"/>
          </w:tcPr>
          <w:p>
            <w:pPr>
              <w:spacing w:line="240" w:lineRule="exact"/>
              <w:jc w:val="center"/>
              <w:rPr>
                <w:rFonts w:ascii="仿宋" w:hAnsi="仿宋" w:eastAsia="仿宋" w:cs="仿宋"/>
                <w:bCs/>
                <w:szCs w:val="21"/>
              </w:rPr>
            </w:pPr>
            <w:r>
              <w:rPr>
                <w:rFonts w:ascii="仿宋" w:hAnsi="仿宋" w:eastAsia="仿宋" w:cs="仿宋"/>
                <w:bCs/>
                <w:szCs w:val="21"/>
              </w:rPr>
              <w:t>东风</w:t>
            </w:r>
          </w:p>
        </w:tc>
        <w:tc>
          <w:tcPr>
            <w:tcW w:w="3192" w:type="pct"/>
            <w:vAlign w:val="center"/>
          </w:tcPr>
          <w:p>
            <w:pPr>
              <w:spacing w:line="240" w:lineRule="exact"/>
              <w:jc w:val="center"/>
              <w:rPr>
                <w:rFonts w:ascii="仿宋" w:hAnsi="仿宋" w:eastAsia="仿宋" w:cs="仿宋"/>
                <w:bCs/>
                <w:szCs w:val="21"/>
              </w:rPr>
            </w:pPr>
            <w:r>
              <w:rPr>
                <w:rFonts w:ascii="仿宋" w:hAnsi="仿宋" w:eastAsia="仿宋" w:cs="仿宋"/>
                <w:bCs/>
                <w:szCs w:val="21"/>
              </w:rPr>
              <w:t>西厂界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1807" w:type="pct"/>
            <w:vAlign w:val="center"/>
          </w:tcPr>
          <w:p>
            <w:pPr>
              <w:spacing w:line="240" w:lineRule="exact"/>
              <w:jc w:val="center"/>
              <w:rPr>
                <w:rFonts w:ascii="仿宋" w:hAnsi="仿宋" w:eastAsia="仿宋" w:cs="仿宋"/>
                <w:bCs/>
                <w:szCs w:val="21"/>
              </w:rPr>
            </w:pPr>
            <w:r>
              <w:rPr>
                <w:rFonts w:ascii="仿宋" w:hAnsi="仿宋" w:eastAsia="仿宋" w:cs="仿宋"/>
                <w:bCs/>
                <w:szCs w:val="21"/>
              </w:rPr>
              <w:t>南风</w:t>
            </w:r>
          </w:p>
        </w:tc>
        <w:tc>
          <w:tcPr>
            <w:tcW w:w="3192" w:type="pct"/>
            <w:vAlign w:val="center"/>
          </w:tcPr>
          <w:p>
            <w:pPr>
              <w:spacing w:line="240" w:lineRule="exact"/>
              <w:jc w:val="center"/>
              <w:rPr>
                <w:rFonts w:ascii="仿宋" w:hAnsi="仿宋" w:eastAsia="仿宋" w:cs="仿宋"/>
                <w:bCs/>
                <w:szCs w:val="21"/>
              </w:rPr>
            </w:pPr>
            <w:r>
              <w:rPr>
                <w:rFonts w:ascii="仿宋" w:hAnsi="仿宋" w:eastAsia="仿宋" w:cs="仿宋"/>
                <w:bCs/>
                <w:szCs w:val="21"/>
              </w:rPr>
              <w:t>北厂界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1807" w:type="pct"/>
            <w:vAlign w:val="center"/>
          </w:tcPr>
          <w:p>
            <w:pPr>
              <w:spacing w:line="240" w:lineRule="exact"/>
              <w:jc w:val="center"/>
              <w:rPr>
                <w:rFonts w:ascii="仿宋" w:hAnsi="仿宋" w:eastAsia="仿宋" w:cs="仿宋"/>
                <w:bCs/>
                <w:szCs w:val="21"/>
              </w:rPr>
            </w:pPr>
            <w:r>
              <w:rPr>
                <w:rFonts w:ascii="仿宋" w:hAnsi="仿宋" w:eastAsia="仿宋" w:cs="仿宋"/>
                <w:bCs/>
                <w:szCs w:val="21"/>
              </w:rPr>
              <w:t>西风</w:t>
            </w:r>
          </w:p>
        </w:tc>
        <w:tc>
          <w:tcPr>
            <w:tcW w:w="3192" w:type="pct"/>
            <w:vAlign w:val="center"/>
          </w:tcPr>
          <w:p>
            <w:pPr>
              <w:spacing w:line="240" w:lineRule="exact"/>
              <w:jc w:val="center"/>
              <w:rPr>
                <w:rFonts w:ascii="仿宋" w:hAnsi="仿宋" w:eastAsia="仿宋" w:cs="仿宋"/>
                <w:bCs/>
                <w:szCs w:val="21"/>
              </w:rPr>
            </w:pPr>
            <w:r>
              <w:rPr>
                <w:rFonts w:ascii="仿宋" w:hAnsi="仿宋" w:eastAsia="仿宋" w:cs="仿宋"/>
                <w:bCs/>
                <w:szCs w:val="21"/>
              </w:rPr>
              <w:t>东厂界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3" w:hRule="atLeast"/>
          <w:jc w:val="center"/>
        </w:trPr>
        <w:tc>
          <w:tcPr>
            <w:tcW w:w="1807" w:type="pct"/>
            <w:vAlign w:val="center"/>
          </w:tcPr>
          <w:p>
            <w:pPr>
              <w:spacing w:line="240" w:lineRule="exact"/>
              <w:jc w:val="center"/>
              <w:rPr>
                <w:rFonts w:ascii="仿宋" w:hAnsi="仿宋" w:eastAsia="仿宋" w:cs="仿宋"/>
                <w:bCs/>
                <w:szCs w:val="21"/>
              </w:rPr>
            </w:pPr>
            <w:r>
              <w:rPr>
                <w:rFonts w:ascii="仿宋" w:hAnsi="仿宋" w:eastAsia="仿宋" w:cs="仿宋"/>
                <w:bCs/>
                <w:szCs w:val="21"/>
              </w:rPr>
              <w:t>北风</w:t>
            </w:r>
          </w:p>
        </w:tc>
        <w:tc>
          <w:tcPr>
            <w:tcW w:w="3192" w:type="pct"/>
            <w:vAlign w:val="center"/>
          </w:tcPr>
          <w:p>
            <w:pPr>
              <w:spacing w:line="240" w:lineRule="exact"/>
              <w:jc w:val="center"/>
              <w:rPr>
                <w:rFonts w:ascii="仿宋" w:hAnsi="仿宋" w:eastAsia="仿宋" w:cs="仿宋"/>
                <w:bCs/>
                <w:szCs w:val="21"/>
              </w:rPr>
            </w:pPr>
            <w:r>
              <w:rPr>
                <w:rFonts w:ascii="仿宋" w:hAnsi="仿宋" w:eastAsia="仿宋" w:cs="仿宋"/>
                <w:bCs/>
                <w:szCs w:val="21"/>
              </w:rPr>
              <w:t>南厂界</w:t>
            </w:r>
          </w:p>
        </w:tc>
      </w:tr>
    </w:tbl>
    <w:p>
      <w:pPr>
        <w:spacing w:line="500" w:lineRule="exact"/>
        <w:ind w:firstLine="560" w:firstLineChars="200"/>
        <w:rPr>
          <w:rFonts w:eastAsia="仿宋_GB2312"/>
          <w:sz w:val="28"/>
          <w:szCs w:val="28"/>
        </w:rPr>
      </w:pPr>
      <w:r>
        <w:rPr>
          <w:rFonts w:hint="eastAsia" w:eastAsia="仿宋_GB2312" w:cs="宋体"/>
          <w:sz w:val="28"/>
          <w:szCs w:val="28"/>
        </w:rPr>
        <w:t>⑵</w:t>
      </w:r>
      <w:r>
        <w:rPr>
          <w:rFonts w:eastAsia="仿宋_GB2312"/>
          <w:sz w:val="28"/>
          <w:szCs w:val="28"/>
        </w:rPr>
        <w:t>抢险救援方式、方法</w:t>
      </w:r>
    </w:p>
    <w:p>
      <w:pPr>
        <w:pStyle w:val="152"/>
        <w:spacing w:before="48" w:line="500" w:lineRule="exact"/>
        <w:ind w:firstLine="560"/>
        <w:rPr>
          <w:rFonts w:eastAsia="仿宋_GB2312"/>
          <w:sz w:val="28"/>
          <w:szCs w:val="28"/>
        </w:rPr>
      </w:pPr>
      <w:r>
        <w:rPr>
          <w:rFonts w:eastAsia="仿宋_GB2312"/>
          <w:sz w:val="28"/>
          <w:szCs w:val="28"/>
        </w:rPr>
        <w:t>抢险抢修队到达现场后，根据指挥部下达的抢修指令，迅速进行抢修设备，控制事故、以及防止事故扩大。</w:t>
      </w:r>
    </w:p>
    <w:p>
      <w:pPr>
        <w:pStyle w:val="152"/>
        <w:spacing w:before="48" w:line="500" w:lineRule="exact"/>
        <w:ind w:firstLine="560"/>
        <w:rPr>
          <w:rFonts w:eastAsia="仿宋_GB2312"/>
          <w:sz w:val="28"/>
          <w:szCs w:val="28"/>
        </w:rPr>
      </w:pPr>
      <w:r>
        <w:rPr>
          <w:rFonts w:eastAsia="仿宋_GB2312"/>
          <w:sz w:val="28"/>
          <w:szCs w:val="28"/>
        </w:rPr>
        <w:t>医疗救护队到达现场后，与消防车队配合，就立即救护伤员和中毒人员，对中毒人员应根据中毒症状及时采取相应的应急措施，对伤员进行医疗处置或输氧急救，重伤员应及时转送医院抢救。</w:t>
      </w:r>
    </w:p>
    <w:p>
      <w:pPr>
        <w:pStyle w:val="152"/>
        <w:spacing w:before="48" w:line="500" w:lineRule="exact"/>
        <w:ind w:firstLine="560"/>
        <w:rPr>
          <w:rFonts w:eastAsia="仿宋_GB2312"/>
          <w:sz w:val="28"/>
          <w:szCs w:val="28"/>
        </w:rPr>
      </w:pPr>
      <w:r>
        <w:rPr>
          <w:rFonts w:eastAsia="仿宋_GB2312"/>
          <w:sz w:val="28"/>
          <w:szCs w:val="28"/>
        </w:rPr>
        <w:t>治安队到达现场后，迅速组织救援伤员撤离，组织安保人员在事故现场周围设岗划分禁区或加强警戒和巡逻检查，严禁无关人员进入禁区。</w:t>
      </w:r>
    </w:p>
    <w:p>
      <w:pPr>
        <w:pStyle w:val="152"/>
        <w:spacing w:before="48" w:line="500" w:lineRule="exact"/>
        <w:ind w:firstLine="560"/>
        <w:rPr>
          <w:rFonts w:eastAsia="仿宋_GB2312"/>
          <w:sz w:val="28"/>
          <w:szCs w:val="28"/>
        </w:rPr>
      </w:pPr>
      <w:r>
        <w:rPr>
          <w:rFonts w:eastAsia="仿宋_GB2312"/>
          <w:sz w:val="28"/>
          <w:szCs w:val="28"/>
        </w:rPr>
        <w:t>消防队接到报警后，应迅速赶往事故现场，根据当时风向，消防车应停留上风方向，或停在禁区外，消防人员佩戴好防护器具，进入禁区，查明有无中毒人员，以最快速度将中毒者脱离现场，协助事故发生部门迅速切断事故源和切除现场的易燃易爆物品。</w:t>
      </w:r>
    </w:p>
    <w:p>
      <w:pPr>
        <w:spacing w:line="500" w:lineRule="exact"/>
        <w:ind w:firstLine="560" w:firstLineChars="200"/>
        <w:rPr>
          <w:rFonts w:eastAsia="仿宋_GB2312"/>
          <w:sz w:val="28"/>
          <w:szCs w:val="28"/>
        </w:rPr>
      </w:pPr>
      <w:r>
        <w:rPr>
          <w:rFonts w:hint="eastAsia" w:eastAsia="仿宋_GB2312" w:cs="宋体"/>
          <w:sz w:val="28"/>
          <w:szCs w:val="28"/>
        </w:rPr>
        <w:t>⑶</w:t>
      </w:r>
      <w:r>
        <w:rPr>
          <w:rFonts w:eastAsia="仿宋_GB2312"/>
          <w:sz w:val="28"/>
          <w:szCs w:val="28"/>
        </w:rPr>
        <w:t>控制事故扩大的措施</w:t>
      </w:r>
    </w:p>
    <w:p>
      <w:pPr>
        <w:pStyle w:val="152"/>
        <w:spacing w:before="48" w:line="500" w:lineRule="exact"/>
        <w:ind w:firstLine="560"/>
        <w:rPr>
          <w:rFonts w:eastAsia="仿宋_GB2312"/>
          <w:sz w:val="28"/>
          <w:szCs w:val="28"/>
        </w:rPr>
      </w:pPr>
      <w:r>
        <w:rPr>
          <w:rFonts w:eastAsia="仿宋_GB2312"/>
          <w:sz w:val="28"/>
          <w:szCs w:val="28"/>
        </w:rPr>
        <w:t>发生事故的部门就迅速查明事故发生源点、泄漏部位和原因，凡能切断泄漏源而能消除事故的，则以自救为主。如泄漏的部位自己不能控制的，应向指挥部报告并提出堵漏或抢修的具体措施。</w:t>
      </w:r>
    </w:p>
    <w:p>
      <w:pPr>
        <w:pStyle w:val="152"/>
        <w:spacing w:before="48" w:line="500" w:lineRule="exact"/>
        <w:ind w:firstLine="560"/>
        <w:rPr>
          <w:rFonts w:eastAsia="仿宋_GB2312"/>
          <w:sz w:val="28"/>
          <w:szCs w:val="28"/>
        </w:rPr>
      </w:pPr>
      <w:r>
        <w:rPr>
          <w:rFonts w:eastAsia="仿宋_GB2312"/>
          <w:sz w:val="28"/>
          <w:szCs w:val="28"/>
        </w:rPr>
        <w:t>指挥部成员到达现场后，根据事故状况及危害程度作出相应的应急决定，并命令各应急救援专业队立即开展抢救抢险。如事故扩大时，应请求救援。如易燃易爆液体大量泄漏，则由治安队命令在发生事故的部门和一定区域内停止一切作业，所有电气设备和照明保持原来状态，机动车辆撤离或就地熄火停驶。</w:t>
      </w:r>
    </w:p>
    <w:p>
      <w:pPr>
        <w:pStyle w:val="152"/>
        <w:spacing w:before="48" w:line="500" w:lineRule="exact"/>
        <w:ind w:firstLine="560"/>
        <w:rPr>
          <w:rFonts w:eastAsia="仿宋_GB2312"/>
          <w:sz w:val="28"/>
          <w:szCs w:val="28"/>
        </w:rPr>
      </w:pPr>
      <w:r>
        <w:rPr>
          <w:rFonts w:eastAsia="仿宋_GB2312"/>
          <w:sz w:val="28"/>
          <w:szCs w:val="28"/>
        </w:rPr>
        <w:t>生产部、安保部到达现场后，会同发生事故的部门在查明液体外泄部位和范围后，视能否控制，作出局部或全部停车的决定。若需紧急停车，则按紧急停车的程序迅速进行。</w:t>
      </w:r>
    </w:p>
    <w:p>
      <w:pPr>
        <w:pStyle w:val="152"/>
        <w:spacing w:before="48" w:line="500" w:lineRule="exact"/>
        <w:ind w:firstLine="560"/>
        <w:rPr>
          <w:rFonts w:eastAsia="仿宋_GB2312"/>
          <w:sz w:val="28"/>
          <w:szCs w:val="28"/>
        </w:rPr>
      </w:pPr>
      <w:r>
        <w:rPr>
          <w:rFonts w:eastAsia="仿宋_GB2312"/>
          <w:sz w:val="28"/>
          <w:szCs w:val="28"/>
        </w:rPr>
        <w:t>抢险抢修队到达现场后，应根据不同的泄漏部位，采取相应的堵漏措施，在做好个人防护的基础上，以最开的速度及时堵漏排险，减少泄漏，消除危险源。</w:t>
      </w:r>
    </w:p>
    <w:p>
      <w:pPr>
        <w:spacing w:line="500" w:lineRule="exact"/>
        <w:ind w:firstLine="560" w:firstLineChars="200"/>
        <w:rPr>
          <w:rFonts w:eastAsia="仿宋_GB2312"/>
          <w:sz w:val="28"/>
          <w:szCs w:val="28"/>
        </w:rPr>
      </w:pPr>
      <w:r>
        <w:rPr>
          <w:rFonts w:hint="eastAsia" w:eastAsia="仿宋_GB2312" w:cs="宋体"/>
          <w:sz w:val="28"/>
          <w:szCs w:val="28"/>
        </w:rPr>
        <w:t>⑷</w:t>
      </w:r>
      <w:r>
        <w:rPr>
          <w:rFonts w:eastAsia="仿宋_GB2312"/>
          <w:sz w:val="28"/>
          <w:szCs w:val="28"/>
        </w:rPr>
        <w:t>事故可能扩大后的应急措施</w:t>
      </w:r>
    </w:p>
    <w:p>
      <w:pPr>
        <w:pStyle w:val="152"/>
        <w:spacing w:before="48" w:line="500" w:lineRule="exact"/>
        <w:ind w:firstLine="560"/>
        <w:rPr>
          <w:rFonts w:eastAsia="仿宋_GB2312"/>
          <w:sz w:val="28"/>
          <w:szCs w:val="28"/>
        </w:rPr>
      </w:pPr>
      <w:r>
        <w:rPr>
          <w:rFonts w:eastAsia="仿宋_GB2312"/>
          <w:sz w:val="28"/>
          <w:szCs w:val="28"/>
        </w:rPr>
        <w:t>如果发生重大泄漏事故，指挥部成员通知自己所在部门，按专业对口迅速向主管部门和公安、安监、消防、环保、卫生等上级领导机关报告事故情况。</w:t>
      </w:r>
    </w:p>
    <w:p>
      <w:pPr>
        <w:pStyle w:val="152"/>
        <w:spacing w:before="48" w:line="500" w:lineRule="exact"/>
        <w:ind w:firstLine="560"/>
        <w:rPr>
          <w:rFonts w:eastAsia="仿宋_GB2312"/>
          <w:sz w:val="28"/>
          <w:szCs w:val="28"/>
        </w:rPr>
      </w:pPr>
      <w:r>
        <w:rPr>
          <w:rFonts w:eastAsia="仿宋_GB2312"/>
          <w:sz w:val="28"/>
          <w:szCs w:val="28"/>
        </w:rPr>
        <w:t>由指挥部下达紧急安全疏散命令。</w:t>
      </w:r>
    </w:p>
    <w:p>
      <w:pPr>
        <w:pStyle w:val="152"/>
        <w:spacing w:before="48" w:line="500" w:lineRule="exact"/>
        <w:ind w:firstLine="560"/>
        <w:rPr>
          <w:rFonts w:eastAsia="仿宋_GB2312"/>
          <w:sz w:val="28"/>
          <w:szCs w:val="28"/>
        </w:rPr>
      </w:pPr>
      <w:r>
        <w:rPr>
          <w:rFonts w:eastAsia="仿宋_GB2312"/>
          <w:sz w:val="28"/>
          <w:szCs w:val="28"/>
        </w:rPr>
        <w:t>一旦发生重大泄漏事故，本单位抢险抢修力量不足或有可能危及社会安全时，由指挥部立即向上级和友邻单位通报，必要时请求社会力量帮助。社会援助队伍进入厂区时，由安保部人员联络、引导并告知注意事项。</w:t>
      </w:r>
    </w:p>
    <w:p>
      <w:pPr>
        <w:pStyle w:val="5"/>
        <w:keepLines w:val="0"/>
        <w:widowControl/>
        <w:numPr>
          <w:ilvl w:val="3"/>
          <w:numId w:val="1"/>
        </w:numPr>
        <w:adjustRightInd w:val="0"/>
        <w:snapToGrid w:val="0"/>
        <w:spacing w:after="120" w:afterLines="50"/>
        <w:ind w:left="0" w:firstLine="0"/>
        <w:jc w:val="left"/>
        <w:rPr>
          <w:rFonts w:ascii="Times New Roman" w:hAnsi="Times New Roman"/>
          <w:b/>
        </w:rPr>
      </w:pPr>
      <w:r>
        <w:rPr>
          <w:rFonts w:ascii="Times New Roman" w:hAnsi="Times New Roman"/>
          <w:b/>
        </w:rPr>
        <w:t>应急检测、防护措施、清除泄漏措施和器材</w:t>
      </w:r>
    </w:p>
    <w:p>
      <w:pPr>
        <w:pStyle w:val="152"/>
        <w:spacing w:before="48" w:line="500" w:lineRule="exact"/>
        <w:ind w:firstLine="560"/>
        <w:rPr>
          <w:rFonts w:eastAsia="仿宋_GB2312"/>
          <w:sz w:val="28"/>
          <w:szCs w:val="28"/>
        </w:rPr>
      </w:pPr>
      <w:r>
        <w:rPr>
          <w:rFonts w:eastAsia="仿宋_GB2312"/>
          <w:sz w:val="28"/>
          <w:szCs w:val="28"/>
        </w:rPr>
        <w:t>事故发生后由专业队伍负责对事故现场进行侦察监测。检测、抢险、救援人员进入有毒区域必须事先了解有毒区域的地形，建筑物分布，有无燃烧爆炸的危险，物料泄漏的大致数量和浓度，选择合适的防毒用品，必要时穿好防化服。</w:t>
      </w:r>
    </w:p>
    <w:p>
      <w:pPr>
        <w:pStyle w:val="152"/>
        <w:spacing w:before="48" w:line="500" w:lineRule="exact"/>
        <w:ind w:firstLine="560"/>
        <w:rPr>
          <w:rFonts w:eastAsia="仿宋_GB2312"/>
          <w:sz w:val="28"/>
          <w:szCs w:val="28"/>
        </w:rPr>
      </w:pPr>
      <w:r>
        <w:rPr>
          <w:rFonts w:eastAsia="仿宋_GB2312"/>
          <w:sz w:val="28"/>
          <w:szCs w:val="28"/>
        </w:rPr>
        <w:t>应至少2-3人为一组集体行动，以便互相照应。每组人员中必须明确一位负责人作为监护人，各负责人应用通信工具随时与指挥部联系。</w:t>
      </w:r>
    </w:p>
    <w:p>
      <w:pPr>
        <w:spacing w:line="500" w:lineRule="exact"/>
        <w:ind w:firstLine="560" w:firstLineChars="200"/>
        <w:rPr>
          <w:rFonts w:eastAsia="仿宋_GB2312"/>
          <w:sz w:val="28"/>
          <w:szCs w:val="28"/>
        </w:rPr>
      </w:pPr>
      <w:r>
        <w:rPr>
          <w:rFonts w:hint="eastAsia" w:eastAsia="仿宋_GB2312" w:cs="宋体"/>
          <w:sz w:val="28"/>
          <w:szCs w:val="28"/>
        </w:rPr>
        <w:t>⑴</w:t>
      </w:r>
      <w:r>
        <w:rPr>
          <w:rFonts w:eastAsia="仿宋_GB2312"/>
          <w:sz w:val="28"/>
          <w:szCs w:val="28"/>
        </w:rPr>
        <w:t>事故现场的保护</w:t>
      </w:r>
    </w:p>
    <w:p>
      <w:pPr>
        <w:pStyle w:val="152"/>
        <w:spacing w:before="48" w:line="500" w:lineRule="exact"/>
        <w:ind w:firstLine="560"/>
        <w:rPr>
          <w:rFonts w:eastAsia="仿宋_GB2312"/>
          <w:sz w:val="28"/>
          <w:szCs w:val="28"/>
        </w:rPr>
      </w:pPr>
      <w:r>
        <w:rPr>
          <w:rFonts w:eastAsia="仿宋_GB2312"/>
          <w:sz w:val="28"/>
          <w:szCs w:val="28"/>
        </w:rPr>
        <w:t>设置内部警戒线，以保护现场和维护现场的秩序；保护事故现场被破坏的设备部件，碎片、残留物等及其位置；在现场搜集到的所有物件应贴上标签，注明地点、时间及管理者；对搜集到的物件应保持原样，不准冲洗擦拭。</w:t>
      </w:r>
    </w:p>
    <w:p>
      <w:pPr>
        <w:spacing w:line="500" w:lineRule="exact"/>
        <w:ind w:firstLine="560" w:firstLineChars="200"/>
        <w:rPr>
          <w:rFonts w:eastAsia="仿宋_GB2312"/>
          <w:sz w:val="28"/>
          <w:szCs w:val="28"/>
        </w:rPr>
      </w:pPr>
      <w:r>
        <w:rPr>
          <w:rFonts w:hint="eastAsia" w:eastAsia="仿宋_GB2312" w:cs="宋体"/>
          <w:sz w:val="28"/>
          <w:szCs w:val="28"/>
        </w:rPr>
        <w:t>⑵</w:t>
      </w:r>
      <w:r>
        <w:rPr>
          <w:rFonts w:eastAsia="仿宋_GB2312"/>
          <w:sz w:val="28"/>
          <w:szCs w:val="28"/>
        </w:rPr>
        <w:t>事故发生后采取的处理措施</w:t>
      </w:r>
    </w:p>
    <w:p>
      <w:pPr>
        <w:pStyle w:val="44"/>
        <w:spacing w:line="5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宋体"/>
          <w:sz w:val="28"/>
          <w:szCs w:val="28"/>
        </w:rPr>
        <w:t>①</w:t>
      </w:r>
      <w:r>
        <w:rPr>
          <w:rFonts w:ascii="Times New Roman" w:hAnsi="Times New Roman" w:eastAsia="仿宋_GB2312" w:cs="Times New Roman"/>
          <w:sz w:val="28"/>
          <w:szCs w:val="28"/>
        </w:rPr>
        <w:t>危险品仓库发生泄漏处理措施</w:t>
      </w:r>
    </w:p>
    <w:p>
      <w:pPr>
        <w:pStyle w:val="44"/>
        <w:spacing w:line="50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因工作失误造成原料桶破损，立即堵住原料桶破裂口，用砂土之类惰性材料覆盖泄漏物或用泵将泄漏液体抽到容器中，集中进行处理，同时将附近其它原料桶搬离泄漏区域。</w:t>
      </w:r>
    </w:p>
    <w:p>
      <w:pPr>
        <w:pStyle w:val="44"/>
        <w:spacing w:line="5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宋体"/>
          <w:sz w:val="28"/>
          <w:szCs w:val="28"/>
        </w:rPr>
        <w:t>②</w:t>
      </w:r>
      <w:r>
        <w:rPr>
          <w:rFonts w:ascii="Times New Roman" w:hAnsi="Times New Roman" w:eastAsia="仿宋_GB2312" w:cs="Times New Roman"/>
          <w:sz w:val="28"/>
          <w:szCs w:val="28"/>
        </w:rPr>
        <w:t>火灾、爆炸处理措施</w:t>
      </w:r>
    </w:p>
    <w:p>
      <w:pPr>
        <w:pStyle w:val="44"/>
        <w:spacing w:line="50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一旦发生易燃液体火灾、爆炸，应立即采取以下措施：</w:t>
      </w:r>
    </w:p>
    <w:p>
      <w:pPr>
        <w:pStyle w:val="44"/>
        <w:spacing w:line="50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a.迅速报警；</w:t>
      </w:r>
    </w:p>
    <w:p>
      <w:pPr>
        <w:pStyle w:val="44"/>
        <w:spacing w:line="50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b.由救援的泡沫消防车对着火地点注入泡沫灭火；</w:t>
      </w:r>
    </w:p>
    <w:p>
      <w:pPr>
        <w:pStyle w:val="44"/>
        <w:spacing w:line="50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c.对就近设备用水在外壁进行喷淋冷却保护，直至火灾扑灭；</w:t>
      </w:r>
    </w:p>
    <w:p>
      <w:pPr>
        <w:pStyle w:val="44"/>
        <w:spacing w:line="50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d.立即疏散无关人员并建立警戒区；</w:t>
      </w:r>
    </w:p>
    <w:p>
      <w:pPr>
        <w:pStyle w:val="44"/>
        <w:spacing w:line="50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e.根据危险目标火灾、爆炸影响范围实施隔离区域；</w:t>
      </w:r>
    </w:p>
    <w:p>
      <w:pPr>
        <w:pStyle w:val="44"/>
        <w:spacing w:line="50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f.如果二次爆炸难以避免，应当机立断，撤出所有抢险人员至安全区域；</w:t>
      </w:r>
    </w:p>
    <w:p>
      <w:pPr>
        <w:pStyle w:val="44"/>
        <w:spacing w:line="50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g.抢险人员均应戴正压自给式呼吸器，着防化服。</w:t>
      </w:r>
    </w:p>
    <w:p>
      <w:pPr>
        <w:pStyle w:val="152"/>
        <w:spacing w:before="48" w:line="500" w:lineRule="exact"/>
        <w:ind w:firstLine="560"/>
        <w:rPr>
          <w:rFonts w:eastAsia="仿宋_GB2312"/>
          <w:sz w:val="28"/>
          <w:szCs w:val="28"/>
        </w:rPr>
      </w:pPr>
      <w:r>
        <w:rPr>
          <w:rFonts w:hint="eastAsia" w:eastAsia="仿宋_GB2312" w:cs="宋体"/>
          <w:sz w:val="28"/>
          <w:szCs w:val="28"/>
        </w:rPr>
        <w:t>⑶</w:t>
      </w:r>
      <w:r>
        <w:rPr>
          <w:rFonts w:eastAsia="仿宋_GB2312"/>
          <w:sz w:val="28"/>
          <w:szCs w:val="28"/>
        </w:rPr>
        <w:t>事故现场的洗消</w:t>
      </w:r>
    </w:p>
    <w:p>
      <w:pPr>
        <w:pStyle w:val="152"/>
        <w:spacing w:before="48" w:line="500" w:lineRule="exact"/>
        <w:ind w:firstLine="560"/>
        <w:rPr>
          <w:rFonts w:eastAsia="仿宋_GB2312"/>
          <w:sz w:val="28"/>
          <w:szCs w:val="28"/>
        </w:rPr>
      </w:pPr>
      <w:r>
        <w:rPr>
          <w:rFonts w:eastAsia="仿宋_GB2312"/>
          <w:sz w:val="28"/>
          <w:szCs w:val="28"/>
        </w:rPr>
        <w:t>事故现场洗消工作的负责人为指挥部副指挥。事故现场由安保科负责保护，特别是关系事故原因分析所必须的残物、痕迹等更要注意保护；事故现场洗消工作的专业队伍义务消防队、抢险抢修队。用活性炭或其他惰性材料吸收，然后使用无火花工具手机运至废物处理场所处置。也可以用不燃性分散剂制成的乳液涮洗，经稀释的洗水放入废水系统。如大量泄漏，利用围堤收容，然后收集、转移、回收或无害处理后废弃。爆炸火灾处理产生消防水统一收集到厂内的事故池，不得未经处理就排入污水和雨水管网，事故发生后污水、雨水排口处阀门切断，不排放任何不合格的消防污水。收集的消防水必需经过处理后排放。</w:t>
      </w:r>
    </w:p>
    <w:p>
      <w:pPr>
        <w:pStyle w:val="5"/>
        <w:keepLines w:val="0"/>
        <w:widowControl/>
        <w:numPr>
          <w:ilvl w:val="3"/>
          <w:numId w:val="1"/>
        </w:numPr>
        <w:adjustRightInd w:val="0"/>
        <w:snapToGrid w:val="0"/>
        <w:spacing w:after="120" w:afterLines="50"/>
        <w:ind w:left="0" w:firstLine="0"/>
        <w:jc w:val="left"/>
        <w:rPr>
          <w:rFonts w:ascii="Times New Roman" w:hAnsi="Times New Roman"/>
          <w:b/>
        </w:rPr>
      </w:pPr>
      <w:r>
        <w:rPr>
          <w:rFonts w:ascii="Times New Roman" w:hAnsi="Times New Roman"/>
          <w:b/>
        </w:rPr>
        <w:t>人员紧急撤离、疏散，应急剂量控制、撤离组织计划</w:t>
      </w:r>
    </w:p>
    <w:p>
      <w:pPr>
        <w:spacing w:line="500" w:lineRule="exact"/>
        <w:ind w:firstLine="560" w:firstLineChars="200"/>
        <w:rPr>
          <w:rFonts w:eastAsia="仿宋_GB2312"/>
          <w:sz w:val="28"/>
          <w:szCs w:val="28"/>
        </w:rPr>
      </w:pPr>
      <w:r>
        <w:rPr>
          <w:rFonts w:hint="eastAsia" w:eastAsia="仿宋_GB2312" w:cs="宋体"/>
          <w:sz w:val="28"/>
          <w:szCs w:val="28"/>
        </w:rPr>
        <w:t>⑴</w:t>
      </w:r>
      <w:r>
        <w:rPr>
          <w:rFonts w:eastAsia="仿宋_GB2312"/>
          <w:sz w:val="28"/>
          <w:szCs w:val="28"/>
        </w:rPr>
        <w:t>事故现场人员清点、撤离方式、方法</w:t>
      </w:r>
    </w:p>
    <w:p>
      <w:pPr>
        <w:pStyle w:val="152"/>
        <w:spacing w:before="48" w:line="500" w:lineRule="exact"/>
        <w:ind w:firstLine="560"/>
        <w:rPr>
          <w:rFonts w:eastAsia="仿宋_GB2312"/>
          <w:sz w:val="28"/>
          <w:szCs w:val="28"/>
        </w:rPr>
      </w:pPr>
      <w:r>
        <w:rPr>
          <w:rFonts w:eastAsia="仿宋_GB2312"/>
          <w:sz w:val="28"/>
          <w:szCs w:val="28"/>
        </w:rPr>
        <w:t>当发生重大泄漏事故时，由指挥部实施紧急疏散、撤离计划。事故区域所有员工必须执行紧急疏散、撤离命令。指挥部治安组应立即到达事故现场，设立警戒区域，指导警戒区内的员工有序的离开。警戒区域内的各班班长应清点撤离人员，检查确认区域内确无任何人滞留后，向治安组汇报撤离人数，进行最好撤离。当员工接到紧急撤离命令后，应对生产装置进行紧急停车，并对物料进行安全处置危险后，方可撤离岗位到指定地点进行集合。</w:t>
      </w:r>
    </w:p>
    <w:p>
      <w:pPr>
        <w:pStyle w:val="152"/>
        <w:spacing w:before="48" w:line="500" w:lineRule="exact"/>
        <w:ind w:firstLine="560"/>
        <w:rPr>
          <w:rFonts w:eastAsia="仿宋_GB2312"/>
          <w:sz w:val="28"/>
          <w:szCs w:val="28"/>
        </w:rPr>
      </w:pPr>
      <w:r>
        <w:rPr>
          <w:rFonts w:eastAsia="仿宋_GB2312"/>
          <w:sz w:val="28"/>
          <w:szCs w:val="28"/>
        </w:rPr>
        <w:t>员工在撤离过程中，应佩戴好岗位上所配备的防毒面具，在无防毒面具的情况下，不能剧烈跑步和碰撞容易产生火花的铁器或石块，应憋住呼吸，用湿毛巾捂住口。鼻部位，缓缓朝逆风方向或指定的集中地点走去。</w:t>
      </w:r>
    </w:p>
    <w:p>
      <w:pPr>
        <w:pStyle w:val="152"/>
        <w:spacing w:before="48" w:line="500" w:lineRule="exact"/>
        <w:ind w:firstLine="560"/>
        <w:rPr>
          <w:rFonts w:eastAsia="仿宋_GB2312"/>
          <w:sz w:val="28"/>
          <w:szCs w:val="28"/>
        </w:rPr>
      </w:pPr>
      <w:r>
        <w:rPr>
          <w:rFonts w:eastAsia="仿宋_GB2312"/>
          <w:sz w:val="28"/>
          <w:szCs w:val="28"/>
        </w:rPr>
        <w:t>疏散集中点由指挥部根据当时气象条件确定，总的原则是撤离安全点处于当时的上风向。</w:t>
      </w:r>
    </w:p>
    <w:p>
      <w:pPr>
        <w:spacing w:line="500" w:lineRule="exact"/>
        <w:ind w:firstLine="560" w:firstLineChars="200"/>
        <w:rPr>
          <w:rFonts w:eastAsia="仿宋_GB2312"/>
          <w:sz w:val="28"/>
          <w:szCs w:val="28"/>
        </w:rPr>
      </w:pPr>
      <w:r>
        <w:rPr>
          <w:rFonts w:hint="eastAsia" w:eastAsia="仿宋_GB2312" w:cs="宋体"/>
          <w:sz w:val="28"/>
          <w:szCs w:val="28"/>
        </w:rPr>
        <w:t>⑵</w:t>
      </w:r>
      <w:r>
        <w:rPr>
          <w:rFonts w:eastAsia="仿宋_GB2312"/>
          <w:sz w:val="28"/>
          <w:szCs w:val="28"/>
        </w:rPr>
        <w:t>周边事故影响区的单位、社区及非事故现场人员紧急疏散的方式、方法</w:t>
      </w:r>
    </w:p>
    <w:p>
      <w:pPr>
        <w:spacing w:line="500" w:lineRule="exact"/>
        <w:ind w:firstLine="560" w:firstLineChars="200"/>
        <w:rPr>
          <w:rFonts w:eastAsia="仿宋_GB2312"/>
          <w:sz w:val="28"/>
          <w:szCs w:val="28"/>
        </w:rPr>
      </w:pPr>
      <w:r>
        <w:rPr>
          <w:rFonts w:eastAsia="仿宋_GB2312"/>
          <w:sz w:val="28"/>
          <w:szCs w:val="28"/>
        </w:rPr>
        <w:t>通讯治安组负责向周边事故影响区的单位、社区通报事故情况及影响，说明疏散的有关事项及方向；本单位非事故现场的人员应根据预案演练时的要求有序疏散，并做好互救工作；发生重大事故时，可能危及周边区域的单位、社区安全时，指挥部应与政府有关部门联系，配合政府引导人员迅速疏散至安全的地方。</w:t>
      </w:r>
    </w:p>
    <w:p>
      <w:pPr>
        <w:spacing w:line="500" w:lineRule="exact"/>
        <w:ind w:firstLine="560" w:firstLineChars="200"/>
        <w:rPr>
          <w:rFonts w:eastAsia="仿宋_GB2312"/>
          <w:sz w:val="28"/>
          <w:szCs w:val="28"/>
        </w:rPr>
      </w:pPr>
      <w:r>
        <w:rPr>
          <w:rFonts w:hint="eastAsia" w:eastAsia="仿宋_GB2312" w:cs="宋体"/>
          <w:sz w:val="28"/>
          <w:szCs w:val="28"/>
        </w:rPr>
        <w:t>⑶</w:t>
      </w:r>
      <w:r>
        <w:rPr>
          <w:rFonts w:eastAsia="仿宋_GB2312"/>
          <w:sz w:val="28"/>
          <w:szCs w:val="28"/>
        </w:rPr>
        <w:t>人员在撤离前后的疏散后的报告</w:t>
      </w:r>
    </w:p>
    <w:p>
      <w:pPr>
        <w:pStyle w:val="152"/>
        <w:spacing w:before="48" w:line="500" w:lineRule="exact"/>
        <w:ind w:firstLine="560"/>
        <w:rPr>
          <w:rFonts w:eastAsia="仿宋_GB2312"/>
        </w:rPr>
      </w:pPr>
      <w:r>
        <w:rPr>
          <w:rFonts w:eastAsia="仿宋_GB2312"/>
          <w:sz w:val="28"/>
          <w:szCs w:val="28"/>
        </w:rPr>
        <w:t>事故抢救完毕，抢救人员在撤离前，应向总指挥报告完成抢救的情况，取得同意后撤离；抢救人员在撤离后，还应向总指挥报告所处位置，请示新工作。</w:t>
      </w:r>
    </w:p>
    <w:p>
      <w:pPr>
        <w:pStyle w:val="5"/>
        <w:keepLines w:val="0"/>
        <w:widowControl/>
        <w:numPr>
          <w:ilvl w:val="3"/>
          <w:numId w:val="1"/>
        </w:numPr>
        <w:adjustRightInd w:val="0"/>
        <w:snapToGrid w:val="0"/>
        <w:spacing w:after="120" w:afterLines="50"/>
        <w:ind w:left="0" w:firstLine="0"/>
        <w:jc w:val="left"/>
        <w:rPr>
          <w:rFonts w:ascii="Times New Roman" w:hAnsi="Times New Roman"/>
          <w:b/>
        </w:rPr>
      </w:pPr>
      <w:r>
        <w:rPr>
          <w:rFonts w:ascii="Times New Roman" w:hAnsi="Times New Roman"/>
          <w:b/>
        </w:rPr>
        <w:t>事故应急救援关闭程序与恢复措施</w:t>
      </w:r>
    </w:p>
    <w:p>
      <w:pPr>
        <w:spacing w:line="500" w:lineRule="exact"/>
        <w:ind w:firstLine="570"/>
        <w:rPr>
          <w:rFonts w:eastAsia="仿宋_GB2312"/>
          <w:sz w:val="28"/>
          <w:szCs w:val="28"/>
        </w:rPr>
      </w:pPr>
      <w:r>
        <w:rPr>
          <w:rFonts w:eastAsia="仿宋_GB2312"/>
          <w:sz w:val="28"/>
          <w:szCs w:val="28"/>
        </w:rPr>
        <w:t>由县级卫生行政部门对泄漏事件控制情况进行评估，提出终止应急措施的建议，报县级人民政府批准后实施，并向上一级卫生行政部门报告。</w:t>
      </w:r>
    </w:p>
    <w:p>
      <w:pPr>
        <w:spacing w:line="500" w:lineRule="exact"/>
        <w:ind w:firstLine="570"/>
        <w:rPr>
          <w:rFonts w:eastAsia="仿宋_GB2312"/>
          <w:sz w:val="28"/>
          <w:szCs w:val="28"/>
        </w:rPr>
      </w:pPr>
      <w:r>
        <w:rPr>
          <w:rFonts w:eastAsia="仿宋_GB2312"/>
          <w:sz w:val="28"/>
          <w:szCs w:val="28"/>
        </w:rPr>
        <w:t>涉及周边社区及人员疏散的，由指挥部向上级有关部门报告后，由上级有关部门确认后，宣布解除危险。</w:t>
      </w:r>
    </w:p>
    <w:p>
      <w:pPr>
        <w:pStyle w:val="5"/>
        <w:keepLines w:val="0"/>
        <w:widowControl/>
        <w:numPr>
          <w:ilvl w:val="3"/>
          <w:numId w:val="1"/>
        </w:numPr>
        <w:adjustRightInd w:val="0"/>
        <w:snapToGrid w:val="0"/>
        <w:spacing w:after="120" w:afterLines="50"/>
        <w:ind w:left="0" w:firstLine="0"/>
        <w:jc w:val="left"/>
        <w:rPr>
          <w:rFonts w:ascii="Times New Roman" w:hAnsi="Times New Roman"/>
          <w:b/>
        </w:rPr>
      </w:pPr>
      <w:r>
        <w:rPr>
          <w:rFonts w:ascii="Times New Roman" w:hAnsi="Times New Roman"/>
          <w:b/>
        </w:rPr>
        <w:t>应急培训计划</w:t>
      </w:r>
    </w:p>
    <w:p>
      <w:pPr>
        <w:spacing w:line="500" w:lineRule="exact"/>
        <w:ind w:firstLine="570"/>
        <w:rPr>
          <w:rFonts w:eastAsia="仿宋_GB2312"/>
          <w:sz w:val="28"/>
          <w:szCs w:val="28"/>
        </w:rPr>
      </w:pPr>
      <w:r>
        <w:rPr>
          <w:rFonts w:hint="eastAsia" w:eastAsia="仿宋_GB2312" w:cs="宋体"/>
          <w:sz w:val="28"/>
          <w:szCs w:val="28"/>
        </w:rPr>
        <w:t>⑴</w:t>
      </w:r>
      <w:r>
        <w:rPr>
          <w:rFonts w:eastAsia="仿宋_GB2312"/>
          <w:sz w:val="28"/>
          <w:szCs w:val="28"/>
        </w:rPr>
        <w:t>应急救援人员的培训</w:t>
      </w:r>
    </w:p>
    <w:p>
      <w:pPr>
        <w:spacing w:line="500" w:lineRule="exact"/>
        <w:ind w:firstLine="570"/>
        <w:rPr>
          <w:rFonts w:eastAsia="仿宋_GB2312"/>
          <w:sz w:val="28"/>
          <w:szCs w:val="28"/>
        </w:rPr>
      </w:pPr>
      <w:r>
        <w:rPr>
          <w:rFonts w:eastAsia="仿宋_GB2312"/>
          <w:sz w:val="28"/>
          <w:szCs w:val="28"/>
        </w:rPr>
        <w:t xml:space="preserve">生产主管应保证对车间所有相关人员包括运输和清洁员工等工作人员安全培训计划的实施。培训应强调安全工作行为。 </w:t>
      </w:r>
    </w:p>
    <w:p>
      <w:pPr>
        <w:spacing w:line="500" w:lineRule="exact"/>
        <w:ind w:firstLine="570"/>
        <w:rPr>
          <w:rFonts w:eastAsia="仿宋_GB2312"/>
          <w:sz w:val="28"/>
          <w:szCs w:val="28"/>
        </w:rPr>
      </w:pPr>
      <w:r>
        <w:rPr>
          <w:rFonts w:eastAsia="仿宋_GB2312"/>
          <w:sz w:val="28"/>
          <w:szCs w:val="28"/>
        </w:rPr>
        <w:t xml:space="preserve">一项全面的培训计划始于书面的规划，应包括对新员工的指导以及对有经验员工的周期性再培训。应要求员工在某一领域工作前阅读适用的安全手册。员工应书面确认其已接受适当的培训，阅读并理解了安全手册，包括其执行日期。 </w:t>
      </w:r>
    </w:p>
    <w:p>
      <w:pPr>
        <w:spacing w:line="500" w:lineRule="exact"/>
        <w:ind w:firstLine="570"/>
        <w:rPr>
          <w:rFonts w:eastAsia="仿宋_GB2312"/>
          <w:sz w:val="28"/>
          <w:szCs w:val="28"/>
        </w:rPr>
      </w:pPr>
      <w:r>
        <w:rPr>
          <w:rFonts w:eastAsia="仿宋_GB2312"/>
          <w:sz w:val="28"/>
          <w:szCs w:val="28"/>
        </w:rPr>
        <w:t xml:space="preserve">一项安全培训计划至少要有消防和预备状态、化学和放射安全、生物危险和传染预防。课程应按照员工的岗位制定，应适当考虑怀孕、免疫缺陷和身体残障情况。应有一套系统评估每个员工对提供给其信息的理解力。 </w:t>
      </w:r>
    </w:p>
    <w:p>
      <w:pPr>
        <w:spacing w:line="500" w:lineRule="exact"/>
        <w:ind w:firstLine="570"/>
        <w:rPr>
          <w:rFonts w:eastAsia="仿宋_GB2312"/>
          <w:sz w:val="28"/>
          <w:szCs w:val="28"/>
        </w:rPr>
      </w:pPr>
      <w:r>
        <w:rPr>
          <w:rFonts w:eastAsia="仿宋_GB2312"/>
          <w:sz w:val="28"/>
          <w:szCs w:val="28"/>
        </w:rPr>
        <w:t xml:space="preserve">生产车间应保证全体人员受过急救培训。应提供物品和程序以减少涉及潜在传染性材料、化学品或有害物质的不利作用和事件的发生。 </w:t>
      </w:r>
    </w:p>
    <w:p>
      <w:pPr>
        <w:spacing w:line="500" w:lineRule="exact"/>
        <w:ind w:firstLine="570"/>
        <w:rPr>
          <w:rFonts w:eastAsia="仿宋_GB2312"/>
          <w:sz w:val="28"/>
          <w:szCs w:val="28"/>
        </w:rPr>
      </w:pPr>
      <w:r>
        <w:rPr>
          <w:rFonts w:eastAsia="仿宋_GB2312"/>
          <w:sz w:val="28"/>
          <w:szCs w:val="28"/>
        </w:rPr>
        <w:t>应有救治指南，必要时，还应有与实验室内可能遇到的危险相适应的紧急医学处理措施。所有员工应熟悉被刺伤后所执行的程序。</w:t>
      </w:r>
    </w:p>
    <w:p>
      <w:pPr>
        <w:spacing w:line="500" w:lineRule="exact"/>
        <w:ind w:firstLine="570"/>
        <w:rPr>
          <w:rFonts w:eastAsia="仿宋_GB2312"/>
          <w:sz w:val="28"/>
          <w:szCs w:val="28"/>
        </w:rPr>
      </w:pPr>
      <w:r>
        <w:rPr>
          <w:rFonts w:hint="eastAsia" w:eastAsia="仿宋_GB2312" w:cs="宋体"/>
          <w:sz w:val="28"/>
          <w:szCs w:val="28"/>
        </w:rPr>
        <w:t>⑵</w:t>
      </w:r>
      <w:r>
        <w:rPr>
          <w:rFonts w:eastAsia="仿宋_GB2312"/>
          <w:sz w:val="28"/>
          <w:szCs w:val="28"/>
        </w:rPr>
        <w:t>员工应急响应培训</w:t>
      </w:r>
    </w:p>
    <w:p>
      <w:pPr>
        <w:spacing w:line="500" w:lineRule="exact"/>
        <w:ind w:firstLine="570"/>
        <w:rPr>
          <w:rFonts w:eastAsia="仿宋_GB2312"/>
          <w:sz w:val="28"/>
          <w:szCs w:val="28"/>
        </w:rPr>
      </w:pPr>
      <w:r>
        <w:rPr>
          <w:rFonts w:eastAsia="仿宋_GB2312"/>
          <w:sz w:val="28"/>
          <w:szCs w:val="28"/>
        </w:rPr>
        <w:t>员工应急响应的培训，由公司，部门结合每年组织的安全技术的培训考核一并进行，培训内容：</w:t>
      </w:r>
    </w:p>
    <w:p>
      <w:pPr>
        <w:spacing w:line="500" w:lineRule="exact"/>
        <w:ind w:firstLine="570"/>
        <w:rPr>
          <w:rFonts w:eastAsia="仿宋_GB2312"/>
          <w:sz w:val="28"/>
          <w:szCs w:val="28"/>
        </w:rPr>
      </w:pPr>
      <w:r>
        <w:rPr>
          <w:rFonts w:hint="eastAsia" w:eastAsia="仿宋_GB2312" w:cs="宋体"/>
          <w:sz w:val="28"/>
          <w:szCs w:val="28"/>
        </w:rPr>
        <w:t>①</w:t>
      </w:r>
      <w:r>
        <w:rPr>
          <w:rFonts w:eastAsia="仿宋_GB2312"/>
          <w:sz w:val="28"/>
          <w:szCs w:val="28"/>
        </w:rPr>
        <w:t>消防；</w:t>
      </w:r>
    </w:p>
    <w:p>
      <w:pPr>
        <w:spacing w:line="500" w:lineRule="exact"/>
        <w:ind w:firstLine="570"/>
        <w:rPr>
          <w:rFonts w:eastAsia="仿宋_GB2312"/>
          <w:sz w:val="28"/>
          <w:szCs w:val="28"/>
        </w:rPr>
      </w:pPr>
      <w:r>
        <w:rPr>
          <w:rFonts w:hint="eastAsia" w:eastAsia="仿宋_GB2312" w:cs="宋体"/>
          <w:sz w:val="28"/>
          <w:szCs w:val="28"/>
        </w:rPr>
        <w:t>②</w:t>
      </w:r>
      <w:r>
        <w:rPr>
          <w:rFonts w:eastAsia="仿宋_GB2312"/>
          <w:sz w:val="28"/>
          <w:szCs w:val="28"/>
        </w:rPr>
        <w:t>电气安全；</w:t>
      </w:r>
    </w:p>
    <w:p>
      <w:pPr>
        <w:spacing w:line="500" w:lineRule="exact"/>
        <w:ind w:firstLine="570"/>
        <w:rPr>
          <w:rFonts w:eastAsia="仿宋_GB2312"/>
          <w:sz w:val="28"/>
          <w:szCs w:val="28"/>
        </w:rPr>
      </w:pPr>
      <w:r>
        <w:rPr>
          <w:rFonts w:hint="eastAsia" w:eastAsia="仿宋_GB2312" w:cs="宋体"/>
          <w:sz w:val="28"/>
          <w:szCs w:val="28"/>
        </w:rPr>
        <w:t>③</w:t>
      </w:r>
      <w:r>
        <w:rPr>
          <w:rFonts w:eastAsia="仿宋_GB2312"/>
          <w:sz w:val="28"/>
          <w:szCs w:val="28"/>
        </w:rPr>
        <w:t>化学品安全；</w:t>
      </w:r>
    </w:p>
    <w:p>
      <w:pPr>
        <w:spacing w:line="500" w:lineRule="exact"/>
        <w:ind w:firstLine="570"/>
        <w:rPr>
          <w:rFonts w:eastAsia="仿宋_GB2312"/>
          <w:sz w:val="28"/>
          <w:szCs w:val="28"/>
        </w:rPr>
      </w:pPr>
      <w:r>
        <w:rPr>
          <w:rFonts w:hint="eastAsia" w:eastAsia="仿宋_GB2312" w:cs="宋体"/>
          <w:sz w:val="28"/>
          <w:szCs w:val="28"/>
        </w:rPr>
        <w:t>④</w:t>
      </w:r>
      <w:r>
        <w:rPr>
          <w:rFonts w:eastAsia="仿宋_GB2312"/>
          <w:sz w:val="28"/>
          <w:szCs w:val="28"/>
        </w:rPr>
        <w:t>危险废弃物处理和处置。</w:t>
      </w:r>
    </w:p>
    <w:p>
      <w:pPr>
        <w:spacing w:line="500" w:lineRule="exact"/>
        <w:ind w:firstLine="570"/>
        <w:rPr>
          <w:rFonts w:eastAsia="仿宋_GB2312"/>
          <w:sz w:val="28"/>
          <w:szCs w:val="28"/>
        </w:rPr>
      </w:pPr>
      <w:r>
        <w:rPr>
          <w:rFonts w:hint="eastAsia" w:eastAsia="仿宋_GB2312" w:cs="宋体"/>
          <w:sz w:val="28"/>
          <w:szCs w:val="28"/>
        </w:rPr>
        <w:t>⑶</w:t>
      </w:r>
      <w:r>
        <w:rPr>
          <w:rFonts w:eastAsia="仿宋_GB2312"/>
          <w:sz w:val="28"/>
          <w:szCs w:val="28"/>
        </w:rPr>
        <w:t>演练计划</w:t>
      </w:r>
    </w:p>
    <w:p>
      <w:pPr>
        <w:pStyle w:val="44"/>
        <w:spacing w:line="50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演练分类：</w:t>
      </w:r>
    </w:p>
    <w:p>
      <w:pPr>
        <w:pStyle w:val="44"/>
        <w:spacing w:line="5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宋体"/>
          <w:sz w:val="28"/>
          <w:szCs w:val="28"/>
        </w:rPr>
        <w:t>①</w:t>
      </w:r>
      <w:r>
        <w:rPr>
          <w:rFonts w:ascii="Times New Roman" w:hAnsi="Times New Roman" w:eastAsia="仿宋_GB2312" w:cs="Times New Roman"/>
          <w:sz w:val="28"/>
          <w:szCs w:val="28"/>
        </w:rPr>
        <w:t>组织指挥演练：由指挥部的领导和各专业队负责人分别按应急救援预案要求，以组织指挥的形式组织实施应急救援任务的演练。</w:t>
      </w:r>
    </w:p>
    <w:p>
      <w:pPr>
        <w:pStyle w:val="44"/>
        <w:spacing w:line="50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xml:space="preserve">    </w:t>
      </w:r>
      <w:r>
        <w:rPr>
          <w:rFonts w:hint="eastAsia" w:ascii="Times New Roman" w:hAnsi="Times New Roman" w:eastAsia="仿宋_GB2312" w:cs="宋体"/>
          <w:sz w:val="28"/>
          <w:szCs w:val="28"/>
        </w:rPr>
        <w:t>②</w:t>
      </w:r>
      <w:r>
        <w:rPr>
          <w:rFonts w:ascii="Times New Roman" w:hAnsi="Times New Roman" w:eastAsia="仿宋_GB2312" w:cs="Times New Roman"/>
          <w:sz w:val="28"/>
          <w:szCs w:val="28"/>
        </w:rPr>
        <w:t>单项演练：由各专业队各自开展的应急救援任务中的单项科目的演练。</w:t>
      </w:r>
    </w:p>
    <w:p>
      <w:pPr>
        <w:spacing w:line="500" w:lineRule="exact"/>
        <w:ind w:firstLine="570"/>
        <w:rPr>
          <w:rFonts w:eastAsia="仿宋_GB2312"/>
          <w:sz w:val="28"/>
          <w:szCs w:val="28"/>
        </w:rPr>
      </w:pPr>
      <w:r>
        <w:rPr>
          <w:rFonts w:hint="eastAsia" w:eastAsia="仿宋_GB2312" w:cs="宋体"/>
          <w:sz w:val="28"/>
          <w:szCs w:val="28"/>
        </w:rPr>
        <w:t>③</w:t>
      </w:r>
      <w:r>
        <w:rPr>
          <w:rFonts w:eastAsia="仿宋_GB2312"/>
          <w:sz w:val="28"/>
          <w:szCs w:val="28"/>
        </w:rPr>
        <w:t>综合演练：由应急救援指挥部按应急救援预案要求，开展的全面演练。</w:t>
      </w:r>
    </w:p>
    <w:p>
      <w:pPr>
        <w:pStyle w:val="5"/>
        <w:keepLines w:val="0"/>
        <w:widowControl/>
        <w:numPr>
          <w:ilvl w:val="3"/>
          <w:numId w:val="1"/>
        </w:numPr>
        <w:adjustRightInd w:val="0"/>
        <w:snapToGrid w:val="0"/>
        <w:spacing w:after="120" w:afterLines="50"/>
        <w:ind w:left="0" w:firstLine="0"/>
        <w:jc w:val="left"/>
        <w:rPr>
          <w:rFonts w:ascii="Times New Roman" w:hAnsi="Times New Roman"/>
          <w:b/>
        </w:rPr>
      </w:pPr>
      <w:r>
        <w:rPr>
          <w:rFonts w:ascii="Times New Roman" w:hAnsi="Times New Roman"/>
          <w:b/>
        </w:rPr>
        <w:t>公众教育和信息</w:t>
      </w:r>
    </w:p>
    <w:p>
      <w:pPr>
        <w:pStyle w:val="152"/>
        <w:spacing w:before="48" w:line="500" w:lineRule="exact"/>
        <w:ind w:firstLine="560"/>
        <w:rPr>
          <w:rFonts w:eastAsia="仿宋_GB2312"/>
          <w:sz w:val="28"/>
          <w:szCs w:val="28"/>
        </w:rPr>
      </w:pPr>
      <w:r>
        <w:rPr>
          <w:rFonts w:eastAsia="仿宋_GB2312"/>
          <w:sz w:val="28"/>
          <w:szCs w:val="28"/>
        </w:rPr>
        <w:t>对公司邻近地区开展公众教育、培训和发布有关信息，让公众做到心中有数，防患于未然，一旦发生事故，附近的群众能以最快速度撤离出危险区域。</w:t>
      </w:r>
    </w:p>
    <w:p>
      <w:pPr>
        <w:pStyle w:val="4"/>
        <w:keepLines w:val="0"/>
        <w:numPr>
          <w:ilvl w:val="2"/>
          <w:numId w:val="1"/>
        </w:numPr>
        <w:tabs>
          <w:tab w:val="left" w:pos="709"/>
        </w:tabs>
        <w:spacing w:before="0" w:after="120" w:afterLines="50" w:line="500" w:lineRule="exact"/>
        <w:ind w:left="0" w:firstLine="0"/>
        <w:rPr>
          <w:rFonts w:eastAsia="仿宋_GB2312"/>
          <w:bCs w:val="0"/>
          <w:sz w:val="28"/>
        </w:rPr>
      </w:pPr>
      <w:r>
        <w:rPr>
          <w:rFonts w:eastAsia="仿宋_GB2312"/>
          <w:bCs w:val="0"/>
          <w:sz w:val="28"/>
        </w:rPr>
        <w:t>企业与园区环境风险防控体系、设施的衔接和配套</w:t>
      </w:r>
    </w:p>
    <w:p>
      <w:pPr>
        <w:pStyle w:val="5"/>
        <w:keepLines w:val="0"/>
        <w:widowControl/>
        <w:numPr>
          <w:ilvl w:val="3"/>
          <w:numId w:val="1"/>
        </w:numPr>
        <w:adjustRightInd w:val="0"/>
        <w:snapToGrid w:val="0"/>
        <w:spacing w:after="120" w:afterLines="50"/>
        <w:ind w:left="0" w:firstLine="0"/>
        <w:jc w:val="left"/>
        <w:rPr>
          <w:rFonts w:ascii="Times New Roman" w:hAnsi="Times New Roman"/>
          <w:b/>
        </w:rPr>
      </w:pPr>
      <w:r>
        <w:rPr>
          <w:rFonts w:ascii="Times New Roman" w:hAnsi="Times New Roman"/>
          <w:b/>
        </w:rPr>
        <w:t>金城镇工业园区风险应急预案的衔接</w:t>
      </w:r>
    </w:p>
    <w:p>
      <w:pPr>
        <w:spacing w:line="500" w:lineRule="exact"/>
        <w:ind w:firstLine="570"/>
        <w:rPr>
          <w:rFonts w:eastAsia="仿宋_GB2312" w:cs="宋体"/>
          <w:sz w:val="28"/>
          <w:szCs w:val="28"/>
        </w:rPr>
      </w:pPr>
      <w:r>
        <w:rPr>
          <w:rFonts w:eastAsia="仿宋_GB2312" w:cs="宋体"/>
          <w:sz w:val="28"/>
          <w:szCs w:val="28"/>
        </w:rPr>
        <w:t>（1）应急组织机构、人员的衔接当发生风险事故时，企业通讯联络小组应及时承担起与当地区域或各职能管理部门的应急指挥机构的联系工作，及时将事故发生情况及最新进展向有关部门汇报，并将上级指挥机构的命令及时向厂区应急指挥小组汇报；编制环境污染事故报告，并将报告向上级部门汇报。</w:t>
      </w:r>
    </w:p>
    <w:p>
      <w:pPr>
        <w:spacing w:line="500" w:lineRule="exact"/>
        <w:ind w:firstLine="570"/>
        <w:rPr>
          <w:rFonts w:eastAsia="仿宋_GB2312" w:cs="宋体"/>
          <w:sz w:val="28"/>
          <w:szCs w:val="28"/>
        </w:rPr>
      </w:pPr>
      <w:r>
        <w:rPr>
          <w:rFonts w:eastAsia="仿宋_GB2312" w:cs="宋体"/>
          <w:sz w:val="28"/>
          <w:szCs w:val="28"/>
        </w:rPr>
        <w:t>（2）预案分级响应的衔接</w:t>
      </w:r>
    </w:p>
    <w:p>
      <w:pPr>
        <w:spacing w:line="500" w:lineRule="exact"/>
        <w:ind w:firstLine="570"/>
        <w:rPr>
          <w:rFonts w:eastAsia="仿宋_GB2312" w:cs="宋体"/>
          <w:sz w:val="28"/>
          <w:szCs w:val="28"/>
        </w:rPr>
      </w:pPr>
      <w:r>
        <w:rPr>
          <w:rFonts w:hint="eastAsia" w:eastAsia="仿宋_GB2312" w:cs="宋体"/>
          <w:sz w:val="28"/>
          <w:szCs w:val="28"/>
        </w:rPr>
        <w:t>①</w:t>
      </w:r>
      <w:r>
        <w:rPr>
          <w:rFonts w:eastAsia="仿宋_GB2312" w:cs="宋体"/>
          <w:sz w:val="28"/>
          <w:szCs w:val="28"/>
        </w:rPr>
        <w:t>一般污染事故：在污染事故现场处置妥当后，经应急指挥部研究确定后，向金城镇生态环境局报告处理结果。</w:t>
      </w:r>
    </w:p>
    <w:p>
      <w:pPr>
        <w:spacing w:line="500" w:lineRule="exact"/>
        <w:ind w:firstLine="570"/>
        <w:rPr>
          <w:rFonts w:eastAsia="仿宋_GB2312" w:cs="宋体"/>
          <w:sz w:val="28"/>
          <w:szCs w:val="28"/>
        </w:rPr>
      </w:pPr>
      <w:r>
        <w:rPr>
          <w:rFonts w:hint="eastAsia" w:eastAsia="仿宋_GB2312" w:cs="宋体"/>
          <w:sz w:val="28"/>
          <w:szCs w:val="28"/>
        </w:rPr>
        <w:t>②</w:t>
      </w:r>
      <w:r>
        <w:rPr>
          <w:rFonts w:eastAsia="仿宋_GB2312" w:cs="宋体"/>
          <w:sz w:val="28"/>
          <w:szCs w:val="28"/>
        </w:rPr>
        <w:t>较大或严重污染事故：应急指挥部在接到事故报警后，及时向金城镇生态环境局报告，并请求支援；金城镇生态环境局进行紧急动员，适时启动区域的环境污染事故应急预案，迅速调集救援力量，指挥区内成员单位、相关职能部门，根据应急预案组成各个应急行动小组，按照各自的职责和现场救援具体方案开展抢险救援工作，厂内应急小组听从现场指挥部的领导。现场指挥部同时将有关进展情况向常州市生态环境局汇报；污染事故基本控制稳定后，现场应急指挥部将根据专家意见，迅速调集后援力量展开事故处置工作。现场应急处理结束。</w:t>
      </w:r>
    </w:p>
    <w:p>
      <w:pPr>
        <w:spacing w:line="500" w:lineRule="exact"/>
        <w:ind w:firstLine="570"/>
        <w:rPr>
          <w:rFonts w:eastAsia="仿宋_GB2312" w:cs="宋体"/>
          <w:sz w:val="28"/>
          <w:szCs w:val="28"/>
        </w:rPr>
      </w:pPr>
      <w:r>
        <w:rPr>
          <w:rFonts w:eastAsia="仿宋_GB2312" w:cs="宋体"/>
          <w:sz w:val="28"/>
          <w:szCs w:val="28"/>
        </w:rPr>
        <w:t>（3）外部应急救援保障的衔接</w:t>
      </w:r>
    </w:p>
    <w:p>
      <w:pPr>
        <w:spacing w:line="500" w:lineRule="exact"/>
        <w:ind w:firstLine="570"/>
        <w:rPr>
          <w:rFonts w:eastAsia="仿宋_GB2312" w:cs="宋体"/>
          <w:sz w:val="28"/>
          <w:szCs w:val="28"/>
        </w:rPr>
      </w:pPr>
      <w:r>
        <w:rPr>
          <w:rFonts w:hint="eastAsia" w:eastAsia="仿宋_GB2312" w:cs="宋体"/>
          <w:sz w:val="28"/>
          <w:szCs w:val="28"/>
        </w:rPr>
        <w:t>①</w:t>
      </w:r>
      <w:r>
        <w:rPr>
          <w:rFonts w:eastAsia="仿宋_GB2312" w:cs="宋体"/>
          <w:sz w:val="28"/>
          <w:szCs w:val="28"/>
        </w:rPr>
        <w:t>单位互助体系：建设单位和周边企业建立良好的应急互助关系，在重大事故发生后，相互支援。</w:t>
      </w:r>
    </w:p>
    <w:p>
      <w:pPr>
        <w:spacing w:line="500" w:lineRule="exact"/>
        <w:ind w:firstLine="570"/>
        <w:rPr>
          <w:rFonts w:eastAsia="仿宋_GB2312" w:cs="宋体"/>
          <w:sz w:val="28"/>
          <w:szCs w:val="28"/>
        </w:rPr>
      </w:pPr>
      <w:r>
        <w:rPr>
          <w:rFonts w:hint="eastAsia" w:eastAsia="仿宋_GB2312" w:cs="宋体"/>
          <w:sz w:val="28"/>
          <w:szCs w:val="28"/>
        </w:rPr>
        <w:t>②</w:t>
      </w:r>
      <w:r>
        <w:rPr>
          <w:rFonts w:eastAsia="仿宋_GB2312" w:cs="宋体"/>
          <w:sz w:val="28"/>
          <w:szCs w:val="28"/>
        </w:rPr>
        <w:t>公共援助力量：本单位还可以联系金城镇生态环境局及金坛区消防队、医院、公安、交通、安监局以及各相关职能部门，请求救援力量、设备的支持。</w:t>
      </w:r>
    </w:p>
    <w:p>
      <w:pPr>
        <w:spacing w:line="500" w:lineRule="exact"/>
        <w:ind w:firstLine="570"/>
        <w:rPr>
          <w:rFonts w:eastAsia="仿宋_GB2312" w:cs="宋体"/>
          <w:sz w:val="28"/>
          <w:szCs w:val="28"/>
        </w:rPr>
      </w:pPr>
      <w:r>
        <w:rPr>
          <w:rFonts w:hint="eastAsia" w:eastAsia="仿宋_GB2312" w:cs="宋体"/>
          <w:sz w:val="28"/>
          <w:szCs w:val="28"/>
        </w:rPr>
        <w:t>③</w:t>
      </w:r>
      <w:r>
        <w:rPr>
          <w:rFonts w:eastAsia="仿宋_GB2312" w:cs="宋体"/>
          <w:sz w:val="28"/>
          <w:szCs w:val="28"/>
        </w:rPr>
        <w:t>专家援助：本单位建立风险事故救援安全专家库，在紧急情况下，可以联系获取救援支持。</w:t>
      </w:r>
    </w:p>
    <w:p>
      <w:pPr>
        <w:spacing w:line="500" w:lineRule="exact"/>
        <w:ind w:firstLine="570"/>
        <w:rPr>
          <w:rFonts w:eastAsia="仿宋_GB2312" w:cs="宋体"/>
          <w:sz w:val="28"/>
          <w:szCs w:val="28"/>
        </w:rPr>
      </w:pPr>
      <w:r>
        <w:rPr>
          <w:rFonts w:eastAsia="仿宋_GB2312" w:cs="宋体"/>
          <w:sz w:val="28"/>
          <w:szCs w:val="28"/>
        </w:rPr>
        <w:t>（4）应急培训计划的衔接</w:t>
      </w:r>
    </w:p>
    <w:p>
      <w:pPr>
        <w:spacing w:line="500" w:lineRule="exact"/>
        <w:ind w:firstLine="570"/>
        <w:rPr>
          <w:rFonts w:eastAsia="仿宋_GB2312" w:cs="宋体"/>
          <w:sz w:val="28"/>
          <w:szCs w:val="28"/>
        </w:rPr>
      </w:pPr>
      <w:r>
        <w:rPr>
          <w:rFonts w:eastAsia="仿宋_GB2312" w:cs="宋体"/>
          <w:sz w:val="28"/>
          <w:szCs w:val="28"/>
        </w:rPr>
        <w:t>本单位在开展应急培训计划的同时，还应积极配合金城镇生态环境局开展的应急培训计划，在发生风险事故时，及时与金城镇应急组织取得联系。</w:t>
      </w:r>
    </w:p>
    <w:p>
      <w:pPr>
        <w:spacing w:line="500" w:lineRule="exact"/>
        <w:ind w:firstLine="570"/>
        <w:rPr>
          <w:rFonts w:eastAsia="仿宋_GB2312" w:cs="宋体"/>
          <w:sz w:val="28"/>
          <w:szCs w:val="28"/>
        </w:rPr>
      </w:pPr>
      <w:r>
        <w:rPr>
          <w:rFonts w:eastAsia="仿宋_GB2312" w:cs="宋体"/>
          <w:sz w:val="28"/>
          <w:szCs w:val="28"/>
        </w:rPr>
        <w:t>（5）公众教育的衔接本单位对附近周边企业职工、公众开展教育、培训时，应加强与周边公众和相关单位的交流，如发生事故，可更好的疏散、防护污染。</w:t>
      </w:r>
    </w:p>
    <w:p>
      <w:pPr>
        <w:pStyle w:val="5"/>
        <w:keepLines w:val="0"/>
        <w:widowControl/>
        <w:numPr>
          <w:ilvl w:val="3"/>
          <w:numId w:val="1"/>
        </w:numPr>
        <w:adjustRightInd w:val="0"/>
        <w:snapToGrid w:val="0"/>
        <w:spacing w:after="120" w:afterLines="50"/>
        <w:ind w:left="0" w:firstLine="0"/>
        <w:jc w:val="left"/>
        <w:rPr>
          <w:rFonts w:ascii="Times New Roman" w:hAnsi="Times New Roman"/>
          <w:b/>
        </w:rPr>
      </w:pPr>
      <w:r>
        <w:rPr>
          <w:rFonts w:ascii="Times New Roman" w:hAnsi="Times New Roman"/>
          <w:b/>
        </w:rPr>
        <w:t>金城镇工业园区风险防范措施的衔接</w:t>
      </w:r>
    </w:p>
    <w:p>
      <w:pPr>
        <w:spacing w:line="500" w:lineRule="exact"/>
        <w:ind w:firstLine="570"/>
        <w:rPr>
          <w:rFonts w:eastAsia="仿宋_GB2312" w:cs="宋体"/>
          <w:sz w:val="28"/>
          <w:szCs w:val="28"/>
        </w:rPr>
      </w:pPr>
      <w:r>
        <w:rPr>
          <w:rFonts w:eastAsia="仿宋_GB2312" w:cs="宋体"/>
          <w:sz w:val="28"/>
          <w:szCs w:val="28"/>
        </w:rPr>
        <w:t>（1）污染治理措施的衔接当风险事故废水超过本单位能够处理范围后，应及时向相关单位请求援助，帮助收集事故废水，以免风险事故发生扩大。</w:t>
      </w:r>
    </w:p>
    <w:p>
      <w:pPr>
        <w:spacing w:line="500" w:lineRule="exact"/>
        <w:ind w:firstLine="570"/>
        <w:rPr>
          <w:rFonts w:eastAsia="仿宋_GB2312" w:cs="宋体"/>
          <w:sz w:val="28"/>
          <w:szCs w:val="28"/>
        </w:rPr>
      </w:pPr>
      <w:r>
        <w:rPr>
          <w:rFonts w:eastAsia="仿宋_GB2312" w:cs="宋体"/>
          <w:sz w:val="28"/>
          <w:szCs w:val="28"/>
        </w:rPr>
        <w:t>（2）消防及火灾报警系统的衔接本单位消防办公室采用电话报警，火灾报警信号报送至本单位消防办公室，必要时报送至金城镇消防办。</w:t>
      </w:r>
    </w:p>
    <w:p>
      <w:pPr>
        <w:spacing w:line="500" w:lineRule="exact"/>
        <w:ind w:firstLine="570"/>
        <w:rPr>
          <w:rFonts w:eastAsia="仿宋_GB2312" w:cs="宋体"/>
          <w:sz w:val="28"/>
          <w:szCs w:val="28"/>
        </w:rPr>
      </w:pPr>
      <w:r>
        <w:rPr>
          <w:rFonts w:eastAsia="仿宋_GB2312" w:cs="宋体"/>
          <w:sz w:val="28"/>
          <w:szCs w:val="28"/>
        </w:rPr>
        <w:t>（3）应急救援物资的衔接</w:t>
      </w:r>
    </w:p>
    <w:p>
      <w:pPr>
        <w:spacing w:line="500" w:lineRule="exact"/>
        <w:ind w:firstLine="570"/>
        <w:rPr>
          <w:rFonts w:eastAsia="仿宋_GB2312" w:cs="宋体"/>
          <w:sz w:val="28"/>
          <w:szCs w:val="28"/>
        </w:rPr>
      </w:pPr>
      <w:r>
        <w:rPr>
          <w:rFonts w:eastAsia="仿宋_GB2312" w:cs="宋体"/>
          <w:sz w:val="28"/>
          <w:szCs w:val="28"/>
        </w:rPr>
        <w:t>当本单位应急救援物资不能满足事故现场需求时，可在金城镇生态环境局的协调下向邻近企事业请求援助，以免风险事故的扩大，同时应服从金坛区应急中心的调度，对其他单位援助请求进行帮助。</w:t>
      </w:r>
    </w:p>
    <w:p>
      <w:pPr>
        <w:pStyle w:val="5"/>
        <w:keepLines w:val="0"/>
        <w:widowControl/>
        <w:numPr>
          <w:ilvl w:val="3"/>
          <w:numId w:val="1"/>
        </w:numPr>
        <w:adjustRightInd w:val="0"/>
        <w:snapToGrid w:val="0"/>
        <w:spacing w:after="120" w:afterLines="50"/>
        <w:ind w:left="0" w:firstLine="0"/>
        <w:jc w:val="left"/>
        <w:rPr>
          <w:rFonts w:ascii="Times New Roman" w:hAnsi="Times New Roman"/>
          <w:b/>
        </w:rPr>
      </w:pPr>
      <w:r>
        <w:rPr>
          <w:rFonts w:ascii="Times New Roman" w:hAnsi="Times New Roman"/>
          <w:b/>
        </w:rPr>
        <w:t>与金城镇工业园区风险防范设施的衔接</w:t>
      </w:r>
    </w:p>
    <w:p>
      <w:pPr>
        <w:spacing w:line="500" w:lineRule="exact"/>
        <w:ind w:firstLine="570"/>
        <w:rPr>
          <w:rFonts w:eastAsia="仿宋_GB2312" w:cs="宋体"/>
          <w:sz w:val="28"/>
          <w:szCs w:val="28"/>
        </w:rPr>
      </w:pPr>
      <w:r>
        <w:rPr>
          <w:rFonts w:eastAsia="仿宋_GB2312" w:cs="宋体"/>
          <w:sz w:val="28"/>
          <w:szCs w:val="28"/>
        </w:rPr>
        <w:t>1、园区预防和预警管理措施</w:t>
      </w:r>
    </w:p>
    <w:p>
      <w:pPr>
        <w:spacing w:line="500" w:lineRule="exact"/>
        <w:ind w:firstLine="570"/>
        <w:rPr>
          <w:rFonts w:eastAsia="仿宋_GB2312" w:cs="宋体"/>
          <w:sz w:val="28"/>
          <w:szCs w:val="28"/>
        </w:rPr>
      </w:pPr>
      <w:r>
        <w:rPr>
          <w:rFonts w:eastAsia="仿宋_GB2312" w:cs="宋体"/>
          <w:sz w:val="28"/>
          <w:szCs w:val="28"/>
        </w:rPr>
        <w:t>预防工作：预警电话24小时保护畅通。</w:t>
      </w:r>
    </w:p>
    <w:p>
      <w:pPr>
        <w:spacing w:line="500" w:lineRule="exact"/>
        <w:ind w:firstLine="570"/>
        <w:rPr>
          <w:rFonts w:eastAsia="仿宋_GB2312" w:cs="宋体"/>
          <w:sz w:val="28"/>
          <w:szCs w:val="28"/>
        </w:rPr>
      </w:pPr>
      <w:r>
        <w:rPr>
          <w:rFonts w:eastAsia="仿宋_GB2312" w:cs="宋体"/>
          <w:sz w:val="28"/>
          <w:szCs w:val="28"/>
        </w:rPr>
        <w:t>报告与处理：</w:t>
      </w:r>
      <w:r>
        <w:rPr>
          <w:rFonts w:hint="eastAsia" w:eastAsia="仿宋_GB2312" w:cs="宋体"/>
          <w:sz w:val="28"/>
          <w:szCs w:val="28"/>
        </w:rPr>
        <w:t>①</w:t>
      </w:r>
      <w:r>
        <w:rPr>
          <w:rFonts w:eastAsia="仿宋_GB2312" w:cs="宋体"/>
          <w:sz w:val="28"/>
          <w:szCs w:val="28"/>
        </w:rPr>
        <w:t>突发环境事件责任单位和责任人应在10分钟内向园区管委会报告，并立即组织人员进行现场救援；</w:t>
      </w:r>
      <w:r>
        <w:rPr>
          <w:rFonts w:hint="eastAsia" w:eastAsia="仿宋_GB2312" w:cs="宋体"/>
          <w:sz w:val="28"/>
          <w:szCs w:val="28"/>
        </w:rPr>
        <w:t>②</w:t>
      </w:r>
      <w:r>
        <w:rPr>
          <w:rFonts w:eastAsia="仿宋_GB2312" w:cs="宋体"/>
          <w:sz w:val="28"/>
          <w:szCs w:val="28"/>
        </w:rPr>
        <w:t>金城镇人民政府确认环境事件后，在半小时内报告环境应急救援指挥部和环境污染事故应急处理领导小组，并视情况向市政府报告。</w:t>
      </w:r>
    </w:p>
    <w:p>
      <w:pPr>
        <w:spacing w:line="500" w:lineRule="exact"/>
        <w:ind w:firstLine="570"/>
        <w:rPr>
          <w:rFonts w:eastAsia="仿宋_GB2312" w:cs="宋体"/>
          <w:sz w:val="28"/>
          <w:szCs w:val="28"/>
        </w:rPr>
      </w:pPr>
      <w:r>
        <w:rPr>
          <w:rFonts w:eastAsia="仿宋_GB2312" w:cs="宋体"/>
          <w:sz w:val="28"/>
          <w:szCs w:val="28"/>
        </w:rPr>
        <w:t>预警及措施：有关信息证明突发环境事件即将发生或者发生的可能性增大时，按照相关应急预案执行。进入预警状态后，环境污染事故应急处理领导小组着手以下工作：</w:t>
      </w:r>
      <w:r>
        <w:rPr>
          <w:rFonts w:hint="eastAsia" w:eastAsia="仿宋_GB2312" w:cs="宋体"/>
          <w:sz w:val="28"/>
          <w:szCs w:val="28"/>
        </w:rPr>
        <w:t>①</w:t>
      </w:r>
      <w:r>
        <w:rPr>
          <w:rFonts w:eastAsia="仿宋_GB2312" w:cs="宋体"/>
          <w:sz w:val="28"/>
          <w:szCs w:val="28"/>
        </w:rPr>
        <w:t>立即启动相关应急预案；</w:t>
      </w:r>
      <w:r>
        <w:rPr>
          <w:rFonts w:hint="eastAsia" w:eastAsia="仿宋_GB2312" w:cs="宋体"/>
          <w:sz w:val="28"/>
          <w:szCs w:val="28"/>
        </w:rPr>
        <w:t>②</w:t>
      </w:r>
      <w:r>
        <w:rPr>
          <w:rFonts w:eastAsia="仿宋_GB2312" w:cs="宋体"/>
          <w:sz w:val="28"/>
          <w:szCs w:val="28"/>
        </w:rPr>
        <w:t>发布预警公告；</w:t>
      </w:r>
      <w:r>
        <w:rPr>
          <w:rFonts w:hint="eastAsia" w:eastAsia="仿宋_GB2312" w:cs="宋体"/>
          <w:sz w:val="28"/>
          <w:szCs w:val="28"/>
        </w:rPr>
        <w:t>③</w:t>
      </w:r>
      <w:r>
        <w:rPr>
          <w:rFonts w:eastAsia="仿宋_GB2312" w:cs="宋体"/>
          <w:sz w:val="28"/>
          <w:szCs w:val="28"/>
        </w:rPr>
        <w:t>转移、撤离或者疏散可能受到危害的人员，并进行妥善安置；</w:t>
      </w:r>
      <w:r>
        <w:rPr>
          <w:rFonts w:hint="eastAsia" w:eastAsia="仿宋_GB2312" w:cs="宋体"/>
          <w:sz w:val="28"/>
          <w:szCs w:val="28"/>
        </w:rPr>
        <w:t>④</w:t>
      </w:r>
      <w:r>
        <w:rPr>
          <w:rFonts w:eastAsia="仿宋_GB2312" w:cs="宋体"/>
          <w:sz w:val="28"/>
          <w:szCs w:val="28"/>
        </w:rPr>
        <w:t>指令各环境应急救援队伍进入应急状态，环境监测部门立即开展应急监测，随时掌握并报告事态进展情况；</w:t>
      </w:r>
      <w:r>
        <w:rPr>
          <w:rFonts w:hint="eastAsia" w:eastAsia="仿宋_GB2312" w:cs="宋体"/>
          <w:sz w:val="28"/>
          <w:szCs w:val="28"/>
        </w:rPr>
        <w:t>⑤</w:t>
      </w:r>
      <w:r>
        <w:rPr>
          <w:rFonts w:eastAsia="仿宋_GB2312" w:cs="宋体"/>
          <w:sz w:val="28"/>
          <w:szCs w:val="28"/>
        </w:rPr>
        <w:t>针对突发事件可能造成的危害，封闭、隔离或者限制使用有关场所，中止可能导致危害扩大的行为和活动；</w:t>
      </w:r>
      <w:r>
        <w:rPr>
          <w:rFonts w:hint="eastAsia" w:eastAsia="仿宋_GB2312" w:cs="宋体"/>
          <w:sz w:val="28"/>
          <w:szCs w:val="28"/>
        </w:rPr>
        <w:t>⑥</w:t>
      </w:r>
      <w:r>
        <w:rPr>
          <w:rFonts w:eastAsia="仿宋_GB2312" w:cs="宋体"/>
          <w:sz w:val="28"/>
          <w:szCs w:val="28"/>
        </w:rPr>
        <w:t>调集环境应急所需物资和设备，确保应急保障工作。</w:t>
      </w:r>
    </w:p>
    <w:p>
      <w:pPr>
        <w:spacing w:line="500" w:lineRule="exact"/>
        <w:ind w:firstLine="570"/>
        <w:rPr>
          <w:rFonts w:eastAsia="仿宋_GB2312" w:cs="宋体"/>
          <w:sz w:val="28"/>
          <w:szCs w:val="28"/>
        </w:rPr>
      </w:pPr>
      <w:r>
        <w:rPr>
          <w:rFonts w:eastAsia="仿宋_GB2312" w:cs="宋体"/>
          <w:sz w:val="28"/>
          <w:szCs w:val="28"/>
        </w:rPr>
        <w:t>2、环境污染事故应急处理</w:t>
      </w:r>
    </w:p>
    <w:p>
      <w:pPr>
        <w:spacing w:line="500" w:lineRule="exact"/>
        <w:ind w:firstLine="570"/>
        <w:rPr>
          <w:rFonts w:eastAsia="仿宋_GB2312" w:cs="宋体"/>
          <w:sz w:val="28"/>
          <w:szCs w:val="28"/>
        </w:rPr>
      </w:pPr>
      <w:r>
        <w:rPr>
          <w:rFonts w:eastAsia="仿宋_GB2312" w:cs="宋体"/>
          <w:sz w:val="28"/>
          <w:szCs w:val="28"/>
        </w:rPr>
        <w:t>（1）环境污染事故应急处理领导小组</w:t>
      </w:r>
    </w:p>
    <w:p>
      <w:pPr>
        <w:spacing w:line="500" w:lineRule="exact"/>
        <w:ind w:firstLine="570"/>
        <w:rPr>
          <w:rFonts w:eastAsia="仿宋_GB2312" w:cs="宋体"/>
          <w:sz w:val="28"/>
          <w:szCs w:val="28"/>
        </w:rPr>
      </w:pPr>
      <w:r>
        <w:rPr>
          <w:rFonts w:hint="eastAsia" w:eastAsia="仿宋_GB2312" w:cs="宋体"/>
          <w:sz w:val="28"/>
          <w:szCs w:val="28"/>
        </w:rPr>
        <w:t>①</w:t>
      </w:r>
      <w:r>
        <w:rPr>
          <w:rFonts w:eastAsia="仿宋_GB2312" w:cs="宋体"/>
          <w:sz w:val="28"/>
          <w:szCs w:val="28"/>
        </w:rPr>
        <w:t>提出现场应急行动原则要求；</w:t>
      </w:r>
    </w:p>
    <w:p>
      <w:pPr>
        <w:spacing w:line="500" w:lineRule="exact"/>
        <w:ind w:firstLine="570"/>
        <w:rPr>
          <w:rFonts w:eastAsia="仿宋_GB2312" w:cs="宋体"/>
          <w:sz w:val="28"/>
          <w:szCs w:val="28"/>
        </w:rPr>
      </w:pPr>
      <w:r>
        <w:rPr>
          <w:rFonts w:hint="eastAsia" w:eastAsia="仿宋_GB2312" w:cs="宋体"/>
          <w:sz w:val="28"/>
          <w:szCs w:val="28"/>
        </w:rPr>
        <w:t>②</w:t>
      </w:r>
      <w:r>
        <w:rPr>
          <w:rFonts w:eastAsia="仿宋_GB2312" w:cs="宋体"/>
          <w:sz w:val="28"/>
          <w:szCs w:val="28"/>
        </w:rPr>
        <w:t>派出有关专家和人员参与现场应急救援指挥部的应急指挥工作；</w:t>
      </w:r>
    </w:p>
    <w:p>
      <w:pPr>
        <w:spacing w:line="500" w:lineRule="exact"/>
        <w:ind w:firstLine="570"/>
        <w:rPr>
          <w:rFonts w:eastAsia="仿宋_GB2312" w:cs="宋体"/>
          <w:sz w:val="28"/>
          <w:szCs w:val="28"/>
        </w:rPr>
      </w:pPr>
      <w:r>
        <w:rPr>
          <w:rFonts w:hint="eastAsia" w:eastAsia="仿宋_GB2312" w:cs="宋体"/>
          <w:sz w:val="28"/>
          <w:szCs w:val="28"/>
        </w:rPr>
        <w:t>③</w:t>
      </w:r>
      <w:r>
        <w:rPr>
          <w:rFonts w:eastAsia="仿宋_GB2312" w:cs="宋体"/>
          <w:sz w:val="28"/>
          <w:szCs w:val="28"/>
        </w:rPr>
        <w:t>协调各级、各专业应急力量实施应急支援行动；</w:t>
      </w:r>
    </w:p>
    <w:p>
      <w:pPr>
        <w:spacing w:line="500" w:lineRule="exact"/>
        <w:ind w:firstLine="570"/>
        <w:rPr>
          <w:rFonts w:eastAsia="仿宋_GB2312" w:cs="宋体"/>
          <w:sz w:val="28"/>
          <w:szCs w:val="28"/>
        </w:rPr>
      </w:pPr>
      <w:r>
        <w:rPr>
          <w:rFonts w:hint="eastAsia" w:eastAsia="仿宋_GB2312" w:cs="宋体"/>
          <w:sz w:val="28"/>
          <w:szCs w:val="28"/>
        </w:rPr>
        <w:t>④</w:t>
      </w:r>
      <w:r>
        <w:rPr>
          <w:rFonts w:eastAsia="仿宋_GB2312" w:cs="宋体"/>
          <w:sz w:val="28"/>
          <w:szCs w:val="28"/>
        </w:rPr>
        <w:t>协调受威胁的周边地区危险源的监控工作；</w:t>
      </w:r>
    </w:p>
    <w:p>
      <w:pPr>
        <w:spacing w:line="500" w:lineRule="exact"/>
        <w:ind w:firstLine="570"/>
        <w:rPr>
          <w:rFonts w:eastAsia="仿宋_GB2312" w:cs="宋体"/>
          <w:sz w:val="28"/>
          <w:szCs w:val="28"/>
        </w:rPr>
      </w:pPr>
      <w:r>
        <w:rPr>
          <w:rFonts w:hint="eastAsia" w:eastAsia="仿宋_GB2312" w:cs="宋体"/>
          <w:sz w:val="28"/>
          <w:szCs w:val="28"/>
        </w:rPr>
        <w:t>⑤</w:t>
      </w:r>
      <w:r>
        <w:rPr>
          <w:rFonts w:eastAsia="仿宋_GB2312" w:cs="宋体"/>
          <w:sz w:val="28"/>
          <w:szCs w:val="28"/>
        </w:rPr>
        <w:t>协调建立现场警戒区和交通管制区域，确定重点防护区域；</w:t>
      </w:r>
    </w:p>
    <w:p>
      <w:pPr>
        <w:spacing w:line="500" w:lineRule="exact"/>
        <w:ind w:firstLine="570"/>
        <w:rPr>
          <w:rFonts w:eastAsia="仿宋_GB2312" w:cs="宋体"/>
          <w:sz w:val="28"/>
          <w:szCs w:val="28"/>
        </w:rPr>
      </w:pPr>
      <w:r>
        <w:rPr>
          <w:rFonts w:hint="eastAsia" w:eastAsia="仿宋_GB2312" w:cs="宋体"/>
          <w:sz w:val="28"/>
          <w:szCs w:val="28"/>
        </w:rPr>
        <w:t>⑥</w:t>
      </w:r>
      <w:r>
        <w:rPr>
          <w:rFonts w:eastAsia="仿宋_GB2312" w:cs="宋体"/>
          <w:sz w:val="28"/>
          <w:szCs w:val="28"/>
        </w:rPr>
        <w:t>根据现场监测结果，确定被转移、疏散群众返回时间；</w:t>
      </w:r>
    </w:p>
    <w:p>
      <w:pPr>
        <w:spacing w:line="500" w:lineRule="exact"/>
        <w:ind w:firstLine="570"/>
        <w:rPr>
          <w:rFonts w:eastAsia="仿宋_GB2312" w:cs="宋体"/>
          <w:sz w:val="28"/>
          <w:szCs w:val="28"/>
        </w:rPr>
      </w:pPr>
      <w:r>
        <w:rPr>
          <w:rFonts w:hint="eastAsia" w:eastAsia="仿宋_GB2312" w:cs="宋体"/>
          <w:sz w:val="28"/>
          <w:szCs w:val="28"/>
        </w:rPr>
        <w:t>⑦</w:t>
      </w:r>
      <w:r>
        <w:rPr>
          <w:rFonts w:eastAsia="仿宋_GB2312" w:cs="宋体"/>
          <w:sz w:val="28"/>
          <w:szCs w:val="28"/>
        </w:rPr>
        <w:t>及时向区政府报告应急行动的进展情况。</w:t>
      </w:r>
    </w:p>
    <w:p>
      <w:pPr>
        <w:spacing w:line="500" w:lineRule="exact"/>
        <w:ind w:firstLine="570"/>
        <w:rPr>
          <w:rFonts w:eastAsia="仿宋_GB2312" w:cs="宋体"/>
          <w:sz w:val="28"/>
          <w:szCs w:val="28"/>
        </w:rPr>
      </w:pPr>
      <w:r>
        <w:rPr>
          <w:rFonts w:eastAsia="仿宋_GB2312" w:cs="宋体"/>
          <w:sz w:val="28"/>
          <w:szCs w:val="28"/>
        </w:rPr>
        <w:t>（2）应急监测组</w:t>
      </w:r>
    </w:p>
    <w:p>
      <w:pPr>
        <w:spacing w:line="500" w:lineRule="exact"/>
        <w:ind w:firstLine="570"/>
        <w:rPr>
          <w:rFonts w:eastAsia="仿宋_GB2312" w:cs="宋体"/>
          <w:sz w:val="28"/>
          <w:szCs w:val="28"/>
        </w:rPr>
      </w:pPr>
      <w:r>
        <w:rPr>
          <w:rFonts w:hint="eastAsia" w:eastAsia="仿宋_GB2312" w:cs="宋体"/>
          <w:sz w:val="28"/>
          <w:szCs w:val="28"/>
        </w:rPr>
        <w:t>①</w:t>
      </w:r>
      <w:r>
        <w:rPr>
          <w:rFonts w:eastAsia="仿宋_GB2312" w:cs="宋体"/>
          <w:sz w:val="28"/>
          <w:szCs w:val="28"/>
        </w:rPr>
        <w:t>根据突发环境事件污染物的扩散速度和事件发生地的气象和地域特点，确定污染物扩散范围。</w:t>
      </w:r>
    </w:p>
    <w:p>
      <w:pPr>
        <w:spacing w:line="500" w:lineRule="exact"/>
        <w:ind w:firstLine="570"/>
        <w:rPr>
          <w:rFonts w:eastAsia="仿宋_GB2312" w:cs="宋体"/>
          <w:sz w:val="28"/>
          <w:szCs w:val="28"/>
        </w:rPr>
      </w:pPr>
      <w:r>
        <w:rPr>
          <w:rFonts w:hint="eastAsia" w:eastAsia="仿宋_GB2312" w:cs="宋体"/>
          <w:sz w:val="28"/>
          <w:szCs w:val="28"/>
        </w:rPr>
        <w:t>②</w:t>
      </w:r>
      <w:r>
        <w:rPr>
          <w:rFonts w:eastAsia="仿宋_GB2312" w:cs="宋体"/>
          <w:sz w:val="28"/>
          <w:szCs w:val="28"/>
        </w:rPr>
        <w:t>根据监测结果，综合分析突发环境事件污染变化趋势，并通过专家咨询和讨论的方式，预测并报告突发环境事件的发展情况和污染物的变化情况，作为突发环境事件应急决策的依据。</w:t>
      </w:r>
    </w:p>
    <w:p>
      <w:pPr>
        <w:spacing w:line="500" w:lineRule="exact"/>
        <w:ind w:firstLine="570"/>
        <w:rPr>
          <w:rFonts w:eastAsia="仿宋_GB2312" w:cs="宋体"/>
          <w:sz w:val="28"/>
          <w:szCs w:val="28"/>
        </w:rPr>
      </w:pPr>
      <w:r>
        <w:rPr>
          <w:rFonts w:eastAsia="仿宋_GB2312" w:cs="宋体"/>
          <w:sz w:val="28"/>
          <w:szCs w:val="28"/>
        </w:rPr>
        <w:t>（3）现场监察组</w:t>
      </w:r>
    </w:p>
    <w:p>
      <w:pPr>
        <w:spacing w:line="500" w:lineRule="exact"/>
        <w:ind w:firstLine="570"/>
        <w:rPr>
          <w:rFonts w:eastAsia="仿宋_GB2312" w:cs="宋体"/>
          <w:sz w:val="28"/>
          <w:szCs w:val="28"/>
        </w:rPr>
      </w:pPr>
      <w:r>
        <w:rPr>
          <w:rFonts w:eastAsia="仿宋_GB2312" w:cs="宋体"/>
          <w:sz w:val="28"/>
          <w:szCs w:val="28"/>
        </w:rPr>
        <w:t>接到报警，全体人员要以最快的速度赶赴现场，根据事故现场情况，划定事故现场警戒范围。确定事故现场排放物质类型，提出疏散附近地区人群、切断污染源、控制污染源等建议方案，并协同有关部门组织实施落实，及时展开事故发生原因调查。并根据领导指示，适时向社会、媒体发布事故发生的信息和简况。</w:t>
      </w:r>
    </w:p>
    <w:p>
      <w:pPr>
        <w:spacing w:line="500" w:lineRule="exact"/>
        <w:ind w:firstLine="570"/>
        <w:rPr>
          <w:rFonts w:eastAsia="仿宋_GB2312" w:cs="宋体"/>
          <w:sz w:val="28"/>
          <w:szCs w:val="28"/>
        </w:rPr>
      </w:pPr>
      <w:r>
        <w:rPr>
          <w:rFonts w:eastAsia="仿宋_GB2312" w:cs="宋体"/>
          <w:sz w:val="28"/>
          <w:szCs w:val="28"/>
        </w:rPr>
        <w:t>（4）事故评估组</w:t>
      </w:r>
    </w:p>
    <w:p>
      <w:pPr>
        <w:spacing w:line="500" w:lineRule="exact"/>
        <w:ind w:firstLine="570"/>
        <w:rPr>
          <w:rFonts w:eastAsia="仿宋_GB2312" w:cs="宋体"/>
          <w:sz w:val="28"/>
          <w:szCs w:val="28"/>
        </w:rPr>
      </w:pPr>
      <w:r>
        <w:rPr>
          <w:rFonts w:eastAsia="仿宋_GB2312" w:cs="宋体"/>
          <w:sz w:val="28"/>
          <w:szCs w:val="28"/>
        </w:rPr>
        <w:t>当事故发生后，全体人员根据局领导和上级领导的指示要求，参与对事故发生的原因定性等问题研究，配合相关部门对事故损失进行评估认定。</w:t>
      </w:r>
    </w:p>
    <w:p>
      <w:pPr>
        <w:spacing w:line="500" w:lineRule="exact"/>
        <w:ind w:firstLine="570"/>
        <w:rPr>
          <w:rFonts w:eastAsia="仿宋_GB2312" w:cs="宋体"/>
          <w:sz w:val="28"/>
          <w:szCs w:val="28"/>
        </w:rPr>
      </w:pPr>
      <w:r>
        <w:rPr>
          <w:rFonts w:eastAsia="仿宋_GB2312" w:cs="宋体"/>
          <w:sz w:val="28"/>
          <w:szCs w:val="28"/>
        </w:rPr>
        <w:t>3、园区对事故后期处理的管理</w:t>
      </w:r>
    </w:p>
    <w:p>
      <w:pPr>
        <w:spacing w:line="500" w:lineRule="exact"/>
        <w:ind w:firstLine="570"/>
        <w:rPr>
          <w:rFonts w:eastAsia="仿宋_GB2312" w:cs="宋体"/>
          <w:sz w:val="28"/>
          <w:szCs w:val="28"/>
        </w:rPr>
      </w:pPr>
      <w:r>
        <w:rPr>
          <w:rFonts w:eastAsia="仿宋_GB2312" w:cs="宋体"/>
          <w:sz w:val="28"/>
          <w:szCs w:val="28"/>
        </w:rPr>
        <w:t>园区环境污染事故处理领导小组组织有关专家对受灾范围进行科学评估，提出补偿和对遭受污染的生态环境进行恢复的建议。</w:t>
      </w:r>
    </w:p>
    <w:p>
      <w:pPr>
        <w:spacing w:line="500" w:lineRule="exact"/>
        <w:ind w:firstLine="570"/>
        <w:rPr>
          <w:rFonts w:eastAsia="仿宋_GB2312" w:cs="宋体"/>
          <w:sz w:val="28"/>
          <w:szCs w:val="28"/>
        </w:rPr>
      </w:pPr>
      <w:r>
        <w:rPr>
          <w:rFonts w:eastAsia="仿宋_GB2312" w:cs="宋体"/>
          <w:sz w:val="28"/>
          <w:szCs w:val="28"/>
        </w:rPr>
        <w:t>（1）指导有关部门及突发环境事件单位查找事件原因，防止类似问题的重复出现。</w:t>
      </w:r>
    </w:p>
    <w:p>
      <w:pPr>
        <w:spacing w:line="500" w:lineRule="exact"/>
        <w:ind w:firstLine="570"/>
        <w:rPr>
          <w:rFonts w:eastAsia="仿宋_GB2312" w:cs="宋体"/>
          <w:sz w:val="28"/>
          <w:szCs w:val="28"/>
        </w:rPr>
      </w:pPr>
      <w:r>
        <w:rPr>
          <w:rFonts w:eastAsia="仿宋_GB2312" w:cs="宋体"/>
          <w:sz w:val="28"/>
          <w:szCs w:val="28"/>
        </w:rPr>
        <w:t>（2）金城镇相关部门负责编制重大环境事件总结报告，于应急终止后上报。</w:t>
      </w:r>
    </w:p>
    <w:p>
      <w:pPr>
        <w:spacing w:line="500" w:lineRule="exact"/>
        <w:ind w:firstLine="570"/>
        <w:rPr>
          <w:rFonts w:eastAsia="仿宋_GB2312" w:cs="宋体"/>
          <w:sz w:val="28"/>
          <w:szCs w:val="28"/>
        </w:rPr>
      </w:pPr>
      <w:r>
        <w:rPr>
          <w:rFonts w:eastAsia="仿宋_GB2312" w:cs="宋体"/>
          <w:sz w:val="28"/>
          <w:szCs w:val="28"/>
        </w:rPr>
        <w:t>（3）应急过程评价。由环保局组织有关专家，会同金城镇各相关部门组织实施。</w:t>
      </w:r>
    </w:p>
    <w:p>
      <w:pPr>
        <w:spacing w:line="500" w:lineRule="exact"/>
        <w:ind w:firstLine="570"/>
        <w:rPr>
          <w:rFonts w:eastAsia="仿宋_GB2312" w:cs="宋体"/>
          <w:sz w:val="28"/>
          <w:szCs w:val="28"/>
        </w:rPr>
      </w:pPr>
      <w:r>
        <w:rPr>
          <w:rFonts w:eastAsia="仿宋_GB2312" w:cs="宋体"/>
          <w:sz w:val="28"/>
          <w:szCs w:val="28"/>
        </w:rPr>
        <w:t>（4）根据实践经验，组织对应急预案进行评估，并及时修订环境应急预案。</w:t>
      </w:r>
    </w:p>
    <w:p>
      <w:pPr>
        <w:pStyle w:val="3"/>
        <w:spacing w:before="120" w:after="120"/>
      </w:pPr>
      <w:bookmarkStart w:id="397" w:name="_Toc140565281"/>
      <w:bookmarkStart w:id="398" w:name="_Toc226537091"/>
      <w:r>
        <w:t>环保措施汇总</w:t>
      </w:r>
      <w:bookmarkEnd w:id="397"/>
      <w:bookmarkEnd w:id="398"/>
    </w:p>
    <w:p>
      <w:pPr>
        <w:tabs>
          <w:tab w:val="left" w:pos="1905"/>
        </w:tabs>
        <w:spacing w:line="500" w:lineRule="exact"/>
        <w:ind w:firstLine="560" w:firstLineChars="200"/>
        <w:rPr>
          <w:rFonts w:eastAsia="仿宋_GB2312"/>
          <w:sz w:val="28"/>
          <w:szCs w:val="28"/>
        </w:rPr>
      </w:pPr>
      <w:r>
        <w:rPr>
          <w:rFonts w:eastAsia="仿宋_GB2312"/>
          <w:sz w:val="28"/>
          <w:szCs w:val="28"/>
        </w:rPr>
        <w:t>环保措施汇总情况见表6.7-1。</w:t>
      </w:r>
    </w:p>
    <w:p>
      <w:pPr>
        <w:pStyle w:val="50"/>
        <w:ind w:firstLine="0" w:firstLineChars="0"/>
        <w:jc w:val="center"/>
        <w:rPr>
          <w:rFonts w:ascii="Times New Roman"/>
          <w:b/>
          <w:sz w:val="24"/>
        </w:rPr>
      </w:pPr>
      <w:bookmarkStart w:id="399" w:name="_Ref326139830"/>
      <w:r>
        <w:rPr>
          <w:rFonts w:ascii="Times New Roman"/>
          <w:b/>
          <w:sz w:val="24"/>
        </w:rPr>
        <w:t>表</w:t>
      </w:r>
      <w:bookmarkEnd w:id="399"/>
      <w:r>
        <w:rPr>
          <w:rFonts w:ascii="Times New Roman"/>
          <w:b/>
          <w:sz w:val="24"/>
        </w:rPr>
        <w:t>6.7-1  本项目环保措施汇总一览表</w:t>
      </w:r>
    </w:p>
    <w:tbl>
      <w:tblPr>
        <w:tblStyle w:val="87"/>
        <w:tblW w:w="90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5"/>
        <w:gridCol w:w="3808"/>
        <w:gridCol w:w="2331"/>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blHeader/>
          <w:jc w:val="center"/>
        </w:trPr>
        <w:tc>
          <w:tcPr>
            <w:tcW w:w="0" w:type="auto"/>
            <w:vAlign w:val="center"/>
          </w:tcPr>
          <w:p>
            <w:pPr>
              <w:widowControl/>
              <w:spacing w:line="240" w:lineRule="exact"/>
              <w:jc w:val="center"/>
              <w:rPr>
                <w:rFonts w:ascii="仿宋" w:hAnsi="仿宋" w:eastAsia="仿宋" w:cs="仿宋"/>
                <w:szCs w:val="21"/>
              </w:rPr>
            </w:pPr>
            <w:r>
              <w:rPr>
                <w:rFonts w:ascii="仿宋" w:hAnsi="仿宋" w:eastAsia="仿宋" w:cs="仿宋"/>
                <w:szCs w:val="21"/>
              </w:rPr>
              <w:t>污染类型</w:t>
            </w:r>
          </w:p>
        </w:tc>
        <w:tc>
          <w:tcPr>
            <w:tcW w:w="4208" w:type="dxa"/>
            <w:vAlign w:val="center"/>
          </w:tcPr>
          <w:p>
            <w:pPr>
              <w:widowControl/>
              <w:spacing w:line="240" w:lineRule="exact"/>
              <w:jc w:val="center"/>
              <w:rPr>
                <w:rFonts w:ascii="仿宋" w:hAnsi="仿宋" w:eastAsia="仿宋" w:cs="仿宋"/>
                <w:szCs w:val="21"/>
              </w:rPr>
            </w:pPr>
            <w:r>
              <w:rPr>
                <w:rFonts w:ascii="仿宋" w:hAnsi="仿宋" w:eastAsia="仿宋" w:cs="仿宋"/>
                <w:szCs w:val="21"/>
              </w:rPr>
              <w:t>环保设施名称</w:t>
            </w:r>
          </w:p>
        </w:tc>
        <w:tc>
          <w:tcPr>
            <w:tcW w:w="2518" w:type="dxa"/>
            <w:vAlign w:val="center"/>
          </w:tcPr>
          <w:p>
            <w:pPr>
              <w:widowControl/>
              <w:spacing w:line="240" w:lineRule="exact"/>
              <w:jc w:val="center"/>
              <w:rPr>
                <w:rFonts w:ascii="仿宋" w:hAnsi="仿宋" w:eastAsia="仿宋" w:cs="仿宋"/>
                <w:szCs w:val="21"/>
              </w:rPr>
            </w:pPr>
            <w:r>
              <w:rPr>
                <w:rFonts w:ascii="仿宋" w:hAnsi="仿宋" w:eastAsia="仿宋" w:cs="仿宋"/>
                <w:szCs w:val="21"/>
              </w:rPr>
              <w:t>预期效果</w:t>
            </w:r>
          </w:p>
        </w:tc>
        <w:tc>
          <w:tcPr>
            <w:tcW w:w="1298" w:type="dxa"/>
            <w:vAlign w:val="center"/>
          </w:tcPr>
          <w:p>
            <w:pPr>
              <w:widowControl/>
              <w:spacing w:line="240" w:lineRule="exact"/>
              <w:jc w:val="center"/>
              <w:rPr>
                <w:rFonts w:ascii="仿宋" w:hAnsi="仿宋" w:eastAsia="仿宋" w:cs="仿宋"/>
                <w:szCs w:val="21"/>
              </w:rPr>
            </w:pPr>
            <w:r>
              <w:rPr>
                <w:rFonts w:ascii="仿宋" w:hAnsi="仿宋" w:eastAsia="仿宋" w:cs="仿宋"/>
                <w:szCs w:val="21"/>
              </w:rPr>
              <w:t>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71" w:type="dxa"/>
            <w:vMerge w:val="restart"/>
            <w:vAlign w:val="center"/>
          </w:tcPr>
          <w:p>
            <w:pPr>
              <w:widowControl/>
              <w:spacing w:line="240" w:lineRule="exact"/>
              <w:jc w:val="center"/>
              <w:rPr>
                <w:rFonts w:ascii="仿宋" w:hAnsi="仿宋" w:eastAsia="仿宋" w:cs="仿宋"/>
                <w:szCs w:val="21"/>
              </w:rPr>
            </w:pPr>
            <w:r>
              <w:rPr>
                <w:rFonts w:ascii="仿宋" w:hAnsi="仿宋" w:eastAsia="仿宋" w:cs="仿宋"/>
                <w:szCs w:val="21"/>
              </w:rPr>
              <w:t>废气</w:t>
            </w:r>
          </w:p>
        </w:tc>
        <w:tc>
          <w:tcPr>
            <w:tcW w:w="4208"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w:t>
            </w:r>
            <w:r>
              <w:rPr>
                <w:rFonts w:ascii="仿宋" w:hAnsi="仿宋" w:eastAsia="仿宋" w:cs="仿宋"/>
                <w:bCs/>
                <w:szCs w:val="21"/>
              </w:rPr>
              <w:t>#排气筒</w:t>
            </w:r>
            <w:r>
              <w:rPr>
                <w:rFonts w:hint="eastAsia" w:ascii="仿宋" w:hAnsi="仿宋" w:eastAsia="仿宋" w:cs="仿宋"/>
                <w:bCs/>
                <w:szCs w:val="21"/>
              </w:rPr>
              <w:t>：RTO燃烧</w:t>
            </w:r>
            <w:r>
              <w:rPr>
                <w:rFonts w:ascii="仿宋" w:hAnsi="仿宋" w:eastAsia="仿宋" w:cs="仿宋"/>
                <w:bCs/>
                <w:szCs w:val="21"/>
              </w:rPr>
              <w:t>装置</w:t>
            </w:r>
          </w:p>
        </w:tc>
        <w:tc>
          <w:tcPr>
            <w:tcW w:w="2518" w:type="dxa"/>
            <w:vAlign w:val="center"/>
          </w:tcPr>
          <w:p>
            <w:pPr>
              <w:widowControl/>
              <w:spacing w:line="240" w:lineRule="exact"/>
              <w:jc w:val="center"/>
              <w:rPr>
                <w:rFonts w:ascii="仿宋" w:hAnsi="仿宋" w:eastAsia="仿宋" w:cs="仿宋"/>
                <w:szCs w:val="21"/>
              </w:rPr>
            </w:pPr>
            <w:r>
              <w:rPr>
                <w:rFonts w:ascii="仿宋" w:hAnsi="仿宋" w:eastAsia="仿宋" w:cs="仿宋"/>
                <w:szCs w:val="21"/>
              </w:rPr>
              <w:t>达标排放</w:t>
            </w:r>
          </w:p>
        </w:tc>
        <w:tc>
          <w:tcPr>
            <w:tcW w:w="1298" w:type="dxa"/>
            <w:vAlign w:val="center"/>
          </w:tcPr>
          <w:p>
            <w:pPr>
              <w:widowControl/>
              <w:spacing w:line="240" w:lineRule="exact"/>
              <w:jc w:val="center"/>
              <w:rPr>
                <w:rFonts w:ascii="仿宋" w:hAnsi="仿宋" w:eastAsia="仿宋" w:cs="仿宋"/>
                <w:szCs w:val="21"/>
              </w:rPr>
            </w:pPr>
            <w:r>
              <w:rPr>
                <w:rFonts w:ascii="仿宋" w:hAnsi="仿宋" w:eastAsia="仿宋" w:cs="仿宋"/>
                <w:szCs w:val="21"/>
              </w:rPr>
              <w:t>三同时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71" w:type="dxa"/>
            <w:vMerge w:val="continue"/>
            <w:vAlign w:val="center"/>
          </w:tcPr>
          <w:p>
            <w:pPr>
              <w:widowControl/>
              <w:spacing w:line="240" w:lineRule="exact"/>
              <w:jc w:val="center"/>
              <w:rPr>
                <w:rFonts w:ascii="仿宋" w:hAnsi="仿宋" w:eastAsia="仿宋" w:cs="仿宋"/>
                <w:szCs w:val="21"/>
              </w:rPr>
            </w:pPr>
          </w:p>
        </w:tc>
        <w:tc>
          <w:tcPr>
            <w:tcW w:w="4208"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w:t>
            </w:r>
            <w:r>
              <w:rPr>
                <w:rFonts w:ascii="仿宋" w:hAnsi="仿宋" w:eastAsia="仿宋" w:cs="仿宋"/>
                <w:bCs/>
                <w:szCs w:val="21"/>
              </w:rPr>
              <w:t>#排气筒</w:t>
            </w:r>
            <w:r>
              <w:rPr>
                <w:rFonts w:hint="eastAsia" w:ascii="仿宋" w:hAnsi="仿宋" w:eastAsia="仿宋" w:cs="仿宋"/>
                <w:bCs/>
                <w:szCs w:val="21"/>
              </w:rPr>
              <w:t>：两级活性炭吸附</w:t>
            </w:r>
            <w:r>
              <w:rPr>
                <w:rFonts w:ascii="仿宋" w:hAnsi="仿宋" w:eastAsia="仿宋" w:cs="仿宋"/>
                <w:bCs/>
                <w:szCs w:val="21"/>
              </w:rPr>
              <w:t>装置</w:t>
            </w:r>
          </w:p>
        </w:tc>
        <w:tc>
          <w:tcPr>
            <w:tcW w:w="2518" w:type="dxa"/>
            <w:vAlign w:val="center"/>
          </w:tcPr>
          <w:p>
            <w:pPr>
              <w:widowControl/>
              <w:spacing w:line="240" w:lineRule="exact"/>
              <w:jc w:val="center"/>
              <w:rPr>
                <w:rFonts w:ascii="仿宋" w:hAnsi="仿宋" w:eastAsia="仿宋" w:cs="仿宋"/>
                <w:szCs w:val="21"/>
              </w:rPr>
            </w:pPr>
            <w:r>
              <w:rPr>
                <w:rFonts w:ascii="仿宋" w:hAnsi="仿宋" w:eastAsia="仿宋" w:cs="仿宋"/>
                <w:szCs w:val="21"/>
              </w:rPr>
              <w:t>达标排放</w:t>
            </w:r>
          </w:p>
        </w:tc>
        <w:tc>
          <w:tcPr>
            <w:tcW w:w="1298" w:type="dxa"/>
            <w:vAlign w:val="center"/>
          </w:tcPr>
          <w:p>
            <w:pPr>
              <w:widowControl/>
              <w:spacing w:line="240" w:lineRule="exact"/>
              <w:jc w:val="center"/>
              <w:rPr>
                <w:rFonts w:ascii="仿宋" w:hAnsi="仿宋" w:eastAsia="仿宋" w:cs="仿宋"/>
                <w:szCs w:val="21"/>
              </w:rPr>
            </w:pPr>
            <w:r>
              <w:rPr>
                <w:rFonts w:ascii="仿宋" w:hAnsi="仿宋" w:eastAsia="仿宋" w:cs="仿宋"/>
                <w:szCs w:val="21"/>
              </w:rPr>
              <w:t>三同时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0" w:type="auto"/>
            <w:vAlign w:val="center"/>
          </w:tcPr>
          <w:p>
            <w:pPr>
              <w:widowControl/>
              <w:spacing w:line="240" w:lineRule="exact"/>
              <w:jc w:val="center"/>
              <w:rPr>
                <w:rFonts w:ascii="仿宋" w:hAnsi="仿宋" w:eastAsia="仿宋" w:cs="仿宋"/>
                <w:szCs w:val="21"/>
              </w:rPr>
            </w:pPr>
            <w:r>
              <w:rPr>
                <w:rFonts w:ascii="仿宋" w:hAnsi="仿宋" w:eastAsia="仿宋" w:cs="仿宋"/>
                <w:szCs w:val="21"/>
              </w:rPr>
              <w:t>废水</w:t>
            </w:r>
          </w:p>
        </w:tc>
        <w:tc>
          <w:tcPr>
            <w:tcW w:w="4208" w:type="dxa"/>
            <w:vAlign w:val="center"/>
          </w:tcPr>
          <w:p>
            <w:pPr>
              <w:widowControl/>
              <w:spacing w:line="240" w:lineRule="exact"/>
              <w:jc w:val="center"/>
              <w:rPr>
                <w:rFonts w:ascii="仿宋" w:hAnsi="仿宋" w:eastAsia="仿宋" w:cs="仿宋"/>
                <w:szCs w:val="21"/>
              </w:rPr>
            </w:pPr>
            <w:r>
              <w:rPr>
                <w:rFonts w:hint="eastAsia" w:ascii="仿宋" w:hAnsi="仿宋" w:eastAsia="仿宋" w:cs="仿宋"/>
                <w:szCs w:val="21"/>
              </w:rPr>
              <w:t>接入市政管网后</w:t>
            </w:r>
            <w:r>
              <w:rPr>
                <w:rFonts w:ascii="仿宋" w:hAnsi="仿宋" w:eastAsia="仿宋" w:cs="仿宋"/>
                <w:szCs w:val="21"/>
              </w:rPr>
              <w:t>进金坛第二污水处理厂处理</w:t>
            </w:r>
          </w:p>
        </w:tc>
        <w:tc>
          <w:tcPr>
            <w:tcW w:w="2518" w:type="dxa"/>
            <w:vAlign w:val="center"/>
          </w:tcPr>
          <w:p>
            <w:pPr>
              <w:widowControl/>
              <w:spacing w:line="240" w:lineRule="exact"/>
              <w:jc w:val="center"/>
              <w:rPr>
                <w:rFonts w:ascii="仿宋" w:hAnsi="仿宋" w:eastAsia="仿宋" w:cs="仿宋"/>
                <w:szCs w:val="21"/>
              </w:rPr>
            </w:pPr>
            <w:r>
              <w:rPr>
                <w:rFonts w:ascii="仿宋" w:hAnsi="仿宋" w:eastAsia="仿宋" w:cs="仿宋"/>
                <w:szCs w:val="21"/>
              </w:rPr>
              <w:t>达标排放</w:t>
            </w:r>
          </w:p>
        </w:tc>
        <w:tc>
          <w:tcPr>
            <w:tcW w:w="1298" w:type="dxa"/>
            <w:vAlign w:val="center"/>
          </w:tcPr>
          <w:p>
            <w:pPr>
              <w:widowControl/>
              <w:spacing w:line="240" w:lineRule="exact"/>
              <w:jc w:val="center"/>
              <w:rPr>
                <w:rFonts w:ascii="仿宋" w:hAnsi="仿宋" w:eastAsia="仿宋" w:cs="仿宋"/>
                <w:szCs w:val="21"/>
              </w:rPr>
            </w:pPr>
            <w:r>
              <w:rPr>
                <w:rFonts w:ascii="仿宋" w:hAnsi="仿宋" w:eastAsia="仿宋" w:cs="仿宋"/>
                <w:szCs w:val="21"/>
              </w:rPr>
              <w:t>三同时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0" w:type="auto"/>
            <w:vAlign w:val="center"/>
          </w:tcPr>
          <w:p>
            <w:pPr>
              <w:widowControl/>
              <w:spacing w:line="240" w:lineRule="exact"/>
              <w:jc w:val="center"/>
              <w:rPr>
                <w:rFonts w:ascii="仿宋" w:hAnsi="仿宋" w:eastAsia="仿宋" w:cs="仿宋"/>
                <w:szCs w:val="21"/>
              </w:rPr>
            </w:pPr>
            <w:r>
              <w:rPr>
                <w:rFonts w:ascii="仿宋" w:hAnsi="仿宋" w:eastAsia="仿宋" w:cs="仿宋"/>
                <w:szCs w:val="21"/>
              </w:rPr>
              <w:t>固废</w:t>
            </w:r>
          </w:p>
        </w:tc>
        <w:tc>
          <w:tcPr>
            <w:tcW w:w="4208" w:type="dxa"/>
            <w:vAlign w:val="center"/>
          </w:tcPr>
          <w:p>
            <w:pPr>
              <w:widowControl/>
              <w:spacing w:line="240" w:lineRule="exact"/>
              <w:jc w:val="center"/>
              <w:rPr>
                <w:rFonts w:ascii="仿宋" w:hAnsi="仿宋" w:eastAsia="仿宋" w:cs="仿宋"/>
                <w:szCs w:val="21"/>
              </w:rPr>
            </w:pPr>
            <w:r>
              <w:rPr>
                <w:rFonts w:hint="eastAsia" w:ascii="仿宋" w:hAnsi="仿宋" w:eastAsia="仿宋" w:cs="仿宋"/>
                <w:szCs w:val="21"/>
              </w:rPr>
              <w:t>危废仓库15</w:t>
            </w:r>
            <w:r>
              <w:rPr>
                <w:rFonts w:ascii="仿宋" w:hAnsi="仿宋" w:eastAsia="仿宋" w:cs="仿宋"/>
                <w:szCs w:val="21"/>
              </w:rPr>
              <w:t>m</w:t>
            </w:r>
            <w:r>
              <w:rPr>
                <w:rFonts w:ascii="仿宋" w:hAnsi="仿宋" w:eastAsia="仿宋" w:cs="仿宋"/>
                <w:szCs w:val="21"/>
                <w:vertAlign w:val="superscript"/>
              </w:rPr>
              <w:t>2</w:t>
            </w:r>
          </w:p>
          <w:p>
            <w:pPr>
              <w:widowControl/>
              <w:spacing w:line="240" w:lineRule="exact"/>
              <w:jc w:val="center"/>
              <w:rPr>
                <w:rFonts w:ascii="仿宋" w:hAnsi="仿宋" w:eastAsia="仿宋" w:cs="仿宋"/>
                <w:szCs w:val="21"/>
              </w:rPr>
            </w:pPr>
            <w:r>
              <w:rPr>
                <w:rFonts w:hint="eastAsia" w:ascii="仿宋" w:hAnsi="仿宋" w:eastAsia="仿宋" w:cs="仿宋"/>
                <w:szCs w:val="21"/>
              </w:rPr>
              <w:t>一般固废仓库40</w:t>
            </w:r>
            <w:r>
              <w:rPr>
                <w:rFonts w:ascii="仿宋" w:hAnsi="仿宋" w:eastAsia="仿宋" w:cs="仿宋"/>
                <w:szCs w:val="21"/>
              </w:rPr>
              <w:t>m</w:t>
            </w:r>
            <w:r>
              <w:rPr>
                <w:rFonts w:ascii="仿宋" w:hAnsi="仿宋" w:eastAsia="仿宋" w:cs="仿宋"/>
                <w:szCs w:val="21"/>
                <w:vertAlign w:val="superscript"/>
              </w:rPr>
              <w:t>2</w:t>
            </w:r>
          </w:p>
        </w:tc>
        <w:tc>
          <w:tcPr>
            <w:tcW w:w="2518" w:type="dxa"/>
            <w:vAlign w:val="center"/>
          </w:tcPr>
          <w:p>
            <w:pPr>
              <w:widowControl/>
              <w:spacing w:line="240" w:lineRule="exact"/>
              <w:jc w:val="center"/>
              <w:rPr>
                <w:rFonts w:ascii="仿宋" w:hAnsi="仿宋" w:eastAsia="仿宋" w:cs="仿宋"/>
                <w:szCs w:val="21"/>
              </w:rPr>
            </w:pPr>
            <w:r>
              <w:rPr>
                <w:rFonts w:ascii="仿宋" w:hAnsi="仿宋" w:eastAsia="仿宋" w:cs="仿宋"/>
                <w:szCs w:val="21"/>
              </w:rPr>
              <w:t>固废暂存场所做到三防“防风、防晒、防雨”，各类固废处置处理率100%，无排放</w:t>
            </w:r>
          </w:p>
        </w:tc>
        <w:tc>
          <w:tcPr>
            <w:tcW w:w="1298" w:type="dxa"/>
            <w:vAlign w:val="center"/>
          </w:tcPr>
          <w:p>
            <w:pPr>
              <w:widowControl/>
              <w:spacing w:line="240" w:lineRule="exact"/>
              <w:jc w:val="center"/>
              <w:rPr>
                <w:rFonts w:ascii="仿宋" w:hAnsi="仿宋" w:eastAsia="仿宋" w:cs="仿宋"/>
                <w:szCs w:val="21"/>
              </w:rPr>
            </w:pPr>
            <w:r>
              <w:rPr>
                <w:rFonts w:ascii="仿宋" w:hAnsi="仿宋" w:eastAsia="仿宋" w:cs="仿宋"/>
                <w:szCs w:val="21"/>
              </w:rPr>
              <w:t>三同时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0" w:type="auto"/>
            <w:vAlign w:val="center"/>
          </w:tcPr>
          <w:p>
            <w:pPr>
              <w:widowControl/>
              <w:spacing w:line="240" w:lineRule="exact"/>
              <w:jc w:val="center"/>
              <w:rPr>
                <w:rFonts w:ascii="仿宋" w:hAnsi="仿宋" w:eastAsia="仿宋" w:cs="仿宋"/>
                <w:szCs w:val="21"/>
              </w:rPr>
            </w:pPr>
            <w:r>
              <w:rPr>
                <w:rFonts w:ascii="仿宋" w:hAnsi="仿宋" w:eastAsia="仿宋" w:cs="仿宋"/>
                <w:szCs w:val="21"/>
              </w:rPr>
              <w:t>噪声</w:t>
            </w:r>
          </w:p>
        </w:tc>
        <w:tc>
          <w:tcPr>
            <w:tcW w:w="4208" w:type="dxa"/>
            <w:vAlign w:val="center"/>
          </w:tcPr>
          <w:p>
            <w:pPr>
              <w:widowControl/>
              <w:spacing w:line="240" w:lineRule="exact"/>
              <w:jc w:val="center"/>
              <w:rPr>
                <w:rFonts w:ascii="仿宋" w:hAnsi="仿宋" w:eastAsia="仿宋" w:cs="仿宋"/>
                <w:szCs w:val="21"/>
              </w:rPr>
            </w:pPr>
            <w:r>
              <w:rPr>
                <w:rFonts w:ascii="仿宋" w:hAnsi="仿宋" w:eastAsia="仿宋" w:cs="仿宋"/>
                <w:szCs w:val="21"/>
              </w:rPr>
              <w:t>消声、隔音、减振设施</w:t>
            </w:r>
          </w:p>
        </w:tc>
        <w:tc>
          <w:tcPr>
            <w:tcW w:w="2518" w:type="dxa"/>
            <w:vAlign w:val="center"/>
          </w:tcPr>
          <w:p>
            <w:pPr>
              <w:widowControl/>
              <w:spacing w:line="240" w:lineRule="exact"/>
              <w:jc w:val="center"/>
              <w:rPr>
                <w:rFonts w:ascii="仿宋" w:hAnsi="仿宋" w:eastAsia="仿宋" w:cs="仿宋"/>
                <w:szCs w:val="21"/>
              </w:rPr>
            </w:pPr>
            <w:r>
              <w:rPr>
                <w:rFonts w:ascii="仿宋" w:hAnsi="仿宋" w:eastAsia="仿宋" w:cs="仿宋"/>
                <w:szCs w:val="21"/>
              </w:rPr>
              <w:t>厂界噪声达标</w:t>
            </w:r>
          </w:p>
        </w:tc>
        <w:tc>
          <w:tcPr>
            <w:tcW w:w="1298" w:type="dxa"/>
            <w:vAlign w:val="center"/>
          </w:tcPr>
          <w:p>
            <w:pPr>
              <w:widowControl/>
              <w:spacing w:line="240" w:lineRule="exact"/>
              <w:jc w:val="center"/>
              <w:rPr>
                <w:rFonts w:ascii="仿宋" w:hAnsi="仿宋" w:eastAsia="仿宋" w:cs="仿宋"/>
                <w:szCs w:val="21"/>
              </w:rPr>
            </w:pPr>
            <w:r>
              <w:rPr>
                <w:rFonts w:ascii="仿宋" w:hAnsi="仿宋" w:eastAsia="仿宋" w:cs="仿宋"/>
                <w:szCs w:val="21"/>
              </w:rPr>
              <w:t>三同时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0" w:type="auto"/>
            <w:vAlign w:val="center"/>
          </w:tcPr>
          <w:p>
            <w:pPr>
              <w:widowControl/>
              <w:spacing w:line="240" w:lineRule="exact"/>
              <w:jc w:val="center"/>
              <w:rPr>
                <w:rFonts w:ascii="仿宋" w:hAnsi="仿宋" w:eastAsia="仿宋" w:cs="仿宋"/>
                <w:szCs w:val="21"/>
              </w:rPr>
            </w:pPr>
            <w:r>
              <w:rPr>
                <w:rFonts w:hint="eastAsia" w:ascii="仿宋" w:hAnsi="仿宋" w:eastAsia="仿宋" w:cs="仿宋"/>
                <w:szCs w:val="21"/>
              </w:rPr>
              <w:t>监测仪器</w:t>
            </w:r>
          </w:p>
        </w:tc>
        <w:tc>
          <w:tcPr>
            <w:tcW w:w="4208" w:type="dxa"/>
            <w:vAlign w:val="center"/>
          </w:tcPr>
          <w:p>
            <w:pPr>
              <w:widowControl/>
              <w:spacing w:line="240" w:lineRule="exact"/>
              <w:jc w:val="center"/>
              <w:rPr>
                <w:rFonts w:ascii="仿宋" w:hAnsi="仿宋" w:eastAsia="仿宋" w:cs="仿宋"/>
                <w:szCs w:val="21"/>
              </w:rPr>
            </w:pPr>
            <w:r>
              <w:rPr>
                <w:rFonts w:hint="eastAsia" w:ascii="仿宋" w:hAnsi="仿宋" w:eastAsia="仿宋" w:cs="仿宋"/>
                <w:szCs w:val="21"/>
              </w:rPr>
              <w:t>各类分析仪器、</w:t>
            </w:r>
            <w:r>
              <w:rPr>
                <w:rFonts w:ascii="仿宋" w:hAnsi="仿宋" w:eastAsia="仿宋" w:cs="仿宋"/>
                <w:szCs w:val="21"/>
              </w:rPr>
              <w:t>排气筒</w:t>
            </w:r>
            <w:r>
              <w:rPr>
                <w:rFonts w:hint="eastAsia" w:ascii="仿宋" w:hAnsi="仿宋" w:eastAsia="仿宋" w:cs="仿宋"/>
                <w:szCs w:val="21"/>
              </w:rPr>
              <w:t>安装</w:t>
            </w:r>
            <w:r>
              <w:rPr>
                <w:rFonts w:ascii="仿宋" w:hAnsi="仿宋" w:eastAsia="仿宋" w:cs="仿宋"/>
                <w:szCs w:val="21"/>
              </w:rPr>
              <w:t>在线监控</w:t>
            </w:r>
          </w:p>
        </w:tc>
        <w:tc>
          <w:tcPr>
            <w:tcW w:w="2518" w:type="dxa"/>
            <w:vAlign w:val="center"/>
          </w:tcPr>
          <w:p>
            <w:pPr>
              <w:widowControl/>
              <w:spacing w:line="240" w:lineRule="exact"/>
              <w:jc w:val="center"/>
              <w:rPr>
                <w:rFonts w:ascii="仿宋" w:hAnsi="仿宋" w:eastAsia="仿宋" w:cs="仿宋"/>
                <w:szCs w:val="21"/>
              </w:rPr>
            </w:pPr>
            <w:r>
              <w:rPr>
                <w:rFonts w:hint="eastAsia" w:ascii="仿宋" w:hAnsi="仿宋" w:eastAsia="仿宋" w:cs="仿宋"/>
                <w:szCs w:val="21"/>
              </w:rPr>
              <w:t>满足常规监测需要，及时了解排污情况</w:t>
            </w:r>
          </w:p>
        </w:tc>
        <w:tc>
          <w:tcPr>
            <w:tcW w:w="1298" w:type="dxa"/>
            <w:vAlign w:val="center"/>
          </w:tcPr>
          <w:p>
            <w:pPr>
              <w:widowControl/>
              <w:spacing w:line="240" w:lineRule="exact"/>
              <w:jc w:val="center"/>
              <w:rPr>
                <w:rFonts w:ascii="仿宋" w:hAnsi="仿宋" w:eastAsia="仿宋" w:cs="仿宋"/>
                <w:szCs w:val="21"/>
              </w:rPr>
            </w:pPr>
            <w:r>
              <w:rPr>
                <w:rFonts w:ascii="仿宋" w:hAnsi="仿宋" w:eastAsia="仿宋" w:cs="仿宋"/>
                <w:szCs w:val="21"/>
              </w:rPr>
              <w:t>三同时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0" w:type="auto"/>
            <w:vAlign w:val="center"/>
          </w:tcPr>
          <w:p>
            <w:pPr>
              <w:widowControl/>
              <w:spacing w:line="240" w:lineRule="exact"/>
              <w:jc w:val="center"/>
              <w:rPr>
                <w:rFonts w:ascii="仿宋" w:hAnsi="仿宋" w:eastAsia="仿宋" w:cs="仿宋"/>
                <w:szCs w:val="21"/>
              </w:rPr>
            </w:pPr>
            <w:r>
              <w:rPr>
                <w:rFonts w:ascii="仿宋" w:hAnsi="仿宋" w:eastAsia="仿宋" w:cs="仿宋"/>
                <w:szCs w:val="21"/>
              </w:rPr>
              <w:t>排污口整治等</w:t>
            </w:r>
          </w:p>
        </w:tc>
        <w:tc>
          <w:tcPr>
            <w:tcW w:w="4208" w:type="dxa"/>
            <w:vAlign w:val="center"/>
          </w:tcPr>
          <w:p>
            <w:pPr>
              <w:widowControl/>
              <w:spacing w:line="240" w:lineRule="exact"/>
              <w:jc w:val="center"/>
              <w:rPr>
                <w:rFonts w:ascii="仿宋" w:hAnsi="仿宋" w:eastAsia="仿宋" w:cs="仿宋"/>
                <w:szCs w:val="21"/>
              </w:rPr>
            </w:pPr>
            <w:r>
              <w:rPr>
                <w:rFonts w:ascii="仿宋" w:hAnsi="仿宋" w:eastAsia="仿宋" w:cs="仿宋"/>
                <w:szCs w:val="21"/>
              </w:rPr>
              <w:t>厂区污水排放口一个，雨水排放口一个</w:t>
            </w:r>
          </w:p>
        </w:tc>
        <w:tc>
          <w:tcPr>
            <w:tcW w:w="2518" w:type="dxa"/>
            <w:vAlign w:val="center"/>
          </w:tcPr>
          <w:p>
            <w:pPr>
              <w:widowControl/>
              <w:spacing w:line="240" w:lineRule="exact"/>
              <w:jc w:val="center"/>
              <w:rPr>
                <w:rFonts w:ascii="仿宋" w:hAnsi="仿宋" w:eastAsia="仿宋" w:cs="仿宋"/>
                <w:szCs w:val="21"/>
              </w:rPr>
            </w:pPr>
            <w:r>
              <w:rPr>
                <w:rFonts w:ascii="仿宋" w:hAnsi="仿宋" w:eastAsia="仿宋" w:cs="仿宋"/>
                <w:szCs w:val="21"/>
              </w:rPr>
              <w:t>符合排污口规范</w:t>
            </w:r>
          </w:p>
        </w:tc>
        <w:tc>
          <w:tcPr>
            <w:tcW w:w="1298" w:type="dxa"/>
            <w:vAlign w:val="center"/>
          </w:tcPr>
          <w:p>
            <w:pPr>
              <w:widowControl/>
              <w:spacing w:line="240" w:lineRule="exact"/>
              <w:jc w:val="center"/>
              <w:rPr>
                <w:rFonts w:ascii="仿宋" w:hAnsi="仿宋" w:eastAsia="仿宋" w:cs="仿宋"/>
                <w:szCs w:val="21"/>
              </w:rPr>
            </w:pPr>
            <w:r>
              <w:rPr>
                <w:rFonts w:hint="eastAsia" w:ascii="仿宋" w:hAnsi="仿宋" w:eastAsia="仿宋" w:cs="仿宋"/>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5" w:hRule="atLeast"/>
          <w:jc w:val="center"/>
        </w:trPr>
        <w:tc>
          <w:tcPr>
            <w:tcW w:w="0" w:type="auto"/>
            <w:vAlign w:val="center"/>
          </w:tcPr>
          <w:p>
            <w:pPr>
              <w:widowControl/>
              <w:spacing w:line="240" w:lineRule="exact"/>
              <w:jc w:val="center"/>
              <w:rPr>
                <w:rFonts w:ascii="仿宋" w:hAnsi="仿宋" w:eastAsia="仿宋" w:cs="仿宋"/>
                <w:szCs w:val="21"/>
              </w:rPr>
            </w:pPr>
            <w:r>
              <w:rPr>
                <w:rFonts w:ascii="仿宋" w:hAnsi="仿宋" w:eastAsia="仿宋" w:cs="仿宋"/>
                <w:szCs w:val="21"/>
              </w:rPr>
              <w:t>清污管网分流建设</w:t>
            </w:r>
          </w:p>
        </w:tc>
        <w:tc>
          <w:tcPr>
            <w:tcW w:w="4208" w:type="dxa"/>
            <w:vAlign w:val="center"/>
          </w:tcPr>
          <w:p>
            <w:pPr>
              <w:widowControl/>
              <w:spacing w:line="240" w:lineRule="exact"/>
              <w:jc w:val="center"/>
              <w:rPr>
                <w:rFonts w:ascii="仿宋" w:hAnsi="仿宋" w:eastAsia="仿宋" w:cs="仿宋"/>
                <w:szCs w:val="21"/>
              </w:rPr>
            </w:pPr>
            <w:r>
              <w:rPr>
                <w:rFonts w:ascii="仿宋" w:hAnsi="仿宋" w:eastAsia="仿宋" w:cs="仿宋"/>
                <w:szCs w:val="21"/>
              </w:rPr>
              <w:t>雨污分流</w:t>
            </w:r>
          </w:p>
        </w:tc>
        <w:tc>
          <w:tcPr>
            <w:tcW w:w="2518" w:type="dxa"/>
            <w:vAlign w:val="center"/>
          </w:tcPr>
          <w:p>
            <w:pPr>
              <w:widowControl/>
              <w:spacing w:line="240" w:lineRule="exact"/>
              <w:jc w:val="center"/>
              <w:rPr>
                <w:rFonts w:ascii="仿宋" w:hAnsi="仿宋" w:eastAsia="仿宋" w:cs="仿宋"/>
                <w:szCs w:val="21"/>
              </w:rPr>
            </w:pPr>
            <w:r>
              <w:rPr>
                <w:rFonts w:ascii="仿宋" w:hAnsi="仿宋" w:eastAsia="仿宋" w:cs="仿宋"/>
                <w:szCs w:val="21"/>
              </w:rPr>
              <w:t>做到</w:t>
            </w:r>
            <w:r>
              <w:rPr>
                <w:rFonts w:hint="eastAsia" w:ascii="仿宋" w:hAnsi="仿宋" w:eastAsia="仿宋" w:cs="仿宋"/>
                <w:szCs w:val="21"/>
              </w:rPr>
              <w:t>雨</w:t>
            </w:r>
            <w:r>
              <w:rPr>
                <w:rFonts w:ascii="仿宋" w:hAnsi="仿宋" w:eastAsia="仿宋" w:cs="仿宋"/>
                <w:szCs w:val="21"/>
              </w:rPr>
              <w:t>污分流、完全收集污水</w:t>
            </w:r>
          </w:p>
        </w:tc>
        <w:tc>
          <w:tcPr>
            <w:tcW w:w="1298" w:type="dxa"/>
            <w:vAlign w:val="center"/>
          </w:tcPr>
          <w:p>
            <w:pPr>
              <w:widowControl/>
              <w:spacing w:line="240" w:lineRule="exact"/>
              <w:jc w:val="center"/>
              <w:rPr>
                <w:rFonts w:ascii="仿宋" w:hAnsi="仿宋" w:eastAsia="仿宋" w:cs="仿宋"/>
                <w:szCs w:val="21"/>
              </w:rPr>
            </w:pPr>
            <w:r>
              <w:rPr>
                <w:rFonts w:hint="eastAsia" w:ascii="仿宋" w:hAnsi="仿宋" w:eastAsia="仿宋" w:cs="仿宋"/>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0" w:type="auto"/>
            <w:shd w:val="clear" w:color="auto" w:fill="auto"/>
            <w:vAlign w:val="center"/>
          </w:tcPr>
          <w:p>
            <w:pPr>
              <w:widowControl/>
              <w:spacing w:line="240" w:lineRule="exact"/>
              <w:jc w:val="center"/>
              <w:rPr>
                <w:rFonts w:ascii="仿宋" w:hAnsi="仿宋" w:eastAsia="仿宋" w:cs="仿宋"/>
                <w:szCs w:val="21"/>
              </w:rPr>
            </w:pPr>
            <w:r>
              <w:rPr>
                <w:rFonts w:hint="eastAsia" w:ascii="仿宋" w:hAnsi="仿宋" w:eastAsia="仿宋" w:cs="仿宋"/>
                <w:szCs w:val="21"/>
              </w:rPr>
              <w:t>应急</w:t>
            </w:r>
            <w:r>
              <w:rPr>
                <w:rFonts w:ascii="仿宋" w:hAnsi="仿宋" w:eastAsia="仿宋" w:cs="仿宋"/>
                <w:szCs w:val="21"/>
              </w:rPr>
              <w:t>、风险防范</w:t>
            </w:r>
          </w:p>
        </w:tc>
        <w:tc>
          <w:tcPr>
            <w:tcW w:w="4208" w:type="dxa"/>
            <w:vAlign w:val="center"/>
          </w:tcPr>
          <w:p>
            <w:pPr>
              <w:widowControl/>
              <w:spacing w:line="240" w:lineRule="exact"/>
              <w:jc w:val="center"/>
              <w:rPr>
                <w:rFonts w:ascii="仿宋" w:hAnsi="仿宋" w:eastAsia="仿宋" w:cs="仿宋"/>
                <w:szCs w:val="21"/>
              </w:rPr>
            </w:pPr>
            <w:r>
              <w:rPr>
                <w:rFonts w:hint="eastAsia" w:ascii="仿宋" w:hAnsi="仿宋" w:eastAsia="仿宋" w:cs="仿宋"/>
                <w:szCs w:val="21"/>
              </w:rPr>
              <w:t>事故应急池</w:t>
            </w:r>
          </w:p>
        </w:tc>
        <w:tc>
          <w:tcPr>
            <w:tcW w:w="2518" w:type="dxa"/>
            <w:vAlign w:val="center"/>
          </w:tcPr>
          <w:p>
            <w:pPr>
              <w:widowControl/>
              <w:spacing w:line="240" w:lineRule="exact"/>
              <w:jc w:val="center"/>
              <w:rPr>
                <w:rFonts w:ascii="仿宋" w:hAnsi="仿宋" w:eastAsia="仿宋" w:cs="仿宋"/>
                <w:szCs w:val="21"/>
              </w:rPr>
            </w:pPr>
            <w:r>
              <w:rPr>
                <w:rFonts w:hint="eastAsia" w:ascii="仿宋" w:hAnsi="仿宋" w:eastAsia="仿宋" w:cs="仿宋"/>
                <w:bCs/>
                <w:szCs w:val="21"/>
              </w:rPr>
              <w:t>设置10</w:t>
            </w:r>
            <w:r>
              <w:rPr>
                <w:rFonts w:ascii="仿宋" w:hAnsi="仿宋" w:eastAsia="仿宋" w:cs="仿宋"/>
                <w:bCs/>
                <w:szCs w:val="21"/>
              </w:rPr>
              <w:t>0m</w:t>
            </w:r>
            <w:r>
              <w:rPr>
                <w:rFonts w:ascii="仿宋" w:hAnsi="仿宋" w:eastAsia="仿宋" w:cs="仿宋"/>
                <w:bCs/>
                <w:szCs w:val="21"/>
                <w:vertAlign w:val="superscript"/>
              </w:rPr>
              <w:t>3</w:t>
            </w:r>
            <w:r>
              <w:rPr>
                <w:rFonts w:ascii="仿宋" w:hAnsi="仿宋" w:eastAsia="仿宋" w:cs="仿宋"/>
                <w:bCs/>
                <w:szCs w:val="21"/>
              </w:rPr>
              <w:t>事故应急池</w:t>
            </w:r>
          </w:p>
        </w:tc>
        <w:tc>
          <w:tcPr>
            <w:tcW w:w="1298" w:type="dxa"/>
            <w:shd w:val="clear" w:color="auto" w:fill="auto"/>
            <w:vAlign w:val="center"/>
          </w:tcPr>
          <w:p>
            <w:pPr>
              <w:widowControl/>
              <w:spacing w:line="240" w:lineRule="exact"/>
              <w:jc w:val="center"/>
              <w:rPr>
                <w:rFonts w:ascii="仿宋" w:hAnsi="仿宋" w:eastAsia="仿宋" w:cs="仿宋"/>
                <w:szCs w:val="21"/>
              </w:rPr>
            </w:pPr>
            <w:r>
              <w:rPr>
                <w:rFonts w:hint="eastAsia" w:ascii="仿宋" w:hAnsi="仿宋" w:eastAsia="仿宋" w:cs="仿宋"/>
                <w:szCs w:val="21"/>
              </w:rPr>
              <w:t>依托</w:t>
            </w:r>
          </w:p>
        </w:tc>
      </w:tr>
    </w:tbl>
    <w:p>
      <w:pPr>
        <w:pStyle w:val="33"/>
        <w:rPr>
          <w:highlight w:val="yellow"/>
        </w:rPr>
      </w:pPr>
    </w:p>
    <w:p>
      <w:pPr>
        <w:pStyle w:val="45"/>
        <w:rPr>
          <w:highlight w:val="yellow"/>
        </w:rPr>
        <w:sectPr>
          <w:pgSz w:w="11906" w:h="16838"/>
          <w:pgMar w:top="1440" w:right="1800" w:bottom="1440" w:left="1800" w:header="851" w:footer="992" w:gutter="0"/>
          <w:cols w:space="425" w:num="1"/>
          <w:docGrid w:linePitch="312" w:charSpace="0"/>
        </w:sectPr>
      </w:pPr>
    </w:p>
    <w:p>
      <w:pPr>
        <w:pStyle w:val="2"/>
        <w:numPr>
          <w:ilvl w:val="0"/>
          <w:numId w:val="1"/>
        </w:numPr>
        <w:tabs>
          <w:tab w:val="left" w:pos="284"/>
        </w:tabs>
        <w:spacing w:before="156" w:beforeLines="50" w:after="156" w:afterLines="50" w:line="500" w:lineRule="exact"/>
        <w:ind w:left="0" w:firstLine="0"/>
        <w:rPr>
          <w:rFonts w:eastAsia="仿宋_GB2312"/>
          <w:spacing w:val="6"/>
          <w:sz w:val="36"/>
          <w:szCs w:val="36"/>
        </w:rPr>
      </w:pPr>
      <w:bookmarkStart w:id="400" w:name="_Hlt110672798"/>
      <w:bookmarkEnd w:id="400"/>
      <w:bookmarkStart w:id="401" w:name="_Hlt98841640"/>
      <w:bookmarkEnd w:id="401"/>
      <w:bookmarkStart w:id="402" w:name="_Hlt127766604"/>
      <w:bookmarkEnd w:id="402"/>
      <w:bookmarkStart w:id="403" w:name="_Toc113810235"/>
      <w:bookmarkStart w:id="404" w:name="_Toc200708028"/>
      <w:bookmarkStart w:id="405" w:name="_Toc238363495"/>
      <w:bookmarkStart w:id="406" w:name="_Toc236536318"/>
      <w:bookmarkStart w:id="407" w:name="_Toc227951104"/>
      <w:bookmarkStart w:id="408" w:name="_Toc240859425"/>
      <w:bookmarkStart w:id="409" w:name="_Toc140565282"/>
      <w:bookmarkStart w:id="410" w:name="_Toc170530498"/>
      <w:r>
        <w:rPr>
          <w:rFonts w:eastAsia="仿宋_GB2312"/>
          <w:spacing w:val="6"/>
          <w:sz w:val="36"/>
          <w:szCs w:val="36"/>
        </w:rPr>
        <w:t>环境影响经济损益分析</w:t>
      </w:r>
      <w:bookmarkEnd w:id="403"/>
      <w:bookmarkEnd w:id="404"/>
      <w:bookmarkEnd w:id="405"/>
      <w:bookmarkEnd w:id="406"/>
      <w:bookmarkEnd w:id="407"/>
      <w:bookmarkEnd w:id="408"/>
      <w:bookmarkEnd w:id="409"/>
      <w:bookmarkEnd w:id="410"/>
    </w:p>
    <w:p>
      <w:pPr>
        <w:pStyle w:val="3"/>
      </w:pPr>
      <w:bookmarkStart w:id="411" w:name="_Toc105743746"/>
      <w:bookmarkStart w:id="412" w:name="_Toc238363496"/>
      <w:bookmarkStart w:id="413" w:name="_Toc236536319"/>
      <w:bookmarkStart w:id="414" w:name="_Toc140565283"/>
      <w:bookmarkStart w:id="415" w:name="_Toc227951105"/>
      <w:bookmarkStart w:id="416" w:name="_Toc97911023"/>
      <w:bookmarkStart w:id="417" w:name="_Toc200708029"/>
      <w:bookmarkStart w:id="418" w:name="_Toc240859426"/>
      <w:bookmarkStart w:id="419" w:name="_Toc113810236"/>
      <w:bookmarkStart w:id="420" w:name="_Toc170530499"/>
      <w:bookmarkStart w:id="421" w:name="_Toc48125349"/>
      <w:r>
        <w:t>经济效益分析</w:t>
      </w:r>
      <w:bookmarkEnd w:id="411"/>
      <w:bookmarkEnd w:id="412"/>
      <w:bookmarkEnd w:id="413"/>
      <w:bookmarkEnd w:id="414"/>
      <w:bookmarkEnd w:id="415"/>
      <w:bookmarkEnd w:id="416"/>
      <w:bookmarkEnd w:id="417"/>
      <w:bookmarkEnd w:id="418"/>
      <w:bookmarkEnd w:id="419"/>
      <w:bookmarkEnd w:id="420"/>
      <w:bookmarkEnd w:id="421"/>
    </w:p>
    <w:p>
      <w:pPr>
        <w:spacing w:line="500" w:lineRule="exact"/>
        <w:ind w:firstLine="560" w:firstLineChars="200"/>
        <w:rPr>
          <w:rFonts w:eastAsia="仿宋_GB2312"/>
          <w:sz w:val="28"/>
          <w:szCs w:val="20"/>
        </w:rPr>
      </w:pPr>
      <w:bookmarkStart w:id="422" w:name="_Hlt112668834"/>
      <w:bookmarkEnd w:id="422"/>
      <w:bookmarkStart w:id="423" w:name="_Hlt115518807"/>
      <w:bookmarkEnd w:id="423"/>
      <w:bookmarkStart w:id="424" w:name="_Toc48125350"/>
      <w:bookmarkStart w:id="425" w:name="_Toc200708030"/>
      <w:bookmarkStart w:id="426" w:name="_Toc227951106"/>
      <w:bookmarkStart w:id="427" w:name="_Toc113810237"/>
      <w:bookmarkStart w:id="428" w:name="_Toc170530500"/>
      <w:bookmarkStart w:id="429" w:name="_Toc105743747"/>
      <w:bookmarkStart w:id="430" w:name="_Toc238363497"/>
      <w:bookmarkStart w:id="431" w:name="_Toc240859427"/>
      <w:bookmarkStart w:id="432" w:name="_Toc236536320"/>
      <w:bookmarkStart w:id="433" w:name="_Toc97911024"/>
      <w:r>
        <w:rPr>
          <w:rFonts w:eastAsia="仿宋_GB2312"/>
          <w:sz w:val="28"/>
          <w:szCs w:val="20"/>
        </w:rPr>
        <w:t>本项目总投资</w:t>
      </w:r>
      <w:r>
        <w:rPr>
          <w:rFonts w:eastAsia="仿宋_GB2312"/>
          <w:sz w:val="28"/>
        </w:rPr>
        <w:t>3000</w:t>
      </w:r>
      <w:r>
        <w:rPr>
          <w:rFonts w:hint="eastAsia" w:eastAsia="仿宋_GB2312"/>
          <w:sz w:val="28"/>
        </w:rPr>
        <w:t>万</w:t>
      </w:r>
      <w:r>
        <w:rPr>
          <w:rFonts w:eastAsia="仿宋_GB2312"/>
          <w:sz w:val="28"/>
        </w:rPr>
        <w:t>元</w:t>
      </w:r>
      <w:r>
        <w:rPr>
          <w:rFonts w:eastAsia="仿宋_GB2312"/>
          <w:sz w:val="28"/>
          <w:szCs w:val="20"/>
        </w:rPr>
        <w:t>，生产期间正常年份实现销售收入</w:t>
      </w:r>
      <w:r>
        <w:rPr>
          <w:rFonts w:hint="eastAsia" w:eastAsia="仿宋_GB2312"/>
          <w:sz w:val="28"/>
          <w:szCs w:val="20"/>
        </w:rPr>
        <w:t>1</w:t>
      </w:r>
      <w:r>
        <w:rPr>
          <w:rFonts w:eastAsia="仿宋_GB2312"/>
          <w:sz w:val="28"/>
          <w:szCs w:val="20"/>
        </w:rPr>
        <w:t>30</w:t>
      </w:r>
      <w:r>
        <w:rPr>
          <w:rFonts w:hint="eastAsia" w:eastAsia="仿宋_GB2312"/>
          <w:sz w:val="28"/>
          <w:szCs w:val="20"/>
        </w:rPr>
        <w:t>0</w:t>
      </w:r>
      <w:r>
        <w:rPr>
          <w:rFonts w:eastAsia="仿宋_GB2312"/>
          <w:sz w:val="28"/>
          <w:szCs w:val="20"/>
        </w:rPr>
        <w:t>0万元，年均可获净利润6</w:t>
      </w:r>
      <w:r>
        <w:rPr>
          <w:rFonts w:hint="eastAsia" w:eastAsia="仿宋_GB2312"/>
          <w:sz w:val="28"/>
          <w:szCs w:val="20"/>
        </w:rPr>
        <w:t>88</w:t>
      </w:r>
      <w:r>
        <w:rPr>
          <w:rFonts w:eastAsia="仿宋_GB2312"/>
          <w:sz w:val="28"/>
          <w:szCs w:val="20"/>
        </w:rPr>
        <w:t>万元，因此，本项目从经济效益角度上看是切实可行的，在投产后可获得良好的经济效益。</w:t>
      </w:r>
    </w:p>
    <w:p>
      <w:pPr>
        <w:pStyle w:val="50"/>
        <w:ind w:firstLine="0" w:firstLineChars="0"/>
        <w:jc w:val="center"/>
        <w:rPr>
          <w:rFonts w:ascii="Times New Roman"/>
          <w:b/>
          <w:sz w:val="24"/>
        </w:rPr>
      </w:pPr>
      <w:r>
        <w:rPr>
          <w:rFonts w:ascii="Times New Roman"/>
          <w:b/>
          <w:sz w:val="24"/>
        </w:rPr>
        <w:t>表7.1-1  经济指标汇总表</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9"/>
        <w:gridCol w:w="3879"/>
        <w:gridCol w:w="1462"/>
        <w:gridCol w:w="1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03" w:type="pct"/>
            <w:shd w:val="clear" w:color="auto" w:fill="FFFFFF"/>
            <w:vAlign w:val="center"/>
          </w:tcPr>
          <w:p>
            <w:pPr>
              <w:spacing w:line="240" w:lineRule="exact"/>
              <w:jc w:val="center"/>
              <w:rPr>
                <w:rFonts w:ascii="仿宋" w:hAnsi="仿宋" w:eastAsia="仿宋" w:cs="仿宋"/>
                <w:bCs/>
                <w:szCs w:val="21"/>
              </w:rPr>
            </w:pPr>
            <w:r>
              <w:rPr>
                <w:rFonts w:ascii="仿宋" w:hAnsi="仿宋" w:eastAsia="仿宋" w:cs="仿宋"/>
                <w:bCs/>
                <w:szCs w:val="21"/>
              </w:rPr>
              <w:t>序号</w:t>
            </w:r>
          </w:p>
        </w:tc>
        <w:tc>
          <w:tcPr>
            <w:tcW w:w="2276" w:type="pct"/>
            <w:shd w:val="clear" w:color="auto" w:fill="FFFFFF"/>
            <w:vAlign w:val="center"/>
          </w:tcPr>
          <w:p>
            <w:pPr>
              <w:spacing w:before="100" w:beforeAutospacing="1" w:after="100" w:afterAutospacing="1"/>
              <w:jc w:val="center"/>
              <w:rPr>
                <w:rFonts w:ascii="仿宋" w:hAnsi="仿宋" w:eastAsia="仿宋" w:cs="仿宋"/>
                <w:bCs/>
                <w:szCs w:val="21"/>
              </w:rPr>
            </w:pPr>
            <w:r>
              <w:rPr>
                <w:rFonts w:ascii="仿宋" w:hAnsi="仿宋" w:eastAsia="仿宋" w:cs="仿宋"/>
                <w:bCs/>
                <w:szCs w:val="21"/>
              </w:rPr>
              <w:t>项目</w:t>
            </w:r>
          </w:p>
        </w:tc>
        <w:tc>
          <w:tcPr>
            <w:tcW w:w="858" w:type="pct"/>
            <w:shd w:val="clear" w:color="auto" w:fill="FFFFFF"/>
            <w:vAlign w:val="center"/>
          </w:tcPr>
          <w:p>
            <w:pPr>
              <w:spacing w:before="100" w:beforeAutospacing="1" w:after="100" w:afterAutospacing="1"/>
              <w:jc w:val="center"/>
              <w:rPr>
                <w:rFonts w:ascii="仿宋" w:hAnsi="仿宋" w:eastAsia="仿宋" w:cs="仿宋"/>
                <w:bCs/>
                <w:szCs w:val="21"/>
              </w:rPr>
            </w:pPr>
            <w:r>
              <w:rPr>
                <w:rFonts w:ascii="仿宋" w:hAnsi="仿宋" w:eastAsia="仿宋" w:cs="仿宋"/>
                <w:bCs/>
                <w:szCs w:val="21"/>
              </w:rPr>
              <w:t>单位</w:t>
            </w:r>
          </w:p>
        </w:tc>
        <w:tc>
          <w:tcPr>
            <w:tcW w:w="1063" w:type="pct"/>
            <w:shd w:val="clear" w:color="auto" w:fill="FFFFFF"/>
            <w:vAlign w:val="center"/>
          </w:tcPr>
          <w:p>
            <w:pPr>
              <w:spacing w:before="100" w:beforeAutospacing="1" w:after="100" w:afterAutospacing="1"/>
              <w:jc w:val="center"/>
              <w:rPr>
                <w:rFonts w:ascii="仿宋" w:hAnsi="仿宋" w:eastAsia="仿宋" w:cs="仿宋"/>
                <w:bCs/>
                <w:szCs w:val="21"/>
              </w:rPr>
            </w:pPr>
            <w:r>
              <w:rPr>
                <w:rFonts w:ascii="仿宋" w:hAnsi="仿宋" w:eastAsia="仿宋" w:cs="仿宋"/>
                <w:bCs/>
                <w:szCs w:val="21"/>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03" w:type="pct"/>
            <w:shd w:val="clear" w:color="auto" w:fill="FFFFFF"/>
            <w:vAlign w:val="center"/>
          </w:tcPr>
          <w:p>
            <w:pPr>
              <w:spacing w:line="240" w:lineRule="exact"/>
              <w:jc w:val="center"/>
              <w:rPr>
                <w:rFonts w:ascii="仿宋" w:hAnsi="仿宋" w:eastAsia="仿宋" w:cs="仿宋"/>
                <w:bCs/>
                <w:szCs w:val="21"/>
              </w:rPr>
            </w:pPr>
            <w:r>
              <w:rPr>
                <w:rFonts w:ascii="仿宋" w:hAnsi="仿宋" w:eastAsia="仿宋" w:cs="仿宋"/>
                <w:bCs/>
                <w:szCs w:val="21"/>
              </w:rPr>
              <w:t>1</w:t>
            </w:r>
          </w:p>
        </w:tc>
        <w:tc>
          <w:tcPr>
            <w:tcW w:w="2276" w:type="pct"/>
            <w:shd w:val="clear" w:color="auto" w:fill="FFFFFF"/>
            <w:vAlign w:val="center"/>
          </w:tcPr>
          <w:p>
            <w:pPr>
              <w:spacing w:line="240" w:lineRule="exact"/>
              <w:jc w:val="center"/>
              <w:rPr>
                <w:rFonts w:ascii="仿宋" w:hAnsi="仿宋" w:eastAsia="仿宋" w:cs="仿宋"/>
                <w:bCs/>
                <w:szCs w:val="21"/>
              </w:rPr>
            </w:pPr>
            <w:r>
              <w:rPr>
                <w:rFonts w:ascii="仿宋" w:hAnsi="仿宋" w:eastAsia="仿宋" w:cs="仿宋"/>
                <w:bCs/>
                <w:szCs w:val="21"/>
              </w:rPr>
              <w:t>年产值</w:t>
            </w:r>
          </w:p>
        </w:tc>
        <w:tc>
          <w:tcPr>
            <w:tcW w:w="858" w:type="pct"/>
            <w:shd w:val="clear" w:color="auto" w:fill="FFFFFF"/>
            <w:vAlign w:val="center"/>
          </w:tcPr>
          <w:p>
            <w:pPr>
              <w:spacing w:line="240" w:lineRule="exact"/>
              <w:jc w:val="center"/>
              <w:rPr>
                <w:rFonts w:ascii="仿宋" w:hAnsi="仿宋" w:eastAsia="仿宋" w:cs="仿宋"/>
                <w:bCs/>
                <w:szCs w:val="21"/>
              </w:rPr>
            </w:pPr>
            <w:r>
              <w:rPr>
                <w:rFonts w:ascii="仿宋" w:hAnsi="仿宋" w:eastAsia="仿宋" w:cs="仿宋"/>
                <w:bCs/>
                <w:szCs w:val="21"/>
              </w:rPr>
              <w:t>万元</w:t>
            </w:r>
          </w:p>
        </w:tc>
        <w:tc>
          <w:tcPr>
            <w:tcW w:w="1063" w:type="pct"/>
            <w:shd w:val="clear" w:color="auto" w:fill="FFFFFF"/>
            <w:vAlign w:val="center"/>
          </w:tcPr>
          <w:p>
            <w:pPr>
              <w:widowControl/>
              <w:adjustRightInd w:val="0"/>
              <w:snapToGrid w:val="0"/>
              <w:spacing w:line="240" w:lineRule="exact"/>
              <w:jc w:val="center"/>
              <w:rPr>
                <w:rFonts w:ascii="仿宋" w:hAnsi="仿宋" w:eastAsia="仿宋" w:cs="仿宋"/>
                <w:bCs/>
                <w:szCs w:val="21"/>
              </w:rPr>
            </w:pPr>
            <w:r>
              <w:rPr>
                <w:rFonts w:hint="eastAsia" w:ascii="仿宋" w:hAnsi="仿宋" w:eastAsia="仿宋" w:cs="仿宋"/>
                <w:bCs/>
                <w:szCs w:val="21"/>
              </w:rPr>
              <w:t>13000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03" w:type="pct"/>
            <w:shd w:val="clear" w:color="auto" w:fill="FFFFFF"/>
            <w:vAlign w:val="center"/>
          </w:tcPr>
          <w:p>
            <w:pPr>
              <w:spacing w:line="240" w:lineRule="exact"/>
              <w:jc w:val="center"/>
              <w:rPr>
                <w:rFonts w:ascii="仿宋" w:hAnsi="仿宋" w:eastAsia="仿宋" w:cs="仿宋"/>
                <w:bCs/>
                <w:szCs w:val="21"/>
              </w:rPr>
            </w:pPr>
            <w:r>
              <w:rPr>
                <w:rFonts w:ascii="仿宋" w:hAnsi="仿宋" w:eastAsia="仿宋" w:cs="仿宋"/>
                <w:bCs/>
                <w:szCs w:val="21"/>
              </w:rPr>
              <w:t>2</w:t>
            </w:r>
          </w:p>
        </w:tc>
        <w:tc>
          <w:tcPr>
            <w:tcW w:w="2276" w:type="pct"/>
            <w:shd w:val="clear" w:color="auto" w:fill="FFFFFF"/>
            <w:vAlign w:val="center"/>
          </w:tcPr>
          <w:p>
            <w:pPr>
              <w:spacing w:line="240" w:lineRule="exact"/>
              <w:jc w:val="center"/>
              <w:rPr>
                <w:rFonts w:ascii="仿宋" w:hAnsi="仿宋" w:eastAsia="仿宋" w:cs="仿宋"/>
                <w:bCs/>
                <w:szCs w:val="21"/>
              </w:rPr>
            </w:pPr>
            <w:r>
              <w:rPr>
                <w:rFonts w:ascii="仿宋" w:hAnsi="仿宋" w:eastAsia="仿宋" w:cs="仿宋"/>
                <w:bCs/>
                <w:szCs w:val="21"/>
              </w:rPr>
              <w:t>年运行成本</w:t>
            </w:r>
          </w:p>
        </w:tc>
        <w:tc>
          <w:tcPr>
            <w:tcW w:w="858" w:type="pct"/>
            <w:shd w:val="clear" w:color="auto" w:fill="FFFFFF"/>
            <w:vAlign w:val="center"/>
          </w:tcPr>
          <w:p>
            <w:pPr>
              <w:spacing w:line="240" w:lineRule="exact"/>
              <w:jc w:val="center"/>
              <w:rPr>
                <w:rFonts w:ascii="仿宋" w:hAnsi="仿宋" w:eastAsia="仿宋" w:cs="仿宋"/>
                <w:bCs/>
                <w:szCs w:val="21"/>
              </w:rPr>
            </w:pPr>
            <w:r>
              <w:rPr>
                <w:rFonts w:ascii="仿宋" w:hAnsi="仿宋" w:eastAsia="仿宋" w:cs="仿宋"/>
                <w:bCs/>
                <w:szCs w:val="21"/>
              </w:rPr>
              <w:t>万元</w:t>
            </w:r>
          </w:p>
        </w:tc>
        <w:tc>
          <w:tcPr>
            <w:tcW w:w="1063" w:type="pct"/>
            <w:shd w:val="clear" w:color="auto" w:fill="FFFFFF"/>
            <w:vAlign w:val="center"/>
          </w:tcPr>
          <w:p>
            <w:pPr>
              <w:widowControl/>
              <w:adjustRightInd w:val="0"/>
              <w:snapToGrid w:val="0"/>
              <w:spacing w:line="240" w:lineRule="exact"/>
              <w:jc w:val="center"/>
              <w:rPr>
                <w:rFonts w:ascii="仿宋" w:hAnsi="仿宋" w:eastAsia="仿宋" w:cs="仿宋"/>
                <w:bCs/>
                <w:szCs w:val="21"/>
              </w:rPr>
            </w:pPr>
            <w:r>
              <w:rPr>
                <w:rFonts w:hint="eastAsia" w:ascii="仿宋" w:hAnsi="仿宋" w:eastAsia="仿宋" w:cs="仿宋"/>
                <w:bCs/>
                <w:szCs w:val="21"/>
              </w:rPr>
              <w:t>12210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03" w:type="pct"/>
            <w:shd w:val="clear" w:color="auto" w:fill="FFFFFF"/>
            <w:vAlign w:val="center"/>
          </w:tcPr>
          <w:p>
            <w:pPr>
              <w:spacing w:line="240" w:lineRule="exact"/>
              <w:jc w:val="center"/>
              <w:rPr>
                <w:rFonts w:ascii="仿宋" w:hAnsi="仿宋" w:eastAsia="仿宋" w:cs="仿宋"/>
                <w:bCs/>
                <w:szCs w:val="21"/>
              </w:rPr>
            </w:pPr>
            <w:r>
              <w:rPr>
                <w:rFonts w:ascii="仿宋" w:hAnsi="仿宋" w:eastAsia="仿宋" w:cs="仿宋"/>
                <w:bCs/>
                <w:szCs w:val="21"/>
              </w:rPr>
              <w:t>3</w:t>
            </w:r>
          </w:p>
        </w:tc>
        <w:tc>
          <w:tcPr>
            <w:tcW w:w="2276" w:type="pct"/>
            <w:shd w:val="clear" w:color="auto" w:fill="FFFFFF"/>
            <w:vAlign w:val="center"/>
          </w:tcPr>
          <w:p>
            <w:pPr>
              <w:spacing w:line="240" w:lineRule="exact"/>
              <w:jc w:val="center"/>
              <w:rPr>
                <w:rFonts w:ascii="仿宋" w:hAnsi="仿宋" w:eastAsia="仿宋" w:cs="仿宋"/>
                <w:bCs/>
                <w:szCs w:val="21"/>
              </w:rPr>
            </w:pPr>
            <w:r>
              <w:rPr>
                <w:rFonts w:ascii="仿宋" w:hAnsi="仿宋" w:eastAsia="仿宋" w:cs="仿宋"/>
                <w:bCs/>
                <w:szCs w:val="21"/>
              </w:rPr>
              <w:t>年利润总额</w:t>
            </w:r>
          </w:p>
        </w:tc>
        <w:tc>
          <w:tcPr>
            <w:tcW w:w="858" w:type="pct"/>
            <w:shd w:val="clear" w:color="auto" w:fill="FFFFFF"/>
            <w:vAlign w:val="center"/>
          </w:tcPr>
          <w:p>
            <w:pPr>
              <w:spacing w:line="240" w:lineRule="exact"/>
              <w:jc w:val="center"/>
              <w:rPr>
                <w:rFonts w:ascii="仿宋" w:hAnsi="仿宋" w:eastAsia="仿宋" w:cs="仿宋"/>
                <w:bCs/>
                <w:szCs w:val="21"/>
              </w:rPr>
            </w:pPr>
            <w:r>
              <w:rPr>
                <w:rFonts w:ascii="仿宋" w:hAnsi="仿宋" w:eastAsia="仿宋" w:cs="仿宋"/>
                <w:bCs/>
                <w:szCs w:val="21"/>
              </w:rPr>
              <w:t>万元</w:t>
            </w:r>
          </w:p>
        </w:tc>
        <w:tc>
          <w:tcPr>
            <w:tcW w:w="1063" w:type="pct"/>
            <w:shd w:val="clear" w:color="auto" w:fill="FFFFFF"/>
            <w:vAlign w:val="center"/>
          </w:tcPr>
          <w:p>
            <w:pPr>
              <w:widowControl/>
              <w:adjustRightInd w:val="0"/>
              <w:snapToGrid w:val="0"/>
              <w:spacing w:line="240" w:lineRule="exact"/>
              <w:jc w:val="center"/>
              <w:rPr>
                <w:rFonts w:ascii="仿宋" w:hAnsi="仿宋" w:eastAsia="仿宋" w:cs="仿宋"/>
                <w:bCs/>
                <w:szCs w:val="21"/>
              </w:rPr>
            </w:pPr>
            <w:r>
              <w:rPr>
                <w:rFonts w:hint="eastAsia" w:ascii="仿宋" w:hAnsi="仿宋" w:eastAsia="仿宋" w:cs="仿宋"/>
                <w:bCs/>
                <w:szCs w:val="21"/>
              </w:rPr>
              <w:t>790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03" w:type="pct"/>
            <w:shd w:val="clear" w:color="auto" w:fill="FFFFFF"/>
            <w:vAlign w:val="center"/>
          </w:tcPr>
          <w:p>
            <w:pPr>
              <w:spacing w:line="240" w:lineRule="exact"/>
              <w:jc w:val="center"/>
              <w:rPr>
                <w:rFonts w:ascii="仿宋" w:hAnsi="仿宋" w:eastAsia="仿宋" w:cs="仿宋"/>
                <w:bCs/>
                <w:szCs w:val="21"/>
              </w:rPr>
            </w:pPr>
            <w:r>
              <w:rPr>
                <w:rFonts w:ascii="仿宋" w:hAnsi="仿宋" w:eastAsia="仿宋" w:cs="仿宋"/>
                <w:bCs/>
                <w:szCs w:val="21"/>
              </w:rPr>
              <w:t>4</w:t>
            </w:r>
          </w:p>
        </w:tc>
        <w:tc>
          <w:tcPr>
            <w:tcW w:w="2276" w:type="pct"/>
            <w:shd w:val="clear" w:color="auto" w:fill="FFFFFF"/>
            <w:vAlign w:val="center"/>
          </w:tcPr>
          <w:p>
            <w:pPr>
              <w:spacing w:line="240" w:lineRule="exact"/>
              <w:jc w:val="center"/>
              <w:rPr>
                <w:rFonts w:ascii="仿宋" w:hAnsi="仿宋" w:eastAsia="仿宋" w:cs="仿宋"/>
                <w:bCs/>
                <w:szCs w:val="21"/>
              </w:rPr>
            </w:pPr>
            <w:r>
              <w:rPr>
                <w:rFonts w:ascii="仿宋" w:hAnsi="仿宋" w:eastAsia="仿宋" w:cs="仿宋"/>
                <w:bCs/>
                <w:szCs w:val="21"/>
              </w:rPr>
              <w:t>所得税</w:t>
            </w:r>
          </w:p>
        </w:tc>
        <w:tc>
          <w:tcPr>
            <w:tcW w:w="858" w:type="pct"/>
            <w:shd w:val="clear" w:color="auto" w:fill="FFFFFF"/>
            <w:vAlign w:val="center"/>
          </w:tcPr>
          <w:p>
            <w:pPr>
              <w:spacing w:line="240" w:lineRule="exact"/>
              <w:jc w:val="center"/>
              <w:rPr>
                <w:rFonts w:ascii="仿宋" w:hAnsi="仿宋" w:eastAsia="仿宋" w:cs="仿宋"/>
                <w:bCs/>
                <w:szCs w:val="21"/>
              </w:rPr>
            </w:pPr>
            <w:r>
              <w:rPr>
                <w:rFonts w:ascii="仿宋" w:hAnsi="仿宋" w:eastAsia="仿宋" w:cs="仿宋"/>
                <w:bCs/>
                <w:szCs w:val="21"/>
              </w:rPr>
              <w:t>万元</w:t>
            </w:r>
          </w:p>
        </w:tc>
        <w:tc>
          <w:tcPr>
            <w:tcW w:w="1063" w:type="pct"/>
            <w:shd w:val="clear" w:color="auto" w:fill="FFFFFF"/>
            <w:vAlign w:val="center"/>
          </w:tcPr>
          <w:p>
            <w:pPr>
              <w:widowControl/>
              <w:adjustRightInd w:val="0"/>
              <w:snapToGrid w:val="0"/>
              <w:spacing w:line="240" w:lineRule="exact"/>
              <w:jc w:val="center"/>
              <w:rPr>
                <w:rFonts w:ascii="仿宋" w:hAnsi="仿宋" w:eastAsia="仿宋" w:cs="仿宋"/>
                <w:bCs/>
                <w:szCs w:val="21"/>
              </w:rPr>
            </w:pPr>
            <w:r>
              <w:rPr>
                <w:rFonts w:hint="eastAsia" w:ascii="仿宋" w:hAnsi="仿宋" w:eastAsia="仿宋" w:cs="仿宋"/>
                <w:bCs/>
                <w:szCs w:val="21"/>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03" w:type="pct"/>
            <w:shd w:val="clear" w:color="auto" w:fill="FFFFFF"/>
            <w:vAlign w:val="center"/>
          </w:tcPr>
          <w:p>
            <w:pPr>
              <w:spacing w:line="240" w:lineRule="exact"/>
              <w:jc w:val="center"/>
              <w:rPr>
                <w:rFonts w:ascii="仿宋" w:hAnsi="仿宋" w:eastAsia="仿宋" w:cs="仿宋"/>
                <w:bCs/>
                <w:szCs w:val="21"/>
              </w:rPr>
            </w:pPr>
            <w:r>
              <w:rPr>
                <w:rFonts w:ascii="仿宋" w:hAnsi="仿宋" w:eastAsia="仿宋" w:cs="仿宋"/>
                <w:bCs/>
                <w:szCs w:val="21"/>
              </w:rPr>
              <w:t>5</w:t>
            </w:r>
          </w:p>
        </w:tc>
        <w:tc>
          <w:tcPr>
            <w:tcW w:w="2276" w:type="pct"/>
            <w:shd w:val="clear" w:color="auto" w:fill="FFFFFF"/>
            <w:vAlign w:val="center"/>
          </w:tcPr>
          <w:p>
            <w:pPr>
              <w:spacing w:line="240" w:lineRule="exact"/>
              <w:jc w:val="center"/>
              <w:rPr>
                <w:rFonts w:ascii="仿宋" w:hAnsi="仿宋" w:eastAsia="仿宋" w:cs="仿宋"/>
                <w:bCs/>
                <w:szCs w:val="21"/>
              </w:rPr>
            </w:pPr>
            <w:r>
              <w:rPr>
                <w:rFonts w:ascii="仿宋" w:hAnsi="仿宋" w:eastAsia="仿宋" w:cs="仿宋"/>
                <w:bCs/>
                <w:szCs w:val="21"/>
              </w:rPr>
              <w:t>年净利润</w:t>
            </w:r>
          </w:p>
        </w:tc>
        <w:tc>
          <w:tcPr>
            <w:tcW w:w="858" w:type="pct"/>
            <w:shd w:val="clear" w:color="auto" w:fill="FFFFFF"/>
            <w:vAlign w:val="center"/>
          </w:tcPr>
          <w:p>
            <w:pPr>
              <w:spacing w:line="240" w:lineRule="exact"/>
              <w:jc w:val="center"/>
              <w:rPr>
                <w:rFonts w:ascii="仿宋" w:hAnsi="仿宋" w:eastAsia="仿宋" w:cs="仿宋"/>
                <w:bCs/>
                <w:szCs w:val="21"/>
              </w:rPr>
            </w:pPr>
            <w:r>
              <w:rPr>
                <w:rFonts w:ascii="仿宋" w:hAnsi="仿宋" w:eastAsia="仿宋" w:cs="仿宋"/>
                <w:bCs/>
                <w:szCs w:val="21"/>
              </w:rPr>
              <w:t>万元</w:t>
            </w:r>
          </w:p>
        </w:tc>
        <w:tc>
          <w:tcPr>
            <w:tcW w:w="1063" w:type="pct"/>
            <w:shd w:val="clear" w:color="auto" w:fill="FFFFFF"/>
            <w:vAlign w:val="center"/>
          </w:tcPr>
          <w:p>
            <w:pPr>
              <w:widowControl/>
              <w:adjustRightInd w:val="0"/>
              <w:snapToGrid w:val="0"/>
              <w:spacing w:line="240" w:lineRule="exact"/>
              <w:jc w:val="center"/>
              <w:rPr>
                <w:rFonts w:ascii="仿宋" w:hAnsi="仿宋" w:eastAsia="仿宋" w:cs="仿宋"/>
                <w:bCs/>
                <w:szCs w:val="21"/>
              </w:rPr>
            </w:pPr>
            <w:r>
              <w:rPr>
                <w:rFonts w:hint="eastAsia" w:ascii="仿宋" w:hAnsi="仿宋" w:eastAsia="仿宋" w:cs="仿宋"/>
                <w:bCs/>
                <w:szCs w:val="21"/>
              </w:rPr>
              <w:t>688</w:t>
            </w:r>
          </w:p>
        </w:tc>
      </w:tr>
    </w:tbl>
    <w:p>
      <w:pPr>
        <w:spacing w:line="500" w:lineRule="exact"/>
        <w:ind w:firstLine="560" w:firstLineChars="200"/>
        <w:rPr>
          <w:rFonts w:eastAsia="仿宋_GB2312"/>
          <w:sz w:val="28"/>
          <w:szCs w:val="28"/>
        </w:rPr>
      </w:pPr>
      <w:r>
        <w:rPr>
          <w:rFonts w:eastAsia="仿宋_GB2312"/>
          <w:sz w:val="28"/>
          <w:szCs w:val="28"/>
        </w:rPr>
        <w:t>则本项目达产后的经济指标分析见表7.1-1，由上表可见，项目具有较强的资金盈利能力和较高的投资回报率，经济效益较好。</w:t>
      </w:r>
    </w:p>
    <w:p>
      <w:pPr>
        <w:pStyle w:val="3"/>
      </w:pPr>
      <w:bookmarkStart w:id="434" w:name="_Toc140565284"/>
      <w:r>
        <w:t>环境效益分析</w:t>
      </w:r>
      <w:bookmarkEnd w:id="434"/>
    </w:p>
    <w:p>
      <w:pPr>
        <w:pStyle w:val="4"/>
        <w:keepLines w:val="0"/>
        <w:numPr>
          <w:ilvl w:val="2"/>
          <w:numId w:val="1"/>
        </w:numPr>
        <w:tabs>
          <w:tab w:val="left" w:pos="851"/>
        </w:tabs>
        <w:spacing w:before="0" w:after="156" w:afterLines="50" w:line="500" w:lineRule="exact"/>
        <w:ind w:left="0" w:firstLine="0"/>
        <w:rPr>
          <w:rFonts w:eastAsia="仿宋_GB2312"/>
          <w:spacing w:val="6"/>
          <w:sz w:val="28"/>
          <w:szCs w:val="20"/>
        </w:rPr>
      </w:pPr>
      <w:r>
        <w:rPr>
          <w:rFonts w:eastAsia="仿宋_GB2312"/>
          <w:spacing w:val="6"/>
          <w:sz w:val="28"/>
          <w:szCs w:val="20"/>
        </w:rPr>
        <w:t>环保治理投资费用分析</w:t>
      </w:r>
    </w:p>
    <w:p>
      <w:pPr>
        <w:tabs>
          <w:tab w:val="left" w:pos="6840"/>
        </w:tabs>
        <w:spacing w:line="500" w:lineRule="exact"/>
        <w:ind w:firstLine="556"/>
        <w:rPr>
          <w:rFonts w:eastAsia="仿宋_GB2312"/>
          <w:sz w:val="28"/>
          <w:szCs w:val="20"/>
        </w:rPr>
      </w:pPr>
      <w:r>
        <w:rPr>
          <w:rFonts w:eastAsia="仿宋_GB2312"/>
          <w:sz w:val="28"/>
          <w:szCs w:val="20"/>
        </w:rPr>
        <w:t>根据“三同时”原则，“三废”和噪声治理设施与项目的主体工程同时设计、同时施工、同时运行。本工程的环境保护设施主要包括：污水</w:t>
      </w:r>
      <w:r>
        <w:rPr>
          <w:rFonts w:hint="eastAsia" w:eastAsia="仿宋_GB2312"/>
          <w:sz w:val="28"/>
          <w:szCs w:val="20"/>
        </w:rPr>
        <w:t>处理</w:t>
      </w:r>
      <w:r>
        <w:rPr>
          <w:rFonts w:eastAsia="仿宋_GB2312"/>
          <w:sz w:val="28"/>
          <w:szCs w:val="20"/>
        </w:rPr>
        <w:t>系统；废气防治措施；噪声治理中隔声、减振装置；危废处置；应急消防设施及监测仪器等。运行期环保投资还包括上述各项环保设施正常运转的维护费用、维护人员工资等。</w:t>
      </w:r>
    </w:p>
    <w:p>
      <w:pPr>
        <w:tabs>
          <w:tab w:val="left" w:pos="6840"/>
        </w:tabs>
        <w:spacing w:line="500" w:lineRule="exact"/>
        <w:ind w:firstLine="560" w:firstLineChars="200"/>
        <w:rPr>
          <w:rFonts w:eastAsia="仿宋_GB2312"/>
          <w:sz w:val="28"/>
          <w:szCs w:val="28"/>
        </w:rPr>
      </w:pPr>
      <w:r>
        <w:rPr>
          <w:rFonts w:eastAsia="仿宋_GB2312"/>
          <w:sz w:val="28"/>
          <w:szCs w:val="28"/>
        </w:rPr>
        <w:t>本项目总投资</w:t>
      </w:r>
      <w:r>
        <w:rPr>
          <w:rFonts w:eastAsia="仿宋_GB2312"/>
          <w:sz w:val="28"/>
        </w:rPr>
        <w:t>3000</w:t>
      </w:r>
      <w:r>
        <w:rPr>
          <w:rFonts w:hint="eastAsia" w:eastAsia="仿宋_GB2312"/>
          <w:sz w:val="28"/>
        </w:rPr>
        <w:t>万</w:t>
      </w:r>
      <w:r>
        <w:rPr>
          <w:rFonts w:eastAsia="仿宋_GB2312"/>
          <w:sz w:val="28"/>
        </w:rPr>
        <w:t>元</w:t>
      </w:r>
      <w:r>
        <w:rPr>
          <w:rFonts w:eastAsia="仿宋_GB2312"/>
          <w:sz w:val="28"/>
          <w:szCs w:val="28"/>
        </w:rPr>
        <w:t>，环保投资为170万元人民币，约占总投资的5.6%，包括废气治理、</w:t>
      </w:r>
      <w:r>
        <w:rPr>
          <w:rFonts w:hint="eastAsia" w:eastAsia="仿宋_GB2312"/>
          <w:sz w:val="28"/>
          <w:szCs w:val="28"/>
        </w:rPr>
        <w:t>废水</w:t>
      </w:r>
      <w:r>
        <w:rPr>
          <w:rFonts w:eastAsia="仿宋_GB2312"/>
          <w:sz w:val="28"/>
          <w:szCs w:val="28"/>
        </w:rPr>
        <w:t>治理、噪声治理</w:t>
      </w:r>
      <w:r>
        <w:rPr>
          <w:rFonts w:hint="eastAsia" w:eastAsia="仿宋_GB2312"/>
          <w:sz w:val="28"/>
          <w:szCs w:val="28"/>
        </w:rPr>
        <w:t>、</w:t>
      </w:r>
      <w:r>
        <w:rPr>
          <w:rFonts w:eastAsia="仿宋_GB2312"/>
          <w:sz w:val="28"/>
          <w:szCs w:val="28"/>
        </w:rPr>
        <w:t>固废处置等相关内容，主要投资内容见表7.2-1。</w:t>
      </w:r>
    </w:p>
    <w:p>
      <w:pPr>
        <w:tabs>
          <w:tab w:val="left" w:pos="6840"/>
        </w:tabs>
        <w:spacing w:line="500" w:lineRule="exact"/>
        <w:ind w:firstLine="560" w:firstLineChars="200"/>
        <w:rPr>
          <w:rFonts w:eastAsia="仿宋_GB2312"/>
          <w:sz w:val="28"/>
          <w:szCs w:val="28"/>
        </w:rPr>
      </w:pPr>
    </w:p>
    <w:p>
      <w:pPr>
        <w:tabs>
          <w:tab w:val="left" w:pos="6840"/>
        </w:tabs>
        <w:spacing w:line="500" w:lineRule="exact"/>
        <w:ind w:firstLine="560" w:firstLineChars="200"/>
        <w:rPr>
          <w:rFonts w:eastAsia="仿宋_GB2312"/>
          <w:sz w:val="28"/>
          <w:szCs w:val="28"/>
        </w:rPr>
      </w:pPr>
    </w:p>
    <w:p>
      <w:pPr>
        <w:pStyle w:val="33"/>
      </w:pPr>
    </w:p>
    <w:p>
      <w:pPr>
        <w:pStyle w:val="45"/>
      </w:pPr>
    </w:p>
    <w:p>
      <w:pPr>
        <w:pStyle w:val="50"/>
        <w:ind w:firstLine="0" w:firstLineChars="0"/>
        <w:jc w:val="center"/>
        <w:rPr>
          <w:rFonts w:ascii="Times New Roman"/>
          <w:b/>
          <w:sz w:val="24"/>
        </w:rPr>
      </w:pPr>
      <w:r>
        <w:rPr>
          <w:rFonts w:ascii="Times New Roman"/>
          <w:b/>
          <w:sz w:val="24"/>
        </w:rPr>
        <w:t>表7.2-1  环保措施汇总一览表</w:t>
      </w:r>
    </w:p>
    <w:tbl>
      <w:tblPr>
        <w:tblStyle w:val="87"/>
        <w:tblW w:w="88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8"/>
        <w:gridCol w:w="3160"/>
        <w:gridCol w:w="2266"/>
        <w:gridCol w:w="923"/>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blHeader/>
          <w:jc w:val="center"/>
        </w:trPr>
        <w:tc>
          <w:tcPr>
            <w:tcW w:w="1088" w:type="dxa"/>
            <w:vAlign w:val="center"/>
          </w:tcPr>
          <w:p>
            <w:pPr>
              <w:spacing w:line="240" w:lineRule="exact"/>
              <w:jc w:val="center"/>
              <w:rPr>
                <w:rFonts w:ascii="仿宋" w:hAnsi="仿宋" w:eastAsia="仿宋" w:cs="仿宋"/>
                <w:bCs/>
                <w:szCs w:val="21"/>
              </w:rPr>
            </w:pPr>
            <w:r>
              <w:rPr>
                <w:rFonts w:ascii="仿宋" w:hAnsi="仿宋" w:eastAsia="仿宋" w:cs="仿宋"/>
                <w:bCs/>
                <w:szCs w:val="21"/>
              </w:rPr>
              <w:t>污染类型</w:t>
            </w:r>
          </w:p>
        </w:tc>
        <w:tc>
          <w:tcPr>
            <w:tcW w:w="3160" w:type="dxa"/>
            <w:vAlign w:val="center"/>
          </w:tcPr>
          <w:p>
            <w:pPr>
              <w:spacing w:line="240" w:lineRule="exact"/>
              <w:jc w:val="center"/>
              <w:rPr>
                <w:rFonts w:ascii="仿宋" w:hAnsi="仿宋" w:eastAsia="仿宋" w:cs="仿宋"/>
                <w:bCs/>
                <w:szCs w:val="21"/>
              </w:rPr>
            </w:pPr>
            <w:r>
              <w:rPr>
                <w:rFonts w:ascii="仿宋" w:hAnsi="仿宋" w:eastAsia="仿宋" w:cs="仿宋"/>
                <w:bCs/>
                <w:szCs w:val="21"/>
              </w:rPr>
              <w:t>环保设施名称</w:t>
            </w:r>
          </w:p>
        </w:tc>
        <w:tc>
          <w:tcPr>
            <w:tcW w:w="2266" w:type="dxa"/>
            <w:vAlign w:val="center"/>
          </w:tcPr>
          <w:p>
            <w:pPr>
              <w:spacing w:line="240" w:lineRule="exact"/>
              <w:jc w:val="center"/>
              <w:rPr>
                <w:rFonts w:ascii="仿宋" w:hAnsi="仿宋" w:eastAsia="仿宋" w:cs="仿宋"/>
                <w:bCs/>
                <w:szCs w:val="21"/>
              </w:rPr>
            </w:pPr>
            <w:r>
              <w:rPr>
                <w:rFonts w:ascii="仿宋" w:hAnsi="仿宋" w:eastAsia="仿宋" w:cs="仿宋"/>
                <w:bCs/>
                <w:szCs w:val="21"/>
              </w:rPr>
              <w:t>预期效果</w:t>
            </w:r>
          </w:p>
        </w:tc>
        <w:tc>
          <w:tcPr>
            <w:tcW w:w="923" w:type="dxa"/>
            <w:vAlign w:val="center"/>
          </w:tcPr>
          <w:p>
            <w:pPr>
              <w:spacing w:line="240" w:lineRule="exact"/>
              <w:jc w:val="center"/>
              <w:rPr>
                <w:rFonts w:ascii="仿宋" w:hAnsi="仿宋" w:eastAsia="仿宋" w:cs="仿宋"/>
                <w:bCs/>
                <w:szCs w:val="21"/>
              </w:rPr>
            </w:pPr>
            <w:r>
              <w:rPr>
                <w:rFonts w:ascii="仿宋" w:hAnsi="仿宋" w:eastAsia="仿宋" w:cs="仿宋"/>
                <w:bCs/>
                <w:szCs w:val="21"/>
              </w:rPr>
              <w:t>投资额(万元)</w:t>
            </w:r>
          </w:p>
        </w:tc>
        <w:tc>
          <w:tcPr>
            <w:tcW w:w="1418" w:type="dxa"/>
            <w:vAlign w:val="center"/>
          </w:tcPr>
          <w:p>
            <w:pPr>
              <w:spacing w:line="240" w:lineRule="exact"/>
              <w:jc w:val="center"/>
              <w:rPr>
                <w:rFonts w:ascii="仿宋" w:hAnsi="仿宋" w:eastAsia="仿宋" w:cs="仿宋"/>
                <w:bCs/>
                <w:szCs w:val="21"/>
              </w:rPr>
            </w:pPr>
            <w:r>
              <w:rPr>
                <w:rFonts w:ascii="仿宋" w:hAnsi="仿宋" w:eastAsia="仿宋" w:cs="仿宋"/>
                <w:bCs/>
                <w:szCs w:val="21"/>
              </w:rPr>
              <w:t>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088" w:type="dxa"/>
            <w:vMerge w:val="restart"/>
            <w:vAlign w:val="center"/>
          </w:tcPr>
          <w:p>
            <w:pPr>
              <w:spacing w:line="240" w:lineRule="exact"/>
              <w:jc w:val="center"/>
              <w:rPr>
                <w:rFonts w:ascii="仿宋" w:hAnsi="仿宋" w:eastAsia="仿宋" w:cs="仿宋"/>
                <w:bCs/>
                <w:szCs w:val="21"/>
              </w:rPr>
            </w:pPr>
            <w:r>
              <w:rPr>
                <w:rFonts w:ascii="仿宋" w:hAnsi="仿宋" w:eastAsia="仿宋" w:cs="仿宋"/>
                <w:bCs/>
                <w:szCs w:val="21"/>
              </w:rPr>
              <w:t>废气</w:t>
            </w:r>
          </w:p>
        </w:tc>
        <w:tc>
          <w:tcPr>
            <w:tcW w:w="3160"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w:t>
            </w:r>
            <w:r>
              <w:rPr>
                <w:rFonts w:ascii="仿宋" w:hAnsi="仿宋" w:eastAsia="仿宋" w:cs="仿宋"/>
                <w:bCs/>
                <w:szCs w:val="21"/>
              </w:rPr>
              <w:t>#排气筒</w:t>
            </w:r>
            <w:r>
              <w:rPr>
                <w:rFonts w:hint="eastAsia" w:ascii="仿宋" w:hAnsi="仿宋" w:eastAsia="仿宋" w:cs="仿宋"/>
                <w:bCs/>
                <w:szCs w:val="21"/>
              </w:rPr>
              <w:t>：</w:t>
            </w:r>
            <w:r>
              <w:rPr>
                <w:rFonts w:ascii="仿宋" w:hAnsi="仿宋" w:eastAsia="仿宋" w:cs="仿宋"/>
                <w:bCs/>
                <w:szCs w:val="21"/>
              </w:rPr>
              <w:t>RTO</w:t>
            </w:r>
            <w:r>
              <w:rPr>
                <w:rFonts w:hint="eastAsia" w:ascii="仿宋" w:hAnsi="仿宋" w:eastAsia="仿宋" w:cs="仿宋"/>
                <w:bCs/>
                <w:szCs w:val="21"/>
              </w:rPr>
              <w:t>燃烧</w:t>
            </w:r>
            <w:r>
              <w:rPr>
                <w:rFonts w:ascii="仿宋" w:hAnsi="仿宋" w:eastAsia="仿宋" w:cs="仿宋"/>
                <w:bCs/>
                <w:szCs w:val="21"/>
              </w:rPr>
              <w:t>装置</w:t>
            </w:r>
          </w:p>
        </w:tc>
        <w:tc>
          <w:tcPr>
            <w:tcW w:w="2266" w:type="dxa"/>
            <w:vMerge w:val="restart"/>
            <w:vAlign w:val="center"/>
          </w:tcPr>
          <w:p>
            <w:pPr>
              <w:spacing w:line="240" w:lineRule="exact"/>
              <w:jc w:val="center"/>
              <w:rPr>
                <w:rFonts w:ascii="仿宋" w:hAnsi="仿宋" w:eastAsia="仿宋" w:cs="仿宋"/>
                <w:bCs/>
                <w:szCs w:val="21"/>
              </w:rPr>
            </w:pPr>
            <w:r>
              <w:rPr>
                <w:rFonts w:ascii="仿宋" w:hAnsi="仿宋" w:eastAsia="仿宋" w:cs="仿宋"/>
                <w:bCs/>
                <w:szCs w:val="21"/>
              </w:rPr>
              <w:t>达标排放</w:t>
            </w:r>
          </w:p>
        </w:tc>
        <w:tc>
          <w:tcPr>
            <w:tcW w:w="923" w:type="dxa"/>
            <w:vMerge w:val="restar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100</w:t>
            </w:r>
          </w:p>
        </w:tc>
        <w:tc>
          <w:tcPr>
            <w:tcW w:w="1418" w:type="dxa"/>
            <w:vMerge w:val="restart"/>
            <w:vAlign w:val="center"/>
          </w:tcPr>
          <w:p>
            <w:pPr>
              <w:spacing w:line="240" w:lineRule="exact"/>
              <w:jc w:val="center"/>
              <w:rPr>
                <w:rFonts w:ascii="仿宋" w:hAnsi="仿宋" w:eastAsia="仿宋" w:cs="仿宋"/>
                <w:bCs/>
                <w:szCs w:val="21"/>
              </w:rPr>
            </w:pPr>
            <w:r>
              <w:rPr>
                <w:rFonts w:ascii="仿宋" w:hAnsi="仿宋" w:eastAsia="仿宋" w:cs="仿宋"/>
                <w:bCs/>
                <w:szCs w:val="21"/>
              </w:rPr>
              <w:t>与本项目同步完成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088" w:type="dxa"/>
            <w:vMerge w:val="continue"/>
            <w:vAlign w:val="center"/>
          </w:tcPr>
          <w:p>
            <w:pPr>
              <w:spacing w:line="240" w:lineRule="exact"/>
              <w:jc w:val="center"/>
            </w:pPr>
          </w:p>
        </w:tc>
        <w:tc>
          <w:tcPr>
            <w:tcW w:w="3160"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w:t>
            </w:r>
            <w:r>
              <w:rPr>
                <w:rFonts w:ascii="仿宋" w:hAnsi="仿宋" w:eastAsia="仿宋" w:cs="仿宋"/>
                <w:bCs/>
                <w:szCs w:val="21"/>
              </w:rPr>
              <w:t>#排气筒</w:t>
            </w:r>
            <w:r>
              <w:rPr>
                <w:rFonts w:hint="eastAsia" w:ascii="仿宋" w:hAnsi="仿宋" w:eastAsia="仿宋" w:cs="仿宋"/>
                <w:bCs/>
                <w:szCs w:val="21"/>
              </w:rPr>
              <w:t>：两级活性炭吸附</w:t>
            </w:r>
            <w:r>
              <w:rPr>
                <w:rFonts w:ascii="仿宋" w:hAnsi="仿宋" w:eastAsia="仿宋" w:cs="仿宋"/>
                <w:bCs/>
                <w:szCs w:val="21"/>
              </w:rPr>
              <w:t>装置</w:t>
            </w:r>
          </w:p>
        </w:tc>
        <w:tc>
          <w:tcPr>
            <w:tcW w:w="2266" w:type="dxa"/>
            <w:vMerge w:val="continue"/>
            <w:vAlign w:val="center"/>
          </w:tcPr>
          <w:p>
            <w:pPr>
              <w:spacing w:line="240" w:lineRule="exact"/>
              <w:jc w:val="center"/>
              <w:rPr>
                <w:rFonts w:ascii="仿宋" w:hAnsi="仿宋" w:eastAsia="仿宋" w:cs="仿宋"/>
                <w:bCs/>
                <w:szCs w:val="21"/>
              </w:rPr>
            </w:pPr>
          </w:p>
        </w:tc>
        <w:tc>
          <w:tcPr>
            <w:tcW w:w="923" w:type="dxa"/>
            <w:vMerge w:val="continue"/>
            <w:vAlign w:val="center"/>
          </w:tcPr>
          <w:p>
            <w:pPr>
              <w:spacing w:line="240" w:lineRule="exact"/>
              <w:jc w:val="center"/>
              <w:rPr>
                <w:rFonts w:ascii="仿宋" w:hAnsi="仿宋" w:eastAsia="仿宋" w:cs="仿宋"/>
                <w:bCs/>
                <w:szCs w:val="21"/>
              </w:rPr>
            </w:pPr>
          </w:p>
        </w:tc>
        <w:tc>
          <w:tcPr>
            <w:tcW w:w="1418" w:type="dxa"/>
            <w:vMerge w:val="continue"/>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8" w:type="dxa"/>
            <w:vAlign w:val="center"/>
          </w:tcPr>
          <w:p>
            <w:pPr>
              <w:spacing w:line="240" w:lineRule="exact"/>
              <w:jc w:val="center"/>
              <w:rPr>
                <w:rFonts w:ascii="仿宋" w:hAnsi="仿宋" w:eastAsia="仿宋" w:cs="仿宋"/>
                <w:bCs/>
                <w:szCs w:val="21"/>
              </w:rPr>
            </w:pPr>
            <w:r>
              <w:rPr>
                <w:rFonts w:ascii="仿宋" w:hAnsi="仿宋" w:eastAsia="仿宋" w:cs="仿宋"/>
                <w:bCs/>
                <w:szCs w:val="21"/>
              </w:rPr>
              <w:t>废水</w:t>
            </w:r>
          </w:p>
        </w:tc>
        <w:tc>
          <w:tcPr>
            <w:tcW w:w="3160"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接入市政管网后</w:t>
            </w:r>
            <w:r>
              <w:rPr>
                <w:rFonts w:ascii="仿宋" w:hAnsi="仿宋" w:eastAsia="仿宋" w:cs="仿宋"/>
                <w:bCs/>
                <w:szCs w:val="21"/>
              </w:rPr>
              <w:t>进金坛第二污水处理厂处理</w:t>
            </w:r>
          </w:p>
        </w:tc>
        <w:tc>
          <w:tcPr>
            <w:tcW w:w="2266" w:type="dxa"/>
            <w:vAlign w:val="center"/>
          </w:tcPr>
          <w:p>
            <w:pPr>
              <w:spacing w:line="240" w:lineRule="exact"/>
              <w:jc w:val="center"/>
              <w:rPr>
                <w:rFonts w:ascii="仿宋" w:hAnsi="仿宋" w:eastAsia="仿宋" w:cs="仿宋"/>
                <w:bCs/>
                <w:szCs w:val="21"/>
              </w:rPr>
            </w:pPr>
            <w:r>
              <w:rPr>
                <w:rFonts w:ascii="仿宋" w:hAnsi="仿宋" w:eastAsia="仿宋" w:cs="仿宋"/>
                <w:bCs/>
                <w:szCs w:val="21"/>
              </w:rPr>
              <w:t>达标排放</w:t>
            </w:r>
          </w:p>
        </w:tc>
        <w:tc>
          <w:tcPr>
            <w:tcW w:w="923" w:type="dxa"/>
            <w:vAlign w:val="center"/>
          </w:tcPr>
          <w:p>
            <w:pPr>
              <w:spacing w:line="240" w:lineRule="exact"/>
              <w:jc w:val="center"/>
              <w:rPr>
                <w:rFonts w:ascii="仿宋" w:hAnsi="仿宋" w:eastAsia="仿宋" w:cs="仿宋"/>
                <w:bCs/>
                <w:szCs w:val="21"/>
              </w:rPr>
            </w:pPr>
            <w:r>
              <w:rPr>
                <w:rFonts w:ascii="仿宋" w:hAnsi="仿宋" w:eastAsia="仿宋" w:cs="仿宋"/>
                <w:bCs/>
                <w:szCs w:val="21"/>
              </w:rPr>
              <w:t>/</w:t>
            </w:r>
          </w:p>
        </w:tc>
        <w:tc>
          <w:tcPr>
            <w:tcW w:w="1418"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厂区</w:t>
            </w:r>
            <w:r>
              <w:rPr>
                <w:rFonts w:ascii="仿宋" w:hAnsi="仿宋" w:eastAsia="仿宋" w:cs="仿宋"/>
                <w:bCs/>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8" w:type="dxa"/>
            <w:vAlign w:val="center"/>
          </w:tcPr>
          <w:p>
            <w:pPr>
              <w:spacing w:line="240" w:lineRule="exact"/>
              <w:jc w:val="center"/>
              <w:rPr>
                <w:rFonts w:ascii="仿宋" w:hAnsi="仿宋" w:eastAsia="仿宋" w:cs="仿宋"/>
                <w:bCs/>
                <w:szCs w:val="21"/>
              </w:rPr>
            </w:pPr>
            <w:r>
              <w:rPr>
                <w:rFonts w:ascii="仿宋" w:hAnsi="仿宋" w:eastAsia="仿宋" w:cs="仿宋"/>
                <w:bCs/>
                <w:szCs w:val="21"/>
              </w:rPr>
              <w:t>固废</w:t>
            </w:r>
          </w:p>
        </w:tc>
        <w:tc>
          <w:tcPr>
            <w:tcW w:w="3160"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危废仓库15</w:t>
            </w:r>
            <w:r>
              <w:rPr>
                <w:rFonts w:ascii="仿宋" w:hAnsi="仿宋" w:eastAsia="仿宋" w:cs="仿宋"/>
                <w:bCs/>
                <w:szCs w:val="21"/>
              </w:rPr>
              <w:t>m</w:t>
            </w:r>
            <w:r>
              <w:rPr>
                <w:rFonts w:ascii="仿宋" w:hAnsi="仿宋" w:eastAsia="仿宋" w:cs="仿宋"/>
                <w:bCs/>
                <w:szCs w:val="21"/>
                <w:vertAlign w:val="superscript"/>
              </w:rPr>
              <w:t>2</w:t>
            </w:r>
          </w:p>
          <w:p>
            <w:pPr>
              <w:spacing w:line="240" w:lineRule="exact"/>
              <w:jc w:val="center"/>
              <w:rPr>
                <w:rFonts w:ascii="仿宋" w:hAnsi="仿宋" w:eastAsia="仿宋" w:cs="仿宋"/>
                <w:bCs/>
                <w:szCs w:val="21"/>
              </w:rPr>
            </w:pPr>
            <w:r>
              <w:rPr>
                <w:rFonts w:hint="eastAsia" w:ascii="仿宋" w:hAnsi="仿宋" w:eastAsia="仿宋" w:cs="仿宋"/>
                <w:bCs/>
                <w:szCs w:val="21"/>
              </w:rPr>
              <w:t>一般固废仓库40</w:t>
            </w:r>
            <w:r>
              <w:rPr>
                <w:rFonts w:ascii="仿宋" w:hAnsi="仿宋" w:eastAsia="仿宋" w:cs="仿宋"/>
                <w:bCs/>
                <w:szCs w:val="21"/>
              </w:rPr>
              <w:t>m</w:t>
            </w:r>
            <w:r>
              <w:rPr>
                <w:rFonts w:ascii="仿宋" w:hAnsi="仿宋" w:eastAsia="仿宋" w:cs="仿宋"/>
                <w:bCs/>
                <w:szCs w:val="21"/>
                <w:vertAlign w:val="superscript"/>
              </w:rPr>
              <w:t>2</w:t>
            </w:r>
          </w:p>
        </w:tc>
        <w:tc>
          <w:tcPr>
            <w:tcW w:w="2266" w:type="dxa"/>
            <w:vAlign w:val="center"/>
          </w:tcPr>
          <w:p>
            <w:pPr>
              <w:spacing w:line="240" w:lineRule="exact"/>
              <w:jc w:val="center"/>
              <w:rPr>
                <w:rFonts w:ascii="仿宋" w:hAnsi="仿宋" w:eastAsia="仿宋" w:cs="仿宋"/>
                <w:bCs/>
                <w:szCs w:val="21"/>
              </w:rPr>
            </w:pPr>
            <w:r>
              <w:rPr>
                <w:rFonts w:ascii="仿宋" w:hAnsi="仿宋" w:eastAsia="仿宋" w:cs="仿宋"/>
                <w:bCs/>
                <w:szCs w:val="21"/>
              </w:rPr>
              <w:t>固废暂存场所做到三防“防风、防晒、防雨”，各类固废处置处理率100%，无排放</w:t>
            </w:r>
          </w:p>
        </w:tc>
        <w:tc>
          <w:tcPr>
            <w:tcW w:w="923" w:type="dxa"/>
            <w:vAlign w:val="center"/>
          </w:tcPr>
          <w:p>
            <w:pPr>
              <w:spacing w:line="240" w:lineRule="exact"/>
              <w:jc w:val="center"/>
              <w:rPr>
                <w:rFonts w:ascii="仿宋" w:hAnsi="仿宋" w:eastAsia="仿宋" w:cs="仿宋"/>
                <w:bCs/>
                <w:szCs w:val="21"/>
              </w:rPr>
            </w:pPr>
            <w:r>
              <w:rPr>
                <w:rFonts w:ascii="仿宋" w:hAnsi="仿宋" w:eastAsia="仿宋" w:cs="仿宋"/>
                <w:bCs/>
                <w:szCs w:val="21"/>
              </w:rPr>
              <w:t>/</w:t>
            </w:r>
          </w:p>
        </w:tc>
        <w:tc>
          <w:tcPr>
            <w:tcW w:w="1418"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厂区</w:t>
            </w:r>
            <w:r>
              <w:rPr>
                <w:rFonts w:ascii="仿宋" w:hAnsi="仿宋" w:eastAsia="仿宋" w:cs="仿宋"/>
                <w:bCs/>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088" w:type="dxa"/>
            <w:vAlign w:val="center"/>
          </w:tcPr>
          <w:p>
            <w:pPr>
              <w:spacing w:line="240" w:lineRule="exact"/>
              <w:jc w:val="center"/>
              <w:rPr>
                <w:rFonts w:ascii="仿宋" w:hAnsi="仿宋" w:eastAsia="仿宋" w:cs="仿宋"/>
                <w:bCs/>
                <w:szCs w:val="21"/>
              </w:rPr>
            </w:pPr>
            <w:r>
              <w:rPr>
                <w:rFonts w:ascii="仿宋" w:hAnsi="仿宋" w:eastAsia="仿宋" w:cs="仿宋"/>
                <w:bCs/>
                <w:szCs w:val="21"/>
              </w:rPr>
              <w:t>噪声</w:t>
            </w:r>
          </w:p>
        </w:tc>
        <w:tc>
          <w:tcPr>
            <w:tcW w:w="3160" w:type="dxa"/>
            <w:vAlign w:val="center"/>
          </w:tcPr>
          <w:p>
            <w:pPr>
              <w:spacing w:line="240" w:lineRule="exact"/>
              <w:jc w:val="center"/>
              <w:rPr>
                <w:rFonts w:ascii="仿宋" w:hAnsi="仿宋" w:eastAsia="仿宋" w:cs="仿宋"/>
                <w:bCs/>
                <w:szCs w:val="21"/>
              </w:rPr>
            </w:pPr>
            <w:r>
              <w:rPr>
                <w:rFonts w:ascii="仿宋" w:hAnsi="仿宋" w:eastAsia="仿宋" w:cs="仿宋"/>
                <w:bCs/>
                <w:szCs w:val="21"/>
              </w:rPr>
              <w:t>消声、隔音、减振设施</w:t>
            </w:r>
          </w:p>
        </w:tc>
        <w:tc>
          <w:tcPr>
            <w:tcW w:w="2266" w:type="dxa"/>
            <w:vAlign w:val="center"/>
          </w:tcPr>
          <w:p>
            <w:pPr>
              <w:spacing w:line="240" w:lineRule="exact"/>
              <w:jc w:val="center"/>
              <w:rPr>
                <w:rFonts w:ascii="仿宋" w:hAnsi="仿宋" w:eastAsia="仿宋" w:cs="仿宋"/>
                <w:bCs/>
                <w:szCs w:val="21"/>
              </w:rPr>
            </w:pPr>
            <w:r>
              <w:rPr>
                <w:rFonts w:ascii="仿宋" w:hAnsi="仿宋" w:eastAsia="仿宋" w:cs="仿宋"/>
                <w:bCs/>
                <w:szCs w:val="21"/>
              </w:rPr>
              <w:t>厂界噪声达标</w:t>
            </w:r>
          </w:p>
        </w:tc>
        <w:tc>
          <w:tcPr>
            <w:tcW w:w="923" w:type="dxa"/>
            <w:vAlign w:val="center"/>
          </w:tcPr>
          <w:p>
            <w:pPr>
              <w:spacing w:line="240" w:lineRule="exact"/>
              <w:jc w:val="center"/>
              <w:rPr>
                <w:rFonts w:ascii="仿宋" w:hAnsi="仿宋" w:eastAsia="仿宋" w:cs="仿宋"/>
                <w:bCs/>
                <w:szCs w:val="21"/>
              </w:rPr>
            </w:pPr>
            <w:r>
              <w:rPr>
                <w:rFonts w:ascii="仿宋" w:hAnsi="仿宋" w:eastAsia="仿宋" w:cs="仿宋"/>
                <w:bCs/>
                <w:szCs w:val="21"/>
              </w:rPr>
              <w:t>20</w:t>
            </w:r>
          </w:p>
        </w:tc>
        <w:tc>
          <w:tcPr>
            <w:tcW w:w="1418" w:type="dxa"/>
            <w:vAlign w:val="center"/>
          </w:tcPr>
          <w:p>
            <w:pPr>
              <w:spacing w:line="240" w:lineRule="exact"/>
              <w:jc w:val="center"/>
              <w:rPr>
                <w:rFonts w:ascii="仿宋" w:hAnsi="仿宋" w:eastAsia="仿宋" w:cs="仿宋"/>
                <w:bCs/>
                <w:szCs w:val="21"/>
              </w:rPr>
            </w:pPr>
            <w:r>
              <w:rPr>
                <w:rFonts w:ascii="仿宋" w:hAnsi="仿宋" w:eastAsia="仿宋" w:cs="仿宋"/>
                <w:bCs/>
                <w:szCs w:val="21"/>
              </w:rPr>
              <w:t>与本项目同步完成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1088" w:type="dxa"/>
            <w:vAlign w:val="center"/>
          </w:tcPr>
          <w:p>
            <w:pPr>
              <w:spacing w:line="240" w:lineRule="exact"/>
              <w:jc w:val="center"/>
              <w:rPr>
                <w:rFonts w:ascii="仿宋" w:hAnsi="仿宋" w:eastAsia="仿宋" w:cs="仿宋"/>
                <w:bCs/>
                <w:szCs w:val="21"/>
              </w:rPr>
            </w:pPr>
            <w:r>
              <w:rPr>
                <w:rFonts w:ascii="仿宋" w:hAnsi="仿宋" w:eastAsia="仿宋" w:cs="仿宋"/>
                <w:bCs/>
                <w:szCs w:val="21"/>
              </w:rPr>
              <w:t>监测仪器</w:t>
            </w:r>
          </w:p>
        </w:tc>
        <w:tc>
          <w:tcPr>
            <w:tcW w:w="3160"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各类分析仪器</w:t>
            </w:r>
          </w:p>
        </w:tc>
        <w:tc>
          <w:tcPr>
            <w:tcW w:w="2266" w:type="dxa"/>
            <w:vAlign w:val="center"/>
          </w:tcPr>
          <w:p>
            <w:pPr>
              <w:spacing w:line="240" w:lineRule="exact"/>
              <w:jc w:val="center"/>
              <w:rPr>
                <w:rFonts w:ascii="仿宋" w:hAnsi="仿宋" w:eastAsia="仿宋" w:cs="仿宋"/>
                <w:bCs/>
                <w:szCs w:val="21"/>
              </w:rPr>
            </w:pPr>
            <w:r>
              <w:rPr>
                <w:rFonts w:ascii="仿宋" w:hAnsi="仿宋" w:eastAsia="仿宋" w:cs="仿宋"/>
                <w:bCs/>
                <w:szCs w:val="21"/>
              </w:rPr>
              <w:t>满足常规监测需要，及时了解排污情况</w:t>
            </w:r>
          </w:p>
        </w:tc>
        <w:tc>
          <w:tcPr>
            <w:tcW w:w="923"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w:t>
            </w:r>
            <w:r>
              <w:rPr>
                <w:rFonts w:ascii="仿宋" w:hAnsi="仿宋" w:eastAsia="仿宋" w:cs="仿宋"/>
                <w:bCs/>
                <w:szCs w:val="21"/>
              </w:rPr>
              <w:t>0</w:t>
            </w:r>
          </w:p>
        </w:tc>
        <w:tc>
          <w:tcPr>
            <w:tcW w:w="1418" w:type="dxa"/>
            <w:vAlign w:val="center"/>
          </w:tcPr>
          <w:p>
            <w:pPr>
              <w:spacing w:line="240" w:lineRule="exact"/>
              <w:jc w:val="center"/>
              <w:rPr>
                <w:rFonts w:ascii="仿宋" w:hAnsi="仿宋" w:eastAsia="仿宋" w:cs="仿宋"/>
                <w:bCs/>
                <w:szCs w:val="21"/>
              </w:rPr>
            </w:pPr>
            <w:r>
              <w:rPr>
                <w:rFonts w:ascii="仿宋" w:hAnsi="仿宋" w:eastAsia="仿宋" w:cs="仿宋"/>
                <w:bCs/>
                <w:szCs w:val="21"/>
              </w:rPr>
              <w:t>与本项目同步完成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8" w:type="dxa"/>
            <w:vAlign w:val="center"/>
          </w:tcPr>
          <w:p>
            <w:pPr>
              <w:spacing w:line="240" w:lineRule="exact"/>
              <w:jc w:val="center"/>
              <w:rPr>
                <w:rFonts w:ascii="仿宋" w:hAnsi="仿宋" w:eastAsia="仿宋" w:cs="仿宋"/>
                <w:bCs/>
                <w:szCs w:val="21"/>
              </w:rPr>
            </w:pPr>
            <w:r>
              <w:rPr>
                <w:rFonts w:ascii="仿宋" w:hAnsi="仿宋" w:eastAsia="仿宋" w:cs="仿宋"/>
                <w:bCs/>
                <w:szCs w:val="21"/>
              </w:rPr>
              <w:t>排污口整治等</w:t>
            </w:r>
          </w:p>
        </w:tc>
        <w:tc>
          <w:tcPr>
            <w:tcW w:w="3160" w:type="dxa"/>
            <w:vAlign w:val="center"/>
          </w:tcPr>
          <w:p>
            <w:pPr>
              <w:spacing w:line="240" w:lineRule="exact"/>
              <w:jc w:val="center"/>
              <w:rPr>
                <w:rFonts w:ascii="仿宋" w:hAnsi="仿宋" w:eastAsia="仿宋" w:cs="仿宋"/>
                <w:bCs/>
                <w:szCs w:val="21"/>
              </w:rPr>
            </w:pPr>
            <w:r>
              <w:rPr>
                <w:rFonts w:ascii="仿宋" w:hAnsi="仿宋" w:eastAsia="仿宋" w:cs="仿宋"/>
                <w:bCs/>
                <w:szCs w:val="21"/>
              </w:rPr>
              <w:t>厂区污水排放口一个，雨水排放口一个</w:t>
            </w:r>
          </w:p>
        </w:tc>
        <w:tc>
          <w:tcPr>
            <w:tcW w:w="2266" w:type="dxa"/>
            <w:vAlign w:val="center"/>
          </w:tcPr>
          <w:p>
            <w:pPr>
              <w:spacing w:line="240" w:lineRule="exact"/>
              <w:jc w:val="center"/>
              <w:rPr>
                <w:rFonts w:ascii="仿宋" w:hAnsi="仿宋" w:eastAsia="仿宋" w:cs="仿宋"/>
                <w:bCs/>
                <w:szCs w:val="21"/>
              </w:rPr>
            </w:pPr>
            <w:r>
              <w:rPr>
                <w:rFonts w:ascii="仿宋" w:hAnsi="仿宋" w:eastAsia="仿宋" w:cs="仿宋"/>
                <w:bCs/>
                <w:szCs w:val="21"/>
              </w:rPr>
              <w:t>符合排污口规范</w:t>
            </w:r>
          </w:p>
        </w:tc>
        <w:tc>
          <w:tcPr>
            <w:tcW w:w="923" w:type="dxa"/>
            <w:vAlign w:val="center"/>
          </w:tcPr>
          <w:p>
            <w:pPr>
              <w:spacing w:line="240" w:lineRule="exact"/>
              <w:jc w:val="center"/>
              <w:rPr>
                <w:rFonts w:ascii="仿宋" w:hAnsi="仿宋" w:eastAsia="仿宋" w:cs="仿宋"/>
                <w:bCs/>
                <w:szCs w:val="21"/>
              </w:rPr>
            </w:pPr>
            <w:r>
              <w:rPr>
                <w:rFonts w:ascii="仿宋" w:hAnsi="仿宋" w:eastAsia="仿宋" w:cs="仿宋"/>
                <w:bCs/>
                <w:szCs w:val="21"/>
              </w:rPr>
              <w:t>/</w:t>
            </w:r>
          </w:p>
        </w:tc>
        <w:tc>
          <w:tcPr>
            <w:tcW w:w="1418" w:type="dxa"/>
            <w:vAlign w:val="center"/>
          </w:tcPr>
          <w:p>
            <w:pPr>
              <w:jc w:val="center"/>
            </w:pPr>
            <w:r>
              <w:rPr>
                <w:rFonts w:hint="eastAsia" w:ascii="仿宋" w:hAnsi="仿宋" w:eastAsia="仿宋" w:cs="仿宋"/>
                <w:bCs/>
                <w:szCs w:val="21"/>
              </w:rPr>
              <w:t>厂区</w:t>
            </w:r>
            <w:r>
              <w:rPr>
                <w:rFonts w:ascii="仿宋" w:hAnsi="仿宋" w:eastAsia="仿宋" w:cs="仿宋"/>
                <w:bCs/>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088"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雨污</w:t>
            </w:r>
            <w:r>
              <w:rPr>
                <w:rFonts w:ascii="仿宋" w:hAnsi="仿宋" w:eastAsia="仿宋" w:cs="仿宋"/>
                <w:bCs/>
                <w:szCs w:val="21"/>
              </w:rPr>
              <w:t>管网分流建设</w:t>
            </w:r>
          </w:p>
        </w:tc>
        <w:tc>
          <w:tcPr>
            <w:tcW w:w="3160" w:type="dxa"/>
            <w:vAlign w:val="center"/>
          </w:tcPr>
          <w:p>
            <w:pPr>
              <w:spacing w:line="240" w:lineRule="exact"/>
              <w:jc w:val="center"/>
              <w:rPr>
                <w:rFonts w:ascii="仿宋" w:hAnsi="仿宋" w:eastAsia="仿宋" w:cs="仿宋"/>
                <w:bCs/>
                <w:szCs w:val="21"/>
              </w:rPr>
            </w:pPr>
            <w:r>
              <w:rPr>
                <w:rFonts w:ascii="仿宋" w:hAnsi="仿宋" w:eastAsia="仿宋" w:cs="仿宋"/>
                <w:bCs/>
                <w:szCs w:val="21"/>
              </w:rPr>
              <w:t>雨污分流</w:t>
            </w:r>
          </w:p>
        </w:tc>
        <w:tc>
          <w:tcPr>
            <w:tcW w:w="2266" w:type="dxa"/>
            <w:vAlign w:val="center"/>
          </w:tcPr>
          <w:p>
            <w:pPr>
              <w:spacing w:line="240" w:lineRule="exact"/>
              <w:jc w:val="center"/>
              <w:rPr>
                <w:rFonts w:ascii="仿宋" w:hAnsi="仿宋" w:eastAsia="仿宋" w:cs="仿宋"/>
                <w:bCs/>
                <w:szCs w:val="21"/>
              </w:rPr>
            </w:pPr>
            <w:r>
              <w:rPr>
                <w:rFonts w:ascii="仿宋" w:hAnsi="仿宋" w:eastAsia="仿宋" w:cs="仿宋"/>
                <w:bCs/>
                <w:szCs w:val="21"/>
              </w:rPr>
              <w:t>做到</w:t>
            </w:r>
            <w:r>
              <w:rPr>
                <w:rFonts w:hint="eastAsia" w:ascii="仿宋" w:hAnsi="仿宋" w:eastAsia="仿宋" w:cs="仿宋"/>
                <w:bCs/>
                <w:szCs w:val="21"/>
              </w:rPr>
              <w:t>雨污</w:t>
            </w:r>
            <w:r>
              <w:rPr>
                <w:rFonts w:ascii="仿宋" w:hAnsi="仿宋" w:eastAsia="仿宋" w:cs="仿宋"/>
                <w:bCs/>
                <w:szCs w:val="21"/>
              </w:rPr>
              <w:t>分流、完全收集污水</w:t>
            </w:r>
          </w:p>
        </w:tc>
        <w:tc>
          <w:tcPr>
            <w:tcW w:w="923" w:type="dxa"/>
            <w:vAlign w:val="center"/>
          </w:tcPr>
          <w:p>
            <w:pPr>
              <w:spacing w:line="240" w:lineRule="exact"/>
              <w:jc w:val="center"/>
              <w:rPr>
                <w:rFonts w:ascii="仿宋" w:hAnsi="仿宋" w:eastAsia="仿宋" w:cs="仿宋"/>
                <w:bCs/>
                <w:szCs w:val="21"/>
              </w:rPr>
            </w:pPr>
            <w:r>
              <w:rPr>
                <w:rFonts w:ascii="仿宋" w:hAnsi="仿宋" w:eastAsia="仿宋" w:cs="仿宋"/>
                <w:bCs/>
                <w:szCs w:val="21"/>
              </w:rPr>
              <w:t>/</w:t>
            </w:r>
          </w:p>
        </w:tc>
        <w:tc>
          <w:tcPr>
            <w:tcW w:w="1418" w:type="dxa"/>
            <w:vAlign w:val="center"/>
          </w:tcPr>
          <w:p>
            <w:pPr>
              <w:jc w:val="center"/>
            </w:pPr>
            <w:r>
              <w:rPr>
                <w:rFonts w:hint="eastAsia" w:ascii="仿宋" w:hAnsi="仿宋" w:eastAsia="仿宋" w:cs="仿宋"/>
                <w:bCs/>
                <w:szCs w:val="21"/>
              </w:rPr>
              <w:t>厂区</w:t>
            </w:r>
            <w:r>
              <w:rPr>
                <w:rFonts w:ascii="仿宋" w:hAnsi="仿宋" w:eastAsia="仿宋" w:cs="仿宋"/>
                <w:bCs/>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088" w:type="dxa"/>
            <w:vMerge w:val="restar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应急、风险防范</w:t>
            </w:r>
          </w:p>
        </w:tc>
        <w:tc>
          <w:tcPr>
            <w:tcW w:w="3160" w:type="dxa"/>
            <w:vAlign w:val="center"/>
          </w:tcPr>
          <w:p>
            <w:pPr>
              <w:spacing w:line="240" w:lineRule="exact"/>
              <w:jc w:val="center"/>
              <w:rPr>
                <w:rFonts w:ascii="仿宋" w:hAnsi="仿宋" w:eastAsia="仿宋" w:cs="仿宋"/>
                <w:bCs/>
                <w:szCs w:val="21"/>
              </w:rPr>
            </w:pPr>
            <w:r>
              <w:rPr>
                <w:rFonts w:ascii="仿宋" w:hAnsi="仿宋" w:eastAsia="仿宋" w:cs="仿宋"/>
                <w:bCs/>
                <w:szCs w:val="21"/>
              </w:rPr>
              <w:t>应急消防措施</w:t>
            </w:r>
          </w:p>
        </w:tc>
        <w:tc>
          <w:tcPr>
            <w:tcW w:w="2266"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消防栓、灭火器等</w:t>
            </w:r>
          </w:p>
        </w:tc>
        <w:tc>
          <w:tcPr>
            <w:tcW w:w="923" w:type="dxa"/>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5</w:t>
            </w:r>
          </w:p>
        </w:tc>
        <w:tc>
          <w:tcPr>
            <w:tcW w:w="1418" w:type="dxa"/>
            <w:shd w:val="clear" w:color="auto" w:fill="auto"/>
            <w:vAlign w:val="center"/>
          </w:tcPr>
          <w:p>
            <w:pPr>
              <w:jc w:val="center"/>
            </w:pPr>
            <w:r>
              <w:rPr>
                <w:rFonts w:hint="eastAsia" w:ascii="仿宋" w:hAnsi="仿宋" w:eastAsia="仿宋" w:cs="仿宋"/>
                <w:bCs/>
                <w:szCs w:val="21"/>
              </w:rPr>
              <w:t>厂区</w:t>
            </w:r>
            <w:r>
              <w:rPr>
                <w:rFonts w:ascii="仿宋" w:hAnsi="仿宋" w:eastAsia="仿宋" w:cs="仿宋"/>
                <w:bCs/>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088" w:type="dxa"/>
            <w:vMerge w:val="continue"/>
            <w:shd w:val="clear" w:color="auto" w:fill="auto"/>
            <w:vAlign w:val="center"/>
          </w:tcPr>
          <w:p>
            <w:pPr>
              <w:spacing w:line="240" w:lineRule="exact"/>
              <w:jc w:val="center"/>
              <w:rPr>
                <w:rFonts w:ascii="仿宋" w:hAnsi="仿宋" w:eastAsia="仿宋" w:cs="仿宋"/>
                <w:bCs/>
                <w:szCs w:val="21"/>
              </w:rPr>
            </w:pPr>
          </w:p>
        </w:tc>
        <w:tc>
          <w:tcPr>
            <w:tcW w:w="3160"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事故池</w:t>
            </w:r>
          </w:p>
        </w:tc>
        <w:tc>
          <w:tcPr>
            <w:tcW w:w="2266"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依托</w:t>
            </w:r>
            <w:r>
              <w:rPr>
                <w:rFonts w:ascii="仿宋" w:hAnsi="仿宋" w:eastAsia="仿宋" w:cs="仿宋"/>
                <w:bCs/>
                <w:szCs w:val="21"/>
              </w:rPr>
              <w:t>厂区</w:t>
            </w:r>
            <w:r>
              <w:rPr>
                <w:rFonts w:hint="eastAsia" w:ascii="仿宋" w:hAnsi="仿宋" w:eastAsia="仿宋" w:cs="仿宋"/>
                <w:bCs/>
                <w:szCs w:val="21"/>
              </w:rPr>
              <w:t>内100</w:t>
            </w:r>
            <w:r>
              <w:rPr>
                <w:rFonts w:ascii="仿宋" w:hAnsi="仿宋" w:eastAsia="仿宋" w:cs="仿宋"/>
                <w:bCs/>
                <w:szCs w:val="21"/>
              </w:rPr>
              <w:t>m</w:t>
            </w:r>
            <w:r>
              <w:rPr>
                <w:rFonts w:ascii="仿宋" w:hAnsi="仿宋" w:eastAsia="仿宋" w:cs="仿宋"/>
                <w:bCs/>
                <w:szCs w:val="21"/>
                <w:vertAlign w:val="superscript"/>
              </w:rPr>
              <w:t>3</w:t>
            </w:r>
            <w:r>
              <w:rPr>
                <w:rFonts w:hint="eastAsia" w:ascii="仿宋" w:hAnsi="仿宋" w:eastAsia="仿宋" w:cs="仿宋"/>
                <w:bCs/>
                <w:szCs w:val="21"/>
              </w:rPr>
              <w:t>事故应急池+</w:t>
            </w:r>
            <w:r>
              <w:rPr>
                <w:rFonts w:ascii="仿宋" w:hAnsi="仿宋" w:eastAsia="仿宋" w:cs="仿宋"/>
                <w:bCs/>
                <w:szCs w:val="21"/>
              </w:rPr>
              <w:t>截断阀门</w:t>
            </w:r>
          </w:p>
        </w:tc>
        <w:tc>
          <w:tcPr>
            <w:tcW w:w="923" w:type="dxa"/>
            <w:shd w:val="clear" w:color="auto" w:fill="auto"/>
            <w:vAlign w:val="center"/>
          </w:tcPr>
          <w:p>
            <w:pPr>
              <w:pStyle w:val="20"/>
              <w:spacing w:line="240" w:lineRule="exact"/>
              <w:ind w:firstLine="0" w:firstLineChars="0"/>
              <w:jc w:val="center"/>
              <w:rPr>
                <w:rFonts w:ascii="仿宋" w:hAnsi="仿宋" w:eastAsia="仿宋" w:cs="仿宋"/>
                <w:bCs/>
                <w:szCs w:val="21"/>
              </w:rPr>
            </w:pPr>
            <w:r>
              <w:rPr>
                <w:rFonts w:hint="eastAsia" w:ascii="仿宋" w:hAnsi="仿宋" w:eastAsia="仿宋" w:cs="仿宋"/>
                <w:bCs/>
                <w:szCs w:val="21"/>
              </w:rPr>
              <w:t>/</w:t>
            </w:r>
          </w:p>
        </w:tc>
        <w:tc>
          <w:tcPr>
            <w:tcW w:w="1418" w:type="dxa"/>
            <w:shd w:val="clear" w:color="auto" w:fill="auto"/>
            <w:vAlign w:val="center"/>
          </w:tcPr>
          <w:p>
            <w:pPr>
              <w:jc w:val="center"/>
            </w:pPr>
            <w:r>
              <w:rPr>
                <w:rFonts w:hint="eastAsia" w:ascii="仿宋" w:hAnsi="仿宋" w:eastAsia="仿宋" w:cs="仿宋"/>
                <w:bCs/>
                <w:szCs w:val="21"/>
              </w:rPr>
              <w:t>厂区</w:t>
            </w:r>
            <w:r>
              <w:rPr>
                <w:rFonts w:ascii="仿宋" w:hAnsi="仿宋" w:eastAsia="仿宋" w:cs="仿宋"/>
                <w:bCs/>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088" w:type="dxa"/>
            <w:vAlign w:val="center"/>
          </w:tcPr>
          <w:p>
            <w:pPr>
              <w:spacing w:line="240" w:lineRule="exact"/>
              <w:jc w:val="center"/>
              <w:rPr>
                <w:rFonts w:ascii="仿宋" w:hAnsi="仿宋" w:eastAsia="仿宋" w:cs="仿宋"/>
                <w:bCs/>
                <w:szCs w:val="21"/>
              </w:rPr>
            </w:pPr>
            <w:r>
              <w:rPr>
                <w:rFonts w:ascii="仿宋" w:hAnsi="仿宋" w:eastAsia="仿宋" w:cs="仿宋"/>
                <w:bCs/>
                <w:szCs w:val="21"/>
              </w:rPr>
              <w:t>/</w:t>
            </w:r>
          </w:p>
        </w:tc>
        <w:tc>
          <w:tcPr>
            <w:tcW w:w="3160" w:type="dxa"/>
            <w:vAlign w:val="center"/>
          </w:tcPr>
          <w:p>
            <w:pPr>
              <w:spacing w:line="240" w:lineRule="exact"/>
              <w:jc w:val="center"/>
              <w:rPr>
                <w:rFonts w:ascii="仿宋" w:hAnsi="仿宋" w:eastAsia="仿宋" w:cs="仿宋"/>
                <w:bCs/>
                <w:szCs w:val="21"/>
              </w:rPr>
            </w:pPr>
            <w:r>
              <w:rPr>
                <w:rFonts w:ascii="仿宋" w:hAnsi="仿宋" w:eastAsia="仿宋" w:cs="仿宋"/>
                <w:bCs/>
                <w:szCs w:val="21"/>
              </w:rPr>
              <w:t>合计</w:t>
            </w:r>
          </w:p>
        </w:tc>
        <w:tc>
          <w:tcPr>
            <w:tcW w:w="2266" w:type="dxa"/>
            <w:vAlign w:val="center"/>
          </w:tcPr>
          <w:p>
            <w:pPr>
              <w:spacing w:line="240" w:lineRule="exact"/>
              <w:jc w:val="center"/>
              <w:rPr>
                <w:rFonts w:ascii="仿宋" w:hAnsi="仿宋" w:eastAsia="仿宋" w:cs="仿宋"/>
                <w:bCs/>
                <w:szCs w:val="21"/>
              </w:rPr>
            </w:pPr>
            <w:r>
              <w:rPr>
                <w:rFonts w:ascii="仿宋" w:hAnsi="仿宋" w:eastAsia="仿宋" w:cs="仿宋"/>
                <w:bCs/>
                <w:szCs w:val="21"/>
              </w:rPr>
              <w:t>/</w:t>
            </w:r>
          </w:p>
        </w:tc>
        <w:tc>
          <w:tcPr>
            <w:tcW w:w="923"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w:t>
            </w:r>
            <w:r>
              <w:rPr>
                <w:rFonts w:ascii="仿宋" w:hAnsi="仿宋" w:eastAsia="仿宋" w:cs="仿宋"/>
                <w:bCs/>
                <w:szCs w:val="21"/>
              </w:rPr>
              <w:t>35</w:t>
            </w:r>
          </w:p>
        </w:tc>
        <w:tc>
          <w:tcPr>
            <w:tcW w:w="1418" w:type="dxa"/>
            <w:vAlign w:val="center"/>
          </w:tcPr>
          <w:p>
            <w:pPr>
              <w:spacing w:line="240" w:lineRule="exact"/>
              <w:jc w:val="center"/>
              <w:rPr>
                <w:rFonts w:ascii="仿宋" w:hAnsi="仿宋" w:eastAsia="仿宋" w:cs="仿宋"/>
                <w:bCs/>
                <w:szCs w:val="21"/>
              </w:rPr>
            </w:pPr>
            <w:r>
              <w:rPr>
                <w:rFonts w:ascii="仿宋" w:hAnsi="仿宋" w:eastAsia="仿宋" w:cs="仿宋"/>
                <w:bCs/>
                <w:szCs w:val="21"/>
              </w:rPr>
              <w:t>/</w:t>
            </w:r>
          </w:p>
        </w:tc>
      </w:tr>
    </w:tbl>
    <w:p>
      <w:pPr>
        <w:pStyle w:val="4"/>
        <w:keepLines w:val="0"/>
        <w:numPr>
          <w:ilvl w:val="2"/>
          <w:numId w:val="1"/>
        </w:numPr>
        <w:tabs>
          <w:tab w:val="left" w:pos="851"/>
        </w:tabs>
        <w:spacing w:before="0" w:after="156" w:afterLines="50" w:line="500" w:lineRule="exact"/>
        <w:ind w:left="0" w:firstLine="0"/>
        <w:rPr>
          <w:rFonts w:eastAsia="仿宋_GB2312"/>
          <w:spacing w:val="6"/>
          <w:sz w:val="28"/>
          <w:szCs w:val="20"/>
        </w:rPr>
      </w:pPr>
      <w:r>
        <w:rPr>
          <w:rFonts w:eastAsia="仿宋_GB2312"/>
          <w:spacing w:val="6"/>
          <w:sz w:val="28"/>
          <w:szCs w:val="20"/>
        </w:rPr>
        <w:t>污染防治措施经济合理性分析</w:t>
      </w:r>
    </w:p>
    <w:p>
      <w:pPr>
        <w:spacing w:line="500" w:lineRule="exact"/>
        <w:ind w:firstLine="556"/>
        <w:rPr>
          <w:rFonts w:eastAsia="仿宋_GB2312"/>
          <w:sz w:val="28"/>
          <w:szCs w:val="20"/>
        </w:rPr>
      </w:pPr>
      <w:r>
        <w:rPr>
          <w:rFonts w:hint="eastAsia" w:eastAsia="仿宋_GB2312"/>
          <w:sz w:val="28"/>
          <w:szCs w:val="20"/>
        </w:rPr>
        <w:t>本项目达产后，企业预计可实现年产值</w:t>
      </w:r>
      <w:r>
        <w:rPr>
          <w:rFonts w:eastAsia="仿宋_GB2312"/>
          <w:sz w:val="28"/>
          <w:szCs w:val="20"/>
        </w:rPr>
        <w:t>1300</w:t>
      </w:r>
      <w:r>
        <w:rPr>
          <w:rFonts w:hint="eastAsia" w:eastAsia="仿宋_GB2312"/>
          <w:sz w:val="28"/>
          <w:szCs w:val="20"/>
        </w:rPr>
        <w:t>万元，年净利润</w:t>
      </w:r>
      <w:r>
        <w:rPr>
          <w:rFonts w:eastAsia="仿宋_GB2312"/>
          <w:sz w:val="28"/>
          <w:szCs w:val="20"/>
        </w:rPr>
        <w:t>6</w:t>
      </w:r>
      <w:r>
        <w:rPr>
          <w:rFonts w:hint="eastAsia" w:eastAsia="仿宋_GB2312"/>
          <w:sz w:val="28"/>
          <w:szCs w:val="20"/>
        </w:rPr>
        <w:t>88万元。</w:t>
      </w:r>
      <w:r>
        <w:rPr>
          <w:rFonts w:eastAsia="仿宋_GB2312"/>
          <w:sz w:val="28"/>
          <w:szCs w:val="20"/>
        </w:rPr>
        <w:t>本项目</w:t>
      </w:r>
      <w:r>
        <w:rPr>
          <w:rFonts w:hint="eastAsia" w:eastAsia="仿宋_GB2312"/>
          <w:sz w:val="28"/>
          <w:szCs w:val="20"/>
        </w:rPr>
        <w:t>污染物</w:t>
      </w:r>
      <w:r>
        <w:rPr>
          <w:rFonts w:eastAsia="仿宋_GB2312"/>
          <w:sz w:val="28"/>
          <w:szCs w:val="20"/>
        </w:rPr>
        <w:t>防治</w:t>
      </w:r>
      <w:r>
        <w:rPr>
          <w:rFonts w:hint="eastAsia" w:eastAsia="仿宋_GB2312"/>
          <w:sz w:val="28"/>
          <w:szCs w:val="20"/>
        </w:rPr>
        <w:t>措施</w:t>
      </w:r>
      <w:r>
        <w:rPr>
          <w:rFonts w:eastAsia="仿宋_GB2312"/>
          <w:sz w:val="28"/>
          <w:szCs w:val="20"/>
        </w:rPr>
        <w:t>投资额</w:t>
      </w:r>
      <w:r>
        <w:rPr>
          <w:rFonts w:hint="eastAsia" w:eastAsia="仿宋_GB2312"/>
          <w:sz w:val="28"/>
          <w:szCs w:val="20"/>
        </w:rPr>
        <w:t>1</w:t>
      </w:r>
      <w:r>
        <w:rPr>
          <w:rFonts w:eastAsia="仿宋_GB2312"/>
          <w:sz w:val="28"/>
          <w:szCs w:val="20"/>
        </w:rPr>
        <w:t>35</w:t>
      </w:r>
      <w:r>
        <w:rPr>
          <w:rFonts w:hint="eastAsia" w:eastAsia="仿宋_GB2312"/>
          <w:sz w:val="28"/>
          <w:szCs w:val="20"/>
        </w:rPr>
        <w:t>万元</w:t>
      </w:r>
      <w:r>
        <w:rPr>
          <w:rFonts w:eastAsia="仿宋_GB2312"/>
          <w:sz w:val="28"/>
          <w:szCs w:val="20"/>
        </w:rPr>
        <w:t>，</w:t>
      </w:r>
      <w:r>
        <w:rPr>
          <w:rFonts w:hint="eastAsia" w:eastAsia="仿宋_GB2312"/>
          <w:sz w:val="28"/>
          <w:szCs w:val="20"/>
        </w:rPr>
        <w:t>几年内</w:t>
      </w:r>
      <w:r>
        <w:rPr>
          <w:rFonts w:eastAsia="仿宋_GB2312"/>
          <w:sz w:val="28"/>
          <w:szCs w:val="20"/>
        </w:rPr>
        <w:t>有能力承担，因此</w:t>
      </w:r>
      <w:r>
        <w:rPr>
          <w:rFonts w:hint="eastAsia" w:eastAsia="仿宋_GB2312"/>
          <w:sz w:val="28"/>
          <w:szCs w:val="20"/>
        </w:rPr>
        <w:t>经济</w:t>
      </w:r>
      <w:r>
        <w:rPr>
          <w:rFonts w:eastAsia="仿宋_GB2312"/>
          <w:sz w:val="28"/>
          <w:szCs w:val="20"/>
        </w:rPr>
        <w:t>合理。</w:t>
      </w:r>
    </w:p>
    <w:p>
      <w:pPr>
        <w:pStyle w:val="4"/>
        <w:keepLines w:val="0"/>
        <w:numPr>
          <w:ilvl w:val="2"/>
          <w:numId w:val="1"/>
        </w:numPr>
        <w:tabs>
          <w:tab w:val="left" w:pos="851"/>
        </w:tabs>
        <w:spacing w:before="0" w:after="156" w:afterLines="50" w:line="500" w:lineRule="exact"/>
        <w:ind w:left="0" w:firstLine="0"/>
        <w:rPr>
          <w:rFonts w:eastAsia="仿宋_GB2312"/>
          <w:spacing w:val="6"/>
          <w:sz w:val="28"/>
          <w:szCs w:val="20"/>
        </w:rPr>
      </w:pPr>
      <w:r>
        <w:rPr>
          <w:rFonts w:eastAsia="仿宋_GB2312"/>
          <w:spacing w:val="6"/>
          <w:sz w:val="28"/>
          <w:szCs w:val="20"/>
        </w:rPr>
        <w:t>预期环境效益</w:t>
      </w:r>
    </w:p>
    <w:p>
      <w:pPr>
        <w:spacing w:line="500" w:lineRule="exact"/>
        <w:ind w:firstLine="556"/>
        <w:rPr>
          <w:rFonts w:eastAsia="仿宋_GB2312"/>
          <w:sz w:val="28"/>
          <w:szCs w:val="20"/>
        </w:rPr>
      </w:pPr>
      <w:r>
        <w:rPr>
          <w:rFonts w:eastAsia="仿宋_GB2312"/>
          <w:sz w:val="28"/>
          <w:szCs w:val="20"/>
        </w:rPr>
        <w:t>根据项目的环境影响评价及污染防治措施分析，上述环保设施的建成与投入运行，可以满足本项目废气、</w:t>
      </w:r>
      <w:r>
        <w:rPr>
          <w:rFonts w:hint="eastAsia" w:eastAsia="仿宋_GB2312"/>
          <w:sz w:val="28"/>
          <w:szCs w:val="20"/>
        </w:rPr>
        <w:t>废水</w:t>
      </w:r>
      <w:r>
        <w:rPr>
          <w:rFonts w:eastAsia="仿宋_GB2312"/>
          <w:sz w:val="28"/>
          <w:szCs w:val="20"/>
        </w:rPr>
        <w:t>、噪声等达标排放、污染物总量控制及清洁生产的要求，并可以保证企业有良好的生产环境。且根据预测，项目建成前后对周围环境影响较小，可基本保持环境现状。因此，上述情况表明本项目环保投资可以满足环保设施要求。</w:t>
      </w:r>
    </w:p>
    <w:p>
      <w:pPr>
        <w:pStyle w:val="3"/>
      </w:pPr>
      <w:bookmarkStart w:id="435" w:name="_Toc140565285"/>
      <w:r>
        <w:t>社会效益分析</w:t>
      </w:r>
      <w:bookmarkEnd w:id="435"/>
    </w:p>
    <w:p>
      <w:pPr>
        <w:spacing w:line="500" w:lineRule="exact"/>
        <w:ind w:firstLine="560" w:firstLineChars="200"/>
        <w:rPr>
          <w:rFonts w:eastAsia="仿宋_GB2312"/>
          <w:sz w:val="28"/>
          <w:szCs w:val="28"/>
        </w:rPr>
      </w:pPr>
      <w:r>
        <w:rPr>
          <w:rFonts w:eastAsia="仿宋_GB2312"/>
          <w:sz w:val="28"/>
          <w:szCs w:val="28"/>
        </w:rPr>
        <w:t>本项目位于</w:t>
      </w:r>
      <w:r>
        <w:rPr>
          <w:rFonts w:hint="eastAsia" w:eastAsia="仿宋_GB2312"/>
          <w:sz w:val="28"/>
          <w:szCs w:val="28"/>
        </w:rPr>
        <w:t>常州市金坛区红山</w:t>
      </w:r>
      <w:r>
        <w:rPr>
          <w:rFonts w:eastAsia="仿宋_GB2312"/>
          <w:sz w:val="28"/>
          <w:szCs w:val="28"/>
        </w:rPr>
        <w:t>路</w:t>
      </w:r>
      <w:r>
        <w:rPr>
          <w:rFonts w:hint="eastAsia" w:eastAsia="仿宋_GB2312"/>
          <w:sz w:val="28"/>
          <w:szCs w:val="28"/>
        </w:rPr>
        <w:t>29号</w:t>
      </w:r>
      <w:r>
        <w:rPr>
          <w:rFonts w:eastAsia="仿宋_GB2312"/>
          <w:sz w:val="28"/>
          <w:szCs w:val="28"/>
        </w:rPr>
        <w:t>，项目的建设投产繁荣了地区经济、振兴了地区建设，对常州市特别是</w:t>
      </w:r>
      <w:r>
        <w:rPr>
          <w:rFonts w:hint="eastAsia" w:eastAsia="仿宋_GB2312"/>
          <w:sz w:val="28"/>
          <w:szCs w:val="28"/>
        </w:rPr>
        <w:t>金坛区</w:t>
      </w:r>
      <w:r>
        <w:rPr>
          <w:rFonts w:eastAsia="仿宋_GB2312"/>
          <w:sz w:val="28"/>
          <w:szCs w:val="28"/>
        </w:rPr>
        <w:t>的经济建设发展也是有力的推动。</w:t>
      </w:r>
    </w:p>
    <w:p>
      <w:pPr>
        <w:spacing w:line="500" w:lineRule="exact"/>
        <w:ind w:firstLine="560" w:firstLineChars="200"/>
        <w:rPr>
          <w:rFonts w:eastAsia="仿宋_GB2312"/>
          <w:sz w:val="28"/>
          <w:szCs w:val="20"/>
          <w:highlight w:val="yellow"/>
        </w:rPr>
        <w:sectPr>
          <w:headerReference r:id="rId27" w:type="even"/>
          <w:pgSz w:w="11906" w:h="16838"/>
          <w:pgMar w:top="1440" w:right="1800" w:bottom="1440" w:left="1800" w:header="851" w:footer="992" w:gutter="0"/>
          <w:cols w:space="425" w:num="1"/>
          <w:docGrid w:type="lines" w:linePitch="312" w:charSpace="0"/>
        </w:sectPr>
      </w:pPr>
      <w:r>
        <w:rPr>
          <w:rFonts w:eastAsia="仿宋_GB2312"/>
          <w:sz w:val="28"/>
          <w:szCs w:val="28"/>
        </w:rPr>
        <w:t>但同时，项目的建成将带来一定的环境污染，对周围环境有所影响，针对这些污染的存在，要求建设单位必须采取有效的防范和治理措施，力争将污染减少到最小程度，在发展经济的同时保护好环境。</w:t>
      </w:r>
    </w:p>
    <w:bookmarkEnd w:id="424"/>
    <w:bookmarkEnd w:id="425"/>
    <w:bookmarkEnd w:id="426"/>
    <w:bookmarkEnd w:id="427"/>
    <w:bookmarkEnd w:id="428"/>
    <w:bookmarkEnd w:id="429"/>
    <w:bookmarkEnd w:id="430"/>
    <w:bookmarkEnd w:id="431"/>
    <w:bookmarkEnd w:id="432"/>
    <w:bookmarkEnd w:id="433"/>
    <w:p>
      <w:pPr>
        <w:pStyle w:val="2"/>
        <w:numPr>
          <w:ilvl w:val="0"/>
          <w:numId w:val="1"/>
        </w:numPr>
        <w:tabs>
          <w:tab w:val="left" w:pos="284"/>
        </w:tabs>
        <w:spacing w:before="120" w:beforeLines="50" w:after="120" w:afterLines="50" w:line="500" w:lineRule="exact"/>
        <w:ind w:left="0" w:firstLine="0"/>
        <w:rPr>
          <w:rFonts w:eastAsia="仿宋_GB2312"/>
          <w:sz w:val="36"/>
          <w:szCs w:val="36"/>
        </w:rPr>
      </w:pPr>
      <w:bookmarkStart w:id="436" w:name="_Toc154587902"/>
      <w:bookmarkStart w:id="437" w:name="_Toc158425201"/>
      <w:bookmarkStart w:id="438" w:name="_Toc168972819"/>
      <w:bookmarkStart w:id="439" w:name="_Toc327388553"/>
      <w:bookmarkStart w:id="440" w:name="_Toc217105373"/>
      <w:bookmarkStart w:id="441" w:name="_Toc149147492"/>
      <w:bookmarkStart w:id="442" w:name="_Toc169858793"/>
      <w:bookmarkStart w:id="443" w:name="_Toc154585777"/>
      <w:bookmarkStart w:id="444" w:name="_Toc124720396"/>
      <w:bookmarkStart w:id="445" w:name="_Toc140565286"/>
      <w:r>
        <w:rPr>
          <w:rFonts w:eastAsia="仿宋_GB2312"/>
          <w:sz w:val="36"/>
          <w:szCs w:val="36"/>
        </w:rPr>
        <w:t>环境</w:t>
      </w:r>
      <w:bookmarkEnd w:id="436"/>
      <w:bookmarkEnd w:id="437"/>
      <w:bookmarkEnd w:id="438"/>
      <w:bookmarkEnd w:id="439"/>
      <w:bookmarkEnd w:id="440"/>
      <w:bookmarkEnd w:id="441"/>
      <w:bookmarkEnd w:id="442"/>
      <w:bookmarkEnd w:id="443"/>
      <w:bookmarkEnd w:id="444"/>
      <w:r>
        <w:rPr>
          <w:rFonts w:eastAsia="仿宋_GB2312"/>
          <w:sz w:val="36"/>
          <w:szCs w:val="36"/>
        </w:rPr>
        <w:t>管理与监测计划</w:t>
      </w:r>
      <w:bookmarkEnd w:id="445"/>
    </w:p>
    <w:p>
      <w:pPr>
        <w:pStyle w:val="3"/>
        <w:spacing w:before="120" w:after="120"/>
      </w:pPr>
      <w:bookmarkStart w:id="446" w:name="_Toc140565287"/>
      <w:r>
        <w:t>环境管理</w:t>
      </w:r>
      <w:bookmarkEnd w:id="446"/>
    </w:p>
    <w:p>
      <w:pPr>
        <w:pStyle w:val="4"/>
        <w:keepLines w:val="0"/>
        <w:numPr>
          <w:ilvl w:val="2"/>
          <w:numId w:val="1"/>
        </w:numPr>
        <w:tabs>
          <w:tab w:val="left" w:pos="709"/>
        </w:tabs>
        <w:spacing w:before="0" w:after="120" w:afterLines="50" w:line="500" w:lineRule="exact"/>
        <w:ind w:left="0" w:firstLine="0"/>
        <w:rPr>
          <w:rFonts w:eastAsia="仿宋_GB2312"/>
          <w:spacing w:val="6"/>
          <w:sz w:val="28"/>
          <w:szCs w:val="20"/>
        </w:rPr>
      </w:pPr>
      <w:r>
        <w:rPr>
          <w:rFonts w:eastAsia="仿宋_GB2312"/>
          <w:spacing w:val="6"/>
          <w:sz w:val="28"/>
          <w:szCs w:val="20"/>
        </w:rPr>
        <w:t>环境管理要求</w:t>
      </w:r>
    </w:p>
    <w:p>
      <w:pPr>
        <w:spacing w:line="500" w:lineRule="exact"/>
        <w:ind w:firstLine="560" w:firstLineChars="200"/>
        <w:rPr>
          <w:rFonts w:eastAsia="仿宋_GB2312"/>
          <w:sz w:val="28"/>
          <w:szCs w:val="20"/>
        </w:rPr>
      </w:pPr>
      <w:r>
        <w:rPr>
          <w:rFonts w:eastAsia="仿宋_GB2312"/>
          <w:sz w:val="28"/>
          <w:szCs w:val="20"/>
        </w:rPr>
        <w:t>本项目在营运期期将对周围环境产生一定的影响，因此建设单位应加强环境管理，关管理要求见下表。</w:t>
      </w:r>
    </w:p>
    <w:p>
      <w:pPr>
        <w:spacing w:line="500" w:lineRule="exact"/>
        <w:jc w:val="center"/>
        <w:rPr>
          <w:rFonts w:eastAsia="仿宋_GB2312"/>
          <w:b/>
          <w:sz w:val="24"/>
        </w:rPr>
      </w:pPr>
      <w:bookmarkStart w:id="447" w:name="_Ref472458053"/>
      <w:r>
        <w:rPr>
          <w:rFonts w:eastAsia="仿宋_GB2312"/>
          <w:b/>
          <w:sz w:val="24"/>
        </w:rPr>
        <w:t>表</w:t>
      </w:r>
      <w:bookmarkEnd w:id="447"/>
      <w:r>
        <w:rPr>
          <w:rFonts w:eastAsia="仿宋_GB2312"/>
          <w:b/>
          <w:sz w:val="24"/>
        </w:rPr>
        <w:t>8.1-1   运营期环境管理要求</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8"/>
        <w:gridCol w:w="7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79" w:type="pct"/>
            <w:vAlign w:val="center"/>
          </w:tcPr>
          <w:p>
            <w:pPr>
              <w:spacing w:line="240" w:lineRule="exact"/>
              <w:jc w:val="center"/>
              <w:rPr>
                <w:rFonts w:ascii="仿宋" w:hAnsi="仿宋" w:eastAsia="仿宋" w:cs="仿宋"/>
                <w:bCs/>
                <w:szCs w:val="21"/>
              </w:rPr>
            </w:pPr>
            <w:r>
              <w:rPr>
                <w:rFonts w:ascii="仿宋" w:hAnsi="仿宋" w:eastAsia="仿宋" w:cs="仿宋"/>
                <w:bCs/>
                <w:szCs w:val="21"/>
              </w:rPr>
              <w:t>项目</w:t>
            </w:r>
          </w:p>
        </w:tc>
        <w:tc>
          <w:tcPr>
            <w:tcW w:w="4221" w:type="pct"/>
            <w:vAlign w:val="center"/>
          </w:tcPr>
          <w:p>
            <w:pPr>
              <w:spacing w:line="240" w:lineRule="exact"/>
              <w:jc w:val="center"/>
              <w:rPr>
                <w:rFonts w:ascii="仿宋" w:hAnsi="仿宋" w:eastAsia="仿宋" w:cs="仿宋"/>
                <w:bCs/>
                <w:szCs w:val="21"/>
              </w:rPr>
            </w:pPr>
            <w:r>
              <w:rPr>
                <w:rFonts w:ascii="仿宋" w:hAnsi="仿宋" w:eastAsia="仿宋" w:cs="仿宋"/>
                <w:bCs/>
                <w:szCs w:val="21"/>
              </w:rPr>
              <w:t>运营期环境管理要求及内容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pct"/>
            <w:vAlign w:val="center"/>
          </w:tcPr>
          <w:p>
            <w:pPr>
              <w:spacing w:line="240" w:lineRule="exact"/>
              <w:jc w:val="center"/>
              <w:rPr>
                <w:rFonts w:ascii="仿宋" w:hAnsi="仿宋" w:eastAsia="仿宋" w:cs="仿宋"/>
                <w:bCs/>
                <w:szCs w:val="21"/>
              </w:rPr>
            </w:pPr>
            <w:r>
              <w:rPr>
                <w:rFonts w:ascii="仿宋" w:hAnsi="仿宋" w:eastAsia="仿宋" w:cs="仿宋"/>
                <w:bCs/>
                <w:szCs w:val="21"/>
              </w:rPr>
              <w:t>环境管理措施</w:t>
            </w:r>
          </w:p>
        </w:tc>
        <w:tc>
          <w:tcPr>
            <w:tcW w:w="4221" w:type="pct"/>
            <w:vAlign w:val="center"/>
          </w:tcPr>
          <w:p>
            <w:pPr>
              <w:spacing w:line="240" w:lineRule="exact"/>
              <w:rPr>
                <w:rFonts w:ascii="仿宋" w:hAnsi="仿宋" w:eastAsia="仿宋" w:cs="仿宋"/>
                <w:bCs/>
                <w:szCs w:val="21"/>
              </w:rPr>
            </w:pPr>
            <w:r>
              <w:rPr>
                <w:rFonts w:hint="eastAsia" w:ascii="仿宋" w:hAnsi="仿宋" w:eastAsia="仿宋" w:cs="仿宋"/>
                <w:bCs/>
                <w:szCs w:val="21"/>
              </w:rPr>
              <w:t>①</w:t>
            </w:r>
            <w:r>
              <w:rPr>
                <w:rFonts w:ascii="仿宋" w:hAnsi="仿宋" w:eastAsia="仿宋" w:cs="仿宋"/>
                <w:bCs/>
                <w:szCs w:val="21"/>
              </w:rPr>
              <w:t>设立内部环境保护管理机构，专人负责环境保护工作，实行定岗定员，岗位责任制，负责各生产环节的环境保护管理。</w:t>
            </w:r>
          </w:p>
          <w:p>
            <w:pPr>
              <w:spacing w:line="240" w:lineRule="exact"/>
              <w:rPr>
                <w:rFonts w:ascii="仿宋" w:hAnsi="仿宋" w:eastAsia="仿宋" w:cs="仿宋"/>
                <w:bCs/>
                <w:szCs w:val="21"/>
              </w:rPr>
            </w:pPr>
            <w:r>
              <w:rPr>
                <w:rFonts w:hint="eastAsia" w:ascii="仿宋" w:hAnsi="仿宋" w:eastAsia="仿宋" w:cs="仿宋"/>
                <w:bCs/>
                <w:szCs w:val="21"/>
              </w:rPr>
              <w:t>②</w:t>
            </w:r>
            <w:r>
              <w:rPr>
                <w:rFonts w:ascii="仿宋" w:hAnsi="仿宋" w:eastAsia="仿宋" w:cs="仿宋"/>
                <w:bCs/>
                <w:szCs w:val="21"/>
              </w:rPr>
              <w:t>加强对厂内职工的环保宣传、教育工作，制定厂内生产环境管理规章制度要上墙张贴。</w:t>
            </w:r>
            <w:r>
              <w:rPr>
                <w:rFonts w:hint="eastAsia" w:ascii="仿宋" w:hAnsi="仿宋" w:eastAsia="仿宋" w:cs="仿宋"/>
                <w:bCs/>
                <w:szCs w:val="21"/>
              </w:rPr>
              <w:t>③</w:t>
            </w:r>
            <w:r>
              <w:rPr>
                <w:rFonts w:ascii="仿宋" w:hAnsi="仿宋" w:eastAsia="仿宋" w:cs="仿宋"/>
                <w:bCs/>
                <w:szCs w:val="21"/>
              </w:rPr>
              <w:t>各项环保设施的管理纳入到日常管理工作的范畴，落实责任人、操作人员、维修人员，确保运行经费、设备的备品备件和其他原辅材料完善。</w:t>
            </w:r>
          </w:p>
          <w:p>
            <w:pPr>
              <w:spacing w:line="240" w:lineRule="exact"/>
              <w:rPr>
                <w:rFonts w:ascii="仿宋" w:hAnsi="仿宋" w:eastAsia="仿宋" w:cs="仿宋"/>
                <w:bCs/>
                <w:szCs w:val="21"/>
              </w:rPr>
            </w:pPr>
            <w:r>
              <w:rPr>
                <w:rFonts w:hint="eastAsia" w:ascii="仿宋" w:hAnsi="仿宋" w:eastAsia="仿宋" w:cs="仿宋"/>
                <w:bCs/>
                <w:szCs w:val="21"/>
              </w:rPr>
              <w:t>④</w:t>
            </w:r>
            <w:r>
              <w:rPr>
                <w:rFonts w:ascii="仿宋" w:hAnsi="仿宋" w:eastAsia="仿宋" w:cs="仿宋"/>
                <w:bCs/>
                <w:szCs w:val="21"/>
              </w:rPr>
              <w:t>配备1-2名环境管理人员，负责运营期各项环保措施落实、运行情况。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废水</w:t>
            </w:r>
            <w:r>
              <w:rPr>
                <w:rFonts w:ascii="仿宋" w:hAnsi="仿宋" w:eastAsia="仿宋" w:cs="仿宋"/>
                <w:bCs/>
                <w:szCs w:val="21"/>
              </w:rPr>
              <w:t>控制措施</w:t>
            </w:r>
          </w:p>
        </w:tc>
        <w:tc>
          <w:tcPr>
            <w:tcW w:w="4221" w:type="pct"/>
            <w:vAlign w:val="center"/>
          </w:tcPr>
          <w:p>
            <w:pPr>
              <w:spacing w:line="240" w:lineRule="exact"/>
              <w:rPr>
                <w:rFonts w:ascii="仿宋" w:hAnsi="仿宋" w:eastAsia="仿宋" w:cs="仿宋"/>
                <w:bCs/>
                <w:szCs w:val="21"/>
              </w:rPr>
            </w:pPr>
            <w:r>
              <w:rPr>
                <w:rFonts w:ascii="仿宋" w:hAnsi="仿宋" w:eastAsia="仿宋" w:cs="仿宋"/>
                <w:bCs/>
                <w:szCs w:val="21"/>
              </w:rPr>
              <w:t>落实专人负责制度，废水处理设施需由专人维护保养并挂牌明示。做好废水设施的日常运行记录，建立健全管理台帐，了解处理设施的动态信息，确保废水处理设施的正常运行。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pct"/>
            <w:vAlign w:val="center"/>
          </w:tcPr>
          <w:p>
            <w:pPr>
              <w:spacing w:line="240" w:lineRule="exact"/>
              <w:jc w:val="center"/>
              <w:rPr>
                <w:rFonts w:ascii="仿宋" w:hAnsi="仿宋" w:eastAsia="仿宋" w:cs="仿宋"/>
                <w:bCs/>
                <w:szCs w:val="21"/>
              </w:rPr>
            </w:pPr>
            <w:r>
              <w:rPr>
                <w:rFonts w:ascii="仿宋" w:hAnsi="仿宋" w:eastAsia="仿宋" w:cs="仿宋"/>
                <w:bCs/>
                <w:szCs w:val="21"/>
              </w:rPr>
              <w:t>废气控制措施</w:t>
            </w:r>
          </w:p>
        </w:tc>
        <w:tc>
          <w:tcPr>
            <w:tcW w:w="4221" w:type="pct"/>
            <w:vAlign w:val="center"/>
          </w:tcPr>
          <w:p>
            <w:pPr>
              <w:spacing w:line="240" w:lineRule="exact"/>
              <w:rPr>
                <w:rFonts w:ascii="仿宋" w:hAnsi="仿宋" w:eastAsia="仿宋" w:cs="仿宋"/>
                <w:bCs/>
                <w:szCs w:val="21"/>
              </w:rPr>
            </w:pPr>
            <w:r>
              <w:rPr>
                <w:rFonts w:hint="eastAsia" w:ascii="仿宋" w:hAnsi="仿宋" w:eastAsia="仿宋" w:cs="仿宋"/>
                <w:bCs/>
                <w:szCs w:val="21"/>
              </w:rPr>
              <w:t>①</w:t>
            </w:r>
            <w:r>
              <w:rPr>
                <w:rFonts w:ascii="仿宋" w:hAnsi="仿宋" w:eastAsia="仿宋" w:cs="仿宋"/>
                <w:bCs/>
                <w:szCs w:val="21"/>
              </w:rPr>
              <w:t>按照《江苏省排污口设置及规范化整治管理办法》，建设项目废气排放口，废气排气筒高度应符合国家大气污染物排放标准的有关规定，排气筒均应设置便于采样、监测的采样口和采样监测平台，在排气筒附近地面醒目处设置环保图形标志牌，标明排气筒高度、出口内径、排放污染物种类等。</w:t>
            </w:r>
          </w:p>
          <w:p>
            <w:pPr>
              <w:spacing w:line="240" w:lineRule="exact"/>
              <w:rPr>
                <w:rFonts w:ascii="仿宋" w:hAnsi="仿宋" w:eastAsia="仿宋" w:cs="仿宋"/>
                <w:bCs/>
                <w:szCs w:val="21"/>
              </w:rPr>
            </w:pPr>
            <w:r>
              <w:rPr>
                <w:rFonts w:hint="eastAsia" w:ascii="仿宋" w:hAnsi="仿宋" w:eastAsia="仿宋" w:cs="仿宋"/>
                <w:bCs/>
                <w:szCs w:val="21"/>
              </w:rPr>
              <w:t>②</w:t>
            </w:r>
            <w:r>
              <w:rPr>
                <w:rFonts w:ascii="仿宋" w:hAnsi="仿宋" w:eastAsia="仿宋" w:cs="仿宋"/>
                <w:bCs/>
                <w:szCs w:val="21"/>
              </w:rPr>
              <w:t>严格执行安全操作规程和劳动防护制度，建立维检制度，由专人负责定期检查、记录设施情况，定期检修；建立健全岗位责任制、制定正确的操作规程、建立管理台账。</w:t>
            </w:r>
          </w:p>
          <w:p>
            <w:pPr>
              <w:spacing w:line="240" w:lineRule="exact"/>
              <w:rPr>
                <w:rFonts w:ascii="仿宋" w:hAnsi="仿宋" w:eastAsia="仿宋" w:cs="仿宋"/>
                <w:bCs/>
                <w:szCs w:val="21"/>
              </w:rPr>
            </w:pPr>
            <w:r>
              <w:rPr>
                <w:rFonts w:hint="eastAsia" w:ascii="仿宋" w:hAnsi="仿宋" w:eastAsia="仿宋" w:cs="仿宋"/>
                <w:bCs/>
                <w:szCs w:val="21"/>
              </w:rPr>
              <w:t>③</w:t>
            </w:r>
            <w:r>
              <w:rPr>
                <w:rFonts w:ascii="仿宋" w:hAnsi="仿宋" w:eastAsia="仿宋" w:cs="仿宋"/>
                <w:bCs/>
                <w:szCs w:val="21"/>
              </w:rPr>
              <w:t>废气净化装置排放口定期进行定期监测。</w:t>
            </w:r>
          </w:p>
          <w:p>
            <w:pPr>
              <w:spacing w:line="240" w:lineRule="exact"/>
              <w:rPr>
                <w:rFonts w:ascii="仿宋" w:hAnsi="仿宋" w:eastAsia="仿宋" w:cs="仿宋"/>
                <w:bCs/>
                <w:szCs w:val="21"/>
              </w:rPr>
            </w:pPr>
            <w:r>
              <w:rPr>
                <w:rFonts w:hint="eastAsia" w:ascii="仿宋" w:hAnsi="仿宋" w:eastAsia="仿宋" w:cs="仿宋"/>
                <w:bCs/>
                <w:szCs w:val="21"/>
              </w:rPr>
              <w:t>④废气</w:t>
            </w:r>
            <w:r>
              <w:rPr>
                <w:rFonts w:ascii="仿宋" w:hAnsi="仿宋" w:eastAsia="仿宋" w:cs="仿宋"/>
                <w:bCs/>
                <w:szCs w:val="21"/>
              </w:rPr>
              <w:t>处理设施均应安装电力监控。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pct"/>
            <w:vAlign w:val="center"/>
          </w:tcPr>
          <w:p>
            <w:pPr>
              <w:spacing w:line="240" w:lineRule="exact"/>
              <w:jc w:val="center"/>
              <w:rPr>
                <w:rFonts w:ascii="仿宋" w:hAnsi="仿宋" w:eastAsia="仿宋" w:cs="仿宋"/>
                <w:bCs/>
                <w:szCs w:val="21"/>
              </w:rPr>
            </w:pPr>
            <w:r>
              <w:rPr>
                <w:rFonts w:ascii="仿宋" w:hAnsi="仿宋" w:eastAsia="仿宋" w:cs="仿宋"/>
                <w:bCs/>
                <w:szCs w:val="21"/>
              </w:rPr>
              <w:t>噪声控制措施</w:t>
            </w:r>
          </w:p>
        </w:tc>
        <w:tc>
          <w:tcPr>
            <w:tcW w:w="4221" w:type="pct"/>
            <w:vAlign w:val="center"/>
          </w:tcPr>
          <w:p>
            <w:pPr>
              <w:spacing w:line="240" w:lineRule="exact"/>
              <w:rPr>
                <w:rFonts w:ascii="仿宋" w:hAnsi="仿宋" w:eastAsia="仿宋" w:cs="仿宋"/>
                <w:bCs/>
                <w:szCs w:val="21"/>
              </w:rPr>
            </w:pPr>
            <w:r>
              <w:rPr>
                <w:rFonts w:hint="eastAsia" w:ascii="仿宋" w:hAnsi="仿宋" w:eastAsia="仿宋" w:cs="仿宋"/>
                <w:bCs/>
                <w:szCs w:val="21"/>
              </w:rPr>
              <w:t>①</w:t>
            </w:r>
            <w:r>
              <w:rPr>
                <w:rFonts w:ascii="仿宋" w:hAnsi="仿宋" w:eastAsia="仿宋" w:cs="仿宋"/>
                <w:bCs/>
                <w:szCs w:val="21"/>
              </w:rPr>
              <w:t>固定噪声污染源对边界影响最大处，设置噪声监测点，同时设置标志牌。</w:t>
            </w:r>
          </w:p>
          <w:p>
            <w:pPr>
              <w:spacing w:line="240" w:lineRule="exact"/>
              <w:rPr>
                <w:rFonts w:ascii="仿宋" w:hAnsi="仿宋" w:eastAsia="仿宋" w:cs="仿宋"/>
                <w:bCs/>
                <w:szCs w:val="21"/>
              </w:rPr>
            </w:pPr>
            <w:r>
              <w:rPr>
                <w:rFonts w:hint="eastAsia" w:ascii="仿宋" w:hAnsi="仿宋" w:eastAsia="仿宋" w:cs="仿宋"/>
                <w:bCs/>
                <w:szCs w:val="21"/>
              </w:rPr>
              <w:t>②</w:t>
            </w:r>
            <w:r>
              <w:rPr>
                <w:rFonts w:ascii="仿宋" w:hAnsi="仿宋" w:eastAsia="仿宋" w:cs="仿宋"/>
                <w:bCs/>
                <w:szCs w:val="21"/>
              </w:rPr>
              <w:t>合理布局，尽可能将噪声设备集中布置、集中管理，在主体建筑设计中，墙体要采取隔声、吸声效果好的建筑材料，采用隔声门窗；并充分利用距离衰减。</w:t>
            </w:r>
          </w:p>
          <w:p>
            <w:pPr>
              <w:spacing w:line="240" w:lineRule="exact"/>
              <w:rPr>
                <w:rFonts w:ascii="仿宋" w:hAnsi="仿宋" w:eastAsia="仿宋" w:cs="仿宋"/>
                <w:bCs/>
                <w:szCs w:val="21"/>
              </w:rPr>
            </w:pPr>
            <w:r>
              <w:rPr>
                <w:rFonts w:hint="eastAsia" w:ascii="仿宋" w:hAnsi="仿宋" w:eastAsia="仿宋" w:cs="仿宋"/>
                <w:bCs/>
                <w:szCs w:val="21"/>
              </w:rPr>
              <w:t>③</w:t>
            </w:r>
            <w:r>
              <w:rPr>
                <w:rFonts w:ascii="仿宋" w:hAnsi="仿宋" w:eastAsia="仿宋" w:cs="仿宋"/>
                <w:bCs/>
                <w:szCs w:val="21"/>
              </w:rPr>
              <w:t>选用低噪声设备，在设备运行时，加强设备维修与日常保养，使之正常运转。</w:t>
            </w:r>
          </w:p>
          <w:p>
            <w:pPr>
              <w:spacing w:line="240" w:lineRule="exact"/>
              <w:rPr>
                <w:rFonts w:ascii="仿宋" w:hAnsi="仿宋" w:eastAsia="仿宋" w:cs="仿宋"/>
                <w:bCs/>
                <w:szCs w:val="21"/>
              </w:rPr>
            </w:pPr>
            <w:r>
              <w:rPr>
                <w:rFonts w:hint="eastAsia" w:ascii="仿宋" w:hAnsi="仿宋" w:eastAsia="仿宋" w:cs="仿宋"/>
                <w:bCs/>
                <w:szCs w:val="21"/>
              </w:rPr>
              <w:t>④</w:t>
            </w:r>
            <w:r>
              <w:rPr>
                <w:rFonts w:ascii="仿宋" w:hAnsi="仿宋" w:eastAsia="仿宋" w:cs="仿宋"/>
                <w:bCs/>
                <w:szCs w:val="21"/>
              </w:rPr>
              <w:t>较大的噪声源在设备安装时，须对噪声源进行屏蔽、隔声、减振、消声，以控制厂界噪声的达标排放。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779" w:type="pct"/>
            <w:vAlign w:val="center"/>
          </w:tcPr>
          <w:p>
            <w:pPr>
              <w:spacing w:line="240" w:lineRule="exact"/>
              <w:jc w:val="center"/>
              <w:rPr>
                <w:rFonts w:ascii="仿宋" w:hAnsi="仿宋" w:eastAsia="仿宋" w:cs="仿宋"/>
                <w:bCs/>
                <w:szCs w:val="21"/>
              </w:rPr>
            </w:pPr>
            <w:r>
              <w:rPr>
                <w:rFonts w:ascii="仿宋" w:hAnsi="仿宋" w:eastAsia="仿宋" w:cs="仿宋"/>
                <w:bCs/>
                <w:szCs w:val="21"/>
              </w:rPr>
              <w:t>固废处理措施</w:t>
            </w:r>
          </w:p>
        </w:tc>
        <w:tc>
          <w:tcPr>
            <w:tcW w:w="4221" w:type="pct"/>
            <w:vAlign w:val="center"/>
          </w:tcPr>
          <w:p>
            <w:pPr>
              <w:spacing w:line="240" w:lineRule="exact"/>
              <w:rPr>
                <w:rFonts w:ascii="仿宋" w:hAnsi="仿宋" w:eastAsia="仿宋" w:cs="仿宋"/>
                <w:bCs/>
                <w:szCs w:val="21"/>
              </w:rPr>
            </w:pPr>
            <w:r>
              <w:rPr>
                <w:rFonts w:hint="eastAsia" w:ascii="仿宋" w:hAnsi="仿宋" w:eastAsia="仿宋" w:cs="仿宋"/>
                <w:bCs/>
                <w:szCs w:val="21"/>
              </w:rPr>
              <w:t>①</w:t>
            </w:r>
            <w:r>
              <w:rPr>
                <w:rFonts w:ascii="仿宋" w:hAnsi="仿宋" w:eastAsia="仿宋" w:cs="仿宋"/>
                <w:bCs/>
                <w:szCs w:val="21"/>
              </w:rPr>
              <w:t>危险废物在厂区暂存，按照《危险废物贮存污染控制标准》(GB18597-2023) 建设，按照《环境保护图形标志—固体废物贮存（处置场）》（GB15562.2-1995）中的要求设置环境保护图形标志。</w:t>
            </w:r>
          </w:p>
          <w:p>
            <w:pPr>
              <w:spacing w:line="240" w:lineRule="exact"/>
              <w:rPr>
                <w:rFonts w:ascii="仿宋" w:hAnsi="仿宋" w:eastAsia="仿宋" w:cs="仿宋"/>
                <w:bCs/>
                <w:szCs w:val="21"/>
              </w:rPr>
            </w:pPr>
            <w:r>
              <w:rPr>
                <w:rFonts w:hint="eastAsia" w:ascii="仿宋" w:hAnsi="仿宋" w:eastAsia="仿宋" w:cs="仿宋"/>
                <w:bCs/>
                <w:szCs w:val="21"/>
              </w:rPr>
              <w:t>②</w:t>
            </w:r>
            <w:r>
              <w:rPr>
                <w:rFonts w:ascii="仿宋" w:hAnsi="仿宋" w:eastAsia="仿宋" w:cs="仿宋"/>
                <w:bCs/>
                <w:szCs w:val="21"/>
              </w:rPr>
              <w:t>项目所有危险废物均委托有资质单位无害化处置，不得给环境带来二次污染；生活垃圾集中收集，及时运出。</w:t>
            </w:r>
          </w:p>
        </w:tc>
      </w:tr>
    </w:tbl>
    <w:p>
      <w:pPr>
        <w:pStyle w:val="4"/>
        <w:keepLines w:val="0"/>
        <w:numPr>
          <w:ilvl w:val="2"/>
          <w:numId w:val="1"/>
        </w:numPr>
        <w:tabs>
          <w:tab w:val="left" w:pos="709"/>
        </w:tabs>
        <w:spacing w:before="0" w:after="120" w:afterLines="50" w:line="500" w:lineRule="exact"/>
        <w:ind w:left="0" w:firstLine="0"/>
        <w:rPr>
          <w:rFonts w:eastAsia="仿宋_GB2312"/>
        </w:rPr>
      </w:pPr>
      <w:r>
        <w:rPr>
          <w:rFonts w:eastAsia="仿宋_GB2312"/>
        </w:rPr>
        <w:br w:type="page"/>
      </w:r>
      <w:r>
        <w:rPr>
          <w:rFonts w:eastAsia="仿宋_GB2312"/>
          <w:spacing w:val="6"/>
          <w:sz w:val="28"/>
          <w:szCs w:val="20"/>
        </w:rPr>
        <w:t>污染物排放管理</w:t>
      </w:r>
    </w:p>
    <w:p>
      <w:pPr>
        <w:spacing w:line="480" w:lineRule="exact"/>
        <w:ind w:firstLine="562" w:firstLineChars="200"/>
        <w:rPr>
          <w:rFonts w:eastAsia="仿宋_GB2312"/>
          <w:b/>
          <w:sz w:val="28"/>
          <w:szCs w:val="20"/>
        </w:rPr>
      </w:pPr>
      <w:r>
        <w:rPr>
          <w:rFonts w:eastAsia="仿宋_GB2312"/>
          <w:b/>
          <w:sz w:val="28"/>
          <w:szCs w:val="20"/>
        </w:rPr>
        <w:t>一、总量控制指标</w:t>
      </w:r>
    </w:p>
    <w:p>
      <w:pPr>
        <w:spacing w:line="480" w:lineRule="exact"/>
        <w:ind w:firstLine="560" w:firstLineChars="200"/>
        <w:rPr>
          <w:rFonts w:eastAsia="仿宋_GB2312"/>
          <w:sz w:val="28"/>
          <w:szCs w:val="20"/>
        </w:rPr>
      </w:pPr>
      <w:r>
        <w:rPr>
          <w:rFonts w:eastAsia="仿宋_GB2312"/>
          <w:sz w:val="28"/>
          <w:szCs w:val="20"/>
        </w:rPr>
        <w:t>根据本项目的排污特点和江苏省污染物排放总量控制要求，确定本项目污染物总量控制因子为：</w:t>
      </w:r>
    </w:p>
    <w:p>
      <w:pPr>
        <w:pStyle w:val="46"/>
        <w:tabs>
          <w:tab w:val="clear" w:pos="432"/>
        </w:tabs>
        <w:spacing w:line="500" w:lineRule="exact"/>
        <w:ind w:left="0" w:firstLine="560" w:firstLineChars="200"/>
        <w:rPr>
          <w:rFonts w:eastAsia="仿宋_GB2312"/>
          <w:sz w:val="28"/>
          <w:szCs w:val="28"/>
        </w:rPr>
      </w:pPr>
      <w:r>
        <w:rPr>
          <w:rFonts w:eastAsia="仿宋_GB2312"/>
          <w:sz w:val="28"/>
          <w:szCs w:val="28"/>
        </w:rPr>
        <w:t>水：COD、NH</w:t>
      </w:r>
      <w:r>
        <w:rPr>
          <w:rFonts w:eastAsia="仿宋_GB2312"/>
          <w:sz w:val="28"/>
          <w:szCs w:val="28"/>
          <w:vertAlign w:val="subscript"/>
        </w:rPr>
        <w:t>3</w:t>
      </w:r>
      <w:r>
        <w:rPr>
          <w:rFonts w:eastAsia="仿宋_GB2312"/>
          <w:sz w:val="28"/>
          <w:szCs w:val="28"/>
        </w:rPr>
        <w:t>-N</w:t>
      </w:r>
    </w:p>
    <w:p>
      <w:pPr>
        <w:pStyle w:val="46"/>
        <w:tabs>
          <w:tab w:val="clear" w:pos="432"/>
        </w:tabs>
        <w:spacing w:line="500" w:lineRule="exact"/>
        <w:ind w:left="0" w:firstLine="560" w:firstLineChars="200"/>
        <w:rPr>
          <w:rFonts w:eastAsia="仿宋_GB2312"/>
          <w:sz w:val="28"/>
          <w:szCs w:val="28"/>
        </w:rPr>
      </w:pPr>
      <w:r>
        <w:rPr>
          <w:rFonts w:eastAsia="仿宋_GB2312"/>
          <w:sz w:val="28"/>
          <w:szCs w:val="28"/>
        </w:rPr>
        <w:t>废气：</w:t>
      </w:r>
      <w:r>
        <w:rPr>
          <w:rFonts w:hint="eastAsia" w:eastAsia="仿宋_GB2312"/>
          <w:sz w:val="28"/>
          <w:szCs w:val="28"/>
        </w:rPr>
        <w:t>颗粒物</w:t>
      </w:r>
      <w:r>
        <w:rPr>
          <w:rFonts w:eastAsia="仿宋_GB2312"/>
          <w:sz w:val="28"/>
          <w:szCs w:val="28"/>
        </w:rPr>
        <w:t>、VOCs</w:t>
      </w:r>
      <w:r>
        <w:rPr>
          <w:rFonts w:hint="eastAsia" w:eastAsia="仿宋_GB2312"/>
          <w:sz w:val="28"/>
          <w:szCs w:val="28"/>
        </w:rPr>
        <w:t>、SO</w:t>
      </w:r>
      <w:r>
        <w:rPr>
          <w:rFonts w:hint="eastAsia" w:eastAsia="仿宋_GB2312"/>
          <w:sz w:val="28"/>
          <w:szCs w:val="28"/>
          <w:vertAlign w:val="subscript"/>
        </w:rPr>
        <w:t>2</w:t>
      </w:r>
      <w:r>
        <w:rPr>
          <w:rFonts w:hint="eastAsia" w:eastAsia="仿宋_GB2312"/>
          <w:sz w:val="28"/>
          <w:szCs w:val="28"/>
        </w:rPr>
        <w:t>、NO</w:t>
      </w:r>
      <w:r>
        <w:rPr>
          <w:rFonts w:hint="eastAsia" w:eastAsia="仿宋_GB2312"/>
          <w:sz w:val="28"/>
          <w:szCs w:val="28"/>
          <w:vertAlign w:val="subscript"/>
        </w:rPr>
        <w:t>X</w:t>
      </w:r>
    </w:p>
    <w:p>
      <w:pPr>
        <w:pStyle w:val="46"/>
        <w:tabs>
          <w:tab w:val="clear" w:pos="432"/>
        </w:tabs>
        <w:spacing w:line="500" w:lineRule="exact"/>
        <w:ind w:left="0" w:firstLine="560" w:firstLineChars="200"/>
        <w:rPr>
          <w:rFonts w:eastAsia="仿宋_GB2312"/>
          <w:sz w:val="28"/>
          <w:szCs w:val="28"/>
        </w:rPr>
        <w:sectPr>
          <w:footerReference r:id="rId29" w:type="default"/>
          <w:headerReference r:id="rId28" w:type="even"/>
          <w:footerReference r:id="rId30" w:type="even"/>
          <w:pgSz w:w="11906" w:h="16838"/>
          <w:pgMar w:top="1440" w:right="1800" w:bottom="1440" w:left="1800" w:header="851" w:footer="992" w:gutter="0"/>
          <w:cols w:space="425" w:num="1"/>
          <w:docGrid w:linePitch="312" w:charSpace="0"/>
        </w:sectPr>
      </w:pPr>
      <w:r>
        <w:rPr>
          <w:rFonts w:eastAsia="仿宋_GB2312"/>
          <w:sz w:val="28"/>
          <w:szCs w:val="28"/>
        </w:rPr>
        <w:t>固废：工业固废</w:t>
      </w:r>
    </w:p>
    <w:p>
      <w:pPr>
        <w:spacing w:line="480" w:lineRule="exact"/>
        <w:ind w:firstLine="560" w:firstLineChars="200"/>
        <w:rPr>
          <w:rFonts w:eastAsia="仿宋_GB2312"/>
          <w:sz w:val="28"/>
          <w:szCs w:val="20"/>
        </w:rPr>
      </w:pPr>
      <w:r>
        <w:rPr>
          <w:rFonts w:eastAsia="仿宋_GB2312"/>
          <w:sz w:val="28"/>
          <w:szCs w:val="20"/>
        </w:rPr>
        <w:t>本项目污染物排放总量见下表。</w:t>
      </w:r>
    </w:p>
    <w:p>
      <w:pPr>
        <w:spacing w:line="480" w:lineRule="exact"/>
        <w:jc w:val="center"/>
        <w:rPr>
          <w:rFonts w:eastAsia="仿宋_GB2312"/>
          <w:b/>
          <w:sz w:val="24"/>
        </w:rPr>
      </w:pPr>
      <w:r>
        <w:rPr>
          <w:rFonts w:eastAsia="仿宋_GB2312"/>
          <w:b/>
          <w:sz w:val="24"/>
        </w:rPr>
        <w:t>表8.1-2  污染物总量控制指标（t/a）</w:t>
      </w:r>
    </w:p>
    <w:tbl>
      <w:tblPr>
        <w:tblStyle w:val="87"/>
        <w:tblW w:w="477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
        <w:gridCol w:w="513"/>
        <w:gridCol w:w="1615"/>
        <w:gridCol w:w="982"/>
        <w:gridCol w:w="1303"/>
        <w:gridCol w:w="1225"/>
        <w:gridCol w:w="2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583" w:type="pct"/>
            <w:gridSpan w:val="2"/>
            <w:vAlign w:val="center"/>
          </w:tcPr>
          <w:p>
            <w:pPr>
              <w:spacing w:line="240" w:lineRule="exact"/>
              <w:jc w:val="center"/>
              <w:rPr>
                <w:rFonts w:ascii="仿宋" w:hAnsi="仿宋" w:eastAsia="仿宋" w:cs="仿宋"/>
                <w:bCs/>
                <w:szCs w:val="21"/>
              </w:rPr>
            </w:pPr>
            <w:r>
              <w:rPr>
                <w:rFonts w:ascii="仿宋" w:hAnsi="仿宋" w:eastAsia="仿宋" w:cs="仿宋"/>
                <w:bCs/>
                <w:szCs w:val="21"/>
              </w:rPr>
              <w:t>种类</w:t>
            </w:r>
          </w:p>
        </w:tc>
        <w:tc>
          <w:tcPr>
            <w:tcW w:w="992" w:type="pct"/>
            <w:vAlign w:val="center"/>
          </w:tcPr>
          <w:p>
            <w:pPr>
              <w:spacing w:line="240" w:lineRule="exact"/>
              <w:jc w:val="center"/>
              <w:rPr>
                <w:rFonts w:ascii="仿宋" w:hAnsi="仿宋" w:eastAsia="仿宋" w:cs="仿宋"/>
                <w:bCs/>
                <w:szCs w:val="21"/>
              </w:rPr>
            </w:pPr>
            <w:r>
              <w:rPr>
                <w:rFonts w:ascii="仿宋" w:hAnsi="仿宋" w:eastAsia="仿宋" w:cs="仿宋"/>
                <w:bCs/>
                <w:szCs w:val="21"/>
              </w:rPr>
              <w:t>污染物名称</w:t>
            </w:r>
          </w:p>
        </w:tc>
        <w:tc>
          <w:tcPr>
            <w:tcW w:w="603" w:type="pct"/>
            <w:vAlign w:val="center"/>
          </w:tcPr>
          <w:p>
            <w:pPr>
              <w:spacing w:line="240" w:lineRule="exact"/>
              <w:jc w:val="center"/>
              <w:rPr>
                <w:rFonts w:ascii="仿宋" w:hAnsi="仿宋" w:eastAsia="仿宋" w:cs="仿宋"/>
                <w:bCs/>
                <w:szCs w:val="21"/>
              </w:rPr>
            </w:pPr>
            <w:r>
              <w:rPr>
                <w:rFonts w:ascii="仿宋" w:hAnsi="仿宋" w:eastAsia="仿宋" w:cs="仿宋"/>
                <w:bCs/>
                <w:szCs w:val="21"/>
              </w:rPr>
              <w:t>产生量</w:t>
            </w:r>
          </w:p>
        </w:tc>
        <w:tc>
          <w:tcPr>
            <w:tcW w:w="800" w:type="pct"/>
            <w:vAlign w:val="center"/>
          </w:tcPr>
          <w:p>
            <w:pPr>
              <w:spacing w:line="240" w:lineRule="exact"/>
              <w:jc w:val="center"/>
              <w:rPr>
                <w:rFonts w:ascii="仿宋" w:hAnsi="仿宋" w:eastAsia="仿宋" w:cs="仿宋"/>
                <w:bCs/>
                <w:szCs w:val="21"/>
              </w:rPr>
            </w:pPr>
            <w:r>
              <w:rPr>
                <w:rFonts w:ascii="仿宋" w:hAnsi="仿宋" w:eastAsia="仿宋" w:cs="仿宋"/>
                <w:bCs/>
                <w:szCs w:val="21"/>
              </w:rPr>
              <w:t>削减量</w:t>
            </w:r>
          </w:p>
        </w:tc>
        <w:tc>
          <w:tcPr>
            <w:tcW w:w="752" w:type="pct"/>
            <w:vAlign w:val="center"/>
          </w:tcPr>
          <w:p>
            <w:pPr>
              <w:spacing w:line="240" w:lineRule="exact"/>
              <w:jc w:val="center"/>
              <w:rPr>
                <w:rFonts w:ascii="仿宋" w:hAnsi="仿宋" w:eastAsia="仿宋" w:cs="仿宋"/>
                <w:bCs/>
                <w:szCs w:val="21"/>
              </w:rPr>
            </w:pPr>
            <w:r>
              <w:rPr>
                <w:rFonts w:ascii="仿宋" w:hAnsi="仿宋" w:eastAsia="仿宋" w:cs="仿宋"/>
                <w:bCs/>
                <w:szCs w:val="21"/>
              </w:rPr>
              <w:t>排放量</w:t>
            </w:r>
          </w:p>
        </w:tc>
        <w:tc>
          <w:tcPr>
            <w:tcW w:w="1270"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排入外环境量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3" w:type="pct"/>
            <w:gridSpan w:val="2"/>
            <w:vMerge w:val="restart"/>
            <w:vAlign w:val="center"/>
          </w:tcPr>
          <w:p>
            <w:pPr>
              <w:spacing w:line="240" w:lineRule="exact"/>
              <w:jc w:val="center"/>
              <w:rPr>
                <w:rFonts w:ascii="仿宋" w:hAnsi="仿宋" w:eastAsia="仿宋" w:cs="仿宋"/>
                <w:bCs/>
                <w:szCs w:val="21"/>
              </w:rPr>
            </w:pPr>
            <w:r>
              <w:rPr>
                <w:rFonts w:ascii="仿宋" w:hAnsi="仿宋" w:eastAsia="仿宋" w:cs="仿宋"/>
                <w:bCs/>
                <w:szCs w:val="21"/>
              </w:rPr>
              <w:t>污水（接管量）</w:t>
            </w:r>
          </w:p>
        </w:tc>
        <w:tc>
          <w:tcPr>
            <w:tcW w:w="992" w:type="pct"/>
            <w:vAlign w:val="center"/>
          </w:tcPr>
          <w:p>
            <w:pPr>
              <w:spacing w:line="240" w:lineRule="exact"/>
              <w:jc w:val="center"/>
              <w:rPr>
                <w:rFonts w:ascii="仿宋" w:hAnsi="仿宋" w:eastAsia="仿宋" w:cs="仿宋"/>
                <w:bCs/>
                <w:szCs w:val="21"/>
              </w:rPr>
            </w:pPr>
            <w:r>
              <w:rPr>
                <w:rFonts w:ascii="仿宋" w:hAnsi="仿宋" w:eastAsia="仿宋" w:cs="仿宋"/>
                <w:bCs/>
                <w:szCs w:val="21"/>
              </w:rPr>
              <w:t>污水量</w:t>
            </w:r>
          </w:p>
        </w:tc>
        <w:tc>
          <w:tcPr>
            <w:tcW w:w="603" w:type="pct"/>
            <w:vAlign w:val="center"/>
          </w:tcPr>
          <w:p>
            <w:pPr>
              <w:widowControl/>
              <w:jc w:val="center"/>
              <w:rPr>
                <w:rFonts w:ascii="仿宋" w:hAnsi="仿宋" w:eastAsia="仿宋" w:cs="仿宋"/>
                <w:bCs/>
                <w:szCs w:val="21"/>
              </w:rPr>
            </w:pPr>
            <w:r>
              <w:rPr>
                <w:rFonts w:hint="eastAsia"/>
                <w:kern w:val="0"/>
                <w:szCs w:val="21"/>
              </w:rPr>
              <w:t>1080</w:t>
            </w:r>
          </w:p>
        </w:tc>
        <w:tc>
          <w:tcPr>
            <w:tcW w:w="800" w:type="pct"/>
            <w:vAlign w:val="center"/>
          </w:tcPr>
          <w:p>
            <w:pPr>
              <w:widowControl/>
              <w:jc w:val="center"/>
              <w:rPr>
                <w:rFonts w:ascii="仿宋" w:hAnsi="仿宋" w:eastAsia="仿宋" w:cs="仿宋"/>
                <w:bCs/>
                <w:szCs w:val="21"/>
              </w:rPr>
            </w:pPr>
            <w:r>
              <w:rPr>
                <w:rFonts w:hint="eastAsia"/>
                <w:kern w:val="0"/>
                <w:szCs w:val="21"/>
              </w:rPr>
              <w:t>0</w:t>
            </w:r>
          </w:p>
        </w:tc>
        <w:tc>
          <w:tcPr>
            <w:tcW w:w="752" w:type="pct"/>
            <w:vAlign w:val="center"/>
          </w:tcPr>
          <w:p>
            <w:pPr>
              <w:widowControl/>
              <w:jc w:val="center"/>
              <w:rPr>
                <w:rFonts w:ascii="仿宋" w:hAnsi="仿宋" w:eastAsia="仿宋" w:cs="仿宋"/>
                <w:bCs/>
                <w:szCs w:val="21"/>
              </w:rPr>
            </w:pPr>
            <w:r>
              <w:rPr>
                <w:rFonts w:hint="eastAsia"/>
                <w:kern w:val="0"/>
                <w:szCs w:val="21"/>
              </w:rPr>
              <w:t>1080</w:t>
            </w:r>
          </w:p>
        </w:tc>
        <w:tc>
          <w:tcPr>
            <w:tcW w:w="1270"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3" w:type="pct"/>
            <w:gridSpan w:val="2"/>
            <w:vMerge w:val="continue"/>
            <w:vAlign w:val="center"/>
          </w:tcPr>
          <w:p>
            <w:pPr>
              <w:spacing w:line="240" w:lineRule="exact"/>
              <w:jc w:val="center"/>
              <w:rPr>
                <w:rFonts w:ascii="仿宋" w:hAnsi="仿宋" w:eastAsia="仿宋" w:cs="仿宋"/>
                <w:bCs/>
                <w:szCs w:val="21"/>
              </w:rPr>
            </w:pPr>
          </w:p>
        </w:tc>
        <w:tc>
          <w:tcPr>
            <w:tcW w:w="992" w:type="pct"/>
            <w:vAlign w:val="center"/>
          </w:tcPr>
          <w:p>
            <w:pPr>
              <w:widowControl/>
              <w:spacing w:line="240" w:lineRule="exact"/>
              <w:jc w:val="center"/>
              <w:rPr>
                <w:rFonts w:ascii="仿宋" w:hAnsi="仿宋" w:eastAsia="仿宋" w:cs="仿宋"/>
                <w:bCs/>
                <w:szCs w:val="21"/>
              </w:rPr>
            </w:pPr>
            <w:r>
              <w:rPr>
                <w:rFonts w:ascii="仿宋" w:hAnsi="仿宋" w:eastAsia="仿宋" w:cs="仿宋"/>
                <w:bCs/>
                <w:szCs w:val="21"/>
              </w:rPr>
              <w:t>COD</w:t>
            </w:r>
          </w:p>
        </w:tc>
        <w:tc>
          <w:tcPr>
            <w:tcW w:w="603" w:type="pct"/>
            <w:vAlign w:val="center"/>
          </w:tcPr>
          <w:p>
            <w:pPr>
              <w:adjustRightInd w:val="0"/>
              <w:snapToGrid w:val="0"/>
              <w:spacing w:line="240" w:lineRule="exact"/>
              <w:jc w:val="center"/>
              <w:rPr>
                <w:rFonts w:ascii="仿宋" w:hAnsi="仿宋" w:eastAsia="仿宋" w:cs="仿宋"/>
                <w:bCs/>
                <w:szCs w:val="21"/>
              </w:rPr>
            </w:pPr>
            <w:r>
              <w:rPr>
                <w:rFonts w:ascii="仿宋" w:hAnsi="仿宋" w:eastAsia="仿宋" w:cs="仿宋"/>
                <w:bCs/>
                <w:szCs w:val="21"/>
              </w:rPr>
              <w:t>0.43</w:t>
            </w:r>
          </w:p>
        </w:tc>
        <w:tc>
          <w:tcPr>
            <w:tcW w:w="800" w:type="pct"/>
            <w:vAlign w:val="center"/>
          </w:tcPr>
          <w:p>
            <w:pPr>
              <w:widowControl/>
              <w:jc w:val="center"/>
              <w:rPr>
                <w:rFonts w:ascii="仿宋" w:hAnsi="仿宋" w:eastAsia="仿宋" w:cs="仿宋"/>
                <w:bCs/>
                <w:szCs w:val="21"/>
              </w:rPr>
            </w:pPr>
            <w:r>
              <w:rPr>
                <w:rFonts w:hint="eastAsia"/>
                <w:kern w:val="0"/>
                <w:szCs w:val="21"/>
              </w:rPr>
              <w:t>0</w:t>
            </w:r>
          </w:p>
        </w:tc>
        <w:tc>
          <w:tcPr>
            <w:tcW w:w="752" w:type="pct"/>
            <w:vAlign w:val="center"/>
          </w:tcPr>
          <w:p>
            <w:pPr>
              <w:adjustRightInd w:val="0"/>
              <w:snapToGrid w:val="0"/>
              <w:spacing w:line="240" w:lineRule="exact"/>
              <w:jc w:val="center"/>
              <w:rPr>
                <w:rFonts w:ascii="仿宋" w:hAnsi="仿宋" w:eastAsia="仿宋" w:cs="仿宋"/>
                <w:bCs/>
                <w:szCs w:val="21"/>
              </w:rPr>
            </w:pPr>
            <w:r>
              <w:rPr>
                <w:rFonts w:ascii="仿宋" w:hAnsi="仿宋" w:eastAsia="仿宋" w:cs="仿宋"/>
                <w:bCs/>
                <w:szCs w:val="21"/>
              </w:rPr>
              <w:t>0.43</w:t>
            </w:r>
          </w:p>
        </w:tc>
        <w:tc>
          <w:tcPr>
            <w:tcW w:w="1270" w:type="pct"/>
            <w:vAlign w:val="center"/>
          </w:tcPr>
          <w:p>
            <w:pPr>
              <w:widowControl/>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0</w:t>
            </w:r>
            <w:r>
              <w:rPr>
                <w:rFonts w:hint="eastAsia" w:ascii="仿宋" w:hAnsi="仿宋" w:eastAsia="仿宋" w:cs="仿宋"/>
                <w:bCs/>
                <w:szCs w:val="21"/>
              </w:rPr>
              <w:t>5</w:t>
            </w:r>
            <w:r>
              <w:rPr>
                <w:rFonts w:ascii="仿宋" w:hAnsi="仿宋" w:eastAsia="仿宋" w:cs="仿宋"/>
                <w:bCs/>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3" w:type="pct"/>
            <w:gridSpan w:val="2"/>
            <w:vMerge w:val="continue"/>
            <w:vAlign w:val="center"/>
          </w:tcPr>
          <w:p>
            <w:pPr>
              <w:spacing w:line="240" w:lineRule="exact"/>
              <w:jc w:val="center"/>
              <w:rPr>
                <w:rFonts w:ascii="仿宋" w:hAnsi="仿宋" w:eastAsia="仿宋" w:cs="仿宋"/>
                <w:bCs/>
                <w:szCs w:val="21"/>
              </w:rPr>
            </w:pPr>
          </w:p>
        </w:tc>
        <w:tc>
          <w:tcPr>
            <w:tcW w:w="992" w:type="pct"/>
            <w:vAlign w:val="center"/>
          </w:tcPr>
          <w:p>
            <w:pPr>
              <w:widowControl/>
              <w:spacing w:line="240" w:lineRule="exact"/>
              <w:jc w:val="center"/>
              <w:rPr>
                <w:rFonts w:ascii="仿宋" w:hAnsi="仿宋" w:eastAsia="仿宋" w:cs="仿宋"/>
                <w:bCs/>
                <w:szCs w:val="21"/>
              </w:rPr>
            </w:pPr>
            <w:r>
              <w:rPr>
                <w:rFonts w:ascii="仿宋" w:hAnsi="仿宋" w:eastAsia="仿宋" w:cs="仿宋"/>
                <w:bCs/>
                <w:szCs w:val="21"/>
              </w:rPr>
              <w:t>SS</w:t>
            </w:r>
          </w:p>
        </w:tc>
        <w:tc>
          <w:tcPr>
            <w:tcW w:w="603" w:type="pct"/>
            <w:vAlign w:val="center"/>
          </w:tcPr>
          <w:p>
            <w:pPr>
              <w:spacing w:line="240" w:lineRule="exact"/>
              <w:jc w:val="center"/>
              <w:rPr>
                <w:rFonts w:ascii="仿宋" w:hAnsi="仿宋" w:eastAsia="仿宋" w:cs="仿宋"/>
                <w:bCs/>
                <w:szCs w:val="21"/>
              </w:rPr>
            </w:pPr>
            <w:r>
              <w:rPr>
                <w:rFonts w:eastAsia="仿宋_GB2312"/>
                <w:kern w:val="0"/>
                <w:szCs w:val="21"/>
              </w:rPr>
              <w:t>0.27</w:t>
            </w:r>
          </w:p>
        </w:tc>
        <w:tc>
          <w:tcPr>
            <w:tcW w:w="800" w:type="pct"/>
            <w:vAlign w:val="center"/>
          </w:tcPr>
          <w:p>
            <w:pPr>
              <w:widowControl/>
              <w:jc w:val="center"/>
              <w:rPr>
                <w:rFonts w:ascii="仿宋" w:hAnsi="仿宋" w:eastAsia="仿宋" w:cs="仿宋"/>
                <w:bCs/>
                <w:szCs w:val="21"/>
              </w:rPr>
            </w:pPr>
            <w:r>
              <w:rPr>
                <w:rFonts w:hint="eastAsia"/>
                <w:kern w:val="0"/>
                <w:szCs w:val="21"/>
              </w:rPr>
              <w:t>0</w:t>
            </w:r>
          </w:p>
        </w:tc>
        <w:tc>
          <w:tcPr>
            <w:tcW w:w="752" w:type="pct"/>
            <w:vAlign w:val="center"/>
          </w:tcPr>
          <w:p>
            <w:pPr>
              <w:spacing w:line="240" w:lineRule="exact"/>
              <w:jc w:val="center"/>
              <w:rPr>
                <w:rFonts w:ascii="仿宋" w:hAnsi="仿宋" w:eastAsia="仿宋" w:cs="仿宋"/>
                <w:bCs/>
                <w:szCs w:val="21"/>
              </w:rPr>
            </w:pPr>
            <w:r>
              <w:rPr>
                <w:rFonts w:eastAsia="仿宋_GB2312"/>
                <w:kern w:val="0"/>
                <w:szCs w:val="21"/>
              </w:rPr>
              <w:t>0.27</w:t>
            </w:r>
          </w:p>
        </w:tc>
        <w:tc>
          <w:tcPr>
            <w:tcW w:w="1270"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0</w:t>
            </w:r>
            <w:r>
              <w:rPr>
                <w:rFonts w:hint="eastAsia" w:ascii="仿宋" w:hAnsi="仿宋" w:eastAsia="仿宋" w:cs="仿宋"/>
                <w:bCs/>
                <w:szCs w:val="21"/>
              </w:rPr>
              <w:t>1</w:t>
            </w:r>
            <w:r>
              <w:rPr>
                <w:rFonts w:ascii="仿宋" w:hAnsi="仿宋" w:eastAsia="仿宋" w:cs="仿宋"/>
                <w:bCs/>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3" w:type="pct"/>
            <w:gridSpan w:val="2"/>
            <w:vMerge w:val="continue"/>
            <w:vAlign w:val="center"/>
          </w:tcPr>
          <w:p>
            <w:pPr>
              <w:spacing w:line="240" w:lineRule="exact"/>
              <w:jc w:val="center"/>
              <w:rPr>
                <w:rFonts w:ascii="仿宋" w:hAnsi="仿宋" w:eastAsia="仿宋" w:cs="仿宋"/>
                <w:bCs/>
                <w:szCs w:val="21"/>
              </w:rPr>
            </w:pPr>
          </w:p>
        </w:tc>
        <w:tc>
          <w:tcPr>
            <w:tcW w:w="992" w:type="pct"/>
            <w:vAlign w:val="center"/>
          </w:tcPr>
          <w:p>
            <w:pPr>
              <w:widowControl/>
              <w:spacing w:line="240" w:lineRule="exact"/>
              <w:jc w:val="center"/>
              <w:rPr>
                <w:rFonts w:ascii="仿宋" w:hAnsi="仿宋" w:eastAsia="仿宋" w:cs="仿宋"/>
                <w:bCs/>
                <w:szCs w:val="21"/>
              </w:rPr>
            </w:pPr>
            <w:r>
              <w:rPr>
                <w:rFonts w:ascii="仿宋" w:hAnsi="仿宋" w:eastAsia="仿宋" w:cs="仿宋"/>
                <w:bCs/>
                <w:szCs w:val="21"/>
              </w:rPr>
              <w:t>NH</w:t>
            </w:r>
            <w:r>
              <w:rPr>
                <w:rFonts w:ascii="仿宋" w:hAnsi="仿宋" w:eastAsia="仿宋" w:cs="仿宋"/>
                <w:bCs/>
                <w:szCs w:val="21"/>
                <w:vertAlign w:val="subscript"/>
              </w:rPr>
              <w:t>3</w:t>
            </w:r>
            <w:r>
              <w:rPr>
                <w:rFonts w:ascii="仿宋" w:hAnsi="仿宋" w:eastAsia="仿宋" w:cs="仿宋"/>
                <w:bCs/>
                <w:szCs w:val="21"/>
              </w:rPr>
              <w:t>-N</w:t>
            </w:r>
          </w:p>
        </w:tc>
        <w:tc>
          <w:tcPr>
            <w:tcW w:w="603" w:type="pct"/>
            <w:vAlign w:val="center"/>
          </w:tcPr>
          <w:p>
            <w:pPr>
              <w:spacing w:line="240" w:lineRule="exact"/>
              <w:jc w:val="center"/>
              <w:rPr>
                <w:rFonts w:ascii="仿宋" w:hAnsi="仿宋" w:eastAsia="仿宋" w:cs="仿宋"/>
                <w:bCs/>
                <w:szCs w:val="21"/>
              </w:rPr>
            </w:pPr>
            <w:r>
              <w:rPr>
                <w:rFonts w:hint="eastAsia" w:eastAsia="仿宋_GB2312"/>
                <w:kern w:val="0"/>
                <w:szCs w:val="21"/>
              </w:rPr>
              <w:t>0.</w:t>
            </w:r>
            <w:r>
              <w:rPr>
                <w:rFonts w:eastAsia="仿宋_GB2312"/>
                <w:kern w:val="0"/>
                <w:szCs w:val="21"/>
              </w:rPr>
              <w:t>03</w:t>
            </w:r>
          </w:p>
        </w:tc>
        <w:tc>
          <w:tcPr>
            <w:tcW w:w="800" w:type="pct"/>
            <w:vAlign w:val="center"/>
          </w:tcPr>
          <w:p>
            <w:pPr>
              <w:widowControl/>
              <w:jc w:val="center"/>
              <w:rPr>
                <w:rFonts w:ascii="仿宋" w:hAnsi="仿宋" w:eastAsia="仿宋" w:cs="仿宋"/>
                <w:bCs/>
                <w:szCs w:val="21"/>
              </w:rPr>
            </w:pPr>
            <w:r>
              <w:rPr>
                <w:rFonts w:hint="eastAsia"/>
                <w:kern w:val="0"/>
                <w:szCs w:val="21"/>
              </w:rPr>
              <w:t>0</w:t>
            </w:r>
          </w:p>
        </w:tc>
        <w:tc>
          <w:tcPr>
            <w:tcW w:w="752" w:type="pct"/>
            <w:vAlign w:val="center"/>
          </w:tcPr>
          <w:p>
            <w:pPr>
              <w:spacing w:line="240" w:lineRule="exact"/>
              <w:jc w:val="center"/>
              <w:rPr>
                <w:rFonts w:ascii="仿宋" w:hAnsi="仿宋" w:eastAsia="仿宋" w:cs="仿宋"/>
                <w:bCs/>
                <w:szCs w:val="21"/>
              </w:rPr>
            </w:pPr>
            <w:r>
              <w:rPr>
                <w:rFonts w:hint="eastAsia" w:eastAsia="仿宋_GB2312"/>
                <w:kern w:val="0"/>
                <w:szCs w:val="21"/>
              </w:rPr>
              <w:t>0.</w:t>
            </w:r>
            <w:r>
              <w:rPr>
                <w:rFonts w:eastAsia="仿宋_GB2312"/>
                <w:kern w:val="0"/>
                <w:szCs w:val="21"/>
              </w:rPr>
              <w:t>03</w:t>
            </w:r>
          </w:p>
        </w:tc>
        <w:tc>
          <w:tcPr>
            <w:tcW w:w="1270"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0.0</w:t>
            </w:r>
            <w:r>
              <w:rPr>
                <w:rFonts w:ascii="仿宋" w:hAnsi="仿宋" w:eastAsia="仿宋" w:cs="仿宋"/>
                <w:bCs/>
                <w:szCs w:val="21"/>
              </w:rPr>
              <w:t>0</w:t>
            </w:r>
            <w:r>
              <w:rPr>
                <w:rFonts w:hint="eastAsia" w:ascii="仿宋" w:hAnsi="仿宋" w:eastAsia="仿宋" w:cs="仿宋"/>
                <w:bCs/>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3" w:type="pct"/>
            <w:gridSpan w:val="2"/>
            <w:vMerge w:val="continue"/>
            <w:vAlign w:val="center"/>
          </w:tcPr>
          <w:p>
            <w:pPr>
              <w:spacing w:line="240" w:lineRule="exact"/>
              <w:jc w:val="center"/>
              <w:rPr>
                <w:rFonts w:ascii="仿宋" w:hAnsi="仿宋" w:eastAsia="仿宋" w:cs="仿宋"/>
                <w:bCs/>
                <w:szCs w:val="21"/>
              </w:rPr>
            </w:pPr>
          </w:p>
        </w:tc>
        <w:tc>
          <w:tcPr>
            <w:tcW w:w="992" w:type="pct"/>
            <w:vAlign w:val="center"/>
          </w:tcPr>
          <w:p>
            <w:pPr>
              <w:widowControl/>
              <w:spacing w:line="240" w:lineRule="exact"/>
              <w:jc w:val="center"/>
              <w:rPr>
                <w:rFonts w:ascii="仿宋" w:hAnsi="仿宋" w:eastAsia="仿宋" w:cs="仿宋"/>
                <w:bCs/>
                <w:szCs w:val="21"/>
              </w:rPr>
            </w:pPr>
            <w:r>
              <w:rPr>
                <w:rFonts w:ascii="仿宋" w:hAnsi="仿宋" w:eastAsia="仿宋" w:cs="仿宋"/>
                <w:bCs/>
                <w:szCs w:val="21"/>
              </w:rPr>
              <w:t>TP</w:t>
            </w:r>
          </w:p>
        </w:tc>
        <w:tc>
          <w:tcPr>
            <w:tcW w:w="603" w:type="pct"/>
            <w:vAlign w:val="center"/>
          </w:tcPr>
          <w:p>
            <w:pPr>
              <w:spacing w:line="240" w:lineRule="exact"/>
              <w:jc w:val="center"/>
              <w:rPr>
                <w:rFonts w:ascii="仿宋" w:hAnsi="仿宋" w:eastAsia="仿宋" w:cs="仿宋"/>
                <w:bCs/>
                <w:szCs w:val="21"/>
              </w:rPr>
            </w:pPr>
            <w:r>
              <w:rPr>
                <w:rFonts w:hint="eastAsia" w:eastAsia="仿宋_GB2312"/>
                <w:kern w:val="0"/>
                <w:szCs w:val="21"/>
              </w:rPr>
              <w:t>0.0</w:t>
            </w:r>
            <w:r>
              <w:rPr>
                <w:rFonts w:eastAsia="仿宋_GB2312"/>
                <w:kern w:val="0"/>
                <w:szCs w:val="21"/>
              </w:rPr>
              <w:t>0</w:t>
            </w:r>
            <w:r>
              <w:rPr>
                <w:rFonts w:hint="eastAsia" w:eastAsia="仿宋_GB2312"/>
                <w:kern w:val="0"/>
                <w:szCs w:val="21"/>
              </w:rPr>
              <w:t>3</w:t>
            </w:r>
          </w:p>
        </w:tc>
        <w:tc>
          <w:tcPr>
            <w:tcW w:w="800" w:type="pct"/>
            <w:vAlign w:val="center"/>
          </w:tcPr>
          <w:p>
            <w:pPr>
              <w:widowControl/>
              <w:jc w:val="center"/>
              <w:rPr>
                <w:rFonts w:ascii="仿宋" w:hAnsi="仿宋" w:eastAsia="仿宋" w:cs="仿宋"/>
                <w:bCs/>
                <w:szCs w:val="21"/>
              </w:rPr>
            </w:pPr>
            <w:r>
              <w:rPr>
                <w:rFonts w:hint="eastAsia"/>
                <w:kern w:val="0"/>
                <w:szCs w:val="21"/>
              </w:rPr>
              <w:t>0</w:t>
            </w:r>
          </w:p>
        </w:tc>
        <w:tc>
          <w:tcPr>
            <w:tcW w:w="752" w:type="pct"/>
            <w:vAlign w:val="center"/>
          </w:tcPr>
          <w:p>
            <w:pPr>
              <w:spacing w:line="240" w:lineRule="exact"/>
              <w:jc w:val="center"/>
              <w:rPr>
                <w:rFonts w:ascii="仿宋" w:hAnsi="仿宋" w:eastAsia="仿宋" w:cs="仿宋"/>
                <w:bCs/>
                <w:szCs w:val="21"/>
              </w:rPr>
            </w:pPr>
            <w:r>
              <w:rPr>
                <w:rFonts w:hint="eastAsia" w:eastAsia="仿宋_GB2312"/>
                <w:kern w:val="0"/>
                <w:szCs w:val="21"/>
              </w:rPr>
              <w:t>0.0</w:t>
            </w:r>
            <w:r>
              <w:rPr>
                <w:rFonts w:eastAsia="仿宋_GB2312"/>
                <w:kern w:val="0"/>
                <w:szCs w:val="21"/>
              </w:rPr>
              <w:t>0</w:t>
            </w:r>
            <w:r>
              <w:rPr>
                <w:rFonts w:hint="eastAsia" w:eastAsia="仿宋_GB2312"/>
                <w:kern w:val="0"/>
                <w:szCs w:val="21"/>
              </w:rPr>
              <w:t>3</w:t>
            </w:r>
          </w:p>
        </w:tc>
        <w:tc>
          <w:tcPr>
            <w:tcW w:w="1270"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0.0</w:t>
            </w:r>
            <w:r>
              <w:rPr>
                <w:rFonts w:ascii="仿宋" w:hAnsi="仿宋" w:eastAsia="仿宋" w:cs="仿宋"/>
                <w:bCs/>
                <w:szCs w:val="21"/>
              </w:rPr>
              <w:t>0</w:t>
            </w:r>
            <w:r>
              <w:rPr>
                <w:rFonts w:hint="eastAsia" w:ascii="仿宋" w:hAnsi="仿宋" w:eastAsia="仿宋" w:cs="仿宋"/>
                <w:bCs/>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3" w:type="pct"/>
            <w:gridSpan w:val="2"/>
            <w:vMerge w:val="continue"/>
            <w:vAlign w:val="center"/>
          </w:tcPr>
          <w:p>
            <w:pPr>
              <w:spacing w:line="240" w:lineRule="exact"/>
              <w:jc w:val="center"/>
              <w:rPr>
                <w:rFonts w:ascii="仿宋" w:hAnsi="仿宋" w:eastAsia="仿宋" w:cs="仿宋"/>
                <w:bCs/>
                <w:szCs w:val="21"/>
              </w:rPr>
            </w:pPr>
          </w:p>
        </w:tc>
        <w:tc>
          <w:tcPr>
            <w:tcW w:w="992" w:type="pct"/>
            <w:vAlign w:val="center"/>
          </w:tcPr>
          <w:p>
            <w:pPr>
              <w:widowControl/>
              <w:spacing w:line="240" w:lineRule="exact"/>
              <w:jc w:val="center"/>
              <w:rPr>
                <w:rFonts w:ascii="仿宋" w:hAnsi="仿宋" w:eastAsia="仿宋" w:cs="仿宋"/>
                <w:bCs/>
                <w:szCs w:val="21"/>
              </w:rPr>
            </w:pPr>
            <w:r>
              <w:rPr>
                <w:rFonts w:hint="eastAsia" w:ascii="仿宋" w:hAnsi="仿宋" w:eastAsia="仿宋" w:cs="仿宋"/>
                <w:bCs/>
                <w:szCs w:val="21"/>
              </w:rPr>
              <w:t>TN</w:t>
            </w:r>
          </w:p>
        </w:tc>
        <w:tc>
          <w:tcPr>
            <w:tcW w:w="603" w:type="pct"/>
            <w:vAlign w:val="center"/>
          </w:tcPr>
          <w:p>
            <w:pPr>
              <w:spacing w:line="240" w:lineRule="exact"/>
              <w:jc w:val="center"/>
              <w:rPr>
                <w:rFonts w:ascii="仿宋" w:hAnsi="仿宋" w:eastAsia="仿宋" w:cs="仿宋"/>
                <w:bCs/>
                <w:szCs w:val="21"/>
              </w:rPr>
            </w:pPr>
            <w:r>
              <w:rPr>
                <w:rFonts w:hint="eastAsia" w:eastAsia="仿宋_GB2312"/>
                <w:kern w:val="0"/>
                <w:szCs w:val="21"/>
              </w:rPr>
              <w:t>0.</w:t>
            </w:r>
            <w:r>
              <w:rPr>
                <w:rFonts w:eastAsia="仿宋_GB2312"/>
                <w:kern w:val="0"/>
                <w:szCs w:val="21"/>
              </w:rPr>
              <w:t>0</w:t>
            </w:r>
            <w:r>
              <w:rPr>
                <w:rFonts w:hint="eastAsia" w:eastAsia="仿宋_GB2312"/>
                <w:kern w:val="0"/>
                <w:szCs w:val="21"/>
              </w:rPr>
              <w:t>4</w:t>
            </w:r>
          </w:p>
        </w:tc>
        <w:tc>
          <w:tcPr>
            <w:tcW w:w="800" w:type="pct"/>
            <w:vAlign w:val="center"/>
          </w:tcPr>
          <w:p>
            <w:pPr>
              <w:widowControl/>
              <w:jc w:val="center"/>
              <w:rPr>
                <w:rFonts w:ascii="仿宋" w:hAnsi="仿宋" w:eastAsia="仿宋" w:cs="仿宋"/>
                <w:bCs/>
                <w:szCs w:val="21"/>
              </w:rPr>
            </w:pPr>
            <w:r>
              <w:rPr>
                <w:rFonts w:hint="eastAsia"/>
                <w:kern w:val="0"/>
                <w:szCs w:val="21"/>
              </w:rPr>
              <w:t>0</w:t>
            </w:r>
          </w:p>
        </w:tc>
        <w:tc>
          <w:tcPr>
            <w:tcW w:w="752" w:type="pct"/>
            <w:vAlign w:val="center"/>
          </w:tcPr>
          <w:p>
            <w:pPr>
              <w:spacing w:line="240" w:lineRule="exact"/>
              <w:jc w:val="center"/>
              <w:rPr>
                <w:rFonts w:ascii="仿宋" w:hAnsi="仿宋" w:eastAsia="仿宋" w:cs="仿宋"/>
                <w:bCs/>
                <w:szCs w:val="21"/>
              </w:rPr>
            </w:pPr>
            <w:r>
              <w:rPr>
                <w:rFonts w:hint="eastAsia" w:eastAsia="仿宋_GB2312"/>
                <w:kern w:val="0"/>
                <w:szCs w:val="21"/>
              </w:rPr>
              <w:t>0.</w:t>
            </w:r>
            <w:r>
              <w:rPr>
                <w:rFonts w:eastAsia="仿宋_GB2312"/>
                <w:kern w:val="0"/>
                <w:szCs w:val="21"/>
              </w:rPr>
              <w:t>0</w:t>
            </w:r>
            <w:r>
              <w:rPr>
                <w:rFonts w:hint="eastAsia" w:eastAsia="仿宋_GB2312"/>
                <w:kern w:val="0"/>
                <w:szCs w:val="21"/>
              </w:rPr>
              <w:t>4</w:t>
            </w:r>
          </w:p>
        </w:tc>
        <w:tc>
          <w:tcPr>
            <w:tcW w:w="1270"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0</w:t>
            </w:r>
            <w:r>
              <w:rPr>
                <w:rFonts w:hint="eastAsia" w:ascii="仿宋" w:hAnsi="仿宋" w:eastAsia="仿宋" w:cs="仿宋"/>
                <w:bCs/>
                <w:szCs w:val="21"/>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68" w:type="pct"/>
            <w:vMerge w:val="restart"/>
            <w:vAlign w:val="center"/>
          </w:tcPr>
          <w:p>
            <w:pPr>
              <w:spacing w:line="240" w:lineRule="exact"/>
              <w:jc w:val="center"/>
              <w:rPr>
                <w:rFonts w:ascii="仿宋" w:hAnsi="仿宋" w:eastAsia="仿宋" w:cs="仿宋"/>
                <w:bCs/>
                <w:szCs w:val="21"/>
              </w:rPr>
            </w:pPr>
            <w:r>
              <w:rPr>
                <w:rFonts w:ascii="仿宋" w:hAnsi="仿宋" w:eastAsia="仿宋" w:cs="仿宋"/>
                <w:bCs/>
                <w:szCs w:val="21"/>
              </w:rPr>
              <w:t>废气</w:t>
            </w:r>
          </w:p>
        </w:tc>
        <w:tc>
          <w:tcPr>
            <w:tcW w:w="315" w:type="pct"/>
            <w:vMerge w:val="restart"/>
            <w:vAlign w:val="center"/>
          </w:tcPr>
          <w:p>
            <w:pPr>
              <w:spacing w:line="240" w:lineRule="exact"/>
              <w:jc w:val="center"/>
              <w:rPr>
                <w:rFonts w:ascii="仿宋" w:hAnsi="仿宋" w:eastAsia="仿宋" w:cs="仿宋"/>
                <w:bCs/>
                <w:szCs w:val="21"/>
              </w:rPr>
            </w:pPr>
            <w:r>
              <w:rPr>
                <w:rFonts w:ascii="仿宋" w:hAnsi="仿宋" w:eastAsia="仿宋" w:cs="仿宋"/>
                <w:bCs/>
                <w:szCs w:val="21"/>
              </w:rPr>
              <w:t>有组织废气</w:t>
            </w:r>
          </w:p>
        </w:tc>
        <w:tc>
          <w:tcPr>
            <w:tcW w:w="992" w:type="pct"/>
            <w:vAlign w:val="center"/>
          </w:tcPr>
          <w:p>
            <w:pPr>
              <w:widowControl/>
              <w:spacing w:line="240" w:lineRule="exact"/>
              <w:jc w:val="center"/>
              <w:rPr>
                <w:rFonts w:ascii="仿宋" w:hAnsi="仿宋" w:eastAsia="仿宋" w:cs="仿宋"/>
                <w:bCs/>
                <w:szCs w:val="21"/>
              </w:rPr>
            </w:pPr>
            <w:r>
              <w:rPr>
                <w:rFonts w:hint="eastAsia" w:ascii="仿宋" w:hAnsi="仿宋" w:eastAsia="仿宋" w:cs="仿宋"/>
                <w:bCs/>
                <w:szCs w:val="21"/>
              </w:rPr>
              <w:t>VOC</w:t>
            </w:r>
            <w:r>
              <w:rPr>
                <w:rFonts w:ascii="仿宋" w:hAnsi="仿宋" w:eastAsia="仿宋" w:cs="仿宋"/>
                <w:bCs/>
                <w:szCs w:val="21"/>
              </w:rPr>
              <w:t>s</w:t>
            </w:r>
          </w:p>
        </w:tc>
        <w:tc>
          <w:tcPr>
            <w:tcW w:w="603" w:type="pct"/>
            <w:vAlign w:val="center"/>
          </w:tcPr>
          <w:p>
            <w:pPr>
              <w:widowControl/>
              <w:jc w:val="center"/>
              <w:rPr>
                <w:kern w:val="0"/>
                <w:szCs w:val="21"/>
              </w:rPr>
            </w:pPr>
            <w:r>
              <w:rPr>
                <w:rFonts w:hint="eastAsia"/>
                <w:kern w:val="0"/>
                <w:szCs w:val="21"/>
              </w:rPr>
              <w:t>3</w:t>
            </w:r>
            <w:r>
              <w:rPr>
                <w:kern w:val="0"/>
                <w:szCs w:val="21"/>
              </w:rPr>
              <w:t>79.16</w:t>
            </w:r>
          </w:p>
        </w:tc>
        <w:tc>
          <w:tcPr>
            <w:tcW w:w="800" w:type="pct"/>
            <w:vAlign w:val="center"/>
          </w:tcPr>
          <w:p>
            <w:pPr>
              <w:jc w:val="center"/>
              <w:rPr>
                <w:kern w:val="0"/>
                <w:szCs w:val="21"/>
              </w:rPr>
            </w:pPr>
            <w:r>
              <w:rPr>
                <w:rFonts w:hint="eastAsia"/>
                <w:kern w:val="0"/>
                <w:szCs w:val="21"/>
              </w:rPr>
              <w:t>3</w:t>
            </w:r>
            <w:r>
              <w:rPr>
                <w:kern w:val="0"/>
                <w:szCs w:val="21"/>
              </w:rPr>
              <w:t>77.27</w:t>
            </w:r>
          </w:p>
        </w:tc>
        <w:tc>
          <w:tcPr>
            <w:tcW w:w="752" w:type="pct"/>
            <w:vAlign w:val="center"/>
          </w:tcPr>
          <w:p>
            <w:pPr>
              <w:jc w:val="center"/>
              <w:rPr>
                <w:kern w:val="0"/>
                <w:szCs w:val="21"/>
              </w:rPr>
            </w:pPr>
            <w:r>
              <w:rPr>
                <w:rFonts w:hint="eastAsia"/>
                <w:kern w:val="0"/>
                <w:szCs w:val="21"/>
              </w:rPr>
              <w:t>1</w:t>
            </w:r>
            <w:r>
              <w:rPr>
                <w:kern w:val="0"/>
                <w:szCs w:val="21"/>
              </w:rPr>
              <w:t>.89</w:t>
            </w:r>
          </w:p>
        </w:tc>
        <w:tc>
          <w:tcPr>
            <w:tcW w:w="1270" w:type="pct"/>
            <w:vAlign w:val="center"/>
          </w:tcPr>
          <w:p>
            <w:pPr>
              <w:jc w:val="center"/>
              <w:rPr>
                <w:kern w:val="0"/>
                <w:szCs w:val="21"/>
              </w:rPr>
            </w:pPr>
            <w:r>
              <w:rPr>
                <w:rFonts w:hint="eastAsia"/>
                <w:kern w:val="0"/>
                <w:szCs w:val="21"/>
              </w:rPr>
              <w:t>1</w:t>
            </w:r>
            <w:r>
              <w:rPr>
                <w:kern w:val="0"/>
                <w:szCs w:val="21"/>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68" w:type="pct"/>
            <w:vMerge w:val="continue"/>
            <w:vAlign w:val="center"/>
          </w:tcPr>
          <w:p>
            <w:pPr>
              <w:spacing w:line="240" w:lineRule="exact"/>
              <w:jc w:val="center"/>
              <w:rPr>
                <w:rFonts w:ascii="仿宋" w:hAnsi="仿宋" w:eastAsia="仿宋" w:cs="仿宋"/>
                <w:bCs/>
                <w:szCs w:val="21"/>
              </w:rPr>
            </w:pPr>
          </w:p>
        </w:tc>
        <w:tc>
          <w:tcPr>
            <w:tcW w:w="315" w:type="pct"/>
            <w:vMerge w:val="continue"/>
            <w:vAlign w:val="center"/>
          </w:tcPr>
          <w:p>
            <w:pPr>
              <w:spacing w:line="240" w:lineRule="exact"/>
              <w:jc w:val="center"/>
              <w:rPr>
                <w:rFonts w:ascii="仿宋" w:hAnsi="仿宋" w:eastAsia="仿宋" w:cs="仿宋"/>
                <w:bCs/>
                <w:szCs w:val="21"/>
              </w:rPr>
            </w:pPr>
          </w:p>
        </w:tc>
        <w:tc>
          <w:tcPr>
            <w:tcW w:w="992" w:type="pct"/>
            <w:vAlign w:val="center"/>
          </w:tcPr>
          <w:p>
            <w:pPr>
              <w:widowControl/>
              <w:spacing w:line="240" w:lineRule="exact"/>
              <w:jc w:val="center"/>
              <w:rPr>
                <w:rFonts w:ascii="仿宋" w:hAnsi="仿宋" w:eastAsia="仿宋" w:cs="仿宋"/>
                <w:bCs/>
                <w:szCs w:val="21"/>
              </w:rPr>
            </w:pPr>
            <w:r>
              <w:rPr>
                <w:rFonts w:hint="eastAsia" w:ascii="仿宋" w:hAnsi="仿宋" w:eastAsia="仿宋" w:cs="仿宋"/>
                <w:bCs/>
                <w:szCs w:val="21"/>
              </w:rPr>
              <w:t>非甲烷总烃</w:t>
            </w:r>
          </w:p>
        </w:tc>
        <w:tc>
          <w:tcPr>
            <w:tcW w:w="603" w:type="pct"/>
            <w:vAlign w:val="center"/>
          </w:tcPr>
          <w:p>
            <w:pPr>
              <w:widowControl/>
              <w:jc w:val="center"/>
              <w:rPr>
                <w:kern w:val="0"/>
                <w:szCs w:val="21"/>
              </w:rPr>
            </w:pPr>
            <w:r>
              <w:rPr>
                <w:rFonts w:hint="eastAsia"/>
                <w:kern w:val="0"/>
                <w:szCs w:val="21"/>
              </w:rPr>
              <w:t>3</w:t>
            </w:r>
            <w:r>
              <w:rPr>
                <w:kern w:val="0"/>
                <w:szCs w:val="21"/>
              </w:rPr>
              <w:t>79.16</w:t>
            </w:r>
          </w:p>
        </w:tc>
        <w:tc>
          <w:tcPr>
            <w:tcW w:w="800" w:type="pct"/>
            <w:vAlign w:val="center"/>
          </w:tcPr>
          <w:p>
            <w:pPr>
              <w:jc w:val="center"/>
              <w:rPr>
                <w:kern w:val="0"/>
                <w:szCs w:val="21"/>
              </w:rPr>
            </w:pPr>
            <w:r>
              <w:rPr>
                <w:rFonts w:hint="eastAsia"/>
                <w:kern w:val="0"/>
                <w:szCs w:val="21"/>
              </w:rPr>
              <w:t>3</w:t>
            </w:r>
            <w:r>
              <w:rPr>
                <w:kern w:val="0"/>
                <w:szCs w:val="21"/>
              </w:rPr>
              <w:t>77.27</w:t>
            </w:r>
          </w:p>
        </w:tc>
        <w:tc>
          <w:tcPr>
            <w:tcW w:w="752" w:type="pct"/>
            <w:vAlign w:val="center"/>
          </w:tcPr>
          <w:p>
            <w:pPr>
              <w:jc w:val="center"/>
              <w:rPr>
                <w:kern w:val="0"/>
                <w:szCs w:val="21"/>
              </w:rPr>
            </w:pPr>
            <w:r>
              <w:rPr>
                <w:rFonts w:hint="eastAsia"/>
                <w:kern w:val="0"/>
                <w:szCs w:val="21"/>
              </w:rPr>
              <w:t>1</w:t>
            </w:r>
            <w:r>
              <w:rPr>
                <w:kern w:val="0"/>
                <w:szCs w:val="21"/>
              </w:rPr>
              <w:t>.89</w:t>
            </w:r>
          </w:p>
        </w:tc>
        <w:tc>
          <w:tcPr>
            <w:tcW w:w="1270" w:type="pct"/>
            <w:vAlign w:val="center"/>
          </w:tcPr>
          <w:p>
            <w:pPr>
              <w:jc w:val="center"/>
              <w:rPr>
                <w:kern w:val="0"/>
                <w:szCs w:val="21"/>
              </w:rPr>
            </w:pPr>
            <w:r>
              <w:rPr>
                <w:rFonts w:hint="eastAsia"/>
                <w:kern w:val="0"/>
                <w:szCs w:val="21"/>
              </w:rPr>
              <w:t>1</w:t>
            </w:r>
            <w:r>
              <w:rPr>
                <w:kern w:val="0"/>
                <w:szCs w:val="21"/>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68" w:type="pct"/>
            <w:vMerge w:val="continue"/>
            <w:vAlign w:val="center"/>
          </w:tcPr>
          <w:p>
            <w:pPr>
              <w:spacing w:line="240" w:lineRule="exact"/>
              <w:jc w:val="center"/>
              <w:rPr>
                <w:rFonts w:ascii="仿宋" w:hAnsi="仿宋" w:eastAsia="仿宋" w:cs="仿宋"/>
                <w:bCs/>
                <w:szCs w:val="21"/>
              </w:rPr>
            </w:pPr>
          </w:p>
        </w:tc>
        <w:tc>
          <w:tcPr>
            <w:tcW w:w="315" w:type="pct"/>
            <w:vMerge w:val="continue"/>
            <w:vAlign w:val="center"/>
          </w:tcPr>
          <w:p>
            <w:pPr>
              <w:spacing w:line="240" w:lineRule="exact"/>
              <w:jc w:val="center"/>
              <w:rPr>
                <w:rFonts w:ascii="仿宋" w:hAnsi="仿宋" w:eastAsia="仿宋" w:cs="仿宋"/>
                <w:bCs/>
                <w:szCs w:val="21"/>
              </w:rPr>
            </w:pPr>
          </w:p>
        </w:tc>
        <w:tc>
          <w:tcPr>
            <w:tcW w:w="992" w:type="pct"/>
            <w:vAlign w:val="center"/>
          </w:tcPr>
          <w:p>
            <w:pPr>
              <w:widowControl/>
              <w:jc w:val="center"/>
              <w:rPr>
                <w:rFonts w:ascii="仿宋" w:hAnsi="仿宋" w:eastAsia="仿宋" w:cs="宋体"/>
                <w:kern w:val="0"/>
                <w:szCs w:val="21"/>
              </w:rPr>
            </w:pPr>
            <w:r>
              <w:rPr>
                <w:rFonts w:hint="eastAsia" w:ascii="仿宋" w:hAnsi="仿宋" w:eastAsia="仿宋" w:cs="宋体"/>
                <w:kern w:val="0"/>
                <w:szCs w:val="21"/>
              </w:rPr>
              <w:t>乙酸乙酯</w:t>
            </w:r>
          </w:p>
        </w:tc>
        <w:tc>
          <w:tcPr>
            <w:tcW w:w="603" w:type="pct"/>
            <w:vAlign w:val="center"/>
          </w:tcPr>
          <w:p>
            <w:pPr>
              <w:widowControl/>
              <w:jc w:val="center"/>
              <w:rPr>
                <w:kern w:val="0"/>
                <w:szCs w:val="21"/>
              </w:rPr>
            </w:pPr>
            <w:r>
              <w:rPr>
                <w:rFonts w:hint="eastAsia"/>
                <w:kern w:val="0"/>
                <w:szCs w:val="21"/>
              </w:rPr>
              <w:t>3</w:t>
            </w:r>
            <w:r>
              <w:rPr>
                <w:kern w:val="0"/>
                <w:szCs w:val="21"/>
              </w:rPr>
              <w:t>28.93</w:t>
            </w:r>
          </w:p>
        </w:tc>
        <w:tc>
          <w:tcPr>
            <w:tcW w:w="800" w:type="pct"/>
            <w:vAlign w:val="center"/>
          </w:tcPr>
          <w:p>
            <w:pPr>
              <w:jc w:val="center"/>
              <w:rPr>
                <w:kern w:val="0"/>
                <w:szCs w:val="21"/>
              </w:rPr>
            </w:pPr>
            <w:r>
              <w:rPr>
                <w:rFonts w:hint="eastAsia"/>
                <w:kern w:val="0"/>
                <w:szCs w:val="21"/>
              </w:rPr>
              <w:t>3</w:t>
            </w:r>
            <w:r>
              <w:rPr>
                <w:kern w:val="0"/>
                <w:szCs w:val="21"/>
              </w:rPr>
              <w:t>27.29</w:t>
            </w:r>
          </w:p>
        </w:tc>
        <w:tc>
          <w:tcPr>
            <w:tcW w:w="752" w:type="pct"/>
            <w:vAlign w:val="center"/>
          </w:tcPr>
          <w:p>
            <w:pPr>
              <w:jc w:val="center"/>
              <w:rPr>
                <w:kern w:val="0"/>
                <w:szCs w:val="21"/>
              </w:rPr>
            </w:pPr>
            <w:r>
              <w:rPr>
                <w:rFonts w:hint="eastAsia"/>
                <w:kern w:val="0"/>
                <w:szCs w:val="21"/>
              </w:rPr>
              <w:t>1</w:t>
            </w:r>
            <w:r>
              <w:rPr>
                <w:kern w:val="0"/>
                <w:szCs w:val="21"/>
              </w:rPr>
              <w:t>.64</w:t>
            </w:r>
          </w:p>
        </w:tc>
        <w:tc>
          <w:tcPr>
            <w:tcW w:w="1270" w:type="pct"/>
            <w:vAlign w:val="center"/>
          </w:tcPr>
          <w:p>
            <w:pPr>
              <w:jc w:val="center"/>
              <w:rPr>
                <w:kern w:val="0"/>
                <w:szCs w:val="21"/>
              </w:rPr>
            </w:pPr>
            <w:r>
              <w:rPr>
                <w:rFonts w:hint="eastAsia"/>
                <w:kern w:val="0"/>
                <w:szCs w:val="21"/>
              </w:rPr>
              <w:t>1</w:t>
            </w:r>
            <w:r>
              <w:rPr>
                <w:kern w:val="0"/>
                <w:szCs w:val="21"/>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68" w:type="pct"/>
            <w:vMerge w:val="continue"/>
            <w:vAlign w:val="center"/>
          </w:tcPr>
          <w:p>
            <w:pPr>
              <w:spacing w:line="240" w:lineRule="exact"/>
              <w:jc w:val="center"/>
              <w:rPr>
                <w:rFonts w:ascii="仿宋" w:hAnsi="仿宋" w:eastAsia="仿宋" w:cs="仿宋"/>
                <w:bCs/>
                <w:szCs w:val="21"/>
              </w:rPr>
            </w:pPr>
          </w:p>
        </w:tc>
        <w:tc>
          <w:tcPr>
            <w:tcW w:w="315" w:type="pct"/>
            <w:vMerge w:val="continue"/>
            <w:vAlign w:val="center"/>
          </w:tcPr>
          <w:p>
            <w:pPr>
              <w:spacing w:line="240" w:lineRule="exact"/>
              <w:jc w:val="center"/>
              <w:rPr>
                <w:rFonts w:ascii="仿宋" w:hAnsi="仿宋" w:eastAsia="仿宋" w:cs="仿宋"/>
                <w:bCs/>
                <w:szCs w:val="21"/>
              </w:rPr>
            </w:pPr>
          </w:p>
        </w:tc>
        <w:tc>
          <w:tcPr>
            <w:tcW w:w="992" w:type="pct"/>
            <w:vAlign w:val="center"/>
          </w:tcPr>
          <w:p>
            <w:pPr>
              <w:widowControl/>
              <w:spacing w:line="240" w:lineRule="exact"/>
              <w:jc w:val="center"/>
              <w:rPr>
                <w:rFonts w:ascii="仿宋" w:hAnsi="仿宋" w:eastAsia="仿宋" w:cs="仿宋"/>
                <w:bCs/>
                <w:szCs w:val="21"/>
              </w:rPr>
            </w:pPr>
            <w:r>
              <w:rPr>
                <w:rFonts w:hint="eastAsia" w:ascii="仿宋" w:hAnsi="仿宋" w:eastAsia="仿宋" w:cs="仿宋"/>
                <w:bCs/>
                <w:szCs w:val="21"/>
              </w:rPr>
              <w:t>二甲苯</w:t>
            </w:r>
          </w:p>
        </w:tc>
        <w:tc>
          <w:tcPr>
            <w:tcW w:w="603" w:type="pct"/>
            <w:vAlign w:val="center"/>
          </w:tcPr>
          <w:p>
            <w:pPr>
              <w:widowControl/>
              <w:jc w:val="center"/>
              <w:rPr>
                <w:kern w:val="0"/>
                <w:szCs w:val="21"/>
              </w:rPr>
            </w:pPr>
            <w:r>
              <w:rPr>
                <w:rFonts w:hint="eastAsia"/>
                <w:kern w:val="0"/>
                <w:szCs w:val="21"/>
              </w:rPr>
              <w:t>3</w:t>
            </w:r>
            <w:r>
              <w:rPr>
                <w:kern w:val="0"/>
                <w:szCs w:val="21"/>
              </w:rPr>
              <w:t>6.31</w:t>
            </w:r>
          </w:p>
        </w:tc>
        <w:tc>
          <w:tcPr>
            <w:tcW w:w="800" w:type="pct"/>
            <w:vAlign w:val="center"/>
          </w:tcPr>
          <w:p>
            <w:pPr>
              <w:widowControl/>
              <w:jc w:val="center"/>
              <w:rPr>
                <w:kern w:val="0"/>
                <w:szCs w:val="21"/>
              </w:rPr>
            </w:pPr>
            <w:r>
              <w:rPr>
                <w:rFonts w:hint="eastAsia"/>
                <w:kern w:val="0"/>
                <w:szCs w:val="21"/>
              </w:rPr>
              <w:t>3</w:t>
            </w:r>
            <w:r>
              <w:rPr>
                <w:kern w:val="0"/>
                <w:szCs w:val="21"/>
              </w:rPr>
              <w:t>6.13</w:t>
            </w:r>
          </w:p>
        </w:tc>
        <w:tc>
          <w:tcPr>
            <w:tcW w:w="752" w:type="pct"/>
            <w:vAlign w:val="center"/>
          </w:tcPr>
          <w:p>
            <w:pPr>
              <w:widowControl/>
              <w:jc w:val="center"/>
              <w:rPr>
                <w:kern w:val="0"/>
                <w:szCs w:val="21"/>
              </w:rPr>
            </w:pPr>
            <w:r>
              <w:rPr>
                <w:rFonts w:hint="eastAsia"/>
                <w:kern w:val="0"/>
                <w:szCs w:val="21"/>
              </w:rPr>
              <w:t>0</w:t>
            </w:r>
            <w:r>
              <w:rPr>
                <w:kern w:val="0"/>
                <w:szCs w:val="21"/>
              </w:rPr>
              <w:t>.18</w:t>
            </w:r>
          </w:p>
        </w:tc>
        <w:tc>
          <w:tcPr>
            <w:tcW w:w="1270" w:type="pct"/>
            <w:vAlign w:val="center"/>
          </w:tcPr>
          <w:p>
            <w:pPr>
              <w:widowControl/>
              <w:jc w:val="center"/>
              <w:rPr>
                <w:kern w:val="0"/>
                <w:szCs w:val="21"/>
              </w:rPr>
            </w:pPr>
            <w:r>
              <w:rPr>
                <w:rFonts w:hint="eastAsia"/>
                <w:kern w:val="0"/>
                <w:szCs w:val="21"/>
              </w:rPr>
              <w:t>0</w:t>
            </w:r>
            <w:r>
              <w:rPr>
                <w:kern w:val="0"/>
                <w:szCs w:val="21"/>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268" w:type="pct"/>
            <w:vMerge w:val="continue"/>
            <w:vAlign w:val="center"/>
          </w:tcPr>
          <w:p>
            <w:pPr>
              <w:spacing w:line="240" w:lineRule="exact"/>
              <w:jc w:val="center"/>
              <w:rPr>
                <w:rFonts w:ascii="仿宋" w:hAnsi="仿宋" w:eastAsia="仿宋" w:cs="仿宋"/>
                <w:bCs/>
                <w:szCs w:val="21"/>
              </w:rPr>
            </w:pPr>
          </w:p>
        </w:tc>
        <w:tc>
          <w:tcPr>
            <w:tcW w:w="315" w:type="pct"/>
            <w:vMerge w:val="continue"/>
            <w:vAlign w:val="center"/>
          </w:tcPr>
          <w:p>
            <w:pPr>
              <w:spacing w:line="240" w:lineRule="exact"/>
              <w:jc w:val="center"/>
              <w:rPr>
                <w:rFonts w:ascii="仿宋" w:hAnsi="仿宋" w:eastAsia="仿宋" w:cs="仿宋"/>
                <w:bCs/>
                <w:szCs w:val="21"/>
              </w:rPr>
            </w:pPr>
          </w:p>
        </w:tc>
        <w:tc>
          <w:tcPr>
            <w:tcW w:w="992" w:type="pct"/>
            <w:vAlign w:val="center"/>
          </w:tcPr>
          <w:p>
            <w:pPr>
              <w:widowControl/>
              <w:spacing w:line="240" w:lineRule="exact"/>
              <w:jc w:val="center"/>
              <w:rPr>
                <w:rFonts w:ascii="仿宋" w:hAnsi="仿宋" w:eastAsia="仿宋" w:cs="仿宋"/>
                <w:bCs/>
                <w:szCs w:val="21"/>
              </w:rPr>
            </w:pPr>
            <w:r>
              <w:rPr>
                <w:rFonts w:hint="eastAsia" w:ascii="仿宋" w:hAnsi="仿宋" w:eastAsia="仿宋" w:cs="仿宋"/>
                <w:bCs/>
                <w:szCs w:val="21"/>
              </w:rPr>
              <w:t>颗粒物</w:t>
            </w:r>
          </w:p>
        </w:tc>
        <w:tc>
          <w:tcPr>
            <w:tcW w:w="603"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.07</w:t>
            </w:r>
          </w:p>
        </w:tc>
        <w:tc>
          <w:tcPr>
            <w:tcW w:w="800" w:type="pct"/>
            <w:vAlign w:val="center"/>
          </w:tcPr>
          <w:p>
            <w:pPr>
              <w:jc w:val="center"/>
              <w:rPr>
                <w:kern w:val="0"/>
                <w:szCs w:val="21"/>
              </w:rPr>
            </w:pPr>
            <w:r>
              <w:rPr>
                <w:rFonts w:hint="eastAsia"/>
                <w:kern w:val="0"/>
                <w:szCs w:val="21"/>
              </w:rPr>
              <w:t>0</w:t>
            </w:r>
          </w:p>
        </w:tc>
        <w:tc>
          <w:tcPr>
            <w:tcW w:w="752"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.07</w:t>
            </w:r>
          </w:p>
        </w:tc>
        <w:tc>
          <w:tcPr>
            <w:tcW w:w="1270"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68" w:type="pct"/>
            <w:vMerge w:val="continue"/>
            <w:vAlign w:val="center"/>
          </w:tcPr>
          <w:p>
            <w:pPr>
              <w:spacing w:line="240" w:lineRule="exact"/>
              <w:jc w:val="center"/>
              <w:rPr>
                <w:rFonts w:ascii="仿宋" w:hAnsi="仿宋" w:eastAsia="仿宋" w:cs="仿宋"/>
                <w:bCs/>
                <w:szCs w:val="21"/>
              </w:rPr>
            </w:pPr>
          </w:p>
        </w:tc>
        <w:tc>
          <w:tcPr>
            <w:tcW w:w="315" w:type="pct"/>
            <w:vMerge w:val="continue"/>
            <w:vAlign w:val="center"/>
          </w:tcPr>
          <w:p>
            <w:pPr>
              <w:spacing w:line="240" w:lineRule="exact"/>
              <w:jc w:val="center"/>
              <w:rPr>
                <w:rFonts w:ascii="仿宋" w:hAnsi="仿宋" w:eastAsia="仿宋" w:cs="仿宋"/>
                <w:bCs/>
                <w:szCs w:val="21"/>
              </w:rPr>
            </w:pPr>
          </w:p>
        </w:tc>
        <w:tc>
          <w:tcPr>
            <w:tcW w:w="992" w:type="pct"/>
            <w:vAlign w:val="center"/>
          </w:tcPr>
          <w:p>
            <w:pPr>
              <w:widowControl/>
              <w:spacing w:line="240" w:lineRule="exact"/>
              <w:jc w:val="center"/>
              <w:rPr>
                <w:rFonts w:ascii="仿宋" w:hAnsi="仿宋" w:eastAsia="仿宋" w:cs="仿宋"/>
                <w:bCs/>
                <w:szCs w:val="21"/>
              </w:rPr>
            </w:pPr>
            <w:r>
              <w:rPr>
                <w:rFonts w:hint="eastAsia" w:ascii="仿宋" w:hAnsi="仿宋" w:eastAsia="仿宋" w:cs="仿宋"/>
                <w:bCs/>
                <w:szCs w:val="21"/>
              </w:rPr>
              <w:t>SO</w:t>
            </w:r>
            <w:r>
              <w:rPr>
                <w:rFonts w:hint="eastAsia" w:ascii="仿宋" w:hAnsi="仿宋" w:eastAsia="仿宋" w:cs="仿宋"/>
                <w:bCs/>
                <w:szCs w:val="21"/>
                <w:vertAlign w:val="subscript"/>
              </w:rPr>
              <w:t>2</w:t>
            </w:r>
          </w:p>
        </w:tc>
        <w:tc>
          <w:tcPr>
            <w:tcW w:w="603"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.05</w:t>
            </w:r>
          </w:p>
        </w:tc>
        <w:tc>
          <w:tcPr>
            <w:tcW w:w="800" w:type="pct"/>
            <w:vAlign w:val="center"/>
          </w:tcPr>
          <w:p>
            <w:pPr>
              <w:jc w:val="center"/>
              <w:rPr>
                <w:kern w:val="0"/>
                <w:szCs w:val="21"/>
              </w:rPr>
            </w:pPr>
            <w:r>
              <w:rPr>
                <w:rFonts w:hint="eastAsia"/>
                <w:kern w:val="0"/>
                <w:szCs w:val="21"/>
              </w:rPr>
              <w:t>0</w:t>
            </w:r>
          </w:p>
        </w:tc>
        <w:tc>
          <w:tcPr>
            <w:tcW w:w="752"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.05</w:t>
            </w:r>
          </w:p>
        </w:tc>
        <w:tc>
          <w:tcPr>
            <w:tcW w:w="1270"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68" w:type="pct"/>
            <w:vMerge w:val="continue"/>
            <w:vAlign w:val="center"/>
          </w:tcPr>
          <w:p>
            <w:pPr>
              <w:spacing w:line="240" w:lineRule="exact"/>
              <w:jc w:val="center"/>
              <w:rPr>
                <w:rFonts w:ascii="仿宋" w:hAnsi="仿宋" w:eastAsia="仿宋" w:cs="仿宋"/>
                <w:bCs/>
                <w:szCs w:val="21"/>
              </w:rPr>
            </w:pPr>
          </w:p>
        </w:tc>
        <w:tc>
          <w:tcPr>
            <w:tcW w:w="315" w:type="pct"/>
            <w:vMerge w:val="continue"/>
            <w:vAlign w:val="center"/>
          </w:tcPr>
          <w:p>
            <w:pPr>
              <w:spacing w:line="240" w:lineRule="exact"/>
              <w:jc w:val="center"/>
              <w:rPr>
                <w:rFonts w:ascii="仿宋" w:hAnsi="仿宋" w:eastAsia="仿宋" w:cs="仿宋"/>
                <w:bCs/>
                <w:szCs w:val="21"/>
              </w:rPr>
            </w:pPr>
          </w:p>
        </w:tc>
        <w:tc>
          <w:tcPr>
            <w:tcW w:w="992" w:type="pct"/>
            <w:vAlign w:val="center"/>
          </w:tcPr>
          <w:p>
            <w:pPr>
              <w:widowControl/>
              <w:spacing w:line="240" w:lineRule="exact"/>
              <w:jc w:val="center"/>
              <w:rPr>
                <w:rFonts w:ascii="仿宋" w:hAnsi="仿宋" w:eastAsia="仿宋" w:cs="仿宋"/>
                <w:bCs/>
                <w:szCs w:val="21"/>
              </w:rPr>
            </w:pPr>
            <w:r>
              <w:rPr>
                <w:rFonts w:hint="eastAsia" w:ascii="仿宋" w:hAnsi="仿宋" w:eastAsia="仿宋" w:cs="仿宋"/>
                <w:bCs/>
                <w:szCs w:val="21"/>
              </w:rPr>
              <w:t>NOx</w:t>
            </w:r>
          </w:p>
        </w:tc>
        <w:tc>
          <w:tcPr>
            <w:tcW w:w="603"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.38</w:t>
            </w:r>
          </w:p>
        </w:tc>
        <w:tc>
          <w:tcPr>
            <w:tcW w:w="800" w:type="pct"/>
            <w:vAlign w:val="center"/>
          </w:tcPr>
          <w:p>
            <w:pPr>
              <w:jc w:val="center"/>
              <w:rPr>
                <w:kern w:val="0"/>
                <w:szCs w:val="21"/>
              </w:rPr>
            </w:pPr>
            <w:r>
              <w:rPr>
                <w:rFonts w:hint="eastAsia"/>
                <w:kern w:val="0"/>
                <w:szCs w:val="21"/>
              </w:rPr>
              <w:t>0</w:t>
            </w:r>
          </w:p>
        </w:tc>
        <w:tc>
          <w:tcPr>
            <w:tcW w:w="752"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.38</w:t>
            </w:r>
          </w:p>
        </w:tc>
        <w:tc>
          <w:tcPr>
            <w:tcW w:w="1270"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268" w:type="pct"/>
            <w:vMerge w:val="continue"/>
            <w:vAlign w:val="center"/>
          </w:tcPr>
          <w:p>
            <w:pPr>
              <w:spacing w:line="240" w:lineRule="exact"/>
              <w:jc w:val="center"/>
              <w:rPr>
                <w:rFonts w:ascii="仿宋" w:hAnsi="仿宋" w:eastAsia="仿宋" w:cs="仿宋"/>
                <w:bCs/>
                <w:szCs w:val="21"/>
              </w:rPr>
            </w:pPr>
          </w:p>
        </w:tc>
        <w:tc>
          <w:tcPr>
            <w:tcW w:w="315" w:type="pct"/>
            <w:vMerge w:val="restart"/>
            <w:vAlign w:val="center"/>
          </w:tcPr>
          <w:p>
            <w:pPr>
              <w:spacing w:line="240" w:lineRule="exact"/>
              <w:jc w:val="center"/>
              <w:rPr>
                <w:rFonts w:ascii="仿宋" w:hAnsi="仿宋" w:eastAsia="仿宋" w:cs="仿宋"/>
                <w:bCs/>
                <w:szCs w:val="21"/>
              </w:rPr>
            </w:pPr>
            <w:r>
              <w:rPr>
                <w:rFonts w:ascii="仿宋" w:hAnsi="仿宋" w:eastAsia="仿宋" w:cs="仿宋"/>
                <w:bCs/>
                <w:szCs w:val="21"/>
              </w:rPr>
              <w:t>无组织废气</w:t>
            </w:r>
          </w:p>
        </w:tc>
        <w:tc>
          <w:tcPr>
            <w:tcW w:w="992" w:type="pct"/>
            <w:vAlign w:val="center"/>
          </w:tcPr>
          <w:p>
            <w:pPr>
              <w:widowControl/>
              <w:spacing w:line="240" w:lineRule="exact"/>
              <w:jc w:val="center"/>
              <w:rPr>
                <w:rFonts w:ascii="仿宋" w:hAnsi="仿宋" w:eastAsia="仿宋" w:cs="仿宋"/>
                <w:bCs/>
                <w:szCs w:val="21"/>
              </w:rPr>
            </w:pPr>
            <w:r>
              <w:rPr>
                <w:rFonts w:hint="eastAsia" w:ascii="仿宋" w:hAnsi="仿宋" w:eastAsia="仿宋" w:cs="仿宋"/>
                <w:bCs/>
                <w:szCs w:val="21"/>
              </w:rPr>
              <w:t>VOC</w:t>
            </w:r>
            <w:r>
              <w:rPr>
                <w:rFonts w:ascii="仿宋" w:hAnsi="仿宋" w:eastAsia="仿宋" w:cs="仿宋"/>
                <w:bCs/>
                <w:szCs w:val="21"/>
              </w:rPr>
              <w:t>s</w:t>
            </w:r>
          </w:p>
        </w:tc>
        <w:tc>
          <w:tcPr>
            <w:tcW w:w="603" w:type="pct"/>
            <w:vAlign w:val="center"/>
          </w:tcPr>
          <w:p>
            <w:pPr>
              <w:widowControl/>
              <w:jc w:val="center"/>
              <w:rPr>
                <w:kern w:val="0"/>
                <w:szCs w:val="21"/>
              </w:rPr>
            </w:pPr>
            <w:r>
              <w:rPr>
                <w:rFonts w:hint="eastAsia"/>
                <w:kern w:val="0"/>
                <w:szCs w:val="21"/>
              </w:rPr>
              <w:t>1</w:t>
            </w:r>
            <w:r>
              <w:rPr>
                <w:kern w:val="0"/>
                <w:szCs w:val="21"/>
              </w:rPr>
              <w:t>.91</w:t>
            </w:r>
          </w:p>
        </w:tc>
        <w:tc>
          <w:tcPr>
            <w:tcW w:w="800" w:type="pct"/>
            <w:vAlign w:val="center"/>
          </w:tcPr>
          <w:p>
            <w:pPr>
              <w:widowControl/>
              <w:jc w:val="center"/>
              <w:rPr>
                <w:kern w:val="0"/>
                <w:szCs w:val="21"/>
              </w:rPr>
            </w:pPr>
            <w:r>
              <w:rPr>
                <w:rFonts w:hint="eastAsia"/>
                <w:kern w:val="0"/>
                <w:szCs w:val="21"/>
              </w:rPr>
              <w:t>0</w:t>
            </w:r>
          </w:p>
        </w:tc>
        <w:tc>
          <w:tcPr>
            <w:tcW w:w="752" w:type="pct"/>
            <w:vAlign w:val="center"/>
          </w:tcPr>
          <w:p>
            <w:pPr>
              <w:widowControl/>
              <w:jc w:val="center"/>
              <w:rPr>
                <w:kern w:val="0"/>
                <w:szCs w:val="21"/>
              </w:rPr>
            </w:pPr>
            <w:r>
              <w:rPr>
                <w:rFonts w:hint="eastAsia"/>
                <w:kern w:val="0"/>
                <w:szCs w:val="21"/>
              </w:rPr>
              <w:t>1</w:t>
            </w:r>
            <w:r>
              <w:rPr>
                <w:kern w:val="0"/>
                <w:szCs w:val="21"/>
              </w:rPr>
              <w:t>.91</w:t>
            </w:r>
          </w:p>
        </w:tc>
        <w:tc>
          <w:tcPr>
            <w:tcW w:w="1270" w:type="pct"/>
            <w:vAlign w:val="center"/>
          </w:tcPr>
          <w:p>
            <w:pPr>
              <w:widowControl/>
              <w:jc w:val="center"/>
              <w:rPr>
                <w:kern w:val="0"/>
                <w:szCs w:val="21"/>
              </w:rPr>
            </w:pPr>
            <w:r>
              <w:rPr>
                <w:rFonts w:hint="eastAsia"/>
                <w:kern w:val="0"/>
                <w:szCs w:val="21"/>
              </w:rPr>
              <w:t>1</w:t>
            </w:r>
            <w:r>
              <w:rPr>
                <w:kern w:val="0"/>
                <w:szCs w:val="21"/>
              </w:rPr>
              <w:t>.91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268" w:type="pct"/>
            <w:vMerge w:val="continue"/>
            <w:vAlign w:val="center"/>
          </w:tcPr>
          <w:p>
            <w:pPr>
              <w:spacing w:line="240" w:lineRule="exact"/>
              <w:jc w:val="center"/>
              <w:rPr>
                <w:rFonts w:ascii="仿宋" w:hAnsi="仿宋" w:eastAsia="仿宋" w:cs="仿宋"/>
                <w:bCs/>
                <w:szCs w:val="21"/>
              </w:rPr>
            </w:pPr>
          </w:p>
        </w:tc>
        <w:tc>
          <w:tcPr>
            <w:tcW w:w="315" w:type="pct"/>
            <w:vMerge w:val="continue"/>
            <w:vAlign w:val="center"/>
          </w:tcPr>
          <w:p>
            <w:pPr>
              <w:spacing w:line="240" w:lineRule="exact"/>
              <w:jc w:val="center"/>
              <w:rPr>
                <w:rFonts w:ascii="仿宋" w:hAnsi="仿宋" w:eastAsia="仿宋" w:cs="仿宋"/>
                <w:bCs/>
                <w:szCs w:val="21"/>
              </w:rPr>
            </w:pPr>
          </w:p>
        </w:tc>
        <w:tc>
          <w:tcPr>
            <w:tcW w:w="992" w:type="pct"/>
            <w:vAlign w:val="center"/>
          </w:tcPr>
          <w:p>
            <w:pPr>
              <w:widowControl/>
              <w:spacing w:line="240" w:lineRule="exact"/>
              <w:jc w:val="center"/>
              <w:rPr>
                <w:rFonts w:ascii="仿宋" w:hAnsi="仿宋" w:eastAsia="仿宋" w:cs="仿宋"/>
                <w:bCs/>
                <w:szCs w:val="21"/>
              </w:rPr>
            </w:pPr>
            <w:r>
              <w:rPr>
                <w:rFonts w:hint="eastAsia" w:ascii="仿宋" w:hAnsi="仿宋" w:eastAsia="仿宋" w:cs="仿宋"/>
                <w:bCs/>
                <w:szCs w:val="21"/>
              </w:rPr>
              <w:t>非甲烷总烃</w:t>
            </w:r>
          </w:p>
        </w:tc>
        <w:tc>
          <w:tcPr>
            <w:tcW w:w="603" w:type="pct"/>
            <w:vAlign w:val="center"/>
          </w:tcPr>
          <w:p>
            <w:pPr>
              <w:widowControl/>
              <w:jc w:val="center"/>
              <w:rPr>
                <w:kern w:val="0"/>
                <w:szCs w:val="21"/>
              </w:rPr>
            </w:pPr>
            <w:r>
              <w:rPr>
                <w:rFonts w:hint="eastAsia"/>
                <w:kern w:val="0"/>
                <w:szCs w:val="21"/>
              </w:rPr>
              <w:t>1</w:t>
            </w:r>
            <w:r>
              <w:rPr>
                <w:kern w:val="0"/>
                <w:szCs w:val="21"/>
              </w:rPr>
              <w:t>.91</w:t>
            </w:r>
          </w:p>
        </w:tc>
        <w:tc>
          <w:tcPr>
            <w:tcW w:w="800" w:type="pct"/>
            <w:vAlign w:val="center"/>
          </w:tcPr>
          <w:p>
            <w:pPr>
              <w:widowControl/>
              <w:jc w:val="center"/>
              <w:rPr>
                <w:kern w:val="0"/>
                <w:szCs w:val="21"/>
              </w:rPr>
            </w:pPr>
            <w:r>
              <w:rPr>
                <w:rFonts w:hint="eastAsia"/>
                <w:kern w:val="0"/>
                <w:szCs w:val="21"/>
              </w:rPr>
              <w:t>0</w:t>
            </w:r>
          </w:p>
        </w:tc>
        <w:tc>
          <w:tcPr>
            <w:tcW w:w="752" w:type="pct"/>
            <w:vAlign w:val="center"/>
          </w:tcPr>
          <w:p>
            <w:pPr>
              <w:widowControl/>
              <w:jc w:val="center"/>
              <w:rPr>
                <w:kern w:val="0"/>
                <w:szCs w:val="21"/>
              </w:rPr>
            </w:pPr>
            <w:r>
              <w:rPr>
                <w:rFonts w:hint="eastAsia"/>
                <w:kern w:val="0"/>
                <w:szCs w:val="21"/>
              </w:rPr>
              <w:t>1</w:t>
            </w:r>
            <w:r>
              <w:rPr>
                <w:kern w:val="0"/>
                <w:szCs w:val="21"/>
              </w:rPr>
              <w:t>.91</w:t>
            </w:r>
          </w:p>
        </w:tc>
        <w:tc>
          <w:tcPr>
            <w:tcW w:w="1270" w:type="pct"/>
            <w:vAlign w:val="center"/>
          </w:tcPr>
          <w:p>
            <w:pPr>
              <w:widowControl/>
              <w:jc w:val="center"/>
              <w:rPr>
                <w:kern w:val="0"/>
                <w:szCs w:val="21"/>
              </w:rPr>
            </w:pPr>
            <w:r>
              <w:rPr>
                <w:rFonts w:hint="eastAsia"/>
                <w:kern w:val="0"/>
                <w:szCs w:val="21"/>
              </w:rPr>
              <w:t>1</w:t>
            </w:r>
            <w:r>
              <w:rPr>
                <w:kern w:val="0"/>
                <w:szCs w:val="21"/>
              </w:rPr>
              <w:t>.91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268" w:type="pct"/>
            <w:vMerge w:val="continue"/>
            <w:vAlign w:val="center"/>
          </w:tcPr>
          <w:p>
            <w:pPr>
              <w:spacing w:line="240" w:lineRule="exact"/>
              <w:jc w:val="center"/>
              <w:rPr>
                <w:rFonts w:ascii="仿宋" w:hAnsi="仿宋" w:eastAsia="仿宋" w:cs="仿宋"/>
                <w:bCs/>
                <w:szCs w:val="21"/>
              </w:rPr>
            </w:pPr>
          </w:p>
        </w:tc>
        <w:tc>
          <w:tcPr>
            <w:tcW w:w="315" w:type="pct"/>
            <w:vMerge w:val="continue"/>
            <w:vAlign w:val="center"/>
          </w:tcPr>
          <w:p>
            <w:pPr>
              <w:spacing w:line="240" w:lineRule="exact"/>
              <w:jc w:val="center"/>
              <w:rPr>
                <w:rFonts w:ascii="仿宋" w:hAnsi="仿宋" w:eastAsia="仿宋" w:cs="仿宋"/>
                <w:bCs/>
                <w:szCs w:val="21"/>
              </w:rPr>
            </w:pPr>
          </w:p>
        </w:tc>
        <w:tc>
          <w:tcPr>
            <w:tcW w:w="992" w:type="pct"/>
            <w:vAlign w:val="center"/>
          </w:tcPr>
          <w:p>
            <w:pPr>
              <w:jc w:val="center"/>
              <w:rPr>
                <w:rFonts w:ascii="仿宋" w:hAnsi="仿宋" w:eastAsia="仿宋" w:cs="仿宋"/>
                <w:bCs/>
                <w:szCs w:val="21"/>
              </w:rPr>
            </w:pPr>
            <w:r>
              <w:rPr>
                <w:rFonts w:hint="eastAsia" w:ascii="仿宋" w:hAnsi="仿宋" w:eastAsia="仿宋" w:cs="仿宋"/>
                <w:bCs/>
                <w:szCs w:val="21"/>
              </w:rPr>
              <w:t>乙酸乙酯</w:t>
            </w:r>
          </w:p>
        </w:tc>
        <w:tc>
          <w:tcPr>
            <w:tcW w:w="603" w:type="pct"/>
            <w:vAlign w:val="center"/>
          </w:tcPr>
          <w:p>
            <w:pPr>
              <w:widowControl/>
              <w:jc w:val="center"/>
              <w:rPr>
                <w:kern w:val="0"/>
                <w:szCs w:val="21"/>
              </w:rPr>
            </w:pPr>
            <w:r>
              <w:rPr>
                <w:rFonts w:hint="eastAsia"/>
                <w:kern w:val="0"/>
                <w:szCs w:val="21"/>
              </w:rPr>
              <w:t>1</w:t>
            </w:r>
            <w:r>
              <w:rPr>
                <w:kern w:val="0"/>
                <w:szCs w:val="21"/>
              </w:rPr>
              <w:t>.66</w:t>
            </w:r>
          </w:p>
        </w:tc>
        <w:tc>
          <w:tcPr>
            <w:tcW w:w="800" w:type="pct"/>
            <w:vAlign w:val="center"/>
          </w:tcPr>
          <w:p>
            <w:pPr>
              <w:widowControl/>
              <w:jc w:val="center"/>
              <w:rPr>
                <w:kern w:val="0"/>
                <w:szCs w:val="21"/>
              </w:rPr>
            </w:pPr>
            <w:r>
              <w:rPr>
                <w:rFonts w:hint="eastAsia"/>
                <w:kern w:val="0"/>
                <w:szCs w:val="21"/>
              </w:rPr>
              <w:t>0</w:t>
            </w:r>
          </w:p>
        </w:tc>
        <w:tc>
          <w:tcPr>
            <w:tcW w:w="752" w:type="pct"/>
            <w:vAlign w:val="center"/>
          </w:tcPr>
          <w:p>
            <w:pPr>
              <w:widowControl/>
              <w:jc w:val="center"/>
              <w:rPr>
                <w:kern w:val="0"/>
                <w:szCs w:val="21"/>
              </w:rPr>
            </w:pPr>
            <w:r>
              <w:rPr>
                <w:rFonts w:hint="eastAsia"/>
                <w:kern w:val="0"/>
                <w:szCs w:val="21"/>
              </w:rPr>
              <w:t>1</w:t>
            </w:r>
            <w:r>
              <w:rPr>
                <w:kern w:val="0"/>
                <w:szCs w:val="21"/>
              </w:rPr>
              <w:t>.66</w:t>
            </w:r>
          </w:p>
        </w:tc>
        <w:tc>
          <w:tcPr>
            <w:tcW w:w="1270" w:type="pct"/>
            <w:vAlign w:val="center"/>
          </w:tcPr>
          <w:p>
            <w:pPr>
              <w:widowControl/>
              <w:jc w:val="center"/>
              <w:rPr>
                <w:kern w:val="0"/>
                <w:szCs w:val="21"/>
              </w:rPr>
            </w:pPr>
            <w:r>
              <w:rPr>
                <w:rFonts w:hint="eastAsia"/>
                <w:kern w:val="0"/>
                <w:szCs w:val="21"/>
              </w:rPr>
              <w:t>1</w:t>
            </w:r>
            <w:r>
              <w:rPr>
                <w:kern w:val="0"/>
                <w:szCs w:val="21"/>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68" w:type="pct"/>
            <w:vMerge w:val="continue"/>
            <w:vAlign w:val="center"/>
          </w:tcPr>
          <w:p>
            <w:pPr>
              <w:spacing w:line="240" w:lineRule="exact"/>
              <w:jc w:val="center"/>
              <w:rPr>
                <w:rFonts w:ascii="仿宋" w:hAnsi="仿宋" w:eastAsia="仿宋" w:cs="仿宋"/>
                <w:bCs/>
                <w:szCs w:val="21"/>
              </w:rPr>
            </w:pPr>
          </w:p>
        </w:tc>
        <w:tc>
          <w:tcPr>
            <w:tcW w:w="315" w:type="pct"/>
            <w:vMerge w:val="continue"/>
            <w:vAlign w:val="center"/>
          </w:tcPr>
          <w:p>
            <w:pPr>
              <w:spacing w:line="240" w:lineRule="exact"/>
              <w:jc w:val="center"/>
              <w:rPr>
                <w:rFonts w:ascii="仿宋" w:hAnsi="仿宋" w:eastAsia="仿宋" w:cs="仿宋"/>
                <w:bCs/>
                <w:szCs w:val="21"/>
              </w:rPr>
            </w:pPr>
          </w:p>
        </w:tc>
        <w:tc>
          <w:tcPr>
            <w:tcW w:w="992" w:type="pct"/>
            <w:vAlign w:val="center"/>
          </w:tcPr>
          <w:p>
            <w:pPr>
              <w:widowControl/>
              <w:spacing w:line="240" w:lineRule="exact"/>
              <w:jc w:val="center"/>
              <w:rPr>
                <w:rFonts w:ascii="仿宋" w:hAnsi="仿宋" w:eastAsia="仿宋" w:cs="仿宋"/>
                <w:bCs/>
                <w:szCs w:val="21"/>
              </w:rPr>
            </w:pPr>
            <w:r>
              <w:rPr>
                <w:rFonts w:hint="eastAsia" w:ascii="仿宋" w:hAnsi="仿宋" w:eastAsia="仿宋" w:cs="仿宋"/>
                <w:bCs/>
                <w:szCs w:val="21"/>
              </w:rPr>
              <w:t>二甲苯</w:t>
            </w:r>
          </w:p>
        </w:tc>
        <w:tc>
          <w:tcPr>
            <w:tcW w:w="603" w:type="pct"/>
            <w:vAlign w:val="center"/>
          </w:tcPr>
          <w:p>
            <w:pPr>
              <w:widowControl/>
              <w:jc w:val="center"/>
              <w:rPr>
                <w:kern w:val="0"/>
                <w:szCs w:val="21"/>
              </w:rPr>
            </w:pPr>
            <w:r>
              <w:rPr>
                <w:rFonts w:hint="eastAsia"/>
                <w:kern w:val="0"/>
                <w:szCs w:val="21"/>
              </w:rPr>
              <w:t>0</w:t>
            </w:r>
            <w:r>
              <w:rPr>
                <w:kern w:val="0"/>
                <w:szCs w:val="21"/>
              </w:rPr>
              <w:t>.19</w:t>
            </w:r>
          </w:p>
        </w:tc>
        <w:tc>
          <w:tcPr>
            <w:tcW w:w="800" w:type="pct"/>
            <w:vAlign w:val="center"/>
          </w:tcPr>
          <w:p>
            <w:pPr>
              <w:widowControl/>
              <w:jc w:val="center"/>
              <w:rPr>
                <w:kern w:val="0"/>
                <w:szCs w:val="21"/>
              </w:rPr>
            </w:pPr>
            <w:r>
              <w:rPr>
                <w:rFonts w:hint="eastAsia"/>
                <w:kern w:val="0"/>
                <w:szCs w:val="21"/>
              </w:rPr>
              <w:t>0</w:t>
            </w:r>
          </w:p>
        </w:tc>
        <w:tc>
          <w:tcPr>
            <w:tcW w:w="752" w:type="pct"/>
            <w:vAlign w:val="center"/>
          </w:tcPr>
          <w:p>
            <w:pPr>
              <w:widowControl/>
              <w:jc w:val="center"/>
              <w:rPr>
                <w:kern w:val="0"/>
                <w:szCs w:val="21"/>
              </w:rPr>
            </w:pPr>
            <w:r>
              <w:rPr>
                <w:rFonts w:hint="eastAsia"/>
                <w:kern w:val="0"/>
                <w:szCs w:val="21"/>
              </w:rPr>
              <w:t>0</w:t>
            </w:r>
            <w:r>
              <w:rPr>
                <w:kern w:val="0"/>
                <w:szCs w:val="21"/>
              </w:rPr>
              <w:t>.19</w:t>
            </w:r>
          </w:p>
        </w:tc>
        <w:tc>
          <w:tcPr>
            <w:tcW w:w="1270" w:type="pct"/>
            <w:vAlign w:val="center"/>
          </w:tcPr>
          <w:p>
            <w:pPr>
              <w:widowControl/>
              <w:jc w:val="center"/>
              <w:rPr>
                <w:kern w:val="0"/>
                <w:szCs w:val="21"/>
              </w:rPr>
            </w:pPr>
            <w:r>
              <w:rPr>
                <w:rFonts w:hint="eastAsia"/>
                <w:kern w:val="0"/>
                <w:szCs w:val="21"/>
              </w:rPr>
              <w:t>0</w:t>
            </w:r>
            <w:r>
              <w:rPr>
                <w:kern w:val="0"/>
                <w:szCs w:val="21"/>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3" w:type="pct"/>
            <w:gridSpan w:val="2"/>
            <w:vMerge w:val="restart"/>
            <w:vAlign w:val="center"/>
          </w:tcPr>
          <w:p>
            <w:pPr>
              <w:spacing w:line="240" w:lineRule="exact"/>
              <w:jc w:val="center"/>
              <w:rPr>
                <w:rFonts w:ascii="仿宋" w:hAnsi="仿宋" w:eastAsia="仿宋" w:cs="仿宋"/>
                <w:bCs/>
                <w:szCs w:val="21"/>
              </w:rPr>
            </w:pPr>
            <w:r>
              <w:rPr>
                <w:rFonts w:ascii="仿宋" w:hAnsi="仿宋" w:eastAsia="仿宋" w:cs="仿宋"/>
                <w:bCs/>
                <w:szCs w:val="21"/>
              </w:rPr>
              <w:t>固废</w:t>
            </w:r>
          </w:p>
        </w:tc>
        <w:tc>
          <w:tcPr>
            <w:tcW w:w="992"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一般</w:t>
            </w:r>
            <w:r>
              <w:rPr>
                <w:rFonts w:ascii="仿宋" w:hAnsi="仿宋" w:eastAsia="仿宋" w:cs="仿宋"/>
                <w:bCs/>
                <w:szCs w:val="21"/>
              </w:rPr>
              <w:t>固废</w:t>
            </w:r>
          </w:p>
        </w:tc>
        <w:tc>
          <w:tcPr>
            <w:tcW w:w="603" w:type="pct"/>
            <w:vAlign w:val="center"/>
          </w:tcPr>
          <w:p>
            <w:pPr>
              <w:widowControl/>
              <w:jc w:val="center"/>
              <w:rPr>
                <w:kern w:val="0"/>
                <w:szCs w:val="21"/>
              </w:rPr>
            </w:pPr>
            <w:r>
              <w:rPr>
                <w:rFonts w:hint="eastAsia"/>
                <w:kern w:val="0"/>
                <w:szCs w:val="21"/>
              </w:rPr>
              <w:t>4</w:t>
            </w:r>
            <w:r>
              <w:rPr>
                <w:kern w:val="0"/>
                <w:szCs w:val="21"/>
              </w:rPr>
              <w:t>8.3</w:t>
            </w:r>
          </w:p>
        </w:tc>
        <w:tc>
          <w:tcPr>
            <w:tcW w:w="800" w:type="pct"/>
            <w:vAlign w:val="center"/>
          </w:tcPr>
          <w:p>
            <w:pPr>
              <w:widowControl/>
              <w:jc w:val="center"/>
              <w:rPr>
                <w:kern w:val="0"/>
                <w:szCs w:val="21"/>
              </w:rPr>
            </w:pPr>
            <w:r>
              <w:rPr>
                <w:rFonts w:hint="eastAsia"/>
                <w:kern w:val="0"/>
                <w:szCs w:val="21"/>
              </w:rPr>
              <w:t>4</w:t>
            </w:r>
            <w:r>
              <w:rPr>
                <w:kern w:val="0"/>
                <w:szCs w:val="21"/>
              </w:rPr>
              <w:t>8.3</w:t>
            </w:r>
          </w:p>
        </w:tc>
        <w:tc>
          <w:tcPr>
            <w:tcW w:w="752" w:type="pct"/>
            <w:vAlign w:val="center"/>
          </w:tcPr>
          <w:p>
            <w:pPr>
              <w:pStyle w:val="124"/>
              <w:rPr>
                <w:rFonts w:ascii="Times New Roman" w:eastAsia="宋体"/>
                <w:kern w:val="0"/>
                <w:szCs w:val="21"/>
              </w:rPr>
            </w:pPr>
            <w:r>
              <w:rPr>
                <w:rFonts w:hint="eastAsia" w:ascii="Times New Roman" w:eastAsia="宋体"/>
                <w:kern w:val="0"/>
                <w:szCs w:val="21"/>
              </w:rPr>
              <w:t>0</w:t>
            </w:r>
          </w:p>
        </w:tc>
        <w:tc>
          <w:tcPr>
            <w:tcW w:w="1270" w:type="pct"/>
            <w:vAlign w:val="center"/>
          </w:tcPr>
          <w:p>
            <w:pPr>
              <w:pStyle w:val="124"/>
              <w:rPr>
                <w:rFonts w:ascii="Times New Roman" w:eastAsia="宋体"/>
                <w:kern w:val="0"/>
                <w:szCs w:val="21"/>
              </w:rPr>
            </w:pPr>
            <w:r>
              <w:rPr>
                <w:rFonts w:hint="eastAsia" w:ascii="Times New Roman" w:eastAsia="宋体"/>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3" w:type="pct"/>
            <w:gridSpan w:val="2"/>
            <w:vMerge w:val="continue"/>
            <w:vAlign w:val="center"/>
          </w:tcPr>
          <w:p>
            <w:pPr>
              <w:spacing w:line="240" w:lineRule="exact"/>
              <w:jc w:val="center"/>
              <w:rPr>
                <w:rFonts w:ascii="仿宋" w:hAnsi="仿宋" w:eastAsia="仿宋" w:cs="仿宋"/>
                <w:bCs/>
                <w:szCs w:val="21"/>
              </w:rPr>
            </w:pPr>
          </w:p>
        </w:tc>
        <w:tc>
          <w:tcPr>
            <w:tcW w:w="992"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危险固废</w:t>
            </w:r>
          </w:p>
        </w:tc>
        <w:tc>
          <w:tcPr>
            <w:tcW w:w="603" w:type="pct"/>
            <w:vAlign w:val="center"/>
          </w:tcPr>
          <w:p>
            <w:pPr>
              <w:widowControl/>
              <w:jc w:val="center"/>
              <w:rPr>
                <w:kern w:val="0"/>
                <w:szCs w:val="21"/>
              </w:rPr>
            </w:pPr>
            <w:r>
              <w:rPr>
                <w:rFonts w:hint="eastAsia"/>
                <w:kern w:val="0"/>
                <w:szCs w:val="21"/>
              </w:rPr>
              <w:t>8</w:t>
            </w:r>
            <w:r>
              <w:rPr>
                <w:kern w:val="0"/>
                <w:szCs w:val="21"/>
              </w:rPr>
              <w:t>.914</w:t>
            </w:r>
          </w:p>
        </w:tc>
        <w:tc>
          <w:tcPr>
            <w:tcW w:w="800" w:type="pct"/>
            <w:vAlign w:val="center"/>
          </w:tcPr>
          <w:p>
            <w:pPr>
              <w:widowControl/>
              <w:jc w:val="center"/>
              <w:rPr>
                <w:kern w:val="0"/>
                <w:szCs w:val="21"/>
              </w:rPr>
            </w:pPr>
            <w:r>
              <w:rPr>
                <w:rFonts w:hint="eastAsia"/>
                <w:kern w:val="0"/>
                <w:szCs w:val="21"/>
              </w:rPr>
              <w:t>8</w:t>
            </w:r>
            <w:r>
              <w:rPr>
                <w:kern w:val="0"/>
                <w:szCs w:val="21"/>
              </w:rPr>
              <w:t>.914</w:t>
            </w:r>
          </w:p>
        </w:tc>
        <w:tc>
          <w:tcPr>
            <w:tcW w:w="752" w:type="pct"/>
            <w:vAlign w:val="center"/>
          </w:tcPr>
          <w:p>
            <w:pPr>
              <w:pStyle w:val="124"/>
              <w:widowControl/>
              <w:rPr>
                <w:rFonts w:ascii="Times New Roman" w:eastAsia="宋体"/>
                <w:kern w:val="0"/>
                <w:szCs w:val="21"/>
              </w:rPr>
            </w:pPr>
            <w:r>
              <w:rPr>
                <w:rFonts w:hint="eastAsia" w:ascii="Times New Roman" w:eastAsia="宋体"/>
                <w:kern w:val="0"/>
                <w:szCs w:val="21"/>
              </w:rPr>
              <w:t>0</w:t>
            </w:r>
          </w:p>
        </w:tc>
        <w:tc>
          <w:tcPr>
            <w:tcW w:w="1270" w:type="pct"/>
            <w:vAlign w:val="center"/>
          </w:tcPr>
          <w:p>
            <w:pPr>
              <w:pStyle w:val="124"/>
              <w:widowControl/>
              <w:rPr>
                <w:rFonts w:ascii="Times New Roman" w:eastAsia="宋体"/>
                <w:kern w:val="0"/>
                <w:szCs w:val="21"/>
              </w:rPr>
            </w:pPr>
            <w:r>
              <w:rPr>
                <w:rFonts w:hint="eastAsia" w:ascii="Times New Roman" w:eastAsia="宋体"/>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3" w:type="pct"/>
            <w:gridSpan w:val="2"/>
            <w:vMerge w:val="continue"/>
            <w:vAlign w:val="center"/>
          </w:tcPr>
          <w:p>
            <w:pPr>
              <w:spacing w:line="240" w:lineRule="exact"/>
              <w:jc w:val="center"/>
              <w:rPr>
                <w:rFonts w:ascii="仿宋" w:hAnsi="仿宋" w:eastAsia="仿宋" w:cs="仿宋"/>
                <w:bCs/>
                <w:szCs w:val="21"/>
              </w:rPr>
            </w:pPr>
          </w:p>
        </w:tc>
        <w:tc>
          <w:tcPr>
            <w:tcW w:w="992" w:type="pct"/>
            <w:vAlign w:val="center"/>
          </w:tcPr>
          <w:p>
            <w:pPr>
              <w:spacing w:line="240" w:lineRule="exact"/>
              <w:jc w:val="center"/>
              <w:rPr>
                <w:rFonts w:ascii="仿宋" w:hAnsi="仿宋" w:eastAsia="仿宋" w:cs="仿宋"/>
                <w:bCs/>
                <w:szCs w:val="21"/>
              </w:rPr>
            </w:pPr>
            <w:r>
              <w:rPr>
                <w:rFonts w:ascii="仿宋" w:hAnsi="仿宋" w:eastAsia="仿宋" w:cs="仿宋"/>
                <w:bCs/>
                <w:szCs w:val="21"/>
              </w:rPr>
              <w:t>生活垃圾</w:t>
            </w:r>
          </w:p>
        </w:tc>
        <w:tc>
          <w:tcPr>
            <w:tcW w:w="603" w:type="pct"/>
            <w:vAlign w:val="center"/>
          </w:tcPr>
          <w:p>
            <w:pPr>
              <w:widowControl/>
              <w:jc w:val="center"/>
              <w:rPr>
                <w:kern w:val="0"/>
                <w:szCs w:val="21"/>
              </w:rPr>
            </w:pPr>
            <w:r>
              <w:rPr>
                <w:rFonts w:hint="eastAsia"/>
                <w:kern w:val="0"/>
                <w:szCs w:val="21"/>
              </w:rPr>
              <w:t>6.75</w:t>
            </w:r>
          </w:p>
        </w:tc>
        <w:tc>
          <w:tcPr>
            <w:tcW w:w="800" w:type="pct"/>
            <w:vAlign w:val="center"/>
          </w:tcPr>
          <w:p>
            <w:pPr>
              <w:widowControl/>
              <w:jc w:val="center"/>
              <w:rPr>
                <w:kern w:val="0"/>
                <w:szCs w:val="21"/>
              </w:rPr>
            </w:pPr>
            <w:r>
              <w:rPr>
                <w:rFonts w:hint="eastAsia"/>
                <w:kern w:val="0"/>
                <w:szCs w:val="21"/>
              </w:rPr>
              <w:t>6.75</w:t>
            </w:r>
          </w:p>
        </w:tc>
        <w:tc>
          <w:tcPr>
            <w:tcW w:w="752" w:type="pct"/>
            <w:vAlign w:val="center"/>
          </w:tcPr>
          <w:p>
            <w:pPr>
              <w:pStyle w:val="124"/>
              <w:widowControl/>
              <w:rPr>
                <w:rFonts w:ascii="Times New Roman" w:eastAsia="宋体"/>
                <w:kern w:val="0"/>
                <w:szCs w:val="21"/>
              </w:rPr>
            </w:pPr>
            <w:r>
              <w:rPr>
                <w:rFonts w:hint="eastAsia" w:ascii="Times New Roman" w:eastAsia="宋体"/>
                <w:kern w:val="0"/>
                <w:szCs w:val="21"/>
              </w:rPr>
              <w:t>0</w:t>
            </w:r>
          </w:p>
        </w:tc>
        <w:tc>
          <w:tcPr>
            <w:tcW w:w="1270" w:type="pct"/>
            <w:vAlign w:val="center"/>
          </w:tcPr>
          <w:p>
            <w:pPr>
              <w:pStyle w:val="124"/>
              <w:widowControl/>
              <w:rPr>
                <w:rFonts w:ascii="Times New Roman" w:eastAsia="宋体"/>
                <w:kern w:val="0"/>
                <w:szCs w:val="21"/>
              </w:rPr>
            </w:pPr>
            <w:r>
              <w:rPr>
                <w:rFonts w:hint="eastAsia" w:ascii="Times New Roman" w:eastAsia="宋体"/>
                <w:kern w:val="0"/>
                <w:szCs w:val="21"/>
              </w:rPr>
              <w:t>0</w:t>
            </w:r>
          </w:p>
        </w:tc>
      </w:tr>
    </w:tbl>
    <w:p>
      <w:pPr>
        <w:spacing w:line="360" w:lineRule="exact"/>
        <w:ind w:firstLine="482" w:firstLineChars="200"/>
        <w:jc w:val="left"/>
        <w:rPr>
          <w:rFonts w:eastAsia="仿宋_GB2312"/>
          <w:b/>
          <w:bCs/>
          <w:szCs w:val="21"/>
        </w:rPr>
      </w:pPr>
      <w:r>
        <w:rPr>
          <w:rFonts w:hint="eastAsia" w:eastAsia="仿宋_GB2312"/>
          <w:b/>
          <w:sz w:val="24"/>
        </w:rPr>
        <w:t>注：</w:t>
      </w:r>
      <w:r>
        <w:rPr>
          <w:rFonts w:hint="eastAsia" w:eastAsia="仿宋_GB2312"/>
          <w:b/>
          <w:bCs/>
          <w:szCs w:val="21"/>
        </w:rPr>
        <w:t>非甲烷总烃</w:t>
      </w:r>
      <w:r>
        <w:rPr>
          <w:rFonts w:eastAsia="仿宋_GB2312"/>
          <w:b/>
          <w:bCs/>
          <w:szCs w:val="21"/>
        </w:rPr>
        <w:t>、</w:t>
      </w:r>
      <w:r>
        <w:rPr>
          <w:rFonts w:hint="eastAsia" w:eastAsia="仿宋_GB2312"/>
          <w:b/>
          <w:bCs/>
          <w:szCs w:val="21"/>
        </w:rPr>
        <w:t>VOC</w:t>
      </w:r>
      <w:r>
        <w:rPr>
          <w:rFonts w:eastAsia="仿宋_GB2312"/>
          <w:b/>
          <w:bCs/>
          <w:szCs w:val="21"/>
        </w:rPr>
        <w:t>s包含</w:t>
      </w:r>
      <w:r>
        <w:rPr>
          <w:rFonts w:hint="eastAsia" w:eastAsia="仿宋_GB2312"/>
          <w:b/>
          <w:bCs/>
          <w:szCs w:val="21"/>
        </w:rPr>
        <w:t>二甲苯</w:t>
      </w:r>
      <w:r>
        <w:rPr>
          <w:rFonts w:eastAsia="仿宋_GB2312"/>
          <w:b/>
          <w:bCs/>
          <w:szCs w:val="21"/>
        </w:rPr>
        <w:t>等有机</w:t>
      </w:r>
      <w:r>
        <w:rPr>
          <w:rFonts w:hint="eastAsia" w:eastAsia="仿宋_GB2312"/>
          <w:b/>
          <w:bCs/>
          <w:szCs w:val="21"/>
        </w:rPr>
        <w:t>废气</w:t>
      </w:r>
      <w:r>
        <w:rPr>
          <w:rFonts w:eastAsia="仿宋_GB2312"/>
          <w:b/>
          <w:bCs/>
          <w:szCs w:val="21"/>
        </w:rPr>
        <w:t>。</w:t>
      </w:r>
    </w:p>
    <w:p>
      <w:pPr>
        <w:spacing w:line="500" w:lineRule="exact"/>
        <w:ind w:firstLine="560" w:firstLineChars="200"/>
        <w:rPr>
          <w:rFonts w:eastAsia="仿宋_GB2312"/>
          <w:bCs/>
          <w:sz w:val="28"/>
          <w:szCs w:val="20"/>
        </w:rPr>
      </w:pPr>
      <w:r>
        <w:rPr>
          <w:rFonts w:eastAsia="仿宋_GB2312"/>
          <w:bCs/>
          <w:sz w:val="28"/>
          <w:szCs w:val="20"/>
        </w:rPr>
        <w:t>总量平衡方案：</w:t>
      </w:r>
    </w:p>
    <w:p>
      <w:pPr>
        <w:spacing w:line="500" w:lineRule="exact"/>
        <w:ind w:firstLine="560" w:firstLineChars="200"/>
        <w:rPr>
          <w:rFonts w:eastAsia="仿宋_GB2312"/>
          <w:sz w:val="28"/>
          <w:szCs w:val="20"/>
        </w:rPr>
      </w:pPr>
      <w:r>
        <w:rPr>
          <w:rFonts w:eastAsia="仿宋_GB2312"/>
          <w:sz w:val="28"/>
          <w:szCs w:val="20"/>
        </w:rPr>
        <w:t>1、废水</w:t>
      </w:r>
    </w:p>
    <w:p>
      <w:pPr>
        <w:spacing w:line="500" w:lineRule="exact"/>
        <w:ind w:firstLine="560" w:firstLineChars="200"/>
        <w:rPr>
          <w:rFonts w:eastAsia="仿宋_GB2312"/>
          <w:sz w:val="28"/>
          <w:szCs w:val="20"/>
        </w:rPr>
      </w:pPr>
      <w:r>
        <w:rPr>
          <w:rFonts w:eastAsia="仿宋_GB2312"/>
          <w:sz w:val="28"/>
          <w:szCs w:val="20"/>
        </w:rPr>
        <w:t>水污染物总量平衡途径：本项目</w:t>
      </w:r>
      <w:r>
        <w:rPr>
          <w:rFonts w:hint="eastAsia" w:eastAsia="仿宋_GB2312"/>
          <w:sz w:val="28"/>
          <w:szCs w:val="20"/>
        </w:rPr>
        <w:t>生活</w:t>
      </w:r>
      <w:r>
        <w:rPr>
          <w:rFonts w:eastAsia="仿宋_GB2312"/>
          <w:sz w:val="28"/>
          <w:szCs w:val="20"/>
        </w:rPr>
        <w:t>排放量为</w:t>
      </w:r>
      <w:r>
        <w:rPr>
          <w:rFonts w:hint="eastAsia" w:eastAsia="仿宋_GB2312"/>
          <w:sz w:val="28"/>
          <w:szCs w:val="20"/>
        </w:rPr>
        <w:t>1080</w:t>
      </w:r>
      <w:r>
        <w:rPr>
          <w:rFonts w:eastAsia="仿宋_GB2312"/>
          <w:sz w:val="28"/>
          <w:szCs w:val="20"/>
        </w:rPr>
        <w:t>t/a，</w:t>
      </w:r>
      <w:r>
        <w:rPr>
          <w:rFonts w:hint="eastAsia" w:eastAsia="仿宋_GB2312"/>
          <w:sz w:val="28"/>
          <w:szCs w:val="20"/>
        </w:rPr>
        <w:t>经</w:t>
      </w:r>
      <w:r>
        <w:rPr>
          <w:rFonts w:eastAsia="仿宋_GB2312"/>
          <w:sz w:val="28"/>
          <w:szCs w:val="20"/>
        </w:rPr>
        <w:t>厂区污水管网接入市政污水管网，进</w:t>
      </w:r>
      <w:r>
        <w:rPr>
          <w:rFonts w:hint="eastAsia" w:eastAsia="仿宋_GB2312"/>
          <w:sz w:val="28"/>
          <w:szCs w:val="20"/>
        </w:rPr>
        <w:t>金坛第二污水</w:t>
      </w:r>
      <w:r>
        <w:rPr>
          <w:rFonts w:eastAsia="仿宋_GB2312"/>
          <w:sz w:val="28"/>
          <w:szCs w:val="20"/>
        </w:rPr>
        <w:t>处理厂集中处理，废水中各污染物总量在污水厂内实现平衡。</w:t>
      </w:r>
    </w:p>
    <w:p>
      <w:pPr>
        <w:spacing w:line="500" w:lineRule="exact"/>
        <w:ind w:firstLine="560" w:firstLineChars="200"/>
        <w:rPr>
          <w:rFonts w:eastAsia="仿宋_GB2312"/>
          <w:sz w:val="28"/>
          <w:szCs w:val="20"/>
        </w:rPr>
      </w:pPr>
      <w:r>
        <w:rPr>
          <w:rFonts w:eastAsia="仿宋_GB2312"/>
          <w:sz w:val="28"/>
          <w:szCs w:val="20"/>
        </w:rPr>
        <w:t>根据江苏省环境保护厅《关于印发江苏省建设项目主要污染物排放总量区域平衡方案审核管理办法的通知》（苏环办〔2011〕71号）：“太湖流域建设项目化学需氧量、NH</w:t>
      </w:r>
      <w:r>
        <w:rPr>
          <w:rFonts w:eastAsia="仿宋_GB2312"/>
          <w:sz w:val="28"/>
          <w:szCs w:val="20"/>
          <w:vertAlign w:val="subscript"/>
        </w:rPr>
        <w:t>3</w:t>
      </w:r>
      <w:r>
        <w:rPr>
          <w:rFonts w:eastAsia="仿宋_GB2312"/>
          <w:sz w:val="28"/>
          <w:szCs w:val="20"/>
        </w:rPr>
        <w:t>-N指标必须按照省排污权有偿使用和交易试点的有关规定办理申购手续。”该通知自发布日2011年3月17日起实施。企业应按要求尽快到当地环保部门办理化学需氧量、NH</w:t>
      </w:r>
      <w:r>
        <w:rPr>
          <w:rFonts w:eastAsia="仿宋_GB2312"/>
          <w:sz w:val="28"/>
          <w:szCs w:val="20"/>
          <w:vertAlign w:val="subscript"/>
        </w:rPr>
        <w:t>3</w:t>
      </w:r>
      <w:r>
        <w:rPr>
          <w:rFonts w:eastAsia="仿宋_GB2312"/>
          <w:sz w:val="28"/>
          <w:szCs w:val="20"/>
        </w:rPr>
        <w:t>-N有偿使用指标的申购手续，本项目建成后</w:t>
      </w:r>
      <w:r>
        <w:rPr>
          <w:rFonts w:hint="eastAsia" w:eastAsia="仿宋_GB2312"/>
          <w:sz w:val="28"/>
          <w:szCs w:val="20"/>
        </w:rPr>
        <w:t>仅生活</w:t>
      </w:r>
      <w:r>
        <w:rPr>
          <w:rFonts w:eastAsia="仿宋_GB2312"/>
          <w:sz w:val="28"/>
          <w:szCs w:val="20"/>
        </w:rPr>
        <w:t>污水排放，无需申请总</w:t>
      </w:r>
      <w:r>
        <w:rPr>
          <w:rFonts w:hint="eastAsia" w:eastAsia="仿宋_GB2312"/>
          <w:sz w:val="28"/>
          <w:szCs w:val="20"/>
        </w:rPr>
        <w:t>量</w:t>
      </w:r>
      <w:r>
        <w:rPr>
          <w:rFonts w:eastAsia="仿宋_GB2312"/>
          <w:sz w:val="28"/>
          <w:szCs w:val="20"/>
        </w:rPr>
        <w:t>。</w:t>
      </w:r>
    </w:p>
    <w:p>
      <w:pPr>
        <w:spacing w:line="500" w:lineRule="exact"/>
        <w:ind w:firstLine="560" w:firstLineChars="200"/>
        <w:rPr>
          <w:rFonts w:eastAsia="仿宋_GB2312"/>
          <w:sz w:val="28"/>
          <w:szCs w:val="20"/>
        </w:rPr>
      </w:pPr>
      <w:r>
        <w:rPr>
          <w:rFonts w:eastAsia="仿宋_GB2312"/>
          <w:sz w:val="28"/>
          <w:szCs w:val="20"/>
        </w:rPr>
        <w:t>2、废气</w:t>
      </w:r>
    </w:p>
    <w:p>
      <w:pPr>
        <w:spacing w:line="500" w:lineRule="exact"/>
        <w:ind w:firstLine="560" w:firstLineChars="200"/>
        <w:rPr>
          <w:rFonts w:eastAsia="仿宋_GB2312"/>
          <w:sz w:val="28"/>
          <w:szCs w:val="20"/>
        </w:rPr>
      </w:pPr>
      <w:r>
        <w:rPr>
          <w:rFonts w:eastAsia="仿宋_GB2312"/>
          <w:sz w:val="28"/>
          <w:szCs w:val="20"/>
        </w:rPr>
        <w:t>（1）总量申请</w:t>
      </w:r>
    </w:p>
    <w:p>
      <w:pPr>
        <w:spacing w:line="500" w:lineRule="exact"/>
        <w:ind w:firstLine="560" w:firstLineChars="200"/>
        <w:rPr>
          <w:rFonts w:eastAsia="仿宋_GB2312"/>
          <w:sz w:val="28"/>
          <w:szCs w:val="20"/>
        </w:rPr>
      </w:pPr>
      <w:r>
        <w:rPr>
          <w:rFonts w:eastAsia="仿宋_GB2312"/>
          <w:sz w:val="28"/>
          <w:szCs w:val="20"/>
        </w:rPr>
        <w:t>本项目</w:t>
      </w:r>
      <w:r>
        <w:rPr>
          <w:rFonts w:hint="eastAsia" w:eastAsia="仿宋_GB2312"/>
          <w:sz w:val="28"/>
          <w:szCs w:val="20"/>
        </w:rPr>
        <w:t>V</w:t>
      </w:r>
      <w:r>
        <w:rPr>
          <w:rFonts w:eastAsia="仿宋_GB2312"/>
          <w:sz w:val="28"/>
          <w:szCs w:val="20"/>
        </w:rPr>
        <w:t>OCs</w:t>
      </w:r>
      <w:r>
        <w:rPr>
          <w:rFonts w:hint="eastAsia" w:eastAsia="仿宋_GB2312"/>
          <w:sz w:val="28"/>
          <w:szCs w:val="20"/>
        </w:rPr>
        <w:t>（以非甲烷</w:t>
      </w:r>
      <w:r>
        <w:rPr>
          <w:rFonts w:eastAsia="仿宋_GB2312"/>
          <w:sz w:val="28"/>
          <w:szCs w:val="20"/>
        </w:rPr>
        <w:t>总烃计</w:t>
      </w:r>
      <w:r>
        <w:rPr>
          <w:rFonts w:hint="eastAsia" w:eastAsia="仿宋_GB2312"/>
          <w:sz w:val="28"/>
          <w:szCs w:val="20"/>
        </w:rPr>
        <w:t>）、</w:t>
      </w:r>
      <w:r>
        <w:rPr>
          <w:rFonts w:eastAsia="仿宋_GB2312"/>
          <w:sz w:val="28"/>
          <w:szCs w:val="20"/>
        </w:rPr>
        <w:t>颗粒物</w:t>
      </w:r>
      <w:r>
        <w:rPr>
          <w:rFonts w:hint="eastAsia" w:eastAsia="仿宋_GB2312"/>
          <w:sz w:val="28"/>
          <w:szCs w:val="20"/>
        </w:rPr>
        <w:t>、SO</w:t>
      </w:r>
      <w:r>
        <w:rPr>
          <w:rFonts w:hint="eastAsia" w:eastAsia="仿宋_GB2312"/>
          <w:sz w:val="28"/>
          <w:szCs w:val="20"/>
          <w:vertAlign w:val="subscript"/>
        </w:rPr>
        <w:t>2</w:t>
      </w:r>
      <w:r>
        <w:rPr>
          <w:rFonts w:hint="eastAsia" w:eastAsia="仿宋_GB2312"/>
          <w:sz w:val="28"/>
          <w:szCs w:val="20"/>
        </w:rPr>
        <w:t>、NO</w:t>
      </w:r>
      <w:r>
        <w:rPr>
          <w:rFonts w:hint="eastAsia" w:eastAsia="仿宋_GB2312"/>
          <w:sz w:val="28"/>
          <w:szCs w:val="20"/>
          <w:vertAlign w:val="subscript"/>
        </w:rPr>
        <w:t>X</w:t>
      </w:r>
      <w:r>
        <w:rPr>
          <w:rFonts w:hint="eastAsia" w:eastAsia="仿宋_GB2312"/>
          <w:sz w:val="28"/>
          <w:szCs w:val="20"/>
        </w:rPr>
        <w:t>（有组织+无组织）</w:t>
      </w:r>
      <w:r>
        <w:rPr>
          <w:rFonts w:eastAsia="仿宋_GB2312"/>
          <w:sz w:val="28"/>
          <w:szCs w:val="20"/>
        </w:rPr>
        <w:t>排放量分别为3.</w:t>
      </w:r>
      <w:r>
        <w:rPr>
          <w:rFonts w:hint="eastAsia" w:eastAsia="仿宋_GB2312"/>
          <w:sz w:val="28"/>
          <w:szCs w:val="20"/>
        </w:rPr>
        <w:t>8</w:t>
      </w:r>
      <w:r>
        <w:rPr>
          <w:rFonts w:eastAsia="仿宋_GB2312"/>
          <w:sz w:val="28"/>
          <w:szCs w:val="20"/>
        </w:rPr>
        <w:t>t/a</w:t>
      </w:r>
      <w:r>
        <w:rPr>
          <w:rFonts w:hint="eastAsia" w:eastAsia="仿宋_GB2312"/>
          <w:sz w:val="28"/>
          <w:szCs w:val="20"/>
        </w:rPr>
        <w:t>、0.0</w:t>
      </w:r>
      <w:r>
        <w:rPr>
          <w:rFonts w:eastAsia="仿宋_GB2312"/>
          <w:sz w:val="28"/>
          <w:szCs w:val="20"/>
        </w:rPr>
        <w:t>7t/a</w:t>
      </w:r>
      <w:r>
        <w:rPr>
          <w:rFonts w:hint="eastAsia" w:eastAsia="仿宋_GB2312"/>
          <w:sz w:val="28"/>
          <w:szCs w:val="20"/>
        </w:rPr>
        <w:t>、0.0</w:t>
      </w:r>
      <w:r>
        <w:rPr>
          <w:rFonts w:eastAsia="仿宋_GB2312"/>
          <w:sz w:val="28"/>
          <w:szCs w:val="20"/>
        </w:rPr>
        <w:t>5t/a</w:t>
      </w:r>
      <w:r>
        <w:rPr>
          <w:rFonts w:hint="eastAsia" w:eastAsia="仿宋_GB2312"/>
          <w:sz w:val="28"/>
          <w:szCs w:val="20"/>
        </w:rPr>
        <w:t>、0.3</w:t>
      </w:r>
      <w:r>
        <w:rPr>
          <w:rFonts w:eastAsia="仿宋_GB2312"/>
          <w:sz w:val="28"/>
          <w:szCs w:val="20"/>
        </w:rPr>
        <w:t>8t/a，需向</w:t>
      </w:r>
      <w:r>
        <w:rPr>
          <w:rFonts w:hint="eastAsia" w:eastAsia="仿宋_GB2312"/>
          <w:sz w:val="28"/>
          <w:szCs w:val="20"/>
        </w:rPr>
        <w:t>常州市金坛生态环境局</w:t>
      </w:r>
      <w:r>
        <w:rPr>
          <w:rFonts w:eastAsia="仿宋_GB2312"/>
          <w:sz w:val="28"/>
          <w:szCs w:val="20"/>
        </w:rPr>
        <w:t>申请核定总量。</w:t>
      </w:r>
    </w:p>
    <w:p>
      <w:pPr>
        <w:spacing w:line="500" w:lineRule="exact"/>
        <w:ind w:firstLine="560" w:firstLineChars="200"/>
        <w:rPr>
          <w:rFonts w:eastAsia="仿宋_GB2312"/>
          <w:sz w:val="28"/>
          <w:szCs w:val="20"/>
        </w:rPr>
      </w:pPr>
      <w:r>
        <w:rPr>
          <w:rFonts w:eastAsia="仿宋_GB2312"/>
          <w:sz w:val="28"/>
          <w:szCs w:val="20"/>
        </w:rPr>
        <w:t>（2）总量替代</w:t>
      </w:r>
    </w:p>
    <w:p>
      <w:pPr>
        <w:spacing w:line="500" w:lineRule="exact"/>
        <w:ind w:firstLine="560" w:firstLineChars="200"/>
        <w:rPr>
          <w:rFonts w:eastAsia="仿宋_GB2312"/>
          <w:sz w:val="28"/>
          <w:szCs w:val="20"/>
        </w:rPr>
      </w:pPr>
      <w:r>
        <w:rPr>
          <w:rFonts w:eastAsia="仿宋_GB2312"/>
          <w:sz w:val="28"/>
          <w:szCs w:val="20"/>
        </w:rPr>
        <w:t>根据《关于加强建设项目烟粉尘、挥发性有机物准入审核的通知》（苏环办[2014]148号）、《关于落实省大气污染防治行动计划实施方案严格环境影响评价准入的通知》（苏环办[2014]104号）、《市政府办公厅关于印发&lt;常州市建设项目主要污染物排放总量指标审核及管理实施细则&gt;的通知》（苏环办[2015]104号）的要求：新、改、扩建排放颗粒物、挥发性有机物、二氧化硫、氮氧化物的项目，实行工程减排类项目2倍削减量替代或关闭类项目1.5倍削减量替代。</w:t>
      </w:r>
    </w:p>
    <w:p>
      <w:pPr>
        <w:spacing w:line="500" w:lineRule="exact"/>
        <w:ind w:firstLine="560" w:firstLineChars="200"/>
        <w:rPr>
          <w:rFonts w:eastAsia="仿宋_GB2312"/>
          <w:sz w:val="28"/>
          <w:szCs w:val="20"/>
        </w:rPr>
      </w:pPr>
      <w:r>
        <w:rPr>
          <w:rFonts w:eastAsia="仿宋_GB2312"/>
          <w:sz w:val="28"/>
          <w:szCs w:val="20"/>
        </w:rPr>
        <w:t>因此，本项目</w:t>
      </w:r>
      <w:r>
        <w:rPr>
          <w:rFonts w:hint="eastAsia" w:eastAsia="仿宋_GB2312"/>
          <w:sz w:val="28"/>
          <w:szCs w:val="20"/>
        </w:rPr>
        <w:t>V</w:t>
      </w:r>
      <w:r>
        <w:rPr>
          <w:rFonts w:eastAsia="仿宋_GB2312"/>
          <w:sz w:val="28"/>
          <w:szCs w:val="20"/>
        </w:rPr>
        <w:t>OCs</w:t>
      </w:r>
      <w:r>
        <w:rPr>
          <w:rFonts w:hint="eastAsia" w:eastAsia="仿宋_GB2312"/>
          <w:sz w:val="28"/>
          <w:szCs w:val="20"/>
        </w:rPr>
        <w:t>（以非甲烷</w:t>
      </w:r>
      <w:r>
        <w:rPr>
          <w:rFonts w:eastAsia="仿宋_GB2312"/>
          <w:sz w:val="28"/>
          <w:szCs w:val="20"/>
        </w:rPr>
        <w:t>总烃计</w:t>
      </w:r>
      <w:r>
        <w:rPr>
          <w:rFonts w:hint="eastAsia" w:eastAsia="仿宋_GB2312"/>
          <w:sz w:val="28"/>
          <w:szCs w:val="20"/>
        </w:rPr>
        <w:t>）、</w:t>
      </w:r>
      <w:r>
        <w:rPr>
          <w:rFonts w:eastAsia="仿宋_GB2312"/>
          <w:sz w:val="28"/>
          <w:szCs w:val="20"/>
        </w:rPr>
        <w:t>颗粒物</w:t>
      </w:r>
      <w:r>
        <w:rPr>
          <w:rFonts w:hint="eastAsia" w:eastAsia="仿宋_GB2312"/>
          <w:sz w:val="28"/>
          <w:szCs w:val="20"/>
        </w:rPr>
        <w:t>、SO</w:t>
      </w:r>
      <w:r>
        <w:rPr>
          <w:rFonts w:hint="eastAsia" w:eastAsia="仿宋_GB2312"/>
          <w:sz w:val="28"/>
          <w:szCs w:val="20"/>
          <w:vertAlign w:val="subscript"/>
        </w:rPr>
        <w:t>2</w:t>
      </w:r>
      <w:r>
        <w:rPr>
          <w:rFonts w:hint="eastAsia" w:eastAsia="仿宋_GB2312"/>
          <w:sz w:val="28"/>
          <w:szCs w:val="20"/>
        </w:rPr>
        <w:t>、NO</w:t>
      </w:r>
      <w:r>
        <w:rPr>
          <w:rFonts w:hint="eastAsia" w:eastAsia="仿宋_GB2312"/>
          <w:sz w:val="28"/>
          <w:szCs w:val="20"/>
          <w:vertAlign w:val="subscript"/>
        </w:rPr>
        <w:t>X</w:t>
      </w:r>
      <w:r>
        <w:rPr>
          <w:rFonts w:hint="eastAsia" w:eastAsia="仿宋_GB2312"/>
          <w:sz w:val="28"/>
          <w:szCs w:val="20"/>
        </w:rPr>
        <w:t>（有组织+无组织）</w:t>
      </w:r>
      <w:r>
        <w:rPr>
          <w:rFonts w:eastAsia="仿宋_GB2312"/>
          <w:sz w:val="28"/>
          <w:szCs w:val="20"/>
        </w:rPr>
        <w:t>排放量分别为3.</w:t>
      </w:r>
      <w:r>
        <w:rPr>
          <w:rFonts w:hint="eastAsia" w:eastAsia="仿宋_GB2312"/>
          <w:sz w:val="28"/>
          <w:szCs w:val="20"/>
        </w:rPr>
        <w:t>8</w:t>
      </w:r>
      <w:r>
        <w:rPr>
          <w:rFonts w:eastAsia="仿宋_GB2312"/>
          <w:sz w:val="28"/>
          <w:szCs w:val="20"/>
        </w:rPr>
        <w:t>t/a</w:t>
      </w:r>
      <w:r>
        <w:rPr>
          <w:rFonts w:hint="eastAsia" w:eastAsia="仿宋_GB2312"/>
          <w:sz w:val="28"/>
          <w:szCs w:val="20"/>
        </w:rPr>
        <w:t>、0.0</w:t>
      </w:r>
      <w:r>
        <w:rPr>
          <w:rFonts w:eastAsia="仿宋_GB2312"/>
          <w:sz w:val="28"/>
          <w:szCs w:val="20"/>
        </w:rPr>
        <w:t>7t/a</w:t>
      </w:r>
      <w:r>
        <w:rPr>
          <w:rFonts w:hint="eastAsia" w:eastAsia="仿宋_GB2312"/>
          <w:sz w:val="28"/>
          <w:szCs w:val="20"/>
        </w:rPr>
        <w:t>、0.0</w:t>
      </w:r>
      <w:r>
        <w:rPr>
          <w:rFonts w:eastAsia="仿宋_GB2312"/>
          <w:sz w:val="28"/>
          <w:szCs w:val="20"/>
        </w:rPr>
        <w:t>5t/a</w:t>
      </w:r>
      <w:r>
        <w:rPr>
          <w:rFonts w:hint="eastAsia" w:eastAsia="仿宋_GB2312"/>
          <w:sz w:val="28"/>
          <w:szCs w:val="20"/>
        </w:rPr>
        <w:t>、0.3</w:t>
      </w:r>
      <w:r>
        <w:rPr>
          <w:rFonts w:eastAsia="仿宋_GB2312"/>
          <w:sz w:val="28"/>
          <w:szCs w:val="20"/>
        </w:rPr>
        <w:t>8t/a，需实行工程减排类项目2倍削减量替代或关闭类项目1.5倍削减量替代。</w:t>
      </w:r>
    </w:p>
    <w:p>
      <w:pPr>
        <w:spacing w:line="500" w:lineRule="exact"/>
        <w:ind w:firstLine="560" w:firstLineChars="200"/>
        <w:rPr>
          <w:rFonts w:eastAsia="仿宋_GB2312"/>
          <w:sz w:val="28"/>
          <w:szCs w:val="20"/>
        </w:rPr>
      </w:pPr>
      <w:r>
        <w:rPr>
          <w:rFonts w:eastAsia="仿宋_GB2312"/>
          <w:sz w:val="28"/>
          <w:szCs w:val="20"/>
        </w:rPr>
        <w:t>3、固废</w:t>
      </w:r>
    </w:p>
    <w:p>
      <w:pPr>
        <w:spacing w:line="500" w:lineRule="exact"/>
        <w:ind w:firstLine="560" w:firstLineChars="200"/>
        <w:rPr>
          <w:rFonts w:eastAsia="仿宋_GB2312"/>
          <w:sz w:val="28"/>
          <w:szCs w:val="20"/>
        </w:rPr>
      </w:pPr>
      <w:r>
        <w:rPr>
          <w:rFonts w:eastAsia="仿宋_GB2312"/>
          <w:sz w:val="28"/>
          <w:szCs w:val="20"/>
        </w:rPr>
        <w:t>本项目所有固废均进行合理处理处置，实现固废零排放，不需申请总量。</w:t>
      </w:r>
    </w:p>
    <w:p>
      <w:pPr>
        <w:spacing w:line="500" w:lineRule="exact"/>
        <w:ind w:firstLine="562" w:firstLineChars="200"/>
        <w:rPr>
          <w:rFonts w:eastAsia="仿宋_GB2312"/>
          <w:b/>
          <w:sz w:val="28"/>
          <w:szCs w:val="20"/>
        </w:rPr>
      </w:pPr>
      <w:r>
        <w:rPr>
          <w:rFonts w:eastAsia="仿宋_GB2312"/>
          <w:b/>
          <w:sz w:val="28"/>
          <w:szCs w:val="20"/>
        </w:rPr>
        <w:t>二、管理要求</w:t>
      </w:r>
    </w:p>
    <w:p>
      <w:pPr>
        <w:snapToGrid w:val="0"/>
        <w:spacing w:line="500" w:lineRule="exact"/>
        <w:ind w:firstLine="465"/>
        <w:textAlignment w:val="baseline"/>
        <w:rPr>
          <w:rFonts w:eastAsia="仿宋_GB2312"/>
          <w:sz w:val="28"/>
          <w:szCs w:val="28"/>
        </w:rPr>
      </w:pPr>
      <w:r>
        <w:rPr>
          <w:rFonts w:eastAsia="仿宋_GB2312"/>
          <w:sz w:val="28"/>
          <w:szCs w:val="28"/>
        </w:rPr>
        <w:t>本项目建成后污染物排放管理要求表8.1-3。</w:t>
      </w:r>
    </w:p>
    <w:p>
      <w:pPr>
        <w:spacing w:line="500" w:lineRule="exact"/>
        <w:jc w:val="center"/>
        <w:rPr>
          <w:rFonts w:eastAsia="仿宋_GB2312"/>
          <w:b/>
          <w:sz w:val="24"/>
        </w:rPr>
        <w:sectPr>
          <w:footerReference r:id="rId32" w:type="default"/>
          <w:headerReference r:id="rId31" w:type="even"/>
          <w:footerReference r:id="rId33" w:type="even"/>
          <w:pgSz w:w="11906" w:h="16838"/>
          <w:pgMar w:top="1440" w:right="1800" w:bottom="1440" w:left="1800" w:header="851" w:footer="992" w:gutter="0"/>
          <w:cols w:space="425" w:num="1"/>
          <w:docGrid w:linePitch="312" w:charSpace="0"/>
        </w:sectPr>
      </w:pPr>
      <w:bookmarkStart w:id="448" w:name="_Ref472461061"/>
    </w:p>
    <w:p>
      <w:pPr>
        <w:spacing w:line="500" w:lineRule="exact"/>
        <w:jc w:val="center"/>
        <w:rPr>
          <w:rFonts w:eastAsia="仿宋_GB2312"/>
          <w:b/>
          <w:sz w:val="24"/>
          <w:szCs w:val="20"/>
        </w:rPr>
      </w:pPr>
      <w:r>
        <w:rPr>
          <w:rFonts w:eastAsia="仿宋_GB2312"/>
          <w:b/>
          <w:sz w:val="24"/>
        </w:rPr>
        <w:t>表8.1</w:t>
      </w:r>
      <w:r>
        <w:rPr>
          <w:rFonts w:eastAsia="仿宋_GB2312"/>
          <w:b/>
          <w:sz w:val="24"/>
        </w:rPr>
        <w:noBreakHyphen/>
      </w:r>
      <w:bookmarkEnd w:id="448"/>
      <w:r>
        <w:rPr>
          <w:rFonts w:eastAsia="仿宋_GB2312"/>
          <w:b/>
          <w:sz w:val="24"/>
        </w:rPr>
        <w:t>3</w:t>
      </w:r>
      <w:r>
        <w:rPr>
          <w:rFonts w:eastAsia="仿宋_GB2312"/>
          <w:b/>
          <w:sz w:val="24"/>
          <w:szCs w:val="20"/>
        </w:rPr>
        <w:t xml:space="preserve">  污染物排放管理要求一览表</w:t>
      </w:r>
    </w:p>
    <w:tbl>
      <w:tblPr>
        <w:tblStyle w:val="87"/>
        <w:tblW w:w="49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1748"/>
        <w:gridCol w:w="2284"/>
        <w:gridCol w:w="1598"/>
        <w:gridCol w:w="3356"/>
        <w:gridCol w:w="1696"/>
        <w:gridCol w:w="1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jc w:val="center"/>
        </w:trPr>
        <w:tc>
          <w:tcPr>
            <w:tcW w:w="419"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污染源</w:t>
            </w:r>
          </w:p>
        </w:tc>
        <w:tc>
          <w:tcPr>
            <w:tcW w:w="1527" w:type="pct"/>
            <w:gridSpan w:val="2"/>
            <w:tcBorders>
              <w:bottom w:val="single" w:color="auto" w:sz="2" w:space="0"/>
            </w:tcBorders>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污染物名称</w:t>
            </w:r>
          </w:p>
        </w:tc>
        <w:tc>
          <w:tcPr>
            <w:tcW w:w="605"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环保设施名称</w:t>
            </w:r>
          </w:p>
        </w:tc>
        <w:tc>
          <w:tcPr>
            <w:tcW w:w="1271"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治理措施</w:t>
            </w:r>
          </w:p>
        </w:tc>
        <w:tc>
          <w:tcPr>
            <w:tcW w:w="642"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进度</w:t>
            </w:r>
          </w:p>
        </w:tc>
        <w:tc>
          <w:tcPr>
            <w:tcW w:w="536"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预期效果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6" w:hRule="atLeast"/>
          <w:jc w:val="center"/>
        </w:trPr>
        <w:tc>
          <w:tcPr>
            <w:tcW w:w="419" w:type="pct"/>
            <w:vMerge w:val="restar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废气</w:t>
            </w:r>
          </w:p>
        </w:tc>
        <w:tc>
          <w:tcPr>
            <w:tcW w:w="662" w:type="pct"/>
            <w:tcBorders>
              <w:top w:val="single" w:color="auto" w:sz="2" w:space="0"/>
            </w:tcBorders>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w:t>
            </w:r>
            <w:r>
              <w:rPr>
                <w:rFonts w:ascii="仿宋" w:hAnsi="仿宋" w:eastAsia="仿宋" w:cs="仿宋"/>
                <w:bCs/>
                <w:szCs w:val="21"/>
              </w:rPr>
              <w:t>#排气筒</w:t>
            </w:r>
          </w:p>
        </w:tc>
        <w:tc>
          <w:tcPr>
            <w:tcW w:w="865" w:type="pct"/>
            <w:tcBorders>
              <w:top w:val="single" w:color="auto" w:sz="2" w:space="0"/>
              <w:bottom w:val="single" w:color="auto" w:sz="4" w:space="0"/>
            </w:tcBorders>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非甲烷总烃、二甲苯、乙酸乙酯</w:t>
            </w:r>
          </w:p>
        </w:tc>
        <w:tc>
          <w:tcPr>
            <w:tcW w:w="605" w:type="pc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RTO燃烧装置</w:t>
            </w:r>
          </w:p>
        </w:tc>
        <w:tc>
          <w:tcPr>
            <w:tcW w:w="1271" w:type="pc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非甲烷总烃废气经RTO燃烧装置</w:t>
            </w:r>
            <w:r>
              <w:rPr>
                <w:rFonts w:ascii="仿宋" w:hAnsi="仿宋" w:eastAsia="仿宋" w:cs="仿宋"/>
                <w:bCs/>
                <w:szCs w:val="21"/>
              </w:rPr>
              <w:t>处理后通过</w:t>
            </w:r>
            <w:r>
              <w:rPr>
                <w:rFonts w:hint="eastAsia" w:ascii="仿宋" w:hAnsi="仿宋" w:eastAsia="仿宋" w:cs="仿宋"/>
                <w:bCs/>
                <w:szCs w:val="21"/>
              </w:rPr>
              <w:t>15</w:t>
            </w:r>
            <w:r>
              <w:rPr>
                <w:rFonts w:ascii="仿宋" w:hAnsi="仿宋" w:eastAsia="仿宋" w:cs="仿宋"/>
                <w:bCs/>
                <w:szCs w:val="21"/>
              </w:rPr>
              <w:t>m高排气筒（1#）排放</w:t>
            </w:r>
          </w:p>
        </w:tc>
        <w:tc>
          <w:tcPr>
            <w:tcW w:w="642"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与项目建设同时完工</w:t>
            </w:r>
          </w:p>
        </w:tc>
        <w:tc>
          <w:tcPr>
            <w:tcW w:w="536"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6" w:hRule="atLeast"/>
          <w:jc w:val="center"/>
        </w:trPr>
        <w:tc>
          <w:tcPr>
            <w:tcW w:w="419" w:type="pct"/>
            <w:vMerge w:val="continue"/>
            <w:shd w:val="clear" w:color="auto" w:fill="auto"/>
            <w:vAlign w:val="center"/>
          </w:tcPr>
          <w:p>
            <w:pPr>
              <w:spacing w:line="240" w:lineRule="exact"/>
              <w:jc w:val="center"/>
              <w:rPr>
                <w:rFonts w:ascii="仿宋" w:hAnsi="仿宋" w:eastAsia="仿宋" w:cs="仿宋"/>
                <w:bCs/>
                <w:szCs w:val="21"/>
              </w:rPr>
            </w:pPr>
          </w:p>
        </w:tc>
        <w:tc>
          <w:tcPr>
            <w:tcW w:w="662" w:type="pct"/>
            <w:tcBorders>
              <w:top w:val="single" w:color="auto" w:sz="2" w:space="0"/>
            </w:tcBorders>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w:t>
            </w:r>
            <w:r>
              <w:rPr>
                <w:rFonts w:ascii="仿宋" w:hAnsi="仿宋" w:eastAsia="仿宋" w:cs="仿宋"/>
                <w:bCs/>
                <w:szCs w:val="21"/>
              </w:rPr>
              <w:t>#排气筒</w:t>
            </w:r>
          </w:p>
        </w:tc>
        <w:tc>
          <w:tcPr>
            <w:tcW w:w="865" w:type="pct"/>
            <w:tcBorders>
              <w:top w:val="single" w:color="auto" w:sz="2" w:space="0"/>
              <w:bottom w:val="single" w:color="auto" w:sz="4" w:space="0"/>
            </w:tcBorders>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非甲烷总烃</w:t>
            </w:r>
          </w:p>
        </w:tc>
        <w:tc>
          <w:tcPr>
            <w:tcW w:w="605" w:type="pc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两级活性炭吸附装置</w:t>
            </w:r>
          </w:p>
        </w:tc>
        <w:tc>
          <w:tcPr>
            <w:tcW w:w="1271" w:type="pc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非甲烷总烃废气经两级活性炭吸附装置</w:t>
            </w:r>
            <w:r>
              <w:rPr>
                <w:rFonts w:ascii="仿宋" w:hAnsi="仿宋" w:eastAsia="仿宋" w:cs="仿宋"/>
                <w:bCs/>
                <w:szCs w:val="21"/>
              </w:rPr>
              <w:t>处理后通过</w:t>
            </w:r>
            <w:r>
              <w:rPr>
                <w:rFonts w:hint="eastAsia" w:ascii="仿宋" w:hAnsi="仿宋" w:eastAsia="仿宋" w:cs="仿宋"/>
                <w:bCs/>
                <w:szCs w:val="21"/>
              </w:rPr>
              <w:t>15</w:t>
            </w:r>
            <w:r>
              <w:rPr>
                <w:rFonts w:ascii="仿宋" w:hAnsi="仿宋" w:eastAsia="仿宋" w:cs="仿宋"/>
                <w:bCs/>
                <w:szCs w:val="21"/>
              </w:rPr>
              <w:t>m高排气筒（</w:t>
            </w:r>
            <w:r>
              <w:rPr>
                <w:rFonts w:hint="eastAsia" w:ascii="仿宋" w:hAnsi="仿宋" w:eastAsia="仿宋" w:cs="仿宋"/>
                <w:bCs/>
                <w:szCs w:val="21"/>
              </w:rPr>
              <w:t>2</w:t>
            </w:r>
            <w:r>
              <w:rPr>
                <w:rFonts w:ascii="仿宋" w:hAnsi="仿宋" w:eastAsia="仿宋" w:cs="仿宋"/>
                <w:bCs/>
                <w:szCs w:val="21"/>
              </w:rPr>
              <w:t>#）排放</w:t>
            </w:r>
          </w:p>
        </w:tc>
        <w:tc>
          <w:tcPr>
            <w:tcW w:w="642"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与项目建设同时完工</w:t>
            </w:r>
          </w:p>
        </w:tc>
        <w:tc>
          <w:tcPr>
            <w:tcW w:w="536"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7" w:hRule="atLeast"/>
          <w:jc w:val="center"/>
        </w:trPr>
        <w:tc>
          <w:tcPr>
            <w:tcW w:w="419" w:type="pct"/>
            <w:vMerge w:val="continue"/>
            <w:shd w:val="clear" w:color="auto" w:fill="auto"/>
            <w:vAlign w:val="center"/>
          </w:tcPr>
          <w:p>
            <w:pPr>
              <w:spacing w:line="240" w:lineRule="exact"/>
              <w:jc w:val="center"/>
              <w:rPr>
                <w:rFonts w:ascii="仿宋" w:hAnsi="仿宋" w:eastAsia="仿宋" w:cs="仿宋"/>
                <w:bCs/>
                <w:szCs w:val="21"/>
              </w:rPr>
            </w:pPr>
          </w:p>
        </w:tc>
        <w:tc>
          <w:tcPr>
            <w:tcW w:w="662" w:type="pc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车间</w:t>
            </w:r>
          </w:p>
        </w:tc>
        <w:tc>
          <w:tcPr>
            <w:tcW w:w="865" w:type="pct"/>
            <w:tcBorders>
              <w:top w:val="single" w:color="auto" w:sz="4" w:space="0"/>
            </w:tcBorders>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非甲烷总烃、二甲苯、乙酸乙酯</w:t>
            </w:r>
          </w:p>
        </w:tc>
        <w:tc>
          <w:tcPr>
            <w:tcW w:w="605" w:type="pc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w:t>
            </w:r>
          </w:p>
        </w:tc>
        <w:tc>
          <w:tcPr>
            <w:tcW w:w="1271"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加强厂区和厂界的绿化工作，减少无组织废气对周围环境的影响。</w:t>
            </w:r>
          </w:p>
          <w:p>
            <w:pPr>
              <w:spacing w:line="240" w:lineRule="exact"/>
              <w:jc w:val="center"/>
              <w:rPr>
                <w:rFonts w:ascii="仿宋" w:hAnsi="仿宋" w:eastAsia="仿宋" w:cs="仿宋"/>
                <w:bCs/>
                <w:szCs w:val="21"/>
              </w:rPr>
            </w:pPr>
            <w:r>
              <w:rPr>
                <w:rFonts w:hint="eastAsia" w:ascii="仿宋" w:hAnsi="仿宋" w:eastAsia="仿宋" w:cs="仿宋"/>
                <w:bCs/>
                <w:szCs w:val="21"/>
              </w:rPr>
              <w:t>无组织排放废气均通过车间强制通风，降低生产厂房内污染物浓度。</w:t>
            </w:r>
          </w:p>
        </w:tc>
        <w:tc>
          <w:tcPr>
            <w:tcW w:w="642"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与项目建设同时完工</w:t>
            </w:r>
          </w:p>
        </w:tc>
        <w:tc>
          <w:tcPr>
            <w:tcW w:w="536"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jc w:val="center"/>
        </w:trPr>
        <w:tc>
          <w:tcPr>
            <w:tcW w:w="419"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废水</w:t>
            </w:r>
          </w:p>
        </w:tc>
        <w:tc>
          <w:tcPr>
            <w:tcW w:w="1527" w:type="pct"/>
            <w:gridSpan w:val="2"/>
            <w:tcBorders>
              <w:bottom w:val="single" w:color="auto" w:sz="2" w:space="0"/>
            </w:tcBorders>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COD、SS、NH</w:t>
            </w:r>
            <w:r>
              <w:rPr>
                <w:rFonts w:ascii="仿宋" w:hAnsi="仿宋" w:eastAsia="仿宋" w:cs="仿宋"/>
                <w:bCs/>
                <w:szCs w:val="21"/>
                <w:vertAlign w:val="subscript"/>
              </w:rPr>
              <w:t>3</w:t>
            </w:r>
            <w:r>
              <w:rPr>
                <w:rFonts w:ascii="仿宋" w:hAnsi="仿宋" w:eastAsia="仿宋" w:cs="仿宋"/>
                <w:bCs/>
                <w:szCs w:val="21"/>
              </w:rPr>
              <w:t>-N、TP、</w:t>
            </w:r>
            <w:r>
              <w:rPr>
                <w:rFonts w:hint="eastAsia" w:ascii="仿宋" w:hAnsi="仿宋" w:eastAsia="仿宋" w:cs="仿宋"/>
                <w:bCs/>
                <w:szCs w:val="21"/>
              </w:rPr>
              <w:t>TN</w:t>
            </w:r>
          </w:p>
        </w:tc>
        <w:tc>
          <w:tcPr>
            <w:tcW w:w="605" w:type="pc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w:t>
            </w:r>
          </w:p>
        </w:tc>
        <w:tc>
          <w:tcPr>
            <w:tcW w:w="1271" w:type="pct"/>
            <w:tcBorders>
              <w:bottom w:val="single" w:color="auto" w:sz="2" w:space="0"/>
            </w:tcBorders>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厂区</w:t>
            </w:r>
            <w:r>
              <w:rPr>
                <w:rFonts w:hint="eastAsia" w:ascii="仿宋" w:hAnsi="仿宋" w:eastAsia="仿宋" w:cs="仿宋"/>
                <w:bCs/>
                <w:szCs w:val="21"/>
              </w:rPr>
              <w:t>化粪池处理</w:t>
            </w:r>
            <w:r>
              <w:rPr>
                <w:rFonts w:ascii="仿宋" w:hAnsi="仿宋" w:eastAsia="仿宋" w:cs="仿宋"/>
                <w:bCs/>
                <w:szCs w:val="21"/>
              </w:rPr>
              <w:t>后</w:t>
            </w:r>
            <w:r>
              <w:rPr>
                <w:rFonts w:hint="eastAsia" w:ascii="仿宋" w:hAnsi="仿宋" w:eastAsia="仿宋" w:cs="仿宋"/>
                <w:bCs/>
                <w:szCs w:val="21"/>
              </w:rPr>
              <w:t>接入</w:t>
            </w:r>
            <w:r>
              <w:rPr>
                <w:rFonts w:ascii="仿宋" w:hAnsi="仿宋" w:eastAsia="仿宋" w:cs="仿宋"/>
                <w:bCs/>
                <w:szCs w:val="21"/>
              </w:rPr>
              <w:t>市政污水管网进</w:t>
            </w:r>
            <w:r>
              <w:rPr>
                <w:rFonts w:hint="eastAsia" w:ascii="仿宋" w:hAnsi="仿宋" w:eastAsia="仿宋" w:cs="仿宋"/>
                <w:bCs/>
                <w:szCs w:val="21"/>
              </w:rPr>
              <w:t>金坛第二</w:t>
            </w:r>
            <w:r>
              <w:rPr>
                <w:rFonts w:ascii="仿宋" w:hAnsi="仿宋" w:eastAsia="仿宋" w:cs="仿宋"/>
                <w:bCs/>
                <w:szCs w:val="21"/>
              </w:rPr>
              <w:t>处理厂集中处理</w:t>
            </w:r>
          </w:p>
        </w:tc>
        <w:tc>
          <w:tcPr>
            <w:tcW w:w="642"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与项目建设同时完工</w:t>
            </w:r>
          </w:p>
        </w:tc>
        <w:tc>
          <w:tcPr>
            <w:tcW w:w="536"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jc w:val="center"/>
        </w:trPr>
        <w:tc>
          <w:tcPr>
            <w:tcW w:w="419" w:type="pct"/>
            <w:vMerge w:val="restar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固废</w:t>
            </w:r>
          </w:p>
        </w:tc>
        <w:tc>
          <w:tcPr>
            <w:tcW w:w="1527" w:type="pct"/>
            <w:gridSpan w:val="2"/>
            <w:tcBorders>
              <w:bottom w:val="single" w:color="auto" w:sz="4" w:space="0"/>
            </w:tcBorders>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废胶带</w:t>
            </w:r>
          </w:p>
        </w:tc>
        <w:tc>
          <w:tcPr>
            <w:tcW w:w="605" w:type="pct"/>
            <w:vMerge w:val="restar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固废分类收集储存设施</w:t>
            </w:r>
          </w:p>
        </w:tc>
        <w:tc>
          <w:tcPr>
            <w:tcW w:w="1271" w:type="pct"/>
            <w:tcBorders>
              <w:bottom w:val="single" w:color="auto" w:sz="4" w:space="0"/>
            </w:tcBorders>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外售综合利用</w:t>
            </w:r>
          </w:p>
        </w:tc>
        <w:tc>
          <w:tcPr>
            <w:tcW w:w="642" w:type="pct"/>
            <w:vMerge w:val="restar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与项目建设同时完工</w:t>
            </w:r>
          </w:p>
        </w:tc>
        <w:tc>
          <w:tcPr>
            <w:tcW w:w="536" w:type="pct"/>
            <w:vMerge w:val="restar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零排放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jc w:val="center"/>
        </w:trPr>
        <w:tc>
          <w:tcPr>
            <w:tcW w:w="419" w:type="pct"/>
            <w:vMerge w:val="continue"/>
            <w:shd w:val="clear" w:color="auto" w:fill="auto"/>
            <w:vAlign w:val="center"/>
          </w:tcPr>
          <w:p>
            <w:pPr>
              <w:spacing w:line="240" w:lineRule="exact"/>
              <w:jc w:val="center"/>
              <w:rPr>
                <w:rFonts w:ascii="仿宋" w:hAnsi="仿宋" w:eastAsia="仿宋" w:cs="仿宋"/>
                <w:bCs/>
                <w:szCs w:val="21"/>
              </w:rPr>
            </w:pPr>
          </w:p>
        </w:tc>
        <w:tc>
          <w:tcPr>
            <w:tcW w:w="1527" w:type="pct"/>
            <w:gridSpan w:val="2"/>
            <w:tcBorders>
              <w:bottom w:val="single" w:color="auto" w:sz="4" w:space="0"/>
            </w:tcBorders>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废胶水、废清洗液、废原料桶、废抹布手套、废机油</w:t>
            </w:r>
          </w:p>
        </w:tc>
        <w:tc>
          <w:tcPr>
            <w:tcW w:w="605" w:type="pct"/>
            <w:vMerge w:val="continue"/>
            <w:shd w:val="clear" w:color="auto" w:fill="auto"/>
            <w:vAlign w:val="center"/>
          </w:tcPr>
          <w:p>
            <w:pPr>
              <w:spacing w:line="240" w:lineRule="exact"/>
              <w:jc w:val="center"/>
              <w:rPr>
                <w:rFonts w:ascii="仿宋" w:hAnsi="仿宋" w:eastAsia="仿宋" w:cs="仿宋"/>
                <w:bCs/>
                <w:szCs w:val="21"/>
              </w:rPr>
            </w:pPr>
          </w:p>
        </w:tc>
        <w:tc>
          <w:tcPr>
            <w:tcW w:w="1271" w:type="pct"/>
            <w:tcBorders>
              <w:bottom w:val="single" w:color="auto" w:sz="4" w:space="0"/>
            </w:tcBorders>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委托</w:t>
            </w:r>
            <w:r>
              <w:rPr>
                <w:rFonts w:ascii="仿宋" w:hAnsi="仿宋" w:eastAsia="仿宋" w:cs="仿宋"/>
                <w:bCs/>
                <w:szCs w:val="21"/>
              </w:rPr>
              <w:t>有资质单位处理处置</w:t>
            </w:r>
          </w:p>
        </w:tc>
        <w:tc>
          <w:tcPr>
            <w:tcW w:w="642" w:type="pct"/>
            <w:vMerge w:val="continue"/>
            <w:shd w:val="clear" w:color="auto" w:fill="auto"/>
            <w:vAlign w:val="center"/>
          </w:tcPr>
          <w:p>
            <w:pPr>
              <w:spacing w:line="240" w:lineRule="exact"/>
              <w:jc w:val="center"/>
              <w:rPr>
                <w:rFonts w:ascii="仿宋" w:hAnsi="仿宋" w:eastAsia="仿宋" w:cs="仿宋"/>
                <w:bCs/>
                <w:szCs w:val="21"/>
              </w:rPr>
            </w:pPr>
          </w:p>
        </w:tc>
        <w:tc>
          <w:tcPr>
            <w:tcW w:w="536" w:type="pct"/>
            <w:vMerge w:val="continue"/>
            <w:shd w:val="clear" w:color="auto" w:fill="auto"/>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jc w:val="center"/>
        </w:trPr>
        <w:tc>
          <w:tcPr>
            <w:tcW w:w="419" w:type="pct"/>
            <w:vMerge w:val="continue"/>
            <w:shd w:val="clear" w:color="auto" w:fill="auto"/>
            <w:vAlign w:val="center"/>
          </w:tcPr>
          <w:p>
            <w:pPr>
              <w:spacing w:line="240" w:lineRule="exact"/>
              <w:jc w:val="center"/>
              <w:rPr>
                <w:rFonts w:ascii="仿宋" w:hAnsi="仿宋" w:eastAsia="仿宋" w:cs="仿宋"/>
                <w:bCs/>
                <w:szCs w:val="21"/>
              </w:rPr>
            </w:pPr>
          </w:p>
        </w:tc>
        <w:tc>
          <w:tcPr>
            <w:tcW w:w="1527" w:type="pct"/>
            <w:gridSpan w:val="2"/>
            <w:tcBorders>
              <w:bottom w:val="single" w:color="auto" w:sz="2" w:space="0"/>
            </w:tcBorders>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生活垃圾</w:t>
            </w:r>
          </w:p>
        </w:tc>
        <w:tc>
          <w:tcPr>
            <w:tcW w:w="605" w:type="pct"/>
            <w:vMerge w:val="continue"/>
            <w:shd w:val="clear" w:color="auto" w:fill="auto"/>
            <w:vAlign w:val="center"/>
          </w:tcPr>
          <w:p>
            <w:pPr>
              <w:spacing w:line="240" w:lineRule="exact"/>
              <w:jc w:val="center"/>
              <w:rPr>
                <w:rFonts w:ascii="仿宋" w:hAnsi="仿宋" w:eastAsia="仿宋" w:cs="仿宋"/>
                <w:bCs/>
                <w:szCs w:val="21"/>
              </w:rPr>
            </w:pPr>
          </w:p>
        </w:tc>
        <w:tc>
          <w:tcPr>
            <w:tcW w:w="1271" w:type="pct"/>
            <w:tcBorders>
              <w:bottom w:val="single" w:color="auto" w:sz="2" w:space="0"/>
            </w:tcBorders>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环保部门统一收集处置</w:t>
            </w:r>
          </w:p>
        </w:tc>
        <w:tc>
          <w:tcPr>
            <w:tcW w:w="642" w:type="pct"/>
            <w:vMerge w:val="continue"/>
            <w:shd w:val="clear" w:color="auto" w:fill="auto"/>
            <w:vAlign w:val="center"/>
          </w:tcPr>
          <w:p>
            <w:pPr>
              <w:spacing w:line="240" w:lineRule="exact"/>
              <w:jc w:val="center"/>
              <w:rPr>
                <w:rFonts w:ascii="仿宋" w:hAnsi="仿宋" w:eastAsia="仿宋" w:cs="仿宋"/>
                <w:bCs/>
                <w:szCs w:val="21"/>
              </w:rPr>
            </w:pPr>
          </w:p>
        </w:tc>
        <w:tc>
          <w:tcPr>
            <w:tcW w:w="536" w:type="pct"/>
            <w:vMerge w:val="continue"/>
            <w:shd w:val="clear" w:color="auto" w:fill="auto"/>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jc w:val="center"/>
        </w:trPr>
        <w:tc>
          <w:tcPr>
            <w:tcW w:w="419"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噪声</w:t>
            </w:r>
          </w:p>
        </w:tc>
        <w:tc>
          <w:tcPr>
            <w:tcW w:w="1527" w:type="pct"/>
            <w:gridSpan w:val="2"/>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机械噪声</w:t>
            </w:r>
          </w:p>
        </w:tc>
        <w:tc>
          <w:tcPr>
            <w:tcW w:w="605"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防振、隔音等装置</w:t>
            </w:r>
          </w:p>
        </w:tc>
        <w:tc>
          <w:tcPr>
            <w:tcW w:w="1271"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对高噪声设备安装有效的减振、隔声装置</w:t>
            </w:r>
          </w:p>
        </w:tc>
        <w:tc>
          <w:tcPr>
            <w:tcW w:w="642"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与项目建设同时完工</w:t>
            </w:r>
          </w:p>
        </w:tc>
        <w:tc>
          <w:tcPr>
            <w:tcW w:w="536"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厂界噪声达标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jc w:val="center"/>
        </w:trPr>
        <w:tc>
          <w:tcPr>
            <w:tcW w:w="419"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排污口</w:t>
            </w:r>
          </w:p>
        </w:tc>
        <w:tc>
          <w:tcPr>
            <w:tcW w:w="1527" w:type="pct"/>
            <w:gridSpan w:val="2"/>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w:t>
            </w:r>
          </w:p>
        </w:tc>
        <w:tc>
          <w:tcPr>
            <w:tcW w:w="605"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排污口</w:t>
            </w:r>
            <w:r>
              <w:rPr>
                <w:rFonts w:hint="eastAsia" w:ascii="仿宋" w:hAnsi="仿宋" w:eastAsia="仿宋" w:cs="仿宋"/>
                <w:bCs/>
                <w:szCs w:val="21"/>
              </w:rPr>
              <w:t>规范化</w:t>
            </w:r>
            <w:r>
              <w:rPr>
                <w:rFonts w:ascii="仿宋" w:hAnsi="仿宋" w:eastAsia="仿宋" w:cs="仿宋"/>
                <w:bCs/>
                <w:szCs w:val="21"/>
              </w:rPr>
              <w:t>设置</w:t>
            </w:r>
          </w:p>
        </w:tc>
        <w:tc>
          <w:tcPr>
            <w:tcW w:w="1271"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厂区的规范化建设，设置计量装置、</w:t>
            </w:r>
            <w:r>
              <w:rPr>
                <w:rFonts w:hint="eastAsia" w:ascii="仿宋" w:hAnsi="仿宋" w:eastAsia="仿宋" w:cs="仿宋"/>
                <w:bCs/>
                <w:szCs w:val="21"/>
              </w:rPr>
              <w:t>在线</w:t>
            </w:r>
            <w:r>
              <w:rPr>
                <w:rFonts w:ascii="仿宋" w:hAnsi="仿宋" w:eastAsia="仿宋" w:cs="仿宋"/>
                <w:bCs/>
                <w:szCs w:val="21"/>
              </w:rPr>
              <w:t>监控、采样口、截流阀</w:t>
            </w:r>
          </w:p>
        </w:tc>
        <w:tc>
          <w:tcPr>
            <w:tcW w:w="642"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与项目建设同时完工</w:t>
            </w:r>
          </w:p>
        </w:tc>
        <w:tc>
          <w:tcPr>
            <w:tcW w:w="536"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规范设置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jc w:val="center"/>
        </w:trPr>
        <w:tc>
          <w:tcPr>
            <w:tcW w:w="419"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清污分流</w:t>
            </w:r>
          </w:p>
          <w:p>
            <w:pPr>
              <w:spacing w:line="240" w:lineRule="exact"/>
              <w:jc w:val="center"/>
              <w:rPr>
                <w:rFonts w:ascii="仿宋" w:hAnsi="仿宋" w:eastAsia="仿宋" w:cs="仿宋"/>
                <w:bCs/>
                <w:szCs w:val="21"/>
              </w:rPr>
            </w:pPr>
            <w:r>
              <w:rPr>
                <w:rFonts w:ascii="仿宋" w:hAnsi="仿宋" w:eastAsia="仿宋" w:cs="仿宋"/>
                <w:bCs/>
                <w:szCs w:val="21"/>
              </w:rPr>
              <w:t>管网建设</w:t>
            </w:r>
          </w:p>
        </w:tc>
        <w:tc>
          <w:tcPr>
            <w:tcW w:w="1527" w:type="pct"/>
            <w:gridSpan w:val="2"/>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w:t>
            </w:r>
          </w:p>
        </w:tc>
        <w:tc>
          <w:tcPr>
            <w:tcW w:w="605"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清污分流管网</w:t>
            </w:r>
          </w:p>
        </w:tc>
        <w:tc>
          <w:tcPr>
            <w:tcW w:w="1271"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w:t>
            </w:r>
          </w:p>
        </w:tc>
        <w:tc>
          <w:tcPr>
            <w:tcW w:w="642"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已建成</w:t>
            </w:r>
          </w:p>
        </w:tc>
        <w:tc>
          <w:tcPr>
            <w:tcW w:w="536"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按清污分流原则收集废水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jc w:val="center"/>
        </w:trPr>
        <w:tc>
          <w:tcPr>
            <w:tcW w:w="419"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风险</w:t>
            </w:r>
          </w:p>
        </w:tc>
        <w:tc>
          <w:tcPr>
            <w:tcW w:w="1527" w:type="pct"/>
            <w:gridSpan w:val="2"/>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w:t>
            </w:r>
          </w:p>
        </w:tc>
        <w:tc>
          <w:tcPr>
            <w:tcW w:w="605" w:type="pc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新建</w:t>
            </w:r>
            <w:r>
              <w:rPr>
                <w:rFonts w:ascii="仿宋" w:hAnsi="仿宋" w:eastAsia="仿宋" w:cs="仿宋"/>
                <w:bCs/>
                <w:szCs w:val="21"/>
              </w:rPr>
              <w:t>事故应急池</w:t>
            </w:r>
          </w:p>
        </w:tc>
        <w:tc>
          <w:tcPr>
            <w:tcW w:w="1271" w:type="pc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依托厂区内10</w:t>
            </w:r>
            <w:r>
              <w:rPr>
                <w:rFonts w:ascii="仿宋" w:hAnsi="仿宋" w:eastAsia="仿宋" w:cs="仿宋"/>
                <w:bCs/>
                <w:szCs w:val="21"/>
              </w:rPr>
              <w:t>0m</w:t>
            </w:r>
            <w:r>
              <w:rPr>
                <w:rFonts w:ascii="仿宋" w:hAnsi="仿宋" w:eastAsia="仿宋" w:cs="仿宋"/>
                <w:bCs/>
                <w:szCs w:val="21"/>
                <w:vertAlign w:val="superscript"/>
              </w:rPr>
              <w:t>3</w:t>
            </w:r>
            <w:r>
              <w:rPr>
                <w:rFonts w:ascii="仿宋" w:hAnsi="仿宋" w:eastAsia="仿宋" w:cs="仿宋"/>
                <w:bCs/>
                <w:szCs w:val="21"/>
              </w:rPr>
              <w:t>事故应急池</w:t>
            </w:r>
          </w:p>
        </w:tc>
        <w:tc>
          <w:tcPr>
            <w:tcW w:w="642" w:type="pc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已建成</w:t>
            </w:r>
          </w:p>
        </w:tc>
        <w:tc>
          <w:tcPr>
            <w:tcW w:w="536"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规范设置</w:t>
            </w:r>
          </w:p>
        </w:tc>
      </w:tr>
    </w:tbl>
    <w:p>
      <w:pPr>
        <w:tabs>
          <w:tab w:val="left" w:pos="1665"/>
        </w:tabs>
        <w:jc w:val="center"/>
        <w:rPr>
          <w:rFonts w:eastAsia="仿宋_GB2312"/>
          <w:b/>
          <w:sz w:val="24"/>
          <w:szCs w:val="28"/>
        </w:rPr>
        <w:sectPr>
          <w:pgSz w:w="16838" w:h="11906" w:orient="landscape"/>
          <w:pgMar w:top="1440" w:right="1800" w:bottom="1440" w:left="1800" w:header="851" w:footer="992" w:gutter="0"/>
          <w:cols w:space="425" w:num="1"/>
          <w:docGrid w:linePitch="312" w:charSpace="0"/>
        </w:sectPr>
      </w:pPr>
    </w:p>
    <w:p>
      <w:pPr>
        <w:pStyle w:val="4"/>
        <w:keepLines w:val="0"/>
        <w:numPr>
          <w:ilvl w:val="2"/>
          <w:numId w:val="1"/>
        </w:numPr>
        <w:tabs>
          <w:tab w:val="left" w:pos="851"/>
        </w:tabs>
        <w:spacing w:before="0" w:after="120" w:afterLines="50" w:line="500" w:lineRule="exact"/>
        <w:ind w:left="0" w:firstLine="0"/>
        <w:rPr>
          <w:rFonts w:eastAsia="仿宋_GB2312"/>
          <w:spacing w:val="6"/>
          <w:sz w:val="28"/>
          <w:szCs w:val="20"/>
        </w:rPr>
      </w:pPr>
      <w:bookmarkStart w:id="449" w:name="_Toc446488282"/>
      <w:r>
        <w:rPr>
          <w:rFonts w:eastAsia="仿宋_GB2312"/>
          <w:spacing w:val="6"/>
          <w:sz w:val="28"/>
          <w:szCs w:val="20"/>
        </w:rPr>
        <w:t>环境管理</w:t>
      </w:r>
      <w:bookmarkEnd w:id="449"/>
      <w:r>
        <w:rPr>
          <w:rFonts w:eastAsia="仿宋_GB2312"/>
          <w:spacing w:val="6"/>
          <w:sz w:val="28"/>
          <w:szCs w:val="20"/>
        </w:rPr>
        <w:t>制度</w:t>
      </w:r>
    </w:p>
    <w:p>
      <w:pPr>
        <w:spacing w:line="500" w:lineRule="exact"/>
        <w:ind w:firstLine="560" w:firstLineChars="200"/>
        <w:rPr>
          <w:rFonts w:eastAsia="仿宋_GB2312"/>
          <w:sz w:val="28"/>
          <w:szCs w:val="28"/>
        </w:rPr>
      </w:pPr>
      <w:bookmarkStart w:id="450" w:name="_Hlt37156564"/>
      <w:bookmarkEnd w:id="450"/>
      <w:r>
        <w:rPr>
          <w:rFonts w:eastAsia="仿宋_GB2312"/>
          <w:sz w:val="28"/>
          <w:szCs w:val="28"/>
        </w:rPr>
        <w:t xml:space="preserve">公司在运行过程，应依据当前环境保护管理要求，分别制定公司内部的环境管理制度： </w:t>
      </w:r>
    </w:p>
    <w:p>
      <w:pPr>
        <w:spacing w:line="500" w:lineRule="exact"/>
        <w:ind w:firstLine="560" w:firstLineChars="200"/>
        <w:rPr>
          <w:rFonts w:eastAsia="仿宋_GB2312"/>
          <w:sz w:val="28"/>
          <w:szCs w:val="28"/>
        </w:rPr>
      </w:pPr>
      <w:r>
        <w:rPr>
          <w:rFonts w:eastAsia="仿宋_GB2312"/>
          <w:sz w:val="28"/>
          <w:szCs w:val="28"/>
        </w:rPr>
        <w:t>（1）环境影响评价制度。公司在新建、改建、扩建相关工程时，应按《中华人民共和国环境影响评价法》要求，委托有资质环评单位开展环境影响评价工作。</w:t>
      </w:r>
    </w:p>
    <w:p>
      <w:pPr>
        <w:spacing w:line="500" w:lineRule="exact"/>
        <w:ind w:firstLine="560" w:firstLineChars="200"/>
        <w:rPr>
          <w:rFonts w:eastAsia="仿宋_GB2312"/>
          <w:sz w:val="28"/>
          <w:szCs w:val="28"/>
        </w:rPr>
      </w:pPr>
      <w:r>
        <w:rPr>
          <w:rFonts w:eastAsia="仿宋_GB2312"/>
          <w:sz w:val="28"/>
          <w:szCs w:val="28"/>
        </w:rPr>
        <w:t>（2）“三同时”制度。建设项目需要配套建设的环境保护设施，必须与主体工程同时设计、同时施工、同时投产使用；主体工程完工后，其配套建设的环境保护设施必须与主体工程同时投入运行。待建设项目稳定运行后，建设单位应当按照国务院环境保护行政主管部门规定的标准和程序，对配套建设的环境保护设施进行验收。</w:t>
      </w:r>
    </w:p>
    <w:p>
      <w:pPr>
        <w:spacing w:line="500" w:lineRule="exact"/>
        <w:ind w:firstLine="560" w:firstLineChars="200"/>
        <w:rPr>
          <w:rFonts w:eastAsia="仿宋_GB2312"/>
          <w:sz w:val="28"/>
          <w:szCs w:val="28"/>
        </w:rPr>
      </w:pPr>
      <w:r>
        <w:rPr>
          <w:rFonts w:eastAsia="仿宋_GB2312"/>
          <w:sz w:val="28"/>
          <w:szCs w:val="28"/>
        </w:rPr>
        <w:t>（3）排污许可证制度。公司投运后，为了控制和减少污染物排放，规范排污许可行为，应按《排污许可证管理条例》规定申请领取排污许可证。</w:t>
      </w:r>
    </w:p>
    <w:p>
      <w:pPr>
        <w:spacing w:line="500" w:lineRule="exact"/>
        <w:ind w:firstLine="560" w:firstLineChars="200"/>
        <w:rPr>
          <w:rFonts w:eastAsia="仿宋_GB2312"/>
          <w:sz w:val="28"/>
          <w:szCs w:val="28"/>
        </w:rPr>
      </w:pPr>
      <w:r>
        <w:rPr>
          <w:rFonts w:eastAsia="仿宋_GB2312"/>
          <w:sz w:val="28"/>
          <w:szCs w:val="28"/>
        </w:rPr>
        <w:t>（4）“环保税”制度，公司应当依照《中华人民共和国环境保护税法》规定缴纳环境保护税。</w:t>
      </w:r>
    </w:p>
    <w:p>
      <w:pPr>
        <w:spacing w:line="500" w:lineRule="exact"/>
        <w:ind w:firstLine="560" w:firstLineChars="200"/>
        <w:rPr>
          <w:rFonts w:eastAsia="仿宋_GB2312"/>
          <w:snapToGrid w:val="0"/>
          <w:kern w:val="0"/>
          <w:sz w:val="28"/>
          <w:szCs w:val="28"/>
        </w:rPr>
      </w:pPr>
      <w:r>
        <w:rPr>
          <w:rFonts w:eastAsia="仿宋_GB2312"/>
          <w:sz w:val="28"/>
          <w:szCs w:val="28"/>
        </w:rPr>
        <w:t>（5）奖惩制度。公司应设置环境保护奖惩制度，明确相关责任人和职责与权利，并落实《最高人民法院、最高人民检察院关于办理环境污染刑事案件适用法律若干问题的解释》相关要求。</w:t>
      </w:r>
    </w:p>
    <w:p>
      <w:pPr>
        <w:pStyle w:val="4"/>
        <w:keepLines w:val="0"/>
        <w:numPr>
          <w:ilvl w:val="2"/>
          <w:numId w:val="1"/>
        </w:numPr>
        <w:tabs>
          <w:tab w:val="left" w:pos="851"/>
        </w:tabs>
        <w:spacing w:before="0" w:after="120" w:afterLines="50" w:line="500" w:lineRule="exact"/>
        <w:ind w:left="0" w:firstLine="0"/>
        <w:rPr>
          <w:rFonts w:eastAsia="仿宋_GB2312"/>
          <w:spacing w:val="6"/>
          <w:sz w:val="28"/>
          <w:szCs w:val="20"/>
        </w:rPr>
      </w:pPr>
      <w:r>
        <w:rPr>
          <w:rFonts w:eastAsia="仿宋_GB2312"/>
          <w:spacing w:val="6"/>
          <w:sz w:val="28"/>
          <w:szCs w:val="20"/>
        </w:rPr>
        <w:t>环境管理机构</w:t>
      </w:r>
    </w:p>
    <w:p>
      <w:pPr>
        <w:spacing w:line="500" w:lineRule="exact"/>
        <w:ind w:firstLine="560" w:firstLineChars="200"/>
        <w:rPr>
          <w:rFonts w:eastAsia="仿宋_GB2312"/>
          <w:snapToGrid w:val="0"/>
          <w:kern w:val="0"/>
          <w:sz w:val="28"/>
          <w:szCs w:val="28"/>
        </w:rPr>
      </w:pPr>
      <w:bookmarkStart w:id="451" w:name="_Toc238363509"/>
      <w:bookmarkStart w:id="452" w:name="_Toc33434094"/>
      <w:bookmarkStart w:id="453" w:name="_Toc105743761"/>
      <w:bookmarkStart w:id="454" w:name="_Toc236536332"/>
      <w:bookmarkStart w:id="455" w:name="_Toc227951124"/>
      <w:bookmarkStart w:id="456" w:name="_Toc170530521"/>
      <w:bookmarkStart w:id="457" w:name="_Toc240859439"/>
      <w:bookmarkStart w:id="458" w:name="_Toc97911038"/>
      <w:bookmarkStart w:id="459" w:name="_Toc200708057"/>
      <w:bookmarkStart w:id="460" w:name="_Toc48125369"/>
      <w:bookmarkStart w:id="461" w:name="_Toc113810251"/>
      <w:r>
        <w:rPr>
          <w:rFonts w:eastAsia="仿宋_GB2312"/>
          <w:snapToGrid w:val="0"/>
          <w:kern w:val="0"/>
          <w:sz w:val="28"/>
          <w:szCs w:val="28"/>
        </w:rPr>
        <w:t>为使本工程项目建设实现全过程“守法合规”，项目投产后，公司法人代表为公司环境行为的第一负责人，成立以负责生产的副总经理分管环保工作、公司EHS部为环境管理具体职能部门，并负责环保治理设施运行管理。</w:t>
      </w:r>
    </w:p>
    <w:p>
      <w:pPr>
        <w:spacing w:line="500" w:lineRule="exact"/>
        <w:ind w:firstLine="560" w:firstLineChars="200"/>
        <w:rPr>
          <w:rFonts w:eastAsia="仿宋_GB2312"/>
          <w:snapToGrid w:val="0"/>
          <w:kern w:val="0"/>
          <w:sz w:val="28"/>
          <w:szCs w:val="28"/>
        </w:rPr>
      </w:pPr>
      <w:r>
        <w:rPr>
          <w:rFonts w:eastAsia="仿宋_GB2312"/>
          <w:snapToGrid w:val="0"/>
          <w:kern w:val="0"/>
          <w:sz w:val="28"/>
          <w:szCs w:val="28"/>
        </w:rPr>
        <w:t>公司环境管理机构主要职能为：执行国家、地方环境保护法律、法规，落实环境保护行政主管部门管理要求并完成相关报表；负责公司环境保护方案的规划和管理，确保环境保护治理设施运行、维护及更新，确保公司各项污染物达标排放和对环境的最小影响。</w:t>
      </w:r>
      <w:bookmarkEnd w:id="451"/>
      <w:bookmarkEnd w:id="452"/>
      <w:bookmarkEnd w:id="453"/>
      <w:bookmarkEnd w:id="454"/>
      <w:bookmarkEnd w:id="455"/>
      <w:bookmarkEnd w:id="456"/>
      <w:bookmarkEnd w:id="457"/>
      <w:bookmarkEnd w:id="458"/>
      <w:bookmarkEnd w:id="459"/>
      <w:bookmarkEnd w:id="460"/>
      <w:bookmarkEnd w:id="461"/>
    </w:p>
    <w:p>
      <w:pPr>
        <w:pStyle w:val="4"/>
        <w:keepLines w:val="0"/>
        <w:numPr>
          <w:ilvl w:val="2"/>
          <w:numId w:val="1"/>
        </w:numPr>
        <w:tabs>
          <w:tab w:val="left" w:pos="851"/>
        </w:tabs>
        <w:spacing w:before="0" w:after="120" w:afterLines="50" w:line="500" w:lineRule="exact"/>
        <w:ind w:left="0" w:firstLine="0"/>
        <w:rPr>
          <w:rFonts w:eastAsia="仿宋_GB2312"/>
          <w:spacing w:val="6"/>
          <w:sz w:val="28"/>
          <w:szCs w:val="20"/>
        </w:rPr>
      </w:pPr>
      <w:bookmarkStart w:id="462" w:name="_Toc446488283"/>
      <w:r>
        <w:rPr>
          <w:rFonts w:eastAsia="仿宋_GB2312"/>
          <w:spacing w:val="6"/>
          <w:sz w:val="28"/>
          <w:szCs w:val="20"/>
        </w:rPr>
        <w:t>环境管理</w:t>
      </w:r>
      <w:bookmarkEnd w:id="462"/>
      <w:r>
        <w:rPr>
          <w:rFonts w:eastAsia="仿宋_GB2312"/>
          <w:spacing w:val="6"/>
          <w:sz w:val="28"/>
          <w:szCs w:val="20"/>
        </w:rPr>
        <w:t>台账</w:t>
      </w:r>
    </w:p>
    <w:p>
      <w:pPr>
        <w:snapToGrid w:val="0"/>
        <w:spacing w:line="500" w:lineRule="exact"/>
        <w:ind w:firstLine="465"/>
        <w:textAlignment w:val="baseline"/>
        <w:rPr>
          <w:rFonts w:eastAsia="仿宋_GB2312"/>
          <w:sz w:val="28"/>
          <w:szCs w:val="28"/>
        </w:rPr>
      </w:pPr>
      <w:r>
        <w:rPr>
          <w:rFonts w:eastAsia="仿宋_GB2312"/>
          <w:sz w:val="28"/>
          <w:szCs w:val="28"/>
        </w:rPr>
        <w:t>（1）废气、废水处理设施</w:t>
      </w:r>
    </w:p>
    <w:p>
      <w:pPr>
        <w:snapToGrid w:val="0"/>
        <w:spacing w:line="500" w:lineRule="exact"/>
        <w:ind w:firstLine="465"/>
        <w:textAlignment w:val="baseline"/>
        <w:rPr>
          <w:rFonts w:eastAsia="仿宋_GB2312"/>
          <w:sz w:val="28"/>
          <w:szCs w:val="28"/>
        </w:rPr>
      </w:pPr>
      <w:r>
        <w:rPr>
          <w:rFonts w:eastAsia="仿宋_GB2312"/>
          <w:sz w:val="28"/>
          <w:szCs w:val="28"/>
        </w:rPr>
        <w:t>落实专人负责制度，废气、废水处理设施需由专人维护保养并挂牌明示。做好废气、废水设施的日常运行记录，建立健全管理台帐，了解处理设施的动态信息，确保废气、废水处理设施的正常运行。</w:t>
      </w:r>
    </w:p>
    <w:p>
      <w:pPr>
        <w:spacing w:line="500" w:lineRule="exact"/>
        <w:ind w:firstLine="555"/>
        <w:rPr>
          <w:rFonts w:eastAsia="仿宋_GB2312"/>
          <w:sz w:val="28"/>
          <w:szCs w:val="28"/>
        </w:rPr>
      </w:pPr>
      <w:r>
        <w:rPr>
          <w:rFonts w:eastAsia="仿宋_GB2312"/>
          <w:sz w:val="28"/>
          <w:szCs w:val="28"/>
        </w:rPr>
        <w:t>（2）固废规范管理台账</w:t>
      </w:r>
    </w:p>
    <w:p>
      <w:pPr>
        <w:spacing w:line="500" w:lineRule="exact"/>
        <w:ind w:firstLine="555"/>
        <w:rPr>
          <w:rFonts w:eastAsia="仿宋_GB2312"/>
          <w:sz w:val="28"/>
          <w:szCs w:val="28"/>
        </w:rPr>
      </w:pPr>
      <w:r>
        <w:rPr>
          <w:rFonts w:eastAsia="仿宋_GB2312"/>
          <w:sz w:val="28"/>
          <w:szCs w:val="28"/>
        </w:rPr>
        <w:t>公司应通过“江苏省危险废物动态管理信息系统”（江苏省环保厅网站）进行危险废物申报登记，将危险废物的实际产生、贮存、利用、处置等情况纳入生产记录，建立危险废物管理台账和企业内部产生和收集、贮存、转移等部门危险废物交接制度。</w:t>
      </w:r>
    </w:p>
    <w:p>
      <w:pPr>
        <w:pStyle w:val="3"/>
        <w:spacing w:before="120" w:after="120"/>
      </w:pPr>
      <w:bookmarkStart w:id="463" w:name="_Toc140565288"/>
      <w:r>
        <w:t>污染物排放清单</w:t>
      </w:r>
      <w:bookmarkEnd w:id="463"/>
    </w:p>
    <w:p>
      <w:pPr>
        <w:spacing w:line="500" w:lineRule="exact"/>
        <w:ind w:firstLine="482" w:firstLineChars="200"/>
        <w:jc w:val="center"/>
        <w:rPr>
          <w:rFonts w:eastAsia="仿宋_GB2312"/>
          <w:b/>
          <w:bCs/>
          <w:sz w:val="24"/>
        </w:rPr>
      </w:pPr>
      <w:r>
        <w:rPr>
          <w:rFonts w:eastAsia="仿宋_GB2312"/>
          <w:b/>
          <w:bCs/>
          <w:sz w:val="24"/>
        </w:rPr>
        <w:t>表8.2-1   本项目</w:t>
      </w:r>
      <w:r>
        <w:rPr>
          <w:rFonts w:hint="eastAsia" w:eastAsia="仿宋_GB2312"/>
          <w:b/>
          <w:bCs/>
          <w:sz w:val="24"/>
        </w:rPr>
        <w:t>建成后</w:t>
      </w:r>
      <w:r>
        <w:rPr>
          <w:rFonts w:eastAsia="仿宋_GB2312"/>
          <w:b/>
          <w:bCs/>
          <w:sz w:val="24"/>
        </w:rPr>
        <w:t>水污染物产排表</w:t>
      </w:r>
    </w:p>
    <w:tbl>
      <w:tblPr>
        <w:tblStyle w:val="87"/>
        <w:tblW w:w="9970" w:type="dxa"/>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709"/>
        <w:gridCol w:w="785"/>
        <w:gridCol w:w="868"/>
        <w:gridCol w:w="805"/>
        <w:gridCol w:w="859"/>
        <w:gridCol w:w="1138"/>
        <w:gridCol w:w="884"/>
        <w:gridCol w:w="708"/>
        <w:gridCol w:w="906"/>
        <w:gridCol w:w="578"/>
        <w:gridCol w:w="1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710" w:type="dxa"/>
            <w:vMerge w:val="restart"/>
            <w:shd w:val="clear" w:color="auto" w:fill="auto"/>
            <w:vAlign w:val="center"/>
          </w:tcPr>
          <w:p>
            <w:pPr>
              <w:widowControl/>
              <w:jc w:val="center"/>
              <w:rPr>
                <w:rFonts w:ascii="仿宋" w:hAnsi="仿宋" w:eastAsia="仿宋"/>
                <w:kern w:val="0"/>
                <w:szCs w:val="21"/>
              </w:rPr>
            </w:pPr>
            <w:r>
              <w:rPr>
                <w:rFonts w:ascii="仿宋" w:hAnsi="仿宋" w:eastAsia="仿宋"/>
                <w:kern w:val="0"/>
                <w:szCs w:val="21"/>
              </w:rPr>
              <w:t>废水</w:t>
            </w:r>
          </w:p>
          <w:p>
            <w:pPr>
              <w:widowControl/>
              <w:jc w:val="center"/>
              <w:rPr>
                <w:rFonts w:ascii="仿宋" w:hAnsi="仿宋" w:eastAsia="仿宋"/>
                <w:kern w:val="0"/>
                <w:szCs w:val="21"/>
              </w:rPr>
            </w:pPr>
            <w:r>
              <w:rPr>
                <w:rFonts w:ascii="仿宋" w:hAnsi="仿宋" w:eastAsia="仿宋"/>
                <w:kern w:val="0"/>
                <w:szCs w:val="21"/>
              </w:rPr>
              <w:t>来源</w:t>
            </w:r>
          </w:p>
        </w:tc>
        <w:tc>
          <w:tcPr>
            <w:tcW w:w="709" w:type="dxa"/>
            <w:vMerge w:val="restart"/>
            <w:shd w:val="clear" w:color="auto" w:fill="auto"/>
            <w:vAlign w:val="center"/>
          </w:tcPr>
          <w:p>
            <w:pPr>
              <w:jc w:val="center"/>
              <w:rPr>
                <w:rFonts w:ascii="仿宋" w:hAnsi="仿宋" w:eastAsia="仿宋"/>
                <w:kern w:val="0"/>
                <w:szCs w:val="21"/>
              </w:rPr>
            </w:pPr>
            <w:r>
              <w:rPr>
                <w:rFonts w:ascii="仿宋" w:hAnsi="仿宋" w:eastAsia="仿宋"/>
                <w:kern w:val="0"/>
                <w:szCs w:val="21"/>
              </w:rPr>
              <w:t>类别</w:t>
            </w:r>
          </w:p>
        </w:tc>
        <w:tc>
          <w:tcPr>
            <w:tcW w:w="785" w:type="dxa"/>
            <w:vMerge w:val="restart"/>
            <w:shd w:val="clear" w:color="auto" w:fill="auto"/>
            <w:vAlign w:val="center"/>
          </w:tcPr>
          <w:p>
            <w:pPr>
              <w:widowControl/>
              <w:jc w:val="center"/>
              <w:rPr>
                <w:rFonts w:ascii="仿宋" w:hAnsi="仿宋" w:eastAsia="仿宋"/>
                <w:kern w:val="0"/>
                <w:szCs w:val="21"/>
              </w:rPr>
            </w:pPr>
            <w:r>
              <w:rPr>
                <w:rFonts w:ascii="仿宋" w:hAnsi="仿宋" w:eastAsia="仿宋"/>
                <w:kern w:val="0"/>
                <w:szCs w:val="21"/>
              </w:rPr>
              <w:t>废水量</w:t>
            </w:r>
          </w:p>
          <w:p>
            <w:pPr>
              <w:jc w:val="center"/>
              <w:rPr>
                <w:rFonts w:ascii="仿宋" w:hAnsi="仿宋" w:eastAsia="仿宋"/>
                <w:kern w:val="0"/>
                <w:szCs w:val="21"/>
              </w:rPr>
            </w:pPr>
            <w:r>
              <w:rPr>
                <w:rFonts w:ascii="仿宋" w:hAnsi="仿宋" w:eastAsia="仿宋"/>
                <w:kern w:val="0"/>
                <w:szCs w:val="21"/>
              </w:rPr>
              <w:t>(m</w:t>
            </w:r>
            <w:r>
              <w:rPr>
                <w:rFonts w:ascii="仿宋" w:hAnsi="仿宋" w:eastAsia="仿宋"/>
                <w:kern w:val="0"/>
                <w:szCs w:val="21"/>
                <w:vertAlign w:val="superscript"/>
              </w:rPr>
              <w:t>3</w:t>
            </w:r>
            <w:r>
              <w:rPr>
                <w:rFonts w:ascii="仿宋" w:hAnsi="仿宋" w:eastAsia="仿宋"/>
                <w:kern w:val="0"/>
                <w:szCs w:val="21"/>
              </w:rPr>
              <w:t>/a)</w:t>
            </w:r>
          </w:p>
        </w:tc>
        <w:tc>
          <w:tcPr>
            <w:tcW w:w="2532" w:type="dxa"/>
            <w:gridSpan w:val="3"/>
            <w:shd w:val="clear" w:color="auto" w:fill="auto"/>
            <w:vAlign w:val="center"/>
          </w:tcPr>
          <w:p>
            <w:pPr>
              <w:jc w:val="center"/>
              <w:rPr>
                <w:rFonts w:ascii="仿宋" w:hAnsi="仿宋" w:eastAsia="仿宋"/>
                <w:kern w:val="0"/>
                <w:szCs w:val="21"/>
              </w:rPr>
            </w:pPr>
            <w:r>
              <w:rPr>
                <w:rFonts w:hint="eastAsia" w:ascii="仿宋" w:hAnsi="仿宋" w:eastAsia="仿宋"/>
                <w:kern w:val="0"/>
                <w:szCs w:val="21"/>
              </w:rPr>
              <w:t>污染物</w:t>
            </w:r>
            <w:r>
              <w:rPr>
                <w:rFonts w:ascii="仿宋" w:hAnsi="仿宋" w:eastAsia="仿宋"/>
                <w:kern w:val="0"/>
                <w:szCs w:val="21"/>
              </w:rPr>
              <w:t>产生量</w:t>
            </w:r>
          </w:p>
        </w:tc>
        <w:tc>
          <w:tcPr>
            <w:tcW w:w="1138" w:type="dxa"/>
            <w:vMerge w:val="restart"/>
            <w:shd w:val="clear" w:color="auto" w:fill="auto"/>
            <w:vAlign w:val="center"/>
          </w:tcPr>
          <w:p>
            <w:pPr>
              <w:widowControl/>
              <w:jc w:val="center"/>
              <w:rPr>
                <w:rFonts w:ascii="仿宋" w:hAnsi="仿宋" w:eastAsia="仿宋"/>
                <w:kern w:val="0"/>
                <w:szCs w:val="21"/>
              </w:rPr>
            </w:pPr>
            <w:r>
              <w:rPr>
                <w:rFonts w:ascii="仿宋" w:hAnsi="仿宋" w:eastAsia="仿宋"/>
                <w:kern w:val="0"/>
                <w:szCs w:val="21"/>
              </w:rPr>
              <w:t>拟采取的防治措施</w:t>
            </w:r>
          </w:p>
        </w:tc>
        <w:tc>
          <w:tcPr>
            <w:tcW w:w="2498" w:type="dxa"/>
            <w:gridSpan w:val="3"/>
            <w:vAlign w:val="center"/>
          </w:tcPr>
          <w:p>
            <w:pPr>
              <w:widowControl/>
              <w:jc w:val="center"/>
              <w:rPr>
                <w:rFonts w:ascii="仿宋" w:hAnsi="仿宋" w:eastAsia="仿宋"/>
                <w:kern w:val="0"/>
                <w:szCs w:val="21"/>
              </w:rPr>
            </w:pPr>
            <w:r>
              <w:rPr>
                <w:rFonts w:hint="eastAsia" w:ascii="仿宋" w:hAnsi="仿宋" w:eastAsia="仿宋"/>
                <w:kern w:val="0"/>
                <w:szCs w:val="21"/>
              </w:rPr>
              <w:t>污染物排放</w:t>
            </w:r>
            <w:r>
              <w:rPr>
                <w:rFonts w:ascii="仿宋" w:hAnsi="仿宋" w:eastAsia="仿宋"/>
                <w:kern w:val="0"/>
                <w:szCs w:val="21"/>
              </w:rPr>
              <w:t>量</w:t>
            </w:r>
          </w:p>
        </w:tc>
        <w:tc>
          <w:tcPr>
            <w:tcW w:w="578" w:type="dxa"/>
            <w:vMerge w:val="restart"/>
            <w:vAlign w:val="center"/>
          </w:tcPr>
          <w:p>
            <w:pPr>
              <w:widowControl/>
              <w:jc w:val="center"/>
              <w:rPr>
                <w:rFonts w:ascii="仿宋" w:hAnsi="仿宋" w:eastAsia="仿宋"/>
                <w:kern w:val="0"/>
                <w:szCs w:val="21"/>
              </w:rPr>
            </w:pPr>
            <w:r>
              <w:rPr>
                <w:rFonts w:hint="eastAsia" w:ascii="仿宋" w:hAnsi="仿宋" w:eastAsia="仿宋"/>
                <w:kern w:val="0"/>
                <w:szCs w:val="21"/>
              </w:rPr>
              <w:t>排放</w:t>
            </w:r>
            <w:r>
              <w:rPr>
                <w:rFonts w:ascii="仿宋" w:hAnsi="仿宋" w:eastAsia="仿宋"/>
                <w:kern w:val="0"/>
                <w:szCs w:val="21"/>
              </w:rPr>
              <w:t>标准</w:t>
            </w:r>
          </w:p>
        </w:tc>
        <w:tc>
          <w:tcPr>
            <w:tcW w:w="1020" w:type="dxa"/>
            <w:vMerge w:val="restart"/>
            <w:vAlign w:val="center"/>
          </w:tcPr>
          <w:p>
            <w:pPr>
              <w:widowControl/>
              <w:jc w:val="center"/>
              <w:rPr>
                <w:rFonts w:ascii="仿宋" w:hAnsi="仿宋" w:eastAsia="仿宋"/>
                <w:kern w:val="0"/>
                <w:szCs w:val="21"/>
              </w:rPr>
            </w:pPr>
            <w:r>
              <w:rPr>
                <w:rFonts w:hint="eastAsia" w:ascii="仿宋" w:hAnsi="仿宋" w:eastAsia="仿宋"/>
                <w:kern w:val="0"/>
                <w:szCs w:val="21"/>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710" w:type="dxa"/>
            <w:vMerge w:val="continue"/>
            <w:shd w:val="clear" w:color="auto" w:fill="auto"/>
            <w:vAlign w:val="center"/>
          </w:tcPr>
          <w:p>
            <w:pPr>
              <w:widowControl/>
              <w:jc w:val="center"/>
              <w:rPr>
                <w:rFonts w:ascii="仿宋" w:hAnsi="仿宋" w:eastAsia="仿宋"/>
                <w:kern w:val="0"/>
                <w:szCs w:val="21"/>
              </w:rPr>
            </w:pPr>
          </w:p>
        </w:tc>
        <w:tc>
          <w:tcPr>
            <w:tcW w:w="709" w:type="dxa"/>
            <w:vMerge w:val="continue"/>
            <w:shd w:val="clear" w:color="auto" w:fill="auto"/>
            <w:vAlign w:val="center"/>
          </w:tcPr>
          <w:p>
            <w:pPr>
              <w:jc w:val="center"/>
              <w:rPr>
                <w:rFonts w:ascii="仿宋" w:hAnsi="仿宋" w:eastAsia="仿宋"/>
                <w:kern w:val="0"/>
                <w:szCs w:val="21"/>
              </w:rPr>
            </w:pPr>
          </w:p>
        </w:tc>
        <w:tc>
          <w:tcPr>
            <w:tcW w:w="785" w:type="dxa"/>
            <w:vMerge w:val="continue"/>
            <w:shd w:val="clear" w:color="auto" w:fill="auto"/>
            <w:vAlign w:val="center"/>
          </w:tcPr>
          <w:p>
            <w:pPr>
              <w:widowControl/>
              <w:jc w:val="center"/>
              <w:rPr>
                <w:rFonts w:ascii="仿宋" w:hAnsi="仿宋" w:eastAsia="仿宋"/>
                <w:kern w:val="0"/>
                <w:szCs w:val="21"/>
              </w:rPr>
            </w:pPr>
          </w:p>
        </w:tc>
        <w:tc>
          <w:tcPr>
            <w:tcW w:w="868" w:type="dxa"/>
            <w:shd w:val="clear" w:color="auto" w:fill="auto"/>
            <w:vAlign w:val="center"/>
          </w:tcPr>
          <w:p>
            <w:pPr>
              <w:widowControl/>
              <w:jc w:val="center"/>
              <w:rPr>
                <w:rFonts w:ascii="仿宋" w:hAnsi="仿宋" w:eastAsia="仿宋"/>
                <w:kern w:val="0"/>
                <w:szCs w:val="21"/>
              </w:rPr>
            </w:pPr>
            <w:r>
              <w:rPr>
                <w:rFonts w:ascii="仿宋" w:hAnsi="仿宋" w:eastAsia="仿宋"/>
                <w:kern w:val="0"/>
                <w:szCs w:val="21"/>
              </w:rPr>
              <w:t>污染物名称</w:t>
            </w:r>
          </w:p>
        </w:tc>
        <w:tc>
          <w:tcPr>
            <w:tcW w:w="805" w:type="dxa"/>
            <w:shd w:val="clear" w:color="auto" w:fill="auto"/>
            <w:vAlign w:val="center"/>
          </w:tcPr>
          <w:p>
            <w:pPr>
              <w:widowControl/>
              <w:jc w:val="center"/>
              <w:rPr>
                <w:rFonts w:ascii="仿宋" w:hAnsi="仿宋" w:eastAsia="仿宋"/>
                <w:kern w:val="0"/>
                <w:szCs w:val="21"/>
              </w:rPr>
            </w:pPr>
            <w:r>
              <w:rPr>
                <w:rFonts w:ascii="仿宋" w:hAnsi="仿宋" w:eastAsia="仿宋"/>
                <w:kern w:val="0"/>
                <w:szCs w:val="21"/>
              </w:rPr>
              <w:t>浓度</w:t>
            </w:r>
          </w:p>
          <w:p>
            <w:pPr>
              <w:jc w:val="center"/>
              <w:rPr>
                <w:rFonts w:ascii="仿宋" w:hAnsi="仿宋" w:eastAsia="仿宋"/>
                <w:kern w:val="0"/>
                <w:szCs w:val="21"/>
              </w:rPr>
            </w:pPr>
            <w:r>
              <w:rPr>
                <w:rFonts w:ascii="仿宋" w:hAnsi="仿宋" w:eastAsia="仿宋"/>
                <w:kern w:val="0"/>
                <w:szCs w:val="21"/>
              </w:rPr>
              <w:t>（mg/L）</w:t>
            </w:r>
          </w:p>
        </w:tc>
        <w:tc>
          <w:tcPr>
            <w:tcW w:w="859" w:type="dxa"/>
            <w:shd w:val="clear" w:color="auto" w:fill="auto"/>
            <w:vAlign w:val="center"/>
          </w:tcPr>
          <w:p>
            <w:pPr>
              <w:widowControl/>
              <w:jc w:val="center"/>
              <w:rPr>
                <w:rFonts w:ascii="仿宋" w:hAnsi="仿宋" w:eastAsia="仿宋"/>
                <w:kern w:val="0"/>
                <w:szCs w:val="21"/>
              </w:rPr>
            </w:pPr>
            <w:r>
              <w:rPr>
                <w:rFonts w:ascii="仿宋" w:hAnsi="仿宋" w:eastAsia="仿宋"/>
                <w:kern w:val="0"/>
                <w:szCs w:val="21"/>
              </w:rPr>
              <w:t>产生量</w:t>
            </w:r>
          </w:p>
          <w:p>
            <w:pPr>
              <w:jc w:val="center"/>
              <w:rPr>
                <w:rFonts w:ascii="仿宋" w:hAnsi="仿宋" w:eastAsia="仿宋"/>
                <w:kern w:val="0"/>
                <w:szCs w:val="21"/>
              </w:rPr>
            </w:pPr>
            <w:r>
              <w:rPr>
                <w:rFonts w:ascii="仿宋" w:hAnsi="仿宋" w:eastAsia="仿宋"/>
                <w:kern w:val="0"/>
                <w:szCs w:val="21"/>
              </w:rPr>
              <w:t>（t/a）</w:t>
            </w:r>
          </w:p>
        </w:tc>
        <w:tc>
          <w:tcPr>
            <w:tcW w:w="1138" w:type="dxa"/>
            <w:vMerge w:val="continue"/>
            <w:shd w:val="clear" w:color="auto" w:fill="auto"/>
            <w:vAlign w:val="center"/>
          </w:tcPr>
          <w:p>
            <w:pPr>
              <w:widowControl/>
              <w:jc w:val="center"/>
              <w:rPr>
                <w:rFonts w:ascii="仿宋" w:hAnsi="仿宋" w:eastAsia="仿宋"/>
                <w:kern w:val="0"/>
                <w:szCs w:val="21"/>
              </w:rPr>
            </w:pPr>
          </w:p>
        </w:tc>
        <w:tc>
          <w:tcPr>
            <w:tcW w:w="884" w:type="dxa"/>
            <w:vAlign w:val="center"/>
          </w:tcPr>
          <w:p>
            <w:pPr>
              <w:widowControl/>
              <w:jc w:val="center"/>
              <w:rPr>
                <w:rFonts w:ascii="仿宋" w:hAnsi="仿宋" w:eastAsia="仿宋"/>
                <w:kern w:val="0"/>
                <w:szCs w:val="21"/>
              </w:rPr>
            </w:pPr>
            <w:r>
              <w:rPr>
                <w:rFonts w:ascii="仿宋" w:hAnsi="仿宋" w:eastAsia="仿宋"/>
                <w:kern w:val="0"/>
                <w:szCs w:val="21"/>
              </w:rPr>
              <w:t>污染物名称</w:t>
            </w:r>
          </w:p>
        </w:tc>
        <w:tc>
          <w:tcPr>
            <w:tcW w:w="708" w:type="dxa"/>
            <w:vAlign w:val="center"/>
          </w:tcPr>
          <w:p>
            <w:pPr>
              <w:widowControl/>
              <w:jc w:val="center"/>
              <w:rPr>
                <w:rFonts w:ascii="仿宋" w:hAnsi="仿宋" w:eastAsia="仿宋"/>
                <w:kern w:val="0"/>
                <w:szCs w:val="21"/>
              </w:rPr>
            </w:pPr>
            <w:r>
              <w:rPr>
                <w:rFonts w:ascii="仿宋" w:hAnsi="仿宋" w:eastAsia="仿宋"/>
                <w:kern w:val="0"/>
                <w:szCs w:val="21"/>
              </w:rPr>
              <w:t>浓度</w:t>
            </w:r>
          </w:p>
          <w:p>
            <w:pPr>
              <w:jc w:val="center"/>
              <w:rPr>
                <w:rFonts w:ascii="仿宋" w:hAnsi="仿宋" w:eastAsia="仿宋"/>
                <w:kern w:val="0"/>
                <w:szCs w:val="21"/>
              </w:rPr>
            </w:pPr>
            <w:r>
              <w:rPr>
                <w:rFonts w:ascii="仿宋" w:hAnsi="仿宋" w:eastAsia="仿宋"/>
                <w:kern w:val="0"/>
                <w:szCs w:val="21"/>
              </w:rPr>
              <w:t>（mg/L）</w:t>
            </w:r>
          </w:p>
        </w:tc>
        <w:tc>
          <w:tcPr>
            <w:tcW w:w="906" w:type="dxa"/>
            <w:vAlign w:val="center"/>
          </w:tcPr>
          <w:p>
            <w:pPr>
              <w:widowControl/>
              <w:jc w:val="center"/>
              <w:rPr>
                <w:rFonts w:ascii="仿宋" w:hAnsi="仿宋" w:eastAsia="仿宋"/>
                <w:kern w:val="0"/>
                <w:szCs w:val="21"/>
              </w:rPr>
            </w:pPr>
            <w:r>
              <w:rPr>
                <w:rFonts w:ascii="仿宋" w:hAnsi="仿宋" w:eastAsia="仿宋"/>
                <w:kern w:val="0"/>
                <w:szCs w:val="21"/>
              </w:rPr>
              <w:t>排放量</w:t>
            </w:r>
          </w:p>
          <w:p>
            <w:pPr>
              <w:jc w:val="center"/>
              <w:rPr>
                <w:rFonts w:ascii="仿宋" w:hAnsi="仿宋" w:eastAsia="仿宋"/>
                <w:kern w:val="0"/>
                <w:szCs w:val="21"/>
              </w:rPr>
            </w:pPr>
            <w:r>
              <w:rPr>
                <w:rFonts w:ascii="仿宋" w:hAnsi="仿宋" w:eastAsia="仿宋"/>
                <w:kern w:val="0"/>
                <w:szCs w:val="21"/>
              </w:rPr>
              <w:t>（t/a）</w:t>
            </w:r>
          </w:p>
        </w:tc>
        <w:tc>
          <w:tcPr>
            <w:tcW w:w="578" w:type="dxa"/>
            <w:vMerge w:val="continue"/>
            <w:vAlign w:val="center"/>
          </w:tcPr>
          <w:p>
            <w:pPr>
              <w:widowControl/>
              <w:jc w:val="center"/>
              <w:rPr>
                <w:rFonts w:ascii="仿宋" w:hAnsi="仿宋" w:eastAsia="仿宋"/>
                <w:kern w:val="0"/>
                <w:szCs w:val="21"/>
              </w:rPr>
            </w:pPr>
          </w:p>
        </w:tc>
        <w:tc>
          <w:tcPr>
            <w:tcW w:w="1020" w:type="dxa"/>
            <w:vMerge w:val="continue"/>
            <w:vAlign w:val="center"/>
          </w:tcPr>
          <w:p>
            <w:pPr>
              <w:widowControl/>
              <w:jc w:val="center"/>
              <w:rPr>
                <w:rFonts w:ascii="仿宋" w:hAnsi="仿宋"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vMerge w:val="restart"/>
            <w:shd w:val="clear" w:color="auto" w:fill="auto"/>
            <w:vAlign w:val="center"/>
          </w:tcPr>
          <w:p>
            <w:pPr>
              <w:widowControl/>
              <w:jc w:val="center"/>
              <w:rPr>
                <w:rFonts w:ascii="仿宋" w:hAnsi="仿宋" w:eastAsia="仿宋"/>
                <w:kern w:val="0"/>
                <w:szCs w:val="21"/>
              </w:rPr>
            </w:pPr>
            <w:r>
              <w:rPr>
                <w:rFonts w:hint="eastAsia" w:ascii="仿宋" w:hAnsi="仿宋" w:eastAsia="仿宋"/>
                <w:kern w:val="0"/>
                <w:szCs w:val="21"/>
              </w:rPr>
              <w:t>生活</w:t>
            </w:r>
          </w:p>
        </w:tc>
        <w:tc>
          <w:tcPr>
            <w:tcW w:w="709" w:type="dxa"/>
            <w:vMerge w:val="restart"/>
            <w:shd w:val="clear" w:color="auto" w:fill="auto"/>
            <w:vAlign w:val="center"/>
          </w:tcPr>
          <w:p>
            <w:pPr>
              <w:widowControl/>
              <w:jc w:val="center"/>
              <w:rPr>
                <w:rFonts w:ascii="仿宋" w:hAnsi="仿宋" w:eastAsia="仿宋"/>
                <w:kern w:val="0"/>
                <w:szCs w:val="21"/>
              </w:rPr>
            </w:pPr>
            <w:r>
              <w:rPr>
                <w:rFonts w:ascii="仿宋" w:hAnsi="仿宋" w:eastAsia="仿宋"/>
                <w:kern w:val="0"/>
                <w:szCs w:val="21"/>
              </w:rPr>
              <w:t>生活污水</w:t>
            </w:r>
          </w:p>
        </w:tc>
        <w:tc>
          <w:tcPr>
            <w:tcW w:w="785" w:type="dxa"/>
            <w:vMerge w:val="restart"/>
            <w:shd w:val="clear" w:color="auto" w:fill="auto"/>
            <w:vAlign w:val="center"/>
          </w:tcPr>
          <w:p>
            <w:pPr>
              <w:widowControl/>
              <w:jc w:val="center"/>
              <w:rPr>
                <w:rFonts w:ascii="仿宋" w:hAnsi="仿宋" w:eastAsia="仿宋"/>
                <w:kern w:val="0"/>
                <w:szCs w:val="21"/>
              </w:rPr>
            </w:pPr>
            <w:r>
              <w:rPr>
                <w:rFonts w:hint="eastAsia" w:ascii="仿宋" w:hAnsi="仿宋" w:eastAsia="仿宋"/>
                <w:kern w:val="0"/>
                <w:szCs w:val="21"/>
              </w:rPr>
              <w:t>1080</w:t>
            </w:r>
          </w:p>
        </w:tc>
        <w:tc>
          <w:tcPr>
            <w:tcW w:w="868" w:type="dxa"/>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COD</w:t>
            </w:r>
          </w:p>
        </w:tc>
        <w:tc>
          <w:tcPr>
            <w:tcW w:w="805" w:type="dxa"/>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400</w:t>
            </w:r>
          </w:p>
        </w:tc>
        <w:tc>
          <w:tcPr>
            <w:tcW w:w="859" w:type="dxa"/>
            <w:shd w:val="clear" w:color="auto" w:fill="auto"/>
            <w:vAlign w:val="center"/>
          </w:tcPr>
          <w:p>
            <w:pPr>
              <w:adjustRightInd w:val="0"/>
              <w:snapToGrid w:val="0"/>
              <w:spacing w:line="240" w:lineRule="exact"/>
              <w:jc w:val="center"/>
              <w:rPr>
                <w:rFonts w:ascii="仿宋" w:hAnsi="仿宋" w:eastAsia="仿宋" w:cs="仿宋"/>
                <w:bCs/>
                <w:szCs w:val="21"/>
              </w:rPr>
            </w:pPr>
            <w:r>
              <w:rPr>
                <w:rFonts w:ascii="仿宋" w:hAnsi="仿宋" w:eastAsia="仿宋" w:cs="仿宋"/>
                <w:bCs/>
                <w:szCs w:val="21"/>
              </w:rPr>
              <w:t>0.43</w:t>
            </w:r>
          </w:p>
        </w:tc>
        <w:tc>
          <w:tcPr>
            <w:tcW w:w="1138" w:type="dxa"/>
            <w:vMerge w:val="restart"/>
            <w:shd w:val="clear" w:color="auto" w:fill="auto"/>
            <w:vAlign w:val="center"/>
          </w:tcPr>
          <w:p>
            <w:pPr>
              <w:jc w:val="center"/>
              <w:rPr>
                <w:rFonts w:ascii="仿宋" w:hAnsi="仿宋" w:eastAsia="仿宋"/>
                <w:kern w:val="0"/>
                <w:szCs w:val="21"/>
              </w:rPr>
            </w:pPr>
            <w:r>
              <w:rPr>
                <w:rFonts w:hint="eastAsia" w:ascii="仿宋" w:hAnsi="仿宋" w:eastAsia="仿宋"/>
                <w:kern w:val="0"/>
                <w:szCs w:val="21"/>
              </w:rPr>
              <w:t>接入市政</w:t>
            </w:r>
            <w:r>
              <w:rPr>
                <w:rFonts w:ascii="仿宋" w:hAnsi="仿宋" w:eastAsia="仿宋"/>
                <w:kern w:val="0"/>
                <w:szCs w:val="21"/>
              </w:rPr>
              <w:t>污水管网</w:t>
            </w:r>
          </w:p>
        </w:tc>
        <w:tc>
          <w:tcPr>
            <w:tcW w:w="884" w:type="dxa"/>
            <w:vAlign w:val="center"/>
          </w:tcPr>
          <w:p>
            <w:pPr>
              <w:spacing w:line="240" w:lineRule="exact"/>
              <w:jc w:val="center"/>
              <w:rPr>
                <w:rFonts w:ascii="仿宋" w:hAnsi="仿宋" w:eastAsia="仿宋" w:cs="仿宋"/>
                <w:bCs/>
                <w:szCs w:val="21"/>
              </w:rPr>
            </w:pPr>
            <w:r>
              <w:rPr>
                <w:rFonts w:ascii="仿宋" w:hAnsi="仿宋" w:eastAsia="仿宋" w:cs="仿宋"/>
                <w:bCs/>
                <w:szCs w:val="21"/>
              </w:rPr>
              <w:t>COD</w:t>
            </w:r>
          </w:p>
        </w:tc>
        <w:tc>
          <w:tcPr>
            <w:tcW w:w="708" w:type="dxa"/>
            <w:vAlign w:val="center"/>
          </w:tcPr>
          <w:p>
            <w:pPr>
              <w:spacing w:line="240" w:lineRule="exact"/>
              <w:jc w:val="center"/>
              <w:rPr>
                <w:rFonts w:ascii="仿宋" w:hAnsi="仿宋" w:eastAsia="仿宋" w:cs="仿宋"/>
                <w:bCs/>
                <w:szCs w:val="21"/>
              </w:rPr>
            </w:pPr>
            <w:r>
              <w:rPr>
                <w:rFonts w:ascii="仿宋" w:hAnsi="仿宋" w:eastAsia="仿宋" w:cs="仿宋"/>
                <w:bCs/>
                <w:szCs w:val="21"/>
              </w:rPr>
              <w:t>400</w:t>
            </w:r>
          </w:p>
        </w:tc>
        <w:tc>
          <w:tcPr>
            <w:tcW w:w="906" w:type="dxa"/>
            <w:vAlign w:val="center"/>
          </w:tcPr>
          <w:p>
            <w:pPr>
              <w:adjustRightInd w:val="0"/>
              <w:snapToGrid w:val="0"/>
              <w:spacing w:line="240" w:lineRule="exact"/>
              <w:jc w:val="center"/>
              <w:rPr>
                <w:rFonts w:ascii="仿宋" w:hAnsi="仿宋" w:eastAsia="仿宋" w:cs="仿宋"/>
                <w:bCs/>
                <w:szCs w:val="21"/>
              </w:rPr>
            </w:pPr>
            <w:r>
              <w:rPr>
                <w:rFonts w:ascii="仿宋" w:hAnsi="仿宋" w:eastAsia="仿宋" w:cs="仿宋"/>
                <w:bCs/>
                <w:szCs w:val="21"/>
              </w:rPr>
              <w:t>0.43</w:t>
            </w:r>
          </w:p>
        </w:tc>
        <w:tc>
          <w:tcPr>
            <w:tcW w:w="578" w:type="dxa"/>
            <w:vAlign w:val="center"/>
          </w:tcPr>
          <w:p>
            <w:pPr>
              <w:jc w:val="center"/>
              <w:rPr>
                <w:rFonts w:ascii="仿宋" w:hAnsi="仿宋" w:eastAsia="仿宋"/>
                <w:kern w:val="0"/>
                <w:szCs w:val="21"/>
              </w:rPr>
            </w:pPr>
            <w:r>
              <w:rPr>
                <w:rFonts w:hint="eastAsia" w:ascii="仿宋" w:hAnsi="仿宋" w:eastAsia="仿宋"/>
                <w:kern w:val="0"/>
                <w:szCs w:val="21"/>
              </w:rPr>
              <w:t>500</w:t>
            </w:r>
          </w:p>
        </w:tc>
        <w:tc>
          <w:tcPr>
            <w:tcW w:w="1020" w:type="dxa"/>
            <w:vMerge w:val="restart"/>
            <w:vAlign w:val="center"/>
          </w:tcPr>
          <w:p>
            <w:pPr>
              <w:jc w:val="center"/>
              <w:rPr>
                <w:rFonts w:ascii="仿宋" w:hAnsi="仿宋" w:eastAsia="仿宋"/>
                <w:kern w:val="0"/>
                <w:szCs w:val="21"/>
              </w:rPr>
            </w:pPr>
            <w:r>
              <w:rPr>
                <w:rFonts w:hint="eastAsia" w:ascii="仿宋" w:hAnsi="仿宋" w:eastAsia="仿宋"/>
                <w:kern w:val="0"/>
                <w:szCs w:val="21"/>
              </w:rPr>
              <w:t>进金坛第二污水处理厂</w:t>
            </w:r>
            <w:r>
              <w:rPr>
                <w:rFonts w:ascii="仿宋" w:hAnsi="仿宋" w:eastAsia="仿宋"/>
                <w:kern w:val="0"/>
                <w:szCs w:val="21"/>
              </w:rPr>
              <w:t>，尾水排入尧塘河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vMerge w:val="continue"/>
            <w:vAlign w:val="center"/>
          </w:tcPr>
          <w:p>
            <w:pPr>
              <w:widowControl/>
              <w:jc w:val="center"/>
              <w:rPr>
                <w:rFonts w:ascii="仿宋" w:hAnsi="仿宋" w:eastAsia="仿宋"/>
                <w:kern w:val="0"/>
                <w:szCs w:val="21"/>
              </w:rPr>
            </w:pPr>
          </w:p>
        </w:tc>
        <w:tc>
          <w:tcPr>
            <w:tcW w:w="709" w:type="dxa"/>
            <w:vMerge w:val="continue"/>
            <w:vAlign w:val="center"/>
          </w:tcPr>
          <w:p>
            <w:pPr>
              <w:widowControl/>
              <w:jc w:val="center"/>
              <w:rPr>
                <w:rFonts w:ascii="仿宋" w:hAnsi="仿宋" w:eastAsia="仿宋"/>
                <w:kern w:val="0"/>
                <w:szCs w:val="21"/>
              </w:rPr>
            </w:pPr>
          </w:p>
        </w:tc>
        <w:tc>
          <w:tcPr>
            <w:tcW w:w="785" w:type="dxa"/>
            <w:vMerge w:val="continue"/>
            <w:vAlign w:val="center"/>
          </w:tcPr>
          <w:p>
            <w:pPr>
              <w:widowControl/>
              <w:jc w:val="center"/>
              <w:rPr>
                <w:rFonts w:ascii="仿宋" w:hAnsi="仿宋" w:eastAsia="仿宋"/>
                <w:kern w:val="0"/>
                <w:szCs w:val="21"/>
              </w:rPr>
            </w:pPr>
          </w:p>
        </w:tc>
        <w:tc>
          <w:tcPr>
            <w:tcW w:w="868" w:type="dxa"/>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SS</w:t>
            </w:r>
          </w:p>
        </w:tc>
        <w:tc>
          <w:tcPr>
            <w:tcW w:w="805"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25</w:t>
            </w:r>
            <w:r>
              <w:rPr>
                <w:rFonts w:ascii="仿宋" w:hAnsi="仿宋" w:eastAsia="仿宋" w:cs="仿宋"/>
                <w:bCs/>
                <w:szCs w:val="21"/>
              </w:rPr>
              <w:t>0</w:t>
            </w:r>
          </w:p>
        </w:tc>
        <w:tc>
          <w:tcPr>
            <w:tcW w:w="859" w:type="dxa"/>
            <w:shd w:val="clear" w:color="auto" w:fill="auto"/>
            <w:vAlign w:val="center"/>
          </w:tcPr>
          <w:p>
            <w:pPr>
              <w:spacing w:line="240" w:lineRule="exact"/>
              <w:jc w:val="center"/>
              <w:rPr>
                <w:rFonts w:ascii="仿宋" w:hAnsi="仿宋" w:eastAsia="仿宋" w:cs="仿宋"/>
                <w:bCs/>
                <w:szCs w:val="21"/>
              </w:rPr>
            </w:pPr>
            <w:r>
              <w:rPr>
                <w:rFonts w:eastAsia="仿宋_GB2312"/>
                <w:kern w:val="0"/>
                <w:szCs w:val="21"/>
              </w:rPr>
              <w:t>0.27</w:t>
            </w:r>
          </w:p>
        </w:tc>
        <w:tc>
          <w:tcPr>
            <w:tcW w:w="1138" w:type="dxa"/>
            <w:vMerge w:val="continue"/>
            <w:shd w:val="clear" w:color="auto" w:fill="auto"/>
            <w:vAlign w:val="center"/>
          </w:tcPr>
          <w:p>
            <w:pPr>
              <w:jc w:val="center"/>
              <w:rPr>
                <w:rFonts w:ascii="仿宋" w:hAnsi="仿宋" w:eastAsia="仿宋"/>
                <w:kern w:val="0"/>
                <w:szCs w:val="21"/>
              </w:rPr>
            </w:pPr>
          </w:p>
        </w:tc>
        <w:tc>
          <w:tcPr>
            <w:tcW w:w="884" w:type="dxa"/>
            <w:vAlign w:val="center"/>
          </w:tcPr>
          <w:p>
            <w:pPr>
              <w:spacing w:line="240" w:lineRule="exact"/>
              <w:jc w:val="center"/>
              <w:rPr>
                <w:rFonts w:ascii="仿宋" w:hAnsi="仿宋" w:eastAsia="仿宋" w:cs="仿宋"/>
                <w:bCs/>
                <w:szCs w:val="21"/>
              </w:rPr>
            </w:pPr>
            <w:r>
              <w:rPr>
                <w:rFonts w:ascii="仿宋" w:hAnsi="仿宋" w:eastAsia="仿宋" w:cs="仿宋"/>
                <w:bCs/>
                <w:szCs w:val="21"/>
              </w:rPr>
              <w:t>SS</w:t>
            </w:r>
          </w:p>
        </w:tc>
        <w:tc>
          <w:tcPr>
            <w:tcW w:w="708"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25</w:t>
            </w:r>
            <w:r>
              <w:rPr>
                <w:rFonts w:ascii="仿宋" w:hAnsi="仿宋" w:eastAsia="仿宋" w:cs="仿宋"/>
                <w:bCs/>
                <w:szCs w:val="21"/>
              </w:rPr>
              <w:t>0</w:t>
            </w:r>
          </w:p>
        </w:tc>
        <w:tc>
          <w:tcPr>
            <w:tcW w:w="906" w:type="dxa"/>
            <w:vAlign w:val="center"/>
          </w:tcPr>
          <w:p>
            <w:pPr>
              <w:spacing w:line="240" w:lineRule="exact"/>
              <w:jc w:val="center"/>
              <w:rPr>
                <w:rFonts w:ascii="仿宋" w:hAnsi="仿宋" w:eastAsia="仿宋" w:cs="仿宋"/>
                <w:bCs/>
                <w:szCs w:val="21"/>
              </w:rPr>
            </w:pPr>
            <w:r>
              <w:rPr>
                <w:rFonts w:eastAsia="仿宋_GB2312"/>
                <w:kern w:val="0"/>
                <w:szCs w:val="21"/>
              </w:rPr>
              <w:t>0.27</w:t>
            </w:r>
          </w:p>
        </w:tc>
        <w:tc>
          <w:tcPr>
            <w:tcW w:w="578" w:type="dxa"/>
            <w:vAlign w:val="center"/>
          </w:tcPr>
          <w:p>
            <w:pPr>
              <w:jc w:val="center"/>
              <w:rPr>
                <w:rFonts w:ascii="仿宋" w:hAnsi="仿宋" w:eastAsia="仿宋"/>
                <w:kern w:val="0"/>
                <w:szCs w:val="21"/>
              </w:rPr>
            </w:pPr>
            <w:r>
              <w:rPr>
                <w:rFonts w:hint="eastAsia" w:ascii="仿宋" w:hAnsi="仿宋" w:eastAsia="仿宋"/>
                <w:kern w:val="0"/>
                <w:szCs w:val="21"/>
              </w:rPr>
              <w:t>250</w:t>
            </w:r>
          </w:p>
        </w:tc>
        <w:tc>
          <w:tcPr>
            <w:tcW w:w="1020" w:type="dxa"/>
            <w:vMerge w:val="continue"/>
            <w:vAlign w:val="center"/>
          </w:tcPr>
          <w:p>
            <w:pPr>
              <w:jc w:val="center"/>
              <w:rPr>
                <w:rFonts w:ascii="仿宋" w:hAnsi="仿宋"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vMerge w:val="continue"/>
            <w:vAlign w:val="center"/>
          </w:tcPr>
          <w:p>
            <w:pPr>
              <w:widowControl/>
              <w:jc w:val="center"/>
              <w:rPr>
                <w:rFonts w:ascii="仿宋" w:hAnsi="仿宋" w:eastAsia="仿宋"/>
                <w:kern w:val="0"/>
                <w:szCs w:val="21"/>
              </w:rPr>
            </w:pPr>
          </w:p>
        </w:tc>
        <w:tc>
          <w:tcPr>
            <w:tcW w:w="709" w:type="dxa"/>
            <w:vMerge w:val="continue"/>
            <w:vAlign w:val="center"/>
          </w:tcPr>
          <w:p>
            <w:pPr>
              <w:widowControl/>
              <w:jc w:val="center"/>
              <w:rPr>
                <w:rFonts w:ascii="仿宋" w:hAnsi="仿宋" w:eastAsia="仿宋"/>
                <w:kern w:val="0"/>
                <w:szCs w:val="21"/>
              </w:rPr>
            </w:pPr>
          </w:p>
        </w:tc>
        <w:tc>
          <w:tcPr>
            <w:tcW w:w="785" w:type="dxa"/>
            <w:vMerge w:val="continue"/>
            <w:vAlign w:val="center"/>
          </w:tcPr>
          <w:p>
            <w:pPr>
              <w:widowControl/>
              <w:jc w:val="center"/>
              <w:rPr>
                <w:rFonts w:ascii="仿宋" w:hAnsi="仿宋" w:eastAsia="仿宋"/>
                <w:kern w:val="0"/>
                <w:szCs w:val="21"/>
              </w:rPr>
            </w:pPr>
          </w:p>
        </w:tc>
        <w:tc>
          <w:tcPr>
            <w:tcW w:w="868" w:type="dxa"/>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NH</w:t>
            </w:r>
            <w:r>
              <w:rPr>
                <w:rFonts w:ascii="仿宋" w:hAnsi="仿宋" w:eastAsia="仿宋" w:cs="仿宋"/>
                <w:bCs/>
                <w:szCs w:val="21"/>
                <w:vertAlign w:val="subscript"/>
              </w:rPr>
              <w:t>3</w:t>
            </w:r>
            <w:r>
              <w:rPr>
                <w:rFonts w:ascii="仿宋" w:hAnsi="仿宋" w:eastAsia="仿宋" w:cs="仿宋"/>
                <w:bCs/>
                <w:szCs w:val="21"/>
              </w:rPr>
              <w:t>-N</w:t>
            </w:r>
          </w:p>
        </w:tc>
        <w:tc>
          <w:tcPr>
            <w:tcW w:w="805"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25</w:t>
            </w:r>
          </w:p>
        </w:tc>
        <w:tc>
          <w:tcPr>
            <w:tcW w:w="859" w:type="dxa"/>
            <w:shd w:val="clear" w:color="auto" w:fill="auto"/>
            <w:vAlign w:val="center"/>
          </w:tcPr>
          <w:p>
            <w:pPr>
              <w:spacing w:line="240" w:lineRule="exact"/>
              <w:jc w:val="center"/>
              <w:rPr>
                <w:rFonts w:ascii="仿宋" w:hAnsi="仿宋" w:eastAsia="仿宋" w:cs="仿宋"/>
                <w:bCs/>
                <w:szCs w:val="21"/>
              </w:rPr>
            </w:pPr>
            <w:r>
              <w:rPr>
                <w:rFonts w:hint="eastAsia" w:eastAsia="仿宋_GB2312"/>
                <w:kern w:val="0"/>
                <w:szCs w:val="21"/>
              </w:rPr>
              <w:t>0.</w:t>
            </w:r>
            <w:r>
              <w:rPr>
                <w:rFonts w:eastAsia="仿宋_GB2312"/>
                <w:kern w:val="0"/>
                <w:szCs w:val="21"/>
              </w:rPr>
              <w:t>03</w:t>
            </w:r>
          </w:p>
        </w:tc>
        <w:tc>
          <w:tcPr>
            <w:tcW w:w="1138" w:type="dxa"/>
            <w:vMerge w:val="continue"/>
            <w:shd w:val="clear" w:color="auto" w:fill="auto"/>
            <w:vAlign w:val="center"/>
          </w:tcPr>
          <w:p>
            <w:pPr>
              <w:jc w:val="center"/>
              <w:rPr>
                <w:rFonts w:ascii="仿宋" w:hAnsi="仿宋" w:eastAsia="仿宋"/>
                <w:kern w:val="0"/>
                <w:szCs w:val="21"/>
              </w:rPr>
            </w:pPr>
          </w:p>
        </w:tc>
        <w:tc>
          <w:tcPr>
            <w:tcW w:w="884" w:type="dxa"/>
            <w:vAlign w:val="center"/>
          </w:tcPr>
          <w:p>
            <w:pPr>
              <w:spacing w:line="240" w:lineRule="exact"/>
              <w:jc w:val="center"/>
              <w:rPr>
                <w:rFonts w:ascii="仿宋" w:hAnsi="仿宋" w:eastAsia="仿宋" w:cs="仿宋"/>
                <w:bCs/>
                <w:szCs w:val="21"/>
              </w:rPr>
            </w:pPr>
            <w:r>
              <w:rPr>
                <w:rFonts w:ascii="仿宋" w:hAnsi="仿宋" w:eastAsia="仿宋" w:cs="仿宋"/>
                <w:bCs/>
                <w:szCs w:val="21"/>
              </w:rPr>
              <w:t>NH</w:t>
            </w:r>
            <w:r>
              <w:rPr>
                <w:rFonts w:ascii="仿宋" w:hAnsi="仿宋" w:eastAsia="仿宋" w:cs="仿宋"/>
                <w:bCs/>
                <w:szCs w:val="21"/>
                <w:vertAlign w:val="subscript"/>
              </w:rPr>
              <w:t>3</w:t>
            </w:r>
            <w:r>
              <w:rPr>
                <w:rFonts w:ascii="仿宋" w:hAnsi="仿宋" w:eastAsia="仿宋" w:cs="仿宋"/>
                <w:bCs/>
                <w:szCs w:val="21"/>
              </w:rPr>
              <w:t>-N</w:t>
            </w:r>
          </w:p>
        </w:tc>
        <w:tc>
          <w:tcPr>
            <w:tcW w:w="708"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25</w:t>
            </w:r>
          </w:p>
        </w:tc>
        <w:tc>
          <w:tcPr>
            <w:tcW w:w="906" w:type="dxa"/>
            <w:vAlign w:val="center"/>
          </w:tcPr>
          <w:p>
            <w:pPr>
              <w:spacing w:line="240" w:lineRule="exact"/>
              <w:jc w:val="center"/>
              <w:rPr>
                <w:rFonts w:ascii="仿宋" w:hAnsi="仿宋" w:eastAsia="仿宋" w:cs="仿宋"/>
                <w:bCs/>
                <w:szCs w:val="21"/>
              </w:rPr>
            </w:pPr>
            <w:r>
              <w:rPr>
                <w:rFonts w:hint="eastAsia" w:eastAsia="仿宋_GB2312"/>
                <w:kern w:val="0"/>
                <w:szCs w:val="21"/>
              </w:rPr>
              <w:t>0.</w:t>
            </w:r>
            <w:r>
              <w:rPr>
                <w:rFonts w:eastAsia="仿宋_GB2312"/>
                <w:kern w:val="0"/>
                <w:szCs w:val="21"/>
              </w:rPr>
              <w:t>03</w:t>
            </w:r>
          </w:p>
        </w:tc>
        <w:tc>
          <w:tcPr>
            <w:tcW w:w="578" w:type="dxa"/>
            <w:vAlign w:val="center"/>
          </w:tcPr>
          <w:p>
            <w:pPr>
              <w:jc w:val="center"/>
              <w:rPr>
                <w:rFonts w:ascii="仿宋" w:hAnsi="仿宋" w:eastAsia="仿宋"/>
                <w:kern w:val="0"/>
                <w:szCs w:val="21"/>
              </w:rPr>
            </w:pPr>
            <w:r>
              <w:rPr>
                <w:rFonts w:hint="eastAsia" w:ascii="仿宋" w:hAnsi="仿宋" w:eastAsia="仿宋"/>
                <w:kern w:val="0"/>
                <w:szCs w:val="21"/>
              </w:rPr>
              <w:t>35</w:t>
            </w:r>
          </w:p>
        </w:tc>
        <w:tc>
          <w:tcPr>
            <w:tcW w:w="1020" w:type="dxa"/>
            <w:vMerge w:val="continue"/>
            <w:vAlign w:val="center"/>
          </w:tcPr>
          <w:p>
            <w:pPr>
              <w:jc w:val="center"/>
              <w:rPr>
                <w:rFonts w:ascii="仿宋" w:hAnsi="仿宋"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vMerge w:val="continue"/>
            <w:vAlign w:val="center"/>
          </w:tcPr>
          <w:p>
            <w:pPr>
              <w:widowControl/>
              <w:jc w:val="center"/>
              <w:rPr>
                <w:rFonts w:ascii="仿宋" w:hAnsi="仿宋" w:eastAsia="仿宋"/>
                <w:kern w:val="0"/>
                <w:szCs w:val="21"/>
              </w:rPr>
            </w:pPr>
          </w:p>
        </w:tc>
        <w:tc>
          <w:tcPr>
            <w:tcW w:w="709" w:type="dxa"/>
            <w:vMerge w:val="continue"/>
            <w:vAlign w:val="center"/>
          </w:tcPr>
          <w:p>
            <w:pPr>
              <w:widowControl/>
              <w:jc w:val="center"/>
              <w:rPr>
                <w:rFonts w:ascii="仿宋" w:hAnsi="仿宋" w:eastAsia="仿宋"/>
                <w:kern w:val="0"/>
                <w:szCs w:val="21"/>
              </w:rPr>
            </w:pPr>
          </w:p>
        </w:tc>
        <w:tc>
          <w:tcPr>
            <w:tcW w:w="785" w:type="dxa"/>
            <w:vMerge w:val="continue"/>
            <w:vAlign w:val="center"/>
          </w:tcPr>
          <w:p>
            <w:pPr>
              <w:widowControl/>
              <w:jc w:val="center"/>
              <w:rPr>
                <w:rFonts w:ascii="仿宋" w:hAnsi="仿宋" w:eastAsia="仿宋"/>
                <w:kern w:val="0"/>
                <w:szCs w:val="21"/>
              </w:rPr>
            </w:pPr>
          </w:p>
        </w:tc>
        <w:tc>
          <w:tcPr>
            <w:tcW w:w="868" w:type="dxa"/>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TP</w:t>
            </w:r>
          </w:p>
        </w:tc>
        <w:tc>
          <w:tcPr>
            <w:tcW w:w="805"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w:t>
            </w:r>
          </w:p>
        </w:tc>
        <w:tc>
          <w:tcPr>
            <w:tcW w:w="859" w:type="dxa"/>
            <w:shd w:val="clear" w:color="auto" w:fill="auto"/>
            <w:vAlign w:val="center"/>
          </w:tcPr>
          <w:p>
            <w:pPr>
              <w:spacing w:line="240" w:lineRule="exact"/>
              <w:jc w:val="center"/>
              <w:rPr>
                <w:rFonts w:ascii="仿宋" w:hAnsi="仿宋" w:eastAsia="仿宋" w:cs="仿宋"/>
                <w:bCs/>
                <w:szCs w:val="21"/>
              </w:rPr>
            </w:pPr>
            <w:r>
              <w:rPr>
                <w:rFonts w:hint="eastAsia" w:eastAsia="仿宋_GB2312"/>
                <w:kern w:val="0"/>
                <w:szCs w:val="21"/>
              </w:rPr>
              <w:t>0.0</w:t>
            </w:r>
            <w:r>
              <w:rPr>
                <w:rFonts w:eastAsia="仿宋_GB2312"/>
                <w:kern w:val="0"/>
                <w:szCs w:val="21"/>
              </w:rPr>
              <w:t>0</w:t>
            </w:r>
            <w:r>
              <w:rPr>
                <w:rFonts w:hint="eastAsia" w:eastAsia="仿宋_GB2312"/>
                <w:kern w:val="0"/>
                <w:szCs w:val="21"/>
              </w:rPr>
              <w:t>3</w:t>
            </w:r>
          </w:p>
        </w:tc>
        <w:tc>
          <w:tcPr>
            <w:tcW w:w="1138" w:type="dxa"/>
            <w:vMerge w:val="continue"/>
            <w:shd w:val="clear" w:color="auto" w:fill="auto"/>
            <w:vAlign w:val="center"/>
          </w:tcPr>
          <w:p>
            <w:pPr>
              <w:jc w:val="center"/>
              <w:rPr>
                <w:rFonts w:ascii="仿宋" w:hAnsi="仿宋" w:eastAsia="仿宋"/>
                <w:kern w:val="0"/>
                <w:szCs w:val="21"/>
              </w:rPr>
            </w:pPr>
          </w:p>
        </w:tc>
        <w:tc>
          <w:tcPr>
            <w:tcW w:w="884" w:type="dxa"/>
            <w:vAlign w:val="center"/>
          </w:tcPr>
          <w:p>
            <w:pPr>
              <w:spacing w:line="240" w:lineRule="exact"/>
              <w:jc w:val="center"/>
              <w:rPr>
                <w:rFonts w:ascii="仿宋" w:hAnsi="仿宋" w:eastAsia="仿宋" w:cs="仿宋"/>
                <w:bCs/>
                <w:szCs w:val="21"/>
              </w:rPr>
            </w:pPr>
            <w:r>
              <w:rPr>
                <w:rFonts w:ascii="仿宋" w:hAnsi="仿宋" w:eastAsia="仿宋" w:cs="仿宋"/>
                <w:bCs/>
                <w:szCs w:val="21"/>
              </w:rPr>
              <w:t>TP</w:t>
            </w:r>
          </w:p>
        </w:tc>
        <w:tc>
          <w:tcPr>
            <w:tcW w:w="708"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w:t>
            </w:r>
          </w:p>
        </w:tc>
        <w:tc>
          <w:tcPr>
            <w:tcW w:w="906" w:type="dxa"/>
            <w:vAlign w:val="center"/>
          </w:tcPr>
          <w:p>
            <w:pPr>
              <w:spacing w:line="240" w:lineRule="exact"/>
              <w:jc w:val="center"/>
              <w:rPr>
                <w:rFonts w:ascii="仿宋" w:hAnsi="仿宋" w:eastAsia="仿宋" w:cs="仿宋"/>
                <w:bCs/>
                <w:szCs w:val="21"/>
              </w:rPr>
            </w:pPr>
            <w:r>
              <w:rPr>
                <w:rFonts w:hint="eastAsia" w:eastAsia="仿宋_GB2312"/>
                <w:kern w:val="0"/>
                <w:szCs w:val="21"/>
              </w:rPr>
              <w:t>0.0</w:t>
            </w:r>
            <w:r>
              <w:rPr>
                <w:rFonts w:eastAsia="仿宋_GB2312"/>
                <w:kern w:val="0"/>
                <w:szCs w:val="21"/>
              </w:rPr>
              <w:t>0</w:t>
            </w:r>
            <w:r>
              <w:rPr>
                <w:rFonts w:hint="eastAsia" w:eastAsia="仿宋_GB2312"/>
                <w:kern w:val="0"/>
                <w:szCs w:val="21"/>
              </w:rPr>
              <w:t>3</w:t>
            </w:r>
          </w:p>
        </w:tc>
        <w:tc>
          <w:tcPr>
            <w:tcW w:w="578" w:type="dxa"/>
            <w:vAlign w:val="center"/>
          </w:tcPr>
          <w:p>
            <w:pPr>
              <w:jc w:val="center"/>
              <w:rPr>
                <w:rFonts w:ascii="仿宋" w:hAnsi="仿宋" w:eastAsia="仿宋"/>
                <w:kern w:val="0"/>
                <w:szCs w:val="21"/>
              </w:rPr>
            </w:pPr>
            <w:r>
              <w:rPr>
                <w:rFonts w:hint="eastAsia" w:ascii="仿宋" w:hAnsi="仿宋" w:eastAsia="仿宋"/>
                <w:kern w:val="0"/>
                <w:szCs w:val="21"/>
              </w:rPr>
              <w:t>3</w:t>
            </w:r>
          </w:p>
        </w:tc>
        <w:tc>
          <w:tcPr>
            <w:tcW w:w="1020" w:type="dxa"/>
            <w:vMerge w:val="continue"/>
            <w:vAlign w:val="center"/>
          </w:tcPr>
          <w:p>
            <w:pPr>
              <w:jc w:val="center"/>
              <w:rPr>
                <w:rFonts w:ascii="仿宋" w:hAnsi="仿宋"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vMerge w:val="continue"/>
            <w:vAlign w:val="center"/>
          </w:tcPr>
          <w:p>
            <w:pPr>
              <w:widowControl/>
              <w:jc w:val="center"/>
              <w:rPr>
                <w:rFonts w:ascii="仿宋" w:hAnsi="仿宋" w:eastAsia="仿宋"/>
                <w:kern w:val="0"/>
                <w:szCs w:val="21"/>
              </w:rPr>
            </w:pPr>
          </w:p>
        </w:tc>
        <w:tc>
          <w:tcPr>
            <w:tcW w:w="709" w:type="dxa"/>
            <w:vMerge w:val="continue"/>
            <w:vAlign w:val="center"/>
          </w:tcPr>
          <w:p>
            <w:pPr>
              <w:widowControl/>
              <w:jc w:val="center"/>
              <w:rPr>
                <w:rFonts w:ascii="仿宋" w:hAnsi="仿宋" w:eastAsia="仿宋"/>
                <w:kern w:val="0"/>
                <w:szCs w:val="21"/>
              </w:rPr>
            </w:pPr>
          </w:p>
        </w:tc>
        <w:tc>
          <w:tcPr>
            <w:tcW w:w="785" w:type="dxa"/>
            <w:vMerge w:val="continue"/>
            <w:vAlign w:val="center"/>
          </w:tcPr>
          <w:p>
            <w:pPr>
              <w:widowControl/>
              <w:jc w:val="center"/>
              <w:rPr>
                <w:rFonts w:ascii="仿宋" w:hAnsi="仿宋" w:eastAsia="仿宋"/>
                <w:kern w:val="0"/>
                <w:szCs w:val="21"/>
              </w:rPr>
            </w:pPr>
          </w:p>
        </w:tc>
        <w:tc>
          <w:tcPr>
            <w:tcW w:w="868"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TN</w:t>
            </w:r>
          </w:p>
        </w:tc>
        <w:tc>
          <w:tcPr>
            <w:tcW w:w="805"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40</w:t>
            </w:r>
          </w:p>
        </w:tc>
        <w:tc>
          <w:tcPr>
            <w:tcW w:w="859" w:type="dxa"/>
            <w:shd w:val="clear" w:color="auto" w:fill="auto"/>
            <w:vAlign w:val="center"/>
          </w:tcPr>
          <w:p>
            <w:pPr>
              <w:spacing w:line="240" w:lineRule="exact"/>
              <w:jc w:val="center"/>
              <w:rPr>
                <w:rFonts w:ascii="仿宋" w:hAnsi="仿宋" w:eastAsia="仿宋" w:cs="仿宋"/>
                <w:bCs/>
                <w:szCs w:val="21"/>
              </w:rPr>
            </w:pPr>
            <w:r>
              <w:rPr>
                <w:rFonts w:hint="eastAsia" w:eastAsia="仿宋_GB2312"/>
                <w:kern w:val="0"/>
                <w:szCs w:val="21"/>
              </w:rPr>
              <w:t>0.</w:t>
            </w:r>
            <w:r>
              <w:rPr>
                <w:rFonts w:eastAsia="仿宋_GB2312"/>
                <w:kern w:val="0"/>
                <w:szCs w:val="21"/>
              </w:rPr>
              <w:t>0</w:t>
            </w:r>
            <w:r>
              <w:rPr>
                <w:rFonts w:hint="eastAsia" w:eastAsia="仿宋_GB2312"/>
                <w:kern w:val="0"/>
                <w:szCs w:val="21"/>
              </w:rPr>
              <w:t>4</w:t>
            </w:r>
          </w:p>
        </w:tc>
        <w:tc>
          <w:tcPr>
            <w:tcW w:w="1138" w:type="dxa"/>
            <w:vMerge w:val="continue"/>
            <w:shd w:val="clear" w:color="auto" w:fill="auto"/>
            <w:vAlign w:val="center"/>
          </w:tcPr>
          <w:p>
            <w:pPr>
              <w:jc w:val="center"/>
              <w:rPr>
                <w:rFonts w:ascii="仿宋" w:hAnsi="仿宋" w:eastAsia="仿宋"/>
                <w:kern w:val="0"/>
                <w:szCs w:val="21"/>
              </w:rPr>
            </w:pPr>
          </w:p>
        </w:tc>
        <w:tc>
          <w:tcPr>
            <w:tcW w:w="884"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TN</w:t>
            </w:r>
          </w:p>
        </w:tc>
        <w:tc>
          <w:tcPr>
            <w:tcW w:w="708"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40</w:t>
            </w:r>
          </w:p>
        </w:tc>
        <w:tc>
          <w:tcPr>
            <w:tcW w:w="906" w:type="dxa"/>
            <w:vAlign w:val="center"/>
          </w:tcPr>
          <w:p>
            <w:pPr>
              <w:spacing w:line="240" w:lineRule="exact"/>
              <w:jc w:val="center"/>
              <w:rPr>
                <w:rFonts w:ascii="仿宋" w:hAnsi="仿宋" w:eastAsia="仿宋" w:cs="仿宋"/>
                <w:bCs/>
                <w:szCs w:val="21"/>
              </w:rPr>
            </w:pPr>
            <w:r>
              <w:rPr>
                <w:rFonts w:hint="eastAsia" w:eastAsia="仿宋_GB2312"/>
                <w:kern w:val="0"/>
                <w:szCs w:val="21"/>
              </w:rPr>
              <w:t>0.</w:t>
            </w:r>
            <w:r>
              <w:rPr>
                <w:rFonts w:eastAsia="仿宋_GB2312"/>
                <w:kern w:val="0"/>
                <w:szCs w:val="21"/>
              </w:rPr>
              <w:t>0</w:t>
            </w:r>
            <w:r>
              <w:rPr>
                <w:rFonts w:hint="eastAsia" w:eastAsia="仿宋_GB2312"/>
                <w:kern w:val="0"/>
                <w:szCs w:val="21"/>
              </w:rPr>
              <w:t>4</w:t>
            </w:r>
          </w:p>
        </w:tc>
        <w:tc>
          <w:tcPr>
            <w:tcW w:w="578" w:type="dxa"/>
            <w:vAlign w:val="center"/>
          </w:tcPr>
          <w:p>
            <w:pPr>
              <w:jc w:val="center"/>
              <w:rPr>
                <w:rFonts w:ascii="仿宋" w:hAnsi="仿宋" w:eastAsia="仿宋"/>
                <w:kern w:val="0"/>
                <w:szCs w:val="21"/>
              </w:rPr>
            </w:pPr>
            <w:r>
              <w:rPr>
                <w:rFonts w:hint="eastAsia" w:ascii="仿宋" w:hAnsi="仿宋" w:eastAsia="仿宋"/>
                <w:kern w:val="0"/>
                <w:szCs w:val="21"/>
              </w:rPr>
              <w:t>50</w:t>
            </w:r>
          </w:p>
        </w:tc>
        <w:tc>
          <w:tcPr>
            <w:tcW w:w="1020" w:type="dxa"/>
            <w:vMerge w:val="continue"/>
            <w:vAlign w:val="center"/>
          </w:tcPr>
          <w:p>
            <w:pPr>
              <w:jc w:val="center"/>
              <w:rPr>
                <w:rFonts w:ascii="仿宋" w:hAnsi="仿宋" w:eastAsia="仿宋"/>
                <w:kern w:val="0"/>
                <w:szCs w:val="21"/>
              </w:rPr>
            </w:pPr>
          </w:p>
        </w:tc>
      </w:tr>
    </w:tbl>
    <w:p>
      <w:pPr>
        <w:pStyle w:val="33"/>
      </w:pPr>
    </w:p>
    <w:p>
      <w:pPr>
        <w:rPr>
          <w:rFonts w:eastAsia="仿宋_GB2312"/>
        </w:rPr>
        <w:sectPr>
          <w:pgSz w:w="11906" w:h="16838"/>
          <w:pgMar w:top="1843" w:right="1616" w:bottom="1440" w:left="1678" w:header="1191" w:footer="992" w:gutter="0"/>
          <w:cols w:space="425" w:num="1"/>
          <w:docGrid w:linePitch="312" w:charSpace="0"/>
        </w:sectPr>
      </w:pPr>
    </w:p>
    <w:p>
      <w:pPr>
        <w:spacing w:line="500" w:lineRule="exact"/>
        <w:jc w:val="center"/>
        <w:rPr>
          <w:rFonts w:eastAsia="仿宋_GB2312"/>
          <w:b/>
          <w:sz w:val="24"/>
        </w:rPr>
      </w:pPr>
      <w:r>
        <w:rPr>
          <w:rFonts w:eastAsia="仿宋_GB2312"/>
          <w:b/>
          <w:sz w:val="24"/>
        </w:rPr>
        <w:t>表8.2-2  本项目建成后有组织废气产生源强及排放情况</w:t>
      </w:r>
    </w:p>
    <w:tbl>
      <w:tblPr>
        <w:tblStyle w:val="87"/>
        <w:tblW w:w="5140" w:type="pct"/>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5"/>
        <w:gridCol w:w="422"/>
        <w:gridCol w:w="678"/>
        <w:gridCol w:w="763"/>
        <w:gridCol w:w="1079"/>
        <w:gridCol w:w="802"/>
        <w:gridCol w:w="1068"/>
        <w:gridCol w:w="852"/>
        <w:gridCol w:w="684"/>
        <w:gridCol w:w="841"/>
        <w:gridCol w:w="1069"/>
        <w:gridCol w:w="775"/>
        <w:gridCol w:w="750"/>
        <w:gridCol w:w="901"/>
        <w:gridCol w:w="720"/>
        <w:gridCol w:w="625"/>
        <w:gridCol w:w="698"/>
        <w:gridCol w:w="730"/>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24" w:type="dxa"/>
            <w:gridSpan w:val="2"/>
            <w:vMerge w:val="restart"/>
            <w:shd w:val="clear" w:color="auto" w:fill="auto"/>
            <w:vAlign w:val="center"/>
          </w:tcPr>
          <w:p>
            <w:pPr>
              <w:widowControl/>
              <w:jc w:val="center"/>
              <w:rPr>
                <w:rFonts w:ascii="仿宋" w:hAnsi="仿宋" w:eastAsia="仿宋" w:cs="宋体"/>
                <w:bCs/>
                <w:kern w:val="0"/>
                <w:sz w:val="18"/>
                <w:szCs w:val="18"/>
              </w:rPr>
            </w:pPr>
            <w:r>
              <w:rPr>
                <w:rFonts w:hint="eastAsia" w:ascii="仿宋" w:hAnsi="仿宋" w:eastAsia="仿宋" w:cs="宋体"/>
                <w:bCs/>
                <w:kern w:val="0"/>
                <w:sz w:val="18"/>
                <w:szCs w:val="18"/>
              </w:rPr>
              <w:t>污染源及编号</w:t>
            </w:r>
          </w:p>
        </w:tc>
        <w:tc>
          <w:tcPr>
            <w:tcW w:w="677" w:type="dxa"/>
            <w:vMerge w:val="restart"/>
            <w:shd w:val="clear" w:color="auto" w:fill="auto"/>
            <w:vAlign w:val="center"/>
          </w:tcPr>
          <w:p>
            <w:pPr>
              <w:widowControl/>
              <w:jc w:val="center"/>
              <w:rPr>
                <w:rFonts w:ascii="仿宋" w:hAnsi="仿宋" w:eastAsia="仿宋" w:cs="宋体"/>
                <w:bCs/>
                <w:kern w:val="0"/>
                <w:sz w:val="18"/>
                <w:szCs w:val="18"/>
              </w:rPr>
            </w:pPr>
            <w:r>
              <w:rPr>
                <w:rFonts w:hint="eastAsia" w:ascii="仿宋" w:hAnsi="仿宋" w:eastAsia="仿宋" w:cs="宋体"/>
                <w:bCs/>
                <w:kern w:val="0"/>
                <w:sz w:val="18"/>
                <w:szCs w:val="18"/>
              </w:rPr>
              <w:t>排气量</w:t>
            </w:r>
            <w:r>
              <w:rPr>
                <w:rFonts w:ascii="仿宋" w:hAnsi="仿宋" w:eastAsia="仿宋"/>
                <w:bCs/>
                <w:kern w:val="0"/>
                <w:sz w:val="18"/>
                <w:szCs w:val="18"/>
              </w:rPr>
              <w:t>(m</w:t>
            </w:r>
            <w:r>
              <w:rPr>
                <w:rFonts w:ascii="仿宋" w:hAnsi="仿宋" w:eastAsia="仿宋"/>
                <w:bCs/>
                <w:kern w:val="0"/>
                <w:sz w:val="18"/>
                <w:szCs w:val="18"/>
                <w:vertAlign w:val="superscript"/>
              </w:rPr>
              <w:t>3</w:t>
            </w:r>
            <w:r>
              <w:rPr>
                <w:rFonts w:ascii="仿宋" w:hAnsi="仿宋" w:eastAsia="仿宋"/>
                <w:bCs/>
                <w:kern w:val="0"/>
                <w:sz w:val="18"/>
                <w:szCs w:val="18"/>
              </w:rPr>
              <w:t>/h)</w:t>
            </w:r>
          </w:p>
        </w:tc>
        <w:tc>
          <w:tcPr>
            <w:tcW w:w="763" w:type="dxa"/>
            <w:vMerge w:val="restart"/>
            <w:shd w:val="clear" w:color="auto" w:fill="auto"/>
            <w:vAlign w:val="center"/>
          </w:tcPr>
          <w:p>
            <w:pPr>
              <w:widowControl/>
              <w:jc w:val="center"/>
              <w:rPr>
                <w:rFonts w:ascii="仿宋" w:hAnsi="仿宋" w:eastAsia="仿宋" w:cs="宋体"/>
                <w:bCs/>
                <w:kern w:val="0"/>
                <w:sz w:val="18"/>
                <w:szCs w:val="18"/>
              </w:rPr>
            </w:pPr>
            <w:r>
              <w:rPr>
                <w:rFonts w:hint="eastAsia" w:ascii="仿宋" w:hAnsi="仿宋" w:eastAsia="仿宋" w:cs="宋体"/>
                <w:bCs/>
                <w:kern w:val="0"/>
                <w:sz w:val="18"/>
                <w:szCs w:val="18"/>
              </w:rPr>
              <w:t>污染物名称</w:t>
            </w:r>
          </w:p>
        </w:tc>
        <w:tc>
          <w:tcPr>
            <w:tcW w:w="2953" w:type="dxa"/>
            <w:gridSpan w:val="3"/>
            <w:shd w:val="clear" w:color="auto" w:fill="auto"/>
            <w:vAlign w:val="center"/>
          </w:tcPr>
          <w:p>
            <w:pPr>
              <w:widowControl/>
              <w:jc w:val="center"/>
              <w:rPr>
                <w:rFonts w:ascii="仿宋" w:hAnsi="仿宋" w:eastAsia="仿宋" w:cs="宋体"/>
                <w:bCs/>
                <w:kern w:val="0"/>
                <w:sz w:val="18"/>
                <w:szCs w:val="18"/>
              </w:rPr>
            </w:pPr>
            <w:r>
              <w:rPr>
                <w:rFonts w:hint="eastAsia" w:ascii="仿宋" w:hAnsi="仿宋" w:eastAsia="仿宋" w:cs="宋体"/>
                <w:bCs/>
                <w:kern w:val="0"/>
                <w:sz w:val="18"/>
                <w:szCs w:val="18"/>
              </w:rPr>
              <w:t>产生状况</w:t>
            </w:r>
          </w:p>
        </w:tc>
        <w:tc>
          <w:tcPr>
            <w:tcW w:w="852" w:type="dxa"/>
            <w:vMerge w:val="restart"/>
            <w:shd w:val="clear" w:color="auto" w:fill="auto"/>
            <w:vAlign w:val="center"/>
          </w:tcPr>
          <w:p>
            <w:pPr>
              <w:widowControl/>
              <w:jc w:val="center"/>
              <w:rPr>
                <w:rFonts w:ascii="仿宋" w:hAnsi="仿宋" w:eastAsia="仿宋" w:cs="宋体"/>
                <w:bCs/>
                <w:kern w:val="0"/>
                <w:sz w:val="18"/>
                <w:szCs w:val="18"/>
              </w:rPr>
            </w:pPr>
            <w:r>
              <w:rPr>
                <w:rFonts w:hint="eastAsia" w:ascii="仿宋" w:hAnsi="仿宋" w:eastAsia="仿宋" w:cs="宋体"/>
                <w:bCs/>
                <w:kern w:val="0"/>
                <w:sz w:val="18"/>
                <w:szCs w:val="18"/>
              </w:rPr>
              <w:t>拟采取的措施</w:t>
            </w:r>
          </w:p>
        </w:tc>
        <w:tc>
          <w:tcPr>
            <w:tcW w:w="683" w:type="dxa"/>
            <w:vMerge w:val="restart"/>
            <w:shd w:val="clear" w:color="auto" w:fill="auto"/>
            <w:vAlign w:val="center"/>
          </w:tcPr>
          <w:p>
            <w:pPr>
              <w:widowControl/>
              <w:jc w:val="center"/>
              <w:rPr>
                <w:rFonts w:ascii="仿宋" w:hAnsi="仿宋" w:eastAsia="仿宋" w:cs="宋体"/>
                <w:bCs/>
                <w:kern w:val="0"/>
                <w:sz w:val="18"/>
                <w:szCs w:val="18"/>
              </w:rPr>
            </w:pPr>
            <w:r>
              <w:rPr>
                <w:rFonts w:hint="eastAsia" w:ascii="仿宋" w:hAnsi="仿宋" w:eastAsia="仿宋" w:cs="宋体"/>
                <w:bCs/>
                <w:kern w:val="0"/>
                <w:sz w:val="18"/>
                <w:szCs w:val="18"/>
              </w:rPr>
              <w:t>去除率</w:t>
            </w:r>
            <w:r>
              <w:rPr>
                <w:rFonts w:ascii="仿宋" w:hAnsi="仿宋" w:eastAsia="仿宋"/>
                <w:bCs/>
                <w:kern w:val="0"/>
                <w:sz w:val="18"/>
                <w:szCs w:val="18"/>
              </w:rPr>
              <w:t>(%)</w:t>
            </w:r>
          </w:p>
        </w:tc>
        <w:tc>
          <w:tcPr>
            <w:tcW w:w="3438" w:type="dxa"/>
            <w:gridSpan w:val="4"/>
            <w:shd w:val="clear" w:color="auto" w:fill="auto"/>
            <w:vAlign w:val="center"/>
          </w:tcPr>
          <w:p>
            <w:pPr>
              <w:widowControl/>
              <w:jc w:val="center"/>
              <w:rPr>
                <w:rFonts w:ascii="仿宋" w:hAnsi="仿宋" w:eastAsia="仿宋" w:cs="宋体"/>
                <w:bCs/>
                <w:kern w:val="0"/>
                <w:sz w:val="18"/>
                <w:szCs w:val="18"/>
              </w:rPr>
            </w:pPr>
            <w:r>
              <w:rPr>
                <w:rFonts w:hint="eastAsia" w:ascii="仿宋" w:hAnsi="仿宋" w:eastAsia="仿宋" w:cs="宋体"/>
                <w:bCs/>
                <w:kern w:val="0"/>
                <w:sz w:val="18"/>
                <w:szCs w:val="18"/>
              </w:rPr>
              <w:t>排放状况</w:t>
            </w:r>
          </w:p>
        </w:tc>
        <w:tc>
          <w:tcPr>
            <w:tcW w:w="1622" w:type="dxa"/>
            <w:gridSpan w:val="2"/>
            <w:shd w:val="clear" w:color="auto" w:fill="auto"/>
            <w:vAlign w:val="center"/>
          </w:tcPr>
          <w:p>
            <w:pPr>
              <w:widowControl/>
              <w:jc w:val="center"/>
              <w:rPr>
                <w:rFonts w:ascii="仿宋" w:hAnsi="仿宋" w:eastAsia="仿宋" w:cs="宋体"/>
                <w:bCs/>
                <w:kern w:val="0"/>
                <w:sz w:val="18"/>
                <w:szCs w:val="18"/>
              </w:rPr>
            </w:pPr>
            <w:r>
              <w:rPr>
                <w:rFonts w:hint="eastAsia" w:ascii="仿宋" w:hAnsi="仿宋" w:eastAsia="仿宋" w:cs="宋体"/>
                <w:bCs/>
                <w:kern w:val="0"/>
                <w:sz w:val="18"/>
                <w:szCs w:val="18"/>
              </w:rPr>
              <w:t>执行标准</w:t>
            </w:r>
          </w:p>
        </w:tc>
        <w:tc>
          <w:tcPr>
            <w:tcW w:w="2051" w:type="dxa"/>
            <w:gridSpan w:val="3"/>
            <w:shd w:val="clear" w:color="auto" w:fill="auto"/>
            <w:vAlign w:val="center"/>
          </w:tcPr>
          <w:p>
            <w:pPr>
              <w:widowControl/>
              <w:jc w:val="center"/>
              <w:rPr>
                <w:rFonts w:ascii="仿宋" w:hAnsi="仿宋" w:eastAsia="仿宋" w:cs="宋体"/>
                <w:bCs/>
                <w:kern w:val="0"/>
                <w:sz w:val="18"/>
                <w:szCs w:val="18"/>
              </w:rPr>
            </w:pPr>
            <w:r>
              <w:rPr>
                <w:rFonts w:hint="eastAsia" w:ascii="仿宋" w:hAnsi="仿宋" w:eastAsia="仿宋" w:cs="宋体"/>
                <w:bCs/>
                <w:kern w:val="0"/>
                <w:sz w:val="18"/>
                <w:szCs w:val="18"/>
              </w:rPr>
              <w:t>排放源参数</w:t>
            </w:r>
          </w:p>
        </w:tc>
        <w:tc>
          <w:tcPr>
            <w:tcW w:w="709" w:type="dxa"/>
            <w:vMerge w:val="restart"/>
            <w:shd w:val="clear" w:color="auto" w:fill="auto"/>
            <w:vAlign w:val="center"/>
          </w:tcPr>
          <w:p>
            <w:pPr>
              <w:widowControl/>
              <w:jc w:val="center"/>
              <w:rPr>
                <w:rFonts w:ascii="仿宋" w:hAnsi="仿宋" w:eastAsia="仿宋" w:cs="宋体"/>
                <w:bCs/>
                <w:kern w:val="0"/>
                <w:sz w:val="18"/>
                <w:szCs w:val="18"/>
              </w:rPr>
            </w:pPr>
            <w:r>
              <w:rPr>
                <w:rFonts w:hint="eastAsia" w:ascii="仿宋" w:hAnsi="仿宋" w:eastAsia="仿宋" w:cs="宋体"/>
                <w:bCs/>
                <w:kern w:val="0"/>
                <w:sz w:val="18"/>
                <w:szCs w:val="18"/>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824" w:type="dxa"/>
            <w:gridSpan w:val="2"/>
            <w:vMerge w:val="continue"/>
            <w:vAlign w:val="center"/>
          </w:tcPr>
          <w:p>
            <w:pPr>
              <w:widowControl/>
              <w:jc w:val="center"/>
              <w:rPr>
                <w:rFonts w:ascii="仿宋" w:hAnsi="仿宋" w:eastAsia="仿宋" w:cs="宋体"/>
                <w:b/>
                <w:bCs/>
                <w:kern w:val="0"/>
                <w:sz w:val="18"/>
                <w:szCs w:val="18"/>
              </w:rPr>
            </w:pPr>
          </w:p>
        </w:tc>
        <w:tc>
          <w:tcPr>
            <w:tcW w:w="677" w:type="dxa"/>
            <w:vMerge w:val="continue"/>
            <w:vAlign w:val="center"/>
          </w:tcPr>
          <w:p>
            <w:pPr>
              <w:widowControl/>
              <w:jc w:val="center"/>
              <w:rPr>
                <w:rFonts w:ascii="仿宋" w:hAnsi="仿宋" w:eastAsia="仿宋" w:cs="宋体"/>
                <w:b/>
                <w:bCs/>
                <w:kern w:val="0"/>
                <w:sz w:val="18"/>
                <w:szCs w:val="18"/>
              </w:rPr>
            </w:pPr>
          </w:p>
        </w:tc>
        <w:tc>
          <w:tcPr>
            <w:tcW w:w="763" w:type="dxa"/>
            <w:vMerge w:val="continue"/>
            <w:vAlign w:val="center"/>
          </w:tcPr>
          <w:p>
            <w:pPr>
              <w:widowControl/>
              <w:jc w:val="center"/>
              <w:rPr>
                <w:rFonts w:ascii="仿宋" w:hAnsi="仿宋" w:eastAsia="仿宋" w:cs="宋体"/>
                <w:b/>
                <w:bCs/>
                <w:kern w:val="0"/>
                <w:sz w:val="18"/>
                <w:szCs w:val="18"/>
              </w:rPr>
            </w:pPr>
          </w:p>
        </w:tc>
        <w:tc>
          <w:tcPr>
            <w:tcW w:w="1081" w:type="dxa"/>
            <w:shd w:val="clear" w:color="auto" w:fill="auto"/>
            <w:vAlign w:val="center"/>
          </w:tcPr>
          <w:p>
            <w:pPr>
              <w:widowControl/>
              <w:jc w:val="center"/>
              <w:rPr>
                <w:rFonts w:ascii="仿宋" w:hAnsi="仿宋" w:eastAsia="仿宋" w:cs="宋体"/>
                <w:bCs/>
                <w:kern w:val="0"/>
                <w:sz w:val="18"/>
                <w:szCs w:val="18"/>
              </w:rPr>
            </w:pPr>
            <w:r>
              <w:rPr>
                <w:rFonts w:hint="eastAsia" w:ascii="仿宋" w:hAnsi="仿宋" w:eastAsia="仿宋" w:cs="宋体"/>
                <w:bCs/>
                <w:kern w:val="0"/>
                <w:sz w:val="18"/>
                <w:szCs w:val="18"/>
              </w:rPr>
              <w:t>最大浓度</w:t>
            </w:r>
            <w:r>
              <w:rPr>
                <w:rFonts w:ascii="仿宋" w:hAnsi="仿宋" w:eastAsia="仿宋"/>
                <w:bCs/>
                <w:kern w:val="0"/>
                <w:sz w:val="18"/>
                <w:szCs w:val="18"/>
              </w:rPr>
              <w:t>(mg/m</w:t>
            </w:r>
            <w:r>
              <w:rPr>
                <w:rFonts w:ascii="仿宋" w:hAnsi="仿宋" w:eastAsia="仿宋"/>
                <w:bCs/>
                <w:kern w:val="0"/>
                <w:sz w:val="18"/>
                <w:szCs w:val="18"/>
                <w:vertAlign w:val="superscript"/>
              </w:rPr>
              <w:t>3</w:t>
            </w:r>
            <w:r>
              <w:rPr>
                <w:rFonts w:ascii="仿宋" w:hAnsi="仿宋" w:eastAsia="仿宋"/>
                <w:bCs/>
                <w:kern w:val="0"/>
                <w:sz w:val="18"/>
                <w:szCs w:val="18"/>
              </w:rPr>
              <w:t>)</w:t>
            </w:r>
          </w:p>
        </w:tc>
        <w:tc>
          <w:tcPr>
            <w:tcW w:w="802" w:type="dxa"/>
            <w:shd w:val="clear" w:color="auto" w:fill="auto"/>
            <w:vAlign w:val="center"/>
          </w:tcPr>
          <w:p>
            <w:pPr>
              <w:widowControl/>
              <w:jc w:val="center"/>
              <w:rPr>
                <w:rFonts w:ascii="仿宋" w:hAnsi="仿宋" w:eastAsia="仿宋" w:cs="宋体"/>
                <w:bCs/>
                <w:kern w:val="0"/>
                <w:sz w:val="18"/>
                <w:szCs w:val="18"/>
              </w:rPr>
            </w:pPr>
            <w:r>
              <w:rPr>
                <w:rFonts w:hint="eastAsia" w:ascii="仿宋" w:hAnsi="仿宋" w:eastAsia="仿宋" w:cs="宋体"/>
                <w:bCs/>
                <w:kern w:val="0"/>
                <w:sz w:val="18"/>
                <w:szCs w:val="18"/>
              </w:rPr>
              <w:t>最大速率</w:t>
            </w:r>
            <w:r>
              <w:rPr>
                <w:rFonts w:ascii="仿宋" w:hAnsi="仿宋" w:eastAsia="仿宋"/>
                <w:bCs/>
                <w:kern w:val="0"/>
                <w:sz w:val="18"/>
                <w:szCs w:val="18"/>
              </w:rPr>
              <w:t>(kg/h)</w:t>
            </w:r>
          </w:p>
        </w:tc>
        <w:tc>
          <w:tcPr>
            <w:tcW w:w="1070" w:type="dxa"/>
            <w:shd w:val="clear" w:color="auto" w:fill="auto"/>
            <w:vAlign w:val="center"/>
          </w:tcPr>
          <w:p>
            <w:pPr>
              <w:widowControl/>
              <w:jc w:val="center"/>
              <w:rPr>
                <w:rFonts w:ascii="仿宋" w:hAnsi="仿宋" w:eastAsia="仿宋" w:cs="宋体"/>
                <w:bCs/>
                <w:kern w:val="0"/>
                <w:sz w:val="18"/>
                <w:szCs w:val="18"/>
              </w:rPr>
            </w:pPr>
            <w:r>
              <w:rPr>
                <w:rFonts w:hint="eastAsia" w:ascii="仿宋" w:hAnsi="仿宋" w:eastAsia="仿宋" w:cs="宋体"/>
                <w:bCs/>
                <w:kern w:val="0"/>
                <w:sz w:val="18"/>
                <w:szCs w:val="18"/>
              </w:rPr>
              <w:t>产生量</w:t>
            </w:r>
            <w:r>
              <w:rPr>
                <w:rFonts w:ascii="仿宋" w:hAnsi="仿宋" w:eastAsia="仿宋"/>
                <w:bCs/>
                <w:kern w:val="0"/>
                <w:sz w:val="18"/>
                <w:szCs w:val="18"/>
              </w:rPr>
              <w:t>(t/a)</w:t>
            </w:r>
          </w:p>
        </w:tc>
        <w:tc>
          <w:tcPr>
            <w:tcW w:w="852" w:type="dxa"/>
            <w:vMerge w:val="continue"/>
            <w:vAlign w:val="center"/>
          </w:tcPr>
          <w:p>
            <w:pPr>
              <w:widowControl/>
              <w:jc w:val="center"/>
              <w:rPr>
                <w:rFonts w:ascii="仿宋" w:hAnsi="仿宋" w:eastAsia="仿宋" w:cs="宋体"/>
                <w:bCs/>
                <w:kern w:val="0"/>
                <w:sz w:val="18"/>
                <w:szCs w:val="18"/>
              </w:rPr>
            </w:pPr>
          </w:p>
        </w:tc>
        <w:tc>
          <w:tcPr>
            <w:tcW w:w="683" w:type="dxa"/>
            <w:vMerge w:val="continue"/>
            <w:vAlign w:val="center"/>
          </w:tcPr>
          <w:p>
            <w:pPr>
              <w:widowControl/>
              <w:jc w:val="center"/>
              <w:rPr>
                <w:rFonts w:ascii="仿宋" w:hAnsi="仿宋" w:eastAsia="仿宋" w:cs="宋体"/>
                <w:bCs/>
                <w:kern w:val="0"/>
                <w:sz w:val="18"/>
                <w:szCs w:val="18"/>
              </w:rPr>
            </w:pPr>
          </w:p>
        </w:tc>
        <w:tc>
          <w:tcPr>
            <w:tcW w:w="842" w:type="dxa"/>
            <w:shd w:val="clear" w:color="auto" w:fill="auto"/>
            <w:vAlign w:val="center"/>
          </w:tcPr>
          <w:p>
            <w:pPr>
              <w:widowControl/>
              <w:jc w:val="center"/>
              <w:rPr>
                <w:rFonts w:ascii="仿宋" w:hAnsi="仿宋" w:eastAsia="仿宋" w:cs="宋体"/>
                <w:bCs/>
                <w:kern w:val="0"/>
                <w:sz w:val="18"/>
                <w:szCs w:val="18"/>
              </w:rPr>
            </w:pPr>
            <w:r>
              <w:rPr>
                <w:rFonts w:hint="eastAsia" w:ascii="仿宋" w:hAnsi="仿宋" w:eastAsia="仿宋" w:cs="宋体"/>
                <w:bCs/>
                <w:kern w:val="0"/>
                <w:sz w:val="18"/>
                <w:szCs w:val="18"/>
              </w:rPr>
              <w:t>最大浓度</w:t>
            </w:r>
            <w:r>
              <w:rPr>
                <w:rFonts w:ascii="仿宋" w:hAnsi="仿宋" w:eastAsia="仿宋"/>
                <w:bCs/>
                <w:kern w:val="0"/>
                <w:sz w:val="18"/>
                <w:szCs w:val="18"/>
              </w:rPr>
              <w:t>(mg/m</w:t>
            </w:r>
            <w:r>
              <w:rPr>
                <w:rFonts w:ascii="仿宋" w:hAnsi="仿宋" w:eastAsia="仿宋"/>
                <w:bCs/>
                <w:kern w:val="0"/>
                <w:sz w:val="18"/>
                <w:szCs w:val="18"/>
                <w:vertAlign w:val="superscript"/>
              </w:rPr>
              <w:t>3</w:t>
            </w:r>
            <w:r>
              <w:rPr>
                <w:rFonts w:ascii="仿宋" w:hAnsi="仿宋" w:eastAsia="仿宋"/>
                <w:bCs/>
                <w:kern w:val="0"/>
                <w:sz w:val="18"/>
                <w:szCs w:val="18"/>
              </w:rPr>
              <w:t>)</w:t>
            </w:r>
          </w:p>
        </w:tc>
        <w:tc>
          <w:tcPr>
            <w:tcW w:w="1071" w:type="dxa"/>
            <w:shd w:val="clear" w:color="auto" w:fill="auto"/>
            <w:vAlign w:val="center"/>
          </w:tcPr>
          <w:p>
            <w:pPr>
              <w:widowControl/>
              <w:jc w:val="center"/>
              <w:rPr>
                <w:rFonts w:ascii="仿宋" w:hAnsi="仿宋" w:eastAsia="仿宋" w:cs="宋体"/>
                <w:bCs/>
                <w:kern w:val="0"/>
                <w:sz w:val="18"/>
                <w:szCs w:val="18"/>
              </w:rPr>
            </w:pPr>
            <w:r>
              <w:rPr>
                <w:rFonts w:hint="eastAsia" w:ascii="仿宋" w:hAnsi="仿宋" w:eastAsia="仿宋" w:cs="宋体"/>
                <w:bCs/>
                <w:kern w:val="0"/>
                <w:sz w:val="18"/>
                <w:szCs w:val="18"/>
              </w:rPr>
              <w:t>折算基准含</w:t>
            </w:r>
            <w:r>
              <w:rPr>
                <w:rFonts w:ascii="仿宋" w:hAnsi="仿宋" w:eastAsia="仿宋" w:cs="宋体"/>
                <w:bCs/>
                <w:kern w:val="0"/>
                <w:sz w:val="18"/>
                <w:szCs w:val="18"/>
              </w:rPr>
              <w:t>氧量后浓度（mg/m</w:t>
            </w:r>
            <w:r>
              <w:rPr>
                <w:rFonts w:ascii="仿宋" w:hAnsi="仿宋" w:eastAsia="仿宋" w:cs="宋体"/>
                <w:bCs/>
                <w:kern w:val="0"/>
                <w:sz w:val="18"/>
                <w:szCs w:val="18"/>
                <w:vertAlign w:val="superscript"/>
              </w:rPr>
              <w:t>3</w:t>
            </w:r>
            <w:r>
              <w:rPr>
                <w:rFonts w:ascii="仿宋" w:hAnsi="仿宋" w:eastAsia="仿宋" w:cs="宋体"/>
                <w:bCs/>
                <w:kern w:val="0"/>
                <w:sz w:val="18"/>
                <w:szCs w:val="18"/>
              </w:rPr>
              <w:t>）</w:t>
            </w:r>
          </w:p>
        </w:tc>
        <w:tc>
          <w:tcPr>
            <w:tcW w:w="775" w:type="dxa"/>
            <w:shd w:val="clear" w:color="auto" w:fill="auto"/>
            <w:vAlign w:val="center"/>
          </w:tcPr>
          <w:p>
            <w:pPr>
              <w:widowControl/>
              <w:jc w:val="center"/>
              <w:rPr>
                <w:rFonts w:ascii="仿宋" w:hAnsi="仿宋" w:eastAsia="仿宋" w:cs="宋体"/>
                <w:bCs/>
                <w:kern w:val="0"/>
                <w:sz w:val="18"/>
                <w:szCs w:val="18"/>
              </w:rPr>
            </w:pPr>
            <w:r>
              <w:rPr>
                <w:rFonts w:hint="eastAsia" w:ascii="仿宋" w:hAnsi="仿宋" w:eastAsia="仿宋" w:cs="宋体"/>
                <w:bCs/>
                <w:kern w:val="0"/>
                <w:sz w:val="18"/>
                <w:szCs w:val="18"/>
              </w:rPr>
              <w:t>最大速率</w:t>
            </w:r>
            <w:r>
              <w:rPr>
                <w:rFonts w:ascii="仿宋" w:hAnsi="仿宋" w:eastAsia="仿宋"/>
                <w:bCs/>
                <w:kern w:val="0"/>
                <w:sz w:val="18"/>
                <w:szCs w:val="18"/>
              </w:rPr>
              <w:t>(kg/h)</w:t>
            </w:r>
          </w:p>
        </w:tc>
        <w:tc>
          <w:tcPr>
            <w:tcW w:w="750" w:type="dxa"/>
            <w:shd w:val="clear" w:color="auto" w:fill="auto"/>
            <w:vAlign w:val="center"/>
          </w:tcPr>
          <w:p>
            <w:pPr>
              <w:widowControl/>
              <w:jc w:val="center"/>
              <w:rPr>
                <w:rFonts w:ascii="仿宋" w:hAnsi="仿宋" w:eastAsia="仿宋" w:cs="宋体"/>
                <w:bCs/>
                <w:kern w:val="0"/>
                <w:sz w:val="18"/>
                <w:szCs w:val="18"/>
              </w:rPr>
            </w:pPr>
            <w:r>
              <w:rPr>
                <w:rFonts w:hint="eastAsia" w:ascii="仿宋" w:hAnsi="仿宋" w:eastAsia="仿宋" w:cs="宋体"/>
                <w:bCs/>
                <w:kern w:val="0"/>
                <w:sz w:val="18"/>
                <w:szCs w:val="18"/>
              </w:rPr>
              <w:t>排放量</w:t>
            </w:r>
            <w:r>
              <w:rPr>
                <w:rFonts w:ascii="仿宋" w:hAnsi="仿宋" w:eastAsia="仿宋"/>
                <w:bCs/>
                <w:kern w:val="0"/>
                <w:sz w:val="18"/>
                <w:szCs w:val="18"/>
              </w:rPr>
              <w:t>(t/a)</w:t>
            </w:r>
          </w:p>
        </w:tc>
        <w:tc>
          <w:tcPr>
            <w:tcW w:w="902" w:type="dxa"/>
            <w:shd w:val="clear" w:color="auto" w:fill="auto"/>
            <w:vAlign w:val="center"/>
          </w:tcPr>
          <w:p>
            <w:pPr>
              <w:widowControl/>
              <w:jc w:val="center"/>
              <w:rPr>
                <w:rFonts w:ascii="仿宋" w:hAnsi="仿宋" w:eastAsia="仿宋" w:cs="宋体"/>
                <w:bCs/>
                <w:kern w:val="0"/>
                <w:sz w:val="18"/>
                <w:szCs w:val="18"/>
              </w:rPr>
            </w:pPr>
            <w:r>
              <w:rPr>
                <w:rFonts w:hint="eastAsia" w:ascii="仿宋" w:hAnsi="仿宋" w:eastAsia="仿宋" w:cs="宋体"/>
                <w:bCs/>
                <w:kern w:val="0"/>
                <w:sz w:val="18"/>
                <w:szCs w:val="18"/>
              </w:rPr>
              <w:t>浓度</w:t>
            </w:r>
            <w:r>
              <w:rPr>
                <w:rFonts w:ascii="仿宋" w:hAnsi="仿宋" w:eastAsia="仿宋"/>
                <w:bCs/>
                <w:kern w:val="0"/>
                <w:sz w:val="18"/>
                <w:szCs w:val="18"/>
              </w:rPr>
              <w:t>(mg/m</w:t>
            </w:r>
            <w:r>
              <w:rPr>
                <w:rFonts w:ascii="仿宋" w:hAnsi="仿宋" w:eastAsia="仿宋"/>
                <w:bCs/>
                <w:kern w:val="0"/>
                <w:sz w:val="18"/>
                <w:szCs w:val="18"/>
                <w:vertAlign w:val="superscript"/>
              </w:rPr>
              <w:t>3</w:t>
            </w:r>
            <w:r>
              <w:rPr>
                <w:rFonts w:ascii="仿宋" w:hAnsi="仿宋" w:eastAsia="仿宋"/>
                <w:bCs/>
                <w:kern w:val="0"/>
                <w:sz w:val="18"/>
                <w:szCs w:val="18"/>
              </w:rPr>
              <w:t>)</w:t>
            </w:r>
          </w:p>
        </w:tc>
        <w:tc>
          <w:tcPr>
            <w:tcW w:w="720" w:type="dxa"/>
            <w:shd w:val="clear" w:color="auto" w:fill="auto"/>
            <w:vAlign w:val="center"/>
          </w:tcPr>
          <w:p>
            <w:pPr>
              <w:widowControl/>
              <w:jc w:val="center"/>
              <w:rPr>
                <w:rFonts w:ascii="仿宋" w:hAnsi="仿宋" w:eastAsia="仿宋" w:cs="宋体"/>
                <w:bCs/>
                <w:kern w:val="0"/>
                <w:sz w:val="18"/>
                <w:szCs w:val="18"/>
              </w:rPr>
            </w:pPr>
            <w:r>
              <w:rPr>
                <w:rFonts w:hint="eastAsia" w:ascii="仿宋" w:hAnsi="仿宋" w:eastAsia="仿宋" w:cs="宋体"/>
                <w:bCs/>
                <w:kern w:val="0"/>
                <w:sz w:val="18"/>
                <w:szCs w:val="18"/>
              </w:rPr>
              <w:t>速率</w:t>
            </w:r>
            <w:r>
              <w:rPr>
                <w:rFonts w:ascii="仿宋" w:hAnsi="仿宋" w:eastAsia="仿宋"/>
                <w:bCs/>
                <w:kern w:val="0"/>
                <w:sz w:val="18"/>
                <w:szCs w:val="18"/>
              </w:rPr>
              <w:t>(kg/h)</w:t>
            </w:r>
          </w:p>
        </w:tc>
        <w:tc>
          <w:tcPr>
            <w:tcW w:w="624" w:type="dxa"/>
            <w:shd w:val="clear" w:color="auto" w:fill="auto"/>
            <w:vAlign w:val="center"/>
          </w:tcPr>
          <w:p>
            <w:pPr>
              <w:widowControl/>
              <w:jc w:val="center"/>
              <w:rPr>
                <w:rFonts w:ascii="仿宋" w:hAnsi="仿宋" w:eastAsia="仿宋" w:cs="宋体"/>
                <w:bCs/>
                <w:kern w:val="0"/>
                <w:sz w:val="18"/>
                <w:szCs w:val="18"/>
              </w:rPr>
            </w:pPr>
            <w:r>
              <w:rPr>
                <w:rFonts w:hint="eastAsia" w:ascii="仿宋" w:hAnsi="仿宋" w:eastAsia="仿宋" w:cs="宋体"/>
                <w:bCs/>
                <w:kern w:val="0"/>
                <w:sz w:val="18"/>
                <w:szCs w:val="18"/>
              </w:rPr>
              <w:t>排放高度</w:t>
            </w:r>
            <w:r>
              <w:rPr>
                <w:rFonts w:ascii="仿宋" w:hAnsi="仿宋" w:eastAsia="仿宋"/>
                <w:bCs/>
                <w:kern w:val="0"/>
                <w:sz w:val="18"/>
                <w:szCs w:val="18"/>
              </w:rPr>
              <w:t>(m)</w:t>
            </w:r>
          </w:p>
        </w:tc>
        <w:tc>
          <w:tcPr>
            <w:tcW w:w="698" w:type="dxa"/>
            <w:shd w:val="clear" w:color="auto" w:fill="auto"/>
            <w:vAlign w:val="center"/>
          </w:tcPr>
          <w:p>
            <w:pPr>
              <w:widowControl/>
              <w:jc w:val="center"/>
              <w:rPr>
                <w:rFonts w:ascii="仿宋" w:hAnsi="仿宋" w:eastAsia="仿宋" w:cs="宋体"/>
                <w:bCs/>
                <w:kern w:val="0"/>
                <w:sz w:val="18"/>
                <w:szCs w:val="18"/>
              </w:rPr>
            </w:pPr>
            <w:r>
              <w:rPr>
                <w:rFonts w:hint="eastAsia" w:ascii="仿宋" w:hAnsi="仿宋" w:eastAsia="仿宋" w:cs="宋体"/>
                <w:bCs/>
                <w:kern w:val="0"/>
                <w:sz w:val="18"/>
                <w:szCs w:val="18"/>
              </w:rPr>
              <w:t>直径(m)</w:t>
            </w:r>
          </w:p>
        </w:tc>
        <w:tc>
          <w:tcPr>
            <w:tcW w:w="729" w:type="dxa"/>
            <w:shd w:val="clear" w:color="auto" w:fill="auto"/>
            <w:vAlign w:val="center"/>
          </w:tcPr>
          <w:p>
            <w:pPr>
              <w:widowControl/>
              <w:jc w:val="center"/>
              <w:rPr>
                <w:rFonts w:ascii="仿宋" w:hAnsi="仿宋" w:eastAsia="仿宋" w:cs="宋体"/>
                <w:bCs/>
                <w:kern w:val="0"/>
                <w:sz w:val="18"/>
                <w:szCs w:val="18"/>
              </w:rPr>
            </w:pPr>
            <w:r>
              <w:rPr>
                <w:rFonts w:hint="eastAsia" w:ascii="仿宋" w:hAnsi="仿宋" w:eastAsia="仿宋" w:cs="宋体"/>
                <w:bCs/>
                <w:kern w:val="0"/>
                <w:sz w:val="18"/>
                <w:szCs w:val="18"/>
              </w:rPr>
              <w:t>烟气出口温度（℃）</w:t>
            </w:r>
          </w:p>
        </w:tc>
        <w:tc>
          <w:tcPr>
            <w:tcW w:w="709" w:type="dxa"/>
            <w:vMerge w:val="continue"/>
            <w:vAlign w:val="center"/>
          </w:tcPr>
          <w:p>
            <w:pPr>
              <w:widowControl/>
              <w:jc w:val="center"/>
              <w:rPr>
                <w:rFonts w:ascii="仿宋" w:hAnsi="仿宋" w:eastAsia="仿宋" w:cs="宋体"/>
                <w:b/>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404" w:type="dxa"/>
            <w:vMerge w:val="restart"/>
            <w:vAlign w:val="center"/>
          </w:tcPr>
          <w:p>
            <w:pPr>
              <w:widowControl/>
              <w:jc w:val="center"/>
              <w:rPr>
                <w:rFonts w:ascii="仿宋" w:hAnsi="仿宋" w:eastAsia="仿宋"/>
                <w:kern w:val="0"/>
                <w:sz w:val="18"/>
                <w:szCs w:val="18"/>
              </w:rPr>
            </w:pPr>
            <w:r>
              <w:rPr>
                <w:rFonts w:hint="eastAsia" w:ascii="仿宋" w:hAnsi="仿宋" w:eastAsia="仿宋" w:cs="宋体"/>
                <w:bCs/>
                <w:kern w:val="0"/>
                <w:sz w:val="18"/>
                <w:szCs w:val="18"/>
              </w:rPr>
              <w:t>车间</w:t>
            </w:r>
          </w:p>
        </w:tc>
        <w:tc>
          <w:tcPr>
            <w:tcW w:w="420" w:type="dxa"/>
            <w:vMerge w:val="restart"/>
            <w:vAlign w:val="center"/>
          </w:tcPr>
          <w:p>
            <w:pPr>
              <w:widowControl/>
              <w:jc w:val="center"/>
              <w:rPr>
                <w:rFonts w:ascii="仿宋" w:hAnsi="仿宋" w:eastAsia="仿宋"/>
                <w:kern w:val="0"/>
                <w:sz w:val="18"/>
                <w:szCs w:val="18"/>
              </w:rPr>
            </w:pPr>
            <w:r>
              <w:rPr>
                <w:rFonts w:hint="eastAsia" w:ascii="仿宋" w:hAnsi="仿宋" w:eastAsia="仿宋"/>
                <w:kern w:val="0"/>
                <w:sz w:val="18"/>
                <w:szCs w:val="18"/>
              </w:rPr>
              <w:t>1#</w:t>
            </w:r>
          </w:p>
        </w:tc>
        <w:tc>
          <w:tcPr>
            <w:tcW w:w="677" w:type="dxa"/>
            <w:vMerge w:val="restart"/>
            <w:vAlign w:val="center"/>
          </w:tcPr>
          <w:p>
            <w:pPr>
              <w:widowControl/>
              <w:jc w:val="center"/>
              <w:rPr>
                <w:rFonts w:ascii="仿宋" w:hAnsi="仿宋" w:eastAsia="仿宋"/>
                <w:kern w:val="0"/>
                <w:sz w:val="18"/>
                <w:szCs w:val="18"/>
              </w:rPr>
            </w:pPr>
            <w:r>
              <w:rPr>
                <w:rFonts w:hint="eastAsia" w:ascii="仿宋" w:hAnsi="仿宋" w:eastAsia="仿宋"/>
                <w:kern w:val="0"/>
                <w:sz w:val="18"/>
                <w:szCs w:val="18"/>
              </w:rPr>
              <w:t>50000</w:t>
            </w:r>
          </w:p>
        </w:tc>
        <w:tc>
          <w:tcPr>
            <w:tcW w:w="763" w:type="dxa"/>
            <w:vAlign w:val="center"/>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非甲烷总烃</w:t>
            </w:r>
          </w:p>
        </w:tc>
        <w:tc>
          <w:tcPr>
            <w:tcW w:w="1081"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w:t>
            </w:r>
            <w:r>
              <w:rPr>
                <w:rFonts w:ascii="仿宋" w:hAnsi="仿宋" w:eastAsia="仿宋" w:cs="仿宋"/>
                <w:bCs/>
                <w:szCs w:val="21"/>
              </w:rPr>
              <w:t>370.2</w:t>
            </w:r>
          </w:p>
        </w:tc>
        <w:tc>
          <w:tcPr>
            <w:tcW w:w="802"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6</w:t>
            </w:r>
            <w:r>
              <w:rPr>
                <w:rFonts w:ascii="仿宋" w:hAnsi="仿宋" w:eastAsia="仿宋" w:cs="仿宋"/>
                <w:bCs/>
                <w:szCs w:val="21"/>
              </w:rPr>
              <w:t>8.51</w:t>
            </w:r>
          </w:p>
        </w:tc>
        <w:tc>
          <w:tcPr>
            <w:tcW w:w="1070"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379.16</w:t>
            </w:r>
          </w:p>
        </w:tc>
        <w:tc>
          <w:tcPr>
            <w:tcW w:w="852" w:type="dxa"/>
            <w:vMerge w:val="restart"/>
            <w:vAlign w:val="center"/>
          </w:tcPr>
          <w:p>
            <w:pPr>
              <w:widowControl/>
              <w:jc w:val="center"/>
              <w:rPr>
                <w:rFonts w:ascii="仿宋" w:hAnsi="仿宋" w:eastAsia="仿宋" w:cs="宋体"/>
                <w:bCs/>
                <w:kern w:val="0"/>
                <w:sz w:val="18"/>
                <w:szCs w:val="18"/>
              </w:rPr>
            </w:pPr>
            <w:r>
              <w:rPr>
                <w:rFonts w:hint="eastAsia" w:ascii="仿宋" w:hAnsi="仿宋" w:eastAsia="仿宋" w:cs="宋体"/>
                <w:bCs/>
                <w:kern w:val="0"/>
                <w:sz w:val="18"/>
                <w:szCs w:val="18"/>
              </w:rPr>
              <w:t>RTO燃烧</w:t>
            </w:r>
          </w:p>
        </w:tc>
        <w:tc>
          <w:tcPr>
            <w:tcW w:w="683" w:type="dxa"/>
            <w:vMerge w:val="restart"/>
            <w:vAlign w:val="center"/>
          </w:tcPr>
          <w:p>
            <w:pPr>
              <w:widowControl/>
              <w:jc w:val="center"/>
              <w:rPr>
                <w:rFonts w:ascii="仿宋" w:hAnsi="仿宋" w:eastAsia="仿宋" w:cs="宋体"/>
                <w:bCs/>
                <w:kern w:val="0"/>
                <w:sz w:val="18"/>
                <w:szCs w:val="18"/>
              </w:rPr>
            </w:pPr>
            <w:r>
              <w:rPr>
                <w:rFonts w:hint="eastAsia" w:ascii="仿宋" w:hAnsi="仿宋" w:eastAsia="仿宋" w:cs="宋体"/>
                <w:bCs/>
                <w:kern w:val="0"/>
                <w:sz w:val="18"/>
                <w:szCs w:val="18"/>
              </w:rPr>
              <w:t>99</w:t>
            </w:r>
            <w:r>
              <w:rPr>
                <w:rFonts w:ascii="仿宋" w:hAnsi="仿宋" w:eastAsia="仿宋" w:cs="宋体"/>
                <w:bCs/>
                <w:kern w:val="0"/>
                <w:sz w:val="18"/>
                <w:szCs w:val="18"/>
              </w:rPr>
              <w:t>.5</w:t>
            </w:r>
          </w:p>
        </w:tc>
        <w:tc>
          <w:tcPr>
            <w:tcW w:w="842"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6</w:t>
            </w:r>
            <w:r>
              <w:rPr>
                <w:rFonts w:ascii="仿宋" w:hAnsi="仿宋" w:eastAsia="仿宋" w:cs="仿宋"/>
                <w:bCs/>
                <w:szCs w:val="21"/>
              </w:rPr>
              <w:t>.8</w:t>
            </w:r>
          </w:p>
        </w:tc>
        <w:tc>
          <w:tcPr>
            <w:tcW w:w="1071"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9</w:t>
            </w:r>
            <w:r>
              <w:rPr>
                <w:rFonts w:ascii="仿宋" w:hAnsi="仿宋" w:eastAsia="仿宋" w:cs="仿宋"/>
                <w:bCs/>
                <w:szCs w:val="21"/>
              </w:rPr>
              <w:t>.42</w:t>
            </w:r>
          </w:p>
        </w:tc>
        <w:tc>
          <w:tcPr>
            <w:tcW w:w="775"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.34</w:t>
            </w:r>
          </w:p>
        </w:tc>
        <w:tc>
          <w:tcPr>
            <w:tcW w:w="750"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1.89</w:t>
            </w:r>
          </w:p>
        </w:tc>
        <w:tc>
          <w:tcPr>
            <w:tcW w:w="902" w:type="dxa"/>
            <w:vMerge w:val="restar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60</w:t>
            </w:r>
          </w:p>
        </w:tc>
        <w:tc>
          <w:tcPr>
            <w:tcW w:w="720" w:type="dxa"/>
            <w:vMerge w:val="restar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w:t>
            </w:r>
          </w:p>
        </w:tc>
        <w:tc>
          <w:tcPr>
            <w:tcW w:w="624" w:type="dxa"/>
            <w:vMerge w:val="restart"/>
            <w:shd w:val="clear" w:color="auto" w:fill="auto"/>
            <w:vAlign w:val="center"/>
          </w:tcPr>
          <w:p>
            <w:pPr>
              <w:widowControl/>
              <w:jc w:val="center"/>
              <w:rPr>
                <w:rFonts w:ascii="仿宋" w:hAnsi="仿宋" w:eastAsia="仿宋" w:cs="宋体"/>
                <w:bCs/>
                <w:kern w:val="0"/>
                <w:sz w:val="18"/>
                <w:szCs w:val="18"/>
              </w:rPr>
            </w:pPr>
            <w:r>
              <w:rPr>
                <w:rFonts w:hint="eastAsia" w:ascii="仿宋" w:hAnsi="仿宋" w:eastAsia="仿宋" w:cs="宋体"/>
                <w:bCs/>
                <w:kern w:val="0"/>
                <w:sz w:val="18"/>
                <w:szCs w:val="18"/>
              </w:rPr>
              <w:t>15</w:t>
            </w:r>
          </w:p>
        </w:tc>
        <w:tc>
          <w:tcPr>
            <w:tcW w:w="698" w:type="dxa"/>
            <w:vMerge w:val="restart"/>
            <w:shd w:val="clear" w:color="auto" w:fill="auto"/>
            <w:vAlign w:val="center"/>
          </w:tcPr>
          <w:p>
            <w:pPr>
              <w:widowControl/>
              <w:jc w:val="center"/>
              <w:rPr>
                <w:rFonts w:ascii="仿宋" w:hAnsi="仿宋" w:eastAsia="仿宋" w:cs="宋体"/>
                <w:bCs/>
                <w:kern w:val="0"/>
                <w:sz w:val="18"/>
                <w:szCs w:val="18"/>
              </w:rPr>
            </w:pPr>
            <w:r>
              <w:rPr>
                <w:rFonts w:hint="eastAsia" w:ascii="仿宋" w:hAnsi="仿宋" w:eastAsia="仿宋" w:cs="宋体"/>
                <w:bCs/>
                <w:kern w:val="0"/>
                <w:sz w:val="18"/>
                <w:szCs w:val="18"/>
              </w:rPr>
              <w:t>1.7</w:t>
            </w:r>
          </w:p>
        </w:tc>
        <w:tc>
          <w:tcPr>
            <w:tcW w:w="729" w:type="dxa"/>
            <w:vMerge w:val="restart"/>
            <w:shd w:val="clear" w:color="auto" w:fill="auto"/>
            <w:vAlign w:val="center"/>
          </w:tcPr>
          <w:p>
            <w:pPr>
              <w:widowControl/>
              <w:jc w:val="center"/>
              <w:rPr>
                <w:rFonts w:ascii="仿宋" w:hAnsi="仿宋" w:eastAsia="仿宋" w:cs="宋体"/>
                <w:bCs/>
                <w:kern w:val="0"/>
                <w:sz w:val="18"/>
                <w:szCs w:val="18"/>
              </w:rPr>
            </w:pPr>
            <w:r>
              <w:rPr>
                <w:rFonts w:hint="eastAsia" w:ascii="仿宋" w:hAnsi="仿宋" w:eastAsia="仿宋" w:cs="宋体"/>
                <w:bCs/>
                <w:kern w:val="0"/>
                <w:sz w:val="18"/>
                <w:szCs w:val="18"/>
              </w:rPr>
              <w:t>50</w:t>
            </w:r>
          </w:p>
        </w:tc>
        <w:tc>
          <w:tcPr>
            <w:tcW w:w="709" w:type="dxa"/>
            <w:vMerge w:val="restart"/>
            <w:vAlign w:val="center"/>
          </w:tcPr>
          <w:p>
            <w:pPr>
              <w:widowControl/>
              <w:jc w:val="center"/>
              <w:rPr>
                <w:rFonts w:ascii="仿宋" w:hAnsi="仿宋" w:eastAsia="仿宋" w:cs="宋体"/>
                <w:bCs/>
                <w:kern w:val="0"/>
                <w:sz w:val="18"/>
                <w:szCs w:val="18"/>
              </w:rPr>
            </w:pPr>
            <w:r>
              <w:rPr>
                <w:rFonts w:hint="eastAsia" w:ascii="仿宋" w:hAnsi="仿宋" w:eastAsia="仿宋" w:cs="宋体"/>
                <w:bCs/>
                <w:kern w:val="0"/>
                <w:sz w:val="18"/>
                <w:szCs w:val="18"/>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404" w:type="dxa"/>
            <w:vMerge w:val="continue"/>
            <w:vAlign w:val="center"/>
          </w:tcPr>
          <w:p>
            <w:pPr>
              <w:widowControl/>
              <w:jc w:val="center"/>
              <w:rPr>
                <w:rFonts w:ascii="仿宋" w:hAnsi="仿宋" w:eastAsia="仿宋" w:cs="宋体"/>
                <w:bCs/>
                <w:kern w:val="0"/>
                <w:sz w:val="18"/>
                <w:szCs w:val="18"/>
              </w:rPr>
            </w:pPr>
          </w:p>
        </w:tc>
        <w:tc>
          <w:tcPr>
            <w:tcW w:w="420" w:type="dxa"/>
            <w:vMerge w:val="continue"/>
            <w:vAlign w:val="center"/>
          </w:tcPr>
          <w:p>
            <w:pPr>
              <w:widowControl/>
              <w:jc w:val="center"/>
              <w:rPr>
                <w:rFonts w:ascii="仿宋" w:hAnsi="仿宋" w:eastAsia="仿宋"/>
                <w:kern w:val="0"/>
                <w:sz w:val="18"/>
                <w:szCs w:val="18"/>
              </w:rPr>
            </w:pPr>
          </w:p>
        </w:tc>
        <w:tc>
          <w:tcPr>
            <w:tcW w:w="677" w:type="dxa"/>
            <w:vMerge w:val="continue"/>
            <w:vAlign w:val="center"/>
          </w:tcPr>
          <w:p>
            <w:pPr>
              <w:widowControl/>
              <w:jc w:val="center"/>
              <w:rPr>
                <w:rFonts w:ascii="仿宋" w:hAnsi="仿宋" w:eastAsia="仿宋"/>
                <w:kern w:val="0"/>
                <w:sz w:val="18"/>
                <w:szCs w:val="18"/>
              </w:rPr>
            </w:pPr>
          </w:p>
        </w:tc>
        <w:tc>
          <w:tcPr>
            <w:tcW w:w="763" w:type="dxa"/>
            <w:vAlign w:val="center"/>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乙酸乙酯</w:t>
            </w:r>
          </w:p>
        </w:tc>
        <w:tc>
          <w:tcPr>
            <w:tcW w:w="1081"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w:t>
            </w:r>
            <w:r>
              <w:rPr>
                <w:rFonts w:ascii="仿宋" w:hAnsi="仿宋" w:eastAsia="仿宋" w:cs="仿宋"/>
                <w:bCs/>
                <w:szCs w:val="21"/>
              </w:rPr>
              <w:t>188.8</w:t>
            </w:r>
          </w:p>
        </w:tc>
        <w:tc>
          <w:tcPr>
            <w:tcW w:w="802"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5</w:t>
            </w:r>
            <w:r>
              <w:rPr>
                <w:rFonts w:ascii="仿宋" w:hAnsi="仿宋" w:eastAsia="仿宋" w:cs="仿宋"/>
                <w:bCs/>
                <w:szCs w:val="21"/>
              </w:rPr>
              <w:t>9.44</w:t>
            </w:r>
          </w:p>
        </w:tc>
        <w:tc>
          <w:tcPr>
            <w:tcW w:w="1070"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328.93</w:t>
            </w:r>
          </w:p>
        </w:tc>
        <w:tc>
          <w:tcPr>
            <w:tcW w:w="852" w:type="dxa"/>
            <w:vMerge w:val="continue"/>
            <w:vAlign w:val="center"/>
          </w:tcPr>
          <w:p>
            <w:pPr>
              <w:widowControl/>
              <w:jc w:val="center"/>
              <w:rPr>
                <w:rFonts w:ascii="仿宋" w:hAnsi="仿宋" w:eastAsia="仿宋" w:cs="宋体"/>
                <w:bCs/>
                <w:kern w:val="0"/>
                <w:sz w:val="18"/>
                <w:szCs w:val="18"/>
              </w:rPr>
            </w:pPr>
          </w:p>
        </w:tc>
        <w:tc>
          <w:tcPr>
            <w:tcW w:w="683" w:type="dxa"/>
            <w:vMerge w:val="continue"/>
            <w:vAlign w:val="center"/>
          </w:tcPr>
          <w:p>
            <w:pPr>
              <w:widowControl/>
              <w:jc w:val="center"/>
              <w:rPr>
                <w:rFonts w:ascii="仿宋" w:hAnsi="仿宋" w:eastAsia="仿宋" w:cs="宋体"/>
                <w:bCs/>
                <w:kern w:val="0"/>
                <w:sz w:val="18"/>
                <w:szCs w:val="18"/>
              </w:rPr>
            </w:pPr>
          </w:p>
        </w:tc>
        <w:tc>
          <w:tcPr>
            <w:tcW w:w="842"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5</w:t>
            </w:r>
            <w:r>
              <w:rPr>
                <w:rFonts w:ascii="仿宋" w:hAnsi="仿宋" w:eastAsia="仿宋" w:cs="仿宋"/>
                <w:bCs/>
                <w:szCs w:val="21"/>
              </w:rPr>
              <w:t>.8</w:t>
            </w:r>
          </w:p>
        </w:tc>
        <w:tc>
          <w:tcPr>
            <w:tcW w:w="1071"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8</w:t>
            </w:r>
            <w:r>
              <w:rPr>
                <w:rFonts w:ascii="仿宋" w:hAnsi="仿宋" w:eastAsia="仿宋" w:cs="仿宋"/>
                <w:bCs/>
                <w:szCs w:val="21"/>
              </w:rPr>
              <w:t>.03</w:t>
            </w:r>
          </w:p>
        </w:tc>
        <w:tc>
          <w:tcPr>
            <w:tcW w:w="775"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.29</w:t>
            </w:r>
          </w:p>
        </w:tc>
        <w:tc>
          <w:tcPr>
            <w:tcW w:w="750"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1.64</w:t>
            </w:r>
          </w:p>
        </w:tc>
        <w:tc>
          <w:tcPr>
            <w:tcW w:w="902" w:type="dxa"/>
            <w:vMerge w:val="continue"/>
            <w:shd w:val="clear" w:color="auto" w:fill="auto"/>
            <w:vAlign w:val="center"/>
          </w:tcPr>
          <w:p>
            <w:pPr>
              <w:spacing w:line="240" w:lineRule="exact"/>
              <w:jc w:val="center"/>
              <w:rPr>
                <w:rFonts w:ascii="仿宋" w:hAnsi="仿宋" w:eastAsia="仿宋" w:cs="仿宋"/>
                <w:bCs/>
                <w:szCs w:val="21"/>
              </w:rPr>
            </w:pPr>
          </w:p>
        </w:tc>
        <w:tc>
          <w:tcPr>
            <w:tcW w:w="720" w:type="dxa"/>
            <w:vMerge w:val="continue"/>
            <w:shd w:val="clear" w:color="auto" w:fill="auto"/>
            <w:vAlign w:val="center"/>
          </w:tcPr>
          <w:p>
            <w:pPr>
              <w:spacing w:line="240" w:lineRule="exact"/>
              <w:jc w:val="center"/>
              <w:rPr>
                <w:rFonts w:ascii="仿宋" w:hAnsi="仿宋" w:eastAsia="仿宋" w:cs="仿宋"/>
                <w:bCs/>
                <w:szCs w:val="21"/>
              </w:rPr>
            </w:pPr>
          </w:p>
        </w:tc>
        <w:tc>
          <w:tcPr>
            <w:tcW w:w="624" w:type="dxa"/>
            <w:vMerge w:val="continue"/>
            <w:shd w:val="clear" w:color="auto" w:fill="auto"/>
            <w:vAlign w:val="center"/>
          </w:tcPr>
          <w:p>
            <w:pPr>
              <w:widowControl/>
              <w:jc w:val="center"/>
              <w:rPr>
                <w:rFonts w:ascii="仿宋" w:hAnsi="仿宋" w:eastAsia="仿宋" w:cs="宋体"/>
                <w:bCs/>
                <w:kern w:val="0"/>
                <w:sz w:val="18"/>
                <w:szCs w:val="18"/>
              </w:rPr>
            </w:pPr>
          </w:p>
        </w:tc>
        <w:tc>
          <w:tcPr>
            <w:tcW w:w="698" w:type="dxa"/>
            <w:vMerge w:val="continue"/>
            <w:shd w:val="clear" w:color="auto" w:fill="auto"/>
            <w:vAlign w:val="center"/>
          </w:tcPr>
          <w:p>
            <w:pPr>
              <w:widowControl/>
              <w:jc w:val="center"/>
              <w:rPr>
                <w:rFonts w:ascii="仿宋" w:hAnsi="仿宋" w:eastAsia="仿宋" w:cs="宋体"/>
                <w:bCs/>
                <w:kern w:val="0"/>
                <w:sz w:val="18"/>
                <w:szCs w:val="18"/>
              </w:rPr>
            </w:pPr>
          </w:p>
        </w:tc>
        <w:tc>
          <w:tcPr>
            <w:tcW w:w="729" w:type="dxa"/>
            <w:vMerge w:val="continue"/>
            <w:shd w:val="clear" w:color="auto" w:fill="auto"/>
            <w:vAlign w:val="center"/>
          </w:tcPr>
          <w:p>
            <w:pPr>
              <w:widowControl/>
              <w:jc w:val="center"/>
              <w:rPr>
                <w:rFonts w:ascii="仿宋" w:hAnsi="仿宋" w:eastAsia="仿宋" w:cs="宋体"/>
                <w:bCs/>
                <w:kern w:val="0"/>
                <w:sz w:val="18"/>
                <w:szCs w:val="18"/>
              </w:rPr>
            </w:pPr>
          </w:p>
        </w:tc>
        <w:tc>
          <w:tcPr>
            <w:tcW w:w="709" w:type="dxa"/>
            <w:vMerge w:val="continue"/>
            <w:vAlign w:val="center"/>
          </w:tcPr>
          <w:p>
            <w:pPr>
              <w:widowControl/>
              <w:jc w:val="center"/>
              <w:rPr>
                <w:rFonts w:ascii="仿宋" w:hAnsi="仿宋" w:eastAsia="仿宋" w:cs="宋体"/>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404" w:type="dxa"/>
            <w:vMerge w:val="continue"/>
            <w:vAlign w:val="center"/>
          </w:tcPr>
          <w:p>
            <w:pPr>
              <w:widowControl/>
              <w:jc w:val="center"/>
              <w:rPr>
                <w:rFonts w:ascii="仿宋" w:hAnsi="仿宋" w:eastAsia="仿宋" w:cs="宋体"/>
                <w:bCs/>
                <w:kern w:val="0"/>
                <w:sz w:val="18"/>
                <w:szCs w:val="18"/>
              </w:rPr>
            </w:pPr>
          </w:p>
        </w:tc>
        <w:tc>
          <w:tcPr>
            <w:tcW w:w="420" w:type="dxa"/>
            <w:vMerge w:val="continue"/>
            <w:vAlign w:val="center"/>
          </w:tcPr>
          <w:p>
            <w:pPr>
              <w:widowControl/>
              <w:jc w:val="center"/>
              <w:rPr>
                <w:rFonts w:ascii="仿宋" w:hAnsi="仿宋" w:eastAsia="仿宋"/>
                <w:kern w:val="0"/>
                <w:sz w:val="18"/>
                <w:szCs w:val="18"/>
              </w:rPr>
            </w:pPr>
          </w:p>
        </w:tc>
        <w:tc>
          <w:tcPr>
            <w:tcW w:w="677" w:type="dxa"/>
            <w:vMerge w:val="continue"/>
            <w:vAlign w:val="center"/>
          </w:tcPr>
          <w:p>
            <w:pPr>
              <w:widowControl/>
              <w:jc w:val="center"/>
              <w:rPr>
                <w:rFonts w:ascii="仿宋" w:hAnsi="仿宋" w:eastAsia="仿宋"/>
                <w:kern w:val="0"/>
                <w:sz w:val="18"/>
                <w:szCs w:val="18"/>
              </w:rPr>
            </w:pPr>
          </w:p>
        </w:tc>
        <w:tc>
          <w:tcPr>
            <w:tcW w:w="763" w:type="dxa"/>
            <w:vAlign w:val="center"/>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二甲苯</w:t>
            </w:r>
          </w:p>
        </w:tc>
        <w:tc>
          <w:tcPr>
            <w:tcW w:w="1081"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w:t>
            </w:r>
            <w:r>
              <w:rPr>
                <w:rFonts w:ascii="仿宋" w:hAnsi="仿宋" w:eastAsia="仿宋" w:cs="仿宋"/>
                <w:bCs/>
                <w:szCs w:val="21"/>
              </w:rPr>
              <w:t>31</w:t>
            </w:r>
          </w:p>
        </w:tc>
        <w:tc>
          <w:tcPr>
            <w:tcW w:w="802"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6</w:t>
            </w:r>
            <w:r>
              <w:rPr>
                <w:rFonts w:ascii="仿宋" w:hAnsi="仿宋" w:eastAsia="仿宋" w:cs="仿宋"/>
                <w:bCs/>
                <w:szCs w:val="21"/>
              </w:rPr>
              <w:t>.55</w:t>
            </w:r>
          </w:p>
        </w:tc>
        <w:tc>
          <w:tcPr>
            <w:tcW w:w="1070"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36.31</w:t>
            </w:r>
          </w:p>
        </w:tc>
        <w:tc>
          <w:tcPr>
            <w:tcW w:w="852" w:type="dxa"/>
            <w:vMerge w:val="continue"/>
            <w:vAlign w:val="center"/>
          </w:tcPr>
          <w:p>
            <w:pPr>
              <w:widowControl/>
              <w:jc w:val="center"/>
              <w:rPr>
                <w:rFonts w:ascii="仿宋" w:hAnsi="仿宋" w:eastAsia="仿宋" w:cs="宋体"/>
                <w:bCs/>
                <w:kern w:val="0"/>
                <w:sz w:val="18"/>
                <w:szCs w:val="18"/>
              </w:rPr>
            </w:pPr>
          </w:p>
        </w:tc>
        <w:tc>
          <w:tcPr>
            <w:tcW w:w="683" w:type="dxa"/>
            <w:vMerge w:val="continue"/>
            <w:vAlign w:val="center"/>
          </w:tcPr>
          <w:p>
            <w:pPr>
              <w:widowControl/>
              <w:jc w:val="center"/>
              <w:rPr>
                <w:rFonts w:ascii="仿宋" w:hAnsi="仿宋" w:eastAsia="仿宋" w:cs="宋体"/>
                <w:bCs/>
                <w:kern w:val="0"/>
                <w:sz w:val="18"/>
                <w:szCs w:val="18"/>
              </w:rPr>
            </w:pPr>
          </w:p>
        </w:tc>
        <w:tc>
          <w:tcPr>
            <w:tcW w:w="842"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.6</w:t>
            </w:r>
          </w:p>
        </w:tc>
        <w:tc>
          <w:tcPr>
            <w:tcW w:w="1071"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.83</w:t>
            </w:r>
          </w:p>
        </w:tc>
        <w:tc>
          <w:tcPr>
            <w:tcW w:w="775"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.03</w:t>
            </w:r>
          </w:p>
        </w:tc>
        <w:tc>
          <w:tcPr>
            <w:tcW w:w="750"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0.18</w:t>
            </w:r>
          </w:p>
        </w:tc>
        <w:tc>
          <w:tcPr>
            <w:tcW w:w="902"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10</w:t>
            </w:r>
          </w:p>
        </w:tc>
        <w:tc>
          <w:tcPr>
            <w:tcW w:w="720"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0.72</w:t>
            </w:r>
          </w:p>
        </w:tc>
        <w:tc>
          <w:tcPr>
            <w:tcW w:w="624" w:type="dxa"/>
            <w:vMerge w:val="continue"/>
            <w:shd w:val="clear" w:color="auto" w:fill="auto"/>
            <w:vAlign w:val="center"/>
          </w:tcPr>
          <w:p>
            <w:pPr>
              <w:widowControl/>
              <w:jc w:val="center"/>
              <w:rPr>
                <w:rFonts w:ascii="仿宋" w:hAnsi="仿宋" w:eastAsia="仿宋" w:cs="宋体"/>
                <w:bCs/>
                <w:kern w:val="0"/>
                <w:sz w:val="18"/>
                <w:szCs w:val="18"/>
              </w:rPr>
            </w:pPr>
          </w:p>
        </w:tc>
        <w:tc>
          <w:tcPr>
            <w:tcW w:w="698" w:type="dxa"/>
            <w:vMerge w:val="continue"/>
            <w:shd w:val="clear" w:color="auto" w:fill="auto"/>
            <w:vAlign w:val="center"/>
          </w:tcPr>
          <w:p>
            <w:pPr>
              <w:widowControl/>
              <w:jc w:val="center"/>
              <w:rPr>
                <w:rFonts w:ascii="仿宋" w:hAnsi="仿宋" w:eastAsia="仿宋" w:cs="宋体"/>
                <w:bCs/>
                <w:kern w:val="0"/>
                <w:sz w:val="18"/>
                <w:szCs w:val="18"/>
              </w:rPr>
            </w:pPr>
          </w:p>
        </w:tc>
        <w:tc>
          <w:tcPr>
            <w:tcW w:w="729" w:type="dxa"/>
            <w:vMerge w:val="continue"/>
            <w:shd w:val="clear" w:color="auto" w:fill="auto"/>
            <w:vAlign w:val="center"/>
          </w:tcPr>
          <w:p>
            <w:pPr>
              <w:widowControl/>
              <w:jc w:val="center"/>
              <w:rPr>
                <w:rFonts w:ascii="仿宋" w:hAnsi="仿宋" w:eastAsia="仿宋" w:cs="宋体"/>
                <w:bCs/>
                <w:kern w:val="0"/>
                <w:sz w:val="18"/>
                <w:szCs w:val="18"/>
              </w:rPr>
            </w:pPr>
          </w:p>
        </w:tc>
        <w:tc>
          <w:tcPr>
            <w:tcW w:w="709" w:type="dxa"/>
            <w:vMerge w:val="continue"/>
            <w:vAlign w:val="center"/>
          </w:tcPr>
          <w:p>
            <w:pPr>
              <w:widowControl/>
              <w:jc w:val="center"/>
              <w:rPr>
                <w:rFonts w:ascii="仿宋" w:hAnsi="仿宋" w:eastAsia="仿宋" w:cs="宋体"/>
                <w:b/>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404" w:type="dxa"/>
            <w:vMerge w:val="continue"/>
            <w:vAlign w:val="center"/>
          </w:tcPr>
          <w:p>
            <w:pPr>
              <w:widowControl/>
              <w:jc w:val="center"/>
              <w:rPr>
                <w:rFonts w:ascii="仿宋" w:hAnsi="仿宋" w:eastAsia="仿宋" w:cs="宋体"/>
                <w:bCs/>
                <w:kern w:val="0"/>
                <w:sz w:val="18"/>
                <w:szCs w:val="18"/>
              </w:rPr>
            </w:pPr>
          </w:p>
        </w:tc>
        <w:tc>
          <w:tcPr>
            <w:tcW w:w="420" w:type="dxa"/>
            <w:vMerge w:val="continue"/>
            <w:vAlign w:val="center"/>
          </w:tcPr>
          <w:p>
            <w:pPr>
              <w:widowControl/>
              <w:jc w:val="center"/>
              <w:rPr>
                <w:rFonts w:ascii="仿宋" w:hAnsi="仿宋" w:eastAsia="仿宋"/>
                <w:kern w:val="0"/>
                <w:sz w:val="18"/>
                <w:szCs w:val="18"/>
              </w:rPr>
            </w:pPr>
          </w:p>
        </w:tc>
        <w:tc>
          <w:tcPr>
            <w:tcW w:w="677" w:type="dxa"/>
            <w:vMerge w:val="continue"/>
            <w:vAlign w:val="center"/>
          </w:tcPr>
          <w:p>
            <w:pPr>
              <w:widowControl/>
              <w:jc w:val="center"/>
              <w:rPr>
                <w:rFonts w:ascii="仿宋" w:hAnsi="仿宋" w:eastAsia="仿宋"/>
                <w:kern w:val="0"/>
                <w:sz w:val="18"/>
                <w:szCs w:val="18"/>
              </w:rPr>
            </w:pPr>
          </w:p>
        </w:tc>
        <w:tc>
          <w:tcPr>
            <w:tcW w:w="763" w:type="dxa"/>
            <w:vAlign w:val="center"/>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烟尘</w:t>
            </w:r>
          </w:p>
        </w:tc>
        <w:tc>
          <w:tcPr>
            <w:tcW w:w="1081"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.18</w:t>
            </w:r>
          </w:p>
        </w:tc>
        <w:tc>
          <w:tcPr>
            <w:tcW w:w="802"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.009</w:t>
            </w:r>
          </w:p>
        </w:tc>
        <w:tc>
          <w:tcPr>
            <w:tcW w:w="1070"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.07</w:t>
            </w:r>
          </w:p>
        </w:tc>
        <w:tc>
          <w:tcPr>
            <w:tcW w:w="852" w:type="dxa"/>
            <w:vMerge w:val="restart"/>
            <w:vAlign w:val="center"/>
          </w:tcPr>
          <w:p>
            <w:pPr>
              <w:widowControl/>
              <w:jc w:val="center"/>
              <w:rPr>
                <w:rFonts w:ascii="仿宋" w:hAnsi="仿宋" w:eastAsia="仿宋" w:cs="宋体"/>
                <w:bCs/>
                <w:kern w:val="0"/>
                <w:sz w:val="18"/>
                <w:szCs w:val="18"/>
              </w:rPr>
            </w:pPr>
            <w:r>
              <w:rPr>
                <w:rFonts w:hint="eastAsia" w:ascii="仿宋" w:hAnsi="仿宋" w:eastAsia="仿宋" w:cs="宋体"/>
                <w:bCs/>
                <w:kern w:val="0"/>
                <w:sz w:val="18"/>
                <w:szCs w:val="18"/>
              </w:rPr>
              <w:t>/</w:t>
            </w:r>
          </w:p>
        </w:tc>
        <w:tc>
          <w:tcPr>
            <w:tcW w:w="683" w:type="dxa"/>
            <w:vMerge w:val="restart"/>
            <w:vAlign w:val="center"/>
          </w:tcPr>
          <w:p>
            <w:pPr>
              <w:widowControl/>
              <w:jc w:val="center"/>
              <w:rPr>
                <w:rFonts w:ascii="仿宋" w:hAnsi="仿宋" w:eastAsia="仿宋" w:cs="宋体"/>
                <w:bCs/>
                <w:kern w:val="0"/>
                <w:sz w:val="18"/>
                <w:szCs w:val="18"/>
              </w:rPr>
            </w:pPr>
            <w:r>
              <w:rPr>
                <w:rFonts w:hint="eastAsia" w:ascii="仿宋" w:hAnsi="仿宋" w:eastAsia="仿宋" w:cs="宋体"/>
                <w:bCs/>
                <w:kern w:val="0"/>
                <w:sz w:val="18"/>
                <w:szCs w:val="18"/>
              </w:rPr>
              <w:t>/</w:t>
            </w:r>
          </w:p>
        </w:tc>
        <w:tc>
          <w:tcPr>
            <w:tcW w:w="842"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.18</w:t>
            </w:r>
          </w:p>
        </w:tc>
        <w:tc>
          <w:tcPr>
            <w:tcW w:w="1071"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w:t>
            </w:r>
          </w:p>
        </w:tc>
        <w:tc>
          <w:tcPr>
            <w:tcW w:w="775"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.009</w:t>
            </w:r>
          </w:p>
        </w:tc>
        <w:tc>
          <w:tcPr>
            <w:tcW w:w="750"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.07</w:t>
            </w:r>
          </w:p>
        </w:tc>
        <w:tc>
          <w:tcPr>
            <w:tcW w:w="902"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20</w:t>
            </w:r>
          </w:p>
        </w:tc>
        <w:tc>
          <w:tcPr>
            <w:tcW w:w="720"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w:t>
            </w:r>
          </w:p>
        </w:tc>
        <w:tc>
          <w:tcPr>
            <w:tcW w:w="624" w:type="dxa"/>
            <w:vMerge w:val="continue"/>
            <w:shd w:val="clear" w:color="auto" w:fill="auto"/>
            <w:vAlign w:val="center"/>
          </w:tcPr>
          <w:p>
            <w:pPr>
              <w:widowControl/>
              <w:jc w:val="center"/>
              <w:rPr>
                <w:rFonts w:ascii="仿宋" w:hAnsi="仿宋" w:eastAsia="仿宋" w:cs="宋体"/>
                <w:bCs/>
                <w:kern w:val="0"/>
                <w:sz w:val="18"/>
                <w:szCs w:val="18"/>
              </w:rPr>
            </w:pPr>
          </w:p>
        </w:tc>
        <w:tc>
          <w:tcPr>
            <w:tcW w:w="698" w:type="dxa"/>
            <w:vMerge w:val="continue"/>
            <w:shd w:val="clear" w:color="auto" w:fill="auto"/>
            <w:vAlign w:val="center"/>
          </w:tcPr>
          <w:p>
            <w:pPr>
              <w:widowControl/>
              <w:jc w:val="center"/>
              <w:rPr>
                <w:rFonts w:ascii="仿宋" w:hAnsi="仿宋" w:eastAsia="仿宋" w:cs="宋体"/>
                <w:bCs/>
                <w:kern w:val="0"/>
                <w:sz w:val="18"/>
                <w:szCs w:val="18"/>
              </w:rPr>
            </w:pPr>
          </w:p>
        </w:tc>
        <w:tc>
          <w:tcPr>
            <w:tcW w:w="729" w:type="dxa"/>
            <w:vMerge w:val="continue"/>
            <w:shd w:val="clear" w:color="auto" w:fill="auto"/>
            <w:vAlign w:val="center"/>
          </w:tcPr>
          <w:p>
            <w:pPr>
              <w:widowControl/>
              <w:jc w:val="center"/>
              <w:rPr>
                <w:rFonts w:ascii="仿宋" w:hAnsi="仿宋" w:eastAsia="仿宋" w:cs="宋体"/>
                <w:bCs/>
                <w:kern w:val="0"/>
                <w:sz w:val="18"/>
                <w:szCs w:val="18"/>
              </w:rPr>
            </w:pPr>
          </w:p>
        </w:tc>
        <w:tc>
          <w:tcPr>
            <w:tcW w:w="709" w:type="dxa"/>
            <w:vMerge w:val="continue"/>
            <w:vAlign w:val="center"/>
          </w:tcPr>
          <w:p>
            <w:pPr>
              <w:widowControl/>
              <w:jc w:val="center"/>
              <w:rPr>
                <w:rFonts w:ascii="仿宋" w:hAnsi="仿宋" w:eastAsia="仿宋" w:cs="宋体"/>
                <w:b/>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404" w:type="dxa"/>
            <w:vMerge w:val="continue"/>
            <w:vAlign w:val="center"/>
          </w:tcPr>
          <w:p>
            <w:pPr>
              <w:widowControl/>
              <w:jc w:val="center"/>
              <w:rPr>
                <w:rFonts w:ascii="仿宋" w:hAnsi="仿宋" w:eastAsia="仿宋" w:cs="宋体"/>
                <w:bCs/>
                <w:kern w:val="0"/>
                <w:sz w:val="18"/>
                <w:szCs w:val="18"/>
              </w:rPr>
            </w:pPr>
          </w:p>
        </w:tc>
        <w:tc>
          <w:tcPr>
            <w:tcW w:w="420" w:type="dxa"/>
            <w:vMerge w:val="continue"/>
            <w:vAlign w:val="center"/>
          </w:tcPr>
          <w:p>
            <w:pPr>
              <w:widowControl/>
              <w:jc w:val="center"/>
              <w:rPr>
                <w:rFonts w:ascii="仿宋" w:hAnsi="仿宋" w:eastAsia="仿宋"/>
                <w:kern w:val="0"/>
                <w:sz w:val="18"/>
                <w:szCs w:val="18"/>
              </w:rPr>
            </w:pPr>
          </w:p>
        </w:tc>
        <w:tc>
          <w:tcPr>
            <w:tcW w:w="677" w:type="dxa"/>
            <w:vMerge w:val="continue"/>
            <w:vAlign w:val="center"/>
          </w:tcPr>
          <w:p>
            <w:pPr>
              <w:widowControl/>
              <w:jc w:val="center"/>
              <w:rPr>
                <w:rFonts w:ascii="仿宋" w:hAnsi="仿宋" w:eastAsia="仿宋"/>
                <w:kern w:val="0"/>
                <w:sz w:val="18"/>
                <w:szCs w:val="18"/>
              </w:rPr>
            </w:pPr>
          </w:p>
        </w:tc>
        <w:tc>
          <w:tcPr>
            <w:tcW w:w="763" w:type="dxa"/>
            <w:vAlign w:val="center"/>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SO</w:t>
            </w:r>
            <w:r>
              <w:rPr>
                <w:rFonts w:hint="eastAsia" w:ascii="仿宋" w:hAnsi="仿宋" w:eastAsia="仿宋" w:cs="宋体"/>
                <w:kern w:val="0"/>
                <w:sz w:val="18"/>
                <w:szCs w:val="18"/>
                <w:vertAlign w:val="subscript"/>
              </w:rPr>
              <w:t>2</w:t>
            </w:r>
          </w:p>
        </w:tc>
        <w:tc>
          <w:tcPr>
            <w:tcW w:w="1081"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.14</w:t>
            </w:r>
          </w:p>
        </w:tc>
        <w:tc>
          <w:tcPr>
            <w:tcW w:w="802"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.007</w:t>
            </w:r>
          </w:p>
        </w:tc>
        <w:tc>
          <w:tcPr>
            <w:tcW w:w="1070"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.05</w:t>
            </w:r>
          </w:p>
        </w:tc>
        <w:tc>
          <w:tcPr>
            <w:tcW w:w="852" w:type="dxa"/>
            <w:vMerge w:val="continue"/>
            <w:vAlign w:val="center"/>
          </w:tcPr>
          <w:p>
            <w:pPr>
              <w:widowControl/>
              <w:jc w:val="center"/>
              <w:rPr>
                <w:rFonts w:ascii="仿宋" w:hAnsi="仿宋" w:eastAsia="仿宋" w:cs="宋体"/>
                <w:bCs/>
                <w:kern w:val="0"/>
                <w:sz w:val="18"/>
                <w:szCs w:val="18"/>
              </w:rPr>
            </w:pPr>
          </w:p>
        </w:tc>
        <w:tc>
          <w:tcPr>
            <w:tcW w:w="683" w:type="dxa"/>
            <w:vMerge w:val="continue"/>
            <w:vAlign w:val="center"/>
          </w:tcPr>
          <w:p>
            <w:pPr>
              <w:widowControl/>
              <w:jc w:val="center"/>
              <w:rPr>
                <w:rFonts w:ascii="仿宋" w:hAnsi="仿宋" w:eastAsia="仿宋" w:cs="宋体"/>
                <w:bCs/>
                <w:kern w:val="0"/>
                <w:sz w:val="18"/>
                <w:szCs w:val="18"/>
              </w:rPr>
            </w:pPr>
          </w:p>
        </w:tc>
        <w:tc>
          <w:tcPr>
            <w:tcW w:w="842"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.14</w:t>
            </w:r>
          </w:p>
        </w:tc>
        <w:tc>
          <w:tcPr>
            <w:tcW w:w="1071"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w:t>
            </w:r>
          </w:p>
        </w:tc>
        <w:tc>
          <w:tcPr>
            <w:tcW w:w="775"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.007</w:t>
            </w:r>
          </w:p>
        </w:tc>
        <w:tc>
          <w:tcPr>
            <w:tcW w:w="750"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.05</w:t>
            </w:r>
          </w:p>
        </w:tc>
        <w:tc>
          <w:tcPr>
            <w:tcW w:w="902" w:type="dxa"/>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200</w:t>
            </w:r>
          </w:p>
        </w:tc>
        <w:tc>
          <w:tcPr>
            <w:tcW w:w="720"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w:t>
            </w:r>
          </w:p>
        </w:tc>
        <w:tc>
          <w:tcPr>
            <w:tcW w:w="624" w:type="dxa"/>
            <w:vMerge w:val="continue"/>
            <w:shd w:val="clear" w:color="auto" w:fill="auto"/>
            <w:vAlign w:val="center"/>
          </w:tcPr>
          <w:p>
            <w:pPr>
              <w:widowControl/>
              <w:jc w:val="center"/>
              <w:rPr>
                <w:rFonts w:ascii="仿宋" w:hAnsi="仿宋" w:eastAsia="仿宋" w:cs="宋体"/>
                <w:bCs/>
                <w:kern w:val="0"/>
                <w:sz w:val="18"/>
                <w:szCs w:val="18"/>
              </w:rPr>
            </w:pPr>
          </w:p>
        </w:tc>
        <w:tc>
          <w:tcPr>
            <w:tcW w:w="698" w:type="dxa"/>
            <w:vMerge w:val="continue"/>
            <w:shd w:val="clear" w:color="auto" w:fill="auto"/>
            <w:vAlign w:val="center"/>
          </w:tcPr>
          <w:p>
            <w:pPr>
              <w:widowControl/>
              <w:jc w:val="center"/>
              <w:rPr>
                <w:rFonts w:ascii="仿宋" w:hAnsi="仿宋" w:eastAsia="仿宋" w:cs="宋体"/>
                <w:bCs/>
                <w:kern w:val="0"/>
                <w:sz w:val="18"/>
                <w:szCs w:val="18"/>
              </w:rPr>
            </w:pPr>
          </w:p>
        </w:tc>
        <w:tc>
          <w:tcPr>
            <w:tcW w:w="729" w:type="dxa"/>
            <w:vMerge w:val="continue"/>
            <w:shd w:val="clear" w:color="auto" w:fill="auto"/>
            <w:vAlign w:val="center"/>
          </w:tcPr>
          <w:p>
            <w:pPr>
              <w:widowControl/>
              <w:jc w:val="center"/>
              <w:rPr>
                <w:rFonts w:ascii="仿宋" w:hAnsi="仿宋" w:eastAsia="仿宋" w:cs="宋体"/>
                <w:bCs/>
                <w:kern w:val="0"/>
                <w:sz w:val="18"/>
                <w:szCs w:val="18"/>
              </w:rPr>
            </w:pPr>
          </w:p>
        </w:tc>
        <w:tc>
          <w:tcPr>
            <w:tcW w:w="709" w:type="dxa"/>
            <w:vMerge w:val="continue"/>
            <w:vAlign w:val="center"/>
          </w:tcPr>
          <w:p>
            <w:pPr>
              <w:widowControl/>
              <w:jc w:val="center"/>
              <w:rPr>
                <w:rFonts w:ascii="仿宋" w:hAnsi="仿宋" w:eastAsia="仿宋" w:cs="宋体"/>
                <w:b/>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404" w:type="dxa"/>
            <w:vMerge w:val="continue"/>
            <w:vAlign w:val="center"/>
          </w:tcPr>
          <w:p>
            <w:pPr>
              <w:widowControl/>
              <w:jc w:val="center"/>
              <w:rPr>
                <w:rFonts w:ascii="仿宋" w:hAnsi="仿宋" w:eastAsia="仿宋" w:cs="宋体"/>
                <w:bCs/>
                <w:kern w:val="0"/>
                <w:sz w:val="18"/>
                <w:szCs w:val="18"/>
              </w:rPr>
            </w:pPr>
          </w:p>
        </w:tc>
        <w:tc>
          <w:tcPr>
            <w:tcW w:w="420" w:type="dxa"/>
            <w:vMerge w:val="continue"/>
            <w:vAlign w:val="center"/>
          </w:tcPr>
          <w:p>
            <w:pPr>
              <w:widowControl/>
              <w:jc w:val="center"/>
              <w:rPr>
                <w:rFonts w:ascii="仿宋" w:hAnsi="仿宋" w:eastAsia="仿宋"/>
                <w:kern w:val="0"/>
                <w:sz w:val="18"/>
                <w:szCs w:val="18"/>
              </w:rPr>
            </w:pPr>
          </w:p>
        </w:tc>
        <w:tc>
          <w:tcPr>
            <w:tcW w:w="677" w:type="dxa"/>
            <w:vMerge w:val="continue"/>
            <w:vAlign w:val="center"/>
          </w:tcPr>
          <w:p>
            <w:pPr>
              <w:widowControl/>
              <w:jc w:val="center"/>
              <w:rPr>
                <w:rFonts w:ascii="仿宋" w:hAnsi="仿宋" w:eastAsia="仿宋"/>
                <w:kern w:val="0"/>
                <w:sz w:val="18"/>
                <w:szCs w:val="18"/>
              </w:rPr>
            </w:pPr>
          </w:p>
        </w:tc>
        <w:tc>
          <w:tcPr>
            <w:tcW w:w="763" w:type="dxa"/>
            <w:vAlign w:val="center"/>
          </w:tcPr>
          <w:p>
            <w:pPr>
              <w:widowControl/>
              <w:jc w:val="center"/>
              <w:rPr>
                <w:rFonts w:ascii="仿宋" w:hAnsi="仿宋" w:eastAsia="仿宋" w:cs="宋体"/>
                <w:kern w:val="0"/>
                <w:sz w:val="18"/>
                <w:szCs w:val="18"/>
              </w:rPr>
            </w:pPr>
            <w:r>
              <w:rPr>
                <w:rFonts w:hint="eastAsia" w:ascii="仿宋" w:hAnsi="仿宋" w:eastAsia="仿宋" w:cs="宋体"/>
                <w:kern w:val="0"/>
                <w:sz w:val="18"/>
                <w:szCs w:val="18"/>
              </w:rPr>
              <w:t>NOx</w:t>
            </w:r>
          </w:p>
        </w:tc>
        <w:tc>
          <w:tcPr>
            <w:tcW w:w="1081"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w:t>
            </w:r>
            <w:r>
              <w:rPr>
                <w:rFonts w:ascii="仿宋" w:hAnsi="仿宋" w:eastAsia="仿宋" w:cs="仿宋"/>
                <w:bCs/>
                <w:szCs w:val="21"/>
              </w:rPr>
              <w:t>.06</w:t>
            </w:r>
          </w:p>
        </w:tc>
        <w:tc>
          <w:tcPr>
            <w:tcW w:w="802"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.053</w:t>
            </w:r>
          </w:p>
        </w:tc>
        <w:tc>
          <w:tcPr>
            <w:tcW w:w="1070"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.38</w:t>
            </w:r>
          </w:p>
        </w:tc>
        <w:tc>
          <w:tcPr>
            <w:tcW w:w="852" w:type="dxa"/>
            <w:vMerge w:val="continue"/>
            <w:vAlign w:val="center"/>
          </w:tcPr>
          <w:p>
            <w:pPr>
              <w:widowControl/>
              <w:jc w:val="center"/>
              <w:rPr>
                <w:rFonts w:ascii="仿宋" w:hAnsi="仿宋" w:eastAsia="仿宋" w:cs="宋体"/>
                <w:bCs/>
                <w:kern w:val="0"/>
                <w:sz w:val="18"/>
                <w:szCs w:val="18"/>
              </w:rPr>
            </w:pPr>
          </w:p>
        </w:tc>
        <w:tc>
          <w:tcPr>
            <w:tcW w:w="683" w:type="dxa"/>
            <w:vMerge w:val="continue"/>
            <w:vAlign w:val="center"/>
          </w:tcPr>
          <w:p>
            <w:pPr>
              <w:widowControl/>
              <w:jc w:val="center"/>
              <w:rPr>
                <w:rFonts w:ascii="仿宋" w:hAnsi="仿宋" w:eastAsia="仿宋" w:cs="宋体"/>
                <w:bCs/>
                <w:kern w:val="0"/>
                <w:sz w:val="18"/>
                <w:szCs w:val="18"/>
              </w:rPr>
            </w:pPr>
          </w:p>
        </w:tc>
        <w:tc>
          <w:tcPr>
            <w:tcW w:w="842"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w:t>
            </w:r>
            <w:r>
              <w:rPr>
                <w:rFonts w:ascii="仿宋" w:hAnsi="仿宋" w:eastAsia="仿宋" w:cs="仿宋"/>
                <w:bCs/>
                <w:szCs w:val="21"/>
              </w:rPr>
              <w:t>.06</w:t>
            </w:r>
          </w:p>
        </w:tc>
        <w:tc>
          <w:tcPr>
            <w:tcW w:w="1071"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w:t>
            </w:r>
          </w:p>
        </w:tc>
        <w:tc>
          <w:tcPr>
            <w:tcW w:w="775"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.053</w:t>
            </w:r>
          </w:p>
        </w:tc>
        <w:tc>
          <w:tcPr>
            <w:tcW w:w="750"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0</w:t>
            </w:r>
            <w:r>
              <w:rPr>
                <w:rFonts w:ascii="仿宋" w:hAnsi="仿宋" w:eastAsia="仿宋" w:cs="仿宋"/>
                <w:bCs/>
                <w:szCs w:val="21"/>
              </w:rPr>
              <w:t>.38</w:t>
            </w:r>
          </w:p>
        </w:tc>
        <w:tc>
          <w:tcPr>
            <w:tcW w:w="902" w:type="dxa"/>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2</w:t>
            </w:r>
            <w:r>
              <w:rPr>
                <w:rFonts w:hint="eastAsia" w:ascii="仿宋" w:hAnsi="仿宋" w:eastAsia="仿宋" w:cs="仿宋"/>
                <w:bCs/>
                <w:szCs w:val="21"/>
              </w:rPr>
              <w:t>00</w:t>
            </w:r>
          </w:p>
        </w:tc>
        <w:tc>
          <w:tcPr>
            <w:tcW w:w="720" w:type="dxa"/>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w:t>
            </w:r>
          </w:p>
        </w:tc>
        <w:tc>
          <w:tcPr>
            <w:tcW w:w="624" w:type="dxa"/>
            <w:vMerge w:val="continue"/>
            <w:shd w:val="clear" w:color="auto" w:fill="auto"/>
            <w:vAlign w:val="center"/>
          </w:tcPr>
          <w:p>
            <w:pPr>
              <w:widowControl/>
              <w:jc w:val="center"/>
              <w:rPr>
                <w:rFonts w:ascii="仿宋" w:hAnsi="仿宋" w:eastAsia="仿宋" w:cs="宋体"/>
                <w:bCs/>
                <w:kern w:val="0"/>
                <w:sz w:val="18"/>
                <w:szCs w:val="18"/>
              </w:rPr>
            </w:pPr>
          </w:p>
        </w:tc>
        <w:tc>
          <w:tcPr>
            <w:tcW w:w="698" w:type="dxa"/>
            <w:vMerge w:val="continue"/>
            <w:shd w:val="clear" w:color="auto" w:fill="auto"/>
            <w:vAlign w:val="center"/>
          </w:tcPr>
          <w:p>
            <w:pPr>
              <w:widowControl/>
              <w:jc w:val="center"/>
              <w:rPr>
                <w:rFonts w:ascii="仿宋" w:hAnsi="仿宋" w:eastAsia="仿宋" w:cs="宋体"/>
                <w:bCs/>
                <w:kern w:val="0"/>
                <w:sz w:val="18"/>
                <w:szCs w:val="18"/>
              </w:rPr>
            </w:pPr>
          </w:p>
        </w:tc>
        <w:tc>
          <w:tcPr>
            <w:tcW w:w="729" w:type="dxa"/>
            <w:vMerge w:val="continue"/>
            <w:shd w:val="clear" w:color="auto" w:fill="auto"/>
            <w:vAlign w:val="center"/>
          </w:tcPr>
          <w:p>
            <w:pPr>
              <w:widowControl/>
              <w:jc w:val="center"/>
              <w:rPr>
                <w:rFonts w:ascii="仿宋" w:hAnsi="仿宋" w:eastAsia="仿宋" w:cs="宋体"/>
                <w:bCs/>
                <w:kern w:val="0"/>
                <w:sz w:val="18"/>
                <w:szCs w:val="18"/>
              </w:rPr>
            </w:pPr>
          </w:p>
        </w:tc>
        <w:tc>
          <w:tcPr>
            <w:tcW w:w="709" w:type="dxa"/>
            <w:vMerge w:val="continue"/>
            <w:vAlign w:val="center"/>
          </w:tcPr>
          <w:p>
            <w:pPr>
              <w:widowControl/>
              <w:jc w:val="center"/>
              <w:rPr>
                <w:rFonts w:ascii="仿宋" w:hAnsi="仿宋" w:eastAsia="仿宋" w:cs="宋体"/>
                <w:b/>
                <w:bCs/>
                <w:kern w:val="0"/>
                <w:sz w:val="18"/>
                <w:szCs w:val="18"/>
              </w:rPr>
            </w:pPr>
          </w:p>
        </w:tc>
      </w:tr>
    </w:tbl>
    <w:p>
      <w:pPr>
        <w:spacing w:line="500" w:lineRule="exact"/>
        <w:jc w:val="center"/>
        <w:rPr>
          <w:rFonts w:eastAsia="仿宋_GB2312"/>
          <w:b/>
          <w:sz w:val="24"/>
        </w:rPr>
      </w:pPr>
    </w:p>
    <w:p>
      <w:pPr>
        <w:spacing w:line="500" w:lineRule="exact"/>
        <w:jc w:val="center"/>
        <w:rPr>
          <w:rFonts w:eastAsia="仿宋_GB2312"/>
          <w:b/>
          <w:sz w:val="24"/>
        </w:rPr>
      </w:pPr>
    </w:p>
    <w:p/>
    <w:p>
      <w:pPr>
        <w:spacing w:line="500" w:lineRule="exact"/>
        <w:jc w:val="center"/>
        <w:rPr>
          <w:rFonts w:eastAsia="仿宋_GB2312"/>
          <w:b/>
          <w:sz w:val="24"/>
          <w:highlight w:val="yellow"/>
        </w:rPr>
        <w:sectPr>
          <w:footerReference r:id="rId34" w:type="default"/>
          <w:pgSz w:w="16839" w:h="11907" w:orient="landscape"/>
          <w:pgMar w:top="1800" w:right="1440" w:bottom="1800" w:left="1440" w:header="851" w:footer="992" w:gutter="0"/>
          <w:cols w:space="425" w:num="1"/>
          <w:docGrid w:linePitch="312" w:charSpace="0"/>
        </w:sectPr>
      </w:pPr>
    </w:p>
    <w:p>
      <w:pPr>
        <w:spacing w:line="500" w:lineRule="exact"/>
        <w:jc w:val="center"/>
        <w:rPr>
          <w:rFonts w:eastAsia="仿宋_GB2312"/>
          <w:b/>
          <w:sz w:val="24"/>
        </w:rPr>
      </w:pPr>
      <w:r>
        <w:rPr>
          <w:rFonts w:eastAsia="仿宋_GB2312"/>
          <w:b/>
          <w:sz w:val="24"/>
        </w:rPr>
        <w:t>表8.2-3  本项目建成后无组织废气产生源强及排放情况</w:t>
      </w:r>
    </w:p>
    <w:tbl>
      <w:tblPr>
        <w:tblStyle w:val="87"/>
        <w:tblW w:w="53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0"/>
        <w:gridCol w:w="764"/>
        <w:gridCol w:w="1136"/>
        <w:gridCol w:w="1094"/>
        <w:gridCol w:w="1365"/>
        <w:gridCol w:w="1137"/>
        <w:gridCol w:w="1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2780" w:type="dxa"/>
            <w:shd w:val="clear" w:color="auto" w:fill="auto"/>
            <w:vAlign w:val="center"/>
          </w:tcPr>
          <w:p>
            <w:pPr>
              <w:jc w:val="center"/>
              <w:rPr>
                <w:rFonts w:ascii="仿宋" w:hAnsi="仿宋" w:eastAsia="仿宋"/>
                <w:bCs/>
                <w:szCs w:val="21"/>
              </w:rPr>
            </w:pPr>
            <w:r>
              <w:rPr>
                <w:rFonts w:hint="eastAsia" w:ascii="仿宋" w:hAnsi="仿宋" w:eastAsia="仿宋"/>
                <w:bCs/>
                <w:szCs w:val="21"/>
              </w:rPr>
              <w:t>废气</w:t>
            </w:r>
            <w:r>
              <w:rPr>
                <w:rFonts w:ascii="仿宋" w:hAnsi="仿宋" w:eastAsia="仿宋"/>
                <w:bCs/>
                <w:szCs w:val="21"/>
              </w:rPr>
              <w:t>编号</w:t>
            </w:r>
          </w:p>
        </w:tc>
        <w:tc>
          <w:tcPr>
            <w:tcW w:w="764" w:type="dxa"/>
            <w:shd w:val="clear" w:color="auto" w:fill="auto"/>
            <w:vAlign w:val="center"/>
          </w:tcPr>
          <w:p>
            <w:pPr>
              <w:jc w:val="center"/>
              <w:rPr>
                <w:rFonts w:ascii="仿宋" w:hAnsi="仿宋" w:eastAsia="仿宋"/>
                <w:bCs/>
                <w:szCs w:val="21"/>
              </w:rPr>
            </w:pPr>
            <w:r>
              <w:rPr>
                <w:rFonts w:ascii="仿宋" w:hAnsi="仿宋" w:eastAsia="仿宋"/>
                <w:bCs/>
                <w:szCs w:val="21"/>
              </w:rPr>
              <w:t>污染源位置</w:t>
            </w:r>
          </w:p>
        </w:tc>
        <w:tc>
          <w:tcPr>
            <w:tcW w:w="1136" w:type="dxa"/>
            <w:shd w:val="clear" w:color="auto" w:fill="auto"/>
            <w:vAlign w:val="center"/>
          </w:tcPr>
          <w:p>
            <w:pPr>
              <w:jc w:val="center"/>
              <w:rPr>
                <w:rFonts w:ascii="仿宋" w:hAnsi="仿宋" w:eastAsia="仿宋"/>
                <w:bCs/>
                <w:szCs w:val="21"/>
              </w:rPr>
            </w:pPr>
            <w:r>
              <w:rPr>
                <w:rFonts w:ascii="仿宋" w:hAnsi="仿宋" w:eastAsia="仿宋"/>
                <w:bCs/>
                <w:szCs w:val="21"/>
              </w:rPr>
              <w:t>污染物名称</w:t>
            </w:r>
          </w:p>
        </w:tc>
        <w:tc>
          <w:tcPr>
            <w:tcW w:w="1094" w:type="dxa"/>
            <w:vAlign w:val="center"/>
          </w:tcPr>
          <w:p>
            <w:pPr>
              <w:pStyle w:val="124"/>
              <w:spacing w:line="360" w:lineRule="exact"/>
              <w:rPr>
                <w:rFonts w:ascii="仿宋" w:hAnsi="仿宋" w:eastAsia="仿宋"/>
              </w:rPr>
            </w:pPr>
            <w:r>
              <w:rPr>
                <w:rFonts w:ascii="仿宋" w:hAnsi="仿宋" w:eastAsia="仿宋"/>
              </w:rPr>
              <w:t>污染物</w:t>
            </w:r>
            <w:r>
              <w:rPr>
                <w:rFonts w:hint="eastAsia" w:ascii="仿宋" w:hAnsi="仿宋" w:eastAsia="仿宋"/>
              </w:rPr>
              <w:t>排放</w:t>
            </w:r>
            <w:r>
              <w:rPr>
                <w:rFonts w:ascii="仿宋" w:hAnsi="仿宋" w:eastAsia="仿宋"/>
              </w:rPr>
              <w:t>速率（kg/h）</w:t>
            </w:r>
          </w:p>
        </w:tc>
        <w:tc>
          <w:tcPr>
            <w:tcW w:w="1365" w:type="dxa"/>
            <w:vAlign w:val="center"/>
          </w:tcPr>
          <w:p>
            <w:pPr>
              <w:jc w:val="center"/>
              <w:rPr>
                <w:rFonts w:ascii="仿宋" w:hAnsi="仿宋" w:eastAsia="仿宋"/>
                <w:bCs/>
                <w:szCs w:val="21"/>
              </w:rPr>
            </w:pPr>
            <w:r>
              <w:rPr>
                <w:rFonts w:ascii="仿宋" w:hAnsi="仿宋" w:eastAsia="仿宋"/>
                <w:bCs/>
                <w:szCs w:val="21"/>
              </w:rPr>
              <w:t>污染物</w:t>
            </w:r>
            <w:r>
              <w:rPr>
                <w:rFonts w:hint="eastAsia" w:ascii="仿宋" w:hAnsi="仿宋" w:eastAsia="仿宋"/>
                <w:bCs/>
                <w:szCs w:val="21"/>
              </w:rPr>
              <w:t>排放</w:t>
            </w:r>
            <w:r>
              <w:rPr>
                <w:rFonts w:ascii="仿宋" w:hAnsi="仿宋" w:eastAsia="仿宋"/>
                <w:bCs/>
                <w:szCs w:val="21"/>
              </w:rPr>
              <w:t>量（t/a）</w:t>
            </w:r>
          </w:p>
        </w:tc>
        <w:tc>
          <w:tcPr>
            <w:tcW w:w="1137" w:type="dxa"/>
            <w:shd w:val="clear" w:color="auto" w:fill="auto"/>
            <w:vAlign w:val="center"/>
          </w:tcPr>
          <w:p>
            <w:pPr>
              <w:jc w:val="center"/>
              <w:rPr>
                <w:rFonts w:ascii="仿宋" w:hAnsi="仿宋" w:eastAsia="仿宋"/>
                <w:bCs/>
                <w:szCs w:val="21"/>
              </w:rPr>
            </w:pPr>
            <w:r>
              <w:rPr>
                <w:rFonts w:ascii="仿宋" w:hAnsi="仿宋" w:eastAsia="仿宋"/>
                <w:bCs/>
                <w:szCs w:val="21"/>
              </w:rPr>
              <w:t>面源面积</w:t>
            </w:r>
          </w:p>
          <w:p>
            <w:pPr>
              <w:jc w:val="center"/>
              <w:rPr>
                <w:rFonts w:ascii="仿宋" w:hAnsi="仿宋" w:eastAsia="仿宋"/>
                <w:bCs/>
                <w:szCs w:val="21"/>
              </w:rPr>
            </w:pPr>
            <w:r>
              <w:rPr>
                <w:rFonts w:ascii="仿宋" w:hAnsi="仿宋" w:eastAsia="仿宋"/>
                <w:bCs/>
                <w:szCs w:val="21"/>
              </w:rPr>
              <w:t>（m</w:t>
            </w:r>
            <w:r>
              <w:rPr>
                <w:rFonts w:ascii="仿宋" w:hAnsi="仿宋" w:eastAsia="仿宋"/>
                <w:bCs/>
                <w:szCs w:val="21"/>
                <w:vertAlign w:val="superscript"/>
              </w:rPr>
              <w:t>2</w:t>
            </w:r>
            <w:r>
              <w:rPr>
                <w:rFonts w:ascii="仿宋" w:hAnsi="仿宋" w:eastAsia="仿宋"/>
                <w:bCs/>
                <w:szCs w:val="21"/>
              </w:rPr>
              <w:t>）</w:t>
            </w:r>
          </w:p>
        </w:tc>
        <w:tc>
          <w:tcPr>
            <w:tcW w:w="1255" w:type="dxa"/>
            <w:shd w:val="clear" w:color="auto" w:fill="auto"/>
            <w:vAlign w:val="center"/>
          </w:tcPr>
          <w:p>
            <w:pPr>
              <w:jc w:val="center"/>
              <w:rPr>
                <w:rFonts w:ascii="仿宋" w:hAnsi="仿宋" w:eastAsia="仿宋"/>
                <w:bCs/>
                <w:szCs w:val="21"/>
              </w:rPr>
            </w:pPr>
            <w:r>
              <w:rPr>
                <w:rFonts w:ascii="仿宋" w:hAnsi="仿宋" w:eastAsia="仿宋"/>
                <w:bCs/>
                <w:szCs w:val="21"/>
              </w:rPr>
              <w:t>面源高度</w:t>
            </w:r>
          </w:p>
          <w:p>
            <w:pPr>
              <w:jc w:val="center"/>
              <w:rPr>
                <w:rFonts w:ascii="仿宋" w:hAnsi="仿宋" w:eastAsia="仿宋"/>
                <w:bCs/>
                <w:szCs w:val="21"/>
              </w:rPr>
            </w:pPr>
            <w:r>
              <w:rPr>
                <w:rFonts w:ascii="仿宋" w:hAnsi="仿宋" w:eastAsia="仿宋"/>
                <w:bCs/>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2780" w:type="dxa"/>
            <w:vMerge w:val="restart"/>
            <w:shd w:val="clear" w:color="auto" w:fill="auto"/>
            <w:vAlign w:val="center"/>
          </w:tcPr>
          <w:p>
            <w:pPr>
              <w:jc w:val="center"/>
              <w:rPr>
                <w:rFonts w:ascii="仿宋" w:hAnsi="仿宋" w:eastAsia="仿宋"/>
                <w:bCs/>
                <w:szCs w:val="21"/>
              </w:rPr>
            </w:pPr>
            <w:r>
              <w:rPr>
                <w:rFonts w:hint="eastAsia" w:ascii="仿宋" w:hAnsi="仿宋" w:eastAsia="仿宋"/>
                <w:bCs/>
                <w:szCs w:val="21"/>
              </w:rPr>
              <w:t>配胶废气G1</w:t>
            </w:r>
          </w:p>
        </w:tc>
        <w:tc>
          <w:tcPr>
            <w:tcW w:w="764" w:type="dxa"/>
            <w:vMerge w:val="restart"/>
            <w:shd w:val="clear" w:color="auto" w:fill="auto"/>
            <w:vAlign w:val="center"/>
          </w:tcPr>
          <w:p>
            <w:pPr>
              <w:jc w:val="center"/>
              <w:rPr>
                <w:rFonts w:ascii="仿宋" w:hAnsi="仿宋" w:eastAsia="仿宋"/>
                <w:bCs/>
                <w:szCs w:val="21"/>
              </w:rPr>
            </w:pPr>
            <w:r>
              <w:rPr>
                <w:rFonts w:hint="eastAsia" w:ascii="仿宋" w:hAnsi="仿宋" w:eastAsia="仿宋"/>
                <w:bCs/>
                <w:szCs w:val="21"/>
              </w:rPr>
              <w:t>配胶间</w:t>
            </w:r>
          </w:p>
        </w:tc>
        <w:tc>
          <w:tcPr>
            <w:tcW w:w="1136" w:type="dxa"/>
            <w:shd w:val="clear" w:color="auto" w:fill="auto"/>
            <w:vAlign w:val="center"/>
          </w:tcPr>
          <w:p>
            <w:pPr>
              <w:jc w:val="center"/>
              <w:rPr>
                <w:rFonts w:ascii="仿宋" w:hAnsi="仿宋" w:eastAsia="仿宋"/>
                <w:bCs/>
                <w:szCs w:val="21"/>
              </w:rPr>
            </w:pPr>
            <w:r>
              <w:rPr>
                <w:rFonts w:hint="eastAsia" w:ascii="仿宋" w:hAnsi="仿宋" w:eastAsia="仿宋"/>
                <w:bCs/>
                <w:szCs w:val="21"/>
              </w:rPr>
              <w:t>非甲烷总烃</w:t>
            </w:r>
          </w:p>
        </w:tc>
        <w:tc>
          <w:tcPr>
            <w:tcW w:w="1094" w:type="dxa"/>
            <w:vAlign w:val="center"/>
          </w:tcPr>
          <w:p>
            <w:pPr>
              <w:pStyle w:val="124"/>
              <w:spacing w:line="360" w:lineRule="exact"/>
              <w:rPr>
                <w:rFonts w:ascii="仿宋" w:hAnsi="仿宋" w:eastAsia="仿宋"/>
              </w:rPr>
            </w:pPr>
            <w:r>
              <w:rPr>
                <w:rFonts w:hint="eastAsia" w:ascii="仿宋" w:hAnsi="仿宋" w:eastAsia="仿宋"/>
              </w:rPr>
              <w:t>0</w:t>
            </w:r>
            <w:r>
              <w:rPr>
                <w:rFonts w:ascii="仿宋" w:hAnsi="仿宋" w:eastAsia="仿宋"/>
              </w:rPr>
              <w:t>.16</w:t>
            </w:r>
          </w:p>
        </w:tc>
        <w:tc>
          <w:tcPr>
            <w:tcW w:w="1365" w:type="dxa"/>
            <w:vAlign w:val="center"/>
          </w:tcPr>
          <w:p>
            <w:pPr>
              <w:jc w:val="center"/>
              <w:rPr>
                <w:rFonts w:ascii="仿宋" w:hAnsi="仿宋" w:eastAsia="仿宋"/>
                <w:bCs/>
                <w:szCs w:val="21"/>
              </w:rPr>
            </w:pPr>
            <w:r>
              <w:rPr>
                <w:rFonts w:hint="eastAsia" w:ascii="仿宋" w:hAnsi="仿宋" w:eastAsia="仿宋"/>
                <w:bCs/>
                <w:szCs w:val="21"/>
              </w:rPr>
              <w:t>0.57</w:t>
            </w:r>
          </w:p>
        </w:tc>
        <w:tc>
          <w:tcPr>
            <w:tcW w:w="1137" w:type="dxa"/>
            <w:vMerge w:val="restart"/>
            <w:shd w:val="clear" w:color="auto" w:fill="auto"/>
            <w:vAlign w:val="center"/>
          </w:tcPr>
          <w:p>
            <w:pPr>
              <w:jc w:val="center"/>
              <w:rPr>
                <w:rFonts w:ascii="仿宋" w:hAnsi="仿宋" w:eastAsia="仿宋"/>
                <w:bCs/>
                <w:szCs w:val="21"/>
              </w:rPr>
            </w:pPr>
            <w:r>
              <w:rPr>
                <w:rFonts w:hint="eastAsia" w:ascii="仿宋" w:hAnsi="仿宋" w:eastAsia="仿宋"/>
                <w:bCs/>
                <w:szCs w:val="21"/>
              </w:rPr>
              <w:t>1</w:t>
            </w:r>
            <w:r>
              <w:rPr>
                <w:rFonts w:ascii="仿宋" w:hAnsi="仿宋" w:eastAsia="仿宋"/>
                <w:bCs/>
                <w:szCs w:val="21"/>
              </w:rPr>
              <w:t>08</w:t>
            </w:r>
          </w:p>
        </w:tc>
        <w:tc>
          <w:tcPr>
            <w:tcW w:w="1255" w:type="dxa"/>
            <w:vMerge w:val="restart"/>
            <w:shd w:val="clear" w:color="auto" w:fill="auto"/>
            <w:vAlign w:val="center"/>
          </w:tcPr>
          <w:p>
            <w:pPr>
              <w:jc w:val="center"/>
              <w:rPr>
                <w:rFonts w:ascii="仿宋" w:hAnsi="仿宋" w:eastAsia="仿宋"/>
                <w:bCs/>
                <w:szCs w:val="21"/>
              </w:rPr>
            </w:pPr>
            <w:r>
              <w:rPr>
                <w:rFonts w:hint="eastAsia" w:ascii="仿宋" w:hAnsi="仿宋" w:eastAsia="仿宋"/>
                <w:bCs/>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2780" w:type="dxa"/>
            <w:vMerge w:val="continue"/>
            <w:shd w:val="clear" w:color="auto" w:fill="auto"/>
            <w:vAlign w:val="center"/>
          </w:tcPr>
          <w:p>
            <w:pPr>
              <w:jc w:val="center"/>
              <w:rPr>
                <w:rFonts w:ascii="仿宋" w:hAnsi="仿宋" w:eastAsia="仿宋"/>
                <w:bCs/>
                <w:szCs w:val="21"/>
              </w:rPr>
            </w:pPr>
          </w:p>
        </w:tc>
        <w:tc>
          <w:tcPr>
            <w:tcW w:w="764" w:type="dxa"/>
            <w:vMerge w:val="continue"/>
            <w:shd w:val="clear" w:color="auto" w:fill="auto"/>
            <w:vAlign w:val="center"/>
          </w:tcPr>
          <w:p>
            <w:pPr>
              <w:jc w:val="center"/>
              <w:rPr>
                <w:rFonts w:ascii="仿宋" w:hAnsi="仿宋" w:eastAsia="仿宋"/>
                <w:bCs/>
                <w:szCs w:val="21"/>
              </w:rPr>
            </w:pPr>
          </w:p>
        </w:tc>
        <w:tc>
          <w:tcPr>
            <w:tcW w:w="1136" w:type="dxa"/>
            <w:shd w:val="clear" w:color="auto" w:fill="auto"/>
            <w:vAlign w:val="center"/>
          </w:tcPr>
          <w:p>
            <w:pPr>
              <w:jc w:val="center"/>
              <w:rPr>
                <w:rFonts w:ascii="仿宋" w:hAnsi="仿宋" w:eastAsia="仿宋"/>
                <w:bCs/>
                <w:szCs w:val="21"/>
              </w:rPr>
            </w:pPr>
            <w:r>
              <w:rPr>
                <w:rFonts w:hint="eastAsia" w:ascii="仿宋" w:hAnsi="仿宋" w:eastAsia="仿宋"/>
                <w:bCs/>
                <w:szCs w:val="21"/>
              </w:rPr>
              <w:t>二甲苯</w:t>
            </w:r>
          </w:p>
        </w:tc>
        <w:tc>
          <w:tcPr>
            <w:tcW w:w="1094" w:type="dxa"/>
            <w:vAlign w:val="center"/>
          </w:tcPr>
          <w:p>
            <w:pPr>
              <w:pStyle w:val="124"/>
              <w:spacing w:line="360" w:lineRule="exact"/>
              <w:rPr>
                <w:rFonts w:ascii="仿宋" w:hAnsi="仿宋" w:eastAsia="仿宋"/>
              </w:rPr>
            </w:pPr>
            <w:r>
              <w:rPr>
                <w:rFonts w:hint="eastAsia" w:ascii="仿宋" w:hAnsi="仿宋" w:eastAsia="仿宋"/>
              </w:rPr>
              <w:t>0</w:t>
            </w:r>
            <w:r>
              <w:rPr>
                <w:rFonts w:ascii="仿宋" w:hAnsi="仿宋" w:eastAsia="仿宋"/>
              </w:rPr>
              <w:t>.02</w:t>
            </w:r>
          </w:p>
        </w:tc>
        <w:tc>
          <w:tcPr>
            <w:tcW w:w="1365" w:type="dxa"/>
            <w:vAlign w:val="center"/>
          </w:tcPr>
          <w:p>
            <w:pPr>
              <w:jc w:val="center"/>
              <w:rPr>
                <w:rFonts w:ascii="仿宋" w:hAnsi="仿宋" w:eastAsia="仿宋"/>
                <w:bCs/>
                <w:szCs w:val="21"/>
              </w:rPr>
            </w:pPr>
            <w:r>
              <w:rPr>
                <w:rFonts w:hint="eastAsia" w:ascii="仿宋" w:hAnsi="仿宋" w:eastAsia="仿宋"/>
                <w:bCs/>
                <w:szCs w:val="21"/>
              </w:rPr>
              <w:t>0.06</w:t>
            </w:r>
          </w:p>
        </w:tc>
        <w:tc>
          <w:tcPr>
            <w:tcW w:w="1137" w:type="dxa"/>
            <w:vMerge w:val="continue"/>
            <w:shd w:val="clear" w:color="auto" w:fill="auto"/>
            <w:vAlign w:val="center"/>
          </w:tcPr>
          <w:p>
            <w:pPr>
              <w:jc w:val="center"/>
              <w:rPr>
                <w:rFonts w:ascii="仿宋" w:hAnsi="仿宋" w:eastAsia="仿宋"/>
                <w:bCs/>
                <w:szCs w:val="21"/>
              </w:rPr>
            </w:pPr>
          </w:p>
        </w:tc>
        <w:tc>
          <w:tcPr>
            <w:tcW w:w="1255" w:type="dxa"/>
            <w:vMerge w:val="continue"/>
            <w:shd w:val="clear" w:color="auto" w:fill="auto"/>
            <w:vAlign w:val="center"/>
          </w:tcPr>
          <w:p>
            <w:pPr>
              <w:jc w:val="center"/>
              <w:rPr>
                <w:rFonts w:ascii="仿宋" w:hAnsi="仿宋" w:eastAsia="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2780" w:type="dxa"/>
            <w:vMerge w:val="continue"/>
            <w:shd w:val="clear" w:color="auto" w:fill="auto"/>
            <w:vAlign w:val="center"/>
          </w:tcPr>
          <w:p>
            <w:pPr>
              <w:jc w:val="center"/>
              <w:rPr>
                <w:rFonts w:ascii="仿宋" w:hAnsi="仿宋" w:eastAsia="仿宋"/>
                <w:bCs/>
                <w:szCs w:val="21"/>
              </w:rPr>
            </w:pPr>
          </w:p>
        </w:tc>
        <w:tc>
          <w:tcPr>
            <w:tcW w:w="764" w:type="dxa"/>
            <w:vMerge w:val="continue"/>
            <w:shd w:val="clear" w:color="auto" w:fill="auto"/>
            <w:vAlign w:val="center"/>
          </w:tcPr>
          <w:p>
            <w:pPr>
              <w:jc w:val="center"/>
              <w:rPr>
                <w:rFonts w:ascii="仿宋" w:hAnsi="仿宋" w:eastAsia="仿宋"/>
                <w:bCs/>
                <w:szCs w:val="21"/>
              </w:rPr>
            </w:pPr>
          </w:p>
        </w:tc>
        <w:tc>
          <w:tcPr>
            <w:tcW w:w="1136" w:type="dxa"/>
            <w:shd w:val="clear" w:color="auto" w:fill="auto"/>
            <w:vAlign w:val="center"/>
          </w:tcPr>
          <w:p>
            <w:pPr>
              <w:jc w:val="center"/>
              <w:rPr>
                <w:rFonts w:ascii="仿宋" w:hAnsi="仿宋" w:eastAsia="仿宋"/>
                <w:bCs/>
                <w:szCs w:val="21"/>
              </w:rPr>
            </w:pPr>
            <w:r>
              <w:rPr>
                <w:rFonts w:hint="eastAsia" w:ascii="仿宋" w:hAnsi="仿宋" w:eastAsia="仿宋"/>
                <w:bCs/>
                <w:szCs w:val="21"/>
              </w:rPr>
              <w:t>乙酸乙酯</w:t>
            </w:r>
          </w:p>
        </w:tc>
        <w:tc>
          <w:tcPr>
            <w:tcW w:w="1094" w:type="dxa"/>
            <w:vAlign w:val="center"/>
          </w:tcPr>
          <w:p>
            <w:pPr>
              <w:pStyle w:val="124"/>
              <w:spacing w:line="360" w:lineRule="exact"/>
              <w:rPr>
                <w:rFonts w:ascii="仿宋" w:hAnsi="仿宋" w:eastAsia="仿宋"/>
              </w:rPr>
            </w:pPr>
            <w:r>
              <w:rPr>
                <w:rFonts w:hint="eastAsia" w:ascii="仿宋" w:hAnsi="仿宋" w:eastAsia="仿宋"/>
              </w:rPr>
              <w:t>0</w:t>
            </w:r>
            <w:r>
              <w:rPr>
                <w:rFonts w:ascii="仿宋" w:hAnsi="仿宋" w:eastAsia="仿宋"/>
              </w:rPr>
              <w:t>.14</w:t>
            </w:r>
          </w:p>
        </w:tc>
        <w:tc>
          <w:tcPr>
            <w:tcW w:w="1365" w:type="dxa"/>
            <w:vAlign w:val="center"/>
          </w:tcPr>
          <w:p>
            <w:pPr>
              <w:jc w:val="center"/>
              <w:rPr>
                <w:rFonts w:ascii="仿宋" w:hAnsi="仿宋" w:eastAsia="仿宋"/>
                <w:bCs/>
                <w:szCs w:val="21"/>
              </w:rPr>
            </w:pPr>
            <w:r>
              <w:rPr>
                <w:rFonts w:hint="eastAsia" w:ascii="仿宋" w:hAnsi="仿宋" w:eastAsia="仿宋"/>
                <w:bCs/>
                <w:szCs w:val="21"/>
              </w:rPr>
              <w:t>0.5</w:t>
            </w:r>
          </w:p>
        </w:tc>
        <w:tc>
          <w:tcPr>
            <w:tcW w:w="1137" w:type="dxa"/>
            <w:vMerge w:val="continue"/>
            <w:shd w:val="clear" w:color="auto" w:fill="auto"/>
            <w:vAlign w:val="center"/>
          </w:tcPr>
          <w:p>
            <w:pPr>
              <w:jc w:val="center"/>
              <w:rPr>
                <w:rFonts w:ascii="仿宋" w:hAnsi="仿宋" w:eastAsia="仿宋"/>
                <w:bCs/>
                <w:szCs w:val="21"/>
              </w:rPr>
            </w:pPr>
          </w:p>
        </w:tc>
        <w:tc>
          <w:tcPr>
            <w:tcW w:w="1255" w:type="dxa"/>
            <w:vMerge w:val="continue"/>
            <w:shd w:val="clear" w:color="auto" w:fill="auto"/>
            <w:vAlign w:val="center"/>
          </w:tcPr>
          <w:p>
            <w:pPr>
              <w:jc w:val="center"/>
              <w:rPr>
                <w:rFonts w:ascii="仿宋" w:hAnsi="仿宋" w:eastAsia="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2780" w:type="dxa"/>
            <w:vMerge w:val="restart"/>
            <w:shd w:val="clear" w:color="auto" w:fill="auto"/>
            <w:vAlign w:val="center"/>
          </w:tcPr>
          <w:p>
            <w:pPr>
              <w:jc w:val="center"/>
              <w:rPr>
                <w:rFonts w:ascii="仿宋" w:hAnsi="仿宋" w:eastAsia="仿宋"/>
                <w:bCs/>
                <w:szCs w:val="21"/>
              </w:rPr>
            </w:pPr>
            <w:r>
              <w:rPr>
                <w:rFonts w:hint="eastAsia" w:ascii="仿宋" w:hAnsi="仿宋" w:eastAsia="仿宋"/>
                <w:bCs/>
                <w:szCs w:val="21"/>
              </w:rPr>
              <w:t>涂布干燥废气G2、清洗废气G3</w:t>
            </w:r>
          </w:p>
        </w:tc>
        <w:tc>
          <w:tcPr>
            <w:tcW w:w="764" w:type="dxa"/>
            <w:vMerge w:val="restart"/>
            <w:shd w:val="clear" w:color="auto" w:fill="auto"/>
            <w:vAlign w:val="center"/>
          </w:tcPr>
          <w:p>
            <w:pPr>
              <w:jc w:val="center"/>
              <w:rPr>
                <w:rFonts w:ascii="仿宋" w:hAnsi="仿宋" w:eastAsia="仿宋"/>
                <w:bCs/>
                <w:szCs w:val="21"/>
              </w:rPr>
            </w:pPr>
            <w:r>
              <w:rPr>
                <w:rFonts w:hint="eastAsia" w:ascii="仿宋" w:hAnsi="仿宋" w:eastAsia="仿宋"/>
                <w:bCs/>
                <w:szCs w:val="21"/>
              </w:rPr>
              <w:t>涂布干燥间</w:t>
            </w:r>
          </w:p>
        </w:tc>
        <w:tc>
          <w:tcPr>
            <w:tcW w:w="1136" w:type="dxa"/>
            <w:shd w:val="clear" w:color="auto" w:fill="auto"/>
            <w:vAlign w:val="center"/>
          </w:tcPr>
          <w:p>
            <w:pPr>
              <w:jc w:val="center"/>
              <w:rPr>
                <w:rFonts w:ascii="仿宋" w:hAnsi="仿宋" w:eastAsia="仿宋"/>
                <w:bCs/>
                <w:szCs w:val="21"/>
              </w:rPr>
            </w:pPr>
            <w:r>
              <w:rPr>
                <w:rFonts w:hint="eastAsia" w:ascii="仿宋" w:hAnsi="仿宋" w:eastAsia="仿宋"/>
                <w:bCs/>
                <w:szCs w:val="21"/>
              </w:rPr>
              <w:t>非甲烷总烃</w:t>
            </w:r>
          </w:p>
        </w:tc>
        <w:tc>
          <w:tcPr>
            <w:tcW w:w="1094" w:type="dxa"/>
            <w:vAlign w:val="center"/>
          </w:tcPr>
          <w:p>
            <w:pPr>
              <w:pStyle w:val="124"/>
              <w:spacing w:line="360" w:lineRule="exact"/>
              <w:rPr>
                <w:rFonts w:ascii="仿宋" w:hAnsi="仿宋" w:eastAsia="仿宋"/>
              </w:rPr>
            </w:pPr>
            <w:r>
              <w:rPr>
                <w:rFonts w:ascii="仿宋" w:hAnsi="仿宋" w:eastAsia="仿宋"/>
              </w:rPr>
              <w:t>0.185</w:t>
            </w:r>
          </w:p>
        </w:tc>
        <w:tc>
          <w:tcPr>
            <w:tcW w:w="1365" w:type="dxa"/>
            <w:vAlign w:val="center"/>
          </w:tcPr>
          <w:p>
            <w:pPr>
              <w:jc w:val="center"/>
              <w:rPr>
                <w:rFonts w:ascii="仿宋" w:hAnsi="仿宋" w:eastAsia="仿宋"/>
                <w:bCs/>
                <w:szCs w:val="21"/>
              </w:rPr>
            </w:pPr>
            <w:r>
              <w:rPr>
                <w:rFonts w:hint="eastAsia" w:ascii="仿宋" w:hAnsi="仿宋" w:eastAsia="仿宋"/>
                <w:bCs/>
                <w:szCs w:val="21"/>
              </w:rPr>
              <w:t>1.34</w:t>
            </w:r>
          </w:p>
        </w:tc>
        <w:tc>
          <w:tcPr>
            <w:tcW w:w="1137" w:type="dxa"/>
            <w:vMerge w:val="restart"/>
            <w:shd w:val="clear" w:color="auto" w:fill="auto"/>
            <w:vAlign w:val="center"/>
          </w:tcPr>
          <w:p>
            <w:pPr>
              <w:jc w:val="center"/>
              <w:rPr>
                <w:rFonts w:ascii="仿宋" w:hAnsi="仿宋" w:eastAsia="仿宋"/>
                <w:bCs/>
                <w:szCs w:val="21"/>
              </w:rPr>
            </w:pPr>
            <w:r>
              <w:rPr>
                <w:rFonts w:hint="eastAsia" w:ascii="仿宋" w:hAnsi="仿宋" w:eastAsia="仿宋"/>
                <w:bCs/>
                <w:szCs w:val="21"/>
              </w:rPr>
              <w:t>1</w:t>
            </w:r>
            <w:r>
              <w:rPr>
                <w:rFonts w:ascii="仿宋" w:hAnsi="仿宋" w:eastAsia="仿宋"/>
                <w:bCs/>
                <w:szCs w:val="21"/>
              </w:rPr>
              <w:t>040</w:t>
            </w:r>
          </w:p>
        </w:tc>
        <w:tc>
          <w:tcPr>
            <w:tcW w:w="1255" w:type="dxa"/>
            <w:vMerge w:val="continue"/>
            <w:shd w:val="clear" w:color="auto" w:fill="auto"/>
            <w:vAlign w:val="center"/>
          </w:tcPr>
          <w:p>
            <w:pPr>
              <w:jc w:val="center"/>
              <w:rPr>
                <w:rFonts w:ascii="仿宋" w:hAnsi="仿宋" w:eastAsia="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2780" w:type="dxa"/>
            <w:vMerge w:val="continue"/>
            <w:shd w:val="clear" w:color="auto" w:fill="auto"/>
            <w:vAlign w:val="center"/>
          </w:tcPr>
          <w:p>
            <w:pPr>
              <w:jc w:val="center"/>
              <w:rPr>
                <w:rFonts w:ascii="仿宋" w:hAnsi="仿宋" w:eastAsia="仿宋"/>
                <w:bCs/>
                <w:szCs w:val="21"/>
              </w:rPr>
            </w:pPr>
          </w:p>
        </w:tc>
        <w:tc>
          <w:tcPr>
            <w:tcW w:w="764" w:type="dxa"/>
            <w:vMerge w:val="continue"/>
            <w:shd w:val="clear" w:color="auto" w:fill="auto"/>
            <w:vAlign w:val="center"/>
          </w:tcPr>
          <w:p>
            <w:pPr>
              <w:jc w:val="center"/>
              <w:rPr>
                <w:rFonts w:ascii="仿宋" w:hAnsi="仿宋" w:eastAsia="仿宋"/>
                <w:bCs/>
                <w:szCs w:val="21"/>
              </w:rPr>
            </w:pPr>
          </w:p>
        </w:tc>
        <w:tc>
          <w:tcPr>
            <w:tcW w:w="1136" w:type="dxa"/>
            <w:shd w:val="clear" w:color="auto" w:fill="auto"/>
            <w:vAlign w:val="center"/>
          </w:tcPr>
          <w:p>
            <w:pPr>
              <w:jc w:val="center"/>
              <w:rPr>
                <w:rFonts w:ascii="仿宋" w:hAnsi="仿宋" w:eastAsia="仿宋"/>
                <w:bCs/>
                <w:szCs w:val="21"/>
              </w:rPr>
            </w:pPr>
            <w:r>
              <w:rPr>
                <w:rFonts w:hint="eastAsia" w:ascii="仿宋" w:hAnsi="仿宋" w:eastAsia="仿宋"/>
                <w:bCs/>
                <w:szCs w:val="21"/>
              </w:rPr>
              <w:t>二甲苯</w:t>
            </w:r>
          </w:p>
        </w:tc>
        <w:tc>
          <w:tcPr>
            <w:tcW w:w="1094" w:type="dxa"/>
            <w:vAlign w:val="center"/>
          </w:tcPr>
          <w:p>
            <w:pPr>
              <w:pStyle w:val="124"/>
              <w:spacing w:line="360" w:lineRule="exact"/>
              <w:rPr>
                <w:rFonts w:ascii="仿宋" w:hAnsi="仿宋" w:eastAsia="仿宋"/>
              </w:rPr>
            </w:pPr>
            <w:r>
              <w:rPr>
                <w:rFonts w:hint="eastAsia" w:ascii="仿宋" w:hAnsi="仿宋" w:eastAsia="仿宋"/>
              </w:rPr>
              <w:t>0</w:t>
            </w:r>
            <w:r>
              <w:rPr>
                <w:rFonts w:ascii="仿宋" w:hAnsi="仿宋" w:eastAsia="仿宋"/>
              </w:rPr>
              <w:t>.018</w:t>
            </w:r>
          </w:p>
        </w:tc>
        <w:tc>
          <w:tcPr>
            <w:tcW w:w="1365" w:type="dxa"/>
            <w:vAlign w:val="center"/>
          </w:tcPr>
          <w:p>
            <w:pPr>
              <w:jc w:val="center"/>
              <w:rPr>
                <w:rFonts w:ascii="仿宋" w:hAnsi="仿宋" w:eastAsia="仿宋"/>
                <w:bCs/>
                <w:szCs w:val="21"/>
              </w:rPr>
            </w:pPr>
            <w:r>
              <w:rPr>
                <w:rFonts w:hint="eastAsia" w:ascii="仿宋" w:hAnsi="仿宋" w:eastAsia="仿宋"/>
                <w:bCs/>
                <w:szCs w:val="21"/>
              </w:rPr>
              <w:t>0.13</w:t>
            </w:r>
          </w:p>
        </w:tc>
        <w:tc>
          <w:tcPr>
            <w:tcW w:w="1137" w:type="dxa"/>
            <w:vMerge w:val="continue"/>
            <w:shd w:val="clear" w:color="auto" w:fill="auto"/>
            <w:vAlign w:val="center"/>
          </w:tcPr>
          <w:p>
            <w:pPr>
              <w:jc w:val="center"/>
              <w:rPr>
                <w:rFonts w:ascii="仿宋" w:hAnsi="仿宋" w:eastAsia="仿宋"/>
                <w:bCs/>
                <w:szCs w:val="21"/>
              </w:rPr>
            </w:pPr>
          </w:p>
        </w:tc>
        <w:tc>
          <w:tcPr>
            <w:tcW w:w="1255" w:type="dxa"/>
            <w:vMerge w:val="continue"/>
            <w:shd w:val="clear" w:color="auto" w:fill="auto"/>
            <w:vAlign w:val="center"/>
          </w:tcPr>
          <w:p>
            <w:pPr>
              <w:jc w:val="center"/>
              <w:rPr>
                <w:rFonts w:ascii="仿宋" w:hAnsi="仿宋" w:eastAsia="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780" w:type="dxa"/>
            <w:vMerge w:val="continue"/>
            <w:shd w:val="clear" w:color="auto" w:fill="auto"/>
            <w:vAlign w:val="center"/>
          </w:tcPr>
          <w:p>
            <w:pPr>
              <w:jc w:val="center"/>
              <w:rPr>
                <w:rFonts w:ascii="仿宋" w:hAnsi="仿宋" w:eastAsia="仿宋"/>
                <w:bCs/>
                <w:szCs w:val="21"/>
              </w:rPr>
            </w:pPr>
          </w:p>
        </w:tc>
        <w:tc>
          <w:tcPr>
            <w:tcW w:w="764" w:type="dxa"/>
            <w:vMerge w:val="continue"/>
            <w:shd w:val="clear" w:color="auto" w:fill="auto"/>
            <w:vAlign w:val="center"/>
          </w:tcPr>
          <w:p>
            <w:pPr>
              <w:jc w:val="center"/>
              <w:rPr>
                <w:rFonts w:ascii="仿宋" w:hAnsi="仿宋" w:eastAsia="仿宋"/>
                <w:bCs/>
                <w:szCs w:val="21"/>
              </w:rPr>
            </w:pPr>
          </w:p>
        </w:tc>
        <w:tc>
          <w:tcPr>
            <w:tcW w:w="1136" w:type="dxa"/>
            <w:shd w:val="clear" w:color="auto" w:fill="auto"/>
            <w:vAlign w:val="center"/>
          </w:tcPr>
          <w:p>
            <w:pPr>
              <w:jc w:val="center"/>
              <w:rPr>
                <w:rFonts w:ascii="仿宋" w:hAnsi="仿宋" w:eastAsia="仿宋"/>
                <w:bCs/>
                <w:szCs w:val="21"/>
              </w:rPr>
            </w:pPr>
            <w:r>
              <w:rPr>
                <w:rFonts w:hint="eastAsia" w:ascii="仿宋" w:hAnsi="仿宋" w:eastAsia="仿宋"/>
                <w:bCs/>
                <w:szCs w:val="21"/>
              </w:rPr>
              <w:t>乙酸乙酯</w:t>
            </w:r>
          </w:p>
        </w:tc>
        <w:tc>
          <w:tcPr>
            <w:tcW w:w="1094" w:type="dxa"/>
            <w:vAlign w:val="center"/>
          </w:tcPr>
          <w:p>
            <w:pPr>
              <w:pStyle w:val="124"/>
              <w:spacing w:line="360" w:lineRule="exact"/>
              <w:rPr>
                <w:rFonts w:ascii="仿宋" w:hAnsi="仿宋" w:eastAsia="仿宋"/>
              </w:rPr>
            </w:pPr>
            <w:r>
              <w:rPr>
                <w:rFonts w:hint="eastAsia" w:ascii="仿宋" w:hAnsi="仿宋" w:eastAsia="仿宋"/>
              </w:rPr>
              <w:t>0</w:t>
            </w:r>
            <w:r>
              <w:rPr>
                <w:rFonts w:ascii="仿宋" w:hAnsi="仿宋" w:eastAsia="仿宋"/>
              </w:rPr>
              <w:t>.165</w:t>
            </w:r>
          </w:p>
        </w:tc>
        <w:tc>
          <w:tcPr>
            <w:tcW w:w="1365" w:type="dxa"/>
            <w:vAlign w:val="center"/>
          </w:tcPr>
          <w:p>
            <w:pPr>
              <w:jc w:val="center"/>
              <w:rPr>
                <w:rFonts w:ascii="仿宋" w:hAnsi="仿宋" w:eastAsia="仿宋"/>
                <w:bCs/>
                <w:szCs w:val="21"/>
              </w:rPr>
            </w:pPr>
            <w:r>
              <w:rPr>
                <w:rFonts w:hint="eastAsia" w:ascii="仿宋" w:hAnsi="仿宋" w:eastAsia="仿宋"/>
                <w:bCs/>
                <w:szCs w:val="21"/>
              </w:rPr>
              <w:t>1.16</w:t>
            </w:r>
          </w:p>
        </w:tc>
        <w:tc>
          <w:tcPr>
            <w:tcW w:w="1137" w:type="dxa"/>
            <w:vMerge w:val="continue"/>
            <w:shd w:val="clear" w:color="auto" w:fill="auto"/>
            <w:vAlign w:val="center"/>
          </w:tcPr>
          <w:p>
            <w:pPr>
              <w:widowControl/>
              <w:jc w:val="center"/>
              <w:rPr>
                <w:rFonts w:eastAsia="仿宋_GB2312"/>
                <w:kern w:val="0"/>
                <w:szCs w:val="21"/>
              </w:rPr>
            </w:pPr>
          </w:p>
        </w:tc>
        <w:tc>
          <w:tcPr>
            <w:tcW w:w="1255" w:type="dxa"/>
            <w:vMerge w:val="continue"/>
            <w:shd w:val="clear" w:color="auto" w:fill="auto"/>
            <w:vAlign w:val="center"/>
          </w:tcPr>
          <w:p>
            <w:pPr>
              <w:widowControl/>
              <w:jc w:val="center"/>
              <w:rPr>
                <w:rFonts w:eastAsia="仿宋_GB2312"/>
                <w:kern w:val="0"/>
                <w:szCs w:val="21"/>
              </w:rPr>
            </w:pPr>
          </w:p>
        </w:tc>
      </w:tr>
    </w:tbl>
    <w:p>
      <w:pPr>
        <w:adjustRightInd w:val="0"/>
        <w:snapToGrid w:val="0"/>
        <w:spacing w:line="320" w:lineRule="exact"/>
        <w:ind w:firstLine="422" w:firstLineChars="200"/>
        <w:rPr>
          <w:rFonts w:eastAsia="仿宋_GB2312"/>
          <w:b/>
          <w:sz w:val="24"/>
        </w:rPr>
      </w:pPr>
      <w:r>
        <w:rPr>
          <w:rFonts w:hint="eastAsia" w:eastAsia="仿宋_GB2312"/>
          <w:b/>
          <w:szCs w:val="21"/>
        </w:rPr>
        <w:t>注</w:t>
      </w:r>
      <w:r>
        <w:rPr>
          <w:rFonts w:eastAsia="仿宋_GB2312"/>
          <w:b/>
          <w:szCs w:val="21"/>
        </w:rPr>
        <w:t>：</w:t>
      </w:r>
      <w:r>
        <w:rPr>
          <w:rFonts w:hint="eastAsia" w:eastAsia="仿宋_GB2312"/>
          <w:b/>
          <w:bCs/>
          <w:szCs w:val="21"/>
        </w:rPr>
        <w:t>非甲烷总烃</w:t>
      </w:r>
      <w:r>
        <w:rPr>
          <w:rFonts w:eastAsia="仿宋_GB2312"/>
          <w:b/>
          <w:bCs/>
          <w:szCs w:val="21"/>
        </w:rPr>
        <w:t>包含乙酸乙酯、</w:t>
      </w:r>
      <w:r>
        <w:rPr>
          <w:rFonts w:hint="eastAsia" w:eastAsia="仿宋_GB2312"/>
          <w:b/>
          <w:bCs/>
          <w:szCs w:val="21"/>
        </w:rPr>
        <w:t>二</w:t>
      </w:r>
      <w:r>
        <w:rPr>
          <w:rFonts w:eastAsia="仿宋_GB2312"/>
          <w:b/>
          <w:bCs/>
          <w:szCs w:val="21"/>
        </w:rPr>
        <w:t>甲苯</w:t>
      </w:r>
      <w:r>
        <w:rPr>
          <w:rFonts w:hint="eastAsia" w:eastAsia="仿宋_GB2312"/>
          <w:b/>
          <w:bCs/>
          <w:szCs w:val="21"/>
        </w:rPr>
        <w:t>、乙醇</w:t>
      </w:r>
      <w:r>
        <w:rPr>
          <w:rFonts w:eastAsia="仿宋_GB2312"/>
          <w:b/>
          <w:bCs/>
          <w:szCs w:val="21"/>
        </w:rPr>
        <w:t>等有机</w:t>
      </w:r>
      <w:r>
        <w:rPr>
          <w:rFonts w:hint="eastAsia" w:eastAsia="仿宋_GB2312"/>
          <w:b/>
          <w:bCs/>
          <w:szCs w:val="21"/>
        </w:rPr>
        <w:t>废气</w:t>
      </w:r>
      <w:r>
        <w:rPr>
          <w:rFonts w:eastAsia="仿宋_GB2312"/>
          <w:b/>
          <w:bCs/>
          <w:szCs w:val="21"/>
        </w:rPr>
        <w:t>。</w:t>
      </w:r>
    </w:p>
    <w:p>
      <w:pPr>
        <w:tabs>
          <w:tab w:val="left" w:pos="720"/>
          <w:tab w:val="center" w:pos="4306"/>
        </w:tabs>
        <w:spacing w:line="500" w:lineRule="exact"/>
        <w:jc w:val="left"/>
        <w:rPr>
          <w:rFonts w:eastAsia="仿宋_GB2312"/>
          <w:b/>
          <w:sz w:val="24"/>
        </w:rPr>
      </w:pPr>
      <w:r>
        <w:rPr>
          <w:rFonts w:eastAsia="仿宋_GB2312"/>
          <w:b/>
          <w:sz w:val="24"/>
        </w:rPr>
        <w:tab/>
      </w:r>
    </w:p>
    <w:p>
      <w:pPr>
        <w:rPr>
          <w:rFonts w:eastAsia="仿宋_GB2312"/>
          <w:sz w:val="24"/>
        </w:rPr>
        <w:sectPr>
          <w:pgSz w:w="11906" w:h="16838"/>
          <w:pgMar w:top="1843" w:right="1616" w:bottom="1440" w:left="1678" w:header="1191" w:footer="992" w:gutter="0"/>
          <w:cols w:space="425" w:num="1"/>
          <w:docGrid w:linePitch="312" w:charSpace="0"/>
        </w:sectPr>
      </w:pPr>
    </w:p>
    <w:p>
      <w:pPr>
        <w:spacing w:line="500" w:lineRule="exact"/>
        <w:jc w:val="center"/>
        <w:rPr>
          <w:rFonts w:eastAsia="仿宋_GB2312"/>
          <w:b/>
          <w:sz w:val="24"/>
        </w:rPr>
      </w:pPr>
      <w:r>
        <w:rPr>
          <w:rFonts w:eastAsia="仿宋_GB2312"/>
          <w:b/>
          <w:sz w:val="24"/>
        </w:rPr>
        <w:t>表8.2-4  本项目建成后固废产排情况汇总表</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2"/>
        <w:gridCol w:w="1303"/>
        <w:gridCol w:w="891"/>
        <w:gridCol w:w="932"/>
        <w:gridCol w:w="692"/>
        <w:gridCol w:w="459"/>
        <w:gridCol w:w="1320"/>
        <w:gridCol w:w="719"/>
        <w:gridCol w:w="590"/>
        <w:gridCol w:w="887"/>
        <w:gridCol w:w="393"/>
        <w:gridCol w:w="939"/>
        <w:gridCol w:w="887"/>
        <w:gridCol w:w="1052"/>
        <w:gridCol w:w="1052"/>
        <w:gridCol w:w="1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222" w:type="pct"/>
            <w:vAlign w:val="center"/>
          </w:tcPr>
          <w:p>
            <w:pPr>
              <w:widowControl/>
              <w:jc w:val="center"/>
              <w:rPr>
                <w:rFonts w:ascii="仿宋" w:hAnsi="仿宋" w:eastAsia="仿宋"/>
                <w:kern w:val="0"/>
                <w:szCs w:val="21"/>
              </w:rPr>
            </w:pPr>
            <w:r>
              <w:rPr>
                <w:rFonts w:hint="eastAsia" w:ascii="仿宋" w:hAnsi="仿宋" w:eastAsia="仿宋"/>
                <w:kern w:val="0"/>
                <w:szCs w:val="21"/>
              </w:rPr>
              <w:t>序号</w:t>
            </w:r>
          </w:p>
        </w:tc>
        <w:tc>
          <w:tcPr>
            <w:tcW w:w="473" w:type="pct"/>
            <w:vAlign w:val="center"/>
          </w:tcPr>
          <w:p>
            <w:pPr>
              <w:widowControl/>
              <w:jc w:val="center"/>
              <w:rPr>
                <w:rFonts w:ascii="仿宋" w:hAnsi="仿宋" w:eastAsia="仿宋"/>
                <w:kern w:val="0"/>
                <w:szCs w:val="21"/>
              </w:rPr>
            </w:pPr>
            <w:r>
              <w:rPr>
                <w:rFonts w:ascii="仿宋" w:hAnsi="仿宋" w:eastAsia="仿宋"/>
                <w:kern w:val="0"/>
                <w:szCs w:val="21"/>
              </w:rPr>
              <w:t>编号</w:t>
            </w:r>
          </w:p>
        </w:tc>
        <w:tc>
          <w:tcPr>
            <w:tcW w:w="323" w:type="pct"/>
            <w:tcMar>
              <w:left w:w="0" w:type="dxa"/>
              <w:right w:w="0" w:type="dxa"/>
            </w:tcMar>
            <w:vAlign w:val="center"/>
          </w:tcPr>
          <w:p>
            <w:pPr>
              <w:widowControl/>
              <w:jc w:val="center"/>
              <w:rPr>
                <w:rFonts w:ascii="仿宋" w:hAnsi="仿宋" w:eastAsia="仿宋"/>
                <w:kern w:val="0"/>
                <w:szCs w:val="21"/>
              </w:rPr>
            </w:pPr>
            <w:r>
              <w:rPr>
                <w:rFonts w:ascii="仿宋" w:hAnsi="仿宋" w:eastAsia="仿宋"/>
                <w:kern w:val="0"/>
                <w:szCs w:val="21"/>
              </w:rPr>
              <w:t>固废名称</w:t>
            </w:r>
          </w:p>
        </w:tc>
        <w:tc>
          <w:tcPr>
            <w:tcW w:w="338" w:type="pct"/>
            <w:tcMar>
              <w:left w:w="0" w:type="dxa"/>
              <w:right w:w="0" w:type="dxa"/>
            </w:tcMar>
            <w:vAlign w:val="center"/>
          </w:tcPr>
          <w:p>
            <w:pPr>
              <w:widowControl/>
              <w:jc w:val="center"/>
              <w:rPr>
                <w:rFonts w:ascii="仿宋" w:hAnsi="仿宋" w:eastAsia="仿宋"/>
                <w:kern w:val="0"/>
                <w:szCs w:val="21"/>
              </w:rPr>
            </w:pPr>
            <w:r>
              <w:rPr>
                <w:rFonts w:ascii="仿宋" w:hAnsi="仿宋" w:eastAsia="仿宋"/>
                <w:kern w:val="0"/>
                <w:szCs w:val="21"/>
              </w:rPr>
              <w:t>属性</w:t>
            </w:r>
          </w:p>
        </w:tc>
        <w:tc>
          <w:tcPr>
            <w:tcW w:w="251" w:type="pct"/>
            <w:tcMar>
              <w:left w:w="0" w:type="dxa"/>
              <w:right w:w="0" w:type="dxa"/>
            </w:tcMar>
            <w:vAlign w:val="center"/>
          </w:tcPr>
          <w:p>
            <w:pPr>
              <w:widowControl/>
              <w:jc w:val="center"/>
              <w:rPr>
                <w:rFonts w:ascii="仿宋" w:hAnsi="仿宋" w:eastAsia="仿宋"/>
                <w:kern w:val="0"/>
                <w:szCs w:val="21"/>
              </w:rPr>
            </w:pPr>
            <w:r>
              <w:rPr>
                <w:rFonts w:ascii="仿宋" w:hAnsi="仿宋" w:eastAsia="仿宋"/>
                <w:kern w:val="0"/>
                <w:szCs w:val="21"/>
              </w:rPr>
              <w:t>产生工序</w:t>
            </w:r>
          </w:p>
        </w:tc>
        <w:tc>
          <w:tcPr>
            <w:tcW w:w="166" w:type="pct"/>
            <w:tcMar>
              <w:left w:w="0" w:type="dxa"/>
              <w:right w:w="0" w:type="dxa"/>
            </w:tcMar>
            <w:vAlign w:val="center"/>
          </w:tcPr>
          <w:p>
            <w:pPr>
              <w:widowControl/>
              <w:jc w:val="center"/>
              <w:rPr>
                <w:rFonts w:ascii="仿宋" w:hAnsi="仿宋" w:eastAsia="仿宋"/>
                <w:kern w:val="0"/>
                <w:szCs w:val="21"/>
              </w:rPr>
            </w:pPr>
            <w:r>
              <w:rPr>
                <w:rFonts w:ascii="仿宋" w:hAnsi="仿宋" w:eastAsia="仿宋"/>
                <w:kern w:val="0"/>
                <w:szCs w:val="21"/>
              </w:rPr>
              <w:t>形态</w:t>
            </w:r>
          </w:p>
        </w:tc>
        <w:tc>
          <w:tcPr>
            <w:tcW w:w="479" w:type="pct"/>
            <w:tcMar>
              <w:left w:w="0" w:type="dxa"/>
              <w:right w:w="0" w:type="dxa"/>
            </w:tcMar>
            <w:vAlign w:val="center"/>
          </w:tcPr>
          <w:p>
            <w:pPr>
              <w:widowControl/>
              <w:jc w:val="center"/>
              <w:rPr>
                <w:rFonts w:ascii="仿宋" w:hAnsi="仿宋" w:eastAsia="仿宋"/>
                <w:kern w:val="0"/>
                <w:szCs w:val="21"/>
              </w:rPr>
            </w:pPr>
            <w:r>
              <w:rPr>
                <w:rFonts w:ascii="仿宋" w:hAnsi="仿宋" w:eastAsia="仿宋"/>
                <w:kern w:val="0"/>
                <w:szCs w:val="21"/>
              </w:rPr>
              <w:t>主要成分</w:t>
            </w:r>
          </w:p>
        </w:tc>
        <w:tc>
          <w:tcPr>
            <w:tcW w:w="261" w:type="pct"/>
            <w:tcMar>
              <w:left w:w="0" w:type="dxa"/>
              <w:right w:w="0" w:type="dxa"/>
            </w:tcMar>
            <w:vAlign w:val="center"/>
          </w:tcPr>
          <w:p>
            <w:pPr>
              <w:widowControl/>
              <w:jc w:val="center"/>
              <w:rPr>
                <w:rFonts w:ascii="仿宋" w:hAnsi="仿宋" w:eastAsia="仿宋"/>
                <w:kern w:val="0"/>
                <w:szCs w:val="21"/>
              </w:rPr>
            </w:pPr>
            <w:r>
              <w:rPr>
                <w:rFonts w:ascii="仿宋" w:hAnsi="仿宋" w:eastAsia="仿宋"/>
                <w:kern w:val="0"/>
                <w:szCs w:val="21"/>
              </w:rPr>
              <w:t>危险特性鉴别方法</w:t>
            </w:r>
          </w:p>
        </w:tc>
        <w:tc>
          <w:tcPr>
            <w:tcW w:w="214" w:type="pct"/>
            <w:vAlign w:val="center"/>
          </w:tcPr>
          <w:p>
            <w:pPr>
              <w:widowControl/>
              <w:jc w:val="center"/>
              <w:rPr>
                <w:rFonts w:ascii="仿宋" w:hAnsi="仿宋" w:eastAsia="仿宋"/>
                <w:kern w:val="0"/>
                <w:szCs w:val="21"/>
              </w:rPr>
            </w:pPr>
            <w:r>
              <w:rPr>
                <w:rFonts w:ascii="仿宋" w:hAnsi="仿宋" w:eastAsia="仿宋"/>
                <w:kern w:val="0"/>
                <w:szCs w:val="21"/>
              </w:rPr>
              <w:t>危险特性</w:t>
            </w:r>
          </w:p>
        </w:tc>
        <w:tc>
          <w:tcPr>
            <w:tcW w:w="322" w:type="pct"/>
            <w:vAlign w:val="center"/>
          </w:tcPr>
          <w:p>
            <w:pPr>
              <w:widowControl/>
              <w:jc w:val="center"/>
              <w:rPr>
                <w:rFonts w:ascii="仿宋" w:hAnsi="仿宋" w:eastAsia="仿宋"/>
                <w:kern w:val="0"/>
                <w:szCs w:val="21"/>
              </w:rPr>
            </w:pPr>
            <w:r>
              <w:rPr>
                <w:rFonts w:ascii="仿宋" w:hAnsi="仿宋" w:eastAsia="仿宋"/>
                <w:kern w:val="0"/>
                <w:szCs w:val="21"/>
              </w:rPr>
              <w:t>废物</w:t>
            </w:r>
          </w:p>
          <w:p>
            <w:pPr>
              <w:widowControl/>
              <w:jc w:val="center"/>
              <w:rPr>
                <w:rFonts w:ascii="仿宋" w:hAnsi="仿宋" w:eastAsia="仿宋"/>
                <w:kern w:val="0"/>
                <w:szCs w:val="21"/>
              </w:rPr>
            </w:pPr>
            <w:r>
              <w:rPr>
                <w:rFonts w:ascii="仿宋" w:hAnsi="仿宋" w:eastAsia="仿宋"/>
                <w:kern w:val="0"/>
                <w:szCs w:val="21"/>
              </w:rPr>
              <w:t>类别</w:t>
            </w:r>
          </w:p>
        </w:tc>
        <w:tc>
          <w:tcPr>
            <w:tcW w:w="484" w:type="pct"/>
            <w:gridSpan w:val="2"/>
            <w:vAlign w:val="center"/>
          </w:tcPr>
          <w:p>
            <w:pPr>
              <w:widowControl/>
              <w:jc w:val="center"/>
              <w:rPr>
                <w:rFonts w:ascii="仿宋" w:hAnsi="仿宋" w:eastAsia="仿宋"/>
                <w:kern w:val="0"/>
                <w:szCs w:val="21"/>
              </w:rPr>
            </w:pPr>
            <w:r>
              <w:rPr>
                <w:rFonts w:ascii="仿宋" w:hAnsi="仿宋" w:eastAsia="仿宋"/>
                <w:kern w:val="0"/>
                <w:szCs w:val="21"/>
              </w:rPr>
              <w:t>废物</w:t>
            </w:r>
          </w:p>
          <w:p>
            <w:pPr>
              <w:widowControl/>
              <w:jc w:val="center"/>
              <w:rPr>
                <w:rFonts w:ascii="仿宋" w:hAnsi="仿宋" w:eastAsia="仿宋"/>
                <w:kern w:val="0"/>
                <w:szCs w:val="21"/>
              </w:rPr>
            </w:pPr>
            <w:r>
              <w:rPr>
                <w:rFonts w:ascii="仿宋" w:hAnsi="仿宋" w:eastAsia="仿宋"/>
                <w:kern w:val="0"/>
                <w:szCs w:val="21"/>
              </w:rPr>
              <w:t>代码</w:t>
            </w:r>
          </w:p>
        </w:tc>
        <w:tc>
          <w:tcPr>
            <w:tcW w:w="322" w:type="pct"/>
            <w:vAlign w:val="center"/>
          </w:tcPr>
          <w:p>
            <w:pPr>
              <w:widowControl/>
              <w:jc w:val="center"/>
              <w:rPr>
                <w:rFonts w:ascii="仿宋" w:hAnsi="仿宋" w:eastAsia="仿宋"/>
                <w:kern w:val="0"/>
                <w:szCs w:val="21"/>
              </w:rPr>
            </w:pPr>
            <w:r>
              <w:rPr>
                <w:rFonts w:ascii="仿宋" w:hAnsi="仿宋" w:eastAsia="仿宋"/>
                <w:kern w:val="0"/>
                <w:szCs w:val="21"/>
              </w:rPr>
              <w:t>估算产生量（t/a）</w:t>
            </w:r>
          </w:p>
        </w:tc>
        <w:tc>
          <w:tcPr>
            <w:tcW w:w="382" w:type="pct"/>
            <w:vAlign w:val="center"/>
          </w:tcPr>
          <w:p>
            <w:pPr>
              <w:widowControl/>
              <w:jc w:val="center"/>
              <w:rPr>
                <w:rFonts w:ascii="仿宋" w:hAnsi="仿宋" w:eastAsia="仿宋" w:cs="宋体"/>
                <w:bCs/>
                <w:kern w:val="0"/>
                <w:szCs w:val="21"/>
              </w:rPr>
            </w:pPr>
            <w:r>
              <w:rPr>
                <w:rFonts w:hint="eastAsia" w:ascii="仿宋" w:hAnsi="仿宋" w:eastAsia="仿宋" w:cs="宋体"/>
                <w:bCs/>
                <w:kern w:val="0"/>
                <w:szCs w:val="21"/>
              </w:rPr>
              <w:t>产废周期</w:t>
            </w:r>
          </w:p>
        </w:tc>
        <w:tc>
          <w:tcPr>
            <w:tcW w:w="382" w:type="pct"/>
            <w:vAlign w:val="center"/>
          </w:tcPr>
          <w:p>
            <w:pPr>
              <w:widowControl/>
              <w:jc w:val="center"/>
              <w:rPr>
                <w:rFonts w:ascii="仿宋" w:hAnsi="仿宋" w:eastAsia="仿宋" w:cs="宋体"/>
                <w:bCs/>
                <w:kern w:val="0"/>
                <w:szCs w:val="21"/>
              </w:rPr>
            </w:pPr>
            <w:r>
              <w:rPr>
                <w:rFonts w:hint="eastAsia" w:ascii="仿宋" w:hAnsi="仿宋" w:eastAsia="仿宋" w:cs="宋体"/>
                <w:bCs/>
                <w:kern w:val="0"/>
                <w:szCs w:val="21"/>
              </w:rPr>
              <w:t>污染物防治措施</w:t>
            </w:r>
          </w:p>
        </w:tc>
        <w:tc>
          <w:tcPr>
            <w:tcW w:w="379" w:type="pct"/>
            <w:vAlign w:val="center"/>
          </w:tcPr>
          <w:p>
            <w:pPr>
              <w:widowControl/>
              <w:jc w:val="center"/>
              <w:rPr>
                <w:rFonts w:ascii="仿宋" w:hAnsi="仿宋" w:eastAsia="仿宋" w:cs="宋体"/>
                <w:bCs/>
                <w:kern w:val="0"/>
                <w:szCs w:val="21"/>
              </w:rPr>
            </w:pPr>
            <w:r>
              <w:rPr>
                <w:rFonts w:hint="eastAsia" w:ascii="仿宋" w:hAnsi="仿宋" w:eastAsia="仿宋" w:cs="宋体"/>
                <w:bCs/>
                <w:kern w:val="0"/>
                <w:szCs w:val="21"/>
              </w:rPr>
              <w:t>排放量（</w:t>
            </w:r>
            <w:r>
              <w:rPr>
                <w:rFonts w:ascii="仿宋" w:hAnsi="仿宋" w:eastAsia="仿宋"/>
                <w:bCs/>
                <w:kern w:val="0"/>
                <w:szCs w:val="21"/>
              </w:rPr>
              <w:t>t/a</w:t>
            </w:r>
            <w:r>
              <w:rPr>
                <w:rFonts w:hint="eastAsia" w:ascii="仿宋" w:hAnsi="仿宋" w:eastAsia="仿宋" w:cs="宋体"/>
                <w:bCs/>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222" w:type="pct"/>
            <w:vAlign w:val="center"/>
          </w:tcPr>
          <w:p>
            <w:pPr>
              <w:widowControl/>
              <w:jc w:val="center"/>
              <w:rPr>
                <w:rFonts w:ascii="仿宋" w:hAnsi="仿宋" w:eastAsia="仿宋"/>
                <w:kern w:val="0"/>
                <w:sz w:val="22"/>
                <w:szCs w:val="22"/>
              </w:rPr>
            </w:pPr>
            <w:r>
              <w:rPr>
                <w:rFonts w:hint="eastAsia" w:ascii="仿宋" w:hAnsi="仿宋" w:eastAsia="仿宋"/>
                <w:sz w:val="22"/>
                <w:szCs w:val="22"/>
              </w:rPr>
              <w:t>1</w:t>
            </w:r>
          </w:p>
        </w:tc>
        <w:tc>
          <w:tcPr>
            <w:tcW w:w="473" w:type="pct"/>
            <w:vAlign w:val="center"/>
          </w:tcPr>
          <w:p>
            <w:pPr>
              <w:jc w:val="center"/>
              <w:rPr>
                <w:rFonts w:ascii="仿宋" w:hAnsi="仿宋" w:eastAsia="仿宋"/>
                <w:szCs w:val="21"/>
              </w:rPr>
            </w:pPr>
            <w:r>
              <w:rPr>
                <w:rFonts w:ascii="仿宋" w:hAnsi="仿宋" w:eastAsia="仿宋"/>
                <w:szCs w:val="21"/>
                <w:vertAlign w:val="subscript"/>
              </w:rPr>
              <w:t>/</w:t>
            </w:r>
          </w:p>
        </w:tc>
        <w:tc>
          <w:tcPr>
            <w:tcW w:w="323" w:type="pct"/>
            <w:tcMar>
              <w:left w:w="0" w:type="dxa"/>
              <w:right w:w="0" w:type="dxa"/>
            </w:tcMar>
            <w:vAlign w:val="center"/>
          </w:tcPr>
          <w:p>
            <w:pPr>
              <w:jc w:val="center"/>
              <w:rPr>
                <w:rFonts w:ascii="仿宋" w:hAnsi="仿宋" w:eastAsia="仿宋" w:cs="宋体"/>
                <w:szCs w:val="21"/>
              </w:rPr>
            </w:pPr>
            <w:r>
              <w:rPr>
                <w:rFonts w:hint="eastAsia" w:ascii="仿宋" w:hAnsi="仿宋" w:eastAsia="仿宋"/>
                <w:szCs w:val="21"/>
              </w:rPr>
              <w:t>生活垃圾</w:t>
            </w:r>
          </w:p>
        </w:tc>
        <w:tc>
          <w:tcPr>
            <w:tcW w:w="338" w:type="pct"/>
            <w:tcMar>
              <w:left w:w="0" w:type="dxa"/>
              <w:right w:w="0" w:type="dxa"/>
            </w:tcMar>
            <w:vAlign w:val="center"/>
          </w:tcPr>
          <w:p>
            <w:pPr>
              <w:jc w:val="center"/>
              <w:rPr>
                <w:rFonts w:ascii="仿宋" w:hAnsi="仿宋" w:eastAsia="仿宋"/>
                <w:szCs w:val="21"/>
              </w:rPr>
            </w:pPr>
            <w:r>
              <w:rPr>
                <w:rFonts w:ascii="仿宋" w:hAnsi="仿宋" w:eastAsia="仿宋"/>
                <w:szCs w:val="21"/>
              </w:rPr>
              <w:t>/</w:t>
            </w:r>
          </w:p>
        </w:tc>
        <w:tc>
          <w:tcPr>
            <w:tcW w:w="251" w:type="pct"/>
            <w:tcMar>
              <w:left w:w="0" w:type="dxa"/>
              <w:right w:w="0" w:type="dxa"/>
            </w:tcMar>
            <w:vAlign w:val="center"/>
          </w:tcPr>
          <w:p>
            <w:pPr>
              <w:jc w:val="center"/>
              <w:rPr>
                <w:rFonts w:ascii="仿宋" w:hAnsi="仿宋" w:eastAsia="仿宋" w:cs="宋体"/>
                <w:szCs w:val="21"/>
              </w:rPr>
            </w:pPr>
            <w:r>
              <w:rPr>
                <w:rFonts w:hint="eastAsia" w:ascii="仿宋" w:hAnsi="仿宋" w:eastAsia="仿宋"/>
                <w:szCs w:val="21"/>
              </w:rPr>
              <w:t>办公、生活</w:t>
            </w:r>
          </w:p>
        </w:tc>
        <w:tc>
          <w:tcPr>
            <w:tcW w:w="166" w:type="pct"/>
            <w:tcMar>
              <w:left w:w="0" w:type="dxa"/>
              <w:right w:w="0" w:type="dxa"/>
            </w:tcMar>
            <w:vAlign w:val="center"/>
          </w:tcPr>
          <w:p>
            <w:pPr>
              <w:jc w:val="center"/>
              <w:rPr>
                <w:rFonts w:ascii="仿宋" w:hAnsi="仿宋" w:eastAsia="仿宋"/>
                <w:szCs w:val="21"/>
              </w:rPr>
            </w:pPr>
            <w:r>
              <w:rPr>
                <w:rFonts w:hint="eastAsia" w:ascii="仿宋" w:hAnsi="仿宋" w:eastAsia="仿宋"/>
                <w:szCs w:val="21"/>
              </w:rPr>
              <w:t>固</w:t>
            </w:r>
          </w:p>
        </w:tc>
        <w:tc>
          <w:tcPr>
            <w:tcW w:w="479" w:type="pct"/>
            <w:tcMar>
              <w:left w:w="0" w:type="dxa"/>
              <w:right w:w="0" w:type="dxa"/>
            </w:tcMar>
            <w:vAlign w:val="center"/>
          </w:tcPr>
          <w:p>
            <w:pPr>
              <w:jc w:val="center"/>
              <w:rPr>
                <w:rFonts w:ascii="仿宋" w:hAnsi="仿宋" w:eastAsia="仿宋"/>
                <w:szCs w:val="21"/>
              </w:rPr>
            </w:pPr>
            <w:r>
              <w:rPr>
                <w:rFonts w:hint="eastAsia" w:ascii="仿宋" w:hAnsi="仿宋" w:eastAsia="仿宋"/>
                <w:szCs w:val="21"/>
              </w:rPr>
              <w:t>生活垃圾</w:t>
            </w:r>
          </w:p>
        </w:tc>
        <w:tc>
          <w:tcPr>
            <w:tcW w:w="261" w:type="pct"/>
            <w:vMerge w:val="restart"/>
            <w:tcMar>
              <w:left w:w="0" w:type="dxa"/>
              <w:right w:w="0" w:type="dxa"/>
            </w:tcMar>
            <w:vAlign w:val="center"/>
          </w:tcPr>
          <w:p>
            <w:pPr>
              <w:tabs>
                <w:tab w:val="left" w:pos="3240"/>
              </w:tabs>
              <w:adjustRightInd w:val="0"/>
              <w:snapToGrid w:val="0"/>
              <w:jc w:val="center"/>
              <w:rPr>
                <w:rFonts w:ascii="仿宋" w:hAnsi="仿宋" w:eastAsia="仿宋"/>
                <w:bCs/>
                <w:kern w:val="0"/>
                <w:szCs w:val="21"/>
              </w:rPr>
            </w:pPr>
            <w:r>
              <w:rPr>
                <w:rFonts w:ascii="仿宋" w:hAnsi="仿宋" w:eastAsia="仿宋"/>
                <w:bCs/>
                <w:kern w:val="0"/>
                <w:szCs w:val="21"/>
              </w:rPr>
              <w:t>《国家危险废物名录》（2021年）</w:t>
            </w:r>
          </w:p>
        </w:tc>
        <w:tc>
          <w:tcPr>
            <w:tcW w:w="1020" w:type="pct"/>
            <w:gridSpan w:val="4"/>
            <w:vAlign w:val="center"/>
          </w:tcPr>
          <w:p>
            <w:pPr>
              <w:jc w:val="center"/>
              <w:rPr>
                <w:rFonts w:ascii="仿宋" w:hAnsi="仿宋" w:eastAsia="仿宋"/>
                <w:szCs w:val="21"/>
              </w:rPr>
            </w:pPr>
            <w:r>
              <w:rPr>
                <w:rFonts w:ascii="仿宋" w:hAnsi="仿宋" w:eastAsia="仿宋"/>
                <w:szCs w:val="21"/>
              </w:rPr>
              <w:t>/</w:t>
            </w:r>
          </w:p>
        </w:tc>
        <w:tc>
          <w:tcPr>
            <w:tcW w:w="322" w:type="pct"/>
            <w:vAlign w:val="center"/>
          </w:tcPr>
          <w:p>
            <w:pPr>
              <w:jc w:val="center"/>
              <w:rPr>
                <w:rFonts w:ascii="仿宋" w:hAnsi="仿宋" w:eastAsia="仿宋"/>
                <w:szCs w:val="21"/>
              </w:rPr>
            </w:pPr>
            <w:r>
              <w:rPr>
                <w:rFonts w:hint="eastAsia" w:ascii="仿宋" w:hAnsi="仿宋" w:eastAsia="仿宋"/>
                <w:szCs w:val="21"/>
              </w:rPr>
              <w:t>6.75</w:t>
            </w:r>
          </w:p>
        </w:tc>
        <w:tc>
          <w:tcPr>
            <w:tcW w:w="382" w:type="pct"/>
            <w:vAlign w:val="center"/>
          </w:tcPr>
          <w:p>
            <w:pPr>
              <w:jc w:val="center"/>
              <w:rPr>
                <w:rFonts w:ascii="仿宋" w:hAnsi="仿宋" w:eastAsia="仿宋"/>
                <w:szCs w:val="21"/>
              </w:rPr>
            </w:pPr>
            <w:r>
              <w:rPr>
                <w:rFonts w:hint="eastAsia" w:ascii="仿宋" w:hAnsi="仿宋" w:eastAsia="仿宋"/>
                <w:szCs w:val="21"/>
              </w:rPr>
              <w:t>每天</w:t>
            </w:r>
          </w:p>
        </w:tc>
        <w:tc>
          <w:tcPr>
            <w:tcW w:w="382" w:type="pct"/>
            <w:vAlign w:val="center"/>
          </w:tcPr>
          <w:p>
            <w:pPr>
              <w:jc w:val="center"/>
              <w:rPr>
                <w:rFonts w:ascii="仿宋" w:hAnsi="仿宋" w:eastAsia="仿宋"/>
                <w:szCs w:val="21"/>
              </w:rPr>
            </w:pPr>
            <w:r>
              <w:rPr>
                <w:rFonts w:hint="eastAsia" w:ascii="仿宋" w:hAnsi="仿宋" w:eastAsia="仿宋"/>
                <w:szCs w:val="21"/>
              </w:rPr>
              <w:t>环卫</w:t>
            </w:r>
            <w:r>
              <w:rPr>
                <w:rFonts w:ascii="仿宋" w:hAnsi="仿宋" w:eastAsia="仿宋"/>
                <w:szCs w:val="21"/>
              </w:rPr>
              <w:t>部门统一收集处理</w:t>
            </w:r>
          </w:p>
        </w:tc>
        <w:tc>
          <w:tcPr>
            <w:tcW w:w="379" w:type="pct"/>
            <w:vAlign w:val="center"/>
          </w:tcPr>
          <w:p>
            <w:pPr>
              <w:jc w:val="center"/>
              <w:rPr>
                <w:rFonts w:ascii="仿宋" w:hAnsi="仿宋" w:eastAsia="仿宋"/>
                <w:szCs w:val="21"/>
              </w:rPr>
            </w:pPr>
            <w:r>
              <w:rPr>
                <w:rFonts w:hint="eastAsia" w:ascii="仿宋" w:hAnsi="仿宋" w:eastAsia="仿宋"/>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222" w:type="pct"/>
            <w:vAlign w:val="center"/>
          </w:tcPr>
          <w:p>
            <w:pPr>
              <w:jc w:val="center"/>
              <w:rPr>
                <w:rFonts w:ascii="仿宋" w:hAnsi="仿宋" w:eastAsia="仿宋"/>
                <w:sz w:val="22"/>
                <w:szCs w:val="22"/>
              </w:rPr>
            </w:pPr>
            <w:r>
              <w:rPr>
                <w:rFonts w:hint="eastAsia" w:ascii="仿宋" w:hAnsi="仿宋" w:eastAsia="仿宋"/>
                <w:sz w:val="22"/>
                <w:szCs w:val="22"/>
              </w:rPr>
              <w:t>2</w:t>
            </w:r>
          </w:p>
        </w:tc>
        <w:tc>
          <w:tcPr>
            <w:tcW w:w="473" w:type="pct"/>
            <w:vAlign w:val="center"/>
          </w:tcPr>
          <w:p>
            <w:pPr>
              <w:jc w:val="center"/>
              <w:rPr>
                <w:rFonts w:ascii="仿宋" w:hAnsi="仿宋" w:eastAsia="仿宋"/>
                <w:szCs w:val="21"/>
              </w:rPr>
            </w:pPr>
            <w:r>
              <w:rPr>
                <w:rFonts w:hint="eastAsia" w:ascii="仿宋" w:hAnsi="仿宋" w:eastAsia="仿宋"/>
                <w:kern w:val="0"/>
                <w:szCs w:val="21"/>
              </w:rPr>
              <w:t>S3</w:t>
            </w:r>
          </w:p>
        </w:tc>
        <w:tc>
          <w:tcPr>
            <w:tcW w:w="323" w:type="pct"/>
            <w:tcMar>
              <w:left w:w="0" w:type="dxa"/>
              <w:right w:w="0" w:type="dxa"/>
            </w:tcMar>
            <w:vAlign w:val="center"/>
          </w:tcPr>
          <w:p>
            <w:pPr>
              <w:jc w:val="center"/>
              <w:rPr>
                <w:rFonts w:ascii="仿宋" w:hAnsi="仿宋" w:eastAsia="仿宋" w:cs="宋体"/>
                <w:szCs w:val="21"/>
              </w:rPr>
            </w:pPr>
            <w:r>
              <w:rPr>
                <w:rFonts w:hint="eastAsia" w:ascii="仿宋" w:hAnsi="仿宋" w:eastAsia="仿宋"/>
                <w:szCs w:val="21"/>
              </w:rPr>
              <w:t>废胶带</w:t>
            </w:r>
          </w:p>
        </w:tc>
        <w:tc>
          <w:tcPr>
            <w:tcW w:w="338" w:type="pct"/>
            <w:tcMar>
              <w:left w:w="0" w:type="dxa"/>
              <w:right w:w="0" w:type="dxa"/>
            </w:tcMar>
            <w:vAlign w:val="center"/>
          </w:tcPr>
          <w:p>
            <w:pPr>
              <w:jc w:val="center"/>
              <w:rPr>
                <w:rFonts w:ascii="仿宋" w:hAnsi="仿宋" w:eastAsia="仿宋"/>
                <w:szCs w:val="21"/>
              </w:rPr>
            </w:pPr>
            <w:r>
              <w:rPr>
                <w:rFonts w:hint="eastAsia" w:ascii="仿宋" w:hAnsi="仿宋" w:eastAsia="仿宋"/>
                <w:szCs w:val="21"/>
              </w:rPr>
              <w:t>一般固废</w:t>
            </w:r>
          </w:p>
        </w:tc>
        <w:tc>
          <w:tcPr>
            <w:tcW w:w="251" w:type="pct"/>
            <w:tcMar>
              <w:left w:w="0" w:type="dxa"/>
              <w:right w:w="0" w:type="dxa"/>
            </w:tcMar>
            <w:vAlign w:val="center"/>
          </w:tcPr>
          <w:p>
            <w:pPr>
              <w:widowControl/>
              <w:jc w:val="center"/>
              <w:rPr>
                <w:rFonts w:ascii="仿宋" w:hAnsi="仿宋" w:eastAsia="仿宋"/>
                <w:szCs w:val="21"/>
              </w:rPr>
            </w:pPr>
            <w:r>
              <w:rPr>
                <w:rFonts w:hint="eastAsia" w:ascii="仿宋" w:hAnsi="仿宋" w:eastAsia="仿宋"/>
                <w:kern w:val="0"/>
                <w:szCs w:val="21"/>
              </w:rPr>
              <w:t>分切</w:t>
            </w:r>
          </w:p>
        </w:tc>
        <w:tc>
          <w:tcPr>
            <w:tcW w:w="166" w:type="pct"/>
            <w:tcMar>
              <w:left w:w="0" w:type="dxa"/>
              <w:right w:w="0" w:type="dxa"/>
            </w:tcMar>
            <w:vAlign w:val="center"/>
          </w:tcPr>
          <w:p>
            <w:pPr>
              <w:tabs>
                <w:tab w:val="left" w:pos="3240"/>
              </w:tabs>
              <w:adjustRightInd w:val="0"/>
              <w:snapToGrid w:val="0"/>
              <w:jc w:val="center"/>
              <w:rPr>
                <w:rFonts w:ascii="仿宋" w:hAnsi="仿宋" w:eastAsia="仿宋"/>
                <w:szCs w:val="21"/>
              </w:rPr>
            </w:pPr>
            <w:r>
              <w:rPr>
                <w:rFonts w:hint="eastAsia" w:ascii="仿宋" w:hAnsi="仿宋" w:eastAsia="仿宋"/>
                <w:bCs/>
                <w:kern w:val="0"/>
                <w:szCs w:val="21"/>
              </w:rPr>
              <w:t>固</w:t>
            </w:r>
          </w:p>
        </w:tc>
        <w:tc>
          <w:tcPr>
            <w:tcW w:w="479" w:type="pct"/>
            <w:tcMar>
              <w:left w:w="0" w:type="dxa"/>
              <w:right w:w="0" w:type="dxa"/>
            </w:tcMar>
            <w:vAlign w:val="center"/>
          </w:tcPr>
          <w:p>
            <w:pPr>
              <w:tabs>
                <w:tab w:val="left" w:pos="3240"/>
              </w:tabs>
              <w:adjustRightInd w:val="0"/>
              <w:snapToGrid w:val="0"/>
              <w:jc w:val="center"/>
              <w:rPr>
                <w:rFonts w:ascii="仿宋" w:hAnsi="仿宋" w:eastAsia="仿宋"/>
                <w:szCs w:val="21"/>
              </w:rPr>
            </w:pPr>
            <w:r>
              <w:rPr>
                <w:rFonts w:hint="eastAsia" w:ascii="仿宋" w:hAnsi="仿宋" w:eastAsia="仿宋"/>
                <w:bCs/>
                <w:kern w:val="0"/>
                <w:szCs w:val="21"/>
              </w:rPr>
              <w:t>膜、胶粘剂固份</w:t>
            </w:r>
          </w:p>
        </w:tc>
        <w:tc>
          <w:tcPr>
            <w:tcW w:w="261" w:type="pct"/>
            <w:vMerge w:val="continue"/>
            <w:tcMar>
              <w:left w:w="0" w:type="dxa"/>
              <w:right w:w="0" w:type="dxa"/>
            </w:tcMar>
            <w:vAlign w:val="center"/>
          </w:tcPr>
          <w:p>
            <w:pPr>
              <w:tabs>
                <w:tab w:val="left" w:pos="3240"/>
              </w:tabs>
              <w:adjustRightInd w:val="0"/>
              <w:snapToGrid w:val="0"/>
              <w:jc w:val="center"/>
              <w:rPr>
                <w:rFonts w:ascii="仿宋" w:hAnsi="仿宋" w:eastAsia="仿宋"/>
                <w:bCs/>
                <w:kern w:val="0"/>
                <w:szCs w:val="21"/>
              </w:rPr>
            </w:pPr>
          </w:p>
        </w:tc>
        <w:tc>
          <w:tcPr>
            <w:tcW w:w="1020" w:type="pct"/>
            <w:gridSpan w:val="4"/>
            <w:vAlign w:val="center"/>
          </w:tcPr>
          <w:p>
            <w:pPr>
              <w:jc w:val="center"/>
              <w:rPr>
                <w:rFonts w:ascii="仿宋" w:hAnsi="仿宋" w:eastAsia="仿宋"/>
                <w:szCs w:val="21"/>
              </w:rPr>
            </w:pPr>
            <w:r>
              <w:rPr>
                <w:rFonts w:hint="eastAsia" w:ascii="仿宋" w:hAnsi="仿宋" w:eastAsia="仿宋"/>
                <w:szCs w:val="21"/>
              </w:rPr>
              <w:t>292</w:t>
            </w:r>
            <w:r>
              <w:rPr>
                <w:rFonts w:ascii="仿宋" w:hAnsi="仿宋" w:eastAsia="仿宋"/>
                <w:szCs w:val="21"/>
              </w:rPr>
              <w:t>-001-99</w:t>
            </w:r>
          </w:p>
        </w:tc>
        <w:tc>
          <w:tcPr>
            <w:tcW w:w="322" w:type="pct"/>
            <w:vAlign w:val="center"/>
          </w:tcPr>
          <w:p>
            <w:pPr>
              <w:jc w:val="center"/>
              <w:rPr>
                <w:rFonts w:ascii="仿宋" w:hAnsi="仿宋" w:eastAsia="仿宋"/>
                <w:szCs w:val="21"/>
              </w:rPr>
            </w:pPr>
            <w:r>
              <w:rPr>
                <w:rFonts w:ascii="仿宋" w:hAnsi="仿宋" w:eastAsia="仿宋"/>
                <w:szCs w:val="21"/>
              </w:rPr>
              <w:t>48.3</w:t>
            </w:r>
          </w:p>
        </w:tc>
        <w:tc>
          <w:tcPr>
            <w:tcW w:w="382" w:type="pct"/>
            <w:vAlign w:val="center"/>
          </w:tcPr>
          <w:p>
            <w:pPr>
              <w:jc w:val="center"/>
              <w:rPr>
                <w:rFonts w:ascii="仿宋" w:hAnsi="仿宋" w:eastAsia="仿宋"/>
                <w:szCs w:val="21"/>
              </w:rPr>
            </w:pPr>
            <w:r>
              <w:rPr>
                <w:rFonts w:hint="eastAsia" w:ascii="仿宋" w:hAnsi="仿宋" w:eastAsia="仿宋"/>
                <w:szCs w:val="21"/>
              </w:rPr>
              <w:t>每天</w:t>
            </w:r>
          </w:p>
        </w:tc>
        <w:tc>
          <w:tcPr>
            <w:tcW w:w="382" w:type="pct"/>
            <w:vAlign w:val="center"/>
          </w:tcPr>
          <w:p>
            <w:pPr>
              <w:jc w:val="center"/>
              <w:rPr>
                <w:rFonts w:ascii="仿宋" w:hAnsi="仿宋" w:eastAsia="仿宋"/>
                <w:szCs w:val="21"/>
              </w:rPr>
            </w:pPr>
            <w:r>
              <w:rPr>
                <w:rFonts w:hint="eastAsia" w:ascii="仿宋" w:hAnsi="仿宋" w:eastAsia="仿宋"/>
                <w:szCs w:val="21"/>
              </w:rPr>
              <w:t>外售综合利用</w:t>
            </w:r>
          </w:p>
        </w:tc>
        <w:tc>
          <w:tcPr>
            <w:tcW w:w="379" w:type="pct"/>
            <w:vAlign w:val="center"/>
          </w:tcPr>
          <w:p>
            <w:pPr>
              <w:jc w:val="center"/>
              <w:rPr>
                <w:rFonts w:ascii="仿宋" w:hAnsi="仿宋" w:eastAsia="仿宋"/>
                <w:szCs w:val="21"/>
              </w:rPr>
            </w:pPr>
            <w:r>
              <w:rPr>
                <w:rFonts w:hint="eastAsia" w:ascii="仿宋" w:hAnsi="仿宋" w:eastAsia="仿宋"/>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222" w:type="pct"/>
            <w:vAlign w:val="center"/>
          </w:tcPr>
          <w:p>
            <w:pPr>
              <w:jc w:val="center"/>
              <w:rPr>
                <w:rFonts w:ascii="仿宋" w:hAnsi="仿宋" w:eastAsia="仿宋"/>
                <w:sz w:val="22"/>
                <w:szCs w:val="22"/>
              </w:rPr>
            </w:pPr>
            <w:r>
              <w:rPr>
                <w:rFonts w:hint="eastAsia" w:ascii="仿宋" w:hAnsi="仿宋" w:eastAsia="仿宋"/>
                <w:sz w:val="22"/>
                <w:szCs w:val="22"/>
              </w:rPr>
              <w:t>3</w:t>
            </w:r>
          </w:p>
        </w:tc>
        <w:tc>
          <w:tcPr>
            <w:tcW w:w="473" w:type="pct"/>
            <w:vAlign w:val="center"/>
          </w:tcPr>
          <w:p>
            <w:pPr>
              <w:jc w:val="center"/>
              <w:rPr>
                <w:rFonts w:ascii="仿宋" w:hAnsi="仿宋" w:eastAsia="仿宋"/>
                <w:kern w:val="0"/>
                <w:szCs w:val="21"/>
              </w:rPr>
            </w:pPr>
            <w:r>
              <w:rPr>
                <w:rFonts w:hint="eastAsia" w:ascii="仿宋" w:hAnsi="仿宋" w:eastAsia="仿宋"/>
                <w:kern w:val="0"/>
                <w:szCs w:val="21"/>
              </w:rPr>
              <w:t>S1</w:t>
            </w:r>
          </w:p>
        </w:tc>
        <w:tc>
          <w:tcPr>
            <w:tcW w:w="323" w:type="pct"/>
            <w:tcMar>
              <w:left w:w="0" w:type="dxa"/>
              <w:right w:w="0" w:type="dxa"/>
            </w:tcMar>
            <w:vAlign w:val="center"/>
          </w:tcPr>
          <w:p>
            <w:pPr>
              <w:jc w:val="center"/>
              <w:rPr>
                <w:rFonts w:ascii="仿宋" w:hAnsi="仿宋" w:eastAsia="仿宋"/>
                <w:kern w:val="0"/>
                <w:szCs w:val="21"/>
              </w:rPr>
            </w:pPr>
            <w:r>
              <w:rPr>
                <w:rFonts w:hint="eastAsia" w:ascii="仿宋" w:hAnsi="仿宋" w:eastAsia="仿宋"/>
                <w:szCs w:val="21"/>
              </w:rPr>
              <w:t>废胶水</w:t>
            </w:r>
          </w:p>
        </w:tc>
        <w:tc>
          <w:tcPr>
            <w:tcW w:w="338" w:type="pct"/>
            <w:tcMar>
              <w:left w:w="0" w:type="dxa"/>
              <w:right w:w="0" w:type="dxa"/>
            </w:tcMar>
            <w:vAlign w:val="center"/>
          </w:tcPr>
          <w:p>
            <w:pPr>
              <w:jc w:val="center"/>
              <w:rPr>
                <w:rFonts w:ascii="仿宋" w:hAnsi="仿宋" w:eastAsia="仿宋"/>
                <w:szCs w:val="21"/>
              </w:rPr>
            </w:pPr>
            <w:r>
              <w:rPr>
                <w:rFonts w:hint="eastAsia" w:ascii="仿宋" w:hAnsi="仿宋" w:eastAsia="仿宋"/>
                <w:szCs w:val="21"/>
              </w:rPr>
              <w:t>危险固废</w:t>
            </w:r>
          </w:p>
        </w:tc>
        <w:tc>
          <w:tcPr>
            <w:tcW w:w="251" w:type="pct"/>
            <w:tcMar>
              <w:left w:w="0" w:type="dxa"/>
              <w:right w:w="0" w:type="dxa"/>
            </w:tcMar>
            <w:vAlign w:val="center"/>
          </w:tcPr>
          <w:p>
            <w:pPr>
              <w:widowControl/>
              <w:jc w:val="center"/>
              <w:rPr>
                <w:rFonts w:ascii="仿宋" w:hAnsi="仿宋" w:eastAsia="仿宋"/>
                <w:kern w:val="0"/>
                <w:szCs w:val="21"/>
              </w:rPr>
            </w:pPr>
            <w:r>
              <w:rPr>
                <w:rFonts w:hint="eastAsia" w:ascii="仿宋" w:hAnsi="仿宋" w:eastAsia="仿宋"/>
                <w:kern w:val="0"/>
                <w:szCs w:val="21"/>
              </w:rPr>
              <w:t>配胶</w:t>
            </w:r>
          </w:p>
        </w:tc>
        <w:tc>
          <w:tcPr>
            <w:tcW w:w="166" w:type="pct"/>
            <w:tcMar>
              <w:left w:w="0" w:type="dxa"/>
              <w:right w:w="0" w:type="dxa"/>
            </w:tcMar>
            <w:vAlign w:val="center"/>
          </w:tcPr>
          <w:p>
            <w:pPr>
              <w:tabs>
                <w:tab w:val="left" w:pos="3240"/>
              </w:tabs>
              <w:adjustRightInd w:val="0"/>
              <w:snapToGrid w:val="0"/>
              <w:jc w:val="center"/>
              <w:rPr>
                <w:rFonts w:ascii="仿宋" w:hAnsi="仿宋" w:eastAsia="仿宋"/>
                <w:bCs/>
                <w:kern w:val="0"/>
                <w:szCs w:val="21"/>
              </w:rPr>
            </w:pPr>
            <w:r>
              <w:rPr>
                <w:rFonts w:hint="eastAsia" w:ascii="仿宋" w:hAnsi="仿宋" w:eastAsia="仿宋"/>
                <w:bCs/>
                <w:kern w:val="0"/>
                <w:szCs w:val="21"/>
              </w:rPr>
              <w:t>液</w:t>
            </w:r>
          </w:p>
        </w:tc>
        <w:tc>
          <w:tcPr>
            <w:tcW w:w="479" w:type="pct"/>
            <w:tcMar>
              <w:left w:w="0" w:type="dxa"/>
              <w:right w:w="0" w:type="dxa"/>
            </w:tcMar>
            <w:vAlign w:val="center"/>
          </w:tcPr>
          <w:p>
            <w:pPr>
              <w:tabs>
                <w:tab w:val="left" w:pos="3240"/>
              </w:tabs>
              <w:adjustRightInd w:val="0"/>
              <w:snapToGrid w:val="0"/>
              <w:jc w:val="center"/>
              <w:rPr>
                <w:rFonts w:ascii="仿宋" w:hAnsi="仿宋" w:eastAsia="仿宋"/>
                <w:bCs/>
                <w:kern w:val="0"/>
                <w:szCs w:val="21"/>
              </w:rPr>
            </w:pPr>
            <w:r>
              <w:rPr>
                <w:rFonts w:hint="eastAsia" w:ascii="仿宋" w:hAnsi="仿宋" w:eastAsia="仿宋"/>
                <w:bCs/>
                <w:kern w:val="0"/>
                <w:szCs w:val="21"/>
              </w:rPr>
              <w:t>有机物</w:t>
            </w:r>
          </w:p>
        </w:tc>
        <w:tc>
          <w:tcPr>
            <w:tcW w:w="261" w:type="pct"/>
            <w:vMerge w:val="continue"/>
            <w:tcMar>
              <w:left w:w="0" w:type="dxa"/>
              <w:right w:w="0" w:type="dxa"/>
            </w:tcMar>
            <w:vAlign w:val="center"/>
          </w:tcPr>
          <w:p>
            <w:pPr>
              <w:tabs>
                <w:tab w:val="left" w:pos="3240"/>
              </w:tabs>
              <w:adjustRightInd w:val="0"/>
              <w:snapToGrid w:val="0"/>
              <w:jc w:val="center"/>
              <w:rPr>
                <w:rFonts w:ascii="仿宋" w:hAnsi="仿宋" w:eastAsia="仿宋"/>
                <w:bCs/>
                <w:kern w:val="0"/>
                <w:szCs w:val="21"/>
              </w:rPr>
            </w:pPr>
          </w:p>
        </w:tc>
        <w:tc>
          <w:tcPr>
            <w:tcW w:w="214" w:type="pct"/>
            <w:vAlign w:val="center"/>
          </w:tcPr>
          <w:p>
            <w:pPr>
              <w:jc w:val="center"/>
              <w:rPr>
                <w:rFonts w:ascii="仿宋" w:hAnsi="仿宋" w:eastAsia="仿宋"/>
                <w:szCs w:val="21"/>
              </w:rPr>
            </w:pPr>
            <w:r>
              <w:rPr>
                <w:rFonts w:ascii="仿宋" w:hAnsi="仿宋" w:eastAsia="仿宋"/>
                <w:szCs w:val="21"/>
              </w:rPr>
              <w:t>T</w:t>
            </w:r>
          </w:p>
        </w:tc>
        <w:tc>
          <w:tcPr>
            <w:tcW w:w="465" w:type="pct"/>
            <w:gridSpan w:val="2"/>
            <w:vAlign w:val="center"/>
          </w:tcPr>
          <w:p>
            <w:pPr>
              <w:jc w:val="center"/>
              <w:rPr>
                <w:rFonts w:ascii="仿宋" w:hAnsi="仿宋" w:eastAsia="仿宋"/>
                <w:szCs w:val="21"/>
              </w:rPr>
            </w:pPr>
            <w:r>
              <w:rPr>
                <w:rFonts w:ascii="仿宋" w:hAnsi="仿宋" w:eastAsia="仿宋"/>
                <w:szCs w:val="21"/>
              </w:rPr>
              <w:t>HW13</w:t>
            </w:r>
          </w:p>
        </w:tc>
        <w:tc>
          <w:tcPr>
            <w:tcW w:w="341" w:type="pct"/>
            <w:vAlign w:val="center"/>
          </w:tcPr>
          <w:p>
            <w:pPr>
              <w:jc w:val="center"/>
              <w:rPr>
                <w:rFonts w:ascii="仿宋" w:hAnsi="仿宋" w:eastAsia="仿宋"/>
                <w:szCs w:val="21"/>
              </w:rPr>
            </w:pPr>
            <w:r>
              <w:rPr>
                <w:rFonts w:ascii="仿宋" w:hAnsi="仿宋" w:eastAsia="仿宋"/>
                <w:szCs w:val="21"/>
              </w:rPr>
              <w:t>900-014-13</w:t>
            </w:r>
          </w:p>
        </w:tc>
        <w:tc>
          <w:tcPr>
            <w:tcW w:w="322" w:type="pct"/>
            <w:vAlign w:val="center"/>
          </w:tcPr>
          <w:p>
            <w:pPr>
              <w:jc w:val="center"/>
              <w:rPr>
                <w:rFonts w:ascii="仿宋" w:hAnsi="仿宋" w:eastAsia="仿宋"/>
                <w:szCs w:val="21"/>
              </w:rPr>
            </w:pPr>
            <w:r>
              <w:rPr>
                <w:rFonts w:hint="eastAsia" w:ascii="仿宋" w:hAnsi="仿宋" w:eastAsia="仿宋"/>
                <w:szCs w:val="21"/>
              </w:rPr>
              <w:t>1.8</w:t>
            </w:r>
            <w:r>
              <w:rPr>
                <w:rFonts w:ascii="仿宋" w:hAnsi="仿宋" w:eastAsia="仿宋"/>
                <w:szCs w:val="21"/>
              </w:rPr>
              <w:t>14</w:t>
            </w:r>
          </w:p>
        </w:tc>
        <w:tc>
          <w:tcPr>
            <w:tcW w:w="382" w:type="pct"/>
            <w:vAlign w:val="center"/>
          </w:tcPr>
          <w:p>
            <w:pPr>
              <w:jc w:val="center"/>
              <w:rPr>
                <w:rFonts w:ascii="仿宋" w:hAnsi="仿宋" w:eastAsia="仿宋"/>
                <w:szCs w:val="21"/>
              </w:rPr>
            </w:pPr>
            <w:r>
              <w:rPr>
                <w:rFonts w:hint="eastAsia" w:ascii="仿宋" w:hAnsi="仿宋" w:eastAsia="仿宋"/>
                <w:szCs w:val="21"/>
              </w:rPr>
              <w:t>每天</w:t>
            </w:r>
          </w:p>
        </w:tc>
        <w:tc>
          <w:tcPr>
            <w:tcW w:w="382" w:type="pct"/>
            <w:vMerge w:val="restart"/>
            <w:vAlign w:val="center"/>
          </w:tcPr>
          <w:p>
            <w:pPr>
              <w:jc w:val="center"/>
              <w:rPr>
                <w:rFonts w:ascii="仿宋" w:hAnsi="仿宋" w:eastAsia="仿宋"/>
                <w:szCs w:val="21"/>
              </w:rPr>
            </w:pPr>
            <w:r>
              <w:rPr>
                <w:rFonts w:hint="eastAsia" w:ascii="仿宋" w:hAnsi="仿宋" w:eastAsia="仿宋" w:cs="宋体"/>
                <w:kern w:val="0"/>
                <w:szCs w:val="21"/>
              </w:rPr>
              <w:t>委托有资质单位处置</w:t>
            </w:r>
          </w:p>
        </w:tc>
        <w:tc>
          <w:tcPr>
            <w:tcW w:w="379" w:type="pct"/>
            <w:vAlign w:val="center"/>
          </w:tcPr>
          <w:p>
            <w:pPr>
              <w:jc w:val="center"/>
              <w:rPr>
                <w:rFonts w:ascii="仿宋" w:hAnsi="仿宋" w:eastAsia="仿宋"/>
                <w:szCs w:val="21"/>
              </w:rPr>
            </w:pPr>
            <w:r>
              <w:rPr>
                <w:rFonts w:hint="eastAsia" w:ascii="仿宋" w:hAnsi="仿宋" w:eastAsia="仿宋"/>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222" w:type="pct"/>
            <w:vAlign w:val="center"/>
          </w:tcPr>
          <w:p>
            <w:pPr>
              <w:jc w:val="center"/>
              <w:rPr>
                <w:rFonts w:ascii="仿宋" w:hAnsi="仿宋" w:eastAsia="仿宋"/>
                <w:sz w:val="22"/>
                <w:szCs w:val="22"/>
              </w:rPr>
            </w:pPr>
            <w:r>
              <w:rPr>
                <w:rFonts w:hint="eastAsia" w:ascii="仿宋" w:hAnsi="仿宋" w:eastAsia="仿宋"/>
                <w:sz w:val="22"/>
                <w:szCs w:val="22"/>
              </w:rPr>
              <w:t>4</w:t>
            </w:r>
          </w:p>
        </w:tc>
        <w:tc>
          <w:tcPr>
            <w:tcW w:w="473" w:type="pct"/>
            <w:vAlign w:val="center"/>
          </w:tcPr>
          <w:p>
            <w:pPr>
              <w:widowControl/>
              <w:jc w:val="center"/>
              <w:rPr>
                <w:rFonts w:ascii="仿宋" w:hAnsi="仿宋" w:eastAsia="仿宋"/>
                <w:kern w:val="0"/>
                <w:szCs w:val="21"/>
              </w:rPr>
            </w:pPr>
            <w:r>
              <w:rPr>
                <w:rFonts w:hint="eastAsia" w:ascii="仿宋" w:hAnsi="仿宋" w:eastAsia="仿宋"/>
                <w:kern w:val="0"/>
                <w:szCs w:val="21"/>
              </w:rPr>
              <w:t>S2</w:t>
            </w:r>
          </w:p>
        </w:tc>
        <w:tc>
          <w:tcPr>
            <w:tcW w:w="323" w:type="pct"/>
            <w:tcMar>
              <w:left w:w="0" w:type="dxa"/>
              <w:right w:w="0" w:type="dxa"/>
            </w:tcMar>
            <w:vAlign w:val="center"/>
          </w:tcPr>
          <w:p>
            <w:pPr>
              <w:widowControl/>
              <w:jc w:val="center"/>
              <w:rPr>
                <w:rFonts w:ascii="仿宋" w:hAnsi="仿宋" w:eastAsia="仿宋"/>
                <w:kern w:val="0"/>
                <w:szCs w:val="21"/>
              </w:rPr>
            </w:pPr>
            <w:r>
              <w:rPr>
                <w:rFonts w:hint="eastAsia" w:ascii="仿宋" w:hAnsi="仿宋" w:eastAsia="仿宋"/>
                <w:kern w:val="0"/>
                <w:szCs w:val="21"/>
              </w:rPr>
              <w:t>废清洗液</w:t>
            </w:r>
          </w:p>
        </w:tc>
        <w:tc>
          <w:tcPr>
            <w:tcW w:w="338" w:type="pct"/>
            <w:tcMar>
              <w:left w:w="0" w:type="dxa"/>
              <w:right w:w="0" w:type="dxa"/>
            </w:tcMar>
            <w:vAlign w:val="center"/>
          </w:tcPr>
          <w:p>
            <w:pPr>
              <w:jc w:val="center"/>
              <w:rPr>
                <w:rFonts w:ascii="仿宋" w:hAnsi="仿宋" w:eastAsia="仿宋"/>
                <w:szCs w:val="21"/>
              </w:rPr>
            </w:pPr>
            <w:r>
              <w:rPr>
                <w:rFonts w:hint="eastAsia" w:ascii="仿宋" w:hAnsi="仿宋" w:eastAsia="仿宋"/>
                <w:szCs w:val="21"/>
              </w:rPr>
              <w:t>危险废物</w:t>
            </w:r>
          </w:p>
        </w:tc>
        <w:tc>
          <w:tcPr>
            <w:tcW w:w="251" w:type="pct"/>
            <w:tcMar>
              <w:left w:w="0" w:type="dxa"/>
              <w:right w:w="0" w:type="dxa"/>
            </w:tcMar>
            <w:vAlign w:val="center"/>
          </w:tcPr>
          <w:p>
            <w:pPr>
              <w:widowControl/>
              <w:jc w:val="center"/>
              <w:rPr>
                <w:rFonts w:ascii="仿宋" w:hAnsi="仿宋" w:eastAsia="仿宋"/>
                <w:szCs w:val="21"/>
              </w:rPr>
            </w:pPr>
            <w:r>
              <w:rPr>
                <w:rFonts w:hint="eastAsia" w:ascii="仿宋" w:hAnsi="仿宋" w:eastAsia="仿宋"/>
                <w:kern w:val="0"/>
                <w:szCs w:val="21"/>
              </w:rPr>
              <w:t>清洗</w:t>
            </w:r>
          </w:p>
        </w:tc>
        <w:tc>
          <w:tcPr>
            <w:tcW w:w="166" w:type="pct"/>
            <w:tcMar>
              <w:left w:w="0" w:type="dxa"/>
              <w:right w:w="0" w:type="dxa"/>
            </w:tcMar>
            <w:vAlign w:val="center"/>
          </w:tcPr>
          <w:p>
            <w:pPr>
              <w:tabs>
                <w:tab w:val="left" w:pos="3240"/>
              </w:tabs>
              <w:adjustRightInd w:val="0"/>
              <w:snapToGrid w:val="0"/>
              <w:jc w:val="center"/>
              <w:rPr>
                <w:rFonts w:ascii="仿宋" w:hAnsi="仿宋" w:eastAsia="仿宋"/>
                <w:szCs w:val="21"/>
              </w:rPr>
            </w:pPr>
            <w:r>
              <w:rPr>
                <w:rFonts w:hint="eastAsia" w:ascii="仿宋" w:hAnsi="仿宋" w:eastAsia="仿宋"/>
                <w:bCs/>
                <w:kern w:val="0"/>
                <w:szCs w:val="21"/>
              </w:rPr>
              <w:t>液</w:t>
            </w:r>
          </w:p>
        </w:tc>
        <w:tc>
          <w:tcPr>
            <w:tcW w:w="479" w:type="pct"/>
            <w:tcMar>
              <w:left w:w="0" w:type="dxa"/>
              <w:right w:w="0" w:type="dxa"/>
            </w:tcMar>
            <w:vAlign w:val="center"/>
          </w:tcPr>
          <w:p>
            <w:pPr>
              <w:tabs>
                <w:tab w:val="left" w:pos="3240"/>
              </w:tabs>
              <w:adjustRightInd w:val="0"/>
              <w:snapToGrid w:val="0"/>
              <w:jc w:val="center"/>
              <w:rPr>
                <w:rFonts w:ascii="仿宋" w:hAnsi="仿宋" w:eastAsia="仿宋"/>
                <w:szCs w:val="21"/>
              </w:rPr>
            </w:pPr>
            <w:r>
              <w:rPr>
                <w:rFonts w:hint="eastAsia" w:ascii="仿宋" w:hAnsi="仿宋" w:eastAsia="仿宋"/>
                <w:bCs/>
                <w:kern w:val="0"/>
                <w:szCs w:val="21"/>
              </w:rPr>
              <w:t>有机溶剂</w:t>
            </w:r>
          </w:p>
        </w:tc>
        <w:tc>
          <w:tcPr>
            <w:tcW w:w="261" w:type="pct"/>
            <w:vMerge w:val="continue"/>
            <w:tcMar>
              <w:left w:w="0" w:type="dxa"/>
              <w:right w:w="0" w:type="dxa"/>
            </w:tcMar>
            <w:vAlign w:val="center"/>
          </w:tcPr>
          <w:p>
            <w:pPr>
              <w:tabs>
                <w:tab w:val="left" w:pos="3240"/>
              </w:tabs>
              <w:adjustRightInd w:val="0"/>
              <w:snapToGrid w:val="0"/>
              <w:jc w:val="center"/>
              <w:rPr>
                <w:rFonts w:ascii="仿宋" w:hAnsi="仿宋" w:eastAsia="仿宋"/>
                <w:bCs/>
                <w:kern w:val="0"/>
                <w:szCs w:val="21"/>
              </w:rPr>
            </w:pPr>
          </w:p>
        </w:tc>
        <w:tc>
          <w:tcPr>
            <w:tcW w:w="214" w:type="pct"/>
            <w:vAlign w:val="center"/>
          </w:tcPr>
          <w:p>
            <w:pPr>
              <w:jc w:val="center"/>
              <w:rPr>
                <w:rFonts w:ascii="仿宋" w:hAnsi="仿宋" w:eastAsia="仿宋"/>
                <w:szCs w:val="21"/>
              </w:rPr>
            </w:pPr>
            <w:r>
              <w:rPr>
                <w:rFonts w:ascii="仿宋" w:hAnsi="仿宋" w:eastAsia="仿宋"/>
                <w:szCs w:val="21"/>
              </w:rPr>
              <w:t>T</w:t>
            </w:r>
          </w:p>
        </w:tc>
        <w:tc>
          <w:tcPr>
            <w:tcW w:w="465" w:type="pct"/>
            <w:gridSpan w:val="2"/>
            <w:vAlign w:val="center"/>
          </w:tcPr>
          <w:p>
            <w:pPr>
              <w:jc w:val="center"/>
              <w:rPr>
                <w:rFonts w:ascii="仿宋" w:hAnsi="仿宋" w:eastAsia="仿宋"/>
                <w:szCs w:val="21"/>
              </w:rPr>
            </w:pPr>
            <w:r>
              <w:rPr>
                <w:rFonts w:ascii="仿宋" w:hAnsi="仿宋" w:eastAsia="仿宋"/>
                <w:szCs w:val="21"/>
              </w:rPr>
              <w:t>HW06</w:t>
            </w:r>
          </w:p>
        </w:tc>
        <w:tc>
          <w:tcPr>
            <w:tcW w:w="341" w:type="pct"/>
            <w:vAlign w:val="center"/>
          </w:tcPr>
          <w:p>
            <w:pPr>
              <w:jc w:val="center"/>
              <w:rPr>
                <w:rFonts w:ascii="仿宋" w:hAnsi="仿宋" w:eastAsia="仿宋"/>
                <w:szCs w:val="21"/>
              </w:rPr>
            </w:pPr>
            <w:r>
              <w:rPr>
                <w:rFonts w:ascii="仿宋" w:hAnsi="仿宋" w:eastAsia="仿宋"/>
                <w:szCs w:val="21"/>
              </w:rPr>
              <w:t>900-404-06</w:t>
            </w:r>
          </w:p>
        </w:tc>
        <w:tc>
          <w:tcPr>
            <w:tcW w:w="322" w:type="pct"/>
            <w:vAlign w:val="center"/>
          </w:tcPr>
          <w:p>
            <w:pPr>
              <w:jc w:val="center"/>
              <w:rPr>
                <w:rFonts w:ascii="仿宋" w:hAnsi="仿宋" w:eastAsia="仿宋"/>
                <w:szCs w:val="21"/>
              </w:rPr>
            </w:pPr>
            <w:r>
              <w:rPr>
                <w:rFonts w:hint="eastAsia" w:ascii="仿宋" w:hAnsi="仿宋" w:eastAsia="仿宋"/>
                <w:szCs w:val="21"/>
              </w:rPr>
              <w:t>3.6</w:t>
            </w:r>
          </w:p>
        </w:tc>
        <w:tc>
          <w:tcPr>
            <w:tcW w:w="382" w:type="pct"/>
            <w:vAlign w:val="center"/>
          </w:tcPr>
          <w:p>
            <w:pPr>
              <w:jc w:val="center"/>
              <w:rPr>
                <w:rFonts w:ascii="仿宋" w:hAnsi="仿宋" w:eastAsia="仿宋"/>
                <w:szCs w:val="21"/>
              </w:rPr>
            </w:pPr>
            <w:r>
              <w:rPr>
                <w:rFonts w:hint="eastAsia" w:ascii="仿宋" w:hAnsi="仿宋" w:eastAsia="仿宋"/>
                <w:szCs w:val="21"/>
              </w:rPr>
              <w:t>每天</w:t>
            </w:r>
          </w:p>
        </w:tc>
        <w:tc>
          <w:tcPr>
            <w:tcW w:w="382" w:type="pct"/>
            <w:vMerge w:val="continue"/>
            <w:vAlign w:val="center"/>
          </w:tcPr>
          <w:p>
            <w:pPr>
              <w:jc w:val="center"/>
              <w:rPr>
                <w:rFonts w:ascii="仿宋" w:hAnsi="仿宋" w:eastAsia="仿宋"/>
                <w:szCs w:val="21"/>
              </w:rPr>
            </w:pPr>
          </w:p>
        </w:tc>
        <w:tc>
          <w:tcPr>
            <w:tcW w:w="379" w:type="pct"/>
            <w:vAlign w:val="center"/>
          </w:tcPr>
          <w:p>
            <w:pPr>
              <w:jc w:val="center"/>
              <w:rPr>
                <w:rFonts w:ascii="仿宋" w:hAnsi="仿宋" w:eastAsia="仿宋"/>
                <w:szCs w:val="21"/>
              </w:rPr>
            </w:pPr>
            <w:r>
              <w:rPr>
                <w:rFonts w:hint="eastAsia" w:ascii="仿宋" w:hAnsi="仿宋" w:eastAsia="仿宋"/>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222" w:type="pct"/>
            <w:vAlign w:val="center"/>
          </w:tcPr>
          <w:p>
            <w:pPr>
              <w:jc w:val="center"/>
              <w:rPr>
                <w:rFonts w:ascii="仿宋" w:hAnsi="仿宋" w:eastAsia="仿宋"/>
                <w:sz w:val="22"/>
                <w:szCs w:val="22"/>
              </w:rPr>
            </w:pPr>
            <w:r>
              <w:rPr>
                <w:rFonts w:hint="eastAsia" w:ascii="仿宋" w:hAnsi="仿宋" w:eastAsia="仿宋"/>
                <w:sz w:val="22"/>
                <w:szCs w:val="22"/>
              </w:rPr>
              <w:t>5</w:t>
            </w:r>
          </w:p>
        </w:tc>
        <w:tc>
          <w:tcPr>
            <w:tcW w:w="473" w:type="pct"/>
            <w:vAlign w:val="center"/>
          </w:tcPr>
          <w:p>
            <w:pPr>
              <w:widowControl/>
              <w:jc w:val="center"/>
              <w:rPr>
                <w:rFonts w:ascii="仿宋" w:hAnsi="仿宋" w:eastAsia="仿宋"/>
                <w:kern w:val="0"/>
                <w:szCs w:val="21"/>
              </w:rPr>
            </w:pPr>
            <w:r>
              <w:rPr>
                <w:rFonts w:hint="eastAsia" w:ascii="仿宋" w:hAnsi="仿宋" w:eastAsia="仿宋"/>
                <w:kern w:val="0"/>
                <w:szCs w:val="21"/>
              </w:rPr>
              <w:t>S4</w:t>
            </w:r>
          </w:p>
        </w:tc>
        <w:tc>
          <w:tcPr>
            <w:tcW w:w="323" w:type="pct"/>
            <w:tcMar>
              <w:left w:w="0" w:type="dxa"/>
              <w:right w:w="0" w:type="dxa"/>
            </w:tcMar>
            <w:vAlign w:val="center"/>
          </w:tcPr>
          <w:p>
            <w:pPr>
              <w:widowControl/>
              <w:jc w:val="center"/>
              <w:rPr>
                <w:rFonts w:ascii="仿宋" w:hAnsi="仿宋" w:eastAsia="仿宋"/>
                <w:kern w:val="0"/>
                <w:szCs w:val="21"/>
              </w:rPr>
            </w:pPr>
            <w:r>
              <w:rPr>
                <w:rFonts w:hint="eastAsia" w:ascii="仿宋" w:hAnsi="仿宋" w:eastAsia="仿宋"/>
                <w:kern w:val="0"/>
                <w:szCs w:val="21"/>
              </w:rPr>
              <w:t>废原料桶</w:t>
            </w:r>
          </w:p>
        </w:tc>
        <w:tc>
          <w:tcPr>
            <w:tcW w:w="338" w:type="pct"/>
            <w:tcMar>
              <w:left w:w="0" w:type="dxa"/>
              <w:right w:w="0" w:type="dxa"/>
            </w:tcMar>
            <w:vAlign w:val="center"/>
          </w:tcPr>
          <w:p>
            <w:pPr>
              <w:jc w:val="center"/>
              <w:rPr>
                <w:rFonts w:ascii="仿宋" w:hAnsi="仿宋" w:eastAsia="仿宋"/>
                <w:szCs w:val="21"/>
              </w:rPr>
            </w:pPr>
            <w:r>
              <w:rPr>
                <w:rFonts w:hint="eastAsia" w:ascii="仿宋" w:hAnsi="仿宋" w:eastAsia="仿宋"/>
                <w:szCs w:val="21"/>
              </w:rPr>
              <w:t>危险废物</w:t>
            </w:r>
          </w:p>
        </w:tc>
        <w:tc>
          <w:tcPr>
            <w:tcW w:w="251" w:type="pct"/>
            <w:tcMar>
              <w:left w:w="0" w:type="dxa"/>
              <w:right w:w="0" w:type="dxa"/>
            </w:tcMar>
            <w:vAlign w:val="center"/>
          </w:tcPr>
          <w:p>
            <w:pPr>
              <w:widowControl/>
              <w:jc w:val="center"/>
              <w:rPr>
                <w:rFonts w:ascii="仿宋" w:hAnsi="仿宋" w:eastAsia="仿宋"/>
                <w:kern w:val="0"/>
                <w:szCs w:val="21"/>
              </w:rPr>
            </w:pPr>
            <w:r>
              <w:rPr>
                <w:rFonts w:hint="eastAsia" w:ascii="仿宋" w:hAnsi="仿宋" w:eastAsia="仿宋"/>
                <w:kern w:val="0"/>
                <w:szCs w:val="21"/>
              </w:rPr>
              <w:t>存储</w:t>
            </w:r>
          </w:p>
        </w:tc>
        <w:tc>
          <w:tcPr>
            <w:tcW w:w="166" w:type="pct"/>
            <w:tcMar>
              <w:left w:w="0" w:type="dxa"/>
              <w:right w:w="0" w:type="dxa"/>
            </w:tcMar>
            <w:vAlign w:val="center"/>
          </w:tcPr>
          <w:p>
            <w:pPr>
              <w:tabs>
                <w:tab w:val="left" w:pos="3240"/>
              </w:tabs>
              <w:adjustRightInd w:val="0"/>
              <w:snapToGrid w:val="0"/>
              <w:jc w:val="center"/>
              <w:rPr>
                <w:rFonts w:ascii="仿宋" w:hAnsi="仿宋" w:eastAsia="仿宋"/>
                <w:bCs/>
                <w:kern w:val="0"/>
                <w:szCs w:val="21"/>
              </w:rPr>
            </w:pPr>
            <w:r>
              <w:rPr>
                <w:rFonts w:hint="eastAsia" w:ascii="仿宋" w:hAnsi="仿宋" w:eastAsia="仿宋"/>
                <w:bCs/>
                <w:kern w:val="0"/>
                <w:szCs w:val="21"/>
              </w:rPr>
              <w:t>固</w:t>
            </w:r>
          </w:p>
        </w:tc>
        <w:tc>
          <w:tcPr>
            <w:tcW w:w="479" w:type="pct"/>
            <w:tcMar>
              <w:left w:w="0" w:type="dxa"/>
              <w:right w:w="0" w:type="dxa"/>
            </w:tcMar>
            <w:vAlign w:val="center"/>
          </w:tcPr>
          <w:p>
            <w:pPr>
              <w:tabs>
                <w:tab w:val="left" w:pos="3240"/>
              </w:tabs>
              <w:adjustRightInd w:val="0"/>
              <w:snapToGrid w:val="0"/>
              <w:jc w:val="center"/>
              <w:rPr>
                <w:rFonts w:ascii="仿宋" w:hAnsi="仿宋" w:eastAsia="仿宋"/>
                <w:bCs/>
                <w:kern w:val="0"/>
                <w:szCs w:val="21"/>
              </w:rPr>
            </w:pPr>
            <w:r>
              <w:rPr>
                <w:rFonts w:hint="eastAsia" w:ascii="仿宋" w:hAnsi="仿宋" w:eastAsia="仿宋"/>
                <w:bCs/>
                <w:kern w:val="0"/>
                <w:szCs w:val="21"/>
              </w:rPr>
              <w:t>有机溶剂</w:t>
            </w:r>
          </w:p>
        </w:tc>
        <w:tc>
          <w:tcPr>
            <w:tcW w:w="261" w:type="pct"/>
            <w:vMerge w:val="continue"/>
            <w:tcMar>
              <w:left w:w="0" w:type="dxa"/>
              <w:right w:w="0" w:type="dxa"/>
            </w:tcMar>
            <w:vAlign w:val="center"/>
          </w:tcPr>
          <w:p>
            <w:pPr>
              <w:tabs>
                <w:tab w:val="left" w:pos="3240"/>
              </w:tabs>
              <w:adjustRightInd w:val="0"/>
              <w:snapToGrid w:val="0"/>
              <w:jc w:val="center"/>
              <w:rPr>
                <w:rFonts w:ascii="仿宋" w:hAnsi="仿宋" w:eastAsia="仿宋"/>
                <w:bCs/>
                <w:kern w:val="0"/>
                <w:szCs w:val="21"/>
              </w:rPr>
            </w:pPr>
          </w:p>
        </w:tc>
        <w:tc>
          <w:tcPr>
            <w:tcW w:w="214" w:type="pct"/>
            <w:vAlign w:val="center"/>
          </w:tcPr>
          <w:p>
            <w:pPr>
              <w:jc w:val="center"/>
              <w:rPr>
                <w:rFonts w:ascii="仿宋" w:hAnsi="仿宋" w:eastAsia="仿宋"/>
                <w:szCs w:val="21"/>
              </w:rPr>
            </w:pPr>
            <w:r>
              <w:rPr>
                <w:rFonts w:ascii="仿宋" w:hAnsi="仿宋" w:eastAsia="仿宋"/>
                <w:szCs w:val="21"/>
              </w:rPr>
              <w:t>T/In</w:t>
            </w:r>
          </w:p>
        </w:tc>
        <w:tc>
          <w:tcPr>
            <w:tcW w:w="465" w:type="pct"/>
            <w:gridSpan w:val="2"/>
            <w:vAlign w:val="center"/>
          </w:tcPr>
          <w:p>
            <w:pPr>
              <w:jc w:val="center"/>
              <w:rPr>
                <w:rFonts w:ascii="仿宋" w:hAnsi="仿宋" w:eastAsia="仿宋"/>
                <w:szCs w:val="21"/>
              </w:rPr>
            </w:pPr>
            <w:r>
              <w:rPr>
                <w:rFonts w:ascii="仿宋" w:hAnsi="仿宋" w:eastAsia="仿宋"/>
                <w:szCs w:val="21"/>
              </w:rPr>
              <w:t>HW49</w:t>
            </w:r>
          </w:p>
        </w:tc>
        <w:tc>
          <w:tcPr>
            <w:tcW w:w="341" w:type="pct"/>
            <w:vAlign w:val="center"/>
          </w:tcPr>
          <w:p>
            <w:pPr>
              <w:jc w:val="center"/>
              <w:rPr>
                <w:rFonts w:ascii="仿宋" w:hAnsi="仿宋" w:eastAsia="仿宋"/>
                <w:szCs w:val="21"/>
              </w:rPr>
            </w:pPr>
            <w:r>
              <w:rPr>
                <w:rFonts w:ascii="仿宋" w:hAnsi="仿宋" w:eastAsia="仿宋"/>
                <w:szCs w:val="21"/>
              </w:rPr>
              <w:t>900-041-49</w:t>
            </w:r>
          </w:p>
        </w:tc>
        <w:tc>
          <w:tcPr>
            <w:tcW w:w="322" w:type="pct"/>
            <w:vAlign w:val="center"/>
          </w:tcPr>
          <w:p>
            <w:pPr>
              <w:jc w:val="center"/>
              <w:rPr>
                <w:rFonts w:ascii="仿宋" w:hAnsi="仿宋" w:eastAsia="仿宋"/>
                <w:szCs w:val="21"/>
              </w:rPr>
            </w:pPr>
            <w:r>
              <w:rPr>
                <w:rFonts w:hint="eastAsia" w:ascii="仿宋" w:hAnsi="仿宋" w:eastAsia="仿宋"/>
                <w:szCs w:val="21"/>
              </w:rPr>
              <w:t>2.2</w:t>
            </w:r>
          </w:p>
        </w:tc>
        <w:tc>
          <w:tcPr>
            <w:tcW w:w="382" w:type="pct"/>
            <w:vAlign w:val="center"/>
          </w:tcPr>
          <w:p>
            <w:pPr>
              <w:jc w:val="center"/>
              <w:rPr>
                <w:rFonts w:ascii="仿宋" w:hAnsi="仿宋" w:eastAsia="仿宋"/>
                <w:szCs w:val="21"/>
              </w:rPr>
            </w:pPr>
            <w:r>
              <w:rPr>
                <w:rFonts w:hint="eastAsia" w:ascii="仿宋" w:hAnsi="仿宋" w:eastAsia="仿宋"/>
                <w:szCs w:val="21"/>
              </w:rPr>
              <w:t>每天</w:t>
            </w:r>
          </w:p>
        </w:tc>
        <w:tc>
          <w:tcPr>
            <w:tcW w:w="382" w:type="pct"/>
            <w:vMerge w:val="continue"/>
            <w:vAlign w:val="center"/>
          </w:tcPr>
          <w:p>
            <w:pPr>
              <w:jc w:val="center"/>
              <w:rPr>
                <w:rFonts w:ascii="仿宋" w:hAnsi="仿宋" w:eastAsia="仿宋"/>
                <w:szCs w:val="21"/>
              </w:rPr>
            </w:pPr>
          </w:p>
        </w:tc>
        <w:tc>
          <w:tcPr>
            <w:tcW w:w="379" w:type="pct"/>
            <w:vAlign w:val="center"/>
          </w:tcPr>
          <w:p>
            <w:pPr>
              <w:jc w:val="center"/>
              <w:rPr>
                <w:rFonts w:ascii="仿宋" w:hAnsi="仿宋" w:eastAsia="仿宋"/>
                <w:szCs w:val="21"/>
              </w:rPr>
            </w:pPr>
            <w:r>
              <w:rPr>
                <w:rFonts w:hint="eastAsia" w:ascii="仿宋" w:hAnsi="仿宋" w:eastAsia="仿宋"/>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222" w:type="pct"/>
            <w:vAlign w:val="center"/>
          </w:tcPr>
          <w:p>
            <w:pPr>
              <w:jc w:val="center"/>
              <w:rPr>
                <w:rFonts w:ascii="仿宋" w:hAnsi="仿宋" w:eastAsia="仿宋"/>
                <w:sz w:val="22"/>
                <w:szCs w:val="22"/>
              </w:rPr>
            </w:pPr>
            <w:r>
              <w:rPr>
                <w:rFonts w:hint="eastAsia" w:ascii="仿宋" w:hAnsi="仿宋" w:eastAsia="仿宋"/>
                <w:sz w:val="22"/>
                <w:szCs w:val="22"/>
              </w:rPr>
              <w:t>6</w:t>
            </w:r>
          </w:p>
        </w:tc>
        <w:tc>
          <w:tcPr>
            <w:tcW w:w="473" w:type="pct"/>
            <w:vAlign w:val="center"/>
          </w:tcPr>
          <w:p>
            <w:pPr>
              <w:widowControl/>
              <w:jc w:val="center"/>
              <w:rPr>
                <w:rFonts w:ascii="仿宋" w:hAnsi="仿宋" w:eastAsia="仿宋"/>
                <w:kern w:val="0"/>
                <w:szCs w:val="21"/>
              </w:rPr>
            </w:pPr>
            <w:r>
              <w:rPr>
                <w:rFonts w:hint="eastAsia" w:ascii="仿宋" w:hAnsi="仿宋" w:eastAsia="仿宋"/>
                <w:kern w:val="0"/>
                <w:szCs w:val="21"/>
              </w:rPr>
              <w:t>S5</w:t>
            </w:r>
          </w:p>
        </w:tc>
        <w:tc>
          <w:tcPr>
            <w:tcW w:w="323" w:type="pct"/>
            <w:tcMar>
              <w:left w:w="0" w:type="dxa"/>
              <w:right w:w="0" w:type="dxa"/>
            </w:tcMar>
            <w:vAlign w:val="center"/>
          </w:tcPr>
          <w:p>
            <w:pPr>
              <w:widowControl/>
              <w:jc w:val="center"/>
              <w:rPr>
                <w:rFonts w:ascii="仿宋" w:hAnsi="仿宋" w:eastAsia="仿宋"/>
                <w:kern w:val="0"/>
                <w:szCs w:val="21"/>
              </w:rPr>
            </w:pPr>
            <w:r>
              <w:rPr>
                <w:rFonts w:hint="eastAsia" w:ascii="仿宋" w:hAnsi="仿宋" w:eastAsia="仿宋"/>
                <w:kern w:val="0"/>
                <w:szCs w:val="21"/>
              </w:rPr>
              <w:t>废抹布手套</w:t>
            </w:r>
          </w:p>
        </w:tc>
        <w:tc>
          <w:tcPr>
            <w:tcW w:w="338" w:type="pct"/>
            <w:tcMar>
              <w:left w:w="0" w:type="dxa"/>
              <w:right w:w="0" w:type="dxa"/>
            </w:tcMar>
            <w:vAlign w:val="center"/>
          </w:tcPr>
          <w:p>
            <w:pPr>
              <w:jc w:val="center"/>
              <w:rPr>
                <w:rFonts w:ascii="仿宋" w:hAnsi="仿宋" w:eastAsia="仿宋"/>
                <w:szCs w:val="21"/>
              </w:rPr>
            </w:pPr>
            <w:r>
              <w:rPr>
                <w:rFonts w:hint="eastAsia" w:ascii="仿宋" w:hAnsi="仿宋" w:eastAsia="仿宋"/>
                <w:szCs w:val="21"/>
              </w:rPr>
              <w:t>危险废物</w:t>
            </w:r>
          </w:p>
        </w:tc>
        <w:tc>
          <w:tcPr>
            <w:tcW w:w="251" w:type="pct"/>
            <w:tcMar>
              <w:left w:w="0" w:type="dxa"/>
              <w:right w:w="0" w:type="dxa"/>
            </w:tcMar>
            <w:vAlign w:val="center"/>
          </w:tcPr>
          <w:p>
            <w:pPr>
              <w:widowControl/>
              <w:jc w:val="center"/>
              <w:rPr>
                <w:rFonts w:ascii="仿宋" w:hAnsi="仿宋" w:eastAsia="仿宋"/>
                <w:szCs w:val="21"/>
              </w:rPr>
            </w:pPr>
            <w:r>
              <w:rPr>
                <w:rFonts w:hint="eastAsia" w:ascii="仿宋" w:hAnsi="仿宋" w:eastAsia="仿宋"/>
                <w:kern w:val="0"/>
                <w:szCs w:val="21"/>
              </w:rPr>
              <w:t>清洗</w:t>
            </w:r>
          </w:p>
        </w:tc>
        <w:tc>
          <w:tcPr>
            <w:tcW w:w="166" w:type="pct"/>
            <w:tcMar>
              <w:left w:w="0" w:type="dxa"/>
              <w:right w:w="0" w:type="dxa"/>
            </w:tcMar>
            <w:vAlign w:val="center"/>
          </w:tcPr>
          <w:p>
            <w:pPr>
              <w:tabs>
                <w:tab w:val="left" w:pos="3240"/>
              </w:tabs>
              <w:adjustRightInd w:val="0"/>
              <w:snapToGrid w:val="0"/>
              <w:jc w:val="center"/>
              <w:rPr>
                <w:rFonts w:ascii="仿宋" w:hAnsi="仿宋" w:eastAsia="仿宋"/>
                <w:szCs w:val="21"/>
              </w:rPr>
            </w:pPr>
            <w:r>
              <w:rPr>
                <w:rFonts w:hint="eastAsia" w:ascii="仿宋" w:hAnsi="仿宋" w:eastAsia="仿宋"/>
                <w:bCs/>
                <w:kern w:val="0"/>
                <w:szCs w:val="21"/>
              </w:rPr>
              <w:t>固</w:t>
            </w:r>
          </w:p>
        </w:tc>
        <w:tc>
          <w:tcPr>
            <w:tcW w:w="479" w:type="pct"/>
            <w:tcMar>
              <w:left w:w="0" w:type="dxa"/>
              <w:right w:w="0" w:type="dxa"/>
            </w:tcMar>
            <w:vAlign w:val="center"/>
          </w:tcPr>
          <w:p>
            <w:pPr>
              <w:tabs>
                <w:tab w:val="left" w:pos="3240"/>
              </w:tabs>
              <w:adjustRightInd w:val="0"/>
              <w:snapToGrid w:val="0"/>
              <w:jc w:val="center"/>
              <w:rPr>
                <w:rFonts w:ascii="仿宋" w:hAnsi="仿宋" w:eastAsia="仿宋"/>
                <w:szCs w:val="21"/>
              </w:rPr>
            </w:pPr>
            <w:r>
              <w:rPr>
                <w:rFonts w:hint="eastAsia" w:ascii="仿宋" w:hAnsi="仿宋" w:eastAsia="仿宋"/>
                <w:bCs/>
                <w:kern w:val="0"/>
                <w:szCs w:val="21"/>
              </w:rPr>
              <w:t>清洗剂</w:t>
            </w:r>
          </w:p>
        </w:tc>
        <w:tc>
          <w:tcPr>
            <w:tcW w:w="261" w:type="pct"/>
            <w:vMerge w:val="continue"/>
            <w:tcMar>
              <w:left w:w="0" w:type="dxa"/>
              <w:right w:w="0" w:type="dxa"/>
            </w:tcMar>
            <w:vAlign w:val="center"/>
          </w:tcPr>
          <w:p>
            <w:pPr>
              <w:tabs>
                <w:tab w:val="left" w:pos="3240"/>
              </w:tabs>
              <w:adjustRightInd w:val="0"/>
              <w:snapToGrid w:val="0"/>
              <w:jc w:val="center"/>
              <w:rPr>
                <w:rFonts w:ascii="仿宋" w:hAnsi="仿宋" w:eastAsia="仿宋"/>
                <w:bCs/>
                <w:kern w:val="0"/>
                <w:szCs w:val="21"/>
              </w:rPr>
            </w:pPr>
          </w:p>
        </w:tc>
        <w:tc>
          <w:tcPr>
            <w:tcW w:w="214" w:type="pct"/>
            <w:vAlign w:val="center"/>
          </w:tcPr>
          <w:p>
            <w:pPr>
              <w:jc w:val="center"/>
              <w:rPr>
                <w:rFonts w:ascii="仿宋" w:hAnsi="仿宋" w:eastAsia="仿宋"/>
                <w:szCs w:val="21"/>
              </w:rPr>
            </w:pPr>
            <w:r>
              <w:rPr>
                <w:rFonts w:ascii="仿宋" w:hAnsi="仿宋" w:eastAsia="仿宋"/>
                <w:szCs w:val="21"/>
              </w:rPr>
              <w:t>T,I</w:t>
            </w:r>
          </w:p>
        </w:tc>
        <w:tc>
          <w:tcPr>
            <w:tcW w:w="465" w:type="pct"/>
            <w:gridSpan w:val="2"/>
            <w:vAlign w:val="center"/>
          </w:tcPr>
          <w:p>
            <w:pPr>
              <w:jc w:val="center"/>
              <w:rPr>
                <w:rFonts w:ascii="仿宋" w:hAnsi="仿宋" w:eastAsia="仿宋"/>
                <w:szCs w:val="21"/>
              </w:rPr>
            </w:pPr>
            <w:r>
              <w:rPr>
                <w:rFonts w:ascii="仿宋" w:hAnsi="仿宋" w:eastAsia="仿宋"/>
                <w:szCs w:val="21"/>
              </w:rPr>
              <w:t>HW</w:t>
            </w:r>
            <w:r>
              <w:rPr>
                <w:rFonts w:hint="eastAsia" w:ascii="仿宋" w:hAnsi="仿宋" w:eastAsia="仿宋"/>
                <w:szCs w:val="21"/>
              </w:rPr>
              <w:t>49</w:t>
            </w:r>
          </w:p>
        </w:tc>
        <w:tc>
          <w:tcPr>
            <w:tcW w:w="341" w:type="pct"/>
            <w:vAlign w:val="center"/>
          </w:tcPr>
          <w:p>
            <w:pPr>
              <w:jc w:val="center"/>
              <w:rPr>
                <w:rFonts w:ascii="仿宋" w:hAnsi="仿宋" w:eastAsia="仿宋"/>
                <w:szCs w:val="21"/>
              </w:rPr>
            </w:pPr>
            <w:r>
              <w:rPr>
                <w:rFonts w:ascii="仿宋" w:hAnsi="仿宋" w:eastAsia="仿宋"/>
                <w:szCs w:val="21"/>
              </w:rPr>
              <w:t>900-</w:t>
            </w:r>
            <w:r>
              <w:rPr>
                <w:rFonts w:hint="eastAsia" w:ascii="仿宋" w:hAnsi="仿宋" w:eastAsia="仿宋"/>
                <w:szCs w:val="21"/>
              </w:rPr>
              <w:t>041-49</w:t>
            </w:r>
          </w:p>
        </w:tc>
        <w:tc>
          <w:tcPr>
            <w:tcW w:w="322" w:type="pct"/>
            <w:vAlign w:val="center"/>
          </w:tcPr>
          <w:p>
            <w:pPr>
              <w:jc w:val="center"/>
              <w:rPr>
                <w:rFonts w:ascii="仿宋" w:hAnsi="仿宋" w:eastAsia="仿宋"/>
                <w:szCs w:val="21"/>
              </w:rPr>
            </w:pPr>
            <w:r>
              <w:rPr>
                <w:rFonts w:hint="eastAsia" w:ascii="仿宋" w:hAnsi="仿宋" w:eastAsia="仿宋"/>
                <w:szCs w:val="21"/>
              </w:rPr>
              <w:t>1</w:t>
            </w:r>
          </w:p>
        </w:tc>
        <w:tc>
          <w:tcPr>
            <w:tcW w:w="382" w:type="pct"/>
            <w:vAlign w:val="center"/>
          </w:tcPr>
          <w:p>
            <w:pPr>
              <w:jc w:val="center"/>
              <w:rPr>
                <w:rFonts w:ascii="仿宋" w:hAnsi="仿宋" w:eastAsia="仿宋"/>
                <w:szCs w:val="21"/>
              </w:rPr>
            </w:pPr>
            <w:r>
              <w:rPr>
                <w:rFonts w:hint="eastAsia" w:ascii="仿宋" w:hAnsi="仿宋" w:eastAsia="仿宋"/>
                <w:szCs w:val="21"/>
              </w:rPr>
              <w:t>每天</w:t>
            </w:r>
          </w:p>
        </w:tc>
        <w:tc>
          <w:tcPr>
            <w:tcW w:w="382" w:type="pct"/>
            <w:vMerge w:val="continue"/>
            <w:vAlign w:val="center"/>
          </w:tcPr>
          <w:p>
            <w:pPr>
              <w:jc w:val="center"/>
              <w:rPr>
                <w:rFonts w:ascii="仿宋" w:hAnsi="仿宋" w:eastAsia="仿宋"/>
                <w:szCs w:val="21"/>
              </w:rPr>
            </w:pPr>
          </w:p>
        </w:tc>
        <w:tc>
          <w:tcPr>
            <w:tcW w:w="379" w:type="pct"/>
            <w:vAlign w:val="center"/>
          </w:tcPr>
          <w:p>
            <w:pPr>
              <w:jc w:val="center"/>
              <w:rPr>
                <w:rFonts w:ascii="仿宋" w:hAnsi="仿宋" w:eastAsia="仿宋"/>
                <w:szCs w:val="21"/>
              </w:rPr>
            </w:pPr>
            <w:r>
              <w:rPr>
                <w:rFonts w:hint="eastAsia" w:ascii="仿宋" w:hAnsi="仿宋" w:eastAsia="仿宋"/>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222" w:type="pct"/>
            <w:vAlign w:val="center"/>
          </w:tcPr>
          <w:p>
            <w:pPr>
              <w:jc w:val="center"/>
              <w:rPr>
                <w:rFonts w:ascii="仿宋" w:hAnsi="仿宋" w:eastAsia="仿宋"/>
                <w:sz w:val="22"/>
                <w:szCs w:val="22"/>
              </w:rPr>
            </w:pPr>
            <w:r>
              <w:rPr>
                <w:rFonts w:hint="eastAsia" w:ascii="仿宋" w:hAnsi="仿宋" w:eastAsia="仿宋"/>
                <w:sz w:val="22"/>
                <w:szCs w:val="22"/>
              </w:rPr>
              <w:t>7</w:t>
            </w:r>
          </w:p>
        </w:tc>
        <w:tc>
          <w:tcPr>
            <w:tcW w:w="473" w:type="pct"/>
            <w:vAlign w:val="center"/>
          </w:tcPr>
          <w:p>
            <w:pPr>
              <w:widowControl/>
              <w:jc w:val="center"/>
              <w:rPr>
                <w:rFonts w:ascii="仿宋" w:hAnsi="仿宋" w:eastAsia="仿宋"/>
                <w:kern w:val="0"/>
                <w:szCs w:val="21"/>
              </w:rPr>
            </w:pPr>
            <w:r>
              <w:rPr>
                <w:rFonts w:hint="eastAsia" w:ascii="仿宋" w:hAnsi="仿宋" w:eastAsia="仿宋"/>
                <w:kern w:val="0"/>
                <w:szCs w:val="21"/>
              </w:rPr>
              <w:t>S6</w:t>
            </w:r>
          </w:p>
        </w:tc>
        <w:tc>
          <w:tcPr>
            <w:tcW w:w="323" w:type="pct"/>
            <w:tcMar>
              <w:left w:w="0" w:type="dxa"/>
              <w:right w:w="0" w:type="dxa"/>
            </w:tcMar>
            <w:vAlign w:val="center"/>
          </w:tcPr>
          <w:p>
            <w:pPr>
              <w:widowControl/>
              <w:jc w:val="center"/>
              <w:rPr>
                <w:rFonts w:ascii="仿宋" w:hAnsi="仿宋" w:eastAsia="仿宋"/>
                <w:kern w:val="0"/>
                <w:szCs w:val="21"/>
              </w:rPr>
            </w:pPr>
            <w:r>
              <w:rPr>
                <w:rFonts w:hint="eastAsia" w:ascii="仿宋" w:hAnsi="仿宋" w:eastAsia="仿宋"/>
                <w:kern w:val="0"/>
                <w:szCs w:val="21"/>
              </w:rPr>
              <w:t>废机油</w:t>
            </w:r>
          </w:p>
        </w:tc>
        <w:tc>
          <w:tcPr>
            <w:tcW w:w="338" w:type="pct"/>
            <w:tcMar>
              <w:left w:w="0" w:type="dxa"/>
              <w:right w:w="0" w:type="dxa"/>
            </w:tcMar>
            <w:vAlign w:val="center"/>
          </w:tcPr>
          <w:p>
            <w:pPr>
              <w:jc w:val="center"/>
              <w:rPr>
                <w:rFonts w:ascii="仿宋" w:hAnsi="仿宋" w:eastAsia="仿宋"/>
                <w:szCs w:val="21"/>
              </w:rPr>
            </w:pPr>
            <w:r>
              <w:rPr>
                <w:rFonts w:hint="eastAsia" w:ascii="仿宋" w:hAnsi="仿宋" w:eastAsia="仿宋"/>
                <w:szCs w:val="21"/>
              </w:rPr>
              <w:t>危险废物</w:t>
            </w:r>
          </w:p>
        </w:tc>
        <w:tc>
          <w:tcPr>
            <w:tcW w:w="251" w:type="pct"/>
            <w:tcMar>
              <w:left w:w="0" w:type="dxa"/>
              <w:right w:w="0" w:type="dxa"/>
            </w:tcMar>
            <w:vAlign w:val="center"/>
          </w:tcPr>
          <w:p>
            <w:pPr>
              <w:widowControl/>
              <w:jc w:val="center"/>
              <w:rPr>
                <w:rFonts w:ascii="仿宋" w:hAnsi="仿宋" w:eastAsia="仿宋"/>
                <w:szCs w:val="21"/>
              </w:rPr>
            </w:pPr>
            <w:r>
              <w:rPr>
                <w:rFonts w:hint="eastAsia" w:ascii="仿宋" w:hAnsi="仿宋" w:eastAsia="仿宋"/>
                <w:kern w:val="0"/>
                <w:szCs w:val="21"/>
              </w:rPr>
              <w:t>维修</w:t>
            </w:r>
          </w:p>
        </w:tc>
        <w:tc>
          <w:tcPr>
            <w:tcW w:w="166" w:type="pct"/>
            <w:tcMar>
              <w:left w:w="0" w:type="dxa"/>
              <w:right w:w="0" w:type="dxa"/>
            </w:tcMar>
            <w:vAlign w:val="center"/>
          </w:tcPr>
          <w:p>
            <w:pPr>
              <w:tabs>
                <w:tab w:val="left" w:pos="3240"/>
              </w:tabs>
              <w:adjustRightInd w:val="0"/>
              <w:snapToGrid w:val="0"/>
              <w:jc w:val="center"/>
              <w:rPr>
                <w:rFonts w:ascii="仿宋" w:hAnsi="仿宋" w:eastAsia="仿宋"/>
                <w:szCs w:val="21"/>
              </w:rPr>
            </w:pPr>
            <w:r>
              <w:rPr>
                <w:rFonts w:hint="eastAsia" w:ascii="仿宋" w:hAnsi="仿宋" w:eastAsia="仿宋"/>
                <w:bCs/>
                <w:kern w:val="0"/>
                <w:szCs w:val="21"/>
              </w:rPr>
              <w:t>液</w:t>
            </w:r>
          </w:p>
        </w:tc>
        <w:tc>
          <w:tcPr>
            <w:tcW w:w="479" w:type="pct"/>
            <w:tcMar>
              <w:left w:w="0" w:type="dxa"/>
              <w:right w:w="0" w:type="dxa"/>
            </w:tcMar>
            <w:vAlign w:val="center"/>
          </w:tcPr>
          <w:p>
            <w:pPr>
              <w:tabs>
                <w:tab w:val="left" w:pos="3240"/>
              </w:tabs>
              <w:adjustRightInd w:val="0"/>
              <w:snapToGrid w:val="0"/>
              <w:jc w:val="center"/>
              <w:rPr>
                <w:rFonts w:ascii="仿宋" w:hAnsi="仿宋" w:eastAsia="仿宋"/>
                <w:szCs w:val="21"/>
              </w:rPr>
            </w:pPr>
            <w:r>
              <w:rPr>
                <w:rFonts w:hint="eastAsia" w:ascii="仿宋" w:hAnsi="仿宋" w:eastAsia="仿宋"/>
                <w:bCs/>
                <w:kern w:val="0"/>
                <w:szCs w:val="21"/>
              </w:rPr>
              <w:t>机油</w:t>
            </w:r>
          </w:p>
        </w:tc>
        <w:tc>
          <w:tcPr>
            <w:tcW w:w="261" w:type="pct"/>
            <w:vMerge w:val="continue"/>
            <w:tcMar>
              <w:left w:w="0" w:type="dxa"/>
              <w:right w:w="0" w:type="dxa"/>
            </w:tcMar>
            <w:vAlign w:val="center"/>
          </w:tcPr>
          <w:p>
            <w:pPr>
              <w:tabs>
                <w:tab w:val="left" w:pos="3240"/>
              </w:tabs>
              <w:adjustRightInd w:val="0"/>
              <w:snapToGrid w:val="0"/>
              <w:jc w:val="center"/>
              <w:rPr>
                <w:rFonts w:ascii="仿宋" w:hAnsi="仿宋" w:eastAsia="仿宋"/>
                <w:bCs/>
                <w:kern w:val="0"/>
                <w:szCs w:val="21"/>
              </w:rPr>
            </w:pPr>
          </w:p>
        </w:tc>
        <w:tc>
          <w:tcPr>
            <w:tcW w:w="214" w:type="pct"/>
            <w:vAlign w:val="center"/>
          </w:tcPr>
          <w:p>
            <w:pPr>
              <w:jc w:val="center"/>
              <w:rPr>
                <w:rFonts w:ascii="仿宋" w:hAnsi="仿宋" w:eastAsia="仿宋"/>
                <w:szCs w:val="21"/>
              </w:rPr>
            </w:pPr>
            <w:r>
              <w:rPr>
                <w:rFonts w:ascii="仿宋" w:hAnsi="仿宋" w:eastAsia="仿宋"/>
                <w:szCs w:val="21"/>
              </w:rPr>
              <w:t>T,I</w:t>
            </w:r>
          </w:p>
        </w:tc>
        <w:tc>
          <w:tcPr>
            <w:tcW w:w="465" w:type="pct"/>
            <w:gridSpan w:val="2"/>
            <w:vAlign w:val="center"/>
          </w:tcPr>
          <w:p>
            <w:pPr>
              <w:jc w:val="center"/>
              <w:rPr>
                <w:rFonts w:ascii="仿宋" w:hAnsi="仿宋" w:eastAsia="仿宋"/>
                <w:szCs w:val="21"/>
              </w:rPr>
            </w:pPr>
            <w:r>
              <w:rPr>
                <w:rFonts w:hint="eastAsia" w:ascii="仿宋" w:hAnsi="仿宋" w:eastAsia="仿宋"/>
                <w:szCs w:val="21"/>
              </w:rPr>
              <w:t>HW08</w:t>
            </w:r>
          </w:p>
        </w:tc>
        <w:tc>
          <w:tcPr>
            <w:tcW w:w="341" w:type="pct"/>
            <w:vAlign w:val="center"/>
          </w:tcPr>
          <w:p>
            <w:pPr>
              <w:jc w:val="center"/>
              <w:rPr>
                <w:rFonts w:ascii="仿宋" w:hAnsi="仿宋" w:eastAsia="仿宋"/>
                <w:szCs w:val="21"/>
              </w:rPr>
            </w:pPr>
            <w:r>
              <w:rPr>
                <w:rFonts w:hint="eastAsia" w:ascii="仿宋" w:hAnsi="仿宋" w:eastAsia="仿宋"/>
                <w:szCs w:val="21"/>
              </w:rPr>
              <w:t>900-249-08</w:t>
            </w:r>
          </w:p>
        </w:tc>
        <w:tc>
          <w:tcPr>
            <w:tcW w:w="322" w:type="pct"/>
            <w:vAlign w:val="center"/>
          </w:tcPr>
          <w:p>
            <w:pPr>
              <w:jc w:val="center"/>
              <w:rPr>
                <w:rFonts w:ascii="仿宋" w:hAnsi="仿宋" w:eastAsia="仿宋"/>
                <w:szCs w:val="21"/>
              </w:rPr>
            </w:pPr>
            <w:r>
              <w:rPr>
                <w:rFonts w:hint="eastAsia" w:ascii="仿宋" w:hAnsi="仿宋" w:eastAsia="仿宋"/>
                <w:szCs w:val="21"/>
              </w:rPr>
              <w:t>0.3</w:t>
            </w:r>
          </w:p>
        </w:tc>
        <w:tc>
          <w:tcPr>
            <w:tcW w:w="382" w:type="pct"/>
            <w:vAlign w:val="center"/>
          </w:tcPr>
          <w:p>
            <w:pPr>
              <w:jc w:val="center"/>
              <w:rPr>
                <w:rFonts w:ascii="仿宋" w:hAnsi="仿宋" w:eastAsia="仿宋"/>
                <w:szCs w:val="21"/>
              </w:rPr>
            </w:pPr>
            <w:r>
              <w:rPr>
                <w:rFonts w:hint="eastAsia" w:ascii="仿宋" w:hAnsi="仿宋" w:eastAsia="仿宋"/>
                <w:szCs w:val="21"/>
              </w:rPr>
              <w:t>每天</w:t>
            </w:r>
          </w:p>
        </w:tc>
        <w:tc>
          <w:tcPr>
            <w:tcW w:w="382" w:type="pct"/>
            <w:vMerge w:val="continue"/>
            <w:vAlign w:val="center"/>
          </w:tcPr>
          <w:p>
            <w:pPr>
              <w:jc w:val="center"/>
              <w:rPr>
                <w:rFonts w:ascii="仿宋" w:hAnsi="仿宋" w:eastAsia="仿宋"/>
                <w:szCs w:val="21"/>
              </w:rPr>
            </w:pPr>
          </w:p>
        </w:tc>
        <w:tc>
          <w:tcPr>
            <w:tcW w:w="379" w:type="pct"/>
            <w:vAlign w:val="center"/>
          </w:tcPr>
          <w:p>
            <w:pPr>
              <w:jc w:val="center"/>
              <w:rPr>
                <w:rFonts w:ascii="仿宋" w:hAnsi="仿宋" w:eastAsia="仿宋"/>
                <w:szCs w:val="21"/>
              </w:rPr>
            </w:pPr>
            <w:r>
              <w:rPr>
                <w:rFonts w:hint="eastAsia" w:ascii="仿宋" w:hAnsi="仿宋" w:eastAsia="仿宋"/>
                <w:szCs w:val="21"/>
              </w:rPr>
              <w:t>0</w:t>
            </w:r>
          </w:p>
        </w:tc>
      </w:tr>
    </w:tbl>
    <w:p>
      <w:pPr>
        <w:pStyle w:val="33"/>
      </w:pPr>
    </w:p>
    <w:p>
      <w:pPr>
        <w:pStyle w:val="45"/>
      </w:pPr>
    </w:p>
    <w:p>
      <w:pPr>
        <w:rPr>
          <w:rFonts w:eastAsia="仿宋_GB2312"/>
        </w:rPr>
        <w:sectPr>
          <w:pgSz w:w="16839" w:h="11907" w:orient="landscape"/>
          <w:pgMar w:top="1678" w:right="1843" w:bottom="1616" w:left="1440" w:header="1191" w:footer="992" w:gutter="0"/>
          <w:cols w:space="425" w:num="1"/>
          <w:docGrid w:linePitch="312" w:charSpace="0"/>
        </w:sectPr>
      </w:pPr>
    </w:p>
    <w:p>
      <w:pPr>
        <w:pStyle w:val="3"/>
        <w:spacing w:before="120" w:after="120"/>
      </w:pPr>
      <w:bookmarkStart w:id="464" w:name="_Toc446488284"/>
      <w:bookmarkStart w:id="465" w:name="_Toc472510533"/>
      <w:bookmarkStart w:id="466" w:name="_Toc140565289"/>
      <w:r>
        <w:t>监测</w:t>
      </w:r>
      <w:bookmarkEnd w:id="464"/>
      <w:r>
        <w:t>计划</w:t>
      </w:r>
      <w:bookmarkEnd w:id="465"/>
      <w:bookmarkEnd w:id="466"/>
    </w:p>
    <w:p>
      <w:pPr>
        <w:pStyle w:val="4"/>
        <w:keepLines w:val="0"/>
        <w:numPr>
          <w:ilvl w:val="2"/>
          <w:numId w:val="1"/>
        </w:numPr>
        <w:tabs>
          <w:tab w:val="left" w:pos="851"/>
        </w:tabs>
        <w:spacing w:before="0" w:after="120" w:afterLines="50" w:line="500" w:lineRule="exact"/>
        <w:ind w:left="0" w:firstLine="0"/>
        <w:rPr>
          <w:rFonts w:eastAsia="仿宋_GB2312"/>
          <w:spacing w:val="6"/>
          <w:sz w:val="28"/>
          <w:szCs w:val="20"/>
        </w:rPr>
      </w:pPr>
      <w:bookmarkStart w:id="467" w:name="_Toc200708063"/>
      <w:r>
        <w:rPr>
          <w:rFonts w:eastAsia="仿宋_GB2312"/>
          <w:spacing w:val="6"/>
          <w:sz w:val="28"/>
          <w:szCs w:val="20"/>
        </w:rPr>
        <w:t>验收监测</w:t>
      </w:r>
    </w:p>
    <w:p>
      <w:pPr>
        <w:snapToGrid w:val="0"/>
        <w:spacing w:line="500" w:lineRule="exact"/>
        <w:ind w:firstLine="465"/>
        <w:textAlignment w:val="baseline"/>
        <w:rPr>
          <w:rFonts w:eastAsia="仿宋_GB2312"/>
          <w:sz w:val="28"/>
          <w:szCs w:val="28"/>
        </w:rPr>
      </w:pPr>
      <w:r>
        <w:rPr>
          <w:rFonts w:eastAsia="仿宋_GB2312"/>
          <w:sz w:val="28"/>
          <w:szCs w:val="28"/>
        </w:rPr>
        <w:t>项目投运后，公司应按“三同时”验收程序委托环境监测机构开展建设项目环保“三同时”设施竣工验收监测，具体监测方案由监测机构根据《关于建设项目环境保护设施竣工验收监测管理有关问题的通知》（环发〔2000〕38号）确定，验收监测报告作为环保主管部门进行“三同时”验收的依据。</w:t>
      </w:r>
    </w:p>
    <w:p>
      <w:pPr>
        <w:pStyle w:val="4"/>
        <w:keepLines w:val="0"/>
        <w:numPr>
          <w:ilvl w:val="2"/>
          <w:numId w:val="1"/>
        </w:numPr>
        <w:tabs>
          <w:tab w:val="left" w:pos="851"/>
        </w:tabs>
        <w:spacing w:before="0" w:after="120" w:afterLines="50" w:line="500" w:lineRule="exact"/>
        <w:ind w:left="0" w:firstLine="0"/>
        <w:rPr>
          <w:rFonts w:eastAsia="仿宋_GB2312"/>
          <w:spacing w:val="6"/>
          <w:sz w:val="28"/>
          <w:szCs w:val="20"/>
        </w:rPr>
      </w:pPr>
      <w:r>
        <w:rPr>
          <w:rFonts w:eastAsia="仿宋_GB2312"/>
          <w:spacing w:val="6"/>
          <w:sz w:val="28"/>
          <w:szCs w:val="20"/>
        </w:rPr>
        <w:t>污染源监测计划</w:t>
      </w:r>
    </w:p>
    <w:p>
      <w:pPr>
        <w:snapToGrid w:val="0"/>
        <w:spacing w:line="500" w:lineRule="exact"/>
        <w:ind w:firstLine="465"/>
        <w:textAlignment w:val="baseline"/>
        <w:rPr>
          <w:rFonts w:eastAsia="仿宋_GB2312"/>
          <w:sz w:val="28"/>
          <w:szCs w:val="28"/>
        </w:rPr>
      </w:pPr>
      <w:r>
        <w:rPr>
          <w:rFonts w:eastAsia="仿宋_GB2312"/>
          <w:sz w:val="28"/>
          <w:szCs w:val="28"/>
        </w:rPr>
        <w:t>本根据《江苏省排放水污染物许可证管理办法》（省人民政府令[2011]74号）</w:t>
      </w:r>
      <w:r>
        <w:rPr>
          <w:rFonts w:hint="eastAsia" w:eastAsia="仿宋_GB2312"/>
          <w:sz w:val="28"/>
          <w:szCs w:val="28"/>
        </w:rPr>
        <w:t>、《排污</w:t>
      </w:r>
      <w:r>
        <w:rPr>
          <w:rFonts w:eastAsia="仿宋_GB2312"/>
          <w:sz w:val="28"/>
          <w:szCs w:val="28"/>
        </w:rPr>
        <w:t>单位</w:t>
      </w:r>
      <w:r>
        <w:rPr>
          <w:rFonts w:hint="eastAsia" w:eastAsia="仿宋_GB2312"/>
          <w:sz w:val="28"/>
          <w:szCs w:val="28"/>
        </w:rPr>
        <w:t>自行</w:t>
      </w:r>
      <w:r>
        <w:rPr>
          <w:rFonts w:eastAsia="仿宋_GB2312"/>
          <w:sz w:val="28"/>
          <w:szCs w:val="28"/>
        </w:rPr>
        <w:t>监测</w:t>
      </w:r>
      <w:r>
        <w:rPr>
          <w:rFonts w:hint="eastAsia" w:eastAsia="仿宋_GB2312"/>
          <w:sz w:val="28"/>
          <w:szCs w:val="28"/>
        </w:rPr>
        <w:t>技术</w:t>
      </w:r>
      <w:r>
        <w:rPr>
          <w:rFonts w:eastAsia="仿宋_GB2312"/>
          <w:sz w:val="28"/>
          <w:szCs w:val="28"/>
        </w:rPr>
        <w:t>指南</w:t>
      </w:r>
      <w:r>
        <w:rPr>
          <w:rFonts w:hint="eastAsia" w:eastAsia="仿宋_GB2312"/>
          <w:sz w:val="28"/>
          <w:szCs w:val="28"/>
        </w:rPr>
        <w:t xml:space="preserve"> 涂装》（HJ</w:t>
      </w:r>
      <w:r>
        <w:rPr>
          <w:rFonts w:eastAsia="仿宋_GB2312"/>
          <w:sz w:val="28"/>
          <w:szCs w:val="28"/>
        </w:rPr>
        <w:t>1086-2020</w:t>
      </w:r>
      <w:r>
        <w:rPr>
          <w:rFonts w:hint="eastAsia" w:eastAsia="仿宋_GB2312"/>
          <w:sz w:val="28"/>
          <w:szCs w:val="28"/>
        </w:rPr>
        <w:t>）</w:t>
      </w:r>
      <w:r>
        <w:rPr>
          <w:rFonts w:eastAsia="仿宋_GB2312"/>
          <w:sz w:val="28"/>
          <w:szCs w:val="28"/>
        </w:rPr>
        <w:t>等文件要求，排污单位应按照规定对污染物排放情况进行监测，因此，除了环保主管部门的监督监测外，公司还应开展常规监测，以了解污染物达标排放情况。</w:t>
      </w:r>
    </w:p>
    <w:p>
      <w:pPr>
        <w:snapToGrid w:val="0"/>
        <w:spacing w:line="500" w:lineRule="exact"/>
        <w:ind w:firstLine="465"/>
        <w:textAlignment w:val="baseline"/>
        <w:rPr>
          <w:rFonts w:eastAsia="仿宋_GB2312"/>
          <w:sz w:val="28"/>
          <w:szCs w:val="28"/>
        </w:rPr>
      </w:pPr>
      <w:r>
        <w:rPr>
          <w:rFonts w:eastAsia="仿宋_GB2312"/>
          <w:sz w:val="28"/>
          <w:szCs w:val="28"/>
        </w:rPr>
        <w:t>竣工验收监测：项目投入试生产后，公司应及时和环保主管部门指定的环保监测站取得联系，要求环保监测站对建设项目环保“三同时”设施组织竣工验收监测，由环保监测站编制竣工验收监测方案，经环保局同意后实施。</w:t>
      </w:r>
    </w:p>
    <w:p>
      <w:pPr>
        <w:snapToGrid w:val="0"/>
        <w:spacing w:line="500" w:lineRule="exact"/>
        <w:ind w:firstLine="465"/>
        <w:textAlignment w:val="baseline"/>
        <w:rPr>
          <w:rFonts w:eastAsia="仿宋_GB2312"/>
          <w:sz w:val="28"/>
          <w:szCs w:val="28"/>
        </w:rPr>
      </w:pPr>
      <w:r>
        <w:rPr>
          <w:rFonts w:eastAsia="仿宋_GB2312"/>
          <w:sz w:val="28"/>
          <w:szCs w:val="28"/>
        </w:rPr>
        <w:t>本项目竣工验收监测项目见8.2-1，监测频率如下：</w:t>
      </w:r>
    </w:p>
    <w:p>
      <w:pPr>
        <w:snapToGrid w:val="0"/>
        <w:spacing w:line="500" w:lineRule="exact"/>
        <w:ind w:firstLine="465"/>
        <w:textAlignment w:val="baseline"/>
        <w:rPr>
          <w:rFonts w:eastAsia="仿宋_GB2312"/>
          <w:sz w:val="28"/>
          <w:szCs w:val="28"/>
        </w:rPr>
      </w:pPr>
      <w:r>
        <w:rPr>
          <w:rFonts w:eastAsia="仿宋_GB2312"/>
          <w:sz w:val="28"/>
          <w:szCs w:val="28"/>
        </w:rPr>
        <w:t>废水：连续监测2天，4次/天；</w:t>
      </w:r>
    </w:p>
    <w:p>
      <w:pPr>
        <w:snapToGrid w:val="0"/>
        <w:spacing w:line="500" w:lineRule="exact"/>
        <w:ind w:firstLine="465"/>
        <w:textAlignment w:val="baseline"/>
        <w:rPr>
          <w:rFonts w:eastAsia="仿宋_GB2312"/>
          <w:sz w:val="28"/>
          <w:szCs w:val="28"/>
        </w:rPr>
      </w:pPr>
      <w:r>
        <w:rPr>
          <w:rFonts w:eastAsia="仿宋_GB2312"/>
          <w:sz w:val="28"/>
          <w:szCs w:val="28"/>
        </w:rPr>
        <w:t>废气：连续监测2天，3次/天；</w:t>
      </w:r>
    </w:p>
    <w:p>
      <w:pPr>
        <w:snapToGrid w:val="0"/>
        <w:spacing w:line="500" w:lineRule="exact"/>
        <w:ind w:firstLine="465"/>
        <w:textAlignment w:val="baseline"/>
        <w:rPr>
          <w:rFonts w:eastAsia="仿宋_GB2312"/>
          <w:sz w:val="28"/>
          <w:szCs w:val="28"/>
        </w:rPr>
      </w:pPr>
      <w:r>
        <w:rPr>
          <w:rFonts w:eastAsia="仿宋_GB2312"/>
          <w:sz w:val="28"/>
          <w:szCs w:val="28"/>
        </w:rPr>
        <w:t>噪声：连续监测2天，2次/天</w:t>
      </w:r>
      <w:r>
        <w:rPr>
          <w:rFonts w:hint="eastAsia" w:eastAsia="仿宋_GB2312"/>
          <w:sz w:val="28"/>
          <w:szCs w:val="28"/>
        </w:rPr>
        <w:t>，</w:t>
      </w:r>
      <w:r>
        <w:rPr>
          <w:rFonts w:eastAsia="仿宋_GB2312"/>
          <w:sz w:val="28"/>
          <w:szCs w:val="28"/>
        </w:rPr>
        <w:t>每天不少于</w:t>
      </w:r>
      <w:r>
        <w:rPr>
          <w:rFonts w:hint="eastAsia" w:eastAsia="仿宋_GB2312"/>
          <w:sz w:val="28"/>
          <w:szCs w:val="28"/>
        </w:rPr>
        <w:t>昼夜</w:t>
      </w:r>
      <w:r>
        <w:rPr>
          <w:rFonts w:eastAsia="仿宋_GB2312"/>
          <w:sz w:val="28"/>
          <w:szCs w:val="28"/>
        </w:rPr>
        <w:t>各一次。</w:t>
      </w:r>
    </w:p>
    <w:p>
      <w:pPr>
        <w:snapToGrid w:val="0"/>
        <w:spacing w:line="500" w:lineRule="exact"/>
        <w:ind w:firstLine="465"/>
        <w:textAlignment w:val="baseline"/>
        <w:rPr>
          <w:rFonts w:eastAsia="仿宋_GB2312"/>
          <w:sz w:val="28"/>
          <w:szCs w:val="28"/>
        </w:rPr>
      </w:pPr>
      <w:r>
        <w:rPr>
          <w:rFonts w:eastAsia="仿宋_GB2312"/>
          <w:sz w:val="28"/>
          <w:szCs w:val="28"/>
        </w:rPr>
        <w:t>自行监测：项目投入运行后，公司应按国家和省有关规定制定监测计划，开展自行监测工作，定期将监测结果上报当地环保部门并向社会公布。企业按照环境保护主管部门的要求和国家环境监测技术规范及相关标准，对生产使用过程中产生的特征污染物的排放情况进行监测；不具备自行监测能力的，可以委托当地环保部门所属的环境监测机构或者经省级环境保护主管部门认定的环境监测机构实施监测。</w:t>
      </w:r>
      <w:r>
        <w:rPr>
          <w:rFonts w:hint="eastAsia" w:eastAsia="仿宋_GB2312"/>
          <w:sz w:val="28"/>
          <w:szCs w:val="28"/>
        </w:rPr>
        <w:t>其中根据关于印发《江苏省污染源自动监控管理办法（试行）》的通知（苏环发〔2021〕3号）文，1</w:t>
      </w:r>
      <w:r>
        <w:rPr>
          <w:rFonts w:eastAsia="仿宋_GB2312"/>
          <w:sz w:val="28"/>
          <w:szCs w:val="28"/>
        </w:rPr>
        <w:t>#排气筒</w:t>
      </w:r>
      <w:r>
        <w:rPr>
          <w:rFonts w:hint="eastAsia" w:eastAsia="仿宋_GB2312"/>
          <w:sz w:val="28"/>
          <w:szCs w:val="28"/>
        </w:rPr>
        <w:t>需安装V</w:t>
      </w:r>
      <w:r>
        <w:rPr>
          <w:rFonts w:eastAsia="仿宋_GB2312"/>
          <w:sz w:val="28"/>
          <w:szCs w:val="28"/>
        </w:rPr>
        <w:t>OCs</w:t>
      </w:r>
      <w:r>
        <w:rPr>
          <w:rFonts w:hint="eastAsia" w:eastAsia="仿宋_GB2312"/>
          <w:sz w:val="28"/>
          <w:szCs w:val="28"/>
        </w:rPr>
        <w:t>自动监测设施。</w:t>
      </w:r>
    </w:p>
    <w:p>
      <w:pPr>
        <w:snapToGrid w:val="0"/>
        <w:spacing w:line="500" w:lineRule="exact"/>
        <w:ind w:firstLine="465"/>
        <w:textAlignment w:val="baseline"/>
        <w:rPr>
          <w:rFonts w:eastAsia="仿宋_GB2312"/>
          <w:sz w:val="28"/>
          <w:szCs w:val="28"/>
        </w:rPr>
      </w:pPr>
      <w:r>
        <w:rPr>
          <w:rFonts w:eastAsia="仿宋_GB2312"/>
          <w:sz w:val="28"/>
          <w:szCs w:val="28"/>
        </w:rPr>
        <w:t>营运期的常规监测（环境质量监测）：结合本项目特点，主要如下：营运期的常规监测主要是根据现有项目环评报告书的要求完善和认真履行环境监测计划。</w:t>
      </w:r>
    </w:p>
    <w:p>
      <w:pPr>
        <w:snapToGrid w:val="0"/>
        <w:spacing w:line="500" w:lineRule="exact"/>
        <w:ind w:firstLine="465"/>
        <w:textAlignment w:val="baseline"/>
        <w:rPr>
          <w:rFonts w:eastAsia="仿宋_GB2312"/>
          <w:sz w:val="28"/>
          <w:szCs w:val="28"/>
        </w:rPr>
      </w:pPr>
      <w:r>
        <w:rPr>
          <w:rFonts w:eastAsia="仿宋_GB2312"/>
          <w:sz w:val="28"/>
          <w:szCs w:val="28"/>
        </w:rPr>
        <w:t>本项目污染源监测计划见下表。</w:t>
      </w:r>
    </w:p>
    <w:p>
      <w:pPr>
        <w:snapToGrid w:val="0"/>
        <w:spacing w:line="500" w:lineRule="exact"/>
        <w:ind w:firstLine="465"/>
        <w:jc w:val="center"/>
        <w:textAlignment w:val="baseline"/>
        <w:rPr>
          <w:rFonts w:eastAsia="仿宋_GB2312"/>
          <w:b/>
          <w:sz w:val="24"/>
        </w:rPr>
      </w:pPr>
      <w:r>
        <w:rPr>
          <w:rFonts w:eastAsia="仿宋_GB2312"/>
          <w:b/>
          <w:sz w:val="24"/>
        </w:rPr>
        <w:t>表8.3-1   污染源监测计划</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9"/>
        <w:gridCol w:w="1828"/>
        <w:gridCol w:w="3450"/>
        <w:gridCol w:w="1556"/>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6" w:type="pct"/>
            <w:vAlign w:val="center"/>
          </w:tcPr>
          <w:p>
            <w:pPr>
              <w:spacing w:line="240" w:lineRule="exact"/>
              <w:jc w:val="center"/>
              <w:rPr>
                <w:rFonts w:ascii="仿宋" w:hAnsi="仿宋" w:eastAsia="仿宋" w:cs="仿宋"/>
                <w:bCs/>
                <w:szCs w:val="21"/>
              </w:rPr>
            </w:pPr>
            <w:r>
              <w:rPr>
                <w:rFonts w:ascii="仿宋" w:hAnsi="仿宋" w:eastAsia="仿宋" w:cs="仿宋"/>
                <w:bCs/>
                <w:szCs w:val="21"/>
              </w:rPr>
              <w:t>类别</w:t>
            </w:r>
          </w:p>
        </w:tc>
        <w:tc>
          <w:tcPr>
            <w:tcW w:w="1035" w:type="pct"/>
            <w:vAlign w:val="center"/>
          </w:tcPr>
          <w:p>
            <w:pPr>
              <w:spacing w:line="240" w:lineRule="exact"/>
              <w:jc w:val="center"/>
              <w:rPr>
                <w:rFonts w:ascii="仿宋" w:hAnsi="仿宋" w:eastAsia="仿宋" w:cs="仿宋"/>
                <w:bCs/>
                <w:szCs w:val="21"/>
              </w:rPr>
            </w:pPr>
            <w:r>
              <w:rPr>
                <w:rFonts w:ascii="仿宋" w:hAnsi="仿宋" w:eastAsia="仿宋" w:cs="仿宋"/>
                <w:bCs/>
                <w:szCs w:val="21"/>
              </w:rPr>
              <w:t>监测位置</w:t>
            </w:r>
          </w:p>
        </w:tc>
        <w:tc>
          <w:tcPr>
            <w:tcW w:w="1953" w:type="pct"/>
            <w:vAlign w:val="center"/>
          </w:tcPr>
          <w:p>
            <w:pPr>
              <w:spacing w:line="240" w:lineRule="exact"/>
              <w:jc w:val="center"/>
              <w:rPr>
                <w:rFonts w:ascii="仿宋" w:hAnsi="仿宋" w:eastAsia="仿宋" w:cs="仿宋"/>
                <w:bCs/>
                <w:szCs w:val="21"/>
              </w:rPr>
            </w:pPr>
            <w:r>
              <w:rPr>
                <w:rFonts w:ascii="仿宋" w:hAnsi="仿宋" w:eastAsia="仿宋" w:cs="仿宋"/>
                <w:bCs/>
                <w:szCs w:val="21"/>
              </w:rPr>
              <w:t>监测项目</w:t>
            </w:r>
          </w:p>
        </w:tc>
        <w:tc>
          <w:tcPr>
            <w:tcW w:w="881" w:type="pct"/>
            <w:vAlign w:val="center"/>
          </w:tcPr>
          <w:p>
            <w:pPr>
              <w:spacing w:line="240" w:lineRule="exact"/>
              <w:jc w:val="center"/>
              <w:rPr>
                <w:rFonts w:ascii="仿宋" w:hAnsi="仿宋" w:eastAsia="仿宋" w:cs="仿宋"/>
                <w:bCs/>
                <w:szCs w:val="21"/>
              </w:rPr>
            </w:pPr>
            <w:r>
              <w:rPr>
                <w:rFonts w:ascii="仿宋" w:hAnsi="仿宋" w:eastAsia="仿宋" w:cs="仿宋"/>
                <w:bCs/>
                <w:szCs w:val="21"/>
              </w:rPr>
              <w:t>监测频率</w:t>
            </w:r>
          </w:p>
        </w:tc>
        <w:tc>
          <w:tcPr>
            <w:tcW w:w="603" w:type="pct"/>
            <w:vAlign w:val="center"/>
          </w:tcPr>
          <w:p>
            <w:pPr>
              <w:spacing w:line="240" w:lineRule="exact"/>
              <w:jc w:val="center"/>
              <w:rPr>
                <w:rFonts w:ascii="仿宋" w:hAnsi="仿宋" w:eastAsia="仿宋" w:cs="仿宋"/>
                <w:bCs/>
                <w:szCs w:val="21"/>
              </w:rPr>
            </w:pPr>
            <w:r>
              <w:rPr>
                <w:rFonts w:ascii="仿宋" w:hAnsi="仿宋" w:eastAsia="仿宋" w:cs="仿宋"/>
                <w:bCs/>
                <w:szCs w:val="21"/>
              </w:rPr>
              <w:t>监测单位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526" w:type="pct"/>
            <w:vAlign w:val="center"/>
          </w:tcPr>
          <w:p>
            <w:pPr>
              <w:spacing w:line="240" w:lineRule="exact"/>
              <w:jc w:val="center"/>
              <w:rPr>
                <w:rFonts w:ascii="仿宋" w:hAnsi="仿宋" w:eastAsia="仿宋" w:cs="仿宋"/>
                <w:bCs/>
                <w:szCs w:val="21"/>
              </w:rPr>
            </w:pPr>
            <w:r>
              <w:rPr>
                <w:rFonts w:ascii="仿宋" w:hAnsi="仿宋" w:eastAsia="仿宋" w:cs="仿宋"/>
                <w:bCs/>
                <w:szCs w:val="21"/>
              </w:rPr>
              <w:t>废水</w:t>
            </w:r>
          </w:p>
        </w:tc>
        <w:tc>
          <w:tcPr>
            <w:tcW w:w="1035"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污水总排口</w:t>
            </w:r>
          </w:p>
        </w:tc>
        <w:tc>
          <w:tcPr>
            <w:tcW w:w="1953" w:type="pct"/>
            <w:vAlign w:val="center"/>
          </w:tcPr>
          <w:p>
            <w:pPr>
              <w:spacing w:line="240" w:lineRule="exact"/>
              <w:jc w:val="center"/>
              <w:rPr>
                <w:rFonts w:ascii="仿宋" w:hAnsi="仿宋" w:eastAsia="仿宋" w:cs="仿宋"/>
                <w:bCs/>
                <w:szCs w:val="21"/>
              </w:rPr>
            </w:pPr>
            <w:r>
              <w:rPr>
                <w:rFonts w:ascii="仿宋" w:hAnsi="仿宋" w:eastAsia="仿宋" w:cs="仿宋"/>
                <w:bCs/>
                <w:szCs w:val="21"/>
              </w:rPr>
              <w:t>pH、COD、SS、NH</w:t>
            </w:r>
            <w:r>
              <w:rPr>
                <w:rFonts w:ascii="仿宋" w:hAnsi="仿宋" w:eastAsia="仿宋" w:cs="仿宋"/>
                <w:bCs/>
                <w:szCs w:val="21"/>
                <w:vertAlign w:val="subscript"/>
              </w:rPr>
              <w:t>3</w:t>
            </w:r>
            <w:r>
              <w:rPr>
                <w:rFonts w:ascii="仿宋" w:hAnsi="仿宋" w:eastAsia="仿宋" w:cs="仿宋"/>
                <w:bCs/>
                <w:szCs w:val="21"/>
              </w:rPr>
              <w:t>-N、TP</w:t>
            </w:r>
            <w:r>
              <w:rPr>
                <w:rFonts w:hint="eastAsia" w:ascii="仿宋" w:hAnsi="仿宋" w:eastAsia="仿宋" w:cs="仿宋"/>
                <w:bCs/>
                <w:szCs w:val="21"/>
              </w:rPr>
              <w:t>、TN</w:t>
            </w:r>
          </w:p>
        </w:tc>
        <w:tc>
          <w:tcPr>
            <w:tcW w:w="881" w:type="pct"/>
            <w:vAlign w:val="center"/>
          </w:tcPr>
          <w:p>
            <w:pPr>
              <w:spacing w:line="240" w:lineRule="exact"/>
              <w:jc w:val="center"/>
              <w:rPr>
                <w:rFonts w:ascii="仿宋" w:hAnsi="仿宋" w:eastAsia="仿宋" w:cs="仿宋"/>
                <w:bCs/>
                <w:szCs w:val="21"/>
              </w:rPr>
            </w:pPr>
            <w:r>
              <w:rPr>
                <w:rFonts w:ascii="仿宋" w:hAnsi="仿宋" w:eastAsia="仿宋" w:cs="仿宋"/>
                <w:bCs/>
                <w:szCs w:val="21"/>
              </w:rPr>
              <w:t>每季度监测一次</w:t>
            </w:r>
          </w:p>
        </w:tc>
        <w:tc>
          <w:tcPr>
            <w:tcW w:w="603" w:type="pct"/>
            <w:vMerge w:val="restart"/>
            <w:vAlign w:val="center"/>
          </w:tcPr>
          <w:p>
            <w:pPr>
              <w:spacing w:line="240" w:lineRule="exact"/>
              <w:jc w:val="center"/>
              <w:rPr>
                <w:rFonts w:ascii="仿宋" w:hAnsi="仿宋" w:eastAsia="仿宋" w:cs="仿宋"/>
                <w:bCs/>
                <w:szCs w:val="21"/>
              </w:rPr>
            </w:pPr>
            <w:r>
              <w:rPr>
                <w:rFonts w:ascii="仿宋" w:hAnsi="仿宋" w:eastAsia="仿宋" w:cs="仿宋"/>
                <w:bCs/>
                <w:szCs w:val="21"/>
              </w:rPr>
              <w:t>有资质的环境监测单位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526" w:type="pct"/>
            <w:vMerge w:val="restart"/>
            <w:vAlign w:val="center"/>
          </w:tcPr>
          <w:p>
            <w:pPr>
              <w:spacing w:line="240" w:lineRule="exact"/>
              <w:jc w:val="center"/>
              <w:rPr>
                <w:rFonts w:ascii="仿宋" w:hAnsi="仿宋" w:eastAsia="仿宋" w:cs="仿宋"/>
                <w:bCs/>
                <w:szCs w:val="21"/>
              </w:rPr>
            </w:pPr>
            <w:r>
              <w:rPr>
                <w:rFonts w:ascii="仿宋" w:hAnsi="仿宋" w:eastAsia="仿宋" w:cs="仿宋"/>
                <w:bCs/>
                <w:szCs w:val="21"/>
              </w:rPr>
              <w:t>废气</w:t>
            </w:r>
          </w:p>
        </w:tc>
        <w:tc>
          <w:tcPr>
            <w:tcW w:w="1035" w:type="pct"/>
            <w:vAlign w:val="center"/>
          </w:tcPr>
          <w:p>
            <w:pPr>
              <w:spacing w:line="240" w:lineRule="exact"/>
              <w:jc w:val="center"/>
              <w:rPr>
                <w:rFonts w:ascii="仿宋" w:hAnsi="仿宋" w:eastAsia="仿宋" w:cs="仿宋"/>
                <w:bCs/>
                <w:szCs w:val="21"/>
              </w:rPr>
            </w:pPr>
            <w:r>
              <w:rPr>
                <w:rFonts w:ascii="仿宋" w:hAnsi="仿宋" w:eastAsia="仿宋" w:cs="仿宋"/>
                <w:bCs/>
                <w:szCs w:val="21"/>
              </w:rPr>
              <w:t>厂界</w:t>
            </w:r>
          </w:p>
        </w:tc>
        <w:tc>
          <w:tcPr>
            <w:tcW w:w="1953" w:type="pct"/>
            <w:vAlign w:val="center"/>
          </w:tcPr>
          <w:p>
            <w:pPr>
              <w:pStyle w:val="150"/>
              <w:spacing w:line="240" w:lineRule="exact"/>
              <w:ind w:firstLine="0" w:firstLineChars="0"/>
              <w:jc w:val="center"/>
              <w:rPr>
                <w:rFonts w:ascii="仿宋" w:hAnsi="仿宋" w:eastAsia="仿宋" w:cs="仿宋"/>
                <w:bCs/>
                <w:sz w:val="21"/>
                <w:szCs w:val="21"/>
              </w:rPr>
            </w:pPr>
            <w:r>
              <w:rPr>
                <w:rFonts w:hint="eastAsia" w:ascii="仿宋" w:hAnsi="仿宋" w:eastAsia="仿宋" w:cs="仿宋"/>
                <w:bCs/>
                <w:sz w:val="21"/>
                <w:szCs w:val="21"/>
              </w:rPr>
              <w:t>二甲苯、乙酸乙酯、</w:t>
            </w:r>
            <w:r>
              <w:rPr>
                <w:rFonts w:ascii="仿宋" w:hAnsi="仿宋" w:eastAsia="仿宋" w:cs="仿宋"/>
                <w:bCs/>
                <w:sz w:val="21"/>
                <w:szCs w:val="21"/>
              </w:rPr>
              <w:t>非甲烷总烃</w:t>
            </w:r>
          </w:p>
        </w:tc>
        <w:tc>
          <w:tcPr>
            <w:tcW w:w="881"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半</w:t>
            </w:r>
            <w:r>
              <w:rPr>
                <w:rFonts w:ascii="仿宋" w:hAnsi="仿宋" w:eastAsia="仿宋" w:cs="仿宋"/>
                <w:bCs/>
                <w:szCs w:val="21"/>
              </w:rPr>
              <w:t>年监测一次</w:t>
            </w:r>
          </w:p>
        </w:tc>
        <w:tc>
          <w:tcPr>
            <w:tcW w:w="603" w:type="pct"/>
            <w:vMerge w:val="continue"/>
            <w:vAlign w:val="center"/>
          </w:tcPr>
          <w:p>
            <w:pPr>
              <w:tabs>
                <w:tab w:val="left" w:pos="6840"/>
              </w:tabs>
              <w:adjustRightInd w:val="0"/>
              <w:snapToGrid w:val="0"/>
              <w:jc w:val="center"/>
              <w:rPr>
                <w:rFonts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526" w:type="pct"/>
            <w:vMerge w:val="continue"/>
            <w:vAlign w:val="center"/>
          </w:tcPr>
          <w:p>
            <w:pPr>
              <w:spacing w:line="240" w:lineRule="exact"/>
              <w:jc w:val="center"/>
              <w:rPr>
                <w:rFonts w:ascii="仿宋" w:hAnsi="仿宋" w:eastAsia="仿宋" w:cs="仿宋"/>
                <w:bCs/>
                <w:szCs w:val="21"/>
              </w:rPr>
            </w:pPr>
          </w:p>
        </w:tc>
        <w:tc>
          <w:tcPr>
            <w:tcW w:w="1035"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厂房外</w:t>
            </w:r>
          </w:p>
        </w:tc>
        <w:tc>
          <w:tcPr>
            <w:tcW w:w="1953" w:type="pct"/>
            <w:vAlign w:val="center"/>
          </w:tcPr>
          <w:p>
            <w:pPr>
              <w:pStyle w:val="150"/>
              <w:spacing w:line="240" w:lineRule="exact"/>
              <w:ind w:firstLine="0" w:firstLineChars="0"/>
              <w:jc w:val="center"/>
              <w:rPr>
                <w:rFonts w:ascii="仿宋" w:hAnsi="仿宋" w:eastAsia="仿宋" w:cs="仿宋"/>
                <w:bCs/>
                <w:sz w:val="21"/>
                <w:szCs w:val="21"/>
              </w:rPr>
            </w:pPr>
            <w:r>
              <w:rPr>
                <w:rFonts w:ascii="仿宋" w:hAnsi="仿宋" w:eastAsia="仿宋" w:cs="仿宋"/>
                <w:bCs/>
                <w:sz w:val="21"/>
                <w:szCs w:val="21"/>
              </w:rPr>
              <w:t>非甲烷总烃</w:t>
            </w:r>
          </w:p>
        </w:tc>
        <w:tc>
          <w:tcPr>
            <w:tcW w:w="881"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半</w:t>
            </w:r>
            <w:r>
              <w:rPr>
                <w:rFonts w:ascii="仿宋" w:hAnsi="仿宋" w:eastAsia="仿宋" w:cs="仿宋"/>
                <w:bCs/>
                <w:szCs w:val="21"/>
              </w:rPr>
              <w:t>年监测一次</w:t>
            </w:r>
          </w:p>
        </w:tc>
        <w:tc>
          <w:tcPr>
            <w:tcW w:w="603" w:type="pct"/>
            <w:vMerge w:val="continue"/>
            <w:vAlign w:val="center"/>
          </w:tcPr>
          <w:p>
            <w:pPr>
              <w:tabs>
                <w:tab w:val="left" w:pos="6840"/>
              </w:tabs>
              <w:adjustRightInd w:val="0"/>
              <w:snapToGrid w:val="0"/>
              <w:jc w:val="center"/>
              <w:rPr>
                <w:rFonts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526" w:type="pct"/>
            <w:vMerge w:val="continue"/>
            <w:vAlign w:val="center"/>
          </w:tcPr>
          <w:p>
            <w:pPr>
              <w:spacing w:line="240" w:lineRule="exact"/>
              <w:jc w:val="center"/>
              <w:rPr>
                <w:rFonts w:ascii="仿宋" w:hAnsi="仿宋" w:eastAsia="仿宋" w:cs="仿宋"/>
                <w:bCs/>
                <w:szCs w:val="21"/>
              </w:rPr>
            </w:pPr>
          </w:p>
        </w:tc>
        <w:tc>
          <w:tcPr>
            <w:tcW w:w="1035"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w:t>
            </w:r>
            <w:r>
              <w:rPr>
                <w:rFonts w:ascii="仿宋" w:hAnsi="仿宋" w:eastAsia="仿宋" w:cs="仿宋"/>
                <w:bCs/>
                <w:szCs w:val="21"/>
              </w:rPr>
              <w:t>#排气筒</w:t>
            </w:r>
          </w:p>
        </w:tc>
        <w:tc>
          <w:tcPr>
            <w:tcW w:w="1953" w:type="pct"/>
            <w:vAlign w:val="center"/>
          </w:tcPr>
          <w:p>
            <w:pPr>
              <w:pStyle w:val="150"/>
              <w:spacing w:line="240" w:lineRule="exact"/>
              <w:ind w:firstLine="0" w:firstLineChars="0"/>
              <w:jc w:val="center"/>
              <w:rPr>
                <w:rFonts w:ascii="仿宋" w:hAnsi="仿宋" w:eastAsia="仿宋" w:cs="仿宋"/>
                <w:bCs/>
                <w:sz w:val="21"/>
                <w:szCs w:val="21"/>
              </w:rPr>
            </w:pPr>
            <w:r>
              <w:rPr>
                <w:rFonts w:hint="eastAsia" w:ascii="仿宋" w:hAnsi="仿宋" w:eastAsia="仿宋" w:cs="仿宋"/>
                <w:bCs/>
                <w:sz w:val="21"/>
                <w:szCs w:val="21"/>
              </w:rPr>
              <w:t>二甲苯、乙酸乙酯、</w:t>
            </w:r>
            <w:r>
              <w:rPr>
                <w:rFonts w:ascii="仿宋" w:hAnsi="仿宋" w:eastAsia="仿宋" w:cs="仿宋"/>
                <w:bCs/>
                <w:sz w:val="21"/>
                <w:szCs w:val="21"/>
              </w:rPr>
              <w:t>非甲烷总烃</w:t>
            </w:r>
            <w:r>
              <w:rPr>
                <w:rFonts w:hint="eastAsia" w:ascii="仿宋" w:hAnsi="仿宋" w:eastAsia="仿宋" w:cs="仿宋"/>
                <w:bCs/>
                <w:sz w:val="21"/>
                <w:szCs w:val="21"/>
              </w:rPr>
              <w:t>、颗粒物、SO</w:t>
            </w:r>
            <w:r>
              <w:rPr>
                <w:rFonts w:hint="eastAsia" w:ascii="仿宋" w:hAnsi="仿宋" w:eastAsia="仿宋" w:cs="仿宋"/>
                <w:bCs/>
                <w:sz w:val="21"/>
                <w:szCs w:val="21"/>
                <w:vertAlign w:val="subscript"/>
              </w:rPr>
              <w:t>2</w:t>
            </w:r>
            <w:r>
              <w:rPr>
                <w:rFonts w:hint="eastAsia" w:ascii="仿宋" w:hAnsi="仿宋" w:eastAsia="仿宋" w:cs="仿宋"/>
                <w:bCs/>
                <w:sz w:val="21"/>
                <w:szCs w:val="21"/>
              </w:rPr>
              <w:t>、NO</w:t>
            </w:r>
            <w:r>
              <w:rPr>
                <w:rFonts w:hint="eastAsia" w:ascii="仿宋" w:hAnsi="仿宋" w:eastAsia="仿宋" w:cs="仿宋"/>
                <w:bCs/>
                <w:sz w:val="21"/>
                <w:szCs w:val="21"/>
                <w:vertAlign w:val="subscript"/>
              </w:rPr>
              <w:t>X</w:t>
            </w:r>
          </w:p>
        </w:tc>
        <w:tc>
          <w:tcPr>
            <w:tcW w:w="881" w:type="pct"/>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半</w:t>
            </w:r>
            <w:r>
              <w:rPr>
                <w:rFonts w:ascii="仿宋" w:hAnsi="仿宋" w:eastAsia="仿宋" w:cs="仿宋"/>
                <w:bCs/>
                <w:szCs w:val="21"/>
              </w:rPr>
              <w:t>年监测一次</w:t>
            </w:r>
          </w:p>
        </w:tc>
        <w:tc>
          <w:tcPr>
            <w:tcW w:w="603" w:type="pct"/>
            <w:vMerge w:val="continue"/>
            <w:vAlign w:val="center"/>
          </w:tcPr>
          <w:p>
            <w:pPr>
              <w:tabs>
                <w:tab w:val="left" w:pos="6840"/>
              </w:tabs>
              <w:adjustRightInd w:val="0"/>
              <w:snapToGrid w:val="0"/>
              <w:jc w:val="center"/>
              <w:rPr>
                <w:rFonts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526" w:type="pct"/>
            <w:vMerge w:val="continue"/>
            <w:vAlign w:val="center"/>
          </w:tcPr>
          <w:p>
            <w:pPr>
              <w:spacing w:line="240" w:lineRule="exact"/>
              <w:jc w:val="center"/>
              <w:rPr>
                <w:rFonts w:ascii="仿宋" w:hAnsi="仿宋" w:eastAsia="仿宋" w:cs="仿宋"/>
                <w:bCs/>
                <w:szCs w:val="21"/>
              </w:rPr>
            </w:pPr>
          </w:p>
        </w:tc>
        <w:tc>
          <w:tcPr>
            <w:tcW w:w="1828"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w:t>
            </w:r>
            <w:r>
              <w:rPr>
                <w:rFonts w:ascii="仿宋" w:hAnsi="仿宋" w:eastAsia="仿宋" w:cs="仿宋"/>
                <w:bCs/>
                <w:szCs w:val="21"/>
              </w:rPr>
              <w:t>#排气筒</w:t>
            </w:r>
          </w:p>
        </w:tc>
        <w:tc>
          <w:tcPr>
            <w:tcW w:w="3450" w:type="dxa"/>
            <w:vAlign w:val="center"/>
          </w:tcPr>
          <w:p>
            <w:pPr>
              <w:pStyle w:val="150"/>
              <w:spacing w:line="240" w:lineRule="exact"/>
              <w:ind w:firstLine="0" w:firstLineChars="0"/>
              <w:jc w:val="center"/>
              <w:rPr>
                <w:rFonts w:ascii="仿宋" w:hAnsi="仿宋" w:eastAsia="仿宋" w:cs="仿宋"/>
                <w:bCs/>
                <w:sz w:val="21"/>
                <w:szCs w:val="21"/>
              </w:rPr>
            </w:pPr>
            <w:r>
              <w:rPr>
                <w:rFonts w:ascii="仿宋" w:hAnsi="仿宋" w:eastAsia="仿宋" w:cs="仿宋"/>
                <w:bCs/>
                <w:sz w:val="21"/>
                <w:szCs w:val="21"/>
              </w:rPr>
              <w:t>非甲烷总烃</w:t>
            </w:r>
          </w:p>
        </w:tc>
        <w:tc>
          <w:tcPr>
            <w:tcW w:w="1556"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半</w:t>
            </w:r>
            <w:r>
              <w:rPr>
                <w:rFonts w:ascii="仿宋" w:hAnsi="仿宋" w:eastAsia="仿宋" w:cs="仿宋"/>
                <w:bCs/>
                <w:szCs w:val="21"/>
              </w:rPr>
              <w:t>年监测一次</w:t>
            </w:r>
          </w:p>
        </w:tc>
        <w:tc>
          <w:tcPr>
            <w:tcW w:w="603" w:type="pct"/>
            <w:vMerge w:val="continue"/>
            <w:vAlign w:val="center"/>
          </w:tcPr>
          <w:p>
            <w:pPr>
              <w:tabs>
                <w:tab w:val="left" w:pos="6840"/>
              </w:tabs>
              <w:adjustRightInd w:val="0"/>
              <w:snapToGrid w:val="0"/>
              <w:jc w:val="center"/>
              <w:rPr>
                <w:rFonts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6" w:type="pct"/>
            <w:vAlign w:val="center"/>
          </w:tcPr>
          <w:p>
            <w:pPr>
              <w:spacing w:line="240" w:lineRule="exact"/>
              <w:jc w:val="center"/>
              <w:rPr>
                <w:rFonts w:ascii="仿宋" w:hAnsi="仿宋" w:eastAsia="仿宋" w:cs="仿宋"/>
                <w:bCs/>
                <w:szCs w:val="21"/>
              </w:rPr>
            </w:pPr>
            <w:r>
              <w:rPr>
                <w:rFonts w:ascii="仿宋" w:hAnsi="仿宋" w:eastAsia="仿宋" w:cs="仿宋"/>
                <w:bCs/>
                <w:szCs w:val="21"/>
              </w:rPr>
              <w:t>噪声</w:t>
            </w:r>
          </w:p>
        </w:tc>
        <w:tc>
          <w:tcPr>
            <w:tcW w:w="1035" w:type="pct"/>
            <w:vAlign w:val="center"/>
          </w:tcPr>
          <w:p>
            <w:pPr>
              <w:spacing w:line="240" w:lineRule="exact"/>
              <w:jc w:val="center"/>
              <w:rPr>
                <w:rFonts w:ascii="仿宋" w:hAnsi="仿宋" w:eastAsia="仿宋" w:cs="仿宋"/>
                <w:bCs/>
                <w:szCs w:val="21"/>
              </w:rPr>
            </w:pPr>
            <w:r>
              <w:rPr>
                <w:rFonts w:ascii="仿宋" w:hAnsi="仿宋" w:eastAsia="仿宋" w:cs="仿宋"/>
                <w:bCs/>
                <w:szCs w:val="21"/>
              </w:rPr>
              <w:t>厂界</w:t>
            </w:r>
          </w:p>
        </w:tc>
        <w:tc>
          <w:tcPr>
            <w:tcW w:w="1953" w:type="pct"/>
            <w:vAlign w:val="center"/>
          </w:tcPr>
          <w:p>
            <w:pPr>
              <w:spacing w:line="240" w:lineRule="exact"/>
              <w:jc w:val="center"/>
              <w:rPr>
                <w:rFonts w:ascii="仿宋" w:hAnsi="仿宋" w:eastAsia="仿宋" w:cs="仿宋"/>
                <w:bCs/>
                <w:szCs w:val="21"/>
              </w:rPr>
            </w:pPr>
            <w:r>
              <w:rPr>
                <w:rFonts w:ascii="仿宋" w:hAnsi="仿宋" w:eastAsia="仿宋" w:cs="仿宋"/>
                <w:bCs/>
                <w:szCs w:val="21"/>
              </w:rPr>
              <w:t>连续等效A声级</w:t>
            </w:r>
          </w:p>
        </w:tc>
        <w:tc>
          <w:tcPr>
            <w:tcW w:w="881" w:type="pct"/>
            <w:vAlign w:val="center"/>
          </w:tcPr>
          <w:p>
            <w:pPr>
              <w:spacing w:line="240" w:lineRule="exact"/>
              <w:jc w:val="center"/>
              <w:rPr>
                <w:rFonts w:ascii="仿宋" w:hAnsi="仿宋" w:eastAsia="仿宋" w:cs="仿宋"/>
                <w:bCs/>
                <w:szCs w:val="21"/>
              </w:rPr>
            </w:pPr>
            <w:r>
              <w:rPr>
                <w:rFonts w:ascii="仿宋" w:hAnsi="仿宋" w:eastAsia="仿宋" w:cs="仿宋"/>
                <w:bCs/>
                <w:szCs w:val="21"/>
              </w:rPr>
              <w:t>每</w:t>
            </w:r>
            <w:r>
              <w:rPr>
                <w:rFonts w:hint="eastAsia" w:ascii="仿宋" w:hAnsi="仿宋" w:eastAsia="仿宋" w:cs="仿宋"/>
                <w:bCs/>
                <w:szCs w:val="21"/>
              </w:rPr>
              <w:t>季度</w:t>
            </w:r>
            <w:r>
              <w:rPr>
                <w:rFonts w:ascii="仿宋" w:hAnsi="仿宋" w:eastAsia="仿宋" w:cs="仿宋"/>
                <w:bCs/>
                <w:szCs w:val="21"/>
              </w:rPr>
              <w:t>监测一次</w:t>
            </w:r>
          </w:p>
        </w:tc>
        <w:tc>
          <w:tcPr>
            <w:tcW w:w="603" w:type="pct"/>
            <w:vMerge w:val="continue"/>
            <w:vAlign w:val="center"/>
          </w:tcPr>
          <w:p>
            <w:pPr>
              <w:tabs>
                <w:tab w:val="left" w:pos="6840"/>
              </w:tabs>
              <w:adjustRightInd w:val="0"/>
              <w:snapToGrid w:val="0"/>
              <w:jc w:val="center"/>
              <w:rPr>
                <w:rFonts w:eastAsia="仿宋_GB2312"/>
                <w:szCs w:val="21"/>
              </w:rPr>
            </w:pPr>
          </w:p>
        </w:tc>
      </w:tr>
    </w:tbl>
    <w:p>
      <w:pPr>
        <w:tabs>
          <w:tab w:val="left" w:pos="405"/>
        </w:tabs>
        <w:rPr>
          <w:rFonts w:eastAsia="仿宋_GB2312"/>
          <w:b/>
          <w:sz w:val="24"/>
        </w:rPr>
      </w:pPr>
      <w:r>
        <w:rPr>
          <w:rFonts w:eastAsia="仿宋_GB2312"/>
          <w:b/>
          <w:sz w:val="24"/>
        </w:rPr>
        <w:tab/>
      </w:r>
    </w:p>
    <w:p>
      <w:pPr>
        <w:tabs>
          <w:tab w:val="left" w:pos="405"/>
        </w:tabs>
        <w:rPr>
          <w:rFonts w:eastAsia="仿宋_GB2312"/>
          <w:b/>
          <w:sz w:val="24"/>
        </w:rPr>
        <w:sectPr>
          <w:pgSz w:w="11907" w:h="16839"/>
          <w:pgMar w:top="1843" w:right="1616" w:bottom="1440" w:left="1678" w:header="1191" w:footer="992" w:gutter="0"/>
          <w:cols w:space="425" w:num="1"/>
          <w:docGrid w:linePitch="312" w:charSpace="0"/>
        </w:sectPr>
      </w:pPr>
      <w:r>
        <w:rPr>
          <w:rFonts w:eastAsia="仿宋_GB2312"/>
          <w:sz w:val="24"/>
        </w:rPr>
        <w:tab/>
      </w:r>
    </w:p>
    <w:p>
      <w:pPr>
        <w:pStyle w:val="4"/>
        <w:keepLines w:val="0"/>
        <w:numPr>
          <w:ilvl w:val="2"/>
          <w:numId w:val="1"/>
        </w:numPr>
        <w:tabs>
          <w:tab w:val="left" w:pos="851"/>
        </w:tabs>
        <w:spacing w:before="0" w:after="120" w:afterLines="50" w:line="500" w:lineRule="exact"/>
        <w:ind w:left="0" w:firstLine="0"/>
        <w:rPr>
          <w:rFonts w:eastAsia="仿宋_GB2312"/>
          <w:spacing w:val="6"/>
          <w:sz w:val="28"/>
          <w:szCs w:val="20"/>
        </w:rPr>
      </w:pPr>
      <w:r>
        <w:rPr>
          <w:rFonts w:eastAsia="仿宋_GB2312"/>
          <w:spacing w:val="6"/>
          <w:sz w:val="28"/>
          <w:szCs w:val="20"/>
        </w:rPr>
        <w:t>环境质量监测计划</w:t>
      </w:r>
    </w:p>
    <w:p>
      <w:pPr>
        <w:snapToGrid w:val="0"/>
        <w:spacing w:line="500" w:lineRule="exact"/>
        <w:ind w:firstLine="465"/>
        <w:textAlignment w:val="baseline"/>
        <w:rPr>
          <w:rFonts w:eastAsia="仿宋_GB2312"/>
          <w:sz w:val="28"/>
          <w:szCs w:val="28"/>
        </w:rPr>
      </w:pPr>
      <w:r>
        <w:rPr>
          <w:rFonts w:eastAsia="仿宋_GB2312"/>
          <w:sz w:val="28"/>
          <w:szCs w:val="28"/>
        </w:rPr>
        <w:t>结合本项目环境影响特征、影响范围和影响程度，结合环境保护目标分布情况确定环境质量监测计划，具体见下表。</w:t>
      </w:r>
    </w:p>
    <w:p>
      <w:pPr>
        <w:spacing w:line="500" w:lineRule="exact"/>
        <w:jc w:val="center"/>
        <w:rPr>
          <w:rFonts w:eastAsia="仿宋_GB2312"/>
          <w:b/>
          <w:sz w:val="24"/>
        </w:rPr>
      </w:pPr>
      <w:bookmarkStart w:id="468" w:name="_Ref472460229"/>
      <w:r>
        <w:rPr>
          <w:rFonts w:eastAsia="仿宋_GB2312"/>
          <w:b/>
          <w:sz w:val="24"/>
        </w:rPr>
        <w:t>表</w:t>
      </w:r>
      <w:bookmarkEnd w:id="468"/>
      <w:r>
        <w:rPr>
          <w:rFonts w:eastAsia="仿宋_GB2312"/>
          <w:b/>
          <w:sz w:val="24"/>
        </w:rPr>
        <w:t>8.3-3  环境质量监测计划</w:t>
      </w:r>
    </w:p>
    <w:tbl>
      <w:tblPr>
        <w:tblStyle w:val="87"/>
        <w:tblW w:w="904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79"/>
        <w:gridCol w:w="1899"/>
        <w:gridCol w:w="3544"/>
        <w:gridCol w:w="1251"/>
        <w:gridCol w:w="14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79" w:type="dxa"/>
            <w:vAlign w:val="center"/>
          </w:tcPr>
          <w:p>
            <w:pPr>
              <w:spacing w:line="240" w:lineRule="exact"/>
              <w:jc w:val="center"/>
              <w:rPr>
                <w:rFonts w:ascii="仿宋" w:hAnsi="仿宋" w:eastAsia="仿宋" w:cs="仿宋"/>
                <w:bCs/>
                <w:szCs w:val="21"/>
              </w:rPr>
            </w:pPr>
            <w:r>
              <w:rPr>
                <w:rFonts w:ascii="仿宋" w:hAnsi="仿宋" w:eastAsia="仿宋" w:cs="仿宋"/>
                <w:bCs/>
                <w:szCs w:val="21"/>
              </w:rPr>
              <w:t>类别</w:t>
            </w:r>
          </w:p>
        </w:tc>
        <w:tc>
          <w:tcPr>
            <w:tcW w:w="1899" w:type="dxa"/>
            <w:vAlign w:val="center"/>
          </w:tcPr>
          <w:p>
            <w:pPr>
              <w:spacing w:line="240" w:lineRule="exact"/>
              <w:jc w:val="center"/>
              <w:rPr>
                <w:rFonts w:ascii="仿宋" w:hAnsi="仿宋" w:eastAsia="仿宋" w:cs="仿宋"/>
                <w:bCs/>
                <w:szCs w:val="21"/>
              </w:rPr>
            </w:pPr>
            <w:r>
              <w:rPr>
                <w:rFonts w:ascii="仿宋" w:hAnsi="仿宋" w:eastAsia="仿宋" w:cs="仿宋"/>
                <w:bCs/>
                <w:szCs w:val="21"/>
              </w:rPr>
              <w:t>监测位置</w:t>
            </w:r>
          </w:p>
        </w:tc>
        <w:tc>
          <w:tcPr>
            <w:tcW w:w="3544" w:type="dxa"/>
            <w:vAlign w:val="center"/>
          </w:tcPr>
          <w:p>
            <w:pPr>
              <w:spacing w:line="240" w:lineRule="exact"/>
              <w:jc w:val="center"/>
              <w:rPr>
                <w:rFonts w:ascii="仿宋" w:hAnsi="仿宋" w:eastAsia="仿宋" w:cs="仿宋"/>
                <w:bCs/>
                <w:szCs w:val="21"/>
              </w:rPr>
            </w:pPr>
            <w:r>
              <w:rPr>
                <w:rFonts w:ascii="仿宋" w:hAnsi="仿宋" w:eastAsia="仿宋" w:cs="仿宋"/>
                <w:bCs/>
                <w:szCs w:val="21"/>
              </w:rPr>
              <w:t>监测项目</w:t>
            </w:r>
          </w:p>
        </w:tc>
        <w:tc>
          <w:tcPr>
            <w:tcW w:w="1251" w:type="dxa"/>
            <w:vAlign w:val="center"/>
          </w:tcPr>
          <w:p>
            <w:pPr>
              <w:spacing w:line="240" w:lineRule="exact"/>
              <w:jc w:val="center"/>
              <w:rPr>
                <w:rFonts w:ascii="仿宋" w:hAnsi="仿宋" w:eastAsia="仿宋" w:cs="仿宋"/>
                <w:bCs/>
                <w:szCs w:val="21"/>
              </w:rPr>
            </w:pPr>
            <w:r>
              <w:rPr>
                <w:rFonts w:ascii="仿宋" w:hAnsi="仿宋" w:eastAsia="仿宋" w:cs="仿宋"/>
                <w:bCs/>
                <w:szCs w:val="21"/>
              </w:rPr>
              <w:t>监测频率</w:t>
            </w:r>
          </w:p>
        </w:tc>
        <w:tc>
          <w:tcPr>
            <w:tcW w:w="1468" w:type="dxa"/>
            <w:vAlign w:val="center"/>
          </w:tcPr>
          <w:p>
            <w:pPr>
              <w:spacing w:line="240" w:lineRule="exact"/>
              <w:jc w:val="center"/>
              <w:rPr>
                <w:rFonts w:ascii="仿宋" w:hAnsi="仿宋" w:eastAsia="仿宋" w:cs="仿宋"/>
                <w:bCs/>
                <w:szCs w:val="21"/>
              </w:rPr>
            </w:pPr>
            <w:r>
              <w:rPr>
                <w:rFonts w:ascii="仿宋" w:hAnsi="仿宋" w:eastAsia="仿宋" w:cs="仿宋"/>
                <w:bCs/>
                <w:szCs w:val="21"/>
              </w:rPr>
              <w:t>监测单位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79" w:type="dxa"/>
            <w:vAlign w:val="center"/>
          </w:tcPr>
          <w:p>
            <w:pPr>
              <w:spacing w:line="240" w:lineRule="exact"/>
              <w:jc w:val="center"/>
              <w:rPr>
                <w:rFonts w:ascii="仿宋" w:hAnsi="仿宋" w:eastAsia="仿宋" w:cs="仿宋"/>
                <w:bCs/>
                <w:szCs w:val="21"/>
              </w:rPr>
            </w:pPr>
            <w:r>
              <w:rPr>
                <w:rFonts w:ascii="仿宋" w:hAnsi="仿宋" w:eastAsia="仿宋" w:cs="仿宋"/>
                <w:bCs/>
                <w:szCs w:val="21"/>
              </w:rPr>
              <w:t>大气</w:t>
            </w:r>
          </w:p>
        </w:tc>
        <w:tc>
          <w:tcPr>
            <w:tcW w:w="1899"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元巷小区</w:t>
            </w:r>
          </w:p>
        </w:tc>
        <w:tc>
          <w:tcPr>
            <w:tcW w:w="3544"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二甲苯、非甲烷总烃</w:t>
            </w:r>
          </w:p>
        </w:tc>
        <w:tc>
          <w:tcPr>
            <w:tcW w:w="1251" w:type="dxa"/>
            <w:vAlign w:val="center"/>
          </w:tcPr>
          <w:p>
            <w:pPr>
              <w:spacing w:line="240" w:lineRule="exact"/>
              <w:jc w:val="center"/>
              <w:rPr>
                <w:rFonts w:ascii="仿宋" w:hAnsi="仿宋" w:eastAsia="仿宋" w:cs="仿宋"/>
                <w:bCs/>
                <w:szCs w:val="21"/>
              </w:rPr>
            </w:pPr>
            <w:r>
              <w:rPr>
                <w:rFonts w:ascii="仿宋" w:hAnsi="仿宋" w:eastAsia="仿宋" w:cs="仿宋"/>
                <w:bCs/>
                <w:szCs w:val="21"/>
              </w:rPr>
              <w:t>一年一次</w:t>
            </w:r>
          </w:p>
        </w:tc>
        <w:tc>
          <w:tcPr>
            <w:tcW w:w="1468" w:type="dxa"/>
            <w:vMerge w:val="restart"/>
            <w:vAlign w:val="center"/>
          </w:tcPr>
          <w:p>
            <w:pPr>
              <w:spacing w:line="240" w:lineRule="exact"/>
              <w:jc w:val="center"/>
              <w:rPr>
                <w:rFonts w:ascii="仿宋" w:hAnsi="仿宋" w:eastAsia="仿宋" w:cs="仿宋"/>
                <w:bCs/>
                <w:szCs w:val="21"/>
              </w:rPr>
            </w:pPr>
            <w:r>
              <w:rPr>
                <w:rFonts w:ascii="仿宋" w:hAnsi="仿宋" w:eastAsia="仿宋" w:cs="仿宋"/>
                <w:bCs/>
                <w:szCs w:val="21"/>
              </w:rPr>
              <w:t>有资质的环境监测机构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79" w:type="dxa"/>
            <w:vAlign w:val="center"/>
          </w:tcPr>
          <w:p>
            <w:pPr>
              <w:spacing w:line="240" w:lineRule="exact"/>
              <w:jc w:val="center"/>
              <w:rPr>
                <w:rFonts w:ascii="仿宋" w:hAnsi="仿宋" w:eastAsia="仿宋" w:cs="仿宋"/>
                <w:bCs/>
                <w:szCs w:val="21"/>
              </w:rPr>
            </w:pPr>
            <w:r>
              <w:rPr>
                <w:rFonts w:ascii="仿宋" w:hAnsi="仿宋" w:eastAsia="仿宋" w:cs="仿宋"/>
                <w:bCs/>
                <w:szCs w:val="21"/>
              </w:rPr>
              <w:t>地下水</w:t>
            </w:r>
          </w:p>
        </w:tc>
        <w:tc>
          <w:tcPr>
            <w:tcW w:w="1899" w:type="dxa"/>
            <w:vAlign w:val="center"/>
          </w:tcPr>
          <w:p>
            <w:pPr>
              <w:spacing w:line="240" w:lineRule="exact"/>
              <w:jc w:val="center"/>
              <w:rPr>
                <w:rFonts w:ascii="仿宋" w:hAnsi="仿宋" w:eastAsia="仿宋" w:cs="仿宋"/>
                <w:bCs/>
                <w:szCs w:val="21"/>
              </w:rPr>
            </w:pPr>
            <w:r>
              <w:rPr>
                <w:rFonts w:ascii="仿宋" w:hAnsi="仿宋" w:eastAsia="仿宋" w:cs="仿宋"/>
                <w:bCs/>
                <w:szCs w:val="21"/>
              </w:rPr>
              <w:t>项目所在地上、下游各设一点</w:t>
            </w:r>
          </w:p>
        </w:tc>
        <w:tc>
          <w:tcPr>
            <w:tcW w:w="3544" w:type="dxa"/>
            <w:vAlign w:val="center"/>
          </w:tcPr>
          <w:p>
            <w:pPr>
              <w:spacing w:line="240" w:lineRule="exact"/>
              <w:jc w:val="center"/>
              <w:rPr>
                <w:rFonts w:ascii="仿宋" w:hAnsi="仿宋" w:eastAsia="仿宋" w:cs="仿宋"/>
                <w:bCs/>
                <w:szCs w:val="21"/>
              </w:rPr>
            </w:pPr>
            <w:r>
              <w:rPr>
                <w:rFonts w:ascii="仿宋" w:hAnsi="仿宋" w:eastAsia="仿宋" w:cs="仿宋"/>
                <w:bCs/>
                <w:szCs w:val="21"/>
              </w:rPr>
              <w:t>K</w:t>
            </w:r>
            <w:r>
              <w:rPr>
                <w:rFonts w:ascii="仿宋" w:hAnsi="仿宋" w:eastAsia="仿宋" w:cs="仿宋"/>
                <w:bCs/>
                <w:szCs w:val="21"/>
                <w:vertAlign w:val="superscript"/>
              </w:rPr>
              <w:t>+</w:t>
            </w:r>
            <w:r>
              <w:rPr>
                <w:rFonts w:ascii="仿宋" w:hAnsi="仿宋" w:eastAsia="仿宋" w:cs="仿宋"/>
                <w:bCs/>
                <w:szCs w:val="21"/>
              </w:rPr>
              <w:t>、Na</w:t>
            </w:r>
            <w:r>
              <w:rPr>
                <w:rFonts w:ascii="仿宋" w:hAnsi="仿宋" w:eastAsia="仿宋" w:cs="仿宋"/>
                <w:bCs/>
                <w:szCs w:val="21"/>
                <w:vertAlign w:val="superscript"/>
              </w:rPr>
              <w:t>+</w:t>
            </w:r>
            <w:r>
              <w:rPr>
                <w:rFonts w:ascii="仿宋" w:hAnsi="仿宋" w:eastAsia="仿宋" w:cs="仿宋"/>
                <w:bCs/>
                <w:szCs w:val="21"/>
              </w:rPr>
              <w:t>、Ca</w:t>
            </w:r>
            <w:r>
              <w:rPr>
                <w:rFonts w:ascii="仿宋" w:hAnsi="仿宋" w:eastAsia="仿宋" w:cs="仿宋"/>
                <w:bCs/>
                <w:szCs w:val="21"/>
                <w:vertAlign w:val="superscript"/>
              </w:rPr>
              <w:t>2+</w:t>
            </w:r>
            <w:r>
              <w:rPr>
                <w:rFonts w:ascii="仿宋" w:hAnsi="仿宋" w:eastAsia="仿宋" w:cs="仿宋"/>
                <w:bCs/>
                <w:szCs w:val="21"/>
              </w:rPr>
              <w:t>、Mg</w:t>
            </w:r>
            <w:r>
              <w:rPr>
                <w:rFonts w:ascii="仿宋" w:hAnsi="仿宋" w:eastAsia="仿宋" w:cs="仿宋"/>
                <w:bCs/>
                <w:szCs w:val="21"/>
                <w:vertAlign w:val="superscript"/>
              </w:rPr>
              <w:t>2+</w:t>
            </w:r>
            <w:r>
              <w:rPr>
                <w:rFonts w:ascii="仿宋" w:hAnsi="仿宋" w:eastAsia="仿宋" w:cs="仿宋"/>
                <w:bCs/>
                <w:szCs w:val="21"/>
              </w:rPr>
              <w:t>、CO</w:t>
            </w:r>
            <w:r>
              <w:rPr>
                <w:rFonts w:ascii="仿宋" w:hAnsi="仿宋" w:eastAsia="仿宋" w:cs="仿宋"/>
                <w:bCs/>
                <w:szCs w:val="21"/>
                <w:vertAlign w:val="subscript"/>
              </w:rPr>
              <w:t>3</w:t>
            </w:r>
            <w:r>
              <w:rPr>
                <w:rFonts w:ascii="仿宋" w:hAnsi="仿宋" w:eastAsia="仿宋" w:cs="仿宋"/>
                <w:bCs/>
                <w:szCs w:val="21"/>
                <w:vertAlign w:val="superscript"/>
              </w:rPr>
              <w:t>2-</w:t>
            </w:r>
            <w:r>
              <w:rPr>
                <w:rFonts w:ascii="仿宋" w:hAnsi="仿宋" w:eastAsia="仿宋" w:cs="仿宋"/>
                <w:bCs/>
                <w:szCs w:val="21"/>
              </w:rPr>
              <w:t>、HCO</w:t>
            </w:r>
            <w:r>
              <w:rPr>
                <w:rFonts w:ascii="仿宋" w:hAnsi="仿宋" w:eastAsia="仿宋" w:cs="仿宋"/>
                <w:bCs/>
                <w:szCs w:val="21"/>
                <w:vertAlign w:val="subscript"/>
              </w:rPr>
              <w:t>3</w:t>
            </w:r>
            <w:r>
              <w:rPr>
                <w:rFonts w:ascii="仿宋" w:hAnsi="仿宋" w:eastAsia="仿宋" w:cs="仿宋"/>
                <w:bCs/>
                <w:szCs w:val="21"/>
                <w:vertAlign w:val="superscript"/>
              </w:rPr>
              <w:t>-</w:t>
            </w:r>
            <w:r>
              <w:rPr>
                <w:rFonts w:ascii="仿宋" w:hAnsi="仿宋" w:eastAsia="仿宋" w:cs="仿宋"/>
                <w:bCs/>
                <w:szCs w:val="21"/>
              </w:rPr>
              <w:t>、Cl</w:t>
            </w:r>
            <w:r>
              <w:rPr>
                <w:rFonts w:ascii="仿宋" w:hAnsi="仿宋" w:eastAsia="仿宋" w:cs="仿宋"/>
                <w:bCs/>
                <w:szCs w:val="21"/>
                <w:vertAlign w:val="superscript"/>
              </w:rPr>
              <w:t>-</w:t>
            </w:r>
            <w:r>
              <w:rPr>
                <w:rFonts w:ascii="仿宋" w:hAnsi="仿宋" w:eastAsia="仿宋" w:cs="仿宋"/>
                <w:bCs/>
                <w:szCs w:val="21"/>
              </w:rPr>
              <w:t>、SO</w:t>
            </w:r>
            <w:r>
              <w:rPr>
                <w:rFonts w:ascii="仿宋" w:hAnsi="仿宋" w:eastAsia="仿宋" w:cs="仿宋"/>
                <w:bCs/>
                <w:szCs w:val="21"/>
                <w:vertAlign w:val="subscript"/>
              </w:rPr>
              <w:t>4</w:t>
            </w:r>
            <w:r>
              <w:rPr>
                <w:rFonts w:ascii="仿宋" w:hAnsi="仿宋" w:eastAsia="仿宋" w:cs="仿宋"/>
                <w:bCs/>
                <w:szCs w:val="21"/>
                <w:vertAlign w:val="superscript"/>
              </w:rPr>
              <w:t>2-</w:t>
            </w:r>
            <w:r>
              <w:rPr>
                <w:rFonts w:hint="eastAsia" w:ascii="仿宋" w:hAnsi="仿宋" w:eastAsia="仿宋" w:cs="仿宋"/>
                <w:bCs/>
                <w:szCs w:val="21"/>
              </w:rPr>
              <w:t>、p</w:t>
            </w:r>
            <w:r>
              <w:rPr>
                <w:rFonts w:ascii="仿宋" w:hAnsi="仿宋" w:eastAsia="仿宋" w:cs="仿宋"/>
                <w:bCs/>
                <w:szCs w:val="21"/>
              </w:rPr>
              <w:t>H</w:t>
            </w:r>
            <w:r>
              <w:rPr>
                <w:rFonts w:hint="eastAsia" w:ascii="仿宋" w:hAnsi="仿宋" w:eastAsia="仿宋" w:cs="仿宋"/>
                <w:bCs/>
                <w:szCs w:val="21"/>
              </w:rPr>
              <w:t>、</w:t>
            </w:r>
            <w:r>
              <w:rPr>
                <w:rFonts w:ascii="仿宋" w:hAnsi="仿宋" w:eastAsia="仿宋" w:cs="仿宋"/>
                <w:bCs/>
                <w:szCs w:val="21"/>
              </w:rPr>
              <w:t>高锰酸盐指数、氨氮</w:t>
            </w:r>
            <w:r>
              <w:rPr>
                <w:rFonts w:hint="eastAsia" w:ascii="仿宋" w:hAnsi="仿宋" w:eastAsia="仿宋" w:cs="仿宋"/>
                <w:bCs/>
                <w:szCs w:val="21"/>
              </w:rPr>
              <w:t>、</w:t>
            </w:r>
            <w:r>
              <w:rPr>
                <w:rFonts w:ascii="仿宋" w:hAnsi="仿宋" w:eastAsia="仿宋" w:cs="仿宋"/>
                <w:bCs/>
                <w:szCs w:val="21"/>
              </w:rPr>
              <w:t>总硬度、溶解性</w:t>
            </w:r>
            <w:r>
              <w:rPr>
                <w:rFonts w:hint="eastAsia" w:ascii="仿宋" w:hAnsi="仿宋" w:eastAsia="仿宋" w:cs="仿宋"/>
                <w:bCs/>
                <w:szCs w:val="21"/>
              </w:rPr>
              <w:t>总</w:t>
            </w:r>
            <w:r>
              <w:rPr>
                <w:rFonts w:ascii="仿宋" w:hAnsi="仿宋" w:eastAsia="仿宋" w:cs="仿宋"/>
                <w:bCs/>
                <w:szCs w:val="21"/>
              </w:rPr>
              <w:t>固体</w:t>
            </w:r>
            <w:r>
              <w:rPr>
                <w:rFonts w:hint="eastAsia" w:ascii="仿宋" w:hAnsi="仿宋" w:eastAsia="仿宋" w:cs="仿宋"/>
                <w:bCs/>
                <w:szCs w:val="21"/>
              </w:rPr>
              <w:t>、</w:t>
            </w:r>
            <w:r>
              <w:rPr>
                <w:rFonts w:ascii="仿宋" w:hAnsi="仿宋" w:eastAsia="仿宋" w:cs="仿宋"/>
                <w:bCs/>
                <w:szCs w:val="21"/>
              </w:rPr>
              <w:t>二甲苯</w:t>
            </w:r>
          </w:p>
        </w:tc>
        <w:tc>
          <w:tcPr>
            <w:tcW w:w="1251" w:type="dxa"/>
            <w:vAlign w:val="center"/>
          </w:tcPr>
          <w:p>
            <w:pPr>
              <w:spacing w:line="240" w:lineRule="exact"/>
              <w:jc w:val="center"/>
              <w:rPr>
                <w:rFonts w:ascii="仿宋" w:hAnsi="仿宋" w:eastAsia="仿宋" w:cs="仿宋"/>
                <w:bCs/>
                <w:szCs w:val="21"/>
              </w:rPr>
            </w:pPr>
            <w:r>
              <w:rPr>
                <w:rFonts w:ascii="仿宋" w:hAnsi="仿宋" w:eastAsia="仿宋" w:cs="仿宋"/>
                <w:bCs/>
                <w:szCs w:val="21"/>
              </w:rPr>
              <w:t>一年一次</w:t>
            </w:r>
          </w:p>
        </w:tc>
        <w:tc>
          <w:tcPr>
            <w:tcW w:w="1468" w:type="dxa"/>
            <w:vMerge w:val="continue"/>
            <w:vAlign w:val="center"/>
          </w:tcPr>
          <w:p>
            <w:pPr>
              <w:pStyle w:val="124"/>
              <w:rPr>
                <w:rFonts w:ascii="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79" w:type="dxa"/>
            <w:vAlign w:val="center"/>
          </w:tcPr>
          <w:p>
            <w:pPr>
              <w:spacing w:line="240" w:lineRule="exact"/>
              <w:jc w:val="center"/>
              <w:rPr>
                <w:rFonts w:ascii="仿宋" w:hAnsi="仿宋" w:eastAsia="仿宋" w:cs="仿宋"/>
                <w:bCs/>
                <w:szCs w:val="21"/>
              </w:rPr>
            </w:pPr>
            <w:r>
              <w:rPr>
                <w:rFonts w:ascii="仿宋" w:hAnsi="仿宋" w:eastAsia="仿宋" w:cs="仿宋"/>
                <w:bCs/>
                <w:szCs w:val="21"/>
              </w:rPr>
              <w:t>土壤</w:t>
            </w:r>
          </w:p>
        </w:tc>
        <w:tc>
          <w:tcPr>
            <w:tcW w:w="1899" w:type="dxa"/>
            <w:vAlign w:val="center"/>
          </w:tcPr>
          <w:p>
            <w:pPr>
              <w:spacing w:line="240" w:lineRule="exact"/>
              <w:jc w:val="center"/>
              <w:rPr>
                <w:rFonts w:ascii="仿宋" w:hAnsi="仿宋" w:eastAsia="仿宋" w:cs="仿宋"/>
                <w:bCs/>
                <w:szCs w:val="21"/>
              </w:rPr>
            </w:pPr>
            <w:r>
              <w:rPr>
                <w:rFonts w:ascii="仿宋" w:hAnsi="仿宋" w:eastAsia="仿宋" w:cs="仿宋"/>
                <w:bCs/>
                <w:szCs w:val="21"/>
              </w:rPr>
              <w:t>厂区内部</w:t>
            </w:r>
          </w:p>
        </w:tc>
        <w:tc>
          <w:tcPr>
            <w:tcW w:w="3544" w:type="dxa"/>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二</w:t>
            </w:r>
            <w:r>
              <w:rPr>
                <w:rFonts w:ascii="仿宋" w:hAnsi="仿宋" w:eastAsia="仿宋" w:cs="仿宋"/>
                <w:bCs/>
                <w:szCs w:val="21"/>
              </w:rPr>
              <w:t>甲苯</w:t>
            </w:r>
            <w:r>
              <w:rPr>
                <w:rFonts w:hint="eastAsia" w:ascii="仿宋" w:hAnsi="仿宋" w:eastAsia="仿宋" w:cs="仿宋"/>
                <w:bCs/>
                <w:szCs w:val="21"/>
              </w:rPr>
              <w:t>、石油烃</w:t>
            </w:r>
          </w:p>
        </w:tc>
        <w:tc>
          <w:tcPr>
            <w:tcW w:w="1251" w:type="dxa"/>
            <w:vAlign w:val="center"/>
          </w:tcPr>
          <w:p>
            <w:pPr>
              <w:spacing w:line="240" w:lineRule="exact"/>
              <w:jc w:val="center"/>
              <w:rPr>
                <w:rFonts w:ascii="仿宋" w:hAnsi="仿宋" w:eastAsia="仿宋" w:cs="仿宋"/>
                <w:bCs/>
                <w:szCs w:val="21"/>
              </w:rPr>
            </w:pPr>
            <w:r>
              <w:rPr>
                <w:rFonts w:ascii="仿宋" w:hAnsi="仿宋" w:eastAsia="仿宋" w:cs="仿宋"/>
                <w:bCs/>
                <w:szCs w:val="21"/>
              </w:rPr>
              <w:t>一年一次</w:t>
            </w:r>
          </w:p>
        </w:tc>
        <w:tc>
          <w:tcPr>
            <w:tcW w:w="1468" w:type="dxa"/>
            <w:vMerge w:val="continue"/>
            <w:vAlign w:val="center"/>
          </w:tcPr>
          <w:p>
            <w:pPr>
              <w:pStyle w:val="124"/>
              <w:rPr>
                <w:rFonts w:ascii="Times New Roman"/>
              </w:rPr>
            </w:pPr>
          </w:p>
        </w:tc>
      </w:tr>
      <w:bookmarkEnd w:id="467"/>
    </w:tbl>
    <w:p>
      <w:pPr>
        <w:tabs>
          <w:tab w:val="left" w:pos="6840"/>
        </w:tabs>
        <w:spacing w:line="500" w:lineRule="exact"/>
        <w:ind w:firstLine="560" w:firstLineChars="200"/>
        <w:rPr>
          <w:rFonts w:eastAsia="仿宋_GB2312"/>
          <w:sz w:val="28"/>
          <w:szCs w:val="28"/>
        </w:rPr>
      </w:pPr>
      <w:r>
        <w:rPr>
          <w:rFonts w:eastAsia="仿宋_GB2312"/>
          <w:sz w:val="28"/>
          <w:szCs w:val="28"/>
        </w:rPr>
        <w:t>另外除了常规监测外，企业一旦发生事故还应认真履行风险应急监测计划，以指导事故发生后的工作。</w:t>
      </w:r>
    </w:p>
    <w:p>
      <w:pPr>
        <w:pStyle w:val="3"/>
        <w:spacing w:before="120" w:after="120"/>
      </w:pPr>
      <w:bookmarkStart w:id="469" w:name="_Toc140565290"/>
      <w:r>
        <w:t>信息公开</w:t>
      </w:r>
      <w:bookmarkEnd w:id="469"/>
    </w:p>
    <w:p>
      <w:pPr>
        <w:tabs>
          <w:tab w:val="left" w:pos="6840"/>
        </w:tabs>
        <w:spacing w:line="500" w:lineRule="exact"/>
        <w:ind w:firstLine="560" w:firstLineChars="200"/>
        <w:rPr>
          <w:rFonts w:eastAsia="仿宋_GB2312"/>
          <w:bCs/>
          <w:sz w:val="28"/>
          <w:szCs w:val="20"/>
        </w:rPr>
      </w:pPr>
      <w:r>
        <w:rPr>
          <w:rFonts w:eastAsia="仿宋_GB2312"/>
          <w:bCs/>
          <w:sz w:val="28"/>
          <w:szCs w:val="20"/>
        </w:rPr>
        <w:t>对照《企业事业单位环境信息公开办法》的要求，企业应当按照强制公开和自愿公开相结合的原则，及时、如实地公开其环境信息：</w:t>
      </w:r>
    </w:p>
    <w:p>
      <w:pPr>
        <w:tabs>
          <w:tab w:val="left" w:pos="6840"/>
        </w:tabs>
        <w:spacing w:line="500" w:lineRule="exact"/>
        <w:ind w:firstLine="560" w:firstLineChars="200"/>
        <w:rPr>
          <w:rFonts w:eastAsia="仿宋_GB2312"/>
          <w:bCs/>
          <w:sz w:val="28"/>
          <w:szCs w:val="20"/>
        </w:rPr>
      </w:pPr>
      <w:r>
        <w:rPr>
          <w:rFonts w:eastAsia="仿宋_GB2312"/>
          <w:bCs/>
          <w:sz w:val="28"/>
          <w:szCs w:val="20"/>
        </w:rPr>
        <w:t>1、基础信息：包括单位名称、组织机构代码、法定代表人、生产地址、联系方式，以及生产经营和管理服务的主要内容、产品及规模；</w:t>
      </w:r>
    </w:p>
    <w:p>
      <w:pPr>
        <w:tabs>
          <w:tab w:val="left" w:pos="6840"/>
        </w:tabs>
        <w:spacing w:line="500" w:lineRule="exact"/>
        <w:ind w:firstLine="560" w:firstLineChars="200"/>
        <w:rPr>
          <w:rFonts w:eastAsia="仿宋_GB2312"/>
          <w:bCs/>
          <w:sz w:val="28"/>
          <w:szCs w:val="20"/>
        </w:rPr>
      </w:pPr>
      <w:r>
        <w:rPr>
          <w:rFonts w:eastAsia="仿宋_GB2312"/>
          <w:bCs/>
          <w:sz w:val="28"/>
          <w:szCs w:val="20"/>
        </w:rPr>
        <w:t>2、排污信息：包括主要污染物及特征污染物的名称、排放方式、排放口数量和分布情况、排放浓度和总量、超标情况，以及执行的污染物排放标准、核定的排放总量；</w:t>
      </w:r>
    </w:p>
    <w:p>
      <w:pPr>
        <w:tabs>
          <w:tab w:val="left" w:pos="6840"/>
        </w:tabs>
        <w:spacing w:line="500" w:lineRule="exact"/>
        <w:ind w:firstLine="560" w:firstLineChars="200"/>
        <w:rPr>
          <w:rFonts w:eastAsia="仿宋_GB2312"/>
          <w:bCs/>
          <w:sz w:val="28"/>
          <w:szCs w:val="20"/>
        </w:rPr>
      </w:pPr>
      <w:r>
        <w:rPr>
          <w:rFonts w:eastAsia="仿宋_GB2312"/>
          <w:bCs/>
          <w:sz w:val="28"/>
          <w:szCs w:val="20"/>
        </w:rPr>
        <w:t>3、防治污染设施的建设和运行情况；</w:t>
      </w:r>
    </w:p>
    <w:p>
      <w:pPr>
        <w:tabs>
          <w:tab w:val="left" w:pos="6840"/>
        </w:tabs>
        <w:spacing w:line="500" w:lineRule="exact"/>
        <w:ind w:firstLine="560" w:firstLineChars="200"/>
        <w:rPr>
          <w:rFonts w:eastAsia="仿宋_GB2312"/>
          <w:bCs/>
          <w:sz w:val="28"/>
          <w:szCs w:val="20"/>
        </w:rPr>
      </w:pPr>
      <w:r>
        <w:rPr>
          <w:rFonts w:eastAsia="仿宋_GB2312"/>
          <w:bCs/>
          <w:sz w:val="28"/>
          <w:szCs w:val="20"/>
        </w:rPr>
        <w:t>4、建设项目环境影响评价及其他环境保护行政许可情况；</w:t>
      </w:r>
    </w:p>
    <w:p>
      <w:pPr>
        <w:tabs>
          <w:tab w:val="left" w:pos="6840"/>
        </w:tabs>
        <w:spacing w:line="500" w:lineRule="exact"/>
        <w:ind w:firstLine="560" w:firstLineChars="200"/>
        <w:rPr>
          <w:rFonts w:eastAsia="仿宋_GB2312"/>
          <w:bCs/>
          <w:sz w:val="28"/>
          <w:szCs w:val="20"/>
        </w:rPr>
      </w:pPr>
      <w:r>
        <w:rPr>
          <w:rFonts w:eastAsia="仿宋_GB2312"/>
          <w:bCs/>
          <w:sz w:val="28"/>
          <w:szCs w:val="20"/>
        </w:rPr>
        <w:t>5、突发环境事件应急预案；</w:t>
      </w:r>
    </w:p>
    <w:p>
      <w:pPr>
        <w:tabs>
          <w:tab w:val="left" w:pos="6840"/>
        </w:tabs>
        <w:spacing w:line="500" w:lineRule="exact"/>
        <w:ind w:firstLine="560" w:firstLineChars="200"/>
        <w:rPr>
          <w:rFonts w:eastAsia="仿宋_GB2312"/>
          <w:bCs/>
          <w:sz w:val="28"/>
          <w:szCs w:val="20"/>
        </w:rPr>
      </w:pPr>
      <w:r>
        <w:rPr>
          <w:rFonts w:eastAsia="仿宋_GB2312"/>
          <w:bCs/>
          <w:sz w:val="28"/>
          <w:szCs w:val="20"/>
        </w:rPr>
        <w:t>6、其他应当公开的环境信息。</w:t>
      </w:r>
    </w:p>
    <w:p>
      <w:pPr>
        <w:tabs>
          <w:tab w:val="left" w:pos="6840"/>
        </w:tabs>
        <w:spacing w:line="500" w:lineRule="exact"/>
        <w:ind w:firstLine="560" w:firstLineChars="200"/>
        <w:rPr>
          <w:rFonts w:eastAsia="仿宋_GB2312"/>
          <w:bCs/>
          <w:sz w:val="28"/>
          <w:szCs w:val="20"/>
        </w:rPr>
      </w:pPr>
    </w:p>
    <w:p>
      <w:pPr>
        <w:tabs>
          <w:tab w:val="left" w:pos="6840"/>
        </w:tabs>
        <w:spacing w:line="500" w:lineRule="exact"/>
        <w:ind w:firstLine="560" w:firstLineChars="200"/>
        <w:rPr>
          <w:rFonts w:eastAsia="仿宋_GB2312"/>
          <w:bCs/>
          <w:sz w:val="28"/>
          <w:szCs w:val="20"/>
        </w:rPr>
      </w:pPr>
    </w:p>
    <w:p>
      <w:pPr>
        <w:pStyle w:val="33"/>
      </w:pPr>
    </w:p>
    <w:p>
      <w:pPr>
        <w:pStyle w:val="45"/>
      </w:pPr>
    </w:p>
    <w:p>
      <w:pPr>
        <w:pStyle w:val="45"/>
      </w:pPr>
    </w:p>
    <w:p>
      <w:pPr>
        <w:pStyle w:val="45"/>
      </w:pPr>
    </w:p>
    <w:p>
      <w:pPr>
        <w:spacing w:line="500" w:lineRule="exact"/>
        <w:jc w:val="center"/>
        <w:rPr>
          <w:rFonts w:eastAsia="仿宋_GB2312"/>
          <w:b/>
          <w:sz w:val="24"/>
        </w:rPr>
      </w:pPr>
      <w:r>
        <w:rPr>
          <w:rFonts w:hint="eastAsia" w:eastAsia="仿宋_GB2312"/>
          <w:b/>
          <w:sz w:val="24"/>
        </w:rPr>
        <w:t>表8</w:t>
      </w:r>
      <w:r>
        <w:rPr>
          <w:rFonts w:eastAsia="仿宋_GB2312"/>
          <w:b/>
          <w:sz w:val="24"/>
        </w:rPr>
        <w:t>.4-1</w:t>
      </w:r>
      <w:r>
        <w:rPr>
          <w:rFonts w:hint="eastAsia" w:eastAsia="仿宋_GB2312"/>
          <w:b/>
          <w:sz w:val="24"/>
        </w:rPr>
        <w:t xml:space="preserve">   本项目社会公开信息内容一览表</w:t>
      </w:r>
    </w:p>
    <w:tbl>
      <w:tblPr>
        <w:tblStyle w:val="87"/>
        <w:tblW w:w="563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72"/>
        <w:gridCol w:w="1111"/>
        <w:gridCol w:w="1455"/>
        <w:gridCol w:w="4349"/>
        <w:gridCol w:w="752"/>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8" w:type="pct"/>
            <w:shd w:val="clear" w:color="auto" w:fill="auto"/>
            <w:vAlign w:val="center"/>
          </w:tcPr>
          <w:p>
            <w:pPr>
              <w:spacing w:line="240" w:lineRule="exact"/>
              <w:jc w:val="center"/>
              <w:rPr>
                <w:rFonts w:ascii="仿宋" w:hAnsi="仿宋" w:eastAsia="仿宋" w:cs="仿宋"/>
                <w:bCs/>
                <w:szCs w:val="21"/>
              </w:rPr>
            </w:pPr>
            <w:bookmarkStart w:id="470" w:name="_Hlk64811868"/>
            <w:r>
              <w:rPr>
                <w:rFonts w:ascii="仿宋" w:hAnsi="仿宋" w:eastAsia="仿宋" w:cs="仿宋"/>
                <w:bCs/>
                <w:szCs w:val="21"/>
              </w:rPr>
              <w:t>污染源</w:t>
            </w:r>
          </w:p>
        </w:tc>
        <w:tc>
          <w:tcPr>
            <w:tcW w:w="558"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污染物名称</w:t>
            </w:r>
          </w:p>
        </w:tc>
        <w:tc>
          <w:tcPr>
            <w:tcW w:w="731"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环保</w:t>
            </w:r>
          </w:p>
          <w:p>
            <w:pPr>
              <w:spacing w:line="240" w:lineRule="exact"/>
              <w:jc w:val="center"/>
              <w:rPr>
                <w:rFonts w:ascii="仿宋" w:hAnsi="仿宋" w:eastAsia="仿宋" w:cs="仿宋"/>
                <w:bCs/>
                <w:szCs w:val="21"/>
              </w:rPr>
            </w:pPr>
            <w:r>
              <w:rPr>
                <w:rFonts w:ascii="仿宋" w:hAnsi="仿宋" w:eastAsia="仿宋" w:cs="仿宋"/>
                <w:bCs/>
                <w:szCs w:val="21"/>
              </w:rPr>
              <w:t>设施名称</w:t>
            </w:r>
          </w:p>
        </w:tc>
        <w:tc>
          <w:tcPr>
            <w:tcW w:w="2185"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治理措施</w:t>
            </w:r>
          </w:p>
        </w:tc>
        <w:tc>
          <w:tcPr>
            <w:tcW w:w="378"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进度</w:t>
            </w:r>
          </w:p>
        </w:tc>
        <w:tc>
          <w:tcPr>
            <w:tcW w:w="758"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预期效果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60" w:hRule="atLeast"/>
          <w:jc w:val="center"/>
        </w:trPr>
        <w:tc>
          <w:tcPr>
            <w:tcW w:w="388" w:type="pct"/>
            <w:vMerge w:val="restar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有组织废气</w:t>
            </w:r>
          </w:p>
        </w:tc>
        <w:tc>
          <w:tcPr>
            <w:tcW w:w="558" w:type="pc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非甲烷总烃</w:t>
            </w:r>
            <w:r>
              <w:rPr>
                <w:rFonts w:ascii="仿宋" w:hAnsi="仿宋" w:eastAsia="仿宋" w:cs="仿宋"/>
                <w:bCs/>
                <w:szCs w:val="21"/>
              </w:rPr>
              <w:t>、</w:t>
            </w:r>
            <w:r>
              <w:rPr>
                <w:rFonts w:hint="eastAsia" w:ascii="仿宋" w:hAnsi="仿宋" w:eastAsia="仿宋" w:cs="仿宋"/>
                <w:bCs/>
                <w:szCs w:val="21"/>
              </w:rPr>
              <w:t>二甲苯、</w:t>
            </w:r>
            <w:r>
              <w:rPr>
                <w:rFonts w:ascii="仿宋" w:hAnsi="仿宋" w:eastAsia="仿宋" w:cs="仿宋"/>
                <w:bCs/>
                <w:szCs w:val="21"/>
              </w:rPr>
              <w:t>颗粒物</w:t>
            </w:r>
            <w:r>
              <w:rPr>
                <w:rFonts w:hint="eastAsia" w:ascii="仿宋" w:hAnsi="仿宋" w:eastAsia="仿宋" w:cs="仿宋"/>
                <w:bCs/>
                <w:szCs w:val="21"/>
              </w:rPr>
              <w:t>、SO</w:t>
            </w:r>
            <w:r>
              <w:rPr>
                <w:rFonts w:hint="eastAsia" w:ascii="仿宋" w:hAnsi="仿宋" w:eastAsia="仿宋" w:cs="仿宋"/>
                <w:bCs/>
                <w:szCs w:val="21"/>
                <w:vertAlign w:val="subscript"/>
              </w:rPr>
              <w:t>2</w:t>
            </w:r>
            <w:r>
              <w:rPr>
                <w:rFonts w:hint="eastAsia" w:ascii="仿宋" w:hAnsi="仿宋" w:eastAsia="仿宋" w:cs="仿宋"/>
                <w:bCs/>
                <w:szCs w:val="21"/>
              </w:rPr>
              <w:t>、NO</w:t>
            </w:r>
            <w:r>
              <w:rPr>
                <w:rFonts w:hint="eastAsia" w:ascii="仿宋" w:hAnsi="仿宋" w:eastAsia="仿宋" w:cs="仿宋"/>
                <w:bCs/>
                <w:szCs w:val="21"/>
                <w:vertAlign w:val="subscript"/>
              </w:rPr>
              <w:t>X</w:t>
            </w:r>
          </w:p>
        </w:tc>
        <w:tc>
          <w:tcPr>
            <w:tcW w:w="731" w:type="pct"/>
            <w:shd w:val="clear" w:color="auto" w:fill="auto"/>
            <w:vAlign w:val="center"/>
          </w:tcPr>
          <w:p>
            <w:pPr>
              <w:pStyle w:val="20"/>
              <w:spacing w:line="240" w:lineRule="exact"/>
              <w:ind w:firstLine="0" w:firstLineChars="0"/>
              <w:jc w:val="center"/>
              <w:rPr>
                <w:rFonts w:ascii="仿宋" w:hAnsi="仿宋" w:eastAsia="仿宋" w:cs="仿宋"/>
                <w:bCs/>
                <w:szCs w:val="21"/>
              </w:rPr>
            </w:pPr>
            <w:r>
              <w:rPr>
                <w:rFonts w:hint="eastAsia" w:ascii="仿宋" w:hAnsi="仿宋" w:eastAsia="仿宋" w:cs="仿宋"/>
                <w:bCs/>
                <w:szCs w:val="21"/>
              </w:rPr>
              <w:t>RTO燃烧装置</w:t>
            </w:r>
          </w:p>
        </w:tc>
        <w:tc>
          <w:tcPr>
            <w:tcW w:w="2185" w:type="pct"/>
            <w:shd w:val="clear" w:color="auto" w:fill="auto"/>
            <w:vAlign w:val="center"/>
          </w:tcPr>
          <w:p>
            <w:pPr>
              <w:pStyle w:val="20"/>
              <w:spacing w:line="240" w:lineRule="exact"/>
              <w:ind w:firstLine="0" w:firstLineChars="0"/>
              <w:jc w:val="center"/>
              <w:rPr>
                <w:rFonts w:ascii="仿宋" w:hAnsi="仿宋" w:eastAsia="仿宋" w:cs="仿宋"/>
                <w:bCs/>
                <w:szCs w:val="21"/>
              </w:rPr>
            </w:pPr>
            <w:r>
              <w:rPr>
                <w:rFonts w:hint="eastAsia" w:ascii="仿宋" w:hAnsi="仿宋" w:eastAsia="仿宋" w:cs="仿宋"/>
                <w:bCs/>
                <w:szCs w:val="21"/>
              </w:rPr>
              <w:t>配胶废气G1、涂布干燥废气G2、清洗废气G3在</w:t>
            </w:r>
            <w:r>
              <w:rPr>
                <w:rFonts w:ascii="仿宋" w:hAnsi="仿宋" w:eastAsia="仿宋" w:cs="仿宋"/>
                <w:bCs/>
                <w:szCs w:val="21"/>
              </w:rPr>
              <w:t>密闭房内</w:t>
            </w:r>
            <w:r>
              <w:rPr>
                <w:rFonts w:hint="eastAsia" w:ascii="仿宋" w:hAnsi="仿宋" w:eastAsia="仿宋" w:cs="仿宋"/>
                <w:bCs/>
                <w:szCs w:val="21"/>
              </w:rPr>
              <w:t>由</w:t>
            </w:r>
            <w:r>
              <w:rPr>
                <w:rFonts w:ascii="仿宋" w:hAnsi="仿宋" w:eastAsia="仿宋" w:cs="仿宋"/>
                <w:bCs/>
                <w:szCs w:val="21"/>
              </w:rPr>
              <w:t>设备负压</w:t>
            </w:r>
            <w:r>
              <w:rPr>
                <w:rFonts w:hint="eastAsia" w:ascii="仿宋" w:hAnsi="仿宋" w:eastAsia="仿宋" w:cs="仿宋"/>
                <w:bCs/>
                <w:szCs w:val="21"/>
              </w:rPr>
              <w:t>收集</w:t>
            </w:r>
            <w:r>
              <w:rPr>
                <w:rFonts w:ascii="仿宋" w:hAnsi="仿宋" w:eastAsia="仿宋" w:cs="仿宋"/>
                <w:bCs/>
                <w:szCs w:val="21"/>
              </w:rPr>
              <w:t>一并</w:t>
            </w:r>
            <w:r>
              <w:rPr>
                <w:rFonts w:hint="eastAsia" w:ascii="仿宋" w:hAnsi="仿宋" w:eastAsia="仿宋" w:cs="仿宋"/>
                <w:bCs/>
                <w:szCs w:val="21"/>
              </w:rPr>
              <w:t>进入RTO废气</w:t>
            </w:r>
            <w:r>
              <w:rPr>
                <w:rFonts w:ascii="仿宋" w:hAnsi="仿宋" w:eastAsia="仿宋" w:cs="仿宋"/>
                <w:bCs/>
                <w:szCs w:val="21"/>
              </w:rPr>
              <w:t>处理装置处理</w:t>
            </w:r>
            <w:r>
              <w:rPr>
                <w:rFonts w:hint="eastAsia" w:ascii="仿宋" w:hAnsi="仿宋" w:eastAsia="仿宋" w:cs="仿宋"/>
                <w:bCs/>
                <w:szCs w:val="21"/>
              </w:rPr>
              <w:t>，各工段废气经密闭支管收集汇入主管，保持负压，确保废气有效收集，处理后通过</w:t>
            </w:r>
            <w:r>
              <w:rPr>
                <w:rFonts w:ascii="仿宋" w:hAnsi="仿宋" w:eastAsia="仿宋" w:cs="仿宋"/>
                <w:bCs/>
                <w:szCs w:val="21"/>
              </w:rPr>
              <w:t>一根</w:t>
            </w:r>
            <w:r>
              <w:rPr>
                <w:rFonts w:hint="eastAsia" w:ascii="仿宋" w:hAnsi="仿宋" w:eastAsia="仿宋" w:cs="仿宋"/>
                <w:bCs/>
                <w:szCs w:val="21"/>
              </w:rPr>
              <w:t>15米</w:t>
            </w:r>
            <w:r>
              <w:rPr>
                <w:rFonts w:ascii="仿宋" w:hAnsi="仿宋" w:eastAsia="仿宋" w:cs="仿宋"/>
                <w:bCs/>
                <w:szCs w:val="21"/>
              </w:rPr>
              <w:t>排气筒（</w:t>
            </w:r>
            <w:r>
              <w:rPr>
                <w:rFonts w:hint="eastAsia" w:ascii="仿宋" w:hAnsi="仿宋" w:eastAsia="仿宋" w:cs="仿宋"/>
                <w:bCs/>
                <w:szCs w:val="21"/>
              </w:rPr>
              <w:t>1</w:t>
            </w:r>
            <w:r>
              <w:rPr>
                <w:rFonts w:ascii="仿宋" w:hAnsi="仿宋" w:eastAsia="仿宋" w:cs="仿宋"/>
                <w:bCs/>
                <w:szCs w:val="21"/>
              </w:rPr>
              <w:t>#）</w:t>
            </w:r>
            <w:r>
              <w:rPr>
                <w:rFonts w:hint="eastAsia" w:ascii="仿宋" w:hAnsi="仿宋" w:eastAsia="仿宋" w:cs="仿宋"/>
                <w:bCs/>
                <w:szCs w:val="21"/>
              </w:rPr>
              <w:t>外排</w:t>
            </w:r>
          </w:p>
        </w:tc>
        <w:tc>
          <w:tcPr>
            <w:tcW w:w="378" w:type="pct"/>
            <w:vMerge w:val="restar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与项目建设同时完工</w:t>
            </w:r>
          </w:p>
        </w:tc>
        <w:tc>
          <w:tcPr>
            <w:tcW w:w="758" w:type="pct"/>
            <w:vMerge w:val="restar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有组织废气达标排放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60" w:hRule="atLeast"/>
          <w:jc w:val="center"/>
        </w:trPr>
        <w:tc>
          <w:tcPr>
            <w:tcW w:w="388" w:type="pct"/>
            <w:vMerge w:val="continue"/>
            <w:shd w:val="clear" w:color="auto" w:fill="auto"/>
            <w:vAlign w:val="center"/>
          </w:tcPr>
          <w:p>
            <w:pPr>
              <w:spacing w:line="240" w:lineRule="exact"/>
              <w:jc w:val="center"/>
            </w:pPr>
          </w:p>
        </w:tc>
        <w:tc>
          <w:tcPr>
            <w:tcW w:w="558" w:type="pc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非甲烷总烃</w:t>
            </w:r>
          </w:p>
        </w:tc>
        <w:tc>
          <w:tcPr>
            <w:tcW w:w="731" w:type="pc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两级活性炭吸附装置</w:t>
            </w:r>
          </w:p>
        </w:tc>
        <w:tc>
          <w:tcPr>
            <w:tcW w:w="2185" w:type="pc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危废仓库废气经集气罩收集后经两级活性炭吸附装置处理后通过</w:t>
            </w:r>
            <w:r>
              <w:rPr>
                <w:rFonts w:ascii="仿宋" w:hAnsi="仿宋" w:eastAsia="仿宋" w:cs="仿宋"/>
                <w:bCs/>
                <w:szCs w:val="21"/>
              </w:rPr>
              <w:t>一根</w:t>
            </w:r>
            <w:r>
              <w:rPr>
                <w:rFonts w:hint="eastAsia" w:ascii="仿宋" w:hAnsi="仿宋" w:eastAsia="仿宋" w:cs="仿宋"/>
                <w:bCs/>
                <w:szCs w:val="21"/>
              </w:rPr>
              <w:t>15米</w:t>
            </w:r>
            <w:r>
              <w:rPr>
                <w:rFonts w:ascii="仿宋" w:hAnsi="仿宋" w:eastAsia="仿宋" w:cs="仿宋"/>
                <w:bCs/>
                <w:szCs w:val="21"/>
              </w:rPr>
              <w:t>排气筒（</w:t>
            </w:r>
            <w:r>
              <w:rPr>
                <w:rFonts w:hint="eastAsia" w:ascii="仿宋" w:hAnsi="仿宋" w:eastAsia="仿宋" w:cs="仿宋"/>
                <w:bCs/>
                <w:szCs w:val="21"/>
              </w:rPr>
              <w:t>2</w:t>
            </w:r>
            <w:r>
              <w:rPr>
                <w:rFonts w:ascii="仿宋" w:hAnsi="仿宋" w:eastAsia="仿宋" w:cs="仿宋"/>
                <w:bCs/>
                <w:szCs w:val="21"/>
              </w:rPr>
              <w:t>#）</w:t>
            </w:r>
            <w:r>
              <w:rPr>
                <w:rFonts w:hint="eastAsia" w:ascii="仿宋" w:hAnsi="仿宋" w:eastAsia="仿宋" w:cs="仿宋"/>
                <w:bCs/>
                <w:szCs w:val="21"/>
              </w:rPr>
              <w:t>外排</w:t>
            </w:r>
          </w:p>
        </w:tc>
        <w:tc>
          <w:tcPr>
            <w:tcW w:w="378" w:type="pct"/>
            <w:vMerge w:val="continue"/>
            <w:shd w:val="clear" w:color="auto" w:fill="auto"/>
            <w:vAlign w:val="center"/>
          </w:tcPr>
          <w:p>
            <w:pPr>
              <w:spacing w:line="240" w:lineRule="exact"/>
              <w:jc w:val="center"/>
              <w:rPr>
                <w:rFonts w:ascii="仿宋" w:hAnsi="仿宋" w:eastAsia="仿宋" w:cs="仿宋"/>
                <w:bCs/>
                <w:szCs w:val="21"/>
              </w:rPr>
            </w:pPr>
          </w:p>
        </w:tc>
        <w:tc>
          <w:tcPr>
            <w:tcW w:w="758" w:type="pct"/>
            <w:vMerge w:val="continue"/>
            <w:shd w:val="clear" w:color="auto" w:fill="auto"/>
            <w:vAlign w:val="center"/>
          </w:tcPr>
          <w:p>
            <w:pPr>
              <w:spacing w:line="240" w:lineRule="exact"/>
              <w:jc w:val="center"/>
              <w:rPr>
                <w:rFonts w:ascii="仿宋" w:hAnsi="仿宋" w:eastAsia="仿宋" w:cs="仿宋"/>
                <w:bCs/>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8"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无组织废气</w:t>
            </w:r>
          </w:p>
        </w:tc>
        <w:tc>
          <w:tcPr>
            <w:tcW w:w="558"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颗粒物、非甲烷总烃、</w:t>
            </w:r>
            <w:r>
              <w:rPr>
                <w:rFonts w:hint="eastAsia" w:ascii="仿宋" w:hAnsi="仿宋" w:eastAsia="仿宋" w:cs="仿宋"/>
                <w:bCs/>
                <w:szCs w:val="21"/>
              </w:rPr>
              <w:t>二甲苯</w:t>
            </w:r>
          </w:p>
        </w:tc>
        <w:tc>
          <w:tcPr>
            <w:tcW w:w="731"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w:t>
            </w:r>
          </w:p>
        </w:tc>
        <w:tc>
          <w:tcPr>
            <w:tcW w:w="2185"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加强厂区和厂界的绿化工作，减少无组织废气对周围环境的影响。</w:t>
            </w:r>
          </w:p>
          <w:p>
            <w:pPr>
              <w:spacing w:line="240" w:lineRule="exact"/>
              <w:jc w:val="center"/>
              <w:rPr>
                <w:rFonts w:ascii="仿宋" w:hAnsi="仿宋" w:eastAsia="仿宋" w:cs="仿宋"/>
                <w:bCs/>
                <w:szCs w:val="21"/>
              </w:rPr>
            </w:pPr>
            <w:r>
              <w:rPr>
                <w:rFonts w:hint="eastAsia" w:ascii="仿宋" w:hAnsi="仿宋" w:eastAsia="仿宋" w:cs="仿宋"/>
                <w:bCs/>
                <w:szCs w:val="21"/>
              </w:rPr>
              <w:t>无组织排放废气均通过车间强制通风，降低生产厂房内污染物浓度。</w:t>
            </w:r>
          </w:p>
        </w:tc>
        <w:tc>
          <w:tcPr>
            <w:tcW w:w="378" w:type="pct"/>
            <w:vMerge w:val="continue"/>
            <w:shd w:val="clear" w:color="auto" w:fill="auto"/>
            <w:vAlign w:val="center"/>
          </w:tcPr>
          <w:p>
            <w:pPr>
              <w:spacing w:line="240" w:lineRule="exact"/>
              <w:jc w:val="center"/>
              <w:rPr>
                <w:rFonts w:ascii="仿宋" w:hAnsi="仿宋" w:eastAsia="仿宋" w:cs="仿宋"/>
                <w:bCs/>
                <w:szCs w:val="21"/>
              </w:rPr>
            </w:pPr>
          </w:p>
        </w:tc>
        <w:tc>
          <w:tcPr>
            <w:tcW w:w="758"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无组织废气排放控制到最低水平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8"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接管</w:t>
            </w:r>
          </w:p>
          <w:p>
            <w:pPr>
              <w:spacing w:line="240" w:lineRule="exact"/>
              <w:jc w:val="center"/>
              <w:rPr>
                <w:rFonts w:ascii="仿宋" w:hAnsi="仿宋" w:eastAsia="仿宋" w:cs="仿宋"/>
                <w:bCs/>
                <w:szCs w:val="21"/>
              </w:rPr>
            </w:pPr>
            <w:r>
              <w:rPr>
                <w:rFonts w:ascii="仿宋" w:hAnsi="仿宋" w:eastAsia="仿宋" w:cs="仿宋"/>
                <w:bCs/>
                <w:szCs w:val="21"/>
              </w:rPr>
              <w:t>废水</w:t>
            </w:r>
          </w:p>
        </w:tc>
        <w:tc>
          <w:tcPr>
            <w:tcW w:w="558"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COD、SS、NH</w:t>
            </w:r>
            <w:r>
              <w:rPr>
                <w:rFonts w:ascii="仿宋" w:hAnsi="仿宋" w:eastAsia="仿宋" w:cs="仿宋"/>
                <w:bCs/>
                <w:szCs w:val="21"/>
                <w:vertAlign w:val="subscript"/>
              </w:rPr>
              <w:t>3</w:t>
            </w:r>
            <w:r>
              <w:rPr>
                <w:rFonts w:ascii="仿宋" w:hAnsi="仿宋" w:eastAsia="仿宋" w:cs="仿宋"/>
                <w:bCs/>
                <w:szCs w:val="21"/>
              </w:rPr>
              <w:t>-N、TP、</w:t>
            </w:r>
            <w:r>
              <w:rPr>
                <w:rFonts w:hint="eastAsia" w:ascii="仿宋" w:hAnsi="仿宋" w:eastAsia="仿宋" w:cs="仿宋"/>
                <w:bCs/>
                <w:szCs w:val="21"/>
              </w:rPr>
              <w:t>TN</w:t>
            </w:r>
          </w:p>
        </w:tc>
        <w:tc>
          <w:tcPr>
            <w:tcW w:w="731"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污水管网</w:t>
            </w:r>
          </w:p>
        </w:tc>
        <w:tc>
          <w:tcPr>
            <w:tcW w:w="2185" w:type="pc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生活污水</w:t>
            </w:r>
            <w:r>
              <w:rPr>
                <w:rFonts w:ascii="仿宋" w:hAnsi="仿宋" w:eastAsia="仿宋" w:cs="仿宋"/>
                <w:bCs/>
                <w:szCs w:val="21"/>
              </w:rPr>
              <w:t>经厂区污水管网接入市政污水管网，进</w:t>
            </w:r>
            <w:r>
              <w:rPr>
                <w:rFonts w:hint="eastAsia" w:ascii="仿宋" w:hAnsi="仿宋" w:eastAsia="仿宋" w:cs="仿宋"/>
                <w:bCs/>
                <w:szCs w:val="21"/>
              </w:rPr>
              <w:t>金坛第二污水</w:t>
            </w:r>
            <w:r>
              <w:rPr>
                <w:rFonts w:ascii="仿宋" w:hAnsi="仿宋" w:eastAsia="仿宋" w:cs="仿宋"/>
                <w:bCs/>
                <w:szCs w:val="21"/>
              </w:rPr>
              <w:t>处理厂处理。</w:t>
            </w:r>
          </w:p>
        </w:tc>
        <w:tc>
          <w:tcPr>
            <w:tcW w:w="378"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已完工</w:t>
            </w:r>
          </w:p>
        </w:tc>
        <w:tc>
          <w:tcPr>
            <w:tcW w:w="758"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符合</w:t>
            </w:r>
            <w:r>
              <w:rPr>
                <w:rFonts w:hint="eastAsia" w:ascii="仿宋" w:hAnsi="仿宋" w:eastAsia="仿宋" w:cs="仿宋"/>
                <w:bCs/>
                <w:szCs w:val="21"/>
              </w:rPr>
              <w:t>金坛第二</w:t>
            </w:r>
            <w:r>
              <w:rPr>
                <w:rFonts w:ascii="仿宋" w:hAnsi="仿宋" w:eastAsia="仿宋" w:cs="仿宋"/>
                <w:bCs/>
                <w:szCs w:val="21"/>
              </w:rPr>
              <w:t>污水处理厂接管标准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8" w:type="pct"/>
            <w:vMerge w:val="restar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固废</w:t>
            </w:r>
          </w:p>
        </w:tc>
        <w:tc>
          <w:tcPr>
            <w:tcW w:w="558" w:type="pc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废胶带</w:t>
            </w:r>
          </w:p>
        </w:tc>
        <w:tc>
          <w:tcPr>
            <w:tcW w:w="731" w:type="pc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固废</w:t>
            </w:r>
            <w:r>
              <w:rPr>
                <w:rFonts w:ascii="仿宋" w:hAnsi="仿宋" w:eastAsia="仿宋" w:cs="仿宋"/>
                <w:bCs/>
                <w:szCs w:val="21"/>
              </w:rPr>
              <w:t>仓库</w:t>
            </w:r>
          </w:p>
        </w:tc>
        <w:tc>
          <w:tcPr>
            <w:tcW w:w="2185" w:type="pc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外售</w:t>
            </w:r>
            <w:r>
              <w:rPr>
                <w:rFonts w:ascii="仿宋" w:hAnsi="仿宋" w:eastAsia="仿宋" w:cs="仿宋"/>
                <w:bCs/>
                <w:szCs w:val="21"/>
              </w:rPr>
              <w:t>综合利用</w:t>
            </w:r>
          </w:p>
        </w:tc>
        <w:tc>
          <w:tcPr>
            <w:tcW w:w="378" w:type="pct"/>
            <w:vMerge w:val="restar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已完工</w:t>
            </w:r>
          </w:p>
        </w:tc>
        <w:tc>
          <w:tcPr>
            <w:tcW w:w="758" w:type="pct"/>
            <w:vMerge w:val="restar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固废零排放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8" w:type="pct"/>
            <w:vMerge w:val="continue"/>
            <w:shd w:val="clear" w:color="auto" w:fill="auto"/>
            <w:vAlign w:val="center"/>
          </w:tcPr>
          <w:p>
            <w:pPr>
              <w:spacing w:line="240" w:lineRule="exact"/>
              <w:jc w:val="center"/>
              <w:rPr>
                <w:rFonts w:ascii="仿宋" w:hAnsi="仿宋" w:eastAsia="仿宋" w:cs="仿宋"/>
                <w:bCs/>
                <w:szCs w:val="21"/>
              </w:rPr>
            </w:pPr>
          </w:p>
        </w:tc>
        <w:tc>
          <w:tcPr>
            <w:tcW w:w="558" w:type="pc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废胶水、废清洗液、废原料桶、废抹布手套、废机油</w:t>
            </w:r>
          </w:p>
        </w:tc>
        <w:tc>
          <w:tcPr>
            <w:tcW w:w="731"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危险固废仓库</w:t>
            </w:r>
          </w:p>
        </w:tc>
        <w:tc>
          <w:tcPr>
            <w:tcW w:w="2185"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委托有资质单位处置</w:t>
            </w:r>
          </w:p>
        </w:tc>
        <w:tc>
          <w:tcPr>
            <w:tcW w:w="378" w:type="pct"/>
            <w:vMerge w:val="continue"/>
            <w:shd w:val="clear" w:color="auto" w:fill="auto"/>
            <w:vAlign w:val="center"/>
          </w:tcPr>
          <w:p>
            <w:pPr>
              <w:spacing w:line="240" w:lineRule="exact"/>
              <w:jc w:val="center"/>
              <w:rPr>
                <w:rFonts w:ascii="仿宋" w:hAnsi="仿宋" w:eastAsia="仿宋" w:cs="仿宋"/>
                <w:bCs/>
                <w:szCs w:val="21"/>
              </w:rPr>
            </w:pPr>
          </w:p>
        </w:tc>
        <w:tc>
          <w:tcPr>
            <w:tcW w:w="758" w:type="pct"/>
            <w:vMerge w:val="continue"/>
            <w:shd w:val="clear" w:color="auto" w:fill="auto"/>
            <w:vAlign w:val="center"/>
          </w:tcPr>
          <w:p>
            <w:pPr>
              <w:spacing w:line="240" w:lineRule="exact"/>
              <w:jc w:val="center"/>
              <w:rPr>
                <w:rFonts w:ascii="仿宋" w:hAnsi="仿宋" w:eastAsia="仿宋" w:cs="仿宋"/>
                <w:bCs/>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8"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噪声</w:t>
            </w:r>
          </w:p>
        </w:tc>
        <w:tc>
          <w:tcPr>
            <w:tcW w:w="558"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w:t>
            </w:r>
          </w:p>
        </w:tc>
        <w:tc>
          <w:tcPr>
            <w:tcW w:w="731"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w:t>
            </w:r>
          </w:p>
        </w:tc>
        <w:tc>
          <w:tcPr>
            <w:tcW w:w="2185"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对高噪声设备安装有效的减振装置</w:t>
            </w:r>
          </w:p>
        </w:tc>
        <w:tc>
          <w:tcPr>
            <w:tcW w:w="378"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与本项目同步完成</w:t>
            </w:r>
          </w:p>
        </w:tc>
        <w:tc>
          <w:tcPr>
            <w:tcW w:w="758"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降低厂界噪声影响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8"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排污口</w:t>
            </w:r>
          </w:p>
        </w:tc>
        <w:tc>
          <w:tcPr>
            <w:tcW w:w="558"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w:t>
            </w:r>
          </w:p>
        </w:tc>
        <w:tc>
          <w:tcPr>
            <w:tcW w:w="731"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w:t>
            </w:r>
          </w:p>
        </w:tc>
        <w:tc>
          <w:tcPr>
            <w:tcW w:w="2185"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规范化建设，设置计量装置、采样口、截流阀</w:t>
            </w:r>
          </w:p>
        </w:tc>
        <w:tc>
          <w:tcPr>
            <w:tcW w:w="378"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与项目建设同时完工</w:t>
            </w:r>
          </w:p>
        </w:tc>
        <w:tc>
          <w:tcPr>
            <w:tcW w:w="758"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规范设置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8"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清污管网分流建设</w:t>
            </w:r>
          </w:p>
        </w:tc>
        <w:tc>
          <w:tcPr>
            <w:tcW w:w="558"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w:t>
            </w:r>
          </w:p>
        </w:tc>
        <w:tc>
          <w:tcPr>
            <w:tcW w:w="731"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厂区清污分流管网</w:t>
            </w:r>
          </w:p>
        </w:tc>
        <w:tc>
          <w:tcPr>
            <w:tcW w:w="2185"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w:t>
            </w:r>
          </w:p>
        </w:tc>
        <w:tc>
          <w:tcPr>
            <w:tcW w:w="378" w:type="pct"/>
            <w:shd w:val="clear" w:color="auto" w:fill="auto"/>
            <w:vAlign w:val="center"/>
          </w:tcPr>
          <w:p>
            <w:pPr>
              <w:jc w:val="center"/>
              <w:rPr>
                <w:rFonts w:ascii="仿宋" w:hAnsi="仿宋" w:eastAsia="仿宋" w:cs="仿宋"/>
                <w:bCs/>
                <w:szCs w:val="21"/>
              </w:rPr>
            </w:pPr>
            <w:r>
              <w:rPr>
                <w:rFonts w:ascii="仿宋" w:hAnsi="仿宋" w:eastAsia="仿宋" w:cs="仿宋"/>
                <w:bCs/>
                <w:szCs w:val="21"/>
              </w:rPr>
              <w:t>已完工</w:t>
            </w:r>
          </w:p>
        </w:tc>
        <w:tc>
          <w:tcPr>
            <w:tcW w:w="758" w:type="pct"/>
            <w:shd w:val="clear" w:color="auto" w:fill="auto"/>
            <w:vAlign w:val="center"/>
          </w:tcPr>
          <w:p>
            <w:pPr>
              <w:adjustRightInd w:val="0"/>
              <w:snapToGrid w:val="0"/>
              <w:jc w:val="center"/>
              <w:rPr>
                <w:rFonts w:ascii="仿宋" w:hAnsi="仿宋" w:eastAsia="仿宋" w:cs="仿宋"/>
                <w:bCs/>
                <w:szCs w:val="21"/>
              </w:rPr>
            </w:pPr>
            <w:r>
              <w:rPr>
                <w:rFonts w:ascii="仿宋" w:hAnsi="仿宋" w:eastAsia="仿宋" w:cs="仿宋"/>
                <w:bCs/>
                <w:szCs w:val="21"/>
              </w:rPr>
              <w:t>规范设置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8" w:type="pct"/>
            <w:vMerge w:val="restar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风险</w:t>
            </w:r>
          </w:p>
          <w:p>
            <w:pPr>
              <w:spacing w:line="240" w:lineRule="exact"/>
              <w:jc w:val="center"/>
              <w:rPr>
                <w:rFonts w:ascii="仿宋" w:hAnsi="仿宋" w:eastAsia="仿宋" w:cs="仿宋"/>
                <w:bCs/>
                <w:szCs w:val="21"/>
              </w:rPr>
            </w:pPr>
            <w:r>
              <w:rPr>
                <w:rFonts w:ascii="仿宋" w:hAnsi="仿宋" w:eastAsia="仿宋" w:cs="仿宋"/>
                <w:bCs/>
                <w:szCs w:val="21"/>
              </w:rPr>
              <w:t>防范</w:t>
            </w:r>
          </w:p>
        </w:tc>
        <w:tc>
          <w:tcPr>
            <w:tcW w:w="558"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w:t>
            </w:r>
          </w:p>
        </w:tc>
        <w:tc>
          <w:tcPr>
            <w:tcW w:w="731"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灭火器、黄沙箱等</w:t>
            </w:r>
          </w:p>
        </w:tc>
        <w:tc>
          <w:tcPr>
            <w:tcW w:w="2185"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事故时灭火器、黄沙灭火</w:t>
            </w:r>
          </w:p>
        </w:tc>
        <w:tc>
          <w:tcPr>
            <w:tcW w:w="378"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已完工</w:t>
            </w:r>
          </w:p>
        </w:tc>
        <w:tc>
          <w:tcPr>
            <w:tcW w:w="758"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规范设置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8" w:type="pct"/>
            <w:vMerge w:val="continue"/>
            <w:shd w:val="clear" w:color="auto" w:fill="auto"/>
            <w:vAlign w:val="center"/>
          </w:tcPr>
          <w:p>
            <w:pPr>
              <w:spacing w:line="240" w:lineRule="exact"/>
              <w:jc w:val="center"/>
              <w:rPr>
                <w:rFonts w:ascii="仿宋" w:hAnsi="仿宋" w:eastAsia="仿宋" w:cs="仿宋"/>
                <w:bCs/>
                <w:szCs w:val="21"/>
              </w:rPr>
            </w:pPr>
          </w:p>
        </w:tc>
        <w:tc>
          <w:tcPr>
            <w:tcW w:w="558"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w:t>
            </w:r>
          </w:p>
        </w:tc>
        <w:tc>
          <w:tcPr>
            <w:tcW w:w="731"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事故应急池</w:t>
            </w:r>
          </w:p>
        </w:tc>
        <w:tc>
          <w:tcPr>
            <w:tcW w:w="2185"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1座</w:t>
            </w:r>
            <w:r>
              <w:rPr>
                <w:rFonts w:hint="eastAsia" w:ascii="仿宋" w:hAnsi="仿宋" w:eastAsia="仿宋" w:cs="仿宋"/>
                <w:bCs/>
                <w:szCs w:val="21"/>
              </w:rPr>
              <w:t>10</w:t>
            </w:r>
            <w:r>
              <w:rPr>
                <w:rFonts w:ascii="仿宋" w:hAnsi="仿宋" w:eastAsia="仿宋" w:cs="仿宋"/>
                <w:bCs/>
                <w:szCs w:val="21"/>
              </w:rPr>
              <w:t>0m</w:t>
            </w:r>
            <w:r>
              <w:rPr>
                <w:rFonts w:ascii="仿宋" w:hAnsi="仿宋" w:eastAsia="仿宋" w:cs="仿宋"/>
                <w:bCs/>
                <w:szCs w:val="21"/>
                <w:vertAlign w:val="superscript"/>
              </w:rPr>
              <w:t>3</w:t>
            </w:r>
            <w:r>
              <w:rPr>
                <w:rFonts w:ascii="仿宋" w:hAnsi="仿宋" w:eastAsia="仿宋" w:cs="仿宋"/>
                <w:bCs/>
                <w:szCs w:val="21"/>
              </w:rPr>
              <w:t>事故应急池</w:t>
            </w:r>
          </w:p>
        </w:tc>
        <w:tc>
          <w:tcPr>
            <w:tcW w:w="378"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已完工</w:t>
            </w:r>
          </w:p>
        </w:tc>
        <w:tc>
          <w:tcPr>
            <w:tcW w:w="758"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规范设置</w:t>
            </w:r>
          </w:p>
        </w:tc>
      </w:tr>
      <w:bookmarkEnd w:id="470"/>
    </w:tbl>
    <w:p>
      <w:pPr>
        <w:pStyle w:val="3"/>
        <w:spacing w:before="120" w:after="120"/>
      </w:pPr>
      <w:bookmarkStart w:id="471" w:name="_Toc245890974"/>
      <w:bookmarkStart w:id="472" w:name="_Toc266376073"/>
      <w:bookmarkStart w:id="473" w:name="_Toc248477697"/>
      <w:bookmarkStart w:id="474" w:name="_Toc248577069"/>
      <w:bookmarkStart w:id="475" w:name="_Toc324327170"/>
      <w:bookmarkStart w:id="476" w:name="_Toc187563244"/>
      <w:bookmarkStart w:id="477" w:name="_Toc245710869"/>
      <w:bookmarkStart w:id="478" w:name="_Toc194292003"/>
      <w:bookmarkStart w:id="479" w:name="_Toc396212012"/>
      <w:bookmarkStart w:id="480" w:name="_Toc245891558"/>
      <w:bookmarkStart w:id="481" w:name="_Toc266376174"/>
      <w:bookmarkStart w:id="482" w:name="_Toc266375706"/>
      <w:bookmarkStart w:id="483" w:name="_Toc248565155"/>
      <w:bookmarkStart w:id="484" w:name="_Toc252306180"/>
      <w:bookmarkStart w:id="485" w:name="_Toc247981527"/>
      <w:bookmarkStart w:id="486" w:name="_Toc469058910"/>
      <w:bookmarkStart w:id="487" w:name="_Toc245632182"/>
      <w:bookmarkStart w:id="488" w:name="_Toc246129423"/>
      <w:bookmarkStart w:id="489" w:name="_Toc140565291"/>
      <w:r>
        <w:t>排污口规范化整治</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p>
    <w:p>
      <w:pPr>
        <w:tabs>
          <w:tab w:val="left" w:pos="6840"/>
        </w:tabs>
        <w:spacing w:line="480" w:lineRule="exact"/>
        <w:ind w:firstLine="556"/>
        <w:rPr>
          <w:rFonts w:eastAsia="仿宋_GB2312"/>
          <w:sz w:val="28"/>
          <w:szCs w:val="28"/>
        </w:rPr>
      </w:pPr>
      <w:r>
        <w:rPr>
          <w:rFonts w:eastAsia="仿宋_GB2312"/>
          <w:sz w:val="28"/>
          <w:szCs w:val="28"/>
        </w:rPr>
        <w:t>按《江苏省排污口设置及规范化整治管理办法》[苏环控（97）122号]要求，该建设项目废水排放口、废气烟囱、固定噪声源扰民处、固废堆放处必须进行规范化设置。</w:t>
      </w:r>
    </w:p>
    <w:p>
      <w:pPr>
        <w:pStyle w:val="365"/>
        <w:numPr>
          <w:ilvl w:val="0"/>
          <w:numId w:val="19"/>
        </w:numPr>
        <w:spacing w:line="480" w:lineRule="exact"/>
        <w:ind w:firstLineChars="0"/>
        <w:rPr>
          <w:rFonts w:eastAsia="仿宋_GB2312"/>
          <w:sz w:val="28"/>
          <w:szCs w:val="28"/>
        </w:rPr>
      </w:pPr>
      <w:r>
        <w:rPr>
          <w:rFonts w:eastAsia="仿宋_GB2312"/>
          <w:sz w:val="28"/>
          <w:szCs w:val="28"/>
        </w:rPr>
        <w:t>污水排放口规范化</w:t>
      </w:r>
    </w:p>
    <w:p>
      <w:pPr>
        <w:tabs>
          <w:tab w:val="left" w:pos="6840"/>
        </w:tabs>
        <w:spacing w:line="480" w:lineRule="exact"/>
        <w:ind w:firstLine="556"/>
        <w:rPr>
          <w:rFonts w:eastAsia="仿宋_GB2312"/>
          <w:sz w:val="28"/>
          <w:szCs w:val="28"/>
        </w:rPr>
      </w:pPr>
      <w:r>
        <w:rPr>
          <w:rFonts w:eastAsia="仿宋_GB2312"/>
          <w:sz w:val="28"/>
          <w:szCs w:val="28"/>
        </w:rPr>
        <w:t>根据《江苏省排污口设置及规范化整治管理办法》第十二条规定，对排污口进行规范化整治，以满足江苏省和当地生态环境局的管理要求。企业必须做好地下管网的铺设工作，实现雨污分流和清污分流。本项目</w:t>
      </w:r>
      <w:r>
        <w:rPr>
          <w:rFonts w:hint="eastAsia" w:eastAsia="仿宋_GB2312"/>
          <w:sz w:val="28"/>
          <w:szCs w:val="28"/>
        </w:rPr>
        <w:t>依托</w:t>
      </w:r>
      <w:r>
        <w:rPr>
          <w:rFonts w:eastAsia="仿宋_GB2312"/>
          <w:sz w:val="28"/>
          <w:szCs w:val="28"/>
        </w:rPr>
        <w:t>厂区内雨水和污水排放口各一个。污水接管口需设置标志牌及装备污水流量计，污水符合“一明显，二合理，三便于”的要求，便于采取水样和监测计量。雨水接管口应设置标志牌，清下水应符合“一明显，二合理，三便于”的要求，设置合理，便于采取水样。</w:t>
      </w:r>
    </w:p>
    <w:p>
      <w:pPr>
        <w:spacing w:line="480" w:lineRule="exact"/>
        <w:ind w:firstLine="560" w:firstLineChars="200"/>
        <w:rPr>
          <w:rFonts w:eastAsia="仿宋_GB2312"/>
          <w:sz w:val="28"/>
          <w:szCs w:val="28"/>
        </w:rPr>
      </w:pPr>
      <w:r>
        <w:rPr>
          <w:rFonts w:hint="eastAsia" w:eastAsia="仿宋_GB2312" w:cs="宋体"/>
          <w:sz w:val="28"/>
          <w:szCs w:val="28"/>
        </w:rPr>
        <w:t>⑵</w:t>
      </w:r>
      <w:r>
        <w:rPr>
          <w:rFonts w:eastAsia="仿宋_GB2312"/>
          <w:sz w:val="28"/>
          <w:szCs w:val="28"/>
        </w:rPr>
        <w:t>废气排气筒（烟囱）规范化</w:t>
      </w:r>
    </w:p>
    <w:p>
      <w:pPr>
        <w:tabs>
          <w:tab w:val="left" w:pos="6840"/>
        </w:tabs>
        <w:spacing w:line="480" w:lineRule="exact"/>
        <w:ind w:firstLine="556"/>
        <w:rPr>
          <w:rFonts w:eastAsia="仿宋_GB2312"/>
          <w:sz w:val="28"/>
          <w:szCs w:val="28"/>
        </w:rPr>
      </w:pPr>
      <w:r>
        <w:rPr>
          <w:rFonts w:eastAsia="仿宋_GB2312"/>
          <w:sz w:val="28"/>
          <w:szCs w:val="28"/>
        </w:rPr>
        <w:t>本项目废气排放口按要求装好标志牌。有组织排放废气的排气筒高度符合国家大气污染物排放标准的有关规定，并设置永久采样孔，</w:t>
      </w:r>
      <w:r>
        <w:rPr>
          <w:rFonts w:hint="eastAsia" w:eastAsia="仿宋_GB2312"/>
          <w:sz w:val="28"/>
          <w:szCs w:val="28"/>
        </w:rPr>
        <w:t>设置VOC</w:t>
      </w:r>
      <w:r>
        <w:rPr>
          <w:rFonts w:eastAsia="仿宋_GB2312"/>
          <w:sz w:val="28"/>
          <w:szCs w:val="28"/>
        </w:rPr>
        <w:t>s在线监测仪</w:t>
      </w:r>
      <w:r>
        <w:rPr>
          <w:rFonts w:hint="eastAsia" w:eastAsia="仿宋_GB2312"/>
          <w:sz w:val="28"/>
          <w:szCs w:val="28"/>
        </w:rPr>
        <w:t>，按相关</w:t>
      </w:r>
      <w:r>
        <w:rPr>
          <w:rFonts w:eastAsia="仿宋_GB2312"/>
          <w:sz w:val="28"/>
          <w:szCs w:val="28"/>
        </w:rPr>
        <w:t>要求定期监测。</w:t>
      </w:r>
    </w:p>
    <w:p>
      <w:pPr>
        <w:spacing w:line="480" w:lineRule="exact"/>
        <w:ind w:firstLine="560" w:firstLineChars="200"/>
        <w:rPr>
          <w:rFonts w:eastAsia="仿宋_GB2312"/>
          <w:sz w:val="28"/>
          <w:szCs w:val="28"/>
        </w:rPr>
      </w:pPr>
      <w:r>
        <w:rPr>
          <w:rFonts w:hint="eastAsia" w:eastAsia="仿宋_GB2312" w:cs="宋体"/>
          <w:sz w:val="28"/>
          <w:szCs w:val="28"/>
        </w:rPr>
        <w:t>⑶</w:t>
      </w:r>
      <w:r>
        <w:rPr>
          <w:rFonts w:eastAsia="仿宋_GB2312"/>
          <w:sz w:val="28"/>
          <w:szCs w:val="28"/>
        </w:rPr>
        <w:t>固定噪声污染源扰民处规范化整治</w:t>
      </w:r>
    </w:p>
    <w:p>
      <w:pPr>
        <w:tabs>
          <w:tab w:val="left" w:pos="6840"/>
        </w:tabs>
        <w:spacing w:line="480" w:lineRule="exact"/>
        <w:ind w:firstLine="556"/>
        <w:rPr>
          <w:rFonts w:eastAsia="仿宋_GB2312"/>
          <w:sz w:val="28"/>
          <w:szCs w:val="28"/>
        </w:rPr>
      </w:pPr>
      <w:r>
        <w:rPr>
          <w:rFonts w:eastAsia="仿宋_GB2312"/>
          <w:sz w:val="28"/>
          <w:szCs w:val="28"/>
        </w:rPr>
        <w:t>对固定噪声污染源（即其产生的噪声超标国家标准并干扰他人正常生活、工作和学习的固定噪声源）对边界影响最大处，设置环境噪声监测点，并在该处附近醒目处设置环境保护图形标志牌；边界上有若干个在声环境中相对独立的固定噪声污染源扰民处，应分别设置环境噪声监测点和环境保护图形标志牌。</w:t>
      </w:r>
    </w:p>
    <w:p>
      <w:pPr>
        <w:spacing w:line="480" w:lineRule="exact"/>
        <w:ind w:firstLine="560" w:firstLineChars="200"/>
        <w:rPr>
          <w:rFonts w:eastAsia="仿宋_GB2312"/>
          <w:sz w:val="28"/>
          <w:szCs w:val="28"/>
        </w:rPr>
      </w:pPr>
      <w:r>
        <w:rPr>
          <w:rFonts w:hint="eastAsia" w:eastAsia="仿宋_GB2312" w:cs="宋体"/>
          <w:sz w:val="28"/>
          <w:szCs w:val="28"/>
        </w:rPr>
        <w:t>⑷</w:t>
      </w:r>
      <w:r>
        <w:rPr>
          <w:rFonts w:eastAsia="仿宋_GB2312"/>
          <w:sz w:val="28"/>
          <w:szCs w:val="28"/>
        </w:rPr>
        <w:t>固废（液）堆放规范化整治</w:t>
      </w:r>
    </w:p>
    <w:p>
      <w:pPr>
        <w:tabs>
          <w:tab w:val="left" w:pos="6840"/>
        </w:tabs>
        <w:spacing w:line="480" w:lineRule="exact"/>
        <w:ind w:firstLine="556"/>
        <w:rPr>
          <w:rFonts w:eastAsia="仿宋_GB2312"/>
          <w:sz w:val="28"/>
          <w:szCs w:val="28"/>
        </w:rPr>
      </w:pPr>
      <w:r>
        <w:rPr>
          <w:rFonts w:eastAsia="仿宋_GB2312"/>
          <w:sz w:val="28"/>
          <w:szCs w:val="28"/>
        </w:rPr>
        <w:t>公司为固体废物污染防治的责任主体，应按《中华人民共和国固体废物污染环境防治法》、《危险废物贮存污染控制标准》等要求，建立风险管理及应急救援体系，执行环境监测计划、转移联单管理制度及国家和省有关转移管理的相关规定、处置过程安全操作规程、人员培训考核制度、档案管理制度、处置全过程管理制度等。同时，应通过“江苏省危险废物动态管理信息系统”（江苏省环保厅网站）进行危险废物申报登记。将危险废物的实际产生、贮存、利用、处置等情况纳入生产记录，建立危险废物管理台账和企业内部产生和收集、贮存、转移等部门危险废物交接制度。</w:t>
      </w:r>
    </w:p>
    <w:p>
      <w:pPr>
        <w:tabs>
          <w:tab w:val="left" w:pos="6840"/>
        </w:tabs>
        <w:spacing w:line="480" w:lineRule="exact"/>
        <w:ind w:firstLine="556"/>
        <w:rPr>
          <w:rFonts w:eastAsia="仿宋_GB2312"/>
          <w:sz w:val="28"/>
          <w:szCs w:val="28"/>
        </w:rPr>
      </w:pPr>
      <w:r>
        <w:rPr>
          <w:rFonts w:eastAsia="仿宋_GB2312"/>
          <w:sz w:val="28"/>
          <w:szCs w:val="28"/>
        </w:rPr>
        <w:t>固废（液）堆场应设置环境保护图形标志牌，将生活垃圾、工业固废等分开堆放，做到防火、防扬散、防渗漏，确保不对周围环境形成二次污染。</w:t>
      </w:r>
    </w:p>
    <w:p>
      <w:pPr>
        <w:pStyle w:val="3"/>
        <w:spacing w:before="120" w:after="120"/>
      </w:pPr>
      <w:bookmarkStart w:id="490" w:name="_Toc469058912"/>
      <w:bookmarkStart w:id="491" w:name="_Toc396212014"/>
      <w:bookmarkStart w:id="492" w:name="_Toc140565292"/>
      <w:r>
        <w:t>“三同时”验收一览表</w:t>
      </w:r>
      <w:bookmarkEnd w:id="490"/>
      <w:bookmarkEnd w:id="491"/>
      <w:bookmarkEnd w:id="492"/>
    </w:p>
    <w:p>
      <w:pPr>
        <w:spacing w:line="500" w:lineRule="exact"/>
        <w:ind w:firstLine="560" w:firstLineChars="200"/>
        <w:rPr>
          <w:rFonts w:eastAsia="仿宋_GB2312"/>
          <w:sz w:val="28"/>
          <w:szCs w:val="28"/>
        </w:rPr>
      </w:pPr>
      <w:r>
        <w:rPr>
          <w:rFonts w:eastAsia="仿宋_GB2312"/>
          <w:sz w:val="28"/>
          <w:szCs w:val="28"/>
        </w:rPr>
        <w:t>根据《中华人民共和国环境保护法》规定，建设项目污染防治设施必须与主体工程同时设计、同时施工、同时投入运行，而污染防治设施建设“三同时”验收是严格控制新污染源和污染物排放总量、遏制环境恶化趋势的有力措施。建设项目竣工后，建设单位应当按照国务院环境保护行政主管部门规定的标准和程序，对配套建设的环境保护设施进行验收，编制验收报告。</w:t>
      </w:r>
    </w:p>
    <w:p>
      <w:pPr>
        <w:spacing w:line="500" w:lineRule="exact"/>
        <w:ind w:firstLine="560" w:firstLineChars="200"/>
        <w:rPr>
          <w:rFonts w:eastAsia="仿宋_GB2312"/>
          <w:sz w:val="28"/>
          <w:szCs w:val="28"/>
        </w:rPr>
        <w:sectPr>
          <w:pgSz w:w="11907" w:h="16839"/>
          <w:pgMar w:top="1843" w:right="1616" w:bottom="1440" w:left="1678" w:header="1191" w:footer="992" w:gutter="0"/>
          <w:cols w:space="425" w:num="1"/>
          <w:docGrid w:linePitch="312" w:charSpace="0"/>
        </w:sectPr>
      </w:pPr>
      <w:r>
        <w:rPr>
          <w:rFonts w:eastAsia="仿宋_GB2312"/>
          <w:sz w:val="28"/>
          <w:szCs w:val="28"/>
        </w:rPr>
        <w:t>项目建成后，“三同时”验收一览表如下表8.6-1所示。</w:t>
      </w:r>
    </w:p>
    <w:p>
      <w:pPr>
        <w:spacing w:line="500" w:lineRule="exact"/>
        <w:jc w:val="center"/>
        <w:rPr>
          <w:rFonts w:eastAsia="仿宋_GB2312"/>
          <w:b/>
          <w:sz w:val="24"/>
        </w:rPr>
      </w:pPr>
      <w:r>
        <w:rPr>
          <w:rFonts w:eastAsia="仿宋_GB2312"/>
          <w:b/>
          <w:sz w:val="24"/>
        </w:rPr>
        <w:t>表8.6-1   “三同时”验收一览表</w:t>
      </w:r>
    </w:p>
    <w:tbl>
      <w:tblPr>
        <w:tblStyle w:val="87"/>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1855"/>
        <w:gridCol w:w="2424"/>
        <w:gridCol w:w="1696"/>
        <w:gridCol w:w="3562"/>
        <w:gridCol w:w="1830"/>
        <w:gridCol w:w="14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9"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污染源</w:t>
            </w:r>
          </w:p>
        </w:tc>
        <w:tc>
          <w:tcPr>
            <w:tcW w:w="1527" w:type="pct"/>
            <w:gridSpan w:val="2"/>
            <w:tcBorders>
              <w:bottom w:val="single" w:color="auto" w:sz="2" w:space="0"/>
            </w:tcBorders>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污染物名称</w:t>
            </w:r>
          </w:p>
        </w:tc>
        <w:tc>
          <w:tcPr>
            <w:tcW w:w="605"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环保设施名称</w:t>
            </w:r>
          </w:p>
        </w:tc>
        <w:tc>
          <w:tcPr>
            <w:tcW w:w="1271"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治理措施</w:t>
            </w:r>
          </w:p>
        </w:tc>
        <w:tc>
          <w:tcPr>
            <w:tcW w:w="653"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进度</w:t>
            </w:r>
          </w:p>
        </w:tc>
        <w:tc>
          <w:tcPr>
            <w:tcW w:w="525"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预期效果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9" w:type="pct"/>
            <w:vMerge w:val="restar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废气</w:t>
            </w:r>
          </w:p>
        </w:tc>
        <w:tc>
          <w:tcPr>
            <w:tcW w:w="662" w:type="pct"/>
            <w:tcBorders>
              <w:top w:val="single" w:color="auto" w:sz="2" w:space="0"/>
            </w:tcBorders>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1</w:t>
            </w:r>
            <w:r>
              <w:rPr>
                <w:rFonts w:ascii="仿宋" w:hAnsi="仿宋" w:eastAsia="仿宋" w:cs="仿宋"/>
                <w:bCs/>
                <w:szCs w:val="21"/>
              </w:rPr>
              <w:t>#排气筒</w:t>
            </w:r>
          </w:p>
        </w:tc>
        <w:tc>
          <w:tcPr>
            <w:tcW w:w="865" w:type="pct"/>
            <w:tcBorders>
              <w:top w:val="single" w:color="auto" w:sz="2" w:space="0"/>
              <w:bottom w:val="single" w:color="auto" w:sz="4" w:space="0"/>
            </w:tcBorders>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非甲烷总烃、二甲苯、乙酸乙酯</w:t>
            </w:r>
          </w:p>
        </w:tc>
        <w:tc>
          <w:tcPr>
            <w:tcW w:w="605" w:type="pct"/>
            <w:shd w:val="clear" w:color="auto" w:fill="auto"/>
            <w:vAlign w:val="center"/>
          </w:tcPr>
          <w:p>
            <w:pPr>
              <w:pStyle w:val="20"/>
              <w:spacing w:line="240" w:lineRule="exact"/>
              <w:ind w:firstLine="0" w:firstLineChars="0"/>
              <w:jc w:val="center"/>
              <w:rPr>
                <w:rFonts w:ascii="仿宋" w:hAnsi="仿宋" w:eastAsia="仿宋" w:cs="仿宋"/>
                <w:bCs/>
                <w:szCs w:val="21"/>
              </w:rPr>
            </w:pPr>
            <w:r>
              <w:rPr>
                <w:rFonts w:hint="eastAsia" w:ascii="仿宋" w:hAnsi="仿宋" w:eastAsia="仿宋" w:cs="仿宋"/>
                <w:bCs/>
                <w:szCs w:val="21"/>
              </w:rPr>
              <w:t>RTO燃烧装置</w:t>
            </w:r>
          </w:p>
        </w:tc>
        <w:tc>
          <w:tcPr>
            <w:tcW w:w="1271" w:type="pct"/>
            <w:shd w:val="clear" w:color="auto" w:fill="auto"/>
            <w:vAlign w:val="center"/>
          </w:tcPr>
          <w:p>
            <w:pPr>
              <w:pStyle w:val="20"/>
              <w:spacing w:line="240" w:lineRule="exact"/>
              <w:ind w:firstLine="0" w:firstLineChars="0"/>
              <w:jc w:val="center"/>
              <w:rPr>
                <w:rFonts w:ascii="仿宋" w:hAnsi="仿宋" w:eastAsia="仿宋" w:cs="仿宋"/>
                <w:bCs/>
                <w:szCs w:val="21"/>
              </w:rPr>
            </w:pPr>
            <w:r>
              <w:rPr>
                <w:rFonts w:hint="eastAsia" w:ascii="仿宋" w:hAnsi="仿宋" w:eastAsia="仿宋" w:cs="仿宋"/>
                <w:bCs/>
                <w:szCs w:val="21"/>
              </w:rPr>
              <w:t>配胶废气G1、涂布干燥废气G2、清洗废气G3在</w:t>
            </w:r>
            <w:r>
              <w:rPr>
                <w:rFonts w:ascii="仿宋" w:hAnsi="仿宋" w:eastAsia="仿宋" w:cs="仿宋"/>
                <w:bCs/>
                <w:szCs w:val="21"/>
              </w:rPr>
              <w:t>密闭房内</w:t>
            </w:r>
            <w:r>
              <w:rPr>
                <w:rFonts w:hint="eastAsia" w:ascii="仿宋" w:hAnsi="仿宋" w:eastAsia="仿宋" w:cs="仿宋"/>
                <w:bCs/>
                <w:szCs w:val="21"/>
              </w:rPr>
              <w:t>由</w:t>
            </w:r>
            <w:r>
              <w:rPr>
                <w:rFonts w:ascii="仿宋" w:hAnsi="仿宋" w:eastAsia="仿宋" w:cs="仿宋"/>
                <w:bCs/>
                <w:szCs w:val="21"/>
              </w:rPr>
              <w:t>设备负压</w:t>
            </w:r>
            <w:r>
              <w:rPr>
                <w:rFonts w:hint="eastAsia" w:ascii="仿宋" w:hAnsi="仿宋" w:eastAsia="仿宋" w:cs="仿宋"/>
                <w:bCs/>
                <w:szCs w:val="21"/>
              </w:rPr>
              <w:t>收集</w:t>
            </w:r>
            <w:r>
              <w:rPr>
                <w:rFonts w:ascii="仿宋" w:hAnsi="仿宋" w:eastAsia="仿宋" w:cs="仿宋"/>
                <w:bCs/>
                <w:szCs w:val="21"/>
              </w:rPr>
              <w:t>一并</w:t>
            </w:r>
            <w:r>
              <w:rPr>
                <w:rFonts w:hint="eastAsia" w:ascii="仿宋" w:hAnsi="仿宋" w:eastAsia="仿宋" w:cs="仿宋"/>
                <w:bCs/>
                <w:szCs w:val="21"/>
              </w:rPr>
              <w:t>进入RTO废气</w:t>
            </w:r>
            <w:r>
              <w:rPr>
                <w:rFonts w:ascii="仿宋" w:hAnsi="仿宋" w:eastAsia="仿宋" w:cs="仿宋"/>
                <w:bCs/>
                <w:szCs w:val="21"/>
              </w:rPr>
              <w:t>处理装置处理</w:t>
            </w:r>
            <w:r>
              <w:rPr>
                <w:rFonts w:hint="eastAsia" w:ascii="仿宋" w:hAnsi="仿宋" w:eastAsia="仿宋" w:cs="仿宋"/>
                <w:bCs/>
                <w:szCs w:val="21"/>
              </w:rPr>
              <w:t>，各工段废气经密闭支管收集汇入主管，保持负压，确保废气有效收集，处理后通过</w:t>
            </w:r>
            <w:r>
              <w:rPr>
                <w:rFonts w:ascii="仿宋" w:hAnsi="仿宋" w:eastAsia="仿宋" w:cs="仿宋"/>
                <w:bCs/>
                <w:szCs w:val="21"/>
              </w:rPr>
              <w:t>一根</w:t>
            </w:r>
            <w:r>
              <w:rPr>
                <w:rFonts w:hint="eastAsia" w:ascii="仿宋" w:hAnsi="仿宋" w:eastAsia="仿宋" w:cs="仿宋"/>
                <w:bCs/>
                <w:szCs w:val="21"/>
              </w:rPr>
              <w:t>15米</w:t>
            </w:r>
            <w:r>
              <w:rPr>
                <w:rFonts w:ascii="仿宋" w:hAnsi="仿宋" w:eastAsia="仿宋" w:cs="仿宋"/>
                <w:bCs/>
                <w:szCs w:val="21"/>
              </w:rPr>
              <w:t>排气筒（</w:t>
            </w:r>
            <w:r>
              <w:rPr>
                <w:rFonts w:hint="eastAsia" w:ascii="仿宋" w:hAnsi="仿宋" w:eastAsia="仿宋" w:cs="仿宋"/>
                <w:bCs/>
                <w:szCs w:val="21"/>
              </w:rPr>
              <w:t>1</w:t>
            </w:r>
            <w:r>
              <w:rPr>
                <w:rFonts w:ascii="仿宋" w:hAnsi="仿宋" w:eastAsia="仿宋" w:cs="仿宋"/>
                <w:bCs/>
                <w:szCs w:val="21"/>
              </w:rPr>
              <w:t>#）</w:t>
            </w:r>
            <w:r>
              <w:rPr>
                <w:rFonts w:hint="eastAsia" w:ascii="仿宋" w:hAnsi="仿宋" w:eastAsia="仿宋" w:cs="仿宋"/>
                <w:bCs/>
                <w:szCs w:val="21"/>
              </w:rPr>
              <w:t>外排</w:t>
            </w:r>
          </w:p>
        </w:tc>
        <w:tc>
          <w:tcPr>
            <w:tcW w:w="653"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与项目建设同时完工</w:t>
            </w:r>
          </w:p>
        </w:tc>
        <w:tc>
          <w:tcPr>
            <w:tcW w:w="525"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9" w:type="pct"/>
            <w:vMerge w:val="continue"/>
            <w:shd w:val="clear" w:color="auto" w:fill="auto"/>
            <w:vAlign w:val="center"/>
          </w:tcPr>
          <w:p>
            <w:pPr>
              <w:spacing w:line="240" w:lineRule="exact"/>
              <w:jc w:val="center"/>
              <w:rPr>
                <w:rFonts w:ascii="仿宋" w:hAnsi="仿宋" w:eastAsia="仿宋" w:cs="仿宋"/>
                <w:bCs/>
                <w:szCs w:val="21"/>
              </w:rPr>
            </w:pPr>
          </w:p>
        </w:tc>
        <w:tc>
          <w:tcPr>
            <w:tcW w:w="662" w:type="pct"/>
            <w:tcBorders>
              <w:top w:val="single" w:color="auto" w:sz="2" w:space="0"/>
            </w:tcBorders>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2#排气筒</w:t>
            </w:r>
          </w:p>
        </w:tc>
        <w:tc>
          <w:tcPr>
            <w:tcW w:w="865" w:type="pct"/>
            <w:tcBorders>
              <w:top w:val="single" w:color="auto" w:sz="2" w:space="0"/>
              <w:bottom w:val="single" w:color="auto" w:sz="4" w:space="0"/>
            </w:tcBorders>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非甲烷总烃</w:t>
            </w:r>
          </w:p>
        </w:tc>
        <w:tc>
          <w:tcPr>
            <w:tcW w:w="605" w:type="pct"/>
            <w:shd w:val="clear" w:color="auto" w:fill="auto"/>
            <w:vAlign w:val="center"/>
          </w:tcPr>
          <w:p>
            <w:pPr>
              <w:pStyle w:val="20"/>
              <w:spacing w:line="240" w:lineRule="exact"/>
              <w:ind w:firstLine="0" w:firstLineChars="0"/>
              <w:jc w:val="center"/>
              <w:rPr>
                <w:rFonts w:ascii="仿宋" w:hAnsi="仿宋" w:eastAsia="仿宋" w:cs="仿宋"/>
                <w:bCs/>
                <w:szCs w:val="21"/>
              </w:rPr>
            </w:pPr>
            <w:r>
              <w:rPr>
                <w:rFonts w:hint="eastAsia" w:ascii="仿宋" w:hAnsi="仿宋" w:eastAsia="仿宋" w:cs="仿宋"/>
                <w:bCs/>
                <w:szCs w:val="21"/>
              </w:rPr>
              <w:t>两级活性炭吸附装置</w:t>
            </w:r>
          </w:p>
        </w:tc>
        <w:tc>
          <w:tcPr>
            <w:tcW w:w="1271" w:type="pct"/>
            <w:shd w:val="clear" w:color="auto" w:fill="auto"/>
            <w:vAlign w:val="center"/>
          </w:tcPr>
          <w:p>
            <w:pPr>
              <w:pStyle w:val="20"/>
              <w:spacing w:line="240" w:lineRule="exact"/>
              <w:ind w:firstLine="0" w:firstLineChars="0"/>
              <w:jc w:val="center"/>
              <w:rPr>
                <w:rFonts w:ascii="仿宋" w:hAnsi="仿宋" w:eastAsia="仿宋" w:cs="仿宋"/>
                <w:bCs/>
                <w:szCs w:val="21"/>
              </w:rPr>
            </w:pPr>
            <w:r>
              <w:rPr>
                <w:rFonts w:hint="eastAsia" w:ascii="仿宋" w:hAnsi="仿宋" w:eastAsia="仿宋" w:cs="仿宋"/>
                <w:bCs/>
                <w:szCs w:val="21"/>
              </w:rPr>
              <w:t>危废仓库废气经集气罩收集后经两级活性炭吸附装置处理后通过</w:t>
            </w:r>
            <w:r>
              <w:rPr>
                <w:rFonts w:ascii="仿宋" w:hAnsi="仿宋" w:eastAsia="仿宋" w:cs="仿宋"/>
                <w:bCs/>
                <w:szCs w:val="21"/>
              </w:rPr>
              <w:t>一根</w:t>
            </w:r>
            <w:r>
              <w:rPr>
                <w:rFonts w:hint="eastAsia" w:ascii="仿宋" w:hAnsi="仿宋" w:eastAsia="仿宋" w:cs="仿宋"/>
                <w:bCs/>
                <w:szCs w:val="21"/>
              </w:rPr>
              <w:t>15米</w:t>
            </w:r>
            <w:r>
              <w:rPr>
                <w:rFonts w:ascii="仿宋" w:hAnsi="仿宋" w:eastAsia="仿宋" w:cs="仿宋"/>
                <w:bCs/>
                <w:szCs w:val="21"/>
              </w:rPr>
              <w:t>排气筒（</w:t>
            </w:r>
            <w:r>
              <w:rPr>
                <w:rFonts w:hint="eastAsia" w:ascii="仿宋" w:hAnsi="仿宋" w:eastAsia="仿宋" w:cs="仿宋"/>
                <w:bCs/>
                <w:szCs w:val="21"/>
              </w:rPr>
              <w:t>2</w:t>
            </w:r>
            <w:r>
              <w:rPr>
                <w:rFonts w:ascii="仿宋" w:hAnsi="仿宋" w:eastAsia="仿宋" w:cs="仿宋"/>
                <w:bCs/>
                <w:szCs w:val="21"/>
              </w:rPr>
              <w:t>#）</w:t>
            </w:r>
            <w:r>
              <w:rPr>
                <w:rFonts w:hint="eastAsia" w:ascii="仿宋" w:hAnsi="仿宋" w:eastAsia="仿宋" w:cs="仿宋"/>
                <w:bCs/>
                <w:szCs w:val="21"/>
              </w:rPr>
              <w:t>外排</w:t>
            </w:r>
          </w:p>
        </w:tc>
        <w:tc>
          <w:tcPr>
            <w:tcW w:w="1830" w:type="dxa"/>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与项目建设同时完工</w:t>
            </w:r>
          </w:p>
        </w:tc>
        <w:tc>
          <w:tcPr>
            <w:tcW w:w="1471" w:type="dxa"/>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9" w:type="pct"/>
            <w:vMerge w:val="continue"/>
            <w:shd w:val="clear" w:color="auto" w:fill="auto"/>
            <w:vAlign w:val="center"/>
          </w:tcPr>
          <w:p>
            <w:pPr>
              <w:spacing w:line="240" w:lineRule="exact"/>
              <w:jc w:val="center"/>
              <w:rPr>
                <w:rFonts w:ascii="仿宋" w:hAnsi="仿宋" w:eastAsia="仿宋" w:cs="仿宋"/>
                <w:bCs/>
                <w:szCs w:val="21"/>
              </w:rPr>
            </w:pPr>
          </w:p>
        </w:tc>
        <w:tc>
          <w:tcPr>
            <w:tcW w:w="662" w:type="pc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车间一</w:t>
            </w:r>
          </w:p>
        </w:tc>
        <w:tc>
          <w:tcPr>
            <w:tcW w:w="865" w:type="pct"/>
            <w:tcBorders>
              <w:top w:val="single" w:color="auto" w:sz="4" w:space="0"/>
            </w:tcBorders>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非甲烷总烃、二甲苯、乙酸乙酯</w:t>
            </w:r>
          </w:p>
        </w:tc>
        <w:tc>
          <w:tcPr>
            <w:tcW w:w="605" w:type="pc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w:t>
            </w:r>
          </w:p>
        </w:tc>
        <w:tc>
          <w:tcPr>
            <w:tcW w:w="1271" w:type="pc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w:t>
            </w:r>
          </w:p>
        </w:tc>
        <w:tc>
          <w:tcPr>
            <w:tcW w:w="653"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与项目建设同时完工</w:t>
            </w:r>
          </w:p>
        </w:tc>
        <w:tc>
          <w:tcPr>
            <w:tcW w:w="525"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9"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废水</w:t>
            </w:r>
          </w:p>
        </w:tc>
        <w:tc>
          <w:tcPr>
            <w:tcW w:w="1527" w:type="pct"/>
            <w:gridSpan w:val="2"/>
            <w:tcBorders>
              <w:bottom w:val="single" w:color="auto" w:sz="2" w:space="0"/>
            </w:tcBorders>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COD、SS、NH</w:t>
            </w:r>
            <w:r>
              <w:rPr>
                <w:rFonts w:ascii="仿宋" w:hAnsi="仿宋" w:eastAsia="仿宋" w:cs="仿宋"/>
                <w:bCs/>
                <w:szCs w:val="21"/>
                <w:vertAlign w:val="subscript"/>
              </w:rPr>
              <w:t>3</w:t>
            </w:r>
            <w:r>
              <w:rPr>
                <w:rFonts w:ascii="仿宋" w:hAnsi="仿宋" w:eastAsia="仿宋" w:cs="仿宋"/>
                <w:bCs/>
                <w:szCs w:val="21"/>
              </w:rPr>
              <w:t>-N、TP</w:t>
            </w:r>
            <w:r>
              <w:rPr>
                <w:rFonts w:hint="eastAsia" w:ascii="仿宋" w:hAnsi="仿宋" w:eastAsia="仿宋" w:cs="仿宋"/>
                <w:bCs/>
                <w:szCs w:val="21"/>
              </w:rPr>
              <w:t>、TN</w:t>
            </w:r>
          </w:p>
        </w:tc>
        <w:tc>
          <w:tcPr>
            <w:tcW w:w="605" w:type="pc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接管</w:t>
            </w:r>
          </w:p>
        </w:tc>
        <w:tc>
          <w:tcPr>
            <w:tcW w:w="1271" w:type="pct"/>
            <w:tcBorders>
              <w:bottom w:val="single" w:color="auto" w:sz="2" w:space="0"/>
            </w:tcBorders>
            <w:shd w:val="clear" w:color="auto" w:fill="auto"/>
          </w:tcPr>
          <w:p>
            <w:pPr>
              <w:spacing w:line="240" w:lineRule="exact"/>
              <w:jc w:val="center"/>
              <w:rPr>
                <w:rFonts w:ascii="仿宋" w:hAnsi="仿宋" w:eastAsia="仿宋" w:cs="仿宋"/>
                <w:bCs/>
                <w:szCs w:val="21"/>
              </w:rPr>
            </w:pPr>
            <w:r>
              <w:rPr>
                <w:rFonts w:ascii="仿宋" w:hAnsi="仿宋" w:eastAsia="仿宋" w:cs="仿宋"/>
                <w:bCs/>
                <w:szCs w:val="21"/>
              </w:rPr>
              <w:t>厂区</w:t>
            </w:r>
            <w:r>
              <w:rPr>
                <w:rFonts w:hint="eastAsia" w:ascii="仿宋" w:hAnsi="仿宋" w:eastAsia="仿宋" w:cs="仿宋"/>
                <w:bCs/>
                <w:szCs w:val="21"/>
              </w:rPr>
              <w:t>化粪池处理</w:t>
            </w:r>
            <w:r>
              <w:rPr>
                <w:rFonts w:ascii="仿宋" w:hAnsi="仿宋" w:eastAsia="仿宋" w:cs="仿宋"/>
                <w:bCs/>
                <w:szCs w:val="21"/>
              </w:rPr>
              <w:t>后</w:t>
            </w:r>
            <w:r>
              <w:rPr>
                <w:rFonts w:hint="eastAsia" w:ascii="仿宋" w:hAnsi="仿宋" w:eastAsia="仿宋" w:cs="仿宋"/>
                <w:bCs/>
                <w:szCs w:val="21"/>
              </w:rPr>
              <w:t>接入</w:t>
            </w:r>
            <w:r>
              <w:rPr>
                <w:rFonts w:ascii="仿宋" w:hAnsi="仿宋" w:eastAsia="仿宋" w:cs="仿宋"/>
                <w:bCs/>
                <w:szCs w:val="21"/>
              </w:rPr>
              <w:t>市政污水管网进</w:t>
            </w:r>
            <w:r>
              <w:rPr>
                <w:rFonts w:hint="eastAsia" w:ascii="仿宋" w:hAnsi="仿宋" w:eastAsia="仿宋" w:cs="仿宋"/>
                <w:bCs/>
                <w:szCs w:val="21"/>
              </w:rPr>
              <w:t>金坛第二污水</w:t>
            </w:r>
            <w:r>
              <w:rPr>
                <w:rFonts w:ascii="仿宋" w:hAnsi="仿宋" w:eastAsia="仿宋" w:cs="仿宋"/>
                <w:bCs/>
                <w:szCs w:val="21"/>
              </w:rPr>
              <w:t>处理厂集中处理</w:t>
            </w:r>
          </w:p>
        </w:tc>
        <w:tc>
          <w:tcPr>
            <w:tcW w:w="653" w:type="pc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厂区</w:t>
            </w:r>
            <w:r>
              <w:rPr>
                <w:rFonts w:ascii="仿宋" w:hAnsi="仿宋" w:eastAsia="仿宋" w:cs="仿宋"/>
                <w:bCs/>
                <w:szCs w:val="21"/>
              </w:rPr>
              <w:t>已建成</w:t>
            </w:r>
          </w:p>
        </w:tc>
        <w:tc>
          <w:tcPr>
            <w:tcW w:w="525"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9" w:type="pct"/>
            <w:vMerge w:val="restar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固废</w:t>
            </w:r>
          </w:p>
        </w:tc>
        <w:tc>
          <w:tcPr>
            <w:tcW w:w="4209" w:type="dxa"/>
            <w:gridSpan w:val="2"/>
            <w:tcBorders>
              <w:bottom w:val="single" w:color="auto" w:sz="4" w:space="0"/>
            </w:tcBorders>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废胶带</w:t>
            </w:r>
          </w:p>
        </w:tc>
        <w:tc>
          <w:tcPr>
            <w:tcW w:w="605" w:type="pct"/>
            <w:vMerge w:val="restar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固废分类收集储存设施</w:t>
            </w:r>
          </w:p>
        </w:tc>
        <w:tc>
          <w:tcPr>
            <w:tcW w:w="1271" w:type="pct"/>
            <w:tcBorders>
              <w:bottom w:val="single" w:color="auto" w:sz="4" w:space="0"/>
            </w:tcBorders>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外售综合利用</w:t>
            </w:r>
          </w:p>
        </w:tc>
        <w:tc>
          <w:tcPr>
            <w:tcW w:w="653" w:type="pct"/>
            <w:vMerge w:val="restar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与项目建设同时完工</w:t>
            </w:r>
          </w:p>
        </w:tc>
        <w:tc>
          <w:tcPr>
            <w:tcW w:w="525" w:type="pct"/>
            <w:vMerge w:val="restar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零排放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9" w:type="pct"/>
            <w:vMerge w:val="continue"/>
            <w:shd w:val="clear" w:color="auto" w:fill="auto"/>
            <w:vAlign w:val="center"/>
          </w:tcPr>
          <w:p>
            <w:pPr>
              <w:spacing w:line="240" w:lineRule="exact"/>
              <w:jc w:val="center"/>
              <w:rPr>
                <w:rFonts w:ascii="仿宋" w:hAnsi="仿宋" w:eastAsia="仿宋" w:cs="仿宋"/>
                <w:bCs/>
                <w:szCs w:val="21"/>
              </w:rPr>
            </w:pPr>
          </w:p>
        </w:tc>
        <w:tc>
          <w:tcPr>
            <w:tcW w:w="4209" w:type="dxa"/>
            <w:gridSpan w:val="2"/>
            <w:tcBorders>
              <w:bottom w:val="single" w:color="auto" w:sz="4" w:space="0"/>
            </w:tcBorders>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废胶水、废清洗液、废原料桶、废抹布手套、废机油</w:t>
            </w:r>
          </w:p>
        </w:tc>
        <w:tc>
          <w:tcPr>
            <w:tcW w:w="605" w:type="pct"/>
            <w:vMerge w:val="continue"/>
            <w:shd w:val="clear" w:color="auto" w:fill="auto"/>
            <w:vAlign w:val="center"/>
          </w:tcPr>
          <w:p>
            <w:pPr>
              <w:spacing w:line="240" w:lineRule="exact"/>
              <w:jc w:val="center"/>
              <w:rPr>
                <w:rFonts w:ascii="仿宋" w:hAnsi="仿宋" w:eastAsia="仿宋" w:cs="仿宋"/>
                <w:bCs/>
                <w:szCs w:val="21"/>
              </w:rPr>
            </w:pPr>
          </w:p>
        </w:tc>
        <w:tc>
          <w:tcPr>
            <w:tcW w:w="1271" w:type="pct"/>
            <w:tcBorders>
              <w:bottom w:val="single" w:color="auto" w:sz="4" w:space="0"/>
            </w:tcBorders>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委托</w:t>
            </w:r>
            <w:r>
              <w:rPr>
                <w:rFonts w:ascii="仿宋" w:hAnsi="仿宋" w:eastAsia="仿宋" w:cs="仿宋"/>
                <w:bCs/>
                <w:szCs w:val="21"/>
              </w:rPr>
              <w:t>有资质单位处理处置</w:t>
            </w:r>
          </w:p>
        </w:tc>
        <w:tc>
          <w:tcPr>
            <w:tcW w:w="653" w:type="pct"/>
            <w:vMerge w:val="continue"/>
            <w:shd w:val="clear" w:color="auto" w:fill="auto"/>
            <w:vAlign w:val="center"/>
          </w:tcPr>
          <w:p>
            <w:pPr>
              <w:spacing w:line="240" w:lineRule="exact"/>
              <w:jc w:val="center"/>
              <w:rPr>
                <w:rFonts w:ascii="仿宋" w:hAnsi="仿宋" w:eastAsia="仿宋" w:cs="仿宋"/>
                <w:bCs/>
                <w:szCs w:val="21"/>
              </w:rPr>
            </w:pPr>
          </w:p>
        </w:tc>
        <w:tc>
          <w:tcPr>
            <w:tcW w:w="525" w:type="pct"/>
            <w:vMerge w:val="continue"/>
            <w:shd w:val="clear" w:color="auto" w:fill="auto"/>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9" w:type="pct"/>
            <w:vMerge w:val="continue"/>
            <w:shd w:val="clear" w:color="auto" w:fill="auto"/>
            <w:vAlign w:val="center"/>
          </w:tcPr>
          <w:p>
            <w:pPr>
              <w:spacing w:line="240" w:lineRule="exact"/>
              <w:jc w:val="center"/>
              <w:rPr>
                <w:rFonts w:ascii="仿宋" w:hAnsi="仿宋" w:eastAsia="仿宋" w:cs="仿宋"/>
                <w:bCs/>
                <w:szCs w:val="21"/>
              </w:rPr>
            </w:pPr>
          </w:p>
        </w:tc>
        <w:tc>
          <w:tcPr>
            <w:tcW w:w="1527" w:type="pct"/>
            <w:gridSpan w:val="2"/>
            <w:tcBorders>
              <w:bottom w:val="single" w:color="auto" w:sz="2" w:space="0"/>
            </w:tcBorders>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生活垃圾</w:t>
            </w:r>
          </w:p>
        </w:tc>
        <w:tc>
          <w:tcPr>
            <w:tcW w:w="605" w:type="pct"/>
            <w:vMerge w:val="continue"/>
            <w:shd w:val="clear" w:color="auto" w:fill="auto"/>
            <w:vAlign w:val="center"/>
          </w:tcPr>
          <w:p>
            <w:pPr>
              <w:spacing w:line="240" w:lineRule="exact"/>
              <w:jc w:val="center"/>
              <w:rPr>
                <w:rFonts w:ascii="仿宋" w:hAnsi="仿宋" w:eastAsia="仿宋" w:cs="仿宋"/>
                <w:bCs/>
                <w:szCs w:val="21"/>
              </w:rPr>
            </w:pPr>
          </w:p>
        </w:tc>
        <w:tc>
          <w:tcPr>
            <w:tcW w:w="1271" w:type="pct"/>
            <w:tcBorders>
              <w:bottom w:val="single" w:color="auto" w:sz="2" w:space="0"/>
            </w:tcBorders>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环保部门统一收集处置</w:t>
            </w:r>
          </w:p>
        </w:tc>
        <w:tc>
          <w:tcPr>
            <w:tcW w:w="653" w:type="pct"/>
            <w:vMerge w:val="continue"/>
            <w:shd w:val="clear" w:color="auto" w:fill="auto"/>
            <w:vAlign w:val="center"/>
          </w:tcPr>
          <w:p>
            <w:pPr>
              <w:spacing w:line="240" w:lineRule="exact"/>
              <w:jc w:val="center"/>
              <w:rPr>
                <w:rFonts w:ascii="仿宋" w:hAnsi="仿宋" w:eastAsia="仿宋" w:cs="仿宋"/>
                <w:bCs/>
                <w:szCs w:val="21"/>
              </w:rPr>
            </w:pPr>
          </w:p>
        </w:tc>
        <w:tc>
          <w:tcPr>
            <w:tcW w:w="525" w:type="pct"/>
            <w:vMerge w:val="continue"/>
            <w:shd w:val="clear" w:color="auto" w:fill="auto"/>
            <w:vAlign w:val="center"/>
          </w:tcPr>
          <w:p>
            <w:pPr>
              <w:spacing w:line="240" w:lineRule="exact"/>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9"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噪声</w:t>
            </w:r>
          </w:p>
        </w:tc>
        <w:tc>
          <w:tcPr>
            <w:tcW w:w="1527" w:type="pct"/>
            <w:gridSpan w:val="2"/>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机械噪声</w:t>
            </w:r>
          </w:p>
        </w:tc>
        <w:tc>
          <w:tcPr>
            <w:tcW w:w="605"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防振、隔音等装置</w:t>
            </w:r>
          </w:p>
        </w:tc>
        <w:tc>
          <w:tcPr>
            <w:tcW w:w="1271"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对高噪声设备安装有效的减振、隔声装置</w:t>
            </w:r>
          </w:p>
        </w:tc>
        <w:tc>
          <w:tcPr>
            <w:tcW w:w="653"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与项目建设同时完工</w:t>
            </w:r>
          </w:p>
        </w:tc>
        <w:tc>
          <w:tcPr>
            <w:tcW w:w="525"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厂界噪声达标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9"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排污口</w:t>
            </w:r>
          </w:p>
        </w:tc>
        <w:tc>
          <w:tcPr>
            <w:tcW w:w="1527" w:type="pct"/>
            <w:gridSpan w:val="2"/>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w:t>
            </w:r>
          </w:p>
        </w:tc>
        <w:tc>
          <w:tcPr>
            <w:tcW w:w="605"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排污口</w:t>
            </w:r>
            <w:r>
              <w:rPr>
                <w:rFonts w:hint="eastAsia" w:ascii="仿宋" w:hAnsi="仿宋" w:eastAsia="仿宋" w:cs="仿宋"/>
                <w:bCs/>
                <w:szCs w:val="21"/>
              </w:rPr>
              <w:t>规范化</w:t>
            </w:r>
            <w:r>
              <w:rPr>
                <w:rFonts w:ascii="仿宋" w:hAnsi="仿宋" w:eastAsia="仿宋" w:cs="仿宋"/>
                <w:bCs/>
                <w:szCs w:val="21"/>
              </w:rPr>
              <w:t>设置</w:t>
            </w:r>
          </w:p>
        </w:tc>
        <w:tc>
          <w:tcPr>
            <w:tcW w:w="1271"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厂区的规范化建设，设置计量装置、采样口、截流阀</w:t>
            </w:r>
          </w:p>
        </w:tc>
        <w:tc>
          <w:tcPr>
            <w:tcW w:w="653"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与项目建设同时完工</w:t>
            </w:r>
          </w:p>
        </w:tc>
        <w:tc>
          <w:tcPr>
            <w:tcW w:w="525"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规范设置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9"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清污分流</w:t>
            </w:r>
          </w:p>
          <w:p>
            <w:pPr>
              <w:spacing w:line="240" w:lineRule="exact"/>
              <w:jc w:val="center"/>
              <w:rPr>
                <w:rFonts w:ascii="仿宋" w:hAnsi="仿宋" w:eastAsia="仿宋" w:cs="仿宋"/>
                <w:bCs/>
                <w:szCs w:val="21"/>
              </w:rPr>
            </w:pPr>
            <w:r>
              <w:rPr>
                <w:rFonts w:ascii="仿宋" w:hAnsi="仿宋" w:eastAsia="仿宋" w:cs="仿宋"/>
                <w:bCs/>
                <w:szCs w:val="21"/>
              </w:rPr>
              <w:t>管网建设</w:t>
            </w:r>
          </w:p>
        </w:tc>
        <w:tc>
          <w:tcPr>
            <w:tcW w:w="1527" w:type="pct"/>
            <w:gridSpan w:val="2"/>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w:t>
            </w:r>
          </w:p>
        </w:tc>
        <w:tc>
          <w:tcPr>
            <w:tcW w:w="605"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清污分流管网</w:t>
            </w:r>
          </w:p>
        </w:tc>
        <w:tc>
          <w:tcPr>
            <w:tcW w:w="1271"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w:t>
            </w:r>
          </w:p>
        </w:tc>
        <w:tc>
          <w:tcPr>
            <w:tcW w:w="653"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已建成</w:t>
            </w:r>
          </w:p>
        </w:tc>
        <w:tc>
          <w:tcPr>
            <w:tcW w:w="525"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按清污分流原则收集废水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9"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风险</w:t>
            </w:r>
          </w:p>
        </w:tc>
        <w:tc>
          <w:tcPr>
            <w:tcW w:w="1527" w:type="pct"/>
            <w:gridSpan w:val="2"/>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w:t>
            </w:r>
          </w:p>
        </w:tc>
        <w:tc>
          <w:tcPr>
            <w:tcW w:w="605"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事故应急池</w:t>
            </w:r>
          </w:p>
        </w:tc>
        <w:tc>
          <w:tcPr>
            <w:tcW w:w="1271" w:type="pct"/>
            <w:shd w:val="clear" w:color="auto" w:fill="auto"/>
            <w:vAlign w:val="center"/>
          </w:tcPr>
          <w:p>
            <w:pPr>
              <w:spacing w:line="240" w:lineRule="exact"/>
              <w:jc w:val="center"/>
              <w:rPr>
                <w:rFonts w:ascii="仿宋" w:hAnsi="仿宋" w:eastAsia="仿宋" w:cs="仿宋"/>
                <w:bCs/>
                <w:szCs w:val="21"/>
              </w:rPr>
            </w:pPr>
            <w:r>
              <w:rPr>
                <w:rFonts w:hint="eastAsia" w:ascii="仿宋" w:hAnsi="仿宋" w:eastAsia="仿宋" w:cs="仿宋"/>
                <w:bCs/>
                <w:szCs w:val="21"/>
              </w:rPr>
              <w:t>设置10</w:t>
            </w:r>
            <w:r>
              <w:rPr>
                <w:rFonts w:ascii="仿宋" w:hAnsi="仿宋" w:eastAsia="仿宋" w:cs="仿宋"/>
                <w:bCs/>
                <w:szCs w:val="21"/>
              </w:rPr>
              <w:t>0m</w:t>
            </w:r>
            <w:r>
              <w:rPr>
                <w:rFonts w:ascii="仿宋" w:hAnsi="仿宋" w:eastAsia="仿宋" w:cs="仿宋"/>
                <w:bCs/>
                <w:szCs w:val="21"/>
                <w:vertAlign w:val="superscript"/>
              </w:rPr>
              <w:t>3</w:t>
            </w:r>
            <w:r>
              <w:rPr>
                <w:rFonts w:ascii="仿宋" w:hAnsi="仿宋" w:eastAsia="仿宋" w:cs="仿宋"/>
                <w:bCs/>
                <w:szCs w:val="21"/>
              </w:rPr>
              <w:t>事故应急池</w:t>
            </w:r>
          </w:p>
        </w:tc>
        <w:tc>
          <w:tcPr>
            <w:tcW w:w="653"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已建成</w:t>
            </w:r>
          </w:p>
        </w:tc>
        <w:tc>
          <w:tcPr>
            <w:tcW w:w="525" w:type="pct"/>
            <w:shd w:val="clear" w:color="auto" w:fill="auto"/>
            <w:vAlign w:val="center"/>
          </w:tcPr>
          <w:p>
            <w:pPr>
              <w:spacing w:line="240" w:lineRule="exact"/>
              <w:jc w:val="center"/>
              <w:rPr>
                <w:rFonts w:ascii="仿宋" w:hAnsi="仿宋" w:eastAsia="仿宋" w:cs="仿宋"/>
                <w:bCs/>
                <w:szCs w:val="21"/>
              </w:rPr>
            </w:pPr>
            <w:r>
              <w:rPr>
                <w:rFonts w:ascii="仿宋" w:hAnsi="仿宋" w:eastAsia="仿宋" w:cs="仿宋"/>
                <w:bCs/>
                <w:szCs w:val="21"/>
              </w:rPr>
              <w:t>规范设置</w:t>
            </w:r>
          </w:p>
        </w:tc>
      </w:tr>
    </w:tbl>
    <w:p>
      <w:pPr>
        <w:spacing w:line="500" w:lineRule="exact"/>
        <w:jc w:val="center"/>
        <w:rPr>
          <w:rFonts w:eastAsia="仿宋_GB2312"/>
          <w:b/>
          <w:sz w:val="24"/>
        </w:rPr>
      </w:pPr>
    </w:p>
    <w:p>
      <w:pPr>
        <w:pStyle w:val="2"/>
        <w:keepLines w:val="0"/>
        <w:tabs>
          <w:tab w:val="center" w:pos="4153"/>
        </w:tabs>
        <w:spacing w:before="120" w:after="120" w:line="500" w:lineRule="exact"/>
        <w:jc w:val="left"/>
        <w:rPr>
          <w:rFonts w:eastAsia="仿宋_GB2312"/>
          <w:bCs w:val="0"/>
          <w:kern w:val="2"/>
          <w:sz w:val="32"/>
          <w:szCs w:val="32"/>
        </w:rPr>
        <w:sectPr>
          <w:pgSz w:w="16838" w:h="11906" w:orient="landscape"/>
          <w:pgMar w:top="1678" w:right="1843" w:bottom="1616" w:left="1440" w:header="1191" w:footer="992" w:gutter="0"/>
          <w:cols w:space="425" w:num="1"/>
          <w:docGrid w:linePitch="312" w:charSpace="0"/>
        </w:sectPr>
      </w:pPr>
    </w:p>
    <w:p>
      <w:pPr>
        <w:pStyle w:val="2"/>
        <w:numPr>
          <w:ilvl w:val="0"/>
          <w:numId w:val="1"/>
        </w:numPr>
        <w:tabs>
          <w:tab w:val="left" w:pos="284"/>
        </w:tabs>
        <w:spacing w:before="120" w:beforeLines="50" w:after="120" w:afterLines="50" w:line="500" w:lineRule="exact"/>
        <w:ind w:left="0" w:firstLine="0"/>
        <w:rPr>
          <w:rFonts w:eastAsia="仿宋_GB2312"/>
          <w:spacing w:val="6"/>
          <w:sz w:val="32"/>
          <w:szCs w:val="20"/>
        </w:rPr>
      </w:pPr>
      <w:bookmarkStart w:id="493" w:name="_Toc47795468"/>
      <w:bookmarkStart w:id="494" w:name="_Toc60807984"/>
      <w:bookmarkStart w:id="495" w:name="_Toc170530528"/>
      <w:bookmarkStart w:id="496" w:name="_Toc238363511"/>
      <w:bookmarkStart w:id="497" w:name="_Toc140565293"/>
      <w:bookmarkStart w:id="498" w:name="_Toc200708069"/>
      <w:bookmarkStart w:id="499" w:name="_Toc105743763"/>
      <w:bookmarkStart w:id="500" w:name="_Toc227951126"/>
      <w:bookmarkStart w:id="501" w:name="_Toc240859441"/>
      <w:bookmarkStart w:id="502" w:name="_Toc113810256"/>
      <w:bookmarkStart w:id="503" w:name="_Toc76214249"/>
      <w:bookmarkStart w:id="504" w:name="_Toc57537648"/>
      <w:bookmarkStart w:id="505" w:name="_Toc97911040"/>
      <w:bookmarkStart w:id="506" w:name="_Toc236536334"/>
      <w:r>
        <w:rPr>
          <w:rFonts w:eastAsia="仿宋_GB2312"/>
          <w:spacing w:val="6"/>
          <w:sz w:val="32"/>
          <w:szCs w:val="20"/>
        </w:rPr>
        <w:t>环境影响评价结论</w:t>
      </w:r>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p>
    <w:p>
      <w:pPr>
        <w:pStyle w:val="3"/>
        <w:spacing w:before="120" w:after="120"/>
      </w:pPr>
      <w:bookmarkStart w:id="507" w:name="_Toc140565294"/>
      <w:r>
        <w:t>建设概况</w:t>
      </w:r>
      <w:bookmarkEnd w:id="507"/>
    </w:p>
    <w:p>
      <w:pPr>
        <w:spacing w:line="500" w:lineRule="exact"/>
        <w:ind w:firstLine="560" w:firstLineChars="200"/>
        <w:contextualSpacing/>
        <w:rPr>
          <w:rFonts w:eastAsia="仿宋_GB2312"/>
          <w:sz w:val="28"/>
          <w:szCs w:val="28"/>
        </w:rPr>
      </w:pPr>
      <w:r>
        <w:rPr>
          <w:rFonts w:eastAsia="仿宋_GB2312"/>
          <w:sz w:val="28"/>
          <w:szCs w:val="28"/>
        </w:rPr>
        <w:t>江苏双联新能源材料科技有限公司总投资</w:t>
      </w:r>
      <w:r>
        <w:rPr>
          <w:rFonts w:hint="eastAsia" w:eastAsia="仿宋_GB2312"/>
          <w:sz w:val="28"/>
          <w:szCs w:val="28"/>
        </w:rPr>
        <w:t>3</w:t>
      </w:r>
      <w:r>
        <w:rPr>
          <w:rFonts w:eastAsia="仿宋_GB2312"/>
          <w:sz w:val="28"/>
          <w:szCs w:val="28"/>
        </w:rPr>
        <w:t>000万</w:t>
      </w:r>
      <w:r>
        <w:rPr>
          <w:rFonts w:hint="eastAsia" w:eastAsia="仿宋_GB2312"/>
          <w:sz w:val="28"/>
          <w:szCs w:val="28"/>
        </w:rPr>
        <w:t>元</w:t>
      </w:r>
      <w:r>
        <w:rPr>
          <w:rFonts w:eastAsia="仿宋_GB2312"/>
          <w:sz w:val="28"/>
          <w:szCs w:val="28"/>
        </w:rPr>
        <w:t>，</w:t>
      </w:r>
      <w:r>
        <w:rPr>
          <w:rFonts w:hint="eastAsia" w:eastAsia="仿宋_GB2312"/>
          <w:sz w:val="28"/>
          <w:szCs w:val="28"/>
        </w:rPr>
        <w:t>租用</w:t>
      </w:r>
      <w:r>
        <w:rPr>
          <w:rFonts w:eastAsia="仿宋_GB2312"/>
          <w:sz w:val="28"/>
          <w:szCs w:val="28"/>
        </w:rPr>
        <w:t>常州威斯双联</w:t>
      </w:r>
      <w:r>
        <w:rPr>
          <w:rFonts w:hint="eastAsia" w:eastAsia="仿宋_GB2312"/>
          <w:sz w:val="28"/>
          <w:szCs w:val="28"/>
        </w:rPr>
        <w:t>有限公司</w:t>
      </w:r>
      <w:r>
        <w:rPr>
          <w:rFonts w:eastAsia="仿宋_GB2312"/>
          <w:sz w:val="28"/>
          <w:szCs w:val="28"/>
        </w:rPr>
        <w:t>厂房。本项目占地面积</w:t>
      </w:r>
      <w:r>
        <w:rPr>
          <w:rFonts w:hint="eastAsia" w:eastAsia="仿宋_GB2312"/>
          <w:sz w:val="28"/>
          <w:szCs w:val="28"/>
        </w:rPr>
        <w:t>2336</w:t>
      </w:r>
      <w:r>
        <w:rPr>
          <w:rFonts w:eastAsia="仿宋_GB2312"/>
          <w:sz w:val="28"/>
          <w:szCs w:val="28"/>
        </w:rPr>
        <w:t>平方米，建筑面积</w:t>
      </w:r>
      <w:r>
        <w:rPr>
          <w:rFonts w:hint="eastAsia" w:eastAsia="仿宋_GB2312"/>
          <w:sz w:val="28"/>
          <w:szCs w:val="28"/>
        </w:rPr>
        <w:t>2336</w:t>
      </w:r>
      <w:r>
        <w:rPr>
          <w:rFonts w:eastAsia="仿宋_GB2312"/>
          <w:sz w:val="28"/>
          <w:szCs w:val="28"/>
        </w:rPr>
        <w:t>平方米</w:t>
      </w:r>
      <w:r>
        <w:rPr>
          <w:rFonts w:hint="eastAsia" w:eastAsia="仿宋_GB2312"/>
          <w:sz w:val="28"/>
          <w:szCs w:val="28"/>
        </w:rPr>
        <w:t>，</w:t>
      </w:r>
      <w:r>
        <w:rPr>
          <w:rFonts w:eastAsia="仿宋_GB2312"/>
          <w:sz w:val="28"/>
          <w:szCs w:val="28"/>
        </w:rPr>
        <w:t>购置</w:t>
      </w:r>
      <w:r>
        <w:rPr>
          <w:rFonts w:hint="eastAsia" w:eastAsia="仿宋_GB2312"/>
          <w:sz w:val="28"/>
          <w:szCs w:val="28"/>
        </w:rPr>
        <w:t>涂布机</w:t>
      </w:r>
      <w:r>
        <w:rPr>
          <w:rFonts w:eastAsia="仿宋_GB2312"/>
          <w:sz w:val="28"/>
          <w:szCs w:val="28"/>
        </w:rPr>
        <w:t>、分切机等</w:t>
      </w:r>
      <w:r>
        <w:rPr>
          <w:rFonts w:hint="eastAsia" w:eastAsia="仿宋_GB2312"/>
          <w:sz w:val="28"/>
          <w:szCs w:val="28"/>
        </w:rPr>
        <w:t>，</w:t>
      </w:r>
      <w:r>
        <w:rPr>
          <w:rFonts w:eastAsia="仿宋_GB2312"/>
          <w:sz w:val="28"/>
          <w:szCs w:val="28"/>
        </w:rPr>
        <w:t>项目建成后可</w:t>
      </w:r>
      <w:r>
        <w:rPr>
          <w:rFonts w:hint="eastAsia" w:eastAsia="仿宋_GB2312"/>
          <w:sz w:val="28"/>
          <w:szCs w:val="28"/>
        </w:rPr>
        <w:t>形成</w:t>
      </w:r>
      <w:r>
        <w:rPr>
          <w:rFonts w:eastAsia="仿宋_GB2312"/>
          <w:sz w:val="28"/>
          <w:szCs w:val="28"/>
        </w:rPr>
        <w:t>年产</w:t>
      </w:r>
      <w:r>
        <w:rPr>
          <w:rFonts w:hint="eastAsia" w:eastAsia="仿宋_GB2312"/>
          <w:sz w:val="28"/>
          <w:szCs w:val="28"/>
        </w:rPr>
        <w:t>PET胶带2000万</w:t>
      </w:r>
      <w:r>
        <w:rPr>
          <w:rFonts w:eastAsia="仿宋_GB2312"/>
          <w:sz w:val="28"/>
          <w:szCs w:val="28"/>
        </w:rPr>
        <w:t>平方米和</w:t>
      </w:r>
      <w:r>
        <w:rPr>
          <w:rFonts w:hint="eastAsia" w:eastAsia="仿宋_GB2312"/>
          <w:sz w:val="28"/>
          <w:szCs w:val="28"/>
        </w:rPr>
        <w:t>PI胶带1000万</w:t>
      </w:r>
      <w:r>
        <w:rPr>
          <w:rFonts w:eastAsia="仿宋_GB2312"/>
          <w:sz w:val="28"/>
          <w:szCs w:val="28"/>
        </w:rPr>
        <w:t>平方米的生产能力</w:t>
      </w:r>
      <w:r>
        <w:rPr>
          <w:rFonts w:hint="eastAsia" w:eastAsia="仿宋_GB2312"/>
          <w:sz w:val="28"/>
          <w:szCs w:val="28"/>
        </w:rPr>
        <w:t>，项目产品主要配套新能源汽车锂电池用</w:t>
      </w:r>
      <w:r>
        <w:rPr>
          <w:rFonts w:eastAsia="仿宋_GB2312"/>
          <w:sz w:val="28"/>
          <w:szCs w:val="28"/>
        </w:rPr>
        <w:t>。本项目员工人数</w:t>
      </w:r>
      <w:r>
        <w:rPr>
          <w:rFonts w:hint="eastAsia" w:eastAsia="仿宋_GB2312"/>
          <w:sz w:val="28"/>
          <w:szCs w:val="28"/>
        </w:rPr>
        <w:t>45</w:t>
      </w:r>
      <w:r>
        <w:rPr>
          <w:rFonts w:eastAsia="仿宋_GB2312"/>
          <w:sz w:val="28"/>
          <w:szCs w:val="28"/>
        </w:rPr>
        <w:t>人，年工作日300天，</w:t>
      </w:r>
      <w:r>
        <w:rPr>
          <w:rFonts w:hint="eastAsia" w:eastAsia="仿宋_GB2312"/>
          <w:sz w:val="28"/>
          <w:szCs w:val="28"/>
        </w:rPr>
        <w:t>三班制，每班</w:t>
      </w:r>
      <w:r>
        <w:rPr>
          <w:rFonts w:eastAsia="仿宋_GB2312"/>
          <w:sz w:val="28"/>
          <w:szCs w:val="28"/>
        </w:rPr>
        <w:t>8</w:t>
      </w:r>
      <w:r>
        <w:rPr>
          <w:rFonts w:hint="eastAsia" w:eastAsia="仿宋_GB2312"/>
          <w:sz w:val="28"/>
          <w:szCs w:val="28"/>
        </w:rPr>
        <w:t>小时</w:t>
      </w:r>
      <w:r>
        <w:rPr>
          <w:rFonts w:eastAsia="仿宋_GB2312"/>
          <w:sz w:val="28"/>
          <w:szCs w:val="28"/>
        </w:rPr>
        <w:t>。</w:t>
      </w:r>
    </w:p>
    <w:p>
      <w:pPr>
        <w:pStyle w:val="3"/>
        <w:spacing w:before="120" w:after="120"/>
      </w:pPr>
      <w:bookmarkStart w:id="508" w:name="_Toc140565295"/>
      <w:r>
        <w:t>环境质量现状</w:t>
      </w:r>
      <w:bookmarkEnd w:id="508"/>
    </w:p>
    <w:p>
      <w:pPr>
        <w:autoSpaceDE w:val="0"/>
        <w:autoSpaceDN w:val="0"/>
        <w:spacing w:line="480" w:lineRule="exact"/>
        <w:ind w:firstLine="560" w:firstLineChars="200"/>
        <w:rPr>
          <w:rFonts w:eastAsia="仿宋_GB2312"/>
          <w:snapToGrid w:val="0"/>
          <w:kern w:val="0"/>
          <w:sz w:val="28"/>
          <w:szCs w:val="28"/>
        </w:rPr>
      </w:pPr>
      <w:r>
        <w:rPr>
          <w:rFonts w:eastAsia="仿宋_GB2312"/>
          <w:snapToGrid w:val="0"/>
          <w:kern w:val="0"/>
          <w:sz w:val="28"/>
          <w:szCs w:val="28"/>
        </w:rPr>
        <w:t>（1）大气环境质量现状</w:t>
      </w:r>
    </w:p>
    <w:p>
      <w:pPr>
        <w:autoSpaceDE w:val="0"/>
        <w:autoSpaceDN w:val="0"/>
        <w:spacing w:line="480" w:lineRule="exact"/>
        <w:ind w:firstLine="560" w:firstLineChars="200"/>
        <w:rPr>
          <w:rFonts w:eastAsia="仿宋_GB2312"/>
          <w:sz w:val="28"/>
          <w:szCs w:val="28"/>
        </w:rPr>
      </w:pPr>
      <w:r>
        <w:rPr>
          <w:rFonts w:eastAsia="仿宋_GB2312"/>
          <w:sz w:val="28"/>
          <w:szCs w:val="28"/>
        </w:rPr>
        <w:t>本项目所在区域空气质量现状评价引用《202</w:t>
      </w:r>
      <w:r>
        <w:rPr>
          <w:rFonts w:hint="eastAsia" w:eastAsia="仿宋_GB2312"/>
          <w:sz w:val="28"/>
          <w:szCs w:val="28"/>
        </w:rPr>
        <w:t>2</w:t>
      </w:r>
      <w:r>
        <w:rPr>
          <w:rFonts w:eastAsia="仿宋_GB2312"/>
          <w:sz w:val="28"/>
          <w:szCs w:val="28"/>
        </w:rPr>
        <w:t>年常州市生态环境状况公报》中的数据，</w:t>
      </w:r>
      <w:r>
        <w:rPr>
          <w:rFonts w:hint="eastAsia" w:eastAsia="仿宋_GB2312"/>
          <w:sz w:val="28"/>
          <w:szCs w:val="28"/>
        </w:rPr>
        <w:t>项目所</w:t>
      </w:r>
      <w:r>
        <w:rPr>
          <w:rFonts w:eastAsia="仿宋_GB2312"/>
          <w:sz w:val="28"/>
          <w:szCs w:val="28"/>
        </w:rPr>
        <w:t>在区域</w:t>
      </w:r>
      <w:r>
        <w:rPr>
          <w:rFonts w:eastAsia="仿宋_GB2312"/>
          <w:bCs/>
          <w:sz w:val="28"/>
          <w:szCs w:val="28"/>
        </w:rPr>
        <w:t>O</w:t>
      </w:r>
      <w:r>
        <w:rPr>
          <w:rFonts w:eastAsia="仿宋_GB2312"/>
          <w:bCs/>
          <w:sz w:val="28"/>
          <w:szCs w:val="28"/>
          <w:vertAlign w:val="subscript"/>
        </w:rPr>
        <w:t>3</w:t>
      </w:r>
      <w:r>
        <w:rPr>
          <w:rFonts w:eastAsia="仿宋_GB2312"/>
          <w:bCs/>
          <w:sz w:val="28"/>
          <w:szCs w:val="28"/>
        </w:rPr>
        <w:t>、PM</w:t>
      </w:r>
      <w:r>
        <w:rPr>
          <w:rFonts w:eastAsia="仿宋_GB2312"/>
          <w:bCs/>
          <w:sz w:val="28"/>
          <w:szCs w:val="28"/>
          <w:vertAlign w:val="subscript"/>
        </w:rPr>
        <w:t>2.5</w:t>
      </w:r>
      <w:r>
        <w:rPr>
          <w:rFonts w:eastAsia="仿宋_GB2312"/>
          <w:bCs/>
          <w:sz w:val="28"/>
          <w:szCs w:val="28"/>
        </w:rPr>
        <w:t>超标</w:t>
      </w:r>
      <w:r>
        <w:rPr>
          <w:rFonts w:eastAsia="仿宋_GB2312"/>
          <w:sz w:val="28"/>
          <w:szCs w:val="28"/>
        </w:rPr>
        <w:t>，区域环境空气质量目前不达标。</w:t>
      </w:r>
    </w:p>
    <w:p>
      <w:pPr>
        <w:spacing w:line="500" w:lineRule="exact"/>
        <w:ind w:firstLine="560" w:firstLineChars="200"/>
        <w:rPr>
          <w:rFonts w:eastAsia="仿宋_GB2312"/>
          <w:sz w:val="28"/>
          <w:szCs w:val="28"/>
        </w:rPr>
      </w:pPr>
      <w:r>
        <w:rPr>
          <w:rFonts w:eastAsia="仿宋_GB2312"/>
          <w:sz w:val="28"/>
          <w:szCs w:val="28"/>
        </w:rPr>
        <w:t>从大气环境</w:t>
      </w:r>
      <w:r>
        <w:rPr>
          <w:rFonts w:hint="eastAsia" w:eastAsia="仿宋_GB2312"/>
          <w:sz w:val="28"/>
          <w:szCs w:val="28"/>
        </w:rPr>
        <w:t>补充</w:t>
      </w:r>
      <w:r>
        <w:rPr>
          <w:rFonts w:eastAsia="仿宋_GB2312"/>
          <w:sz w:val="28"/>
          <w:szCs w:val="28"/>
        </w:rPr>
        <w:t>监测结果及评价指数来看，监测点</w:t>
      </w:r>
      <w:r>
        <w:rPr>
          <w:rFonts w:hint="eastAsia" w:eastAsia="仿宋_GB2312"/>
          <w:sz w:val="28"/>
          <w:szCs w:val="28"/>
        </w:rPr>
        <w:t>非甲烷总烃、二甲苯</w:t>
      </w:r>
      <w:r>
        <w:rPr>
          <w:rFonts w:eastAsia="仿宋_GB2312"/>
          <w:sz w:val="28"/>
          <w:szCs w:val="28"/>
        </w:rPr>
        <w:t>均符合相关标准。</w:t>
      </w:r>
    </w:p>
    <w:p>
      <w:pPr>
        <w:autoSpaceDE w:val="0"/>
        <w:autoSpaceDN w:val="0"/>
        <w:spacing w:line="480" w:lineRule="exact"/>
        <w:ind w:firstLine="560" w:firstLineChars="200"/>
        <w:rPr>
          <w:rFonts w:eastAsia="仿宋_GB2312"/>
          <w:snapToGrid w:val="0"/>
          <w:kern w:val="0"/>
          <w:sz w:val="28"/>
          <w:szCs w:val="28"/>
        </w:rPr>
      </w:pPr>
      <w:r>
        <w:rPr>
          <w:rFonts w:eastAsia="仿宋_GB2312"/>
          <w:snapToGrid w:val="0"/>
          <w:kern w:val="0"/>
          <w:sz w:val="28"/>
          <w:szCs w:val="28"/>
        </w:rPr>
        <w:t>（2）水环境质量现状</w:t>
      </w:r>
    </w:p>
    <w:p>
      <w:pPr>
        <w:spacing w:line="480" w:lineRule="exact"/>
        <w:ind w:firstLine="560" w:firstLineChars="200"/>
        <w:rPr>
          <w:rFonts w:eastAsia="仿宋_GB2312"/>
          <w:sz w:val="28"/>
          <w:szCs w:val="28"/>
        </w:rPr>
      </w:pPr>
      <w:r>
        <w:rPr>
          <w:rFonts w:eastAsia="仿宋_GB2312"/>
          <w:sz w:val="28"/>
          <w:szCs w:val="28"/>
        </w:rPr>
        <w:t>根据地表水的监测结果，</w:t>
      </w:r>
      <w:r>
        <w:rPr>
          <w:rFonts w:hint="eastAsia" w:eastAsia="仿宋_GB2312"/>
          <w:sz w:val="28"/>
          <w:szCs w:val="28"/>
        </w:rPr>
        <w:t>尧塘河各个监测断面的现状水质中各污染物pH、COD、NH</w:t>
      </w:r>
      <w:r>
        <w:rPr>
          <w:rFonts w:hint="eastAsia" w:eastAsia="仿宋_GB2312"/>
          <w:sz w:val="28"/>
          <w:szCs w:val="28"/>
          <w:vertAlign w:val="subscript"/>
        </w:rPr>
        <w:t>3</w:t>
      </w:r>
      <w:r>
        <w:rPr>
          <w:rFonts w:hint="eastAsia" w:eastAsia="仿宋_GB2312"/>
          <w:sz w:val="28"/>
          <w:szCs w:val="28"/>
        </w:rPr>
        <w:t>-N、TP均满足《地表水环境质量标准》（GB3838-2002）中Ⅲ类标准限值</w:t>
      </w:r>
      <w:r>
        <w:rPr>
          <w:rFonts w:eastAsia="仿宋_GB2312"/>
          <w:bCs/>
          <w:sz w:val="28"/>
          <w:szCs w:val="28"/>
        </w:rPr>
        <w:t>。</w:t>
      </w:r>
    </w:p>
    <w:p>
      <w:pPr>
        <w:autoSpaceDE w:val="0"/>
        <w:autoSpaceDN w:val="0"/>
        <w:spacing w:line="480" w:lineRule="exact"/>
        <w:ind w:firstLine="560" w:firstLineChars="200"/>
        <w:rPr>
          <w:rFonts w:eastAsia="仿宋_GB2312"/>
          <w:snapToGrid w:val="0"/>
          <w:kern w:val="0"/>
          <w:sz w:val="28"/>
          <w:szCs w:val="28"/>
        </w:rPr>
      </w:pPr>
      <w:r>
        <w:rPr>
          <w:rFonts w:eastAsia="仿宋_GB2312"/>
          <w:snapToGrid w:val="0"/>
          <w:kern w:val="0"/>
          <w:sz w:val="28"/>
          <w:szCs w:val="28"/>
        </w:rPr>
        <w:t>（3）噪声环境质量现状</w:t>
      </w:r>
    </w:p>
    <w:p>
      <w:pPr>
        <w:autoSpaceDE w:val="0"/>
        <w:autoSpaceDN w:val="0"/>
        <w:spacing w:line="480" w:lineRule="exact"/>
        <w:ind w:firstLine="560" w:firstLineChars="200"/>
        <w:rPr>
          <w:rFonts w:eastAsia="仿宋_GB2312"/>
          <w:snapToGrid w:val="0"/>
          <w:kern w:val="0"/>
          <w:sz w:val="28"/>
          <w:szCs w:val="28"/>
        </w:rPr>
      </w:pPr>
      <w:r>
        <w:rPr>
          <w:rFonts w:eastAsia="仿宋_GB2312"/>
          <w:snapToGrid w:val="0"/>
          <w:kern w:val="0"/>
          <w:sz w:val="28"/>
          <w:szCs w:val="28"/>
        </w:rPr>
        <w:t>根据现状噪声监测及评价结果，</w:t>
      </w:r>
      <w:r>
        <w:rPr>
          <w:rFonts w:hint="eastAsia" w:eastAsia="仿宋_GB2312"/>
          <w:sz w:val="28"/>
        </w:rPr>
        <w:t>东、西、北</w:t>
      </w:r>
      <w:r>
        <w:rPr>
          <w:rFonts w:eastAsia="仿宋_GB2312"/>
          <w:sz w:val="28"/>
        </w:rPr>
        <w:t>厂界昼夜间噪声均符合</w:t>
      </w:r>
      <w:r>
        <w:rPr>
          <w:rFonts w:eastAsia="仿宋_GB2312"/>
          <w:sz w:val="28"/>
          <w:szCs w:val="28"/>
        </w:rPr>
        <w:t>《声环境质量标准》（GB12348-2008）中3类区域标准</w:t>
      </w:r>
      <w:r>
        <w:rPr>
          <w:rFonts w:hint="eastAsia" w:eastAsia="仿宋_GB2312"/>
          <w:sz w:val="28"/>
          <w:szCs w:val="28"/>
        </w:rPr>
        <w:t>，南厂界符合</w:t>
      </w:r>
      <w:r>
        <w:rPr>
          <w:rFonts w:eastAsia="仿宋_GB2312"/>
          <w:sz w:val="28"/>
          <w:szCs w:val="28"/>
        </w:rPr>
        <w:t>《声环境质量标准》（GB12348-2008）中4</w:t>
      </w:r>
      <w:r>
        <w:rPr>
          <w:rFonts w:hint="eastAsia" w:eastAsia="仿宋_GB2312"/>
          <w:sz w:val="28"/>
          <w:szCs w:val="28"/>
        </w:rPr>
        <w:t>a</w:t>
      </w:r>
      <w:r>
        <w:rPr>
          <w:rFonts w:eastAsia="仿宋_GB2312"/>
          <w:sz w:val="28"/>
          <w:szCs w:val="28"/>
        </w:rPr>
        <w:t>类区域标准</w:t>
      </w:r>
      <w:r>
        <w:rPr>
          <w:rFonts w:eastAsia="仿宋_GB2312"/>
          <w:snapToGrid w:val="0"/>
          <w:kern w:val="0"/>
          <w:sz w:val="28"/>
          <w:szCs w:val="28"/>
        </w:rPr>
        <w:t>。</w:t>
      </w:r>
    </w:p>
    <w:p>
      <w:pPr>
        <w:autoSpaceDE w:val="0"/>
        <w:autoSpaceDN w:val="0"/>
        <w:spacing w:line="480" w:lineRule="exact"/>
        <w:ind w:firstLine="560" w:firstLineChars="200"/>
        <w:rPr>
          <w:rFonts w:eastAsia="仿宋_GB2312"/>
          <w:snapToGrid w:val="0"/>
          <w:kern w:val="0"/>
          <w:sz w:val="28"/>
          <w:szCs w:val="28"/>
        </w:rPr>
      </w:pPr>
      <w:r>
        <w:rPr>
          <w:rFonts w:eastAsia="仿宋_GB2312"/>
          <w:snapToGrid w:val="0"/>
          <w:kern w:val="0"/>
          <w:sz w:val="28"/>
          <w:szCs w:val="28"/>
        </w:rPr>
        <w:t>（4）地下水环境质量现状</w:t>
      </w:r>
    </w:p>
    <w:p>
      <w:pPr>
        <w:spacing w:line="500" w:lineRule="exact"/>
        <w:ind w:firstLine="560" w:firstLineChars="200"/>
        <w:rPr>
          <w:rFonts w:eastAsia="仿宋_GB2312"/>
          <w:sz w:val="28"/>
        </w:rPr>
      </w:pPr>
      <w:r>
        <w:rPr>
          <w:rFonts w:eastAsia="仿宋_GB2312"/>
          <w:sz w:val="28"/>
        </w:rPr>
        <w:t>从监测评价结果可知，各监测点Na</w:t>
      </w:r>
      <w:r>
        <w:rPr>
          <w:rFonts w:eastAsia="仿宋_GB2312"/>
          <w:sz w:val="28"/>
          <w:vertAlign w:val="superscript"/>
        </w:rPr>
        <w:t>+</w:t>
      </w:r>
      <w:r>
        <w:rPr>
          <w:rFonts w:hint="eastAsia" w:eastAsia="仿宋_GB2312"/>
          <w:sz w:val="28"/>
        </w:rPr>
        <w:t>、氯化物、</w:t>
      </w:r>
      <w:r>
        <w:rPr>
          <w:rFonts w:eastAsia="仿宋_GB2312"/>
          <w:sz w:val="28"/>
        </w:rPr>
        <w:t>硝酸盐</w:t>
      </w:r>
      <w:r>
        <w:rPr>
          <w:rFonts w:hint="eastAsia" w:eastAsia="仿宋_GB2312"/>
          <w:sz w:val="28"/>
        </w:rPr>
        <w:t>氮、挥发酚、</w:t>
      </w:r>
      <w:r>
        <w:rPr>
          <w:rFonts w:eastAsia="仿宋_GB2312"/>
          <w:sz w:val="28"/>
        </w:rPr>
        <w:t>汞</w:t>
      </w:r>
      <w:r>
        <w:rPr>
          <w:rFonts w:hint="eastAsia" w:eastAsia="仿宋_GB2312"/>
          <w:sz w:val="28"/>
        </w:rPr>
        <w:t>、</w:t>
      </w:r>
      <w:r>
        <w:rPr>
          <w:rFonts w:eastAsia="仿宋_GB2312"/>
          <w:sz w:val="28"/>
        </w:rPr>
        <w:t>六价铬</w:t>
      </w:r>
      <w:r>
        <w:rPr>
          <w:rFonts w:hint="eastAsia" w:eastAsia="仿宋_GB2312"/>
          <w:sz w:val="28"/>
        </w:rPr>
        <w:t>、</w:t>
      </w:r>
      <w:r>
        <w:rPr>
          <w:rFonts w:eastAsia="仿宋_GB2312"/>
          <w:sz w:val="28"/>
        </w:rPr>
        <w:t>镉</w:t>
      </w:r>
      <w:r>
        <w:rPr>
          <w:rFonts w:hint="eastAsia" w:eastAsia="仿宋_GB2312"/>
          <w:sz w:val="28"/>
        </w:rPr>
        <w:t>、铅、总氰化物、高锰酸盐指数、甲苯</w:t>
      </w:r>
      <w:r>
        <w:rPr>
          <w:rFonts w:eastAsia="仿宋_GB2312"/>
          <w:sz w:val="28"/>
        </w:rPr>
        <w:t>达到《地下水质量标准》（GB/T14848-2017）</w:t>
      </w:r>
      <w:r>
        <w:rPr>
          <w:rFonts w:hint="eastAsia" w:eastAsia="仿宋_GB2312"/>
          <w:sz w:val="28"/>
        </w:rPr>
        <w:t>Ⅰ</w:t>
      </w:r>
      <w:r>
        <w:rPr>
          <w:rFonts w:eastAsia="仿宋_GB2312"/>
          <w:sz w:val="28"/>
        </w:rPr>
        <w:t>类水质标准</w:t>
      </w:r>
      <w:r>
        <w:rPr>
          <w:rFonts w:hint="eastAsia" w:eastAsia="仿宋_GB2312"/>
          <w:sz w:val="28"/>
        </w:rPr>
        <w:t>，硫酸盐</w:t>
      </w:r>
      <w:r>
        <w:rPr>
          <w:rFonts w:eastAsia="仿宋_GB2312"/>
          <w:sz w:val="28"/>
        </w:rPr>
        <w:t>达到《地下水质量标准》（GB/T14848-2017）II类水质标准。</w:t>
      </w:r>
      <w:r>
        <w:rPr>
          <w:rFonts w:hint="eastAsia" w:eastAsia="仿宋_GB2312"/>
          <w:sz w:val="28"/>
        </w:rPr>
        <w:t>氨氮、亚</w:t>
      </w:r>
      <w:r>
        <w:rPr>
          <w:rFonts w:eastAsia="仿宋_GB2312"/>
          <w:sz w:val="28"/>
        </w:rPr>
        <w:t>硝酸盐</w:t>
      </w:r>
      <w:r>
        <w:rPr>
          <w:rFonts w:hint="eastAsia" w:eastAsia="仿宋_GB2312"/>
          <w:sz w:val="28"/>
        </w:rPr>
        <w:t>氮、溶解性总固体</w:t>
      </w:r>
      <w:r>
        <w:rPr>
          <w:rFonts w:eastAsia="仿宋_GB2312"/>
          <w:sz w:val="28"/>
        </w:rPr>
        <w:t>达到《地下水质量标准》（GB/T14848-2017）</w:t>
      </w:r>
      <w:r>
        <w:rPr>
          <w:rFonts w:hint="eastAsia" w:eastAsia="仿宋_GB2312"/>
          <w:sz w:val="28"/>
        </w:rPr>
        <w:t>Ⅲ</w:t>
      </w:r>
      <w:r>
        <w:rPr>
          <w:rFonts w:eastAsia="仿宋_GB2312"/>
          <w:sz w:val="28"/>
        </w:rPr>
        <w:t>类水质标准</w:t>
      </w:r>
      <w:r>
        <w:rPr>
          <w:rFonts w:hint="eastAsia" w:eastAsia="仿宋_GB2312"/>
          <w:sz w:val="28"/>
        </w:rPr>
        <w:t>；</w:t>
      </w:r>
      <w:r>
        <w:rPr>
          <w:rFonts w:eastAsia="仿宋_GB2312"/>
          <w:sz w:val="28"/>
        </w:rPr>
        <w:t>砷</w:t>
      </w:r>
      <w:r>
        <w:rPr>
          <w:rFonts w:hint="eastAsia" w:eastAsia="仿宋_GB2312"/>
          <w:sz w:val="28"/>
        </w:rPr>
        <w:t>、氟化物</w:t>
      </w:r>
      <w:r>
        <w:rPr>
          <w:rFonts w:eastAsia="仿宋_GB2312"/>
          <w:sz w:val="28"/>
        </w:rPr>
        <w:t>达到《地下水质量标准》（GB/T14848-2017）</w:t>
      </w:r>
      <w:r>
        <w:rPr>
          <w:rFonts w:hint="eastAsia" w:eastAsia="仿宋_GB2312"/>
          <w:sz w:val="28"/>
        </w:rPr>
        <w:t>Ⅳ</w:t>
      </w:r>
      <w:r>
        <w:rPr>
          <w:rFonts w:eastAsia="仿宋_GB2312"/>
          <w:sz w:val="28"/>
        </w:rPr>
        <w:t>类水质标准</w:t>
      </w:r>
      <w:r>
        <w:rPr>
          <w:rFonts w:hint="eastAsia" w:eastAsia="仿宋_GB2312"/>
          <w:sz w:val="28"/>
        </w:rPr>
        <w:t>。</w:t>
      </w:r>
    </w:p>
    <w:p>
      <w:pPr>
        <w:autoSpaceDE w:val="0"/>
        <w:autoSpaceDN w:val="0"/>
        <w:spacing w:line="480" w:lineRule="exact"/>
        <w:ind w:firstLine="560" w:firstLineChars="200"/>
        <w:rPr>
          <w:rFonts w:eastAsia="仿宋_GB2312"/>
          <w:snapToGrid w:val="0"/>
          <w:kern w:val="0"/>
          <w:sz w:val="28"/>
          <w:szCs w:val="28"/>
        </w:rPr>
      </w:pPr>
      <w:r>
        <w:rPr>
          <w:rFonts w:eastAsia="仿宋_GB2312"/>
          <w:snapToGrid w:val="0"/>
          <w:kern w:val="0"/>
          <w:sz w:val="28"/>
          <w:szCs w:val="28"/>
        </w:rPr>
        <w:t>（5）土壤环境质量现状</w:t>
      </w:r>
    </w:p>
    <w:p>
      <w:pPr>
        <w:spacing w:line="500" w:lineRule="exact"/>
        <w:ind w:firstLine="560" w:firstLineChars="200"/>
        <w:rPr>
          <w:rFonts w:eastAsia="仿宋_GB2312"/>
          <w:sz w:val="28"/>
        </w:rPr>
      </w:pPr>
      <w:r>
        <w:rPr>
          <w:rFonts w:eastAsia="仿宋_GB2312"/>
          <w:snapToGrid w:val="0"/>
          <w:kern w:val="0"/>
          <w:sz w:val="28"/>
          <w:szCs w:val="28"/>
        </w:rPr>
        <w:t>项目厂区土壤中</w:t>
      </w:r>
      <w:r>
        <w:rPr>
          <w:rFonts w:eastAsia="仿宋_GB2312"/>
          <w:sz w:val="28"/>
        </w:rPr>
        <w:t>各项土壤指标均符合《土壤环境质量建设用地土壤污染风险管控标准》（GB36600-2018）中筛选值，区域内土壤环境质量良好。</w:t>
      </w:r>
    </w:p>
    <w:p>
      <w:pPr>
        <w:pStyle w:val="3"/>
        <w:spacing w:before="120" w:after="120"/>
      </w:pPr>
      <w:bookmarkStart w:id="509" w:name="_Toc140565296"/>
      <w:r>
        <w:t>污染物排放情况</w:t>
      </w:r>
      <w:bookmarkEnd w:id="509"/>
    </w:p>
    <w:p>
      <w:pPr>
        <w:autoSpaceDE w:val="0"/>
        <w:autoSpaceDN w:val="0"/>
        <w:spacing w:line="480" w:lineRule="exact"/>
        <w:ind w:firstLine="560" w:firstLineChars="200"/>
        <w:rPr>
          <w:rFonts w:eastAsia="仿宋_GB2312"/>
          <w:snapToGrid w:val="0"/>
          <w:kern w:val="0"/>
          <w:sz w:val="28"/>
          <w:szCs w:val="28"/>
        </w:rPr>
      </w:pPr>
      <w:r>
        <w:rPr>
          <w:rFonts w:eastAsia="仿宋_GB2312"/>
          <w:snapToGrid w:val="0"/>
          <w:kern w:val="0"/>
          <w:sz w:val="28"/>
          <w:szCs w:val="28"/>
        </w:rPr>
        <w:t>（1）废气</w:t>
      </w:r>
    </w:p>
    <w:p>
      <w:pPr>
        <w:autoSpaceDE w:val="0"/>
        <w:autoSpaceDN w:val="0"/>
        <w:spacing w:line="480" w:lineRule="exact"/>
        <w:ind w:firstLine="560" w:firstLineChars="200"/>
        <w:rPr>
          <w:rFonts w:eastAsia="仿宋_GB2312"/>
          <w:snapToGrid w:val="0"/>
          <w:kern w:val="0"/>
          <w:sz w:val="28"/>
          <w:szCs w:val="28"/>
        </w:rPr>
      </w:pPr>
      <w:r>
        <w:rPr>
          <w:rFonts w:eastAsia="仿宋_GB2312"/>
          <w:sz w:val="28"/>
          <w:szCs w:val="28"/>
        </w:rPr>
        <w:t>本项目废气通过采取有效的治理措施后能够达标排放，无组织废气厂界达标。全厂不设大气环境防护距离，本项目建成后卫生防护距离设置为</w:t>
      </w:r>
      <w:r>
        <w:rPr>
          <w:rFonts w:hint="eastAsia" w:eastAsia="仿宋_GB2312"/>
          <w:sz w:val="28"/>
          <w:szCs w:val="28"/>
        </w:rPr>
        <w:t>车间边界外扩</w:t>
      </w:r>
      <w:r>
        <w:rPr>
          <w:rFonts w:eastAsia="仿宋_GB2312"/>
          <w:sz w:val="28"/>
          <w:szCs w:val="28"/>
        </w:rPr>
        <w:t>100</w:t>
      </w:r>
      <w:r>
        <w:rPr>
          <w:rFonts w:hint="eastAsia" w:eastAsia="仿宋_GB2312"/>
          <w:sz w:val="28"/>
          <w:szCs w:val="28"/>
        </w:rPr>
        <w:t>米形成</w:t>
      </w:r>
      <w:r>
        <w:rPr>
          <w:rFonts w:eastAsia="仿宋_GB2312"/>
          <w:sz w:val="28"/>
          <w:szCs w:val="28"/>
        </w:rPr>
        <w:t>的包络线范围，在此范围内无居民</w:t>
      </w:r>
      <w:r>
        <w:rPr>
          <w:rFonts w:hint="eastAsia" w:eastAsia="仿宋_GB2312"/>
          <w:sz w:val="28"/>
          <w:szCs w:val="28"/>
        </w:rPr>
        <w:t>区</w:t>
      </w:r>
      <w:r>
        <w:rPr>
          <w:rFonts w:eastAsia="仿宋_GB2312"/>
          <w:sz w:val="28"/>
          <w:szCs w:val="28"/>
        </w:rPr>
        <w:t>、医院等敏感保护目标，</w:t>
      </w:r>
      <w:r>
        <w:rPr>
          <w:rFonts w:eastAsia="仿宋_GB2312"/>
          <w:sz w:val="28"/>
        </w:rPr>
        <w:t>今后也不得新建各类居民</w:t>
      </w:r>
      <w:r>
        <w:rPr>
          <w:rFonts w:hint="eastAsia" w:eastAsia="仿宋_GB2312"/>
          <w:sz w:val="28"/>
        </w:rPr>
        <w:t>区</w:t>
      </w:r>
      <w:r>
        <w:rPr>
          <w:rFonts w:eastAsia="仿宋_GB2312"/>
          <w:sz w:val="28"/>
        </w:rPr>
        <w:t>和环境保护目标</w:t>
      </w:r>
      <w:r>
        <w:rPr>
          <w:rFonts w:eastAsia="仿宋_GB2312"/>
          <w:sz w:val="28"/>
          <w:szCs w:val="28"/>
        </w:rPr>
        <w:t>。</w:t>
      </w:r>
    </w:p>
    <w:p>
      <w:pPr>
        <w:tabs>
          <w:tab w:val="left" w:pos="6180"/>
        </w:tabs>
        <w:autoSpaceDE w:val="0"/>
        <w:autoSpaceDN w:val="0"/>
        <w:spacing w:line="480" w:lineRule="exact"/>
        <w:ind w:firstLine="560" w:firstLineChars="200"/>
        <w:rPr>
          <w:rFonts w:eastAsia="仿宋_GB2312"/>
          <w:snapToGrid w:val="0"/>
          <w:kern w:val="0"/>
          <w:sz w:val="28"/>
          <w:szCs w:val="28"/>
        </w:rPr>
      </w:pPr>
      <w:r>
        <w:rPr>
          <w:rFonts w:eastAsia="仿宋_GB2312"/>
          <w:snapToGrid w:val="0"/>
          <w:kern w:val="0"/>
          <w:sz w:val="28"/>
          <w:szCs w:val="28"/>
        </w:rPr>
        <w:t>（2）废</w:t>
      </w:r>
      <w:r>
        <w:rPr>
          <w:rFonts w:hint="eastAsia" w:eastAsia="仿宋_GB2312"/>
          <w:snapToGrid w:val="0"/>
          <w:kern w:val="0"/>
          <w:sz w:val="28"/>
          <w:szCs w:val="28"/>
        </w:rPr>
        <w:t>水</w:t>
      </w:r>
    </w:p>
    <w:p>
      <w:pPr>
        <w:spacing w:line="500" w:lineRule="exact"/>
        <w:ind w:firstLine="700" w:firstLineChars="250"/>
        <w:jc w:val="left"/>
        <w:rPr>
          <w:rFonts w:eastAsia="仿宋_GB2312"/>
          <w:sz w:val="28"/>
          <w:szCs w:val="28"/>
        </w:rPr>
      </w:pPr>
      <w:r>
        <w:rPr>
          <w:rFonts w:hint="eastAsia" w:eastAsia="仿宋_GB2312"/>
          <w:sz w:val="28"/>
          <w:szCs w:val="28"/>
        </w:rPr>
        <w:t>本项目</w:t>
      </w:r>
      <w:r>
        <w:rPr>
          <w:rFonts w:eastAsia="仿宋_GB2312"/>
          <w:sz w:val="28"/>
          <w:szCs w:val="28"/>
        </w:rPr>
        <w:t>生活污水经厂区污水管网接入</w:t>
      </w:r>
      <w:r>
        <w:rPr>
          <w:rFonts w:hint="eastAsia" w:eastAsia="仿宋_GB2312"/>
          <w:sz w:val="28"/>
          <w:szCs w:val="28"/>
        </w:rPr>
        <w:t>市政</w:t>
      </w:r>
      <w:r>
        <w:rPr>
          <w:rFonts w:eastAsia="仿宋_GB2312"/>
          <w:sz w:val="28"/>
          <w:szCs w:val="28"/>
        </w:rPr>
        <w:t>污水管网</w:t>
      </w:r>
      <w:r>
        <w:rPr>
          <w:rFonts w:hint="eastAsia" w:eastAsia="仿宋_GB2312"/>
          <w:sz w:val="28"/>
          <w:szCs w:val="28"/>
        </w:rPr>
        <w:t>，</w:t>
      </w:r>
      <w:r>
        <w:rPr>
          <w:rFonts w:eastAsia="仿宋_GB2312"/>
          <w:sz w:val="28"/>
          <w:szCs w:val="28"/>
        </w:rPr>
        <w:t>进</w:t>
      </w:r>
      <w:r>
        <w:rPr>
          <w:rFonts w:hint="eastAsia" w:eastAsia="仿宋_GB2312"/>
          <w:sz w:val="28"/>
          <w:szCs w:val="28"/>
        </w:rPr>
        <w:t>金坛第二污水</w:t>
      </w:r>
      <w:r>
        <w:rPr>
          <w:rFonts w:eastAsia="仿宋_GB2312"/>
          <w:sz w:val="28"/>
          <w:szCs w:val="28"/>
        </w:rPr>
        <w:t>处理厂集中处理。</w:t>
      </w:r>
    </w:p>
    <w:p>
      <w:pPr>
        <w:autoSpaceDE w:val="0"/>
        <w:autoSpaceDN w:val="0"/>
        <w:spacing w:line="480" w:lineRule="exact"/>
        <w:ind w:firstLine="560" w:firstLineChars="200"/>
        <w:rPr>
          <w:rFonts w:eastAsia="仿宋_GB2312"/>
          <w:snapToGrid w:val="0"/>
          <w:kern w:val="0"/>
          <w:sz w:val="28"/>
          <w:szCs w:val="28"/>
        </w:rPr>
      </w:pPr>
      <w:r>
        <w:rPr>
          <w:rFonts w:eastAsia="仿宋_GB2312"/>
          <w:snapToGrid w:val="0"/>
          <w:kern w:val="0"/>
          <w:sz w:val="28"/>
          <w:szCs w:val="28"/>
        </w:rPr>
        <w:t>（3）噪声</w:t>
      </w:r>
    </w:p>
    <w:p>
      <w:pPr>
        <w:autoSpaceDE w:val="0"/>
        <w:autoSpaceDN w:val="0"/>
        <w:spacing w:line="480" w:lineRule="exact"/>
        <w:ind w:firstLine="560" w:firstLineChars="200"/>
        <w:rPr>
          <w:rFonts w:eastAsia="仿宋_GB2312"/>
          <w:snapToGrid w:val="0"/>
          <w:kern w:val="0"/>
          <w:sz w:val="28"/>
          <w:szCs w:val="28"/>
        </w:rPr>
      </w:pPr>
      <w:r>
        <w:rPr>
          <w:rFonts w:eastAsia="仿宋_GB2312"/>
          <w:snapToGrid w:val="0"/>
          <w:kern w:val="0"/>
          <w:sz w:val="28"/>
          <w:szCs w:val="28"/>
        </w:rPr>
        <w:t>经采取报告中提出的各种噪声治理措施，同时对项目设备采取噪声治理措施并保证设备正常运转的前提下，项目</w:t>
      </w:r>
      <w:r>
        <w:rPr>
          <w:rFonts w:hint="eastAsia" w:eastAsia="仿宋_GB2312" w:cs="宋体"/>
          <w:sz w:val="28"/>
        </w:rPr>
        <w:t>所在地东、西、北</w:t>
      </w:r>
      <w:r>
        <w:rPr>
          <w:rFonts w:eastAsia="仿宋_GB2312"/>
          <w:sz w:val="28"/>
        </w:rPr>
        <w:t>厂界</w:t>
      </w:r>
      <w:r>
        <w:rPr>
          <w:rFonts w:eastAsia="仿宋_GB2312"/>
          <w:snapToGrid w:val="0"/>
          <w:kern w:val="0"/>
          <w:sz w:val="28"/>
          <w:szCs w:val="28"/>
        </w:rPr>
        <w:t>噪声可以达到</w:t>
      </w:r>
      <w:r>
        <w:rPr>
          <w:rFonts w:eastAsia="仿宋_GB2312"/>
          <w:sz w:val="28"/>
        </w:rPr>
        <w:t>《</w:t>
      </w:r>
      <w:r>
        <w:rPr>
          <w:rFonts w:eastAsia="仿宋_GB2312"/>
          <w:sz w:val="28"/>
          <w:szCs w:val="28"/>
        </w:rPr>
        <w:t>工业企业厂界环境噪声排放标准》（GB12348-2008）中3类标准</w:t>
      </w:r>
      <w:r>
        <w:rPr>
          <w:rFonts w:hint="eastAsia" w:eastAsia="仿宋_GB2312"/>
          <w:sz w:val="28"/>
          <w:szCs w:val="28"/>
        </w:rPr>
        <w:t>，南厂界达到4类标准</w:t>
      </w:r>
      <w:r>
        <w:rPr>
          <w:rFonts w:eastAsia="仿宋_GB2312"/>
          <w:snapToGrid w:val="0"/>
          <w:kern w:val="0"/>
          <w:sz w:val="28"/>
          <w:szCs w:val="28"/>
        </w:rPr>
        <w:t>。</w:t>
      </w:r>
    </w:p>
    <w:p>
      <w:pPr>
        <w:autoSpaceDE w:val="0"/>
        <w:autoSpaceDN w:val="0"/>
        <w:spacing w:line="480" w:lineRule="exact"/>
        <w:ind w:firstLine="560" w:firstLineChars="200"/>
        <w:rPr>
          <w:rFonts w:eastAsia="仿宋_GB2312"/>
          <w:snapToGrid w:val="0"/>
          <w:kern w:val="0"/>
          <w:sz w:val="28"/>
          <w:szCs w:val="28"/>
        </w:rPr>
      </w:pPr>
      <w:r>
        <w:rPr>
          <w:rFonts w:eastAsia="仿宋_GB2312"/>
          <w:snapToGrid w:val="0"/>
          <w:kern w:val="0"/>
          <w:sz w:val="28"/>
          <w:szCs w:val="28"/>
        </w:rPr>
        <w:t>（4）固体废物</w:t>
      </w:r>
    </w:p>
    <w:p>
      <w:pPr>
        <w:spacing w:line="500" w:lineRule="exact"/>
        <w:ind w:firstLine="560" w:firstLineChars="200"/>
        <w:rPr>
          <w:rFonts w:eastAsia="仿宋_GB2312"/>
          <w:kern w:val="44"/>
          <w:sz w:val="28"/>
          <w:szCs w:val="28"/>
        </w:rPr>
      </w:pPr>
      <w:r>
        <w:rPr>
          <w:rFonts w:eastAsia="仿宋_GB2312"/>
          <w:kern w:val="44"/>
          <w:sz w:val="28"/>
          <w:szCs w:val="28"/>
        </w:rPr>
        <w:t>本项目产生的</w:t>
      </w:r>
      <w:r>
        <w:rPr>
          <w:rFonts w:hint="eastAsia" w:eastAsia="仿宋_GB2312"/>
          <w:kern w:val="44"/>
          <w:sz w:val="28"/>
          <w:szCs w:val="28"/>
        </w:rPr>
        <w:t>生活垃圾</w:t>
      </w:r>
      <w:r>
        <w:rPr>
          <w:rFonts w:eastAsia="仿宋_GB2312"/>
          <w:kern w:val="44"/>
          <w:sz w:val="28"/>
          <w:szCs w:val="28"/>
        </w:rPr>
        <w:t>由环卫部门统一收集处理</w:t>
      </w:r>
      <w:r>
        <w:rPr>
          <w:rFonts w:hint="eastAsia" w:eastAsia="仿宋_GB2312"/>
          <w:kern w:val="44"/>
          <w:sz w:val="28"/>
          <w:szCs w:val="28"/>
        </w:rPr>
        <w:t>；废胶带</w:t>
      </w:r>
      <w:r>
        <w:rPr>
          <w:rFonts w:eastAsia="仿宋_GB2312"/>
          <w:kern w:val="44"/>
          <w:sz w:val="28"/>
          <w:szCs w:val="28"/>
        </w:rPr>
        <w:t>外售综合利用</w:t>
      </w:r>
      <w:r>
        <w:rPr>
          <w:rFonts w:hint="eastAsia" w:eastAsia="仿宋_GB2312"/>
          <w:kern w:val="44"/>
          <w:sz w:val="28"/>
          <w:szCs w:val="28"/>
        </w:rPr>
        <w:t>；废胶水、废机油、废抹布手套、废清洗液、废原料桶交由</w:t>
      </w:r>
      <w:r>
        <w:rPr>
          <w:rFonts w:eastAsia="仿宋_GB2312"/>
          <w:kern w:val="44"/>
          <w:sz w:val="28"/>
          <w:szCs w:val="28"/>
        </w:rPr>
        <w:t>有资质单位处置</w:t>
      </w:r>
      <w:r>
        <w:rPr>
          <w:rFonts w:hint="eastAsia" w:eastAsia="仿宋_GB2312"/>
          <w:kern w:val="44"/>
          <w:sz w:val="28"/>
          <w:szCs w:val="28"/>
        </w:rPr>
        <w:t>，</w:t>
      </w:r>
      <w:r>
        <w:rPr>
          <w:rFonts w:eastAsia="仿宋_GB2312"/>
          <w:kern w:val="44"/>
          <w:sz w:val="28"/>
          <w:szCs w:val="28"/>
        </w:rPr>
        <w:t>本项目固体废物处置率100%</w:t>
      </w:r>
      <w:r>
        <w:rPr>
          <w:rFonts w:hint="eastAsia" w:eastAsia="仿宋_GB2312"/>
          <w:kern w:val="44"/>
          <w:sz w:val="28"/>
          <w:szCs w:val="28"/>
        </w:rPr>
        <w:t>。</w:t>
      </w:r>
    </w:p>
    <w:p>
      <w:pPr>
        <w:pStyle w:val="3"/>
        <w:spacing w:before="120" w:after="120"/>
      </w:pPr>
      <w:bookmarkStart w:id="510" w:name="_Toc140565297"/>
      <w:r>
        <w:t>主要环境影响</w:t>
      </w:r>
      <w:bookmarkEnd w:id="510"/>
    </w:p>
    <w:p>
      <w:pPr>
        <w:autoSpaceDE w:val="0"/>
        <w:autoSpaceDN w:val="0"/>
        <w:spacing w:line="480" w:lineRule="exact"/>
        <w:ind w:firstLine="560" w:firstLineChars="200"/>
        <w:rPr>
          <w:rFonts w:eastAsia="仿宋_GB2312"/>
          <w:snapToGrid w:val="0"/>
          <w:kern w:val="0"/>
          <w:sz w:val="28"/>
          <w:szCs w:val="28"/>
        </w:rPr>
      </w:pPr>
      <w:r>
        <w:rPr>
          <w:rFonts w:eastAsia="仿宋_GB2312"/>
          <w:snapToGrid w:val="0"/>
          <w:kern w:val="0"/>
          <w:sz w:val="28"/>
          <w:szCs w:val="28"/>
        </w:rPr>
        <w:t>（1）大气环境影响分析</w:t>
      </w:r>
    </w:p>
    <w:p>
      <w:pPr>
        <w:autoSpaceDE w:val="0"/>
        <w:autoSpaceDN w:val="0"/>
        <w:spacing w:line="480" w:lineRule="exact"/>
        <w:ind w:firstLine="560" w:firstLineChars="200"/>
        <w:rPr>
          <w:rFonts w:eastAsia="仿宋_GB2312"/>
          <w:snapToGrid w:val="0"/>
          <w:kern w:val="0"/>
          <w:sz w:val="28"/>
          <w:szCs w:val="28"/>
        </w:rPr>
      </w:pPr>
      <w:r>
        <w:rPr>
          <w:rFonts w:eastAsia="仿宋_GB2312"/>
          <w:sz w:val="28"/>
          <w:szCs w:val="28"/>
        </w:rPr>
        <w:t>根据大气环境影响分析，项目有组织排放的大气污染物对周围环境的影响较小，周围环境基本能够维持现状，满足相关标准和计算标准值。</w:t>
      </w:r>
    </w:p>
    <w:p>
      <w:pPr>
        <w:autoSpaceDE w:val="0"/>
        <w:autoSpaceDN w:val="0"/>
        <w:spacing w:line="480" w:lineRule="exact"/>
        <w:ind w:firstLine="560" w:firstLineChars="200"/>
        <w:rPr>
          <w:rFonts w:eastAsia="仿宋_GB2312"/>
          <w:snapToGrid w:val="0"/>
          <w:kern w:val="0"/>
          <w:sz w:val="28"/>
          <w:szCs w:val="28"/>
        </w:rPr>
      </w:pPr>
      <w:r>
        <w:rPr>
          <w:rFonts w:eastAsia="仿宋_GB2312"/>
          <w:snapToGrid w:val="0"/>
          <w:kern w:val="0"/>
          <w:sz w:val="28"/>
          <w:szCs w:val="28"/>
        </w:rPr>
        <w:t>（2）地表水环境影响分析</w:t>
      </w:r>
    </w:p>
    <w:p>
      <w:pPr>
        <w:spacing w:line="500" w:lineRule="exact"/>
        <w:ind w:firstLine="560" w:firstLineChars="200"/>
        <w:rPr>
          <w:rFonts w:eastAsia="仿宋_GB2312"/>
          <w:sz w:val="28"/>
          <w:szCs w:val="28"/>
        </w:rPr>
      </w:pPr>
      <w:r>
        <w:rPr>
          <w:rFonts w:hint="eastAsia" w:eastAsia="仿宋_GB2312"/>
          <w:sz w:val="28"/>
          <w:szCs w:val="28"/>
        </w:rPr>
        <w:t>本项目生活废水经厂区化粪池</w:t>
      </w:r>
      <w:r>
        <w:rPr>
          <w:rFonts w:eastAsia="仿宋_GB2312"/>
          <w:sz w:val="28"/>
          <w:szCs w:val="28"/>
        </w:rPr>
        <w:t>处理</w:t>
      </w:r>
      <w:r>
        <w:rPr>
          <w:rFonts w:hint="eastAsia" w:eastAsia="仿宋_GB2312"/>
          <w:sz w:val="28"/>
          <w:szCs w:val="28"/>
        </w:rPr>
        <w:t>后经</w:t>
      </w:r>
      <w:r>
        <w:rPr>
          <w:rFonts w:eastAsia="仿宋_GB2312"/>
          <w:sz w:val="28"/>
          <w:szCs w:val="28"/>
        </w:rPr>
        <w:t>厂区</w:t>
      </w:r>
      <w:r>
        <w:rPr>
          <w:rFonts w:hint="eastAsia" w:eastAsia="仿宋_GB2312"/>
          <w:sz w:val="28"/>
          <w:szCs w:val="28"/>
        </w:rPr>
        <w:t>污水管网接入市政污水管网进金坛第二污水处理厂集中处理，故本项目所排放污水对项目附近地表水水体无直接影响。</w:t>
      </w:r>
    </w:p>
    <w:p>
      <w:pPr>
        <w:autoSpaceDE w:val="0"/>
        <w:autoSpaceDN w:val="0"/>
        <w:spacing w:line="480" w:lineRule="exact"/>
        <w:ind w:firstLine="560" w:firstLineChars="200"/>
        <w:rPr>
          <w:rFonts w:eastAsia="仿宋_GB2312"/>
          <w:snapToGrid w:val="0"/>
          <w:kern w:val="0"/>
          <w:sz w:val="28"/>
          <w:szCs w:val="28"/>
        </w:rPr>
      </w:pPr>
      <w:r>
        <w:rPr>
          <w:rFonts w:eastAsia="仿宋_GB2312"/>
          <w:snapToGrid w:val="0"/>
          <w:kern w:val="0"/>
          <w:sz w:val="28"/>
          <w:szCs w:val="28"/>
        </w:rPr>
        <w:t>（3）噪声环境影响分析</w:t>
      </w:r>
    </w:p>
    <w:p>
      <w:pPr>
        <w:autoSpaceDE w:val="0"/>
        <w:autoSpaceDN w:val="0"/>
        <w:spacing w:line="480" w:lineRule="exact"/>
        <w:ind w:firstLine="560" w:firstLineChars="200"/>
        <w:rPr>
          <w:rFonts w:eastAsia="仿宋_GB2312"/>
          <w:sz w:val="28"/>
          <w:szCs w:val="28"/>
        </w:rPr>
      </w:pPr>
      <w:r>
        <w:rPr>
          <w:rFonts w:eastAsia="仿宋_GB2312"/>
          <w:sz w:val="28"/>
          <w:szCs w:val="28"/>
        </w:rPr>
        <w:t>本项目噪声经过预测，</w:t>
      </w:r>
      <w:r>
        <w:rPr>
          <w:rFonts w:hint="eastAsia" w:eastAsia="仿宋_GB2312"/>
          <w:spacing w:val="8"/>
          <w:sz w:val="28"/>
          <w:szCs w:val="28"/>
        </w:rPr>
        <w:t>东、西、北</w:t>
      </w:r>
      <w:r>
        <w:rPr>
          <w:rFonts w:eastAsia="仿宋_GB2312"/>
          <w:spacing w:val="8"/>
          <w:sz w:val="28"/>
          <w:szCs w:val="28"/>
        </w:rPr>
        <w:t>厂界</w:t>
      </w:r>
      <w:r>
        <w:rPr>
          <w:rFonts w:eastAsia="仿宋_GB2312"/>
          <w:sz w:val="28"/>
        </w:rPr>
        <w:t>昼、夜间噪声预测值均符合《</w:t>
      </w:r>
      <w:r>
        <w:rPr>
          <w:rFonts w:eastAsia="仿宋_GB2312"/>
          <w:sz w:val="28"/>
          <w:szCs w:val="28"/>
        </w:rPr>
        <w:t>工业企业厂界环境噪声排放标准》（GB12348-2008）中3类标准</w:t>
      </w:r>
      <w:r>
        <w:rPr>
          <w:rFonts w:hint="eastAsia" w:eastAsia="仿宋_GB2312"/>
          <w:sz w:val="28"/>
          <w:szCs w:val="28"/>
        </w:rPr>
        <w:t>，南厂界符合</w:t>
      </w:r>
      <w:r>
        <w:rPr>
          <w:rFonts w:eastAsia="仿宋_GB2312"/>
          <w:sz w:val="28"/>
          <w:szCs w:val="28"/>
        </w:rPr>
        <w:t>4</w:t>
      </w:r>
      <w:r>
        <w:rPr>
          <w:rFonts w:hint="eastAsia" w:eastAsia="仿宋_GB2312"/>
          <w:sz w:val="28"/>
          <w:szCs w:val="28"/>
        </w:rPr>
        <w:t>类标准</w:t>
      </w:r>
      <w:r>
        <w:rPr>
          <w:rFonts w:eastAsia="仿宋_GB2312"/>
          <w:snapToGrid w:val="0"/>
          <w:kern w:val="0"/>
          <w:sz w:val="28"/>
          <w:szCs w:val="28"/>
        </w:rPr>
        <w:t>。</w:t>
      </w:r>
    </w:p>
    <w:p>
      <w:pPr>
        <w:autoSpaceDE w:val="0"/>
        <w:autoSpaceDN w:val="0"/>
        <w:spacing w:line="480" w:lineRule="exact"/>
        <w:ind w:firstLine="560" w:firstLineChars="200"/>
        <w:rPr>
          <w:rFonts w:eastAsia="仿宋_GB2312"/>
          <w:snapToGrid w:val="0"/>
          <w:kern w:val="0"/>
          <w:sz w:val="28"/>
          <w:szCs w:val="28"/>
        </w:rPr>
      </w:pPr>
      <w:r>
        <w:rPr>
          <w:rFonts w:eastAsia="仿宋_GB2312"/>
          <w:snapToGrid w:val="0"/>
          <w:kern w:val="0"/>
          <w:sz w:val="28"/>
          <w:szCs w:val="28"/>
        </w:rPr>
        <w:t>（4）固体废物环境影响分析</w:t>
      </w:r>
    </w:p>
    <w:p>
      <w:pPr>
        <w:spacing w:line="480" w:lineRule="exact"/>
        <w:ind w:firstLine="555"/>
        <w:rPr>
          <w:rFonts w:eastAsia="仿宋_GB2312"/>
          <w:sz w:val="28"/>
          <w:szCs w:val="20"/>
        </w:rPr>
      </w:pPr>
      <w:r>
        <w:rPr>
          <w:rFonts w:eastAsia="仿宋_GB2312"/>
          <w:sz w:val="28"/>
          <w:szCs w:val="20"/>
        </w:rPr>
        <w:t>本项目产生的固废处理处置率100%，不会对周围环境产生二次影响。</w:t>
      </w:r>
    </w:p>
    <w:p>
      <w:pPr>
        <w:spacing w:line="480" w:lineRule="exact"/>
        <w:ind w:firstLine="555"/>
        <w:rPr>
          <w:rFonts w:eastAsia="仿宋_GB2312"/>
          <w:snapToGrid w:val="0"/>
          <w:kern w:val="0"/>
          <w:sz w:val="28"/>
          <w:szCs w:val="28"/>
        </w:rPr>
      </w:pPr>
      <w:r>
        <w:rPr>
          <w:rFonts w:eastAsia="仿宋_GB2312"/>
          <w:snapToGrid w:val="0"/>
          <w:kern w:val="0"/>
          <w:sz w:val="28"/>
          <w:szCs w:val="28"/>
        </w:rPr>
        <w:t>（5）土壤和地下水环境影响分析</w:t>
      </w:r>
    </w:p>
    <w:p>
      <w:pPr>
        <w:spacing w:line="480" w:lineRule="exact"/>
        <w:ind w:firstLine="555"/>
        <w:rPr>
          <w:rFonts w:eastAsia="仿宋_GB2312"/>
          <w:snapToGrid w:val="0"/>
          <w:kern w:val="0"/>
          <w:sz w:val="28"/>
          <w:szCs w:val="28"/>
        </w:rPr>
      </w:pPr>
      <w:r>
        <w:rPr>
          <w:rFonts w:eastAsia="仿宋_GB2312"/>
          <w:sz w:val="28"/>
          <w:szCs w:val="28"/>
        </w:rPr>
        <w:t>在建设项目施工质量保证较好、运营过程中各项措施充分落实，污染防渗措施有效情况下（正常工况下），建设项目对区域地下水质不产生影响。项目所在地周边无地下水饮用水源，环境保护目标在污染物最大迁移距离之外，不会受本项目的影响。结合有效监测、防治措施的运行，项目所在地废水对地下水环境的影响基本可控。</w:t>
      </w:r>
    </w:p>
    <w:p>
      <w:pPr>
        <w:pStyle w:val="3"/>
        <w:spacing w:before="120" w:after="120"/>
      </w:pPr>
      <w:bookmarkStart w:id="511" w:name="_Toc140565298"/>
      <w:r>
        <w:t>公众意见采纳情况</w:t>
      </w:r>
      <w:bookmarkEnd w:id="511"/>
    </w:p>
    <w:p>
      <w:pPr>
        <w:spacing w:line="500" w:lineRule="exact"/>
        <w:ind w:firstLine="561"/>
        <w:rPr>
          <w:rFonts w:eastAsia="仿宋_GB2312"/>
          <w:sz w:val="28"/>
          <w:szCs w:val="28"/>
        </w:rPr>
      </w:pPr>
      <w:r>
        <w:rPr>
          <w:rFonts w:eastAsia="仿宋_GB2312"/>
          <w:sz w:val="28"/>
          <w:szCs w:val="28"/>
        </w:rPr>
        <w:t>按照《环境影响评价公众参与办法》的规定，本次公众参与以公开公正为原则，公众参与的形式主要有网上公示、发放公众参与调查表</w:t>
      </w:r>
      <w:r>
        <w:rPr>
          <w:rFonts w:hint="eastAsia" w:eastAsia="仿宋_GB2312"/>
          <w:sz w:val="28"/>
          <w:szCs w:val="28"/>
        </w:rPr>
        <w:t>、</w:t>
      </w:r>
      <w:r>
        <w:rPr>
          <w:rFonts w:eastAsia="仿宋_GB2312"/>
          <w:sz w:val="28"/>
          <w:szCs w:val="28"/>
        </w:rPr>
        <w:t>报纸公示。</w:t>
      </w:r>
    </w:p>
    <w:p>
      <w:pPr>
        <w:spacing w:line="500" w:lineRule="exact"/>
        <w:ind w:firstLine="561"/>
        <w:rPr>
          <w:rFonts w:eastAsia="仿宋_GB2312"/>
          <w:sz w:val="28"/>
          <w:szCs w:val="28"/>
        </w:rPr>
      </w:pPr>
      <w:r>
        <w:rPr>
          <w:rFonts w:eastAsia="仿宋_GB2312"/>
          <w:sz w:val="28"/>
          <w:szCs w:val="28"/>
        </w:rPr>
        <w:t>公示期间无反馈意见，企业应按相关环保法律法规办理环保手续，做好环保工作；“三废”治理达标排放，减少对周围环境的污染，做到厂界无异味；严格执行环保“三同时”制度，接受公众的监督。</w:t>
      </w:r>
    </w:p>
    <w:p>
      <w:pPr>
        <w:pStyle w:val="3"/>
        <w:spacing w:before="120" w:after="120"/>
      </w:pPr>
      <w:bookmarkStart w:id="512" w:name="_Toc140565299"/>
      <w:r>
        <w:t>环境保护措施</w:t>
      </w:r>
      <w:bookmarkEnd w:id="512"/>
    </w:p>
    <w:p>
      <w:pPr>
        <w:spacing w:line="500" w:lineRule="exact"/>
        <w:ind w:firstLine="561"/>
        <w:rPr>
          <w:rFonts w:eastAsia="仿宋_GB2312"/>
          <w:snapToGrid w:val="0"/>
          <w:kern w:val="0"/>
          <w:sz w:val="28"/>
          <w:szCs w:val="28"/>
        </w:rPr>
      </w:pPr>
      <w:r>
        <w:rPr>
          <w:rFonts w:hint="eastAsia" w:eastAsia="仿宋_GB2312"/>
          <w:snapToGrid w:val="0"/>
          <w:kern w:val="0"/>
          <w:sz w:val="28"/>
          <w:szCs w:val="28"/>
        </w:rPr>
        <w:t>一、</w:t>
      </w:r>
      <w:r>
        <w:rPr>
          <w:rFonts w:eastAsia="仿宋_GB2312"/>
          <w:snapToGrid w:val="0"/>
          <w:kern w:val="0"/>
          <w:sz w:val="28"/>
          <w:szCs w:val="28"/>
        </w:rPr>
        <w:t>废气</w:t>
      </w:r>
    </w:p>
    <w:p>
      <w:pPr>
        <w:spacing w:line="500" w:lineRule="exact"/>
        <w:ind w:firstLine="561"/>
        <w:rPr>
          <w:rFonts w:eastAsia="仿宋_GB2312"/>
          <w:snapToGrid w:val="0"/>
          <w:kern w:val="0"/>
          <w:sz w:val="28"/>
          <w:szCs w:val="28"/>
        </w:rPr>
      </w:pPr>
      <w:r>
        <w:rPr>
          <w:rFonts w:hint="eastAsia" w:eastAsia="仿宋_GB2312"/>
          <w:snapToGrid w:val="0"/>
          <w:kern w:val="0"/>
          <w:sz w:val="28"/>
          <w:szCs w:val="28"/>
        </w:rPr>
        <w:t>（1）有组织废气</w:t>
      </w:r>
    </w:p>
    <w:p>
      <w:pPr>
        <w:spacing w:line="500" w:lineRule="exact"/>
        <w:ind w:firstLine="560" w:firstLineChars="200"/>
        <w:rPr>
          <w:rFonts w:eastAsia="仿宋_GB2312"/>
          <w:sz w:val="28"/>
          <w:szCs w:val="28"/>
        </w:rPr>
      </w:pPr>
      <w:r>
        <w:rPr>
          <w:rFonts w:hint="eastAsia" w:eastAsia="仿宋_GB2312"/>
          <w:sz w:val="28"/>
          <w:szCs w:val="28"/>
        </w:rPr>
        <w:t>车间一：配胶废气G1、涂布干燥废气G2、清洗废气G3在</w:t>
      </w:r>
      <w:r>
        <w:rPr>
          <w:rFonts w:eastAsia="仿宋_GB2312"/>
          <w:sz w:val="28"/>
          <w:szCs w:val="28"/>
        </w:rPr>
        <w:t>密闭房内</w:t>
      </w:r>
      <w:r>
        <w:rPr>
          <w:rFonts w:hint="eastAsia" w:eastAsia="仿宋_GB2312"/>
          <w:sz w:val="28"/>
          <w:szCs w:val="28"/>
        </w:rPr>
        <w:t>由</w:t>
      </w:r>
      <w:r>
        <w:rPr>
          <w:rFonts w:eastAsia="仿宋_GB2312"/>
          <w:sz w:val="28"/>
          <w:szCs w:val="28"/>
        </w:rPr>
        <w:t>设备负压</w:t>
      </w:r>
      <w:r>
        <w:rPr>
          <w:rFonts w:hint="eastAsia" w:eastAsia="仿宋_GB2312"/>
          <w:sz w:val="28"/>
          <w:szCs w:val="28"/>
        </w:rPr>
        <w:t>收集</w:t>
      </w:r>
      <w:r>
        <w:rPr>
          <w:rFonts w:eastAsia="仿宋_GB2312"/>
          <w:sz w:val="28"/>
          <w:szCs w:val="28"/>
        </w:rPr>
        <w:t>一并</w:t>
      </w:r>
      <w:r>
        <w:rPr>
          <w:rFonts w:hint="eastAsia" w:eastAsia="仿宋_GB2312"/>
          <w:sz w:val="28"/>
          <w:szCs w:val="28"/>
        </w:rPr>
        <w:t>进入RTO废气</w:t>
      </w:r>
      <w:r>
        <w:rPr>
          <w:rFonts w:eastAsia="仿宋_GB2312"/>
          <w:sz w:val="28"/>
          <w:szCs w:val="28"/>
        </w:rPr>
        <w:t>处理装置处理</w:t>
      </w:r>
      <w:r>
        <w:rPr>
          <w:rFonts w:hint="eastAsia" w:eastAsia="仿宋_GB2312"/>
          <w:sz w:val="28"/>
          <w:szCs w:val="28"/>
        </w:rPr>
        <w:t>，各工段废气经密闭支管收集汇入主管，保持负压，确保废气有效收集，捕集效率99</w:t>
      </w:r>
      <w:r>
        <w:rPr>
          <w:rFonts w:eastAsia="仿宋_GB2312"/>
          <w:sz w:val="28"/>
          <w:szCs w:val="28"/>
        </w:rPr>
        <w:t>.5</w:t>
      </w:r>
      <w:r>
        <w:rPr>
          <w:rFonts w:hint="eastAsia" w:eastAsia="仿宋_GB2312"/>
          <w:sz w:val="28"/>
          <w:szCs w:val="28"/>
        </w:rPr>
        <w:t>%，处理后通过</w:t>
      </w:r>
      <w:r>
        <w:rPr>
          <w:rFonts w:eastAsia="仿宋_GB2312"/>
          <w:sz w:val="28"/>
          <w:szCs w:val="28"/>
        </w:rPr>
        <w:t>一根</w:t>
      </w:r>
      <w:r>
        <w:rPr>
          <w:rFonts w:hint="eastAsia" w:eastAsia="仿宋_GB2312"/>
          <w:sz w:val="28"/>
          <w:szCs w:val="28"/>
        </w:rPr>
        <w:t>15米</w:t>
      </w:r>
      <w:r>
        <w:rPr>
          <w:rFonts w:eastAsia="仿宋_GB2312"/>
          <w:sz w:val="28"/>
          <w:szCs w:val="28"/>
        </w:rPr>
        <w:t>排气筒（</w:t>
      </w:r>
      <w:r>
        <w:rPr>
          <w:rFonts w:hint="eastAsia" w:eastAsia="仿宋_GB2312"/>
          <w:sz w:val="28"/>
          <w:szCs w:val="28"/>
        </w:rPr>
        <w:t>1</w:t>
      </w:r>
      <w:r>
        <w:rPr>
          <w:rFonts w:eastAsia="仿宋_GB2312"/>
          <w:sz w:val="28"/>
          <w:szCs w:val="28"/>
        </w:rPr>
        <w:t>#）</w:t>
      </w:r>
      <w:r>
        <w:rPr>
          <w:rFonts w:hint="eastAsia" w:eastAsia="仿宋_GB2312"/>
          <w:sz w:val="28"/>
          <w:szCs w:val="28"/>
        </w:rPr>
        <w:t>外排，</w:t>
      </w:r>
      <w:r>
        <w:rPr>
          <w:rFonts w:eastAsia="仿宋_GB2312"/>
          <w:sz w:val="28"/>
          <w:szCs w:val="28"/>
        </w:rPr>
        <w:t>系统风量</w:t>
      </w:r>
      <w:r>
        <w:rPr>
          <w:rFonts w:hint="eastAsia" w:eastAsia="仿宋_GB2312"/>
          <w:sz w:val="28"/>
          <w:szCs w:val="28"/>
        </w:rPr>
        <w:t>为50</w:t>
      </w:r>
      <w:r>
        <w:rPr>
          <w:rFonts w:eastAsia="仿宋_GB2312"/>
          <w:sz w:val="28"/>
          <w:szCs w:val="28"/>
        </w:rPr>
        <w:t>000m</w:t>
      </w:r>
      <w:r>
        <w:rPr>
          <w:rFonts w:eastAsia="仿宋_GB2312"/>
          <w:sz w:val="28"/>
          <w:szCs w:val="28"/>
          <w:vertAlign w:val="superscript"/>
        </w:rPr>
        <w:t>3</w:t>
      </w:r>
      <w:r>
        <w:rPr>
          <w:rFonts w:eastAsia="仿宋_GB2312"/>
          <w:sz w:val="28"/>
          <w:szCs w:val="28"/>
        </w:rPr>
        <w:t>/h</w:t>
      </w:r>
      <w:r>
        <w:rPr>
          <w:rFonts w:hint="eastAsia" w:eastAsia="仿宋_GB2312"/>
          <w:sz w:val="28"/>
          <w:szCs w:val="28"/>
        </w:rPr>
        <w:t>。</w:t>
      </w:r>
    </w:p>
    <w:p>
      <w:pPr>
        <w:spacing w:line="500" w:lineRule="exact"/>
        <w:ind w:firstLine="560" w:firstLineChars="200"/>
        <w:rPr>
          <w:rFonts w:eastAsia="仿宋_GB2312"/>
          <w:snapToGrid w:val="0"/>
          <w:kern w:val="0"/>
          <w:sz w:val="28"/>
          <w:szCs w:val="28"/>
        </w:rPr>
      </w:pPr>
      <w:r>
        <w:rPr>
          <w:rFonts w:hint="eastAsia" w:eastAsia="仿宋_GB2312"/>
          <w:sz w:val="28"/>
          <w:szCs w:val="28"/>
        </w:rPr>
        <w:t>危废仓库废气通过集气罩收集后进两级活性炭吸附装置处理后通过</w:t>
      </w:r>
      <w:r>
        <w:rPr>
          <w:rFonts w:eastAsia="仿宋_GB2312"/>
          <w:sz w:val="28"/>
          <w:szCs w:val="28"/>
        </w:rPr>
        <w:t>一根</w:t>
      </w:r>
      <w:r>
        <w:rPr>
          <w:rFonts w:hint="eastAsia" w:eastAsia="仿宋_GB2312"/>
          <w:sz w:val="28"/>
          <w:szCs w:val="28"/>
        </w:rPr>
        <w:t>15米</w:t>
      </w:r>
      <w:r>
        <w:rPr>
          <w:rFonts w:eastAsia="仿宋_GB2312"/>
          <w:sz w:val="28"/>
          <w:szCs w:val="28"/>
        </w:rPr>
        <w:t>排气筒（</w:t>
      </w:r>
      <w:r>
        <w:rPr>
          <w:rFonts w:hint="eastAsia" w:eastAsia="仿宋_GB2312"/>
          <w:sz w:val="28"/>
          <w:szCs w:val="28"/>
        </w:rPr>
        <w:t>2</w:t>
      </w:r>
      <w:r>
        <w:rPr>
          <w:rFonts w:eastAsia="仿宋_GB2312"/>
          <w:sz w:val="28"/>
          <w:szCs w:val="28"/>
        </w:rPr>
        <w:t>#）</w:t>
      </w:r>
      <w:r>
        <w:rPr>
          <w:rFonts w:hint="eastAsia" w:eastAsia="仿宋_GB2312"/>
          <w:sz w:val="28"/>
          <w:szCs w:val="28"/>
        </w:rPr>
        <w:t>外排，</w:t>
      </w:r>
      <w:r>
        <w:rPr>
          <w:rFonts w:eastAsia="仿宋_GB2312"/>
          <w:sz w:val="28"/>
          <w:szCs w:val="28"/>
        </w:rPr>
        <w:t>系统风量</w:t>
      </w:r>
      <w:r>
        <w:rPr>
          <w:rFonts w:hint="eastAsia" w:eastAsia="仿宋_GB2312"/>
          <w:sz w:val="28"/>
          <w:szCs w:val="28"/>
        </w:rPr>
        <w:t>为2</w:t>
      </w:r>
      <w:r>
        <w:rPr>
          <w:rFonts w:eastAsia="仿宋_GB2312"/>
          <w:sz w:val="28"/>
          <w:szCs w:val="28"/>
        </w:rPr>
        <w:t>000m</w:t>
      </w:r>
      <w:r>
        <w:rPr>
          <w:rFonts w:eastAsia="仿宋_GB2312"/>
          <w:sz w:val="28"/>
          <w:szCs w:val="28"/>
          <w:vertAlign w:val="superscript"/>
        </w:rPr>
        <w:t>3</w:t>
      </w:r>
      <w:r>
        <w:rPr>
          <w:rFonts w:eastAsia="仿宋_GB2312"/>
          <w:sz w:val="28"/>
          <w:szCs w:val="28"/>
        </w:rPr>
        <w:t>/h</w:t>
      </w:r>
      <w:r>
        <w:rPr>
          <w:rFonts w:hint="eastAsia" w:eastAsia="仿宋_GB2312"/>
          <w:sz w:val="28"/>
          <w:szCs w:val="28"/>
        </w:rPr>
        <w:t>。</w:t>
      </w:r>
    </w:p>
    <w:p>
      <w:pPr>
        <w:spacing w:line="500" w:lineRule="exact"/>
        <w:ind w:firstLine="561"/>
        <w:rPr>
          <w:rFonts w:eastAsia="仿宋_GB2312"/>
          <w:snapToGrid w:val="0"/>
          <w:kern w:val="0"/>
          <w:sz w:val="28"/>
          <w:szCs w:val="28"/>
        </w:rPr>
      </w:pPr>
      <w:r>
        <w:rPr>
          <w:rFonts w:hint="eastAsia" w:eastAsia="仿宋_GB2312"/>
          <w:snapToGrid w:val="0"/>
          <w:kern w:val="0"/>
          <w:sz w:val="28"/>
          <w:szCs w:val="28"/>
        </w:rPr>
        <w:t>（2）无组织废气</w:t>
      </w:r>
    </w:p>
    <w:p>
      <w:pPr>
        <w:adjustRightInd w:val="0"/>
        <w:snapToGrid w:val="0"/>
        <w:spacing w:line="500" w:lineRule="exact"/>
        <w:ind w:firstLine="560" w:firstLineChars="200"/>
        <w:rPr>
          <w:rFonts w:eastAsia="仿宋_GB2312"/>
          <w:sz w:val="28"/>
          <w:szCs w:val="28"/>
        </w:rPr>
      </w:pPr>
      <w:r>
        <w:rPr>
          <w:rFonts w:hint="eastAsia" w:eastAsia="仿宋_GB2312"/>
          <w:sz w:val="28"/>
          <w:szCs w:val="28"/>
        </w:rPr>
        <w:t>本项目</w:t>
      </w:r>
      <w:r>
        <w:rPr>
          <w:rFonts w:eastAsia="仿宋_GB2312"/>
          <w:sz w:val="28"/>
          <w:szCs w:val="28"/>
        </w:rPr>
        <w:t>无组织废气</w:t>
      </w:r>
      <w:r>
        <w:rPr>
          <w:rFonts w:hint="eastAsia" w:eastAsia="仿宋_GB2312"/>
          <w:sz w:val="28"/>
          <w:szCs w:val="28"/>
        </w:rPr>
        <w:t>主要</w:t>
      </w:r>
      <w:r>
        <w:rPr>
          <w:rFonts w:eastAsia="仿宋_GB2312"/>
          <w:sz w:val="28"/>
          <w:szCs w:val="28"/>
        </w:rPr>
        <w:t>为</w:t>
      </w:r>
      <w:r>
        <w:rPr>
          <w:rFonts w:hint="eastAsia" w:eastAsia="仿宋_GB2312"/>
          <w:sz w:val="28"/>
          <w:szCs w:val="28"/>
        </w:rPr>
        <w:t>车间</w:t>
      </w:r>
      <w:r>
        <w:rPr>
          <w:rFonts w:eastAsia="仿宋_GB2312"/>
          <w:sz w:val="28"/>
          <w:szCs w:val="28"/>
        </w:rPr>
        <w:t>一</w:t>
      </w:r>
      <w:r>
        <w:rPr>
          <w:rFonts w:hint="eastAsia" w:eastAsia="仿宋_GB2312"/>
          <w:sz w:val="28"/>
          <w:szCs w:val="28"/>
        </w:rPr>
        <w:t>未</w:t>
      </w:r>
      <w:r>
        <w:rPr>
          <w:rFonts w:eastAsia="仿宋_GB2312"/>
          <w:sz w:val="28"/>
          <w:szCs w:val="28"/>
        </w:rPr>
        <w:t>捕集到的工艺废气</w:t>
      </w:r>
      <w:r>
        <w:rPr>
          <w:rFonts w:hint="eastAsia" w:eastAsia="仿宋_GB2312"/>
          <w:sz w:val="28"/>
          <w:szCs w:val="28"/>
        </w:rPr>
        <w:t>，</w:t>
      </w:r>
      <w:r>
        <w:rPr>
          <w:rFonts w:eastAsia="仿宋_GB2312"/>
          <w:sz w:val="28"/>
          <w:szCs w:val="28"/>
        </w:rPr>
        <w:t>即</w:t>
      </w:r>
      <w:r>
        <w:rPr>
          <w:rFonts w:hint="eastAsia" w:eastAsia="仿宋_GB2312"/>
          <w:sz w:val="28"/>
          <w:szCs w:val="28"/>
        </w:rPr>
        <w:t>车间配胶废气G1、涂布干燥废气G2、清洗废气G3。</w:t>
      </w:r>
    </w:p>
    <w:p>
      <w:pPr>
        <w:spacing w:line="500" w:lineRule="exact"/>
        <w:ind w:firstLine="560" w:firstLineChars="200"/>
        <w:rPr>
          <w:rFonts w:eastAsia="仿宋_GB2312"/>
          <w:sz w:val="28"/>
          <w:szCs w:val="28"/>
        </w:rPr>
      </w:pPr>
      <w:r>
        <w:rPr>
          <w:rFonts w:hint="eastAsia" w:eastAsia="仿宋_GB2312"/>
          <w:sz w:val="28"/>
          <w:szCs w:val="28"/>
        </w:rPr>
        <w:t>为进一步减少无组织废气的排放，采取如下措施：</w:t>
      </w:r>
    </w:p>
    <w:p>
      <w:pPr>
        <w:spacing w:line="500" w:lineRule="exact"/>
        <w:ind w:firstLine="560" w:firstLineChars="200"/>
        <w:rPr>
          <w:rFonts w:eastAsia="仿宋_GB2312"/>
          <w:sz w:val="28"/>
          <w:szCs w:val="28"/>
        </w:rPr>
      </w:pPr>
      <w:r>
        <w:rPr>
          <w:rFonts w:hint="eastAsia" w:eastAsia="仿宋_GB2312"/>
          <w:sz w:val="28"/>
          <w:szCs w:val="28"/>
        </w:rPr>
        <w:t>(</w:t>
      </w:r>
      <w:r>
        <w:rPr>
          <w:rFonts w:eastAsia="仿宋_GB2312"/>
          <w:sz w:val="28"/>
          <w:szCs w:val="28"/>
        </w:rPr>
        <w:t>1)</w:t>
      </w:r>
      <w:r>
        <w:rPr>
          <w:rFonts w:hint="eastAsia" w:eastAsia="仿宋_GB2312"/>
          <w:sz w:val="28"/>
          <w:szCs w:val="28"/>
        </w:rPr>
        <w:t>密闭</w:t>
      </w:r>
      <w:r>
        <w:rPr>
          <w:rFonts w:eastAsia="仿宋_GB2312"/>
          <w:sz w:val="28"/>
          <w:szCs w:val="28"/>
        </w:rPr>
        <w:t>生产空间</w:t>
      </w:r>
      <w:r>
        <w:rPr>
          <w:rFonts w:hint="eastAsia" w:eastAsia="仿宋_GB2312"/>
          <w:sz w:val="28"/>
          <w:szCs w:val="28"/>
        </w:rPr>
        <w:t>严格按照操作规范进行，同时确保密闭</w:t>
      </w:r>
      <w:r>
        <w:rPr>
          <w:rFonts w:eastAsia="仿宋_GB2312"/>
          <w:sz w:val="28"/>
          <w:szCs w:val="28"/>
        </w:rPr>
        <w:t>房间及废气</w:t>
      </w:r>
      <w:r>
        <w:rPr>
          <w:rFonts w:hint="eastAsia" w:eastAsia="仿宋_GB2312"/>
          <w:sz w:val="28"/>
          <w:szCs w:val="28"/>
        </w:rPr>
        <w:t>收集装置的气密性，定期检查排气筒和密闭</w:t>
      </w:r>
      <w:r>
        <w:rPr>
          <w:rFonts w:eastAsia="仿宋_GB2312"/>
          <w:sz w:val="28"/>
          <w:szCs w:val="28"/>
        </w:rPr>
        <w:t>生产空间的</w:t>
      </w:r>
      <w:r>
        <w:rPr>
          <w:rFonts w:hint="eastAsia" w:eastAsia="仿宋_GB2312"/>
          <w:sz w:val="28"/>
          <w:szCs w:val="28"/>
        </w:rPr>
        <w:t>负压值，如有异常，需立即采取措施。</w:t>
      </w:r>
    </w:p>
    <w:p>
      <w:pPr>
        <w:spacing w:line="500" w:lineRule="exact"/>
        <w:ind w:firstLine="560" w:firstLineChars="200"/>
        <w:rPr>
          <w:rFonts w:eastAsia="仿宋_GB2312"/>
          <w:sz w:val="28"/>
          <w:szCs w:val="28"/>
        </w:rPr>
      </w:pPr>
      <w:r>
        <w:rPr>
          <w:rFonts w:hint="eastAsia" w:eastAsia="仿宋_GB2312"/>
          <w:sz w:val="28"/>
          <w:szCs w:val="28"/>
        </w:rPr>
        <w:t>(</w:t>
      </w:r>
      <w:r>
        <w:rPr>
          <w:rFonts w:eastAsia="仿宋_GB2312"/>
          <w:sz w:val="28"/>
          <w:szCs w:val="28"/>
        </w:rPr>
        <w:t>2)</w:t>
      </w:r>
      <w:r>
        <w:rPr>
          <w:rFonts w:hint="eastAsia" w:eastAsia="仿宋_GB2312"/>
          <w:sz w:val="28"/>
          <w:szCs w:val="28"/>
        </w:rPr>
        <w:t>合理布置车间，将产生无组织废气的工序布置在远离厂界的地方，以减少无组织废气对厂界周围环境的影响。</w:t>
      </w:r>
    </w:p>
    <w:p>
      <w:pPr>
        <w:spacing w:line="500" w:lineRule="exact"/>
        <w:ind w:firstLine="560" w:firstLineChars="200"/>
        <w:rPr>
          <w:rFonts w:eastAsia="仿宋_GB2312"/>
          <w:sz w:val="28"/>
          <w:szCs w:val="28"/>
        </w:rPr>
      </w:pPr>
      <w:r>
        <w:rPr>
          <w:rFonts w:hint="eastAsia" w:eastAsia="仿宋_GB2312"/>
          <w:sz w:val="28"/>
          <w:szCs w:val="28"/>
        </w:rPr>
        <w:t>(3)</w:t>
      </w:r>
      <w:r>
        <w:rPr>
          <w:rFonts w:eastAsia="仿宋_GB2312"/>
          <w:sz w:val="28"/>
          <w:szCs w:val="28"/>
        </w:rPr>
        <w:t>原辅料存放于</w:t>
      </w:r>
      <w:r>
        <w:rPr>
          <w:rFonts w:hint="eastAsia" w:eastAsia="仿宋_GB2312"/>
          <w:sz w:val="28"/>
          <w:szCs w:val="28"/>
        </w:rPr>
        <w:t>原料仓库</w:t>
      </w:r>
      <w:r>
        <w:rPr>
          <w:rFonts w:eastAsia="仿宋_GB2312"/>
          <w:sz w:val="28"/>
          <w:szCs w:val="28"/>
        </w:rPr>
        <w:t>内，</w:t>
      </w:r>
      <w:r>
        <w:rPr>
          <w:rFonts w:hint="eastAsia" w:eastAsia="仿宋_GB2312"/>
          <w:sz w:val="28"/>
          <w:szCs w:val="28"/>
        </w:rPr>
        <w:t>容器</w:t>
      </w:r>
      <w:r>
        <w:rPr>
          <w:rFonts w:eastAsia="仿宋_GB2312"/>
          <w:sz w:val="28"/>
          <w:szCs w:val="28"/>
        </w:rPr>
        <w:t>应加盖封口，保持密闭</w:t>
      </w:r>
      <w:r>
        <w:rPr>
          <w:rFonts w:hint="eastAsia" w:eastAsia="仿宋_GB2312"/>
          <w:sz w:val="28"/>
          <w:szCs w:val="28"/>
        </w:rPr>
        <w:t>。</w:t>
      </w:r>
    </w:p>
    <w:p>
      <w:pPr>
        <w:spacing w:line="500" w:lineRule="exact"/>
        <w:ind w:firstLine="560" w:firstLineChars="200"/>
        <w:rPr>
          <w:rFonts w:eastAsia="仿宋_GB2312"/>
          <w:sz w:val="28"/>
          <w:szCs w:val="28"/>
        </w:rPr>
      </w:pPr>
      <w:r>
        <w:rPr>
          <w:rFonts w:hint="eastAsia" w:eastAsia="仿宋_GB2312"/>
          <w:sz w:val="28"/>
          <w:szCs w:val="28"/>
        </w:rPr>
        <w:t>(</w:t>
      </w:r>
      <w:r>
        <w:rPr>
          <w:rFonts w:eastAsia="仿宋_GB2312"/>
          <w:sz w:val="28"/>
          <w:szCs w:val="28"/>
        </w:rPr>
        <w:t>4)</w:t>
      </w:r>
      <w:r>
        <w:rPr>
          <w:rFonts w:hint="eastAsia" w:eastAsia="仿宋_GB2312"/>
          <w:sz w:val="28"/>
          <w:szCs w:val="28"/>
        </w:rPr>
        <w:t>用过</w:t>
      </w:r>
      <w:r>
        <w:rPr>
          <w:rFonts w:eastAsia="仿宋_GB2312"/>
          <w:sz w:val="28"/>
          <w:szCs w:val="28"/>
        </w:rPr>
        <w:t>的原料桶</w:t>
      </w:r>
      <w:r>
        <w:rPr>
          <w:rFonts w:hint="eastAsia" w:eastAsia="仿宋_GB2312"/>
          <w:sz w:val="28"/>
          <w:szCs w:val="28"/>
        </w:rPr>
        <w:t>应立即</w:t>
      </w:r>
      <w:r>
        <w:rPr>
          <w:rFonts w:eastAsia="仿宋_GB2312"/>
          <w:sz w:val="28"/>
          <w:szCs w:val="28"/>
        </w:rPr>
        <w:t>加盖</w:t>
      </w:r>
      <w:r>
        <w:rPr>
          <w:rFonts w:hint="eastAsia" w:eastAsia="仿宋_GB2312"/>
          <w:sz w:val="28"/>
          <w:szCs w:val="28"/>
        </w:rPr>
        <w:t>储存，并立即</w:t>
      </w:r>
      <w:r>
        <w:rPr>
          <w:rFonts w:eastAsia="仿宋_GB2312"/>
          <w:sz w:val="28"/>
          <w:szCs w:val="28"/>
        </w:rPr>
        <w:t>暂存在危废库内。</w:t>
      </w:r>
    </w:p>
    <w:p>
      <w:pPr>
        <w:spacing w:line="500" w:lineRule="exact"/>
        <w:ind w:firstLine="560" w:firstLineChars="200"/>
        <w:rPr>
          <w:rFonts w:eastAsia="仿宋_GB2312"/>
          <w:sz w:val="28"/>
          <w:szCs w:val="28"/>
        </w:rPr>
      </w:pPr>
      <w:r>
        <w:rPr>
          <w:rFonts w:hint="eastAsia" w:eastAsia="仿宋_GB2312"/>
          <w:sz w:val="28"/>
          <w:szCs w:val="28"/>
        </w:rPr>
        <w:t>(</w:t>
      </w:r>
      <w:r>
        <w:rPr>
          <w:rFonts w:eastAsia="仿宋_GB2312"/>
          <w:sz w:val="28"/>
          <w:szCs w:val="28"/>
        </w:rPr>
        <w:t>5)加强厂区和厂界的绿化工作，减少无组织废气对周围环境的影响。</w:t>
      </w:r>
    </w:p>
    <w:p>
      <w:pPr>
        <w:spacing w:line="500" w:lineRule="exact"/>
        <w:ind w:firstLine="560" w:firstLineChars="200"/>
        <w:rPr>
          <w:rFonts w:eastAsia="仿宋_GB2312"/>
          <w:bCs/>
          <w:sz w:val="28"/>
          <w:szCs w:val="28"/>
        </w:rPr>
      </w:pPr>
      <w:r>
        <w:rPr>
          <w:rFonts w:hint="eastAsia" w:eastAsia="仿宋_GB2312"/>
          <w:sz w:val="28"/>
          <w:szCs w:val="28"/>
        </w:rPr>
        <w:t>(</w:t>
      </w:r>
      <w:r>
        <w:rPr>
          <w:rFonts w:eastAsia="仿宋_GB2312"/>
          <w:sz w:val="28"/>
          <w:szCs w:val="28"/>
        </w:rPr>
        <w:t>6)</w:t>
      </w:r>
      <w:r>
        <w:rPr>
          <w:rFonts w:hint="eastAsia" w:eastAsia="仿宋_GB2312"/>
          <w:sz w:val="28"/>
          <w:szCs w:val="28"/>
        </w:rPr>
        <w:t>无组织排放废气均通过车间强制通风，降低生产厂房内污染物浓度。</w:t>
      </w:r>
    </w:p>
    <w:p>
      <w:pPr>
        <w:spacing w:line="500" w:lineRule="exact"/>
        <w:ind w:firstLine="561"/>
        <w:rPr>
          <w:rFonts w:eastAsia="仿宋_GB2312"/>
          <w:snapToGrid w:val="0"/>
          <w:kern w:val="0"/>
          <w:sz w:val="28"/>
          <w:szCs w:val="28"/>
        </w:rPr>
      </w:pPr>
      <w:r>
        <w:rPr>
          <w:rFonts w:hint="eastAsia" w:eastAsia="仿宋_GB2312"/>
          <w:snapToGrid w:val="0"/>
          <w:kern w:val="0"/>
          <w:sz w:val="28"/>
          <w:szCs w:val="28"/>
        </w:rPr>
        <w:t>二</w:t>
      </w:r>
      <w:r>
        <w:rPr>
          <w:rFonts w:eastAsia="仿宋_GB2312"/>
          <w:snapToGrid w:val="0"/>
          <w:kern w:val="0"/>
          <w:sz w:val="28"/>
          <w:szCs w:val="28"/>
        </w:rPr>
        <w:t>、废</w:t>
      </w:r>
      <w:r>
        <w:rPr>
          <w:rFonts w:hint="eastAsia" w:eastAsia="仿宋_GB2312"/>
          <w:snapToGrid w:val="0"/>
          <w:kern w:val="0"/>
          <w:sz w:val="28"/>
          <w:szCs w:val="28"/>
        </w:rPr>
        <w:t>水</w:t>
      </w:r>
    </w:p>
    <w:p>
      <w:pPr>
        <w:spacing w:line="480" w:lineRule="exact"/>
        <w:ind w:firstLine="560" w:firstLineChars="200"/>
        <w:rPr>
          <w:rFonts w:eastAsia="仿宋_GB2312"/>
          <w:sz w:val="28"/>
          <w:szCs w:val="28"/>
        </w:rPr>
      </w:pPr>
      <w:r>
        <w:rPr>
          <w:rFonts w:eastAsia="仿宋_GB2312"/>
          <w:sz w:val="28"/>
          <w:szCs w:val="28"/>
        </w:rPr>
        <w:t>本项目实行雨、污分流原则；雨水</w:t>
      </w:r>
      <w:r>
        <w:rPr>
          <w:rFonts w:hint="eastAsia" w:eastAsia="仿宋_GB2312"/>
          <w:sz w:val="28"/>
          <w:szCs w:val="28"/>
        </w:rPr>
        <w:t>经</w:t>
      </w:r>
      <w:r>
        <w:rPr>
          <w:rFonts w:eastAsia="仿宋_GB2312"/>
          <w:sz w:val="28"/>
          <w:szCs w:val="28"/>
        </w:rPr>
        <w:t>厂区雨水管网，</w:t>
      </w:r>
      <w:r>
        <w:rPr>
          <w:rFonts w:hint="eastAsia" w:eastAsia="仿宋_GB2312"/>
          <w:sz w:val="28"/>
          <w:szCs w:val="28"/>
        </w:rPr>
        <w:t>接入</w:t>
      </w:r>
      <w:r>
        <w:rPr>
          <w:rFonts w:eastAsia="仿宋_GB2312"/>
          <w:sz w:val="28"/>
          <w:szCs w:val="28"/>
        </w:rPr>
        <w:t>市政雨水管道系统排入厂区外附近河道。</w:t>
      </w:r>
    </w:p>
    <w:p>
      <w:pPr>
        <w:spacing w:line="500" w:lineRule="exact"/>
        <w:ind w:firstLine="560" w:firstLineChars="200"/>
        <w:rPr>
          <w:rFonts w:eastAsia="仿宋_GB2312"/>
          <w:sz w:val="28"/>
          <w:szCs w:val="28"/>
        </w:rPr>
      </w:pPr>
      <w:r>
        <w:rPr>
          <w:rFonts w:hint="eastAsia" w:eastAsia="仿宋_GB2312"/>
          <w:sz w:val="28"/>
          <w:szCs w:val="28"/>
        </w:rPr>
        <w:t>本项目生活废水经</w:t>
      </w:r>
      <w:r>
        <w:rPr>
          <w:rFonts w:eastAsia="仿宋_GB2312"/>
          <w:sz w:val="28"/>
          <w:szCs w:val="28"/>
        </w:rPr>
        <w:t>厂区</w:t>
      </w:r>
      <w:r>
        <w:rPr>
          <w:rFonts w:hint="eastAsia" w:eastAsia="仿宋_GB2312"/>
          <w:sz w:val="28"/>
          <w:szCs w:val="28"/>
        </w:rPr>
        <w:t>污水管网接入市政污水管网进金坛第二污水处理厂集中处理，故本项目所排放污水对项目附近地表水水体无直接影响。</w:t>
      </w:r>
    </w:p>
    <w:p>
      <w:pPr>
        <w:spacing w:line="500" w:lineRule="exact"/>
        <w:ind w:firstLine="561"/>
        <w:rPr>
          <w:rFonts w:eastAsia="仿宋_GB2312"/>
          <w:snapToGrid w:val="0"/>
          <w:kern w:val="0"/>
          <w:sz w:val="28"/>
          <w:szCs w:val="28"/>
        </w:rPr>
      </w:pPr>
      <w:r>
        <w:rPr>
          <w:rFonts w:hint="eastAsia" w:eastAsia="仿宋_GB2312"/>
          <w:snapToGrid w:val="0"/>
          <w:kern w:val="0"/>
          <w:sz w:val="28"/>
          <w:szCs w:val="28"/>
        </w:rPr>
        <w:t>三、</w:t>
      </w:r>
      <w:r>
        <w:rPr>
          <w:rFonts w:eastAsia="仿宋_GB2312"/>
          <w:snapToGrid w:val="0"/>
          <w:kern w:val="0"/>
          <w:sz w:val="28"/>
          <w:szCs w:val="28"/>
        </w:rPr>
        <w:t>噪声</w:t>
      </w:r>
    </w:p>
    <w:p>
      <w:pPr>
        <w:spacing w:line="500" w:lineRule="exact"/>
        <w:ind w:firstLine="561"/>
        <w:rPr>
          <w:rFonts w:eastAsia="仿宋_GB2312"/>
          <w:snapToGrid w:val="0"/>
          <w:kern w:val="0"/>
          <w:sz w:val="28"/>
          <w:szCs w:val="28"/>
          <w:highlight w:val="yellow"/>
        </w:rPr>
      </w:pPr>
      <w:r>
        <w:rPr>
          <w:rFonts w:eastAsia="仿宋_GB2312"/>
          <w:snapToGrid w:val="0"/>
          <w:kern w:val="0"/>
          <w:sz w:val="28"/>
          <w:szCs w:val="28"/>
        </w:rPr>
        <w:t>本项目选用低噪声设备，通过采取隔声、减振、厂房屏蔽、距离衰减、绿化等措施有效降低噪声设备对厂界的影响，实现厂界噪声达标排放。</w:t>
      </w:r>
    </w:p>
    <w:p>
      <w:pPr>
        <w:spacing w:line="500" w:lineRule="exact"/>
        <w:ind w:firstLine="561"/>
        <w:rPr>
          <w:rFonts w:eastAsia="仿宋_GB2312"/>
          <w:snapToGrid w:val="0"/>
          <w:kern w:val="0"/>
          <w:sz w:val="28"/>
          <w:szCs w:val="28"/>
        </w:rPr>
      </w:pPr>
      <w:r>
        <w:rPr>
          <w:rFonts w:hint="eastAsia" w:eastAsia="仿宋_GB2312"/>
          <w:snapToGrid w:val="0"/>
          <w:kern w:val="0"/>
          <w:sz w:val="28"/>
          <w:szCs w:val="28"/>
        </w:rPr>
        <w:t>四、</w:t>
      </w:r>
      <w:r>
        <w:rPr>
          <w:rFonts w:eastAsia="仿宋_GB2312"/>
          <w:snapToGrid w:val="0"/>
          <w:kern w:val="0"/>
          <w:sz w:val="28"/>
          <w:szCs w:val="28"/>
        </w:rPr>
        <w:t>固废</w:t>
      </w:r>
    </w:p>
    <w:p>
      <w:pPr>
        <w:spacing w:line="500" w:lineRule="exact"/>
        <w:ind w:firstLine="560" w:firstLineChars="200"/>
        <w:rPr>
          <w:rFonts w:eastAsia="仿宋_GB2312"/>
          <w:kern w:val="44"/>
          <w:sz w:val="28"/>
          <w:szCs w:val="28"/>
        </w:rPr>
      </w:pPr>
      <w:r>
        <w:rPr>
          <w:rFonts w:eastAsia="仿宋_GB2312"/>
          <w:kern w:val="44"/>
          <w:sz w:val="28"/>
          <w:szCs w:val="28"/>
        </w:rPr>
        <w:t>本项目产生的</w:t>
      </w:r>
      <w:r>
        <w:rPr>
          <w:rFonts w:hint="eastAsia" w:eastAsia="仿宋_GB2312"/>
          <w:kern w:val="44"/>
          <w:sz w:val="28"/>
          <w:szCs w:val="28"/>
        </w:rPr>
        <w:t>生活垃圾</w:t>
      </w:r>
      <w:r>
        <w:rPr>
          <w:rFonts w:eastAsia="仿宋_GB2312"/>
          <w:kern w:val="44"/>
          <w:sz w:val="28"/>
          <w:szCs w:val="28"/>
        </w:rPr>
        <w:t>由环卫部门统一收集处理</w:t>
      </w:r>
      <w:r>
        <w:rPr>
          <w:rFonts w:hint="eastAsia" w:eastAsia="仿宋_GB2312"/>
          <w:kern w:val="44"/>
          <w:sz w:val="28"/>
          <w:szCs w:val="28"/>
        </w:rPr>
        <w:t>；废胶带</w:t>
      </w:r>
      <w:r>
        <w:rPr>
          <w:rFonts w:eastAsia="仿宋_GB2312"/>
          <w:kern w:val="44"/>
          <w:sz w:val="28"/>
          <w:szCs w:val="28"/>
        </w:rPr>
        <w:t>外售综合利用</w:t>
      </w:r>
      <w:r>
        <w:rPr>
          <w:rFonts w:hint="eastAsia" w:eastAsia="仿宋_GB2312"/>
          <w:kern w:val="44"/>
          <w:sz w:val="28"/>
          <w:szCs w:val="28"/>
        </w:rPr>
        <w:t>；废胶水、废机油、废抹布手套、废清洗液、废原料桶交由</w:t>
      </w:r>
      <w:r>
        <w:rPr>
          <w:rFonts w:eastAsia="仿宋_GB2312"/>
          <w:kern w:val="44"/>
          <w:sz w:val="28"/>
          <w:szCs w:val="28"/>
        </w:rPr>
        <w:t>有资质单位处置</w:t>
      </w:r>
      <w:r>
        <w:rPr>
          <w:rFonts w:hint="eastAsia" w:eastAsia="仿宋_GB2312"/>
          <w:kern w:val="44"/>
          <w:sz w:val="28"/>
          <w:szCs w:val="28"/>
        </w:rPr>
        <w:t>，</w:t>
      </w:r>
      <w:r>
        <w:rPr>
          <w:rFonts w:eastAsia="仿宋_GB2312"/>
          <w:kern w:val="44"/>
          <w:sz w:val="28"/>
          <w:szCs w:val="28"/>
        </w:rPr>
        <w:t>本项目固体废物处置率100%</w:t>
      </w:r>
      <w:r>
        <w:rPr>
          <w:rFonts w:hint="eastAsia" w:eastAsia="仿宋_GB2312"/>
          <w:kern w:val="44"/>
          <w:sz w:val="28"/>
          <w:szCs w:val="28"/>
        </w:rPr>
        <w:t>。</w:t>
      </w:r>
    </w:p>
    <w:p>
      <w:pPr>
        <w:spacing w:line="500" w:lineRule="exact"/>
        <w:ind w:firstLine="560" w:firstLineChars="200"/>
        <w:rPr>
          <w:rFonts w:eastAsia="仿宋_GB2312"/>
          <w:kern w:val="44"/>
          <w:sz w:val="28"/>
          <w:szCs w:val="28"/>
        </w:rPr>
      </w:pPr>
      <w:r>
        <w:rPr>
          <w:rFonts w:hint="eastAsia" w:eastAsia="仿宋_GB2312"/>
          <w:kern w:val="44"/>
          <w:sz w:val="28"/>
          <w:szCs w:val="28"/>
        </w:rPr>
        <w:t>五、地下水</w:t>
      </w:r>
      <w:r>
        <w:rPr>
          <w:rFonts w:eastAsia="仿宋_GB2312"/>
          <w:kern w:val="44"/>
          <w:sz w:val="28"/>
          <w:szCs w:val="28"/>
        </w:rPr>
        <w:t>、土壤</w:t>
      </w:r>
    </w:p>
    <w:p>
      <w:pPr>
        <w:spacing w:line="500" w:lineRule="exact"/>
        <w:ind w:firstLine="560" w:firstLineChars="200"/>
        <w:rPr>
          <w:rFonts w:eastAsia="仿宋_GB2312"/>
          <w:kern w:val="44"/>
          <w:sz w:val="28"/>
          <w:szCs w:val="28"/>
        </w:rPr>
      </w:pPr>
      <w:r>
        <w:rPr>
          <w:rFonts w:eastAsia="仿宋_GB2312"/>
          <w:kern w:val="44"/>
          <w:sz w:val="28"/>
          <w:szCs w:val="28"/>
        </w:rPr>
        <w:t>实施清洁生产和循环经济，减少污染物的排放量。从设计、管理各种工艺设备和物料运输上，防止和减少污染物的跑冒滴漏，合理布局，减少污染物的泄漏途径。生产区道路采用水泥硬化地面；</w:t>
      </w:r>
      <w:r>
        <w:rPr>
          <w:rFonts w:hint="eastAsia" w:eastAsia="仿宋_GB2312"/>
          <w:kern w:val="44"/>
          <w:sz w:val="28"/>
          <w:szCs w:val="28"/>
        </w:rPr>
        <w:t>危废仓库、原料仓库、喷涂</w:t>
      </w:r>
      <w:r>
        <w:rPr>
          <w:rFonts w:eastAsia="仿宋_GB2312"/>
          <w:kern w:val="44"/>
          <w:sz w:val="28"/>
          <w:szCs w:val="28"/>
        </w:rPr>
        <w:t>区、</w:t>
      </w:r>
      <w:r>
        <w:rPr>
          <w:rFonts w:hint="eastAsia" w:eastAsia="仿宋_GB2312"/>
          <w:kern w:val="44"/>
          <w:sz w:val="28"/>
          <w:szCs w:val="28"/>
        </w:rPr>
        <w:t>事故应急池设置</w:t>
      </w:r>
      <w:r>
        <w:rPr>
          <w:rFonts w:eastAsia="仿宋_GB2312"/>
          <w:kern w:val="44"/>
          <w:sz w:val="28"/>
          <w:szCs w:val="28"/>
        </w:rPr>
        <w:t>为重点防渗区，做防渗漏处理，防止跑、冒、滴、漏的原辅料渗透到地下；严格实施雨污分流，确保废水不混入雨水，进而渗透地下水。通过加强以上措施，本项目建设生产不会对项目所在地的土壤、地下水产生影响。</w:t>
      </w:r>
    </w:p>
    <w:p>
      <w:pPr>
        <w:pStyle w:val="3"/>
        <w:spacing w:before="120" w:after="120"/>
      </w:pPr>
      <w:bookmarkStart w:id="513" w:name="_Toc140565300"/>
      <w:r>
        <w:t>环境经济损益分析</w:t>
      </w:r>
      <w:bookmarkEnd w:id="513"/>
    </w:p>
    <w:p>
      <w:pPr>
        <w:spacing w:line="500" w:lineRule="exact"/>
        <w:ind w:firstLine="561"/>
        <w:rPr>
          <w:rFonts w:eastAsia="仿宋_GB2312"/>
          <w:sz w:val="28"/>
          <w:szCs w:val="28"/>
        </w:rPr>
      </w:pPr>
      <w:r>
        <w:rPr>
          <w:rFonts w:eastAsia="仿宋_GB2312"/>
          <w:sz w:val="28"/>
          <w:szCs w:val="28"/>
        </w:rPr>
        <w:t>项目达产后，企业预计可实现年产值</w:t>
      </w:r>
      <w:r>
        <w:rPr>
          <w:rFonts w:hint="eastAsia" w:eastAsia="仿宋_GB2312"/>
          <w:sz w:val="28"/>
          <w:szCs w:val="20"/>
        </w:rPr>
        <w:t>1300</w:t>
      </w:r>
      <w:r>
        <w:rPr>
          <w:rFonts w:eastAsia="仿宋_GB2312"/>
          <w:sz w:val="28"/>
          <w:szCs w:val="28"/>
        </w:rPr>
        <w:t>万元，年净利润</w:t>
      </w:r>
      <w:r>
        <w:rPr>
          <w:rFonts w:hint="eastAsia" w:eastAsia="仿宋_GB2312"/>
          <w:sz w:val="28"/>
          <w:szCs w:val="28"/>
        </w:rPr>
        <w:t>688</w:t>
      </w:r>
      <w:r>
        <w:rPr>
          <w:rFonts w:eastAsia="仿宋_GB2312"/>
          <w:sz w:val="28"/>
          <w:szCs w:val="28"/>
        </w:rPr>
        <w:t>万元，本项目的建设不会降低当地环境质量。根据分析，项目采取的废气、废</w:t>
      </w:r>
      <w:r>
        <w:rPr>
          <w:rFonts w:hint="eastAsia" w:eastAsia="仿宋_GB2312"/>
          <w:sz w:val="28"/>
          <w:szCs w:val="28"/>
        </w:rPr>
        <w:t>水</w:t>
      </w:r>
      <w:r>
        <w:rPr>
          <w:rFonts w:eastAsia="仿宋_GB2312"/>
          <w:sz w:val="28"/>
          <w:szCs w:val="28"/>
        </w:rPr>
        <w:t>、噪声、固废等污染治理设施，可达到有效控制污染和保护环境的目的。因此，本项目的建设经济效益、环境效益较好。</w:t>
      </w:r>
    </w:p>
    <w:p>
      <w:pPr>
        <w:pStyle w:val="3"/>
        <w:spacing w:before="120" w:after="120"/>
      </w:pPr>
      <w:bookmarkStart w:id="514" w:name="_Toc140565301"/>
      <w:r>
        <w:t>环境管理与监测计划</w:t>
      </w:r>
      <w:bookmarkEnd w:id="514"/>
    </w:p>
    <w:p>
      <w:pPr>
        <w:spacing w:line="500" w:lineRule="exact"/>
        <w:ind w:firstLine="561"/>
        <w:rPr>
          <w:rFonts w:eastAsia="仿宋_GB2312"/>
          <w:snapToGrid w:val="0"/>
          <w:kern w:val="0"/>
          <w:sz w:val="28"/>
          <w:szCs w:val="28"/>
          <w:highlight w:val="yellow"/>
        </w:rPr>
      </w:pPr>
      <w:r>
        <w:rPr>
          <w:rFonts w:eastAsia="仿宋_GB2312"/>
          <w:sz w:val="28"/>
          <w:szCs w:val="28"/>
        </w:rPr>
        <w:t>本项目拟严格按照本报告所列的监测管理与监测计划要求，将污染损害将至最低。</w:t>
      </w:r>
    </w:p>
    <w:p>
      <w:pPr>
        <w:pStyle w:val="3"/>
        <w:spacing w:before="120" w:after="120"/>
      </w:pPr>
      <w:bookmarkStart w:id="515" w:name="_Toc140565302"/>
      <w:r>
        <w:t>总结论</w:t>
      </w:r>
      <w:bookmarkEnd w:id="515"/>
    </w:p>
    <w:p>
      <w:pPr>
        <w:spacing w:line="500" w:lineRule="exact"/>
        <w:ind w:firstLine="561"/>
        <w:rPr>
          <w:rFonts w:eastAsia="仿宋_GB2312"/>
          <w:b/>
          <w:sz w:val="28"/>
          <w:szCs w:val="28"/>
        </w:rPr>
      </w:pPr>
      <w:bookmarkStart w:id="516" w:name="_Hlt107082548"/>
      <w:bookmarkEnd w:id="516"/>
      <w:bookmarkStart w:id="517" w:name="_Hlt110997589"/>
      <w:bookmarkEnd w:id="517"/>
      <w:bookmarkStart w:id="518" w:name="_Hlt110864218"/>
      <w:bookmarkEnd w:id="518"/>
      <w:bookmarkStart w:id="519" w:name="_Hlt107117296"/>
      <w:bookmarkEnd w:id="519"/>
      <w:bookmarkStart w:id="520" w:name="_Hlt107117273"/>
      <w:bookmarkEnd w:id="520"/>
      <w:r>
        <w:rPr>
          <w:rFonts w:eastAsia="仿宋_GB2312"/>
          <w:b/>
          <w:sz w:val="28"/>
          <w:szCs w:val="28"/>
        </w:rPr>
        <w:t>本项目选</w:t>
      </w:r>
      <w:r>
        <w:rPr>
          <w:rFonts w:hint="eastAsia" w:eastAsia="仿宋_GB2312"/>
          <w:b/>
          <w:sz w:val="28"/>
          <w:szCs w:val="28"/>
        </w:rPr>
        <w:t>址于金坛区金城镇工业园区（北区）内</w:t>
      </w:r>
      <w:r>
        <w:rPr>
          <w:rFonts w:eastAsia="仿宋_GB2312"/>
          <w:b/>
          <w:sz w:val="28"/>
          <w:szCs w:val="28"/>
        </w:rPr>
        <w:t>，</w:t>
      </w:r>
      <w:r>
        <w:rPr>
          <w:rFonts w:hint="eastAsia" w:eastAsia="仿宋_GB2312"/>
          <w:b/>
          <w:sz w:val="28"/>
          <w:szCs w:val="28"/>
        </w:rPr>
        <w:t>红山路以北、</w:t>
      </w:r>
      <w:r>
        <w:rPr>
          <w:rFonts w:eastAsia="仿宋_GB2312"/>
          <w:b/>
          <w:sz w:val="28"/>
          <w:szCs w:val="28"/>
        </w:rPr>
        <w:t>荆</w:t>
      </w:r>
      <w:r>
        <w:rPr>
          <w:rFonts w:hint="eastAsia" w:eastAsia="仿宋_GB2312"/>
          <w:b/>
          <w:sz w:val="28"/>
          <w:szCs w:val="28"/>
        </w:rPr>
        <w:t>元</w:t>
      </w:r>
      <w:r>
        <w:rPr>
          <w:rFonts w:eastAsia="仿宋_GB2312"/>
          <w:b/>
          <w:sz w:val="28"/>
          <w:szCs w:val="28"/>
        </w:rPr>
        <w:t>路以东，</w:t>
      </w:r>
      <w:r>
        <w:rPr>
          <w:rFonts w:hint="eastAsia" w:eastAsia="仿宋_GB2312"/>
          <w:b/>
          <w:sz w:val="28"/>
          <w:szCs w:val="28"/>
        </w:rPr>
        <w:t>拟</w:t>
      </w:r>
      <w:r>
        <w:rPr>
          <w:rFonts w:eastAsia="仿宋_GB2312"/>
          <w:b/>
          <w:sz w:val="28"/>
          <w:szCs w:val="28"/>
        </w:rPr>
        <w:t>投资</w:t>
      </w:r>
      <w:r>
        <w:rPr>
          <w:rFonts w:hint="eastAsia" w:eastAsia="仿宋_GB2312"/>
          <w:b/>
          <w:sz w:val="28"/>
          <w:szCs w:val="28"/>
        </w:rPr>
        <w:t>额3</w:t>
      </w:r>
      <w:r>
        <w:rPr>
          <w:rFonts w:eastAsia="仿宋_GB2312"/>
          <w:b/>
          <w:sz w:val="28"/>
          <w:szCs w:val="28"/>
        </w:rPr>
        <w:t>000万元</w:t>
      </w:r>
      <w:r>
        <w:rPr>
          <w:rFonts w:hint="eastAsia" w:eastAsia="仿宋_GB2312"/>
          <w:b/>
          <w:sz w:val="28"/>
          <w:szCs w:val="28"/>
        </w:rPr>
        <w:t>。</w:t>
      </w:r>
      <w:r>
        <w:rPr>
          <w:rFonts w:eastAsia="仿宋_GB2312"/>
          <w:b/>
          <w:sz w:val="28"/>
          <w:szCs w:val="28"/>
        </w:rPr>
        <w:t>项目符合《建设项目环境保护管理条例》（2017修订版）的相关要求，符合国家及地方有关产业政策；项目符合城市总体规划、</w:t>
      </w:r>
      <w:r>
        <w:rPr>
          <w:rFonts w:hint="eastAsia" w:eastAsia="仿宋_GB2312"/>
          <w:b/>
          <w:sz w:val="28"/>
          <w:szCs w:val="28"/>
        </w:rPr>
        <w:t>金坛区金城镇工业园区（北区）</w:t>
      </w:r>
      <w:r>
        <w:rPr>
          <w:rFonts w:eastAsia="仿宋_GB2312"/>
          <w:b/>
          <w:sz w:val="28"/>
          <w:szCs w:val="28"/>
        </w:rPr>
        <w:t>产业定位及当地用地规划要求，选址合理；本项目采取各项污染防治措施后污染物实现达标排放，所在地的现有环境功能不下降；本项目建成后排放的各类污染物可以在区域内实现平衡；建设单位开展的公众参与采用网上公示和</w:t>
      </w:r>
      <w:r>
        <w:rPr>
          <w:rFonts w:hint="eastAsia" w:eastAsia="仿宋_GB2312"/>
          <w:b/>
          <w:sz w:val="28"/>
          <w:szCs w:val="28"/>
        </w:rPr>
        <w:t>登报</w:t>
      </w:r>
      <w:r>
        <w:rPr>
          <w:rFonts w:eastAsia="仿宋_GB2312"/>
          <w:b/>
          <w:sz w:val="28"/>
          <w:szCs w:val="28"/>
        </w:rPr>
        <w:t>相结合的方式进行，</w:t>
      </w:r>
      <w:r>
        <w:rPr>
          <w:rFonts w:hint="eastAsia" w:eastAsia="仿宋_GB2312"/>
          <w:b/>
          <w:sz w:val="28"/>
          <w:szCs w:val="28"/>
        </w:rPr>
        <w:t>公示期间无反馈意见</w:t>
      </w:r>
      <w:r>
        <w:rPr>
          <w:rFonts w:eastAsia="仿宋_GB2312"/>
          <w:b/>
          <w:sz w:val="28"/>
          <w:szCs w:val="28"/>
        </w:rPr>
        <w:t>；在建设单位做好各项风险防范及应急措施的前提下本项目的风险</w:t>
      </w:r>
      <w:r>
        <w:rPr>
          <w:rFonts w:hint="eastAsia" w:eastAsia="仿宋_GB2312"/>
          <w:b/>
          <w:sz w:val="28"/>
          <w:szCs w:val="28"/>
        </w:rPr>
        <w:t>可防控</w:t>
      </w:r>
      <w:r>
        <w:rPr>
          <w:rFonts w:eastAsia="仿宋_GB2312"/>
          <w:b/>
          <w:sz w:val="28"/>
          <w:szCs w:val="28"/>
        </w:rPr>
        <w:t>。</w:t>
      </w:r>
    </w:p>
    <w:p>
      <w:pPr>
        <w:spacing w:line="500" w:lineRule="exact"/>
        <w:ind w:firstLine="561"/>
        <w:rPr>
          <w:rFonts w:eastAsia="仿宋_GB2312"/>
          <w:b/>
          <w:sz w:val="28"/>
          <w:szCs w:val="28"/>
        </w:rPr>
      </w:pPr>
      <w:r>
        <w:rPr>
          <w:rFonts w:eastAsia="仿宋_GB2312"/>
          <w:b/>
          <w:sz w:val="28"/>
          <w:szCs w:val="28"/>
        </w:rPr>
        <w:t>综上，在落实本报告书提出的各项环保措施要求，严格执行环保“三同时”的前提下，从环保角度分析，本项目建设具有环境可行性。</w:t>
      </w:r>
    </w:p>
    <w:sectPr>
      <w:headerReference r:id="rId35" w:type="even"/>
      <w:pgSz w:w="11906" w:h="16838"/>
      <w:pgMar w:top="1440" w:right="1800" w:bottom="1440" w:left="1800"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Arial">
    <w:panose1 w:val="020B0604020202020204"/>
    <w:charset w:val="00"/>
    <w:family w:val="swiss"/>
    <w:pitch w:val="default"/>
    <w:sig w:usb0="E0002AFF" w:usb1="C0007843" w:usb2="00000009" w:usb3="00000000" w:csb0="400001FF" w:csb1="FFFF0000"/>
  </w:font>
  <w:font w:name="Book Antiqua">
    <w:altName w:val="Segoe Print"/>
    <w:panose1 w:val="00000000000000000000"/>
    <w:charset w:val="00"/>
    <w:family w:val="roman"/>
    <w:pitch w:val="default"/>
    <w:sig w:usb0="00000000" w:usb1="00000000" w:usb2="00000000" w:usb3="00000000" w:csb0="0000009F" w:csb1="00000000"/>
  </w:font>
  <w:font w:name="Courier New">
    <w:panose1 w:val="02070309020205020404"/>
    <w:charset w:val="00"/>
    <w:family w:val="modern"/>
    <w:pitch w:val="default"/>
    <w:sig w:usb0="E0002AFF" w:usb1="C0007843" w:usb2="00000009" w:usb3="00000000" w:csb0="400001FF" w:csb1="FFFF0000"/>
  </w:font>
  <w:font w:name="华文中宋">
    <w:altName w:val="宋体"/>
    <w:panose1 w:val="00000000000000000000"/>
    <w:charset w:val="86"/>
    <w:family w:val="auto"/>
    <w:pitch w:val="default"/>
    <w:sig w:usb0="00000000" w:usb1="00000000" w:usb2="00000010" w:usb3="00000000" w:csb0="0004009F" w:csb1="00000000"/>
  </w:font>
  <w:font w:name="楷体_GB2312">
    <w:panose1 w:val="0201060903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Tms Rmn">
    <w:altName w:val="Segoe Print"/>
    <w:panose1 w:val="02020603040505020304"/>
    <w:charset w:val="00"/>
    <w:family w:val="roman"/>
    <w:pitch w:val="default"/>
    <w:sig w:usb0="00000000" w:usb1="00000000" w:usb2="00000000" w:usb3="00000000" w:csb0="00000001" w:csb1="00000000"/>
  </w:font>
  <w:font w:name="隶书">
    <w:altName w:val="微软雅黑"/>
    <w:panose1 w:val="00000000000000000000"/>
    <w:charset w:val="86"/>
    <w:family w:val="modern"/>
    <w:pitch w:val="default"/>
    <w:sig w:usb0="00000000" w:usb1="00000000" w:usb2="00000010" w:usb3="00000000" w:csb0="00040000" w:csb1="00000000"/>
  </w:font>
  <w:font w:name="幼圆">
    <w:altName w:val="宋体"/>
    <w:panose1 w:val="00000000000000000000"/>
    <w:charset w:val="86"/>
    <w:family w:val="modern"/>
    <w:pitch w:val="default"/>
    <w:sig w:usb0="00000000" w:usb1="00000000" w:usb2="00000010" w:usb3="00000000" w:csb0="00040000" w:csb1="00000000"/>
  </w:font>
  <w:font w:name="..">
    <w:altName w:val="黑体"/>
    <w:panose1 w:val="00000000000000000000"/>
    <w:charset w:val="86"/>
    <w:family w:val="auto"/>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TimesNewRoman">
    <w:altName w:val="Times New Roman"/>
    <w:panose1 w:val="00000000000000000000"/>
    <w:charset w:val="00"/>
    <w:family w:val="roman"/>
    <w:pitch w:val="default"/>
    <w:sig w:usb0="00000000" w:usb1="00000000" w:usb2="00000000" w:usb3="00000000" w:csb0="00000001" w:csb1="00000000"/>
  </w:font>
  <w:font w:name="Arial Narrow">
    <w:altName w:val="Arial"/>
    <w:panose1 w:val="00000000000000000000"/>
    <w:charset w:val="00"/>
    <w:family w:val="swiss"/>
    <w:pitch w:val="default"/>
    <w:sig w:usb0="00000000" w:usb1="00000000" w:usb2="00000000" w:usb3="00000000" w:csb0="0000009F" w:csb1="00000000"/>
  </w:font>
  <w:font w:name="Arial Black">
    <w:panose1 w:val="020B0A04020102020204"/>
    <w:charset w:val="00"/>
    <w:family w:val="swiss"/>
    <w:pitch w:val="default"/>
    <w:sig w:usb0="00000287" w:usb1="00000000" w:usb2="00000000" w:usb3="00000000" w:csb0="2000009F" w:csb1="DFD70000"/>
  </w:font>
  <w:font w:name="StempelGaramond Roman">
    <w:altName w:val="Times New Roman"/>
    <w:panose1 w:val="00000000000000000000"/>
    <w:charset w:val="00"/>
    <w:family w:val="roman"/>
    <w:pitch w:val="default"/>
    <w:sig w:usb0="00000000" w:usb1="00000000" w:usb2="00000000" w:usb3="00000000" w:csb0="00000001" w:csb1="00000000"/>
  </w:font>
  <w:font w:name="ˎ̥">
    <w:altName w:val="Times New Roman"/>
    <w:panose1 w:val="00000000000000000000"/>
    <w:charset w:val="00"/>
    <w:family w:val="roman"/>
    <w:pitch w:val="default"/>
    <w:sig w:usb0="00000000" w:usb1="00000000" w:usb2="00000000" w:usb3="00000000" w:csb0="00000000" w:csb1="00000000"/>
  </w:font>
  <w:font w:name="Times">
    <w:altName w:val="Times New Roman"/>
    <w:panose1 w:val="02020603050405020304"/>
    <w:charset w:val="00"/>
    <w:family w:val="roman"/>
    <w:pitch w:val="default"/>
    <w:sig w:usb0="00000000" w:usb1="00000000" w:usb2="00000009" w:usb3="00000000" w:csb0="000001FF" w:csb1="00000000"/>
  </w:font>
  <w:font w:name="Plotter">
    <w:altName w:val="Tahoma"/>
    <w:panose1 w:val="00000000000000000000"/>
    <w:charset w:val="00"/>
    <w:family w:val="roman"/>
    <w:pitch w:val="default"/>
    <w:sig w:usb0="00000000" w:usb1="00000000" w:usb2="0000006E" w:usb3="00000000" w:csb0="81632469" w:csb1="BFF7D18D"/>
  </w:font>
  <w:font w:name="GB2312">
    <w:altName w:val="Times New Roman"/>
    <w:panose1 w:val="00000000000000000000"/>
    <w:charset w:val="00"/>
    <w:family w:val="roman"/>
    <w:pitch w:val="default"/>
    <w:sig w:usb0="00000000" w:usb1="00000000" w:usb2="00000000" w:usb3="00000000" w:csb0="00000001"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s²Ó©úÅé">
    <w:altName w:val="Microsoft JhengHei"/>
    <w:panose1 w:val="00000000000000000000"/>
    <w:charset w:val="88"/>
    <w:family w:val="auto"/>
    <w:pitch w:val="default"/>
    <w:sig w:usb0="00000000" w:usb1="00000000" w:usb2="00000010" w:usb3="00000000" w:csb0="00100000" w:csb1="00000000"/>
  </w:font>
  <w:font w:name="文鼎CS大宋">
    <w:altName w:val="宋体"/>
    <w:panose1 w:val="00000000000000000000"/>
    <w:charset w:val="86"/>
    <w:family w:val="modern"/>
    <w:pitch w:val="default"/>
    <w:sig w:usb0="00000000" w:usb1="00000000" w:usb2="00000010" w:usb3="00000000" w:csb0="00040000" w:csb1="00000000"/>
  </w:font>
  <w:font w:name="华文仿宋">
    <w:altName w:val="仿宋"/>
    <w:panose1 w:val="00000000000000000000"/>
    <w:charset w:val="86"/>
    <w:family w:val="auto"/>
    <w:pitch w:val="default"/>
    <w:sig w:usb0="00000000" w:usb1="00000000" w:usb2="00000010" w:usb3="00000000" w:csb0="0004009F" w:csb1="00000000"/>
  </w:font>
  <w:font w:name="新宋体">
    <w:panose1 w:val="02010609030101010101"/>
    <w:charset w:val="86"/>
    <w:family w:val="modern"/>
    <w:pitch w:val="default"/>
    <w:sig w:usb0="00000003" w:usb1="288F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方正仿宋_GBK">
    <w:panose1 w:val="03000509000000000000"/>
    <w:charset w:val="86"/>
    <w:family w:val="script"/>
    <w:pitch w:val="default"/>
    <w:sig w:usb0="00000001" w:usb1="080E0000" w:usb2="00000000" w:usb3="00000000" w:csb0="00040000" w:csb1="00000000"/>
  </w:font>
  <w:font w:name="CommercialPi BT">
    <w:altName w:val="Segoe Print"/>
    <w:panose1 w:val="00000000000000000000"/>
    <w:charset w:val="02"/>
    <w:family w:val="roman"/>
    <w:pitch w:val="default"/>
    <w:sig w:usb0="00000000" w:usb1="00000000" w:usb2="00000000" w:usb3="00000000" w:csb0="80000000" w:csb1="00000000"/>
  </w:font>
  <w:font w:name="華康中楷體">
    <w:altName w:val="Microsoft JhengHei"/>
    <w:panose1 w:val="00000000000000000000"/>
    <w:charset w:val="88"/>
    <w:family w:val="modern"/>
    <w:pitch w:val="default"/>
    <w:sig w:usb0="00000000" w:usb1="00000000" w:usb2="00000010" w:usb3="00000000" w:csb0="00100000" w:csb1="00000000"/>
  </w:font>
  <w:font w:name="华文细黑">
    <w:altName w:val="微软雅黑"/>
    <w:panose1 w:val="00000000000000000000"/>
    <w:charset w:val="86"/>
    <w:family w:val="auto"/>
    <w:pitch w:val="default"/>
    <w:sig w:usb0="00000000" w:usb1="00000000" w:usb2="00000010" w:usb3="00000000" w:csb0="0004009F" w:csb1="00000000"/>
  </w:font>
  <w:font w:name="Gulim">
    <w:panose1 w:val="020B0600000101010101"/>
    <w:charset w:val="81"/>
    <w:family w:val="swiss"/>
    <w:pitch w:val="default"/>
    <w:sig w:usb0="B00002AF" w:usb1="69D77CFB" w:usb2="00000030" w:usb3="00000000" w:csb0="4008009F" w:csb1="DFD70000"/>
  </w:font>
  <w:font w:name="MS Mincho">
    <w:panose1 w:val="02020609040205080304"/>
    <w:charset w:val="80"/>
    <w:family w:val="modern"/>
    <w:pitch w:val="default"/>
    <w:sig w:usb0="E00002FF" w:usb1="6AC7FDFB" w:usb2="00000012" w:usb3="00000000" w:csb0="4002009F" w:csb1="DFD70000"/>
  </w:font>
  <w:font w:name="华文楷体">
    <w:altName w:val="楷体_GB2312"/>
    <w:panose1 w:val="00000000000000000000"/>
    <w:charset w:val="86"/>
    <w:family w:val="auto"/>
    <w:pitch w:val="default"/>
    <w:sig w:usb0="00000000" w:usb1="00000000" w:usb2="00000010" w:usb3="00000000" w:csb0="0004009F" w:csb1="00000000"/>
  </w:font>
  <w:font w:name="Bodoni MT Condensed">
    <w:altName w:val="Segoe Print"/>
    <w:panose1 w:val="00000000000000000000"/>
    <w:charset w:val="00"/>
    <w:family w:val="roman"/>
    <w:pitch w:val="default"/>
    <w:sig w:usb0="00000000" w:usb1="00000000" w:usb2="00000000" w:usb3="00000000" w:csb0="00000001" w:csb1="00000000"/>
  </w:font>
  <w:font w:name="Times New Roman;Symbol;Arial;婼">
    <w:altName w:val="黑体"/>
    <w:panose1 w:val="00000000000000000000"/>
    <w:charset w:val="86"/>
    <w:family w:val="auto"/>
    <w:pitch w:val="default"/>
    <w:sig w:usb0="00000000" w:usb1="00000000" w:usb2="00000010" w:usb3="00000000" w:csb0="00040000" w:csb1="00000000"/>
  </w:font>
  <w:font w:name="MS Gothic">
    <w:panose1 w:val="020B0609070205080204"/>
    <w:charset w:val="80"/>
    <w:family w:val="modern"/>
    <w:pitch w:val="default"/>
    <w:sig w:usb0="E00002FF" w:usb1="6AC7FDFB" w:usb2="00000012" w:usb3="00000000" w:csb0="4002009F" w:csb1="DFD70000"/>
  </w:font>
  <w:font w:name="Century">
    <w:altName w:val="Nyala"/>
    <w:panose1 w:val="02040603050705020303"/>
    <w:charset w:val="00"/>
    <w:family w:val="roman"/>
    <w:pitch w:val="default"/>
    <w:sig w:usb0="00000000" w:usb1="00000000" w:usb2="00000000" w:usb3="00000000" w:csb0="0000009F" w:csb1="00000000"/>
  </w:font>
  <w:font w:name="PMingLiU">
    <w:panose1 w:val="02020500000000000000"/>
    <w:charset w:val="88"/>
    <w:family w:val="roman"/>
    <w:pitch w:val="default"/>
    <w:sig w:usb0="A00002FF" w:usb1="28CFFCFA" w:usb2="00000016" w:usb3="00000000" w:csb0="00100001" w:csb1="00000000"/>
  </w:font>
  <w:font w:name="CG Times (W1)">
    <w:altName w:val="Times New Roman"/>
    <w:panose1 w:val="00000000000000000000"/>
    <w:charset w:val="00"/>
    <w:family w:val="roman"/>
    <w:pitch w:val="default"/>
    <w:sig w:usb0="00000000" w:usb1="00000000" w:usb2="00000000" w:usb3="00000000" w:csb0="00000001" w:csb1="00000000"/>
  </w:font>
  <w:font w:name="汉鼎简书宋">
    <w:altName w:val="宋体"/>
    <w:panose1 w:val="00000000000000000000"/>
    <w:charset w:val="86"/>
    <w:family w:val="modern"/>
    <w:pitch w:val="default"/>
    <w:sig w:usb0="00000000" w:usb1="00000000" w:usb2="00000010" w:usb3="00000000" w:csb0="00040000" w:csb1="00000000"/>
  </w:font>
  <w:font w:name="五">
    <w:altName w:val="黑体"/>
    <w:panose1 w:val="00000000000000000000"/>
    <w:charset w:val="86"/>
    <w:family w:val="auto"/>
    <w:pitch w:val="default"/>
    <w:sig w:usb0="00000000" w:usb1="00000000" w:usb2="00000010" w:usb3="00000000" w:csb0="00040000" w:csb1="00000000"/>
  </w:font>
  <w:font w:name="華康粗黑體">
    <w:altName w:val="Microsoft JhengHei"/>
    <w:panose1 w:val="00000000000000000000"/>
    <w:charset w:val="88"/>
    <w:family w:val="modern"/>
    <w:pitch w:val="default"/>
    <w:sig w:usb0="00000000" w:usb1="00000000" w:usb2="00000016" w:usb3="00000000" w:csb0="00100000" w:csb1="00000000"/>
  </w:font>
  <w:font w:name="Bookman Old Style">
    <w:altName w:val="Segoe Print"/>
    <w:panose1 w:val="00000000000000000000"/>
    <w:charset w:val="00"/>
    <w:family w:val="roman"/>
    <w:pitch w:val="default"/>
    <w:sig w:usb0="00000000" w:usb1="00000000" w:usb2="00000000" w:usb3="00000000" w:csb0="0000009F" w:csb1="00000000"/>
  </w:font>
  <w:font w:name="华文行楷">
    <w:altName w:val="微软雅黑"/>
    <w:panose1 w:val="00000000000000000000"/>
    <w:charset w:val="86"/>
    <w:family w:val="auto"/>
    <w:pitch w:val="default"/>
    <w:sig w:usb0="00000000" w:usb1="00000000" w:usb2="00000010" w:usb3="00000000" w:csb0="00040000" w:csb1="00000000"/>
  </w:font>
  <w:font w:name="MingLiU">
    <w:panose1 w:val="02020509000000000000"/>
    <w:charset w:val="88"/>
    <w:family w:val="modern"/>
    <w:pitch w:val="default"/>
    <w:sig w:usb0="A00002FF" w:usb1="28CFFCFA" w:usb2="00000016" w:usb3="00000000" w:csb0="00100001" w:csb1="00000000"/>
  </w:font>
  <w:font w:name="華康中明體">
    <w:altName w:val="Arial"/>
    <w:panose1 w:val="00000000000000000000"/>
    <w:charset w:val="00"/>
    <w:family w:val="modern"/>
    <w:pitch w:val="default"/>
    <w:sig w:usb0="00000000" w:usb1="00000000" w:usb2="00000000" w:usb3="00000000" w:csb0="00000000" w:csb1="00000000"/>
  </w:font>
  <w:font w:name="Angsana New">
    <w:panose1 w:val="02020603050405020304"/>
    <w:charset w:val="00"/>
    <w:family w:val="roman"/>
    <w:pitch w:val="default"/>
    <w:sig w:usb0="81000003" w:usb1="00000000" w:usb2="00000000" w:usb3="00000000" w:csb0="00010001" w:csb1="00000000"/>
  </w:font>
  <w:font w:name="DFKai-SB">
    <w:panose1 w:val="03000509000000000000"/>
    <w:charset w:val="88"/>
    <w:family w:val="script"/>
    <w:pitch w:val="default"/>
    <w:sig w:usb0="00000003" w:usb1="082E0000" w:usb2="00000016" w:usb3="00000000" w:csb0="00100001" w:csb1="00000000"/>
  </w:font>
  <w:font w:name="Alaska">
    <w:altName w:val="Segoe Print"/>
    <w:panose1 w:val="00000000000000000000"/>
    <w:charset w:val="00"/>
    <w:family w:val="swiss"/>
    <w:pitch w:val="default"/>
    <w:sig w:usb0="00000000" w:usb1="00000000" w:usb2="00000000" w:usb3="00000000" w:csb0="00000011" w:csb1="00000000"/>
  </w:font>
  <w:font w:name="楷体">
    <w:panose1 w:val="02010609060101010101"/>
    <w:charset w:val="86"/>
    <w:family w:val="modern"/>
    <w:pitch w:val="default"/>
    <w:sig w:usb0="800002BF" w:usb1="38CF7CFA" w:usb2="00000016" w:usb3="00000000" w:csb0="00040001" w:csb1="00000000"/>
  </w:font>
  <w:font w:name="方正宋三简体">
    <w:altName w:val="宋体"/>
    <w:panose1 w:val="00000000000000000000"/>
    <w:charset w:val="86"/>
    <w:family w:val="script"/>
    <w:pitch w:val="default"/>
    <w:sig w:usb0="00000000" w:usb1="00000000" w:usb2="00000010" w:usb3="00000000" w:csb0="00040000" w:csb1="00000000"/>
  </w:font>
  <w:font w:name="Noto Sans CJK JP Black">
    <w:altName w:val="Arial"/>
    <w:panose1 w:val="00000000000000000000"/>
    <w:charset w:val="00"/>
    <w:family w:val="swiss"/>
    <w:pitch w:val="default"/>
    <w:sig w:usb0="00000000" w:usb1="00000000" w:usb2="00000000" w:usb3="00000000" w:csb0="00000000" w:csb1="00000000"/>
  </w:font>
  <w:font w:name="微软雅黑">
    <w:panose1 w:val="020B0503020204020204"/>
    <w:charset w:val="86"/>
    <w:family w:val="swiss"/>
    <w:pitch w:val="default"/>
    <w:sig w:usb0="80000287" w:usb1="280F3C52" w:usb2="00000016" w:usb3="00000000" w:csb0="0004001F" w:csb1="00000000"/>
  </w:font>
  <w:font w:name="TimesNewRomanPSMT">
    <w:altName w:val="Times New Roman"/>
    <w:panose1 w:val="00000000000000000000"/>
    <w:charset w:val="86"/>
    <w:family w:val="auto"/>
    <w:pitch w:val="default"/>
    <w:sig w:usb0="00000000" w:usb1="00000000" w:usb2="00000000" w:usb3="00000000" w:csb0="00040000" w:csb1="00000000"/>
  </w:font>
  <w:font w:name="Segoe Print">
    <w:panose1 w:val="02000600000000000000"/>
    <w:charset w:val="00"/>
    <w:family w:val="auto"/>
    <w:pitch w:val="default"/>
    <w:sig w:usb0="0000028F" w:usb1="00000000" w:usb2="00000000" w:usb3="00000000" w:csb0="2000009F" w:csb1="47010000"/>
  </w:font>
  <w:font w:name="Microsoft JhengHei">
    <w:panose1 w:val="020B0604030504040204"/>
    <w:charset w:val="88"/>
    <w:family w:val="auto"/>
    <w:pitch w:val="default"/>
    <w:sig w:usb0="00000087" w:usb1="28AF4000" w:usb2="00000016" w:usb3="00000000" w:csb0="00100009" w:csb1="00000000"/>
  </w:font>
  <w:font w:name="Nyala">
    <w:panose1 w:val="02000504070300020003"/>
    <w:charset w:val="00"/>
    <w:family w:val="auto"/>
    <w:pitch w:val="default"/>
    <w:sig w:usb0="A000006F" w:usb1="00000000" w:usb2="000008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framePr w:wrap="around" w:vAnchor="text" w:hAnchor="margin" w:xAlign="center" w:y="1"/>
      <w:rPr>
        <w:rStyle w:val="97"/>
      </w:rPr>
    </w:pPr>
    <w:r>
      <w:rPr>
        <w:rStyle w:val="97"/>
      </w:rPr>
      <w:fldChar w:fldCharType="begin"/>
    </w:r>
    <w:r>
      <w:rPr>
        <w:rStyle w:val="97"/>
      </w:rPr>
      <w:instrText xml:space="preserve">PAGE  </w:instrText>
    </w:r>
    <w:r>
      <w:rPr>
        <w:rStyle w:val="97"/>
      </w:rPr>
      <w:fldChar w:fldCharType="end"/>
    </w:r>
  </w:p>
  <w:p>
    <w:pPr>
      <w:pStyle w:val="54"/>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6"/>
      <w:ind w:right="360"/>
      <w:jc w:val="center"/>
      <w:rPr>
        <w:sz w:val="18"/>
      </w:rPr>
    </w:pPr>
    <w:r>
      <w:rPr>
        <w:rStyle w:val="97"/>
        <w:sz w:val="18"/>
        <w:szCs w:val="18"/>
      </w:rPr>
      <w:fldChar w:fldCharType="begin"/>
    </w:r>
    <w:r>
      <w:rPr>
        <w:rStyle w:val="97"/>
        <w:sz w:val="18"/>
        <w:szCs w:val="18"/>
      </w:rPr>
      <w:instrText xml:space="preserve"> PAGE </w:instrText>
    </w:r>
    <w:r>
      <w:rPr>
        <w:rStyle w:val="97"/>
        <w:sz w:val="18"/>
        <w:szCs w:val="18"/>
      </w:rPr>
      <w:fldChar w:fldCharType="separate"/>
    </w:r>
    <w:r>
      <w:rPr>
        <w:rStyle w:val="97"/>
        <w:sz w:val="18"/>
        <w:szCs w:val="18"/>
      </w:rPr>
      <w:t>103</w:t>
    </w:r>
    <w:r>
      <w:rPr>
        <w:rStyle w:val="97"/>
        <w:sz w:val="18"/>
        <w:szCs w:val="18"/>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jc w:val="center"/>
      <w:rPr>
        <w:rFonts w:ascii="楷体_GB2312" w:eastAsia="楷体_GB2312"/>
      </w:rPr>
    </w:pPr>
    <w:r>
      <w:fldChar w:fldCharType="begin"/>
    </w:r>
    <w:r>
      <w:instrText xml:space="preserve"> PAGE   \* MERGEFORMAT </w:instrText>
    </w:r>
    <w:r>
      <w:fldChar w:fldCharType="separate"/>
    </w:r>
    <w:r>
      <w:rPr>
        <w:lang w:val="zh-CN"/>
      </w:rPr>
      <w:t>127</w:t>
    </w:r>
    <w:r>
      <w:rPr>
        <w:lang w:val="zh-CN"/>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adjustRightInd w:val="0"/>
      <w:jc w:val="center"/>
    </w:pPr>
    <w:r>
      <w:rPr>
        <w:rStyle w:val="97"/>
      </w:rPr>
      <w:fldChar w:fldCharType="begin"/>
    </w:r>
    <w:r>
      <w:rPr>
        <w:rStyle w:val="97"/>
      </w:rPr>
      <w:instrText xml:space="preserve">PAGE  </w:instrText>
    </w:r>
    <w:r>
      <w:rPr>
        <w:rStyle w:val="97"/>
      </w:rPr>
      <w:fldChar w:fldCharType="separate"/>
    </w:r>
    <w:r>
      <w:rPr>
        <w:rStyle w:val="97"/>
      </w:rPr>
      <w:t>114</w:t>
    </w:r>
    <w:r>
      <w:rPr>
        <w:rStyle w:val="97"/>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jc w:val="center"/>
      <w:rPr>
        <w:rFonts w:ascii="楷体_GB2312" w:eastAsia="楷体_GB2312"/>
      </w:rPr>
    </w:pPr>
    <w:r>
      <w:fldChar w:fldCharType="begin"/>
    </w:r>
    <w:r>
      <w:instrText xml:space="preserve"> PAGE   \* MERGEFORMAT </w:instrText>
    </w:r>
    <w:r>
      <w:fldChar w:fldCharType="separate"/>
    </w:r>
    <w:r>
      <w:rPr>
        <w:lang w:val="zh-CN"/>
      </w:rPr>
      <w:t>144</w:t>
    </w:r>
    <w:r>
      <w:rPr>
        <w:lang w:val="zh-CN"/>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framePr w:wrap="around" w:vAnchor="text" w:hAnchor="margin" w:xAlign="center" w:y="1"/>
      <w:rPr>
        <w:rStyle w:val="97"/>
      </w:rPr>
    </w:pPr>
    <w:r>
      <w:rPr>
        <w:rStyle w:val="97"/>
      </w:rPr>
      <w:fldChar w:fldCharType="begin"/>
    </w:r>
    <w:r>
      <w:rPr>
        <w:rStyle w:val="97"/>
      </w:rPr>
      <w:instrText xml:space="preserve">PAGE  </w:instrText>
    </w:r>
    <w:r>
      <w:rPr>
        <w:rStyle w:val="97"/>
      </w:rPr>
      <w:fldChar w:fldCharType="separate"/>
    </w:r>
    <w:r>
      <w:rPr>
        <w:rStyle w:val="97"/>
      </w:rPr>
      <w:t>162</w:t>
    </w:r>
    <w:r>
      <w:rPr>
        <w:rStyle w:val="97"/>
      </w:rPr>
      <w:fldChar w:fldCharType="end"/>
    </w:r>
  </w:p>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rPr>
        <w:rStyle w:val="105"/>
      </w:rPr>
    </w:pPr>
    <w:r>
      <w:rPr>
        <w:rStyle w:val="105"/>
      </w:rPr>
      <w:fldChar w:fldCharType="begin"/>
    </w:r>
    <w:r>
      <w:rPr>
        <w:rStyle w:val="105"/>
      </w:rPr>
      <w:instrText xml:space="preserve">PAGE  </w:instrText>
    </w:r>
    <w:r>
      <w:rPr>
        <w:rStyle w:val="105"/>
      </w:rPr>
      <w:fldChar w:fldCharType="end"/>
    </w:r>
  </w:p>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framePr w:wrap="around" w:vAnchor="text" w:hAnchor="margin" w:xAlign="center" w:y="1"/>
      <w:rPr>
        <w:rStyle w:val="97"/>
      </w:rPr>
    </w:pPr>
    <w:r>
      <w:rPr>
        <w:rStyle w:val="97"/>
      </w:rPr>
      <w:fldChar w:fldCharType="begin"/>
    </w:r>
    <w:r>
      <w:rPr>
        <w:rStyle w:val="97"/>
      </w:rPr>
      <w:instrText xml:space="preserve">PAGE  </w:instrText>
    </w:r>
    <w:r>
      <w:rPr>
        <w:rStyle w:val="97"/>
      </w:rPr>
      <w:fldChar w:fldCharType="separate"/>
    </w:r>
    <w:r>
      <w:rPr>
        <w:rStyle w:val="97"/>
      </w:rPr>
      <w:t>263</w:t>
    </w:r>
    <w:r>
      <w:rPr>
        <w:rStyle w:val="97"/>
      </w:rPr>
      <w:fldChar w:fldCharType="end"/>
    </w:r>
  </w:p>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rPr>
        <w:rStyle w:val="105"/>
      </w:rPr>
    </w:pPr>
    <w:r>
      <w:rPr>
        <w:rStyle w:val="105"/>
      </w:rPr>
      <w:fldChar w:fldCharType="begin"/>
    </w:r>
    <w:r>
      <w:rPr>
        <w:rStyle w:val="105"/>
      </w:rPr>
      <w:instrText xml:space="preserve">PAGE  </w:instrText>
    </w:r>
    <w:r>
      <w:rPr>
        <w:rStyle w:val="105"/>
      </w:rPr>
      <w:fldChar w:fldCharType="end"/>
    </w:r>
  </w:p>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tabs>
        <w:tab w:val="right" w:pos="15026"/>
      </w:tabs>
      <w:ind w:left="6930" w:hanging="6930" w:hangingChars="3850"/>
      <w:jc w:val="center"/>
    </w:pPr>
    <w:r>
      <w:rPr>
        <w:rStyle w:val="97"/>
      </w:rPr>
      <w:fldChar w:fldCharType="begin"/>
    </w:r>
    <w:r>
      <w:rPr>
        <w:rStyle w:val="97"/>
      </w:rPr>
      <w:instrText xml:space="preserve"> PAGE </w:instrText>
    </w:r>
    <w:r>
      <w:rPr>
        <w:rStyle w:val="97"/>
      </w:rPr>
      <w:fldChar w:fldCharType="separate"/>
    </w:r>
    <w:r>
      <w:rPr>
        <w:rStyle w:val="97"/>
      </w:rPr>
      <w:t>265</w:t>
    </w:r>
    <w:r>
      <w:rPr>
        <w:rStyle w:val="97"/>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adjustRightInd w:val="0"/>
      <w:jc w:val="center"/>
    </w:pPr>
    <w:r>
      <w:rPr>
        <w:rStyle w:val="97"/>
      </w:rPr>
      <w:fldChar w:fldCharType="begin"/>
    </w:r>
    <w:r>
      <w:rPr>
        <w:rStyle w:val="97"/>
      </w:rPr>
      <w:instrText xml:space="preserve">PAGE  </w:instrText>
    </w:r>
    <w:r>
      <w:rPr>
        <w:rStyle w:val="97"/>
      </w:rPr>
      <w:fldChar w:fldCharType="separate"/>
    </w:r>
    <w:r>
      <w:rPr>
        <w:rStyle w:val="97"/>
      </w:rPr>
      <w:t>244</w:t>
    </w:r>
    <w:r>
      <w:rPr>
        <w:rStyle w:val="97"/>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jc w:val="center"/>
      <w:rPr>
        <w:rFonts w:ascii="楷体_GB2312" w:eastAsia="楷体_GB2312"/>
      </w:rPr>
    </w:pPr>
    <w:r>
      <w:fldChar w:fldCharType="begin"/>
    </w:r>
    <w:r>
      <w:instrText xml:space="preserve"> PAGE   \* MERGEFORMAT </w:instrText>
    </w:r>
    <w:r>
      <w:fldChar w:fldCharType="separate"/>
    </w:r>
    <w:r>
      <w:rPr>
        <w:lang w:val="zh-CN"/>
      </w:rPr>
      <w:t>270</w:t>
    </w:r>
    <w:r>
      <w:rPr>
        <w:lang w:val="zh-CN"/>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adjustRightInd w:val="0"/>
      <w:jc w:val="center"/>
    </w:pPr>
    <w:r>
      <w:rPr>
        <w:rStyle w:val="97"/>
      </w:rPr>
      <w:fldChar w:fldCharType="begin"/>
    </w:r>
    <w:r>
      <w:rPr>
        <w:rStyle w:val="97"/>
      </w:rPr>
      <w:instrText xml:space="preserve">PAGE  </w:instrText>
    </w:r>
    <w:r>
      <w:rPr>
        <w:rStyle w:val="97"/>
      </w:rPr>
      <w:fldChar w:fldCharType="separate"/>
    </w:r>
    <w:r>
      <w:rPr>
        <w:rStyle w:val="97"/>
      </w:rPr>
      <w:t>114</w:t>
    </w:r>
    <w:r>
      <w:rPr>
        <w:rStyle w:val="97"/>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6"/>
      <w:ind w:right="360"/>
      <w:jc w:val="center"/>
      <w:rPr>
        <w:sz w:val="18"/>
      </w:rPr>
    </w:pPr>
    <w:r>
      <w:rPr>
        <w:rStyle w:val="97"/>
        <w:sz w:val="18"/>
        <w:szCs w:val="18"/>
      </w:rPr>
      <w:fldChar w:fldCharType="begin"/>
    </w:r>
    <w:r>
      <w:rPr>
        <w:rStyle w:val="97"/>
        <w:sz w:val="18"/>
        <w:szCs w:val="18"/>
      </w:rPr>
      <w:instrText xml:space="preserve"> PAGE </w:instrText>
    </w:r>
    <w:r>
      <w:rPr>
        <w:rStyle w:val="97"/>
        <w:sz w:val="18"/>
        <w:szCs w:val="18"/>
      </w:rPr>
      <w:fldChar w:fldCharType="separate"/>
    </w:r>
    <w:r>
      <w:rPr>
        <w:rStyle w:val="97"/>
        <w:sz w:val="18"/>
        <w:szCs w:val="18"/>
      </w:rPr>
      <w:t>286</w:t>
    </w:r>
    <w:r>
      <w:rPr>
        <w:rStyle w:val="97"/>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jc w:val="center"/>
    </w:pPr>
    <w:r>
      <w:fldChar w:fldCharType="begin"/>
    </w:r>
    <w:r>
      <w:instrText xml:space="preserve"> PAGE   \* MERGEFORMAT </w:instrText>
    </w:r>
    <w:r>
      <w:fldChar w:fldCharType="separate"/>
    </w:r>
    <w:r>
      <w:rPr>
        <w:lang w:val="zh-CN"/>
      </w:rPr>
      <w:t>II</w:t>
    </w:r>
    <w:r>
      <w:rPr>
        <w:lang w:val="zh-CN"/>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16144932"/>
    </w:sdtPr>
    <w:sdtContent>
      <w:p>
        <w:pPr>
          <w:pStyle w:val="54"/>
          <w:jc w:val="center"/>
        </w:pPr>
        <w:r>
          <w:fldChar w:fldCharType="begin"/>
        </w:r>
        <w:r>
          <w:instrText xml:space="preserve">PAGE   \* MERGEFORMAT</w:instrText>
        </w:r>
        <w:r>
          <w:fldChar w:fldCharType="separate"/>
        </w:r>
        <w:r>
          <w:rPr>
            <w:lang w:val="zh-CN"/>
          </w:rPr>
          <w:t>7</w:t>
        </w:r>
        <w:r>
          <w:fldChar w:fldCharType="end"/>
        </w:r>
      </w:p>
    </w:sdtContent>
  </w:sdt>
  <w:p>
    <w:pPr>
      <w:pStyle w:val="54"/>
      <w:jc w:val="center"/>
      <w:rPr>
        <w:rFonts w:ascii="楷体_GB2312" w:eastAsia="楷体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adjustRightInd w:val="0"/>
      <w:jc w:val="center"/>
    </w:pPr>
    <w:r>
      <w:rPr>
        <w:rStyle w:val="97"/>
      </w:rPr>
      <w:fldChar w:fldCharType="begin"/>
    </w:r>
    <w:r>
      <w:rPr>
        <w:rStyle w:val="97"/>
      </w:rPr>
      <w:instrText xml:space="preserve">PAGE  </w:instrText>
    </w:r>
    <w:r>
      <w:rPr>
        <w:rStyle w:val="97"/>
      </w:rPr>
      <w:fldChar w:fldCharType="separate"/>
    </w:r>
    <w:r>
      <w:rPr>
        <w:rStyle w:val="97"/>
      </w:rPr>
      <w:t>2</w:t>
    </w:r>
    <w:r>
      <w:rPr>
        <w:rStyle w:val="97"/>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jc w:val="center"/>
    </w:pPr>
    <w:r>
      <w:fldChar w:fldCharType="begin"/>
    </w:r>
    <w:r>
      <w:instrText xml:space="preserve"> PAGE   \* MERGEFORMAT </w:instrText>
    </w:r>
    <w:r>
      <w:fldChar w:fldCharType="separate"/>
    </w:r>
    <w:r>
      <w:rPr>
        <w:lang w:val="zh-CN"/>
      </w:rPr>
      <w:t>12</w:t>
    </w:r>
    <w:r>
      <w:rPr>
        <w:lang w:val="zh-C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jc w:val="center"/>
    </w:pPr>
    <w:r>
      <w:fldChar w:fldCharType="begin"/>
    </w:r>
    <w:r>
      <w:instrText xml:space="preserve"> PAGE   \* MERGEFORMAT </w:instrText>
    </w:r>
    <w:r>
      <w:fldChar w:fldCharType="separate"/>
    </w:r>
    <w:r>
      <w:rPr>
        <w:lang w:val="zh-CN"/>
      </w:rPr>
      <w:t>81</w:t>
    </w:r>
    <w:r>
      <w:rPr>
        <w:lang w:val="zh-CN"/>
      </w:rPr>
      <w:fldChar w:fldCharType="end"/>
    </w:r>
  </w:p>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6"/>
      <w:ind w:right="360"/>
      <w:jc w:val="center"/>
      <w:rPr>
        <w:sz w:val="18"/>
      </w:rPr>
    </w:pPr>
    <w:r>
      <w:rPr>
        <w:rStyle w:val="97"/>
        <w:sz w:val="18"/>
        <w:szCs w:val="18"/>
      </w:rPr>
      <w:fldChar w:fldCharType="begin"/>
    </w:r>
    <w:r>
      <w:rPr>
        <w:rStyle w:val="97"/>
        <w:sz w:val="18"/>
        <w:szCs w:val="18"/>
      </w:rPr>
      <w:instrText xml:space="preserve"> PAGE </w:instrText>
    </w:r>
    <w:r>
      <w:rPr>
        <w:rStyle w:val="97"/>
        <w:sz w:val="18"/>
        <w:szCs w:val="18"/>
      </w:rPr>
      <w:fldChar w:fldCharType="separate"/>
    </w:r>
    <w:r>
      <w:rPr>
        <w:rStyle w:val="97"/>
        <w:sz w:val="18"/>
        <w:szCs w:val="18"/>
      </w:rPr>
      <w:t>96</w:t>
    </w:r>
    <w:r>
      <w:rPr>
        <w:rStyle w:val="97"/>
        <w:sz w:val="18"/>
        <w:szCs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6"/>
      <w:ind w:right="360"/>
      <w:jc w:val="center"/>
      <w:rPr>
        <w:sz w:val="18"/>
      </w:rPr>
    </w:pPr>
    <w:r>
      <w:rPr>
        <w:rStyle w:val="97"/>
        <w:sz w:val="18"/>
        <w:szCs w:val="18"/>
      </w:rPr>
      <w:fldChar w:fldCharType="begin"/>
    </w:r>
    <w:r>
      <w:rPr>
        <w:rStyle w:val="97"/>
        <w:sz w:val="18"/>
        <w:szCs w:val="18"/>
      </w:rPr>
      <w:instrText xml:space="preserve"> PAGE </w:instrText>
    </w:r>
    <w:r>
      <w:rPr>
        <w:rStyle w:val="97"/>
        <w:sz w:val="18"/>
        <w:szCs w:val="18"/>
      </w:rPr>
      <w:fldChar w:fldCharType="separate"/>
    </w:r>
    <w:r>
      <w:rPr>
        <w:rStyle w:val="97"/>
        <w:sz w:val="18"/>
        <w:szCs w:val="18"/>
      </w:rPr>
      <w:t>98</w:t>
    </w:r>
    <w:r>
      <w:rPr>
        <w:rStyle w:val="97"/>
        <w:sz w:val="18"/>
        <w:szCs w:val="18"/>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Pr>
    <w:r>
      <w:rPr>
        <w:rFonts w:hint="eastAsia" w:eastAsia="楷体_GB2312"/>
      </w:rPr>
      <w:t xml:space="preserve">富德（常州）能源化工发展有限公司年产30万吨聚丙烯项目 </w:t>
    </w:r>
    <w:r>
      <w:rPr>
        <w:rFonts w:eastAsia="楷体_GB2312"/>
      </w:rPr>
      <w:t xml:space="preserve">        </w:t>
    </w:r>
    <w:r>
      <w:rPr>
        <w:rFonts w:hint="eastAsia" w:eastAsia="楷体_GB2312"/>
      </w:rPr>
      <w:t xml:space="preserve">  </w:t>
    </w:r>
    <w:r>
      <w:rPr>
        <w:rFonts w:eastAsia="楷体_GB2312"/>
      </w:rPr>
      <w:t xml:space="preserve">    </w:t>
    </w:r>
    <w:r>
      <w:rPr>
        <w:rFonts w:hint="eastAsia" w:eastAsia="楷体_GB2312"/>
      </w:rPr>
      <w:t xml:space="preserve">    4 环境现状调查与评价</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Pr>
    <w:r>
      <w:rPr>
        <w:rFonts w:hint="eastAsia" w:eastAsia="楷体_GB2312"/>
      </w:rPr>
      <w:t>富德（常州）能源化工发展有限公司年产30万吨聚丙烯项目                  15 结论和建议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Pr>
    <w:r>
      <w:rPr>
        <w:rFonts w:hint="eastAsia" w:ascii="宋体" w:hAnsi="宋体" w:cs="宋体"/>
      </w:rPr>
      <w:t>江苏双联新能源材料科技有限</w:t>
    </w:r>
    <w:r>
      <w:rPr>
        <w:rFonts w:ascii="宋体" w:hAnsi="宋体" w:cs="宋体"/>
      </w:rPr>
      <w:t>公司</w:t>
    </w:r>
    <w:r>
      <w:rPr>
        <w:rFonts w:hint="eastAsia" w:ascii="宋体" w:hAnsi="宋体" w:cs="宋体"/>
      </w:rPr>
      <w:t>新建</w:t>
    </w:r>
    <w:r>
      <w:rPr>
        <w:rFonts w:ascii="宋体" w:hAnsi="宋体" w:cs="宋体"/>
      </w:rPr>
      <w:t>年产新能源电子材料</w:t>
    </w:r>
    <w:r>
      <w:rPr>
        <w:rFonts w:hint="eastAsia" w:ascii="宋体" w:hAnsi="宋体" w:cs="宋体"/>
      </w:rPr>
      <w:t>3000万</w:t>
    </w:r>
    <w:r>
      <w:rPr>
        <w:rFonts w:ascii="宋体" w:hAnsi="宋体" w:cs="宋体"/>
      </w:rPr>
      <w:t>平方米</w:t>
    </w:r>
    <w:r>
      <w:rPr>
        <w:rFonts w:hint="eastAsia" w:ascii="宋体" w:hAnsi="宋体" w:cs="宋体"/>
      </w:rPr>
      <w:t>项目环境影响报告书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Pr>
    <w:r>
      <w:rPr>
        <w:rFonts w:hint="eastAsia" w:eastAsia="楷体_GB2312"/>
      </w:rPr>
      <w:t xml:space="preserve">富德（常州）能源化工发展有限公司年产30万吨聚丙烯项目 </w:t>
    </w:r>
    <w:r>
      <w:rPr>
        <w:rFonts w:eastAsia="楷体_GB2312"/>
      </w:rPr>
      <w:t xml:space="preserve">        </w:t>
    </w:r>
    <w:r>
      <w:rPr>
        <w:rFonts w:hint="eastAsia" w:eastAsia="楷体_GB2312"/>
      </w:rPr>
      <w:t xml:space="preserve">  </w:t>
    </w:r>
    <w:r>
      <w:rPr>
        <w:rFonts w:eastAsia="楷体_GB2312"/>
      </w:rPr>
      <w:t xml:space="preserve">    </w:t>
    </w:r>
    <w:r>
      <w:rPr>
        <w:rFonts w:hint="eastAsia" w:eastAsia="楷体_GB2312"/>
      </w:rPr>
      <w:t xml:space="preserve">    4 环境现状调查与评价</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Pr>
    <w:r>
      <w:rPr>
        <w:rFonts w:hint="eastAsia" w:ascii="宋体" w:hAnsi="宋体" w:cs="宋体"/>
      </w:rPr>
      <w:t>江苏双联新能源材料科技有限</w:t>
    </w:r>
    <w:r>
      <w:rPr>
        <w:rFonts w:ascii="宋体" w:hAnsi="宋体" w:cs="宋体"/>
      </w:rPr>
      <w:t>公司</w:t>
    </w:r>
    <w:r>
      <w:rPr>
        <w:rFonts w:hint="eastAsia" w:ascii="宋体" w:hAnsi="宋体" w:cs="宋体"/>
      </w:rPr>
      <w:t>新建年产新能源电子材料3</w:t>
    </w:r>
    <w:r>
      <w:rPr>
        <w:rFonts w:ascii="宋体" w:hAnsi="宋体" w:cs="宋体"/>
      </w:rPr>
      <w:t>000</w:t>
    </w:r>
    <w:r>
      <w:rPr>
        <w:rFonts w:hint="eastAsia" w:ascii="宋体" w:hAnsi="宋体" w:cs="宋体"/>
      </w:rPr>
      <w:t>万平方米</w:t>
    </w:r>
    <w:r>
      <w:rPr>
        <w:rFonts w:ascii="宋体" w:hAnsi="宋体" w:cs="宋体"/>
      </w:rPr>
      <w:t>项目</w:t>
    </w:r>
    <w:r>
      <w:rPr>
        <w:rFonts w:hint="eastAsia" w:ascii="宋体" w:hAnsi="宋体" w:cs="宋体"/>
      </w:rPr>
      <w:t>环境影响报告书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rPr>
        <w:rFonts w:ascii="宋体" w:hAnsi="宋体" w:cs="宋体"/>
      </w:rPr>
    </w:pPr>
    <w:r>
      <w:rPr>
        <w:rFonts w:hint="eastAsia" w:ascii="宋体" w:hAnsi="宋体" w:cs="宋体"/>
      </w:rPr>
      <w:t>江苏双联新能源材料科技有限</w:t>
    </w:r>
    <w:r>
      <w:rPr>
        <w:rFonts w:ascii="宋体" w:hAnsi="宋体" w:cs="宋体"/>
      </w:rPr>
      <w:t>公司</w:t>
    </w:r>
    <w:r>
      <w:rPr>
        <w:rFonts w:hint="eastAsia" w:ascii="宋体" w:hAnsi="宋体" w:cs="宋体"/>
      </w:rPr>
      <w:t>新建</w:t>
    </w:r>
    <w:r>
      <w:rPr>
        <w:rFonts w:ascii="宋体" w:hAnsi="宋体" w:cs="宋体"/>
      </w:rPr>
      <w:t>年产新能源电子材料</w:t>
    </w:r>
    <w:r>
      <w:rPr>
        <w:rFonts w:hint="eastAsia" w:ascii="宋体" w:hAnsi="宋体" w:cs="宋体"/>
      </w:rPr>
      <w:t>3000万</w:t>
    </w:r>
    <w:r>
      <w:rPr>
        <w:rFonts w:ascii="宋体" w:hAnsi="宋体" w:cs="宋体"/>
      </w:rPr>
      <w:t>平方米</w:t>
    </w:r>
    <w:r>
      <w:rPr>
        <w:rFonts w:hint="eastAsia" w:ascii="宋体" w:hAnsi="宋体" w:cs="宋体"/>
      </w:rPr>
      <w:t>项目环境影响报告书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Bdr>
        <w:bottom w:val="single" w:color="auto" w:sz="6" w:space="0"/>
      </w:pBdr>
      <w:adjustRightInd w:val="0"/>
    </w:pPr>
    <w:r>
      <w:rPr>
        <w:rFonts w:hint="eastAsia" w:eastAsia="楷体_GB2312"/>
      </w:rPr>
      <w:t>富德（常州）能源化工发展有限公司年产30万吨聚丙烯项目       8 环境保护措施及其经济、技术论证</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both"/>
    </w:pPr>
    <w:r>
      <w:rPr>
        <w:rFonts w:hint="eastAsia" w:eastAsia="楷体_GB2312"/>
      </w:rPr>
      <w:t>富德（常州）能源化工发展有限公司年产30万吨聚丙烯项目            11 环境经济损益分析</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Pr>
    <w:r>
      <w:rPr>
        <w:rFonts w:hint="eastAsia" w:eastAsia="楷体_GB2312"/>
      </w:rPr>
      <w:t>富德（常州）能源化工发展有限公司年产30万吨聚丙烯项目      12 环境监控及环保管理计划</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D29F1AB"/>
    <w:multiLevelType w:val="singleLevel"/>
    <w:tmpl w:val="FD29F1AB"/>
    <w:lvl w:ilvl="0" w:tentative="0">
      <w:start w:val="1"/>
      <w:numFmt w:val="chineseCounting"/>
      <w:suff w:val="nothing"/>
      <w:lvlText w:val="%1、"/>
      <w:lvlJc w:val="left"/>
      <w:rPr>
        <w:rFonts w:hint="eastAsia"/>
      </w:rPr>
    </w:lvl>
  </w:abstractNum>
  <w:abstractNum w:abstractNumId="1">
    <w:nsid w:val="031432B0"/>
    <w:multiLevelType w:val="multilevel"/>
    <w:tmpl w:val="031432B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35D370C"/>
    <w:multiLevelType w:val="multilevel"/>
    <w:tmpl w:val="035D370C"/>
    <w:lvl w:ilvl="0" w:tentative="0">
      <w:start w:val="1"/>
      <w:numFmt w:val="decimalEnclosedCircle"/>
      <w:lvlText w:val="%1"/>
      <w:lvlJc w:val="left"/>
      <w:pPr>
        <w:ind w:left="920" w:hanging="360"/>
      </w:pPr>
      <w:rPr>
        <w:rFonts w:hint="default" w:ascii="宋体" w:hAnsi="宋体" w:eastAsia="宋体" w:cs="宋体"/>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
    <w:nsid w:val="0D2D2EE0"/>
    <w:multiLevelType w:val="multilevel"/>
    <w:tmpl w:val="0D2D2EE0"/>
    <w:lvl w:ilvl="0" w:tentative="0">
      <w:start w:val="1"/>
      <w:numFmt w:val="decimal"/>
      <w:lvlText w:val="（%1）"/>
      <w:lvlJc w:val="left"/>
      <w:pPr>
        <w:ind w:left="1295" w:hanging="735"/>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0DE24578"/>
    <w:multiLevelType w:val="multilevel"/>
    <w:tmpl w:val="0DE24578"/>
    <w:lvl w:ilvl="0" w:tentative="0">
      <w:start w:val="1"/>
      <w:numFmt w:val="decimal"/>
      <w:lvlText w:val="%1."/>
      <w:lvlJc w:val="left"/>
      <w:pPr>
        <w:tabs>
          <w:tab w:val="left" w:pos="720"/>
        </w:tabs>
        <w:ind w:left="720" w:hanging="360"/>
      </w:pPr>
    </w:lvl>
    <w:lvl w:ilvl="1" w:tentative="0">
      <w:start w:val="1"/>
      <w:numFmt w:val="bullet"/>
      <w:pStyle w:val="342"/>
      <w:lvlText w:val=""/>
      <w:lvlJc w:val="left"/>
      <w:pPr>
        <w:tabs>
          <w:tab w:val="left" w:pos="1437"/>
        </w:tabs>
        <w:ind w:left="1437" w:hanging="357"/>
      </w:pPr>
      <w:rPr>
        <w:rFonts w:hint="default" w:ascii="Symbol" w:hAnsi="Symbol"/>
      </w:r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5">
    <w:nsid w:val="13E1577B"/>
    <w:multiLevelType w:val="multilevel"/>
    <w:tmpl w:val="13E1577B"/>
    <w:lvl w:ilvl="0" w:tentative="0">
      <w:start w:val="1"/>
      <w:numFmt w:val="decimal"/>
      <w:lvlText w:val="%1"/>
      <w:lvlJc w:val="left"/>
      <w:pPr>
        <w:ind w:left="992" w:hanging="425"/>
      </w:pPr>
      <w:rPr>
        <w:sz w:val="36"/>
        <w:szCs w:val="36"/>
      </w:rPr>
    </w:lvl>
    <w:lvl w:ilvl="1" w:tentative="0">
      <w:start w:val="1"/>
      <w:numFmt w:val="decimal"/>
      <w:pStyle w:val="3"/>
      <w:lvlText w:val="%1.%2"/>
      <w:lvlJc w:val="left"/>
      <w:pPr>
        <w:ind w:left="567" w:hanging="567"/>
      </w:pPr>
      <w:rPr>
        <w:lang w:val="en-US"/>
      </w:rPr>
    </w:lvl>
    <w:lvl w:ilvl="2" w:tentative="0">
      <w:start w:val="1"/>
      <w:numFmt w:val="decimal"/>
      <w:lvlText w:val="%1.%2.%3"/>
      <w:lvlJc w:val="left"/>
      <w:pPr>
        <w:ind w:left="851" w:hanging="567"/>
      </w:pPr>
      <w:rPr>
        <w:b/>
        <w:sz w:val="30"/>
        <w:szCs w:val="30"/>
      </w:rPr>
    </w:lvl>
    <w:lvl w:ilvl="3" w:tentative="0">
      <w:start w:val="1"/>
      <w:numFmt w:val="decimal"/>
      <w:lvlText w:val="%1.%2.%3.%4"/>
      <w:lvlJc w:val="left"/>
      <w:pPr>
        <w:ind w:left="849" w:hanging="708"/>
      </w:pPr>
      <w:rPr>
        <w:rFonts w:hint="default" w:ascii="Times New Roman" w:hAnsi="Times New Roman" w:eastAsia="仿宋_GB2312" w:cs="Times New Roman"/>
        <w:color w:val="auto"/>
      </w:r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6">
    <w:nsid w:val="140F4386"/>
    <w:multiLevelType w:val="multilevel"/>
    <w:tmpl w:val="140F4386"/>
    <w:lvl w:ilvl="0" w:tentative="0">
      <w:start w:val="1"/>
      <w:numFmt w:val="decimal"/>
      <w:lvlText w:val="%1、"/>
      <w:lvlJc w:val="left"/>
      <w:pPr>
        <w:ind w:left="360" w:hanging="360"/>
      </w:pPr>
      <w:rPr>
        <w:rFonts w:hint="default"/>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1AD62C0E"/>
    <w:multiLevelType w:val="multilevel"/>
    <w:tmpl w:val="1AD62C0E"/>
    <w:lvl w:ilvl="0" w:tentative="0">
      <w:start w:val="1"/>
      <w:numFmt w:val="decimal"/>
      <w:lvlText w:val="（%1）"/>
      <w:lvlJc w:val="left"/>
      <w:pPr>
        <w:ind w:left="1295" w:hanging="735"/>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8">
    <w:nsid w:val="1BA51513"/>
    <w:multiLevelType w:val="singleLevel"/>
    <w:tmpl w:val="1BA51513"/>
    <w:lvl w:ilvl="0" w:tentative="0">
      <w:start w:val="1"/>
      <w:numFmt w:val="decimal"/>
      <w:suff w:val="nothing"/>
      <w:lvlText w:val="%1、"/>
      <w:lvlJc w:val="left"/>
    </w:lvl>
  </w:abstractNum>
  <w:abstractNum w:abstractNumId="9">
    <w:nsid w:val="21915D5D"/>
    <w:multiLevelType w:val="multilevel"/>
    <w:tmpl w:val="21915D5D"/>
    <w:lvl w:ilvl="0" w:tentative="0">
      <w:start w:val="1"/>
      <w:numFmt w:val="bullet"/>
      <w:pStyle w:val="334"/>
      <w:lvlText w:val=""/>
      <w:lvlJc w:val="left"/>
      <w:pPr>
        <w:tabs>
          <w:tab w:val="left" w:pos="360"/>
        </w:tabs>
        <w:ind w:left="357" w:hanging="357"/>
      </w:pPr>
      <w:rPr>
        <w:rFonts w:hint="default" w:ascii="Symbol" w:hAnsi="Symbol"/>
        <w:position w:val="0"/>
      </w:rPr>
    </w:lvl>
    <w:lvl w:ilvl="1" w:tentative="0">
      <w:start w:val="1"/>
      <w:numFmt w:val="bullet"/>
      <w:lvlText w:val=""/>
      <w:lvlJc w:val="left"/>
      <w:pPr>
        <w:tabs>
          <w:tab w:val="left" w:pos="720"/>
        </w:tabs>
        <w:ind w:left="720" w:hanging="363"/>
      </w:pPr>
      <w:rPr>
        <w:rFonts w:hint="default" w:ascii="Symbol" w:hAnsi="Symbol"/>
      </w:rPr>
    </w:lvl>
    <w:lvl w:ilvl="2" w:tentative="0">
      <w:start w:val="1"/>
      <w:numFmt w:val="bullet"/>
      <w:lvlText w:val=""/>
      <w:lvlJc w:val="left"/>
      <w:pPr>
        <w:tabs>
          <w:tab w:val="left" w:pos="1077"/>
        </w:tabs>
        <w:ind w:left="1077" w:hanging="357"/>
      </w:pPr>
      <w:rPr>
        <w:rFonts w:hint="default" w:ascii="Symbol" w:hAnsi="Symbol"/>
      </w:rPr>
    </w:lvl>
    <w:lvl w:ilvl="3" w:tentative="0">
      <w:start w:val="1"/>
      <w:numFmt w:val="none"/>
      <w:suff w:val="nothing"/>
      <w:lvlText w:val=""/>
      <w:lvlJc w:val="left"/>
      <w:pPr>
        <w:ind w:left="0" w:firstLine="0"/>
      </w:pPr>
      <w:rPr>
        <w:rFonts w:hint="default"/>
      </w:rPr>
    </w:lvl>
    <w:lvl w:ilvl="4" w:tentative="0">
      <w:start w:val="1"/>
      <w:numFmt w:val="none"/>
      <w:suff w:val="nothing"/>
      <w:lvlText w:val=""/>
      <w:lvlJc w:val="left"/>
      <w:pPr>
        <w:ind w:left="0" w:firstLine="0"/>
      </w:pPr>
      <w:rPr>
        <w:rFonts w:hint="default"/>
      </w:rPr>
    </w:lvl>
    <w:lvl w:ilvl="5" w:tentative="0">
      <w:start w:val="1"/>
      <w:numFmt w:val="none"/>
      <w:suff w:val="nothing"/>
      <w:lvlText w:val=""/>
      <w:lvlJc w:val="left"/>
      <w:pPr>
        <w:ind w:left="0" w:firstLine="0"/>
      </w:pPr>
      <w:rPr>
        <w:rFonts w:hint="default"/>
      </w:rPr>
    </w:lvl>
    <w:lvl w:ilvl="6" w:tentative="0">
      <w:start w:val="1"/>
      <w:numFmt w:val="none"/>
      <w:suff w:val="nothing"/>
      <w:lvlText w:val=""/>
      <w:lvlJc w:val="left"/>
      <w:pPr>
        <w:ind w:left="0" w:firstLine="0"/>
      </w:pPr>
      <w:rPr>
        <w:rFonts w:hint="default"/>
      </w:rPr>
    </w:lvl>
    <w:lvl w:ilvl="7" w:tentative="0">
      <w:start w:val="1"/>
      <w:numFmt w:val="none"/>
      <w:suff w:val="nothing"/>
      <w:lvlText w:val=""/>
      <w:lvlJc w:val="left"/>
      <w:pPr>
        <w:ind w:left="0" w:firstLine="0"/>
      </w:pPr>
      <w:rPr>
        <w:rFonts w:hint="default"/>
      </w:rPr>
    </w:lvl>
    <w:lvl w:ilvl="8" w:tentative="0">
      <w:start w:val="1"/>
      <w:numFmt w:val="none"/>
      <w:suff w:val="nothing"/>
      <w:lvlText w:val=""/>
      <w:lvlJc w:val="left"/>
      <w:pPr>
        <w:ind w:left="0" w:firstLine="0"/>
      </w:pPr>
      <w:rPr>
        <w:rFonts w:hint="default"/>
      </w:rPr>
    </w:lvl>
  </w:abstractNum>
  <w:abstractNum w:abstractNumId="10">
    <w:nsid w:val="2733117F"/>
    <w:multiLevelType w:val="multilevel"/>
    <w:tmpl w:val="2733117F"/>
    <w:lvl w:ilvl="0" w:tentative="0">
      <w:start w:val="1"/>
      <w:numFmt w:val="decimal"/>
      <w:pStyle w:val="263"/>
      <w:lvlText w:val="%1"/>
      <w:lvlJc w:val="left"/>
      <w:pPr>
        <w:tabs>
          <w:tab w:val="left" w:pos="432"/>
        </w:tabs>
        <w:ind w:left="432" w:hanging="432"/>
      </w:pPr>
      <w:rPr>
        <w:rFonts w:hint="eastAsia"/>
      </w:rPr>
    </w:lvl>
    <w:lvl w:ilvl="1" w:tentative="0">
      <w:start w:val="1"/>
      <w:numFmt w:val="decimal"/>
      <w:pStyle w:val="264"/>
      <w:lvlText w:val="%1.%2"/>
      <w:lvlJc w:val="left"/>
      <w:pPr>
        <w:tabs>
          <w:tab w:val="left" w:pos="720"/>
        </w:tabs>
        <w:ind w:left="397" w:hanging="397"/>
      </w:pPr>
      <w:rPr>
        <w:rFonts w:hint="eastAsia" w:eastAsia="仿宋_GB2312"/>
      </w:rPr>
    </w:lvl>
    <w:lvl w:ilvl="2" w:tentative="0">
      <w:start w:val="1"/>
      <w:numFmt w:val="decimal"/>
      <w:pStyle w:val="265"/>
      <w:lvlText w:val="%1.%2.%3"/>
      <w:lvlJc w:val="left"/>
      <w:pPr>
        <w:tabs>
          <w:tab w:val="left" w:pos="1021"/>
        </w:tabs>
        <w:ind w:left="1021" w:hanging="1021"/>
      </w:pPr>
      <w:rPr>
        <w:rFonts w:hint="default" w:ascii="Times New Roman" w:hAnsi="Times New Roman" w:eastAsia="宋体"/>
        <w:b/>
        <w:i w:val="0"/>
        <w:sz w:val="24"/>
        <w:szCs w:val="24"/>
      </w:rPr>
    </w:lvl>
    <w:lvl w:ilvl="3" w:tentative="0">
      <w:start w:val="1"/>
      <w:numFmt w:val="decimal"/>
      <w:pStyle w:val="266"/>
      <w:lvlText w:val="%1.%2.%3.%4"/>
      <w:lvlJc w:val="left"/>
      <w:pPr>
        <w:tabs>
          <w:tab w:val="left" w:pos="1247"/>
        </w:tabs>
        <w:ind w:left="964" w:hanging="964"/>
      </w:pPr>
      <w:rPr>
        <w:rFonts w:hint="default" w:ascii="Times New Roman" w:hAnsi="Times New Roman" w:eastAsia="宋体"/>
        <w:sz w:val="24"/>
        <w:szCs w:val="24"/>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1">
    <w:nsid w:val="385730A9"/>
    <w:multiLevelType w:val="multilevel"/>
    <w:tmpl w:val="385730A9"/>
    <w:lvl w:ilvl="0" w:tentative="0">
      <w:start w:val="1"/>
      <w:numFmt w:val="decimalEnclosedCircle"/>
      <w:lvlText w:val="%1"/>
      <w:lvlJc w:val="left"/>
      <w:pPr>
        <w:ind w:left="920" w:hanging="360"/>
      </w:pPr>
      <w:rPr>
        <w:rFonts w:hint="default" w:ascii="仿宋" w:hAnsi="仿宋" w:eastAsia="仿宋"/>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2">
    <w:nsid w:val="3A9D4FB6"/>
    <w:multiLevelType w:val="singleLevel"/>
    <w:tmpl w:val="3A9D4FB6"/>
    <w:lvl w:ilvl="0" w:tentative="0">
      <w:start w:val="1"/>
      <w:numFmt w:val="decimal"/>
      <w:pStyle w:val="115"/>
      <w:lvlText w:val="%1."/>
      <w:lvlJc w:val="left"/>
      <w:pPr>
        <w:tabs>
          <w:tab w:val="left" w:pos="2040"/>
        </w:tabs>
        <w:ind w:left="2040" w:leftChars="800" w:hanging="360" w:hangingChars="200"/>
      </w:pPr>
    </w:lvl>
  </w:abstractNum>
  <w:abstractNum w:abstractNumId="13">
    <w:nsid w:val="3C6E6390"/>
    <w:multiLevelType w:val="singleLevel"/>
    <w:tmpl w:val="3C6E6390"/>
    <w:lvl w:ilvl="0" w:tentative="0">
      <w:start w:val="4"/>
      <w:numFmt w:val="decimal"/>
      <w:suff w:val="nothing"/>
      <w:lvlText w:val="%1、"/>
      <w:lvlJc w:val="left"/>
    </w:lvl>
  </w:abstractNum>
  <w:abstractNum w:abstractNumId="14">
    <w:nsid w:val="53E41C91"/>
    <w:multiLevelType w:val="multilevel"/>
    <w:tmpl w:val="53E41C91"/>
    <w:lvl w:ilvl="0" w:tentative="0">
      <w:start w:val="1"/>
      <w:numFmt w:val="decimalEnclosedParen"/>
      <w:lvlText w:val="%1"/>
      <w:lvlJc w:val="left"/>
      <w:pPr>
        <w:ind w:left="920" w:hanging="360"/>
      </w:pPr>
      <w:rPr>
        <w:rFonts w:hint="default" w:cs="宋体"/>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5">
    <w:nsid w:val="64D51C4E"/>
    <w:multiLevelType w:val="multilevel"/>
    <w:tmpl w:val="64D51C4E"/>
    <w:lvl w:ilvl="0" w:tentative="0">
      <w:start w:val="1"/>
      <w:numFmt w:val="decimalEnclosedCircle"/>
      <w:lvlText w:val="%1"/>
      <w:lvlJc w:val="left"/>
      <w:pPr>
        <w:ind w:left="920" w:hanging="36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6">
    <w:nsid w:val="67DF1FD8"/>
    <w:multiLevelType w:val="multilevel"/>
    <w:tmpl w:val="67DF1FD8"/>
    <w:lvl w:ilvl="0" w:tentative="0">
      <w:start w:val="1"/>
      <w:numFmt w:val="decimalEnclosedParen"/>
      <w:lvlText w:val="%1"/>
      <w:lvlJc w:val="left"/>
      <w:pPr>
        <w:ind w:left="920" w:hanging="360"/>
      </w:pPr>
      <w:rPr>
        <w:rFonts w:hint="default" w:cs="宋体"/>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7">
    <w:nsid w:val="6AEC3627"/>
    <w:multiLevelType w:val="singleLevel"/>
    <w:tmpl w:val="6AEC3627"/>
    <w:lvl w:ilvl="0" w:tentative="0">
      <w:start w:val="4"/>
      <w:numFmt w:val="chineseCounting"/>
      <w:suff w:val="nothing"/>
      <w:lvlText w:val="（%1）"/>
      <w:lvlJc w:val="left"/>
      <w:rPr>
        <w:rFonts w:hint="eastAsia"/>
      </w:rPr>
    </w:lvl>
  </w:abstractNum>
  <w:num w:numId="1">
    <w:abstractNumId w:val="5"/>
  </w:num>
  <w:num w:numId="2">
    <w:abstractNumId w:val="12"/>
  </w:num>
  <w:num w:numId="3">
    <w:abstractNumId w:val="10"/>
  </w:num>
  <w:num w:numId="4">
    <w:abstractNumId w:val="9"/>
  </w:num>
  <w:num w:numId="5">
    <w:abstractNumId w:val="4"/>
  </w:num>
  <w:num w:numId="6">
    <w:abstractNumId w:val="3"/>
  </w:num>
  <w:num w:numId="7">
    <w:abstractNumId w:val="8"/>
  </w:num>
  <w:num w:numId="8">
    <w:abstractNumId w:val="1"/>
  </w:num>
  <w:num w:numId="9">
    <w:abstractNumId w:val="6"/>
  </w:num>
  <w:num w:numId="10">
    <w:abstractNumId w:val="11"/>
  </w:num>
  <w:num w:numId="11">
    <w:abstractNumId w:val="13"/>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4"/>
  </w:num>
  <w:num w:numId="15">
    <w:abstractNumId w:val="2"/>
  </w:num>
  <w:num w:numId="16">
    <w:abstractNumId w:val="0"/>
  </w:num>
  <w:num w:numId="17">
    <w:abstractNumId w:val="15"/>
  </w:num>
  <w:num w:numId="18">
    <w:abstractNumId w:val="17"/>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embedSystemFonts/>
  <w:bordersDoNotSurroundHeader w:val="1"/>
  <w:bordersDoNotSurroundFooter w:val="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ZhMzA0MTE2MGQ3ODcwOTgyMWY3NzY0ZDhkYzQxODcifQ=="/>
  </w:docVars>
  <w:rsids>
    <w:rsidRoot w:val="00716920"/>
    <w:rsid w:val="000001D7"/>
    <w:rsid w:val="00000228"/>
    <w:rsid w:val="000002FC"/>
    <w:rsid w:val="000003B9"/>
    <w:rsid w:val="000007BD"/>
    <w:rsid w:val="000007D0"/>
    <w:rsid w:val="00000BC5"/>
    <w:rsid w:val="00000C3D"/>
    <w:rsid w:val="0000118E"/>
    <w:rsid w:val="0000125E"/>
    <w:rsid w:val="000013F9"/>
    <w:rsid w:val="0000155A"/>
    <w:rsid w:val="000016BE"/>
    <w:rsid w:val="00001BF8"/>
    <w:rsid w:val="00001D66"/>
    <w:rsid w:val="000021AD"/>
    <w:rsid w:val="00002403"/>
    <w:rsid w:val="0000258D"/>
    <w:rsid w:val="00002731"/>
    <w:rsid w:val="000028DD"/>
    <w:rsid w:val="000029B4"/>
    <w:rsid w:val="00002A37"/>
    <w:rsid w:val="00002D9E"/>
    <w:rsid w:val="00002F7C"/>
    <w:rsid w:val="00002F87"/>
    <w:rsid w:val="00002F9E"/>
    <w:rsid w:val="0000301E"/>
    <w:rsid w:val="000032C5"/>
    <w:rsid w:val="00003346"/>
    <w:rsid w:val="00003434"/>
    <w:rsid w:val="000036C3"/>
    <w:rsid w:val="000037B4"/>
    <w:rsid w:val="000038BB"/>
    <w:rsid w:val="00003A25"/>
    <w:rsid w:val="00003D83"/>
    <w:rsid w:val="00003E9D"/>
    <w:rsid w:val="00003F78"/>
    <w:rsid w:val="0000400B"/>
    <w:rsid w:val="00004014"/>
    <w:rsid w:val="0000403E"/>
    <w:rsid w:val="000040D4"/>
    <w:rsid w:val="00004104"/>
    <w:rsid w:val="00004297"/>
    <w:rsid w:val="0000460D"/>
    <w:rsid w:val="00004733"/>
    <w:rsid w:val="00004BC2"/>
    <w:rsid w:val="00004BFF"/>
    <w:rsid w:val="00004C43"/>
    <w:rsid w:val="00004C57"/>
    <w:rsid w:val="00004DF8"/>
    <w:rsid w:val="00004F5D"/>
    <w:rsid w:val="00005259"/>
    <w:rsid w:val="0000525C"/>
    <w:rsid w:val="000054E8"/>
    <w:rsid w:val="00005521"/>
    <w:rsid w:val="0000559E"/>
    <w:rsid w:val="0000563D"/>
    <w:rsid w:val="0000577F"/>
    <w:rsid w:val="0000586A"/>
    <w:rsid w:val="000059E1"/>
    <w:rsid w:val="00005E65"/>
    <w:rsid w:val="00005F4C"/>
    <w:rsid w:val="000061CF"/>
    <w:rsid w:val="00006350"/>
    <w:rsid w:val="000066DB"/>
    <w:rsid w:val="00006984"/>
    <w:rsid w:val="000069E7"/>
    <w:rsid w:val="00006C8B"/>
    <w:rsid w:val="000074E4"/>
    <w:rsid w:val="00007A49"/>
    <w:rsid w:val="00007ED3"/>
    <w:rsid w:val="00007FDA"/>
    <w:rsid w:val="00007FF4"/>
    <w:rsid w:val="000100A3"/>
    <w:rsid w:val="0001020C"/>
    <w:rsid w:val="00010377"/>
    <w:rsid w:val="000103DE"/>
    <w:rsid w:val="00010445"/>
    <w:rsid w:val="0001058A"/>
    <w:rsid w:val="000107C6"/>
    <w:rsid w:val="000108B2"/>
    <w:rsid w:val="00010B7A"/>
    <w:rsid w:val="00010E56"/>
    <w:rsid w:val="00011261"/>
    <w:rsid w:val="0001131A"/>
    <w:rsid w:val="0001175A"/>
    <w:rsid w:val="00011917"/>
    <w:rsid w:val="00011AEE"/>
    <w:rsid w:val="00011BBF"/>
    <w:rsid w:val="00011BEC"/>
    <w:rsid w:val="00011E49"/>
    <w:rsid w:val="00011EBE"/>
    <w:rsid w:val="0001212D"/>
    <w:rsid w:val="000121A8"/>
    <w:rsid w:val="00012370"/>
    <w:rsid w:val="00012600"/>
    <w:rsid w:val="00012877"/>
    <w:rsid w:val="00012A8E"/>
    <w:rsid w:val="00012BC4"/>
    <w:rsid w:val="00012C32"/>
    <w:rsid w:val="00012EAC"/>
    <w:rsid w:val="00013328"/>
    <w:rsid w:val="00013C77"/>
    <w:rsid w:val="00013F4A"/>
    <w:rsid w:val="000140AA"/>
    <w:rsid w:val="00014111"/>
    <w:rsid w:val="0001417C"/>
    <w:rsid w:val="000143E8"/>
    <w:rsid w:val="00014409"/>
    <w:rsid w:val="00014461"/>
    <w:rsid w:val="00014468"/>
    <w:rsid w:val="0001486D"/>
    <w:rsid w:val="000148AF"/>
    <w:rsid w:val="000149D0"/>
    <w:rsid w:val="00014C68"/>
    <w:rsid w:val="00014CEC"/>
    <w:rsid w:val="00015108"/>
    <w:rsid w:val="0001510B"/>
    <w:rsid w:val="0001578F"/>
    <w:rsid w:val="00015C68"/>
    <w:rsid w:val="00015CFF"/>
    <w:rsid w:val="00015DE5"/>
    <w:rsid w:val="00015F90"/>
    <w:rsid w:val="000160AE"/>
    <w:rsid w:val="00016591"/>
    <w:rsid w:val="0001697D"/>
    <w:rsid w:val="00016A30"/>
    <w:rsid w:val="00016D30"/>
    <w:rsid w:val="00017BC7"/>
    <w:rsid w:val="00017BEE"/>
    <w:rsid w:val="00017D61"/>
    <w:rsid w:val="00017DAF"/>
    <w:rsid w:val="00017F60"/>
    <w:rsid w:val="0002031E"/>
    <w:rsid w:val="00020413"/>
    <w:rsid w:val="0002060F"/>
    <w:rsid w:val="000206B4"/>
    <w:rsid w:val="0002095E"/>
    <w:rsid w:val="00020A50"/>
    <w:rsid w:val="00020B1D"/>
    <w:rsid w:val="00020D46"/>
    <w:rsid w:val="00020DB0"/>
    <w:rsid w:val="00020F03"/>
    <w:rsid w:val="0002147D"/>
    <w:rsid w:val="000215BA"/>
    <w:rsid w:val="000216B7"/>
    <w:rsid w:val="0002174E"/>
    <w:rsid w:val="000217BC"/>
    <w:rsid w:val="0002183C"/>
    <w:rsid w:val="000219C7"/>
    <w:rsid w:val="00021B53"/>
    <w:rsid w:val="0002216E"/>
    <w:rsid w:val="0002218A"/>
    <w:rsid w:val="0002221B"/>
    <w:rsid w:val="000225CB"/>
    <w:rsid w:val="000228BA"/>
    <w:rsid w:val="00022A9B"/>
    <w:rsid w:val="00022ACA"/>
    <w:rsid w:val="00022C25"/>
    <w:rsid w:val="00022C7E"/>
    <w:rsid w:val="00022C93"/>
    <w:rsid w:val="00022D7F"/>
    <w:rsid w:val="00022D87"/>
    <w:rsid w:val="00022F13"/>
    <w:rsid w:val="0002325D"/>
    <w:rsid w:val="00023293"/>
    <w:rsid w:val="00023951"/>
    <w:rsid w:val="00023988"/>
    <w:rsid w:val="00023B0A"/>
    <w:rsid w:val="00023BC1"/>
    <w:rsid w:val="00023EFD"/>
    <w:rsid w:val="00023F35"/>
    <w:rsid w:val="0002414C"/>
    <w:rsid w:val="000242C9"/>
    <w:rsid w:val="0002453D"/>
    <w:rsid w:val="0002488E"/>
    <w:rsid w:val="00024AF5"/>
    <w:rsid w:val="00024DF6"/>
    <w:rsid w:val="00024E50"/>
    <w:rsid w:val="00025006"/>
    <w:rsid w:val="00025053"/>
    <w:rsid w:val="00025141"/>
    <w:rsid w:val="0002540C"/>
    <w:rsid w:val="000254DA"/>
    <w:rsid w:val="000256BA"/>
    <w:rsid w:val="000256D0"/>
    <w:rsid w:val="00025AE9"/>
    <w:rsid w:val="00025C6C"/>
    <w:rsid w:val="00025C6D"/>
    <w:rsid w:val="00025CF3"/>
    <w:rsid w:val="00025DA2"/>
    <w:rsid w:val="000265FA"/>
    <w:rsid w:val="00026702"/>
    <w:rsid w:val="000267AD"/>
    <w:rsid w:val="0002688C"/>
    <w:rsid w:val="00026B78"/>
    <w:rsid w:val="00026DED"/>
    <w:rsid w:val="00026ED0"/>
    <w:rsid w:val="000270C7"/>
    <w:rsid w:val="00027153"/>
    <w:rsid w:val="00027394"/>
    <w:rsid w:val="000273ED"/>
    <w:rsid w:val="000275A8"/>
    <w:rsid w:val="000275BC"/>
    <w:rsid w:val="00027AD2"/>
    <w:rsid w:val="00027B27"/>
    <w:rsid w:val="00027C2E"/>
    <w:rsid w:val="00027CEB"/>
    <w:rsid w:val="00027DAD"/>
    <w:rsid w:val="00027E10"/>
    <w:rsid w:val="00027EA1"/>
    <w:rsid w:val="000301B2"/>
    <w:rsid w:val="000302A8"/>
    <w:rsid w:val="00030859"/>
    <w:rsid w:val="00030C99"/>
    <w:rsid w:val="00030CA0"/>
    <w:rsid w:val="00030CEC"/>
    <w:rsid w:val="00030E79"/>
    <w:rsid w:val="000310EF"/>
    <w:rsid w:val="000313DC"/>
    <w:rsid w:val="0003164F"/>
    <w:rsid w:val="00031A59"/>
    <w:rsid w:val="00031E64"/>
    <w:rsid w:val="00031F42"/>
    <w:rsid w:val="0003202F"/>
    <w:rsid w:val="000323C3"/>
    <w:rsid w:val="00032483"/>
    <w:rsid w:val="00032553"/>
    <w:rsid w:val="000327FF"/>
    <w:rsid w:val="00032933"/>
    <w:rsid w:val="00032D86"/>
    <w:rsid w:val="00032D9C"/>
    <w:rsid w:val="00032F7D"/>
    <w:rsid w:val="00033213"/>
    <w:rsid w:val="0003343E"/>
    <w:rsid w:val="00033632"/>
    <w:rsid w:val="00033CF4"/>
    <w:rsid w:val="00033EB0"/>
    <w:rsid w:val="00033F96"/>
    <w:rsid w:val="00034213"/>
    <w:rsid w:val="00034368"/>
    <w:rsid w:val="0003449D"/>
    <w:rsid w:val="000344F1"/>
    <w:rsid w:val="0003491A"/>
    <w:rsid w:val="00034E12"/>
    <w:rsid w:val="00035273"/>
    <w:rsid w:val="0003544D"/>
    <w:rsid w:val="0003549D"/>
    <w:rsid w:val="0003560C"/>
    <w:rsid w:val="0003564F"/>
    <w:rsid w:val="00035A6C"/>
    <w:rsid w:val="00035BBE"/>
    <w:rsid w:val="00035C75"/>
    <w:rsid w:val="00035C96"/>
    <w:rsid w:val="00036143"/>
    <w:rsid w:val="0003619F"/>
    <w:rsid w:val="000361A7"/>
    <w:rsid w:val="0003622F"/>
    <w:rsid w:val="000362FE"/>
    <w:rsid w:val="00036423"/>
    <w:rsid w:val="00036460"/>
    <w:rsid w:val="0003652D"/>
    <w:rsid w:val="0003731E"/>
    <w:rsid w:val="000375E5"/>
    <w:rsid w:val="000379A7"/>
    <w:rsid w:val="000379CD"/>
    <w:rsid w:val="00037AEE"/>
    <w:rsid w:val="00037CD7"/>
    <w:rsid w:val="00037CFB"/>
    <w:rsid w:val="00037DD0"/>
    <w:rsid w:val="00037E96"/>
    <w:rsid w:val="00037E98"/>
    <w:rsid w:val="00040555"/>
    <w:rsid w:val="0004073A"/>
    <w:rsid w:val="000407D1"/>
    <w:rsid w:val="0004088E"/>
    <w:rsid w:val="00040971"/>
    <w:rsid w:val="00040B85"/>
    <w:rsid w:val="00040C16"/>
    <w:rsid w:val="00040CC5"/>
    <w:rsid w:val="00040D7E"/>
    <w:rsid w:val="00040E88"/>
    <w:rsid w:val="00040EE3"/>
    <w:rsid w:val="00041127"/>
    <w:rsid w:val="000413C0"/>
    <w:rsid w:val="00041557"/>
    <w:rsid w:val="000418BE"/>
    <w:rsid w:val="000423F6"/>
    <w:rsid w:val="00042491"/>
    <w:rsid w:val="0004290B"/>
    <w:rsid w:val="000429C9"/>
    <w:rsid w:val="00042A54"/>
    <w:rsid w:val="0004300F"/>
    <w:rsid w:val="00043595"/>
    <w:rsid w:val="000437C4"/>
    <w:rsid w:val="00043832"/>
    <w:rsid w:val="00043D90"/>
    <w:rsid w:val="00043ECD"/>
    <w:rsid w:val="00044468"/>
    <w:rsid w:val="00044592"/>
    <w:rsid w:val="0004481B"/>
    <w:rsid w:val="00044AB9"/>
    <w:rsid w:val="00044BEF"/>
    <w:rsid w:val="00044F1B"/>
    <w:rsid w:val="00044F5F"/>
    <w:rsid w:val="00045043"/>
    <w:rsid w:val="0004509B"/>
    <w:rsid w:val="00045544"/>
    <w:rsid w:val="000455A9"/>
    <w:rsid w:val="0004563B"/>
    <w:rsid w:val="00045656"/>
    <w:rsid w:val="000456F9"/>
    <w:rsid w:val="0004584C"/>
    <w:rsid w:val="0004587E"/>
    <w:rsid w:val="00045BF6"/>
    <w:rsid w:val="00045BF8"/>
    <w:rsid w:val="00045F36"/>
    <w:rsid w:val="00045FBD"/>
    <w:rsid w:val="0004603E"/>
    <w:rsid w:val="000462EF"/>
    <w:rsid w:val="0004647C"/>
    <w:rsid w:val="00046697"/>
    <w:rsid w:val="000467B6"/>
    <w:rsid w:val="0004687B"/>
    <w:rsid w:val="00046966"/>
    <w:rsid w:val="00046A8A"/>
    <w:rsid w:val="00046D52"/>
    <w:rsid w:val="0004700A"/>
    <w:rsid w:val="0004709F"/>
    <w:rsid w:val="00047150"/>
    <w:rsid w:val="0004731B"/>
    <w:rsid w:val="00047AC7"/>
    <w:rsid w:val="00047E5B"/>
    <w:rsid w:val="000501E6"/>
    <w:rsid w:val="000502E2"/>
    <w:rsid w:val="00050364"/>
    <w:rsid w:val="00050417"/>
    <w:rsid w:val="00050630"/>
    <w:rsid w:val="0005088C"/>
    <w:rsid w:val="00050A53"/>
    <w:rsid w:val="00050B2E"/>
    <w:rsid w:val="00050B69"/>
    <w:rsid w:val="00050C63"/>
    <w:rsid w:val="00050D5F"/>
    <w:rsid w:val="00050DE1"/>
    <w:rsid w:val="00051037"/>
    <w:rsid w:val="000513A9"/>
    <w:rsid w:val="00051414"/>
    <w:rsid w:val="00051640"/>
    <w:rsid w:val="000517C0"/>
    <w:rsid w:val="00051DC9"/>
    <w:rsid w:val="00051FE2"/>
    <w:rsid w:val="000526C5"/>
    <w:rsid w:val="0005272D"/>
    <w:rsid w:val="00052767"/>
    <w:rsid w:val="000527AD"/>
    <w:rsid w:val="00052918"/>
    <w:rsid w:val="00052AAE"/>
    <w:rsid w:val="00052CE3"/>
    <w:rsid w:val="00052CEF"/>
    <w:rsid w:val="00052F65"/>
    <w:rsid w:val="00052F7C"/>
    <w:rsid w:val="00052F9D"/>
    <w:rsid w:val="00052FC9"/>
    <w:rsid w:val="00053102"/>
    <w:rsid w:val="000532CA"/>
    <w:rsid w:val="000533D4"/>
    <w:rsid w:val="000533EA"/>
    <w:rsid w:val="000535BB"/>
    <w:rsid w:val="000535FD"/>
    <w:rsid w:val="000536EE"/>
    <w:rsid w:val="000537C1"/>
    <w:rsid w:val="00053BD3"/>
    <w:rsid w:val="00053C3D"/>
    <w:rsid w:val="00053F89"/>
    <w:rsid w:val="00054094"/>
    <w:rsid w:val="000540B5"/>
    <w:rsid w:val="00054362"/>
    <w:rsid w:val="00054663"/>
    <w:rsid w:val="000546AF"/>
    <w:rsid w:val="000547FC"/>
    <w:rsid w:val="0005493B"/>
    <w:rsid w:val="0005499E"/>
    <w:rsid w:val="000549A3"/>
    <w:rsid w:val="00054CE3"/>
    <w:rsid w:val="00054EFB"/>
    <w:rsid w:val="00054F87"/>
    <w:rsid w:val="00055214"/>
    <w:rsid w:val="0005521E"/>
    <w:rsid w:val="0005550E"/>
    <w:rsid w:val="00055740"/>
    <w:rsid w:val="0005578F"/>
    <w:rsid w:val="00055861"/>
    <w:rsid w:val="00055C82"/>
    <w:rsid w:val="00055D3F"/>
    <w:rsid w:val="000561F2"/>
    <w:rsid w:val="000562D6"/>
    <w:rsid w:val="0005638B"/>
    <w:rsid w:val="000564F1"/>
    <w:rsid w:val="00056588"/>
    <w:rsid w:val="000565FA"/>
    <w:rsid w:val="00056A0B"/>
    <w:rsid w:val="00056A84"/>
    <w:rsid w:val="00056B35"/>
    <w:rsid w:val="00056B6D"/>
    <w:rsid w:val="00056CA8"/>
    <w:rsid w:val="00056CDC"/>
    <w:rsid w:val="00056E46"/>
    <w:rsid w:val="000571B9"/>
    <w:rsid w:val="0005741A"/>
    <w:rsid w:val="0005774F"/>
    <w:rsid w:val="00057E31"/>
    <w:rsid w:val="00057E55"/>
    <w:rsid w:val="000602BF"/>
    <w:rsid w:val="000604B3"/>
    <w:rsid w:val="00060520"/>
    <w:rsid w:val="000606B9"/>
    <w:rsid w:val="0006095B"/>
    <w:rsid w:val="00060C9C"/>
    <w:rsid w:val="00060D9F"/>
    <w:rsid w:val="00060E5D"/>
    <w:rsid w:val="000611A3"/>
    <w:rsid w:val="00061267"/>
    <w:rsid w:val="00061405"/>
    <w:rsid w:val="0006164A"/>
    <w:rsid w:val="000617C5"/>
    <w:rsid w:val="000618C8"/>
    <w:rsid w:val="0006190D"/>
    <w:rsid w:val="00061E35"/>
    <w:rsid w:val="00061E59"/>
    <w:rsid w:val="00061F08"/>
    <w:rsid w:val="00061FAA"/>
    <w:rsid w:val="00062107"/>
    <w:rsid w:val="00062155"/>
    <w:rsid w:val="00062251"/>
    <w:rsid w:val="0006235C"/>
    <w:rsid w:val="000624AA"/>
    <w:rsid w:val="00062676"/>
    <w:rsid w:val="000626E8"/>
    <w:rsid w:val="00062EDA"/>
    <w:rsid w:val="00063246"/>
    <w:rsid w:val="00063438"/>
    <w:rsid w:val="00063C09"/>
    <w:rsid w:val="00063EF9"/>
    <w:rsid w:val="00063F88"/>
    <w:rsid w:val="00064371"/>
    <w:rsid w:val="000645C7"/>
    <w:rsid w:val="00064ACD"/>
    <w:rsid w:val="00064B47"/>
    <w:rsid w:val="00064E48"/>
    <w:rsid w:val="00064E49"/>
    <w:rsid w:val="00064E68"/>
    <w:rsid w:val="00064E6A"/>
    <w:rsid w:val="00064EA6"/>
    <w:rsid w:val="00064EC3"/>
    <w:rsid w:val="00065000"/>
    <w:rsid w:val="0006503A"/>
    <w:rsid w:val="000655CD"/>
    <w:rsid w:val="000659D4"/>
    <w:rsid w:val="00065AFF"/>
    <w:rsid w:val="00065C08"/>
    <w:rsid w:val="00065C40"/>
    <w:rsid w:val="00065D24"/>
    <w:rsid w:val="00065D6F"/>
    <w:rsid w:val="00065F28"/>
    <w:rsid w:val="00065F66"/>
    <w:rsid w:val="00066050"/>
    <w:rsid w:val="00066422"/>
    <w:rsid w:val="00066CB5"/>
    <w:rsid w:val="00066CF9"/>
    <w:rsid w:val="00066D2F"/>
    <w:rsid w:val="00066E18"/>
    <w:rsid w:val="00066E7E"/>
    <w:rsid w:val="00066EAB"/>
    <w:rsid w:val="00066EBF"/>
    <w:rsid w:val="00066F40"/>
    <w:rsid w:val="00066F7B"/>
    <w:rsid w:val="00066FE4"/>
    <w:rsid w:val="000670FD"/>
    <w:rsid w:val="000673F6"/>
    <w:rsid w:val="00067494"/>
    <w:rsid w:val="000674D5"/>
    <w:rsid w:val="00067671"/>
    <w:rsid w:val="00067682"/>
    <w:rsid w:val="000676DE"/>
    <w:rsid w:val="00067968"/>
    <w:rsid w:val="00067A16"/>
    <w:rsid w:val="00067BEC"/>
    <w:rsid w:val="00067D25"/>
    <w:rsid w:val="00067EE9"/>
    <w:rsid w:val="00067FEE"/>
    <w:rsid w:val="00067FF7"/>
    <w:rsid w:val="0007002F"/>
    <w:rsid w:val="00070093"/>
    <w:rsid w:val="000702C7"/>
    <w:rsid w:val="00070419"/>
    <w:rsid w:val="0007052F"/>
    <w:rsid w:val="00070542"/>
    <w:rsid w:val="00070718"/>
    <w:rsid w:val="0007096B"/>
    <w:rsid w:val="000709B5"/>
    <w:rsid w:val="00070B16"/>
    <w:rsid w:val="00070BB2"/>
    <w:rsid w:val="00070D55"/>
    <w:rsid w:val="00070E6E"/>
    <w:rsid w:val="00070FEE"/>
    <w:rsid w:val="00071021"/>
    <w:rsid w:val="00071601"/>
    <w:rsid w:val="00071915"/>
    <w:rsid w:val="00071944"/>
    <w:rsid w:val="00071956"/>
    <w:rsid w:val="000719D9"/>
    <w:rsid w:val="00071B19"/>
    <w:rsid w:val="00071E77"/>
    <w:rsid w:val="00071EA9"/>
    <w:rsid w:val="00071ED6"/>
    <w:rsid w:val="0007217F"/>
    <w:rsid w:val="0007220F"/>
    <w:rsid w:val="00072353"/>
    <w:rsid w:val="00072514"/>
    <w:rsid w:val="00072EC3"/>
    <w:rsid w:val="00073027"/>
    <w:rsid w:val="000730BE"/>
    <w:rsid w:val="000732B6"/>
    <w:rsid w:val="00073371"/>
    <w:rsid w:val="00073483"/>
    <w:rsid w:val="000735F0"/>
    <w:rsid w:val="00073AA7"/>
    <w:rsid w:val="00073CCA"/>
    <w:rsid w:val="0007417C"/>
    <w:rsid w:val="000741B2"/>
    <w:rsid w:val="0007424D"/>
    <w:rsid w:val="00074361"/>
    <w:rsid w:val="00074461"/>
    <w:rsid w:val="00074739"/>
    <w:rsid w:val="00074763"/>
    <w:rsid w:val="00074793"/>
    <w:rsid w:val="0007492D"/>
    <w:rsid w:val="00074940"/>
    <w:rsid w:val="00075568"/>
    <w:rsid w:val="000756F6"/>
    <w:rsid w:val="0007595C"/>
    <w:rsid w:val="00075A4E"/>
    <w:rsid w:val="00075B43"/>
    <w:rsid w:val="00075C27"/>
    <w:rsid w:val="00075D04"/>
    <w:rsid w:val="00075E8D"/>
    <w:rsid w:val="00075F53"/>
    <w:rsid w:val="00075FE1"/>
    <w:rsid w:val="00076055"/>
    <w:rsid w:val="0007606A"/>
    <w:rsid w:val="0007621A"/>
    <w:rsid w:val="0007635A"/>
    <w:rsid w:val="000767F9"/>
    <w:rsid w:val="0007692C"/>
    <w:rsid w:val="00076DF0"/>
    <w:rsid w:val="00076E8D"/>
    <w:rsid w:val="00076EFD"/>
    <w:rsid w:val="000772E6"/>
    <w:rsid w:val="00077567"/>
    <w:rsid w:val="000775DF"/>
    <w:rsid w:val="00077879"/>
    <w:rsid w:val="00077EB3"/>
    <w:rsid w:val="00077EC5"/>
    <w:rsid w:val="00077EC6"/>
    <w:rsid w:val="00080BD7"/>
    <w:rsid w:val="0008117E"/>
    <w:rsid w:val="000814B0"/>
    <w:rsid w:val="00081B9A"/>
    <w:rsid w:val="0008203B"/>
    <w:rsid w:val="000820E2"/>
    <w:rsid w:val="000822A5"/>
    <w:rsid w:val="00082400"/>
    <w:rsid w:val="0008246D"/>
    <w:rsid w:val="000824B0"/>
    <w:rsid w:val="00082C40"/>
    <w:rsid w:val="00082CE4"/>
    <w:rsid w:val="00082EFA"/>
    <w:rsid w:val="00083011"/>
    <w:rsid w:val="00083045"/>
    <w:rsid w:val="000834FF"/>
    <w:rsid w:val="000835EA"/>
    <w:rsid w:val="000839B1"/>
    <w:rsid w:val="00083BD2"/>
    <w:rsid w:val="00083DC1"/>
    <w:rsid w:val="00083F73"/>
    <w:rsid w:val="0008443C"/>
    <w:rsid w:val="00084638"/>
    <w:rsid w:val="000849AA"/>
    <w:rsid w:val="00084A01"/>
    <w:rsid w:val="00084D61"/>
    <w:rsid w:val="00084DDD"/>
    <w:rsid w:val="00084E41"/>
    <w:rsid w:val="00084EFF"/>
    <w:rsid w:val="00085124"/>
    <w:rsid w:val="000855E6"/>
    <w:rsid w:val="00085806"/>
    <w:rsid w:val="000858F9"/>
    <w:rsid w:val="00085916"/>
    <w:rsid w:val="00085BCE"/>
    <w:rsid w:val="00085DFB"/>
    <w:rsid w:val="00086394"/>
    <w:rsid w:val="00086777"/>
    <w:rsid w:val="000869AA"/>
    <w:rsid w:val="00086A3C"/>
    <w:rsid w:val="00086B7A"/>
    <w:rsid w:val="00086D8D"/>
    <w:rsid w:val="00086E33"/>
    <w:rsid w:val="00086F8B"/>
    <w:rsid w:val="000875A8"/>
    <w:rsid w:val="00087759"/>
    <w:rsid w:val="00087CCA"/>
    <w:rsid w:val="00087FB3"/>
    <w:rsid w:val="000900DC"/>
    <w:rsid w:val="000902E9"/>
    <w:rsid w:val="00090737"/>
    <w:rsid w:val="000907BF"/>
    <w:rsid w:val="000909B6"/>
    <w:rsid w:val="00090A28"/>
    <w:rsid w:val="00090AB7"/>
    <w:rsid w:val="00090DD8"/>
    <w:rsid w:val="000911D8"/>
    <w:rsid w:val="0009130C"/>
    <w:rsid w:val="00091397"/>
    <w:rsid w:val="0009158F"/>
    <w:rsid w:val="00091790"/>
    <w:rsid w:val="000918CD"/>
    <w:rsid w:val="000918F4"/>
    <w:rsid w:val="00091CA6"/>
    <w:rsid w:val="000921FF"/>
    <w:rsid w:val="0009234B"/>
    <w:rsid w:val="00092545"/>
    <w:rsid w:val="000926C1"/>
    <w:rsid w:val="0009274C"/>
    <w:rsid w:val="00092BCC"/>
    <w:rsid w:val="00092D13"/>
    <w:rsid w:val="00093100"/>
    <w:rsid w:val="00093467"/>
    <w:rsid w:val="00093562"/>
    <w:rsid w:val="000935A7"/>
    <w:rsid w:val="000935E7"/>
    <w:rsid w:val="00093686"/>
    <w:rsid w:val="000936BF"/>
    <w:rsid w:val="000942F3"/>
    <w:rsid w:val="000947B7"/>
    <w:rsid w:val="000949D1"/>
    <w:rsid w:val="00094E12"/>
    <w:rsid w:val="00094FF1"/>
    <w:rsid w:val="0009551B"/>
    <w:rsid w:val="000955E4"/>
    <w:rsid w:val="00095CE8"/>
    <w:rsid w:val="00095F02"/>
    <w:rsid w:val="000965FE"/>
    <w:rsid w:val="000967E4"/>
    <w:rsid w:val="000969F1"/>
    <w:rsid w:val="00096A7D"/>
    <w:rsid w:val="00096C92"/>
    <w:rsid w:val="00097188"/>
    <w:rsid w:val="0009777D"/>
    <w:rsid w:val="000977C5"/>
    <w:rsid w:val="00097984"/>
    <w:rsid w:val="000979E7"/>
    <w:rsid w:val="00097A68"/>
    <w:rsid w:val="00097C7A"/>
    <w:rsid w:val="00097DE0"/>
    <w:rsid w:val="00097EF4"/>
    <w:rsid w:val="00097F7A"/>
    <w:rsid w:val="00097FD5"/>
    <w:rsid w:val="000A0005"/>
    <w:rsid w:val="000A0159"/>
    <w:rsid w:val="000A022E"/>
    <w:rsid w:val="000A076F"/>
    <w:rsid w:val="000A080D"/>
    <w:rsid w:val="000A08C9"/>
    <w:rsid w:val="000A0A66"/>
    <w:rsid w:val="000A0B4B"/>
    <w:rsid w:val="000A0BB6"/>
    <w:rsid w:val="000A0F14"/>
    <w:rsid w:val="000A10A3"/>
    <w:rsid w:val="000A10DB"/>
    <w:rsid w:val="000A185E"/>
    <w:rsid w:val="000A2426"/>
    <w:rsid w:val="000A2676"/>
    <w:rsid w:val="000A2A73"/>
    <w:rsid w:val="000A2C9C"/>
    <w:rsid w:val="000A2CFD"/>
    <w:rsid w:val="000A2E1A"/>
    <w:rsid w:val="000A2F13"/>
    <w:rsid w:val="000A2FF7"/>
    <w:rsid w:val="000A34CB"/>
    <w:rsid w:val="000A37C6"/>
    <w:rsid w:val="000A38EA"/>
    <w:rsid w:val="000A3CEF"/>
    <w:rsid w:val="000A3DAC"/>
    <w:rsid w:val="000A3EB3"/>
    <w:rsid w:val="000A3F07"/>
    <w:rsid w:val="000A4178"/>
    <w:rsid w:val="000A4315"/>
    <w:rsid w:val="000A4326"/>
    <w:rsid w:val="000A4383"/>
    <w:rsid w:val="000A439D"/>
    <w:rsid w:val="000A4565"/>
    <w:rsid w:val="000A48BF"/>
    <w:rsid w:val="000A4A3C"/>
    <w:rsid w:val="000A4AA9"/>
    <w:rsid w:val="000A4E4C"/>
    <w:rsid w:val="000A4EE0"/>
    <w:rsid w:val="000A51F6"/>
    <w:rsid w:val="000A53D8"/>
    <w:rsid w:val="000A5699"/>
    <w:rsid w:val="000A5739"/>
    <w:rsid w:val="000A5CAE"/>
    <w:rsid w:val="000A5FD3"/>
    <w:rsid w:val="000A609D"/>
    <w:rsid w:val="000A62B2"/>
    <w:rsid w:val="000A632D"/>
    <w:rsid w:val="000A65CE"/>
    <w:rsid w:val="000A683A"/>
    <w:rsid w:val="000A718C"/>
    <w:rsid w:val="000A77CA"/>
    <w:rsid w:val="000A79AA"/>
    <w:rsid w:val="000A7D41"/>
    <w:rsid w:val="000A7E15"/>
    <w:rsid w:val="000B0150"/>
    <w:rsid w:val="000B0173"/>
    <w:rsid w:val="000B028A"/>
    <w:rsid w:val="000B03A1"/>
    <w:rsid w:val="000B03FD"/>
    <w:rsid w:val="000B0700"/>
    <w:rsid w:val="000B0A4F"/>
    <w:rsid w:val="000B1058"/>
    <w:rsid w:val="000B117C"/>
    <w:rsid w:val="000B196C"/>
    <w:rsid w:val="000B1A62"/>
    <w:rsid w:val="000B1A9A"/>
    <w:rsid w:val="000B1B3B"/>
    <w:rsid w:val="000B1D69"/>
    <w:rsid w:val="000B1DE7"/>
    <w:rsid w:val="000B1FCE"/>
    <w:rsid w:val="000B2256"/>
    <w:rsid w:val="000B229A"/>
    <w:rsid w:val="000B24A3"/>
    <w:rsid w:val="000B252C"/>
    <w:rsid w:val="000B2654"/>
    <w:rsid w:val="000B2719"/>
    <w:rsid w:val="000B279D"/>
    <w:rsid w:val="000B28FE"/>
    <w:rsid w:val="000B2B74"/>
    <w:rsid w:val="000B2C95"/>
    <w:rsid w:val="000B2E0C"/>
    <w:rsid w:val="000B2EDD"/>
    <w:rsid w:val="000B31C8"/>
    <w:rsid w:val="000B3576"/>
    <w:rsid w:val="000B3896"/>
    <w:rsid w:val="000B3D00"/>
    <w:rsid w:val="000B3E14"/>
    <w:rsid w:val="000B406E"/>
    <w:rsid w:val="000B4572"/>
    <w:rsid w:val="000B46FB"/>
    <w:rsid w:val="000B5099"/>
    <w:rsid w:val="000B50F7"/>
    <w:rsid w:val="000B511C"/>
    <w:rsid w:val="000B51E8"/>
    <w:rsid w:val="000B5415"/>
    <w:rsid w:val="000B5B95"/>
    <w:rsid w:val="000B5EC1"/>
    <w:rsid w:val="000B6139"/>
    <w:rsid w:val="000B6291"/>
    <w:rsid w:val="000B6305"/>
    <w:rsid w:val="000B65A3"/>
    <w:rsid w:val="000B65EB"/>
    <w:rsid w:val="000B6C1F"/>
    <w:rsid w:val="000B6EE5"/>
    <w:rsid w:val="000B7303"/>
    <w:rsid w:val="000B7400"/>
    <w:rsid w:val="000B7447"/>
    <w:rsid w:val="000B796F"/>
    <w:rsid w:val="000B798D"/>
    <w:rsid w:val="000B7A5F"/>
    <w:rsid w:val="000B7B07"/>
    <w:rsid w:val="000B7DB3"/>
    <w:rsid w:val="000C0092"/>
    <w:rsid w:val="000C01AE"/>
    <w:rsid w:val="000C0703"/>
    <w:rsid w:val="000C099F"/>
    <w:rsid w:val="000C0A38"/>
    <w:rsid w:val="000C0EDB"/>
    <w:rsid w:val="000C0FEA"/>
    <w:rsid w:val="000C1016"/>
    <w:rsid w:val="000C11F5"/>
    <w:rsid w:val="000C1204"/>
    <w:rsid w:val="000C12B8"/>
    <w:rsid w:val="000C147A"/>
    <w:rsid w:val="000C153C"/>
    <w:rsid w:val="000C16B5"/>
    <w:rsid w:val="000C196C"/>
    <w:rsid w:val="000C1A1E"/>
    <w:rsid w:val="000C1B89"/>
    <w:rsid w:val="000C1BEE"/>
    <w:rsid w:val="000C1D32"/>
    <w:rsid w:val="000C1E68"/>
    <w:rsid w:val="000C1EEE"/>
    <w:rsid w:val="000C1F41"/>
    <w:rsid w:val="000C219E"/>
    <w:rsid w:val="000C26E1"/>
    <w:rsid w:val="000C28ED"/>
    <w:rsid w:val="000C2AF0"/>
    <w:rsid w:val="000C2CB6"/>
    <w:rsid w:val="000C3092"/>
    <w:rsid w:val="000C311C"/>
    <w:rsid w:val="000C3154"/>
    <w:rsid w:val="000C3538"/>
    <w:rsid w:val="000C3BBF"/>
    <w:rsid w:val="000C3BC9"/>
    <w:rsid w:val="000C3C71"/>
    <w:rsid w:val="000C3E75"/>
    <w:rsid w:val="000C4298"/>
    <w:rsid w:val="000C4A41"/>
    <w:rsid w:val="000C4C2A"/>
    <w:rsid w:val="000C4DF5"/>
    <w:rsid w:val="000C5017"/>
    <w:rsid w:val="000C527C"/>
    <w:rsid w:val="000C563A"/>
    <w:rsid w:val="000C56ED"/>
    <w:rsid w:val="000C583C"/>
    <w:rsid w:val="000C5AF1"/>
    <w:rsid w:val="000C5F58"/>
    <w:rsid w:val="000C6031"/>
    <w:rsid w:val="000C60A2"/>
    <w:rsid w:val="000C611D"/>
    <w:rsid w:val="000C61A4"/>
    <w:rsid w:val="000C66CE"/>
    <w:rsid w:val="000C6956"/>
    <w:rsid w:val="000C6C77"/>
    <w:rsid w:val="000C7264"/>
    <w:rsid w:val="000C731C"/>
    <w:rsid w:val="000C7334"/>
    <w:rsid w:val="000C734B"/>
    <w:rsid w:val="000C79C1"/>
    <w:rsid w:val="000C7C12"/>
    <w:rsid w:val="000C7D21"/>
    <w:rsid w:val="000C7E66"/>
    <w:rsid w:val="000C7ED8"/>
    <w:rsid w:val="000D0081"/>
    <w:rsid w:val="000D0545"/>
    <w:rsid w:val="000D0B97"/>
    <w:rsid w:val="000D0BC2"/>
    <w:rsid w:val="000D1103"/>
    <w:rsid w:val="000D110D"/>
    <w:rsid w:val="000D1585"/>
    <w:rsid w:val="000D1697"/>
    <w:rsid w:val="000D1755"/>
    <w:rsid w:val="000D1E82"/>
    <w:rsid w:val="000D1F4A"/>
    <w:rsid w:val="000D2567"/>
    <w:rsid w:val="000D265E"/>
    <w:rsid w:val="000D28E1"/>
    <w:rsid w:val="000D29DB"/>
    <w:rsid w:val="000D2C54"/>
    <w:rsid w:val="000D2CE3"/>
    <w:rsid w:val="000D2FD4"/>
    <w:rsid w:val="000D3091"/>
    <w:rsid w:val="000D3112"/>
    <w:rsid w:val="000D329D"/>
    <w:rsid w:val="000D32A3"/>
    <w:rsid w:val="000D332A"/>
    <w:rsid w:val="000D33B0"/>
    <w:rsid w:val="000D350F"/>
    <w:rsid w:val="000D37D1"/>
    <w:rsid w:val="000D3D20"/>
    <w:rsid w:val="000D3D52"/>
    <w:rsid w:val="000D3F3B"/>
    <w:rsid w:val="000D3F91"/>
    <w:rsid w:val="000D40F2"/>
    <w:rsid w:val="000D436E"/>
    <w:rsid w:val="000D43B8"/>
    <w:rsid w:val="000D4457"/>
    <w:rsid w:val="000D4AB5"/>
    <w:rsid w:val="000D4D94"/>
    <w:rsid w:val="000D4DED"/>
    <w:rsid w:val="000D4E42"/>
    <w:rsid w:val="000D4FBE"/>
    <w:rsid w:val="000D5423"/>
    <w:rsid w:val="000D55C2"/>
    <w:rsid w:val="000D5D6A"/>
    <w:rsid w:val="000D617A"/>
    <w:rsid w:val="000D6181"/>
    <w:rsid w:val="000D619E"/>
    <w:rsid w:val="000D63B6"/>
    <w:rsid w:val="000D692D"/>
    <w:rsid w:val="000D6A4D"/>
    <w:rsid w:val="000D6A59"/>
    <w:rsid w:val="000D6B0E"/>
    <w:rsid w:val="000D6CE8"/>
    <w:rsid w:val="000D6E72"/>
    <w:rsid w:val="000D6E9B"/>
    <w:rsid w:val="000D6FF4"/>
    <w:rsid w:val="000D7264"/>
    <w:rsid w:val="000D739D"/>
    <w:rsid w:val="000D7506"/>
    <w:rsid w:val="000D7613"/>
    <w:rsid w:val="000D7A27"/>
    <w:rsid w:val="000D7E7B"/>
    <w:rsid w:val="000D7F72"/>
    <w:rsid w:val="000E003C"/>
    <w:rsid w:val="000E01A6"/>
    <w:rsid w:val="000E02AE"/>
    <w:rsid w:val="000E02C1"/>
    <w:rsid w:val="000E02F7"/>
    <w:rsid w:val="000E048B"/>
    <w:rsid w:val="000E0494"/>
    <w:rsid w:val="000E05BA"/>
    <w:rsid w:val="000E0FFD"/>
    <w:rsid w:val="000E118D"/>
    <w:rsid w:val="000E14B6"/>
    <w:rsid w:val="000E1B5C"/>
    <w:rsid w:val="000E1B8D"/>
    <w:rsid w:val="000E1DEA"/>
    <w:rsid w:val="000E1EB9"/>
    <w:rsid w:val="000E1F43"/>
    <w:rsid w:val="000E1F6F"/>
    <w:rsid w:val="000E1FC6"/>
    <w:rsid w:val="000E25D7"/>
    <w:rsid w:val="000E2A61"/>
    <w:rsid w:val="000E2AC9"/>
    <w:rsid w:val="000E2B40"/>
    <w:rsid w:val="000E2D0D"/>
    <w:rsid w:val="000E2E03"/>
    <w:rsid w:val="000E2EBC"/>
    <w:rsid w:val="000E30FC"/>
    <w:rsid w:val="000E3302"/>
    <w:rsid w:val="000E3417"/>
    <w:rsid w:val="000E3781"/>
    <w:rsid w:val="000E3A10"/>
    <w:rsid w:val="000E3CEF"/>
    <w:rsid w:val="000E3DB8"/>
    <w:rsid w:val="000E401E"/>
    <w:rsid w:val="000E40E3"/>
    <w:rsid w:val="000E42DD"/>
    <w:rsid w:val="000E4601"/>
    <w:rsid w:val="000E4636"/>
    <w:rsid w:val="000E46D9"/>
    <w:rsid w:val="000E4789"/>
    <w:rsid w:val="000E4E78"/>
    <w:rsid w:val="000E4F2C"/>
    <w:rsid w:val="000E5010"/>
    <w:rsid w:val="000E5288"/>
    <w:rsid w:val="000E5431"/>
    <w:rsid w:val="000E5463"/>
    <w:rsid w:val="000E5EEB"/>
    <w:rsid w:val="000E5F1F"/>
    <w:rsid w:val="000E5FD7"/>
    <w:rsid w:val="000E60AB"/>
    <w:rsid w:val="000E6185"/>
    <w:rsid w:val="000E67FC"/>
    <w:rsid w:val="000E6865"/>
    <w:rsid w:val="000E6921"/>
    <w:rsid w:val="000E6B8A"/>
    <w:rsid w:val="000E6CDF"/>
    <w:rsid w:val="000E7310"/>
    <w:rsid w:val="000E756B"/>
    <w:rsid w:val="000E7582"/>
    <w:rsid w:val="000E76DF"/>
    <w:rsid w:val="000E7A99"/>
    <w:rsid w:val="000E7EA1"/>
    <w:rsid w:val="000E7F7F"/>
    <w:rsid w:val="000F0069"/>
    <w:rsid w:val="000F0209"/>
    <w:rsid w:val="000F022B"/>
    <w:rsid w:val="000F0261"/>
    <w:rsid w:val="000F0340"/>
    <w:rsid w:val="000F0964"/>
    <w:rsid w:val="000F0A01"/>
    <w:rsid w:val="000F0B6D"/>
    <w:rsid w:val="000F0BB7"/>
    <w:rsid w:val="000F0C63"/>
    <w:rsid w:val="000F0CDD"/>
    <w:rsid w:val="000F0E20"/>
    <w:rsid w:val="000F13A1"/>
    <w:rsid w:val="000F1E57"/>
    <w:rsid w:val="000F1EF0"/>
    <w:rsid w:val="000F20D1"/>
    <w:rsid w:val="000F21B6"/>
    <w:rsid w:val="000F22C0"/>
    <w:rsid w:val="000F22ED"/>
    <w:rsid w:val="000F2337"/>
    <w:rsid w:val="000F25D9"/>
    <w:rsid w:val="000F25E1"/>
    <w:rsid w:val="000F2A0C"/>
    <w:rsid w:val="000F2CDA"/>
    <w:rsid w:val="000F2D09"/>
    <w:rsid w:val="000F3230"/>
    <w:rsid w:val="000F3366"/>
    <w:rsid w:val="000F336D"/>
    <w:rsid w:val="000F34FB"/>
    <w:rsid w:val="000F385A"/>
    <w:rsid w:val="000F3C72"/>
    <w:rsid w:val="000F3ED8"/>
    <w:rsid w:val="000F42BD"/>
    <w:rsid w:val="000F4602"/>
    <w:rsid w:val="000F473E"/>
    <w:rsid w:val="000F4873"/>
    <w:rsid w:val="000F4912"/>
    <w:rsid w:val="000F4967"/>
    <w:rsid w:val="000F49E2"/>
    <w:rsid w:val="000F4A5B"/>
    <w:rsid w:val="000F4ACF"/>
    <w:rsid w:val="000F4C9B"/>
    <w:rsid w:val="000F4DF5"/>
    <w:rsid w:val="000F5021"/>
    <w:rsid w:val="000F51E2"/>
    <w:rsid w:val="000F563F"/>
    <w:rsid w:val="000F5747"/>
    <w:rsid w:val="000F5958"/>
    <w:rsid w:val="000F5D4B"/>
    <w:rsid w:val="000F5E02"/>
    <w:rsid w:val="000F60EF"/>
    <w:rsid w:val="000F6185"/>
    <w:rsid w:val="000F61A8"/>
    <w:rsid w:val="000F64A3"/>
    <w:rsid w:val="000F6695"/>
    <w:rsid w:val="000F6781"/>
    <w:rsid w:val="000F68C8"/>
    <w:rsid w:val="000F6B8D"/>
    <w:rsid w:val="000F6D2B"/>
    <w:rsid w:val="000F6DBD"/>
    <w:rsid w:val="000F6FEA"/>
    <w:rsid w:val="000F74CB"/>
    <w:rsid w:val="000F75F3"/>
    <w:rsid w:val="000F7632"/>
    <w:rsid w:val="000F7789"/>
    <w:rsid w:val="000F7834"/>
    <w:rsid w:val="000F79F9"/>
    <w:rsid w:val="000F7AF7"/>
    <w:rsid w:val="000F7C1E"/>
    <w:rsid w:val="000F7C65"/>
    <w:rsid w:val="000F7C9A"/>
    <w:rsid w:val="000F7CEA"/>
    <w:rsid w:val="000F7FDA"/>
    <w:rsid w:val="000F7FEA"/>
    <w:rsid w:val="001000DE"/>
    <w:rsid w:val="001003A1"/>
    <w:rsid w:val="001003AE"/>
    <w:rsid w:val="001003DA"/>
    <w:rsid w:val="0010045D"/>
    <w:rsid w:val="00100483"/>
    <w:rsid w:val="001009AD"/>
    <w:rsid w:val="00100ACD"/>
    <w:rsid w:val="00100B69"/>
    <w:rsid w:val="00100C34"/>
    <w:rsid w:val="00101026"/>
    <w:rsid w:val="001011B0"/>
    <w:rsid w:val="00101467"/>
    <w:rsid w:val="001017F3"/>
    <w:rsid w:val="001018CD"/>
    <w:rsid w:val="00101BE5"/>
    <w:rsid w:val="00101FC6"/>
    <w:rsid w:val="0010221E"/>
    <w:rsid w:val="0010235E"/>
    <w:rsid w:val="0010237D"/>
    <w:rsid w:val="001024C0"/>
    <w:rsid w:val="00102830"/>
    <w:rsid w:val="0010299E"/>
    <w:rsid w:val="001029B3"/>
    <w:rsid w:val="00102CC2"/>
    <w:rsid w:val="00103052"/>
    <w:rsid w:val="00103322"/>
    <w:rsid w:val="00103597"/>
    <w:rsid w:val="00103726"/>
    <w:rsid w:val="001038E9"/>
    <w:rsid w:val="001038F7"/>
    <w:rsid w:val="001039C3"/>
    <w:rsid w:val="001039F2"/>
    <w:rsid w:val="00103C41"/>
    <w:rsid w:val="00103DFE"/>
    <w:rsid w:val="001040D7"/>
    <w:rsid w:val="0010440B"/>
    <w:rsid w:val="0010460D"/>
    <w:rsid w:val="00104B1F"/>
    <w:rsid w:val="00104E9E"/>
    <w:rsid w:val="00104E9F"/>
    <w:rsid w:val="00104F90"/>
    <w:rsid w:val="001052AD"/>
    <w:rsid w:val="001054B7"/>
    <w:rsid w:val="00105624"/>
    <w:rsid w:val="00105CA1"/>
    <w:rsid w:val="00105CCA"/>
    <w:rsid w:val="00105E89"/>
    <w:rsid w:val="001060C4"/>
    <w:rsid w:val="0010641F"/>
    <w:rsid w:val="0010651C"/>
    <w:rsid w:val="001068B7"/>
    <w:rsid w:val="00106B0B"/>
    <w:rsid w:val="00106F81"/>
    <w:rsid w:val="0010702E"/>
    <w:rsid w:val="0010707C"/>
    <w:rsid w:val="001070ED"/>
    <w:rsid w:val="001073B4"/>
    <w:rsid w:val="001075EC"/>
    <w:rsid w:val="0010780D"/>
    <w:rsid w:val="00107936"/>
    <w:rsid w:val="00107C64"/>
    <w:rsid w:val="00110047"/>
    <w:rsid w:val="001100FB"/>
    <w:rsid w:val="001102B4"/>
    <w:rsid w:val="0011039D"/>
    <w:rsid w:val="001106F0"/>
    <w:rsid w:val="00110810"/>
    <w:rsid w:val="00110AA2"/>
    <w:rsid w:val="00110B5A"/>
    <w:rsid w:val="00110F84"/>
    <w:rsid w:val="00110FB4"/>
    <w:rsid w:val="0011103A"/>
    <w:rsid w:val="001114CC"/>
    <w:rsid w:val="00111C17"/>
    <w:rsid w:val="00111F8A"/>
    <w:rsid w:val="00112198"/>
    <w:rsid w:val="001121C0"/>
    <w:rsid w:val="00112535"/>
    <w:rsid w:val="0011262F"/>
    <w:rsid w:val="0011282F"/>
    <w:rsid w:val="00112847"/>
    <w:rsid w:val="00112BFD"/>
    <w:rsid w:val="00112FE1"/>
    <w:rsid w:val="0011332C"/>
    <w:rsid w:val="001134D9"/>
    <w:rsid w:val="001137EC"/>
    <w:rsid w:val="001137EE"/>
    <w:rsid w:val="0011397D"/>
    <w:rsid w:val="00113A03"/>
    <w:rsid w:val="00113B46"/>
    <w:rsid w:val="00113DA3"/>
    <w:rsid w:val="00113E18"/>
    <w:rsid w:val="00113EA5"/>
    <w:rsid w:val="00114243"/>
    <w:rsid w:val="00114361"/>
    <w:rsid w:val="00114709"/>
    <w:rsid w:val="00114823"/>
    <w:rsid w:val="00114ACB"/>
    <w:rsid w:val="00114BBD"/>
    <w:rsid w:val="00114CB1"/>
    <w:rsid w:val="00114D17"/>
    <w:rsid w:val="00114F3B"/>
    <w:rsid w:val="00114F7E"/>
    <w:rsid w:val="0011505A"/>
    <w:rsid w:val="00115165"/>
    <w:rsid w:val="0011519A"/>
    <w:rsid w:val="0011525B"/>
    <w:rsid w:val="00115494"/>
    <w:rsid w:val="00115540"/>
    <w:rsid w:val="001155CE"/>
    <w:rsid w:val="0011585B"/>
    <w:rsid w:val="0011588F"/>
    <w:rsid w:val="00115917"/>
    <w:rsid w:val="001159BD"/>
    <w:rsid w:val="00115C14"/>
    <w:rsid w:val="00115DB5"/>
    <w:rsid w:val="00115F2A"/>
    <w:rsid w:val="0011609C"/>
    <w:rsid w:val="00116190"/>
    <w:rsid w:val="00116458"/>
    <w:rsid w:val="00116935"/>
    <w:rsid w:val="00116BC9"/>
    <w:rsid w:val="00116DAB"/>
    <w:rsid w:val="00116E57"/>
    <w:rsid w:val="001170C3"/>
    <w:rsid w:val="0011731E"/>
    <w:rsid w:val="001177EB"/>
    <w:rsid w:val="001179B7"/>
    <w:rsid w:val="001179C0"/>
    <w:rsid w:val="00117BEC"/>
    <w:rsid w:val="00117CBB"/>
    <w:rsid w:val="00117F2A"/>
    <w:rsid w:val="00117F51"/>
    <w:rsid w:val="00120126"/>
    <w:rsid w:val="001201C8"/>
    <w:rsid w:val="001203E0"/>
    <w:rsid w:val="001207AC"/>
    <w:rsid w:val="00120B51"/>
    <w:rsid w:val="00120B72"/>
    <w:rsid w:val="00120FA0"/>
    <w:rsid w:val="00121157"/>
    <w:rsid w:val="001211AD"/>
    <w:rsid w:val="0012131A"/>
    <w:rsid w:val="00121425"/>
    <w:rsid w:val="00121509"/>
    <w:rsid w:val="00121863"/>
    <w:rsid w:val="001220C0"/>
    <w:rsid w:val="00122241"/>
    <w:rsid w:val="0012255C"/>
    <w:rsid w:val="00122BF5"/>
    <w:rsid w:val="00122CB2"/>
    <w:rsid w:val="00122D9C"/>
    <w:rsid w:val="00122FBC"/>
    <w:rsid w:val="00123050"/>
    <w:rsid w:val="00123158"/>
    <w:rsid w:val="00123331"/>
    <w:rsid w:val="0012347C"/>
    <w:rsid w:val="0012365B"/>
    <w:rsid w:val="001236ED"/>
    <w:rsid w:val="001238B4"/>
    <w:rsid w:val="00123916"/>
    <w:rsid w:val="00123974"/>
    <w:rsid w:val="00123E68"/>
    <w:rsid w:val="00123EE9"/>
    <w:rsid w:val="00123F6A"/>
    <w:rsid w:val="00124151"/>
    <w:rsid w:val="0012425F"/>
    <w:rsid w:val="00124282"/>
    <w:rsid w:val="001242D7"/>
    <w:rsid w:val="0012456A"/>
    <w:rsid w:val="001246DE"/>
    <w:rsid w:val="001248FA"/>
    <w:rsid w:val="00124B4B"/>
    <w:rsid w:val="00124E11"/>
    <w:rsid w:val="00124FCD"/>
    <w:rsid w:val="001252C4"/>
    <w:rsid w:val="001255C1"/>
    <w:rsid w:val="001256DF"/>
    <w:rsid w:val="001259C7"/>
    <w:rsid w:val="001259DF"/>
    <w:rsid w:val="00125E2B"/>
    <w:rsid w:val="00126134"/>
    <w:rsid w:val="00126141"/>
    <w:rsid w:val="001262CD"/>
    <w:rsid w:val="00126764"/>
    <w:rsid w:val="0012687A"/>
    <w:rsid w:val="001268DC"/>
    <w:rsid w:val="00126998"/>
    <w:rsid w:val="00126E49"/>
    <w:rsid w:val="0012731F"/>
    <w:rsid w:val="00127429"/>
    <w:rsid w:val="00127711"/>
    <w:rsid w:val="00127754"/>
    <w:rsid w:val="001277F1"/>
    <w:rsid w:val="001278AB"/>
    <w:rsid w:val="00127A71"/>
    <w:rsid w:val="00130003"/>
    <w:rsid w:val="00130098"/>
    <w:rsid w:val="001301A5"/>
    <w:rsid w:val="00130262"/>
    <w:rsid w:val="0013035B"/>
    <w:rsid w:val="00130463"/>
    <w:rsid w:val="00130534"/>
    <w:rsid w:val="001309EF"/>
    <w:rsid w:val="00130A99"/>
    <w:rsid w:val="00130EC5"/>
    <w:rsid w:val="001311A4"/>
    <w:rsid w:val="001315B7"/>
    <w:rsid w:val="00131881"/>
    <w:rsid w:val="00131A82"/>
    <w:rsid w:val="00131BC8"/>
    <w:rsid w:val="00131D37"/>
    <w:rsid w:val="00131D65"/>
    <w:rsid w:val="00131E77"/>
    <w:rsid w:val="0013252C"/>
    <w:rsid w:val="00132686"/>
    <w:rsid w:val="0013278D"/>
    <w:rsid w:val="001329C6"/>
    <w:rsid w:val="001329F1"/>
    <w:rsid w:val="00132B4A"/>
    <w:rsid w:val="00132C0A"/>
    <w:rsid w:val="00133061"/>
    <w:rsid w:val="00133513"/>
    <w:rsid w:val="00133710"/>
    <w:rsid w:val="00133747"/>
    <w:rsid w:val="00133836"/>
    <w:rsid w:val="00133883"/>
    <w:rsid w:val="00133CF0"/>
    <w:rsid w:val="00133F31"/>
    <w:rsid w:val="00133F68"/>
    <w:rsid w:val="001343A1"/>
    <w:rsid w:val="001344DA"/>
    <w:rsid w:val="001346E5"/>
    <w:rsid w:val="0013476A"/>
    <w:rsid w:val="00134F73"/>
    <w:rsid w:val="0013566A"/>
    <w:rsid w:val="00135CC3"/>
    <w:rsid w:val="00135D00"/>
    <w:rsid w:val="00135D54"/>
    <w:rsid w:val="00135D6F"/>
    <w:rsid w:val="00135F24"/>
    <w:rsid w:val="00136349"/>
    <w:rsid w:val="00136435"/>
    <w:rsid w:val="001368B0"/>
    <w:rsid w:val="001368BD"/>
    <w:rsid w:val="00136965"/>
    <w:rsid w:val="001369B3"/>
    <w:rsid w:val="00136B07"/>
    <w:rsid w:val="00136B27"/>
    <w:rsid w:val="00136B55"/>
    <w:rsid w:val="00136BB2"/>
    <w:rsid w:val="00136C10"/>
    <w:rsid w:val="00137086"/>
    <w:rsid w:val="001373DD"/>
    <w:rsid w:val="0013748D"/>
    <w:rsid w:val="00137507"/>
    <w:rsid w:val="00137551"/>
    <w:rsid w:val="00137753"/>
    <w:rsid w:val="00137801"/>
    <w:rsid w:val="0013796D"/>
    <w:rsid w:val="001379B4"/>
    <w:rsid w:val="00137C74"/>
    <w:rsid w:val="00137CEB"/>
    <w:rsid w:val="00137FD9"/>
    <w:rsid w:val="00140080"/>
    <w:rsid w:val="001402AC"/>
    <w:rsid w:val="001402F1"/>
    <w:rsid w:val="00140582"/>
    <w:rsid w:val="00140591"/>
    <w:rsid w:val="001405C7"/>
    <w:rsid w:val="00140692"/>
    <w:rsid w:val="00140BE9"/>
    <w:rsid w:val="00140DC8"/>
    <w:rsid w:val="00140FB0"/>
    <w:rsid w:val="001411B6"/>
    <w:rsid w:val="0014144D"/>
    <w:rsid w:val="0014154E"/>
    <w:rsid w:val="00141772"/>
    <w:rsid w:val="0014198B"/>
    <w:rsid w:val="00141A65"/>
    <w:rsid w:val="00141AD8"/>
    <w:rsid w:val="00141C61"/>
    <w:rsid w:val="00141CD5"/>
    <w:rsid w:val="00141D52"/>
    <w:rsid w:val="00141E4B"/>
    <w:rsid w:val="00141F34"/>
    <w:rsid w:val="00142278"/>
    <w:rsid w:val="001422C5"/>
    <w:rsid w:val="00142828"/>
    <w:rsid w:val="00142956"/>
    <w:rsid w:val="00142AE1"/>
    <w:rsid w:val="00142C40"/>
    <w:rsid w:val="00142D9A"/>
    <w:rsid w:val="001432D7"/>
    <w:rsid w:val="00143513"/>
    <w:rsid w:val="001437D8"/>
    <w:rsid w:val="00143850"/>
    <w:rsid w:val="001438E2"/>
    <w:rsid w:val="00143A7A"/>
    <w:rsid w:val="00143AA3"/>
    <w:rsid w:val="00143B30"/>
    <w:rsid w:val="00143C1A"/>
    <w:rsid w:val="00143C3C"/>
    <w:rsid w:val="00143EBE"/>
    <w:rsid w:val="001442A3"/>
    <w:rsid w:val="001443E7"/>
    <w:rsid w:val="00144C9B"/>
    <w:rsid w:val="00144DAD"/>
    <w:rsid w:val="00144E6A"/>
    <w:rsid w:val="00144E6E"/>
    <w:rsid w:val="00144F43"/>
    <w:rsid w:val="00144FAF"/>
    <w:rsid w:val="001453B1"/>
    <w:rsid w:val="001453F0"/>
    <w:rsid w:val="00145441"/>
    <w:rsid w:val="001455BA"/>
    <w:rsid w:val="001459D3"/>
    <w:rsid w:val="00145E44"/>
    <w:rsid w:val="00145ECF"/>
    <w:rsid w:val="00146499"/>
    <w:rsid w:val="00146872"/>
    <w:rsid w:val="00146A52"/>
    <w:rsid w:val="00146BF6"/>
    <w:rsid w:val="00146CD2"/>
    <w:rsid w:val="00146DA0"/>
    <w:rsid w:val="00146DBE"/>
    <w:rsid w:val="0014704A"/>
    <w:rsid w:val="001471CB"/>
    <w:rsid w:val="00147200"/>
    <w:rsid w:val="00147299"/>
    <w:rsid w:val="00147437"/>
    <w:rsid w:val="00147488"/>
    <w:rsid w:val="001475D4"/>
    <w:rsid w:val="00147637"/>
    <w:rsid w:val="00147843"/>
    <w:rsid w:val="001478D8"/>
    <w:rsid w:val="00147CEA"/>
    <w:rsid w:val="00147D65"/>
    <w:rsid w:val="00147D8C"/>
    <w:rsid w:val="001500ED"/>
    <w:rsid w:val="001504D5"/>
    <w:rsid w:val="00150694"/>
    <w:rsid w:val="00150777"/>
    <w:rsid w:val="001508F5"/>
    <w:rsid w:val="001509BC"/>
    <w:rsid w:val="00150B37"/>
    <w:rsid w:val="00150D37"/>
    <w:rsid w:val="00150D65"/>
    <w:rsid w:val="00150E09"/>
    <w:rsid w:val="00151346"/>
    <w:rsid w:val="0015137D"/>
    <w:rsid w:val="001513E2"/>
    <w:rsid w:val="0015172C"/>
    <w:rsid w:val="00151A73"/>
    <w:rsid w:val="00151D2E"/>
    <w:rsid w:val="00151D61"/>
    <w:rsid w:val="00152009"/>
    <w:rsid w:val="001525F9"/>
    <w:rsid w:val="001526FF"/>
    <w:rsid w:val="00152769"/>
    <w:rsid w:val="001527E2"/>
    <w:rsid w:val="00152898"/>
    <w:rsid w:val="00152AF7"/>
    <w:rsid w:val="00153073"/>
    <w:rsid w:val="0015323E"/>
    <w:rsid w:val="00153257"/>
    <w:rsid w:val="001532F0"/>
    <w:rsid w:val="0015352D"/>
    <w:rsid w:val="001536FB"/>
    <w:rsid w:val="00153764"/>
    <w:rsid w:val="001537BC"/>
    <w:rsid w:val="00153800"/>
    <w:rsid w:val="00153DA6"/>
    <w:rsid w:val="00153DC4"/>
    <w:rsid w:val="00153FBE"/>
    <w:rsid w:val="00154401"/>
    <w:rsid w:val="0015447A"/>
    <w:rsid w:val="001545FC"/>
    <w:rsid w:val="00154682"/>
    <w:rsid w:val="001548A2"/>
    <w:rsid w:val="00154AB5"/>
    <w:rsid w:val="00154D48"/>
    <w:rsid w:val="00154EE9"/>
    <w:rsid w:val="00154F5C"/>
    <w:rsid w:val="00155440"/>
    <w:rsid w:val="001554DC"/>
    <w:rsid w:val="00155648"/>
    <w:rsid w:val="001558CE"/>
    <w:rsid w:val="00155C78"/>
    <w:rsid w:val="00155EE5"/>
    <w:rsid w:val="0015608D"/>
    <w:rsid w:val="001560C8"/>
    <w:rsid w:val="00156103"/>
    <w:rsid w:val="00156268"/>
    <w:rsid w:val="00156304"/>
    <w:rsid w:val="00156866"/>
    <w:rsid w:val="00156AA6"/>
    <w:rsid w:val="0015771F"/>
    <w:rsid w:val="00157A6A"/>
    <w:rsid w:val="00157C29"/>
    <w:rsid w:val="00157C7B"/>
    <w:rsid w:val="00157D52"/>
    <w:rsid w:val="00157F66"/>
    <w:rsid w:val="00157F7A"/>
    <w:rsid w:val="00160826"/>
    <w:rsid w:val="001610DE"/>
    <w:rsid w:val="00161154"/>
    <w:rsid w:val="001611C2"/>
    <w:rsid w:val="00161334"/>
    <w:rsid w:val="001613F9"/>
    <w:rsid w:val="0016156B"/>
    <w:rsid w:val="001619B0"/>
    <w:rsid w:val="00161B6F"/>
    <w:rsid w:val="00161BE5"/>
    <w:rsid w:val="00161C6A"/>
    <w:rsid w:val="001620C4"/>
    <w:rsid w:val="00162150"/>
    <w:rsid w:val="001622F5"/>
    <w:rsid w:val="001625E0"/>
    <w:rsid w:val="001626D4"/>
    <w:rsid w:val="00162826"/>
    <w:rsid w:val="001628EC"/>
    <w:rsid w:val="00162AD1"/>
    <w:rsid w:val="00162BBF"/>
    <w:rsid w:val="00162DCB"/>
    <w:rsid w:val="00162E4C"/>
    <w:rsid w:val="00163357"/>
    <w:rsid w:val="0016370C"/>
    <w:rsid w:val="00163789"/>
    <w:rsid w:val="0016382C"/>
    <w:rsid w:val="00164428"/>
    <w:rsid w:val="001645A0"/>
    <w:rsid w:val="00164869"/>
    <w:rsid w:val="00164A0A"/>
    <w:rsid w:val="00164CA7"/>
    <w:rsid w:val="00164CBA"/>
    <w:rsid w:val="00164E96"/>
    <w:rsid w:val="0016531A"/>
    <w:rsid w:val="0016537F"/>
    <w:rsid w:val="0016548C"/>
    <w:rsid w:val="001658FC"/>
    <w:rsid w:val="001659D7"/>
    <w:rsid w:val="00165AD2"/>
    <w:rsid w:val="00165BC5"/>
    <w:rsid w:val="00165C38"/>
    <w:rsid w:val="0016637D"/>
    <w:rsid w:val="00166506"/>
    <w:rsid w:val="001665F6"/>
    <w:rsid w:val="00166616"/>
    <w:rsid w:val="00166F9D"/>
    <w:rsid w:val="00167169"/>
    <w:rsid w:val="00167199"/>
    <w:rsid w:val="00167658"/>
    <w:rsid w:val="001676E0"/>
    <w:rsid w:val="001678F5"/>
    <w:rsid w:val="00167B11"/>
    <w:rsid w:val="00167C30"/>
    <w:rsid w:val="00167F3D"/>
    <w:rsid w:val="00167F8B"/>
    <w:rsid w:val="00167FC8"/>
    <w:rsid w:val="0017019E"/>
    <w:rsid w:val="001701AA"/>
    <w:rsid w:val="001705E8"/>
    <w:rsid w:val="00170C07"/>
    <w:rsid w:val="00170C65"/>
    <w:rsid w:val="00170CDE"/>
    <w:rsid w:val="00171086"/>
    <w:rsid w:val="0017182E"/>
    <w:rsid w:val="00171A14"/>
    <w:rsid w:val="00171AD5"/>
    <w:rsid w:val="00171C33"/>
    <w:rsid w:val="00171DB7"/>
    <w:rsid w:val="00171EAE"/>
    <w:rsid w:val="00171FE2"/>
    <w:rsid w:val="00171FFD"/>
    <w:rsid w:val="001722DB"/>
    <w:rsid w:val="0017236C"/>
    <w:rsid w:val="0017240D"/>
    <w:rsid w:val="001725A0"/>
    <w:rsid w:val="00172730"/>
    <w:rsid w:val="001727DF"/>
    <w:rsid w:val="0017284D"/>
    <w:rsid w:val="0017287E"/>
    <w:rsid w:val="001728F8"/>
    <w:rsid w:val="00172904"/>
    <w:rsid w:val="001729FD"/>
    <w:rsid w:val="00172B18"/>
    <w:rsid w:val="00172B67"/>
    <w:rsid w:val="00172D42"/>
    <w:rsid w:val="00173518"/>
    <w:rsid w:val="0017353D"/>
    <w:rsid w:val="001735B5"/>
    <w:rsid w:val="001737E3"/>
    <w:rsid w:val="00173BDC"/>
    <w:rsid w:val="00173C28"/>
    <w:rsid w:val="00173DD0"/>
    <w:rsid w:val="00174136"/>
    <w:rsid w:val="001742E4"/>
    <w:rsid w:val="001745C7"/>
    <w:rsid w:val="00174823"/>
    <w:rsid w:val="0017487B"/>
    <w:rsid w:val="00174B59"/>
    <w:rsid w:val="00174DFA"/>
    <w:rsid w:val="00174E41"/>
    <w:rsid w:val="00175457"/>
    <w:rsid w:val="00175629"/>
    <w:rsid w:val="001759BD"/>
    <w:rsid w:val="00175BFB"/>
    <w:rsid w:val="00175D5E"/>
    <w:rsid w:val="00175D9F"/>
    <w:rsid w:val="00176106"/>
    <w:rsid w:val="00176467"/>
    <w:rsid w:val="001768B3"/>
    <w:rsid w:val="001769B4"/>
    <w:rsid w:val="00176B46"/>
    <w:rsid w:val="0017703A"/>
    <w:rsid w:val="001775E0"/>
    <w:rsid w:val="00177675"/>
    <w:rsid w:val="00177B6F"/>
    <w:rsid w:val="00177E9A"/>
    <w:rsid w:val="00180213"/>
    <w:rsid w:val="00180279"/>
    <w:rsid w:val="0018042E"/>
    <w:rsid w:val="00180658"/>
    <w:rsid w:val="00180A88"/>
    <w:rsid w:val="00181088"/>
    <w:rsid w:val="001812CB"/>
    <w:rsid w:val="00181401"/>
    <w:rsid w:val="001814A9"/>
    <w:rsid w:val="001815B2"/>
    <w:rsid w:val="00181678"/>
    <w:rsid w:val="00181E28"/>
    <w:rsid w:val="0018205A"/>
    <w:rsid w:val="001821A3"/>
    <w:rsid w:val="001823C0"/>
    <w:rsid w:val="00182435"/>
    <w:rsid w:val="00182633"/>
    <w:rsid w:val="001827C9"/>
    <w:rsid w:val="00182808"/>
    <w:rsid w:val="00182BC0"/>
    <w:rsid w:val="001832A0"/>
    <w:rsid w:val="00183646"/>
    <w:rsid w:val="0018383C"/>
    <w:rsid w:val="001839DB"/>
    <w:rsid w:val="00183F21"/>
    <w:rsid w:val="00183F50"/>
    <w:rsid w:val="001843D8"/>
    <w:rsid w:val="00184413"/>
    <w:rsid w:val="00184781"/>
    <w:rsid w:val="00184B3D"/>
    <w:rsid w:val="00184C45"/>
    <w:rsid w:val="00185482"/>
    <w:rsid w:val="0018556B"/>
    <w:rsid w:val="00185587"/>
    <w:rsid w:val="00185716"/>
    <w:rsid w:val="00185786"/>
    <w:rsid w:val="00185B7F"/>
    <w:rsid w:val="00185BDD"/>
    <w:rsid w:val="00185D82"/>
    <w:rsid w:val="00185EFD"/>
    <w:rsid w:val="0018620F"/>
    <w:rsid w:val="00186505"/>
    <w:rsid w:val="00186790"/>
    <w:rsid w:val="0018681C"/>
    <w:rsid w:val="001868AA"/>
    <w:rsid w:val="00186AD4"/>
    <w:rsid w:val="0018708E"/>
    <w:rsid w:val="0018709C"/>
    <w:rsid w:val="001870D1"/>
    <w:rsid w:val="001872BE"/>
    <w:rsid w:val="0018763C"/>
    <w:rsid w:val="001877AA"/>
    <w:rsid w:val="00187818"/>
    <w:rsid w:val="00187913"/>
    <w:rsid w:val="00187FAA"/>
    <w:rsid w:val="00190154"/>
    <w:rsid w:val="00190503"/>
    <w:rsid w:val="00190556"/>
    <w:rsid w:val="00190637"/>
    <w:rsid w:val="00190748"/>
    <w:rsid w:val="00190ADE"/>
    <w:rsid w:val="00190C53"/>
    <w:rsid w:val="00190D51"/>
    <w:rsid w:val="00190DE1"/>
    <w:rsid w:val="00190E59"/>
    <w:rsid w:val="00190F08"/>
    <w:rsid w:val="00190FCB"/>
    <w:rsid w:val="001914FA"/>
    <w:rsid w:val="001916CE"/>
    <w:rsid w:val="00191705"/>
    <w:rsid w:val="001917B0"/>
    <w:rsid w:val="001919B3"/>
    <w:rsid w:val="00191A8B"/>
    <w:rsid w:val="00191B18"/>
    <w:rsid w:val="00191CD2"/>
    <w:rsid w:val="00191DB0"/>
    <w:rsid w:val="00191FCD"/>
    <w:rsid w:val="00192133"/>
    <w:rsid w:val="00192232"/>
    <w:rsid w:val="001922C6"/>
    <w:rsid w:val="001924AE"/>
    <w:rsid w:val="0019270C"/>
    <w:rsid w:val="0019294B"/>
    <w:rsid w:val="00192B23"/>
    <w:rsid w:val="00192D4C"/>
    <w:rsid w:val="00192F09"/>
    <w:rsid w:val="00193338"/>
    <w:rsid w:val="001934C1"/>
    <w:rsid w:val="001934F2"/>
    <w:rsid w:val="001935B4"/>
    <w:rsid w:val="00193659"/>
    <w:rsid w:val="0019369B"/>
    <w:rsid w:val="00193958"/>
    <w:rsid w:val="00193A45"/>
    <w:rsid w:val="00193B28"/>
    <w:rsid w:val="00193DBE"/>
    <w:rsid w:val="00193F8E"/>
    <w:rsid w:val="00193FD0"/>
    <w:rsid w:val="001942A8"/>
    <w:rsid w:val="00194540"/>
    <w:rsid w:val="001945C2"/>
    <w:rsid w:val="0019499F"/>
    <w:rsid w:val="00194C3E"/>
    <w:rsid w:val="00194E85"/>
    <w:rsid w:val="00194FF3"/>
    <w:rsid w:val="001951BF"/>
    <w:rsid w:val="00195411"/>
    <w:rsid w:val="0019604A"/>
    <w:rsid w:val="001963A9"/>
    <w:rsid w:val="001965B2"/>
    <w:rsid w:val="00196706"/>
    <w:rsid w:val="00196714"/>
    <w:rsid w:val="00196759"/>
    <w:rsid w:val="0019686A"/>
    <w:rsid w:val="001968F4"/>
    <w:rsid w:val="00196E6A"/>
    <w:rsid w:val="0019710B"/>
    <w:rsid w:val="001973EA"/>
    <w:rsid w:val="001976A9"/>
    <w:rsid w:val="001977AA"/>
    <w:rsid w:val="001977B0"/>
    <w:rsid w:val="00197815"/>
    <w:rsid w:val="00197916"/>
    <w:rsid w:val="00197A43"/>
    <w:rsid w:val="00197E79"/>
    <w:rsid w:val="00197F27"/>
    <w:rsid w:val="00197F3C"/>
    <w:rsid w:val="00197F4A"/>
    <w:rsid w:val="00197FCE"/>
    <w:rsid w:val="001A03E2"/>
    <w:rsid w:val="001A03F1"/>
    <w:rsid w:val="001A05FF"/>
    <w:rsid w:val="001A09D6"/>
    <w:rsid w:val="001A0C88"/>
    <w:rsid w:val="001A10A2"/>
    <w:rsid w:val="001A14CF"/>
    <w:rsid w:val="001A1912"/>
    <w:rsid w:val="001A19AE"/>
    <w:rsid w:val="001A1B16"/>
    <w:rsid w:val="001A1D87"/>
    <w:rsid w:val="001A2045"/>
    <w:rsid w:val="001A214A"/>
    <w:rsid w:val="001A22AB"/>
    <w:rsid w:val="001A2450"/>
    <w:rsid w:val="001A29A5"/>
    <w:rsid w:val="001A2E04"/>
    <w:rsid w:val="001A3072"/>
    <w:rsid w:val="001A32B0"/>
    <w:rsid w:val="001A338A"/>
    <w:rsid w:val="001A3457"/>
    <w:rsid w:val="001A3694"/>
    <w:rsid w:val="001A3834"/>
    <w:rsid w:val="001A3A6B"/>
    <w:rsid w:val="001A3DE9"/>
    <w:rsid w:val="001A4BF0"/>
    <w:rsid w:val="001A4C26"/>
    <w:rsid w:val="001A4EC7"/>
    <w:rsid w:val="001A503C"/>
    <w:rsid w:val="001A584F"/>
    <w:rsid w:val="001A58BC"/>
    <w:rsid w:val="001A593E"/>
    <w:rsid w:val="001A595E"/>
    <w:rsid w:val="001A59FC"/>
    <w:rsid w:val="001A5E64"/>
    <w:rsid w:val="001A5FEF"/>
    <w:rsid w:val="001A5FF2"/>
    <w:rsid w:val="001A630E"/>
    <w:rsid w:val="001A6B76"/>
    <w:rsid w:val="001A6B8B"/>
    <w:rsid w:val="001A6EEA"/>
    <w:rsid w:val="001A6FD6"/>
    <w:rsid w:val="001A772F"/>
    <w:rsid w:val="001A7A6B"/>
    <w:rsid w:val="001A7CBF"/>
    <w:rsid w:val="001A7CE3"/>
    <w:rsid w:val="001A7DBA"/>
    <w:rsid w:val="001A7DDF"/>
    <w:rsid w:val="001A7F3D"/>
    <w:rsid w:val="001A7F53"/>
    <w:rsid w:val="001B0059"/>
    <w:rsid w:val="001B00A5"/>
    <w:rsid w:val="001B03C0"/>
    <w:rsid w:val="001B0500"/>
    <w:rsid w:val="001B079C"/>
    <w:rsid w:val="001B07C3"/>
    <w:rsid w:val="001B080F"/>
    <w:rsid w:val="001B0B15"/>
    <w:rsid w:val="001B0E09"/>
    <w:rsid w:val="001B10E7"/>
    <w:rsid w:val="001B13F1"/>
    <w:rsid w:val="001B1815"/>
    <w:rsid w:val="001B18AE"/>
    <w:rsid w:val="001B1F00"/>
    <w:rsid w:val="001B1F0C"/>
    <w:rsid w:val="001B2055"/>
    <w:rsid w:val="001B25C9"/>
    <w:rsid w:val="001B2992"/>
    <w:rsid w:val="001B2A32"/>
    <w:rsid w:val="001B2B93"/>
    <w:rsid w:val="001B2EA6"/>
    <w:rsid w:val="001B2EF3"/>
    <w:rsid w:val="001B340C"/>
    <w:rsid w:val="001B34DA"/>
    <w:rsid w:val="001B3502"/>
    <w:rsid w:val="001B38CA"/>
    <w:rsid w:val="001B3AE6"/>
    <w:rsid w:val="001B3B9B"/>
    <w:rsid w:val="001B4054"/>
    <w:rsid w:val="001B409C"/>
    <w:rsid w:val="001B42A1"/>
    <w:rsid w:val="001B481B"/>
    <w:rsid w:val="001B4DB7"/>
    <w:rsid w:val="001B4DE1"/>
    <w:rsid w:val="001B5261"/>
    <w:rsid w:val="001B53C1"/>
    <w:rsid w:val="001B53C5"/>
    <w:rsid w:val="001B540C"/>
    <w:rsid w:val="001B5479"/>
    <w:rsid w:val="001B5891"/>
    <w:rsid w:val="001B5983"/>
    <w:rsid w:val="001B59F4"/>
    <w:rsid w:val="001B5CA8"/>
    <w:rsid w:val="001B5D8F"/>
    <w:rsid w:val="001B5DC9"/>
    <w:rsid w:val="001B6040"/>
    <w:rsid w:val="001B64DA"/>
    <w:rsid w:val="001B66C2"/>
    <w:rsid w:val="001B675A"/>
    <w:rsid w:val="001B6DCF"/>
    <w:rsid w:val="001B6E7D"/>
    <w:rsid w:val="001B712E"/>
    <w:rsid w:val="001B7188"/>
    <w:rsid w:val="001B7CCD"/>
    <w:rsid w:val="001B7CD1"/>
    <w:rsid w:val="001C025E"/>
    <w:rsid w:val="001C030F"/>
    <w:rsid w:val="001C03AE"/>
    <w:rsid w:val="001C0420"/>
    <w:rsid w:val="001C0FD7"/>
    <w:rsid w:val="001C1140"/>
    <w:rsid w:val="001C172E"/>
    <w:rsid w:val="001C1742"/>
    <w:rsid w:val="001C1773"/>
    <w:rsid w:val="001C1A70"/>
    <w:rsid w:val="001C1E13"/>
    <w:rsid w:val="001C214F"/>
    <w:rsid w:val="001C23B5"/>
    <w:rsid w:val="001C26DD"/>
    <w:rsid w:val="001C27BF"/>
    <w:rsid w:val="001C27D3"/>
    <w:rsid w:val="001C2BE5"/>
    <w:rsid w:val="001C2C8E"/>
    <w:rsid w:val="001C2D63"/>
    <w:rsid w:val="001C3077"/>
    <w:rsid w:val="001C30C6"/>
    <w:rsid w:val="001C31E6"/>
    <w:rsid w:val="001C3285"/>
    <w:rsid w:val="001C3319"/>
    <w:rsid w:val="001C332B"/>
    <w:rsid w:val="001C3792"/>
    <w:rsid w:val="001C3A2A"/>
    <w:rsid w:val="001C3E97"/>
    <w:rsid w:val="001C3FF8"/>
    <w:rsid w:val="001C430B"/>
    <w:rsid w:val="001C450F"/>
    <w:rsid w:val="001C4719"/>
    <w:rsid w:val="001C4A27"/>
    <w:rsid w:val="001C4B54"/>
    <w:rsid w:val="001C511B"/>
    <w:rsid w:val="001C55A8"/>
    <w:rsid w:val="001C55BA"/>
    <w:rsid w:val="001C55FE"/>
    <w:rsid w:val="001C5923"/>
    <w:rsid w:val="001C5A45"/>
    <w:rsid w:val="001C5AC9"/>
    <w:rsid w:val="001C5B37"/>
    <w:rsid w:val="001C5D00"/>
    <w:rsid w:val="001C6149"/>
    <w:rsid w:val="001C61C5"/>
    <w:rsid w:val="001C6246"/>
    <w:rsid w:val="001C6364"/>
    <w:rsid w:val="001C6857"/>
    <w:rsid w:val="001C6A94"/>
    <w:rsid w:val="001C6B3A"/>
    <w:rsid w:val="001C6C18"/>
    <w:rsid w:val="001C6EC9"/>
    <w:rsid w:val="001C70D6"/>
    <w:rsid w:val="001C73B3"/>
    <w:rsid w:val="001C73D8"/>
    <w:rsid w:val="001C7697"/>
    <w:rsid w:val="001C7721"/>
    <w:rsid w:val="001C77E7"/>
    <w:rsid w:val="001C796A"/>
    <w:rsid w:val="001C7B62"/>
    <w:rsid w:val="001C7DD2"/>
    <w:rsid w:val="001C7F95"/>
    <w:rsid w:val="001D00B0"/>
    <w:rsid w:val="001D01C3"/>
    <w:rsid w:val="001D0330"/>
    <w:rsid w:val="001D0456"/>
    <w:rsid w:val="001D06DA"/>
    <w:rsid w:val="001D0700"/>
    <w:rsid w:val="001D0A47"/>
    <w:rsid w:val="001D0B14"/>
    <w:rsid w:val="001D0C9D"/>
    <w:rsid w:val="001D0D89"/>
    <w:rsid w:val="001D0FE5"/>
    <w:rsid w:val="001D10AF"/>
    <w:rsid w:val="001D10F5"/>
    <w:rsid w:val="001D1245"/>
    <w:rsid w:val="001D157C"/>
    <w:rsid w:val="001D19F3"/>
    <w:rsid w:val="001D1A0D"/>
    <w:rsid w:val="001D1A8B"/>
    <w:rsid w:val="001D1AB5"/>
    <w:rsid w:val="001D1D55"/>
    <w:rsid w:val="001D1F15"/>
    <w:rsid w:val="001D2837"/>
    <w:rsid w:val="001D2B2E"/>
    <w:rsid w:val="001D2BFE"/>
    <w:rsid w:val="001D2D58"/>
    <w:rsid w:val="001D3299"/>
    <w:rsid w:val="001D33CE"/>
    <w:rsid w:val="001D33E3"/>
    <w:rsid w:val="001D33E5"/>
    <w:rsid w:val="001D3407"/>
    <w:rsid w:val="001D340B"/>
    <w:rsid w:val="001D350F"/>
    <w:rsid w:val="001D3782"/>
    <w:rsid w:val="001D394C"/>
    <w:rsid w:val="001D3A36"/>
    <w:rsid w:val="001D3BEA"/>
    <w:rsid w:val="001D3EA1"/>
    <w:rsid w:val="001D404E"/>
    <w:rsid w:val="001D443C"/>
    <w:rsid w:val="001D44CF"/>
    <w:rsid w:val="001D5045"/>
    <w:rsid w:val="001D5285"/>
    <w:rsid w:val="001D5315"/>
    <w:rsid w:val="001D5D2D"/>
    <w:rsid w:val="001D6180"/>
    <w:rsid w:val="001D624C"/>
    <w:rsid w:val="001D63F3"/>
    <w:rsid w:val="001D67E7"/>
    <w:rsid w:val="001D6B74"/>
    <w:rsid w:val="001D6C00"/>
    <w:rsid w:val="001D6F5C"/>
    <w:rsid w:val="001D6FE0"/>
    <w:rsid w:val="001D70B7"/>
    <w:rsid w:val="001D7169"/>
    <w:rsid w:val="001D71B8"/>
    <w:rsid w:val="001D74F4"/>
    <w:rsid w:val="001D7535"/>
    <w:rsid w:val="001D7E09"/>
    <w:rsid w:val="001D7F14"/>
    <w:rsid w:val="001D7F8E"/>
    <w:rsid w:val="001E0073"/>
    <w:rsid w:val="001E017C"/>
    <w:rsid w:val="001E0542"/>
    <w:rsid w:val="001E0769"/>
    <w:rsid w:val="001E09F7"/>
    <w:rsid w:val="001E0A53"/>
    <w:rsid w:val="001E0BDA"/>
    <w:rsid w:val="001E0D62"/>
    <w:rsid w:val="001E0FBA"/>
    <w:rsid w:val="001E11AC"/>
    <w:rsid w:val="001E1824"/>
    <w:rsid w:val="001E1BC7"/>
    <w:rsid w:val="001E1EF7"/>
    <w:rsid w:val="001E1F38"/>
    <w:rsid w:val="001E2397"/>
    <w:rsid w:val="001E24AF"/>
    <w:rsid w:val="001E3323"/>
    <w:rsid w:val="001E332E"/>
    <w:rsid w:val="001E3779"/>
    <w:rsid w:val="001E3EB8"/>
    <w:rsid w:val="001E4204"/>
    <w:rsid w:val="001E42FC"/>
    <w:rsid w:val="001E4347"/>
    <w:rsid w:val="001E4A66"/>
    <w:rsid w:val="001E4C74"/>
    <w:rsid w:val="001E4F94"/>
    <w:rsid w:val="001E5120"/>
    <w:rsid w:val="001E53E4"/>
    <w:rsid w:val="001E5514"/>
    <w:rsid w:val="001E55E4"/>
    <w:rsid w:val="001E56DE"/>
    <w:rsid w:val="001E6521"/>
    <w:rsid w:val="001E65D0"/>
    <w:rsid w:val="001E65EB"/>
    <w:rsid w:val="001E665D"/>
    <w:rsid w:val="001E67DE"/>
    <w:rsid w:val="001E6A15"/>
    <w:rsid w:val="001E6BCE"/>
    <w:rsid w:val="001E6C2B"/>
    <w:rsid w:val="001E6EA7"/>
    <w:rsid w:val="001E73BB"/>
    <w:rsid w:val="001E7458"/>
    <w:rsid w:val="001E7463"/>
    <w:rsid w:val="001E7481"/>
    <w:rsid w:val="001E7594"/>
    <w:rsid w:val="001E77FF"/>
    <w:rsid w:val="001E7B9C"/>
    <w:rsid w:val="001F0859"/>
    <w:rsid w:val="001F0A0F"/>
    <w:rsid w:val="001F0CB8"/>
    <w:rsid w:val="001F0F95"/>
    <w:rsid w:val="001F1265"/>
    <w:rsid w:val="001F1508"/>
    <w:rsid w:val="001F15ED"/>
    <w:rsid w:val="001F16D0"/>
    <w:rsid w:val="001F17F7"/>
    <w:rsid w:val="001F187B"/>
    <w:rsid w:val="001F1F2B"/>
    <w:rsid w:val="001F2156"/>
    <w:rsid w:val="001F28E7"/>
    <w:rsid w:val="001F2992"/>
    <w:rsid w:val="001F2A52"/>
    <w:rsid w:val="001F2BDB"/>
    <w:rsid w:val="001F2D3C"/>
    <w:rsid w:val="001F2E8C"/>
    <w:rsid w:val="001F2F5C"/>
    <w:rsid w:val="001F305D"/>
    <w:rsid w:val="001F307B"/>
    <w:rsid w:val="001F3116"/>
    <w:rsid w:val="001F32B1"/>
    <w:rsid w:val="001F344C"/>
    <w:rsid w:val="001F36AF"/>
    <w:rsid w:val="001F3AE1"/>
    <w:rsid w:val="001F3BA1"/>
    <w:rsid w:val="001F3C9C"/>
    <w:rsid w:val="001F400A"/>
    <w:rsid w:val="001F4914"/>
    <w:rsid w:val="001F4CEC"/>
    <w:rsid w:val="001F5212"/>
    <w:rsid w:val="001F545D"/>
    <w:rsid w:val="001F54E7"/>
    <w:rsid w:val="001F554E"/>
    <w:rsid w:val="001F563E"/>
    <w:rsid w:val="001F59B5"/>
    <w:rsid w:val="001F5C01"/>
    <w:rsid w:val="001F5CAC"/>
    <w:rsid w:val="001F5F12"/>
    <w:rsid w:val="001F613A"/>
    <w:rsid w:val="001F6465"/>
    <w:rsid w:val="001F669D"/>
    <w:rsid w:val="001F6841"/>
    <w:rsid w:val="001F6B63"/>
    <w:rsid w:val="001F6D00"/>
    <w:rsid w:val="001F6E27"/>
    <w:rsid w:val="001F7065"/>
    <w:rsid w:val="001F7241"/>
    <w:rsid w:val="001F7747"/>
    <w:rsid w:val="001F792B"/>
    <w:rsid w:val="001F79E4"/>
    <w:rsid w:val="001F7C11"/>
    <w:rsid w:val="00200162"/>
    <w:rsid w:val="00200173"/>
    <w:rsid w:val="0020029C"/>
    <w:rsid w:val="0020037C"/>
    <w:rsid w:val="002005C3"/>
    <w:rsid w:val="00200EF3"/>
    <w:rsid w:val="00201232"/>
    <w:rsid w:val="0020124F"/>
    <w:rsid w:val="00201421"/>
    <w:rsid w:val="00201663"/>
    <w:rsid w:val="00201856"/>
    <w:rsid w:val="00201DCE"/>
    <w:rsid w:val="00201E8B"/>
    <w:rsid w:val="00202122"/>
    <w:rsid w:val="0020224C"/>
    <w:rsid w:val="00202577"/>
    <w:rsid w:val="00202586"/>
    <w:rsid w:val="002025D1"/>
    <w:rsid w:val="00202627"/>
    <w:rsid w:val="002029F2"/>
    <w:rsid w:val="00202B57"/>
    <w:rsid w:val="00202D47"/>
    <w:rsid w:val="00202F4C"/>
    <w:rsid w:val="00202F6B"/>
    <w:rsid w:val="00203169"/>
    <w:rsid w:val="002034DB"/>
    <w:rsid w:val="00203807"/>
    <w:rsid w:val="00203C35"/>
    <w:rsid w:val="00203EF5"/>
    <w:rsid w:val="002042EF"/>
    <w:rsid w:val="00204811"/>
    <w:rsid w:val="002049C7"/>
    <w:rsid w:val="0020558D"/>
    <w:rsid w:val="00205696"/>
    <w:rsid w:val="0020569F"/>
    <w:rsid w:val="002057BB"/>
    <w:rsid w:val="002057DD"/>
    <w:rsid w:val="00205ABE"/>
    <w:rsid w:val="00205B4E"/>
    <w:rsid w:val="00205D9D"/>
    <w:rsid w:val="002062A4"/>
    <w:rsid w:val="00206807"/>
    <w:rsid w:val="002068B4"/>
    <w:rsid w:val="00206A1E"/>
    <w:rsid w:val="00206AE4"/>
    <w:rsid w:val="00206CA6"/>
    <w:rsid w:val="002070B9"/>
    <w:rsid w:val="002070CD"/>
    <w:rsid w:val="00207273"/>
    <w:rsid w:val="002072AD"/>
    <w:rsid w:val="002073E9"/>
    <w:rsid w:val="0020779C"/>
    <w:rsid w:val="00207A9B"/>
    <w:rsid w:val="00207C04"/>
    <w:rsid w:val="00207FBF"/>
    <w:rsid w:val="002100C1"/>
    <w:rsid w:val="0021012E"/>
    <w:rsid w:val="00210272"/>
    <w:rsid w:val="00210411"/>
    <w:rsid w:val="00210479"/>
    <w:rsid w:val="00210663"/>
    <w:rsid w:val="00210B50"/>
    <w:rsid w:val="00210CF4"/>
    <w:rsid w:val="00210D4D"/>
    <w:rsid w:val="00210D82"/>
    <w:rsid w:val="00210EB5"/>
    <w:rsid w:val="00211438"/>
    <w:rsid w:val="0021164F"/>
    <w:rsid w:val="0021181B"/>
    <w:rsid w:val="00211A34"/>
    <w:rsid w:val="00211C43"/>
    <w:rsid w:val="00212269"/>
    <w:rsid w:val="002122FC"/>
    <w:rsid w:val="00212390"/>
    <w:rsid w:val="0021245C"/>
    <w:rsid w:val="0021263F"/>
    <w:rsid w:val="002128E1"/>
    <w:rsid w:val="00212983"/>
    <w:rsid w:val="00212A87"/>
    <w:rsid w:val="00212B6D"/>
    <w:rsid w:val="00212C0A"/>
    <w:rsid w:val="00213047"/>
    <w:rsid w:val="00213067"/>
    <w:rsid w:val="002131B0"/>
    <w:rsid w:val="002136C6"/>
    <w:rsid w:val="002137C6"/>
    <w:rsid w:val="00213B3D"/>
    <w:rsid w:val="00213CF1"/>
    <w:rsid w:val="00213E51"/>
    <w:rsid w:val="0021429B"/>
    <w:rsid w:val="00214358"/>
    <w:rsid w:val="00214478"/>
    <w:rsid w:val="002149FA"/>
    <w:rsid w:val="00214A9E"/>
    <w:rsid w:val="00214B4A"/>
    <w:rsid w:val="00214E94"/>
    <w:rsid w:val="00214EEF"/>
    <w:rsid w:val="00215075"/>
    <w:rsid w:val="00215188"/>
    <w:rsid w:val="00215429"/>
    <w:rsid w:val="00215B8E"/>
    <w:rsid w:val="00215D3C"/>
    <w:rsid w:val="00216455"/>
    <w:rsid w:val="00216683"/>
    <w:rsid w:val="0021681C"/>
    <w:rsid w:val="0021693B"/>
    <w:rsid w:val="00216B41"/>
    <w:rsid w:val="00216C70"/>
    <w:rsid w:val="00216D06"/>
    <w:rsid w:val="00216D66"/>
    <w:rsid w:val="00216DEB"/>
    <w:rsid w:val="00216E59"/>
    <w:rsid w:val="00217043"/>
    <w:rsid w:val="00217110"/>
    <w:rsid w:val="002175F6"/>
    <w:rsid w:val="0021762E"/>
    <w:rsid w:val="002177A7"/>
    <w:rsid w:val="002177C9"/>
    <w:rsid w:val="00217A78"/>
    <w:rsid w:val="00217C9D"/>
    <w:rsid w:val="00217E0C"/>
    <w:rsid w:val="00217F4C"/>
    <w:rsid w:val="002206CF"/>
    <w:rsid w:val="00220946"/>
    <w:rsid w:val="00220DD6"/>
    <w:rsid w:val="00220E9E"/>
    <w:rsid w:val="00221223"/>
    <w:rsid w:val="002213EE"/>
    <w:rsid w:val="00221867"/>
    <w:rsid w:val="002218E0"/>
    <w:rsid w:val="002219BD"/>
    <w:rsid w:val="00221BF6"/>
    <w:rsid w:val="00221C6B"/>
    <w:rsid w:val="00221F22"/>
    <w:rsid w:val="00221F90"/>
    <w:rsid w:val="00222175"/>
    <w:rsid w:val="002221A8"/>
    <w:rsid w:val="00222467"/>
    <w:rsid w:val="00222493"/>
    <w:rsid w:val="002224CC"/>
    <w:rsid w:val="00222ADF"/>
    <w:rsid w:val="00222B42"/>
    <w:rsid w:val="00222C23"/>
    <w:rsid w:val="00222EB0"/>
    <w:rsid w:val="0022314B"/>
    <w:rsid w:val="002233CA"/>
    <w:rsid w:val="00223444"/>
    <w:rsid w:val="00223502"/>
    <w:rsid w:val="00223952"/>
    <w:rsid w:val="00223B25"/>
    <w:rsid w:val="00223FE1"/>
    <w:rsid w:val="00224089"/>
    <w:rsid w:val="002240AB"/>
    <w:rsid w:val="00224134"/>
    <w:rsid w:val="00224282"/>
    <w:rsid w:val="00224660"/>
    <w:rsid w:val="002246CF"/>
    <w:rsid w:val="00224806"/>
    <w:rsid w:val="0022489D"/>
    <w:rsid w:val="00224BB9"/>
    <w:rsid w:val="00224EAB"/>
    <w:rsid w:val="00224EE2"/>
    <w:rsid w:val="002253B7"/>
    <w:rsid w:val="00225462"/>
    <w:rsid w:val="00225753"/>
    <w:rsid w:val="00225A01"/>
    <w:rsid w:val="00226265"/>
    <w:rsid w:val="0022645A"/>
    <w:rsid w:val="00226662"/>
    <w:rsid w:val="002266E1"/>
    <w:rsid w:val="00226A20"/>
    <w:rsid w:val="00226A45"/>
    <w:rsid w:val="00226A92"/>
    <w:rsid w:val="00226E3E"/>
    <w:rsid w:val="00226E8D"/>
    <w:rsid w:val="00227076"/>
    <w:rsid w:val="0022736C"/>
    <w:rsid w:val="0022736F"/>
    <w:rsid w:val="002273E9"/>
    <w:rsid w:val="002274A7"/>
    <w:rsid w:val="002279CE"/>
    <w:rsid w:val="00227A28"/>
    <w:rsid w:val="00227AF1"/>
    <w:rsid w:val="00227DF8"/>
    <w:rsid w:val="00227EE7"/>
    <w:rsid w:val="002305BA"/>
    <w:rsid w:val="0023098C"/>
    <w:rsid w:val="00230BB0"/>
    <w:rsid w:val="00230E3F"/>
    <w:rsid w:val="00230E8C"/>
    <w:rsid w:val="00230F76"/>
    <w:rsid w:val="0023103F"/>
    <w:rsid w:val="002313DE"/>
    <w:rsid w:val="002319A7"/>
    <w:rsid w:val="00231C23"/>
    <w:rsid w:val="00231CD0"/>
    <w:rsid w:val="00231D0F"/>
    <w:rsid w:val="00231DA3"/>
    <w:rsid w:val="00232294"/>
    <w:rsid w:val="00232386"/>
    <w:rsid w:val="00232760"/>
    <w:rsid w:val="002328FC"/>
    <w:rsid w:val="00232956"/>
    <w:rsid w:val="00232B19"/>
    <w:rsid w:val="00232F00"/>
    <w:rsid w:val="00232FD5"/>
    <w:rsid w:val="002331D3"/>
    <w:rsid w:val="002332CA"/>
    <w:rsid w:val="00233501"/>
    <w:rsid w:val="00233622"/>
    <w:rsid w:val="00233814"/>
    <w:rsid w:val="00233AAA"/>
    <w:rsid w:val="00233DCA"/>
    <w:rsid w:val="002342C2"/>
    <w:rsid w:val="00234471"/>
    <w:rsid w:val="0023450D"/>
    <w:rsid w:val="002345A7"/>
    <w:rsid w:val="0023476B"/>
    <w:rsid w:val="00234A58"/>
    <w:rsid w:val="00234A6F"/>
    <w:rsid w:val="00234B05"/>
    <w:rsid w:val="00234BC8"/>
    <w:rsid w:val="00234D01"/>
    <w:rsid w:val="00234FBC"/>
    <w:rsid w:val="00235024"/>
    <w:rsid w:val="002352E4"/>
    <w:rsid w:val="002354C3"/>
    <w:rsid w:val="00235C72"/>
    <w:rsid w:val="00235D15"/>
    <w:rsid w:val="00236153"/>
    <w:rsid w:val="00236298"/>
    <w:rsid w:val="0023630D"/>
    <w:rsid w:val="0023631D"/>
    <w:rsid w:val="00236C41"/>
    <w:rsid w:val="00236C87"/>
    <w:rsid w:val="00236DD0"/>
    <w:rsid w:val="002370AE"/>
    <w:rsid w:val="002370E8"/>
    <w:rsid w:val="0023763D"/>
    <w:rsid w:val="00237A43"/>
    <w:rsid w:val="00237DF5"/>
    <w:rsid w:val="00237EB4"/>
    <w:rsid w:val="00240232"/>
    <w:rsid w:val="00240432"/>
    <w:rsid w:val="00240691"/>
    <w:rsid w:val="00241045"/>
    <w:rsid w:val="00241324"/>
    <w:rsid w:val="00241740"/>
    <w:rsid w:val="00241851"/>
    <w:rsid w:val="002421ED"/>
    <w:rsid w:val="00242282"/>
    <w:rsid w:val="0024278F"/>
    <w:rsid w:val="002427DC"/>
    <w:rsid w:val="00242882"/>
    <w:rsid w:val="0024288D"/>
    <w:rsid w:val="00242D77"/>
    <w:rsid w:val="00242F50"/>
    <w:rsid w:val="00243181"/>
    <w:rsid w:val="00243360"/>
    <w:rsid w:val="00243643"/>
    <w:rsid w:val="002436D5"/>
    <w:rsid w:val="002439A8"/>
    <w:rsid w:val="00243A5D"/>
    <w:rsid w:val="00243C83"/>
    <w:rsid w:val="00243E78"/>
    <w:rsid w:val="00243FDD"/>
    <w:rsid w:val="002441C5"/>
    <w:rsid w:val="002444CE"/>
    <w:rsid w:val="00244582"/>
    <w:rsid w:val="00244698"/>
    <w:rsid w:val="00244853"/>
    <w:rsid w:val="00244DF6"/>
    <w:rsid w:val="0024524A"/>
    <w:rsid w:val="0024533C"/>
    <w:rsid w:val="002456AC"/>
    <w:rsid w:val="002456DE"/>
    <w:rsid w:val="0024580C"/>
    <w:rsid w:val="002458A5"/>
    <w:rsid w:val="002458D0"/>
    <w:rsid w:val="0024590A"/>
    <w:rsid w:val="00245E28"/>
    <w:rsid w:val="0024602C"/>
    <w:rsid w:val="00246080"/>
    <w:rsid w:val="00246BA4"/>
    <w:rsid w:val="00246D29"/>
    <w:rsid w:val="00246E20"/>
    <w:rsid w:val="00247488"/>
    <w:rsid w:val="0025000F"/>
    <w:rsid w:val="002501C6"/>
    <w:rsid w:val="00250449"/>
    <w:rsid w:val="002504EC"/>
    <w:rsid w:val="00250585"/>
    <w:rsid w:val="00250678"/>
    <w:rsid w:val="00250C6E"/>
    <w:rsid w:val="0025124A"/>
    <w:rsid w:val="00251407"/>
    <w:rsid w:val="002514F1"/>
    <w:rsid w:val="00251681"/>
    <w:rsid w:val="002516C8"/>
    <w:rsid w:val="002516DB"/>
    <w:rsid w:val="0025173E"/>
    <w:rsid w:val="0025189E"/>
    <w:rsid w:val="00251C65"/>
    <w:rsid w:val="00251D2A"/>
    <w:rsid w:val="00251E50"/>
    <w:rsid w:val="00252135"/>
    <w:rsid w:val="002521CA"/>
    <w:rsid w:val="0025244A"/>
    <w:rsid w:val="00252488"/>
    <w:rsid w:val="0025263D"/>
    <w:rsid w:val="00252693"/>
    <w:rsid w:val="00252C12"/>
    <w:rsid w:val="00252FC7"/>
    <w:rsid w:val="0025300E"/>
    <w:rsid w:val="00253183"/>
    <w:rsid w:val="0025323A"/>
    <w:rsid w:val="00253274"/>
    <w:rsid w:val="00253347"/>
    <w:rsid w:val="0025366B"/>
    <w:rsid w:val="002537A4"/>
    <w:rsid w:val="00253E0C"/>
    <w:rsid w:val="00253EEE"/>
    <w:rsid w:val="00253FCC"/>
    <w:rsid w:val="00254233"/>
    <w:rsid w:val="0025478C"/>
    <w:rsid w:val="00254881"/>
    <w:rsid w:val="00254ABC"/>
    <w:rsid w:val="00254C5B"/>
    <w:rsid w:val="00254C88"/>
    <w:rsid w:val="00254C97"/>
    <w:rsid w:val="00254FC4"/>
    <w:rsid w:val="002551D4"/>
    <w:rsid w:val="00255253"/>
    <w:rsid w:val="00255461"/>
    <w:rsid w:val="002556B2"/>
    <w:rsid w:val="00255735"/>
    <w:rsid w:val="00255A31"/>
    <w:rsid w:val="00255A93"/>
    <w:rsid w:val="00255BE1"/>
    <w:rsid w:val="00255C51"/>
    <w:rsid w:val="00255CEC"/>
    <w:rsid w:val="00255EEB"/>
    <w:rsid w:val="0025600B"/>
    <w:rsid w:val="002560B8"/>
    <w:rsid w:val="00256119"/>
    <w:rsid w:val="0025613D"/>
    <w:rsid w:val="0025671B"/>
    <w:rsid w:val="00256BBD"/>
    <w:rsid w:val="00256C5E"/>
    <w:rsid w:val="002578A1"/>
    <w:rsid w:val="00257B20"/>
    <w:rsid w:val="00257CB2"/>
    <w:rsid w:val="00257F1A"/>
    <w:rsid w:val="00257F64"/>
    <w:rsid w:val="0026016D"/>
    <w:rsid w:val="00260238"/>
    <w:rsid w:val="0026026C"/>
    <w:rsid w:val="00260583"/>
    <w:rsid w:val="00260873"/>
    <w:rsid w:val="00260907"/>
    <w:rsid w:val="00260CEC"/>
    <w:rsid w:val="0026100E"/>
    <w:rsid w:val="002612FD"/>
    <w:rsid w:val="0026152D"/>
    <w:rsid w:val="00261D3A"/>
    <w:rsid w:val="00261F08"/>
    <w:rsid w:val="002621AD"/>
    <w:rsid w:val="002621EE"/>
    <w:rsid w:val="0026225E"/>
    <w:rsid w:val="0026234D"/>
    <w:rsid w:val="00262365"/>
    <w:rsid w:val="00262503"/>
    <w:rsid w:val="0026261C"/>
    <w:rsid w:val="00262B60"/>
    <w:rsid w:val="00262E1C"/>
    <w:rsid w:val="00263359"/>
    <w:rsid w:val="0026358A"/>
    <w:rsid w:val="00263740"/>
    <w:rsid w:val="00263890"/>
    <w:rsid w:val="00263ACB"/>
    <w:rsid w:val="00263F92"/>
    <w:rsid w:val="0026422C"/>
    <w:rsid w:val="00264254"/>
    <w:rsid w:val="002642D1"/>
    <w:rsid w:val="002646C1"/>
    <w:rsid w:val="00264868"/>
    <w:rsid w:val="00264D70"/>
    <w:rsid w:val="00264E2A"/>
    <w:rsid w:val="002650CB"/>
    <w:rsid w:val="0026510D"/>
    <w:rsid w:val="00265113"/>
    <w:rsid w:val="002654C7"/>
    <w:rsid w:val="002655B9"/>
    <w:rsid w:val="00265775"/>
    <w:rsid w:val="00265DA2"/>
    <w:rsid w:val="00265E04"/>
    <w:rsid w:val="00265F60"/>
    <w:rsid w:val="00265FA2"/>
    <w:rsid w:val="00266800"/>
    <w:rsid w:val="00266817"/>
    <w:rsid w:val="00266C82"/>
    <w:rsid w:val="00266D2C"/>
    <w:rsid w:val="00266F5E"/>
    <w:rsid w:val="00267358"/>
    <w:rsid w:val="00267921"/>
    <w:rsid w:val="0026798C"/>
    <w:rsid w:val="002679AE"/>
    <w:rsid w:val="00267E44"/>
    <w:rsid w:val="00270092"/>
    <w:rsid w:val="002700AB"/>
    <w:rsid w:val="0027028F"/>
    <w:rsid w:val="002703B8"/>
    <w:rsid w:val="0027070D"/>
    <w:rsid w:val="00270852"/>
    <w:rsid w:val="00270A9A"/>
    <w:rsid w:val="00270B46"/>
    <w:rsid w:val="00271552"/>
    <w:rsid w:val="00271A67"/>
    <w:rsid w:val="00271BE8"/>
    <w:rsid w:val="00271C01"/>
    <w:rsid w:val="00272229"/>
    <w:rsid w:val="00272416"/>
    <w:rsid w:val="002724EA"/>
    <w:rsid w:val="00272809"/>
    <w:rsid w:val="002728A3"/>
    <w:rsid w:val="00272D79"/>
    <w:rsid w:val="00272DE5"/>
    <w:rsid w:val="00272E0A"/>
    <w:rsid w:val="0027308B"/>
    <w:rsid w:val="00273819"/>
    <w:rsid w:val="00273853"/>
    <w:rsid w:val="00273F22"/>
    <w:rsid w:val="00273F98"/>
    <w:rsid w:val="002747E1"/>
    <w:rsid w:val="002748CE"/>
    <w:rsid w:val="00274BD9"/>
    <w:rsid w:val="00274F3A"/>
    <w:rsid w:val="00274FD8"/>
    <w:rsid w:val="00275256"/>
    <w:rsid w:val="0027528E"/>
    <w:rsid w:val="002752B2"/>
    <w:rsid w:val="00275374"/>
    <w:rsid w:val="00275566"/>
    <w:rsid w:val="0027572D"/>
    <w:rsid w:val="00275820"/>
    <w:rsid w:val="00275D89"/>
    <w:rsid w:val="00275EA7"/>
    <w:rsid w:val="00275F13"/>
    <w:rsid w:val="0027622A"/>
    <w:rsid w:val="002763A1"/>
    <w:rsid w:val="00276786"/>
    <w:rsid w:val="00276B38"/>
    <w:rsid w:val="00276F08"/>
    <w:rsid w:val="00276FC7"/>
    <w:rsid w:val="002774C9"/>
    <w:rsid w:val="00277718"/>
    <w:rsid w:val="002777ED"/>
    <w:rsid w:val="0027786A"/>
    <w:rsid w:val="002779E4"/>
    <w:rsid w:val="00277B62"/>
    <w:rsid w:val="00277DE3"/>
    <w:rsid w:val="00280079"/>
    <w:rsid w:val="00280335"/>
    <w:rsid w:val="0028035B"/>
    <w:rsid w:val="002804CB"/>
    <w:rsid w:val="002805AB"/>
    <w:rsid w:val="00280654"/>
    <w:rsid w:val="0028086C"/>
    <w:rsid w:val="00280899"/>
    <w:rsid w:val="00280AB0"/>
    <w:rsid w:val="00280E37"/>
    <w:rsid w:val="00280F35"/>
    <w:rsid w:val="00280FD6"/>
    <w:rsid w:val="00281256"/>
    <w:rsid w:val="002813FC"/>
    <w:rsid w:val="00281790"/>
    <w:rsid w:val="0028187D"/>
    <w:rsid w:val="00281935"/>
    <w:rsid w:val="00281AE2"/>
    <w:rsid w:val="00281ED3"/>
    <w:rsid w:val="0028204D"/>
    <w:rsid w:val="00282087"/>
    <w:rsid w:val="002820BC"/>
    <w:rsid w:val="00282237"/>
    <w:rsid w:val="00282797"/>
    <w:rsid w:val="00282829"/>
    <w:rsid w:val="00282927"/>
    <w:rsid w:val="00282A51"/>
    <w:rsid w:val="00282A99"/>
    <w:rsid w:val="00282CE0"/>
    <w:rsid w:val="00282DF2"/>
    <w:rsid w:val="00282E59"/>
    <w:rsid w:val="00283036"/>
    <w:rsid w:val="002831CC"/>
    <w:rsid w:val="002831CF"/>
    <w:rsid w:val="00283215"/>
    <w:rsid w:val="00283299"/>
    <w:rsid w:val="002832EE"/>
    <w:rsid w:val="00283397"/>
    <w:rsid w:val="002837CA"/>
    <w:rsid w:val="00283981"/>
    <w:rsid w:val="00283C66"/>
    <w:rsid w:val="00283F73"/>
    <w:rsid w:val="0028416C"/>
    <w:rsid w:val="00284586"/>
    <w:rsid w:val="00284AE3"/>
    <w:rsid w:val="00284C1A"/>
    <w:rsid w:val="00284CAD"/>
    <w:rsid w:val="00284CCA"/>
    <w:rsid w:val="00284DB8"/>
    <w:rsid w:val="00284E4F"/>
    <w:rsid w:val="00285046"/>
    <w:rsid w:val="0028514D"/>
    <w:rsid w:val="002857CD"/>
    <w:rsid w:val="002860A5"/>
    <w:rsid w:val="002860EA"/>
    <w:rsid w:val="002860F2"/>
    <w:rsid w:val="00286194"/>
    <w:rsid w:val="002861B5"/>
    <w:rsid w:val="0028621A"/>
    <w:rsid w:val="00286230"/>
    <w:rsid w:val="0028644B"/>
    <w:rsid w:val="00286B1A"/>
    <w:rsid w:val="00286BC9"/>
    <w:rsid w:val="00287189"/>
    <w:rsid w:val="002873B0"/>
    <w:rsid w:val="002875F0"/>
    <w:rsid w:val="002876DD"/>
    <w:rsid w:val="00287746"/>
    <w:rsid w:val="00287CDF"/>
    <w:rsid w:val="002901C5"/>
    <w:rsid w:val="002901E2"/>
    <w:rsid w:val="002903DF"/>
    <w:rsid w:val="00290422"/>
    <w:rsid w:val="00290510"/>
    <w:rsid w:val="00290562"/>
    <w:rsid w:val="002906B3"/>
    <w:rsid w:val="002906FA"/>
    <w:rsid w:val="002907DB"/>
    <w:rsid w:val="0029094A"/>
    <w:rsid w:val="00290CFB"/>
    <w:rsid w:val="00290FE2"/>
    <w:rsid w:val="0029109A"/>
    <w:rsid w:val="002910F0"/>
    <w:rsid w:val="002911E9"/>
    <w:rsid w:val="002914EF"/>
    <w:rsid w:val="002917FA"/>
    <w:rsid w:val="00291E34"/>
    <w:rsid w:val="00291E82"/>
    <w:rsid w:val="00291FD4"/>
    <w:rsid w:val="0029208C"/>
    <w:rsid w:val="002921C8"/>
    <w:rsid w:val="002922A5"/>
    <w:rsid w:val="0029255C"/>
    <w:rsid w:val="00292655"/>
    <w:rsid w:val="0029268C"/>
    <w:rsid w:val="0029280E"/>
    <w:rsid w:val="00292981"/>
    <w:rsid w:val="00292A6D"/>
    <w:rsid w:val="00292C1D"/>
    <w:rsid w:val="00292CC2"/>
    <w:rsid w:val="00292D32"/>
    <w:rsid w:val="00292F58"/>
    <w:rsid w:val="00293092"/>
    <w:rsid w:val="0029313E"/>
    <w:rsid w:val="0029322F"/>
    <w:rsid w:val="0029338E"/>
    <w:rsid w:val="00293453"/>
    <w:rsid w:val="002937CC"/>
    <w:rsid w:val="002937D8"/>
    <w:rsid w:val="00293828"/>
    <w:rsid w:val="002938EE"/>
    <w:rsid w:val="00293C47"/>
    <w:rsid w:val="00293E21"/>
    <w:rsid w:val="002946EB"/>
    <w:rsid w:val="0029475E"/>
    <w:rsid w:val="00294900"/>
    <w:rsid w:val="002949FC"/>
    <w:rsid w:val="00294A3C"/>
    <w:rsid w:val="00294E63"/>
    <w:rsid w:val="00294EEE"/>
    <w:rsid w:val="002953B1"/>
    <w:rsid w:val="0029547E"/>
    <w:rsid w:val="00295660"/>
    <w:rsid w:val="00295885"/>
    <w:rsid w:val="00295A05"/>
    <w:rsid w:val="00295B64"/>
    <w:rsid w:val="00295C2F"/>
    <w:rsid w:val="00295DDE"/>
    <w:rsid w:val="00295DFB"/>
    <w:rsid w:val="002960F2"/>
    <w:rsid w:val="00296167"/>
    <w:rsid w:val="00296631"/>
    <w:rsid w:val="002969E6"/>
    <w:rsid w:val="00296AF3"/>
    <w:rsid w:val="00296CBC"/>
    <w:rsid w:val="00296F3A"/>
    <w:rsid w:val="0029706A"/>
    <w:rsid w:val="0029710D"/>
    <w:rsid w:val="002971B8"/>
    <w:rsid w:val="00297384"/>
    <w:rsid w:val="00297741"/>
    <w:rsid w:val="0029774E"/>
    <w:rsid w:val="00297896"/>
    <w:rsid w:val="00297B7D"/>
    <w:rsid w:val="002A010F"/>
    <w:rsid w:val="002A0441"/>
    <w:rsid w:val="002A04A6"/>
    <w:rsid w:val="002A0723"/>
    <w:rsid w:val="002A0775"/>
    <w:rsid w:val="002A0778"/>
    <w:rsid w:val="002A0B46"/>
    <w:rsid w:val="002A0D07"/>
    <w:rsid w:val="002A0DBF"/>
    <w:rsid w:val="002A0DCA"/>
    <w:rsid w:val="002A0EBB"/>
    <w:rsid w:val="002A10E4"/>
    <w:rsid w:val="002A112C"/>
    <w:rsid w:val="002A1395"/>
    <w:rsid w:val="002A19AE"/>
    <w:rsid w:val="002A1E8F"/>
    <w:rsid w:val="002A1EC2"/>
    <w:rsid w:val="002A21F0"/>
    <w:rsid w:val="002A2278"/>
    <w:rsid w:val="002A258E"/>
    <w:rsid w:val="002A2847"/>
    <w:rsid w:val="002A2A39"/>
    <w:rsid w:val="002A304A"/>
    <w:rsid w:val="002A320D"/>
    <w:rsid w:val="002A33EC"/>
    <w:rsid w:val="002A34F1"/>
    <w:rsid w:val="002A36D3"/>
    <w:rsid w:val="002A37F9"/>
    <w:rsid w:val="002A3850"/>
    <w:rsid w:val="002A3A60"/>
    <w:rsid w:val="002A3C55"/>
    <w:rsid w:val="002A424F"/>
    <w:rsid w:val="002A4526"/>
    <w:rsid w:val="002A4858"/>
    <w:rsid w:val="002A4B02"/>
    <w:rsid w:val="002A4D73"/>
    <w:rsid w:val="002A4DE8"/>
    <w:rsid w:val="002A4FC7"/>
    <w:rsid w:val="002A510C"/>
    <w:rsid w:val="002A52CE"/>
    <w:rsid w:val="002A5619"/>
    <w:rsid w:val="002A570A"/>
    <w:rsid w:val="002A5724"/>
    <w:rsid w:val="002A58A6"/>
    <w:rsid w:val="002A5930"/>
    <w:rsid w:val="002A5944"/>
    <w:rsid w:val="002A5B7D"/>
    <w:rsid w:val="002A5EF0"/>
    <w:rsid w:val="002A6462"/>
    <w:rsid w:val="002A65C3"/>
    <w:rsid w:val="002A6748"/>
    <w:rsid w:val="002A67F9"/>
    <w:rsid w:val="002A684F"/>
    <w:rsid w:val="002A6992"/>
    <w:rsid w:val="002A69BE"/>
    <w:rsid w:val="002A6A0B"/>
    <w:rsid w:val="002A73EB"/>
    <w:rsid w:val="002A75C5"/>
    <w:rsid w:val="002A7A38"/>
    <w:rsid w:val="002A7C86"/>
    <w:rsid w:val="002A7EAF"/>
    <w:rsid w:val="002A7FAA"/>
    <w:rsid w:val="002B0118"/>
    <w:rsid w:val="002B017E"/>
    <w:rsid w:val="002B046F"/>
    <w:rsid w:val="002B0752"/>
    <w:rsid w:val="002B0BFF"/>
    <w:rsid w:val="002B0E7B"/>
    <w:rsid w:val="002B10FF"/>
    <w:rsid w:val="002B1102"/>
    <w:rsid w:val="002B1368"/>
    <w:rsid w:val="002B1585"/>
    <w:rsid w:val="002B1739"/>
    <w:rsid w:val="002B1920"/>
    <w:rsid w:val="002B1A86"/>
    <w:rsid w:val="002B1AF3"/>
    <w:rsid w:val="002B1EC9"/>
    <w:rsid w:val="002B205E"/>
    <w:rsid w:val="002B24BB"/>
    <w:rsid w:val="002B2642"/>
    <w:rsid w:val="002B269A"/>
    <w:rsid w:val="002B272E"/>
    <w:rsid w:val="002B2B7F"/>
    <w:rsid w:val="002B2BEB"/>
    <w:rsid w:val="002B2E22"/>
    <w:rsid w:val="002B2EE0"/>
    <w:rsid w:val="002B2FA9"/>
    <w:rsid w:val="002B33AF"/>
    <w:rsid w:val="002B33E3"/>
    <w:rsid w:val="002B356D"/>
    <w:rsid w:val="002B3724"/>
    <w:rsid w:val="002B37DB"/>
    <w:rsid w:val="002B3807"/>
    <w:rsid w:val="002B39E0"/>
    <w:rsid w:val="002B3A26"/>
    <w:rsid w:val="002B4037"/>
    <w:rsid w:val="002B425B"/>
    <w:rsid w:val="002B4B98"/>
    <w:rsid w:val="002B4C22"/>
    <w:rsid w:val="002B4C34"/>
    <w:rsid w:val="002B4CCA"/>
    <w:rsid w:val="002B5407"/>
    <w:rsid w:val="002B587D"/>
    <w:rsid w:val="002B5965"/>
    <w:rsid w:val="002B59B4"/>
    <w:rsid w:val="002B5A2A"/>
    <w:rsid w:val="002B6067"/>
    <w:rsid w:val="002B6140"/>
    <w:rsid w:val="002B61D6"/>
    <w:rsid w:val="002B6402"/>
    <w:rsid w:val="002B652A"/>
    <w:rsid w:val="002B658F"/>
    <w:rsid w:val="002B6D8F"/>
    <w:rsid w:val="002B6E66"/>
    <w:rsid w:val="002B6ED3"/>
    <w:rsid w:val="002B7195"/>
    <w:rsid w:val="002B7803"/>
    <w:rsid w:val="002B7A3E"/>
    <w:rsid w:val="002B7A40"/>
    <w:rsid w:val="002B7CB6"/>
    <w:rsid w:val="002B7CE7"/>
    <w:rsid w:val="002C0178"/>
    <w:rsid w:val="002C0488"/>
    <w:rsid w:val="002C04F4"/>
    <w:rsid w:val="002C0B02"/>
    <w:rsid w:val="002C0D36"/>
    <w:rsid w:val="002C0D9B"/>
    <w:rsid w:val="002C0DB7"/>
    <w:rsid w:val="002C0F27"/>
    <w:rsid w:val="002C0F7F"/>
    <w:rsid w:val="002C1546"/>
    <w:rsid w:val="002C158A"/>
    <w:rsid w:val="002C15A9"/>
    <w:rsid w:val="002C1770"/>
    <w:rsid w:val="002C185C"/>
    <w:rsid w:val="002C19F5"/>
    <w:rsid w:val="002C1CFC"/>
    <w:rsid w:val="002C1D4E"/>
    <w:rsid w:val="002C206A"/>
    <w:rsid w:val="002C24DD"/>
    <w:rsid w:val="002C24EE"/>
    <w:rsid w:val="002C27A9"/>
    <w:rsid w:val="002C29F6"/>
    <w:rsid w:val="002C2B32"/>
    <w:rsid w:val="002C2B63"/>
    <w:rsid w:val="002C2C81"/>
    <w:rsid w:val="002C2CC8"/>
    <w:rsid w:val="002C2F18"/>
    <w:rsid w:val="002C2F58"/>
    <w:rsid w:val="002C3490"/>
    <w:rsid w:val="002C3616"/>
    <w:rsid w:val="002C361A"/>
    <w:rsid w:val="002C3658"/>
    <w:rsid w:val="002C388F"/>
    <w:rsid w:val="002C3A34"/>
    <w:rsid w:val="002C3A93"/>
    <w:rsid w:val="002C3AE2"/>
    <w:rsid w:val="002C3CD2"/>
    <w:rsid w:val="002C3DCC"/>
    <w:rsid w:val="002C3F03"/>
    <w:rsid w:val="002C41DE"/>
    <w:rsid w:val="002C4279"/>
    <w:rsid w:val="002C458B"/>
    <w:rsid w:val="002C4704"/>
    <w:rsid w:val="002C4C97"/>
    <w:rsid w:val="002C4DF8"/>
    <w:rsid w:val="002C50B2"/>
    <w:rsid w:val="002C53FA"/>
    <w:rsid w:val="002C54FA"/>
    <w:rsid w:val="002C5500"/>
    <w:rsid w:val="002C5517"/>
    <w:rsid w:val="002C55A5"/>
    <w:rsid w:val="002C55CD"/>
    <w:rsid w:val="002C5974"/>
    <w:rsid w:val="002C59D9"/>
    <w:rsid w:val="002C5D96"/>
    <w:rsid w:val="002C5E7A"/>
    <w:rsid w:val="002C5E9A"/>
    <w:rsid w:val="002C6155"/>
    <w:rsid w:val="002C6A9C"/>
    <w:rsid w:val="002C6B8C"/>
    <w:rsid w:val="002C6E3E"/>
    <w:rsid w:val="002C732B"/>
    <w:rsid w:val="002C7363"/>
    <w:rsid w:val="002C74A8"/>
    <w:rsid w:val="002C7541"/>
    <w:rsid w:val="002C7593"/>
    <w:rsid w:val="002C7E4D"/>
    <w:rsid w:val="002C7EC7"/>
    <w:rsid w:val="002C7EF0"/>
    <w:rsid w:val="002D0070"/>
    <w:rsid w:val="002D01FE"/>
    <w:rsid w:val="002D05F1"/>
    <w:rsid w:val="002D0866"/>
    <w:rsid w:val="002D0BDB"/>
    <w:rsid w:val="002D0CC9"/>
    <w:rsid w:val="002D0DB1"/>
    <w:rsid w:val="002D1079"/>
    <w:rsid w:val="002D10A7"/>
    <w:rsid w:val="002D1895"/>
    <w:rsid w:val="002D1934"/>
    <w:rsid w:val="002D1A25"/>
    <w:rsid w:val="002D1C4D"/>
    <w:rsid w:val="002D1C66"/>
    <w:rsid w:val="002D1D48"/>
    <w:rsid w:val="002D1EA4"/>
    <w:rsid w:val="002D2069"/>
    <w:rsid w:val="002D2470"/>
    <w:rsid w:val="002D24DE"/>
    <w:rsid w:val="002D25BE"/>
    <w:rsid w:val="002D2686"/>
    <w:rsid w:val="002D2744"/>
    <w:rsid w:val="002D29DE"/>
    <w:rsid w:val="002D2CFC"/>
    <w:rsid w:val="002D2DE9"/>
    <w:rsid w:val="002D30E6"/>
    <w:rsid w:val="002D311B"/>
    <w:rsid w:val="002D328C"/>
    <w:rsid w:val="002D3573"/>
    <w:rsid w:val="002D3B66"/>
    <w:rsid w:val="002D3C3C"/>
    <w:rsid w:val="002D3C58"/>
    <w:rsid w:val="002D3DAA"/>
    <w:rsid w:val="002D40AC"/>
    <w:rsid w:val="002D40BB"/>
    <w:rsid w:val="002D4110"/>
    <w:rsid w:val="002D43F1"/>
    <w:rsid w:val="002D445C"/>
    <w:rsid w:val="002D47A1"/>
    <w:rsid w:val="002D4814"/>
    <w:rsid w:val="002D4894"/>
    <w:rsid w:val="002D49EB"/>
    <w:rsid w:val="002D4B47"/>
    <w:rsid w:val="002D4BF4"/>
    <w:rsid w:val="002D4BF7"/>
    <w:rsid w:val="002D4DD5"/>
    <w:rsid w:val="002D4DF0"/>
    <w:rsid w:val="002D4EBB"/>
    <w:rsid w:val="002D524D"/>
    <w:rsid w:val="002D54E0"/>
    <w:rsid w:val="002D55DC"/>
    <w:rsid w:val="002D58A1"/>
    <w:rsid w:val="002D5D56"/>
    <w:rsid w:val="002D60E0"/>
    <w:rsid w:val="002D62D7"/>
    <w:rsid w:val="002D66EB"/>
    <w:rsid w:val="002D6CCC"/>
    <w:rsid w:val="002D6DEC"/>
    <w:rsid w:val="002D6EC7"/>
    <w:rsid w:val="002D7012"/>
    <w:rsid w:val="002D71A4"/>
    <w:rsid w:val="002D728A"/>
    <w:rsid w:val="002D729B"/>
    <w:rsid w:val="002D768D"/>
    <w:rsid w:val="002D7754"/>
    <w:rsid w:val="002D7A58"/>
    <w:rsid w:val="002D7C53"/>
    <w:rsid w:val="002D7FE2"/>
    <w:rsid w:val="002E0058"/>
    <w:rsid w:val="002E02EC"/>
    <w:rsid w:val="002E060A"/>
    <w:rsid w:val="002E0AA9"/>
    <w:rsid w:val="002E0BCD"/>
    <w:rsid w:val="002E0C5A"/>
    <w:rsid w:val="002E0D93"/>
    <w:rsid w:val="002E0DF0"/>
    <w:rsid w:val="002E0F94"/>
    <w:rsid w:val="002E0FC5"/>
    <w:rsid w:val="002E107D"/>
    <w:rsid w:val="002E10A2"/>
    <w:rsid w:val="002E1A4B"/>
    <w:rsid w:val="002E1AA5"/>
    <w:rsid w:val="002E1EAC"/>
    <w:rsid w:val="002E20E2"/>
    <w:rsid w:val="002E229C"/>
    <w:rsid w:val="002E2812"/>
    <w:rsid w:val="002E2A1D"/>
    <w:rsid w:val="002E2B0D"/>
    <w:rsid w:val="002E2EE2"/>
    <w:rsid w:val="002E2F02"/>
    <w:rsid w:val="002E2FB6"/>
    <w:rsid w:val="002E36A4"/>
    <w:rsid w:val="002E37D2"/>
    <w:rsid w:val="002E3B49"/>
    <w:rsid w:val="002E3E81"/>
    <w:rsid w:val="002E4063"/>
    <w:rsid w:val="002E40FF"/>
    <w:rsid w:val="002E4279"/>
    <w:rsid w:val="002E42CD"/>
    <w:rsid w:val="002E43A0"/>
    <w:rsid w:val="002E4664"/>
    <w:rsid w:val="002E4F1A"/>
    <w:rsid w:val="002E4F6C"/>
    <w:rsid w:val="002E56E7"/>
    <w:rsid w:val="002E5742"/>
    <w:rsid w:val="002E5786"/>
    <w:rsid w:val="002E5A52"/>
    <w:rsid w:val="002E5B0D"/>
    <w:rsid w:val="002E5B63"/>
    <w:rsid w:val="002E5BC2"/>
    <w:rsid w:val="002E5CF3"/>
    <w:rsid w:val="002E63AF"/>
    <w:rsid w:val="002E63DF"/>
    <w:rsid w:val="002E6596"/>
    <w:rsid w:val="002E6922"/>
    <w:rsid w:val="002E6994"/>
    <w:rsid w:val="002E6BDA"/>
    <w:rsid w:val="002E6C5A"/>
    <w:rsid w:val="002E6C8B"/>
    <w:rsid w:val="002E6DC0"/>
    <w:rsid w:val="002E6E6F"/>
    <w:rsid w:val="002E6F57"/>
    <w:rsid w:val="002E6F62"/>
    <w:rsid w:val="002E711C"/>
    <w:rsid w:val="002E78F6"/>
    <w:rsid w:val="002E7AEB"/>
    <w:rsid w:val="002E7DEB"/>
    <w:rsid w:val="002F007B"/>
    <w:rsid w:val="002F015D"/>
    <w:rsid w:val="002F0165"/>
    <w:rsid w:val="002F0314"/>
    <w:rsid w:val="002F04D2"/>
    <w:rsid w:val="002F0649"/>
    <w:rsid w:val="002F0873"/>
    <w:rsid w:val="002F0989"/>
    <w:rsid w:val="002F0A95"/>
    <w:rsid w:val="002F0AA4"/>
    <w:rsid w:val="002F0B60"/>
    <w:rsid w:val="002F0DC9"/>
    <w:rsid w:val="002F1339"/>
    <w:rsid w:val="002F1393"/>
    <w:rsid w:val="002F1732"/>
    <w:rsid w:val="002F1E2E"/>
    <w:rsid w:val="002F210C"/>
    <w:rsid w:val="002F270D"/>
    <w:rsid w:val="002F2775"/>
    <w:rsid w:val="002F2806"/>
    <w:rsid w:val="002F2C32"/>
    <w:rsid w:val="002F2EEE"/>
    <w:rsid w:val="002F2FB2"/>
    <w:rsid w:val="002F3933"/>
    <w:rsid w:val="002F39DF"/>
    <w:rsid w:val="002F3A6F"/>
    <w:rsid w:val="002F3A87"/>
    <w:rsid w:val="002F3C80"/>
    <w:rsid w:val="002F3DBB"/>
    <w:rsid w:val="002F3DBF"/>
    <w:rsid w:val="002F3F44"/>
    <w:rsid w:val="002F3FA6"/>
    <w:rsid w:val="002F40F2"/>
    <w:rsid w:val="002F4209"/>
    <w:rsid w:val="002F4258"/>
    <w:rsid w:val="002F430F"/>
    <w:rsid w:val="002F457F"/>
    <w:rsid w:val="002F4593"/>
    <w:rsid w:val="002F47B6"/>
    <w:rsid w:val="002F4868"/>
    <w:rsid w:val="002F4C02"/>
    <w:rsid w:val="002F4E37"/>
    <w:rsid w:val="002F5277"/>
    <w:rsid w:val="002F54DB"/>
    <w:rsid w:val="002F584F"/>
    <w:rsid w:val="002F5881"/>
    <w:rsid w:val="002F5BE0"/>
    <w:rsid w:val="002F5C17"/>
    <w:rsid w:val="002F5D87"/>
    <w:rsid w:val="002F5DEF"/>
    <w:rsid w:val="002F5DF1"/>
    <w:rsid w:val="002F5F9F"/>
    <w:rsid w:val="002F6538"/>
    <w:rsid w:val="002F678F"/>
    <w:rsid w:val="002F6A52"/>
    <w:rsid w:val="002F6D4D"/>
    <w:rsid w:val="002F6EB1"/>
    <w:rsid w:val="002F7087"/>
    <w:rsid w:val="002F74EE"/>
    <w:rsid w:val="002F7539"/>
    <w:rsid w:val="002F7618"/>
    <w:rsid w:val="002F7780"/>
    <w:rsid w:val="002F779E"/>
    <w:rsid w:val="002F77BC"/>
    <w:rsid w:val="002F77C6"/>
    <w:rsid w:val="002F786E"/>
    <w:rsid w:val="00300005"/>
    <w:rsid w:val="00300067"/>
    <w:rsid w:val="003005E0"/>
    <w:rsid w:val="003008D5"/>
    <w:rsid w:val="0030092D"/>
    <w:rsid w:val="00300C23"/>
    <w:rsid w:val="00300EAF"/>
    <w:rsid w:val="0030104F"/>
    <w:rsid w:val="003016B7"/>
    <w:rsid w:val="00301766"/>
    <w:rsid w:val="00301AB7"/>
    <w:rsid w:val="00301ADB"/>
    <w:rsid w:val="00301DD8"/>
    <w:rsid w:val="00301E30"/>
    <w:rsid w:val="0030239B"/>
    <w:rsid w:val="003025DD"/>
    <w:rsid w:val="0030281D"/>
    <w:rsid w:val="003029F3"/>
    <w:rsid w:val="00302A8D"/>
    <w:rsid w:val="00302B4D"/>
    <w:rsid w:val="00302C6F"/>
    <w:rsid w:val="00302CF4"/>
    <w:rsid w:val="00302E3D"/>
    <w:rsid w:val="00302E73"/>
    <w:rsid w:val="00302E8D"/>
    <w:rsid w:val="00302ED7"/>
    <w:rsid w:val="0030308F"/>
    <w:rsid w:val="00303146"/>
    <w:rsid w:val="003031BF"/>
    <w:rsid w:val="00303357"/>
    <w:rsid w:val="003033F5"/>
    <w:rsid w:val="0030358A"/>
    <w:rsid w:val="003035EF"/>
    <w:rsid w:val="00303976"/>
    <w:rsid w:val="00303BAB"/>
    <w:rsid w:val="00303CF1"/>
    <w:rsid w:val="00303DBF"/>
    <w:rsid w:val="00304500"/>
    <w:rsid w:val="00304829"/>
    <w:rsid w:val="003049AD"/>
    <w:rsid w:val="003049FD"/>
    <w:rsid w:val="00304A1B"/>
    <w:rsid w:val="00304ACE"/>
    <w:rsid w:val="00304BD2"/>
    <w:rsid w:val="00304E79"/>
    <w:rsid w:val="00304EB2"/>
    <w:rsid w:val="0030507A"/>
    <w:rsid w:val="003051A5"/>
    <w:rsid w:val="0030529E"/>
    <w:rsid w:val="003052CB"/>
    <w:rsid w:val="00305431"/>
    <w:rsid w:val="0030572B"/>
    <w:rsid w:val="003058E9"/>
    <w:rsid w:val="003060F7"/>
    <w:rsid w:val="00306162"/>
    <w:rsid w:val="003062A7"/>
    <w:rsid w:val="0030638E"/>
    <w:rsid w:val="0030698D"/>
    <w:rsid w:val="003069EB"/>
    <w:rsid w:val="00306A26"/>
    <w:rsid w:val="00306A6F"/>
    <w:rsid w:val="00306B62"/>
    <w:rsid w:val="00306C34"/>
    <w:rsid w:val="00306D92"/>
    <w:rsid w:val="0030701C"/>
    <w:rsid w:val="0030708B"/>
    <w:rsid w:val="003073E5"/>
    <w:rsid w:val="0030765E"/>
    <w:rsid w:val="00307BFD"/>
    <w:rsid w:val="00307C2A"/>
    <w:rsid w:val="00307E06"/>
    <w:rsid w:val="00307E76"/>
    <w:rsid w:val="00307F38"/>
    <w:rsid w:val="00310D0C"/>
    <w:rsid w:val="00310F1D"/>
    <w:rsid w:val="00310FC6"/>
    <w:rsid w:val="003112DB"/>
    <w:rsid w:val="00311889"/>
    <w:rsid w:val="0031189C"/>
    <w:rsid w:val="003118AD"/>
    <w:rsid w:val="003119DB"/>
    <w:rsid w:val="00311AD6"/>
    <w:rsid w:val="00311DE4"/>
    <w:rsid w:val="00311E79"/>
    <w:rsid w:val="003126D8"/>
    <w:rsid w:val="00312BE4"/>
    <w:rsid w:val="00312E68"/>
    <w:rsid w:val="00312E85"/>
    <w:rsid w:val="00312F18"/>
    <w:rsid w:val="00312F8B"/>
    <w:rsid w:val="0031303B"/>
    <w:rsid w:val="003130C0"/>
    <w:rsid w:val="003130F9"/>
    <w:rsid w:val="00313235"/>
    <w:rsid w:val="00313308"/>
    <w:rsid w:val="003133C7"/>
    <w:rsid w:val="003135D9"/>
    <w:rsid w:val="0031382D"/>
    <w:rsid w:val="00313C7D"/>
    <w:rsid w:val="00313CA1"/>
    <w:rsid w:val="003140F0"/>
    <w:rsid w:val="003142E9"/>
    <w:rsid w:val="00314351"/>
    <w:rsid w:val="003144AC"/>
    <w:rsid w:val="00314946"/>
    <w:rsid w:val="00314ABC"/>
    <w:rsid w:val="00314C6A"/>
    <w:rsid w:val="00315009"/>
    <w:rsid w:val="0031519C"/>
    <w:rsid w:val="003152DD"/>
    <w:rsid w:val="00315371"/>
    <w:rsid w:val="003153AE"/>
    <w:rsid w:val="0031585D"/>
    <w:rsid w:val="00315877"/>
    <w:rsid w:val="0031589E"/>
    <w:rsid w:val="003159AF"/>
    <w:rsid w:val="00315A20"/>
    <w:rsid w:val="00315A88"/>
    <w:rsid w:val="00315BF6"/>
    <w:rsid w:val="00315D2B"/>
    <w:rsid w:val="00315E38"/>
    <w:rsid w:val="003162AF"/>
    <w:rsid w:val="0031662A"/>
    <w:rsid w:val="00316964"/>
    <w:rsid w:val="0031723D"/>
    <w:rsid w:val="003172C1"/>
    <w:rsid w:val="00317629"/>
    <w:rsid w:val="0031772E"/>
    <w:rsid w:val="00317922"/>
    <w:rsid w:val="003179DB"/>
    <w:rsid w:val="00317A1D"/>
    <w:rsid w:val="00317A31"/>
    <w:rsid w:val="00317B18"/>
    <w:rsid w:val="00317B2C"/>
    <w:rsid w:val="003201B1"/>
    <w:rsid w:val="003203A8"/>
    <w:rsid w:val="003205F0"/>
    <w:rsid w:val="0032099B"/>
    <w:rsid w:val="00320D01"/>
    <w:rsid w:val="00320D7B"/>
    <w:rsid w:val="00320E17"/>
    <w:rsid w:val="00320FC4"/>
    <w:rsid w:val="00321147"/>
    <w:rsid w:val="0032126A"/>
    <w:rsid w:val="003212A2"/>
    <w:rsid w:val="00321412"/>
    <w:rsid w:val="003216B8"/>
    <w:rsid w:val="0032175E"/>
    <w:rsid w:val="003219E9"/>
    <w:rsid w:val="00321AC3"/>
    <w:rsid w:val="00322075"/>
    <w:rsid w:val="003220C8"/>
    <w:rsid w:val="003220DD"/>
    <w:rsid w:val="003224D8"/>
    <w:rsid w:val="003225E2"/>
    <w:rsid w:val="00322855"/>
    <w:rsid w:val="00322994"/>
    <w:rsid w:val="003229C1"/>
    <w:rsid w:val="003229EA"/>
    <w:rsid w:val="00323199"/>
    <w:rsid w:val="003231FF"/>
    <w:rsid w:val="00323238"/>
    <w:rsid w:val="00323261"/>
    <w:rsid w:val="00323440"/>
    <w:rsid w:val="00323483"/>
    <w:rsid w:val="0032399E"/>
    <w:rsid w:val="0032422D"/>
    <w:rsid w:val="00324443"/>
    <w:rsid w:val="00324741"/>
    <w:rsid w:val="003247BC"/>
    <w:rsid w:val="00324A90"/>
    <w:rsid w:val="00324C10"/>
    <w:rsid w:val="00325064"/>
    <w:rsid w:val="00325238"/>
    <w:rsid w:val="00325328"/>
    <w:rsid w:val="003254DE"/>
    <w:rsid w:val="00325642"/>
    <w:rsid w:val="00325828"/>
    <w:rsid w:val="00325A86"/>
    <w:rsid w:val="00325B01"/>
    <w:rsid w:val="00325E7A"/>
    <w:rsid w:val="00325EDB"/>
    <w:rsid w:val="00325F89"/>
    <w:rsid w:val="00325FB2"/>
    <w:rsid w:val="00326049"/>
    <w:rsid w:val="003266A7"/>
    <w:rsid w:val="003267F0"/>
    <w:rsid w:val="00326D9F"/>
    <w:rsid w:val="003271C4"/>
    <w:rsid w:val="003274D2"/>
    <w:rsid w:val="00327745"/>
    <w:rsid w:val="0032778E"/>
    <w:rsid w:val="003278FC"/>
    <w:rsid w:val="003279EB"/>
    <w:rsid w:val="00327D3A"/>
    <w:rsid w:val="00327E0E"/>
    <w:rsid w:val="00327FA6"/>
    <w:rsid w:val="003302C3"/>
    <w:rsid w:val="0033051C"/>
    <w:rsid w:val="0033064A"/>
    <w:rsid w:val="00330903"/>
    <w:rsid w:val="003309FB"/>
    <w:rsid w:val="003309FD"/>
    <w:rsid w:val="00330B47"/>
    <w:rsid w:val="00330B7B"/>
    <w:rsid w:val="00330D11"/>
    <w:rsid w:val="00330EC0"/>
    <w:rsid w:val="00330FA6"/>
    <w:rsid w:val="00330FAA"/>
    <w:rsid w:val="003313D9"/>
    <w:rsid w:val="003314E8"/>
    <w:rsid w:val="0033161C"/>
    <w:rsid w:val="00331676"/>
    <w:rsid w:val="00331792"/>
    <w:rsid w:val="0033180E"/>
    <w:rsid w:val="00331A9E"/>
    <w:rsid w:val="00331F6D"/>
    <w:rsid w:val="00332132"/>
    <w:rsid w:val="0033235C"/>
    <w:rsid w:val="0033246A"/>
    <w:rsid w:val="0033256C"/>
    <w:rsid w:val="00332610"/>
    <w:rsid w:val="00332637"/>
    <w:rsid w:val="00332682"/>
    <w:rsid w:val="00332BE4"/>
    <w:rsid w:val="00333416"/>
    <w:rsid w:val="00333BC7"/>
    <w:rsid w:val="00333C0C"/>
    <w:rsid w:val="00333C69"/>
    <w:rsid w:val="00333F08"/>
    <w:rsid w:val="00334264"/>
    <w:rsid w:val="003342F9"/>
    <w:rsid w:val="003344D3"/>
    <w:rsid w:val="0033461E"/>
    <w:rsid w:val="0033470B"/>
    <w:rsid w:val="00334A80"/>
    <w:rsid w:val="00334AD6"/>
    <w:rsid w:val="00334D1A"/>
    <w:rsid w:val="00334E30"/>
    <w:rsid w:val="00334F86"/>
    <w:rsid w:val="00335336"/>
    <w:rsid w:val="003360B4"/>
    <w:rsid w:val="00336113"/>
    <w:rsid w:val="0033639C"/>
    <w:rsid w:val="00336414"/>
    <w:rsid w:val="003366A3"/>
    <w:rsid w:val="003367D6"/>
    <w:rsid w:val="00336BD2"/>
    <w:rsid w:val="003370E9"/>
    <w:rsid w:val="00337211"/>
    <w:rsid w:val="0033731C"/>
    <w:rsid w:val="0033755D"/>
    <w:rsid w:val="00337565"/>
    <w:rsid w:val="00337654"/>
    <w:rsid w:val="003402C4"/>
    <w:rsid w:val="003402DA"/>
    <w:rsid w:val="00340416"/>
    <w:rsid w:val="003405AD"/>
    <w:rsid w:val="00340914"/>
    <w:rsid w:val="0034093E"/>
    <w:rsid w:val="00340B09"/>
    <w:rsid w:val="00340E8B"/>
    <w:rsid w:val="00340F9D"/>
    <w:rsid w:val="00340FCC"/>
    <w:rsid w:val="003411A2"/>
    <w:rsid w:val="003413EB"/>
    <w:rsid w:val="00341423"/>
    <w:rsid w:val="00341636"/>
    <w:rsid w:val="0034171F"/>
    <w:rsid w:val="0034196B"/>
    <w:rsid w:val="00341979"/>
    <w:rsid w:val="0034199D"/>
    <w:rsid w:val="00341A40"/>
    <w:rsid w:val="00341B4B"/>
    <w:rsid w:val="00341CA2"/>
    <w:rsid w:val="00341CEB"/>
    <w:rsid w:val="00341D86"/>
    <w:rsid w:val="003425F1"/>
    <w:rsid w:val="0034269C"/>
    <w:rsid w:val="00342AE9"/>
    <w:rsid w:val="003432B4"/>
    <w:rsid w:val="0034337B"/>
    <w:rsid w:val="003434E3"/>
    <w:rsid w:val="00343545"/>
    <w:rsid w:val="0034358A"/>
    <w:rsid w:val="0034375C"/>
    <w:rsid w:val="00343BD6"/>
    <w:rsid w:val="00343DDA"/>
    <w:rsid w:val="003440B7"/>
    <w:rsid w:val="00344C0C"/>
    <w:rsid w:val="00344D3B"/>
    <w:rsid w:val="00344DE2"/>
    <w:rsid w:val="00344EE9"/>
    <w:rsid w:val="00345154"/>
    <w:rsid w:val="0034518F"/>
    <w:rsid w:val="0034520D"/>
    <w:rsid w:val="0034525D"/>
    <w:rsid w:val="003452C3"/>
    <w:rsid w:val="0034535F"/>
    <w:rsid w:val="00345572"/>
    <w:rsid w:val="003456F1"/>
    <w:rsid w:val="00345ACD"/>
    <w:rsid w:val="00345B56"/>
    <w:rsid w:val="00345E7E"/>
    <w:rsid w:val="00346077"/>
    <w:rsid w:val="00346106"/>
    <w:rsid w:val="00346173"/>
    <w:rsid w:val="003461B5"/>
    <w:rsid w:val="003461C7"/>
    <w:rsid w:val="00346470"/>
    <w:rsid w:val="00346A2F"/>
    <w:rsid w:val="00346C29"/>
    <w:rsid w:val="00347100"/>
    <w:rsid w:val="00347365"/>
    <w:rsid w:val="003476CA"/>
    <w:rsid w:val="0035089B"/>
    <w:rsid w:val="003509DF"/>
    <w:rsid w:val="003509FB"/>
    <w:rsid w:val="00350D0E"/>
    <w:rsid w:val="00350E74"/>
    <w:rsid w:val="00350F00"/>
    <w:rsid w:val="003511E9"/>
    <w:rsid w:val="00351217"/>
    <w:rsid w:val="003512A9"/>
    <w:rsid w:val="00351488"/>
    <w:rsid w:val="0035154F"/>
    <w:rsid w:val="00351562"/>
    <w:rsid w:val="003516FD"/>
    <w:rsid w:val="00351820"/>
    <w:rsid w:val="00351A3D"/>
    <w:rsid w:val="00351D22"/>
    <w:rsid w:val="00351ED2"/>
    <w:rsid w:val="00352571"/>
    <w:rsid w:val="003525D4"/>
    <w:rsid w:val="003526C1"/>
    <w:rsid w:val="00352A67"/>
    <w:rsid w:val="00352D33"/>
    <w:rsid w:val="00352DA3"/>
    <w:rsid w:val="00352DD8"/>
    <w:rsid w:val="00352F44"/>
    <w:rsid w:val="00353197"/>
    <w:rsid w:val="003532BB"/>
    <w:rsid w:val="003533F9"/>
    <w:rsid w:val="0035361E"/>
    <w:rsid w:val="0035370F"/>
    <w:rsid w:val="003538F8"/>
    <w:rsid w:val="00353950"/>
    <w:rsid w:val="00353B06"/>
    <w:rsid w:val="00353B65"/>
    <w:rsid w:val="00353F65"/>
    <w:rsid w:val="00354038"/>
    <w:rsid w:val="00354174"/>
    <w:rsid w:val="0035428A"/>
    <w:rsid w:val="0035448F"/>
    <w:rsid w:val="0035470C"/>
    <w:rsid w:val="00354879"/>
    <w:rsid w:val="00354B50"/>
    <w:rsid w:val="00354EE6"/>
    <w:rsid w:val="00355024"/>
    <w:rsid w:val="00355052"/>
    <w:rsid w:val="003551D5"/>
    <w:rsid w:val="00355548"/>
    <w:rsid w:val="003557AB"/>
    <w:rsid w:val="0035580E"/>
    <w:rsid w:val="00355CD9"/>
    <w:rsid w:val="003563C4"/>
    <w:rsid w:val="0035660B"/>
    <w:rsid w:val="0035661C"/>
    <w:rsid w:val="003567DC"/>
    <w:rsid w:val="00356BA3"/>
    <w:rsid w:val="00356BF4"/>
    <w:rsid w:val="00356DE1"/>
    <w:rsid w:val="00356E44"/>
    <w:rsid w:val="00356F2F"/>
    <w:rsid w:val="0035700B"/>
    <w:rsid w:val="0035705D"/>
    <w:rsid w:val="003571FA"/>
    <w:rsid w:val="00357284"/>
    <w:rsid w:val="00357408"/>
    <w:rsid w:val="00357424"/>
    <w:rsid w:val="0035748C"/>
    <w:rsid w:val="0035769C"/>
    <w:rsid w:val="0035788A"/>
    <w:rsid w:val="00357991"/>
    <w:rsid w:val="00357AFD"/>
    <w:rsid w:val="00357BC2"/>
    <w:rsid w:val="00357F44"/>
    <w:rsid w:val="00360235"/>
    <w:rsid w:val="00360295"/>
    <w:rsid w:val="00360495"/>
    <w:rsid w:val="00360575"/>
    <w:rsid w:val="0036058B"/>
    <w:rsid w:val="00360894"/>
    <w:rsid w:val="00360A07"/>
    <w:rsid w:val="00360A43"/>
    <w:rsid w:val="00360D47"/>
    <w:rsid w:val="00360D4F"/>
    <w:rsid w:val="00360D85"/>
    <w:rsid w:val="00361543"/>
    <w:rsid w:val="003617C2"/>
    <w:rsid w:val="003617F7"/>
    <w:rsid w:val="0036186C"/>
    <w:rsid w:val="00361965"/>
    <w:rsid w:val="00361B31"/>
    <w:rsid w:val="00361BB2"/>
    <w:rsid w:val="00361F99"/>
    <w:rsid w:val="0036218E"/>
    <w:rsid w:val="003623AC"/>
    <w:rsid w:val="00362507"/>
    <w:rsid w:val="003625B3"/>
    <w:rsid w:val="00362639"/>
    <w:rsid w:val="00362763"/>
    <w:rsid w:val="00362976"/>
    <w:rsid w:val="00362AD8"/>
    <w:rsid w:val="00362C3A"/>
    <w:rsid w:val="00362C94"/>
    <w:rsid w:val="00362F8A"/>
    <w:rsid w:val="0036339F"/>
    <w:rsid w:val="003633A0"/>
    <w:rsid w:val="0036367C"/>
    <w:rsid w:val="003636C9"/>
    <w:rsid w:val="003636F7"/>
    <w:rsid w:val="003638DD"/>
    <w:rsid w:val="00363A97"/>
    <w:rsid w:val="00363BED"/>
    <w:rsid w:val="00363C55"/>
    <w:rsid w:val="00363E93"/>
    <w:rsid w:val="003641D3"/>
    <w:rsid w:val="00364215"/>
    <w:rsid w:val="00364520"/>
    <w:rsid w:val="003647BC"/>
    <w:rsid w:val="0036492C"/>
    <w:rsid w:val="00364B8A"/>
    <w:rsid w:val="00364CF0"/>
    <w:rsid w:val="00364DD1"/>
    <w:rsid w:val="00364E24"/>
    <w:rsid w:val="00365238"/>
    <w:rsid w:val="00365399"/>
    <w:rsid w:val="003654FC"/>
    <w:rsid w:val="00365694"/>
    <w:rsid w:val="003658BD"/>
    <w:rsid w:val="00365A8D"/>
    <w:rsid w:val="00365B62"/>
    <w:rsid w:val="00365C3A"/>
    <w:rsid w:val="00365F76"/>
    <w:rsid w:val="00366023"/>
    <w:rsid w:val="0036629B"/>
    <w:rsid w:val="0036655C"/>
    <w:rsid w:val="00366613"/>
    <w:rsid w:val="00366701"/>
    <w:rsid w:val="00366F27"/>
    <w:rsid w:val="003670C8"/>
    <w:rsid w:val="003671B1"/>
    <w:rsid w:val="0036729C"/>
    <w:rsid w:val="003674B0"/>
    <w:rsid w:val="0036760D"/>
    <w:rsid w:val="00367C8C"/>
    <w:rsid w:val="00367CAC"/>
    <w:rsid w:val="00367D86"/>
    <w:rsid w:val="00367E07"/>
    <w:rsid w:val="00367EB7"/>
    <w:rsid w:val="00370054"/>
    <w:rsid w:val="003701B2"/>
    <w:rsid w:val="00370278"/>
    <w:rsid w:val="003704D4"/>
    <w:rsid w:val="003707F7"/>
    <w:rsid w:val="00370D2A"/>
    <w:rsid w:val="00370E28"/>
    <w:rsid w:val="00370EEE"/>
    <w:rsid w:val="00371022"/>
    <w:rsid w:val="00371045"/>
    <w:rsid w:val="00371104"/>
    <w:rsid w:val="0037112A"/>
    <w:rsid w:val="003713E9"/>
    <w:rsid w:val="0037193B"/>
    <w:rsid w:val="00371A94"/>
    <w:rsid w:val="00371D34"/>
    <w:rsid w:val="00371D99"/>
    <w:rsid w:val="00371DBB"/>
    <w:rsid w:val="003720DE"/>
    <w:rsid w:val="003723B1"/>
    <w:rsid w:val="0037249A"/>
    <w:rsid w:val="00372687"/>
    <w:rsid w:val="003726AA"/>
    <w:rsid w:val="00372705"/>
    <w:rsid w:val="00372A44"/>
    <w:rsid w:val="00372AC6"/>
    <w:rsid w:val="00372C2F"/>
    <w:rsid w:val="00372D55"/>
    <w:rsid w:val="003732EC"/>
    <w:rsid w:val="003732FB"/>
    <w:rsid w:val="00373330"/>
    <w:rsid w:val="00373975"/>
    <w:rsid w:val="00373B25"/>
    <w:rsid w:val="00373B9B"/>
    <w:rsid w:val="00374366"/>
    <w:rsid w:val="003744F0"/>
    <w:rsid w:val="0037474F"/>
    <w:rsid w:val="00374778"/>
    <w:rsid w:val="00374BC4"/>
    <w:rsid w:val="00374D5D"/>
    <w:rsid w:val="00375035"/>
    <w:rsid w:val="00375176"/>
    <w:rsid w:val="00375354"/>
    <w:rsid w:val="0037548F"/>
    <w:rsid w:val="003756DF"/>
    <w:rsid w:val="00375902"/>
    <w:rsid w:val="003759EF"/>
    <w:rsid w:val="00375B76"/>
    <w:rsid w:val="00375C22"/>
    <w:rsid w:val="00375C6B"/>
    <w:rsid w:val="00376122"/>
    <w:rsid w:val="00376293"/>
    <w:rsid w:val="00376984"/>
    <w:rsid w:val="00376A70"/>
    <w:rsid w:val="003770CB"/>
    <w:rsid w:val="0037711B"/>
    <w:rsid w:val="003773C3"/>
    <w:rsid w:val="00377479"/>
    <w:rsid w:val="003776EE"/>
    <w:rsid w:val="00377783"/>
    <w:rsid w:val="00377849"/>
    <w:rsid w:val="00377D7A"/>
    <w:rsid w:val="00377E71"/>
    <w:rsid w:val="00380103"/>
    <w:rsid w:val="00380331"/>
    <w:rsid w:val="003803E7"/>
    <w:rsid w:val="0038041D"/>
    <w:rsid w:val="00380462"/>
    <w:rsid w:val="00380BEE"/>
    <w:rsid w:val="00380BF4"/>
    <w:rsid w:val="003811DF"/>
    <w:rsid w:val="00381350"/>
    <w:rsid w:val="003813DE"/>
    <w:rsid w:val="003813EA"/>
    <w:rsid w:val="003816C9"/>
    <w:rsid w:val="00381CF2"/>
    <w:rsid w:val="0038210B"/>
    <w:rsid w:val="003822E8"/>
    <w:rsid w:val="00382301"/>
    <w:rsid w:val="0038259B"/>
    <w:rsid w:val="003826C4"/>
    <w:rsid w:val="00382924"/>
    <w:rsid w:val="00382AE4"/>
    <w:rsid w:val="00382B26"/>
    <w:rsid w:val="00382B4B"/>
    <w:rsid w:val="00382FFF"/>
    <w:rsid w:val="00383100"/>
    <w:rsid w:val="003833C1"/>
    <w:rsid w:val="003833FE"/>
    <w:rsid w:val="00383846"/>
    <w:rsid w:val="0038392E"/>
    <w:rsid w:val="00383AE2"/>
    <w:rsid w:val="00383B62"/>
    <w:rsid w:val="003840AD"/>
    <w:rsid w:val="003845D0"/>
    <w:rsid w:val="00384D54"/>
    <w:rsid w:val="00384E57"/>
    <w:rsid w:val="003851A2"/>
    <w:rsid w:val="003854F1"/>
    <w:rsid w:val="003857BA"/>
    <w:rsid w:val="0038589F"/>
    <w:rsid w:val="00385AD2"/>
    <w:rsid w:val="00385DD8"/>
    <w:rsid w:val="00386383"/>
    <w:rsid w:val="00386897"/>
    <w:rsid w:val="00386BCD"/>
    <w:rsid w:val="00386DBB"/>
    <w:rsid w:val="00386DEF"/>
    <w:rsid w:val="00386E07"/>
    <w:rsid w:val="003870BB"/>
    <w:rsid w:val="003870C0"/>
    <w:rsid w:val="003870D3"/>
    <w:rsid w:val="0038725C"/>
    <w:rsid w:val="003872E7"/>
    <w:rsid w:val="00387369"/>
    <w:rsid w:val="0038752F"/>
    <w:rsid w:val="003875DE"/>
    <w:rsid w:val="00387634"/>
    <w:rsid w:val="003876B8"/>
    <w:rsid w:val="00387736"/>
    <w:rsid w:val="00387A73"/>
    <w:rsid w:val="00387BE5"/>
    <w:rsid w:val="00387CE5"/>
    <w:rsid w:val="00390319"/>
    <w:rsid w:val="00390A87"/>
    <w:rsid w:val="00390C35"/>
    <w:rsid w:val="00390E36"/>
    <w:rsid w:val="00390F5B"/>
    <w:rsid w:val="00390F8A"/>
    <w:rsid w:val="0039147C"/>
    <w:rsid w:val="003917F2"/>
    <w:rsid w:val="003918A9"/>
    <w:rsid w:val="00391CAF"/>
    <w:rsid w:val="00391D0D"/>
    <w:rsid w:val="00391D4F"/>
    <w:rsid w:val="0039293D"/>
    <w:rsid w:val="00392A65"/>
    <w:rsid w:val="00392E4F"/>
    <w:rsid w:val="0039307F"/>
    <w:rsid w:val="00393169"/>
    <w:rsid w:val="00393197"/>
    <w:rsid w:val="00393540"/>
    <w:rsid w:val="003935B7"/>
    <w:rsid w:val="003939C6"/>
    <w:rsid w:val="003939CA"/>
    <w:rsid w:val="00393CAD"/>
    <w:rsid w:val="00393F5B"/>
    <w:rsid w:val="0039446A"/>
    <w:rsid w:val="0039465E"/>
    <w:rsid w:val="0039469B"/>
    <w:rsid w:val="00394828"/>
    <w:rsid w:val="00394E00"/>
    <w:rsid w:val="00394E3F"/>
    <w:rsid w:val="00395354"/>
    <w:rsid w:val="00395424"/>
    <w:rsid w:val="003955A7"/>
    <w:rsid w:val="00395914"/>
    <w:rsid w:val="00395A03"/>
    <w:rsid w:val="00395AB6"/>
    <w:rsid w:val="00395AF9"/>
    <w:rsid w:val="00395B30"/>
    <w:rsid w:val="00395C02"/>
    <w:rsid w:val="00395C1B"/>
    <w:rsid w:val="00395C24"/>
    <w:rsid w:val="00395DBF"/>
    <w:rsid w:val="00395E43"/>
    <w:rsid w:val="0039637D"/>
    <w:rsid w:val="00396396"/>
    <w:rsid w:val="003964AC"/>
    <w:rsid w:val="003966E0"/>
    <w:rsid w:val="00396AD2"/>
    <w:rsid w:val="00396E0C"/>
    <w:rsid w:val="00396E61"/>
    <w:rsid w:val="00396EB4"/>
    <w:rsid w:val="0039715A"/>
    <w:rsid w:val="003972A2"/>
    <w:rsid w:val="00397722"/>
    <w:rsid w:val="00397BD4"/>
    <w:rsid w:val="00397C17"/>
    <w:rsid w:val="00397DA9"/>
    <w:rsid w:val="003A0021"/>
    <w:rsid w:val="003A01B4"/>
    <w:rsid w:val="003A062A"/>
    <w:rsid w:val="003A08DE"/>
    <w:rsid w:val="003A0AA5"/>
    <w:rsid w:val="003A0C03"/>
    <w:rsid w:val="003A0E71"/>
    <w:rsid w:val="003A18EF"/>
    <w:rsid w:val="003A1986"/>
    <w:rsid w:val="003A1E10"/>
    <w:rsid w:val="003A21C6"/>
    <w:rsid w:val="003A224D"/>
    <w:rsid w:val="003A25C3"/>
    <w:rsid w:val="003A27B8"/>
    <w:rsid w:val="003A27C1"/>
    <w:rsid w:val="003A2854"/>
    <w:rsid w:val="003A2AE5"/>
    <w:rsid w:val="003A30D8"/>
    <w:rsid w:val="003A32C1"/>
    <w:rsid w:val="003A3426"/>
    <w:rsid w:val="003A34E5"/>
    <w:rsid w:val="003A362D"/>
    <w:rsid w:val="003A3893"/>
    <w:rsid w:val="003A3AE2"/>
    <w:rsid w:val="003A3B8A"/>
    <w:rsid w:val="003A3D1B"/>
    <w:rsid w:val="003A41F6"/>
    <w:rsid w:val="003A427D"/>
    <w:rsid w:val="003A441B"/>
    <w:rsid w:val="003A4583"/>
    <w:rsid w:val="003A46AD"/>
    <w:rsid w:val="003A4F74"/>
    <w:rsid w:val="003A5409"/>
    <w:rsid w:val="003A5542"/>
    <w:rsid w:val="003A566B"/>
    <w:rsid w:val="003A5688"/>
    <w:rsid w:val="003A570B"/>
    <w:rsid w:val="003A5ABD"/>
    <w:rsid w:val="003A5B10"/>
    <w:rsid w:val="003A5E5B"/>
    <w:rsid w:val="003A6072"/>
    <w:rsid w:val="003A612E"/>
    <w:rsid w:val="003A618A"/>
    <w:rsid w:val="003A6688"/>
    <w:rsid w:val="003A67B8"/>
    <w:rsid w:val="003A6AC9"/>
    <w:rsid w:val="003A6C82"/>
    <w:rsid w:val="003A708E"/>
    <w:rsid w:val="003A7130"/>
    <w:rsid w:val="003A717C"/>
    <w:rsid w:val="003A7819"/>
    <w:rsid w:val="003A7877"/>
    <w:rsid w:val="003A7B48"/>
    <w:rsid w:val="003A7C62"/>
    <w:rsid w:val="003A7C98"/>
    <w:rsid w:val="003A7E9D"/>
    <w:rsid w:val="003B0115"/>
    <w:rsid w:val="003B0185"/>
    <w:rsid w:val="003B019E"/>
    <w:rsid w:val="003B01C3"/>
    <w:rsid w:val="003B04E6"/>
    <w:rsid w:val="003B05F6"/>
    <w:rsid w:val="003B08E5"/>
    <w:rsid w:val="003B0CE0"/>
    <w:rsid w:val="003B0F17"/>
    <w:rsid w:val="003B108D"/>
    <w:rsid w:val="003B1091"/>
    <w:rsid w:val="003B133A"/>
    <w:rsid w:val="003B1389"/>
    <w:rsid w:val="003B17BE"/>
    <w:rsid w:val="003B19C1"/>
    <w:rsid w:val="003B1B61"/>
    <w:rsid w:val="003B1D2A"/>
    <w:rsid w:val="003B2077"/>
    <w:rsid w:val="003B207D"/>
    <w:rsid w:val="003B2137"/>
    <w:rsid w:val="003B21E5"/>
    <w:rsid w:val="003B28C5"/>
    <w:rsid w:val="003B2CFA"/>
    <w:rsid w:val="003B382E"/>
    <w:rsid w:val="003B3AB7"/>
    <w:rsid w:val="003B3D3E"/>
    <w:rsid w:val="003B42E5"/>
    <w:rsid w:val="003B4404"/>
    <w:rsid w:val="003B44C0"/>
    <w:rsid w:val="003B45C7"/>
    <w:rsid w:val="003B46A5"/>
    <w:rsid w:val="003B47CA"/>
    <w:rsid w:val="003B4830"/>
    <w:rsid w:val="003B4B82"/>
    <w:rsid w:val="003B53C8"/>
    <w:rsid w:val="003B541B"/>
    <w:rsid w:val="003B5485"/>
    <w:rsid w:val="003B54AB"/>
    <w:rsid w:val="003B54BB"/>
    <w:rsid w:val="003B56D8"/>
    <w:rsid w:val="003B5E1A"/>
    <w:rsid w:val="003B60A2"/>
    <w:rsid w:val="003B60BB"/>
    <w:rsid w:val="003B62C6"/>
    <w:rsid w:val="003B63FD"/>
    <w:rsid w:val="003B64D8"/>
    <w:rsid w:val="003B6783"/>
    <w:rsid w:val="003B69BF"/>
    <w:rsid w:val="003B69E3"/>
    <w:rsid w:val="003B69EE"/>
    <w:rsid w:val="003B6B31"/>
    <w:rsid w:val="003B6B5D"/>
    <w:rsid w:val="003B6DB6"/>
    <w:rsid w:val="003B6FDF"/>
    <w:rsid w:val="003B70AC"/>
    <w:rsid w:val="003B72A0"/>
    <w:rsid w:val="003B7376"/>
    <w:rsid w:val="003B7E83"/>
    <w:rsid w:val="003C00EB"/>
    <w:rsid w:val="003C0729"/>
    <w:rsid w:val="003C0D9D"/>
    <w:rsid w:val="003C0E8E"/>
    <w:rsid w:val="003C0E8F"/>
    <w:rsid w:val="003C1084"/>
    <w:rsid w:val="003C10D6"/>
    <w:rsid w:val="003C114A"/>
    <w:rsid w:val="003C1375"/>
    <w:rsid w:val="003C13B7"/>
    <w:rsid w:val="003C16D7"/>
    <w:rsid w:val="003C176C"/>
    <w:rsid w:val="003C17AB"/>
    <w:rsid w:val="003C17D9"/>
    <w:rsid w:val="003C18FA"/>
    <w:rsid w:val="003C1A7A"/>
    <w:rsid w:val="003C1D5F"/>
    <w:rsid w:val="003C1E8E"/>
    <w:rsid w:val="003C1E95"/>
    <w:rsid w:val="003C1F56"/>
    <w:rsid w:val="003C1FED"/>
    <w:rsid w:val="003C2004"/>
    <w:rsid w:val="003C214D"/>
    <w:rsid w:val="003C2193"/>
    <w:rsid w:val="003C2697"/>
    <w:rsid w:val="003C272A"/>
    <w:rsid w:val="003C2950"/>
    <w:rsid w:val="003C296B"/>
    <w:rsid w:val="003C29F8"/>
    <w:rsid w:val="003C2B97"/>
    <w:rsid w:val="003C2BAF"/>
    <w:rsid w:val="003C2CBC"/>
    <w:rsid w:val="003C2D98"/>
    <w:rsid w:val="003C338C"/>
    <w:rsid w:val="003C34AE"/>
    <w:rsid w:val="003C3A80"/>
    <w:rsid w:val="003C405B"/>
    <w:rsid w:val="003C4261"/>
    <w:rsid w:val="003C4297"/>
    <w:rsid w:val="003C435A"/>
    <w:rsid w:val="003C43A4"/>
    <w:rsid w:val="003C47B3"/>
    <w:rsid w:val="003C4E3E"/>
    <w:rsid w:val="003C537D"/>
    <w:rsid w:val="003C55C9"/>
    <w:rsid w:val="003C5FD2"/>
    <w:rsid w:val="003C615C"/>
    <w:rsid w:val="003C6352"/>
    <w:rsid w:val="003C665F"/>
    <w:rsid w:val="003C68A6"/>
    <w:rsid w:val="003C6CA4"/>
    <w:rsid w:val="003C6F11"/>
    <w:rsid w:val="003C6F50"/>
    <w:rsid w:val="003C7643"/>
    <w:rsid w:val="003C7A34"/>
    <w:rsid w:val="003C7CC1"/>
    <w:rsid w:val="003C7D2B"/>
    <w:rsid w:val="003C7DE6"/>
    <w:rsid w:val="003D0584"/>
    <w:rsid w:val="003D06CF"/>
    <w:rsid w:val="003D09B7"/>
    <w:rsid w:val="003D0A04"/>
    <w:rsid w:val="003D0C3D"/>
    <w:rsid w:val="003D10CE"/>
    <w:rsid w:val="003D12EA"/>
    <w:rsid w:val="003D1449"/>
    <w:rsid w:val="003D15D3"/>
    <w:rsid w:val="003D1FC7"/>
    <w:rsid w:val="003D2051"/>
    <w:rsid w:val="003D20F9"/>
    <w:rsid w:val="003D21DC"/>
    <w:rsid w:val="003D225A"/>
    <w:rsid w:val="003D229E"/>
    <w:rsid w:val="003D2A8F"/>
    <w:rsid w:val="003D2DFE"/>
    <w:rsid w:val="003D3187"/>
    <w:rsid w:val="003D32D0"/>
    <w:rsid w:val="003D3626"/>
    <w:rsid w:val="003D3777"/>
    <w:rsid w:val="003D37AB"/>
    <w:rsid w:val="003D38F8"/>
    <w:rsid w:val="003D3928"/>
    <w:rsid w:val="003D3935"/>
    <w:rsid w:val="003D3A1E"/>
    <w:rsid w:val="003D3BD5"/>
    <w:rsid w:val="003D3DC1"/>
    <w:rsid w:val="003D4110"/>
    <w:rsid w:val="003D44BA"/>
    <w:rsid w:val="003D46CE"/>
    <w:rsid w:val="003D490C"/>
    <w:rsid w:val="003D492C"/>
    <w:rsid w:val="003D4934"/>
    <w:rsid w:val="003D49EC"/>
    <w:rsid w:val="003D4DB6"/>
    <w:rsid w:val="003D4E1E"/>
    <w:rsid w:val="003D51C1"/>
    <w:rsid w:val="003D552F"/>
    <w:rsid w:val="003D554A"/>
    <w:rsid w:val="003D581F"/>
    <w:rsid w:val="003D5ACA"/>
    <w:rsid w:val="003D602E"/>
    <w:rsid w:val="003D607B"/>
    <w:rsid w:val="003D63AE"/>
    <w:rsid w:val="003D63DA"/>
    <w:rsid w:val="003D643E"/>
    <w:rsid w:val="003D654F"/>
    <w:rsid w:val="003D66EF"/>
    <w:rsid w:val="003D6795"/>
    <w:rsid w:val="003D6907"/>
    <w:rsid w:val="003D6A85"/>
    <w:rsid w:val="003D6F65"/>
    <w:rsid w:val="003D7097"/>
    <w:rsid w:val="003D70BC"/>
    <w:rsid w:val="003D71D7"/>
    <w:rsid w:val="003D72CF"/>
    <w:rsid w:val="003D7336"/>
    <w:rsid w:val="003D73A2"/>
    <w:rsid w:val="003D7561"/>
    <w:rsid w:val="003D7597"/>
    <w:rsid w:val="003D75FC"/>
    <w:rsid w:val="003D760B"/>
    <w:rsid w:val="003D7660"/>
    <w:rsid w:val="003D7812"/>
    <w:rsid w:val="003D787E"/>
    <w:rsid w:val="003D7BA7"/>
    <w:rsid w:val="003D7F3C"/>
    <w:rsid w:val="003E0016"/>
    <w:rsid w:val="003E0176"/>
    <w:rsid w:val="003E0239"/>
    <w:rsid w:val="003E0783"/>
    <w:rsid w:val="003E0EA5"/>
    <w:rsid w:val="003E0F39"/>
    <w:rsid w:val="003E1018"/>
    <w:rsid w:val="003E1092"/>
    <w:rsid w:val="003E1485"/>
    <w:rsid w:val="003E14BD"/>
    <w:rsid w:val="003E19AC"/>
    <w:rsid w:val="003E1A4E"/>
    <w:rsid w:val="003E1A95"/>
    <w:rsid w:val="003E1B17"/>
    <w:rsid w:val="003E1BB8"/>
    <w:rsid w:val="003E20B1"/>
    <w:rsid w:val="003E2201"/>
    <w:rsid w:val="003E22DF"/>
    <w:rsid w:val="003E2455"/>
    <w:rsid w:val="003E2651"/>
    <w:rsid w:val="003E2704"/>
    <w:rsid w:val="003E27D1"/>
    <w:rsid w:val="003E2ACE"/>
    <w:rsid w:val="003E2D39"/>
    <w:rsid w:val="003E2E0A"/>
    <w:rsid w:val="003E2EBD"/>
    <w:rsid w:val="003E2F86"/>
    <w:rsid w:val="003E2F97"/>
    <w:rsid w:val="003E3019"/>
    <w:rsid w:val="003E3F63"/>
    <w:rsid w:val="003E401B"/>
    <w:rsid w:val="003E407E"/>
    <w:rsid w:val="003E42DA"/>
    <w:rsid w:val="003E4503"/>
    <w:rsid w:val="003E4676"/>
    <w:rsid w:val="003E46C0"/>
    <w:rsid w:val="003E49CC"/>
    <w:rsid w:val="003E4C24"/>
    <w:rsid w:val="003E4FB6"/>
    <w:rsid w:val="003E549A"/>
    <w:rsid w:val="003E54CF"/>
    <w:rsid w:val="003E5697"/>
    <w:rsid w:val="003E57F8"/>
    <w:rsid w:val="003E5839"/>
    <w:rsid w:val="003E5845"/>
    <w:rsid w:val="003E58BA"/>
    <w:rsid w:val="003E59D0"/>
    <w:rsid w:val="003E5E7E"/>
    <w:rsid w:val="003E60D1"/>
    <w:rsid w:val="003E6429"/>
    <w:rsid w:val="003E67CC"/>
    <w:rsid w:val="003E6AB0"/>
    <w:rsid w:val="003E6BF0"/>
    <w:rsid w:val="003E6DF8"/>
    <w:rsid w:val="003E6FF9"/>
    <w:rsid w:val="003E711B"/>
    <w:rsid w:val="003E7143"/>
    <w:rsid w:val="003E7364"/>
    <w:rsid w:val="003E737A"/>
    <w:rsid w:val="003E76B2"/>
    <w:rsid w:val="003E76E2"/>
    <w:rsid w:val="003E77F9"/>
    <w:rsid w:val="003E7C94"/>
    <w:rsid w:val="003E7D88"/>
    <w:rsid w:val="003E7DAC"/>
    <w:rsid w:val="003E7F20"/>
    <w:rsid w:val="003F00B9"/>
    <w:rsid w:val="003F019C"/>
    <w:rsid w:val="003F0512"/>
    <w:rsid w:val="003F08F9"/>
    <w:rsid w:val="003F0954"/>
    <w:rsid w:val="003F0E33"/>
    <w:rsid w:val="003F1104"/>
    <w:rsid w:val="003F138C"/>
    <w:rsid w:val="003F18DA"/>
    <w:rsid w:val="003F1B64"/>
    <w:rsid w:val="003F219A"/>
    <w:rsid w:val="003F230F"/>
    <w:rsid w:val="003F2683"/>
    <w:rsid w:val="003F27C9"/>
    <w:rsid w:val="003F2847"/>
    <w:rsid w:val="003F28DE"/>
    <w:rsid w:val="003F2E10"/>
    <w:rsid w:val="003F300E"/>
    <w:rsid w:val="003F31B6"/>
    <w:rsid w:val="003F3564"/>
    <w:rsid w:val="003F3627"/>
    <w:rsid w:val="003F3638"/>
    <w:rsid w:val="003F3849"/>
    <w:rsid w:val="003F385D"/>
    <w:rsid w:val="003F38EE"/>
    <w:rsid w:val="003F3A29"/>
    <w:rsid w:val="003F3CAF"/>
    <w:rsid w:val="003F3CC4"/>
    <w:rsid w:val="003F3F9A"/>
    <w:rsid w:val="003F41E1"/>
    <w:rsid w:val="003F4488"/>
    <w:rsid w:val="003F501E"/>
    <w:rsid w:val="003F52BF"/>
    <w:rsid w:val="003F5550"/>
    <w:rsid w:val="003F55B3"/>
    <w:rsid w:val="003F584E"/>
    <w:rsid w:val="003F5E8B"/>
    <w:rsid w:val="003F5F58"/>
    <w:rsid w:val="003F61A6"/>
    <w:rsid w:val="003F62DC"/>
    <w:rsid w:val="003F6723"/>
    <w:rsid w:val="003F6C6D"/>
    <w:rsid w:val="003F6D28"/>
    <w:rsid w:val="003F6E1C"/>
    <w:rsid w:val="003F7009"/>
    <w:rsid w:val="003F714B"/>
    <w:rsid w:val="003F7194"/>
    <w:rsid w:val="003F71A0"/>
    <w:rsid w:val="003F71BD"/>
    <w:rsid w:val="003F74F1"/>
    <w:rsid w:val="003F759E"/>
    <w:rsid w:val="003F78DE"/>
    <w:rsid w:val="003F7B62"/>
    <w:rsid w:val="003F7CC0"/>
    <w:rsid w:val="003F7CF9"/>
    <w:rsid w:val="003F7E37"/>
    <w:rsid w:val="003F7F9A"/>
    <w:rsid w:val="004001D4"/>
    <w:rsid w:val="0040026F"/>
    <w:rsid w:val="004003E7"/>
    <w:rsid w:val="004005EB"/>
    <w:rsid w:val="0040061E"/>
    <w:rsid w:val="00400803"/>
    <w:rsid w:val="004008A1"/>
    <w:rsid w:val="004008A4"/>
    <w:rsid w:val="00400BCB"/>
    <w:rsid w:val="00400CC6"/>
    <w:rsid w:val="00400D85"/>
    <w:rsid w:val="004013D1"/>
    <w:rsid w:val="00401472"/>
    <w:rsid w:val="00401597"/>
    <w:rsid w:val="00401E93"/>
    <w:rsid w:val="00401ED3"/>
    <w:rsid w:val="004021B0"/>
    <w:rsid w:val="0040237A"/>
    <w:rsid w:val="0040248A"/>
    <w:rsid w:val="0040254E"/>
    <w:rsid w:val="004025CE"/>
    <w:rsid w:val="004025DA"/>
    <w:rsid w:val="004027D4"/>
    <w:rsid w:val="00402BA8"/>
    <w:rsid w:val="00402BAE"/>
    <w:rsid w:val="00402CAA"/>
    <w:rsid w:val="00402D53"/>
    <w:rsid w:val="00402D5E"/>
    <w:rsid w:val="004030FE"/>
    <w:rsid w:val="004033B2"/>
    <w:rsid w:val="00403786"/>
    <w:rsid w:val="00403884"/>
    <w:rsid w:val="00403D0A"/>
    <w:rsid w:val="00403FED"/>
    <w:rsid w:val="00404073"/>
    <w:rsid w:val="004041E1"/>
    <w:rsid w:val="004042EF"/>
    <w:rsid w:val="00404493"/>
    <w:rsid w:val="004045A5"/>
    <w:rsid w:val="0040473B"/>
    <w:rsid w:val="0040488B"/>
    <w:rsid w:val="00404976"/>
    <w:rsid w:val="00404A82"/>
    <w:rsid w:val="00404B26"/>
    <w:rsid w:val="00404CAB"/>
    <w:rsid w:val="00404D52"/>
    <w:rsid w:val="00405356"/>
    <w:rsid w:val="00405479"/>
    <w:rsid w:val="00405496"/>
    <w:rsid w:val="00405516"/>
    <w:rsid w:val="00405593"/>
    <w:rsid w:val="004055F2"/>
    <w:rsid w:val="00405848"/>
    <w:rsid w:val="00405E56"/>
    <w:rsid w:val="00405E90"/>
    <w:rsid w:val="004061DE"/>
    <w:rsid w:val="004063DA"/>
    <w:rsid w:val="004066FC"/>
    <w:rsid w:val="00406793"/>
    <w:rsid w:val="00406CEE"/>
    <w:rsid w:val="00406F12"/>
    <w:rsid w:val="00406FD3"/>
    <w:rsid w:val="004074B4"/>
    <w:rsid w:val="004074C5"/>
    <w:rsid w:val="00407A56"/>
    <w:rsid w:val="00407A7F"/>
    <w:rsid w:val="004100CF"/>
    <w:rsid w:val="00410216"/>
    <w:rsid w:val="004102DE"/>
    <w:rsid w:val="0041053A"/>
    <w:rsid w:val="00410640"/>
    <w:rsid w:val="004108B9"/>
    <w:rsid w:val="00410CD2"/>
    <w:rsid w:val="00410E3A"/>
    <w:rsid w:val="00410E3D"/>
    <w:rsid w:val="00410E44"/>
    <w:rsid w:val="00411330"/>
    <w:rsid w:val="0041188C"/>
    <w:rsid w:val="00411B6F"/>
    <w:rsid w:val="00411EFE"/>
    <w:rsid w:val="004120AE"/>
    <w:rsid w:val="00412181"/>
    <w:rsid w:val="0041232C"/>
    <w:rsid w:val="0041262F"/>
    <w:rsid w:val="004126D9"/>
    <w:rsid w:val="004128A1"/>
    <w:rsid w:val="00412A4C"/>
    <w:rsid w:val="00412E92"/>
    <w:rsid w:val="00412FE4"/>
    <w:rsid w:val="004130A8"/>
    <w:rsid w:val="0041317C"/>
    <w:rsid w:val="0041319E"/>
    <w:rsid w:val="00413336"/>
    <w:rsid w:val="004133BC"/>
    <w:rsid w:val="004134FB"/>
    <w:rsid w:val="004136AD"/>
    <w:rsid w:val="00413961"/>
    <w:rsid w:val="00413B36"/>
    <w:rsid w:val="00413D4C"/>
    <w:rsid w:val="00413EF0"/>
    <w:rsid w:val="00414067"/>
    <w:rsid w:val="004149A6"/>
    <w:rsid w:val="00415249"/>
    <w:rsid w:val="0041532C"/>
    <w:rsid w:val="004157FC"/>
    <w:rsid w:val="0041586E"/>
    <w:rsid w:val="00415932"/>
    <w:rsid w:val="00415A61"/>
    <w:rsid w:val="00416121"/>
    <w:rsid w:val="00416491"/>
    <w:rsid w:val="004168BF"/>
    <w:rsid w:val="00416D76"/>
    <w:rsid w:val="00416DCB"/>
    <w:rsid w:val="00416EBF"/>
    <w:rsid w:val="00416F00"/>
    <w:rsid w:val="004170D0"/>
    <w:rsid w:val="004173D0"/>
    <w:rsid w:val="00417624"/>
    <w:rsid w:val="004178D8"/>
    <w:rsid w:val="004179AF"/>
    <w:rsid w:val="004179B9"/>
    <w:rsid w:val="00417A19"/>
    <w:rsid w:val="00417CA0"/>
    <w:rsid w:val="00417DD3"/>
    <w:rsid w:val="00417E18"/>
    <w:rsid w:val="00417FD4"/>
    <w:rsid w:val="00420622"/>
    <w:rsid w:val="004207DD"/>
    <w:rsid w:val="0042080B"/>
    <w:rsid w:val="004208C8"/>
    <w:rsid w:val="00420A15"/>
    <w:rsid w:val="00420CE7"/>
    <w:rsid w:val="00420F36"/>
    <w:rsid w:val="0042112A"/>
    <w:rsid w:val="00421351"/>
    <w:rsid w:val="00421410"/>
    <w:rsid w:val="004218A7"/>
    <w:rsid w:val="00421EBD"/>
    <w:rsid w:val="0042212E"/>
    <w:rsid w:val="00422210"/>
    <w:rsid w:val="0042238B"/>
    <w:rsid w:val="00422516"/>
    <w:rsid w:val="00422622"/>
    <w:rsid w:val="004226A0"/>
    <w:rsid w:val="00422A04"/>
    <w:rsid w:val="00422DF4"/>
    <w:rsid w:val="00422E41"/>
    <w:rsid w:val="00422FC1"/>
    <w:rsid w:val="0042306F"/>
    <w:rsid w:val="00423585"/>
    <w:rsid w:val="0042380F"/>
    <w:rsid w:val="00423CF8"/>
    <w:rsid w:val="00423D10"/>
    <w:rsid w:val="00423E35"/>
    <w:rsid w:val="00424288"/>
    <w:rsid w:val="004246FA"/>
    <w:rsid w:val="00424786"/>
    <w:rsid w:val="00424873"/>
    <w:rsid w:val="00424A86"/>
    <w:rsid w:val="00424CD8"/>
    <w:rsid w:val="00424D4D"/>
    <w:rsid w:val="00424E14"/>
    <w:rsid w:val="00425282"/>
    <w:rsid w:val="0042548D"/>
    <w:rsid w:val="0042549B"/>
    <w:rsid w:val="00425544"/>
    <w:rsid w:val="0042587B"/>
    <w:rsid w:val="00425BC9"/>
    <w:rsid w:val="00425D66"/>
    <w:rsid w:val="00425F0A"/>
    <w:rsid w:val="0042601C"/>
    <w:rsid w:val="00426483"/>
    <w:rsid w:val="00426717"/>
    <w:rsid w:val="00426822"/>
    <w:rsid w:val="004268CB"/>
    <w:rsid w:val="00426C13"/>
    <w:rsid w:val="00427283"/>
    <w:rsid w:val="00427651"/>
    <w:rsid w:val="00427856"/>
    <w:rsid w:val="004279E1"/>
    <w:rsid w:val="00427BB7"/>
    <w:rsid w:val="00427CD8"/>
    <w:rsid w:val="0043006B"/>
    <w:rsid w:val="004301F7"/>
    <w:rsid w:val="0043045F"/>
    <w:rsid w:val="00430714"/>
    <w:rsid w:val="004307D7"/>
    <w:rsid w:val="00430B19"/>
    <w:rsid w:val="00430CC2"/>
    <w:rsid w:val="004310C9"/>
    <w:rsid w:val="00431209"/>
    <w:rsid w:val="004312C0"/>
    <w:rsid w:val="004312EF"/>
    <w:rsid w:val="004313FA"/>
    <w:rsid w:val="004314C7"/>
    <w:rsid w:val="00431829"/>
    <w:rsid w:val="00431ABF"/>
    <w:rsid w:val="00431E26"/>
    <w:rsid w:val="00431E2D"/>
    <w:rsid w:val="00432019"/>
    <w:rsid w:val="00432474"/>
    <w:rsid w:val="00432615"/>
    <w:rsid w:val="00432A55"/>
    <w:rsid w:val="00432A60"/>
    <w:rsid w:val="00432B91"/>
    <w:rsid w:val="00432E9A"/>
    <w:rsid w:val="004331BB"/>
    <w:rsid w:val="0043326E"/>
    <w:rsid w:val="0043357C"/>
    <w:rsid w:val="00433774"/>
    <w:rsid w:val="00433A44"/>
    <w:rsid w:val="00433A9B"/>
    <w:rsid w:val="00433AF2"/>
    <w:rsid w:val="004341C6"/>
    <w:rsid w:val="0043426C"/>
    <w:rsid w:val="004344E0"/>
    <w:rsid w:val="00434506"/>
    <w:rsid w:val="004349CF"/>
    <w:rsid w:val="00434A05"/>
    <w:rsid w:val="00434A74"/>
    <w:rsid w:val="00434C0D"/>
    <w:rsid w:val="00434FBF"/>
    <w:rsid w:val="00435048"/>
    <w:rsid w:val="00435278"/>
    <w:rsid w:val="0043571D"/>
    <w:rsid w:val="00435C54"/>
    <w:rsid w:val="00435E3F"/>
    <w:rsid w:val="004360F3"/>
    <w:rsid w:val="00436258"/>
    <w:rsid w:val="00436260"/>
    <w:rsid w:val="00436280"/>
    <w:rsid w:val="00436490"/>
    <w:rsid w:val="00436630"/>
    <w:rsid w:val="00436CBC"/>
    <w:rsid w:val="00436E52"/>
    <w:rsid w:val="004370A9"/>
    <w:rsid w:val="0043724D"/>
    <w:rsid w:val="00437297"/>
    <w:rsid w:val="004372B2"/>
    <w:rsid w:val="00437843"/>
    <w:rsid w:val="004379C0"/>
    <w:rsid w:val="00437B76"/>
    <w:rsid w:val="00437DAF"/>
    <w:rsid w:val="00437E39"/>
    <w:rsid w:val="004402D5"/>
    <w:rsid w:val="004403E5"/>
    <w:rsid w:val="004406A4"/>
    <w:rsid w:val="004409D1"/>
    <w:rsid w:val="00441308"/>
    <w:rsid w:val="00441418"/>
    <w:rsid w:val="00441895"/>
    <w:rsid w:val="004418ED"/>
    <w:rsid w:val="00441A2A"/>
    <w:rsid w:val="00441B54"/>
    <w:rsid w:val="00441DC6"/>
    <w:rsid w:val="00441EED"/>
    <w:rsid w:val="00442076"/>
    <w:rsid w:val="004420A6"/>
    <w:rsid w:val="0044227D"/>
    <w:rsid w:val="00442657"/>
    <w:rsid w:val="004428DD"/>
    <w:rsid w:val="00442CEA"/>
    <w:rsid w:val="00442EBF"/>
    <w:rsid w:val="00442EDC"/>
    <w:rsid w:val="0044304E"/>
    <w:rsid w:val="0044350A"/>
    <w:rsid w:val="004435F3"/>
    <w:rsid w:val="00443741"/>
    <w:rsid w:val="00443A1A"/>
    <w:rsid w:val="00443E64"/>
    <w:rsid w:val="004441FB"/>
    <w:rsid w:val="004445CE"/>
    <w:rsid w:val="00444E72"/>
    <w:rsid w:val="00444F1F"/>
    <w:rsid w:val="004452F9"/>
    <w:rsid w:val="004453AD"/>
    <w:rsid w:val="0044570A"/>
    <w:rsid w:val="004458DC"/>
    <w:rsid w:val="004459D0"/>
    <w:rsid w:val="00445BC6"/>
    <w:rsid w:val="00445CC2"/>
    <w:rsid w:val="00445F1B"/>
    <w:rsid w:val="00446499"/>
    <w:rsid w:val="00446619"/>
    <w:rsid w:val="00446B75"/>
    <w:rsid w:val="00446E5F"/>
    <w:rsid w:val="00446F12"/>
    <w:rsid w:val="0044733E"/>
    <w:rsid w:val="004474FE"/>
    <w:rsid w:val="00447983"/>
    <w:rsid w:val="004479CE"/>
    <w:rsid w:val="004479D7"/>
    <w:rsid w:val="00447A7B"/>
    <w:rsid w:val="00447B24"/>
    <w:rsid w:val="00447C73"/>
    <w:rsid w:val="00447EF8"/>
    <w:rsid w:val="00450078"/>
    <w:rsid w:val="00450195"/>
    <w:rsid w:val="004501B4"/>
    <w:rsid w:val="00450251"/>
    <w:rsid w:val="0045026D"/>
    <w:rsid w:val="0045028B"/>
    <w:rsid w:val="004506D8"/>
    <w:rsid w:val="0045089B"/>
    <w:rsid w:val="0045092F"/>
    <w:rsid w:val="00450AD4"/>
    <w:rsid w:val="00450CEC"/>
    <w:rsid w:val="00450E35"/>
    <w:rsid w:val="00450F95"/>
    <w:rsid w:val="0045102F"/>
    <w:rsid w:val="00451053"/>
    <w:rsid w:val="00451166"/>
    <w:rsid w:val="0045131C"/>
    <w:rsid w:val="004514BA"/>
    <w:rsid w:val="004516A6"/>
    <w:rsid w:val="00451729"/>
    <w:rsid w:val="004519C6"/>
    <w:rsid w:val="00451E58"/>
    <w:rsid w:val="0045222B"/>
    <w:rsid w:val="0045226C"/>
    <w:rsid w:val="004523AE"/>
    <w:rsid w:val="00452781"/>
    <w:rsid w:val="00452825"/>
    <w:rsid w:val="00452CB6"/>
    <w:rsid w:val="00452EC1"/>
    <w:rsid w:val="00453351"/>
    <w:rsid w:val="00453B0D"/>
    <w:rsid w:val="00453FB3"/>
    <w:rsid w:val="0045447B"/>
    <w:rsid w:val="004548A4"/>
    <w:rsid w:val="00454963"/>
    <w:rsid w:val="00454A5A"/>
    <w:rsid w:val="00454BD1"/>
    <w:rsid w:val="00454CB0"/>
    <w:rsid w:val="00454EA0"/>
    <w:rsid w:val="004553B9"/>
    <w:rsid w:val="004557D7"/>
    <w:rsid w:val="0045580B"/>
    <w:rsid w:val="00455AAB"/>
    <w:rsid w:val="004561BC"/>
    <w:rsid w:val="004562BB"/>
    <w:rsid w:val="0045646B"/>
    <w:rsid w:val="004569B1"/>
    <w:rsid w:val="00456DED"/>
    <w:rsid w:val="00456E0D"/>
    <w:rsid w:val="00456E41"/>
    <w:rsid w:val="004574B4"/>
    <w:rsid w:val="00457636"/>
    <w:rsid w:val="00457C36"/>
    <w:rsid w:val="00457E15"/>
    <w:rsid w:val="004602C3"/>
    <w:rsid w:val="0046030E"/>
    <w:rsid w:val="00460550"/>
    <w:rsid w:val="00460B0F"/>
    <w:rsid w:val="00460D1A"/>
    <w:rsid w:val="0046125E"/>
    <w:rsid w:val="00461780"/>
    <w:rsid w:val="00461B71"/>
    <w:rsid w:val="00461F0F"/>
    <w:rsid w:val="0046208C"/>
    <w:rsid w:val="0046208D"/>
    <w:rsid w:val="00462115"/>
    <w:rsid w:val="004621DA"/>
    <w:rsid w:val="00462293"/>
    <w:rsid w:val="00462335"/>
    <w:rsid w:val="0046239E"/>
    <w:rsid w:val="0046242D"/>
    <w:rsid w:val="0046250B"/>
    <w:rsid w:val="004626CD"/>
    <w:rsid w:val="00462A5A"/>
    <w:rsid w:val="00462BA9"/>
    <w:rsid w:val="00462C20"/>
    <w:rsid w:val="00462C37"/>
    <w:rsid w:val="00462EA5"/>
    <w:rsid w:val="00462F28"/>
    <w:rsid w:val="00462F45"/>
    <w:rsid w:val="00463129"/>
    <w:rsid w:val="00463807"/>
    <w:rsid w:val="004639AF"/>
    <w:rsid w:val="00463C6F"/>
    <w:rsid w:val="00463E54"/>
    <w:rsid w:val="00463EFE"/>
    <w:rsid w:val="0046443A"/>
    <w:rsid w:val="00464DAB"/>
    <w:rsid w:val="00465820"/>
    <w:rsid w:val="00465996"/>
    <w:rsid w:val="00465A75"/>
    <w:rsid w:val="00465C7C"/>
    <w:rsid w:val="0046620A"/>
    <w:rsid w:val="00466294"/>
    <w:rsid w:val="00466607"/>
    <w:rsid w:val="004666BC"/>
    <w:rsid w:val="004667A2"/>
    <w:rsid w:val="0046691D"/>
    <w:rsid w:val="004669D7"/>
    <w:rsid w:val="00466A8F"/>
    <w:rsid w:val="00466B85"/>
    <w:rsid w:val="00466DC8"/>
    <w:rsid w:val="0046708C"/>
    <w:rsid w:val="00467192"/>
    <w:rsid w:val="00467204"/>
    <w:rsid w:val="004672DD"/>
    <w:rsid w:val="00467373"/>
    <w:rsid w:val="0046787F"/>
    <w:rsid w:val="00467A7D"/>
    <w:rsid w:val="00467AA3"/>
    <w:rsid w:val="00467AEA"/>
    <w:rsid w:val="00467CD4"/>
    <w:rsid w:val="00467D7E"/>
    <w:rsid w:val="00467F0A"/>
    <w:rsid w:val="00467F8A"/>
    <w:rsid w:val="0047020C"/>
    <w:rsid w:val="0047086E"/>
    <w:rsid w:val="0047094D"/>
    <w:rsid w:val="00470B1F"/>
    <w:rsid w:val="00470E2F"/>
    <w:rsid w:val="00470FBD"/>
    <w:rsid w:val="00471015"/>
    <w:rsid w:val="0047128A"/>
    <w:rsid w:val="00471666"/>
    <w:rsid w:val="00471C67"/>
    <w:rsid w:val="00472110"/>
    <w:rsid w:val="00472122"/>
    <w:rsid w:val="004722C0"/>
    <w:rsid w:val="004727A2"/>
    <w:rsid w:val="004727AC"/>
    <w:rsid w:val="004727FB"/>
    <w:rsid w:val="0047298A"/>
    <w:rsid w:val="00472ADC"/>
    <w:rsid w:val="00472EB2"/>
    <w:rsid w:val="004730D2"/>
    <w:rsid w:val="004731E2"/>
    <w:rsid w:val="004732D8"/>
    <w:rsid w:val="0047394F"/>
    <w:rsid w:val="0047439F"/>
    <w:rsid w:val="00474832"/>
    <w:rsid w:val="004748FC"/>
    <w:rsid w:val="00474AFF"/>
    <w:rsid w:val="00474C86"/>
    <w:rsid w:val="00474DA6"/>
    <w:rsid w:val="00474DFB"/>
    <w:rsid w:val="00474F07"/>
    <w:rsid w:val="004750E8"/>
    <w:rsid w:val="004751D5"/>
    <w:rsid w:val="0047521F"/>
    <w:rsid w:val="00475258"/>
    <w:rsid w:val="004753EE"/>
    <w:rsid w:val="0047551A"/>
    <w:rsid w:val="00475671"/>
    <w:rsid w:val="004757E2"/>
    <w:rsid w:val="00475840"/>
    <w:rsid w:val="00475942"/>
    <w:rsid w:val="004759BE"/>
    <w:rsid w:val="004759C1"/>
    <w:rsid w:val="00475C0E"/>
    <w:rsid w:val="00475EE4"/>
    <w:rsid w:val="00475F21"/>
    <w:rsid w:val="00476009"/>
    <w:rsid w:val="004760A6"/>
    <w:rsid w:val="004760F8"/>
    <w:rsid w:val="00476246"/>
    <w:rsid w:val="00476745"/>
    <w:rsid w:val="00476889"/>
    <w:rsid w:val="00476A78"/>
    <w:rsid w:val="00476C5D"/>
    <w:rsid w:val="00476F6B"/>
    <w:rsid w:val="00476FB5"/>
    <w:rsid w:val="004771B2"/>
    <w:rsid w:val="00477355"/>
    <w:rsid w:val="0047739A"/>
    <w:rsid w:val="0047757D"/>
    <w:rsid w:val="004775CD"/>
    <w:rsid w:val="0047793F"/>
    <w:rsid w:val="004779DB"/>
    <w:rsid w:val="00477F3D"/>
    <w:rsid w:val="00480413"/>
    <w:rsid w:val="004804D6"/>
    <w:rsid w:val="004805E4"/>
    <w:rsid w:val="004806B7"/>
    <w:rsid w:val="004808D9"/>
    <w:rsid w:val="0048095C"/>
    <w:rsid w:val="00481211"/>
    <w:rsid w:val="0048133C"/>
    <w:rsid w:val="00481454"/>
    <w:rsid w:val="0048156D"/>
    <w:rsid w:val="004815B7"/>
    <w:rsid w:val="00481CA1"/>
    <w:rsid w:val="00481E3D"/>
    <w:rsid w:val="00481E97"/>
    <w:rsid w:val="00481FD7"/>
    <w:rsid w:val="00482071"/>
    <w:rsid w:val="00482165"/>
    <w:rsid w:val="004822CC"/>
    <w:rsid w:val="00482342"/>
    <w:rsid w:val="00482357"/>
    <w:rsid w:val="00482380"/>
    <w:rsid w:val="0048282B"/>
    <w:rsid w:val="004829A3"/>
    <w:rsid w:val="00482AA9"/>
    <w:rsid w:val="00482FA7"/>
    <w:rsid w:val="004830D4"/>
    <w:rsid w:val="004836A5"/>
    <w:rsid w:val="00483777"/>
    <w:rsid w:val="004837D8"/>
    <w:rsid w:val="00483A09"/>
    <w:rsid w:val="00483ABB"/>
    <w:rsid w:val="00483AE9"/>
    <w:rsid w:val="00483AEC"/>
    <w:rsid w:val="0048407B"/>
    <w:rsid w:val="0048465E"/>
    <w:rsid w:val="0048472A"/>
    <w:rsid w:val="00484A9B"/>
    <w:rsid w:val="00484EE5"/>
    <w:rsid w:val="00484F00"/>
    <w:rsid w:val="00484FFD"/>
    <w:rsid w:val="0048547F"/>
    <w:rsid w:val="00485584"/>
    <w:rsid w:val="00485679"/>
    <w:rsid w:val="00485D10"/>
    <w:rsid w:val="00485E95"/>
    <w:rsid w:val="00486964"/>
    <w:rsid w:val="00486B41"/>
    <w:rsid w:val="00486EBA"/>
    <w:rsid w:val="0048708F"/>
    <w:rsid w:val="0048709D"/>
    <w:rsid w:val="0048722B"/>
    <w:rsid w:val="0048736E"/>
    <w:rsid w:val="00487843"/>
    <w:rsid w:val="00487E32"/>
    <w:rsid w:val="00487F7C"/>
    <w:rsid w:val="00487FDD"/>
    <w:rsid w:val="00490154"/>
    <w:rsid w:val="0049018C"/>
    <w:rsid w:val="0049045B"/>
    <w:rsid w:val="00490527"/>
    <w:rsid w:val="004906CE"/>
    <w:rsid w:val="0049071E"/>
    <w:rsid w:val="0049082B"/>
    <w:rsid w:val="004908A3"/>
    <w:rsid w:val="00490BBF"/>
    <w:rsid w:val="00490D42"/>
    <w:rsid w:val="00491381"/>
    <w:rsid w:val="004915CF"/>
    <w:rsid w:val="0049163A"/>
    <w:rsid w:val="004916C6"/>
    <w:rsid w:val="004916FC"/>
    <w:rsid w:val="004917E3"/>
    <w:rsid w:val="00491E5B"/>
    <w:rsid w:val="00491ECF"/>
    <w:rsid w:val="0049210D"/>
    <w:rsid w:val="0049211F"/>
    <w:rsid w:val="00492227"/>
    <w:rsid w:val="004922CE"/>
    <w:rsid w:val="00492711"/>
    <w:rsid w:val="0049276C"/>
    <w:rsid w:val="00492BD4"/>
    <w:rsid w:val="00492CAD"/>
    <w:rsid w:val="00492F34"/>
    <w:rsid w:val="004932D2"/>
    <w:rsid w:val="004932EE"/>
    <w:rsid w:val="0049383F"/>
    <w:rsid w:val="0049387D"/>
    <w:rsid w:val="004938BD"/>
    <w:rsid w:val="00493957"/>
    <w:rsid w:val="00493996"/>
    <w:rsid w:val="004939E4"/>
    <w:rsid w:val="00493D24"/>
    <w:rsid w:val="00493D65"/>
    <w:rsid w:val="00493DAC"/>
    <w:rsid w:val="00493ECD"/>
    <w:rsid w:val="004942C3"/>
    <w:rsid w:val="0049442C"/>
    <w:rsid w:val="0049453B"/>
    <w:rsid w:val="00494CB6"/>
    <w:rsid w:val="00494CE1"/>
    <w:rsid w:val="00494DBC"/>
    <w:rsid w:val="00494F0B"/>
    <w:rsid w:val="004952A6"/>
    <w:rsid w:val="0049551A"/>
    <w:rsid w:val="004955DD"/>
    <w:rsid w:val="0049565D"/>
    <w:rsid w:val="00495A1D"/>
    <w:rsid w:val="00495A71"/>
    <w:rsid w:val="00495C87"/>
    <w:rsid w:val="00495EB4"/>
    <w:rsid w:val="00496011"/>
    <w:rsid w:val="004961A3"/>
    <w:rsid w:val="00496218"/>
    <w:rsid w:val="004962EF"/>
    <w:rsid w:val="00496A87"/>
    <w:rsid w:val="00496ACD"/>
    <w:rsid w:val="00496FD7"/>
    <w:rsid w:val="00497107"/>
    <w:rsid w:val="00497459"/>
    <w:rsid w:val="004974C8"/>
    <w:rsid w:val="00497576"/>
    <w:rsid w:val="0049762F"/>
    <w:rsid w:val="00497742"/>
    <w:rsid w:val="00497D56"/>
    <w:rsid w:val="00497F08"/>
    <w:rsid w:val="004A0047"/>
    <w:rsid w:val="004A014E"/>
    <w:rsid w:val="004A03EC"/>
    <w:rsid w:val="004A0616"/>
    <w:rsid w:val="004A0ADC"/>
    <w:rsid w:val="004A0BD8"/>
    <w:rsid w:val="004A1698"/>
    <w:rsid w:val="004A18DD"/>
    <w:rsid w:val="004A1E6C"/>
    <w:rsid w:val="004A1F0E"/>
    <w:rsid w:val="004A1F9B"/>
    <w:rsid w:val="004A2054"/>
    <w:rsid w:val="004A26C2"/>
    <w:rsid w:val="004A287C"/>
    <w:rsid w:val="004A2A40"/>
    <w:rsid w:val="004A2C10"/>
    <w:rsid w:val="004A2C93"/>
    <w:rsid w:val="004A3000"/>
    <w:rsid w:val="004A3091"/>
    <w:rsid w:val="004A31CB"/>
    <w:rsid w:val="004A341B"/>
    <w:rsid w:val="004A3450"/>
    <w:rsid w:val="004A359C"/>
    <w:rsid w:val="004A36F5"/>
    <w:rsid w:val="004A3A1C"/>
    <w:rsid w:val="004A41B9"/>
    <w:rsid w:val="004A41C4"/>
    <w:rsid w:val="004A4654"/>
    <w:rsid w:val="004A473D"/>
    <w:rsid w:val="004A4A0F"/>
    <w:rsid w:val="004A4AAE"/>
    <w:rsid w:val="004A4C8E"/>
    <w:rsid w:val="004A4D1F"/>
    <w:rsid w:val="004A4D9A"/>
    <w:rsid w:val="004A4DAB"/>
    <w:rsid w:val="004A4E2F"/>
    <w:rsid w:val="004A5714"/>
    <w:rsid w:val="004A5768"/>
    <w:rsid w:val="004A582B"/>
    <w:rsid w:val="004A5D0A"/>
    <w:rsid w:val="004A5EBD"/>
    <w:rsid w:val="004A5FAB"/>
    <w:rsid w:val="004A62C4"/>
    <w:rsid w:val="004A63D4"/>
    <w:rsid w:val="004A6A25"/>
    <w:rsid w:val="004A6A30"/>
    <w:rsid w:val="004A6BAF"/>
    <w:rsid w:val="004A6D0E"/>
    <w:rsid w:val="004A6DC0"/>
    <w:rsid w:val="004A6F94"/>
    <w:rsid w:val="004A6FBD"/>
    <w:rsid w:val="004A6FDB"/>
    <w:rsid w:val="004A700A"/>
    <w:rsid w:val="004A7172"/>
    <w:rsid w:val="004A7380"/>
    <w:rsid w:val="004A74C4"/>
    <w:rsid w:val="004A7B8B"/>
    <w:rsid w:val="004A7C24"/>
    <w:rsid w:val="004A7CA8"/>
    <w:rsid w:val="004B0019"/>
    <w:rsid w:val="004B0020"/>
    <w:rsid w:val="004B0160"/>
    <w:rsid w:val="004B01E2"/>
    <w:rsid w:val="004B0216"/>
    <w:rsid w:val="004B04E8"/>
    <w:rsid w:val="004B05F5"/>
    <w:rsid w:val="004B072F"/>
    <w:rsid w:val="004B0D10"/>
    <w:rsid w:val="004B0DA9"/>
    <w:rsid w:val="004B11AA"/>
    <w:rsid w:val="004B12C1"/>
    <w:rsid w:val="004B15C2"/>
    <w:rsid w:val="004B1666"/>
    <w:rsid w:val="004B1746"/>
    <w:rsid w:val="004B1AAE"/>
    <w:rsid w:val="004B1BB4"/>
    <w:rsid w:val="004B1C68"/>
    <w:rsid w:val="004B1D78"/>
    <w:rsid w:val="004B1DB2"/>
    <w:rsid w:val="004B21DD"/>
    <w:rsid w:val="004B23A1"/>
    <w:rsid w:val="004B2408"/>
    <w:rsid w:val="004B256E"/>
    <w:rsid w:val="004B298C"/>
    <w:rsid w:val="004B2AC3"/>
    <w:rsid w:val="004B2ADA"/>
    <w:rsid w:val="004B2CAA"/>
    <w:rsid w:val="004B3012"/>
    <w:rsid w:val="004B30A2"/>
    <w:rsid w:val="004B334E"/>
    <w:rsid w:val="004B37AA"/>
    <w:rsid w:val="004B37E4"/>
    <w:rsid w:val="004B3A32"/>
    <w:rsid w:val="004B3B33"/>
    <w:rsid w:val="004B3BEA"/>
    <w:rsid w:val="004B3C6D"/>
    <w:rsid w:val="004B3E34"/>
    <w:rsid w:val="004B3FA1"/>
    <w:rsid w:val="004B4447"/>
    <w:rsid w:val="004B4462"/>
    <w:rsid w:val="004B4517"/>
    <w:rsid w:val="004B4619"/>
    <w:rsid w:val="004B48AD"/>
    <w:rsid w:val="004B48E9"/>
    <w:rsid w:val="004B4944"/>
    <w:rsid w:val="004B4B3A"/>
    <w:rsid w:val="004B510B"/>
    <w:rsid w:val="004B5462"/>
    <w:rsid w:val="004B57C6"/>
    <w:rsid w:val="004B5942"/>
    <w:rsid w:val="004B5BAA"/>
    <w:rsid w:val="004B5F23"/>
    <w:rsid w:val="004B6069"/>
    <w:rsid w:val="004B60F8"/>
    <w:rsid w:val="004B6550"/>
    <w:rsid w:val="004B65F2"/>
    <w:rsid w:val="004B6C8E"/>
    <w:rsid w:val="004B6C9C"/>
    <w:rsid w:val="004B6F0B"/>
    <w:rsid w:val="004B7013"/>
    <w:rsid w:val="004B7176"/>
    <w:rsid w:val="004B7220"/>
    <w:rsid w:val="004B780E"/>
    <w:rsid w:val="004B7863"/>
    <w:rsid w:val="004B7942"/>
    <w:rsid w:val="004B7BE9"/>
    <w:rsid w:val="004B7F1C"/>
    <w:rsid w:val="004C00AA"/>
    <w:rsid w:val="004C0187"/>
    <w:rsid w:val="004C067E"/>
    <w:rsid w:val="004C071D"/>
    <w:rsid w:val="004C0886"/>
    <w:rsid w:val="004C0B23"/>
    <w:rsid w:val="004C13D6"/>
    <w:rsid w:val="004C13EB"/>
    <w:rsid w:val="004C15E7"/>
    <w:rsid w:val="004C173A"/>
    <w:rsid w:val="004C26D8"/>
    <w:rsid w:val="004C28F2"/>
    <w:rsid w:val="004C2E04"/>
    <w:rsid w:val="004C2EBD"/>
    <w:rsid w:val="004C2F72"/>
    <w:rsid w:val="004C3125"/>
    <w:rsid w:val="004C31F2"/>
    <w:rsid w:val="004C3514"/>
    <w:rsid w:val="004C37BA"/>
    <w:rsid w:val="004C387A"/>
    <w:rsid w:val="004C391A"/>
    <w:rsid w:val="004C39CC"/>
    <w:rsid w:val="004C3C59"/>
    <w:rsid w:val="004C3C68"/>
    <w:rsid w:val="004C3F3A"/>
    <w:rsid w:val="004C4329"/>
    <w:rsid w:val="004C43D2"/>
    <w:rsid w:val="004C446D"/>
    <w:rsid w:val="004C4550"/>
    <w:rsid w:val="004C48C1"/>
    <w:rsid w:val="004C4BCA"/>
    <w:rsid w:val="004C4E28"/>
    <w:rsid w:val="004C4F36"/>
    <w:rsid w:val="004C52BB"/>
    <w:rsid w:val="004C52C5"/>
    <w:rsid w:val="004C53CE"/>
    <w:rsid w:val="004C54BF"/>
    <w:rsid w:val="004C55C9"/>
    <w:rsid w:val="004C56AA"/>
    <w:rsid w:val="004C571E"/>
    <w:rsid w:val="004C5B69"/>
    <w:rsid w:val="004C5C86"/>
    <w:rsid w:val="004C6341"/>
    <w:rsid w:val="004C6501"/>
    <w:rsid w:val="004C6C07"/>
    <w:rsid w:val="004C6CFF"/>
    <w:rsid w:val="004C6E09"/>
    <w:rsid w:val="004C6F72"/>
    <w:rsid w:val="004C783A"/>
    <w:rsid w:val="004C7A07"/>
    <w:rsid w:val="004C7ECD"/>
    <w:rsid w:val="004D008B"/>
    <w:rsid w:val="004D035E"/>
    <w:rsid w:val="004D0640"/>
    <w:rsid w:val="004D0758"/>
    <w:rsid w:val="004D0977"/>
    <w:rsid w:val="004D0DD1"/>
    <w:rsid w:val="004D0E36"/>
    <w:rsid w:val="004D1150"/>
    <w:rsid w:val="004D1205"/>
    <w:rsid w:val="004D1285"/>
    <w:rsid w:val="004D137B"/>
    <w:rsid w:val="004D1561"/>
    <w:rsid w:val="004D17F2"/>
    <w:rsid w:val="004D1C0B"/>
    <w:rsid w:val="004D1C38"/>
    <w:rsid w:val="004D1CD9"/>
    <w:rsid w:val="004D1D94"/>
    <w:rsid w:val="004D1E24"/>
    <w:rsid w:val="004D1E86"/>
    <w:rsid w:val="004D1EC9"/>
    <w:rsid w:val="004D215E"/>
    <w:rsid w:val="004D2168"/>
    <w:rsid w:val="004D229B"/>
    <w:rsid w:val="004D22B9"/>
    <w:rsid w:val="004D2439"/>
    <w:rsid w:val="004D2969"/>
    <w:rsid w:val="004D2AE7"/>
    <w:rsid w:val="004D2D25"/>
    <w:rsid w:val="004D2D4D"/>
    <w:rsid w:val="004D2DB0"/>
    <w:rsid w:val="004D3005"/>
    <w:rsid w:val="004D31AA"/>
    <w:rsid w:val="004D3596"/>
    <w:rsid w:val="004D3754"/>
    <w:rsid w:val="004D37D7"/>
    <w:rsid w:val="004D387B"/>
    <w:rsid w:val="004D38D0"/>
    <w:rsid w:val="004D3922"/>
    <w:rsid w:val="004D3B91"/>
    <w:rsid w:val="004D3DEA"/>
    <w:rsid w:val="004D3FF8"/>
    <w:rsid w:val="004D477A"/>
    <w:rsid w:val="004D488F"/>
    <w:rsid w:val="004D4E7D"/>
    <w:rsid w:val="004D4EDB"/>
    <w:rsid w:val="004D4F74"/>
    <w:rsid w:val="004D52EC"/>
    <w:rsid w:val="004D52F4"/>
    <w:rsid w:val="004D5624"/>
    <w:rsid w:val="004D5761"/>
    <w:rsid w:val="004D5777"/>
    <w:rsid w:val="004D5B4F"/>
    <w:rsid w:val="004D5B79"/>
    <w:rsid w:val="004D5D20"/>
    <w:rsid w:val="004D5E1C"/>
    <w:rsid w:val="004D61F5"/>
    <w:rsid w:val="004D649F"/>
    <w:rsid w:val="004D655B"/>
    <w:rsid w:val="004D6759"/>
    <w:rsid w:val="004D6A49"/>
    <w:rsid w:val="004D6B1B"/>
    <w:rsid w:val="004D6B4D"/>
    <w:rsid w:val="004D6D5A"/>
    <w:rsid w:val="004D6D5F"/>
    <w:rsid w:val="004D6D8A"/>
    <w:rsid w:val="004D6E7C"/>
    <w:rsid w:val="004D7033"/>
    <w:rsid w:val="004D7389"/>
    <w:rsid w:val="004D7436"/>
    <w:rsid w:val="004D746F"/>
    <w:rsid w:val="004D7822"/>
    <w:rsid w:val="004D7A6C"/>
    <w:rsid w:val="004D7E09"/>
    <w:rsid w:val="004D7E74"/>
    <w:rsid w:val="004D7E7D"/>
    <w:rsid w:val="004E0503"/>
    <w:rsid w:val="004E0617"/>
    <w:rsid w:val="004E076C"/>
    <w:rsid w:val="004E0B13"/>
    <w:rsid w:val="004E1305"/>
    <w:rsid w:val="004E1360"/>
    <w:rsid w:val="004E1599"/>
    <w:rsid w:val="004E1A16"/>
    <w:rsid w:val="004E1C74"/>
    <w:rsid w:val="004E1DD3"/>
    <w:rsid w:val="004E1FDE"/>
    <w:rsid w:val="004E24C6"/>
    <w:rsid w:val="004E2832"/>
    <w:rsid w:val="004E2A9D"/>
    <w:rsid w:val="004E2F07"/>
    <w:rsid w:val="004E3009"/>
    <w:rsid w:val="004E3771"/>
    <w:rsid w:val="004E3777"/>
    <w:rsid w:val="004E3C8F"/>
    <w:rsid w:val="004E3D14"/>
    <w:rsid w:val="004E3D41"/>
    <w:rsid w:val="004E402B"/>
    <w:rsid w:val="004E4A19"/>
    <w:rsid w:val="004E4C29"/>
    <w:rsid w:val="004E4E55"/>
    <w:rsid w:val="004E4F0B"/>
    <w:rsid w:val="004E4F7A"/>
    <w:rsid w:val="004E501C"/>
    <w:rsid w:val="004E508B"/>
    <w:rsid w:val="004E50EF"/>
    <w:rsid w:val="004E510D"/>
    <w:rsid w:val="004E51B2"/>
    <w:rsid w:val="004E5266"/>
    <w:rsid w:val="004E5269"/>
    <w:rsid w:val="004E5375"/>
    <w:rsid w:val="004E5933"/>
    <w:rsid w:val="004E59B8"/>
    <w:rsid w:val="004E5E3A"/>
    <w:rsid w:val="004E61FD"/>
    <w:rsid w:val="004E650A"/>
    <w:rsid w:val="004E67E5"/>
    <w:rsid w:val="004E6842"/>
    <w:rsid w:val="004E6BB6"/>
    <w:rsid w:val="004E6C68"/>
    <w:rsid w:val="004E6E1A"/>
    <w:rsid w:val="004E6FEA"/>
    <w:rsid w:val="004E70AD"/>
    <w:rsid w:val="004E7103"/>
    <w:rsid w:val="004E71C2"/>
    <w:rsid w:val="004E71DA"/>
    <w:rsid w:val="004E75BB"/>
    <w:rsid w:val="004E7E36"/>
    <w:rsid w:val="004F0103"/>
    <w:rsid w:val="004F0A58"/>
    <w:rsid w:val="004F0AC4"/>
    <w:rsid w:val="004F0AF7"/>
    <w:rsid w:val="004F0D66"/>
    <w:rsid w:val="004F0FF0"/>
    <w:rsid w:val="004F1058"/>
    <w:rsid w:val="004F1339"/>
    <w:rsid w:val="004F1528"/>
    <w:rsid w:val="004F1BCF"/>
    <w:rsid w:val="004F1CA4"/>
    <w:rsid w:val="004F1D16"/>
    <w:rsid w:val="004F1DBC"/>
    <w:rsid w:val="004F1EC7"/>
    <w:rsid w:val="004F1EEC"/>
    <w:rsid w:val="004F2197"/>
    <w:rsid w:val="004F23EA"/>
    <w:rsid w:val="004F24C7"/>
    <w:rsid w:val="004F29CE"/>
    <w:rsid w:val="004F2AD6"/>
    <w:rsid w:val="004F2DAE"/>
    <w:rsid w:val="004F2E79"/>
    <w:rsid w:val="004F2F7B"/>
    <w:rsid w:val="004F30FB"/>
    <w:rsid w:val="004F3258"/>
    <w:rsid w:val="004F3443"/>
    <w:rsid w:val="004F3671"/>
    <w:rsid w:val="004F37FB"/>
    <w:rsid w:val="004F3A11"/>
    <w:rsid w:val="004F3A4B"/>
    <w:rsid w:val="004F3AEF"/>
    <w:rsid w:val="004F3B46"/>
    <w:rsid w:val="004F3CA9"/>
    <w:rsid w:val="004F3CB3"/>
    <w:rsid w:val="004F3CD6"/>
    <w:rsid w:val="004F3FFA"/>
    <w:rsid w:val="004F4253"/>
    <w:rsid w:val="004F4871"/>
    <w:rsid w:val="004F48C9"/>
    <w:rsid w:val="004F48F1"/>
    <w:rsid w:val="004F4AB0"/>
    <w:rsid w:val="004F4E3B"/>
    <w:rsid w:val="004F5263"/>
    <w:rsid w:val="004F552A"/>
    <w:rsid w:val="004F5D65"/>
    <w:rsid w:val="004F5DD5"/>
    <w:rsid w:val="004F61C6"/>
    <w:rsid w:val="004F637E"/>
    <w:rsid w:val="004F6575"/>
    <w:rsid w:val="004F65A5"/>
    <w:rsid w:val="004F6646"/>
    <w:rsid w:val="004F6BA5"/>
    <w:rsid w:val="004F6CC7"/>
    <w:rsid w:val="004F7189"/>
    <w:rsid w:val="004F7246"/>
    <w:rsid w:val="004F72C3"/>
    <w:rsid w:val="004F74F5"/>
    <w:rsid w:val="004F764B"/>
    <w:rsid w:val="004F77D8"/>
    <w:rsid w:val="004F7A18"/>
    <w:rsid w:val="004F7AFF"/>
    <w:rsid w:val="004F7DC1"/>
    <w:rsid w:val="004F7E15"/>
    <w:rsid w:val="004F7E4A"/>
    <w:rsid w:val="004F7EF9"/>
    <w:rsid w:val="005004A9"/>
    <w:rsid w:val="00500544"/>
    <w:rsid w:val="005005F8"/>
    <w:rsid w:val="005006B1"/>
    <w:rsid w:val="00500700"/>
    <w:rsid w:val="005007FB"/>
    <w:rsid w:val="0050089A"/>
    <w:rsid w:val="005009CE"/>
    <w:rsid w:val="00500C43"/>
    <w:rsid w:val="00500E51"/>
    <w:rsid w:val="00500F77"/>
    <w:rsid w:val="00501289"/>
    <w:rsid w:val="00501390"/>
    <w:rsid w:val="005016B7"/>
    <w:rsid w:val="005016D7"/>
    <w:rsid w:val="0050173C"/>
    <w:rsid w:val="005017D4"/>
    <w:rsid w:val="005017E9"/>
    <w:rsid w:val="00501AB1"/>
    <w:rsid w:val="00501C9C"/>
    <w:rsid w:val="00501CCC"/>
    <w:rsid w:val="00501E16"/>
    <w:rsid w:val="00501EC1"/>
    <w:rsid w:val="005020D7"/>
    <w:rsid w:val="005020FB"/>
    <w:rsid w:val="00502360"/>
    <w:rsid w:val="005025E9"/>
    <w:rsid w:val="005028CD"/>
    <w:rsid w:val="005028DA"/>
    <w:rsid w:val="00502AD2"/>
    <w:rsid w:val="00502F3B"/>
    <w:rsid w:val="00502F4F"/>
    <w:rsid w:val="00502FC6"/>
    <w:rsid w:val="00503315"/>
    <w:rsid w:val="005037C4"/>
    <w:rsid w:val="00503A64"/>
    <w:rsid w:val="00503E9A"/>
    <w:rsid w:val="00503FFC"/>
    <w:rsid w:val="0050412C"/>
    <w:rsid w:val="00504339"/>
    <w:rsid w:val="00504426"/>
    <w:rsid w:val="00504531"/>
    <w:rsid w:val="00504564"/>
    <w:rsid w:val="005049F2"/>
    <w:rsid w:val="00504AD5"/>
    <w:rsid w:val="00504B9E"/>
    <w:rsid w:val="00504CCA"/>
    <w:rsid w:val="00504E74"/>
    <w:rsid w:val="00504FA2"/>
    <w:rsid w:val="00505141"/>
    <w:rsid w:val="00505320"/>
    <w:rsid w:val="0050541F"/>
    <w:rsid w:val="00505544"/>
    <w:rsid w:val="0050567D"/>
    <w:rsid w:val="00505710"/>
    <w:rsid w:val="00505A51"/>
    <w:rsid w:val="00505E2E"/>
    <w:rsid w:val="005063A7"/>
    <w:rsid w:val="00506421"/>
    <w:rsid w:val="0050645D"/>
    <w:rsid w:val="0050653B"/>
    <w:rsid w:val="0050668C"/>
    <w:rsid w:val="005066F5"/>
    <w:rsid w:val="0050696D"/>
    <w:rsid w:val="00506B4F"/>
    <w:rsid w:val="00506B94"/>
    <w:rsid w:val="00506D0F"/>
    <w:rsid w:val="00506E5C"/>
    <w:rsid w:val="00506F55"/>
    <w:rsid w:val="00507258"/>
    <w:rsid w:val="00507439"/>
    <w:rsid w:val="00507468"/>
    <w:rsid w:val="00507802"/>
    <w:rsid w:val="00507876"/>
    <w:rsid w:val="00507889"/>
    <w:rsid w:val="00507A20"/>
    <w:rsid w:val="00507A31"/>
    <w:rsid w:val="00507A74"/>
    <w:rsid w:val="00507F17"/>
    <w:rsid w:val="00507FF8"/>
    <w:rsid w:val="0051010E"/>
    <w:rsid w:val="0051056B"/>
    <w:rsid w:val="005105D1"/>
    <w:rsid w:val="005106FE"/>
    <w:rsid w:val="00510781"/>
    <w:rsid w:val="00510CD3"/>
    <w:rsid w:val="00510DBC"/>
    <w:rsid w:val="00510DD8"/>
    <w:rsid w:val="00510F82"/>
    <w:rsid w:val="005110FA"/>
    <w:rsid w:val="00511219"/>
    <w:rsid w:val="005113F9"/>
    <w:rsid w:val="0051155A"/>
    <w:rsid w:val="005118B7"/>
    <w:rsid w:val="00511AB7"/>
    <w:rsid w:val="00511C29"/>
    <w:rsid w:val="00511DE2"/>
    <w:rsid w:val="00511E28"/>
    <w:rsid w:val="00511F68"/>
    <w:rsid w:val="00511FC7"/>
    <w:rsid w:val="005120B2"/>
    <w:rsid w:val="005121AD"/>
    <w:rsid w:val="005123A0"/>
    <w:rsid w:val="0051274F"/>
    <w:rsid w:val="005127A0"/>
    <w:rsid w:val="0051294E"/>
    <w:rsid w:val="005129AE"/>
    <w:rsid w:val="00512A35"/>
    <w:rsid w:val="00512B5F"/>
    <w:rsid w:val="005132E4"/>
    <w:rsid w:val="005133FE"/>
    <w:rsid w:val="005137DB"/>
    <w:rsid w:val="00513872"/>
    <w:rsid w:val="00513D70"/>
    <w:rsid w:val="005142BE"/>
    <w:rsid w:val="005144EE"/>
    <w:rsid w:val="005144FA"/>
    <w:rsid w:val="005146F7"/>
    <w:rsid w:val="005150C2"/>
    <w:rsid w:val="005150DE"/>
    <w:rsid w:val="0051577E"/>
    <w:rsid w:val="0051591C"/>
    <w:rsid w:val="00515931"/>
    <w:rsid w:val="00515F7A"/>
    <w:rsid w:val="005166ED"/>
    <w:rsid w:val="00516913"/>
    <w:rsid w:val="00516B5E"/>
    <w:rsid w:val="00516F99"/>
    <w:rsid w:val="005173A5"/>
    <w:rsid w:val="00517484"/>
    <w:rsid w:val="00517581"/>
    <w:rsid w:val="00517630"/>
    <w:rsid w:val="00517947"/>
    <w:rsid w:val="00517AC6"/>
    <w:rsid w:val="00517AE4"/>
    <w:rsid w:val="00517D0F"/>
    <w:rsid w:val="00517F1A"/>
    <w:rsid w:val="00520147"/>
    <w:rsid w:val="00520178"/>
    <w:rsid w:val="00520283"/>
    <w:rsid w:val="00520391"/>
    <w:rsid w:val="0052043A"/>
    <w:rsid w:val="00520932"/>
    <w:rsid w:val="00520DDB"/>
    <w:rsid w:val="00521125"/>
    <w:rsid w:val="0052118F"/>
    <w:rsid w:val="005211F5"/>
    <w:rsid w:val="0052144F"/>
    <w:rsid w:val="00521644"/>
    <w:rsid w:val="005216D3"/>
    <w:rsid w:val="00521703"/>
    <w:rsid w:val="00521936"/>
    <w:rsid w:val="00521CD9"/>
    <w:rsid w:val="00521D9B"/>
    <w:rsid w:val="00521FFC"/>
    <w:rsid w:val="005222B8"/>
    <w:rsid w:val="005223AA"/>
    <w:rsid w:val="0052261F"/>
    <w:rsid w:val="00522AE6"/>
    <w:rsid w:val="00522B4C"/>
    <w:rsid w:val="00522DCF"/>
    <w:rsid w:val="00522EF8"/>
    <w:rsid w:val="00522FE7"/>
    <w:rsid w:val="00523791"/>
    <w:rsid w:val="00523DD8"/>
    <w:rsid w:val="00523E9C"/>
    <w:rsid w:val="00523F3F"/>
    <w:rsid w:val="00524028"/>
    <w:rsid w:val="00524A04"/>
    <w:rsid w:val="00524EA4"/>
    <w:rsid w:val="0052507C"/>
    <w:rsid w:val="005253ED"/>
    <w:rsid w:val="00525EB0"/>
    <w:rsid w:val="00525EC1"/>
    <w:rsid w:val="00525FC5"/>
    <w:rsid w:val="00526045"/>
    <w:rsid w:val="005260BC"/>
    <w:rsid w:val="005260CC"/>
    <w:rsid w:val="005267B3"/>
    <w:rsid w:val="005268F2"/>
    <w:rsid w:val="00526992"/>
    <w:rsid w:val="00526A6E"/>
    <w:rsid w:val="00526A7C"/>
    <w:rsid w:val="00526B2D"/>
    <w:rsid w:val="00526BF9"/>
    <w:rsid w:val="00526C77"/>
    <w:rsid w:val="00526EF0"/>
    <w:rsid w:val="00526FF9"/>
    <w:rsid w:val="0052720C"/>
    <w:rsid w:val="005272F0"/>
    <w:rsid w:val="0052756F"/>
    <w:rsid w:val="00527811"/>
    <w:rsid w:val="00527CA2"/>
    <w:rsid w:val="00527EBD"/>
    <w:rsid w:val="005301AB"/>
    <w:rsid w:val="005305BF"/>
    <w:rsid w:val="005306B6"/>
    <w:rsid w:val="005308A4"/>
    <w:rsid w:val="00530A43"/>
    <w:rsid w:val="00530D08"/>
    <w:rsid w:val="00530D87"/>
    <w:rsid w:val="00530E08"/>
    <w:rsid w:val="00530EDF"/>
    <w:rsid w:val="00531172"/>
    <w:rsid w:val="005311E1"/>
    <w:rsid w:val="0053135A"/>
    <w:rsid w:val="00531617"/>
    <w:rsid w:val="005318B4"/>
    <w:rsid w:val="005319F4"/>
    <w:rsid w:val="00531C7C"/>
    <w:rsid w:val="00531E5C"/>
    <w:rsid w:val="00532236"/>
    <w:rsid w:val="005325B0"/>
    <w:rsid w:val="00532841"/>
    <w:rsid w:val="0053295C"/>
    <w:rsid w:val="00532AE8"/>
    <w:rsid w:val="00532B18"/>
    <w:rsid w:val="00532BB7"/>
    <w:rsid w:val="00532D23"/>
    <w:rsid w:val="00532D3F"/>
    <w:rsid w:val="00532DC3"/>
    <w:rsid w:val="00532ECC"/>
    <w:rsid w:val="0053339B"/>
    <w:rsid w:val="00533674"/>
    <w:rsid w:val="0053390E"/>
    <w:rsid w:val="00533A08"/>
    <w:rsid w:val="00533C98"/>
    <w:rsid w:val="005340A6"/>
    <w:rsid w:val="005340B9"/>
    <w:rsid w:val="005342DF"/>
    <w:rsid w:val="005347E2"/>
    <w:rsid w:val="005348B0"/>
    <w:rsid w:val="00534956"/>
    <w:rsid w:val="00534A9F"/>
    <w:rsid w:val="00534ADA"/>
    <w:rsid w:val="00534B6A"/>
    <w:rsid w:val="00534D16"/>
    <w:rsid w:val="00535451"/>
    <w:rsid w:val="00535678"/>
    <w:rsid w:val="005356FC"/>
    <w:rsid w:val="005357E7"/>
    <w:rsid w:val="00535E48"/>
    <w:rsid w:val="00536028"/>
    <w:rsid w:val="005360C7"/>
    <w:rsid w:val="00536222"/>
    <w:rsid w:val="0053660F"/>
    <w:rsid w:val="00536747"/>
    <w:rsid w:val="005367A6"/>
    <w:rsid w:val="00536B97"/>
    <w:rsid w:val="00537102"/>
    <w:rsid w:val="00537103"/>
    <w:rsid w:val="00537129"/>
    <w:rsid w:val="005371C7"/>
    <w:rsid w:val="005373C8"/>
    <w:rsid w:val="00537814"/>
    <w:rsid w:val="005379C3"/>
    <w:rsid w:val="00537A6C"/>
    <w:rsid w:val="00537D96"/>
    <w:rsid w:val="00537E64"/>
    <w:rsid w:val="00540076"/>
    <w:rsid w:val="00540152"/>
    <w:rsid w:val="0054021E"/>
    <w:rsid w:val="005403EA"/>
    <w:rsid w:val="00540501"/>
    <w:rsid w:val="00540680"/>
    <w:rsid w:val="005407D7"/>
    <w:rsid w:val="0054088B"/>
    <w:rsid w:val="00540B8B"/>
    <w:rsid w:val="00540CAD"/>
    <w:rsid w:val="00541312"/>
    <w:rsid w:val="0054185C"/>
    <w:rsid w:val="005418EF"/>
    <w:rsid w:val="00541B0A"/>
    <w:rsid w:val="00541B3D"/>
    <w:rsid w:val="00541CA2"/>
    <w:rsid w:val="00541D88"/>
    <w:rsid w:val="005420F9"/>
    <w:rsid w:val="00542259"/>
    <w:rsid w:val="0054273E"/>
    <w:rsid w:val="00542BCC"/>
    <w:rsid w:val="00542D0B"/>
    <w:rsid w:val="005430AB"/>
    <w:rsid w:val="00543127"/>
    <w:rsid w:val="005432D0"/>
    <w:rsid w:val="00543457"/>
    <w:rsid w:val="005435DF"/>
    <w:rsid w:val="005437CC"/>
    <w:rsid w:val="005440D5"/>
    <w:rsid w:val="00544215"/>
    <w:rsid w:val="005446FB"/>
    <w:rsid w:val="005448AB"/>
    <w:rsid w:val="005449D6"/>
    <w:rsid w:val="00544D9D"/>
    <w:rsid w:val="00545026"/>
    <w:rsid w:val="0054517E"/>
    <w:rsid w:val="0054533C"/>
    <w:rsid w:val="00545D46"/>
    <w:rsid w:val="00545E98"/>
    <w:rsid w:val="005465DB"/>
    <w:rsid w:val="005469F3"/>
    <w:rsid w:val="00546A7F"/>
    <w:rsid w:val="00546B2E"/>
    <w:rsid w:val="00546BDD"/>
    <w:rsid w:val="00546D1D"/>
    <w:rsid w:val="00546D7B"/>
    <w:rsid w:val="00546EAC"/>
    <w:rsid w:val="00546F99"/>
    <w:rsid w:val="00546FA2"/>
    <w:rsid w:val="005472D9"/>
    <w:rsid w:val="0054740F"/>
    <w:rsid w:val="0054749A"/>
    <w:rsid w:val="0054784D"/>
    <w:rsid w:val="00547A69"/>
    <w:rsid w:val="00547ECF"/>
    <w:rsid w:val="00547EDC"/>
    <w:rsid w:val="005500F8"/>
    <w:rsid w:val="005503BF"/>
    <w:rsid w:val="0055073D"/>
    <w:rsid w:val="0055079C"/>
    <w:rsid w:val="00550A1F"/>
    <w:rsid w:val="00550A97"/>
    <w:rsid w:val="00550B1C"/>
    <w:rsid w:val="00550FBE"/>
    <w:rsid w:val="00550FEE"/>
    <w:rsid w:val="00551413"/>
    <w:rsid w:val="005514E7"/>
    <w:rsid w:val="005517E1"/>
    <w:rsid w:val="00551D7A"/>
    <w:rsid w:val="005523AD"/>
    <w:rsid w:val="00552560"/>
    <w:rsid w:val="00552AA8"/>
    <w:rsid w:val="00552BFA"/>
    <w:rsid w:val="00553A41"/>
    <w:rsid w:val="00554056"/>
    <w:rsid w:val="0055417B"/>
    <w:rsid w:val="005544A6"/>
    <w:rsid w:val="0055457E"/>
    <w:rsid w:val="00554735"/>
    <w:rsid w:val="00554CDC"/>
    <w:rsid w:val="005551B0"/>
    <w:rsid w:val="00555729"/>
    <w:rsid w:val="0055582F"/>
    <w:rsid w:val="0055589D"/>
    <w:rsid w:val="005558DA"/>
    <w:rsid w:val="00555A1D"/>
    <w:rsid w:val="00555EB0"/>
    <w:rsid w:val="00556011"/>
    <w:rsid w:val="005560F3"/>
    <w:rsid w:val="005563B0"/>
    <w:rsid w:val="00556533"/>
    <w:rsid w:val="0055694B"/>
    <w:rsid w:val="00556A6C"/>
    <w:rsid w:val="00556AF7"/>
    <w:rsid w:val="00556F55"/>
    <w:rsid w:val="00556FA3"/>
    <w:rsid w:val="005570C7"/>
    <w:rsid w:val="00557243"/>
    <w:rsid w:val="005576D7"/>
    <w:rsid w:val="00557B38"/>
    <w:rsid w:val="00557D58"/>
    <w:rsid w:val="00557F7D"/>
    <w:rsid w:val="005602B8"/>
    <w:rsid w:val="005605BA"/>
    <w:rsid w:val="005605E5"/>
    <w:rsid w:val="005609AB"/>
    <w:rsid w:val="00560D30"/>
    <w:rsid w:val="00560FA5"/>
    <w:rsid w:val="005610B3"/>
    <w:rsid w:val="00561104"/>
    <w:rsid w:val="00561493"/>
    <w:rsid w:val="00561518"/>
    <w:rsid w:val="00561703"/>
    <w:rsid w:val="00561B68"/>
    <w:rsid w:val="0056230E"/>
    <w:rsid w:val="0056281C"/>
    <w:rsid w:val="0056296E"/>
    <w:rsid w:val="00562AF1"/>
    <w:rsid w:val="00562EE3"/>
    <w:rsid w:val="00562FD2"/>
    <w:rsid w:val="0056387D"/>
    <w:rsid w:val="005638CF"/>
    <w:rsid w:val="00563A49"/>
    <w:rsid w:val="00563B51"/>
    <w:rsid w:val="00563DB5"/>
    <w:rsid w:val="00564018"/>
    <w:rsid w:val="005640B9"/>
    <w:rsid w:val="00564509"/>
    <w:rsid w:val="005645FD"/>
    <w:rsid w:val="00564642"/>
    <w:rsid w:val="005648CA"/>
    <w:rsid w:val="00564926"/>
    <w:rsid w:val="00564C8E"/>
    <w:rsid w:val="00564F1B"/>
    <w:rsid w:val="00565544"/>
    <w:rsid w:val="00565563"/>
    <w:rsid w:val="0056582B"/>
    <w:rsid w:val="00565851"/>
    <w:rsid w:val="00565A92"/>
    <w:rsid w:val="00565C42"/>
    <w:rsid w:val="00565DD2"/>
    <w:rsid w:val="0056608A"/>
    <w:rsid w:val="0056634E"/>
    <w:rsid w:val="00566774"/>
    <w:rsid w:val="00566900"/>
    <w:rsid w:val="00566930"/>
    <w:rsid w:val="005671F8"/>
    <w:rsid w:val="00567314"/>
    <w:rsid w:val="0056753D"/>
    <w:rsid w:val="005679A1"/>
    <w:rsid w:val="00567F0F"/>
    <w:rsid w:val="00567FB9"/>
    <w:rsid w:val="005700B4"/>
    <w:rsid w:val="0057076A"/>
    <w:rsid w:val="00570A58"/>
    <w:rsid w:val="00570DAA"/>
    <w:rsid w:val="0057112C"/>
    <w:rsid w:val="0057122D"/>
    <w:rsid w:val="005713E7"/>
    <w:rsid w:val="005714BF"/>
    <w:rsid w:val="00571578"/>
    <w:rsid w:val="005715AA"/>
    <w:rsid w:val="0057165B"/>
    <w:rsid w:val="0057194B"/>
    <w:rsid w:val="00571BEF"/>
    <w:rsid w:val="00572084"/>
    <w:rsid w:val="00572496"/>
    <w:rsid w:val="005724BB"/>
    <w:rsid w:val="0057254D"/>
    <w:rsid w:val="005727E1"/>
    <w:rsid w:val="005728FB"/>
    <w:rsid w:val="00572BF3"/>
    <w:rsid w:val="00572E05"/>
    <w:rsid w:val="0057305E"/>
    <w:rsid w:val="00573303"/>
    <w:rsid w:val="0057331C"/>
    <w:rsid w:val="00573443"/>
    <w:rsid w:val="005736A6"/>
    <w:rsid w:val="00573903"/>
    <w:rsid w:val="00573D2F"/>
    <w:rsid w:val="00574049"/>
    <w:rsid w:val="005741C3"/>
    <w:rsid w:val="005742AF"/>
    <w:rsid w:val="00574486"/>
    <w:rsid w:val="005744A3"/>
    <w:rsid w:val="005744FA"/>
    <w:rsid w:val="0057457F"/>
    <w:rsid w:val="005745C1"/>
    <w:rsid w:val="00574829"/>
    <w:rsid w:val="0057490B"/>
    <w:rsid w:val="0057499A"/>
    <w:rsid w:val="00574A1D"/>
    <w:rsid w:val="00574BA1"/>
    <w:rsid w:val="00574BBA"/>
    <w:rsid w:val="00574BC1"/>
    <w:rsid w:val="00575593"/>
    <w:rsid w:val="00575658"/>
    <w:rsid w:val="005758F9"/>
    <w:rsid w:val="0057591F"/>
    <w:rsid w:val="005759D0"/>
    <w:rsid w:val="00575B4A"/>
    <w:rsid w:val="0057676A"/>
    <w:rsid w:val="005767AB"/>
    <w:rsid w:val="0057694A"/>
    <w:rsid w:val="00576A79"/>
    <w:rsid w:val="00577BC7"/>
    <w:rsid w:val="00577D44"/>
    <w:rsid w:val="00577E79"/>
    <w:rsid w:val="00577EAB"/>
    <w:rsid w:val="005805CB"/>
    <w:rsid w:val="005809E3"/>
    <w:rsid w:val="00580A50"/>
    <w:rsid w:val="00581345"/>
    <w:rsid w:val="005817E7"/>
    <w:rsid w:val="00581C0A"/>
    <w:rsid w:val="00581C7D"/>
    <w:rsid w:val="00582231"/>
    <w:rsid w:val="0058252B"/>
    <w:rsid w:val="00582782"/>
    <w:rsid w:val="00582895"/>
    <w:rsid w:val="005829C5"/>
    <w:rsid w:val="00582ED1"/>
    <w:rsid w:val="00583839"/>
    <w:rsid w:val="00583ACB"/>
    <w:rsid w:val="00583B07"/>
    <w:rsid w:val="00583BBD"/>
    <w:rsid w:val="005840F0"/>
    <w:rsid w:val="0058456B"/>
    <w:rsid w:val="00584755"/>
    <w:rsid w:val="00584778"/>
    <w:rsid w:val="0058497D"/>
    <w:rsid w:val="00585588"/>
    <w:rsid w:val="005855C9"/>
    <w:rsid w:val="00585B55"/>
    <w:rsid w:val="00585CCD"/>
    <w:rsid w:val="00585E6D"/>
    <w:rsid w:val="00585F16"/>
    <w:rsid w:val="005866B7"/>
    <w:rsid w:val="00586999"/>
    <w:rsid w:val="00586A24"/>
    <w:rsid w:val="00586A59"/>
    <w:rsid w:val="00586B4A"/>
    <w:rsid w:val="00586DC3"/>
    <w:rsid w:val="0058707C"/>
    <w:rsid w:val="005875AE"/>
    <w:rsid w:val="0058777C"/>
    <w:rsid w:val="005878B3"/>
    <w:rsid w:val="00587977"/>
    <w:rsid w:val="00587C53"/>
    <w:rsid w:val="00587E10"/>
    <w:rsid w:val="00587F66"/>
    <w:rsid w:val="00587F73"/>
    <w:rsid w:val="005900B8"/>
    <w:rsid w:val="00590113"/>
    <w:rsid w:val="00590232"/>
    <w:rsid w:val="0059033A"/>
    <w:rsid w:val="00590461"/>
    <w:rsid w:val="00590894"/>
    <w:rsid w:val="00590CB6"/>
    <w:rsid w:val="00591560"/>
    <w:rsid w:val="0059206C"/>
    <w:rsid w:val="0059213F"/>
    <w:rsid w:val="00592213"/>
    <w:rsid w:val="00592247"/>
    <w:rsid w:val="0059247D"/>
    <w:rsid w:val="00592812"/>
    <w:rsid w:val="00592B20"/>
    <w:rsid w:val="00592BC6"/>
    <w:rsid w:val="00592DA4"/>
    <w:rsid w:val="0059324C"/>
    <w:rsid w:val="00593499"/>
    <w:rsid w:val="00593510"/>
    <w:rsid w:val="005941B9"/>
    <w:rsid w:val="005941CE"/>
    <w:rsid w:val="00594417"/>
    <w:rsid w:val="005944DD"/>
    <w:rsid w:val="0059472F"/>
    <w:rsid w:val="00594810"/>
    <w:rsid w:val="00594923"/>
    <w:rsid w:val="00594B04"/>
    <w:rsid w:val="00594D95"/>
    <w:rsid w:val="00594F66"/>
    <w:rsid w:val="005950D9"/>
    <w:rsid w:val="0059530E"/>
    <w:rsid w:val="00595466"/>
    <w:rsid w:val="0059575D"/>
    <w:rsid w:val="00595955"/>
    <w:rsid w:val="005959A1"/>
    <w:rsid w:val="00595F41"/>
    <w:rsid w:val="00596321"/>
    <w:rsid w:val="0059649A"/>
    <w:rsid w:val="005964AC"/>
    <w:rsid w:val="005966B9"/>
    <w:rsid w:val="0059683D"/>
    <w:rsid w:val="00596928"/>
    <w:rsid w:val="00596AC4"/>
    <w:rsid w:val="00596BFB"/>
    <w:rsid w:val="00597092"/>
    <w:rsid w:val="00597461"/>
    <w:rsid w:val="0059790D"/>
    <w:rsid w:val="00597E07"/>
    <w:rsid w:val="00597EEA"/>
    <w:rsid w:val="00597F84"/>
    <w:rsid w:val="005A00BD"/>
    <w:rsid w:val="005A0185"/>
    <w:rsid w:val="005A07FB"/>
    <w:rsid w:val="005A0815"/>
    <w:rsid w:val="005A0B53"/>
    <w:rsid w:val="005A0D13"/>
    <w:rsid w:val="005A1344"/>
    <w:rsid w:val="005A1509"/>
    <w:rsid w:val="005A159A"/>
    <w:rsid w:val="005A15A6"/>
    <w:rsid w:val="005A1616"/>
    <w:rsid w:val="005A168F"/>
    <w:rsid w:val="005A185C"/>
    <w:rsid w:val="005A1A55"/>
    <w:rsid w:val="005A1A58"/>
    <w:rsid w:val="005A1B26"/>
    <w:rsid w:val="005A1E1A"/>
    <w:rsid w:val="005A2128"/>
    <w:rsid w:val="005A22C3"/>
    <w:rsid w:val="005A235F"/>
    <w:rsid w:val="005A2495"/>
    <w:rsid w:val="005A2656"/>
    <w:rsid w:val="005A266F"/>
    <w:rsid w:val="005A2759"/>
    <w:rsid w:val="005A2810"/>
    <w:rsid w:val="005A2A46"/>
    <w:rsid w:val="005A2B13"/>
    <w:rsid w:val="005A2EAD"/>
    <w:rsid w:val="005A31D8"/>
    <w:rsid w:val="005A340C"/>
    <w:rsid w:val="005A372D"/>
    <w:rsid w:val="005A3762"/>
    <w:rsid w:val="005A3786"/>
    <w:rsid w:val="005A3C4A"/>
    <w:rsid w:val="005A3ED7"/>
    <w:rsid w:val="005A411F"/>
    <w:rsid w:val="005A4270"/>
    <w:rsid w:val="005A4286"/>
    <w:rsid w:val="005A4C28"/>
    <w:rsid w:val="005A4DBE"/>
    <w:rsid w:val="005A4EC9"/>
    <w:rsid w:val="005A5006"/>
    <w:rsid w:val="005A521B"/>
    <w:rsid w:val="005A53E2"/>
    <w:rsid w:val="005A5589"/>
    <w:rsid w:val="005A5605"/>
    <w:rsid w:val="005A57DF"/>
    <w:rsid w:val="005A58FE"/>
    <w:rsid w:val="005A63C4"/>
    <w:rsid w:val="005A63E3"/>
    <w:rsid w:val="005A644C"/>
    <w:rsid w:val="005A6493"/>
    <w:rsid w:val="005A66BE"/>
    <w:rsid w:val="005A6805"/>
    <w:rsid w:val="005A69C9"/>
    <w:rsid w:val="005A6A16"/>
    <w:rsid w:val="005A6A6F"/>
    <w:rsid w:val="005A70DF"/>
    <w:rsid w:val="005A78DB"/>
    <w:rsid w:val="005A7927"/>
    <w:rsid w:val="005A7953"/>
    <w:rsid w:val="005A79B0"/>
    <w:rsid w:val="005A79DA"/>
    <w:rsid w:val="005A7CA6"/>
    <w:rsid w:val="005B0062"/>
    <w:rsid w:val="005B007B"/>
    <w:rsid w:val="005B00F0"/>
    <w:rsid w:val="005B0403"/>
    <w:rsid w:val="005B04FB"/>
    <w:rsid w:val="005B089A"/>
    <w:rsid w:val="005B0A19"/>
    <w:rsid w:val="005B0DDB"/>
    <w:rsid w:val="005B101F"/>
    <w:rsid w:val="005B1371"/>
    <w:rsid w:val="005B18E7"/>
    <w:rsid w:val="005B203D"/>
    <w:rsid w:val="005B2184"/>
    <w:rsid w:val="005B2273"/>
    <w:rsid w:val="005B2BF2"/>
    <w:rsid w:val="005B2D9F"/>
    <w:rsid w:val="005B30AE"/>
    <w:rsid w:val="005B3419"/>
    <w:rsid w:val="005B3505"/>
    <w:rsid w:val="005B37C7"/>
    <w:rsid w:val="005B3ACE"/>
    <w:rsid w:val="005B3B0B"/>
    <w:rsid w:val="005B44F0"/>
    <w:rsid w:val="005B45B4"/>
    <w:rsid w:val="005B47A3"/>
    <w:rsid w:val="005B489F"/>
    <w:rsid w:val="005B52D4"/>
    <w:rsid w:val="005B565F"/>
    <w:rsid w:val="005B5821"/>
    <w:rsid w:val="005B586B"/>
    <w:rsid w:val="005B594F"/>
    <w:rsid w:val="005B5972"/>
    <w:rsid w:val="005B5DC3"/>
    <w:rsid w:val="005B5FFC"/>
    <w:rsid w:val="005B61BB"/>
    <w:rsid w:val="005B63B9"/>
    <w:rsid w:val="005B65AB"/>
    <w:rsid w:val="005B669A"/>
    <w:rsid w:val="005B6A48"/>
    <w:rsid w:val="005B6B4D"/>
    <w:rsid w:val="005B6CD2"/>
    <w:rsid w:val="005B6D68"/>
    <w:rsid w:val="005B6D9F"/>
    <w:rsid w:val="005B6DB7"/>
    <w:rsid w:val="005B7382"/>
    <w:rsid w:val="005B745E"/>
    <w:rsid w:val="005B77A1"/>
    <w:rsid w:val="005B77FE"/>
    <w:rsid w:val="005B78E0"/>
    <w:rsid w:val="005B799D"/>
    <w:rsid w:val="005B7A2A"/>
    <w:rsid w:val="005B7A44"/>
    <w:rsid w:val="005B7BD6"/>
    <w:rsid w:val="005B7C4D"/>
    <w:rsid w:val="005B7CAF"/>
    <w:rsid w:val="005B7F09"/>
    <w:rsid w:val="005B7FB8"/>
    <w:rsid w:val="005C01EA"/>
    <w:rsid w:val="005C0693"/>
    <w:rsid w:val="005C0720"/>
    <w:rsid w:val="005C093B"/>
    <w:rsid w:val="005C0ADC"/>
    <w:rsid w:val="005C0C96"/>
    <w:rsid w:val="005C0CB1"/>
    <w:rsid w:val="005C0FE3"/>
    <w:rsid w:val="005C10E2"/>
    <w:rsid w:val="005C1226"/>
    <w:rsid w:val="005C143F"/>
    <w:rsid w:val="005C154B"/>
    <w:rsid w:val="005C15F6"/>
    <w:rsid w:val="005C167A"/>
    <w:rsid w:val="005C176F"/>
    <w:rsid w:val="005C1B95"/>
    <w:rsid w:val="005C1DB3"/>
    <w:rsid w:val="005C1F6C"/>
    <w:rsid w:val="005C229A"/>
    <w:rsid w:val="005C2361"/>
    <w:rsid w:val="005C2375"/>
    <w:rsid w:val="005C2815"/>
    <w:rsid w:val="005C2887"/>
    <w:rsid w:val="005C28F6"/>
    <w:rsid w:val="005C2D57"/>
    <w:rsid w:val="005C3365"/>
    <w:rsid w:val="005C3453"/>
    <w:rsid w:val="005C360B"/>
    <w:rsid w:val="005C36AA"/>
    <w:rsid w:val="005C39B7"/>
    <w:rsid w:val="005C3A5F"/>
    <w:rsid w:val="005C3AEF"/>
    <w:rsid w:val="005C3BD7"/>
    <w:rsid w:val="005C3C2E"/>
    <w:rsid w:val="005C3D30"/>
    <w:rsid w:val="005C3F22"/>
    <w:rsid w:val="005C3F6C"/>
    <w:rsid w:val="005C43EE"/>
    <w:rsid w:val="005C44AD"/>
    <w:rsid w:val="005C45A7"/>
    <w:rsid w:val="005C47D5"/>
    <w:rsid w:val="005C4833"/>
    <w:rsid w:val="005C4A64"/>
    <w:rsid w:val="005C5345"/>
    <w:rsid w:val="005C5763"/>
    <w:rsid w:val="005C59D2"/>
    <w:rsid w:val="005C59FF"/>
    <w:rsid w:val="005C5E2C"/>
    <w:rsid w:val="005C60A5"/>
    <w:rsid w:val="005C61D0"/>
    <w:rsid w:val="005C66DF"/>
    <w:rsid w:val="005C6DDF"/>
    <w:rsid w:val="005C70D1"/>
    <w:rsid w:val="005C73AA"/>
    <w:rsid w:val="005C763D"/>
    <w:rsid w:val="005C78A6"/>
    <w:rsid w:val="005C78CA"/>
    <w:rsid w:val="005C798F"/>
    <w:rsid w:val="005C79E6"/>
    <w:rsid w:val="005C7A36"/>
    <w:rsid w:val="005C7AB7"/>
    <w:rsid w:val="005C7EB8"/>
    <w:rsid w:val="005C7F4C"/>
    <w:rsid w:val="005C7FA8"/>
    <w:rsid w:val="005D033D"/>
    <w:rsid w:val="005D03D9"/>
    <w:rsid w:val="005D0446"/>
    <w:rsid w:val="005D07FA"/>
    <w:rsid w:val="005D0869"/>
    <w:rsid w:val="005D0948"/>
    <w:rsid w:val="005D0AEE"/>
    <w:rsid w:val="005D0E03"/>
    <w:rsid w:val="005D11CB"/>
    <w:rsid w:val="005D127E"/>
    <w:rsid w:val="005D150B"/>
    <w:rsid w:val="005D170B"/>
    <w:rsid w:val="005D1749"/>
    <w:rsid w:val="005D19FD"/>
    <w:rsid w:val="005D1F7F"/>
    <w:rsid w:val="005D286A"/>
    <w:rsid w:val="005D352C"/>
    <w:rsid w:val="005D3F9F"/>
    <w:rsid w:val="005D45A2"/>
    <w:rsid w:val="005D4B4E"/>
    <w:rsid w:val="005D4C0D"/>
    <w:rsid w:val="005D4C9F"/>
    <w:rsid w:val="005D4FAD"/>
    <w:rsid w:val="005D5033"/>
    <w:rsid w:val="005D512C"/>
    <w:rsid w:val="005D5306"/>
    <w:rsid w:val="005D5639"/>
    <w:rsid w:val="005D59B3"/>
    <w:rsid w:val="005D5B7F"/>
    <w:rsid w:val="005D5CBA"/>
    <w:rsid w:val="005D5DA7"/>
    <w:rsid w:val="005D5FF0"/>
    <w:rsid w:val="005D60F6"/>
    <w:rsid w:val="005D61A0"/>
    <w:rsid w:val="005D6223"/>
    <w:rsid w:val="005D637C"/>
    <w:rsid w:val="005D6407"/>
    <w:rsid w:val="005D6509"/>
    <w:rsid w:val="005D650E"/>
    <w:rsid w:val="005D6613"/>
    <w:rsid w:val="005D67D9"/>
    <w:rsid w:val="005D69F1"/>
    <w:rsid w:val="005D6A8D"/>
    <w:rsid w:val="005D6B35"/>
    <w:rsid w:val="005D6C5E"/>
    <w:rsid w:val="005D6F5F"/>
    <w:rsid w:val="005D6FEB"/>
    <w:rsid w:val="005D70D1"/>
    <w:rsid w:val="005D72D2"/>
    <w:rsid w:val="005D741D"/>
    <w:rsid w:val="005D7594"/>
    <w:rsid w:val="005D7665"/>
    <w:rsid w:val="005D77A6"/>
    <w:rsid w:val="005D7909"/>
    <w:rsid w:val="005D7A1D"/>
    <w:rsid w:val="005D7E32"/>
    <w:rsid w:val="005E0060"/>
    <w:rsid w:val="005E01FA"/>
    <w:rsid w:val="005E03A7"/>
    <w:rsid w:val="005E0491"/>
    <w:rsid w:val="005E085A"/>
    <w:rsid w:val="005E097E"/>
    <w:rsid w:val="005E0BF6"/>
    <w:rsid w:val="005E0D26"/>
    <w:rsid w:val="005E0DDF"/>
    <w:rsid w:val="005E0F1B"/>
    <w:rsid w:val="005E14BC"/>
    <w:rsid w:val="005E189C"/>
    <w:rsid w:val="005E18F1"/>
    <w:rsid w:val="005E1D7A"/>
    <w:rsid w:val="005E1DF8"/>
    <w:rsid w:val="005E22D7"/>
    <w:rsid w:val="005E2790"/>
    <w:rsid w:val="005E2E82"/>
    <w:rsid w:val="005E3024"/>
    <w:rsid w:val="005E321E"/>
    <w:rsid w:val="005E3389"/>
    <w:rsid w:val="005E34BC"/>
    <w:rsid w:val="005E34D4"/>
    <w:rsid w:val="005E360B"/>
    <w:rsid w:val="005E37C1"/>
    <w:rsid w:val="005E38E2"/>
    <w:rsid w:val="005E3929"/>
    <w:rsid w:val="005E3C63"/>
    <w:rsid w:val="005E40C0"/>
    <w:rsid w:val="005E4433"/>
    <w:rsid w:val="005E4680"/>
    <w:rsid w:val="005E4886"/>
    <w:rsid w:val="005E4D36"/>
    <w:rsid w:val="005E5292"/>
    <w:rsid w:val="005E52CC"/>
    <w:rsid w:val="005E54DB"/>
    <w:rsid w:val="005E56B2"/>
    <w:rsid w:val="005E5D30"/>
    <w:rsid w:val="005E5F82"/>
    <w:rsid w:val="005E6011"/>
    <w:rsid w:val="005E64E2"/>
    <w:rsid w:val="005E665F"/>
    <w:rsid w:val="005E691A"/>
    <w:rsid w:val="005E6C40"/>
    <w:rsid w:val="005E6D6B"/>
    <w:rsid w:val="005E7146"/>
    <w:rsid w:val="005E7162"/>
    <w:rsid w:val="005E7448"/>
    <w:rsid w:val="005E7455"/>
    <w:rsid w:val="005E7A76"/>
    <w:rsid w:val="005E7AAF"/>
    <w:rsid w:val="005E7C7C"/>
    <w:rsid w:val="005E7D3A"/>
    <w:rsid w:val="005E7EEC"/>
    <w:rsid w:val="005E7FE5"/>
    <w:rsid w:val="005F0000"/>
    <w:rsid w:val="005F00DF"/>
    <w:rsid w:val="005F015E"/>
    <w:rsid w:val="005F024B"/>
    <w:rsid w:val="005F042B"/>
    <w:rsid w:val="005F0DF7"/>
    <w:rsid w:val="005F15F1"/>
    <w:rsid w:val="005F175D"/>
    <w:rsid w:val="005F1868"/>
    <w:rsid w:val="005F1B2F"/>
    <w:rsid w:val="005F1EF8"/>
    <w:rsid w:val="005F207A"/>
    <w:rsid w:val="005F267F"/>
    <w:rsid w:val="005F273B"/>
    <w:rsid w:val="005F2E77"/>
    <w:rsid w:val="005F2F72"/>
    <w:rsid w:val="005F2FB4"/>
    <w:rsid w:val="005F351F"/>
    <w:rsid w:val="005F362C"/>
    <w:rsid w:val="005F36B6"/>
    <w:rsid w:val="005F36C6"/>
    <w:rsid w:val="005F371F"/>
    <w:rsid w:val="005F37EF"/>
    <w:rsid w:val="005F392A"/>
    <w:rsid w:val="005F3C3B"/>
    <w:rsid w:val="005F40CE"/>
    <w:rsid w:val="005F4752"/>
    <w:rsid w:val="005F4797"/>
    <w:rsid w:val="005F4B1C"/>
    <w:rsid w:val="005F4CF2"/>
    <w:rsid w:val="005F4E92"/>
    <w:rsid w:val="005F4F2D"/>
    <w:rsid w:val="005F4F84"/>
    <w:rsid w:val="005F515F"/>
    <w:rsid w:val="005F5201"/>
    <w:rsid w:val="005F528B"/>
    <w:rsid w:val="005F538A"/>
    <w:rsid w:val="005F539F"/>
    <w:rsid w:val="005F56FD"/>
    <w:rsid w:val="005F5711"/>
    <w:rsid w:val="005F5B97"/>
    <w:rsid w:val="005F5C6D"/>
    <w:rsid w:val="005F5FCE"/>
    <w:rsid w:val="005F60B5"/>
    <w:rsid w:val="005F6187"/>
    <w:rsid w:val="005F658D"/>
    <w:rsid w:val="005F6722"/>
    <w:rsid w:val="005F6825"/>
    <w:rsid w:val="005F685E"/>
    <w:rsid w:val="005F68F9"/>
    <w:rsid w:val="005F6912"/>
    <w:rsid w:val="005F6A73"/>
    <w:rsid w:val="005F6BFD"/>
    <w:rsid w:val="005F6D29"/>
    <w:rsid w:val="005F6D37"/>
    <w:rsid w:val="005F6E0E"/>
    <w:rsid w:val="005F6E5B"/>
    <w:rsid w:val="005F6F43"/>
    <w:rsid w:val="005F7185"/>
    <w:rsid w:val="005F7262"/>
    <w:rsid w:val="005F72C0"/>
    <w:rsid w:val="005F744C"/>
    <w:rsid w:val="005F79C6"/>
    <w:rsid w:val="005F7BC4"/>
    <w:rsid w:val="005F7CE0"/>
    <w:rsid w:val="005F7EFE"/>
    <w:rsid w:val="0060022A"/>
    <w:rsid w:val="00600451"/>
    <w:rsid w:val="00600679"/>
    <w:rsid w:val="0060094F"/>
    <w:rsid w:val="0060097B"/>
    <w:rsid w:val="00600A2A"/>
    <w:rsid w:val="00600E7F"/>
    <w:rsid w:val="00601128"/>
    <w:rsid w:val="00601180"/>
    <w:rsid w:val="00601318"/>
    <w:rsid w:val="00601489"/>
    <w:rsid w:val="00601925"/>
    <w:rsid w:val="00601D6B"/>
    <w:rsid w:val="00602203"/>
    <w:rsid w:val="006022D5"/>
    <w:rsid w:val="00602431"/>
    <w:rsid w:val="0060285B"/>
    <w:rsid w:val="00602B07"/>
    <w:rsid w:val="00602BB2"/>
    <w:rsid w:val="00602EF3"/>
    <w:rsid w:val="00602FA3"/>
    <w:rsid w:val="00603202"/>
    <w:rsid w:val="00603534"/>
    <w:rsid w:val="00603B96"/>
    <w:rsid w:val="00603D44"/>
    <w:rsid w:val="00603D63"/>
    <w:rsid w:val="00603D8B"/>
    <w:rsid w:val="00603FD1"/>
    <w:rsid w:val="006040D0"/>
    <w:rsid w:val="00604107"/>
    <w:rsid w:val="006049EB"/>
    <w:rsid w:val="00604B4C"/>
    <w:rsid w:val="00604B64"/>
    <w:rsid w:val="00604C11"/>
    <w:rsid w:val="00604C83"/>
    <w:rsid w:val="00604D76"/>
    <w:rsid w:val="006050AF"/>
    <w:rsid w:val="00605310"/>
    <w:rsid w:val="0060539F"/>
    <w:rsid w:val="0060573E"/>
    <w:rsid w:val="00605E64"/>
    <w:rsid w:val="0060606D"/>
    <w:rsid w:val="0060623C"/>
    <w:rsid w:val="00606280"/>
    <w:rsid w:val="006062DB"/>
    <w:rsid w:val="00606B7B"/>
    <w:rsid w:val="00606D47"/>
    <w:rsid w:val="00606FBF"/>
    <w:rsid w:val="00606FE8"/>
    <w:rsid w:val="0060702A"/>
    <w:rsid w:val="00607374"/>
    <w:rsid w:val="0060744D"/>
    <w:rsid w:val="006075E2"/>
    <w:rsid w:val="0060775D"/>
    <w:rsid w:val="0060776F"/>
    <w:rsid w:val="00607B75"/>
    <w:rsid w:val="00607BAF"/>
    <w:rsid w:val="00610304"/>
    <w:rsid w:val="00610326"/>
    <w:rsid w:val="00610412"/>
    <w:rsid w:val="00610441"/>
    <w:rsid w:val="0061058A"/>
    <w:rsid w:val="00610E3B"/>
    <w:rsid w:val="00610EC6"/>
    <w:rsid w:val="00611029"/>
    <w:rsid w:val="00611083"/>
    <w:rsid w:val="006117D1"/>
    <w:rsid w:val="00611CD5"/>
    <w:rsid w:val="00611EE7"/>
    <w:rsid w:val="00612018"/>
    <w:rsid w:val="006120DE"/>
    <w:rsid w:val="006123BC"/>
    <w:rsid w:val="0061245E"/>
    <w:rsid w:val="00612B98"/>
    <w:rsid w:val="00612DDF"/>
    <w:rsid w:val="00612DF8"/>
    <w:rsid w:val="00613086"/>
    <w:rsid w:val="00613721"/>
    <w:rsid w:val="00613801"/>
    <w:rsid w:val="0061384B"/>
    <w:rsid w:val="0061426D"/>
    <w:rsid w:val="0061434D"/>
    <w:rsid w:val="0061489D"/>
    <w:rsid w:val="0061498C"/>
    <w:rsid w:val="006149BE"/>
    <w:rsid w:val="006149D0"/>
    <w:rsid w:val="00614A8B"/>
    <w:rsid w:val="00614C64"/>
    <w:rsid w:val="00614D31"/>
    <w:rsid w:val="006150A2"/>
    <w:rsid w:val="00615443"/>
    <w:rsid w:val="006155FE"/>
    <w:rsid w:val="00615680"/>
    <w:rsid w:val="0061591C"/>
    <w:rsid w:val="00615B53"/>
    <w:rsid w:val="00615D6E"/>
    <w:rsid w:val="00616014"/>
    <w:rsid w:val="006161DD"/>
    <w:rsid w:val="006163FE"/>
    <w:rsid w:val="006165C2"/>
    <w:rsid w:val="00616D55"/>
    <w:rsid w:val="00616DAC"/>
    <w:rsid w:val="006171DA"/>
    <w:rsid w:val="0061750C"/>
    <w:rsid w:val="00617598"/>
    <w:rsid w:val="00617648"/>
    <w:rsid w:val="00617969"/>
    <w:rsid w:val="00617CB3"/>
    <w:rsid w:val="00620091"/>
    <w:rsid w:val="006200D9"/>
    <w:rsid w:val="00620106"/>
    <w:rsid w:val="006203F8"/>
    <w:rsid w:val="006205E2"/>
    <w:rsid w:val="00620654"/>
    <w:rsid w:val="00620844"/>
    <w:rsid w:val="00620BEE"/>
    <w:rsid w:val="00620C8F"/>
    <w:rsid w:val="00620FC5"/>
    <w:rsid w:val="0062104A"/>
    <w:rsid w:val="00621157"/>
    <w:rsid w:val="0062150C"/>
    <w:rsid w:val="00621600"/>
    <w:rsid w:val="00621CD3"/>
    <w:rsid w:val="00621D1B"/>
    <w:rsid w:val="00621FFA"/>
    <w:rsid w:val="0062209D"/>
    <w:rsid w:val="00622144"/>
    <w:rsid w:val="00622219"/>
    <w:rsid w:val="00622433"/>
    <w:rsid w:val="00622649"/>
    <w:rsid w:val="00622734"/>
    <w:rsid w:val="006227D9"/>
    <w:rsid w:val="00622B00"/>
    <w:rsid w:val="00622DCF"/>
    <w:rsid w:val="00622E93"/>
    <w:rsid w:val="00622EB8"/>
    <w:rsid w:val="00622F05"/>
    <w:rsid w:val="00622F2E"/>
    <w:rsid w:val="006236DD"/>
    <w:rsid w:val="006239B7"/>
    <w:rsid w:val="00623A46"/>
    <w:rsid w:val="00623CD9"/>
    <w:rsid w:val="00624142"/>
    <w:rsid w:val="00624404"/>
    <w:rsid w:val="006244F8"/>
    <w:rsid w:val="0062467E"/>
    <w:rsid w:val="00624A53"/>
    <w:rsid w:val="00624ECB"/>
    <w:rsid w:val="00624F2A"/>
    <w:rsid w:val="00624FD3"/>
    <w:rsid w:val="0062503B"/>
    <w:rsid w:val="006251C2"/>
    <w:rsid w:val="00625456"/>
    <w:rsid w:val="006256A5"/>
    <w:rsid w:val="00625748"/>
    <w:rsid w:val="006257A0"/>
    <w:rsid w:val="00625B46"/>
    <w:rsid w:val="00625B55"/>
    <w:rsid w:val="00625D4F"/>
    <w:rsid w:val="00625DCF"/>
    <w:rsid w:val="00625F2D"/>
    <w:rsid w:val="0062601E"/>
    <w:rsid w:val="00626361"/>
    <w:rsid w:val="0062648A"/>
    <w:rsid w:val="006266AA"/>
    <w:rsid w:val="0062671A"/>
    <w:rsid w:val="00626745"/>
    <w:rsid w:val="0062683D"/>
    <w:rsid w:val="0062685D"/>
    <w:rsid w:val="00626924"/>
    <w:rsid w:val="006269BC"/>
    <w:rsid w:val="00626AF4"/>
    <w:rsid w:val="00626C21"/>
    <w:rsid w:val="00627035"/>
    <w:rsid w:val="0062718A"/>
    <w:rsid w:val="00627192"/>
    <w:rsid w:val="00627614"/>
    <w:rsid w:val="006277DE"/>
    <w:rsid w:val="0062786B"/>
    <w:rsid w:val="00627BF1"/>
    <w:rsid w:val="00627F93"/>
    <w:rsid w:val="00630042"/>
    <w:rsid w:val="006301B2"/>
    <w:rsid w:val="0063070F"/>
    <w:rsid w:val="006308F1"/>
    <w:rsid w:val="00630B96"/>
    <w:rsid w:val="00631048"/>
    <w:rsid w:val="0063106B"/>
    <w:rsid w:val="006311E7"/>
    <w:rsid w:val="006316DA"/>
    <w:rsid w:val="006317E2"/>
    <w:rsid w:val="006318C5"/>
    <w:rsid w:val="00631F8B"/>
    <w:rsid w:val="006324B5"/>
    <w:rsid w:val="00632526"/>
    <w:rsid w:val="006329DB"/>
    <w:rsid w:val="00632A81"/>
    <w:rsid w:val="0063304C"/>
    <w:rsid w:val="00633064"/>
    <w:rsid w:val="006333EE"/>
    <w:rsid w:val="00633684"/>
    <w:rsid w:val="006338DC"/>
    <w:rsid w:val="00634111"/>
    <w:rsid w:val="0063456F"/>
    <w:rsid w:val="00634763"/>
    <w:rsid w:val="00634923"/>
    <w:rsid w:val="0063498E"/>
    <w:rsid w:val="00634E97"/>
    <w:rsid w:val="006352F1"/>
    <w:rsid w:val="006353EB"/>
    <w:rsid w:val="0063579B"/>
    <w:rsid w:val="006357EC"/>
    <w:rsid w:val="006358F2"/>
    <w:rsid w:val="00635C6C"/>
    <w:rsid w:val="00635D55"/>
    <w:rsid w:val="00635F0C"/>
    <w:rsid w:val="00636275"/>
    <w:rsid w:val="006363D5"/>
    <w:rsid w:val="00636496"/>
    <w:rsid w:val="0063670D"/>
    <w:rsid w:val="00636828"/>
    <w:rsid w:val="006368BD"/>
    <w:rsid w:val="0063690C"/>
    <w:rsid w:val="00636982"/>
    <w:rsid w:val="006369DE"/>
    <w:rsid w:val="00636B32"/>
    <w:rsid w:val="00636DC1"/>
    <w:rsid w:val="00636EF4"/>
    <w:rsid w:val="00636F0D"/>
    <w:rsid w:val="00637304"/>
    <w:rsid w:val="00637444"/>
    <w:rsid w:val="0063761D"/>
    <w:rsid w:val="00637873"/>
    <w:rsid w:val="00637A5E"/>
    <w:rsid w:val="00637B8A"/>
    <w:rsid w:val="00637D3A"/>
    <w:rsid w:val="00637E7F"/>
    <w:rsid w:val="00640048"/>
    <w:rsid w:val="0064020F"/>
    <w:rsid w:val="006405A4"/>
    <w:rsid w:val="006406A5"/>
    <w:rsid w:val="006407E0"/>
    <w:rsid w:val="00640A43"/>
    <w:rsid w:val="00640B71"/>
    <w:rsid w:val="00640BB0"/>
    <w:rsid w:val="00640CDF"/>
    <w:rsid w:val="00641235"/>
    <w:rsid w:val="00641510"/>
    <w:rsid w:val="006415A3"/>
    <w:rsid w:val="006416AA"/>
    <w:rsid w:val="00641719"/>
    <w:rsid w:val="00641922"/>
    <w:rsid w:val="00642162"/>
    <w:rsid w:val="00642467"/>
    <w:rsid w:val="00642950"/>
    <w:rsid w:val="00642964"/>
    <w:rsid w:val="00642B2C"/>
    <w:rsid w:val="00642BB7"/>
    <w:rsid w:val="00642C50"/>
    <w:rsid w:val="00642E9E"/>
    <w:rsid w:val="00642F78"/>
    <w:rsid w:val="0064314D"/>
    <w:rsid w:val="006433FF"/>
    <w:rsid w:val="006435B5"/>
    <w:rsid w:val="0064361A"/>
    <w:rsid w:val="006439D8"/>
    <w:rsid w:val="00643B7D"/>
    <w:rsid w:val="00643F92"/>
    <w:rsid w:val="00643FBF"/>
    <w:rsid w:val="00644004"/>
    <w:rsid w:val="006447CA"/>
    <w:rsid w:val="00644F36"/>
    <w:rsid w:val="006450B3"/>
    <w:rsid w:val="0064517A"/>
    <w:rsid w:val="00645225"/>
    <w:rsid w:val="006458E5"/>
    <w:rsid w:val="00645907"/>
    <w:rsid w:val="00645C63"/>
    <w:rsid w:val="00645D10"/>
    <w:rsid w:val="00645F4B"/>
    <w:rsid w:val="00645F67"/>
    <w:rsid w:val="006462E1"/>
    <w:rsid w:val="00646505"/>
    <w:rsid w:val="00646856"/>
    <w:rsid w:val="00646C3F"/>
    <w:rsid w:val="00646C83"/>
    <w:rsid w:val="00646D64"/>
    <w:rsid w:val="00646DFE"/>
    <w:rsid w:val="00647174"/>
    <w:rsid w:val="00647777"/>
    <w:rsid w:val="0064779F"/>
    <w:rsid w:val="0064789D"/>
    <w:rsid w:val="00647BB5"/>
    <w:rsid w:val="00647C4A"/>
    <w:rsid w:val="00647D66"/>
    <w:rsid w:val="00647F5C"/>
    <w:rsid w:val="00650107"/>
    <w:rsid w:val="0065012F"/>
    <w:rsid w:val="006502D0"/>
    <w:rsid w:val="00650AA2"/>
    <w:rsid w:val="00650C39"/>
    <w:rsid w:val="00650E23"/>
    <w:rsid w:val="00651390"/>
    <w:rsid w:val="0065166C"/>
    <w:rsid w:val="00651723"/>
    <w:rsid w:val="006517E4"/>
    <w:rsid w:val="00651F3B"/>
    <w:rsid w:val="00651FE4"/>
    <w:rsid w:val="00652019"/>
    <w:rsid w:val="006523A0"/>
    <w:rsid w:val="00652459"/>
    <w:rsid w:val="00652857"/>
    <w:rsid w:val="00652872"/>
    <w:rsid w:val="00652931"/>
    <w:rsid w:val="00652991"/>
    <w:rsid w:val="00652A8F"/>
    <w:rsid w:val="00652ABC"/>
    <w:rsid w:val="00652BDF"/>
    <w:rsid w:val="0065315C"/>
    <w:rsid w:val="0065341D"/>
    <w:rsid w:val="006539C6"/>
    <w:rsid w:val="0065427A"/>
    <w:rsid w:val="006544BC"/>
    <w:rsid w:val="006544BD"/>
    <w:rsid w:val="006549C0"/>
    <w:rsid w:val="00654BD4"/>
    <w:rsid w:val="00654D9E"/>
    <w:rsid w:val="00654FDE"/>
    <w:rsid w:val="00655924"/>
    <w:rsid w:val="00655B86"/>
    <w:rsid w:val="00655C37"/>
    <w:rsid w:val="0065626E"/>
    <w:rsid w:val="0065627A"/>
    <w:rsid w:val="006562FF"/>
    <w:rsid w:val="00656C7C"/>
    <w:rsid w:val="00656E6F"/>
    <w:rsid w:val="0065711B"/>
    <w:rsid w:val="00657227"/>
    <w:rsid w:val="00657452"/>
    <w:rsid w:val="00657539"/>
    <w:rsid w:val="0065764A"/>
    <w:rsid w:val="00657677"/>
    <w:rsid w:val="006576F0"/>
    <w:rsid w:val="00657989"/>
    <w:rsid w:val="006579B2"/>
    <w:rsid w:val="00657B55"/>
    <w:rsid w:val="00657C39"/>
    <w:rsid w:val="00660134"/>
    <w:rsid w:val="0066027E"/>
    <w:rsid w:val="00660C1E"/>
    <w:rsid w:val="00660DDA"/>
    <w:rsid w:val="00660E84"/>
    <w:rsid w:val="00660F44"/>
    <w:rsid w:val="006611DE"/>
    <w:rsid w:val="0066137F"/>
    <w:rsid w:val="006614B9"/>
    <w:rsid w:val="006615AA"/>
    <w:rsid w:val="006615F7"/>
    <w:rsid w:val="00661736"/>
    <w:rsid w:val="00661A78"/>
    <w:rsid w:val="00661B7B"/>
    <w:rsid w:val="00661D8B"/>
    <w:rsid w:val="00662361"/>
    <w:rsid w:val="00662521"/>
    <w:rsid w:val="0066258F"/>
    <w:rsid w:val="00662675"/>
    <w:rsid w:val="00662D9B"/>
    <w:rsid w:val="00662DC0"/>
    <w:rsid w:val="00663568"/>
    <w:rsid w:val="006636E5"/>
    <w:rsid w:val="00663960"/>
    <w:rsid w:val="00663D40"/>
    <w:rsid w:val="00663DA7"/>
    <w:rsid w:val="00663F7B"/>
    <w:rsid w:val="006640B8"/>
    <w:rsid w:val="00664158"/>
    <w:rsid w:val="006643BC"/>
    <w:rsid w:val="00664850"/>
    <w:rsid w:val="00665A2E"/>
    <w:rsid w:val="00665D27"/>
    <w:rsid w:val="00665D97"/>
    <w:rsid w:val="00665DCF"/>
    <w:rsid w:val="00665E8D"/>
    <w:rsid w:val="00666283"/>
    <w:rsid w:val="0066667A"/>
    <w:rsid w:val="006668D1"/>
    <w:rsid w:val="006668EF"/>
    <w:rsid w:val="00666C77"/>
    <w:rsid w:val="00666E35"/>
    <w:rsid w:val="00666E4B"/>
    <w:rsid w:val="00666F62"/>
    <w:rsid w:val="00666F8D"/>
    <w:rsid w:val="0066715E"/>
    <w:rsid w:val="00667170"/>
    <w:rsid w:val="006679B8"/>
    <w:rsid w:val="00667ED0"/>
    <w:rsid w:val="00667F1C"/>
    <w:rsid w:val="00670160"/>
    <w:rsid w:val="006701EA"/>
    <w:rsid w:val="006708D1"/>
    <w:rsid w:val="00670927"/>
    <w:rsid w:val="00670962"/>
    <w:rsid w:val="006709C1"/>
    <w:rsid w:val="00670D02"/>
    <w:rsid w:val="00671294"/>
    <w:rsid w:val="006714DB"/>
    <w:rsid w:val="00671723"/>
    <w:rsid w:val="0067176D"/>
    <w:rsid w:val="0067195D"/>
    <w:rsid w:val="006719A4"/>
    <w:rsid w:val="00671CAA"/>
    <w:rsid w:val="00671CE2"/>
    <w:rsid w:val="00672064"/>
    <w:rsid w:val="00672FF0"/>
    <w:rsid w:val="00673381"/>
    <w:rsid w:val="006733A8"/>
    <w:rsid w:val="00673408"/>
    <w:rsid w:val="00673843"/>
    <w:rsid w:val="0067388E"/>
    <w:rsid w:val="0067399B"/>
    <w:rsid w:val="00673B01"/>
    <w:rsid w:val="00673BED"/>
    <w:rsid w:val="00673E06"/>
    <w:rsid w:val="00673E28"/>
    <w:rsid w:val="00673FC2"/>
    <w:rsid w:val="0067409C"/>
    <w:rsid w:val="00674429"/>
    <w:rsid w:val="0067467E"/>
    <w:rsid w:val="00674ADE"/>
    <w:rsid w:val="00674C93"/>
    <w:rsid w:val="00674F7F"/>
    <w:rsid w:val="00675528"/>
    <w:rsid w:val="0067562E"/>
    <w:rsid w:val="00675808"/>
    <w:rsid w:val="00675867"/>
    <w:rsid w:val="006759B5"/>
    <w:rsid w:val="00675A5A"/>
    <w:rsid w:val="00675AB0"/>
    <w:rsid w:val="00676487"/>
    <w:rsid w:val="0067665B"/>
    <w:rsid w:val="0067691E"/>
    <w:rsid w:val="00676A42"/>
    <w:rsid w:val="00676B81"/>
    <w:rsid w:val="00676BED"/>
    <w:rsid w:val="00676C17"/>
    <w:rsid w:val="00676CAC"/>
    <w:rsid w:val="00676DA5"/>
    <w:rsid w:val="006770C2"/>
    <w:rsid w:val="006770CD"/>
    <w:rsid w:val="00677256"/>
    <w:rsid w:val="006775E1"/>
    <w:rsid w:val="0067795A"/>
    <w:rsid w:val="0067796E"/>
    <w:rsid w:val="00677ABA"/>
    <w:rsid w:val="00677E95"/>
    <w:rsid w:val="00680038"/>
    <w:rsid w:val="0068018A"/>
    <w:rsid w:val="00680395"/>
    <w:rsid w:val="006803EF"/>
    <w:rsid w:val="00680794"/>
    <w:rsid w:val="0068083E"/>
    <w:rsid w:val="00680A09"/>
    <w:rsid w:val="00680A85"/>
    <w:rsid w:val="00680B95"/>
    <w:rsid w:val="00680C44"/>
    <w:rsid w:val="00680C55"/>
    <w:rsid w:val="00680CE1"/>
    <w:rsid w:val="00680D3C"/>
    <w:rsid w:val="00680F26"/>
    <w:rsid w:val="00680F63"/>
    <w:rsid w:val="00680FA2"/>
    <w:rsid w:val="00681038"/>
    <w:rsid w:val="006813F3"/>
    <w:rsid w:val="0068153D"/>
    <w:rsid w:val="0068162C"/>
    <w:rsid w:val="00681735"/>
    <w:rsid w:val="00681A64"/>
    <w:rsid w:val="00681EC3"/>
    <w:rsid w:val="00681F53"/>
    <w:rsid w:val="006821E0"/>
    <w:rsid w:val="0068248B"/>
    <w:rsid w:val="006824F1"/>
    <w:rsid w:val="0068257C"/>
    <w:rsid w:val="00682783"/>
    <w:rsid w:val="006827A3"/>
    <w:rsid w:val="00682872"/>
    <w:rsid w:val="00682987"/>
    <w:rsid w:val="006829FD"/>
    <w:rsid w:val="00682A88"/>
    <w:rsid w:val="00682B0A"/>
    <w:rsid w:val="00682FC6"/>
    <w:rsid w:val="00683425"/>
    <w:rsid w:val="006835C6"/>
    <w:rsid w:val="00683630"/>
    <w:rsid w:val="006837D0"/>
    <w:rsid w:val="00683861"/>
    <w:rsid w:val="006842EA"/>
    <w:rsid w:val="006849A2"/>
    <w:rsid w:val="00685543"/>
    <w:rsid w:val="00685927"/>
    <w:rsid w:val="00685D53"/>
    <w:rsid w:val="00685D62"/>
    <w:rsid w:val="00685F86"/>
    <w:rsid w:val="00686394"/>
    <w:rsid w:val="006863C0"/>
    <w:rsid w:val="00686463"/>
    <w:rsid w:val="00686533"/>
    <w:rsid w:val="00686850"/>
    <w:rsid w:val="00686EEA"/>
    <w:rsid w:val="0068709B"/>
    <w:rsid w:val="00687353"/>
    <w:rsid w:val="00687479"/>
    <w:rsid w:val="006874F0"/>
    <w:rsid w:val="00687542"/>
    <w:rsid w:val="00687AB4"/>
    <w:rsid w:val="00687B2D"/>
    <w:rsid w:val="00687C23"/>
    <w:rsid w:val="00687D4A"/>
    <w:rsid w:val="00687FA4"/>
    <w:rsid w:val="00687FF6"/>
    <w:rsid w:val="006900B2"/>
    <w:rsid w:val="006900CD"/>
    <w:rsid w:val="00690430"/>
    <w:rsid w:val="006904F8"/>
    <w:rsid w:val="006905AE"/>
    <w:rsid w:val="00690921"/>
    <w:rsid w:val="00690DA9"/>
    <w:rsid w:val="00690EF3"/>
    <w:rsid w:val="00691396"/>
    <w:rsid w:val="0069175F"/>
    <w:rsid w:val="0069179B"/>
    <w:rsid w:val="00691844"/>
    <w:rsid w:val="00691EF6"/>
    <w:rsid w:val="006920D0"/>
    <w:rsid w:val="00692207"/>
    <w:rsid w:val="00692316"/>
    <w:rsid w:val="0069242A"/>
    <w:rsid w:val="006926BB"/>
    <w:rsid w:val="00692DDD"/>
    <w:rsid w:val="00693151"/>
    <w:rsid w:val="006933BE"/>
    <w:rsid w:val="006933DF"/>
    <w:rsid w:val="006934E4"/>
    <w:rsid w:val="006934E8"/>
    <w:rsid w:val="006939D9"/>
    <w:rsid w:val="006939E7"/>
    <w:rsid w:val="00693CF3"/>
    <w:rsid w:val="00694452"/>
    <w:rsid w:val="00694563"/>
    <w:rsid w:val="006945B6"/>
    <w:rsid w:val="00694642"/>
    <w:rsid w:val="0069464E"/>
    <w:rsid w:val="00694881"/>
    <w:rsid w:val="006948C2"/>
    <w:rsid w:val="00694CCB"/>
    <w:rsid w:val="00694D72"/>
    <w:rsid w:val="00694E34"/>
    <w:rsid w:val="00694E64"/>
    <w:rsid w:val="00695737"/>
    <w:rsid w:val="00695C43"/>
    <w:rsid w:val="006960F7"/>
    <w:rsid w:val="0069612D"/>
    <w:rsid w:val="006961DC"/>
    <w:rsid w:val="0069666C"/>
    <w:rsid w:val="0069670E"/>
    <w:rsid w:val="0069682A"/>
    <w:rsid w:val="0069699E"/>
    <w:rsid w:val="00696BB4"/>
    <w:rsid w:val="00696CA0"/>
    <w:rsid w:val="00696E0C"/>
    <w:rsid w:val="0069718A"/>
    <w:rsid w:val="006971CB"/>
    <w:rsid w:val="006974CE"/>
    <w:rsid w:val="006976F0"/>
    <w:rsid w:val="0069790D"/>
    <w:rsid w:val="00697D8B"/>
    <w:rsid w:val="00697DA1"/>
    <w:rsid w:val="00697DCE"/>
    <w:rsid w:val="00697E39"/>
    <w:rsid w:val="006A011A"/>
    <w:rsid w:val="006A017A"/>
    <w:rsid w:val="006A0312"/>
    <w:rsid w:val="006A0879"/>
    <w:rsid w:val="006A0AB2"/>
    <w:rsid w:val="006A0C59"/>
    <w:rsid w:val="006A0FFC"/>
    <w:rsid w:val="006A1296"/>
    <w:rsid w:val="006A12E4"/>
    <w:rsid w:val="006A1565"/>
    <w:rsid w:val="006A159E"/>
    <w:rsid w:val="006A162F"/>
    <w:rsid w:val="006A165F"/>
    <w:rsid w:val="006A1762"/>
    <w:rsid w:val="006A17F1"/>
    <w:rsid w:val="006A18F8"/>
    <w:rsid w:val="006A1B2A"/>
    <w:rsid w:val="006A1B95"/>
    <w:rsid w:val="006A1F10"/>
    <w:rsid w:val="006A2237"/>
    <w:rsid w:val="006A22C8"/>
    <w:rsid w:val="006A22F3"/>
    <w:rsid w:val="006A250A"/>
    <w:rsid w:val="006A251D"/>
    <w:rsid w:val="006A25C8"/>
    <w:rsid w:val="006A2AA7"/>
    <w:rsid w:val="006A2D0F"/>
    <w:rsid w:val="006A32DA"/>
    <w:rsid w:val="006A32DF"/>
    <w:rsid w:val="006A33E0"/>
    <w:rsid w:val="006A34AF"/>
    <w:rsid w:val="006A34E0"/>
    <w:rsid w:val="006A350E"/>
    <w:rsid w:val="006A3579"/>
    <w:rsid w:val="006A3A4E"/>
    <w:rsid w:val="006A3AF8"/>
    <w:rsid w:val="006A3CC4"/>
    <w:rsid w:val="006A3DAE"/>
    <w:rsid w:val="006A3E19"/>
    <w:rsid w:val="006A3EF6"/>
    <w:rsid w:val="006A3FE0"/>
    <w:rsid w:val="006A41DE"/>
    <w:rsid w:val="006A43EC"/>
    <w:rsid w:val="006A4559"/>
    <w:rsid w:val="006A4592"/>
    <w:rsid w:val="006A45C9"/>
    <w:rsid w:val="006A4709"/>
    <w:rsid w:val="006A48CA"/>
    <w:rsid w:val="006A4D4A"/>
    <w:rsid w:val="006A5152"/>
    <w:rsid w:val="006A52BF"/>
    <w:rsid w:val="006A53E7"/>
    <w:rsid w:val="006A5735"/>
    <w:rsid w:val="006A57C6"/>
    <w:rsid w:val="006A594E"/>
    <w:rsid w:val="006A5DBE"/>
    <w:rsid w:val="006A5E7A"/>
    <w:rsid w:val="006A5F18"/>
    <w:rsid w:val="006A5FF7"/>
    <w:rsid w:val="006A621D"/>
    <w:rsid w:val="006A6659"/>
    <w:rsid w:val="006A6946"/>
    <w:rsid w:val="006A69C4"/>
    <w:rsid w:val="006A6A31"/>
    <w:rsid w:val="006A6B8D"/>
    <w:rsid w:val="006A6BC5"/>
    <w:rsid w:val="006A6BE0"/>
    <w:rsid w:val="006A6D96"/>
    <w:rsid w:val="006A6E16"/>
    <w:rsid w:val="006A6EC6"/>
    <w:rsid w:val="006A6FE4"/>
    <w:rsid w:val="006A713F"/>
    <w:rsid w:val="006A7773"/>
    <w:rsid w:val="006A7872"/>
    <w:rsid w:val="006A7879"/>
    <w:rsid w:val="006A7905"/>
    <w:rsid w:val="006A7B44"/>
    <w:rsid w:val="006A7C15"/>
    <w:rsid w:val="006A7E9B"/>
    <w:rsid w:val="006B0012"/>
    <w:rsid w:val="006B0054"/>
    <w:rsid w:val="006B0169"/>
    <w:rsid w:val="006B049F"/>
    <w:rsid w:val="006B08D3"/>
    <w:rsid w:val="006B0BA4"/>
    <w:rsid w:val="006B0BBC"/>
    <w:rsid w:val="006B1463"/>
    <w:rsid w:val="006B15E3"/>
    <w:rsid w:val="006B189B"/>
    <w:rsid w:val="006B1997"/>
    <w:rsid w:val="006B19C8"/>
    <w:rsid w:val="006B1B50"/>
    <w:rsid w:val="006B1D69"/>
    <w:rsid w:val="006B1DF8"/>
    <w:rsid w:val="006B1EE1"/>
    <w:rsid w:val="006B1F13"/>
    <w:rsid w:val="006B1FE2"/>
    <w:rsid w:val="006B21AD"/>
    <w:rsid w:val="006B2717"/>
    <w:rsid w:val="006B285D"/>
    <w:rsid w:val="006B2A42"/>
    <w:rsid w:val="006B2BBA"/>
    <w:rsid w:val="006B2C3F"/>
    <w:rsid w:val="006B2D40"/>
    <w:rsid w:val="006B3027"/>
    <w:rsid w:val="006B31B6"/>
    <w:rsid w:val="006B366E"/>
    <w:rsid w:val="006B367F"/>
    <w:rsid w:val="006B3691"/>
    <w:rsid w:val="006B3770"/>
    <w:rsid w:val="006B39F0"/>
    <w:rsid w:val="006B3C59"/>
    <w:rsid w:val="006B3C87"/>
    <w:rsid w:val="006B3CA0"/>
    <w:rsid w:val="006B3CE8"/>
    <w:rsid w:val="006B3E1F"/>
    <w:rsid w:val="006B3F0B"/>
    <w:rsid w:val="006B42CC"/>
    <w:rsid w:val="006B4631"/>
    <w:rsid w:val="006B46E4"/>
    <w:rsid w:val="006B4A29"/>
    <w:rsid w:val="006B4A4E"/>
    <w:rsid w:val="006B4A9A"/>
    <w:rsid w:val="006B4B29"/>
    <w:rsid w:val="006B4C37"/>
    <w:rsid w:val="006B4C7C"/>
    <w:rsid w:val="006B4D03"/>
    <w:rsid w:val="006B4D5E"/>
    <w:rsid w:val="006B4D65"/>
    <w:rsid w:val="006B4E24"/>
    <w:rsid w:val="006B4EFB"/>
    <w:rsid w:val="006B539D"/>
    <w:rsid w:val="006B53F1"/>
    <w:rsid w:val="006B5534"/>
    <w:rsid w:val="006B5581"/>
    <w:rsid w:val="006B5D8A"/>
    <w:rsid w:val="006B5DC3"/>
    <w:rsid w:val="006B5E37"/>
    <w:rsid w:val="006B5F1D"/>
    <w:rsid w:val="006B61C5"/>
    <w:rsid w:val="006B66F7"/>
    <w:rsid w:val="006B694D"/>
    <w:rsid w:val="006B6B9C"/>
    <w:rsid w:val="006B6C27"/>
    <w:rsid w:val="006B6CAA"/>
    <w:rsid w:val="006B6FC5"/>
    <w:rsid w:val="006B6FD9"/>
    <w:rsid w:val="006B711F"/>
    <w:rsid w:val="006B7339"/>
    <w:rsid w:val="006B743F"/>
    <w:rsid w:val="006B7533"/>
    <w:rsid w:val="006B78B2"/>
    <w:rsid w:val="006B79CA"/>
    <w:rsid w:val="006B7CFB"/>
    <w:rsid w:val="006B7E15"/>
    <w:rsid w:val="006B7F6C"/>
    <w:rsid w:val="006C0337"/>
    <w:rsid w:val="006C089B"/>
    <w:rsid w:val="006C09BC"/>
    <w:rsid w:val="006C0A24"/>
    <w:rsid w:val="006C0AA7"/>
    <w:rsid w:val="006C0C8C"/>
    <w:rsid w:val="006C0F4A"/>
    <w:rsid w:val="006C0FFA"/>
    <w:rsid w:val="006C12A6"/>
    <w:rsid w:val="006C12D8"/>
    <w:rsid w:val="006C1514"/>
    <w:rsid w:val="006C151C"/>
    <w:rsid w:val="006C178F"/>
    <w:rsid w:val="006C187D"/>
    <w:rsid w:val="006C18CD"/>
    <w:rsid w:val="006C1BA1"/>
    <w:rsid w:val="006C1E47"/>
    <w:rsid w:val="006C204F"/>
    <w:rsid w:val="006C2364"/>
    <w:rsid w:val="006C274C"/>
    <w:rsid w:val="006C2786"/>
    <w:rsid w:val="006C2BFF"/>
    <w:rsid w:val="006C30B0"/>
    <w:rsid w:val="006C37EA"/>
    <w:rsid w:val="006C39BD"/>
    <w:rsid w:val="006C3D36"/>
    <w:rsid w:val="006C40DB"/>
    <w:rsid w:val="006C4121"/>
    <w:rsid w:val="006C4257"/>
    <w:rsid w:val="006C429B"/>
    <w:rsid w:val="006C44B0"/>
    <w:rsid w:val="006C493C"/>
    <w:rsid w:val="006C4E78"/>
    <w:rsid w:val="006C4F04"/>
    <w:rsid w:val="006C4FD5"/>
    <w:rsid w:val="006C5004"/>
    <w:rsid w:val="006C5008"/>
    <w:rsid w:val="006C51D1"/>
    <w:rsid w:val="006C5710"/>
    <w:rsid w:val="006C576B"/>
    <w:rsid w:val="006C58E6"/>
    <w:rsid w:val="006C599A"/>
    <w:rsid w:val="006C5CB1"/>
    <w:rsid w:val="006C5D55"/>
    <w:rsid w:val="006C606B"/>
    <w:rsid w:val="006C622B"/>
    <w:rsid w:val="006C6246"/>
    <w:rsid w:val="006C63EA"/>
    <w:rsid w:val="006C65D0"/>
    <w:rsid w:val="006C671F"/>
    <w:rsid w:val="006C68D3"/>
    <w:rsid w:val="006C6D3B"/>
    <w:rsid w:val="006C7311"/>
    <w:rsid w:val="006C737C"/>
    <w:rsid w:val="006C73D0"/>
    <w:rsid w:val="006C74FC"/>
    <w:rsid w:val="006C7629"/>
    <w:rsid w:val="006C7954"/>
    <w:rsid w:val="006C7B7D"/>
    <w:rsid w:val="006C7D5B"/>
    <w:rsid w:val="006C7D6D"/>
    <w:rsid w:val="006D00A9"/>
    <w:rsid w:val="006D025B"/>
    <w:rsid w:val="006D05F4"/>
    <w:rsid w:val="006D0E2C"/>
    <w:rsid w:val="006D0E9E"/>
    <w:rsid w:val="006D10AC"/>
    <w:rsid w:val="006D120A"/>
    <w:rsid w:val="006D163E"/>
    <w:rsid w:val="006D1CB9"/>
    <w:rsid w:val="006D1E26"/>
    <w:rsid w:val="006D1EC6"/>
    <w:rsid w:val="006D1F55"/>
    <w:rsid w:val="006D22A0"/>
    <w:rsid w:val="006D22EE"/>
    <w:rsid w:val="006D23CE"/>
    <w:rsid w:val="006D2893"/>
    <w:rsid w:val="006D2957"/>
    <w:rsid w:val="006D2E73"/>
    <w:rsid w:val="006D3142"/>
    <w:rsid w:val="006D32C8"/>
    <w:rsid w:val="006D35A2"/>
    <w:rsid w:val="006D3CC8"/>
    <w:rsid w:val="006D3D25"/>
    <w:rsid w:val="006D3E5E"/>
    <w:rsid w:val="006D4186"/>
    <w:rsid w:val="006D43A4"/>
    <w:rsid w:val="006D4486"/>
    <w:rsid w:val="006D4636"/>
    <w:rsid w:val="006D4A66"/>
    <w:rsid w:val="006D4C95"/>
    <w:rsid w:val="006D4D46"/>
    <w:rsid w:val="006D4E3C"/>
    <w:rsid w:val="006D4F24"/>
    <w:rsid w:val="006D50DF"/>
    <w:rsid w:val="006D542B"/>
    <w:rsid w:val="006D5445"/>
    <w:rsid w:val="006D583A"/>
    <w:rsid w:val="006D5C40"/>
    <w:rsid w:val="006D5F20"/>
    <w:rsid w:val="006D60A6"/>
    <w:rsid w:val="006D648F"/>
    <w:rsid w:val="006D65F3"/>
    <w:rsid w:val="006D69D4"/>
    <w:rsid w:val="006D6D01"/>
    <w:rsid w:val="006D6D8E"/>
    <w:rsid w:val="006D70AE"/>
    <w:rsid w:val="006D7218"/>
    <w:rsid w:val="006D7294"/>
    <w:rsid w:val="006D73EC"/>
    <w:rsid w:val="006D7449"/>
    <w:rsid w:val="006D754E"/>
    <w:rsid w:val="006D7570"/>
    <w:rsid w:val="006D7A77"/>
    <w:rsid w:val="006D7F82"/>
    <w:rsid w:val="006E05D3"/>
    <w:rsid w:val="006E0944"/>
    <w:rsid w:val="006E0DA6"/>
    <w:rsid w:val="006E0FDA"/>
    <w:rsid w:val="006E11D2"/>
    <w:rsid w:val="006E130F"/>
    <w:rsid w:val="006E138E"/>
    <w:rsid w:val="006E16F0"/>
    <w:rsid w:val="006E18A7"/>
    <w:rsid w:val="006E1D6A"/>
    <w:rsid w:val="006E2172"/>
    <w:rsid w:val="006E22B0"/>
    <w:rsid w:val="006E22B6"/>
    <w:rsid w:val="006E23D7"/>
    <w:rsid w:val="006E245B"/>
    <w:rsid w:val="006E2494"/>
    <w:rsid w:val="006E2920"/>
    <w:rsid w:val="006E2979"/>
    <w:rsid w:val="006E29E8"/>
    <w:rsid w:val="006E2B58"/>
    <w:rsid w:val="006E2F84"/>
    <w:rsid w:val="006E3123"/>
    <w:rsid w:val="006E369C"/>
    <w:rsid w:val="006E3AA8"/>
    <w:rsid w:val="006E3B30"/>
    <w:rsid w:val="006E3DF9"/>
    <w:rsid w:val="006E3E32"/>
    <w:rsid w:val="006E4238"/>
    <w:rsid w:val="006E42D8"/>
    <w:rsid w:val="006E42EF"/>
    <w:rsid w:val="006E4476"/>
    <w:rsid w:val="006E44E7"/>
    <w:rsid w:val="006E459A"/>
    <w:rsid w:val="006E498E"/>
    <w:rsid w:val="006E4A29"/>
    <w:rsid w:val="006E4A8D"/>
    <w:rsid w:val="006E4B80"/>
    <w:rsid w:val="006E4BE9"/>
    <w:rsid w:val="006E4E51"/>
    <w:rsid w:val="006E511C"/>
    <w:rsid w:val="006E52F0"/>
    <w:rsid w:val="006E555D"/>
    <w:rsid w:val="006E58C0"/>
    <w:rsid w:val="006E5AA1"/>
    <w:rsid w:val="006E5BEB"/>
    <w:rsid w:val="006E5DAB"/>
    <w:rsid w:val="006E6033"/>
    <w:rsid w:val="006E6600"/>
    <w:rsid w:val="006E6745"/>
    <w:rsid w:val="006E6A3F"/>
    <w:rsid w:val="006E6A4F"/>
    <w:rsid w:val="006E6AB2"/>
    <w:rsid w:val="006E6C6D"/>
    <w:rsid w:val="006E6C93"/>
    <w:rsid w:val="006E7257"/>
    <w:rsid w:val="006E7330"/>
    <w:rsid w:val="006E7347"/>
    <w:rsid w:val="006E742B"/>
    <w:rsid w:val="006E76AB"/>
    <w:rsid w:val="006E77C1"/>
    <w:rsid w:val="006E77C4"/>
    <w:rsid w:val="006E79AD"/>
    <w:rsid w:val="006E7AA0"/>
    <w:rsid w:val="006E7BAF"/>
    <w:rsid w:val="006E7D1D"/>
    <w:rsid w:val="006E7FA3"/>
    <w:rsid w:val="006F00E5"/>
    <w:rsid w:val="006F05F4"/>
    <w:rsid w:val="006F0988"/>
    <w:rsid w:val="006F0AC7"/>
    <w:rsid w:val="006F0C22"/>
    <w:rsid w:val="006F0FA1"/>
    <w:rsid w:val="006F119B"/>
    <w:rsid w:val="006F145C"/>
    <w:rsid w:val="006F14E4"/>
    <w:rsid w:val="006F1708"/>
    <w:rsid w:val="006F1906"/>
    <w:rsid w:val="006F1A29"/>
    <w:rsid w:val="006F1A54"/>
    <w:rsid w:val="006F1C16"/>
    <w:rsid w:val="006F1C8F"/>
    <w:rsid w:val="006F1FA2"/>
    <w:rsid w:val="006F2109"/>
    <w:rsid w:val="006F2317"/>
    <w:rsid w:val="006F24AE"/>
    <w:rsid w:val="006F25AF"/>
    <w:rsid w:val="006F2688"/>
    <w:rsid w:val="006F274D"/>
    <w:rsid w:val="006F29C7"/>
    <w:rsid w:val="006F2AA0"/>
    <w:rsid w:val="006F2B2D"/>
    <w:rsid w:val="006F2E5D"/>
    <w:rsid w:val="006F2F7C"/>
    <w:rsid w:val="006F30FA"/>
    <w:rsid w:val="006F3181"/>
    <w:rsid w:val="006F3213"/>
    <w:rsid w:val="006F3437"/>
    <w:rsid w:val="006F3646"/>
    <w:rsid w:val="006F3881"/>
    <w:rsid w:val="006F3A4C"/>
    <w:rsid w:val="006F3AE3"/>
    <w:rsid w:val="006F3D73"/>
    <w:rsid w:val="006F3FB2"/>
    <w:rsid w:val="006F470B"/>
    <w:rsid w:val="006F47E5"/>
    <w:rsid w:val="006F4B90"/>
    <w:rsid w:val="006F4CBE"/>
    <w:rsid w:val="006F4E42"/>
    <w:rsid w:val="006F502B"/>
    <w:rsid w:val="006F5033"/>
    <w:rsid w:val="006F54A6"/>
    <w:rsid w:val="006F58B7"/>
    <w:rsid w:val="006F5C8C"/>
    <w:rsid w:val="006F5E00"/>
    <w:rsid w:val="006F5E56"/>
    <w:rsid w:val="006F61C8"/>
    <w:rsid w:val="006F6329"/>
    <w:rsid w:val="006F6431"/>
    <w:rsid w:val="006F6537"/>
    <w:rsid w:val="006F677D"/>
    <w:rsid w:val="006F67D8"/>
    <w:rsid w:val="006F6AB5"/>
    <w:rsid w:val="006F6B46"/>
    <w:rsid w:val="006F6DFB"/>
    <w:rsid w:val="006F726D"/>
    <w:rsid w:val="006F78EF"/>
    <w:rsid w:val="006F7C68"/>
    <w:rsid w:val="006F7CFD"/>
    <w:rsid w:val="006F7E49"/>
    <w:rsid w:val="0070037F"/>
    <w:rsid w:val="007008A0"/>
    <w:rsid w:val="00700FDE"/>
    <w:rsid w:val="00701144"/>
    <w:rsid w:val="00701180"/>
    <w:rsid w:val="00701422"/>
    <w:rsid w:val="007014FB"/>
    <w:rsid w:val="007018C6"/>
    <w:rsid w:val="00701F9B"/>
    <w:rsid w:val="00701FB4"/>
    <w:rsid w:val="0070228C"/>
    <w:rsid w:val="00702353"/>
    <w:rsid w:val="00702450"/>
    <w:rsid w:val="00702511"/>
    <w:rsid w:val="00702688"/>
    <w:rsid w:val="00702CC1"/>
    <w:rsid w:val="00702D61"/>
    <w:rsid w:val="00702E3B"/>
    <w:rsid w:val="00702E56"/>
    <w:rsid w:val="00703091"/>
    <w:rsid w:val="00703306"/>
    <w:rsid w:val="007035FD"/>
    <w:rsid w:val="007038E1"/>
    <w:rsid w:val="00703A22"/>
    <w:rsid w:val="00703BC2"/>
    <w:rsid w:val="007040B5"/>
    <w:rsid w:val="007044C9"/>
    <w:rsid w:val="00704CFB"/>
    <w:rsid w:val="00704E23"/>
    <w:rsid w:val="007055B5"/>
    <w:rsid w:val="0070565F"/>
    <w:rsid w:val="00705667"/>
    <w:rsid w:val="0070573E"/>
    <w:rsid w:val="007059FE"/>
    <w:rsid w:val="00705A13"/>
    <w:rsid w:val="00705B99"/>
    <w:rsid w:val="00705C96"/>
    <w:rsid w:val="007061DA"/>
    <w:rsid w:val="00706391"/>
    <w:rsid w:val="007063B3"/>
    <w:rsid w:val="00706531"/>
    <w:rsid w:val="0070668C"/>
    <w:rsid w:val="007068CF"/>
    <w:rsid w:val="00706D71"/>
    <w:rsid w:val="00706E52"/>
    <w:rsid w:val="00706F38"/>
    <w:rsid w:val="0070714F"/>
    <w:rsid w:val="00707172"/>
    <w:rsid w:val="007074A3"/>
    <w:rsid w:val="007079A5"/>
    <w:rsid w:val="00707B52"/>
    <w:rsid w:val="00707BAA"/>
    <w:rsid w:val="00707C07"/>
    <w:rsid w:val="00707E18"/>
    <w:rsid w:val="00707E80"/>
    <w:rsid w:val="00710000"/>
    <w:rsid w:val="0071008E"/>
    <w:rsid w:val="007102C2"/>
    <w:rsid w:val="0071068F"/>
    <w:rsid w:val="00710838"/>
    <w:rsid w:val="00710952"/>
    <w:rsid w:val="00710D77"/>
    <w:rsid w:val="00710EA3"/>
    <w:rsid w:val="00710FFC"/>
    <w:rsid w:val="0071139E"/>
    <w:rsid w:val="007113C5"/>
    <w:rsid w:val="00711452"/>
    <w:rsid w:val="0071176B"/>
    <w:rsid w:val="00711B1D"/>
    <w:rsid w:val="00711B9C"/>
    <w:rsid w:val="00711CA8"/>
    <w:rsid w:val="00711F6D"/>
    <w:rsid w:val="007126C7"/>
    <w:rsid w:val="00712794"/>
    <w:rsid w:val="00712C7A"/>
    <w:rsid w:val="00712DC9"/>
    <w:rsid w:val="00712F60"/>
    <w:rsid w:val="00713164"/>
    <w:rsid w:val="007132AA"/>
    <w:rsid w:val="00713380"/>
    <w:rsid w:val="00713530"/>
    <w:rsid w:val="00713696"/>
    <w:rsid w:val="0071379A"/>
    <w:rsid w:val="0071381A"/>
    <w:rsid w:val="00713D60"/>
    <w:rsid w:val="00713E40"/>
    <w:rsid w:val="00713FB6"/>
    <w:rsid w:val="00714104"/>
    <w:rsid w:val="00714119"/>
    <w:rsid w:val="0071421A"/>
    <w:rsid w:val="00714316"/>
    <w:rsid w:val="00714591"/>
    <w:rsid w:val="00714699"/>
    <w:rsid w:val="00714B70"/>
    <w:rsid w:val="00714BAE"/>
    <w:rsid w:val="00714D3C"/>
    <w:rsid w:val="00715067"/>
    <w:rsid w:val="0071508E"/>
    <w:rsid w:val="0071509B"/>
    <w:rsid w:val="007150D2"/>
    <w:rsid w:val="007151C2"/>
    <w:rsid w:val="00715B45"/>
    <w:rsid w:val="00715C92"/>
    <w:rsid w:val="00715D18"/>
    <w:rsid w:val="00715FFF"/>
    <w:rsid w:val="0071604A"/>
    <w:rsid w:val="007160DF"/>
    <w:rsid w:val="00716109"/>
    <w:rsid w:val="0071625C"/>
    <w:rsid w:val="007162E7"/>
    <w:rsid w:val="007163AD"/>
    <w:rsid w:val="007163B5"/>
    <w:rsid w:val="00716597"/>
    <w:rsid w:val="007166DB"/>
    <w:rsid w:val="00716920"/>
    <w:rsid w:val="0071698F"/>
    <w:rsid w:val="00716EFF"/>
    <w:rsid w:val="00716FA8"/>
    <w:rsid w:val="0071705A"/>
    <w:rsid w:val="00717099"/>
    <w:rsid w:val="00717209"/>
    <w:rsid w:val="00717226"/>
    <w:rsid w:val="00717456"/>
    <w:rsid w:val="007175C3"/>
    <w:rsid w:val="00717919"/>
    <w:rsid w:val="007179B5"/>
    <w:rsid w:val="007203CC"/>
    <w:rsid w:val="0072051F"/>
    <w:rsid w:val="0072055B"/>
    <w:rsid w:val="007205C8"/>
    <w:rsid w:val="007207C1"/>
    <w:rsid w:val="0072087F"/>
    <w:rsid w:val="00720B1A"/>
    <w:rsid w:val="00720C04"/>
    <w:rsid w:val="00720C5A"/>
    <w:rsid w:val="00720D01"/>
    <w:rsid w:val="00720E21"/>
    <w:rsid w:val="00720F81"/>
    <w:rsid w:val="00721083"/>
    <w:rsid w:val="00721196"/>
    <w:rsid w:val="00721822"/>
    <w:rsid w:val="00721918"/>
    <w:rsid w:val="00721AFF"/>
    <w:rsid w:val="00721CE6"/>
    <w:rsid w:val="00721CFC"/>
    <w:rsid w:val="00721D53"/>
    <w:rsid w:val="00721DB8"/>
    <w:rsid w:val="0072208F"/>
    <w:rsid w:val="0072210E"/>
    <w:rsid w:val="00722114"/>
    <w:rsid w:val="0072228B"/>
    <w:rsid w:val="00722364"/>
    <w:rsid w:val="00722C2F"/>
    <w:rsid w:val="00722E5D"/>
    <w:rsid w:val="0072341B"/>
    <w:rsid w:val="00723C80"/>
    <w:rsid w:val="007241E4"/>
    <w:rsid w:val="007246E9"/>
    <w:rsid w:val="00724786"/>
    <w:rsid w:val="00724787"/>
    <w:rsid w:val="00724968"/>
    <w:rsid w:val="00724AE9"/>
    <w:rsid w:val="0072510A"/>
    <w:rsid w:val="00725147"/>
    <w:rsid w:val="007255D4"/>
    <w:rsid w:val="0072572E"/>
    <w:rsid w:val="00725747"/>
    <w:rsid w:val="00725854"/>
    <w:rsid w:val="00725960"/>
    <w:rsid w:val="00725CC9"/>
    <w:rsid w:val="00725D62"/>
    <w:rsid w:val="00725E99"/>
    <w:rsid w:val="00725F6B"/>
    <w:rsid w:val="00725F99"/>
    <w:rsid w:val="0072603F"/>
    <w:rsid w:val="00726206"/>
    <w:rsid w:val="007262ED"/>
    <w:rsid w:val="007263B5"/>
    <w:rsid w:val="00726542"/>
    <w:rsid w:val="00726FD1"/>
    <w:rsid w:val="00727432"/>
    <w:rsid w:val="007274D8"/>
    <w:rsid w:val="00727A74"/>
    <w:rsid w:val="00727AA4"/>
    <w:rsid w:val="00727B9D"/>
    <w:rsid w:val="00727F7E"/>
    <w:rsid w:val="00727FDC"/>
    <w:rsid w:val="0073010C"/>
    <w:rsid w:val="0073019F"/>
    <w:rsid w:val="007303C9"/>
    <w:rsid w:val="00730626"/>
    <w:rsid w:val="0073085A"/>
    <w:rsid w:val="00730CD5"/>
    <w:rsid w:val="00731072"/>
    <w:rsid w:val="00731157"/>
    <w:rsid w:val="007312BD"/>
    <w:rsid w:val="0073131F"/>
    <w:rsid w:val="0073157C"/>
    <w:rsid w:val="007315E9"/>
    <w:rsid w:val="007318AC"/>
    <w:rsid w:val="00731922"/>
    <w:rsid w:val="00731994"/>
    <w:rsid w:val="00731CF1"/>
    <w:rsid w:val="007323E5"/>
    <w:rsid w:val="0073263E"/>
    <w:rsid w:val="0073284B"/>
    <w:rsid w:val="00732A5B"/>
    <w:rsid w:val="00732C7B"/>
    <w:rsid w:val="00732CEE"/>
    <w:rsid w:val="007331AE"/>
    <w:rsid w:val="007331D9"/>
    <w:rsid w:val="00733548"/>
    <w:rsid w:val="007335CF"/>
    <w:rsid w:val="007335E2"/>
    <w:rsid w:val="007337B3"/>
    <w:rsid w:val="00733942"/>
    <w:rsid w:val="0073396C"/>
    <w:rsid w:val="00733975"/>
    <w:rsid w:val="00733BCF"/>
    <w:rsid w:val="00733E12"/>
    <w:rsid w:val="007340B8"/>
    <w:rsid w:val="007345B0"/>
    <w:rsid w:val="00734DA4"/>
    <w:rsid w:val="00734DE7"/>
    <w:rsid w:val="00734E5A"/>
    <w:rsid w:val="007354C5"/>
    <w:rsid w:val="00735CCF"/>
    <w:rsid w:val="00735F27"/>
    <w:rsid w:val="007360E2"/>
    <w:rsid w:val="007369C3"/>
    <w:rsid w:val="00736D98"/>
    <w:rsid w:val="00736ED3"/>
    <w:rsid w:val="00736FE8"/>
    <w:rsid w:val="00737235"/>
    <w:rsid w:val="007375F2"/>
    <w:rsid w:val="00737669"/>
    <w:rsid w:val="00737819"/>
    <w:rsid w:val="0073790A"/>
    <w:rsid w:val="00737A4D"/>
    <w:rsid w:val="00737A52"/>
    <w:rsid w:val="00737C8F"/>
    <w:rsid w:val="00737E7C"/>
    <w:rsid w:val="00737F76"/>
    <w:rsid w:val="00740618"/>
    <w:rsid w:val="00740793"/>
    <w:rsid w:val="007408CB"/>
    <w:rsid w:val="007408FD"/>
    <w:rsid w:val="00740A2A"/>
    <w:rsid w:val="00741372"/>
    <w:rsid w:val="00741667"/>
    <w:rsid w:val="00741973"/>
    <w:rsid w:val="00741E99"/>
    <w:rsid w:val="00741F45"/>
    <w:rsid w:val="00742208"/>
    <w:rsid w:val="0074223A"/>
    <w:rsid w:val="007423E6"/>
    <w:rsid w:val="00742623"/>
    <w:rsid w:val="00742947"/>
    <w:rsid w:val="00742AE5"/>
    <w:rsid w:val="00742B05"/>
    <w:rsid w:val="00742B2F"/>
    <w:rsid w:val="00742BA5"/>
    <w:rsid w:val="00742F4A"/>
    <w:rsid w:val="00742FA4"/>
    <w:rsid w:val="00743397"/>
    <w:rsid w:val="00743671"/>
    <w:rsid w:val="00743A04"/>
    <w:rsid w:val="00743A59"/>
    <w:rsid w:val="00743B97"/>
    <w:rsid w:val="00743BB3"/>
    <w:rsid w:val="00743C71"/>
    <w:rsid w:val="00743E5B"/>
    <w:rsid w:val="00743E6B"/>
    <w:rsid w:val="00743E6E"/>
    <w:rsid w:val="00743EA2"/>
    <w:rsid w:val="00744035"/>
    <w:rsid w:val="00744427"/>
    <w:rsid w:val="00744625"/>
    <w:rsid w:val="007448A9"/>
    <w:rsid w:val="00744A77"/>
    <w:rsid w:val="00744DC5"/>
    <w:rsid w:val="00744E2B"/>
    <w:rsid w:val="00744E4A"/>
    <w:rsid w:val="0074506F"/>
    <w:rsid w:val="00745559"/>
    <w:rsid w:val="00745B25"/>
    <w:rsid w:val="00745B6B"/>
    <w:rsid w:val="00745D58"/>
    <w:rsid w:val="00745E06"/>
    <w:rsid w:val="00745EE7"/>
    <w:rsid w:val="00745F30"/>
    <w:rsid w:val="0074612E"/>
    <w:rsid w:val="007465C4"/>
    <w:rsid w:val="0074663F"/>
    <w:rsid w:val="007467A7"/>
    <w:rsid w:val="00746948"/>
    <w:rsid w:val="00746D86"/>
    <w:rsid w:val="007471F4"/>
    <w:rsid w:val="00747476"/>
    <w:rsid w:val="00747747"/>
    <w:rsid w:val="00747B5E"/>
    <w:rsid w:val="00747CC1"/>
    <w:rsid w:val="00747E91"/>
    <w:rsid w:val="00750141"/>
    <w:rsid w:val="007504D9"/>
    <w:rsid w:val="0075077E"/>
    <w:rsid w:val="00750A5D"/>
    <w:rsid w:val="00750AFE"/>
    <w:rsid w:val="00750B19"/>
    <w:rsid w:val="00750DCF"/>
    <w:rsid w:val="00750ECB"/>
    <w:rsid w:val="00750FBE"/>
    <w:rsid w:val="00751156"/>
    <w:rsid w:val="00751235"/>
    <w:rsid w:val="007512EC"/>
    <w:rsid w:val="007512ED"/>
    <w:rsid w:val="0075140A"/>
    <w:rsid w:val="00751631"/>
    <w:rsid w:val="0075167D"/>
    <w:rsid w:val="0075180B"/>
    <w:rsid w:val="00751B3B"/>
    <w:rsid w:val="00751CB8"/>
    <w:rsid w:val="00751DD0"/>
    <w:rsid w:val="0075211A"/>
    <w:rsid w:val="0075218A"/>
    <w:rsid w:val="00752238"/>
    <w:rsid w:val="0075233E"/>
    <w:rsid w:val="0075244F"/>
    <w:rsid w:val="00752553"/>
    <w:rsid w:val="00752697"/>
    <w:rsid w:val="0075289A"/>
    <w:rsid w:val="00752B43"/>
    <w:rsid w:val="00752DEB"/>
    <w:rsid w:val="00752EF3"/>
    <w:rsid w:val="00753191"/>
    <w:rsid w:val="007531CB"/>
    <w:rsid w:val="007533F1"/>
    <w:rsid w:val="00753640"/>
    <w:rsid w:val="0075373B"/>
    <w:rsid w:val="00753941"/>
    <w:rsid w:val="00753B8A"/>
    <w:rsid w:val="00753DED"/>
    <w:rsid w:val="00753E3F"/>
    <w:rsid w:val="00753F74"/>
    <w:rsid w:val="007540A1"/>
    <w:rsid w:val="0075418A"/>
    <w:rsid w:val="007543D5"/>
    <w:rsid w:val="00754705"/>
    <w:rsid w:val="00754996"/>
    <w:rsid w:val="00754AA5"/>
    <w:rsid w:val="00754C80"/>
    <w:rsid w:val="00754CC8"/>
    <w:rsid w:val="007550A2"/>
    <w:rsid w:val="007550F9"/>
    <w:rsid w:val="00755214"/>
    <w:rsid w:val="00755322"/>
    <w:rsid w:val="007553A9"/>
    <w:rsid w:val="00755517"/>
    <w:rsid w:val="0075553A"/>
    <w:rsid w:val="0075576D"/>
    <w:rsid w:val="00755796"/>
    <w:rsid w:val="007557BE"/>
    <w:rsid w:val="00755A1D"/>
    <w:rsid w:val="00755C22"/>
    <w:rsid w:val="00755F3B"/>
    <w:rsid w:val="00756135"/>
    <w:rsid w:val="00756242"/>
    <w:rsid w:val="0075624C"/>
    <w:rsid w:val="007562E3"/>
    <w:rsid w:val="007567D7"/>
    <w:rsid w:val="0075682B"/>
    <w:rsid w:val="007568E8"/>
    <w:rsid w:val="00756CDA"/>
    <w:rsid w:val="00756DB3"/>
    <w:rsid w:val="00756E1A"/>
    <w:rsid w:val="00756FD1"/>
    <w:rsid w:val="007572BB"/>
    <w:rsid w:val="00757381"/>
    <w:rsid w:val="0075792F"/>
    <w:rsid w:val="00757953"/>
    <w:rsid w:val="00757D21"/>
    <w:rsid w:val="00757E01"/>
    <w:rsid w:val="00757E14"/>
    <w:rsid w:val="00757F39"/>
    <w:rsid w:val="0076010D"/>
    <w:rsid w:val="00760885"/>
    <w:rsid w:val="00760A7D"/>
    <w:rsid w:val="00760A9C"/>
    <w:rsid w:val="00760B39"/>
    <w:rsid w:val="007614B4"/>
    <w:rsid w:val="00761588"/>
    <w:rsid w:val="007615D2"/>
    <w:rsid w:val="007616AB"/>
    <w:rsid w:val="0076172E"/>
    <w:rsid w:val="00761E8F"/>
    <w:rsid w:val="00762006"/>
    <w:rsid w:val="00762569"/>
    <w:rsid w:val="00762663"/>
    <w:rsid w:val="007626B0"/>
    <w:rsid w:val="00762922"/>
    <w:rsid w:val="007629FF"/>
    <w:rsid w:val="00762B09"/>
    <w:rsid w:val="00762C54"/>
    <w:rsid w:val="00762CC3"/>
    <w:rsid w:val="00762CEB"/>
    <w:rsid w:val="00762F41"/>
    <w:rsid w:val="00762FB4"/>
    <w:rsid w:val="00763B4E"/>
    <w:rsid w:val="00763D02"/>
    <w:rsid w:val="00764797"/>
    <w:rsid w:val="007647F7"/>
    <w:rsid w:val="007649CB"/>
    <w:rsid w:val="00764C27"/>
    <w:rsid w:val="00764C35"/>
    <w:rsid w:val="00764E5D"/>
    <w:rsid w:val="00764E95"/>
    <w:rsid w:val="007651CD"/>
    <w:rsid w:val="0076524E"/>
    <w:rsid w:val="00765287"/>
    <w:rsid w:val="0076577F"/>
    <w:rsid w:val="00765854"/>
    <w:rsid w:val="007664AF"/>
    <w:rsid w:val="0076671F"/>
    <w:rsid w:val="0076679D"/>
    <w:rsid w:val="00766A25"/>
    <w:rsid w:val="00766B5A"/>
    <w:rsid w:val="00766B95"/>
    <w:rsid w:val="00766DE1"/>
    <w:rsid w:val="007671C1"/>
    <w:rsid w:val="007671D4"/>
    <w:rsid w:val="00767238"/>
    <w:rsid w:val="00767482"/>
    <w:rsid w:val="00767503"/>
    <w:rsid w:val="00767A32"/>
    <w:rsid w:val="00767A69"/>
    <w:rsid w:val="00767B6F"/>
    <w:rsid w:val="00767EDC"/>
    <w:rsid w:val="00770228"/>
    <w:rsid w:val="00770232"/>
    <w:rsid w:val="00770344"/>
    <w:rsid w:val="00770398"/>
    <w:rsid w:val="00770498"/>
    <w:rsid w:val="00770635"/>
    <w:rsid w:val="00770676"/>
    <w:rsid w:val="007706F3"/>
    <w:rsid w:val="007707DA"/>
    <w:rsid w:val="0077087E"/>
    <w:rsid w:val="00770CEB"/>
    <w:rsid w:val="00770E22"/>
    <w:rsid w:val="007711CF"/>
    <w:rsid w:val="0077123C"/>
    <w:rsid w:val="0077148C"/>
    <w:rsid w:val="007714A1"/>
    <w:rsid w:val="007714B6"/>
    <w:rsid w:val="007716AA"/>
    <w:rsid w:val="00771703"/>
    <w:rsid w:val="007719D3"/>
    <w:rsid w:val="00771F82"/>
    <w:rsid w:val="00771F91"/>
    <w:rsid w:val="007723C6"/>
    <w:rsid w:val="00772500"/>
    <w:rsid w:val="0077275C"/>
    <w:rsid w:val="0077278B"/>
    <w:rsid w:val="00772828"/>
    <w:rsid w:val="00772AE0"/>
    <w:rsid w:val="00772ED6"/>
    <w:rsid w:val="00772F43"/>
    <w:rsid w:val="0077301F"/>
    <w:rsid w:val="007738BE"/>
    <w:rsid w:val="00773995"/>
    <w:rsid w:val="00773B59"/>
    <w:rsid w:val="00773E70"/>
    <w:rsid w:val="0077433E"/>
    <w:rsid w:val="00774589"/>
    <w:rsid w:val="007746E5"/>
    <w:rsid w:val="00774B44"/>
    <w:rsid w:val="00774B45"/>
    <w:rsid w:val="00774E81"/>
    <w:rsid w:val="0077529B"/>
    <w:rsid w:val="00775514"/>
    <w:rsid w:val="0077577F"/>
    <w:rsid w:val="00775872"/>
    <w:rsid w:val="00775A2E"/>
    <w:rsid w:val="00775A80"/>
    <w:rsid w:val="00776392"/>
    <w:rsid w:val="00776402"/>
    <w:rsid w:val="00776669"/>
    <w:rsid w:val="00776718"/>
    <w:rsid w:val="00776777"/>
    <w:rsid w:val="00776920"/>
    <w:rsid w:val="007769C1"/>
    <w:rsid w:val="007769D8"/>
    <w:rsid w:val="00776C2F"/>
    <w:rsid w:val="00776CF2"/>
    <w:rsid w:val="00776F4A"/>
    <w:rsid w:val="007772F3"/>
    <w:rsid w:val="0077734E"/>
    <w:rsid w:val="0077740E"/>
    <w:rsid w:val="00777421"/>
    <w:rsid w:val="007774A0"/>
    <w:rsid w:val="0077764B"/>
    <w:rsid w:val="007777C5"/>
    <w:rsid w:val="00777B0C"/>
    <w:rsid w:val="00777B2C"/>
    <w:rsid w:val="00777B31"/>
    <w:rsid w:val="00777CF6"/>
    <w:rsid w:val="00777D66"/>
    <w:rsid w:val="00777EFF"/>
    <w:rsid w:val="0078005F"/>
    <w:rsid w:val="007800FC"/>
    <w:rsid w:val="0078011C"/>
    <w:rsid w:val="007801A0"/>
    <w:rsid w:val="00780257"/>
    <w:rsid w:val="0078056E"/>
    <w:rsid w:val="00780974"/>
    <w:rsid w:val="00780B40"/>
    <w:rsid w:val="00780CB9"/>
    <w:rsid w:val="00780F62"/>
    <w:rsid w:val="0078124E"/>
    <w:rsid w:val="007815ED"/>
    <w:rsid w:val="007816DC"/>
    <w:rsid w:val="0078179B"/>
    <w:rsid w:val="00781893"/>
    <w:rsid w:val="007818FC"/>
    <w:rsid w:val="00781B82"/>
    <w:rsid w:val="00781C74"/>
    <w:rsid w:val="007821A5"/>
    <w:rsid w:val="00782227"/>
    <w:rsid w:val="007825ED"/>
    <w:rsid w:val="00782720"/>
    <w:rsid w:val="007829AE"/>
    <w:rsid w:val="00782AFA"/>
    <w:rsid w:val="00782B14"/>
    <w:rsid w:val="00782BDC"/>
    <w:rsid w:val="00782C83"/>
    <w:rsid w:val="00782E39"/>
    <w:rsid w:val="00782F7A"/>
    <w:rsid w:val="00782FDB"/>
    <w:rsid w:val="0078303E"/>
    <w:rsid w:val="00783156"/>
    <w:rsid w:val="00783527"/>
    <w:rsid w:val="00783791"/>
    <w:rsid w:val="007839BF"/>
    <w:rsid w:val="00783A63"/>
    <w:rsid w:val="00783BDC"/>
    <w:rsid w:val="00783D39"/>
    <w:rsid w:val="00783D55"/>
    <w:rsid w:val="00783D9C"/>
    <w:rsid w:val="00783E1E"/>
    <w:rsid w:val="00783E43"/>
    <w:rsid w:val="00784106"/>
    <w:rsid w:val="00784178"/>
    <w:rsid w:val="007844A1"/>
    <w:rsid w:val="007844A4"/>
    <w:rsid w:val="00784C65"/>
    <w:rsid w:val="00784EC5"/>
    <w:rsid w:val="00784FE5"/>
    <w:rsid w:val="007850DF"/>
    <w:rsid w:val="0078513C"/>
    <w:rsid w:val="00785161"/>
    <w:rsid w:val="00785652"/>
    <w:rsid w:val="00785818"/>
    <w:rsid w:val="00785A81"/>
    <w:rsid w:val="00785B0D"/>
    <w:rsid w:val="00785B54"/>
    <w:rsid w:val="00785BD0"/>
    <w:rsid w:val="00785EF9"/>
    <w:rsid w:val="00785F3F"/>
    <w:rsid w:val="00785FDB"/>
    <w:rsid w:val="0078600C"/>
    <w:rsid w:val="00786196"/>
    <w:rsid w:val="007862B6"/>
    <w:rsid w:val="007862DF"/>
    <w:rsid w:val="00786856"/>
    <w:rsid w:val="00786BA3"/>
    <w:rsid w:val="00786C08"/>
    <w:rsid w:val="00786D7C"/>
    <w:rsid w:val="00786DCD"/>
    <w:rsid w:val="00786FC2"/>
    <w:rsid w:val="007871A2"/>
    <w:rsid w:val="007878C7"/>
    <w:rsid w:val="00787BC8"/>
    <w:rsid w:val="00787D6C"/>
    <w:rsid w:val="00787F02"/>
    <w:rsid w:val="0079040F"/>
    <w:rsid w:val="00790689"/>
    <w:rsid w:val="007907DC"/>
    <w:rsid w:val="007910D0"/>
    <w:rsid w:val="00791166"/>
    <w:rsid w:val="007912CA"/>
    <w:rsid w:val="00791675"/>
    <w:rsid w:val="007916F5"/>
    <w:rsid w:val="0079176B"/>
    <w:rsid w:val="007919A3"/>
    <w:rsid w:val="00791A5D"/>
    <w:rsid w:val="00791A72"/>
    <w:rsid w:val="00791B0D"/>
    <w:rsid w:val="00791DB4"/>
    <w:rsid w:val="00791E49"/>
    <w:rsid w:val="00792017"/>
    <w:rsid w:val="00792258"/>
    <w:rsid w:val="007922A4"/>
    <w:rsid w:val="00792308"/>
    <w:rsid w:val="00792354"/>
    <w:rsid w:val="0079241C"/>
    <w:rsid w:val="0079269D"/>
    <w:rsid w:val="007927A3"/>
    <w:rsid w:val="00792837"/>
    <w:rsid w:val="00792FDD"/>
    <w:rsid w:val="00793020"/>
    <w:rsid w:val="00793068"/>
    <w:rsid w:val="007938FD"/>
    <w:rsid w:val="007939D1"/>
    <w:rsid w:val="00793B2D"/>
    <w:rsid w:val="00793C10"/>
    <w:rsid w:val="00793E3C"/>
    <w:rsid w:val="00794314"/>
    <w:rsid w:val="0079432B"/>
    <w:rsid w:val="00794346"/>
    <w:rsid w:val="00794363"/>
    <w:rsid w:val="00794537"/>
    <w:rsid w:val="00794962"/>
    <w:rsid w:val="007949AB"/>
    <w:rsid w:val="00794D93"/>
    <w:rsid w:val="00794E28"/>
    <w:rsid w:val="00794EC3"/>
    <w:rsid w:val="00794F74"/>
    <w:rsid w:val="00795055"/>
    <w:rsid w:val="0079505B"/>
    <w:rsid w:val="00795349"/>
    <w:rsid w:val="00795360"/>
    <w:rsid w:val="0079542B"/>
    <w:rsid w:val="007956DE"/>
    <w:rsid w:val="007958D0"/>
    <w:rsid w:val="00795912"/>
    <w:rsid w:val="007959B2"/>
    <w:rsid w:val="00795E06"/>
    <w:rsid w:val="00795F4F"/>
    <w:rsid w:val="00796038"/>
    <w:rsid w:val="007969BC"/>
    <w:rsid w:val="00796CA7"/>
    <w:rsid w:val="00796F21"/>
    <w:rsid w:val="00796FF2"/>
    <w:rsid w:val="00797224"/>
    <w:rsid w:val="0079727B"/>
    <w:rsid w:val="007974A2"/>
    <w:rsid w:val="0079763F"/>
    <w:rsid w:val="007976E9"/>
    <w:rsid w:val="00797C12"/>
    <w:rsid w:val="00797DF4"/>
    <w:rsid w:val="00797F98"/>
    <w:rsid w:val="007A010C"/>
    <w:rsid w:val="007A0305"/>
    <w:rsid w:val="007A08C3"/>
    <w:rsid w:val="007A0ABE"/>
    <w:rsid w:val="007A153C"/>
    <w:rsid w:val="007A157A"/>
    <w:rsid w:val="007A16EA"/>
    <w:rsid w:val="007A1727"/>
    <w:rsid w:val="007A1772"/>
    <w:rsid w:val="007A191B"/>
    <w:rsid w:val="007A1967"/>
    <w:rsid w:val="007A1C7C"/>
    <w:rsid w:val="007A2212"/>
    <w:rsid w:val="007A2433"/>
    <w:rsid w:val="007A2785"/>
    <w:rsid w:val="007A2A4E"/>
    <w:rsid w:val="007A2E32"/>
    <w:rsid w:val="007A2E4B"/>
    <w:rsid w:val="007A2F05"/>
    <w:rsid w:val="007A2F41"/>
    <w:rsid w:val="007A32ED"/>
    <w:rsid w:val="007A348C"/>
    <w:rsid w:val="007A376E"/>
    <w:rsid w:val="007A3831"/>
    <w:rsid w:val="007A38FA"/>
    <w:rsid w:val="007A3ABE"/>
    <w:rsid w:val="007A3AE8"/>
    <w:rsid w:val="007A3CD4"/>
    <w:rsid w:val="007A3F17"/>
    <w:rsid w:val="007A447A"/>
    <w:rsid w:val="007A463C"/>
    <w:rsid w:val="007A46FE"/>
    <w:rsid w:val="007A4784"/>
    <w:rsid w:val="007A53B2"/>
    <w:rsid w:val="007A585C"/>
    <w:rsid w:val="007A5989"/>
    <w:rsid w:val="007A5AB9"/>
    <w:rsid w:val="007A5CB6"/>
    <w:rsid w:val="007A5EA9"/>
    <w:rsid w:val="007A648C"/>
    <w:rsid w:val="007A671C"/>
    <w:rsid w:val="007A686B"/>
    <w:rsid w:val="007A6999"/>
    <w:rsid w:val="007A6A56"/>
    <w:rsid w:val="007A6B71"/>
    <w:rsid w:val="007A74CF"/>
    <w:rsid w:val="007A7536"/>
    <w:rsid w:val="007A76EF"/>
    <w:rsid w:val="007A78CB"/>
    <w:rsid w:val="007A7948"/>
    <w:rsid w:val="007A79F7"/>
    <w:rsid w:val="007A7A84"/>
    <w:rsid w:val="007A7D1A"/>
    <w:rsid w:val="007A7E96"/>
    <w:rsid w:val="007A7EE9"/>
    <w:rsid w:val="007B0082"/>
    <w:rsid w:val="007B01A2"/>
    <w:rsid w:val="007B01C0"/>
    <w:rsid w:val="007B0712"/>
    <w:rsid w:val="007B0DE6"/>
    <w:rsid w:val="007B0FDA"/>
    <w:rsid w:val="007B1079"/>
    <w:rsid w:val="007B12A7"/>
    <w:rsid w:val="007B146E"/>
    <w:rsid w:val="007B1576"/>
    <w:rsid w:val="007B1E11"/>
    <w:rsid w:val="007B1EB7"/>
    <w:rsid w:val="007B202D"/>
    <w:rsid w:val="007B2129"/>
    <w:rsid w:val="007B224D"/>
    <w:rsid w:val="007B25D1"/>
    <w:rsid w:val="007B2613"/>
    <w:rsid w:val="007B2753"/>
    <w:rsid w:val="007B2E11"/>
    <w:rsid w:val="007B2F90"/>
    <w:rsid w:val="007B2FB3"/>
    <w:rsid w:val="007B3171"/>
    <w:rsid w:val="007B355C"/>
    <w:rsid w:val="007B3657"/>
    <w:rsid w:val="007B36C0"/>
    <w:rsid w:val="007B3A69"/>
    <w:rsid w:val="007B3ACF"/>
    <w:rsid w:val="007B3D22"/>
    <w:rsid w:val="007B42DD"/>
    <w:rsid w:val="007B443F"/>
    <w:rsid w:val="007B4638"/>
    <w:rsid w:val="007B476E"/>
    <w:rsid w:val="007B487E"/>
    <w:rsid w:val="007B4A1D"/>
    <w:rsid w:val="007B4D66"/>
    <w:rsid w:val="007B5401"/>
    <w:rsid w:val="007B5560"/>
    <w:rsid w:val="007B5566"/>
    <w:rsid w:val="007B55B1"/>
    <w:rsid w:val="007B58DD"/>
    <w:rsid w:val="007B5A18"/>
    <w:rsid w:val="007B5BF2"/>
    <w:rsid w:val="007B5C60"/>
    <w:rsid w:val="007B5EFA"/>
    <w:rsid w:val="007B63D3"/>
    <w:rsid w:val="007B64A6"/>
    <w:rsid w:val="007B67A1"/>
    <w:rsid w:val="007B68DD"/>
    <w:rsid w:val="007B6A2F"/>
    <w:rsid w:val="007B7281"/>
    <w:rsid w:val="007B7412"/>
    <w:rsid w:val="007B77C7"/>
    <w:rsid w:val="007C0042"/>
    <w:rsid w:val="007C00EE"/>
    <w:rsid w:val="007C0339"/>
    <w:rsid w:val="007C03F6"/>
    <w:rsid w:val="007C0494"/>
    <w:rsid w:val="007C06F8"/>
    <w:rsid w:val="007C093F"/>
    <w:rsid w:val="007C0AC4"/>
    <w:rsid w:val="007C0B21"/>
    <w:rsid w:val="007C0BA4"/>
    <w:rsid w:val="007C0E52"/>
    <w:rsid w:val="007C1219"/>
    <w:rsid w:val="007C1232"/>
    <w:rsid w:val="007C126B"/>
    <w:rsid w:val="007C1349"/>
    <w:rsid w:val="007C1811"/>
    <w:rsid w:val="007C18DE"/>
    <w:rsid w:val="007C21A8"/>
    <w:rsid w:val="007C2354"/>
    <w:rsid w:val="007C25F0"/>
    <w:rsid w:val="007C25F5"/>
    <w:rsid w:val="007C2820"/>
    <w:rsid w:val="007C293A"/>
    <w:rsid w:val="007C2BC0"/>
    <w:rsid w:val="007C2EE3"/>
    <w:rsid w:val="007C2F24"/>
    <w:rsid w:val="007C3118"/>
    <w:rsid w:val="007C3193"/>
    <w:rsid w:val="007C3252"/>
    <w:rsid w:val="007C3297"/>
    <w:rsid w:val="007C3303"/>
    <w:rsid w:val="007C34F5"/>
    <w:rsid w:val="007C3792"/>
    <w:rsid w:val="007C38F8"/>
    <w:rsid w:val="007C3950"/>
    <w:rsid w:val="007C3A3B"/>
    <w:rsid w:val="007C3A68"/>
    <w:rsid w:val="007C3AC4"/>
    <w:rsid w:val="007C3D9D"/>
    <w:rsid w:val="007C3DC8"/>
    <w:rsid w:val="007C3EE1"/>
    <w:rsid w:val="007C45C2"/>
    <w:rsid w:val="007C4940"/>
    <w:rsid w:val="007C4B12"/>
    <w:rsid w:val="007C4FAC"/>
    <w:rsid w:val="007C51C1"/>
    <w:rsid w:val="007C5798"/>
    <w:rsid w:val="007C5EB0"/>
    <w:rsid w:val="007C6255"/>
    <w:rsid w:val="007C6529"/>
    <w:rsid w:val="007C675C"/>
    <w:rsid w:val="007C6A5B"/>
    <w:rsid w:val="007C6CD5"/>
    <w:rsid w:val="007C6CEB"/>
    <w:rsid w:val="007C6DD7"/>
    <w:rsid w:val="007C6F23"/>
    <w:rsid w:val="007C6FB1"/>
    <w:rsid w:val="007C76D0"/>
    <w:rsid w:val="007C78B5"/>
    <w:rsid w:val="007C7C36"/>
    <w:rsid w:val="007C7CEF"/>
    <w:rsid w:val="007C7DBC"/>
    <w:rsid w:val="007D003B"/>
    <w:rsid w:val="007D0086"/>
    <w:rsid w:val="007D016F"/>
    <w:rsid w:val="007D01D5"/>
    <w:rsid w:val="007D059C"/>
    <w:rsid w:val="007D0887"/>
    <w:rsid w:val="007D0A4B"/>
    <w:rsid w:val="007D0BBE"/>
    <w:rsid w:val="007D0C24"/>
    <w:rsid w:val="007D0C51"/>
    <w:rsid w:val="007D0CA3"/>
    <w:rsid w:val="007D0D4E"/>
    <w:rsid w:val="007D0E55"/>
    <w:rsid w:val="007D0EEA"/>
    <w:rsid w:val="007D1055"/>
    <w:rsid w:val="007D1095"/>
    <w:rsid w:val="007D1280"/>
    <w:rsid w:val="007D156C"/>
    <w:rsid w:val="007D161B"/>
    <w:rsid w:val="007D16F3"/>
    <w:rsid w:val="007D19E8"/>
    <w:rsid w:val="007D1A6E"/>
    <w:rsid w:val="007D1D1B"/>
    <w:rsid w:val="007D1DFE"/>
    <w:rsid w:val="007D2084"/>
    <w:rsid w:val="007D26A5"/>
    <w:rsid w:val="007D29AF"/>
    <w:rsid w:val="007D29B6"/>
    <w:rsid w:val="007D2AE7"/>
    <w:rsid w:val="007D2DDD"/>
    <w:rsid w:val="007D2E51"/>
    <w:rsid w:val="007D2E64"/>
    <w:rsid w:val="007D32DF"/>
    <w:rsid w:val="007D35D7"/>
    <w:rsid w:val="007D3A7D"/>
    <w:rsid w:val="007D3B78"/>
    <w:rsid w:val="007D424B"/>
    <w:rsid w:val="007D425B"/>
    <w:rsid w:val="007D45B7"/>
    <w:rsid w:val="007D48FB"/>
    <w:rsid w:val="007D4D1C"/>
    <w:rsid w:val="007D4E09"/>
    <w:rsid w:val="007D530B"/>
    <w:rsid w:val="007D5478"/>
    <w:rsid w:val="007D5673"/>
    <w:rsid w:val="007D5752"/>
    <w:rsid w:val="007D5B82"/>
    <w:rsid w:val="007D5BB0"/>
    <w:rsid w:val="007D5D71"/>
    <w:rsid w:val="007D5DBF"/>
    <w:rsid w:val="007D5E28"/>
    <w:rsid w:val="007D6058"/>
    <w:rsid w:val="007D60AC"/>
    <w:rsid w:val="007D61BB"/>
    <w:rsid w:val="007D63C0"/>
    <w:rsid w:val="007D6649"/>
    <w:rsid w:val="007D665E"/>
    <w:rsid w:val="007D6D02"/>
    <w:rsid w:val="007D7322"/>
    <w:rsid w:val="007D7493"/>
    <w:rsid w:val="007D7C8B"/>
    <w:rsid w:val="007D7E81"/>
    <w:rsid w:val="007E002D"/>
    <w:rsid w:val="007E0123"/>
    <w:rsid w:val="007E05A3"/>
    <w:rsid w:val="007E0683"/>
    <w:rsid w:val="007E06DF"/>
    <w:rsid w:val="007E08C4"/>
    <w:rsid w:val="007E0BD7"/>
    <w:rsid w:val="007E0BE2"/>
    <w:rsid w:val="007E0D20"/>
    <w:rsid w:val="007E0D5C"/>
    <w:rsid w:val="007E0E84"/>
    <w:rsid w:val="007E0E9A"/>
    <w:rsid w:val="007E14F6"/>
    <w:rsid w:val="007E1790"/>
    <w:rsid w:val="007E1E5E"/>
    <w:rsid w:val="007E1ED1"/>
    <w:rsid w:val="007E24FB"/>
    <w:rsid w:val="007E258E"/>
    <w:rsid w:val="007E2711"/>
    <w:rsid w:val="007E28B6"/>
    <w:rsid w:val="007E2988"/>
    <w:rsid w:val="007E29D1"/>
    <w:rsid w:val="007E2B1F"/>
    <w:rsid w:val="007E2B42"/>
    <w:rsid w:val="007E2C19"/>
    <w:rsid w:val="007E2CB3"/>
    <w:rsid w:val="007E2D4B"/>
    <w:rsid w:val="007E309B"/>
    <w:rsid w:val="007E31F5"/>
    <w:rsid w:val="007E32DB"/>
    <w:rsid w:val="007E3737"/>
    <w:rsid w:val="007E37FD"/>
    <w:rsid w:val="007E385F"/>
    <w:rsid w:val="007E3896"/>
    <w:rsid w:val="007E3B9A"/>
    <w:rsid w:val="007E3E45"/>
    <w:rsid w:val="007E40C6"/>
    <w:rsid w:val="007E4147"/>
    <w:rsid w:val="007E417A"/>
    <w:rsid w:val="007E41A5"/>
    <w:rsid w:val="007E42BF"/>
    <w:rsid w:val="007E45C7"/>
    <w:rsid w:val="007E4689"/>
    <w:rsid w:val="007E470A"/>
    <w:rsid w:val="007E4E39"/>
    <w:rsid w:val="007E5057"/>
    <w:rsid w:val="007E55A0"/>
    <w:rsid w:val="007E568D"/>
    <w:rsid w:val="007E5989"/>
    <w:rsid w:val="007E5B38"/>
    <w:rsid w:val="007E5C19"/>
    <w:rsid w:val="007E5C93"/>
    <w:rsid w:val="007E5FB7"/>
    <w:rsid w:val="007E60B2"/>
    <w:rsid w:val="007E620F"/>
    <w:rsid w:val="007E62B9"/>
    <w:rsid w:val="007E64BC"/>
    <w:rsid w:val="007E677A"/>
    <w:rsid w:val="007E68C8"/>
    <w:rsid w:val="007E6914"/>
    <w:rsid w:val="007E6AE2"/>
    <w:rsid w:val="007E6B52"/>
    <w:rsid w:val="007E6C58"/>
    <w:rsid w:val="007E6C5F"/>
    <w:rsid w:val="007E7173"/>
    <w:rsid w:val="007E7299"/>
    <w:rsid w:val="007E742D"/>
    <w:rsid w:val="007E75F2"/>
    <w:rsid w:val="007E7919"/>
    <w:rsid w:val="007E79AA"/>
    <w:rsid w:val="007E7B2C"/>
    <w:rsid w:val="007E7B75"/>
    <w:rsid w:val="007E7BB1"/>
    <w:rsid w:val="007E7E2D"/>
    <w:rsid w:val="007E7F06"/>
    <w:rsid w:val="007E7F31"/>
    <w:rsid w:val="007E7FFD"/>
    <w:rsid w:val="007F0491"/>
    <w:rsid w:val="007F04EC"/>
    <w:rsid w:val="007F0565"/>
    <w:rsid w:val="007F067B"/>
    <w:rsid w:val="007F07DB"/>
    <w:rsid w:val="007F0A4C"/>
    <w:rsid w:val="007F0B3D"/>
    <w:rsid w:val="007F0CED"/>
    <w:rsid w:val="007F0E53"/>
    <w:rsid w:val="007F0F8A"/>
    <w:rsid w:val="007F11A5"/>
    <w:rsid w:val="007F1250"/>
    <w:rsid w:val="007F1325"/>
    <w:rsid w:val="007F1340"/>
    <w:rsid w:val="007F1349"/>
    <w:rsid w:val="007F156C"/>
    <w:rsid w:val="007F15DD"/>
    <w:rsid w:val="007F16B7"/>
    <w:rsid w:val="007F18A3"/>
    <w:rsid w:val="007F18F1"/>
    <w:rsid w:val="007F1A23"/>
    <w:rsid w:val="007F1B25"/>
    <w:rsid w:val="007F1B2A"/>
    <w:rsid w:val="007F1C83"/>
    <w:rsid w:val="007F1DD0"/>
    <w:rsid w:val="007F23B5"/>
    <w:rsid w:val="007F2560"/>
    <w:rsid w:val="007F26E5"/>
    <w:rsid w:val="007F2B11"/>
    <w:rsid w:val="007F2B48"/>
    <w:rsid w:val="007F2BEA"/>
    <w:rsid w:val="007F2F1A"/>
    <w:rsid w:val="007F3194"/>
    <w:rsid w:val="007F3380"/>
    <w:rsid w:val="007F35EF"/>
    <w:rsid w:val="007F37ED"/>
    <w:rsid w:val="007F3A10"/>
    <w:rsid w:val="007F44B0"/>
    <w:rsid w:val="007F4920"/>
    <w:rsid w:val="007F49D3"/>
    <w:rsid w:val="007F4AAD"/>
    <w:rsid w:val="007F4E8B"/>
    <w:rsid w:val="007F504F"/>
    <w:rsid w:val="007F5176"/>
    <w:rsid w:val="007F5272"/>
    <w:rsid w:val="007F576F"/>
    <w:rsid w:val="007F57DA"/>
    <w:rsid w:val="007F596A"/>
    <w:rsid w:val="007F5E75"/>
    <w:rsid w:val="007F60CB"/>
    <w:rsid w:val="007F6432"/>
    <w:rsid w:val="007F6717"/>
    <w:rsid w:val="007F6B58"/>
    <w:rsid w:val="007F6EE6"/>
    <w:rsid w:val="007F713D"/>
    <w:rsid w:val="007F71F0"/>
    <w:rsid w:val="007F730A"/>
    <w:rsid w:val="007F7319"/>
    <w:rsid w:val="007F73A4"/>
    <w:rsid w:val="007F73F8"/>
    <w:rsid w:val="007F7413"/>
    <w:rsid w:val="007F75C6"/>
    <w:rsid w:val="007F76DC"/>
    <w:rsid w:val="007F7A04"/>
    <w:rsid w:val="007F7B75"/>
    <w:rsid w:val="007F7CC6"/>
    <w:rsid w:val="007F7D43"/>
    <w:rsid w:val="007F7D5E"/>
    <w:rsid w:val="007F7DD9"/>
    <w:rsid w:val="007F7E1B"/>
    <w:rsid w:val="007F7FFB"/>
    <w:rsid w:val="008000A1"/>
    <w:rsid w:val="00800236"/>
    <w:rsid w:val="008004E4"/>
    <w:rsid w:val="00800611"/>
    <w:rsid w:val="008006FF"/>
    <w:rsid w:val="00800835"/>
    <w:rsid w:val="00800ABE"/>
    <w:rsid w:val="00800AF1"/>
    <w:rsid w:val="00800D44"/>
    <w:rsid w:val="00801297"/>
    <w:rsid w:val="00801318"/>
    <w:rsid w:val="008013DB"/>
    <w:rsid w:val="00801707"/>
    <w:rsid w:val="00801735"/>
    <w:rsid w:val="00801A1B"/>
    <w:rsid w:val="008021E2"/>
    <w:rsid w:val="00802200"/>
    <w:rsid w:val="00802300"/>
    <w:rsid w:val="008029E0"/>
    <w:rsid w:val="008029E6"/>
    <w:rsid w:val="008029F4"/>
    <w:rsid w:val="00802A25"/>
    <w:rsid w:val="00802B79"/>
    <w:rsid w:val="00803048"/>
    <w:rsid w:val="00803083"/>
    <w:rsid w:val="0080322B"/>
    <w:rsid w:val="0080336C"/>
    <w:rsid w:val="0080350B"/>
    <w:rsid w:val="008036C5"/>
    <w:rsid w:val="00803BA5"/>
    <w:rsid w:val="00803DEA"/>
    <w:rsid w:val="00803E10"/>
    <w:rsid w:val="00803F11"/>
    <w:rsid w:val="00803F23"/>
    <w:rsid w:val="00804209"/>
    <w:rsid w:val="008043D6"/>
    <w:rsid w:val="00804764"/>
    <w:rsid w:val="008049D0"/>
    <w:rsid w:val="00804B9E"/>
    <w:rsid w:val="00804CF8"/>
    <w:rsid w:val="00804CF9"/>
    <w:rsid w:val="00804D27"/>
    <w:rsid w:val="00805017"/>
    <w:rsid w:val="0080534B"/>
    <w:rsid w:val="00805674"/>
    <w:rsid w:val="00805752"/>
    <w:rsid w:val="00805D30"/>
    <w:rsid w:val="00805F9D"/>
    <w:rsid w:val="0080619E"/>
    <w:rsid w:val="00806853"/>
    <w:rsid w:val="00806AB9"/>
    <w:rsid w:val="00806F33"/>
    <w:rsid w:val="00806F9B"/>
    <w:rsid w:val="0080720D"/>
    <w:rsid w:val="00807534"/>
    <w:rsid w:val="00807587"/>
    <w:rsid w:val="00807BD9"/>
    <w:rsid w:val="00807C78"/>
    <w:rsid w:val="00807E10"/>
    <w:rsid w:val="00807E65"/>
    <w:rsid w:val="00810320"/>
    <w:rsid w:val="00810582"/>
    <w:rsid w:val="008105B3"/>
    <w:rsid w:val="008106AD"/>
    <w:rsid w:val="008106BD"/>
    <w:rsid w:val="00810736"/>
    <w:rsid w:val="00810817"/>
    <w:rsid w:val="00810889"/>
    <w:rsid w:val="00810A10"/>
    <w:rsid w:val="00810C8C"/>
    <w:rsid w:val="00810FB6"/>
    <w:rsid w:val="00811353"/>
    <w:rsid w:val="00811CD9"/>
    <w:rsid w:val="00811DD4"/>
    <w:rsid w:val="00811F0E"/>
    <w:rsid w:val="00811FA6"/>
    <w:rsid w:val="008122B3"/>
    <w:rsid w:val="00812551"/>
    <w:rsid w:val="00812964"/>
    <w:rsid w:val="00812C1E"/>
    <w:rsid w:val="00812F15"/>
    <w:rsid w:val="0081330E"/>
    <w:rsid w:val="008134D1"/>
    <w:rsid w:val="00813597"/>
    <w:rsid w:val="008135B1"/>
    <w:rsid w:val="00813753"/>
    <w:rsid w:val="00813AA0"/>
    <w:rsid w:val="00813F0A"/>
    <w:rsid w:val="008141A2"/>
    <w:rsid w:val="008141D3"/>
    <w:rsid w:val="00814662"/>
    <w:rsid w:val="0081467B"/>
    <w:rsid w:val="008147DC"/>
    <w:rsid w:val="00814942"/>
    <w:rsid w:val="00814D26"/>
    <w:rsid w:val="00814FC4"/>
    <w:rsid w:val="00815095"/>
    <w:rsid w:val="008152BD"/>
    <w:rsid w:val="008153D4"/>
    <w:rsid w:val="0081543A"/>
    <w:rsid w:val="008155B4"/>
    <w:rsid w:val="008159A4"/>
    <w:rsid w:val="00815A2F"/>
    <w:rsid w:val="00815BC9"/>
    <w:rsid w:val="00815D34"/>
    <w:rsid w:val="00815FA2"/>
    <w:rsid w:val="008160CF"/>
    <w:rsid w:val="008163BE"/>
    <w:rsid w:val="00816586"/>
    <w:rsid w:val="00816656"/>
    <w:rsid w:val="0081666B"/>
    <w:rsid w:val="00816838"/>
    <w:rsid w:val="00816CBE"/>
    <w:rsid w:val="00816CF0"/>
    <w:rsid w:val="00816D35"/>
    <w:rsid w:val="00816E79"/>
    <w:rsid w:val="0081714D"/>
    <w:rsid w:val="00817441"/>
    <w:rsid w:val="00817477"/>
    <w:rsid w:val="008174B6"/>
    <w:rsid w:val="00817555"/>
    <w:rsid w:val="00817562"/>
    <w:rsid w:val="00817A47"/>
    <w:rsid w:val="00817AE9"/>
    <w:rsid w:val="00817B3D"/>
    <w:rsid w:val="00817C9F"/>
    <w:rsid w:val="00817EA6"/>
    <w:rsid w:val="00820550"/>
    <w:rsid w:val="00820714"/>
    <w:rsid w:val="0082081D"/>
    <w:rsid w:val="008208D6"/>
    <w:rsid w:val="00820B89"/>
    <w:rsid w:val="00820D2D"/>
    <w:rsid w:val="00820F08"/>
    <w:rsid w:val="00820F29"/>
    <w:rsid w:val="0082111D"/>
    <w:rsid w:val="00821535"/>
    <w:rsid w:val="0082195D"/>
    <w:rsid w:val="00821CFD"/>
    <w:rsid w:val="00821DDB"/>
    <w:rsid w:val="00821E0A"/>
    <w:rsid w:val="008225EE"/>
    <w:rsid w:val="008226E2"/>
    <w:rsid w:val="00822A4E"/>
    <w:rsid w:val="00822BE8"/>
    <w:rsid w:val="00822DDD"/>
    <w:rsid w:val="008230BB"/>
    <w:rsid w:val="008230E2"/>
    <w:rsid w:val="00823137"/>
    <w:rsid w:val="0082318D"/>
    <w:rsid w:val="008231A7"/>
    <w:rsid w:val="008231E8"/>
    <w:rsid w:val="008234C6"/>
    <w:rsid w:val="00823783"/>
    <w:rsid w:val="00823934"/>
    <w:rsid w:val="00823AC7"/>
    <w:rsid w:val="00823B15"/>
    <w:rsid w:val="00823BBA"/>
    <w:rsid w:val="0082417A"/>
    <w:rsid w:val="00824228"/>
    <w:rsid w:val="0082438A"/>
    <w:rsid w:val="00824729"/>
    <w:rsid w:val="00824952"/>
    <w:rsid w:val="00824AB3"/>
    <w:rsid w:val="00824BB3"/>
    <w:rsid w:val="00824C89"/>
    <w:rsid w:val="00824D5D"/>
    <w:rsid w:val="00824E97"/>
    <w:rsid w:val="00824E9C"/>
    <w:rsid w:val="00824FEE"/>
    <w:rsid w:val="008251A6"/>
    <w:rsid w:val="00825276"/>
    <w:rsid w:val="008254EC"/>
    <w:rsid w:val="00825739"/>
    <w:rsid w:val="00825D66"/>
    <w:rsid w:val="00825E08"/>
    <w:rsid w:val="00825EF0"/>
    <w:rsid w:val="008261A8"/>
    <w:rsid w:val="008262DE"/>
    <w:rsid w:val="00826353"/>
    <w:rsid w:val="00826632"/>
    <w:rsid w:val="0082682C"/>
    <w:rsid w:val="008269EB"/>
    <w:rsid w:val="00826FDA"/>
    <w:rsid w:val="0082702D"/>
    <w:rsid w:val="008270A8"/>
    <w:rsid w:val="008271CC"/>
    <w:rsid w:val="008274AE"/>
    <w:rsid w:val="00827596"/>
    <w:rsid w:val="00827685"/>
    <w:rsid w:val="00827B08"/>
    <w:rsid w:val="00827E8A"/>
    <w:rsid w:val="00827F49"/>
    <w:rsid w:val="00830018"/>
    <w:rsid w:val="008300F1"/>
    <w:rsid w:val="008303E5"/>
    <w:rsid w:val="00830CD2"/>
    <w:rsid w:val="008311F6"/>
    <w:rsid w:val="00831269"/>
    <w:rsid w:val="00831764"/>
    <w:rsid w:val="00831794"/>
    <w:rsid w:val="008319F8"/>
    <w:rsid w:val="00831C81"/>
    <w:rsid w:val="00831F76"/>
    <w:rsid w:val="008321E5"/>
    <w:rsid w:val="00832441"/>
    <w:rsid w:val="0083272B"/>
    <w:rsid w:val="0083277F"/>
    <w:rsid w:val="008327C5"/>
    <w:rsid w:val="00832872"/>
    <w:rsid w:val="00832A3B"/>
    <w:rsid w:val="00832BCD"/>
    <w:rsid w:val="0083347A"/>
    <w:rsid w:val="0083355B"/>
    <w:rsid w:val="00833596"/>
    <w:rsid w:val="00833A51"/>
    <w:rsid w:val="00833FA9"/>
    <w:rsid w:val="00834326"/>
    <w:rsid w:val="00834522"/>
    <w:rsid w:val="00834682"/>
    <w:rsid w:val="008348D7"/>
    <w:rsid w:val="00834E5E"/>
    <w:rsid w:val="00835094"/>
    <w:rsid w:val="008350B9"/>
    <w:rsid w:val="00835384"/>
    <w:rsid w:val="008355A1"/>
    <w:rsid w:val="00835670"/>
    <w:rsid w:val="008356C4"/>
    <w:rsid w:val="008357B2"/>
    <w:rsid w:val="00835A9C"/>
    <w:rsid w:val="00835AAC"/>
    <w:rsid w:val="00835AD4"/>
    <w:rsid w:val="00835B1C"/>
    <w:rsid w:val="00835CDB"/>
    <w:rsid w:val="00835D5B"/>
    <w:rsid w:val="00835E45"/>
    <w:rsid w:val="00835FA3"/>
    <w:rsid w:val="008365E3"/>
    <w:rsid w:val="008367EA"/>
    <w:rsid w:val="008368AF"/>
    <w:rsid w:val="0083696E"/>
    <w:rsid w:val="00836AE3"/>
    <w:rsid w:val="00836D0A"/>
    <w:rsid w:val="00836FDB"/>
    <w:rsid w:val="00837425"/>
    <w:rsid w:val="008375A4"/>
    <w:rsid w:val="00837B71"/>
    <w:rsid w:val="00837C9F"/>
    <w:rsid w:val="00840117"/>
    <w:rsid w:val="008405BF"/>
    <w:rsid w:val="00840749"/>
    <w:rsid w:val="008407EF"/>
    <w:rsid w:val="0084084A"/>
    <w:rsid w:val="0084089A"/>
    <w:rsid w:val="008409C3"/>
    <w:rsid w:val="00840E81"/>
    <w:rsid w:val="00840EF3"/>
    <w:rsid w:val="008413E1"/>
    <w:rsid w:val="008413F4"/>
    <w:rsid w:val="0084156B"/>
    <w:rsid w:val="00841652"/>
    <w:rsid w:val="008416C8"/>
    <w:rsid w:val="0084190E"/>
    <w:rsid w:val="0084196E"/>
    <w:rsid w:val="00841B46"/>
    <w:rsid w:val="00842352"/>
    <w:rsid w:val="008426BB"/>
    <w:rsid w:val="00842DAA"/>
    <w:rsid w:val="008432A5"/>
    <w:rsid w:val="008432EA"/>
    <w:rsid w:val="008433EE"/>
    <w:rsid w:val="008435F5"/>
    <w:rsid w:val="00843726"/>
    <w:rsid w:val="00843873"/>
    <w:rsid w:val="00843B1E"/>
    <w:rsid w:val="00843BB7"/>
    <w:rsid w:val="00843E2A"/>
    <w:rsid w:val="008441C4"/>
    <w:rsid w:val="00844327"/>
    <w:rsid w:val="008443A8"/>
    <w:rsid w:val="008445AE"/>
    <w:rsid w:val="0084490B"/>
    <w:rsid w:val="008449C8"/>
    <w:rsid w:val="00844B85"/>
    <w:rsid w:val="00844C06"/>
    <w:rsid w:val="00844D76"/>
    <w:rsid w:val="00845257"/>
    <w:rsid w:val="008454C6"/>
    <w:rsid w:val="00845596"/>
    <w:rsid w:val="0084559E"/>
    <w:rsid w:val="008459A6"/>
    <w:rsid w:val="00845C3C"/>
    <w:rsid w:val="00845CAC"/>
    <w:rsid w:val="00845D9F"/>
    <w:rsid w:val="0084629A"/>
    <w:rsid w:val="00846556"/>
    <w:rsid w:val="00846791"/>
    <w:rsid w:val="0084697D"/>
    <w:rsid w:val="00846ECC"/>
    <w:rsid w:val="00846FA2"/>
    <w:rsid w:val="00847065"/>
    <w:rsid w:val="008471A5"/>
    <w:rsid w:val="0084730A"/>
    <w:rsid w:val="0084731C"/>
    <w:rsid w:val="00847347"/>
    <w:rsid w:val="00847655"/>
    <w:rsid w:val="008478C1"/>
    <w:rsid w:val="00847AA9"/>
    <w:rsid w:val="00847BDD"/>
    <w:rsid w:val="00847C73"/>
    <w:rsid w:val="00847E54"/>
    <w:rsid w:val="00847F5B"/>
    <w:rsid w:val="00850072"/>
    <w:rsid w:val="0085028A"/>
    <w:rsid w:val="008504C4"/>
    <w:rsid w:val="0085067D"/>
    <w:rsid w:val="00850848"/>
    <w:rsid w:val="00851314"/>
    <w:rsid w:val="008516C6"/>
    <w:rsid w:val="0085187E"/>
    <w:rsid w:val="0085192E"/>
    <w:rsid w:val="00851B18"/>
    <w:rsid w:val="00851C32"/>
    <w:rsid w:val="00851D58"/>
    <w:rsid w:val="00851E56"/>
    <w:rsid w:val="00852156"/>
    <w:rsid w:val="008524A5"/>
    <w:rsid w:val="0085250F"/>
    <w:rsid w:val="008525BE"/>
    <w:rsid w:val="0085293A"/>
    <w:rsid w:val="008529E2"/>
    <w:rsid w:val="00852E49"/>
    <w:rsid w:val="00852F27"/>
    <w:rsid w:val="00853571"/>
    <w:rsid w:val="0085364D"/>
    <w:rsid w:val="0085390F"/>
    <w:rsid w:val="008539A3"/>
    <w:rsid w:val="00853A30"/>
    <w:rsid w:val="00853A5F"/>
    <w:rsid w:val="00853C64"/>
    <w:rsid w:val="008541CD"/>
    <w:rsid w:val="00854318"/>
    <w:rsid w:val="0085431B"/>
    <w:rsid w:val="00854584"/>
    <w:rsid w:val="0085459A"/>
    <w:rsid w:val="00854647"/>
    <w:rsid w:val="00854B2F"/>
    <w:rsid w:val="00854E2A"/>
    <w:rsid w:val="00855592"/>
    <w:rsid w:val="0085572A"/>
    <w:rsid w:val="00855890"/>
    <w:rsid w:val="00855B90"/>
    <w:rsid w:val="00855E0B"/>
    <w:rsid w:val="00855FED"/>
    <w:rsid w:val="0085615C"/>
    <w:rsid w:val="0085635D"/>
    <w:rsid w:val="00856484"/>
    <w:rsid w:val="00856545"/>
    <w:rsid w:val="00856566"/>
    <w:rsid w:val="00856608"/>
    <w:rsid w:val="008567E3"/>
    <w:rsid w:val="0085687C"/>
    <w:rsid w:val="00856AAD"/>
    <w:rsid w:val="00856B29"/>
    <w:rsid w:val="00856B71"/>
    <w:rsid w:val="00856C59"/>
    <w:rsid w:val="00856C7D"/>
    <w:rsid w:val="00856EDE"/>
    <w:rsid w:val="00856F3E"/>
    <w:rsid w:val="0085718F"/>
    <w:rsid w:val="008572D2"/>
    <w:rsid w:val="008572EF"/>
    <w:rsid w:val="00857D65"/>
    <w:rsid w:val="00857F51"/>
    <w:rsid w:val="00857FA0"/>
    <w:rsid w:val="008602EA"/>
    <w:rsid w:val="0086044E"/>
    <w:rsid w:val="00860494"/>
    <w:rsid w:val="008607F7"/>
    <w:rsid w:val="008608FE"/>
    <w:rsid w:val="0086091D"/>
    <w:rsid w:val="008609AE"/>
    <w:rsid w:val="00860B14"/>
    <w:rsid w:val="00860F90"/>
    <w:rsid w:val="0086122F"/>
    <w:rsid w:val="008614CF"/>
    <w:rsid w:val="00861520"/>
    <w:rsid w:val="00861B30"/>
    <w:rsid w:val="00861D5B"/>
    <w:rsid w:val="00862149"/>
    <w:rsid w:val="0086290E"/>
    <w:rsid w:val="00862946"/>
    <w:rsid w:val="0086295C"/>
    <w:rsid w:val="00862979"/>
    <w:rsid w:val="00862A6F"/>
    <w:rsid w:val="00862C11"/>
    <w:rsid w:val="00862C28"/>
    <w:rsid w:val="00862DF5"/>
    <w:rsid w:val="00862E14"/>
    <w:rsid w:val="00862E6C"/>
    <w:rsid w:val="00862F82"/>
    <w:rsid w:val="00863047"/>
    <w:rsid w:val="0086308F"/>
    <w:rsid w:val="0086314C"/>
    <w:rsid w:val="008633EB"/>
    <w:rsid w:val="00863BF1"/>
    <w:rsid w:val="00863ED0"/>
    <w:rsid w:val="00864217"/>
    <w:rsid w:val="00864389"/>
    <w:rsid w:val="008643CF"/>
    <w:rsid w:val="008644F2"/>
    <w:rsid w:val="00864725"/>
    <w:rsid w:val="0086487F"/>
    <w:rsid w:val="0086495C"/>
    <w:rsid w:val="00864A78"/>
    <w:rsid w:val="00864C1F"/>
    <w:rsid w:val="0086502D"/>
    <w:rsid w:val="0086505A"/>
    <w:rsid w:val="00865393"/>
    <w:rsid w:val="008653C7"/>
    <w:rsid w:val="0086555D"/>
    <w:rsid w:val="008655DD"/>
    <w:rsid w:val="008659AE"/>
    <w:rsid w:val="00865B33"/>
    <w:rsid w:val="00865ECF"/>
    <w:rsid w:val="0086616E"/>
    <w:rsid w:val="00866219"/>
    <w:rsid w:val="00866221"/>
    <w:rsid w:val="00866509"/>
    <w:rsid w:val="008666D7"/>
    <w:rsid w:val="008666D9"/>
    <w:rsid w:val="008666DC"/>
    <w:rsid w:val="00866846"/>
    <w:rsid w:val="00866983"/>
    <w:rsid w:val="00866C2C"/>
    <w:rsid w:val="008671AF"/>
    <w:rsid w:val="008672FD"/>
    <w:rsid w:val="008676BD"/>
    <w:rsid w:val="008677E3"/>
    <w:rsid w:val="008678D0"/>
    <w:rsid w:val="00867A63"/>
    <w:rsid w:val="00867BC1"/>
    <w:rsid w:val="00867E1E"/>
    <w:rsid w:val="00867F38"/>
    <w:rsid w:val="00870116"/>
    <w:rsid w:val="00870255"/>
    <w:rsid w:val="008706CA"/>
    <w:rsid w:val="008709DB"/>
    <w:rsid w:val="00870E13"/>
    <w:rsid w:val="00871515"/>
    <w:rsid w:val="00871883"/>
    <w:rsid w:val="008719B9"/>
    <w:rsid w:val="00871DC4"/>
    <w:rsid w:val="008720E1"/>
    <w:rsid w:val="008721CC"/>
    <w:rsid w:val="0087220B"/>
    <w:rsid w:val="0087226A"/>
    <w:rsid w:val="00872394"/>
    <w:rsid w:val="008723B2"/>
    <w:rsid w:val="0087269B"/>
    <w:rsid w:val="00872AB5"/>
    <w:rsid w:val="00872B91"/>
    <w:rsid w:val="00872D81"/>
    <w:rsid w:val="008737D2"/>
    <w:rsid w:val="00873BC3"/>
    <w:rsid w:val="00874633"/>
    <w:rsid w:val="00874734"/>
    <w:rsid w:val="008747E7"/>
    <w:rsid w:val="00874833"/>
    <w:rsid w:val="0087489C"/>
    <w:rsid w:val="00874968"/>
    <w:rsid w:val="00874CED"/>
    <w:rsid w:val="00874DEB"/>
    <w:rsid w:val="00874E3B"/>
    <w:rsid w:val="00874F5A"/>
    <w:rsid w:val="00874FBF"/>
    <w:rsid w:val="008754E8"/>
    <w:rsid w:val="00875B6B"/>
    <w:rsid w:val="00875C18"/>
    <w:rsid w:val="00875FA9"/>
    <w:rsid w:val="008761E3"/>
    <w:rsid w:val="00876276"/>
    <w:rsid w:val="00876873"/>
    <w:rsid w:val="00876B3E"/>
    <w:rsid w:val="00876C40"/>
    <w:rsid w:val="00876D27"/>
    <w:rsid w:val="00876DEC"/>
    <w:rsid w:val="0087703C"/>
    <w:rsid w:val="00877117"/>
    <w:rsid w:val="008773AF"/>
    <w:rsid w:val="0087745F"/>
    <w:rsid w:val="00877461"/>
    <w:rsid w:val="008778A7"/>
    <w:rsid w:val="008778F9"/>
    <w:rsid w:val="00877A5B"/>
    <w:rsid w:val="00877CD4"/>
    <w:rsid w:val="00877D4C"/>
    <w:rsid w:val="008803F6"/>
    <w:rsid w:val="0088069E"/>
    <w:rsid w:val="008809C8"/>
    <w:rsid w:val="00880EE9"/>
    <w:rsid w:val="00880F42"/>
    <w:rsid w:val="008810C3"/>
    <w:rsid w:val="00881239"/>
    <w:rsid w:val="008813B7"/>
    <w:rsid w:val="0088166F"/>
    <w:rsid w:val="00881920"/>
    <w:rsid w:val="00881C16"/>
    <w:rsid w:val="00881E21"/>
    <w:rsid w:val="008820E2"/>
    <w:rsid w:val="00882230"/>
    <w:rsid w:val="0088225A"/>
    <w:rsid w:val="00882395"/>
    <w:rsid w:val="00882931"/>
    <w:rsid w:val="00882993"/>
    <w:rsid w:val="008830D4"/>
    <w:rsid w:val="0088317C"/>
    <w:rsid w:val="008832B1"/>
    <w:rsid w:val="008832B6"/>
    <w:rsid w:val="008833D5"/>
    <w:rsid w:val="00883703"/>
    <w:rsid w:val="008839C2"/>
    <w:rsid w:val="00883A85"/>
    <w:rsid w:val="00883BDD"/>
    <w:rsid w:val="00884168"/>
    <w:rsid w:val="0088420E"/>
    <w:rsid w:val="0088447F"/>
    <w:rsid w:val="00884540"/>
    <w:rsid w:val="0088480C"/>
    <w:rsid w:val="00884909"/>
    <w:rsid w:val="0088492F"/>
    <w:rsid w:val="00884B78"/>
    <w:rsid w:val="00884B89"/>
    <w:rsid w:val="00884C11"/>
    <w:rsid w:val="00884D9C"/>
    <w:rsid w:val="00884DC6"/>
    <w:rsid w:val="008852EC"/>
    <w:rsid w:val="0088531E"/>
    <w:rsid w:val="00885626"/>
    <w:rsid w:val="008857D7"/>
    <w:rsid w:val="008858BE"/>
    <w:rsid w:val="008858C2"/>
    <w:rsid w:val="008859DA"/>
    <w:rsid w:val="00885B9B"/>
    <w:rsid w:val="00885C81"/>
    <w:rsid w:val="00885D0B"/>
    <w:rsid w:val="00885E32"/>
    <w:rsid w:val="00885EA0"/>
    <w:rsid w:val="00886199"/>
    <w:rsid w:val="008862CD"/>
    <w:rsid w:val="008866F3"/>
    <w:rsid w:val="0088671A"/>
    <w:rsid w:val="00886BAB"/>
    <w:rsid w:val="00886E78"/>
    <w:rsid w:val="00887006"/>
    <w:rsid w:val="00887097"/>
    <w:rsid w:val="0088727D"/>
    <w:rsid w:val="0088762A"/>
    <w:rsid w:val="00887696"/>
    <w:rsid w:val="00887952"/>
    <w:rsid w:val="00887BD3"/>
    <w:rsid w:val="00887D41"/>
    <w:rsid w:val="00887E87"/>
    <w:rsid w:val="008902AF"/>
    <w:rsid w:val="00890316"/>
    <w:rsid w:val="00890325"/>
    <w:rsid w:val="0089064E"/>
    <w:rsid w:val="00890766"/>
    <w:rsid w:val="0089090C"/>
    <w:rsid w:val="00890D37"/>
    <w:rsid w:val="00890EC3"/>
    <w:rsid w:val="00890F01"/>
    <w:rsid w:val="00890F52"/>
    <w:rsid w:val="00890FD5"/>
    <w:rsid w:val="00891161"/>
    <w:rsid w:val="00891168"/>
    <w:rsid w:val="0089131E"/>
    <w:rsid w:val="0089141E"/>
    <w:rsid w:val="008914A1"/>
    <w:rsid w:val="008914F2"/>
    <w:rsid w:val="00891565"/>
    <w:rsid w:val="00891B52"/>
    <w:rsid w:val="00891BB5"/>
    <w:rsid w:val="00891DC3"/>
    <w:rsid w:val="00891F2C"/>
    <w:rsid w:val="00891F56"/>
    <w:rsid w:val="00891F60"/>
    <w:rsid w:val="008922C5"/>
    <w:rsid w:val="00892DD6"/>
    <w:rsid w:val="00892E0E"/>
    <w:rsid w:val="00892ED1"/>
    <w:rsid w:val="0089312B"/>
    <w:rsid w:val="008931AC"/>
    <w:rsid w:val="008932D3"/>
    <w:rsid w:val="008932EB"/>
    <w:rsid w:val="00893476"/>
    <w:rsid w:val="008935BD"/>
    <w:rsid w:val="00893C6D"/>
    <w:rsid w:val="00893D09"/>
    <w:rsid w:val="00894230"/>
    <w:rsid w:val="008946D3"/>
    <w:rsid w:val="00894836"/>
    <w:rsid w:val="008948C6"/>
    <w:rsid w:val="008948D2"/>
    <w:rsid w:val="00894A88"/>
    <w:rsid w:val="00894B3C"/>
    <w:rsid w:val="00894DDF"/>
    <w:rsid w:val="00895244"/>
    <w:rsid w:val="00895363"/>
    <w:rsid w:val="008956F8"/>
    <w:rsid w:val="00895938"/>
    <w:rsid w:val="00895962"/>
    <w:rsid w:val="00895D66"/>
    <w:rsid w:val="00895DE8"/>
    <w:rsid w:val="00895DF9"/>
    <w:rsid w:val="00895EB8"/>
    <w:rsid w:val="008963BA"/>
    <w:rsid w:val="008964E0"/>
    <w:rsid w:val="00896511"/>
    <w:rsid w:val="00896881"/>
    <w:rsid w:val="00896B88"/>
    <w:rsid w:val="00896CB6"/>
    <w:rsid w:val="00896DBD"/>
    <w:rsid w:val="00896FF9"/>
    <w:rsid w:val="0089704F"/>
    <w:rsid w:val="00897071"/>
    <w:rsid w:val="008970FC"/>
    <w:rsid w:val="008972AF"/>
    <w:rsid w:val="00897342"/>
    <w:rsid w:val="008977AE"/>
    <w:rsid w:val="0089781E"/>
    <w:rsid w:val="00897899"/>
    <w:rsid w:val="00897910"/>
    <w:rsid w:val="00897985"/>
    <w:rsid w:val="00897F4C"/>
    <w:rsid w:val="008A0167"/>
    <w:rsid w:val="008A055E"/>
    <w:rsid w:val="008A0684"/>
    <w:rsid w:val="008A0692"/>
    <w:rsid w:val="008A0A8D"/>
    <w:rsid w:val="008A0ABD"/>
    <w:rsid w:val="008A0EAF"/>
    <w:rsid w:val="008A1431"/>
    <w:rsid w:val="008A16AE"/>
    <w:rsid w:val="008A199E"/>
    <w:rsid w:val="008A19E7"/>
    <w:rsid w:val="008A1AFA"/>
    <w:rsid w:val="008A1BA1"/>
    <w:rsid w:val="008A1C44"/>
    <w:rsid w:val="008A1D3A"/>
    <w:rsid w:val="008A1E68"/>
    <w:rsid w:val="008A1EE0"/>
    <w:rsid w:val="008A1F63"/>
    <w:rsid w:val="008A21BA"/>
    <w:rsid w:val="008A21F3"/>
    <w:rsid w:val="008A22CB"/>
    <w:rsid w:val="008A26E2"/>
    <w:rsid w:val="008A28EB"/>
    <w:rsid w:val="008A2B41"/>
    <w:rsid w:val="008A2ECB"/>
    <w:rsid w:val="008A3151"/>
    <w:rsid w:val="008A3306"/>
    <w:rsid w:val="008A371E"/>
    <w:rsid w:val="008A3795"/>
    <w:rsid w:val="008A38F9"/>
    <w:rsid w:val="008A3AE7"/>
    <w:rsid w:val="008A3B6B"/>
    <w:rsid w:val="008A3CC1"/>
    <w:rsid w:val="008A3EE3"/>
    <w:rsid w:val="008A3F29"/>
    <w:rsid w:val="008A421F"/>
    <w:rsid w:val="008A42A6"/>
    <w:rsid w:val="008A44A7"/>
    <w:rsid w:val="008A44B9"/>
    <w:rsid w:val="008A4736"/>
    <w:rsid w:val="008A4A76"/>
    <w:rsid w:val="008A4D4F"/>
    <w:rsid w:val="008A4D8F"/>
    <w:rsid w:val="008A4EBC"/>
    <w:rsid w:val="008A5380"/>
    <w:rsid w:val="008A53EE"/>
    <w:rsid w:val="008A5426"/>
    <w:rsid w:val="008A554A"/>
    <w:rsid w:val="008A5720"/>
    <w:rsid w:val="008A5789"/>
    <w:rsid w:val="008A580A"/>
    <w:rsid w:val="008A582D"/>
    <w:rsid w:val="008A58C9"/>
    <w:rsid w:val="008A592C"/>
    <w:rsid w:val="008A5B21"/>
    <w:rsid w:val="008A5C6C"/>
    <w:rsid w:val="008A5EEE"/>
    <w:rsid w:val="008A5FA5"/>
    <w:rsid w:val="008A61DA"/>
    <w:rsid w:val="008A62E3"/>
    <w:rsid w:val="008A6392"/>
    <w:rsid w:val="008A6537"/>
    <w:rsid w:val="008A65A9"/>
    <w:rsid w:val="008A67E4"/>
    <w:rsid w:val="008A68F8"/>
    <w:rsid w:val="008A6937"/>
    <w:rsid w:val="008A69A3"/>
    <w:rsid w:val="008A6AFD"/>
    <w:rsid w:val="008A6CDC"/>
    <w:rsid w:val="008A6DAB"/>
    <w:rsid w:val="008A7026"/>
    <w:rsid w:val="008A7149"/>
    <w:rsid w:val="008A7291"/>
    <w:rsid w:val="008A75DF"/>
    <w:rsid w:val="008A76FB"/>
    <w:rsid w:val="008A78F2"/>
    <w:rsid w:val="008A7C0E"/>
    <w:rsid w:val="008A7D12"/>
    <w:rsid w:val="008A7EF1"/>
    <w:rsid w:val="008A7F30"/>
    <w:rsid w:val="008B0032"/>
    <w:rsid w:val="008B04E1"/>
    <w:rsid w:val="008B05D4"/>
    <w:rsid w:val="008B0697"/>
    <w:rsid w:val="008B08F1"/>
    <w:rsid w:val="008B0CDA"/>
    <w:rsid w:val="008B0FE9"/>
    <w:rsid w:val="008B1003"/>
    <w:rsid w:val="008B107E"/>
    <w:rsid w:val="008B15D4"/>
    <w:rsid w:val="008B1722"/>
    <w:rsid w:val="008B1860"/>
    <w:rsid w:val="008B196E"/>
    <w:rsid w:val="008B1E84"/>
    <w:rsid w:val="008B1FDB"/>
    <w:rsid w:val="008B2048"/>
    <w:rsid w:val="008B227C"/>
    <w:rsid w:val="008B241A"/>
    <w:rsid w:val="008B2641"/>
    <w:rsid w:val="008B26CB"/>
    <w:rsid w:val="008B2C88"/>
    <w:rsid w:val="008B3000"/>
    <w:rsid w:val="008B31B9"/>
    <w:rsid w:val="008B332C"/>
    <w:rsid w:val="008B3470"/>
    <w:rsid w:val="008B361D"/>
    <w:rsid w:val="008B36FD"/>
    <w:rsid w:val="008B37D3"/>
    <w:rsid w:val="008B3984"/>
    <w:rsid w:val="008B3BFC"/>
    <w:rsid w:val="008B3C87"/>
    <w:rsid w:val="008B4301"/>
    <w:rsid w:val="008B44F6"/>
    <w:rsid w:val="008B4588"/>
    <w:rsid w:val="008B47C2"/>
    <w:rsid w:val="008B492B"/>
    <w:rsid w:val="008B4A3C"/>
    <w:rsid w:val="008B4AB2"/>
    <w:rsid w:val="008B4BA9"/>
    <w:rsid w:val="008B4FA5"/>
    <w:rsid w:val="008B520B"/>
    <w:rsid w:val="008B5557"/>
    <w:rsid w:val="008B557F"/>
    <w:rsid w:val="008B5812"/>
    <w:rsid w:val="008B5B4C"/>
    <w:rsid w:val="008B5DF9"/>
    <w:rsid w:val="008B6029"/>
    <w:rsid w:val="008B621A"/>
    <w:rsid w:val="008B6288"/>
    <w:rsid w:val="008B62FF"/>
    <w:rsid w:val="008B63BF"/>
    <w:rsid w:val="008B6471"/>
    <w:rsid w:val="008B6535"/>
    <w:rsid w:val="008B669A"/>
    <w:rsid w:val="008B66BE"/>
    <w:rsid w:val="008B6733"/>
    <w:rsid w:val="008B68B0"/>
    <w:rsid w:val="008B691D"/>
    <w:rsid w:val="008B69BE"/>
    <w:rsid w:val="008B6BE4"/>
    <w:rsid w:val="008B6E92"/>
    <w:rsid w:val="008B7011"/>
    <w:rsid w:val="008B7136"/>
    <w:rsid w:val="008B72C7"/>
    <w:rsid w:val="008B749F"/>
    <w:rsid w:val="008B7632"/>
    <w:rsid w:val="008B7813"/>
    <w:rsid w:val="008B79B9"/>
    <w:rsid w:val="008B7A4E"/>
    <w:rsid w:val="008B7A87"/>
    <w:rsid w:val="008B7BB3"/>
    <w:rsid w:val="008B7D18"/>
    <w:rsid w:val="008C0313"/>
    <w:rsid w:val="008C09F8"/>
    <w:rsid w:val="008C0DA9"/>
    <w:rsid w:val="008C0E03"/>
    <w:rsid w:val="008C131E"/>
    <w:rsid w:val="008C141D"/>
    <w:rsid w:val="008C1A45"/>
    <w:rsid w:val="008C1C38"/>
    <w:rsid w:val="008C1D2F"/>
    <w:rsid w:val="008C2414"/>
    <w:rsid w:val="008C2583"/>
    <w:rsid w:val="008C2726"/>
    <w:rsid w:val="008C27CA"/>
    <w:rsid w:val="008C29AA"/>
    <w:rsid w:val="008C2CD6"/>
    <w:rsid w:val="008C2E00"/>
    <w:rsid w:val="008C3137"/>
    <w:rsid w:val="008C3193"/>
    <w:rsid w:val="008C31A9"/>
    <w:rsid w:val="008C31CF"/>
    <w:rsid w:val="008C3973"/>
    <w:rsid w:val="008C3A9E"/>
    <w:rsid w:val="008C3D1D"/>
    <w:rsid w:val="008C409D"/>
    <w:rsid w:val="008C439C"/>
    <w:rsid w:val="008C45A0"/>
    <w:rsid w:val="008C4688"/>
    <w:rsid w:val="008C4D4E"/>
    <w:rsid w:val="008C4EAE"/>
    <w:rsid w:val="008C4F8A"/>
    <w:rsid w:val="008C5303"/>
    <w:rsid w:val="008C534E"/>
    <w:rsid w:val="008C5502"/>
    <w:rsid w:val="008C5761"/>
    <w:rsid w:val="008C597A"/>
    <w:rsid w:val="008C5E77"/>
    <w:rsid w:val="008C5F9D"/>
    <w:rsid w:val="008C65E0"/>
    <w:rsid w:val="008C6631"/>
    <w:rsid w:val="008C66D4"/>
    <w:rsid w:val="008C686E"/>
    <w:rsid w:val="008C68AC"/>
    <w:rsid w:val="008C6AAB"/>
    <w:rsid w:val="008C6B07"/>
    <w:rsid w:val="008C6B7E"/>
    <w:rsid w:val="008C6C6D"/>
    <w:rsid w:val="008C72B5"/>
    <w:rsid w:val="008C7370"/>
    <w:rsid w:val="008C73BC"/>
    <w:rsid w:val="008C75FE"/>
    <w:rsid w:val="008C7897"/>
    <w:rsid w:val="008C7A3F"/>
    <w:rsid w:val="008C7B58"/>
    <w:rsid w:val="008C7C97"/>
    <w:rsid w:val="008C7D83"/>
    <w:rsid w:val="008D01A1"/>
    <w:rsid w:val="008D036D"/>
    <w:rsid w:val="008D05B9"/>
    <w:rsid w:val="008D07D3"/>
    <w:rsid w:val="008D0B61"/>
    <w:rsid w:val="008D1264"/>
    <w:rsid w:val="008D15A6"/>
    <w:rsid w:val="008D170A"/>
    <w:rsid w:val="008D1EB6"/>
    <w:rsid w:val="008D2081"/>
    <w:rsid w:val="008D20C0"/>
    <w:rsid w:val="008D2143"/>
    <w:rsid w:val="008D2467"/>
    <w:rsid w:val="008D24AE"/>
    <w:rsid w:val="008D27D1"/>
    <w:rsid w:val="008D2B64"/>
    <w:rsid w:val="008D2B91"/>
    <w:rsid w:val="008D2BF0"/>
    <w:rsid w:val="008D2D49"/>
    <w:rsid w:val="008D319D"/>
    <w:rsid w:val="008D33FE"/>
    <w:rsid w:val="008D36AE"/>
    <w:rsid w:val="008D3724"/>
    <w:rsid w:val="008D38B5"/>
    <w:rsid w:val="008D3967"/>
    <w:rsid w:val="008D39CD"/>
    <w:rsid w:val="008D3AC1"/>
    <w:rsid w:val="008D3FDB"/>
    <w:rsid w:val="008D41B4"/>
    <w:rsid w:val="008D4612"/>
    <w:rsid w:val="008D4767"/>
    <w:rsid w:val="008D4780"/>
    <w:rsid w:val="008D492A"/>
    <w:rsid w:val="008D4A00"/>
    <w:rsid w:val="008D4A05"/>
    <w:rsid w:val="008D4B30"/>
    <w:rsid w:val="008D4F06"/>
    <w:rsid w:val="008D4F3F"/>
    <w:rsid w:val="008D4F68"/>
    <w:rsid w:val="008D4F98"/>
    <w:rsid w:val="008D569E"/>
    <w:rsid w:val="008D5972"/>
    <w:rsid w:val="008D59B3"/>
    <w:rsid w:val="008D59BB"/>
    <w:rsid w:val="008D5EAE"/>
    <w:rsid w:val="008D6072"/>
    <w:rsid w:val="008D60D1"/>
    <w:rsid w:val="008D672A"/>
    <w:rsid w:val="008D678A"/>
    <w:rsid w:val="008D6A5A"/>
    <w:rsid w:val="008D6C53"/>
    <w:rsid w:val="008D6D3B"/>
    <w:rsid w:val="008D6F2E"/>
    <w:rsid w:val="008D6FC0"/>
    <w:rsid w:val="008D7606"/>
    <w:rsid w:val="008D7802"/>
    <w:rsid w:val="008D7874"/>
    <w:rsid w:val="008D7AFA"/>
    <w:rsid w:val="008D7BDF"/>
    <w:rsid w:val="008D7D48"/>
    <w:rsid w:val="008D7EDA"/>
    <w:rsid w:val="008E0116"/>
    <w:rsid w:val="008E0240"/>
    <w:rsid w:val="008E0390"/>
    <w:rsid w:val="008E0433"/>
    <w:rsid w:val="008E0909"/>
    <w:rsid w:val="008E0CAE"/>
    <w:rsid w:val="008E0E0B"/>
    <w:rsid w:val="008E14B4"/>
    <w:rsid w:val="008E16DC"/>
    <w:rsid w:val="008E176C"/>
    <w:rsid w:val="008E18C5"/>
    <w:rsid w:val="008E1B94"/>
    <w:rsid w:val="008E1C57"/>
    <w:rsid w:val="008E212B"/>
    <w:rsid w:val="008E2130"/>
    <w:rsid w:val="008E22D3"/>
    <w:rsid w:val="008E2568"/>
    <w:rsid w:val="008E2E5B"/>
    <w:rsid w:val="008E2FC4"/>
    <w:rsid w:val="008E30AB"/>
    <w:rsid w:val="008E3203"/>
    <w:rsid w:val="008E36AA"/>
    <w:rsid w:val="008E39DF"/>
    <w:rsid w:val="008E3A6A"/>
    <w:rsid w:val="008E3B03"/>
    <w:rsid w:val="008E3C30"/>
    <w:rsid w:val="008E3EE6"/>
    <w:rsid w:val="008E4173"/>
    <w:rsid w:val="008E43ED"/>
    <w:rsid w:val="008E4639"/>
    <w:rsid w:val="008E4962"/>
    <w:rsid w:val="008E4B11"/>
    <w:rsid w:val="008E4D28"/>
    <w:rsid w:val="008E4F35"/>
    <w:rsid w:val="008E510D"/>
    <w:rsid w:val="008E51DC"/>
    <w:rsid w:val="008E5280"/>
    <w:rsid w:val="008E5325"/>
    <w:rsid w:val="008E56B2"/>
    <w:rsid w:val="008E56C7"/>
    <w:rsid w:val="008E5760"/>
    <w:rsid w:val="008E5BB5"/>
    <w:rsid w:val="008E5C91"/>
    <w:rsid w:val="008E5CC6"/>
    <w:rsid w:val="008E5EBC"/>
    <w:rsid w:val="008E6095"/>
    <w:rsid w:val="008E60AF"/>
    <w:rsid w:val="008E637A"/>
    <w:rsid w:val="008E66D1"/>
    <w:rsid w:val="008E68C3"/>
    <w:rsid w:val="008E6938"/>
    <w:rsid w:val="008E6B6E"/>
    <w:rsid w:val="008E6C34"/>
    <w:rsid w:val="008E6F07"/>
    <w:rsid w:val="008E722B"/>
    <w:rsid w:val="008E7291"/>
    <w:rsid w:val="008E759C"/>
    <w:rsid w:val="008E76DB"/>
    <w:rsid w:val="008E773E"/>
    <w:rsid w:val="008E77A1"/>
    <w:rsid w:val="008E77A8"/>
    <w:rsid w:val="008E7B86"/>
    <w:rsid w:val="008E7C42"/>
    <w:rsid w:val="008E7DDD"/>
    <w:rsid w:val="008E7F12"/>
    <w:rsid w:val="008E7FA2"/>
    <w:rsid w:val="008F0564"/>
    <w:rsid w:val="008F0679"/>
    <w:rsid w:val="008F0921"/>
    <w:rsid w:val="008F0D31"/>
    <w:rsid w:val="008F0ECD"/>
    <w:rsid w:val="008F1097"/>
    <w:rsid w:val="008F14D7"/>
    <w:rsid w:val="008F1502"/>
    <w:rsid w:val="008F1749"/>
    <w:rsid w:val="008F17E4"/>
    <w:rsid w:val="008F1D00"/>
    <w:rsid w:val="008F1D34"/>
    <w:rsid w:val="008F1EBE"/>
    <w:rsid w:val="008F1FF6"/>
    <w:rsid w:val="008F1FFB"/>
    <w:rsid w:val="008F209A"/>
    <w:rsid w:val="008F2131"/>
    <w:rsid w:val="008F272A"/>
    <w:rsid w:val="008F2A0E"/>
    <w:rsid w:val="008F2A3D"/>
    <w:rsid w:val="008F2C27"/>
    <w:rsid w:val="008F2D3C"/>
    <w:rsid w:val="008F2D71"/>
    <w:rsid w:val="008F2DC2"/>
    <w:rsid w:val="008F2E26"/>
    <w:rsid w:val="008F320F"/>
    <w:rsid w:val="008F3223"/>
    <w:rsid w:val="008F38DA"/>
    <w:rsid w:val="008F460D"/>
    <w:rsid w:val="008F466D"/>
    <w:rsid w:val="008F4849"/>
    <w:rsid w:val="008F48F8"/>
    <w:rsid w:val="008F4A3E"/>
    <w:rsid w:val="008F50A2"/>
    <w:rsid w:val="008F51CC"/>
    <w:rsid w:val="008F5298"/>
    <w:rsid w:val="008F554E"/>
    <w:rsid w:val="008F56DA"/>
    <w:rsid w:val="008F5791"/>
    <w:rsid w:val="008F588E"/>
    <w:rsid w:val="008F5926"/>
    <w:rsid w:val="008F5B49"/>
    <w:rsid w:val="008F5CA9"/>
    <w:rsid w:val="008F5E02"/>
    <w:rsid w:val="008F6019"/>
    <w:rsid w:val="008F633D"/>
    <w:rsid w:val="008F63A2"/>
    <w:rsid w:val="008F653A"/>
    <w:rsid w:val="008F658D"/>
    <w:rsid w:val="008F6814"/>
    <w:rsid w:val="008F6991"/>
    <w:rsid w:val="008F6B40"/>
    <w:rsid w:val="008F7156"/>
    <w:rsid w:val="008F7563"/>
    <w:rsid w:val="008F77B0"/>
    <w:rsid w:val="008F7A1A"/>
    <w:rsid w:val="008F7BA7"/>
    <w:rsid w:val="008F7C13"/>
    <w:rsid w:val="008F7C86"/>
    <w:rsid w:val="008F7F92"/>
    <w:rsid w:val="00900077"/>
    <w:rsid w:val="009000D1"/>
    <w:rsid w:val="00900515"/>
    <w:rsid w:val="009006AE"/>
    <w:rsid w:val="009007C5"/>
    <w:rsid w:val="00900841"/>
    <w:rsid w:val="00900C92"/>
    <w:rsid w:val="00900D00"/>
    <w:rsid w:val="00900D49"/>
    <w:rsid w:val="00900E3D"/>
    <w:rsid w:val="00900EE5"/>
    <w:rsid w:val="00901231"/>
    <w:rsid w:val="0090124C"/>
    <w:rsid w:val="009014FC"/>
    <w:rsid w:val="0090163A"/>
    <w:rsid w:val="00901729"/>
    <w:rsid w:val="009017A6"/>
    <w:rsid w:val="00901804"/>
    <w:rsid w:val="009019C7"/>
    <w:rsid w:val="009022E4"/>
    <w:rsid w:val="009023DD"/>
    <w:rsid w:val="00902427"/>
    <w:rsid w:val="009024E5"/>
    <w:rsid w:val="009025D9"/>
    <w:rsid w:val="009029CA"/>
    <w:rsid w:val="009029CC"/>
    <w:rsid w:val="00902A29"/>
    <w:rsid w:val="00902C3C"/>
    <w:rsid w:val="00902C50"/>
    <w:rsid w:val="00902F48"/>
    <w:rsid w:val="00903035"/>
    <w:rsid w:val="00903055"/>
    <w:rsid w:val="009030EA"/>
    <w:rsid w:val="009033C3"/>
    <w:rsid w:val="00903864"/>
    <w:rsid w:val="009038BC"/>
    <w:rsid w:val="00903A90"/>
    <w:rsid w:val="00903B27"/>
    <w:rsid w:val="00903CDC"/>
    <w:rsid w:val="00903CE7"/>
    <w:rsid w:val="00903CE9"/>
    <w:rsid w:val="00903D14"/>
    <w:rsid w:val="00903D53"/>
    <w:rsid w:val="00903E7D"/>
    <w:rsid w:val="00903F5E"/>
    <w:rsid w:val="009041DB"/>
    <w:rsid w:val="009042F0"/>
    <w:rsid w:val="009045A4"/>
    <w:rsid w:val="0090471D"/>
    <w:rsid w:val="00904854"/>
    <w:rsid w:val="009048D4"/>
    <w:rsid w:val="0090497B"/>
    <w:rsid w:val="00904CBF"/>
    <w:rsid w:val="00904D10"/>
    <w:rsid w:val="00904F97"/>
    <w:rsid w:val="00905472"/>
    <w:rsid w:val="009056A9"/>
    <w:rsid w:val="00905972"/>
    <w:rsid w:val="00905A7B"/>
    <w:rsid w:val="00905BAD"/>
    <w:rsid w:val="00905D06"/>
    <w:rsid w:val="0090619A"/>
    <w:rsid w:val="009062E3"/>
    <w:rsid w:val="0090632B"/>
    <w:rsid w:val="0090645A"/>
    <w:rsid w:val="0090666E"/>
    <w:rsid w:val="009067BD"/>
    <w:rsid w:val="009067CE"/>
    <w:rsid w:val="00906C1A"/>
    <w:rsid w:val="00906C6E"/>
    <w:rsid w:val="00906D88"/>
    <w:rsid w:val="0090700D"/>
    <w:rsid w:val="009075AD"/>
    <w:rsid w:val="00907725"/>
    <w:rsid w:val="0090793D"/>
    <w:rsid w:val="00907A20"/>
    <w:rsid w:val="00907DD1"/>
    <w:rsid w:val="00907E3E"/>
    <w:rsid w:val="00907EBA"/>
    <w:rsid w:val="00910038"/>
    <w:rsid w:val="009102FF"/>
    <w:rsid w:val="0091040B"/>
    <w:rsid w:val="0091053B"/>
    <w:rsid w:val="009105DE"/>
    <w:rsid w:val="00910892"/>
    <w:rsid w:val="00910897"/>
    <w:rsid w:val="00910943"/>
    <w:rsid w:val="00910BB7"/>
    <w:rsid w:val="00910C7A"/>
    <w:rsid w:val="009110D2"/>
    <w:rsid w:val="00911232"/>
    <w:rsid w:val="0091186D"/>
    <w:rsid w:val="00911AEC"/>
    <w:rsid w:val="00911C8D"/>
    <w:rsid w:val="00911E61"/>
    <w:rsid w:val="00911E96"/>
    <w:rsid w:val="00911EA7"/>
    <w:rsid w:val="00911EC9"/>
    <w:rsid w:val="00912258"/>
    <w:rsid w:val="00912300"/>
    <w:rsid w:val="009127FA"/>
    <w:rsid w:val="009128C9"/>
    <w:rsid w:val="00912B3A"/>
    <w:rsid w:val="00912BA3"/>
    <w:rsid w:val="00912DD4"/>
    <w:rsid w:val="00912EF1"/>
    <w:rsid w:val="00913317"/>
    <w:rsid w:val="0091367C"/>
    <w:rsid w:val="00913894"/>
    <w:rsid w:val="00913932"/>
    <w:rsid w:val="009139DC"/>
    <w:rsid w:val="00913BB0"/>
    <w:rsid w:val="00913DC3"/>
    <w:rsid w:val="00913DC4"/>
    <w:rsid w:val="009141E3"/>
    <w:rsid w:val="009147EA"/>
    <w:rsid w:val="00914889"/>
    <w:rsid w:val="009149E9"/>
    <w:rsid w:val="00914B5F"/>
    <w:rsid w:val="00914E0B"/>
    <w:rsid w:val="00914EFB"/>
    <w:rsid w:val="009153B9"/>
    <w:rsid w:val="00915593"/>
    <w:rsid w:val="00915767"/>
    <w:rsid w:val="009157C6"/>
    <w:rsid w:val="00915876"/>
    <w:rsid w:val="0091591F"/>
    <w:rsid w:val="0091596A"/>
    <w:rsid w:val="009160BA"/>
    <w:rsid w:val="009161B1"/>
    <w:rsid w:val="009162EC"/>
    <w:rsid w:val="009163A4"/>
    <w:rsid w:val="00916709"/>
    <w:rsid w:val="00916717"/>
    <w:rsid w:val="00916A70"/>
    <w:rsid w:val="00916B6F"/>
    <w:rsid w:val="00916B72"/>
    <w:rsid w:val="00916C33"/>
    <w:rsid w:val="00916D75"/>
    <w:rsid w:val="00916E1D"/>
    <w:rsid w:val="00917101"/>
    <w:rsid w:val="0091719C"/>
    <w:rsid w:val="0091734A"/>
    <w:rsid w:val="0091772D"/>
    <w:rsid w:val="009178B3"/>
    <w:rsid w:val="0091792D"/>
    <w:rsid w:val="00917A96"/>
    <w:rsid w:val="00920084"/>
    <w:rsid w:val="0092043B"/>
    <w:rsid w:val="0092053E"/>
    <w:rsid w:val="00920591"/>
    <w:rsid w:val="009206EC"/>
    <w:rsid w:val="009207B7"/>
    <w:rsid w:val="009209F6"/>
    <w:rsid w:val="00920B80"/>
    <w:rsid w:val="00920D50"/>
    <w:rsid w:val="00920D60"/>
    <w:rsid w:val="00920DD3"/>
    <w:rsid w:val="00920DFC"/>
    <w:rsid w:val="00920E4A"/>
    <w:rsid w:val="00921336"/>
    <w:rsid w:val="0092171A"/>
    <w:rsid w:val="0092174A"/>
    <w:rsid w:val="00921E7A"/>
    <w:rsid w:val="009220BD"/>
    <w:rsid w:val="0092234A"/>
    <w:rsid w:val="009224CE"/>
    <w:rsid w:val="009226A1"/>
    <w:rsid w:val="009226AD"/>
    <w:rsid w:val="00922762"/>
    <w:rsid w:val="00922A20"/>
    <w:rsid w:val="00922B3A"/>
    <w:rsid w:val="00922F6B"/>
    <w:rsid w:val="00922FB9"/>
    <w:rsid w:val="009230C1"/>
    <w:rsid w:val="00923461"/>
    <w:rsid w:val="009235B1"/>
    <w:rsid w:val="0092367F"/>
    <w:rsid w:val="00923962"/>
    <w:rsid w:val="00923CE5"/>
    <w:rsid w:val="00923CF2"/>
    <w:rsid w:val="00924036"/>
    <w:rsid w:val="00924296"/>
    <w:rsid w:val="00924AC6"/>
    <w:rsid w:val="00924CB6"/>
    <w:rsid w:val="00924E29"/>
    <w:rsid w:val="009250BF"/>
    <w:rsid w:val="0092515B"/>
    <w:rsid w:val="00925192"/>
    <w:rsid w:val="0092531F"/>
    <w:rsid w:val="009253E1"/>
    <w:rsid w:val="00925434"/>
    <w:rsid w:val="00925558"/>
    <w:rsid w:val="00925741"/>
    <w:rsid w:val="00925952"/>
    <w:rsid w:val="00925C21"/>
    <w:rsid w:val="00925DBE"/>
    <w:rsid w:val="00925E5D"/>
    <w:rsid w:val="00925EA6"/>
    <w:rsid w:val="00925F20"/>
    <w:rsid w:val="00925F6C"/>
    <w:rsid w:val="009262E4"/>
    <w:rsid w:val="00926480"/>
    <w:rsid w:val="009267D4"/>
    <w:rsid w:val="00926A73"/>
    <w:rsid w:val="00926A7C"/>
    <w:rsid w:val="00926F08"/>
    <w:rsid w:val="00926F3D"/>
    <w:rsid w:val="009270D0"/>
    <w:rsid w:val="00927227"/>
    <w:rsid w:val="0092724F"/>
    <w:rsid w:val="0092747A"/>
    <w:rsid w:val="00927880"/>
    <w:rsid w:val="009279C5"/>
    <w:rsid w:val="00927C40"/>
    <w:rsid w:val="00927D7A"/>
    <w:rsid w:val="00927DD2"/>
    <w:rsid w:val="00927ECF"/>
    <w:rsid w:val="00927F55"/>
    <w:rsid w:val="00927FD9"/>
    <w:rsid w:val="00930384"/>
    <w:rsid w:val="00930515"/>
    <w:rsid w:val="00930524"/>
    <w:rsid w:val="00930557"/>
    <w:rsid w:val="009305B4"/>
    <w:rsid w:val="00930600"/>
    <w:rsid w:val="00930721"/>
    <w:rsid w:val="009307BB"/>
    <w:rsid w:val="00930A7C"/>
    <w:rsid w:val="00930D94"/>
    <w:rsid w:val="00930DB8"/>
    <w:rsid w:val="00930DFC"/>
    <w:rsid w:val="00931076"/>
    <w:rsid w:val="0093133D"/>
    <w:rsid w:val="00931A3F"/>
    <w:rsid w:val="00931A6A"/>
    <w:rsid w:val="00931AAF"/>
    <w:rsid w:val="00931AEB"/>
    <w:rsid w:val="00931F0E"/>
    <w:rsid w:val="00931FC2"/>
    <w:rsid w:val="009320B0"/>
    <w:rsid w:val="009320E3"/>
    <w:rsid w:val="00932184"/>
    <w:rsid w:val="009321D0"/>
    <w:rsid w:val="00932599"/>
    <w:rsid w:val="009327F3"/>
    <w:rsid w:val="00932B17"/>
    <w:rsid w:val="00932DAE"/>
    <w:rsid w:val="00932DE7"/>
    <w:rsid w:val="00932FBC"/>
    <w:rsid w:val="00933116"/>
    <w:rsid w:val="00933361"/>
    <w:rsid w:val="00933709"/>
    <w:rsid w:val="00933BE4"/>
    <w:rsid w:val="00934275"/>
    <w:rsid w:val="009342B9"/>
    <w:rsid w:val="00934622"/>
    <w:rsid w:val="00934701"/>
    <w:rsid w:val="00934832"/>
    <w:rsid w:val="00934F58"/>
    <w:rsid w:val="0093520B"/>
    <w:rsid w:val="009353BA"/>
    <w:rsid w:val="009354AF"/>
    <w:rsid w:val="009355B7"/>
    <w:rsid w:val="00935622"/>
    <w:rsid w:val="0093563F"/>
    <w:rsid w:val="009356BD"/>
    <w:rsid w:val="00935E1C"/>
    <w:rsid w:val="00935ECE"/>
    <w:rsid w:val="00935F62"/>
    <w:rsid w:val="00935F7F"/>
    <w:rsid w:val="00936005"/>
    <w:rsid w:val="009360AF"/>
    <w:rsid w:val="009365A3"/>
    <w:rsid w:val="009366AF"/>
    <w:rsid w:val="009367E3"/>
    <w:rsid w:val="009368CF"/>
    <w:rsid w:val="009368EB"/>
    <w:rsid w:val="00936B68"/>
    <w:rsid w:val="00936D3F"/>
    <w:rsid w:val="00936E9D"/>
    <w:rsid w:val="00937008"/>
    <w:rsid w:val="00937065"/>
    <w:rsid w:val="00937093"/>
    <w:rsid w:val="009370A5"/>
    <w:rsid w:val="0093710F"/>
    <w:rsid w:val="009375BA"/>
    <w:rsid w:val="0093764B"/>
    <w:rsid w:val="009376B9"/>
    <w:rsid w:val="009377B4"/>
    <w:rsid w:val="009378D3"/>
    <w:rsid w:val="00937B88"/>
    <w:rsid w:val="00937B96"/>
    <w:rsid w:val="00940907"/>
    <w:rsid w:val="00940A72"/>
    <w:rsid w:val="00940D52"/>
    <w:rsid w:val="00940D7A"/>
    <w:rsid w:val="00940E70"/>
    <w:rsid w:val="00940F0B"/>
    <w:rsid w:val="0094107B"/>
    <w:rsid w:val="00941129"/>
    <w:rsid w:val="00941376"/>
    <w:rsid w:val="0094138D"/>
    <w:rsid w:val="0094140A"/>
    <w:rsid w:val="00941603"/>
    <w:rsid w:val="009417A3"/>
    <w:rsid w:val="0094199E"/>
    <w:rsid w:val="00941EEA"/>
    <w:rsid w:val="00941F4F"/>
    <w:rsid w:val="00942006"/>
    <w:rsid w:val="009422D4"/>
    <w:rsid w:val="00942671"/>
    <w:rsid w:val="00942CA7"/>
    <w:rsid w:val="00942E1B"/>
    <w:rsid w:val="00942E28"/>
    <w:rsid w:val="00943119"/>
    <w:rsid w:val="0094316A"/>
    <w:rsid w:val="0094339B"/>
    <w:rsid w:val="00943452"/>
    <w:rsid w:val="009434D3"/>
    <w:rsid w:val="009434EF"/>
    <w:rsid w:val="0094362F"/>
    <w:rsid w:val="00943724"/>
    <w:rsid w:val="00943A57"/>
    <w:rsid w:val="00943CF4"/>
    <w:rsid w:val="009440A2"/>
    <w:rsid w:val="0094432D"/>
    <w:rsid w:val="0094456B"/>
    <w:rsid w:val="00944954"/>
    <w:rsid w:val="00944A24"/>
    <w:rsid w:val="00944A6B"/>
    <w:rsid w:val="00944F60"/>
    <w:rsid w:val="00945544"/>
    <w:rsid w:val="0094573B"/>
    <w:rsid w:val="00945903"/>
    <w:rsid w:val="00945905"/>
    <w:rsid w:val="00945BA4"/>
    <w:rsid w:val="00945BE8"/>
    <w:rsid w:val="00945F92"/>
    <w:rsid w:val="00946182"/>
    <w:rsid w:val="0094635E"/>
    <w:rsid w:val="009465A3"/>
    <w:rsid w:val="0094673C"/>
    <w:rsid w:val="00946B50"/>
    <w:rsid w:val="00946CF6"/>
    <w:rsid w:val="00946E41"/>
    <w:rsid w:val="009473A5"/>
    <w:rsid w:val="00947477"/>
    <w:rsid w:val="009474A2"/>
    <w:rsid w:val="009474DA"/>
    <w:rsid w:val="009477EA"/>
    <w:rsid w:val="0094788D"/>
    <w:rsid w:val="0094794B"/>
    <w:rsid w:val="009479AB"/>
    <w:rsid w:val="00947B4A"/>
    <w:rsid w:val="00947BB1"/>
    <w:rsid w:val="00947EE8"/>
    <w:rsid w:val="0095006A"/>
    <w:rsid w:val="0095034A"/>
    <w:rsid w:val="009504F3"/>
    <w:rsid w:val="0095067F"/>
    <w:rsid w:val="0095084D"/>
    <w:rsid w:val="00950A7D"/>
    <w:rsid w:val="00950D5D"/>
    <w:rsid w:val="00950DB7"/>
    <w:rsid w:val="00950FA8"/>
    <w:rsid w:val="00951234"/>
    <w:rsid w:val="00951241"/>
    <w:rsid w:val="009512AB"/>
    <w:rsid w:val="009516FE"/>
    <w:rsid w:val="009518FC"/>
    <w:rsid w:val="00951917"/>
    <w:rsid w:val="0095192D"/>
    <w:rsid w:val="009519AD"/>
    <w:rsid w:val="00951A57"/>
    <w:rsid w:val="00951B4F"/>
    <w:rsid w:val="00951D92"/>
    <w:rsid w:val="00951F9E"/>
    <w:rsid w:val="00952096"/>
    <w:rsid w:val="00952330"/>
    <w:rsid w:val="009525AB"/>
    <w:rsid w:val="009527EE"/>
    <w:rsid w:val="009529D5"/>
    <w:rsid w:val="00952A81"/>
    <w:rsid w:val="00952C20"/>
    <w:rsid w:val="00952EE6"/>
    <w:rsid w:val="00952FE7"/>
    <w:rsid w:val="0095303D"/>
    <w:rsid w:val="0095320C"/>
    <w:rsid w:val="00953234"/>
    <w:rsid w:val="00953564"/>
    <w:rsid w:val="009537EF"/>
    <w:rsid w:val="0095395E"/>
    <w:rsid w:val="009539BA"/>
    <w:rsid w:val="00953A3F"/>
    <w:rsid w:val="00953AF8"/>
    <w:rsid w:val="00953D7A"/>
    <w:rsid w:val="00953DD6"/>
    <w:rsid w:val="00953E25"/>
    <w:rsid w:val="009542DD"/>
    <w:rsid w:val="00954473"/>
    <w:rsid w:val="009545E1"/>
    <w:rsid w:val="009546C9"/>
    <w:rsid w:val="009548DA"/>
    <w:rsid w:val="00954A1B"/>
    <w:rsid w:val="00954A5B"/>
    <w:rsid w:val="00954AA1"/>
    <w:rsid w:val="00954B92"/>
    <w:rsid w:val="00954BB2"/>
    <w:rsid w:val="00954EAA"/>
    <w:rsid w:val="00954EDF"/>
    <w:rsid w:val="00954F3E"/>
    <w:rsid w:val="00954F62"/>
    <w:rsid w:val="00955015"/>
    <w:rsid w:val="009551C6"/>
    <w:rsid w:val="0095528B"/>
    <w:rsid w:val="0095533E"/>
    <w:rsid w:val="00955432"/>
    <w:rsid w:val="00955C13"/>
    <w:rsid w:val="00955E14"/>
    <w:rsid w:val="00955F23"/>
    <w:rsid w:val="009562C9"/>
    <w:rsid w:val="00956746"/>
    <w:rsid w:val="009568F8"/>
    <w:rsid w:val="0095691C"/>
    <w:rsid w:val="009569E6"/>
    <w:rsid w:val="00956A08"/>
    <w:rsid w:val="00957045"/>
    <w:rsid w:val="00957586"/>
    <w:rsid w:val="009575A0"/>
    <w:rsid w:val="00957BFB"/>
    <w:rsid w:val="00957D53"/>
    <w:rsid w:val="00957E89"/>
    <w:rsid w:val="00960053"/>
    <w:rsid w:val="0096022B"/>
    <w:rsid w:val="0096059F"/>
    <w:rsid w:val="00960A0F"/>
    <w:rsid w:val="00960B5A"/>
    <w:rsid w:val="00960CAC"/>
    <w:rsid w:val="00960DB9"/>
    <w:rsid w:val="00960EE8"/>
    <w:rsid w:val="0096116F"/>
    <w:rsid w:val="009612CF"/>
    <w:rsid w:val="009616BC"/>
    <w:rsid w:val="009616F7"/>
    <w:rsid w:val="0096199B"/>
    <w:rsid w:val="009619A5"/>
    <w:rsid w:val="00961ADF"/>
    <w:rsid w:val="00961C3D"/>
    <w:rsid w:val="00961C6A"/>
    <w:rsid w:val="0096219E"/>
    <w:rsid w:val="009623B8"/>
    <w:rsid w:val="009625D3"/>
    <w:rsid w:val="009628A6"/>
    <w:rsid w:val="009629DC"/>
    <w:rsid w:val="00962E96"/>
    <w:rsid w:val="0096379A"/>
    <w:rsid w:val="0096386E"/>
    <w:rsid w:val="00963894"/>
    <w:rsid w:val="00963BDC"/>
    <w:rsid w:val="00963D52"/>
    <w:rsid w:val="00963EEC"/>
    <w:rsid w:val="00964191"/>
    <w:rsid w:val="009642DA"/>
    <w:rsid w:val="00964410"/>
    <w:rsid w:val="00964440"/>
    <w:rsid w:val="009645B2"/>
    <w:rsid w:val="00964B4E"/>
    <w:rsid w:val="00964BDD"/>
    <w:rsid w:val="00964D20"/>
    <w:rsid w:val="00964EE5"/>
    <w:rsid w:val="00965262"/>
    <w:rsid w:val="009652D5"/>
    <w:rsid w:val="0096561C"/>
    <w:rsid w:val="00965858"/>
    <w:rsid w:val="00965A60"/>
    <w:rsid w:val="00965B53"/>
    <w:rsid w:val="00965C30"/>
    <w:rsid w:val="00965F91"/>
    <w:rsid w:val="00966056"/>
    <w:rsid w:val="00966062"/>
    <w:rsid w:val="00966147"/>
    <w:rsid w:val="009662E2"/>
    <w:rsid w:val="0096639C"/>
    <w:rsid w:val="009669B9"/>
    <w:rsid w:val="00966A99"/>
    <w:rsid w:val="00966C44"/>
    <w:rsid w:val="00966D75"/>
    <w:rsid w:val="00966EAD"/>
    <w:rsid w:val="00966F97"/>
    <w:rsid w:val="00967341"/>
    <w:rsid w:val="00967712"/>
    <w:rsid w:val="009677A7"/>
    <w:rsid w:val="00967A27"/>
    <w:rsid w:val="00967A5E"/>
    <w:rsid w:val="00967B34"/>
    <w:rsid w:val="00967BF5"/>
    <w:rsid w:val="00967E9B"/>
    <w:rsid w:val="00967FA1"/>
    <w:rsid w:val="00967FCB"/>
    <w:rsid w:val="00970050"/>
    <w:rsid w:val="00970406"/>
    <w:rsid w:val="00970A61"/>
    <w:rsid w:val="00970DB4"/>
    <w:rsid w:val="00970F9D"/>
    <w:rsid w:val="0097112A"/>
    <w:rsid w:val="009711D1"/>
    <w:rsid w:val="00971629"/>
    <w:rsid w:val="009716EE"/>
    <w:rsid w:val="00971971"/>
    <w:rsid w:val="00971C72"/>
    <w:rsid w:val="00971D61"/>
    <w:rsid w:val="00971DC2"/>
    <w:rsid w:val="00971ED6"/>
    <w:rsid w:val="00972036"/>
    <w:rsid w:val="009721D2"/>
    <w:rsid w:val="0097231A"/>
    <w:rsid w:val="009723FB"/>
    <w:rsid w:val="0097248A"/>
    <w:rsid w:val="009727E7"/>
    <w:rsid w:val="00972B30"/>
    <w:rsid w:val="00972C02"/>
    <w:rsid w:val="00972FEC"/>
    <w:rsid w:val="00973053"/>
    <w:rsid w:val="009730F9"/>
    <w:rsid w:val="00973233"/>
    <w:rsid w:val="00973665"/>
    <w:rsid w:val="00973B6F"/>
    <w:rsid w:val="00973C92"/>
    <w:rsid w:val="009740A2"/>
    <w:rsid w:val="0097410D"/>
    <w:rsid w:val="0097431E"/>
    <w:rsid w:val="0097460C"/>
    <w:rsid w:val="009748F2"/>
    <w:rsid w:val="00974980"/>
    <w:rsid w:val="00974AA7"/>
    <w:rsid w:val="00974B72"/>
    <w:rsid w:val="00974C6C"/>
    <w:rsid w:val="00974CA6"/>
    <w:rsid w:val="00974FF6"/>
    <w:rsid w:val="009750DF"/>
    <w:rsid w:val="00975332"/>
    <w:rsid w:val="009755A5"/>
    <w:rsid w:val="00975F4D"/>
    <w:rsid w:val="009769D1"/>
    <w:rsid w:val="00976B08"/>
    <w:rsid w:val="00976C0E"/>
    <w:rsid w:val="00976E27"/>
    <w:rsid w:val="00976F6B"/>
    <w:rsid w:val="00976FE0"/>
    <w:rsid w:val="0097720A"/>
    <w:rsid w:val="00977438"/>
    <w:rsid w:val="00977455"/>
    <w:rsid w:val="00977497"/>
    <w:rsid w:val="00977643"/>
    <w:rsid w:val="00977CF7"/>
    <w:rsid w:val="0098056D"/>
    <w:rsid w:val="009805C0"/>
    <w:rsid w:val="009808A7"/>
    <w:rsid w:val="009808CC"/>
    <w:rsid w:val="00980B73"/>
    <w:rsid w:val="00981212"/>
    <w:rsid w:val="0098130E"/>
    <w:rsid w:val="00981341"/>
    <w:rsid w:val="00981378"/>
    <w:rsid w:val="00981676"/>
    <w:rsid w:val="009817D2"/>
    <w:rsid w:val="00981C54"/>
    <w:rsid w:val="00981EC9"/>
    <w:rsid w:val="00982053"/>
    <w:rsid w:val="0098222F"/>
    <w:rsid w:val="009822AC"/>
    <w:rsid w:val="0098230E"/>
    <w:rsid w:val="0098260F"/>
    <w:rsid w:val="00982691"/>
    <w:rsid w:val="00982727"/>
    <w:rsid w:val="009828A9"/>
    <w:rsid w:val="00982959"/>
    <w:rsid w:val="00982A49"/>
    <w:rsid w:val="00982BA0"/>
    <w:rsid w:val="00982FB6"/>
    <w:rsid w:val="00982FEC"/>
    <w:rsid w:val="009832DB"/>
    <w:rsid w:val="009833EB"/>
    <w:rsid w:val="00983BA7"/>
    <w:rsid w:val="00983BD6"/>
    <w:rsid w:val="009840A9"/>
    <w:rsid w:val="00984147"/>
    <w:rsid w:val="00984226"/>
    <w:rsid w:val="00984443"/>
    <w:rsid w:val="0098456F"/>
    <w:rsid w:val="00984A7F"/>
    <w:rsid w:val="00984BCC"/>
    <w:rsid w:val="00984BD2"/>
    <w:rsid w:val="00984E7B"/>
    <w:rsid w:val="00984EBE"/>
    <w:rsid w:val="00985779"/>
    <w:rsid w:val="00985921"/>
    <w:rsid w:val="00985932"/>
    <w:rsid w:val="00985AD5"/>
    <w:rsid w:val="00985CB1"/>
    <w:rsid w:val="00985DAA"/>
    <w:rsid w:val="00985F17"/>
    <w:rsid w:val="00986076"/>
    <w:rsid w:val="0098610A"/>
    <w:rsid w:val="009863EF"/>
    <w:rsid w:val="00986622"/>
    <w:rsid w:val="009866A2"/>
    <w:rsid w:val="009866B6"/>
    <w:rsid w:val="00986EA5"/>
    <w:rsid w:val="009871C5"/>
    <w:rsid w:val="00987256"/>
    <w:rsid w:val="009873BB"/>
    <w:rsid w:val="0098740A"/>
    <w:rsid w:val="0098742A"/>
    <w:rsid w:val="00987479"/>
    <w:rsid w:val="009874DC"/>
    <w:rsid w:val="00987BC0"/>
    <w:rsid w:val="00987D3B"/>
    <w:rsid w:val="00990178"/>
    <w:rsid w:val="009903E3"/>
    <w:rsid w:val="00990567"/>
    <w:rsid w:val="009905A6"/>
    <w:rsid w:val="009906B5"/>
    <w:rsid w:val="009907BD"/>
    <w:rsid w:val="009907EC"/>
    <w:rsid w:val="00990AA8"/>
    <w:rsid w:val="00990C55"/>
    <w:rsid w:val="00990D0B"/>
    <w:rsid w:val="00990E78"/>
    <w:rsid w:val="009910A0"/>
    <w:rsid w:val="009912C7"/>
    <w:rsid w:val="0099154A"/>
    <w:rsid w:val="009918E5"/>
    <w:rsid w:val="009919D5"/>
    <w:rsid w:val="00991B84"/>
    <w:rsid w:val="00991D03"/>
    <w:rsid w:val="00991F7A"/>
    <w:rsid w:val="00992107"/>
    <w:rsid w:val="0099227A"/>
    <w:rsid w:val="009928A0"/>
    <w:rsid w:val="00992993"/>
    <w:rsid w:val="00992A93"/>
    <w:rsid w:val="00992B0C"/>
    <w:rsid w:val="00992CD6"/>
    <w:rsid w:val="00992F69"/>
    <w:rsid w:val="00993214"/>
    <w:rsid w:val="00993545"/>
    <w:rsid w:val="00993593"/>
    <w:rsid w:val="00993992"/>
    <w:rsid w:val="009939E1"/>
    <w:rsid w:val="00993AC9"/>
    <w:rsid w:val="00993C5F"/>
    <w:rsid w:val="00993E67"/>
    <w:rsid w:val="00994122"/>
    <w:rsid w:val="0099436C"/>
    <w:rsid w:val="009944D9"/>
    <w:rsid w:val="0099483B"/>
    <w:rsid w:val="009948BC"/>
    <w:rsid w:val="00994BAE"/>
    <w:rsid w:val="00994C98"/>
    <w:rsid w:val="00994E59"/>
    <w:rsid w:val="009950D2"/>
    <w:rsid w:val="009953C7"/>
    <w:rsid w:val="00995461"/>
    <w:rsid w:val="00995597"/>
    <w:rsid w:val="009956E7"/>
    <w:rsid w:val="009957A9"/>
    <w:rsid w:val="009957B7"/>
    <w:rsid w:val="009959F7"/>
    <w:rsid w:val="00995ADA"/>
    <w:rsid w:val="00995BAA"/>
    <w:rsid w:val="00995D53"/>
    <w:rsid w:val="00995FC5"/>
    <w:rsid w:val="00996064"/>
    <w:rsid w:val="00996284"/>
    <w:rsid w:val="00996512"/>
    <w:rsid w:val="00996826"/>
    <w:rsid w:val="00996869"/>
    <w:rsid w:val="00996876"/>
    <w:rsid w:val="00997131"/>
    <w:rsid w:val="009971CD"/>
    <w:rsid w:val="00997216"/>
    <w:rsid w:val="0099730B"/>
    <w:rsid w:val="00997B3B"/>
    <w:rsid w:val="00997B66"/>
    <w:rsid w:val="00997B9E"/>
    <w:rsid w:val="00997E2E"/>
    <w:rsid w:val="00997E36"/>
    <w:rsid w:val="009A01DA"/>
    <w:rsid w:val="009A0527"/>
    <w:rsid w:val="009A0549"/>
    <w:rsid w:val="009A0944"/>
    <w:rsid w:val="009A0A1F"/>
    <w:rsid w:val="009A0AE3"/>
    <w:rsid w:val="009A0F03"/>
    <w:rsid w:val="009A1057"/>
    <w:rsid w:val="009A1E57"/>
    <w:rsid w:val="009A1F73"/>
    <w:rsid w:val="009A202B"/>
    <w:rsid w:val="009A208C"/>
    <w:rsid w:val="009A22D9"/>
    <w:rsid w:val="009A2363"/>
    <w:rsid w:val="009A245F"/>
    <w:rsid w:val="009A24D9"/>
    <w:rsid w:val="009A2A53"/>
    <w:rsid w:val="009A2BD7"/>
    <w:rsid w:val="009A2EA3"/>
    <w:rsid w:val="009A2F2D"/>
    <w:rsid w:val="009A2FF9"/>
    <w:rsid w:val="009A33E0"/>
    <w:rsid w:val="009A35BC"/>
    <w:rsid w:val="009A37A5"/>
    <w:rsid w:val="009A380C"/>
    <w:rsid w:val="009A3C57"/>
    <w:rsid w:val="009A3D4D"/>
    <w:rsid w:val="009A3F2E"/>
    <w:rsid w:val="009A407E"/>
    <w:rsid w:val="009A40B8"/>
    <w:rsid w:val="009A4345"/>
    <w:rsid w:val="009A4417"/>
    <w:rsid w:val="009A44F9"/>
    <w:rsid w:val="009A451D"/>
    <w:rsid w:val="009A486A"/>
    <w:rsid w:val="009A48A5"/>
    <w:rsid w:val="009A4914"/>
    <w:rsid w:val="009A4995"/>
    <w:rsid w:val="009A4C05"/>
    <w:rsid w:val="009A4C25"/>
    <w:rsid w:val="009A4D1B"/>
    <w:rsid w:val="009A4D99"/>
    <w:rsid w:val="009A51A2"/>
    <w:rsid w:val="009A5411"/>
    <w:rsid w:val="009A5939"/>
    <w:rsid w:val="009A5B4E"/>
    <w:rsid w:val="009A5C6F"/>
    <w:rsid w:val="009A61FD"/>
    <w:rsid w:val="009A649E"/>
    <w:rsid w:val="009A6752"/>
    <w:rsid w:val="009A698E"/>
    <w:rsid w:val="009A6CB5"/>
    <w:rsid w:val="009A6DFC"/>
    <w:rsid w:val="009A73C0"/>
    <w:rsid w:val="009A7416"/>
    <w:rsid w:val="009A75C4"/>
    <w:rsid w:val="009A7904"/>
    <w:rsid w:val="009A7A4C"/>
    <w:rsid w:val="009A7B9A"/>
    <w:rsid w:val="009A7F35"/>
    <w:rsid w:val="009B00A7"/>
    <w:rsid w:val="009B031C"/>
    <w:rsid w:val="009B045C"/>
    <w:rsid w:val="009B0676"/>
    <w:rsid w:val="009B0815"/>
    <w:rsid w:val="009B09F8"/>
    <w:rsid w:val="009B0A8A"/>
    <w:rsid w:val="009B0A8E"/>
    <w:rsid w:val="009B0F3E"/>
    <w:rsid w:val="009B1210"/>
    <w:rsid w:val="009B1584"/>
    <w:rsid w:val="009B1A8E"/>
    <w:rsid w:val="009B1AEB"/>
    <w:rsid w:val="009B1E88"/>
    <w:rsid w:val="009B1E99"/>
    <w:rsid w:val="009B2007"/>
    <w:rsid w:val="009B20FA"/>
    <w:rsid w:val="009B2305"/>
    <w:rsid w:val="009B25FB"/>
    <w:rsid w:val="009B26A0"/>
    <w:rsid w:val="009B2EC5"/>
    <w:rsid w:val="009B2FC6"/>
    <w:rsid w:val="009B332D"/>
    <w:rsid w:val="009B3467"/>
    <w:rsid w:val="009B350A"/>
    <w:rsid w:val="009B3523"/>
    <w:rsid w:val="009B36BF"/>
    <w:rsid w:val="009B3895"/>
    <w:rsid w:val="009B3898"/>
    <w:rsid w:val="009B3A6E"/>
    <w:rsid w:val="009B3B62"/>
    <w:rsid w:val="009B418B"/>
    <w:rsid w:val="009B452C"/>
    <w:rsid w:val="009B45CB"/>
    <w:rsid w:val="009B4DC8"/>
    <w:rsid w:val="009B4EDD"/>
    <w:rsid w:val="009B50C6"/>
    <w:rsid w:val="009B524F"/>
    <w:rsid w:val="009B5280"/>
    <w:rsid w:val="009B5490"/>
    <w:rsid w:val="009B589E"/>
    <w:rsid w:val="009B5975"/>
    <w:rsid w:val="009B5A41"/>
    <w:rsid w:val="009B5AB1"/>
    <w:rsid w:val="009B5BBD"/>
    <w:rsid w:val="009B5BE2"/>
    <w:rsid w:val="009B5D26"/>
    <w:rsid w:val="009B5E7E"/>
    <w:rsid w:val="009B5EA4"/>
    <w:rsid w:val="009B61AB"/>
    <w:rsid w:val="009B6460"/>
    <w:rsid w:val="009B6473"/>
    <w:rsid w:val="009B6478"/>
    <w:rsid w:val="009B6842"/>
    <w:rsid w:val="009B68A8"/>
    <w:rsid w:val="009B6AD6"/>
    <w:rsid w:val="009B6BBA"/>
    <w:rsid w:val="009B6CF7"/>
    <w:rsid w:val="009B7155"/>
    <w:rsid w:val="009B71B4"/>
    <w:rsid w:val="009B7628"/>
    <w:rsid w:val="009B7B0C"/>
    <w:rsid w:val="009B7B60"/>
    <w:rsid w:val="009C00F1"/>
    <w:rsid w:val="009C01B5"/>
    <w:rsid w:val="009C03D5"/>
    <w:rsid w:val="009C050E"/>
    <w:rsid w:val="009C075B"/>
    <w:rsid w:val="009C0795"/>
    <w:rsid w:val="009C0B01"/>
    <w:rsid w:val="009C0DC0"/>
    <w:rsid w:val="009C0F37"/>
    <w:rsid w:val="009C0FBF"/>
    <w:rsid w:val="009C1065"/>
    <w:rsid w:val="009C14A6"/>
    <w:rsid w:val="009C1652"/>
    <w:rsid w:val="009C1881"/>
    <w:rsid w:val="009C1B3E"/>
    <w:rsid w:val="009C1B63"/>
    <w:rsid w:val="009C1D47"/>
    <w:rsid w:val="009C1DE4"/>
    <w:rsid w:val="009C1EDA"/>
    <w:rsid w:val="009C1EF5"/>
    <w:rsid w:val="009C20F4"/>
    <w:rsid w:val="009C22CA"/>
    <w:rsid w:val="009C235F"/>
    <w:rsid w:val="009C291E"/>
    <w:rsid w:val="009C291F"/>
    <w:rsid w:val="009C2C2E"/>
    <w:rsid w:val="009C2DA9"/>
    <w:rsid w:val="009C2DC7"/>
    <w:rsid w:val="009C31FA"/>
    <w:rsid w:val="009C3731"/>
    <w:rsid w:val="009C38E9"/>
    <w:rsid w:val="009C3A7A"/>
    <w:rsid w:val="009C3DC1"/>
    <w:rsid w:val="009C3F49"/>
    <w:rsid w:val="009C3FD4"/>
    <w:rsid w:val="009C4414"/>
    <w:rsid w:val="009C4471"/>
    <w:rsid w:val="009C492F"/>
    <w:rsid w:val="009C4B61"/>
    <w:rsid w:val="009C4BD8"/>
    <w:rsid w:val="009C52B9"/>
    <w:rsid w:val="009C53CE"/>
    <w:rsid w:val="009C54AA"/>
    <w:rsid w:val="009C57E2"/>
    <w:rsid w:val="009C5A92"/>
    <w:rsid w:val="009C5AF8"/>
    <w:rsid w:val="009C5D52"/>
    <w:rsid w:val="009C609A"/>
    <w:rsid w:val="009C60AD"/>
    <w:rsid w:val="009C61FD"/>
    <w:rsid w:val="009C6216"/>
    <w:rsid w:val="009C6326"/>
    <w:rsid w:val="009C64A1"/>
    <w:rsid w:val="009C656D"/>
    <w:rsid w:val="009C65F1"/>
    <w:rsid w:val="009C6757"/>
    <w:rsid w:val="009C67CE"/>
    <w:rsid w:val="009C6D1E"/>
    <w:rsid w:val="009C6E9B"/>
    <w:rsid w:val="009C70ED"/>
    <w:rsid w:val="009C7124"/>
    <w:rsid w:val="009C7249"/>
    <w:rsid w:val="009C742B"/>
    <w:rsid w:val="009C75BA"/>
    <w:rsid w:val="009C760C"/>
    <w:rsid w:val="009C7894"/>
    <w:rsid w:val="009C793A"/>
    <w:rsid w:val="009C798B"/>
    <w:rsid w:val="009C7B00"/>
    <w:rsid w:val="009C7EEC"/>
    <w:rsid w:val="009D0089"/>
    <w:rsid w:val="009D033F"/>
    <w:rsid w:val="009D06EF"/>
    <w:rsid w:val="009D0BE9"/>
    <w:rsid w:val="009D0D1D"/>
    <w:rsid w:val="009D0EA5"/>
    <w:rsid w:val="009D139A"/>
    <w:rsid w:val="009D13CC"/>
    <w:rsid w:val="009D14FE"/>
    <w:rsid w:val="009D1717"/>
    <w:rsid w:val="009D190F"/>
    <w:rsid w:val="009D1BE5"/>
    <w:rsid w:val="009D1FDD"/>
    <w:rsid w:val="009D201B"/>
    <w:rsid w:val="009D23D8"/>
    <w:rsid w:val="009D2626"/>
    <w:rsid w:val="009D2C33"/>
    <w:rsid w:val="009D2CA0"/>
    <w:rsid w:val="009D2CDF"/>
    <w:rsid w:val="009D2EB8"/>
    <w:rsid w:val="009D317C"/>
    <w:rsid w:val="009D329E"/>
    <w:rsid w:val="009D348C"/>
    <w:rsid w:val="009D36D6"/>
    <w:rsid w:val="009D3AD4"/>
    <w:rsid w:val="009D3ADF"/>
    <w:rsid w:val="009D3B60"/>
    <w:rsid w:val="009D4062"/>
    <w:rsid w:val="009D4113"/>
    <w:rsid w:val="009D4380"/>
    <w:rsid w:val="009D4727"/>
    <w:rsid w:val="009D4824"/>
    <w:rsid w:val="009D489B"/>
    <w:rsid w:val="009D490F"/>
    <w:rsid w:val="009D4BD8"/>
    <w:rsid w:val="009D4BE1"/>
    <w:rsid w:val="009D4DA9"/>
    <w:rsid w:val="009D4DC7"/>
    <w:rsid w:val="009D56FF"/>
    <w:rsid w:val="009D616A"/>
    <w:rsid w:val="009D628F"/>
    <w:rsid w:val="009D62DE"/>
    <w:rsid w:val="009D6829"/>
    <w:rsid w:val="009D6AF1"/>
    <w:rsid w:val="009D6E00"/>
    <w:rsid w:val="009D710C"/>
    <w:rsid w:val="009D718A"/>
    <w:rsid w:val="009D7208"/>
    <w:rsid w:val="009D7408"/>
    <w:rsid w:val="009D7780"/>
    <w:rsid w:val="009D7B00"/>
    <w:rsid w:val="009D7FCD"/>
    <w:rsid w:val="009E01C2"/>
    <w:rsid w:val="009E04FD"/>
    <w:rsid w:val="009E07A4"/>
    <w:rsid w:val="009E0A41"/>
    <w:rsid w:val="009E0D06"/>
    <w:rsid w:val="009E0D79"/>
    <w:rsid w:val="009E0E18"/>
    <w:rsid w:val="009E0ED7"/>
    <w:rsid w:val="009E0F0A"/>
    <w:rsid w:val="009E1094"/>
    <w:rsid w:val="009E12C5"/>
    <w:rsid w:val="009E134F"/>
    <w:rsid w:val="009E154A"/>
    <w:rsid w:val="009E15EC"/>
    <w:rsid w:val="009E164F"/>
    <w:rsid w:val="009E18ED"/>
    <w:rsid w:val="009E19AE"/>
    <w:rsid w:val="009E235D"/>
    <w:rsid w:val="009E24F4"/>
    <w:rsid w:val="009E2568"/>
    <w:rsid w:val="009E2597"/>
    <w:rsid w:val="009E262C"/>
    <w:rsid w:val="009E27D3"/>
    <w:rsid w:val="009E29B0"/>
    <w:rsid w:val="009E2C0E"/>
    <w:rsid w:val="009E2D7B"/>
    <w:rsid w:val="009E3083"/>
    <w:rsid w:val="009E335F"/>
    <w:rsid w:val="009E34E3"/>
    <w:rsid w:val="009E369D"/>
    <w:rsid w:val="009E3C1A"/>
    <w:rsid w:val="009E3C93"/>
    <w:rsid w:val="009E3D98"/>
    <w:rsid w:val="009E3E57"/>
    <w:rsid w:val="009E4461"/>
    <w:rsid w:val="009E4A07"/>
    <w:rsid w:val="009E4D3B"/>
    <w:rsid w:val="009E4D3F"/>
    <w:rsid w:val="009E501C"/>
    <w:rsid w:val="009E513C"/>
    <w:rsid w:val="009E5451"/>
    <w:rsid w:val="009E55E7"/>
    <w:rsid w:val="009E59BF"/>
    <w:rsid w:val="009E5C11"/>
    <w:rsid w:val="009E5DCB"/>
    <w:rsid w:val="009E5DD4"/>
    <w:rsid w:val="009E5F9E"/>
    <w:rsid w:val="009E6275"/>
    <w:rsid w:val="009E640F"/>
    <w:rsid w:val="009E645A"/>
    <w:rsid w:val="009E6495"/>
    <w:rsid w:val="009E67A3"/>
    <w:rsid w:val="009E6AA1"/>
    <w:rsid w:val="009E6BEA"/>
    <w:rsid w:val="009E6D6B"/>
    <w:rsid w:val="009E6EC9"/>
    <w:rsid w:val="009E7003"/>
    <w:rsid w:val="009E716C"/>
    <w:rsid w:val="009E7897"/>
    <w:rsid w:val="009E7BD3"/>
    <w:rsid w:val="009E7CC6"/>
    <w:rsid w:val="009E7CD7"/>
    <w:rsid w:val="009E7DA8"/>
    <w:rsid w:val="009E7EC4"/>
    <w:rsid w:val="009F0023"/>
    <w:rsid w:val="009F0028"/>
    <w:rsid w:val="009F02C3"/>
    <w:rsid w:val="009F0435"/>
    <w:rsid w:val="009F0882"/>
    <w:rsid w:val="009F0ABC"/>
    <w:rsid w:val="009F0AE3"/>
    <w:rsid w:val="009F0D5A"/>
    <w:rsid w:val="009F0D7D"/>
    <w:rsid w:val="009F0DCC"/>
    <w:rsid w:val="009F0F44"/>
    <w:rsid w:val="009F1087"/>
    <w:rsid w:val="009F1499"/>
    <w:rsid w:val="009F16B1"/>
    <w:rsid w:val="009F189D"/>
    <w:rsid w:val="009F1AD0"/>
    <w:rsid w:val="009F22A6"/>
    <w:rsid w:val="009F24EF"/>
    <w:rsid w:val="009F25A0"/>
    <w:rsid w:val="009F2606"/>
    <w:rsid w:val="009F2846"/>
    <w:rsid w:val="009F2FD3"/>
    <w:rsid w:val="009F330B"/>
    <w:rsid w:val="009F333D"/>
    <w:rsid w:val="009F33FC"/>
    <w:rsid w:val="009F3D4C"/>
    <w:rsid w:val="009F3D91"/>
    <w:rsid w:val="009F3F9B"/>
    <w:rsid w:val="009F4431"/>
    <w:rsid w:val="009F454B"/>
    <w:rsid w:val="009F4651"/>
    <w:rsid w:val="009F4707"/>
    <w:rsid w:val="009F488F"/>
    <w:rsid w:val="009F48BF"/>
    <w:rsid w:val="009F49C5"/>
    <w:rsid w:val="009F4B1A"/>
    <w:rsid w:val="009F4CCD"/>
    <w:rsid w:val="009F528D"/>
    <w:rsid w:val="009F64AA"/>
    <w:rsid w:val="009F652A"/>
    <w:rsid w:val="009F683A"/>
    <w:rsid w:val="009F6874"/>
    <w:rsid w:val="009F6BD9"/>
    <w:rsid w:val="009F6E6B"/>
    <w:rsid w:val="009F6FE4"/>
    <w:rsid w:val="009F7023"/>
    <w:rsid w:val="009F70E8"/>
    <w:rsid w:val="009F7293"/>
    <w:rsid w:val="009F742B"/>
    <w:rsid w:val="009F74F7"/>
    <w:rsid w:val="009F7682"/>
    <w:rsid w:val="009F77D0"/>
    <w:rsid w:val="009F797E"/>
    <w:rsid w:val="009F7B92"/>
    <w:rsid w:val="009F7E41"/>
    <w:rsid w:val="009F7EAD"/>
    <w:rsid w:val="009F7F9C"/>
    <w:rsid w:val="00A00084"/>
    <w:rsid w:val="00A00095"/>
    <w:rsid w:val="00A002E1"/>
    <w:rsid w:val="00A002E3"/>
    <w:rsid w:val="00A003E6"/>
    <w:rsid w:val="00A00511"/>
    <w:rsid w:val="00A00811"/>
    <w:rsid w:val="00A011DE"/>
    <w:rsid w:val="00A01376"/>
    <w:rsid w:val="00A017D6"/>
    <w:rsid w:val="00A01A01"/>
    <w:rsid w:val="00A01D58"/>
    <w:rsid w:val="00A01DEB"/>
    <w:rsid w:val="00A01FF6"/>
    <w:rsid w:val="00A021E7"/>
    <w:rsid w:val="00A0239B"/>
    <w:rsid w:val="00A0257D"/>
    <w:rsid w:val="00A02609"/>
    <w:rsid w:val="00A0278C"/>
    <w:rsid w:val="00A02B7F"/>
    <w:rsid w:val="00A02BB1"/>
    <w:rsid w:val="00A02F29"/>
    <w:rsid w:val="00A038BF"/>
    <w:rsid w:val="00A03BB6"/>
    <w:rsid w:val="00A03C43"/>
    <w:rsid w:val="00A03D63"/>
    <w:rsid w:val="00A03F6F"/>
    <w:rsid w:val="00A040AA"/>
    <w:rsid w:val="00A040E1"/>
    <w:rsid w:val="00A04129"/>
    <w:rsid w:val="00A041D8"/>
    <w:rsid w:val="00A04329"/>
    <w:rsid w:val="00A04630"/>
    <w:rsid w:val="00A04AC9"/>
    <w:rsid w:val="00A050F6"/>
    <w:rsid w:val="00A051D5"/>
    <w:rsid w:val="00A05269"/>
    <w:rsid w:val="00A0540C"/>
    <w:rsid w:val="00A0549C"/>
    <w:rsid w:val="00A05674"/>
    <w:rsid w:val="00A05765"/>
    <w:rsid w:val="00A05D04"/>
    <w:rsid w:val="00A06503"/>
    <w:rsid w:val="00A0656F"/>
    <w:rsid w:val="00A06899"/>
    <w:rsid w:val="00A06985"/>
    <w:rsid w:val="00A06C2F"/>
    <w:rsid w:val="00A06FB1"/>
    <w:rsid w:val="00A07090"/>
    <w:rsid w:val="00A0709D"/>
    <w:rsid w:val="00A070FD"/>
    <w:rsid w:val="00A0720F"/>
    <w:rsid w:val="00A07394"/>
    <w:rsid w:val="00A07428"/>
    <w:rsid w:val="00A0743A"/>
    <w:rsid w:val="00A0754E"/>
    <w:rsid w:val="00A0773A"/>
    <w:rsid w:val="00A0785A"/>
    <w:rsid w:val="00A07BD1"/>
    <w:rsid w:val="00A07E09"/>
    <w:rsid w:val="00A07E48"/>
    <w:rsid w:val="00A07F1D"/>
    <w:rsid w:val="00A10391"/>
    <w:rsid w:val="00A1047D"/>
    <w:rsid w:val="00A10621"/>
    <w:rsid w:val="00A10D4E"/>
    <w:rsid w:val="00A10E1C"/>
    <w:rsid w:val="00A10E25"/>
    <w:rsid w:val="00A11098"/>
    <w:rsid w:val="00A1138A"/>
    <w:rsid w:val="00A11523"/>
    <w:rsid w:val="00A115B9"/>
    <w:rsid w:val="00A117C2"/>
    <w:rsid w:val="00A117D8"/>
    <w:rsid w:val="00A11866"/>
    <w:rsid w:val="00A11B06"/>
    <w:rsid w:val="00A11D3B"/>
    <w:rsid w:val="00A11D94"/>
    <w:rsid w:val="00A11DBD"/>
    <w:rsid w:val="00A1217C"/>
    <w:rsid w:val="00A1235D"/>
    <w:rsid w:val="00A1243C"/>
    <w:rsid w:val="00A12525"/>
    <w:rsid w:val="00A12548"/>
    <w:rsid w:val="00A12C59"/>
    <w:rsid w:val="00A131E1"/>
    <w:rsid w:val="00A1325E"/>
    <w:rsid w:val="00A1377D"/>
    <w:rsid w:val="00A137F4"/>
    <w:rsid w:val="00A13A23"/>
    <w:rsid w:val="00A13CC1"/>
    <w:rsid w:val="00A13D17"/>
    <w:rsid w:val="00A13D41"/>
    <w:rsid w:val="00A13F7A"/>
    <w:rsid w:val="00A1403D"/>
    <w:rsid w:val="00A14188"/>
    <w:rsid w:val="00A14210"/>
    <w:rsid w:val="00A14450"/>
    <w:rsid w:val="00A14791"/>
    <w:rsid w:val="00A147E1"/>
    <w:rsid w:val="00A150A5"/>
    <w:rsid w:val="00A151D4"/>
    <w:rsid w:val="00A15360"/>
    <w:rsid w:val="00A157B9"/>
    <w:rsid w:val="00A157CD"/>
    <w:rsid w:val="00A15B5D"/>
    <w:rsid w:val="00A15C8B"/>
    <w:rsid w:val="00A15EB0"/>
    <w:rsid w:val="00A164D0"/>
    <w:rsid w:val="00A1652E"/>
    <w:rsid w:val="00A16541"/>
    <w:rsid w:val="00A16806"/>
    <w:rsid w:val="00A16CE0"/>
    <w:rsid w:val="00A16D73"/>
    <w:rsid w:val="00A16E1A"/>
    <w:rsid w:val="00A16F7D"/>
    <w:rsid w:val="00A16FD7"/>
    <w:rsid w:val="00A1702C"/>
    <w:rsid w:val="00A170C1"/>
    <w:rsid w:val="00A170FC"/>
    <w:rsid w:val="00A17109"/>
    <w:rsid w:val="00A17464"/>
    <w:rsid w:val="00A17470"/>
    <w:rsid w:val="00A17637"/>
    <w:rsid w:val="00A177EF"/>
    <w:rsid w:val="00A17943"/>
    <w:rsid w:val="00A17B54"/>
    <w:rsid w:val="00A17B79"/>
    <w:rsid w:val="00A17DFE"/>
    <w:rsid w:val="00A17F39"/>
    <w:rsid w:val="00A17FCA"/>
    <w:rsid w:val="00A200A0"/>
    <w:rsid w:val="00A2014E"/>
    <w:rsid w:val="00A20287"/>
    <w:rsid w:val="00A20365"/>
    <w:rsid w:val="00A20483"/>
    <w:rsid w:val="00A204EF"/>
    <w:rsid w:val="00A20786"/>
    <w:rsid w:val="00A20A2B"/>
    <w:rsid w:val="00A20AEC"/>
    <w:rsid w:val="00A20C77"/>
    <w:rsid w:val="00A20CDB"/>
    <w:rsid w:val="00A20DAE"/>
    <w:rsid w:val="00A2149C"/>
    <w:rsid w:val="00A21779"/>
    <w:rsid w:val="00A217F4"/>
    <w:rsid w:val="00A21B48"/>
    <w:rsid w:val="00A21C89"/>
    <w:rsid w:val="00A22766"/>
    <w:rsid w:val="00A22FA7"/>
    <w:rsid w:val="00A23032"/>
    <w:rsid w:val="00A2322A"/>
    <w:rsid w:val="00A23401"/>
    <w:rsid w:val="00A2369F"/>
    <w:rsid w:val="00A23743"/>
    <w:rsid w:val="00A23783"/>
    <w:rsid w:val="00A237D6"/>
    <w:rsid w:val="00A23A04"/>
    <w:rsid w:val="00A23AD4"/>
    <w:rsid w:val="00A23AF4"/>
    <w:rsid w:val="00A23C8D"/>
    <w:rsid w:val="00A23FD2"/>
    <w:rsid w:val="00A24159"/>
    <w:rsid w:val="00A24476"/>
    <w:rsid w:val="00A24483"/>
    <w:rsid w:val="00A2474B"/>
    <w:rsid w:val="00A24C9A"/>
    <w:rsid w:val="00A24DA4"/>
    <w:rsid w:val="00A24DCE"/>
    <w:rsid w:val="00A24EAF"/>
    <w:rsid w:val="00A24F44"/>
    <w:rsid w:val="00A252AE"/>
    <w:rsid w:val="00A25497"/>
    <w:rsid w:val="00A25781"/>
    <w:rsid w:val="00A25813"/>
    <w:rsid w:val="00A2587E"/>
    <w:rsid w:val="00A260A0"/>
    <w:rsid w:val="00A264C5"/>
    <w:rsid w:val="00A264E0"/>
    <w:rsid w:val="00A26680"/>
    <w:rsid w:val="00A267E1"/>
    <w:rsid w:val="00A2685A"/>
    <w:rsid w:val="00A26CAB"/>
    <w:rsid w:val="00A27311"/>
    <w:rsid w:val="00A2772D"/>
    <w:rsid w:val="00A27755"/>
    <w:rsid w:val="00A279A9"/>
    <w:rsid w:val="00A27AB2"/>
    <w:rsid w:val="00A27D2B"/>
    <w:rsid w:val="00A27E80"/>
    <w:rsid w:val="00A30030"/>
    <w:rsid w:val="00A300B0"/>
    <w:rsid w:val="00A301DA"/>
    <w:rsid w:val="00A3066B"/>
    <w:rsid w:val="00A3089D"/>
    <w:rsid w:val="00A308B7"/>
    <w:rsid w:val="00A30A50"/>
    <w:rsid w:val="00A30B03"/>
    <w:rsid w:val="00A30B15"/>
    <w:rsid w:val="00A30B26"/>
    <w:rsid w:val="00A30F10"/>
    <w:rsid w:val="00A31153"/>
    <w:rsid w:val="00A3117F"/>
    <w:rsid w:val="00A312CE"/>
    <w:rsid w:val="00A3175C"/>
    <w:rsid w:val="00A317E5"/>
    <w:rsid w:val="00A31A35"/>
    <w:rsid w:val="00A31ABD"/>
    <w:rsid w:val="00A31B7A"/>
    <w:rsid w:val="00A31CE4"/>
    <w:rsid w:val="00A31E20"/>
    <w:rsid w:val="00A31F8D"/>
    <w:rsid w:val="00A3206F"/>
    <w:rsid w:val="00A32073"/>
    <w:rsid w:val="00A320C1"/>
    <w:rsid w:val="00A321D8"/>
    <w:rsid w:val="00A3232A"/>
    <w:rsid w:val="00A3299F"/>
    <w:rsid w:val="00A329B0"/>
    <w:rsid w:val="00A32AD7"/>
    <w:rsid w:val="00A32C30"/>
    <w:rsid w:val="00A3304F"/>
    <w:rsid w:val="00A330C0"/>
    <w:rsid w:val="00A33122"/>
    <w:rsid w:val="00A33175"/>
    <w:rsid w:val="00A33233"/>
    <w:rsid w:val="00A334B7"/>
    <w:rsid w:val="00A33B8B"/>
    <w:rsid w:val="00A33D85"/>
    <w:rsid w:val="00A33E73"/>
    <w:rsid w:val="00A33F3D"/>
    <w:rsid w:val="00A33F9F"/>
    <w:rsid w:val="00A34100"/>
    <w:rsid w:val="00A34720"/>
    <w:rsid w:val="00A347B6"/>
    <w:rsid w:val="00A3497D"/>
    <w:rsid w:val="00A34CE9"/>
    <w:rsid w:val="00A34D3D"/>
    <w:rsid w:val="00A35043"/>
    <w:rsid w:val="00A35068"/>
    <w:rsid w:val="00A35133"/>
    <w:rsid w:val="00A3530D"/>
    <w:rsid w:val="00A353D4"/>
    <w:rsid w:val="00A35653"/>
    <w:rsid w:val="00A356CF"/>
    <w:rsid w:val="00A35818"/>
    <w:rsid w:val="00A359BD"/>
    <w:rsid w:val="00A35DD0"/>
    <w:rsid w:val="00A35F92"/>
    <w:rsid w:val="00A360A6"/>
    <w:rsid w:val="00A362CA"/>
    <w:rsid w:val="00A36428"/>
    <w:rsid w:val="00A364AE"/>
    <w:rsid w:val="00A36543"/>
    <w:rsid w:val="00A36939"/>
    <w:rsid w:val="00A36B10"/>
    <w:rsid w:val="00A36CFF"/>
    <w:rsid w:val="00A36E3A"/>
    <w:rsid w:val="00A370DE"/>
    <w:rsid w:val="00A37105"/>
    <w:rsid w:val="00A374DD"/>
    <w:rsid w:val="00A37559"/>
    <w:rsid w:val="00A377D7"/>
    <w:rsid w:val="00A37A73"/>
    <w:rsid w:val="00A37B17"/>
    <w:rsid w:val="00A37C93"/>
    <w:rsid w:val="00A37EEB"/>
    <w:rsid w:val="00A40743"/>
    <w:rsid w:val="00A4087C"/>
    <w:rsid w:val="00A40A09"/>
    <w:rsid w:val="00A40D7F"/>
    <w:rsid w:val="00A40DAC"/>
    <w:rsid w:val="00A41098"/>
    <w:rsid w:val="00A4120B"/>
    <w:rsid w:val="00A41997"/>
    <w:rsid w:val="00A419A1"/>
    <w:rsid w:val="00A41A84"/>
    <w:rsid w:val="00A41DD4"/>
    <w:rsid w:val="00A41DDE"/>
    <w:rsid w:val="00A41E50"/>
    <w:rsid w:val="00A4204B"/>
    <w:rsid w:val="00A420B7"/>
    <w:rsid w:val="00A4228A"/>
    <w:rsid w:val="00A42526"/>
    <w:rsid w:val="00A425BB"/>
    <w:rsid w:val="00A425CF"/>
    <w:rsid w:val="00A4262E"/>
    <w:rsid w:val="00A42979"/>
    <w:rsid w:val="00A429F6"/>
    <w:rsid w:val="00A42C94"/>
    <w:rsid w:val="00A42F0D"/>
    <w:rsid w:val="00A43082"/>
    <w:rsid w:val="00A43135"/>
    <w:rsid w:val="00A4321A"/>
    <w:rsid w:val="00A4352A"/>
    <w:rsid w:val="00A43FC0"/>
    <w:rsid w:val="00A44209"/>
    <w:rsid w:val="00A44A8C"/>
    <w:rsid w:val="00A44BDC"/>
    <w:rsid w:val="00A44F20"/>
    <w:rsid w:val="00A45031"/>
    <w:rsid w:val="00A45209"/>
    <w:rsid w:val="00A45534"/>
    <w:rsid w:val="00A45658"/>
    <w:rsid w:val="00A45AC6"/>
    <w:rsid w:val="00A45C67"/>
    <w:rsid w:val="00A45E3E"/>
    <w:rsid w:val="00A45F40"/>
    <w:rsid w:val="00A46133"/>
    <w:rsid w:val="00A462CE"/>
    <w:rsid w:val="00A463B7"/>
    <w:rsid w:val="00A46CFE"/>
    <w:rsid w:val="00A46E51"/>
    <w:rsid w:val="00A471A6"/>
    <w:rsid w:val="00A473AB"/>
    <w:rsid w:val="00A47520"/>
    <w:rsid w:val="00A47540"/>
    <w:rsid w:val="00A477C7"/>
    <w:rsid w:val="00A47C3C"/>
    <w:rsid w:val="00A47D0E"/>
    <w:rsid w:val="00A47E7F"/>
    <w:rsid w:val="00A47EFE"/>
    <w:rsid w:val="00A50030"/>
    <w:rsid w:val="00A50205"/>
    <w:rsid w:val="00A5042B"/>
    <w:rsid w:val="00A5060E"/>
    <w:rsid w:val="00A50AAD"/>
    <w:rsid w:val="00A50F44"/>
    <w:rsid w:val="00A51063"/>
    <w:rsid w:val="00A5123E"/>
    <w:rsid w:val="00A517AE"/>
    <w:rsid w:val="00A51858"/>
    <w:rsid w:val="00A51860"/>
    <w:rsid w:val="00A51896"/>
    <w:rsid w:val="00A51E48"/>
    <w:rsid w:val="00A51E6F"/>
    <w:rsid w:val="00A51F68"/>
    <w:rsid w:val="00A521B9"/>
    <w:rsid w:val="00A524E4"/>
    <w:rsid w:val="00A5282E"/>
    <w:rsid w:val="00A5287D"/>
    <w:rsid w:val="00A528AE"/>
    <w:rsid w:val="00A52B08"/>
    <w:rsid w:val="00A52B35"/>
    <w:rsid w:val="00A52BCD"/>
    <w:rsid w:val="00A53617"/>
    <w:rsid w:val="00A537E0"/>
    <w:rsid w:val="00A5381C"/>
    <w:rsid w:val="00A539D6"/>
    <w:rsid w:val="00A53B11"/>
    <w:rsid w:val="00A53C42"/>
    <w:rsid w:val="00A53DB6"/>
    <w:rsid w:val="00A53DBA"/>
    <w:rsid w:val="00A53E46"/>
    <w:rsid w:val="00A54293"/>
    <w:rsid w:val="00A54490"/>
    <w:rsid w:val="00A544B1"/>
    <w:rsid w:val="00A54505"/>
    <w:rsid w:val="00A54A74"/>
    <w:rsid w:val="00A54B19"/>
    <w:rsid w:val="00A54D93"/>
    <w:rsid w:val="00A5523A"/>
    <w:rsid w:val="00A555E3"/>
    <w:rsid w:val="00A5569A"/>
    <w:rsid w:val="00A55785"/>
    <w:rsid w:val="00A558F5"/>
    <w:rsid w:val="00A55985"/>
    <w:rsid w:val="00A559A1"/>
    <w:rsid w:val="00A559D4"/>
    <w:rsid w:val="00A55DDB"/>
    <w:rsid w:val="00A55E03"/>
    <w:rsid w:val="00A55F7E"/>
    <w:rsid w:val="00A561BF"/>
    <w:rsid w:val="00A56267"/>
    <w:rsid w:val="00A5650C"/>
    <w:rsid w:val="00A56530"/>
    <w:rsid w:val="00A565CA"/>
    <w:rsid w:val="00A5680E"/>
    <w:rsid w:val="00A56D17"/>
    <w:rsid w:val="00A56D1A"/>
    <w:rsid w:val="00A56F20"/>
    <w:rsid w:val="00A575F2"/>
    <w:rsid w:val="00A578B9"/>
    <w:rsid w:val="00A57A17"/>
    <w:rsid w:val="00A57B22"/>
    <w:rsid w:val="00A57BF6"/>
    <w:rsid w:val="00A57C0A"/>
    <w:rsid w:val="00A57C0E"/>
    <w:rsid w:val="00A57EE8"/>
    <w:rsid w:val="00A60079"/>
    <w:rsid w:val="00A60434"/>
    <w:rsid w:val="00A60528"/>
    <w:rsid w:val="00A60613"/>
    <w:rsid w:val="00A60643"/>
    <w:rsid w:val="00A608C6"/>
    <w:rsid w:val="00A608FC"/>
    <w:rsid w:val="00A60ABB"/>
    <w:rsid w:val="00A60D08"/>
    <w:rsid w:val="00A60DEC"/>
    <w:rsid w:val="00A60E2C"/>
    <w:rsid w:val="00A60FD5"/>
    <w:rsid w:val="00A61CF5"/>
    <w:rsid w:val="00A61D49"/>
    <w:rsid w:val="00A62020"/>
    <w:rsid w:val="00A620E5"/>
    <w:rsid w:val="00A62D7D"/>
    <w:rsid w:val="00A62DC5"/>
    <w:rsid w:val="00A62F58"/>
    <w:rsid w:val="00A62F60"/>
    <w:rsid w:val="00A6301A"/>
    <w:rsid w:val="00A63039"/>
    <w:rsid w:val="00A6305A"/>
    <w:rsid w:val="00A63284"/>
    <w:rsid w:val="00A63580"/>
    <w:rsid w:val="00A63671"/>
    <w:rsid w:val="00A63921"/>
    <w:rsid w:val="00A63922"/>
    <w:rsid w:val="00A63A1B"/>
    <w:rsid w:val="00A63AEC"/>
    <w:rsid w:val="00A63B1F"/>
    <w:rsid w:val="00A63BBD"/>
    <w:rsid w:val="00A63C17"/>
    <w:rsid w:val="00A63DC4"/>
    <w:rsid w:val="00A63E5F"/>
    <w:rsid w:val="00A641D9"/>
    <w:rsid w:val="00A64344"/>
    <w:rsid w:val="00A64A00"/>
    <w:rsid w:val="00A64C8D"/>
    <w:rsid w:val="00A64CA4"/>
    <w:rsid w:val="00A64D23"/>
    <w:rsid w:val="00A64E54"/>
    <w:rsid w:val="00A64FD7"/>
    <w:rsid w:val="00A650CA"/>
    <w:rsid w:val="00A65838"/>
    <w:rsid w:val="00A6588A"/>
    <w:rsid w:val="00A6589B"/>
    <w:rsid w:val="00A658CE"/>
    <w:rsid w:val="00A65B33"/>
    <w:rsid w:val="00A65BC7"/>
    <w:rsid w:val="00A65CE6"/>
    <w:rsid w:val="00A65DA6"/>
    <w:rsid w:val="00A65EC3"/>
    <w:rsid w:val="00A65F7B"/>
    <w:rsid w:val="00A66186"/>
    <w:rsid w:val="00A66395"/>
    <w:rsid w:val="00A66990"/>
    <w:rsid w:val="00A66BB3"/>
    <w:rsid w:val="00A66CEF"/>
    <w:rsid w:val="00A66EBF"/>
    <w:rsid w:val="00A66F63"/>
    <w:rsid w:val="00A66FE8"/>
    <w:rsid w:val="00A670FA"/>
    <w:rsid w:val="00A67127"/>
    <w:rsid w:val="00A67421"/>
    <w:rsid w:val="00A6753A"/>
    <w:rsid w:val="00A6766A"/>
    <w:rsid w:val="00A67ABD"/>
    <w:rsid w:val="00A67BD1"/>
    <w:rsid w:val="00A67D4E"/>
    <w:rsid w:val="00A67F47"/>
    <w:rsid w:val="00A67FDF"/>
    <w:rsid w:val="00A7035A"/>
    <w:rsid w:val="00A703BC"/>
    <w:rsid w:val="00A70C77"/>
    <w:rsid w:val="00A70D17"/>
    <w:rsid w:val="00A70DA6"/>
    <w:rsid w:val="00A70E8C"/>
    <w:rsid w:val="00A70E96"/>
    <w:rsid w:val="00A70FBC"/>
    <w:rsid w:val="00A7151B"/>
    <w:rsid w:val="00A7176A"/>
    <w:rsid w:val="00A717F6"/>
    <w:rsid w:val="00A71873"/>
    <w:rsid w:val="00A7246A"/>
    <w:rsid w:val="00A72857"/>
    <w:rsid w:val="00A72E49"/>
    <w:rsid w:val="00A72E55"/>
    <w:rsid w:val="00A73564"/>
    <w:rsid w:val="00A7357A"/>
    <w:rsid w:val="00A73792"/>
    <w:rsid w:val="00A73798"/>
    <w:rsid w:val="00A738AD"/>
    <w:rsid w:val="00A73967"/>
    <w:rsid w:val="00A73AC1"/>
    <w:rsid w:val="00A73ACC"/>
    <w:rsid w:val="00A73FA1"/>
    <w:rsid w:val="00A73FFE"/>
    <w:rsid w:val="00A74034"/>
    <w:rsid w:val="00A740D0"/>
    <w:rsid w:val="00A74299"/>
    <w:rsid w:val="00A744D3"/>
    <w:rsid w:val="00A744E9"/>
    <w:rsid w:val="00A74568"/>
    <w:rsid w:val="00A745C6"/>
    <w:rsid w:val="00A7481D"/>
    <w:rsid w:val="00A74ABD"/>
    <w:rsid w:val="00A74B42"/>
    <w:rsid w:val="00A74C17"/>
    <w:rsid w:val="00A74CA0"/>
    <w:rsid w:val="00A74FB7"/>
    <w:rsid w:val="00A7526B"/>
    <w:rsid w:val="00A75386"/>
    <w:rsid w:val="00A7578D"/>
    <w:rsid w:val="00A758BF"/>
    <w:rsid w:val="00A75D92"/>
    <w:rsid w:val="00A75DA6"/>
    <w:rsid w:val="00A761A7"/>
    <w:rsid w:val="00A7635D"/>
    <w:rsid w:val="00A765EC"/>
    <w:rsid w:val="00A7660A"/>
    <w:rsid w:val="00A76C6A"/>
    <w:rsid w:val="00A76F64"/>
    <w:rsid w:val="00A772C5"/>
    <w:rsid w:val="00A774BD"/>
    <w:rsid w:val="00A77506"/>
    <w:rsid w:val="00A77770"/>
    <w:rsid w:val="00A77E98"/>
    <w:rsid w:val="00A801B9"/>
    <w:rsid w:val="00A80210"/>
    <w:rsid w:val="00A80AFE"/>
    <w:rsid w:val="00A80C0C"/>
    <w:rsid w:val="00A80C9A"/>
    <w:rsid w:val="00A80CCA"/>
    <w:rsid w:val="00A810B1"/>
    <w:rsid w:val="00A81100"/>
    <w:rsid w:val="00A811C6"/>
    <w:rsid w:val="00A81273"/>
    <w:rsid w:val="00A812CD"/>
    <w:rsid w:val="00A81302"/>
    <w:rsid w:val="00A814EC"/>
    <w:rsid w:val="00A815D5"/>
    <w:rsid w:val="00A816D4"/>
    <w:rsid w:val="00A817AB"/>
    <w:rsid w:val="00A81B2F"/>
    <w:rsid w:val="00A81BB5"/>
    <w:rsid w:val="00A81BED"/>
    <w:rsid w:val="00A81D33"/>
    <w:rsid w:val="00A8237C"/>
    <w:rsid w:val="00A82572"/>
    <w:rsid w:val="00A82BFA"/>
    <w:rsid w:val="00A82C28"/>
    <w:rsid w:val="00A82C94"/>
    <w:rsid w:val="00A82EC7"/>
    <w:rsid w:val="00A82F0A"/>
    <w:rsid w:val="00A832B5"/>
    <w:rsid w:val="00A8334B"/>
    <w:rsid w:val="00A837C2"/>
    <w:rsid w:val="00A83A5E"/>
    <w:rsid w:val="00A83E59"/>
    <w:rsid w:val="00A83FFE"/>
    <w:rsid w:val="00A84186"/>
    <w:rsid w:val="00A84289"/>
    <w:rsid w:val="00A843C4"/>
    <w:rsid w:val="00A844D3"/>
    <w:rsid w:val="00A84671"/>
    <w:rsid w:val="00A847D2"/>
    <w:rsid w:val="00A8482A"/>
    <w:rsid w:val="00A85190"/>
    <w:rsid w:val="00A8528E"/>
    <w:rsid w:val="00A85418"/>
    <w:rsid w:val="00A855F6"/>
    <w:rsid w:val="00A85872"/>
    <w:rsid w:val="00A858E6"/>
    <w:rsid w:val="00A85A06"/>
    <w:rsid w:val="00A85A2F"/>
    <w:rsid w:val="00A85ADC"/>
    <w:rsid w:val="00A85E80"/>
    <w:rsid w:val="00A85ED8"/>
    <w:rsid w:val="00A86686"/>
    <w:rsid w:val="00A866A7"/>
    <w:rsid w:val="00A86894"/>
    <w:rsid w:val="00A86DE1"/>
    <w:rsid w:val="00A86F09"/>
    <w:rsid w:val="00A87117"/>
    <w:rsid w:val="00A876CE"/>
    <w:rsid w:val="00A87709"/>
    <w:rsid w:val="00A8777F"/>
    <w:rsid w:val="00A87E99"/>
    <w:rsid w:val="00A87EE1"/>
    <w:rsid w:val="00A90013"/>
    <w:rsid w:val="00A9013E"/>
    <w:rsid w:val="00A903A1"/>
    <w:rsid w:val="00A9082A"/>
    <w:rsid w:val="00A909FA"/>
    <w:rsid w:val="00A90B03"/>
    <w:rsid w:val="00A90C16"/>
    <w:rsid w:val="00A90C84"/>
    <w:rsid w:val="00A90DB2"/>
    <w:rsid w:val="00A90E5E"/>
    <w:rsid w:val="00A90FE2"/>
    <w:rsid w:val="00A91228"/>
    <w:rsid w:val="00A91321"/>
    <w:rsid w:val="00A91472"/>
    <w:rsid w:val="00A914A9"/>
    <w:rsid w:val="00A9156D"/>
    <w:rsid w:val="00A91742"/>
    <w:rsid w:val="00A91761"/>
    <w:rsid w:val="00A917B3"/>
    <w:rsid w:val="00A91A1C"/>
    <w:rsid w:val="00A91A78"/>
    <w:rsid w:val="00A91BFD"/>
    <w:rsid w:val="00A91C7C"/>
    <w:rsid w:val="00A91E40"/>
    <w:rsid w:val="00A91EA4"/>
    <w:rsid w:val="00A91FFF"/>
    <w:rsid w:val="00A92357"/>
    <w:rsid w:val="00A92562"/>
    <w:rsid w:val="00A925C5"/>
    <w:rsid w:val="00A92778"/>
    <w:rsid w:val="00A92C0D"/>
    <w:rsid w:val="00A92EC1"/>
    <w:rsid w:val="00A9334C"/>
    <w:rsid w:val="00A93462"/>
    <w:rsid w:val="00A93517"/>
    <w:rsid w:val="00A93639"/>
    <w:rsid w:val="00A936AD"/>
    <w:rsid w:val="00A939DB"/>
    <w:rsid w:val="00A93B61"/>
    <w:rsid w:val="00A93D26"/>
    <w:rsid w:val="00A93D9B"/>
    <w:rsid w:val="00A9433F"/>
    <w:rsid w:val="00A94488"/>
    <w:rsid w:val="00A94819"/>
    <w:rsid w:val="00A948DF"/>
    <w:rsid w:val="00A94ADF"/>
    <w:rsid w:val="00A94E76"/>
    <w:rsid w:val="00A94F61"/>
    <w:rsid w:val="00A94FF8"/>
    <w:rsid w:val="00A95044"/>
    <w:rsid w:val="00A95066"/>
    <w:rsid w:val="00A9525B"/>
    <w:rsid w:val="00A954B6"/>
    <w:rsid w:val="00A954CE"/>
    <w:rsid w:val="00A955FA"/>
    <w:rsid w:val="00A95607"/>
    <w:rsid w:val="00A95683"/>
    <w:rsid w:val="00A95726"/>
    <w:rsid w:val="00A959ED"/>
    <w:rsid w:val="00A95A63"/>
    <w:rsid w:val="00A95F40"/>
    <w:rsid w:val="00A963F9"/>
    <w:rsid w:val="00A9646A"/>
    <w:rsid w:val="00A96D23"/>
    <w:rsid w:val="00A96D40"/>
    <w:rsid w:val="00A96E40"/>
    <w:rsid w:val="00A96F23"/>
    <w:rsid w:val="00A970F0"/>
    <w:rsid w:val="00A97755"/>
    <w:rsid w:val="00A97804"/>
    <w:rsid w:val="00A9793F"/>
    <w:rsid w:val="00A9797D"/>
    <w:rsid w:val="00A979F1"/>
    <w:rsid w:val="00A97A38"/>
    <w:rsid w:val="00A97A66"/>
    <w:rsid w:val="00A97ED7"/>
    <w:rsid w:val="00A97FF1"/>
    <w:rsid w:val="00AA01C5"/>
    <w:rsid w:val="00AA03E0"/>
    <w:rsid w:val="00AA0455"/>
    <w:rsid w:val="00AA0485"/>
    <w:rsid w:val="00AA0AAF"/>
    <w:rsid w:val="00AA0C06"/>
    <w:rsid w:val="00AA0E1A"/>
    <w:rsid w:val="00AA1106"/>
    <w:rsid w:val="00AA13D3"/>
    <w:rsid w:val="00AA1615"/>
    <w:rsid w:val="00AA1889"/>
    <w:rsid w:val="00AA1F41"/>
    <w:rsid w:val="00AA248C"/>
    <w:rsid w:val="00AA2517"/>
    <w:rsid w:val="00AA251D"/>
    <w:rsid w:val="00AA358E"/>
    <w:rsid w:val="00AA39C8"/>
    <w:rsid w:val="00AA4127"/>
    <w:rsid w:val="00AA430A"/>
    <w:rsid w:val="00AA43BD"/>
    <w:rsid w:val="00AA45DB"/>
    <w:rsid w:val="00AA4957"/>
    <w:rsid w:val="00AA4C2B"/>
    <w:rsid w:val="00AA4D0A"/>
    <w:rsid w:val="00AA5179"/>
    <w:rsid w:val="00AA529B"/>
    <w:rsid w:val="00AA52CE"/>
    <w:rsid w:val="00AA5607"/>
    <w:rsid w:val="00AA56AD"/>
    <w:rsid w:val="00AA5885"/>
    <w:rsid w:val="00AA5A97"/>
    <w:rsid w:val="00AA5AED"/>
    <w:rsid w:val="00AA5C5D"/>
    <w:rsid w:val="00AA60D3"/>
    <w:rsid w:val="00AA6187"/>
    <w:rsid w:val="00AA61AF"/>
    <w:rsid w:val="00AA62A2"/>
    <w:rsid w:val="00AA67B3"/>
    <w:rsid w:val="00AA6BE1"/>
    <w:rsid w:val="00AA6CC0"/>
    <w:rsid w:val="00AA6E3A"/>
    <w:rsid w:val="00AA73CB"/>
    <w:rsid w:val="00AA7649"/>
    <w:rsid w:val="00AA781C"/>
    <w:rsid w:val="00AA7B6B"/>
    <w:rsid w:val="00AA7C10"/>
    <w:rsid w:val="00AA7C74"/>
    <w:rsid w:val="00AB002E"/>
    <w:rsid w:val="00AB0241"/>
    <w:rsid w:val="00AB0245"/>
    <w:rsid w:val="00AB0570"/>
    <w:rsid w:val="00AB06D4"/>
    <w:rsid w:val="00AB0ACD"/>
    <w:rsid w:val="00AB0BB0"/>
    <w:rsid w:val="00AB0BC3"/>
    <w:rsid w:val="00AB13CC"/>
    <w:rsid w:val="00AB17E2"/>
    <w:rsid w:val="00AB1823"/>
    <w:rsid w:val="00AB1B78"/>
    <w:rsid w:val="00AB1CFD"/>
    <w:rsid w:val="00AB1E95"/>
    <w:rsid w:val="00AB1F39"/>
    <w:rsid w:val="00AB2078"/>
    <w:rsid w:val="00AB2098"/>
    <w:rsid w:val="00AB246A"/>
    <w:rsid w:val="00AB28F8"/>
    <w:rsid w:val="00AB2B4A"/>
    <w:rsid w:val="00AB2B76"/>
    <w:rsid w:val="00AB2BB6"/>
    <w:rsid w:val="00AB2FFC"/>
    <w:rsid w:val="00AB3050"/>
    <w:rsid w:val="00AB3053"/>
    <w:rsid w:val="00AB3090"/>
    <w:rsid w:val="00AB3203"/>
    <w:rsid w:val="00AB3480"/>
    <w:rsid w:val="00AB3BEF"/>
    <w:rsid w:val="00AB3C19"/>
    <w:rsid w:val="00AB3DF9"/>
    <w:rsid w:val="00AB4024"/>
    <w:rsid w:val="00AB427E"/>
    <w:rsid w:val="00AB4404"/>
    <w:rsid w:val="00AB4552"/>
    <w:rsid w:val="00AB469A"/>
    <w:rsid w:val="00AB4780"/>
    <w:rsid w:val="00AB498D"/>
    <w:rsid w:val="00AB4BDF"/>
    <w:rsid w:val="00AB4BF8"/>
    <w:rsid w:val="00AB4C9B"/>
    <w:rsid w:val="00AB4D8D"/>
    <w:rsid w:val="00AB4FB1"/>
    <w:rsid w:val="00AB530D"/>
    <w:rsid w:val="00AB54E5"/>
    <w:rsid w:val="00AB5524"/>
    <w:rsid w:val="00AB58E7"/>
    <w:rsid w:val="00AB5D20"/>
    <w:rsid w:val="00AB5E34"/>
    <w:rsid w:val="00AB63A2"/>
    <w:rsid w:val="00AB6415"/>
    <w:rsid w:val="00AB66F1"/>
    <w:rsid w:val="00AB6850"/>
    <w:rsid w:val="00AB6B19"/>
    <w:rsid w:val="00AB702F"/>
    <w:rsid w:val="00AB72FD"/>
    <w:rsid w:val="00AB7626"/>
    <w:rsid w:val="00AB7AF7"/>
    <w:rsid w:val="00AB7CF8"/>
    <w:rsid w:val="00AB7D2B"/>
    <w:rsid w:val="00AC0159"/>
    <w:rsid w:val="00AC03B7"/>
    <w:rsid w:val="00AC03E1"/>
    <w:rsid w:val="00AC069C"/>
    <w:rsid w:val="00AC0843"/>
    <w:rsid w:val="00AC0872"/>
    <w:rsid w:val="00AC0CCA"/>
    <w:rsid w:val="00AC14C8"/>
    <w:rsid w:val="00AC18F0"/>
    <w:rsid w:val="00AC1EB7"/>
    <w:rsid w:val="00AC1FE8"/>
    <w:rsid w:val="00AC224A"/>
    <w:rsid w:val="00AC29F7"/>
    <w:rsid w:val="00AC2D89"/>
    <w:rsid w:val="00AC31F5"/>
    <w:rsid w:val="00AC35DA"/>
    <w:rsid w:val="00AC3838"/>
    <w:rsid w:val="00AC38E7"/>
    <w:rsid w:val="00AC3CC4"/>
    <w:rsid w:val="00AC3CD3"/>
    <w:rsid w:val="00AC3E49"/>
    <w:rsid w:val="00AC40ED"/>
    <w:rsid w:val="00AC41E2"/>
    <w:rsid w:val="00AC43BA"/>
    <w:rsid w:val="00AC4723"/>
    <w:rsid w:val="00AC4893"/>
    <w:rsid w:val="00AC49A0"/>
    <w:rsid w:val="00AC4B9B"/>
    <w:rsid w:val="00AC4DFF"/>
    <w:rsid w:val="00AC4E2B"/>
    <w:rsid w:val="00AC502E"/>
    <w:rsid w:val="00AC56F3"/>
    <w:rsid w:val="00AC5827"/>
    <w:rsid w:val="00AC5A7F"/>
    <w:rsid w:val="00AC61D9"/>
    <w:rsid w:val="00AC62AD"/>
    <w:rsid w:val="00AC6380"/>
    <w:rsid w:val="00AC63F5"/>
    <w:rsid w:val="00AC6733"/>
    <w:rsid w:val="00AC69AE"/>
    <w:rsid w:val="00AC6AFA"/>
    <w:rsid w:val="00AC6B6A"/>
    <w:rsid w:val="00AC6B7F"/>
    <w:rsid w:val="00AC6D06"/>
    <w:rsid w:val="00AC6DAB"/>
    <w:rsid w:val="00AC7247"/>
    <w:rsid w:val="00AC7480"/>
    <w:rsid w:val="00AC7493"/>
    <w:rsid w:val="00AC75FC"/>
    <w:rsid w:val="00AC76F9"/>
    <w:rsid w:val="00AC7719"/>
    <w:rsid w:val="00AC7836"/>
    <w:rsid w:val="00AC7888"/>
    <w:rsid w:val="00AC788F"/>
    <w:rsid w:val="00AC79F1"/>
    <w:rsid w:val="00AC7CFC"/>
    <w:rsid w:val="00AC7DD5"/>
    <w:rsid w:val="00AC7DFB"/>
    <w:rsid w:val="00AD0168"/>
    <w:rsid w:val="00AD07E7"/>
    <w:rsid w:val="00AD089E"/>
    <w:rsid w:val="00AD0C6A"/>
    <w:rsid w:val="00AD0D43"/>
    <w:rsid w:val="00AD0F11"/>
    <w:rsid w:val="00AD110F"/>
    <w:rsid w:val="00AD16DA"/>
    <w:rsid w:val="00AD1949"/>
    <w:rsid w:val="00AD1A0A"/>
    <w:rsid w:val="00AD1B93"/>
    <w:rsid w:val="00AD20B8"/>
    <w:rsid w:val="00AD240A"/>
    <w:rsid w:val="00AD248F"/>
    <w:rsid w:val="00AD2588"/>
    <w:rsid w:val="00AD2683"/>
    <w:rsid w:val="00AD26AF"/>
    <w:rsid w:val="00AD2735"/>
    <w:rsid w:val="00AD27D5"/>
    <w:rsid w:val="00AD28DF"/>
    <w:rsid w:val="00AD2B65"/>
    <w:rsid w:val="00AD2FE6"/>
    <w:rsid w:val="00AD3003"/>
    <w:rsid w:val="00AD33DC"/>
    <w:rsid w:val="00AD3421"/>
    <w:rsid w:val="00AD36B5"/>
    <w:rsid w:val="00AD3AFA"/>
    <w:rsid w:val="00AD3B5E"/>
    <w:rsid w:val="00AD3B77"/>
    <w:rsid w:val="00AD3D2F"/>
    <w:rsid w:val="00AD3E84"/>
    <w:rsid w:val="00AD4295"/>
    <w:rsid w:val="00AD42AF"/>
    <w:rsid w:val="00AD4639"/>
    <w:rsid w:val="00AD4722"/>
    <w:rsid w:val="00AD4C42"/>
    <w:rsid w:val="00AD4DA2"/>
    <w:rsid w:val="00AD4DC9"/>
    <w:rsid w:val="00AD4DF4"/>
    <w:rsid w:val="00AD526D"/>
    <w:rsid w:val="00AD52AB"/>
    <w:rsid w:val="00AD53AB"/>
    <w:rsid w:val="00AD5419"/>
    <w:rsid w:val="00AD55BA"/>
    <w:rsid w:val="00AD5667"/>
    <w:rsid w:val="00AD5CDC"/>
    <w:rsid w:val="00AD5E48"/>
    <w:rsid w:val="00AD5F88"/>
    <w:rsid w:val="00AD5FA7"/>
    <w:rsid w:val="00AD6221"/>
    <w:rsid w:val="00AD626A"/>
    <w:rsid w:val="00AD65C2"/>
    <w:rsid w:val="00AD66D0"/>
    <w:rsid w:val="00AD676F"/>
    <w:rsid w:val="00AD69FB"/>
    <w:rsid w:val="00AD6A94"/>
    <w:rsid w:val="00AD6AD8"/>
    <w:rsid w:val="00AD6CCB"/>
    <w:rsid w:val="00AD6DD8"/>
    <w:rsid w:val="00AD6EED"/>
    <w:rsid w:val="00AD733A"/>
    <w:rsid w:val="00AD7923"/>
    <w:rsid w:val="00AD7995"/>
    <w:rsid w:val="00AD7B58"/>
    <w:rsid w:val="00AD7E95"/>
    <w:rsid w:val="00AD7F0A"/>
    <w:rsid w:val="00AE0024"/>
    <w:rsid w:val="00AE01BC"/>
    <w:rsid w:val="00AE05EA"/>
    <w:rsid w:val="00AE06B2"/>
    <w:rsid w:val="00AE0E26"/>
    <w:rsid w:val="00AE0E42"/>
    <w:rsid w:val="00AE0ECC"/>
    <w:rsid w:val="00AE0F06"/>
    <w:rsid w:val="00AE0F0D"/>
    <w:rsid w:val="00AE1312"/>
    <w:rsid w:val="00AE1455"/>
    <w:rsid w:val="00AE1545"/>
    <w:rsid w:val="00AE15A2"/>
    <w:rsid w:val="00AE15DC"/>
    <w:rsid w:val="00AE1791"/>
    <w:rsid w:val="00AE1942"/>
    <w:rsid w:val="00AE1BA1"/>
    <w:rsid w:val="00AE1CE3"/>
    <w:rsid w:val="00AE1D47"/>
    <w:rsid w:val="00AE218D"/>
    <w:rsid w:val="00AE2674"/>
    <w:rsid w:val="00AE2999"/>
    <w:rsid w:val="00AE2B0D"/>
    <w:rsid w:val="00AE2BC5"/>
    <w:rsid w:val="00AE2BD2"/>
    <w:rsid w:val="00AE2BE4"/>
    <w:rsid w:val="00AE2F57"/>
    <w:rsid w:val="00AE2FC4"/>
    <w:rsid w:val="00AE2FE2"/>
    <w:rsid w:val="00AE31DC"/>
    <w:rsid w:val="00AE33A1"/>
    <w:rsid w:val="00AE33FB"/>
    <w:rsid w:val="00AE3537"/>
    <w:rsid w:val="00AE3ACF"/>
    <w:rsid w:val="00AE3C9C"/>
    <w:rsid w:val="00AE3DCF"/>
    <w:rsid w:val="00AE3E13"/>
    <w:rsid w:val="00AE4069"/>
    <w:rsid w:val="00AE42FB"/>
    <w:rsid w:val="00AE432C"/>
    <w:rsid w:val="00AE4446"/>
    <w:rsid w:val="00AE467F"/>
    <w:rsid w:val="00AE4741"/>
    <w:rsid w:val="00AE47E9"/>
    <w:rsid w:val="00AE4918"/>
    <w:rsid w:val="00AE4A99"/>
    <w:rsid w:val="00AE4D58"/>
    <w:rsid w:val="00AE4D64"/>
    <w:rsid w:val="00AE4DB8"/>
    <w:rsid w:val="00AE4F1C"/>
    <w:rsid w:val="00AE4F3D"/>
    <w:rsid w:val="00AE53F9"/>
    <w:rsid w:val="00AE579D"/>
    <w:rsid w:val="00AE5900"/>
    <w:rsid w:val="00AE5D0C"/>
    <w:rsid w:val="00AE5D4B"/>
    <w:rsid w:val="00AE5EED"/>
    <w:rsid w:val="00AE6097"/>
    <w:rsid w:val="00AE60A6"/>
    <w:rsid w:val="00AE6378"/>
    <w:rsid w:val="00AE662E"/>
    <w:rsid w:val="00AE6775"/>
    <w:rsid w:val="00AE6CF3"/>
    <w:rsid w:val="00AE6F0E"/>
    <w:rsid w:val="00AE734C"/>
    <w:rsid w:val="00AE73A9"/>
    <w:rsid w:val="00AE7446"/>
    <w:rsid w:val="00AE7497"/>
    <w:rsid w:val="00AE74D7"/>
    <w:rsid w:val="00AE74FF"/>
    <w:rsid w:val="00AE771A"/>
    <w:rsid w:val="00AE7A0D"/>
    <w:rsid w:val="00AE7A1E"/>
    <w:rsid w:val="00AE7A72"/>
    <w:rsid w:val="00AE7CC9"/>
    <w:rsid w:val="00AE7EE9"/>
    <w:rsid w:val="00AF05DA"/>
    <w:rsid w:val="00AF092F"/>
    <w:rsid w:val="00AF0D7D"/>
    <w:rsid w:val="00AF128F"/>
    <w:rsid w:val="00AF13FC"/>
    <w:rsid w:val="00AF171F"/>
    <w:rsid w:val="00AF185E"/>
    <w:rsid w:val="00AF1C91"/>
    <w:rsid w:val="00AF1E02"/>
    <w:rsid w:val="00AF1E2E"/>
    <w:rsid w:val="00AF1ED4"/>
    <w:rsid w:val="00AF1EDC"/>
    <w:rsid w:val="00AF2480"/>
    <w:rsid w:val="00AF2765"/>
    <w:rsid w:val="00AF29DF"/>
    <w:rsid w:val="00AF2CB1"/>
    <w:rsid w:val="00AF2CFE"/>
    <w:rsid w:val="00AF2D2D"/>
    <w:rsid w:val="00AF2DA3"/>
    <w:rsid w:val="00AF3255"/>
    <w:rsid w:val="00AF3310"/>
    <w:rsid w:val="00AF3322"/>
    <w:rsid w:val="00AF34BD"/>
    <w:rsid w:val="00AF3759"/>
    <w:rsid w:val="00AF398F"/>
    <w:rsid w:val="00AF3CD0"/>
    <w:rsid w:val="00AF45CF"/>
    <w:rsid w:val="00AF4601"/>
    <w:rsid w:val="00AF48DF"/>
    <w:rsid w:val="00AF523E"/>
    <w:rsid w:val="00AF5B75"/>
    <w:rsid w:val="00AF5D35"/>
    <w:rsid w:val="00AF5DE5"/>
    <w:rsid w:val="00AF6096"/>
    <w:rsid w:val="00AF6176"/>
    <w:rsid w:val="00AF6239"/>
    <w:rsid w:val="00AF637F"/>
    <w:rsid w:val="00AF6604"/>
    <w:rsid w:val="00AF68CF"/>
    <w:rsid w:val="00AF697F"/>
    <w:rsid w:val="00AF6A3B"/>
    <w:rsid w:val="00AF6AAB"/>
    <w:rsid w:val="00AF6EDF"/>
    <w:rsid w:val="00AF7648"/>
    <w:rsid w:val="00AF7AE2"/>
    <w:rsid w:val="00AF7E37"/>
    <w:rsid w:val="00AF7FEC"/>
    <w:rsid w:val="00B00001"/>
    <w:rsid w:val="00B002AB"/>
    <w:rsid w:val="00B0032F"/>
    <w:rsid w:val="00B0033C"/>
    <w:rsid w:val="00B0049D"/>
    <w:rsid w:val="00B00746"/>
    <w:rsid w:val="00B00A66"/>
    <w:rsid w:val="00B00AED"/>
    <w:rsid w:val="00B00C4C"/>
    <w:rsid w:val="00B00CA7"/>
    <w:rsid w:val="00B013E2"/>
    <w:rsid w:val="00B01417"/>
    <w:rsid w:val="00B01955"/>
    <w:rsid w:val="00B019C6"/>
    <w:rsid w:val="00B019D8"/>
    <w:rsid w:val="00B02165"/>
    <w:rsid w:val="00B02273"/>
    <w:rsid w:val="00B02343"/>
    <w:rsid w:val="00B02590"/>
    <w:rsid w:val="00B025B8"/>
    <w:rsid w:val="00B02917"/>
    <w:rsid w:val="00B029D2"/>
    <w:rsid w:val="00B02BFC"/>
    <w:rsid w:val="00B02E75"/>
    <w:rsid w:val="00B03192"/>
    <w:rsid w:val="00B0322E"/>
    <w:rsid w:val="00B03511"/>
    <w:rsid w:val="00B035BC"/>
    <w:rsid w:val="00B037B1"/>
    <w:rsid w:val="00B03C8B"/>
    <w:rsid w:val="00B04148"/>
    <w:rsid w:val="00B04461"/>
    <w:rsid w:val="00B0493B"/>
    <w:rsid w:val="00B04A2A"/>
    <w:rsid w:val="00B04A2F"/>
    <w:rsid w:val="00B04A4A"/>
    <w:rsid w:val="00B04AD1"/>
    <w:rsid w:val="00B04BE9"/>
    <w:rsid w:val="00B04D72"/>
    <w:rsid w:val="00B04D7F"/>
    <w:rsid w:val="00B04E9F"/>
    <w:rsid w:val="00B04EEC"/>
    <w:rsid w:val="00B04F5A"/>
    <w:rsid w:val="00B04FC2"/>
    <w:rsid w:val="00B0551C"/>
    <w:rsid w:val="00B05677"/>
    <w:rsid w:val="00B05854"/>
    <w:rsid w:val="00B0587A"/>
    <w:rsid w:val="00B058B7"/>
    <w:rsid w:val="00B05A23"/>
    <w:rsid w:val="00B05B07"/>
    <w:rsid w:val="00B06178"/>
    <w:rsid w:val="00B061C3"/>
    <w:rsid w:val="00B062B1"/>
    <w:rsid w:val="00B0641C"/>
    <w:rsid w:val="00B064D6"/>
    <w:rsid w:val="00B06867"/>
    <w:rsid w:val="00B0695C"/>
    <w:rsid w:val="00B06DE9"/>
    <w:rsid w:val="00B06F40"/>
    <w:rsid w:val="00B06FE9"/>
    <w:rsid w:val="00B070AC"/>
    <w:rsid w:val="00B0746C"/>
    <w:rsid w:val="00B074F7"/>
    <w:rsid w:val="00B075F4"/>
    <w:rsid w:val="00B07665"/>
    <w:rsid w:val="00B0781B"/>
    <w:rsid w:val="00B07854"/>
    <w:rsid w:val="00B07909"/>
    <w:rsid w:val="00B0798C"/>
    <w:rsid w:val="00B079CA"/>
    <w:rsid w:val="00B07AEC"/>
    <w:rsid w:val="00B07C27"/>
    <w:rsid w:val="00B07D07"/>
    <w:rsid w:val="00B07EEC"/>
    <w:rsid w:val="00B07F80"/>
    <w:rsid w:val="00B100AE"/>
    <w:rsid w:val="00B105BA"/>
    <w:rsid w:val="00B10603"/>
    <w:rsid w:val="00B1064A"/>
    <w:rsid w:val="00B10664"/>
    <w:rsid w:val="00B10906"/>
    <w:rsid w:val="00B10B5A"/>
    <w:rsid w:val="00B10F83"/>
    <w:rsid w:val="00B110DE"/>
    <w:rsid w:val="00B11538"/>
    <w:rsid w:val="00B11722"/>
    <w:rsid w:val="00B11735"/>
    <w:rsid w:val="00B11D52"/>
    <w:rsid w:val="00B12052"/>
    <w:rsid w:val="00B120FC"/>
    <w:rsid w:val="00B12185"/>
    <w:rsid w:val="00B12194"/>
    <w:rsid w:val="00B12292"/>
    <w:rsid w:val="00B12314"/>
    <w:rsid w:val="00B12371"/>
    <w:rsid w:val="00B125B2"/>
    <w:rsid w:val="00B128B7"/>
    <w:rsid w:val="00B12A45"/>
    <w:rsid w:val="00B12B7C"/>
    <w:rsid w:val="00B12F37"/>
    <w:rsid w:val="00B1318F"/>
    <w:rsid w:val="00B1327D"/>
    <w:rsid w:val="00B13329"/>
    <w:rsid w:val="00B13718"/>
    <w:rsid w:val="00B13730"/>
    <w:rsid w:val="00B13867"/>
    <w:rsid w:val="00B1392D"/>
    <w:rsid w:val="00B13C30"/>
    <w:rsid w:val="00B13E58"/>
    <w:rsid w:val="00B13E76"/>
    <w:rsid w:val="00B143A5"/>
    <w:rsid w:val="00B144B8"/>
    <w:rsid w:val="00B14511"/>
    <w:rsid w:val="00B1455F"/>
    <w:rsid w:val="00B146AC"/>
    <w:rsid w:val="00B14881"/>
    <w:rsid w:val="00B14CA8"/>
    <w:rsid w:val="00B14DA8"/>
    <w:rsid w:val="00B14DC0"/>
    <w:rsid w:val="00B14DC8"/>
    <w:rsid w:val="00B14E18"/>
    <w:rsid w:val="00B14FA0"/>
    <w:rsid w:val="00B150D8"/>
    <w:rsid w:val="00B15101"/>
    <w:rsid w:val="00B151D7"/>
    <w:rsid w:val="00B157C3"/>
    <w:rsid w:val="00B15A2E"/>
    <w:rsid w:val="00B15E00"/>
    <w:rsid w:val="00B15F08"/>
    <w:rsid w:val="00B15F86"/>
    <w:rsid w:val="00B15FC2"/>
    <w:rsid w:val="00B16119"/>
    <w:rsid w:val="00B16713"/>
    <w:rsid w:val="00B1684C"/>
    <w:rsid w:val="00B169BF"/>
    <w:rsid w:val="00B16EA8"/>
    <w:rsid w:val="00B1718B"/>
    <w:rsid w:val="00B173D8"/>
    <w:rsid w:val="00B174A2"/>
    <w:rsid w:val="00B17CD4"/>
    <w:rsid w:val="00B17FDE"/>
    <w:rsid w:val="00B2024A"/>
    <w:rsid w:val="00B20335"/>
    <w:rsid w:val="00B2033B"/>
    <w:rsid w:val="00B2034E"/>
    <w:rsid w:val="00B2035B"/>
    <w:rsid w:val="00B20444"/>
    <w:rsid w:val="00B21108"/>
    <w:rsid w:val="00B2120A"/>
    <w:rsid w:val="00B21D28"/>
    <w:rsid w:val="00B21DF7"/>
    <w:rsid w:val="00B21E64"/>
    <w:rsid w:val="00B21E75"/>
    <w:rsid w:val="00B21EC3"/>
    <w:rsid w:val="00B2213C"/>
    <w:rsid w:val="00B2226B"/>
    <w:rsid w:val="00B225CD"/>
    <w:rsid w:val="00B22A90"/>
    <w:rsid w:val="00B22BBE"/>
    <w:rsid w:val="00B22CF9"/>
    <w:rsid w:val="00B22D6E"/>
    <w:rsid w:val="00B22ED9"/>
    <w:rsid w:val="00B22F23"/>
    <w:rsid w:val="00B22F32"/>
    <w:rsid w:val="00B2300A"/>
    <w:rsid w:val="00B2310C"/>
    <w:rsid w:val="00B231B8"/>
    <w:rsid w:val="00B2346A"/>
    <w:rsid w:val="00B23500"/>
    <w:rsid w:val="00B237F5"/>
    <w:rsid w:val="00B23B69"/>
    <w:rsid w:val="00B23C0E"/>
    <w:rsid w:val="00B23CDA"/>
    <w:rsid w:val="00B23CE1"/>
    <w:rsid w:val="00B2403A"/>
    <w:rsid w:val="00B243A8"/>
    <w:rsid w:val="00B244E8"/>
    <w:rsid w:val="00B24A64"/>
    <w:rsid w:val="00B24B43"/>
    <w:rsid w:val="00B24BC8"/>
    <w:rsid w:val="00B25263"/>
    <w:rsid w:val="00B255EE"/>
    <w:rsid w:val="00B25654"/>
    <w:rsid w:val="00B25C97"/>
    <w:rsid w:val="00B25DA1"/>
    <w:rsid w:val="00B25DF3"/>
    <w:rsid w:val="00B25E4F"/>
    <w:rsid w:val="00B26014"/>
    <w:rsid w:val="00B2620D"/>
    <w:rsid w:val="00B264CC"/>
    <w:rsid w:val="00B265AF"/>
    <w:rsid w:val="00B265FA"/>
    <w:rsid w:val="00B2670F"/>
    <w:rsid w:val="00B2681B"/>
    <w:rsid w:val="00B26A50"/>
    <w:rsid w:val="00B26C38"/>
    <w:rsid w:val="00B26F11"/>
    <w:rsid w:val="00B275B9"/>
    <w:rsid w:val="00B276B7"/>
    <w:rsid w:val="00B27B57"/>
    <w:rsid w:val="00B27D8E"/>
    <w:rsid w:val="00B27DA3"/>
    <w:rsid w:val="00B27EA8"/>
    <w:rsid w:val="00B27F5D"/>
    <w:rsid w:val="00B27F9D"/>
    <w:rsid w:val="00B30548"/>
    <w:rsid w:val="00B3076E"/>
    <w:rsid w:val="00B30FFC"/>
    <w:rsid w:val="00B31334"/>
    <w:rsid w:val="00B313B1"/>
    <w:rsid w:val="00B314A9"/>
    <w:rsid w:val="00B317B1"/>
    <w:rsid w:val="00B32096"/>
    <w:rsid w:val="00B3216B"/>
    <w:rsid w:val="00B32607"/>
    <w:rsid w:val="00B32AF1"/>
    <w:rsid w:val="00B32B97"/>
    <w:rsid w:val="00B32CB2"/>
    <w:rsid w:val="00B32E56"/>
    <w:rsid w:val="00B3319B"/>
    <w:rsid w:val="00B331FD"/>
    <w:rsid w:val="00B333EB"/>
    <w:rsid w:val="00B33415"/>
    <w:rsid w:val="00B33445"/>
    <w:rsid w:val="00B33606"/>
    <w:rsid w:val="00B33A75"/>
    <w:rsid w:val="00B346E9"/>
    <w:rsid w:val="00B3489A"/>
    <w:rsid w:val="00B348CD"/>
    <w:rsid w:val="00B3496A"/>
    <w:rsid w:val="00B34994"/>
    <w:rsid w:val="00B34CE5"/>
    <w:rsid w:val="00B351CF"/>
    <w:rsid w:val="00B352B7"/>
    <w:rsid w:val="00B3540D"/>
    <w:rsid w:val="00B35494"/>
    <w:rsid w:val="00B356C1"/>
    <w:rsid w:val="00B35878"/>
    <w:rsid w:val="00B3590F"/>
    <w:rsid w:val="00B35A39"/>
    <w:rsid w:val="00B35B4A"/>
    <w:rsid w:val="00B362C7"/>
    <w:rsid w:val="00B36374"/>
    <w:rsid w:val="00B368D3"/>
    <w:rsid w:val="00B36905"/>
    <w:rsid w:val="00B36AEA"/>
    <w:rsid w:val="00B36C03"/>
    <w:rsid w:val="00B36DC3"/>
    <w:rsid w:val="00B370D3"/>
    <w:rsid w:val="00B376B5"/>
    <w:rsid w:val="00B376C8"/>
    <w:rsid w:val="00B37954"/>
    <w:rsid w:val="00B37AA2"/>
    <w:rsid w:val="00B37B97"/>
    <w:rsid w:val="00B37D9E"/>
    <w:rsid w:val="00B40477"/>
    <w:rsid w:val="00B404B5"/>
    <w:rsid w:val="00B4089F"/>
    <w:rsid w:val="00B408E6"/>
    <w:rsid w:val="00B40CCE"/>
    <w:rsid w:val="00B40DA6"/>
    <w:rsid w:val="00B40ED2"/>
    <w:rsid w:val="00B40F56"/>
    <w:rsid w:val="00B4107F"/>
    <w:rsid w:val="00B410AB"/>
    <w:rsid w:val="00B41181"/>
    <w:rsid w:val="00B41308"/>
    <w:rsid w:val="00B4132D"/>
    <w:rsid w:val="00B41482"/>
    <w:rsid w:val="00B41AC9"/>
    <w:rsid w:val="00B41AFA"/>
    <w:rsid w:val="00B420D5"/>
    <w:rsid w:val="00B420ED"/>
    <w:rsid w:val="00B422A8"/>
    <w:rsid w:val="00B422ED"/>
    <w:rsid w:val="00B42321"/>
    <w:rsid w:val="00B42674"/>
    <w:rsid w:val="00B429BF"/>
    <w:rsid w:val="00B42CAB"/>
    <w:rsid w:val="00B43088"/>
    <w:rsid w:val="00B430B8"/>
    <w:rsid w:val="00B43352"/>
    <w:rsid w:val="00B4341E"/>
    <w:rsid w:val="00B43941"/>
    <w:rsid w:val="00B43A45"/>
    <w:rsid w:val="00B43A80"/>
    <w:rsid w:val="00B43A87"/>
    <w:rsid w:val="00B43AEF"/>
    <w:rsid w:val="00B43DA7"/>
    <w:rsid w:val="00B43EB3"/>
    <w:rsid w:val="00B43F70"/>
    <w:rsid w:val="00B440DE"/>
    <w:rsid w:val="00B44E68"/>
    <w:rsid w:val="00B44E9B"/>
    <w:rsid w:val="00B44F16"/>
    <w:rsid w:val="00B45531"/>
    <w:rsid w:val="00B45728"/>
    <w:rsid w:val="00B459E9"/>
    <w:rsid w:val="00B45A25"/>
    <w:rsid w:val="00B45A5A"/>
    <w:rsid w:val="00B45A77"/>
    <w:rsid w:val="00B45DA5"/>
    <w:rsid w:val="00B45F13"/>
    <w:rsid w:val="00B4615E"/>
    <w:rsid w:val="00B46872"/>
    <w:rsid w:val="00B46973"/>
    <w:rsid w:val="00B4698B"/>
    <w:rsid w:val="00B46D96"/>
    <w:rsid w:val="00B46EDE"/>
    <w:rsid w:val="00B46F55"/>
    <w:rsid w:val="00B47073"/>
    <w:rsid w:val="00B47107"/>
    <w:rsid w:val="00B472C0"/>
    <w:rsid w:val="00B4754E"/>
    <w:rsid w:val="00B475D0"/>
    <w:rsid w:val="00B47684"/>
    <w:rsid w:val="00B4775A"/>
    <w:rsid w:val="00B47858"/>
    <w:rsid w:val="00B479FD"/>
    <w:rsid w:val="00B47CD8"/>
    <w:rsid w:val="00B47D6D"/>
    <w:rsid w:val="00B47FE0"/>
    <w:rsid w:val="00B50023"/>
    <w:rsid w:val="00B50267"/>
    <w:rsid w:val="00B502DC"/>
    <w:rsid w:val="00B507DE"/>
    <w:rsid w:val="00B509D7"/>
    <w:rsid w:val="00B50CB4"/>
    <w:rsid w:val="00B50E71"/>
    <w:rsid w:val="00B51267"/>
    <w:rsid w:val="00B512F4"/>
    <w:rsid w:val="00B5149B"/>
    <w:rsid w:val="00B514ED"/>
    <w:rsid w:val="00B51525"/>
    <w:rsid w:val="00B51660"/>
    <w:rsid w:val="00B518AC"/>
    <w:rsid w:val="00B51AF4"/>
    <w:rsid w:val="00B51CE8"/>
    <w:rsid w:val="00B520FA"/>
    <w:rsid w:val="00B5269A"/>
    <w:rsid w:val="00B527BA"/>
    <w:rsid w:val="00B527F7"/>
    <w:rsid w:val="00B52A84"/>
    <w:rsid w:val="00B52D9D"/>
    <w:rsid w:val="00B53591"/>
    <w:rsid w:val="00B5365E"/>
    <w:rsid w:val="00B53904"/>
    <w:rsid w:val="00B539EC"/>
    <w:rsid w:val="00B53A95"/>
    <w:rsid w:val="00B53B30"/>
    <w:rsid w:val="00B54079"/>
    <w:rsid w:val="00B542BA"/>
    <w:rsid w:val="00B542BF"/>
    <w:rsid w:val="00B544DD"/>
    <w:rsid w:val="00B545EA"/>
    <w:rsid w:val="00B5474D"/>
    <w:rsid w:val="00B54A30"/>
    <w:rsid w:val="00B54D76"/>
    <w:rsid w:val="00B55090"/>
    <w:rsid w:val="00B5514D"/>
    <w:rsid w:val="00B552C0"/>
    <w:rsid w:val="00B5549E"/>
    <w:rsid w:val="00B560B9"/>
    <w:rsid w:val="00B5611C"/>
    <w:rsid w:val="00B561A3"/>
    <w:rsid w:val="00B563E3"/>
    <w:rsid w:val="00B5657A"/>
    <w:rsid w:val="00B56B62"/>
    <w:rsid w:val="00B56DAF"/>
    <w:rsid w:val="00B570ED"/>
    <w:rsid w:val="00B57123"/>
    <w:rsid w:val="00B57159"/>
    <w:rsid w:val="00B5723F"/>
    <w:rsid w:val="00B574F4"/>
    <w:rsid w:val="00B57695"/>
    <w:rsid w:val="00B5791D"/>
    <w:rsid w:val="00B57A88"/>
    <w:rsid w:val="00B57AD2"/>
    <w:rsid w:val="00B60044"/>
    <w:rsid w:val="00B60156"/>
    <w:rsid w:val="00B60179"/>
    <w:rsid w:val="00B601D9"/>
    <w:rsid w:val="00B60248"/>
    <w:rsid w:val="00B6029A"/>
    <w:rsid w:val="00B6063C"/>
    <w:rsid w:val="00B607C3"/>
    <w:rsid w:val="00B608DE"/>
    <w:rsid w:val="00B6093D"/>
    <w:rsid w:val="00B609FB"/>
    <w:rsid w:val="00B60B32"/>
    <w:rsid w:val="00B60EB3"/>
    <w:rsid w:val="00B60EE2"/>
    <w:rsid w:val="00B60F12"/>
    <w:rsid w:val="00B61000"/>
    <w:rsid w:val="00B610A2"/>
    <w:rsid w:val="00B6129D"/>
    <w:rsid w:val="00B61366"/>
    <w:rsid w:val="00B61691"/>
    <w:rsid w:val="00B61844"/>
    <w:rsid w:val="00B618FF"/>
    <w:rsid w:val="00B61AE4"/>
    <w:rsid w:val="00B61E0B"/>
    <w:rsid w:val="00B61ED3"/>
    <w:rsid w:val="00B61FB4"/>
    <w:rsid w:val="00B620F5"/>
    <w:rsid w:val="00B632D8"/>
    <w:rsid w:val="00B6334B"/>
    <w:rsid w:val="00B63BEC"/>
    <w:rsid w:val="00B63D52"/>
    <w:rsid w:val="00B63E35"/>
    <w:rsid w:val="00B63F32"/>
    <w:rsid w:val="00B63F40"/>
    <w:rsid w:val="00B63F65"/>
    <w:rsid w:val="00B63FF7"/>
    <w:rsid w:val="00B640EF"/>
    <w:rsid w:val="00B64166"/>
    <w:rsid w:val="00B646BA"/>
    <w:rsid w:val="00B648B9"/>
    <w:rsid w:val="00B64F35"/>
    <w:rsid w:val="00B6555C"/>
    <w:rsid w:val="00B65693"/>
    <w:rsid w:val="00B65702"/>
    <w:rsid w:val="00B658FF"/>
    <w:rsid w:val="00B65B3F"/>
    <w:rsid w:val="00B65C9B"/>
    <w:rsid w:val="00B65D2E"/>
    <w:rsid w:val="00B65D3A"/>
    <w:rsid w:val="00B66026"/>
    <w:rsid w:val="00B66030"/>
    <w:rsid w:val="00B6637D"/>
    <w:rsid w:val="00B66ABE"/>
    <w:rsid w:val="00B66BAF"/>
    <w:rsid w:val="00B66E2D"/>
    <w:rsid w:val="00B66E43"/>
    <w:rsid w:val="00B66E60"/>
    <w:rsid w:val="00B66ECE"/>
    <w:rsid w:val="00B66F2D"/>
    <w:rsid w:val="00B671BA"/>
    <w:rsid w:val="00B671DB"/>
    <w:rsid w:val="00B672B0"/>
    <w:rsid w:val="00B673A2"/>
    <w:rsid w:val="00B673BF"/>
    <w:rsid w:val="00B67444"/>
    <w:rsid w:val="00B675C5"/>
    <w:rsid w:val="00B67B38"/>
    <w:rsid w:val="00B67DF4"/>
    <w:rsid w:val="00B67F81"/>
    <w:rsid w:val="00B7017F"/>
    <w:rsid w:val="00B70377"/>
    <w:rsid w:val="00B70626"/>
    <w:rsid w:val="00B708C2"/>
    <w:rsid w:val="00B7090F"/>
    <w:rsid w:val="00B70BAB"/>
    <w:rsid w:val="00B70DF9"/>
    <w:rsid w:val="00B70FF1"/>
    <w:rsid w:val="00B71292"/>
    <w:rsid w:val="00B71339"/>
    <w:rsid w:val="00B714A9"/>
    <w:rsid w:val="00B7163F"/>
    <w:rsid w:val="00B716CA"/>
    <w:rsid w:val="00B716F3"/>
    <w:rsid w:val="00B71783"/>
    <w:rsid w:val="00B718EB"/>
    <w:rsid w:val="00B71966"/>
    <w:rsid w:val="00B71968"/>
    <w:rsid w:val="00B71B43"/>
    <w:rsid w:val="00B72703"/>
    <w:rsid w:val="00B72867"/>
    <w:rsid w:val="00B7289E"/>
    <w:rsid w:val="00B7292D"/>
    <w:rsid w:val="00B72935"/>
    <w:rsid w:val="00B72BC0"/>
    <w:rsid w:val="00B72BE8"/>
    <w:rsid w:val="00B72E46"/>
    <w:rsid w:val="00B73578"/>
    <w:rsid w:val="00B735E9"/>
    <w:rsid w:val="00B7363A"/>
    <w:rsid w:val="00B73A03"/>
    <w:rsid w:val="00B73ABA"/>
    <w:rsid w:val="00B73D75"/>
    <w:rsid w:val="00B7409F"/>
    <w:rsid w:val="00B7410C"/>
    <w:rsid w:val="00B7425A"/>
    <w:rsid w:val="00B7445D"/>
    <w:rsid w:val="00B74528"/>
    <w:rsid w:val="00B74B8D"/>
    <w:rsid w:val="00B74FF6"/>
    <w:rsid w:val="00B75172"/>
    <w:rsid w:val="00B75246"/>
    <w:rsid w:val="00B75284"/>
    <w:rsid w:val="00B754D8"/>
    <w:rsid w:val="00B75683"/>
    <w:rsid w:val="00B756B1"/>
    <w:rsid w:val="00B75B05"/>
    <w:rsid w:val="00B75BF8"/>
    <w:rsid w:val="00B75C8A"/>
    <w:rsid w:val="00B762E3"/>
    <w:rsid w:val="00B76846"/>
    <w:rsid w:val="00B7691D"/>
    <w:rsid w:val="00B769BF"/>
    <w:rsid w:val="00B76A1B"/>
    <w:rsid w:val="00B76BA9"/>
    <w:rsid w:val="00B76E3F"/>
    <w:rsid w:val="00B76E85"/>
    <w:rsid w:val="00B76F62"/>
    <w:rsid w:val="00B76F7B"/>
    <w:rsid w:val="00B76FF5"/>
    <w:rsid w:val="00B77173"/>
    <w:rsid w:val="00B77197"/>
    <w:rsid w:val="00B77303"/>
    <w:rsid w:val="00B774E8"/>
    <w:rsid w:val="00B77638"/>
    <w:rsid w:val="00B7765F"/>
    <w:rsid w:val="00B77A75"/>
    <w:rsid w:val="00B77B42"/>
    <w:rsid w:val="00B77E5B"/>
    <w:rsid w:val="00B80256"/>
    <w:rsid w:val="00B80B6D"/>
    <w:rsid w:val="00B80C87"/>
    <w:rsid w:val="00B80D5E"/>
    <w:rsid w:val="00B80DB1"/>
    <w:rsid w:val="00B80EDD"/>
    <w:rsid w:val="00B812E3"/>
    <w:rsid w:val="00B81470"/>
    <w:rsid w:val="00B816BB"/>
    <w:rsid w:val="00B81780"/>
    <w:rsid w:val="00B81947"/>
    <w:rsid w:val="00B81CCE"/>
    <w:rsid w:val="00B82030"/>
    <w:rsid w:val="00B82035"/>
    <w:rsid w:val="00B821CC"/>
    <w:rsid w:val="00B826E0"/>
    <w:rsid w:val="00B82708"/>
    <w:rsid w:val="00B8290A"/>
    <w:rsid w:val="00B82A51"/>
    <w:rsid w:val="00B82B10"/>
    <w:rsid w:val="00B82B54"/>
    <w:rsid w:val="00B82C55"/>
    <w:rsid w:val="00B82C98"/>
    <w:rsid w:val="00B830E3"/>
    <w:rsid w:val="00B83353"/>
    <w:rsid w:val="00B8348E"/>
    <w:rsid w:val="00B8380E"/>
    <w:rsid w:val="00B838F2"/>
    <w:rsid w:val="00B83A85"/>
    <w:rsid w:val="00B83B03"/>
    <w:rsid w:val="00B83C69"/>
    <w:rsid w:val="00B83D68"/>
    <w:rsid w:val="00B8413F"/>
    <w:rsid w:val="00B84169"/>
    <w:rsid w:val="00B84484"/>
    <w:rsid w:val="00B84743"/>
    <w:rsid w:val="00B84A22"/>
    <w:rsid w:val="00B84AF8"/>
    <w:rsid w:val="00B84B42"/>
    <w:rsid w:val="00B85082"/>
    <w:rsid w:val="00B851A3"/>
    <w:rsid w:val="00B8527A"/>
    <w:rsid w:val="00B85440"/>
    <w:rsid w:val="00B85A82"/>
    <w:rsid w:val="00B85B33"/>
    <w:rsid w:val="00B85C17"/>
    <w:rsid w:val="00B86310"/>
    <w:rsid w:val="00B86897"/>
    <w:rsid w:val="00B869DE"/>
    <w:rsid w:val="00B86AF3"/>
    <w:rsid w:val="00B86C9C"/>
    <w:rsid w:val="00B8711B"/>
    <w:rsid w:val="00B8716F"/>
    <w:rsid w:val="00B87185"/>
    <w:rsid w:val="00B87513"/>
    <w:rsid w:val="00B876FD"/>
    <w:rsid w:val="00B879FC"/>
    <w:rsid w:val="00B87B01"/>
    <w:rsid w:val="00B87B39"/>
    <w:rsid w:val="00B87CA9"/>
    <w:rsid w:val="00B9007E"/>
    <w:rsid w:val="00B90419"/>
    <w:rsid w:val="00B905E1"/>
    <w:rsid w:val="00B90782"/>
    <w:rsid w:val="00B90928"/>
    <w:rsid w:val="00B91207"/>
    <w:rsid w:val="00B9146F"/>
    <w:rsid w:val="00B915B4"/>
    <w:rsid w:val="00B9184A"/>
    <w:rsid w:val="00B91BE6"/>
    <w:rsid w:val="00B9233D"/>
    <w:rsid w:val="00B92432"/>
    <w:rsid w:val="00B92498"/>
    <w:rsid w:val="00B924FF"/>
    <w:rsid w:val="00B9287F"/>
    <w:rsid w:val="00B92926"/>
    <w:rsid w:val="00B92AA4"/>
    <w:rsid w:val="00B92BAC"/>
    <w:rsid w:val="00B92DA1"/>
    <w:rsid w:val="00B92E8B"/>
    <w:rsid w:val="00B9316F"/>
    <w:rsid w:val="00B931E4"/>
    <w:rsid w:val="00B93293"/>
    <w:rsid w:val="00B932BF"/>
    <w:rsid w:val="00B93364"/>
    <w:rsid w:val="00B93722"/>
    <w:rsid w:val="00B93780"/>
    <w:rsid w:val="00B93A28"/>
    <w:rsid w:val="00B93B8F"/>
    <w:rsid w:val="00B93F4E"/>
    <w:rsid w:val="00B941B3"/>
    <w:rsid w:val="00B9443C"/>
    <w:rsid w:val="00B944EC"/>
    <w:rsid w:val="00B944F9"/>
    <w:rsid w:val="00B94613"/>
    <w:rsid w:val="00B9499B"/>
    <w:rsid w:val="00B94A52"/>
    <w:rsid w:val="00B94A95"/>
    <w:rsid w:val="00B94DB2"/>
    <w:rsid w:val="00B950B3"/>
    <w:rsid w:val="00B953A9"/>
    <w:rsid w:val="00B955F7"/>
    <w:rsid w:val="00B95A44"/>
    <w:rsid w:val="00B95B76"/>
    <w:rsid w:val="00B95BE7"/>
    <w:rsid w:val="00B95E94"/>
    <w:rsid w:val="00B962DF"/>
    <w:rsid w:val="00B965CE"/>
    <w:rsid w:val="00B96D33"/>
    <w:rsid w:val="00B96FF4"/>
    <w:rsid w:val="00B97154"/>
    <w:rsid w:val="00B972CB"/>
    <w:rsid w:val="00B97328"/>
    <w:rsid w:val="00B975D5"/>
    <w:rsid w:val="00B977A8"/>
    <w:rsid w:val="00B97AB4"/>
    <w:rsid w:val="00B97AF5"/>
    <w:rsid w:val="00B97BEC"/>
    <w:rsid w:val="00B97F18"/>
    <w:rsid w:val="00B97F30"/>
    <w:rsid w:val="00BA016C"/>
    <w:rsid w:val="00BA01D4"/>
    <w:rsid w:val="00BA0240"/>
    <w:rsid w:val="00BA08AC"/>
    <w:rsid w:val="00BA0A2B"/>
    <w:rsid w:val="00BA0EA0"/>
    <w:rsid w:val="00BA0F25"/>
    <w:rsid w:val="00BA102E"/>
    <w:rsid w:val="00BA143B"/>
    <w:rsid w:val="00BA1486"/>
    <w:rsid w:val="00BA152C"/>
    <w:rsid w:val="00BA1542"/>
    <w:rsid w:val="00BA18CD"/>
    <w:rsid w:val="00BA18FD"/>
    <w:rsid w:val="00BA1950"/>
    <w:rsid w:val="00BA1971"/>
    <w:rsid w:val="00BA1C0D"/>
    <w:rsid w:val="00BA1CCC"/>
    <w:rsid w:val="00BA1DF4"/>
    <w:rsid w:val="00BA1EDB"/>
    <w:rsid w:val="00BA1F42"/>
    <w:rsid w:val="00BA216F"/>
    <w:rsid w:val="00BA2348"/>
    <w:rsid w:val="00BA25A6"/>
    <w:rsid w:val="00BA2B4B"/>
    <w:rsid w:val="00BA306E"/>
    <w:rsid w:val="00BA3106"/>
    <w:rsid w:val="00BA3121"/>
    <w:rsid w:val="00BA3150"/>
    <w:rsid w:val="00BA315A"/>
    <w:rsid w:val="00BA347D"/>
    <w:rsid w:val="00BA3665"/>
    <w:rsid w:val="00BA372C"/>
    <w:rsid w:val="00BA3992"/>
    <w:rsid w:val="00BA3E25"/>
    <w:rsid w:val="00BA4229"/>
    <w:rsid w:val="00BA438D"/>
    <w:rsid w:val="00BA4810"/>
    <w:rsid w:val="00BA4BE1"/>
    <w:rsid w:val="00BA4C0B"/>
    <w:rsid w:val="00BA4E3F"/>
    <w:rsid w:val="00BA52D0"/>
    <w:rsid w:val="00BA546D"/>
    <w:rsid w:val="00BA54A8"/>
    <w:rsid w:val="00BA54D8"/>
    <w:rsid w:val="00BA5505"/>
    <w:rsid w:val="00BA573B"/>
    <w:rsid w:val="00BA6228"/>
    <w:rsid w:val="00BA6338"/>
    <w:rsid w:val="00BA6A24"/>
    <w:rsid w:val="00BA6A3E"/>
    <w:rsid w:val="00BA6C9E"/>
    <w:rsid w:val="00BA6DF2"/>
    <w:rsid w:val="00BA6EFD"/>
    <w:rsid w:val="00BA7041"/>
    <w:rsid w:val="00BA727D"/>
    <w:rsid w:val="00BA72D2"/>
    <w:rsid w:val="00BA76A8"/>
    <w:rsid w:val="00BA7C6F"/>
    <w:rsid w:val="00BA7CBE"/>
    <w:rsid w:val="00BA7DE2"/>
    <w:rsid w:val="00BA7F70"/>
    <w:rsid w:val="00BB0264"/>
    <w:rsid w:val="00BB06F2"/>
    <w:rsid w:val="00BB08CA"/>
    <w:rsid w:val="00BB099D"/>
    <w:rsid w:val="00BB09E9"/>
    <w:rsid w:val="00BB0E5E"/>
    <w:rsid w:val="00BB0E63"/>
    <w:rsid w:val="00BB1118"/>
    <w:rsid w:val="00BB1568"/>
    <w:rsid w:val="00BB156A"/>
    <w:rsid w:val="00BB1590"/>
    <w:rsid w:val="00BB1850"/>
    <w:rsid w:val="00BB1B88"/>
    <w:rsid w:val="00BB1C8B"/>
    <w:rsid w:val="00BB1EA5"/>
    <w:rsid w:val="00BB2013"/>
    <w:rsid w:val="00BB213E"/>
    <w:rsid w:val="00BB227C"/>
    <w:rsid w:val="00BB24FD"/>
    <w:rsid w:val="00BB253B"/>
    <w:rsid w:val="00BB25A7"/>
    <w:rsid w:val="00BB2A3F"/>
    <w:rsid w:val="00BB2B8C"/>
    <w:rsid w:val="00BB2B9A"/>
    <w:rsid w:val="00BB2BF3"/>
    <w:rsid w:val="00BB2E51"/>
    <w:rsid w:val="00BB2EC6"/>
    <w:rsid w:val="00BB30F9"/>
    <w:rsid w:val="00BB3452"/>
    <w:rsid w:val="00BB3D66"/>
    <w:rsid w:val="00BB3F2A"/>
    <w:rsid w:val="00BB4080"/>
    <w:rsid w:val="00BB42B3"/>
    <w:rsid w:val="00BB4507"/>
    <w:rsid w:val="00BB4633"/>
    <w:rsid w:val="00BB468A"/>
    <w:rsid w:val="00BB494D"/>
    <w:rsid w:val="00BB498C"/>
    <w:rsid w:val="00BB4A2D"/>
    <w:rsid w:val="00BB4AD4"/>
    <w:rsid w:val="00BB4D26"/>
    <w:rsid w:val="00BB4E0B"/>
    <w:rsid w:val="00BB5370"/>
    <w:rsid w:val="00BB53CE"/>
    <w:rsid w:val="00BB560A"/>
    <w:rsid w:val="00BB57BE"/>
    <w:rsid w:val="00BB5937"/>
    <w:rsid w:val="00BB5A03"/>
    <w:rsid w:val="00BB5C45"/>
    <w:rsid w:val="00BB5D56"/>
    <w:rsid w:val="00BB5D95"/>
    <w:rsid w:val="00BB6232"/>
    <w:rsid w:val="00BB6486"/>
    <w:rsid w:val="00BB659F"/>
    <w:rsid w:val="00BB6824"/>
    <w:rsid w:val="00BB6A83"/>
    <w:rsid w:val="00BB6A8F"/>
    <w:rsid w:val="00BB6AAD"/>
    <w:rsid w:val="00BB6B17"/>
    <w:rsid w:val="00BB6B18"/>
    <w:rsid w:val="00BB6D91"/>
    <w:rsid w:val="00BB6DEC"/>
    <w:rsid w:val="00BB6E58"/>
    <w:rsid w:val="00BB6FBB"/>
    <w:rsid w:val="00BB710C"/>
    <w:rsid w:val="00BB71D4"/>
    <w:rsid w:val="00BB71E2"/>
    <w:rsid w:val="00BB7312"/>
    <w:rsid w:val="00BB7406"/>
    <w:rsid w:val="00BB7995"/>
    <w:rsid w:val="00BB79F8"/>
    <w:rsid w:val="00BB7A42"/>
    <w:rsid w:val="00BB7A84"/>
    <w:rsid w:val="00BC0066"/>
    <w:rsid w:val="00BC0212"/>
    <w:rsid w:val="00BC02DE"/>
    <w:rsid w:val="00BC05EE"/>
    <w:rsid w:val="00BC06DC"/>
    <w:rsid w:val="00BC0781"/>
    <w:rsid w:val="00BC09B0"/>
    <w:rsid w:val="00BC0A89"/>
    <w:rsid w:val="00BC0B39"/>
    <w:rsid w:val="00BC0BA3"/>
    <w:rsid w:val="00BC0E36"/>
    <w:rsid w:val="00BC0F02"/>
    <w:rsid w:val="00BC104E"/>
    <w:rsid w:val="00BC1716"/>
    <w:rsid w:val="00BC171D"/>
    <w:rsid w:val="00BC175A"/>
    <w:rsid w:val="00BC1E0A"/>
    <w:rsid w:val="00BC1E28"/>
    <w:rsid w:val="00BC1E84"/>
    <w:rsid w:val="00BC1F41"/>
    <w:rsid w:val="00BC1F42"/>
    <w:rsid w:val="00BC21AA"/>
    <w:rsid w:val="00BC27A4"/>
    <w:rsid w:val="00BC2AFF"/>
    <w:rsid w:val="00BC310A"/>
    <w:rsid w:val="00BC32AB"/>
    <w:rsid w:val="00BC34C2"/>
    <w:rsid w:val="00BC37A8"/>
    <w:rsid w:val="00BC380C"/>
    <w:rsid w:val="00BC3AE1"/>
    <w:rsid w:val="00BC3C44"/>
    <w:rsid w:val="00BC3D3C"/>
    <w:rsid w:val="00BC3DDC"/>
    <w:rsid w:val="00BC3E92"/>
    <w:rsid w:val="00BC44AB"/>
    <w:rsid w:val="00BC4A69"/>
    <w:rsid w:val="00BC4ACE"/>
    <w:rsid w:val="00BC4C66"/>
    <w:rsid w:val="00BC4D03"/>
    <w:rsid w:val="00BC4FC6"/>
    <w:rsid w:val="00BC4FD0"/>
    <w:rsid w:val="00BC53D6"/>
    <w:rsid w:val="00BC5532"/>
    <w:rsid w:val="00BC5BD9"/>
    <w:rsid w:val="00BC5C8B"/>
    <w:rsid w:val="00BC5F23"/>
    <w:rsid w:val="00BC5F6D"/>
    <w:rsid w:val="00BC6226"/>
    <w:rsid w:val="00BC675F"/>
    <w:rsid w:val="00BC6781"/>
    <w:rsid w:val="00BC6923"/>
    <w:rsid w:val="00BC6954"/>
    <w:rsid w:val="00BC6A85"/>
    <w:rsid w:val="00BC6A96"/>
    <w:rsid w:val="00BC6AD7"/>
    <w:rsid w:val="00BC6FED"/>
    <w:rsid w:val="00BC7665"/>
    <w:rsid w:val="00BC7745"/>
    <w:rsid w:val="00BC7976"/>
    <w:rsid w:val="00BC7AEC"/>
    <w:rsid w:val="00BC7E8B"/>
    <w:rsid w:val="00BC7FB6"/>
    <w:rsid w:val="00BD0015"/>
    <w:rsid w:val="00BD0038"/>
    <w:rsid w:val="00BD0046"/>
    <w:rsid w:val="00BD0177"/>
    <w:rsid w:val="00BD0247"/>
    <w:rsid w:val="00BD0284"/>
    <w:rsid w:val="00BD0463"/>
    <w:rsid w:val="00BD0498"/>
    <w:rsid w:val="00BD0725"/>
    <w:rsid w:val="00BD07A9"/>
    <w:rsid w:val="00BD0887"/>
    <w:rsid w:val="00BD0A02"/>
    <w:rsid w:val="00BD0C26"/>
    <w:rsid w:val="00BD0EA5"/>
    <w:rsid w:val="00BD0EFE"/>
    <w:rsid w:val="00BD0F22"/>
    <w:rsid w:val="00BD0F94"/>
    <w:rsid w:val="00BD0FE6"/>
    <w:rsid w:val="00BD108A"/>
    <w:rsid w:val="00BD1509"/>
    <w:rsid w:val="00BD153A"/>
    <w:rsid w:val="00BD15EF"/>
    <w:rsid w:val="00BD19AE"/>
    <w:rsid w:val="00BD1A2D"/>
    <w:rsid w:val="00BD1B7C"/>
    <w:rsid w:val="00BD1BA6"/>
    <w:rsid w:val="00BD1C5B"/>
    <w:rsid w:val="00BD209C"/>
    <w:rsid w:val="00BD220A"/>
    <w:rsid w:val="00BD23BE"/>
    <w:rsid w:val="00BD26BE"/>
    <w:rsid w:val="00BD286F"/>
    <w:rsid w:val="00BD28C0"/>
    <w:rsid w:val="00BD2DCC"/>
    <w:rsid w:val="00BD2ECB"/>
    <w:rsid w:val="00BD32B7"/>
    <w:rsid w:val="00BD330D"/>
    <w:rsid w:val="00BD33AE"/>
    <w:rsid w:val="00BD33C6"/>
    <w:rsid w:val="00BD3851"/>
    <w:rsid w:val="00BD3DA8"/>
    <w:rsid w:val="00BD404A"/>
    <w:rsid w:val="00BD43EE"/>
    <w:rsid w:val="00BD4914"/>
    <w:rsid w:val="00BD4B9E"/>
    <w:rsid w:val="00BD4CE0"/>
    <w:rsid w:val="00BD4D3C"/>
    <w:rsid w:val="00BD4E23"/>
    <w:rsid w:val="00BD4E53"/>
    <w:rsid w:val="00BD5121"/>
    <w:rsid w:val="00BD51E2"/>
    <w:rsid w:val="00BD5231"/>
    <w:rsid w:val="00BD5270"/>
    <w:rsid w:val="00BD5344"/>
    <w:rsid w:val="00BD5740"/>
    <w:rsid w:val="00BD58F0"/>
    <w:rsid w:val="00BD5941"/>
    <w:rsid w:val="00BD5A20"/>
    <w:rsid w:val="00BD5B06"/>
    <w:rsid w:val="00BD5E8D"/>
    <w:rsid w:val="00BD5FBF"/>
    <w:rsid w:val="00BD5FFF"/>
    <w:rsid w:val="00BD63D7"/>
    <w:rsid w:val="00BD63ED"/>
    <w:rsid w:val="00BD6434"/>
    <w:rsid w:val="00BD648E"/>
    <w:rsid w:val="00BD67A0"/>
    <w:rsid w:val="00BD6989"/>
    <w:rsid w:val="00BD6A8E"/>
    <w:rsid w:val="00BD6B30"/>
    <w:rsid w:val="00BD6EC0"/>
    <w:rsid w:val="00BD6ED0"/>
    <w:rsid w:val="00BD73B5"/>
    <w:rsid w:val="00BD73C5"/>
    <w:rsid w:val="00BD749B"/>
    <w:rsid w:val="00BD7A63"/>
    <w:rsid w:val="00BD7CF9"/>
    <w:rsid w:val="00BD7D50"/>
    <w:rsid w:val="00BD7FBF"/>
    <w:rsid w:val="00BD7FCA"/>
    <w:rsid w:val="00BE0097"/>
    <w:rsid w:val="00BE0402"/>
    <w:rsid w:val="00BE07D5"/>
    <w:rsid w:val="00BE0D18"/>
    <w:rsid w:val="00BE0EA5"/>
    <w:rsid w:val="00BE118F"/>
    <w:rsid w:val="00BE128A"/>
    <w:rsid w:val="00BE155E"/>
    <w:rsid w:val="00BE1991"/>
    <w:rsid w:val="00BE1A6B"/>
    <w:rsid w:val="00BE1B4E"/>
    <w:rsid w:val="00BE1CBC"/>
    <w:rsid w:val="00BE1DA5"/>
    <w:rsid w:val="00BE1DC6"/>
    <w:rsid w:val="00BE1DE9"/>
    <w:rsid w:val="00BE1DEB"/>
    <w:rsid w:val="00BE1EE9"/>
    <w:rsid w:val="00BE2336"/>
    <w:rsid w:val="00BE2440"/>
    <w:rsid w:val="00BE2650"/>
    <w:rsid w:val="00BE28EC"/>
    <w:rsid w:val="00BE298A"/>
    <w:rsid w:val="00BE2C5C"/>
    <w:rsid w:val="00BE2EAA"/>
    <w:rsid w:val="00BE2FB3"/>
    <w:rsid w:val="00BE307D"/>
    <w:rsid w:val="00BE33D9"/>
    <w:rsid w:val="00BE355A"/>
    <w:rsid w:val="00BE35BC"/>
    <w:rsid w:val="00BE35C4"/>
    <w:rsid w:val="00BE35D7"/>
    <w:rsid w:val="00BE364C"/>
    <w:rsid w:val="00BE36D6"/>
    <w:rsid w:val="00BE39A4"/>
    <w:rsid w:val="00BE3A76"/>
    <w:rsid w:val="00BE3CAB"/>
    <w:rsid w:val="00BE40C4"/>
    <w:rsid w:val="00BE456B"/>
    <w:rsid w:val="00BE45E9"/>
    <w:rsid w:val="00BE460E"/>
    <w:rsid w:val="00BE4624"/>
    <w:rsid w:val="00BE4741"/>
    <w:rsid w:val="00BE480C"/>
    <w:rsid w:val="00BE49AF"/>
    <w:rsid w:val="00BE4A2C"/>
    <w:rsid w:val="00BE4E5E"/>
    <w:rsid w:val="00BE506C"/>
    <w:rsid w:val="00BE5793"/>
    <w:rsid w:val="00BE57BD"/>
    <w:rsid w:val="00BE592B"/>
    <w:rsid w:val="00BE5B8C"/>
    <w:rsid w:val="00BE5C77"/>
    <w:rsid w:val="00BE5E30"/>
    <w:rsid w:val="00BE5F9E"/>
    <w:rsid w:val="00BE6014"/>
    <w:rsid w:val="00BE61F2"/>
    <w:rsid w:val="00BE67C9"/>
    <w:rsid w:val="00BE6FC6"/>
    <w:rsid w:val="00BE71B9"/>
    <w:rsid w:val="00BE71E9"/>
    <w:rsid w:val="00BE786C"/>
    <w:rsid w:val="00BE78F8"/>
    <w:rsid w:val="00BE7B7C"/>
    <w:rsid w:val="00BE7D09"/>
    <w:rsid w:val="00BF00E0"/>
    <w:rsid w:val="00BF028B"/>
    <w:rsid w:val="00BF046B"/>
    <w:rsid w:val="00BF0530"/>
    <w:rsid w:val="00BF074C"/>
    <w:rsid w:val="00BF08E9"/>
    <w:rsid w:val="00BF0A2D"/>
    <w:rsid w:val="00BF0BD7"/>
    <w:rsid w:val="00BF0CF2"/>
    <w:rsid w:val="00BF0D4F"/>
    <w:rsid w:val="00BF0E5B"/>
    <w:rsid w:val="00BF0F0E"/>
    <w:rsid w:val="00BF1215"/>
    <w:rsid w:val="00BF1288"/>
    <w:rsid w:val="00BF1296"/>
    <w:rsid w:val="00BF13F0"/>
    <w:rsid w:val="00BF1563"/>
    <w:rsid w:val="00BF171C"/>
    <w:rsid w:val="00BF18E8"/>
    <w:rsid w:val="00BF1FC5"/>
    <w:rsid w:val="00BF20DA"/>
    <w:rsid w:val="00BF21B7"/>
    <w:rsid w:val="00BF259E"/>
    <w:rsid w:val="00BF25E3"/>
    <w:rsid w:val="00BF2653"/>
    <w:rsid w:val="00BF26E8"/>
    <w:rsid w:val="00BF2959"/>
    <w:rsid w:val="00BF2A16"/>
    <w:rsid w:val="00BF2BED"/>
    <w:rsid w:val="00BF2EA8"/>
    <w:rsid w:val="00BF33D7"/>
    <w:rsid w:val="00BF3402"/>
    <w:rsid w:val="00BF352D"/>
    <w:rsid w:val="00BF3761"/>
    <w:rsid w:val="00BF3834"/>
    <w:rsid w:val="00BF39A8"/>
    <w:rsid w:val="00BF3C23"/>
    <w:rsid w:val="00BF4224"/>
    <w:rsid w:val="00BF444A"/>
    <w:rsid w:val="00BF4788"/>
    <w:rsid w:val="00BF4885"/>
    <w:rsid w:val="00BF4B2E"/>
    <w:rsid w:val="00BF4BDF"/>
    <w:rsid w:val="00BF4C1E"/>
    <w:rsid w:val="00BF4F3B"/>
    <w:rsid w:val="00BF5389"/>
    <w:rsid w:val="00BF5648"/>
    <w:rsid w:val="00BF564B"/>
    <w:rsid w:val="00BF590F"/>
    <w:rsid w:val="00BF5A1E"/>
    <w:rsid w:val="00BF5BE2"/>
    <w:rsid w:val="00BF5CD9"/>
    <w:rsid w:val="00BF6161"/>
    <w:rsid w:val="00BF65A4"/>
    <w:rsid w:val="00BF694A"/>
    <w:rsid w:val="00BF696D"/>
    <w:rsid w:val="00BF6A5C"/>
    <w:rsid w:val="00BF6C34"/>
    <w:rsid w:val="00BF6C3C"/>
    <w:rsid w:val="00BF6D8B"/>
    <w:rsid w:val="00BF70EA"/>
    <w:rsid w:val="00BF7421"/>
    <w:rsid w:val="00BF747C"/>
    <w:rsid w:val="00BF7535"/>
    <w:rsid w:val="00BF7734"/>
    <w:rsid w:val="00BF781F"/>
    <w:rsid w:val="00BF79AD"/>
    <w:rsid w:val="00BF7BBB"/>
    <w:rsid w:val="00C001D5"/>
    <w:rsid w:val="00C0022C"/>
    <w:rsid w:val="00C00257"/>
    <w:rsid w:val="00C007A8"/>
    <w:rsid w:val="00C0099A"/>
    <w:rsid w:val="00C00C68"/>
    <w:rsid w:val="00C012CD"/>
    <w:rsid w:val="00C0136D"/>
    <w:rsid w:val="00C01374"/>
    <w:rsid w:val="00C0162E"/>
    <w:rsid w:val="00C018DF"/>
    <w:rsid w:val="00C01B39"/>
    <w:rsid w:val="00C01BA0"/>
    <w:rsid w:val="00C01FC9"/>
    <w:rsid w:val="00C021B1"/>
    <w:rsid w:val="00C023C1"/>
    <w:rsid w:val="00C023D1"/>
    <w:rsid w:val="00C0247F"/>
    <w:rsid w:val="00C02533"/>
    <w:rsid w:val="00C02978"/>
    <w:rsid w:val="00C02982"/>
    <w:rsid w:val="00C02A4A"/>
    <w:rsid w:val="00C02A6F"/>
    <w:rsid w:val="00C02A83"/>
    <w:rsid w:val="00C02A8A"/>
    <w:rsid w:val="00C02AA2"/>
    <w:rsid w:val="00C02EBB"/>
    <w:rsid w:val="00C03392"/>
    <w:rsid w:val="00C035E1"/>
    <w:rsid w:val="00C037A3"/>
    <w:rsid w:val="00C042D7"/>
    <w:rsid w:val="00C04301"/>
    <w:rsid w:val="00C045F8"/>
    <w:rsid w:val="00C047E3"/>
    <w:rsid w:val="00C0498E"/>
    <w:rsid w:val="00C04A77"/>
    <w:rsid w:val="00C04CEB"/>
    <w:rsid w:val="00C04DAE"/>
    <w:rsid w:val="00C051B8"/>
    <w:rsid w:val="00C051E3"/>
    <w:rsid w:val="00C0530B"/>
    <w:rsid w:val="00C05573"/>
    <w:rsid w:val="00C05609"/>
    <w:rsid w:val="00C058A6"/>
    <w:rsid w:val="00C059CC"/>
    <w:rsid w:val="00C05B43"/>
    <w:rsid w:val="00C05BA1"/>
    <w:rsid w:val="00C05BBA"/>
    <w:rsid w:val="00C05C47"/>
    <w:rsid w:val="00C05D3C"/>
    <w:rsid w:val="00C05F41"/>
    <w:rsid w:val="00C05F91"/>
    <w:rsid w:val="00C05FC1"/>
    <w:rsid w:val="00C06156"/>
    <w:rsid w:val="00C06175"/>
    <w:rsid w:val="00C0650B"/>
    <w:rsid w:val="00C06781"/>
    <w:rsid w:val="00C06811"/>
    <w:rsid w:val="00C068F7"/>
    <w:rsid w:val="00C06B9E"/>
    <w:rsid w:val="00C06BF3"/>
    <w:rsid w:val="00C06C42"/>
    <w:rsid w:val="00C06C87"/>
    <w:rsid w:val="00C06FCD"/>
    <w:rsid w:val="00C0758F"/>
    <w:rsid w:val="00C076F2"/>
    <w:rsid w:val="00C07738"/>
    <w:rsid w:val="00C077E4"/>
    <w:rsid w:val="00C07B15"/>
    <w:rsid w:val="00C07B8C"/>
    <w:rsid w:val="00C07DD1"/>
    <w:rsid w:val="00C07E1D"/>
    <w:rsid w:val="00C07ED6"/>
    <w:rsid w:val="00C07EED"/>
    <w:rsid w:val="00C07FF1"/>
    <w:rsid w:val="00C10059"/>
    <w:rsid w:val="00C1077B"/>
    <w:rsid w:val="00C107FA"/>
    <w:rsid w:val="00C1097B"/>
    <w:rsid w:val="00C10F34"/>
    <w:rsid w:val="00C10F47"/>
    <w:rsid w:val="00C11003"/>
    <w:rsid w:val="00C1117B"/>
    <w:rsid w:val="00C1130F"/>
    <w:rsid w:val="00C1145A"/>
    <w:rsid w:val="00C114A8"/>
    <w:rsid w:val="00C11765"/>
    <w:rsid w:val="00C11DFF"/>
    <w:rsid w:val="00C11E68"/>
    <w:rsid w:val="00C1225A"/>
    <w:rsid w:val="00C122C3"/>
    <w:rsid w:val="00C123C5"/>
    <w:rsid w:val="00C123F0"/>
    <w:rsid w:val="00C12478"/>
    <w:rsid w:val="00C127B7"/>
    <w:rsid w:val="00C12A18"/>
    <w:rsid w:val="00C12C2C"/>
    <w:rsid w:val="00C12D33"/>
    <w:rsid w:val="00C12E09"/>
    <w:rsid w:val="00C12F8B"/>
    <w:rsid w:val="00C130A9"/>
    <w:rsid w:val="00C13953"/>
    <w:rsid w:val="00C13ABA"/>
    <w:rsid w:val="00C13AD1"/>
    <w:rsid w:val="00C13C08"/>
    <w:rsid w:val="00C13C88"/>
    <w:rsid w:val="00C13E06"/>
    <w:rsid w:val="00C144A6"/>
    <w:rsid w:val="00C149C1"/>
    <w:rsid w:val="00C14A29"/>
    <w:rsid w:val="00C14A59"/>
    <w:rsid w:val="00C14E73"/>
    <w:rsid w:val="00C14E81"/>
    <w:rsid w:val="00C150DB"/>
    <w:rsid w:val="00C1512B"/>
    <w:rsid w:val="00C151CA"/>
    <w:rsid w:val="00C15336"/>
    <w:rsid w:val="00C154E4"/>
    <w:rsid w:val="00C15558"/>
    <w:rsid w:val="00C15656"/>
    <w:rsid w:val="00C156F8"/>
    <w:rsid w:val="00C15A0D"/>
    <w:rsid w:val="00C15A37"/>
    <w:rsid w:val="00C15D88"/>
    <w:rsid w:val="00C15E5F"/>
    <w:rsid w:val="00C160B3"/>
    <w:rsid w:val="00C16600"/>
    <w:rsid w:val="00C167D7"/>
    <w:rsid w:val="00C16830"/>
    <w:rsid w:val="00C16939"/>
    <w:rsid w:val="00C16AFF"/>
    <w:rsid w:val="00C16E3A"/>
    <w:rsid w:val="00C17131"/>
    <w:rsid w:val="00C17164"/>
    <w:rsid w:val="00C1795B"/>
    <w:rsid w:val="00C17A14"/>
    <w:rsid w:val="00C17BE5"/>
    <w:rsid w:val="00C2014C"/>
    <w:rsid w:val="00C20260"/>
    <w:rsid w:val="00C20457"/>
    <w:rsid w:val="00C204AF"/>
    <w:rsid w:val="00C20556"/>
    <w:rsid w:val="00C20636"/>
    <w:rsid w:val="00C20C04"/>
    <w:rsid w:val="00C20CD5"/>
    <w:rsid w:val="00C20DC6"/>
    <w:rsid w:val="00C20ED3"/>
    <w:rsid w:val="00C2116A"/>
    <w:rsid w:val="00C214D8"/>
    <w:rsid w:val="00C21926"/>
    <w:rsid w:val="00C21C93"/>
    <w:rsid w:val="00C21CAA"/>
    <w:rsid w:val="00C21E5B"/>
    <w:rsid w:val="00C21EA6"/>
    <w:rsid w:val="00C21F72"/>
    <w:rsid w:val="00C220C5"/>
    <w:rsid w:val="00C22499"/>
    <w:rsid w:val="00C22502"/>
    <w:rsid w:val="00C22544"/>
    <w:rsid w:val="00C227D6"/>
    <w:rsid w:val="00C22A1A"/>
    <w:rsid w:val="00C2301C"/>
    <w:rsid w:val="00C231F4"/>
    <w:rsid w:val="00C23837"/>
    <w:rsid w:val="00C243B0"/>
    <w:rsid w:val="00C243EE"/>
    <w:rsid w:val="00C24646"/>
    <w:rsid w:val="00C2467C"/>
    <w:rsid w:val="00C2474A"/>
    <w:rsid w:val="00C24784"/>
    <w:rsid w:val="00C24911"/>
    <w:rsid w:val="00C24E52"/>
    <w:rsid w:val="00C24FA7"/>
    <w:rsid w:val="00C25058"/>
    <w:rsid w:val="00C250A8"/>
    <w:rsid w:val="00C25138"/>
    <w:rsid w:val="00C253B6"/>
    <w:rsid w:val="00C2596E"/>
    <w:rsid w:val="00C25A18"/>
    <w:rsid w:val="00C25CBE"/>
    <w:rsid w:val="00C25D95"/>
    <w:rsid w:val="00C25F87"/>
    <w:rsid w:val="00C25F9E"/>
    <w:rsid w:val="00C26419"/>
    <w:rsid w:val="00C26507"/>
    <w:rsid w:val="00C2652A"/>
    <w:rsid w:val="00C26763"/>
    <w:rsid w:val="00C26834"/>
    <w:rsid w:val="00C268F2"/>
    <w:rsid w:val="00C26CCB"/>
    <w:rsid w:val="00C26D08"/>
    <w:rsid w:val="00C27199"/>
    <w:rsid w:val="00C27870"/>
    <w:rsid w:val="00C27A4C"/>
    <w:rsid w:val="00C27A56"/>
    <w:rsid w:val="00C27AC5"/>
    <w:rsid w:val="00C30029"/>
    <w:rsid w:val="00C30123"/>
    <w:rsid w:val="00C3046A"/>
    <w:rsid w:val="00C305AB"/>
    <w:rsid w:val="00C306A0"/>
    <w:rsid w:val="00C30CBF"/>
    <w:rsid w:val="00C30F19"/>
    <w:rsid w:val="00C30FA7"/>
    <w:rsid w:val="00C312FE"/>
    <w:rsid w:val="00C31303"/>
    <w:rsid w:val="00C316D0"/>
    <w:rsid w:val="00C317FE"/>
    <w:rsid w:val="00C31CED"/>
    <w:rsid w:val="00C31DDA"/>
    <w:rsid w:val="00C31FBA"/>
    <w:rsid w:val="00C3212F"/>
    <w:rsid w:val="00C323DE"/>
    <w:rsid w:val="00C32B81"/>
    <w:rsid w:val="00C32E90"/>
    <w:rsid w:val="00C32F52"/>
    <w:rsid w:val="00C33034"/>
    <w:rsid w:val="00C33418"/>
    <w:rsid w:val="00C338E5"/>
    <w:rsid w:val="00C338F5"/>
    <w:rsid w:val="00C33BD7"/>
    <w:rsid w:val="00C34172"/>
    <w:rsid w:val="00C345C5"/>
    <w:rsid w:val="00C35436"/>
    <w:rsid w:val="00C354EF"/>
    <w:rsid w:val="00C3566B"/>
    <w:rsid w:val="00C35956"/>
    <w:rsid w:val="00C35968"/>
    <w:rsid w:val="00C35B16"/>
    <w:rsid w:val="00C35C44"/>
    <w:rsid w:val="00C35E28"/>
    <w:rsid w:val="00C36095"/>
    <w:rsid w:val="00C36239"/>
    <w:rsid w:val="00C365E4"/>
    <w:rsid w:val="00C36674"/>
    <w:rsid w:val="00C36710"/>
    <w:rsid w:val="00C36895"/>
    <w:rsid w:val="00C368F7"/>
    <w:rsid w:val="00C36A49"/>
    <w:rsid w:val="00C36BFC"/>
    <w:rsid w:val="00C36F28"/>
    <w:rsid w:val="00C3734A"/>
    <w:rsid w:val="00C37363"/>
    <w:rsid w:val="00C37496"/>
    <w:rsid w:val="00C376FA"/>
    <w:rsid w:val="00C37760"/>
    <w:rsid w:val="00C37870"/>
    <w:rsid w:val="00C37DCB"/>
    <w:rsid w:val="00C37E3F"/>
    <w:rsid w:val="00C37F53"/>
    <w:rsid w:val="00C40111"/>
    <w:rsid w:val="00C40717"/>
    <w:rsid w:val="00C407F3"/>
    <w:rsid w:val="00C40B62"/>
    <w:rsid w:val="00C40C10"/>
    <w:rsid w:val="00C40D32"/>
    <w:rsid w:val="00C40D61"/>
    <w:rsid w:val="00C41140"/>
    <w:rsid w:val="00C411A8"/>
    <w:rsid w:val="00C412DC"/>
    <w:rsid w:val="00C4137E"/>
    <w:rsid w:val="00C413C2"/>
    <w:rsid w:val="00C41CFD"/>
    <w:rsid w:val="00C41DC4"/>
    <w:rsid w:val="00C41E94"/>
    <w:rsid w:val="00C41EA9"/>
    <w:rsid w:val="00C42122"/>
    <w:rsid w:val="00C421A5"/>
    <w:rsid w:val="00C423F5"/>
    <w:rsid w:val="00C4243B"/>
    <w:rsid w:val="00C42940"/>
    <w:rsid w:val="00C42BC7"/>
    <w:rsid w:val="00C42E25"/>
    <w:rsid w:val="00C42E60"/>
    <w:rsid w:val="00C43317"/>
    <w:rsid w:val="00C4332E"/>
    <w:rsid w:val="00C435B4"/>
    <w:rsid w:val="00C439AE"/>
    <w:rsid w:val="00C43A15"/>
    <w:rsid w:val="00C43C83"/>
    <w:rsid w:val="00C43CFA"/>
    <w:rsid w:val="00C43EB2"/>
    <w:rsid w:val="00C4401A"/>
    <w:rsid w:val="00C44055"/>
    <w:rsid w:val="00C44104"/>
    <w:rsid w:val="00C441AE"/>
    <w:rsid w:val="00C44273"/>
    <w:rsid w:val="00C444EE"/>
    <w:rsid w:val="00C44ECD"/>
    <w:rsid w:val="00C450D3"/>
    <w:rsid w:val="00C45233"/>
    <w:rsid w:val="00C45305"/>
    <w:rsid w:val="00C45364"/>
    <w:rsid w:val="00C457C9"/>
    <w:rsid w:val="00C45B6E"/>
    <w:rsid w:val="00C45DE3"/>
    <w:rsid w:val="00C45ED3"/>
    <w:rsid w:val="00C4611E"/>
    <w:rsid w:val="00C46783"/>
    <w:rsid w:val="00C468D3"/>
    <w:rsid w:val="00C46988"/>
    <w:rsid w:val="00C469B9"/>
    <w:rsid w:val="00C46CD9"/>
    <w:rsid w:val="00C4750E"/>
    <w:rsid w:val="00C476BC"/>
    <w:rsid w:val="00C477EF"/>
    <w:rsid w:val="00C47A1B"/>
    <w:rsid w:val="00C47AF6"/>
    <w:rsid w:val="00C47B5A"/>
    <w:rsid w:val="00C47E2A"/>
    <w:rsid w:val="00C47EBE"/>
    <w:rsid w:val="00C47ED3"/>
    <w:rsid w:val="00C47F53"/>
    <w:rsid w:val="00C50200"/>
    <w:rsid w:val="00C508DD"/>
    <w:rsid w:val="00C50A86"/>
    <w:rsid w:val="00C50B46"/>
    <w:rsid w:val="00C50BCA"/>
    <w:rsid w:val="00C50CBD"/>
    <w:rsid w:val="00C50CEE"/>
    <w:rsid w:val="00C50D76"/>
    <w:rsid w:val="00C512D4"/>
    <w:rsid w:val="00C5141A"/>
    <w:rsid w:val="00C51615"/>
    <w:rsid w:val="00C51748"/>
    <w:rsid w:val="00C51EDC"/>
    <w:rsid w:val="00C51EED"/>
    <w:rsid w:val="00C51F3C"/>
    <w:rsid w:val="00C521D5"/>
    <w:rsid w:val="00C5233E"/>
    <w:rsid w:val="00C52401"/>
    <w:rsid w:val="00C524E2"/>
    <w:rsid w:val="00C52568"/>
    <w:rsid w:val="00C52719"/>
    <w:rsid w:val="00C52B66"/>
    <w:rsid w:val="00C52BDD"/>
    <w:rsid w:val="00C52D53"/>
    <w:rsid w:val="00C52E3F"/>
    <w:rsid w:val="00C52E5F"/>
    <w:rsid w:val="00C52F3D"/>
    <w:rsid w:val="00C53159"/>
    <w:rsid w:val="00C53198"/>
    <w:rsid w:val="00C531BD"/>
    <w:rsid w:val="00C53824"/>
    <w:rsid w:val="00C539CA"/>
    <w:rsid w:val="00C539FE"/>
    <w:rsid w:val="00C53A7F"/>
    <w:rsid w:val="00C53ED1"/>
    <w:rsid w:val="00C53FB2"/>
    <w:rsid w:val="00C540E2"/>
    <w:rsid w:val="00C540F1"/>
    <w:rsid w:val="00C544C1"/>
    <w:rsid w:val="00C54A99"/>
    <w:rsid w:val="00C558A1"/>
    <w:rsid w:val="00C55AE9"/>
    <w:rsid w:val="00C55C77"/>
    <w:rsid w:val="00C55ED6"/>
    <w:rsid w:val="00C55F06"/>
    <w:rsid w:val="00C562BE"/>
    <w:rsid w:val="00C56360"/>
    <w:rsid w:val="00C56392"/>
    <w:rsid w:val="00C568CF"/>
    <w:rsid w:val="00C568E1"/>
    <w:rsid w:val="00C56A2F"/>
    <w:rsid w:val="00C56DDD"/>
    <w:rsid w:val="00C5713B"/>
    <w:rsid w:val="00C5715D"/>
    <w:rsid w:val="00C573C3"/>
    <w:rsid w:val="00C57B35"/>
    <w:rsid w:val="00C57D6E"/>
    <w:rsid w:val="00C57E02"/>
    <w:rsid w:val="00C57FB9"/>
    <w:rsid w:val="00C605A6"/>
    <w:rsid w:val="00C60B22"/>
    <w:rsid w:val="00C60B58"/>
    <w:rsid w:val="00C60C07"/>
    <w:rsid w:val="00C60D66"/>
    <w:rsid w:val="00C60F2E"/>
    <w:rsid w:val="00C61020"/>
    <w:rsid w:val="00C611C3"/>
    <w:rsid w:val="00C6123E"/>
    <w:rsid w:val="00C61241"/>
    <w:rsid w:val="00C61398"/>
    <w:rsid w:val="00C61518"/>
    <w:rsid w:val="00C61668"/>
    <w:rsid w:val="00C61826"/>
    <w:rsid w:val="00C61D4F"/>
    <w:rsid w:val="00C61D6D"/>
    <w:rsid w:val="00C62277"/>
    <w:rsid w:val="00C6237C"/>
    <w:rsid w:val="00C624AB"/>
    <w:rsid w:val="00C624CC"/>
    <w:rsid w:val="00C6260D"/>
    <w:rsid w:val="00C626A4"/>
    <w:rsid w:val="00C62A8C"/>
    <w:rsid w:val="00C62DD2"/>
    <w:rsid w:val="00C6314F"/>
    <w:rsid w:val="00C63325"/>
    <w:rsid w:val="00C6353B"/>
    <w:rsid w:val="00C63613"/>
    <w:rsid w:val="00C63C14"/>
    <w:rsid w:val="00C63C1A"/>
    <w:rsid w:val="00C63D4E"/>
    <w:rsid w:val="00C63E1F"/>
    <w:rsid w:val="00C64292"/>
    <w:rsid w:val="00C643A4"/>
    <w:rsid w:val="00C64434"/>
    <w:rsid w:val="00C644D1"/>
    <w:rsid w:val="00C6451F"/>
    <w:rsid w:val="00C64871"/>
    <w:rsid w:val="00C64C15"/>
    <w:rsid w:val="00C64D6F"/>
    <w:rsid w:val="00C64E85"/>
    <w:rsid w:val="00C64F11"/>
    <w:rsid w:val="00C64F37"/>
    <w:rsid w:val="00C653AB"/>
    <w:rsid w:val="00C654D2"/>
    <w:rsid w:val="00C6558A"/>
    <w:rsid w:val="00C65645"/>
    <w:rsid w:val="00C659B3"/>
    <w:rsid w:val="00C660A8"/>
    <w:rsid w:val="00C66326"/>
    <w:rsid w:val="00C664E4"/>
    <w:rsid w:val="00C668BF"/>
    <w:rsid w:val="00C66A43"/>
    <w:rsid w:val="00C66C7D"/>
    <w:rsid w:val="00C6723F"/>
    <w:rsid w:val="00C67492"/>
    <w:rsid w:val="00C6756F"/>
    <w:rsid w:val="00C67A9B"/>
    <w:rsid w:val="00C67C19"/>
    <w:rsid w:val="00C70082"/>
    <w:rsid w:val="00C70341"/>
    <w:rsid w:val="00C703BE"/>
    <w:rsid w:val="00C704E7"/>
    <w:rsid w:val="00C705BB"/>
    <w:rsid w:val="00C70885"/>
    <w:rsid w:val="00C70889"/>
    <w:rsid w:val="00C70904"/>
    <w:rsid w:val="00C70A55"/>
    <w:rsid w:val="00C70A57"/>
    <w:rsid w:val="00C70D47"/>
    <w:rsid w:val="00C7113D"/>
    <w:rsid w:val="00C71419"/>
    <w:rsid w:val="00C71760"/>
    <w:rsid w:val="00C71925"/>
    <w:rsid w:val="00C71CF6"/>
    <w:rsid w:val="00C71DF9"/>
    <w:rsid w:val="00C71F2D"/>
    <w:rsid w:val="00C71FD3"/>
    <w:rsid w:val="00C720A6"/>
    <w:rsid w:val="00C723AC"/>
    <w:rsid w:val="00C72715"/>
    <w:rsid w:val="00C728E1"/>
    <w:rsid w:val="00C72D61"/>
    <w:rsid w:val="00C72EEE"/>
    <w:rsid w:val="00C73041"/>
    <w:rsid w:val="00C738F3"/>
    <w:rsid w:val="00C739D4"/>
    <w:rsid w:val="00C739E5"/>
    <w:rsid w:val="00C73B37"/>
    <w:rsid w:val="00C740B7"/>
    <w:rsid w:val="00C7412D"/>
    <w:rsid w:val="00C74299"/>
    <w:rsid w:val="00C7448D"/>
    <w:rsid w:val="00C74816"/>
    <w:rsid w:val="00C74977"/>
    <w:rsid w:val="00C74C9E"/>
    <w:rsid w:val="00C7526B"/>
    <w:rsid w:val="00C75484"/>
    <w:rsid w:val="00C7556B"/>
    <w:rsid w:val="00C7573E"/>
    <w:rsid w:val="00C75CF1"/>
    <w:rsid w:val="00C7638B"/>
    <w:rsid w:val="00C76537"/>
    <w:rsid w:val="00C768CE"/>
    <w:rsid w:val="00C769EC"/>
    <w:rsid w:val="00C76A4B"/>
    <w:rsid w:val="00C76CB8"/>
    <w:rsid w:val="00C7729C"/>
    <w:rsid w:val="00C77434"/>
    <w:rsid w:val="00C777D4"/>
    <w:rsid w:val="00C77DE4"/>
    <w:rsid w:val="00C77EC8"/>
    <w:rsid w:val="00C801DC"/>
    <w:rsid w:val="00C8039D"/>
    <w:rsid w:val="00C803A7"/>
    <w:rsid w:val="00C8049A"/>
    <w:rsid w:val="00C8099F"/>
    <w:rsid w:val="00C8102B"/>
    <w:rsid w:val="00C81910"/>
    <w:rsid w:val="00C81A49"/>
    <w:rsid w:val="00C81A4D"/>
    <w:rsid w:val="00C81C5F"/>
    <w:rsid w:val="00C81F98"/>
    <w:rsid w:val="00C82098"/>
    <w:rsid w:val="00C821EF"/>
    <w:rsid w:val="00C822AF"/>
    <w:rsid w:val="00C82410"/>
    <w:rsid w:val="00C82581"/>
    <w:rsid w:val="00C8262A"/>
    <w:rsid w:val="00C82685"/>
    <w:rsid w:val="00C82716"/>
    <w:rsid w:val="00C8286F"/>
    <w:rsid w:val="00C829F1"/>
    <w:rsid w:val="00C82B54"/>
    <w:rsid w:val="00C82C16"/>
    <w:rsid w:val="00C82E44"/>
    <w:rsid w:val="00C82F17"/>
    <w:rsid w:val="00C8305D"/>
    <w:rsid w:val="00C8313F"/>
    <w:rsid w:val="00C831CD"/>
    <w:rsid w:val="00C8327C"/>
    <w:rsid w:val="00C8367D"/>
    <w:rsid w:val="00C83734"/>
    <w:rsid w:val="00C83D07"/>
    <w:rsid w:val="00C83ED4"/>
    <w:rsid w:val="00C83F3A"/>
    <w:rsid w:val="00C8406A"/>
    <w:rsid w:val="00C84079"/>
    <w:rsid w:val="00C842CA"/>
    <w:rsid w:val="00C847D4"/>
    <w:rsid w:val="00C84C2B"/>
    <w:rsid w:val="00C84C94"/>
    <w:rsid w:val="00C84F8D"/>
    <w:rsid w:val="00C8500A"/>
    <w:rsid w:val="00C85140"/>
    <w:rsid w:val="00C8554F"/>
    <w:rsid w:val="00C8556E"/>
    <w:rsid w:val="00C85AAB"/>
    <w:rsid w:val="00C85AD4"/>
    <w:rsid w:val="00C85BA4"/>
    <w:rsid w:val="00C85CB4"/>
    <w:rsid w:val="00C85E87"/>
    <w:rsid w:val="00C860E8"/>
    <w:rsid w:val="00C8614C"/>
    <w:rsid w:val="00C86337"/>
    <w:rsid w:val="00C86341"/>
    <w:rsid w:val="00C86399"/>
    <w:rsid w:val="00C86514"/>
    <w:rsid w:val="00C86530"/>
    <w:rsid w:val="00C86578"/>
    <w:rsid w:val="00C86641"/>
    <w:rsid w:val="00C86745"/>
    <w:rsid w:val="00C867DE"/>
    <w:rsid w:val="00C86BDA"/>
    <w:rsid w:val="00C86D68"/>
    <w:rsid w:val="00C86F17"/>
    <w:rsid w:val="00C87020"/>
    <w:rsid w:val="00C87111"/>
    <w:rsid w:val="00C8731D"/>
    <w:rsid w:val="00C8734F"/>
    <w:rsid w:val="00C873A3"/>
    <w:rsid w:val="00C8779D"/>
    <w:rsid w:val="00C877E7"/>
    <w:rsid w:val="00C87D56"/>
    <w:rsid w:val="00C87F28"/>
    <w:rsid w:val="00C901E7"/>
    <w:rsid w:val="00C90205"/>
    <w:rsid w:val="00C90220"/>
    <w:rsid w:val="00C905D4"/>
    <w:rsid w:val="00C905F7"/>
    <w:rsid w:val="00C90A99"/>
    <w:rsid w:val="00C90AC1"/>
    <w:rsid w:val="00C90B4F"/>
    <w:rsid w:val="00C90B50"/>
    <w:rsid w:val="00C90E4B"/>
    <w:rsid w:val="00C912E9"/>
    <w:rsid w:val="00C9140C"/>
    <w:rsid w:val="00C91603"/>
    <w:rsid w:val="00C9173D"/>
    <w:rsid w:val="00C91794"/>
    <w:rsid w:val="00C9194A"/>
    <w:rsid w:val="00C91ACD"/>
    <w:rsid w:val="00C91E5E"/>
    <w:rsid w:val="00C922D0"/>
    <w:rsid w:val="00C923A1"/>
    <w:rsid w:val="00C9257A"/>
    <w:rsid w:val="00C927A0"/>
    <w:rsid w:val="00C92DBB"/>
    <w:rsid w:val="00C9304C"/>
    <w:rsid w:val="00C93068"/>
    <w:rsid w:val="00C9320D"/>
    <w:rsid w:val="00C9323A"/>
    <w:rsid w:val="00C93360"/>
    <w:rsid w:val="00C933A2"/>
    <w:rsid w:val="00C9349F"/>
    <w:rsid w:val="00C936C5"/>
    <w:rsid w:val="00C93C74"/>
    <w:rsid w:val="00C94080"/>
    <w:rsid w:val="00C94108"/>
    <w:rsid w:val="00C94364"/>
    <w:rsid w:val="00C94563"/>
    <w:rsid w:val="00C94721"/>
    <w:rsid w:val="00C94798"/>
    <w:rsid w:val="00C94A22"/>
    <w:rsid w:val="00C94A8C"/>
    <w:rsid w:val="00C94C69"/>
    <w:rsid w:val="00C94C87"/>
    <w:rsid w:val="00C94F5F"/>
    <w:rsid w:val="00C95355"/>
    <w:rsid w:val="00C9537D"/>
    <w:rsid w:val="00C95415"/>
    <w:rsid w:val="00C95A9B"/>
    <w:rsid w:val="00C95F7C"/>
    <w:rsid w:val="00C96361"/>
    <w:rsid w:val="00C963E8"/>
    <w:rsid w:val="00C9655F"/>
    <w:rsid w:val="00C966B5"/>
    <w:rsid w:val="00C969D0"/>
    <w:rsid w:val="00C96C5F"/>
    <w:rsid w:val="00C96E29"/>
    <w:rsid w:val="00C96E69"/>
    <w:rsid w:val="00C96F8B"/>
    <w:rsid w:val="00C96F9A"/>
    <w:rsid w:val="00C97026"/>
    <w:rsid w:val="00C9768B"/>
    <w:rsid w:val="00CA010D"/>
    <w:rsid w:val="00CA03B3"/>
    <w:rsid w:val="00CA03F8"/>
    <w:rsid w:val="00CA05F5"/>
    <w:rsid w:val="00CA06FF"/>
    <w:rsid w:val="00CA0896"/>
    <w:rsid w:val="00CA08E4"/>
    <w:rsid w:val="00CA0A53"/>
    <w:rsid w:val="00CA0C4F"/>
    <w:rsid w:val="00CA0D0E"/>
    <w:rsid w:val="00CA0D4D"/>
    <w:rsid w:val="00CA0E58"/>
    <w:rsid w:val="00CA1142"/>
    <w:rsid w:val="00CA1395"/>
    <w:rsid w:val="00CA13A3"/>
    <w:rsid w:val="00CA1640"/>
    <w:rsid w:val="00CA17F8"/>
    <w:rsid w:val="00CA18D2"/>
    <w:rsid w:val="00CA1C04"/>
    <w:rsid w:val="00CA1F87"/>
    <w:rsid w:val="00CA25DE"/>
    <w:rsid w:val="00CA278F"/>
    <w:rsid w:val="00CA2870"/>
    <w:rsid w:val="00CA2E26"/>
    <w:rsid w:val="00CA305F"/>
    <w:rsid w:val="00CA346E"/>
    <w:rsid w:val="00CA3555"/>
    <w:rsid w:val="00CA35E6"/>
    <w:rsid w:val="00CA3707"/>
    <w:rsid w:val="00CA3757"/>
    <w:rsid w:val="00CA3783"/>
    <w:rsid w:val="00CA3879"/>
    <w:rsid w:val="00CA39BB"/>
    <w:rsid w:val="00CA3E86"/>
    <w:rsid w:val="00CA3FE7"/>
    <w:rsid w:val="00CA4002"/>
    <w:rsid w:val="00CA43FA"/>
    <w:rsid w:val="00CA48DE"/>
    <w:rsid w:val="00CA4938"/>
    <w:rsid w:val="00CA4B57"/>
    <w:rsid w:val="00CA4C77"/>
    <w:rsid w:val="00CA4CC4"/>
    <w:rsid w:val="00CA4CF8"/>
    <w:rsid w:val="00CA4D37"/>
    <w:rsid w:val="00CA50B2"/>
    <w:rsid w:val="00CA50DE"/>
    <w:rsid w:val="00CA52A5"/>
    <w:rsid w:val="00CA5433"/>
    <w:rsid w:val="00CA5B97"/>
    <w:rsid w:val="00CA5C1E"/>
    <w:rsid w:val="00CA5D9D"/>
    <w:rsid w:val="00CA5EB8"/>
    <w:rsid w:val="00CA5FCE"/>
    <w:rsid w:val="00CA64FD"/>
    <w:rsid w:val="00CA657C"/>
    <w:rsid w:val="00CA6B16"/>
    <w:rsid w:val="00CA6BD1"/>
    <w:rsid w:val="00CA6CA3"/>
    <w:rsid w:val="00CA7158"/>
    <w:rsid w:val="00CA72B5"/>
    <w:rsid w:val="00CA7593"/>
    <w:rsid w:val="00CA762E"/>
    <w:rsid w:val="00CA7B5D"/>
    <w:rsid w:val="00CA7B9D"/>
    <w:rsid w:val="00CB0276"/>
    <w:rsid w:val="00CB067C"/>
    <w:rsid w:val="00CB0701"/>
    <w:rsid w:val="00CB0723"/>
    <w:rsid w:val="00CB093E"/>
    <w:rsid w:val="00CB0956"/>
    <w:rsid w:val="00CB0D92"/>
    <w:rsid w:val="00CB0E90"/>
    <w:rsid w:val="00CB0EB7"/>
    <w:rsid w:val="00CB1005"/>
    <w:rsid w:val="00CB1229"/>
    <w:rsid w:val="00CB127E"/>
    <w:rsid w:val="00CB130F"/>
    <w:rsid w:val="00CB13ED"/>
    <w:rsid w:val="00CB14BF"/>
    <w:rsid w:val="00CB1831"/>
    <w:rsid w:val="00CB1921"/>
    <w:rsid w:val="00CB1AD9"/>
    <w:rsid w:val="00CB1B74"/>
    <w:rsid w:val="00CB1C21"/>
    <w:rsid w:val="00CB1D2E"/>
    <w:rsid w:val="00CB1DDD"/>
    <w:rsid w:val="00CB216F"/>
    <w:rsid w:val="00CB286D"/>
    <w:rsid w:val="00CB2A7F"/>
    <w:rsid w:val="00CB2B84"/>
    <w:rsid w:val="00CB2BF5"/>
    <w:rsid w:val="00CB2D3C"/>
    <w:rsid w:val="00CB2EB9"/>
    <w:rsid w:val="00CB33FD"/>
    <w:rsid w:val="00CB34FC"/>
    <w:rsid w:val="00CB36CC"/>
    <w:rsid w:val="00CB36EF"/>
    <w:rsid w:val="00CB382E"/>
    <w:rsid w:val="00CB3A67"/>
    <w:rsid w:val="00CB3D4A"/>
    <w:rsid w:val="00CB3DD0"/>
    <w:rsid w:val="00CB3FA4"/>
    <w:rsid w:val="00CB4090"/>
    <w:rsid w:val="00CB4450"/>
    <w:rsid w:val="00CB4752"/>
    <w:rsid w:val="00CB4BAE"/>
    <w:rsid w:val="00CB4CA8"/>
    <w:rsid w:val="00CB51A6"/>
    <w:rsid w:val="00CB583D"/>
    <w:rsid w:val="00CB58FB"/>
    <w:rsid w:val="00CB5BC0"/>
    <w:rsid w:val="00CB5C9D"/>
    <w:rsid w:val="00CB5DF6"/>
    <w:rsid w:val="00CB5F8A"/>
    <w:rsid w:val="00CB60F5"/>
    <w:rsid w:val="00CB666B"/>
    <w:rsid w:val="00CB6898"/>
    <w:rsid w:val="00CB6AF4"/>
    <w:rsid w:val="00CB6B88"/>
    <w:rsid w:val="00CB6F7F"/>
    <w:rsid w:val="00CB72F0"/>
    <w:rsid w:val="00CB7405"/>
    <w:rsid w:val="00CB754B"/>
    <w:rsid w:val="00CB75A9"/>
    <w:rsid w:val="00CB7A24"/>
    <w:rsid w:val="00CB7A3E"/>
    <w:rsid w:val="00CB7AA4"/>
    <w:rsid w:val="00CB7AD5"/>
    <w:rsid w:val="00CB7B64"/>
    <w:rsid w:val="00CB7E70"/>
    <w:rsid w:val="00CC0478"/>
    <w:rsid w:val="00CC0755"/>
    <w:rsid w:val="00CC07F0"/>
    <w:rsid w:val="00CC09E0"/>
    <w:rsid w:val="00CC0ACD"/>
    <w:rsid w:val="00CC0D32"/>
    <w:rsid w:val="00CC0E07"/>
    <w:rsid w:val="00CC1114"/>
    <w:rsid w:val="00CC11FB"/>
    <w:rsid w:val="00CC12AB"/>
    <w:rsid w:val="00CC12DB"/>
    <w:rsid w:val="00CC15AF"/>
    <w:rsid w:val="00CC1629"/>
    <w:rsid w:val="00CC1694"/>
    <w:rsid w:val="00CC1711"/>
    <w:rsid w:val="00CC1768"/>
    <w:rsid w:val="00CC1BD4"/>
    <w:rsid w:val="00CC1DD8"/>
    <w:rsid w:val="00CC1F03"/>
    <w:rsid w:val="00CC1F1C"/>
    <w:rsid w:val="00CC1F9A"/>
    <w:rsid w:val="00CC205F"/>
    <w:rsid w:val="00CC2737"/>
    <w:rsid w:val="00CC295E"/>
    <w:rsid w:val="00CC2A5F"/>
    <w:rsid w:val="00CC2AE9"/>
    <w:rsid w:val="00CC2C76"/>
    <w:rsid w:val="00CC2F03"/>
    <w:rsid w:val="00CC2F3D"/>
    <w:rsid w:val="00CC30BF"/>
    <w:rsid w:val="00CC312B"/>
    <w:rsid w:val="00CC3496"/>
    <w:rsid w:val="00CC34A4"/>
    <w:rsid w:val="00CC3BD0"/>
    <w:rsid w:val="00CC3C39"/>
    <w:rsid w:val="00CC3DCD"/>
    <w:rsid w:val="00CC3E76"/>
    <w:rsid w:val="00CC3F2E"/>
    <w:rsid w:val="00CC42DA"/>
    <w:rsid w:val="00CC42E4"/>
    <w:rsid w:val="00CC445A"/>
    <w:rsid w:val="00CC4513"/>
    <w:rsid w:val="00CC4805"/>
    <w:rsid w:val="00CC4849"/>
    <w:rsid w:val="00CC487A"/>
    <w:rsid w:val="00CC4B39"/>
    <w:rsid w:val="00CC4C10"/>
    <w:rsid w:val="00CC4C24"/>
    <w:rsid w:val="00CC4C34"/>
    <w:rsid w:val="00CC4DCD"/>
    <w:rsid w:val="00CC4E4F"/>
    <w:rsid w:val="00CC533F"/>
    <w:rsid w:val="00CC53CE"/>
    <w:rsid w:val="00CC5953"/>
    <w:rsid w:val="00CC5B12"/>
    <w:rsid w:val="00CC5DE8"/>
    <w:rsid w:val="00CC5F3D"/>
    <w:rsid w:val="00CC601E"/>
    <w:rsid w:val="00CC6099"/>
    <w:rsid w:val="00CC640F"/>
    <w:rsid w:val="00CC647C"/>
    <w:rsid w:val="00CC6496"/>
    <w:rsid w:val="00CC69E8"/>
    <w:rsid w:val="00CC6A91"/>
    <w:rsid w:val="00CC6DB0"/>
    <w:rsid w:val="00CC6F81"/>
    <w:rsid w:val="00CC6FC0"/>
    <w:rsid w:val="00CC7393"/>
    <w:rsid w:val="00CC7457"/>
    <w:rsid w:val="00CC781D"/>
    <w:rsid w:val="00CC790D"/>
    <w:rsid w:val="00CC7A10"/>
    <w:rsid w:val="00CC7D1D"/>
    <w:rsid w:val="00CC7F2B"/>
    <w:rsid w:val="00CD022F"/>
    <w:rsid w:val="00CD023E"/>
    <w:rsid w:val="00CD031D"/>
    <w:rsid w:val="00CD0394"/>
    <w:rsid w:val="00CD03DB"/>
    <w:rsid w:val="00CD0558"/>
    <w:rsid w:val="00CD0A1F"/>
    <w:rsid w:val="00CD0D2E"/>
    <w:rsid w:val="00CD0EF4"/>
    <w:rsid w:val="00CD0F3F"/>
    <w:rsid w:val="00CD174C"/>
    <w:rsid w:val="00CD1AA0"/>
    <w:rsid w:val="00CD1C67"/>
    <w:rsid w:val="00CD1D9B"/>
    <w:rsid w:val="00CD1DCF"/>
    <w:rsid w:val="00CD20C5"/>
    <w:rsid w:val="00CD2151"/>
    <w:rsid w:val="00CD24C4"/>
    <w:rsid w:val="00CD256D"/>
    <w:rsid w:val="00CD2628"/>
    <w:rsid w:val="00CD2ED6"/>
    <w:rsid w:val="00CD3002"/>
    <w:rsid w:val="00CD3207"/>
    <w:rsid w:val="00CD341C"/>
    <w:rsid w:val="00CD3447"/>
    <w:rsid w:val="00CD3AA6"/>
    <w:rsid w:val="00CD3B48"/>
    <w:rsid w:val="00CD3D29"/>
    <w:rsid w:val="00CD3E3A"/>
    <w:rsid w:val="00CD436F"/>
    <w:rsid w:val="00CD4385"/>
    <w:rsid w:val="00CD43B5"/>
    <w:rsid w:val="00CD440C"/>
    <w:rsid w:val="00CD4475"/>
    <w:rsid w:val="00CD4754"/>
    <w:rsid w:val="00CD48C4"/>
    <w:rsid w:val="00CD4925"/>
    <w:rsid w:val="00CD49CC"/>
    <w:rsid w:val="00CD4AD9"/>
    <w:rsid w:val="00CD4C92"/>
    <w:rsid w:val="00CD5417"/>
    <w:rsid w:val="00CD563D"/>
    <w:rsid w:val="00CD5671"/>
    <w:rsid w:val="00CD5FBD"/>
    <w:rsid w:val="00CD629C"/>
    <w:rsid w:val="00CD677B"/>
    <w:rsid w:val="00CD6803"/>
    <w:rsid w:val="00CD7241"/>
    <w:rsid w:val="00CD7520"/>
    <w:rsid w:val="00CD75DC"/>
    <w:rsid w:val="00CD7691"/>
    <w:rsid w:val="00CD7828"/>
    <w:rsid w:val="00CD79A0"/>
    <w:rsid w:val="00CD7BF7"/>
    <w:rsid w:val="00CD7D58"/>
    <w:rsid w:val="00CD7E95"/>
    <w:rsid w:val="00CE01CB"/>
    <w:rsid w:val="00CE0240"/>
    <w:rsid w:val="00CE04DB"/>
    <w:rsid w:val="00CE057B"/>
    <w:rsid w:val="00CE05B5"/>
    <w:rsid w:val="00CE0F51"/>
    <w:rsid w:val="00CE0F5B"/>
    <w:rsid w:val="00CE106E"/>
    <w:rsid w:val="00CE154C"/>
    <w:rsid w:val="00CE190B"/>
    <w:rsid w:val="00CE193A"/>
    <w:rsid w:val="00CE214B"/>
    <w:rsid w:val="00CE2226"/>
    <w:rsid w:val="00CE23B1"/>
    <w:rsid w:val="00CE2546"/>
    <w:rsid w:val="00CE26A0"/>
    <w:rsid w:val="00CE2A79"/>
    <w:rsid w:val="00CE363E"/>
    <w:rsid w:val="00CE3793"/>
    <w:rsid w:val="00CE3796"/>
    <w:rsid w:val="00CE37A5"/>
    <w:rsid w:val="00CE3978"/>
    <w:rsid w:val="00CE3EA2"/>
    <w:rsid w:val="00CE4143"/>
    <w:rsid w:val="00CE43D9"/>
    <w:rsid w:val="00CE46E0"/>
    <w:rsid w:val="00CE4824"/>
    <w:rsid w:val="00CE4957"/>
    <w:rsid w:val="00CE4A73"/>
    <w:rsid w:val="00CE4A82"/>
    <w:rsid w:val="00CE4C21"/>
    <w:rsid w:val="00CE4DA2"/>
    <w:rsid w:val="00CE4E53"/>
    <w:rsid w:val="00CE4EE8"/>
    <w:rsid w:val="00CE4F89"/>
    <w:rsid w:val="00CE50F4"/>
    <w:rsid w:val="00CE5611"/>
    <w:rsid w:val="00CE5EB8"/>
    <w:rsid w:val="00CE614B"/>
    <w:rsid w:val="00CE62C3"/>
    <w:rsid w:val="00CE6445"/>
    <w:rsid w:val="00CE6722"/>
    <w:rsid w:val="00CE67D0"/>
    <w:rsid w:val="00CE6A21"/>
    <w:rsid w:val="00CE6CCB"/>
    <w:rsid w:val="00CE6EC5"/>
    <w:rsid w:val="00CE6FE3"/>
    <w:rsid w:val="00CE7002"/>
    <w:rsid w:val="00CE704A"/>
    <w:rsid w:val="00CE71B9"/>
    <w:rsid w:val="00CE7220"/>
    <w:rsid w:val="00CE72FD"/>
    <w:rsid w:val="00CE7388"/>
    <w:rsid w:val="00CE74A2"/>
    <w:rsid w:val="00CE753B"/>
    <w:rsid w:val="00CE7827"/>
    <w:rsid w:val="00CE7983"/>
    <w:rsid w:val="00CE7C9C"/>
    <w:rsid w:val="00CE7EEF"/>
    <w:rsid w:val="00CE7F5E"/>
    <w:rsid w:val="00CF0043"/>
    <w:rsid w:val="00CF0592"/>
    <w:rsid w:val="00CF0624"/>
    <w:rsid w:val="00CF0879"/>
    <w:rsid w:val="00CF0CAF"/>
    <w:rsid w:val="00CF0DC0"/>
    <w:rsid w:val="00CF0F94"/>
    <w:rsid w:val="00CF0F97"/>
    <w:rsid w:val="00CF117F"/>
    <w:rsid w:val="00CF13A6"/>
    <w:rsid w:val="00CF13AB"/>
    <w:rsid w:val="00CF1430"/>
    <w:rsid w:val="00CF16FA"/>
    <w:rsid w:val="00CF1A9C"/>
    <w:rsid w:val="00CF1BBB"/>
    <w:rsid w:val="00CF2227"/>
    <w:rsid w:val="00CF2444"/>
    <w:rsid w:val="00CF2481"/>
    <w:rsid w:val="00CF2637"/>
    <w:rsid w:val="00CF283F"/>
    <w:rsid w:val="00CF29B4"/>
    <w:rsid w:val="00CF2C08"/>
    <w:rsid w:val="00CF2DA2"/>
    <w:rsid w:val="00CF2E87"/>
    <w:rsid w:val="00CF3032"/>
    <w:rsid w:val="00CF30B7"/>
    <w:rsid w:val="00CF317E"/>
    <w:rsid w:val="00CF36CE"/>
    <w:rsid w:val="00CF3E6B"/>
    <w:rsid w:val="00CF4224"/>
    <w:rsid w:val="00CF4514"/>
    <w:rsid w:val="00CF469F"/>
    <w:rsid w:val="00CF46E1"/>
    <w:rsid w:val="00CF4886"/>
    <w:rsid w:val="00CF48B9"/>
    <w:rsid w:val="00CF4C43"/>
    <w:rsid w:val="00CF4C5B"/>
    <w:rsid w:val="00CF4D46"/>
    <w:rsid w:val="00CF4EB7"/>
    <w:rsid w:val="00CF519F"/>
    <w:rsid w:val="00CF532C"/>
    <w:rsid w:val="00CF543D"/>
    <w:rsid w:val="00CF546F"/>
    <w:rsid w:val="00CF5499"/>
    <w:rsid w:val="00CF55DC"/>
    <w:rsid w:val="00CF57A3"/>
    <w:rsid w:val="00CF5A7D"/>
    <w:rsid w:val="00CF5C9F"/>
    <w:rsid w:val="00CF5D9E"/>
    <w:rsid w:val="00CF5E37"/>
    <w:rsid w:val="00CF61BB"/>
    <w:rsid w:val="00CF6535"/>
    <w:rsid w:val="00CF6567"/>
    <w:rsid w:val="00CF65BC"/>
    <w:rsid w:val="00CF68E8"/>
    <w:rsid w:val="00CF6903"/>
    <w:rsid w:val="00CF6999"/>
    <w:rsid w:val="00CF6AC4"/>
    <w:rsid w:val="00CF6ACC"/>
    <w:rsid w:val="00CF6C0A"/>
    <w:rsid w:val="00CF705E"/>
    <w:rsid w:val="00CF71FB"/>
    <w:rsid w:val="00CF72DD"/>
    <w:rsid w:val="00CF730B"/>
    <w:rsid w:val="00CF750A"/>
    <w:rsid w:val="00CF753F"/>
    <w:rsid w:val="00CF7549"/>
    <w:rsid w:val="00CF7758"/>
    <w:rsid w:val="00CF78B5"/>
    <w:rsid w:val="00CF79F2"/>
    <w:rsid w:val="00CF7B79"/>
    <w:rsid w:val="00CF7BB4"/>
    <w:rsid w:val="00CF7D9F"/>
    <w:rsid w:val="00CF7DB1"/>
    <w:rsid w:val="00CF7DCA"/>
    <w:rsid w:val="00CF7EC0"/>
    <w:rsid w:val="00D0028A"/>
    <w:rsid w:val="00D00294"/>
    <w:rsid w:val="00D0040A"/>
    <w:rsid w:val="00D00599"/>
    <w:rsid w:val="00D005E1"/>
    <w:rsid w:val="00D00854"/>
    <w:rsid w:val="00D009A5"/>
    <w:rsid w:val="00D00F86"/>
    <w:rsid w:val="00D01146"/>
    <w:rsid w:val="00D01208"/>
    <w:rsid w:val="00D01384"/>
    <w:rsid w:val="00D013A1"/>
    <w:rsid w:val="00D013BD"/>
    <w:rsid w:val="00D0157A"/>
    <w:rsid w:val="00D01628"/>
    <w:rsid w:val="00D018F7"/>
    <w:rsid w:val="00D01AFA"/>
    <w:rsid w:val="00D01CBA"/>
    <w:rsid w:val="00D01E80"/>
    <w:rsid w:val="00D0202C"/>
    <w:rsid w:val="00D0216C"/>
    <w:rsid w:val="00D023C4"/>
    <w:rsid w:val="00D025EB"/>
    <w:rsid w:val="00D0282B"/>
    <w:rsid w:val="00D029B5"/>
    <w:rsid w:val="00D02C17"/>
    <w:rsid w:val="00D031E4"/>
    <w:rsid w:val="00D0324E"/>
    <w:rsid w:val="00D03269"/>
    <w:rsid w:val="00D0326D"/>
    <w:rsid w:val="00D032EE"/>
    <w:rsid w:val="00D0349A"/>
    <w:rsid w:val="00D0388C"/>
    <w:rsid w:val="00D03A99"/>
    <w:rsid w:val="00D03B85"/>
    <w:rsid w:val="00D03C6F"/>
    <w:rsid w:val="00D03C7B"/>
    <w:rsid w:val="00D03EA3"/>
    <w:rsid w:val="00D040F6"/>
    <w:rsid w:val="00D04206"/>
    <w:rsid w:val="00D04696"/>
    <w:rsid w:val="00D04825"/>
    <w:rsid w:val="00D048F6"/>
    <w:rsid w:val="00D04C8A"/>
    <w:rsid w:val="00D051A5"/>
    <w:rsid w:val="00D05508"/>
    <w:rsid w:val="00D055E9"/>
    <w:rsid w:val="00D056C6"/>
    <w:rsid w:val="00D059B6"/>
    <w:rsid w:val="00D059CE"/>
    <w:rsid w:val="00D05B1D"/>
    <w:rsid w:val="00D05FAC"/>
    <w:rsid w:val="00D062AC"/>
    <w:rsid w:val="00D06342"/>
    <w:rsid w:val="00D0657B"/>
    <w:rsid w:val="00D06848"/>
    <w:rsid w:val="00D069EB"/>
    <w:rsid w:val="00D06F2D"/>
    <w:rsid w:val="00D06F48"/>
    <w:rsid w:val="00D070BC"/>
    <w:rsid w:val="00D07291"/>
    <w:rsid w:val="00D073FC"/>
    <w:rsid w:val="00D07430"/>
    <w:rsid w:val="00D07587"/>
    <w:rsid w:val="00D07612"/>
    <w:rsid w:val="00D0779C"/>
    <w:rsid w:val="00D07F40"/>
    <w:rsid w:val="00D07F68"/>
    <w:rsid w:val="00D10115"/>
    <w:rsid w:val="00D1011A"/>
    <w:rsid w:val="00D10284"/>
    <w:rsid w:val="00D107D0"/>
    <w:rsid w:val="00D10BE3"/>
    <w:rsid w:val="00D10CC9"/>
    <w:rsid w:val="00D10E55"/>
    <w:rsid w:val="00D110BA"/>
    <w:rsid w:val="00D11171"/>
    <w:rsid w:val="00D1118E"/>
    <w:rsid w:val="00D11D93"/>
    <w:rsid w:val="00D11DCA"/>
    <w:rsid w:val="00D121B8"/>
    <w:rsid w:val="00D12432"/>
    <w:rsid w:val="00D124A8"/>
    <w:rsid w:val="00D12513"/>
    <w:rsid w:val="00D12A95"/>
    <w:rsid w:val="00D12CB8"/>
    <w:rsid w:val="00D12CE9"/>
    <w:rsid w:val="00D12E29"/>
    <w:rsid w:val="00D136CF"/>
    <w:rsid w:val="00D13937"/>
    <w:rsid w:val="00D13FAC"/>
    <w:rsid w:val="00D14004"/>
    <w:rsid w:val="00D14083"/>
    <w:rsid w:val="00D14262"/>
    <w:rsid w:val="00D144E0"/>
    <w:rsid w:val="00D14B69"/>
    <w:rsid w:val="00D14C6D"/>
    <w:rsid w:val="00D14D67"/>
    <w:rsid w:val="00D14EC9"/>
    <w:rsid w:val="00D15145"/>
    <w:rsid w:val="00D151C7"/>
    <w:rsid w:val="00D1541F"/>
    <w:rsid w:val="00D15842"/>
    <w:rsid w:val="00D15C0B"/>
    <w:rsid w:val="00D15CBA"/>
    <w:rsid w:val="00D15EE2"/>
    <w:rsid w:val="00D15FCB"/>
    <w:rsid w:val="00D162AD"/>
    <w:rsid w:val="00D16347"/>
    <w:rsid w:val="00D16394"/>
    <w:rsid w:val="00D165A3"/>
    <w:rsid w:val="00D167DC"/>
    <w:rsid w:val="00D167E3"/>
    <w:rsid w:val="00D16852"/>
    <w:rsid w:val="00D169B3"/>
    <w:rsid w:val="00D16FEC"/>
    <w:rsid w:val="00D170F7"/>
    <w:rsid w:val="00D1710E"/>
    <w:rsid w:val="00D172C5"/>
    <w:rsid w:val="00D172E5"/>
    <w:rsid w:val="00D173E1"/>
    <w:rsid w:val="00D1786C"/>
    <w:rsid w:val="00D178D2"/>
    <w:rsid w:val="00D17A3F"/>
    <w:rsid w:val="00D17C7A"/>
    <w:rsid w:val="00D20014"/>
    <w:rsid w:val="00D201AF"/>
    <w:rsid w:val="00D2050F"/>
    <w:rsid w:val="00D205AD"/>
    <w:rsid w:val="00D20A14"/>
    <w:rsid w:val="00D20BC6"/>
    <w:rsid w:val="00D20D11"/>
    <w:rsid w:val="00D20FC8"/>
    <w:rsid w:val="00D20FE5"/>
    <w:rsid w:val="00D210F4"/>
    <w:rsid w:val="00D21109"/>
    <w:rsid w:val="00D21137"/>
    <w:rsid w:val="00D212A6"/>
    <w:rsid w:val="00D212BF"/>
    <w:rsid w:val="00D21627"/>
    <w:rsid w:val="00D2162C"/>
    <w:rsid w:val="00D216AA"/>
    <w:rsid w:val="00D21830"/>
    <w:rsid w:val="00D21AEB"/>
    <w:rsid w:val="00D21BC1"/>
    <w:rsid w:val="00D22336"/>
    <w:rsid w:val="00D2267D"/>
    <w:rsid w:val="00D2271E"/>
    <w:rsid w:val="00D2296A"/>
    <w:rsid w:val="00D22BE9"/>
    <w:rsid w:val="00D22D91"/>
    <w:rsid w:val="00D22D95"/>
    <w:rsid w:val="00D23267"/>
    <w:rsid w:val="00D23447"/>
    <w:rsid w:val="00D236D8"/>
    <w:rsid w:val="00D23765"/>
    <w:rsid w:val="00D23823"/>
    <w:rsid w:val="00D23897"/>
    <w:rsid w:val="00D242FC"/>
    <w:rsid w:val="00D245A5"/>
    <w:rsid w:val="00D246B3"/>
    <w:rsid w:val="00D24818"/>
    <w:rsid w:val="00D24982"/>
    <w:rsid w:val="00D24A3F"/>
    <w:rsid w:val="00D24A9F"/>
    <w:rsid w:val="00D24B39"/>
    <w:rsid w:val="00D24CE8"/>
    <w:rsid w:val="00D24F0C"/>
    <w:rsid w:val="00D250D6"/>
    <w:rsid w:val="00D2515B"/>
    <w:rsid w:val="00D254F4"/>
    <w:rsid w:val="00D25525"/>
    <w:rsid w:val="00D255B2"/>
    <w:rsid w:val="00D256B4"/>
    <w:rsid w:val="00D257BE"/>
    <w:rsid w:val="00D25888"/>
    <w:rsid w:val="00D25E31"/>
    <w:rsid w:val="00D2637B"/>
    <w:rsid w:val="00D263CC"/>
    <w:rsid w:val="00D268F7"/>
    <w:rsid w:val="00D27549"/>
    <w:rsid w:val="00D27BF0"/>
    <w:rsid w:val="00D27E96"/>
    <w:rsid w:val="00D3005A"/>
    <w:rsid w:val="00D300BC"/>
    <w:rsid w:val="00D300CC"/>
    <w:rsid w:val="00D3044F"/>
    <w:rsid w:val="00D30865"/>
    <w:rsid w:val="00D30B9D"/>
    <w:rsid w:val="00D30F9A"/>
    <w:rsid w:val="00D31010"/>
    <w:rsid w:val="00D3114F"/>
    <w:rsid w:val="00D3133D"/>
    <w:rsid w:val="00D316C8"/>
    <w:rsid w:val="00D31716"/>
    <w:rsid w:val="00D31A75"/>
    <w:rsid w:val="00D31CBD"/>
    <w:rsid w:val="00D31E9B"/>
    <w:rsid w:val="00D31F1B"/>
    <w:rsid w:val="00D320D8"/>
    <w:rsid w:val="00D3216B"/>
    <w:rsid w:val="00D325D6"/>
    <w:rsid w:val="00D325F2"/>
    <w:rsid w:val="00D32A94"/>
    <w:rsid w:val="00D32ED1"/>
    <w:rsid w:val="00D332CE"/>
    <w:rsid w:val="00D3374D"/>
    <w:rsid w:val="00D33AAC"/>
    <w:rsid w:val="00D3413A"/>
    <w:rsid w:val="00D34343"/>
    <w:rsid w:val="00D3436F"/>
    <w:rsid w:val="00D349B1"/>
    <w:rsid w:val="00D34D02"/>
    <w:rsid w:val="00D34F8C"/>
    <w:rsid w:val="00D34FFD"/>
    <w:rsid w:val="00D35245"/>
    <w:rsid w:val="00D353F5"/>
    <w:rsid w:val="00D3542F"/>
    <w:rsid w:val="00D35692"/>
    <w:rsid w:val="00D35A5E"/>
    <w:rsid w:val="00D35C6A"/>
    <w:rsid w:val="00D35CF2"/>
    <w:rsid w:val="00D36313"/>
    <w:rsid w:val="00D3632A"/>
    <w:rsid w:val="00D3633E"/>
    <w:rsid w:val="00D363F7"/>
    <w:rsid w:val="00D36574"/>
    <w:rsid w:val="00D367F6"/>
    <w:rsid w:val="00D367FF"/>
    <w:rsid w:val="00D36DD9"/>
    <w:rsid w:val="00D3730D"/>
    <w:rsid w:val="00D37530"/>
    <w:rsid w:val="00D37565"/>
    <w:rsid w:val="00D3766E"/>
    <w:rsid w:val="00D377C6"/>
    <w:rsid w:val="00D37827"/>
    <w:rsid w:val="00D37D8B"/>
    <w:rsid w:val="00D37E99"/>
    <w:rsid w:val="00D4024D"/>
    <w:rsid w:val="00D40531"/>
    <w:rsid w:val="00D4062F"/>
    <w:rsid w:val="00D40AB2"/>
    <w:rsid w:val="00D40AC5"/>
    <w:rsid w:val="00D40B79"/>
    <w:rsid w:val="00D40E75"/>
    <w:rsid w:val="00D40ED3"/>
    <w:rsid w:val="00D41241"/>
    <w:rsid w:val="00D412C0"/>
    <w:rsid w:val="00D41577"/>
    <w:rsid w:val="00D41813"/>
    <w:rsid w:val="00D41839"/>
    <w:rsid w:val="00D41C1A"/>
    <w:rsid w:val="00D41E51"/>
    <w:rsid w:val="00D4202E"/>
    <w:rsid w:val="00D4291B"/>
    <w:rsid w:val="00D42B90"/>
    <w:rsid w:val="00D43589"/>
    <w:rsid w:val="00D43594"/>
    <w:rsid w:val="00D43BB6"/>
    <w:rsid w:val="00D43E77"/>
    <w:rsid w:val="00D4401C"/>
    <w:rsid w:val="00D44279"/>
    <w:rsid w:val="00D44304"/>
    <w:rsid w:val="00D4435A"/>
    <w:rsid w:val="00D4483D"/>
    <w:rsid w:val="00D448A3"/>
    <w:rsid w:val="00D44ADB"/>
    <w:rsid w:val="00D44B77"/>
    <w:rsid w:val="00D44E59"/>
    <w:rsid w:val="00D45068"/>
    <w:rsid w:val="00D4539A"/>
    <w:rsid w:val="00D453D4"/>
    <w:rsid w:val="00D457A3"/>
    <w:rsid w:val="00D46538"/>
    <w:rsid w:val="00D4671F"/>
    <w:rsid w:val="00D46738"/>
    <w:rsid w:val="00D46917"/>
    <w:rsid w:val="00D46A59"/>
    <w:rsid w:val="00D46AA0"/>
    <w:rsid w:val="00D46E14"/>
    <w:rsid w:val="00D46E40"/>
    <w:rsid w:val="00D46EE6"/>
    <w:rsid w:val="00D4712F"/>
    <w:rsid w:val="00D475EB"/>
    <w:rsid w:val="00D47A66"/>
    <w:rsid w:val="00D47E2B"/>
    <w:rsid w:val="00D501C7"/>
    <w:rsid w:val="00D501DD"/>
    <w:rsid w:val="00D503C1"/>
    <w:rsid w:val="00D50636"/>
    <w:rsid w:val="00D50658"/>
    <w:rsid w:val="00D50C69"/>
    <w:rsid w:val="00D50C6F"/>
    <w:rsid w:val="00D50D96"/>
    <w:rsid w:val="00D51131"/>
    <w:rsid w:val="00D512FE"/>
    <w:rsid w:val="00D51319"/>
    <w:rsid w:val="00D513CD"/>
    <w:rsid w:val="00D51666"/>
    <w:rsid w:val="00D516B3"/>
    <w:rsid w:val="00D51743"/>
    <w:rsid w:val="00D518CA"/>
    <w:rsid w:val="00D51956"/>
    <w:rsid w:val="00D51ACD"/>
    <w:rsid w:val="00D51ADB"/>
    <w:rsid w:val="00D51CB7"/>
    <w:rsid w:val="00D51DC0"/>
    <w:rsid w:val="00D51E4E"/>
    <w:rsid w:val="00D51EBC"/>
    <w:rsid w:val="00D51F9A"/>
    <w:rsid w:val="00D51FB3"/>
    <w:rsid w:val="00D520AD"/>
    <w:rsid w:val="00D522FC"/>
    <w:rsid w:val="00D5258E"/>
    <w:rsid w:val="00D526E4"/>
    <w:rsid w:val="00D528AF"/>
    <w:rsid w:val="00D52918"/>
    <w:rsid w:val="00D529B0"/>
    <w:rsid w:val="00D52FA9"/>
    <w:rsid w:val="00D5304A"/>
    <w:rsid w:val="00D53294"/>
    <w:rsid w:val="00D5352C"/>
    <w:rsid w:val="00D53601"/>
    <w:rsid w:val="00D53703"/>
    <w:rsid w:val="00D537F3"/>
    <w:rsid w:val="00D53AEC"/>
    <w:rsid w:val="00D53BC3"/>
    <w:rsid w:val="00D53BEB"/>
    <w:rsid w:val="00D53DF5"/>
    <w:rsid w:val="00D542EF"/>
    <w:rsid w:val="00D543FE"/>
    <w:rsid w:val="00D544A1"/>
    <w:rsid w:val="00D544BD"/>
    <w:rsid w:val="00D545B7"/>
    <w:rsid w:val="00D54652"/>
    <w:rsid w:val="00D54B69"/>
    <w:rsid w:val="00D54CC1"/>
    <w:rsid w:val="00D54D35"/>
    <w:rsid w:val="00D54F50"/>
    <w:rsid w:val="00D5559D"/>
    <w:rsid w:val="00D55664"/>
    <w:rsid w:val="00D55AED"/>
    <w:rsid w:val="00D55BEC"/>
    <w:rsid w:val="00D561F4"/>
    <w:rsid w:val="00D562E5"/>
    <w:rsid w:val="00D56399"/>
    <w:rsid w:val="00D564BF"/>
    <w:rsid w:val="00D564FF"/>
    <w:rsid w:val="00D565A5"/>
    <w:rsid w:val="00D56834"/>
    <w:rsid w:val="00D568E8"/>
    <w:rsid w:val="00D569B1"/>
    <w:rsid w:val="00D56E04"/>
    <w:rsid w:val="00D56FCD"/>
    <w:rsid w:val="00D57039"/>
    <w:rsid w:val="00D57059"/>
    <w:rsid w:val="00D5719F"/>
    <w:rsid w:val="00D5726C"/>
    <w:rsid w:val="00D57298"/>
    <w:rsid w:val="00D577E1"/>
    <w:rsid w:val="00D57B03"/>
    <w:rsid w:val="00D57B46"/>
    <w:rsid w:val="00D57C75"/>
    <w:rsid w:val="00D57FD3"/>
    <w:rsid w:val="00D601C9"/>
    <w:rsid w:val="00D602AF"/>
    <w:rsid w:val="00D604F6"/>
    <w:rsid w:val="00D6065D"/>
    <w:rsid w:val="00D606B8"/>
    <w:rsid w:val="00D6076F"/>
    <w:rsid w:val="00D607D5"/>
    <w:rsid w:val="00D6082B"/>
    <w:rsid w:val="00D6093E"/>
    <w:rsid w:val="00D60A65"/>
    <w:rsid w:val="00D60B02"/>
    <w:rsid w:val="00D60FAC"/>
    <w:rsid w:val="00D61063"/>
    <w:rsid w:val="00D61085"/>
    <w:rsid w:val="00D6158B"/>
    <w:rsid w:val="00D6165D"/>
    <w:rsid w:val="00D61B46"/>
    <w:rsid w:val="00D61CDF"/>
    <w:rsid w:val="00D61F41"/>
    <w:rsid w:val="00D61F90"/>
    <w:rsid w:val="00D62130"/>
    <w:rsid w:val="00D62199"/>
    <w:rsid w:val="00D623D8"/>
    <w:rsid w:val="00D6264B"/>
    <w:rsid w:val="00D626FE"/>
    <w:rsid w:val="00D62789"/>
    <w:rsid w:val="00D627D2"/>
    <w:rsid w:val="00D62A41"/>
    <w:rsid w:val="00D62BD5"/>
    <w:rsid w:val="00D62C94"/>
    <w:rsid w:val="00D63032"/>
    <w:rsid w:val="00D63649"/>
    <w:rsid w:val="00D63720"/>
    <w:rsid w:val="00D637F1"/>
    <w:rsid w:val="00D639A8"/>
    <w:rsid w:val="00D63BF8"/>
    <w:rsid w:val="00D63E4F"/>
    <w:rsid w:val="00D641A9"/>
    <w:rsid w:val="00D6421E"/>
    <w:rsid w:val="00D64427"/>
    <w:rsid w:val="00D646E8"/>
    <w:rsid w:val="00D64834"/>
    <w:rsid w:val="00D64A83"/>
    <w:rsid w:val="00D65092"/>
    <w:rsid w:val="00D654C8"/>
    <w:rsid w:val="00D655FC"/>
    <w:rsid w:val="00D65649"/>
    <w:rsid w:val="00D656DE"/>
    <w:rsid w:val="00D6577E"/>
    <w:rsid w:val="00D65A8D"/>
    <w:rsid w:val="00D65D46"/>
    <w:rsid w:val="00D65DF9"/>
    <w:rsid w:val="00D65FED"/>
    <w:rsid w:val="00D6616E"/>
    <w:rsid w:val="00D66244"/>
    <w:rsid w:val="00D662D8"/>
    <w:rsid w:val="00D66340"/>
    <w:rsid w:val="00D665DB"/>
    <w:rsid w:val="00D668E8"/>
    <w:rsid w:val="00D66974"/>
    <w:rsid w:val="00D669D5"/>
    <w:rsid w:val="00D66B05"/>
    <w:rsid w:val="00D66B23"/>
    <w:rsid w:val="00D66BB3"/>
    <w:rsid w:val="00D66DEB"/>
    <w:rsid w:val="00D66E99"/>
    <w:rsid w:val="00D673B1"/>
    <w:rsid w:val="00D674CE"/>
    <w:rsid w:val="00D67CDA"/>
    <w:rsid w:val="00D67DD4"/>
    <w:rsid w:val="00D67E99"/>
    <w:rsid w:val="00D67F0B"/>
    <w:rsid w:val="00D70372"/>
    <w:rsid w:val="00D70631"/>
    <w:rsid w:val="00D70890"/>
    <w:rsid w:val="00D70A24"/>
    <w:rsid w:val="00D70C64"/>
    <w:rsid w:val="00D70CD4"/>
    <w:rsid w:val="00D71040"/>
    <w:rsid w:val="00D71863"/>
    <w:rsid w:val="00D71AB3"/>
    <w:rsid w:val="00D71D65"/>
    <w:rsid w:val="00D71D99"/>
    <w:rsid w:val="00D720F2"/>
    <w:rsid w:val="00D721E2"/>
    <w:rsid w:val="00D722E5"/>
    <w:rsid w:val="00D726AA"/>
    <w:rsid w:val="00D726CC"/>
    <w:rsid w:val="00D72C68"/>
    <w:rsid w:val="00D72E0E"/>
    <w:rsid w:val="00D73335"/>
    <w:rsid w:val="00D734FC"/>
    <w:rsid w:val="00D7392D"/>
    <w:rsid w:val="00D740DC"/>
    <w:rsid w:val="00D74225"/>
    <w:rsid w:val="00D74479"/>
    <w:rsid w:val="00D744F0"/>
    <w:rsid w:val="00D7451E"/>
    <w:rsid w:val="00D74B07"/>
    <w:rsid w:val="00D74E17"/>
    <w:rsid w:val="00D74E4F"/>
    <w:rsid w:val="00D74EC5"/>
    <w:rsid w:val="00D75064"/>
    <w:rsid w:val="00D7543C"/>
    <w:rsid w:val="00D7583F"/>
    <w:rsid w:val="00D75D00"/>
    <w:rsid w:val="00D75E25"/>
    <w:rsid w:val="00D75FF2"/>
    <w:rsid w:val="00D76097"/>
    <w:rsid w:val="00D7632E"/>
    <w:rsid w:val="00D7643E"/>
    <w:rsid w:val="00D76503"/>
    <w:rsid w:val="00D7656F"/>
    <w:rsid w:val="00D76C69"/>
    <w:rsid w:val="00D76F7D"/>
    <w:rsid w:val="00D76FD4"/>
    <w:rsid w:val="00D77210"/>
    <w:rsid w:val="00D77537"/>
    <w:rsid w:val="00D77D33"/>
    <w:rsid w:val="00D77F0C"/>
    <w:rsid w:val="00D800D5"/>
    <w:rsid w:val="00D8037D"/>
    <w:rsid w:val="00D807B3"/>
    <w:rsid w:val="00D807EA"/>
    <w:rsid w:val="00D80ADB"/>
    <w:rsid w:val="00D80E95"/>
    <w:rsid w:val="00D81A0E"/>
    <w:rsid w:val="00D81AA4"/>
    <w:rsid w:val="00D81DAD"/>
    <w:rsid w:val="00D820A5"/>
    <w:rsid w:val="00D82296"/>
    <w:rsid w:val="00D8267C"/>
    <w:rsid w:val="00D8281E"/>
    <w:rsid w:val="00D82875"/>
    <w:rsid w:val="00D82C1A"/>
    <w:rsid w:val="00D82CD5"/>
    <w:rsid w:val="00D82D0F"/>
    <w:rsid w:val="00D8300A"/>
    <w:rsid w:val="00D83046"/>
    <w:rsid w:val="00D831D5"/>
    <w:rsid w:val="00D833C0"/>
    <w:rsid w:val="00D834C5"/>
    <w:rsid w:val="00D83553"/>
    <w:rsid w:val="00D83695"/>
    <w:rsid w:val="00D83706"/>
    <w:rsid w:val="00D837C8"/>
    <w:rsid w:val="00D839AD"/>
    <w:rsid w:val="00D83B2C"/>
    <w:rsid w:val="00D83B9C"/>
    <w:rsid w:val="00D83D54"/>
    <w:rsid w:val="00D843C0"/>
    <w:rsid w:val="00D84496"/>
    <w:rsid w:val="00D844D7"/>
    <w:rsid w:val="00D84733"/>
    <w:rsid w:val="00D847FF"/>
    <w:rsid w:val="00D84F71"/>
    <w:rsid w:val="00D851DB"/>
    <w:rsid w:val="00D8558D"/>
    <w:rsid w:val="00D8564A"/>
    <w:rsid w:val="00D85951"/>
    <w:rsid w:val="00D85F6F"/>
    <w:rsid w:val="00D86064"/>
    <w:rsid w:val="00D8625A"/>
    <w:rsid w:val="00D862CF"/>
    <w:rsid w:val="00D86346"/>
    <w:rsid w:val="00D8691A"/>
    <w:rsid w:val="00D86A10"/>
    <w:rsid w:val="00D86B04"/>
    <w:rsid w:val="00D8702B"/>
    <w:rsid w:val="00D87056"/>
    <w:rsid w:val="00D870E1"/>
    <w:rsid w:val="00D8721B"/>
    <w:rsid w:val="00D872FE"/>
    <w:rsid w:val="00D878C2"/>
    <w:rsid w:val="00D87C61"/>
    <w:rsid w:val="00D87CE1"/>
    <w:rsid w:val="00D900A5"/>
    <w:rsid w:val="00D905A5"/>
    <w:rsid w:val="00D9077B"/>
    <w:rsid w:val="00D90780"/>
    <w:rsid w:val="00D91093"/>
    <w:rsid w:val="00D911DD"/>
    <w:rsid w:val="00D9127F"/>
    <w:rsid w:val="00D913ED"/>
    <w:rsid w:val="00D9167A"/>
    <w:rsid w:val="00D91A0A"/>
    <w:rsid w:val="00D91ADB"/>
    <w:rsid w:val="00D92535"/>
    <w:rsid w:val="00D92826"/>
    <w:rsid w:val="00D931A6"/>
    <w:rsid w:val="00D931B0"/>
    <w:rsid w:val="00D93224"/>
    <w:rsid w:val="00D9329D"/>
    <w:rsid w:val="00D93448"/>
    <w:rsid w:val="00D9344B"/>
    <w:rsid w:val="00D935E4"/>
    <w:rsid w:val="00D9366C"/>
    <w:rsid w:val="00D9380F"/>
    <w:rsid w:val="00D93CBB"/>
    <w:rsid w:val="00D93F11"/>
    <w:rsid w:val="00D940A5"/>
    <w:rsid w:val="00D94180"/>
    <w:rsid w:val="00D941BB"/>
    <w:rsid w:val="00D941F2"/>
    <w:rsid w:val="00D94340"/>
    <w:rsid w:val="00D943AA"/>
    <w:rsid w:val="00D94456"/>
    <w:rsid w:val="00D945BF"/>
    <w:rsid w:val="00D94888"/>
    <w:rsid w:val="00D948A1"/>
    <w:rsid w:val="00D94918"/>
    <w:rsid w:val="00D94A72"/>
    <w:rsid w:val="00D94BBB"/>
    <w:rsid w:val="00D94EAB"/>
    <w:rsid w:val="00D95172"/>
    <w:rsid w:val="00D951AB"/>
    <w:rsid w:val="00D95240"/>
    <w:rsid w:val="00D9530C"/>
    <w:rsid w:val="00D958E3"/>
    <w:rsid w:val="00D95A70"/>
    <w:rsid w:val="00D95DD6"/>
    <w:rsid w:val="00D95ECD"/>
    <w:rsid w:val="00D96110"/>
    <w:rsid w:val="00D96234"/>
    <w:rsid w:val="00D96576"/>
    <w:rsid w:val="00D965DA"/>
    <w:rsid w:val="00D96735"/>
    <w:rsid w:val="00D96833"/>
    <w:rsid w:val="00D9684D"/>
    <w:rsid w:val="00D96A41"/>
    <w:rsid w:val="00D96A5C"/>
    <w:rsid w:val="00D96AEF"/>
    <w:rsid w:val="00D96D02"/>
    <w:rsid w:val="00D96DB6"/>
    <w:rsid w:val="00D97112"/>
    <w:rsid w:val="00D97131"/>
    <w:rsid w:val="00D97407"/>
    <w:rsid w:val="00D979C4"/>
    <w:rsid w:val="00D97B21"/>
    <w:rsid w:val="00D97C60"/>
    <w:rsid w:val="00DA07F1"/>
    <w:rsid w:val="00DA0B11"/>
    <w:rsid w:val="00DA0B4D"/>
    <w:rsid w:val="00DA0C0E"/>
    <w:rsid w:val="00DA0C0F"/>
    <w:rsid w:val="00DA0EB4"/>
    <w:rsid w:val="00DA1418"/>
    <w:rsid w:val="00DA1509"/>
    <w:rsid w:val="00DA154C"/>
    <w:rsid w:val="00DA15C8"/>
    <w:rsid w:val="00DA17F1"/>
    <w:rsid w:val="00DA1869"/>
    <w:rsid w:val="00DA1B03"/>
    <w:rsid w:val="00DA1DFC"/>
    <w:rsid w:val="00DA1E50"/>
    <w:rsid w:val="00DA1F98"/>
    <w:rsid w:val="00DA20F4"/>
    <w:rsid w:val="00DA231E"/>
    <w:rsid w:val="00DA2966"/>
    <w:rsid w:val="00DA2B66"/>
    <w:rsid w:val="00DA2D2D"/>
    <w:rsid w:val="00DA2F17"/>
    <w:rsid w:val="00DA2F64"/>
    <w:rsid w:val="00DA314F"/>
    <w:rsid w:val="00DA3227"/>
    <w:rsid w:val="00DA330F"/>
    <w:rsid w:val="00DA34B3"/>
    <w:rsid w:val="00DA34D8"/>
    <w:rsid w:val="00DA3551"/>
    <w:rsid w:val="00DA363D"/>
    <w:rsid w:val="00DA36C8"/>
    <w:rsid w:val="00DA3B08"/>
    <w:rsid w:val="00DA3B46"/>
    <w:rsid w:val="00DA4092"/>
    <w:rsid w:val="00DA40E5"/>
    <w:rsid w:val="00DA4191"/>
    <w:rsid w:val="00DA4237"/>
    <w:rsid w:val="00DA448A"/>
    <w:rsid w:val="00DA4596"/>
    <w:rsid w:val="00DA45F2"/>
    <w:rsid w:val="00DA4653"/>
    <w:rsid w:val="00DA4655"/>
    <w:rsid w:val="00DA47B6"/>
    <w:rsid w:val="00DA47BB"/>
    <w:rsid w:val="00DA4935"/>
    <w:rsid w:val="00DA4C40"/>
    <w:rsid w:val="00DA4C57"/>
    <w:rsid w:val="00DA50CF"/>
    <w:rsid w:val="00DA53EE"/>
    <w:rsid w:val="00DA57EF"/>
    <w:rsid w:val="00DA5A15"/>
    <w:rsid w:val="00DA5D94"/>
    <w:rsid w:val="00DA61BF"/>
    <w:rsid w:val="00DA61DF"/>
    <w:rsid w:val="00DA6201"/>
    <w:rsid w:val="00DA63D8"/>
    <w:rsid w:val="00DA6410"/>
    <w:rsid w:val="00DA6459"/>
    <w:rsid w:val="00DA676B"/>
    <w:rsid w:val="00DA67A2"/>
    <w:rsid w:val="00DA6A82"/>
    <w:rsid w:val="00DA6ACD"/>
    <w:rsid w:val="00DA6B41"/>
    <w:rsid w:val="00DA710B"/>
    <w:rsid w:val="00DA7148"/>
    <w:rsid w:val="00DA7402"/>
    <w:rsid w:val="00DA7729"/>
    <w:rsid w:val="00DA791D"/>
    <w:rsid w:val="00DA7CA3"/>
    <w:rsid w:val="00DB0334"/>
    <w:rsid w:val="00DB0397"/>
    <w:rsid w:val="00DB05B7"/>
    <w:rsid w:val="00DB06EB"/>
    <w:rsid w:val="00DB08E0"/>
    <w:rsid w:val="00DB09D9"/>
    <w:rsid w:val="00DB0BCC"/>
    <w:rsid w:val="00DB0C01"/>
    <w:rsid w:val="00DB0FE8"/>
    <w:rsid w:val="00DB1205"/>
    <w:rsid w:val="00DB127E"/>
    <w:rsid w:val="00DB128B"/>
    <w:rsid w:val="00DB12A0"/>
    <w:rsid w:val="00DB13D6"/>
    <w:rsid w:val="00DB1532"/>
    <w:rsid w:val="00DB1586"/>
    <w:rsid w:val="00DB164E"/>
    <w:rsid w:val="00DB1657"/>
    <w:rsid w:val="00DB1DF6"/>
    <w:rsid w:val="00DB1FCE"/>
    <w:rsid w:val="00DB210B"/>
    <w:rsid w:val="00DB2792"/>
    <w:rsid w:val="00DB27E0"/>
    <w:rsid w:val="00DB2810"/>
    <w:rsid w:val="00DB2AEB"/>
    <w:rsid w:val="00DB2BB4"/>
    <w:rsid w:val="00DB2E1F"/>
    <w:rsid w:val="00DB2EBE"/>
    <w:rsid w:val="00DB2F9A"/>
    <w:rsid w:val="00DB2FCF"/>
    <w:rsid w:val="00DB2FE5"/>
    <w:rsid w:val="00DB3123"/>
    <w:rsid w:val="00DB3314"/>
    <w:rsid w:val="00DB3A4D"/>
    <w:rsid w:val="00DB3B05"/>
    <w:rsid w:val="00DB3B19"/>
    <w:rsid w:val="00DB3EF7"/>
    <w:rsid w:val="00DB3F01"/>
    <w:rsid w:val="00DB3F96"/>
    <w:rsid w:val="00DB3FAC"/>
    <w:rsid w:val="00DB3FD0"/>
    <w:rsid w:val="00DB4002"/>
    <w:rsid w:val="00DB422C"/>
    <w:rsid w:val="00DB4436"/>
    <w:rsid w:val="00DB4637"/>
    <w:rsid w:val="00DB470F"/>
    <w:rsid w:val="00DB4742"/>
    <w:rsid w:val="00DB4B37"/>
    <w:rsid w:val="00DB4C43"/>
    <w:rsid w:val="00DB4EF5"/>
    <w:rsid w:val="00DB5361"/>
    <w:rsid w:val="00DB5445"/>
    <w:rsid w:val="00DB552C"/>
    <w:rsid w:val="00DB5702"/>
    <w:rsid w:val="00DB5752"/>
    <w:rsid w:val="00DB5981"/>
    <w:rsid w:val="00DB6236"/>
    <w:rsid w:val="00DB62E5"/>
    <w:rsid w:val="00DB6361"/>
    <w:rsid w:val="00DB676F"/>
    <w:rsid w:val="00DB6948"/>
    <w:rsid w:val="00DB6C56"/>
    <w:rsid w:val="00DB6CF6"/>
    <w:rsid w:val="00DB6D1E"/>
    <w:rsid w:val="00DB6DF8"/>
    <w:rsid w:val="00DB6EBE"/>
    <w:rsid w:val="00DB77E8"/>
    <w:rsid w:val="00DB78C3"/>
    <w:rsid w:val="00DB7931"/>
    <w:rsid w:val="00DB79D0"/>
    <w:rsid w:val="00DB7A61"/>
    <w:rsid w:val="00DB7C5D"/>
    <w:rsid w:val="00DB7C7F"/>
    <w:rsid w:val="00DC01B8"/>
    <w:rsid w:val="00DC0225"/>
    <w:rsid w:val="00DC03A8"/>
    <w:rsid w:val="00DC066F"/>
    <w:rsid w:val="00DC08F6"/>
    <w:rsid w:val="00DC09DB"/>
    <w:rsid w:val="00DC0A74"/>
    <w:rsid w:val="00DC0B11"/>
    <w:rsid w:val="00DC0E4D"/>
    <w:rsid w:val="00DC0F91"/>
    <w:rsid w:val="00DC112B"/>
    <w:rsid w:val="00DC1398"/>
    <w:rsid w:val="00DC17F4"/>
    <w:rsid w:val="00DC19B6"/>
    <w:rsid w:val="00DC1BD8"/>
    <w:rsid w:val="00DC26D3"/>
    <w:rsid w:val="00DC2962"/>
    <w:rsid w:val="00DC2988"/>
    <w:rsid w:val="00DC2BBF"/>
    <w:rsid w:val="00DC2D69"/>
    <w:rsid w:val="00DC3034"/>
    <w:rsid w:val="00DC3038"/>
    <w:rsid w:val="00DC311E"/>
    <w:rsid w:val="00DC315C"/>
    <w:rsid w:val="00DC39BA"/>
    <w:rsid w:val="00DC39D3"/>
    <w:rsid w:val="00DC3A2F"/>
    <w:rsid w:val="00DC3D1C"/>
    <w:rsid w:val="00DC3DBC"/>
    <w:rsid w:val="00DC3DE2"/>
    <w:rsid w:val="00DC3E69"/>
    <w:rsid w:val="00DC41A4"/>
    <w:rsid w:val="00DC41EC"/>
    <w:rsid w:val="00DC4322"/>
    <w:rsid w:val="00DC4581"/>
    <w:rsid w:val="00DC45AB"/>
    <w:rsid w:val="00DC45F3"/>
    <w:rsid w:val="00DC4936"/>
    <w:rsid w:val="00DC4B85"/>
    <w:rsid w:val="00DC4D1C"/>
    <w:rsid w:val="00DC4DCE"/>
    <w:rsid w:val="00DC4EB2"/>
    <w:rsid w:val="00DC51BA"/>
    <w:rsid w:val="00DC576C"/>
    <w:rsid w:val="00DC58E1"/>
    <w:rsid w:val="00DC6069"/>
    <w:rsid w:val="00DC610C"/>
    <w:rsid w:val="00DC636A"/>
    <w:rsid w:val="00DC6388"/>
    <w:rsid w:val="00DC6746"/>
    <w:rsid w:val="00DC68A2"/>
    <w:rsid w:val="00DC6A81"/>
    <w:rsid w:val="00DC6CC9"/>
    <w:rsid w:val="00DC6F83"/>
    <w:rsid w:val="00DC7020"/>
    <w:rsid w:val="00DC713B"/>
    <w:rsid w:val="00DC754A"/>
    <w:rsid w:val="00DC7625"/>
    <w:rsid w:val="00DC7879"/>
    <w:rsid w:val="00DC79B2"/>
    <w:rsid w:val="00DC79BF"/>
    <w:rsid w:val="00DC7B66"/>
    <w:rsid w:val="00DC7E58"/>
    <w:rsid w:val="00DD0049"/>
    <w:rsid w:val="00DD025F"/>
    <w:rsid w:val="00DD0308"/>
    <w:rsid w:val="00DD0489"/>
    <w:rsid w:val="00DD0805"/>
    <w:rsid w:val="00DD08BD"/>
    <w:rsid w:val="00DD11F6"/>
    <w:rsid w:val="00DD14C3"/>
    <w:rsid w:val="00DD15FA"/>
    <w:rsid w:val="00DD1732"/>
    <w:rsid w:val="00DD1D42"/>
    <w:rsid w:val="00DD1E27"/>
    <w:rsid w:val="00DD1E87"/>
    <w:rsid w:val="00DD1EFC"/>
    <w:rsid w:val="00DD2052"/>
    <w:rsid w:val="00DD208F"/>
    <w:rsid w:val="00DD2097"/>
    <w:rsid w:val="00DD2108"/>
    <w:rsid w:val="00DD2640"/>
    <w:rsid w:val="00DD2A78"/>
    <w:rsid w:val="00DD2BB5"/>
    <w:rsid w:val="00DD2D22"/>
    <w:rsid w:val="00DD2DAB"/>
    <w:rsid w:val="00DD315D"/>
    <w:rsid w:val="00DD34B4"/>
    <w:rsid w:val="00DD34B6"/>
    <w:rsid w:val="00DD3676"/>
    <w:rsid w:val="00DD3AF0"/>
    <w:rsid w:val="00DD3C59"/>
    <w:rsid w:val="00DD3F2E"/>
    <w:rsid w:val="00DD4304"/>
    <w:rsid w:val="00DD4AE2"/>
    <w:rsid w:val="00DD4CD7"/>
    <w:rsid w:val="00DD5007"/>
    <w:rsid w:val="00DD52EF"/>
    <w:rsid w:val="00DD554F"/>
    <w:rsid w:val="00DD5705"/>
    <w:rsid w:val="00DD599A"/>
    <w:rsid w:val="00DD5A39"/>
    <w:rsid w:val="00DD5B28"/>
    <w:rsid w:val="00DD5C15"/>
    <w:rsid w:val="00DD5C45"/>
    <w:rsid w:val="00DD5F22"/>
    <w:rsid w:val="00DD6080"/>
    <w:rsid w:val="00DD6203"/>
    <w:rsid w:val="00DD634E"/>
    <w:rsid w:val="00DD64DA"/>
    <w:rsid w:val="00DD6553"/>
    <w:rsid w:val="00DD6683"/>
    <w:rsid w:val="00DD6725"/>
    <w:rsid w:val="00DD686A"/>
    <w:rsid w:val="00DD6A34"/>
    <w:rsid w:val="00DD6DE3"/>
    <w:rsid w:val="00DD6E85"/>
    <w:rsid w:val="00DD7103"/>
    <w:rsid w:val="00DD72A9"/>
    <w:rsid w:val="00DD7401"/>
    <w:rsid w:val="00DD744B"/>
    <w:rsid w:val="00DD75EA"/>
    <w:rsid w:val="00DD76BE"/>
    <w:rsid w:val="00DD7923"/>
    <w:rsid w:val="00DD79AF"/>
    <w:rsid w:val="00DD79BD"/>
    <w:rsid w:val="00DD79F9"/>
    <w:rsid w:val="00DD7B9F"/>
    <w:rsid w:val="00DE011A"/>
    <w:rsid w:val="00DE02AA"/>
    <w:rsid w:val="00DE0375"/>
    <w:rsid w:val="00DE058E"/>
    <w:rsid w:val="00DE06CD"/>
    <w:rsid w:val="00DE0ABC"/>
    <w:rsid w:val="00DE0AF5"/>
    <w:rsid w:val="00DE0C2C"/>
    <w:rsid w:val="00DE1009"/>
    <w:rsid w:val="00DE12D6"/>
    <w:rsid w:val="00DE1915"/>
    <w:rsid w:val="00DE1917"/>
    <w:rsid w:val="00DE1E0A"/>
    <w:rsid w:val="00DE1E90"/>
    <w:rsid w:val="00DE2077"/>
    <w:rsid w:val="00DE211A"/>
    <w:rsid w:val="00DE22F1"/>
    <w:rsid w:val="00DE25B9"/>
    <w:rsid w:val="00DE2B3F"/>
    <w:rsid w:val="00DE2F0C"/>
    <w:rsid w:val="00DE2F50"/>
    <w:rsid w:val="00DE3499"/>
    <w:rsid w:val="00DE37A3"/>
    <w:rsid w:val="00DE3946"/>
    <w:rsid w:val="00DE3CE1"/>
    <w:rsid w:val="00DE3FF7"/>
    <w:rsid w:val="00DE4283"/>
    <w:rsid w:val="00DE44E2"/>
    <w:rsid w:val="00DE4861"/>
    <w:rsid w:val="00DE4949"/>
    <w:rsid w:val="00DE49FE"/>
    <w:rsid w:val="00DE4B7B"/>
    <w:rsid w:val="00DE4C28"/>
    <w:rsid w:val="00DE4F41"/>
    <w:rsid w:val="00DE50DA"/>
    <w:rsid w:val="00DE5441"/>
    <w:rsid w:val="00DE556A"/>
    <w:rsid w:val="00DE55E9"/>
    <w:rsid w:val="00DE56EB"/>
    <w:rsid w:val="00DE5802"/>
    <w:rsid w:val="00DE5821"/>
    <w:rsid w:val="00DE5835"/>
    <w:rsid w:val="00DE5A2A"/>
    <w:rsid w:val="00DE5B3E"/>
    <w:rsid w:val="00DE5FB5"/>
    <w:rsid w:val="00DE6047"/>
    <w:rsid w:val="00DE6100"/>
    <w:rsid w:val="00DE625C"/>
    <w:rsid w:val="00DE64D7"/>
    <w:rsid w:val="00DE6BAC"/>
    <w:rsid w:val="00DE6D15"/>
    <w:rsid w:val="00DE6DAF"/>
    <w:rsid w:val="00DE7021"/>
    <w:rsid w:val="00DE72E0"/>
    <w:rsid w:val="00DE76BF"/>
    <w:rsid w:val="00DE7A37"/>
    <w:rsid w:val="00DE7EAB"/>
    <w:rsid w:val="00DE7F35"/>
    <w:rsid w:val="00DF03B6"/>
    <w:rsid w:val="00DF0740"/>
    <w:rsid w:val="00DF08BA"/>
    <w:rsid w:val="00DF09D7"/>
    <w:rsid w:val="00DF0B81"/>
    <w:rsid w:val="00DF0F04"/>
    <w:rsid w:val="00DF12AE"/>
    <w:rsid w:val="00DF17E1"/>
    <w:rsid w:val="00DF1B4E"/>
    <w:rsid w:val="00DF1D7C"/>
    <w:rsid w:val="00DF1DD3"/>
    <w:rsid w:val="00DF1E18"/>
    <w:rsid w:val="00DF1E3E"/>
    <w:rsid w:val="00DF2149"/>
    <w:rsid w:val="00DF2220"/>
    <w:rsid w:val="00DF23D1"/>
    <w:rsid w:val="00DF23EB"/>
    <w:rsid w:val="00DF24AB"/>
    <w:rsid w:val="00DF2643"/>
    <w:rsid w:val="00DF27E6"/>
    <w:rsid w:val="00DF2805"/>
    <w:rsid w:val="00DF288C"/>
    <w:rsid w:val="00DF2AF5"/>
    <w:rsid w:val="00DF31E3"/>
    <w:rsid w:val="00DF3393"/>
    <w:rsid w:val="00DF3719"/>
    <w:rsid w:val="00DF3E05"/>
    <w:rsid w:val="00DF3E65"/>
    <w:rsid w:val="00DF3EE1"/>
    <w:rsid w:val="00DF40C5"/>
    <w:rsid w:val="00DF42E7"/>
    <w:rsid w:val="00DF498A"/>
    <w:rsid w:val="00DF4B82"/>
    <w:rsid w:val="00DF4B98"/>
    <w:rsid w:val="00DF4D97"/>
    <w:rsid w:val="00DF4DA3"/>
    <w:rsid w:val="00DF4DF6"/>
    <w:rsid w:val="00DF4E26"/>
    <w:rsid w:val="00DF4FA9"/>
    <w:rsid w:val="00DF5052"/>
    <w:rsid w:val="00DF5160"/>
    <w:rsid w:val="00DF52F8"/>
    <w:rsid w:val="00DF545A"/>
    <w:rsid w:val="00DF57D1"/>
    <w:rsid w:val="00DF595B"/>
    <w:rsid w:val="00DF5A7B"/>
    <w:rsid w:val="00DF5CA2"/>
    <w:rsid w:val="00DF5CE6"/>
    <w:rsid w:val="00DF5D39"/>
    <w:rsid w:val="00DF601B"/>
    <w:rsid w:val="00DF604B"/>
    <w:rsid w:val="00DF63BE"/>
    <w:rsid w:val="00DF67C7"/>
    <w:rsid w:val="00DF6865"/>
    <w:rsid w:val="00DF6A2B"/>
    <w:rsid w:val="00DF6DFA"/>
    <w:rsid w:val="00DF72E5"/>
    <w:rsid w:val="00DF7403"/>
    <w:rsid w:val="00DF76AE"/>
    <w:rsid w:val="00DF76F3"/>
    <w:rsid w:val="00DF7887"/>
    <w:rsid w:val="00DF79E9"/>
    <w:rsid w:val="00DF7A50"/>
    <w:rsid w:val="00DF7A77"/>
    <w:rsid w:val="00DF7AE4"/>
    <w:rsid w:val="00DF7CF3"/>
    <w:rsid w:val="00DF7E3D"/>
    <w:rsid w:val="00DF7ECE"/>
    <w:rsid w:val="00E00163"/>
    <w:rsid w:val="00E0040A"/>
    <w:rsid w:val="00E0123F"/>
    <w:rsid w:val="00E0140E"/>
    <w:rsid w:val="00E01454"/>
    <w:rsid w:val="00E016BA"/>
    <w:rsid w:val="00E0176F"/>
    <w:rsid w:val="00E018DA"/>
    <w:rsid w:val="00E01908"/>
    <w:rsid w:val="00E0197D"/>
    <w:rsid w:val="00E01A34"/>
    <w:rsid w:val="00E01A37"/>
    <w:rsid w:val="00E01C9E"/>
    <w:rsid w:val="00E01F6A"/>
    <w:rsid w:val="00E0215A"/>
    <w:rsid w:val="00E02764"/>
    <w:rsid w:val="00E0294C"/>
    <w:rsid w:val="00E02AA4"/>
    <w:rsid w:val="00E02F48"/>
    <w:rsid w:val="00E03074"/>
    <w:rsid w:val="00E033F6"/>
    <w:rsid w:val="00E035DF"/>
    <w:rsid w:val="00E035F7"/>
    <w:rsid w:val="00E0388A"/>
    <w:rsid w:val="00E039CC"/>
    <w:rsid w:val="00E03C3C"/>
    <w:rsid w:val="00E03DF3"/>
    <w:rsid w:val="00E03FB9"/>
    <w:rsid w:val="00E04134"/>
    <w:rsid w:val="00E042CA"/>
    <w:rsid w:val="00E0433B"/>
    <w:rsid w:val="00E04C7E"/>
    <w:rsid w:val="00E0505A"/>
    <w:rsid w:val="00E050D1"/>
    <w:rsid w:val="00E05240"/>
    <w:rsid w:val="00E05466"/>
    <w:rsid w:val="00E054AE"/>
    <w:rsid w:val="00E0585A"/>
    <w:rsid w:val="00E0597B"/>
    <w:rsid w:val="00E0599D"/>
    <w:rsid w:val="00E059C0"/>
    <w:rsid w:val="00E05AD8"/>
    <w:rsid w:val="00E05EB0"/>
    <w:rsid w:val="00E06135"/>
    <w:rsid w:val="00E061EC"/>
    <w:rsid w:val="00E06727"/>
    <w:rsid w:val="00E0686E"/>
    <w:rsid w:val="00E0688D"/>
    <w:rsid w:val="00E06946"/>
    <w:rsid w:val="00E06A84"/>
    <w:rsid w:val="00E06AAB"/>
    <w:rsid w:val="00E06E20"/>
    <w:rsid w:val="00E070E1"/>
    <w:rsid w:val="00E0714C"/>
    <w:rsid w:val="00E07198"/>
    <w:rsid w:val="00E0722E"/>
    <w:rsid w:val="00E0724C"/>
    <w:rsid w:val="00E0743C"/>
    <w:rsid w:val="00E07514"/>
    <w:rsid w:val="00E075C3"/>
    <w:rsid w:val="00E075F8"/>
    <w:rsid w:val="00E077C9"/>
    <w:rsid w:val="00E07EE3"/>
    <w:rsid w:val="00E1010F"/>
    <w:rsid w:val="00E10194"/>
    <w:rsid w:val="00E101F0"/>
    <w:rsid w:val="00E10329"/>
    <w:rsid w:val="00E10A61"/>
    <w:rsid w:val="00E10C3B"/>
    <w:rsid w:val="00E10D1F"/>
    <w:rsid w:val="00E11170"/>
    <w:rsid w:val="00E11381"/>
    <w:rsid w:val="00E114E2"/>
    <w:rsid w:val="00E1180A"/>
    <w:rsid w:val="00E11987"/>
    <w:rsid w:val="00E119B6"/>
    <w:rsid w:val="00E11A8C"/>
    <w:rsid w:val="00E11B5B"/>
    <w:rsid w:val="00E11BAB"/>
    <w:rsid w:val="00E11E73"/>
    <w:rsid w:val="00E126AD"/>
    <w:rsid w:val="00E12801"/>
    <w:rsid w:val="00E12818"/>
    <w:rsid w:val="00E12CEC"/>
    <w:rsid w:val="00E12D42"/>
    <w:rsid w:val="00E12DCA"/>
    <w:rsid w:val="00E13086"/>
    <w:rsid w:val="00E13170"/>
    <w:rsid w:val="00E133E2"/>
    <w:rsid w:val="00E1354B"/>
    <w:rsid w:val="00E137EC"/>
    <w:rsid w:val="00E141AE"/>
    <w:rsid w:val="00E14358"/>
    <w:rsid w:val="00E14481"/>
    <w:rsid w:val="00E14849"/>
    <w:rsid w:val="00E14936"/>
    <w:rsid w:val="00E149E7"/>
    <w:rsid w:val="00E14B11"/>
    <w:rsid w:val="00E1529B"/>
    <w:rsid w:val="00E152DA"/>
    <w:rsid w:val="00E155E0"/>
    <w:rsid w:val="00E15885"/>
    <w:rsid w:val="00E159CF"/>
    <w:rsid w:val="00E15AE6"/>
    <w:rsid w:val="00E15B2D"/>
    <w:rsid w:val="00E15FF0"/>
    <w:rsid w:val="00E1603B"/>
    <w:rsid w:val="00E160DF"/>
    <w:rsid w:val="00E160E8"/>
    <w:rsid w:val="00E16111"/>
    <w:rsid w:val="00E163C2"/>
    <w:rsid w:val="00E1653A"/>
    <w:rsid w:val="00E165D3"/>
    <w:rsid w:val="00E168A0"/>
    <w:rsid w:val="00E168B5"/>
    <w:rsid w:val="00E16C8B"/>
    <w:rsid w:val="00E173BF"/>
    <w:rsid w:val="00E174AE"/>
    <w:rsid w:val="00E17683"/>
    <w:rsid w:val="00E177CE"/>
    <w:rsid w:val="00E17901"/>
    <w:rsid w:val="00E17D50"/>
    <w:rsid w:val="00E17FB6"/>
    <w:rsid w:val="00E200DD"/>
    <w:rsid w:val="00E203EB"/>
    <w:rsid w:val="00E20581"/>
    <w:rsid w:val="00E20618"/>
    <w:rsid w:val="00E20BC1"/>
    <w:rsid w:val="00E20CD6"/>
    <w:rsid w:val="00E21004"/>
    <w:rsid w:val="00E211CD"/>
    <w:rsid w:val="00E211D0"/>
    <w:rsid w:val="00E2120F"/>
    <w:rsid w:val="00E2147C"/>
    <w:rsid w:val="00E21A55"/>
    <w:rsid w:val="00E21C0D"/>
    <w:rsid w:val="00E21F06"/>
    <w:rsid w:val="00E22393"/>
    <w:rsid w:val="00E224F0"/>
    <w:rsid w:val="00E2288D"/>
    <w:rsid w:val="00E22951"/>
    <w:rsid w:val="00E229D1"/>
    <w:rsid w:val="00E22A12"/>
    <w:rsid w:val="00E22B50"/>
    <w:rsid w:val="00E22F64"/>
    <w:rsid w:val="00E22F91"/>
    <w:rsid w:val="00E2306D"/>
    <w:rsid w:val="00E231D3"/>
    <w:rsid w:val="00E235CC"/>
    <w:rsid w:val="00E2365C"/>
    <w:rsid w:val="00E238B6"/>
    <w:rsid w:val="00E23ADC"/>
    <w:rsid w:val="00E23B8B"/>
    <w:rsid w:val="00E240C4"/>
    <w:rsid w:val="00E244E0"/>
    <w:rsid w:val="00E247A0"/>
    <w:rsid w:val="00E24A16"/>
    <w:rsid w:val="00E24A7D"/>
    <w:rsid w:val="00E24A8B"/>
    <w:rsid w:val="00E24B5B"/>
    <w:rsid w:val="00E24DAE"/>
    <w:rsid w:val="00E24F58"/>
    <w:rsid w:val="00E24FC5"/>
    <w:rsid w:val="00E2503B"/>
    <w:rsid w:val="00E25217"/>
    <w:rsid w:val="00E252A8"/>
    <w:rsid w:val="00E25896"/>
    <w:rsid w:val="00E2592A"/>
    <w:rsid w:val="00E25F02"/>
    <w:rsid w:val="00E260EE"/>
    <w:rsid w:val="00E2615C"/>
    <w:rsid w:val="00E264D0"/>
    <w:rsid w:val="00E266F4"/>
    <w:rsid w:val="00E26A1C"/>
    <w:rsid w:val="00E26B8E"/>
    <w:rsid w:val="00E26C36"/>
    <w:rsid w:val="00E26D4B"/>
    <w:rsid w:val="00E26F25"/>
    <w:rsid w:val="00E27123"/>
    <w:rsid w:val="00E27638"/>
    <w:rsid w:val="00E277F3"/>
    <w:rsid w:val="00E27BC8"/>
    <w:rsid w:val="00E27BD4"/>
    <w:rsid w:val="00E27CB6"/>
    <w:rsid w:val="00E27CE7"/>
    <w:rsid w:val="00E27D87"/>
    <w:rsid w:val="00E27EDA"/>
    <w:rsid w:val="00E30341"/>
    <w:rsid w:val="00E30346"/>
    <w:rsid w:val="00E304F6"/>
    <w:rsid w:val="00E30627"/>
    <w:rsid w:val="00E3068C"/>
    <w:rsid w:val="00E30A79"/>
    <w:rsid w:val="00E30C6C"/>
    <w:rsid w:val="00E30D6D"/>
    <w:rsid w:val="00E31103"/>
    <w:rsid w:val="00E31219"/>
    <w:rsid w:val="00E313D2"/>
    <w:rsid w:val="00E31719"/>
    <w:rsid w:val="00E31944"/>
    <w:rsid w:val="00E3194D"/>
    <w:rsid w:val="00E319E3"/>
    <w:rsid w:val="00E31A3B"/>
    <w:rsid w:val="00E31AA9"/>
    <w:rsid w:val="00E31CC9"/>
    <w:rsid w:val="00E31DF8"/>
    <w:rsid w:val="00E31E3D"/>
    <w:rsid w:val="00E32074"/>
    <w:rsid w:val="00E32105"/>
    <w:rsid w:val="00E32314"/>
    <w:rsid w:val="00E324BF"/>
    <w:rsid w:val="00E3253D"/>
    <w:rsid w:val="00E3254B"/>
    <w:rsid w:val="00E32996"/>
    <w:rsid w:val="00E32AAD"/>
    <w:rsid w:val="00E32AD4"/>
    <w:rsid w:val="00E32E78"/>
    <w:rsid w:val="00E336B9"/>
    <w:rsid w:val="00E33784"/>
    <w:rsid w:val="00E33977"/>
    <w:rsid w:val="00E33A2B"/>
    <w:rsid w:val="00E33AD0"/>
    <w:rsid w:val="00E33CEA"/>
    <w:rsid w:val="00E34267"/>
    <w:rsid w:val="00E34380"/>
    <w:rsid w:val="00E34450"/>
    <w:rsid w:val="00E345FC"/>
    <w:rsid w:val="00E346A9"/>
    <w:rsid w:val="00E347DE"/>
    <w:rsid w:val="00E34907"/>
    <w:rsid w:val="00E3495D"/>
    <w:rsid w:val="00E349EE"/>
    <w:rsid w:val="00E34B05"/>
    <w:rsid w:val="00E35001"/>
    <w:rsid w:val="00E35063"/>
    <w:rsid w:val="00E353AE"/>
    <w:rsid w:val="00E3542B"/>
    <w:rsid w:val="00E3547A"/>
    <w:rsid w:val="00E35634"/>
    <w:rsid w:val="00E35703"/>
    <w:rsid w:val="00E35789"/>
    <w:rsid w:val="00E3579D"/>
    <w:rsid w:val="00E359D0"/>
    <w:rsid w:val="00E35BCD"/>
    <w:rsid w:val="00E363AE"/>
    <w:rsid w:val="00E36A58"/>
    <w:rsid w:val="00E36EC0"/>
    <w:rsid w:val="00E371E4"/>
    <w:rsid w:val="00E3733A"/>
    <w:rsid w:val="00E37400"/>
    <w:rsid w:val="00E37623"/>
    <w:rsid w:val="00E37917"/>
    <w:rsid w:val="00E37D4E"/>
    <w:rsid w:val="00E37F55"/>
    <w:rsid w:val="00E37FCC"/>
    <w:rsid w:val="00E37FD0"/>
    <w:rsid w:val="00E403B8"/>
    <w:rsid w:val="00E4055B"/>
    <w:rsid w:val="00E40630"/>
    <w:rsid w:val="00E407D1"/>
    <w:rsid w:val="00E407EA"/>
    <w:rsid w:val="00E40ABA"/>
    <w:rsid w:val="00E40CB5"/>
    <w:rsid w:val="00E40DBA"/>
    <w:rsid w:val="00E40EEF"/>
    <w:rsid w:val="00E40FD4"/>
    <w:rsid w:val="00E4102D"/>
    <w:rsid w:val="00E4105F"/>
    <w:rsid w:val="00E41644"/>
    <w:rsid w:val="00E41806"/>
    <w:rsid w:val="00E41858"/>
    <w:rsid w:val="00E4199B"/>
    <w:rsid w:val="00E41A50"/>
    <w:rsid w:val="00E41AF8"/>
    <w:rsid w:val="00E41CA6"/>
    <w:rsid w:val="00E41E30"/>
    <w:rsid w:val="00E420A6"/>
    <w:rsid w:val="00E421BA"/>
    <w:rsid w:val="00E421D3"/>
    <w:rsid w:val="00E421E6"/>
    <w:rsid w:val="00E422D9"/>
    <w:rsid w:val="00E4230B"/>
    <w:rsid w:val="00E424E6"/>
    <w:rsid w:val="00E426D8"/>
    <w:rsid w:val="00E42823"/>
    <w:rsid w:val="00E42836"/>
    <w:rsid w:val="00E429EF"/>
    <w:rsid w:val="00E42E39"/>
    <w:rsid w:val="00E42F65"/>
    <w:rsid w:val="00E43002"/>
    <w:rsid w:val="00E4336D"/>
    <w:rsid w:val="00E43446"/>
    <w:rsid w:val="00E434BA"/>
    <w:rsid w:val="00E43795"/>
    <w:rsid w:val="00E43815"/>
    <w:rsid w:val="00E438E2"/>
    <w:rsid w:val="00E43AD9"/>
    <w:rsid w:val="00E43C8E"/>
    <w:rsid w:val="00E43D01"/>
    <w:rsid w:val="00E43F2C"/>
    <w:rsid w:val="00E43FE2"/>
    <w:rsid w:val="00E4405A"/>
    <w:rsid w:val="00E443ED"/>
    <w:rsid w:val="00E445DD"/>
    <w:rsid w:val="00E445EA"/>
    <w:rsid w:val="00E4466D"/>
    <w:rsid w:val="00E446EE"/>
    <w:rsid w:val="00E44895"/>
    <w:rsid w:val="00E44A4D"/>
    <w:rsid w:val="00E44B6F"/>
    <w:rsid w:val="00E44C49"/>
    <w:rsid w:val="00E44DB2"/>
    <w:rsid w:val="00E44DBD"/>
    <w:rsid w:val="00E44E80"/>
    <w:rsid w:val="00E44FAB"/>
    <w:rsid w:val="00E452EC"/>
    <w:rsid w:val="00E45555"/>
    <w:rsid w:val="00E45747"/>
    <w:rsid w:val="00E458D8"/>
    <w:rsid w:val="00E45C7F"/>
    <w:rsid w:val="00E45D00"/>
    <w:rsid w:val="00E45D80"/>
    <w:rsid w:val="00E4607A"/>
    <w:rsid w:val="00E462F4"/>
    <w:rsid w:val="00E4647A"/>
    <w:rsid w:val="00E46499"/>
    <w:rsid w:val="00E464AE"/>
    <w:rsid w:val="00E464B5"/>
    <w:rsid w:val="00E4653D"/>
    <w:rsid w:val="00E465DA"/>
    <w:rsid w:val="00E4664F"/>
    <w:rsid w:val="00E466C8"/>
    <w:rsid w:val="00E4699D"/>
    <w:rsid w:val="00E46C3D"/>
    <w:rsid w:val="00E46C57"/>
    <w:rsid w:val="00E46CA7"/>
    <w:rsid w:val="00E46CE7"/>
    <w:rsid w:val="00E46D83"/>
    <w:rsid w:val="00E46DA3"/>
    <w:rsid w:val="00E46DC2"/>
    <w:rsid w:val="00E472E2"/>
    <w:rsid w:val="00E477AD"/>
    <w:rsid w:val="00E477BA"/>
    <w:rsid w:val="00E479A2"/>
    <w:rsid w:val="00E479AC"/>
    <w:rsid w:val="00E479D1"/>
    <w:rsid w:val="00E47F59"/>
    <w:rsid w:val="00E50152"/>
    <w:rsid w:val="00E503AF"/>
    <w:rsid w:val="00E5057E"/>
    <w:rsid w:val="00E505E1"/>
    <w:rsid w:val="00E5068A"/>
    <w:rsid w:val="00E5079E"/>
    <w:rsid w:val="00E509DF"/>
    <w:rsid w:val="00E50B86"/>
    <w:rsid w:val="00E50BE9"/>
    <w:rsid w:val="00E50C65"/>
    <w:rsid w:val="00E513C4"/>
    <w:rsid w:val="00E515CF"/>
    <w:rsid w:val="00E517E1"/>
    <w:rsid w:val="00E51846"/>
    <w:rsid w:val="00E51927"/>
    <w:rsid w:val="00E51C67"/>
    <w:rsid w:val="00E51C92"/>
    <w:rsid w:val="00E51DD7"/>
    <w:rsid w:val="00E51E4E"/>
    <w:rsid w:val="00E51EE1"/>
    <w:rsid w:val="00E52034"/>
    <w:rsid w:val="00E523B6"/>
    <w:rsid w:val="00E523FF"/>
    <w:rsid w:val="00E529BC"/>
    <w:rsid w:val="00E52B4C"/>
    <w:rsid w:val="00E52BEE"/>
    <w:rsid w:val="00E52D93"/>
    <w:rsid w:val="00E52F08"/>
    <w:rsid w:val="00E52F9C"/>
    <w:rsid w:val="00E530E2"/>
    <w:rsid w:val="00E531B1"/>
    <w:rsid w:val="00E532DE"/>
    <w:rsid w:val="00E5343E"/>
    <w:rsid w:val="00E53620"/>
    <w:rsid w:val="00E53670"/>
    <w:rsid w:val="00E53674"/>
    <w:rsid w:val="00E53B4E"/>
    <w:rsid w:val="00E53BAC"/>
    <w:rsid w:val="00E5445D"/>
    <w:rsid w:val="00E545E4"/>
    <w:rsid w:val="00E54B7D"/>
    <w:rsid w:val="00E54F3C"/>
    <w:rsid w:val="00E55156"/>
    <w:rsid w:val="00E553A1"/>
    <w:rsid w:val="00E5542D"/>
    <w:rsid w:val="00E55616"/>
    <w:rsid w:val="00E557E2"/>
    <w:rsid w:val="00E558AD"/>
    <w:rsid w:val="00E55924"/>
    <w:rsid w:val="00E5592C"/>
    <w:rsid w:val="00E559D1"/>
    <w:rsid w:val="00E55BC4"/>
    <w:rsid w:val="00E55CF9"/>
    <w:rsid w:val="00E55D29"/>
    <w:rsid w:val="00E55D95"/>
    <w:rsid w:val="00E55E03"/>
    <w:rsid w:val="00E56082"/>
    <w:rsid w:val="00E565F4"/>
    <w:rsid w:val="00E56755"/>
    <w:rsid w:val="00E56898"/>
    <w:rsid w:val="00E56B37"/>
    <w:rsid w:val="00E56B54"/>
    <w:rsid w:val="00E56C13"/>
    <w:rsid w:val="00E56C2B"/>
    <w:rsid w:val="00E57011"/>
    <w:rsid w:val="00E570B9"/>
    <w:rsid w:val="00E574FC"/>
    <w:rsid w:val="00E57A42"/>
    <w:rsid w:val="00E57B4E"/>
    <w:rsid w:val="00E60097"/>
    <w:rsid w:val="00E6013A"/>
    <w:rsid w:val="00E60531"/>
    <w:rsid w:val="00E605B8"/>
    <w:rsid w:val="00E606EE"/>
    <w:rsid w:val="00E607ED"/>
    <w:rsid w:val="00E60C7B"/>
    <w:rsid w:val="00E61152"/>
    <w:rsid w:val="00E61710"/>
    <w:rsid w:val="00E61CEB"/>
    <w:rsid w:val="00E61DF6"/>
    <w:rsid w:val="00E621A9"/>
    <w:rsid w:val="00E621DA"/>
    <w:rsid w:val="00E62287"/>
    <w:rsid w:val="00E62321"/>
    <w:rsid w:val="00E627FC"/>
    <w:rsid w:val="00E62869"/>
    <w:rsid w:val="00E628F2"/>
    <w:rsid w:val="00E6296D"/>
    <w:rsid w:val="00E6298C"/>
    <w:rsid w:val="00E62A17"/>
    <w:rsid w:val="00E62B34"/>
    <w:rsid w:val="00E62E02"/>
    <w:rsid w:val="00E62FCB"/>
    <w:rsid w:val="00E63025"/>
    <w:rsid w:val="00E63083"/>
    <w:rsid w:val="00E6311E"/>
    <w:rsid w:val="00E634AE"/>
    <w:rsid w:val="00E6351A"/>
    <w:rsid w:val="00E63526"/>
    <w:rsid w:val="00E6371E"/>
    <w:rsid w:val="00E63987"/>
    <w:rsid w:val="00E63A77"/>
    <w:rsid w:val="00E63D7D"/>
    <w:rsid w:val="00E63D8D"/>
    <w:rsid w:val="00E63E22"/>
    <w:rsid w:val="00E6402B"/>
    <w:rsid w:val="00E6431D"/>
    <w:rsid w:val="00E64653"/>
    <w:rsid w:val="00E64C03"/>
    <w:rsid w:val="00E64CD7"/>
    <w:rsid w:val="00E6542A"/>
    <w:rsid w:val="00E6552A"/>
    <w:rsid w:val="00E6572C"/>
    <w:rsid w:val="00E658C9"/>
    <w:rsid w:val="00E659C8"/>
    <w:rsid w:val="00E65A7E"/>
    <w:rsid w:val="00E65BBB"/>
    <w:rsid w:val="00E65F10"/>
    <w:rsid w:val="00E6618D"/>
    <w:rsid w:val="00E668F8"/>
    <w:rsid w:val="00E66B50"/>
    <w:rsid w:val="00E66C32"/>
    <w:rsid w:val="00E66DE9"/>
    <w:rsid w:val="00E66E89"/>
    <w:rsid w:val="00E67061"/>
    <w:rsid w:val="00E672F9"/>
    <w:rsid w:val="00E67332"/>
    <w:rsid w:val="00E67666"/>
    <w:rsid w:val="00E6791A"/>
    <w:rsid w:val="00E67998"/>
    <w:rsid w:val="00E67EEF"/>
    <w:rsid w:val="00E700FB"/>
    <w:rsid w:val="00E7021F"/>
    <w:rsid w:val="00E703BE"/>
    <w:rsid w:val="00E7051C"/>
    <w:rsid w:val="00E70733"/>
    <w:rsid w:val="00E70B13"/>
    <w:rsid w:val="00E70BB7"/>
    <w:rsid w:val="00E70D5B"/>
    <w:rsid w:val="00E70E35"/>
    <w:rsid w:val="00E70E41"/>
    <w:rsid w:val="00E70E8C"/>
    <w:rsid w:val="00E70F57"/>
    <w:rsid w:val="00E710E3"/>
    <w:rsid w:val="00E71453"/>
    <w:rsid w:val="00E71607"/>
    <w:rsid w:val="00E71B66"/>
    <w:rsid w:val="00E71BCF"/>
    <w:rsid w:val="00E71E02"/>
    <w:rsid w:val="00E72148"/>
    <w:rsid w:val="00E722EE"/>
    <w:rsid w:val="00E726E5"/>
    <w:rsid w:val="00E7297F"/>
    <w:rsid w:val="00E729B9"/>
    <w:rsid w:val="00E72B96"/>
    <w:rsid w:val="00E72C4C"/>
    <w:rsid w:val="00E72DE5"/>
    <w:rsid w:val="00E7369D"/>
    <w:rsid w:val="00E73C2C"/>
    <w:rsid w:val="00E73C86"/>
    <w:rsid w:val="00E73EFE"/>
    <w:rsid w:val="00E73F56"/>
    <w:rsid w:val="00E7404C"/>
    <w:rsid w:val="00E74104"/>
    <w:rsid w:val="00E744A7"/>
    <w:rsid w:val="00E746F0"/>
    <w:rsid w:val="00E74A28"/>
    <w:rsid w:val="00E74C01"/>
    <w:rsid w:val="00E74C38"/>
    <w:rsid w:val="00E74E72"/>
    <w:rsid w:val="00E74ED1"/>
    <w:rsid w:val="00E75065"/>
    <w:rsid w:val="00E7510A"/>
    <w:rsid w:val="00E75464"/>
    <w:rsid w:val="00E754F3"/>
    <w:rsid w:val="00E75591"/>
    <w:rsid w:val="00E75AF1"/>
    <w:rsid w:val="00E75B4B"/>
    <w:rsid w:val="00E75F5A"/>
    <w:rsid w:val="00E767E1"/>
    <w:rsid w:val="00E76AEE"/>
    <w:rsid w:val="00E76E0A"/>
    <w:rsid w:val="00E76F38"/>
    <w:rsid w:val="00E76F4B"/>
    <w:rsid w:val="00E76FB0"/>
    <w:rsid w:val="00E77445"/>
    <w:rsid w:val="00E77651"/>
    <w:rsid w:val="00E7790E"/>
    <w:rsid w:val="00E77B22"/>
    <w:rsid w:val="00E77C28"/>
    <w:rsid w:val="00E77CA3"/>
    <w:rsid w:val="00E77E81"/>
    <w:rsid w:val="00E80037"/>
    <w:rsid w:val="00E8009F"/>
    <w:rsid w:val="00E803DC"/>
    <w:rsid w:val="00E805C6"/>
    <w:rsid w:val="00E80876"/>
    <w:rsid w:val="00E80B17"/>
    <w:rsid w:val="00E80C96"/>
    <w:rsid w:val="00E8103E"/>
    <w:rsid w:val="00E81631"/>
    <w:rsid w:val="00E81843"/>
    <w:rsid w:val="00E81D76"/>
    <w:rsid w:val="00E81E3A"/>
    <w:rsid w:val="00E81EC1"/>
    <w:rsid w:val="00E824C1"/>
    <w:rsid w:val="00E828C6"/>
    <w:rsid w:val="00E82C69"/>
    <w:rsid w:val="00E82E5F"/>
    <w:rsid w:val="00E831BA"/>
    <w:rsid w:val="00E83295"/>
    <w:rsid w:val="00E83329"/>
    <w:rsid w:val="00E8335D"/>
    <w:rsid w:val="00E83635"/>
    <w:rsid w:val="00E8383C"/>
    <w:rsid w:val="00E83989"/>
    <w:rsid w:val="00E83A5C"/>
    <w:rsid w:val="00E83A63"/>
    <w:rsid w:val="00E83B29"/>
    <w:rsid w:val="00E83F31"/>
    <w:rsid w:val="00E840B1"/>
    <w:rsid w:val="00E841DD"/>
    <w:rsid w:val="00E845C3"/>
    <w:rsid w:val="00E84721"/>
    <w:rsid w:val="00E84857"/>
    <w:rsid w:val="00E848A0"/>
    <w:rsid w:val="00E84A2C"/>
    <w:rsid w:val="00E84CEA"/>
    <w:rsid w:val="00E84DB0"/>
    <w:rsid w:val="00E853D4"/>
    <w:rsid w:val="00E8587C"/>
    <w:rsid w:val="00E858C5"/>
    <w:rsid w:val="00E85BC3"/>
    <w:rsid w:val="00E85CA3"/>
    <w:rsid w:val="00E85CB5"/>
    <w:rsid w:val="00E85E49"/>
    <w:rsid w:val="00E85EBD"/>
    <w:rsid w:val="00E864B0"/>
    <w:rsid w:val="00E8659E"/>
    <w:rsid w:val="00E8671E"/>
    <w:rsid w:val="00E868C5"/>
    <w:rsid w:val="00E86A68"/>
    <w:rsid w:val="00E86B27"/>
    <w:rsid w:val="00E86BFC"/>
    <w:rsid w:val="00E86F8E"/>
    <w:rsid w:val="00E86FE7"/>
    <w:rsid w:val="00E8706E"/>
    <w:rsid w:val="00E870EB"/>
    <w:rsid w:val="00E8710E"/>
    <w:rsid w:val="00E876AB"/>
    <w:rsid w:val="00E8773C"/>
    <w:rsid w:val="00E8785E"/>
    <w:rsid w:val="00E87AD2"/>
    <w:rsid w:val="00E9033A"/>
    <w:rsid w:val="00E903F1"/>
    <w:rsid w:val="00E904D9"/>
    <w:rsid w:val="00E908A0"/>
    <w:rsid w:val="00E90ABA"/>
    <w:rsid w:val="00E90F04"/>
    <w:rsid w:val="00E911B7"/>
    <w:rsid w:val="00E91375"/>
    <w:rsid w:val="00E91726"/>
    <w:rsid w:val="00E919B7"/>
    <w:rsid w:val="00E91DEB"/>
    <w:rsid w:val="00E91E76"/>
    <w:rsid w:val="00E924C1"/>
    <w:rsid w:val="00E92502"/>
    <w:rsid w:val="00E92579"/>
    <w:rsid w:val="00E92896"/>
    <w:rsid w:val="00E92942"/>
    <w:rsid w:val="00E92CB1"/>
    <w:rsid w:val="00E92FEB"/>
    <w:rsid w:val="00E93138"/>
    <w:rsid w:val="00E936D1"/>
    <w:rsid w:val="00E93779"/>
    <w:rsid w:val="00E93928"/>
    <w:rsid w:val="00E940FF"/>
    <w:rsid w:val="00E9426E"/>
    <w:rsid w:val="00E94280"/>
    <w:rsid w:val="00E9430A"/>
    <w:rsid w:val="00E943F4"/>
    <w:rsid w:val="00E94619"/>
    <w:rsid w:val="00E94730"/>
    <w:rsid w:val="00E9489F"/>
    <w:rsid w:val="00E949CD"/>
    <w:rsid w:val="00E94A63"/>
    <w:rsid w:val="00E94D5C"/>
    <w:rsid w:val="00E94DF5"/>
    <w:rsid w:val="00E94E01"/>
    <w:rsid w:val="00E94ED5"/>
    <w:rsid w:val="00E94ED7"/>
    <w:rsid w:val="00E9505A"/>
    <w:rsid w:val="00E95274"/>
    <w:rsid w:val="00E953D4"/>
    <w:rsid w:val="00E95592"/>
    <w:rsid w:val="00E95842"/>
    <w:rsid w:val="00E95B2E"/>
    <w:rsid w:val="00E95C62"/>
    <w:rsid w:val="00E95C9E"/>
    <w:rsid w:val="00E95D2C"/>
    <w:rsid w:val="00E96328"/>
    <w:rsid w:val="00E96334"/>
    <w:rsid w:val="00E96382"/>
    <w:rsid w:val="00E967ED"/>
    <w:rsid w:val="00E96A84"/>
    <w:rsid w:val="00E96A9B"/>
    <w:rsid w:val="00E96B19"/>
    <w:rsid w:val="00E96C85"/>
    <w:rsid w:val="00E96ED9"/>
    <w:rsid w:val="00E970DD"/>
    <w:rsid w:val="00E978DB"/>
    <w:rsid w:val="00E97983"/>
    <w:rsid w:val="00E97FDF"/>
    <w:rsid w:val="00EA0322"/>
    <w:rsid w:val="00EA0347"/>
    <w:rsid w:val="00EA03A0"/>
    <w:rsid w:val="00EA05EE"/>
    <w:rsid w:val="00EA0692"/>
    <w:rsid w:val="00EA06E0"/>
    <w:rsid w:val="00EA0E0D"/>
    <w:rsid w:val="00EA0E4C"/>
    <w:rsid w:val="00EA0EF3"/>
    <w:rsid w:val="00EA1217"/>
    <w:rsid w:val="00EA1755"/>
    <w:rsid w:val="00EA1869"/>
    <w:rsid w:val="00EA1910"/>
    <w:rsid w:val="00EA1912"/>
    <w:rsid w:val="00EA1D5D"/>
    <w:rsid w:val="00EA1F43"/>
    <w:rsid w:val="00EA2091"/>
    <w:rsid w:val="00EA227E"/>
    <w:rsid w:val="00EA2328"/>
    <w:rsid w:val="00EA2335"/>
    <w:rsid w:val="00EA262C"/>
    <w:rsid w:val="00EA276D"/>
    <w:rsid w:val="00EA28D0"/>
    <w:rsid w:val="00EA290D"/>
    <w:rsid w:val="00EA2DD3"/>
    <w:rsid w:val="00EA3042"/>
    <w:rsid w:val="00EA3263"/>
    <w:rsid w:val="00EA3415"/>
    <w:rsid w:val="00EA345F"/>
    <w:rsid w:val="00EA348F"/>
    <w:rsid w:val="00EA35EA"/>
    <w:rsid w:val="00EA36A7"/>
    <w:rsid w:val="00EA392A"/>
    <w:rsid w:val="00EA3B19"/>
    <w:rsid w:val="00EA3F3E"/>
    <w:rsid w:val="00EA3F40"/>
    <w:rsid w:val="00EA4062"/>
    <w:rsid w:val="00EA412C"/>
    <w:rsid w:val="00EA4818"/>
    <w:rsid w:val="00EA4AFC"/>
    <w:rsid w:val="00EA4D16"/>
    <w:rsid w:val="00EA536E"/>
    <w:rsid w:val="00EA53E0"/>
    <w:rsid w:val="00EA5684"/>
    <w:rsid w:val="00EA5943"/>
    <w:rsid w:val="00EA5AD4"/>
    <w:rsid w:val="00EA5BE3"/>
    <w:rsid w:val="00EA5CFB"/>
    <w:rsid w:val="00EA5E99"/>
    <w:rsid w:val="00EA60A0"/>
    <w:rsid w:val="00EA6262"/>
    <w:rsid w:val="00EA637A"/>
    <w:rsid w:val="00EA64E2"/>
    <w:rsid w:val="00EA65D7"/>
    <w:rsid w:val="00EA66D5"/>
    <w:rsid w:val="00EA6865"/>
    <w:rsid w:val="00EA6904"/>
    <w:rsid w:val="00EA698B"/>
    <w:rsid w:val="00EA6E15"/>
    <w:rsid w:val="00EA7031"/>
    <w:rsid w:val="00EA735E"/>
    <w:rsid w:val="00EA7660"/>
    <w:rsid w:val="00EA77C1"/>
    <w:rsid w:val="00EA7ADD"/>
    <w:rsid w:val="00EA7BF2"/>
    <w:rsid w:val="00EA7DA7"/>
    <w:rsid w:val="00EB0577"/>
    <w:rsid w:val="00EB0578"/>
    <w:rsid w:val="00EB071E"/>
    <w:rsid w:val="00EB075D"/>
    <w:rsid w:val="00EB0BBD"/>
    <w:rsid w:val="00EB0F11"/>
    <w:rsid w:val="00EB0FBA"/>
    <w:rsid w:val="00EB1029"/>
    <w:rsid w:val="00EB11C8"/>
    <w:rsid w:val="00EB153F"/>
    <w:rsid w:val="00EB1596"/>
    <w:rsid w:val="00EB180B"/>
    <w:rsid w:val="00EB19FB"/>
    <w:rsid w:val="00EB1AD8"/>
    <w:rsid w:val="00EB1CE2"/>
    <w:rsid w:val="00EB1D96"/>
    <w:rsid w:val="00EB1E5E"/>
    <w:rsid w:val="00EB1ED2"/>
    <w:rsid w:val="00EB1EEB"/>
    <w:rsid w:val="00EB22E3"/>
    <w:rsid w:val="00EB2B80"/>
    <w:rsid w:val="00EB303F"/>
    <w:rsid w:val="00EB3242"/>
    <w:rsid w:val="00EB32E2"/>
    <w:rsid w:val="00EB3425"/>
    <w:rsid w:val="00EB35CE"/>
    <w:rsid w:val="00EB3651"/>
    <w:rsid w:val="00EB392A"/>
    <w:rsid w:val="00EB3AFC"/>
    <w:rsid w:val="00EB3F8B"/>
    <w:rsid w:val="00EB420B"/>
    <w:rsid w:val="00EB4255"/>
    <w:rsid w:val="00EB4887"/>
    <w:rsid w:val="00EB4897"/>
    <w:rsid w:val="00EB49D0"/>
    <w:rsid w:val="00EB4A7F"/>
    <w:rsid w:val="00EB4B56"/>
    <w:rsid w:val="00EB4DC6"/>
    <w:rsid w:val="00EB50F6"/>
    <w:rsid w:val="00EB5184"/>
    <w:rsid w:val="00EB5415"/>
    <w:rsid w:val="00EB568F"/>
    <w:rsid w:val="00EB5730"/>
    <w:rsid w:val="00EB5739"/>
    <w:rsid w:val="00EB575F"/>
    <w:rsid w:val="00EB57A4"/>
    <w:rsid w:val="00EB59E2"/>
    <w:rsid w:val="00EB5B24"/>
    <w:rsid w:val="00EB5E18"/>
    <w:rsid w:val="00EB5F5A"/>
    <w:rsid w:val="00EB604C"/>
    <w:rsid w:val="00EB633A"/>
    <w:rsid w:val="00EB65F6"/>
    <w:rsid w:val="00EB66DB"/>
    <w:rsid w:val="00EB67EF"/>
    <w:rsid w:val="00EB68B1"/>
    <w:rsid w:val="00EB69E3"/>
    <w:rsid w:val="00EB6B90"/>
    <w:rsid w:val="00EB6C74"/>
    <w:rsid w:val="00EB6E99"/>
    <w:rsid w:val="00EB7098"/>
    <w:rsid w:val="00EB7378"/>
    <w:rsid w:val="00EB73D4"/>
    <w:rsid w:val="00EB7602"/>
    <w:rsid w:val="00EB762C"/>
    <w:rsid w:val="00EB765E"/>
    <w:rsid w:val="00EB7A8A"/>
    <w:rsid w:val="00EB7ADA"/>
    <w:rsid w:val="00EC001C"/>
    <w:rsid w:val="00EC00EC"/>
    <w:rsid w:val="00EC0127"/>
    <w:rsid w:val="00EC0201"/>
    <w:rsid w:val="00EC0B36"/>
    <w:rsid w:val="00EC0D2C"/>
    <w:rsid w:val="00EC0E76"/>
    <w:rsid w:val="00EC0F11"/>
    <w:rsid w:val="00EC10A7"/>
    <w:rsid w:val="00EC10D4"/>
    <w:rsid w:val="00EC10F7"/>
    <w:rsid w:val="00EC131F"/>
    <w:rsid w:val="00EC1750"/>
    <w:rsid w:val="00EC1AA5"/>
    <w:rsid w:val="00EC1AC7"/>
    <w:rsid w:val="00EC204D"/>
    <w:rsid w:val="00EC2CA2"/>
    <w:rsid w:val="00EC2F70"/>
    <w:rsid w:val="00EC33CF"/>
    <w:rsid w:val="00EC3470"/>
    <w:rsid w:val="00EC3562"/>
    <w:rsid w:val="00EC36CE"/>
    <w:rsid w:val="00EC3B6B"/>
    <w:rsid w:val="00EC3FDB"/>
    <w:rsid w:val="00EC42FD"/>
    <w:rsid w:val="00EC43B8"/>
    <w:rsid w:val="00EC44CC"/>
    <w:rsid w:val="00EC450F"/>
    <w:rsid w:val="00EC4524"/>
    <w:rsid w:val="00EC4630"/>
    <w:rsid w:val="00EC4834"/>
    <w:rsid w:val="00EC4950"/>
    <w:rsid w:val="00EC4C0D"/>
    <w:rsid w:val="00EC51C0"/>
    <w:rsid w:val="00EC5414"/>
    <w:rsid w:val="00EC58EA"/>
    <w:rsid w:val="00EC590B"/>
    <w:rsid w:val="00EC5999"/>
    <w:rsid w:val="00EC5AB7"/>
    <w:rsid w:val="00EC5B1A"/>
    <w:rsid w:val="00EC5B5E"/>
    <w:rsid w:val="00EC5C5A"/>
    <w:rsid w:val="00EC5F04"/>
    <w:rsid w:val="00EC5FF7"/>
    <w:rsid w:val="00EC640E"/>
    <w:rsid w:val="00EC64DA"/>
    <w:rsid w:val="00EC64F0"/>
    <w:rsid w:val="00EC660B"/>
    <w:rsid w:val="00EC6657"/>
    <w:rsid w:val="00EC6667"/>
    <w:rsid w:val="00EC67F0"/>
    <w:rsid w:val="00EC6CBD"/>
    <w:rsid w:val="00EC6CCF"/>
    <w:rsid w:val="00EC6E60"/>
    <w:rsid w:val="00EC6F0C"/>
    <w:rsid w:val="00EC7047"/>
    <w:rsid w:val="00EC70D9"/>
    <w:rsid w:val="00EC7119"/>
    <w:rsid w:val="00EC71A1"/>
    <w:rsid w:val="00EC78F9"/>
    <w:rsid w:val="00EC7946"/>
    <w:rsid w:val="00EC7BC9"/>
    <w:rsid w:val="00EC7EF5"/>
    <w:rsid w:val="00ED0074"/>
    <w:rsid w:val="00ED0374"/>
    <w:rsid w:val="00ED0483"/>
    <w:rsid w:val="00ED09BD"/>
    <w:rsid w:val="00ED0ED4"/>
    <w:rsid w:val="00ED14B2"/>
    <w:rsid w:val="00ED151A"/>
    <w:rsid w:val="00ED16D7"/>
    <w:rsid w:val="00ED2491"/>
    <w:rsid w:val="00ED25D4"/>
    <w:rsid w:val="00ED272B"/>
    <w:rsid w:val="00ED2840"/>
    <w:rsid w:val="00ED2944"/>
    <w:rsid w:val="00ED30CD"/>
    <w:rsid w:val="00ED343A"/>
    <w:rsid w:val="00ED39CC"/>
    <w:rsid w:val="00ED3CE1"/>
    <w:rsid w:val="00ED3F92"/>
    <w:rsid w:val="00ED41E9"/>
    <w:rsid w:val="00ED42F8"/>
    <w:rsid w:val="00ED439F"/>
    <w:rsid w:val="00ED446E"/>
    <w:rsid w:val="00ED44F3"/>
    <w:rsid w:val="00ED44FE"/>
    <w:rsid w:val="00ED4647"/>
    <w:rsid w:val="00ED47D9"/>
    <w:rsid w:val="00ED4C0C"/>
    <w:rsid w:val="00ED4D03"/>
    <w:rsid w:val="00ED511B"/>
    <w:rsid w:val="00ED5162"/>
    <w:rsid w:val="00ED524B"/>
    <w:rsid w:val="00ED5310"/>
    <w:rsid w:val="00ED5392"/>
    <w:rsid w:val="00ED56C5"/>
    <w:rsid w:val="00ED578E"/>
    <w:rsid w:val="00ED5CFD"/>
    <w:rsid w:val="00ED5D10"/>
    <w:rsid w:val="00ED6008"/>
    <w:rsid w:val="00ED610C"/>
    <w:rsid w:val="00ED6348"/>
    <w:rsid w:val="00ED634B"/>
    <w:rsid w:val="00ED6454"/>
    <w:rsid w:val="00ED666D"/>
    <w:rsid w:val="00ED66B6"/>
    <w:rsid w:val="00ED6709"/>
    <w:rsid w:val="00ED680F"/>
    <w:rsid w:val="00ED687B"/>
    <w:rsid w:val="00ED695A"/>
    <w:rsid w:val="00ED6A59"/>
    <w:rsid w:val="00ED6B8B"/>
    <w:rsid w:val="00ED6B92"/>
    <w:rsid w:val="00ED6BD2"/>
    <w:rsid w:val="00ED6D1A"/>
    <w:rsid w:val="00ED6D6B"/>
    <w:rsid w:val="00ED6F33"/>
    <w:rsid w:val="00ED6F34"/>
    <w:rsid w:val="00ED7251"/>
    <w:rsid w:val="00ED7295"/>
    <w:rsid w:val="00ED72FF"/>
    <w:rsid w:val="00ED7388"/>
    <w:rsid w:val="00ED7553"/>
    <w:rsid w:val="00ED7AFF"/>
    <w:rsid w:val="00ED7CF8"/>
    <w:rsid w:val="00ED7F2E"/>
    <w:rsid w:val="00EE02B2"/>
    <w:rsid w:val="00EE049B"/>
    <w:rsid w:val="00EE07D8"/>
    <w:rsid w:val="00EE0803"/>
    <w:rsid w:val="00EE0BFB"/>
    <w:rsid w:val="00EE0C64"/>
    <w:rsid w:val="00EE124A"/>
    <w:rsid w:val="00EE14A6"/>
    <w:rsid w:val="00EE1565"/>
    <w:rsid w:val="00EE17D7"/>
    <w:rsid w:val="00EE1ADE"/>
    <w:rsid w:val="00EE1C82"/>
    <w:rsid w:val="00EE1F36"/>
    <w:rsid w:val="00EE204F"/>
    <w:rsid w:val="00EE2102"/>
    <w:rsid w:val="00EE224E"/>
    <w:rsid w:val="00EE23A4"/>
    <w:rsid w:val="00EE23BD"/>
    <w:rsid w:val="00EE23E9"/>
    <w:rsid w:val="00EE25B5"/>
    <w:rsid w:val="00EE27A1"/>
    <w:rsid w:val="00EE2C2D"/>
    <w:rsid w:val="00EE2E73"/>
    <w:rsid w:val="00EE2E97"/>
    <w:rsid w:val="00EE30F2"/>
    <w:rsid w:val="00EE31EF"/>
    <w:rsid w:val="00EE3276"/>
    <w:rsid w:val="00EE33CB"/>
    <w:rsid w:val="00EE33D3"/>
    <w:rsid w:val="00EE388C"/>
    <w:rsid w:val="00EE39CF"/>
    <w:rsid w:val="00EE3C93"/>
    <w:rsid w:val="00EE4204"/>
    <w:rsid w:val="00EE429C"/>
    <w:rsid w:val="00EE4498"/>
    <w:rsid w:val="00EE45DD"/>
    <w:rsid w:val="00EE45F2"/>
    <w:rsid w:val="00EE4908"/>
    <w:rsid w:val="00EE4B80"/>
    <w:rsid w:val="00EE4EB8"/>
    <w:rsid w:val="00EE56E8"/>
    <w:rsid w:val="00EE5703"/>
    <w:rsid w:val="00EE5751"/>
    <w:rsid w:val="00EE5D8D"/>
    <w:rsid w:val="00EE5FBE"/>
    <w:rsid w:val="00EE6679"/>
    <w:rsid w:val="00EE6683"/>
    <w:rsid w:val="00EE6789"/>
    <w:rsid w:val="00EE6D82"/>
    <w:rsid w:val="00EE6E53"/>
    <w:rsid w:val="00EE7006"/>
    <w:rsid w:val="00EE721D"/>
    <w:rsid w:val="00EE7412"/>
    <w:rsid w:val="00EE76B9"/>
    <w:rsid w:val="00EE7898"/>
    <w:rsid w:val="00EE78AD"/>
    <w:rsid w:val="00EE7A0F"/>
    <w:rsid w:val="00EE7BA7"/>
    <w:rsid w:val="00EE7D24"/>
    <w:rsid w:val="00EF0103"/>
    <w:rsid w:val="00EF025A"/>
    <w:rsid w:val="00EF0449"/>
    <w:rsid w:val="00EF0510"/>
    <w:rsid w:val="00EF0529"/>
    <w:rsid w:val="00EF0677"/>
    <w:rsid w:val="00EF08D0"/>
    <w:rsid w:val="00EF0B82"/>
    <w:rsid w:val="00EF0CF2"/>
    <w:rsid w:val="00EF0DE5"/>
    <w:rsid w:val="00EF0E4E"/>
    <w:rsid w:val="00EF12DB"/>
    <w:rsid w:val="00EF1348"/>
    <w:rsid w:val="00EF136B"/>
    <w:rsid w:val="00EF17E5"/>
    <w:rsid w:val="00EF1E5E"/>
    <w:rsid w:val="00EF20ED"/>
    <w:rsid w:val="00EF2346"/>
    <w:rsid w:val="00EF24F9"/>
    <w:rsid w:val="00EF2A6E"/>
    <w:rsid w:val="00EF2B3B"/>
    <w:rsid w:val="00EF2DE8"/>
    <w:rsid w:val="00EF32AC"/>
    <w:rsid w:val="00EF3588"/>
    <w:rsid w:val="00EF3635"/>
    <w:rsid w:val="00EF367D"/>
    <w:rsid w:val="00EF36A4"/>
    <w:rsid w:val="00EF379F"/>
    <w:rsid w:val="00EF3999"/>
    <w:rsid w:val="00EF39C3"/>
    <w:rsid w:val="00EF3AB7"/>
    <w:rsid w:val="00EF3CB9"/>
    <w:rsid w:val="00EF4130"/>
    <w:rsid w:val="00EF423C"/>
    <w:rsid w:val="00EF4E6B"/>
    <w:rsid w:val="00EF520B"/>
    <w:rsid w:val="00EF528C"/>
    <w:rsid w:val="00EF576C"/>
    <w:rsid w:val="00EF5AD6"/>
    <w:rsid w:val="00EF5BF2"/>
    <w:rsid w:val="00EF5D81"/>
    <w:rsid w:val="00EF5FD7"/>
    <w:rsid w:val="00EF61B1"/>
    <w:rsid w:val="00EF641E"/>
    <w:rsid w:val="00EF6626"/>
    <w:rsid w:val="00EF6937"/>
    <w:rsid w:val="00EF6E54"/>
    <w:rsid w:val="00EF6F30"/>
    <w:rsid w:val="00EF6F80"/>
    <w:rsid w:val="00EF72CE"/>
    <w:rsid w:val="00EF734D"/>
    <w:rsid w:val="00EF7AF3"/>
    <w:rsid w:val="00EF7DDC"/>
    <w:rsid w:val="00F001B7"/>
    <w:rsid w:val="00F003FC"/>
    <w:rsid w:val="00F004FB"/>
    <w:rsid w:val="00F0067A"/>
    <w:rsid w:val="00F00768"/>
    <w:rsid w:val="00F00890"/>
    <w:rsid w:val="00F009F2"/>
    <w:rsid w:val="00F00BF7"/>
    <w:rsid w:val="00F00C56"/>
    <w:rsid w:val="00F01011"/>
    <w:rsid w:val="00F0102C"/>
    <w:rsid w:val="00F0113B"/>
    <w:rsid w:val="00F01149"/>
    <w:rsid w:val="00F011B4"/>
    <w:rsid w:val="00F0165D"/>
    <w:rsid w:val="00F0172B"/>
    <w:rsid w:val="00F01A2D"/>
    <w:rsid w:val="00F01AFE"/>
    <w:rsid w:val="00F01B3A"/>
    <w:rsid w:val="00F02302"/>
    <w:rsid w:val="00F02316"/>
    <w:rsid w:val="00F02364"/>
    <w:rsid w:val="00F02412"/>
    <w:rsid w:val="00F024CF"/>
    <w:rsid w:val="00F027B6"/>
    <w:rsid w:val="00F0286F"/>
    <w:rsid w:val="00F02939"/>
    <w:rsid w:val="00F03501"/>
    <w:rsid w:val="00F036EB"/>
    <w:rsid w:val="00F038A1"/>
    <w:rsid w:val="00F038D7"/>
    <w:rsid w:val="00F0394B"/>
    <w:rsid w:val="00F03B29"/>
    <w:rsid w:val="00F03C38"/>
    <w:rsid w:val="00F040AE"/>
    <w:rsid w:val="00F04320"/>
    <w:rsid w:val="00F04984"/>
    <w:rsid w:val="00F04E56"/>
    <w:rsid w:val="00F04EFF"/>
    <w:rsid w:val="00F05273"/>
    <w:rsid w:val="00F052AC"/>
    <w:rsid w:val="00F053A4"/>
    <w:rsid w:val="00F05557"/>
    <w:rsid w:val="00F0571D"/>
    <w:rsid w:val="00F0577F"/>
    <w:rsid w:val="00F057EC"/>
    <w:rsid w:val="00F05912"/>
    <w:rsid w:val="00F0597A"/>
    <w:rsid w:val="00F05CEC"/>
    <w:rsid w:val="00F06202"/>
    <w:rsid w:val="00F0637B"/>
    <w:rsid w:val="00F065B9"/>
    <w:rsid w:val="00F067EE"/>
    <w:rsid w:val="00F06B4F"/>
    <w:rsid w:val="00F06D25"/>
    <w:rsid w:val="00F070ED"/>
    <w:rsid w:val="00F07288"/>
    <w:rsid w:val="00F07312"/>
    <w:rsid w:val="00F07666"/>
    <w:rsid w:val="00F076A1"/>
    <w:rsid w:val="00F0772F"/>
    <w:rsid w:val="00F079AE"/>
    <w:rsid w:val="00F07D80"/>
    <w:rsid w:val="00F07F2A"/>
    <w:rsid w:val="00F10487"/>
    <w:rsid w:val="00F10679"/>
    <w:rsid w:val="00F10693"/>
    <w:rsid w:val="00F107E8"/>
    <w:rsid w:val="00F10A3A"/>
    <w:rsid w:val="00F10A66"/>
    <w:rsid w:val="00F10B3F"/>
    <w:rsid w:val="00F10BF1"/>
    <w:rsid w:val="00F10C03"/>
    <w:rsid w:val="00F10C29"/>
    <w:rsid w:val="00F10C32"/>
    <w:rsid w:val="00F10D66"/>
    <w:rsid w:val="00F10E9A"/>
    <w:rsid w:val="00F110AD"/>
    <w:rsid w:val="00F11392"/>
    <w:rsid w:val="00F1196F"/>
    <w:rsid w:val="00F11C5B"/>
    <w:rsid w:val="00F11F68"/>
    <w:rsid w:val="00F12286"/>
    <w:rsid w:val="00F1231D"/>
    <w:rsid w:val="00F12979"/>
    <w:rsid w:val="00F12C08"/>
    <w:rsid w:val="00F12CB7"/>
    <w:rsid w:val="00F12EAE"/>
    <w:rsid w:val="00F13022"/>
    <w:rsid w:val="00F130A6"/>
    <w:rsid w:val="00F14322"/>
    <w:rsid w:val="00F1433B"/>
    <w:rsid w:val="00F146E2"/>
    <w:rsid w:val="00F1479C"/>
    <w:rsid w:val="00F148C9"/>
    <w:rsid w:val="00F14948"/>
    <w:rsid w:val="00F14ABC"/>
    <w:rsid w:val="00F14AC6"/>
    <w:rsid w:val="00F1512B"/>
    <w:rsid w:val="00F152E4"/>
    <w:rsid w:val="00F15379"/>
    <w:rsid w:val="00F15496"/>
    <w:rsid w:val="00F1550A"/>
    <w:rsid w:val="00F1561D"/>
    <w:rsid w:val="00F158E7"/>
    <w:rsid w:val="00F15A91"/>
    <w:rsid w:val="00F15B93"/>
    <w:rsid w:val="00F160D1"/>
    <w:rsid w:val="00F16468"/>
    <w:rsid w:val="00F172E4"/>
    <w:rsid w:val="00F1734E"/>
    <w:rsid w:val="00F17493"/>
    <w:rsid w:val="00F17B4C"/>
    <w:rsid w:val="00F17B61"/>
    <w:rsid w:val="00F17C9E"/>
    <w:rsid w:val="00F17CEE"/>
    <w:rsid w:val="00F20AB7"/>
    <w:rsid w:val="00F20EDC"/>
    <w:rsid w:val="00F211C3"/>
    <w:rsid w:val="00F215EF"/>
    <w:rsid w:val="00F21604"/>
    <w:rsid w:val="00F216D3"/>
    <w:rsid w:val="00F218A0"/>
    <w:rsid w:val="00F21AD0"/>
    <w:rsid w:val="00F21FEA"/>
    <w:rsid w:val="00F21FF1"/>
    <w:rsid w:val="00F220AB"/>
    <w:rsid w:val="00F220EC"/>
    <w:rsid w:val="00F221A1"/>
    <w:rsid w:val="00F225B3"/>
    <w:rsid w:val="00F227B2"/>
    <w:rsid w:val="00F22911"/>
    <w:rsid w:val="00F22C0E"/>
    <w:rsid w:val="00F22CDB"/>
    <w:rsid w:val="00F23170"/>
    <w:rsid w:val="00F23614"/>
    <w:rsid w:val="00F237C2"/>
    <w:rsid w:val="00F23841"/>
    <w:rsid w:val="00F23A32"/>
    <w:rsid w:val="00F23A46"/>
    <w:rsid w:val="00F23BA3"/>
    <w:rsid w:val="00F23F8A"/>
    <w:rsid w:val="00F245EB"/>
    <w:rsid w:val="00F2467B"/>
    <w:rsid w:val="00F248E9"/>
    <w:rsid w:val="00F249D6"/>
    <w:rsid w:val="00F24A8B"/>
    <w:rsid w:val="00F2511A"/>
    <w:rsid w:val="00F25173"/>
    <w:rsid w:val="00F2539A"/>
    <w:rsid w:val="00F2556C"/>
    <w:rsid w:val="00F256AA"/>
    <w:rsid w:val="00F2582B"/>
    <w:rsid w:val="00F2582D"/>
    <w:rsid w:val="00F25882"/>
    <w:rsid w:val="00F25D8B"/>
    <w:rsid w:val="00F25DBF"/>
    <w:rsid w:val="00F261B3"/>
    <w:rsid w:val="00F26512"/>
    <w:rsid w:val="00F269A8"/>
    <w:rsid w:val="00F269F8"/>
    <w:rsid w:val="00F26B67"/>
    <w:rsid w:val="00F26C11"/>
    <w:rsid w:val="00F271CD"/>
    <w:rsid w:val="00F271E4"/>
    <w:rsid w:val="00F27396"/>
    <w:rsid w:val="00F27961"/>
    <w:rsid w:val="00F27BE4"/>
    <w:rsid w:val="00F30229"/>
    <w:rsid w:val="00F3036A"/>
    <w:rsid w:val="00F3036F"/>
    <w:rsid w:val="00F30433"/>
    <w:rsid w:val="00F304ED"/>
    <w:rsid w:val="00F305AB"/>
    <w:rsid w:val="00F30881"/>
    <w:rsid w:val="00F30889"/>
    <w:rsid w:val="00F30984"/>
    <w:rsid w:val="00F30A75"/>
    <w:rsid w:val="00F30B03"/>
    <w:rsid w:val="00F30C3B"/>
    <w:rsid w:val="00F30C9D"/>
    <w:rsid w:val="00F30CD5"/>
    <w:rsid w:val="00F30D39"/>
    <w:rsid w:val="00F30DCC"/>
    <w:rsid w:val="00F30E54"/>
    <w:rsid w:val="00F30FA1"/>
    <w:rsid w:val="00F31051"/>
    <w:rsid w:val="00F317AD"/>
    <w:rsid w:val="00F317CD"/>
    <w:rsid w:val="00F31CC2"/>
    <w:rsid w:val="00F32480"/>
    <w:rsid w:val="00F32514"/>
    <w:rsid w:val="00F32866"/>
    <w:rsid w:val="00F32B43"/>
    <w:rsid w:val="00F32CE4"/>
    <w:rsid w:val="00F32DE8"/>
    <w:rsid w:val="00F32EAE"/>
    <w:rsid w:val="00F33022"/>
    <w:rsid w:val="00F33275"/>
    <w:rsid w:val="00F33364"/>
    <w:rsid w:val="00F33415"/>
    <w:rsid w:val="00F336A7"/>
    <w:rsid w:val="00F3375D"/>
    <w:rsid w:val="00F338A2"/>
    <w:rsid w:val="00F33A7B"/>
    <w:rsid w:val="00F33C7C"/>
    <w:rsid w:val="00F341EB"/>
    <w:rsid w:val="00F34253"/>
    <w:rsid w:val="00F34545"/>
    <w:rsid w:val="00F34616"/>
    <w:rsid w:val="00F34622"/>
    <w:rsid w:val="00F34865"/>
    <w:rsid w:val="00F34871"/>
    <w:rsid w:val="00F34879"/>
    <w:rsid w:val="00F35593"/>
    <w:rsid w:val="00F355EE"/>
    <w:rsid w:val="00F3569E"/>
    <w:rsid w:val="00F35925"/>
    <w:rsid w:val="00F35B89"/>
    <w:rsid w:val="00F35B8C"/>
    <w:rsid w:val="00F35F42"/>
    <w:rsid w:val="00F35F6A"/>
    <w:rsid w:val="00F36133"/>
    <w:rsid w:val="00F3629D"/>
    <w:rsid w:val="00F3665B"/>
    <w:rsid w:val="00F36890"/>
    <w:rsid w:val="00F36DCA"/>
    <w:rsid w:val="00F3721F"/>
    <w:rsid w:val="00F3732C"/>
    <w:rsid w:val="00F3749E"/>
    <w:rsid w:val="00F374A9"/>
    <w:rsid w:val="00F374E4"/>
    <w:rsid w:val="00F3782D"/>
    <w:rsid w:val="00F37C13"/>
    <w:rsid w:val="00F37EA2"/>
    <w:rsid w:val="00F400CF"/>
    <w:rsid w:val="00F40748"/>
    <w:rsid w:val="00F40961"/>
    <w:rsid w:val="00F40E8C"/>
    <w:rsid w:val="00F41387"/>
    <w:rsid w:val="00F4158C"/>
    <w:rsid w:val="00F4163C"/>
    <w:rsid w:val="00F4163D"/>
    <w:rsid w:val="00F41716"/>
    <w:rsid w:val="00F418EA"/>
    <w:rsid w:val="00F419C1"/>
    <w:rsid w:val="00F41E97"/>
    <w:rsid w:val="00F41F3E"/>
    <w:rsid w:val="00F421D3"/>
    <w:rsid w:val="00F42229"/>
    <w:rsid w:val="00F422BC"/>
    <w:rsid w:val="00F4235D"/>
    <w:rsid w:val="00F423BC"/>
    <w:rsid w:val="00F42C1D"/>
    <w:rsid w:val="00F4309C"/>
    <w:rsid w:val="00F430BF"/>
    <w:rsid w:val="00F4342E"/>
    <w:rsid w:val="00F4350B"/>
    <w:rsid w:val="00F436FD"/>
    <w:rsid w:val="00F43921"/>
    <w:rsid w:val="00F43A06"/>
    <w:rsid w:val="00F43B46"/>
    <w:rsid w:val="00F43C00"/>
    <w:rsid w:val="00F43E65"/>
    <w:rsid w:val="00F43F6A"/>
    <w:rsid w:val="00F440A3"/>
    <w:rsid w:val="00F4410D"/>
    <w:rsid w:val="00F4423C"/>
    <w:rsid w:val="00F4453F"/>
    <w:rsid w:val="00F44625"/>
    <w:rsid w:val="00F44663"/>
    <w:rsid w:val="00F4478C"/>
    <w:rsid w:val="00F447CB"/>
    <w:rsid w:val="00F449F4"/>
    <w:rsid w:val="00F44A3C"/>
    <w:rsid w:val="00F44CB4"/>
    <w:rsid w:val="00F44E66"/>
    <w:rsid w:val="00F44EC6"/>
    <w:rsid w:val="00F45034"/>
    <w:rsid w:val="00F45732"/>
    <w:rsid w:val="00F4584E"/>
    <w:rsid w:val="00F45AC0"/>
    <w:rsid w:val="00F45C4C"/>
    <w:rsid w:val="00F45C56"/>
    <w:rsid w:val="00F45FB6"/>
    <w:rsid w:val="00F462C5"/>
    <w:rsid w:val="00F46421"/>
    <w:rsid w:val="00F46EB5"/>
    <w:rsid w:val="00F46FF5"/>
    <w:rsid w:val="00F471CD"/>
    <w:rsid w:val="00F47631"/>
    <w:rsid w:val="00F47795"/>
    <w:rsid w:val="00F47BE3"/>
    <w:rsid w:val="00F47BF1"/>
    <w:rsid w:val="00F47D0E"/>
    <w:rsid w:val="00F5019B"/>
    <w:rsid w:val="00F502CA"/>
    <w:rsid w:val="00F502CC"/>
    <w:rsid w:val="00F5047E"/>
    <w:rsid w:val="00F507C3"/>
    <w:rsid w:val="00F50A28"/>
    <w:rsid w:val="00F50C40"/>
    <w:rsid w:val="00F50E0D"/>
    <w:rsid w:val="00F51553"/>
    <w:rsid w:val="00F517F4"/>
    <w:rsid w:val="00F51B07"/>
    <w:rsid w:val="00F51D29"/>
    <w:rsid w:val="00F51F64"/>
    <w:rsid w:val="00F52104"/>
    <w:rsid w:val="00F52276"/>
    <w:rsid w:val="00F52569"/>
    <w:rsid w:val="00F52A81"/>
    <w:rsid w:val="00F52BC6"/>
    <w:rsid w:val="00F52F33"/>
    <w:rsid w:val="00F52FCD"/>
    <w:rsid w:val="00F530BA"/>
    <w:rsid w:val="00F531B0"/>
    <w:rsid w:val="00F534E2"/>
    <w:rsid w:val="00F535CF"/>
    <w:rsid w:val="00F53A68"/>
    <w:rsid w:val="00F53BC6"/>
    <w:rsid w:val="00F53E56"/>
    <w:rsid w:val="00F540EA"/>
    <w:rsid w:val="00F54293"/>
    <w:rsid w:val="00F5433A"/>
    <w:rsid w:val="00F54504"/>
    <w:rsid w:val="00F545D6"/>
    <w:rsid w:val="00F5486B"/>
    <w:rsid w:val="00F5497E"/>
    <w:rsid w:val="00F54C31"/>
    <w:rsid w:val="00F54D4C"/>
    <w:rsid w:val="00F54F94"/>
    <w:rsid w:val="00F54FE1"/>
    <w:rsid w:val="00F5513A"/>
    <w:rsid w:val="00F551F2"/>
    <w:rsid w:val="00F554E4"/>
    <w:rsid w:val="00F554FB"/>
    <w:rsid w:val="00F557A2"/>
    <w:rsid w:val="00F55940"/>
    <w:rsid w:val="00F55D37"/>
    <w:rsid w:val="00F561B1"/>
    <w:rsid w:val="00F56311"/>
    <w:rsid w:val="00F564D6"/>
    <w:rsid w:val="00F56B2C"/>
    <w:rsid w:val="00F56C4E"/>
    <w:rsid w:val="00F56DFC"/>
    <w:rsid w:val="00F56EC9"/>
    <w:rsid w:val="00F5707B"/>
    <w:rsid w:val="00F57A4D"/>
    <w:rsid w:val="00F57FB7"/>
    <w:rsid w:val="00F607B7"/>
    <w:rsid w:val="00F609EF"/>
    <w:rsid w:val="00F60E68"/>
    <w:rsid w:val="00F60EB4"/>
    <w:rsid w:val="00F6133F"/>
    <w:rsid w:val="00F6138B"/>
    <w:rsid w:val="00F6155B"/>
    <w:rsid w:val="00F6173D"/>
    <w:rsid w:val="00F61946"/>
    <w:rsid w:val="00F61A3E"/>
    <w:rsid w:val="00F61F23"/>
    <w:rsid w:val="00F6207C"/>
    <w:rsid w:val="00F6208E"/>
    <w:rsid w:val="00F620EE"/>
    <w:rsid w:val="00F623D9"/>
    <w:rsid w:val="00F627A5"/>
    <w:rsid w:val="00F62A45"/>
    <w:rsid w:val="00F63048"/>
    <w:rsid w:val="00F632BA"/>
    <w:rsid w:val="00F6353D"/>
    <w:rsid w:val="00F6393E"/>
    <w:rsid w:val="00F63996"/>
    <w:rsid w:val="00F63CFA"/>
    <w:rsid w:val="00F63D76"/>
    <w:rsid w:val="00F63E92"/>
    <w:rsid w:val="00F644DB"/>
    <w:rsid w:val="00F64788"/>
    <w:rsid w:val="00F64B95"/>
    <w:rsid w:val="00F64CFA"/>
    <w:rsid w:val="00F64D1D"/>
    <w:rsid w:val="00F65123"/>
    <w:rsid w:val="00F652E5"/>
    <w:rsid w:val="00F65425"/>
    <w:rsid w:val="00F654C8"/>
    <w:rsid w:val="00F65C36"/>
    <w:rsid w:val="00F65F84"/>
    <w:rsid w:val="00F66089"/>
    <w:rsid w:val="00F662C7"/>
    <w:rsid w:val="00F66467"/>
    <w:rsid w:val="00F664FC"/>
    <w:rsid w:val="00F66857"/>
    <w:rsid w:val="00F668B7"/>
    <w:rsid w:val="00F668C3"/>
    <w:rsid w:val="00F669A5"/>
    <w:rsid w:val="00F66E00"/>
    <w:rsid w:val="00F66F5D"/>
    <w:rsid w:val="00F6756F"/>
    <w:rsid w:val="00F677C4"/>
    <w:rsid w:val="00F679ED"/>
    <w:rsid w:val="00F67A73"/>
    <w:rsid w:val="00F67F58"/>
    <w:rsid w:val="00F67FA5"/>
    <w:rsid w:val="00F7008E"/>
    <w:rsid w:val="00F70755"/>
    <w:rsid w:val="00F707DA"/>
    <w:rsid w:val="00F70D01"/>
    <w:rsid w:val="00F70E11"/>
    <w:rsid w:val="00F70EDC"/>
    <w:rsid w:val="00F70F84"/>
    <w:rsid w:val="00F71273"/>
    <w:rsid w:val="00F71370"/>
    <w:rsid w:val="00F7139E"/>
    <w:rsid w:val="00F713B1"/>
    <w:rsid w:val="00F71803"/>
    <w:rsid w:val="00F7199A"/>
    <w:rsid w:val="00F71BD1"/>
    <w:rsid w:val="00F71CED"/>
    <w:rsid w:val="00F7263A"/>
    <w:rsid w:val="00F72AFE"/>
    <w:rsid w:val="00F72C20"/>
    <w:rsid w:val="00F73574"/>
    <w:rsid w:val="00F73DFA"/>
    <w:rsid w:val="00F73E78"/>
    <w:rsid w:val="00F73EA4"/>
    <w:rsid w:val="00F73EF9"/>
    <w:rsid w:val="00F74024"/>
    <w:rsid w:val="00F74172"/>
    <w:rsid w:val="00F744F3"/>
    <w:rsid w:val="00F74601"/>
    <w:rsid w:val="00F74B71"/>
    <w:rsid w:val="00F74C5D"/>
    <w:rsid w:val="00F74CD1"/>
    <w:rsid w:val="00F74EA2"/>
    <w:rsid w:val="00F7510F"/>
    <w:rsid w:val="00F753B2"/>
    <w:rsid w:val="00F753DB"/>
    <w:rsid w:val="00F75414"/>
    <w:rsid w:val="00F7549E"/>
    <w:rsid w:val="00F7573E"/>
    <w:rsid w:val="00F75824"/>
    <w:rsid w:val="00F759E9"/>
    <w:rsid w:val="00F75A2E"/>
    <w:rsid w:val="00F75AC6"/>
    <w:rsid w:val="00F75FDB"/>
    <w:rsid w:val="00F76171"/>
    <w:rsid w:val="00F763F3"/>
    <w:rsid w:val="00F76594"/>
    <w:rsid w:val="00F7678F"/>
    <w:rsid w:val="00F76A1E"/>
    <w:rsid w:val="00F76A93"/>
    <w:rsid w:val="00F76CCD"/>
    <w:rsid w:val="00F76DAC"/>
    <w:rsid w:val="00F76E25"/>
    <w:rsid w:val="00F76FB9"/>
    <w:rsid w:val="00F773A4"/>
    <w:rsid w:val="00F777D6"/>
    <w:rsid w:val="00F77B70"/>
    <w:rsid w:val="00F77B7B"/>
    <w:rsid w:val="00F77B9C"/>
    <w:rsid w:val="00F77BC6"/>
    <w:rsid w:val="00F77CA1"/>
    <w:rsid w:val="00F77D71"/>
    <w:rsid w:val="00F8012C"/>
    <w:rsid w:val="00F801F0"/>
    <w:rsid w:val="00F801FF"/>
    <w:rsid w:val="00F80998"/>
    <w:rsid w:val="00F809F0"/>
    <w:rsid w:val="00F80F32"/>
    <w:rsid w:val="00F8130B"/>
    <w:rsid w:val="00F813F9"/>
    <w:rsid w:val="00F81507"/>
    <w:rsid w:val="00F816F3"/>
    <w:rsid w:val="00F81824"/>
    <w:rsid w:val="00F81C13"/>
    <w:rsid w:val="00F81CC8"/>
    <w:rsid w:val="00F81FD4"/>
    <w:rsid w:val="00F8217B"/>
    <w:rsid w:val="00F828F2"/>
    <w:rsid w:val="00F8296F"/>
    <w:rsid w:val="00F82DB1"/>
    <w:rsid w:val="00F8303F"/>
    <w:rsid w:val="00F830F9"/>
    <w:rsid w:val="00F831C2"/>
    <w:rsid w:val="00F8332A"/>
    <w:rsid w:val="00F833CB"/>
    <w:rsid w:val="00F833CF"/>
    <w:rsid w:val="00F83490"/>
    <w:rsid w:val="00F834F1"/>
    <w:rsid w:val="00F83554"/>
    <w:rsid w:val="00F837BC"/>
    <w:rsid w:val="00F83F6D"/>
    <w:rsid w:val="00F84026"/>
    <w:rsid w:val="00F8415F"/>
    <w:rsid w:val="00F84248"/>
    <w:rsid w:val="00F84287"/>
    <w:rsid w:val="00F8428C"/>
    <w:rsid w:val="00F844F3"/>
    <w:rsid w:val="00F847C8"/>
    <w:rsid w:val="00F8483B"/>
    <w:rsid w:val="00F84A25"/>
    <w:rsid w:val="00F84B9E"/>
    <w:rsid w:val="00F85258"/>
    <w:rsid w:val="00F8536A"/>
    <w:rsid w:val="00F86089"/>
    <w:rsid w:val="00F860D3"/>
    <w:rsid w:val="00F861C0"/>
    <w:rsid w:val="00F86353"/>
    <w:rsid w:val="00F867F9"/>
    <w:rsid w:val="00F86814"/>
    <w:rsid w:val="00F868BA"/>
    <w:rsid w:val="00F86EFE"/>
    <w:rsid w:val="00F87283"/>
    <w:rsid w:val="00F874AD"/>
    <w:rsid w:val="00F8751D"/>
    <w:rsid w:val="00F87602"/>
    <w:rsid w:val="00F87A5D"/>
    <w:rsid w:val="00F87CD3"/>
    <w:rsid w:val="00F87CDA"/>
    <w:rsid w:val="00F90199"/>
    <w:rsid w:val="00F9023D"/>
    <w:rsid w:val="00F90397"/>
    <w:rsid w:val="00F90546"/>
    <w:rsid w:val="00F90593"/>
    <w:rsid w:val="00F905C0"/>
    <w:rsid w:val="00F907AB"/>
    <w:rsid w:val="00F907B4"/>
    <w:rsid w:val="00F909D1"/>
    <w:rsid w:val="00F90E2A"/>
    <w:rsid w:val="00F90E80"/>
    <w:rsid w:val="00F910AC"/>
    <w:rsid w:val="00F910ED"/>
    <w:rsid w:val="00F91259"/>
    <w:rsid w:val="00F91425"/>
    <w:rsid w:val="00F9174D"/>
    <w:rsid w:val="00F91763"/>
    <w:rsid w:val="00F9193C"/>
    <w:rsid w:val="00F91DD1"/>
    <w:rsid w:val="00F91E2F"/>
    <w:rsid w:val="00F91F47"/>
    <w:rsid w:val="00F91FA9"/>
    <w:rsid w:val="00F92766"/>
    <w:rsid w:val="00F9283E"/>
    <w:rsid w:val="00F928FB"/>
    <w:rsid w:val="00F9298D"/>
    <w:rsid w:val="00F92B7E"/>
    <w:rsid w:val="00F92E53"/>
    <w:rsid w:val="00F92F9A"/>
    <w:rsid w:val="00F933DC"/>
    <w:rsid w:val="00F935F3"/>
    <w:rsid w:val="00F9361F"/>
    <w:rsid w:val="00F93641"/>
    <w:rsid w:val="00F937EF"/>
    <w:rsid w:val="00F938DA"/>
    <w:rsid w:val="00F93917"/>
    <w:rsid w:val="00F93E06"/>
    <w:rsid w:val="00F942B3"/>
    <w:rsid w:val="00F94368"/>
    <w:rsid w:val="00F94470"/>
    <w:rsid w:val="00F94C69"/>
    <w:rsid w:val="00F94CA8"/>
    <w:rsid w:val="00F94DD2"/>
    <w:rsid w:val="00F94DFE"/>
    <w:rsid w:val="00F94F15"/>
    <w:rsid w:val="00F94F49"/>
    <w:rsid w:val="00F94F60"/>
    <w:rsid w:val="00F94FF3"/>
    <w:rsid w:val="00F94FF5"/>
    <w:rsid w:val="00F95021"/>
    <w:rsid w:val="00F95096"/>
    <w:rsid w:val="00F950B3"/>
    <w:rsid w:val="00F950DE"/>
    <w:rsid w:val="00F95422"/>
    <w:rsid w:val="00F955BF"/>
    <w:rsid w:val="00F95756"/>
    <w:rsid w:val="00F958B4"/>
    <w:rsid w:val="00F95B9C"/>
    <w:rsid w:val="00F95C0C"/>
    <w:rsid w:val="00F95D05"/>
    <w:rsid w:val="00F95DA5"/>
    <w:rsid w:val="00F96302"/>
    <w:rsid w:val="00F96967"/>
    <w:rsid w:val="00F969A1"/>
    <w:rsid w:val="00F969DE"/>
    <w:rsid w:val="00F96DE8"/>
    <w:rsid w:val="00F96E10"/>
    <w:rsid w:val="00F96F12"/>
    <w:rsid w:val="00F9717B"/>
    <w:rsid w:val="00F971C2"/>
    <w:rsid w:val="00F97326"/>
    <w:rsid w:val="00F9742C"/>
    <w:rsid w:val="00F9760A"/>
    <w:rsid w:val="00F9760E"/>
    <w:rsid w:val="00F97C06"/>
    <w:rsid w:val="00F97D0E"/>
    <w:rsid w:val="00F97E6A"/>
    <w:rsid w:val="00FA004C"/>
    <w:rsid w:val="00FA0455"/>
    <w:rsid w:val="00FA05CE"/>
    <w:rsid w:val="00FA0A26"/>
    <w:rsid w:val="00FA0C3D"/>
    <w:rsid w:val="00FA0D34"/>
    <w:rsid w:val="00FA0E87"/>
    <w:rsid w:val="00FA14D6"/>
    <w:rsid w:val="00FA15F3"/>
    <w:rsid w:val="00FA167D"/>
    <w:rsid w:val="00FA1728"/>
    <w:rsid w:val="00FA1893"/>
    <w:rsid w:val="00FA1A46"/>
    <w:rsid w:val="00FA1F94"/>
    <w:rsid w:val="00FA2012"/>
    <w:rsid w:val="00FA220C"/>
    <w:rsid w:val="00FA2296"/>
    <w:rsid w:val="00FA22DA"/>
    <w:rsid w:val="00FA2499"/>
    <w:rsid w:val="00FA257D"/>
    <w:rsid w:val="00FA2596"/>
    <w:rsid w:val="00FA282D"/>
    <w:rsid w:val="00FA295A"/>
    <w:rsid w:val="00FA2DCE"/>
    <w:rsid w:val="00FA3352"/>
    <w:rsid w:val="00FA394E"/>
    <w:rsid w:val="00FA3A9D"/>
    <w:rsid w:val="00FA3CB6"/>
    <w:rsid w:val="00FA3E93"/>
    <w:rsid w:val="00FA4179"/>
    <w:rsid w:val="00FA42C7"/>
    <w:rsid w:val="00FA4546"/>
    <w:rsid w:val="00FA47AC"/>
    <w:rsid w:val="00FA47C1"/>
    <w:rsid w:val="00FA4A5C"/>
    <w:rsid w:val="00FA4A73"/>
    <w:rsid w:val="00FA4DBD"/>
    <w:rsid w:val="00FA4E3D"/>
    <w:rsid w:val="00FA5368"/>
    <w:rsid w:val="00FA5524"/>
    <w:rsid w:val="00FA5602"/>
    <w:rsid w:val="00FA568C"/>
    <w:rsid w:val="00FA5F36"/>
    <w:rsid w:val="00FA6076"/>
    <w:rsid w:val="00FA6225"/>
    <w:rsid w:val="00FA62D1"/>
    <w:rsid w:val="00FA640B"/>
    <w:rsid w:val="00FA64C0"/>
    <w:rsid w:val="00FA659B"/>
    <w:rsid w:val="00FA65E4"/>
    <w:rsid w:val="00FA67C7"/>
    <w:rsid w:val="00FA6A89"/>
    <w:rsid w:val="00FA6AC0"/>
    <w:rsid w:val="00FA6E17"/>
    <w:rsid w:val="00FA6EB0"/>
    <w:rsid w:val="00FA6F2A"/>
    <w:rsid w:val="00FA712C"/>
    <w:rsid w:val="00FA73A4"/>
    <w:rsid w:val="00FA7673"/>
    <w:rsid w:val="00FA7883"/>
    <w:rsid w:val="00FA78A0"/>
    <w:rsid w:val="00FA78EA"/>
    <w:rsid w:val="00FA7ACD"/>
    <w:rsid w:val="00FA7BC8"/>
    <w:rsid w:val="00FA7CC1"/>
    <w:rsid w:val="00FB0048"/>
    <w:rsid w:val="00FB0136"/>
    <w:rsid w:val="00FB03D2"/>
    <w:rsid w:val="00FB05B0"/>
    <w:rsid w:val="00FB05C0"/>
    <w:rsid w:val="00FB0692"/>
    <w:rsid w:val="00FB06ED"/>
    <w:rsid w:val="00FB085C"/>
    <w:rsid w:val="00FB0A5A"/>
    <w:rsid w:val="00FB0C4E"/>
    <w:rsid w:val="00FB0CDD"/>
    <w:rsid w:val="00FB0DB8"/>
    <w:rsid w:val="00FB109C"/>
    <w:rsid w:val="00FB132E"/>
    <w:rsid w:val="00FB145A"/>
    <w:rsid w:val="00FB1527"/>
    <w:rsid w:val="00FB1782"/>
    <w:rsid w:val="00FB198F"/>
    <w:rsid w:val="00FB19B5"/>
    <w:rsid w:val="00FB1D58"/>
    <w:rsid w:val="00FB1EB2"/>
    <w:rsid w:val="00FB1ED7"/>
    <w:rsid w:val="00FB23CB"/>
    <w:rsid w:val="00FB25B9"/>
    <w:rsid w:val="00FB27A2"/>
    <w:rsid w:val="00FB2BC9"/>
    <w:rsid w:val="00FB2F91"/>
    <w:rsid w:val="00FB30D4"/>
    <w:rsid w:val="00FB338A"/>
    <w:rsid w:val="00FB33AD"/>
    <w:rsid w:val="00FB3456"/>
    <w:rsid w:val="00FB3554"/>
    <w:rsid w:val="00FB35FF"/>
    <w:rsid w:val="00FB3852"/>
    <w:rsid w:val="00FB3C8C"/>
    <w:rsid w:val="00FB3DAC"/>
    <w:rsid w:val="00FB3ED9"/>
    <w:rsid w:val="00FB411B"/>
    <w:rsid w:val="00FB4461"/>
    <w:rsid w:val="00FB45C2"/>
    <w:rsid w:val="00FB4A15"/>
    <w:rsid w:val="00FB4CAE"/>
    <w:rsid w:val="00FB4EE0"/>
    <w:rsid w:val="00FB4EF0"/>
    <w:rsid w:val="00FB50CD"/>
    <w:rsid w:val="00FB5155"/>
    <w:rsid w:val="00FB51B5"/>
    <w:rsid w:val="00FB5225"/>
    <w:rsid w:val="00FB5228"/>
    <w:rsid w:val="00FB52F7"/>
    <w:rsid w:val="00FB554A"/>
    <w:rsid w:val="00FB5641"/>
    <w:rsid w:val="00FB59B4"/>
    <w:rsid w:val="00FB5A11"/>
    <w:rsid w:val="00FB5D67"/>
    <w:rsid w:val="00FB5E54"/>
    <w:rsid w:val="00FB5F8C"/>
    <w:rsid w:val="00FB5F98"/>
    <w:rsid w:val="00FB60ED"/>
    <w:rsid w:val="00FB61B9"/>
    <w:rsid w:val="00FB670B"/>
    <w:rsid w:val="00FB6904"/>
    <w:rsid w:val="00FB6CFD"/>
    <w:rsid w:val="00FB6D1D"/>
    <w:rsid w:val="00FB7667"/>
    <w:rsid w:val="00FB7A57"/>
    <w:rsid w:val="00FB7BB8"/>
    <w:rsid w:val="00FB7C60"/>
    <w:rsid w:val="00FB7E1B"/>
    <w:rsid w:val="00FC0063"/>
    <w:rsid w:val="00FC02D7"/>
    <w:rsid w:val="00FC04EC"/>
    <w:rsid w:val="00FC0AC7"/>
    <w:rsid w:val="00FC0B79"/>
    <w:rsid w:val="00FC0DED"/>
    <w:rsid w:val="00FC0EB7"/>
    <w:rsid w:val="00FC1085"/>
    <w:rsid w:val="00FC114E"/>
    <w:rsid w:val="00FC1504"/>
    <w:rsid w:val="00FC1610"/>
    <w:rsid w:val="00FC1789"/>
    <w:rsid w:val="00FC17A4"/>
    <w:rsid w:val="00FC2099"/>
    <w:rsid w:val="00FC2BAE"/>
    <w:rsid w:val="00FC2CDF"/>
    <w:rsid w:val="00FC2CEF"/>
    <w:rsid w:val="00FC2E07"/>
    <w:rsid w:val="00FC2F34"/>
    <w:rsid w:val="00FC304A"/>
    <w:rsid w:val="00FC3344"/>
    <w:rsid w:val="00FC35F7"/>
    <w:rsid w:val="00FC369D"/>
    <w:rsid w:val="00FC391C"/>
    <w:rsid w:val="00FC3D7E"/>
    <w:rsid w:val="00FC3EC3"/>
    <w:rsid w:val="00FC42FC"/>
    <w:rsid w:val="00FC4597"/>
    <w:rsid w:val="00FC45D3"/>
    <w:rsid w:val="00FC4852"/>
    <w:rsid w:val="00FC4862"/>
    <w:rsid w:val="00FC4987"/>
    <w:rsid w:val="00FC49F5"/>
    <w:rsid w:val="00FC4BE6"/>
    <w:rsid w:val="00FC4C5D"/>
    <w:rsid w:val="00FC4E8C"/>
    <w:rsid w:val="00FC4FAB"/>
    <w:rsid w:val="00FC517C"/>
    <w:rsid w:val="00FC51B4"/>
    <w:rsid w:val="00FC51BE"/>
    <w:rsid w:val="00FC532E"/>
    <w:rsid w:val="00FC5504"/>
    <w:rsid w:val="00FC5513"/>
    <w:rsid w:val="00FC559C"/>
    <w:rsid w:val="00FC578D"/>
    <w:rsid w:val="00FC579E"/>
    <w:rsid w:val="00FC5988"/>
    <w:rsid w:val="00FC59EA"/>
    <w:rsid w:val="00FC5C4F"/>
    <w:rsid w:val="00FC617D"/>
    <w:rsid w:val="00FC6250"/>
    <w:rsid w:val="00FC64DB"/>
    <w:rsid w:val="00FC66BE"/>
    <w:rsid w:val="00FC66FD"/>
    <w:rsid w:val="00FC6805"/>
    <w:rsid w:val="00FC6AB8"/>
    <w:rsid w:val="00FC6F0B"/>
    <w:rsid w:val="00FC70F6"/>
    <w:rsid w:val="00FC7139"/>
    <w:rsid w:val="00FC7496"/>
    <w:rsid w:val="00FC74E5"/>
    <w:rsid w:val="00FC74EC"/>
    <w:rsid w:val="00FC78A5"/>
    <w:rsid w:val="00FC7B01"/>
    <w:rsid w:val="00FC7C42"/>
    <w:rsid w:val="00FD0033"/>
    <w:rsid w:val="00FD00C6"/>
    <w:rsid w:val="00FD0157"/>
    <w:rsid w:val="00FD069E"/>
    <w:rsid w:val="00FD087C"/>
    <w:rsid w:val="00FD0D3C"/>
    <w:rsid w:val="00FD0E15"/>
    <w:rsid w:val="00FD0E9F"/>
    <w:rsid w:val="00FD1287"/>
    <w:rsid w:val="00FD12C6"/>
    <w:rsid w:val="00FD1591"/>
    <w:rsid w:val="00FD1695"/>
    <w:rsid w:val="00FD1B70"/>
    <w:rsid w:val="00FD1C54"/>
    <w:rsid w:val="00FD1D4F"/>
    <w:rsid w:val="00FD1DA2"/>
    <w:rsid w:val="00FD1F26"/>
    <w:rsid w:val="00FD1FA6"/>
    <w:rsid w:val="00FD20F3"/>
    <w:rsid w:val="00FD2552"/>
    <w:rsid w:val="00FD25D0"/>
    <w:rsid w:val="00FD28C8"/>
    <w:rsid w:val="00FD2A62"/>
    <w:rsid w:val="00FD2B22"/>
    <w:rsid w:val="00FD2BD7"/>
    <w:rsid w:val="00FD2C6C"/>
    <w:rsid w:val="00FD2C99"/>
    <w:rsid w:val="00FD3241"/>
    <w:rsid w:val="00FD34A2"/>
    <w:rsid w:val="00FD34FB"/>
    <w:rsid w:val="00FD35CC"/>
    <w:rsid w:val="00FD37EF"/>
    <w:rsid w:val="00FD3E4C"/>
    <w:rsid w:val="00FD3E83"/>
    <w:rsid w:val="00FD3E9E"/>
    <w:rsid w:val="00FD405F"/>
    <w:rsid w:val="00FD4D1E"/>
    <w:rsid w:val="00FD4DD9"/>
    <w:rsid w:val="00FD5098"/>
    <w:rsid w:val="00FD5208"/>
    <w:rsid w:val="00FD5341"/>
    <w:rsid w:val="00FD54D5"/>
    <w:rsid w:val="00FD55A9"/>
    <w:rsid w:val="00FD5697"/>
    <w:rsid w:val="00FD56A5"/>
    <w:rsid w:val="00FD5814"/>
    <w:rsid w:val="00FD585D"/>
    <w:rsid w:val="00FD5C18"/>
    <w:rsid w:val="00FD609E"/>
    <w:rsid w:val="00FD64FB"/>
    <w:rsid w:val="00FD6667"/>
    <w:rsid w:val="00FD66D4"/>
    <w:rsid w:val="00FD6A05"/>
    <w:rsid w:val="00FD6C29"/>
    <w:rsid w:val="00FD6C73"/>
    <w:rsid w:val="00FD6DA5"/>
    <w:rsid w:val="00FD6E5E"/>
    <w:rsid w:val="00FD754E"/>
    <w:rsid w:val="00FD7599"/>
    <w:rsid w:val="00FD7602"/>
    <w:rsid w:val="00FD76CF"/>
    <w:rsid w:val="00FD76D0"/>
    <w:rsid w:val="00FD76DA"/>
    <w:rsid w:val="00FD7787"/>
    <w:rsid w:val="00FD7A1B"/>
    <w:rsid w:val="00FD7E9F"/>
    <w:rsid w:val="00FD7FDD"/>
    <w:rsid w:val="00FE0224"/>
    <w:rsid w:val="00FE069E"/>
    <w:rsid w:val="00FE09F4"/>
    <w:rsid w:val="00FE0AC7"/>
    <w:rsid w:val="00FE0AD8"/>
    <w:rsid w:val="00FE0C14"/>
    <w:rsid w:val="00FE0E44"/>
    <w:rsid w:val="00FE0F42"/>
    <w:rsid w:val="00FE0F62"/>
    <w:rsid w:val="00FE0F84"/>
    <w:rsid w:val="00FE1932"/>
    <w:rsid w:val="00FE19F7"/>
    <w:rsid w:val="00FE1B6B"/>
    <w:rsid w:val="00FE1C02"/>
    <w:rsid w:val="00FE1E1A"/>
    <w:rsid w:val="00FE1F29"/>
    <w:rsid w:val="00FE1F86"/>
    <w:rsid w:val="00FE2001"/>
    <w:rsid w:val="00FE2072"/>
    <w:rsid w:val="00FE20E4"/>
    <w:rsid w:val="00FE211B"/>
    <w:rsid w:val="00FE24DE"/>
    <w:rsid w:val="00FE2774"/>
    <w:rsid w:val="00FE2860"/>
    <w:rsid w:val="00FE2872"/>
    <w:rsid w:val="00FE2B30"/>
    <w:rsid w:val="00FE2D45"/>
    <w:rsid w:val="00FE2D82"/>
    <w:rsid w:val="00FE2E9A"/>
    <w:rsid w:val="00FE3049"/>
    <w:rsid w:val="00FE307D"/>
    <w:rsid w:val="00FE313D"/>
    <w:rsid w:val="00FE31C0"/>
    <w:rsid w:val="00FE32C9"/>
    <w:rsid w:val="00FE3359"/>
    <w:rsid w:val="00FE356F"/>
    <w:rsid w:val="00FE3687"/>
    <w:rsid w:val="00FE38FF"/>
    <w:rsid w:val="00FE3E59"/>
    <w:rsid w:val="00FE3EC1"/>
    <w:rsid w:val="00FE3F4E"/>
    <w:rsid w:val="00FE4781"/>
    <w:rsid w:val="00FE4840"/>
    <w:rsid w:val="00FE4ABE"/>
    <w:rsid w:val="00FE4DC0"/>
    <w:rsid w:val="00FE4E20"/>
    <w:rsid w:val="00FE510D"/>
    <w:rsid w:val="00FE554A"/>
    <w:rsid w:val="00FE5693"/>
    <w:rsid w:val="00FE57F9"/>
    <w:rsid w:val="00FE5804"/>
    <w:rsid w:val="00FE589B"/>
    <w:rsid w:val="00FE5C32"/>
    <w:rsid w:val="00FE5E85"/>
    <w:rsid w:val="00FE60A3"/>
    <w:rsid w:val="00FE626F"/>
    <w:rsid w:val="00FE62AC"/>
    <w:rsid w:val="00FE6455"/>
    <w:rsid w:val="00FE64B4"/>
    <w:rsid w:val="00FE6750"/>
    <w:rsid w:val="00FE67AB"/>
    <w:rsid w:val="00FE67FB"/>
    <w:rsid w:val="00FE6A81"/>
    <w:rsid w:val="00FE7001"/>
    <w:rsid w:val="00FE70DC"/>
    <w:rsid w:val="00FE71A4"/>
    <w:rsid w:val="00FE72C3"/>
    <w:rsid w:val="00FE7B0B"/>
    <w:rsid w:val="00FF0058"/>
    <w:rsid w:val="00FF02A7"/>
    <w:rsid w:val="00FF0454"/>
    <w:rsid w:val="00FF092C"/>
    <w:rsid w:val="00FF0CCB"/>
    <w:rsid w:val="00FF0CDF"/>
    <w:rsid w:val="00FF0FE4"/>
    <w:rsid w:val="00FF1175"/>
    <w:rsid w:val="00FF11D0"/>
    <w:rsid w:val="00FF13AF"/>
    <w:rsid w:val="00FF1401"/>
    <w:rsid w:val="00FF1572"/>
    <w:rsid w:val="00FF1611"/>
    <w:rsid w:val="00FF18E6"/>
    <w:rsid w:val="00FF1BB9"/>
    <w:rsid w:val="00FF1C62"/>
    <w:rsid w:val="00FF1DC6"/>
    <w:rsid w:val="00FF1DFC"/>
    <w:rsid w:val="00FF1E83"/>
    <w:rsid w:val="00FF1F02"/>
    <w:rsid w:val="00FF2043"/>
    <w:rsid w:val="00FF228D"/>
    <w:rsid w:val="00FF2376"/>
    <w:rsid w:val="00FF24A7"/>
    <w:rsid w:val="00FF28B9"/>
    <w:rsid w:val="00FF31AE"/>
    <w:rsid w:val="00FF3269"/>
    <w:rsid w:val="00FF3571"/>
    <w:rsid w:val="00FF36BB"/>
    <w:rsid w:val="00FF36C7"/>
    <w:rsid w:val="00FF38AA"/>
    <w:rsid w:val="00FF3AD4"/>
    <w:rsid w:val="00FF3F7F"/>
    <w:rsid w:val="00FF40A0"/>
    <w:rsid w:val="00FF42AE"/>
    <w:rsid w:val="00FF42C6"/>
    <w:rsid w:val="00FF44FA"/>
    <w:rsid w:val="00FF46E4"/>
    <w:rsid w:val="00FF4760"/>
    <w:rsid w:val="00FF48BD"/>
    <w:rsid w:val="00FF496C"/>
    <w:rsid w:val="00FF4B1E"/>
    <w:rsid w:val="00FF4E54"/>
    <w:rsid w:val="00FF5087"/>
    <w:rsid w:val="00FF50B7"/>
    <w:rsid w:val="00FF52BD"/>
    <w:rsid w:val="00FF545D"/>
    <w:rsid w:val="00FF558F"/>
    <w:rsid w:val="00FF55A5"/>
    <w:rsid w:val="00FF56A2"/>
    <w:rsid w:val="00FF56FE"/>
    <w:rsid w:val="00FF57D7"/>
    <w:rsid w:val="00FF580B"/>
    <w:rsid w:val="00FF5989"/>
    <w:rsid w:val="00FF5C58"/>
    <w:rsid w:val="00FF5CA1"/>
    <w:rsid w:val="00FF5D61"/>
    <w:rsid w:val="00FF65B0"/>
    <w:rsid w:val="00FF65DB"/>
    <w:rsid w:val="00FF660E"/>
    <w:rsid w:val="00FF6764"/>
    <w:rsid w:val="00FF693A"/>
    <w:rsid w:val="00FF6AB4"/>
    <w:rsid w:val="00FF6BE7"/>
    <w:rsid w:val="00FF6C69"/>
    <w:rsid w:val="00FF6D2C"/>
    <w:rsid w:val="00FF7205"/>
    <w:rsid w:val="00FF7233"/>
    <w:rsid w:val="00FF73E1"/>
    <w:rsid w:val="00FF7488"/>
    <w:rsid w:val="00FF7675"/>
    <w:rsid w:val="00FF7707"/>
    <w:rsid w:val="00FF77F8"/>
    <w:rsid w:val="00FF786F"/>
    <w:rsid w:val="00FF794C"/>
    <w:rsid w:val="00FF7A84"/>
    <w:rsid w:val="00FF7CE3"/>
    <w:rsid w:val="013554F7"/>
    <w:rsid w:val="021452F6"/>
    <w:rsid w:val="03AE7443"/>
    <w:rsid w:val="047D4B16"/>
    <w:rsid w:val="055E4E76"/>
    <w:rsid w:val="05964521"/>
    <w:rsid w:val="05B5760A"/>
    <w:rsid w:val="05D46B91"/>
    <w:rsid w:val="060625CB"/>
    <w:rsid w:val="065E77A9"/>
    <w:rsid w:val="066B74E6"/>
    <w:rsid w:val="069F6DF6"/>
    <w:rsid w:val="06D20C0A"/>
    <w:rsid w:val="07152DAE"/>
    <w:rsid w:val="07916024"/>
    <w:rsid w:val="084E7CF0"/>
    <w:rsid w:val="095771A0"/>
    <w:rsid w:val="09F17DD7"/>
    <w:rsid w:val="0A122678"/>
    <w:rsid w:val="0A345F77"/>
    <w:rsid w:val="0B3A71C7"/>
    <w:rsid w:val="0B8403B1"/>
    <w:rsid w:val="0CB711E6"/>
    <w:rsid w:val="0D636A65"/>
    <w:rsid w:val="0EF44D0C"/>
    <w:rsid w:val="0FC533A8"/>
    <w:rsid w:val="10407D4F"/>
    <w:rsid w:val="106D43FC"/>
    <w:rsid w:val="107064CC"/>
    <w:rsid w:val="11332CC0"/>
    <w:rsid w:val="11F94BD2"/>
    <w:rsid w:val="135E2DCD"/>
    <w:rsid w:val="138E4F66"/>
    <w:rsid w:val="13E7623B"/>
    <w:rsid w:val="14C569D2"/>
    <w:rsid w:val="14DB026E"/>
    <w:rsid w:val="157D1577"/>
    <w:rsid w:val="15D63613"/>
    <w:rsid w:val="16EB21CD"/>
    <w:rsid w:val="16EF2D34"/>
    <w:rsid w:val="17533379"/>
    <w:rsid w:val="175C51BC"/>
    <w:rsid w:val="190B2B66"/>
    <w:rsid w:val="19C63E76"/>
    <w:rsid w:val="1C9F3E64"/>
    <w:rsid w:val="1CC655B2"/>
    <w:rsid w:val="1E655BD7"/>
    <w:rsid w:val="1E770468"/>
    <w:rsid w:val="1F0D0E20"/>
    <w:rsid w:val="1FA36F36"/>
    <w:rsid w:val="200F3D6E"/>
    <w:rsid w:val="21E80626"/>
    <w:rsid w:val="222C41DD"/>
    <w:rsid w:val="233C06E3"/>
    <w:rsid w:val="238814BB"/>
    <w:rsid w:val="24B5039C"/>
    <w:rsid w:val="24B572FA"/>
    <w:rsid w:val="265F6900"/>
    <w:rsid w:val="26CC74B6"/>
    <w:rsid w:val="275E3560"/>
    <w:rsid w:val="27967884"/>
    <w:rsid w:val="281B6006"/>
    <w:rsid w:val="282D5726"/>
    <w:rsid w:val="2857024A"/>
    <w:rsid w:val="28BA63F7"/>
    <w:rsid w:val="299F78B6"/>
    <w:rsid w:val="29D16F50"/>
    <w:rsid w:val="2A64225A"/>
    <w:rsid w:val="2BBA0648"/>
    <w:rsid w:val="2C3E6E08"/>
    <w:rsid w:val="2C835DDE"/>
    <w:rsid w:val="2CCF4F00"/>
    <w:rsid w:val="2D755356"/>
    <w:rsid w:val="2D823A8B"/>
    <w:rsid w:val="2EF456BA"/>
    <w:rsid w:val="2EFD7BC8"/>
    <w:rsid w:val="2FD2141A"/>
    <w:rsid w:val="30185CCC"/>
    <w:rsid w:val="301E79E0"/>
    <w:rsid w:val="306D09B7"/>
    <w:rsid w:val="312E39E8"/>
    <w:rsid w:val="32467E1B"/>
    <w:rsid w:val="32806A89"/>
    <w:rsid w:val="32867865"/>
    <w:rsid w:val="32B40FD3"/>
    <w:rsid w:val="33B00377"/>
    <w:rsid w:val="33D37C18"/>
    <w:rsid w:val="34CF1B7A"/>
    <w:rsid w:val="34E352BD"/>
    <w:rsid w:val="35824573"/>
    <w:rsid w:val="358D735D"/>
    <w:rsid w:val="35BB66C6"/>
    <w:rsid w:val="35D07049"/>
    <w:rsid w:val="35D166C3"/>
    <w:rsid w:val="36014521"/>
    <w:rsid w:val="368D575C"/>
    <w:rsid w:val="36976EA9"/>
    <w:rsid w:val="36AE5FAD"/>
    <w:rsid w:val="36E34A34"/>
    <w:rsid w:val="376052BF"/>
    <w:rsid w:val="376E336D"/>
    <w:rsid w:val="37B56808"/>
    <w:rsid w:val="37CE20AA"/>
    <w:rsid w:val="37E44F4B"/>
    <w:rsid w:val="37F172E5"/>
    <w:rsid w:val="38593621"/>
    <w:rsid w:val="392D7CE0"/>
    <w:rsid w:val="39B439DB"/>
    <w:rsid w:val="3A7B5B5A"/>
    <w:rsid w:val="3AFE465B"/>
    <w:rsid w:val="3C266A82"/>
    <w:rsid w:val="3C493921"/>
    <w:rsid w:val="3C641F14"/>
    <w:rsid w:val="3C926B3A"/>
    <w:rsid w:val="3D4F731F"/>
    <w:rsid w:val="3D895929"/>
    <w:rsid w:val="3E9A0537"/>
    <w:rsid w:val="3EB4491B"/>
    <w:rsid w:val="3FB458D7"/>
    <w:rsid w:val="402E0C04"/>
    <w:rsid w:val="40B72670"/>
    <w:rsid w:val="428606F1"/>
    <w:rsid w:val="42B551FF"/>
    <w:rsid w:val="42B91B94"/>
    <w:rsid w:val="435D265F"/>
    <w:rsid w:val="43BC55D8"/>
    <w:rsid w:val="44E30299"/>
    <w:rsid w:val="45182403"/>
    <w:rsid w:val="45811552"/>
    <w:rsid w:val="45824FBB"/>
    <w:rsid w:val="462400DC"/>
    <w:rsid w:val="47074954"/>
    <w:rsid w:val="491A5BCA"/>
    <w:rsid w:val="49E53F7D"/>
    <w:rsid w:val="4A017FB8"/>
    <w:rsid w:val="4B33516F"/>
    <w:rsid w:val="4B882727"/>
    <w:rsid w:val="4CC45790"/>
    <w:rsid w:val="4D55512D"/>
    <w:rsid w:val="4D953D44"/>
    <w:rsid w:val="4E8B2A91"/>
    <w:rsid w:val="4EFD2AB6"/>
    <w:rsid w:val="4F085978"/>
    <w:rsid w:val="4F114252"/>
    <w:rsid w:val="4F782B6C"/>
    <w:rsid w:val="4FB75ECE"/>
    <w:rsid w:val="509E478B"/>
    <w:rsid w:val="5145347C"/>
    <w:rsid w:val="51A328EC"/>
    <w:rsid w:val="5202358F"/>
    <w:rsid w:val="52527F11"/>
    <w:rsid w:val="539256AC"/>
    <w:rsid w:val="53EF7110"/>
    <w:rsid w:val="54253DBC"/>
    <w:rsid w:val="54E83C44"/>
    <w:rsid w:val="55FE62AA"/>
    <w:rsid w:val="561935C5"/>
    <w:rsid w:val="56E7170A"/>
    <w:rsid w:val="570021F2"/>
    <w:rsid w:val="57BD031B"/>
    <w:rsid w:val="590B7824"/>
    <w:rsid w:val="59CE77A1"/>
    <w:rsid w:val="5A322002"/>
    <w:rsid w:val="5A382363"/>
    <w:rsid w:val="5B0672C5"/>
    <w:rsid w:val="5B585BB7"/>
    <w:rsid w:val="5B67271F"/>
    <w:rsid w:val="5BD74270"/>
    <w:rsid w:val="5C3D05F4"/>
    <w:rsid w:val="5D225F18"/>
    <w:rsid w:val="5D5C6682"/>
    <w:rsid w:val="5DDF3F9A"/>
    <w:rsid w:val="5E143AA1"/>
    <w:rsid w:val="5EC6288E"/>
    <w:rsid w:val="5EE23102"/>
    <w:rsid w:val="5EFC1D78"/>
    <w:rsid w:val="5F1A4161"/>
    <w:rsid w:val="5F2801DC"/>
    <w:rsid w:val="600E2BDC"/>
    <w:rsid w:val="603B4F3C"/>
    <w:rsid w:val="60456325"/>
    <w:rsid w:val="606857CC"/>
    <w:rsid w:val="60987BF7"/>
    <w:rsid w:val="60E3046B"/>
    <w:rsid w:val="61B54C63"/>
    <w:rsid w:val="62621DDF"/>
    <w:rsid w:val="633220A8"/>
    <w:rsid w:val="636C29F4"/>
    <w:rsid w:val="63816315"/>
    <w:rsid w:val="643C5726"/>
    <w:rsid w:val="645846B8"/>
    <w:rsid w:val="65ED04FA"/>
    <w:rsid w:val="660549BC"/>
    <w:rsid w:val="66463ADD"/>
    <w:rsid w:val="6668723A"/>
    <w:rsid w:val="66696030"/>
    <w:rsid w:val="669F5B3C"/>
    <w:rsid w:val="67274BB2"/>
    <w:rsid w:val="674F2395"/>
    <w:rsid w:val="67D1079C"/>
    <w:rsid w:val="683D010A"/>
    <w:rsid w:val="68932E4C"/>
    <w:rsid w:val="68D96ECD"/>
    <w:rsid w:val="69B47A62"/>
    <w:rsid w:val="69E8031C"/>
    <w:rsid w:val="69F80ABB"/>
    <w:rsid w:val="69F8745E"/>
    <w:rsid w:val="6AF5109E"/>
    <w:rsid w:val="6B59286A"/>
    <w:rsid w:val="6C035642"/>
    <w:rsid w:val="6C3D0340"/>
    <w:rsid w:val="6D0D6E7B"/>
    <w:rsid w:val="6E3B3759"/>
    <w:rsid w:val="6E805E09"/>
    <w:rsid w:val="6EF73E86"/>
    <w:rsid w:val="705F750E"/>
    <w:rsid w:val="706A527B"/>
    <w:rsid w:val="717F052D"/>
    <w:rsid w:val="72190E55"/>
    <w:rsid w:val="72B83FDA"/>
    <w:rsid w:val="730B2269"/>
    <w:rsid w:val="7352074F"/>
    <w:rsid w:val="74024296"/>
    <w:rsid w:val="74C271B3"/>
    <w:rsid w:val="751A5306"/>
    <w:rsid w:val="7520135C"/>
    <w:rsid w:val="753C6E18"/>
    <w:rsid w:val="757A1483"/>
    <w:rsid w:val="76144637"/>
    <w:rsid w:val="77343079"/>
    <w:rsid w:val="77467F5B"/>
    <w:rsid w:val="77D3416C"/>
    <w:rsid w:val="78636BDA"/>
    <w:rsid w:val="78724E50"/>
    <w:rsid w:val="7A2E6A66"/>
    <w:rsid w:val="7B376F2A"/>
    <w:rsid w:val="7C8634CA"/>
    <w:rsid w:val="7CF02217"/>
    <w:rsid w:val="7E3E69B7"/>
    <w:rsid w:val="7E543EFD"/>
    <w:rsid w:val="7E7A39CC"/>
    <w:rsid w:val="7EDF4F19"/>
    <w:rsid w:val="7EE54599"/>
    <w:rsid w:val="7F1D17C4"/>
    <w:rsid w:val="7FF32C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3,4,5,6,7,8,9,10,11,12,13,14,15"/>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99"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iPriority="99" w:semiHidden="0" w:name="endnote reference"/>
    <w:lsdException w:qFormat="1" w:uiPriority="0" w:semiHidden="0" w:name="endnote text"/>
    <w:lsdException w:qFormat="1" w:unhideWhenUsed="0" w:uiPriority="0" w:semiHidden="0" w:name="table of authorities"/>
    <w:lsdException w:uiPriority="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qFormat="1" w:unhideWhenUsed="0" w:uiPriority="0" w:semiHidden="0" w:name="Table Simple 1"/>
    <w:lsdException w:uiPriority="0" w:name="Table Simple 2"/>
    <w:lsdException w:uiPriority="0" w:name="Table Simple 3"/>
    <w:lsdException w:qFormat="1" w:unhideWhenUsed="0" w:uiPriority="0" w:semiHidden="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qFormat="1" w:unhideWhenUsed="0" w:uiPriority="0" w:semiHidden="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qFormat="1" w:unhideWhenUsed="0" w:uiPriority="0" w:semiHidden="0" w:name="Table Theme"/>
    <w:lsdException w:qFormat="1" w:unhideWhenUsed="0" w:uiPriority="0"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04"/>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59"/>
    <w:qFormat/>
    <w:uiPriority w:val="0"/>
    <w:pPr>
      <w:keepNext/>
      <w:keepLines/>
      <w:numPr>
        <w:ilvl w:val="1"/>
        <w:numId w:val="1"/>
      </w:numPr>
      <w:tabs>
        <w:tab w:val="left" w:pos="0"/>
        <w:tab w:val="left" w:pos="426"/>
      </w:tabs>
      <w:spacing w:before="156" w:beforeLines="50" w:after="156" w:afterLines="50" w:line="500" w:lineRule="exact"/>
      <w:outlineLvl w:val="1"/>
    </w:pPr>
    <w:rPr>
      <w:rFonts w:eastAsia="仿宋_GB2312"/>
      <w:b/>
      <w:spacing w:val="6"/>
      <w:kern w:val="0"/>
      <w:sz w:val="30"/>
      <w:szCs w:val="30"/>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link w:val="279"/>
    <w:qFormat/>
    <w:uiPriority w:val="0"/>
    <w:pPr>
      <w:keepNext/>
      <w:keepLines/>
      <w:spacing w:line="500" w:lineRule="exact"/>
      <w:outlineLvl w:val="3"/>
    </w:pPr>
    <w:rPr>
      <w:rFonts w:ascii="仿宋_GB2312" w:hAnsi="Arial" w:eastAsia="仿宋_GB2312"/>
      <w:bCs/>
      <w:sz w:val="28"/>
      <w:szCs w:val="28"/>
    </w:rPr>
  </w:style>
  <w:style w:type="paragraph" w:styleId="6">
    <w:name w:val="heading 5"/>
    <w:basedOn w:val="1"/>
    <w:next w:val="1"/>
    <w:link w:val="697"/>
    <w:qFormat/>
    <w:uiPriority w:val="0"/>
    <w:pPr>
      <w:keepNext/>
      <w:keepLines/>
      <w:spacing w:before="280" w:after="290" w:line="376" w:lineRule="atLeast"/>
      <w:outlineLvl w:val="4"/>
    </w:pPr>
    <w:rPr>
      <w:rFonts w:ascii="仿宋_GB2312" w:eastAsia="仿宋_GB2312"/>
      <w:b/>
      <w:bCs/>
      <w:sz w:val="28"/>
      <w:szCs w:val="28"/>
    </w:rPr>
  </w:style>
  <w:style w:type="paragraph" w:styleId="7">
    <w:name w:val="heading 6"/>
    <w:basedOn w:val="1"/>
    <w:next w:val="1"/>
    <w:link w:val="698"/>
    <w:qFormat/>
    <w:uiPriority w:val="0"/>
    <w:pPr>
      <w:keepNext/>
      <w:keepLines/>
      <w:spacing w:before="240" w:after="64" w:line="320" w:lineRule="atLeast"/>
      <w:outlineLvl w:val="5"/>
    </w:pPr>
    <w:rPr>
      <w:rFonts w:ascii="Arial" w:hAnsi="Arial" w:eastAsia="黑体"/>
      <w:b/>
      <w:bCs/>
      <w:sz w:val="28"/>
    </w:rPr>
  </w:style>
  <w:style w:type="paragraph" w:styleId="8">
    <w:name w:val="heading 7"/>
    <w:basedOn w:val="1"/>
    <w:next w:val="1"/>
    <w:link w:val="699"/>
    <w:qFormat/>
    <w:uiPriority w:val="0"/>
    <w:pPr>
      <w:keepNext/>
      <w:keepLines/>
      <w:spacing w:before="240" w:after="64" w:line="320" w:lineRule="atLeast"/>
      <w:outlineLvl w:val="6"/>
    </w:pPr>
    <w:rPr>
      <w:rFonts w:ascii="仿宋_GB2312" w:eastAsia="仿宋_GB2312"/>
      <w:b/>
      <w:bCs/>
      <w:sz w:val="28"/>
    </w:rPr>
  </w:style>
  <w:style w:type="paragraph" w:styleId="9">
    <w:name w:val="heading 8"/>
    <w:basedOn w:val="1"/>
    <w:next w:val="1"/>
    <w:link w:val="700"/>
    <w:qFormat/>
    <w:uiPriority w:val="0"/>
    <w:pPr>
      <w:keepNext/>
      <w:keepLines/>
      <w:spacing w:before="240" w:after="64" w:line="320" w:lineRule="atLeast"/>
      <w:outlineLvl w:val="7"/>
    </w:pPr>
    <w:rPr>
      <w:rFonts w:ascii="Arial" w:hAnsi="Arial" w:eastAsia="黑体"/>
      <w:sz w:val="28"/>
    </w:rPr>
  </w:style>
  <w:style w:type="paragraph" w:styleId="10">
    <w:name w:val="heading 9"/>
    <w:basedOn w:val="1"/>
    <w:next w:val="1"/>
    <w:link w:val="701"/>
    <w:qFormat/>
    <w:uiPriority w:val="0"/>
    <w:pPr>
      <w:keepNext/>
      <w:keepLines/>
      <w:spacing w:before="240" w:after="64" w:line="320" w:lineRule="atLeast"/>
      <w:outlineLvl w:val="8"/>
    </w:pPr>
    <w:rPr>
      <w:rFonts w:ascii="Arial" w:hAnsi="Arial" w:eastAsia="黑体"/>
      <w:szCs w:val="21"/>
    </w:rPr>
  </w:style>
  <w:style w:type="character" w:default="1" w:styleId="94">
    <w:name w:val="Default Paragraph Font"/>
    <w:semiHidden/>
    <w:unhideWhenUsed/>
    <w:qFormat/>
    <w:uiPriority w:val="1"/>
  </w:style>
  <w:style w:type="table" w:default="1" w:styleId="87">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spacing w:before="60"/>
      <w:ind w:left="1260" w:hanging="420"/>
    </w:pPr>
    <w:rPr>
      <w:rFonts w:ascii="Arial" w:hAnsi="Arial" w:eastAsia="仿宋_GB2312"/>
      <w:kern w:val="0"/>
      <w:sz w:val="24"/>
      <w:szCs w:val="20"/>
    </w:rPr>
  </w:style>
  <w:style w:type="paragraph" w:styleId="12">
    <w:name w:val="toc 7"/>
    <w:basedOn w:val="1"/>
    <w:next w:val="1"/>
    <w:qFormat/>
    <w:uiPriority w:val="39"/>
    <w:pPr>
      <w:ind w:left="1260"/>
      <w:jc w:val="left"/>
    </w:pPr>
    <w:rPr>
      <w:sz w:val="18"/>
      <w:szCs w:val="18"/>
    </w:rPr>
  </w:style>
  <w:style w:type="paragraph" w:styleId="13">
    <w:name w:val="List Number 2"/>
    <w:basedOn w:val="1"/>
    <w:qFormat/>
    <w:uiPriority w:val="0"/>
    <w:pPr>
      <w:tabs>
        <w:tab w:val="left" w:pos="360"/>
      </w:tabs>
      <w:ind w:left="360" w:hanging="360"/>
    </w:pPr>
  </w:style>
  <w:style w:type="paragraph" w:styleId="14">
    <w:name w:val="table of authorities"/>
    <w:basedOn w:val="1"/>
    <w:next w:val="1"/>
    <w:qFormat/>
    <w:uiPriority w:val="0"/>
    <w:pPr>
      <w:ind w:left="210" w:hanging="210"/>
      <w:jc w:val="left"/>
    </w:pPr>
  </w:style>
  <w:style w:type="paragraph" w:styleId="15">
    <w:name w:val="Note Heading"/>
    <w:basedOn w:val="1"/>
    <w:next w:val="1"/>
    <w:link w:val="410"/>
    <w:qFormat/>
    <w:uiPriority w:val="0"/>
    <w:pPr>
      <w:jc w:val="center"/>
    </w:pPr>
  </w:style>
  <w:style w:type="paragraph" w:styleId="16">
    <w:name w:val="List Bullet 4"/>
    <w:basedOn w:val="1"/>
    <w:qFormat/>
    <w:uiPriority w:val="0"/>
    <w:pPr>
      <w:tabs>
        <w:tab w:val="left" w:pos="435"/>
      </w:tabs>
      <w:ind w:left="435" w:hanging="435"/>
    </w:pPr>
  </w:style>
  <w:style w:type="paragraph" w:styleId="17">
    <w:name w:val="index 8"/>
    <w:basedOn w:val="1"/>
    <w:next w:val="1"/>
    <w:qFormat/>
    <w:uiPriority w:val="0"/>
    <w:pPr>
      <w:ind w:left="1400" w:leftChars="1400"/>
    </w:pPr>
  </w:style>
  <w:style w:type="paragraph" w:styleId="18">
    <w:name w:val="E-mail Signature"/>
    <w:basedOn w:val="1"/>
    <w:link w:val="647"/>
    <w:qFormat/>
    <w:uiPriority w:val="0"/>
    <w:pPr>
      <w:spacing w:before="60"/>
      <w:ind w:firstLine="482"/>
    </w:pPr>
    <w:rPr>
      <w:rFonts w:ascii="Arial" w:hAnsi="Arial" w:eastAsia="仿宋_GB2312"/>
      <w:kern w:val="0"/>
      <w:sz w:val="24"/>
      <w:szCs w:val="20"/>
    </w:rPr>
  </w:style>
  <w:style w:type="paragraph" w:styleId="19">
    <w:name w:val="List Number"/>
    <w:basedOn w:val="1"/>
    <w:qFormat/>
    <w:uiPriority w:val="0"/>
    <w:pPr>
      <w:tabs>
        <w:tab w:val="left" w:pos="360"/>
      </w:tabs>
      <w:ind w:left="360" w:hanging="360" w:hangingChars="200"/>
    </w:pPr>
  </w:style>
  <w:style w:type="paragraph" w:styleId="20">
    <w:name w:val="Normal Indent"/>
    <w:basedOn w:val="1"/>
    <w:link w:val="206"/>
    <w:qFormat/>
    <w:uiPriority w:val="0"/>
    <w:pPr>
      <w:ind w:firstLine="420" w:firstLineChars="200"/>
    </w:pPr>
  </w:style>
  <w:style w:type="paragraph" w:styleId="21">
    <w:name w:val="caption"/>
    <w:basedOn w:val="1"/>
    <w:next w:val="1"/>
    <w:link w:val="363"/>
    <w:qFormat/>
    <w:uiPriority w:val="99"/>
    <w:pPr>
      <w:tabs>
        <w:tab w:val="left" w:pos="7380"/>
      </w:tabs>
      <w:overflowPunct w:val="0"/>
      <w:spacing w:before="152" w:afterLines="100"/>
      <w:jc w:val="left"/>
    </w:pPr>
    <w:rPr>
      <w:rFonts w:ascii="Arial" w:hAnsi="Arial" w:eastAsia="黑体" w:cs="Arial"/>
      <w:sz w:val="20"/>
      <w:szCs w:val="20"/>
    </w:rPr>
  </w:style>
  <w:style w:type="paragraph" w:styleId="22">
    <w:name w:val="index 5"/>
    <w:basedOn w:val="1"/>
    <w:next w:val="1"/>
    <w:qFormat/>
    <w:uiPriority w:val="0"/>
    <w:pPr>
      <w:ind w:left="800" w:leftChars="800"/>
    </w:pPr>
  </w:style>
  <w:style w:type="paragraph" w:styleId="23">
    <w:name w:val="List Bullet"/>
    <w:basedOn w:val="1"/>
    <w:qFormat/>
    <w:uiPriority w:val="0"/>
    <w:pPr>
      <w:tabs>
        <w:tab w:val="left" w:pos="1140"/>
      </w:tabs>
      <w:ind w:left="1140" w:hanging="720"/>
    </w:pPr>
  </w:style>
  <w:style w:type="paragraph" w:styleId="24">
    <w:name w:val="envelope address"/>
    <w:basedOn w:val="1"/>
    <w:qFormat/>
    <w:uiPriority w:val="0"/>
    <w:pPr>
      <w:framePr w:w="7920" w:h="1980" w:hRule="exact" w:hSpace="180" w:wrap="around" w:vAnchor="margin" w:hAnchor="page" w:xAlign="center" w:yAlign="bottom"/>
      <w:widowControl/>
      <w:overflowPunct w:val="0"/>
      <w:autoSpaceDE w:val="0"/>
      <w:autoSpaceDN w:val="0"/>
      <w:adjustRightInd w:val="0"/>
      <w:spacing w:line="264" w:lineRule="auto"/>
      <w:ind w:left="2880"/>
      <w:jc w:val="left"/>
      <w:textAlignment w:val="baseline"/>
    </w:pPr>
    <w:rPr>
      <w:rFonts w:ascii="Arial" w:hAnsi="Arial"/>
      <w:kern w:val="0"/>
      <w:sz w:val="22"/>
      <w:szCs w:val="20"/>
      <w:lang w:val="en-GB"/>
    </w:rPr>
  </w:style>
  <w:style w:type="paragraph" w:styleId="25">
    <w:name w:val="Document Map"/>
    <w:basedOn w:val="1"/>
    <w:link w:val="371"/>
    <w:qFormat/>
    <w:uiPriority w:val="0"/>
    <w:pPr>
      <w:shd w:val="clear" w:color="auto" w:fill="000080"/>
    </w:pPr>
  </w:style>
  <w:style w:type="paragraph" w:styleId="26">
    <w:name w:val="toa heading"/>
    <w:basedOn w:val="1"/>
    <w:next w:val="1"/>
    <w:qFormat/>
    <w:uiPriority w:val="0"/>
    <w:pPr>
      <w:spacing w:before="120" w:after="120"/>
      <w:jc w:val="left"/>
    </w:pPr>
    <w:rPr>
      <w:u w:val="single"/>
    </w:rPr>
  </w:style>
  <w:style w:type="paragraph" w:styleId="27">
    <w:name w:val="annotation text"/>
    <w:basedOn w:val="1"/>
    <w:link w:val="807"/>
    <w:qFormat/>
    <w:uiPriority w:val="0"/>
    <w:pPr>
      <w:adjustRightInd w:val="0"/>
      <w:spacing w:line="360" w:lineRule="atLeast"/>
      <w:jc w:val="left"/>
      <w:textAlignment w:val="baseline"/>
    </w:pPr>
    <w:rPr>
      <w:kern w:val="0"/>
      <w:sz w:val="24"/>
      <w:szCs w:val="20"/>
    </w:rPr>
  </w:style>
  <w:style w:type="paragraph" w:styleId="28">
    <w:name w:val="index 6"/>
    <w:basedOn w:val="1"/>
    <w:next w:val="1"/>
    <w:qFormat/>
    <w:uiPriority w:val="0"/>
    <w:pPr>
      <w:ind w:left="1000" w:leftChars="1000"/>
    </w:pPr>
  </w:style>
  <w:style w:type="paragraph" w:styleId="29">
    <w:name w:val="Salutation"/>
    <w:basedOn w:val="1"/>
    <w:next w:val="1"/>
    <w:link w:val="646"/>
    <w:qFormat/>
    <w:uiPriority w:val="0"/>
    <w:pPr>
      <w:spacing w:before="60"/>
      <w:ind w:firstLine="482"/>
    </w:pPr>
    <w:rPr>
      <w:rFonts w:ascii="Arial" w:hAnsi="Arial" w:eastAsia="仿宋_GB2312"/>
      <w:kern w:val="0"/>
      <w:sz w:val="24"/>
      <w:szCs w:val="20"/>
    </w:rPr>
  </w:style>
  <w:style w:type="paragraph" w:styleId="30">
    <w:name w:val="Body Text 3"/>
    <w:basedOn w:val="1"/>
    <w:link w:val="804"/>
    <w:qFormat/>
    <w:uiPriority w:val="0"/>
    <w:pPr>
      <w:spacing w:after="120"/>
    </w:pPr>
    <w:rPr>
      <w:sz w:val="16"/>
      <w:szCs w:val="16"/>
    </w:rPr>
  </w:style>
  <w:style w:type="paragraph" w:styleId="31">
    <w:name w:val="Closing"/>
    <w:basedOn w:val="1"/>
    <w:link w:val="649"/>
    <w:qFormat/>
    <w:uiPriority w:val="0"/>
    <w:pPr>
      <w:spacing w:before="60"/>
      <w:ind w:left="4320" w:firstLine="482"/>
    </w:pPr>
    <w:rPr>
      <w:rFonts w:ascii="Arial" w:hAnsi="Arial" w:eastAsia="仿宋_GB2312"/>
      <w:kern w:val="0"/>
      <w:sz w:val="24"/>
      <w:szCs w:val="20"/>
    </w:rPr>
  </w:style>
  <w:style w:type="paragraph" w:styleId="32">
    <w:name w:val="List Bullet 3"/>
    <w:basedOn w:val="1"/>
    <w:qFormat/>
    <w:uiPriority w:val="0"/>
    <w:pPr>
      <w:spacing w:before="50" w:line="500" w:lineRule="exact"/>
      <w:ind w:left="180"/>
    </w:pPr>
    <w:rPr>
      <w:spacing w:val="6"/>
      <w:sz w:val="28"/>
      <w:szCs w:val="20"/>
    </w:rPr>
  </w:style>
  <w:style w:type="paragraph" w:styleId="33">
    <w:name w:val="Body Text"/>
    <w:basedOn w:val="1"/>
    <w:next w:val="1"/>
    <w:link w:val="209"/>
    <w:qFormat/>
    <w:uiPriority w:val="0"/>
    <w:pPr>
      <w:spacing w:after="120"/>
    </w:pPr>
  </w:style>
  <w:style w:type="paragraph" w:styleId="34">
    <w:name w:val="Body Text Indent"/>
    <w:basedOn w:val="1"/>
    <w:link w:val="198"/>
    <w:qFormat/>
    <w:uiPriority w:val="0"/>
    <w:pPr>
      <w:spacing w:after="120"/>
      <w:ind w:left="420" w:leftChars="200"/>
    </w:pPr>
  </w:style>
  <w:style w:type="paragraph" w:styleId="35">
    <w:name w:val="List Number 3"/>
    <w:basedOn w:val="1"/>
    <w:qFormat/>
    <w:uiPriority w:val="0"/>
    <w:pPr>
      <w:tabs>
        <w:tab w:val="left" w:pos="1200"/>
        <w:tab w:val="left" w:pos="3240"/>
      </w:tabs>
      <w:ind w:left="1200" w:hanging="360"/>
    </w:pPr>
  </w:style>
  <w:style w:type="paragraph" w:styleId="36">
    <w:name w:val="List 2"/>
    <w:basedOn w:val="1"/>
    <w:qFormat/>
    <w:uiPriority w:val="0"/>
    <w:pPr>
      <w:ind w:left="100" w:leftChars="200" w:hanging="200" w:hangingChars="200"/>
    </w:pPr>
  </w:style>
  <w:style w:type="paragraph" w:styleId="37">
    <w:name w:val="List Continue"/>
    <w:basedOn w:val="1"/>
    <w:qFormat/>
    <w:uiPriority w:val="0"/>
    <w:pPr>
      <w:spacing w:before="60" w:after="120"/>
      <w:ind w:left="420" w:firstLine="482"/>
    </w:pPr>
    <w:rPr>
      <w:rFonts w:ascii="Arial" w:hAnsi="Arial" w:eastAsia="仿宋_GB2312"/>
      <w:kern w:val="0"/>
      <w:sz w:val="24"/>
      <w:szCs w:val="20"/>
    </w:rPr>
  </w:style>
  <w:style w:type="paragraph" w:styleId="38">
    <w:name w:val="Block Text"/>
    <w:basedOn w:val="1"/>
    <w:qFormat/>
    <w:uiPriority w:val="0"/>
    <w:pPr>
      <w:spacing w:after="120"/>
      <w:ind w:left="1440" w:leftChars="700" w:right="700" w:rightChars="700"/>
    </w:pPr>
    <w:rPr>
      <w:szCs w:val="20"/>
    </w:rPr>
  </w:style>
  <w:style w:type="paragraph" w:styleId="39">
    <w:name w:val="List Bullet 2"/>
    <w:basedOn w:val="1"/>
    <w:qFormat/>
    <w:uiPriority w:val="0"/>
    <w:pPr>
      <w:widowControl/>
      <w:overflowPunct w:val="0"/>
      <w:autoSpaceDE w:val="0"/>
      <w:autoSpaceDN w:val="0"/>
      <w:adjustRightInd w:val="0"/>
      <w:spacing w:line="264" w:lineRule="auto"/>
      <w:ind w:left="720" w:hanging="360"/>
      <w:jc w:val="left"/>
      <w:textAlignment w:val="baseline"/>
    </w:pPr>
    <w:rPr>
      <w:rFonts w:ascii="Book Antiqua" w:hAnsi="Book Antiqua"/>
      <w:kern w:val="0"/>
      <w:sz w:val="22"/>
      <w:szCs w:val="20"/>
      <w:lang w:val="en-GB"/>
    </w:rPr>
  </w:style>
  <w:style w:type="paragraph" w:styleId="40">
    <w:name w:val="HTML Address"/>
    <w:basedOn w:val="1"/>
    <w:link w:val="645"/>
    <w:qFormat/>
    <w:uiPriority w:val="0"/>
    <w:pPr>
      <w:spacing w:before="60"/>
      <w:ind w:firstLine="482"/>
    </w:pPr>
    <w:rPr>
      <w:rFonts w:ascii="Arial" w:hAnsi="Arial" w:eastAsia="仿宋_GB2312"/>
      <w:i/>
      <w:iCs/>
      <w:kern w:val="0"/>
      <w:sz w:val="24"/>
      <w:szCs w:val="20"/>
    </w:rPr>
  </w:style>
  <w:style w:type="paragraph" w:styleId="41">
    <w:name w:val="index 4"/>
    <w:basedOn w:val="1"/>
    <w:next w:val="1"/>
    <w:qFormat/>
    <w:uiPriority w:val="0"/>
    <w:pPr>
      <w:ind w:left="600" w:leftChars="600"/>
    </w:pPr>
  </w:style>
  <w:style w:type="paragraph" w:styleId="42">
    <w:name w:val="toc 5"/>
    <w:basedOn w:val="1"/>
    <w:next w:val="1"/>
    <w:qFormat/>
    <w:uiPriority w:val="0"/>
    <w:pPr>
      <w:ind w:left="840"/>
      <w:jc w:val="left"/>
    </w:pPr>
    <w:rPr>
      <w:sz w:val="18"/>
      <w:szCs w:val="18"/>
    </w:rPr>
  </w:style>
  <w:style w:type="paragraph" w:styleId="43">
    <w:name w:val="toc 3"/>
    <w:basedOn w:val="1"/>
    <w:next w:val="1"/>
    <w:qFormat/>
    <w:uiPriority w:val="39"/>
    <w:pPr>
      <w:ind w:left="420"/>
      <w:jc w:val="left"/>
    </w:pPr>
    <w:rPr>
      <w:i/>
      <w:iCs/>
      <w:sz w:val="20"/>
      <w:szCs w:val="20"/>
    </w:rPr>
  </w:style>
  <w:style w:type="paragraph" w:styleId="44">
    <w:name w:val="Plain Text"/>
    <w:basedOn w:val="1"/>
    <w:link w:val="210"/>
    <w:qFormat/>
    <w:uiPriority w:val="0"/>
    <w:rPr>
      <w:rFonts w:ascii="宋体" w:hAnsi="Courier New" w:cs="Courier New"/>
      <w:szCs w:val="21"/>
    </w:rPr>
  </w:style>
  <w:style w:type="paragraph" w:styleId="45">
    <w:name w:val="List Bullet 5"/>
    <w:basedOn w:val="1"/>
    <w:qFormat/>
    <w:uiPriority w:val="0"/>
    <w:pPr>
      <w:tabs>
        <w:tab w:val="left" w:pos="1260"/>
      </w:tabs>
      <w:ind w:left="1260" w:hanging="720"/>
    </w:pPr>
  </w:style>
  <w:style w:type="paragraph" w:styleId="46">
    <w:name w:val="List Number 4"/>
    <w:basedOn w:val="1"/>
    <w:qFormat/>
    <w:uiPriority w:val="0"/>
    <w:pPr>
      <w:tabs>
        <w:tab w:val="left" w:pos="432"/>
      </w:tabs>
      <w:ind w:left="432" w:hanging="432"/>
    </w:pPr>
  </w:style>
  <w:style w:type="paragraph" w:styleId="47">
    <w:name w:val="toc 8"/>
    <w:basedOn w:val="1"/>
    <w:next w:val="1"/>
    <w:qFormat/>
    <w:uiPriority w:val="39"/>
    <w:pPr>
      <w:ind w:left="1470"/>
      <w:jc w:val="left"/>
    </w:pPr>
    <w:rPr>
      <w:sz w:val="18"/>
      <w:szCs w:val="18"/>
    </w:rPr>
  </w:style>
  <w:style w:type="paragraph" w:styleId="48">
    <w:name w:val="index 3"/>
    <w:basedOn w:val="1"/>
    <w:next w:val="1"/>
    <w:qFormat/>
    <w:uiPriority w:val="0"/>
    <w:pPr>
      <w:ind w:left="400" w:leftChars="400"/>
    </w:pPr>
  </w:style>
  <w:style w:type="paragraph" w:styleId="49">
    <w:name w:val="Date"/>
    <w:basedOn w:val="1"/>
    <w:next w:val="1"/>
    <w:link w:val="805"/>
    <w:qFormat/>
    <w:uiPriority w:val="0"/>
    <w:pPr>
      <w:adjustRightInd w:val="0"/>
      <w:spacing w:line="360" w:lineRule="atLeast"/>
      <w:ind w:left="100" w:leftChars="2500"/>
      <w:jc w:val="left"/>
      <w:textAlignment w:val="baseline"/>
    </w:pPr>
    <w:rPr>
      <w:rFonts w:ascii="宋体"/>
      <w:kern w:val="0"/>
      <w:sz w:val="24"/>
      <w:szCs w:val="20"/>
    </w:rPr>
  </w:style>
  <w:style w:type="paragraph" w:styleId="50">
    <w:name w:val="Body Text Indent 2"/>
    <w:basedOn w:val="1"/>
    <w:link w:val="205"/>
    <w:qFormat/>
    <w:uiPriority w:val="0"/>
    <w:pPr>
      <w:spacing w:line="500" w:lineRule="exact"/>
      <w:ind w:firstLine="560" w:firstLineChars="200"/>
    </w:pPr>
    <w:rPr>
      <w:rFonts w:ascii="仿宋_GB2312" w:eastAsia="仿宋_GB2312"/>
      <w:sz w:val="28"/>
      <w:szCs w:val="20"/>
    </w:rPr>
  </w:style>
  <w:style w:type="paragraph" w:styleId="51">
    <w:name w:val="endnote text"/>
    <w:basedOn w:val="1"/>
    <w:link w:val="877"/>
    <w:unhideWhenUsed/>
    <w:qFormat/>
    <w:uiPriority w:val="0"/>
    <w:pPr>
      <w:snapToGrid w:val="0"/>
      <w:spacing w:line="500" w:lineRule="exact"/>
      <w:ind w:firstLine="200" w:firstLineChars="200"/>
      <w:jc w:val="left"/>
    </w:pPr>
    <w:rPr>
      <w:rFonts w:ascii="仿宋_GB2312" w:hAnsi="仿宋_GB2312" w:eastAsia="仿宋_GB2312"/>
      <w:sz w:val="28"/>
      <w:szCs w:val="21"/>
    </w:rPr>
  </w:style>
  <w:style w:type="paragraph" w:styleId="52">
    <w:name w:val="List Continue 5"/>
    <w:basedOn w:val="1"/>
    <w:qFormat/>
    <w:uiPriority w:val="0"/>
    <w:pPr>
      <w:spacing w:before="60" w:after="120"/>
      <w:ind w:left="2100" w:firstLine="482"/>
    </w:pPr>
    <w:rPr>
      <w:rFonts w:ascii="Arial" w:hAnsi="Arial" w:eastAsia="仿宋_GB2312"/>
      <w:kern w:val="0"/>
      <w:sz w:val="24"/>
      <w:szCs w:val="20"/>
    </w:rPr>
  </w:style>
  <w:style w:type="paragraph" w:styleId="53">
    <w:name w:val="Balloon Text"/>
    <w:basedOn w:val="1"/>
    <w:link w:val="372"/>
    <w:qFormat/>
    <w:uiPriority w:val="0"/>
    <w:rPr>
      <w:sz w:val="18"/>
      <w:szCs w:val="18"/>
    </w:rPr>
  </w:style>
  <w:style w:type="paragraph" w:styleId="54">
    <w:name w:val="footer"/>
    <w:basedOn w:val="1"/>
    <w:link w:val="364"/>
    <w:qFormat/>
    <w:uiPriority w:val="0"/>
    <w:pPr>
      <w:tabs>
        <w:tab w:val="center" w:pos="4153"/>
        <w:tab w:val="right" w:pos="8306"/>
      </w:tabs>
      <w:snapToGrid w:val="0"/>
      <w:jc w:val="left"/>
    </w:pPr>
    <w:rPr>
      <w:sz w:val="18"/>
      <w:szCs w:val="18"/>
    </w:rPr>
  </w:style>
  <w:style w:type="paragraph" w:styleId="55">
    <w:name w:val="envelope return"/>
    <w:basedOn w:val="1"/>
    <w:qFormat/>
    <w:uiPriority w:val="0"/>
    <w:pPr>
      <w:snapToGrid w:val="0"/>
      <w:spacing w:before="60"/>
      <w:ind w:firstLine="482"/>
    </w:pPr>
    <w:rPr>
      <w:rFonts w:ascii="Arial" w:hAnsi="Arial" w:eastAsia="仿宋_GB2312" w:cs="Arial"/>
      <w:kern w:val="0"/>
      <w:sz w:val="24"/>
      <w:szCs w:val="20"/>
    </w:rPr>
  </w:style>
  <w:style w:type="paragraph" w:styleId="56">
    <w:name w:val="header"/>
    <w:basedOn w:val="1"/>
    <w:next w:val="33"/>
    <w:link w:val="367"/>
    <w:qFormat/>
    <w:uiPriority w:val="0"/>
    <w:pPr>
      <w:pBdr>
        <w:bottom w:val="single" w:color="auto" w:sz="6" w:space="1"/>
      </w:pBdr>
      <w:tabs>
        <w:tab w:val="center" w:pos="4153"/>
        <w:tab w:val="right" w:pos="8306"/>
      </w:tabs>
      <w:snapToGrid w:val="0"/>
      <w:jc w:val="center"/>
    </w:pPr>
    <w:rPr>
      <w:sz w:val="18"/>
      <w:szCs w:val="18"/>
    </w:rPr>
  </w:style>
  <w:style w:type="paragraph" w:styleId="57">
    <w:name w:val="Signature"/>
    <w:basedOn w:val="1"/>
    <w:link w:val="650"/>
    <w:qFormat/>
    <w:uiPriority w:val="0"/>
    <w:pPr>
      <w:spacing w:before="60"/>
      <w:ind w:left="4320" w:firstLine="482"/>
    </w:pPr>
    <w:rPr>
      <w:rFonts w:ascii="Arial" w:hAnsi="Arial" w:eastAsia="仿宋_GB2312"/>
      <w:kern w:val="0"/>
      <w:sz w:val="24"/>
      <w:szCs w:val="20"/>
    </w:rPr>
  </w:style>
  <w:style w:type="paragraph" w:styleId="58">
    <w:name w:val="toc 1"/>
    <w:basedOn w:val="1"/>
    <w:next w:val="1"/>
    <w:qFormat/>
    <w:uiPriority w:val="39"/>
    <w:pPr>
      <w:tabs>
        <w:tab w:val="left" w:pos="284"/>
        <w:tab w:val="left" w:pos="630"/>
        <w:tab w:val="right" w:leader="dot" w:pos="8302"/>
      </w:tabs>
      <w:snapToGrid w:val="0"/>
      <w:spacing w:before="120" w:after="120"/>
      <w:jc w:val="center"/>
    </w:pPr>
    <w:rPr>
      <w:rFonts w:eastAsia="仿宋_GB2312"/>
      <w:b/>
      <w:bCs/>
      <w:sz w:val="32"/>
      <w:szCs w:val="28"/>
    </w:rPr>
  </w:style>
  <w:style w:type="paragraph" w:styleId="59">
    <w:name w:val="List Continue 4"/>
    <w:basedOn w:val="1"/>
    <w:qFormat/>
    <w:uiPriority w:val="0"/>
    <w:pPr>
      <w:spacing w:before="60" w:after="120"/>
      <w:ind w:left="1680" w:firstLine="482"/>
    </w:pPr>
    <w:rPr>
      <w:rFonts w:ascii="Arial" w:hAnsi="Arial" w:eastAsia="仿宋_GB2312"/>
      <w:kern w:val="0"/>
      <w:sz w:val="24"/>
      <w:szCs w:val="20"/>
    </w:rPr>
  </w:style>
  <w:style w:type="paragraph" w:styleId="60">
    <w:name w:val="toc 4"/>
    <w:basedOn w:val="1"/>
    <w:next w:val="1"/>
    <w:qFormat/>
    <w:uiPriority w:val="0"/>
    <w:pPr>
      <w:ind w:left="630"/>
      <w:jc w:val="left"/>
    </w:pPr>
    <w:rPr>
      <w:sz w:val="18"/>
      <w:szCs w:val="18"/>
    </w:rPr>
  </w:style>
  <w:style w:type="paragraph" w:styleId="61">
    <w:name w:val="index heading"/>
    <w:basedOn w:val="1"/>
    <w:next w:val="62"/>
    <w:qFormat/>
    <w:uiPriority w:val="0"/>
  </w:style>
  <w:style w:type="paragraph" w:styleId="62">
    <w:name w:val="index 1"/>
    <w:basedOn w:val="1"/>
    <w:next w:val="1"/>
    <w:qFormat/>
    <w:uiPriority w:val="0"/>
    <w:pPr>
      <w:spacing w:line="400" w:lineRule="exact"/>
      <w:ind w:firstLine="461" w:firstLineChars="192"/>
    </w:pPr>
    <w:rPr>
      <w:rFonts w:ascii="宋体"/>
      <w:bCs/>
      <w:color w:val="000000"/>
      <w:sz w:val="24"/>
    </w:rPr>
  </w:style>
  <w:style w:type="paragraph" w:styleId="63">
    <w:name w:val="Subtitle"/>
    <w:basedOn w:val="1"/>
    <w:link w:val="651"/>
    <w:qFormat/>
    <w:uiPriority w:val="0"/>
    <w:pPr>
      <w:spacing w:before="240" w:after="60" w:line="312" w:lineRule="auto"/>
      <w:ind w:firstLine="482"/>
      <w:jc w:val="center"/>
      <w:outlineLvl w:val="1"/>
    </w:pPr>
    <w:rPr>
      <w:rFonts w:ascii="Arial" w:hAnsi="Arial" w:eastAsia="仿宋_GB2312"/>
      <w:b/>
      <w:bCs/>
      <w:kern w:val="28"/>
      <w:sz w:val="32"/>
      <w:szCs w:val="32"/>
    </w:rPr>
  </w:style>
  <w:style w:type="paragraph" w:styleId="64">
    <w:name w:val="List Number 5"/>
    <w:basedOn w:val="1"/>
    <w:qFormat/>
    <w:uiPriority w:val="0"/>
    <w:pPr>
      <w:tabs>
        <w:tab w:val="left" w:pos="2040"/>
      </w:tabs>
      <w:ind w:left="2040" w:hanging="360"/>
    </w:pPr>
    <w:rPr>
      <w:szCs w:val="20"/>
    </w:rPr>
  </w:style>
  <w:style w:type="paragraph" w:styleId="65">
    <w:name w:val="List"/>
    <w:basedOn w:val="1"/>
    <w:link w:val="1100"/>
    <w:qFormat/>
    <w:uiPriority w:val="0"/>
    <w:pPr>
      <w:spacing w:line="360" w:lineRule="exact"/>
      <w:jc w:val="center"/>
    </w:pPr>
    <w:rPr>
      <w:rFonts w:ascii="仿宋_GB2312" w:eastAsia="仿宋_GB2312"/>
      <w:sz w:val="24"/>
      <w:szCs w:val="20"/>
    </w:rPr>
  </w:style>
  <w:style w:type="paragraph" w:styleId="66">
    <w:name w:val="footnote text"/>
    <w:basedOn w:val="1"/>
    <w:next w:val="1"/>
    <w:link w:val="809"/>
    <w:qFormat/>
    <w:uiPriority w:val="0"/>
    <w:pPr>
      <w:autoSpaceDE w:val="0"/>
      <w:autoSpaceDN w:val="0"/>
      <w:adjustRightInd w:val="0"/>
      <w:jc w:val="left"/>
    </w:pPr>
    <w:rPr>
      <w:kern w:val="0"/>
      <w:sz w:val="20"/>
    </w:rPr>
  </w:style>
  <w:style w:type="paragraph" w:styleId="67">
    <w:name w:val="toc 6"/>
    <w:basedOn w:val="1"/>
    <w:next w:val="1"/>
    <w:qFormat/>
    <w:uiPriority w:val="39"/>
    <w:pPr>
      <w:ind w:left="1050"/>
      <w:jc w:val="left"/>
    </w:pPr>
    <w:rPr>
      <w:sz w:val="18"/>
      <w:szCs w:val="18"/>
    </w:rPr>
  </w:style>
  <w:style w:type="paragraph" w:styleId="68">
    <w:name w:val="List 5"/>
    <w:basedOn w:val="1"/>
    <w:qFormat/>
    <w:uiPriority w:val="0"/>
    <w:pPr>
      <w:spacing w:before="60"/>
      <w:ind w:left="2100" w:hanging="420"/>
    </w:pPr>
    <w:rPr>
      <w:rFonts w:ascii="Arial" w:hAnsi="Arial" w:eastAsia="仿宋_GB2312"/>
      <w:kern w:val="0"/>
      <w:sz w:val="24"/>
      <w:szCs w:val="20"/>
    </w:rPr>
  </w:style>
  <w:style w:type="paragraph" w:styleId="69">
    <w:name w:val="Body Text Indent 3"/>
    <w:basedOn w:val="1"/>
    <w:link w:val="710"/>
    <w:qFormat/>
    <w:uiPriority w:val="0"/>
    <w:pPr>
      <w:spacing w:after="120"/>
      <w:ind w:left="420" w:leftChars="200"/>
    </w:pPr>
    <w:rPr>
      <w:sz w:val="16"/>
      <w:szCs w:val="16"/>
    </w:rPr>
  </w:style>
  <w:style w:type="paragraph" w:styleId="70">
    <w:name w:val="index 7"/>
    <w:basedOn w:val="1"/>
    <w:next w:val="1"/>
    <w:qFormat/>
    <w:uiPriority w:val="0"/>
    <w:pPr>
      <w:ind w:left="1200" w:leftChars="1200"/>
    </w:pPr>
  </w:style>
  <w:style w:type="paragraph" w:styleId="71">
    <w:name w:val="index 9"/>
    <w:basedOn w:val="1"/>
    <w:next w:val="1"/>
    <w:qFormat/>
    <w:uiPriority w:val="0"/>
    <w:pPr>
      <w:ind w:left="1600" w:leftChars="1600"/>
    </w:pPr>
  </w:style>
  <w:style w:type="paragraph" w:styleId="72">
    <w:name w:val="table of figures"/>
    <w:basedOn w:val="1"/>
    <w:next w:val="1"/>
    <w:qFormat/>
    <w:uiPriority w:val="0"/>
    <w:pPr>
      <w:spacing w:after="120" w:line="500" w:lineRule="exact"/>
      <w:jc w:val="center"/>
    </w:pPr>
    <w:rPr>
      <w:rFonts w:ascii="仿宋_GB2312" w:eastAsia="仿宋_GB2312"/>
      <w:sz w:val="28"/>
    </w:rPr>
  </w:style>
  <w:style w:type="paragraph" w:styleId="73">
    <w:name w:val="toc 2"/>
    <w:basedOn w:val="1"/>
    <w:next w:val="1"/>
    <w:qFormat/>
    <w:uiPriority w:val="39"/>
    <w:pPr>
      <w:tabs>
        <w:tab w:val="left" w:pos="567"/>
        <w:tab w:val="left" w:pos="630"/>
        <w:tab w:val="right" w:leader="dot" w:pos="8302"/>
      </w:tabs>
      <w:ind w:left="210"/>
      <w:jc w:val="left"/>
    </w:pPr>
    <w:rPr>
      <w:smallCaps/>
      <w:sz w:val="20"/>
      <w:szCs w:val="20"/>
    </w:rPr>
  </w:style>
  <w:style w:type="paragraph" w:styleId="74">
    <w:name w:val="toc 9"/>
    <w:basedOn w:val="1"/>
    <w:next w:val="1"/>
    <w:qFormat/>
    <w:uiPriority w:val="39"/>
    <w:pPr>
      <w:ind w:left="1680"/>
      <w:jc w:val="left"/>
    </w:pPr>
    <w:rPr>
      <w:sz w:val="18"/>
      <w:szCs w:val="18"/>
    </w:rPr>
  </w:style>
  <w:style w:type="paragraph" w:styleId="75">
    <w:name w:val="Body Text 2"/>
    <w:basedOn w:val="1"/>
    <w:link w:val="803"/>
    <w:qFormat/>
    <w:uiPriority w:val="0"/>
    <w:pPr>
      <w:spacing w:after="120" w:line="480" w:lineRule="auto"/>
    </w:pPr>
  </w:style>
  <w:style w:type="paragraph" w:styleId="76">
    <w:name w:val="List 4"/>
    <w:basedOn w:val="1"/>
    <w:qFormat/>
    <w:uiPriority w:val="0"/>
    <w:pPr>
      <w:spacing w:before="60"/>
      <w:ind w:left="1680" w:hanging="420"/>
    </w:pPr>
    <w:rPr>
      <w:rFonts w:ascii="Arial" w:hAnsi="Arial" w:eastAsia="仿宋_GB2312"/>
      <w:kern w:val="0"/>
      <w:sz w:val="24"/>
      <w:szCs w:val="20"/>
    </w:rPr>
  </w:style>
  <w:style w:type="paragraph" w:styleId="77">
    <w:name w:val="List Continue 2"/>
    <w:basedOn w:val="1"/>
    <w:qFormat/>
    <w:uiPriority w:val="0"/>
    <w:pPr>
      <w:spacing w:before="60" w:after="120"/>
      <w:ind w:left="840" w:firstLine="482"/>
    </w:pPr>
    <w:rPr>
      <w:rFonts w:ascii="Arial" w:hAnsi="Arial" w:eastAsia="仿宋_GB2312"/>
      <w:kern w:val="0"/>
      <w:sz w:val="24"/>
      <w:szCs w:val="20"/>
    </w:rPr>
  </w:style>
  <w:style w:type="paragraph" w:styleId="78">
    <w:name w:val="Message Header"/>
    <w:basedOn w:val="1"/>
    <w:link w:val="653"/>
    <w:qFormat/>
    <w:uiPriority w:val="0"/>
    <w:pPr>
      <w:pBdr>
        <w:top w:val="single" w:color="auto" w:sz="6" w:space="1"/>
        <w:left w:val="single" w:color="auto" w:sz="6" w:space="1"/>
        <w:bottom w:val="single" w:color="auto" w:sz="6" w:space="1"/>
        <w:right w:val="single" w:color="auto" w:sz="6" w:space="1"/>
      </w:pBdr>
      <w:shd w:val="pct20" w:color="auto" w:fill="auto"/>
      <w:spacing w:before="60"/>
      <w:ind w:left="1080" w:hanging="1080"/>
    </w:pPr>
    <w:rPr>
      <w:rFonts w:ascii="Arial" w:hAnsi="Arial" w:eastAsia="仿宋_GB2312"/>
      <w:kern w:val="0"/>
      <w:sz w:val="24"/>
      <w:szCs w:val="20"/>
    </w:rPr>
  </w:style>
  <w:style w:type="paragraph" w:styleId="79">
    <w:name w:val="HTML Preformatted"/>
    <w:basedOn w:val="1"/>
    <w:link w:val="411"/>
    <w:qFormat/>
    <w:uiPriority w:val="99"/>
    <w:rPr>
      <w:rFonts w:ascii="Courier New" w:hAnsi="Courier New"/>
      <w:sz w:val="20"/>
      <w:szCs w:val="20"/>
    </w:rPr>
  </w:style>
  <w:style w:type="paragraph" w:styleId="80">
    <w:name w:val="Normal (Web)"/>
    <w:basedOn w:val="1"/>
    <w:link w:val="857"/>
    <w:qFormat/>
    <w:uiPriority w:val="99"/>
    <w:pPr>
      <w:spacing w:beforeAutospacing="1" w:afterAutospacing="1"/>
      <w:jc w:val="left"/>
    </w:pPr>
    <w:rPr>
      <w:kern w:val="0"/>
      <w:sz w:val="24"/>
    </w:rPr>
  </w:style>
  <w:style w:type="paragraph" w:styleId="81">
    <w:name w:val="List Continue 3"/>
    <w:basedOn w:val="1"/>
    <w:qFormat/>
    <w:uiPriority w:val="0"/>
    <w:pPr>
      <w:spacing w:before="60" w:after="120"/>
      <w:ind w:left="1260" w:firstLine="482"/>
    </w:pPr>
    <w:rPr>
      <w:rFonts w:ascii="Arial" w:hAnsi="Arial" w:eastAsia="仿宋_GB2312"/>
      <w:kern w:val="0"/>
      <w:sz w:val="24"/>
      <w:szCs w:val="20"/>
    </w:rPr>
  </w:style>
  <w:style w:type="paragraph" w:styleId="82">
    <w:name w:val="index 2"/>
    <w:basedOn w:val="1"/>
    <w:next w:val="1"/>
    <w:qFormat/>
    <w:uiPriority w:val="0"/>
    <w:pPr>
      <w:ind w:left="200" w:leftChars="200"/>
    </w:pPr>
  </w:style>
  <w:style w:type="paragraph" w:styleId="83">
    <w:name w:val="Title"/>
    <w:basedOn w:val="1"/>
    <w:link w:val="520"/>
    <w:qFormat/>
    <w:uiPriority w:val="0"/>
    <w:pPr>
      <w:spacing w:before="240" w:after="60"/>
      <w:jc w:val="center"/>
      <w:outlineLvl w:val="0"/>
    </w:pPr>
    <w:rPr>
      <w:rFonts w:ascii="Arial" w:hAnsi="Arial"/>
      <w:b/>
      <w:bCs/>
      <w:sz w:val="32"/>
      <w:szCs w:val="32"/>
    </w:rPr>
  </w:style>
  <w:style w:type="paragraph" w:styleId="84">
    <w:name w:val="annotation subject"/>
    <w:basedOn w:val="27"/>
    <w:next w:val="27"/>
    <w:link w:val="808"/>
    <w:qFormat/>
    <w:uiPriority w:val="0"/>
    <w:pPr>
      <w:adjustRightInd/>
      <w:spacing w:line="240" w:lineRule="auto"/>
      <w:textAlignment w:val="auto"/>
    </w:pPr>
    <w:rPr>
      <w:b/>
      <w:bCs/>
      <w:kern w:val="2"/>
      <w:sz w:val="21"/>
      <w:szCs w:val="24"/>
    </w:rPr>
  </w:style>
  <w:style w:type="paragraph" w:styleId="85">
    <w:name w:val="Body Text First Indent"/>
    <w:basedOn w:val="33"/>
    <w:next w:val="33"/>
    <w:link w:val="806"/>
    <w:qFormat/>
    <w:uiPriority w:val="0"/>
    <w:pPr>
      <w:spacing w:line="500" w:lineRule="exact"/>
      <w:ind w:firstLine="420" w:firstLineChars="100"/>
    </w:pPr>
    <w:rPr>
      <w:rFonts w:eastAsia="仿宋_GB2312"/>
      <w:sz w:val="28"/>
    </w:rPr>
  </w:style>
  <w:style w:type="paragraph" w:styleId="86">
    <w:name w:val="Body Text First Indent 2"/>
    <w:basedOn w:val="34"/>
    <w:link w:val="655"/>
    <w:qFormat/>
    <w:uiPriority w:val="0"/>
    <w:pPr>
      <w:spacing w:before="60"/>
      <w:ind w:left="0" w:leftChars="0" w:firstLine="210"/>
    </w:pPr>
    <w:rPr>
      <w:sz w:val="18"/>
    </w:rPr>
  </w:style>
  <w:style w:type="table" w:styleId="88">
    <w:name w:val="Table Grid"/>
    <w:basedOn w:val="8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89">
    <w:name w:val="Table Theme"/>
    <w:basedOn w:val="8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0">
    <w:name w:val="Table Classic 1"/>
    <w:basedOn w:val="87"/>
    <w:qFormat/>
    <w:uiPriority w:val="0"/>
    <w:pPr>
      <w:widowControl w:val="0"/>
      <w:adjustRightInd w:val="0"/>
      <w:spacing w:line="312" w:lineRule="atLeast"/>
      <w:jc w:val="both"/>
      <w:textAlignment w:val="baseline"/>
    </w:p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1">
    <w:name w:val="Table Simple 1"/>
    <w:basedOn w:val="87"/>
    <w:qFormat/>
    <w:uiPriority w:val="0"/>
    <w:pPr>
      <w:widowControl w:val="0"/>
      <w:jc w:val="both"/>
    </w:p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92">
    <w:name w:val="Table Grid 1"/>
    <w:basedOn w:val="87"/>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93">
    <w:name w:val="Table Professional"/>
    <w:basedOn w:val="87"/>
    <w:qFormat/>
    <w:uiPriority w:val="0"/>
    <w:pPr>
      <w:widowControl w:val="0"/>
      <w:spacing w:line="500" w:lineRule="exact"/>
      <w:ind w:firstLine="200" w:firstLineChars="20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character" w:styleId="95">
    <w:name w:val="Strong"/>
    <w:qFormat/>
    <w:uiPriority w:val="22"/>
    <w:rPr>
      <w:b/>
      <w:bCs/>
    </w:rPr>
  </w:style>
  <w:style w:type="character" w:styleId="96">
    <w:name w:val="endnote reference"/>
    <w:unhideWhenUsed/>
    <w:qFormat/>
    <w:uiPriority w:val="99"/>
    <w:rPr>
      <w:vertAlign w:val="superscript"/>
    </w:rPr>
  </w:style>
  <w:style w:type="character" w:styleId="97">
    <w:name w:val="page number"/>
    <w:basedOn w:val="94"/>
    <w:qFormat/>
    <w:uiPriority w:val="0"/>
  </w:style>
  <w:style w:type="character" w:styleId="98">
    <w:name w:val="FollowedHyperlink"/>
    <w:qFormat/>
    <w:uiPriority w:val="99"/>
    <w:rPr>
      <w:color w:val="800080"/>
      <w:u w:val="single"/>
    </w:rPr>
  </w:style>
  <w:style w:type="character" w:styleId="99">
    <w:name w:val="Emphasis"/>
    <w:qFormat/>
    <w:uiPriority w:val="20"/>
    <w:rPr>
      <w:color w:val="CC0000"/>
    </w:rPr>
  </w:style>
  <w:style w:type="character" w:styleId="100">
    <w:name w:val="line number"/>
    <w:qFormat/>
    <w:uiPriority w:val="0"/>
  </w:style>
  <w:style w:type="character" w:styleId="101">
    <w:name w:val="HTML Definition"/>
    <w:qFormat/>
    <w:uiPriority w:val="0"/>
    <w:rPr>
      <w:rFonts w:ascii="黑体" w:hAnsi="Arial" w:eastAsia="华文中宋" w:cs="宋体"/>
      <w:i/>
      <w:iCs/>
      <w:kern w:val="2"/>
      <w:sz w:val="44"/>
      <w:szCs w:val="44"/>
      <w:lang w:val="en-US" w:eastAsia="zh-CN" w:bidi="ar-SA"/>
    </w:rPr>
  </w:style>
  <w:style w:type="character" w:styleId="102">
    <w:name w:val="HTML Typewriter"/>
    <w:qFormat/>
    <w:uiPriority w:val="0"/>
    <w:rPr>
      <w:rFonts w:ascii="宋体" w:hAnsi="宋体" w:eastAsia="宋体" w:cs="宋体"/>
      <w:sz w:val="18"/>
      <w:szCs w:val="18"/>
    </w:rPr>
  </w:style>
  <w:style w:type="character" w:styleId="103">
    <w:name w:val="HTML Acronym"/>
    <w:qFormat/>
    <w:uiPriority w:val="0"/>
    <w:rPr>
      <w:rFonts w:ascii="黑体" w:hAnsi="Arial" w:eastAsia="华文中宋" w:cs="宋体"/>
      <w:kern w:val="2"/>
      <w:sz w:val="44"/>
      <w:szCs w:val="44"/>
      <w:lang w:val="en-US" w:eastAsia="zh-CN" w:bidi="ar-SA"/>
    </w:rPr>
  </w:style>
  <w:style w:type="character" w:styleId="104">
    <w:name w:val="HTML Variable"/>
    <w:qFormat/>
    <w:uiPriority w:val="0"/>
    <w:rPr>
      <w:rFonts w:ascii="黑体" w:hAnsi="Arial" w:eastAsia="华文中宋" w:cs="宋体"/>
      <w:i/>
      <w:iCs/>
      <w:kern w:val="2"/>
      <w:sz w:val="44"/>
      <w:szCs w:val="44"/>
      <w:lang w:val="en-US" w:eastAsia="zh-CN" w:bidi="ar-SA"/>
    </w:rPr>
  </w:style>
  <w:style w:type="character" w:styleId="105">
    <w:name w:val="Hyperlink"/>
    <w:qFormat/>
    <w:uiPriority w:val="99"/>
    <w:rPr>
      <w:color w:val="0000FF"/>
      <w:u w:val="single"/>
    </w:rPr>
  </w:style>
  <w:style w:type="character" w:styleId="106">
    <w:name w:val="HTML Code"/>
    <w:qFormat/>
    <w:uiPriority w:val="0"/>
    <w:rPr>
      <w:rFonts w:ascii="黑体" w:hAnsi="Courier New" w:eastAsia="黑体" w:cs="Courier New"/>
      <w:sz w:val="24"/>
      <w:szCs w:val="24"/>
    </w:rPr>
  </w:style>
  <w:style w:type="character" w:styleId="107">
    <w:name w:val="annotation reference"/>
    <w:qFormat/>
    <w:uiPriority w:val="0"/>
    <w:rPr>
      <w:sz w:val="21"/>
      <w:szCs w:val="21"/>
    </w:rPr>
  </w:style>
  <w:style w:type="character" w:styleId="108">
    <w:name w:val="HTML Cite"/>
    <w:qFormat/>
    <w:uiPriority w:val="0"/>
    <w:rPr>
      <w:rFonts w:ascii="黑体" w:hAnsi="Arial" w:eastAsia="华文中宋" w:cs="宋体"/>
      <w:i/>
      <w:iCs/>
      <w:kern w:val="2"/>
      <w:sz w:val="44"/>
      <w:szCs w:val="44"/>
      <w:lang w:val="en-US" w:eastAsia="zh-CN" w:bidi="ar-SA"/>
    </w:rPr>
  </w:style>
  <w:style w:type="character" w:styleId="109">
    <w:name w:val="footnote reference"/>
    <w:qFormat/>
    <w:uiPriority w:val="0"/>
    <w:rPr>
      <w:vertAlign w:val="superscript"/>
    </w:rPr>
  </w:style>
  <w:style w:type="character" w:styleId="110">
    <w:name w:val="HTML Keyboard"/>
    <w:qFormat/>
    <w:uiPriority w:val="0"/>
    <w:rPr>
      <w:rFonts w:ascii="Courier New" w:hAnsi="Courier New" w:eastAsia="华文中宋" w:cs="Courier New"/>
      <w:kern w:val="2"/>
      <w:sz w:val="20"/>
      <w:szCs w:val="20"/>
      <w:lang w:val="en-US" w:eastAsia="zh-CN" w:bidi="ar-SA"/>
    </w:rPr>
  </w:style>
  <w:style w:type="character" w:styleId="111">
    <w:name w:val="HTML Sample"/>
    <w:qFormat/>
    <w:uiPriority w:val="0"/>
    <w:rPr>
      <w:rFonts w:ascii="Courier New" w:hAnsi="Courier New"/>
    </w:rPr>
  </w:style>
  <w:style w:type="table" w:customStyle="1" w:styleId="112">
    <w:name w:val="表格样式1"/>
    <w:basedOn w:val="89"/>
    <w:qFormat/>
    <w:uiPriority w:val="0"/>
    <w:pPr>
      <w:jc w:val="center"/>
    </w:pPr>
    <w:rPr>
      <w:rFonts w:eastAsia="楷体_GB2312"/>
    </w:rPr>
    <w:tblPr>
      <w:tblBorders>
        <w:top w:val="single" w:color="auto" w:sz="12" w:space="0"/>
        <w:bottom w:val="single" w:color="auto" w:sz="12" w:space="0"/>
        <w:insideH w:val="single" w:color="auto" w:sz="2" w:space="0"/>
        <w:insideV w:val="single" w:color="auto" w:sz="2" w:space="0"/>
      </w:tblBorders>
    </w:tblPr>
    <w:tcPr>
      <w:vAlign w:val="center"/>
    </w:tcPr>
    <w:tblStylePr w:type="firstRow">
      <w:tcPr>
        <w:tcBorders>
          <w:top w:val="single" w:color="000000" w:sz="6" w:space="0"/>
          <w:bottom w:val="single" w:color="000000" w:sz="12" w:space="0"/>
          <w:tl2br w:val="nil"/>
          <w:tr2bl w:val="nil"/>
        </w:tcBorders>
      </w:tcPr>
    </w:tblStylePr>
    <w:tblStylePr w:type="lastRow">
      <w:tcPr>
        <w:tcBorders>
          <w:top w:val="single" w:color="000000" w:sz="12" w:space="0"/>
          <w:tl2br w:val="nil"/>
          <w:tr2bl w:val="nil"/>
        </w:tcBorders>
        <w:shd w:val="pct25" w:color="800080" w:fill="FFFFFF"/>
      </w:tcPr>
    </w:tblStylePr>
    <w:tblStylePr w:type="firstCol">
      <w:tcPr>
        <w:tcBorders>
          <w:right w:val="single" w:color="000000" w:sz="12" w:space="0"/>
          <w:tl2br w:val="nil"/>
          <w:tr2bl w:val="nil"/>
        </w:tcBorders>
      </w:tcPr>
    </w:tblStylePr>
    <w:tblStylePr w:type="lastCol">
      <w:tcPr>
        <w:tcBorders>
          <w:left w:val="single" w:color="000000" w:sz="12" w:space="0"/>
          <w:tl2br w:val="nil"/>
          <w:tr2bl w:val="nil"/>
        </w:tcBorders>
      </w:tcPr>
    </w:tblStylePr>
    <w:tblStylePr w:type="band1Horz">
      <w:tcPr>
        <w:tcBorders>
          <w:bottom w:val="single" w:color="000000" w:sz="6" w:space="0"/>
          <w:tl2br w:val="nil"/>
          <w:tr2bl w:val="nil"/>
        </w:tcBorders>
        <w:shd w:val="pct25" w:color="808000" w:fill="FFFFFF"/>
      </w:tcPr>
    </w:tblStylePr>
    <w:tblStylePr w:type="neCell">
      <w:tcPr>
        <w:tcBorders>
          <w:tl2br w:val="nil"/>
          <w:tr2bl w:val="nil"/>
        </w:tcBorders>
      </w:tcPr>
    </w:tblStylePr>
    <w:tblStylePr w:type="swCell">
      <w:tcPr>
        <w:tcBorders>
          <w:tl2br w:val="nil"/>
          <w:tr2bl w:val="nil"/>
        </w:tcBorders>
      </w:tcPr>
    </w:tblStylePr>
  </w:style>
  <w:style w:type="table" w:customStyle="1" w:styleId="113">
    <w:name w:val="喜欢的"/>
    <w:basedOn w:val="91"/>
    <w:qFormat/>
    <w:uiPriority w:val="0"/>
    <w:tcPr>
      <w:shd w:val="clear" w:color="auto" w:fill="auto"/>
      <w:vAlign w:val="center"/>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114">
    <w:name w:val="最普通"/>
    <w:basedOn w:val="92"/>
    <w:qFormat/>
    <w:uiPriority w:val="0"/>
    <w:pPr>
      <w:spacing w:line="500" w:lineRule="exact"/>
    </w:pPr>
    <w:tcPr>
      <w:shd w:val="clear" w:color="auto" w:fill="auto"/>
      <w:vAlign w:val="center"/>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paragraph" w:customStyle="1" w:styleId="115">
    <w:name w:val="Bullet"/>
    <w:basedOn w:val="1"/>
    <w:qFormat/>
    <w:uiPriority w:val="0"/>
    <w:pPr>
      <w:widowControl/>
      <w:numPr>
        <w:ilvl w:val="0"/>
        <w:numId w:val="2"/>
      </w:numPr>
      <w:spacing w:after="60" w:line="300" w:lineRule="atLeast"/>
    </w:pPr>
    <w:rPr>
      <w:kern w:val="0"/>
      <w:sz w:val="22"/>
    </w:rPr>
  </w:style>
  <w:style w:type="paragraph" w:customStyle="1" w:styleId="116">
    <w:name w:val="xl54"/>
    <w:basedOn w:val="1"/>
    <w:qFormat/>
    <w:uiPriority w:val="0"/>
    <w:pPr>
      <w:widowControl/>
      <w:pBdr>
        <w:right w:val="single" w:color="auto" w:sz="4" w:space="0"/>
      </w:pBdr>
      <w:spacing w:before="100" w:after="100"/>
      <w:jc w:val="center"/>
      <w:textAlignment w:val="center"/>
    </w:pPr>
    <w:rPr>
      <w:rFonts w:ascii="宋体" w:hAnsi="宋体"/>
      <w:kern w:val="0"/>
      <w:sz w:val="24"/>
      <w:szCs w:val="20"/>
    </w:rPr>
  </w:style>
  <w:style w:type="paragraph" w:customStyle="1" w:styleId="117">
    <w:name w:val="样式1"/>
    <w:basedOn w:val="1"/>
    <w:link w:val="1056"/>
    <w:qFormat/>
    <w:uiPriority w:val="0"/>
    <w:pPr>
      <w:tabs>
        <w:tab w:val="left" w:pos="1021"/>
        <w:tab w:val="left" w:pos="2040"/>
      </w:tabs>
      <w:adjustRightInd w:val="0"/>
      <w:snapToGrid w:val="0"/>
      <w:spacing w:line="560" w:lineRule="atLeast"/>
      <w:ind w:left="2040" w:leftChars="800" w:hanging="360" w:hangingChars="200"/>
    </w:pPr>
    <w:rPr>
      <w:rFonts w:ascii="仿宋_GB2312" w:eastAsia="仿宋_GB2312"/>
      <w:sz w:val="28"/>
      <w:szCs w:val="20"/>
    </w:rPr>
  </w:style>
  <w:style w:type="paragraph" w:customStyle="1" w:styleId="118">
    <w:name w:val="样式7"/>
    <w:basedOn w:val="2"/>
    <w:qFormat/>
    <w:uiPriority w:val="0"/>
    <w:pPr>
      <w:tabs>
        <w:tab w:val="left" w:pos="1124"/>
      </w:tabs>
      <w:adjustRightInd w:val="0"/>
      <w:snapToGrid w:val="0"/>
      <w:spacing w:beforeLines="200" w:afterLines="200" w:line="240" w:lineRule="exact"/>
      <w:ind w:left="2039" w:leftChars="800" w:hanging="359" w:hangingChars="171"/>
    </w:pPr>
    <w:rPr>
      <w:rFonts w:eastAsia="黑体"/>
      <w:b w:val="0"/>
      <w:bCs w:val="0"/>
      <w:color w:val="000000"/>
      <w:sz w:val="30"/>
    </w:rPr>
  </w:style>
  <w:style w:type="paragraph" w:customStyle="1" w:styleId="119">
    <w:name w:val="表格文字"/>
    <w:basedOn w:val="1"/>
    <w:link w:val="261"/>
    <w:qFormat/>
    <w:uiPriority w:val="0"/>
    <w:pPr>
      <w:tabs>
        <w:tab w:val="center" w:pos="4153"/>
        <w:tab w:val="right" w:pos="8306"/>
      </w:tabs>
      <w:adjustRightInd w:val="0"/>
      <w:snapToGrid w:val="0"/>
      <w:spacing w:line="320" w:lineRule="exact"/>
      <w:ind w:firstLine="420" w:firstLineChars="200"/>
    </w:pPr>
    <w:rPr>
      <w:rFonts w:eastAsia="仿宋_GB2312"/>
      <w:szCs w:val="21"/>
    </w:rPr>
  </w:style>
  <w:style w:type="paragraph" w:customStyle="1" w:styleId="120">
    <w:name w:val="表题格式"/>
    <w:basedOn w:val="1"/>
    <w:qFormat/>
    <w:uiPriority w:val="0"/>
    <w:pPr>
      <w:overflowPunct w:val="0"/>
      <w:adjustRightInd w:val="0"/>
      <w:snapToGrid w:val="0"/>
      <w:spacing w:line="360" w:lineRule="auto"/>
      <w:jc w:val="center"/>
      <w:textAlignment w:val="center"/>
    </w:pPr>
    <w:rPr>
      <w:rFonts w:ascii="仿宋_GB2312" w:eastAsia="仿宋_GB2312"/>
      <w:b/>
      <w:snapToGrid w:val="0"/>
      <w:kern w:val="0"/>
      <w:sz w:val="30"/>
      <w:szCs w:val="20"/>
    </w:rPr>
  </w:style>
  <w:style w:type="character" w:customStyle="1" w:styleId="121">
    <w:name w:val="标题 1 Char Char Char Char"/>
    <w:qFormat/>
    <w:uiPriority w:val="0"/>
    <w:rPr>
      <w:rFonts w:eastAsia="宋体"/>
      <w:kern w:val="44"/>
      <w:sz w:val="44"/>
      <w:szCs w:val="44"/>
    </w:rPr>
  </w:style>
  <w:style w:type="paragraph" w:customStyle="1" w:styleId="122">
    <w:name w:val="表格"/>
    <w:basedOn w:val="1"/>
    <w:link w:val="393"/>
    <w:qFormat/>
    <w:uiPriority w:val="0"/>
    <w:pPr>
      <w:adjustRightInd w:val="0"/>
      <w:snapToGrid w:val="0"/>
      <w:spacing w:beforeLines="20"/>
      <w:jc w:val="center"/>
    </w:pPr>
    <w:rPr>
      <w:snapToGrid w:val="0"/>
      <w:kern w:val="21"/>
    </w:rPr>
  </w:style>
  <w:style w:type="paragraph" w:customStyle="1" w:styleId="123">
    <w:name w:val="表标题"/>
    <w:basedOn w:val="34"/>
    <w:next w:val="1"/>
    <w:link w:val="270"/>
    <w:qFormat/>
    <w:uiPriority w:val="0"/>
    <w:pPr>
      <w:spacing w:line="500" w:lineRule="exact"/>
      <w:ind w:firstLine="482" w:firstLineChars="200"/>
      <w:jc w:val="center"/>
    </w:pPr>
    <w:rPr>
      <w:rFonts w:ascii="仿宋_GB2312" w:eastAsia="仿宋_GB2312"/>
      <w:b/>
      <w:bCs/>
      <w:sz w:val="24"/>
    </w:rPr>
  </w:style>
  <w:style w:type="paragraph" w:customStyle="1" w:styleId="124">
    <w:name w:val="图表文字"/>
    <w:basedOn w:val="1"/>
    <w:link w:val="267"/>
    <w:qFormat/>
    <w:uiPriority w:val="0"/>
    <w:pPr>
      <w:jc w:val="center"/>
    </w:pPr>
    <w:rPr>
      <w:rFonts w:ascii="仿宋_GB2312" w:eastAsia="仿宋_GB2312"/>
    </w:rPr>
  </w:style>
  <w:style w:type="paragraph" w:customStyle="1" w:styleId="125">
    <w:name w:val="xl2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 w:val="24"/>
    </w:rPr>
  </w:style>
  <w:style w:type="paragraph" w:customStyle="1" w:styleId="126">
    <w:name w:val="文本"/>
    <w:basedOn w:val="1"/>
    <w:link w:val="1871"/>
    <w:qFormat/>
    <w:uiPriority w:val="0"/>
    <w:pPr>
      <w:tabs>
        <w:tab w:val="right" w:leader="dot" w:pos="8296"/>
      </w:tabs>
      <w:adjustRightInd w:val="0"/>
      <w:snapToGrid w:val="0"/>
      <w:spacing w:beforeLines="20"/>
      <w:jc w:val="center"/>
    </w:pPr>
    <w:rPr>
      <w:rFonts w:ascii="宋体" w:hAnsi="宋体"/>
      <w:snapToGrid w:val="0"/>
      <w:kern w:val="21"/>
    </w:rPr>
  </w:style>
  <w:style w:type="paragraph" w:customStyle="1" w:styleId="127">
    <w:name w:val="Date1"/>
    <w:basedOn w:val="1"/>
    <w:next w:val="1"/>
    <w:qFormat/>
    <w:uiPriority w:val="0"/>
    <w:pPr>
      <w:adjustRightInd w:val="0"/>
      <w:textAlignment w:val="baseline"/>
    </w:pPr>
    <w:rPr>
      <w:szCs w:val="20"/>
    </w:rPr>
  </w:style>
  <w:style w:type="paragraph" w:customStyle="1" w:styleId="128">
    <w:name w:val="我的样式（正文）"/>
    <w:basedOn w:val="1"/>
    <w:qFormat/>
    <w:uiPriority w:val="0"/>
    <w:pPr>
      <w:spacing w:line="440" w:lineRule="exact"/>
    </w:pPr>
    <w:rPr>
      <w:rFonts w:ascii="宋体"/>
      <w:sz w:val="28"/>
      <w:szCs w:val="20"/>
    </w:rPr>
  </w:style>
  <w:style w:type="paragraph" w:customStyle="1" w:styleId="129">
    <w:name w:val="Plain Text2"/>
    <w:basedOn w:val="1"/>
    <w:qFormat/>
    <w:uiPriority w:val="0"/>
    <w:pPr>
      <w:autoSpaceDE w:val="0"/>
      <w:autoSpaceDN w:val="0"/>
      <w:adjustRightInd w:val="0"/>
      <w:textAlignment w:val="baseline"/>
    </w:pPr>
    <w:rPr>
      <w:rFonts w:ascii="宋体" w:hAnsi="Tms Rmn"/>
      <w:kern w:val="0"/>
      <w:szCs w:val="20"/>
    </w:rPr>
  </w:style>
  <w:style w:type="paragraph" w:customStyle="1" w:styleId="130">
    <w:name w:val="Char"/>
    <w:basedOn w:val="1"/>
    <w:qFormat/>
    <w:uiPriority w:val="0"/>
    <w:rPr>
      <w:sz w:val="24"/>
    </w:rPr>
  </w:style>
  <w:style w:type="paragraph" w:customStyle="1" w:styleId="131">
    <w:name w:val="Char Char Char Char Char Char Char Char Char Char"/>
    <w:basedOn w:val="1"/>
    <w:qFormat/>
    <w:uiPriority w:val="0"/>
    <w:rPr>
      <w:rFonts w:ascii="黑体" w:hAnsi="黑体" w:eastAsia="黑体"/>
      <w:b/>
      <w:spacing w:val="10"/>
      <w:kern w:val="44"/>
      <w:sz w:val="28"/>
      <w:szCs w:val="20"/>
    </w:rPr>
  </w:style>
  <w:style w:type="paragraph" w:customStyle="1" w:styleId="132">
    <w:name w:val="新正文"/>
    <w:basedOn w:val="1"/>
    <w:link w:val="133"/>
    <w:qFormat/>
    <w:uiPriority w:val="0"/>
    <w:pPr>
      <w:spacing w:line="500" w:lineRule="exact"/>
      <w:ind w:firstLine="482"/>
    </w:pPr>
    <w:rPr>
      <w:rFonts w:ascii="仿宋_GB2312" w:eastAsia="仿宋_GB2312"/>
      <w:bCs/>
      <w:kern w:val="0"/>
      <w:sz w:val="28"/>
      <w:szCs w:val="20"/>
    </w:rPr>
  </w:style>
  <w:style w:type="character" w:customStyle="1" w:styleId="133">
    <w:name w:val="新正文 Char"/>
    <w:link w:val="132"/>
    <w:qFormat/>
    <w:uiPriority w:val="0"/>
    <w:rPr>
      <w:rFonts w:ascii="仿宋_GB2312" w:eastAsia="仿宋_GB2312"/>
      <w:bCs/>
      <w:sz w:val="28"/>
      <w:lang w:val="en-US" w:eastAsia="zh-CN" w:bidi="ar-SA"/>
    </w:rPr>
  </w:style>
  <w:style w:type="paragraph" w:customStyle="1" w:styleId="134">
    <w:name w:val="正文01"/>
    <w:basedOn w:val="1"/>
    <w:link w:val="1000"/>
    <w:qFormat/>
    <w:uiPriority w:val="0"/>
    <w:pPr>
      <w:spacing w:before="60" w:line="440" w:lineRule="exact"/>
      <w:ind w:firstLine="200" w:firstLineChars="200"/>
    </w:pPr>
    <w:rPr>
      <w:kern w:val="0"/>
      <w:sz w:val="24"/>
      <w:szCs w:val="20"/>
    </w:rPr>
  </w:style>
  <w:style w:type="paragraph" w:customStyle="1" w:styleId="135">
    <w:name w:val="三级标题"/>
    <w:basedOn w:val="83"/>
    <w:link w:val="1213"/>
    <w:qFormat/>
    <w:uiPriority w:val="0"/>
    <w:pPr>
      <w:spacing w:before="260" w:after="0" w:line="460" w:lineRule="exact"/>
      <w:jc w:val="both"/>
      <w:outlineLvl w:val="2"/>
    </w:pPr>
    <w:rPr>
      <w:rFonts w:ascii="Times New Roman" w:hAnsi="Times New Roman"/>
      <w:kern w:val="0"/>
      <w:sz w:val="24"/>
      <w:szCs w:val="24"/>
    </w:rPr>
  </w:style>
  <w:style w:type="paragraph" w:customStyle="1" w:styleId="136">
    <w:name w:val="表格正文"/>
    <w:basedOn w:val="1"/>
    <w:qFormat/>
    <w:uiPriority w:val="0"/>
    <w:pPr>
      <w:spacing w:line="360" w:lineRule="exact"/>
      <w:jc w:val="center"/>
    </w:pPr>
    <w:rPr>
      <w:kern w:val="0"/>
      <w:szCs w:val="20"/>
    </w:rPr>
  </w:style>
  <w:style w:type="paragraph" w:customStyle="1" w:styleId="137">
    <w:name w:val="表格下方正文"/>
    <w:basedOn w:val="1"/>
    <w:qFormat/>
    <w:uiPriority w:val="0"/>
    <w:pPr>
      <w:spacing w:before="260" w:line="440" w:lineRule="exact"/>
      <w:ind w:firstLine="200" w:firstLineChars="200"/>
    </w:pPr>
    <w:rPr>
      <w:kern w:val="0"/>
      <w:sz w:val="24"/>
      <w:szCs w:val="20"/>
    </w:rPr>
  </w:style>
  <w:style w:type="paragraph" w:customStyle="1" w:styleId="138">
    <w:name w:val="注释"/>
    <w:basedOn w:val="1"/>
    <w:qFormat/>
    <w:uiPriority w:val="0"/>
    <w:pPr>
      <w:spacing w:before="60" w:line="360" w:lineRule="exact"/>
      <w:ind w:firstLine="200" w:firstLineChars="200"/>
    </w:pPr>
    <w:rPr>
      <w:kern w:val="0"/>
      <w:szCs w:val="21"/>
    </w:rPr>
  </w:style>
  <w:style w:type="paragraph" w:customStyle="1" w:styleId="139">
    <w:name w:val="默认段落字体 Para Char Char Char Char"/>
    <w:basedOn w:val="1"/>
    <w:qFormat/>
    <w:uiPriority w:val="0"/>
    <w:rPr>
      <w:sz w:val="24"/>
    </w:rPr>
  </w:style>
  <w:style w:type="paragraph" w:customStyle="1" w:styleId="140">
    <w:name w:val="表题"/>
    <w:next w:val="122"/>
    <w:qFormat/>
    <w:uiPriority w:val="0"/>
    <w:pPr>
      <w:spacing w:beforeLines="50" w:after="120" w:line="400" w:lineRule="exact"/>
      <w:jc w:val="center"/>
    </w:pPr>
    <w:rPr>
      <w:rFonts w:ascii="Times New Roman" w:hAnsi="Times New Roman" w:eastAsia="仿宋_GB2312" w:cs="Times New Roman"/>
      <w:b/>
      <w:sz w:val="28"/>
      <w:lang w:val="en-US" w:eastAsia="zh-CN" w:bidi="ar-SA"/>
    </w:rPr>
  </w:style>
  <w:style w:type="paragraph" w:customStyle="1" w:styleId="141">
    <w:name w:val="广西炼油"/>
    <w:basedOn w:val="1"/>
    <w:qFormat/>
    <w:uiPriority w:val="0"/>
    <w:pPr>
      <w:spacing w:beforeLines="5" w:line="360" w:lineRule="auto"/>
      <w:ind w:firstLine="480"/>
    </w:pPr>
    <w:rPr>
      <w:rFonts w:ascii="宋体" w:hAnsi="宋体"/>
      <w:sz w:val="24"/>
      <w:szCs w:val="28"/>
    </w:rPr>
  </w:style>
  <w:style w:type="paragraph" w:customStyle="1" w:styleId="142">
    <w:name w:val="表样式1"/>
    <w:basedOn w:val="1"/>
    <w:qFormat/>
    <w:uiPriority w:val="0"/>
    <w:pPr>
      <w:spacing w:line="360" w:lineRule="auto"/>
      <w:jc w:val="center"/>
    </w:pPr>
    <w:rPr>
      <w:rFonts w:ascii="宋体" w:hAnsi="宋体" w:cs="宋体"/>
      <w:color w:val="000000"/>
      <w:szCs w:val="21"/>
    </w:rPr>
  </w:style>
  <w:style w:type="paragraph" w:customStyle="1" w:styleId="143">
    <w:name w:val="Char Char Char4"/>
    <w:basedOn w:val="1"/>
    <w:qFormat/>
    <w:uiPriority w:val="0"/>
    <w:rPr>
      <w:sz w:val="24"/>
    </w:rPr>
  </w:style>
  <w:style w:type="paragraph" w:customStyle="1" w:styleId="144">
    <w:name w:val="标题3"/>
    <w:basedOn w:val="33"/>
    <w:next w:val="33"/>
    <w:qFormat/>
    <w:uiPriority w:val="0"/>
    <w:pPr>
      <w:spacing w:after="0" w:line="520" w:lineRule="exact"/>
    </w:pPr>
    <w:rPr>
      <w:rFonts w:ascii="宋体" w:hAnsi="宋体" w:cs="Arial"/>
      <w:bCs/>
      <w:sz w:val="24"/>
    </w:rPr>
  </w:style>
  <w:style w:type="paragraph" w:customStyle="1" w:styleId="145">
    <w:name w:val="ST20_1"/>
    <w:basedOn w:val="1"/>
    <w:qFormat/>
    <w:uiPriority w:val="0"/>
    <w:pPr>
      <w:autoSpaceDE w:val="0"/>
      <w:autoSpaceDN w:val="0"/>
      <w:adjustRightInd w:val="0"/>
      <w:spacing w:line="312" w:lineRule="atLeast"/>
      <w:jc w:val="center"/>
      <w:textAlignment w:val="baseline"/>
    </w:pPr>
    <w:rPr>
      <w:rFonts w:ascii="宋体" w:hAnsi="Tms Rmn"/>
      <w:kern w:val="0"/>
      <w:sz w:val="24"/>
      <w:szCs w:val="20"/>
    </w:rPr>
  </w:style>
  <w:style w:type="paragraph" w:customStyle="1" w:styleId="146">
    <w:name w:val="Body Text 21"/>
    <w:basedOn w:val="1"/>
    <w:link w:val="2010"/>
    <w:qFormat/>
    <w:uiPriority w:val="0"/>
    <w:pPr>
      <w:adjustRightInd w:val="0"/>
      <w:textAlignment w:val="baseline"/>
    </w:pPr>
    <w:rPr>
      <w:sz w:val="24"/>
      <w:szCs w:val="20"/>
    </w:rPr>
  </w:style>
  <w:style w:type="character" w:customStyle="1" w:styleId="147">
    <w:name w:val="javascript"/>
    <w:basedOn w:val="94"/>
    <w:qFormat/>
    <w:uiPriority w:val="0"/>
  </w:style>
  <w:style w:type="paragraph" w:customStyle="1" w:styleId="148">
    <w:name w:val="图文字"/>
    <w:basedOn w:val="1"/>
    <w:qFormat/>
    <w:uiPriority w:val="0"/>
    <w:pPr>
      <w:spacing w:line="280" w:lineRule="exact"/>
      <w:jc w:val="center"/>
    </w:pPr>
    <w:rPr>
      <w:rFonts w:ascii="宋体" w:hAnsi="宋体"/>
    </w:rPr>
  </w:style>
  <w:style w:type="paragraph" w:customStyle="1" w:styleId="149">
    <w:name w:val="图标题"/>
    <w:basedOn w:val="1"/>
    <w:qFormat/>
    <w:uiPriority w:val="0"/>
    <w:pPr>
      <w:framePr w:hSpace="181" w:vSpace="181" w:wrap="around" w:vAnchor="text" w:hAnchor="text" w:y="1"/>
      <w:spacing w:line="260" w:lineRule="exact"/>
      <w:jc w:val="center"/>
    </w:pPr>
    <w:rPr>
      <w:b/>
      <w:bCs/>
      <w:sz w:val="24"/>
      <w:szCs w:val="20"/>
    </w:rPr>
  </w:style>
  <w:style w:type="paragraph" w:customStyle="1" w:styleId="150">
    <w:name w:val="正文缩进2"/>
    <w:basedOn w:val="1"/>
    <w:qFormat/>
    <w:uiPriority w:val="0"/>
    <w:pPr>
      <w:spacing w:line="500" w:lineRule="exact"/>
      <w:ind w:firstLine="200" w:firstLineChars="200"/>
    </w:pPr>
    <w:rPr>
      <w:sz w:val="24"/>
    </w:rPr>
  </w:style>
  <w:style w:type="character" w:customStyle="1" w:styleId="151">
    <w:name w:val="common1"/>
    <w:qFormat/>
    <w:uiPriority w:val="0"/>
    <w:rPr>
      <w:sz w:val="18"/>
      <w:szCs w:val="18"/>
    </w:rPr>
  </w:style>
  <w:style w:type="paragraph" w:customStyle="1" w:styleId="152">
    <w:name w:val="首行缩进"/>
    <w:basedOn w:val="1"/>
    <w:link w:val="860"/>
    <w:qFormat/>
    <w:uiPriority w:val="0"/>
    <w:pPr>
      <w:spacing w:line="360" w:lineRule="auto"/>
      <w:ind w:firstLine="480" w:firstLineChars="200"/>
    </w:pPr>
    <w:rPr>
      <w:sz w:val="24"/>
    </w:rPr>
  </w:style>
  <w:style w:type="paragraph" w:customStyle="1" w:styleId="153">
    <w:name w:val="表文字"/>
    <w:basedOn w:val="1"/>
    <w:link w:val="1906"/>
    <w:qFormat/>
    <w:uiPriority w:val="0"/>
    <w:pPr>
      <w:widowControl/>
      <w:jc w:val="center"/>
    </w:pPr>
    <w:rPr>
      <w:kern w:val="0"/>
      <w:szCs w:val="21"/>
    </w:rPr>
  </w:style>
  <w:style w:type="paragraph" w:customStyle="1" w:styleId="154">
    <w:name w:val="xl"/>
    <w:basedOn w:val="1"/>
    <w:qFormat/>
    <w:uiPriority w:val="0"/>
    <w:pPr>
      <w:widowControl/>
      <w:spacing w:before="100" w:beforeAutospacing="1" w:after="100" w:afterAutospacing="1"/>
      <w:jc w:val="left"/>
    </w:pPr>
    <w:rPr>
      <w:rFonts w:hint="eastAsia" w:ascii="隶书" w:hAnsi="Arial Unicode MS" w:eastAsia="隶书"/>
      <w:color w:val="008000"/>
      <w:kern w:val="0"/>
      <w:sz w:val="36"/>
      <w:szCs w:val="36"/>
    </w:rPr>
  </w:style>
  <w:style w:type="paragraph" w:customStyle="1" w:styleId="155">
    <w:name w:val="纯文本2"/>
    <w:basedOn w:val="1"/>
    <w:qFormat/>
    <w:uiPriority w:val="0"/>
    <w:pPr>
      <w:autoSpaceDE w:val="0"/>
      <w:autoSpaceDN w:val="0"/>
      <w:adjustRightInd w:val="0"/>
      <w:textAlignment w:val="baseline"/>
    </w:pPr>
    <w:rPr>
      <w:rFonts w:ascii="宋体" w:hAnsi="Tms Rmn"/>
      <w:kern w:val="0"/>
      <w:szCs w:val="20"/>
    </w:rPr>
  </w:style>
  <w:style w:type="paragraph" w:customStyle="1" w:styleId="156">
    <w:name w:val="标题正4"/>
    <w:basedOn w:val="1"/>
    <w:qFormat/>
    <w:uiPriority w:val="0"/>
    <w:pPr>
      <w:spacing w:line="280" w:lineRule="exact"/>
      <w:jc w:val="center"/>
    </w:pPr>
    <w:rPr>
      <w:rFonts w:ascii="宋体" w:hAnsi="宋体"/>
      <w:color w:val="000000"/>
    </w:rPr>
  </w:style>
  <w:style w:type="paragraph" w:customStyle="1" w:styleId="157">
    <w:name w:val="普通 (Web)"/>
    <w:basedOn w:val="1"/>
    <w:next w:val="1"/>
    <w:qFormat/>
    <w:uiPriority w:val="0"/>
    <w:pPr>
      <w:autoSpaceDE w:val="0"/>
      <w:autoSpaceDN w:val="0"/>
      <w:adjustRightInd w:val="0"/>
      <w:spacing w:before="100" w:after="100"/>
      <w:jc w:val="left"/>
    </w:pPr>
    <w:rPr>
      <w:rFonts w:ascii="宋体"/>
      <w:kern w:val="0"/>
      <w:sz w:val="24"/>
    </w:rPr>
  </w:style>
  <w:style w:type="paragraph" w:customStyle="1" w:styleId="158">
    <w:name w:val="xl4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159">
    <w:name w:val="缩进"/>
    <w:basedOn w:val="1"/>
    <w:link w:val="211"/>
    <w:qFormat/>
    <w:uiPriority w:val="0"/>
    <w:pPr>
      <w:autoSpaceDE w:val="0"/>
      <w:autoSpaceDN w:val="0"/>
      <w:adjustRightInd w:val="0"/>
      <w:spacing w:line="400" w:lineRule="atLeast"/>
      <w:ind w:firstLine="425"/>
      <w:textAlignment w:val="baseline"/>
    </w:pPr>
    <w:rPr>
      <w:sz w:val="24"/>
      <w:szCs w:val="20"/>
    </w:rPr>
  </w:style>
  <w:style w:type="paragraph" w:customStyle="1" w:styleId="160">
    <w:name w:val="图文框"/>
    <w:basedOn w:val="1"/>
    <w:qFormat/>
    <w:uiPriority w:val="0"/>
    <w:pPr>
      <w:spacing w:line="360" w:lineRule="exact"/>
      <w:jc w:val="center"/>
    </w:pPr>
    <w:rPr>
      <w:rFonts w:ascii="宋体" w:hAnsi="宋体"/>
      <w:color w:val="000000"/>
      <w:kern w:val="0"/>
      <w:szCs w:val="21"/>
    </w:rPr>
  </w:style>
  <w:style w:type="character" w:customStyle="1" w:styleId="161">
    <w:name w:val="nine-11"/>
    <w:qFormat/>
    <w:uiPriority w:val="0"/>
    <w:rPr>
      <w:rFonts w:hint="default"/>
      <w:spacing w:val="320"/>
      <w:sz w:val="18"/>
      <w:szCs w:val="18"/>
    </w:rPr>
  </w:style>
  <w:style w:type="paragraph" w:customStyle="1" w:styleId="162">
    <w:name w:val="xl3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olor w:val="FF0000"/>
      <w:kern w:val="0"/>
      <w:sz w:val="24"/>
    </w:rPr>
  </w:style>
  <w:style w:type="paragraph" w:customStyle="1" w:styleId="163">
    <w:name w:val="小四宋居中1.0"/>
    <w:basedOn w:val="1"/>
    <w:next w:val="1"/>
    <w:qFormat/>
    <w:uiPriority w:val="0"/>
    <w:pPr>
      <w:jc w:val="center"/>
    </w:pPr>
    <w:rPr>
      <w:rFonts w:ascii="仿宋_GB2312" w:eastAsia="仿宋_GB2312"/>
      <w:sz w:val="24"/>
      <w:szCs w:val="20"/>
    </w:rPr>
  </w:style>
  <w:style w:type="character" w:customStyle="1" w:styleId="164">
    <w:name w:val="style41"/>
    <w:qFormat/>
    <w:uiPriority w:val="0"/>
    <w:rPr>
      <w:b/>
      <w:bCs/>
      <w:color w:val="000000"/>
    </w:rPr>
  </w:style>
  <w:style w:type="character" w:customStyle="1" w:styleId="165">
    <w:name w:val="title-blue1"/>
    <w:qFormat/>
    <w:uiPriority w:val="0"/>
    <w:rPr>
      <w:rFonts w:hint="eastAsia" w:ascii="幼圆" w:eastAsia="幼圆"/>
      <w:b/>
      <w:bCs/>
      <w:color w:val="009FFF"/>
      <w:spacing w:val="75"/>
      <w:sz w:val="24"/>
      <w:szCs w:val="24"/>
    </w:rPr>
  </w:style>
  <w:style w:type="character" w:customStyle="1" w:styleId="166">
    <w:name w:val="正文（首行缩进两字） Char Char1"/>
    <w:qFormat/>
    <w:uiPriority w:val="0"/>
    <w:rPr>
      <w:rFonts w:ascii="仿宋_GB2312" w:eastAsia="仿宋_GB2312"/>
      <w:kern w:val="2"/>
      <w:sz w:val="28"/>
      <w:szCs w:val="24"/>
      <w:lang w:val="en-US" w:eastAsia="zh-CN" w:bidi="ar-SA"/>
    </w:rPr>
  </w:style>
  <w:style w:type="paragraph" w:customStyle="1" w:styleId="167">
    <w:name w:val="样式2"/>
    <w:basedOn w:val="1"/>
    <w:qFormat/>
    <w:uiPriority w:val="0"/>
    <w:pPr>
      <w:adjustRightInd w:val="0"/>
      <w:snapToGrid w:val="0"/>
      <w:spacing w:beforeLines="20" w:afterLines="20"/>
      <w:ind w:left="-109" w:leftChars="-53" w:hanging="2"/>
      <w:jc w:val="center"/>
    </w:pPr>
    <w:rPr>
      <w:rFonts w:ascii="宋体" w:hAnsi="宋体"/>
      <w:color w:val="000000"/>
    </w:rPr>
  </w:style>
  <w:style w:type="paragraph" w:customStyle="1" w:styleId="168">
    <w:name w:val="1 Char Char Char Char Char Char Char Char Char Char Char Char Char Char Char Char Char Char Char"/>
    <w:basedOn w:val="1"/>
    <w:qFormat/>
    <w:uiPriority w:val="0"/>
    <w:pPr>
      <w:adjustRightInd w:val="0"/>
      <w:spacing w:line="360" w:lineRule="auto"/>
    </w:pPr>
    <w:rPr>
      <w:kern w:val="0"/>
      <w:sz w:val="24"/>
      <w:szCs w:val="20"/>
    </w:rPr>
  </w:style>
  <w:style w:type="paragraph" w:customStyle="1" w:styleId="169">
    <w:name w:val="Char Char Char Char Char Char"/>
    <w:basedOn w:val="1"/>
    <w:qFormat/>
    <w:uiPriority w:val="0"/>
    <w:rPr>
      <w:szCs w:val="21"/>
    </w:rPr>
  </w:style>
  <w:style w:type="paragraph" w:customStyle="1" w:styleId="170">
    <w:name w:val="三级条标题"/>
    <w:basedOn w:val="1"/>
    <w:next w:val="1"/>
    <w:qFormat/>
    <w:uiPriority w:val="0"/>
    <w:pPr>
      <w:widowControl/>
      <w:tabs>
        <w:tab w:val="left" w:pos="2040"/>
        <w:tab w:val="left" w:pos="2160"/>
        <w:tab w:val="left" w:pos="2580"/>
      </w:tabs>
      <w:ind w:left="3600" w:hanging="360"/>
      <w:outlineLvl w:val="4"/>
    </w:pPr>
    <w:rPr>
      <w:rFonts w:ascii="黑体" w:eastAsia="黑体"/>
      <w:kern w:val="0"/>
      <w:szCs w:val="21"/>
    </w:rPr>
  </w:style>
  <w:style w:type="paragraph" w:customStyle="1" w:styleId="171">
    <w:name w:val="Char4 Char Char Char Char Char Char Char Char Char Char Char Char Char Char Char Char Char1 Char Char Char Char Char Char1 Char Char Char Char Char Char Char Char Char Char Char Char Char Char Char Char"/>
    <w:basedOn w:val="1"/>
    <w:qFormat/>
    <w:uiPriority w:val="0"/>
    <w:pPr>
      <w:spacing w:line="240" w:lineRule="exact"/>
      <w:ind w:firstLine="200" w:firstLineChars="200"/>
    </w:pPr>
    <w:rPr>
      <w:sz w:val="28"/>
      <w:szCs w:val="28"/>
    </w:rPr>
  </w:style>
  <w:style w:type="character" w:customStyle="1" w:styleId="172">
    <w:name w:val="表格标题 Char1"/>
    <w:qFormat/>
    <w:uiPriority w:val="0"/>
    <w:rPr>
      <w:rFonts w:eastAsia="宋体"/>
      <w:kern w:val="2"/>
      <w:sz w:val="21"/>
      <w:lang w:val="en-US" w:eastAsia="zh-CN" w:bidi="ar-SA"/>
    </w:rPr>
  </w:style>
  <w:style w:type="paragraph" w:customStyle="1" w:styleId="173">
    <w:name w:val="4"/>
    <w:basedOn w:val="1"/>
    <w:next w:val="50"/>
    <w:qFormat/>
    <w:uiPriority w:val="0"/>
    <w:pPr>
      <w:spacing w:line="500" w:lineRule="exact"/>
      <w:ind w:firstLine="560"/>
    </w:pPr>
    <w:rPr>
      <w:rFonts w:ascii="仿宋_GB2312" w:eastAsia="仿宋_GB2312"/>
      <w:color w:val="000000"/>
      <w:sz w:val="28"/>
    </w:rPr>
  </w:style>
  <w:style w:type="character" w:customStyle="1" w:styleId="174">
    <w:name w:val="表格标题2"/>
    <w:qFormat/>
    <w:uiPriority w:val="0"/>
    <w:rPr>
      <w:rFonts w:eastAsia="宋体"/>
      <w:kern w:val="2"/>
      <w:sz w:val="21"/>
      <w:lang w:val="en-US" w:eastAsia="zh-CN" w:bidi="ar-SA"/>
    </w:rPr>
  </w:style>
  <w:style w:type="paragraph" w:customStyle="1" w:styleId="175">
    <w:name w:val="报告书表格"/>
    <w:basedOn w:val="1"/>
    <w:link w:val="692"/>
    <w:qFormat/>
    <w:uiPriority w:val="0"/>
    <w:pPr>
      <w:adjustRightInd w:val="0"/>
      <w:spacing w:line="400" w:lineRule="exact"/>
      <w:jc w:val="center"/>
      <w:textAlignment w:val="baseline"/>
    </w:pPr>
    <w:rPr>
      <w:kern w:val="0"/>
      <w:szCs w:val="21"/>
    </w:rPr>
  </w:style>
  <w:style w:type="paragraph" w:customStyle="1" w:styleId="176">
    <w:name w:val="表头"/>
    <w:basedOn w:val="1"/>
    <w:link w:val="177"/>
    <w:qFormat/>
    <w:uiPriority w:val="0"/>
    <w:pPr>
      <w:adjustRightInd w:val="0"/>
      <w:snapToGrid w:val="0"/>
      <w:spacing w:line="320" w:lineRule="atLeast"/>
      <w:jc w:val="center"/>
      <w:textAlignment w:val="baseline"/>
    </w:pPr>
    <w:rPr>
      <w:rFonts w:eastAsia="黑体"/>
      <w:spacing w:val="-10"/>
      <w:kern w:val="0"/>
      <w:szCs w:val="20"/>
    </w:rPr>
  </w:style>
  <w:style w:type="character" w:customStyle="1" w:styleId="177">
    <w:name w:val="表头 Char"/>
    <w:link w:val="176"/>
    <w:qFormat/>
    <w:uiPriority w:val="0"/>
    <w:rPr>
      <w:rFonts w:eastAsia="黑体"/>
      <w:spacing w:val="-10"/>
      <w:sz w:val="21"/>
      <w:lang w:val="en-US" w:eastAsia="zh-CN" w:bidi="ar-SA"/>
    </w:rPr>
  </w:style>
  <w:style w:type="paragraph" w:customStyle="1" w:styleId="178">
    <w:name w:val="表蕊"/>
    <w:basedOn w:val="1"/>
    <w:link w:val="179"/>
    <w:qFormat/>
    <w:uiPriority w:val="0"/>
    <w:pPr>
      <w:adjustRightInd w:val="0"/>
      <w:spacing w:line="320" w:lineRule="atLeast"/>
      <w:jc w:val="left"/>
      <w:textAlignment w:val="baseline"/>
    </w:pPr>
    <w:rPr>
      <w:rFonts w:eastAsia="楷体_GB2312"/>
      <w:spacing w:val="-10"/>
      <w:kern w:val="0"/>
      <w:szCs w:val="20"/>
    </w:rPr>
  </w:style>
  <w:style w:type="character" w:customStyle="1" w:styleId="179">
    <w:name w:val="表蕊 Char1"/>
    <w:link w:val="178"/>
    <w:qFormat/>
    <w:uiPriority w:val="0"/>
    <w:rPr>
      <w:rFonts w:eastAsia="楷体_GB2312"/>
      <w:spacing w:val="-10"/>
      <w:sz w:val="21"/>
      <w:lang w:val="en-US" w:eastAsia="zh-CN" w:bidi="ar-SA"/>
    </w:rPr>
  </w:style>
  <w:style w:type="paragraph" w:customStyle="1" w:styleId="180">
    <w:name w:val="正文B"/>
    <w:basedOn w:val="1"/>
    <w:link w:val="181"/>
    <w:qFormat/>
    <w:uiPriority w:val="0"/>
    <w:pPr>
      <w:adjustRightInd w:val="0"/>
      <w:spacing w:line="390" w:lineRule="exact"/>
      <w:ind w:firstLine="601"/>
      <w:textAlignment w:val="baseline"/>
    </w:pPr>
    <w:rPr>
      <w:rFonts w:eastAsia="楷体_GB2312"/>
      <w:spacing w:val="8"/>
      <w:kern w:val="0"/>
      <w:sz w:val="28"/>
      <w:szCs w:val="20"/>
    </w:rPr>
  </w:style>
  <w:style w:type="character" w:customStyle="1" w:styleId="181">
    <w:name w:val="正文B Char"/>
    <w:link w:val="180"/>
    <w:qFormat/>
    <w:uiPriority w:val="0"/>
    <w:rPr>
      <w:rFonts w:eastAsia="楷体_GB2312"/>
      <w:spacing w:val="8"/>
      <w:sz w:val="28"/>
      <w:lang w:val="en-US" w:eastAsia="zh-CN" w:bidi="ar-SA"/>
    </w:rPr>
  </w:style>
  <w:style w:type="character" w:customStyle="1" w:styleId="182">
    <w:name w:val="标题 1 Char1"/>
    <w:qFormat/>
    <w:uiPriority w:val="0"/>
    <w:rPr>
      <w:rFonts w:eastAsia="宋体"/>
      <w:b/>
      <w:bCs/>
      <w:kern w:val="44"/>
      <w:sz w:val="44"/>
      <w:szCs w:val="44"/>
      <w:lang w:val="en-US" w:eastAsia="zh-CN" w:bidi="ar-SA"/>
    </w:rPr>
  </w:style>
  <w:style w:type="character" w:customStyle="1" w:styleId="183">
    <w:name w:val="unnamed91"/>
    <w:qFormat/>
    <w:uiPriority w:val="0"/>
    <w:rPr>
      <w:rFonts w:hint="eastAsia" w:ascii="宋体" w:hAnsi="宋体" w:eastAsia="宋体"/>
      <w:color w:val="000000"/>
      <w:spacing w:val="375"/>
      <w:sz w:val="18"/>
      <w:szCs w:val="18"/>
      <w:u w:val="none"/>
    </w:rPr>
  </w:style>
  <w:style w:type="paragraph" w:customStyle="1" w:styleId="184">
    <w:name w:val="正文格式"/>
    <w:basedOn w:val="1"/>
    <w:link w:val="207"/>
    <w:qFormat/>
    <w:uiPriority w:val="0"/>
    <w:pPr>
      <w:spacing w:line="360" w:lineRule="auto"/>
      <w:ind w:firstLine="482"/>
    </w:pPr>
    <w:rPr>
      <w:rFonts w:ascii="宋体" w:cs="宋体"/>
      <w:sz w:val="24"/>
    </w:rPr>
  </w:style>
  <w:style w:type="paragraph" w:customStyle="1" w:styleId="185">
    <w:name w:val="报告 Char"/>
    <w:basedOn w:val="1"/>
    <w:qFormat/>
    <w:uiPriority w:val="0"/>
    <w:pPr>
      <w:adjustRightInd w:val="0"/>
      <w:spacing w:line="360" w:lineRule="auto"/>
      <w:ind w:firstLine="505"/>
      <w:textAlignment w:val="baseline"/>
    </w:pPr>
    <w:rPr>
      <w:sz w:val="24"/>
    </w:rPr>
  </w:style>
  <w:style w:type="paragraph" w:customStyle="1" w:styleId="186">
    <w:name w:val="样式 标题 3 + 黑色 Char Char Char Char"/>
    <w:basedOn w:val="4"/>
    <w:qFormat/>
    <w:uiPriority w:val="0"/>
    <w:pPr>
      <w:keepNext w:val="0"/>
      <w:keepLines w:val="0"/>
      <w:tabs>
        <w:tab w:val="left" w:pos="993"/>
        <w:tab w:val="left" w:pos="1260"/>
      </w:tabs>
      <w:adjustRightInd w:val="0"/>
      <w:snapToGrid w:val="0"/>
      <w:spacing w:before="0" w:after="0" w:line="500" w:lineRule="exact"/>
      <w:outlineLvl w:val="9"/>
    </w:pPr>
    <w:rPr>
      <w:b w:val="0"/>
      <w:color w:val="000000"/>
      <w:sz w:val="28"/>
    </w:rPr>
  </w:style>
  <w:style w:type="paragraph" w:customStyle="1" w:styleId="187">
    <w:name w:val="报告 Char Char Char"/>
    <w:basedOn w:val="1"/>
    <w:link w:val="188"/>
    <w:qFormat/>
    <w:uiPriority w:val="0"/>
    <w:pPr>
      <w:adjustRightInd w:val="0"/>
      <w:spacing w:line="360" w:lineRule="auto"/>
      <w:ind w:firstLine="505"/>
      <w:textAlignment w:val="baseline"/>
    </w:pPr>
    <w:rPr>
      <w:sz w:val="24"/>
    </w:rPr>
  </w:style>
  <w:style w:type="character" w:customStyle="1" w:styleId="188">
    <w:name w:val="报告 Char Char Char Char"/>
    <w:link w:val="187"/>
    <w:qFormat/>
    <w:uiPriority w:val="0"/>
    <w:rPr>
      <w:rFonts w:eastAsia="宋体"/>
      <w:kern w:val="2"/>
      <w:sz w:val="24"/>
      <w:szCs w:val="24"/>
      <w:lang w:val="en-US" w:eastAsia="zh-CN" w:bidi="ar-SA"/>
    </w:rPr>
  </w:style>
  <w:style w:type="paragraph" w:customStyle="1" w:styleId="189">
    <w:name w:val="表格1"/>
    <w:basedOn w:val="44"/>
    <w:qFormat/>
    <w:uiPriority w:val="0"/>
    <w:pPr>
      <w:spacing w:line="340" w:lineRule="exact"/>
      <w:jc w:val="center"/>
    </w:pPr>
    <w:rPr>
      <w:rFonts w:hAnsi="Times New Roman" w:cs="Times New Roman"/>
      <w:sz w:val="18"/>
      <w:szCs w:val="20"/>
    </w:rPr>
  </w:style>
  <w:style w:type="paragraph" w:customStyle="1" w:styleId="190">
    <w:name w:val="正文文字"/>
    <w:basedOn w:val="1"/>
    <w:qFormat/>
    <w:uiPriority w:val="0"/>
    <w:pPr>
      <w:snapToGrid w:val="0"/>
      <w:spacing w:beforeLines="50" w:line="312" w:lineRule="auto"/>
      <w:ind w:firstLine="540" w:firstLineChars="225"/>
    </w:pPr>
    <w:rPr>
      <w:rFonts w:ascii="Arial" w:hAnsi="Arial" w:eastAsia="仿宋_GB2312" w:cs="Arial"/>
      <w:bCs/>
      <w:kern w:val="0"/>
      <w:sz w:val="24"/>
      <w:lang w:val="de-DE"/>
    </w:rPr>
  </w:style>
  <w:style w:type="paragraph" w:customStyle="1" w:styleId="191">
    <w:name w:val="Default"/>
    <w:qFormat/>
    <w:uiPriority w:val="0"/>
    <w:pPr>
      <w:widowControl w:val="0"/>
      <w:autoSpaceDE w:val="0"/>
      <w:autoSpaceDN w:val="0"/>
      <w:adjustRightInd w:val="0"/>
    </w:pPr>
    <w:rPr>
      <w:rFonts w:ascii=".." w:hAnsi="Times New Roman" w:eastAsia=".." w:cs=".."/>
      <w:color w:val="000000"/>
      <w:sz w:val="24"/>
      <w:szCs w:val="24"/>
      <w:lang w:val="en-US" w:eastAsia="zh-CN" w:bidi="ar-SA"/>
    </w:rPr>
  </w:style>
  <w:style w:type="paragraph" w:customStyle="1" w:styleId="192">
    <w:name w:val="报告表格"/>
    <w:basedOn w:val="1"/>
    <w:link w:val="991"/>
    <w:qFormat/>
    <w:uiPriority w:val="0"/>
    <w:pPr>
      <w:autoSpaceDE w:val="0"/>
      <w:autoSpaceDN w:val="0"/>
      <w:adjustRightInd w:val="0"/>
      <w:spacing w:line="300" w:lineRule="exact"/>
      <w:jc w:val="center"/>
      <w:textAlignment w:val="bottom"/>
    </w:pPr>
    <w:rPr>
      <w:rFonts w:ascii="宋体" w:hAnsi="宋体"/>
      <w:kern w:val="0"/>
      <w:szCs w:val="21"/>
    </w:rPr>
  </w:style>
  <w:style w:type="paragraph" w:customStyle="1" w:styleId="193">
    <w:name w:val="Char4 Char Char Char Char Char Char Char Char Char Char Char Char Char Char Char Char Char1 Char"/>
    <w:basedOn w:val="1"/>
    <w:qFormat/>
    <w:uiPriority w:val="0"/>
    <w:pPr>
      <w:spacing w:line="240" w:lineRule="exact"/>
      <w:ind w:firstLine="200" w:firstLineChars="200"/>
    </w:pPr>
    <w:rPr>
      <w:sz w:val="28"/>
      <w:szCs w:val="28"/>
    </w:rPr>
  </w:style>
  <w:style w:type="paragraph" w:customStyle="1" w:styleId="194">
    <w:name w:val="正文(首行缩进)"/>
    <w:basedOn w:val="1"/>
    <w:qFormat/>
    <w:uiPriority w:val="0"/>
    <w:pPr>
      <w:spacing w:line="500" w:lineRule="exact"/>
      <w:ind w:firstLine="480" w:firstLineChars="200"/>
    </w:pPr>
    <w:rPr>
      <w:rFonts w:ascii="宋体" w:hAnsi="宋体"/>
      <w:snapToGrid w:val="0"/>
      <w:sz w:val="24"/>
    </w:rPr>
  </w:style>
  <w:style w:type="paragraph" w:customStyle="1" w:styleId="195">
    <w:name w:val="正文格式 Char Char Char2"/>
    <w:basedOn w:val="1"/>
    <w:link w:val="196"/>
    <w:qFormat/>
    <w:uiPriority w:val="0"/>
    <w:pPr>
      <w:spacing w:line="360" w:lineRule="auto"/>
      <w:ind w:firstLine="482"/>
    </w:pPr>
    <w:rPr>
      <w:rFonts w:ascii="宋体" w:cs="宋体"/>
      <w:sz w:val="24"/>
    </w:rPr>
  </w:style>
  <w:style w:type="character" w:customStyle="1" w:styleId="196">
    <w:name w:val="正文格式 Char Char Char2 Char"/>
    <w:link w:val="195"/>
    <w:qFormat/>
    <w:uiPriority w:val="0"/>
    <w:rPr>
      <w:rFonts w:ascii="宋体" w:eastAsia="宋体" w:cs="宋体"/>
      <w:kern w:val="2"/>
      <w:sz w:val="24"/>
      <w:szCs w:val="24"/>
      <w:lang w:val="en-US" w:eastAsia="zh-CN" w:bidi="ar-SA"/>
    </w:rPr>
  </w:style>
  <w:style w:type="paragraph" w:customStyle="1" w:styleId="197">
    <w:name w:val="Char Char Char Char Char Char Char Char Char1 Char Char Char Char"/>
    <w:basedOn w:val="1"/>
    <w:qFormat/>
    <w:uiPriority w:val="0"/>
    <w:rPr>
      <w:szCs w:val="21"/>
    </w:rPr>
  </w:style>
  <w:style w:type="character" w:customStyle="1" w:styleId="198">
    <w:name w:val="正文文本缩进 字符"/>
    <w:link w:val="34"/>
    <w:qFormat/>
    <w:uiPriority w:val="0"/>
    <w:rPr>
      <w:rFonts w:eastAsia="宋体"/>
      <w:kern w:val="2"/>
      <w:sz w:val="21"/>
      <w:szCs w:val="24"/>
      <w:lang w:val="en-US" w:eastAsia="zh-CN" w:bidi="ar-SA"/>
    </w:rPr>
  </w:style>
  <w:style w:type="paragraph" w:customStyle="1" w:styleId="199">
    <w:name w:val="文1"/>
    <w:basedOn w:val="1"/>
    <w:qFormat/>
    <w:uiPriority w:val="0"/>
    <w:pPr>
      <w:snapToGrid w:val="0"/>
      <w:spacing w:line="360" w:lineRule="auto"/>
      <w:ind w:firstLine="567"/>
    </w:pPr>
    <w:rPr>
      <w:rFonts w:ascii="Arial" w:hAnsi="Arial" w:eastAsia="幼圆"/>
      <w:sz w:val="24"/>
      <w:szCs w:val="20"/>
    </w:rPr>
  </w:style>
  <w:style w:type="paragraph" w:customStyle="1" w:styleId="200">
    <w:name w:val="Char Char Char Char"/>
    <w:basedOn w:val="25"/>
    <w:qFormat/>
    <w:uiPriority w:val="0"/>
    <w:pPr>
      <w:widowControl/>
      <w:adjustRightInd w:val="0"/>
      <w:snapToGrid w:val="0"/>
      <w:spacing w:line="360" w:lineRule="auto"/>
      <w:jc w:val="left"/>
    </w:pPr>
    <w:rPr>
      <w:rFonts w:ascii="Tahoma" w:hAnsi="Tahoma" w:cs="宋体"/>
      <w:kern w:val="0"/>
      <w:sz w:val="24"/>
    </w:rPr>
  </w:style>
  <w:style w:type="paragraph" w:customStyle="1" w:styleId="201">
    <w:name w:val="Char Char Char1 Char Char Char1 Char Char Char1 Char"/>
    <w:basedOn w:val="1"/>
    <w:qFormat/>
    <w:uiPriority w:val="0"/>
    <w:pPr>
      <w:spacing w:line="400" w:lineRule="exact"/>
      <w:ind w:firstLine="200" w:firstLineChars="200"/>
    </w:pPr>
    <w:rPr>
      <w:sz w:val="28"/>
      <w:szCs w:val="28"/>
    </w:rPr>
  </w:style>
  <w:style w:type="paragraph" w:customStyle="1" w:styleId="202">
    <w:name w:val="xl43"/>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eastAsia="Arial Unicode MS"/>
      <w:kern w:val="0"/>
      <w:sz w:val="20"/>
      <w:szCs w:val="20"/>
    </w:rPr>
  </w:style>
  <w:style w:type="paragraph" w:customStyle="1" w:styleId="203">
    <w:name w:val="xl36"/>
    <w:basedOn w:val="1"/>
    <w:qFormat/>
    <w:uiPriority w:val="0"/>
    <w:pPr>
      <w:widowControl/>
      <w:spacing w:before="100" w:beforeAutospacing="1" w:after="100" w:afterAutospacing="1"/>
      <w:jc w:val="center"/>
    </w:pPr>
    <w:rPr>
      <w:rFonts w:ascii="楷体_GB2312" w:hAnsi="Arial Unicode MS" w:eastAsia="楷体_GB2312" w:cs="楷体_GB2312"/>
      <w:b/>
      <w:bCs/>
      <w:kern w:val="0"/>
      <w:sz w:val="28"/>
      <w:szCs w:val="28"/>
    </w:rPr>
  </w:style>
  <w:style w:type="character" w:customStyle="1" w:styleId="204">
    <w:name w:val="标题 1 字符"/>
    <w:link w:val="2"/>
    <w:qFormat/>
    <w:uiPriority w:val="0"/>
    <w:rPr>
      <w:rFonts w:eastAsia="宋体"/>
      <w:b/>
      <w:bCs/>
      <w:kern w:val="44"/>
      <w:sz w:val="44"/>
      <w:szCs w:val="44"/>
      <w:lang w:val="en-US" w:eastAsia="zh-CN" w:bidi="ar-SA"/>
    </w:rPr>
  </w:style>
  <w:style w:type="character" w:customStyle="1" w:styleId="205">
    <w:name w:val="正文文本缩进 2 字符"/>
    <w:link w:val="50"/>
    <w:qFormat/>
    <w:uiPriority w:val="0"/>
    <w:rPr>
      <w:rFonts w:ascii="仿宋_GB2312" w:eastAsia="仿宋_GB2312"/>
      <w:kern w:val="2"/>
      <w:sz w:val="28"/>
      <w:lang w:val="en-US" w:eastAsia="zh-CN" w:bidi="ar-SA"/>
    </w:rPr>
  </w:style>
  <w:style w:type="character" w:customStyle="1" w:styleId="206">
    <w:name w:val="正文缩进 字符"/>
    <w:link w:val="20"/>
    <w:qFormat/>
    <w:uiPriority w:val="0"/>
    <w:rPr>
      <w:rFonts w:eastAsia="宋体"/>
      <w:kern w:val="2"/>
      <w:sz w:val="21"/>
      <w:szCs w:val="24"/>
      <w:lang w:val="en-US" w:eastAsia="zh-CN" w:bidi="ar-SA"/>
    </w:rPr>
  </w:style>
  <w:style w:type="character" w:customStyle="1" w:styleId="207">
    <w:name w:val="正文格式 Char"/>
    <w:link w:val="184"/>
    <w:qFormat/>
    <w:uiPriority w:val="0"/>
    <w:rPr>
      <w:rFonts w:ascii="宋体" w:eastAsia="宋体" w:cs="宋体"/>
      <w:kern w:val="2"/>
      <w:sz w:val="24"/>
      <w:szCs w:val="24"/>
      <w:lang w:val="en-US" w:eastAsia="zh-CN" w:bidi="ar-SA"/>
    </w:rPr>
  </w:style>
  <w:style w:type="paragraph" w:customStyle="1" w:styleId="208">
    <w:name w:val="样式 标题 2节第一章 标题 2Heading 2 HiddenHeading 2 CCBSheading 2H2...1"/>
    <w:basedOn w:val="3"/>
    <w:qFormat/>
    <w:uiPriority w:val="0"/>
    <w:rPr>
      <w:rFonts w:ascii="宋体" w:hAnsi="宋体" w:eastAsia="宋体"/>
      <w:bCs/>
      <w:color w:val="FF0000"/>
      <w:sz w:val="28"/>
      <w:szCs w:val="28"/>
    </w:rPr>
  </w:style>
  <w:style w:type="character" w:customStyle="1" w:styleId="209">
    <w:name w:val="正文文本 字符"/>
    <w:link w:val="33"/>
    <w:qFormat/>
    <w:uiPriority w:val="0"/>
    <w:rPr>
      <w:rFonts w:eastAsia="宋体"/>
      <w:kern w:val="2"/>
      <w:sz w:val="21"/>
      <w:szCs w:val="24"/>
      <w:lang w:val="en-US" w:eastAsia="zh-CN" w:bidi="ar-SA"/>
    </w:rPr>
  </w:style>
  <w:style w:type="character" w:customStyle="1" w:styleId="210">
    <w:name w:val="纯文本 字符"/>
    <w:link w:val="44"/>
    <w:qFormat/>
    <w:uiPriority w:val="0"/>
    <w:rPr>
      <w:rFonts w:ascii="宋体" w:hAnsi="Courier New" w:eastAsia="宋体" w:cs="Courier New"/>
      <w:kern w:val="2"/>
      <w:sz w:val="21"/>
      <w:szCs w:val="21"/>
      <w:lang w:val="en-US" w:eastAsia="zh-CN" w:bidi="ar-SA"/>
    </w:rPr>
  </w:style>
  <w:style w:type="character" w:customStyle="1" w:styleId="211">
    <w:name w:val="缩进 Char"/>
    <w:link w:val="159"/>
    <w:qFormat/>
    <w:uiPriority w:val="0"/>
    <w:rPr>
      <w:rFonts w:eastAsia="宋体"/>
      <w:kern w:val="2"/>
      <w:sz w:val="24"/>
      <w:lang w:val="en-US" w:eastAsia="zh-CN" w:bidi="ar-SA"/>
    </w:rPr>
  </w:style>
  <w:style w:type="paragraph" w:customStyle="1" w:styleId="212">
    <w:name w:val="标准"/>
    <w:basedOn w:val="1"/>
    <w:qFormat/>
    <w:uiPriority w:val="0"/>
    <w:pPr>
      <w:adjustRightInd w:val="0"/>
      <w:spacing w:line="312" w:lineRule="atLeast"/>
      <w:jc w:val="center"/>
      <w:textAlignment w:val="baseline"/>
    </w:pPr>
    <w:rPr>
      <w:kern w:val="0"/>
    </w:rPr>
  </w:style>
  <w:style w:type="paragraph" w:customStyle="1" w:styleId="213">
    <w:name w:val="正文001"/>
    <w:basedOn w:val="1"/>
    <w:link w:val="1420"/>
    <w:qFormat/>
    <w:uiPriority w:val="0"/>
    <w:pPr>
      <w:spacing w:before="60" w:line="420" w:lineRule="exact"/>
      <w:ind w:firstLine="482"/>
    </w:pPr>
    <w:rPr>
      <w:sz w:val="24"/>
    </w:rPr>
  </w:style>
  <w:style w:type="paragraph" w:customStyle="1" w:styleId="214">
    <w:name w:val="表格001"/>
    <w:basedOn w:val="1"/>
    <w:qFormat/>
    <w:uiPriority w:val="0"/>
    <w:pPr>
      <w:jc w:val="center"/>
    </w:pPr>
    <w:rPr>
      <w:szCs w:val="21"/>
    </w:rPr>
  </w:style>
  <w:style w:type="character" w:customStyle="1" w:styleId="215">
    <w:name w:val="fsl1"/>
    <w:qFormat/>
    <w:uiPriority w:val="0"/>
    <w:rPr>
      <w:rFonts w:ascii="黑体" w:hAnsi="黑体" w:eastAsia="黑体"/>
      <w:b/>
      <w:color w:val="0082C6"/>
      <w:spacing w:val="10"/>
      <w:kern w:val="44"/>
      <w:sz w:val="21"/>
      <w:szCs w:val="21"/>
      <w:lang w:val="en-US" w:eastAsia="zh-CN" w:bidi="ar-SA"/>
    </w:rPr>
  </w:style>
  <w:style w:type="paragraph" w:customStyle="1" w:styleId="216">
    <w:name w:val="表头样式1"/>
    <w:basedOn w:val="1"/>
    <w:qFormat/>
    <w:uiPriority w:val="0"/>
    <w:pPr>
      <w:autoSpaceDE w:val="0"/>
      <w:autoSpaceDN w:val="0"/>
      <w:adjustRightInd w:val="0"/>
      <w:snapToGrid w:val="0"/>
      <w:spacing w:beforeLines="20" w:afterLines="20" w:line="360" w:lineRule="auto"/>
      <w:ind w:firstLine="480" w:firstLineChars="200"/>
      <w:jc w:val="center"/>
    </w:pPr>
    <w:rPr>
      <w:rFonts w:ascii="黑体" w:hAnsi="宋体" w:eastAsia="黑体"/>
      <w:kern w:val="0"/>
      <w:sz w:val="24"/>
    </w:rPr>
  </w:style>
  <w:style w:type="paragraph" w:customStyle="1" w:styleId="217">
    <w:name w:val="表样式1.1"/>
    <w:basedOn w:val="1"/>
    <w:qFormat/>
    <w:uiPriority w:val="0"/>
    <w:pPr>
      <w:autoSpaceDE w:val="0"/>
      <w:autoSpaceDN w:val="0"/>
      <w:adjustRightInd w:val="0"/>
      <w:snapToGrid w:val="0"/>
      <w:spacing w:line="374" w:lineRule="exact"/>
      <w:jc w:val="center"/>
    </w:pPr>
    <w:rPr>
      <w:rFonts w:ascii="宋体" w:hAnsi="宋体" w:cs="宋体"/>
      <w:bCs/>
      <w:color w:val="000000"/>
      <w:kern w:val="0"/>
      <w:szCs w:val="21"/>
    </w:rPr>
  </w:style>
  <w:style w:type="paragraph" w:customStyle="1" w:styleId="218">
    <w:name w:val="标题003"/>
    <w:basedOn w:val="1"/>
    <w:qFormat/>
    <w:uiPriority w:val="0"/>
    <w:pPr>
      <w:spacing w:before="120" w:line="440" w:lineRule="exact"/>
      <w:outlineLvl w:val="2"/>
    </w:pPr>
    <w:rPr>
      <w:b/>
      <w:sz w:val="27"/>
      <w:szCs w:val="20"/>
    </w:rPr>
  </w:style>
  <w:style w:type="paragraph" w:customStyle="1" w:styleId="219">
    <w:name w:val="标题002"/>
    <w:basedOn w:val="1"/>
    <w:qFormat/>
    <w:uiPriority w:val="0"/>
    <w:pPr>
      <w:spacing w:before="160" w:line="480" w:lineRule="exact"/>
      <w:outlineLvl w:val="1"/>
    </w:pPr>
    <w:rPr>
      <w:b/>
      <w:sz w:val="28"/>
      <w:szCs w:val="20"/>
    </w:rPr>
  </w:style>
  <w:style w:type="paragraph" w:customStyle="1" w:styleId="220">
    <w:name w:val="标题004"/>
    <w:basedOn w:val="213"/>
    <w:qFormat/>
    <w:uiPriority w:val="0"/>
    <w:pPr>
      <w:ind w:firstLine="0"/>
      <w:outlineLvl w:val="3"/>
    </w:pPr>
    <w:rPr>
      <w:b/>
      <w:szCs w:val="20"/>
    </w:rPr>
  </w:style>
  <w:style w:type="paragraph" w:customStyle="1" w:styleId="221">
    <w:name w:val="xl28"/>
    <w:basedOn w:val="1"/>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paragraph" w:customStyle="1" w:styleId="222">
    <w:name w:val="样式6"/>
    <w:basedOn w:val="1"/>
    <w:link w:val="1368"/>
    <w:qFormat/>
    <w:uiPriority w:val="0"/>
    <w:pPr>
      <w:tabs>
        <w:tab w:val="left" w:pos="1092"/>
        <w:tab w:val="left" w:pos="1260"/>
      </w:tabs>
      <w:adjustRightInd w:val="0"/>
      <w:snapToGrid w:val="0"/>
      <w:spacing w:beforeLines="50" w:afterLines="50" w:line="360" w:lineRule="auto"/>
      <w:ind w:left="1260" w:hanging="720"/>
      <w:jc w:val="left"/>
      <w:outlineLvl w:val="2"/>
    </w:pPr>
    <w:rPr>
      <w:sz w:val="24"/>
    </w:rPr>
  </w:style>
  <w:style w:type="paragraph" w:customStyle="1" w:styleId="223">
    <w:name w:val="样式 标题 31.1.1标题 3 + Times New Roman 自动设置 段前: 0.2 行 段后: 0.2 行"/>
    <w:basedOn w:val="4"/>
    <w:qFormat/>
    <w:uiPriority w:val="0"/>
    <w:pPr>
      <w:autoSpaceDE w:val="0"/>
      <w:autoSpaceDN w:val="0"/>
      <w:adjustRightInd w:val="0"/>
      <w:spacing w:beforeLines="20" w:afterLines="20" w:line="360" w:lineRule="auto"/>
      <w:jc w:val="left"/>
    </w:pPr>
    <w:rPr>
      <w:kern w:val="0"/>
      <w:sz w:val="24"/>
      <w:szCs w:val="20"/>
    </w:rPr>
  </w:style>
  <w:style w:type="paragraph" w:customStyle="1" w:styleId="224">
    <w:name w:val="条题"/>
    <w:basedOn w:val="1"/>
    <w:qFormat/>
    <w:uiPriority w:val="0"/>
    <w:pPr>
      <w:tabs>
        <w:tab w:val="left" w:pos="1278"/>
      </w:tabs>
      <w:spacing w:line="480" w:lineRule="exact"/>
      <w:ind w:right="278" w:firstLine="480" w:firstLineChars="200"/>
    </w:pPr>
    <w:rPr>
      <w:rFonts w:ascii="宋体" w:hAnsi="宋体"/>
      <w:sz w:val="24"/>
      <w:szCs w:val="20"/>
    </w:rPr>
  </w:style>
  <w:style w:type="paragraph" w:customStyle="1" w:styleId="225">
    <w:name w:val="样式3"/>
    <w:qFormat/>
    <w:uiPriority w:val="0"/>
    <w:pPr>
      <w:spacing w:line="280" w:lineRule="exact"/>
    </w:pPr>
    <w:rPr>
      <w:rFonts w:ascii="宋体" w:hAnsi="宋体" w:eastAsia="宋体" w:cs="Times New Roman"/>
      <w:b/>
      <w:sz w:val="21"/>
      <w:lang w:val="en-US" w:eastAsia="zh-CN" w:bidi="ar-SA"/>
    </w:rPr>
  </w:style>
  <w:style w:type="paragraph" w:customStyle="1" w:styleId="226">
    <w:name w:val="正文1"/>
    <w:basedOn w:val="1"/>
    <w:qFormat/>
    <w:uiPriority w:val="0"/>
    <w:rPr>
      <w:szCs w:val="20"/>
    </w:rPr>
  </w:style>
  <w:style w:type="paragraph" w:customStyle="1" w:styleId="227">
    <w:name w:val="样式 标题 2标题 2 Char标2h2H2标题21.1标题 2 + Times New Roman"/>
    <w:basedOn w:val="3"/>
    <w:qFormat/>
    <w:uiPriority w:val="0"/>
    <w:pPr>
      <w:autoSpaceDE w:val="0"/>
      <w:autoSpaceDN w:val="0"/>
      <w:adjustRightInd w:val="0"/>
      <w:spacing w:before="200" w:after="163"/>
      <w:jc w:val="center"/>
    </w:pPr>
    <w:rPr>
      <w:b w:val="0"/>
      <w:bCs/>
      <w:color w:val="FF0000"/>
      <w:sz w:val="28"/>
      <w:szCs w:val="28"/>
    </w:rPr>
  </w:style>
  <w:style w:type="paragraph" w:customStyle="1" w:styleId="228">
    <w:name w:val="Char Char Char Char6"/>
    <w:basedOn w:val="1"/>
    <w:qFormat/>
    <w:uiPriority w:val="0"/>
    <w:rPr>
      <w:szCs w:val="21"/>
    </w:rPr>
  </w:style>
  <w:style w:type="paragraph" w:customStyle="1" w:styleId="229">
    <w:name w:val="标题001"/>
    <w:basedOn w:val="1"/>
    <w:qFormat/>
    <w:uiPriority w:val="0"/>
    <w:pPr>
      <w:spacing w:before="60" w:line="480" w:lineRule="exact"/>
      <w:outlineLvl w:val="0"/>
    </w:pPr>
    <w:rPr>
      <w:b/>
      <w:bCs/>
      <w:sz w:val="32"/>
      <w:szCs w:val="32"/>
    </w:rPr>
  </w:style>
  <w:style w:type="paragraph" w:customStyle="1" w:styleId="230">
    <w:name w:val="wangjunbo.bullet"/>
    <w:basedOn w:val="1"/>
    <w:qFormat/>
    <w:uiPriority w:val="0"/>
    <w:pPr>
      <w:jc w:val="center"/>
    </w:pPr>
    <w:rPr>
      <w:rFonts w:ascii="宋体" w:hAnsi="宋体"/>
      <w:szCs w:val="20"/>
    </w:rPr>
  </w:style>
  <w:style w:type="paragraph" w:customStyle="1" w:styleId="231">
    <w:name w:val="样式 首行缩进:  2 字符"/>
    <w:basedOn w:val="1"/>
    <w:qFormat/>
    <w:uiPriority w:val="0"/>
    <w:pPr>
      <w:spacing w:line="360" w:lineRule="auto"/>
      <w:ind w:firstLine="560" w:firstLineChars="200"/>
    </w:pPr>
    <w:rPr>
      <w:rFonts w:ascii="仿宋_GB2312"/>
      <w:sz w:val="28"/>
      <w:szCs w:val="20"/>
    </w:rPr>
  </w:style>
  <w:style w:type="paragraph" w:customStyle="1" w:styleId="232">
    <w:name w:val="环评正文"/>
    <w:basedOn w:val="49"/>
    <w:link w:val="1479"/>
    <w:qFormat/>
    <w:uiPriority w:val="0"/>
    <w:pPr>
      <w:adjustRightInd/>
      <w:spacing w:line="500" w:lineRule="exact"/>
      <w:ind w:left="0" w:leftChars="0" w:firstLine="560" w:firstLineChars="200"/>
      <w:jc w:val="both"/>
      <w:textAlignment w:val="auto"/>
    </w:pPr>
    <w:rPr>
      <w:rFonts w:ascii="仿宋_GB2312" w:eastAsia="仿宋_GB2312"/>
      <w:kern w:val="2"/>
      <w:sz w:val="28"/>
    </w:rPr>
  </w:style>
  <w:style w:type="paragraph" w:customStyle="1" w:styleId="233">
    <w:name w:val="正文（行首缩进2字）"/>
    <w:basedOn w:val="1"/>
    <w:link w:val="512"/>
    <w:qFormat/>
    <w:uiPriority w:val="0"/>
    <w:pPr>
      <w:spacing w:line="360" w:lineRule="auto"/>
      <w:ind w:firstLine="200" w:firstLineChars="200"/>
    </w:pPr>
    <w:rPr>
      <w:sz w:val="28"/>
    </w:rPr>
  </w:style>
  <w:style w:type="paragraph" w:customStyle="1" w:styleId="234">
    <w:name w:val="Plain Text1"/>
    <w:basedOn w:val="1"/>
    <w:qFormat/>
    <w:uiPriority w:val="0"/>
    <w:pPr>
      <w:adjustRightInd w:val="0"/>
    </w:pPr>
    <w:rPr>
      <w:rFonts w:hint="eastAsia" w:ascii="宋体" w:hAnsi="Courier New"/>
      <w:szCs w:val="20"/>
    </w:rPr>
  </w:style>
  <w:style w:type="paragraph" w:customStyle="1" w:styleId="235">
    <w:name w:val="文本框"/>
    <w:basedOn w:val="1"/>
    <w:next w:val="1"/>
    <w:qFormat/>
    <w:uiPriority w:val="0"/>
    <w:pPr>
      <w:widowControl/>
      <w:spacing w:line="320" w:lineRule="exact"/>
      <w:ind w:firstLine="200" w:firstLineChars="200"/>
      <w:jc w:val="center"/>
    </w:pPr>
    <w:rPr>
      <w:rFonts w:ascii="仿宋_GB2312" w:eastAsia="仿宋_GB2312"/>
      <w:kern w:val="0"/>
      <w:sz w:val="24"/>
    </w:rPr>
  </w:style>
  <w:style w:type="paragraph" w:customStyle="1" w:styleId="236">
    <w:name w:val="二级无标题条"/>
    <w:basedOn w:val="1"/>
    <w:qFormat/>
    <w:uiPriority w:val="0"/>
  </w:style>
  <w:style w:type="paragraph" w:customStyle="1" w:styleId="237">
    <w:name w:val="报告"/>
    <w:basedOn w:val="1"/>
    <w:link w:val="1812"/>
    <w:qFormat/>
    <w:uiPriority w:val="0"/>
    <w:pPr>
      <w:adjustRightInd w:val="0"/>
      <w:spacing w:line="360" w:lineRule="auto"/>
      <w:ind w:firstLine="505"/>
      <w:textAlignment w:val="center"/>
    </w:pPr>
    <w:rPr>
      <w:rFonts w:ascii="TimesNewRoman" w:hAnsi="TimesNewRoman"/>
      <w:kern w:val="0"/>
      <w:sz w:val="24"/>
      <w:szCs w:val="20"/>
    </w:rPr>
  </w:style>
  <w:style w:type="paragraph" w:customStyle="1" w:styleId="238">
    <w:name w:val="图表标题"/>
    <w:basedOn w:val="237"/>
    <w:next w:val="192"/>
    <w:qFormat/>
    <w:uiPriority w:val="0"/>
    <w:pPr>
      <w:snapToGrid w:val="0"/>
      <w:spacing w:line="240" w:lineRule="auto"/>
      <w:ind w:firstLine="0"/>
      <w:jc w:val="center"/>
      <w:textAlignment w:val="baseline"/>
    </w:pPr>
    <w:rPr>
      <w:rFonts w:ascii="Arial" w:hAnsi="Arial" w:cs="Arial"/>
      <w:b/>
    </w:rPr>
  </w:style>
  <w:style w:type="paragraph" w:customStyle="1" w:styleId="239">
    <w:name w:val="表内文字"/>
    <w:basedOn w:val="1"/>
    <w:qFormat/>
    <w:uiPriority w:val="0"/>
    <w:pPr>
      <w:adjustRightInd w:val="0"/>
      <w:spacing w:line="400" w:lineRule="exact"/>
      <w:jc w:val="center"/>
      <w:textAlignment w:val="baseline"/>
    </w:pPr>
    <w:rPr>
      <w:snapToGrid w:val="0"/>
      <w:kern w:val="24"/>
      <w:szCs w:val="21"/>
    </w:rPr>
  </w:style>
  <w:style w:type="paragraph" w:customStyle="1" w:styleId="240">
    <w:name w:val="Char28"/>
    <w:basedOn w:val="1"/>
    <w:qFormat/>
    <w:uiPriority w:val="0"/>
    <w:pPr>
      <w:spacing w:beforeLines="50" w:afterLines="50" w:line="500" w:lineRule="exact"/>
    </w:pPr>
    <w:rPr>
      <w:sz w:val="28"/>
      <w:szCs w:val="28"/>
    </w:rPr>
  </w:style>
  <w:style w:type="paragraph" w:customStyle="1" w:styleId="241">
    <w:name w:val="正文段落"/>
    <w:basedOn w:val="1"/>
    <w:qFormat/>
    <w:uiPriority w:val="0"/>
    <w:pPr>
      <w:autoSpaceDE w:val="0"/>
      <w:autoSpaceDN w:val="0"/>
      <w:adjustRightInd w:val="0"/>
      <w:spacing w:line="500" w:lineRule="exact"/>
      <w:ind w:firstLine="200" w:firstLineChars="200"/>
      <w:textAlignment w:val="baseline"/>
    </w:pPr>
    <w:rPr>
      <w:rFonts w:ascii="宋体" w:hAnsi="Tms Rmn" w:eastAsia="仿宋_GB2312"/>
      <w:kern w:val="0"/>
      <w:sz w:val="28"/>
      <w:szCs w:val="20"/>
    </w:rPr>
  </w:style>
  <w:style w:type="paragraph" w:customStyle="1" w:styleId="242">
    <w:name w:val="样式 标题 3条标题1.1.1条标题1.1.11条标题1.1.12条标题1.1.13条标题1.1.111条标题1.1..."/>
    <w:basedOn w:val="4"/>
    <w:qFormat/>
    <w:uiPriority w:val="0"/>
    <w:pPr>
      <w:spacing w:before="0" w:after="0" w:line="500" w:lineRule="exact"/>
    </w:pPr>
    <w:rPr>
      <w:rFonts w:ascii="宋体" w:hAnsi="宋体" w:cs="宋体"/>
      <w:bCs w:val="0"/>
      <w:sz w:val="28"/>
      <w:szCs w:val="20"/>
    </w:rPr>
  </w:style>
  <w:style w:type="paragraph" w:customStyle="1" w:styleId="243">
    <w:name w:val="样式 标题 3条标题1.1.1条标题1.1.11条标题1.1.12条标题1.1.13条标题1.1.111条标题1.1...1"/>
    <w:basedOn w:val="4"/>
    <w:qFormat/>
    <w:uiPriority w:val="0"/>
    <w:pPr>
      <w:spacing w:before="0" w:after="0" w:line="500" w:lineRule="exact"/>
    </w:pPr>
    <w:rPr>
      <w:rFonts w:ascii="宋体" w:hAnsi="宋体" w:cs="宋体"/>
      <w:bCs w:val="0"/>
      <w:sz w:val="28"/>
      <w:szCs w:val="20"/>
    </w:rPr>
  </w:style>
  <w:style w:type="paragraph" w:customStyle="1" w:styleId="244">
    <w:name w:val="xl2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top"/>
    </w:pPr>
    <w:rPr>
      <w:rFonts w:ascii="Arial Unicode MS" w:hAnsi="Arial Unicode MS" w:eastAsia="Arial Unicode MS"/>
      <w:kern w:val="0"/>
      <w:szCs w:val="21"/>
    </w:rPr>
  </w:style>
  <w:style w:type="paragraph" w:customStyle="1" w:styleId="245">
    <w:name w:val="样式 标题 3 + 11 磅 蓝色"/>
    <w:basedOn w:val="4"/>
    <w:qFormat/>
    <w:uiPriority w:val="0"/>
    <w:pPr>
      <w:autoSpaceDE w:val="0"/>
      <w:autoSpaceDN w:val="0"/>
      <w:adjustRightInd w:val="0"/>
      <w:snapToGrid w:val="0"/>
      <w:spacing w:before="0" w:after="0" w:line="500" w:lineRule="exact"/>
      <w:jc w:val="left"/>
      <w:textAlignment w:val="baseline"/>
    </w:pPr>
    <w:rPr>
      <w:rFonts w:ascii="宋体" w:hAnsi="宋体"/>
      <w:b w:val="0"/>
      <w:snapToGrid w:val="0"/>
      <w:color w:val="0000FF"/>
      <w:kern w:val="0"/>
      <w:sz w:val="28"/>
      <w:szCs w:val="28"/>
    </w:rPr>
  </w:style>
  <w:style w:type="paragraph" w:customStyle="1" w:styleId="246">
    <w:name w:val="3级标题"/>
    <w:basedOn w:val="1"/>
    <w:qFormat/>
    <w:uiPriority w:val="0"/>
    <w:pPr>
      <w:keepNext/>
      <w:keepLines/>
      <w:adjustRightInd w:val="0"/>
      <w:snapToGrid w:val="0"/>
      <w:spacing w:before="80" w:after="80" w:line="400" w:lineRule="exact"/>
      <w:outlineLvl w:val="2"/>
    </w:pPr>
    <w:rPr>
      <w:b/>
      <w:color w:val="000000"/>
      <w:sz w:val="24"/>
      <w:szCs w:val="28"/>
    </w:rPr>
  </w:style>
  <w:style w:type="paragraph" w:customStyle="1" w:styleId="247">
    <w:name w:val="样式 正文缩进正文缩进 Char正文缩进1 Char正文缩进1正文（首行缩进两字） Char正文缩进 Char Cha..."/>
    <w:basedOn w:val="20"/>
    <w:qFormat/>
    <w:uiPriority w:val="0"/>
    <w:pPr>
      <w:spacing w:beforeLines="50" w:line="360" w:lineRule="auto"/>
      <w:ind w:firstLine="567" w:firstLineChars="0"/>
      <w:jc w:val="left"/>
    </w:pPr>
    <w:rPr>
      <w:rFonts w:cs="宋体"/>
      <w:sz w:val="24"/>
      <w:szCs w:val="20"/>
    </w:rPr>
  </w:style>
  <w:style w:type="paragraph" w:customStyle="1" w:styleId="248">
    <w:name w:val="样式 图表"/>
    <w:basedOn w:val="1"/>
    <w:qFormat/>
    <w:uiPriority w:val="0"/>
    <w:pPr>
      <w:adjustRightInd w:val="0"/>
      <w:spacing w:line="360" w:lineRule="auto"/>
      <w:jc w:val="center"/>
      <w:textAlignment w:val="baseline"/>
    </w:pPr>
    <w:rPr>
      <w:b/>
      <w:bCs/>
      <w:kern w:val="0"/>
      <w:sz w:val="24"/>
    </w:rPr>
  </w:style>
  <w:style w:type="paragraph" w:customStyle="1" w:styleId="249">
    <w:name w:val="普通表格1"/>
    <w:basedOn w:val="44"/>
    <w:qFormat/>
    <w:uiPriority w:val="0"/>
    <w:pPr>
      <w:snapToGrid w:val="0"/>
      <w:spacing w:line="380" w:lineRule="exact"/>
    </w:pPr>
    <w:rPr>
      <w:rFonts w:ascii="Times New Roman" w:hAnsi="Times New Roman" w:cs="Times New Roman"/>
      <w:sz w:val="24"/>
      <w:szCs w:val="24"/>
    </w:rPr>
  </w:style>
  <w:style w:type="paragraph" w:customStyle="1" w:styleId="250">
    <w:name w:val="xl3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251">
    <w:name w:val="样式 正文文本缩进 + 左侧:  0.95 厘米 首行缩进:  0.63 厘米"/>
    <w:basedOn w:val="34"/>
    <w:qFormat/>
    <w:uiPriority w:val="0"/>
    <w:pPr>
      <w:spacing w:after="0" w:line="480" w:lineRule="exact"/>
      <w:ind w:left="0" w:leftChars="0" w:firstLine="480" w:firstLineChars="200"/>
    </w:pPr>
    <w:rPr>
      <w:rFonts w:ascii="宋体" w:hAnsi="宋体"/>
      <w:color w:val="000000"/>
      <w:sz w:val="24"/>
    </w:rPr>
  </w:style>
  <w:style w:type="paragraph" w:customStyle="1" w:styleId="252">
    <w:name w:val="Char Char Char1 Char"/>
    <w:basedOn w:val="1"/>
    <w:qFormat/>
    <w:uiPriority w:val="0"/>
  </w:style>
  <w:style w:type="paragraph" w:customStyle="1" w:styleId="253">
    <w:name w:val="Char Char Char Char Char Char Char"/>
    <w:basedOn w:val="1"/>
    <w:qFormat/>
    <w:uiPriority w:val="0"/>
  </w:style>
  <w:style w:type="paragraph" w:customStyle="1" w:styleId="254">
    <w:name w:val="Char Char Char1 Char Char Char Char"/>
    <w:basedOn w:val="1"/>
    <w:qFormat/>
    <w:uiPriority w:val="0"/>
  </w:style>
  <w:style w:type="paragraph" w:customStyle="1" w:styleId="255">
    <w:name w:val="Char Char Char Char Char Char Char Char Char Char Char Char Char Char Char Char"/>
    <w:basedOn w:val="1"/>
    <w:qFormat/>
    <w:uiPriority w:val="0"/>
  </w:style>
  <w:style w:type="paragraph" w:customStyle="1" w:styleId="256">
    <w:name w:val="Char Char Char Char Char Char Char Char Char Char4"/>
    <w:basedOn w:val="1"/>
    <w:qFormat/>
    <w:uiPriority w:val="0"/>
  </w:style>
  <w:style w:type="character" w:customStyle="1" w:styleId="257">
    <w:name w:val="h31"/>
    <w:qFormat/>
    <w:uiPriority w:val="0"/>
    <w:rPr>
      <w:rFonts w:ascii="黑体" w:hAnsi="黑体" w:eastAsia="黑体"/>
      <w:b/>
      <w:spacing w:val="10"/>
      <w:kern w:val="44"/>
      <w:sz w:val="28"/>
      <w:szCs w:val="28"/>
      <w:lang w:val="en-US" w:eastAsia="zh-CN" w:bidi="ar-SA"/>
    </w:rPr>
  </w:style>
  <w:style w:type="paragraph" w:customStyle="1" w:styleId="258">
    <w:name w:val="默认段落字体 Para Char"/>
    <w:basedOn w:val="1"/>
    <w:qFormat/>
    <w:uiPriority w:val="0"/>
    <w:rPr>
      <w:sz w:val="24"/>
    </w:rPr>
  </w:style>
  <w:style w:type="character" w:customStyle="1" w:styleId="259">
    <w:name w:val="标题 2 字符"/>
    <w:link w:val="3"/>
    <w:qFormat/>
    <w:uiPriority w:val="0"/>
    <w:rPr>
      <w:rFonts w:eastAsia="仿宋_GB2312"/>
      <w:b/>
      <w:spacing w:val="6"/>
      <w:sz w:val="30"/>
      <w:szCs w:val="30"/>
    </w:rPr>
  </w:style>
  <w:style w:type="paragraph" w:customStyle="1" w:styleId="260">
    <w:name w:val="样式 段前: 0.1 行 段后: 0.1 行"/>
    <w:basedOn w:val="1"/>
    <w:qFormat/>
    <w:uiPriority w:val="0"/>
    <w:pPr>
      <w:adjustRightInd w:val="0"/>
      <w:snapToGrid w:val="0"/>
      <w:spacing w:line="300" w:lineRule="auto"/>
      <w:ind w:firstLine="499"/>
      <w:textAlignment w:val="baseline"/>
    </w:pPr>
    <w:rPr>
      <w:rFonts w:cs="宋体"/>
      <w:snapToGrid w:val="0"/>
      <w:kern w:val="0"/>
      <w:sz w:val="24"/>
      <w:szCs w:val="20"/>
    </w:rPr>
  </w:style>
  <w:style w:type="character" w:customStyle="1" w:styleId="261">
    <w:name w:val="表格文字 Char"/>
    <w:link w:val="119"/>
    <w:qFormat/>
    <w:locked/>
    <w:uiPriority w:val="0"/>
    <w:rPr>
      <w:rFonts w:eastAsia="仿宋_GB2312"/>
      <w:kern w:val="2"/>
      <w:sz w:val="21"/>
      <w:szCs w:val="21"/>
    </w:rPr>
  </w:style>
  <w:style w:type="paragraph" w:customStyle="1" w:styleId="262">
    <w:name w:val="Char Char Char Char Char Char Char Char Char Char Char Char Char Char Char Char Char Char Char Char Char Char Char Char Char Char Char Char Char Char2 Char Char Char Char Char Char Char"/>
    <w:basedOn w:val="1"/>
    <w:qFormat/>
    <w:uiPriority w:val="0"/>
    <w:rPr>
      <w:sz w:val="24"/>
    </w:rPr>
  </w:style>
  <w:style w:type="paragraph" w:customStyle="1" w:styleId="263">
    <w:name w:val="样式 标题 1 + (中文) 宋体 小三 行距: 多倍行距 1.35 字行"/>
    <w:basedOn w:val="2"/>
    <w:qFormat/>
    <w:uiPriority w:val="0"/>
    <w:pPr>
      <w:numPr>
        <w:ilvl w:val="0"/>
        <w:numId w:val="3"/>
      </w:numPr>
      <w:snapToGrid w:val="0"/>
      <w:spacing w:beforeLines="150" w:afterLines="150" w:line="300" w:lineRule="auto"/>
    </w:pPr>
    <w:rPr>
      <w:rFonts w:hAnsi="宋体"/>
      <w:color w:val="FF0000"/>
      <w:sz w:val="32"/>
      <w:szCs w:val="32"/>
    </w:rPr>
  </w:style>
  <w:style w:type="paragraph" w:customStyle="1" w:styleId="264">
    <w:name w:val="样式 样式 标题 2节 + (西文) Times New Roman (中文) 宋体 四号 段前: 0.5 行 段后: 0......"/>
    <w:basedOn w:val="1"/>
    <w:qFormat/>
    <w:uiPriority w:val="0"/>
    <w:pPr>
      <w:keepNext/>
      <w:keepLines/>
      <w:numPr>
        <w:ilvl w:val="1"/>
        <w:numId w:val="3"/>
      </w:numPr>
      <w:adjustRightInd w:val="0"/>
      <w:snapToGrid w:val="0"/>
      <w:spacing w:beforeLines="90" w:afterLines="90" w:line="300" w:lineRule="auto"/>
      <w:outlineLvl w:val="1"/>
    </w:pPr>
    <w:rPr>
      <w:rFonts w:hAnsi="宋体"/>
      <w:b/>
      <w:bCs/>
      <w:color w:val="FF0000"/>
      <w:sz w:val="28"/>
      <w:szCs w:val="28"/>
    </w:rPr>
  </w:style>
  <w:style w:type="paragraph" w:customStyle="1" w:styleId="265">
    <w:name w:val="样式 标题 3 + (西文) Times New Roman (中文) 宋体 小四 加粗"/>
    <w:basedOn w:val="4"/>
    <w:qFormat/>
    <w:uiPriority w:val="0"/>
    <w:pPr>
      <w:numPr>
        <w:ilvl w:val="2"/>
        <w:numId w:val="3"/>
      </w:numPr>
      <w:adjustRightInd w:val="0"/>
      <w:snapToGrid w:val="0"/>
      <w:spacing w:beforeLines="50" w:afterLines="50" w:line="360" w:lineRule="auto"/>
      <w:jc w:val="left"/>
    </w:pPr>
    <w:rPr>
      <w:rFonts w:hAnsi="宋体"/>
      <w:snapToGrid w:val="0"/>
      <w:color w:val="FF0000"/>
      <w:sz w:val="24"/>
      <w:szCs w:val="24"/>
    </w:rPr>
  </w:style>
  <w:style w:type="paragraph" w:customStyle="1" w:styleId="266">
    <w:name w:val="样式 标题 4 + (西文) Times New Roman (中文) 宋体 小四"/>
    <w:basedOn w:val="5"/>
    <w:qFormat/>
    <w:uiPriority w:val="0"/>
    <w:pPr>
      <w:numPr>
        <w:ilvl w:val="3"/>
        <w:numId w:val="3"/>
      </w:numPr>
      <w:snapToGrid w:val="0"/>
      <w:spacing w:beforeLines="25" w:afterLines="25" w:line="360" w:lineRule="auto"/>
    </w:pPr>
    <w:rPr>
      <w:rFonts w:ascii="幼圆" w:hAnsi="Times New Roman" w:eastAsia="幼圆"/>
      <w:bCs w:val="0"/>
      <w:color w:val="0000FF"/>
      <w:sz w:val="24"/>
      <w:szCs w:val="24"/>
    </w:rPr>
  </w:style>
  <w:style w:type="character" w:customStyle="1" w:styleId="267">
    <w:name w:val="图表文字 Char"/>
    <w:link w:val="124"/>
    <w:qFormat/>
    <w:uiPriority w:val="0"/>
    <w:rPr>
      <w:rFonts w:ascii="仿宋_GB2312" w:eastAsia="仿宋_GB2312"/>
      <w:kern w:val="2"/>
      <w:sz w:val="21"/>
      <w:szCs w:val="24"/>
      <w:lang w:val="en-US" w:eastAsia="zh-CN" w:bidi="ar-SA"/>
    </w:rPr>
  </w:style>
  <w:style w:type="paragraph" w:customStyle="1" w:styleId="268">
    <w:name w:val="表格内容1"/>
    <w:basedOn w:val="1"/>
    <w:qFormat/>
    <w:uiPriority w:val="0"/>
    <w:pPr>
      <w:adjustRightInd w:val="0"/>
      <w:snapToGrid w:val="0"/>
      <w:jc w:val="center"/>
    </w:pPr>
    <w:rPr>
      <w:snapToGrid w:val="0"/>
      <w:kern w:val="0"/>
    </w:rPr>
  </w:style>
  <w:style w:type="paragraph" w:customStyle="1" w:styleId="269">
    <w:name w:val="表题1"/>
    <w:basedOn w:val="1"/>
    <w:link w:val="1228"/>
    <w:qFormat/>
    <w:uiPriority w:val="0"/>
    <w:pPr>
      <w:adjustRightInd w:val="0"/>
      <w:snapToGrid w:val="0"/>
      <w:spacing w:line="300" w:lineRule="auto"/>
      <w:jc w:val="center"/>
      <w:textAlignment w:val="baseline"/>
    </w:pPr>
    <w:rPr>
      <w:snapToGrid w:val="0"/>
      <w:kern w:val="0"/>
      <w:sz w:val="24"/>
      <w:szCs w:val="20"/>
    </w:rPr>
  </w:style>
  <w:style w:type="character" w:customStyle="1" w:styleId="270">
    <w:name w:val="表标题 Char"/>
    <w:link w:val="123"/>
    <w:qFormat/>
    <w:locked/>
    <w:uiPriority w:val="0"/>
    <w:rPr>
      <w:rFonts w:ascii="仿宋_GB2312" w:eastAsia="仿宋_GB2312"/>
      <w:b/>
      <w:bCs/>
      <w:kern w:val="2"/>
      <w:sz w:val="24"/>
      <w:szCs w:val="24"/>
      <w:lang w:val="en-US" w:eastAsia="zh-CN" w:bidi="ar-SA"/>
    </w:rPr>
  </w:style>
  <w:style w:type="paragraph" w:customStyle="1" w:styleId="271">
    <w:name w:val="XYF1"/>
    <w:basedOn w:val="1"/>
    <w:link w:val="764"/>
    <w:qFormat/>
    <w:uiPriority w:val="0"/>
    <w:pPr>
      <w:tabs>
        <w:tab w:val="left" w:pos="1080"/>
      </w:tabs>
      <w:spacing w:line="440" w:lineRule="exact"/>
      <w:ind w:firstLine="195" w:firstLineChars="195"/>
    </w:pPr>
    <w:rPr>
      <w:sz w:val="24"/>
    </w:rPr>
  </w:style>
  <w:style w:type="character" w:customStyle="1" w:styleId="272">
    <w:name w:val="正文缩进4 Char"/>
    <w:link w:val="273"/>
    <w:qFormat/>
    <w:uiPriority w:val="0"/>
    <w:rPr>
      <w:rFonts w:ascii="仿宋_GB2312" w:eastAsia="仿宋_GB2312"/>
      <w:kern w:val="2"/>
      <w:sz w:val="28"/>
      <w:lang w:val="en-US" w:eastAsia="zh-CN" w:bidi="ar-SA"/>
    </w:rPr>
  </w:style>
  <w:style w:type="paragraph" w:customStyle="1" w:styleId="273">
    <w:name w:val="正文缩进4"/>
    <w:basedOn w:val="1"/>
    <w:link w:val="272"/>
    <w:qFormat/>
    <w:uiPriority w:val="0"/>
    <w:pPr>
      <w:spacing w:line="500" w:lineRule="exact"/>
      <w:ind w:firstLine="560" w:firstLineChars="200"/>
    </w:pPr>
    <w:rPr>
      <w:rFonts w:ascii="仿宋_GB2312" w:eastAsia="仿宋_GB2312"/>
      <w:sz w:val="28"/>
      <w:szCs w:val="20"/>
    </w:rPr>
  </w:style>
  <w:style w:type="paragraph" w:customStyle="1" w:styleId="274">
    <w:name w:val="表格03"/>
    <w:basedOn w:val="1"/>
    <w:qFormat/>
    <w:uiPriority w:val="0"/>
    <w:pPr>
      <w:spacing w:line="400" w:lineRule="exact"/>
      <w:jc w:val="center"/>
    </w:pPr>
    <w:rPr>
      <w:color w:val="000000"/>
      <w:sz w:val="24"/>
      <w:szCs w:val="20"/>
    </w:rPr>
  </w:style>
  <w:style w:type="paragraph" w:customStyle="1" w:styleId="275">
    <w:name w:val="表格的文字"/>
    <w:basedOn w:val="1"/>
    <w:link w:val="360"/>
    <w:qFormat/>
    <w:uiPriority w:val="0"/>
    <w:pPr>
      <w:spacing w:line="300" w:lineRule="exact"/>
      <w:jc w:val="center"/>
    </w:pPr>
    <w:rPr>
      <w:rFonts w:ascii="仿宋_GB2312" w:eastAsia="仿宋_GB2312"/>
      <w:szCs w:val="20"/>
    </w:rPr>
  </w:style>
  <w:style w:type="paragraph" w:customStyle="1" w:styleId="276">
    <w:name w:val="图框文字"/>
    <w:basedOn w:val="1"/>
    <w:qFormat/>
    <w:uiPriority w:val="0"/>
    <w:pPr>
      <w:jc w:val="center"/>
      <w:textAlignment w:val="center"/>
    </w:pPr>
    <w:rPr>
      <w:szCs w:val="20"/>
    </w:rPr>
  </w:style>
  <w:style w:type="table" w:customStyle="1" w:styleId="277">
    <w:name w:val="表格样式11"/>
    <w:basedOn w:val="87"/>
    <w:qFormat/>
    <w:uiPriority w:val="0"/>
    <w:rPr>
      <w:rFonts w:eastAsia="楷体_GB2312"/>
    </w:rPr>
    <w:tblPr>
      <w:tblBorders>
        <w:top w:val="single" w:color="auto" w:sz="12" w:space="0"/>
        <w:bottom w:val="single" w:color="auto" w:sz="12" w:space="0"/>
        <w:insideH w:val="single" w:color="auto" w:sz="2" w:space="0"/>
        <w:insideV w:val="single" w:color="auto" w:sz="2" w:space="0"/>
      </w:tblBorders>
    </w:tblPr>
  </w:style>
  <w:style w:type="paragraph" w:customStyle="1" w:styleId="278">
    <w:name w:val="表内字体"/>
    <w:basedOn w:val="1"/>
    <w:qFormat/>
    <w:uiPriority w:val="0"/>
    <w:pPr>
      <w:jc w:val="center"/>
    </w:pPr>
    <w:rPr>
      <w:rFonts w:hAnsi="宋体"/>
      <w:szCs w:val="20"/>
    </w:rPr>
  </w:style>
  <w:style w:type="character" w:customStyle="1" w:styleId="279">
    <w:name w:val="标题 4 字符"/>
    <w:link w:val="5"/>
    <w:qFormat/>
    <w:uiPriority w:val="0"/>
    <w:rPr>
      <w:rFonts w:ascii="仿宋_GB2312" w:hAnsi="Arial" w:eastAsia="仿宋_GB2312"/>
      <w:bCs/>
      <w:kern w:val="2"/>
      <w:sz w:val="28"/>
      <w:szCs w:val="28"/>
      <w:lang w:val="en-US" w:eastAsia="zh-CN" w:bidi="ar-SA"/>
    </w:rPr>
  </w:style>
  <w:style w:type="character" w:customStyle="1" w:styleId="280">
    <w:name w:val="style6"/>
    <w:basedOn w:val="94"/>
    <w:qFormat/>
    <w:uiPriority w:val="0"/>
  </w:style>
  <w:style w:type="paragraph" w:customStyle="1" w:styleId="281">
    <w:name w:val="样式4"/>
    <w:basedOn w:val="33"/>
    <w:qFormat/>
    <w:uiPriority w:val="0"/>
    <w:pPr>
      <w:spacing w:after="0"/>
      <w:ind w:firstLine="560"/>
    </w:pPr>
    <w:rPr>
      <w:rFonts w:ascii="宋体" w:hAnsi="宋体"/>
      <w:color w:val="000000"/>
      <w:kern w:val="0"/>
      <w:sz w:val="28"/>
      <w:szCs w:val="20"/>
    </w:rPr>
  </w:style>
  <w:style w:type="paragraph" w:customStyle="1" w:styleId="282">
    <w:name w:val="文本居中"/>
    <w:basedOn w:val="1"/>
    <w:qFormat/>
    <w:uiPriority w:val="0"/>
    <w:pPr>
      <w:adjustRightInd w:val="0"/>
      <w:spacing w:line="360" w:lineRule="auto"/>
      <w:jc w:val="center"/>
    </w:pPr>
    <w:rPr>
      <w:sz w:val="28"/>
      <w:szCs w:val="20"/>
    </w:rPr>
  </w:style>
  <w:style w:type="paragraph" w:customStyle="1" w:styleId="283">
    <w:name w:val="样式10"/>
    <w:basedOn w:val="124"/>
    <w:qFormat/>
    <w:uiPriority w:val="0"/>
    <w:pPr>
      <w:adjustRightInd w:val="0"/>
      <w:textAlignment w:val="baseline"/>
    </w:pPr>
    <w:rPr>
      <w:rFonts w:hAnsi="宋体"/>
      <w:color w:val="FF0000"/>
      <w:szCs w:val="20"/>
    </w:rPr>
  </w:style>
  <w:style w:type="paragraph" w:customStyle="1" w:styleId="284">
    <w:name w:val="样式 标题 1 + 两端对齐"/>
    <w:basedOn w:val="2"/>
    <w:qFormat/>
    <w:uiPriority w:val="0"/>
    <w:pPr>
      <w:keepNext w:val="0"/>
      <w:keepLines w:val="0"/>
      <w:pageBreakBefore/>
      <w:widowControl/>
      <w:tabs>
        <w:tab w:val="left" w:pos="420"/>
      </w:tabs>
      <w:adjustRightInd w:val="0"/>
      <w:snapToGrid w:val="0"/>
      <w:spacing w:before="0" w:after="0" w:line="300" w:lineRule="auto"/>
      <w:jc w:val="center"/>
    </w:pPr>
    <w:rPr>
      <w:rFonts w:ascii="仿宋_GB2312" w:eastAsia="仿宋_GB2312"/>
      <w:b w:val="0"/>
      <w:bCs w:val="0"/>
      <w:snapToGrid w:val="0"/>
      <w:kern w:val="0"/>
      <w:sz w:val="32"/>
      <w:szCs w:val="20"/>
    </w:rPr>
  </w:style>
  <w:style w:type="paragraph" w:customStyle="1" w:styleId="285">
    <w:name w:val="表头文字"/>
    <w:basedOn w:val="1"/>
    <w:qFormat/>
    <w:uiPriority w:val="0"/>
    <w:pPr>
      <w:spacing w:line="360" w:lineRule="auto"/>
      <w:jc w:val="center"/>
    </w:pPr>
    <w:rPr>
      <w:rFonts w:eastAsia="楷体_GB2312"/>
      <w:b/>
      <w:sz w:val="24"/>
      <w:szCs w:val="20"/>
    </w:rPr>
  </w:style>
  <w:style w:type="paragraph" w:customStyle="1" w:styleId="286">
    <w:name w:val="正文文本缩进1"/>
    <w:basedOn w:val="1"/>
    <w:qFormat/>
    <w:uiPriority w:val="0"/>
    <w:pPr>
      <w:adjustRightInd w:val="0"/>
      <w:spacing w:after="120" w:line="360" w:lineRule="auto"/>
      <w:ind w:left="420" w:leftChars="200" w:firstLine="200" w:firstLineChars="200"/>
      <w:textAlignment w:val="baseline"/>
    </w:pPr>
    <w:rPr>
      <w:sz w:val="24"/>
      <w:szCs w:val="20"/>
    </w:rPr>
  </w:style>
  <w:style w:type="paragraph" w:customStyle="1" w:styleId="287">
    <w:name w:val="表字"/>
    <w:basedOn w:val="1"/>
    <w:qFormat/>
    <w:uiPriority w:val="0"/>
    <w:pPr>
      <w:jc w:val="center"/>
    </w:pPr>
    <w:rPr>
      <w:rFonts w:ascii="宋体"/>
      <w:szCs w:val="20"/>
    </w:rPr>
  </w:style>
  <w:style w:type="paragraph" w:customStyle="1" w:styleId="288">
    <w:name w:val="正文缩进3"/>
    <w:basedOn w:val="1"/>
    <w:qFormat/>
    <w:uiPriority w:val="0"/>
    <w:pPr>
      <w:adjustRightInd w:val="0"/>
      <w:ind w:firstLine="420" w:firstLineChars="200"/>
      <w:textAlignment w:val="baseline"/>
    </w:pPr>
    <w:rPr>
      <w:rFonts w:hint="eastAsia" w:hAnsi="宋体"/>
      <w:sz w:val="24"/>
      <w:szCs w:val="20"/>
    </w:rPr>
  </w:style>
  <w:style w:type="paragraph" w:customStyle="1" w:styleId="289">
    <w:name w:val="五号表格"/>
    <w:next w:val="1"/>
    <w:qFormat/>
    <w:uiPriority w:val="0"/>
    <w:rPr>
      <w:rFonts w:ascii="宋体" w:hAnsi="Times New Roman" w:eastAsia="宋体" w:cs="Times New Roman"/>
      <w:sz w:val="21"/>
      <w:lang w:val="en-US" w:eastAsia="zh-CN" w:bidi="ar-SA"/>
    </w:rPr>
  </w:style>
  <w:style w:type="paragraph" w:customStyle="1" w:styleId="290">
    <w:name w:val="正文首行缩进1"/>
    <w:basedOn w:val="1"/>
    <w:next w:val="1"/>
    <w:qFormat/>
    <w:uiPriority w:val="0"/>
    <w:pPr>
      <w:tabs>
        <w:tab w:val="left" w:pos="540"/>
        <w:tab w:val="left" w:pos="1440"/>
        <w:tab w:val="left" w:pos="2448"/>
        <w:tab w:val="left" w:pos="3000"/>
        <w:tab w:val="left" w:pos="3888"/>
        <w:tab w:val="left" w:pos="4800"/>
        <w:tab w:val="left" w:pos="5040"/>
        <w:tab w:val="left" w:pos="5883"/>
        <w:tab w:val="left" w:pos="6300"/>
        <w:tab w:val="left" w:pos="7353"/>
        <w:tab w:val="left" w:pos="8613"/>
      </w:tabs>
      <w:autoSpaceDE w:val="0"/>
      <w:autoSpaceDN w:val="0"/>
      <w:adjustRightInd w:val="0"/>
      <w:snapToGrid w:val="0"/>
      <w:spacing w:line="300" w:lineRule="auto"/>
      <w:ind w:firstLine="561"/>
      <w:textAlignment w:val="baseline"/>
    </w:pPr>
    <w:rPr>
      <w:kern w:val="0"/>
      <w:sz w:val="28"/>
      <w:szCs w:val="20"/>
    </w:rPr>
  </w:style>
  <w:style w:type="paragraph" w:customStyle="1" w:styleId="291">
    <w:name w:val="正文居中"/>
    <w:basedOn w:val="58"/>
    <w:qFormat/>
    <w:uiPriority w:val="0"/>
    <w:pPr>
      <w:adjustRightInd w:val="0"/>
      <w:spacing w:before="0" w:after="0" w:line="360" w:lineRule="auto"/>
    </w:pPr>
    <w:rPr>
      <w:rFonts w:ascii="宋体" w:hAnsi="Arial"/>
      <w:b w:val="0"/>
      <w:bCs w:val="0"/>
      <w:sz w:val="28"/>
    </w:rPr>
  </w:style>
  <w:style w:type="paragraph" w:customStyle="1" w:styleId="292">
    <w:name w:val="五号字表格"/>
    <w:basedOn w:val="189"/>
    <w:qFormat/>
    <w:uiPriority w:val="0"/>
    <w:pPr>
      <w:adjustRightInd w:val="0"/>
      <w:spacing w:line="240" w:lineRule="auto"/>
      <w:textAlignment w:val="baseline"/>
    </w:pPr>
    <w:rPr>
      <w:kern w:val="0"/>
      <w:sz w:val="21"/>
    </w:rPr>
  </w:style>
  <w:style w:type="paragraph" w:customStyle="1" w:styleId="293">
    <w:name w:val="表1"/>
    <w:basedOn w:val="1"/>
    <w:qFormat/>
    <w:uiPriority w:val="0"/>
    <w:pPr>
      <w:jc w:val="center"/>
    </w:pPr>
    <w:rPr>
      <w:rFonts w:ascii="宋体" w:hAnsi="宋体"/>
      <w:color w:val="000000"/>
      <w:szCs w:val="20"/>
    </w:rPr>
  </w:style>
  <w:style w:type="paragraph" w:customStyle="1" w:styleId="294">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left"/>
      <w:textAlignment w:val="center"/>
    </w:pPr>
    <w:rPr>
      <w:rFonts w:hint="eastAsia" w:ascii="宋体" w:hAnsi="宋体"/>
      <w:color w:val="000000"/>
      <w:kern w:val="0"/>
      <w:sz w:val="28"/>
      <w:szCs w:val="20"/>
    </w:rPr>
  </w:style>
  <w:style w:type="paragraph" w:customStyle="1" w:styleId="295">
    <w:name w:val="注"/>
    <w:basedOn w:val="1"/>
    <w:next w:val="1"/>
    <w:qFormat/>
    <w:uiPriority w:val="0"/>
    <w:pPr>
      <w:widowControl/>
      <w:spacing w:before="60" w:after="60" w:line="312" w:lineRule="auto"/>
    </w:pPr>
    <w:rPr>
      <w:rFonts w:eastAsia="黑体"/>
      <w:kern w:val="0"/>
      <w:szCs w:val="20"/>
    </w:rPr>
  </w:style>
  <w:style w:type="paragraph" w:customStyle="1" w:styleId="296">
    <w:name w:val="xl3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Cs w:val="20"/>
    </w:rPr>
  </w:style>
  <w:style w:type="paragraph" w:customStyle="1" w:styleId="297">
    <w:name w:val="默认段落字体 Para Char Char Char Char Char Char Char Char Char Char Char Char Char"/>
    <w:basedOn w:val="1"/>
    <w:qFormat/>
    <w:uiPriority w:val="0"/>
    <w:rPr>
      <w:szCs w:val="20"/>
    </w:rPr>
  </w:style>
  <w:style w:type="paragraph" w:customStyle="1" w:styleId="298">
    <w:name w:val="表格文字居中 Char"/>
    <w:basedOn w:val="85"/>
    <w:qFormat/>
    <w:uiPriority w:val="0"/>
    <w:pPr>
      <w:keepNext/>
      <w:tabs>
        <w:tab w:val="left" w:pos="628"/>
        <w:tab w:val="left" w:pos="1727"/>
        <w:tab w:val="left" w:pos="1884"/>
        <w:tab w:val="left" w:pos="2660"/>
        <w:tab w:val="left" w:pos="5460"/>
      </w:tabs>
      <w:spacing w:before="100" w:beforeAutospacing="1" w:after="0" w:line="240" w:lineRule="auto"/>
      <w:ind w:firstLine="0" w:firstLineChars="0"/>
      <w:jc w:val="center"/>
    </w:pPr>
    <w:rPr>
      <w:rFonts w:ascii="宋体" w:eastAsia="宋体"/>
      <w:color w:val="000000"/>
      <w:kern w:val="0"/>
      <w:sz w:val="24"/>
      <w:szCs w:val="20"/>
    </w:rPr>
  </w:style>
  <w:style w:type="paragraph" w:customStyle="1" w:styleId="299">
    <w:name w:val="p6"/>
    <w:basedOn w:val="1"/>
    <w:qFormat/>
    <w:uiPriority w:val="0"/>
    <w:pPr>
      <w:tabs>
        <w:tab w:val="left" w:pos="4720"/>
      </w:tabs>
      <w:spacing w:line="240" w:lineRule="atLeast"/>
      <w:ind w:left="3280"/>
      <w:jc w:val="left"/>
    </w:pPr>
    <w:rPr>
      <w:rFonts w:ascii="Arial" w:hAnsi="Arial"/>
      <w:snapToGrid w:val="0"/>
      <w:kern w:val="0"/>
      <w:sz w:val="24"/>
      <w:szCs w:val="20"/>
      <w:lang w:eastAsia="en-US"/>
    </w:rPr>
  </w:style>
  <w:style w:type="paragraph" w:customStyle="1" w:styleId="300">
    <w:name w:val="文本框文字格式"/>
    <w:basedOn w:val="1"/>
    <w:qFormat/>
    <w:uiPriority w:val="0"/>
    <w:pPr>
      <w:jc w:val="center"/>
    </w:pPr>
    <w:rPr>
      <w:sz w:val="24"/>
      <w:szCs w:val="20"/>
    </w:rPr>
  </w:style>
  <w:style w:type="paragraph" w:customStyle="1" w:styleId="301">
    <w:name w:val="居中正文"/>
    <w:basedOn w:val="85"/>
    <w:qFormat/>
    <w:uiPriority w:val="0"/>
    <w:pPr>
      <w:adjustRightInd w:val="0"/>
      <w:spacing w:before="120" w:after="0" w:line="360" w:lineRule="auto"/>
      <w:ind w:firstLine="0" w:firstLineChars="0"/>
      <w:jc w:val="center"/>
    </w:pPr>
    <w:rPr>
      <w:rFonts w:ascii="宋体" w:eastAsia="宋体"/>
      <w:kern w:val="28"/>
      <w:sz w:val="24"/>
    </w:rPr>
  </w:style>
  <w:style w:type="paragraph" w:customStyle="1" w:styleId="302">
    <w:name w:val="前言、引言标题"/>
    <w:next w:val="1"/>
    <w:qFormat/>
    <w:uiPriority w:val="0"/>
    <w:pPr>
      <w:shd w:val="clear" w:color="FFFFFF" w:fill="FFFFFF"/>
      <w:tabs>
        <w:tab w:val="left" w:pos="903"/>
      </w:tabs>
      <w:spacing w:before="640" w:after="560"/>
      <w:ind w:left="903" w:hanging="315"/>
      <w:jc w:val="center"/>
      <w:outlineLvl w:val="0"/>
    </w:pPr>
    <w:rPr>
      <w:rFonts w:ascii="黑体" w:hAnsi="Times New Roman" w:eastAsia="黑体" w:cs="Times New Roman"/>
      <w:sz w:val="32"/>
      <w:szCs w:val="32"/>
      <w:lang w:val="en-US" w:eastAsia="zh-CN" w:bidi="ar-SA"/>
    </w:rPr>
  </w:style>
  <w:style w:type="paragraph" w:customStyle="1" w:styleId="303">
    <w:name w:val="一级条标题"/>
    <w:basedOn w:val="2"/>
    <w:next w:val="1"/>
    <w:qFormat/>
    <w:uiPriority w:val="0"/>
    <w:pPr>
      <w:keepNext w:val="0"/>
      <w:keepLines w:val="0"/>
      <w:widowControl/>
      <w:spacing w:before="0" w:after="0" w:line="240" w:lineRule="auto"/>
      <w:outlineLvl w:val="2"/>
    </w:pPr>
    <w:rPr>
      <w:rFonts w:ascii="黑体" w:eastAsia="黑体"/>
      <w:b w:val="0"/>
      <w:bCs w:val="0"/>
      <w:kern w:val="0"/>
      <w:sz w:val="21"/>
      <w:szCs w:val="21"/>
    </w:rPr>
  </w:style>
  <w:style w:type="paragraph" w:customStyle="1" w:styleId="304">
    <w:name w:val="二级条标题"/>
    <w:basedOn w:val="303"/>
    <w:next w:val="1"/>
    <w:qFormat/>
    <w:uiPriority w:val="0"/>
    <w:pPr>
      <w:ind w:left="864" w:hanging="864"/>
      <w:outlineLvl w:val="3"/>
    </w:pPr>
  </w:style>
  <w:style w:type="paragraph" w:customStyle="1" w:styleId="305">
    <w:name w:val="五级条标题"/>
    <w:basedOn w:val="1"/>
    <w:next w:val="1"/>
    <w:qFormat/>
    <w:uiPriority w:val="0"/>
    <w:pPr>
      <w:widowControl/>
      <w:tabs>
        <w:tab w:val="left" w:pos="2040"/>
      </w:tabs>
      <w:ind w:left="2040" w:leftChars="800" w:hanging="360" w:hangingChars="200"/>
      <w:outlineLvl w:val="6"/>
    </w:pPr>
    <w:rPr>
      <w:rFonts w:ascii="黑体" w:eastAsia="黑体"/>
      <w:kern w:val="0"/>
      <w:szCs w:val="21"/>
    </w:rPr>
  </w:style>
  <w:style w:type="table" w:customStyle="1" w:styleId="306">
    <w:name w:val="网格型1"/>
    <w:basedOn w:val="87"/>
    <w:qFormat/>
    <w:uiPriority w:val="39"/>
    <w:pPr>
      <w:widowControl w:val="0"/>
      <w:spacing w:line="500" w:lineRule="exac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
    <w:name w:val="网格型2"/>
    <w:basedOn w:val="87"/>
    <w:qFormat/>
    <w:uiPriority w:val="0"/>
    <w:pPr>
      <w:widowControl w:val="0"/>
      <w:spacing w:line="500" w:lineRule="exac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
    <w:name w:val="网格型3"/>
    <w:basedOn w:val="87"/>
    <w:qFormat/>
    <w:uiPriority w:val="0"/>
    <w:pPr>
      <w:widowControl w:val="0"/>
      <w:spacing w:line="500" w:lineRule="exac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
    <w:name w:val="网格型4"/>
    <w:basedOn w:val="87"/>
    <w:qFormat/>
    <w:uiPriority w:val="0"/>
    <w:pPr>
      <w:widowControl w:val="0"/>
      <w:spacing w:line="500" w:lineRule="exac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10">
    <w:name w:val="main-11"/>
    <w:basedOn w:val="94"/>
    <w:qFormat/>
    <w:uiPriority w:val="0"/>
  </w:style>
  <w:style w:type="character" w:customStyle="1" w:styleId="311">
    <w:name w:val="px141"/>
    <w:qFormat/>
    <w:uiPriority w:val="0"/>
    <w:rPr>
      <w:rFonts w:hint="default"/>
      <w:spacing w:val="330"/>
      <w:sz w:val="21"/>
      <w:szCs w:val="21"/>
    </w:rPr>
  </w:style>
  <w:style w:type="paragraph" w:customStyle="1" w:styleId="312">
    <w:name w:val="5 Char"/>
    <w:basedOn w:val="1"/>
    <w:qFormat/>
    <w:uiPriority w:val="0"/>
    <w:rPr>
      <w:sz w:val="24"/>
    </w:rPr>
  </w:style>
  <w:style w:type="character" w:customStyle="1" w:styleId="313">
    <w:name w:val="big1"/>
    <w:qFormat/>
    <w:uiPriority w:val="0"/>
    <w:rPr>
      <w:rFonts w:hint="default"/>
      <w:sz w:val="28"/>
      <w:szCs w:val="28"/>
    </w:rPr>
  </w:style>
  <w:style w:type="paragraph" w:customStyle="1" w:styleId="314">
    <w:name w:val="小3黑中"/>
    <w:basedOn w:val="6"/>
    <w:qFormat/>
    <w:uiPriority w:val="0"/>
    <w:pPr>
      <w:spacing w:before="0" w:after="0" w:line="240" w:lineRule="auto"/>
      <w:jc w:val="center"/>
      <w:outlineLvl w:val="9"/>
    </w:pPr>
    <w:rPr>
      <w:rFonts w:hAnsi="宋体"/>
      <w:b w:val="0"/>
      <w:sz w:val="24"/>
      <w:szCs w:val="24"/>
    </w:rPr>
  </w:style>
  <w:style w:type="table" w:customStyle="1" w:styleId="315">
    <w:name w:val="喜欢的1"/>
    <w:basedOn w:val="91"/>
    <w:qFormat/>
    <w:uiPriority w:val="0"/>
    <w:tblPr>
      <w:tblBorders>
        <w:insideH w:val="single" w:color="008000" w:sz="4" w:space="0"/>
        <w:insideV w:val="single" w:color="008000" w:sz="4" w:space="0"/>
      </w:tblBorders>
    </w:tblPr>
    <w:tcPr>
      <w:shd w:val="clear" w:color="auto" w:fill="FFFFFF"/>
      <w:vAlign w:val="center"/>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316">
    <w:name w:val="网格型 11"/>
    <w:basedOn w:val="87"/>
    <w:qFormat/>
    <w:uiPriority w:val="0"/>
    <w:pPr>
      <w:widowControl w:val="0"/>
      <w:spacing w:line="500" w:lineRule="exact"/>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317">
    <w:name w:val="网格型 111"/>
    <w:basedOn w:val="87"/>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318">
    <w:name w:val="最普通1"/>
    <w:basedOn w:val="92"/>
    <w:qFormat/>
    <w:uiPriority w:val="0"/>
    <w:pPr>
      <w:spacing w:line="500" w:lineRule="exact"/>
    </w:pPr>
    <w:tcPr>
      <w:shd w:val="clear" w:color="auto" w:fill="auto"/>
      <w:vAlign w:val="center"/>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paragraph" w:customStyle="1" w:styleId="319">
    <w:name w:val="AnnexLetter"/>
    <w:basedOn w:val="1"/>
    <w:qFormat/>
    <w:uiPriority w:val="0"/>
    <w:pPr>
      <w:widowControl/>
      <w:overflowPunct w:val="0"/>
      <w:autoSpaceDE w:val="0"/>
      <w:autoSpaceDN w:val="0"/>
      <w:adjustRightInd w:val="0"/>
      <w:spacing w:before="2400" w:line="264" w:lineRule="auto"/>
      <w:ind w:left="1418" w:right="1418"/>
      <w:jc w:val="left"/>
      <w:textAlignment w:val="baseline"/>
    </w:pPr>
    <w:rPr>
      <w:rFonts w:ascii="Book Antiqua" w:hAnsi="Book Antiqua"/>
      <w:kern w:val="0"/>
      <w:sz w:val="22"/>
      <w:szCs w:val="20"/>
      <w:lang w:val="en-GB"/>
    </w:rPr>
  </w:style>
  <w:style w:type="paragraph" w:customStyle="1" w:styleId="320">
    <w:name w:val="AnnexTitle"/>
    <w:basedOn w:val="1"/>
    <w:next w:val="1"/>
    <w:qFormat/>
    <w:uiPriority w:val="0"/>
    <w:pPr>
      <w:widowControl/>
      <w:overflowPunct w:val="0"/>
      <w:autoSpaceDE w:val="0"/>
      <w:autoSpaceDN w:val="0"/>
      <w:adjustRightInd w:val="0"/>
      <w:spacing w:before="720" w:after="16000" w:line="264" w:lineRule="auto"/>
      <w:ind w:left="1418" w:right="1418"/>
      <w:jc w:val="left"/>
      <w:textAlignment w:val="baseline"/>
    </w:pPr>
    <w:rPr>
      <w:rFonts w:ascii="Book Antiqua" w:hAnsi="Book Antiqua"/>
      <w:kern w:val="0"/>
      <w:sz w:val="36"/>
      <w:szCs w:val="20"/>
      <w:lang w:val="en-GB"/>
    </w:rPr>
  </w:style>
  <w:style w:type="paragraph" w:customStyle="1" w:styleId="321">
    <w:name w:val="CoverClientName"/>
    <w:basedOn w:val="1"/>
    <w:next w:val="1"/>
    <w:qFormat/>
    <w:uiPriority w:val="0"/>
    <w:pPr>
      <w:widowControl/>
      <w:overflowPunct w:val="0"/>
      <w:autoSpaceDE w:val="0"/>
      <w:autoSpaceDN w:val="0"/>
      <w:adjustRightInd w:val="0"/>
      <w:spacing w:after="480" w:line="264" w:lineRule="auto"/>
      <w:jc w:val="left"/>
      <w:textAlignment w:val="baseline"/>
    </w:pPr>
    <w:rPr>
      <w:rFonts w:ascii="Book Antiqua" w:hAnsi="Book Antiqua"/>
      <w:kern w:val="0"/>
      <w:sz w:val="22"/>
      <w:szCs w:val="20"/>
      <w:lang w:val="en-GB"/>
    </w:rPr>
  </w:style>
  <w:style w:type="paragraph" w:customStyle="1" w:styleId="322">
    <w:name w:val="CoverDate"/>
    <w:basedOn w:val="1"/>
    <w:qFormat/>
    <w:uiPriority w:val="0"/>
    <w:pPr>
      <w:widowControl/>
      <w:overflowPunct w:val="0"/>
      <w:autoSpaceDE w:val="0"/>
      <w:autoSpaceDN w:val="0"/>
      <w:adjustRightInd w:val="0"/>
      <w:spacing w:before="1200" w:line="264" w:lineRule="auto"/>
      <w:jc w:val="left"/>
      <w:textAlignment w:val="baseline"/>
    </w:pPr>
    <w:rPr>
      <w:rFonts w:ascii="Book Antiqua" w:hAnsi="Book Antiqua"/>
      <w:kern w:val="0"/>
      <w:sz w:val="22"/>
      <w:szCs w:val="20"/>
      <w:lang w:val="en-GB"/>
    </w:rPr>
  </w:style>
  <w:style w:type="paragraph" w:customStyle="1" w:styleId="323">
    <w:name w:val="CoverMainTitle"/>
    <w:basedOn w:val="1"/>
    <w:next w:val="1"/>
    <w:qFormat/>
    <w:uiPriority w:val="0"/>
    <w:pPr>
      <w:widowControl/>
      <w:overflowPunct w:val="0"/>
      <w:autoSpaceDE w:val="0"/>
      <w:autoSpaceDN w:val="0"/>
      <w:adjustRightInd w:val="0"/>
      <w:spacing w:before="480" w:line="264" w:lineRule="auto"/>
      <w:jc w:val="left"/>
      <w:textAlignment w:val="baseline"/>
    </w:pPr>
    <w:rPr>
      <w:rFonts w:ascii="Book Antiqua" w:hAnsi="Book Antiqua"/>
      <w:kern w:val="0"/>
      <w:sz w:val="28"/>
      <w:szCs w:val="20"/>
      <w:lang w:val="en-GB"/>
    </w:rPr>
  </w:style>
  <w:style w:type="paragraph" w:customStyle="1" w:styleId="324">
    <w:name w:val="CoverReverseHeader"/>
    <w:basedOn w:val="1"/>
    <w:next w:val="321"/>
    <w:qFormat/>
    <w:uiPriority w:val="0"/>
    <w:pPr>
      <w:widowControl/>
      <w:pBdr>
        <w:top w:val="single" w:color="auto" w:sz="6" w:space="0"/>
        <w:left w:val="single" w:color="auto" w:sz="6" w:space="0"/>
        <w:bottom w:val="single" w:color="auto" w:sz="6" w:space="0"/>
        <w:right w:val="single" w:color="auto" w:sz="6" w:space="0"/>
      </w:pBdr>
      <w:shd w:val="pct90" w:color="000000" w:fill="000000"/>
      <w:overflowPunct w:val="0"/>
      <w:autoSpaceDE w:val="0"/>
      <w:autoSpaceDN w:val="0"/>
      <w:adjustRightInd w:val="0"/>
      <w:spacing w:after="2280" w:line="264" w:lineRule="auto"/>
      <w:jc w:val="center"/>
      <w:textAlignment w:val="baseline"/>
    </w:pPr>
    <w:rPr>
      <w:rFonts w:ascii="Book Antiqua" w:hAnsi="Book Antiqua"/>
      <w:caps/>
      <w:color w:val="FFFFFF"/>
      <w:kern w:val="0"/>
      <w:sz w:val="22"/>
      <w:szCs w:val="20"/>
      <w:lang w:val="en-GB"/>
    </w:rPr>
  </w:style>
  <w:style w:type="paragraph" w:customStyle="1" w:styleId="325">
    <w:name w:val="Graphics Text"/>
    <w:basedOn w:val="1"/>
    <w:qFormat/>
    <w:uiPriority w:val="0"/>
    <w:pPr>
      <w:widowControl/>
      <w:overflowPunct w:val="0"/>
      <w:autoSpaceDE w:val="0"/>
      <w:autoSpaceDN w:val="0"/>
      <w:adjustRightInd w:val="0"/>
      <w:spacing w:line="264" w:lineRule="auto"/>
      <w:jc w:val="left"/>
      <w:textAlignment w:val="baseline"/>
    </w:pPr>
    <w:rPr>
      <w:rFonts w:ascii="Arial Narrow" w:hAnsi="Arial Narrow"/>
      <w:kern w:val="0"/>
      <w:sz w:val="18"/>
      <w:szCs w:val="20"/>
      <w:lang w:val="en-GB"/>
    </w:rPr>
  </w:style>
  <w:style w:type="paragraph" w:customStyle="1" w:styleId="326">
    <w:name w:val="Heading4"/>
    <w:basedOn w:val="1"/>
    <w:qFormat/>
    <w:uiPriority w:val="0"/>
    <w:pPr>
      <w:widowControl/>
      <w:overflowPunct w:val="0"/>
      <w:autoSpaceDE w:val="0"/>
      <w:autoSpaceDN w:val="0"/>
      <w:adjustRightInd w:val="0"/>
      <w:spacing w:after="240" w:line="264" w:lineRule="auto"/>
      <w:jc w:val="left"/>
      <w:textAlignment w:val="baseline"/>
    </w:pPr>
    <w:rPr>
      <w:rFonts w:ascii="Book Antiqua" w:hAnsi="Book Antiqua"/>
      <w:i/>
      <w:kern w:val="0"/>
      <w:sz w:val="22"/>
      <w:szCs w:val="20"/>
      <w:lang w:val="en-GB"/>
    </w:rPr>
  </w:style>
  <w:style w:type="paragraph" w:customStyle="1" w:styleId="327">
    <w:name w:val="MarginRelease"/>
    <w:basedOn w:val="1"/>
    <w:next w:val="1"/>
    <w:qFormat/>
    <w:uiPriority w:val="0"/>
    <w:pPr>
      <w:widowControl/>
      <w:overflowPunct w:val="0"/>
      <w:autoSpaceDE w:val="0"/>
      <w:autoSpaceDN w:val="0"/>
      <w:adjustRightInd w:val="0"/>
      <w:spacing w:line="264" w:lineRule="auto"/>
      <w:ind w:hanging="1418"/>
      <w:jc w:val="left"/>
      <w:textAlignment w:val="baseline"/>
    </w:pPr>
    <w:rPr>
      <w:rFonts w:ascii="Book Antiqua" w:hAnsi="Book Antiqua"/>
      <w:kern w:val="0"/>
      <w:sz w:val="22"/>
      <w:szCs w:val="20"/>
      <w:lang w:val="en-GB"/>
    </w:rPr>
  </w:style>
  <w:style w:type="paragraph" w:customStyle="1" w:styleId="328">
    <w:name w:val="OtherHeader"/>
    <w:basedOn w:val="56"/>
    <w:next w:val="1"/>
    <w:qFormat/>
    <w:uiPriority w:val="0"/>
    <w:pPr>
      <w:widowControl/>
      <w:pBdr>
        <w:bottom w:val="none" w:color="auto" w:sz="0" w:space="0"/>
      </w:pBdr>
      <w:tabs>
        <w:tab w:val="left" w:pos="4153"/>
        <w:tab w:val="right" w:pos="7655"/>
      </w:tabs>
      <w:overflowPunct w:val="0"/>
      <w:autoSpaceDE w:val="0"/>
      <w:autoSpaceDN w:val="0"/>
      <w:adjustRightInd w:val="0"/>
      <w:snapToGrid/>
      <w:spacing w:before="360" w:after="240" w:line="264" w:lineRule="auto"/>
      <w:jc w:val="left"/>
      <w:textAlignment w:val="baseline"/>
    </w:pPr>
    <w:rPr>
      <w:rFonts w:ascii="Book Antiqua" w:hAnsi="Book Antiqua"/>
      <w:b/>
      <w:i/>
      <w:caps/>
      <w:kern w:val="0"/>
      <w:sz w:val="22"/>
      <w:szCs w:val="20"/>
      <w:lang w:val="en-GB"/>
    </w:rPr>
  </w:style>
  <w:style w:type="paragraph" w:customStyle="1" w:styleId="329">
    <w:name w:val="Subtext"/>
    <w:basedOn w:val="1"/>
    <w:qFormat/>
    <w:uiPriority w:val="0"/>
    <w:pPr>
      <w:widowControl/>
      <w:overflowPunct w:val="0"/>
      <w:autoSpaceDE w:val="0"/>
      <w:autoSpaceDN w:val="0"/>
      <w:adjustRightInd w:val="0"/>
      <w:spacing w:line="264" w:lineRule="auto"/>
      <w:jc w:val="left"/>
      <w:textAlignment w:val="baseline"/>
    </w:pPr>
    <w:rPr>
      <w:rFonts w:ascii="Book Antiqua" w:hAnsi="Book Antiqua"/>
      <w:kern w:val="0"/>
      <w:sz w:val="18"/>
      <w:szCs w:val="20"/>
      <w:lang w:val="en-GB"/>
    </w:rPr>
  </w:style>
  <w:style w:type="paragraph" w:customStyle="1" w:styleId="330">
    <w:name w:val="XecSumm"/>
    <w:basedOn w:val="1"/>
    <w:qFormat/>
    <w:uiPriority w:val="0"/>
    <w:pPr>
      <w:widowControl/>
      <w:overflowPunct w:val="0"/>
      <w:autoSpaceDE w:val="0"/>
      <w:autoSpaceDN w:val="0"/>
      <w:adjustRightInd w:val="0"/>
      <w:spacing w:line="264" w:lineRule="auto"/>
      <w:jc w:val="left"/>
      <w:textAlignment w:val="baseline"/>
    </w:pPr>
    <w:rPr>
      <w:rFonts w:ascii="Book Antiqua" w:hAnsi="Book Antiqua"/>
      <w:i/>
      <w:kern w:val="0"/>
      <w:sz w:val="22"/>
      <w:szCs w:val="20"/>
      <w:lang w:val="en-GB"/>
    </w:rPr>
  </w:style>
  <w:style w:type="character" w:customStyle="1" w:styleId="331">
    <w:name w:val="XFootNote"/>
    <w:qFormat/>
    <w:uiPriority w:val="0"/>
    <w:rPr>
      <w:rFonts w:ascii="Book Antiqua" w:hAnsi="Book Antiqua"/>
      <w:position w:val="6"/>
      <w:sz w:val="14"/>
      <w:vertAlign w:val="baseline"/>
    </w:rPr>
  </w:style>
  <w:style w:type="character" w:customStyle="1" w:styleId="332">
    <w:name w:val="XFootNoteText"/>
    <w:qFormat/>
    <w:uiPriority w:val="0"/>
    <w:rPr>
      <w:rFonts w:ascii="Book Antiqua" w:hAnsi="Book Antiqua"/>
      <w:position w:val="0"/>
      <w:sz w:val="14"/>
      <w:vertAlign w:val="baseline"/>
    </w:rPr>
  </w:style>
  <w:style w:type="paragraph" w:customStyle="1" w:styleId="333">
    <w:name w:val="ERMBullets"/>
    <w:basedOn w:val="1"/>
    <w:qFormat/>
    <w:uiPriority w:val="0"/>
    <w:pPr>
      <w:widowControl/>
      <w:tabs>
        <w:tab w:val="left" w:pos="432"/>
      </w:tabs>
      <w:overflowPunct w:val="0"/>
      <w:autoSpaceDE w:val="0"/>
      <w:autoSpaceDN w:val="0"/>
      <w:adjustRightInd w:val="0"/>
      <w:spacing w:line="264" w:lineRule="auto"/>
      <w:ind w:left="432" w:hanging="432"/>
      <w:jc w:val="left"/>
      <w:textAlignment w:val="baseline"/>
    </w:pPr>
    <w:rPr>
      <w:rFonts w:ascii="Book Antiqua" w:hAnsi="Book Antiqua"/>
      <w:kern w:val="0"/>
      <w:sz w:val="22"/>
      <w:szCs w:val="20"/>
      <w:lang w:val="en-GB"/>
    </w:rPr>
  </w:style>
  <w:style w:type="paragraph" w:customStyle="1" w:styleId="334">
    <w:name w:val="Style Heading 3§1.1.1.H3标题 3zym条标题1.1.1标题 3 Charh3level_3PI...1"/>
    <w:basedOn w:val="4"/>
    <w:qFormat/>
    <w:uiPriority w:val="0"/>
    <w:pPr>
      <w:widowControl/>
      <w:numPr>
        <w:ilvl w:val="0"/>
        <w:numId w:val="4"/>
      </w:numPr>
      <w:tabs>
        <w:tab w:val="left" w:pos="-1418"/>
        <w:tab w:val="left" w:pos="0"/>
        <w:tab w:val="clear" w:pos="360"/>
      </w:tabs>
      <w:overflowPunct w:val="0"/>
      <w:autoSpaceDE w:val="0"/>
      <w:autoSpaceDN w:val="0"/>
      <w:adjustRightInd w:val="0"/>
      <w:spacing w:before="0" w:line="264" w:lineRule="auto"/>
      <w:ind w:left="780" w:leftChars="200" w:hanging="1411" w:hangingChars="200"/>
      <w:jc w:val="left"/>
      <w:textAlignment w:val="baseline"/>
    </w:pPr>
    <w:rPr>
      <w:rFonts w:ascii="Book Antiqua" w:hAnsi="Book Antiqua"/>
      <w:i/>
      <w:iCs/>
      <w:kern w:val="28"/>
      <w:sz w:val="24"/>
      <w:szCs w:val="24"/>
    </w:rPr>
  </w:style>
  <w:style w:type="paragraph" w:customStyle="1" w:styleId="335">
    <w:name w:val="Style Heading 2§1.1§1.1.H21标题 2 Char Char节标题 1.1（一）Underrub...3"/>
    <w:basedOn w:val="3"/>
    <w:qFormat/>
    <w:uiPriority w:val="0"/>
    <w:pPr>
      <w:widowControl/>
      <w:tabs>
        <w:tab w:val="left" w:pos="-1418"/>
        <w:tab w:val="left" w:pos="432"/>
        <w:tab w:val="left" w:pos="780"/>
        <w:tab w:val="left" w:pos="2835"/>
        <w:tab w:val="clear" w:pos="426"/>
      </w:tabs>
      <w:overflowPunct w:val="0"/>
      <w:autoSpaceDE w:val="0"/>
      <w:autoSpaceDN w:val="0"/>
      <w:adjustRightInd w:val="0"/>
      <w:spacing w:beforeLines="0" w:after="260" w:line="264" w:lineRule="auto"/>
      <w:ind w:left="780" w:leftChars="200" w:hanging="1411" w:hangingChars="200"/>
      <w:jc w:val="left"/>
      <w:textAlignment w:val="baseline"/>
    </w:pPr>
    <w:rPr>
      <w:rFonts w:ascii="Book Antiqua" w:hAnsi="Book Antiqua" w:eastAsia="宋体"/>
      <w:i/>
      <w:iCs/>
      <w:smallCaps/>
      <w:kern w:val="28"/>
      <w:sz w:val="24"/>
      <w:szCs w:val="24"/>
    </w:rPr>
  </w:style>
  <w:style w:type="paragraph" w:customStyle="1" w:styleId="336">
    <w:name w:val="报告1"/>
    <w:basedOn w:val="237"/>
    <w:qFormat/>
    <w:uiPriority w:val="0"/>
    <w:pPr>
      <w:textAlignment w:val="baseline"/>
    </w:pPr>
    <w:rPr>
      <w:rFonts w:ascii="Times New Roman" w:hAnsi="Times New Roman"/>
      <w:kern w:val="24"/>
    </w:rPr>
  </w:style>
  <w:style w:type="paragraph" w:customStyle="1" w:styleId="337">
    <w:name w:val="xl25"/>
    <w:basedOn w:val="1"/>
    <w:qFormat/>
    <w:uiPriority w:val="0"/>
    <w:pPr>
      <w:widowControl/>
      <w:pBdr>
        <w:bottom w:val="single" w:color="auto" w:sz="4" w:space="0"/>
        <w:right w:val="single" w:color="auto" w:sz="4" w:space="0"/>
      </w:pBdr>
      <w:spacing w:before="100" w:beforeAutospacing="1" w:after="100" w:afterAutospacing="1"/>
      <w:jc w:val="center"/>
    </w:pPr>
    <w:rPr>
      <w:rFonts w:ascii="Arial Unicode MS" w:hAnsi="Arial Unicode MS"/>
      <w:b/>
      <w:bCs/>
      <w:kern w:val="0"/>
      <w:sz w:val="20"/>
      <w:szCs w:val="20"/>
      <w:lang w:eastAsia="en-US"/>
    </w:rPr>
  </w:style>
  <w:style w:type="paragraph" w:customStyle="1" w:styleId="338">
    <w:name w:val="河石管道 表头"/>
    <w:qFormat/>
    <w:uiPriority w:val="0"/>
    <w:pPr>
      <w:jc w:val="center"/>
    </w:pPr>
    <w:rPr>
      <w:rFonts w:ascii="Times New Roman" w:hAnsi="Times New Roman" w:eastAsia="宋体" w:cs="Times New Roman"/>
      <w:b/>
      <w:bCs/>
      <w:sz w:val="18"/>
      <w:lang w:val="en-US" w:eastAsia="zh-CN" w:bidi="ar-SA"/>
    </w:rPr>
  </w:style>
  <w:style w:type="paragraph" w:customStyle="1" w:styleId="339">
    <w:name w:val="样式 样式 左侧:  2 字符 + 首行缩进:  2 字符 Char"/>
    <w:basedOn w:val="1"/>
    <w:qFormat/>
    <w:uiPriority w:val="0"/>
    <w:pPr>
      <w:tabs>
        <w:tab w:val="left" w:pos="540"/>
      </w:tabs>
      <w:spacing w:line="360" w:lineRule="auto"/>
      <w:ind w:firstLine="478" w:firstLineChars="199"/>
    </w:pPr>
    <w:rPr>
      <w:rFonts w:ascii="宋体" w:hAnsi="宋体"/>
      <w:bCs/>
      <w:sz w:val="24"/>
    </w:rPr>
  </w:style>
  <w:style w:type="paragraph" w:customStyle="1" w:styleId="340">
    <w:name w:val="Erm bullut"/>
    <w:basedOn w:val="1"/>
    <w:qFormat/>
    <w:uiPriority w:val="0"/>
    <w:pPr>
      <w:widowControl/>
      <w:tabs>
        <w:tab w:val="left" w:pos="840"/>
      </w:tabs>
      <w:overflowPunct w:val="0"/>
      <w:autoSpaceDE w:val="0"/>
      <w:autoSpaceDN w:val="0"/>
      <w:adjustRightInd w:val="0"/>
      <w:spacing w:line="264" w:lineRule="auto"/>
      <w:ind w:left="840" w:hanging="420"/>
      <w:jc w:val="left"/>
      <w:textAlignment w:val="baseline"/>
    </w:pPr>
    <w:rPr>
      <w:rFonts w:ascii="Book Antiqua" w:hAnsi="Book Antiqua"/>
      <w:kern w:val="0"/>
      <w:sz w:val="22"/>
      <w:szCs w:val="20"/>
      <w:lang w:val="en-GB"/>
    </w:rPr>
  </w:style>
  <w:style w:type="character" w:customStyle="1" w:styleId="341">
    <w:name w:val="报告表正文 Char"/>
    <w:qFormat/>
    <w:locked/>
    <w:uiPriority w:val="0"/>
    <w:rPr>
      <w:rFonts w:ascii="宋体" w:hAnsi="宋体" w:eastAsia="宋体"/>
      <w:sz w:val="24"/>
      <w:lang w:val="en-US" w:eastAsia="zh-CN" w:bidi="ar-SA"/>
    </w:rPr>
  </w:style>
  <w:style w:type="paragraph" w:customStyle="1" w:styleId="342">
    <w:name w:val="报告表正文"/>
    <w:basedOn w:val="1"/>
    <w:link w:val="1962"/>
    <w:qFormat/>
    <w:uiPriority w:val="0"/>
    <w:pPr>
      <w:numPr>
        <w:ilvl w:val="1"/>
        <w:numId w:val="5"/>
      </w:numPr>
      <w:tabs>
        <w:tab w:val="clear" w:pos="1437"/>
      </w:tabs>
      <w:adjustRightInd w:val="0"/>
      <w:spacing w:line="312" w:lineRule="auto"/>
      <w:ind w:left="113" w:right="113" w:firstLine="482"/>
    </w:pPr>
    <w:rPr>
      <w:rFonts w:ascii="宋体" w:hAnsi="宋体"/>
      <w:kern w:val="0"/>
      <w:sz w:val="24"/>
      <w:szCs w:val="20"/>
    </w:rPr>
  </w:style>
  <w:style w:type="paragraph" w:customStyle="1" w:styleId="343">
    <w:name w:val="ScopeBody"/>
    <w:basedOn w:val="1"/>
    <w:qFormat/>
    <w:uiPriority w:val="0"/>
    <w:pPr>
      <w:tabs>
        <w:tab w:val="left" w:pos="360"/>
        <w:tab w:val="left" w:pos="720"/>
        <w:tab w:val="left" w:pos="1080"/>
        <w:tab w:val="left" w:pos="1440"/>
        <w:tab w:val="left" w:pos="1800"/>
        <w:tab w:val="left" w:pos="2160"/>
        <w:tab w:val="left" w:pos="2520"/>
        <w:tab w:val="left" w:pos="2880"/>
      </w:tabs>
      <w:suppressAutoHyphens/>
      <w:spacing w:after="120"/>
      <w:ind w:left="864"/>
      <w:jc w:val="left"/>
    </w:pPr>
    <w:rPr>
      <w:snapToGrid w:val="0"/>
      <w:kern w:val="0"/>
      <w:sz w:val="22"/>
      <w:szCs w:val="20"/>
      <w:lang w:eastAsia="en-US"/>
    </w:rPr>
  </w:style>
  <w:style w:type="paragraph" w:customStyle="1" w:styleId="344">
    <w:name w:val="Body Text Indent1"/>
    <w:basedOn w:val="1"/>
    <w:qFormat/>
    <w:uiPriority w:val="0"/>
    <w:pPr>
      <w:spacing w:after="120" w:line="360" w:lineRule="auto"/>
      <w:ind w:left="420" w:leftChars="200" w:firstLine="200" w:firstLineChars="200"/>
    </w:pPr>
    <w:rPr>
      <w:sz w:val="24"/>
    </w:rPr>
  </w:style>
  <w:style w:type="character" w:customStyle="1" w:styleId="345">
    <w:name w:val="纯文本21"/>
    <w:qFormat/>
    <w:uiPriority w:val="0"/>
    <w:rPr>
      <w:rFonts w:ascii="宋体" w:hAnsi="Courier New" w:eastAsia="宋体" w:cs="Courier New"/>
      <w:kern w:val="2"/>
      <w:sz w:val="21"/>
      <w:szCs w:val="21"/>
      <w:lang w:val="en-US" w:eastAsia="zh-CN" w:bidi="ar-SA"/>
    </w:rPr>
  </w:style>
  <w:style w:type="paragraph" w:customStyle="1" w:styleId="346">
    <w:name w:val="正文-使用"/>
    <w:basedOn w:val="1"/>
    <w:qFormat/>
    <w:uiPriority w:val="0"/>
    <w:pPr>
      <w:adjustRightInd w:val="0"/>
      <w:snapToGrid w:val="0"/>
      <w:spacing w:line="360" w:lineRule="auto"/>
      <w:ind w:firstLine="482"/>
    </w:pPr>
    <w:rPr>
      <w:sz w:val="24"/>
      <w:szCs w:val="20"/>
    </w:rPr>
  </w:style>
  <w:style w:type="paragraph" w:customStyle="1" w:styleId="347">
    <w:name w:val="正文 + 六号"/>
    <w:basedOn w:val="1"/>
    <w:qFormat/>
    <w:uiPriority w:val="0"/>
    <w:pPr>
      <w:overflowPunct w:val="0"/>
      <w:autoSpaceDE w:val="0"/>
      <w:autoSpaceDN w:val="0"/>
      <w:adjustRightInd w:val="0"/>
      <w:spacing w:line="264" w:lineRule="auto"/>
      <w:jc w:val="distribute"/>
      <w:textAlignment w:val="baseline"/>
    </w:pPr>
    <w:rPr>
      <w:rFonts w:ascii="Book Antiqua" w:hAnsi="Book Antiqua"/>
      <w:spacing w:val="630"/>
      <w:kern w:val="0"/>
      <w:sz w:val="15"/>
      <w:szCs w:val="15"/>
      <w:lang w:val="en-GB"/>
    </w:rPr>
  </w:style>
  <w:style w:type="paragraph" w:customStyle="1" w:styleId="348">
    <w:name w:val="表格文字（居中）"/>
    <w:basedOn w:val="1"/>
    <w:qFormat/>
    <w:uiPriority w:val="0"/>
    <w:pPr>
      <w:jc w:val="center"/>
    </w:pPr>
    <w:rPr>
      <w:szCs w:val="21"/>
    </w:rPr>
  </w:style>
  <w:style w:type="character" w:customStyle="1" w:styleId="349">
    <w:name w:val="正文1 Char1"/>
    <w:qFormat/>
    <w:uiPriority w:val="0"/>
    <w:rPr>
      <w:rFonts w:eastAsia="宋体"/>
      <w:snapToGrid w:val="0"/>
      <w:sz w:val="24"/>
      <w:szCs w:val="24"/>
      <w:lang w:val="en-US" w:eastAsia="zh-CN" w:bidi="ar-SA"/>
    </w:rPr>
  </w:style>
  <w:style w:type="paragraph" w:customStyle="1" w:styleId="350">
    <w:name w:val="Style Heading 2§1.1§1.1.H21标题 2 Char Char节标题 1.1（一）Underrub..."/>
    <w:basedOn w:val="3"/>
    <w:qFormat/>
    <w:uiPriority w:val="0"/>
    <w:pPr>
      <w:widowControl/>
      <w:numPr>
        <w:numId w:val="0"/>
      </w:numPr>
      <w:tabs>
        <w:tab w:val="left" w:pos="-1418"/>
        <w:tab w:val="left" w:pos="780"/>
        <w:tab w:val="left" w:pos="2835"/>
      </w:tabs>
      <w:overflowPunct w:val="0"/>
      <w:autoSpaceDE w:val="0"/>
      <w:autoSpaceDN w:val="0"/>
      <w:adjustRightInd w:val="0"/>
      <w:spacing w:beforeLines="0" w:after="260" w:line="264" w:lineRule="auto"/>
      <w:ind w:left="-1411" w:leftChars="200" w:hanging="1411" w:hangingChars="200"/>
      <w:jc w:val="left"/>
      <w:textAlignment w:val="baseline"/>
    </w:pPr>
    <w:rPr>
      <w:rFonts w:ascii="Book Antiqua" w:hAnsi="Book Antiqua" w:eastAsia="宋体"/>
      <w:i/>
      <w:iCs/>
      <w:smallCaps/>
      <w:kern w:val="28"/>
      <w:sz w:val="24"/>
      <w:szCs w:val="24"/>
    </w:rPr>
  </w:style>
  <w:style w:type="paragraph" w:customStyle="1" w:styleId="351">
    <w:name w:val="Style Heading 2§1.1§1.1.H21标题 2 Char Char节标题 1.1（一）Underrub...1"/>
    <w:basedOn w:val="3"/>
    <w:qFormat/>
    <w:uiPriority w:val="0"/>
    <w:pPr>
      <w:widowControl/>
      <w:numPr>
        <w:numId w:val="0"/>
      </w:numPr>
      <w:tabs>
        <w:tab w:val="left" w:pos="-1418"/>
        <w:tab w:val="left" w:pos="780"/>
        <w:tab w:val="left" w:pos="2835"/>
      </w:tabs>
      <w:overflowPunct w:val="0"/>
      <w:autoSpaceDE w:val="0"/>
      <w:autoSpaceDN w:val="0"/>
      <w:adjustRightInd w:val="0"/>
      <w:spacing w:beforeLines="0" w:after="260" w:line="264" w:lineRule="auto"/>
      <w:ind w:left="780" w:leftChars="200" w:hanging="1411" w:hangingChars="200"/>
      <w:jc w:val="left"/>
      <w:textAlignment w:val="baseline"/>
    </w:pPr>
    <w:rPr>
      <w:rFonts w:ascii="Book Antiqua" w:hAnsi="Book Antiqua" w:eastAsia="宋体"/>
      <w:i/>
      <w:iCs/>
      <w:smallCaps/>
      <w:kern w:val="28"/>
      <w:sz w:val="24"/>
      <w:szCs w:val="24"/>
    </w:rPr>
  </w:style>
  <w:style w:type="paragraph" w:customStyle="1" w:styleId="352">
    <w:name w:val="Style Heading 3§1.1.1.H3标题 3zym条标题1.1.1标题 3 Charh3level_3PI..."/>
    <w:basedOn w:val="4"/>
    <w:qFormat/>
    <w:uiPriority w:val="0"/>
    <w:pPr>
      <w:widowControl/>
      <w:tabs>
        <w:tab w:val="left" w:pos="-1418"/>
        <w:tab w:val="left" w:pos="0"/>
      </w:tabs>
      <w:overflowPunct w:val="0"/>
      <w:autoSpaceDE w:val="0"/>
      <w:autoSpaceDN w:val="0"/>
      <w:adjustRightInd w:val="0"/>
      <w:spacing w:before="0" w:line="264" w:lineRule="auto"/>
      <w:ind w:left="780" w:leftChars="200" w:hanging="360" w:hangingChars="200"/>
      <w:jc w:val="left"/>
      <w:textAlignment w:val="baseline"/>
    </w:pPr>
    <w:rPr>
      <w:rFonts w:ascii="Book Antiqua" w:hAnsi="Book Antiqua"/>
      <w:iCs/>
      <w:kern w:val="28"/>
      <w:sz w:val="24"/>
      <w:szCs w:val="24"/>
    </w:rPr>
  </w:style>
  <w:style w:type="paragraph" w:customStyle="1" w:styleId="353">
    <w:name w:val="Style Heading 2§1.1§1.1.H21标题 2 Char Char节标题 1.1（一）Underrub...2"/>
    <w:basedOn w:val="3"/>
    <w:qFormat/>
    <w:uiPriority w:val="0"/>
    <w:pPr>
      <w:widowControl/>
      <w:numPr>
        <w:numId w:val="0"/>
      </w:numPr>
      <w:tabs>
        <w:tab w:val="left" w:pos="-1418"/>
        <w:tab w:val="left" w:pos="780"/>
        <w:tab w:val="left" w:pos="2835"/>
      </w:tabs>
      <w:overflowPunct w:val="0"/>
      <w:autoSpaceDE w:val="0"/>
      <w:autoSpaceDN w:val="0"/>
      <w:adjustRightInd w:val="0"/>
      <w:spacing w:beforeLines="0" w:after="260" w:line="264" w:lineRule="auto"/>
      <w:ind w:left="780" w:leftChars="200" w:hanging="1411" w:hangingChars="200"/>
      <w:jc w:val="left"/>
      <w:textAlignment w:val="baseline"/>
    </w:pPr>
    <w:rPr>
      <w:rFonts w:ascii="Book Antiqua" w:hAnsi="Book Antiqua" w:eastAsia="宋体"/>
      <w:i/>
      <w:iCs/>
      <w:smallCaps/>
      <w:kern w:val="28"/>
      <w:sz w:val="24"/>
      <w:szCs w:val="24"/>
    </w:rPr>
  </w:style>
  <w:style w:type="paragraph" w:customStyle="1" w:styleId="354">
    <w:name w:val="河石管道 表格正文"/>
    <w:qFormat/>
    <w:uiPriority w:val="0"/>
    <w:pPr>
      <w:jc w:val="center"/>
    </w:pPr>
    <w:rPr>
      <w:rFonts w:ascii="Times New Roman" w:hAnsi="Times New Roman" w:eastAsia="宋体" w:cs="Times New Roman"/>
      <w:kern w:val="2"/>
      <w:sz w:val="18"/>
      <w:lang w:val="en-US" w:eastAsia="zh-CN" w:bidi="ar-SA"/>
    </w:rPr>
  </w:style>
  <w:style w:type="paragraph" w:customStyle="1" w:styleId="355">
    <w:name w:val="表文左对齐"/>
    <w:basedOn w:val="1"/>
    <w:qFormat/>
    <w:uiPriority w:val="0"/>
    <w:pPr>
      <w:jc w:val="left"/>
    </w:pPr>
    <w:rPr>
      <w:rFonts w:eastAsia="仿宋_GB2312"/>
      <w:b/>
      <w:bCs/>
      <w:szCs w:val="20"/>
    </w:rPr>
  </w:style>
  <w:style w:type="paragraph" w:customStyle="1" w:styleId="356">
    <w:name w:val="河石管道 表格文字小五"/>
    <w:qFormat/>
    <w:uiPriority w:val="0"/>
    <w:pPr>
      <w:tabs>
        <w:tab w:val="left" w:pos="277"/>
        <w:tab w:val="left" w:pos="600"/>
        <w:tab w:val="left" w:pos="780"/>
        <w:tab w:val="left" w:pos="2517"/>
      </w:tabs>
      <w:adjustRightInd w:val="0"/>
      <w:jc w:val="both"/>
      <w:textAlignment w:val="baseline"/>
    </w:pPr>
    <w:rPr>
      <w:rFonts w:ascii="Times New Roman" w:hAnsi="Times New Roman" w:eastAsia="宋体" w:cs="Times New Roman"/>
      <w:kern w:val="2"/>
      <w:sz w:val="18"/>
      <w:szCs w:val="21"/>
      <w:lang w:val="en-US" w:eastAsia="zh-CN" w:bidi="ar-SA"/>
    </w:rPr>
  </w:style>
  <w:style w:type="character" w:customStyle="1" w:styleId="357">
    <w:name w:val="Small"/>
    <w:qFormat/>
    <w:uiPriority w:val="0"/>
    <w:rPr>
      <w:rFonts w:ascii="Times New Roman" w:hAnsi="Times New Roman" w:cs="Times New Roman"/>
      <w:sz w:val="18"/>
      <w:szCs w:val="18"/>
      <w:lang w:val="en-US"/>
    </w:rPr>
  </w:style>
  <w:style w:type="paragraph" w:customStyle="1" w:styleId="358">
    <w:name w:val="bullet 1"/>
    <w:basedOn w:val="1"/>
    <w:qFormat/>
    <w:uiPriority w:val="0"/>
    <w:pPr>
      <w:widowControl/>
      <w:tabs>
        <w:tab w:val="left" w:pos="980"/>
      </w:tabs>
      <w:overflowPunct w:val="0"/>
      <w:autoSpaceDE w:val="0"/>
      <w:autoSpaceDN w:val="0"/>
      <w:adjustRightInd w:val="0"/>
      <w:spacing w:line="264" w:lineRule="auto"/>
      <w:ind w:left="980" w:hanging="420"/>
      <w:jc w:val="left"/>
      <w:textAlignment w:val="baseline"/>
    </w:pPr>
    <w:rPr>
      <w:rFonts w:ascii="Book Antiqua" w:hAnsi="Book Antiqua"/>
      <w:kern w:val="0"/>
      <w:sz w:val="22"/>
      <w:szCs w:val="20"/>
      <w:lang w:val="en-GB"/>
    </w:rPr>
  </w:style>
  <w:style w:type="table" w:customStyle="1" w:styleId="359">
    <w:name w:val="表格样式12"/>
    <w:basedOn w:val="87"/>
    <w:qFormat/>
    <w:uiPriority w:val="0"/>
    <w:pPr>
      <w:jc w:val="center"/>
    </w:pPr>
    <w:rPr>
      <w:rFonts w:eastAsia="楷体_GB2312"/>
    </w:rPr>
    <w:tblPr>
      <w:tblBorders>
        <w:top w:val="single" w:color="auto" w:sz="12" w:space="0"/>
        <w:bottom w:val="single" w:color="auto" w:sz="12" w:space="0"/>
        <w:insideH w:val="single" w:color="auto" w:sz="2" w:space="0"/>
        <w:insideV w:val="single" w:color="auto" w:sz="2" w:space="0"/>
      </w:tblBorders>
    </w:tblPr>
    <w:tcPr>
      <w:vAlign w:val="center"/>
    </w:tcPr>
  </w:style>
  <w:style w:type="character" w:customStyle="1" w:styleId="360">
    <w:name w:val="表格的文字 Char"/>
    <w:basedOn w:val="267"/>
    <w:link w:val="275"/>
    <w:qFormat/>
    <w:uiPriority w:val="0"/>
    <w:rPr>
      <w:rFonts w:ascii="仿宋_GB2312" w:eastAsia="仿宋_GB2312"/>
      <w:kern w:val="2"/>
      <w:sz w:val="21"/>
      <w:szCs w:val="24"/>
      <w:lang w:val="en-US" w:eastAsia="zh-CN" w:bidi="ar-SA"/>
    </w:rPr>
  </w:style>
  <w:style w:type="character" w:customStyle="1" w:styleId="361">
    <w:name w:val="目录 1 Char"/>
    <w:qFormat/>
    <w:uiPriority w:val="0"/>
    <w:rPr>
      <w:rFonts w:eastAsia="宋体"/>
      <w:b/>
      <w:bCs/>
      <w:caps/>
      <w:kern w:val="2"/>
      <w:sz w:val="24"/>
      <w:szCs w:val="24"/>
      <w:lang w:val="en-US" w:eastAsia="zh-CN" w:bidi="ar-SA"/>
    </w:rPr>
  </w:style>
  <w:style w:type="paragraph" w:customStyle="1" w:styleId="362">
    <w:name w:val="小四表文左齐"/>
    <w:basedOn w:val="1"/>
    <w:qFormat/>
    <w:uiPriority w:val="0"/>
    <w:pPr>
      <w:jc w:val="center"/>
    </w:pPr>
    <w:rPr>
      <w:rFonts w:ascii="宋体" w:hAnsi="Arial Black"/>
      <w:szCs w:val="20"/>
    </w:rPr>
  </w:style>
  <w:style w:type="character" w:customStyle="1" w:styleId="363">
    <w:name w:val="题注 字符"/>
    <w:link w:val="21"/>
    <w:qFormat/>
    <w:uiPriority w:val="0"/>
    <w:rPr>
      <w:rFonts w:ascii="Arial" w:hAnsi="Arial" w:eastAsia="黑体" w:cs="Arial"/>
      <w:kern w:val="2"/>
      <w:lang w:val="en-US" w:eastAsia="zh-CN" w:bidi="ar-SA"/>
    </w:rPr>
  </w:style>
  <w:style w:type="character" w:customStyle="1" w:styleId="364">
    <w:name w:val="页脚 字符"/>
    <w:link w:val="54"/>
    <w:qFormat/>
    <w:uiPriority w:val="0"/>
    <w:rPr>
      <w:kern w:val="2"/>
      <w:sz w:val="18"/>
      <w:szCs w:val="18"/>
    </w:rPr>
  </w:style>
  <w:style w:type="paragraph" w:styleId="365">
    <w:name w:val="List Paragraph"/>
    <w:basedOn w:val="1"/>
    <w:qFormat/>
    <w:uiPriority w:val="1"/>
    <w:pPr>
      <w:ind w:firstLine="420" w:firstLineChars="200"/>
    </w:pPr>
  </w:style>
  <w:style w:type="paragraph" w:customStyle="1" w:styleId="366">
    <w:name w:val="表格文字 -maoli"/>
    <w:basedOn w:val="1"/>
    <w:qFormat/>
    <w:uiPriority w:val="0"/>
    <w:pPr>
      <w:framePr w:wrap="around" w:vAnchor="text" w:hAnchor="text" w:y="1"/>
      <w:widowControl/>
      <w:snapToGrid w:val="0"/>
      <w:spacing w:line="320" w:lineRule="exact"/>
      <w:jc w:val="center"/>
    </w:pPr>
    <w:rPr>
      <w:rFonts w:ascii="楷体_GB2312" w:hAnsi="宋体" w:eastAsia="楷体_GB2312" w:cs="宋体"/>
      <w:kern w:val="0"/>
    </w:rPr>
  </w:style>
  <w:style w:type="character" w:customStyle="1" w:styleId="367">
    <w:name w:val="页眉 字符"/>
    <w:link w:val="56"/>
    <w:qFormat/>
    <w:uiPriority w:val="0"/>
    <w:rPr>
      <w:kern w:val="2"/>
      <w:sz w:val="18"/>
      <w:szCs w:val="18"/>
    </w:rPr>
  </w:style>
  <w:style w:type="paragraph" w:customStyle="1" w:styleId="368">
    <w:name w:val="文本框文字"/>
    <w:basedOn w:val="1"/>
    <w:qFormat/>
    <w:uiPriority w:val="0"/>
    <w:pPr>
      <w:framePr w:hSpace="181" w:vSpace="181" w:wrap="around" w:vAnchor="page" w:hAnchor="page" w:xAlign="center" w:yAlign="center"/>
      <w:adjustRightInd w:val="0"/>
      <w:snapToGrid w:val="0"/>
      <w:spacing w:line="240" w:lineRule="exact"/>
      <w:jc w:val="center"/>
      <w:textAlignment w:val="center"/>
    </w:pPr>
    <w:rPr>
      <w:rFonts w:ascii="宋体"/>
      <w:snapToGrid w:val="0"/>
      <w:kern w:val="0"/>
      <w:sz w:val="24"/>
    </w:rPr>
  </w:style>
  <w:style w:type="character" w:customStyle="1" w:styleId="369">
    <w:name w:val="grame"/>
    <w:basedOn w:val="94"/>
    <w:qFormat/>
    <w:uiPriority w:val="0"/>
  </w:style>
  <w:style w:type="character" w:customStyle="1" w:styleId="370">
    <w:name w:val="Char2"/>
    <w:qFormat/>
    <w:uiPriority w:val="0"/>
    <w:rPr>
      <w:rFonts w:ascii="黑体" w:eastAsia="黑体"/>
      <w:kern w:val="44"/>
      <w:sz w:val="44"/>
      <w:lang w:val="en-US" w:eastAsia="zh-CN" w:bidi="ar-SA"/>
    </w:rPr>
  </w:style>
  <w:style w:type="character" w:customStyle="1" w:styleId="371">
    <w:name w:val="文档结构图 字符"/>
    <w:link w:val="25"/>
    <w:qFormat/>
    <w:uiPriority w:val="0"/>
    <w:rPr>
      <w:kern w:val="2"/>
      <w:sz w:val="21"/>
      <w:szCs w:val="24"/>
      <w:shd w:val="clear" w:color="auto" w:fill="000080"/>
    </w:rPr>
  </w:style>
  <w:style w:type="character" w:customStyle="1" w:styleId="372">
    <w:name w:val="批注框文本 字符"/>
    <w:link w:val="53"/>
    <w:qFormat/>
    <w:uiPriority w:val="0"/>
    <w:rPr>
      <w:kern w:val="2"/>
      <w:sz w:val="18"/>
      <w:szCs w:val="18"/>
    </w:rPr>
  </w:style>
  <w:style w:type="paragraph" w:customStyle="1" w:styleId="373">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374">
    <w:name w:val="font6"/>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375">
    <w:name w:val="font7"/>
    <w:basedOn w:val="1"/>
    <w:qFormat/>
    <w:uiPriority w:val="0"/>
    <w:pPr>
      <w:widowControl/>
      <w:spacing w:before="100" w:beforeAutospacing="1" w:after="100" w:afterAutospacing="1"/>
      <w:jc w:val="left"/>
    </w:pPr>
    <w:rPr>
      <w:color w:val="000000"/>
      <w:kern w:val="0"/>
      <w:szCs w:val="21"/>
    </w:rPr>
  </w:style>
  <w:style w:type="paragraph" w:customStyle="1" w:styleId="376">
    <w:name w:val="font8"/>
    <w:basedOn w:val="1"/>
    <w:qFormat/>
    <w:uiPriority w:val="0"/>
    <w:pPr>
      <w:widowControl/>
      <w:spacing w:before="100" w:beforeAutospacing="1" w:after="100" w:afterAutospacing="1"/>
      <w:jc w:val="left"/>
    </w:pPr>
    <w:rPr>
      <w:rFonts w:ascii="宋体" w:hAnsi="宋体" w:cs="宋体"/>
      <w:color w:val="000000"/>
      <w:kern w:val="0"/>
      <w:szCs w:val="21"/>
    </w:rPr>
  </w:style>
  <w:style w:type="paragraph" w:customStyle="1" w:styleId="377">
    <w:name w:val="font9"/>
    <w:basedOn w:val="1"/>
    <w:qFormat/>
    <w:uiPriority w:val="0"/>
    <w:pPr>
      <w:widowControl/>
      <w:spacing w:before="100" w:beforeAutospacing="1" w:after="100" w:afterAutospacing="1"/>
      <w:jc w:val="left"/>
    </w:pPr>
    <w:rPr>
      <w:rFonts w:ascii="宋体" w:hAnsi="宋体" w:cs="宋体"/>
      <w:color w:val="000000"/>
      <w:kern w:val="0"/>
      <w:szCs w:val="21"/>
    </w:rPr>
  </w:style>
  <w:style w:type="paragraph" w:customStyle="1" w:styleId="378">
    <w:name w:val="font10"/>
    <w:basedOn w:val="1"/>
    <w:qFormat/>
    <w:uiPriority w:val="0"/>
    <w:pPr>
      <w:widowControl/>
      <w:spacing w:before="100" w:beforeAutospacing="1" w:after="100" w:afterAutospacing="1"/>
      <w:jc w:val="left"/>
    </w:pPr>
    <w:rPr>
      <w:rFonts w:ascii="宋体" w:hAnsi="宋体" w:cs="宋体"/>
      <w:color w:val="000000"/>
      <w:kern w:val="0"/>
      <w:szCs w:val="21"/>
    </w:rPr>
  </w:style>
  <w:style w:type="paragraph" w:customStyle="1" w:styleId="379">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Cs w:val="21"/>
    </w:rPr>
  </w:style>
  <w:style w:type="paragraph" w:customStyle="1" w:styleId="380">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38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Cs w:val="21"/>
    </w:rPr>
  </w:style>
  <w:style w:type="paragraph" w:customStyle="1" w:styleId="382">
    <w:name w:val="xl66"/>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383">
    <w:name w:val="xl6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384">
    <w:name w:val="xl6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黑体" w:hAnsi="宋体" w:eastAsia="黑体" w:cs="宋体"/>
      <w:kern w:val="0"/>
      <w:szCs w:val="21"/>
    </w:rPr>
  </w:style>
  <w:style w:type="paragraph" w:customStyle="1" w:styleId="385">
    <w:name w:val="xl69"/>
    <w:basedOn w:val="1"/>
    <w:qFormat/>
    <w:uiPriority w:val="0"/>
    <w:pPr>
      <w:widowControl/>
      <w:pBdr>
        <w:left w:val="single" w:color="auto" w:sz="4" w:space="0"/>
        <w:right w:val="single" w:color="auto" w:sz="4" w:space="0"/>
      </w:pBdr>
      <w:spacing w:before="100" w:beforeAutospacing="1" w:after="100" w:afterAutospacing="1"/>
      <w:jc w:val="center"/>
    </w:pPr>
    <w:rPr>
      <w:rFonts w:ascii="黑体" w:hAnsi="宋体" w:eastAsia="黑体" w:cs="宋体"/>
      <w:kern w:val="0"/>
      <w:szCs w:val="21"/>
    </w:rPr>
  </w:style>
  <w:style w:type="paragraph" w:customStyle="1" w:styleId="386">
    <w:name w:val="xl7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黑体" w:hAnsi="宋体" w:eastAsia="黑体" w:cs="宋体"/>
      <w:kern w:val="0"/>
      <w:szCs w:val="21"/>
    </w:rPr>
  </w:style>
  <w:style w:type="paragraph" w:customStyle="1" w:styleId="387">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color w:val="000000"/>
      <w:kern w:val="0"/>
      <w:szCs w:val="21"/>
    </w:rPr>
  </w:style>
  <w:style w:type="paragraph" w:customStyle="1" w:styleId="388">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Cs w:val="21"/>
    </w:rPr>
  </w:style>
  <w:style w:type="paragraph" w:customStyle="1" w:styleId="389">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Cs w:val="21"/>
    </w:rPr>
  </w:style>
  <w:style w:type="paragraph" w:customStyle="1" w:styleId="390">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color w:val="000000"/>
      <w:kern w:val="0"/>
      <w:szCs w:val="21"/>
    </w:rPr>
  </w:style>
  <w:style w:type="paragraph" w:customStyle="1" w:styleId="391">
    <w:name w:val="xl75"/>
    <w:basedOn w:val="1"/>
    <w:qFormat/>
    <w:uiPriority w:val="0"/>
    <w:pPr>
      <w:widowControl/>
      <w:spacing w:before="100" w:beforeAutospacing="1" w:after="100" w:afterAutospacing="1"/>
      <w:jc w:val="center"/>
    </w:pPr>
    <w:rPr>
      <w:rFonts w:ascii="宋体" w:hAnsi="宋体" w:cs="宋体"/>
      <w:kern w:val="0"/>
      <w:szCs w:val="21"/>
    </w:rPr>
  </w:style>
  <w:style w:type="paragraph" w:customStyle="1" w:styleId="392">
    <w:name w:val="xl7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Cs w:val="21"/>
    </w:rPr>
  </w:style>
  <w:style w:type="character" w:customStyle="1" w:styleId="393">
    <w:name w:val="表格 Char"/>
    <w:link w:val="122"/>
    <w:qFormat/>
    <w:uiPriority w:val="0"/>
    <w:rPr>
      <w:snapToGrid w:val="0"/>
      <w:kern w:val="21"/>
      <w:sz w:val="21"/>
      <w:szCs w:val="24"/>
    </w:rPr>
  </w:style>
  <w:style w:type="paragraph" w:customStyle="1" w:styleId="394">
    <w:name w:val="Char Char Char2"/>
    <w:basedOn w:val="1"/>
    <w:qFormat/>
    <w:uiPriority w:val="0"/>
    <w:rPr>
      <w:sz w:val="24"/>
    </w:rPr>
  </w:style>
  <w:style w:type="paragraph" w:customStyle="1" w:styleId="395">
    <w:name w:val="Char Char Char Char Char Char6"/>
    <w:basedOn w:val="1"/>
    <w:qFormat/>
    <w:uiPriority w:val="0"/>
    <w:rPr>
      <w:szCs w:val="21"/>
    </w:rPr>
  </w:style>
  <w:style w:type="paragraph" w:customStyle="1" w:styleId="396">
    <w:name w:val="Char4 Char Char Char Char Char Char Char Char Char Char Char Char Char Char Char Char Char1 Char Char Char Char Char Char1 Char Char Char Char Char Char Char Char Char Char Char Char Char Char Char Char3"/>
    <w:basedOn w:val="1"/>
    <w:qFormat/>
    <w:uiPriority w:val="0"/>
    <w:pPr>
      <w:spacing w:line="240" w:lineRule="exact"/>
      <w:ind w:firstLine="200" w:firstLineChars="200"/>
    </w:pPr>
    <w:rPr>
      <w:sz w:val="28"/>
      <w:szCs w:val="28"/>
    </w:rPr>
  </w:style>
  <w:style w:type="paragraph" w:customStyle="1" w:styleId="397">
    <w:name w:val="Char Char Char Char Char Char Char Char Char1 Char Char Char Char4"/>
    <w:basedOn w:val="1"/>
    <w:qFormat/>
    <w:uiPriority w:val="0"/>
    <w:rPr>
      <w:szCs w:val="21"/>
    </w:rPr>
  </w:style>
  <w:style w:type="paragraph" w:customStyle="1" w:styleId="398">
    <w:name w:val="Char Char Char Char2"/>
    <w:basedOn w:val="1"/>
    <w:qFormat/>
    <w:uiPriority w:val="0"/>
    <w:rPr>
      <w:szCs w:val="21"/>
    </w:rPr>
  </w:style>
  <w:style w:type="paragraph" w:customStyle="1" w:styleId="399">
    <w:name w:val="Char1"/>
    <w:basedOn w:val="1"/>
    <w:qFormat/>
    <w:uiPriority w:val="0"/>
    <w:pPr>
      <w:spacing w:beforeLines="50" w:afterLines="50" w:line="500" w:lineRule="exact"/>
    </w:pPr>
    <w:rPr>
      <w:sz w:val="28"/>
      <w:szCs w:val="28"/>
    </w:rPr>
  </w:style>
  <w:style w:type="paragraph" w:customStyle="1" w:styleId="400">
    <w:name w:val="Char Char Char1 Char6"/>
    <w:basedOn w:val="1"/>
    <w:qFormat/>
    <w:uiPriority w:val="0"/>
  </w:style>
  <w:style w:type="paragraph" w:customStyle="1" w:styleId="401">
    <w:name w:val="Char Char Char Char Char Char Char29"/>
    <w:basedOn w:val="1"/>
    <w:qFormat/>
    <w:uiPriority w:val="0"/>
  </w:style>
  <w:style w:type="paragraph" w:customStyle="1" w:styleId="402">
    <w:name w:val="Char Char Char1 Char Char Char Char3"/>
    <w:basedOn w:val="1"/>
    <w:qFormat/>
    <w:uiPriority w:val="0"/>
  </w:style>
  <w:style w:type="paragraph" w:customStyle="1" w:styleId="403">
    <w:name w:val="Char Char Char Char Char Char Char Char Char Char Char Char Char Char Char Char3"/>
    <w:basedOn w:val="1"/>
    <w:qFormat/>
    <w:uiPriority w:val="0"/>
  </w:style>
  <w:style w:type="paragraph" w:customStyle="1" w:styleId="404">
    <w:name w:val="Char Char Char Char Char Char Char Char Char Char1"/>
    <w:basedOn w:val="1"/>
    <w:qFormat/>
    <w:uiPriority w:val="0"/>
  </w:style>
  <w:style w:type="paragraph" w:customStyle="1" w:styleId="405">
    <w:name w:val="Char Char Char Char Char Char Char Char Char Char Char Char Char Char Char Char Char Char Char Char Char Char Char Char Char Char Char Char Char Char2 Char Char Char Char Char Char Char7"/>
    <w:basedOn w:val="1"/>
    <w:qFormat/>
    <w:uiPriority w:val="0"/>
    <w:rPr>
      <w:sz w:val="24"/>
    </w:rPr>
  </w:style>
  <w:style w:type="paragraph" w:customStyle="1" w:styleId="406">
    <w:name w:val="正文文本缩进12"/>
    <w:basedOn w:val="1"/>
    <w:qFormat/>
    <w:uiPriority w:val="0"/>
    <w:pPr>
      <w:adjustRightInd w:val="0"/>
      <w:spacing w:after="120" w:line="360" w:lineRule="auto"/>
      <w:ind w:left="420" w:leftChars="200" w:firstLine="200" w:firstLineChars="200"/>
      <w:textAlignment w:val="baseline"/>
    </w:pPr>
    <w:rPr>
      <w:sz w:val="24"/>
      <w:szCs w:val="20"/>
    </w:rPr>
  </w:style>
  <w:style w:type="paragraph" w:customStyle="1" w:styleId="407">
    <w:name w:val="正文缩进32"/>
    <w:basedOn w:val="1"/>
    <w:qFormat/>
    <w:uiPriority w:val="0"/>
    <w:pPr>
      <w:adjustRightInd w:val="0"/>
      <w:ind w:firstLine="420" w:firstLineChars="200"/>
      <w:textAlignment w:val="baseline"/>
    </w:pPr>
    <w:rPr>
      <w:rFonts w:hint="eastAsia" w:hAnsi="宋体"/>
      <w:sz w:val="24"/>
      <w:szCs w:val="20"/>
    </w:rPr>
  </w:style>
  <w:style w:type="paragraph" w:customStyle="1" w:styleId="408">
    <w:name w:val="正文文字 3"/>
    <w:basedOn w:val="1"/>
    <w:qFormat/>
    <w:uiPriority w:val="0"/>
    <w:pPr>
      <w:jc w:val="center"/>
    </w:pPr>
    <w:rPr>
      <w:szCs w:val="21"/>
    </w:rPr>
  </w:style>
  <w:style w:type="paragraph" w:customStyle="1" w:styleId="409">
    <w:name w:val="p0"/>
    <w:basedOn w:val="1"/>
    <w:qFormat/>
    <w:uiPriority w:val="0"/>
    <w:pPr>
      <w:widowControl/>
      <w:spacing w:before="100" w:after="100" w:line="240" w:lineRule="atLeast"/>
    </w:pPr>
    <w:rPr>
      <w:rFonts w:ascii="Calibri" w:hAnsi="Calibri" w:cs="宋体"/>
      <w:kern w:val="0"/>
      <w:szCs w:val="21"/>
    </w:rPr>
  </w:style>
  <w:style w:type="character" w:customStyle="1" w:styleId="410">
    <w:name w:val="注释标题 字符"/>
    <w:link w:val="15"/>
    <w:qFormat/>
    <w:uiPriority w:val="0"/>
    <w:rPr>
      <w:kern w:val="2"/>
      <w:sz w:val="21"/>
      <w:szCs w:val="24"/>
    </w:rPr>
  </w:style>
  <w:style w:type="character" w:customStyle="1" w:styleId="411">
    <w:name w:val="HTML 预设格式 字符"/>
    <w:link w:val="79"/>
    <w:qFormat/>
    <w:uiPriority w:val="99"/>
    <w:rPr>
      <w:rFonts w:ascii="Courier New" w:hAnsi="Courier New" w:cs="Courier New"/>
      <w:kern w:val="2"/>
    </w:rPr>
  </w:style>
  <w:style w:type="paragraph" w:customStyle="1" w:styleId="412">
    <w:name w:val="font11"/>
    <w:basedOn w:val="1"/>
    <w:qFormat/>
    <w:uiPriority w:val="0"/>
    <w:pPr>
      <w:widowControl/>
      <w:spacing w:before="100" w:beforeAutospacing="1" w:after="100" w:afterAutospacing="1"/>
      <w:jc w:val="left"/>
    </w:pPr>
    <w:rPr>
      <w:rFonts w:ascii="仿宋_GB2312" w:hAnsi="宋体" w:eastAsia="仿宋_GB2312" w:cs="宋体"/>
      <w:color w:val="000000"/>
      <w:kern w:val="0"/>
      <w:szCs w:val="21"/>
    </w:rPr>
  </w:style>
  <w:style w:type="paragraph" w:customStyle="1" w:styleId="413">
    <w:name w:val="font12"/>
    <w:basedOn w:val="1"/>
    <w:qFormat/>
    <w:uiPriority w:val="0"/>
    <w:pPr>
      <w:widowControl/>
      <w:spacing w:before="100" w:beforeAutospacing="1" w:after="100" w:afterAutospacing="1"/>
      <w:jc w:val="left"/>
    </w:pPr>
    <w:rPr>
      <w:color w:val="000000"/>
      <w:kern w:val="0"/>
      <w:szCs w:val="21"/>
    </w:rPr>
  </w:style>
  <w:style w:type="paragraph" w:customStyle="1" w:styleId="414">
    <w:name w:val="xl7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b/>
      <w:bCs/>
      <w:color w:val="000000"/>
      <w:kern w:val="0"/>
      <w:szCs w:val="21"/>
    </w:rPr>
  </w:style>
  <w:style w:type="paragraph" w:customStyle="1" w:styleId="41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color w:val="000000"/>
      <w:kern w:val="0"/>
      <w:szCs w:val="21"/>
    </w:rPr>
  </w:style>
  <w:style w:type="paragraph" w:customStyle="1" w:styleId="416">
    <w:name w:val="xl79"/>
    <w:basedOn w:val="1"/>
    <w:qFormat/>
    <w:uiPriority w:val="0"/>
    <w:pPr>
      <w:widowControl/>
      <w:spacing w:before="100" w:beforeAutospacing="1" w:after="100" w:afterAutospacing="1"/>
      <w:jc w:val="left"/>
    </w:pPr>
    <w:rPr>
      <w:kern w:val="0"/>
      <w:szCs w:val="21"/>
    </w:rPr>
  </w:style>
  <w:style w:type="paragraph" w:customStyle="1" w:styleId="41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Cs w:val="21"/>
    </w:rPr>
  </w:style>
  <w:style w:type="paragraph" w:customStyle="1" w:styleId="41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 w:val="24"/>
    </w:rPr>
  </w:style>
  <w:style w:type="paragraph" w:customStyle="1" w:styleId="41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 w:val="24"/>
    </w:rPr>
  </w:style>
  <w:style w:type="paragraph" w:customStyle="1" w:styleId="420">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 w:val="24"/>
    </w:rPr>
  </w:style>
  <w:style w:type="paragraph" w:customStyle="1" w:styleId="421">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b/>
      <w:bCs/>
      <w:color w:val="000000"/>
      <w:kern w:val="0"/>
      <w:szCs w:val="21"/>
    </w:rPr>
  </w:style>
  <w:style w:type="paragraph" w:customStyle="1" w:styleId="422">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b/>
      <w:bCs/>
      <w:color w:val="000000"/>
      <w:kern w:val="0"/>
      <w:szCs w:val="21"/>
    </w:rPr>
  </w:style>
  <w:style w:type="paragraph" w:customStyle="1" w:styleId="423">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Cs w:val="21"/>
    </w:rPr>
  </w:style>
  <w:style w:type="paragraph" w:customStyle="1" w:styleId="424">
    <w:name w:val="xl9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仿宋_GB2312" w:hAnsi="宋体" w:eastAsia="仿宋_GB2312" w:cs="宋体"/>
      <w:color w:val="000000"/>
      <w:kern w:val="0"/>
      <w:szCs w:val="21"/>
    </w:rPr>
  </w:style>
  <w:style w:type="paragraph" w:customStyle="1" w:styleId="425">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color w:val="000000"/>
      <w:kern w:val="0"/>
      <w:szCs w:val="21"/>
    </w:rPr>
  </w:style>
  <w:style w:type="paragraph" w:customStyle="1" w:styleId="42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color w:val="000000"/>
      <w:kern w:val="0"/>
      <w:szCs w:val="21"/>
    </w:rPr>
  </w:style>
  <w:style w:type="paragraph" w:customStyle="1" w:styleId="427">
    <w:name w:val="xl10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仿宋_GB2312" w:hAnsi="宋体" w:eastAsia="仿宋_GB2312" w:cs="宋体"/>
      <w:color w:val="000000"/>
      <w:kern w:val="0"/>
      <w:szCs w:val="21"/>
    </w:rPr>
  </w:style>
  <w:style w:type="paragraph" w:customStyle="1" w:styleId="428">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 w:val="24"/>
    </w:rPr>
  </w:style>
  <w:style w:type="paragraph" w:customStyle="1" w:styleId="429">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 w:val="20"/>
      <w:szCs w:val="20"/>
    </w:rPr>
  </w:style>
  <w:style w:type="paragraph" w:customStyle="1" w:styleId="430">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431">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仿宋_GB2312" w:hAnsi="宋体" w:eastAsia="仿宋_GB2312" w:cs="宋体"/>
      <w:color w:val="000000"/>
      <w:kern w:val="0"/>
      <w:szCs w:val="21"/>
    </w:rPr>
  </w:style>
  <w:style w:type="paragraph" w:customStyle="1" w:styleId="432">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Calibri" w:hAnsi="Calibri" w:cs="宋体"/>
      <w:kern w:val="0"/>
      <w:szCs w:val="21"/>
    </w:rPr>
  </w:style>
  <w:style w:type="paragraph" w:customStyle="1" w:styleId="433">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color w:val="000000"/>
      <w:kern w:val="0"/>
      <w:sz w:val="24"/>
    </w:rPr>
  </w:style>
  <w:style w:type="character" w:customStyle="1" w:styleId="434">
    <w:name w:val="标题 3 Char"/>
    <w:qFormat/>
    <w:uiPriority w:val="0"/>
    <w:rPr>
      <w:rFonts w:eastAsia="仿宋_GB2312"/>
      <w:kern w:val="44"/>
      <w:sz w:val="28"/>
      <w:szCs w:val="32"/>
      <w:lang w:val="en-US" w:eastAsia="zh-CN" w:bidi="ar-SA"/>
    </w:rPr>
  </w:style>
  <w:style w:type="table" w:customStyle="1" w:styleId="435">
    <w:name w:val="maoli"/>
    <w:basedOn w:val="87"/>
    <w:qFormat/>
    <w:uiPriority w:val="0"/>
    <w:rPr>
      <w:rFonts w:eastAsia="仿宋_GB2312"/>
      <w:sz w:val="21"/>
    </w:rPr>
    <w:tblPr>
      <w:tblBorders>
        <w:top w:val="single" w:color="auto" w:sz="12" w:space="0"/>
        <w:bottom w:val="single" w:color="auto" w:sz="12" w:space="0"/>
        <w:insideH w:val="single" w:color="auto" w:sz="4" w:space="0"/>
        <w:insideV w:val="single" w:color="auto" w:sz="4" w:space="0"/>
      </w:tblBorders>
    </w:tblPr>
    <w:tcPr>
      <w:vAlign w:val="center"/>
    </w:tcPr>
  </w:style>
  <w:style w:type="paragraph" w:customStyle="1" w:styleId="436">
    <w:name w:val="font13"/>
    <w:basedOn w:val="1"/>
    <w:qFormat/>
    <w:uiPriority w:val="0"/>
    <w:pPr>
      <w:widowControl/>
      <w:spacing w:before="100" w:beforeAutospacing="1" w:after="100" w:afterAutospacing="1"/>
      <w:jc w:val="left"/>
    </w:pPr>
    <w:rPr>
      <w:rFonts w:ascii="仿宋_GB2312" w:hAnsi="宋体" w:eastAsia="仿宋_GB2312" w:cs="宋体"/>
      <w:b/>
      <w:bCs/>
      <w:color w:val="000000"/>
      <w:kern w:val="0"/>
      <w:szCs w:val="21"/>
    </w:rPr>
  </w:style>
  <w:style w:type="paragraph" w:customStyle="1" w:styleId="437">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 w:val="24"/>
    </w:rPr>
  </w:style>
  <w:style w:type="paragraph" w:customStyle="1" w:styleId="438">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Cs w:val="21"/>
    </w:rPr>
  </w:style>
  <w:style w:type="paragraph" w:customStyle="1" w:styleId="439">
    <w:name w:val="xl82"/>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仿宋_GB2312" w:hAnsi="宋体" w:eastAsia="仿宋_GB2312" w:cs="宋体"/>
      <w:color w:val="000000"/>
      <w:kern w:val="0"/>
      <w:szCs w:val="21"/>
    </w:rPr>
  </w:style>
  <w:style w:type="paragraph" w:customStyle="1" w:styleId="440">
    <w:name w:val="xl83"/>
    <w:basedOn w:val="1"/>
    <w:qFormat/>
    <w:uiPriority w:val="0"/>
    <w:pPr>
      <w:widowControl/>
      <w:pBdr>
        <w:top w:val="single" w:color="auto" w:sz="4" w:space="0"/>
        <w:left w:val="single" w:color="auto" w:sz="4" w:space="0"/>
        <w:right w:val="single" w:color="auto" w:sz="4" w:space="0"/>
      </w:pBdr>
      <w:shd w:val="clear" w:color="000000" w:fill="FFFF00"/>
      <w:spacing w:before="100" w:beforeAutospacing="1" w:after="100" w:afterAutospacing="1"/>
      <w:jc w:val="center"/>
    </w:pPr>
    <w:rPr>
      <w:rFonts w:ascii="仿宋_GB2312" w:hAnsi="宋体" w:eastAsia="仿宋_GB2312" w:cs="宋体"/>
      <w:color w:val="000000"/>
      <w:kern w:val="0"/>
      <w:szCs w:val="21"/>
    </w:rPr>
  </w:style>
  <w:style w:type="paragraph" w:customStyle="1" w:styleId="441">
    <w:name w:val="xl84"/>
    <w:basedOn w:val="1"/>
    <w:qFormat/>
    <w:uiPriority w:val="0"/>
    <w:pPr>
      <w:widowControl/>
      <w:pBdr>
        <w:top w:val="single" w:color="auto" w:sz="4" w:space="0"/>
        <w:left w:val="single" w:color="auto" w:sz="4" w:space="0"/>
        <w:right w:val="single" w:color="auto" w:sz="4" w:space="0"/>
      </w:pBdr>
      <w:shd w:val="clear" w:color="000000" w:fill="FFFF00"/>
      <w:spacing w:before="100" w:beforeAutospacing="1" w:after="100" w:afterAutospacing="1"/>
      <w:jc w:val="center"/>
    </w:pPr>
    <w:rPr>
      <w:rFonts w:ascii="仿宋_GB2312" w:hAnsi="宋体" w:eastAsia="仿宋_GB2312" w:cs="宋体"/>
      <w:color w:val="000000"/>
      <w:kern w:val="0"/>
      <w:szCs w:val="21"/>
    </w:rPr>
  </w:style>
  <w:style w:type="paragraph" w:customStyle="1" w:styleId="442">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443">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444">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b/>
      <w:bCs/>
      <w:kern w:val="0"/>
      <w:szCs w:val="21"/>
    </w:rPr>
  </w:style>
  <w:style w:type="paragraph" w:customStyle="1" w:styleId="445">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kern w:val="0"/>
      <w:szCs w:val="21"/>
    </w:rPr>
  </w:style>
  <w:style w:type="paragraph" w:customStyle="1" w:styleId="446">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color w:val="000000"/>
      <w:kern w:val="0"/>
      <w:szCs w:val="21"/>
    </w:rPr>
  </w:style>
  <w:style w:type="paragraph" w:customStyle="1" w:styleId="447">
    <w:name w:val="xl90"/>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color w:val="000000"/>
      <w:kern w:val="0"/>
      <w:szCs w:val="21"/>
    </w:rPr>
  </w:style>
  <w:style w:type="paragraph" w:customStyle="1" w:styleId="448">
    <w:name w:val="低行距图表文字"/>
    <w:basedOn w:val="124"/>
    <w:qFormat/>
    <w:uiPriority w:val="0"/>
    <w:pPr>
      <w:widowControl/>
      <w:spacing w:line="240" w:lineRule="exact"/>
    </w:pPr>
    <w:rPr>
      <w:rFonts w:hAnsi="仿宋_GB2312" w:cs="宋体"/>
      <w:kern w:val="0"/>
    </w:rPr>
  </w:style>
  <w:style w:type="paragraph" w:customStyle="1" w:styleId="449">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450">
    <w:name w:val="列出段落1"/>
    <w:basedOn w:val="1"/>
    <w:qFormat/>
    <w:uiPriority w:val="0"/>
    <w:pPr>
      <w:ind w:firstLine="420" w:firstLineChars="200"/>
    </w:pPr>
    <w:rPr>
      <w:rFonts w:ascii="Calibri" w:hAnsi="Calibri"/>
      <w:szCs w:val="22"/>
    </w:rPr>
  </w:style>
  <w:style w:type="character" w:customStyle="1" w:styleId="451">
    <w:name w:val="页眉zxl Char"/>
    <w:qFormat/>
    <w:uiPriority w:val="0"/>
    <w:rPr>
      <w:rFonts w:eastAsia="宋体"/>
      <w:kern w:val="2"/>
      <w:sz w:val="18"/>
      <w:szCs w:val="18"/>
      <w:lang w:val="en-US" w:eastAsia="zh-CN" w:bidi="ar-SA"/>
    </w:rPr>
  </w:style>
  <w:style w:type="paragraph" w:customStyle="1" w:styleId="452">
    <w:name w:val="表－居中列"/>
    <w:basedOn w:val="1"/>
    <w:link w:val="456"/>
    <w:qFormat/>
    <w:uiPriority w:val="0"/>
    <w:pPr>
      <w:suppressLineNumbers/>
      <w:suppressAutoHyphens/>
      <w:snapToGrid w:val="0"/>
      <w:spacing w:before="60" w:after="60"/>
      <w:jc w:val="left"/>
    </w:pPr>
    <w:rPr>
      <w:kern w:val="0"/>
      <w:szCs w:val="21"/>
      <w:lang w:eastAsia="ja-JP"/>
    </w:rPr>
  </w:style>
  <w:style w:type="paragraph" w:customStyle="1" w:styleId="453">
    <w:name w:val="Body Text Ind"/>
    <w:basedOn w:val="1"/>
    <w:qFormat/>
    <w:uiPriority w:val="0"/>
    <w:pPr>
      <w:adjustRightInd w:val="0"/>
      <w:spacing w:line="300" w:lineRule="auto"/>
      <w:ind w:firstLine="540"/>
      <w:jc w:val="left"/>
      <w:textAlignment w:val="baseline"/>
    </w:pPr>
    <w:rPr>
      <w:snapToGrid w:val="0"/>
      <w:kern w:val="28"/>
      <w:sz w:val="28"/>
      <w:szCs w:val="28"/>
    </w:rPr>
  </w:style>
  <w:style w:type="paragraph" w:customStyle="1" w:styleId="454">
    <w:name w:val="样式 标题 3标题 3zymH3条标题1.1.1 + 楷体_GB2312 段前: 6 磅 段后: 6 磅 行距: 固..."/>
    <w:basedOn w:val="4"/>
    <w:qFormat/>
    <w:uiPriority w:val="0"/>
    <w:pPr>
      <w:tabs>
        <w:tab w:val="left" w:pos="720"/>
      </w:tabs>
      <w:spacing w:before="120" w:after="120" w:line="240" w:lineRule="auto"/>
      <w:ind w:left="720" w:hanging="720"/>
    </w:pPr>
    <w:rPr>
      <w:rFonts w:ascii="仿宋_GB2312" w:hAnsi="宋体" w:eastAsia="仿宋_GB2312" w:cs="宋体"/>
      <w:kern w:val="0"/>
      <w:sz w:val="28"/>
      <w:szCs w:val="20"/>
    </w:rPr>
  </w:style>
  <w:style w:type="paragraph" w:customStyle="1" w:styleId="455">
    <w:name w:val="Char130"/>
    <w:basedOn w:val="1"/>
    <w:qFormat/>
    <w:uiPriority w:val="0"/>
    <w:pPr>
      <w:snapToGrid w:val="0"/>
      <w:spacing w:line="360" w:lineRule="auto"/>
      <w:ind w:firstLine="200" w:firstLineChars="200"/>
    </w:pPr>
    <w:rPr>
      <w:rFonts w:eastAsia="仿宋_GB2312"/>
      <w:sz w:val="24"/>
    </w:rPr>
  </w:style>
  <w:style w:type="character" w:customStyle="1" w:styleId="456">
    <w:name w:val="表－居中列 Char"/>
    <w:link w:val="452"/>
    <w:qFormat/>
    <w:uiPriority w:val="0"/>
    <w:rPr>
      <w:rFonts w:cs="Arial"/>
      <w:sz w:val="21"/>
      <w:szCs w:val="21"/>
      <w:lang w:eastAsia="ja-JP"/>
    </w:rPr>
  </w:style>
  <w:style w:type="paragraph" w:customStyle="1" w:styleId="457">
    <w:name w:val="样式 (西文) Arial (中文) 仿宋_GB2312 四号 黑色 首行缩进:  0.85 厘米 行距: 多倍行距 ..."/>
    <w:basedOn w:val="1"/>
    <w:qFormat/>
    <w:uiPriority w:val="0"/>
    <w:pPr>
      <w:widowControl/>
      <w:spacing w:line="480" w:lineRule="auto"/>
      <w:ind w:firstLine="480"/>
      <w:jc w:val="left"/>
    </w:pPr>
    <w:rPr>
      <w:rFonts w:ascii="Arial" w:hAnsi="Arial" w:eastAsia="仿宋_GB2312" w:cs="宋体"/>
      <w:color w:val="000000"/>
      <w:kern w:val="0"/>
      <w:sz w:val="28"/>
      <w:szCs w:val="20"/>
    </w:rPr>
  </w:style>
  <w:style w:type="paragraph" w:customStyle="1" w:styleId="458">
    <w:name w:val="谏壁标题4(chen)"/>
    <w:basedOn w:val="1"/>
    <w:qFormat/>
    <w:uiPriority w:val="0"/>
    <w:pPr>
      <w:widowControl/>
      <w:snapToGrid w:val="0"/>
      <w:spacing w:beforeLines="50" w:line="360" w:lineRule="auto"/>
      <w:ind w:firstLine="200" w:firstLineChars="200"/>
      <w:jc w:val="left"/>
    </w:pPr>
    <w:rPr>
      <w:rFonts w:ascii="宋体" w:hAnsi="宋体" w:eastAsia="楷体_GB2312" w:cs="宋体"/>
      <w:kern w:val="0"/>
      <w:sz w:val="28"/>
    </w:rPr>
  </w:style>
  <w:style w:type="paragraph" w:customStyle="1" w:styleId="459">
    <w:name w:val="正文文本2"/>
    <w:qFormat/>
    <w:uiPriority w:val="0"/>
    <w:pPr>
      <w:tabs>
        <w:tab w:val="left" w:pos="425"/>
        <w:tab w:val="left" w:pos="850"/>
      </w:tabs>
      <w:spacing w:after="283" w:line="260" w:lineRule="atLeast"/>
      <w:jc w:val="both"/>
    </w:pPr>
    <w:rPr>
      <w:rFonts w:ascii="StempelGaramond Roman" w:hAnsi="StempelGaramond Roman" w:eastAsia="宋体" w:cs="Times New Roman"/>
      <w:snapToGrid w:val="0"/>
      <w:color w:val="000000"/>
      <w:sz w:val="22"/>
      <w:lang w:val="en-GB" w:eastAsia="zh-CN" w:bidi="ar-SA"/>
    </w:rPr>
  </w:style>
  <w:style w:type="paragraph" w:customStyle="1" w:styleId="460">
    <w:name w:val="样式 题注 + 楷体_GB2312"/>
    <w:basedOn w:val="21"/>
    <w:next w:val="124"/>
    <w:link w:val="461"/>
    <w:qFormat/>
    <w:uiPriority w:val="0"/>
    <w:pPr>
      <w:keepNext/>
      <w:widowControl/>
      <w:tabs>
        <w:tab w:val="clear" w:pos="7380"/>
      </w:tabs>
      <w:overflowPunct/>
      <w:spacing w:before="0" w:afterLines="0" w:line="580" w:lineRule="exact"/>
      <w:jc w:val="center"/>
    </w:pPr>
    <w:rPr>
      <w:rFonts w:ascii="楷体_GB2312" w:hAnsi="楷体_GB2312" w:eastAsia="楷体_GB2312" w:cs="Times New Roman"/>
      <w:b/>
      <w:bCs/>
      <w:kern w:val="0"/>
      <w:sz w:val="21"/>
      <w:szCs w:val="21"/>
    </w:rPr>
  </w:style>
  <w:style w:type="character" w:customStyle="1" w:styleId="461">
    <w:name w:val="样式 题注 + 楷体_GB2312 Char"/>
    <w:link w:val="460"/>
    <w:qFormat/>
    <w:uiPriority w:val="0"/>
    <w:rPr>
      <w:rFonts w:ascii="楷体_GB2312" w:hAnsi="楷体_GB2312" w:eastAsia="楷体_GB2312"/>
      <w:b/>
      <w:bCs/>
      <w:sz w:val="21"/>
      <w:szCs w:val="21"/>
    </w:rPr>
  </w:style>
  <w:style w:type="paragraph" w:customStyle="1" w:styleId="462">
    <w:name w:val="样式 题注 + 左"/>
    <w:basedOn w:val="21"/>
    <w:qFormat/>
    <w:uiPriority w:val="0"/>
    <w:pPr>
      <w:keepNext/>
      <w:widowControl/>
      <w:tabs>
        <w:tab w:val="clear" w:pos="7380"/>
      </w:tabs>
      <w:overflowPunct/>
      <w:spacing w:before="0" w:afterLines="0" w:line="580" w:lineRule="exact"/>
      <w:jc w:val="center"/>
    </w:pPr>
    <w:rPr>
      <w:rFonts w:ascii="仿宋_GB2312" w:hAnsi="Times New Roman" w:eastAsia="仿宋_GB2312" w:cs="宋体"/>
      <w:b/>
      <w:bCs/>
      <w:kern w:val="0"/>
      <w:sz w:val="21"/>
    </w:rPr>
  </w:style>
  <w:style w:type="paragraph" w:customStyle="1" w:styleId="463">
    <w:name w:val="样式 表格文字 + 行距: 固定值 16 磅"/>
    <w:basedOn w:val="119"/>
    <w:qFormat/>
    <w:uiPriority w:val="0"/>
    <w:pPr>
      <w:tabs>
        <w:tab w:val="clear" w:pos="4153"/>
        <w:tab w:val="clear" w:pos="8306"/>
      </w:tabs>
      <w:adjustRightInd/>
      <w:snapToGrid/>
    </w:pPr>
    <w:rPr>
      <w:rFonts w:ascii="楷体_GB2312" w:eastAsia="楷体_GB2312" w:cs="宋体"/>
      <w:szCs w:val="20"/>
    </w:rPr>
  </w:style>
  <w:style w:type="paragraph" w:customStyle="1" w:styleId="464">
    <w:name w:val="样式 正文文本缩进 2 + 左侧:  0 厘米 行距: 1.5 倍行距"/>
    <w:basedOn w:val="50"/>
    <w:qFormat/>
    <w:uiPriority w:val="0"/>
    <w:pPr>
      <w:widowControl/>
      <w:jc w:val="left"/>
    </w:pPr>
    <w:rPr>
      <w:rFonts w:ascii="楷体_GB2312" w:hAnsi="宋体" w:eastAsia="楷体_GB2312" w:cs="宋体"/>
      <w:kern w:val="0"/>
      <w:szCs w:val="28"/>
    </w:rPr>
  </w:style>
  <w:style w:type="paragraph" w:customStyle="1" w:styleId="465">
    <w:name w:val="样式 四号 行距: 固定值 25 磅"/>
    <w:basedOn w:val="1"/>
    <w:qFormat/>
    <w:uiPriority w:val="0"/>
    <w:pPr>
      <w:widowControl/>
      <w:spacing w:line="500" w:lineRule="exact"/>
      <w:ind w:firstLine="200" w:firstLineChars="200"/>
      <w:jc w:val="left"/>
    </w:pPr>
    <w:rPr>
      <w:rFonts w:ascii="宋体" w:hAnsi="宋体" w:eastAsia="楷体_GB2312" w:cs="宋体"/>
      <w:kern w:val="0"/>
      <w:sz w:val="28"/>
      <w:szCs w:val="20"/>
    </w:rPr>
  </w:style>
  <w:style w:type="character" w:customStyle="1" w:styleId="466">
    <w:name w:val="part"/>
    <w:basedOn w:val="94"/>
    <w:qFormat/>
    <w:uiPriority w:val="0"/>
  </w:style>
  <w:style w:type="paragraph" w:customStyle="1" w:styleId="467">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468">
    <w:name w:val="样式 样式 左侧:  2 字符 + 首行缩进:  2 字符"/>
    <w:basedOn w:val="1"/>
    <w:qFormat/>
    <w:uiPriority w:val="0"/>
    <w:pPr>
      <w:widowControl/>
      <w:spacing w:line="360" w:lineRule="auto"/>
      <w:ind w:firstLine="480" w:firstLineChars="200"/>
      <w:jc w:val="left"/>
    </w:pPr>
    <w:rPr>
      <w:rFonts w:ascii="宋体" w:hAnsi="宋体" w:cs="宋体"/>
      <w:kern w:val="0"/>
      <w:sz w:val="24"/>
      <w:szCs w:val="20"/>
    </w:rPr>
  </w:style>
  <w:style w:type="character" w:customStyle="1" w:styleId="469">
    <w:name w:val="title-blue"/>
    <w:basedOn w:val="94"/>
    <w:qFormat/>
    <w:uiPriority w:val="0"/>
  </w:style>
  <w:style w:type="character" w:customStyle="1" w:styleId="470">
    <w:name w:val="style1"/>
    <w:basedOn w:val="94"/>
    <w:qFormat/>
    <w:uiPriority w:val="0"/>
  </w:style>
  <w:style w:type="character" w:customStyle="1" w:styleId="471">
    <w:name w:val="font9black"/>
    <w:basedOn w:val="94"/>
    <w:qFormat/>
    <w:uiPriority w:val="0"/>
  </w:style>
  <w:style w:type="character" w:customStyle="1" w:styleId="472">
    <w:name w:val="style11"/>
    <w:qFormat/>
    <w:uiPriority w:val="0"/>
    <w:rPr>
      <w:b/>
      <w:bCs/>
      <w:sz w:val="24"/>
      <w:szCs w:val="24"/>
    </w:rPr>
  </w:style>
  <w:style w:type="paragraph" w:customStyle="1" w:styleId="473">
    <w:name w:val="表格内文字"/>
    <w:basedOn w:val="1"/>
    <w:qFormat/>
    <w:uiPriority w:val="0"/>
    <w:pPr>
      <w:spacing w:before="100" w:after="100" w:line="320" w:lineRule="exact"/>
      <w:jc w:val="center"/>
    </w:pPr>
    <w:rPr>
      <w:spacing w:val="10"/>
      <w:sz w:val="24"/>
      <w:szCs w:val="20"/>
    </w:rPr>
  </w:style>
  <w:style w:type="paragraph" w:customStyle="1" w:styleId="474">
    <w:name w:val="xl22"/>
    <w:basedOn w:val="1"/>
    <w:qFormat/>
    <w:uiPriority w:val="0"/>
    <w:pPr>
      <w:widowControl/>
      <w:pBdr>
        <w:bottom w:val="single" w:color="auto" w:sz="4" w:space="0"/>
        <w:right w:val="single" w:color="auto" w:sz="4" w:space="0"/>
      </w:pBdr>
      <w:spacing w:before="100" w:after="100"/>
      <w:jc w:val="center"/>
    </w:pPr>
    <w:rPr>
      <w:rFonts w:ascii="宋体" w:hAnsi="宋体"/>
      <w:kern w:val="0"/>
      <w:szCs w:val="20"/>
    </w:rPr>
  </w:style>
  <w:style w:type="paragraph" w:customStyle="1" w:styleId="475">
    <w:name w:val="xl27"/>
    <w:basedOn w:val="1"/>
    <w:qFormat/>
    <w:uiPriority w:val="0"/>
    <w:pPr>
      <w:widowControl/>
      <w:pBdr>
        <w:bottom w:val="single" w:color="auto" w:sz="12" w:space="0"/>
      </w:pBdr>
      <w:spacing w:before="100" w:after="100"/>
      <w:jc w:val="center"/>
    </w:pPr>
    <w:rPr>
      <w:rFonts w:ascii="宋体" w:hAnsi="宋体"/>
      <w:kern w:val="0"/>
      <w:szCs w:val="20"/>
    </w:rPr>
  </w:style>
  <w:style w:type="paragraph" w:customStyle="1" w:styleId="476">
    <w:name w:val="btx4"/>
    <w:basedOn w:val="1"/>
    <w:qFormat/>
    <w:uiPriority w:val="0"/>
    <w:pPr>
      <w:widowControl/>
      <w:spacing w:before="100" w:beforeAutospacing="1" w:after="100" w:afterAutospacing="1" w:line="320" w:lineRule="atLeast"/>
      <w:jc w:val="left"/>
    </w:pPr>
    <w:rPr>
      <w:rFonts w:ascii="黑体" w:hAnsi="宋体" w:eastAsia="黑体" w:cs="宋体"/>
      <w:kern w:val="0"/>
      <w:sz w:val="24"/>
    </w:rPr>
  </w:style>
  <w:style w:type="paragraph" w:customStyle="1" w:styleId="477">
    <w:name w:val="a01"/>
    <w:basedOn w:val="1"/>
    <w:qFormat/>
    <w:uiPriority w:val="0"/>
    <w:pPr>
      <w:widowControl/>
      <w:spacing w:before="100" w:beforeAutospacing="1" w:after="100" w:afterAutospacing="1"/>
      <w:jc w:val="left"/>
    </w:pPr>
    <w:rPr>
      <w:rFonts w:ascii="宋体" w:hAnsi="宋体" w:cs="宋体"/>
      <w:kern w:val="0"/>
      <w:sz w:val="24"/>
    </w:rPr>
  </w:style>
  <w:style w:type="paragraph" w:customStyle="1" w:styleId="478">
    <w:name w:val="xl3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eastAsia="Arial Unicode MS"/>
      <w:kern w:val="0"/>
      <w:sz w:val="24"/>
      <w:szCs w:val="20"/>
    </w:rPr>
  </w:style>
  <w:style w:type="paragraph" w:customStyle="1" w:styleId="479">
    <w:name w:val="xl40"/>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楷体_GB2312" w:hAnsi="Arial Unicode MS" w:eastAsia="楷体_GB2312"/>
      <w:kern w:val="0"/>
      <w:sz w:val="20"/>
      <w:szCs w:val="20"/>
    </w:rPr>
  </w:style>
  <w:style w:type="paragraph" w:customStyle="1" w:styleId="480">
    <w:name w:val="xl3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楷体_GB2312" w:hAnsi="Arial Unicode MS" w:eastAsia="楷体_GB2312"/>
      <w:kern w:val="0"/>
      <w:sz w:val="24"/>
      <w:szCs w:val="20"/>
    </w:rPr>
  </w:style>
  <w:style w:type="paragraph" w:customStyle="1" w:styleId="481">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楷体_GB2312" w:hAnsi="Arial Unicode MS" w:eastAsia="楷体_GB2312"/>
      <w:kern w:val="0"/>
      <w:sz w:val="24"/>
      <w:szCs w:val="20"/>
    </w:rPr>
  </w:style>
  <w:style w:type="paragraph" w:customStyle="1" w:styleId="482">
    <w:name w:val="xl3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楷体_GB2312" w:hAnsi="Arial Unicode MS" w:eastAsia="楷体_GB2312"/>
      <w:kern w:val="0"/>
      <w:sz w:val="24"/>
      <w:szCs w:val="20"/>
    </w:rPr>
  </w:style>
  <w:style w:type="paragraph" w:customStyle="1" w:styleId="483">
    <w:name w:val="xl42"/>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eastAsia="Arial Unicode MS"/>
      <w:kern w:val="0"/>
      <w:sz w:val="20"/>
      <w:szCs w:val="20"/>
    </w:rPr>
  </w:style>
  <w:style w:type="paragraph" w:customStyle="1" w:styleId="484">
    <w:name w:val="xl44"/>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center"/>
    </w:pPr>
    <w:rPr>
      <w:rFonts w:eastAsia="Arial Unicode MS"/>
      <w:kern w:val="0"/>
      <w:sz w:val="20"/>
      <w:szCs w:val="20"/>
    </w:rPr>
  </w:style>
  <w:style w:type="paragraph" w:customStyle="1" w:styleId="485">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楷体_GB2312" w:hAnsi="Arial Unicode MS" w:eastAsia="楷体_GB2312"/>
      <w:kern w:val="0"/>
      <w:sz w:val="20"/>
      <w:szCs w:val="20"/>
    </w:rPr>
  </w:style>
  <w:style w:type="paragraph" w:customStyle="1" w:styleId="486">
    <w:name w:val="xl41"/>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eastAsia="Arial Unicode MS"/>
      <w:kern w:val="0"/>
      <w:sz w:val="20"/>
      <w:szCs w:val="20"/>
    </w:rPr>
  </w:style>
  <w:style w:type="paragraph" w:customStyle="1" w:styleId="487">
    <w:name w:val="xl38"/>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ascii="楷体_GB2312" w:hAnsi="Arial Unicode MS" w:eastAsia="楷体_GB2312"/>
      <w:kern w:val="0"/>
      <w:sz w:val="20"/>
      <w:szCs w:val="20"/>
    </w:rPr>
  </w:style>
  <w:style w:type="paragraph" w:customStyle="1" w:styleId="488">
    <w:name w:val="xl39"/>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jc w:val="center"/>
    </w:pPr>
    <w:rPr>
      <w:rFonts w:ascii="楷体_GB2312" w:hAnsi="Arial Unicode MS" w:eastAsia="楷体_GB2312"/>
      <w:kern w:val="0"/>
      <w:sz w:val="20"/>
      <w:szCs w:val="20"/>
    </w:rPr>
  </w:style>
  <w:style w:type="paragraph" w:customStyle="1" w:styleId="489">
    <w:name w:val="MTDisplayEquation"/>
    <w:basedOn w:val="1"/>
    <w:qFormat/>
    <w:uiPriority w:val="0"/>
    <w:pPr>
      <w:tabs>
        <w:tab w:val="center" w:pos="4880"/>
        <w:tab w:val="right" w:pos="9740"/>
      </w:tabs>
      <w:jc w:val="center"/>
    </w:pPr>
    <w:rPr>
      <w:rFonts w:ascii="宋体" w:hAnsi="宋体"/>
      <w:b/>
      <w:sz w:val="28"/>
      <w:szCs w:val="20"/>
    </w:rPr>
  </w:style>
  <w:style w:type="paragraph" w:customStyle="1" w:styleId="490">
    <w:name w:val="样式 标题 2H21标题 2 Char Char节标题 1.1（一）Underrubrik1prop2Headi..."/>
    <w:basedOn w:val="3"/>
    <w:qFormat/>
    <w:uiPriority w:val="0"/>
    <w:pPr>
      <w:widowControl/>
      <w:numPr>
        <w:ilvl w:val="0"/>
        <w:numId w:val="0"/>
      </w:numPr>
      <w:tabs>
        <w:tab w:val="left" w:pos="1395"/>
        <w:tab w:val="clear" w:pos="0"/>
      </w:tabs>
      <w:spacing w:beforeLines="0" w:afterLines="0"/>
      <w:ind w:left="578" w:hanging="578"/>
      <w:jc w:val="left"/>
    </w:pPr>
    <w:rPr>
      <w:rFonts w:ascii="楷体_GB2312" w:hAnsi="楷体_GB2312" w:eastAsia="楷体_GB2312" w:cs="宋体"/>
      <w:bCs/>
      <w:spacing w:val="20"/>
      <w:szCs w:val="32"/>
    </w:rPr>
  </w:style>
  <w:style w:type="paragraph" w:customStyle="1" w:styleId="491">
    <w:name w:val="样式110"/>
    <w:basedOn w:val="276"/>
    <w:qFormat/>
    <w:uiPriority w:val="0"/>
    <w:pPr>
      <w:adjustRightInd w:val="0"/>
    </w:pPr>
    <w:rPr>
      <w:szCs w:val="24"/>
    </w:rPr>
  </w:style>
  <w:style w:type="paragraph" w:customStyle="1" w:styleId="492">
    <w:name w:val="样式 标题 4H4CharbulletblbbPIM 4h4Heading Four款标题1.1.1.1Fa..."/>
    <w:basedOn w:val="5"/>
    <w:qFormat/>
    <w:uiPriority w:val="0"/>
    <w:pPr>
      <w:widowControl/>
      <w:spacing w:before="60" w:after="60"/>
      <w:jc w:val="left"/>
    </w:pPr>
    <w:rPr>
      <w:rFonts w:ascii="楷体_GB2312" w:hAnsi="楷体_GB2312" w:eastAsia="楷体_GB2312" w:cs="宋体"/>
      <w:b/>
      <w:color w:val="0000FF"/>
      <w:kern w:val="0"/>
    </w:rPr>
  </w:style>
  <w:style w:type="paragraph" w:customStyle="1" w:styleId="493">
    <w:name w:val="xl45"/>
    <w:basedOn w:val="1"/>
    <w:qFormat/>
    <w:uiPriority w:val="0"/>
    <w:pPr>
      <w:widowControl/>
      <w:pBdr>
        <w:bottom w:val="single" w:color="auto" w:sz="8" w:space="0"/>
        <w:right w:val="single" w:color="auto" w:sz="8" w:space="0"/>
      </w:pBdr>
      <w:spacing w:before="100" w:beforeAutospacing="1" w:after="100" w:afterAutospacing="1"/>
      <w:jc w:val="center"/>
    </w:pPr>
    <w:rPr>
      <w:rFonts w:ascii="楷体_GB2312" w:hAnsi="宋体" w:eastAsia="楷体_GB2312" w:cs="宋体"/>
      <w:color w:val="000000"/>
      <w:kern w:val="0"/>
      <w:szCs w:val="21"/>
    </w:rPr>
  </w:style>
  <w:style w:type="paragraph" w:customStyle="1" w:styleId="494">
    <w:name w:val="xl46"/>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楷体_GB2312" w:hAnsi="宋体" w:eastAsia="楷体_GB2312" w:cs="宋体"/>
      <w:kern w:val="0"/>
      <w:szCs w:val="21"/>
    </w:rPr>
  </w:style>
  <w:style w:type="paragraph" w:customStyle="1" w:styleId="495">
    <w:name w:val="xl48"/>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4"/>
    </w:rPr>
  </w:style>
  <w:style w:type="character" w:customStyle="1" w:styleId="496">
    <w:name w:val="Char Char1"/>
    <w:qFormat/>
    <w:uiPriority w:val="0"/>
    <w:rPr>
      <w:rFonts w:ascii="楷体_GB2312" w:hAnsi="Arial" w:eastAsia="楷体_GB2312" w:cs="Arial"/>
      <w:b/>
      <w:sz w:val="21"/>
      <w:szCs w:val="21"/>
      <w:lang w:val="en-US" w:eastAsia="zh-CN" w:bidi="ar-SA"/>
    </w:rPr>
  </w:style>
  <w:style w:type="paragraph" w:customStyle="1" w:styleId="497">
    <w:name w:val="xl49"/>
    <w:basedOn w:val="1"/>
    <w:qFormat/>
    <w:uiPriority w:val="0"/>
    <w:pPr>
      <w:widowControl/>
      <w:pBdr>
        <w:left w:val="single" w:color="auto" w:sz="8" w:space="0"/>
        <w:bottom w:val="single" w:color="auto" w:sz="8" w:space="0"/>
        <w:right w:val="single" w:color="auto" w:sz="4" w:space="0"/>
      </w:pBdr>
      <w:spacing w:before="100" w:beforeAutospacing="1" w:after="100" w:afterAutospacing="1"/>
      <w:jc w:val="left"/>
      <w:textAlignment w:val="top"/>
    </w:pPr>
    <w:rPr>
      <w:rFonts w:ascii="楷体_GB2312" w:hAnsi="宋体" w:eastAsia="楷体_GB2312" w:cs="宋体"/>
      <w:kern w:val="0"/>
      <w:szCs w:val="21"/>
    </w:rPr>
  </w:style>
  <w:style w:type="paragraph" w:customStyle="1" w:styleId="498">
    <w:name w:val="xl50"/>
    <w:basedOn w:val="1"/>
    <w:qFormat/>
    <w:uiPriority w:val="0"/>
    <w:pPr>
      <w:widowControl/>
      <w:pBdr>
        <w:left w:val="single" w:color="auto" w:sz="8" w:space="0"/>
        <w:right w:val="single" w:color="auto" w:sz="4" w:space="0"/>
      </w:pBdr>
      <w:spacing w:before="100" w:beforeAutospacing="1" w:after="100" w:afterAutospacing="1"/>
      <w:jc w:val="center"/>
    </w:pPr>
    <w:rPr>
      <w:rFonts w:ascii="楷体_GB2312" w:hAnsi="宋体" w:eastAsia="楷体_GB2312" w:cs="宋体"/>
      <w:kern w:val="0"/>
      <w:szCs w:val="21"/>
    </w:rPr>
  </w:style>
  <w:style w:type="paragraph" w:customStyle="1" w:styleId="499">
    <w:name w:val="xl51"/>
    <w:basedOn w:val="1"/>
    <w:qFormat/>
    <w:uiPriority w:val="0"/>
    <w:pPr>
      <w:widowControl/>
      <w:pBdr>
        <w:top w:val="single" w:color="auto" w:sz="8" w:space="0"/>
        <w:left w:val="single" w:color="auto" w:sz="8" w:space="0"/>
        <w:right w:val="single" w:color="auto" w:sz="4" w:space="0"/>
      </w:pBdr>
      <w:spacing w:before="100" w:beforeAutospacing="1" w:after="100" w:afterAutospacing="1"/>
      <w:jc w:val="center"/>
      <w:textAlignment w:val="top"/>
    </w:pPr>
    <w:rPr>
      <w:rFonts w:ascii="楷体_GB2312" w:hAnsi="宋体" w:eastAsia="楷体_GB2312" w:cs="宋体"/>
      <w:kern w:val="0"/>
      <w:szCs w:val="21"/>
    </w:rPr>
  </w:style>
  <w:style w:type="paragraph" w:customStyle="1" w:styleId="500">
    <w:name w:val="xl52"/>
    <w:basedOn w:val="1"/>
    <w:qFormat/>
    <w:uiPriority w:val="0"/>
    <w:pPr>
      <w:widowControl/>
      <w:pBdr>
        <w:left w:val="single" w:color="auto" w:sz="8" w:space="0"/>
        <w:right w:val="single" w:color="auto" w:sz="4" w:space="0"/>
      </w:pBdr>
      <w:spacing w:before="100" w:beforeAutospacing="1" w:after="100" w:afterAutospacing="1"/>
      <w:jc w:val="center"/>
      <w:textAlignment w:val="top"/>
    </w:pPr>
    <w:rPr>
      <w:rFonts w:ascii="楷体_GB2312" w:hAnsi="宋体" w:eastAsia="楷体_GB2312" w:cs="宋体"/>
      <w:kern w:val="0"/>
      <w:szCs w:val="21"/>
    </w:rPr>
  </w:style>
  <w:style w:type="paragraph" w:customStyle="1" w:styleId="501">
    <w:name w:val="xl53"/>
    <w:basedOn w:val="1"/>
    <w:qFormat/>
    <w:uiPriority w:val="0"/>
    <w:pPr>
      <w:widowControl/>
      <w:pBdr>
        <w:left w:val="single" w:color="auto" w:sz="8" w:space="0"/>
        <w:bottom w:val="single" w:color="auto" w:sz="8" w:space="0"/>
        <w:right w:val="single" w:color="auto" w:sz="4" w:space="0"/>
      </w:pBdr>
      <w:spacing w:before="100" w:beforeAutospacing="1" w:after="100" w:afterAutospacing="1"/>
      <w:jc w:val="center"/>
      <w:textAlignment w:val="top"/>
    </w:pPr>
    <w:rPr>
      <w:rFonts w:ascii="楷体_GB2312" w:hAnsi="宋体" w:eastAsia="楷体_GB2312" w:cs="宋体"/>
      <w:kern w:val="0"/>
      <w:szCs w:val="21"/>
    </w:rPr>
  </w:style>
  <w:style w:type="paragraph" w:customStyle="1" w:styleId="502">
    <w:name w:val="xl55"/>
    <w:basedOn w:val="1"/>
    <w:qFormat/>
    <w:uiPriority w:val="0"/>
    <w:pPr>
      <w:widowControl/>
      <w:pBdr>
        <w:left w:val="single" w:color="auto" w:sz="8" w:space="0"/>
        <w:right w:val="single" w:color="auto" w:sz="4" w:space="0"/>
      </w:pBdr>
      <w:spacing w:before="100" w:beforeAutospacing="1" w:after="100" w:afterAutospacing="1"/>
      <w:jc w:val="left"/>
      <w:textAlignment w:val="top"/>
    </w:pPr>
    <w:rPr>
      <w:rFonts w:ascii="楷体_GB2312" w:hAnsi="宋体" w:eastAsia="楷体_GB2312" w:cs="宋体"/>
      <w:kern w:val="0"/>
      <w:szCs w:val="21"/>
    </w:rPr>
  </w:style>
  <w:style w:type="paragraph" w:customStyle="1" w:styleId="503">
    <w:name w:val="xl56"/>
    <w:basedOn w:val="1"/>
    <w:qFormat/>
    <w:uiPriority w:val="0"/>
    <w:pPr>
      <w:widowControl/>
      <w:pBdr>
        <w:top w:val="single" w:color="auto" w:sz="8" w:space="0"/>
        <w:right w:val="single" w:color="auto" w:sz="4" w:space="0"/>
      </w:pBdr>
      <w:spacing w:before="100" w:beforeAutospacing="1" w:after="100" w:afterAutospacing="1"/>
      <w:jc w:val="left"/>
      <w:textAlignment w:val="top"/>
    </w:pPr>
    <w:rPr>
      <w:rFonts w:ascii="楷体_GB2312" w:hAnsi="宋体" w:eastAsia="楷体_GB2312" w:cs="宋体"/>
      <w:kern w:val="0"/>
      <w:szCs w:val="21"/>
    </w:rPr>
  </w:style>
  <w:style w:type="paragraph" w:customStyle="1" w:styleId="504">
    <w:name w:val="xl57"/>
    <w:basedOn w:val="1"/>
    <w:qFormat/>
    <w:uiPriority w:val="0"/>
    <w:pPr>
      <w:widowControl/>
      <w:pBdr>
        <w:right w:val="single" w:color="auto" w:sz="4" w:space="0"/>
      </w:pBdr>
      <w:spacing w:before="100" w:beforeAutospacing="1" w:after="100" w:afterAutospacing="1"/>
      <w:jc w:val="left"/>
      <w:textAlignment w:val="top"/>
    </w:pPr>
    <w:rPr>
      <w:rFonts w:ascii="楷体_GB2312" w:hAnsi="宋体" w:eastAsia="楷体_GB2312" w:cs="宋体"/>
      <w:kern w:val="0"/>
      <w:szCs w:val="21"/>
    </w:rPr>
  </w:style>
  <w:style w:type="paragraph" w:customStyle="1" w:styleId="505">
    <w:name w:val="xl58"/>
    <w:basedOn w:val="1"/>
    <w:qFormat/>
    <w:uiPriority w:val="0"/>
    <w:pPr>
      <w:widowControl/>
      <w:pBdr>
        <w:left w:val="single" w:color="auto" w:sz="8" w:space="0"/>
        <w:right w:val="single" w:color="auto" w:sz="4" w:space="0"/>
      </w:pBdr>
      <w:spacing w:before="100" w:beforeAutospacing="1" w:after="100" w:afterAutospacing="1"/>
      <w:jc w:val="center"/>
      <w:textAlignment w:val="top"/>
    </w:pPr>
    <w:rPr>
      <w:rFonts w:ascii="楷体_GB2312" w:hAnsi="宋体" w:eastAsia="楷体_GB2312" w:cs="宋体"/>
      <w:kern w:val="0"/>
      <w:szCs w:val="21"/>
    </w:rPr>
  </w:style>
  <w:style w:type="paragraph" w:customStyle="1" w:styleId="506">
    <w:name w:val="xl59"/>
    <w:basedOn w:val="1"/>
    <w:qFormat/>
    <w:uiPriority w:val="0"/>
    <w:pPr>
      <w:widowControl/>
      <w:pBdr>
        <w:left w:val="single" w:color="auto" w:sz="8" w:space="0"/>
        <w:bottom w:val="single" w:color="auto" w:sz="4" w:space="0"/>
        <w:right w:val="single" w:color="auto" w:sz="8" w:space="0"/>
      </w:pBdr>
      <w:spacing w:before="100" w:beforeAutospacing="1" w:after="100" w:afterAutospacing="1"/>
      <w:jc w:val="center"/>
    </w:pPr>
    <w:rPr>
      <w:rFonts w:ascii="楷体_GB2312" w:hAnsi="宋体" w:eastAsia="楷体_GB2312" w:cs="宋体"/>
      <w:kern w:val="0"/>
      <w:szCs w:val="21"/>
    </w:rPr>
  </w:style>
  <w:style w:type="paragraph" w:customStyle="1" w:styleId="507">
    <w:name w:val="xl60"/>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top"/>
    </w:pPr>
    <w:rPr>
      <w:rFonts w:ascii="楷体_GB2312" w:hAnsi="宋体" w:eastAsia="楷体_GB2312" w:cs="宋体"/>
      <w:kern w:val="0"/>
      <w:szCs w:val="21"/>
    </w:rPr>
  </w:style>
  <w:style w:type="paragraph" w:customStyle="1" w:styleId="508">
    <w:name w:val="xl61"/>
    <w:basedOn w:val="1"/>
    <w:qFormat/>
    <w:uiPriority w:val="0"/>
    <w:pPr>
      <w:widowControl/>
      <w:pBdr>
        <w:right w:val="single" w:color="auto" w:sz="8" w:space="0"/>
      </w:pBdr>
      <w:spacing w:before="100" w:beforeAutospacing="1" w:after="100" w:afterAutospacing="1"/>
      <w:jc w:val="center"/>
    </w:pPr>
    <w:rPr>
      <w:rFonts w:ascii="楷体_GB2312" w:hAnsi="宋体" w:eastAsia="楷体_GB2312" w:cs="宋体"/>
      <w:kern w:val="0"/>
      <w:szCs w:val="21"/>
    </w:rPr>
  </w:style>
  <w:style w:type="paragraph" w:customStyle="1" w:styleId="509">
    <w:name w:val="xl62"/>
    <w:basedOn w:val="1"/>
    <w:qFormat/>
    <w:uiPriority w:val="0"/>
    <w:pPr>
      <w:widowControl/>
      <w:pBdr>
        <w:top w:val="single" w:color="auto" w:sz="8" w:space="0"/>
      </w:pBdr>
      <w:spacing w:before="100" w:beforeAutospacing="1" w:after="100" w:afterAutospacing="1"/>
      <w:jc w:val="center"/>
    </w:pPr>
    <w:rPr>
      <w:rFonts w:ascii="楷体_GB2312" w:hAnsi="宋体" w:eastAsia="楷体_GB2312" w:cs="宋体"/>
      <w:kern w:val="0"/>
      <w:szCs w:val="21"/>
    </w:rPr>
  </w:style>
  <w:style w:type="character" w:customStyle="1" w:styleId="510">
    <w:name w:val="Char Char2"/>
    <w:qFormat/>
    <w:uiPriority w:val="0"/>
    <w:rPr>
      <w:rFonts w:ascii="Arial" w:hAnsi="Arial" w:eastAsia="楷体_GB2312" w:cs="Arial"/>
      <w:b/>
      <w:sz w:val="24"/>
      <w:lang w:val="en-US" w:eastAsia="zh-CN" w:bidi="ar-SA"/>
    </w:rPr>
  </w:style>
  <w:style w:type="paragraph" w:customStyle="1" w:styleId="511">
    <w:name w:val="proposal"/>
    <w:basedOn w:val="1"/>
    <w:qFormat/>
    <w:uiPriority w:val="0"/>
    <w:pPr>
      <w:widowControl/>
      <w:autoSpaceDE w:val="0"/>
      <w:autoSpaceDN w:val="0"/>
      <w:spacing w:line="300" w:lineRule="auto"/>
      <w:ind w:left="1440" w:hanging="1440"/>
    </w:pPr>
    <w:rPr>
      <w:kern w:val="0"/>
      <w:sz w:val="24"/>
      <w:lang w:val="en-GB" w:eastAsia="en-GB"/>
    </w:rPr>
  </w:style>
  <w:style w:type="character" w:customStyle="1" w:styleId="512">
    <w:name w:val="正文（行首缩进2字） Char"/>
    <w:link w:val="233"/>
    <w:qFormat/>
    <w:uiPriority w:val="0"/>
    <w:rPr>
      <w:kern w:val="2"/>
      <w:sz w:val="28"/>
      <w:szCs w:val="24"/>
    </w:rPr>
  </w:style>
  <w:style w:type="character" w:customStyle="1" w:styleId="513">
    <w:name w:val="apple-style-span"/>
    <w:basedOn w:val="94"/>
    <w:qFormat/>
    <w:uiPriority w:val="0"/>
  </w:style>
  <w:style w:type="character" w:customStyle="1" w:styleId="514">
    <w:name w:val="题注 Char1"/>
    <w:qFormat/>
    <w:uiPriority w:val="0"/>
    <w:rPr>
      <w:rFonts w:ascii="Arial" w:hAnsi="Arial" w:eastAsia="楷体_GB2312" w:cs="Arial"/>
      <w:b/>
      <w:sz w:val="24"/>
      <w:lang w:val="en-US" w:eastAsia="zh-CN" w:bidi="ar-SA"/>
    </w:rPr>
  </w:style>
  <w:style w:type="character" w:customStyle="1" w:styleId="515">
    <w:name w:val="apple-converted-space"/>
    <w:basedOn w:val="94"/>
    <w:qFormat/>
    <w:uiPriority w:val="0"/>
  </w:style>
  <w:style w:type="paragraph" w:customStyle="1" w:styleId="516">
    <w:name w:val="Char1 Char Char Char Char Char1 Char"/>
    <w:basedOn w:val="1"/>
    <w:semiHidden/>
    <w:qFormat/>
    <w:uiPriority w:val="0"/>
    <w:rPr>
      <w:szCs w:val="21"/>
    </w:rPr>
  </w:style>
  <w:style w:type="character" w:customStyle="1" w:styleId="517">
    <w:name w:val="trans"/>
    <w:basedOn w:val="94"/>
    <w:qFormat/>
    <w:uiPriority w:val="0"/>
  </w:style>
  <w:style w:type="character" w:customStyle="1" w:styleId="518">
    <w:name w:val="reflink plainlinks nourlexpansion"/>
    <w:basedOn w:val="94"/>
    <w:qFormat/>
    <w:uiPriority w:val="0"/>
  </w:style>
  <w:style w:type="character" w:customStyle="1" w:styleId="519">
    <w:name w:val="Char Char6"/>
    <w:qFormat/>
    <w:uiPriority w:val="0"/>
    <w:rPr>
      <w:rFonts w:eastAsia="宋体"/>
      <w:kern w:val="2"/>
      <w:sz w:val="24"/>
      <w:lang w:val="en-US" w:eastAsia="zh-CN" w:bidi="ar-SA"/>
    </w:rPr>
  </w:style>
  <w:style w:type="character" w:customStyle="1" w:styleId="520">
    <w:name w:val="标题 字符"/>
    <w:link w:val="83"/>
    <w:qFormat/>
    <w:uiPriority w:val="0"/>
    <w:rPr>
      <w:rFonts w:ascii="Arial" w:hAnsi="Arial" w:cs="Arial"/>
      <w:b/>
      <w:bCs/>
      <w:kern w:val="2"/>
      <w:sz w:val="32"/>
      <w:szCs w:val="32"/>
    </w:rPr>
  </w:style>
  <w:style w:type="paragraph" w:customStyle="1" w:styleId="521">
    <w:name w:val="目录标题"/>
    <w:basedOn w:val="20"/>
    <w:qFormat/>
    <w:uiPriority w:val="0"/>
    <w:pPr>
      <w:tabs>
        <w:tab w:val="right" w:leader="dot" w:pos="8296"/>
      </w:tabs>
      <w:spacing w:line="440" w:lineRule="exact"/>
      <w:ind w:firstLine="482"/>
      <w:jc w:val="center"/>
    </w:pPr>
    <w:rPr>
      <w:rFonts w:ascii="宋体" w:hAnsi="宋体"/>
      <w:b/>
      <w:sz w:val="32"/>
    </w:rPr>
  </w:style>
  <w:style w:type="paragraph" w:customStyle="1" w:styleId="522">
    <w:name w:val="样式 楷体_GB2312 居中"/>
    <w:basedOn w:val="1"/>
    <w:qFormat/>
    <w:uiPriority w:val="0"/>
    <w:pPr>
      <w:spacing w:line="360" w:lineRule="auto"/>
      <w:jc w:val="center"/>
    </w:pPr>
    <w:rPr>
      <w:rFonts w:ascii="楷体_GB2312" w:eastAsia="楷体_GB2312"/>
      <w:szCs w:val="20"/>
    </w:rPr>
  </w:style>
  <w:style w:type="character" w:customStyle="1" w:styleId="523">
    <w:name w:val="style7"/>
    <w:basedOn w:val="94"/>
    <w:qFormat/>
    <w:uiPriority w:val="0"/>
  </w:style>
  <w:style w:type="character" w:customStyle="1" w:styleId="524">
    <w:name w:val="unnamed11"/>
    <w:qFormat/>
    <w:uiPriority w:val="0"/>
    <w:rPr>
      <w:b/>
      <w:bCs/>
      <w:color w:val="3366CC"/>
      <w:sz w:val="21"/>
      <w:szCs w:val="21"/>
    </w:rPr>
  </w:style>
  <w:style w:type="character" w:customStyle="1" w:styleId="525">
    <w:name w:val="标题5"/>
    <w:basedOn w:val="94"/>
    <w:qFormat/>
    <w:uiPriority w:val="0"/>
  </w:style>
  <w:style w:type="paragraph" w:customStyle="1" w:styleId="526">
    <w:name w:val="IDC A-Head (2nd Line)"/>
    <w:basedOn w:val="1"/>
    <w:next w:val="1"/>
    <w:qFormat/>
    <w:uiPriority w:val="0"/>
    <w:pPr>
      <w:widowControl/>
      <w:tabs>
        <w:tab w:val="left" w:pos="425"/>
      </w:tabs>
      <w:ind w:left="425" w:hanging="425"/>
      <w:jc w:val="center"/>
    </w:pPr>
    <w:rPr>
      <w:caps/>
      <w:kern w:val="0"/>
      <w:sz w:val="24"/>
      <w:szCs w:val="20"/>
    </w:rPr>
  </w:style>
  <w:style w:type="paragraph" w:customStyle="1" w:styleId="527">
    <w:name w:val="四级条标题"/>
    <w:basedOn w:val="170"/>
    <w:next w:val="1"/>
    <w:qFormat/>
    <w:uiPriority w:val="0"/>
    <w:pPr>
      <w:tabs>
        <w:tab w:val="left" w:pos="360"/>
        <w:tab w:val="clear" w:pos="2160"/>
        <w:tab w:val="clear" w:pos="2580"/>
      </w:tabs>
      <w:outlineLvl w:val="5"/>
    </w:pPr>
    <w:rPr>
      <w:szCs w:val="20"/>
    </w:rPr>
  </w:style>
  <w:style w:type="paragraph" w:customStyle="1" w:styleId="528">
    <w:name w:val="表格编号"/>
    <w:basedOn w:val="1"/>
    <w:next w:val="1"/>
    <w:qFormat/>
    <w:uiPriority w:val="0"/>
    <w:pPr>
      <w:spacing w:before="300" w:after="200"/>
      <w:ind w:left="964" w:hanging="425"/>
      <w:jc w:val="center"/>
    </w:pPr>
    <w:rPr>
      <w:sz w:val="24"/>
      <w:szCs w:val="20"/>
    </w:rPr>
  </w:style>
  <w:style w:type="paragraph" w:customStyle="1" w:styleId="529">
    <w:name w:val="wj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530">
    <w:name w:val="表中文字1"/>
    <w:qFormat/>
    <w:uiPriority w:val="0"/>
    <w:pPr>
      <w:widowControl w:val="0"/>
      <w:adjustRightInd w:val="0"/>
      <w:snapToGrid w:val="0"/>
      <w:spacing w:line="280" w:lineRule="exact"/>
      <w:jc w:val="center"/>
    </w:pPr>
    <w:rPr>
      <w:rFonts w:ascii="仿宋_GB2312" w:hAnsi="Times New Roman" w:eastAsia="仿宋_GB2312" w:cs="Times New Roman"/>
      <w:kern w:val="2"/>
      <w:sz w:val="24"/>
      <w:szCs w:val="24"/>
      <w:lang w:val="en-US" w:eastAsia="zh-CN" w:bidi="ar-SA"/>
    </w:rPr>
  </w:style>
  <w:style w:type="paragraph" w:customStyle="1" w:styleId="531">
    <w:name w:val="1表格"/>
    <w:basedOn w:val="1"/>
    <w:qFormat/>
    <w:uiPriority w:val="0"/>
    <w:pPr>
      <w:adjustRightInd w:val="0"/>
      <w:snapToGrid w:val="0"/>
      <w:jc w:val="center"/>
      <w:textAlignment w:val="baseline"/>
    </w:pPr>
    <w:rPr>
      <w:rFonts w:ascii="宋体" w:hAnsi="宋体" w:cs="宋体"/>
      <w:spacing w:val="4"/>
      <w:sz w:val="24"/>
    </w:rPr>
  </w:style>
  <w:style w:type="paragraph" w:customStyle="1" w:styleId="532">
    <w:name w:val="_Style 1"/>
    <w:basedOn w:val="1"/>
    <w:next w:val="20"/>
    <w:qFormat/>
    <w:uiPriority w:val="0"/>
    <w:pPr>
      <w:adjustRightInd w:val="0"/>
      <w:spacing w:line="288" w:lineRule="auto"/>
      <w:ind w:firstLine="480"/>
      <w:textAlignment w:val="baseline"/>
    </w:pPr>
    <w:rPr>
      <w:rFonts w:ascii="宋体" w:hAnsi="宋体" w:cs="宋体"/>
      <w:sz w:val="24"/>
    </w:rPr>
  </w:style>
  <w:style w:type="paragraph" w:customStyle="1" w:styleId="533">
    <w:name w:val="新正文样式"/>
    <w:basedOn w:val="1"/>
    <w:qFormat/>
    <w:uiPriority w:val="0"/>
    <w:pPr>
      <w:tabs>
        <w:tab w:val="left" w:pos="567"/>
      </w:tabs>
      <w:spacing w:line="360" w:lineRule="auto"/>
      <w:ind w:firstLine="567"/>
    </w:pPr>
    <w:rPr>
      <w:spacing w:val="20"/>
      <w:sz w:val="24"/>
    </w:rPr>
  </w:style>
  <w:style w:type="paragraph" w:customStyle="1" w:styleId="534">
    <w:name w:val="宏福4"/>
    <w:basedOn w:val="1"/>
    <w:qFormat/>
    <w:uiPriority w:val="0"/>
    <w:pPr>
      <w:adjustRightInd w:val="0"/>
      <w:spacing w:line="400" w:lineRule="atLeast"/>
      <w:ind w:firstLine="567"/>
      <w:jc w:val="left"/>
      <w:textAlignment w:val="baseline"/>
    </w:pPr>
    <w:rPr>
      <w:sz w:val="28"/>
      <w:szCs w:val="28"/>
    </w:rPr>
  </w:style>
  <w:style w:type="character" w:customStyle="1" w:styleId="535">
    <w:name w:val="style191"/>
    <w:qFormat/>
    <w:uiPriority w:val="0"/>
    <w:rPr>
      <w:b/>
      <w:bCs/>
      <w:color w:val="FF0000"/>
    </w:rPr>
  </w:style>
  <w:style w:type="paragraph" w:customStyle="1" w:styleId="536">
    <w:name w:val="项目编号"/>
    <w:basedOn w:val="1"/>
    <w:next w:val="1"/>
    <w:qFormat/>
    <w:uiPriority w:val="0"/>
    <w:pPr>
      <w:spacing w:before="120" w:after="120" w:line="360" w:lineRule="auto"/>
    </w:pPr>
    <w:rPr>
      <w:sz w:val="24"/>
      <w:szCs w:val="20"/>
    </w:rPr>
  </w:style>
  <w:style w:type="paragraph" w:customStyle="1" w:styleId="537">
    <w:name w:val="表序号"/>
    <w:basedOn w:val="6"/>
    <w:qFormat/>
    <w:uiPriority w:val="0"/>
    <w:pPr>
      <w:tabs>
        <w:tab w:val="left" w:pos="3093"/>
      </w:tabs>
      <w:spacing w:before="0" w:after="0" w:line="360" w:lineRule="auto"/>
      <w:ind w:left="3093" w:hanging="420"/>
      <w:jc w:val="center"/>
    </w:pPr>
    <w:rPr>
      <w:rFonts w:ascii="宋体" w:hAnsi="Arial" w:eastAsia="宋体"/>
      <w:bCs w:val="0"/>
      <w:sz w:val="24"/>
      <w:szCs w:val="20"/>
    </w:rPr>
  </w:style>
  <w:style w:type="paragraph" w:customStyle="1" w:styleId="538">
    <w:name w:val="图编号"/>
    <w:basedOn w:val="119"/>
    <w:qFormat/>
    <w:uiPriority w:val="0"/>
    <w:pPr>
      <w:tabs>
        <w:tab w:val="left" w:pos="432"/>
        <w:tab w:val="left" w:pos="763"/>
        <w:tab w:val="clear" w:pos="4153"/>
        <w:tab w:val="clear" w:pos="8306"/>
      </w:tabs>
      <w:adjustRightInd/>
      <w:snapToGrid/>
      <w:spacing w:before="300" w:after="300" w:line="360" w:lineRule="auto"/>
      <w:ind w:firstLine="403"/>
    </w:pPr>
    <w:rPr>
      <w:rFonts w:eastAsia="宋体"/>
      <w:sz w:val="24"/>
      <w:szCs w:val="20"/>
    </w:rPr>
  </w:style>
  <w:style w:type="paragraph" w:customStyle="1" w:styleId="539">
    <w:name w:val="表格内容"/>
    <w:basedOn w:val="1"/>
    <w:link w:val="1174"/>
    <w:qFormat/>
    <w:uiPriority w:val="0"/>
    <w:pPr>
      <w:overflowPunct w:val="0"/>
      <w:adjustRightInd w:val="0"/>
      <w:spacing w:before="40" w:after="60" w:line="200" w:lineRule="atLeast"/>
      <w:textAlignment w:val="baseline"/>
    </w:pPr>
    <w:rPr>
      <w:rFonts w:ascii="Arial" w:hAnsi="Arial" w:eastAsia="仿宋_GB2312"/>
      <w:kern w:val="0"/>
      <w:sz w:val="24"/>
      <w:szCs w:val="20"/>
    </w:rPr>
  </w:style>
  <w:style w:type="paragraph" w:customStyle="1" w:styleId="540">
    <w:name w:val="表"/>
    <w:basedOn w:val="1"/>
    <w:next w:val="65"/>
    <w:qFormat/>
    <w:uiPriority w:val="0"/>
    <w:pPr>
      <w:jc w:val="center"/>
    </w:pPr>
    <w:rPr>
      <w:rFonts w:ascii="宋体" w:hAnsi="Arial Black"/>
      <w:kern w:val="21"/>
      <w:szCs w:val="20"/>
    </w:rPr>
  </w:style>
  <w:style w:type="paragraph" w:customStyle="1" w:styleId="541">
    <w:name w:val="公式"/>
    <w:qFormat/>
    <w:uiPriority w:val="0"/>
    <w:pPr>
      <w:jc w:val="center"/>
    </w:pPr>
    <w:rPr>
      <w:rFonts w:ascii="Times New Roman" w:hAnsi="Times New Roman" w:eastAsia="宋体" w:cs="Times New Roman"/>
      <w:sz w:val="28"/>
      <w:lang w:val="en-US" w:eastAsia="zh-CN" w:bidi="ar-SA"/>
    </w:rPr>
  </w:style>
  <w:style w:type="paragraph" w:customStyle="1" w:styleId="542">
    <w:name w:val="公式样式1"/>
    <w:basedOn w:val="1"/>
    <w:qFormat/>
    <w:uiPriority w:val="0"/>
    <w:pPr>
      <w:spacing w:line="360" w:lineRule="auto"/>
      <w:ind w:firstLine="235" w:firstLineChars="100"/>
    </w:pPr>
    <w:rPr>
      <w:rFonts w:ascii="宋体" w:hAnsi="Arial Black"/>
      <w:szCs w:val="20"/>
    </w:rPr>
  </w:style>
  <w:style w:type="paragraph" w:customStyle="1" w:styleId="543">
    <w:name w:val="小五表文"/>
    <w:qFormat/>
    <w:uiPriority w:val="0"/>
    <w:pPr>
      <w:jc w:val="center"/>
    </w:pPr>
    <w:rPr>
      <w:rFonts w:ascii="Times New Roman" w:hAnsi="Times New Roman" w:eastAsia="仿宋_GB2312" w:cs="Times New Roman"/>
      <w:sz w:val="18"/>
      <w:lang w:val="en-US" w:eastAsia="zh-CN" w:bidi="ar-SA"/>
    </w:rPr>
  </w:style>
  <w:style w:type="paragraph" w:customStyle="1" w:styleId="544">
    <w:name w:val="注解"/>
    <w:qFormat/>
    <w:uiPriority w:val="0"/>
    <w:pPr>
      <w:widowControl w:val="0"/>
      <w:jc w:val="center"/>
    </w:pPr>
    <w:rPr>
      <w:rFonts w:ascii="宋体" w:hAnsi="Arial Black" w:eastAsia="宋体" w:cs="Times New Roman"/>
      <w:kern w:val="2"/>
      <w:sz w:val="18"/>
      <w:lang w:val="en-US" w:eastAsia="zh-CN" w:bidi="ar-SA"/>
    </w:rPr>
  </w:style>
  <w:style w:type="character" w:customStyle="1" w:styleId="545">
    <w:name w:val="paragragh1"/>
    <w:qFormat/>
    <w:uiPriority w:val="0"/>
    <w:rPr>
      <w:color w:val="004040"/>
      <w:spacing w:val="300"/>
      <w:sz w:val="21"/>
      <w:szCs w:val="21"/>
    </w:rPr>
  </w:style>
  <w:style w:type="paragraph" w:customStyle="1" w:styleId="546">
    <w:name w:val="cdb"/>
    <w:basedOn w:val="1"/>
    <w:qFormat/>
    <w:uiPriority w:val="0"/>
    <w:pPr>
      <w:spacing w:before="120"/>
      <w:ind w:left="851" w:firstLine="482"/>
    </w:pPr>
    <w:rPr>
      <w:szCs w:val="20"/>
    </w:rPr>
  </w:style>
  <w:style w:type="paragraph" w:customStyle="1" w:styleId="547">
    <w:name w:val="font0"/>
    <w:basedOn w:val="1"/>
    <w:qFormat/>
    <w:uiPriority w:val="0"/>
    <w:pPr>
      <w:widowControl/>
      <w:spacing w:before="100" w:beforeAutospacing="1" w:after="100" w:afterAutospacing="1"/>
      <w:jc w:val="left"/>
    </w:pPr>
    <w:rPr>
      <w:rFonts w:hint="eastAsia" w:ascii="宋体" w:hAnsi="宋体"/>
      <w:kern w:val="0"/>
    </w:rPr>
  </w:style>
  <w:style w:type="paragraph" w:customStyle="1" w:styleId="548">
    <w:name w:val="xl108"/>
    <w:basedOn w:val="1"/>
    <w:qFormat/>
    <w:uiPriority w:val="0"/>
    <w:pPr>
      <w:widowControl/>
      <w:pBdr>
        <w:bottom w:val="single" w:color="auto" w:sz="8"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549">
    <w:name w:val="xl109"/>
    <w:basedOn w:val="1"/>
    <w:qFormat/>
    <w:uiPriority w:val="0"/>
    <w:pPr>
      <w:widowControl/>
      <w:pBdr>
        <w:top w:val="single" w:color="auto" w:sz="12" w:space="0"/>
        <w:bottom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550">
    <w:name w:val="xl110"/>
    <w:basedOn w:val="1"/>
    <w:qFormat/>
    <w:uiPriority w:val="0"/>
    <w:pPr>
      <w:widowControl/>
      <w:pBdr>
        <w:top w:val="single" w:color="auto" w:sz="12" w:space="0"/>
        <w:bottom w:val="single" w:color="auto" w:sz="8" w:space="0"/>
      </w:pBdr>
      <w:spacing w:before="100" w:beforeAutospacing="1" w:after="100" w:afterAutospacing="1"/>
      <w:jc w:val="center"/>
      <w:textAlignment w:val="center"/>
    </w:pPr>
    <w:rPr>
      <w:rFonts w:ascii="Arial Unicode MS" w:hAnsi="Arial Unicode MS"/>
      <w:kern w:val="0"/>
    </w:rPr>
  </w:style>
  <w:style w:type="paragraph" w:customStyle="1" w:styleId="551">
    <w:name w:val="xl111"/>
    <w:basedOn w:val="1"/>
    <w:qFormat/>
    <w:uiPriority w:val="0"/>
    <w:pPr>
      <w:widowControl/>
      <w:pBdr>
        <w:top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552">
    <w:name w:val="xl112"/>
    <w:basedOn w:val="1"/>
    <w:qFormat/>
    <w:uiPriority w:val="0"/>
    <w:pPr>
      <w:widowControl/>
      <w:pBdr>
        <w:right w:val="single" w:color="auto" w:sz="8" w:space="0"/>
      </w:pBdr>
      <w:spacing w:before="100" w:beforeAutospacing="1" w:after="100" w:afterAutospacing="1"/>
      <w:jc w:val="left"/>
    </w:pPr>
    <w:rPr>
      <w:rFonts w:ascii="Arial Unicode MS" w:hAnsi="Arial Unicode MS"/>
      <w:kern w:val="0"/>
      <w:sz w:val="16"/>
      <w:szCs w:val="16"/>
    </w:rPr>
  </w:style>
  <w:style w:type="paragraph" w:customStyle="1" w:styleId="553">
    <w:name w:val="xl113"/>
    <w:basedOn w:val="1"/>
    <w:qFormat/>
    <w:uiPriority w:val="0"/>
    <w:pPr>
      <w:widowControl/>
      <w:pBdr>
        <w:top w:val="single" w:color="auto" w:sz="8" w:space="0"/>
        <w:bottom w:val="single" w:color="auto" w:sz="12" w:space="0"/>
      </w:pBdr>
      <w:spacing w:before="100" w:beforeAutospacing="1" w:after="100" w:afterAutospacing="1"/>
      <w:jc w:val="left"/>
    </w:pPr>
    <w:rPr>
      <w:rFonts w:ascii="Arial Unicode MS" w:hAnsi="Arial Unicode MS"/>
      <w:kern w:val="0"/>
      <w:sz w:val="16"/>
      <w:szCs w:val="16"/>
    </w:rPr>
  </w:style>
  <w:style w:type="paragraph" w:customStyle="1" w:styleId="554">
    <w:name w:val="xl114"/>
    <w:basedOn w:val="1"/>
    <w:qFormat/>
    <w:uiPriority w:val="0"/>
    <w:pPr>
      <w:widowControl/>
      <w:pBdr>
        <w:left w:val="single" w:color="auto" w:sz="8" w:space="0"/>
      </w:pBdr>
      <w:spacing w:before="100" w:beforeAutospacing="1" w:after="100" w:afterAutospacing="1"/>
      <w:jc w:val="left"/>
    </w:pPr>
    <w:rPr>
      <w:rFonts w:ascii="Arial Unicode MS" w:hAnsi="Arial Unicode MS"/>
      <w:kern w:val="0"/>
      <w:sz w:val="16"/>
      <w:szCs w:val="16"/>
    </w:rPr>
  </w:style>
  <w:style w:type="paragraph" w:customStyle="1" w:styleId="555">
    <w:name w:val="xl116"/>
    <w:basedOn w:val="1"/>
    <w:qFormat/>
    <w:uiPriority w:val="0"/>
    <w:pPr>
      <w:widowControl/>
      <w:pBdr>
        <w:bottom w:val="single" w:color="auto" w:sz="8" w:space="0"/>
      </w:pBdr>
      <w:spacing w:before="100" w:beforeAutospacing="1" w:after="100" w:afterAutospacing="1"/>
      <w:jc w:val="left"/>
    </w:pPr>
    <w:rPr>
      <w:rFonts w:ascii="Arial Unicode MS" w:hAnsi="Arial Unicode MS"/>
      <w:kern w:val="0"/>
      <w:sz w:val="16"/>
      <w:szCs w:val="16"/>
    </w:rPr>
  </w:style>
  <w:style w:type="paragraph" w:customStyle="1" w:styleId="556">
    <w:name w:val="xl117"/>
    <w:basedOn w:val="1"/>
    <w:qFormat/>
    <w:uiPriority w:val="0"/>
    <w:pPr>
      <w:widowControl/>
      <w:pBdr>
        <w:left w:val="single" w:color="auto" w:sz="8" w:space="0"/>
      </w:pBdr>
      <w:spacing w:before="100" w:beforeAutospacing="1" w:after="100" w:afterAutospacing="1"/>
      <w:jc w:val="left"/>
    </w:pPr>
    <w:rPr>
      <w:rFonts w:ascii="Arial Unicode MS" w:hAnsi="Arial Unicode MS"/>
      <w:kern w:val="0"/>
    </w:rPr>
  </w:style>
  <w:style w:type="paragraph" w:customStyle="1" w:styleId="557">
    <w:name w:val="xl118"/>
    <w:basedOn w:val="1"/>
    <w:qFormat/>
    <w:uiPriority w:val="0"/>
    <w:pPr>
      <w:widowControl/>
      <w:pBdr>
        <w:left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558">
    <w:name w:val="xl119"/>
    <w:basedOn w:val="1"/>
    <w:qFormat/>
    <w:uiPriority w:val="0"/>
    <w:pPr>
      <w:widowControl/>
      <w:spacing w:before="100" w:beforeAutospacing="1" w:after="100" w:afterAutospacing="1"/>
      <w:jc w:val="center"/>
      <w:textAlignment w:val="center"/>
    </w:pPr>
    <w:rPr>
      <w:rFonts w:ascii="Arial Unicode MS" w:hAnsi="Arial Unicode MS"/>
      <w:kern w:val="0"/>
      <w:sz w:val="16"/>
      <w:szCs w:val="16"/>
    </w:rPr>
  </w:style>
  <w:style w:type="paragraph" w:customStyle="1" w:styleId="559">
    <w:name w:val="xl120"/>
    <w:basedOn w:val="1"/>
    <w:qFormat/>
    <w:uiPriority w:val="0"/>
    <w:pPr>
      <w:widowControl/>
      <w:spacing w:before="100" w:beforeAutospacing="1" w:after="100" w:afterAutospacing="1"/>
      <w:jc w:val="left"/>
      <w:textAlignment w:val="center"/>
    </w:pPr>
    <w:rPr>
      <w:rFonts w:ascii="Arial Unicode MS" w:hAnsi="Arial Unicode MS"/>
      <w:kern w:val="0"/>
      <w:sz w:val="12"/>
      <w:szCs w:val="12"/>
    </w:rPr>
  </w:style>
  <w:style w:type="paragraph" w:customStyle="1" w:styleId="560">
    <w:name w:val="xl121"/>
    <w:basedOn w:val="1"/>
    <w:qFormat/>
    <w:uiPriority w:val="0"/>
    <w:pPr>
      <w:widowControl/>
      <w:spacing w:before="100" w:beforeAutospacing="1" w:after="100" w:afterAutospacing="1"/>
      <w:jc w:val="left"/>
    </w:pPr>
    <w:rPr>
      <w:rFonts w:ascii="Arial Unicode MS" w:hAnsi="Arial Unicode MS"/>
      <w:kern w:val="0"/>
      <w:sz w:val="16"/>
      <w:szCs w:val="16"/>
    </w:rPr>
  </w:style>
  <w:style w:type="paragraph" w:customStyle="1" w:styleId="561">
    <w:name w:val="xl122"/>
    <w:basedOn w:val="1"/>
    <w:qFormat/>
    <w:uiPriority w:val="0"/>
    <w:pPr>
      <w:widowControl/>
      <w:pBdr>
        <w:left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562">
    <w:name w:val="xl123"/>
    <w:basedOn w:val="1"/>
    <w:qFormat/>
    <w:uiPriority w:val="0"/>
    <w:pPr>
      <w:widowControl/>
      <w:pBdr>
        <w:top w:val="single" w:color="auto" w:sz="8" w:space="0"/>
      </w:pBdr>
      <w:spacing w:before="100" w:beforeAutospacing="1" w:after="100" w:afterAutospacing="1"/>
      <w:jc w:val="left"/>
    </w:pPr>
    <w:rPr>
      <w:rFonts w:ascii="Arial Unicode MS" w:hAnsi="Arial Unicode MS"/>
      <w:kern w:val="0"/>
      <w:sz w:val="16"/>
      <w:szCs w:val="16"/>
    </w:rPr>
  </w:style>
  <w:style w:type="paragraph" w:customStyle="1" w:styleId="563">
    <w:name w:val="xl124"/>
    <w:basedOn w:val="1"/>
    <w:qFormat/>
    <w:uiPriority w:val="0"/>
    <w:pPr>
      <w:widowControl/>
      <w:pBdr>
        <w:left w:val="single" w:color="auto" w:sz="4" w:space="0"/>
        <w:bottom w:val="single" w:color="auto" w:sz="8" w:space="0"/>
      </w:pBdr>
      <w:spacing w:before="100" w:beforeAutospacing="1" w:after="100" w:afterAutospacing="1"/>
      <w:jc w:val="left"/>
    </w:pPr>
    <w:rPr>
      <w:rFonts w:ascii="Arial Unicode MS" w:hAnsi="Arial Unicode MS"/>
      <w:kern w:val="0"/>
      <w:sz w:val="16"/>
      <w:szCs w:val="16"/>
    </w:rPr>
  </w:style>
  <w:style w:type="paragraph" w:customStyle="1" w:styleId="564">
    <w:name w:val="xl125"/>
    <w:basedOn w:val="1"/>
    <w:qFormat/>
    <w:uiPriority w:val="0"/>
    <w:pPr>
      <w:widowControl/>
      <w:spacing w:before="100" w:beforeAutospacing="1" w:after="100" w:afterAutospacing="1"/>
      <w:jc w:val="left"/>
      <w:textAlignment w:val="center"/>
    </w:pPr>
    <w:rPr>
      <w:rFonts w:ascii="Arial Unicode MS" w:hAnsi="Arial Unicode MS"/>
      <w:kern w:val="0"/>
      <w:sz w:val="16"/>
      <w:szCs w:val="16"/>
    </w:rPr>
  </w:style>
  <w:style w:type="paragraph" w:customStyle="1" w:styleId="565">
    <w:name w:val="xl126"/>
    <w:basedOn w:val="1"/>
    <w:qFormat/>
    <w:uiPriority w:val="0"/>
    <w:pPr>
      <w:widowControl/>
      <w:pBdr>
        <w:left w:val="single" w:color="auto" w:sz="4" w:space="0"/>
        <w:bottom w:val="single" w:color="auto" w:sz="8" w:space="0"/>
      </w:pBdr>
      <w:spacing w:before="100" w:beforeAutospacing="1" w:after="100" w:afterAutospacing="1"/>
      <w:jc w:val="left"/>
    </w:pPr>
    <w:rPr>
      <w:rFonts w:ascii="Arial Unicode MS" w:hAnsi="Arial Unicode MS"/>
      <w:kern w:val="0"/>
      <w:sz w:val="16"/>
      <w:szCs w:val="16"/>
    </w:rPr>
  </w:style>
  <w:style w:type="paragraph" w:customStyle="1" w:styleId="566">
    <w:name w:val="xl127"/>
    <w:basedOn w:val="1"/>
    <w:qFormat/>
    <w:uiPriority w:val="0"/>
    <w:pPr>
      <w:widowControl/>
      <w:pBdr>
        <w:top w:val="single" w:color="auto" w:sz="8" w:space="0"/>
        <w:bottom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567">
    <w:name w:val="xl128"/>
    <w:basedOn w:val="1"/>
    <w:qFormat/>
    <w:uiPriority w:val="0"/>
    <w:pPr>
      <w:widowControl/>
      <w:pBdr>
        <w:bottom w:val="single" w:color="auto" w:sz="8"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568">
    <w:name w:val="xl129"/>
    <w:basedOn w:val="1"/>
    <w:qFormat/>
    <w:uiPriority w:val="0"/>
    <w:pPr>
      <w:widowControl/>
      <w:pBdr>
        <w:right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569">
    <w:name w:val="xl130"/>
    <w:basedOn w:val="1"/>
    <w:qFormat/>
    <w:uiPriority w:val="0"/>
    <w:pPr>
      <w:widowControl/>
      <w:pBdr>
        <w:left w:val="single" w:color="auto" w:sz="4" w:space="0"/>
        <w:right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570">
    <w:name w:val="xl131"/>
    <w:basedOn w:val="1"/>
    <w:qFormat/>
    <w:uiPriority w:val="0"/>
    <w:pPr>
      <w:widowControl/>
      <w:pBdr>
        <w:left w:val="single" w:color="auto" w:sz="4" w:space="0"/>
        <w:right w:val="single" w:color="auto" w:sz="8" w:space="0"/>
      </w:pBdr>
      <w:spacing w:before="100" w:beforeAutospacing="1" w:after="100" w:afterAutospacing="1"/>
      <w:jc w:val="left"/>
    </w:pPr>
    <w:rPr>
      <w:rFonts w:ascii="Arial Unicode MS" w:hAnsi="Arial Unicode MS"/>
      <w:kern w:val="0"/>
    </w:rPr>
  </w:style>
  <w:style w:type="paragraph" w:customStyle="1" w:styleId="571">
    <w:name w:val="xl132"/>
    <w:basedOn w:val="1"/>
    <w:qFormat/>
    <w:uiPriority w:val="0"/>
    <w:pPr>
      <w:widowControl/>
      <w:pBdr>
        <w:top w:val="single" w:color="auto" w:sz="12" w:space="0"/>
        <w:left w:val="single" w:color="auto" w:sz="4" w:space="0"/>
      </w:pBdr>
      <w:spacing w:before="100" w:beforeAutospacing="1" w:after="100" w:afterAutospacing="1"/>
      <w:jc w:val="left"/>
    </w:pPr>
    <w:rPr>
      <w:rFonts w:ascii="Arial Unicode MS" w:hAnsi="Arial Unicode MS"/>
      <w:kern w:val="0"/>
      <w:sz w:val="16"/>
      <w:szCs w:val="16"/>
    </w:rPr>
  </w:style>
  <w:style w:type="paragraph" w:customStyle="1" w:styleId="572">
    <w:name w:val="xl133"/>
    <w:basedOn w:val="1"/>
    <w:qFormat/>
    <w:uiPriority w:val="0"/>
    <w:pPr>
      <w:widowControl/>
      <w:pBdr>
        <w:right w:val="single" w:color="auto" w:sz="4" w:space="0"/>
      </w:pBdr>
      <w:spacing w:before="100" w:beforeAutospacing="1" w:after="100" w:afterAutospacing="1"/>
      <w:jc w:val="center"/>
    </w:pPr>
    <w:rPr>
      <w:rFonts w:ascii="Arial Unicode MS" w:hAnsi="Arial Unicode MS"/>
      <w:kern w:val="0"/>
      <w:sz w:val="12"/>
      <w:szCs w:val="12"/>
    </w:rPr>
  </w:style>
  <w:style w:type="paragraph" w:customStyle="1" w:styleId="573">
    <w:name w:val="xl134"/>
    <w:basedOn w:val="1"/>
    <w:qFormat/>
    <w:uiPriority w:val="0"/>
    <w:pPr>
      <w:widowControl/>
      <w:spacing w:before="100" w:beforeAutospacing="1" w:after="100" w:afterAutospacing="1"/>
      <w:jc w:val="left"/>
    </w:pPr>
    <w:rPr>
      <w:rFonts w:ascii="Arial Unicode MS" w:hAnsi="Arial Unicode MS"/>
      <w:kern w:val="0"/>
      <w:sz w:val="20"/>
      <w:szCs w:val="20"/>
    </w:rPr>
  </w:style>
  <w:style w:type="paragraph" w:customStyle="1" w:styleId="574">
    <w:name w:val="xl135"/>
    <w:basedOn w:val="1"/>
    <w:qFormat/>
    <w:uiPriority w:val="0"/>
    <w:pPr>
      <w:widowControl/>
      <w:spacing w:before="100" w:beforeAutospacing="1" w:after="100" w:afterAutospacing="1"/>
      <w:jc w:val="center"/>
    </w:pPr>
    <w:rPr>
      <w:rFonts w:ascii="Arial Unicode MS" w:hAnsi="Arial Unicode MS"/>
      <w:kern w:val="0"/>
      <w:sz w:val="16"/>
      <w:szCs w:val="16"/>
    </w:rPr>
  </w:style>
  <w:style w:type="paragraph" w:customStyle="1" w:styleId="575">
    <w:name w:val="xl136"/>
    <w:basedOn w:val="1"/>
    <w:qFormat/>
    <w:uiPriority w:val="0"/>
    <w:pPr>
      <w:widowControl/>
      <w:spacing w:before="100" w:beforeAutospacing="1" w:after="100" w:afterAutospacing="1"/>
      <w:jc w:val="left"/>
    </w:pPr>
    <w:rPr>
      <w:rFonts w:ascii="Arial Unicode MS" w:hAnsi="Arial Unicode MS"/>
      <w:kern w:val="0"/>
      <w:sz w:val="12"/>
      <w:szCs w:val="12"/>
    </w:rPr>
  </w:style>
  <w:style w:type="paragraph" w:customStyle="1" w:styleId="576">
    <w:name w:val="xl137"/>
    <w:basedOn w:val="1"/>
    <w:qFormat/>
    <w:uiPriority w:val="0"/>
    <w:pPr>
      <w:widowControl/>
      <w:pBdr>
        <w:bottom w:val="single" w:color="auto" w:sz="8" w:space="0"/>
      </w:pBdr>
      <w:spacing w:before="100" w:beforeAutospacing="1" w:after="100" w:afterAutospacing="1"/>
      <w:jc w:val="left"/>
    </w:pPr>
    <w:rPr>
      <w:rFonts w:ascii="Arial Unicode MS" w:hAnsi="Arial Unicode MS"/>
      <w:kern w:val="0"/>
      <w:sz w:val="12"/>
      <w:szCs w:val="12"/>
    </w:rPr>
  </w:style>
  <w:style w:type="paragraph" w:customStyle="1" w:styleId="577">
    <w:name w:val="xl138"/>
    <w:basedOn w:val="1"/>
    <w:qFormat/>
    <w:uiPriority w:val="0"/>
    <w:pPr>
      <w:widowControl/>
      <w:pBdr>
        <w:left w:val="single" w:color="auto" w:sz="4" w:space="0"/>
        <w:bottom w:val="single" w:color="auto" w:sz="8" w:space="0"/>
      </w:pBdr>
      <w:spacing w:before="100" w:beforeAutospacing="1" w:after="100" w:afterAutospacing="1"/>
      <w:jc w:val="center"/>
      <w:textAlignment w:val="center"/>
    </w:pPr>
    <w:rPr>
      <w:kern w:val="0"/>
      <w:sz w:val="12"/>
      <w:szCs w:val="12"/>
    </w:rPr>
  </w:style>
  <w:style w:type="paragraph" w:customStyle="1" w:styleId="578">
    <w:name w:val="xl139"/>
    <w:basedOn w:val="1"/>
    <w:qFormat/>
    <w:uiPriority w:val="0"/>
    <w:pPr>
      <w:widowControl/>
      <w:spacing w:before="100" w:beforeAutospacing="1" w:after="100" w:afterAutospacing="1"/>
      <w:jc w:val="center"/>
      <w:textAlignment w:val="center"/>
    </w:pPr>
    <w:rPr>
      <w:rFonts w:ascii="Arial Unicode MS" w:hAnsi="Arial Unicode MS"/>
      <w:kern w:val="0"/>
      <w:sz w:val="16"/>
      <w:szCs w:val="16"/>
    </w:rPr>
  </w:style>
  <w:style w:type="paragraph" w:customStyle="1" w:styleId="579">
    <w:name w:val="xl140"/>
    <w:basedOn w:val="1"/>
    <w:qFormat/>
    <w:uiPriority w:val="0"/>
    <w:pPr>
      <w:widowControl/>
      <w:spacing w:before="100" w:beforeAutospacing="1" w:after="100" w:afterAutospacing="1"/>
      <w:jc w:val="center"/>
      <w:textAlignment w:val="center"/>
    </w:pPr>
    <w:rPr>
      <w:rFonts w:ascii="Arial Unicode MS" w:hAnsi="Arial Unicode MS"/>
      <w:kern w:val="0"/>
      <w:sz w:val="16"/>
      <w:szCs w:val="16"/>
    </w:rPr>
  </w:style>
  <w:style w:type="paragraph" w:customStyle="1" w:styleId="580">
    <w:name w:val="xl141"/>
    <w:basedOn w:val="1"/>
    <w:qFormat/>
    <w:uiPriority w:val="0"/>
    <w:pPr>
      <w:widowControl/>
      <w:spacing w:before="100" w:beforeAutospacing="1" w:after="100" w:afterAutospacing="1"/>
      <w:jc w:val="left"/>
    </w:pPr>
    <w:rPr>
      <w:rFonts w:ascii="Arial Unicode MS" w:hAnsi="Arial Unicode MS"/>
      <w:kern w:val="0"/>
      <w:sz w:val="16"/>
      <w:szCs w:val="16"/>
    </w:rPr>
  </w:style>
  <w:style w:type="paragraph" w:customStyle="1" w:styleId="581">
    <w:name w:val="xl142"/>
    <w:basedOn w:val="1"/>
    <w:qFormat/>
    <w:uiPriority w:val="0"/>
    <w:pPr>
      <w:widowControl/>
      <w:pBdr>
        <w:left w:val="single" w:color="auto" w:sz="4" w:space="0"/>
        <w:bottom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582">
    <w:name w:val="xl143"/>
    <w:basedOn w:val="1"/>
    <w:qFormat/>
    <w:uiPriority w:val="0"/>
    <w:pPr>
      <w:widowControl/>
      <w:pBdr>
        <w:top w:val="single" w:color="auto" w:sz="8" w:space="0"/>
        <w:left w:val="single" w:color="auto" w:sz="4" w:space="0"/>
        <w:bottom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583">
    <w:name w:val="xl144"/>
    <w:basedOn w:val="1"/>
    <w:qFormat/>
    <w:uiPriority w:val="0"/>
    <w:pPr>
      <w:widowControl/>
      <w:pBdr>
        <w:left w:val="single" w:color="auto" w:sz="4" w:space="0"/>
        <w:bottom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584">
    <w:name w:val="xl145"/>
    <w:basedOn w:val="1"/>
    <w:qFormat/>
    <w:uiPriority w:val="0"/>
    <w:pPr>
      <w:widowControl/>
      <w:spacing w:before="100" w:beforeAutospacing="1" w:after="100" w:afterAutospacing="1"/>
      <w:jc w:val="left"/>
    </w:pPr>
    <w:rPr>
      <w:rFonts w:ascii="Arial Unicode MS" w:hAnsi="Arial Unicode MS"/>
      <w:kern w:val="0"/>
      <w:sz w:val="16"/>
      <w:szCs w:val="16"/>
    </w:rPr>
  </w:style>
  <w:style w:type="paragraph" w:customStyle="1" w:styleId="585">
    <w:name w:val="xl146"/>
    <w:basedOn w:val="1"/>
    <w:qFormat/>
    <w:uiPriority w:val="0"/>
    <w:pPr>
      <w:widowControl/>
      <w:spacing w:before="100" w:beforeAutospacing="1" w:after="100" w:afterAutospacing="1"/>
      <w:jc w:val="left"/>
    </w:pPr>
    <w:rPr>
      <w:rFonts w:ascii="Arial Unicode MS" w:hAnsi="Arial Unicode MS"/>
      <w:kern w:val="0"/>
      <w:sz w:val="16"/>
      <w:szCs w:val="16"/>
    </w:rPr>
  </w:style>
  <w:style w:type="paragraph" w:customStyle="1" w:styleId="586">
    <w:name w:val="xl147"/>
    <w:basedOn w:val="1"/>
    <w:qFormat/>
    <w:uiPriority w:val="0"/>
    <w:pPr>
      <w:widowControl/>
      <w:spacing w:before="100" w:beforeAutospacing="1" w:after="100" w:afterAutospacing="1"/>
      <w:jc w:val="center"/>
    </w:pPr>
    <w:rPr>
      <w:rFonts w:ascii="Arial Unicode MS" w:hAnsi="Arial Unicode MS"/>
      <w:kern w:val="0"/>
    </w:rPr>
  </w:style>
  <w:style w:type="paragraph" w:customStyle="1" w:styleId="587">
    <w:name w:val="xl148"/>
    <w:basedOn w:val="1"/>
    <w:qFormat/>
    <w:uiPriority w:val="0"/>
    <w:pPr>
      <w:widowControl/>
      <w:pBdr>
        <w:bottom w:val="single" w:color="auto" w:sz="8" w:space="0"/>
      </w:pBdr>
      <w:spacing w:before="100" w:beforeAutospacing="1" w:after="100" w:afterAutospacing="1"/>
      <w:jc w:val="left"/>
    </w:pPr>
    <w:rPr>
      <w:rFonts w:ascii="Arial Unicode MS" w:hAnsi="Arial Unicode MS"/>
      <w:kern w:val="0"/>
    </w:rPr>
  </w:style>
  <w:style w:type="paragraph" w:customStyle="1" w:styleId="588">
    <w:name w:val="xl149"/>
    <w:basedOn w:val="1"/>
    <w:qFormat/>
    <w:uiPriority w:val="0"/>
    <w:pPr>
      <w:widowControl/>
      <w:pBdr>
        <w:bottom w:val="single" w:color="auto" w:sz="8" w:space="0"/>
        <w:right w:val="single" w:color="auto" w:sz="4" w:space="0"/>
      </w:pBdr>
      <w:spacing w:before="100" w:beforeAutospacing="1" w:after="100" w:afterAutospacing="1"/>
      <w:jc w:val="left"/>
    </w:pPr>
    <w:rPr>
      <w:rFonts w:ascii="Arial Unicode MS" w:hAnsi="Arial Unicode MS"/>
      <w:kern w:val="0"/>
    </w:rPr>
  </w:style>
  <w:style w:type="paragraph" w:customStyle="1" w:styleId="589">
    <w:name w:val="xl150"/>
    <w:basedOn w:val="1"/>
    <w:qFormat/>
    <w:uiPriority w:val="0"/>
    <w:pPr>
      <w:widowControl/>
      <w:pBdr>
        <w:bottom w:val="single" w:color="auto" w:sz="8" w:space="0"/>
      </w:pBdr>
      <w:spacing w:before="100" w:beforeAutospacing="1" w:after="100" w:afterAutospacing="1"/>
      <w:jc w:val="left"/>
    </w:pPr>
    <w:rPr>
      <w:rFonts w:ascii="Arial Unicode MS" w:hAnsi="Arial Unicode MS"/>
      <w:kern w:val="0"/>
      <w:sz w:val="16"/>
      <w:szCs w:val="16"/>
    </w:rPr>
  </w:style>
  <w:style w:type="paragraph" w:customStyle="1" w:styleId="590">
    <w:name w:val="xl151"/>
    <w:basedOn w:val="1"/>
    <w:qFormat/>
    <w:uiPriority w:val="0"/>
    <w:pPr>
      <w:widowControl/>
      <w:spacing w:before="100" w:beforeAutospacing="1" w:after="100" w:afterAutospacing="1"/>
      <w:jc w:val="left"/>
    </w:pPr>
    <w:rPr>
      <w:kern w:val="0"/>
      <w:sz w:val="16"/>
      <w:szCs w:val="16"/>
    </w:rPr>
  </w:style>
  <w:style w:type="paragraph" w:customStyle="1" w:styleId="591">
    <w:name w:val="xl152"/>
    <w:basedOn w:val="1"/>
    <w:qFormat/>
    <w:uiPriority w:val="0"/>
    <w:pPr>
      <w:widowControl/>
      <w:spacing w:before="100" w:beforeAutospacing="1" w:after="100" w:afterAutospacing="1"/>
      <w:jc w:val="left"/>
      <w:textAlignment w:val="center"/>
    </w:pPr>
    <w:rPr>
      <w:rFonts w:ascii="Arial Unicode MS" w:hAnsi="Arial Unicode MS"/>
      <w:kern w:val="0"/>
      <w:sz w:val="16"/>
      <w:szCs w:val="16"/>
    </w:rPr>
  </w:style>
  <w:style w:type="paragraph" w:customStyle="1" w:styleId="592">
    <w:name w:val="xl153"/>
    <w:basedOn w:val="1"/>
    <w:qFormat/>
    <w:uiPriority w:val="0"/>
    <w:pPr>
      <w:widowControl/>
      <w:spacing w:before="100" w:beforeAutospacing="1" w:after="100" w:afterAutospacing="1"/>
      <w:jc w:val="center"/>
      <w:textAlignment w:val="center"/>
    </w:pPr>
    <w:rPr>
      <w:rFonts w:ascii="Arial Unicode MS" w:hAnsi="Arial Unicode MS"/>
      <w:kern w:val="0"/>
      <w:sz w:val="16"/>
      <w:szCs w:val="16"/>
    </w:rPr>
  </w:style>
  <w:style w:type="paragraph" w:customStyle="1" w:styleId="593">
    <w:name w:val="xl154"/>
    <w:basedOn w:val="1"/>
    <w:qFormat/>
    <w:uiPriority w:val="0"/>
    <w:pPr>
      <w:widowControl/>
      <w:pBdr>
        <w:left w:val="single" w:color="auto" w:sz="12" w:space="0"/>
        <w:bottom w:val="single" w:color="auto" w:sz="8" w:space="0"/>
      </w:pBdr>
      <w:spacing w:before="100" w:beforeAutospacing="1" w:after="100" w:afterAutospacing="1"/>
      <w:jc w:val="center"/>
    </w:pPr>
    <w:rPr>
      <w:rFonts w:ascii="Arial Unicode MS" w:hAnsi="Arial Unicode MS"/>
      <w:kern w:val="0"/>
      <w:sz w:val="12"/>
      <w:szCs w:val="12"/>
    </w:rPr>
  </w:style>
  <w:style w:type="paragraph" w:customStyle="1" w:styleId="594">
    <w:name w:val="xl155"/>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kern w:val="0"/>
      <w:sz w:val="20"/>
      <w:szCs w:val="20"/>
    </w:rPr>
  </w:style>
  <w:style w:type="paragraph" w:customStyle="1" w:styleId="595">
    <w:name w:val="xl156"/>
    <w:basedOn w:val="1"/>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kern w:val="0"/>
      <w:sz w:val="20"/>
      <w:szCs w:val="20"/>
    </w:rPr>
  </w:style>
  <w:style w:type="paragraph" w:customStyle="1" w:styleId="596">
    <w:name w:val="xl157"/>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kern w:val="0"/>
      <w:sz w:val="20"/>
      <w:szCs w:val="20"/>
    </w:rPr>
  </w:style>
  <w:style w:type="paragraph" w:customStyle="1" w:styleId="597">
    <w:name w:val="xl158"/>
    <w:basedOn w:val="1"/>
    <w:qFormat/>
    <w:uiPriority w:val="0"/>
    <w:pPr>
      <w:widowControl/>
      <w:pBdr>
        <w:bottom w:val="single" w:color="auto" w:sz="8" w:space="0"/>
        <w:right w:val="single" w:color="auto" w:sz="4" w:space="0"/>
      </w:pBdr>
      <w:spacing w:before="100" w:beforeAutospacing="1" w:after="100" w:afterAutospacing="1"/>
      <w:jc w:val="left"/>
    </w:pPr>
    <w:rPr>
      <w:rFonts w:ascii="Arial Unicode MS" w:hAnsi="Arial Unicode MS"/>
      <w:kern w:val="0"/>
      <w:sz w:val="16"/>
      <w:szCs w:val="16"/>
    </w:rPr>
  </w:style>
  <w:style w:type="paragraph" w:customStyle="1" w:styleId="598">
    <w:name w:val="xl159"/>
    <w:basedOn w:val="1"/>
    <w:qFormat/>
    <w:uiPriority w:val="0"/>
    <w:pPr>
      <w:widowControl/>
      <w:pBdr>
        <w:right w:val="single" w:color="auto" w:sz="4" w:space="0"/>
      </w:pBdr>
      <w:spacing w:before="100" w:beforeAutospacing="1" w:after="100" w:afterAutospacing="1"/>
      <w:jc w:val="left"/>
    </w:pPr>
    <w:rPr>
      <w:rFonts w:ascii="Arial Unicode MS" w:hAnsi="Arial Unicode MS"/>
      <w:kern w:val="0"/>
    </w:rPr>
  </w:style>
  <w:style w:type="paragraph" w:customStyle="1" w:styleId="599">
    <w:name w:val="xl160"/>
    <w:basedOn w:val="1"/>
    <w:qFormat/>
    <w:uiPriority w:val="0"/>
    <w:pPr>
      <w:widowControl/>
      <w:spacing w:before="100" w:beforeAutospacing="1" w:after="100" w:afterAutospacing="1"/>
      <w:jc w:val="center"/>
      <w:textAlignment w:val="center"/>
    </w:pPr>
    <w:rPr>
      <w:rFonts w:ascii="Arial Unicode MS" w:hAnsi="Arial Unicode MS"/>
      <w:kern w:val="0"/>
    </w:rPr>
  </w:style>
  <w:style w:type="paragraph" w:customStyle="1" w:styleId="600">
    <w:name w:val="xl161"/>
    <w:basedOn w:val="1"/>
    <w:qFormat/>
    <w:uiPriority w:val="0"/>
    <w:pPr>
      <w:widowControl/>
      <w:spacing w:before="100" w:beforeAutospacing="1" w:after="100" w:afterAutospacing="1"/>
      <w:jc w:val="center"/>
      <w:textAlignment w:val="center"/>
    </w:pPr>
    <w:rPr>
      <w:rFonts w:ascii="Arial Unicode MS" w:hAnsi="Arial Unicode MS"/>
      <w:kern w:val="0"/>
    </w:rPr>
  </w:style>
  <w:style w:type="paragraph" w:customStyle="1" w:styleId="601">
    <w:name w:val="xl162"/>
    <w:basedOn w:val="1"/>
    <w:qFormat/>
    <w:uiPriority w:val="0"/>
    <w:pPr>
      <w:widowControl/>
      <w:pBdr>
        <w:bottom w:val="single" w:color="auto" w:sz="12" w:space="0"/>
        <w:right w:val="single" w:color="auto" w:sz="12" w:space="0"/>
      </w:pBdr>
      <w:spacing w:before="100" w:beforeAutospacing="1" w:after="100" w:afterAutospacing="1"/>
      <w:jc w:val="center"/>
      <w:textAlignment w:val="center"/>
    </w:pPr>
    <w:rPr>
      <w:rFonts w:ascii="Arial Unicode MS" w:hAnsi="Arial Unicode MS"/>
      <w:kern w:val="0"/>
    </w:rPr>
  </w:style>
  <w:style w:type="paragraph" w:customStyle="1" w:styleId="602">
    <w:name w:val="xl163"/>
    <w:basedOn w:val="1"/>
    <w:qFormat/>
    <w:uiPriority w:val="0"/>
    <w:pPr>
      <w:widowControl/>
      <w:pBdr>
        <w:left w:val="single" w:color="auto" w:sz="12" w:space="0"/>
      </w:pBdr>
      <w:spacing w:before="100" w:beforeAutospacing="1" w:after="100" w:afterAutospacing="1"/>
      <w:jc w:val="center"/>
      <w:textAlignment w:val="center"/>
    </w:pPr>
    <w:rPr>
      <w:rFonts w:ascii="Arial Unicode MS" w:hAnsi="Arial Unicode MS"/>
      <w:kern w:val="0"/>
    </w:rPr>
  </w:style>
  <w:style w:type="paragraph" w:customStyle="1" w:styleId="603">
    <w:name w:val="xl164"/>
    <w:basedOn w:val="1"/>
    <w:qFormat/>
    <w:uiPriority w:val="0"/>
    <w:pPr>
      <w:widowControl/>
      <w:pBdr>
        <w:left w:val="single" w:color="auto" w:sz="12" w:space="0"/>
        <w:bottom w:val="single" w:color="auto" w:sz="12" w:space="0"/>
      </w:pBdr>
      <w:spacing w:before="100" w:beforeAutospacing="1" w:after="100" w:afterAutospacing="1"/>
      <w:jc w:val="center"/>
    </w:pPr>
    <w:rPr>
      <w:rFonts w:ascii="Arial Unicode MS" w:hAnsi="Arial Unicode MS"/>
      <w:kern w:val="0"/>
    </w:rPr>
  </w:style>
  <w:style w:type="paragraph" w:customStyle="1" w:styleId="604">
    <w:name w:val="xl165"/>
    <w:basedOn w:val="1"/>
    <w:qFormat/>
    <w:uiPriority w:val="0"/>
    <w:pPr>
      <w:widowControl/>
      <w:pBdr>
        <w:top w:val="single" w:color="auto" w:sz="12" w:space="0"/>
        <w:right w:val="single" w:color="auto" w:sz="4" w:space="0"/>
      </w:pBdr>
      <w:spacing w:before="100" w:beforeAutospacing="1" w:after="100" w:afterAutospacing="1"/>
      <w:jc w:val="center"/>
      <w:textAlignment w:val="center"/>
    </w:pPr>
    <w:rPr>
      <w:rFonts w:ascii="Arial Unicode MS" w:hAnsi="Arial Unicode MS"/>
      <w:kern w:val="0"/>
    </w:rPr>
  </w:style>
  <w:style w:type="paragraph" w:customStyle="1" w:styleId="605">
    <w:name w:val="xl166"/>
    <w:basedOn w:val="1"/>
    <w:qFormat/>
    <w:uiPriority w:val="0"/>
    <w:pPr>
      <w:widowControl/>
      <w:pBdr>
        <w:left w:val="single" w:color="auto" w:sz="12" w:space="0"/>
        <w:bottom w:val="single" w:color="auto" w:sz="12" w:space="0"/>
      </w:pBdr>
      <w:spacing w:before="100" w:beforeAutospacing="1" w:after="100" w:afterAutospacing="1"/>
      <w:jc w:val="center"/>
      <w:textAlignment w:val="center"/>
    </w:pPr>
    <w:rPr>
      <w:rFonts w:ascii="Arial Unicode MS" w:hAnsi="Arial Unicode MS"/>
      <w:kern w:val="0"/>
    </w:rPr>
  </w:style>
  <w:style w:type="paragraph" w:customStyle="1" w:styleId="606">
    <w:name w:val="xl167"/>
    <w:basedOn w:val="1"/>
    <w:qFormat/>
    <w:uiPriority w:val="0"/>
    <w:pPr>
      <w:widowControl/>
      <w:pBdr>
        <w:bottom w:val="single" w:color="auto" w:sz="12" w:space="0"/>
      </w:pBdr>
      <w:spacing w:before="100" w:beforeAutospacing="1" w:after="100" w:afterAutospacing="1"/>
      <w:jc w:val="center"/>
      <w:textAlignment w:val="center"/>
    </w:pPr>
    <w:rPr>
      <w:rFonts w:ascii="Arial Unicode MS" w:hAnsi="Arial Unicode MS"/>
      <w:kern w:val="0"/>
    </w:rPr>
  </w:style>
  <w:style w:type="paragraph" w:customStyle="1" w:styleId="607">
    <w:name w:val="xl168"/>
    <w:basedOn w:val="1"/>
    <w:qFormat/>
    <w:uiPriority w:val="0"/>
    <w:pPr>
      <w:widowControl/>
      <w:pBdr>
        <w:bottom w:val="single" w:color="auto" w:sz="12" w:space="0"/>
        <w:right w:val="single" w:color="auto" w:sz="4" w:space="0"/>
      </w:pBdr>
      <w:spacing w:before="100" w:beforeAutospacing="1" w:after="100" w:afterAutospacing="1"/>
      <w:jc w:val="center"/>
      <w:textAlignment w:val="center"/>
    </w:pPr>
    <w:rPr>
      <w:rFonts w:ascii="Arial Unicode MS" w:hAnsi="Arial Unicode MS"/>
      <w:kern w:val="0"/>
    </w:rPr>
  </w:style>
  <w:style w:type="paragraph" w:customStyle="1" w:styleId="608">
    <w:name w:val="xl169"/>
    <w:basedOn w:val="1"/>
    <w:qFormat/>
    <w:uiPriority w:val="0"/>
    <w:pPr>
      <w:widowControl/>
      <w:pBdr>
        <w:right w:val="single" w:color="auto" w:sz="4" w:space="0"/>
      </w:pBdr>
      <w:spacing w:before="100" w:beforeAutospacing="1" w:after="100" w:afterAutospacing="1"/>
      <w:jc w:val="center"/>
      <w:textAlignment w:val="center"/>
    </w:pPr>
    <w:rPr>
      <w:rFonts w:ascii="Arial Unicode MS" w:hAnsi="Arial Unicode MS"/>
      <w:kern w:val="0"/>
    </w:rPr>
  </w:style>
  <w:style w:type="paragraph" w:customStyle="1" w:styleId="609">
    <w:name w:val="xl170"/>
    <w:basedOn w:val="1"/>
    <w:qFormat/>
    <w:uiPriority w:val="0"/>
    <w:pPr>
      <w:widowControl/>
      <w:pBdr>
        <w:left w:val="single" w:color="auto" w:sz="4" w:space="0"/>
        <w:bottom w:val="single" w:color="auto" w:sz="12" w:space="0"/>
      </w:pBdr>
      <w:spacing w:before="100" w:beforeAutospacing="1" w:after="100" w:afterAutospacing="1"/>
      <w:jc w:val="center"/>
      <w:textAlignment w:val="center"/>
    </w:pPr>
    <w:rPr>
      <w:rFonts w:ascii="Arial Unicode MS" w:hAnsi="Arial Unicode MS"/>
      <w:kern w:val="0"/>
    </w:rPr>
  </w:style>
  <w:style w:type="paragraph" w:customStyle="1" w:styleId="610">
    <w:name w:val="xl171"/>
    <w:basedOn w:val="1"/>
    <w:qFormat/>
    <w:uiPriority w:val="0"/>
    <w:pPr>
      <w:widowControl/>
      <w:pBdr>
        <w:bottom w:val="single" w:color="auto" w:sz="12" w:space="0"/>
      </w:pBdr>
      <w:spacing w:before="100" w:beforeAutospacing="1" w:after="100" w:afterAutospacing="1"/>
      <w:jc w:val="center"/>
      <w:textAlignment w:val="center"/>
    </w:pPr>
    <w:rPr>
      <w:rFonts w:ascii="Arial Unicode MS" w:hAnsi="Arial Unicode MS"/>
      <w:kern w:val="0"/>
    </w:rPr>
  </w:style>
  <w:style w:type="paragraph" w:customStyle="1" w:styleId="611">
    <w:name w:val="xl172"/>
    <w:basedOn w:val="1"/>
    <w:qFormat/>
    <w:uiPriority w:val="0"/>
    <w:pPr>
      <w:widowControl/>
      <w:pBdr>
        <w:top w:val="single" w:color="auto" w:sz="12" w:space="0"/>
        <w:left w:val="single" w:color="auto" w:sz="12" w:space="0"/>
        <w:right w:val="single" w:color="auto" w:sz="4" w:space="0"/>
      </w:pBdr>
      <w:spacing w:before="100" w:beforeAutospacing="1" w:after="100" w:afterAutospacing="1"/>
      <w:jc w:val="center"/>
      <w:textAlignment w:val="center"/>
    </w:pPr>
    <w:rPr>
      <w:rFonts w:ascii="Arial Unicode MS" w:hAnsi="Arial Unicode MS"/>
      <w:kern w:val="0"/>
    </w:rPr>
  </w:style>
  <w:style w:type="paragraph" w:customStyle="1" w:styleId="612">
    <w:name w:val="xl173"/>
    <w:basedOn w:val="1"/>
    <w:qFormat/>
    <w:uiPriority w:val="0"/>
    <w:pPr>
      <w:widowControl/>
      <w:spacing w:before="100" w:beforeAutospacing="1" w:after="100" w:afterAutospacing="1"/>
      <w:jc w:val="center"/>
      <w:textAlignment w:val="center"/>
    </w:pPr>
    <w:rPr>
      <w:rFonts w:ascii="Arial Unicode MS" w:hAnsi="Arial Unicode MS"/>
      <w:kern w:val="0"/>
    </w:rPr>
  </w:style>
  <w:style w:type="paragraph" w:customStyle="1" w:styleId="613">
    <w:name w:val="xl174"/>
    <w:basedOn w:val="1"/>
    <w:qFormat/>
    <w:uiPriority w:val="0"/>
    <w:pPr>
      <w:widowControl/>
      <w:spacing w:before="100" w:beforeAutospacing="1" w:after="100" w:afterAutospacing="1"/>
      <w:jc w:val="center"/>
    </w:pPr>
    <w:rPr>
      <w:rFonts w:ascii="Arial Unicode MS" w:hAnsi="Arial Unicode MS"/>
      <w:kern w:val="0"/>
      <w:sz w:val="16"/>
      <w:szCs w:val="16"/>
    </w:rPr>
  </w:style>
  <w:style w:type="paragraph" w:customStyle="1" w:styleId="614">
    <w:name w:val="xl175"/>
    <w:basedOn w:val="1"/>
    <w:qFormat/>
    <w:uiPriority w:val="0"/>
    <w:pPr>
      <w:widowControl/>
      <w:pBdr>
        <w:left w:val="single" w:color="auto" w:sz="12" w:space="0"/>
        <w:right w:val="single" w:color="auto" w:sz="4" w:space="0"/>
      </w:pBdr>
      <w:spacing w:before="100" w:beforeAutospacing="1" w:after="100" w:afterAutospacing="1"/>
      <w:jc w:val="left"/>
    </w:pPr>
    <w:rPr>
      <w:rFonts w:ascii="Arial Unicode MS" w:hAnsi="Arial Unicode MS"/>
      <w:kern w:val="0"/>
    </w:rPr>
  </w:style>
  <w:style w:type="paragraph" w:customStyle="1" w:styleId="615">
    <w:name w:val="xl176"/>
    <w:basedOn w:val="1"/>
    <w:qFormat/>
    <w:uiPriority w:val="0"/>
    <w:pPr>
      <w:widowControl/>
      <w:pBdr>
        <w:top w:val="single" w:color="auto" w:sz="12" w:space="0"/>
        <w:left w:val="single" w:color="auto" w:sz="12" w:space="0"/>
      </w:pBdr>
      <w:spacing w:before="100" w:beforeAutospacing="1" w:after="100" w:afterAutospacing="1"/>
      <w:jc w:val="left"/>
    </w:pPr>
    <w:rPr>
      <w:rFonts w:ascii="Arial Unicode MS" w:hAnsi="Arial Unicode MS"/>
      <w:kern w:val="0"/>
    </w:rPr>
  </w:style>
  <w:style w:type="paragraph" w:customStyle="1" w:styleId="616">
    <w:name w:val="xl177"/>
    <w:basedOn w:val="1"/>
    <w:qFormat/>
    <w:uiPriority w:val="0"/>
    <w:pPr>
      <w:widowControl/>
      <w:pBdr>
        <w:left w:val="single" w:color="auto" w:sz="4" w:space="0"/>
      </w:pBdr>
      <w:spacing w:before="100" w:beforeAutospacing="1" w:after="100" w:afterAutospacing="1"/>
      <w:jc w:val="center"/>
    </w:pPr>
    <w:rPr>
      <w:rFonts w:ascii="Arial Unicode MS" w:hAnsi="Arial Unicode MS"/>
      <w:kern w:val="0"/>
      <w:sz w:val="12"/>
      <w:szCs w:val="12"/>
    </w:rPr>
  </w:style>
  <w:style w:type="paragraph" w:customStyle="1" w:styleId="617">
    <w:name w:val="xl178"/>
    <w:basedOn w:val="1"/>
    <w:qFormat/>
    <w:uiPriority w:val="0"/>
    <w:pPr>
      <w:widowControl/>
      <w:spacing w:before="100" w:beforeAutospacing="1" w:after="100" w:afterAutospacing="1"/>
      <w:jc w:val="center"/>
    </w:pPr>
    <w:rPr>
      <w:rFonts w:ascii="Arial Unicode MS" w:hAnsi="Arial Unicode MS"/>
      <w:kern w:val="0"/>
      <w:sz w:val="12"/>
      <w:szCs w:val="12"/>
    </w:rPr>
  </w:style>
  <w:style w:type="paragraph" w:customStyle="1" w:styleId="618">
    <w:name w:val="xl17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619">
    <w:name w:val="xl180"/>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620">
    <w:name w:val="xl18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621">
    <w:name w:val="xl18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kern w:val="0"/>
      <w:sz w:val="16"/>
      <w:szCs w:val="16"/>
    </w:rPr>
  </w:style>
  <w:style w:type="paragraph" w:customStyle="1" w:styleId="622">
    <w:name w:val="xl183"/>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623">
    <w:name w:val="xl18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624">
    <w:name w:val="xl185"/>
    <w:basedOn w:val="1"/>
    <w:qFormat/>
    <w:uiPriority w:val="0"/>
    <w:pPr>
      <w:widowControl/>
      <w:pBdr>
        <w:bottom w:val="single" w:color="auto" w:sz="12" w:space="0"/>
        <w:right w:val="single" w:color="auto" w:sz="4"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625">
    <w:name w:val="xl186"/>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kern w:val="0"/>
      <w:sz w:val="16"/>
      <w:szCs w:val="16"/>
    </w:rPr>
  </w:style>
  <w:style w:type="paragraph" w:customStyle="1" w:styleId="626">
    <w:name w:val="xl18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kern w:val="0"/>
      <w:sz w:val="16"/>
      <w:szCs w:val="16"/>
    </w:rPr>
  </w:style>
  <w:style w:type="paragraph" w:customStyle="1" w:styleId="627">
    <w:name w:val="xl188"/>
    <w:basedOn w:val="1"/>
    <w:qFormat/>
    <w:uiPriority w:val="0"/>
    <w:pPr>
      <w:widowControl/>
      <w:spacing w:before="100" w:beforeAutospacing="1" w:after="100" w:afterAutospacing="1"/>
      <w:jc w:val="left"/>
      <w:textAlignment w:val="center"/>
    </w:pPr>
    <w:rPr>
      <w:kern w:val="0"/>
      <w:sz w:val="12"/>
      <w:szCs w:val="12"/>
    </w:rPr>
  </w:style>
  <w:style w:type="paragraph" w:customStyle="1" w:styleId="628">
    <w:name w:val="xl189"/>
    <w:basedOn w:val="1"/>
    <w:qFormat/>
    <w:uiPriority w:val="0"/>
    <w:pPr>
      <w:widowControl/>
      <w:pBdr>
        <w:bottom w:val="single" w:color="auto" w:sz="12" w:space="0"/>
        <w:right w:val="single" w:color="auto" w:sz="4" w:space="0"/>
      </w:pBdr>
      <w:spacing w:before="100" w:beforeAutospacing="1" w:after="100" w:afterAutospacing="1"/>
      <w:jc w:val="center"/>
      <w:textAlignment w:val="center"/>
    </w:pPr>
    <w:rPr>
      <w:rFonts w:ascii="Arial Unicode MS" w:hAnsi="Arial Unicode MS"/>
      <w:kern w:val="0"/>
    </w:rPr>
  </w:style>
  <w:style w:type="paragraph" w:customStyle="1" w:styleId="629">
    <w:name w:val="xl190"/>
    <w:basedOn w:val="1"/>
    <w:qFormat/>
    <w:uiPriority w:val="0"/>
    <w:pPr>
      <w:widowControl/>
      <w:pBdr>
        <w:top w:val="single" w:color="auto" w:sz="12" w:space="0"/>
      </w:pBdr>
      <w:spacing w:before="100" w:beforeAutospacing="1" w:after="100" w:afterAutospacing="1"/>
      <w:jc w:val="left"/>
      <w:textAlignment w:val="center"/>
    </w:pPr>
    <w:rPr>
      <w:rFonts w:ascii="Arial Unicode MS" w:hAnsi="Arial Unicode MS"/>
      <w:kern w:val="0"/>
      <w:sz w:val="12"/>
      <w:szCs w:val="12"/>
    </w:rPr>
  </w:style>
  <w:style w:type="paragraph" w:customStyle="1" w:styleId="630">
    <w:name w:val="xl19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631">
    <w:name w:val="xl19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632">
    <w:name w:val="xl193"/>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kern w:val="0"/>
      <w:sz w:val="16"/>
      <w:szCs w:val="16"/>
    </w:rPr>
  </w:style>
  <w:style w:type="paragraph" w:customStyle="1" w:styleId="633">
    <w:name w:val="xl194"/>
    <w:basedOn w:val="1"/>
    <w:qFormat/>
    <w:uiPriority w:val="0"/>
    <w:pPr>
      <w:widowControl/>
      <w:spacing w:before="100" w:beforeAutospacing="1" w:after="100" w:afterAutospacing="1"/>
      <w:jc w:val="center"/>
    </w:pPr>
    <w:rPr>
      <w:kern w:val="0"/>
      <w:sz w:val="16"/>
      <w:szCs w:val="16"/>
    </w:rPr>
  </w:style>
  <w:style w:type="paragraph" w:customStyle="1" w:styleId="634">
    <w:name w:val="xl19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kern w:val="0"/>
    </w:rPr>
  </w:style>
  <w:style w:type="paragraph" w:customStyle="1" w:styleId="635">
    <w:name w:val="xl196"/>
    <w:basedOn w:val="1"/>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kern w:val="0"/>
    </w:rPr>
  </w:style>
  <w:style w:type="paragraph" w:customStyle="1" w:styleId="636">
    <w:name w:val="xl197"/>
    <w:basedOn w:val="1"/>
    <w:qFormat/>
    <w:uiPriority w:val="0"/>
    <w:pPr>
      <w:widowControl/>
      <w:pBdr>
        <w:left w:val="single" w:color="auto" w:sz="4" w:space="0"/>
        <w:bottom w:val="single" w:color="auto" w:sz="8" w:space="0"/>
        <w:right w:val="single" w:color="auto" w:sz="4" w:space="0"/>
      </w:pBdr>
      <w:spacing w:before="100" w:beforeAutospacing="1" w:after="100" w:afterAutospacing="1"/>
      <w:jc w:val="center"/>
    </w:pPr>
    <w:rPr>
      <w:rFonts w:ascii="Arial Unicode MS" w:hAnsi="Arial Unicode MS"/>
      <w:kern w:val="0"/>
    </w:rPr>
  </w:style>
  <w:style w:type="paragraph" w:customStyle="1" w:styleId="637">
    <w:name w:val="xl198"/>
    <w:basedOn w:val="1"/>
    <w:qFormat/>
    <w:uiPriority w:val="0"/>
    <w:pPr>
      <w:widowControl/>
      <w:pBdr>
        <w:bottom w:val="single" w:color="auto" w:sz="8" w:space="0"/>
      </w:pBdr>
      <w:spacing w:before="100" w:beforeAutospacing="1" w:after="100" w:afterAutospacing="1"/>
      <w:jc w:val="center"/>
    </w:pPr>
    <w:rPr>
      <w:rFonts w:ascii="Arial Unicode MS" w:hAnsi="Arial Unicode MS"/>
      <w:kern w:val="0"/>
      <w:sz w:val="16"/>
      <w:szCs w:val="16"/>
    </w:rPr>
  </w:style>
  <w:style w:type="character" w:customStyle="1" w:styleId="638">
    <w:name w:val="css-text3"/>
    <w:basedOn w:val="94"/>
    <w:qFormat/>
    <w:uiPriority w:val="0"/>
  </w:style>
  <w:style w:type="paragraph" w:customStyle="1" w:styleId="639">
    <w:name w:val="style12"/>
    <w:basedOn w:val="1"/>
    <w:qFormat/>
    <w:uiPriority w:val="0"/>
    <w:pPr>
      <w:widowControl/>
      <w:spacing w:before="100" w:beforeAutospacing="1" w:after="100" w:afterAutospacing="1"/>
      <w:jc w:val="left"/>
    </w:pPr>
    <w:rPr>
      <w:rFonts w:ascii="Arial" w:hAnsi="Arial" w:cs="Arial"/>
      <w:color w:val="666666"/>
      <w:kern w:val="0"/>
      <w:sz w:val="18"/>
      <w:szCs w:val="18"/>
    </w:rPr>
  </w:style>
  <w:style w:type="paragraph" w:customStyle="1" w:styleId="640">
    <w:name w:val="图框"/>
    <w:basedOn w:val="1"/>
    <w:qFormat/>
    <w:uiPriority w:val="0"/>
    <w:pPr>
      <w:jc w:val="center"/>
    </w:pPr>
    <w:rPr>
      <w:szCs w:val="15"/>
    </w:rPr>
  </w:style>
  <w:style w:type="paragraph" w:customStyle="1" w:styleId="641">
    <w:name w:val="图注"/>
    <w:basedOn w:val="1"/>
    <w:next w:val="1"/>
    <w:qFormat/>
    <w:uiPriority w:val="0"/>
    <w:pPr>
      <w:spacing w:before="120" w:line="320" w:lineRule="atLeast"/>
      <w:ind w:left="7" w:leftChars="-27" w:hanging="72" w:hangingChars="30"/>
      <w:jc w:val="center"/>
    </w:pPr>
    <w:rPr>
      <w:rFonts w:ascii="宋体" w:hAnsi="宋体"/>
      <w:bCs/>
      <w:color w:val="000000"/>
      <w:kern w:val="0"/>
      <w:sz w:val="24"/>
    </w:rPr>
  </w:style>
  <w:style w:type="paragraph" w:customStyle="1" w:styleId="642">
    <w:name w:val="h"/>
    <w:basedOn w:val="1"/>
    <w:qFormat/>
    <w:uiPriority w:val="0"/>
    <w:pPr>
      <w:spacing w:before="60"/>
      <w:ind w:firstLine="482"/>
    </w:pPr>
    <w:rPr>
      <w:rFonts w:ascii="Arial" w:hAnsi="Arial" w:eastAsia="仿宋_GB2312"/>
      <w:kern w:val="0"/>
      <w:sz w:val="24"/>
      <w:szCs w:val="20"/>
    </w:rPr>
  </w:style>
  <w:style w:type="paragraph" w:customStyle="1" w:styleId="643">
    <w:name w:val="heading"/>
    <w:basedOn w:val="1"/>
    <w:next w:val="1"/>
    <w:qFormat/>
    <w:uiPriority w:val="0"/>
    <w:pPr>
      <w:keepNext/>
      <w:keepLines/>
      <w:tabs>
        <w:tab w:val="left" w:pos="576"/>
      </w:tabs>
      <w:spacing w:line="360" w:lineRule="auto"/>
      <w:ind w:left="576"/>
      <w:outlineLvl w:val="1"/>
    </w:pPr>
    <w:rPr>
      <w:rFonts w:ascii="宋体" w:hAnsi="Arial Black" w:cs="宋体"/>
      <w:sz w:val="24"/>
    </w:rPr>
  </w:style>
  <w:style w:type="character" w:customStyle="1" w:styleId="644">
    <w:name w:val="content1"/>
    <w:qFormat/>
    <w:uiPriority w:val="0"/>
    <w:rPr>
      <w:spacing w:val="402"/>
      <w:sz w:val="20"/>
      <w:szCs w:val="20"/>
    </w:rPr>
  </w:style>
  <w:style w:type="character" w:customStyle="1" w:styleId="645">
    <w:name w:val="HTML 地址 字符"/>
    <w:link w:val="40"/>
    <w:qFormat/>
    <w:uiPriority w:val="0"/>
    <w:rPr>
      <w:rFonts w:ascii="Arial" w:hAnsi="Arial" w:eastAsia="仿宋_GB2312"/>
      <w:i/>
      <w:iCs/>
      <w:sz w:val="24"/>
    </w:rPr>
  </w:style>
  <w:style w:type="character" w:customStyle="1" w:styleId="646">
    <w:name w:val="称呼 字符"/>
    <w:link w:val="29"/>
    <w:qFormat/>
    <w:uiPriority w:val="0"/>
    <w:rPr>
      <w:rFonts w:ascii="Arial" w:hAnsi="Arial" w:eastAsia="仿宋_GB2312"/>
      <w:sz w:val="24"/>
    </w:rPr>
  </w:style>
  <w:style w:type="character" w:customStyle="1" w:styleId="647">
    <w:name w:val="电子邮件签名 字符"/>
    <w:link w:val="18"/>
    <w:qFormat/>
    <w:uiPriority w:val="0"/>
    <w:rPr>
      <w:rFonts w:ascii="Arial" w:hAnsi="Arial" w:eastAsia="仿宋_GB2312"/>
      <w:sz w:val="24"/>
    </w:rPr>
  </w:style>
  <w:style w:type="paragraph" w:customStyle="1" w:styleId="648">
    <w:name w:val="封面"/>
    <w:basedOn w:val="1"/>
    <w:qFormat/>
    <w:uiPriority w:val="0"/>
    <w:pPr>
      <w:adjustRightInd w:val="0"/>
      <w:spacing w:before="60" w:line="360" w:lineRule="auto"/>
      <w:ind w:firstLine="482"/>
      <w:jc w:val="center"/>
      <w:textAlignment w:val="baseline"/>
    </w:pPr>
    <w:rPr>
      <w:rFonts w:ascii="Arial" w:hAnsi="Arial" w:eastAsia="仿宋_GB2312"/>
      <w:b/>
      <w:kern w:val="0"/>
      <w:sz w:val="30"/>
      <w:szCs w:val="20"/>
    </w:rPr>
  </w:style>
  <w:style w:type="character" w:customStyle="1" w:styleId="649">
    <w:name w:val="结束语 字符"/>
    <w:link w:val="31"/>
    <w:qFormat/>
    <w:uiPriority w:val="0"/>
    <w:rPr>
      <w:rFonts w:ascii="Arial" w:hAnsi="Arial" w:eastAsia="仿宋_GB2312"/>
      <w:sz w:val="24"/>
    </w:rPr>
  </w:style>
  <w:style w:type="character" w:customStyle="1" w:styleId="650">
    <w:name w:val="签名 字符"/>
    <w:link w:val="57"/>
    <w:qFormat/>
    <w:uiPriority w:val="0"/>
    <w:rPr>
      <w:rFonts w:ascii="Arial" w:hAnsi="Arial" w:eastAsia="仿宋_GB2312"/>
      <w:sz w:val="24"/>
    </w:rPr>
  </w:style>
  <w:style w:type="character" w:customStyle="1" w:styleId="651">
    <w:name w:val="副标题 字符"/>
    <w:link w:val="63"/>
    <w:qFormat/>
    <w:uiPriority w:val="0"/>
    <w:rPr>
      <w:rFonts w:ascii="Arial" w:hAnsi="Arial" w:eastAsia="仿宋_GB2312" w:cs="Arial"/>
      <w:b/>
      <w:bCs/>
      <w:kern w:val="28"/>
      <w:sz w:val="32"/>
      <w:szCs w:val="32"/>
    </w:rPr>
  </w:style>
  <w:style w:type="paragraph" w:customStyle="1" w:styleId="652">
    <w:name w:val="项目段落"/>
    <w:basedOn w:val="1"/>
    <w:qFormat/>
    <w:uiPriority w:val="0"/>
    <w:pPr>
      <w:spacing w:before="60" w:line="360" w:lineRule="auto"/>
      <w:ind w:left="476" w:firstLine="482"/>
    </w:pPr>
    <w:rPr>
      <w:rFonts w:ascii="Arial" w:hAnsi="Arial" w:eastAsia="仿宋_GB2312"/>
      <w:kern w:val="0"/>
      <w:sz w:val="24"/>
      <w:szCs w:val="20"/>
    </w:rPr>
  </w:style>
  <w:style w:type="character" w:customStyle="1" w:styleId="653">
    <w:name w:val="信息标题 字符"/>
    <w:link w:val="78"/>
    <w:qFormat/>
    <w:uiPriority w:val="0"/>
    <w:rPr>
      <w:rFonts w:ascii="Arial" w:hAnsi="Arial" w:eastAsia="仿宋_GB2312" w:cs="Arial"/>
      <w:sz w:val="24"/>
      <w:shd w:val="pct20" w:color="auto" w:fill="auto"/>
    </w:rPr>
  </w:style>
  <w:style w:type="paragraph" w:customStyle="1" w:styleId="654">
    <w:name w:val="源程序"/>
    <w:qFormat/>
    <w:uiPriority w:val="0"/>
    <w:pPr>
      <w:widowControl w:val="0"/>
      <w:kinsoku w:val="0"/>
      <w:wordWrap w:val="0"/>
      <w:overflowPunct w:val="0"/>
      <w:autoSpaceDE w:val="0"/>
      <w:autoSpaceDN w:val="0"/>
      <w:adjustRightInd w:val="0"/>
      <w:ind w:left="482"/>
    </w:pPr>
    <w:rPr>
      <w:rFonts w:ascii="Courier New" w:hAnsi="Courier New" w:eastAsia="仿宋_GB2312" w:cs="Times New Roman"/>
      <w:snapToGrid w:val="0"/>
      <w:sz w:val="24"/>
      <w:lang w:val="en-US" w:eastAsia="zh-CN" w:bidi="ar-SA"/>
    </w:rPr>
  </w:style>
  <w:style w:type="character" w:customStyle="1" w:styleId="655">
    <w:name w:val="正文首行缩进 2 字符"/>
    <w:link w:val="86"/>
    <w:qFormat/>
    <w:uiPriority w:val="0"/>
    <w:rPr>
      <w:rFonts w:eastAsia="宋体"/>
      <w:kern w:val="2"/>
      <w:sz w:val="18"/>
      <w:szCs w:val="24"/>
      <w:lang w:val="en-US" w:eastAsia="zh-CN" w:bidi="ar-SA"/>
    </w:rPr>
  </w:style>
  <w:style w:type="paragraph" w:customStyle="1" w:styleId="656">
    <w:name w:val="样式"/>
    <w:basedOn w:val="1"/>
    <w:next w:val="1"/>
    <w:qFormat/>
    <w:uiPriority w:val="0"/>
    <w:pPr>
      <w:ind w:firstLine="420"/>
    </w:pPr>
    <w:rPr>
      <w:rFonts w:ascii="宋体" w:hAnsi="Arial Black" w:cs="宋体"/>
      <w:sz w:val="24"/>
    </w:rPr>
  </w:style>
  <w:style w:type="paragraph" w:customStyle="1" w:styleId="657">
    <w:name w:val="样式8"/>
    <w:basedOn w:val="1"/>
    <w:next w:val="1"/>
    <w:qFormat/>
    <w:uiPriority w:val="0"/>
    <w:pPr>
      <w:ind w:firstLine="420"/>
    </w:pPr>
    <w:rPr>
      <w:rFonts w:ascii="宋体" w:hAnsi="Arial Black" w:cs="宋体"/>
      <w:sz w:val="24"/>
    </w:rPr>
  </w:style>
  <w:style w:type="paragraph" w:customStyle="1" w:styleId="658">
    <w:name w:val="样式a"/>
    <w:basedOn w:val="1"/>
    <w:qFormat/>
    <w:uiPriority w:val="0"/>
    <w:pPr>
      <w:adjustRightInd w:val="0"/>
      <w:snapToGrid w:val="0"/>
      <w:spacing w:line="420" w:lineRule="exact"/>
      <w:ind w:firstLine="200" w:firstLineChars="200"/>
      <w:textAlignment w:val="baseline"/>
    </w:pPr>
    <w:rPr>
      <w:kern w:val="0"/>
      <w:sz w:val="24"/>
    </w:rPr>
  </w:style>
  <w:style w:type="paragraph" w:customStyle="1" w:styleId="659">
    <w:name w:val="样式5"/>
    <w:basedOn w:val="33"/>
    <w:qFormat/>
    <w:uiPriority w:val="0"/>
    <w:pPr>
      <w:spacing w:after="0"/>
      <w:ind w:right="-105" w:rightChars="-50"/>
      <w:jc w:val="center"/>
    </w:pPr>
    <w:rPr>
      <w:rFonts w:ascii="宋体" w:cs="宋体"/>
      <w:szCs w:val="21"/>
    </w:rPr>
  </w:style>
  <w:style w:type="character" w:customStyle="1" w:styleId="660">
    <w:name w:val="标题3 Char"/>
    <w:qFormat/>
    <w:uiPriority w:val="0"/>
    <w:rPr>
      <w:rFonts w:eastAsia="黑体"/>
      <w:kern w:val="2"/>
      <w:sz w:val="24"/>
      <w:szCs w:val="24"/>
      <w:lang w:val="en-US" w:eastAsia="zh-CN"/>
    </w:rPr>
  </w:style>
  <w:style w:type="paragraph" w:customStyle="1" w:styleId="661">
    <w:name w:val="表居中（中文）"/>
    <w:basedOn w:val="1"/>
    <w:qFormat/>
    <w:uiPriority w:val="0"/>
    <w:pPr>
      <w:adjustRightInd w:val="0"/>
      <w:spacing w:line="380" w:lineRule="atLeast"/>
      <w:jc w:val="center"/>
      <w:textAlignment w:val="baseline"/>
    </w:pPr>
    <w:rPr>
      <w:rFonts w:eastAsia="楷体_GB2312"/>
      <w:kern w:val="0"/>
      <w:sz w:val="24"/>
    </w:rPr>
  </w:style>
  <w:style w:type="paragraph" w:customStyle="1" w:styleId="662">
    <w:name w:val="6"/>
    <w:basedOn w:val="1"/>
    <w:next w:val="75"/>
    <w:qFormat/>
    <w:uiPriority w:val="0"/>
    <w:pPr>
      <w:spacing w:after="120" w:line="480" w:lineRule="auto"/>
    </w:pPr>
  </w:style>
  <w:style w:type="character" w:customStyle="1" w:styleId="663">
    <w:name w:val="16p"/>
    <w:basedOn w:val="94"/>
    <w:qFormat/>
    <w:uiPriority w:val="0"/>
  </w:style>
  <w:style w:type="character" w:customStyle="1" w:styleId="664">
    <w:name w:val="show"/>
    <w:basedOn w:val="94"/>
    <w:qFormat/>
    <w:uiPriority w:val="0"/>
  </w:style>
  <w:style w:type="paragraph" w:customStyle="1" w:styleId="665">
    <w:name w:val="文件名称"/>
    <w:basedOn w:val="1"/>
    <w:next w:val="1"/>
    <w:qFormat/>
    <w:uiPriority w:val="0"/>
    <w:pPr>
      <w:spacing w:beforeLines="100"/>
      <w:jc w:val="center"/>
    </w:pPr>
    <w:rPr>
      <w:rFonts w:ascii="黑体" w:eastAsia="黑体"/>
      <w:sz w:val="84"/>
      <w:szCs w:val="84"/>
    </w:rPr>
  </w:style>
  <w:style w:type="paragraph" w:customStyle="1" w:styleId="666">
    <w:name w:val="参加人员"/>
    <w:basedOn w:val="1"/>
    <w:qFormat/>
    <w:uiPriority w:val="0"/>
    <w:rPr>
      <w:sz w:val="24"/>
      <w:szCs w:val="28"/>
    </w:rPr>
  </w:style>
  <w:style w:type="character" w:customStyle="1" w:styleId="667">
    <w:name w:val="e91"/>
    <w:qFormat/>
    <w:uiPriority w:val="0"/>
    <w:rPr>
      <w:rFonts w:hint="default" w:ascii="Arial" w:hAnsi="Arial" w:cs="Arial"/>
      <w:spacing w:val="384"/>
      <w:sz w:val="21"/>
      <w:szCs w:val="21"/>
    </w:rPr>
  </w:style>
  <w:style w:type="paragraph" w:customStyle="1" w:styleId="668">
    <w:name w:val="项目名称"/>
    <w:basedOn w:val="1"/>
    <w:next w:val="1"/>
    <w:qFormat/>
    <w:uiPriority w:val="0"/>
    <w:pPr>
      <w:spacing w:line="800" w:lineRule="atLeast"/>
      <w:jc w:val="center"/>
      <w:outlineLvl w:val="0"/>
    </w:pPr>
    <w:rPr>
      <w:rFonts w:ascii="黑体" w:eastAsia="黑体"/>
      <w:sz w:val="52"/>
      <w:szCs w:val="52"/>
    </w:rPr>
  </w:style>
  <w:style w:type="paragraph" w:customStyle="1" w:styleId="669">
    <w:name w:val="单位名称"/>
    <w:basedOn w:val="1"/>
    <w:next w:val="1"/>
    <w:qFormat/>
    <w:uiPriority w:val="0"/>
    <w:pPr>
      <w:jc w:val="center"/>
    </w:pPr>
    <w:rPr>
      <w:sz w:val="44"/>
      <w:szCs w:val="44"/>
    </w:rPr>
  </w:style>
  <w:style w:type="paragraph" w:customStyle="1" w:styleId="670">
    <w:name w:val="文件册号"/>
    <w:basedOn w:val="1"/>
    <w:next w:val="1"/>
    <w:qFormat/>
    <w:uiPriority w:val="0"/>
    <w:pPr>
      <w:spacing w:line="800" w:lineRule="atLeast"/>
      <w:jc w:val="center"/>
    </w:pPr>
    <w:rPr>
      <w:sz w:val="52"/>
      <w:szCs w:val="52"/>
    </w:rPr>
  </w:style>
  <w:style w:type="paragraph" w:customStyle="1" w:styleId="671">
    <w:name w:val="文件编号"/>
    <w:basedOn w:val="1"/>
    <w:next w:val="1"/>
    <w:qFormat/>
    <w:uiPriority w:val="0"/>
    <w:pPr>
      <w:jc w:val="center"/>
    </w:pPr>
    <w:rPr>
      <w:rFonts w:ascii="黑体" w:eastAsia="黑体"/>
      <w:sz w:val="44"/>
      <w:szCs w:val="44"/>
    </w:rPr>
  </w:style>
  <w:style w:type="paragraph" w:customStyle="1" w:styleId="672">
    <w:name w:val="主要负责人"/>
    <w:basedOn w:val="1"/>
    <w:next w:val="1"/>
    <w:qFormat/>
    <w:uiPriority w:val="0"/>
    <w:pPr>
      <w:jc w:val="center"/>
    </w:pPr>
    <w:rPr>
      <w:sz w:val="36"/>
      <w:szCs w:val="36"/>
    </w:rPr>
  </w:style>
  <w:style w:type="paragraph" w:customStyle="1" w:styleId="673">
    <w:name w:val="参加人员名单"/>
    <w:basedOn w:val="1"/>
    <w:next w:val="1"/>
    <w:qFormat/>
    <w:uiPriority w:val="0"/>
    <w:pPr>
      <w:jc w:val="center"/>
      <w:outlineLvl w:val="0"/>
    </w:pPr>
    <w:rPr>
      <w:sz w:val="32"/>
      <w:szCs w:val="32"/>
    </w:rPr>
  </w:style>
  <w:style w:type="paragraph" w:customStyle="1" w:styleId="674">
    <w:name w:val="标号正文"/>
    <w:basedOn w:val="1"/>
    <w:next w:val="1"/>
    <w:qFormat/>
    <w:uiPriority w:val="0"/>
    <w:pPr>
      <w:tabs>
        <w:tab w:val="left" w:pos="765"/>
      </w:tabs>
      <w:overflowPunct w:val="0"/>
      <w:snapToGrid w:val="0"/>
      <w:spacing w:line="480" w:lineRule="exact"/>
      <w:ind w:left="765" w:hanging="765"/>
      <w:jc w:val="left"/>
    </w:pPr>
    <w:rPr>
      <w:rFonts w:ascii="Arial" w:hAnsi="Arial" w:eastAsia="仿宋_GB2312"/>
      <w:sz w:val="28"/>
      <w:szCs w:val="20"/>
    </w:rPr>
  </w:style>
  <w:style w:type="character" w:customStyle="1" w:styleId="675">
    <w:name w:val="标题 Char"/>
    <w:qFormat/>
    <w:uiPriority w:val="0"/>
    <w:rPr>
      <w:rFonts w:ascii="Arial" w:hAnsi="Arial" w:eastAsia="宋体" w:cs="Arial"/>
      <w:b/>
      <w:bCs/>
      <w:sz w:val="32"/>
      <w:szCs w:val="32"/>
      <w:lang w:val="en-US" w:eastAsia="zh-CN" w:bidi="ar-SA"/>
    </w:rPr>
  </w:style>
  <w:style w:type="character" w:customStyle="1" w:styleId="676">
    <w:name w:val="font141"/>
    <w:qFormat/>
    <w:uiPriority w:val="0"/>
    <w:rPr>
      <w:rFonts w:hint="default"/>
      <w:color w:val="000000"/>
      <w:spacing w:val="390"/>
    </w:rPr>
  </w:style>
  <w:style w:type="character" w:customStyle="1" w:styleId="677">
    <w:name w:val="unnamed1"/>
    <w:basedOn w:val="94"/>
    <w:qFormat/>
    <w:uiPriority w:val="0"/>
  </w:style>
  <w:style w:type="paragraph" w:customStyle="1" w:styleId="678">
    <w:name w:val="页眉左"/>
    <w:basedOn w:val="56"/>
    <w:qFormat/>
    <w:uiPriority w:val="0"/>
    <w:pPr>
      <w:pBdr>
        <w:bottom w:val="none" w:color="auto" w:sz="0" w:space="0"/>
      </w:pBdr>
      <w:adjustRightInd w:val="0"/>
      <w:snapToGrid/>
      <w:spacing w:before="60" w:after="60" w:line="240" w:lineRule="atLeast"/>
      <w:jc w:val="left"/>
      <w:textAlignment w:val="baseline"/>
    </w:pPr>
    <w:rPr>
      <w:kern w:val="0"/>
      <w:sz w:val="22"/>
      <w:szCs w:val="20"/>
      <w:lang w:val="en-GB"/>
    </w:rPr>
  </w:style>
  <w:style w:type="paragraph" w:customStyle="1" w:styleId="679">
    <w:name w:val="宏福3"/>
    <w:basedOn w:val="4"/>
    <w:qFormat/>
    <w:uiPriority w:val="0"/>
    <w:pPr>
      <w:snapToGrid w:val="0"/>
      <w:spacing w:before="240" w:after="0" w:line="240" w:lineRule="auto"/>
    </w:pPr>
    <w:rPr>
      <w:b w:val="0"/>
      <w:bCs w:val="0"/>
      <w:sz w:val="28"/>
      <w:szCs w:val="20"/>
    </w:rPr>
  </w:style>
  <w:style w:type="paragraph" w:customStyle="1" w:styleId="680">
    <w:name w:val="宏福正文-2"/>
    <w:basedOn w:val="85"/>
    <w:qFormat/>
    <w:uiPriority w:val="0"/>
    <w:pPr>
      <w:snapToGrid w:val="0"/>
      <w:spacing w:before="240" w:after="0" w:line="400" w:lineRule="atLeast"/>
      <w:ind w:firstLine="567" w:firstLineChars="0"/>
    </w:pPr>
    <w:rPr>
      <w:rFonts w:eastAsia="宋体"/>
      <w:szCs w:val="20"/>
    </w:rPr>
  </w:style>
  <w:style w:type="character" w:customStyle="1" w:styleId="681">
    <w:name w:val="f241"/>
    <w:qFormat/>
    <w:uiPriority w:val="0"/>
    <w:rPr>
      <w:sz w:val="36"/>
      <w:szCs w:val="36"/>
    </w:rPr>
  </w:style>
  <w:style w:type="character" w:customStyle="1" w:styleId="682">
    <w:name w:val="pccs1"/>
    <w:qFormat/>
    <w:uiPriority w:val="0"/>
    <w:rPr>
      <w:spacing w:val="360"/>
      <w:sz w:val="18"/>
      <w:szCs w:val="18"/>
    </w:rPr>
  </w:style>
  <w:style w:type="character" w:customStyle="1" w:styleId="683">
    <w:name w:val="t_tag"/>
    <w:basedOn w:val="94"/>
    <w:qFormat/>
    <w:uiPriority w:val="0"/>
  </w:style>
  <w:style w:type="paragraph" w:customStyle="1" w:styleId="684">
    <w:name w:val="Char Char Char Char Char Char Char Char Char1 Char Char Char Char Char Char Char Char1 Char Char Char"/>
    <w:basedOn w:val="1"/>
    <w:qFormat/>
    <w:uiPriority w:val="0"/>
    <w:pPr>
      <w:snapToGrid w:val="0"/>
      <w:spacing w:line="360" w:lineRule="auto"/>
      <w:ind w:firstLine="200" w:firstLineChars="200"/>
    </w:pPr>
    <w:rPr>
      <w:rFonts w:eastAsia="仿宋_GB2312"/>
      <w:sz w:val="24"/>
    </w:rPr>
  </w:style>
  <w:style w:type="paragraph" w:customStyle="1" w:styleId="685">
    <w:name w:val="样式 标题 2 + 段前: 0 磅"/>
    <w:basedOn w:val="3"/>
    <w:qFormat/>
    <w:uiPriority w:val="0"/>
    <w:pPr>
      <w:numPr>
        <w:ilvl w:val="0"/>
        <w:numId w:val="0"/>
      </w:numPr>
      <w:tabs>
        <w:tab w:val="clear" w:pos="0"/>
      </w:tabs>
      <w:spacing w:beforeLines="0" w:afterLines="0" w:line="520" w:lineRule="exact"/>
    </w:pPr>
    <w:rPr>
      <w:rFonts w:ascii="Arial" w:hAnsi="Arial" w:eastAsia="宋体" w:cs="宋体"/>
      <w:bCs/>
      <w:spacing w:val="0"/>
      <w:kern w:val="2"/>
      <w:sz w:val="24"/>
      <w:szCs w:val="20"/>
    </w:rPr>
  </w:style>
  <w:style w:type="paragraph" w:customStyle="1" w:styleId="686">
    <w:name w:val="小四表文居中"/>
    <w:qFormat/>
    <w:uiPriority w:val="0"/>
    <w:pPr>
      <w:widowControl w:val="0"/>
      <w:jc w:val="center"/>
    </w:pPr>
    <w:rPr>
      <w:rFonts w:ascii="Times New Roman" w:hAnsi="Times New Roman" w:eastAsia="宋体" w:cs="Times New Roman"/>
      <w:color w:val="000000"/>
      <w:kern w:val="2"/>
      <w:sz w:val="21"/>
      <w:szCs w:val="21"/>
      <w:lang w:val="en-US" w:eastAsia="zh-CN" w:bidi="ar-SA"/>
    </w:rPr>
  </w:style>
  <w:style w:type="character" w:customStyle="1" w:styleId="687">
    <w:name w:val="Char Char7"/>
    <w:qFormat/>
    <w:uiPriority w:val="0"/>
    <w:rPr>
      <w:rFonts w:eastAsia="宋体"/>
      <w:kern w:val="2"/>
      <w:sz w:val="21"/>
      <w:szCs w:val="24"/>
      <w:lang w:val="en-US" w:eastAsia="zh-CN" w:bidi="ar-SA"/>
    </w:rPr>
  </w:style>
  <w:style w:type="character" w:customStyle="1" w:styleId="688">
    <w:name w:val="Char Char10"/>
    <w:qFormat/>
    <w:uiPriority w:val="0"/>
    <w:rPr>
      <w:rFonts w:eastAsia="宋体"/>
      <w:kern w:val="2"/>
      <w:sz w:val="21"/>
      <w:szCs w:val="24"/>
      <w:lang w:val="en-US" w:eastAsia="zh-CN" w:bidi="ar-SA"/>
    </w:rPr>
  </w:style>
  <w:style w:type="table" w:customStyle="1" w:styleId="689">
    <w:name w:val="环评格式"/>
    <w:basedOn w:val="112"/>
    <w:qFormat/>
    <w:uiPriority w:val="0"/>
    <w:rPr>
      <w:sz w:val="21"/>
    </w:rPr>
    <w:tblPr>
      <w:jc w:val="center"/>
      <w:tblBorders>
        <w:right w:val="single" w:color="auto" w:sz="2" w:space="0"/>
      </w:tblBorders>
    </w:tblPr>
    <w:trPr>
      <w:jc w:val="center"/>
    </w:trPr>
    <w:tblStylePr w:type="firstRow">
      <w:tcPr>
        <w:tcBorders>
          <w:top w:val="single" w:color="000000" w:sz="6" w:space="0"/>
          <w:bottom w:val="single" w:color="000000" w:sz="12" w:space="0"/>
          <w:tl2br w:val="nil"/>
          <w:tr2bl w:val="nil"/>
        </w:tcBorders>
      </w:tcPr>
    </w:tblStylePr>
    <w:tblStylePr w:type="lastRow">
      <w:tcPr>
        <w:tcBorders>
          <w:top w:val="single" w:color="000000" w:sz="12" w:space="0"/>
          <w:tl2br w:val="nil"/>
          <w:tr2bl w:val="nil"/>
        </w:tcBorders>
        <w:shd w:val="pct25" w:color="800080" w:fill="FFFFFF"/>
      </w:tcPr>
    </w:tblStylePr>
    <w:tblStylePr w:type="firstCol">
      <w:tcPr>
        <w:tcBorders>
          <w:right w:val="single" w:color="000000" w:sz="12" w:space="0"/>
          <w:tl2br w:val="nil"/>
          <w:tr2bl w:val="nil"/>
        </w:tcBorders>
      </w:tcPr>
    </w:tblStylePr>
    <w:tblStylePr w:type="lastCol">
      <w:tcPr>
        <w:tcBorders>
          <w:left w:val="single" w:color="000000" w:sz="12" w:space="0"/>
          <w:tl2br w:val="nil"/>
          <w:tr2bl w:val="nil"/>
        </w:tcBorders>
      </w:tcPr>
    </w:tblStylePr>
    <w:tblStylePr w:type="band1Horz">
      <w:tcPr>
        <w:tcBorders>
          <w:bottom w:val="single" w:color="000000" w:sz="6" w:space="0"/>
          <w:tl2br w:val="nil"/>
          <w:tr2bl w:val="nil"/>
        </w:tcBorders>
        <w:shd w:val="pct25" w:color="808000" w:fill="FFFFFF"/>
      </w:tcPr>
    </w:tblStylePr>
    <w:tblStylePr w:type="neCell">
      <w:tcPr>
        <w:tcBorders>
          <w:tl2br w:val="nil"/>
          <w:tr2bl w:val="nil"/>
        </w:tcBorders>
      </w:tcPr>
    </w:tblStylePr>
    <w:tblStylePr w:type="swCell">
      <w:tcPr>
        <w:tcBorders>
          <w:tl2br w:val="nil"/>
          <w:tr2bl w:val="nil"/>
        </w:tcBorders>
      </w:tcPr>
    </w:tblStylePr>
  </w:style>
  <w:style w:type="character" w:customStyle="1" w:styleId="690">
    <w:name w:val="Char Char5"/>
    <w:qFormat/>
    <w:uiPriority w:val="0"/>
    <w:rPr>
      <w:rFonts w:ascii="宋体" w:hAnsi="Courier New" w:eastAsia="宋体"/>
      <w:kern w:val="2"/>
      <w:sz w:val="21"/>
      <w:lang w:val="en-US" w:eastAsia="zh-CN" w:bidi="ar-SA"/>
    </w:rPr>
  </w:style>
  <w:style w:type="paragraph" w:customStyle="1" w:styleId="691">
    <w:name w:val="正文改动"/>
    <w:basedOn w:val="1"/>
    <w:qFormat/>
    <w:uiPriority w:val="0"/>
    <w:rPr>
      <w:color w:val="0000FF"/>
    </w:rPr>
  </w:style>
  <w:style w:type="character" w:customStyle="1" w:styleId="692">
    <w:name w:val="报告书表格 Char"/>
    <w:link w:val="175"/>
    <w:qFormat/>
    <w:uiPriority w:val="0"/>
    <w:rPr>
      <w:sz w:val="21"/>
      <w:szCs w:val="21"/>
    </w:rPr>
  </w:style>
  <w:style w:type="character" w:customStyle="1" w:styleId="693">
    <w:name w:val="unnamed2"/>
    <w:basedOn w:val="94"/>
    <w:qFormat/>
    <w:uiPriority w:val="0"/>
  </w:style>
  <w:style w:type="paragraph" w:customStyle="1" w:styleId="694">
    <w:name w:val="样式 正文"/>
    <w:basedOn w:val="1"/>
    <w:qFormat/>
    <w:uiPriority w:val="0"/>
    <w:pPr>
      <w:spacing w:line="360" w:lineRule="auto"/>
      <w:ind w:firstLine="200" w:firstLineChars="200"/>
    </w:pPr>
    <w:rPr>
      <w:rFonts w:ascii="宋体" w:hAnsi="宋体" w:cs="宋体"/>
      <w:color w:val="000000"/>
      <w:sz w:val="28"/>
      <w:szCs w:val="28"/>
    </w:rPr>
  </w:style>
  <w:style w:type="character" w:customStyle="1" w:styleId="695">
    <w:name w:val="b2 Char"/>
    <w:qFormat/>
    <w:uiPriority w:val="0"/>
    <w:rPr>
      <w:rFonts w:ascii="Arial" w:hAnsi="Arial" w:eastAsia="黑体" w:cs="Times New Roman"/>
      <w:b/>
      <w:bCs/>
      <w:kern w:val="0"/>
      <w:sz w:val="30"/>
      <w:szCs w:val="32"/>
    </w:rPr>
  </w:style>
  <w:style w:type="character" w:customStyle="1" w:styleId="696">
    <w:name w:val="Char Char18"/>
    <w:qFormat/>
    <w:uiPriority w:val="0"/>
    <w:rPr>
      <w:rFonts w:ascii="宋体" w:hAnsi="宋体" w:eastAsia="宋体" w:cs="Times New Roman"/>
      <w:color w:val="800000"/>
      <w:kern w:val="0"/>
      <w:sz w:val="28"/>
      <w:szCs w:val="20"/>
    </w:rPr>
  </w:style>
  <w:style w:type="character" w:customStyle="1" w:styleId="697">
    <w:name w:val="标题 5 字符"/>
    <w:link w:val="6"/>
    <w:qFormat/>
    <w:uiPriority w:val="0"/>
    <w:rPr>
      <w:rFonts w:ascii="仿宋_GB2312" w:eastAsia="仿宋_GB2312"/>
      <w:b/>
      <w:bCs/>
      <w:kern w:val="2"/>
      <w:sz w:val="28"/>
      <w:szCs w:val="28"/>
    </w:rPr>
  </w:style>
  <w:style w:type="character" w:customStyle="1" w:styleId="698">
    <w:name w:val="标题 6 字符"/>
    <w:link w:val="7"/>
    <w:qFormat/>
    <w:uiPriority w:val="0"/>
    <w:rPr>
      <w:rFonts w:ascii="Arial" w:hAnsi="Arial" w:eastAsia="黑体"/>
      <w:b/>
      <w:bCs/>
      <w:kern w:val="2"/>
      <w:sz w:val="28"/>
      <w:szCs w:val="24"/>
    </w:rPr>
  </w:style>
  <w:style w:type="character" w:customStyle="1" w:styleId="699">
    <w:name w:val="标题 7 字符"/>
    <w:link w:val="8"/>
    <w:qFormat/>
    <w:uiPriority w:val="0"/>
    <w:rPr>
      <w:rFonts w:ascii="仿宋_GB2312" w:eastAsia="仿宋_GB2312"/>
      <w:b/>
      <w:bCs/>
      <w:kern w:val="2"/>
      <w:sz w:val="28"/>
      <w:szCs w:val="24"/>
    </w:rPr>
  </w:style>
  <w:style w:type="character" w:customStyle="1" w:styleId="700">
    <w:name w:val="标题 8 字符"/>
    <w:link w:val="9"/>
    <w:qFormat/>
    <w:uiPriority w:val="0"/>
    <w:rPr>
      <w:rFonts w:ascii="Arial" w:hAnsi="Arial" w:eastAsia="黑体"/>
      <w:kern w:val="2"/>
      <w:sz w:val="28"/>
      <w:szCs w:val="24"/>
    </w:rPr>
  </w:style>
  <w:style w:type="character" w:customStyle="1" w:styleId="701">
    <w:name w:val="标题 9 字符"/>
    <w:link w:val="10"/>
    <w:qFormat/>
    <w:uiPriority w:val="0"/>
    <w:rPr>
      <w:rFonts w:ascii="Arial" w:hAnsi="Arial" w:eastAsia="黑体"/>
      <w:kern w:val="2"/>
      <w:sz w:val="21"/>
      <w:szCs w:val="21"/>
    </w:rPr>
  </w:style>
  <w:style w:type="paragraph" w:customStyle="1" w:styleId="702">
    <w:name w:val="正文表头"/>
    <w:basedOn w:val="1"/>
    <w:next w:val="1"/>
    <w:qFormat/>
    <w:uiPriority w:val="0"/>
    <w:pPr>
      <w:keepNext/>
      <w:tabs>
        <w:tab w:val="center" w:pos="4253"/>
        <w:tab w:val="center" w:pos="6804"/>
        <w:tab w:val="right" w:pos="8505"/>
      </w:tabs>
      <w:overflowPunct w:val="0"/>
      <w:adjustRightInd w:val="0"/>
      <w:spacing w:before="120" w:line="360" w:lineRule="auto"/>
      <w:jc w:val="center"/>
      <w:textAlignment w:val="baseline"/>
    </w:pPr>
    <w:rPr>
      <w:rFonts w:eastAsia="黑体"/>
      <w:kern w:val="0"/>
      <w:sz w:val="28"/>
      <w:szCs w:val="20"/>
    </w:rPr>
  </w:style>
  <w:style w:type="character" w:customStyle="1" w:styleId="703">
    <w:name w:val="Char Char Char1 Char Char"/>
    <w:qFormat/>
    <w:uiPriority w:val="0"/>
    <w:rPr>
      <w:rFonts w:ascii="Times New Roman" w:hAnsi="Times New Roman" w:eastAsia="宋体" w:cs="Times New Roman"/>
      <w:kern w:val="0"/>
      <w:sz w:val="18"/>
      <w:szCs w:val="18"/>
    </w:rPr>
  </w:style>
  <w:style w:type="character" w:customStyle="1" w:styleId="704">
    <w:name w:val="正文文字缩进 Char Char"/>
    <w:qFormat/>
    <w:uiPriority w:val="0"/>
    <w:rPr>
      <w:rFonts w:ascii="Times New Roman" w:hAnsi="Times New Roman" w:eastAsia="宋体" w:cs="Times New Roman"/>
      <w:sz w:val="28"/>
      <w:szCs w:val="24"/>
    </w:rPr>
  </w:style>
  <w:style w:type="paragraph" w:customStyle="1" w:styleId="705">
    <w:name w:val="标4"/>
    <w:basedOn w:val="706"/>
    <w:qFormat/>
    <w:uiPriority w:val="0"/>
    <w:pPr>
      <w:tabs>
        <w:tab w:val="left" w:pos="360"/>
        <w:tab w:val="left" w:pos="578"/>
        <w:tab w:val="left" w:pos="1021"/>
        <w:tab w:val="left" w:pos="1275"/>
        <w:tab w:val="left" w:pos="1418"/>
        <w:tab w:val="center" w:pos="6804"/>
        <w:tab w:val="right" w:pos="7371"/>
      </w:tabs>
      <w:ind w:left="0" w:firstLine="0"/>
    </w:pPr>
  </w:style>
  <w:style w:type="paragraph" w:customStyle="1" w:styleId="706">
    <w:name w:val="标3"/>
    <w:basedOn w:val="4"/>
    <w:next w:val="44"/>
    <w:qFormat/>
    <w:uiPriority w:val="0"/>
    <w:pPr>
      <w:tabs>
        <w:tab w:val="left" w:pos="578"/>
        <w:tab w:val="left" w:pos="1418"/>
        <w:tab w:val="center" w:pos="6804"/>
        <w:tab w:val="right" w:pos="7371"/>
      </w:tabs>
      <w:overflowPunct w:val="0"/>
      <w:spacing w:before="0" w:after="0" w:line="500" w:lineRule="exact"/>
      <w:ind w:left="1418" w:hanging="567"/>
      <w:textAlignment w:val="baseline"/>
    </w:pPr>
    <w:rPr>
      <w:rFonts w:ascii="宋体" w:hAnsi="宋体"/>
      <w:b w:val="0"/>
      <w:color w:val="0000FF"/>
      <w:sz w:val="28"/>
      <w:szCs w:val="20"/>
    </w:rPr>
  </w:style>
  <w:style w:type="character" w:customStyle="1" w:styleId="707">
    <w:name w:val="Char Char11"/>
    <w:semiHidden/>
    <w:qFormat/>
    <w:uiPriority w:val="0"/>
    <w:rPr>
      <w:rFonts w:ascii="Times New Roman" w:hAnsi="Times New Roman" w:eastAsia="宋体" w:cs="Times New Roman"/>
      <w:kern w:val="0"/>
      <w:sz w:val="24"/>
      <w:szCs w:val="24"/>
    </w:rPr>
  </w:style>
  <w:style w:type="paragraph" w:customStyle="1" w:styleId="708">
    <w:name w:val="Standard"/>
    <w:basedOn w:val="1"/>
    <w:next w:val="1"/>
    <w:qFormat/>
    <w:uiPriority w:val="0"/>
    <w:pPr>
      <w:autoSpaceDE w:val="0"/>
      <w:autoSpaceDN w:val="0"/>
      <w:adjustRightInd w:val="0"/>
      <w:jc w:val="left"/>
    </w:pPr>
    <w:rPr>
      <w:rFonts w:ascii="Arial" w:hAnsi="Arial" w:cs="Arial"/>
      <w:kern w:val="0"/>
      <w:sz w:val="24"/>
    </w:rPr>
  </w:style>
  <w:style w:type="character" w:customStyle="1" w:styleId="709">
    <w:name w:val="正文（首行缩进两字） Char Char Char Char Char Char Char Char Char Char Char Char Char Char Char Char Char Char Char Char Char Char Char Char Char Char Char Char Char Char Char Char Char Char Char Char Char Char Char Char1"/>
    <w:qFormat/>
    <w:uiPriority w:val="0"/>
    <w:rPr>
      <w:rFonts w:eastAsia="宋体"/>
      <w:sz w:val="24"/>
      <w:lang w:val="en-US" w:eastAsia="zh-CN" w:bidi="ar-SA"/>
    </w:rPr>
  </w:style>
  <w:style w:type="character" w:customStyle="1" w:styleId="710">
    <w:name w:val="正文文本缩进 3 字符"/>
    <w:link w:val="69"/>
    <w:qFormat/>
    <w:uiPriority w:val="0"/>
    <w:rPr>
      <w:kern w:val="2"/>
      <w:sz w:val="16"/>
      <w:szCs w:val="16"/>
    </w:rPr>
  </w:style>
  <w:style w:type="paragraph" w:customStyle="1" w:styleId="711">
    <w:name w:val="标2"/>
    <w:basedOn w:val="3"/>
    <w:next w:val="44"/>
    <w:qFormat/>
    <w:uiPriority w:val="0"/>
    <w:pPr>
      <w:numPr>
        <w:ilvl w:val="0"/>
        <w:numId w:val="0"/>
      </w:numPr>
      <w:tabs>
        <w:tab w:val="left" w:pos="992"/>
        <w:tab w:val="center" w:pos="6804"/>
        <w:tab w:val="right" w:pos="7371"/>
        <w:tab w:val="clear" w:pos="0"/>
      </w:tabs>
      <w:overflowPunct w:val="0"/>
      <w:adjustRightInd w:val="0"/>
      <w:spacing w:beforeLines="0" w:afterLines="0"/>
      <w:ind w:left="992" w:hanging="567"/>
      <w:jc w:val="left"/>
      <w:textAlignment w:val="baseline"/>
    </w:pPr>
    <w:rPr>
      <w:rFonts w:ascii="Arial" w:hAnsi="Arial" w:eastAsia="黑体"/>
      <w:spacing w:val="0"/>
      <w:sz w:val="28"/>
      <w:szCs w:val="20"/>
    </w:rPr>
  </w:style>
  <w:style w:type="paragraph" w:customStyle="1" w:styleId="712">
    <w:name w:val="13"/>
    <w:basedOn w:val="1"/>
    <w:next w:val="34"/>
    <w:qFormat/>
    <w:uiPriority w:val="0"/>
    <w:pPr>
      <w:ind w:firstLine="538" w:firstLineChars="192"/>
    </w:pPr>
    <w:rPr>
      <w:rFonts w:ascii="宋体" w:hAnsi="宋体"/>
      <w:sz w:val="28"/>
    </w:rPr>
  </w:style>
  <w:style w:type="paragraph" w:customStyle="1" w:styleId="713">
    <w:name w:val="Default Text:1"/>
    <w:basedOn w:val="1"/>
    <w:qFormat/>
    <w:uiPriority w:val="0"/>
    <w:pPr>
      <w:widowControl/>
      <w:overflowPunct w:val="0"/>
      <w:autoSpaceDE w:val="0"/>
      <w:autoSpaceDN w:val="0"/>
      <w:adjustRightInd w:val="0"/>
      <w:jc w:val="left"/>
      <w:textAlignment w:val="baseline"/>
    </w:pPr>
    <w:rPr>
      <w:kern w:val="0"/>
      <w:sz w:val="24"/>
      <w:szCs w:val="20"/>
    </w:rPr>
  </w:style>
  <w:style w:type="paragraph" w:customStyle="1" w:styleId="714">
    <w:name w:val="表格头"/>
    <w:qFormat/>
    <w:uiPriority w:val="0"/>
    <w:pPr>
      <w:spacing w:before="120" w:after="120" w:line="480" w:lineRule="atLeast"/>
      <w:jc w:val="center"/>
    </w:pPr>
    <w:rPr>
      <w:rFonts w:ascii="Times New Roman" w:hAnsi="Times New Roman" w:eastAsia="宋体" w:cs="Times New Roman"/>
      <w:sz w:val="24"/>
      <w:lang w:val="en-US" w:eastAsia="zh-CN" w:bidi="ar-SA"/>
    </w:rPr>
  </w:style>
  <w:style w:type="character" w:customStyle="1" w:styleId="715">
    <w:name w:val="n41"/>
    <w:qFormat/>
    <w:uiPriority w:val="0"/>
    <w:rPr>
      <w:color w:val="000099"/>
      <w:sz w:val="18"/>
      <w:szCs w:val="18"/>
      <w:u w:val="none"/>
    </w:rPr>
  </w:style>
  <w:style w:type="paragraph" w:customStyle="1" w:styleId="716">
    <w:name w:val="5"/>
    <w:basedOn w:val="1"/>
    <w:next w:val="50"/>
    <w:qFormat/>
    <w:uiPriority w:val="0"/>
    <w:pPr>
      <w:spacing w:line="360" w:lineRule="auto"/>
      <w:ind w:firstLine="525"/>
    </w:pPr>
    <w:rPr>
      <w:sz w:val="24"/>
      <w:szCs w:val="20"/>
    </w:rPr>
  </w:style>
  <w:style w:type="character" w:customStyle="1" w:styleId="717">
    <w:name w:val="nors1"/>
    <w:qFormat/>
    <w:uiPriority w:val="0"/>
    <w:rPr>
      <w:rFonts w:ascii="宋体" w:hAnsi="宋体" w:eastAsia="宋体"/>
      <w:sz w:val="21"/>
    </w:rPr>
  </w:style>
  <w:style w:type="character" w:customStyle="1" w:styleId="718">
    <w:name w:val="标题 1 Char Char Char Char Char Char Char Char Char Char Char Char Char Char Char Char Char Char Char Char Char Char Char Char Char Char Char Char Char Char Char Char Char Char Char Char Char Char Char Char Char Char Char Char Char Char Char Char Char"/>
    <w:qFormat/>
    <w:uiPriority w:val="0"/>
    <w:rPr>
      <w:rFonts w:ascii="黑体" w:hAnsi="Arial Unicode MS" w:eastAsia="黑体"/>
      <w:kern w:val="44"/>
      <w:sz w:val="28"/>
      <w:szCs w:val="28"/>
      <w:lang w:val="en-US" w:eastAsia="zh-CN" w:bidi="ar-SA"/>
    </w:rPr>
  </w:style>
  <w:style w:type="character" w:customStyle="1" w:styleId="719">
    <w:name w:val="标题 Char Char Char Char Char Char Char Char Char Char Char Char Char Char Char Char Char Char Char Char Char Char Char Char Char1"/>
    <w:qFormat/>
    <w:uiPriority w:val="0"/>
    <w:rPr>
      <w:rFonts w:ascii="Times New Roman" w:hAnsi="Times New Roman" w:eastAsia="黑体" w:cs="Times New Roman"/>
      <w:sz w:val="32"/>
      <w:szCs w:val="24"/>
    </w:rPr>
  </w:style>
  <w:style w:type="character" w:customStyle="1" w:styleId="720">
    <w:name w:val="标题 Char Char Char Char Char Char Char Char Char Char Char Char Char Char Char Char Char Char Char Char Char Char Char Char Char"/>
    <w:qFormat/>
    <w:uiPriority w:val="0"/>
    <w:rPr>
      <w:rFonts w:eastAsia="黑体"/>
      <w:kern w:val="2"/>
      <w:sz w:val="32"/>
      <w:szCs w:val="24"/>
      <w:lang w:val="en-US" w:eastAsia="zh-CN" w:bidi="ar-SA"/>
    </w:rPr>
  </w:style>
  <w:style w:type="character" w:customStyle="1" w:styleId="721">
    <w:name w:val="tpc_content1"/>
    <w:qFormat/>
    <w:uiPriority w:val="0"/>
    <w:rPr>
      <w:sz w:val="20"/>
      <w:szCs w:val="20"/>
    </w:rPr>
  </w:style>
  <w:style w:type="character" w:customStyle="1" w:styleId="722">
    <w:name w:val="tpc_title1"/>
    <w:qFormat/>
    <w:uiPriority w:val="0"/>
    <w:rPr>
      <w:b/>
      <w:bCs/>
      <w:sz w:val="18"/>
      <w:szCs w:val="18"/>
    </w:rPr>
  </w:style>
  <w:style w:type="paragraph" w:customStyle="1" w:styleId="723">
    <w:name w:val="image_subtitle"/>
    <w:basedOn w:val="1"/>
    <w:qFormat/>
    <w:uiPriority w:val="0"/>
    <w:pPr>
      <w:widowControl/>
      <w:jc w:val="left"/>
    </w:pPr>
    <w:rPr>
      <w:rFonts w:ascii="宋体" w:hAnsi="宋体" w:cs="宋体"/>
      <w:kern w:val="0"/>
      <w:sz w:val="15"/>
      <w:szCs w:val="15"/>
    </w:rPr>
  </w:style>
  <w:style w:type="character" w:customStyle="1" w:styleId="724">
    <w:name w:val="red1"/>
    <w:qFormat/>
    <w:uiPriority w:val="0"/>
    <w:rPr>
      <w:color w:val="FF3300"/>
    </w:rPr>
  </w:style>
  <w:style w:type="paragraph" w:customStyle="1" w:styleId="725">
    <w:name w:val="标准中文版式_正文"/>
    <w:basedOn w:val="1"/>
    <w:qFormat/>
    <w:uiPriority w:val="0"/>
    <w:pPr>
      <w:spacing w:before="30" w:line="360" w:lineRule="auto"/>
    </w:pPr>
    <w:rPr>
      <w:rFonts w:ascii="Arial" w:hAnsi="Arial"/>
      <w:sz w:val="24"/>
      <w:szCs w:val="20"/>
    </w:rPr>
  </w:style>
  <w:style w:type="paragraph" w:customStyle="1" w:styleId="726">
    <w:name w:val="正文文字3"/>
    <w:basedOn w:val="1"/>
    <w:qFormat/>
    <w:uiPriority w:val="0"/>
    <w:pPr>
      <w:spacing w:before="60" w:after="60" w:line="500" w:lineRule="exact"/>
      <w:ind w:left="1021" w:firstLine="567"/>
    </w:pPr>
    <w:rPr>
      <w:sz w:val="28"/>
      <w:szCs w:val="20"/>
    </w:rPr>
  </w:style>
  <w:style w:type="paragraph" w:customStyle="1" w:styleId="727">
    <w:name w:val="myfont9new"/>
    <w:basedOn w:val="1"/>
    <w:qFormat/>
    <w:uiPriority w:val="0"/>
    <w:pPr>
      <w:widowControl/>
      <w:spacing w:before="100" w:beforeAutospacing="1" w:after="100" w:afterAutospacing="1"/>
      <w:jc w:val="left"/>
    </w:pPr>
    <w:rPr>
      <w:rFonts w:ascii="宋体" w:hAnsi="宋体"/>
      <w:kern w:val="0"/>
      <w:sz w:val="24"/>
    </w:rPr>
  </w:style>
  <w:style w:type="character" w:customStyle="1" w:styleId="728">
    <w:name w:val="maintext"/>
    <w:basedOn w:val="94"/>
    <w:qFormat/>
    <w:uiPriority w:val="0"/>
  </w:style>
  <w:style w:type="paragraph" w:customStyle="1" w:styleId="729">
    <w:name w:val="正文2"/>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paragraph" w:customStyle="1" w:styleId="730">
    <w:name w:val="首消息标题"/>
    <w:basedOn w:val="78"/>
    <w:next w:val="78"/>
    <w:qFormat/>
    <w:uiPriority w:val="0"/>
    <w:pPr>
      <w:keepLines/>
      <w:widowControl/>
      <w:pBdr>
        <w:top w:val="none" w:color="auto" w:sz="0" w:space="0"/>
        <w:left w:val="none" w:color="auto" w:sz="0" w:space="0"/>
        <w:bottom w:val="none" w:color="auto" w:sz="0" w:space="0"/>
        <w:right w:val="none" w:color="auto" w:sz="0" w:space="0"/>
      </w:pBdr>
      <w:shd w:val="clear" w:color="auto" w:fill="auto"/>
      <w:tabs>
        <w:tab w:val="left" w:pos="720"/>
        <w:tab w:val="left" w:pos="4320"/>
        <w:tab w:val="left" w:pos="5040"/>
        <w:tab w:val="right" w:pos="8640"/>
      </w:tabs>
      <w:spacing w:before="0" w:after="40" w:line="440" w:lineRule="atLeast"/>
      <w:ind w:left="0" w:firstLine="0"/>
      <w:jc w:val="left"/>
    </w:pPr>
    <w:rPr>
      <w:rFonts w:eastAsia="宋体"/>
      <w:spacing w:val="-5"/>
      <w:sz w:val="21"/>
      <w:lang w:bidi="he-IL"/>
    </w:rPr>
  </w:style>
  <w:style w:type="character" w:customStyle="1" w:styleId="731">
    <w:name w:val="消息标题标签"/>
    <w:qFormat/>
    <w:uiPriority w:val="0"/>
    <w:rPr>
      <w:rFonts w:ascii="Arial Black" w:hAnsi="Arial Black" w:eastAsia="黑体"/>
      <w:b/>
      <w:sz w:val="18"/>
      <w:lang w:eastAsia="zh-CN"/>
    </w:rPr>
  </w:style>
  <w:style w:type="paragraph" w:customStyle="1" w:styleId="732">
    <w:name w:val="文档标签"/>
    <w:basedOn w:val="1"/>
    <w:qFormat/>
    <w:uiPriority w:val="0"/>
    <w:pPr>
      <w:keepNext/>
      <w:keepLines/>
      <w:widowControl/>
      <w:spacing w:before="400" w:after="120" w:line="240" w:lineRule="atLeast"/>
      <w:jc w:val="left"/>
    </w:pPr>
    <w:rPr>
      <w:rFonts w:ascii="Arial Black" w:hAnsi="Arial Black"/>
      <w:spacing w:val="-100"/>
      <w:kern w:val="28"/>
      <w:sz w:val="108"/>
      <w:szCs w:val="20"/>
      <w:lang w:bidi="he-IL"/>
    </w:rPr>
  </w:style>
  <w:style w:type="character" w:customStyle="1" w:styleId="733">
    <w:name w:val="头 Char Char"/>
    <w:qFormat/>
    <w:uiPriority w:val="0"/>
    <w:rPr>
      <w:rFonts w:ascii="宋体" w:hAnsi="宋体" w:eastAsia="宋体"/>
      <w:b/>
      <w:bCs/>
      <w:color w:val="0000FF"/>
      <w:sz w:val="28"/>
      <w:lang w:val="en-US" w:eastAsia="zh-CN" w:bidi="ar-SA"/>
    </w:rPr>
  </w:style>
  <w:style w:type="paragraph" w:customStyle="1" w:styleId="734">
    <w:name w:val="表注"/>
    <w:link w:val="1777"/>
    <w:qFormat/>
    <w:uiPriority w:val="0"/>
    <w:pPr>
      <w:adjustRightInd w:val="0"/>
    </w:pPr>
    <w:rPr>
      <w:rFonts w:ascii="Times New Roman" w:hAnsi="Times New Roman" w:eastAsia="宋体" w:cs="Times New Roman"/>
      <w:kern w:val="15"/>
      <w:sz w:val="15"/>
      <w:lang w:val="en-US" w:eastAsia="zh-CN" w:bidi="ar-SA"/>
    </w:rPr>
  </w:style>
  <w:style w:type="paragraph" w:customStyle="1" w:styleId="735">
    <w:name w:val="7"/>
    <w:basedOn w:val="1"/>
    <w:next w:val="34"/>
    <w:qFormat/>
    <w:uiPriority w:val="0"/>
    <w:pPr>
      <w:ind w:firstLine="538" w:firstLineChars="192"/>
    </w:pPr>
    <w:rPr>
      <w:rFonts w:ascii="宋体" w:hAnsi="宋体"/>
      <w:sz w:val="28"/>
    </w:rPr>
  </w:style>
  <w:style w:type="character" w:customStyle="1" w:styleId="736">
    <w:name w:val="carboy"/>
    <w:basedOn w:val="94"/>
    <w:qFormat/>
    <w:uiPriority w:val="0"/>
  </w:style>
  <w:style w:type="character" w:customStyle="1" w:styleId="737">
    <w:name w:val="12h"/>
    <w:basedOn w:val="94"/>
    <w:qFormat/>
    <w:uiPriority w:val="0"/>
  </w:style>
  <w:style w:type="character" w:customStyle="1" w:styleId="738">
    <w:name w:val="unnamed21"/>
    <w:qFormat/>
    <w:uiPriority w:val="0"/>
    <w:rPr>
      <w:color w:val="000000"/>
    </w:rPr>
  </w:style>
  <w:style w:type="paragraph" w:customStyle="1" w:styleId="739">
    <w:name w:val="说明1"/>
    <w:basedOn w:val="1"/>
    <w:qFormat/>
    <w:uiPriority w:val="0"/>
    <w:pPr>
      <w:keepLines/>
      <w:widowControl/>
      <w:suppressLineNumbers/>
      <w:suppressAutoHyphens/>
      <w:spacing w:before="60" w:after="60" w:line="320" w:lineRule="atLeast"/>
    </w:pPr>
    <w:rPr>
      <w:kern w:val="21"/>
      <w:szCs w:val="20"/>
    </w:rPr>
  </w:style>
  <w:style w:type="paragraph" w:customStyle="1" w:styleId="740">
    <w:name w:val="p9"/>
    <w:basedOn w:val="1"/>
    <w:qFormat/>
    <w:uiPriority w:val="0"/>
    <w:pPr>
      <w:widowControl/>
      <w:spacing w:before="100" w:beforeAutospacing="1" w:after="100" w:afterAutospacing="1" w:line="432" w:lineRule="auto"/>
      <w:jc w:val="left"/>
    </w:pPr>
    <w:rPr>
      <w:rFonts w:ascii="ˎ̥" w:hAnsi="ˎ̥" w:cs="宋体"/>
      <w:color w:val="000000"/>
      <w:kern w:val="0"/>
      <w:sz w:val="18"/>
      <w:szCs w:val="18"/>
    </w:rPr>
  </w:style>
  <w:style w:type="paragraph" w:customStyle="1" w:styleId="741">
    <w:name w:val="12"/>
    <w:basedOn w:val="1"/>
    <w:next w:val="44"/>
    <w:qFormat/>
    <w:uiPriority w:val="0"/>
    <w:pPr>
      <w:widowControl/>
      <w:jc w:val="left"/>
    </w:pPr>
    <w:rPr>
      <w:rFonts w:ascii="Arial" w:hAnsi="Arial" w:eastAsia="Times"/>
      <w:kern w:val="0"/>
      <w:sz w:val="24"/>
      <w:szCs w:val="20"/>
      <w:lang w:eastAsia="en-US"/>
    </w:rPr>
  </w:style>
  <w:style w:type="character" w:customStyle="1" w:styleId="742">
    <w:name w:val="text3"/>
    <w:qFormat/>
    <w:uiPriority w:val="0"/>
    <w:rPr>
      <w:rFonts w:hint="default" w:ascii="ˎ̥" w:hAnsi="ˎ̥"/>
      <w:color w:val="000000"/>
      <w:sz w:val="12"/>
      <w:szCs w:val="12"/>
    </w:rPr>
  </w:style>
  <w:style w:type="character" w:customStyle="1" w:styleId="743">
    <w:name w:val="正文（首行缩进两字） Char Char Char Char Char Char Char Char Char Char Char Char Char Char Char Char Char Char Char Char Char Char Char Char Char Char Char Char Char Char Char Char Char Char Char Char Char Char Char Char Char Char"/>
    <w:qFormat/>
    <w:uiPriority w:val="0"/>
    <w:rPr>
      <w:rFonts w:eastAsia="宋体"/>
      <w:sz w:val="24"/>
      <w:lang w:val="en-US" w:eastAsia="zh-CN" w:bidi="ar-SA"/>
    </w:rPr>
  </w:style>
  <w:style w:type="paragraph" w:customStyle="1" w:styleId="744">
    <w:name w:val="11"/>
    <w:basedOn w:val="1"/>
    <w:next w:val="34"/>
    <w:qFormat/>
    <w:uiPriority w:val="0"/>
    <w:pPr>
      <w:spacing w:line="360" w:lineRule="auto"/>
      <w:ind w:firstLine="500"/>
    </w:pPr>
    <w:rPr>
      <w:rFonts w:ascii="Plotter" w:hAnsi="Plotter"/>
      <w:sz w:val="24"/>
      <w:szCs w:val="20"/>
    </w:rPr>
  </w:style>
  <w:style w:type="paragraph" w:customStyle="1" w:styleId="745">
    <w:name w:val="10"/>
    <w:basedOn w:val="1"/>
    <w:next w:val="33"/>
    <w:qFormat/>
    <w:uiPriority w:val="0"/>
    <w:pPr>
      <w:spacing w:after="120"/>
    </w:pPr>
  </w:style>
  <w:style w:type="character" w:customStyle="1" w:styleId="746">
    <w:name w:val="font1"/>
    <w:qFormat/>
    <w:uiPriority w:val="0"/>
    <w:rPr>
      <w:rFonts w:hint="default" w:ascii="GB2312" w:hAnsi="GB2312"/>
      <w:sz w:val="18"/>
      <w:szCs w:val="18"/>
    </w:rPr>
  </w:style>
  <w:style w:type="character" w:customStyle="1" w:styleId="747">
    <w:name w:val="s14zong1"/>
    <w:qFormat/>
    <w:uiPriority w:val="0"/>
    <w:rPr>
      <w:rFonts w:hint="eastAsia" w:ascii="宋体" w:hAnsi="宋体" w:eastAsia="宋体"/>
      <w:color w:val="663333"/>
      <w:sz w:val="21"/>
      <w:szCs w:val="21"/>
    </w:rPr>
  </w:style>
  <w:style w:type="character" w:customStyle="1" w:styleId="748">
    <w:name w:val="标题 Char Char Char Char Char Char Char Char"/>
    <w:qFormat/>
    <w:uiPriority w:val="0"/>
    <w:rPr>
      <w:rFonts w:eastAsia="黑体"/>
      <w:kern w:val="2"/>
      <w:sz w:val="32"/>
      <w:szCs w:val="24"/>
      <w:lang w:val="en-US" w:eastAsia="zh-CN" w:bidi="ar-SA"/>
    </w:rPr>
  </w:style>
  <w:style w:type="character" w:customStyle="1" w:styleId="749">
    <w:name w:val="black12px1"/>
    <w:qFormat/>
    <w:uiPriority w:val="0"/>
    <w:rPr>
      <w:rFonts w:hint="default" w:ascii="ˎ̥" w:hAnsi="ˎ̥"/>
      <w:color w:val="000000"/>
      <w:sz w:val="18"/>
      <w:szCs w:val="18"/>
    </w:rPr>
  </w:style>
  <w:style w:type="paragraph" w:customStyle="1" w:styleId="750">
    <w:name w:val="9"/>
    <w:basedOn w:val="1"/>
    <w:next w:val="33"/>
    <w:qFormat/>
    <w:uiPriority w:val="0"/>
    <w:rPr>
      <w:sz w:val="28"/>
      <w:szCs w:val="20"/>
    </w:rPr>
  </w:style>
  <w:style w:type="paragraph" w:customStyle="1" w:styleId="751">
    <w:name w:val="8"/>
    <w:basedOn w:val="1"/>
    <w:next w:val="50"/>
    <w:qFormat/>
    <w:uiPriority w:val="0"/>
    <w:pPr>
      <w:widowControl/>
      <w:spacing w:line="360" w:lineRule="auto"/>
      <w:ind w:firstLine="560"/>
      <w:jc w:val="left"/>
    </w:pPr>
    <w:rPr>
      <w:kern w:val="0"/>
      <w:sz w:val="28"/>
    </w:rPr>
  </w:style>
  <w:style w:type="character" w:customStyle="1" w:styleId="752">
    <w:name w:val="样式 正文 Char"/>
    <w:qFormat/>
    <w:uiPriority w:val="0"/>
    <w:rPr>
      <w:rFonts w:ascii="宋体" w:hAnsi="宋体" w:eastAsia="宋体" w:cs="宋体"/>
      <w:color w:val="000000"/>
      <w:kern w:val="2"/>
      <w:sz w:val="28"/>
      <w:szCs w:val="28"/>
      <w:lang w:val="en-US" w:eastAsia="zh-CN" w:bidi="ar-SA"/>
    </w:rPr>
  </w:style>
  <w:style w:type="paragraph" w:customStyle="1" w:styleId="753">
    <w:name w:val="样式 标题1"/>
    <w:basedOn w:val="694"/>
    <w:qFormat/>
    <w:uiPriority w:val="0"/>
    <w:pPr>
      <w:tabs>
        <w:tab w:val="left" w:pos="0"/>
      </w:tabs>
      <w:ind w:firstLine="0" w:firstLineChars="0"/>
      <w:outlineLvl w:val="0"/>
    </w:pPr>
    <w:rPr>
      <w:b/>
    </w:rPr>
  </w:style>
  <w:style w:type="paragraph" w:customStyle="1" w:styleId="754">
    <w:name w:val="样式 标题2"/>
    <w:basedOn w:val="694"/>
    <w:qFormat/>
    <w:uiPriority w:val="0"/>
    <w:pPr>
      <w:tabs>
        <w:tab w:val="left" w:pos="0"/>
      </w:tabs>
      <w:ind w:firstLine="0" w:firstLineChars="0"/>
      <w:outlineLvl w:val="1"/>
    </w:pPr>
    <w:rPr>
      <w:b/>
    </w:rPr>
  </w:style>
  <w:style w:type="paragraph" w:customStyle="1" w:styleId="755">
    <w:name w:val="样式 标题3"/>
    <w:basedOn w:val="694"/>
    <w:qFormat/>
    <w:uiPriority w:val="0"/>
    <w:pPr>
      <w:tabs>
        <w:tab w:val="left" w:pos="0"/>
      </w:tabs>
      <w:ind w:firstLine="0" w:firstLineChars="0"/>
      <w:outlineLvl w:val="2"/>
    </w:pPr>
    <w:rPr>
      <w:b/>
    </w:rPr>
  </w:style>
  <w:style w:type="paragraph" w:customStyle="1" w:styleId="756">
    <w:name w:val="样式 标题4"/>
    <w:basedOn w:val="694"/>
    <w:qFormat/>
    <w:uiPriority w:val="0"/>
    <w:pPr>
      <w:tabs>
        <w:tab w:val="left" w:pos="0"/>
      </w:tabs>
      <w:ind w:firstLine="0" w:firstLineChars="0"/>
      <w:outlineLvl w:val="3"/>
    </w:pPr>
    <w:rPr>
      <w:rFonts w:hAnsi="Times New Roman"/>
    </w:rPr>
  </w:style>
  <w:style w:type="paragraph" w:customStyle="1" w:styleId="757">
    <w:name w:val="10 Char Char Char Char Char Char Char"/>
    <w:basedOn w:val="1"/>
    <w:qFormat/>
    <w:uiPriority w:val="0"/>
    <w:rPr>
      <w:szCs w:val="21"/>
    </w:rPr>
  </w:style>
  <w:style w:type="paragraph" w:customStyle="1" w:styleId="758">
    <w:name w:val="样式 表格文字"/>
    <w:basedOn w:val="694"/>
    <w:qFormat/>
    <w:uiPriority w:val="0"/>
    <w:pPr>
      <w:spacing w:beforeLines="25" w:afterLines="25" w:line="240" w:lineRule="auto"/>
      <w:ind w:firstLine="0" w:firstLineChars="0"/>
    </w:pPr>
    <w:rPr>
      <w:sz w:val="24"/>
      <w:szCs w:val="24"/>
    </w:rPr>
  </w:style>
  <w:style w:type="paragraph" w:customStyle="1" w:styleId="759">
    <w:name w:val="样式 表格文字 Char + 段前: 0.5 行"/>
    <w:basedOn w:val="1"/>
    <w:qFormat/>
    <w:uiPriority w:val="0"/>
    <w:pPr>
      <w:spacing w:beforeLines="50"/>
      <w:jc w:val="center"/>
    </w:pPr>
    <w:rPr>
      <w:sz w:val="24"/>
      <w:szCs w:val="20"/>
    </w:rPr>
  </w:style>
  <w:style w:type="paragraph" w:customStyle="1" w:styleId="760">
    <w:name w:val="Char9"/>
    <w:basedOn w:val="1"/>
    <w:qFormat/>
    <w:uiPriority w:val="0"/>
    <w:rPr>
      <w:szCs w:val="21"/>
    </w:rPr>
  </w:style>
  <w:style w:type="character" w:customStyle="1" w:styleId="761">
    <w:name w:val="style21"/>
    <w:qFormat/>
    <w:uiPriority w:val="0"/>
    <w:rPr>
      <w:b/>
      <w:color w:val="993300"/>
      <w:sz w:val="27"/>
    </w:rPr>
  </w:style>
  <w:style w:type="paragraph" w:customStyle="1" w:styleId="762">
    <w:name w:val="样式 样式 标题3 + 小四"/>
    <w:basedOn w:val="755"/>
    <w:qFormat/>
    <w:uiPriority w:val="0"/>
    <w:pPr>
      <w:tabs>
        <w:tab w:val="left" w:pos="1418"/>
        <w:tab w:val="clear" w:pos="0"/>
      </w:tabs>
      <w:ind w:left="1418" w:hanging="567"/>
    </w:pPr>
    <w:rPr>
      <w:bCs/>
      <w:sz w:val="24"/>
    </w:rPr>
  </w:style>
  <w:style w:type="character" w:customStyle="1" w:styleId="763">
    <w:name w:val="正文文字缩进 2 Char Char"/>
    <w:semiHidden/>
    <w:qFormat/>
    <w:uiPriority w:val="0"/>
    <w:rPr>
      <w:rFonts w:eastAsia="宋体"/>
      <w:sz w:val="28"/>
      <w:szCs w:val="24"/>
      <w:lang w:val="en-US" w:eastAsia="zh-CN" w:bidi="ar-SA"/>
    </w:rPr>
  </w:style>
  <w:style w:type="character" w:customStyle="1" w:styleId="764">
    <w:name w:val="XYF1 Char"/>
    <w:link w:val="271"/>
    <w:qFormat/>
    <w:uiPriority w:val="0"/>
    <w:rPr>
      <w:kern w:val="2"/>
      <w:sz w:val="24"/>
      <w:szCs w:val="24"/>
    </w:rPr>
  </w:style>
  <w:style w:type="paragraph" w:customStyle="1" w:styleId="765">
    <w:name w:val="样式15"/>
    <w:basedOn w:val="1"/>
    <w:qFormat/>
    <w:uiPriority w:val="0"/>
    <w:pPr>
      <w:shd w:val="clear" w:color="auto" w:fill="FFFFFF"/>
      <w:adjustRightInd w:val="0"/>
      <w:jc w:val="center"/>
      <w:textAlignment w:val="baseline"/>
    </w:pPr>
    <w:rPr>
      <w:rFonts w:ascii="仿宋_GB2312" w:hAnsi="宋体" w:eastAsia="仿宋_GB2312"/>
      <w:sz w:val="24"/>
    </w:rPr>
  </w:style>
  <w:style w:type="character" w:customStyle="1" w:styleId="766">
    <w:name w:val="1) Char"/>
    <w:qFormat/>
    <w:uiPriority w:val="0"/>
    <w:rPr>
      <w:rFonts w:ascii="仿宋_GB2312" w:hAnsi="宋体" w:eastAsia="仿宋_GB2312" w:cs="宋体"/>
      <w:color w:val="FF0000"/>
      <w:sz w:val="28"/>
      <w:szCs w:val="24"/>
    </w:rPr>
  </w:style>
  <w:style w:type="character" w:customStyle="1" w:styleId="767">
    <w:name w:val="无节 Char"/>
    <w:qFormat/>
    <w:uiPriority w:val="0"/>
    <w:rPr>
      <w:rFonts w:ascii="Arial" w:hAnsi="Arial" w:eastAsia="黑体"/>
      <w:b/>
      <w:bCs/>
      <w:sz w:val="24"/>
      <w:szCs w:val="24"/>
    </w:rPr>
  </w:style>
  <w:style w:type="character" w:customStyle="1" w:styleId="768">
    <w:name w:val="标题 7 表 Char"/>
    <w:qFormat/>
    <w:uiPriority w:val="0"/>
    <w:rPr>
      <w:rFonts w:ascii="宋体" w:hAnsi="宋体" w:cs="宋体"/>
      <w:b/>
      <w:bCs/>
      <w:sz w:val="24"/>
      <w:szCs w:val="24"/>
    </w:rPr>
  </w:style>
  <w:style w:type="character" w:customStyle="1" w:styleId="769">
    <w:name w:val="无节款 Char"/>
    <w:qFormat/>
    <w:uiPriority w:val="0"/>
    <w:rPr>
      <w:rFonts w:ascii="Arial" w:hAnsi="Arial" w:eastAsia="黑体"/>
      <w:sz w:val="24"/>
      <w:szCs w:val="24"/>
    </w:rPr>
  </w:style>
  <w:style w:type="character" w:customStyle="1" w:styleId="770">
    <w:name w:val="h9 Char"/>
    <w:qFormat/>
    <w:uiPriority w:val="0"/>
    <w:rPr>
      <w:rFonts w:ascii="Arial" w:hAnsi="Arial" w:eastAsia="黑体"/>
      <w:sz w:val="21"/>
      <w:szCs w:val="21"/>
    </w:rPr>
  </w:style>
  <w:style w:type="character" w:customStyle="1" w:styleId="771">
    <w:name w:val="标题周 Char"/>
    <w:qFormat/>
    <w:uiPriority w:val="0"/>
    <w:rPr>
      <w:rFonts w:ascii="Arial" w:hAnsi="Arial" w:eastAsia="黑体" w:cs="Arial"/>
      <w:b/>
      <w:bCs/>
      <w:sz w:val="32"/>
      <w:szCs w:val="32"/>
      <w:lang w:val="en-US" w:eastAsia="zh-CN" w:bidi="ar-SA"/>
    </w:rPr>
  </w:style>
  <w:style w:type="character" w:customStyle="1" w:styleId="772">
    <w:name w:val="环评正文文字缩进（江东模板） Char"/>
    <w:qFormat/>
    <w:uiPriority w:val="0"/>
    <w:rPr>
      <w:rFonts w:ascii="宋体" w:hAnsi="宋体" w:eastAsia="仿宋_GB2312" w:cs="宋体"/>
      <w:sz w:val="24"/>
      <w:lang w:val="en-US" w:eastAsia="zh-CN" w:bidi="ar-SA"/>
    </w:rPr>
  </w:style>
  <w:style w:type="paragraph" w:customStyle="1" w:styleId="773">
    <w:name w:val="Char Char Char Char Char Char Char Char Char1 Char Char Char Char1"/>
    <w:basedOn w:val="1"/>
    <w:qFormat/>
    <w:uiPriority w:val="0"/>
    <w:pPr>
      <w:widowControl/>
      <w:jc w:val="left"/>
    </w:pPr>
    <w:rPr>
      <w:rFonts w:ascii="宋体" w:hAnsi="宋体" w:cs="宋体"/>
      <w:kern w:val="0"/>
      <w:sz w:val="24"/>
      <w:szCs w:val="21"/>
    </w:rPr>
  </w:style>
  <w:style w:type="character" w:customStyle="1" w:styleId="774">
    <w:name w:val="Char Char24"/>
    <w:qFormat/>
    <w:uiPriority w:val="0"/>
    <w:rPr>
      <w:rFonts w:ascii="Arial" w:hAnsi="Arial" w:eastAsia="楷体_GB2312" w:cs="Arial"/>
      <w:b/>
      <w:sz w:val="24"/>
      <w:lang w:val="en-US" w:eastAsia="zh-CN" w:bidi="ar-SA"/>
    </w:rPr>
  </w:style>
  <w:style w:type="paragraph" w:customStyle="1" w:styleId="775">
    <w:name w:val="Char1 Char Char Char Char Char1 Char3"/>
    <w:basedOn w:val="1"/>
    <w:semiHidden/>
    <w:qFormat/>
    <w:uiPriority w:val="0"/>
    <w:rPr>
      <w:szCs w:val="21"/>
    </w:rPr>
  </w:style>
  <w:style w:type="character" w:customStyle="1" w:styleId="776">
    <w:name w:val="Char Char627"/>
    <w:qFormat/>
    <w:uiPriority w:val="0"/>
    <w:rPr>
      <w:rFonts w:eastAsia="宋体"/>
      <w:kern w:val="2"/>
      <w:sz w:val="24"/>
      <w:lang w:val="en-US" w:eastAsia="zh-CN" w:bidi="ar-SA"/>
    </w:rPr>
  </w:style>
  <w:style w:type="character" w:customStyle="1" w:styleId="777">
    <w:name w:val="Char Char Char Char Char Char Char1"/>
    <w:link w:val="778"/>
    <w:qFormat/>
    <w:locked/>
    <w:uiPriority w:val="0"/>
    <w:rPr>
      <w:rFonts w:ascii="宋体" w:hAnsi="宋体"/>
      <w:kern w:val="2"/>
      <w:sz w:val="24"/>
      <w:szCs w:val="24"/>
    </w:rPr>
  </w:style>
  <w:style w:type="paragraph" w:customStyle="1" w:styleId="778">
    <w:name w:val="Char Char Char Char Char Char1"/>
    <w:basedOn w:val="1"/>
    <w:link w:val="777"/>
    <w:qFormat/>
    <w:uiPriority w:val="0"/>
    <w:rPr>
      <w:rFonts w:ascii="宋体" w:hAnsi="宋体"/>
      <w:sz w:val="24"/>
    </w:rPr>
  </w:style>
  <w:style w:type="paragraph" w:customStyle="1" w:styleId="779">
    <w:name w:val="Char Char Char Char Char Char Char Char Char1 Char Char Char Char Char Char Char Char1 Char Char Char4"/>
    <w:basedOn w:val="1"/>
    <w:qFormat/>
    <w:uiPriority w:val="0"/>
    <w:pPr>
      <w:snapToGrid w:val="0"/>
      <w:spacing w:line="360" w:lineRule="auto"/>
      <w:ind w:firstLine="200" w:firstLineChars="200"/>
    </w:pPr>
    <w:rPr>
      <w:rFonts w:eastAsia="仿宋_GB2312"/>
      <w:sz w:val="24"/>
    </w:rPr>
  </w:style>
  <w:style w:type="character" w:customStyle="1" w:styleId="780">
    <w:name w:val="Char Char73"/>
    <w:qFormat/>
    <w:uiPriority w:val="0"/>
    <w:rPr>
      <w:rFonts w:eastAsia="宋体"/>
      <w:kern w:val="2"/>
      <w:sz w:val="21"/>
      <w:szCs w:val="24"/>
      <w:lang w:val="en-US" w:eastAsia="zh-CN" w:bidi="ar-SA"/>
    </w:rPr>
  </w:style>
  <w:style w:type="character" w:customStyle="1" w:styleId="781">
    <w:name w:val="Char Char104"/>
    <w:qFormat/>
    <w:uiPriority w:val="0"/>
    <w:rPr>
      <w:rFonts w:eastAsia="宋体"/>
      <w:kern w:val="2"/>
      <w:sz w:val="21"/>
      <w:szCs w:val="24"/>
      <w:lang w:val="en-US" w:eastAsia="zh-CN" w:bidi="ar-SA"/>
    </w:rPr>
  </w:style>
  <w:style w:type="character" w:customStyle="1" w:styleId="782">
    <w:name w:val="Char Char520"/>
    <w:qFormat/>
    <w:uiPriority w:val="0"/>
    <w:rPr>
      <w:rFonts w:ascii="宋体" w:hAnsi="Courier New" w:eastAsia="宋体"/>
      <w:kern w:val="2"/>
      <w:sz w:val="21"/>
      <w:lang w:val="en-US" w:eastAsia="zh-CN" w:bidi="ar-SA"/>
    </w:rPr>
  </w:style>
  <w:style w:type="character" w:customStyle="1" w:styleId="783">
    <w:name w:val="Char Char183"/>
    <w:qFormat/>
    <w:uiPriority w:val="0"/>
    <w:rPr>
      <w:rFonts w:ascii="宋体" w:hAnsi="宋体" w:eastAsia="宋体" w:cs="Times New Roman"/>
      <w:color w:val="800000"/>
      <w:kern w:val="0"/>
      <w:sz w:val="28"/>
      <w:szCs w:val="20"/>
    </w:rPr>
  </w:style>
  <w:style w:type="character" w:customStyle="1" w:styleId="784">
    <w:name w:val="Char Char Char1 Char Char3"/>
    <w:qFormat/>
    <w:uiPriority w:val="0"/>
    <w:rPr>
      <w:rFonts w:ascii="Times New Roman" w:hAnsi="Times New Roman" w:eastAsia="宋体" w:cs="Times New Roman"/>
      <w:kern w:val="0"/>
      <w:sz w:val="18"/>
      <w:szCs w:val="18"/>
    </w:rPr>
  </w:style>
  <w:style w:type="character" w:customStyle="1" w:styleId="785">
    <w:name w:val="Char Char1127"/>
    <w:qFormat/>
    <w:uiPriority w:val="0"/>
    <w:rPr>
      <w:rFonts w:ascii="Times New Roman" w:hAnsi="Times New Roman" w:eastAsia="宋体" w:cs="Times New Roman"/>
      <w:kern w:val="0"/>
      <w:sz w:val="24"/>
      <w:szCs w:val="24"/>
    </w:rPr>
  </w:style>
  <w:style w:type="character" w:customStyle="1" w:styleId="786">
    <w:name w:val="标题 1 Char Char Char Char Char Char Char Char Char Char Char Char Char Char Char Char Char Char Char Char Char Char Char Char Char Char Char Char Char Char Char Char Char Char Char Char Char Char Char Char Char Char Char Char Char Char Char Char Char3"/>
    <w:qFormat/>
    <w:uiPriority w:val="0"/>
    <w:rPr>
      <w:rFonts w:ascii="黑体" w:hAnsi="Arial Unicode MS" w:eastAsia="黑体"/>
      <w:kern w:val="44"/>
      <w:sz w:val="28"/>
      <w:szCs w:val="28"/>
      <w:lang w:val="en-US" w:eastAsia="zh-CN" w:bidi="ar-SA"/>
    </w:rPr>
  </w:style>
  <w:style w:type="paragraph" w:customStyle="1" w:styleId="787">
    <w:name w:val="正文22"/>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paragraph" w:customStyle="1" w:styleId="788">
    <w:name w:val="Char96"/>
    <w:basedOn w:val="1"/>
    <w:qFormat/>
    <w:uiPriority w:val="0"/>
    <w:rPr>
      <w:szCs w:val="21"/>
    </w:rPr>
  </w:style>
  <w:style w:type="character" w:customStyle="1" w:styleId="789">
    <w:name w:val="headline-content2"/>
    <w:basedOn w:val="94"/>
    <w:qFormat/>
    <w:uiPriority w:val="0"/>
  </w:style>
  <w:style w:type="character" w:customStyle="1" w:styleId="790">
    <w:name w:val="正文文字 Char2"/>
    <w:qFormat/>
    <w:uiPriority w:val="0"/>
    <w:rPr>
      <w:rFonts w:ascii="宋体" w:hAnsi="宋体" w:eastAsia="宋体" w:cs="宋体"/>
      <w:spacing w:val="6"/>
      <w:sz w:val="24"/>
      <w:lang w:val="en-US" w:eastAsia="zh-CN" w:bidi="ar-SA"/>
    </w:rPr>
  </w:style>
  <w:style w:type="character" w:customStyle="1" w:styleId="791">
    <w:name w:val="标题周 Char1"/>
    <w:qFormat/>
    <w:uiPriority w:val="0"/>
    <w:rPr>
      <w:rFonts w:ascii="Arial" w:hAnsi="Arial" w:eastAsia="黑体" w:cs="Arial"/>
      <w:b/>
      <w:bCs/>
      <w:sz w:val="32"/>
      <w:szCs w:val="32"/>
      <w:lang w:val="en-US" w:eastAsia="zh-CN" w:bidi="ar-SA"/>
    </w:rPr>
  </w:style>
  <w:style w:type="character" w:customStyle="1" w:styleId="792">
    <w:name w:val="1) Char1"/>
    <w:qFormat/>
    <w:uiPriority w:val="0"/>
    <w:rPr>
      <w:rFonts w:ascii="仿宋_GB2312" w:hAnsi="宋体" w:eastAsia="仿宋_GB2312" w:cs="宋体"/>
      <w:color w:val="FF0000"/>
      <w:sz w:val="28"/>
      <w:szCs w:val="24"/>
      <w:lang w:val="en-US" w:eastAsia="zh-CN" w:bidi="ar-SA"/>
    </w:rPr>
  </w:style>
  <w:style w:type="character" w:customStyle="1" w:styleId="793">
    <w:name w:val="无节 Char1"/>
    <w:qFormat/>
    <w:uiPriority w:val="0"/>
    <w:rPr>
      <w:rFonts w:ascii="Arial" w:hAnsi="Arial" w:eastAsia="黑体"/>
      <w:b/>
      <w:bCs/>
      <w:sz w:val="24"/>
      <w:szCs w:val="24"/>
      <w:lang w:val="en-US" w:eastAsia="zh-CN" w:bidi="ar-SA"/>
    </w:rPr>
  </w:style>
  <w:style w:type="character" w:customStyle="1" w:styleId="794">
    <w:name w:val="标题 7 表 Char1"/>
    <w:qFormat/>
    <w:uiPriority w:val="0"/>
    <w:rPr>
      <w:rFonts w:ascii="宋体" w:hAnsi="宋体" w:eastAsia="宋体" w:cs="宋体"/>
      <w:b/>
      <w:bCs/>
      <w:sz w:val="24"/>
      <w:szCs w:val="24"/>
      <w:lang w:val="en-US" w:eastAsia="zh-CN" w:bidi="ar-SA"/>
    </w:rPr>
  </w:style>
  <w:style w:type="character" w:customStyle="1" w:styleId="795">
    <w:name w:val="无节款 Char1"/>
    <w:qFormat/>
    <w:uiPriority w:val="0"/>
    <w:rPr>
      <w:rFonts w:ascii="Arial" w:hAnsi="Arial" w:eastAsia="黑体"/>
      <w:sz w:val="24"/>
      <w:szCs w:val="24"/>
      <w:lang w:val="en-US" w:eastAsia="zh-CN" w:bidi="ar-SA"/>
    </w:rPr>
  </w:style>
  <w:style w:type="character" w:customStyle="1" w:styleId="796">
    <w:name w:val="h9 Char1"/>
    <w:qFormat/>
    <w:uiPriority w:val="0"/>
    <w:rPr>
      <w:rFonts w:ascii="Arial" w:hAnsi="Arial" w:eastAsia="黑体"/>
      <w:sz w:val="21"/>
      <w:szCs w:val="21"/>
      <w:lang w:val="en-US" w:eastAsia="zh-CN" w:bidi="ar-SA"/>
    </w:rPr>
  </w:style>
  <w:style w:type="character" w:customStyle="1" w:styleId="797">
    <w:name w:val="环评正文文字缩进（江东模板） Char1"/>
    <w:qFormat/>
    <w:uiPriority w:val="0"/>
    <w:rPr>
      <w:rFonts w:ascii="宋体" w:hAnsi="宋体" w:eastAsia="仿宋_GB2312" w:cs="宋体"/>
      <w:sz w:val="24"/>
      <w:lang w:val="en-US" w:eastAsia="zh-CN" w:bidi="ar-SA"/>
    </w:rPr>
  </w:style>
  <w:style w:type="character" w:customStyle="1" w:styleId="798">
    <w:name w:val="环评正文文字缩进（江东模板） Char2"/>
    <w:qFormat/>
    <w:uiPriority w:val="0"/>
    <w:rPr>
      <w:rFonts w:ascii="宋体" w:hAnsi="宋体" w:eastAsia="仿宋_GB2312" w:cs="宋体"/>
      <w:sz w:val="24"/>
      <w:lang w:val="en-US" w:eastAsia="zh-CN" w:bidi="ar-SA"/>
    </w:rPr>
  </w:style>
  <w:style w:type="paragraph" w:customStyle="1" w:styleId="799">
    <w:name w:val="font14"/>
    <w:basedOn w:val="1"/>
    <w:qFormat/>
    <w:uiPriority w:val="0"/>
    <w:pPr>
      <w:widowControl/>
      <w:spacing w:before="100" w:beforeAutospacing="1" w:after="100" w:afterAutospacing="1"/>
      <w:jc w:val="left"/>
    </w:pPr>
    <w:rPr>
      <w:rFonts w:ascii="仿宋_GB2312" w:hAnsi="宋体" w:eastAsia="仿宋_GB2312" w:cs="宋体"/>
      <w:color w:val="000000"/>
      <w:kern w:val="0"/>
      <w:sz w:val="20"/>
      <w:szCs w:val="20"/>
    </w:rPr>
  </w:style>
  <w:style w:type="character" w:customStyle="1" w:styleId="800">
    <w:name w:val="zw1"/>
    <w:qFormat/>
    <w:uiPriority w:val="0"/>
    <w:rPr>
      <w:rFonts w:hint="eastAsia" w:ascii="宋体" w:hAnsi="宋体" w:eastAsia="宋体"/>
      <w:sz w:val="22"/>
      <w:szCs w:val="22"/>
    </w:rPr>
  </w:style>
  <w:style w:type="paragraph" w:customStyle="1" w:styleId="801">
    <w:name w:val="zw"/>
    <w:basedOn w:val="1"/>
    <w:qFormat/>
    <w:uiPriority w:val="0"/>
    <w:pPr>
      <w:widowControl/>
      <w:spacing w:before="100" w:beforeAutospacing="1" w:after="100" w:afterAutospacing="1" w:line="440" w:lineRule="atLeast"/>
      <w:jc w:val="left"/>
    </w:pPr>
    <w:rPr>
      <w:rFonts w:ascii="宋体" w:hAnsi="宋体" w:cs="宋体"/>
      <w:kern w:val="0"/>
      <w:sz w:val="22"/>
      <w:szCs w:val="22"/>
    </w:rPr>
  </w:style>
  <w:style w:type="paragraph" w:customStyle="1" w:styleId="802">
    <w:name w:val="TOC 标题1"/>
    <w:basedOn w:val="2"/>
    <w:next w:val="1"/>
    <w:unhideWhenUsed/>
    <w:qFormat/>
    <w:uiPriority w:val="39"/>
    <w:pPr>
      <w:widowControl/>
      <w:spacing w:before="480" w:after="0" w:line="276" w:lineRule="auto"/>
      <w:jc w:val="left"/>
      <w:outlineLvl w:val="9"/>
    </w:pPr>
    <w:rPr>
      <w:rFonts w:ascii="Cambria" w:hAnsi="Cambria"/>
      <w:color w:val="365F91"/>
      <w:kern w:val="0"/>
      <w:sz w:val="28"/>
      <w:szCs w:val="28"/>
    </w:rPr>
  </w:style>
  <w:style w:type="character" w:customStyle="1" w:styleId="803">
    <w:name w:val="正文文本 2 字符"/>
    <w:link w:val="75"/>
    <w:qFormat/>
    <w:uiPriority w:val="0"/>
    <w:rPr>
      <w:kern w:val="2"/>
      <w:sz w:val="21"/>
      <w:szCs w:val="24"/>
    </w:rPr>
  </w:style>
  <w:style w:type="character" w:customStyle="1" w:styleId="804">
    <w:name w:val="正文文本 3 字符"/>
    <w:link w:val="30"/>
    <w:qFormat/>
    <w:uiPriority w:val="0"/>
    <w:rPr>
      <w:kern w:val="2"/>
      <w:sz w:val="16"/>
      <w:szCs w:val="16"/>
    </w:rPr>
  </w:style>
  <w:style w:type="character" w:customStyle="1" w:styleId="805">
    <w:name w:val="日期 字符"/>
    <w:link w:val="49"/>
    <w:qFormat/>
    <w:uiPriority w:val="0"/>
    <w:rPr>
      <w:rFonts w:ascii="宋体"/>
      <w:sz w:val="24"/>
    </w:rPr>
  </w:style>
  <w:style w:type="character" w:customStyle="1" w:styleId="806">
    <w:name w:val="正文首行缩进 字符"/>
    <w:link w:val="85"/>
    <w:qFormat/>
    <w:uiPriority w:val="0"/>
    <w:rPr>
      <w:rFonts w:eastAsia="仿宋_GB2312"/>
      <w:kern w:val="2"/>
      <w:sz w:val="28"/>
      <w:szCs w:val="24"/>
    </w:rPr>
  </w:style>
  <w:style w:type="character" w:customStyle="1" w:styleId="807">
    <w:name w:val="批注文字 字符"/>
    <w:link w:val="27"/>
    <w:qFormat/>
    <w:uiPriority w:val="0"/>
    <w:rPr>
      <w:sz w:val="24"/>
    </w:rPr>
  </w:style>
  <w:style w:type="character" w:customStyle="1" w:styleId="808">
    <w:name w:val="批注主题 字符"/>
    <w:link w:val="84"/>
    <w:qFormat/>
    <w:uiPriority w:val="0"/>
    <w:rPr>
      <w:b/>
      <w:bCs/>
      <w:kern w:val="2"/>
      <w:sz w:val="21"/>
      <w:szCs w:val="24"/>
    </w:rPr>
  </w:style>
  <w:style w:type="character" w:customStyle="1" w:styleId="809">
    <w:name w:val="脚注文本 字符"/>
    <w:link w:val="66"/>
    <w:qFormat/>
    <w:uiPriority w:val="0"/>
    <w:rPr>
      <w:szCs w:val="24"/>
    </w:rPr>
  </w:style>
  <w:style w:type="character" w:customStyle="1" w:styleId="810">
    <w:name w:val="value"/>
    <w:basedOn w:val="94"/>
    <w:qFormat/>
    <w:uiPriority w:val="0"/>
  </w:style>
  <w:style w:type="character" w:customStyle="1" w:styleId="811">
    <w:name w:val="Char Char4"/>
    <w:semiHidden/>
    <w:qFormat/>
    <w:uiPriority w:val="0"/>
    <w:rPr>
      <w:kern w:val="2"/>
      <w:sz w:val="18"/>
      <w:szCs w:val="18"/>
    </w:rPr>
  </w:style>
  <w:style w:type="paragraph" w:customStyle="1" w:styleId="812">
    <w:name w:val="font15"/>
    <w:basedOn w:val="1"/>
    <w:qFormat/>
    <w:uiPriority w:val="0"/>
    <w:pPr>
      <w:widowControl/>
      <w:spacing w:before="100" w:beforeAutospacing="1" w:after="100" w:afterAutospacing="1"/>
      <w:jc w:val="left"/>
    </w:pPr>
    <w:rPr>
      <w:b/>
      <w:bCs/>
      <w:color w:val="000000"/>
      <w:kern w:val="0"/>
      <w:sz w:val="20"/>
      <w:szCs w:val="20"/>
    </w:rPr>
  </w:style>
  <w:style w:type="character" w:customStyle="1" w:styleId="813">
    <w:name w:val="图表文字 Char Char"/>
    <w:qFormat/>
    <w:uiPriority w:val="0"/>
    <w:rPr>
      <w:rFonts w:ascii="仿宋_GB2312" w:hAnsi="宋体" w:eastAsia="仿宋_GB2312" w:cs="宋体"/>
      <w:kern w:val="0"/>
      <w:sz w:val="24"/>
      <w:szCs w:val="24"/>
    </w:rPr>
  </w:style>
  <w:style w:type="paragraph" w:customStyle="1" w:styleId="814">
    <w:name w:val="报告样式4"/>
    <w:basedOn w:val="20"/>
    <w:qFormat/>
    <w:uiPriority w:val="0"/>
    <w:pPr>
      <w:spacing w:line="360" w:lineRule="auto"/>
      <w:ind w:firstLine="480"/>
    </w:pPr>
    <w:rPr>
      <w:bCs/>
      <w:sz w:val="24"/>
      <w:szCs w:val="22"/>
    </w:rPr>
  </w:style>
  <w:style w:type="character" w:customStyle="1" w:styleId="815">
    <w:name w:val="headline-content"/>
    <w:basedOn w:val="94"/>
    <w:qFormat/>
    <w:uiPriority w:val="0"/>
  </w:style>
  <w:style w:type="paragraph" w:customStyle="1" w:styleId="816">
    <w:name w:val="列出段落12"/>
    <w:basedOn w:val="1"/>
    <w:qFormat/>
    <w:uiPriority w:val="0"/>
    <w:pPr>
      <w:ind w:firstLine="420" w:firstLineChars="200"/>
    </w:pPr>
    <w:rPr>
      <w:szCs w:val="20"/>
    </w:rPr>
  </w:style>
  <w:style w:type="character" w:customStyle="1" w:styleId="817">
    <w:name w:val="TBT Char"/>
    <w:link w:val="818"/>
    <w:qFormat/>
    <w:uiPriority w:val="0"/>
    <w:rPr>
      <w:b/>
      <w:kern w:val="2"/>
      <w:sz w:val="24"/>
      <w:szCs w:val="24"/>
    </w:rPr>
  </w:style>
  <w:style w:type="paragraph" w:customStyle="1" w:styleId="818">
    <w:name w:val="TBT"/>
    <w:basedOn w:val="1"/>
    <w:link w:val="817"/>
    <w:qFormat/>
    <w:uiPriority w:val="0"/>
    <w:pPr>
      <w:spacing w:line="500" w:lineRule="exact"/>
      <w:ind w:firstLine="482" w:firstLineChars="200"/>
      <w:jc w:val="center"/>
    </w:pPr>
    <w:rPr>
      <w:b/>
      <w:sz w:val="24"/>
    </w:rPr>
  </w:style>
  <w:style w:type="character" w:customStyle="1" w:styleId="819">
    <w:name w:val="ZW Char"/>
    <w:link w:val="820"/>
    <w:qFormat/>
    <w:uiPriority w:val="0"/>
    <w:rPr>
      <w:rFonts w:cs="宋体"/>
      <w:kern w:val="2"/>
      <w:sz w:val="24"/>
      <w:szCs w:val="24"/>
    </w:rPr>
  </w:style>
  <w:style w:type="paragraph" w:customStyle="1" w:styleId="820">
    <w:name w:val="ZW"/>
    <w:basedOn w:val="1"/>
    <w:link w:val="819"/>
    <w:qFormat/>
    <w:uiPriority w:val="0"/>
    <w:pPr>
      <w:spacing w:line="500" w:lineRule="exact"/>
      <w:ind w:firstLine="480" w:firstLineChars="200"/>
    </w:pPr>
    <w:rPr>
      <w:sz w:val="24"/>
    </w:rPr>
  </w:style>
  <w:style w:type="character" w:customStyle="1" w:styleId="821">
    <w:name w:val="TB Char"/>
    <w:link w:val="822"/>
    <w:qFormat/>
    <w:uiPriority w:val="0"/>
    <w:rPr>
      <w:kern w:val="2"/>
      <w:sz w:val="21"/>
      <w:szCs w:val="21"/>
    </w:rPr>
  </w:style>
  <w:style w:type="paragraph" w:customStyle="1" w:styleId="822">
    <w:name w:val="TB"/>
    <w:basedOn w:val="1"/>
    <w:link w:val="821"/>
    <w:qFormat/>
    <w:uiPriority w:val="0"/>
    <w:pPr>
      <w:adjustRightInd w:val="0"/>
      <w:snapToGrid w:val="0"/>
      <w:spacing w:line="240" w:lineRule="exact"/>
      <w:jc w:val="center"/>
    </w:pPr>
    <w:rPr>
      <w:szCs w:val="21"/>
    </w:rPr>
  </w:style>
  <w:style w:type="paragraph" w:customStyle="1" w:styleId="823">
    <w:name w:val="_Style 78"/>
    <w:basedOn w:val="1"/>
    <w:qFormat/>
    <w:uiPriority w:val="0"/>
    <w:rPr>
      <w:sz w:val="24"/>
    </w:rPr>
  </w:style>
  <w:style w:type="paragraph" w:customStyle="1" w:styleId="824">
    <w:name w:val="Char Char Char3"/>
    <w:basedOn w:val="1"/>
    <w:qFormat/>
    <w:uiPriority w:val="0"/>
    <w:rPr>
      <w:sz w:val="24"/>
    </w:rPr>
  </w:style>
  <w:style w:type="paragraph" w:customStyle="1" w:styleId="825">
    <w:name w:val="Char Char Char Char3"/>
    <w:basedOn w:val="1"/>
    <w:qFormat/>
    <w:uiPriority w:val="0"/>
    <w:rPr>
      <w:szCs w:val="21"/>
    </w:rPr>
  </w:style>
  <w:style w:type="paragraph" w:customStyle="1" w:styleId="826">
    <w:name w:val="Char4"/>
    <w:basedOn w:val="1"/>
    <w:qFormat/>
    <w:uiPriority w:val="0"/>
    <w:pPr>
      <w:spacing w:beforeLines="50" w:afterLines="50" w:line="500" w:lineRule="exact"/>
    </w:pPr>
    <w:rPr>
      <w:sz w:val="28"/>
      <w:szCs w:val="28"/>
    </w:rPr>
  </w:style>
  <w:style w:type="paragraph" w:customStyle="1" w:styleId="827">
    <w:name w:val="Char Char Char Char Char Char Char Char Char Char2"/>
    <w:basedOn w:val="1"/>
    <w:qFormat/>
    <w:uiPriority w:val="0"/>
  </w:style>
  <w:style w:type="paragraph" w:customStyle="1" w:styleId="828">
    <w:name w:val="Char Char Char Char Char Char2"/>
    <w:basedOn w:val="1"/>
    <w:qFormat/>
    <w:uiPriority w:val="0"/>
    <w:rPr>
      <w:szCs w:val="21"/>
    </w:rPr>
  </w:style>
  <w:style w:type="paragraph" w:customStyle="1" w:styleId="829">
    <w:name w:val="Char4 Char Char Char Char Char Char Char Char Char Char Char Char Char Char Char Char Char1 Char Char Char Char Char Char1 Char Char Char Char Char Char Char Char Char Char Char Char Char Char Char Char1"/>
    <w:basedOn w:val="1"/>
    <w:qFormat/>
    <w:uiPriority w:val="0"/>
    <w:pPr>
      <w:spacing w:line="240" w:lineRule="exact"/>
      <w:ind w:firstLine="200" w:firstLineChars="200"/>
    </w:pPr>
    <w:rPr>
      <w:sz w:val="28"/>
      <w:szCs w:val="28"/>
    </w:rPr>
  </w:style>
  <w:style w:type="paragraph" w:customStyle="1" w:styleId="830">
    <w:name w:val="Char Char Char Char Char Char Char Char Char1 Char Char Char Char2"/>
    <w:basedOn w:val="1"/>
    <w:qFormat/>
    <w:uiPriority w:val="0"/>
    <w:rPr>
      <w:szCs w:val="21"/>
    </w:rPr>
  </w:style>
  <w:style w:type="paragraph" w:customStyle="1" w:styleId="831">
    <w:name w:val="Char Char Char1 Char1"/>
    <w:basedOn w:val="1"/>
    <w:qFormat/>
    <w:uiPriority w:val="0"/>
  </w:style>
  <w:style w:type="paragraph" w:customStyle="1" w:styleId="832">
    <w:name w:val="Char Char Char Char Char Char Char2"/>
    <w:basedOn w:val="1"/>
    <w:qFormat/>
    <w:uiPriority w:val="0"/>
  </w:style>
  <w:style w:type="paragraph" w:customStyle="1" w:styleId="833">
    <w:name w:val="Char Char Char1 Char Char Char Char1"/>
    <w:basedOn w:val="1"/>
    <w:qFormat/>
    <w:uiPriority w:val="0"/>
  </w:style>
  <w:style w:type="paragraph" w:customStyle="1" w:styleId="834">
    <w:name w:val="Char Char Char Char Char Char Char Char Char Char Char Char Char Char Char Char1"/>
    <w:basedOn w:val="1"/>
    <w:qFormat/>
    <w:uiPriority w:val="0"/>
  </w:style>
  <w:style w:type="paragraph" w:customStyle="1" w:styleId="835">
    <w:name w:val="Char Char Char Char Char Char Char Char Char Char Char Char Char Char Char Char Char Char Char Char Char Char Char Char Char Char Char Char Char Char2 Char Char Char Char Char Char Char1"/>
    <w:basedOn w:val="1"/>
    <w:qFormat/>
    <w:uiPriority w:val="0"/>
    <w:rPr>
      <w:sz w:val="24"/>
    </w:rPr>
  </w:style>
  <w:style w:type="paragraph" w:customStyle="1" w:styleId="836">
    <w:name w:val="正文文本缩进11"/>
    <w:basedOn w:val="1"/>
    <w:qFormat/>
    <w:uiPriority w:val="0"/>
    <w:pPr>
      <w:adjustRightInd w:val="0"/>
      <w:spacing w:after="120" w:line="360" w:lineRule="auto"/>
      <w:ind w:left="420" w:leftChars="200" w:firstLine="200" w:firstLineChars="200"/>
      <w:textAlignment w:val="baseline"/>
    </w:pPr>
    <w:rPr>
      <w:sz w:val="24"/>
      <w:szCs w:val="20"/>
    </w:rPr>
  </w:style>
  <w:style w:type="paragraph" w:customStyle="1" w:styleId="837">
    <w:name w:val="正文缩进31"/>
    <w:basedOn w:val="1"/>
    <w:qFormat/>
    <w:uiPriority w:val="0"/>
    <w:pPr>
      <w:adjustRightInd w:val="0"/>
      <w:ind w:firstLine="420" w:firstLineChars="200"/>
      <w:textAlignment w:val="baseline"/>
    </w:pPr>
    <w:rPr>
      <w:rFonts w:hint="eastAsia" w:hAnsi="宋体"/>
      <w:sz w:val="24"/>
      <w:szCs w:val="20"/>
    </w:rPr>
  </w:style>
  <w:style w:type="paragraph" w:customStyle="1" w:styleId="838">
    <w:name w:val="Char11"/>
    <w:basedOn w:val="1"/>
    <w:qFormat/>
    <w:uiPriority w:val="0"/>
    <w:pPr>
      <w:snapToGrid w:val="0"/>
      <w:spacing w:line="360" w:lineRule="auto"/>
      <w:ind w:firstLine="200" w:firstLineChars="200"/>
    </w:pPr>
    <w:rPr>
      <w:rFonts w:eastAsia="仿宋_GB2312"/>
      <w:sz w:val="24"/>
    </w:rPr>
  </w:style>
  <w:style w:type="paragraph" w:customStyle="1" w:styleId="839">
    <w:name w:val="正文文本21"/>
    <w:qFormat/>
    <w:uiPriority w:val="0"/>
    <w:pPr>
      <w:tabs>
        <w:tab w:val="left" w:pos="425"/>
        <w:tab w:val="left" w:pos="850"/>
      </w:tabs>
      <w:spacing w:after="283" w:line="260" w:lineRule="atLeast"/>
      <w:jc w:val="both"/>
    </w:pPr>
    <w:rPr>
      <w:rFonts w:ascii="StempelGaramond Roman" w:hAnsi="StempelGaramond Roman" w:eastAsia="宋体" w:cs="Times New Roman"/>
      <w:snapToGrid w:val="0"/>
      <w:color w:val="000000"/>
      <w:sz w:val="22"/>
      <w:lang w:val="en-GB" w:eastAsia="zh-CN" w:bidi="ar-SA"/>
    </w:rPr>
  </w:style>
  <w:style w:type="character" w:customStyle="1" w:styleId="840">
    <w:name w:val="Char Char15"/>
    <w:qFormat/>
    <w:uiPriority w:val="0"/>
    <w:rPr>
      <w:rFonts w:ascii="楷体_GB2312" w:hAnsi="Arial" w:eastAsia="楷体_GB2312" w:cs="Arial"/>
      <w:b/>
      <w:sz w:val="21"/>
      <w:szCs w:val="21"/>
      <w:lang w:val="en-US" w:eastAsia="zh-CN" w:bidi="ar-SA"/>
    </w:rPr>
  </w:style>
  <w:style w:type="character" w:customStyle="1" w:styleId="841">
    <w:name w:val="标题51"/>
    <w:qFormat/>
    <w:uiPriority w:val="0"/>
  </w:style>
  <w:style w:type="character" w:customStyle="1" w:styleId="842">
    <w:name w:val="Char Char21"/>
    <w:qFormat/>
    <w:uiPriority w:val="0"/>
    <w:rPr>
      <w:rFonts w:ascii="Arial" w:hAnsi="Arial" w:eastAsia="楷体_GB2312" w:cs="Arial"/>
      <w:b/>
      <w:sz w:val="24"/>
      <w:lang w:val="en-US" w:eastAsia="zh-CN" w:bidi="ar-SA"/>
    </w:rPr>
  </w:style>
  <w:style w:type="paragraph" w:customStyle="1" w:styleId="843">
    <w:name w:val="Char1 Char Char Char Char Char1 Char1"/>
    <w:basedOn w:val="1"/>
    <w:semiHidden/>
    <w:qFormat/>
    <w:uiPriority w:val="0"/>
    <w:rPr>
      <w:szCs w:val="21"/>
    </w:rPr>
  </w:style>
  <w:style w:type="character" w:customStyle="1" w:styleId="844">
    <w:name w:val="Char Char61"/>
    <w:qFormat/>
    <w:uiPriority w:val="0"/>
    <w:rPr>
      <w:rFonts w:eastAsia="宋体"/>
      <w:kern w:val="2"/>
      <w:sz w:val="24"/>
      <w:lang w:val="en-US" w:eastAsia="zh-CN" w:bidi="ar-SA"/>
    </w:rPr>
  </w:style>
  <w:style w:type="paragraph" w:customStyle="1" w:styleId="845">
    <w:name w:val="Char Char Char Char Char Char Char Char Char1 Char Char Char Char Char Char Char Char1 Char Char Char1"/>
    <w:basedOn w:val="1"/>
    <w:qFormat/>
    <w:uiPriority w:val="0"/>
    <w:pPr>
      <w:snapToGrid w:val="0"/>
      <w:spacing w:line="360" w:lineRule="auto"/>
      <w:ind w:firstLine="200" w:firstLineChars="200"/>
    </w:pPr>
    <w:rPr>
      <w:rFonts w:eastAsia="仿宋_GB2312"/>
      <w:sz w:val="24"/>
    </w:rPr>
  </w:style>
  <w:style w:type="character" w:customStyle="1" w:styleId="846">
    <w:name w:val="Char Char71"/>
    <w:qFormat/>
    <w:uiPriority w:val="0"/>
    <w:rPr>
      <w:rFonts w:eastAsia="宋体"/>
      <w:kern w:val="2"/>
      <w:sz w:val="21"/>
      <w:szCs w:val="24"/>
      <w:lang w:val="en-US" w:eastAsia="zh-CN" w:bidi="ar-SA"/>
    </w:rPr>
  </w:style>
  <w:style w:type="character" w:customStyle="1" w:styleId="847">
    <w:name w:val="Char Char101"/>
    <w:qFormat/>
    <w:uiPriority w:val="0"/>
    <w:rPr>
      <w:rFonts w:eastAsia="宋体"/>
      <w:kern w:val="2"/>
      <w:sz w:val="21"/>
      <w:szCs w:val="24"/>
      <w:lang w:val="en-US" w:eastAsia="zh-CN" w:bidi="ar-SA"/>
    </w:rPr>
  </w:style>
  <w:style w:type="character" w:customStyle="1" w:styleId="848">
    <w:name w:val="Char Char51"/>
    <w:qFormat/>
    <w:uiPriority w:val="0"/>
    <w:rPr>
      <w:rFonts w:ascii="宋体" w:hAnsi="Courier New" w:eastAsia="宋体"/>
      <w:kern w:val="2"/>
      <w:sz w:val="21"/>
      <w:lang w:val="en-US" w:eastAsia="zh-CN" w:bidi="ar-SA"/>
    </w:rPr>
  </w:style>
  <w:style w:type="character" w:customStyle="1" w:styleId="849">
    <w:name w:val="Char Char181"/>
    <w:qFormat/>
    <w:uiPriority w:val="0"/>
    <w:rPr>
      <w:rFonts w:ascii="宋体" w:hAnsi="宋体" w:eastAsia="宋体" w:cs="Times New Roman"/>
      <w:color w:val="800000"/>
      <w:kern w:val="0"/>
      <w:sz w:val="28"/>
      <w:szCs w:val="20"/>
    </w:rPr>
  </w:style>
  <w:style w:type="character" w:customStyle="1" w:styleId="850">
    <w:name w:val="Char Char Char1 Char Char1"/>
    <w:qFormat/>
    <w:uiPriority w:val="0"/>
    <w:rPr>
      <w:rFonts w:ascii="Times New Roman" w:hAnsi="Times New Roman" w:eastAsia="宋体" w:cs="Times New Roman"/>
      <w:kern w:val="0"/>
      <w:sz w:val="18"/>
      <w:szCs w:val="18"/>
    </w:rPr>
  </w:style>
  <w:style w:type="character" w:customStyle="1" w:styleId="851">
    <w:name w:val="Char Char111"/>
    <w:qFormat/>
    <w:uiPriority w:val="0"/>
    <w:rPr>
      <w:rFonts w:ascii="Times New Roman" w:hAnsi="Times New Roman" w:eastAsia="宋体" w:cs="Times New Roman"/>
      <w:kern w:val="0"/>
      <w:sz w:val="24"/>
      <w:szCs w:val="24"/>
    </w:rPr>
  </w:style>
  <w:style w:type="character" w:customStyle="1" w:styleId="852">
    <w:name w:val="标题 1 Char Char Char Char Char Char Char Char Char Char Char Char Char Char Char Char Char Char Char Char Char Char Char Char Char Char Char Char Char Char Char Char Char Char Char Char Char Char Char Char Char Char Char Char Char Char Char Char Char1"/>
    <w:qFormat/>
    <w:uiPriority w:val="0"/>
    <w:rPr>
      <w:rFonts w:ascii="黑体" w:hAnsi="Arial Unicode MS" w:eastAsia="黑体"/>
      <w:kern w:val="44"/>
      <w:sz w:val="28"/>
      <w:szCs w:val="28"/>
      <w:lang w:val="en-US" w:eastAsia="zh-CN" w:bidi="ar-SA"/>
    </w:rPr>
  </w:style>
  <w:style w:type="paragraph" w:customStyle="1" w:styleId="853">
    <w:name w:val="正文21"/>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paragraph" w:customStyle="1" w:styleId="854">
    <w:name w:val="Char91"/>
    <w:basedOn w:val="1"/>
    <w:qFormat/>
    <w:uiPriority w:val="0"/>
    <w:rPr>
      <w:szCs w:val="21"/>
    </w:rPr>
  </w:style>
  <w:style w:type="character" w:customStyle="1" w:styleId="855">
    <w:name w:val="Char Char422"/>
    <w:qFormat/>
    <w:uiPriority w:val="0"/>
    <w:rPr>
      <w:kern w:val="2"/>
      <w:sz w:val="18"/>
      <w:szCs w:val="18"/>
    </w:rPr>
  </w:style>
  <w:style w:type="paragraph" w:customStyle="1" w:styleId="856">
    <w:name w:val="列出段落11"/>
    <w:basedOn w:val="1"/>
    <w:qFormat/>
    <w:uiPriority w:val="34"/>
    <w:pPr>
      <w:ind w:firstLine="420" w:firstLineChars="200"/>
    </w:pPr>
    <w:rPr>
      <w:szCs w:val="20"/>
    </w:rPr>
  </w:style>
  <w:style w:type="character" w:customStyle="1" w:styleId="857">
    <w:name w:val="普通(网站) 字符"/>
    <w:link w:val="80"/>
    <w:qFormat/>
    <w:uiPriority w:val="99"/>
    <w:rPr>
      <w:kern w:val="2"/>
      <w:sz w:val="24"/>
      <w:szCs w:val="24"/>
    </w:rPr>
  </w:style>
  <w:style w:type="paragraph" w:customStyle="1" w:styleId="858">
    <w:name w:val="表格式"/>
    <w:basedOn w:val="65"/>
    <w:qFormat/>
    <w:uiPriority w:val="0"/>
    <w:pPr>
      <w:spacing w:line="400" w:lineRule="exact"/>
    </w:pPr>
    <w:rPr>
      <w:rFonts w:ascii="宋体" w:eastAsia="宋体"/>
      <w:sz w:val="21"/>
    </w:rPr>
  </w:style>
  <w:style w:type="character" w:customStyle="1" w:styleId="859">
    <w:name w:val="H4 Char2"/>
    <w:qFormat/>
    <w:uiPriority w:val="0"/>
    <w:rPr>
      <w:rFonts w:ascii="Arial" w:hAnsi="Arial" w:eastAsia="黑体"/>
      <w:b/>
      <w:bCs/>
      <w:kern w:val="2"/>
      <w:sz w:val="28"/>
      <w:szCs w:val="28"/>
      <w:lang w:val="en-US" w:eastAsia="zh-CN" w:bidi="ar-SA"/>
    </w:rPr>
  </w:style>
  <w:style w:type="character" w:customStyle="1" w:styleId="860">
    <w:name w:val="首行缩进 Char"/>
    <w:link w:val="152"/>
    <w:qFormat/>
    <w:uiPriority w:val="0"/>
    <w:rPr>
      <w:kern w:val="2"/>
      <w:sz w:val="24"/>
      <w:szCs w:val="24"/>
    </w:rPr>
  </w:style>
  <w:style w:type="paragraph" w:styleId="861">
    <w:name w:val="No Spacing"/>
    <w:link w:val="862"/>
    <w:qFormat/>
    <w:uiPriority w:val="1"/>
    <w:rPr>
      <w:rFonts w:ascii="Calibri" w:hAnsi="Calibri" w:eastAsia="宋体" w:cs="Times New Roman"/>
      <w:sz w:val="22"/>
      <w:szCs w:val="22"/>
      <w:lang w:val="en-US" w:eastAsia="zh-CN" w:bidi="ar-SA"/>
    </w:rPr>
  </w:style>
  <w:style w:type="character" w:customStyle="1" w:styleId="862">
    <w:name w:val="无间隔 字符"/>
    <w:link w:val="861"/>
    <w:qFormat/>
    <w:uiPriority w:val="1"/>
    <w:rPr>
      <w:rFonts w:ascii="Calibri" w:hAnsi="Calibri"/>
      <w:sz w:val="22"/>
      <w:szCs w:val="22"/>
      <w:lang w:bidi="ar-SA"/>
    </w:rPr>
  </w:style>
  <w:style w:type="paragraph" w:customStyle="1" w:styleId="863">
    <w:name w:val="1标题"/>
    <w:basedOn w:val="1"/>
    <w:link w:val="865"/>
    <w:qFormat/>
    <w:uiPriority w:val="0"/>
    <w:pPr>
      <w:spacing w:line="500" w:lineRule="exact"/>
    </w:pPr>
    <w:rPr>
      <w:rFonts w:eastAsia="仿宋_GB2312"/>
      <w:b/>
      <w:sz w:val="32"/>
      <w:szCs w:val="32"/>
    </w:rPr>
  </w:style>
  <w:style w:type="paragraph" w:customStyle="1" w:styleId="864">
    <w:name w:val="1.1标题"/>
    <w:basedOn w:val="1"/>
    <w:link w:val="866"/>
    <w:qFormat/>
    <w:uiPriority w:val="0"/>
    <w:pPr>
      <w:spacing w:line="500" w:lineRule="exact"/>
      <w:outlineLvl w:val="0"/>
    </w:pPr>
    <w:rPr>
      <w:rFonts w:eastAsia="仿宋_GB2312"/>
      <w:b/>
      <w:kern w:val="0"/>
      <w:sz w:val="30"/>
      <w:szCs w:val="30"/>
    </w:rPr>
  </w:style>
  <w:style w:type="character" w:customStyle="1" w:styleId="865">
    <w:name w:val="1标题 Char"/>
    <w:link w:val="863"/>
    <w:qFormat/>
    <w:uiPriority w:val="0"/>
    <w:rPr>
      <w:rFonts w:eastAsia="仿宋_GB2312"/>
      <w:b/>
      <w:kern w:val="2"/>
      <w:sz w:val="32"/>
      <w:szCs w:val="32"/>
    </w:rPr>
  </w:style>
  <w:style w:type="character" w:customStyle="1" w:styleId="866">
    <w:name w:val="1.1标题 Char"/>
    <w:link w:val="864"/>
    <w:qFormat/>
    <w:uiPriority w:val="0"/>
    <w:rPr>
      <w:rFonts w:eastAsia="仿宋_GB2312"/>
      <w:b/>
      <w:sz w:val="30"/>
      <w:szCs w:val="30"/>
    </w:rPr>
  </w:style>
  <w:style w:type="paragraph" w:customStyle="1" w:styleId="867">
    <w:name w:val="1.1.1 小标题1"/>
    <w:basedOn w:val="1"/>
    <w:next w:val="868"/>
    <w:link w:val="869"/>
    <w:qFormat/>
    <w:uiPriority w:val="0"/>
    <w:pPr>
      <w:keepNext/>
      <w:keepLines/>
      <w:spacing w:before="20" w:after="20"/>
      <w:ind w:right="100"/>
      <w:outlineLvl w:val="2"/>
    </w:pPr>
    <w:rPr>
      <w:rFonts w:eastAsia="仿宋_GB2312"/>
      <w:b/>
      <w:bCs/>
      <w:sz w:val="28"/>
      <w:szCs w:val="28"/>
    </w:rPr>
  </w:style>
  <w:style w:type="paragraph" w:customStyle="1" w:styleId="868">
    <w:name w:val="1正文"/>
    <w:basedOn w:val="1"/>
    <w:link w:val="870"/>
    <w:qFormat/>
    <w:uiPriority w:val="0"/>
    <w:pPr>
      <w:spacing w:line="500" w:lineRule="exact"/>
      <w:ind w:firstLine="200" w:firstLineChars="200"/>
    </w:pPr>
    <w:rPr>
      <w:rFonts w:eastAsia="仿宋_GB2312"/>
      <w:sz w:val="28"/>
    </w:rPr>
  </w:style>
  <w:style w:type="character" w:customStyle="1" w:styleId="869">
    <w:name w:val="1.1.1 小标题1 Char"/>
    <w:link w:val="867"/>
    <w:qFormat/>
    <w:uiPriority w:val="0"/>
    <w:rPr>
      <w:rFonts w:eastAsia="仿宋_GB2312"/>
      <w:b/>
      <w:bCs/>
      <w:kern w:val="2"/>
      <w:sz w:val="28"/>
      <w:szCs w:val="28"/>
    </w:rPr>
  </w:style>
  <w:style w:type="character" w:customStyle="1" w:styleId="870">
    <w:name w:val="1正文 Char"/>
    <w:link w:val="868"/>
    <w:qFormat/>
    <w:uiPriority w:val="0"/>
    <w:rPr>
      <w:rFonts w:eastAsia="仿宋_GB2312"/>
      <w:kern w:val="2"/>
      <w:sz w:val="28"/>
      <w:szCs w:val="24"/>
    </w:rPr>
  </w:style>
  <w:style w:type="paragraph" w:customStyle="1" w:styleId="871">
    <w:name w:val="+正文"/>
    <w:basedOn w:val="1"/>
    <w:link w:val="872"/>
    <w:qFormat/>
    <w:uiPriority w:val="0"/>
    <w:pPr>
      <w:spacing w:line="360" w:lineRule="auto"/>
      <w:ind w:firstLine="200" w:firstLineChars="200"/>
    </w:pPr>
    <w:rPr>
      <w:rFonts w:hAnsi="宋体"/>
      <w:sz w:val="28"/>
      <w:szCs w:val="28"/>
    </w:rPr>
  </w:style>
  <w:style w:type="character" w:customStyle="1" w:styleId="872">
    <w:name w:val="+正文 Char"/>
    <w:link w:val="871"/>
    <w:qFormat/>
    <w:uiPriority w:val="0"/>
    <w:rPr>
      <w:rFonts w:hAnsi="宋体"/>
      <w:kern w:val="2"/>
      <w:sz w:val="28"/>
      <w:szCs w:val="28"/>
    </w:rPr>
  </w:style>
  <w:style w:type="character" w:customStyle="1" w:styleId="873">
    <w:name w:val="content"/>
    <w:qFormat/>
    <w:uiPriority w:val="0"/>
  </w:style>
  <w:style w:type="paragraph" w:customStyle="1" w:styleId="874">
    <w:name w:val="样式-正文cx"/>
    <w:basedOn w:val="1"/>
    <w:link w:val="875"/>
    <w:qFormat/>
    <w:uiPriority w:val="0"/>
    <w:pPr>
      <w:spacing w:line="500" w:lineRule="exact"/>
      <w:ind w:firstLine="560" w:firstLineChars="200"/>
    </w:pPr>
    <w:rPr>
      <w:rFonts w:eastAsia="仿宋"/>
      <w:bCs/>
      <w:color w:val="0000FF"/>
      <w:sz w:val="28"/>
      <w:szCs w:val="28"/>
    </w:rPr>
  </w:style>
  <w:style w:type="character" w:customStyle="1" w:styleId="875">
    <w:name w:val="样式-正文cx Char"/>
    <w:link w:val="874"/>
    <w:qFormat/>
    <w:uiPriority w:val="0"/>
    <w:rPr>
      <w:rFonts w:eastAsia="仿宋"/>
      <w:bCs/>
      <w:color w:val="0000FF"/>
      <w:kern w:val="2"/>
      <w:sz w:val="28"/>
      <w:szCs w:val="28"/>
    </w:rPr>
  </w:style>
  <w:style w:type="paragraph" w:customStyle="1" w:styleId="876">
    <w:name w:val="表格文字（高高）"/>
    <w:qFormat/>
    <w:uiPriority w:val="0"/>
    <w:pPr>
      <w:spacing w:beforeLines="25" w:afterLines="25"/>
      <w:jc w:val="center"/>
    </w:pPr>
    <w:rPr>
      <w:rFonts w:ascii="Times New Roman" w:hAnsi="Times New Roman" w:eastAsia="仿宋_GB2312" w:cs="Times New Roman"/>
      <w:sz w:val="24"/>
      <w:szCs w:val="21"/>
      <w:lang w:val="en-US" w:eastAsia="zh-CN" w:bidi="ar-SA"/>
    </w:rPr>
  </w:style>
  <w:style w:type="character" w:customStyle="1" w:styleId="877">
    <w:name w:val="尾注文本 字符"/>
    <w:link w:val="51"/>
    <w:qFormat/>
    <w:uiPriority w:val="0"/>
    <w:rPr>
      <w:rFonts w:ascii="仿宋_GB2312" w:hAnsi="仿宋_GB2312" w:eastAsia="仿宋_GB2312"/>
      <w:kern w:val="2"/>
      <w:sz w:val="28"/>
      <w:szCs w:val="21"/>
    </w:rPr>
  </w:style>
  <w:style w:type="paragraph" w:customStyle="1" w:styleId="878">
    <w:name w:val="Char7"/>
    <w:basedOn w:val="1"/>
    <w:qFormat/>
    <w:uiPriority w:val="0"/>
    <w:rPr>
      <w:sz w:val="24"/>
    </w:rPr>
  </w:style>
  <w:style w:type="paragraph" w:customStyle="1" w:styleId="879">
    <w:name w:val="正文文本3"/>
    <w:qFormat/>
    <w:uiPriority w:val="0"/>
    <w:pPr>
      <w:tabs>
        <w:tab w:val="left" w:pos="425"/>
        <w:tab w:val="left" w:pos="850"/>
      </w:tabs>
      <w:spacing w:after="283" w:line="260" w:lineRule="atLeast"/>
      <w:jc w:val="both"/>
    </w:pPr>
    <w:rPr>
      <w:rFonts w:ascii="StempelGaramond Roman" w:hAnsi="StempelGaramond Roman" w:eastAsia="宋体" w:cs="Times New Roman"/>
      <w:snapToGrid w:val="0"/>
      <w:color w:val="000000"/>
      <w:sz w:val="22"/>
      <w:lang w:val="en-US" w:eastAsia="zh-CN" w:bidi="ar-SA"/>
    </w:rPr>
  </w:style>
  <w:style w:type="paragraph" w:customStyle="1" w:styleId="880">
    <w:name w:val="Char Char Char Char Char Char Char Char Char Char Char Char Char Char Char Char Char Char Char Char Char Char Char Char Char Char Char Char Char Char2 Char Char Char Char Char Char Char3"/>
    <w:basedOn w:val="1"/>
    <w:qFormat/>
    <w:uiPriority w:val="0"/>
    <w:pPr>
      <w:widowControl/>
      <w:jc w:val="left"/>
    </w:pPr>
    <w:rPr>
      <w:rFonts w:ascii="宋体" w:hAnsi="宋体" w:cs="宋体"/>
      <w:kern w:val="0"/>
      <w:sz w:val="24"/>
    </w:rPr>
  </w:style>
  <w:style w:type="paragraph" w:customStyle="1" w:styleId="881">
    <w:name w:val="纯文本11"/>
    <w:basedOn w:val="1"/>
    <w:qFormat/>
    <w:uiPriority w:val="0"/>
    <w:pPr>
      <w:adjustRightInd w:val="0"/>
      <w:textAlignment w:val="baseline"/>
    </w:pPr>
    <w:rPr>
      <w:rFonts w:ascii="宋体" w:hAnsi="Courier New"/>
      <w:szCs w:val="20"/>
    </w:rPr>
  </w:style>
  <w:style w:type="paragraph" w:customStyle="1" w:styleId="882">
    <w:name w:val="Char16"/>
    <w:basedOn w:val="1"/>
    <w:qFormat/>
    <w:uiPriority w:val="0"/>
    <w:pPr>
      <w:snapToGrid w:val="0"/>
      <w:spacing w:line="360" w:lineRule="auto"/>
      <w:ind w:firstLine="200" w:firstLineChars="200"/>
    </w:pPr>
    <w:rPr>
      <w:rFonts w:eastAsia="仿宋_GB2312"/>
      <w:sz w:val="24"/>
    </w:rPr>
  </w:style>
  <w:style w:type="paragraph" w:customStyle="1" w:styleId="883">
    <w:name w:val="Char Char Char Char Char Char Char Char Char1 Char Char Char Char Char Char Char Char1 Char Char Char2"/>
    <w:basedOn w:val="1"/>
    <w:qFormat/>
    <w:uiPriority w:val="0"/>
    <w:pPr>
      <w:snapToGrid w:val="0"/>
      <w:spacing w:line="360" w:lineRule="auto"/>
      <w:ind w:firstLine="200" w:firstLineChars="200"/>
    </w:pPr>
    <w:rPr>
      <w:rFonts w:eastAsia="仿宋_GB2312"/>
      <w:sz w:val="24"/>
    </w:rPr>
  </w:style>
  <w:style w:type="paragraph" w:customStyle="1" w:styleId="884">
    <w:name w:val="Char6"/>
    <w:basedOn w:val="1"/>
    <w:qFormat/>
    <w:uiPriority w:val="0"/>
    <w:pPr>
      <w:adjustRightInd w:val="0"/>
      <w:spacing w:line="360" w:lineRule="auto"/>
    </w:pPr>
    <w:rPr>
      <w:kern w:val="0"/>
      <w:sz w:val="24"/>
      <w:szCs w:val="20"/>
    </w:rPr>
  </w:style>
  <w:style w:type="paragraph" w:customStyle="1" w:styleId="885">
    <w:name w:val="Char5"/>
    <w:basedOn w:val="1"/>
    <w:semiHidden/>
    <w:qFormat/>
    <w:uiPriority w:val="0"/>
    <w:pPr>
      <w:adjustRightInd w:val="0"/>
      <w:spacing w:line="360" w:lineRule="auto"/>
    </w:pPr>
    <w:rPr>
      <w:kern w:val="0"/>
      <w:sz w:val="24"/>
      <w:szCs w:val="20"/>
    </w:rPr>
  </w:style>
  <w:style w:type="paragraph" w:customStyle="1" w:styleId="886">
    <w:name w:val="main"/>
    <w:basedOn w:val="1"/>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887">
    <w:name w:val="表后文"/>
    <w:basedOn w:val="1"/>
    <w:qFormat/>
    <w:uiPriority w:val="0"/>
    <w:pPr>
      <w:adjustRightInd w:val="0"/>
      <w:spacing w:before="120" w:line="400" w:lineRule="exact"/>
      <w:ind w:firstLine="601"/>
      <w:textAlignment w:val="baseline"/>
    </w:pPr>
    <w:rPr>
      <w:rFonts w:eastAsia="楷体_GB2312"/>
      <w:spacing w:val="8"/>
      <w:kern w:val="0"/>
      <w:sz w:val="28"/>
      <w:szCs w:val="20"/>
    </w:rPr>
  </w:style>
  <w:style w:type="paragraph" w:customStyle="1" w:styleId="888">
    <w:name w:val="正文文本缩进2"/>
    <w:basedOn w:val="1"/>
    <w:qFormat/>
    <w:uiPriority w:val="0"/>
    <w:pPr>
      <w:spacing w:after="120" w:line="360" w:lineRule="auto"/>
      <w:ind w:left="420" w:leftChars="200" w:firstLine="200" w:firstLineChars="200"/>
    </w:pPr>
    <w:rPr>
      <w:sz w:val="24"/>
    </w:rPr>
  </w:style>
  <w:style w:type="paragraph" w:customStyle="1" w:styleId="889">
    <w:name w:val="样式111"/>
    <w:basedOn w:val="300"/>
    <w:qFormat/>
    <w:uiPriority w:val="0"/>
    <w:rPr>
      <w:sz w:val="21"/>
      <w:szCs w:val="24"/>
    </w:rPr>
  </w:style>
  <w:style w:type="paragraph" w:customStyle="1" w:styleId="890">
    <w:name w:val="框图"/>
    <w:basedOn w:val="1"/>
    <w:qFormat/>
    <w:uiPriority w:val="0"/>
    <w:pPr>
      <w:adjustRightInd w:val="0"/>
      <w:snapToGrid w:val="0"/>
      <w:ind w:left="2" w:leftChars="-38" w:right="-106" w:rightChars="-38" w:hanging="108" w:hangingChars="54"/>
      <w:jc w:val="center"/>
    </w:pPr>
    <w:rPr>
      <w:rFonts w:ascii="仿宋_GB2312" w:eastAsia="仿宋_GB2312"/>
      <w:sz w:val="20"/>
      <w:szCs w:val="20"/>
    </w:rPr>
  </w:style>
  <w:style w:type="paragraph" w:customStyle="1" w:styleId="891">
    <w:name w:val="纯文本3"/>
    <w:basedOn w:val="1"/>
    <w:qFormat/>
    <w:uiPriority w:val="0"/>
    <w:pPr>
      <w:adjustRightInd w:val="0"/>
      <w:textAlignment w:val="baseline"/>
    </w:pPr>
    <w:rPr>
      <w:rFonts w:ascii="宋体" w:hAnsi="Courier New"/>
      <w:szCs w:val="20"/>
    </w:rPr>
  </w:style>
  <w:style w:type="paragraph" w:customStyle="1" w:styleId="892">
    <w:name w:val="正文文本 21"/>
    <w:basedOn w:val="1"/>
    <w:qFormat/>
    <w:uiPriority w:val="0"/>
    <w:pPr>
      <w:autoSpaceDE w:val="0"/>
      <w:autoSpaceDN w:val="0"/>
      <w:adjustRightInd w:val="0"/>
      <w:spacing w:line="360" w:lineRule="atLeast"/>
      <w:ind w:firstLine="425"/>
      <w:textAlignment w:val="baseline"/>
    </w:pPr>
    <w:rPr>
      <w:rFonts w:ascii="宋体" w:hAnsi="Tms Rmn"/>
      <w:kern w:val="0"/>
      <w:sz w:val="28"/>
      <w:szCs w:val="20"/>
    </w:rPr>
  </w:style>
  <w:style w:type="paragraph" w:customStyle="1" w:styleId="893">
    <w:name w:val="正文-1"/>
    <w:basedOn w:val="1"/>
    <w:qFormat/>
    <w:uiPriority w:val="0"/>
    <w:pPr>
      <w:adjustRightInd w:val="0"/>
      <w:spacing w:line="440" w:lineRule="exact"/>
      <w:ind w:firstLine="200" w:firstLineChars="200"/>
    </w:pPr>
    <w:rPr>
      <w:sz w:val="24"/>
      <w:szCs w:val="20"/>
    </w:rPr>
  </w:style>
  <w:style w:type="paragraph" w:customStyle="1" w:styleId="894">
    <w:name w:val="表中文字"/>
    <w:basedOn w:val="1"/>
    <w:link w:val="1912"/>
    <w:qFormat/>
    <w:uiPriority w:val="0"/>
    <w:pPr>
      <w:snapToGrid w:val="0"/>
    </w:pPr>
    <w:rPr>
      <w:szCs w:val="20"/>
    </w:rPr>
  </w:style>
  <w:style w:type="paragraph" w:customStyle="1" w:styleId="895">
    <w:name w:val="正文缩进5"/>
    <w:basedOn w:val="1"/>
    <w:qFormat/>
    <w:uiPriority w:val="0"/>
    <w:pPr>
      <w:adjustRightInd w:val="0"/>
      <w:ind w:firstLine="420" w:firstLineChars="200"/>
      <w:textAlignment w:val="baseline"/>
    </w:pPr>
    <w:rPr>
      <w:rFonts w:hint="eastAsia" w:hAnsi="宋体"/>
      <w:sz w:val="24"/>
      <w:szCs w:val="20"/>
    </w:rPr>
  </w:style>
  <w:style w:type="paragraph" w:customStyle="1" w:styleId="896">
    <w:name w:val="TOC 标题11"/>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897">
    <w:name w:val="Char Char Char Char Char Char Char Char Char Char Char Char Char Char Char Char Char Char Char Char Char Char Char Char Char Char Char Char Char Char2 Char Char Char Char Char Char Char2"/>
    <w:basedOn w:val="1"/>
    <w:qFormat/>
    <w:uiPriority w:val="0"/>
    <w:pPr>
      <w:widowControl/>
      <w:jc w:val="left"/>
    </w:pPr>
    <w:rPr>
      <w:rFonts w:ascii="宋体" w:hAnsi="宋体" w:cs="宋体"/>
      <w:kern w:val="0"/>
      <w:sz w:val="24"/>
    </w:rPr>
  </w:style>
  <w:style w:type="paragraph" w:customStyle="1" w:styleId="898">
    <w:name w:val="正文缩进6"/>
    <w:basedOn w:val="1"/>
    <w:qFormat/>
    <w:uiPriority w:val="0"/>
    <w:pPr>
      <w:adjustRightInd w:val="0"/>
      <w:ind w:firstLine="420" w:firstLineChars="200"/>
      <w:textAlignment w:val="baseline"/>
    </w:pPr>
    <w:rPr>
      <w:rFonts w:hint="eastAsia" w:hAnsi="宋体"/>
      <w:sz w:val="24"/>
      <w:szCs w:val="20"/>
    </w:rPr>
  </w:style>
  <w:style w:type="paragraph" w:customStyle="1" w:styleId="899">
    <w:name w:val="Char12"/>
    <w:basedOn w:val="1"/>
    <w:qFormat/>
    <w:uiPriority w:val="0"/>
    <w:pPr>
      <w:snapToGrid w:val="0"/>
      <w:spacing w:line="360" w:lineRule="auto"/>
      <w:ind w:firstLine="200" w:firstLineChars="200"/>
    </w:pPr>
    <w:rPr>
      <w:rFonts w:eastAsia="仿宋_GB2312"/>
      <w:sz w:val="24"/>
    </w:rPr>
  </w:style>
  <w:style w:type="paragraph" w:customStyle="1" w:styleId="900">
    <w:name w:val="Char15"/>
    <w:basedOn w:val="1"/>
    <w:qFormat/>
    <w:uiPriority w:val="0"/>
    <w:pPr>
      <w:snapToGrid w:val="0"/>
      <w:spacing w:line="360" w:lineRule="auto"/>
      <w:ind w:firstLine="200" w:firstLineChars="200"/>
    </w:pPr>
    <w:rPr>
      <w:rFonts w:eastAsia="仿宋_GB2312"/>
      <w:sz w:val="24"/>
    </w:rPr>
  </w:style>
  <w:style w:type="paragraph" w:customStyle="1" w:styleId="901">
    <w:name w:val="Char14"/>
    <w:basedOn w:val="1"/>
    <w:qFormat/>
    <w:uiPriority w:val="0"/>
    <w:pPr>
      <w:snapToGrid w:val="0"/>
      <w:spacing w:line="360" w:lineRule="auto"/>
      <w:ind w:firstLine="200" w:firstLineChars="200"/>
    </w:pPr>
    <w:rPr>
      <w:rFonts w:eastAsia="仿宋_GB2312"/>
      <w:sz w:val="24"/>
    </w:rPr>
  </w:style>
  <w:style w:type="paragraph" w:customStyle="1" w:styleId="902">
    <w:name w:val="Char13"/>
    <w:basedOn w:val="1"/>
    <w:qFormat/>
    <w:uiPriority w:val="0"/>
    <w:pPr>
      <w:snapToGrid w:val="0"/>
      <w:spacing w:line="360" w:lineRule="auto"/>
      <w:ind w:firstLine="200" w:firstLineChars="200"/>
    </w:pPr>
    <w:rPr>
      <w:rFonts w:eastAsia="仿宋_GB2312"/>
      <w:sz w:val="24"/>
    </w:rPr>
  </w:style>
  <w:style w:type="paragraph" w:customStyle="1" w:styleId="903">
    <w:name w:val="T3"/>
    <w:basedOn w:val="1"/>
    <w:qFormat/>
    <w:uiPriority w:val="0"/>
    <w:pPr>
      <w:tabs>
        <w:tab w:val="left" w:pos="1410"/>
        <w:tab w:val="left" w:pos="2523"/>
      </w:tabs>
      <w:adjustRightInd w:val="0"/>
      <w:spacing w:before="60" w:line="288" w:lineRule="auto"/>
      <w:textAlignment w:val="baseline"/>
    </w:pPr>
    <w:rPr>
      <w:spacing w:val="16"/>
      <w:kern w:val="20"/>
      <w:sz w:val="28"/>
      <w:szCs w:val="20"/>
    </w:rPr>
  </w:style>
  <w:style w:type="paragraph" w:customStyle="1" w:styleId="904">
    <w:name w:val="封面落款"/>
    <w:basedOn w:val="1"/>
    <w:qFormat/>
    <w:uiPriority w:val="0"/>
    <w:pPr>
      <w:tabs>
        <w:tab w:val="left" w:pos="1134"/>
        <w:tab w:val="right" w:pos="7371"/>
      </w:tabs>
      <w:overflowPunct w:val="0"/>
      <w:adjustRightInd w:val="0"/>
      <w:spacing w:line="360" w:lineRule="auto"/>
      <w:jc w:val="center"/>
    </w:pPr>
    <w:rPr>
      <w:rFonts w:eastAsia="黑体"/>
      <w:color w:val="0000FF"/>
      <w:spacing w:val="20"/>
      <w:kern w:val="0"/>
      <w:sz w:val="32"/>
      <w:szCs w:val="20"/>
    </w:rPr>
  </w:style>
  <w:style w:type="paragraph" w:customStyle="1" w:styleId="905">
    <w:name w:val="封面标题"/>
    <w:basedOn w:val="1"/>
    <w:next w:val="904"/>
    <w:qFormat/>
    <w:uiPriority w:val="0"/>
    <w:pPr>
      <w:tabs>
        <w:tab w:val="left" w:pos="1134"/>
        <w:tab w:val="right" w:pos="7371"/>
      </w:tabs>
      <w:overflowPunct w:val="0"/>
      <w:adjustRightInd w:val="0"/>
      <w:spacing w:line="360" w:lineRule="auto"/>
      <w:jc w:val="center"/>
    </w:pPr>
    <w:rPr>
      <w:rFonts w:ascii="Arial" w:eastAsia="黑体"/>
      <w:color w:val="FF0000"/>
      <w:spacing w:val="20"/>
      <w:kern w:val="52"/>
      <w:sz w:val="52"/>
      <w:szCs w:val="20"/>
    </w:rPr>
  </w:style>
  <w:style w:type="paragraph" w:customStyle="1" w:styleId="906">
    <w:name w:val="表内字"/>
    <w:qFormat/>
    <w:uiPriority w:val="0"/>
    <w:pPr>
      <w:widowControl w:val="0"/>
      <w:adjustRightInd w:val="0"/>
      <w:snapToGrid w:val="0"/>
    </w:pPr>
    <w:rPr>
      <w:rFonts w:ascii="宋体" w:hAnsi="宋体" w:eastAsia="宋体" w:cs="Times New Roman"/>
      <w:color w:val="000000"/>
      <w:kern w:val="2"/>
      <w:sz w:val="21"/>
      <w:szCs w:val="18"/>
      <w:lang w:val="en-US" w:eastAsia="zh-CN" w:bidi="ar-SA"/>
    </w:rPr>
  </w:style>
  <w:style w:type="paragraph" w:customStyle="1" w:styleId="907">
    <w:name w:val="biao7-5"/>
    <w:basedOn w:val="10"/>
    <w:qFormat/>
    <w:uiPriority w:val="0"/>
    <w:pPr>
      <w:widowControl/>
      <w:tabs>
        <w:tab w:val="left" w:pos="600"/>
      </w:tabs>
      <w:autoSpaceDE w:val="0"/>
      <w:autoSpaceDN w:val="0"/>
      <w:snapToGrid w:val="0"/>
      <w:spacing w:before="60" w:after="0" w:line="312" w:lineRule="auto"/>
      <w:jc w:val="center"/>
      <w:textAlignment w:val="bottom"/>
      <w:outlineLvl w:val="9"/>
    </w:pPr>
    <w:rPr>
      <w:rFonts w:ascii="Times New Roman" w:hAnsi="Times New Roman" w:eastAsia="宋体"/>
      <w:kern w:val="0"/>
      <w:szCs w:val="20"/>
    </w:rPr>
  </w:style>
  <w:style w:type="paragraph" w:customStyle="1" w:styleId="908">
    <w:name w:val="正文表格"/>
    <w:basedOn w:val="1"/>
    <w:qFormat/>
    <w:uiPriority w:val="0"/>
    <w:pPr>
      <w:keepNext/>
      <w:keepLines/>
      <w:overflowPunct w:val="0"/>
      <w:adjustRightInd w:val="0"/>
      <w:spacing w:before="80"/>
      <w:jc w:val="center"/>
      <w:textAlignment w:val="bottom"/>
    </w:pPr>
    <w:rPr>
      <w:kern w:val="0"/>
      <w:sz w:val="28"/>
      <w:szCs w:val="20"/>
    </w:rPr>
  </w:style>
  <w:style w:type="paragraph" w:customStyle="1" w:styleId="909">
    <w:name w:val="样式－表"/>
    <w:basedOn w:val="1"/>
    <w:qFormat/>
    <w:uiPriority w:val="0"/>
    <w:pPr>
      <w:adjustRightInd w:val="0"/>
      <w:snapToGrid w:val="0"/>
      <w:spacing w:before="62"/>
      <w:jc w:val="center"/>
    </w:pPr>
    <w:rPr>
      <w:snapToGrid w:val="0"/>
      <w:color w:val="000000"/>
      <w:kern w:val="0"/>
      <w:sz w:val="24"/>
      <w:szCs w:val="20"/>
    </w:rPr>
  </w:style>
  <w:style w:type="paragraph" w:customStyle="1" w:styleId="910">
    <w:name w:val="表第一列"/>
    <w:basedOn w:val="85"/>
    <w:qFormat/>
    <w:uiPriority w:val="0"/>
    <w:pPr>
      <w:keepNext/>
      <w:keepLines/>
      <w:tabs>
        <w:tab w:val="left" w:pos="1727"/>
        <w:tab w:val="left" w:pos="1884"/>
        <w:tab w:val="left" w:pos="2940"/>
      </w:tabs>
      <w:adjustRightInd w:val="0"/>
      <w:snapToGrid w:val="0"/>
      <w:spacing w:after="0" w:line="0" w:lineRule="atLeast"/>
      <w:ind w:firstLine="0" w:firstLineChars="0"/>
      <w:jc w:val="center"/>
    </w:pPr>
    <w:rPr>
      <w:rFonts w:ascii="宋体" w:hAnsi="宋体" w:eastAsia="宋体"/>
      <w:color w:val="000000"/>
      <w:spacing w:val="-4"/>
      <w:sz w:val="21"/>
      <w:szCs w:val="20"/>
    </w:rPr>
  </w:style>
  <w:style w:type="paragraph" w:customStyle="1" w:styleId="911">
    <w:name w:val="高表内"/>
    <w:basedOn w:val="44"/>
    <w:qFormat/>
    <w:uiPriority w:val="0"/>
    <w:pPr>
      <w:autoSpaceDE w:val="0"/>
      <w:adjustRightInd w:val="0"/>
      <w:snapToGrid w:val="0"/>
      <w:jc w:val="center"/>
      <w:textAlignment w:val="baseline"/>
    </w:pPr>
    <w:rPr>
      <w:rFonts w:ascii="Arial" w:hAnsi="Arial" w:eastAsia="楷体_GB2312" w:cs="Times New Roman"/>
      <w:sz w:val="24"/>
      <w:szCs w:val="20"/>
    </w:rPr>
  </w:style>
  <w:style w:type="paragraph" w:customStyle="1" w:styleId="912">
    <w:name w:val="Checkboxes"/>
    <w:basedOn w:val="1"/>
    <w:qFormat/>
    <w:uiPriority w:val="0"/>
    <w:pPr>
      <w:widowControl/>
      <w:spacing w:before="360" w:after="360"/>
      <w:jc w:val="left"/>
    </w:pPr>
    <w:rPr>
      <w:kern w:val="0"/>
      <w:sz w:val="24"/>
      <w:szCs w:val="20"/>
    </w:rPr>
  </w:style>
  <w:style w:type="paragraph" w:customStyle="1" w:styleId="913">
    <w:name w:val="表小4"/>
    <w:basedOn w:val="1"/>
    <w:qFormat/>
    <w:uiPriority w:val="0"/>
    <w:pPr>
      <w:tabs>
        <w:tab w:val="left" w:pos="0"/>
        <w:tab w:val="left" w:pos="2619"/>
      </w:tabs>
      <w:adjustRightInd w:val="0"/>
      <w:spacing w:line="0" w:lineRule="atLeast"/>
      <w:jc w:val="center"/>
    </w:pPr>
    <w:rPr>
      <w:rFonts w:ascii="宋体" w:hAnsi="宋体"/>
      <w:sz w:val="28"/>
      <w:szCs w:val="20"/>
    </w:rPr>
  </w:style>
  <w:style w:type="paragraph" w:customStyle="1" w:styleId="914">
    <w:name w:val="c"/>
    <w:link w:val="1346"/>
    <w:qFormat/>
    <w:uiPriority w:val="0"/>
    <w:pPr>
      <w:widowControl w:val="0"/>
      <w:autoSpaceDE w:val="0"/>
      <w:autoSpaceDN w:val="0"/>
      <w:adjustRightInd w:val="0"/>
      <w:jc w:val="both"/>
    </w:pPr>
    <w:rPr>
      <w:rFonts w:ascii="Arial" w:hAnsi="Arial" w:eastAsia="宋体" w:cs="Times New Roman"/>
      <w:kern w:val="2"/>
      <w:sz w:val="24"/>
      <w:szCs w:val="18"/>
      <w:lang w:val="en-US" w:eastAsia="zh-CN" w:bidi="ar-SA"/>
    </w:rPr>
  </w:style>
  <w:style w:type="paragraph" w:customStyle="1" w:styleId="915">
    <w:name w:val="表格文字自调"/>
    <w:basedOn w:val="44"/>
    <w:qFormat/>
    <w:uiPriority w:val="0"/>
    <w:rPr>
      <w:rFonts w:ascii="Times New Roman" w:hAnsi="Times New Roman"/>
    </w:rPr>
  </w:style>
  <w:style w:type="paragraph" w:customStyle="1" w:styleId="916">
    <w:name w:val="表标"/>
    <w:basedOn w:val="1"/>
    <w:next w:val="1"/>
    <w:qFormat/>
    <w:uiPriority w:val="0"/>
    <w:pPr>
      <w:tabs>
        <w:tab w:val="left" w:pos="540"/>
        <w:tab w:val="left" w:pos="600"/>
        <w:tab w:val="left" w:pos="720"/>
        <w:tab w:val="left" w:pos="1200"/>
        <w:tab w:val="left" w:pos="1440"/>
        <w:tab w:val="left" w:pos="2448"/>
        <w:tab w:val="left" w:pos="3000"/>
        <w:tab w:val="left" w:pos="3888"/>
        <w:tab w:val="left" w:pos="4800"/>
        <w:tab w:val="left" w:pos="5040"/>
        <w:tab w:val="left" w:pos="5883"/>
        <w:tab w:val="left" w:pos="6300"/>
        <w:tab w:val="left" w:pos="7353"/>
        <w:tab w:val="left" w:pos="8613"/>
      </w:tabs>
      <w:autoSpaceDE w:val="0"/>
      <w:autoSpaceDN w:val="0"/>
      <w:adjustRightInd w:val="0"/>
      <w:snapToGrid w:val="0"/>
      <w:spacing w:line="300" w:lineRule="auto"/>
      <w:ind w:right="181" w:firstLine="200" w:firstLineChars="200"/>
      <w:jc w:val="right"/>
      <w:textAlignment w:val="baseline"/>
    </w:pPr>
    <w:rPr>
      <w:rFonts w:ascii="黑体" w:hAnsi="宋体" w:eastAsia="黑体"/>
      <w:kern w:val="0"/>
      <w:sz w:val="24"/>
      <w:szCs w:val="20"/>
    </w:rPr>
  </w:style>
  <w:style w:type="paragraph" w:customStyle="1" w:styleId="917">
    <w:name w:val="样式 小四 黑色 首行缩进:  0.36 厘米 行距: 1.5 倍行距"/>
    <w:basedOn w:val="1"/>
    <w:qFormat/>
    <w:uiPriority w:val="0"/>
    <w:pPr>
      <w:spacing w:line="360" w:lineRule="auto"/>
    </w:pPr>
    <w:rPr>
      <w:color w:val="000000"/>
      <w:sz w:val="24"/>
      <w:szCs w:val="20"/>
    </w:rPr>
  </w:style>
  <w:style w:type="paragraph" w:customStyle="1" w:styleId="918">
    <w:name w:val="可研"/>
    <w:basedOn w:val="58"/>
    <w:qFormat/>
    <w:uiPriority w:val="0"/>
    <w:pPr>
      <w:tabs>
        <w:tab w:val="right" w:leader="dot" w:pos="9345"/>
        <w:tab w:val="right" w:leader="dot" w:pos="9628"/>
        <w:tab w:val="clear" w:pos="284"/>
        <w:tab w:val="clear" w:pos="630"/>
        <w:tab w:val="clear" w:pos="8302"/>
      </w:tabs>
      <w:snapToGrid/>
      <w:spacing w:before="0" w:after="0" w:line="360" w:lineRule="auto"/>
      <w:jc w:val="left"/>
    </w:pPr>
    <w:rPr>
      <w:rFonts w:ascii="黑体" w:eastAsia="黑体"/>
      <w:caps/>
    </w:rPr>
  </w:style>
  <w:style w:type="paragraph" w:customStyle="1" w:styleId="919">
    <w:name w:val="Char1 Char Char Char"/>
    <w:basedOn w:val="1"/>
    <w:qFormat/>
    <w:uiPriority w:val="0"/>
    <w:rPr>
      <w:sz w:val="24"/>
      <w:szCs w:val="20"/>
    </w:rPr>
  </w:style>
  <w:style w:type="paragraph" w:customStyle="1" w:styleId="920">
    <w:name w:val="样式 标题 2 + 宋体 居中"/>
    <w:basedOn w:val="3"/>
    <w:qFormat/>
    <w:uiPriority w:val="0"/>
    <w:pPr>
      <w:numPr>
        <w:numId w:val="0"/>
      </w:numPr>
      <w:tabs>
        <w:tab w:val="clear" w:pos="0"/>
        <w:tab w:val="clear" w:pos="426"/>
      </w:tabs>
      <w:adjustRightInd w:val="0"/>
      <w:snapToGrid w:val="0"/>
      <w:spacing w:before="260" w:afterLines="0" w:line="360" w:lineRule="auto"/>
      <w:jc w:val="center"/>
    </w:pPr>
    <w:rPr>
      <w:rFonts w:ascii="宋体" w:hAnsi="宋体" w:eastAsia="黑体" w:cs="宋体"/>
      <w:b w:val="0"/>
      <w:bCs/>
      <w:spacing w:val="0"/>
      <w:kern w:val="2"/>
      <w:sz w:val="24"/>
      <w:szCs w:val="20"/>
    </w:rPr>
  </w:style>
  <w:style w:type="paragraph" w:customStyle="1" w:styleId="921">
    <w:name w:val="表格文字居中"/>
    <w:basedOn w:val="1"/>
    <w:next w:val="85"/>
    <w:qFormat/>
    <w:uiPriority w:val="0"/>
    <w:pPr>
      <w:keepNext/>
      <w:tabs>
        <w:tab w:val="left" w:pos="628"/>
        <w:tab w:val="left" w:pos="1727"/>
        <w:tab w:val="left" w:pos="1884"/>
      </w:tabs>
      <w:adjustRightInd w:val="0"/>
      <w:snapToGrid w:val="0"/>
    </w:pPr>
    <w:rPr>
      <w:rFonts w:ascii="宋体" w:hAnsi="宋体" w:cs="Arial"/>
      <w:bCs/>
      <w:color w:val="000000"/>
      <w:kern w:val="0"/>
      <w:sz w:val="24"/>
      <w:szCs w:val="21"/>
    </w:rPr>
  </w:style>
  <w:style w:type="paragraph" w:customStyle="1" w:styleId="922">
    <w:name w:val=":("/>
    <w:link w:val="1004"/>
    <w:qFormat/>
    <w:uiPriority w:val="0"/>
    <w:pPr>
      <w:widowControl w:val="0"/>
      <w:adjustRightInd w:val="0"/>
      <w:spacing w:line="312" w:lineRule="atLeast"/>
      <w:jc w:val="both"/>
      <w:textAlignment w:val="baseline"/>
    </w:pPr>
    <w:rPr>
      <w:rFonts w:ascii="Times New Roman" w:hAnsi="Times New Roman" w:eastAsia="·s²Ó©úÅé" w:cs="Times New Roman"/>
      <w:kern w:val="2"/>
      <w:sz w:val="21"/>
      <w:szCs w:val="18"/>
      <w:lang w:val="en-US" w:eastAsia="zh-CN" w:bidi="ar-SA"/>
    </w:rPr>
  </w:style>
  <w:style w:type="paragraph" w:customStyle="1" w:styleId="923">
    <w:name w:val="样式 (中文) 楷体_GB2312 四号 首行缩进:  0.99 厘米"/>
    <w:basedOn w:val="1"/>
    <w:qFormat/>
    <w:uiPriority w:val="0"/>
    <w:pPr>
      <w:ind w:firstLine="560"/>
    </w:pPr>
    <w:rPr>
      <w:rFonts w:eastAsia="楷体_GB2312" w:cs="宋体"/>
      <w:spacing w:val="6"/>
      <w:kern w:val="0"/>
      <w:sz w:val="28"/>
      <w:szCs w:val="20"/>
    </w:rPr>
  </w:style>
  <w:style w:type="paragraph" w:customStyle="1" w:styleId="924">
    <w:name w:val="样式 样式 表格标题 + 首行缩进:  2 字符 + 仿宋_GB2312 四号 加粗"/>
    <w:basedOn w:val="1"/>
    <w:qFormat/>
    <w:uiPriority w:val="0"/>
    <w:pPr>
      <w:adjustRightInd w:val="0"/>
      <w:spacing w:before="120" w:line="360" w:lineRule="auto"/>
      <w:ind w:firstLine="480" w:firstLineChars="200"/>
      <w:jc w:val="center"/>
      <w:textAlignment w:val="baseline"/>
    </w:pPr>
    <w:rPr>
      <w:rFonts w:eastAsia="文鼎CS大宋" w:cs="宋体"/>
      <w:bCs/>
      <w:kern w:val="0"/>
      <w:sz w:val="24"/>
    </w:rPr>
  </w:style>
  <w:style w:type="paragraph" w:customStyle="1" w:styleId="925">
    <w:name w:val="样式 小四 加粗 居中"/>
    <w:basedOn w:val="1"/>
    <w:qFormat/>
    <w:uiPriority w:val="0"/>
    <w:pPr>
      <w:jc w:val="center"/>
    </w:pPr>
    <w:rPr>
      <w:rFonts w:eastAsia="楷体_GB2312" w:cs="宋体"/>
      <w:bCs/>
      <w:szCs w:val="21"/>
    </w:rPr>
  </w:style>
  <w:style w:type="paragraph" w:customStyle="1" w:styleId="926">
    <w:name w:val="样式 样式 样式 样式 样式 样式 样式 样式 首行缩进:  2 字符 + 首行缩进:  2 字符2 + 仿宋_GB2312 行...1"/>
    <w:basedOn w:val="1"/>
    <w:qFormat/>
    <w:uiPriority w:val="0"/>
    <w:pPr>
      <w:spacing w:line="520" w:lineRule="exact"/>
      <w:ind w:firstLine="200" w:firstLineChars="200"/>
    </w:pPr>
    <w:rPr>
      <w:rFonts w:eastAsia="楷体_GB2312"/>
      <w:spacing w:val="14"/>
      <w:kern w:val="0"/>
      <w:sz w:val="28"/>
      <w:szCs w:val="20"/>
    </w:rPr>
  </w:style>
  <w:style w:type="paragraph" w:customStyle="1" w:styleId="927">
    <w:name w:val="样式 楷体_GB2312 四号 黑色"/>
    <w:basedOn w:val="1"/>
    <w:qFormat/>
    <w:uiPriority w:val="0"/>
    <w:pPr>
      <w:spacing w:line="560" w:lineRule="exact"/>
      <w:ind w:firstLine="200" w:firstLineChars="200"/>
    </w:pPr>
    <w:rPr>
      <w:rFonts w:eastAsia="楷体_GB2312"/>
      <w:color w:val="000000"/>
      <w:sz w:val="28"/>
      <w:szCs w:val="20"/>
    </w:rPr>
  </w:style>
  <w:style w:type="paragraph" w:customStyle="1" w:styleId="928">
    <w:name w:val="Char17"/>
    <w:basedOn w:val="1"/>
    <w:qFormat/>
    <w:uiPriority w:val="0"/>
    <w:pPr>
      <w:snapToGrid w:val="0"/>
      <w:spacing w:line="360" w:lineRule="auto"/>
      <w:ind w:firstLine="200" w:firstLineChars="200"/>
    </w:pPr>
    <w:rPr>
      <w:rFonts w:eastAsia="仿宋_GB2312"/>
      <w:sz w:val="24"/>
    </w:rPr>
  </w:style>
  <w:style w:type="paragraph" w:customStyle="1" w:styleId="929">
    <w:name w:val="Char Char Char Char Char Char Char Char Char Char Char Char Char Char Char Char Char Char Char Char Char Char Char Char Char Char Char Char Char Char2 Char Char Char Char Char Char Char4"/>
    <w:basedOn w:val="1"/>
    <w:qFormat/>
    <w:uiPriority w:val="0"/>
    <w:rPr>
      <w:sz w:val="24"/>
    </w:rPr>
  </w:style>
  <w:style w:type="paragraph" w:customStyle="1" w:styleId="930">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931">
    <w:name w:val="Char Char Char Char Char Char3"/>
    <w:basedOn w:val="1"/>
    <w:link w:val="998"/>
    <w:qFormat/>
    <w:uiPriority w:val="0"/>
    <w:rPr>
      <w:sz w:val="24"/>
    </w:rPr>
  </w:style>
  <w:style w:type="paragraph" w:customStyle="1" w:styleId="932">
    <w:name w:val="Char10"/>
    <w:basedOn w:val="1"/>
    <w:qFormat/>
    <w:uiPriority w:val="0"/>
    <w:rPr>
      <w:sz w:val="24"/>
    </w:rPr>
  </w:style>
  <w:style w:type="paragraph" w:customStyle="1" w:styleId="933">
    <w:name w:val="正文文本缩进3"/>
    <w:basedOn w:val="1"/>
    <w:qFormat/>
    <w:uiPriority w:val="0"/>
    <w:pPr>
      <w:adjustRightInd w:val="0"/>
      <w:spacing w:after="120" w:line="360" w:lineRule="auto"/>
      <w:ind w:left="420" w:leftChars="200" w:firstLine="200" w:firstLineChars="200"/>
      <w:textAlignment w:val="baseline"/>
    </w:pPr>
    <w:rPr>
      <w:sz w:val="24"/>
    </w:rPr>
  </w:style>
  <w:style w:type="paragraph" w:customStyle="1" w:styleId="934">
    <w:name w:val="XYF表格"/>
    <w:basedOn w:val="271"/>
    <w:qFormat/>
    <w:uiPriority w:val="0"/>
    <w:pPr>
      <w:ind w:firstLine="0" w:firstLineChars="0"/>
    </w:pPr>
  </w:style>
  <w:style w:type="paragraph" w:customStyle="1" w:styleId="935">
    <w:name w:val="环标2"/>
    <w:basedOn w:val="3"/>
    <w:qFormat/>
    <w:uiPriority w:val="0"/>
    <w:pPr>
      <w:numPr>
        <w:numId w:val="0"/>
      </w:numPr>
      <w:tabs>
        <w:tab w:val="left" w:pos="540"/>
        <w:tab w:val="clear" w:pos="0"/>
        <w:tab w:val="clear" w:pos="426"/>
      </w:tabs>
      <w:suppressAutoHyphens/>
      <w:adjustRightInd w:val="0"/>
      <w:spacing w:beforeLines="0" w:afterLines="0" w:line="312" w:lineRule="atLeast"/>
      <w:jc w:val="center"/>
      <w:textAlignment w:val="baseline"/>
      <w:outlineLvl w:val="9"/>
    </w:pPr>
    <w:rPr>
      <w:rFonts w:ascii="仿宋_GB2312" w:hAnsi="Arial"/>
      <w:b w:val="0"/>
      <w:spacing w:val="0"/>
      <w:sz w:val="28"/>
      <w:szCs w:val="20"/>
    </w:rPr>
  </w:style>
  <w:style w:type="paragraph" w:customStyle="1" w:styleId="936">
    <w:name w:val="附件表格文字"/>
    <w:basedOn w:val="1"/>
    <w:qFormat/>
    <w:uiPriority w:val="0"/>
    <w:pPr>
      <w:snapToGrid w:val="0"/>
      <w:jc w:val="center"/>
    </w:pPr>
    <w:rPr>
      <w:rFonts w:ascii="仿宋_GB2312" w:hAnsi="Arial" w:eastAsia="仿宋_GB2312" w:cs="Arial"/>
      <w:sz w:val="28"/>
      <w:szCs w:val="28"/>
    </w:rPr>
  </w:style>
  <w:style w:type="paragraph" w:customStyle="1" w:styleId="937">
    <w:name w:val="Char18"/>
    <w:basedOn w:val="1"/>
    <w:qFormat/>
    <w:uiPriority w:val="0"/>
    <w:pPr>
      <w:snapToGrid w:val="0"/>
      <w:spacing w:line="360" w:lineRule="auto"/>
      <w:ind w:firstLine="200" w:firstLineChars="200"/>
    </w:pPr>
    <w:rPr>
      <w:rFonts w:eastAsia="仿宋_GB2312"/>
      <w:sz w:val="24"/>
    </w:rPr>
  </w:style>
  <w:style w:type="paragraph" w:customStyle="1" w:styleId="938">
    <w:name w:val="Char Char Char1 Char4"/>
    <w:basedOn w:val="1"/>
    <w:qFormat/>
    <w:uiPriority w:val="0"/>
    <w:rPr>
      <w:szCs w:val="20"/>
    </w:rPr>
  </w:style>
  <w:style w:type="paragraph" w:customStyle="1" w:styleId="939">
    <w:name w:val="样式 左侧:  2 字符"/>
    <w:basedOn w:val="1"/>
    <w:qFormat/>
    <w:uiPriority w:val="0"/>
    <w:pPr>
      <w:spacing w:line="560" w:lineRule="exact"/>
    </w:pPr>
    <w:rPr>
      <w:rFonts w:cs="宋体"/>
      <w:sz w:val="28"/>
      <w:szCs w:val="20"/>
    </w:rPr>
  </w:style>
  <w:style w:type="paragraph" w:customStyle="1" w:styleId="940">
    <w:name w:val="普通(网站)1"/>
    <w:basedOn w:val="1"/>
    <w:link w:val="1001"/>
    <w:qFormat/>
    <w:uiPriority w:val="0"/>
    <w:rPr>
      <w:sz w:val="24"/>
    </w:rPr>
  </w:style>
  <w:style w:type="paragraph" w:customStyle="1" w:styleId="941">
    <w:name w:val="简单回函地址"/>
    <w:basedOn w:val="1"/>
    <w:qFormat/>
    <w:uiPriority w:val="0"/>
  </w:style>
  <w:style w:type="paragraph" w:customStyle="1" w:styleId="942">
    <w:name w:val="普通(网站)2"/>
    <w:basedOn w:val="1"/>
    <w:qFormat/>
    <w:uiPriority w:val="0"/>
    <w:rPr>
      <w:sz w:val="24"/>
    </w:rPr>
  </w:style>
  <w:style w:type="paragraph" w:customStyle="1" w:styleId="943">
    <w:name w:val="样式 标题 21.1标题 21.1标题2标题 2 Char节_Heading 2. (1.1)§1.1.§1...."/>
    <w:basedOn w:val="3"/>
    <w:qFormat/>
    <w:uiPriority w:val="0"/>
    <w:pPr>
      <w:numPr>
        <w:numId w:val="0"/>
      </w:numPr>
      <w:tabs>
        <w:tab w:val="clear" w:pos="0"/>
        <w:tab w:val="clear" w:pos="426"/>
      </w:tabs>
      <w:spacing w:beforeLines="0" w:afterLines="0" w:line="360" w:lineRule="auto"/>
      <w:jc w:val="center"/>
    </w:pPr>
    <w:rPr>
      <w:rFonts w:ascii="楷体_GB2312" w:hAnsi="宋体" w:eastAsia="楷体_GB2312"/>
      <w:b w:val="0"/>
      <w:bCs/>
      <w:spacing w:val="-2"/>
      <w:sz w:val="32"/>
      <w:szCs w:val="32"/>
    </w:rPr>
  </w:style>
  <w:style w:type="paragraph" w:customStyle="1" w:styleId="944">
    <w:name w:val="Char8"/>
    <w:basedOn w:val="1"/>
    <w:qFormat/>
    <w:uiPriority w:val="0"/>
    <w:rPr>
      <w:sz w:val="24"/>
    </w:rPr>
  </w:style>
  <w:style w:type="paragraph" w:customStyle="1" w:styleId="945">
    <w:name w:val="SCIDI标题4"/>
    <w:basedOn w:val="5"/>
    <w:qFormat/>
    <w:uiPriority w:val="0"/>
    <w:pPr>
      <w:adjustRightInd w:val="0"/>
      <w:spacing w:line="360" w:lineRule="auto"/>
      <w:ind w:firstLine="538" w:firstLineChars="192"/>
      <w:textAlignment w:val="baseline"/>
      <w:outlineLvl w:val="9"/>
    </w:pPr>
    <w:rPr>
      <w:rFonts w:ascii="Times New Roman" w:hAnsi="宋体" w:eastAsia="宋体"/>
      <w:bCs w:val="0"/>
      <w:kern w:val="0"/>
    </w:rPr>
  </w:style>
  <w:style w:type="paragraph" w:customStyle="1" w:styleId="946">
    <w:name w:val="样式 小四 行距: 1.5 倍行距"/>
    <w:basedOn w:val="1"/>
    <w:qFormat/>
    <w:uiPriority w:val="0"/>
    <w:pPr>
      <w:spacing w:line="360" w:lineRule="auto"/>
    </w:pPr>
    <w:rPr>
      <w:sz w:val="24"/>
      <w:szCs w:val="20"/>
    </w:rPr>
  </w:style>
  <w:style w:type="paragraph" w:customStyle="1" w:styleId="947">
    <w:name w:val="Char Char Char Char4"/>
    <w:basedOn w:val="1"/>
    <w:qFormat/>
    <w:uiPriority w:val="0"/>
  </w:style>
  <w:style w:type="paragraph" w:customStyle="1" w:styleId="948">
    <w:name w:val="样式 XYF1 + 宋体"/>
    <w:basedOn w:val="271"/>
    <w:qFormat/>
    <w:uiPriority w:val="0"/>
    <w:pPr>
      <w:spacing w:line="480" w:lineRule="exact"/>
      <w:ind w:firstLine="200" w:firstLineChars="200"/>
    </w:pPr>
    <w:rPr>
      <w:rFonts w:ascii="宋体" w:hAnsi="宋体" w:cs="宋体"/>
      <w:sz w:val="28"/>
      <w:szCs w:val="20"/>
    </w:rPr>
  </w:style>
  <w:style w:type="paragraph" w:customStyle="1" w:styleId="949">
    <w:name w:val="样式 正文缩进 + 宋体 段后: 6 磅 行距: 单倍行距"/>
    <w:basedOn w:val="20"/>
    <w:qFormat/>
    <w:uiPriority w:val="0"/>
    <w:pPr>
      <w:widowControl/>
      <w:spacing w:after="120" w:line="300" w:lineRule="auto"/>
      <w:ind w:firstLine="200"/>
      <w:jc w:val="left"/>
    </w:pPr>
    <w:rPr>
      <w:rFonts w:ascii="宋体" w:hAnsi="宋体" w:cs="宋体"/>
      <w:color w:val="000000"/>
      <w:sz w:val="24"/>
      <w:szCs w:val="20"/>
    </w:rPr>
  </w:style>
  <w:style w:type="paragraph" w:customStyle="1" w:styleId="950">
    <w:name w:val="33333"/>
    <w:basedOn w:val="1"/>
    <w:link w:val="1013"/>
    <w:qFormat/>
    <w:uiPriority w:val="0"/>
    <w:pPr>
      <w:spacing w:line="440" w:lineRule="exact"/>
      <w:ind w:firstLine="480" w:firstLineChars="200"/>
    </w:pPr>
    <w:rPr>
      <w:rFonts w:ascii="Arial" w:hAnsi="宋体"/>
      <w:sz w:val="24"/>
      <w:szCs w:val="20"/>
    </w:rPr>
  </w:style>
  <w:style w:type="paragraph" w:customStyle="1" w:styleId="951">
    <w:name w:val="样式 表内容 + 居中 行距: 固定值 14 磅"/>
    <w:basedOn w:val="1"/>
    <w:link w:val="1014"/>
    <w:qFormat/>
    <w:uiPriority w:val="0"/>
    <w:pPr>
      <w:adjustRightInd w:val="0"/>
      <w:snapToGrid w:val="0"/>
      <w:spacing w:line="280" w:lineRule="exact"/>
      <w:jc w:val="center"/>
      <w:textAlignment w:val="bottom"/>
    </w:pPr>
    <w:rPr>
      <w:rFonts w:eastAsia="楷体_GB2312"/>
      <w:kern w:val="0"/>
      <w:szCs w:val="20"/>
    </w:rPr>
  </w:style>
  <w:style w:type="paragraph" w:customStyle="1" w:styleId="952">
    <w:name w:val="Char Char Char1 Char3"/>
    <w:basedOn w:val="1"/>
    <w:qFormat/>
    <w:uiPriority w:val="0"/>
    <w:rPr>
      <w:szCs w:val="20"/>
    </w:rPr>
  </w:style>
  <w:style w:type="paragraph" w:customStyle="1" w:styleId="953">
    <w:name w:val="Char Char Char1 Char2"/>
    <w:basedOn w:val="1"/>
    <w:qFormat/>
    <w:uiPriority w:val="0"/>
    <w:rPr>
      <w:szCs w:val="20"/>
    </w:rPr>
  </w:style>
  <w:style w:type="paragraph" w:customStyle="1" w:styleId="954">
    <w:name w:val="Char110"/>
    <w:basedOn w:val="1"/>
    <w:qFormat/>
    <w:uiPriority w:val="0"/>
    <w:pPr>
      <w:snapToGrid w:val="0"/>
      <w:spacing w:line="360" w:lineRule="auto"/>
      <w:ind w:firstLine="200" w:firstLineChars="200"/>
    </w:pPr>
    <w:rPr>
      <w:rFonts w:eastAsia="仿宋_GB2312"/>
      <w:sz w:val="24"/>
    </w:rPr>
  </w:style>
  <w:style w:type="paragraph" w:customStyle="1" w:styleId="955">
    <w:name w:val="Char19"/>
    <w:basedOn w:val="1"/>
    <w:qFormat/>
    <w:uiPriority w:val="0"/>
    <w:pPr>
      <w:snapToGrid w:val="0"/>
      <w:spacing w:line="360" w:lineRule="auto"/>
      <w:ind w:firstLine="200" w:firstLineChars="200"/>
    </w:pPr>
    <w:rPr>
      <w:rFonts w:eastAsia="仿宋_GB2312"/>
      <w:sz w:val="24"/>
    </w:rPr>
  </w:style>
  <w:style w:type="paragraph" w:customStyle="1" w:styleId="956">
    <w:name w:val="样式 表文字 + 仿宋_GB2312 首行缩进:  0.99 厘米 行距: 固定值 15 磅"/>
    <w:basedOn w:val="1"/>
    <w:qFormat/>
    <w:uiPriority w:val="0"/>
    <w:pPr>
      <w:widowControl/>
      <w:spacing w:line="240" w:lineRule="atLeast"/>
      <w:jc w:val="center"/>
    </w:pPr>
    <w:rPr>
      <w:rFonts w:ascii="仿宋_GB2312" w:hAnsi="宋体" w:eastAsia="仿宋_GB2312" w:cs="宋体"/>
      <w:kern w:val="0"/>
      <w:szCs w:val="20"/>
    </w:rPr>
  </w:style>
  <w:style w:type="paragraph" w:customStyle="1" w:styleId="957">
    <w:name w:val="正文文本缩进4"/>
    <w:basedOn w:val="1"/>
    <w:qFormat/>
    <w:uiPriority w:val="0"/>
    <w:pPr>
      <w:adjustRightInd w:val="0"/>
      <w:spacing w:after="120" w:line="360" w:lineRule="auto"/>
      <w:ind w:left="420" w:leftChars="200" w:firstLine="200" w:firstLineChars="200"/>
      <w:textAlignment w:val="baseline"/>
    </w:pPr>
    <w:rPr>
      <w:sz w:val="24"/>
    </w:rPr>
  </w:style>
  <w:style w:type="paragraph" w:customStyle="1" w:styleId="958">
    <w:name w:val="列出段落2"/>
    <w:basedOn w:val="1"/>
    <w:qFormat/>
    <w:uiPriority w:val="0"/>
    <w:pPr>
      <w:ind w:firstLine="420" w:firstLineChars="200"/>
    </w:pPr>
  </w:style>
  <w:style w:type="paragraph" w:customStyle="1" w:styleId="959">
    <w:name w:val="日期1"/>
    <w:basedOn w:val="1"/>
    <w:next w:val="1"/>
    <w:qFormat/>
    <w:uiPriority w:val="0"/>
    <w:pPr>
      <w:ind w:left="100" w:leftChars="2500"/>
    </w:pPr>
    <w:rPr>
      <w:rFonts w:ascii="宋体" w:hAnsi="宋体"/>
      <w:sz w:val="24"/>
    </w:rPr>
  </w:style>
  <w:style w:type="paragraph" w:customStyle="1" w:styleId="960">
    <w:name w:val="正文缩进7"/>
    <w:basedOn w:val="1"/>
    <w:qFormat/>
    <w:uiPriority w:val="0"/>
    <w:pPr>
      <w:spacing w:beforeLines="50" w:afterLines="50" w:line="360" w:lineRule="auto"/>
      <w:ind w:firstLine="200" w:firstLineChars="200"/>
    </w:pPr>
  </w:style>
  <w:style w:type="paragraph" w:customStyle="1" w:styleId="961">
    <w:name w:val="正文文本缩进 31"/>
    <w:basedOn w:val="1"/>
    <w:qFormat/>
    <w:uiPriority w:val="0"/>
    <w:pPr>
      <w:spacing w:line="360" w:lineRule="auto"/>
      <w:ind w:firstLine="480"/>
    </w:pPr>
    <w:rPr>
      <w:rFonts w:ascii="华文仿宋" w:hAnsi="华文仿宋" w:eastAsia="华文仿宋"/>
      <w:color w:val="000000"/>
      <w:sz w:val="24"/>
    </w:rPr>
  </w:style>
  <w:style w:type="paragraph" w:customStyle="1" w:styleId="962">
    <w:name w:val="环表头"/>
    <w:basedOn w:val="1"/>
    <w:next w:val="1"/>
    <w:link w:val="1176"/>
    <w:qFormat/>
    <w:uiPriority w:val="0"/>
    <w:pPr>
      <w:widowControl/>
      <w:suppressAutoHyphens/>
      <w:adjustRightInd w:val="0"/>
      <w:spacing w:line="560" w:lineRule="exact"/>
      <w:jc w:val="center"/>
      <w:textAlignment w:val="baseline"/>
    </w:pPr>
    <w:rPr>
      <w:rFonts w:ascii="仿宋_GB2312" w:hAnsi="宋体" w:eastAsia="仿宋_GB2312"/>
      <w:b/>
      <w:kern w:val="0"/>
      <w:szCs w:val="21"/>
    </w:rPr>
  </w:style>
  <w:style w:type="paragraph" w:customStyle="1" w:styleId="963">
    <w:name w:val="文档结构图1"/>
    <w:basedOn w:val="1"/>
    <w:qFormat/>
    <w:uiPriority w:val="0"/>
    <w:pPr>
      <w:shd w:val="clear" w:color="auto" w:fill="000080"/>
    </w:pPr>
    <w:rPr>
      <w:shd w:val="clear" w:color="auto" w:fill="000080"/>
    </w:rPr>
  </w:style>
  <w:style w:type="paragraph" w:customStyle="1" w:styleId="964">
    <w:name w:val="列表2"/>
    <w:basedOn w:val="1"/>
    <w:qFormat/>
    <w:uiPriority w:val="0"/>
    <w:pPr>
      <w:spacing w:line="320" w:lineRule="exact"/>
      <w:jc w:val="center"/>
    </w:pPr>
    <w:rPr>
      <w:rFonts w:ascii="仿宋_GB2312" w:eastAsia="仿宋_GB2312"/>
      <w:sz w:val="24"/>
      <w:szCs w:val="20"/>
    </w:rPr>
  </w:style>
  <w:style w:type="paragraph" w:customStyle="1" w:styleId="965">
    <w:name w:val="正文文本 22"/>
    <w:basedOn w:val="1"/>
    <w:qFormat/>
    <w:uiPriority w:val="0"/>
    <w:pPr>
      <w:spacing w:after="120" w:line="480" w:lineRule="auto"/>
    </w:pPr>
  </w:style>
  <w:style w:type="paragraph" w:customStyle="1" w:styleId="966">
    <w:name w:val="样式 样式 标题 3 + 四号 + 四号"/>
    <w:basedOn w:val="967"/>
    <w:qFormat/>
    <w:uiPriority w:val="0"/>
    <w:pPr>
      <w:tabs>
        <w:tab w:val="left" w:pos="1170"/>
      </w:tabs>
    </w:pPr>
  </w:style>
  <w:style w:type="paragraph" w:customStyle="1" w:styleId="967">
    <w:name w:val="样式 标题 3 + 四号"/>
    <w:basedOn w:val="4"/>
    <w:qFormat/>
    <w:uiPriority w:val="0"/>
    <w:pPr>
      <w:tabs>
        <w:tab w:val="left" w:pos="1170"/>
      </w:tabs>
      <w:spacing w:beforeLines="30" w:afterLines="30" w:line="415" w:lineRule="auto"/>
    </w:pPr>
    <w:rPr>
      <w:rFonts w:ascii="宋体" w:hAnsi="宋体"/>
      <w:sz w:val="28"/>
      <w:szCs w:val="28"/>
    </w:rPr>
  </w:style>
  <w:style w:type="paragraph" w:customStyle="1" w:styleId="968">
    <w:name w:val="正文文本缩进 21"/>
    <w:basedOn w:val="1"/>
    <w:qFormat/>
    <w:uiPriority w:val="0"/>
    <w:pPr>
      <w:spacing w:line="500" w:lineRule="exact"/>
      <w:ind w:firstLine="567"/>
    </w:pPr>
    <w:rPr>
      <w:rFonts w:ascii="仿宋_GB2312" w:eastAsia="仿宋_GB2312"/>
      <w:sz w:val="28"/>
    </w:rPr>
  </w:style>
  <w:style w:type="paragraph" w:customStyle="1" w:styleId="969">
    <w:name w:val="批注主题1"/>
    <w:basedOn w:val="27"/>
    <w:next w:val="27"/>
    <w:qFormat/>
    <w:uiPriority w:val="0"/>
    <w:pPr>
      <w:widowControl/>
      <w:adjustRightInd/>
      <w:spacing w:line="240" w:lineRule="auto"/>
      <w:textAlignment w:val="auto"/>
    </w:pPr>
    <w:rPr>
      <w:b/>
      <w:bCs/>
      <w:szCs w:val="24"/>
    </w:rPr>
  </w:style>
  <w:style w:type="paragraph" w:customStyle="1" w:styleId="970">
    <w:name w:val="样式 标题 2 + (符号) Times New Roman"/>
    <w:basedOn w:val="3"/>
    <w:link w:val="1024"/>
    <w:qFormat/>
    <w:uiPriority w:val="0"/>
    <w:pPr>
      <w:numPr>
        <w:numId w:val="0"/>
      </w:numPr>
      <w:tabs>
        <w:tab w:val="clear" w:pos="0"/>
        <w:tab w:val="clear" w:pos="426"/>
      </w:tabs>
      <w:spacing w:beforeLines="100" w:after="260" w:line="560" w:lineRule="exact"/>
    </w:pPr>
    <w:rPr>
      <w:rFonts w:ascii="宋体" w:hAnsi="宋体" w:eastAsia="宋体"/>
      <w:bCs/>
      <w:spacing w:val="0"/>
      <w:sz w:val="28"/>
      <w:szCs w:val="28"/>
    </w:rPr>
  </w:style>
  <w:style w:type="paragraph" w:customStyle="1" w:styleId="971">
    <w:name w:val="Char Char Char Char Char Char Char Char Char"/>
    <w:basedOn w:val="1"/>
    <w:qFormat/>
    <w:uiPriority w:val="0"/>
    <w:pPr>
      <w:snapToGrid w:val="0"/>
    </w:pPr>
    <w:rPr>
      <w:rFonts w:ascii="Tahoma" w:hAnsi="Tahoma"/>
      <w:sz w:val="24"/>
      <w:szCs w:val="20"/>
    </w:rPr>
  </w:style>
  <w:style w:type="paragraph" w:customStyle="1" w:styleId="972">
    <w:name w:val="样式 标题 5 + 段前: 0.5 行"/>
    <w:basedOn w:val="6"/>
    <w:qFormat/>
    <w:uiPriority w:val="0"/>
    <w:pPr>
      <w:spacing w:before="156" w:afterLines="50" w:line="240" w:lineRule="auto"/>
    </w:pPr>
    <w:rPr>
      <w:rFonts w:ascii="黑体" w:hAnsi="黑体" w:eastAsia="黑体" w:cs="宋体"/>
      <w:szCs w:val="20"/>
    </w:rPr>
  </w:style>
  <w:style w:type="paragraph" w:customStyle="1" w:styleId="973">
    <w:name w:val="样式 标题 2 + (西文) Times New Roman"/>
    <w:basedOn w:val="3"/>
    <w:qFormat/>
    <w:uiPriority w:val="0"/>
    <w:pPr>
      <w:numPr>
        <w:numId w:val="0"/>
      </w:numPr>
      <w:tabs>
        <w:tab w:val="clear" w:pos="0"/>
        <w:tab w:val="clear" w:pos="426"/>
      </w:tabs>
      <w:spacing w:beforeLines="100" w:after="260" w:line="360" w:lineRule="auto"/>
    </w:pPr>
    <w:rPr>
      <w:rFonts w:eastAsia="黑体"/>
      <w:bCs/>
      <w:spacing w:val="0"/>
      <w:kern w:val="2"/>
      <w:sz w:val="28"/>
      <w:szCs w:val="28"/>
    </w:rPr>
  </w:style>
  <w:style w:type="paragraph" w:customStyle="1" w:styleId="974">
    <w:name w:val="普通(网站)3"/>
    <w:basedOn w:val="1"/>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975">
    <w:name w:val="Char Char1 Char Char Char Char Char Char"/>
    <w:basedOn w:val="1"/>
    <w:qFormat/>
    <w:uiPriority w:val="0"/>
    <w:pPr>
      <w:widowControl/>
      <w:spacing w:after="160" w:line="240" w:lineRule="exact"/>
      <w:jc w:val="left"/>
    </w:pPr>
    <w:rPr>
      <w:rFonts w:ascii="宋体" w:hAnsi="宋体"/>
      <w:kern w:val="0"/>
      <w:szCs w:val="21"/>
      <w:lang w:eastAsia="en-US"/>
    </w:rPr>
  </w:style>
  <w:style w:type="paragraph" w:customStyle="1" w:styleId="976">
    <w:name w:val="zheng"/>
    <w:basedOn w:val="1"/>
    <w:link w:val="1020"/>
    <w:qFormat/>
    <w:uiPriority w:val="0"/>
    <w:pPr>
      <w:spacing w:line="440" w:lineRule="exact"/>
      <w:ind w:firstLine="480" w:firstLineChars="200"/>
    </w:pPr>
    <w:rPr>
      <w:kern w:val="0"/>
      <w:sz w:val="24"/>
    </w:rPr>
  </w:style>
  <w:style w:type="character" w:customStyle="1" w:styleId="977">
    <w:name w:val="题注 Char2"/>
    <w:qFormat/>
    <w:uiPriority w:val="0"/>
    <w:rPr>
      <w:rFonts w:ascii="仿宋_GB2312" w:hAnsi="Times New Roman" w:eastAsia="仿宋_GB2312" w:cs="Times New Roman"/>
      <w:b/>
      <w:kern w:val="0"/>
      <w:szCs w:val="21"/>
    </w:rPr>
  </w:style>
  <w:style w:type="character" w:customStyle="1" w:styleId="978">
    <w:name w:val="正文文本 Char1"/>
    <w:qFormat/>
    <w:uiPriority w:val="0"/>
    <w:rPr>
      <w:spacing w:val="6"/>
      <w:kern w:val="2"/>
      <w:sz w:val="24"/>
    </w:rPr>
  </w:style>
  <w:style w:type="character" w:customStyle="1" w:styleId="979">
    <w:name w:val="表格 Char Char Char"/>
    <w:qFormat/>
    <w:uiPriority w:val="0"/>
    <w:rPr>
      <w:rFonts w:ascii="楷体_GB2312" w:hAnsi="楷体_GB2312" w:eastAsia="楷体_GB2312" w:cs="宋体"/>
      <w:b/>
      <w:sz w:val="21"/>
      <w:szCs w:val="24"/>
      <w:lang w:val="en-US" w:eastAsia="zh-CN" w:bidi="ar-SA"/>
    </w:rPr>
  </w:style>
  <w:style w:type="character" w:customStyle="1" w:styleId="980">
    <w:name w:val="main-1"/>
    <w:qFormat/>
    <w:uiPriority w:val="0"/>
  </w:style>
  <w:style w:type="character" w:customStyle="1" w:styleId="981">
    <w:name w:val="text_new"/>
    <w:qFormat/>
    <w:uiPriority w:val="0"/>
  </w:style>
  <w:style w:type="character" w:customStyle="1" w:styleId="982">
    <w:name w:val="正文 Char"/>
    <w:qFormat/>
    <w:uiPriority w:val="0"/>
    <w:rPr>
      <w:rFonts w:ascii="仿宋_GB2312" w:hAnsi="宋体" w:eastAsia="仿宋_GB2312"/>
      <w:color w:val="000000"/>
      <w:kern w:val="2"/>
      <w:sz w:val="28"/>
      <w:szCs w:val="24"/>
      <w:lang w:val="en-US" w:eastAsia="zh-CN" w:bidi="ar-SA"/>
    </w:rPr>
  </w:style>
  <w:style w:type="character" w:customStyle="1" w:styleId="983">
    <w:name w:val="标题 12"/>
    <w:qFormat/>
    <w:uiPriority w:val="0"/>
    <w:rPr>
      <w:rFonts w:ascii="黑体" w:eastAsia="黑体"/>
      <w:kern w:val="44"/>
      <w:sz w:val="44"/>
      <w:lang w:val="en-US" w:eastAsia="zh-CN" w:bidi="ar-SA"/>
    </w:rPr>
  </w:style>
  <w:style w:type="character" w:customStyle="1" w:styleId="984">
    <w:name w:val="标题 21"/>
    <w:qFormat/>
    <w:uiPriority w:val="0"/>
    <w:rPr>
      <w:rFonts w:ascii="黑体" w:hAnsi="Arial" w:eastAsia="黑体"/>
      <w:kern w:val="2"/>
      <w:sz w:val="36"/>
      <w:szCs w:val="32"/>
      <w:lang w:val="en-US" w:eastAsia="zh-CN" w:bidi="ar-SA"/>
    </w:rPr>
  </w:style>
  <w:style w:type="character" w:customStyle="1" w:styleId="985">
    <w:name w:val="zjgblk1"/>
    <w:qFormat/>
    <w:uiPriority w:val="0"/>
    <w:rPr>
      <w:rFonts w:hint="default"/>
      <w:color w:val="000000"/>
      <w:spacing w:val="336"/>
      <w:sz w:val="18"/>
      <w:szCs w:val="18"/>
      <w:u w:val="none"/>
    </w:rPr>
  </w:style>
  <w:style w:type="character" w:customStyle="1" w:styleId="986">
    <w:name w:val="c121"/>
    <w:qFormat/>
    <w:uiPriority w:val="0"/>
    <w:rPr>
      <w:color w:val="666666"/>
      <w:sz w:val="18"/>
      <w:szCs w:val="18"/>
      <w:u w:val="none"/>
    </w:rPr>
  </w:style>
  <w:style w:type="character" w:customStyle="1" w:styleId="987">
    <w:name w:val="dectext1"/>
    <w:qFormat/>
    <w:uiPriority w:val="0"/>
    <w:rPr>
      <w:rFonts w:hint="eastAsia" w:ascii="宋体" w:hAnsi="宋体" w:eastAsia="宋体"/>
      <w:color w:val="333333"/>
      <w:sz w:val="21"/>
      <w:szCs w:val="21"/>
      <w:u w:val="none"/>
    </w:rPr>
  </w:style>
  <w:style w:type="character" w:customStyle="1" w:styleId="988">
    <w:name w:val="xiaozhiti1"/>
    <w:qFormat/>
    <w:uiPriority w:val="0"/>
    <w:rPr>
      <w:sz w:val="18"/>
      <w:szCs w:val="18"/>
    </w:rPr>
  </w:style>
  <w:style w:type="character" w:customStyle="1" w:styleId="989">
    <w:name w:val="sub_title1"/>
    <w:qFormat/>
    <w:uiPriority w:val="0"/>
    <w:rPr>
      <w:rFonts w:hint="default"/>
      <w:color w:val="FF6600"/>
      <w:sz w:val="21"/>
      <w:szCs w:val="21"/>
    </w:rPr>
  </w:style>
  <w:style w:type="character" w:customStyle="1" w:styleId="990">
    <w:name w:val="word131"/>
    <w:qFormat/>
    <w:uiPriority w:val="0"/>
    <w:rPr>
      <w:rFonts w:hint="default" w:ascii="ˎ̥" w:hAnsi="ˎ̥"/>
      <w:color w:val="000000"/>
      <w:sz w:val="20"/>
      <w:szCs w:val="20"/>
      <w:u w:val="none"/>
    </w:rPr>
  </w:style>
  <w:style w:type="character" w:customStyle="1" w:styleId="991">
    <w:name w:val="报告表格 Char"/>
    <w:link w:val="192"/>
    <w:qFormat/>
    <w:uiPriority w:val="0"/>
    <w:rPr>
      <w:rFonts w:ascii="宋体" w:hAnsi="宋体"/>
      <w:sz w:val="21"/>
      <w:szCs w:val="21"/>
    </w:rPr>
  </w:style>
  <w:style w:type="character" w:customStyle="1" w:styleId="992">
    <w:name w:val="title41"/>
    <w:qFormat/>
    <w:uiPriority w:val="0"/>
    <w:rPr>
      <w:rFonts w:hint="eastAsia" w:ascii="宋体" w:hAnsi="宋体" w:eastAsia="宋体"/>
      <w:color w:val="FF6600"/>
      <w:sz w:val="36"/>
      <w:szCs w:val="36"/>
    </w:rPr>
  </w:style>
  <w:style w:type="character" w:customStyle="1" w:styleId="993">
    <w:name w:val="表题 Char"/>
    <w:qFormat/>
    <w:uiPriority w:val="0"/>
    <w:rPr>
      <w:rFonts w:cs="新宋体"/>
      <w:lang w:val="en-US"/>
    </w:rPr>
  </w:style>
  <w:style w:type="character" w:customStyle="1" w:styleId="994">
    <w:name w:val="样式 样式 样式 样式 样式 样式 样式 样式 首行缩进:  2 字符 + 首行缩进:  2 字符2 + 仿宋_GB2312 行...1 Char"/>
    <w:qFormat/>
    <w:uiPriority w:val="0"/>
    <w:rPr>
      <w:rFonts w:eastAsia="楷体_GB2312"/>
      <w:spacing w:val="14"/>
      <w:sz w:val="28"/>
      <w:lang w:val="en-US" w:eastAsia="zh-CN" w:bidi="ar-SA"/>
    </w:rPr>
  </w:style>
  <w:style w:type="character" w:customStyle="1" w:styleId="995">
    <w:name w:val="xl58 Char"/>
    <w:qFormat/>
    <w:uiPriority w:val="0"/>
    <w:rPr>
      <w:rFonts w:ascii="黑体" w:hAnsi="Arial Unicode MS" w:eastAsia="黑体"/>
      <w:sz w:val="22"/>
      <w:szCs w:val="22"/>
      <w:lang w:val="en-US" w:eastAsia="zh-CN" w:bidi="ar-SA"/>
    </w:rPr>
  </w:style>
  <w:style w:type="character" w:customStyle="1" w:styleId="996">
    <w:name w:val="Char Char3"/>
    <w:qFormat/>
    <w:locked/>
    <w:uiPriority w:val="0"/>
    <w:rPr>
      <w:rFonts w:ascii="宋体" w:hAnsi="宋体" w:eastAsia="宋体"/>
      <w:kern w:val="2"/>
      <w:sz w:val="18"/>
      <w:szCs w:val="18"/>
      <w:lang w:val="en-US" w:eastAsia="zh-CN" w:bidi="ar-SA"/>
    </w:rPr>
  </w:style>
  <w:style w:type="character" w:customStyle="1" w:styleId="997">
    <w:name w:val="desctext1"/>
    <w:qFormat/>
    <w:uiPriority w:val="0"/>
    <w:rPr>
      <w:spacing w:val="15"/>
      <w:sz w:val="18"/>
      <w:szCs w:val="18"/>
    </w:rPr>
  </w:style>
  <w:style w:type="character" w:customStyle="1" w:styleId="998">
    <w:name w:val="Char Char Char Char Char Char Char3"/>
    <w:link w:val="931"/>
    <w:qFormat/>
    <w:uiPriority w:val="0"/>
    <w:rPr>
      <w:kern w:val="2"/>
      <w:sz w:val="24"/>
      <w:szCs w:val="24"/>
    </w:rPr>
  </w:style>
  <w:style w:type="character" w:customStyle="1" w:styleId="999">
    <w:name w:val="px14"/>
    <w:qFormat/>
    <w:uiPriority w:val="0"/>
  </w:style>
  <w:style w:type="character" w:customStyle="1" w:styleId="1000">
    <w:name w:val="正文01 Char"/>
    <w:link w:val="134"/>
    <w:qFormat/>
    <w:locked/>
    <w:uiPriority w:val="0"/>
    <w:rPr>
      <w:sz w:val="24"/>
    </w:rPr>
  </w:style>
  <w:style w:type="character" w:customStyle="1" w:styleId="1001">
    <w:name w:val="普通(网站)1 Char"/>
    <w:link w:val="940"/>
    <w:qFormat/>
    <w:uiPriority w:val="0"/>
    <w:rPr>
      <w:kern w:val="2"/>
      <w:sz w:val="24"/>
      <w:szCs w:val="24"/>
    </w:rPr>
  </w:style>
  <w:style w:type="character" w:customStyle="1" w:styleId="1002">
    <w:name w:val="jianjun"/>
    <w:qFormat/>
    <w:uiPriority w:val="0"/>
  </w:style>
  <w:style w:type="character" w:customStyle="1" w:styleId="1003">
    <w:name w:val="bbc1"/>
    <w:qFormat/>
    <w:uiPriority w:val="0"/>
  </w:style>
  <w:style w:type="character" w:customStyle="1" w:styleId="1004">
    <w:name w:val=":( Char"/>
    <w:link w:val="922"/>
    <w:qFormat/>
    <w:uiPriority w:val="0"/>
    <w:rPr>
      <w:rFonts w:eastAsia="·s²Ó©úÅé"/>
      <w:kern w:val="2"/>
      <w:sz w:val="21"/>
      <w:szCs w:val="18"/>
      <w:lang w:bidi="ar-SA"/>
    </w:rPr>
  </w:style>
  <w:style w:type="character" w:customStyle="1" w:styleId="1005">
    <w:name w:val="linehei1"/>
    <w:qFormat/>
    <w:uiPriority w:val="0"/>
    <w:rPr>
      <w:color w:val="00519C"/>
      <w:sz w:val="18"/>
      <w:szCs w:val="18"/>
      <w:u w:val="none"/>
    </w:rPr>
  </w:style>
  <w:style w:type="character" w:customStyle="1" w:styleId="1006">
    <w:name w:val="title31"/>
    <w:qFormat/>
    <w:uiPriority w:val="0"/>
    <w:rPr>
      <w:rFonts w:hint="eastAsia" w:ascii="宋体" w:hAnsi="宋体" w:eastAsia="宋体"/>
      <w:color w:val="000000"/>
      <w:sz w:val="23"/>
      <w:szCs w:val="23"/>
    </w:rPr>
  </w:style>
  <w:style w:type="character" w:customStyle="1" w:styleId="1007">
    <w:name w:val="title21"/>
    <w:qFormat/>
    <w:uiPriority w:val="0"/>
    <w:rPr>
      <w:rFonts w:hint="eastAsia" w:ascii="黑体" w:eastAsia="黑体"/>
      <w:b/>
      <w:bCs/>
      <w:sz w:val="27"/>
      <w:szCs w:val="27"/>
    </w:rPr>
  </w:style>
  <w:style w:type="character" w:customStyle="1" w:styleId="1008">
    <w:name w:val="htd01"/>
    <w:qFormat/>
    <w:uiPriority w:val="0"/>
    <w:rPr>
      <w:spacing w:val="240"/>
    </w:rPr>
  </w:style>
  <w:style w:type="character" w:customStyle="1" w:styleId="1009">
    <w:name w:val="表格文字 Char Char"/>
    <w:qFormat/>
    <w:uiPriority w:val="0"/>
    <w:rPr>
      <w:rFonts w:ascii="仿宋_GB2312" w:hAnsi="Arial Black" w:eastAsia="仿宋_GB2312"/>
      <w:kern w:val="44"/>
      <w:sz w:val="24"/>
      <w:lang w:val="en-US" w:eastAsia="zh-CN" w:bidi="ar-SA"/>
    </w:rPr>
  </w:style>
  <w:style w:type="character" w:customStyle="1" w:styleId="1010">
    <w:name w:val="Char Char41"/>
    <w:qFormat/>
    <w:uiPriority w:val="0"/>
    <w:rPr>
      <w:rFonts w:eastAsia="宋体"/>
      <w:kern w:val="2"/>
      <w:sz w:val="21"/>
      <w:szCs w:val="24"/>
      <w:lang w:val="en-US" w:eastAsia="zh-CN" w:bidi="ar-SA"/>
    </w:rPr>
  </w:style>
  <w:style w:type="character" w:customStyle="1" w:styleId="1011">
    <w:name w:val="content_size_131"/>
    <w:qFormat/>
    <w:uiPriority w:val="0"/>
    <w:rPr>
      <w:sz w:val="20"/>
      <w:szCs w:val="20"/>
    </w:rPr>
  </w:style>
  <w:style w:type="character" w:customStyle="1" w:styleId="1012">
    <w:name w:val="f14bb style2"/>
    <w:qFormat/>
    <w:uiPriority w:val="0"/>
  </w:style>
  <w:style w:type="character" w:customStyle="1" w:styleId="1013">
    <w:name w:val="33333 Char"/>
    <w:link w:val="950"/>
    <w:qFormat/>
    <w:uiPriority w:val="0"/>
    <w:rPr>
      <w:rFonts w:ascii="Arial" w:hAnsi="宋体" w:cs="宋体"/>
      <w:kern w:val="2"/>
      <w:sz w:val="24"/>
    </w:rPr>
  </w:style>
  <w:style w:type="character" w:customStyle="1" w:styleId="1014">
    <w:name w:val="样式 表内容 + 居中 行距: 固定值 14 磅 Char"/>
    <w:link w:val="951"/>
    <w:qFormat/>
    <w:uiPriority w:val="0"/>
    <w:rPr>
      <w:rFonts w:eastAsia="楷体_GB2312"/>
      <w:sz w:val="21"/>
    </w:rPr>
  </w:style>
  <w:style w:type="character" w:customStyle="1" w:styleId="1015">
    <w:name w:val="javascript1"/>
    <w:qFormat/>
    <w:uiPriority w:val="0"/>
    <w:rPr>
      <w:rFonts w:hint="default" w:ascii="Tahoma" w:hAnsi="Tahoma" w:cs="Tahoma"/>
      <w:sz w:val="18"/>
      <w:szCs w:val="18"/>
    </w:rPr>
  </w:style>
  <w:style w:type="character" w:customStyle="1" w:styleId="1016">
    <w:name w:val="表格的文字 Char Char"/>
    <w:qFormat/>
    <w:uiPriority w:val="0"/>
    <w:rPr>
      <w:rFonts w:ascii="仿宋_GB2312" w:eastAsia="仿宋_GB2312"/>
      <w:bCs/>
      <w:kern w:val="2"/>
      <w:sz w:val="21"/>
      <w:szCs w:val="24"/>
      <w:lang w:val="en-US" w:eastAsia="zh-CN" w:bidi="ar-SA"/>
    </w:rPr>
  </w:style>
  <w:style w:type="character" w:customStyle="1" w:styleId="1017">
    <w:name w:val="报告表格 Char Char"/>
    <w:qFormat/>
    <w:uiPriority w:val="0"/>
    <w:rPr>
      <w:rFonts w:ascii="Times New Roman" w:hAnsi="Times New Roman" w:eastAsia="宋体" w:cs="Times New Roman"/>
      <w:kern w:val="0"/>
      <w:sz w:val="18"/>
      <w:szCs w:val="18"/>
    </w:rPr>
  </w:style>
  <w:style w:type="character" w:customStyle="1" w:styleId="1018">
    <w:name w:val="页码1"/>
    <w:qFormat/>
    <w:uiPriority w:val="0"/>
  </w:style>
  <w:style w:type="character" w:customStyle="1" w:styleId="1019">
    <w:name w:val="正文缩进 Char3"/>
    <w:qFormat/>
    <w:uiPriority w:val="0"/>
    <w:rPr>
      <w:rFonts w:eastAsia="宋体"/>
      <w:kern w:val="2"/>
      <w:sz w:val="21"/>
      <w:szCs w:val="24"/>
      <w:lang w:val="en-US" w:eastAsia="zh-CN"/>
    </w:rPr>
  </w:style>
  <w:style w:type="character" w:customStyle="1" w:styleId="1020">
    <w:name w:val="zheng Char Char"/>
    <w:link w:val="976"/>
    <w:qFormat/>
    <w:uiPriority w:val="0"/>
    <w:rPr>
      <w:sz w:val="24"/>
      <w:szCs w:val="24"/>
    </w:rPr>
  </w:style>
  <w:style w:type="character" w:customStyle="1" w:styleId="1021">
    <w:name w:val="ca-2"/>
    <w:qFormat/>
    <w:uiPriority w:val="0"/>
  </w:style>
  <w:style w:type="character" w:customStyle="1" w:styleId="1022">
    <w:name w:val="批注主题 Char1"/>
    <w:qFormat/>
    <w:uiPriority w:val="0"/>
    <w:rPr>
      <w:rFonts w:ascii="Times New Roman" w:hAnsi="Times New Roman" w:eastAsia="宋体" w:cs="Times New Roman"/>
      <w:b/>
      <w:bCs/>
      <w:szCs w:val="24"/>
    </w:rPr>
  </w:style>
  <w:style w:type="character" w:customStyle="1" w:styleId="1023">
    <w:name w:val="批注文字 Char1"/>
    <w:qFormat/>
    <w:uiPriority w:val="0"/>
    <w:rPr>
      <w:rFonts w:ascii="Times New Roman" w:hAnsi="Times New Roman" w:eastAsia="宋体" w:cs="Times New Roman"/>
      <w:szCs w:val="24"/>
    </w:rPr>
  </w:style>
  <w:style w:type="character" w:customStyle="1" w:styleId="1024">
    <w:name w:val="样式 标题 2 + (符号) Times New Roman Char Char"/>
    <w:link w:val="970"/>
    <w:qFormat/>
    <w:uiPriority w:val="0"/>
    <w:rPr>
      <w:rFonts w:ascii="宋体" w:hAnsi="宋体"/>
      <w:b/>
      <w:bCs/>
      <w:sz w:val="28"/>
      <w:szCs w:val="28"/>
    </w:rPr>
  </w:style>
  <w:style w:type="character" w:customStyle="1" w:styleId="1025">
    <w:name w:val="word1"/>
    <w:qFormat/>
    <w:uiPriority w:val="0"/>
    <w:rPr>
      <w:rFonts w:hint="default" w:ascii="ˎ̥" w:hAnsi="ˎ̥"/>
      <w:sz w:val="23"/>
      <w:szCs w:val="23"/>
      <w:u w:val="none"/>
    </w:rPr>
  </w:style>
  <w:style w:type="character" w:customStyle="1" w:styleId="1026">
    <w:name w:val="文档结构图 Char1"/>
    <w:qFormat/>
    <w:uiPriority w:val="99"/>
    <w:rPr>
      <w:rFonts w:ascii="宋体"/>
      <w:kern w:val="2"/>
      <w:sz w:val="18"/>
      <w:szCs w:val="18"/>
    </w:rPr>
  </w:style>
  <w:style w:type="paragraph" w:customStyle="1" w:styleId="1027">
    <w:name w:val="Char Char1 Char Char Char1 Char"/>
    <w:basedOn w:val="1"/>
    <w:qFormat/>
    <w:uiPriority w:val="0"/>
    <w:pPr>
      <w:adjustRightInd w:val="0"/>
      <w:spacing w:line="360" w:lineRule="auto"/>
    </w:pPr>
    <w:rPr>
      <w:kern w:val="0"/>
      <w:sz w:val="24"/>
      <w:szCs w:val="20"/>
    </w:rPr>
  </w:style>
  <w:style w:type="paragraph" w:customStyle="1" w:styleId="1028">
    <w:name w:val="列出段落3"/>
    <w:basedOn w:val="1"/>
    <w:qFormat/>
    <w:uiPriority w:val="0"/>
    <w:pPr>
      <w:ind w:firstLine="420" w:firstLineChars="200"/>
    </w:pPr>
    <w:rPr>
      <w:rFonts w:ascii="Calibri" w:hAnsi="Calibri"/>
      <w:szCs w:val="22"/>
    </w:rPr>
  </w:style>
  <w:style w:type="paragraph" w:customStyle="1" w:styleId="1029">
    <w:name w:val="标题 41"/>
    <w:basedOn w:val="1"/>
    <w:qFormat/>
    <w:uiPriority w:val="0"/>
    <w:pPr>
      <w:spacing w:line="500" w:lineRule="exact"/>
      <w:jc w:val="left"/>
    </w:pPr>
    <w:rPr>
      <w:rFonts w:ascii="仿宋_GB2312" w:hAnsi="仿宋_GB2312" w:eastAsia="仿宋_GB2312"/>
      <w:sz w:val="28"/>
      <w:szCs w:val="21"/>
    </w:rPr>
  </w:style>
  <w:style w:type="table" w:customStyle="1" w:styleId="1030">
    <w:name w:val="图表样式-HX"/>
    <w:basedOn w:val="87"/>
    <w:qFormat/>
    <w:uiPriority w:val="99"/>
    <w:rPr>
      <w:rFonts w:ascii="仿宋_GB2312" w:hAnsi="Calibri" w:eastAsia="仿宋_GB2312"/>
    </w:rPr>
    <w:tblPr>
      <w:jc w:val="center"/>
      <w:tblBorders>
        <w:top w:val="single" w:color="auto" w:sz="12" w:space="0"/>
        <w:bottom w:val="single" w:color="auto" w:sz="12" w:space="0"/>
        <w:insideH w:val="single" w:color="auto" w:sz="2" w:space="0"/>
        <w:insideV w:val="single" w:color="auto" w:sz="2" w:space="0"/>
      </w:tblBorders>
    </w:tblPr>
    <w:trPr>
      <w:jc w:val="center"/>
    </w:trPr>
    <w:tcPr>
      <w:vAlign w:val="center"/>
    </w:tcPr>
  </w:style>
  <w:style w:type="paragraph" w:customStyle="1" w:styleId="1031">
    <w:name w:val="TOC 标题2"/>
    <w:basedOn w:val="2"/>
    <w:next w:val="1"/>
    <w:qFormat/>
    <w:uiPriority w:val="39"/>
    <w:pPr>
      <w:widowControl/>
      <w:spacing w:before="480" w:after="0" w:line="276" w:lineRule="auto"/>
      <w:jc w:val="left"/>
      <w:outlineLvl w:val="9"/>
    </w:pPr>
    <w:rPr>
      <w:rFonts w:ascii="Cambria" w:hAnsi="Cambria"/>
      <w:color w:val="365F91"/>
      <w:kern w:val="0"/>
      <w:sz w:val="32"/>
      <w:szCs w:val="28"/>
    </w:rPr>
  </w:style>
  <w:style w:type="table" w:customStyle="1" w:styleId="1032">
    <w:name w:val="灰度表格1221"/>
    <w:basedOn w:val="8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33">
    <w:name w:val="9 Char Char Char7 Char"/>
    <w:basedOn w:val="1"/>
    <w:qFormat/>
    <w:uiPriority w:val="0"/>
    <w:pPr>
      <w:spacing w:line="240" w:lineRule="exact"/>
      <w:ind w:firstLine="200" w:firstLineChars="200"/>
    </w:pPr>
    <w:rPr>
      <w:sz w:val="28"/>
      <w:szCs w:val="28"/>
    </w:rPr>
  </w:style>
  <w:style w:type="paragraph" w:customStyle="1" w:styleId="1034">
    <w:name w:val="样式 标题4 + (中文) 宋体"/>
    <w:basedOn w:val="20"/>
    <w:next w:val="33"/>
    <w:link w:val="1035"/>
    <w:qFormat/>
    <w:uiPriority w:val="0"/>
    <w:pPr>
      <w:keepNext/>
      <w:keepLines/>
      <w:spacing w:line="480" w:lineRule="exact"/>
      <w:ind w:firstLine="0" w:firstLineChars="0"/>
      <w:outlineLvl w:val="3"/>
    </w:pPr>
    <w:rPr>
      <w:rFonts w:eastAsia="Times New Roman"/>
      <w:b/>
      <w:bCs/>
      <w:sz w:val="30"/>
      <w:szCs w:val="32"/>
    </w:rPr>
  </w:style>
  <w:style w:type="character" w:customStyle="1" w:styleId="1035">
    <w:name w:val="样式 标题4 + (中文) 宋体 Char"/>
    <w:link w:val="1034"/>
    <w:qFormat/>
    <w:uiPriority w:val="0"/>
    <w:rPr>
      <w:rFonts w:eastAsia="Times New Roman"/>
      <w:b/>
      <w:bCs/>
      <w:kern w:val="2"/>
      <w:sz w:val="30"/>
      <w:szCs w:val="32"/>
    </w:rPr>
  </w:style>
  <w:style w:type="paragraph" w:customStyle="1" w:styleId="1036">
    <w:name w:val="Char111"/>
    <w:basedOn w:val="1"/>
    <w:qFormat/>
    <w:uiPriority w:val="0"/>
    <w:pPr>
      <w:snapToGrid w:val="0"/>
      <w:spacing w:line="360" w:lineRule="auto"/>
      <w:ind w:firstLine="200" w:firstLineChars="200"/>
    </w:pPr>
    <w:rPr>
      <w:rFonts w:eastAsia="仿宋_GB2312"/>
      <w:sz w:val="24"/>
    </w:rPr>
  </w:style>
  <w:style w:type="paragraph" w:customStyle="1" w:styleId="1037">
    <w:name w:val="Char32"/>
    <w:basedOn w:val="1"/>
    <w:qFormat/>
    <w:uiPriority w:val="0"/>
    <w:pPr>
      <w:widowControl/>
      <w:spacing w:line="360" w:lineRule="auto"/>
    </w:pPr>
    <w:rPr>
      <w:rFonts w:cs="宋体"/>
      <w:color w:val="000000"/>
      <w:kern w:val="0"/>
      <w:szCs w:val="20"/>
    </w:rPr>
  </w:style>
  <w:style w:type="paragraph" w:customStyle="1" w:styleId="1038">
    <w:name w:val="Char2 Char Char Char Char Char Char"/>
    <w:basedOn w:val="1"/>
    <w:qFormat/>
    <w:uiPriority w:val="0"/>
    <w:rPr>
      <w:sz w:val="24"/>
    </w:rPr>
  </w:style>
  <w:style w:type="paragraph" w:customStyle="1" w:styleId="1039">
    <w:name w:val="其他发布部门"/>
    <w:basedOn w:val="1"/>
    <w:qFormat/>
    <w:uiPriority w:val="0"/>
    <w:pPr>
      <w:widowControl/>
      <w:spacing w:line="0" w:lineRule="atLeast"/>
      <w:jc w:val="center"/>
    </w:pPr>
    <w:rPr>
      <w:rFonts w:ascii="黑体" w:eastAsia="黑体"/>
      <w:spacing w:val="20"/>
      <w:w w:val="135"/>
      <w:kern w:val="0"/>
      <w:sz w:val="28"/>
      <w:szCs w:val="20"/>
    </w:rPr>
  </w:style>
  <w:style w:type="character" w:customStyle="1" w:styleId="1040">
    <w:name w:val="图内文字－小五 Char Char"/>
    <w:link w:val="1041"/>
    <w:qFormat/>
    <w:uiPriority w:val="0"/>
    <w:rPr>
      <w:sz w:val="18"/>
    </w:rPr>
  </w:style>
  <w:style w:type="paragraph" w:customStyle="1" w:styleId="1041">
    <w:name w:val="图内文字－小五"/>
    <w:basedOn w:val="1"/>
    <w:link w:val="1040"/>
    <w:qFormat/>
    <w:uiPriority w:val="0"/>
    <w:pPr>
      <w:spacing w:line="240" w:lineRule="exact"/>
    </w:pPr>
    <w:rPr>
      <w:kern w:val="0"/>
      <w:sz w:val="18"/>
      <w:szCs w:val="20"/>
    </w:rPr>
  </w:style>
  <w:style w:type="paragraph" w:customStyle="1" w:styleId="1042">
    <w:name w:val="Char Char1 Char"/>
    <w:basedOn w:val="1"/>
    <w:qFormat/>
    <w:uiPriority w:val="0"/>
    <w:rPr>
      <w:szCs w:val="21"/>
    </w:rPr>
  </w:style>
  <w:style w:type="table" w:customStyle="1" w:styleId="1043">
    <w:name w:val="黄桥表1"/>
    <w:basedOn w:val="8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4">
    <w:name w:val="黄桥表2"/>
    <w:basedOn w:val="8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5">
    <w:name w:val="黄桥表3"/>
    <w:basedOn w:val="8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6">
    <w:name w:val="灰度表格1222"/>
    <w:basedOn w:val="87"/>
    <w:qFormat/>
    <w:uiPriority w:val="0"/>
    <w:pPr>
      <w:jc w:val="center"/>
    </w:pPr>
    <w:rPr>
      <w:rFonts w:ascii="Calibri" w:hAnsi="Calibri" w:eastAsia="仿宋_GB2312"/>
    </w:rPr>
    <w:tblP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
    <w:tcPr>
      <w:vAlign w:val="center"/>
    </w:tcPr>
  </w:style>
  <w:style w:type="table" w:customStyle="1" w:styleId="1047">
    <w:name w:val="maoli1"/>
    <w:basedOn w:val="87"/>
    <w:qFormat/>
    <w:uiPriority w:val="0"/>
    <w:rPr>
      <w:rFonts w:eastAsia="仿宋_GB2312"/>
    </w:rPr>
    <w:tblPr>
      <w:tblBorders>
        <w:top w:val="single" w:color="auto" w:sz="12" w:space="0"/>
        <w:bottom w:val="single" w:color="auto" w:sz="12" w:space="0"/>
        <w:insideH w:val="single" w:color="auto" w:sz="4" w:space="0"/>
        <w:insideV w:val="single" w:color="auto" w:sz="4" w:space="0"/>
      </w:tblBorders>
    </w:tblPr>
    <w:tcPr>
      <w:vAlign w:val="center"/>
    </w:tcPr>
  </w:style>
  <w:style w:type="paragraph" w:customStyle="1" w:styleId="1048">
    <w:name w:val="Char Char1 Char Char Char1 Char1"/>
    <w:basedOn w:val="1"/>
    <w:qFormat/>
    <w:uiPriority w:val="0"/>
    <w:pPr>
      <w:adjustRightInd w:val="0"/>
      <w:spacing w:line="360" w:lineRule="auto"/>
    </w:pPr>
    <w:rPr>
      <w:kern w:val="0"/>
      <w:sz w:val="24"/>
      <w:szCs w:val="20"/>
    </w:rPr>
  </w:style>
  <w:style w:type="paragraph" w:customStyle="1" w:styleId="1049">
    <w:name w:val="修订1"/>
    <w:hidden/>
    <w:semiHidden/>
    <w:qFormat/>
    <w:uiPriority w:val="99"/>
    <w:rPr>
      <w:rFonts w:ascii="仿宋_GB2312" w:hAnsi="仿宋_GB2312" w:eastAsia="仿宋_GB2312" w:cs="Times New Roman"/>
      <w:kern w:val="2"/>
      <w:sz w:val="28"/>
      <w:szCs w:val="21"/>
      <w:lang w:val="en-US" w:eastAsia="zh-CN" w:bidi="ar-SA"/>
    </w:rPr>
  </w:style>
  <w:style w:type="character" w:customStyle="1" w:styleId="1050">
    <w:name w:val="标题 3 Char1"/>
    <w:qFormat/>
    <w:uiPriority w:val="0"/>
    <w:rPr>
      <w:rFonts w:ascii="宋体" w:hAnsi="Times New Roman" w:eastAsia="宋体" w:cs="Times New Roman"/>
      <w:b/>
      <w:bCs/>
      <w:sz w:val="28"/>
      <w:szCs w:val="32"/>
    </w:rPr>
  </w:style>
  <w:style w:type="paragraph" w:customStyle="1" w:styleId="1051">
    <w:name w:val="样式11"/>
    <w:basedOn w:val="124"/>
    <w:qFormat/>
    <w:uiPriority w:val="0"/>
    <w:pPr>
      <w:adjustRightInd w:val="0"/>
      <w:textAlignment w:val="baseline"/>
    </w:pPr>
    <w:rPr>
      <w:rFonts w:hAnsi="宋体"/>
      <w:color w:val="000000"/>
      <w:kern w:val="0"/>
      <w:sz w:val="24"/>
    </w:rPr>
  </w:style>
  <w:style w:type="paragraph" w:customStyle="1" w:styleId="1052">
    <w:name w:val="样式9"/>
    <w:basedOn w:val="276"/>
    <w:qFormat/>
    <w:uiPriority w:val="0"/>
    <w:pPr>
      <w:adjustRightInd w:val="0"/>
    </w:pPr>
    <w:rPr>
      <w:rFonts w:ascii="宋体" w:hAnsi="宋体" w:cs="Arial"/>
      <w:color w:val="FF0000"/>
      <w:szCs w:val="24"/>
    </w:rPr>
  </w:style>
  <w:style w:type="paragraph" w:customStyle="1" w:styleId="1053">
    <w:name w:val="样式12"/>
    <w:basedOn w:val="276"/>
    <w:qFormat/>
    <w:uiPriority w:val="0"/>
    <w:pPr>
      <w:adjustRightInd w:val="0"/>
    </w:pPr>
    <w:rPr>
      <w:rFonts w:ascii="仿宋_GB2312" w:hAnsi="宋体" w:eastAsia="仿宋_GB2312"/>
      <w:b/>
      <w:color w:val="FF0000"/>
      <w:szCs w:val="30"/>
    </w:rPr>
  </w:style>
  <w:style w:type="paragraph" w:customStyle="1" w:styleId="1054">
    <w:name w:val="样式13"/>
    <w:basedOn w:val="1"/>
    <w:next w:val="30"/>
    <w:qFormat/>
    <w:uiPriority w:val="0"/>
    <w:pPr>
      <w:adjustRightInd w:val="0"/>
      <w:spacing w:line="500" w:lineRule="exact"/>
      <w:ind w:firstLine="200" w:firstLineChars="200"/>
      <w:textAlignment w:val="baseline"/>
    </w:pPr>
    <w:rPr>
      <w:rFonts w:ascii="仿宋_GB2312" w:hAnsi="宋体" w:eastAsia="仿宋_GB2312"/>
      <w:color w:val="FF0000"/>
      <w:sz w:val="28"/>
      <w:szCs w:val="28"/>
    </w:rPr>
  </w:style>
  <w:style w:type="paragraph" w:customStyle="1" w:styleId="1055">
    <w:name w:val="样式14"/>
    <w:basedOn w:val="124"/>
    <w:qFormat/>
    <w:uiPriority w:val="0"/>
    <w:pPr>
      <w:adjustRightInd w:val="0"/>
      <w:textAlignment w:val="baseline"/>
    </w:pPr>
    <w:rPr>
      <w:rFonts w:hAnsi="宋体"/>
      <w:bCs/>
      <w:kern w:val="0"/>
      <w:sz w:val="24"/>
      <w:szCs w:val="20"/>
    </w:rPr>
  </w:style>
  <w:style w:type="character" w:customStyle="1" w:styleId="1056">
    <w:name w:val="样式1 Char"/>
    <w:link w:val="117"/>
    <w:qFormat/>
    <w:uiPriority w:val="0"/>
    <w:rPr>
      <w:rFonts w:ascii="仿宋_GB2312" w:eastAsia="仿宋_GB2312"/>
      <w:kern w:val="2"/>
      <w:sz w:val="28"/>
    </w:rPr>
  </w:style>
  <w:style w:type="paragraph" w:customStyle="1" w:styleId="1057">
    <w:name w:val="样式16"/>
    <w:basedOn w:val="1"/>
    <w:link w:val="1059"/>
    <w:qFormat/>
    <w:uiPriority w:val="0"/>
    <w:pPr>
      <w:spacing w:line="500" w:lineRule="exact"/>
      <w:jc w:val="left"/>
    </w:pPr>
    <w:rPr>
      <w:rFonts w:ascii="仿宋_GB2312" w:hAnsi="仿宋_GB2312" w:eastAsia="仿宋_GB2312"/>
      <w:szCs w:val="21"/>
    </w:rPr>
  </w:style>
  <w:style w:type="paragraph" w:customStyle="1" w:styleId="1058">
    <w:name w:val="表格 1"/>
    <w:basedOn w:val="1"/>
    <w:link w:val="1060"/>
    <w:qFormat/>
    <w:uiPriority w:val="0"/>
    <w:pPr>
      <w:spacing w:line="320" w:lineRule="exact"/>
      <w:jc w:val="center"/>
    </w:pPr>
    <w:rPr>
      <w:rFonts w:ascii="仿宋_GB2312" w:hAnsi="仿宋_GB2312" w:eastAsia="仿宋_GB2312"/>
      <w:szCs w:val="21"/>
    </w:rPr>
  </w:style>
  <w:style w:type="character" w:customStyle="1" w:styleId="1059">
    <w:name w:val="样式16 Char"/>
    <w:link w:val="1057"/>
    <w:qFormat/>
    <w:uiPriority w:val="0"/>
    <w:rPr>
      <w:rFonts w:ascii="仿宋_GB2312" w:hAnsi="仿宋_GB2312" w:eastAsia="仿宋_GB2312"/>
      <w:kern w:val="2"/>
      <w:sz w:val="21"/>
      <w:szCs w:val="21"/>
    </w:rPr>
  </w:style>
  <w:style w:type="character" w:customStyle="1" w:styleId="1060">
    <w:name w:val="表格 1 Char"/>
    <w:link w:val="1058"/>
    <w:qFormat/>
    <w:uiPriority w:val="0"/>
    <w:rPr>
      <w:rFonts w:ascii="仿宋_GB2312" w:hAnsi="仿宋_GB2312" w:eastAsia="仿宋_GB2312"/>
      <w:kern w:val="2"/>
      <w:sz w:val="21"/>
      <w:szCs w:val="21"/>
    </w:rPr>
  </w:style>
  <w:style w:type="table" w:customStyle="1" w:styleId="1061">
    <w:name w:val="黄桥表4"/>
    <w:basedOn w:val="8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62">
    <w:name w:val="article1"/>
    <w:qFormat/>
    <w:uiPriority w:val="0"/>
    <w:rPr>
      <w:b/>
      <w:bCs/>
      <w:smallCaps/>
      <w:color w:val="FF0000"/>
      <w:sz w:val="43"/>
      <w:szCs w:val="43"/>
    </w:rPr>
  </w:style>
  <w:style w:type="character" w:customStyle="1" w:styleId="1063">
    <w:name w:val="zhenwen141"/>
    <w:qFormat/>
    <w:uiPriority w:val="0"/>
    <w:rPr>
      <w:rFonts w:hint="default" w:ascii="ˎ̥" w:hAnsi="ˎ̥"/>
      <w:sz w:val="21"/>
      <w:szCs w:val="21"/>
    </w:rPr>
  </w:style>
  <w:style w:type="character" w:customStyle="1" w:styleId="1064">
    <w:name w:val="keyword"/>
    <w:qFormat/>
    <w:uiPriority w:val="0"/>
  </w:style>
  <w:style w:type="character" w:customStyle="1" w:styleId="1065">
    <w:name w:val="style71"/>
    <w:qFormat/>
    <w:uiPriority w:val="0"/>
    <w:rPr>
      <w:color w:val="000000"/>
    </w:rPr>
  </w:style>
  <w:style w:type="character" w:customStyle="1" w:styleId="1066">
    <w:name w:val="large1"/>
    <w:qFormat/>
    <w:uiPriority w:val="0"/>
    <w:rPr>
      <w:sz w:val="22"/>
      <w:szCs w:val="22"/>
    </w:rPr>
  </w:style>
  <w:style w:type="paragraph" w:customStyle="1" w:styleId="1067">
    <w:name w:val="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068">
    <w:name w:val="样式 列表"/>
    <w:basedOn w:val="65"/>
    <w:qFormat/>
    <w:uiPriority w:val="0"/>
    <w:pPr>
      <w:spacing w:line="280" w:lineRule="exact"/>
    </w:pPr>
    <w:rPr>
      <w:rFonts w:ascii="Times New Roman" w:eastAsia="方正仿宋_GBK" w:cs="宋体"/>
      <w:sz w:val="21"/>
    </w:rPr>
  </w:style>
  <w:style w:type="paragraph" w:customStyle="1" w:styleId="1069">
    <w:name w:val="样式 样式 样式 样式 标题 2 + 段前: 0.25 行 段后: 0.25 行 + 段前: 0.25 行 段后: 0.25 行..."/>
    <w:basedOn w:val="1"/>
    <w:qFormat/>
    <w:uiPriority w:val="0"/>
    <w:pPr>
      <w:keepNext/>
      <w:keepLines/>
      <w:tabs>
        <w:tab w:val="left" w:pos="1080"/>
      </w:tabs>
      <w:adjustRightInd w:val="0"/>
      <w:snapToGrid w:val="0"/>
      <w:spacing w:beforeLines="25" w:afterLines="25" w:line="360" w:lineRule="auto"/>
      <w:jc w:val="left"/>
      <w:outlineLvl w:val="1"/>
    </w:pPr>
    <w:rPr>
      <w:b/>
      <w:bCs/>
      <w:sz w:val="24"/>
      <w:szCs w:val="20"/>
    </w:rPr>
  </w:style>
  <w:style w:type="paragraph" w:customStyle="1" w:styleId="1070">
    <w:name w:val="样式 样式 标题 1 + 段前: 1.5 行 段后: 1.5 行 行距: 多倍行距 1.25 字行 + 段前: 0.5 行 段..."/>
    <w:basedOn w:val="1"/>
    <w:qFormat/>
    <w:uiPriority w:val="0"/>
    <w:pPr>
      <w:keepNext/>
      <w:keepLines/>
      <w:tabs>
        <w:tab w:val="left" w:pos="720"/>
      </w:tabs>
      <w:snapToGrid w:val="0"/>
      <w:spacing w:beforeLines="50" w:afterLines="50" w:line="360" w:lineRule="auto"/>
      <w:ind w:left="431" w:hanging="431"/>
      <w:jc w:val="left"/>
      <w:outlineLvl w:val="0"/>
    </w:pPr>
    <w:rPr>
      <w:b/>
      <w:bCs/>
      <w:kern w:val="44"/>
      <w:sz w:val="28"/>
      <w:szCs w:val="20"/>
    </w:rPr>
  </w:style>
  <w:style w:type="paragraph" w:customStyle="1" w:styleId="1071">
    <w:name w:val="Char20"/>
    <w:basedOn w:val="1"/>
    <w:qFormat/>
    <w:uiPriority w:val="0"/>
    <w:rPr>
      <w:sz w:val="24"/>
    </w:rPr>
  </w:style>
  <w:style w:type="paragraph" w:customStyle="1" w:styleId="1072">
    <w:name w:val="默认段落字体 Para Char Char Char Char Char Char Char"/>
    <w:basedOn w:val="1"/>
    <w:qFormat/>
    <w:uiPriority w:val="0"/>
    <w:rPr>
      <w:szCs w:val="20"/>
    </w:rPr>
  </w:style>
  <w:style w:type="character" w:customStyle="1" w:styleId="1073">
    <w:name w:val="textcontents"/>
    <w:qFormat/>
    <w:uiPriority w:val="0"/>
  </w:style>
  <w:style w:type="paragraph" w:customStyle="1" w:styleId="1074">
    <w:name w:val="f12"/>
    <w:basedOn w:val="1"/>
    <w:qFormat/>
    <w:uiPriority w:val="0"/>
    <w:pPr>
      <w:widowControl/>
      <w:spacing w:before="100" w:beforeAutospacing="1" w:after="100" w:afterAutospacing="1" w:line="360" w:lineRule="auto"/>
      <w:jc w:val="left"/>
    </w:pPr>
    <w:rPr>
      <w:rFonts w:ascii="宋体" w:hAnsi="宋体" w:cs="宋体"/>
      <w:kern w:val="0"/>
      <w:sz w:val="24"/>
    </w:rPr>
  </w:style>
  <w:style w:type="paragraph" w:customStyle="1" w:styleId="1075">
    <w:name w:val="Char Char Char Char Char Char Char4"/>
    <w:basedOn w:val="1"/>
    <w:qFormat/>
    <w:uiPriority w:val="0"/>
    <w:rPr>
      <w:sz w:val="24"/>
    </w:rPr>
  </w:style>
  <w:style w:type="paragraph" w:customStyle="1" w:styleId="1076">
    <w:name w:val="zxz5"/>
    <w:next w:val="1"/>
    <w:qFormat/>
    <w:uiPriority w:val="0"/>
    <w:pPr>
      <w:tabs>
        <w:tab w:val="left" w:pos="0"/>
      </w:tabs>
      <w:jc w:val="center"/>
    </w:pPr>
    <w:rPr>
      <w:rFonts w:ascii="宋体" w:hAnsi="宋体" w:eastAsia="Times New Roman" w:cs="宋体"/>
      <w:bCs/>
      <w:kern w:val="2"/>
      <w:sz w:val="18"/>
      <w:szCs w:val="18"/>
      <w:lang w:val="en-US" w:eastAsia="zh-CN" w:bidi="ar-SA"/>
    </w:rPr>
  </w:style>
  <w:style w:type="paragraph" w:customStyle="1" w:styleId="1077">
    <w:name w:val="样式 样式 首行缩进:  2 字符 + 首行缩进:  2 字符2"/>
    <w:basedOn w:val="1"/>
    <w:link w:val="1078"/>
    <w:qFormat/>
    <w:uiPriority w:val="0"/>
    <w:pPr>
      <w:spacing w:line="440" w:lineRule="exact"/>
      <w:ind w:firstLine="584" w:firstLineChars="200"/>
    </w:pPr>
    <w:rPr>
      <w:rFonts w:eastAsia="楷体_GB2312"/>
      <w:spacing w:val="6"/>
      <w:kern w:val="0"/>
      <w:sz w:val="28"/>
      <w:szCs w:val="20"/>
    </w:rPr>
  </w:style>
  <w:style w:type="character" w:customStyle="1" w:styleId="1078">
    <w:name w:val="样式 样式 首行缩进:  2 字符 + 首行缩进:  2 字符2 Char"/>
    <w:link w:val="1077"/>
    <w:qFormat/>
    <w:uiPriority w:val="0"/>
    <w:rPr>
      <w:rFonts w:eastAsia="楷体_GB2312"/>
      <w:spacing w:val="6"/>
      <w:sz w:val="28"/>
    </w:rPr>
  </w:style>
  <w:style w:type="paragraph" w:customStyle="1" w:styleId="1079">
    <w:name w:val="pic-info"/>
    <w:basedOn w:val="1"/>
    <w:qFormat/>
    <w:uiPriority w:val="0"/>
    <w:pPr>
      <w:widowControl/>
      <w:spacing w:before="100" w:beforeAutospacing="1" w:after="100" w:afterAutospacing="1"/>
      <w:jc w:val="left"/>
    </w:pPr>
    <w:rPr>
      <w:rFonts w:ascii="宋体" w:hAnsi="宋体" w:cs="宋体"/>
      <w:kern w:val="0"/>
      <w:sz w:val="24"/>
    </w:rPr>
  </w:style>
  <w:style w:type="paragraph" w:customStyle="1" w:styleId="1080">
    <w:name w:val="样式 标题 2 + Times New Roman"/>
    <w:basedOn w:val="3"/>
    <w:link w:val="1081"/>
    <w:qFormat/>
    <w:uiPriority w:val="0"/>
    <w:pPr>
      <w:numPr>
        <w:ilvl w:val="0"/>
        <w:numId w:val="0"/>
      </w:numPr>
      <w:tabs>
        <w:tab w:val="clear" w:pos="0"/>
        <w:tab w:val="clear" w:pos="426"/>
      </w:tabs>
      <w:spacing w:before="260" w:afterLines="0" w:line="360" w:lineRule="auto"/>
    </w:pPr>
    <w:rPr>
      <w:rFonts w:eastAsia="Times New Roman"/>
      <w:bCs/>
      <w:spacing w:val="0"/>
      <w:kern w:val="2"/>
      <w:szCs w:val="32"/>
    </w:rPr>
  </w:style>
  <w:style w:type="character" w:customStyle="1" w:styleId="1081">
    <w:name w:val="样式 标题 2 + Times New Roman Char"/>
    <w:link w:val="1080"/>
    <w:qFormat/>
    <w:uiPriority w:val="0"/>
    <w:rPr>
      <w:rFonts w:eastAsia="Times New Roman"/>
      <w:b/>
      <w:bCs/>
      <w:kern w:val="2"/>
      <w:sz w:val="30"/>
      <w:szCs w:val="32"/>
    </w:rPr>
  </w:style>
  <w:style w:type="character" w:customStyle="1" w:styleId="1082">
    <w:name w:val="Char Char62"/>
    <w:qFormat/>
    <w:uiPriority w:val="0"/>
    <w:rPr>
      <w:rFonts w:ascii="宋体" w:eastAsia="宋体"/>
      <w:color w:val="000000"/>
      <w:kern w:val="2"/>
      <w:sz w:val="24"/>
      <w:szCs w:val="28"/>
      <w:lang w:val="zh-CN" w:eastAsia="zh-CN" w:bidi="ar-SA"/>
    </w:rPr>
  </w:style>
  <w:style w:type="table" w:customStyle="1" w:styleId="1083">
    <w:name w:val="灰度表格1223"/>
    <w:basedOn w:val="87"/>
    <w:qFormat/>
    <w:uiPriority w:val="0"/>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084">
    <w:name w:val="网格型881"/>
    <w:basedOn w:val="87"/>
    <w:qFormat/>
    <w:uiPriority w:val="0"/>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1085">
    <w:name w:val="Char2 Char Char Char Char Char Char1"/>
    <w:basedOn w:val="1"/>
    <w:qFormat/>
    <w:uiPriority w:val="0"/>
    <w:rPr>
      <w:sz w:val="24"/>
    </w:rPr>
  </w:style>
  <w:style w:type="character" w:customStyle="1" w:styleId="1086">
    <w:name w:val="批注框文本 Char Char"/>
    <w:link w:val="1087"/>
    <w:qFormat/>
    <w:uiPriority w:val="0"/>
    <w:rPr>
      <w:sz w:val="18"/>
    </w:rPr>
  </w:style>
  <w:style w:type="paragraph" w:customStyle="1" w:styleId="1087">
    <w:name w:val="批注框文本1"/>
    <w:basedOn w:val="1"/>
    <w:link w:val="1086"/>
    <w:qFormat/>
    <w:uiPriority w:val="0"/>
    <w:rPr>
      <w:kern w:val="0"/>
      <w:sz w:val="18"/>
      <w:szCs w:val="20"/>
    </w:rPr>
  </w:style>
  <w:style w:type="paragraph" w:customStyle="1" w:styleId="1088">
    <w:name w:val="样式 标题 1章标题 1H1Section HeadHeader1h11st levell1Heading 0..."/>
    <w:basedOn w:val="2"/>
    <w:qFormat/>
    <w:uiPriority w:val="0"/>
    <w:pPr>
      <w:keepLines w:val="0"/>
      <w:tabs>
        <w:tab w:val="left" w:pos="425"/>
      </w:tabs>
      <w:spacing w:before="0" w:after="0" w:line="500" w:lineRule="exact"/>
      <w:ind w:left="425" w:hanging="425"/>
      <w:jc w:val="left"/>
    </w:pPr>
    <w:rPr>
      <w:rFonts w:cs="宋体"/>
      <w:b w:val="0"/>
      <w:bCs w:val="0"/>
      <w:color w:val="000000"/>
      <w:kern w:val="2"/>
      <w:sz w:val="28"/>
      <w:szCs w:val="20"/>
    </w:rPr>
  </w:style>
  <w:style w:type="paragraph" w:customStyle="1" w:styleId="1089">
    <w:name w:val="Char Char Char Char Char Char Char Char Char Char Char Char Char Char Char Char Char Char Char Char Char Char Char Char Char Char Char Char Char Char2 Char Char Char Char Char Char Char5"/>
    <w:basedOn w:val="1"/>
    <w:qFormat/>
    <w:uiPriority w:val="0"/>
    <w:rPr>
      <w:sz w:val="24"/>
    </w:rPr>
  </w:style>
  <w:style w:type="paragraph" w:customStyle="1" w:styleId="1090">
    <w:name w:val="Char Char Char Char Char Char4"/>
    <w:basedOn w:val="1"/>
    <w:qFormat/>
    <w:uiPriority w:val="0"/>
    <w:rPr>
      <w:sz w:val="24"/>
    </w:rPr>
  </w:style>
  <w:style w:type="paragraph" w:customStyle="1" w:styleId="1091">
    <w:name w:val="正文文本缩进5"/>
    <w:basedOn w:val="1"/>
    <w:qFormat/>
    <w:uiPriority w:val="0"/>
    <w:pPr>
      <w:adjustRightInd w:val="0"/>
      <w:spacing w:after="120" w:line="360" w:lineRule="auto"/>
      <w:ind w:left="420" w:leftChars="200" w:firstLine="200" w:firstLineChars="200"/>
      <w:textAlignment w:val="baseline"/>
    </w:pPr>
    <w:rPr>
      <w:sz w:val="24"/>
    </w:rPr>
  </w:style>
  <w:style w:type="paragraph" w:customStyle="1" w:styleId="1092">
    <w:name w:val="样式 居中 首行缩进:  2 字符 行距: 固定值 18 磅"/>
    <w:basedOn w:val="1"/>
    <w:qFormat/>
    <w:uiPriority w:val="0"/>
    <w:pPr>
      <w:spacing w:line="240" w:lineRule="atLeast"/>
      <w:jc w:val="center"/>
    </w:pPr>
    <w:rPr>
      <w:rFonts w:ascii="仿宋_GB2312" w:hAnsi="仿宋_GB2312" w:eastAsia="仿宋_GB2312" w:cs="宋体"/>
      <w:color w:val="000000"/>
      <w:kern w:val="0"/>
      <w:szCs w:val="20"/>
    </w:rPr>
  </w:style>
  <w:style w:type="table" w:customStyle="1" w:styleId="1093">
    <w:name w:val="灰度表格1224"/>
    <w:basedOn w:val="87"/>
    <w:qFormat/>
    <w:uiPriority w:val="0"/>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094">
    <w:name w:val="灰度表格1225"/>
    <w:basedOn w:val="87"/>
    <w:qFormat/>
    <w:uiPriority w:val="0"/>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095">
    <w:name w:val="灰度表格1226"/>
    <w:basedOn w:val="87"/>
    <w:qFormat/>
    <w:uiPriority w:val="0"/>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1096">
    <w:name w:val="新正文 Char Char"/>
    <w:qFormat/>
    <w:uiPriority w:val="0"/>
    <w:rPr>
      <w:rFonts w:ascii="仿宋_GB2312" w:eastAsia="仿宋_GB2312"/>
      <w:bCs/>
      <w:sz w:val="28"/>
      <w:lang w:val="en-US" w:eastAsia="zh-CN" w:bidi="ar-SA"/>
    </w:rPr>
  </w:style>
  <w:style w:type="paragraph" w:customStyle="1" w:styleId="1097">
    <w:name w:val="表头（仿宋 小四）"/>
    <w:basedOn w:val="1"/>
    <w:link w:val="1098"/>
    <w:qFormat/>
    <w:uiPriority w:val="0"/>
    <w:pPr>
      <w:spacing w:line="520" w:lineRule="exact"/>
      <w:jc w:val="center"/>
    </w:pPr>
    <w:rPr>
      <w:rFonts w:ascii="仿宋_GB2312" w:hAnsi="宋体" w:eastAsia="仿宋_GB2312"/>
      <w:color w:val="000000"/>
      <w:kern w:val="0"/>
      <w:sz w:val="24"/>
      <w:szCs w:val="20"/>
    </w:rPr>
  </w:style>
  <w:style w:type="character" w:customStyle="1" w:styleId="1098">
    <w:name w:val="表头（仿宋 小四） Char"/>
    <w:link w:val="1097"/>
    <w:qFormat/>
    <w:uiPriority w:val="0"/>
    <w:rPr>
      <w:rFonts w:ascii="仿宋_GB2312" w:hAnsi="宋体" w:eastAsia="仿宋_GB2312"/>
      <w:color w:val="000000"/>
      <w:sz w:val="24"/>
    </w:rPr>
  </w:style>
  <w:style w:type="paragraph" w:customStyle="1" w:styleId="1099">
    <w:name w:val="a表头"/>
    <w:basedOn w:val="1"/>
    <w:qFormat/>
    <w:uiPriority w:val="0"/>
    <w:pPr>
      <w:widowControl/>
      <w:adjustRightInd w:val="0"/>
      <w:snapToGrid w:val="0"/>
      <w:jc w:val="center"/>
    </w:pPr>
    <w:rPr>
      <w:rFonts w:hAnsi="宋体"/>
      <w:b/>
      <w:spacing w:val="5"/>
      <w:kern w:val="0"/>
      <w:szCs w:val="21"/>
    </w:rPr>
  </w:style>
  <w:style w:type="character" w:customStyle="1" w:styleId="1100">
    <w:name w:val="列表 字符"/>
    <w:link w:val="65"/>
    <w:qFormat/>
    <w:uiPriority w:val="0"/>
    <w:rPr>
      <w:rFonts w:ascii="仿宋_GB2312" w:eastAsia="仿宋_GB2312"/>
      <w:kern w:val="2"/>
      <w:sz w:val="24"/>
    </w:rPr>
  </w:style>
  <w:style w:type="character" w:customStyle="1" w:styleId="1101">
    <w:name w:val="正文01 Char Char"/>
    <w:qFormat/>
    <w:uiPriority w:val="0"/>
    <w:rPr>
      <w:sz w:val="24"/>
    </w:rPr>
  </w:style>
  <w:style w:type="paragraph" w:customStyle="1" w:styleId="1102">
    <w:name w:val="Char21"/>
    <w:basedOn w:val="1"/>
    <w:qFormat/>
    <w:uiPriority w:val="0"/>
    <w:rPr>
      <w:sz w:val="24"/>
    </w:rPr>
  </w:style>
  <w:style w:type="paragraph" w:customStyle="1" w:styleId="1103">
    <w:name w:val="Char Char Char5"/>
    <w:basedOn w:val="1"/>
    <w:qFormat/>
    <w:uiPriority w:val="0"/>
    <w:rPr>
      <w:sz w:val="24"/>
    </w:rPr>
  </w:style>
  <w:style w:type="paragraph" w:customStyle="1" w:styleId="1104">
    <w:name w:val="1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05">
    <w:name w:val="纯文本4"/>
    <w:basedOn w:val="1"/>
    <w:qFormat/>
    <w:uiPriority w:val="0"/>
    <w:pPr>
      <w:autoSpaceDE w:val="0"/>
      <w:autoSpaceDN w:val="0"/>
      <w:adjustRightInd w:val="0"/>
      <w:textAlignment w:val="baseline"/>
    </w:pPr>
    <w:rPr>
      <w:rFonts w:ascii="宋体" w:hAnsi="Tms Rmn"/>
      <w:kern w:val="0"/>
      <w:szCs w:val="20"/>
    </w:rPr>
  </w:style>
  <w:style w:type="paragraph" w:customStyle="1" w:styleId="1106">
    <w:name w:val="Char Char Char Char Char Char5"/>
    <w:basedOn w:val="1"/>
    <w:qFormat/>
    <w:uiPriority w:val="0"/>
    <w:rPr>
      <w:szCs w:val="21"/>
    </w:rPr>
  </w:style>
  <w:style w:type="paragraph" w:customStyle="1" w:styleId="1107">
    <w:name w:val="Char4 Char Char Char Char Char Char Char Char Char Char Char Char Char Char Char Char Char1 Char Char Char Char Char Char1 Char Char Char Char Char Char Char Char Char Char Char Char Char Char Char Char2"/>
    <w:basedOn w:val="1"/>
    <w:qFormat/>
    <w:uiPriority w:val="0"/>
    <w:pPr>
      <w:spacing w:line="240" w:lineRule="exact"/>
      <w:ind w:firstLine="200" w:firstLineChars="200"/>
    </w:pPr>
    <w:rPr>
      <w:sz w:val="28"/>
      <w:szCs w:val="28"/>
    </w:rPr>
  </w:style>
  <w:style w:type="paragraph" w:customStyle="1" w:styleId="1108">
    <w:name w:val="Char Char Char Char Char Char Char Char Char1 Char Char Char Char3"/>
    <w:basedOn w:val="1"/>
    <w:qFormat/>
    <w:uiPriority w:val="0"/>
    <w:rPr>
      <w:szCs w:val="21"/>
    </w:rPr>
  </w:style>
  <w:style w:type="paragraph" w:customStyle="1" w:styleId="1109">
    <w:name w:val="Char Char Char Char5"/>
    <w:basedOn w:val="1"/>
    <w:qFormat/>
    <w:uiPriority w:val="0"/>
    <w:rPr>
      <w:szCs w:val="21"/>
    </w:rPr>
  </w:style>
  <w:style w:type="paragraph" w:customStyle="1" w:styleId="1110">
    <w:name w:val="Char Char Char1 Char5"/>
    <w:basedOn w:val="1"/>
    <w:qFormat/>
    <w:uiPriority w:val="0"/>
  </w:style>
  <w:style w:type="paragraph" w:customStyle="1" w:styleId="1111">
    <w:name w:val="Char Char Char Char Char Char Char15"/>
    <w:basedOn w:val="1"/>
    <w:qFormat/>
    <w:uiPriority w:val="0"/>
  </w:style>
  <w:style w:type="paragraph" w:customStyle="1" w:styleId="1112">
    <w:name w:val="Char Char Char1 Char Char Char Char2"/>
    <w:basedOn w:val="1"/>
    <w:qFormat/>
    <w:uiPriority w:val="0"/>
  </w:style>
  <w:style w:type="paragraph" w:customStyle="1" w:styleId="1113">
    <w:name w:val="Char Char Char Char Char Char Char Char Char Char Char Char Char Char Char Char2"/>
    <w:basedOn w:val="1"/>
    <w:qFormat/>
    <w:uiPriority w:val="0"/>
  </w:style>
  <w:style w:type="paragraph" w:customStyle="1" w:styleId="1114">
    <w:name w:val="Char Char Char Char Char Char Char Char Char Char3"/>
    <w:basedOn w:val="1"/>
    <w:qFormat/>
    <w:uiPriority w:val="0"/>
  </w:style>
  <w:style w:type="paragraph" w:customStyle="1" w:styleId="1115">
    <w:name w:val="Char Char Char Char Char Char Char Char Char Char Char Char Char Char Char Char Char Char Char Char Char Char Char Char Char Char Char Char Char Char2 Char Char Char Char Char Char Char6"/>
    <w:basedOn w:val="1"/>
    <w:qFormat/>
    <w:uiPriority w:val="0"/>
    <w:rPr>
      <w:sz w:val="24"/>
    </w:rPr>
  </w:style>
  <w:style w:type="paragraph" w:customStyle="1" w:styleId="1116">
    <w:name w:val="正文文本缩进6"/>
    <w:basedOn w:val="1"/>
    <w:qFormat/>
    <w:uiPriority w:val="0"/>
    <w:pPr>
      <w:adjustRightInd w:val="0"/>
      <w:spacing w:after="120" w:line="360" w:lineRule="auto"/>
      <w:ind w:left="420" w:leftChars="200" w:firstLine="200" w:firstLineChars="200"/>
      <w:textAlignment w:val="baseline"/>
    </w:pPr>
    <w:rPr>
      <w:sz w:val="24"/>
      <w:szCs w:val="20"/>
    </w:rPr>
  </w:style>
  <w:style w:type="paragraph" w:customStyle="1" w:styleId="1117">
    <w:name w:val="正文缩进8"/>
    <w:basedOn w:val="1"/>
    <w:qFormat/>
    <w:uiPriority w:val="0"/>
    <w:pPr>
      <w:adjustRightInd w:val="0"/>
      <w:ind w:firstLine="420" w:firstLineChars="200"/>
      <w:textAlignment w:val="baseline"/>
    </w:pPr>
    <w:rPr>
      <w:rFonts w:hint="eastAsia" w:hAnsi="宋体"/>
      <w:sz w:val="24"/>
      <w:szCs w:val="20"/>
    </w:rPr>
  </w:style>
  <w:style w:type="paragraph" w:customStyle="1" w:styleId="1118">
    <w:name w:val="列出段落4"/>
    <w:basedOn w:val="1"/>
    <w:qFormat/>
    <w:uiPriority w:val="0"/>
    <w:pPr>
      <w:ind w:firstLine="420" w:firstLineChars="200"/>
    </w:pPr>
    <w:rPr>
      <w:rFonts w:ascii="Calibri" w:hAnsi="Calibri"/>
      <w:szCs w:val="22"/>
    </w:rPr>
  </w:style>
  <w:style w:type="paragraph" w:customStyle="1" w:styleId="1119">
    <w:name w:val="Char125"/>
    <w:basedOn w:val="1"/>
    <w:qFormat/>
    <w:uiPriority w:val="0"/>
    <w:pPr>
      <w:snapToGrid w:val="0"/>
      <w:spacing w:line="360" w:lineRule="auto"/>
      <w:ind w:firstLine="200" w:firstLineChars="200"/>
    </w:pPr>
    <w:rPr>
      <w:rFonts w:eastAsia="仿宋_GB2312"/>
      <w:sz w:val="24"/>
    </w:rPr>
  </w:style>
  <w:style w:type="paragraph" w:customStyle="1" w:styleId="1120">
    <w:name w:val="Char Char1 Char2"/>
    <w:basedOn w:val="1"/>
    <w:qFormat/>
    <w:uiPriority w:val="0"/>
    <w:rPr>
      <w:sz w:val="24"/>
    </w:rPr>
  </w:style>
  <w:style w:type="character" w:customStyle="1" w:styleId="1121">
    <w:name w:val="样式 正文 +"/>
    <w:qFormat/>
    <w:uiPriority w:val="0"/>
    <w:rPr>
      <w:rFonts w:eastAsia="宋体"/>
      <w:kern w:val="0"/>
      <w:sz w:val="28"/>
      <w:szCs w:val="28"/>
    </w:rPr>
  </w:style>
  <w:style w:type="paragraph" w:customStyle="1" w:styleId="1122">
    <w:name w:val="样式11111"/>
    <w:basedOn w:val="36"/>
    <w:semiHidden/>
    <w:qFormat/>
    <w:uiPriority w:val="0"/>
    <w:pPr>
      <w:spacing w:line="300" w:lineRule="exact"/>
      <w:ind w:left="0" w:leftChars="0" w:firstLine="0" w:firstLineChars="0"/>
    </w:pPr>
    <w:rPr>
      <w:rFonts w:ascii="宋体" w:hAnsi="宋体"/>
      <w:szCs w:val="21"/>
    </w:rPr>
  </w:style>
  <w:style w:type="paragraph" w:customStyle="1" w:styleId="1123">
    <w:name w:val="正文文本4"/>
    <w:qFormat/>
    <w:uiPriority w:val="0"/>
    <w:pPr>
      <w:tabs>
        <w:tab w:val="left" w:pos="425"/>
        <w:tab w:val="left" w:pos="850"/>
      </w:tabs>
      <w:spacing w:after="283" w:line="260" w:lineRule="atLeast"/>
      <w:jc w:val="both"/>
    </w:pPr>
    <w:rPr>
      <w:rFonts w:ascii="StempelGaramond Roman" w:hAnsi="StempelGaramond Roman" w:eastAsia="宋体" w:cs="Times New Roman"/>
      <w:snapToGrid w:val="0"/>
      <w:color w:val="000000"/>
      <w:sz w:val="22"/>
      <w:lang w:val="en-GB" w:eastAsia="zh-CN" w:bidi="ar-SA"/>
    </w:rPr>
  </w:style>
  <w:style w:type="character" w:customStyle="1" w:styleId="1124">
    <w:name w:val="Char Char14"/>
    <w:qFormat/>
    <w:uiPriority w:val="0"/>
    <w:rPr>
      <w:rFonts w:ascii="楷体_GB2312" w:hAnsi="Arial" w:eastAsia="楷体_GB2312" w:cs="Arial"/>
      <w:b/>
      <w:sz w:val="21"/>
      <w:szCs w:val="21"/>
      <w:lang w:val="en-US" w:eastAsia="zh-CN" w:bidi="ar-SA"/>
    </w:rPr>
  </w:style>
  <w:style w:type="character" w:customStyle="1" w:styleId="1125">
    <w:name w:val="Char Char23"/>
    <w:qFormat/>
    <w:uiPriority w:val="0"/>
    <w:rPr>
      <w:rFonts w:ascii="Arial" w:hAnsi="Arial" w:eastAsia="楷体_GB2312" w:cs="Arial"/>
      <w:b/>
      <w:sz w:val="24"/>
      <w:lang w:val="en-US" w:eastAsia="zh-CN" w:bidi="ar-SA"/>
    </w:rPr>
  </w:style>
  <w:style w:type="paragraph" w:customStyle="1" w:styleId="1126">
    <w:name w:val="Char1 Char Char Char Char Char1 Char2"/>
    <w:basedOn w:val="1"/>
    <w:qFormat/>
    <w:uiPriority w:val="0"/>
    <w:rPr>
      <w:szCs w:val="21"/>
    </w:rPr>
  </w:style>
  <w:style w:type="character" w:customStyle="1" w:styleId="1127">
    <w:name w:val="Char Char626"/>
    <w:qFormat/>
    <w:uiPriority w:val="0"/>
    <w:rPr>
      <w:rFonts w:eastAsia="宋体"/>
      <w:kern w:val="2"/>
      <w:sz w:val="24"/>
      <w:lang w:val="en-US" w:eastAsia="zh-CN" w:bidi="ar-SA"/>
    </w:rPr>
  </w:style>
  <w:style w:type="character" w:customStyle="1" w:styleId="1128">
    <w:name w:val="标题6"/>
    <w:qFormat/>
    <w:uiPriority w:val="0"/>
  </w:style>
  <w:style w:type="paragraph" w:customStyle="1" w:styleId="1129">
    <w:name w:val="Char Char Char Char Char Char Char Char Char1 Char Char Char Char Char Char Char Char1 Char Char Char3"/>
    <w:basedOn w:val="1"/>
    <w:qFormat/>
    <w:uiPriority w:val="0"/>
    <w:pPr>
      <w:snapToGrid w:val="0"/>
      <w:spacing w:line="360" w:lineRule="auto"/>
      <w:ind w:firstLine="200" w:firstLineChars="200"/>
    </w:pPr>
    <w:rPr>
      <w:rFonts w:eastAsia="仿宋_GB2312"/>
      <w:sz w:val="24"/>
    </w:rPr>
  </w:style>
  <w:style w:type="character" w:customStyle="1" w:styleId="1130">
    <w:name w:val="Char Char72"/>
    <w:qFormat/>
    <w:uiPriority w:val="0"/>
    <w:rPr>
      <w:rFonts w:eastAsia="宋体"/>
      <w:kern w:val="2"/>
      <w:sz w:val="21"/>
      <w:szCs w:val="24"/>
      <w:lang w:val="en-US" w:eastAsia="zh-CN" w:bidi="ar-SA"/>
    </w:rPr>
  </w:style>
  <w:style w:type="character" w:customStyle="1" w:styleId="1131">
    <w:name w:val="Char Char103"/>
    <w:qFormat/>
    <w:uiPriority w:val="0"/>
    <w:rPr>
      <w:rFonts w:eastAsia="宋体"/>
      <w:kern w:val="2"/>
      <w:sz w:val="21"/>
      <w:szCs w:val="24"/>
      <w:lang w:val="en-US" w:eastAsia="zh-CN" w:bidi="ar-SA"/>
    </w:rPr>
  </w:style>
  <w:style w:type="character" w:customStyle="1" w:styleId="1132">
    <w:name w:val="Char Char519"/>
    <w:qFormat/>
    <w:uiPriority w:val="0"/>
    <w:rPr>
      <w:rFonts w:ascii="宋体" w:hAnsi="Courier New" w:eastAsia="宋体"/>
      <w:kern w:val="2"/>
      <w:sz w:val="21"/>
      <w:lang w:val="en-US" w:eastAsia="zh-CN" w:bidi="ar-SA"/>
    </w:rPr>
  </w:style>
  <w:style w:type="character" w:customStyle="1" w:styleId="1133">
    <w:name w:val="Char Char182"/>
    <w:qFormat/>
    <w:uiPriority w:val="0"/>
    <w:rPr>
      <w:rFonts w:ascii="宋体" w:hAnsi="宋体" w:eastAsia="宋体" w:cs="Times New Roman"/>
      <w:color w:val="800000"/>
      <w:kern w:val="0"/>
      <w:sz w:val="28"/>
      <w:szCs w:val="20"/>
    </w:rPr>
  </w:style>
  <w:style w:type="character" w:customStyle="1" w:styleId="1134">
    <w:name w:val="Char Char Char1 Char Char2"/>
    <w:qFormat/>
    <w:uiPriority w:val="0"/>
    <w:rPr>
      <w:rFonts w:ascii="Times New Roman" w:hAnsi="Times New Roman" w:eastAsia="宋体" w:cs="Times New Roman"/>
      <w:kern w:val="0"/>
      <w:sz w:val="18"/>
      <w:szCs w:val="18"/>
    </w:rPr>
  </w:style>
  <w:style w:type="character" w:customStyle="1" w:styleId="1135">
    <w:name w:val="Char Char1126"/>
    <w:semiHidden/>
    <w:qFormat/>
    <w:uiPriority w:val="0"/>
    <w:rPr>
      <w:rFonts w:ascii="Times New Roman" w:hAnsi="Times New Roman" w:eastAsia="宋体" w:cs="Times New Roman"/>
      <w:kern w:val="0"/>
      <w:sz w:val="24"/>
      <w:szCs w:val="24"/>
    </w:rPr>
  </w:style>
  <w:style w:type="character" w:customStyle="1" w:styleId="1136">
    <w:name w:val="标题 1 Char Char Char Char Char Char Char Char Char Char Char Char Char Char Char Char Char Char Char Char Char Char Char Char Char Char Char Char Char Char Char Char Char Char Char Char Char Char Char Char Char Char Char Char Char Char Char Char Char2"/>
    <w:qFormat/>
    <w:uiPriority w:val="0"/>
    <w:rPr>
      <w:rFonts w:ascii="黑体" w:hAnsi="Arial Unicode MS" w:eastAsia="黑体"/>
      <w:kern w:val="44"/>
      <w:sz w:val="28"/>
      <w:szCs w:val="28"/>
      <w:lang w:val="en-US" w:eastAsia="zh-CN" w:bidi="ar-SA"/>
    </w:rPr>
  </w:style>
  <w:style w:type="paragraph" w:customStyle="1" w:styleId="1137">
    <w:name w:val="正文3"/>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paragraph" w:customStyle="1" w:styleId="1138">
    <w:name w:val="Char95"/>
    <w:basedOn w:val="1"/>
    <w:qFormat/>
    <w:uiPriority w:val="0"/>
    <w:rPr>
      <w:szCs w:val="21"/>
    </w:rPr>
  </w:style>
  <w:style w:type="character" w:customStyle="1" w:styleId="1139">
    <w:name w:val="unnamed3"/>
    <w:qFormat/>
    <w:uiPriority w:val="0"/>
  </w:style>
  <w:style w:type="paragraph" w:customStyle="1" w:styleId="1140">
    <w:name w:val="已访问的超链接1"/>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141">
    <w:name w:val="表头编号 Char Char Char Char"/>
    <w:link w:val="1142"/>
    <w:qFormat/>
    <w:uiPriority w:val="0"/>
    <w:rPr>
      <w:b/>
      <w:color w:val="000000"/>
      <w:spacing w:val="-2"/>
    </w:rPr>
  </w:style>
  <w:style w:type="paragraph" w:customStyle="1" w:styleId="1142">
    <w:name w:val="表头编号 Char"/>
    <w:basedOn w:val="1"/>
    <w:link w:val="1141"/>
    <w:qFormat/>
    <w:uiPriority w:val="0"/>
    <w:pPr>
      <w:snapToGrid w:val="0"/>
      <w:spacing w:line="240" w:lineRule="atLeast"/>
      <w:ind w:left="498" w:hanging="498" w:hangingChars="200"/>
      <w:jc w:val="right"/>
    </w:pPr>
    <w:rPr>
      <w:b/>
      <w:color w:val="000000"/>
      <w:spacing w:val="-2"/>
      <w:kern w:val="0"/>
      <w:sz w:val="20"/>
      <w:szCs w:val="20"/>
    </w:rPr>
  </w:style>
  <w:style w:type="character" w:customStyle="1" w:styleId="1143">
    <w:name w:val="题注 Char513"/>
    <w:qFormat/>
    <w:uiPriority w:val="0"/>
    <w:rPr>
      <w:rFonts w:ascii="黑体" w:hAnsi="Arial" w:eastAsia="黑体" w:cs="Arial"/>
      <w:b/>
    </w:rPr>
  </w:style>
  <w:style w:type="character" w:customStyle="1" w:styleId="1144">
    <w:name w:val="Char Char55"/>
    <w:qFormat/>
    <w:uiPriority w:val="0"/>
    <w:rPr>
      <w:rFonts w:ascii="黑体" w:hAnsi="宋体" w:eastAsia="黑体"/>
      <w:bCs/>
      <w:kern w:val="2"/>
      <w:sz w:val="28"/>
      <w:szCs w:val="28"/>
      <w:lang w:val="en-US" w:eastAsia="zh-CN" w:bidi="ar-SA"/>
    </w:rPr>
  </w:style>
  <w:style w:type="character" w:customStyle="1" w:styleId="1145">
    <w:name w:val="Char Char512"/>
    <w:qFormat/>
    <w:uiPriority w:val="0"/>
    <w:rPr>
      <w:rFonts w:ascii="黑体" w:hAnsi="宋体" w:eastAsia="黑体"/>
      <w:bCs/>
      <w:kern w:val="2"/>
      <w:sz w:val="28"/>
      <w:szCs w:val="28"/>
      <w:lang w:val="en-US" w:eastAsia="zh-CN" w:bidi="ar-SA"/>
    </w:rPr>
  </w:style>
  <w:style w:type="character" w:customStyle="1" w:styleId="1146">
    <w:name w:val="图表题 Char1"/>
    <w:qFormat/>
    <w:uiPriority w:val="0"/>
    <w:rPr>
      <w:rFonts w:ascii="黑体" w:hAnsi="宋体" w:eastAsia="黑体" w:cs="宋体"/>
      <w:b/>
      <w:bCs/>
      <w:kern w:val="2"/>
      <w:sz w:val="24"/>
      <w:szCs w:val="24"/>
      <w:lang w:val="en-US" w:eastAsia="zh-CN" w:bidi="ar-SA"/>
    </w:rPr>
  </w:style>
  <w:style w:type="character" w:customStyle="1" w:styleId="1147">
    <w:name w:val="Char Char42"/>
    <w:qFormat/>
    <w:uiPriority w:val="0"/>
    <w:rPr>
      <w:rFonts w:ascii="黑体" w:hAnsi="Arial" w:eastAsia="黑体"/>
      <w:b/>
      <w:bCs/>
      <w:kern w:val="2"/>
      <w:sz w:val="30"/>
      <w:szCs w:val="30"/>
      <w:lang w:val="en-US" w:eastAsia="zh-CN" w:bidi="ar-SA"/>
    </w:rPr>
  </w:style>
  <w:style w:type="character" w:customStyle="1" w:styleId="1148">
    <w:name w:val="Char Char623"/>
    <w:qFormat/>
    <w:uiPriority w:val="0"/>
    <w:rPr>
      <w:rFonts w:ascii="黑体" w:eastAsia="黑体"/>
      <w:b/>
      <w:bCs/>
      <w:kern w:val="2"/>
      <w:sz w:val="28"/>
      <w:szCs w:val="28"/>
      <w:lang w:val="en-US" w:eastAsia="zh-CN" w:bidi="ar-SA"/>
    </w:rPr>
  </w:style>
  <w:style w:type="character" w:customStyle="1" w:styleId="1149">
    <w:name w:val="纯文本 Char11"/>
    <w:qFormat/>
    <w:uiPriority w:val="0"/>
    <w:rPr>
      <w:rFonts w:ascii="宋体" w:hAnsi="Courier New" w:eastAsia="宋体" w:cs="Courier New"/>
      <w:kern w:val="2"/>
      <w:sz w:val="21"/>
      <w:szCs w:val="21"/>
      <w:lang w:val="en-US" w:eastAsia="zh-CN" w:bidi="ar-SA"/>
    </w:rPr>
  </w:style>
  <w:style w:type="character" w:customStyle="1" w:styleId="1150">
    <w:name w:val="表内5 Char4"/>
    <w:qFormat/>
    <w:uiPriority w:val="0"/>
    <w:rPr>
      <w:rFonts w:ascii="宋体" w:hAnsi="宋体" w:eastAsia="宋体" w:cs="Times New Roman"/>
      <w:kern w:val="2"/>
      <w:sz w:val="24"/>
      <w:szCs w:val="21"/>
      <w:lang w:val="en-US" w:eastAsia="zh-CN" w:bidi="ar-SA"/>
    </w:rPr>
  </w:style>
  <w:style w:type="character" w:customStyle="1" w:styleId="1151">
    <w:name w:val="段1 Char"/>
    <w:qFormat/>
    <w:uiPriority w:val="0"/>
    <w:rPr>
      <w:rFonts w:ascii="仿宋_GB2312" w:eastAsia="仿宋_GB2312"/>
      <w:kern w:val="2"/>
      <w:sz w:val="28"/>
      <w:szCs w:val="24"/>
      <w:lang w:val="en-US" w:eastAsia="zh-CN" w:bidi="ar-SA"/>
    </w:rPr>
  </w:style>
  <w:style w:type="character" w:customStyle="1" w:styleId="1152">
    <w:name w:val="Char Char1110"/>
    <w:qFormat/>
    <w:uiPriority w:val="0"/>
    <w:rPr>
      <w:rFonts w:ascii="黑体" w:hAnsi="Arial" w:eastAsia="黑体"/>
      <w:bCs/>
      <w:kern w:val="2"/>
      <w:sz w:val="30"/>
      <w:szCs w:val="30"/>
      <w:lang w:val="en-US" w:eastAsia="zh-CN" w:bidi="ar-SA"/>
    </w:rPr>
  </w:style>
  <w:style w:type="character" w:customStyle="1" w:styleId="1153">
    <w:name w:val="Char Char419"/>
    <w:qFormat/>
    <w:uiPriority w:val="0"/>
    <w:rPr>
      <w:rFonts w:ascii="黑体" w:hAnsi="Arial" w:eastAsia="黑体"/>
      <w:b/>
      <w:bCs/>
      <w:kern w:val="2"/>
      <w:sz w:val="30"/>
      <w:szCs w:val="30"/>
      <w:lang w:val="en-US" w:eastAsia="zh-CN" w:bidi="ar-SA"/>
    </w:rPr>
  </w:style>
  <w:style w:type="character" w:customStyle="1" w:styleId="1154">
    <w:name w:val="批注框文本 Char2"/>
    <w:qFormat/>
    <w:uiPriority w:val="0"/>
    <w:rPr>
      <w:rFonts w:eastAsia="宋体"/>
      <w:kern w:val="2"/>
      <w:sz w:val="18"/>
      <w:szCs w:val="18"/>
      <w:lang w:val="en-US" w:eastAsia="zh-CN" w:bidi="ar-SA"/>
    </w:rPr>
  </w:style>
  <w:style w:type="character" w:customStyle="1" w:styleId="1155">
    <w:name w:val="图表题 Char Char"/>
    <w:qFormat/>
    <w:uiPriority w:val="0"/>
    <w:rPr>
      <w:rFonts w:ascii="黑体" w:hAnsi="宋体" w:eastAsia="黑体"/>
      <w:b/>
      <w:bCs/>
      <w:kern w:val="2"/>
      <w:sz w:val="24"/>
      <w:szCs w:val="24"/>
    </w:rPr>
  </w:style>
  <w:style w:type="character" w:customStyle="1" w:styleId="1156">
    <w:name w:val="正文斜体 Char12"/>
    <w:qFormat/>
    <w:uiPriority w:val="0"/>
    <w:rPr>
      <w:rFonts w:ascii="宋体" w:hAnsi="宋体" w:eastAsia="宋体" w:cs="Times New Roman"/>
      <w:i/>
      <w:iCs/>
      <w:kern w:val="2"/>
      <w:sz w:val="24"/>
      <w:szCs w:val="24"/>
      <w:lang w:val="en-US" w:eastAsia="zh-CN" w:bidi="ar-SA"/>
    </w:rPr>
  </w:style>
  <w:style w:type="character" w:customStyle="1" w:styleId="1157">
    <w:name w:val="Char Char622"/>
    <w:qFormat/>
    <w:uiPriority w:val="0"/>
    <w:rPr>
      <w:rFonts w:ascii="黑体" w:eastAsia="黑体"/>
      <w:b/>
      <w:bCs/>
      <w:kern w:val="2"/>
      <w:sz w:val="28"/>
      <w:szCs w:val="28"/>
      <w:lang w:val="en-US" w:eastAsia="zh-CN" w:bidi="ar-SA"/>
    </w:rPr>
  </w:style>
  <w:style w:type="character" w:customStyle="1" w:styleId="1158">
    <w:name w:val="表题1 Char63"/>
    <w:qFormat/>
    <w:uiPriority w:val="0"/>
    <w:rPr>
      <w:rFonts w:ascii="黑体" w:hAnsi="Arial" w:eastAsia="黑体" w:cs="Arial"/>
      <w:b/>
      <w:kern w:val="2"/>
      <w:sz w:val="24"/>
      <w:szCs w:val="24"/>
      <w:lang w:val="en-US" w:eastAsia="zh-CN" w:bidi="ar-SA"/>
    </w:rPr>
  </w:style>
  <w:style w:type="character" w:customStyle="1" w:styleId="1159">
    <w:name w:val="正文修改 Char1413"/>
    <w:qFormat/>
    <w:uiPriority w:val="0"/>
  </w:style>
  <w:style w:type="character" w:customStyle="1" w:styleId="1160">
    <w:name w:val="燕山正文 Char1"/>
    <w:link w:val="1161"/>
    <w:qFormat/>
    <w:uiPriority w:val="0"/>
    <w:rPr>
      <w:rFonts w:ascii="宋体"/>
      <w:sz w:val="24"/>
      <w:szCs w:val="24"/>
    </w:rPr>
  </w:style>
  <w:style w:type="paragraph" w:customStyle="1" w:styleId="1161">
    <w:name w:val="燕山正文"/>
    <w:basedOn w:val="1"/>
    <w:link w:val="1160"/>
    <w:qFormat/>
    <w:uiPriority w:val="0"/>
    <w:pPr>
      <w:tabs>
        <w:tab w:val="left" w:pos="4680"/>
      </w:tabs>
      <w:adjustRightInd w:val="0"/>
      <w:snapToGrid w:val="0"/>
      <w:spacing w:line="480" w:lineRule="exact"/>
    </w:pPr>
    <w:rPr>
      <w:rFonts w:ascii="宋体"/>
      <w:kern w:val="0"/>
      <w:sz w:val="24"/>
    </w:rPr>
  </w:style>
  <w:style w:type="character" w:customStyle="1" w:styleId="1162">
    <w:name w:val="样式 标题 3 + 黑体 小四 左侧:  0.86 厘米 首行缩进:  0 厘米 Char Char Char Char Char Char Char"/>
    <w:link w:val="1163"/>
    <w:qFormat/>
    <w:uiPriority w:val="0"/>
    <w:rPr>
      <w:rFonts w:ascii="黑体" w:eastAsia="黑体"/>
      <w:b/>
      <w:bCs/>
      <w:color w:val="000000"/>
      <w:sz w:val="24"/>
      <w:szCs w:val="24"/>
      <w:lang w:val="en-GB"/>
    </w:rPr>
  </w:style>
  <w:style w:type="paragraph" w:customStyle="1" w:styleId="1163">
    <w:name w:val="样式 标题 3 + 黑体 小四 左侧:  0.86 厘米 首行缩进:  0 厘米 Char"/>
    <w:basedOn w:val="4"/>
    <w:link w:val="1162"/>
    <w:qFormat/>
    <w:uiPriority w:val="0"/>
    <w:pPr>
      <w:keepLines w:val="0"/>
      <w:tabs>
        <w:tab w:val="left" w:pos="233"/>
      </w:tabs>
      <w:spacing w:before="0" w:after="0" w:line="360" w:lineRule="auto"/>
      <w:ind w:left="233"/>
      <w:jc w:val="left"/>
    </w:pPr>
    <w:rPr>
      <w:rFonts w:ascii="黑体" w:eastAsia="黑体"/>
      <w:color w:val="000000"/>
      <w:kern w:val="0"/>
      <w:sz w:val="24"/>
      <w:szCs w:val="24"/>
      <w:lang w:val="en-GB"/>
    </w:rPr>
  </w:style>
  <w:style w:type="character" w:customStyle="1" w:styleId="1164">
    <w:name w:val="infodetail1"/>
    <w:qFormat/>
    <w:uiPriority w:val="0"/>
    <w:rPr>
      <w:rFonts w:hint="default" w:ascii="ˎ̥" w:hAnsi="ˎ̥"/>
      <w:color w:val="000000"/>
      <w:sz w:val="22"/>
      <w:szCs w:val="22"/>
      <w:u w:val="none"/>
    </w:rPr>
  </w:style>
  <w:style w:type="character" w:customStyle="1" w:styleId="1165">
    <w:name w:val="标题 2 Char5"/>
    <w:qFormat/>
    <w:uiPriority w:val="0"/>
    <w:rPr>
      <w:rFonts w:ascii="黑体" w:hAnsi="Arial" w:eastAsia="黑体"/>
      <w:bCs/>
      <w:kern w:val="2"/>
      <w:sz w:val="30"/>
      <w:szCs w:val="30"/>
      <w:lang w:val="en-US" w:eastAsia="zh-CN" w:bidi="ar-SA"/>
    </w:rPr>
  </w:style>
  <w:style w:type="character" w:customStyle="1" w:styleId="1166">
    <w:name w:val="正文修改 Char1311"/>
    <w:qFormat/>
    <w:uiPriority w:val="0"/>
    <w:rPr>
      <w:rFonts w:ascii="宋体" w:hAnsi="宋体" w:eastAsia="宋体" w:cs="宋体"/>
      <w:color w:val="000000"/>
      <w:kern w:val="2"/>
      <w:sz w:val="24"/>
      <w:szCs w:val="24"/>
      <w:lang w:val="en-US" w:eastAsia="zh-CN" w:bidi="ar-SA"/>
    </w:rPr>
  </w:style>
  <w:style w:type="character" w:customStyle="1" w:styleId="1167">
    <w:name w:val="题注 Char511"/>
    <w:qFormat/>
    <w:uiPriority w:val="0"/>
    <w:rPr>
      <w:rFonts w:ascii="黑体" w:hAnsi="Arial" w:eastAsia="黑体" w:cs="Arial"/>
      <w:b/>
      <w:kern w:val="2"/>
      <w:sz w:val="24"/>
      <w:szCs w:val="24"/>
      <w:lang w:val="en-US" w:eastAsia="zh-CN" w:bidi="ar-SA"/>
    </w:rPr>
  </w:style>
  <w:style w:type="character" w:customStyle="1" w:styleId="1168">
    <w:name w:val="Char Char415"/>
    <w:qFormat/>
    <w:uiPriority w:val="0"/>
    <w:rPr>
      <w:rFonts w:ascii="黑体" w:hAnsi="Arial" w:eastAsia="黑体"/>
      <w:b/>
      <w:bCs/>
      <w:kern w:val="2"/>
      <w:sz w:val="30"/>
      <w:szCs w:val="30"/>
      <w:lang w:val="en-US" w:eastAsia="zh-CN" w:bidi="ar-SA"/>
    </w:rPr>
  </w:style>
  <w:style w:type="character" w:customStyle="1" w:styleId="1169">
    <w:name w:val="p141"/>
    <w:qFormat/>
    <w:uiPriority w:val="0"/>
    <w:rPr>
      <w:rFonts w:eastAsia="宋体"/>
      <w:kern w:val="2"/>
      <w:sz w:val="23"/>
      <w:szCs w:val="23"/>
      <w:u w:val="none"/>
      <w:lang w:val="en-US" w:eastAsia="zh-CN" w:bidi="ar-SA"/>
    </w:rPr>
  </w:style>
  <w:style w:type="character" w:customStyle="1" w:styleId="1170">
    <w:name w:val="批注框文本2 Char2"/>
    <w:qFormat/>
    <w:uiPriority w:val="0"/>
    <w:rPr>
      <w:rFonts w:eastAsia="宋体"/>
      <w:kern w:val="2"/>
      <w:sz w:val="18"/>
      <w:szCs w:val="18"/>
      <w:lang w:val="en-US" w:eastAsia="zh-CN" w:bidi="ar-SA"/>
    </w:rPr>
  </w:style>
  <w:style w:type="character" w:customStyle="1" w:styleId="1171">
    <w:name w:val="正文文本缩进 3 Char5"/>
    <w:qFormat/>
    <w:uiPriority w:val="0"/>
    <w:rPr>
      <w:rFonts w:ascii="Times New Roman" w:hAnsi="Times New Roman" w:eastAsia="宋体" w:cs="Times New Roman"/>
      <w:kern w:val="2"/>
      <w:sz w:val="16"/>
      <w:szCs w:val="16"/>
      <w:lang w:val="en-US" w:eastAsia="zh-CN" w:bidi="ar-SA"/>
    </w:rPr>
  </w:style>
  <w:style w:type="character" w:customStyle="1" w:styleId="1172">
    <w:name w:val="标题正文黑 Char11"/>
    <w:qFormat/>
    <w:uiPriority w:val="0"/>
    <w:rPr>
      <w:rFonts w:ascii="黑体" w:eastAsia="黑体"/>
      <w:kern w:val="2"/>
      <w:sz w:val="28"/>
      <w:szCs w:val="28"/>
      <w:lang w:val="en-US" w:eastAsia="zh-CN" w:bidi="ar-SA"/>
    </w:rPr>
  </w:style>
  <w:style w:type="character" w:customStyle="1" w:styleId="1173">
    <w:name w:val="批注框文本 Char11"/>
    <w:qFormat/>
    <w:uiPriority w:val="0"/>
    <w:rPr>
      <w:rFonts w:eastAsia="宋体"/>
      <w:kern w:val="2"/>
      <w:sz w:val="18"/>
      <w:szCs w:val="18"/>
      <w:lang w:val="en-US" w:eastAsia="zh-CN" w:bidi="ar-SA"/>
    </w:rPr>
  </w:style>
  <w:style w:type="character" w:customStyle="1" w:styleId="1174">
    <w:name w:val="表格内容 Char Char Char"/>
    <w:link w:val="539"/>
    <w:qFormat/>
    <w:uiPriority w:val="0"/>
    <w:rPr>
      <w:rFonts w:ascii="Arial" w:hAnsi="Arial" w:eastAsia="仿宋_GB2312"/>
      <w:sz w:val="24"/>
    </w:rPr>
  </w:style>
  <w:style w:type="character" w:customStyle="1" w:styleId="1175">
    <w:name w:val="样式 报告 + Times New Roman Char Char1"/>
    <w:qFormat/>
    <w:uiPriority w:val="0"/>
    <w:rPr>
      <w:rFonts w:eastAsia="宋体"/>
      <w:kern w:val="2"/>
      <w:sz w:val="28"/>
      <w:szCs w:val="28"/>
      <w:lang w:val="en-US" w:eastAsia="zh-CN" w:bidi="ar-SA"/>
    </w:rPr>
  </w:style>
  <w:style w:type="character" w:customStyle="1" w:styleId="1176">
    <w:name w:val="环表头 Char Char"/>
    <w:link w:val="962"/>
    <w:qFormat/>
    <w:uiPriority w:val="0"/>
    <w:rPr>
      <w:rFonts w:ascii="仿宋_GB2312" w:hAnsi="宋体" w:eastAsia="仿宋_GB2312"/>
      <w:b/>
      <w:sz w:val="21"/>
      <w:szCs w:val="21"/>
    </w:rPr>
  </w:style>
  <w:style w:type="character" w:customStyle="1" w:styleId="1177">
    <w:name w:val="Char Char48"/>
    <w:qFormat/>
    <w:uiPriority w:val="0"/>
    <w:rPr>
      <w:rFonts w:ascii="黑体" w:hAnsi="Arial" w:eastAsia="黑体"/>
      <w:b/>
      <w:bCs/>
      <w:kern w:val="2"/>
      <w:sz w:val="30"/>
      <w:szCs w:val="30"/>
      <w:lang w:val="en-US" w:eastAsia="zh-CN" w:bidi="ar-SA"/>
    </w:rPr>
  </w:style>
  <w:style w:type="character" w:customStyle="1" w:styleId="1178">
    <w:name w:val="Char Char2112"/>
    <w:qFormat/>
    <w:uiPriority w:val="0"/>
    <w:rPr>
      <w:rFonts w:ascii="黑体" w:eastAsia="宋体"/>
      <w:kern w:val="2"/>
      <w:sz w:val="16"/>
      <w:szCs w:val="16"/>
      <w:lang w:val="en-US" w:eastAsia="zh-CN" w:bidi="ar-SA"/>
    </w:rPr>
  </w:style>
  <w:style w:type="character" w:customStyle="1" w:styleId="1179">
    <w:name w:val="小五 Char Char Char Char"/>
    <w:qFormat/>
    <w:uiPriority w:val="0"/>
    <w:rPr>
      <w:rFonts w:ascii="宋体" w:hAnsi="宋体"/>
      <w:kern w:val="2"/>
      <w:sz w:val="21"/>
      <w:szCs w:val="21"/>
      <w:lang w:val="en-US" w:eastAsia="zh-CN" w:bidi="ar-SA"/>
    </w:rPr>
  </w:style>
  <w:style w:type="character" w:customStyle="1" w:styleId="1180">
    <w:name w:val="样式 正文缩进 + 宋体 黑色 Char1"/>
    <w:qFormat/>
    <w:uiPriority w:val="0"/>
    <w:rPr>
      <w:rFonts w:ascii="宋体" w:hAnsi="宋体" w:eastAsia="宋体"/>
      <w:color w:val="000000"/>
      <w:kern w:val="2"/>
      <w:sz w:val="24"/>
      <w:szCs w:val="24"/>
      <w:lang w:val="en-US" w:eastAsia="zh-CN" w:bidi="ar-SA"/>
    </w:rPr>
  </w:style>
  <w:style w:type="character" w:customStyle="1" w:styleId="1181">
    <w:name w:val="题注 Char111"/>
    <w:qFormat/>
    <w:uiPriority w:val="0"/>
    <w:rPr>
      <w:rFonts w:ascii="黑体" w:hAnsi="Arial" w:eastAsia="黑体" w:cs="Arial"/>
      <w:b/>
      <w:kern w:val="2"/>
      <w:sz w:val="24"/>
      <w:szCs w:val="24"/>
      <w:lang w:val="en-US" w:eastAsia="zh-CN" w:bidi="ar-SA"/>
    </w:rPr>
  </w:style>
  <w:style w:type="character" w:customStyle="1" w:styleId="1182">
    <w:name w:val="题注 Char31"/>
    <w:qFormat/>
    <w:uiPriority w:val="0"/>
    <w:rPr>
      <w:rFonts w:ascii="黑体" w:hAnsi="Arial" w:eastAsia="黑体" w:cs="Arial"/>
      <w:b/>
      <w:kern w:val="2"/>
      <w:sz w:val="24"/>
      <w:szCs w:val="24"/>
      <w:lang w:val="en-US" w:eastAsia="zh-CN" w:bidi="ar-SA"/>
    </w:rPr>
  </w:style>
  <w:style w:type="character" w:customStyle="1" w:styleId="1183">
    <w:name w:val="wz14"/>
    <w:qFormat/>
    <w:uiPriority w:val="0"/>
  </w:style>
  <w:style w:type="character" w:customStyle="1" w:styleId="1184">
    <w:name w:val="Char Char128"/>
    <w:qFormat/>
    <w:uiPriority w:val="0"/>
    <w:rPr>
      <w:rFonts w:ascii="黑体" w:hAnsi="Arial" w:eastAsia="黑体"/>
      <w:b/>
      <w:bCs/>
      <w:kern w:val="2"/>
      <w:sz w:val="30"/>
      <w:szCs w:val="30"/>
      <w:lang w:val="en-US" w:eastAsia="zh-CN" w:bidi="ar-SA"/>
    </w:rPr>
  </w:style>
  <w:style w:type="character" w:customStyle="1" w:styleId="1185">
    <w:name w:val="rightsubhead1"/>
    <w:qFormat/>
    <w:uiPriority w:val="0"/>
    <w:rPr>
      <w:rFonts w:hint="default" w:ascii="Arial" w:hAnsi="Arial" w:cs="Arial"/>
      <w:color w:val="333333"/>
      <w:sz w:val="20"/>
      <w:szCs w:val="20"/>
    </w:rPr>
  </w:style>
  <w:style w:type="character" w:customStyle="1" w:styleId="1186">
    <w:name w:val="正文缩进 Char41"/>
    <w:qFormat/>
    <w:uiPriority w:val="0"/>
    <w:rPr>
      <w:rFonts w:ascii="宋体" w:hAnsi="宋体" w:eastAsia="宋体" w:cs="宋体"/>
      <w:color w:val="000000"/>
      <w:kern w:val="2"/>
      <w:sz w:val="24"/>
      <w:szCs w:val="24"/>
      <w:lang w:val="en-US" w:eastAsia="zh-CN" w:bidi="ar-SA"/>
    </w:rPr>
  </w:style>
  <w:style w:type="character" w:customStyle="1" w:styleId="1187">
    <w:name w:val="正文2 Char"/>
    <w:qFormat/>
    <w:uiPriority w:val="0"/>
    <w:rPr>
      <w:rFonts w:eastAsia="宋体"/>
      <w:color w:val="000000"/>
      <w:kern w:val="2"/>
      <w:sz w:val="28"/>
      <w:szCs w:val="24"/>
      <w:lang w:val="en-US" w:eastAsia="zh-CN" w:bidi="ar-SA"/>
    </w:rPr>
  </w:style>
  <w:style w:type="character" w:customStyle="1" w:styleId="1188">
    <w:name w:val="表题1 Char43"/>
    <w:qFormat/>
    <w:uiPriority w:val="0"/>
    <w:rPr>
      <w:rFonts w:ascii="黑体" w:hAnsi="Arial" w:eastAsia="黑体" w:cs="Arial"/>
      <w:b/>
      <w:kern w:val="2"/>
      <w:sz w:val="24"/>
      <w:szCs w:val="24"/>
      <w:lang w:val="en-US" w:eastAsia="zh-CN" w:bidi="ar-SA"/>
    </w:rPr>
  </w:style>
  <w:style w:type="character" w:customStyle="1" w:styleId="1189">
    <w:name w:val="p9l1"/>
    <w:qFormat/>
    <w:uiPriority w:val="0"/>
    <w:rPr>
      <w:sz w:val="18"/>
      <w:szCs w:val="18"/>
      <w:u w:val="none"/>
    </w:rPr>
  </w:style>
  <w:style w:type="character" w:customStyle="1" w:styleId="1190">
    <w:name w:val="Char Char1111"/>
    <w:qFormat/>
    <w:uiPriority w:val="0"/>
    <w:rPr>
      <w:rFonts w:ascii="黑体" w:hAnsi="Arial" w:eastAsia="黑体"/>
      <w:bCs/>
      <w:kern w:val="2"/>
      <w:sz w:val="30"/>
      <w:szCs w:val="30"/>
      <w:lang w:val="en-US" w:eastAsia="zh-CN" w:bidi="ar-SA"/>
    </w:rPr>
  </w:style>
  <w:style w:type="character" w:customStyle="1" w:styleId="1191">
    <w:name w:val="edri-A title Char1 Char Char"/>
    <w:qFormat/>
    <w:uiPriority w:val="0"/>
    <w:rPr>
      <w:rFonts w:eastAsia="宋体" w:cs="CommercialPi BT"/>
      <w:bCs/>
      <w:sz w:val="24"/>
      <w:szCs w:val="24"/>
      <w:lang w:val="en-US" w:eastAsia="zh-CN" w:bidi="ar-SA"/>
    </w:rPr>
  </w:style>
  <w:style w:type="character" w:customStyle="1" w:styleId="1192">
    <w:name w:val="正文缩进 Char7"/>
    <w:qFormat/>
    <w:uiPriority w:val="0"/>
    <w:rPr>
      <w:rFonts w:ascii="宋体" w:hAnsi="宋体" w:eastAsia="宋体"/>
      <w:kern w:val="2"/>
      <w:sz w:val="24"/>
      <w:szCs w:val="24"/>
      <w:lang w:val="en-US" w:eastAsia="zh-CN" w:bidi="ar-SA"/>
    </w:rPr>
  </w:style>
  <w:style w:type="character" w:customStyle="1" w:styleId="1193">
    <w:name w:val="Char Char1214"/>
    <w:qFormat/>
    <w:uiPriority w:val="0"/>
    <w:rPr>
      <w:rFonts w:ascii="黑体" w:hAnsi="Arial" w:eastAsia="黑体"/>
      <w:b/>
      <w:bCs/>
      <w:kern w:val="2"/>
      <w:sz w:val="30"/>
      <w:szCs w:val="30"/>
      <w:lang w:val="en-US" w:eastAsia="zh-CN" w:bidi="ar-SA"/>
    </w:rPr>
  </w:style>
  <w:style w:type="character" w:customStyle="1" w:styleId="1194">
    <w:name w:val="Char Char311"/>
    <w:qFormat/>
    <w:uiPriority w:val="0"/>
    <w:rPr>
      <w:rFonts w:ascii="黑体" w:hAnsi="宋体" w:eastAsia="黑体"/>
      <w:b/>
      <w:bCs/>
      <w:kern w:val="2"/>
      <w:sz w:val="28"/>
      <w:szCs w:val="28"/>
      <w:lang w:val="en-US" w:eastAsia="zh-CN" w:bidi="ar-SA"/>
    </w:rPr>
  </w:style>
  <w:style w:type="character" w:customStyle="1" w:styleId="1195">
    <w:name w:val="第三层条 Char3"/>
    <w:qFormat/>
    <w:uiPriority w:val="0"/>
    <w:rPr>
      <w:rFonts w:eastAsia="宋体"/>
      <w:spacing w:val="5"/>
      <w:kern w:val="2"/>
      <w:sz w:val="28"/>
      <w:lang w:val="en-US" w:eastAsia="zh-CN" w:bidi="ar-SA"/>
    </w:rPr>
  </w:style>
  <w:style w:type="character" w:customStyle="1" w:styleId="1196">
    <w:name w:val="表题 Char41"/>
    <w:qFormat/>
    <w:uiPriority w:val="0"/>
    <w:rPr>
      <w:rFonts w:ascii="黑体" w:hAnsi="Arial" w:eastAsia="黑体" w:cs="Arial"/>
      <w:b/>
      <w:kern w:val="2"/>
      <w:sz w:val="24"/>
      <w:szCs w:val="24"/>
      <w:lang w:val="en-US" w:eastAsia="zh-CN" w:bidi="ar-SA"/>
    </w:rPr>
  </w:style>
  <w:style w:type="character" w:customStyle="1" w:styleId="1197">
    <w:name w:val="postbody1"/>
    <w:qFormat/>
    <w:uiPriority w:val="0"/>
    <w:rPr>
      <w:rFonts w:ascii="黑体" w:hAnsi="Arial" w:eastAsia="华文中宋" w:cs="宋体"/>
      <w:kern w:val="2"/>
      <w:sz w:val="18"/>
      <w:szCs w:val="18"/>
      <w:lang w:val="en-US" w:eastAsia="zh-CN" w:bidi="ar-SA"/>
    </w:rPr>
  </w:style>
  <w:style w:type="character" w:customStyle="1" w:styleId="1198">
    <w:name w:val="test1"/>
    <w:qFormat/>
    <w:uiPriority w:val="0"/>
    <w:rPr>
      <w:rFonts w:hint="default" w:ascii="ˎ̥" w:hAnsi="ˎ̥"/>
      <w:color w:val="000000"/>
      <w:sz w:val="23"/>
      <w:szCs w:val="23"/>
      <w:u w:val="none"/>
    </w:rPr>
  </w:style>
  <w:style w:type="character" w:customStyle="1" w:styleId="1199">
    <w:name w:val="a51"/>
    <w:qFormat/>
    <w:uiPriority w:val="0"/>
    <w:rPr>
      <w:color w:val="000000"/>
      <w:sz w:val="21"/>
      <w:szCs w:val="21"/>
      <w:u w:val="none"/>
    </w:rPr>
  </w:style>
  <w:style w:type="character" w:customStyle="1" w:styleId="1200">
    <w:name w:val="表中文字 Char27"/>
    <w:qFormat/>
    <w:uiPriority w:val="0"/>
    <w:rPr>
      <w:rFonts w:ascii="宋体" w:hAnsi="Times New Roman" w:eastAsia="宋体" w:cs="Times New Roman"/>
      <w:kern w:val="0"/>
      <w:sz w:val="24"/>
      <w:szCs w:val="21"/>
      <w:lang w:val="en-US" w:eastAsia="zh-CN" w:bidi="ar-SA"/>
    </w:rPr>
  </w:style>
  <w:style w:type="character" w:customStyle="1" w:styleId="1201">
    <w:name w:val="正文格式 Char9"/>
    <w:qFormat/>
    <w:uiPriority w:val="0"/>
    <w:rPr>
      <w:rFonts w:ascii="宋体" w:hAnsi="宋体" w:eastAsia="宋体"/>
      <w:kern w:val="2"/>
      <w:sz w:val="24"/>
      <w:szCs w:val="24"/>
      <w:lang w:val="en-US" w:eastAsia="zh-CN" w:bidi="ar-SA"/>
    </w:rPr>
  </w:style>
  <w:style w:type="character" w:customStyle="1" w:styleId="1202">
    <w:name w:val="标题 5 Char2"/>
    <w:qFormat/>
    <w:uiPriority w:val="0"/>
    <w:rPr>
      <w:rFonts w:ascii="Times New Roman" w:hAnsi="Times New Roman" w:eastAsia="宋体" w:cs="Times New Roman"/>
      <w:b/>
      <w:bCs/>
      <w:kern w:val="2"/>
      <w:sz w:val="28"/>
      <w:szCs w:val="28"/>
      <w:lang w:val="en-US" w:eastAsia="zh-CN" w:bidi="ar-SA"/>
    </w:rPr>
  </w:style>
  <w:style w:type="character" w:customStyle="1" w:styleId="1203">
    <w:name w:val="h Char Char"/>
    <w:qFormat/>
    <w:uiPriority w:val="0"/>
    <w:rPr>
      <w:rFonts w:eastAsia="宋体"/>
      <w:kern w:val="2"/>
      <w:sz w:val="18"/>
      <w:szCs w:val="18"/>
      <w:lang w:val="en-US" w:eastAsia="zh-CN" w:bidi="ar-SA"/>
    </w:rPr>
  </w:style>
  <w:style w:type="character" w:customStyle="1" w:styleId="1204">
    <w:name w:val="f14b1"/>
    <w:qFormat/>
    <w:uiPriority w:val="0"/>
    <w:rPr>
      <w:b/>
      <w:bCs/>
      <w:sz w:val="21"/>
      <w:szCs w:val="21"/>
    </w:rPr>
  </w:style>
  <w:style w:type="character" w:customStyle="1" w:styleId="1205">
    <w:name w:val="Char Char1217"/>
    <w:qFormat/>
    <w:uiPriority w:val="0"/>
    <w:rPr>
      <w:rFonts w:ascii="黑体" w:hAnsi="Arial" w:eastAsia="黑体"/>
      <w:b/>
      <w:bCs/>
      <w:kern w:val="2"/>
      <w:sz w:val="30"/>
      <w:szCs w:val="30"/>
      <w:lang w:val="en-US" w:eastAsia="zh-CN" w:bidi="ar-SA"/>
    </w:rPr>
  </w:style>
  <w:style w:type="character" w:customStyle="1" w:styleId="1206">
    <w:name w:val="标题 7 Char1"/>
    <w:qFormat/>
    <w:uiPriority w:val="0"/>
    <w:rPr>
      <w:rFonts w:eastAsia="宋体"/>
      <w:b/>
      <w:bCs/>
      <w:kern w:val="2"/>
      <w:sz w:val="24"/>
      <w:szCs w:val="24"/>
      <w:lang w:val="en-US" w:eastAsia="zh-CN" w:bidi="ar-SA"/>
    </w:rPr>
  </w:style>
  <w:style w:type="character" w:customStyle="1" w:styleId="1207">
    <w:name w:val="题注 Char11"/>
    <w:qFormat/>
    <w:uiPriority w:val="0"/>
    <w:rPr>
      <w:rFonts w:ascii="黑体" w:hAnsi="Arial" w:eastAsia="黑体" w:cs="Arial"/>
      <w:b/>
      <w:kern w:val="2"/>
      <w:sz w:val="24"/>
      <w:szCs w:val="24"/>
      <w:lang w:val="en-US" w:eastAsia="zh-CN" w:bidi="ar-SA"/>
    </w:rPr>
  </w:style>
  <w:style w:type="character" w:customStyle="1" w:styleId="1208">
    <w:name w:val="Char Char37"/>
    <w:qFormat/>
    <w:uiPriority w:val="0"/>
    <w:rPr>
      <w:rFonts w:ascii="黑体" w:hAnsi="宋体" w:eastAsia="黑体"/>
      <w:b/>
      <w:bCs/>
      <w:kern w:val="2"/>
      <w:sz w:val="28"/>
      <w:szCs w:val="28"/>
      <w:lang w:val="en-US" w:eastAsia="zh-CN" w:bidi="ar-SA"/>
    </w:rPr>
  </w:style>
  <w:style w:type="character" w:customStyle="1" w:styleId="1209">
    <w:name w:val="普通文字 Char34"/>
    <w:qFormat/>
    <w:uiPriority w:val="0"/>
    <w:rPr>
      <w:rFonts w:ascii="宋体" w:hAnsi="Courier New" w:eastAsia="宋体" w:cs="Courier New"/>
      <w:kern w:val="2"/>
      <w:sz w:val="21"/>
      <w:szCs w:val="21"/>
      <w:lang w:val="en-US" w:eastAsia="zh-CN" w:bidi="ar-SA"/>
    </w:rPr>
  </w:style>
  <w:style w:type="character" w:customStyle="1" w:styleId="1210">
    <w:name w:val="style201"/>
    <w:qFormat/>
    <w:uiPriority w:val="0"/>
    <w:rPr>
      <w:color w:val="000000"/>
      <w:sz w:val="24"/>
      <w:szCs w:val="24"/>
    </w:rPr>
  </w:style>
  <w:style w:type="character" w:customStyle="1" w:styleId="1211">
    <w:name w:val="图表题 Char2"/>
    <w:qFormat/>
    <w:uiPriority w:val="0"/>
    <w:rPr>
      <w:rFonts w:ascii="黑体" w:hAnsi="宋体" w:eastAsia="黑体" w:cs="宋体"/>
      <w:b/>
      <w:bCs/>
      <w:kern w:val="2"/>
      <w:sz w:val="24"/>
      <w:szCs w:val="24"/>
      <w:lang w:val="en-US" w:eastAsia="zh-CN" w:bidi="ar-SA"/>
    </w:rPr>
  </w:style>
  <w:style w:type="character" w:customStyle="1" w:styleId="1212">
    <w:name w:val="标题4 Char4"/>
    <w:qFormat/>
    <w:uiPriority w:val="0"/>
    <w:rPr>
      <w:rFonts w:ascii="黑体" w:hAnsi="Arial" w:eastAsia="黑体" w:cs="Times New Roman"/>
      <w:b/>
      <w:bCs/>
      <w:kern w:val="2"/>
      <w:sz w:val="24"/>
      <w:szCs w:val="28"/>
      <w:lang w:val="en-US" w:eastAsia="zh-CN" w:bidi="ar-SA"/>
    </w:rPr>
  </w:style>
  <w:style w:type="character" w:customStyle="1" w:styleId="1213">
    <w:name w:val="三级标题 Char"/>
    <w:link w:val="135"/>
    <w:qFormat/>
    <w:uiPriority w:val="0"/>
    <w:rPr>
      <w:b/>
      <w:bCs/>
      <w:sz w:val="24"/>
      <w:szCs w:val="24"/>
    </w:rPr>
  </w:style>
  <w:style w:type="character" w:customStyle="1" w:styleId="1214">
    <w:name w:val="题注 Char22"/>
    <w:qFormat/>
    <w:uiPriority w:val="0"/>
    <w:rPr>
      <w:rFonts w:ascii="黑体" w:hAnsi="Arial" w:eastAsia="黑体" w:cs="Arial"/>
      <w:b/>
      <w:kern w:val="2"/>
      <w:sz w:val="24"/>
      <w:szCs w:val="24"/>
      <w:lang w:val="en-US" w:eastAsia="zh-CN" w:bidi="ar-SA"/>
    </w:rPr>
  </w:style>
  <w:style w:type="character" w:customStyle="1" w:styleId="1215">
    <w:name w:val="ourfont31"/>
    <w:qFormat/>
    <w:uiPriority w:val="0"/>
    <w:rPr>
      <w:rFonts w:eastAsia="宋体"/>
      <w:spacing w:val="20"/>
      <w:kern w:val="2"/>
      <w:sz w:val="21"/>
      <w:szCs w:val="21"/>
      <w:lang w:val="en-US" w:eastAsia="zh-CN" w:bidi="ar-SA"/>
    </w:rPr>
  </w:style>
  <w:style w:type="character" w:customStyle="1" w:styleId="1216">
    <w:name w:val="题注 Char23"/>
    <w:qFormat/>
    <w:uiPriority w:val="0"/>
    <w:rPr>
      <w:rFonts w:ascii="黑体" w:hAnsi="Arial" w:eastAsia="黑体" w:cs="Arial"/>
      <w:b/>
      <w:kern w:val="2"/>
      <w:sz w:val="24"/>
      <w:szCs w:val="24"/>
      <w:lang w:val="en-US" w:eastAsia="zh-CN" w:bidi="ar-SA"/>
    </w:rPr>
  </w:style>
  <w:style w:type="character" w:customStyle="1" w:styleId="1217">
    <w:name w:val="Char Char1213"/>
    <w:qFormat/>
    <w:uiPriority w:val="0"/>
    <w:rPr>
      <w:rFonts w:ascii="黑体" w:hAnsi="Arial" w:eastAsia="黑体"/>
      <w:b/>
      <w:bCs/>
      <w:kern w:val="2"/>
      <w:sz w:val="30"/>
      <w:szCs w:val="30"/>
      <w:lang w:val="en-US" w:eastAsia="zh-CN" w:bidi="ar-SA"/>
    </w:rPr>
  </w:style>
  <w:style w:type="character" w:customStyle="1" w:styleId="1218">
    <w:name w:val="论文正文 Char Char"/>
    <w:qFormat/>
    <w:uiPriority w:val="0"/>
    <w:rPr>
      <w:rFonts w:ascii="宋体" w:hAnsi="宋体" w:eastAsia="宋体"/>
      <w:kern w:val="2"/>
      <w:sz w:val="21"/>
      <w:szCs w:val="21"/>
      <w:lang w:val="en-US" w:eastAsia="zh-CN" w:bidi="ar-SA"/>
    </w:rPr>
  </w:style>
  <w:style w:type="character" w:customStyle="1" w:styleId="1219">
    <w:name w:val="题2 Char Char"/>
    <w:link w:val="1220"/>
    <w:qFormat/>
    <w:uiPriority w:val="0"/>
    <w:rPr>
      <w:rFonts w:ascii="Arial" w:hAnsi="Arial"/>
      <w:b/>
      <w:bCs/>
      <w:sz w:val="30"/>
      <w:szCs w:val="30"/>
    </w:rPr>
  </w:style>
  <w:style w:type="paragraph" w:customStyle="1" w:styleId="1220">
    <w:name w:val="题2"/>
    <w:basedOn w:val="83"/>
    <w:link w:val="1219"/>
    <w:qFormat/>
    <w:uiPriority w:val="0"/>
    <w:pPr>
      <w:adjustRightInd w:val="0"/>
      <w:snapToGrid w:val="0"/>
      <w:spacing w:before="120" w:after="120" w:line="360" w:lineRule="auto"/>
      <w:jc w:val="left"/>
      <w:outlineLvl w:val="1"/>
    </w:pPr>
    <w:rPr>
      <w:kern w:val="0"/>
      <w:sz w:val="30"/>
      <w:szCs w:val="30"/>
    </w:rPr>
  </w:style>
  <w:style w:type="character" w:customStyle="1" w:styleId="1221">
    <w:name w:val="Char Char518"/>
    <w:qFormat/>
    <w:uiPriority w:val="0"/>
    <w:rPr>
      <w:rFonts w:ascii="黑体" w:hAnsi="宋体" w:eastAsia="黑体"/>
      <w:bCs/>
      <w:kern w:val="2"/>
      <w:sz w:val="28"/>
      <w:szCs w:val="28"/>
      <w:lang w:val="en-US" w:eastAsia="zh-CN" w:bidi="ar-SA"/>
    </w:rPr>
  </w:style>
  <w:style w:type="character" w:customStyle="1" w:styleId="1222">
    <w:name w:val="表题1 Char4"/>
    <w:qFormat/>
    <w:uiPriority w:val="0"/>
    <w:rPr>
      <w:rFonts w:ascii="黑体" w:hAnsi="Arial" w:eastAsia="黑体" w:cs="Arial"/>
      <w:b/>
      <w:kern w:val="2"/>
      <w:sz w:val="24"/>
      <w:szCs w:val="24"/>
      <w:lang w:val="en-US" w:eastAsia="zh-CN" w:bidi="ar-SA"/>
    </w:rPr>
  </w:style>
  <w:style w:type="character" w:customStyle="1" w:styleId="1223">
    <w:name w:val="标题2 Char9"/>
    <w:qFormat/>
    <w:uiPriority w:val="0"/>
    <w:rPr>
      <w:rFonts w:ascii="宋体" w:hAnsi="宋体" w:eastAsia="宋体" w:cs="宋体"/>
      <w:color w:val="000000"/>
      <w:kern w:val="2"/>
      <w:sz w:val="24"/>
      <w:szCs w:val="24"/>
      <w:lang w:val="en-US" w:eastAsia="zh-CN" w:bidi="ar-SA"/>
    </w:rPr>
  </w:style>
  <w:style w:type="character" w:customStyle="1" w:styleId="1224">
    <w:name w:val="头 Char"/>
    <w:qFormat/>
    <w:uiPriority w:val="0"/>
    <w:rPr>
      <w:rFonts w:eastAsia="宋体"/>
      <w:b/>
      <w:bCs/>
      <w:kern w:val="32"/>
      <w:sz w:val="30"/>
      <w:lang w:val="en-US" w:eastAsia="zh-CN" w:bidi="ar-SA"/>
    </w:rPr>
  </w:style>
  <w:style w:type="character" w:customStyle="1" w:styleId="1225">
    <w:name w:val="题注 Char41"/>
    <w:qFormat/>
    <w:uiPriority w:val="0"/>
    <w:rPr>
      <w:rFonts w:ascii="黑体" w:hAnsi="Arial" w:eastAsia="黑体" w:cs="Arial"/>
      <w:b/>
      <w:kern w:val="2"/>
      <w:sz w:val="24"/>
      <w:szCs w:val="24"/>
      <w:lang w:val="en-US" w:eastAsia="zh-CN" w:bidi="ar-SA"/>
    </w:rPr>
  </w:style>
  <w:style w:type="character" w:customStyle="1" w:styleId="1226">
    <w:name w:val="标题2 Char12"/>
    <w:qFormat/>
    <w:uiPriority w:val="0"/>
    <w:rPr>
      <w:rFonts w:ascii="宋体" w:hAnsi="宋体" w:eastAsia="宋体" w:cs="宋体"/>
      <w:color w:val="000000"/>
      <w:kern w:val="2"/>
      <w:sz w:val="24"/>
      <w:szCs w:val="24"/>
      <w:lang w:val="en-US" w:eastAsia="zh-CN" w:bidi="ar-SA"/>
    </w:rPr>
  </w:style>
  <w:style w:type="character" w:customStyle="1" w:styleId="1227">
    <w:name w:val="新正文 Char Char Char2"/>
    <w:qFormat/>
    <w:uiPriority w:val="0"/>
    <w:rPr>
      <w:rFonts w:ascii="仿宋_GB2312" w:eastAsia="仿宋_GB2312"/>
      <w:bCs/>
      <w:kern w:val="2"/>
      <w:sz w:val="28"/>
      <w:szCs w:val="24"/>
      <w:lang w:val="en-US" w:eastAsia="zh-CN" w:bidi="ar-SA"/>
    </w:rPr>
  </w:style>
  <w:style w:type="character" w:customStyle="1" w:styleId="1228">
    <w:name w:val="表题1 Char Char"/>
    <w:link w:val="269"/>
    <w:qFormat/>
    <w:uiPriority w:val="0"/>
    <w:rPr>
      <w:snapToGrid/>
      <w:sz w:val="24"/>
    </w:rPr>
  </w:style>
  <w:style w:type="character" w:customStyle="1" w:styleId="1229">
    <w:name w:val="谏壁chen表格内文字 Char Char Char Char Char"/>
    <w:qFormat/>
    <w:uiPriority w:val="0"/>
    <w:rPr>
      <w:rFonts w:eastAsia="宋体"/>
      <w:kern w:val="2"/>
      <w:sz w:val="21"/>
      <w:szCs w:val="21"/>
      <w:lang w:val="en-US" w:eastAsia="zh-CN" w:bidi="ar-SA"/>
    </w:rPr>
  </w:style>
  <w:style w:type="character" w:customStyle="1" w:styleId="1230">
    <w:name w:val="正文首行缩进 2 Char11"/>
    <w:qFormat/>
    <w:uiPriority w:val="0"/>
    <w:rPr>
      <w:rFonts w:eastAsia="宋体"/>
      <w:kern w:val="2"/>
      <w:sz w:val="21"/>
      <w:szCs w:val="18"/>
      <w:lang w:val="en-US" w:eastAsia="zh-CN" w:bidi="ar-SA"/>
    </w:rPr>
  </w:style>
  <w:style w:type="character" w:customStyle="1" w:styleId="1231">
    <w:name w:val="Char Char126"/>
    <w:qFormat/>
    <w:uiPriority w:val="0"/>
    <w:rPr>
      <w:rFonts w:ascii="黑体" w:hAnsi="Arial" w:eastAsia="黑体"/>
      <w:b/>
      <w:bCs/>
      <w:kern w:val="2"/>
      <w:sz w:val="30"/>
      <w:szCs w:val="30"/>
      <w:lang w:val="en-US" w:eastAsia="zh-CN" w:bidi="ar-SA"/>
    </w:rPr>
  </w:style>
  <w:style w:type="character" w:customStyle="1" w:styleId="1232">
    <w:name w:val="样式 表格内字体 + Char1"/>
    <w:qFormat/>
    <w:uiPriority w:val="0"/>
    <w:rPr>
      <w:rFonts w:ascii="宋体" w:hAnsi="宋体" w:eastAsia="宋体"/>
      <w:kern w:val="2"/>
      <w:sz w:val="21"/>
      <w:szCs w:val="24"/>
      <w:lang w:val="en-US" w:eastAsia="zh-CN" w:bidi="ar-SA"/>
    </w:rPr>
  </w:style>
  <w:style w:type="character" w:customStyle="1" w:styleId="1233">
    <w:name w:val="infofont1"/>
    <w:qFormat/>
    <w:uiPriority w:val="0"/>
    <w:rPr>
      <w:rFonts w:hint="default" w:eastAsia="華康中楷體"/>
      <w:color w:val="000000"/>
      <w:sz w:val="22"/>
      <w:szCs w:val="22"/>
      <w:u w:val="none"/>
      <w:lang w:val="en-US" w:eastAsia="en-US" w:bidi="ar-SA"/>
    </w:rPr>
  </w:style>
  <w:style w:type="character" w:customStyle="1" w:styleId="1234">
    <w:name w:val="页脚 Char11"/>
    <w:qFormat/>
    <w:uiPriority w:val="0"/>
    <w:rPr>
      <w:rFonts w:eastAsia="宋体"/>
      <w:kern w:val="2"/>
      <w:sz w:val="18"/>
      <w:szCs w:val="18"/>
      <w:lang w:val="en-US" w:eastAsia="zh-CN" w:bidi="ar-SA"/>
    </w:rPr>
  </w:style>
  <w:style w:type="character" w:customStyle="1" w:styleId="1235">
    <w:name w:val="章节 Char5"/>
    <w:qFormat/>
    <w:uiPriority w:val="0"/>
    <w:rPr>
      <w:rFonts w:ascii="楷体_GB2312" w:eastAsia="楷体_GB2312"/>
      <w:b/>
      <w:kern w:val="44"/>
      <w:sz w:val="30"/>
      <w:szCs w:val="24"/>
      <w:lang w:val="en-US" w:eastAsia="zh-CN" w:bidi="ar-SA"/>
    </w:rPr>
  </w:style>
  <w:style w:type="character" w:customStyle="1" w:styleId="1236">
    <w:name w:val="表格 Char Char Char Char Char Char"/>
    <w:qFormat/>
    <w:uiPriority w:val="0"/>
    <w:rPr>
      <w:rFonts w:ascii="Arial" w:hAnsi="Arial" w:eastAsia="华文细黑"/>
      <w:kern w:val="2"/>
      <w:sz w:val="21"/>
      <w:szCs w:val="30"/>
      <w:lang w:val="en-US" w:eastAsia="zh-CN" w:bidi="ar-SA"/>
    </w:rPr>
  </w:style>
  <w:style w:type="character" w:customStyle="1" w:styleId="1237">
    <w:name w:val="表格内容 Char3"/>
    <w:qFormat/>
    <w:uiPriority w:val="0"/>
    <w:rPr>
      <w:rFonts w:ascii="Times New Roman" w:hAnsi="Times New Roman" w:eastAsia="宋体" w:cs="Times New Roman"/>
      <w:kern w:val="2"/>
      <w:sz w:val="24"/>
      <w:szCs w:val="21"/>
      <w:lang w:val="en-US" w:eastAsia="zh-CN" w:bidi="ar-SA"/>
    </w:rPr>
  </w:style>
  <w:style w:type="character" w:customStyle="1" w:styleId="1238">
    <w:name w:val="表中文字 Char3"/>
    <w:qFormat/>
    <w:uiPriority w:val="0"/>
    <w:rPr>
      <w:rFonts w:ascii="Arial" w:hAnsi="Arial" w:eastAsia="宋体"/>
      <w:kern w:val="2"/>
      <w:sz w:val="24"/>
      <w:szCs w:val="24"/>
      <w:lang w:val="en-US" w:eastAsia="zh-TW" w:bidi="ar-SA"/>
    </w:rPr>
  </w:style>
  <w:style w:type="character" w:customStyle="1" w:styleId="1239">
    <w:name w:val="chen正文字体11 Char Char"/>
    <w:qFormat/>
    <w:uiPriority w:val="0"/>
    <w:rPr>
      <w:color w:val="000000"/>
      <w:kern w:val="2"/>
      <w:sz w:val="24"/>
    </w:rPr>
  </w:style>
  <w:style w:type="character" w:customStyle="1" w:styleId="1240">
    <w:name w:val="H23 Char1"/>
    <w:qFormat/>
    <w:uiPriority w:val="0"/>
    <w:rPr>
      <w:rFonts w:ascii="仿宋_GB2312" w:eastAsia="仿宋_GB2312"/>
      <w:b/>
      <w:kern w:val="2"/>
      <w:sz w:val="28"/>
      <w:lang w:val="en-US" w:eastAsia="zh-CN" w:bidi="ar-SA"/>
    </w:rPr>
  </w:style>
  <w:style w:type="character" w:customStyle="1" w:styleId="1241">
    <w:name w:val="表中文字 Char24"/>
    <w:qFormat/>
    <w:uiPriority w:val="0"/>
    <w:rPr>
      <w:rFonts w:ascii="宋体" w:eastAsia="宋体"/>
      <w:kern w:val="2"/>
      <w:sz w:val="21"/>
      <w:szCs w:val="21"/>
      <w:lang w:val="en-US" w:eastAsia="zh-CN" w:bidi="ar-SA"/>
    </w:rPr>
  </w:style>
  <w:style w:type="character" w:customStyle="1" w:styleId="1242">
    <w:name w:val="正文缩进 Char71"/>
    <w:qFormat/>
    <w:uiPriority w:val="0"/>
    <w:rPr>
      <w:rFonts w:ascii="宋体" w:hAnsi="宋体" w:eastAsia="宋体"/>
      <w:kern w:val="2"/>
      <w:sz w:val="24"/>
      <w:szCs w:val="24"/>
      <w:lang w:val="en-US" w:eastAsia="zh-CN" w:bidi="ar-SA"/>
    </w:rPr>
  </w:style>
  <w:style w:type="character" w:customStyle="1" w:styleId="1243">
    <w:name w:val="福建正文缩进 Char Char"/>
    <w:link w:val="1244"/>
    <w:qFormat/>
    <w:uiPriority w:val="0"/>
    <w:rPr>
      <w:rFonts w:ascii="宋体" w:hAnsi="宋体"/>
      <w:color w:val="000000"/>
      <w:sz w:val="24"/>
      <w:szCs w:val="24"/>
    </w:rPr>
  </w:style>
  <w:style w:type="paragraph" w:customStyle="1" w:styleId="1244">
    <w:name w:val="福建正文缩进"/>
    <w:basedOn w:val="20"/>
    <w:link w:val="1243"/>
    <w:qFormat/>
    <w:uiPriority w:val="0"/>
    <w:pPr>
      <w:widowControl/>
      <w:tabs>
        <w:tab w:val="left" w:pos="5837"/>
      </w:tabs>
      <w:adjustRightInd w:val="0"/>
      <w:snapToGrid w:val="0"/>
      <w:spacing w:line="480" w:lineRule="exact"/>
      <w:ind w:firstLine="0" w:firstLineChars="0"/>
    </w:pPr>
    <w:rPr>
      <w:rFonts w:ascii="宋体" w:hAnsi="宋体"/>
      <w:color w:val="000000"/>
      <w:kern w:val="0"/>
      <w:sz w:val="24"/>
    </w:rPr>
  </w:style>
  <w:style w:type="character" w:customStyle="1" w:styleId="1245">
    <w:name w:val="正文文本缩进 3 Char21"/>
    <w:qFormat/>
    <w:uiPriority w:val="0"/>
    <w:rPr>
      <w:rFonts w:eastAsia="宋体"/>
      <w:kern w:val="2"/>
      <w:sz w:val="16"/>
      <w:szCs w:val="16"/>
      <w:lang w:val="en-US" w:eastAsia="zh-CN" w:bidi="ar-SA"/>
    </w:rPr>
  </w:style>
  <w:style w:type="character" w:customStyle="1" w:styleId="1246">
    <w:name w:val="hhcwt正文 Char Char Char Char Char"/>
    <w:qFormat/>
    <w:uiPriority w:val="0"/>
    <w:rPr>
      <w:rFonts w:eastAsia="宋体" w:cs="宋体"/>
      <w:kern w:val="2"/>
      <w:sz w:val="24"/>
      <w:lang w:val="en-US" w:eastAsia="zh-CN" w:bidi="ar-SA"/>
    </w:rPr>
  </w:style>
  <w:style w:type="character" w:customStyle="1" w:styleId="1247">
    <w:name w:val="正文缩进 Char14"/>
    <w:qFormat/>
    <w:uiPriority w:val="0"/>
    <w:rPr>
      <w:rFonts w:ascii="宋体" w:hAnsi="宋体" w:eastAsia="宋体" w:cs="宋体"/>
      <w:color w:val="000000"/>
      <w:kern w:val="2"/>
      <w:sz w:val="24"/>
      <w:szCs w:val="24"/>
      <w:lang w:val="en-US" w:eastAsia="zh-CN" w:bidi="ar-SA"/>
    </w:rPr>
  </w:style>
  <w:style w:type="character" w:customStyle="1" w:styleId="1248">
    <w:name w:val="表格文字 Char Char2"/>
    <w:qFormat/>
    <w:uiPriority w:val="0"/>
    <w:rPr>
      <w:rFonts w:ascii="宋体" w:hAnsi="宋体" w:eastAsia="仿宋_GB2312" w:cs="宋体"/>
      <w:sz w:val="21"/>
      <w:szCs w:val="21"/>
      <w:lang w:val="en-US" w:eastAsia="zh-CN" w:bidi="ar-SA"/>
    </w:rPr>
  </w:style>
  <w:style w:type="character" w:customStyle="1" w:styleId="1249">
    <w:name w:val="正文修改 Char134"/>
    <w:qFormat/>
    <w:uiPriority w:val="0"/>
    <w:rPr>
      <w:rFonts w:ascii="宋体" w:hAnsi="宋体" w:eastAsia="宋体" w:cs="宋体"/>
      <w:color w:val="000000"/>
      <w:kern w:val="2"/>
      <w:sz w:val="24"/>
      <w:szCs w:val="24"/>
      <w:lang w:val="en-US" w:eastAsia="zh-CN" w:bidi="ar-SA"/>
    </w:rPr>
  </w:style>
  <w:style w:type="character" w:customStyle="1" w:styleId="1250">
    <w:name w:val="正文修改 Char15"/>
    <w:qFormat/>
    <w:uiPriority w:val="0"/>
    <w:rPr>
      <w:rFonts w:ascii="宋体" w:hAnsi="宋体" w:eastAsia="宋体" w:cs="宋体"/>
      <w:color w:val="000000"/>
      <w:kern w:val="2"/>
      <w:sz w:val="24"/>
      <w:szCs w:val="24"/>
      <w:lang w:val="en-US" w:eastAsia="zh-CN" w:bidi="ar-SA"/>
    </w:rPr>
  </w:style>
  <w:style w:type="character" w:customStyle="1" w:styleId="1251">
    <w:name w:val="Char Char1123"/>
    <w:qFormat/>
    <w:uiPriority w:val="0"/>
    <w:rPr>
      <w:rFonts w:ascii="黑体" w:hAnsi="Arial" w:eastAsia="黑体"/>
      <w:bCs/>
      <w:kern w:val="2"/>
      <w:sz w:val="30"/>
      <w:szCs w:val="30"/>
      <w:lang w:val="en-US" w:eastAsia="zh-CN" w:bidi="ar-SA"/>
    </w:rPr>
  </w:style>
  <w:style w:type="character" w:customStyle="1" w:styleId="1252">
    <w:name w:val="Char Char214"/>
    <w:qFormat/>
    <w:uiPriority w:val="0"/>
    <w:rPr>
      <w:rFonts w:ascii="黑体" w:eastAsia="宋体"/>
      <w:kern w:val="2"/>
      <w:sz w:val="16"/>
      <w:szCs w:val="16"/>
      <w:lang w:val="en-US" w:eastAsia="zh-CN" w:bidi="ar-SA"/>
    </w:rPr>
  </w:style>
  <w:style w:type="character" w:customStyle="1" w:styleId="1253">
    <w:name w:val="表内5 Char2"/>
    <w:qFormat/>
    <w:uiPriority w:val="0"/>
    <w:rPr>
      <w:rFonts w:ascii="宋体" w:hAnsi="宋体" w:eastAsia="宋体" w:cs="宋体"/>
      <w:kern w:val="2"/>
      <w:sz w:val="21"/>
      <w:szCs w:val="24"/>
      <w:lang w:val="en-US" w:eastAsia="zh-CN" w:bidi="ar-SA"/>
    </w:rPr>
  </w:style>
  <w:style w:type="character" w:customStyle="1" w:styleId="1254">
    <w:name w:val="样式 标题 3 + (西文) Times New Roman (中文) 宋体 Char Char"/>
    <w:link w:val="1255"/>
    <w:qFormat/>
    <w:uiPriority w:val="0"/>
    <w:rPr>
      <w:sz w:val="28"/>
      <w:szCs w:val="24"/>
    </w:rPr>
  </w:style>
  <w:style w:type="paragraph" w:customStyle="1" w:styleId="1255">
    <w:name w:val="样式 标题 3 + (西文) Times New Roman (中文) 宋体"/>
    <w:basedOn w:val="4"/>
    <w:link w:val="1254"/>
    <w:qFormat/>
    <w:uiPriority w:val="0"/>
    <w:pPr>
      <w:keepNext w:val="0"/>
      <w:keepLines w:val="0"/>
      <w:tabs>
        <w:tab w:val="left" w:pos="233"/>
        <w:tab w:val="left" w:pos="1260"/>
        <w:tab w:val="left" w:pos="1560"/>
      </w:tabs>
      <w:spacing w:beforeLines="20" w:afterLines="20" w:line="560" w:lineRule="atLeast"/>
      <w:ind w:left="233"/>
    </w:pPr>
    <w:rPr>
      <w:b w:val="0"/>
      <w:bCs w:val="0"/>
      <w:kern w:val="0"/>
      <w:sz w:val="28"/>
      <w:szCs w:val="24"/>
    </w:rPr>
  </w:style>
  <w:style w:type="character" w:customStyle="1" w:styleId="1256">
    <w:name w:val="Char Char1115"/>
    <w:qFormat/>
    <w:uiPriority w:val="0"/>
    <w:rPr>
      <w:rFonts w:ascii="黑体" w:hAnsi="Arial" w:eastAsia="黑体"/>
      <w:bCs/>
      <w:kern w:val="2"/>
      <w:sz w:val="30"/>
      <w:szCs w:val="30"/>
      <w:lang w:val="en-US" w:eastAsia="zh-CN" w:bidi="ar-SA"/>
    </w:rPr>
  </w:style>
  <w:style w:type="character" w:customStyle="1" w:styleId="1257">
    <w:name w:val="图题注 Char Char"/>
    <w:link w:val="1258"/>
    <w:qFormat/>
    <w:uiPriority w:val="0"/>
    <w:rPr>
      <w:rFonts w:ascii="黑体" w:hAnsi="Arial" w:eastAsia="黑体"/>
      <w:b/>
      <w:bCs/>
      <w:sz w:val="24"/>
      <w:szCs w:val="24"/>
    </w:rPr>
  </w:style>
  <w:style w:type="paragraph" w:customStyle="1" w:styleId="1258">
    <w:name w:val="图题注"/>
    <w:basedOn w:val="21"/>
    <w:link w:val="1257"/>
    <w:qFormat/>
    <w:uiPriority w:val="0"/>
    <w:pPr>
      <w:tabs>
        <w:tab w:val="clear" w:pos="7380"/>
      </w:tabs>
      <w:overflowPunct/>
      <w:spacing w:before="0" w:afterLines="0"/>
      <w:jc w:val="center"/>
    </w:pPr>
    <w:rPr>
      <w:rFonts w:ascii="黑体" w:cs="Times New Roman"/>
      <w:b/>
      <w:bCs/>
      <w:kern w:val="0"/>
      <w:sz w:val="24"/>
      <w:szCs w:val="24"/>
    </w:rPr>
  </w:style>
  <w:style w:type="character" w:customStyle="1" w:styleId="1259">
    <w:name w:val="题注 Char8"/>
    <w:qFormat/>
    <w:uiPriority w:val="0"/>
    <w:rPr>
      <w:rFonts w:ascii="黑体" w:hAnsi="Arial" w:eastAsia="黑体" w:cs="Arial"/>
      <w:b/>
      <w:kern w:val="2"/>
      <w:sz w:val="24"/>
      <w:szCs w:val="24"/>
      <w:lang w:val="en-US" w:eastAsia="zh-CN" w:bidi="ar-SA"/>
    </w:rPr>
  </w:style>
  <w:style w:type="character" w:customStyle="1" w:styleId="1260">
    <w:name w:val="正文(首行缩进)宋旭峰 Char Char"/>
    <w:link w:val="1261"/>
    <w:qFormat/>
    <w:uiPriority w:val="0"/>
    <w:rPr>
      <w:rFonts w:ascii="楷体_GB2312" w:hAnsi="宋体" w:eastAsia="楷体_GB2312"/>
      <w:snapToGrid/>
      <w:sz w:val="28"/>
      <w:szCs w:val="28"/>
    </w:rPr>
  </w:style>
  <w:style w:type="paragraph" w:customStyle="1" w:styleId="1261">
    <w:name w:val="正文(首行缩进)宋旭峰"/>
    <w:basedOn w:val="20"/>
    <w:link w:val="1260"/>
    <w:qFormat/>
    <w:uiPriority w:val="0"/>
    <w:pPr>
      <w:spacing w:line="500" w:lineRule="exact"/>
      <w:ind w:firstLine="560"/>
    </w:pPr>
    <w:rPr>
      <w:rFonts w:ascii="楷体_GB2312" w:hAnsi="宋体" w:eastAsia="楷体_GB2312"/>
      <w:snapToGrid w:val="0"/>
      <w:kern w:val="0"/>
      <w:sz w:val="28"/>
      <w:szCs w:val="28"/>
    </w:rPr>
  </w:style>
  <w:style w:type="character" w:customStyle="1" w:styleId="1262">
    <w:name w:val="样式 黑色1"/>
    <w:qFormat/>
    <w:uiPriority w:val="0"/>
    <w:rPr>
      <w:rFonts w:eastAsia="宋体"/>
      <w:color w:val="auto"/>
      <w:kern w:val="2"/>
      <w:sz w:val="24"/>
      <w:szCs w:val="24"/>
      <w:lang w:val="en-US" w:eastAsia="zh-CN" w:bidi="ar-SA"/>
    </w:rPr>
  </w:style>
  <w:style w:type="character" w:customStyle="1" w:styleId="1263">
    <w:name w:val="正文修改 Char1313"/>
    <w:qFormat/>
    <w:uiPriority w:val="0"/>
    <w:rPr>
      <w:rFonts w:ascii="宋体" w:hAnsi="宋体" w:eastAsia="宋体" w:cs="宋体"/>
      <w:color w:val="000000"/>
      <w:kern w:val="2"/>
      <w:sz w:val="24"/>
      <w:szCs w:val="24"/>
      <w:lang w:val="en-US" w:eastAsia="zh-CN" w:bidi="ar-SA"/>
    </w:rPr>
  </w:style>
  <w:style w:type="character" w:customStyle="1" w:styleId="1264">
    <w:name w:val="正文文本缩进 3 Char4"/>
    <w:qFormat/>
    <w:uiPriority w:val="0"/>
    <w:rPr>
      <w:rFonts w:eastAsia="宋体"/>
      <w:kern w:val="2"/>
      <w:sz w:val="16"/>
      <w:szCs w:val="16"/>
      <w:lang w:val="en-US" w:eastAsia="zh-CN" w:bidi="ar-SA"/>
    </w:rPr>
  </w:style>
  <w:style w:type="character" w:customStyle="1" w:styleId="1265">
    <w:name w:val="章节 Char3"/>
    <w:qFormat/>
    <w:uiPriority w:val="0"/>
    <w:rPr>
      <w:rFonts w:ascii="楷体_GB2312" w:eastAsia="楷体_GB2312"/>
      <w:b/>
      <w:kern w:val="44"/>
      <w:sz w:val="30"/>
      <w:lang w:val="en-US" w:eastAsia="zh-CN" w:bidi="ar-SA"/>
    </w:rPr>
  </w:style>
  <w:style w:type="character" w:customStyle="1" w:styleId="1266">
    <w:name w:val="正文格式 Char Char1 Char Char"/>
    <w:qFormat/>
    <w:uiPriority w:val="0"/>
    <w:rPr>
      <w:rFonts w:ascii="宋体" w:eastAsia="宋体" w:cs="宋体"/>
      <w:kern w:val="2"/>
      <w:sz w:val="24"/>
      <w:szCs w:val="24"/>
      <w:lang w:val="en-US" w:eastAsia="zh-CN" w:bidi="ar-SA"/>
    </w:rPr>
  </w:style>
  <w:style w:type="character" w:customStyle="1" w:styleId="1267">
    <w:name w:val="页脚 Char2"/>
    <w:qFormat/>
    <w:uiPriority w:val="0"/>
    <w:rPr>
      <w:rFonts w:ascii="Times New Roman" w:hAnsi="Times New Roman" w:eastAsia="宋体" w:cs="Times New Roman"/>
      <w:kern w:val="2"/>
      <w:sz w:val="18"/>
      <w:szCs w:val="18"/>
      <w:lang w:val="en-US" w:eastAsia="zh-CN" w:bidi="ar-SA"/>
    </w:rPr>
  </w:style>
  <w:style w:type="character" w:customStyle="1" w:styleId="1268">
    <w:name w:val="标题 3 Char91"/>
    <w:qFormat/>
    <w:uiPriority w:val="0"/>
    <w:rPr>
      <w:rFonts w:ascii="黑体" w:hAnsi="宋体" w:eastAsia="黑体" w:cs="Times New Roman"/>
      <w:b/>
      <w:bCs/>
      <w:kern w:val="2"/>
      <w:sz w:val="28"/>
      <w:szCs w:val="28"/>
      <w:lang w:val="en-US" w:eastAsia="zh-CN" w:bidi="ar-SA"/>
    </w:rPr>
  </w:style>
  <w:style w:type="character" w:customStyle="1" w:styleId="1269">
    <w:name w:val="表题1 Char11"/>
    <w:qFormat/>
    <w:uiPriority w:val="0"/>
    <w:rPr>
      <w:rFonts w:hAnsi="Arial" w:eastAsia="宋体" w:cs="Arial"/>
      <w:kern w:val="2"/>
      <w:sz w:val="24"/>
      <w:szCs w:val="24"/>
      <w:lang w:val="en-US" w:eastAsia="zh-CN" w:bidi="ar-SA"/>
    </w:rPr>
  </w:style>
  <w:style w:type="character" w:customStyle="1" w:styleId="1270">
    <w:name w:val="Char Char613"/>
    <w:qFormat/>
    <w:uiPriority w:val="0"/>
    <w:rPr>
      <w:rFonts w:ascii="黑体" w:eastAsia="黑体"/>
      <w:b/>
      <w:bCs/>
      <w:kern w:val="2"/>
      <w:sz w:val="28"/>
      <w:szCs w:val="28"/>
      <w:lang w:val="en-US" w:eastAsia="zh-CN" w:bidi="ar-SA"/>
    </w:rPr>
  </w:style>
  <w:style w:type="character" w:customStyle="1" w:styleId="1271">
    <w:name w:val="Char2 Char Char1"/>
    <w:qFormat/>
    <w:uiPriority w:val="0"/>
    <w:rPr>
      <w:rFonts w:eastAsia="宋体"/>
      <w:kern w:val="2"/>
      <w:sz w:val="18"/>
      <w:szCs w:val="18"/>
      <w:lang w:val="en-US" w:eastAsia="zh-CN" w:bidi="ar-SA"/>
    </w:rPr>
  </w:style>
  <w:style w:type="character" w:customStyle="1" w:styleId="1272">
    <w:name w:val="文档结构图 Char3"/>
    <w:qFormat/>
    <w:uiPriority w:val="0"/>
    <w:rPr>
      <w:rFonts w:eastAsia="宋体"/>
      <w:kern w:val="2"/>
      <w:sz w:val="21"/>
      <w:szCs w:val="24"/>
      <w:shd w:val="clear" w:color="auto" w:fill="000080"/>
      <w:lang w:val="en-US" w:eastAsia="zh-CN" w:bidi="ar-SA"/>
    </w:rPr>
  </w:style>
  <w:style w:type="character" w:customStyle="1" w:styleId="1273">
    <w:name w:val="环正文 Char4"/>
    <w:qFormat/>
    <w:uiPriority w:val="0"/>
    <w:rPr>
      <w:rFonts w:eastAsia="仿宋_GB2312"/>
      <w:color w:val="FF0000"/>
      <w:sz w:val="28"/>
      <w:szCs w:val="28"/>
      <w:lang w:val="en-US" w:eastAsia="zh-CN" w:bidi="ar-SA"/>
    </w:rPr>
  </w:style>
  <w:style w:type="character" w:customStyle="1" w:styleId="1274">
    <w:name w:val="表题1 Char8"/>
    <w:qFormat/>
    <w:uiPriority w:val="0"/>
    <w:rPr>
      <w:rFonts w:ascii="黑体" w:hAnsi="Arial" w:eastAsia="黑体" w:cs="Arial"/>
      <w:b/>
      <w:kern w:val="2"/>
      <w:sz w:val="24"/>
      <w:szCs w:val="24"/>
      <w:lang w:val="en-US" w:eastAsia="zh-CN" w:bidi="ar-SA"/>
    </w:rPr>
  </w:style>
  <w:style w:type="character" w:customStyle="1" w:styleId="1275">
    <w:name w:val="燕山正文 Char151"/>
    <w:qFormat/>
    <w:uiPriority w:val="0"/>
    <w:rPr>
      <w:rFonts w:ascii="宋体" w:eastAsia="宋体" w:cs="宋体"/>
      <w:kern w:val="2"/>
      <w:sz w:val="24"/>
      <w:szCs w:val="24"/>
      <w:lang w:val="en-US" w:eastAsia="zh-CN" w:bidi="ar-SA"/>
    </w:rPr>
  </w:style>
  <w:style w:type="character" w:customStyle="1" w:styleId="1276">
    <w:name w:val="表中文字 Char241"/>
    <w:qFormat/>
    <w:uiPriority w:val="0"/>
    <w:rPr>
      <w:rFonts w:ascii="宋体" w:eastAsia="宋体"/>
      <w:kern w:val="2"/>
      <w:sz w:val="21"/>
      <w:szCs w:val="21"/>
      <w:lang w:val="en-US" w:eastAsia="zh-CN" w:bidi="ar-SA"/>
    </w:rPr>
  </w:style>
  <w:style w:type="character" w:customStyle="1" w:styleId="1277">
    <w:name w:val="Char Char218"/>
    <w:qFormat/>
    <w:uiPriority w:val="0"/>
    <w:rPr>
      <w:rFonts w:ascii="黑体" w:eastAsia="宋体"/>
      <w:kern w:val="2"/>
      <w:sz w:val="16"/>
      <w:szCs w:val="16"/>
      <w:lang w:val="en-US" w:eastAsia="zh-CN" w:bidi="ar-SA"/>
    </w:rPr>
  </w:style>
  <w:style w:type="character" w:customStyle="1" w:styleId="1278">
    <w:name w:val="Char Char32"/>
    <w:qFormat/>
    <w:uiPriority w:val="0"/>
    <w:rPr>
      <w:rFonts w:ascii="黑体" w:hAnsi="宋体" w:eastAsia="黑体"/>
      <w:b/>
      <w:bCs/>
      <w:kern w:val="2"/>
      <w:sz w:val="28"/>
      <w:szCs w:val="28"/>
      <w:lang w:val="en-US" w:eastAsia="zh-CN" w:bidi="ar-SA"/>
    </w:rPr>
  </w:style>
  <w:style w:type="character" w:customStyle="1" w:styleId="1279">
    <w:name w:val="正文首行缩进 Char Char Char Char Char Char Char"/>
    <w:qFormat/>
    <w:uiPriority w:val="0"/>
    <w:rPr>
      <w:rFonts w:eastAsia="宋体"/>
      <w:kern w:val="2"/>
      <w:sz w:val="21"/>
      <w:szCs w:val="24"/>
      <w:lang w:val="en-US" w:eastAsia="zh-CN" w:bidi="ar-SA"/>
    </w:rPr>
  </w:style>
  <w:style w:type="character" w:customStyle="1" w:styleId="1280">
    <w:name w:val="二级项 Char3"/>
    <w:qFormat/>
    <w:uiPriority w:val="0"/>
    <w:rPr>
      <w:rFonts w:ascii="Arial" w:hAnsi="Arial" w:eastAsia="黑体"/>
      <w:b/>
      <w:bCs/>
      <w:kern w:val="2"/>
      <w:sz w:val="24"/>
      <w:szCs w:val="24"/>
      <w:lang w:val="en-US" w:eastAsia="zh-CN" w:bidi="ar-SA"/>
    </w:rPr>
  </w:style>
  <w:style w:type="character" w:customStyle="1" w:styleId="1281">
    <w:name w:val="Char Char617"/>
    <w:qFormat/>
    <w:uiPriority w:val="0"/>
    <w:rPr>
      <w:rFonts w:ascii="黑体" w:eastAsia="黑体"/>
      <w:b/>
      <w:bCs/>
      <w:kern w:val="2"/>
      <w:sz w:val="28"/>
      <w:szCs w:val="28"/>
      <w:lang w:val="en-US" w:eastAsia="zh-CN" w:bidi="ar-SA"/>
    </w:rPr>
  </w:style>
  <w:style w:type="character" w:customStyle="1" w:styleId="1282">
    <w:name w:val="正文格式 Char13"/>
    <w:qFormat/>
    <w:uiPriority w:val="0"/>
    <w:rPr>
      <w:rFonts w:ascii="宋体" w:hAnsi="宋体" w:eastAsia="宋体"/>
      <w:kern w:val="2"/>
      <w:sz w:val="24"/>
      <w:szCs w:val="24"/>
      <w:lang w:val="en-US" w:eastAsia="zh-CN" w:bidi="ar-SA"/>
    </w:rPr>
  </w:style>
  <w:style w:type="character" w:customStyle="1" w:styleId="1283">
    <w:name w:val="第一层条 Char3"/>
    <w:qFormat/>
    <w:uiPriority w:val="0"/>
    <w:rPr>
      <w:rFonts w:ascii="仿宋_GB2312" w:eastAsia="仿宋_GB2312"/>
      <w:b/>
      <w:kern w:val="2"/>
      <w:sz w:val="28"/>
      <w:lang w:val="en-US" w:eastAsia="zh-CN" w:bidi="ar-SA"/>
    </w:rPr>
  </w:style>
  <w:style w:type="character" w:customStyle="1" w:styleId="1284">
    <w:name w:val="正文格式 Char Char Char Char Char Char Char"/>
    <w:qFormat/>
    <w:uiPriority w:val="0"/>
    <w:rPr>
      <w:rFonts w:ascii="宋体" w:eastAsia="宋体" w:cs="宋体"/>
      <w:kern w:val="2"/>
      <w:sz w:val="24"/>
      <w:szCs w:val="24"/>
      <w:lang w:val="en-US" w:eastAsia="zh-CN" w:bidi="ar-SA"/>
    </w:rPr>
  </w:style>
  <w:style w:type="character" w:customStyle="1" w:styleId="1285">
    <w:name w:val="表格文字 Char Char Char Char"/>
    <w:qFormat/>
    <w:uiPriority w:val="0"/>
    <w:rPr>
      <w:color w:val="000000"/>
      <w:sz w:val="21"/>
      <w:szCs w:val="24"/>
    </w:rPr>
  </w:style>
  <w:style w:type="character" w:customStyle="1" w:styleId="1286">
    <w:name w:val="表题1 Char62"/>
    <w:qFormat/>
    <w:uiPriority w:val="0"/>
    <w:rPr>
      <w:rFonts w:ascii="黑体" w:hAnsi="Arial" w:eastAsia="黑体" w:cs="Arial"/>
      <w:b/>
      <w:kern w:val="2"/>
      <w:sz w:val="24"/>
      <w:szCs w:val="24"/>
      <w:lang w:val="en-US" w:eastAsia="zh-CN" w:bidi="ar-SA"/>
    </w:rPr>
  </w:style>
  <w:style w:type="character" w:customStyle="1" w:styleId="1287">
    <w:name w:val="福建正文缩进 Char11"/>
    <w:qFormat/>
    <w:uiPriority w:val="0"/>
    <w:rPr>
      <w:rFonts w:ascii="宋体" w:eastAsia="宋体"/>
      <w:kern w:val="2"/>
      <w:sz w:val="24"/>
      <w:szCs w:val="24"/>
      <w:lang w:val="en-US" w:eastAsia="zh-CN" w:bidi="ar-SA"/>
    </w:rPr>
  </w:style>
  <w:style w:type="character" w:customStyle="1" w:styleId="1288">
    <w:name w:val="批注框文本 Char41"/>
    <w:qFormat/>
    <w:uiPriority w:val="0"/>
    <w:rPr>
      <w:rFonts w:eastAsia="宋体"/>
      <w:kern w:val="2"/>
      <w:sz w:val="18"/>
      <w:szCs w:val="18"/>
      <w:lang w:val="en-US" w:eastAsia="zh-CN" w:bidi="ar-SA"/>
    </w:rPr>
  </w:style>
  <w:style w:type="character" w:customStyle="1" w:styleId="1289">
    <w:name w:val="font_141"/>
    <w:qFormat/>
    <w:uiPriority w:val="0"/>
    <w:rPr>
      <w:rFonts w:hint="default" w:ascii="ˎ̥" w:hAnsi="ˎ̥"/>
      <w:sz w:val="21"/>
    </w:rPr>
  </w:style>
  <w:style w:type="character" w:customStyle="1" w:styleId="1290">
    <w:name w:val="正文15 Char Char"/>
    <w:link w:val="1291"/>
    <w:qFormat/>
    <w:uiPriority w:val="0"/>
    <w:rPr>
      <w:sz w:val="28"/>
      <w:szCs w:val="28"/>
    </w:rPr>
  </w:style>
  <w:style w:type="paragraph" w:customStyle="1" w:styleId="1291">
    <w:name w:val="正文15"/>
    <w:basedOn w:val="1"/>
    <w:link w:val="1290"/>
    <w:qFormat/>
    <w:uiPriority w:val="0"/>
    <w:pPr>
      <w:overflowPunct w:val="0"/>
      <w:topLinePunct/>
      <w:snapToGrid w:val="0"/>
      <w:spacing w:line="360" w:lineRule="auto"/>
      <w:ind w:firstLine="567"/>
    </w:pPr>
    <w:rPr>
      <w:kern w:val="0"/>
      <w:sz w:val="28"/>
      <w:szCs w:val="28"/>
    </w:rPr>
  </w:style>
  <w:style w:type="character" w:customStyle="1" w:styleId="1292">
    <w:name w:val="正文格式 Char3"/>
    <w:qFormat/>
    <w:uiPriority w:val="0"/>
    <w:rPr>
      <w:rFonts w:ascii="宋体" w:hAnsi="宋体" w:eastAsia="宋体"/>
      <w:kern w:val="2"/>
      <w:sz w:val="24"/>
      <w:szCs w:val="24"/>
      <w:lang w:val="en-US" w:eastAsia="zh-CN" w:bidi="ar-SA"/>
    </w:rPr>
  </w:style>
  <w:style w:type="character" w:customStyle="1" w:styleId="1293">
    <w:name w:val="Char Char315"/>
    <w:qFormat/>
    <w:uiPriority w:val="0"/>
    <w:rPr>
      <w:rFonts w:ascii="黑体" w:hAnsi="宋体" w:eastAsia="黑体"/>
      <w:b/>
      <w:bCs/>
      <w:kern w:val="2"/>
      <w:sz w:val="28"/>
      <w:szCs w:val="28"/>
      <w:lang w:val="en-US" w:eastAsia="zh-CN" w:bidi="ar-SA"/>
    </w:rPr>
  </w:style>
  <w:style w:type="character" w:customStyle="1" w:styleId="1294">
    <w:name w:val="题注 Char113"/>
    <w:qFormat/>
    <w:uiPriority w:val="0"/>
    <w:rPr>
      <w:rFonts w:ascii="黑体" w:hAnsi="Arial" w:eastAsia="黑体" w:cs="Arial"/>
      <w:b/>
      <w:kern w:val="2"/>
      <w:sz w:val="24"/>
      <w:szCs w:val="24"/>
      <w:lang w:val="en-US" w:eastAsia="zh-CN" w:bidi="ar-SA"/>
    </w:rPr>
  </w:style>
  <w:style w:type="character" w:customStyle="1" w:styleId="1295">
    <w:name w:val="样式 标题 3小标题小节标题H3h33rd level第二层条标题4标题 3 Char标题 3 Char Ch... Char Char Char2"/>
    <w:qFormat/>
    <w:uiPriority w:val="0"/>
    <w:rPr>
      <w:rFonts w:ascii="Arial" w:hAnsi="Arial" w:eastAsia="宋体"/>
      <w:b/>
      <w:bCs/>
      <w:kern w:val="32"/>
      <w:sz w:val="32"/>
      <w:szCs w:val="32"/>
      <w:lang w:val="en-US" w:eastAsia="zh-CN" w:bidi="ar-SA"/>
    </w:rPr>
  </w:style>
  <w:style w:type="character" w:customStyle="1" w:styleId="1296">
    <w:name w:val="标题 9 Char11"/>
    <w:qFormat/>
    <w:uiPriority w:val="0"/>
    <w:rPr>
      <w:rFonts w:ascii="Arial" w:hAnsi="Arial" w:eastAsia="黑体"/>
      <w:kern w:val="2"/>
      <w:sz w:val="21"/>
      <w:szCs w:val="21"/>
      <w:lang w:val="en-US" w:eastAsia="zh-CN" w:bidi="ar-SA"/>
    </w:rPr>
  </w:style>
  <w:style w:type="character" w:customStyle="1" w:styleId="1297">
    <w:name w:val="正文修改 Char141"/>
    <w:qFormat/>
    <w:uiPriority w:val="0"/>
  </w:style>
  <w:style w:type="character" w:customStyle="1" w:styleId="1298">
    <w:name w:val="正文首行缩进 Char1"/>
    <w:qFormat/>
    <w:uiPriority w:val="0"/>
    <w:rPr>
      <w:rFonts w:eastAsia="宋体"/>
      <w:kern w:val="2"/>
      <w:sz w:val="21"/>
      <w:szCs w:val="24"/>
      <w:lang w:val="en-US" w:eastAsia="zh-CN" w:bidi="ar-SA"/>
    </w:rPr>
  </w:style>
  <w:style w:type="character" w:customStyle="1" w:styleId="1299">
    <w:name w:val="标题 2 Char21"/>
    <w:qFormat/>
    <w:uiPriority w:val="0"/>
    <w:rPr>
      <w:rFonts w:ascii="黑体" w:hAnsi="Arial" w:eastAsia="黑体"/>
      <w:b/>
      <w:bCs/>
      <w:kern w:val="2"/>
      <w:sz w:val="30"/>
      <w:szCs w:val="30"/>
      <w:lang w:val="en-US" w:eastAsia="zh-CN" w:bidi="ar-SA"/>
    </w:rPr>
  </w:style>
  <w:style w:type="character" w:customStyle="1" w:styleId="1300">
    <w:name w:val="环评正文 Char11"/>
    <w:qFormat/>
    <w:uiPriority w:val="0"/>
    <w:rPr>
      <w:rFonts w:eastAsia="宋体"/>
      <w:bCs/>
      <w:kern w:val="2"/>
      <w:sz w:val="24"/>
      <w:szCs w:val="24"/>
      <w:lang w:val="en-US" w:eastAsia="zh-CN" w:bidi="ar-SA"/>
    </w:rPr>
  </w:style>
  <w:style w:type="character" w:customStyle="1" w:styleId="1301">
    <w:name w:val="标题 2 Char51"/>
    <w:qFormat/>
    <w:uiPriority w:val="0"/>
    <w:rPr>
      <w:rFonts w:ascii="黑体" w:hAnsi="Arial" w:eastAsia="黑体"/>
      <w:bCs/>
      <w:kern w:val="2"/>
      <w:sz w:val="30"/>
      <w:szCs w:val="30"/>
      <w:lang w:val="en-US" w:eastAsia="zh-CN" w:bidi="ar-SA"/>
    </w:rPr>
  </w:style>
  <w:style w:type="character" w:customStyle="1" w:styleId="1302">
    <w:name w:val="表格文字 Char Char1"/>
    <w:qFormat/>
    <w:uiPriority w:val="0"/>
    <w:rPr>
      <w:rFonts w:ascii="宋体" w:hAnsi="宋体" w:eastAsia="仿宋_GB2312" w:cs="宋体"/>
      <w:sz w:val="21"/>
      <w:szCs w:val="21"/>
      <w:lang w:val="en-US" w:eastAsia="zh-CN" w:bidi="ar-SA"/>
    </w:rPr>
  </w:style>
  <w:style w:type="character" w:customStyle="1" w:styleId="1303">
    <w:name w:val="Char Char510"/>
    <w:qFormat/>
    <w:uiPriority w:val="0"/>
    <w:rPr>
      <w:rFonts w:ascii="黑体" w:hAnsi="宋体" w:eastAsia="黑体"/>
      <w:bCs/>
      <w:kern w:val="2"/>
      <w:sz w:val="28"/>
      <w:szCs w:val="28"/>
      <w:lang w:val="en-US" w:eastAsia="zh-CN" w:bidi="ar-SA"/>
    </w:rPr>
  </w:style>
  <w:style w:type="character" w:customStyle="1" w:styleId="1304">
    <w:name w:val="表中文字 Char26"/>
    <w:qFormat/>
    <w:uiPriority w:val="0"/>
    <w:rPr>
      <w:rFonts w:ascii="宋体" w:eastAsia="宋体"/>
      <w:kern w:val="2"/>
      <w:sz w:val="21"/>
      <w:szCs w:val="21"/>
      <w:lang w:val="en-US" w:eastAsia="zh-CN" w:bidi="ar-SA"/>
    </w:rPr>
  </w:style>
  <w:style w:type="character" w:customStyle="1" w:styleId="1305">
    <w:name w:val="正文修改 Char1112"/>
    <w:qFormat/>
    <w:uiPriority w:val="0"/>
    <w:rPr>
      <w:rFonts w:ascii="宋体" w:hAnsi="宋体" w:eastAsia="宋体" w:cs="宋体"/>
      <w:color w:val="000000"/>
      <w:kern w:val="2"/>
      <w:sz w:val="24"/>
      <w:szCs w:val="24"/>
      <w:lang w:val="en-US" w:eastAsia="zh-CN" w:bidi="ar-SA"/>
    </w:rPr>
  </w:style>
  <w:style w:type="character" w:customStyle="1" w:styleId="1306">
    <w:name w:val="表题1 Char412"/>
    <w:qFormat/>
    <w:uiPriority w:val="0"/>
    <w:rPr>
      <w:rFonts w:ascii="黑体" w:hAnsi="Arial" w:eastAsia="黑体" w:cs="Arial"/>
      <w:b/>
      <w:kern w:val="2"/>
      <w:sz w:val="24"/>
      <w:szCs w:val="24"/>
      <w:lang w:val="en-US" w:eastAsia="zh-CN" w:bidi="ar-SA"/>
    </w:rPr>
  </w:style>
  <w:style w:type="character" w:customStyle="1" w:styleId="1307">
    <w:name w:val="题注 Char213"/>
    <w:qFormat/>
    <w:uiPriority w:val="0"/>
    <w:rPr>
      <w:rFonts w:ascii="黑体" w:hAnsi="Arial" w:eastAsia="黑体" w:cs="Arial"/>
      <w:b/>
      <w:kern w:val="2"/>
      <w:sz w:val="24"/>
      <w:szCs w:val="24"/>
      <w:lang w:val="en-US" w:eastAsia="zh-CN" w:bidi="ar-SA"/>
    </w:rPr>
  </w:style>
  <w:style w:type="character" w:customStyle="1" w:styleId="1308">
    <w:name w:val="样式 加宽量  0.4 磅"/>
    <w:qFormat/>
    <w:uiPriority w:val="0"/>
    <w:rPr>
      <w:spacing w:val="8"/>
    </w:rPr>
  </w:style>
  <w:style w:type="character" w:customStyle="1" w:styleId="1309">
    <w:name w:val="题注 Char63"/>
    <w:qFormat/>
    <w:uiPriority w:val="0"/>
    <w:rPr>
      <w:rFonts w:ascii="黑体" w:hAnsi="Arial" w:eastAsia="黑体" w:cs="Arial"/>
      <w:b/>
      <w:kern w:val="2"/>
      <w:sz w:val="24"/>
      <w:szCs w:val="24"/>
      <w:lang w:val="en-US" w:eastAsia="zh-CN" w:bidi="ar-SA"/>
    </w:rPr>
  </w:style>
  <w:style w:type="character" w:customStyle="1" w:styleId="1310">
    <w:name w:val="bltxt1"/>
    <w:qFormat/>
    <w:uiPriority w:val="0"/>
    <w:rPr>
      <w:color w:val="000000"/>
      <w:sz w:val="18"/>
      <w:szCs w:val="18"/>
      <w:u w:val="none"/>
    </w:rPr>
  </w:style>
  <w:style w:type="character" w:customStyle="1" w:styleId="1311">
    <w:name w:val="表题1 Char1"/>
    <w:qFormat/>
    <w:uiPriority w:val="0"/>
    <w:rPr>
      <w:rFonts w:ascii="黑体" w:hAnsi="Arial" w:eastAsia="黑体" w:cs="Arial"/>
      <w:kern w:val="2"/>
      <w:sz w:val="24"/>
      <w:szCs w:val="24"/>
      <w:lang w:val="en-US" w:eastAsia="zh-CN" w:bidi="ar-SA"/>
    </w:rPr>
  </w:style>
  <w:style w:type="character" w:customStyle="1" w:styleId="1312">
    <w:name w:val="样式 正文文本 + (中文) 黑体 红色 Char Char Char Char Char2"/>
    <w:qFormat/>
    <w:uiPriority w:val="0"/>
    <w:rPr>
      <w:rFonts w:eastAsia="黑体"/>
      <w:snapToGrid/>
      <w:color w:val="FF0000"/>
      <w:kern w:val="2"/>
      <w:sz w:val="24"/>
      <w:szCs w:val="24"/>
      <w:lang w:val="en-US" w:eastAsia="zh-CN" w:bidi="ar-SA"/>
    </w:rPr>
  </w:style>
  <w:style w:type="character" w:customStyle="1" w:styleId="1313">
    <w:name w:val="燕山正文 Char18"/>
    <w:qFormat/>
    <w:uiPriority w:val="0"/>
    <w:rPr>
      <w:rFonts w:ascii="宋体" w:eastAsia="宋体" w:cs="宋体"/>
      <w:kern w:val="2"/>
      <w:sz w:val="24"/>
      <w:szCs w:val="24"/>
      <w:lang w:val="en-US" w:eastAsia="zh-CN" w:bidi="ar-SA"/>
    </w:rPr>
  </w:style>
  <w:style w:type="character" w:customStyle="1" w:styleId="1314">
    <w:name w:val="Char Char216"/>
    <w:qFormat/>
    <w:uiPriority w:val="0"/>
    <w:rPr>
      <w:rFonts w:ascii="黑体" w:eastAsia="宋体"/>
      <w:kern w:val="2"/>
      <w:sz w:val="16"/>
      <w:szCs w:val="16"/>
      <w:lang w:val="en-US" w:eastAsia="zh-CN" w:bidi="ar-SA"/>
    </w:rPr>
  </w:style>
  <w:style w:type="character" w:customStyle="1" w:styleId="1315">
    <w:name w:val="正文首行缩进 2 Char12"/>
    <w:qFormat/>
    <w:uiPriority w:val="0"/>
    <w:rPr>
      <w:rFonts w:eastAsia="宋体"/>
      <w:kern w:val="2"/>
      <w:sz w:val="21"/>
      <w:szCs w:val="18"/>
      <w:lang w:val="en-US" w:eastAsia="zh-CN" w:bidi="ar-SA"/>
    </w:rPr>
  </w:style>
  <w:style w:type="character" w:customStyle="1" w:styleId="1316">
    <w:name w:val="表题1 Char72"/>
    <w:qFormat/>
    <w:uiPriority w:val="0"/>
    <w:rPr>
      <w:rFonts w:ascii="黑体" w:hAnsi="Arial" w:eastAsia="黑体" w:cs="Arial"/>
      <w:b/>
      <w:kern w:val="2"/>
      <w:sz w:val="24"/>
      <w:szCs w:val="24"/>
      <w:lang w:val="en-US" w:eastAsia="zh-CN" w:bidi="ar-SA"/>
    </w:rPr>
  </w:style>
  <w:style w:type="character" w:customStyle="1" w:styleId="1317">
    <w:name w:val="style61"/>
    <w:qFormat/>
    <w:uiPriority w:val="0"/>
    <w:rPr>
      <w:color w:val="666666"/>
      <w:sz w:val="20"/>
      <w:szCs w:val="20"/>
    </w:rPr>
  </w:style>
  <w:style w:type="character" w:customStyle="1" w:styleId="1318">
    <w:name w:val="正文文字缩进 2 Char Char Char Char"/>
    <w:qFormat/>
    <w:uiPriority w:val="0"/>
    <w:rPr>
      <w:rFonts w:ascii="宋体" w:hAnsi="宋体" w:eastAsia="宋体"/>
      <w:kern w:val="2"/>
      <w:sz w:val="24"/>
      <w:szCs w:val="24"/>
      <w:lang w:val="en-US" w:eastAsia="zh-CN" w:bidi="ar-SA"/>
    </w:rPr>
  </w:style>
  <w:style w:type="character" w:customStyle="1" w:styleId="1319">
    <w:name w:val="表题1 Char73"/>
    <w:qFormat/>
    <w:uiPriority w:val="0"/>
    <w:rPr>
      <w:rFonts w:ascii="黑体" w:hAnsi="Arial" w:eastAsia="黑体" w:cs="Arial"/>
      <w:b/>
      <w:kern w:val="2"/>
      <w:sz w:val="24"/>
      <w:szCs w:val="24"/>
      <w:lang w:val="en-US" w:eastAsia="zh-CN" w:bidi="ar-SA"/>
    </w:rPr>
  </w:style>
  <w:style w:type="character" w:customStyle="1" w:styleId="1320">
    <w:name w:val="Char Char420"/>
    <w:qFormat/>
    <w:uiPriority w:val="0"/>
    <w:rPr>
      <w:rFonts w:ascii="黑体" w:hAnsi="Arial" w:eastAsia="黑体"/>
      <w:b/>
      <w:bCs/>
      <w:kern w:val="2"/>
      <w:sz w:val="30"/>
      <w:szCs w:val="30"/>
      <w:lang w:val="en-US" w:eastAsia="zh-CN" w:bidi="ar-SA"/>
    </w:rPr>
  </w:style>
  <w:style w:type="character" w:customStyle="1" w:styleId="1321">
    <w:name w:val="正文斜体 Char2"/>
    <w:qFormat/>
    <w:uiPriority w:val="0"/>
    <w:rPr>
      <w:rFonts w:ascii="宋体" w:hAnsi="宋体" w:eastAsia="宋体" w:cs="宋体"/>
      <w:i/>
      <w:iCs/>
      <w:kern w:val="2"/>
      <w:sz w:val="24"/>
      <w:szCs w:val="24"/>
      <w:lang w:val="en-US" w:eastAsia="zh-CN" w:bidi="ar-SA"/>
    </w:rPr>
  </w:style>
  <w:style w:type="character" w:customStyle="1" w:styleId="1322">
    <w:name w:val="正文修改 Char122"/>
    <w:qFormat/>
    <w:uiPriority w:val="0"/>
    <w:rPr>
      <w:rFonts w:ascii="宋体" w:hAnsi="宋体" w:eastAsia="宋体" w:cs="宋体"/>
      <w:color w:val="000000"/>
      <w:kern w:val="2"/>
      <w:sz w:val="24"/>
      <w:szCs w:val="24"/>
      <w:lang w:val="en-US" w:eastAsia="zh-CN" w:bidi="ar-SA"/>
    </w:rPr>
  </w:style>
  <w:style w:type="character" w:customStyle="1" w:styleId="1323">
    <w:name w:val="标题 2 Char4"/>
    <w:qFormat/>
    <w:uiPriority w:val="0"/>
    <w:rPr>
      <w:rFonts w:ascii="黑体" w:hAnsi="Arial" w:eastAsia="黑体" w:cs="Times New Roman"/>
      <w:bCs/>
      <w:kern w:val="2"/>
      <w:sz w:val="30"/>
      <w:szCs w:val="30"/>
      <w:lang w:val="en-US" w:eastAsia="zh-CN" w:bidi="ar-SA"/>
    </w:rPr>
  </w:style>
  <w:style w:type="character" w:customStyle="1" w:styleId="1324">
    <w:name w:val="沥青表 Char Char"/>
    <w:qFormat/>
    <w:uiPriority w:val="0"/>
    <w:rPr>
      <w:rFonts w:eastAsia="宋体"/>
      <w:bCs/>
      <w:spacing w:val="10"/>
      <w:sz w:val="21"/>
      <w:szCs w:val="21"/>
      <w:lang w:val="en-US" w:eastAsia="zh-CN" w:bidi="ar-SA"/>
    </w:rPr>
  </w:style>
  <w:style w:type="character" w:customStyle="1" w:styleId="1325">
    <w:name w:val="正文样式 Char1"/>
    <w:qFormat/>
    <w:uiPriority w:val="0"/>
    <w:rPr>
      <w:rFonts w:ascii="宋体" w:hAnsi="宋体" w:eastAsia="宋体"/>
      <w:kern w:val="2"/>
      <w:sz w:val="24"/>
      <w:szCs w:val="24"/>
      <w:lang w:val="en-US" w:eastAsia="zh-CN" w:bidi="ar-SA"/>
    </w:rPr>
  </w:style>
  <w:style w:type="character" w:customStyle="1" w:styleId="1326">
    <w:name w:val="燕山正文 Char121"/>
    <w:qFormat/>
    <w:uiPriority w:val="0"/>
    <w:rPr>
      <w:rFonts w:ascii="宋体" w:eastAsia="宋体" w:cs="宋体"/>
      <w:kern w:val="2"/>
      <w:sz w:val="24"/>
      <w:szCs w:val="24"/>
      <w:lang w:val="en-US" w:eastAsia="zh-CN" w:bidi="ar-SA"/>
    </w:rPr>
  </w:style>
  <w:style w:type="character" w:customStyle="1" w:styleId="1327">
    <w:name w:val="正文修改 Char142"/>
    <w:qFormat/>
    <w:uiPriority w:val="0"/>
  </w:style>
  <w:style w:type="character" w:customStyle="1" w:styleId="1328">
    <w:name w:val="表格内字体 Char2"/>
    <w:qFormat/>
    <w:uiPriority w:val="0"/>
    <w:rPr>
      <w:rFonts w:ascii="宋体" w:hAnsi="宋体" w:eastAsia="宋体"/>
      <w:kern w:val="2"/>
      <w:sz w:val="21"/>
      <w:szCs w:val="24"/>
      <w:lang w:val="en-US" w:eastAsia="zh-CN" w:bidi="ar-SA"/>
    </w:rPr>
  </w:style>
  <w:style w:type="character" w:customStyle="1" w:styleId="1329">
    <w:name w:val="m_b21"/>
    <w:qFormat/>
    <w:uiPriority w:val="0"/>
    <w:rPr>
      <w:b/>
      <w:bCs/>
      <w:sz w:val="26"/>
      <w:szCs w:val="26"/>
    </w:rPr>
  </w:style>
  <w:style w:type="character" w:customStyle="1" w:styleId="1330">
    <w:name w:val="正文修改 Char1"/>
    <w:link w:val="1331"/>
    <w:qFormat/>
    <w:uiPriority w:val="0"/>
    <w:rPr>
      <w:rFonts w:ascii="宋体" w:hAnsi="宋体"/>
      <w:color w:val="000000"/>
      <w:sz w:val="24"/>
      <w:szCs w:val="24"/>
    </w:rPr>
  </w:style>
  <w:style w:type="paragraph" w:customStyle="1" w:styleId="1331">
    <w:name w:val="正文修改"/>
    <w:basedOn w:val="1161"/>
    <w:link w:val="1330"/>
    <w:qFormat/>
    <w:uiPriority w:val="0"/>
    <w:rPr>
      <w:rFonts w:hAnsi="宋体"/>
      <w:color w:val="000000"/>
    </w:rPr>
  </w:style>
  <w:style w:type="character" w:customStyle="1" w:styleId="1332">
    <w:name w:val="通舟正文 Char Char"/>
    <w:link w:val="1333"/>
    <w:qFormat/>
    <w:uiPriority w:val="0"/>
    <w:rPr>
      <w:rFonts w:eastAsia="仿宋_GB2312" w:cs="宋体"/>
      <w:sz w:val="28"/>
    </w:rPr>
  </w:style>
  <w:style w:type="paragraph" w:customStyle="1" w:styleId="1333">
    <w:name w:val="通舟正文"/>
    <w:basedOn w:val="1"/>
    <w:link w:val="1332"/>
    <w:qFormat/>
    <w:uiPriority w:val="0"/>
    <w:pPr>
      <w:widowControl/>
      <w:spacing w:beforeLines="50" w:line="440" w:lineRule="exact"/>
      <w:ind w:firstLine="200" w:firstLineChars="200"/>
      <w:jc w:val="left"/>
    </w:pPr>
    <w:rPr>
      <w:rFonts w:eastAsia="仿宋_GB2312"/>
      <w:kern w:val="0"/>
      <w:sz w:val="28"/>
      <w:szCs w:val="20"/>
    </w:rPr>
  </w:style>
  <w:style w:type="character" w:customStyle="1" w:styleId="1334">
    <w:name w:val="标题4 Char11"/>
    <w:qFormat/>
    <w:uiPriority w:val="0"/>
    <w:rPr>
      <w:rFonts w:ascii="黑体" w:hAnsi="Arial" w:eastAsia="黑体" w:cs="Times New Roman"/>
      <w:b/>
      <w:bCs/>
      <w:kern w:val="2"/>
      <w:sz w:val="24"/>
      <w:szCs w:val="28"/>
      <w:lang w:val="en-US" w:eastAsia="zh-CN" w:bidi="ar-SA"/>
    </w:rPr>
  </w:style>
  <w:style w:type="character" w:customStyle="1" w:styleId="1335">
    <w:name w:val="节 Char13"/>
    <w:qFormat/>
    <w:uiPriority w:val="0"/>
    <w:rPr>
      <w:rFonts w:ascii="黑体" w:hAnsi="Arial" w:eastAsia="黑体"/>
      <w:bCs/>
      <w:kern w:val="2"/>
      <w:sz w:val="30"/>
      <w:szCs w:val="30"/>
      <w:lang w:val="en-US" w:eastAsia="zh-CN" w:bidi="ar-SA"/>
    </w:rPr>
  </w:style>
  <w:style w:type="character" w:customStyle="1" w:styleId="1336">
    <w:name w:val="Char Char118"/>
    <w:qFormat/>
    <w:uiPriority w:val="0"/>
    <w:rPr>
      <w:rFonts w:ascii="黑体" w:hAnsi="Arial" w:eastAsia="黑体"/>
      <w:b/>
      <w:bCs/>
      <w:kern w:val="2"/>
      <w:sz w:val="30"/>
      <w:szCs w:val="30"/>
      <w:lang w:val="en-US" w:eastAsia="zh-CN" w:bidi="ar-SA"/>
    </w:rPr>
  </w:style>
  <w:style w:type="character" w:customStyle="1" w:styleId="1337">
    <w:name w:val="标题 5 Char1"/>
    <w:qFormat/>
    <w:uiPriority w:val="0"/>
    <w:rPr>
      <w:rFonts w:ascii="宋体" w:hAnsi="宋体" w:eastAsia="宋体" w:cs="宋体"/>
      <w:b/>
      <w:bCs/>
      <w:kern w:val="2"/>
      <w:sz w:val="28"/>
      <w:szCs w:val="28"/>
      <w:lang w:val="en-US" w:eastAsia="zh-CN" w:bidi="ar-SA"/>
    </w:rPr>
  </w:style>
  <w:style w:type="character" w:customStyle="1" w:styleId="1338">
    <w:name w:val="表格标题2 Char Char"/>
    <w:qFormat/>
    <w:uiPriority w:val="0"/>
    <w:rPr>
      <w:rFonts w:ascii="Arial" w:hAnsi="Arial"/>
      <w:kern w:val="2"/>
      <w:sz w:val="28"/>
      <w:szCs w:val="24"/>
    </w:rPr>
  </w:style>
  <w:style w:type="character" w:customStyle="1" w:styleId="1339">
    <w:name w:val="Char Char1113"/>
    <w:qFormat/>
    <w:uiPriority w:val="0"/>
    <w:rPr>
      <w:rFonts w:ascii="黑体" w:hAnsi="Arial" w:eastAsia="黑体"/>
      <w:bCs/>
      <w:kern w:val="2"/>
      <w:sz w:val="30"/>
      <w:szCs w:val="30"/>
      <w:lang w:val="en-US" w:eastAsia="zh-CN" w:bidi="ar-SA"/>
    </w:rPr>
  </w:style>
  <w:style w:type="character" w:customStyle="1" w:styleId="1340">
    <w:name w:val="标题 3 Char31"/>
    <w:qFormat/>
    <w:uiPriority w:val="0"/>
    <w:rPr>
      <w:rFonts w:ascii="黑体" w:hAnsi="宋体" w:eastAsia="黑体"/>
      <w:b/>
      <w:bCs/>
      <w:kern w:val="2"/>
      <w:sz w:val="28"/>
      <w:szCs w:val="28"/>
      <w:lang w:val="en-US" w:eastAsia="zh-CN" w:bidi="ar-SA"/>
    </w:rPr>
  </w:style>
  <w:style w:type="character" w:customStyle="1" w:styleId="1341">
    <w:name w:val="正文缩进 Char61"/>
    <w:qFormat/>
    <w:uiPriority w:val="0"/>
    <w:rPr>
      <w:rFonts w:ascii="宋体" w:hAnsi="宋体" w:eastAsia="宋体"/>
      <w:kern w:val="2"/>
      <w:sz w:val="24"/>
      <w:szCs w:val="24"/>
      <w:lang w:val="en-US" w:eastAsia="zh-CN" w:bidi="ar-SA"/>
    </w:rPr>
  </w:style>
  <w:style w:type="character" w:customStyle="1" w:styleId="1342">
    <w:name w:val="标题 3 Char3"/>
    <w:qFormat/>
    <w:uiPriority w:val="0"/>
    <w:rPr>
      <w:rFonts w:ascii="黑体" w:hAnsi="宋体" w:eastAsia="黑体"/>
      <w:b/>
      <w:bCs/>
      <w:kern w:val="2"/>
      <w:sz w:val="28"/>
      <w:szCs w:val="28"/>
      <w:lang w:val="en-US" w:eastAsia="zh-CN" w:bidi="ar-SA"/>
    </w:rPr>
  </w:style>
  <w:style w:type="character" w:customStyle="1" w:styleId="1343">
    <w:name w:val="俺的正文 Char Char"/>
    <w:link w:val="1344"/>
    <w:qFormat/>
    <w:uiPriority w:val="0"/>
    <w:rPr>
      <w:sz w:val="24"/>
      <w:szCs w:val="24"/>
    </w:rPr>
  </w:style>
  <w:style w:type="paragraph" w:customStyle="1" w:styleId="1344">
    <w:name w:val="俺的正文"/>
    <w:basedOn w:val="1"/>
    <w:link w:val="1343"/>
    <w:qFormat/>
    <w:uiPriority w:val="0"/>
    <w:pPr>
      <w:pBdr>
        <w:top w:val="single" w:color="auto" w:sz="4" w:space="1"/>
      </w:pBdr>
      <w:spacing w:line="460" w:lineRule="exact"/>
      <w:ind w:firstLine="200" w:firstLineChars="200"/>
    </w:pPr>
    <w:rPr>
      <w:kern w:val="0"/>
      <w:sz w:val="24"/>
    </w:rPr>
  </w:style>
  <w:style w:type="character" w:customStyle="1" w:styleId="1345">
    <w:name w:val="Char Char Char21"/>
    <w:qFormat/>
    <w:uiPriority w:val="0"/>
    <w:rPr>
      <w:rFonts w:eastAsia="宋体"/>
      <w:kern w:val="2"/>
      <w:sz w:val="21"/>
      <w:szCs w:val="24"/>
      <w:lang w:val="en-US" w:eastAsia="zh-CN" w:bidi="ar-SA"/>
    </w:rPr>
  </w:style>
  <w:style w:type="character" w:customStyle="1" w:styleId="1346">
    <w:name w:val="c Char1"/>
    <w:link w:val="914"/>
    <w:qFormat/>
    <w:uiPriority w:val="0"/>
    <w:rPr>
      <w:rFonts w:ascii="Arial" w:hAnsi="Arial"/>
      <w:kern w:val="2"/>
      <w:sz w:val="24"/>
      <w:szCs w:val="18"/>
      <w:lang w:bidi="ar-SA"/>
    </w:rPr>
  </w:style>
  <w:style w:type="character" w:customStyle="1" w:styleId="1347">
    <w:name w:val="题注 Char7"/>
    <w:qFormat/>
    <w:uiPriority w:val="0"/>
    <w:rPr>
      <w:rFonts w:ascii="黑体" w:hAnsi="Arial" w:eastAsia="黑体" w:cs="Arial"/>
      <w:b/>
      <w:kern w:val="2"/>
      <w:sz w:val="24"/>
      <w:szCs w:val="24"/>
      <w:lang w:val="en-US" w:eastAsia="zh-CN" w:bidi="ar-SA"/>
    </w:rPr>
  </w:style>
  <w:style w:type="character" w:customStyle="1" w:styleId="1348">
    <w:name w:val="样式 标题 3 + 左侧:  0 厘米 首行缩进:  0 厘米 Char Char Char1"/>
    <w:qFormat/>
    <w:uiPriority w:val="0"/>
    <w:rPr>
      <w:rFonts w:eastAsia="宋体"/>
      <w:b/>
      <w:bCs/>
      <w:kern w:val="32"/>
      <w:sz w:val="32"/>
      <w:szCs w:val="32"/>
      <w:lang w:val="en-US" w:eastAsia="zh-CN" w:bidi="ar-SA"/>
    </w:rPr>
  </w:style>
  <w:style w:type="character" w:customStyle="1" w:styleId="1349">
    <w:name w:val="谏壁chen表格内文字 Char Char"/>
    <w:qFormat/>
    <w:uiPriority w:val="0"/>
    <w:rPr>
      <w:kern w:val="2"/>
      <w:sz w:val="21"/>
      <w:szCs w:val="21"/>
    </w:rPr>
  </w:style>
  <w:style w:type="character" w:customStyle="1" w:styleId="1350">
    <w:name w:val="Char Char1118"/>
    <w:qFormat/>
    <w:uiPriority w:val="0"/>
    <w:rPr>
      <w:rFonts w:ascii="黑体" w:hAnsi="Arial" w:eastAsia="黑体"/>
      <w:bCs/>
      <w:kern w:val="2"/>
      <w:sz w:val="30"/>
      <w:szCs w:val="30"/>
      <w:lang w:val="en-US" w:eastAsia="zh-CN" w:bidi="ar-SA"/>
    </w:rPr>
  </w:style>
  <w:style w:type="character" w:customStyle="1" w:styleId="1351">
    <w:name w:val="正文修改 Char114"/>
    <w:qFormat/>
    <w:uiPriority w:val="0"/>
    <w:rPr>
      <w:rFonts w:ascii="宋体" w:hAnsi="宋体" w:eastAsia="宋体" w:cs="宋体"/>
      <w:color w:val="000000"/>
      <w:kern w:val="2"/>
      <w:sz w:val="24"/>
      <w:szCs w:val="24"/>
      <w:lang w:val="en-US" w:eastAsia="zh-CN" w:bidi="ar-SA"/>
    </w:rPr>
  </w:style>
  <w:style w:type="character" w:customStyle="1" w:styleId="1352">
    <w:name w:val="Char Char611"/>
    <w:qFormat/>
    <w:uiPriority w:val="0"/>
    <w:rPr>
      <w:rFonts w:ascii="黑体" w:eastAsia="黑体"/>
      <w:b/>
      <w:bCs/>
      <w:kern w:val="2"/>
      <w:sz w:val="28"/>
      <w:szCs w:val="28"/>
      <w:lang w:val="en-US" w:eastAsia="zh-CN" w:bidi="ar-SA"/>
    </w:rPr>
  </w:style>
  <w:style w:type="character" w:customStyle="1" w:styleId="1353">
    <w:name w:val="正文文本缩进 Char3"/>
    <w:qFormat/>
    <w:uiPriority w:val="0"/>
    <w:rPr>
      <w:rFonts w:ascii="宋体" w:hAnsi="宋体" w:eastAsia="宋体" w:cs="宋体"/>
      <w:color w:val="000000"/>
      <w:kern w:val="2"/>
      <w:sz w:val="24"/>
      <w:szCs w:val="24"/>
      <w:lang w:val="en-US" w:eastAsia="zh-CN" w:bidi="ar-SA"/>
    </w:rPr>
  </w:style>
  <w:style w:type="character" w:customStyle="1" w:styleId="1354">
    <w:name w:val="表格内容 Char1"/>
    <w:qFormat/>
    <w:uiPriority w:val="0"/>
    <w:rPr>
      <w:rFonts w:eastAsia="宋体"/>
      <w:kern w:val="2"/>
      <w:sz w:val="21"/>
      <w:szCs w:val="21"/>
      <w:lang w:val="en-US" w:eastAsia="zh-CN" w:bidi="ar-SA"/>
    </w:rPr>
  </w:style>
  <w:style w:type="character" w:customStyle="1" w:styleId="1355">
    <w:name w:val="第二层条 Char3"/>
    <w:qFormat/>
    <w:uiPriority w:val="0"/>
    <w:rPr>
      <w:rFonts w:ascii="Arial" w:hAnsi="Arial" w:eastAsia="黑体"/>
      <w:sz w:val="24"/>
      <w:lang w:val="en-US" w:eastAsia="zh-CN" w:bidi="ar-SA"/>
    </w:rPr>
  </w:style>
  <w:style w:type="character" w:customStyle="1" w:styleId="1356">
    <w:name w:val="样式 标题 3 + 黑色 Char Char Char Char Char Char1"/>
    <w:qFormat/>
    <w:uiPriority w:val="0"/>
    <w:rPr>
      <w:rFonts w:eastAsia="宋体"/>
      <w:b/>
      <w:bCs/>
      <w:color w:val="000000"/>
      <w:kern w:val="2"/>
      <w:sz w:val="28"/>
      <w:szCs w:val="32"/>
      <w:lang w:val="en-US" w:eastAsia="zh-CN" w:bidi="ar-SA"/>
    </w:rPr>
  </w:style>
  <w:style w:type="character" w:customStyle="1" w:styleId="1357">
    <w:name w:val="Char Char6110"/>
    <w:qFormat/>
    <w:uiPriority w:val="0"/>
    <w:rPr>
      <w:rFonts w:ascii="黑体" w:eastAsia="黑体"/>
      <w:b/>
      <w:bCs/>
      <w:kern w:val="2"/>
      <w:sz w:val="28"/>
      <w:szCs w:val="28"/>
      <w:lang w:val="en-US" w:eastAsia="zh-CN" w:bidi="ar-SA"/>
    </w:rPr>
  </w:style>
  <w:style w:type="character" w:customStyle="1" w:styleId="1358">
    <w:name w:val="正文修改 Char143"/>
    <w:qFormat/>
    <w:uiPriority w:val="0"/>
    <w:rPr>
      <w:rFonts w:ascii="宋体" w:hAnsi="Times New Roman" w:eastAsia="宋体" w:cs="宋体"/>
      <w:kern w:val="2"/>
      <w:sz w:val="24"/>
      <w:szCs w:val="24"/>
      <w:lang w:val="en-US" w:eastAsia="zh-CN" w:bidi="ar-SA"/>
    </w:rPr>
  </w:style>
  <w:style w:type="character" w:customStyle="1" w:styleId="1359">
    <w:name w:val="正文修改 Char133"/>
    <w:qFormat/>
    <w:uiPriority w:val="0"/>
    <w:rPr>
      <w:rFonts w:ascii="宋体" w:hAnsi="宋体" w:eastAsia="宋体" w:cs="宋体"/>
      <w:color w:val="000000"/>
      <w:kern w:val="2"/>
      <w:sz w:val="24"/>
      <w:szCs w:val="24"/>
      <w:lang w:val="en-US" w:eastAsia="zh-CN" w:bidi="ar-SA"/>
    </w:rPr>
  </w:style>
  <w:style w:type="character" w:customStyle="1" w:styleId="1360">
    <w:name w:val="标题正文黑 Char2"/>
    <w:qFormat/>
    <w:uiPriority w:val="0"/>
    <w:rPr>
      <w:rFonts w:ascii="黑体" w:eastAsia="黑体"/>
      <w:kern w:val="2"/>
      <w:sz w:val="28"/>
      <w:szCs w:val="28"/>
      <w:lang w:val="en-US" w:eastAsia="zh-CN" w:bidi="ar-SA"/>
    </w:rPr>
  </w:style>
  <w:style w:type="character" w:customStyle="1" w:styleId="1361">
    <w:name w:val="报告 Char Char Char2"/>
    <w:qFormat/>
    <w:uiPriority w:val="0"/>
    <w:rPr>
      <w:rFonts w:eastAsia="宋体"/>
      <w:kern w:val="2"/>
      <w:sz w:val="24"/>
      <w:szCs w:val="24"/>
      <w:lang w:val="en-US" w:eastAsia="zh-CN" w:bidi="ar-SA"/>
    </w:rPr>
  </w:style>
  <w:style w:type="character" w:customStyle="1" w:styleId="1362">
    <w:name w:val="样式 标题 2节 + 宋体 左 Char Char"/>
    <w:qFormat/>
    <w:uiPriority w:val="0"/>
    <w:rPr>
      <w:rFonts w:ascii="宋体" w:hAnsi="宋体"/>
      <w:b/>
      <w:bCs/>
      <w:kern w:val="2"/>
      <w:sz w:val="28"/>
      <w:szCs w:val="24"/>
    </w:rPr>
  </w:style>
  <w:style w:type="character" w:customStyle="1" w:styleId="1363">
    <w:name w:val="Char Char317"/>
    <w:qFormat/>
    <w:uiPriority w:val="0"/>
    <w:rPr>
      <w:rFonts w:ascii="黑体" w:hAnsi="宋体" w:eastAsia="黑体"/>
      <w:b/>
      <w:bCs/>
      <w:kern w:val="2"/>
      <w:sz w:val="28"/>
      <w:szCs w:val="28"/>
      <w:lang w:val="en-US" w:eastAsia="zh-CN" w:bidi="ar-SA"/>
    </w:rPr>
  </w:style>
  <w:style w:type="character" w:customStyle="1" w:styleId="1364">
    <w:name w:val="正文修改 Char1113"/>
    <w:qFormat/>
    <w:uiPriority w:val="0"/>
    <w:rPr>
      <w:rFonts w:ascii="宋体" w:hAnsi="宋体" w:eastAsia="宋体" w:cs="宋体"/>
      <w:color w:val="000000"/>
      <w:kern w:val="2"/>
      <w:sz w:val="24"/>
      <w:szCs w:val="24"/>
      <w:lang w:val="en-US" w:eastAsia="zh-CN" w:bidi="ar-SA"/>
    </w:rPr>
  </w:style>
  <w:style w:type="character" w:customStyle="1" w:styleId="1365">
    <w:name w:val="题注 Char54"/>
    <w:qFormat/>
    <w:uiPriority w:val="0"/>
    <w:rPr>
      <w:rFonts w:ascii="黑体" w:hAnsi="Arial" w:eastAsia="黑体" w:cs="Arial"/>
      <w:b/>
      <w:kern w:val="2"/>
      <w:sz w:val="24"/>
      <w:szCs w:val="24"/>
      <w:lang w:val="en-US" w:eastAsia="zh-CN" w:bidi="ar-SA"/>
    </w:rPr>
  </w:style>
  <w:style w:type="character" w:customStyle="1" w:styleId="1366">
    <w:name w:val="Char Char44"/>
    <w:qFormat/>
    <w:uiPriority w:val="0"/>
    <w:rPr>
      <w:rFonts w:ascii="黑体" w:hAnsi="Arial" w:eastAsia="黑体"/>
      <w:b/>
      <w:bCs/>
      <w:kern w:val="2"/>
      <w:sz w:val="30"/>
      <w:szCs w:val="30"/>
      <w:lang w:val="en-US" w:eastAsia="zh-CN" w:bidi="ar-SA"/>
    </w:rPr>
  </w:style>
  <w:style w:type="character" w:customStyle="1" w:styleId="1367">
    <w:name w:val="题注 Char34"/>
    <w:qFormat/>
    <w:uiPriority w:val="0"/>
    <w:rPr>
      <w:rFonts w:ascii="黑体" w:hAnsi="Arial" w:eastAsia="黑体" w:cs="Arial"/>
      <w:b/>
      <w:kern w:val="2"/>
      <w:sz w:val="24"/>
      <w:szCs w:val="24"/>
      <w:lang w:val="en-US" w:eastAsia="zh-CN" w:bidi="ar-SA"/>
    </w:rPr>
  </w:style>
  <w:style w:type="character" w:customStyle="1" w:styleId="1368">
    <w:name w:val="样式6 Char Char"/>
    <w:link w:val="222"/>
    <w:qFormat/>
    <w:uiPriority w:val="0"/>
    <w:rPr>
      <w:kern w:val="2"/>
      <w:sz w:val="24"/>
      <w:szCs w:val="24"/>
    </w:rPr>
  </w:style>
  <w:style w:type="character" w:customStyle="1" w:styleId="1369">
    <w:name w:val="表格小四 Char Char"/>
    <w:link w:val="1370"/>
    <w:qFormat/>
    <w:uiPriority w:val="0"/>
    <w:rPr>
      <w:rFonts w:ascii="宋体" w:hAnsi="宋体"/>
      <w:sz w:val="24"/>
      <w:szCs w:val="24"/>
    </w:rPr>
  </w:style>
  <w:style w:type="paragraph" w:customStyle="1" w:styleId="1370">
    <w:name w:val="表格小四"/>
    <w:basedOn w:val="1"/>
    <w:link w:val="1369"/>
    <w:qFormat/>
    <w:uiPriority w:val="0"/>
    <w:pPr>
      <w:adjustRightInd w:val="0"/>
      <w:snapToGrid w:val="0"/>
      <w:spacing w:line="480" w:lineRule="exact"/>
    </w:pPr>
    <w:rPr>
      <w:rFonts w:ascii="宋体" w:hAnsi="宋体"/>
      <w:kern w:val="0"/>
      <w:sz w:val="24"/>
    </w:rPr>
  </w:style>
  <w:style w:type="character" w:customStyle="1" w:styleId="1371">
    <w:name w:val="11p1"/>
    <w:qFormat/>
    <w:uiPriority w:val="0"/>
    <w:rPr>
      <w:sz w:val="21"/>
      <w:szCs w:val="21"/>
    </w:rPr>
  </w:style>
  <w:style w:type="character" w:customStyle="1" w:styleId="1372">
    <w:name w:val="河石1 Char14"/>
    <w:qFormat/>
    <w:uiPriority w:val="0"/>
    <w:rPr>
      <w:rFonts w:ascii="黑体" w:hAnsi="宋体" w:eastAsia="黑体"/>
      <w:bCs/>
      <w:kern w:val="44"/>
      <w:sz w:val="32"/>
      <w:szCs w:val="32"/>
      <w:lang w:val="en-US" w:eastAsia="zh-CN" w:bidi="ar-SA"/>
    </w:rPr>
  </w:style>
  <w:style w:type="character" w:customStyle="1" w:styleId="1373">
    <w:name w:val="标题 2 Char7"/>
    <w:qFormat/>
    <w:uiPriority w:val="0"/>
    <w:rPr>
      <w:rFonts w:ascii="黑体" w:hAnsi="Arial" w:eastAsia="黑体" w:cs="Times New Roman"/>
      <w:bCs/>
      <w:kern w:val="2"/>
      <w:sz w:val="30"/>
      <w:szCs w:val="30"/>
      <w:lang w:val="en-US" w:eastAsia="zh-CN" w:bidi="ar-SA"/>
    </w:rPr>
  </w:style>
  <w:style w:type="character" w:customStyle="1" w:styleId="1374">
    <w:name w:val="环表头 Char2"/>
    <w:qFormat/>
    <w:uiPriority w:val="0"/>
  </w:style>
  <w:style w:type="character" w:customStyle="1" w:styleId="1375">
    <w:name w:val="正文缩进 Char4"/>
    <w:qFormat/>
    <w:uiPriority w:val="0"/>
    <w:rPr>
      <w:rFonts w:ascii="宋体" w:hAnsi="宋体" w:eastAsia="宋体" w:cs="宋体"/>
      <w:color w:val="000000"/>
      <w:kern w:val="2"/>
      <w:sz w:val="24"/>
      <w:szCs w:val="24"/>
      <w:lang w:val="en-US" w:eastAsia="zh-CN" w:bidi="ar-SA"/>
    </w:rPr>
  </w:style>
  <w:style w:type="character" w:customStyle="1" w:styleId="1376">
    <w:name w:val="普通 (Web) Char Char"/>
    <w:qFormat/>
    <w:uiPriority w:val="0"/>
    <w:rPr>
      <w:rFonts w:ascii="宋体" w:hAnsi="宋体" w:eastAsia="宋体"/>
      <w:sz w:val="24"/>
      <w:lang w:val="en-US" w:eastAsia="zh-CN"/>
    </w:rPr>
  </w:style>
  <w:style w:type="character" w:customStyle="1" w:styleId="1377">
    <w:name w:val="stit16_g1"/>
    <w:qFormat/>
    <w:uiPriority w:val="0"/>
    <w:rPr>
      <w:rFonts w:hint="eastAsia" w:ascii="Gulim" w:hAnsi="Gulim" w:eastAsia="Gulim"/>
      <w:color w:val="1425D0"/>
      <w:sz w:val="16"/>
      <w:szCs w:val="16"/>
    </w:rPr>
  </w:style>
  <w:style w:type="character" w:customStyle="1" w:styleId="1378">
    <w:name w:val="Char Char616"/>
    <w:qFormat/>
    <w:uiPriority w:val="0"/>
    <w:rPr>
      <w:rFonts w:ascii="黑体" w:eastAsia="黑体"/>
      <w:b/>
      <w:bCs/>
      <w:kern w:val="2"/>
      <w:sz w:val="28"/>
      <w:szCs w:val="28"/>
      <w:lang w:val="en-US" w:eastAsia="zh-CN" w:bidi="ar-SA"/>
    </w:rPr>
  </w:style>
  <w:style w:type="character" w:customStyle="1" w:styleId="1379">
    <w:name w:val="燕山正文 Char111"/>
    <w:qFormat/>
    <w:uiPriority w:val="0"/>
    <w:rPr>
      <w:rFonts w:ascii="宋体" w:eastAsia="宋体" w:cs="宋体"/>
      <w:kern w:val="2"/>
      <w:sz w:val="24"/>
      <w:szCs w:val="24"/>
      <w:lang w:val="en-US" w:eastAsia="zh-CN" w:bidi="ar-SA"/>
    </w:rPr>
  </w:style>
  <w:style w:type="character" w:customStyle="1" w:styleId="1380">
    <w:name w:val="图题注 Char3"/>
    <w:qFormat/>
    <w:uiPriority w:val="0"/>
    <w:rPr>
      <w:rFonts w:ascii="黑体" w:hAnsi="Arial" w:eastAsia="黑体" w:cs="宋体"/>
      <w:b/>
      <w:bCs/>
      <w:kern w:val="2"/>
      <w:sz w:val="24"/>
      <w:szCs w:val="24"/>
      <w:lang w:val="en-US" w:eastAsia="zh-CN" w:bidi="ar-SA"/>
    </w:rPr>
  </w:style>
  <w:style w:type="character" w:customStyle="1" w:styleId="1381">
    <w:name w:val="章节 Char2"/>
    <w:qFormat/>
    <w:uiPriority w:val="0"/>
    <w:rPr>
      <w:rFonts w:ascii="楷体_GB2312" w:eastAsia="楷体_GB2312"/>
      <w:b/>
      <w:kern w:val="44"/>
      <w:sz w:val="30"/>
      <w:lang w:val="en-US" w:eastAsia="zh-CN" w:bidi="ar-SA"/>
    </w:rPr>
  </w:style>
  <w:style w:type="character" w:customStyle="1" w:styleId="1382">
    <w:name w:val="表格文本 Char Char"/>
    <w:qFormat/>
    <w:uiPriority w:val="0"/>
    <w:rPr>
      <w:rFonts w:ascii="Arial" w:hAnsi="Arial"/>
      <w:kern w:val="2"/>
      <w:sz w:val="21"/>
      <w:szCs w:val="24"/>
    </w:rPr>
  </w:style>
  <w:style w:type="character" w:customStyle="1" w:styleId="1383">
    <w:name w:val="燕山正文 Char141"/>
    <w:qFormat/>
    <w:uiPriority w:val="0"/>
    <w:rPr>
      <w:rFonts w:ascii="宋体" w:eastAsia="宋体" w:cs="宋体"/>
      <w:kern w:val="2"/>
      <w:sz w:val="24"/>
      <w:szCs w:val="24"/>
      <w:lang w:val="en-US" w:eastAsia="zh-CN" w:bidi="ar-SA"/>
    </w:rPr>
  </w:style>
  <w:style w:type="character" w:customStyle="1" w:styleId="1384">
    <w:name w:val="环评正文 Char3"/>
    <w:qFormat/>
    <w:uiPriority w:val="0"/>
    <w:rPr>
      <w:rFonts w:ascii="Times New Roman" w:hAnsi="Times New Roman" w:eastAsia="宋体" w:cs="Times New Roman"/>
      <w:bCs/>
      <w:kern w:val="2"/>
      <w:sz w:val="24"/>
      <w:szCs w:val="24"/>
      <w:lang w:val="en-US" w:eastAsia="zh-CN" w:bidi="ar-SA"/>
    </w:rPr>
  </w:style>
  <w:style w:type="character" w:customStyle="1" w:styleId="1385">
    <w:name w:val="正文缩进 Char6"/>
    <w:qFormat/>
    <w:uiPriority w:val="0"/>
    <w:rPr>
      <w:rFonts w:ascii="宋体" w:hAnsi="宋体" w:eastAsia="宋体"/>
      <w:kern w:val="2"/>
      <w:sz w:val="24"/>
      <w:szCs w:val="24"/>
      <w:lang w:val="en-US" w:eastAsia="zh-CN" w:bidi="ar-SA"/>
    </w:rPr>
  </w:style>
  <w:style w:type="character" w:customStyle="1" w:styleId="1386">
    <w:name w:val="标题 2 Char3"/>
    <w:qFormat/>
    <w:uiPriority w:val="0"/>
    <w:rPr>
      <w:rFonts w:ascii="黑体" w:hAnsi="Arial" w:eastAsia="黑体"/>
      <w:bCs/>
      <w:kern w:val="2"/>
      <w:sz w:val="30"/>
      <w:szCs w:val="30"/>
      <w:lang w:val="en-US" w:eastAsia="zh-CN" w:bidi="ar-SA"/>
    </w:rPr>
  </w:style>
  <w:style w:type="character" w:customStyle="1" w:styleId="1387">
    <w:name w:val="标题 4 Char2 Char"/>
    <w:qFormat/>
    <w:uiPriority w:val="9"/>
    <w:rPr>
      <w:rFonts w:ascii="Arial" w:hAnsi="Arial" w:eastAsia="黑体"/>
      <w:b/>
      <w:bCs/>
      <w:kern w:val="2"/>
      <w:sz w:val="28"/>
      <w:szCs w:val="28"/>
      <w:lang w:val="en-US" w:eastAsia="zh-CN" w:bidi="ar-SA"/>
    </w:rPr>
  </w:style>
  <w:style w:type="character" w:customStyle="1" w:styleId="1388">
    <w:name w:val="沥青正文 Char"/>
    <w:qFormat/>
    <w:uiPriority w:val="0"/>
    <w:rPr>
      <w:rFonts w:eastAsia="宋体"/>
      <w:kern w:val="2"/>
      <w:sz w:val="24"/>
      <w:szCs w:val="24"/>
      <w:lang w:val="en-US" w:eastAsia="zh-CN" w:bidi="ar-SA"/>
    </w:rPr>
  </w:style>
  <w:style w:type="character" w:customStyle="1" w:styleId="1389">
    <w:name w:val="批注框文本 Char21"/>
    <w:qFormat/>
    <w:uiPriority w:val="0"/>
    <w:rPr>
      <w:rFonts w:eastAsia="宋体"/>
      <w:kern w:val="2"/>
      <w:sz w:val="18"/>
      <w:szCs w:val="18"/>
      <w:lang w:val="en-US" w:eastAsia="zh-CN" w:bidi="ar-SA"/>
    </w:rPr>
  </w:style>
  <w:style w:type="character" w:customStyle="1" w:styleId="1390">
    <w:name w:val="标准 Char Char"/>
    <w:qFormat/>
    <w:uiPriority w:val="0"/>
    <w:rPr>
      <w:rFonts w:ascii="宋体" w:eastAsia="宋体"/>
      <w:sz w:val="28"/>
      <w:lang w:val="en-US" w:eastAsia="zh-CN" w:bidi="ar-SA"/>
    </w:rPr>
  </w:style>
  <w:style w:type="character" w:customStyle="1" w:styleId="1391">
    <w:name w:val="正文缩进 Ch Char"/>
    <w:qFormat/>
    <w:uiPriority w:val="0"/>
    <w:rPr>
      <w:rFonts w:eastAsia="宋体"/>
      <w:kern w:val="2"/>
      <w:sz w:val="21"/>
      <w:lang w:val="en-US" w:eastAsia="zh-CN" w:bidi="ar-SA"/>
    </w:rPr>
  </w:style>
  <w:style w:type="character" w:customStyle="1" w:styleId="1392">
    <w:name w:val="正文修改 Char16"/>
    <w:qFormat/>
    <w:uiPriority w:val="0"/>
    <w:rPr>
      <w:rFonts w:ascii="宋体" w:hAnsi="宋体" w:eastAsia="宋体" w:cs="宋体"/>
      <w:color w:val="000000"/>
      <w:kern w:val="2"/>
      <w:sz w:val="24"/>
      <w:szCs w:val="24"/>
      <w:lang w:val="en-US" w:eastAsia="zh-CN" w:bidi="ar-SA"/>
    </w:rPr>
  </w:style>
  <w:style w:type="character" w:customStyle="1" w:styleId="1393">
    <w:name w:val="copy2"/>
    <w:qFormat/>
    <w:uiPriority w:val="0"/>
    <w:rPr>
      <w:rFonts w:hint="eastAsia" w:ascii="宋体" w:hAnsi="宋体" w:eastAsia="宋体"/>
      <w:spacing w:val="24"/>
      <w:sz w:val="15"/>
      <w:szCs w:val="15"/>
    </w:rPr>
  </w:style>
  <w:style w:type="character" w:customStyle="1" w:styleId="1394">
    <w:name w:val="样式 正文文本 + (中文) 黑体 红色 Char Char Char Char Char Char Char"/>
    <w:qFormat/>
    <w:uiPriority w:val="0"/>
    <w:rPr>
      <w:rFonts w:eastAsia="黑体"/>
      <w:snapToGrid/>
      <w:color w:val="FF0000"/>
      <w:kern w:val="2"/>
      <w:sz w:val="24"/>
      <w:szCs w:val="24"/>
    </w:rPr>
  </w:style>
  <w:style w:type="character" w:customStyle="1" w:styleId="1395">
    <w:name w:val="Char Char516"/>
    <w:qFormat/>
    <w:uiPriority w:val="0"/>
    <w:rPr>
      <w:rFonts w:ascii="黑体" w:hAnsi="宋体" w:eastAsia="黑体"/>
      <w:bCs/>
      <w:kern w:val="2"/>
      <w:sz w:val="28"/>
      <w:szCs w:val="28"/>
      <w:lang w:val="en-US" w:eastAsia="zh-CN" w:bidi="ar-SA"/>
    </w:rPr>
  </w:style>
  <w:style w:type="character" w:customStyle="1" w:styleId="1396">
    <w:name w:val="Char Char35"/>
    <w:qFormat/>
    <w:uiPriority w:val="0"/>
    <w:rPr>
      <w:rFonts w:ascii="黑体" w:hAnsi="宋体" w:eastAsia="黑体"/>
      <w:b/>
      <w:bCs/>
      <w:kern w:val="2"/>
      <w:sz w:val="28"/>
      <w:szCs w:val="28"/>
      <w:lang w:val="en-US" w:eastAsia="zh-CN" w:bidi="ar-SA"/>
    </w:rPr>
  </w:style>
  <w:style w:type="character" w:customStyle="1" w:styleId="1397">
    <w:name w:val="Char Char312"/>
    <w:qFormat/>
    <w:uiPriority w:val="0"/>
    <w:rPr>
      <w:rFonts w:ascii="黑体" w:hAnsi="宋体" w:eastAsia="黑体"/>
      <w:b/>
      <w:bCs/>
      <w:kern w:val="2"/>
      <w:sz w:val="28"/>
      <w:szCs w:val="28"/>
      <w:lang w:val="en-US" w:eastAsia="zh-CN" w:bidi="ar-SA"/>
    </w:rPr>
  </w:style>
  <w:style w:type="character" w:customStyle="1" w:styleId="1398">
    <w:name w:val="Char Char1121"/>
    <w:qFormat/>
    <w:uiPriority w:val="0"/>
    <w:rPr>
      <w:rFonts w:ascii="黑体" w:hAnsi="Arial" w:eastAsia="黑体"/>
      <w:bCs/>
      <w:kern w:val="2"/>
      <w:sz w:val="30"/>
      <w:szCs w:val="30"/>
      <w:lang w:val="en-US" w:eastAsia="zh-CN" w:bidi="ar-SA"/>
    </w:rPr>
  </w:style>
  <w:style w:type="character" w:customStyle="1" w:styleId="1399">
    <w:name w:val="样式 表内小5 + 黑体 加粗 倾斜 下划线 Char51"/>
    <w:qFormat/>
    <w:uiPriority w:val="0"/>
    <w:rPr>
      <w:rFonts w:ascii="黑体" w:hAnsi="黑体" w:eastAsia="黑体"/>
      <w:b/>
      <w:bCs/>
      <w:i/>
      <w:iCs/>
      <w:kern w:val="2"/>
      <w:sz w:val="18"/>
      <w:szCs w:val="24"/>
      <w:u w:val="single"/>
      <w:lang w:val="en-US" w:eastAsia="zh-CN" w:bidi="ar-SA"/>
    </w:rPr>
  </w:style>
  <w:style w:type="character" w:customStyle="1" w:styleId="1400">
    <w:name w:val="标准文本 首行缩进: 2 字符 行距: 单倍 Char Char Char Char Char"/>
    <w:qFormat/>
    <w:uiPriority w:val="0"/>
    <w:rPr>
      <w:rFonts w:eastAsia="宋体"/>
      <w:kern w:val="2"/>
      <w:sz w:val="24"/>
      <w:szCs w:val="24"/>
      <w:lang w:val="en-US" w:eastAsia="zh-CN" w:bidi="ar-SA"/>
    </w:rPr>
  </w:style>
  <w:style w:type="character" w:customStyle="1" w:styleId="1401">
    <w:name w:val="p101"/>
    <w:qFormat/>
    <w:uiPriority w:val="0"/>
    <w:rPr>
      <w:rFonts w:hint="default" w:ascii="Verdana" w:hAnsi="Verdana"/>
      <w:sz w:val="21"/>
      <w:szCs w:val="21"/>
      <w:u w:val="none"/>
    </w:rPr>
  </w:style>
  <w:style w:type="character" w:customStyle="1" w:styleId="1402">
    <w:name w:val="Char Char57"/>
    <w:qFormat/>
    <w:uiPriority w:val="0"/>
    <w:rPr>
      <w:rFonts w:ascii="黑体" w:hAnsi="宋体" w:eastAsia="黑体"/>
      <w:bCs/>
      <w:kern w:val="2"/>
      <w:sz w:val="28"/>
      <w:szCs w:val="28"/>
      <w:lang w:val="en-US" w:eastAsia="zh-CN" w:bidi="ar-SA"/>
    </w:rPr>
  </w:style>
  <w:style w:type="character" w:customStyle="1" w:styleId="1403">
    <w:name w:val="正文缩进 Char32"/>
    <w:qFormat/>
    <w:uiPriority w:val="0"/>
    <w:rPr>
      <w:rFonts w:ascii="宋体" w:hAnsi="宋体" w:eastAsia="宋体" w:cs="宋体"/>
      <w:color w:val="000000"/>
      <w:kern w:val="0"/>
      <w:sz w:val="24"/>
      <w:szCs w:val="24"/>
      <w:lang w:val="en-US" w:eastAsia="zh-CN" w:bidi="ar-SA"/>
    </w:rPr>
  </w:style>
  <w:style w:type="character" w:customStyle="1" w:styleId="1404">
    <w:name w:val="表题1 Char611"/>
    <w:qFormat/>
    <w:uiPriority w:val="0"/>
    <w:rPr>
      <w:rFonts w:ascii="黑体" w:hAnsi="Arial" w:eastAsia="黑体" w:cs="Arial"/>
      <w:b/>
      <w:kern w:val="2"/>
      <w:sz w:val="24"/>
      <w:szCs w:val="24"/>
      <w:lang w:val="en-US" w:eastAsia="zh-CN" w:bidi="ar-SA"/>
    </w:rPr>
  </w:style>
  <w:style w:type="character" w:customStyle="1" w:styleId="1405">
    <w:name w:val="chang正文 Char Char"/>
    <w:link w:val="1406"/>
    <w:qFormat/>
    <w:uiPriority w:val="0"/>
    <w:rPr>
      <w:sz w:val="24"/>
      <w:szCs w:val="24"/>
    </w:rPr>
  </w:style>
  <w:style w:type="paragraph" w:customStyle="1" w:styleId="1406">
    <w:name w:val="chang正文"/>
    <w:basedOn w:val="1"/>
    <w:link w:val="1405"/>
    <w:qFormat/>
    <w:uiPriority w:val="0"/>
    <w:pPr>
      <w:spacing w:line="360" w:lineRule="auto"/>
      <w:ind w:firstLine="200" w:firstLineChars="200"/>
    </w:pPr>
    <w:rPr>
      <w:kern w:val="0"/>
      <w:sz w:val="24"/>
    </w:rPr>
  </w:style>
  <w:style w:type="character" w:customStyle="1" w:styleId="1407">
    <w:name w:val="样式 正文文本 + 红色 Char Char Char Char Char2"/>
    <w:qFormat/>
    <w:uiPriority w:val="0"/>
    <w:rPr>
      <w:rFonts w:eastAsia="仿宋_GB2312"/>
      <w:snapToGrid/>
      <w:color w:val="FF0000"/>
      <w:kern w:val="2"/>
      <w:sz w:val="24"/>
      <w:szCs w:val="24"/>
      <w:lang w:val="en-US" w:eastAsia="zh-CN" w:bidi="ar-SA"/>
    </w:rPr>
  </w:style>
  <w:style w:type="character" w:customStyle="1" w:styleId="1408">
    <w:name w:val="样式 标题 3 + 黑体 小四 左侧:  0.86 厘米 首行缩进:  0 厘米 Char Char Char2"/>
    <w:qFormat/>
    <w:uiPriority w:val="0"/>
    <w:rPr>
      <w:rFonts w:ascii="黑体" w:eastAsia="黑体"/>
      <w:b/>
      <w:bCs/>
      <w:color w:val="000000"/>
      <w:kern w:val="2"/>
      <w:sz w:val="24"/>
      <w:szCs w:val="24"/>
      <w:lang w:val="en-GB" w:eastAsia="zh-CN" w:bidi="ar-SA"/>
    </w:rPr>
  </w:style>
  <w:style w:type="character" w:customStyle="1" w:styleId="1409">
    <w:name w:val="正文文本 3 Char11"/>
    <w:qFormat/>
    <w:uiPriority w:val="0"/>
    <w:rPr>
      <w:rFonts w:eastAsia="宋体"/>
      <w:kern w:val="2"/>
      <w:sz w:val="16"/>
      <w:szCs w:val="16"/>
      <w:lang w:val="en-US" w:eastAsia="zh-CN" w:bidi="ar-SA"/>
    </w:rPr>
  </w:style>
  <w:style w:type="character" w:customStyle="1" w:styleId="1410">
    <w:name w:val="正文斜体 Char4"/>
    <w:qFormat/>
    <w:uiPriority w:val="0"/>
    <w:rPr>
      <w:rFonts w:ascii="宋体" w:hAnsi="宋体" w:eastAsia="宋体" w:cs="宋体"/>
      <w:i/>
      <w:iCs/>
      <w:kern w:val="2"/>
      <w:sz w:val="24"/>
      <w:szCs w:val="24"/>
      <w:lang w:val="en-US" w:eastAsia="zh-CN" w:bidi="ar-SA"/>
    </w:rPr>
  </w:style>
  <w:style w:type="character" w:customStyle="1" w:styleId="1411">
    <w:name w:val="样式 表格内字体 + Char2"/>
    <w:qFormat/>
    <w:uiPriority w:val="0"/>
    <w:rPr>
      <w:rFonts w:ascii="宋体" w:hAnsi="宋体" w:eastAsia="宋体"/>
      <w:kern w:val="2"/>
      <w:sz w:val="21"/>
      <w:szCs w:val="24"/>
      <w:lang w:val="en-US" w:eastAsia="zh-CN" w:bidi="ar-SA"/>
    </w:rPr>
  </w:style>
  <w:style w:type="character" w:customStyle="1" w:styleId="1412">
    <w:name w:val="表题1 Char10"/>
    <w:qFormat/>
    <w:uiPriority w:val="0"/>
    <w:rPr>
      <w:rFonts w:hAnsi="Arial" w:eastAsia="宋体" w:cs="Arial"/>
      <w:kern w:val="2"/>
      <w:sz w:val="24"/>
      <w:szCs w:val="24"/>
      <w:lang w:val="en-US" w:eastAsia="zh-CN" w:bidi="ar-SA"/>
    </w:rPr>
  </w:style>
  <w:style w:type="character" w:customStyle="1" w:styleId="1413">
    <w:name w:val="正文修改 Char1411"/>
    <w:qFormat/>
    <w:uiPriority w:val="0"/>
  </w:style>
  <w:style w:type="character" w:customStyle="1" w:styleId="1414">
    <w:name w:val="Char Char63"/>
    <w:qFormat/>
    <w:uiPriority w:val="0"/>
    <w:rPr>
      <w:rFonts w:ascii="黑体" w:eastAsia="黑体"/>
      <w:b/>
      <w:bCs/>
      <w:kern w:val="2"/>
      <w:sz w:val="28"/>
      <w:szCs w:val="28"/>
      <w:lang w:val="en-US" w:eastAsia="zh-CN" w:bidi="ar-SA"/>
    </w:rPr>
  </w:style>
  <w:style w:type="character" w:customStyle="1" w:styleId="1415">
    <w:name w:val="表格 Char Char"/>
    <w:qFormat/>
    <w:uiPriority w:val="0"/>
    <w:rPr>
      <w:rFonts w:ascii="Arial" w:hAnsi="Arial" w:eastAsia="华文细黑"/>
      <w:kern w:val="2"/>
      <w:sz w:val="21"/>
      <w:szCs w:val="30"/>
      <w:lang w:val="en-US" w:eastAsia="zh-CN" w:bidi="ar-SA"/>
    </w:rPr>
  </w:style>
  <w:style w:type="character" w:customStyle="1" w:styleId="1416">
    <w:name w:val="text1"/>
    <w:qFormat/>
    <w:uiPriority w:val="0"/>
    <w:rPr>
      <w:rFonts w:hint="default" w:ascii="ˎ̥" w:hAnsi="ˎ̥" w:eastAsia="宋体"/>
      <w:color w:val="000000"/>
      <w:kern w:val="2"/>
      <w:sz w:val="18"/>
      <w:szCs w:val="18"/>
      <w:u w:val="none"/>
      <w:lang w:val="en-US" w:eastAsia="zh-CN" w:bidi="ar-SA"/>
    </w:rPr>
  </w:style>
  <w:style w:type="character" w:customStyle="1" w:styleId="1417">
    <w:name w:val="Char Char53"/>
    <w:qFormat/>
    <w:uiPriority w:val="0"/>
    <w:rPr>
      <w:rFonts w:ascii="黑体" w:hAnsi="宋体" w:eastAsia="黑体"/>
      <w:bCs/>
      <w:kern w:val="2"/>
      <w:sz w:val="28"/>
      <w:szCs w:val="28"/>
      <w:lang w:val="en-US" w:eastAsia="zh-CN" w:bidi="ar-SA"/>
    </w:rPr>
  </w:style>
  <w:style w:type="character" w:customStyle="1" w:styleId="1418">
    <w:name w:val="表中文字 Char231"/>
    <w:qFormat/>
    <w:uiPriority w:val="0"/>
    <w:rPr>
      <w:rFonts w:ascii="宋体" w:eastAsia="宋体"/>
      <w:kern w:val="2"/>
      <w:sz w:val="21"/>
      <w:szCs w:val="21"/>
      <w:lang w:val="en-US" w:eastAsia="zh-CN" w:bidi="ar-SA"/>
    </w:rPr>
  </w:style>
  <w:style w:type="character" w:customStyle="1" w:styleId="1419">
    <w:name w:val="TOm"/>
    <w:qFormat/>
    <w:uiPriority w:val="0"/>
    <w:rPr>
      <w:rFonts w:ascii="Arial" w:hAnsi="Arial" w:eastAsia="MS Mincho"/>
      <w:spacing w:val="0"/>
      <w:position w:val="0"/>
      <w:sz w:val="20"/>
    </w:rPr>
  </w:style>
  <w:style w:type="character" w:customStyle="1" w:styleId="1420">
    <w:name w:val="正文001 Char Char"/>
    <w:link w:val="213"/>
    <w:qFormat/>
    <w:uiPriority w:val="0"/>
    <w:rPr>
      <w:kern w:val="2"/>
      <w:sz w:val="24"/>
      <w:szCs w:val="24"/>
    </w:rPr>
  </w:style>
  <w:style w:type="character" w:customStyle="1" w:styleId="1421">
    <w:name w:val="样式 样式 样式 宋体 小四 行距: 多倍行距 1.4 字行2 + 黑色 + Times New Roman1 Char Char"/>
    <w:link w:val="1422"/>
    <w:qFormat/>
    <w:uiPriority w:val="0"/>
    <w:rPr>
      <w:color w:val="000000"/>
      <w:sz w:val="24"/>
    </w:rPr>
  </w:style>
  <w:style w:type="paragraph" w:customStyle="1" w:styleId="1422">
    <w:name w:val="样式 样式 样式 宋体 小四 行距: 多倍行距 1.4 字行2 + 黑色 + Times New Roman1"/>
    <w:basedOn w:val="1"/>
    <w:link w:val="1421"/>
    <w:qFormat/>
    <w:uiPriority w:val="0"/>
    <w:pPr>
      <w:spacing w:line="360" w:lineRule="auto"/>
      <w:ind w:firstLine="200" w:firstLineChars="200"/>
    </w:pPr>
    <w:rPr>
      <w:color w:val="000000"/>
      <w:kern w:val="0"/>
      <w:sz w:val="24"/>
      <w:szCs w:val="20"/>
    </w:rPr>
  </w:style>
  <w:style w:type="character" w:customStyle="1" w:styleId="1423">
    <w:name w:val="Char Char1210"/>
    <w:qFormat/>
    <w:uiPriority w:val="0"/>
    <w:rPr>
      <w:rFonts w:ascii="黑体" w:hAnsi="Arial" w:eastAsia="黑体"/>
      <w:b/>
      <w:bCs/>
      <w:kern w:val="2"/>
      <w:sz w:val="30"/>
      <w:szCs w:val="30"/>
      <w:lang w:val="en-US" w:eastAsia="zh-CN" w:bidi="ar-SA"/>
    </w:rPr>
  </w:style>
  <w:style w:type="character" w:customStyle="1" w:styleId="1424">
    <w:name w:val="样式 正文缩进 + 宋体 黑色 Char Char"/>
    <w:link w:val="1425"/>
    <w:qFormat/>
    <w:uiPriority w:val="0"/>
    <w:rPr>
      <w:rFonts w:ascii="宋体" w:hAnsi="宋体"/>
      <w:color w:val="000000"/>
      <w:sz w:val="24"/>
      <w:szCs w:val="24"/>
    </w:rPr>
  </w:style>
  <w:style w:type="paragraph" w:customStyle="1" w:styleId="1425">
    <w:name w:val="样式 正文缩进 + 宋体 黑色"/>
    <w:basedOn w:val="20"/>
    <w:link w:val="1424"/>
    <w:qFormat/>
    <w:uiPriority w:val="0"/>
    <w:pPr>
      <w:spacing w:line="360" w:lineRule="auto"/>
      <w:ind w:firstLine="200"/>
      <w:jc w:val="left"/>
    </w:pPr>
    <w:rPr>
      <w:rFonts w:ascii="宋体" w:hAnsi="宋体"/>
      <w:color w:val="000000"/>
      <w:kern w:val="0"/>
      <w:sz w:val="24"/>
    </w:rPr>
  </w:style>
  <w:style w:type="character" w:customStyle="1" w:styleId="1426">
    <w:name w:val="正文斜体 Char13"/>
    <w:qFormat/>
    <w:uiPriority w:val="0"/>
    <w:rPr>
      <w:rFonts w:hAnsi="宋体"/>
      <w:i/>
      <w:iCs/>
    </w:rPr>
  </w:style>
  <w:style w:type="character" w:customStyle="1" w:styleId="1427">
    <w:name w:val="正文图 Char Char Char Char"/>
    <w:link w:val="1428"/>
    <w:qFormat/>
    <w:uiPriority w:val="0"/>
    <w:rPr>
      <w:rFonts w:ascii="宋体" w:hAnsi="宋体"/>
      <w:sz w:val="24"/>
      <w:szCs w:val="28"/>
    </w:rPr>
  </w:style>
  <w:style w:type="paragraph" w:customStyle="1" w:styleId="1428">
    <w:name w:val="正文图 Char"/>
    <w:basedOn w:val="1"/>
    <w:link w:val="1427"/>
    <w:qFormat/>
    <w:uiPriority w:val="0"/>
    <w:pPr>
      <w:adjustRightInd w:val="0"/>
      <w:snapToGrid w:val="0"/>
      <w:jc w:val="center"/>
      <w:textAlignment w:val="baseline"/>
    </w:pPr>
    <w:rPr>
      <w:rFonts w:ascii="宋体" w:hAnsi="宋体"/>
      <w:kern w:val="0"/>
      <w:sz w:val="24"/>
      <w:szCs w:val="28"/>
    </w:rPr>
  </w:style>
  <w:style w:type="character" w:customStyle="1" w:styleId="1429">
    <w:name w:val="题1 Char Char"/>
    <w:link w:val="1430"/>
    <w:qFormat/>
    <w:uiPriority w:val="0"/>
    <w:rPr>
      <w:rFonts w:cs="Arial"/>
      <w:b/>
      <w:bCs/>
      <w:sz w:val="32"/>
      <w:szCs w:val="32"/>
    </w:rPr>
  </w:style>
  <w:style w:type="paragraph" w:customStyle="1" w:styleId="1430">
    <w:name w:val="题1"/>
    <w:basedOn w:val="83"/>
    <w:link w:val="1429"/>
    <w:qFormat/>
    <w:uiPriority w:val="0"/>
    <w:pPr>
      <w:adjustRightInd w:val="0"/>
      <w:snapToGrid w:val="0"/>
      <w:spacing w:before="120" w:after="120" w:line="360" w:lineRule="auto"/>
      <w:jc w:val="left"/>
    </w:pPr>
    <w:rPr>
      <w:rFonts w:ascii="Times New Roman" w:hAnsi="Times New Roman"/>
      <w:kern w:val="0"/>
    </w:rPr>
  </w:style>
  <w:style w:type="character" w:customStyle="1" w:styleId="1431">
    <w:name w:val="标题 2 Char Char1"/>
    <w:qFormat/>
    <w:uiPriority w:val="0"/>
    <w:rPr>
      <w:rFonts w:ascii="仿宋_GB2312" w:hAnsi="Arial" w:eastAsia="仿宋_GB2312"/>
      <w:b/>
      <w:bCs/>
      <w:kern w:val="2"/>
      <w:sz w:val="28"/>
      <w:szCs w:val="32"/>
      <w:lang w:val="en-US" w:eastAsia="zh-CN" w:bidi="ar-SA"/>
    </w:rPr>
  </w:style>
  <w:style w:type="character" w:customStyle="1" w:styleId="1432">
    <w:name w:val="Char Char2115"/>
    <w:qFormat/>
    <w:uiPriority w:val="0"/>
    <w:rPr>
      <w:rFonts w:ascii="黑体" w:eastAsia="宋体"/>
      <w:kern w:val="2"/>
      <w:sz w:val="16"/>
      <w:szCs w:val="16"/>
      <w:lang w:val="en-US" w:eastAsia="zh-CN" w:bidi="ar-SA"/>
    </w:rPr>
  </w:style>
  <w:style w:type="character" w:customStyle="1" w:styleId="1433">
    <w:name w:val="正文修改 Char1412"/>
    <w:qFormat/>
    <w:uiPriority w:val="0"/>
    <w:rPr>
      <w:rFonts w:ascii="宋体" w:hAnsi="Times New Roman" w:eastAsia="宋体" w:cs="宋体"/>
      <w:kern w:val="2"/>
      <w:sz w:val="24"/>
      <w:szCs w:val="24"/>
      <w:lang w:val="en-US" w:eastAsia="zh-CN" w:bidi="ar-SA"/>
    </w:rPr>
  </w:style>
  <w:style w:type="character" w:customStyle="1" w:styleId="1434">
    <w:name w:val="标题 3 Char2"/>
    <w:qFormat/>
    <w:uiPriority w:val="0"/>
    <w:rPr>
      <w:rFonts w:ascii="黑体" w:hAnsi="宋体" w:eastAsia="黑体"/>
      <w:b/>
      <w:bCs/>
      <w:kern w:val="2"/>
      <w:sz w:val="28"/>
      <w:szCs w:val="28"/>
      <w:lang w:val="en-US" w:eastAsia="zh-CN" w:bidi="ar-SA"/>
    </w:rPr>
  </w:style>
  <w:style w:type="character" w:customStyle="1" w:styleId="1435">
    <w:name w:val="Char Char43"/>
    <w:qFormat/>
    <w:uiPriority w:val="0"/>
    <w:rPr>
      <w:rFonts w:ascii="黑体" w:hAnsi="Arial" w:eastAsia="黑体"/>
      <w:b/>
      <w:bCs/>
      <w:kern w:val="2"/>
      <w:sz w:val="30"/>
      <w:szCs w:val="30"/>
      <w:lang w:val="en-US" w:eastAsia="zh-CN" w:bidi="ar-SA"/>
    </w:rPr>
  </w:style>
  <w:style w:type="character" w:customStyle="1" w:styleId="1436">
    <w:name w:val="表格文字 Char Char3"/>
    <w:qFormat/>
    <w:uiPriority w:val="0"/>
    <w:rPr>
      <w:rFonts w:ascii="宋体" w:hAnsi="宋体" w:eastAsia="仿宋_GB2312" w:cs="宋体"/>
      <w:sz w:val="21"/>
      <w:szCs w:val="21"/>
      <w:lang w:val="en-US" w:eastAsia="zh-CN" w:bidi="ar-SA"/>
    </w:rPr>
  </w:style>
  <w:style w:type="character" w:customStyle="1" w:styleId="1437">
    <w:name w:val="正文文本缩进 3 Char31"/>
    <w:qFormat/>
    <w:uiPriority w:val="0"/>
    <w:rPr>
      <w:rFonts w:eastAsia="宋体"/>
      <w:kern w:val="2"/>
      <w:sz w:val="16"/>
      <w:szCs w:val="16"/>
      <w:lang w:val="en-US" w:eastAsia="zh-CN" w:bidi="ar-SA"/>
    </w:rPr>
  </w:style>
  <w:style w:type="character" w:customStyle="1" w:styleId="1438">
    <w:name w:val="Char Char34"/>
    <w:qFormat/>
    <w:uiPriority w:val="0"/>
    <w:rPr>
      <w:rFonts w:ascii="黑体" w:hAnsi="宋体" w:eastAsia="黑体"/>
      <w:b/>
      <w:bCs/>
      <w:kern w:val="2"/>
      <w:sz w:val="28"/>
      <w:szCs w:val="28"/>
      <w:lang w:val="en-US" w:eastAsia="zh-CN" w:bidi="ar-SA"/>
    </w:rPr>
  </w:style>
  <w:style w:type="character" w:customStyle="1" w:styleId="1439">
    <w:name w:val="题注 Char112"/>
    <w:qFormat/>
    <w:uiPriority w:val="0"/>
    <w:rPr>
      <w:rFonts w:ascii="黑体" w:hAnsi="Arial" w:eastAsia="黑体" w:cs="Arial"/>
      <w:b/>
      <w:kern w:val="2"/>
      <w:sz w:val="24"/>
      <w:szCs w:val="24"/>
      <w:lang w:val="en-US" w:eastAsia="zh-CN" w:bidi="ar-SA"/>
    </w:rPr>
  </w:style>
  <w:style w:type="character" w:customStyle="1" w:styleId="1440">
    <w:name w:val="样式 表内小5 + 黑体 加粗 倾斜 下划线 Char2"/>
    <w:qFormat/>
    <w:uiPriority w:val="0"/>
    <w:rPr>
      <w:rFonts w:ascii="黑体" w:hAnsi="黑体" w:eastAsia="黑体"/>
      <w:b/>
      <w:bCs/>
      <w:i/>
      <w:iCs/>
      <w:kern w:val="2"/>
      <w:sz w:val="18"/>
      <w:szCs w:val="24"/>
      <w:u w:val="single"/>
      <w:lang w:val="en-US" w:eastAsia="zh-CN" w:bidi="ar-SA"/>
    </w:rPr>
  </w:style>
  <w:style w:type="character" w:customStyle="1" w:styleId="1441">
    <w:name w:val="报告 Char Char Char1"/>
    <w:qFormat/>
    <w:uiPriority w:val="0"/>
    <w:rPr>
      <w:rFonts w:eastAsia="宋体"/>
      <w:kern w:val="2"/>
      <w:sz w:val="24"/>
      <w:szCs w:val="24"/>
      <w:lang w:val="en-US" w:eastAsia="zh-CN" w:bidi="ar-SA"/>
    </w:rPr>
  </w:style>
  <w:style w:type="character" w:customStyle="1" w:styleId="1442">
    <w:name w:val="样式 报告 + Times New Roman Char Char Char"/>
    <w:link w:val="1443"/>
    <w:qFormat/>
    <w:uiPriority w:val="0"/>
    <w:rPr>
      <w:sz w:val="28"/>
      <w:szCs w:val="28"/>
    </w:rPr>
  </w:style>
  <w:style w:type="paragraph" w:customStyle="1" w:styleId="1443">
    <w:name w:val="样式 报告 + Times New Roman"/>
    <w:basedOn w:val="237"/>
    <w:link w:val="1442"/>
    <w:qFormat/>
    <w:uiPriority w:val="0"/>
    <w:pPr>
      <w:spacing w:line="500" w:lineRule="exact"/>
    </w:pPr>
    <w:rPr>
      <w:rFonts w:ascii="Times New Roman" w:hAnsi="Times New Roman"/>
      <w:sz w:val="28"/>
      <w:szCs w:val="28"/>
    </w:rPr>
  </w:style>
  <w:style w:type="character" w:customStyle="1" w:styleId="1444">
    <w:name w:val="Char Char1117"/>
    <w:qFormat/>
    <w:uiPriority w:val="0"/>
    <w:rPr>
      <w:rFonts w:ascii="黑体" w:hAnsi="Arial" w:eastAsia="黑体"/>
      <w:bCs/>
      <w:kern w:val="2"/>
      <w:sz w:val="30"/>
      <w:szCs w:val="30"/>
      <w:lang w:val="en-US" w:eastAsia="zh-CN" w:bidi="ar-SA"/>
    </w:rPr>
  </w:style>
  <w:style w:type="character" w:customStyle="1" w:styleId="1445">
    <w:name w:val="Char Char39"/>
    <w:qFormat/>
    <w:uiPriority w:val="0"/>
    <w:rPr>
      <w:rFonts w:ascii="黑体" w:hAnsi="宋体" w:eastAsia="黑体"/>
      <w:b/>
      <w:bCs/>
      <w:kern w:val="2"/>
      <w:sz w:val="28"/>
      <w:szCs w:val="28"/>
      <w:lang w:val="en-US" w:eastAsia="zh-CN" w:bidi="ar-SA"/>
    </w:rPr>
  </w:style>
  <w:style w:type="character" w:customStyle="1" w:styleId="1446">
    <w:name w:val="三级标题 Char23"/>
    <w:qFormat/>
    <w:uiPriority w:val="0"/>
    <w:rPr>
      <w:rFonts w:ascii="黑体" w:hAnsi="宋体" w:eastAsia="黑体"/>
      <w:bCs/>
      <w:kern w:val="2"/>
      <w:sz w:val="28"/>
      <w:szCs w:val="28"/>
      <w:lang w:val="en-US" w:eastAsia="zh-CN" w:bidi="ar-SA"/>
    </w:rPr>
  </w:style>
  <w:style w:type="character" w:customStyle="1" w:styleId="1447">
    <w:name w:val="title1"/>
    <w:qFormat/>
    <w:uiPriority w:val="0"/>
    <w:rPr>
      <w:b/>
      <w:bCs/>
      <w:color w:val="336699"/>
      <w:sz w:val="24"/>
      <w:szCs w:val="24"/>
    </w:rPr>
  </w:style>
  <w:style w:type="character" w:customStyle="1" w:styleId="1448">
    <w:name w:val="样式 报告 + Times New Roman Char Char"/>
    <w:qFormat/>
    <w:uiPriority w:val="0"/>
    <w:rPr>
      <w:rFonts w:eastAsia="宋体"/>
      <w:kern w:val="2"/>
      <w:sz w:val="28"/>
      <w:szCs w:val="28"/>
      <w:lang w:val="en-US" w:eastAsia="zh-CN" w:bidi="ar-SA"/>
    </w:rPr>
  </w:style>
  <w:style w:type="character" w:customStyle="1" w:styleId="1449">
    <w:name w:val="批注框文本 Char5"/>
    <w:qFormat/>
    <w:uiPriority w:val="0"/>
    <w:rPr>
      <w:rFonts w:eastAsia="宋体"/>
      <w:kern w:val="2"/>
      <w:sz w:val="18"/>
      <w:szCs w:val="18"/>
      <w:lang w:val="en-US" w:eastAsia="zh-CN" w:bidi="ar-SA"/>
    </w:rPr>
  </w:style>
  <w:style w:type="character" w:customStyle="1" w:styleId="1450">
    <w:name w:val="图题 Char1"/>
    <w:qFormat/>
    <w:uiPriority w:val="0"/>
    <w:rPr>
      <w:rFonts w:ascii="黑体" w:hAnsi="宋体" w:eastAsia="黑体" w:cs="宋体"/>
      <w:b/>
      <w:bCs/>
      <w:kern w:val="2"/>
      <w:sz w:val="24"/>
      <w:szCs w:val="24"/>
      <w:lang w:val="en-US" w:eastAsia="zh-CN" w:bidi="ar-SA"/>
    </w:rPr>
  </w:style>
  <w:style w:type="character" w:customStyle="1" w:styleId="1451">
    <w:name w:val="表中文字 Char4"/>
    <w:qFormat/>
    <w:uiPriority w:val="0"/>
    <w:rPr>
      <w:rFonts w:ascii="Arial" w:hAnsi="Arial" w:eastAsia="宋体" w:cs="Times New Roman"/>
      <w:kern w:val="0"/>
      <w:sz w:val="20"/>
      <w:szCs w:val="24"/>
      <w:lang w:val="en-US" w:eastAsia="zh-TW" w:bidi="ar-SA"/>
    </w:rPr>
  </w:style>
  <w:style w:type="character" w:customStyle="1" w:styleId="1452">
    <w:name w:val="图题 Char2"/>
    <w:qFormat/>
    <w:uiPriority w:val="0"/>
    <w:rPr>
      <w:rFonts w:ascii="黑体" w:hAnsi="宋体" w:eastAsia="黑体" w:cs="宋体"/>
      <w:b/>
      <w:bCs/>
      <w:kern w:val="2"/>
      <w:sz w:val="24"/>
      <w:szCs w:val="24"/>
      <w:lang w:val="en-US" w:eastAsia="zh-CN" w:bidi="ar-SA"/>
    </w:rPr>
  </w:style>
  <w:style w:type="character" w:customStyle="1" w:styleId="1453">
    <w:name w:val="样式 表内小5 + 黑体 加粗 倾斜 下划线 Char5"/>
    <w:qFormat/>
    <w:uiPriority w:val="0"/>
    <w:rPr>
      <w:rFonts w:ascii="黑体" w:hAnsi="黑体" w:eastAsia="黑体"/>
      <w:b/>
      <w:bCs/>
      <w:i/>
      <w:iCs/>
      <w:kern w:val="2"/>
      <w:sz w:val="18"/>
      <w:szCs w:val="24"/>
      <w:u w:val="single"/>
      <w:lang w:val="en-US" w:eastAsia="zh-CN" w:bidi="ar-SA"/>
    </w:rPr>
  </w:style>
  <w:style w:type="character" w:customStyle="1" w:styleId="1454">
    <w:name w:val="MC SYSTEM"/>
    <w:qFormat/>
    <w:uiPriority w:val="0"/>
    <w:rPr>
      <w:rFonts w:ascii="Arial" w:hAnsi="Arial" w:eastAsia="宋体" w:cs="Arial"/>
      <w:color w:val="000080"/>
      <w:sz w:val="18"/>
      <w:szCs w:val="20"/>
    </w:rPr>
  </w:style>
  <w:style w:type="character" w:customStyle="1" w:styleId="1455">
    <w:name w:val="hhcwt正文 Char Char"/>
    <w:link w:val="1456"/>
    <w:qFormat/>
    <w:uiPriority w:val="0"/>
    <w:rPr>
      <w:rFonts w:cs="宋体"/>
      <w:sz w:val="24"/>
      <w:szCs w:val="24"/>
    </w:rPr>
  </w:style>
  <w:style w:type="paragraph" w:customStyle="1" w:styleId="1456">
    <w:name w:val="hhcwt正文"/>
    <w:basedOn w:val="1"/>
    <w:link w:val="1455"/>
    <w:qFormat/>
    <w:uiPriority w:val="0"/>
    <w:pPr>
      <w:spacing w:line="360" w:lineRule="auto"/>
      <w:ind w:firstLine="480" w:firstLineChars="200"/>
    </w:pPr>
    <w:rPr>
      <w:kern w:val="0"/>
      <w:sz w:val="24"/>
    </w:rPr>
  </w:style>
  <w:style w:type="character" w:customStyle="1" w:styleId="1457">
    <w:name w:val="标题 2 Char31"/>
    <w:qFormat/>
    <w:uiPriority w:val="0"/>
    <w:rPr>
      <w:rFonts w:ascii="黑体" w:hAnsi="Arial" w:eastAsia="黑体"/>
      <w:bCs/>
      <w:kern w:val="2"/>
      <w:sz w:val="30"/>
      <w:szCs w:val="30"/>
      <w:lang w:val="en-US" w:eastAsia="zh-CN" w:bidi="ar-SA"/>
    </w:rPr>
  </w:style>
  <w:style w:type="character" w:customStyle="1" w:styleId="1458">
    <w:name w:val="表中文字 Char221"/>
    <w:qFormat/>
    <w:uiPriority w:val="0"/>
    <w:rPr>
      <w:rFonts w:ascii="宋体" w:eastAsia="宋体"/>
      <w:kern w:val="2"/>
      <w:sz w:val="21"/>
      <w:szCs w:val="21"/>
      <w:lang w:val="en-US" w:eastAsia="zh-CN" w:bidi="ar-SA"/>
    </w:rPr>
  </w:style>
  <w:style w:type="character" w:customStyle="1" w:styleId="1459">
    <w:name w:val="正文首行缩进 2 Char2"/>
    <w:qFormat/>
    <w:uiPriority w:val="0"/>
    <w:rPr>
      <w:rFonts w:eastAsia="宋体"/>
      <w:kern w:val="2"/>
      <w:sz w:val="21"/>
      <w:szCs w:val="18"/>
      <w:lang w:val="en-US" w:eastAsia="zh-CN" w:bidi="ar-SA"/>
    </w:rPr>
  </w:style>
  <w:style w:type="character" w:customStyle="1" w:styleId="1460">
    <w:name w:val="题注 Char13"/>
    <w:qFormat/>
    <w:uiPriority w:val="0"/>
    <w:rPr>
      <w:rFonts w:ascii="黑体" w:hAnsi="Arial" w:eastAsia="黑体" w:cs="Arial"/>
      <w:b/>
      <w:kern w:val="2"/>
      <w:sz w:val="24"/>
      <w:szCs w:val="24"/>
      <w:lang w:val="en-US" w:eastAsia="zh-CN" w:bidi="ar-SA"/>
    </w:rPr>
  </w:style>
  <w:style w:type="character" w:customStyle="1" w:styleId="1461">
    <w:name w:val="注 Char3"/>
    <w:qFormat/>
    <w:uiPriority w:val="0"/>
    <w:rPr>
      <w:rFonts w:ascii="Arial" w:hAnsi="Arial" w:eastAsia="黑体"/>
      <w:kern w:val="2"/>
      <w:sz w:val="24"/>
      <w:szCs w:val="24"/>
      <w:lang w:val="en-US" w:eastAsia="zh-CN" w:bidi="ar-SA"/>
    </w:rPr>
  </w:style>
  <w:style w:type="character" w:customStyle="1" w:styleId="1462">
    <w:name w:val="标准文本 首行缩进: 2 字符 行距: 单倍 Char Char2"/>
    <w:qFormat/>
    <w:uiPriority w:val="0"/>
    <w:rPr>
      <w:rFonts w:eastAsia="宋体"/>
      <w:kern w:val="2"/>
      <w:sz w:val="24"/>
      <w:szCs w:val="24"/>
      <w:lang w:val="en-US" w:eastAsia="zh-CN" w:bidi="ar-SA"/>
    </w:rPr>
  </w:style>
  <w:style w:type="character" w:customStyle="1" w:styleId="1463">
    <w:name w:val="谏壁chen表格内文字 Char Char Char2"/>
    <w:qFormat/>
    <w:uiPriority w:val="0"/>
    <w:rPr>
      <w:rFonts w:eastAsia="宋体"/>
      <w:kern w:val="2"/>
      <w:sz w:val="21"/>
      <w:szCs w:val="21"/>
      <w:lang w:val="en-US" w:eastAsia="zh-CN" w:bidi="ar-SA"/>
    </w:rPr>
  </w:style>
  <w:style w:type="character" w:customStyle="1" w:styleId="1464">
    <w:name w:val="正文29 Char Char"/>
    <w:link w:val="1465"/>
    <w:qFormat/>
    <w:uiPriority w:val="0"/>
    <w:rPr>
      <w:sz w:val="28"/>
      <w:szCs w:val="28"/>
    </w:rPr>
  </w:style>
  <w:style w:type="paragraph" w:customStyle="1" w:styleId="1465">
    <w:name w:val="正文29"/>
    <w:basedOn w:val="1"/>
    <w:link w:val="1464"/>
    <w:qFormat/>
    <w:uiPriority w:val="0"/>
    <w:pPr>
      <w:topLinePunct/>
      <w:snapToGrid w:val="0"/>
      <w:spacing w:line="580" w:lineRule="exact"/>
      <w:ind w:firstLine="567"/>
    </w:pPr>
    <w:rPr>
      <w:kern w:val="0"/>
      <w:sz w:val="28"/>
      <w:szCs w:val="28"/>
    </w:rPr>
  </w:style>
  <w:style w:type="character" w:customStyle="1" w:styleId="1466">
    <w:name w:val="Char Char38"/>
    <w:qFormat/>
    <w:uiPriority w:val="0"/>
    <w:rPr>
      <w:rFonts w:ascii="黑体" w:hAnsi="宋体" w:eastAsia="黑体"/>
      <w:b/>
      <w:bCs/>
      <w:kern w:val="2"/>
      <w:sz w:val="28"/>
      <w:szCs w:val="28"/>
      <w:lang w:val="en-US" w:eastAsia="zh-CN" w:bidi="ar-SA"/>
    </w:rPr>
  </w:style>
  <w:style w:type="character" w:customStyle="1" w:styleId="1467">
    <w:name w:val="题注 Char21"/>
    <w:qFormat/>
    <w:uiPriority w:val="0"/>
    <w:rPr>
      <w:rFonts w:ascii="黑体" w:hAnsi="Arial" w:eastAsia="黑体" w:cs="Arial"/>
      <w:b/>
      <w:kern w:val="2"/>
      <w:sz w:val="24"/>
      <w:szCs w:val="24"/>
      <w:lang w:val="en-US" w:eastAsia="zh-CN" w:bidi="ar-SA"/>
    </w:rPr>
  </w:style>
  <w:style w:type="character" w:customStyle="1" w:styleId="1468">
    <w:name w:val="Char Char1131"/>
    <w:qFormat/>
    <w:uiPriority w:val="0"/>
    <w:rPr>
      <w:rFonts w:ascii="黑体" w:hAnsi="Arial" w:eastAsia="黑体"/>
      <w:bCs/>
      <w:kern w:val="2"/>
      <w:sz w:val="30"/>
      <w:szCs w:val="30"/>
      <w:lang w:val="en-US" w:eastAsia="zh-CN" w:bidi="ar-SA"/>
    </w:rPr>
  </w:style>
  <w:style w:type="character" w:customStyle="1" w:styleId="1469">
    <w:name w:val="表中文字 Char Char"/>
    <w:link w:val="1470"/>
    <w:qFormat/>
    <w:uiPriority w:val="0"/>
    <w:rPr>
      <w:rFonts w:ascii="Arial" w:hAnsi="Arial"/>
      <w:szCs w:val="24"/>
      <w:lang w:eastAsia="zh-TW"/>
    </w:rPr>
  </w:style>
  <w:style w:type="paragraph" w:customStyle="1" w:styleId="1470">
    <w:name w:val="表中文字4"/>
    <w:basedOn w:val="1"/>
    <w:link w:val="1469"/>
    <w:qFormat/>
    <w:uiPriority w:val="0"/>
    <w:pPr>
      <w:snapToGrid w:val="0"/>
      <w:spacing w:line="340" w:lineRule="exact"/>
      <w:ind w:firstLine="480" w:firstLineChars="200"/>
      <w:jc w:val="center"/>
    </w:pPr>
    <w:rPr>
      <w:rFonts w:ascii="Arial" w:hAnsi="Arial"/>
      <w:kern w:val="0"/>
      <w:sz w:val="20"/>
      <w:lang w:eastAsia="zh-TW"/>
    </w:rPr>
  </w:style>
  <w:style w:type="character" w:customStyle="1" w:styleId="1471">
    <w:name w:val="Char Char Char1 Char Char Char Char Char Char Char Char Char Char Char Char Char Char Char Char Char1"/>
    <w:qFormat/>
    <w:uiPriority w:val="0"/>
    <w:rPr>
      <w:rFonts w:eastAsia="宋体"/>
      <w:kern w:val="2"/>
      <w:sz w:val="28"/>
      <w:szCs w:val="28"/>
      <w:lang w:val="en-US" w:eastAsia="zh-CN" w:bidi="ar-SA"/>
    </w:rPr>
  </w:style>
  <w:style w:type="character" w:customStyle="1" w:styleId="1472">
    <w:name w:val="亚行正文 Char Char"/>
    <w:link w:val="1473"/>
    <w:qFormat/>
    <w:uiPriority w:val="0"/>
    <w:rPr>
      <w:sz w:val="24"/>
      <w:szCs w:val="24"/>
    </w:rPr>
  </w:style>
  <w:style w:type="paragraph" w:customStyle="1" w:styleId="1473">
    <w:name w:val="亚行正文"/>
    <w:basedOn w:val="1"/>
    <w:link w:val="1472"/>
    <w:qFormat/>
    <w:uiPriority w:val="0"/>
    <w:pPr>
      <w:spacing w:line="480" w:lineRule="exact"/>
      <w:ind w:firstLine="480" w:firstLineChars="200"/>
    </w:pPr>
    <w:rPr>
      <w:kern w:val="0"/>
      <w:sz w:val="24"/>
    </w:rPr>
  </w:style>
  <w:style w:type="character" w:customStyle="1" w:styleId="1474">
    <w:name w:val="图题 Char11"/>
    <w:qFormat/>
    <w:uiPriority w:val="0"/>
    <w:rPr>
      <w:rFonts w:ascii="黑体" w:hAnsi="宋体" w:eastAsia="黑体" w:cs="宋体"/>
      <w:b/>
      <w:bCs/>
      <w:kern w:val="2"/>
      <w:sz w:val="24"/>
      <w:szCs w:val="24"/>
      <w:lang w:val="en-US" w:eastAsia="zh-CN" w:bidi="ar-SA"/>
    </w:rPr>
  </w:style>
  <w:style w:type="character" w:customStyle="1" w:styleId="1475">
    <w:name w:val="重点"/>
    <w:qFormat/>
    <w:uiPriority w:val="0"/>
    <w:rPr>
      <w:i/>
    </w:rPr>
  </w:style>
  <w:style w:type="character" w:customStyle="1" w:styleId="1476">
    <w:name w:val="题注 Char311"/>
    <w:qFormat/>
    <w:uiPriority w:val="0"/>
    <w:rPr>
      <w:rFonts w:ascii="黑体" w:hAnsi="Arial" w:eastAsia="黑体" w:cs="Arial"/>
      <w:b/>
      <w:kern w:val="2"/>
      <w:sz w:val="24"/>
      <w:szCs w:val="24"/>
      <w:lang w:val="en-US" w:eastAsia="zh-CN" w:bidi="ar-SA"/>
    </w:rPr>
  </w:style>
  <w:style w:type="character" w:customStyle="1" w:styleId="1477">
    <w:name w:val="标题 9 Char1"/>
    <w:qFormat/>
    <w:uiPriority w:val="0"/>
    <w:rPr>
      <w:rFonts w:ascii="Arial" w:hAnsi="Arial" w:eastAsia="黑体"/>
      <w:kern w:val="2"/>
      <w:sz w:val="21"/>
      <w:szCs w:val="21"/>
      <w:lang w:val="en-US" w:eastAsia="zh-CN" w:bidi="ar-SA"/>
    </w:rPr>
  </w:style>
  <w:style w:type="character" w:customStyle="1" w:styleId="1478">
    <w:name w:val="样式 仿宋_GB2312 四号"/>
    <w:qFormat/>
    <w:uiPriority w:val="0"/>
    <w:rPr>
      <w:rFonts w:ascii="仿宋_GB2312" w:hAnsi="仿宋_GB2312" w:eastAsia="仿宋_GB2312"/>
      <w:sz w:val="24"/>
    </w:rPr>
  </w:style>
  <w:style w:type="character" w:customStyle="1" w:styleId="1479">
    <w:name w:val="环评正文 Char Char"/>
    <w:link w:val="232"/>
    <w:qFormat/>
    <w:uiPriority w:val="0"/>
    <w:rPr>
      <w:rFonts w:ascii="仿宋_GB2312" w:eastAsia="仿宋_GB2312"/>
      <w:kern w:val="2"/>
      <w:sz w:val="28"/>
    </w:rPr>
  </w:style>
  <w:style w:type="character" w:customStyle="1" w:styleId="1480">
    <w:name w:val="表题1 Char64"/>
    <w:qFormat/>
    <w:uiPriority w:val="0"/>
    <w:rPr>
      <w:rFonts w:ascii="黑体" w:hAnsi="Arial" w:eastAsia="黑体" w:cs="Arial"/>
      <w:b/>
      <w:kern w:val="2"/>
      <w:sz w:val="24"/>
      <w:szCs w:val="24"/>
      <w:lang w:val="en-US" w:eastAsia="zh-CN" w:bidi="ar-SA"/>
    </w:rPr>
  </w:style>
  <w:style w:type="character" w:customStyle="1" w:styleId="1481">
    <w:name w:val="环评正文 Char4"/>
    <w:qFormat/>
    <w:uiPriority w:val="0"/>
    <w:rPr>
      <w:rFonts w:eastAsia="宋体"/>
      <w:bCs/>
      <w:kern w:val="2"/>
      <w:sz w:val="24"/>
      <w:szCs w:val="24"/>
      <w:lang w:val="en-US" w:eastAsia="zh-CN" w:bidi="ar-SA"/>
    </w:rPr>
  </w:style>
  <w:style w:type="character" w:customStyle="1" w:styleId="1482">
    <w:name w:val="表题1 Char12"/>
    <w:qFormat/>
    <w:uiPriority w:val="0"/>
    <w:rPr>
      <w:rFonts w:hAnsi="Arial" w:eastAsia="宋体" w:cs="Arial"/>
      <w:kern w:val="2"/>
      <w:sz w:val="24"/>
      <w:szCs w:val="24"/>
      <w:lang w:val="en-US" w:eastAsia="zh-CN" w:bidi="ar-SA"/>
    </w:rPr>
  </w:style>
  <w:style w:type="character" w:customStyle="1" w:styleId="1483">
    <w:name w:val="Char Char Char1 Char Char Char Char Char Char Char Char Char Char Char Char Char Char Char Char Char Char Char Char"/>
    <w:qFormat/>
    <w:uiPriority w:val="0"/>
    <w:rPr>
      <w:rFonts w:eastAsia="宋体"/>
      <w:kern w:val="2"/>
      <w:sz w:val="28"/>
      <w:szCs w:val="28"/>
      <w:lang w:val="en-US" w:eastAsia="zh-CN" w:bidi="ar-SA"/>
    </w:rPr>
  </w:style>
  <w:style w:type="character" w:customStyle="1" w:styleId="1484">
    <w:name w:val="题3 Char Char"/>
    <w:link w:val="1485"/>
    <w:qFormat/>
    <w:uiPriority w:val="0"/>
    <w:rPr>
      <w:rFonts w:ascii="Arial" w:hAnsi="Arial"/>
      <w:b/>
      <w:bCs/>
      <w:sz w:val="28"/>
      <w:szCs w:val="28"/>
    </w:rPr>
  </w:style>
  <w:style w:type="paragraph" w:customStyle="1" w:styleId="1485">
    <w:name w:val="题3"/>
    <w:basedOn w:val="83"/>
    <w:link w:val="1484"/>
    <w:qFormat/>
    <w:uiPriority w:val="0"/>
    <w:pPr>
      <w:adjustRightInd w:val="0"/>
      <w:snapToGrid w:val="0"/>
      <w:spacing w:before="120" w:after="120" w:line="360" w:lineRule="auto"/>
      <w:jc w:val="left"/>
      <w:outlineLvl w:val="2"/>
    </w:pPr>
    <w:rPr>
      <w:kern w:val="0"/>
      <w:sz w:val="28"/>
      <w:szCs w:val="28"/>
    </w:rPr>
  </w:style>
  <w:style w:type="character" w:customStyle="1" w:styleId="1486">
    <w:name w:val="样式 正文缩进 + 宋体 黑色 Char11"/>
    <w:qFormat/>
    <w:uiPriority w:val="0"/>
    <w:rPr>
      <w:rFonts w:ascii="宋体" w:hAnsi="宋体" w:eastAsia="宋体"/>
      <w:color w:val="000000"/>
      <w:kern w:val="2"/>
      <w:sz w:val="24"/>
      <w:szCs w:val="24"/>
      <w:lang w:val="en-US" w:eastAsia="zh-CN" w:bidi="ar-SA"/>
    </w:rPr>
  </w:style>
  <w:style w:type="character" w:customStyle="1" w:styleId="1487">
    <w:name w:val="标准文本 首行缩进: 2 字符 行距: 单倍 Char Char1"/>
    <w:qFormat/>
    <w:uiPriority w:val="0"/>
    <w:rPr>
      <w:rFonts w:eastAsia="宋体"/>
      <w:kern w:val="2"/>
      <w:sz w:val="24"/>
      <w:szCs w:val="24"/>
      <w:lang w:val="en-US" w:eastAsia="zh-CN" w:bidi="ar-SA"/>
    </w:rPr>
  </w:style>
  <w:style w:type="character" w:customStyle="1" w:styleId="1488">
    <w:name w:val="样式 标题 3 + 黑体 小四 左侧:  0.86 厘米 首行缩进:  0 厘米 Char Char Char1"/>
    <w:qFormat/>
    <w:uiPriority w:val="0"/>
    <w:rPr>
      <w:rFonts w:ascii="黑体" w:eastAsia="黑体"/>
      <w:b/>
      <w:bCs/>
      <w:color w:val="000000"/>
      <w:kern w:val="2"/>
      <w:sz w:val="24"/>
      <w:szCs w:val="24"/>
      <w:lang w:val="en-GB" w:eastAsia="zh-CN" w:bidi="ar-SA"/>
    </w:rPr>
  </w:style>
  <w:style w:type="character" w:customStyle="1" w:styleId="1489">
    <w:name w:val="A正文 Char11"/>
    <w:qFormat/>
    <w:uiPriority w:val="0"/>
    <w:rPr>
      <w:rFonts w:eastAsia="仿宋_GB2312"/>
      <w:kern w:val="2"/>
      <w:sz w:val="24"/>
      <w:szCs w:val="24"/>
      <w:lang w:val="en-US" w:eastAsia="zh-CN" w:bidi="ar-SA"/>
    </w:rPr>
  </w:style>
  <w:style w:type="character" w:customStyle="1" w:styleId="1490">
    <w:name w:val="Char Char22"/>
    <w:qFormat/>
    <w:uiPriority w:val="0"/>
    <w:rPr>
      <w:rFonts w:ascii="黑体" w:eastAsia="黑体"/>
      <w:b/>
      <w:bCs/>
      <w:kern w:val="2"/>
      <w:sz w:val="28"/>
      <w:szCs w:val="28"/>
      <w:lang w:val="en-US" w:eastAsia="zh-CN" w:bidi="ar-SA"/>
    </w:rPr>
  </w:style>
  <w:style w:type="character" w:customStyle="1" w:styleId="1491">
    <w:name w:val="表内5 Char1"/>
    <w:qFormat/>
    <w:uiPriority w:val="0"/>
    <w:rPr>
      <w:rFonts w:ascii="宋体" w:hAnsi="宋体" w:eastAsia="宋体" w:cs="Times New Roman"/>
      <w:kern w:val="2"/>
      <w:sz w:val="24"/>
      <w:szCs w:val="24"/>
      <w:lang w:val="en-US" w:eastAsia="zh-CN" w:bidi="ar-SA"/>
    </w:rPr>
  </w:style>
  <w:style w:type="character" w:customStyle="1" w:styleId="1492">
    <w:name w:val="标题 6 Char1"/>
    <w:qFormat/>
    <w:uiPriority w:val="0"/>
    <w:rPr>
      <w:rFonts w:ascii="Arial" w:hAnsi="Arial" w:eastAsia="黑体"/>
      <w:b/>
      <w:bCs/>
      <w:kern w:val="2"/>
      <w:sz w:val="24"/>
      <w:szCs w:val="24"/>
      <w:lang w:val="en-US" w:eastAsia="zh-CN" w:bidi="ar-SA"/>
    </w:rPr>
  </w:style>
  <w:style w:type="character" w:customStyle="1" w:styleId="1493">
    <w:name w:val="正文修改 Char14"/>
    <w:qFormat/>
    <w:uiPriority w:val="0"/>
  </w:style>
  <w:style w:type="character" w:customStyle="1" w:styleId="1494">
    <w:name w:val="b14-1-no1"/>
    <w:qFormat/>
    <w:uiPriority w:val="0"/>
    <w:rPr>
      <w:rFonts w:hint="default"/>
      <w:color w:val="2E2E2E"/>
      <w:sz w:val="20"/>
      <w:szCs w:val="20"/>
      <w:u w:val="none"/>
    </w:rPr>
  </w:style>
  <w:style w:type="character" w:customStyle="1" w:styleId="1495">
    <w:name w:val="Char Char624"/>
    <w:qFormat/>
    <w:uiPriority w:val="0"/>
    <w:rPr>
      <w:rFonts w:ascii="黑体" w:eastAsia="黑体"/>
      <w:b/>
      <w:bCs/>
      <w:kern w:val="2"/>
      <w:sz w:val="28"/>
      <w:szCs w:val="28"/>
      <w:lang w:val="en-US" w:eastAsia="zh-CN" w:bidi="ar-SA"/>
    </w:rPr>
  </w:style>
  <w:style w:type="character" w:customStyle="1" w:styleId="1496">
    <w:name w:val="正文修改 Char124"/>
    <w:qFormat/>
    <w:uiPriority w:val="0"/>
    <w:rPr>
      <w:rFonts w:ascii="宋体" w:hAnsi="宋体" w:eastAsia="宋体" w:cs="宋体"/>
      <w:color w:val="000000"/>
      <w:kern w:val="2"/>
      <w:sz w:val="24"/>
      <w:szCs w:val="24"/>
      <w:lang w:val="en-US" w:eastAsia="zh-CN" w:bidi="ar-SA"/>
    </w:rPr>
  </w:style>
  <w:style w:type="character" w:customStyle="1" w:styleId="1497">
    <w:name w:val="标题4 Char3"/>
    <w:qFormat/>
    <w:uiPriority w:val="0"/>
    <w:rPr>
      <w:rFonts w:ascii="黑体" w:hAnsi="Arial" w:eastAsia="黑体" w:cs="Times New Roman"/>
      <w:b/>
      <w:bCs/>
      <w:kern w:val="2"/>
      <w:sz w:val="24"/>
      <w:szCs w:val="28"/>
      <w:lang w:val="en-US" w:eastAsia="zh-CN" w:bidi="ar-SA"/>
    </w:rPr>
  </w:style>
  <w:style w:type="character" w:customStyle="1" w:styleId="1498">
    <w:name w:val="正文2 Char Char2"/>
    <w:qFormat/>
    <w:uiPriority w:val="0"/>
    <w:rPr>
      <w:rFonts w:eastAsia="仿宋_GB2312"/>
      <w:kern w:val="2"/>
      <w:sz w:val="24"/>
      <w:szCs w:val="24"/>
      <w:lang w:val="en-US" w:eastAsia="zh-CN" w:bidi="ar-SA"/>
    </w:rPr>
  </w:style>
  <w:style w:type="character" w:customStyle="1" w:styleId="1499">
    <w:name w:val="正文修改 Char153"/>
    <w:qFormat/>
    <w:uiPriority w:val="0"/>
    <w:rPr>
      <w:rFonts w:ascii="宋体" w:hAnsi="宋体" w:eastAsia="宋体" w:cs="宋体"/>
      <w:color w:val="000000"/>
      <w:kern w:val="2"/>
      <w:sz w:val="24"/>
      <w:szCs w:val="24"/>
      <w:lang w:val="en-US" w:eastAsia="zh-CN" w:bidi="ar-SA"/>
    </w:rPr>
  </w:style>
  <w:style w:type="character" w:customStyle="1" w:styleId="1500">
    <w:name w:val="Char Char1125"/>
    <w:qFormat/>
    <w:uiPriority w:val="0"/>
    <w:rPr>
      <w:rFonts w:ascii="黑体" w:hAnsi="Arial" w:eastAsia="黑体"/>
      <w:bCs/>
      <w:kern w:val="2"/>
      <w:sz w:val="30"/>
      <w:szCs w:val="30"/>
      <w:lang w:val="en-US" w:eastAsia="zh-CN" w:bidi="ar-SA"/>
    </w:rPr>
  </w:style>
  <w:style w:type="character" w:customStyle="1" w:styleId="1501">
    <w:name w:val="Char Char49"/>
    <w:qFormat/>
    <w:uiPriority w:val="0"/>
    <w:rPr>
      <w:rFonts w:ascii="黑体" w:hAnsi="Arial" w:eastAsia="黑体"/>
      <w:b/>
      <w:bCs/>
      <w:kern w:val="2"/>
      <w:sz w:val="30"/>
      <w:szCs w:val="30"/>
      <w:lang w:val="en-US" w:eastAsia="zh-CN" w:bidi="ar-SA"/>
    </w:rPr>
  </w:style>
  <w:style w:type="character" w:customStyle="1" w:styleId="1502">
    <w:name w:val="正文格式 Char51"/>
    <w:qFormat/>
    <w:uiPriority w:val="0"/>
    <w:rPr>
      <w:rFonts w:ascii="宋体" w:hAnsi="宋体" w:eastAsia="宋体"/>
      <w:kern w:val="2"/>
      <w:sz w:val="24"/>
      <w:szCs w:val="24"/>
      <w:lang w:val="en-US" w:eastAsia="zh-CN" w:bidi="ar-SA"/>
    </w:rPr>
  </w:style>
  <w:style w:type="character" w:customStyle="1" w:styleId="1503">
    <w:name w:val="正文修改 Char132"/>
    <w:qFormat/>
    <w:uiPriority w:val="0"/>
    <w:rPr>
      <w:rFonts w:ascii="宋体" w:hAnsi="宋体" w:eastAsia="宋体" w:cs="宋体"/>
      <w:color w:val="000000"/>
      <w:kern w:val="2"/>
      <w:sz w:val="24"/>
      <w:szCs w:val="24"/>
      <w:lang w:val="en-US" w:eastAsia="zh-CN" w:bidi="ar-SA"/>
    </w:rPr>
  </w:style>
  <w:style w:type="character" w:customStyle="1" w:styleId="1504">
    <w:name w:val="Char Char619"/>
    <w:qFormat/>
    <w:uiPriority w:val="0"/>
    <w:rPr>
      <w:rFonts w:ascii="黑体" w:eastAsia="黑体"/>
      <w:b/>
      <w:bCs/>
      <w:kern w:val="2"/>
      <w:sz w:val="28"/>
      <w:szCs w:val="28"/>
      <w:lang w:val="en-US" w:eastAsia="zh-CN" w:bidi="ar-SA"/>
    </w:rPr>
  </w:style>
  <w:style w:type="character" w:customStyle="1" w:styleId="1505">
    <w:name w:val="样式 表内小5 + 黑体 加粗 倾斜 下划线 Char Char"/>
    <w:link w:val="1506"/>
    <w:qFormat/>
    <w:uiPriority w:val="0"/>
    <w:rPr>
      <w:rFonts w:ascii="黑体" w:hAnsi="黑体" w:eastAsia="黑体"/>
      <w:b/>
      <w:bCs/>
      <w:i/>
      <w:iCs/>
      <w:sz w:val="18"/>
      <w:szCs w:val="24"/>
      <w:u w:val="single"/>
    </w:rPr>
  </w:style>
  <w:style w:type="paragraph" w:customStyle="1" w:styleId="1506">
    <w:name w:val="样式 表内小5 + 黑体 加粗 倾斜 下划线"/>
    <w:basedOn w:val="1"/>
    <w:link w:val="1505"/>
    <w:qFormat/>
    <w:uiPriority w:val="0"/>
    <w:pPr>
      <w:adjustRightInd w:val="0"/>
      <w:snapToGrid w:val="0"/>
      <w:spacing w:line="300" w:lineRule="auto"/>
      <w:jc w:val="left"/>
    </w:pPr>
    <w:rPr>
      <w:rFonts w:ascii="黑体" w:hAnsi="黑体" w:eastAsia="黑体"/>
      <w:b/>
      <w:bCs/>
      <w:i/>
      <w:iCs/>
      <w:kern w:val="0"/>
      <w:sz w:val="18"/>
      <w:u w:val="single"/>
    </w:rPr>
  </w:style>
  <w:style w:type="character" w:customStyle="1" w:styleId="1507">
    <w:name w:val="正文斜体 Char11"/>
    <w:qFormat/>
    <w:uiPriority w:val="0"/>
    <w:rPr>
      <w:rFonts w:ascii="宋体" w:hAnsi="宋体" w:eastAsia="宋体" w:cs="宋体"/>
      <w:i/>
      <w:iCs/>
      <w:kern w:val="2"/>
      <w:sz w:val="24"/>
      <w:szCs w:val="24"/>
      <w:lang w:val="en-US" w:eastAsia="zh-CN" w:bidi="ar-SA"/>
    </w:rPr>
  </w:style>
  <w:style w:type="character" w:customStyle="1" w:styleId="1508">
    <w:name w:val="表头编号 Char1"/>
    <w:link w:val="1509"/>
    <w:qFormat/>
    <w:uiPriority w:val="0"/>
    <w:rPr>
      <w:b/>
      <w:color w:val="000000"/>
      <w:spacing w:val="-2"/>
      <w:sz w:val="18"/>
    </w:rPr>
  </w:style>
  <w:style w:type="paragraph" w:customStyle="1" w:styleId="1509">
    <w:name w:val="表头编号"/>
    <w:basedOn w:val="1"/>
    <w:link w:val="1508"/>
    <w:qFormat/>
    <w:uiPriority w:val="0"/>
    <w:pPr>
      <w:snapToGrid w:val="0"/>
      <w:spacing w:line="240" w:lineRule="atLeast"/>
      <w:jc w:val="right"/>
    </w:pPr>
    <w:rPr>
      <w:b/>
      <w:color w:val="000000"/>
      <w:spacing w:val="-2"/>
      <w:kern w:val="0"/>
      <w:sz w:val="18"/>
      <w:szCs w:val="20"/>
    </w:rPr>
  </w:style>
  <w:style w:type="character" w:customStyle="1" w:styleId="1510">
    <w:name w:val="Char Char123"/>
    <w:qFormat/>
    <w:uiPriority w:val="0"/>
    <w:rPr>
      <w:rFonts w:ascii="黑体" w:hAnsi="Arial" w:eastAsia="黑体"/>
      <w:b/>
      <w:bCs/>
      <w:kern w:val="2"/>
      <w:sz w:val="30"/>
      <w:szCs w:val="30"/>
      <w:lang w:val="en-US" w:eastAsia="zh-CN" w:bidi="ar-SA"/>
    </w:rPr>
  </w:style>
  <w:style w:type="character" w:customStyle="1" w:styleId="1511">
    <w:name w:val="Char Char66"/>
    <w:qFormat/>
    <w:uiPriority w:val="0"/>
    <w:rPr>
      <w:rFonts w:ascii="黑体" w:eastAsia="黑体"/>
      <w:b/>
      <w:bCs/>
      <w:kern w:val="2"/>
      <w:sz w:val="28"/>
      <w:szCs w:val="28"/>
      <w:lang w:val="en-US" w:eastAsia="zh-CN" w:bidi="ar-SA"/>
    </w:rPr>
  </w:style>
  <w:style w:type="character" w:customStyle="1" w:styleId="1512">
    <w:name w:val="表题 Char4"/>
    <w:qFormat/>
    <w:uiPriority w:val="0"/>
    <w:rPr>
      <w:rFonts w:ascii="黑体" w:hAnsi="Arial" w:eastAsia="黑体" w:cs="Arial"/>
      <w:b/>
      <w:kern w:val="2"/>
      <w:sz w:val="24"/>
      <w:szCs w:val="24"/>
      <w:lang w:val="en-US" w:eastAsia="zh-CN" w:bidi="ar-SA"/>
    </w:rPr>
  </w:style>
  <w:style w:type="character" w:customStyle="1" w:styleId="1513">
    <w:name w:val="图题 Char Char"/>
    <w:link w:val="1514"/>
    <w:qFormat/>
    <w:uiPriority w:val="0"/>
    <w:rPr>
      <w:rFonts w:ascii="黑体" w:hAnsi="宋体" w:eastAsia="黑体"/>
      <w:b/>
      <w:bCs/>
      <w:sz w:val="24"/>
      <w:szCs w:val="24"/>
    </w:rPr>
  </w:style>
  <w:style w:type="paragraph" w:customStyle="1" w:styleId="1514">
    <w:name w:val="图题6"/>
    <w:basedOn w:val="184"/>
    <w:next w:val="184"/>
    <w:link w:val="1513"/>
    <w:qFormat/>
    <w:uiPriority w:val="0"/>
    <w:pPr>
      <w:ind w:firstLine="0"/>
      <w:jc w:val="center"/>
    </w:pPr>
    <w:rPr>
      <w:rFonts w:ascii="黑体" w:hAnsi="宋体" w:eastAsia="黑体" w:cs="Times New Roman"/>
      <w:b/>
      <w:bCs/>
      <w:kern w:val="0"/>
    </w:rPr>
  </w:style>
  <w:style w:type="character" w:customStyle="1" w:styleId="1515">
    <w:name w:val="richtextmngstyle1"/>
    <w:qFormat/>
    <w:uiPriority w:val="0"/>
    <w:rPr>
      <w:color w:val="000000"/>
      <w:spacing w:val="15"/>
      <w:sz w:val="21"/>
      <w:szCs w:val="21"/>
      <w:u w:val="none"/>
    </w:rPr>
  </w:style>
  <w:style w:type="character" w:customStyle="1" w:styleId="1516">
    <w:name w:val="Char Char47"/>
    <w:qFormat/>
    <w:uiPriority w:val="0"/>
    <w:rPr>
      <w:rFonts w:ascii="黑体" w:hAnsi="Arial" w:eastAsia="黑体"/>
      <w:b/>
      <w:bCs/>
      <w:kern w:val="2"/>
      <w:sz w:val="30"/>
      <w:szCs w:val="30"/>
      <w:lang w:val="en-US" w:eastAsia="zh-CN" w:bidi="ar-SA"/>
    </w:rPr>
  </w:style>
  <w:style w:type="character" w:customStyle="1" w:styleId="1517">
    <w:name w:val="样式 表内小5 + 黑体 加粗 倾斜 下划线 Char4"/>
    <w:qFormat/>
    <w:uiPriority w:val="0"/>
    <w:rPr>
      <w:rFonts w:ascii="黑体" w:hAnsi="黑体" w:eastAsia="黑体"/>
      <w:b/>
      <w:bCs/>
      <w:i/>
      <w:iCs/>
      <w:kern w:val="2"/>
      <w:sz w:val="18"/>
      <w:szCs w:val="24"/>
      <w:u w:val="single"/>
      <w:lang w:val="en-US" w:eastAsia="zh-CN" w:bidi="ar-SA"/>
    </w:rPr>
  </w:style>
  <w:style w:type="character" w:customStyle="1" w:styleId="1518">
    <w:name w:val="标题 2 Char1 Char"/>
    <w:qFormat/>
    <w:uiPriority w:val="0"/>
    <w:rPr>
      <w:rFonts w:ascii="黑体" w:hAnsi="Arial" w:eastAsia="黑体"/>
      <w:b/>
      <w:bCs/>
      <w:kern w:val="2"/>
      <w:sz w:val="30"/>
      <w:szCs w:val="30"/>
      <w:lang w:val="en-US" w:eastAsia="zh-CN" w:bidi="ar-SA"/>
    </w:rPr>
  </w:style>
  <w:style w:type="character" w:customStyle="1" w:styleId="1519">
    <w:name w:val="页脚 Char3"/>
    <w:qFormat/>
    <w:uiPriority w:val="0"/>
    <w:rPr>
      <w:rFonts w:eastAsia="宋体"/>
      <w:kern w:val="2"/>
      <w:sz w:val="18"/>
      <w:szCs w:val="18"/>
      <w:lang w:val="en-US" w:eastAsia="zh-CN" w:bidi="ar-SA"/>
    </w:rPr>
  </w:style>
  <w:style w:type="character" w:customStyle="1" w:styleId="1520">
    <w:name w:val="正文格式 Char71"/>
    <w:qFormat/>
    <w:uiPriority w:val="0"/>
    <w:rPr>
      <w:rFonts w:ascii="宋体" w:hAnsi="宋体" w:eastAsia="宋体"/>
      <w:kern w:val="2"/>
      <w:sz w:val="24"/>
      <w:szCs w:val="24"/>
      <w:lang w:val="en-US" w:eastAsia="zh-CN" w:bidi="ar-SA"/>
    </w:rPr>
  </w:style>
  <w:style w:type="character" w:customStyle="1" w:styleId="1521">
    <w:name w:val="表格内容 Char Char"/>
    <w:qFormat/>
    <w:uiPriority w:val="0"/>
    <w:rPr>
      <w:rFonts w:eastAsia="宋体"/>
      <w:kern w:val="2"/>
      <w:sz w:val="21"/>
      <w:szCs w:val="21"/>
      <w:lang w:val="en-US" w:eastAsia="zh-CN" w:bidi="ar-SA"/>
    </w:rPr>
  </w:style>
  <w:style w:type="character" w:customStyle="1" w:styleId="1522">
    <w:name w:val="Char Char2114"/>
    <w:qFormat/>
    <w:uiPriority w:val="0"/>
    <w:rPr>
      <w:rFonts w:ascii="黑体" w:eastAsia="宋体"/>
      <w:kern w:val="2"/>
      <w:sz w:val="16"/>
      <w:szCs w:val="16"/>
      <w:lang w:val="en-US" w:eastAsia="zh-CN" w:bidi="ar-SA"/>
    </w:rPr>
  </w:style>
  <w:style w:type="character" w:customStyle="1" w:styleId="1523">
    <w:name w:val="Char Char11110"/>
    <w:qFormat/>
    <w:uiPriority w:val="0"/>
    <w:rPr>
      <w:rFonts w:ascii="黑体" w:hAnsi="Arial" w:eastAsia="黑体"/>
      <w:bCs/>
      <w:kern w:val="2"/>
      <w:sz w:val="30"/>
      <w:szCs w:val="30"/>
      <w:lang w:val="en-US" w:eastAsia="zh-CN" w:bidi="ar-SA"/>
    </w:rPr>
  </w:style>
  <w:style w:type="character" w:customStyle="1" w:styleId="1524">
    <w:name w:val="Char Char115"/>
    <w:qFormat/>
    <w:uiPriority w:val="0"/>
    <w:rPr>
      <w:rFonts w:ascii="黑体" w:hAnsi="Arial" w:eastAsia="黑体"/>
      <w:bCs/>
      <w:kern w:val="2"/>
      <w:sz w:val="30"/>
      <w:szCs w:val="30"/>
      <w:lang w:val="en-US" w:eastAsia="zh-CN" w:bidi="ar-SA"/>
    </w:rPr>
  </w:style>
  <w:style w:type="character" w:customStyle="1" w:styleId="1525">
    <w:name w:val="正文修改 Char111"/>
    <w:qFormat/>
    <w:uiPriority w:val="0"/>
    <w:rPr>
      <w:rFonts w:ascii="宋体" w:hAnsi="宋体" w:eastAsia="宋体" w:cs="宋体"/>
      <w:color w:val="000000"/>
      <w:kern w:val="2"/>
      <w:sz w:val="24"/>
      <w:szCs w:val="24"/>
      <w:lang w:val="en-US" w:eastAsia="zh-CN" w:bidi="ar-SA"/>
    </w:rPr>
  </w:style>
  <w:style w:type="character" w:customStyle="1" w:styleId="1526">
    <w:name w:val="zi41"/>
    <w:qFormat/>
    <w:uiPriority w:val="0"/>
    <w:rPr>
      <w:color w:val="FFFFFF"/>
      <w:sz w:val="24"/>
      <w:szCs w:val="24"/>
    </w:rPr>
  </w:style>
  <w:style w:type="character" w:customStyle="1" w:styleId="1527">
    <w:name w:val="汇报材料正文 Char Char"/>
    <w:link w:val="1528"/>
    <w:qFormat/>
    <w:uiPriority w:val="0"/>
    <w:rPr>
      <w:rFonts w:ascii="宋体" w:cs="宋体"/>
      <w:bCs/>
      <w:spacing w:val="16"/>
      <w:sz w:val="24"/>
    </w:rPr>
  </w:style>
  <w:style w:type="paragraph" w:customStyle="1" w:styleId="1528">
    <w:name w:val="汇报材料正文"/>
    <w:basedOn w:val="1"/>
    <w:link w:val="1527"/>
    <w:qFormat/>
    <w:uiPriority w:val="0"/>
    <w:pPr>
      <w:adjustRightInd w:val="0"/>
      <w:snapToGrid w:val="0"/>
      <w:spacing w:line="360" w:lineRule="auto"/>
      <w:ind w:firstLine="530" w:firstLineChars="200"/>
      <w:jc w:val="left"/>
    </w:pPr>
    <w:rPr>
      <w:rFonts w:ascii="宋体"/>
      <w:bCs/>
      <w:spacing w:val="16"/>
      <w:kern w:val="0"/>
      <w:sz w:val="24"/>
      <w:szCs w:val="20"/>
    </w:rPr>
  </w:style>
  <w:style w:type="character" w:customStyle="1" w:styleId="1529">
    <w:name w:val="正文格式 Char41"/>
    <w:qFormat/>
    <w:uiPriority w:val="0"/>
    <w:rPr>
      <w:rFonts w:ascii="宋体" w:hAnsi="宋体" w:eastAsia="宋体"/>
      <w:kern w:val="2"/>
      <w:sz w:val="24"/>
      <w:szCs w:val="24"/>
      <w:lang w:val="en-US" w:eastAsia="zh-CN" w:bidi="ar-SA"/>
    </w:rPr>
  </w:style>
  <w:style w:type="character" w:customStyle="1" w:styleId="1530">
    <w:name w:val="正文文本 Char21"/>
    <w:qFormat/>
    <w:uiPriority w:val="0"/>
    <w:rPr>
      <w:rFonts w:eastAsia="宋体"/>
      <w:kern w:val="2"/>
      <w:sz w:val="21"/>
      <w:szCs w:val="24"/>
      <w:lang w:val="en-US" w:eastAsia="zh-CN" w:bidi="ar-SA"/>
    </w:rPr>
  </w:style>
  <w:style w:type="character" w:customStyle="1" w:styleId="1531">
    <w:name w:val="重点引导"/>
    <w:qFormat/>
    <w:uiPriority w:val="0"/>
    <w:rPr>
      <w:b/>
      <w:i/>
    </w:rPr>
  </w:style>
  <w:style w:type="character" w:customStyle="1" w:styleId="1532">
    <w:name w:val="表格内字体 Char4"/>
    <w:qFormat/>
    <w:uiPriority w:val="0"/>
    <w:rPr>
      <w:rFonts w:ascii="宋体" w:hAnsi="宋体" w:eastAsia="宋体"/>
      <w:kern w:val="2"/>
      <w:sz w:val="21"/>
      <w:szCs w:val="24"/>
      <w:lang w:val="en-US" w:eastAsia="zh-CN" w:bidi="ar-SA"/>
    </w:rPr>
  </w:style>
  <w:style w:type="character" w:customStyle="1" w:styleId="1533">
    <w:name w:val="环标3 Char Char"/>
    <w:qFormat/>
    <w:uiPriority w:val="0"/>
    <w:rPr>
      <w:rFonts w:ascii="宋体" w:hAnsi="宋体"/>
      <w:b/>
      <w:bCs/>
      <w:kern w:val="2"/>
      <w:sz w:val="28"/>
      <w:szCs w:val="28"/>
    </w:rPr>
  </w:style>
  <w:style w:type="character" w:customStyle="1" w:styleId="1534">
    <w:name w:val="9 Char Char Char Char"/>
    <w:qFormat/>
    <w:uiPriority w:val="0"/>
    <w:rPr>
      <w:rFonts w:eastAsia="宋体"/>
      <w:kern w:val="2"/>
      <w:sz w:val="28"/>
      <w:szCs w:val="28"/>
      <w:lang w:val="en-US" w:eastAsia="zh-CN" w:bidi="ar-SA"/>
    </w:rPr>
  </w:style>
  <w:style w:type="character" w:customStyle="1" w:styleId="1535">
    <w:name w:val="Char Char1124"/>
    <w:qFormat/>
    <w:uiPriority w:val="0"/>
    <w:rPr>
      <w:rFonts w:ascii="黑体" w:hAnsi="Arial" w:eastAsia="黑体"/>
      <w:bCs/>
      <w:kern w:val="2"/>
      <w:sz w:val="30"/>
      <w:szCs w:val="30"/>
      <w:lang w:val="en-US" w:eastAsia="zh-CN" w:bidi="ar-SA"/>
    </w:rPr>
  </w:style>
  <w:style w:type="character" w:customStyle="1" w:styleId="1536">
    <w:name w:val="图题注 Char2"/>
    <w:qFormat/>
    <w:uiPriority w:val="0"/>
    <w:rPr>
      <w:rFonts w:ascii="黑体" w:hAnsi="Arial" w:eastAsia="黑体" w:cs="宋体"/>
      <w:b/>
      <w:bCs/>
      <w:kern w:val="2"/>
      <w:sz w:val="24"/>
      <w:szCs w:val="24"/>
      <w:lang w:val="en-US" w:eastAsia="zh-CN" w:bidi="ar-SA"/>
    </w:rPr>
  </w:style>
  <w:style w:type="character" w:customStyle="1" w:styleId="1537">
    <w:name w:val="正文文本缩进 2 Char3"/>
    <w:qFormat/>
    <w:uiPriority w:val="0"/>
    <w:rPr>
      <w:rFonts w:ascii="Times New Roman" w:hAnsi="Times New Roman" w:eastAsia="宋体" w:cs="Times New Roman"/>
      <w:kern w:val="2"/>
      <w:sz w:val="24"/>
      <w:szCs w:val="24"/>
      <w:lang w:val="en-US" w:eastAsia="zh-CN" w:bidi="ar-SA"/>
    </w:rPr>
  </w:style>
  <w:style w:type="character" w:customStyle="1" w:styleId="1538">
    <w:name w:val="表中文字 Char23"/>
    <w:qFormat/>
    <w:uiPriority w:val="0"/>
    <w:rPr>
      <w:rFonts w:ascii="宋体" w:eastAsia="宋体"/>
      <w:kern w:val="2"/>
      <w:sz w:val="21"/>
      <w:szCs w:val="21"/>
      <w:lang w:val="en-US" w:eastAsia="zh-CN" w:bidi="ar-SA"/>
    </w:rPr>
  </w:style>
  <w:style w:type="character" w:customStyle="1" w:styleId="1539">
    <w:name w:val="attach-title1"/>
    <w:qFormat/>
    <w:uiPriority w:val="0"/>
    <w:rPr>
      <w:b/>
      <w:bCs/>
      <w:color w:val="008080"/>
      <w:sz w:val="27"/>
      <w:szCs w:val="27"/>
    </w:rPr>
  </w:style>
  <w:style w:type="character" w:customStyle="1" w:styleId="1540">
    <w:name w:val="上标"/>
    <w:qFormat/>
    <w:uiPriority w:val="0"/>
    <w:rPr>
      <w:spacing w:val="0"/>
      <w:position w:val="7"/>
      <w:sz w:val="21"/>
    </w:rPr>
  </w:style>
  <w:style w:type="character" w:customStyle="1" w:styleId="1541">
    <w:name w:val="正文格式 Char21"/>
    <w:qFormat/>
    <w:uiPriority w:val="0"/>
    <w:rPr>
      <w:rFonts w:ascii="宋体" w:hAnsi="宋体" w:eastAsia="宋体"/>
      <w:kern w:val="2"/>
      <w:sz w:val="24"/>
      <w:szCs w:val="24"/>
      <w:lang w:val="en-US" w:eastAsia="zh-CN" w:bidi="ar-SA"/>
    </w:rPr>
  </w:style>
  <w:style w:type="character" w:customStyle="1" w:styleId="1542">
    <w:name w:val="样式 表内小5 + 黑体 加粗 倾斜 下划线 Char52"/>
    <w:qFormat/>
    <w:uiPriority w:val="0"/>
    <w:rPr>
      <w:rFonts w:ascii="黑体" w:hAnsi="黑体" w:eastAsia="黑体"/>
      <w:b/>
      <w:bCs/>
      <w:i/>
      <w:iCs/>
      <w:kern w:val="2"/>
      <w:sz w:val="18"/>
      <w:szCs w:val="24"/>
      <w:u w:val="single"/>
      <w:lang w:val="en-US" w:eastAsia="zh-CN" w:bidi="ar-SA"/>
    </w:rPr>
  </w:style>
  <w:style w:type="character" w:customStyle="1" w:styleId="1543">
    <w:name w:val="标题 3 Char13"/>
    <w:qFormat/>
    <w:uiPriority w:val="0"/>
    <w:rPr>
      <w:rFonts w:ascii="黑体" w:hAnsi="宋体" w:eastAsia="黑体"/>
      <w:b/>
      <w:bCs/>
      <w:kern w:val="2"/>
      <w:sz w:val="28"/>
      <w:szCs w:val="28"/>
      <w:lang w:val="en-US" w:eastAsia="zh-CN" w:bidi="ar-SA"/>
    </w:rPr>
  </w:style>
  <w:style w:type="character" w:customStyle="1" w:styleId="1544">
    <w:name w:val="正文斜体 Char1"/>
    <w:qFormat/>
    <w:uiPriority w:val="0"/>
    <w:rPr>
      <w:rFonts w:ascii="宋体" w:hAnsi="宋体" w:eastAsia="宋体" w:cs="宋体"/>
      <w:i/>
      <w:iCs/>
      <w:kern w:val="2"/>
      <w:sz w:val="24"/>
      <w:szCs w:val="24"/>
      <w:lang w:val="en-US" w:eastAsia="zh-CN" w:bidi="ar-SA"/>
    </w:rPr>
  </w:style>
  <w:style w:type="character" w:customStyle="1" w:styleId="1545">
    <w:name w:val="T标题3级 Char Char"/>
    <w:link w:val="1546"/>
    <w:qFormat/>
    <w:uiPriority w:val="0"/>
    <w:rPr>
      <w:rFonts w:ascii="宋体" w:hAnsi="宋体"/>
      <w:bCs/>
      <w:kern w:val="24"/>
      <w:sz w:val="28"/>
      <w:szCs w:val="28"/>
    </w:rPr>
  </w:style>
  <w:style w:type="paragraph" w:customStyle="1" w:styleId="1546">
    <w:name w:val="T标题3级"/>
    <w:basedOn w:val="4"/>
    <w:next w:val="1"/>
    <w:link w:val="1545"/>
    <w:qFormat/>
    <w:uiPriority w:val="0"/>
    <w:pPr>
      <w:widowControl/>
      <w:tabs>
        <w:tab w:val="left" w:pos="233"/>
      </w:tabs>
      <w:overflowPunct w:val="0"/>
      <w:spacing w:beforeLines="50" w:afterLines="50" w:line="360" w:lineRule="auto"/>
      <w:ind w:left="2100" w:hanging="420"/>
      <w:jc w:val="left"/>
      <w:textAlignment w:val="baseline"/>
    </w:pPr>
    <w:rPr>
      <w:rFonts w:ascii="宋体" w:hAnsi="宋体"/>
      <w:b w:val="0"/>
      <w:kern w:val="24"/>
      <w:sz w:val="28"/>
      <w:szCs w:val="28"/>
    </w:rPr>
  </w:style>
  <w:style w:type="character" w:customStyle="1" w:styleId="1547">
    <w:name w:val="Char Char313"/>
    <w:qFormat/>
    <w:uiPriority w:val="0"/>
    <w:rPr>
      <w:rFonts w:ascii="黑体" w:hAnsi="宋体" w:eastAsia="黑体"/>
      <w:b/>
      <w:bCs/>
      <w:kern w:val="2"/>
      <w:sz w:val="28"/>
      <w:szCs w:val="28"/>
      <w:lang w:val="en-US" w:eastAsia="zh-CN" w:bidi="ar-SA"/>
    </w:rPr>
  </w:style>
  <w:style w:type="character" w:customStyle="1" w:styleId="1548">
    <w:name w:val="正文缩进 Char121"/>
    <w:qFormat/>
    <w:uiPriority w:val="0"/>
    <w:rPr>
      <w:rFonts w:ascii="宋体" w:hAnsi="宋体" w:eastAsia="宋体" w:cs="宋体"/>
      <w:color w:val="000000"/>
      <w:kern w:val="2"/>
      <w:sz w:val="24"/>
      <w:szCs w:val="24"/>
      <w:lang w:val="en-US" w:eastAsia="zh-CN" w:bidi="ar-SA"/>
    </w:rPr>
  </w:style>
  <w:style w:type="character" w:customStyle="1" w:styleId="1549">
    <w:name w:val="A正文 Char4"/>
    <w:qFormat/>
    <w:uiPriority w:val="0"/>
    <w:rPr>
      <w:rFonts w:eastAsia="仿宋_GB2312"/>
      <w:kern w:val="2"/>
      <w:sz w:val="24"/>
      <w:szCs w:val="24"/>
      <w:lang w:val="en-US" w:eastAsia="zh-CN" w:bidi="ar-SA"/>
    </w:rPr>
  </w:style>
  <w:style w:type="character" w:customStyle="1" w:styleId="1550">
    <w:name w:val="燕山正文 Char14"/>
    <w:qFormat/>
    <w:uiPriority w:val="0"/>
    <w:rPr>
      <w:rFonts w:ascii="宋体" w:eastAsia="宋体" w:cs="宋体"/>
      <w:kern w:val="2"/>
      <w:sz w:val="24"/>
      <w:szCs w:val="24"/>
      <w:lang w:val="en-US" w:eastAsia="zh-CN" w:bidi="ar-SA"/>
    </w:rPr>
  </w:style>
  <w:style w:type="character" w:customStyle="1" w:styleId="1551">
    <w:name w:val="正文修改 Char144"/>
    <w:qFormat/>
    <w:uiPriority w:val="0"/>
  </w:style>
  <w:style w:type="character" w:customStyle="1" w:styleId="1552">
    <w:name w:val="Char Char213"/>
    <w:qFormat/>
    <w:uiPriority w:val="0"/>
    <w:rPr>
      <w:rFonts w:ascii="黑体" w:eastAsia="宋体"/>
      <w:kern w:val="2"/>
      <w:sz w:val="16"/>
      <w:szCs w:val="16"/>
      <w:lang w:val="en-US" w:eastAsia="zh-CN" w:bidi="ar-SA"/>
    </w:rPr>
  </w:style>
  <w:style w:type="character" w:customStyle="1" w:styleId="1553">
    <w:name w:val="正文修改 Char12"/>
    <w:qFormat/>
    <w:uiPriority w:val="0"/>
    <w:rPr>
      <w:rFonts w:ascii="宋体" w:hAnsi="宋体" w:eastAsia="宋体" w:cs="宋体"/>
      <w:color w:val="000000"/>
      <w:kern w:val="2"/>
      <w:sz w:val="24"/>
      <w:szCs w:val="24"/>
      <w:lang w:val="en-US" w:eastAsia="zh-CN" w:bidi="ar-SA"/>
    </w:rPr>
  </w:style>
  <w:style w:type="character" w:customStyle="1" w:styleId="1554">
    <w:name w:val="正文格式 Char Char"/>
    <w:qFormat/>
    <w:uiPriority w:val="0"/>
    <w:rPr>
      <w:rFonts w:ascii="宋体" w:eastAsia="宋体" w:cs="宋体"/>
      <w:kern w:val="2"/>
      <w:sz w:val="24"/>
      <w:szCs w:val="24"/>
      <w:lang w:val="en-US" w:eastAsia="zh-CN" w:bidi="ar-SA"/>
    </w:rPr>
  </w:style>
  <w:style w:type="character" w:customStyle="1" w:styleId="1555">
    <w:name w:val="Char Char316"/>
    <w:qFormat/>
    <w:uiPriority w:val="0"/>
    <w:rPr>
      <w:rFonts w:ascii="黑体" w:hAnsi="宋体" w:eastAsia="黑体"/>
      <w:b/>
      <w:bCs/>
      <w:kern w:val="2"/>
      <w:sz w:val="28"/>
      <w:szCs w:val="28"/>
      <w:lang w:val="en-US" w:eastAsia="zh-CN" w:bidi="ar-SA"/>
    </w:rPr>
  </w:style>
  <w:style w:type="character" w:customStyle="1" w:styleId="1556">
    <w:name w:val="Char Char69"/>
    <w:qFormat/>
    <w:uiPriority w:val="0"/>
    <w:rPr>
      <w:rFonts w:ascii="黑体" w:eastAsia="黑体"/>
      <w:b/>
      <w:bCs/>
      <w:kern w:val="2"/>
      <w:sz w:val="28"/>
      <w:szCs w:val="28"/>
      <w:lang w:val="en-US" w:eastAsia="zh-CN" w:bidi="ar-SA"/>
    </w:rPr>
  </w:style>
  <w:style w:type="character" w:customStyle="1" w:styleId="1557">
    <w:name w:val="正文格式 Char6"/>
    <w:qFormat/>
    <w:uiPriority w:val="0"/>
    <w:rPr>
      <w:rFonts w:ascii="宋体" w:hAnsi="宋体" w:eastAsia="宋体" w:cs="Times New Roman"/>
      <w:kern w:val="2"/>
      <w:sz w:val="24"/>
      <w:szCs w:val="24"/>
      <w:lang w:val="en-US" w:eastAsia="zh-CN" w:bidi="ar-SA"/>
    </w:rPr>
  </w:style>
  <w:style w:type="character" w:customStyle="1" w:styleId="1558">
    <w:name w:val="正文格式 Char5"/>
    <w:qFormat/>
    <w:uiPriority w:val="0"/>
    <w:rPr>
      <w:rFonts w:ascii="宋体" w:hAnsi="宋体" w:eastAsia="宋体"/>
      <w:kern w:val="2"/>
      <w:sz w:val="24"/>
      <w:szCs w:val="24"/>
      <w:lang w:val="en-US" w:eastAsia="zh-CN" w:bidi="ar-SA"/>
    </w:rPr>
  </w:style>
  <w:style w:type="character" w:customStyle="1" w:styleId="1559">
    <w:name w:val="m11"/>
    <w:qFormat/>
    <w:uiPriority w:val="0"/>
    <w:rPr>
      <w:sz w:val="24"/>
      <w:szCs w:val="24"/>
    </w:rPr>
  </w:style>
  <w:style w:type="character" w:customStyle="1" w:styleId="1560">
    <w:name w:val="表内5 Char5"/>
    <w:qFormat/>
    <w:uiPriority w:val="0"/>
    <w:rPr>
      <w:rFonts w:ascii="宋体" w:hAnsi="宋体" w:eastAsia="宋体" w:cs="Times New Roman"/>
      <w:kern w:val="2"/>
      <w:sz w:val="24"/>
      <w:szCs w:val="24"/>
      <w:lang w:val="en-US" w:eastAsia="zh-CN" w:bidi="ar-SA"/>
    </w:rPr>
  </w:style>
  <w:style w:type="character" w:customStyle="1" w:styleId="1561">
    <w:name w:val="Char Char33"/>
    <w:qFormat/>
    <w:uiPriority w:val="0"/>
    <w:rPr>
      <w:rFonts w:ascii="黑体" w:hAnsi="宋体" w:eastAsia="黑体"/>
      <w:b/>
      <w:bCs/>
      <w:kern w:val="2"/>
      <w:sz w:val="28"/>
      <w:szCs w:val="28"/>
      <w:lang w:val="en-US" w:eastAsia="zh-CN" w:bidi="ar-SA"/>
    </w:rPr>
  </w:style>
  <w:style w:type="character" w:customStyle="1" w:styleId="1562">
    <w:name w:val="燕山正文 Char16"/>
    <w:qFormat/>
    <w:uiPriority w:val="0"/>
    <w:rPr>
      <w:rFonts w:ascii="宋体" w:eastAsia="宋体" w:cs="宋体"/>
      <w:kern w:val="2"/>
      <w:sz w:val="24"/>
      <w:szCs w:val="24"/>
      <w:lang w:val="en-US" w:eastAsia="zh-CN" w:bidi="ar-SA"/>
    </w:rPr>
  </w:style>
  <w:style w:type="character" w:customStyle="1" w:styleId="1563">
    <w:name w:val="题注 Char3"/>
    <w:qFormat/>
    <w:uiPriority w:val="0"/>
    <w:rPr>
      <w:rFonts w:ascii="黑体" w:hAnsi="Arial" w:eastAsia="黑体" w:cs="Arial"/>
      <w:b/>
      <w:kern w:val="2"/>
      <w:sz w:val="24"/>
      <w:szCs w:val="24"/>
      <w:lang w:val="en-US" w:eastAsia="zh-CN" w:bidi="ar-SA"/>
    </w:rPr>
  </w:style>
  <w:style w:type="character" w:customStyle="1" w:styleId="1564">
    <w:name w:val="样式 标题 3小标题小节标题H3h33rd level第二层条标题4标题 3 Char标题 3 Char Ch... Char Char Char1"/>
    <w:qFormat/>
    <w:uiPriority w:val="0"/>
    <w:rPr>
      <w:rFonts w:ascii="Arial" w:hAnsi="Arial" w:eastAsia="宋体"/>
      <w:b/>
      <w:bCs/>
      <w:kern w:val="32"/>
      <w:sz w:val="32"/>
      <w:szCs w:val="32"/>
      <w:lang w:val="en-US" w:eastAsia="zh-CN" w:bidi="ar-SA"/>
    </w:rPr>
  </w:style>
  <w:style w:type="character" w:customStyle="1" w:styleId="1565">
    <w:name w:val="txt1"/>
    <w:qFormat/>
    <w:uiPriority w:val="0"/>
    <w:rPr>
      <w:spacing w:val="15"/>
      <w:sz w:val="18"/>
      <w:szCs w:val="18"/>
    </w:rPr>
  </w:style>
  <w:style w:type="character" w:customStyle="1" w:styleId="1566">
    <w:name w:val="Char Char314"/>
    <w:qFormat/>
    <w:uiPriority w:val="0"/>
    <w:rPr>
      <w:rFonts w:ascii="黑体" w:hAnsi="宋体" w:eastAsia="黑体"/>
      <w:b/>
      <w:bCs/>
      <w:kern w:val="2"/>
      <w:sz w:val="28"/>
      <w:szCs w:val="28"/>
      <w:lang w:val="en-US" w:eastAsia="zh-CN" w:bidi="ar-SA"/>
    </w:rPr>
  </w:style>
  <w:style w:type="character" w:customStyle="1" w:styleId="1567">
    <w:name w:val="Char Char414"/>
    <w:qFormat/>
    <w:uiPriority w:val="0"/>
    <w:rPr>
      <w:rFonts w:ascii="黑体" w:hAnsi="Arial" w:eastAsia="黑体"/>
      <w:b/>
      <w:bCs/>
      <w:kern w:val="2"/>
      <w:sz w:val="30"/>
      <w:szCs w:val="30"/>
      <w:lang w:val="en-US" w:eastAsia="zh-CN" w:bidi="ar-SA"/>
    </w:rPr>
  </w:style>
  <w:style w:type="character" w:customStyle="1" w:styleId="1568">
    <w:name w:val="Char Char68"/>
    <w:qFormat/>
    <w:uiPriority w:val="0"/>
    <w:rPr>
      <w:rFonts w:ascii="黑体" w:eastAsia="黑体"/>
      <w:b/>
      <w:bCs/>
      <w:kern w:val="2"/>
      <w:sz w:val="28"/>
      <w:szCs w:val="28"/>
      <w:lang w:val="en-US" w:eastAsia="zh-CN" w:bidi="ar-SA"/>
    </w:rPr>
  </w:style>
  <w:style w:type="character" w:customStyle="1" w:styleId="1569">
    <w:name w:val="正文修改 Char113"/>
    <w:qFormat/>
    <w:uiPriority w:val="0"/>
    <w:rPr>
      <w:rFonts w:ascii="宋体" w:hAnsi="宋体" w:eastAsia="宋体" w:cs="宋体"/>
      <w:color w:val="000000"/>
      <w:kern w:val="2"/>
      <w:sz w:val="24"/>
      <w:szCs w:val="24"/>
      <w:lang w:val="en-US" w:eastAsia="zh-CN" w:bidi="ar-SA"/>
    </w:rPr>
  </w:style>
  <w:style w:type="character" w:customStyle="1" w:styleId="1570">
    <w:name w:val="Char Char102"/>
    <w:qFormat/>
    <w:uiPriority w:val="0"/>
    <w:rPr>
      <w:rFonts w:ascii="宋体" w:hAnsi="宋体" w:eastAsia="宋体" w:cs="宋体"/>
      <w:color w:val="000000"/>
      <w:kern w:val="2"/>
      <w:sz w:val="24"/>
      <w:szCs w:val="24"/>
      <w:lang w:val="en-US" w:eastAsia="zh-CN" w:bidi="ar-SA"/>
    </w:rPr>
  </w:style>
  <w:style w:type="character" w:customStyle="1" w:styleId="1571">
    <w:name w:val="hhcwt标题3 Char Char"/>
    <w:link w:val="1572"/>
    <w:qFormat/>
    <w:uiPriority w:val="0"/>
    <w:rPr>
      <w:rFonts w:eastAsia="楷体_GB2312"/>
      <w:bCs/>
      <w:sz w:val="28"/>
    </w:rPr>
  </w:style>
  <w:style w:type="paragraph" w:customStyle="1" w:styleId="1572">
    <w:name w:val="hhcwt标题3"/>
    <w:basedOn w:val="1"/>
    <w:link w:val="1571"/>
    <w:qFormat/>
    <w:uiPriority w:val="0"/>
    <w:pPr>
      <w:keepNext/>
      <w:keepLines/>
      <w:spacing w:line="336" w:lineRule="auto"/>
      <w:outlineLvl w:val="2"/>
    </w:pPr>
    <w:rPr>
      <w:rFonts w:eastAsia="楷体_GB2312"/>
      <w:bCs/>
      <w:kern w:val="0"/>
      <w:sz w:val="28"/>
      <w:szCs w:val="20"/>
    </w:rPr>
  </w:style>
  <w:style w:type="character" w:customStyle="1" w:styleId="1573">
    <w:name w:val="文档结构图 Char21"/>
    <w:qFormat/>
    <w:uiPriority w:val="0"/>
    <w:rPr>
      <w:rFonts w:eastAsia="宋体"/>
      <w:kern w:val="2"/>
      <w:sz w:val="21"/>
      <w:szCs w:val="24"/>
      <w:shd w:val="clear" w:color="auto" w:fill="000080"/>
      <w:lang w:val="en-US" w:eastAsia="zh-CN" w:bidi="ar-SA"/>
    </w:rPr>
  </w:style>
  <w:style w:type="character" w:customStyle="1" w:styleId="1574">
    <w:name w:val="表中文字 Char251"/>
    <w:qFormat/>
    <w:uiPriority w:val="0"/>
    <w:rPr>
      <w:rFonts w:ascii="宋体" w:eastAsia="宋体"/>
      <w:kern w:val="2"/>
      <w:sz w:val="21"/>
      <w:szCs w:val="21"/>
      <w:lang w:val="en-US" w:eastAsia="zh-CN" w:bidi="ar-SA"/>
    </w:rPr>
  </w:style>
  <w:style w:type="character" w:customStyle="1" w:styleId="1575">
    <w:name w:val="正文修改 Char1211"/>
    <w:qFormat/>
    <w:uiPriority w:val="0"/>
    <w:rPr>
      <w:rFonts w:ascii="宋体" w:hAnsi="宋体" w:eastAsia="宋体" w:cs="宋体"/>
      <w:color w:val="000000"/>
      <w:kern w:val="2"/>
      <w:sz w:val="24"/>
      <w:szCs w:val="24"/>
      <w:lang w:val="en-US" w:eastAsia="zh-CN" w:bidi="ar-SA"/>
    </w:rPr>
  </w:style>
  <w:style w:type="character" w:customStyle="1" w:styleId="1576">
    <w:name w:val="表题1 Char2"/>
    <w:qFormat/>
    <w:uiPriority w:val="0"/>
    <w:rPr>
      <w:rFonts w:hAnsi="Arial" w:eastAsia="宋体" w:cs="Arial"/>
      <w:kern w:val="2"/>
      <w:sz w:val="24"/>
      <w:szCs w:val="24"/>
      <w:lang w:val="en-US" w:eastAsia="zh-CN" w:bidi="ar-SA"/>
    </w:rPr>
  </w:style>
  <w:style w:type="character" w:customStyle="1" w:styleId="1577">
    <w:name w:val="样式 标题 3 + 黑色 Char Char Char Char Char Char2"/>
    <w:qFormat/>
    <w:uiPriority w:val="0"/>
    <w:rPr>
      <w:rFonts w:eastAsia="宋体"/>
      <w:b/>
      <w:bCs/>
      <w:color w:val="000000"/>
      <w:kern w:val="2"/>
      <w:sz w:val="28"/>
      <w:szCs w:val="32"/>
      <w:lang w:val="en-US" w:eastAsia="zh-CN" w:bidi="ar-SA"/>
    </w:rPr>
  </w:style>
  <w:style w:type="character" w:customStyle="1" w:styleId="1578">
    <w:name w:val="样式41"/>
    <w:qFormat/>
    <w:uiPriority w:val="0"/>
    <w:rPr>
      <w:color w:val="313D42"/>
    </w:rPr>
  </w:style>
  <w:style w:type="character" w:customStyle="1" w:styleId="1579">
    <w:name w:val="新正文 Char Char Char Char Char Char"/>
    <w:qFormat/>
    <w:uiPriority w:val="0"/>
    <w:rPr>
      <w:rFonts w:ascii="仿宋_GB2312" w:eastAsia="仿宋_GB2312"/>
      <w:bCs/>
      <w:sz w:val="28"/>
      <w:lang w:val="en-US" w:eastAsia="zh-CN" w:bidi="ar-SA"/>
    </w:rPr>
  </w:style>
  <w:style w:type="character" w:customStyle="1" w:styleId="1580">
    <w:name w:val="Char Char411"/>
    <w:qFormat/>
    <w:uiPriority w:val="0"/>
    <w:rPr>
      <w:rFonts w:ascii="黑体" w:hAnsi="Arial" w:eastAsia="黑体"/>
      <w:b/>
      <w:bCs/>
      <w:kern w:val="2"/>
      <w:sz w:val="30"/>
      <w:szCs w:val="30"/>
      <w:lang w:val="en-US" w:eastAsia="zh-CN" w:bidi="ar-SA"/>
    </w:rPr>
  </w:style>
  <w:style w:type="character" w:customStyle="1" w:styleId="1581">
    <w:name w:val="Char Char612"/>
    <w:qFormat/>
    <w:uiPriority w:val="0"/>
    <w:rPr>
      <w:rFonts w:ascii="黑体" w:eastAsia="黑体"/>
      <w:b/>
      <w:bCs/>
      <w:kern w:val="2"/>
      <w:sz w:val="28"/>
      <w:szCs w:val="28"/>
      <w:lang w:val="en-US" w:eastAsia="zh-CN" w:bidi="ar-SA"/>
    </w:rPr>
  </w:style>
  <w:style w:type="character" w:customStyle="1" w:styleId="1582">
    <w:name w:val="批注框文本 Char6"/>
    <w:qFormat/>
    <w:uiPriority w:val="0"/>
    <w:rPr>
      <w:rFonts w:eastAsia="宋体"/>
      <w:kern w:val="2"/>
      <w:sz w:val="18"/>
      <w:szCs w:val="18"/>
      <w:lang w:val="en-US" w:eastAsia="zh-CN" w:bidi="ar-SA"/>
    </w:rPr>
  </w:style>
  <w:style w:type="character" w:customStyle="1" w:styleId="1583">
    <w:name w:val="正文缩进 Char21"/>
    <w:qFormat/>
    <w:uiPriority w:val="0"/>
    <w:rPr>
      <w:rFonts w:ascii="宋体" w:hAnsi="宋体" w:eastAsia="宋体" w:cs="宋体"/>
      <w:color w:val="000000"/>
      <w:kern w:val="2"/>
      <w:sz w:val="24"/>
      <w:szCs w:val="24"/>
      <w:lang w:val="en-US" w:eastAsia="zh-CN" w:bidi="ar-SA"/>
    </w:rPr>
  </w:style>
  <w:style w:type="character" w:customStyle="1" w:styleId="1584">
    <w:name w:val="表题1 Char7"/>
    <w:qFormat/>
    <w:uiPriority w:val="0"/>
    <w:rPr>
      <w:rFonts w:ascii="黑体" w:hAnsi="Arial" w:eastAsia="黑体" w:cs="Arial"/>
      <w:b/>
      <w:kern w:val="2"/>
      <w:sz w:val="24"/>
      <w:szCs w:val="24"/>
      <w:lang w:val="en-US" w:eastAsia="zh-CN" w:bidi="ar-SA"/>
    </w:rPr>
  </w:style>
  <w:style w:type="character" w:customStyle="1" w:styleId="1585">
    <w:name w:val="正文格式 Char81"/>
    <w:qFormat/>
    <w:uiPriority w:val="0"/>
    <w:rPr>
      <w:rFonts w:ascii="宋体" w:hAnsi="宋体" w:eastAsia="宋体"/>
      <w:kern w:val="2"/>
      <w:sz w:val="24"/>
      <w:szCs w:val="24"/>
      <w:lang w:val="en-US" w:eastAsia="zh-CN" w:bidi="ar-SA"/>
    </w:rPr>
  </w:style>
  <w:style w:type="character" w:customStyle="1" w:styleId="1586">
    <w:name w:val="A正文 Char1"/>
    <w:qFormat/>
    <w:uiPriority w:val="0"/>
    <w:rPr>
      <w:rFonts w:eastAsia="仿宋_GB2312"/>
      <w:kern w:val="2"/>
      <w:sz w:val="24"/>
      <w:szCs w:val="24"/>
      <w:lang w:val="en-US" w:eastAsia="zh-CN" w:bidi="ar-SA"/>
    </w:rPr>
  </w:style>
  <w:style w:type="character" w:customStyle="1" w:styleId="1587">
    <w:name w:val="正文修改 Char121"/>
    <w:qFormat/>
    <w:uiPriority w:val="0"/>
    <w:rPr>
      <w:rFonts w:ascii="宋体" w:hAnsi="宋体" w:eastAsia="宋体" w:cs="宋体"/>
      <w:color w:val="000000"/>
      <w:kern w:val="2"/>
      <w:sz w:val="24"/>
      <w:szCs w:val="24"/>
      <w:lang w:val="en-US" w:eastAsia="zh-CN" w:bidi="ar-SA"/>
    </w:rPr>
  </w:style>
  <w:style w:type="character" w:customStyle="1" w:styleId="1588">
    <w:name w:val="表格内字体 Char7"/>
    <w:qFormat/>
    <w:uiPriority w:val="0"/>
    <w:rPr>
      <w:rFonts w:ascii="宋体" w:hAnsi="宋体" w:eastAsia="宋体"/>
      <w:kern w:val="2"/>
      <w:sz w:val="21"/>
      <w:szCs w:val="24"/>
      <w:lang w:val="en-US" w:eastAsia="zh-CN" w:bidi="ar-SA"/>
    </w:rPr>
  </w:style>
  <w:style w:type="character" w:customStyle="1" w:styleId="1589">
    <w:name w:val="图题 Char4"/>
    <w:qFormat/>
    <w:uiPriority w:val="0"/>
    <w:rPr>
      <w:rFonts w:ascii="黑体" w:hAnsi="宋体" w:eastAsia="黑体" w:cs="宋体"/>
      <w:b/>
      <w:bCs/>
      <w:kern w:val="2"/>
      <w:sz w:val="24"/>
      <w:szCs w:val="24"/>
      <w:lang w:val="en-US" w:eastAsia="zh-CN" w:bidi="ar-SA"/>
    </w:rPr>
  </w:style>
  <w:style w:type="character" w:customStyle="1" w:styleId="1590">
    <w:name w:val="Char Char417"/>
    <w:qFormat/>
    <w:uiPriority w:val="0"/>
    <w:rPr>
      <w:rFonts w:ascii="黑体" w:hAnsi="Arial" w:eastAsia="黑体"/>
      <w:b/>
      <w:bCs/>
      <w:kern w:val="2"/>
      <w:sz w:val="30"/>
      <w:szCs w:val="30"/>
      <w:lang w:val="en-US" w:eastAsia="zh-CN" w:bidi="ar-SA"/>
    </w:rPr>
  </w:style>
  <w:style w:type="character" w:customStyle="1" w:styleId="1591">
    <w:name w:val="正文格式 Char91"/>
    <w:qFormat/>
    <w:uiPriority w:val="0"/>
    <w:rPr>
      <w:rFonts w:ascii="宋体" w:hAnsi="宋体" w:eastAsia="宋体"/>
      <w:kern w:val="2"/>
      <w:sz w:val="24"/>
      <w:szCs w:val="24"/>
      <w:lang w:val="en-US" w:eastAsia="zh-CN" w:bidi="ar-SA"/>
    </w:rPr>
  </w:style>
  <w:style w:type="character" w:customStyle="1" w:styleId="1592">
    <w:name w:val="样式 表内小5 + 黑体 加粗 倾斜 下划线 Char3"/>
    <w:qFormat/>
    <w:uiPriority w:val="0"/>
    <w:rPr>
      <w:rFonts w:ascii="黑体" w:hAnsi="黑体" w:eastAsia="黑体" w:cs="Times New Roman"/>
      <w:b/>
      <w:bCs/>
      <w:i/>
      <w:iCs/>
      <w:kern w:val="2"/>
      <w:sz w:val="18"/>
      <w:szCs w:val="24"/>
      <w:u w:val="single"/>
      <w:lang w:val="en-US" w:eastAsia="zh-CN" w:bidi="ar-SA"/>
    </w:rPr>
  </w:style>
  <w:style w:type="character" w:customStyle="1" w:styleId="1593">
    <w:name w:val="Char Char1112"/>
    <w:qFormat/>
    <w:uiPriority w:val="0"/>
    <w:rPr>
      <w:rFonts w:ascii="黑体" w:hAnsi="Arial" w:eastAsia="黑体"/>
      <w:bCs/>
      <w:kern w:val="2"/>
      <w:sz w:val="30"/>
      <w:szCs w:val="30"/>
      <w:lang w:val="en-US" w:eastAsia="zh-CN" w:bidi="ar-SA"/>
    </w:rPr>
  </w:style>
  <w:style w:type="character" w:customStyle="1" w:styleId="1594">
    <w:name w:val="样式 表格内字体 + Char4"/>
    <w:qFormat/>
    <w:uiPriority w:val="0"/>
    <w:rPr>
      <w:rFonts w:ascii="宋体" w:hAnsi="宋体" w:eastAsia="宋体"/>
      <w:kern w:val="2"/>
      <w:sz w:val="21"/>
      <w:szCs w:val="24"/>
      <w:lang w:val="en-US" w:eastAsia="zh-CN" w:bidi="ar-SA"/>
    </w:rPr>
  </w:style>
  <w:style w:type="character" w:customStyle="1" w:styleId="1595">
    <w:name w:val="表格内字体 Char81"/>
    <w:qFormat/>
    <w:uiPriority w:val="0"/>
    <w:rPr>
      <w:rFonts w:ascii="宋体" w:hAnsi="宋体" w:eastAsia="宋体"/>
      <w:kern w:val="2"/>
      <w:sz w:val="21"/>
      <w:szCs w:val="24"/>
      <w:lang w:val="en-US" w:eastAsia="zh-CN" w:bidi="ar-SA"/>
    </w:rPr>
  </w:style>
  <w:style w:type="character" w:customStyle="1" w:styleId="1596">
    <w:name w:val="Char Char2117"/>
    <w:qFormat/>
    <w:uiPriority w:val="0"/>
    <w:rPr>
      <w:rFonts w:ascii="黑体" w:eastAsia="宋体"/>
      <w:kern w:val="2"/>
      <w:sz w:val="16"/>
      <w:szCs w:val="16"/>
      <w:lang w:val="en-US" w:eastAsia="zh-CN" w:bidi="ar-SA"/>
    </w:rPr>
  </w:style>
  <w:style w:type="character" w:customStyle="1" w:styleId="1597">
    <w:name w:val="Char Char631"/>
    <w:qFormat/>
    <w:uiPriority w:val="0"/>
    <w:rPr>
      <w:rFonts w:ascii="黑体" w:eastAsia="黑体"/>
      <w:b/>
      <w:bCs/>
      <w:kern w:val="2"/>
      <w:sz w:val="28"/>
      <w:szCs w:val="28"/>
      <w:lang w:val="en-US" w:eastAsia="zh-CN" w:bidi="ar-SA"/>
    </w:rPr>
  </w:style>
  <w:style w:type="character" w:customStyle="1" w:styleId="1598">
    <w:name w:val="标题 32"/>
    <w:qFormat/>
    <w:uiPriority w:val="0"/>
    <w:rPr>
      <w:rFonts w:eastAsia="Arial Unicode MS"/>
      <w:b/>
      <w:bCs/>
      <w:kern w:val="2"/>
      <w:sz w:val="32"/>
      <w:szCs w:val="32"/>
      <w:lang w:val="en-US" w:eastAsia="zh-CN" w:bidi="ar-SA"/>
    </w:rPr>
  </w:style>
  <w:style w:type="character" w:customStyle="1" w:styleId="1599">
    <w:name w:val="p15"/>
    <w:qFormat/>
    <w:uiPriority w:val="0"/>
  </w:style>
  <w:style w:type="character" w:customStyle="1" w:styleId="1600">
    <w:name w:val="yw正文文本缩进 Char Char"/>
    <w:link w:val="1601"/>
    <w:qFormat/>
    <w:uiPriority w:val="0"/>
    <w:rPr>
      <w:rFonts w:eastAsia="仿宋_GB2312" w:cs="宋体"/>
      <w:sz w:val="24"/>
    </w:rPr>
  </w:style>
  <w:style w:type="paragraph" w:customStyle="1" w:styleId="1601">
    <w:name w:val="yw正文文本缩进"/>
    <w:basedOn w:val="1"/>
    <w:link w:val="1600"/>
    <w:qFormat/>
    <w:uiPriority w:val="0"/>
    <w:pPr>
      <w:widowControl/>
      <w:overflowPunct w:val="0"/>
      <w:autoSpaceDE w:val="0"/>
      <w:autoSpaceDN w:val="0"/>
      <w:adjustRightInd w:val="0"/>
      <w:snapToGrid w:val="0"/>
      <w:spacing w:line="360" w:lineRule="auto"/>
      <w:ind w:firstLine="200" w:firstLineChars="200"/>
      <w:textAlignment w:val="baseline"/>
    </w:pPr>
    <w:rPr>
      <w:rFonts w:eastAsia="仿宋_GB2312"/>
      <w:kern w:val="0"/>
      <w:sz w:val="24"/>
      <w:szCs w:val="20"/>
    </w:rPr>
  </w:style>
  <w:style w:type="character" w:customStyle="1" w:styleId="1602">
    <w:name w:val="表中文字 Char25"/>
    <w:qFormat/>
    <w:uiPriority w:val="0"/>
    <w:rPr>
      <w:rFonts w:ascii="宋体" w:eastAsia="宋体"/>
      <w:kern w:val="2"/>
      <w:sz w:val="21"/>
      <w:szCs w:val="21"/>
      <w:lang w:val="en-US" w:eastAsia="zh-CN" w:bidi="ar-SA"/>
    </w:rPr>
  </w:style>
  <w:style w:type="character" w:customStyle="1" w:styleId="1603">
    <w:name w:val="标题正文黑 Char"/>
    <w:qFormat/>
    <w:uiPriority w:val="0"/>
    <w:rPr>
      <w:rFonts w:ascii="黑体" w:eastAsia="黑体"/>
      <w:kern w:val="2"/>
      <w:sz w:val="28"/>
      <w:szCs w:val="28"/>
      <w:lang w:val="en-US" w:eastAsia="zh-CN" w:bidi="ar-SA"/>
    </w:rPr>
  </w:style>
  <w:style w:type="character" w:customStyle="1" w:styleId="1604">
    <w:name w:val="Char Char1211"/>
    <w:qFormat/>
    <w:uiPriority w:val="0"/>
    <w:rPr>
      <w:rFonts w:ascii="黑体" w:hAnsi="Arial" w:eastAsia="黑体"/>
      <w:b/>
      <w:bCs/>
      <w:kern w:val="2"/>
      <w:sz w:val="30"/>
      <w:szCs w:val="30"/>
      <w:lang w:val="en-US" w:eastAsia="zh-CN" w:bidi="ar-SA"/>
    </w:rPr>
  </w:style>
  <w:style w:type="character" w:customStyle="1" w:styleId="1605">
    <w:name w:val="正文内容 Char Char"/>
    <w:qFormat/>
    <w:uiPriority w:val="0"/>
    <w:rPr>
      <w:rFonts w:eastAsia="宋体"/>
      <w:kern w:val="2"/>
      <w:sz w:val="24"/>
      <w:szCs w:val="24"/>
      <w:lang w:val="en-US" w:eastAsia="zh-CN" w:bidi="ar-SA"/>
    </w:rPr>
  </w:style>
  <w:style w:type="character" w:customStyle="1" w:styleId="1606">
    <w:name w:val="正文修改 Char152"/>
    <w:qFormat/>
    <w:uiPriority w:val="0"/>
    <w:rPr>
      <w:rFonts w:ascii="宋体" w:hAnsi="宋体" w:eastAsia="宋体" w:cs="宋体"/>
      <w:color w:val="000000"/>
      <w:kern w:val="2"/>
      <w:sz w:val="24"/>
      <w:szCs w:val="24"/>
      <w:lang w:val="en-US" w:eastAsia="zh-CN" w:bidi="ar-SA"/>
    </w:rPr>
  </w:style>
  <w:style w:type="character" w:customStyle="1" w:styleId="1607">
    <w:name w:val="Char Char113"/>
    <w:qFormat/>
    <w:uiPriority w:val="0"/>
    <w:rPr>
      <w:rFonts w:ascii="黑体" w:hAnsi="Arial" w:eastAsia="黑体"/>
      <w:bCs/>
      <w:kern w:val="2"/>
      <w:sz w:val="30"/>
      <w:szCs w:val="30"/>
      <w:lang w:val="en-US" w:eastAsia="zh-CN" w:bidi="ar-SA"/>
    </w:rPr>
  </w:style>
  <w:style w:type="character" w:customStyle="1" w:styleId="1608">
    <w:name w:val="第一层条 Char7"/>
    <w:qFormat/>
    <w:uiPriority w:val="0"/>
    <w:rPr>
      <w:rFonts w:ascii="仿宋_GB2312" w:eastAsia="仿宋_GB2312"/>
      <w:b/>
      <w:kern w:val="2"/>
      <w:sz w:val="28"/>
      <w:lang w:val="en-US" w:eastAsia="zh-CN" w:bidi="ar-SA"/>
    </w:rPr>
  </w:style>
  <w:style w:type="character" w:customStyle="1" w:styleId="1609">
    <w:name w:val="正文缩进 Ch Char1"/>
    <w:qFormat/>
    <w:uiPriority w:val="0"/>
    <w:rPr>
      <w:rFonts w:eastAsia="宋体"/>
      <w:kern w:val="2"/>
      <w:sz w:val="21"/>
      <w:lang w:val="en-US" w:eastAsia="zh-CN" w:bidi="ar-SA"/>
    </w:rPr>
  </w:style>
  <w:style w:type="character" w:customStyle="1" w:styleId="1610">
    <w:name w:val="正文格式 Char Char Char Char1"/>
    <w:qFormat/>
    <w:uiPriority w:val="0"/>
    <w:rPr>
      <w:rFonts w:ascii="宋体" w:eastAsia="宋体" w:cs="宋体"/>
      <w:kern w:val="2"/>
      <w:sz w:val="24"/>
      <w:szCs w:val="24"/>
      <w:lang w:val="en-US" w:eastAsia="zh-CN" w:bidi="ar-SA"/>
    </w:rPr>
  </w:style>
  <w:style w:type="character" w:customStyle="1" w:styleId="1611">
    <w:name w:val="Char Char318"/>
    <w:qFormat/>
    <w:uiPriority w:val="0"/>
    <w:rPr>
      <w:rFonts w:ascii="黑体" w:hAnsi="宋体" w:eastAsia="黑体"/>
      <w:b/>
      <w:bCs/>
      <w:kern w:val="2"/>
      <w:sz w:val="28"/>
      <w:szCs w:val="28"/>
      <w:lang w:val="en-US" w:eastAsia="zh-CN" w:bidi="ar-SA"/>
    </w:rPr>
  </w:style>
  <w:style w:type="character" w:customStyle="1" w:styleId="1612">
    <w:name w:val="Char Char418"/>
    <w:qFormat/>
    <w:uiPriority w:val="0"/>
    <w:rPr>
      <w:rFonts w:ascii="黑体" w:hAnsi="Arial" w:eastAsia="黑体"/>
      <w:b/>
      <w:bCs/>
      <w:kern w:val="2"/>
      <w:sz w:val="30"/>
      <w:szCs w:val="30"/>
      <w:lang w:val="en-US" w:eastAsia="zh-CN" w:bidi="ar-SA"/>
    </w:rPr>
  </w:style>
  <w:style w:type="character" w:customStyle="1" w:styleId="1613">
    <w:name w:val="标题正文黑 Char1"/>
    <w:qFormat/>
    <w:uiPriority w:val="0"/>
    <w:rPr>
      <w:rFonts w:ascii="黑体" w:eastAsia="黑体"/>
      <w:kern w:val="2"/>
      <w:sz w:val="28"/>
      <w:szCs w:val="28"/>
      <w:lang w:val="en-US" w:eastAsia="zh-CN" w:bidi="ar-SA"/>
    </w:rPr>
  </w:style>
  <w:style w:type="character" w:customStyle="1" w:styleId="1614">
    <w:name w:val="表题1 Char612"/>
    <w:qFormat/>
    <w:uiPriority w:val="0"/>
    <w:rPr>
      <w:rFonts w:ascii="黑体" w:hAnsi="Arial" w:eastAsia="黑体" w:cs="Arial"/>
      <w:b/>
      <w:kern w:val="2"/>
      <w:sz w:val="24"/>
      <w:szCs w:val="24"/>
      <w:lang w:val="en-US" w:eastAsia="zh-CN" w:bidi="ar-SA"/>
    </w:rPr>
  </w:style>
  <w:style w:type="character" w:customStyle="1" w:styleId="1615">
    <w:name w:val="head121"/>
    <w:qFormat/>
    <w:uiPriority w:val="0"/>
    <w:rPr>
      <w:rFonts w:eastAsia="宋体"/>
      <w:kern w:val="2"/>
      <w:sz w:val="22"/>
      <w:szCs w:val="22"/>
      <w:lang w:val="en-US" w:eastAsia="zh-CN" w:bidi="ar-SA"/>
    </w:rPr>
  </w:style>
  <w:style w:type="character" w:customStyle="1" w:styleId="1616">
    <w:name w:val="表题1 Char3"/>
    <w:qFormat/>
    <w:uiPriority w:val="0"/>
    <w:rPr>
      <w:rFonts w:ascii="黑体" w:hAnsi="Arial" w:eastAsia="黑体" w:cs="Arial"/>
      <w:b/>
      <w:kern w:val="2"/>
      <w:sz w:val="24"/>
      <w:szCs w:val="24"/>
      <w:lang w:val="en-US" w:eastAsia="zh-CN" w:bidi="ar-SA"/>
    </w:rPr>
  </w:style>
  <w:style w:type="character" w:customStyle="1" w:styleId="1617">
    <w:name w:val="燕山正文 Char12"/>
    <w:qFormat/>
    <w:uiPriority w:val="0"/>
    <w:rPr>
      <w:rFonts w:ascii="宋体" w:eastAsia="宋体" w:cs="宋体"/>
      <w:kern w:val="2"/>
      <w:sz w:val="24"/>
      <w:szCs w:val="24"/>
      <w:lang w:val="en-US" w:eastAsia="zh-CN" w:bidi="ar-SA"/>
    </w:rPr>
  </w:style>
  <w:style w:type="character" w:customStyle="1" w:styleId="1618">
    <w:name w:val="样式正文 Char Char"/>
    <w:link w:val="1619"/>
    <w:qFormat/>
    <w:uiPriority w:val="0"/>
    <w:rPr>
      <w:sz w:val="24"/>
      <w:szCs w:val="24"/>
    </w:rPr>
  </w:style>
  <w:style w:type="paragraph" w:customStyle="1" w:styleId="1619">
    <w:name w:val="样式正文"/>
    <w:basedOn w:val="1"/>
    <w:link w:val="1618"/>
    <w:qFormat/>
    <w:uiPriority w:val="0"/>
    <w:pPr>
      <w:spacing w:line="400" w:lineRule="exact"/>
      <w:ind w:firstLine="200" w:firstLineChars="200"/>
    </w:pPr>
    <w:rPr>
      <w:kern w:val="0"/>
      <w:sz w:val="24"/>
    </w:rPr>
  </w:style>
  <w:style w:type="character" w:customStyle="1" w:styleId="1620">
    <w:name w:val="Char Char513"/>
    <w:qFormat/>
    <w:uiPriority w:val="0"/>
    <w:rPr>
      <w:rFonts w:ascii="黑体" w:hAnsi="宋体" w:eastAsia="黑体"/>
      <w:bCs/>
      <w:kern w:val="2"/>
      <w:sz w:val="28"/>
      <w:szCs w:val="28"/>
      <w:lang w:val="en-US" w:eastAsia="zh-CN" w:bidi="ar-SA"/>
    </w:rPr>
  </w:style>
  <w:style w:type="character" w:customStyle="1" w:styleId="1621">
    <w:name w:val="题注 Char62"/>
    <w:qFormat/>
    <w:uiPriority w:val="0"/>
    <w:rPr>
      <w:rFonts w:ascii="黑体" w:hAnsi="Arial" w:eastAsia="黑体" w:cs="Arial"/>
      <w:b/>
      <w:kern w:val="2"/>
      <w:sz w:val="24"/>
      <w:szCs w:val="24"/>
      <w:lang w:val="en-US" w:eastAsia="zh-CN" w:bidi="ar-SA"/>
    </w:rPr>
  </w:style>
  <w:style w:type="character" w:customStyle="1" w:styleId="1622">
    <w:name w:val="A正文 Char3"/>
    <w:qFormat/>
    <w:uiPriority w:val="0"/>
    <w:rPr>
      <w:rFonts w:ascii="Times New Roman" w:hAnsi="Times New Roman" w:eastAsia="仿宋_GB2312" w:cs="Times New Roman"/>
      <w:kern w:val="0"/>
      <w:sz w:val="24"/>
      <w:szCs w:val="24"/>
      <w:lang w:val="en-US" w:eastAsia="zh-CN" w:bidi="ar-SA"/>
    </w:rPr>
  </w:style>
  <w:style w:type="character" w:customStyle="1" w:styleId="1623">
    <w:name w:val="题注 Char32"/>
    <w:qFormat/>
    <w:uiPriority w:val="0"/>
    <w:rPr>
      <w:rFonts w:ascii="黑体" w:hAnsi="Arial" w:eastAsia="黑体" w:cs="Arial"/>
      <w:b/>
      <w:kern w:val="2"/>
      <w:sz w:val="24"/>
      <w:szCs w:val="24"/>
      <w:lang w:val="en-US" w:eastAsia="zh-CN" w:bidi="ar-SA"/>
    </w:rPr>
  </w:style>
  <w:style w:type="character" w:customStyle="1" w:styleId="1624">
    <w:name w:val="第一层条 Char1"/>
    <w:qFormat/>
    <w:uiPriority w:val="0"/>
    <w:rPr>
      <w:rFonts w:ascii="仿宋_GB2312" w:eastAsia="仿宋_GB2312"/>
      <w:b/>
      <w:kern w:val="2"/>
      <w:sz w:val="28"/>
      <w:lang w:val="en-US" w:eastAsia="zh-CN" w:bidi="ar-SA"/>
    </w:rPr>
  </w:style>
  <w:style w:type="character" w:customStyle="1" w:styleId="1625">
    <w:name w:val="标题 3 Char111"/>
    <w:qFormat/>
    <w:uiPriority w:val="0"/>
    <w:rPr>
      <w:rFonts w:ascii="黑体" w:hAnsi="宋体" w:eastAsia="黑体"/>
      <w:b/>
      <w:bCs/>
      <w:kern w:val="2"/>
      <w:sz w:val="28"/>
      <w:szCs w:val="28"/>
      <w:lang w:val="en-US" w:eastAsia="zh-CN" w:bidi="ar-SA"/>
    </w:rPr>
  </w:style>
  <w:style w:type="character" w:customStyle="1" w:styleId="1626">
    <w:name w:val="表格内字体 Char5"/>
    <w:qFormat/>
    <w:uiPriority w:val="0"/>
    <w:rPr>
      <w:rFonts w:ascii="宋体" w:hAnsi="宋体" w:eastAsia="宋体"/>
      <w:kern w:val="2"/>
      <w:sz w:val="21"/>
      <w:szCs w:val="24"/>
      <w:lang w:val="en-US" w:eastAsia="zh-CN" w:bidi="ar-SA"/>
    </w:rPr>
  </w:style>
  <w:style w:type="character" w:customStyle="1" w:styleId="1627">
    <w:name w:val="Char Char215"/>
    <w:qFormat/>
    <w:uiPriority w:val="0"/>
    <w:rPr>
      <w:rFonts w:ascii="黑体" w:eastAsia="宋体"/>
      <w:kern w:val="2"/>
      <w:sz w:val="16"/>
      <w:szCs w:val="16"/>
      <w:lang w:val="en-US" w:eastAsia="zh-CN" w:bidi="ar-SA"/>
    </w:rPr>
  </w:style>
  <w:style w:type="character" w:customStyle="1" w:styleId="1628">
    <w:name w:val="Char Char129"/>
    <w:qFormat/>
    <w:uiPriority w:val="0"/>
    <w:rPr>
      <w:rFonts w:ascii="黑体" w:hAnsi="Arial" w:eastAsia="黑体"/>
      <w:b/>
      <w:bCs/>
      <w:kern w:val="2"/>
      <w:sz w:val="30"/>
      <w:szCs w:val="30"/>
      <w:lang w:val="en-US" w:eastAsia="zh-CN" w:bidi="ar-SA"/>
    </w:rPr>
  </w:style>
  <w:style w:type="character" w:customStyle="1" w:styleId="1629">
    <w:name w:val="干标题(a) Char3"/>
    <w:qFormat/>
    <w:uiPriority w:val="0"/>
    <w:rPr>
      <w:rFonts w:ascii="Arial" w:hAnsi="Arial" w:eastAsia="黑体"/>
      <w:kern w:val="2"/>
      <w:sz w:val="21"/>
      <w:szCs w:val="21"/>
      <w:lang w:val="en-US" w:eastAsia="zh-CN" w:bidi="ar-SA"/>
    </w:rPr>
  </w:style>
  <w:style w:type="character" w:customStyle="1" w:styleId="1630">
    <w:name w:val="文档结构图 Char4"/>
    <w:qFormat/>
    <w:uiPriority w:val="0"/>
    <w:rPr>
      <w:rFonts w:ascii="Times New Roman" w:hAnsi="Times New Roman" w:eastAsia="宋体" w:cs="Times New Roman"/>
      <w:kern w:val="2"/>
      <w:sz w:val="24"/>
      <w:szCs w:val="24"/>
      <w:shd w:val="clear" w:color="auto" w:fill="000080"/>
      <w:lang w:val="en-US" w:eastAsia="zh-CN" w:bidi="ar-SA"/>
    </w:rPr>
  </w:style>
  <w:style w:type="character" w:customStyle="1" w:styleId="1631">
    <w:name w:val="Char Char621"/>
    <w:qFormat/>
    <w:uiPriority w:val="0"/>
    <w:rPr>
      <w:rFonts w:ascii="黑体" w:eastAsia="黑体"/>
      <w:b/>
      <w:bCs/>
      <w:kern w:val="2"/>
      <w:sz w:val="28"/>
      <w:szCs w:val="28"/>
      <w:lang w:val="en-US" w:eastAsia="zh-CN" w:bidi="ar-SA"/>
    </w:rPr>
  </w:style>
  <w:style w:type="character" w:customStyle="1" w:styleId="1632">
    <w:name w:val="黑体标题 Char Char"/>
    <w:link w:val="1633"/>
    <w:qFormat/>
    <w:uiPriority w:val="0"/>
    <w:rPr>
      <w:rFonts w:ascii="宋体" w:hAnsi="宋体"/>
      <w:sz w:val="28"/>
    </w:rPr>
  </w:style>
  <w:style w:type="paragraph" w:customStyle="1" w:styleId="1633">
    <w:name w:val="黑体标题"/>
    <w:basedOn w:val="1"/>
    <w:link w:val="1632"/>
    <w:qFormat/>
    <w:uiPriority w:val="0"/>
    <w:pPr>
      <w:spacing w:line="500" w:lineRule="exact"/>
      <w:ind w:firstLine="560" w:firstLineChars="200"/>
    </w:pPr>
    <w:rPr>
      <w:rFonts w:ascii="宋体" w:hAnsi="宋体"/>
      <w:kern w:val="0"/>
      <w:sz w:val="28"/>
      <w:szCs w:val="20"/>
    </w:rPr>
  </w:style>
  <w:style w:type="character" w:customStyle="1" w:styleId="1634">
    <w:name w:val="样式 报告 + Times New Roman Char Char2"/>
    <w:qFormat/>
    <w:uiPriority w:val="0"/>
    <w:rPr>
      <w:rFonts w:eastAsia="宋体"/>
      <w:kern w:val="2"/>
      <w:sz w:val="28"/>
      <w:szCs w:val="28"/>
      <w:lang w:val="en-US" w:eastAsia="zh-CN" w:bidi="ar-SA"/>
    </w:rPr>
  </w:style>
  <w:style w:type="character" w:customStyle="1" w:styleId="1635">
    <w:name w:val="标题 7 Char11"/>
    <w:qFormat/>
    <w:uiPriority w:val="0"/>
    <w:rPr>
      <w:rFonts w:eastAsia="宋体"/>
      <w:b/>
      <w:bCs/>
      <w:kern w:val="2"/>
      <w:sz w:val="24"/>
      <w:szCs w:val="24"/>
      <w:lang w:val="en-US" w:eastAsia="zh-CN" w:bidi="ar-SA"/>
    </w:rPr>
  </w:style>
  <w:style w:type="character" w:customStyle="1" w:styleId="1636">
    <w:name w:val="标题 4 Char21"/>
    <w:qFormat/>
    <w:uiPriority w:val="0"/>
    <w:rPr>
      <w:rFonts w:ascii="黑体" w:hAnsi="Arial" w:eastAsia="黑体"/>
      <w:b/>
      <w:bCs/>
      <w:kern w:val="2"/>
      <w:sz w:val="24"/>
      <w:szCs w:val="24"/>
      <w:lang w:val="en-US" w:eastAsia="zh-CN" w:bidi="ar-SA"/>
    </w:rPr>
  </w:style>
  <w:style w:type="character" w:customStyle="1" w:styleId="1637">
    <w:name w:val="标题 5 Char11"/>
    <w:qFormat/>
    <w:uiPriority w:val="0"/>
    <w:rPr>
      <w:rFonts w:ascii="宋体" w:hAnsi="宋体" w:eastAsia="宋体" w:cs="宋体"/>
      <w:b/>
      <w:bCs/>
      <w:kern w:val="2"/>
      <w:sz w:val="28"/>
      <w:szCs w:val="28"/>
      <w:lang w:val="en-US" w:eastAsia="zh-CN" w:bidi="ar-SA"/>
    </w:rPr>
  </w:style>
  <w:style w:type="character" w:customStyle="1" w:styleId="1638">
    <w:name w:val="正文修改 Char13"/>
    <w:qFormat/>
    <w:uiPriority w:val="0"/>
    <w:rPr>
      <w:rFonts w:ascii="宋体" w:hAnsi="宋体" w:eastAsia="宋体" w:cs="宋体"/>
      <w:color w:val="000000"/>
      <w:kern w:val="2"/>
      <w:sz w:val="24"/>
      <w:szCs w:val="24"/>
      <w:lang w:val="en-US" w:eastAsia="zh-CN" w:bidi="ar-SA"/>
    </w:rPr>
  </w:style>
  <w:style w:type="character" w:customStyle="1" w:styleId="1639">
    <w:name w:val="表中文字 Char22"/>
    <w:qFormat/>
    <w:uiPriority w:val="0"/>
    <w:rPr>
      <w:rFonts w:ascii="宋体" w:eastAsia="宋体"/>
      <w:kern w:val="2"/>
      <w:sz w:val="21"/>
      <w:szCs w:val="21"/>
      <w:lang w:val="en-US" w:eastAsia="zh-CN" w:bidi="ar-SA"/>
    </w:rPr>
  </w:style>
  <w:style w:type="character" w:customStyle="1" w:styleId="1640">
    <w:name w:val="正文格式 Char31"/>
    <w:qFormat/>
    <w:uiPriority w:val="0"/>
    <w:rPr>
      <w:rFonts w:ascii="宋体" w:hAnsi="宋体" w:eastAsia="宋体"/>
      <w:kern w:val="2"/>
      <w:sz w:val="24"/>
      <w:szCs w:val="24"/>
      <w:lang w:val="en-US" w:eastAsia="zh-CN" w:bidi="ar-SA"/>
    </w:rPr>
  </w:style>
  <w:style w:type="character" w:customStyle="1" w:styleId="1641">
    <w:name w:val="Char Char1212"/>
    <w:qFormat/>
    <w:uiPriority w:val="0"/>
    <w:rPr>
      <w:rFonts w:ascii="黑体" w:hAnsi="Arial" w:eastAsia="黑体"/>
      <w:b/>
      <w:bCs/>
      <w:kern w:val="2"/>
      <w:sz w:val="30"/>
      <w:szCs w:val="30"/>
      <w:lang w:val="en-US" w:eastAsia="zh-CN" w:bidi="ar-SA"/>
    </w:rPr>
  </w:style>
  <w:style w:type="character" w:customStyle="1" w:styleId="1642">
    <w:name w:val="表格内容 Char2"/>
    <w:qFormat/>
    <w:uiPriority w:val="0"/>
    <w:rPr>
      <w:rFonts w:eastAsia="宋体"/>
      <w:kern w:val="2"/>
      <w:sz w:val="21"/>
      <w:szCs w:val="21"/>
      <w:lang w:val="en-US" w:eastAsia="zh-CN" w:bidi="ar-SA"/>
    </w:rPr>
  </w:style>
  <w:style w:type="character" w:customStyle="1" w:styleId="1643">
    <w:name w:val="环评正文 Char2"/>
    <w:qFormat/>
    <w:uiPriority w:val="0"/>
    <w:rPr>
      <w:rFonts w:eastAsia="宋体"/>
      <w:bCs/>
      <w:kern w:val="2"/>
      <w:sz w:val="24"/>
      <w:szCs w:val="24"/>
      <w:lang w:val="en-US" w:eastAsia="zh-CN" w:bidi="ar-SA"/>
    </w:rPr>
  </w:style>
  <w:style w:type="character" w:customStyle="1" w:styleId="1644">
    <w:name w:val="题注 Char12"/>
    <w:qFormat/>
    <w:uiPriority w:val="0"/>
    <w:rPr>
      <w:rFonts w:ascii="黑体" w:hAnsi="Arial" w:eastAsia="黑体" w:cs="Arial"/>
      <w:b/>
      <w:kern w:val="2"/>
      <w:sz w:val="24"/>
      <w:szCs w:val="24"/>
      <w:lang w:val="en-US" w:eastAsia="zh-CN" w:bidi="ar-SA"/>
    </w:rPr>
  </w:style>
  <w:style w:type="character" w:customStyle="1" w:styleId="1645">
    <w:name w:val="f91"/>
    <w:qFormat/>
    <w:uiPriority w:val="0"/>
    <w:rPr>
      <w:sz w:val="18"/>
      <w:szCs w:val="18"/>
      <w:u w:val="none"/>
    </w:rPr>
  </w:style>
  <w:style w:type="character" w:customStyle="1" w:styleId="1646">
    <w:name w:val="正文1.5倍行距 Char1"/>
    <w:link w:val="1647"/>
    <w:qFormat/>
    <w:uiPriority w:val="0"/>
    <w:rPr>
      <w:snapToGrid w:val="0"/>
      <w:sz w:val="28"/>
      <w:szCs w:val="28"/>
      <w:lang w:val="en-US" w:eastAsia="zh-CN" w:bidi="ar-SA"/>
    </w:rPr>
  </w:style>
  <w:style w:type="paragraph" w:customStyle="1" w:styleId="1647">
    <w:name w:val="正文1.5倍行距"/>
    <w:link w:val="1646"/>
    <w:qFormat/>
    <w:uiPriority w:val="0"/>
    <w:pPr>
      <w:adjustRightInd w:val="0"/>
      <w:snapToGrid w:val="0"/>
      <w:spacing w:line="500" w:lineRule="exact"/>
      <w:ind w:firstLine="560" w:firstLineChars="200"/>
      <w:jc w:val="both"/>
    </w:pPr>
    <w:rPr>
      <w:rFonts w:ascii="Times New Roman" w:hAnsi="Times New Roman" w:eastAsia="宋体" w:cs="Times New Roman"/>
      <w:snapToGrid w:val="0"/>
      <w:sz w:val="28"/>
      <w:szCs w:val="28"/>
      <w:lang w:val="en-US" w:eastAsia="zh-CN" w:bidi="ar-SA"/>
    </w:rPr>
  </w:style>
  <w:style w:type="character" w:customStyle="1" w:styleId="1648">
    <w:name w:val="Char Char410"/>
    <w:qFormat/>
    <w:uiPriority w:val="0"/>
    <w:rPr>
      <w:rFonts w:ascii="黑体" w:hAnsi="Arial" w:eastAsia="黑体"/>
      <w:b/>
      <w:bCs/>
      <w:kern w:val="2"/>
      <w:sz w:val="30"/>
      <w:szCs w:val="30"/>
      <w:lang w:val="en-US" w:eastAsia="zh-CN" w:bidi="ar-SA"/>
    </w:rPr>
  </w:style>
  <w:style w:type="character" w:customStyle="1" w:styleId="1649">
    <w:name w:val="页眉 Char11"/>
    <w:qFormat/>
    <w:uiPriority w:val="0"/>
    <w:rPr>
      <w:rFonts w:eastAsia="宋体"/>
      <w:kern w:val="2"/>
      <w:sz w:val="18"/>
      <w:szCs w:val="18"/>
      <w:lang w:val="en-US" w:eastAsia="zh-CN" w:bidi="ar-SA"/>
    </w:rPr>
  </w:style>
  <w:style w:type="character" w:customStyle="1" w:styleId="1650">
    <w:name w:val="Char Char618"/>
    <w:qFormat/>
    <w:uiPriority w:val="0"/>
    <w:rPr>
      <w:rFonts w:ascii="黑体" w:eastAsia="黑体"/>
      <w:b/>
      <w:bCs/>
      <w:kern w:val="2"/>
      <w:sz w:val="28"/>
      <w:szCs w:val="28"/>
      <w:lang w:val="en-US" w:eastAsia="zh-CN" w:bidi="ar-SA"/>
    </w:rPr>
  </w:style>
  <w:style w:type="character" w:customStyle="1" w:styleId="1651">
    <w:name w:val="标题 3 Char15"/>
    <w:qFormat/>
    <w:uiPriority w:val="0"/>
    <w:rPr>
      <w:rFonts w:hAnsi="宋体" w:eastAsia="宋体"/>
      <w:bCs/>
      <w:kern w:val="2"/>
      <w:sz w:val="28"/>
      <w:szCs w:val="28"/>
      <w:lang w:val="en-US" w:eastAsia="zh-CN" w:bidi="ar-SA"/>
    </w:rPr>
  </w:style>
  <w:style w:type="character" w:customStyle="1" w:styleId="1652">
    <w:name w:val="图表 Char Char"/>
    <w:qFormat/>
    <w:uiPriority w:val="0"/>
    <w:rPr>
      <w:rFonts w:ascii="宋体" w:hAnsi="宋体"/>
      <w:kern w:val="10"/>
      <w:sz w:val="21"/>
      <w:szCs w:val="21"/>
      <w:lang w:val="en-US" w:eastAsia="zh-CN" w:bidi="ar-SA"/>
    </w:rPr>
  </w:style>
  <w:style w:type="character" w:customStyle="1" w:styleId="1653">
    <w:name w:val="Char Char65"/>
    <w:qFormat/>
    <w:uiPriority w:val="0"/>
    <w:rPr>
      <w:rFonts w:ascii="黑体" w:eastAsia="黑体"/>
      <w:b/>
      <w:bCs/>
      <w:kern w:val="2"/>
      <w:sz w:val="28"/>
      <w:szCs w:val="28"/>
      <w:lang w:val="en-US" w:eastAsia="zh-CN" w:bidi="ar-SA"/>
    </w:rPr>
  </w:style>
  <w:style w:type="character" w:customStyle="1" w:styleId="1654">
    <w:name w:val="样式 样式 样式 宋体 小四 行距: 多倍行距 1.4 字行2 + 黑色 + Times New Roman2 Char Char"/>
    <w:link w:val="1655"/>
    <w:qFormat/>
    <w:uiPriority w:val="0"/>
  </w:style>
  <w:style w:type="paragraph" w:customStyle="1" w:styleId="1655">
    <w:name w:val="样式 样式 样式 宋体 小四 行距: 多倍行距 1.4 字行2 + 黑色 + Times New Roman2"/>
    <w:basedOn w:val="1656"/>
    <w:link w:val="1654"/>
    <w:qFormat/>
    <w:uiPriority w:val="0"/>
    <w:pPr>
      <w:spacing w:line="360" w:lineRule="auto"/>
      <w:ind w:firstLine="200"/>
    </w:pPr>
    <w:rPr>
      <w:rFonts w:ascii="Times New Roman" w:hAnsi="Times New Roman"/>
      <w:color w:val="auto"/>
      <w:sz w:val="20"/>
      <w:szCs w:val="20"/>
    </w:rPr>
  </w:style>
  <w:style w:type="paragraph" w:customStyle="1" w:styleId="1656">
    <w:name w:val="样式 样式 宋体 小四 行距: 多倍行距 1.4 字行2 + 黑色"/>
    <w:basedOn w:val="1"/>
    <w:link w:val="1657"/>
    <w:qFormat/>
    <w:uiPriority w:val="0"/>
    <w:pPr>
      <w:spacing w:line="336" w:lineRule="auto"/>
      <w:ind w:firstLine="480" w:firstLineChars="200"/>
    </w:pPr>
    <w:rPr>
      <w:rFonts w:ascii="宋体" w:hAnsi="宋体"/>
      <w:color w:val="000000"/>
      <w:kern w:val="0"/>
      <w:sz w:val="24"/>
    </w:rPr>
  </w:style>
  <w:style w:type="character" w:customStyle="1" w:styleId="1657">
    <w:name w:val="样式 样式 宋体 小四 行距: 多倍行距 1.4 字行2 + 黑色 Char Char"/>
    <w:link w:val="1656"/>
    <w:qFormat/>
    <w:uiPriority w:val="0"/>
    <w:rPr>
      <w:rFonts w:ascii="宋体" w:hAnsi="宋体" w:cs="宋体"/>
      <w:color w:val="000000"/>
      <w:sz w:val="24"/>
      <w:szCs w:val="24"/>
    </w:rPr>
  </w:style>
  <w:style w:type="character" w:customStyle="1" w:styleId="1658">
    <w:name w:val="表中文字 Char28"/>
    <w:qFormat/>
    <w:uiPriority w:val="0"/>
    <w:rPr>
      <w:rFonts w:ascii="宋体" w:eastAsia="宋体"/>
      <w:kern w:val="2"/>
      <w:sz w:val="21"/>
      <w:szCs w:val="21"/>
      <w:lang w:val="en-US" w:eastAsia="zh-CN" w:bidi="ar-SA"/>
    </w:rPr>
  </w:style>
  <w:style w:type="character" w:customStyle="1" w:styleId="1659">
    <w:name w:val="标题 2 Char6"/>
    <w:qFormat/>
    <w:uiPriority w:val="0"/>
    <w:rPr>
      <w:rFonts w:ascii="黑体" w:hAnsi="Arial" w:eastAsia="黑体"/>
      <w:b/>
      <w:bCs/>
      <w:kern w:val="2"/>
      <w:sz w:val="30"/>
      <w:szCs w:val="30"/>
      <w:lang w:val="en-US" w:eastAsia="zh-CN" w:bidi="ar-SA"/>
    </w:rPr>
  </w:style>
  <w:style w:type="character" w:customStyle="1" w:styleId="1660">
    <w:name w:val="样式 标题 3小标题小节标题标题3H3h33rd level第二层条标题4 + Arial Char Char1"/>
    <w:qFormat/>
    <w:uiPriority w:val="0"/>
    <w:rPr>
      <w:rFonts w:eastAsia="宋体"/>
      <w:b/>
      <w:bCs/>
      <w:kern w:val="32"/>
      <w:sz w:val="30"/>
      <w:szCs w:val="24"/>
      <w:lang w:val="en-US" w:eastAsia="zh-CN" w:bidi="ar-SA"/>
    </w:rPr>
  </w:style>
  <w:style w:type="character" w:customStyle="1" w:styleId="1661">
    <w:name w:val="样式 标题 3 + 华文中宋 小三 段前: 6 磅 段后: 6 磅 行距: 多倍行距 1.4 字行 Char Char"/>
    <w:qFormat/>
    <w:uiPriority w:val="0"/>
    <w:rPr>
      <w:rFonts w:ascii="楷体_GB2312" w:hAnsi="华文中宋" w:eastAsia="楷体_GB2312" w:cs="宋体"/>
      <w:b/>
      <w:bCs/>
      <w:kern w:val="2"/>
      <w:sz w:val="30"/>
      <w:szCs w:val="32"/>
      <w:lang w:val="en-US" w:eastAsia="zh-CN" w:bidi="ar-SA"/>
    </w:rPr>
  </w:style>
  <w:style w:type="character" w:customStyle="1" w:styleId="1662">
    <w:name w:val="hhcwt正文 Char Char Char2"/>
    <w:qFormat/>
    <w:uiPriority w:val="0"/>
    <w:rPr>
      <w:rFonts w:eastAsia="宋体" w:cs="宋体"/>
      <w:kern w:val="2"/>
      <w:sz w:val="24"/>
      <w:szCs w:val="24"/>
      <w:lang w:val="en-US" w:eastAsia="zh-CN" w:bidi="ar-SA"/>
    </w:rPr>
  </w:style>
  <w:style w:type="character" w:customStyle="1" w:styleId="1663">
    <w:name w:val="表格内字体 Char71"/>
    <w:qFormat/>
    <w:uiPriority w:val="0"/>
    <w:rPr>
      <w:rFonts w:ascii="宋体" w:hAnsi="宋体" w:eastAsia="宋体"/>
      <w:kern w:val="2"/>
      <w:sz w:val="21"/>
      <w:szCs w:val="24"/>
      <w:lang w:val="en-US" w:eastAsia="zh-CN" w:bidi="ar-SA"/>
    </w:rPr>
  </w:style>
  <w:style w:type="character" w:customStyle="1" w:styleId="1664">
    <w:name w:val="emailstyle544"/>
    <w:qFormat/>
    <w:uiPriority w:val="0"/>
    <w:rPr>
      <w:rFonts w:hint="default" w:ascii="Arial" w:hAnsi="Arial" w:eastAsia="宋体" w:cs="Arial"/>
      <w:color w:val="000080"/>
      <w:sz w:val="18"/>
      <w:szCs w:val="20"/>
    </w:rPr>
  </w:style>
  <w:style w:type="character" w:customStyle="1" w:styleId="1665">
    <w:name w:val="m_b11"/>
    <w:qFormat/>
    <w:uiPriority w:val="0"/>
    <w:rPr>
      <w:b/>
      <w:bCs/>
      <w:sz w:val="24"/>
      <w:szCs w:val="24"/>
    </w:rPr>
  </w:style>
  <w:style w:type="character" w:customStyle="1" w:styleId="1666">
    <w:name w:val="表题1 Char61"/>
    <w:qFormat/>
    <w:uiPriority w:val="0"/>
    <w:rPr>
      <w:rFonts w:ascii="黑体" w:hAnsi="Arial" w:eastAsia="黑体" w:cs="Arial"/>
      <w:b/>
      <w:kern w:val="2"/>
      <w:sz w:val="24"/>
      <w:szCs w:val="24"/>
      <w:lang w:val="en-US" w:eastAsia="zh-CN" w:bidi="ar-SA"/>
    </w:rPr>
  </w:style>
  <w:style w:type="character" w:customStyle="1" w:styleId="1667">
    <w:name w:val="Char Char52"/>
    <w:qFormat/>
    <w:uiPriority w:val="0"/>
    <w:rPr>
      <w:rFonts w:ascii="黑体" w:hAnsi="宋体" w:eastAsia="黑体"/>
      <w:bCs/>
      <w:kern w:val="2"/>
      <w:sz w:val="28"/>
      <w:szCs w:val="28"/>
      <w:lang w:val="en-US" w:eastAsia="zh-CN" w:bidi="ar-SA"/>
    </w:rPr>
  </w:style>
  <w:style w:type="character" w:customStyle="1" w:styleId="1668">
    <w:name w:val="正文1-1 Char Char"/>
    <w:link w:val="1669"/>
    <w:qFormat/>
    <w:uiPriority w:val="0"/>
    <w:rPr>
      <w:rFonts w:ascii="宋体" w:hAnsi="宋体" w:eastAsia="仿宋_GB2312"/>
      <w:sz w:val="28"/>
      <w:szCs w:val="24"/>
    </w:rPr>
  </w:style>
  <w:style w:type="paragraph" w:customStyle="1" w:styleId="1669">
    <w:name w:val="正文1-1"/>
    <w:basedOn w:val="1"/>
    <w:link w:val="1668"/>
    <w:qFormat/>
    <w:uiPriority w:val="0"/>
    <w:pPr>
      <w:widowControl/>
      <w:snapToGrid w:val="0"/>
      <w:spacing w:line="360" w:lineRule="auto"/>
      <w:ind w:firstLine="200" w:firstLineChars="200"/>
      <w:jc w:val="left"/>
    </w:pPr>
    <w:rPr>
      <w:rFonts w:ascii="宋体" w:hAnsi="宋体" w:eastAsia="仿宋_GB2312"/>
      <w:kern w:val="0"/>
      <w:sz w:val="28"/>
    </w:rPr>
  </w:style>
  <w:style w:type="character" w:customStyle="1" w:styleId="1670">
    <w:name w:val="正文文本缩进 3 Char11"/>
    <w:qFormat/>
    <w:uiPriority w:val="0"/>
    <w:rPr>
      <w:rFonts w:eastAsia="宋体"/>
      <w:kern w:val="2"/>
      <w:sz w:val="16"/>
      <w:szCs w:val="16"/>
      <w:lang w:val="en-US" w:eastAsia="zh-CN" w:bidi="ar-SA"/>
    </w:rPr>
  </w:style>
  <w:style w:type="character" w:customStyle="1" w:styleId="1671">
    <w:name w:val="题注 Char14"/>
    <w:qFormat/>
    <w:uiPriority w:val="0"/>
    <w:rPr>
      <w:rFonts w:ascii="黑体" w:hAnsi="Arial" w:eastAsia="黑体" w:cs="Arial"/>
      <w:b/>
      <w:kern w:val="2"/>
      <w:sz w:val="24"/>
      <w:szCs w:val="24"/>
      <w:lang w:val="en-US" w:eastAsia="zh-CN" w:bidi="ar-SA"/>
    </w:rPr>
  </w:style>
  <w:style w:type="character" w:customStyle="1" w:styleId="1672">
    <w:name w:val="正文文本 3 Char3"/>
    <w:qFormat/>
    <w:uiPriority w:val="0"/>
    <w:rPr>
      <w:rFonts w:ascii="Times New Roman" w:hAnsi="Times New Roman" w:eastAsia="宋体" w:cs="Times New Roman"/>
      <w:kern w:val="2"/>
      <w:sz w:val="16"/>
      <w:szCs w:val="16"/>
      <w:lang w:val="en-US" w:eastAsia="zh-CN" w:bidi="ar-SA"/>
    </w:rPr>
  </w:style>
  <w:style w:type="character" w:customStyle="1" w:styleId="1673">
    <w:name w:val="正文文本缩进 Char2"/>
    <w:qFormat/>
    <w:uiPriority w:val="0"/>
    <w:rPr>
      <w:rFonts w:ascii="宋体" w:hAnsi="宋体" w:eastAsia="宋体" w:cs="宋体"/>
      <w:color w:val="000000"/>
      <w:kern w:val="2"/>
      <w:sz w:val="24"/>
      <w:szCs w:val="24"/>
      <w:lang w:val="en-US" w:eastAsia="zh-CN" w:bidi="ar-SA"/>
    </w:rPr>
  </w:style>
  <w:style w:type="character" w:customStyle="1" w:styleId="1674">
    <w:name w:val="样式 宋体 四号 加粗"/>
    <w:qFormat/>
    <w:uiPriority w:val="0"/>
    <w:rPr>
      <w:rFonts w:ascii="宋体" w:hAnsi="宋体"/>
      <w:b/>
      <w:bCs/>
      <w:sz w:val="28"/>
    </w:rPr>
  </w:style>
  <w:style w:type="character" w:customStyle="1" w:styleId="1675">
    <w:name w:val="word16b1"/>
    <w:qFormat/>
    <w:uiPriority w:val="0"/>
    <w:rPr>
      <w:rFonts w:hint="default" w:ascii="Arial" w:hAnsi="Arial" w:eastAsia="華康中楷體" w:cs="Arial"/>
      <w:b/>
      <w:bCs/>
      <w:spacing w:val="15"/>
      <w:sz w:val="24"/>
      <w:szCs w:val="24"/>
      <w:lang w:val="en-US" w:eastAsia="en-US" w:bidi="ar-SA"/>
    </w:rPr>
  </w:style>
  <w:style w:type="character" w:customStyle="1" w:styleId="1676">
    <w:name w:val="标题 1 Char5"/>
    <w:qFormat/>
    <w:uiPriority w:val="0"/>
    <w:rPr>
      <w:rFonts w:ascii="黑体" w:hAnsi="宋体" w:eastAsia="黑体" w:cs="Times New Roman"/>
      <w:bCs/>
      <w:kern w:val="44"/>
      <w:sz w:val="32"/>
      <w:szCs w:val="32"/>
      <w:lang w:val="en-US" w:eastAsia="zh-CN" w:bidi="ar-SA"/>
    </w:rPr>
  </w:style>
  <w:style w:type="character" w:customStyle="1" w:styleId="1677">
    <w:name w:val="Char Char219"/>
    <w:qFormat/>
    <w:uiPriority w:val="0"/>
    <w:rPr>
      <w:rFonts w:ascii="黑体" w:eastAsia="宋体"/>
      <w:kern w:val="2"/>
      <w:sz w:val="16"/>
      <w:szCs w:val="16"/>
      <w:lang w:val="en-US" w:eastAsia="zh-CN" w:bidi="ar-SA"/>
    </w:rPr>
  </w:style>
  <w:style w:type="character" w:customStyle="1" w:styleId="1678">
    <w:name w:val="河石1 Char21"/>
    <w:qFormat/>
    <w:uiPriority w:val="0"/>
    <w:rPr>
      <w:rFonts w:ascii="黑体" w:hAnsi="宋体" w:eastAsia="黑体" w:cs="Times New Roman"/>
      <w:bCs/>
      <w:kern w:val="44"/>
      <w:sz w:val="32"/>
      <w:szCs w:val="32"/>
      <w:lang w:val="en-US" w:eastAsia="zh-CN" w:bidi="ar-SA"/>
    </w:rPr>
  </w:style>
  <w:style w:type="character" w:customStyle="1" w:styleId="1679">
    <w:name w:val="批注框文本 Char4"/>
    <w:qFormat/>
    <w:uiPriority w:val="0"/>
    <w:rPr>
      <w:rFonts w:eastAsia="宋体"/>
      <w:kern w:val="2"/>
      <w:sz w:val="18"/>
      <w:szCs w:val="18"/>
      <w:lang w:val="en-US" w:eastAsia="zh-CN" w:bidi="ar-SA"/>
    </w:rPr>
  </w:style>
  <w:style w:type="character" w:customStyle="1" w:styleId="1680">
    <w:name w:val="t3"/>
    <w:qFormat/>
    <w:uiPriority w:val="0"/>
  </w:style>
  <w:style w:type="character" w:customStyle="1" w:styleId="1681">
    <w:name w:val="标题 6 Char11"/>
    <w:qFormat/>
    <w:uiPriority w:val="0"/>
    <w:rPr>
      <w:rFonts w:ascii="Arial" w:hAnsi="Arial" w:eastAsia="黑体"/>
      <w:b/>
      <w:bCs/>
      <w:kern w:val="2"/>
      <w:sz w:val="24"/>
      <w:szCs w:val="24"/>
      <w:lang w:val="en-US" w:eastAsia="zh-CN" w:bidi="ar-SA"/>
    </w:rPr>
  </w:style>
  <w:style w:type="character" w:customStyle="1" w:styleId="1682">
    <w:name w:val="正文文本 Char4"/>
    <w:qFormat/>
    <w:uiPriority w:val="0"/>
    <w:rPr>
      <w:rFonts w:ascii="Times New Roman" w:hAnsi="Times New Roman" w:eastAsia="宋体" w:cs="Times New Roman"/>
      <w:kern w:val="2"/>
      <w:sz w:val="24"/>
      <w:szCs w:val="24"/>
      <w:lang w:val="en-US" w:eastAsia="zh-CN" w:bidi="ar-SA"/>
    </w:rPr>
  </w:style>
  <w:style w:type="character" w:customStyle="1" w:styleId="1683">
    <w:name w:val="表题1 Char411"/>
    <w:qFormat/>
    <w:uiPriority w:val="0"/>
    <w:rPr>
      <w:rFonts w:ascii="黑体" w:hAnsi="Arial" w:eastAsia="黑体" w:cs="Arial"/>
      <w:b/>
      <w:kern w:val="2"/>
      <w:sz w:val="24"/>
      <w:szCs w:val="24"/>
      <w:lang w:val="en-US" w:eastAsia="zh-CN" w:bidi="ar-SA"/>
    </w:rPr>
  </w:style>
  <w:style w:type="character" w:customStyle="1" w:styleId="1684">
    <w:name w:val="Char Char122"/>
    <w:qFormat/>
    <w:uiPriority w:val="0"/>
    <w:rPr>
      <w:rFonts w:ascii="黑体" w:hAnsi="Arial" w:eastAsia="黑体"/>
      <w:b/>
      <w:bCs/>
      <w:kern w:val="2"/>
      <w:sz w:val="30"/>
      <w:szCs w:val="30"/>
      <w:lang w:val="en-US" w:eastAsia="zh-CN" w:bidi="ar-SA"/>
    </w:rPr>
  </w:style>
  <w:style w:type="character" w:customStyle="1" w:styleId="1685">
    <w:name w:val="Char Char1119"/>
    <w:qFormat/>
    <w:uiPriority w:val="0"/>
    <w:rPr>
      <w:rFonts w:ascii="黑体" w:hAnsi="Arial" w:eastAsia="黑体"/>
      <w:bCs/>
      <w:kern w:val="2"/>
      <w:sz w:val="30"/>
      <w:szCs w:val="30"/>
      <w:lang w:val="en-US" w:eastAsia="zh-CN" w:bidi="ar-SA"/>
    </w:rPr>
  </w:style>
  <w:style w:type="character" w:customStyle="1" w:styleId="1686">
    <w:name w:val="占位符文本1"/>
    <w:qFormat/>
    <w:uiPriority w:val="0"/>
    <w:rPr>
      <w:rFonts w:eastAsia="宋体"/>
      <w:color w:val="808080"/>
      <w:kern w:val="2"/>
      <w:sz w:val="24"/>
      <w:szCs w:val="24"/>
      <w:lang w:val="en-US" w:eastAsia="zh-CN" w:bidi="ar-SA"/>
    </w:rPr>
  </w:style>
  <w:style w:type="character" w:customStyle="1" w:styleId="1687">
    <w:name w:val="Char Char625"/>
    <w:qFormat/>
    <w:uiPriority w:val="0"/>
    <w:rPr>
      <w:rFonts w:ascii="黑体" w:eastAsia="黑体"/>
      <w:b/>
      <w:bCs/>
      <w:kern w:val="2"/>
      <w:sz w:val="28"/>
      <w:szCs w:val="28"/>
      <w:lang w:val="en-US" w:eastAsia="zh-CN" w:bidi="ar-SA"/>
    </w:rPr>
  </w:style>
  <w:style w:type="character" w:customStyle="1" w:styleId="1688">
    <w:name w:val="Char Char217"/>
    <w:qFormat/>
    <w:uiPriority w:val="0"/>
    <w:rPr>
      <w:rFonts w:ascii="黑体" w:eastAsia="宋体"/>
      <w:kern w:val="2"/>
      <w:sz w:val="16"/>
      <w:szCs w:val="16"/>
      <w:lang w:val="en-US" w:eastAsia="zh-CN" w:bidi="ar-SA"/>
    </w:rPr>
  </w:style>
  <w:style w:type="character" w:customStyle="1" w:styleId="1689">
    <w:name w:val="Char Char81"/>
    <w:qFormat/>
    <w:uiPriority w:val="0"/>
    <w:rPr>
      <w:rFonts w:eastAsia="宋体"/>
      <w:kern w:val="2"/>
      <w:sz w:val="16"/>
      <w:szCs w:val="16"/>
      <w:lang w:val="en-US" w:eastAsia="zh-CN" w:bidi="ar-SA"/>
    </w:rPr>
  </w:style>
  <w:style w:type="character" w:customStyle="1" w:styleId="1690">
    <w:name w:val="正文修改 Char1312"/>
    <w:qFormat/>
    <w:uiPriority w:val="0"/>
    <w:rPr>
      <w:rFonts w:ascii="宋体" w:hAnsi="宋体" w:eastAsia="宋体" w:cs="宋体"/>
      <w:color w:val="000000"/>
      <w:kern w:val="2"/>
      <w:sz w:val="24"/>
      <w:szCs w:val="24"/>
      <w:lang w:val="en-US" w:eastAsia="zh-CN" w:bidi="ar-SA"/>
    </w:rPr>
  </w:style>
  <w:style w:type="character" w:customStyle="1" w:styleId="1691">
    <w:name w:val="标题1 Char Char"/>
    <w:qFormat/>
    <w:uiPriority w:val="0"/>
    <w:rPr>
      <w:rFonts w:eastAsia="宋体"/>
      <w:b/>
      <w:bCs/>
      <w:kern w:val="44"/>
      <w:sz w:val="28"/>
      <w:szCs w:val="44"/>
      <w:lang w:val="en-US" w:eastAsia="zh-CN" w:bidi="ar-SA"/>
    </w:rPr>
  </w:style>
  <w:style w:type="character" w:customStyle="1" w:styleId="1692">
    <w:name w:val="我的标题 2 Char"/>
    <w:qFormat/>
    <w:uiPriority w:val="0"/>
    <w:rPr>
      <w:rFonts w:ascii="Arial" w:hAnsi="Arial" w:eastAsia="黑体"/>
      <w:b/>
      <w:bCs/>
      <w:kern w:val="2"/>
      <w:sz w:val="24"/>
      <w:szCs w:val="32"/>
      <w:lang w:val="en-US" w:eastAsia="zh-CN" w:bidi="ar-SA"/>
    </w:rPr>
  </w:style>
  <w:style w:type="character" w:customStyle="1" w:styleId="1693">
    <w:name w:val="Char Char615"/>
    <w:qFormat/>
    <w:uiPriority w:val="0"/>
    <w:rPr>
      <w:rFonts w:ascii="黑体" w:eastAsia="黑体"/>
      <w:b/>
      <w:bCs/>
      <w:kern w:val="2"/>
      <w:sz w:val="28"/>
      <w:szCs w:val="28"/>
      <w:lang w:val="en-US" w:eastAsia="zh-CN" w:bidi="ar-SA"/>
    </w:rPr>
  </w:style>
  <w:style w:type="character" w:customStyle="1" w:styleId="1694">
    <w:name w:val="正文格式 Char61"/>
    <w:qFormat/>
    <w:uiPriority w:val="0"/>
    <w:rPr>
      <w:rFonts w:ascii="宋体" w:hAnsi="宋体" w:eastAsia="宋体" w:cs="Times New Roman"/>
      <w:kern w:val="2"/>
      <w:sz w:val="24"/>
      <w:szCs w:val="24"/>
      <w:lang w:val="en-US" w:eastAsia="zh-CN" w:bidi="ar-SA"/>
    </w:rPr>
  </w:style>
  <w:style w:type="character" w:customStyle="1" w:styleId="1695">
    <w:name w:val="小五 Char Char Char1"/>
    <w:qFormat/>
    <w:uiPriority w:val="0"/>
    <w:rPr>
      <w:rFonts w:ascii="宋体" w:hAnsi="宋体" w:eastAsia="宋体"/>
      <w:kern w:val="2"/>
      <w:sz w:val="21"/>
      <w:szCs w:val="21"/>
      <w:lang w:val="en-US" w:eastAsia="zh-CN" w:bidi="ar-SA"/>
    </w:rPr>
  </w:style>
  <w:style w:type="character" w:customStyle="1" w:styleId="1696">
    <w:name w:val="正文格式 Char12"/>
    <w:qFormat/>
    <w:uiPriority w:val="0"/>
    <w:rPr>
      <w:rFonts w:ascii="宋体" w:hAnsi="宋体" w:eastAsia="宋体" w:cs="Times New Roman"/>
      <w:kern w:val="2"/>
      <w:sz w:val="24"/>
      <w:szCs w:val="24"/>
      <w:lang w:val="en-US" w:eastAsia="zh-CN" w:bidi="ar-SA"/>
    </w:rPr>
  </w:style>
  <w:style w:type="character" w:customStyle="1" w:styleId="1697">
    <w:name w:val="环评正文 Char1"/>
    <w:qFormat/>
    <w:uiPriority w:val="0"/>
    <w:rPr>
      <w:rFonts w:eastAsia="宋体"/>
      <w:bCs/>
      <w:kern w:val="2"/>
      <w:sz w:val="24"/>
      <w:szCs w:val="24"/>
      <w:lang w:val="en-US" w:eastAsia="zh-CN" w:bidi="ar-SA"/>
    </w:rPr>
  </w:style>
  <w:style w:type="character" w:customStyle="1" w:styleId="1698">
    <w:name w:val="f3"/>
    <w:qFormat/>
    <w:uiPriority w:val="0"/>
  </w:style>
  <w:style w:type="character" w:customStyle="1" w:styleId="1699">
    <w:name w:val="表中文字 Char211"/>
    <w:qFormat/>
    <w:uiPriority w:val="0"/>
    <w:rPr>
      <w:rFonts w:ascii="宋体" w:eastAsia="宋体"/>
      <w:kern w:val="2"/>
      <w:sz w:val="21"/>
      <w:szCs w:val="21"/>
      <w:lang w:val="en-US" w:eastAsia="zh-CN" w:bidi="ar-SA"/>
    </w:rPr>
  </w:style>
  <w:style w:type="character" w:customStyle="1" w:styleId="1700">
    <w:name w:val="批注框文本 Char7"/>
    <w:qFormat/>
    <w:uiPriority w:val="0"/>
    <w:rPr>
      <w:rFonts w:ascii="Times New Roman" w:hAnsi="Times New Roman" w:eastAsia="宋体" w:cs="Times New Roman"/>
      <w:kern w:val="2"/>
      <w:sz w:val="18"/>
      <w:szCs w:val="18"/>
      <w:lang w:val="en-US" w:eastAsia="zh-CN" w:bidi="ar-SA"/>
    </w:rPr>
  </w:style>
  <w:style w:type="character" w:customStyle="1" w:styleId="1701">
    <w:name w:val="middle1"/>
    <w:qFormat/>
    <w:uiPriority w:val="0"/>
    <w:rPr>
      <w:sz w:val="22"/>
      <w:szCs w:val="22"/>
    </w:rPr>
  </w:style>
  <w:style w:type="character" w:customStyle="1" w:styleId="1702">
    <w:name w:val="样式 标题 2节标题标题21.1H2h2第一层条4.1二级标题标题 lxb2二级标题 Char表标题单位... Char Char"/>
    <w:qFormat/>
    <w:uiPriority w:val="0"/>
    <w:rPr>
      <w:rFonts w:eastAsia="宋体" w:cs="Arial"/>
      <w:b/>
      <w:kern w:val="32"/>
      <w:sz w:val="28"/>
      <w:szCs w:val="28"/>
      <w:lang w:val="en-US" w:eastAsia="zh-CN" w:bidi="ar-SA"/>
    </w:rPr>
  </w:style>
  <w:style w:type="character" w:customStyle="1" w:styleId="1703">
    <w:name w:val="style4"/>
    <w:qFormat/>
    <w:uiPriority w:val="0"/>
  </w:style>
  <w:style w:type="character" w:customStyle="1" w:styleId="1704">
    <w:name w:val="chen 正文字体 Char Char"/>
    <w:link w:val="1705"/>
    <w:qFormat/>
    <w:uiPriority w:val="0"/>
  </w:style>
  <w:style w:type="paragraph" w:customStyle="1" w:styleId="1705">
    <w:name w:val="chen 正文字体"/>
    <w:basedOn w:val="1"/>
    <w:link w:val="1704"/>
    <w:qFormat/>
    <w:uiPriority w:val="0"/>
    <w:pPr>
      <w:spacing w:line="360" w:lineRule="auto"/>
      <w:ind w:firstLine="200" w:firstLineChars="200"/>
    </w:pPr>
    <w:rPr>
      <w:kern w:val="0"/>
      <w:sz w:val="20"/>
      <w:szCs w:val="20"/>
    </w:rPr>
  </w:style>
  <w:style w:type="character" w:customStyle="1" w:styleId="1706">
    <w:name w:val="表格内容 Char4"/>
    <w:qFormat/>
    <w:uiPriority w:val="0"/>
    <w:rPr>
      <w:rFonts w:eastAsia="宋体"/>
      <w:kern w:val="2"/>
      <w:sz w:val="21"/>
      <w:szCs w:val="21"/>
      <w:lang w:val="en-US" w:eastAsia="zh-CN" w:bidi="ar-SA"/>
    </w:rPr>
  </w:style>
  <w:style w:type="character" w:customStyle="1" w:styleId="1707">
    <w:name w:val="Char Char514"/>
    <w:qFormat/>
    <w:uiPriority w:val="0"/>
    <w:rPr>
      <w:rFonts w:ascii="黑体" w:hAnsi="宋体" w:eastAsia="黑体"/>
      <w:bCs/>
      <w:kern w:val="2"/>
      <w:sz w:val="28"/>
      <w:szCs w:val="28"/>
      <w:lang w:val="en-US" w:eastAsia="zh-CN" w:bidi="ar-SA"/>
    </w:rPr>
  </w:style>
  <w:style w:type="character" w:customStyle="1" w:styleId="1708">
    <w:name w:val="Char Char1218"/>
    <w:qFormat/>
    <w:uiPriority w:val="0"/>
    <w:rPr>
      <w:rFonts w:ascii="黑体" w:hAnsi="Arial" w:eastAsia="黑体"/>
      <w:b/>
      <w:bCs/>
      <w:kern w:val="2"/>
      <w:sz w:val="30"/>
      <w:szCs w:val="30"/>
      <w:lang w:val="en-US" w:eastAsia="zh-CN" w:bidi="ar-SA"/>
    </w:rPr>
  </w:style>
  <w:style w:type="character" w:customStyle="1" w:styleId="1709">
    <w:name w:val="福建正文缩进 Char2"/>
    <w:qFormat/>
    <w:uiPriority w:val="0"/>
    <w:rPr>
      <w:rFonts w:ascii="宋体" w:hAnsi="宋体" w:eastAsia="宋体" w:cs="宋体"/>
      <w:color w:val="000000"/>
      <w:kern w:val="2"/>
      <w:sz w:val="24"/>
      <w:szCs w:val="24"/>
      <w:lang w:val="en-US" w:eastAsia="zh-CN" w:bidi="ar-SA"/>
    </w:rPr>
  </w:style>
  <w:style w:type="character" w:customStyle="1" w:styleId="1710">
    <w:name w:val="正文文本 3 Char1"/>
    <w:qFormat/>
    <w:uiPriority w:val="0"/>
    <w:rPr>
      <w:rFonts w:eastAsia="宋体"/>
      <w:kern w:val="2"/>
      <w:sz w:val="16"/>
      <w:szCs w:val="16"/>
      <w:lang w:val="en-US" w:eastAsia="zh-CN" w:bidi="ar-SA"/>
    </w:rPr>
  </w:style>
  <w:style w:type="character" w:customStyle="1" w:styleId="1711">
    <w:name w:val="样式 标题 3小标题小节标题标题3H3h33rd level第二层条标题4 + Arial Char Char Char Char Char"/>
    <w:qFormat/>
    <w:uiPriority w:val="0"/>
    <w:rPr>
      <w:rFonts w:eastAsia="宋体"/>
      <w:b/>
      <w:bCs/>
      <w:kern w:val="32"/>
      <w:sz w:val="30"/>
      <w:lang w:val="en-US" w:eastAsia="zh-CN" w:bidi="ar-SA"/>
    </w:rPr>
  </w:style>
  <w:style w:type="character" w:customStyle="1" w:styleId="1712">
    <w:name w:val="样式 标题 3 + 黑体 小四 左侧:  0.86 厘米 首行缩进:  0 厘米 Char Char Char Char Char Char"/>
    <w:qFormat/>
    <w:uiPriority w:val="0"/>
    <w:rPr>
      <w:rFonts w:ascii="黑体" w:eastAsia="黑体"/>
      <w:b/>
      <w:bCs/>
      <w:color w:val="000000"/>
      <w:kern w:val="2"/>
      <w:sz w:val="24"/>
      <w:szCs w:val="24"/>
      <w:lang w:val="en-GB" w:eastAsia="zh-CN" w:bidi="ar-SA"/>
    </w:rPr>
  </w:style>
  <w:style w:type="character" w:customStyle="1" w:styleId="1713">
    <w:name w:val="hhcwt标题1 Char Char"/>
    <w:link w:val="1714"/>
    <w:qFormat/>
    <w:uiPriority w:val="0"/>
    <w:rPr>
      <w:rFonts w:eastAsia="黑体"/>
      <w:kern w:val="44"/>
      <w:sz w:val="36"/>
      <w:lang w:val="zh-CN"/>
    </w:rPr>
  </w:style>
  <w:style w:type="paragraph" w:customStyle="1" w:styleId="1714">
    <w:name w:val="hhcwt标题1"/>
    <w:basedOn w:val="1"/>
    <w:link w:val="1713"/>
    <w:qFormat/>
    <w:uiPriority w:val="0"/>
    <w:pPr>
      <w:keepNext/>
      <w:keepLines/>
      <w:autoSpaceDE w:val="0"/>
      <w:autoSpaceDN w:val="0"/>
      <w:adjustRightInd w:val="0"/>
      <w:spacing w:before="120" w:after="120" w:line="336" w:lineRule="auto"/>
      <w:outlineLvl w:val="0"/>
    </w:pPr>
    <w:rPr>
      <w:rFonts w:eastAsia="黑体"/>
      <w:kern w:val="44"/>
      <w:sz w:val="36"/>
      <w:szCs w:val="20"/>
      <w:lang w:val="zh-CN"/>
    </w:rPr>
  </w:style>
  <w:style w:type="character" w:customStyle="1" w:styleId="1715">
    <w:name w:val="p16"/>
    <w:qFormat/>
    <w:uiPriority w:val="0"/>
  </w:style>
  <w:style w:type="character" w:customStyle="1" w:styleId="1716">
    <w:name w:val="表题 Char9"/>
    <w:qFormat/>
    <w:uiPriority w:val="0"/>
    <w:rPr>
      <w:rFonts w:ascii="黑体" w:hAnsi="Arial" w:eastAsia="黑体" w:cs="Arial"/>
      <w:b/>
      <w:kern w:val="2"/>
      <w:sz w:val="24"/>
      <w:szCs w:val="24"/>
      <w:lang w:val="en-US" w:eastAsia="zh-CN" w:bidi="ar-SA"/>
    </w:rPr>
  </w:style>
  <w:style w:type="character" w:customStyle="1" w:styleId="1717">
    <w:name w:val="题注 Char212"/>
    <w:qFormat/>
    <w:uiPriority w:val="0"/>
    <w:rPr>
      <w:rFonts w:ascii="黑体" w:hAnsi="Arial" w:eastAsia="黑体" w:cs="Arial"/>
      <w:b/>
      <w:kern w:val="2"/>
      <w:sz w:val="24"/>
      <w:szCs w:val="24"/>
      <w:lang w:val="en-US" w:eastAsia="zh-CN" w:bidi="ar-SA"/>
    </w:rPr>
  </w:style>
  <w:style w:type="character" w:customStyle="1" w:styleId="1718">
    <w:name w:val="正文文字 Char Char Char Char Char11"/>
    <w:qFormat/>
    <w:uiPriority w:val="0"/>
    <w:rPr>
      <w:rFonts w:eastAsia="宋体"/>
      <w:kern w:val="2"/>
      <w:sz w:val="21"/>
      <w:szCs w:val="24"/>
      <w:lang w:val="en-US" w:eastAsia="zh-CN" w:bidi="ar-SA"/>
    </w:rPr>
  </w:style>
  <w:style w:type="character" w:customStyle="1" w:styleId="1719">
    <w:name w:val="Char Char2116"/>
    <w:qFormat/>
    <w:uiPriority w:val="0"/>
    <w:rPr>
      <w:rFonts w:ascii="黑体" w:eastAsia="宋体"/>
      <w:kern w:val="2"/>
      <w:sz w:val="16"/>
      <w:szCs w:val="16"/>
      <w:lang w:val="en-US" w:eastAsia="zh-CN" w:bidi="ar-SA"/>
    </w:rPr>
  </w:style>
  <w:style w:type="character" w:customStyle="1" w:styleId="1720">
    <w:name w:val="hhcwt标题4 Char Char"/>
    <w:link w:val="1721"/>
    <w:qFormat/>
    <w:uiPriority w:val="0"/>
    <w:rPr>
      <w:bCs/>
      <w:sz w:val="24"/>
    </w:rPr>
  </w:style>
  <w:style w:type="paragraph" w:customStyle="1" w:styleId="1721">
    <w:name w:val="hhcwt标题4"/>
    <w:basedOn w:val="5"/>
    <w:link w:val="1720"/>
    <w:qFormat/>
    <w:uiPriority w:val="0"/>
    <w:pPr>
      <w:spacing w:line="360" w:lineRule="auto"/>
    </w:pPr>
    <w:rPr>
      <w:rFonts w:ascii="Times New Roman" w:hAnsi="Times New Roman" w:eastAsia="宋体"/>
      <w:kern w:val="0"/>
      <w:sz w:val="24"/>
      <w:szCs w:val="20"/>
    </w:rPr>
  </w:style>
  <w:style w:type="character" w:customStyle="1" w:styleId="1722">
    <w:name w:val="Char Char2119"/>
    <w:qFormat/>
    <w:uiPriority w:val="0"/>
    <w:rPr>
      <w:rFonts w:eastAsia="宋体"/>
      <w:kern w:val="2"/>
      <w:sz w:val="18"/>
      <w:lang w:val="en-US" w:eastAsia="zh-CN" w:bidi="ar-SA"/>
    </w:rPr>
  </w:style>
  <w:style w:type="character" w:customStyle="1" w:styleId="1723">
    <w:name w:val="Char Char1216"/>
    <w:qFormat/>
    <w:uiPriority w:val="0"/>
    <w:rPr>
      <w:rFonts w:ascii="黑体" w:hAnsi="Arial" w:eastAsia="黑体"/>
      <w:b/>
      <w:bCs/>
      <w:kern w:val="2"/>
      <w:sz w:val="30"/>
      <w:szCs w:val="30"/>
      <w:lang w:val="en-US" w:eastAsia="zh-CN" w:bidi="ar-SA"/>
    </w:rPr>
  </w:style>
  <w:style w:type="character" w:customStyle="1" w:styleId="1724">
    <w:name w:val="表格内字体 Char51"/>
    <w:qFormat/>
    <w:uiPriority w:val="0"/>
    <w:rPr>
      <w:rFonts w:ascii="宋体" w:hAnsi="宋体" w:eastAsia="宋体"/>
      <w:kern w:val="2"/>
      <w:sz w:val="21"/>
      <w:szCs w:val="24"/>
      <w:lang w:val="en-US" w:eastAsia="zh-CN" w:bidi="ar-SA"/>
    </w:rPr>
  </w:style>
  <w:style w:type="character" w:customStyle="1" w:styleId="1725">
    <w:name w:val="表题1 Char111"/>
    <w:qFormat/>
    <w:uiPriority w:val="0"/>
    <w:rPr>
      <w:rFonts w:hAnsi="Arial" w:eastAsia="宋体" w:cs="Arial"/>
      <w:kern w:val="2"/>
      <w:sz w:val="24"/>
      <w:szCs w:val="24"/>
      <w:lang w:val="en-US" w:eastAsia="zh-CN" w:bidi="ar-SA"/>
    </w:rPr>
  </w:style>
  <w:style w:type="character" w:customStyle="1" w:styleId="1726">
    <w:name w:val="标题 3 Char12"/>
    <w:qFormat/>
    <w:uiPriority w:val="0"/>
    <w:rPr>
      <w:rFonts w:ascii="黑体" w:hAnsi="宋体" w:eastAsia="黑体"/>
      <w:b/>
      <w:bCs/>
      <w:kern w:val="2"/>
      <w:sz w:val="28"/>
      <w:szCs w:val="28"/>
      <w:lang w:val="en-US" w:eastAsia="zh-CN" w:bidi="ar-SA"/>
    </w:rPr>
  </w:style>
  <w:style w:type="character" w:customStyle="1" w:styleId="1727">
    <w:name w:val="正文修改 Char11"/>
    <w:qFormat/>
    <w:uiPriority w:val="0"/>
    <w:rPr>
      <w:rFonts w:ascii="宋体" w:hAnsi="宋体" w:eastAsia="宋体" w:cs="宋体"/>
      <w:color w:val="000000"/>
      <w:kern w:val="2"/>
      <w:sz w:val="24"/>
      <w:szCs w:val="24"/>
      <w:lang w:val="en-US" w:eastAsia="zh-CN" w:bidi="ar-SA"/>
    </w:rPr>
  </w:style>
  <w:style w:type="character" w:customStyle="1" w:styleId="1728">
    <w:name w:val="text31"/>
    <w:qFormat/>
    <w:uiPriority w:val="0"/>
    <w:rPr>
      <w:rFonts w:hint="eastAsia" w:ascii="宋体" w:hAnsi="宋体" w:eastAsia="宋体"/>
      <w:color w:val="673434"/>
      <w:kern w:val="2"/>
      <w:sz w:val="22"/>
      <w:szCs w:val="22"/>
      <w:u w:val="none"/>
      <w:lang w:val="en-US" w:eastAsia="zh-CN" w:bidi="ar-SA"/>
    </w:rPr>
  </w:style>
  <w:style w:type="character" w:customStyle="1" w:styleId="1729">
    <w:name w:val="Char Char127"/>
    <w:qFormat/>
    <w:uiPriority w:val="0"/>
    <w:rPr>
      <w:rFonts w:ascii="黑体" w:hAnsi="Arial" w:eastAsia="黑体"/>
      <w:b/>
      <w:bCs/>
      <w:kern w:val="2"/>
      <w:sz w:val="30"/>
      <w:szCs w:val="30"/>
      <w:lang w:val="en-US" w:eastAsia="zh-CN" w:bidi="ar-SA"/>
    </w:rPr>
  </w:style>
  <w:style w:type="character" w:styleId="1730">
    <w:name w:val="Placeholder Text"/>
    <w:qFormat/>
    <w:uiPriority w:val="0"/>
    <w:rPr>
      <w:rFonts w:eastAsia="宋体"/>
      <w:color w:val="808080"/>
      <w:kern w:val="2"/>
      <w:sz w:val="24"/>
      <w:szCs w:val="24"/>
      <w:lang w:val="en-US" w:eastAsia="zh-CN" w:bidi="ar-SA"/>
    </w:rPr>
  </w:style>
  <w:style w:type="character" w:customStyle="1" w:styleId="1731">
    <w:name w:val="大港正文 Char Char"/>
    <w:link w:val="1732"/>
    <w:qFormat/>
    <w:uiPriority w:val="0"/>
    <w:rPr>
      <w:rFonts w:ascii="宋体" w:hAnsi="宋体"/>
      <w:sz w:val="24"/>
      <w:szCs w:val="24"/>
    </w:rPr>
  </w:style>
  <w:style w:type="paragraph" w:customStyle="1" w:styleId="1732">
    <w:name w:val="大港正文"/>
    <w:basedOn w:val="1"/>
    <w:next w:val="1"/>
    <w:link w:val="1731"/>
    <w:qFormat/>
    <w:uiPriority w:val="0"/>
    <w:pPr>
      <w:adjustRightInd w:val="0"/>
      <w:snapToGrid w:val="0"/>
      <w:spacing w:line="360" w:lineRule="auto"/>
      <w:ind w:firstLine="540" w:firstLineChars="225"/>
    </w:pPr>
    <w:rPr>
      <w:rFonts w:ascii="宋体" w:hAnsi="宋体"/>
      <w:kern w:val="0"/>
      <w:sz w:val="24"/>
    </w:rPr>
  </w:style>
  <w:style w:type="character" w:customStyle="1" w:styleId="1733">
    <w:name w:val="表格 Char Char Char1"/>
    <w:qFormat/>
    <w:uiPriority w:val="0"/>
    <w:rPr>
      <w:rFonts w:ascii="Arial" w:hAnsi="Arial" w:eastAsia="华文细黑"/>
      <w:kern w:val="2"/>
      <w:sz w:val="21"/>
      <w:szCs w:val="30"/>
      <w:lang w:val="en-US" w:eastAsia="zh-CN" w:bidi="ar-SA"/>
    </w:rPr>
  </w:style>
  <w:style w:type="character" w:customStyle="1" w:styleId="1734">
    <w:name w:val="标题 2 Char11"/>
    <w:qFormat/>
    <w:uiPriority w:val="0"/>
    <w:rPr>
      <w:rFonts w:hAnsi="Arial" w:eastAsia="宋体"/>
      <w:bCs/>
      <w:kern w:val="2"/>
      <w:sz w:val="30"/>
      <w:szCs w:val="30"/>
      <w:lang w:val="en-US" w:eastAsia="zh-CN" w:bidi="ar-SA"/>
    </w:rPr>
  </w:style>
  <w:style w:type="character" w:customStyle="1" w:styleId="1735">
    <w:name w:val="ln1"/>
    <w:qFormat/>
    <w:uiPriority w:val="0"/>
    <w:rPr>
      <w:rFonts w:hint="default"/>
      <w:color w:val="000000"/>
      <w:sz w:val="28"/>
      <w:szCs w:val="28"/>
      <w:u w:val="none"/>
    </w:rPr>
  </w:style>
  <w:style w:type="character" w:customStyle="1" w:styleId="1736">
    <w:name w:val="标题 3 Char121"/>
    <w:qFormat/>
    <w:uiPriority w:val="0"/>
    <w:rPr>
      <w:rFonts w:ascii="黑体" w:hAnsi="宋体" w:eastAsia="黑体"/>
      <w:b/>
      <w:bCs/>
      <w:kern w:val="2"/>
      <w:sz w:val="28"/>
      <w:szCs w:val="28"/>
      <w:lang w:val="en-US" w:eastAsia="zh-CN" w:bidi="ar-SA"/>
    </w:rPr>
  </w:style>
  <w:style w:type="character" w:customStyle="1" w:styleId="1737">
    <w:name w:val="表格内字体 Char61"/>
    <w:qFormat/>
    <w:uiPriority w:val="0"/>
    <w:rPr>
      <w:rFonts w:ascii="宋体" w:hAnsi="宋体" w:eastAsia="宋体" w:cs="Times New Roman"/>
      <w:kern w:val="2"/>
      <w:sz w:val="24"/>
      <w:szCs w:val="24"/>
      <w:lang w:val="en-US" w:eastAsia="zh-CN" w:bidi="ar-SA"/>
    </w:rPr>
  </w:style>
  <w:style w:type="character" w:customStyle="1" w:styleId="1738">
    <w:name w:val="Char Char31"/>
    <w:qFormat/>
    <w:uiPriority w:val="0"/>
    <w:rPr>
      <w:rFonts w:ascii="黑体" w:hAnsi="宋体" w:eastAsia="黑体"/>
      <w:b/>
      <w:bCs/>
      <w:kern w:val="2"/>
      <w:sz w:val="28"/>
      <w:szCs w:val="28"/>
      <w:lang w:val="en-US" w:eastAsia="zh-CN" w:bidi="ar-SA"/>
    </w:rPr>
  </w:style>
  <w:style w:type="character" w:customStyle="1" w:styleId="1739">
    <w:name w:val="题注 Char5"/>
    <w:qFormat/>
    <w:uiPriority w:val="0"/>
    <w:rPr>
      <w:rFonts w:ascii="黑体" w:hAnsi="Arial" w:eastAsia="黑体" w:cs="Arial"/>
      <w:b/>
      <w:kern w:val="2"/>
      <w:sz w:val="24"/>
      <w:szCs w:val="24"/>
      <w:lang w:val="en-US" w:eastAsia="zh-CN" w:bidi="ar-SA"/>
    </w:rPr>
  </w:style>
  <w:style w:type="character" w:customStyle="1" w:styleId="1740">
    <w:name w:val="小标 Char1"/>
    <w:qFormat/>
    <w:uiPriority w:val="0"/>
    <w:rPr>
      <w:rFonts w:eastAsia="Arial Unicode MS"/>
      <w:b/>
      <w:bCs/>
      <w:kern w:val="2"/>
      <w:sz w:val="32"/>
      <w:szCs w:val="32"/>
      <w:lang w:val="en-US" w:eastAsia="zh-CN" w:bidi="ar-SA"/>
    </w:rPr>
  </w:style>
  <w:style w:type="character" w:customStyle="1" w:styleId="1741">
    <w:name w:val="Char Char114"/>
    <w:qFormat/>
    <w:uiPriority w:val="0"/>
    <w:rPr>
      <w:rFonts w:ascii="黑体" w:hAnsi="Arial" w:eastAsia="黑体"/>
      <w:bCs/>
      <w:kern w:val="2"/>
      <w:sz w:val="30"/>
      <w:szCs w:val="30"/>
      <w:lang w:val="en-US" w:eastAsia="zh-CN" w:bidi="ar-SA"/>
    </w:rPr>
  </w:style>
  <w:style w:type="character" w:customStyle="1" w:styleId="1742">
    <w:name w:val="无效格式 Char"/>
    <w:qFormat/>
    <w:uiPriority w:val="0"/>
    <w:rPr>
      <w:rFonts w:ascii="黑体" w:hAnsi="Arial" w:eastAsia="黑体"/>
      <w:b/>
      <w:bCs/>
      <w:kern w:val="2"/>
      <w:sz w:val="24"/>
      <w:szCs w:val="24"/>
      <w:lang w:val="en-US" w:eastAsia="zh-CN" w:bidi="ar-SA"/>
    </w:rPr>
  </w:style>
  <w:style w:type="character" w:customStyle="1" w:styleId="1743">
    <w:name w:val="图题 Char3"/>
    <w:qFormat/>
    <w:uiPriority w:val="0"/>
    <w:rPr>
      <w:rFonts w:ascii="黑体" w:hAnsi="宋体" w:eastAsia="黑体" w:cs="宋体"/>
      <w:b/>
      <w:bCs/>
      <w:kern w:val="2"/>
      <w:sz w:val="24"/>
      <w:szCs w:val="24"/>
      <w:lang w:val="en-US" w:eastAsia="zh-CN" w:bidi="ar-SA"/>
    </w:rPr>
  </w:style>
  <w:style w:type="character" w:customStyle="1" w:styleId="1744">
    <w:name w:val="正文修改 Char17"/>
    <w:qFormat/>
    <w:uiPriority w:val="0"/>
    <w:rPr>
      <w:rFonts w:ascii="宋体" w:hAnsi="宋体" w:eastAsia="宋体" w:cs="宋体"/>
      <w:color w:val="000000"/>
      <w:kern w:val="2"/>
      <w:sz w:val="24"/>
      <w:szCs w:val="24"/>
      <w:lang w:val="en-US" w:eastAsia="zh-CN" w:bidi="ar-SA"/>
    </w:rPr>
  </w:style>
  <w:style w:type="character" w:customStyle="1" w:styleId="1745">
    <w:name w:val="Char Char517"/>
    <w:qFormat/>
    <w:uiPriority w:val="0"/>
    <w:rPr>
      <w:rFonts w:ascii="黑体" w:hAnsi="宋体" w:eastAsia="黑体"/>
      <w:bCs/>
      <w:kern w:val="2"/>
      <w:sz w:val="28"/>
      <w:szCs w:val="28"/>
      <w:lang w:val="en-US" w:eastAsia="zh-CN" w:bidi="ar-SA"/>
    </w:rPr>
  </w:style>
  <w:style w:type="character" w:customStyle="1" w:styleId="1746">
    <w:name w:val="图表题 Char13"/>
    <w:qFormat/>
    <w:uiPriority w:val="0"/>
    <w:rPr>
      <w:rFonts w:ascii="黑体" w:hAnsi="宋体" w:eastAsia="黑体"/>
      <w:b/>
      <w:bCs/>
    </w:rPr>
  </w:style>
  <w:style w:type="character" w:customStyle="1" w:styleId="1747">
    <w:name w:val="Char Char46"/>
    <w:qFormat/>
    <w:uiPriority w:val="0"/>
    <w:rPr>
      <w:rFonts w:ascii="黑体" w:hAnsi="Arial" w:eastAsia="黑体"/>
      <w:b/>
      <w:bCs/>
      <w:kern w:val="2"/>
      <w:sz w:val="30"/>
      <w:szCs w:val="30"/>
      <w:lang w:val="en-US" w:eastAsia="zh-CN" w:bidi="ar-SA"/>
    </w:rPr>
  </w:style>
  <w:style w:type="character" w:customStyle="1" w:styleId="1748">
    <w:name w:val="表格内字体 Char31"/>
    <w:qFormat/>
    <w:uiPriority w:val="0"/>
    <w:rPr>
      <w:rFonts w:ascii="宋体" w:hAnsi="宋体" w:eastAsia="宋体"/>
      <w:kern w:val="2"/>
      <w:sz w:val="21"/>
      <w:szCs w:val="24"/>
      <w:lang w:val="en-US" w:eastAsia="zh-CN" w:bidi="ar-SA"/>
    </w:rPr>
  </w:style>
  <w:style w:type="character" w:customStyle="1" w:styleId="1749">
    <w:name w:val="标题 2 Char Char11"/>
    <w:qFormat/>
    <w:uiPriority w:val="0"/>
    <w:rPr>
      <w:rFonts w:ascii="黑体" w:hAnsi="Arial" w:eastAsia="黑体"/>
      <w:bCs/>
      <w:kern w:val="2"/>
      <w:sz w:val="30"/>
      <w:szCs w:val="30"/>
      <w:lang w:val="en-US" w:eastAsia="zh-CN" w:bidi="ar-SA"/>
    </w:rPr>
  </w:style>
  <w:style w:type="character" w:customStyle="1" w:styleId="1750">
    <w:name w:val="表格内字体 Char3"/>
    <w:qFormat/>
    <w:uiPriority w:val="0"/>
    <w:rPr>
      <w:rFonts w:ascii="宋体" w:hAnsi="宋体" w:eastAsia="宋体"/>
      <w:kern w:val="2"/>
      <w:sz w:val="21"/>
      <w:szCs w:val="24"/>
      <w:lang w:val="en-US" w:eastAsia="zh-CN" w:bidi="ar-SA"/>
    </w:rPr>
  </w:style>
  <w:style w:type="character" w:customStyle="1" w:styleId="1751">
    <w:name w:val="正文格式 Char2"/>
    <w:qFormat/>
    <w:uiPriority w:val="0"/>
    <w:rPr>
      <w:rFonts w:ascii="宋体" w:hAnsi="宋体" w:eastAsia="宋体"/>
      <w:kern w:val="2"/>
      <w:sz w:val="24"/>
      <w:szCs w:val="24"/>
      <w:lang w:val="en-US" w:eastAsia="zh-CN" w:bidi="ar-SA"/>
    </w:rPr>
  </w:style>
  <w:style w:type="character" w:customStyle="1" w:styleId="1752">
    <w:name w:val="标题 8 Char1"/>
    <w:qFormat/>
    <w:uiPriority w:val="0"/>
    <w:rPr>
      <w:rFonts w:ascii="Arial" w:hAnsi="Arial" w:eastAsia="黑体"/>
      <w:kern w:val="2"/>
      <w:sz w:val="24"/>
      <w:szCs w:val="24"/>
      <w:lang w:val="en-US" w:eastAsia="zh-CN" w:bidi="ar-SA"/>
    </w:rPr>
  </w:style>
  <w:style w:type="character" w:customStyle="1" w:styleId="1753">
    <w:name w:val="样式 正文缩进 + 宋体 黑色 Char2"/>
    <w:qFormat/>
    <w:uiPriority w:val="0"/>
    <w:rPr>
      <w:rFonts w:ascii="宋体" w:hAnsi="宋体" w:eastAsia="宋体"/>
      <w:color w:val="000000"/>
      <w:kern w:val="2"/>
      <w:sz w:val="24"/>
      <w:szCs w:val="24"/>
      <w:lang w:val="en-US" w:eastAsia="zh-CN" w:bidi="ar-SA"/>
    </w:rPr>
  </w:style>
  <w:style w:type="character" w:customStyle="1" w:styleId="1754">
    <w:name w:val="正文修改 Char112"/>
    <w:qFormat/>
    <w:uiPriority w:val="0"/>
    <w:rPr>
      <w:rFonts w:ascii="宋体" w:hAnsi="宋体" w:eastAsia="宋体" w:cs="宋体"/>
      <w:color w:val="000000"/>
      <w:kern w:val="2"/>
      <w:sz w:val="24"/>
      <w:szCs w:val="24"/>
      <w:lang w:val="en-US" w:eastAsia="zh-CN" w:bidi="ar-SA"/>
    </w:rPr>
  </w:style>
  <w:style w:type="character" w:customStyle="1" w:styleId="1755">
    <w:name w:val="正文斜体 Char Char"/>
    <w:link w:val="1756"/>
    <w:qFormat/>
    <w:uiPriority w:val="0"/>
    <w:rPr>
      <w:rFonts w:ascii="宋体" w:hAnsi="宋体"/>
      <w:i/>
      <w:iCs/>
      <w:sz w:val="24"/>
      <w:szCs w:val="24"/>
    </w:rPr>
  </w:style>
  <w:style w:type="paragraph" w:customStyle="1" w:styleId="1756">
    <w:name w:val="正文斜体"/>
    <w:basedOn w:val="184"/>
    <w:next w:val="184"/>
    <w:link w:val="1755"/>
    <w:qFormat/>
    <w:uiPriority w:val="0"/>
    <w:rPr>
      <w:rFonts w:hAnsi="宋体" w:cs="Times New Roman"/>
      <w:i/>
      <w:iCs/>
      <w:kern w:val="0"/>
    </w:rPr>
  </w:style>
  <w:style w:type="character" w:customStyle="1" w:styleId="1757">
    <w:name w:val="样式 正文文本 + 红色 Char Char Char Char Char1"/>
    <w:qFormat/>
    <w:uiPriority w:val="0"/>
    <w:rPr>
      <w:rFonts w:eastAsia="仿宋_GB2312"/>
      <w:snapToGrid/>
      <w:color w:val="FF0000"/>
      <w:kern w:val="2"/>
      <w:sz w:val="24"/>
      <w:szCs w:val="24"/>
      <w:lang w:val="en-US" w:eastAsia="zh-CN" w:bidi="ar-SA"/>
    </w:rPr>
  </w:style>
  <w:style w:type="character" w:customStyle="1" w:styleId="1758">
    <w:name w:val="Char Char1114"/>
    <w:qFormat/>
    <w:uiPriority w:val="0"/>
    <w:rPr>
      <w:rFonts w:ascii="黑体" w:hAnsi="Arial" w:eastAsia="黑体"/>
      <w:bCs/>
      <w:kern w:val="2"/>
      <w:sz w:val="30"/>
      <w:szCs w:val="30"/>
      <w:lang w:val="en-US" w:eastAsia="zh-CN" w:bidi="ar-SA"/>
    </w:rPr>
  </w:style>
  <w:style w:type="character" w:customStyle="1" w:styleId="1759">
    <w:name w:val="Char Char1122"/>
    <w:qFormat/>
    <w:uiPriority w:val="0"/>
    <w:rPr>
      <w:rFonts w:ascii="黑体" w:hAnsi="Arial" w:eastAsia="黑体"/>
      <w:bCs/>
      <w:kern w:val="2"/>
      <w:sz w:val="30"/>
      <w:szCs w:val="30"/>
      <w:lang w:val="en-US" w:eastAsia="zh-CN" w:bidi="ar-SA"/>
    </w:rPr>
  </w:style>
  <w:style w:type="character" w:customStyle="1" w:styleId="1760">
    <w:name w:val="标题 3 Char21"/>
    <w:qFormat/>
    <w:uiPriority w:val="0"/>
    <w:rPr>
      <w:rFonts w:ascii="黑体" w:hAnsi="宋体" w:eastAsia="黑体"/>
      <w:b/>
      <w:bCs/>
      <w:kern w:val="2"/>
      <w:sz w:val="28"/>
      <w:szCs w:val="28"/>
      <w:lang w:val="en-US" w:eastAsia="zh-CN" w:bidi="ar-SA"/>
    </w:rPr>
  </w:style>
  <w:style w:type="character" w:customStyle="1" w:styleId="1761">
    <w:name w:val="正文首行缩进 2 Char3"/>
    <w:qFormat/>
    <w:uiPriority w:val="0"/>
    <w:rPr>
      <w:rFonts w:ascii="Times New Roman" w:hAnsi="Times New Roman" w:eastAsia="宋体" w:cs="Times New Roman"/>
      <w:kern w:val="2"/>
      <w:sz w:val="28"/>
      <w:szCs w:val="18"/>
      <w:lang w:val="en-US" w:eastAsia="zh-CN" w:bidi="ar-SA"/>
    </w:rPr>
  </w:style>
  <w:style w:type="character" w:customStyle="1" w:styleId="1762">
    <w:name w:val="图表题 Char3"/>
    <w:qFormat/>
    <w:uiPriority w:val="0"/>
    <w:rPr>
      <w:rFonts w:ascii="黑体" w:hAnsi="宋体" w:eastAsia="黑体" w:cs="宋体"/>
      <w:b/>
      <w:bCs/>
      <w:kern w:val="2"/>
      <w:sz w:val="24"/>
      <w:szCs w:val="24"/>
      <w:lang w:val="en-US" w:eastAsia="zh-CN" w:bidi="ar-SA"/>
    </w:rPr>
  </w:style>
  <w:style w:type="character" w:customStyle="1" w:styleId="1763">
    <w:name w:val="孙普文字 Char Char"/>
    <w:qFormat/>
    <w:uiPriority w:val="0"/>
    <w:rPr>
      <w:rFonts w:ascii="宋体" w:hAnsi="Courier New" w:eastAsia="宋体"/>
      <w:kern w:val="2"/>
      <w:sz w:val="21"/>
      <w:lang w:val="en-US" w:eastAsia="zh-CN" w:bidi="ar-SA"/>
    </w:rPr>
  </w:style>
  <w:style w:type="character" w:customStyle="1" w:styleId="1764">
    <w:name w:val="正文格式 Char11"/>
    <w:qFormat/>
    <w:uiPriority w:val="0"/>
    <w:rPr>
      <w:rFonts w:ascii="宋体" w:hAnsi="宋体" w:eastAsia="宋体"/>
      <w:kern w:val="2"/>
      <w:sz w:val="24"/>
      <w:szCs w:val="24"/>
      <w:lang w:val="en-US" w:eastAsia="zh-CN" w:bidi="ar-SA"/>
    </w:rPr>
  </w:style>
  <w:style w:type="character" w:customStyle="1" w:styleId="1765">
    <w:name w:val="正文文本缩进 3 Char3"/>
    <w:qFormat/>
    <w:uiPriority w:val="0"/>
    <w:rPr>
      <w:rFonts w:eastAsia="宋体"/>
      <w:kern w:val="2"/>
      <w:sz w:val="16"/>
      <w:szCs w:val="16"/>
      <w:lang w:val="en-US" w:eastAsia="zh-CN" w:bidi="ar-SA"/>
    </w:rPr>
  </w:style>
  <w:style w:type="character" w:customStyle="1" w:styleId="1766">
    <w:name w:val="p14"/>
    <w:qFormat/>
    <w:uiPriority w:val="0"/>
  </w:style>
  <w:style w:type="character" w:customStyle="1" w:styleId="1767">
    <w:name w:val="Char Char2118"/>
    <w:qFormat/>
    <w:uiPriority w:val="0"/>
    <w:rPr>
      <w:rFonts w:ascii="黑体" w:eastAsia="宋体"/>
      <w:kern w:val="2"/>
      <w:sz w:val="16"/>
      <w:szCs w:val="16"/>
      <w:lang w:val="en-US" w:eastAsia="zh-CN" w:bidi="ar-SA"/>
    </w:rPr>
  </w:style>
  <w:style w:type="character" w:customStyle="1" w:styleId="1768">
    <w:name w:val="Char Char116"/>
    <w:qFormat/>
    <w:uiPriority w:val="0"/>
    <w:rPr>
      <w:rFonts w:ascii="黑体" w:hAnsi="Arial" w:eastAsia="黑体"/>
      <w:bCs/>
      <w:kern w:val="2"/>
      <w:sz w:val="30"/>
      <w:szCs w:val="30"/>
      <w:lang w:val="en-US" w:eastAsia="zh-CN" w:bidi="ar-SA"/>
    </w:rPr>
  </w:style>
  <w:style w:type="character" w:customStyle="1" w:styleId="1769">
    <w:name w:val="表格内字体 Char10"/>
    <w:qFormat/>
    <w:uiPriority w:val="0"/>
    <w:rPr>
      <w:rFonts w:ascii="宋体" w:hAnsi="宋体" w:eastAsia="宋体" w:cs="Times New Roman"/>
      <w:kern w:val="2"/>
      <w:sz w:val="24"/>
      <w:szCs w:val="21"/>
      <w:lang w:val="en-US" w:eastAsia="zh-CN" w:bidi="ar-SA"/>
    </w:rPr>
  </w:style>
  <w:style w:type="character" w:customStyle="1" w:styleId="1770">
    <w:name w:val="正文修改 Char1212"/>
    <w:qFormat/>
    <w:uiPriority w:val="0"/>
    <w:rPr>
      <w:rFonts w:ascii="宋体" w:hAnsi="宋体" w:eastAsia="宋体" w:cs="宋体"/>
      <w:color w:val="000000"/>
      <w:kern w:val="2"/>
      <w:sz w:val="24"/>
      <w:szCs w:val="24"/>
      <w:lang w:val="en-US" w:eastAsia="zh-CN" w:bidi="ar-SA"/>
    </w:rPr>
  </w:style>
  <w:style w:type="character" w:customStyle="1" w:styleId="1771">
    <w:name w:val="正文格式 Char Char Char1"/>
    <w:qFormat/>
    <w:uiPriority w:val="0"/>
    <w:rPr>
      <w:rFonts w:ascii="宋体" w:eastAsia="宋体" w:cs="宋体"/>
      <w:kern w:val="2"/>
      <w:sz w:val="24"/>
      <w:szCs w:val="24"/>
      <w:lang w:val="en-US" w:eastAsia="zh-CN" w:bidi="ar-SA"/>
    </w:rPr>
  </w:style>
  <w:style w:type="character" w:customStyle="1" w:styleId="1772">
    <w:name w:val="表题1 Char413"/>
    <w:qFormat/>
    <w:uiPriority w:val="0"/>
    <w:rPr>
      <w:rFonts w:ascii="黑体" w:hAnsi="Arial" w:eastAsia="黑体" w:cs="Arial"/>
      <w:b/>
      <w:kern w:val="2"/>
      <w:sz w:val="24"/>
      <w:szCs w:val="24"/>
      <w:lang w:val="en-US" w:eastAsia="zh-CN" w:bidi="ar-SA"/>
    </w:rPr>
  </w:style>
  <w:style w:type="character" w:customStyle="1" w:styleId="1773">
    <w:name w:val="报告正文 Char1"/>
    <w:qFormat/>
    <w:uiPriority w:val="0"/>
    <w:rPr>
      <w:rFonts w:eastAsia="宋体"/>
      <w:kern w:val="2"/>
      <w:sz w:val="24"/>
      <w:lang w:val="en-US" w:eastAsia="zh-CN" w:bidi="ar-SA"/>
    </w:rPr>
  </w:style>
  <w:style w:type="character" w:customStyle="1" w:styleId="1774">
    <w:name w:val="表内5 Char11"/>
    <w:qFormat/>
    <w:uiPriority w:val="0"/>
    <w:rPr>
      <w:rFonts w:ascii="宋体" w:hAnsi="宋体" w:eastAsia="宋体" w:cs="Times New Roman"/>
      <w:kern w:val="2"/>
      <w:sz w:val="24"/>
      <w:szCs w:val="24"/>
      <w:lang w:val="en-US" w:eastAsia="zh-CN" w:bidi="ar-SA"/>
    </w:rPr>
  </w:style>
  <w:style w:type="character" w:customStyle="1" w:styleId="1775">
    <w:name w:val="正文缩进 Char111"/>
    <w:qFormat/>
    <w:uiPriority w:val="0"/>
    <w:rPr>
      <w:rFonts w:ascii="宋体" w:hAnsi="宋体" w:eastAsia="宋体" w:cs="宋体"/>
      <w:color w:val="000000"/>
      <w:kern w:val="2"/>
      <w:sz w:val="24"/>
      <w:szCs w:val="24"/>
      <w:lang w:val="en-US" w:eastAsia="zh-CN" w:bidi="ar-SA"/>
    </w:rPr>
  </w:style>
  <w:style w:type="character" w:customStyle="1" w:styleId="1776">
    <w:name w:val="样式 表格内字体 + Char Char"/>
    <w:qFormat/>
    <w:uiPriority w:val="0"/>
    <w:rPr>
      <w:rFonts w:ascii="宋体" w:hAnsi="宋体"/>
      <w:sz w:val="21"/>
      <w:szCs w:val="24"/>
    </w:rPr>
  </w:style>
  <w:style w:type="character" w:customStyle="1" w:styleId="1777">
    <w:name w:val="表注 Char Char"/>
    <w:link w:val="734"/>
    <w:qFormat/>
    <w:uiPriority w:val="0"/>
    <w:rPr>
      <w:kern w:val="15"/>
      <w:sz w:val="15"/>
      <w:lang w:bidi="ar-SA"/>
    </w:rPr>
  </w:style>
  <w:style w:type="character" w:customStyle="1" w:styleId="1778">
    <w:name w:val="报告书表格 Char Char"/>
    <w:qFormat/>
    <w:uiPriority w:val="0"/>
    <w:rPr>
      <w:rFonts w:eastAsia="仿宋_GB2312"/>
      <w:sz w:val="24"/>
    </w:rPr>
  </w:style>
  <w:style w:type="character" w:customStyle="1" w:styleId="1779">
    <w:name w:val="标题2 Char21"/>
    <w:qFormat/>
    <w:uiPriority w:val="0"/>
    <w:rPr>
      <w:rFonts w:ascii="宋体" w:hAnsi="宋体" w:eastAsia="宋体" w:cs="宋体"/>
      <w:color w:val="000000"/>
      <w:kern w:val="2"/>
      <w:sz w:val="24"/>
      <w:szCs w:val="24"/>
      <w:lang w:val="en-US" w:eastAsia="zh-CN" w:bidi="ar-SA"/>
    </w:rPr>
  </w:style>
  <w:style w:type="character" w:customStyle="1" w:styleId="1780">
    <w:name w:val="Char Char64"/>
    <w:qFormat/>
    <w:uiPriority w:val="0"/>
    <w:rPr>
      <w:rFonts w:ascii="黑体" w:eastAsia="黑体"/>
      <w:b/>
      <w:bCs/>
      <w:kern w:val="2"/>
      <w:sz w:val="28"/>
      <w:szCs w:val="28"/>
      <w:lang w:val="en-US" w:eastAsia="zh-CN" w:bidi="ar-SA"/>
    </w:rPr>
  </w:style>
  <w:style w:type="character" w:customStyle="1" w:styleId="1781">
    <w:name w:val="燕山正文 Char11"/>
    <w:qFormat/>
    <w:uiPriority w:val="0"/>
    <w:rPr>
      <w:rFonts w:ascii="宋体" w:eastAsia="宋体" w:cs="宋体"/>
      <w:kern w:val="2"/>
      <w:sz w:val="24"/>
      <w:szCs w:val="24"/>
      <w:lang w:val="en-US" w:eastAsia="zh-CN" w:bidi="ar-SA"/>
    </w:rPr>
  </w:style>
  <w:style w:type="character" w:customStyle="1" w:styleId="1782">
    <w:name w:val="正文格式 Char7"/>
    <w:qFormat/>
    <w:uiPriority w:val="0"/>
    <w:rPr>
      <w:rFonts w:ascii="宋体" w:hAnsi="宋体" w:eastAsia="宋体"/>
      <w:kern w:val="2"/>
      <w:sz w:val="24"/>
      <w:szCs w:val="24"/>
      <w:lang w:val="en-US" w:eastAsia="zh-CN" w:bidi="ar-SA"/>
    </w:rPr>
  </w:style>
  <w:style w:type="character" w:customStyle="1" w:styleId="1783">
    <w:name w:val="A正文 Char Char"/>
    <w:link w:val="1784"/>
    <w:qFormat/>
    <w:uiPriority w:val="0"/>
    <w:rPr>
      <w:rFonts w:eastAsia="仿宋_GB2312"/>
      <w:sz w:val="24"/>
      <w:szCs w:val="24"/>
    </w:rPr>
  </w:style>
  <w:style w:type="paragraph" w:customStyle="1" w:styleId="1784">
    <w:name w:val="A正文"/>
    <w:basedOn w:val="1"/>
    <w:link w:val="1783"/>
    <w:qFormat/>
    <w:uiPriority w:val="0"/>
    <w:pPr>
      <w:widowControl/>
      <w:overflowPunct w:val="0"/>
      <w:autoSpaceDE w:val="0"/>
      <w:autoSpaceDN w:val="0"/>
      <w:adjustRightInd w:val="0"/>
      <w:spacing w:line="360" w:lineRule="auto"/>
      <w:ind w:firstLine="200" w:firstLineChars="200"/>
      <w:jc w:val="left"/>
      <w:textAlignment w:val="baseline"/>
    </w:pPr>
    <w:rPr>
      <w:rFonts w:eastAsia="仿宋_GB2312"/>
      <w:kern w:val="0"/>
      <w:sz w:val="24"/>
    </w:rPr>
  </w:style>
  <w:style w:type="character" w:customStyle="1" w:styleId="1785">
    <w:name w:val="环正文 Char1"/>
    <w:link w:val="1786"/>
    <w:qFormat/>
    <w:uiPriority w:val="0"/>
    <w:rPr>
      <w:rFonts w:ascii="仿宋_GB2312" w:eastAsia="仿宋_GB2312"/>
      <w:sz w:val="28"/>
      <w:szCs w:val="24"/>
    </w:rPr>
  </w:style>
  <w:style w:type="paragraph" w:customStyle="1" w:styleId="1786">
    <w:name w:val="环正文"/>
    <w:basedOn w:val="1"/>
    <w:link w:val="1785"/>
    <w:qFormat/>
    <w:uiPriority w:val="0"/>
    <w:pPr>
      <w:widowControl/>
      <w:suppressAutoHyphens/>
      <w:adjustRightInd w:val="0"/>
      <w:snapToGrid w:val="0"/>
      <w:spacing w:line="500" w:lineRule="exact"/>
      <w:ind w:firstLine="560" w:firstLineChars="200"/>
      <w:textAlignment w:val="baseline"/>
    </w:pPr>
    <w:rPr>
      <w:rFonts w:ascii="仿宋_GB2312" w:eastAsia="仿宋_GB2312"/>
      <w:kern w:val="0"/>
      <w:sz w:val="28"/>
    </w:rPr>
  </w:style>
  <w:style w:type="character" w:customStyle="1" w:styleId="1787">
    <w:name w:val="正文格式 Char8"/>
    <w:qFormat/>
    <w:uiPriority w:val="0"/>
    <w:rPr>
      <w:rFonts w:ascii="宋体" w:hAnsi="宋体" w:eastAsia="宋体"/>
      <w:kern w:val="2"/>
      <w:sz w:val="24"/>
      <w:szCs w:val="24"/>
      <w:lang w:val="en-US" w:eastAsia="zh-CN" w:bidi="ar-SA"/>
    </w:rPr>
  </w:style>
  <w:style w:type="character" w:customStyle="1" w:styleId="1788">
    <w:name w:val="样式 正文缩进 + 宋体 黑色 Char4"/>
    <w:qFormat/>
    <w:uiPriority w:val="0"/>
    <w:rPr>
      <w:rFonts w:ascii="宋体" w:hAnsi="宋体" w:eastAsia="宋体"/>
      <w:color w:val="000000"/>
      <w:kern w:val="2"/>
      <w:sz w:val="24"/>
      <w:szCs w:val="24"/>
      <w:lang w:val="en-US" w:eastAsia="zh-CN" w:bidi="ar-SA"/>
    </w:rPr>
  </w:style>
  <w:style w:type="character" w:customStyle="1" w:styleId="1789">
    <w:name w:val="Char Char212"/>
    <w:qFormat/>
    <w:uiPriority w:val="0"/>
    <w:rPr>
      <w:rFonts w:ascii="黑体" w:eastAsia="宋体"/>
      <w:kern w:val="2"/>
      <w:sz w:val="16"/>
      <w:szCs w:val="16"/>
      <w:lang w:val="en-US" w:eastAsia="zh-CN" w:bidi="ar-SA"/>
    </w:rPr>
  </w:style>
  <w:style w:type="character" w:customStyle="1" w:styleId="1790">
    <w:name w:val="Char Char12"/>
    <w:qFormat/>
    <w:uiPriority w:val="0"/>
    <w:rPr>
      <w:rFonts w:ascii="黑体" w:hAnsi="Arial" w:eastAsia="黑体"/>
      <w:b/>
      <w:bCs/>
      <w:kern w:val="2"/>
      <w:sz w:val="30"/>
      <w:szCs w:val="30"/>
      <w:lang w:val="en-US" w:eastAsia="zh-CN" w:bidi="ar-SA"/>
    </w:rPr>
  </w:style>
  <w:style w:type="character" w:customStyle="1" w:styleId="1791">
    <w:name w:val="heighlight"/>
    <w:qFormat/>
    <w:uiPriority w:val="0"/>
  </w:style>
  <w:style w:type="character" w:customStyle="1" w:styleId="1792">
    <w:name w:val="表中文字 Char11"/>
    <w:qFormat/>
    <w:uiPriority w:val="0"/>
    <w:rPr>
      <w:rFonts w:ascii="Arial" w:hAnsi="Arial" w:eastAsia="宋体"/>
      <w:kern w:val="2"/>
      <w:sz w:val="24"/>
      <w:szCs w:val="24"/>
      <w:lang w:val="en-US" w:eastAsia="zh-TW" w:bidi="ar-SA"/>
    </w:rPr>
  </w:style>
  <w:style w:type="character" w:customStyle="1" w:styleId="1793">
    <w:name w:val="Char Char416"/>
    <w:qFormat/>
    <w:uiPriority w:val="0"/>
    <w:rPr>
      <w:rFonts w:ascii="黑体" w:hAnsi="Arial" w:eastAsia="黑体"/>
      <w:b/>
      <w:bCs/>
      <w:kern w:val="2"/>
      <w:sz w:val="30"/>
      <w:szCs w:val="30"/>
      <w:lang w:val="en-US" w:eastAsia="zh-CN" w:bidi="ar-SA"/>
    </w:rPr>
  </w:style>
  <w:style w:type="character" w:customStyle="1" w:styleId="1794">
    <w:name w:val="正文文本缩进 2 Char2"/>
    <w:qFormat/>
    <w:uiPriority w:val="0"/>
    <w:rPr>
      <w:rFonts w:eastAsia="宋体"/>
      <w:kern w:val="2"/>
      <w:sz w:val="21"/>
      <w:szCs w:val="24"/>
      <w:lang w:val="en-US" w:eastAsia="zh-CN" w:bidi="ar-SA"/>
    </w:rPr>
  </w:style>
  <w:style w:type="character" w:customStyle="1" w:styleId="1795">
    <w:name w:val="第一层条 Char4"/>
    <w:qFormat/>
    <w:uiPriority w:val="0"/>
    <w:rPr>
      <w:rFonts w:ascii="仿宋_GB2312" w:eastAsia="仿宋_GB2312"/>
      <w:b/>
      <w:kern w:val="2"/>
      <w:sz w:val="28"/>
      <w:lang w:val="en-US" w:eastAsia="zh-CN" w:bidi="ar-SA"/>
    </w:rPr>
  </w:style>
  <w:style w:type="character" w:customStyle="1" w:styleId="1796">
    <w:name w:val="图题注 Char1"/>
    <w:qFormat/>
    <w:uiPriority w:val="0"/>
    <w:rPr>
      <w:rFonts w:ascii="黑体" w:hAnsi="Arial" w:eastAsia="黑体" w:cs="宋体"/>
      <w:b/>
      <w:bCs/>
      <w:kern w:val="2"/>
      <w:sz w:val="24"/>
      <w:szCs w:val="24"/>
      <w:lang w:val="en-US" w:eastAsia="zh-CN" w:bidi="ar-SA"/>
    </w:rPr>
  </w:style>
  <w:style w:type="character" w:customStyle="1" w:styleId="1797">
    <w:name w:val="Char Char211"/>
    <w:qFormat/>
    <w:uiPriority w:val="0"/>
    <w:rPr>
      <w:rFonts w:ascii="黑体" w:eastAsia="宋体"/>
      <w:kern w:val="2"/>
      <w:sz w:val="16"/>
      <w:szCs w:val="16"/>
      <w:lang w:val="en-US" w:eastAsia="zh-CN" w:bidi="ar-SA"/>
    </w:rPr>
  </w:style>
  <w:style w:type="character" w:customStyle="1" w:styleId="1798">
    <w:name w:val="表题1 Char6"/>
    <w:qFormat/>
    <w:uiPriority w:val="0"/>
    <w:rPr>
      <w:rFonts w:ascii="黑体" w:hAnsi="Arial" w:eastAsia="黑体" w:cs="Arial"/>
      <w:b/>
      <w:kern w:val="2"/>
      <w:sz w:val="24"/>
      <w:szCs w:val="24"/>
      <w:lang w:val="en-US" w:eastAsia="zh-CN" w:bidi="ar-SA"/>
    </w:rPr>
  </w:style>
  <w:style w:type="character" w:customStyle="1" w:styleId="1799">
    <w:name w:val="正文2 Char Char Char Char"/>
    <w:qFormat/>
    <w:uiPriority w:val="0"/>
    <w:rPr>
      <w:rFonts w:eastAsia="仿宋_GB2312"/>
      <w:kern w:val="2"/>
      <w:sz w:val="24"/>
      <w:szCs w:val="24"/>
      <w:lang w:val="en-US" w:eastAsia="zh-CN" w:bidi="ar-SA"/>
    </w:rPr>
  </w:style>
  <w:style w:type="character" w:customStyle="1" w:styleId="1800">
    <w:name w:val="Char Char117"/>
    <w:qFormat/>
    <w:uiPriority w:val="0"/>
    <w:rPr>
      <w:rFonts w:ascii="黑体" w:hAnsi="Arial" w:eastAsia="黑体"/>
      <w:bCs/>
      <w:kern w:val="2"/>
      <w:sz w:val="30"/>
      <w:szCs w:val="30"/>
      <w:lang w:val="en-US" w:eastAsia="zh-CN" w:bidi="ar-SA"/>
    </w:rPr>
  </w:style>
  <w:style w:type="character" w:customStyle="1" w:styleId="1801">
    <w:name w:val="表题1 Char44"/>
    <w:qFormat/>
    <w:uiPriority w:val="0"/>
    <w:rPr>
      <w:rFonts w:ascii="黑体" w:hAnsi="Arial" w:eastAsia="黑体" w:cs="Arial"/>
      <w:b/>
      <w:kern w:val="2"/>
      <w:sz w:val="24"/>
      <w:szCs w:val="24"/>
      <w:lang w:val="en-US" w:eastAsia="zh-CN" w:bidi="ar-SA"/>
    </w:rPr>
  </w:style>
  <w:style w:type="character" w:customStyle="1" w:styleId="1802">
    <w:name w:val="纯文本 Char3"/>
    <w:qFormat/>
    <w:uiPriority w:val="0"/>
    <w:rPr>
      <w:rFonts w:ascii="宋体" w:hAnsi="Courier New" w:eastAsia="宋体" w:cs="Courier New"/>
      <w:kern w:val="2"/>
      <w:sz w:val="24"/>
      <w:szCs w:val="21"/>
      <w:lang w:val="en-US" w:eastAsia="zh-CN" w:bidi="ar-SA"/>
    </w:rPr>
  </w:style>
  <w:style w:type="character" w:customStyle="1" w:styleId="1803">
    <w:name w:val="表中文字 Char1"/>
    <w:qFormat/>
    <w:uiPriority w:val="0"/>
    <w:rPr>
      <w:rFonts w:ascii="Arial" w:hAnsi="Arial" w:eastAsia="宋体"/>
      <w:kern w:val="2"/>
      <w:sz w:val="24"/>
      <w:szCs w:val="24"/>
      <w:lang w:val="en-US" w:eastAsia="zh-TW" w:bidi="ar-SA"/>
    </w:rPr>
  </w:style>
  <w:style w:type="character" w:customStyle="1" w:styleId="1804">
    <w:name w:val="正文修改 Char131"/>
    <w:qFormat/>
    <w:uiPriority w:val="0"/>
    <w:rPr>
      <w:rFonts w:ascii="宋体" w:hAnsi="宋体" w:eastAsia="宋体" w:cs="宋体"/>
      <w:color w:val="000000"/>
      <w:kern w:val="2"/>
      <w:sz w:val="24"/>
      <w:szCs w:val="24"/>
      <w:lang w:val="en-US" w:eastAsia="zh-CN" w:bidi="ar-SA"/>
    </w:rPr>
  </w:style>
  <w:style w:type="character" w:customStyle="1" w:styleId="1805">
    <w:name w:val="样式 标题 3 + 黑色 Char Char Char Char Char Char Char Char Char Char Char"/>
    <w:qFormat/>
    <w:uiPriority w:val="0"/>
    <w:rPr>
      <w:rFonts w:ascii="宋体" w:hAnsi="宋体" w:eastAsia="宋体"/>
      <w:b/>
      <w:bCs/>
      <w:kern w:val="2"/>
      <w:sz w:val="28"/>
      <w:szCs w:val="28"/>
      <w:lang w:val="en-US" w:eastAsia="zh-CN" w:bidi="ar-SA"/>
    </w:rPr>
  </w:style>
  <w:style w:type="character" w:customStyle="1" w:styleId="1806">
    <w:name w:val="表格内字体 Char21"/>
    <w:qFormat/>
    <w:uiPriority w:val="0"/>
    <w:rPr>
      <w:rFonts w:ascii="宋体" w:hAnsi="宋体" w:eastAsia="宋体"/>
      <w:kern w:val="2"/>
      <w:sz w:val="21"/>
      <w:szCs w:val="24"/>
      <w:lang w:val="en-US" w:eastAsia="zh-CN" w:bidi="ar-SA"/>
    </w:rPr>
  </w:style>
  <w:style w:type="character" w:customStyle="1" w:styleId="1807">
    <w:name w:val="图题注 Char11"/>
    <w:qFormat/>
    <w:uiPriority w:val="0"/>
    <w:rPr>
      <w:rFonts w:ascii="黑体" w:hAnsi="Arial" w:eastAsia="黑体" w:cs="宋体"/>
      <w:b/>
      <w:bCs/>
      <w:kern w:val="2"/>
      <w:sz w:val="24"/>
      <w:szCs w:val="24"/>
      <w:lang w:val="en-US" w:eastAsia="zh-CN" w:bidi="ar-SA"/>
    </w:rPr>
  </w:style>
  <w:style w:type="character" w:customStyle="1" w:styleId="1808">
    <w:name w:val="Char Char54"/>
    <w:qFormat/>
    <w:uiPriority w:val="0"/>
    <w:rPr>
      <w:rFonts w:ascii="黑体" w:hAnsi="宋体" w:eastAsia="黑体"/>
      <w:bCs/>
      <w:kern w:val="2"/>
      <w:sz w:val="28"/>
      <w:szCs w:val="28"/>
      <w:lang w:val="en-US" w:eastAsia="zh-CN" w:bidi="ar-SA"/>
    </w:rPr>
  </w:style>
  <w:style w:type="character" w:customStyle="1" w:styleId="1809">
    <w:name w:val="Char Char45"/>
    <w:qFormat/>
    <w:uiPriority w:val="0"/>
    <w:rPr>
      <w:rFonts w:ascii="黑体" w:hAnsi="Arial" w:eastAsia="黑体"/>
      <w:b/>
      <w:bCs/>
      <w:kern w:val="2"/>
      <w:sz w:val="30"/>
      <w:szCs w:val="30"/>
      <w:lang w:val="en-US" w:eastAsia="zh-CN" w:bidi="ar-SA"/>
    </w:rPr>
  </w:style>
  <w:style w:type="character" w:customStyle="1" w:styleId="1810">
    <w:name w:val="新正文 Char Char Char1"/>
    <w:qFormat/>
    <w:uiPriority w:val="0"/>
    <w:rPr>
      <w:rFonts w:ascii="仿宋_GB2312" w:eastAsia="仿宋_GB2312"/>
      <w:bCs/>
      <w:kern w:val="2"/>
      <w:sz w:val="28"/>
      <w:szCs w:val="24"/>
      <w:lang w:val="en-US" w:eastAsia="zh-CN" w:bidi="ar-SA"/>
    </w:rPr>
  </w:style>
  <w:style w:type="character" w:customStyle="1" w:styleId="1811">
    <w:name w:val="样式 标题 2节 + 宋体 左 Char Char1"/>
    <w:qFormat/>
    <w:uiPriority w:val="0"/>
    <w:rPr>
      <w:rFonts w:ascii="宋体" w:hAnsi="宋体" w:eastAsia="宋体" w:cs="宋体"/>
      <w:b/>
      <w:bCs/>
      <w:kern w:val="2"/>
      <w:sz w:val="28"/>
      <w:szCs w:val="24"/>
      <w:lang w:val="en-US" w:eastAsia="zh-CN" w:bidi="ar-SA"/>
    </w:rPr>
  </w:style>
  <w:style w:type="character" w:customStyle="1" w:styleId="1812">
    <w:name w:val="报告 Char Char"/>
    <w:link w:val="237"/>
    <w:qFormat/>
    <w:uiPriority w:val="0"/>
    <w:rPr>
      <w:rFonts w:ascii="TimesNewRoman" w:hAnsi="TimesNewRoman"/>
      <w:sz w:val="24"/>
    </w:rPr>
  </w:style>
  <w:style w:type="character" w:customStyle="1" w:styleId="1813">
    <w:name w:val="标题 4 Char3"/>
    <w:qFormat/>
    <w:uiPriority w:val="0"/>
    <w:rPr>
      <w:rFonts w:ascii="Arial" w:hAnsi="Arial" w:eastAsia="黑体"/>
      <w:b/>
      <w:bCs/>
      <w:kern w:val="2"/>
      <w:sz w:val="28"/>
      <w:szCs w:val="28"/>
      <w:lang w:val="en-US" w:eastAsia="zh-CN" w:bidi="ar-SA"/>
    </w:rPr>
  </w:style>
  <w:style w:type="character" w:customStyle="1" w:styleId="1814">
    <w:name w:val="标题 3 Char Char111"/>
    <w:qFormat/>
    <w:uiPriority w:val="0"/>
    <w:rPr>
      <w:rFonts w:ascii="黑体" w:hAnsi="宋体" w:eastAsia="黑体"/>
      <w:bCs/>
      <w:kern w:val="2"/>
      <w:sz w:val="28"/>
      <w:szCs w:val="28"/>
      <w:lang w:val="en-US" w:eastAsia="zh-CN" w:bidi="ar-SA"/>
    </w:rPr>
  </w:style>
  <w:style w:type="character" w:customStyle="1" w:styleId="1815">
    <w:name w:val="Char Char67"/>
    <w:qFormat/>
    <w:uiPriority w:val="0"/>
    <w:rPr>
      <w:rFonts w:eastAsia="宋体"/>
      <w:b/>
      <w:bCs/>
      <w:kern w:val="2"/>
      <w:sz w:val="28"/>
      <w:szCs w:val="28"/>
      <w:lang w:val="en-US" w:eastAsia="zh-CN" w:bidi="ar-SA"/>
    </w:rPr>
  </w:style>
  <w:style w:type="character" w:customStyle="1" w:styleId="1816">
    <w:name w:val="样式 报告表格 + 小四 Char Char"/>
    <w:link w:val="1817"/>
    <w:qFormat/>
    <w:uiPriority w:val="0"/>
    <w:rPr>
      <w:szCs w:val="21"/>
    </w:rPr>
  </w:style>
  <w:style w:type="paragraph" w:customStyle="1" w:styleId="1817">
    <w:name w:val="样式 报告表格 + 小四"/>
    <w:basedOn w:val="192"/>
    <w:link w:val="1816"/>
    <w:qFormat/>
    <w:uiPriority w:val="0"/>
    <w:pPr>
      <w:spacing w:line="400" w:lineRule="exact"/>
    </w:pPr>
    <w:rPr>
      <w:rFonts w:ascii="Times New Roman" w:hAnsi="Times New Roman"/>
      <w:sz w:val="20"/>
    </w:rPr>
  </w:style>
  <w:style w:type="character" w:customStyle="1" w:styleId="1818">
    <w:name w:val="表格 Char Char Char2"/>
    <w:qFormat/>
    <w:uiPriority w:val="0"/>
    <w:rPr>
      <w:rFonts w:ascii="Arial" w:hAnsi="Arial" w:eastAsia="华文细黑"/>
      <w:kern w:val="2"/>
      <w:sz w:val="21"/>
      <w:szCs w:val="30"/>
      <w:lang w:val="en-US" w:eastAsia="zh-CN" w:bidi="ar-SA"/>
    </w:rPr>
  </w:style>
  <w:style w:type="character" w:customStyle="1" w:styleId="1819">
    <w:name w:val="Char Char2111"/>
    <w:qFormat/>
    <w:uiPriority w:val="0"/>
    <w:rPr>
      <w:rFonts w:ascii="黑体" w:eastAsia="宋体"/>
      <w:kern w:val="2"/>
      <w:sz w:val="16"/>
      <w:szCs w:val="16"/>
      <w:lang w:val="en-US" w:eastAsia="zh-CN" w:bidi="ar-SA"/>
    </w:rPr>
  </w:style>
  <w:style w:type="character" w:customStyle="1" w:styleId="1820">
    <w:name w:val="表中文字 Char5"/>
    <w:qFormat/>
    <w:uiPriority w:val="0"/>
    <w:rPr>
      <w:rFonts w:ascii="Arial" w:hAnsi="Arial" w:eastAsia="宋体"/>
      <w:kern w:val="2"/>
      <w:sz w:val="24"/>
      <w:szCs w:val="24"/>
      <w:lang w:val="en-US" w:eastAsia="zh-TW" w:bidi="ar-SA"/>
    </w:rPr>
  </w:style>
  <w:style w:type="character" w:customStyle="1" w:styleId="1821">
    <w:name w:val="福建正文缩进 Char1"/>
    <w:qFormat/>
    <w:uiPriority w:val="0"/>
    <w:rPr>
      <w:rFonts w:ascii="宋体" w:eastAsia="宋体"/>
      <w:kern w:val="2"/>
      <w:sz w:val="24"/>
      <w:szCs w:val="24"/>
      <w:lang w:val="en-US" w:eastAsia="zh-CN" w:bidi="ar-SA"/>
    </w:rPr>
  </w:style>
  <w:style w:type="character" w:customStyle="1" w:styleId="1822">
    <w:name w:val="表格内字体 Char6"/>
    <w:qFormat/>
    <w:uiPriority w:val="0"/>
    <w:rPr>
      <w:rFonts w:ascii="宋体" w:hAnsi="宋体" w:eastAsia="宋体" w:cs="Times New Roman"/>
      <w:kern w:val="2"/>
      <w:sz w:val="24"/>
      <w:szCs w:val="24"/>
      <w:lang w:val="en-US" w:eastAsia="zh-CN" w:bidi="ar-SA"/>
    </w:rPr>
  </w:style>
  <w:style w:type="character" w:customStyle="1" w:styleId="1823">
    <w:name w:val="正文首行缩进 2 Char1"/>
    <w:qFormat/>
    <w:uiPriority w:val="0"/>
    <w:rPr>
      <w:rFonts w:eastAsia="宋体"/>
      <w:kern w:val="2"/>
      <w:sz w:val="21"/>
      <w:szCs w:val="18"/>
      <w:lang w:val="en-US" w:eastAsia="zh-CN" w:bidi="ar-SA"/>
    </w:rPr>
  </w:style>
  <w:style w:type="character" w:customStyle="1" w:styleId="1824">
    <w:name w:val="样式 标题 3 + 黑色 Char Char Char Char Char"/>
    <w:qFormat/>
    <w:uiPriority w:val="0"/>
    <w:rPr>
      <w:rFonts w:eastAsia="宋体"/>
      <w:b/>
      <w:bCs/>
      <w:color w:val="000000"/>
      <w:kern w:val="2"/>
      <w:sz w:val="28"/>
      <w:szCs w:val="32"/>
      <w:lang w:val="en-US" w:eastAsia="zh-CN" w:bidi="ar-SA"/>
    </w:rPr>
  </w:style>
  <w:style w:type="character" w:customStyle="1" w:styleId="1825">
    <w:name w:val="hhcwt表头 Char Char"/>
    <w:link w:val="1826"/>
    <w:qFormat/>
    <w:uiPriority w:val="0"/>
    <w:rPr>
      <w:rFonts w:ascii="楷体_GB2312" w:eastAsia="楷体_GB2312"/>
      <w:b/>
      <w:bCs/>
      <w:sz w:val="24"/>
    </w:rPr>
  </w:style>
  <w:style w:type="paragraph" w:customStyle="1" w:styleId="1826">
    <w:name w:val="hhcwt表头"/>
    <w:basedOn w:val="1"/>
    <w:link w:val="1825"/>
    <w:qFormat/>
    <w:uiPriority w:val="0"/>
    <w:pPr>
      <w:spacing w:after="120" w:line="500" w:lineRule="exact"/>
      <w:jc w:val="center"/>
    </w:pPr>
    <w:rPr>
      <w:rFonts w:ascii="楷体_GB2312" w:eastAsia="楷体_GB2312"/>
      <w:b/>
      <w:bCs/>
      <w:kern w:val="0"/>
      <w:sz w:val="24"/>
      <w:szCs w:val="20"/>
    </w:rPr>
  </w:style>
  <w:style w:type="character" w:customStyle="1" w:styleId="1827">
    <w:name w:val="Char Char124"/>
    <w:qFormat/>
    <w:uiPriority w:val="0"/>
    <w:rPr>
      <w:rFonts w:ascii="黑体" w:hAnsi="Arial" w:eastAsia="黑体"/>
      <w:b/>
      <w:bCs/>
      <w:kern w:val="2"/>
      <w:sz w:val="30"/>
      <w:szCs w:val="30"/>
      <w:lang w:val="en-US" w:eastAsia="zh-CN" w:bidi="ar-SA"/>
    </w:rPr>
  </w:style>
  <w:style w:type="character" w:customStyle="1" w:styleId="1828">
    <w:name w:val="black1"/>
    <w:qFormat/>
    <w:uiPriority w:val="0"/>
    <w:rPr>
      <w:rFonts w:eastAsia="宋体"/>
      <w:color w:val="000000"/>
      <w:kern w:val="2"/>
      <w:sz w:val="18"/>
      <w:szCs w:val="18"/>
      <w:u w:val="none"/>
      <w:lang w:val="en-US" w:eastAsia="zh-CN" w:bidi="ar-SA"/>
    </w:rPr>
  </w:style>
  <w:style w:type="character" w:customStyle="1" w:styleId="1829">
    <w:name w:val="页脚 Char4"/>
    <w:qFormat/>
    <w:uiPriority w:val="0"/>
    <w:rPr>
      <w:rFonts w:ascii="Times New Roman" w:hAnsi="Times New Roman" w:eastAsia="宋体" w:cs="Times New Roman"/>
      <w:kern w:val="2"/>
      <w:sz w:val="18"/>
      <w:szCs w:val="18"/>
      <w:lang w:val="en-US" w:eastAsia="zh-CN" w:bidi="ar-SA"/>
    </w:rPr>
  </w:style>
  <w:style w:type="character" w:customStyle="1" w:styleId="1830">
    <w:name w:val="样式 正文文本 + (中文) 黑体 红色 Char Char Char Char Char Char Char Char"/>
    <w:qFormat/>
    <w:uiPriority w:val="0"/>
    <w:rPr>
      <w:rFonts w:eastAsia="黑体"/>
      <w:snapToGrid/>
      <w:color w:val="FF0000"/>
      <w:sz w:val="24"/>
      <w:szCs w:val="24"/>
      <w:lang w:val="en-US" w:eastAsia="zh-CN" w:bidi="ar-SA"/>
    </w:rPr>
  </w:style>
  <w:style w:type="character" w:customStyle="1" w:styleId="1831">
    <w:name w:val="谏壁正文chen Char Char Char Char Char"/>
    <w:qFormat/>
    <w:uiPriority w:val="0"/>
    <w:rPr>
      <w:rFonts w:eastAsia="宋体"/>
      <w:kern w:val="2"/>
      <w:sz w:val="24"/>
      <w:szCs w:val="24"/>
      <w:lang w:val="en-US" w:eastAsia="zh-CN" w:bidi="ar-SA"/>
    </w:rPr>
  </w:style>
  <w:style w:type="character" w:customStyle="1" w:styleId="1832">
    <w:name w:val="表格 Char Char Char Char Char"/>
    <w:qFormat/>
    <w:uiPriority w:val="0"/>
    <w:rPr>
      <w:sz w:val="28"/>
    </w:rPr>
  </w:style>
  <w:style w:type="character" w:customStyle="1" w:styleId="1833">
    <w:name w:val="Char Char1120"/>
    <w:qFormat/>
    <w:uiPriority w:val="0"/>
    <w:rPr>
      <w:rFonts w:ascii="黑体" w:hAnsi="Arial" w:eastAsia="黑体"/>
      <w:bCs/>
      <w:kern w:val="2"/>
      <w:sz w:val="30"/>
      <w:szCs w:val="30"/>
      <w:lang w:val="en-US" w:eastAsia="zh-CN" w:bidi="ar-SA"/>
    </w:rPr>
  </w:style>
  <w:style w:type="character" w:customStyle="1" w:styleId="1834">
    <w:name w:val="批注框文本 Char51"/>
    <w:qFormat/>
    <w:uiPriority w:val="0"/>
    <w:rPr>
      <w:rFonts w:eastAsia="宋体"/>
      <w:kern w:val="2"/>
      <w:sz w:val="18"/>
      <w:szCs w:val="18"/>
      <w:lang w:val="en-US" w:eastAsia="zh-CN" w:bidi="ar-SA"/>
    </w:rPr>
  </w:style>
  <w:style w:type="character" w:customStyle="1" w:styleId="1835">
    <w:name w:val="样式 表格内字体 + Char11"/>
    <w:qFormat/>
    <w:uiPriority w:val="0"/>
    <w:rPr>
      <w:rFonts w:ascii="宋体" w:hAnsi="宋体" w:eastAsia="宋体"/>
      <w:kern w:val="2"/>
      <w:sz w:val="21"/>
      <w:szCs w:val="24"/>
      <w:lang w:val="en-US" w:eastAsia="zh-CN" w:bidi="ar-SA"/>
    </w:rPr>
  </w:style>
  <w:style w:type="character" w:customStyle="1" w:styleId="1836">
    <w:name w:val="正文格式 Char10"/>
    <w:qFormat/>
    <w:uiPriority w:val="0"/>
    <w:rPr>
      <w:rFonts w:ascii="宋体" w:hAnsi="宋体" w:eastAsia="宋体"/>
      <w:kern w:val="2"/>
      <w:sz w:val="24"/>
      <w:szCs w:val="24"/>
      <w:lang w:val="en-US" w:eastAsia="zh-CN" w:bidi="ar-SA"/>
    </w:rPr>
  </w:style>
  <w:style w:type="character" w:customStyle="1" w:styleId="1837">
    <w:name w:val="Char Char Char1 Char Char Char Char Char Char Char Char Char Char Char Char Char Char Char Char Char2"/>
    <w:qFormat/>
    <w:uiPriority w:val="0"/>
    <w:rPr>
      <w:rFonts w:eastAsia="宋体"/>
      <w:kern w:val="2"/>
      <w:sz w:val="28"/>
      <w:szCs w:val="28"/>
      <w:lang w:val="en-US" w:eastAsia="zh-CN" w:bidi="ar-SA"/>
    </w:rPr>
  </w:style>
  <w:style w:type="character" w:customStyle="1" w:styleId="1838">
    <w:name w:val="标题 2 Char Char2"/>
    <w:qFormat/>
    <w:uiPriority w:val="0"/>
    <w:rPr>
      <w:rFonts w:ascii="仿宋_GB2312" w:hAnsi="Arial" w:eastAsia="仿宋_GB2312"/>
      <w:b/>
      <w:bCs/>
      <w:kern w:val="2"/>
      <w:sz w:val="28"/>
      <w:szCs w:val="32"/>
      <w:lang w:val="en-US" w:eastAsia="zh-CN" w:bidi="ar-SA"/>
    </w:rPr>
  </w:style>
  <w:style w:type="character" w:customStyle="1" w:styleId="1839">
    <w:name w:val="我的样式（正文） Char Char"/>
    <w:qFormat/>
    <w:uiPriority w:val="0"/>
    <w:rPr>
      <w:rFonts w:ascii="宋体" w:hAnsi="华文楷体" w:eastAsia="宋体" w:cs="宋体"/>
      <w:kern w:val="2"/>
      <w:sz w:val="24"/>
      <w:szCs w:val="24"/>
      <w:lang w:val="en-US" w:eastAsia="zh-CN" w:bidi="ar-SA"/>
    </w:rPr>
  </w:style>
  <w:style w:type="character" w:customStyle="1" w:styleId="1840">
    <w:name w:val="样式 标题 3 + 左侧:  0 厘米 首行缩进:  0 厘米 Char Char Char2"/>
    <w:qFormat/>
    <w:uiPriority w:val="0"/>
    <w:rPr>
      <w:rFonts w:eastAsia="宋体"/>
      <w:b/>
      <w:bCs/>
      <w:kern w:val="32"/>
      <w:sz w:val="32"/>
      <w:szCs w:val="32"/>
      <w:lang w:val="en-US" w:eastAsia="zh-CN" w:bidi="ar-SA"/>
    </w:rPr>
  </w:style>
  <w:style w:type="character" w:customStyle="1" w:styleId="1841">
    <w:name w:val="图表题 Char12"/>
    <w:qFormat/>
    <w:uiPriority w:val="0"/>
    <w:rPr>
      <w:rFonts w:ascii="黑体" w:hAnsi="宋体" w:eastAsia="黑体" w:cs="宋体"/>
      <w:b/>
      <w:bCs/>
      <w:kern w:val="2"/>
      <w:sz w:val="24"/>
      <w:szCs w:val="24"/>
      <w:lang w:val="en-US" w:eastAsia="zh-CN" w:bidi="ar-SA"/>
    </w:rPr>
  </w:style>
  <w:style w:type="character" w:customStyle="1" w:styleId="1842">
    <w:name w:val="批注框文本 Char1"/>
    <w:qFormat/>
    <w:uiPriority w:val="0"/>
    <w:rPr>
      <w:rFonts w:eastAsia="宋体"/>
      <w:kern w:val="2"/>
      <w:sz w:val="18"/>
      <w:szCs w:val="18"/>
      <w:lang w:val="en-US" w:eastAsia="zh-CN" w:bidi="ar-SA"/>
    </w:rPr>
  </w:style>
  <w:style w:type="character" w:customStyle="1" w:styleId="1843">
    <w:name w:val="标题2 Char11"/>
    <w:qFormat/>
    <w:uiPriority w:val="0"/>
    <w:rPr>
      <w:rFonts w:ascii="宋体" w:hAnsi="宋体" w:eastAsia="宋体" w:cs="宋体"/>
      <w:color w:val="000000"/>
      <w:kern w:val="2"/>
      <w:sz w:val="24"/>
      <w:szCs w:val="24"/>
      <w:lang w:val="en-US" w:eastAsia="zh-CN" w:bidi="ar-SA"/>
    </w:rPr>
  </w:style>
  <w:style w:type="character" w:customStyle="1" w:styleId="1844">
    <w:name w:val="标准正文 Char Char Char Char"/>
    <w:link w:val="1845"/>
    <w:qFormat/>
    <w:uiPriority w:val="0"/>
    <w:rPr>
      <w:sz w:val="28"/>
      <w:szCs w:val="28"/>
    </w:rPr>
  </w:style>
  <w:style w:type="paragraph" w:customStyle="1" w:styleId="1845">
    <w:name w:val="标准正文 Char Char"/>
    <w:basedOn w:val="1"/>
    <w:link w:val="1844"/>
    <w:qFormat/>
    <w:uiPriority w:val="0"/>
    <w:pPr>
      <w:spacing w:line="360" w:lineRule="auto"/>
      <w:ind w:firstLine="200" w:firstLineChars="200"/>
      <w:jc w:val="left"/>
    </w:pPr>
    <w:rPr>
      <w:kern w:val="0"/>
      <w:sz w:val="28"/>
      <w:szCs w:val="28"/>
    </w:rPr>
  </w:style>
  <w:style w:type="character" w:customStyle="1" w:styleId="1846">
    <w:name w:val="Char Char310"/>
    <w:qFormat/>
    <w:uiPriority w:val="0"/>
    <w:rPr>
      <w:rFonts w:ascii="黑体" w:hAnsi="宋体" w:eastAsia="黑体"/>
      <w:b/>
      <w:bCs/>
      <w:kern w:val="2"/>
      <w:sz w:val="28"/>
      <w:szCs w:val="28"/>
      <w:lang w:val="en-US" w:eastAsia="zh-CN" w:bidi="ar-SA"/>
    </w:rPr>
  </w:style>
  <w:style w:type="character" w:customStyle="1" w:styleId="1847">
    <w:name w:val="正文修改 Char123"/>
    <w:qFormat/>
    <w:uiPriority w:val="0"/>
    <w:rPr>
      <w:rFonts w:ascii="宋体" w:hAnsi="宋体" w:eastAsia="宋体" w:cs="宋体"/>
      <w:color w:val="000000"/>
      <w:kern w:val="2"/>
      <w:sz w:val="24"/>
      <w:szCs w:val="24"/>
      <w:lang w:val="en-US" w:eastAsia="zh-CN" w:bidi="ar-SA"/>
    </w:rPr>
  </w:style>
  <w:style w:type="character" w:customStyle="1" w:styleId="1848">
    <w:name w:val="燕山正文 Char131"/>
    <w:qFormat/>
    <w:uiPriority w:val="0"/>
    <w:rPr>
      <w:rFonts w:ascii="宋体" w:eastAsia="宋体" w:cs="宋体"/>
      <w:kern w:val="2"/>
      <w:sz w:val="24"/>
      <w:szCs w:val="24"/>
      <w:lang w:val="en-US" w:eastAsia="zh-CN" w:bidi="ar-SA"/>
    </w:rPr>
  </w:style>
  <w:style w:type="character" w:customStyle="1" w:styleId="1849">
    <w:name w:val="样式 表格内字体 + Char12"/>
    <w:qFormat/>
    <w:uiPriority w:val="0"/>
    <w:rPr>
      <w:rFonts w:ascii="宋体" w:hAnsi="宋体" w:eastAsia="宋体" w:cs="Times New Roman"/>
      <w:kern w:val="2"/>
      <w:sz w:val="21"/>
      <w:szCs w:val="24"/>
      <w:lang w:val="en-US" w:eastAsia="zh-CN" w:bidi="ar-SA"/>
    </w:rPr>
  </w:style>
  <w:style w:type="character" w:customStyle="1" w:styleId="1850">
    <w:name w:val="表格题注 Char"/>
    <w:qFormat/>
    <w:uiPriority w:val="0"/>
    <w:rPr>
      <w:rFonts w:ascii="宋体" w:hAnsi="宋体" w:eastAsia="宋体" w:cs="宋体"/>
      <w:snapToGrid/>
      <w:kern w:val="24"/>
      <w:sz w:val="24"/>
      <w:szCs w:val="24"/>
      <w:lang w:val="en-US" w:eastAsia="zh-CN" w:bidi="ar-SA"/>
    </w:rPr>
  </w:style>
  <w:style w:type="character" w:customStyle="1" w:styleId="1851">
    <w:name w:val="燕山正文 Char17"/>
    <w:qFormat/>
    <w:uiPriority w:val="0"/>
    <w:rPr>
      <w:rFonts w:ascii="宋体" w:hAnsi="Times New Roman" w:eastAsia="宋体" w:cs="宋体"/>
      <w:kern w:val="2"/>
      <w:sz w:val="24"/>
      <w:szCs w:val="24"/>
      <w:lang w:val="en-US" w:eastAsia="zh-CN" w:bidi="ar-SA"/>
    </w:rPr>
  </w:style>
  <w:style w:type="character" w:customStyle="1" w:styleId="1852">
    <w:name w:val="标题 3 Char101"/>
    <w:qFormat/>
    <w:uiPriority w:val="0"/>
    <w:rPr>
      <w:rFonts w:ascii="黑体" w:hAnsi="宋体" w:eastAsia="黑体"/>
      <w:b/>
      <w:bCs/>
      <w:kern w:val="2"/>
      <w:sz w:val="28"/>
      <w:szCs w:val="28"/>
      <w:lang w:val="en-US" w:eastAsia="zh-CN" w:bidi="ar-SA"/>
    </w:rPr>
  </w:style>
  <w:style w:type="character" w:customStyle="1" w:styleId="1853">
    <w:name w:val="图表题 Char4"/>
    <w:qFormat/>
    <w:uiPriority w:val="0"/>
    <w:rPr>
      <w:rFonts w:ascii="黑体" w:hAnsi="宋体" w:eastAsia="黑体" w:cs="宋体"/>
      <w:b/>
      <w:bCs/>
      <w:kern w:val="2"/>
      <w:sz w:val="24"/>
      <w:szCs w:val="24"/>
      <w:lang w:val="en-US" w:eastAsia="zh-CN" w:bidi="ar-SA"/>
    </w:rPr>
  </w:style>
  <w:style w:type="character" w:customStyle="1" w:styleId="1854">
    <w:name w:val="Char Char515"/>
    <w:qFormat/>
    <w:uiPriority w:val="0"/>
    <w:rPr>
      <w:rFonts w:ascii="黑体" w:hAnsi="宋体" w:eastAsia="黑体"/>
      <w:bCs/>
      <w:kern w:val="2"/>
      <w:sz w:val="28"/>
      <w:szCs w:val="28"/>
      <w:lang w:val="en-US" w:eastAsia="zh-CN" w:bidi="ar-SA"/>
    </w:rPr>
  </w:style>
  <w:style w:type="character" w:customStyle="1" w:styleId="1855">
    <w:name w:val="正文格式 Char1"/>
    <w:qFormat/>
    <w:uiPriority w:val="0"/>
    <w:rPr>
      <w:rFonts w:ascii="宋体" w:hAnsi="宋体" w:eastAsia="宋体"/>
      <w:kern w:val="2"/>
      <w:sz w:val="24"/>
      <w:szCs w:val="24"/>
      <w:lang w:val="en-US" w:eastAsia="zh-CN" w:bidi="ar-SA"/>
    </w:rPr>
  </w:style>
  <w:style w:type="character" w:customStyle="1" w:styleId="1856">
    <w:name w:val="样式 报告 + Times New Roman Char Char Char Char Char Char Char Char"/>
    <w:qFormat/>
    <w:uiPriority w:val="0"/>
    <w:rPr>
      <w:rFonts w:eastAsia="宋体"/>
      <w:sz w:val="28"/>
      <w:szCs w:val="28"/>
      <w:lang w:val="en-US" w:eastAsia="zh-CN" w:bidi="ar-SA"/>
    </w:rPr>
  </w:style>
  <w:style w:type="character" w:customStyle="1" w:styleId="1857">
    <w:name w:val="work4"/>
    <w:qFormat/>
    <w:uiPriority w:val="0"/>
    <w:rPr>
      <w:sz w:val="18"/>
      <w:szCs w:val="18"/>
      <w:u w:val="none"/>
    </w:rPr>
  </w:style>
  <w:style w:type="character" w:customStyle="1" w:styleId="1858">
    <w:name w:val="样式 报告正文 + 首行缩进:  2 字符 Char Char"/>
    <w:link w:val="1859"/>
    <w:qFormat/>
    <w:uiPriority w:val="0"/>
    <w:rPr>
      <w:sz w:val="24"/>
    </w:rPr>
  </w:style>
  <w:style w:type="paragraph" w:customStyle="1" w:styleId="1859">
    <w:name w:val="样式 报告正文 + 首行缩进:  2 字符"/>
    <w:basedOn w:val="1"/>
    <w:link w:val="1858"/>
    <w:qFormat/>
    <w:uiPriority w:val="0"/>
    <w:pPr>
      <w:autoSpaceDE w:val="0"/>
      <w:autoSpaceDN w:val="0"/>
      <w:spacing w:line="360" w:lineRule="auto"/>
      <w:ind w:firstLine="200" w:firstLineChars="200"/>
    </w:pPr>
    <w:rPr>
      <w:kern w:val="0"/>
      <w:sz w:val="24"/>
      <w:szCs w:val="20"/>
    </w:rPr>
  </w:style>
  <w:style w:type="character" w:customStyle="1" w:styleId="1860">
    <w:name w:val="表格正文 Char Char"/>
    <w:qFormat/>
    <w:uiPriority w:val="0"/>
    <w:rPr>
      <w:rFonts w:eastAsia="宋体"/>
      <w:kern w:val="2"/>
      <w:sz w:val="24"/>
      <w:lang w:val="en-US" w:eastAsia="zh-CN"/>
    </w:rPr>
  </w:style>
  <w:style w:type="character" w:customStyle="1" w:styleId="1861">
    <w:name w:val="正文缩进 Char131"/>
    <w:qFormat/>
    <w:uiPriority w:val="0"/>
    <w:rPr>
      <w:rFonts w:ascii="宋体" w:hAnsi="宋体" w:eastAsia="宋体" w:cs="宋体"/>
      <w:color w:val="000000"/>
      <w:kern w:val="2"/>
      <w:sz w:val="24"/>
      <w:szCs w:val="24"/>
      <w:lang w:val="en-US" w:eastAsia="zh-CN" w:bidi="ar-SA"/>
    </w:rPr>
  </w:style>
  <w:style w:type="character" w:customStyle="1" w:styleId="1862">
    <w:name w:val="表题1 Char71"/>
    <w:qFormat/>
    <w:uiPriority w:val="0"/>
    <w:rPr>
      <w:rFonts w:ascii="黑体" w:hAnsi="Arial" w:eastAsia="黑体" w:cs="Arial"/>
      <w:b/>
      <w:kern w:val="2"/>
      <w:sz w:val="24"/>
      <w:szCs w:val="24"/>
      <w:lang w:val="en-US" w:eastAsia="zh-CN" w:bidi="ar-SA"/>
    </w:rPr>
  </w:style>
  <w:style w:type="character" w:customStyle="1" w:styleId="1863">
    <w:name w:val="题注 Char313"/>
    <w:qFormat/>
    <w:uiPriority w:val="0"/>
    <w:rPr>
      <w:rFonts w:ascii="黑体" w:hAnsi="Arial" w:eastAsia="黑体" w:cs="Arial"/>
      <w:b/>
      <w:kern w:val="2"/>
      <w:sz w:val="24"/>
      <w:szCs w:val="24"/>
      <w:lang w:val="en-US" w:eastAsia="zh-CN" w:bidi="ar-SA"/>
    </w:rPr>
  </w:style>
  <w:style w:type="character" w:customStyle="1" w:styleId="1864">
    <w:name w:val="表格文字 Char Char Char"/>
    <w:qFormat/>
    <w:uiPriority w:val="0"/>
    <w:rPr>
      <w:rFonts w:ascii="仿宋_GB2312" w:hAnsi="Arial Black" w:eastAsia="仿宋_GB2312"/>
      <w:kern w:val="44"/>
      <w:sz w:val="24"/>
      <w:lang w:val="en-US" w:eastAsia="zh-CN" w:bidi="ar-SA"/>
    </w:rPr>
  </w:style>
  <w:style w:type="character" w:customStyle="1" w:styleId="1865">
    <w:name w:val="正文文字 Char Char Char Char Char"/>
    <w:qFormat/>
    <w:uiPriority w:val="0"/>
    <w:rPr>
      <w:rFonts w:eastAsia="仿宋_GB2312"/>
      <w:kern w:val="2"/>
      <w:sz w:val="28"/>
      <w:szCs w:val="24"/>
      <w:lang w:val="en-US" w:eastAsia="zh-CN" w:bidi="ar-SA"/>
    </w:rPr>
  </w:style>
  <w:style w:type="character" w:customStyle="1" w:styleId="1866">
    <w:name w:val="Char Char119"/>
    <w:qFormat/>
    <w:uiPriority w:val="0"/>
    <w:rPr>
      <w:rFonts w:ascii="黑体" w:hAnsi="Arial" w:eastAsia="黑体"/>
      <w:bCs/>
      <w:kern w:val="2"/>
      <w:sz w:val="30"/>
      <w:szCs w:val="30"/>
      <w:lang w:val="en-US" w:eastAsia="zh-CN" w:bidi="ar-SA"/>
    </w:rPr>
  </w:style>
  <w:style w:type="character" w:customStyle="1" w:styleId="1867">
    <w:name w:val="正文修改 Char1111"/>
    <w:qFormat/>
    <w:uiPriority w:val="0"/>
    <w:rPr>
      <w:rFonts w:ascii="宋体" w:hAnsi="宋体" w:eastAsia="宋体" w:cs="宋体"/>
      <w:color w:val="000000"/>
      <w:kern w:val="2"/>
      <w:sz w:val="24"/>
      <w:szCs w:val="24"/>
      <w:lang w:val="en-US" w:eastAsia="zh-CN" w:bidi="ar-SA"/>
    </w:rPr>
  </w:style>
  <w:style w:type="character" w:customStyle="1" w:styleId="1868">
    <w:name w:val="题注 Char52"/>
    <w:qFormat/>
    <w:uiPriority w:val="0"/>
    <w:rPr>
      <w:rFonts w:ascii="黑体" w:hAnsi="Arial" w:eastAsia="黑体" w:cs="Arial"/>
      <w:b/>
      <w:kern w:val="2"/>
      <w:sz w:val="24"/>
      <w:szCs w:val="24"/>
      <w:lang w:val="en-US" w:eastAsia="zh-CN" w:bidi="ar-SA"/>
    </w:rPr>
  </w:style>
  <w:style w:type="character" w:customStyle="1" w:styleId="1869">
    <w:name w:val="样式 表内小5 + 黑体 加粗 倾斜 下划线 Char1"/>
    <w:qFormat/>
    <w:uiPriority w:val="0"/>
    <w:rPr>
      <w:rFonts w:ascii="黑体" w:hAnsi="黑体" w:eastAsia="黑体"/>
      <w:b/>
      <w:bCs/>
      <w:i/>
      <w:iCs/>
      <w:kern w:val="2"/>
      <w:sz w:val="18"/>
      <w:szCs w:val="24"/>
      <w:u w:val="single"/>
      <w:lang w:val="en-US" w:eastAsia="zh-CN" w:bidi="ar-SA"/>
    </w:rPr>
  </w:style>
  <w:style w:type="character" w:customStyle="1" w:styleId="1870">
    <w:name w:val="三级标题 Char2"/>
    <w:qFormat/>
    <w:uiPriority w:val="0"/>
    <w:rPr>
      <w:rFonts w:ascii="黑体" w:hAnsi="宋体" w:eastAsia="黑体"/>
      <w:b/>
      <w:bCs/>
      <w:kern w:val="2"/>
      <w:sz w:val="28"/>
      <w:szCs w:val="28"/>
      <w:lang w:val="en-US" w:eastAsia="zh-CN" w:bidi="ar-SA"/>
    </w:rPr>
  </w:style>
  <w:style w:type="character" w:customStyle="1" w:styleId="1871">
    <w:name w:val="文本 Char Char"/>
    <w:link w:val="126"/>
    <w:qFormat/>
    <w:uiPriority w:val="0"/>
    <w:rPr>
      <w:rFonts w:ascii="宋体" w:hAnsi="宋体"/>
      <w:snapToGrid/>
      <w:kern w:val="21"/>
      <w:sz w:val="21"/>
      <w:szCs w:val="24"/>
    </w:rPr>
  </w:style>
  <w:style w:type="character" w:customStyle="1" w:styleId="1872">
    <w:name w:val="正文图 Char Char1"/>
    <w:qFormat/>
    <w:uiPriority w:val="0"/>
    <w:rPr>
      <w:rFonts w:ascii="宋体" w:eastAsia="宋体"/>
      <w:sz w:val="24"/>
      <w:lang w:val="en-US" w:eastAsia="zh-CN" w:bidi="ar-SA"/>
    </w:rPr>
  </w:style>
  <w:style w:type="character" w:customStyle="1" w:styleId="1873">
    <w:name w:val="Char Char125"/>
    <w:qFormat/>
    <w:uiPriority w:val="0"/>
    <w:rPr>
      <w:rFonts w:ascii="黑体" w:hAnsi="Arial" w:eastAsia="黑体"/>
      <w:b/>
      <w:bCs/>
      <w:kern w:val="2"/>
      <w:sz w:val="30"/>
      <w:szCs w:val="30"/>
      <w:lang w:val="en-US" w:eastAsia="zh-CN" w:bidi="ar-SA"/>
    </w:rPr>
  </w:style>
  <w:style w:type="character" w:customStyle="1" w:styleId="1874">
    <w:name w:val="表格内字体 Char Char"/>
    <w:link w:val="1875"/>
    <w:qFormat/>
    <w:uiPriority w:val="0"/>
    <w:rPr>
      <w:rFonts w:ascii="宋体" w:hAnsi="宋体"/>
      <w:szCs w:val="21"/>
    </w:rPr>
  </w:style>
  <w:style w:type="paragraph" w:customStyle="1" w:styleId="1875">
    <w:name w:val="表格内字体"/>
    <w:basedOn w:val="1"/>
    <w:next w:val="75"/>
    <w:link w:val="1874"/>
    <w:qFormat/>
    <w:uiPriority w:val="0"/>
    <w:pPr>
      <w:jc w:val="center"/>
    </w:pPr>
    <w:rPr>
      <w:rFonts w:ascii="宋体" w:hAnsi="宋体"/>
      <w:kern w:val="0"/>
      <w:sz w:val="20"/>
      <w:szCs w:val="21"/>
    </w:rPr>
  </w:style>
  <w:style w:type="character" w:customStyle="1" w:styleId="1876">
    <w:name w:val="河石1 Char22"/>
    <w:qFormat/>
    <w:uiPriority w:val="0"/>
    <w:rPr>
      <w:rFonts w:ascii="黑体" w:hAnsi="宋体" w:eastAsia="黑体" w:cs="Times New Roman"/>
      <w:bCs/>
      <w:kern w:val="44"/>
      <w:sz w:val="32"/>
      <w:szCs w:val="32"/>
      <w:lang w:val="en-US" w:eastAsia="zh-CN" w:bidi="ar-SA"/>
    </w:rPr>
  </w:style>
  <w:style w:type="character" w:customStyle="1" w:styleId="1877">
    <w:name w:val="题注 Char53"/>
    <w:qFormat/>
    <w:uiPriority w:val="0"/>
    <w:rPr>
      <w:rFonts w:ascii="黑体" w:hAnsi="Arial" w:eastAsia="黑体" w:cs="Arial"/>
      <w:b/>
      <w:kern w:val="2"/>
      <w:sz w:val="24"/>
      <w:szCs w:val="24"/>
      <w:lang w:val="en-US" w:eastAsia="zh-CN" w:bidi="ar-SA"/>
    </w:rPr>
  </w:style>
  <w:style w:type="character" w:customStyle="1" w:styleId="1878">
    <w:name w:val="A正文 Char2"/>
    <w:qFormat/>
    <w:uiPriority w:val="0"/>
    <w:rPr>
      <w:rFonts w:eastAsia="仿宋_GB2312"/>
      <w:kern w:val="2"/>
      <w:sz w:val="24"/>
      <w:szCs w:val="24"/>
      <w:lang w:val="en-US" w:eastAsia="zh-CN" w:bidi="ar-SA"/>
    </w:rPr>
  </w:style>
  <w:style w:type="character" w:customStyle="1" w:styleId="1879">
    <w:name w:val="样式 标题 3小标题小节标题标题3H3h33rd level第二层条标题4 + Arial Char Char2"/>
    <w:qFormat/>
    <w:uiPriority w:val="0"/>
    <w:rPr>
      <w:rFonts w:eastAsia="宋体"/>
      <w:b/>
      <w:bCs/>
      <w:kern w:val="32"/>
      <w:sz w:val="30"/>
      <w:szCs w:val="24"/>
      <w:lang w:val="en-US" w:eastAsia="zh-CN" w:bidi="ar-SA"/>
    </w:rPr>
  </w:style>
  <w:style w:type="character" w:customStyle="1" w:styleId="1880">
    <w:name w:val="Char3 Char Char1"/>
    <w:qFormat/>
    <w:uiPriority w:val="0"/>
    <w:rPr>
      <w:rFonts w:eastAsia="宋体"/>
      <w:kern w:val="2"/>
      <w:sz w:val="18"/>
      <w:lang w:val="en-US" w:eastAsia="zh-CN" w:bidi="ar-SA"/>
    </w:rPr>
  </w:style>
  <w:style w:type="character" w:customStyle="1" w:styleId="1881">
    <w:name w:val="p21"/>
    <w:qFormat/>
    <w:uiPriority w:val="0"/>
    <w:rPr>
      <w:rFonts w:hint="default"/>
      <w:color w:val="0000A0"/>
    </w:rPr>
  </w:style>
  <w:style w:type="character" w:customStyle="1" w:styleId="1882">
    <w:name w:val="正文正文正文 1.5 倍行距 Char Char"/>
    <w:link w:val="1883"/>
    <w:qFormat/>
    <w:uiPriority w:val="0"/>
    <w:rPr>
      <w:rFonts w:ascii="宋体" w:hAnsi="宋体" w:cs="宋体"/>
      <w:sz w:val="24"/>
    </w:rPr>
  </w:style>
  <w:style w:type="paragraph" w:customStyle="1" w:styleId="1883">
    <w:name w:val="正文正文正文 1.5 倍行距"/>
    <w:basedOn w:val="1"/>
    <w:link w:val="1882"/>
    <w:qFormat/>
    <w:uiPriority w:val="0"/>
    <w:pPr>
      <w:spacing w:line="360" w:lineRule="auto"/>
      <w:ind w:firstLine="480" w:firstLineChars="200"/>
    </w:pPr>
    <w:rPr>
      <w:rFonts w:ascii="宋体" w:hAnsi="宋体"/>
      <w:kern w:val="0"/>
      <w:sz w:val="24"/>
      <w:szCs w:val="20"/>
    </w:rPr>
  </w:style>
  <w:style w:type="character" w:customStyle="1" w:styleId="1884">
    <w:name w:val="谏壁正文chen Char Char Char2"/>
    <w:qFormat/>
    <w:uiPriority w:val="0"/>
    <w:rPr>
      <w:rFonts w:eastAsia="宋体"/>
      <w:kern w:val="2"/>
      <w:sz w:val="24"/>
      <w:szCs w:val="24"/>
      <w:lang w:val="en-US" w:eastAsia="zh-CN" w:bidi="ar-SA"/>
    </w:rPr>
  </w:style>
  <w:style w:type="character" w:customStyle="1" w:styleId="1885">
    <w:name w:val="Head 3 Char"/>
    <w:qFormat/>
    <w:uiPriority w:val="0"/>
    <w:rPr>
      <w:rFonts w:hAnsi="宋体" w:eastAsia="宋体"/>
      <w:bCs/>
      <w:kern w:val="2"/>
      <w:sz w:val="28"/>
      <w:szCs w:val="28"/>
      <w:lang w:val="en-US" w:eastAsia="zh-CN" w:bidi="ar-SA"/>
    </w:rPr>
  </w:style>
  <w:style w:type="character" w:customStyle="1" w:styleId="1886">
    <w:name w:val="样式 标题 3小标题小节标题标题3H3h33rd level第二层条标题4 + Arial Char Char Char Char"/>
    <w:link w:val="1887"/>
    <w:qFormat/>
    <w:uiPriority w:val="0"/>
    <w:rPr>
      <w:rFonts w:ascii="Arial" w:hAnsi="Arial"/>
      <w:b/>
      <w:bCs/>
      <w:color w:val="000000"/>
      <w:sz w:val="30"/>
      <w:szCs w:val="30"/>
    </w:rPr>
  </w:style>
  <w:style w:type="paragraph" w:customStyle="1" w:styleId="1887">
    <w:name w:val="样式 标题 3小标题小节标题标题3H3h33rd level第二层条标题4 + Arial"/>
    <w:basedOn w:val="4"/>
    <w:link w:val="1886"/>
    <w:qFormat/>
    <w:uiPriority w:val="0"/>
    <w:pPr>
      <w:tabs>
        <w:tab w:val="left" w:pos="233"/>
        <w:tab w:val="left" w:pos="993"/>
        <w:tab w:val="left" w:pos="1050"/>
      </w:tabs>
      <w:adjustRightInd w:val="0"/>
      <w:spacing w:before="0" w:after="0" w:line="360" w:lineRule="auto"/>
      <w:ind w:left="851" w:hanging="851"/>
      <w:textAlignment w:val="baseline"/>
    </w:pPr>
    <w:rPr>
      <w:rFonts w:ascii="Arial" w:hAnsi="Arial"/>
      <w:color w:val="000000"/>
      <w:kern w:val="0"/>
      <w:sz w:val="30"/>
      <w:szCs w:val="30"/>
    </w:rPr>
  </w:style>
  <w:style w:type="character" w:customStyle="1" w:styleId="1888">
    <w:name w:val="F文字-上标"/>
    <w:qFormat/>
    <w:uiPriority w:val="0"/>
    <w:rPr>
      <w:rFonts w:ascii="Bodoni MT Condensed" w:hAnsi="Bodoni MT Condensed" w:eastAsia="宋体"/>
      <w:sz w:val="24"/>
      <w:szCs w:val="24"/>
      <w:vertAlign w:val="superscript"/>
    </w:rPr>
  </w:style>
  <w:style w:type="character" w:customStyle="1" w:styleId="1889">
    <w:name w:val="题注 Char33"/>
    <w:qFormat/>
    <w:uiPriority w:val="0"/>
    <w:rPr>
      <w:rFonts w:ascii="黑体" w:hAnsi="Arial" w:eastAsia="黑体" w:cs="Arial"/>
      <w:b/>
      <w:kern w:val="2"/>
      <w:sz w:val="24"/>
      <w:szCs w:val="24"/>
      <w:lang w:val="en-US" w:eastAsia="zh-CN" w:bidi="ar-SA"/>
    </w:rPr>
  </w:style>
  <w:style w:type="character" w:customStyle="1" w:styleId="1890">
    <w:name w:val="正文修改 Char18"/>
    <w:qFormat/>
    <w:uiPriority w:val="0"/>
    <w:rPr>
      <w:rFonts w:ascii="宋体" w:hAnsi="宋体" w:eastAsia="宋体" w:cs="宋体"/>
      <w:color w:val="000000"/>
      <w:kern w:val="2"/>
      <w:sz w:val="24"/>
      <w:szCs w:val="24"/>
      <w:lang w:val="en-US" w:eastAsia="zh-CN" w:bidi="ar-SA"/>
    </w:rPr>
  </w:style>
  <w:style w:type="character" w:customStyle="1" w:styleId="1891">
    <w:name w:val="表格内字体 Char9"/>
    <w:qFormat/>
    <w:uiPriority w:val="0"/>
    <w:rPr>
      <w:rFonts w:ascii="宋体" w:hAnsi="宋体" w:eastAsia="宋体"/>
      <w:kern w:val="2"/>
      <w:sz w:val="21"/>
      <w:szCs w:val="24"/>
      <w:lang w:val="en-US" w:eastAsia="zh-CN" w:bidi="ar-SA"/>
    </w:rPr>
  </w:style>
  <w:style w:type="character" w:customStyle="1" w:styleId="1892">
    <w:name w:val="正文格式 Char4"/>
    <w:qFormat/>
    <w:uiPriority w:val="0"/>
    <w:rPr>
      <w:rFonts w:ascii="宋体" w:hAnsi="宋体" w:eastAsia="宋体"/>
      <w:kern w:val="2"/>
      <w:sz w:val="24"/>
      <w:szCs w:val="24"/>
      <w:lang w:val="en-US" w:eastAsia="zh-CN" w:bidi="ar-SA"/>
    </w:rPr>
  </w:style>
  <w:style w:type="character" w:customStyle="1" w:styleId="1893">
    <w:name w:val="Char Char121"/>
    <w:qFormat/>
    <w:uiPriority w:val="0"/>
    <w:rPr>
      <w:rFonts w:ascii="黑体" w:hAnsi="Arial" w:eastAsia="黑体"/>
      <w:b/>
      <w:bCs/>
      <w:kern w:val="2"/>
      <w:sz w:val="30"/>
      <w:szCs w:val="30"/>
      <w:lang w:val="en-US" w:eastAsia="zh-CN" w:bidi="ar-SA"/>
    </w:rPr>
  </w:style>
  <w:style w:type="character" w:customStyle="1" w:styleId="1894">
    <w:name w:val="题注 Char24"/>
    <w:qFormat/>
    <w:uiPriority w:val="0"/>
    <w:rPr>
      <w:rFonts w:ascii="黑体" w:hAnsi="Arial" w:eastAsia="黑体" w:cs="Arial"/>
      <w:b/>
      <w:kern w:val="2"/>
      <w:sz w:val="24"/>
      <w:szCs w:val="24"/>
      <w:lang w:val="en-US" w:eastAsia="zh-CN" w:bidi="ar-SA"/>
    </w:rPr>
  </w:style>
  <w:style w:type="character" w:customStyle="1" w:styleId="1895">
    <w:name w:val="未命名11"/>
    <w:qFormat/>
    <w:uiPriority w:val="0"/>
    <w:rPr>
      <w:rFonts w:hint="eastAsia" w:ascii="宋体" w:hAnsi="宋体" w:eastAsia="宋体"/>
      <w:sz w:val="18"/>
      <w:szCs w:val="18"/>
    </w:rPr>
  </w:style>
  <w:style w:type="character" w:customStyle="1" w:styleId="1896">
    <w:name w:val="标题 2 Char41"/>
    <w:qFormat/>
    <w:uiPriority w:val="0"/>
    <w:rPr>
      <w:rFonts w:ascii="黑体" w:hAnsi="Arial" w:eastAsia="黑体" w:cs="Times New Roman"/>
      <w:bCs/>
      <w:kern w:val="2"/>
      <w:sz w:val="30"/>
      <w:szCs w:val="30"/>
      <w:lang w:val="en-US" w:eastAsia="zh-CN" w:bidi="ar-SA"/>
    </w:rPr>
  </w:style>
  <w:style w:type="character" w:customStyle="1" w:styleId="1897">
    <w:name w:val="标题 3 Char14"/>
    <w:qFormat/>
    <w:uiPriority w:val="0"/>
    <w:rPr>
      <w:rFonts w:ascii="黑体" w:hAnsi="宋体" w:eastAsia="黑体" w:cs="Times New Roman"/>
      <w:b/>
      <w:bCs/>
      <w:kern w:val="2"/>
      <w:sz w:val="28"/>
      <w:szCs w:val="28"/>
      <w:lang w:val="en-US" w:eastAsia="zh-CN" w:bidi="ar-SA"/>
    </w:rPr>
  </w:style>
  <w:style w:type="character" w:customStyle="1" w:styleId="1898">
    <w:name w:val="题注 Char211"/>
    <w:qFormat/>
    <w:uiPriority w:val="0"/>
    <w:rPr>
      <w:rFonts w:ascii="黑体" w:hAnsi="Arial" w:eastAsia="黑体" w:cs="Arial"/>
      <w:b/>
      <w:kern w:val="2"/>
      <w:sz w:val="24"/>
      <w:szCs w:val="24"/>
      <w:lang w:val="en-US" w:eastAsia="zh-CN" w:bidi="ar-SA"/>
    </w:rPr>
  </w:style>
  <w:style w:type="character" w:customStyle="1" w:styleId="1899">
    <w:name w:val="sect 1.23 Char"/>
    <w:qFormat/>
    <w:uiPriority w:val="0"/>
    <w:rPr>
      <w:rFonts w:ascii="仿宋_GB2312" w:eastAsia="仿宋_GB2312"/>
      <w:b/>
      <w:kern w:val="2"/>
      <w:sz w:val="28"/>
      <w:lang w:val="en-US" w:eastAsia="zh-CN" w:bidi="ar-SA"/>
    </w:rPr>
  </w:style>
  <w:style w:type="character" w:customStyle="1" w:styleId="1900">
    <w:name w:val="chen表头1 Char Char"/>
    <w:qFormat/>
    <w:uiPriority w:val="0"/>
    <w:rPr>
      <w:rFonts w:eastAsia="楷体_GB2312"/>
      <w:b/>
      <w:sz w:val="24"/>
    </w:rPr>
  </w:style>
  <w:style w:type="character" w:customStyle="1" w:styleId="1901">
    <w:name w:val="正文修改 Char1213"/>
    <w:qFormat/>
    <w:uiPriority w:val="0"/>
    <w:rPr>
      <w:rFonts w:ascii="宋体" w:hAnsi="宋体" w:eastAsia="宋体" w:cs="宋体"/>
      <w:color w:val="000000"/>
      <w:kern w:val="2"/>
      <w:sz w:val="24"/>
      <w:szCs w:val="24"/>
      <w:lang w:val="en-US" w:eastAsia="zh-CN" w:bidi="ar-SA"/>
    </w:rPr>
  </w:style>
  <w:style w:type="character" w:customStyle="1" w:styleId="1902">
    <w:name w:val="Char Char413"/>
    <w:qFormat/>
    <w:uiPriority w:val="0"/>
    <w:rPr>
      <w:rFonts w:ascii="黑体" w:hAnsi="Arial" w:eastAsia="黑体"/>
      <w:b/>
      <w:bCs/>
      <w:kern w:val="2"/>
      <w:sz w:val="30"/>
      <w:szCs w:val="30"/>
      <w:lang w:val="en-US" w:eastAsia="zh-CN" w:bidi="ar-SA"/>
    </w:rPr>
  </w:style>
  <w:style w:type="character" w:customStyle="1" w:styleId="1903">
    <w:name w:val="Char Char614"/>
    <w:qFormat/>
    <w:uiPriority w:val="0"/>
    <w:rPr>
      <w:rFonts w:ascii="黑体" w:eastAsia="黑体"/>
      <w:b/>
      <w:bCs/>
      <w:kern w:val="2"/>
      <w:sz w:val="28"/>
      <w:szCs w:val="28"/>
      <w:lang w:val="en-US" w:eastAsia="zh-CN" w:bidi="ar-SA"/>
    </w:rPr>
  </w:style>
  <w:style w:type="character" w:customStyle="1" w:styleId="1904">
    <w:name w:val="表题1 Char41"/>
    <w:qFormat/>
    <w:uiPriority w:val="0"/>
    <w:rPr>
      <w:rFonts w:ascii="黑体" w:hAnsi="Arial" w:eastAsia="黑体" w:cs="Arial"/>
      <w:b/>
      <w:kern w:val="2"/>
      <w:sz w:val="24"/>
      <w:szCs w:val="24"/>
      <w:lang w:val="en-US" w:eastAsia="zh-CN" w:bidi="ar-SA"/>
    </w:rPr>
  </w:style>
  <w:style w:type="character" w:customStyle="1" w:styleId="1905">
    <w:name w:val="s11"/>
    <w:qFormat/>
    <w:uiPriority w:val="0"/>
    <w:rPr>
      <w:color w:val="000000"/>
      <w:sz w:val="20"/>
      <w:szCs w:val="20"/>
      <w:u w:val="none"/>
    </w:rPr>
  </w:style>
  <w:style w:type="character" w:customStyle="1" w:styleId="1906">
    <w:name w:val="表文字 Char Char"/>
    <w:link w:val="153"/>
    <w:qFormat/>
    <w:uiPriority w:val="0"/>
    <w:rPr>
      <w:sz w:val="21"/>
      <w:szCs w:val="21"/>
    </w:rPr>
  </w:style>
  <w:style w:type="character" w:customStyle="1" w:styleId="1907">
    <w:name w:val="标准文本 首行缩进: 2 字符 行距: 单倍 Char Char Char Char"/>
    <w:qFormat/>
    <w:uiPriority w:val="0"/>
    <w:rPr>
      <w:kern w:val="2"/>
      <w:sz w:val="24"/>
      <w:szCs w:val="24"/>
    </w:rPr>
  </w:style>
  <w:style w:type="character" w:customStyle="1" w:styleId="1908">
    <w:name w:val="表图标题 Char Char"/>
    <w:qFormat/>
    <w:uiPriority w:val="0"/>
    <w:rPr>
      <w:b/>
      <w:bCs/>
      <w:sz w:val="24"/>
      <w:szCs w:val="24"/>
    </w:rPr>
  </w:style>
  <w:style w:type="character" w:customStyle="1" w:styleId="1909">
    <w:name w:val="表内5 Char21"/>
    <w:qFormat/>
    <w:uiPriority w:val="0"/>
    <w:rPr>
      <w:rFonts w:ascii="宋体" w:hAnsi="宋体" w:eastAsia="宋体" w:cs="宋体"/>
      <w:kern w:val="2"/>
      <w:sz w:val="21"/>
      <w:szCs w:val="24"/>
      <w:lang w:val="en-US" w:eastAsia="zh-CN" w:bidi="ar-SA"/>
    </w:rPr>
  </w:style>
  <w:style w:type="character" w:customStyle="1" w:styleId="1910">
    <w:name w:val="表格内字体 Char11"/>
    <w:qFormat/>
    <w:uiPriority w:val="0"/>
    <w:rPr>
      <w:rFonts w:ascii="宋体" w:hAnsi="宋体" w:eastAsia="宋体"/>
      <w:kern w:val="2"/>
      <w:sz w:val="21"/>
      <w:szCs w:val="24"/>
      <w:lang w:val="en-US" w:eastAsia="zh-CN" w:bidi="ar-SA"/>
    </w:rPr>
  </w:style>
  <w:style w:type="character" w:customStyle="1" w:styleId="1911">
    <w:name w:val="样式 表内小5 + 黑体 加粗 倾斜 下划线 Char511"/>
    <w:qFormat/>
    <w:uiPriority w:val="0"/>
    <w:rPr>
      <w:rFonts w:ascii="黑体" w:hAnsi="黑体" w:eastAsia="黑体"/>
      <w:b/>
      <w:bCs/>
      <w:i/>
      <w:iCs/>
      <w:kern w:val="2"/>
      <w:sz w:val="18"/>
      <w:szCs w:val="24"/>
      <w:u w:val="single"/>
      <w:lang w:val="en-US" w:eastAsia="zh-CN" w:bidi="ar-SA"/>
    </w:rPr>
  </w:style>
  <w:style w:type="character" w:customStyle="1" w:styleId="1912">
    <w:name w:val="表中文字 Char2"/>
    <w:link w:val="894"/>
    <w:qFormat/>
    <w:uiPriority w:val="0"/>
    <w:rPr>
      <w:kern w:val="2"/>
      <w:sz w:val="21"/>
    </w:rPr>
  </w:style>
  <w:style w:type="character" w:customStyle="1" w:styleId="1913">
    <w:name w:val="hhcwt正文 Char Char Char1"/>
    <w:qFormat/>
    <w:uiPriority w:val="0"/>
    <w:rPr>
      <w:rFonts w:eastAsia="宋体" w:cs="宋体"/>
      <w:kern w:val="2"/>
      <w:sz w:val="24"/>
      <w:szCs w:val="24"/>
      <w:lang w:val="en-US" w:eastAsia="zh-CN" w:bidi="ar-SA"/>
    </w:rPr>
  </w:style>
  <w:style w:type="character" w:customStyle="1" w:styleId="1914">
    <w:name w:val="样式1 Char Char"/>
    <w:qFormat/>
    <w:uiPriority w:val="0"/>
    <w:rPr>
      <w:rFonts w:ascii="仿宋_GB2312" w:eastAsia="仿宋_GB2312"/>
      <w:kern w:val="2"/>
      <w:sz w:val="28"/>
    </w:rPr>
  </w:style>
  <w:style w:type="character" w:customStyle="1" w:styleId="1915">
    <w:name w:val="标题 3 Char Char12"/>
    <w:qFormat/>
    <w:uiPriority w:val="0"/>
    <w:rPr>
      <w:rFonts w:ascii="黑体" w:hAnsi="宋体" w:eastAsia="黑体"/>
      <w:b/>
      <w:bCs/>
      <w:kern w:val="2"/>
      <w:sz w:val="28"/>
      <w:szCs w:val="28"/>
      <w:lang w:val="en-US" w:eastAsia="zh-CN" w:bidi="ar-SA"/>
    </w:rPr>
  </w:style>
  <w:style w:type="character" w:customStyle="1" w:styleId="1916">
    <w:name w:val="谏壁正文chen Char Char Char1"/>
    <w:qFormat/>
    <w:uiPriority w:val="0"/>
    <w:rPr>
      <w:rFonts w:eastAsia="宋体"/>
      <w:kern w:val="2"/>
      <w:sz w:val="24"/>
      <w:szCs w:val="24"/>
      <w:lang w:val="en-US" w:eastAsia="zh-CN" w:bidi="ar-SA"/>
    </w:rPr>
  </w:style>
  <w:style w:type="character" w:customStyle="1" w:styleId="1917">
    <w:name w:val="表格题 Char Char"/>
    <w:link w:val="1918"/>
    <w:qFormat/>
    <w:uiPriority w:val="0"/>
    <w:rPr>
      <w:rFonts w:ascii="宋体" w:hAnsi="Courier New" w:eastAsia="黑体"/>
      <w:sz w:val="24"/>
    </w:rPr>
  </w:style>
  <w:style w:type="paragraph" w:customStyle="1" w:styleId="1918">
    <w:name w:val="表格题"/>
    <w:basedOn w:val="44"/>
    <w:link w:val="1917"/>
    <w:qFormat/>
    <w:uiPriority w:val="0"/>
    <w:pPr>
      <w:ind w:firstLine="200" w:firstLineChars="200"/>
    </w:pPr>
    <w:rPr>
      <w:rFonts w:eastAsia="黑体" w:cs="Times New Roman"/>
      <w:kern w:val="0"/>
      <w:sz w:val="24"/>
      <w:szCs w:val="20"/>
    </w:rPr>
  </w:style>
  <w:style w:type="character" w:customStyle="1" w:styleId="1919">
    <w:name w:val="Char Char620"/>
    <w:qFormat/>
    <w:uiPriority w:val="0"/>
    <w:rPr>
      <w:rFonts w:ascii="黑体" w:eastAsia="黑体"/>
      <w:b/>
      <w:bCs/>
      <w:kern w:val="2"/>
      <w:sz w:val="28"/>
      <w:szCs w:val="28"/>
      <w:lang w:val="en-US" w:eastAsia="zh-CN" w:bidi="ar-SA"/>
    </w:rPr>
  </w:style>
  <w:style w:type="character" w:customStyle="1" w:styleId="1920">
    <w:name w:val="批注框文本 Char3"/>
    <w:qFormat/>
    <w:uiPriority w:val="0"/>
    <w:rPr>
      <w:rFonts w:ascii="Times New Roman" w:hAnsi="Times New Roman" w:eastAsia="宋体" w:cs="Times New Roman"/>
      <w:kern w:val="2"/>
      <w:sz w:val="18"/>
      <w:szCs w:val="18"/>
      <w:lang w:val="en-US" w:eastAsia="zh-CN" w:bidi="ar-SA"/>
    </w:rPr>
  </w:style>
  <w:style w:type="character" w:customStyle="1" w:styleId="1921">
    <w:name w:val="燕山正文 Char13"/>
    <w:qFormat/>
    <w:uiPriority w:val="0"/>
    <w:rPr>
      <w:rFonts w:ascii="宋体" w:eastAsia="宋体" w:cs="宋体"/>
      <w:kern w:val="2"/>
      <w:sz w:val="24"/>
      <w:szCs w:val="24"/>
      <w:lang w:val="en-US" w:eastAsia="zh-CN" w:bidi="ar-SA"/>
    </w:rPr>
  </w:style>
  <w:style w:type="character" w:customStyle="1" w:styleId="1922">
    <w:name w:val="Char Char Char1 Char Char Char Char Char Char Char Char Char Char Char Char Char Char Char Char Char Char Char"/>
    <w:link w:val="1923"/>
    <w:qFormat/>
    <w:uiPriority w:val="0"/>
    <w:rPr>
      <w:sz w:val="28"/>
      <w:szCs w:val="28"/>
    </w:rPr>
  </w:style>
  <w:style w:type="paragraph" w:customStyle="1" w:styleId="1923">
    <w:name w:val="Char Char Char1 Char Char Char Char Char Char Char Char Char Char Char Char Char Char Char1"/>
    <w:basedOn w:val="1"/>
    <w:link w:val="1922"/>
    <w:qFormat/>
    <w:uiPriority w:val="0"/>
    <w:pPr>
      <w:spacing w:line="240" w:lineRule="exact"/>
      <w:ind w:firstLine="200" w:firstLineChars="200"/>
    </w:pPr>
    <w:rPr>
      <w:kern w:val="0"/>
      <w:sz w:val="28"/>
      <w:szCs w:val="28"/>
    </w:rPr>
  </w:style>
  <w:style w:type="character" w:customStyle="1" w:styleId="1924">
    <w:name w:val="谏壁正文chen Char Char"/>
    <w:link w:val="1925"/>
    <w:qFormat/>
    <w:uiPriority w:val="0"/>
    <w:rPr>
      <w:sz w:val="24"/>
      <w:szCs w:val="24"/>
    </w:rPr>
  </w:style>
  <w:style w:type="paragraph" w:customStyle="1" w:styleId="1925">
    <w:name w:val="谏壁正文chen"/>
    <w:basedOn w:val="1"/>
    <w:link w:val="1924"/>
    <w:qFormat/>
    <w:uiPriority w:val="0"/>
    <w:pPr>
      <w:spacing w:line="360" w:lineRule="auto"/>
      <w:ind w:firstLine="200" w:firstLineChars="200"/>
    </w:pPr>
    <w:rPr>
      <w:kern w:val="0"/>
      <w:sz w:val="24"/>
    </w:rPr>
  </w:style>
  <w:style w:type="character" w:customStyle="1" w:styleId="1926">
    <w:name w:val="福建正文缩进 Char4"/>
    <w:qFormat/>
    <w:uiPriority w:val="0"/>
    <w:rPr>
      <w:rFonts w:ascii="宋体" w:hAnsi="宋体" w:eastAsia="宋体" w:cs="宋体"/>
      <w:color w:val="000000"/>
      <w:kern w:val="2"/>
      <w:sz w:val="24"/>
      <w:szCs w:val="24"/>
      <w:lang w:val="en-US" w:eastAsia="zh-CN" w:bidi="ar-SA"/>
    </w:rPr>
  </w:style>
  <w:style w:type="character" w:customStyle="1" w:styleId="1927">
    <w:name w:val="正文斜体 Char3"/>
    <w:qFormat/>
    <w:uiPriority w:val="0"/>
    <w:rPr>
      <w:rFonts w:ascii="宋体" w:hAnsi="宋体" w:eastAsia="宋体" w:cs="Times New Roman"/>
      <w:i/>
      <w:iCs/>
      <w:kern w:val="2"/>
      <w:sz w:val="24"/>
      <w:szCs w:val="24"/>
      <w:lang w:val="en-US" w:eastAsia="zh-CN" w:bidi="ar-SA"/>
    </w:rPr>
  </w:style>
  <w:style w:type="character" w:customStyle="1" w:styleId="1928">
    <w:name w:val="标题 3 Char11"/>
    <w:qFormat/>
    <w:uiPriority w:val="0"/>
    <w:rPr>
      <w:rFonts w:ascii="黑体" w:hAnsi="宋体" w:eastAsia="黑体"/>
      <w:b/>
      <w:bCs/>
      <w:kern w:val="2"/>
      <w:sz w:val="28"/>
      <w:szCs w:val="28"/>
      <w:lang w:val="en-US" w:eastAsia="zh-CN" w:bidi="ar-SA"/>
    </w:rPr>
  </w:style>
  <w:style w:type="character" w:customStyle="1" w:styleId="1929">
    <w:name w:val="正文文本 3 Char2"/>
    <w:qFormat/>
    <w:uiPriority w:val="0"/>
    <w:rPr>
      <w:rFonts w:eastAsia="宋体"/>
      <w:kern w:val="2"/>
      <w:sz w:val="16"/>
      <w:szCs w:val="16"/>
      <w:lang w:val="en-US" w:eastAsia="zh-CN" w:bidi="ar-SA"/>
    </w:rPr>
  </w:style>
  <w:style w:type="character" w:customStyle="1" w:styleId="1930">
    <w:name w:val="批注框文本 Char31"/>
    <w:qFormat/>
    <w:uiPriority w:val="0"/>
    <w:rPr>
      <w:rFonts w:ascii="Times New Roman" w:hAnsi="Times New Roman" w:eastAsia="宋体" w:cs="Times New Roman"/>
      <w:kern w:val="2"/>
      <w:sz w:val="18"/>
      <w:szCs w:val="18"/>
      <w:lang w:val="en-US" w:eastAsia="zh-CN" w:bidi="ar-SA"/>
    </w:rPr>
  </w:style>
  <w:style w:type="character" w:customStyle="1" w:styleId="1931">
    <w:name w:val="Char Char Char1 Char Char Char Char Char Char Char Char Char Char Char Char Char Char Char Char Char Char Char1"/>
    <w:qFormat/>
    <w:uiPriority w:val="0"/>
    <w:rPr>
      <w:rFonts w:ascii="宋体" w:hAnsi="宋体" w:eastAsia="宋体"/>
      <w:kern w:val="2"/>
      <w:sz w:val="28"/>
      <w:szCs w:val="28"/>
      <w:lang w:val="en-US" w:eastAsia="zh-CN" w:bidi="ar-SA"/>
    </w:rPr>
  </w:style>
  <w:style w:type="character" w:customStyle="1" w:styleId="1932">
    <w:name w:val="文档结构图 Char2"/>
    <w:qFormat/>
    <w:uiPriority w:val="0"/>
    <w:rPr>
      <w:rFonts w:eastAsia="宋体"/>
      <w:kern w:val="2"/>
      <w:sz w:val="21"/>
      <w:szCs w:val="24"/>
      <w:shd w:val="clear" w:color="auto" w:fill="000080"/>
      <w:lang w:val="en-US" w:eastAsia="zh-CN" w:bidi="ar-SA"/>
    </w:rPr>
  </w:style>
  <w:style w:type="character" w:customStyle="1" w:styleId="1933">
    <w:name w:val="燕山正文 Char15"/>
    <w:qFormat/>
    <w:uiPriority w:val="0"/>
    <w:rPr>
      <w:rFonts w:ascii="宋体" w:eastAsia="宋体" w:cs="宋体"/>
      <w:kern w:val="2"/>
      <w:sz w:val="24"/>
      <w:szCs w:val="24"/>
      <w:lang w:val="en-US" w:eastAsia="zh-CN" w:bidi="ar-SA"/>
    </w:rPr>
  </w:style>
  <w:style w:type="character" w:customStyle="1" w:styleId="1934">
    <w:name w:val="样式 报告 + Times New Roman Char Char Char Char Char Char Char Char Char Char Char Char Char Char Char Char Char Char"/>
    <w:qFormat/>
    <w:uiPriority w:val="0"/>
    <w:rPr>
      <w:rFonts w:eastAsia="宋体"/>
      <w:kern w:val="2"/>
      <w:sz w:val="28"/>
      <w:szCs w:val="28"/>
      <w:lang w:val="en-US" w:eastAsia="zh-CN" w:bidi="ar-SA"/>
    </w:rPr>
  </w:style>
  <w:style w:type="character" w:customStyle="1" w:styleId="1935">
    <w:name w:val="文档结构图 Char11"/>
    <w:qFormat/>
    <w:uiPriority w:val="0"/>
    <w:rPr>
      <w:rFonts w:ascii="Times New Roman" w:hAnsi="Times New Roman" w:eastAsia="宋体" w:cs="Times New Roman"/>
      <w:kern w:val="2"/>
      <w:sz w:val="24"/>
      <w:szCs w:val="24"/>
      <w:shd w:val="clear" w:color="auto" w:fill="000080"/>
      <w:lang w:val="en-US" w:eastAsia="zh-CN" w:bidi="ar-SA"/>
    </w:rPr>
  </w:style>
  <w:style w:type="character" w:customStyle="1" w:styleId="1936">
    <w:name w:val="Char Char36"/>
    <w:qFormat/>
    <w:uiPriority w:val="0"/>
    <w:rPr>
      <w:rFonts w:ascii="黑体" w:hAnsi="宋体" w:eastAsia="黑体"/>
      <w:b/>
      <w:bCs/>
      <w:kern w:val="2"/>
      <w:sz w:val="28"/>
      <w:szCs w:val="28"/>
      <w:lang w:val="en-US" w:eastAsia="zh-CN" w:bidi="ar-SA"/>
    </w:rPr>
  </w:style>
  <w:style w:type="character" w:customStyle="1" w:styleId="1937">
    <w:name w:val="题注 Char512"/>
    <w:qFormat/>
    <w:uiPriority w:val="0"/>
    <w:rPr>
      <w:rFonts w:ascii="黑体" w:hAnsi="Arial" w:eastAsia="黑体" w:cs="Arial"/>
      <w:b/>
      <w:kern w:val="2"/>
      <w:sz w:val="24"/>
      <w:szCs w:val="24"/>
      <w:lang w:val="en-US" w:eastAsia="zh-CN" w:bidi="ar-SA"/>
    </w:rPr>
  </w:style>
  <w:style w:type="character" w:customStyle="1" w:styleId="1938">
    <w:name w:val="正文修改 Char151"/>
    <w:qFormat/>
    <w:uiPriority w:val="0"/>
    <w:rPr>
      <w:rFonts w:ascii="宋体" w:hAnsi="宋体" w:eastAsia="宋体" w:cs="宋体"/>
      <w:color w:val="000000"/>
      <w:kern w:val="2"/>
      <w:sz w:val="24"/>
      <w:szCs w:val="24"/>
      <w:lang w:val="en-US" w:eastAsia="zh-CN" w:bidi="ar-SA"/>
    </w:rPr>
  </w:style>
  <w:style w:type="character" w:customStyle="1" w:styleId="1939">
    <w:name w:val="表内5 Char3"/>
    <w:qFormat/>
    <w:uiPriority w:val="0"/>
    <w:rPr>
      <w:rFonts w:ascii="宋体" w:hAnsi="宋体" w:eastAsia="宋体" w:cs="Times New Roman"/>
      <w:kern w:val="2"/>
      <w:sz w:val="24"/>
      <w:szCs w:val="24"/>
      <w:lang w:val="en-US" w:eastAsia="zh-CN" w:bidi="ar-SA"/>
    </w:rPr>
  </w:style>
  <w:style w:type="character" w:customStyle="1" w:styleId="1940">
    <w:name w:val="正文格式 Char Char Char2 Char Char"/>
    <w:qFormat/>
    <w:uiPriority w:val="0"/>
    <w:rPr>
      <w:rFonts w:ascii="宋体" w:eastAsia="宋体" w:cs="宋体"/>
      <w:kern w:val="2"/>
      <w:sz w:val="24"/>
      <w:szCs w:val="24"/>
      <w:lang w:val="en-US" w:eastAsia="zh-CN" w:bidi="ar-SA"/>
    </w:rPr>
  </w:style>
  <w:style w:type="character" w:customStyle="1" w:styleId="1941">
    <w:name w:val="正文2 Char Char1"/>
    <w:qFormat/>
    <w:uiPriority w:val="0"/>
    <w:rPr>
      <w:rFonts w:eastAsia="仿宋_GB2312"/>
      <w:kern w:val="2"/>
      <w:sz w:val="24"/>
      <w:szCs w:val="24"/>
      <w:lang w:val="en-US" w:eastAsia="zh-CN" w:bidi="ar-SA"/>
    </w:rPr>
  </w:style>
  <w:style w:type="character" w:customStyle="1" w:styleId="1942">
    <w:name w:val="题注 Char6"/>
    <w:qFormat/>
    <w:uiPriority w:val="0"/>
    <w:rPr>
      <w:rFonts w:ascii="黑体" w:hAnsi="Arial" w:eastAsia="黑体" w:cs="Arial"/>
      <w:b/>
      <w:kern w:val="2"/>
      <w:sz w:val="24"/>
      <w:szCs w:val="24"/>
      <w:lang w:val="en-US" w:eastAsia="zh-CN" w:bidi="ar-SA"/>
    </w:rPr>
  </w:style>
  <w:style w:type="character" w:customStyle="1" w:styleId="1943">
    <w:name w:val="Char Char1215"/>
    <w:qFormat/>
    <w:uiPriority w:val="0"/>
    <w:rPr>
      <w:rFonts w:ascii="黑体" w:hAnsi="Arial" w:eastAsia="黑体"/>
      <w:b/>
      <w:bCs/>
      <w:kern w:val="2"/>
      <w:sz w:val="30"/>
      <w:szCs w:val="30"/>
      <w:lang w:val="en-US" w:eastAsia="zh-CN" w:bidi="ar-SA"/>
    </w:rPr>
  </w:style>
  <w:style w:type="character" w:customStyle="1" w:styleId="1944">
    <w:name w:val="表题1 Char31"/>
    <w:qFormat/>
    <w:uiPriority w:val="0"/>
    <w:rPr>
      <w:rFonts w:ascii="黑体" w:hAnsi="Arial" w:eastAsia="黑体" w:cs="Arial"/>
      <w:b/>
      <w:kern w:val="2"/>
      <w:sz w:val="24"/>
      <w:szCs w:val="24"/>
      <w:lang w:val="en-US" w:eastAsia="zh-CN" w:bidi="ar-SA"/>
    </w:rPr>
  </w:style>
  <w:style w:type="character" w:customStyle="1" w:styleId="1945">
    <w:name w:val="表题1 Char21"/>
    <w:qFormat/>
    <w:uiPriority w:val="0"/>
    <w:rPr>
      <w:rFonts w:hAnsi="Arial" w:eastAsia="宋体" w:cs="Arial"/>
      <w:kern w:val="2"/>
      <w:sz w:val="24"/>
      <w:szCs w:val="24"/>
      <w:lang w:val="en-US" w:eastAsia="zh-CN" w:bidi="ar-SA"/>
    </w:rPr>
  </w:style>
  <w:style w:type="character" w:customStyle="1" w:styleId="1946">
    <w:name w:val="样式 正文文本 + (中文) 黑体 红色 Char Char Char Char Char1"/>
    <w:qFormat/>
    <w:uiPriority w:val="0"/>
    <w:rPr>
      <w:rFonts w:eastAsia="黑体"/>
      <w:snapToGrid/>
      <w:color w:val="FF0000"/>
      <w:kern w:val="2"/>
      <w:sz w:val="24"/>
      <w:szCs w:val="24"/>
      <w:lang w:val="en-US" w:eastAsia="zh-CN" w:bidi="ar-SA"/>
    </w:rPr>
  </w:style>
  <w:style w:type="character" w:customStyle="1" w:styleId="1947">
    <w:name w:val="样式 标题 3 + 左侧:  0 厘米 首行缩进:  0 厘米 Char Char Char Char"/>
    <w:link w:val="1948"/>
    <w:qFormat/>
    <w:uiPriority w:val="0"/>
    <w:rPr>
      <w:b/>
      <w:bCs/>
      <w:kern w:val="32"/>
      <w:sz w:val="32"/>
      <w:szCs w:val="32"/>
    </w:rPr>
  </w:style>
  <w:style w:type="paragraph" w:customStyle="1" w:styleId="1948">
    <w:name w:val="样式 标题 3 + 左侧:  0 厘米 首行缩进:  0 厘米 Char"/>
    <w:basedOn w:val="4"/>
    <w:link w:val="1947"/>
    <w:qFormat/>
    <w:uiPriority w:val="0"/>
    <w:pPr>
      <w:tabs>
        <w:tab w:val="left" w:pos="233"/>
        <w:tab w:val="left" w:pos="709"/>
        <w:tab w:val="left" w:pos="993"/>
      </w:tabs>
      <w:adjustRightInd w:val="0"/>
      <w:spacing w:before="0" w:after="60" w:line="500" w:lineRule="exact"/>
      <w:ind w:left="709" w:hanging="709"/>
      <w:jc w:val="left"/>
      <w:textAlignment w:val="baseline"/>
    </w:pPr>
    <w:rPr>
      <w:kern w:val="32"/>
    </w:rPr>
  </w:style>
  <w:style w:type="character" w:customStyle="1" w:styleId="1949">
    <w:name w:val="文章正文 Char Char"/>
    <w:link w:val="1950"/>
    <w:qFormat/>
    <w:uiPriority w:val="0"/>
    <w:rPr>
      <w:rFonts w:eastAsia="仿宋_GB2312"/>
      <w:sz w:val="28"/>
      <w:szCs w:val="24"/>
    </w:rPr>
  </w:style>
  <w:style w:type="paragraph" w:customStyle="1" w:styleId="1950">
    <w:name w:val="文章正文"/>
    <w:basedOn w:val="1"/>
    <w:link w:val="1949"/>
    <w:qFormat/>
    <w:uiPriority w:val="0"/>
    <w:pPr>
      <w:spacing w:line="360" w:lineRule="auto"/>
      <w:ind w:firstLine="200" w:firstLineChars="200"/>
      <w:jc w:val="left"/>
    </w:pPr>
    <w:rPr>
      <w:rFonts w:eastAsia="仿宋_GB2312"/>
      <w:kern w:val="0"/>
      <w:sz w:val="28"/>
    </w:rPr>
  </w:style>
  <w:style w:type="character" w:customStyle="1" w:styleId="1951">
    <w:name w:val="样式 表格内字体 + Char3"/>
    <w:qFormat/>
    <w:uiPriority w:val="0"/>
    <w:rPr>
      <w:rFonts w:ascii="宋体" w:hAnsi="宋体" w:eastAsia="宋体" w:cs="Times New Roman"/>
      <w:kern w:val="0"/>
      <w:sz w:val="21"/>
      <w:szCs w:val="24"/>
      <w:lang w:val="en-US" w:eastAsia="zh-CN" w:bidi="ar-SA"/>
    </w:rPr>
  </w:style>
  <w:style w:type="character" w:customStyle="1" w:styleId="1952">
    <w:name w:val="表题1 Char9"/>
    <w:qFormat/>
    <w:uiPriority w:val="0"/>
    <w:rPr>
      <w:rFonts w:ascii="黑体" w:hAnsi="Arial" w:eastAsia="黑体" w:cs="Arial"/>
      <w:b/>
      <w:kern w:val="2"/>
      <w:sz w:val="24"/>
      <w:szCs w:val="24"/>
      <w:lang w:val="en-US" w:eastAsia="zh-CN" w:bidi="ar-SA"/>
    </w:rPr>
  </w:style>
  <w:style w:type="character" w:customStyle="1" w:styleId="1953">
    <w:name w:val="Char Char412"/>
    <w:qFormat/>
    <w:uiPriority w:val="0"/>
    <w:rPr>
      <w:rFonts w:ascii="黑体" w:hAnsi="Arial" w:eastAsia="黑体"/>
      <w:b/>
      <w:bCs/>
      <w:kern w:val="2"/>
      <w:sz w:val="30"/>
      <w:szCs w:val="30"/>
      <w:lang w:val="en-US" w:eastAsia="zh-CN" w:bidi="ar-SA"/>
    </w:rPr>
  </w:style>
  <w:style w:type="character" w:customStyle="1" w:styleId="1954">
    <w:name w:val="样式 报告 + Times New Roman Char Char Char Char Char Char Char Char Char Char Char Char"/>
    <w:qFormat/>
    <w:uiPriority w:val="0"/>
    <w:rPr>
      <w:rFonts w:eastAsia="宋体"/>
      <w:sz w:val="28"/>
      <w:szCs w:val="28"/>
      <w:lang w:val="en-US" w:eastAsia="zh-CN" w:bidi="ar-SA"/>
    </w:rPr>
  </w:style>
  <w:style w:type="character" w:customStyle="1" w:styleId="1955">
    <w:name w:val="下标"/>
    <w:qFormat/>
    <w:uiPriority w:val="0"/>
    <w:rPr>
      <w:rFonts w:ascii="Times New Roman" w:hAnsi="Times New Roman" w:eastAsia="宋体"/>
      <w:spacing w:val="0"/>
      <w:position w:val="-7"/>
      <w:sz w:val="18"/>
    </w:rPr>
  </w:style>
  <w:style w:type="character" w:customStyle="1" w:styleId="1956">
    <w:name w:val="Char Char2113"/>
    <w:qFormat/>
    <w:uiPriority w:val="0"/>
    <w:rPr>
      <w:rFonts w:ascii="黑体" w:eastAsia="宋体"/>
      <w:kern w:val="2"/>
      <w:sz w:val="16"/>
      <w:szCs w:val="16"/>
      <w:lang w:val="en-US" w:eastAsia="zh-CN" w:bidi="ar-SA"/>
    </w:rPr>
  </w:style>
  <w:style w:type="character" w:customStyle="1" w:styleId="1957">
    <w:name w:val="Char Char511"/>
    <w:qFormat/>
    <w:uiPriority w:val="0"/>
    <w:rPr>
      <w:rFonts w:ascii="黑体" w:hAnsi="宋体" w:eastAsia="黑体"/>
      <w:bCs/>
      <w:kern w:val="2"/>
      <w:sz w:val="28"/>
      <w:szCs w:val="28"/>
      <w:lang w:val="en-US" w:eastAsia="zh-CN" w:bidi="ar-SA"/>
    </w:rPr>
  </w:style>
  <w:style w:type="character" w:customStyle="1" w:styleId="1958">
    <w:name w:val="题注 Char51"/>
    <w:qFormat/>
    <w:uiPriority w:val="0"/>
    <w:rPr>
      <w:rFonts w:ascii="黑体" w:hAnsi="Arial" w:eastAsia="黑体" w:cs="Arial"/>
      <w:b/>
      <w:kern w:val="2"/>
      <w:sz w:val="24"/>
      <w:szCs w:val="24"/>
      <w:lang w:val="en-US" w:eastAsia="zh-CN" w:bidi="ar-SA"/>
    </w:rPr>
  </w:style>
  <w:style w:type="character" w:customStyle="1" w:styleId="1959">
    <w:name w:val="style131"/>
    <w:qFormat/>
    <w:uiPriority w:val="0"/>
    <w:rPr>
      <w:rFonts w:ascii="宋体" w:hAnsi="宋体" w:eastAsia="楷体_GB2312" w:cs="宋体"/>
      <w:b/>
      <w:bCs/>
      <w:kern w:val="2"/>
      <w:sz w:val="18"/>
      <w:szCs w:val="18"/>
      <w:lang w:val="en-US" w:eastAsia="zh-CN" w:bidi="ar-SA"/>
    </w:rPr>
  </w:style>
  <w:style w:type="character" w:customStyle="1" w:styleId="1960">
    <w:name w:val="info"/>
    <w:qFormat/>
    <w:uiPriority w:val="0"/>
  </w:style>
  <w:style w:type="character" w:customStyle="1" w:styleId="1961">
    <w:name w:val="第一层条 Char2"/>
    <w:qFormat/>
    <w:uiPriority w:val="0"/>
    <w:rPr>
      <w:rFonts w:ascii="仿宋_GB2312" w:eastAsia="仿宋_GB2312"/>
      <w:b/>
      <w:kern w:val="2"/>
      <w:sz w:val="28"/>
      <w:lang w:val="en-US" w:eastAsia="zh-CN" w:bidi="ar-SA"/>
    </w:rPr>
  </w:style>
  <w:style w:type="character" w:customStyle="1" w:styleId="1962">
    <w:name w:val="报告表正文 Char Char"/>
    <w:link w:val="342"/>
    <w:qFormat/>
    <w:uiPriority w:val="0"/>
    <w:rPr>
      <w:rFonts w:ascii="宋体" w:hAnsi="宋体"/>
      <w:sz w:val="24"/>
    </w:rPr>
  </w:style>
  <w:style w:type="character" w:customStyle="1" w:styleId="1963">
    <w:name w:val="图题注 Char4"/>
    <w:qFormat/>
    <w:uiPriority w:val="0"/>
    <w:rPr>
      <w:rFonts w:ascii="黑体" w:hAnsi="Arial" w:eastAsia="黑体" w:cs="宋体"/>
      <w:b/>
      <w:bCs/>
      <w:kern w:val="2"/>
      <w:sz w:val="24"/>
      <w:szCs w:val="24"/>
      <w:lang w:val="en-US" w:eastAsia="zh-CN" w:bidi="ar-SA"/>
    </w:rPr>
  </w:style>
  <w:style w:type="character" w:customStyle="1" w:styleId="1964">
    <w:name w:val="河石管道4 Char4"/>
    <w:qFormat/>
    <w:uiPriority w:val="0"/>
    <w:rPr>
      <w:rFonts w:ascii="黑体" w:hAnsi="Arial" w:eastAsia="黑体"/>
      <w:bCs/>
      <w:kern w:val="2"/>
      <w:sz w:val="24"/>
      <w:szCs w:val="24"/>
      <w:lang w:val="en-US" w:eastAsia="zh-CN" w:bidi="ar-SA"/>
    </w:rPr>
  </w:style>
  <w:style w:type="character" w:customStyle="1" w:styleId="1965">
    <w:name w:val="谏壁chen表格内文字 Char Char Char1"/>
    <w:qFormat/>
    <w:uiPriority w:val="0"/>
    <w:rPr>
      <w:rFonts w:eastAsia="宋体"/>
      <w:kern w:val="2"/>
      <w:sz w:val="21"/>
      <w:szCs w:val="21"/>
      <w:lang w:val="en-US" w:eastAsia="zh-CN" w:bidi="ar-SA"/>
    </w:rPr>
  </w:style>
  <w:style w:type="character" w:customStyle="1" w:styleId="1966">
    <w:name w:val="无级项 Char3"/>
    <w:qFormat/>
    <w:uiPriority w:val="0"/>
    <w:rPr>
      <w:rFonts w:eastAsia="宋体"/>
      <w:b/>
      <w:bCs/>
      <w:kern w:val="2"/>
      <w:sz w:val="24"/>
      <w:szCs w:val="24"/>
      <w:lang w:val="en-US" w:eastAsia="zh-CN" w:bidi="ar-SA"/>
    </w:rPr>
  </w:style>
  <w:style w:type="character" w:customStyle="1" w:styleId="1967">
    <w:name w:val="text_14px1"/>
    <w:qFormat/>
    <w:uiPriority w:val="0"/>
    <w:rPr>
      <w:color w:val="000000"/>
      <w:sz w:val="21"/>
      <w:szCs w:val="21"/>
    </w:rPr>
  </w:style>
  <w:style w:type="character" w:customStyle="1" w:styleId="1968">
    <w:name w:val="样式 正文文本 + 红色 Char Char Char Char Char Char Char Char"/>
    <w:qFormat/>
    <w:uiPriority w:val="0"/>
    <w:rPr>
      <w:rFonts w:eastAsia="仿宋_GB2312"/>
      <w:snapToGrid/>
      <w:color w:val="FF0000"/>
      <w:sz w:val="24"/>
      <w:szCs w:val="24"/>
      <w:lang w:val="en-US" w:eastAsia="zh-CN" w:bidi="ar-SA"/>
    </w:rPr>
  </w:style>
  <w:style w:type="character" w:customStyle="1" w:styleId="1969">
    <w:name w:val="样式 表内小5 + 黑体 加粗 倾斜 下划线 Char11"/>
    <w:qFormat/>
    <w:uiPriority w:val="0"/>
    <w:rPr>
      <w:rFonts w:ascii="黑体" w:hAnsi="黑体" w:eastAsia="黑体"/>
      <w:b/>
      <w:bCs/>
      <w:i/>
      <w:iCs/>
      <w:kern w:val="2"/>
      <w:sz w:val="18"/>
      <w:szCs w:val="24"/>
      <w:u w:val="single"/>
      <w:lang w:val="en-US" w:eastAsia="zh-CN" w:bidi="ar-SA"/>
    </w:rPr>
  </w:style>
  <w:style w:type="character" w:customStyle="1" w:styleId="1970">
    <w:name w:val="Char Char59"/>
    <w:qFormat/>
    <w:uiPriority w:val="0"/>
    <w:rPr>
      <w:rFonts w:ascii="黑体" w:hAnsi="宋体" w:eastAsia="黑体"/>
      <w:bCs/>
      <w:kern w:val="2"/>
      <w:sz w:val="28"/>
      <w:szCs w:val="28"/>
      <w:lang w:val="en-US" w:eastAsia="zh-CN" w:bidi="ar-SA"/>
    </w:rPr>
  </w:style>
  <w:style w:type="character" w:customStyle="1" w:styleId="1971">
    <w:name w:val="表题1 Char42"/>
    <w:qFormat/>
    <w:uiPriority w:val="0"/>
    <w:rPr>
      <w:rFonts w:ascii="黑体" w:hAnsi="Arial" w:eastAsia="黑体" w:cs="Arial"/>
      <w:b/>
      <w:kern w:val="2"/>
      <w:sz w:val="24"/>
      <w:szCs w:val="24"/>
      <w:lang w:val="en-US" w:eastAsia="zh-CN" w:bidi="ar-SA"/>
    </w:rPr>
  </w:style>
  <w:style w:type="character" w:customStyle="1" w:styleId="1972">
    <w:name w:val="正文首行缩进 Char2"/>
    <w:qFormat/>
    <w:uiPriority w:val="0"/>
    <w:rPr>
      <w:rFonts w:eastAsia="宋体"/>
      <w:kern w:val="2"/>
      <w:sz w:val="24"/>
      <w:szCs w:val="24"/>
      <w:lang w:val="en-US" w:eastAsia="zh-CN" w:bidi="ar-SA"/>
    </w:rPr>
  </w:style>
  <w:style w:type="character" w:customStyle="1" w:styleId="1973">
    <w:name w:val="图表题 Char11"/>
    <w:qFormat/>
    <w:uiPriority w:val="0"/>
    <w:rPr>
      <w:rFonts w:ascii="黑体" w:hAnsi="宋体" w:eastAsia="黑体" w:cs="宋体"/>
      <w:b/>
      <w:bCs/>
      <w:kern w:val="2"/>
      <w:sz w:val="24"/>
      <w:szCs w:val="24"/>
      <w:lang w:val="en-US" w:eastAsia="zh-CN" w:bidi="ar-SA"/>
    </w:rPr>
  </w:style>
  <w:style w:type="character" w:customStyle="1" w:styleId="1974">
    <w:name w:val="样式 正文缩进 + 宋体 黑色 Char3"/>
    <w:qFormat/>
    <w:uiPriority w:val="0"/>
    <w:rPr>
      <w:rFonts w:ascii="宋体" w:hAnsi="宋体" w:eastAsia="宋体" w:cs="Times New Roman"/>
      <w:color w:val="000000"/>
      <w:kern w:val="2"/>
      <w:sz w:val="24"/>
      <w:szCs w:val="24"/>
      <w:lang w:val="en-US" w:eastAsia="zh-CN" w:bidi="ar-SA"/>
    </w:rPr>
  </w:style>
  <w:style w:type="character" w:customStyle="1" w:styleId="1975">
    <w:name w:val="Char Char13"/>
    <w:qFormat/>
    <w:uiPriority w:val="0"/>
    <w:rPr>
      <w:rFonts w:ascii="黑体" w:hAnsi="Arial" w:eastAsia="黑体"/>
      <w:b/>
      <w:bCs/>
      <w:kern w:val="2"/>
      <w:sz w:val="30"/>
      <w:szCs w:val="30"/>
      <w:lang w:val="en-US" w:eastAsia="zh-CN" w:bidi="ar-SA"/>
    </w:rPr>
  </w:style>
  <w:style w:type="character" w:customStyle="1" w:styleId="1976">
    <w:name w:val="Char Char Char1 Char Char Char Char Char Char Char Char Char Char Char Char Char Char Char Char Char21"/>
    <w:qFormat/>
    <w:uiPriority w:val="0"/>
    <w:rPr>
      <w:rFonts w:hint="eastAsia" w:ascii="宋体" w:hAnsi="宋体" w:eastAsia="宋体"/>
      <w:kern w:val="2"/>
      <w:sz w:val="28"/>
      <w:szCs w:val="28"/>
      <w:lang w:val="en-US" w:eastAsia="zh-CN" w:bidi="ar-SA"/>
    </w:rPr>
  </w:style>
  <w:style w:type="character" w:customStyle="1" w:styleId="1977">
    <w:name w:val="Char Char421"/>
    <w:qFormat/>
    <w:uiPriority w:val="0"/>
    <w:rPr>
      <w:rFonts w:ascii="仿宋_GB2312" w:hAnsi="宋体" w:eastAsia="仿宋_GB2312"/>
      <w:kern w:val="2"/>
      <w:sz w:val="28"/>
      <w:szCs w:val="28"/>
      <w:lang w:val="en-US" w:eastAsia="zh-CN" w:bidi="ar-SA"/>
    </w:rPr>
  </w:style>
  <w:style w:type="character" w:customStyle="1" w:styleId="1978">
    <w:name w:val="标题 8 Char11"/>
    <w:qFormat/>
    <w:uiPriority w:val="0"/>
    <w:rPr>
      <w:rFonts w:ascii="Arial" w:hAnsi="Arial" w:eastAsia="黑体"/>
      <w:kern w:val="2"/>
      <w:sz w:val="24"/>
      <w:szCs w:val="24"/>
      <w:lang w:val="en-US" w:eastAsia="zh-CN" w:bidi="ar-SA"/>
    </w:rPr>
  </w:style>
  <w:style w:type="character" w:customStyle="1" w:styleId="1979">
    <w:name w:val="题注 Char312"/>
    <w:qFormat/>
    <w:uiPriority w:val="0"/>
    <w:rPr>
      <w:rFonts w:ascii="黑体" w:hAnsi="Arial" w:eastAsia="黑体" w:cs="Arial"/>
      <w:b/>
      <w:kern w:val="2"/>
      <w:sz w:val="24"/>
      <w:szCs w:val="24"/>
      <w:lang w:val="en-US" w:eastAsia="zh-CN" w:bidi="ar-SA"/>
    </w:rPr>
  </w:style>
  <w:style w:type="character" w:customStyle="1" w:styleId="1980">
    <w:name w:val="第一层条 Char6"/>
    <w:qFormat/>
    <w:uiPriority w:val="0"/>
    <w:rPr>
      <w:rFonts w:ascii="仿宋_GB2312" w:eastAsia="仿宋_GB2312"/>
      <w:b/>
      <w:kern w:val="2"/>
      <w:sz w:val="28"/>
      <w:lang w:val="en-US" w:eastAsia="zh-CN" w:bidi="ar-SA"/>
    </w:rPr>
  </w:style>
  <w:style w:type="character" w:customStyle="1" w:styleId="1981">
    <w:name w:val="表题1 Char613"/>
    <w:qFormat/>
    <w:uiPriority w:val="0"/>
    <w:rPr>
      <w:rFonts w:ascii="黑体" w:hAnsi="Arial" w:eastAsia="黑体" w:cs="Arial"/>
      <w:b/>
      <w:kern w:val="2"/>
      <w:sz w:val="24"/>
      <w:szCs w:val="24"/>
      <w:lang w:val="en-US" w:eastAsia="zh-CN" w:bidi="ar-SA"/>
    </w:rPr>
  </w:style>
  <w:style w:type="character" w:customStyle="1" w:styleId="1982">
    <w:name w:val="Char Char Char1 Char Char Char Char Char Char Char Char Char Char Char Char Char Char Char Char Char11"/>
    <w:qFormat/>
    <w:uiPriority w:val="0"/>
    <w:rPr>
      <w:rFonts w:hint="eastAsia" w:ascii="宋体" w:hAnsi="宋体" w:eastAsia="宋体"/>
      <w:kern w:val="2"/>
      <w:sz w:val="28"/>
      <w:szCs w:val="28"/>
      <w:lang w:val="en-US" w:eastAsia="zh-CN" w:bidi="ar-SA"/>
    </w:rPr>
  </w:style>
  <w:style w:type="character" w:customStyle="1" w:styleId="1983">
    <w:name w:val="正文首行缩进 Char3"/>
    <w:qFormat/>
    <w:uiPriority w:val="0"/>
    <w:rPr>
      <w:rFonts w:ascii="Times New Roman" w:hAnsi="Times New Roman" w:eastAsia="宋体" w:cs="Times New Roman"/>
      <w:kern w:val="2"/>
      <w:sz w:val="21"/>
      <w:szCs w:val="24"/>
      <w:lang w:val="en-US" w:eastAsia="zh-CN" w:bidi="ar-SA"/>
    </w:rPr>
  </w:style>
  <w:style w:type="character" w:customStyle="1" w:styleId="1984">
    <w:name w:val="Char Char91"/>
    <w:qFormat/>
    <w:uiPriority w:val="0"/>
    <w:rPr>
      <w:rFonts w:eastAsia="宋体"/>
      <w:kern w:val="2"/>
      <w:sz w:val="21"/>
      <w:szCs w:val="24"/>
      <w:shd w:val="clear" w:color="auto" w:fill="000080"/>
      <w:lang w:val="en-US" w:eastAsia="zh-CN" w:bidi="ar-SA"/>
    </w:rPr>
  </w:style>
  <w:style w:type="character" w:customStyle="1" w:styleId="1985">
    <w:name w:val="表格内字体 Char41"/>
    <w:qFormat/>
    <w:uiPriority w:val="0"/>
    <w:rPr>
      <w:rFonts w:ascii="宋体" w:hAnsi="宋体" w:eastAsia="宋体"/>
      <w:kern w:val="2"/>
      <w:sz w:val="21"/>
      <w:szCs w:val="24"/>
      <w:lang w:val="en-US" w:eastAsia="zh-CN" w:bidi="ar-SA"/>
    </w:rPr>
  </w:style>
  <w:style w:type="character" w:customStyle="1" w:styleId="1986">
    <w:name w:val="表格内字体 Char8"/>
    <w:qFormat/>
    <w:uiPriority w:val="0"/>
    <w:rPr>
      <w:rFonts w:ascii="宋体" w:hAnsi="宋体" w:eastAsia="宋体"/>
      <w:kern w:val="2"/>
      <w:sz w:val="21"/>
      <w:szCs w:val="24"/>
      <w:lang w:val="en-US" w:eastAsia="zh-CN" w:bidi="ar-SA"/>
    </w:rPr>
  </w:style>
  <w:style w:type="character" w:customStyle="1" w:styleId="1987">
    <w:name w:val="Char Char112"/>
    <w:qFormat/>
    <w:uiPriority w:val="0"/>
    <w:rPr>
      <w:rFonts w:ascii="黑体" w:hAnsi="Arial" w:eastAsia="黑体"/>
      <w:bCs/>
      <w:kern w:val="2"/>
      <w:sz w:val="30"/>
      <w:szCs w:val="30"/>
      <w:lang w:val="en-US" w:eastAsia="zh-CN" w:bidi="ar-SA"/>
    </w:rPr>
  </w:style>
  <w:style w:type="character" w:customStyle="1" w:styleId="1988">
    <w:name w:val="表格内字体 Char1"/>
    <w:qFormat/>
    <w:uiPriority w:val="0"/>
    <w:rPr>
      <w:rFonts w:ascii="宋体" w:hAnsi="宋体" w:eastAsia="宋体"/>
      <w:kern w:val="2"/>
      <w:sz w:val="21"/>
      <w:szCs w:val="24"/>
      <w:lang w:val="en-US" w:eastAsia="zh-CN" w:bidi="ar-SA"/>
    </w:rPr>
  </w:style>
  <w:style w:type="character" w:customStyle="1" w:styleId="1989">
    <w:name w:val="报告 Char Char Char Char Char"/>
    <w:qFormat/>
    <w:uiPriority w:val="0"/>
    <w:rPr>
      <w:kern w:val="2"/>
      <w:sz w:val="24"/>
      <w:szCs w:val="24"/>
    </w:rPr>
  </w:style>
  <w:style w:type="character" w:customStyle="1" w:styleId="1990">
    <w:name w:val="正文格式 Char101"/>
    <w:qFormat/>
    <w:uiPriority w:val="0"/>
    <w:rPr>
      <w:rFonts w:ascii="宋体" w:hAnsi="宋体" w:eastAsia="宋体"/>
      <w:kern w:val="2"/>
      <w:sz w:val="24"/>
      <w:szCs w:val="24"/>
      <w:lang w:val="en-US" w:eastAsia="zh-CN" w:bidi="ar-SA"/>
    </w:rPr>
  </w:style>
  <w:style w:type="character" w:customStyle="1" w:styleId="1991">
    <w:name w:val="表格内字体 Char12"/>
    <w:qFormat/>
    <w:uiPriority w:val="0"/>
    <w:rPr>
      <w:rFonts w:ascii="宋体" w:hAnsi="宋体" w:eastAsia="宋体"/>
      <w:kern w:val="2"/>
      <w:sz w:val="21"/>
      <w:szCs w:val="24"/>
      <w:lang w:val="en-US" w:eastAsia="zh-CN" w:bidi="ar-SA"/>
    </w:rPr>
  </w:style>
  <w:style w:type="character" w:customStyle="1" w:styleId="1992">
    <w:name w:val="Char Char610"/>
    <w:qFormat/>
    <w:uiPriority w:val="0"/>
    <w:rPr>
      <w:rFonts w:ascii="黑体" w:eastAsia="黑体"/>
      <w:b/>
      <w:bCs/>
      <w:kern w:val="2"/>
      <w:sz w:val="28"/>
      <w:szCs w:val="28"/>
      <w:lang w:val="en-US" w:eastAsia="zh-CN" w:bidi="ar-SA"/>
    </w:rPr>
  </w:style>
  <w:style w:type="character" w:customStyle="1" w:styleId="1993">
    <w:name w:val="题注 Char61"/>
    <w:qFormat/>
    <w:uiPriority w:val="0"/>
    <w:rPr>
      <w:rFonts w:ascii="黑体" w:hAnsi="Arial" w:eastAsia="黑体" w:cs="Arial"/>
      <w:b/>
      <w:kern w:val="2"/>
      <w:sz w:val="24"/>
      <w:szCs w:val="24"/>
      <w:lang w:val="en-US" w:eastAsia="zh-CN" w:bidi="ar-SA"/>
    </w:rPr>
  </w:style>
  <w:style w:type="character" w:customStyle="1" w:styleId="1994">
    <w:name w:val="正文-2 Char Char"/>
    <w:link w:val="1995"/>
    <w:qFormat/>
    <w:uiPriority w:val="0"/>
    <w:rPr>
      <w:sz w:val="24"/>
      <w:szCs w:val="24"/>
      <w:lang w:val="en-US" w:eastAsia="zh-CN" w:bidi="ar-SA"/>
    </w:rPr>
  </w:style>
  <w:style w:type="paragraph" w:customStyle="1" w:styleId="1995">
    <w:name w:val="正文-2"/>
    <w:link w:val="1994"/>
    <w:qFormat/>
    <w:uiPriority w:val="0"/>
    <w:pPr>
      <w:widowControl w:val="0"/>
      <w:spacing w:line="440" w:lineRule="exact"/>
      <w:ind w:firstLine="480" w:firstLineChars="200"/>
      <w:jc w:val="both"/>
    </w:pPr>
    <w:rPr>
      <w:rFonts w:ascii="Times New Roman" w:hAnsi="Times New Roman" w:eastAsia="宋体" w:cs="Times New Roman"/>
      <w:sz w:val="24"/>
      <w:szCs w:val="24"/>
      <w:lang w:val="en-US" w:eastAsia="zh-CN" w:bidi="ar-SA"/>
    </w:rPr>
  </w:style>
  <w:style w:type="character" w:customStyle="1" w:styleId="1996">
    <w:name w:val="HTS 1 Char"/>
    <w:qFormat/>
    <w:uiPriority w:val="0"/>
    <w:rPr>
      <w:rFonts w:ascii="楷体_GB2312" w:eastAsia="楷体_GB2312"/>
      <w:b/>
      <w:kern w:val="44"/>
      <w:sz w:val="30"/>
      <w:lang w:val="en-US" w:eastAsia="zh-CN" w:bidi="ar-SA"/>
    </w:rPr>
  </w:style>
  <w:style w:type="character" w:customStyle="1" w:styleId="1997">
    <w:name w:val="Char Char2110"/>
    <w:qFormat/>
    <w:uiPriority w:val="0"/>
    <w:rPr>
      <w:rFonts w:ascii="黑体" w:eastAsia="宋体"/>
      <w:kern w:val="2"/>
      <w:sz w:val="16"/>
      <w:szCs w:val="16"/>
      <w:lang w:val="en-US" w:eastAsia="zh-CN" w:bidi="ar-SA"/>
    </w:rPr>
  </w:style>
  <w:style w:type="character" w:customStyle="1" w:styleId="1998">
    <w:name w:val="Char Char58"/>
    <w:qFormat/>
    <w:uiPriority w:val="0"/>
    <w:rPr>
      <w:rFonts w:ascii="黑体" w:hAnsi="宋体" w:eastAsia="黑体"/>
      <w:bCs/>
      <w:kern w:val="2"/>
      <w:sz w:val="28"/>
      <w:szCs w:val="28"/>
      <w:lang w:val="en-US" w:eastAsia="zh-CN" w:bidi="ar-SA"/>
    </w:rPr>
  </w:style>
  <w:style w:type="character" w:customStyle="1" w:styleId="1999">
    <w:name w:val="样式 表格内字体 + Char13"/>
    <w:qFormat/>
    <w:uiPriority w:val="0"/>
    <w:rPr>
      <w:szCs w:val="24"/>
    </w:rPr>
  </w:style>
  <w:style w:type="character" w:customStyle="1" w:styleId="2000">
    <w:name w:val="正文文本缩进 3 Char2"/>
    <w:qFormat/>
    <w:uiPriority w:val="0"/>
    <w:rPr>
      <w:rFonts w:eastAsia="宋体"/>
      <w:kern w:val="2"/>
      <w:sz w:val="16"/>
      <w:szCs w:val="16"/>
      <w:lang w:val="en-US" w:eastAsia="zh-CN" w:bidi="ar-SA"/>
    </w:rPr>
  </w:style>
  <w:style w:type="character" w:customStyle="1" w:styleId="2001">
    <w:name w:val="表内5 Char Char"/>
    <w:link w:val="2002"/>
    <w:qFormat/>
    <w:uiPriority w:val="0"/>
    <w:rPr>
      <w:rFonts w:ascii="宋体" w:hAnsi="宋体"/>
    </w:rPr>
  </w:style>
  <w:style w:type="paragraph" w:customStyle="1" w:styleId="2002">
    <w:name w:val="表内51"/>
    <w:basedOn w:val="1"/>
    <w:link w:val="2001"/>
    <w:qFormat/>
    <w:uiPriority w:val="0"/>
    <w:pPr>
      <w:adjustRightInd w:val="0"/>
      <w:snapToGrid w:val="0"/>
      <w:jc w:val="center"/>
    </w:pPr>
    <w:rPr>
      <w:rFonts w:ascii="宋体" w:hAnsi="宋体"/>
      <w:kern w:val="0"/>
      <w:sz w:val="20"/>
      <w:szCs w:val="20"/>
    </w:rPr>
  </w:style>
  <w:style w:type="character" w:customStyle="1" w:styleId="2003">
    <w:name w:val="bz-content1"/>
    <w:qFormat/>
    <w:uiPriority w:val="0"/>
  </w:style>
  <w:style w:type="character" w:customStyle="1" w:styleId="2004">
    <w:name w:val="样式 标题 3小标题小节标题H3h33rd level第二层条标题4标题 3 Char标题 3 Char Ch... Char Char"/>
    <w:qFormat/>
    <w:uiPriority w:val="0"/>
    <w:rPr>
      <w:rFonts w:ascii="Arial" w:hAnsi="Arial"/>
      <w:b/>
      <w:bCs/>
      <w:kern w:val="32"/>
      <w:sz w:val="32"/>
      <w:szCs w:val="32"/>
    </w:rPr>
  </w:style>
  <w:style w:type="character" w:customStyle="1" w:styleId="2005">
    <w:name w:val="H23 Char Char"/>
    <w:qFormat/>
    <w:uiPriority w:val="0"/>
    <w:rPr>
      <w:rFonts w:ascii="仿宋_GB2312" w:eastAsia="仿宋_GB2312"/>
      <w:b/>
      <w:kern w:val="2"/>
      <w:sz w:val="28"/>
      <w:lang w:val="en-US" w:eastAsia="zh-CN" w:bidi="ar-SA"/>
    </w:rPr>
  </w:style>
  <w:style w:type="character" w:customStyle="1" w:styleId="2006">
    <w:name w:val="Char Char25"/>
    <w:qFormat/>
    <w:uiPriority w:val="0"/>
    <w:rPr>
      <w:kern w:val="2"/>
      <w:sz w:val="18"/>
      <w:szCs w:val="18"/>
    </w:rPr>
  </w:style>
  <w:style w:type="character" w:customStyle="1" w:styleId="2007">
    <w:name w:val="福建正文缩进 Char3"/>
    <w:qFormat/>
    <w:uiPriority w:val="0"/>
    <w:rPr>
      <w:rFonts w:ascii="宋体" w:hAnsi="宋体" w:eastAsia="宋体" w:cs="宋体"/>
      <w:color w:val="000000"/>
      <w:kern w:val="0"/>
      <w:sz w:val="24"/>
      <w:szCs w:val="24"/>
      <w:lang w:val="en-US" w:eastAsia="zh-CN" w:bidi="ar-SA"/>
    </w:rPr>
  </w:style>
  <w:style w:type="character" w:customStyle="1" w:styleId="2008">
    <w:name w:val="Char Char56"/>
    <w:qFormat/>
    <w:uiPriority w:val="0"/>
    <w:rPr>
      <w:rFonts w:ascii="黑体" w:hAnsi="宋体" w:eastAsia="黑体"/>
      <w:bCs/>
      <w:kern w:val="2"/>
      <w:sz w:val="28"/>
      <w:szCs w:val="28"/>
      <w:lang w:val="en-US" w:eastAsia="zh-CN" w:bidi="ar-SA"/>
    </w:rPr>
  </w:style>
  <w:style w:type="character" w:customStyle="1" w:styleId="2009">
    <w:name w:val="列表 Char Char Char"/>
    <w:qFormat/>
    <w:uiPriority w:val="0"/>
    <w:rPr>
      <w:rFonts w:eastAsia="宋体"/>
      <w:sz w:val="21"/>
      <w:szCs w:val="21"/>
      <w:lang w:val="en-US" w:eastAsia="zh-CN" w:bidi="ar-SA"/>
    </w:rPr>
  </w:style>
  <w:style w:type="character" w:customStyle="1" w:styleId="2010">
    <w:name w:val="Body Text 21 Char Char"/>
    <w:link w:val="146"/>
    <w:qFormat/>
    <w:uiPriority w:val="0"/>
    <w:rPr>
      <w:kern w:val="2"/>
      <w:sz w:val="24"/>
    </w:rPr>
  </w:style>
  <w:style w:type="character" w:customStyle="1" w:styleId="2011">
    <w:name w:val="Char Char1116"/>
    <w:qFormat/>
    <w:uiPriority w:val="0"/>
    <w:rPr>
      <w:rFonts w:ascii="黑体" w:hAnsi="Arial" w:eastAsia="黑体"/>
      <w:bCs/>
      <w:kern w:val="2"/>
      <w:sz w:val="30"/>
      <w:szCs w:val="30"/>
      <w:lang w:val="en-US" w:eastAsia="zh-CN" w:bidi="ar-SA"/>
    </w:rPr>
  </w:style>
  <w:style w:type="character" w:customStyle="1" w:styleId="2012">
    <w:name w:val="正文格式 Char14"/>
    <w:qFormat/>
    <w:uiPriority w:val="0"/>
    <w:rPr>
      <w:rFonts w:ascii="宋体" w:hAnsi="宋体" w:eastAsia="宋体"/>
      <w:kern w:val="2"/>
      <w:sz w:val="24"/>
      <w:szCs w:val="24"/>
      <w:lang w:val="en-US" w:eastAsia="zh-CN" w:bidi="ar-SA"/>
    </w:rPr>
  </w:style>
  <w:style w:type="character" w:customStyle="1" w:styleId="2013">
    <w:name w:val="表中文字 Char21"/>
    <w:qFormat/>
    <w:uiPriority w:val="0"/>
    <w:rPr>
      <w:rFonts w:ascii="宋体" w:eastAsia="宋体"/>
      <w:kern w:val="2"/>
      <w:sz w:val="21"/>
      <w:szCs w:val="21"/>
      <w:lang w:val="en-US" w:eastAsia="zh-CN" w:bidi="ar-SA"/>
    </w:rPr>
  </w:style>
  <w:style w:type="character" w:customStyle="1" w:styleId="2014">
    <w:name w:val="样式 黑色"/>
    <w:qFormat/>
    <w:uiPriority w:val="0"/>
    <w:rPr>
      <w:rFonts w:eastAsia="宋体"/>
      <w:color w:val="auto"/>
      <w:kern w:val="2"/>
      <w:sz w:val="24"/>
      <w:szCs w:val="24"/>
      <w:lang w:val="en-US" w:eastAsia="zh-CN" w:bidi="ar-SA"/>
    </w:rPr>
  </w:style>
  <w:style w:type="character" w:customStyle="1" w:styleId="2015">
    <w:name w:val="样式 标题 3小标题小节标题H3h33rd level第二层条标题4标题 3 Char标题 3 Char Ch... Char Char Char Char Char"/>
    <w:qFormat/>
    <w:uiPriority w:val="0"/>
    <w:rPr>
      <w:rFonts w:ascii="Arial" w:hAnsi="Arial" w:eastAsia="宋体"/>
      <w:b/>
      <w:bCs/>
      <w:kern w:val="32"/>
      <w:sz w:val="32"/>
      <w:szCs w:val="32"/>
      <w:lang w:val="en-US" w:eastAsia="zh-CN" w:bidi="ar-SA"/>
    </w:rPr>
  </w:style>
  <w:style w:type="character" w:customStyle="1" w:styleId="2016">
    <w:name w:val="z1"/>
    <w:qFormat/>
    <w:uiPriority w:val="0"/>
    <w:rPr>
      <w:rFonts w:eastAsia="宋体"/>
      <w:kern w:val="2"/>
      <w:sz w:val="18"/>
      <w:szCs w:val="18"/>
      <w:lang w:val="en-US" w:eastAsia="zh-CN" w:bidi="ar-SA"/>
    </w:rPr>
  </w:style>
  <w:style w:type="character" w:customStyle="1" w:styleId="2017">
    <w:name w:val="pt91"/>
    <w:qFormat/>
    <w:uiPriority w:val="0"/>
    <w:rPr>
      <w:color w:val="000000"/>
      <w:sz w:val="18"/>
      <w:szCs w:val="18"/>
      <w:u w:val="none"/>
    </w:rPr>
  </w:style>
  <w:style w:type="character" w:customStyle="1" w:styleId="2018">
    <w:name w:val="标题 1 Char4"/>
    <w:qFormat/>
    <w:uiPriority w:val="0"/>
    <w:rPr>
      <w:rFonts w:ascii="黑体" w:hAnsi="宋体" w:eastAsia="黑体"/>
      <w:b/>
      <w:bCs/>
      <w:kern w:val="44"/>
      <w:sz w:val="32"/>
      <w:szCs w:val="32"/>
      <w:lang w:val="en-US" w:eastAsia="zh-CN" w:bidi="ar-SA"/>
    </w:rPr>
  </w:style>
  <w:style w:type="character" w:customStyle="1" w:styleId="2019">
    <w:name w:val="样式 正文文本 + 红色 Char Char Char Char Char Char Char Char Char"/>
    <w:link w:val="2020"/>
    <w:qFormat/>
    <w:uiPriority w:val="0"/>
    <w:rPr>
      <w:rFonts w:eastAsia="仿宋_GB2312"/>
      <w:snapToGrid/>
      <w:color w:val="FF0000"/>
      <w:sz w:val="24"/>
      <w:szCs w:val="24"/>
    </w:rPr>
  </w:style>
  <w:style w:type="paragraph" w:customStyle="1" w:styleId="2020">
    <w:name w:val="样式 正文文本 + 红色 Char Char Char"/>
    <w:basedOn w:val="1"/>
    <w:link w:val="2019"/>
    <w:qFormat/>
    <w:uiPriority w:val="0"/>
    <w:pPr>
      <w:adjustRightInd w:val="0"/>
      <w:snapToGrid w:val="0"/>
      <w:spacing w:before="60" w:after="60" w:line="264" w:lineRule="auto"/>
      <w:ind w:firstLine="200" w:firstLineChars="200"/>
      <w:textAlignment w:val="baseline"/>
    </w:pPr>
    <w:rPr>
      <w:rFonts w:eastAsia="仿宋_GB2312"/>
      <w:snapToGrid w:val="0"/>
      <w:color w:val="FF0000"/>
      <w:kern w:val="0"/>
      <w:sz w:val="24"/>
    </w:rPr>
  </w:style>
  <w:style w:type="paragraph" w:customStyle="1" w:styleId="2021">
    <w:name w:val="Char Char Char Char Char Char Char32"/>
    <w:basedOn w:val="1"/>
    <w:qFormat/>
    <w:uiPriority w:val="0"/>
  </w:style>
  <w:style w:type="paragraph" w:customStyle="1" w:styleId="2022">
    <w:name w:val="默认段落字体 Para Char Char Char Char512"/>
    <w:basedOn w:val="1"/>
    <w:qFormat/>
    <w:uiPriority w:val="0"/>
  </w:style>
  <w:style w:type="paragraph" w:customStyle="1" w:styleId="2023">
    <w:name w:val="图题43"/>
    <w:basedOn w:val="184"/>
    <w:next w:val="184"/>
    <w:qFormat/>
    <w:uiPriority w:val="0"/>
    <w:pPr>
      <w:ind w:firstLine="0"/>
      <w:jc w:val="center"/>
    </w:pPr>
    <w:rPr>
      <w:rFonts w:ascii="黑体" w:hAnsi="宋体" w:eastAsia="黑体"/>
      <w:b/>
      <w:bCs/>
    </w:rPr>
  </w:style>
  <w:style w:type="paragraph" w:customStyle="1" w:styleId="2024">
    <w:name w:val="Char315"/>
    <w:basedOn w:val="1"/>
    <w:qFormat/>
    <w:uiPriority w:val="0"/>
    <w:pPr>
      <w:ind w:left="-48"/>
    </w:pPr>
  </w:style>
  <w:style w:type="paragraph" w:customStyle="1" w:styleId="2025">
    <w:name w:val="正文.5"/>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2026">
    <w:name w:val="图题712"/>
    <w:basedOn w:val="184"/>
    <w:next w:val="184"/>
    <w:qFormat/>
    <w:uiPriority w:val="0"/>
    <w:pPr>
      <w:ind w:firstLine="0"/>
      <w:jc w:val="center"/>
    </w:pPr>
    <w:rPr>
      <w:rFonts w:ascii="黑体" w:hAnsi="宋体" w:eastAsia="黑体"/>
      <w:b/>
      <w:bCs/>
    </w:rPr>
  </w:style>
  <w:style w:type="paragraph" w:customStyle="1" w:styleId="2027">
    <w:name w:val="环表"/>
    <w:basedOn w:val="1"/>
    <w:qFormat/>
    <w:uiPriority w:val="0"/>
    <w:pPr>
      <w:widowControl/>
      <w:tabs>
        <w:tab w:val="left" w:pos="5094"/>
      </w:tabs>
      <w:adjustRightInd w:val="0"/>
      <w:spacing w:before="120" w:after="120" w:line="312" w:lineRule="atLeast"/>
      <w:ind w:right="29"/>
      <w:jc w:val="center"/>
      <w:textAlignment w:val="baseline"/>
    </w:pPr>
    <w:rPr>
      <w:rFonts w:ascii="仿宋_GB2312" w:hAnsi="Courier New" w:eastAsia="仿宋_GB2312"/>
      <w:kern w:val="0"/>
    </w:rPr>
  </w:style>
  <w:style w:type="paragraph" w:customStyle="1" w:styleId="2028">
    <w:name w:val="Char Char1 Char Char Char1 Char Char Char Char Char Char Char Char Char Char Char Char"/>
    <w:basedOn w:val="1"/>
    <w:qFormat/>
    <w:uiPriority w:val="0"/>
    <w:rPr>
      <w:sz w:val="24"/>
    </w:rPr>
  </w:style>
  <w:style w:type="paragraph" w:customStyle="1" w:styleId="2029">
    <w:name w:val="默认段落字体 Para Char Char Char Char113"/>
    <w:basedOn w:val="1"/>
    <w:qFormat/>
    <w:uiPriority w:val="0"/>
  </w:style>
  <w:style w:type="paragraph" w:customStyle="1" w:styleId="2030">
    <w:name w:val="表格内字体83"/>
    <w:basedOn w:val="184"/>
    <w:next w:val="184"/>
    <w:qFormat/>
    <w:uiPriority w:val="0"/>
    <w:pPr>
      <w:spacing w:line="240" w:lineRule="auto"/>
      <w:ind w:firstLine="0"/>
      <w:jc w:val="center"/>
    </w:pPr>
    <w:rPr>
      <w:rFonts w:hAnsi="宋体"/>
      <w:sz w:val="21"/>
    </w:rPr>
  </w:style>
  <w:style w:type="paragraph" w:customStyle="1" w:styleId="2031">
    <w:name w:val="表中文字31"/>
    <w:basedOn w:val="1"/>
    <w:qFormat/>
    <w:uiPriority w:val="0"/>
    <w:pPr>
      <w:widowControl/>
      <w:spacing w:line="240" w:lineRule="atLeast"/>
      <w:ind w:left="-24" w:leftChars="-10" w:right="-48" w:rightChars="-20"/>
      <w:jc w:val="center"/>
    </w:pPr>
    <w:rPr>
      <w:rFonts w:ascii="宋体"/>
      <w:kern w:val="0"/>
      <w:szCs w:val="21"/>
    </w:rPr>
  </w:style>
  <w:style w:type="character" w:customStyle="1" w:styleId="2032">
    <w:name w:val="尾注文本 Char1"/>
    <w:qFormat/>
    <w:uiPriority w:val="0"/>
    <w:rPr>
      <w:kern w:val="2"/>
      <w:sz w:val="21"/>
      <w:szCs w:val="24"/>
    </w:rPr>
  </w:style>
  <w:style w:type="paragraph" w:customStyle="1" w:styleId="2033">
    <w:name w:val="Char412"/>
    <w:basedOn w:val="1"/>
    <w:qFormat/>
    <w:uiPriority w:val="0"/>
    <w:pPr>
      <w:ind w:left="-48"/>
    </w:pPr>
  </w:style>
  <w:style w:type="paragraph" w:customStyle="1" w:styleId="2034">
    <w:name w:val="前言正文"/>
    <w:basedOn w:val="2035"/>
    <w:qFormat/>
    <w:uiPriority w:val="0"/>
    <w:pPr>
      <w:adjustRightInd w:val="0"/>
      <w:spacing w:before="156"/>
      <w:jc w:val="both"/>
      <w:textAlignment w:val="baseline"/>
    </w:pPr>
    <w:rPr>
      <w:rFonts w:eastAsia="楷体_GB2312"/>
      <w:szCs w:val="20"/>
    </w:rPr>
  </w:style>
  <w:style w:type="paragraph" w:customStyle="1" w:styleId="2035">
    <w:name w:val="白洋淀"/>
    <w:basedOn w:val="1344"/>
    <w:qFormat/>
    <w:uiPriority w:val="0"/>
    <w:pPr>
      <w:spacing w:line="360" w:lineRule="auto"/>
      <w:ind w:firstLine="480"/>
      <w:jc w:val="left"/>
    </w:pPr>
    <w:rPr>
      <w:rFonts w:ascii="Calibri" w:hAnsi="Calibri" w:cs="宋体"/>
    </w:rPr>
  </w:style>
  <w:style w:type="paragraph" w:customStyle="1" w:styleId="2036">
    <w:name w:val="ｲﾝﾃﾞﾝﾄ-2"/>
    <w:basedOn w:val="1"/>
    <w:qFormat/>
    <w:uiPriority w:val="0"/>
    <w:pPr>
      <w:spacing w:line="360" w:lineRule="atLeast"/>
      <w:ind w:left="737"/>
    </w:pPr>
    <w:rPr>
      <w:rFonts w:ascii="MS Gothic" w:hAnsi="Century" w:eastAsia="MS Gothic"/>
      <w:szCs w:val="20"/>
      <w:lang w:eastAsia="ja-JP"/>
    </w:rPr>
  </w:style>
  <w:style w:type="paragraph" w:customStyle="1" w:styleId="2037">
    <w:name w:val="表内小5中"/>
    <w:basedOn w:val="1"/>
    <w:qFormat/>
    <w:uiPriority w:val="0"/>
    <w:pPr>
      <w:adjustRightInd w:val="0"/>
      <w:snapToGrid w:val="0"/>
      <w:jc w:val="center"/>
    </w:pPr>
    <w:rPr>
      <w:rFonts w:ascii="宋体" w:hAnsi="宋体"/>
      <w:sz w:val="18"/>
      <w:szCs w:val="20"/>
    </w:rPr>
  </w:style>
  <w:style w:type="paragraph" w:customStyle="1" w:styleId="2038">
    <w:name w:val="表内5中413"/>
    <w:basedOn w:val="1"/>
    <w:qFormat/>
    <w:uiPriority w:val="0"/>
    <w:pPr>
      <w:adjustRightInd w:val="0"/>
      <w:snapToGrid w:val="0"/>
      <w:jc w:val="center"/>
    </w:pPr>
    <w:rPr>
      <w:rFonts w:ascii="宋体"/>
      <w:bCs/>
      <w:szCs w:val="20"/>
    </w:rPr>
  </w:style>
  <w:style w:type="paragraph" w:customStyle="1" w:styleId="2039">
    <w:name w:val="9 Char Char Char6"/>
    <w:basedOn w:val="1"/>
    <w:qFormat/>
    <w:uiPriority w:val="0"/>
    <w:pPr>
      <w:spacing w:line="240" w:lineRule="exact"/>
      <w:ind w:firstLine="200" w:firstLineChars="200"/>
    </w:pPr>
    <w:rPr>
      <w:sz w:val="28"/>
      <w:szCs w:val="28"/>
    </w:rPr>
  </w:style>
  <w:style w:type="paragraph" w:customStyle="1" w:styleId="2040">
    <w:name w:val="Char Char Char Char Char Char Char Char Char Char Char Char Char Char Char Char Char Char Char Char Char"/>
    <w:basedOn w:val="1"/>
    <w:qFormat/>
    <w:uiPriority w:val="0"/>
    <w:pPr>
      <w:spacing w:line="240" w:lineRule="exact"/>
      <w:ind w:firstLine="200" w:firstLineChars="200"/>
    </w:pPr>
    <w:rPr>
      <w:sz w:val="28"/>
      <w:szCs w:val="28"/>
    </w:rPr>
  </w:style>
  <w:style w:type="paragraph" w:customStyle="1" w:styleId="2041">
    <w:name w:val="Char152"/>
    <w:basedOn w:val="1"/>
    <w:qFormat/>
    <w:uiPriority w:val="0"/>
    <w:pPr>
      <w:adjustRightInd w:val="0"/>
      <w:snapToGrid w:val="0"/>
      <w:spacing w:beforeLines="50" w:line="360" w:lineRule="auto"/>
    </w:pPr>
    <w:rPr>
      <w:rFonts w:ascii="黑体" w:eastAsia="黑体"/>
      <w:sz w:val="32"/>
      <w:szCs w:val="32"/>
    </w:rPr>
  </w:style>
  <w:style w:type="paragraph" w:customStyle="1" w:styleId="2042">
    <w:name w:val="表内511"/>
    <w:basedOn w:val="1"/>
    <w:qFormat/>
    <w:uiPriority w:val="0"/>
    <w:pPr>
      <w:adjustRightInd w:val="0"/>
      <w:snapToGrid w:val="0"/>
      <w:jc w:val="center"/>
    </w:pPr>
    <w:rPr>
      <w:rFonts w:ascii="宋体" w:hAnsi="宋体"/>
      <w:kern w:val="0"/>
      <w:sz w:val="20"/>
      <w:szCs w:val="20"/>
    </w:rPr>
  </w:style>
  <w:style w:type="paragraph" w:customStyle="1" w:styleId="2043">
    <w:name w:val="图题25"/>
    <w:basedOn w:val="184"/>
    <w:next w:val="184"/>
    <w:qFormat/>
    <w:uiPriority w:val="0"/>
    <w:pPr>
      <w:ind w:firstLine="0"/>
      <w:jc w:val="center"/>
    </w:pPr>
    <w:rPr>
      <w:rFonts w:ascii="黑体" w:hAnsi="宋体" w:eastAsia="黑体"/>
      <w:b/>
      <w:bCs/>
    </w:rPr>
  </w:style>
  <w:style w:type="paragraph" w:customStyle="1" w:styleId="2044">
    <w:name w:val="样式 标题 4无效格式无效格式1河石管道4H4H41小小节河石管道41H42H411小小节1河石管道42...23"/>
    <w:basedOn w:val="5"/>
    <w:qFormat/>
    <w:uiPriority w:val="0"/>
    <w:pPr>
      <w:adjustRightInd w:val="0"/>
      <w:snapToGrid w:val="0"/>
      <w:spacing w:line="360" w:lineRule="auto"/>
      <w:ind w:left="664" w:hanging="864"/>
    </w:pPr>
    <w:rPr>
      <w:rFonts w:ascii="黑体" w:eastAsia="黑体"/>
      <w:bCs w:val="0"/>
      <w:sz w:val="24"/>
      <w:szCs w:val="24"/>
    </w:rPr>
  </w:style>
  <w:style w:type="paragraph" w:customStyle="1" w:styleId="2045">
    <w:name w:val="正文.13"/>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2046">
    <w:name w:val="Char Char Char Char Char Char Char2110"/>
    <w:basedOn w:val="1"/>
    <w:qFormat/>
    <w:uiPriority w:val="0"/>
  </w:style>
  <w:style w:type="paragraph" w:customStyle="1" w:styleId="2047">
    <w:name w:val="表格内容3"/>
    <w:qFormat/>
    <w:uiPriority w:val="0"/>
    <w:pPr>
      <w:jc w:val="center"/>
    </w:pPr>
    <w:rPr>
      <w:rFonts w:ascii="Times New Roman" w:hAnsi="Times New Roman" w:eastAsia="宋体" w:cs="Times New Roman"/>
      <w:kern w:val="2"/>
      <w:sz w:val="21"/>
      <w:szCs w:val="21"/>
      <w:lang w:val="en-US" w:eastAsia="zh-CN" w:bidi="ar-SA"/>
    </w:rPr>
  </w:style>
  <w:style w:type="paragraph" w:customStyle="1" w:styleId="2048">
    <w:name w:val="默认段落字体 Para Char8"/>
    <w:basedOn w:val="1"/>
    <w:qFormat/>
    <w:uiPriority w:val="0"/>
    <w:pPr>
      <w:spacing w:line="360" w:lineRule="auto"/>
      <w:ind w:firstLine="200" w:firstLineChars="200"/>
    </w:pPr>
    <w:rPr>
      <w:rFonts w:ascii="宋体" w:hAnsi="宋体" w:cs="宋体"/>
      <w:sz w:val="24"/>
    </w:rPr>
  </w:style>
  <w:style w:type="paragraph" w:customStyle="1" w:styleId="2049">
    <w:name w:val="正文-标准"/>
    <w:basedOn w:val="1"/>
    <w:qFormat/>
    <w:uiPriority w:val="0"/>
    <w:pPr>
      <w:spacing w:line="500" w:lineRule="exact"/>
      <w:ind w:firstLine="200" w:firstLineChars="200"/>
    </w:pPr>
    <w:rPr>
      <w:sz w:val="24"/>
    </w:rPr>
  </w:style>
  <w:style w:type="paragraph" w:customStyle="1" w:styleId="2050">
    <w:name w:val="Char Char Char Char Char Char Char Char Char Char Char Char1"/>
    <w:basedOn w:val="1"/>
    <w:qFormat/>
    <w:uiPriority w:val="0"/>
    <w:pPr>
      <w:spacing w:line="240" w:lineRule="exact"/>
      <w:ind w:firstLine="200" w:firstLineChars="200"/>
    </w:pPr>
    <w:rPr>
      <w:sz w:val="28"/>
      <w:szCs w:val="28"/>
    </w:rPr>
  </w:style>
  <w:style w:type="paragraph" w:customStyle="1" w:styleId="2051">
    <w:name w:val="正文格式313"/>
    <w:basedOn w:val="1"/>
    <w:qFormat/>
    <w:uiPriority w:val="0"/>
    <w:pPr>
      <w:spacing w:line="360" w:lineRule="auto"/>
      <w:ind w:firstLine="482"/>
    </w:pPr>
    <w:rPr>
      <w:rFonts w:ascii="宋体" w:hAnsi="宋体"/>
      <w:sz w:val="24"/>
    </w:rPr>
  </w:style>
  <w:style w:type="paragraph" w:customStyle="1" w:styleId="2052">
    <w:name w:val="Char Char Char1 Char Char Char Char Char Char Char Char Char Char Char Char Char Char Char"/>
    <w:basedOn w:val="1"/>
    <w:qFormat/>
    <w:uiPriority w:val="0"/>
    <w:pPr>
      <w:spacing w:line="240" w:lineRule="exact"/>
      <w:ind w:firstLine="200" w:firstLineChars="200"/>
    </w:pPr>
    <w:rPr>
      <w:sz w:val="28"/>
      <w:szCs w:val="28"/>
    </w:rPr>
  </w:style>
  <w:style w:type="paragraph" w:customStyle="1" w:styleId="2053">
    <w:name w:val="表内文字小2134"/>
    <w:basedOn w:val="1"/>
    <w:qFormat/>
    <w:uiPriority w:val="0"/>
    <w:pPr>
      <w:adjustRightInd w:val="0"/>
      <w:snapToGrid w:val="0"/>
      <w:jc w:val="center"/>
      <w:textAlignment w:val="baseline"/>
    </w:pPr>
    <w:rPr>
      <w:rFonts w:ascii="宋体" w:hAnsi="Times"/>
      <w:bCs/>
      <w:color w:val="000000"/>
      <w:szCs w:val="20"/>
    </w:rPr>
  </w:style>
  <w:style w:type="paragraph" w:customStyle="1" w:styleId="2054">
    <w:name w:val="表内文字小3143"/>
    <w:basedOn w:val="1"/>
    <w:qFormat/>
    <w:uiPriority w:val="0"/>
    <w:pPr>
      <w:adjustRightInd w:val="0"/>
      <w:snapToGrid w:val="0"/>
      <w:jc w:val="center"/>
    </w:pPr>
    <w:rPr>
      <w:rFonts w:ascii="宋体" w:hAnsi="Times" w:cs="宋体"/>
      <w:bCs/>
      <w:color w:val="003366"/>
      <w:szCs w:val="20"/>
    </w:rPr>
  </w:style>
  <w:style w:type="paragraph" w:customStyle="1" w:styleId="2055">
    <w:name w:val="正文格式2111"/>
    <w:basedOn w:val="1"/>
    <w:qFormat/>
    <w:uiPriority w:val="0"/>
    <w:pPr>
      <w:spacing w:line="360" w:lineRule="auto"/>
      <w:ind w:firstLine="482"/>
    </w:pPr>
    <w:rPr>
      <w:rFonts w:ascii="宋体" w:hAnsi="宋体"/>
      <w:sz w:val="24"/>
    </w:rPr>
  </w:style>
  <w:style w:type="paragraph" w:customStyle="1" w:styleId="2056">
    <w:name w:val="正文修改53"/>
    <w:basedOn w:val="1161"/>
    <w:qFormat/>
    <w:uiPriority w:val="0"/>
    <w:rPr>
      <w:rFonts w:hAnsi="宋体"/>
      <w:color w:val="000000"/>
    </w:rPr>
  </w:style>
  <w:style w:type="paragraph" w:customStyle="1" w:styleId="2057">
    <w:name w:val="表题3113"/>
    <w:basedOn w:val="34"/>
    <w:qFormat/>
    <w:uiPriority w:val="0"/>
    <w:pPr>
      <w:tabs>
        <w:tab w:val="left" w:pos="4305"/>
      </w:tabs>
      <w:adjustRightInd w:val="0"/>
      <w:snapToGrid w:val="0"/>
      <w:spacing w:after="0"/>
      <w:ind w:left="0" w:leftChars="0"/>
      <w:jc w:val="center"/>
    </w:pPr>
    <w:rPr>
      <w:rFonts w:ascii="宋体" w:hAnsi="宋体"/>
      <w:sz w:val="24"/>
      <w:szCs w:val="20"/>
    </w:rPr>
  </w:style>
  <w:style w:type="paragraph" w:customStyle="1" w:styleId="2058">
    <w:name w:val="图文文字"/>
    <w:qFormat/>
    <w:uiPriority w:val="0"/>
    <w:pPr>
      <w:jc w:val="center"/>
    </w:pPr>
    <w:rPr>
      <w:rFonts w:ascii="Times New Roman" w:hAnsi="Times New Roman" w:eastAsia="宋体" w:cs="Times New Roman"/>
      <w:sz w:val="21"/>
      <w:lang w:val="en-US" w:eastAsia="zh-CN" w:bidi="ar-SA"/>
    </w:rPr>
  </w:style>
  <w:style w:type="paragraph" w:customStyle="1" w:styleId="2059">
    <w:name w:val="Char Char Char Char Char Char Char40"/>
    <w:basedOn w:val="1"/>
    <w:qFormat/>
    <w:uiPriority w:val="0"/>
  </w:style>
  <w:style w:type="paragraph" w:customStyle="1" w:styleId="2060">
    <w:name w:val="Char4 Char Char Char Char Char Char Char Char Char Char Char Char Char Char Char Char Char1 Char Char Char Char Char Char1 Char Char Char Char Char Char Char Char Char Char Char Char Char Char Char Char Char Char Char"/>
    <w:basedOn w:val="1"/>
    <w:qFormat/>
    <w:uiPriority w:val="0"/>
    <w:pPr>
      <w:spacing w:line="240" w:lineRule="exact"/>
      <w:ind w:firstLine="200" w:firstLineChars="200"/>
    </w:pPr>
    <w:rPr>
      <w:sz w:val="28"/>
      <w:szCs w:val="28"/>
    </w:rPr>
  </w:style>
  <w:style w:type="paragraph" w:customStyle="1" w:styleId="2061">
    <w:name w:val="表格3"/>
    <w:basedOn w:val="1"/>
    <w:next w:val="1"/>
    <w:qFormat/>
    <w:uiPriority w:val="0"/>
    <w:pPr>
      <w:adjustRightInd w:val="0"/>
      <w:jc w:val="center"/>
      <w:textAlignment w:val="baseline"/>
    </w:pPr>
    <w:rPr>
      <w:kern w:val="0"/>
      <w:sz w:val="24"/>
      <w:szCs w:val="20"/>
    </w:rPr>
  </w:style>
  <w:style w:type="paragraph" w:customStyle="1" w:styleId="2062">
    <w:name w:val="备注文字"/>
    <w:basedOn w:val="1"/>
    <w:qFormat/>
    <w:uiPriority w:val="0"/>
    <w:pPr>
      <w:pBdr>
        <w:top w:val="single" w:color="auto" w:sz="4" w:space="1"/>
      </w:pBdr>
      <w:adjustRightInd w:val="0"/>
      <w:spacing w:line="240" w:lineRule="atLeast"/>
      <w:textAlignment w:val="baseline"/>
    </w:pPr>
    <w:rPr>
      <w:rFonts w:eastAsia="楷体_GB2312" w:cs="宋体"/>
      <w:kern w:val="0"/>
      <w:szCs w:val="21"/>
    </w:rPr>
  </w:style>
  <w:style w:type="paragraph" w:customStyle="1" w:styleId="2063">
    <w:name w:val="Char Char Char Char Char Char Char13"/>
    <w:basedOn w:val="1"/>
    <w:qFormat/>
    <w:uiPriority w:val="0"/>
  </w:style>
  <w:style w:type="paragraph" w:customStyle="1" w:styleId="2064">
    <w:name w:val="表中文字33"/>
    <w:basedOn w:val="1"/>
    <w:qFormat/>
    <w:uiPriority w:val="0"/>
    <w:pPr>
      <w:widowControl/>
      <w:spacing w:line="240" w:lineRule="atLeast"/>
      <w:ind w:left="-24" w:leftChars="-10" w:right="-48" w:rightChars="-20"/>
      <w:jc w:val="center"/>
    </w:pPr>
    <w:rPr>
      <w:rFonts w:ascii="宋体"/>
      <w:kern w:val="0"/>
      <w:szCs w:val="21"/>
    </w:rPr>
  </w:style>
  <w:style w:type="paragraph" w:customStyle="1" w:styleId="2065">
    <w:name w:val="ENUM"/>
    <w:basedOn w:val="1"/>
    <w:qFormat/>
    <w:uiPriority w:val="0"/>
    <w:pPr>
      <w:widowControl/>
      <w:tabs>
        <w:tab w:val="left" w:pos="1324"/>
        <w:tab w:val="left" w:pos="1418"/>
      </w:tabs>
      <w:spacing w:before="60" w:after="60"/>
      <w:ind w:left="1418" w:hanging="284" w:firstLineChars="200"/>
    </w:pPr>
    <w:rPr>
      <w:rFonts w:ascii="Arial" w:hAnsi="Arial"/>
      <w:kern w:val="0"/>
      <w:sz w:val="22"/>
      <w:szCs w:val="20"/>
      <w:lang w:val="en-GB"/>
    </w:rPr>
  </w:style>
  <w:style w:type="paragraph" w:customStyle="1" w:styleId="2066">
    <w:name w:val="表格标题8"/>
    <w:basedOn w:val="81"/>
    <w:qFormat/>
    <w:uiPriority w:val="0"/>
    <w:pPr>
      <w:pBdr>
        <w:top w:val="single" w:color="auto" w:sz="4" w:space="1"/>
      </w:pBdr>
      <w:tabs>
        <w:tab w:val="left" w:pos="0"/>
      </w:tabs>
      <w:adjustRightInd w:val="0"/>
      <w:spacing w:before="0" w:after="0" w:line="360" w:lineRule="auto"/>
      <w:ind w:left="0" w:firstLine="0"/>
      <w:jc w:val="center"/>
      <w:textAlignment w:val="baseline"/>
    </w:pPr>
    <w:rPr>
      <w:rFonts w:ascii="Times New Roman" w:hAnsi="Times New Roman" w:eastAsia="宋体"/>
      <w:b/>
    </w:rPr>
  </w:style>
  <w:style w:type="paragraph" w:customStyle="1" w:styleId="2067">
    <w:name w:val="黑体三号1"/>
    <w:basedOn w:val="184"/>
    <w:qFormat/>
    <w:uiPriority w:val="0"/>
    <w:pPr>
      <w:jc w:val="center"/>
    </w:pPr>
    <w:rPr>
      <w:rFonts w:ascii="黑体" w:hAnsi="宋体" w:eastAsia="黑体"/>
      <w:b/>
      <w:bCs/>
      <w:sz w:val="32"/>
      <w:szCs w:val="20"/>
    </w:rPr>
  </w:style>
  <w:style w:type="paragraph" w:customStyle="1" w:styleId="2068">
    <w:name w:val="附件212"/>
    <w:basedOn w:val="2"/>
    <w:next w:val="184"/>
    <w:qFormat/>
    <w:uiPriority w:val="0"/>
    <w:pPr>
      <w:tabs>
        <w:tab w:val="left" w:pos="1566"/>
        <w:tab w:val="left" w:pos="2040"/>
      </w:tabs>
      <w:spacing w:before="0" w:after="210" w:line="360" w:lineRule="auto"/>
      <w:ind w:left="2040" w:leftChars="800" w:hanging="360" w:hangingChars="200"/>
      <w:jc w:val="left"/>
    </w:pPr>
    <w:rPr>
      <w:rFonts w:ascii="黑体" w:hAnsi="宋体" w:eastAsia="黑体"/>
      <w:b w:val="0"/>
      <w:sz w:val="32"/>
      <w:szCs w:val="32"/>
    </w:rPr>
  </w:style>
  <w:style w:type="paragraph" w:customStyle="1" w:styleId="2069">
    <w:name w:val="黑体三号34"/>
    <w:basedOn w:val="184"/>
    <w:qFormat/>
    <w:uiPriority w:val="0"/>
    <w:pPr>
      <w:jc w:val="center"/>
    </w:pPr>
    <w:rPr>
      <w:rFonts w:ascii="黑体" w:hAnsi="宋体" w:eastAsia="黑体"/>
      <w:b/>
      <w:bCs/>
      <w:sz w:val="32"/>
      <w:szCs w:val="20"/>
    </w:rPr>
  </w:style>
  <w:style w:type="paragraph" w:customStyle="1" w:styleId="2070">
    <w:name w:val="Char420"/>
    <w:basedOn w:val="1"/>
    <w:qFormat/>
    <w:uiPriority w:val="0"/>
    <w:pPr>
      <w:ind w:left="-48"/>
    </w:pPr>
  </w:style>
  <w:style w:type="paragraph" w:customStyle="1" w:styleId="2071">
    <w:name w:val="表内容"/>
    <w:basedOn w:val="1"/>
    <w:qFormat/>
    <w:uiPriority w:val="0"/>
    <w:pPr>
      <w:ind w:firstLine="200" w:firstLineChars="200"/>
    </w:pPr>
    <w:rPr>
      <w:rFonts w:ascii="宋体" w:hAnsi="宋体"/>
    </w:rPr>
  </w:style>
  <w:style w:type="paragraph" w:customStyle="1" w:styleId="2072">
    <w:name w:val="图表名"/>
    <w:basedOn w:val="1"/>
    <w:next w:val="1"/>
    <w:qFormat/>
    <w:uiPriority w:val="0"/>
    <w:pPr>
      <w:widowControl/>
      <w:suppressAutoHyphens/>
      <w:overflowPunct w:val="0"/>
      <w:topLinePunct/>
      <w:autoSpaceDE w:val="0"/>
      <w:autoSpaceDN w:val="0"/>
      <w:adjustRightInd w:val="0"/>
      <w:snapToGrid w:val="0"/>
      <w:spacing w:line="300" w:lineRule="auto"/>
      <w:jc w:val="center"/>
    </w:pPr>
    <w:rPr>
      <w:rFonts w:ascii="黑体" w:hAnsi="宋体" w:eastAsia="黑体"/>
      <w:color w:val="000000"/>
      <w:sz w:val="24"/>
      <w:szCs w:val="28"/>
    </w:rPr>
  </w:style>
  <w:style w:type="paragraph" w:customStyle="1" w:styleId="2073">
    <w:name w:val="黑体三号7"/>
    <w:basedOn w:val="184"/>
    <w:qFormat/>
    <w:uiPriority w:val="0"/>
    <w:pPr>
      <w:jc w:val="center"/>
    </w:pPr>
    <w:rPr>
      <w:rFonts w:ascii="黑体" w:hAnsi="宋体" w:eastAsia="黑体"/>
      <w:b/>
      <w:bCs/>
      <w:sz w:val="32"/>
      <w:szCs w:val="20"/>
    </w:rPr>
  </w:style>
  <w:style w:type="paragraph" w:customStyle="1" w:styleId="2074">
    <w:name w:val="Char217"/>
    <w:basedOn w:val="1"/>
    <w:qFormat/>
    <w:uiPriority w:val="0"/>
    <w:pPr>
      <w:ind w:left="-48"/>
    </w:pPr>
  </w:style>
  <w:style w:type="paragraph" w:customStyle="1" w:styleId="2075">
    <w:name w:val="表中文字8"/>
    <w:basedOn w:val="1"/>
    <w:qFormat/>
    <w:uiPriority w:val="0"/>
    <w:pPr>
      <w:widowControl/>
      <w:spacing w:line="240" w:lineRule="atLeast"/>
      <w:ind w:left="-24" w:leftChars="-10" w:right="-48" w:rightChars="-20"/>
      <w:jc w:val="center"/>
    </w:pPr>
    <w:rPr>
      <w:rFonts w:ascii="宋体"/>
      <w:kern w:val="0"/>
      <w:szCs w:val="21"/>
    </w:rPr>
  </w:style>
  <w:style w:type="paragraph" w:customStyle="1" w:styleId="2076">
    <w:name w:val="Char317"/>
    <w:basedOn w:val="1"/>
    <w:qFormat/>
    <w:uiPriority w:val="0"/>
    <w:pPr>
      <w:ind w:left="-48"/>
    </w:pPr>
  </w:style>
  <w:style w:type="paragraph" w:customStyle="1" w:styleId="2077">
    <w:name w:val="样式 表格文字 + 小四"/>
    <w:basedOn w:val="119"/>
    <w:qFormat/>
    <w:uiPriority w:val="0"/>
    <w:pPr>
      <w:tabs>
        <w:tab w:val="clear" w:pos="4153"/>
        <w:tab w:val="clear" w:pos="8306"/>
      </w:tabs>
      <w:autoSpaceDE w:val="0"/>
      <w:autoSpaceDN w:val="0"/>
      <w:snapToGrid/>
      <w:spacing w:line="240" w:lineRule="auto"/>
      <w:ind w:firstLine="0" w:firstLineChars="0"/>
      <w:jc w:val="center"/>
      <w:textAlignment w:val="baseline"/>
    </w:pPr>
    <w:rPr>
      <w:rFonts w:eastAsia="宋体"/>
      <w:color w:val="000000"/>
      <w:kern w:val="0"/>
      <w:sz w:val="24"/>
      <w:szCs w:val="20"/>
    </w:rPr>
  </w:style>
  <w:style w:type="paragraph" w:customStyle="1" w:styleId="2078">
    <w:name w:val="样式 表格内字体1 +11"/>
    <w:basedOn w:val="2079"/>
    <w:next w:val="1875"/>
    <w:qFormat/>
    <w:uiPriority w:val="0"/>
    <w:rPr>
      <w:rFonts w:hAnsi="Times New Roman"/>
      <w:szCs w:val="20"/>
    </w:rPr>
  </w:style>
  <w:style w:type="paragraph" w:customStyle="1" w:styleId="2079">
    <w:name w:val="表格内字体1"/>
    <w:basedOn w:val="184"/>
    <w:next w:val="184"/>
    <w:qFormat/>
    <w:uiPriority w:val="0"/>
    <w:pPr>
      <w:spacing w:line="240" w:lineRule="auto"/>
      <w:ind w:firstLine="0"/>
      <w:jc w:val="center"/>
    </w:pPr>
    <w:rPr>
      <w:rFonts w:hAnsi="宋体"/>
      <w:sz w:val="21"/>
    </w:rPr>
  </w:style>
  <w:style w:type="paragraph" w:customStyle="1" w:styleId="2080">
    <w:name w:val="标题4316"/>
    <w:basedOn w:val="1"/>
    <w:qFormat/>
    <w:uiPriority w:val="0"/>
    <w:pPr>
      <w:adjustRightInd w:val="0"/>
      <w:snapToGrid w:val="0"/>
      <w:spacing w:line="480" w:lineRule="exact"/>
      <w:jc w:val="center"/>
    </w:pPr>
    <w:rPr>
      <w:rFonts w:ascii="宋体" w:hAnsi="宋体" w:cs="宋体"/>
      <w:sz w:val="24"/>
    </w:rPr>
  </w:style>
  <w:style w:type="paragraph" w:customStyle="1" w:styleId="2081">
    <w:name w:val="表头8"/>
    <w:basedOn w:val="1"/>
    <w:qFormat/>
    <w:uiPriority w:val="0"/>
    <w:pPr>
      <w:tabs>
        <w:tab w:val="left" w:pos="360"/>
        <w:tab w:val="left" w:pos="1728"/>
        <w:tab w:val="left" w:pos="2866"/>
      </w:tabs>
      <w:adjustRightInd w:val="0"/>
      <w:snapToGrid w:val="0"/>
      <w:spacing w:beforeLines="100" w:afterLines="50" w:line="240" w:lineRule="atLeast"/>
      <w:ind w:left="845" w:hanging="425"/>
    </w:pPr>
    <w:rPr>
      <w:b/>
      <w:color w:val="000000"/>
      <w:sz w:val="24"/>
    </w:rPr>
  </w:style>
  <w:style w:type="paragraph" w:customStyle="1" w:styleId="2082">
    <w:name w:val="Char83"/>
    <w:basedOn w:val="1"/>
    <w:qFormat/>
    <w:uiPriority w:val="0"/>
    <w:pPr>
      <w:ind w:left="-48"/>
    </w:pPr>
  </w:style>
  <w:style w:type="paragraph" w:customStyle="1" w:styleId="2083">
    <w:name w:val="默认段落字体 Para Char Char Char Char53"/>
    <w:basedOn w:val="1"/>
    <w:qFormat/>
    <w:uiPriority w:val="0"/>
  </w:style>
  <w:style w:type="paragraph" w:customStyle="1" w:styleId="2084">
    <w:name w:val="燕山正文33"/>
    <w:basedOn w:val="1"/>
    <w:qFormat/>
    <w:uiPriority w:val="0"/>
    <w:pPr>
      <w:tabs>
        <w:tab w:val="left" w:pos="4680"/>
      </w:tabs>
      <w:adjustRightInd w:val="0"/>
      <w:snapToGrid w:val="0"/>
      <w:spacing w:line="480" w:lineRule="exact"/>
    </w:pPr>
    <w:rPr>
      <w:rFonts w:ascii="宋体" w:cs="宋体"/>
      <w:sz w:val="24"/>
    </w:rPr>
  </w:style>
  <w:style w:type="paragraph" w:customStyle="1" w:styleId="2085">
    <w:name w:val="表格内字体123"/>
    <w:basedOn w:val="184"/>
    <w:next w:val="184"/>
    <w:qFormat/>
    <w:uiPriority w:val="0"/>
    <w:pPr>
      <w:spacing w:line="240" w:lineRule="auto"/>
      <w:ind w:firstLine="0"/>
      <w:jc w:val="center"/>
    </w:pPr>
    <w:rPr>
      <w:rFonts w:hAnsi="宋体"/>
      <w:sz w:val="21"/>
    </w:rPr>
  </w:style>
  <w:style w:type="paragraph" w:customStyle="1" w:styleId="2086">
    <w:name w:val="样式 表格内字体1 +4"/>
    <w:basedOn w:val="2079"/>
    <w:next w:val="1875"/>
    <w:qFormat/>
    <w:uiPriority w:val="0"/>
    <w:rPr>
      <w:rFonts w:hAnsi="Times New Roman"/>
      <w:szCs w:val="20"/>
    </w:rPr>
  </w:style>
  <w:style w:type="paragraph" w:customStyle="1" w:styleId="2087">
    <w:name w:val="表格小4居中"/>
    <w:basedOn w:val="1"/>
    <w:qFormat/>
    <w:uiPriority w:val="0"/>
    <w:pPr>
      <w:adjustRightInd w:val="0"/>
      <w:snapToGrid w:val="0"/>
      <w:spacing w:before="60" w:after="60" w:line="320" w:lineRule="atLeast"/>
      <w:jc w:val="center"/>
    </w:pPr>
    <w:rPr>
      <w:rFonts w:cs="宋体"/>
      <w:sz w:val="24"/>
      <w:szCs w:val="20"/>
    </w:rPr>
  </w:style>
  <w:style w:type="paragraph" w:customStyle="1" w:styleId="2088">
    <w:name w:val="Char Char1 Char Char Char Char Char Char Char Char Char Char"/>
    <w:basedOn w:val="1"/>
    <w:qFormat/>
    <w:uiPriority w:val="0"/>
    <w:pPr>
      <w:widowControl/>
      <w:spacing w:line="560" w:lineRule="exact"/>
      <w:ind w:firstLine="200" w:firstLineChars="200"/>
      <w:jc w:val="left"/>
    </w:pPr>
    <w:rPr>
      <w:rFonts w:ascii="仿宋_GB2312" w:eastAsia="仿宋_GB2312"/>
      <w:kern w:val="0"/>
      <w:sz w:val="28"/>
      <w:szCs w:val="20"/>
      <w:lang w:val="zh-CN"/>
    </w:rPr>
  </w:style>
  <w:style w:type="paragraph" w:customStyle="1" w:styleId="2089">
    <w:name w:val="黑体三号412"/>
    <w:basedOn w:val="184"/>
    <w:qFormat/>
    <w:uiPriority w:val="0"/>
    <w:pPr>
      <w:jc w:val="center"/>
    </w:pPr>
    <w:rPr>
      <w:rFonts w:ascii="黑体" w:hAnsi="宋体" w:eastAsia="黑体"/>
      <w:b/>
      <w:bCs/>
      <w:sz w:val="32"/>
      <w:szCs w:val="20"/>
    </w:rPr>
  </w:style>
  <w:style w:type="paragraph" w:customStyle="1" w:styleId="2090">
    <w:name w:val="Char1 Char Char Char Char Char Char Char Char Char1 Char Char Char Char Char"/>
    <w:basedOn w:val="1"/>
    <w:qFormat/>
    <w:uiPriority w:val="0"/>
    <w:pPr>
      <w:widowControl/>
      <w:spacing w:before="100" w:beforeAutospacing="1" w:after="100" w:afterAutospacing="1"/>
      <w:ind w:firstLine="200" w:firstLineChars="200"/>
      <w:jc w:val="left"/>
    </w:pPr>
    <w:rPr>
      <w:rFonts w:ascii="Verdana" w:hAnsi="Verdana" w:eastAsia="仿宋_GB2312"/>
      <w:kern w:val="0"/>
      <w:sz w:val="20"/>
      <w:szCs w:val="21"/>
      <w:lang w:eastAsia="en-US"/>
    </w:rPr>
  </w:style>
  <w:style w:type="paragraph" w:customStyle="1" w:styleId="2091">
    <w:name w:val="Char Char Char Char Char Char Char131"/>
    <w:basedOn w:val="1"/>
    <w:qFormat/>
    <w:uiPriority w:val="0"/>
  </w:style>
  <w:style w:type="paragraph" w:customStyle="1" w:styleId="2092">
    <w:name w:val="內文 (Web)"/>
    <w:basedOn w:val="191"/>
    <w:next w:val="191"/>
    <w:qFormat/>
    <w:uiPriority w:val="0"/>
    <w:pPr>
      <w:spacing w:before="100" w:after="100"/>
    </w:pPr>
    <w:rPr>
      <w:rFonts w:ascii="PMingLiU" w:eastAsia="PMingLiU" w:cs="Times New Roman"/>
      <w:color w:val="auto"/>
    </w:rPr>
  </w:style>
  <w:style w:type="paragraph" w:customStyle="1" w:styleId="2093">
    <w:name w:val="表内5322"/>
    <w:basedOn w:val="1"/>
    <w:qFormat/>
    <w:uiPriority w:val="0"/>
    <w:pPr>
      <w:adjustRightInd w:val="0"/>
      <w:snapToGrid w:val="0"/>
      <w:spacing w:line="300" w:lineRule="auto"/>
      <w:jc w:val="left"/>
    </w:pPr>
    <w:rPr>
      <w:rFonts w:ascii="宋体"/>
      <w:szCs w:val="20"/>
    </w:rPr>
  </w:style>
  <w:style w:type="paragraph" w:customStyle="1" w:styleId="2094">
    <w:name w:val="Char70"/>
    <w:basedOn w:val="1"/>
    <w:qFormat/>
    <w:uiPriority w:val="0"/>
    <w:pPr>
      <w:ind w:left="-48"/>
    </w:pPr>
  </w:style>
  <w:style w:type="paragraph" w:customStyle="1" w:styleId="2095">
    <w:name w:val="样式 样式7 + 左侧:  4 字符"/>
    <w:basedOn w:val="118"/>
    <w:qFormat/>
    <w:uiPriority w:val="0"/>
    <w:pPr>
      <w:keepNext w:val="0"/>
      <w:keepLines w:val="0"/>
      <w:tabs>
        <w:tab w:val="left" w:pos="2040"/>
        <w:tab w:val="right" w:leader="dot" w:pos="8296"/>
        <w:tab w:val="clear" w:pos="1124"/>
      </w:tabs>
      <w:spacing w:beforeLines="0" w:afterLines="0" w:line="240" w:lineRule="auto"/>
      <w:ind w:left="200" w:leftChars="200" w:hanging="200" w:hangingChars="200"/>
      <w:jc w:val="center"/>
      <w:outlineLvl w:val="9"/>
    </w:pPr>
    <w:rPr>
      <w:rFonts w:ascii="宋体" w:hAnsi="宋体" w:eastAsia="宋体" w:cs="宋体"/>
      <w:smallCaps/>
      <w:color w:val="auto"/>
      <w:kern w:val="2"/>
      <w:sz w:val="20"/>
      <w:szCs w:val="20"/>
    </w:rPr>
  </w:style>
  <w:style w:type="paragraph" w:customStyle="1" w:styleId="2096">
    <w:name w:val="c12"/>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2097">
    <w:name w:val="Char Char2 Char Char Char Char41"/>
    <w:basedOn w:val="1"/>
    <w:qFormat/>
    <w:uiPriority w:val="0"/>
  </w:style>
  <w:style w:type="paragraph" w:customStyle="1" w:styleId="2098">
    <w:name w:val="生物中文名"/>
    <w:basedOn w:val="1"/>
    <w:qFormat/>
    <w:uiPriority w:val="0"/>
    <w:pPr>
      <w:adjustRightInd w:val="0"/>
      <w:snapToGrid w:val="0"/>
      <w:spacing w:line="240" w:lineRule="exact"/>
      <w:ind w:firstLine="200" w:firstLineChars="200"/>
    </w:pPr>
    <w:rPr>
      <w:color w:val="000000"/>
      <w:kern w:val="0"/>
      <w:sz w:val="24"/>
      <w:szCs w:val="20"/>
    </w:rPr>
  </w:style>
  <w:style w:type="paragraph" w:customStyle="1" w:styleId="2099">
    <w:name w:val="lz正文"/>
    <w:basedOn w:val="1"/>
    <w:qFormat/>
    <w:uiPriority w:val="0"/>
    <w:pPr>
      <w:adjustRightInd w:val="0"/>
      <w:snapToGrid w:val="0"/>
      <w:spacing w:line="360" w:lineRule="auto"/>
      <w:ind w:firstLine="480" w:firstLineChars="200"/>
    </w:pPr>
    <w:rPr>
      <w:rFonts w:ascii="仿宋_GB2312" w:hAnsi="宋体" w:eastAsia="仿宋_GB2312"/>
      <w:sz w:val="28"/>
      <w:szCs w:val="28"/>
    </w:rPr>
  </w:style>
  <w:style w:type="paragraph" w:customStyle="1" w:styleId="2100">
    <w:name w:val="燕山正文51"/>
    <w:basedOn w:val="1"/>
    <w:qFormat/>
    <w:uiPriority w:val="0"/>
    <w:pPr>
      <w:tabs>
        <w:tab w:val="left" w:pos="4680"/>
      </w:tabs>
      <w:adjustRightInd w:val="0"/>
      <w:snapToGrid w:val="0"/>
      <w:spacing w:line="480" w:lineRule="exact"/>
    </w:pPr>
    <w:rPr>
      <w:rFonts w:ascii="宋体" w:cs="宋体"/>
      <w:sz w:val="24"/>
    </w:rPr>
  </w:style>
  <w:style w:type="paragraph" w:customStyle="1" w:styleId="2101">
    <w:name w:val="默认段落字体 Para Char Char Char Char311"/>
    <w:basedOn w:val="1"/>
    <w:qFormat/>
    <w:uiPriority w:val="0"/>
  </w:style>
  <w:style w:type="paragraph" w:customStyle="1" w:styleId="2102">
    <w:name w:val="表题31212"/>
    <w:basedOn w:val="34"/>
    <w:qFormat/>
    <w:uiPriority w:val="0"/>
    <w:pPr>
      <w:tabs>
        <w:tab w:val="left" w:pos="4305"/>
      </w:tabs>
      <w:adjustRightInd w:val="0"/>
      <w:snapToGrid w:val="0"/>
      <w:spacing w:after="0"/>
      <w:ind w:left="0" w:leftChars="0"/>
      <w:jc w:val="center"/>
    </w:pPr>
    <w:rPr>
      <w:rFonts w:ascii="宋体" w:hAnsi="宋体"/>
      <w:sz w:val="24"/>
      <w:szCs w:val="20"/>
    </w:rPr>
  </w:style>
  <w:style w:type="paragraph" w:customStyle="1" w:styleId="2103">
    <w:name w:val="图题82"/>
    <w:basedOn w:val="184"/>
    <w:next w:val="184"/>
    <w:qFormat/>
    <w:uiPriority w:val="0"/>
    <w:pPr>
      <w:ind w:firstLine="0"/>
      <w:jc w:val="center"/>
    </w:pPr>
    <w:rPr>
      <w:rFonts w:ascii="黑体" w:hAnsi="宋体" w:eastAsia="黑体"/>
      <w:b/>
      <w:bCs/>
    </w:rPr>
  </w:style>
  <w:style w:type="paragraph" w:customStyle="1" w:styleId="2104">
    <w:name w:val="图片"/>
    <w:basedOn w:val="1"/>
    <w:next w:val="21"/>
    <w:qFormat/>
    <w:uiPriority w:val="0"/>
    <w:pPr>
      <w:keepNext/>
      <w:widowControl/>
      <w:overflowPunct w:val="0"/>
      <w:autoSpaceDE w:val="0"/>
      <w:autoSpaceDN w:val="0"/>
      <w:adjustRightInd w:val="0"/>
      <w:spacing w:before="120" w:after="240"/>
      <w:jc w:val="center"/>
      <w:textAlignment w:val="baseline"/>
    </w:pPr>
    <w:rPr>
      <w:kern w:val="0"/>
      <w:sz w:val="20"/>
      <w:szCs w:val="20"/>
    </w:rPr>
  </w:style>
  <w:style w:type="paragraph" w:customStyle="1" w:styleId="2105">
    <w:name w:val="样式411"/>
    <w:basedOn w:val="33"/>
    <w:qFormat/>
    <w:uiPriority w:val="0"/>
    <w:pPr>
      <w:tabs>
        <w:tab w:val="left" w:pos="1820"/>
      </w:tabs>
      <w:snapToGrid w:val="0"/>
      <w:spacing w:after="0" w:line="240" w:lineRule="atLeast"/>
      <w:jc w:val="center"/>
    </w:pPr>
    <w:rPr>
      <w:rFonts w:eastAsia="幼圆"/>
      <w:kern w:val="0"/>
      <w:szCs w:val="20"/>
    </w:rPr>
  </w:style>
  <w:style w:type="paragraph" w:customStyle="1" w:styleId="2106">
    <w:name w:val="样式 样式 样式 标题 4 + 段前: 0.5 行 段后: 0.5 行 + 段前: 0.5 行 段后: 0.5 行5 + 段前:..."/>
    <w:basedOn w:val="2107"/>
    <w:qFormat/>
    <w:uiPriority w:val="0"/>
  </w:style>
  <w:style w:type="paragraph" w:customStyle="1" w:styleId="2107">
    <w:name w:val="样式 样式 标题 4 + 段前: 0.5 行 段后: 0.5 行 + 段前: 0.5 行 段后: 0.5 行5"/>
    <w:basedOn w:val="2108"/>
    <w:qFormat/>
    <w:uiPriority w:val="0"/>
  </w:style>
  <w:style w:type="paragraph" w:customStyle="1" w:styleId="2108">
    <w:name w:val="样式 标题 4 + 段前: 0.5 行 段后: 0.5 行"/>
    <w:basedOn w:val="5"/>
    <w:qFormat/>
    <w:uiPriority w:val="0"/>
    <w:pPr>
      <w:spacing w:beforeLines="50" w:afterLines="50" w:line="480" w:lineRule="exact"/>
    </w:pPr>
    <w:rPr>
      <w:rFonts w:ascii="楷体_GB2312" w:hAnsi="Times New Roman" w:eastAsia="楷体_GB2312" w:cs="宋体"/>
      <w:color w:val="000000"/>
      <w:spacing w:val="-6"/>
      <w:kern w:val="44"/>
      <w:sz w:val="24"/>
      <w:szCs w:val="20"/>
    </w:rPr>
  </w:style>
  <w:style w:type="paragraph" w:customStyle="1" w:styleId="2109">
    <w:name w:val="pvc1.1"/>
    <w:basedOn w:val="3"/>
    <w:next w:val="3"/>
    <w:qFormat/>
    <w:uiPriority w:val="0"/>
    <w:pPr>
      <w:numPr>
        <w:ilvl w:val="0"/>
        <w:numId w:val="0"/>
      </w:numPr>
      <w:tabs>
        <w:tab w:val="left" w:pos="315"/>
        <w:tab w:val="left" w:pos="576"/>
        <w:tab w:val="left" w:pos="768"/>
        <w:tab w:val="clear" w:pos="0"/>
        <w:tab w:val="clear" w:pos="426"/>
      </w:tabs>
      <w:adjustRightInd w:val="0"/>
      <w:spacing w:beforeLines="100" w:afterLines="100" w:line="324" w:lineRule="auto"/>
      <w:ind w:left="576" w:hanging="576"/>
    </w:pPr>
    <w:rPr>
      <w:rFonts w:ascii="黑体" w:eastAsia="华文中宋" w:cs="宋体"/>
      <w:b w:val="0"/>
      <w:spacing w:val="0"/>
      <w:kern w:val="2"/>
      <w:sz w:val="44"/>
      <w:szCs w:val="44"/>
    </w:rPr>
  </w:style>
  <w:style w:type="paragraph" w:customStyle="1" w:styleId="2110">
    <w:name w:val="黑体三号211"/>
    <w:basedOn w:val="184"/>
    <w:qFormat/>
    <w:uiPriority w:val="0"/>
    <w:pPr>
      <w:jc w:val="center"/>
    </w:pPr>
    <w:rPr>
      <w:rFonts w:ascii="黑体" w:hAnsi="宋体" w:eastAsia="黑体"/>
      <w:b/>
      <w:bCs/>
      <w:sz w:val="32"/>
      <w:szCs w:val="20"/>
    </w:rPr>
  </w:style>
  <w:style w:type="paragraph" w:customStyle="1" w:styleId="2111">
    <w:name w:val="Print- From: To: Subject: Date:"/>
    <w:basedOn w:val="1"/>
    <w:qFormat/>
    <w:uiPriority w:val="0"/>
    <w:pPr>
      <w:pBdr>
        <w:top w:val="single" w:color="auto" w:sz="4" w:space="1"/>
        <w:left w:val="single" w:color="auto" w:sz="18" w:space="1"/>
      </w:pBdr>
      <w:adjustRightInd w:val="0"/>
      <w:spacing w:line="360" w:lineRule="atLeast"/>
      <w:jc w:val="left"/>
      <w:textAlignment w:val="baseline"/>
    </w:pPr>
    <w:rPr>
      <w:rFonts w:eastAsia="PMingLiU"/>
      <w:kern w:val="0"/>
      <w:sz w:val="24"/>
      <w:szCs w:val="20"/>
      <w:lang w:eastAsia="zh-TW"/>
    </w:rPr>
  </w:style>
  <w:style w:type="paragraph" w:customStyle="1" w:styleId="2112">
    <w:name w:val="表内541213"/>
    <w:basedOn w:val="1"/>
    <w:qFormat/>
    <w:uiPriority w:val="0"/>
    <w:pPr>
      <w:adjustRightInd w:val="0"/>
      <w:snapToGrid w:val="0"/>
      <w:spacing w:line="300" w:lineRule="auto"/>
      <w:jc w:val="center"/>
    </w:pPr>
    <w:rPr>
      <w:rFonts w:ascii="宋体" w:hAnsi="宋体" w:cs="宋体"/>
      <w:szCs w:val="20"/>
    </w:rPr>
  </w:style>
  <w:style w:type="paragraph" w:customStyle="1" w:styleId="2113">
    <w:name w:val="默认段落字体 Para Char Char Char Char42"/>
    <w:basedOn w:val="1"/>
    <w:qFormat/>
    <w:uiPriority w:val="0"/>
  </w:style>
  <w:style w:type="paragraph" w:customStyle="1" w:styleId="2114">
    <w:name w:val="奇数页脚注"/>
    <w:basedOn w:val="54"/>
    <w:qFormat/>
    <w:uiPriority w:val="0"/>
    <w:pPr>
      <w:keepLines/>
      <w:widowControl/>
      <w:tabs>
        <w:tab w:val="center" w:pos="7200"/>
        <w:tab w:val="right" w:pos="14400"/>
        <w:tab w:val="clear" w:pos="4153"/>
        <w:tab w:val="clear" w:pos="8306"/>
      </w:tabs>
      <w:overflowPunct w:val="0"/>
      <w:autoSpaceDE w:val="0"/>
      <w:autoSpaceDN w:val="0"/>
      <w:adjustRightInd w:val="0"/>
      <w:snapToGrid/>
      <w:jc w:val="center"/>
      <w:textAlignment w:val="baseline"/>
    </w:pPr>
    <w:rPr>
      <w:spacing w:val="80"/>
      <w:kern w:val="0"/>
      <w:sz w:val="20"/>
      <w:szCs w:val="24"/>
    </w:rPr>
  </w:style>
  <w:style w:type="paragraph" w:customStyle="1" w:styleId="2115">
    <w:name w:val="CM29"/>
    <w:basedOn w:val="1"/>
    <w:next w:val="1"/>
    <w:qFormat/>
    <w:uiPriority w:val="0"/>
    <w:pPr>
      <w:autoSpaceDE w:val="0"/>
      <w:autoSpaceDN w:val="0"/>
      <w:adjustRightInd w:val="0"/>
      <w:spacing w:line="468" w:lineRule="atLeast"/>
      <w:jc w:val="left"/>
    </w:pPr>
    <w:rPr>
      <w:rFonts w:ascii="黑体" w:eastAsia="黑体"/>
      <w:kern w:val="0"/>
      <w:sz w:val="24"/>
      <w:szCs w:val="28"/>
    </w:rPr>
  </w:style>
  <w:style w:type="paragraph" w:customStyle="1" w:styleId="2116">
    <w:name w:val="样式 标题 4无效格式无效格式1河石管道4H4H41小小节河石管道41H42H411小小节1河石管道42...2"/>
    <w:basedOn w:val="5"/>
    <w:qFormat/>
    <w:uiPriority w:val="0"/>
    <w:pPr>
      <w:adjustRightInd w:val="0"/>
      <w:snapToGrid w:val="0"/>
      <w:spacing w:line="360" w:lineRule="auto"/>
      <w:ind w:left="1404" w:hanging="864"/>
    </w:pPr>
    <w:rPr>
      <w:rFonts w:ascii="黑体" w:eastAsia="黑体"/>
      <w:bCs w:val="0"/>
      <w:sz w:val="24"/>
      <w:szCs w:val="24"/>
    </w:rPr>
  </w:style>
  <w:style w:type="paragraph" w:customStyle="1" w:styleId="2117">
    <w:name w:val="表内小四中"/>
    <w:basedOn w:val="1"/>
    <w:qFormat/>
    <w:uiPriority w:val="0"/>
    <w:pPr>
      <w:adjustRightInd w:val="0"/>
      <w:snapToGrid w:val="0"/>
      <w:ind w:left="-131" w:right="-132"/>
      <w:jc w:val="center"/>
      <w:textAlignment w:val="baseline"/>
    </w:pPr>
    <w:rPr>
      <w:kern w:val="0"/>
      <w:sz w:val="24"/>
      <w:szCs w:val="20"/>
    </w:rPr>
  </w:style>
  <w:style w:type="paragraph" w:customStyle="1" w:styleId="2118">
    <w:name w:val="样式 标题 1 + 黑体 段前: 15 磅 段后: 15 磅 行距: 单倍行距"/>
    <w:basedOn w:val="2"/>
    <w:qFormat/>
    <w:uiPriority w:val="0"/>
    <w:pPr>
      <w:tabs>
        <w:tab w:val="left" w:pos="1794"/>
        <w:tab w:val="left" w:pos="2040"/>
      </w:tabs>
      <w:adjustRightInd w:val="0"/>
      <w:snapToGrid w:val="0"/>
      <w:spacing w:beforeLines="100" w:afterLines="100" w:line="240" w:lineRule="auto"/>
      <w:ind w:left="2040" w:leftChars="800" w:hanging="360" w:hangingChars="200"/>
      <w:jc w:val="center"/>
    </w:pPr>
    <w:rPr>
      <w:rFonts w:ascii="仿宋_GB2312" w:hAnsi="黑体" w:eastAsia="黑体" w:cs="宋体"/>
      <w:szCs w:val="20"/>
    </w:rPr>
  </w:style>
  <w:style w:type="paragraph" w:customStyle="1" w:styleId="2119">
    <w:name w:val="xl2413"/>
    <w:basedOn w:val="1"/>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paragraph" w:customStyle="1" w:styleId="2120">
    <w:name w:val="Char Char2 Char Char Char Char"/>
    <w:basedOn w:val="1"/>
    <w:qFormat/>
    <w:uiPriority w:val="0"/>
  </w:style>
  <w:style w:type="paragraph" w:customStyle="1" w:styleId="2121">
    <w:name w:val="表格内字体711"/>
    <w:basedOn w:val="184"/>
    <w:next w:val="184"/>
    <w:qFormat/>
    <w:uiPriority w:val="0"/>
    <w:pPr>
      <w:spacing w:line="240" w:lineRule="auto"/>
      <w:ind w:firstLine="0"/>
      <w:jc w:val="center"/>
    </w:pPr>
    <w:rPr>
      <w:rFonts w:hAnsi="宋体"/>
      <w:sz w:val="21"/>
    </w:rPr>
  </w:style>
  <w:style w:type="paragraph" w:customStyle="1" w:styleId="2122">
    <w:name w:val="T标题5级"/>
    <w:basedOn w:val="6"/>
    <w:next w:val="1"/>
    <w:qFormat/>
    <w:uiPriority w:val="0"/>
    <w:pPr>
      <w:widowControl/>
      <w:tabs>
        <w:tab w:val="left" w:pos="233"/>
        <w:tab w:val="left" w:pos="1700"/>
      </w:tabs>
      <w:overflowPunct w:val="0"/>
      <w:autoSpaceDE w:val="0"/>
      <w:autoSpaceDN w:val="0"/>
      <w:adjustRightInd w:val="0"/>
      <w:spacing w:before="0" w:after="0" w:line="360" w:lineRule="auto"/>
      <w:ind w:left="1900"/>
      <w:jc w:val="left"/>
      <w:textAlignment w:val="baseline"/>
    </w:pPr>
    <w:rPr>
      <w:rFonts w:ascii="Times New Roman"/>
      <w:b w:val="0"/>
      <w:bCs w:val="0"/>
      <w:kern w:val="0"/>
      <w:sz w:val="24"/>
      <w:szCs w:val="24"/>
    </w:rPr>
  </w:style>
  <w:style w:type="paragraph" w:customStyle="1" w:styleId="2123">
    <w:name w:val="表格文字1"/>
    <w:basedOn w:val="1"/>
    <w:qFormat/>
    <w:uiPriority w:val="0"/>
    <w:pPr>
      <w:tabs>
        <w:tab w:val="left" w:pos="0"/>
      </w:tabs>
      <w:autoSpaceDE w:val="0"/>
      <w:autoSpaceDN w:val="0"/>
      <w:adjustRightInd w:val="0"/>
      <w:spacing w:before="60"/>
      <w:ind w:left="57" w:right="57"/>
      <w:jc w:val="center"/>
      <w:textAlignment w:val="baseline"/>
    </w:pPr>
  </w:style>
  <w:style w:type="paragraph" w:customStyle="1" w:styleId="2124">
    <w:name w:val="GM"/>
    <w:basedOn w:val="2"/>
    <w:qFormat/>
    <w:uiPriority w:val="0"/>
    <w:pPr>
      <w:keepLines w:val="0"/>
      <w:widowControl/>
      <w:tabs>
        <w:tab w:val="left" w:pos="455"/>
        <w:tab w:val="left" w:pos="1440"/>
        <w:tab w:val="left" w:pos="2040"/>
        <w:tab w:val="left" w:pos="2260"/>
        <w:tab w:val="left" w:pos="2820"/>
        <w:tab w:val="left" w:pos="3420"/>
      </w:tabs>
      <w:spacing w:before="240" w:after="120" w:line="240" w:lineRule="auto"/>
      <w:ind w:left="851" w:leftChars="800" w:right="-28" w:hanging="851" w:hangingChars="200"/>
    </w:pPr>
    <w:rPr>
      <w:rFonts w:ascii="Arial" w:hAnsi="Arial" w:cs="Arial"/>
      <w:bCs w:val="0"/>
      <w:color w:val="000000"/>
      <w:kern w:val="0"/>
      <w:sz w:val="22"/>
      <w:szCs w:val="28"/>
      <w:lang w:val="en-GB"/>
    </w:rPr>
  </w:style>
  <w:style w:type="paragraph" w:customStyle="1" w:styleId="2125">
    <w:name w:val="正文A"/>
    <w:qFormat/>
    <w:uiPriority w:val="0"/>
    <w:pPr>
      <w:tabs>
        <w:tab w:val="left" w:pos="0"/>
      </w:tabs>
      <w:adjustRightInd w:val="0"/>
      <w:spacing w:line="360" w:lineRule="auto"/>
      <w:ind w:firstLine="482"/>
      <w:jc w:val="both"/>
    </w:pPr>
    <w:rPr>
      <w:rFonts w:ascii="Times New Roman" w:hAnsi="Times New Roman" w:eastAsia="宋体" w:cs="Times New Roman"/>
      <w:snapToGrid w:val="0"/>
      <w:sz w:val="24"/>
      <w:lang w:val="en-US" w:eastAsia="zh-CN" w:bidi="ar-SA"/>
    </w:rPr>
  </w:style>
  <w:style w:type="paragraph" w:customStyle="1" w:styleId="2126">
    <w:name w:val="Char225"/>
    <w:basedOn w:val="1"/>
    <w:qFormat/>
    <w:uiPriority w:val="0"/>
    <w:pPr>
      <w:ind w:left="-48"/>
    </w:pPr>
  </w:style>
  <w:style w:type="paragraph" w:customStyle="1" w:styleId="2127">
    <w:name w:val="Char Char2 Char Char Char Char13"/>
    <w:basedOn w:val="1"/>
    <w:qFormat/>
    <w:uiPriority w:val="0"/>
  </w:style>
  <w:style w:type="paragraph" w:customStyle="1" w:styleId="2128">
    <w:name w:val="标题 2新"/>
    <w:basedOn w:val="3"/>
    <w:qFormat/>
    <w:uiPriority w:val="0"/>
    <w:pPr>
      <w:numPr>
        <w:ilvl w:val="0"/>
        <w:numId w:val="0"/>
      </w:numPr>
      <w:tabs>
        <w:tab w:val="left" w:pos="315"/>
        <w:tab w:val="left" w:pos="576"/>
        <w:tab w:val="clear" w:pos="0"/>
        <w:tab w:val="clear" w:pos="426"/>
      </w:tabs>
      <w:adjustRightInd w:val="0"/>
      <w:spacing w:beforeLines="0" w:afterLines="0" w:line="324" w:lineRule="auto"/>
      <w:ind w:left="576" w:hanging="576"/>
    </w:pPr>
    <w:rPr>
      <w:rFonts w:eastAsia="黑体" w:cs="宋体"/>
      <w:bCs/>
      <w:spacing w:val="0"/>
      <w:sz w:val="28"/>
      <w:szCs w:val="28"/>
    </w:rPr>
  </w:style>
  <w:style w:type="paragraph" w:customStyle="1" w:styleId="2129">
    <w:name w:val="表内52"/>
    <w:basedOn w:val="1"/>
    <w:qFormat/>
    <w:uiPriority w:val="0"/>
    <w:pPr>
      <w:adjustRightInd w:val="0"/>
      <w:snapToGrid w:val="0"/>
      <w:spacing w:line="300" w:lineRule="auto"/>
      <w:jc w:val="left"/>
    </w:pPr>
    <w:rPr>
      <w:rFonts w:ascii="宋体"/>
      <w:sz w:val="18"/>
      <w:szCs w:val="20"/>
    </w:rPr>
  </w:style>
  <w:style w:type="paragraph" w:customStyle="1" w:styleId="2130">
    <w:name w:val="黑体三号112"/>
    <w:basedOn w:val="184"/>
    <w:qFormat/>
    <w:uiPriority w:val="0"/>
    <w:pPr>
      <w:jc w:val="center"/>
    </w:pPr>
    <w:rPr>
      <w:rFonts w:ascii="黑体" w:hAnsi="宋体" w:eastAsia="黑体"/>
      <w:b/>
      <w:bCs/>
      <w:sz w:val="32"/>
      <w:szCs w:val="20"/>
    </w:rPr>
  </w:style>
  <w:style w:type="paragraph" w:customStyle="1" w:styleId="2131">
    <w:name w:val="book1_1"/>
    <w:basedOn w:val="3"/>
    <w:qFormat/>
    <w:uiPriority w:val="0"/>
    <w:pPr>
      <w:keepNext w:val="0"/>
      <w:numPr>
        <w:ilvl w:val="0"/>
        <w:numId w:val="0"/>
      </w:numPr>
      <w:tabs>
        <w:tab w:val="left" w:pos="233"/>
        <w:tab w:val="left" w:pos="622"/>
        <w:tab w:val="clear" w:pos="0"/>
        <w:tab w:val="clear" w:pos="426"/>
      </w:tabs>
      <w:spacing w:before="260" w:after="260" w:line="240" w:lineRule="auto"/>
      <w:ind w:left="233"/>
    </w:pPr>
    <w:rPr>
      <w:rFonts w:ascii="Arial" w:hAnsi="Arial" w:eastAsia="黑体"/>
      <w:b w:val="0"/>
      <w:bCs/>
      <w:spacing w:val="0"/>
      <w:kern w:val="2"/>
      <w:sz w:val="24"/>
      <w:szCs w:val="32"/>
      <w:shd w:val="pct10" w:color="auto" w:fill="FFFFFF"/>
    </w:rPr>
  </w:style>
  <w:style w:type="paragraph" w:customStyle="1" w:styleId="2132">
    <w:name w:val="表内宋54"/>
    <w:basedOn w:val="2133"/>
    <w:qFormat/>
    <w:uiPriority w:val="0"/>
    <w:pPr>
      <w:widowControl/>
      <w:autoSpaceDE w:val="0"/>
      <w:autoSpaceDN w:val="0"/>
      <w:jc w:val="left"/>
      <w:textAlignment w:val="auto"/>
    </w:pPr>
    <w:rPr>
      <w:color w:val="auto"/>
      <w:w w:val="90"/>
    </w:rPr>
  </w:style>
  <w:style w:type="paragraph" w:customStyle="1" w:styleId="2133">
    <w:name w:val="表内宋5中"/>
    <w:basedOn w:val="1"/>
    <w:qFormat/>
    <w:uiPriority w:val="0"/>
    <w:pPr>
      <w:adjustRightInd w:val="0"/>
      <w:snapToGrid w:val="0"/>
      <w:textAlignment w:val="baseline"/>
    </w:pPr>
    <w:rPr>
      <w:color w:val="000000"/>
      <w:kern w:val="0"/>
      <w:szCs w:val="20"/>
    </w:rPr>
  </w:style>
  <w:style w:type="paragraph" w:customStyle="1" w:styleId="2134">
    <w:name w:val="图题222"/>
    <w:basedOn w:val="184"/>
    <w:next w:val="184"/>
    <w:qFormat/>
    <w:uiPriority w:val="0"/>
    <w:pPr>
      <w:ind w:firstLine="0"/>
      <w:jc w:val="center"/>
    </w:pPr>
    <w:rPr>
      <w:rFonts w:ascii="黑体" w:hAnsi="宋体" w:eastAsia="黑体"/>
      <w:b/>
      <w:bCs/>
    </w:rPr>
  </w:style>
  <w:style w:type="paragraph" w:customStyle="1" w:styleId="2135">
    <w:name w:val="List Number 1"/>
    <w:basedOn w:val="1"/>
    <w:qFormat/>
    <w:uiPriority w:val="0"/>
    <w:pPr>
      <w:widowControl/>
      <w:tabs>
        <w:tab w:val="left" w:pos="360"/>
        <w:tab w:val="left" w:pos="714"/>
      </w:tabs>
      <w:spacing w:after="240"/>
    </w:pPr>
    <w:rPr>
      <w:rFonts w:ascii="Arial" w:hAnsi="Arial" w:eastAsia="MS Mincho"/>
      <w:kern w:val="0"/>
      <w:sz w:val="22"/>
      <w:szCs w:val="20"/>
      <w:lang w:val="en-GB" w:eastAsia="en-US"/>
    </w:rPr>
  </w:style>
  <w:style w:type="paragraph" w:customStyle="1" w:styleId="2136">
    <w:name w:val="样式 正文文本 + 红色"/>
    <w:basedOn w:val="33"/>
    <w:qFormat/>
    <w:uiPriority w:val="0"/>
    <w:pPr>
      <w:adjustRightInd w:val="0"/>
      <w:snapToGrid w:val="0"/>
      <w:spacing w:before="60" w:after="60" w:line="264" w:lineRule="auto"/>
      <w:ind w:firstLine="200" w:firstLineChars="200"/>
      <w:textAlignment w:val="baseline"/>
    </w:pPr>
    <w:rPr>
      <w:rFonts w:eastAsia="仿宋_GB2312"/>
      <w:snapToGrid w:val="0"/>
      <w:color w:val="FF0000"/>
      <w:kern w:val="0"/>
      <w:sz w:val="24"/>
    </w:rPr>
  </w:style>
  <w:style w:type="paragraph" w:customStyle="1" w:styleId="2137">
    <w:name w:val="Char Char Char Char Char Char Char Char Char Char Char Char Char"/>
    <w:basedOn w:val="1"/>
    <w:qFormat/>
    <w:uiPriority w:val="0"/>
    <w:rPr>
      <w:sz w:val="24"/>
    </w:rPr>
  </w:style>
  <w:style w:type="paragraph" w:customStyle="1" w:styleId="2138">
    <w:name w:val="默认段落字体 Para Char Char Char Char14"/>
    <w:basedOn w:val="1"/>
    <w:qFormat/>
    <w:uiPriority w:val="0"/>
  </w:style>
  <w:style w:type="paragraph" w:customStyle="1" w:styleId="2139">
    <w:name w:val="(文字) (文字)"/>
    <w:basedOn w:val="1"/>
    <w:qFormat/>
    <w:uiPriority w:val="0"/>
  </w:style>
  <w:style w:type="paragraph" w:customStyle="1" w:styleId="2140">
    <w:name w:val="Char3111"/>
    <w:basedOn w:val="1"/>
    <w:qFormat/>
    <w:uiPriority w:val="0"/>
    <w:pPr>
      <w:ind w:left="-48"/>
    </w:pPr>
  </w:style>
  <w:style w:type="paragraph" w:customStyle="1" w:styleId="2141">
    <w:name w:val="表内5323"/>
    <w:basedOn w:val="1"/>
    <w:qFormat/>
    <w:uiPriority w:val="0"/>
    <w:pPr>
      <w:adjustRightInd w:val="0"/>
      <w:snapToGrid w:val="0"/>
      <w:spacing w:line="300" w:lineRule="auto"/>
      <w:jc w:val="left"/>
    </w:pPr>
    <w:rPr>
      <w:rFonts w:ascii="宋体"/>
      <w:szCs w:val="20"/>
    </w:rPr>
  </w:style>
  <w:style w:type="paragraph" w:customStyle="1" w:styleId="2142">
    <w:name w:val="Char Char Char Char Char Char Char119"/>
    <w:basedOn w:val="1"/>
    <w:qFormat/>
    <w:uiPriority w:val="0"/>
  </w:style>
  <w:style w:type="paragraph" w:customStyle="1" w:styleId="2143">
    <w:name w:val="表格内字体8"/>
    <w:basedOn w:val="184"/>
    <w:next w:val="184"/>
    <w:qFormat/>
    <w:uiPriority w:val="0"/>
    <w:pPr>
      <w:spacing w:line="240" w:lineRule="auto"/>
      <w:ind w:firstLine="0"/>
      <w:jc w:val="center"/>
    </w:pPr>
    <w:rPr>
      <w:rFonts w:hAnsi="宋体"/>
      <w:sz w:val="21"/>
    </w:rPr>
  </w:style>
  <w:style w:type="paragraph" w:customStyle="1" w:styleId="2144">
    <w:name w:val="6表(图)头(治)"/>
    <w:next w:val="1"/>
    <w:qFormat/>
    <w:uiPriority w:val="0"/>
    <w:pPr>
      <w:widowControl w:val="0"/>
      <w:spacing w:line="500" w:lineRule="exact"/>
      <w:ind w:firstLine="560" w:firstLineChars="200"/>
      <w:jc w:val="center"/>
    </w:pPr>
    <w:rPr>
      <w:rFonts w:ascii="宋体" w:hAnsi="宋体" w:eastAsia="宋体" w:cs="Times New Roman"/>
      <w:sz w:val="28"/>
      <w:lang w:val="en-US" w:eastAsia="zh-CN" w:bidi="ar-SA"/>
    </w:rPr>
  </w:style>
  <w:style w:type="paragraph" w:customStyle="1" w:styleId="2145">
    <w:name w:val="Char712"/>
    <w:basedOn w:val="1"/>
    <w:qFormat/>
    <w:uiPriority w:val="0"/>
    <w:pPr>
      <w:ind w:left="-48"/>
    </w:pPr>
  </w:style>
  <w:style w:type="paragraph" w:customStyle="1" w:styleId="2146">
    <w:name w:val="样式 表格1 + 段前: 4.65 磅"/>
    <w:basedOn w:val="189"/>
    <w:qFormat/>
    <w:uiPriority w:val="0"/>
    <w:pPr>
      <w:adjustRightInd w:val="0"/>
      <w:spacing w:line="360" w:lineRule="exact"/>
      <w:textAlignment w:val="baseline"/>
    </w:pPr>
    <w:rPr>
      <w:rFonts w:ascii="CG Times (W1)" w:hAnsi="CG Times (W1)" w:cs="宋体"/>
      <w:kern w:val="0"/>
      <w:sz w:val="24"/>
    </w:rPr>
  </w:style>
  <w:style w:type="paragraph" w:customStyle="1" w:styleId="2147">
    <w:name w:val="表格内字体43"/>
    <w:basedOn w:val="184"/>
    <w:next w:val="184"/>
    <w:qFormat/>
    <w:uiPriority w:val="0"/>
    <w:pPr>
      <w:spacing w:line="240" w:lineRule="auto"/>
      <w:ind w:firstLine="0"/>
      <w:jc w:val="center"/>
    </w:pPr>
    <w:rPr>
      <w:rFonts w:hAnsi="宋体"/>
      <w:sz w:val="21"/>
    </w:rPr>
  </w:style>
  <w:style w:type="paragraph" w:customStyle="1" w:styleId="2148">
    <w:name w:val="Char Char Char Char1 Char Char Char23"/>
    <w:basedOn w:val="1"/>
    <w:qFormat/>
    <w:uiPriority w:val="0"/>
    <w:pPr>
      <w:widowControl/>
      <w:spacing w:after="160" w:line="240" w:lineRule="exact"/>
      <w:jc w:val="left"/>
    </w:pPr>
    <w:rPr>
      <w:rFonts w:ascii="Verdana" w:hAnsi="Verdana"/>
      <w:kern w:val="0"/>
      <w:sz w:val="20"/>
      <w:szCs w:val="20"/>
      <w:lang w:eastAsia="en-US"/>
    </w:rPr>
  </w:style>
  <w:style w:type="paragraph" w:customStyle="1" w:styleId="2149">
    <w:name w:val="默认段落字体 Para Char Char Char Char312"/>
    <w:basedOn w:val="1"/>
    <w:qFormat/>
    <w:uiPriority w:val="0"/>
  </w:style>
  <w:style w:type="paragraph" w:customStyle="1" w:styleId="2150">
    <w:name w:val="Char Char Char Char Char Char Char42"/>
    <w:basedOn w:val="1"/>
    <w:qFormat/>
    <w:uiPriority w:val="0"/>
  </w:style>
  <w:style w:type="paragraph" w:customStyle="1" w:styleId="2151">
    <w:name w:val="A标题"/>
    <w:basedOn w:val="5"/>
    <w:qFormat/>
    <w:uiPriority w:val="0"/>
    <w:pPr>
      <w:tabs>
        <w:tab w:val="left" w:pos="425"/>
        <w:tab w:val="left" w:pos="964"/>
      </w:tabs>
      <w:spacing w:before="60" w:after="40" w:line="264" w:lineRule="auto"/>
      <w:ind w:left="425" w:hanging="425"/>
      <w:jc w:val="left"/>
    </w:pPr>
    <w:rPr>
      <w:rFonts w:ascii="Times New Roman" w:hAnsi="Times New Roman" w:eastAsia="宋体"/>
      <w:color w:val="000000"/>
      <w:spacing w:val="20"/>
      <w:szCs w:val="20"/>
    </w:rPr>
  </w:style>
  <w:style w:type="paragraph" w:customStyle="1" w:styleId="2152">
    <w:name w:val="表格内容12"/>
    <w:qFormat/>
    <w:uiPriority w:val="0"/>
    <w:pPr>
      <w:jc w:val="center"/>
    </w:pPr>
    <w:rPr>
      <w:rFonts w:ascii="Times New Roman" w:hAnsi="Times New Roman" w:eastAsia="宋体" w:cs="Times New Roman"/>
      <w:kern w:val="2"/>
      <w:sz w:val="21"/>
      <w:szCs w:val="21"/>
      <w:lang w:val="en-US" w:eastAsia="zh-CN" w:bidi="ar-SA"/>
    </w:rPr>
  </w:style>
  <w:style w:type="paragraph" w:customStyle="1" w:styleId="2153">
    <w:name w:val="表格内字体42"/>
    <w:basedOn w:val="184"/>
    <w:next w:val="184"/>
    <w:qFormat/>
    <w:uiPriority w:val="0"/>
    <w:pPr>
      <w:spacing w:line="240" w:lineRule="auto"/>
      <w:ind w:firstLine="0"/>
      <w:jc w:val="center"/>
    </w:pPr>
    <w:rPr>
      <w:rFonts w:hAnsi="宋体"/>
      <w:sz w:val="21"/>
    </w:rPr>
  </w:style>
  <w:style w:type="paragraph" w:customStyle="1" w:styleId="2154">
    <w:name w:val="t表格文字居中"/>
    <w:basedOn w:val="1"/>
    <w:qFormat/>
    <w:uiPriority w:val="0"/>
    <w:pPr>
      <w:widowControl/>
      <w:overflowPunct w:val="0"/>
      <w:topLinePunct/>
      <w:autoSpaceDE w:val="0"/>
      <w:adjustRightInd w:val="0"/>
      <w:ind w:left="480"/>
      <w:jc w:val="center"/>
      <w:textAlignment w:val="center"/>
    </w:pPr>
    <w:rPr>
      <w:rFonts w:ascii="宋体" w:hAnsi="宋体" w:eastAsia="仿宋_GB2312"/>
      <w:kern w:val="0"/>
      <w:szCs w:val="21"/>
    </w:rPr>
  </w:style>
  <w:style w:type="paragraph" w:customStyle="1" w:styleId="2155">
    <w:name w:val="表内5911"/>
    <w:basedOn w:val="1"/>
    <w:qFormat/>
    <w:uiPriority w:val="0"/>
    <w:pPr>
      <w:adjustRightInd w:val="0"/>
      <w:snapToGrid w:val="0"/>
      <w:spacing w:line="300" w:lineRule="auto"/>
      <w:jc w:val="center"/>
    </w:pPr>
    <w:rPr>
      <w:rFonts w:ascii="宋体"/>
      <w:snapToGrid w:val="0"/>
      <w:szCs w:val="21"/>
    </w:rPr>
  </w:style>
  <w:style w:type="paragraph" w:customStyle="1" w:styleId="2156">
    <w:name w:val="Char131"/>
    <w:basedOn w:val="1"/>
    <w:qFormat/>
    <w:uiPriority w:val="0"/>
    <w:pPr>
      <w:ind w:left="-48"/>
    </w:pPr>
  </w:style>
  <w:style w:type="paragraph" w:customStyle="1" w:styleId="2157">
    <w:name w:val="正文.2"/>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2158">
    <w:name w:val="表题31"/>
    <w:basedOn w:val="34"/>
    <w:qFormat/>
    <w:uiPriority w:val="0"/>
    <w:pPr>
      <w:tabs>
        <w:tab w:val="left" w:pos="4305"/>
      </w:tabs>
      <w:adjustRightInd w:val="0"/>
      <w:snapToGrid w:val="0"/>
      <w:spacing w:after="0" w:line="360" w:lineRule="auto"/>
      <w:ind w:left="0" w:leftChars="0" w:firstLine="561"/>
    </w:pPr>
    <w:rPr>
      <w:rFonts w:ascii="宋体" w:hAnsi="宋体" w:cs="宋体"/>
      <w:color w:val="000000"/>
      <w:sz w:val="24"/>
    </w:rPr>
  </w:style>
  <w:style w:type="paragraph" w:customStyle="1" w:styleId="2159">
    <w:name w:val="样式133"/>
    <w:basedOn w:val="2158"/>
    <w:qFormat/>
    <w:uiPriority w:val="0"/>
    <w:pPr>
      <w:spacing w:line="240" w:lineRule="auto"/>
      <w:ind w:firstLine="0"/>
      <w:jc w:val="center"/>
    </w:pPr>
    <w:rPr>
      <w:rFonts w:cs="Times New Roman"/>
      <w:b/>
      <w:color w:val="auto"/>
      <w:szCs w:val="20"/>
    </w:rPr>
  </w:style>
  <w:style w:type="paragraph" w:customStyle="1" w:styleId="2160">
    <w:name w:val="CM15"/>
    <w:basedOn w:val="191"/>
    <w:next w:val="191"/>
    <w:qFormat/>
    <w:uiPriority w:val="0"/>
    <w:pPr>
      <w:spacing w:line="548" w:lineRule="atLeast"/>
    </w:pPr>
    <w:rPr>
      <w:rFonts w:cs="Times New Roman"/>
      <w:color w:val="auto"/>
    </w:rPr>
  </w:style>
  <w:style w:type="paragraph" w:customStyle="1" w:styleId="2161">
    <w:name w:val="表题1411"/>
    <w:basedOn w:val="1"/>
    <w:qFormat/>
    <w:uiPriority w:val="0"/>
    <w:pPr>
      <w:widowControl/>
      <w:adjustRightInd w:val="0"/>
      <w:snapToGrid w:val="0"/>
      <w:jc w:val="center"/>
    </w:pPr>
    <w:rPr>
      <w:rFonts w:ascii="黑体" w:hAnsi="宋体" w:eastAsia="黑体" w:cs="宋体"/>
      <w:kern w:val="0"/>
      <w:sz w:val="24"/>
    </w:rPr>
  </w:style>
  <w:style w:type="paragraph" w:customStyle="1" w:styleId="2162">
    <w:name w:val="表格内字体212"/>
    <w:basedOn w:val="184"/>
    <w:next w:val="184"/>
    <w:qFormat/>
    <w:uiPriority w:val="0"/>
    <w:pPr>
      <w:spacing w:line="240" w:lineRule="auto"/>
      <w:ind w:firstLine="0"/>
      <w:jc w:val="center"/>
    </w:pPr>
    <w:rPr>
      <w:rFonts w:hAnsi="宋体"/>
      <w:sz w:val="21"/>
    </w:rPr>
  </w:style>
  <w:style w:type="paragraph" w:customStyle="1" w:styleId="2163">
    <w:name w:val="样式 左侧:  -0.16 厘米"/>
    <w:basedOn w:val="1"/>
    <w:qFormat/>
    <w:uiPriority w:val="0"/>
    <w:pPr>
      <w:ind w:left="-90"/>
    </w:pPr>
    <w:rPr>
      <w:rFonts w:ascii="宋体" w:hAnsi="宋体" w:cs="宋体"/>
      <w:snapToGrid w:val="0"/>
      <w:kern w:val="0"/>
      <w:sz w:val="24"/>
    </w:rPr>
  </w:style>
  <w:style w:type="paragraph" w:customStyle="1" w:styleId="2164">
    <w:name w:val="样式 正文文本 + 首行缩进:  2 字符4"/>
    <w:basedOn w:val="33"/>
    <w:qFormat/>
    <w:uiPriority w:val="0"/>
    <w:pPr>
      <w:adjustRightInd w:val="0"/>
      <w:spacing w:after="0"/>
      <w:textAlignment w:val="baseline"/>
    </w:pPr>
    <w:rPr>
      <w:rFonts w:eastAsia="仿宋_GB2312" w:cs="宋体"/>
      <w:color w:val="000000"/>
      <w:szCs w:val="21"/>
    </w:rPr>
  </w:style>
  <w:style w:type="paragraph" w:customStyle="1" w:styleId="2165">
    <w:name w:val="1.1.1.1-"/>
    <w:basedOn w:val="1"/>
    <w:qFormat/>
    <w:uiPriority w:val="0"/>
    <w:pPr>
      <w:tabs>
        <w:tab w:val="left" w:pos="398"/>
        <w:tab w:val="left" w:pos="2268"/>
      </w:tabs>
      <w:wordWrap w:val="0"/>
      <w:adjustRightInd w:val="0"/>
      <w:snapToGrid w:val="0"/>
      <w:spacing w:line="360" w:lineRule="atLeast"/>
      <w:ind w:left="398" w:firstLine="1587"/>
      <w:textAlignment w:val="baseline"/>
    </w:pPr>
    <w:rPr>
      <w:rFonts w:ascii="Arial" w:hAnsi="Arial" w:eastAsia="Gulim"/>
      <w:kern w:val="0"/>
      <w:sz w:val="20"/>
      <w:szCs w:val="20"/>
    </w:rPr>
  </w:style>
  <w:style w:type="paragraph" w:customStyle="1" w:styleId="2166">
    <w:name w:val="表注五"/>
    <w:basedOn w:val="50"/>
    <w:qFormat/>
    <w:uiPriority w:val="0"/>
    <w:pPr>
      <w:tabs>
        <w:tab w:val="left" w:pos="-120"/>
      </w:tabs>
      <w:spacing w:before="60" w:after="60" w:line="240" w:lineRule="auto"/>
      <w:ind w:left="175" w:leftChars="175" w:firstLine="220" w:firstLineChars="100"/>
    </w:pPr>
    <w:rPr>
      <w:rFonts w:ascii="Times New Roman" w:eastAsia="宋体"/>
      <w:spacing w:val="20"/>
      <w:sz w:val="18"/>
      <w:szCs w:val="18"/>
    </w:rPr>
  </w:style>
  <w:style w:type="paragraph" w:customStyle="1" w:styleId="2167">
    <w:name w:val="正文格式＝111"/>
    <w:basedOn w:val="184"/>
    <w:next w:val="184"/>
    <w:qFormat/>
    <w:uiPriority w:val="0"/>
    <w:rPr>
      <w:rFonts w:hAnsi="宋体"/>
    </w:rPr>
  </w:style>
  <w:style w:type="paragraph" w:customStyle="1" w:styleId="2168">
    <w:name w:val="表内541113"/>
    <w:basedOn w:val="1"/>
    <w:qFormat/>
    <w:uiPriority w:val="0"/>
    <w:pPr>
      <w:adjustRightInd w:val="0"/>
      <w:snapToGrid w:val="0"/>
      <w:spacing w:line="300" w:lineRule="auto"/>
      <w:jc w:val="center"/>
    </w:pPr>
    <w:rPr>
      <w:rFonts w:ascii="宋体" w:hAnsi="宋体" w:cs="宋体"/>
      <w:szCs w:val="20"/>
    </w:rPr>
  </w:style>
  <w:style w:type="paragraph" w:customStyle="1" w:styleId="2169">
    <w:name w:val="表格内字体71"/>
    <w:basedOn w:val="184"/>
    <w:next w:val="184"/>
    <w:qFormat/>
    <w:uiPriority w:val="0"/>
    <w:pPr>
      <w:spacing w:line="240" w:lineRule="auto"/>
      <w:ind w:firstLine="0"/>
      <w:jc w:val="center"/>
    </w:pPr>
    <w:rPr>
      <w:rFonts w:hAnsi="宋体"/>
      <w:sz w:val="21"/>
    </w:rPr>
  </w:style>
  <w:style w:type="paragraph" w:customStyle="1" w:styleId="2170">
    <w:name w:val="标题4315"/>
    <w:basedOn w:val="1"/>
    <w:qFormat/>
    <w:uiPriority w:val="0"/>
    <w:pPr>
      <w:adjustRightInd w:val="0"/>
      <w:snapToGrid w:val="0"/>
      <w:spacing w:line="480" w:lineRule="exact"/>
      <w:jc w:val="center"/>
    </w:pPr>
    <w:rPr>
      <w:rFonts w:ascii="宋体" w:hAnsi="宋体" w:cs="宋体"/>
      <w:sz w:val="24"/>
    </w:rPr>
  </w:style>
  <w:style w:type="paragraph" w:customStyle="1" w:styleId="2171">
    <w:name w:val="图题513"/>
    <w:basedOn w:val="184"/>
    <w:next w:val="184"/>
    <w:qFormat/>
    <w:uiPriority w:val="0"/>
    <w:pPr>
      <w:ind w:firstLine="0"/>
      <w:jc w:val="center"/>
    </w:pPr>
    <w:rPr>
      <w:rFonts w:ascii="黑体" w:hAnsi="宋体" w:eastAsia="黑体"/>
      <w:b/>
      <w:bCs/>
    </w:rPr>
  </w:style>
  <w:style w:type="paragraph" w:customStyle="1" w:styleId="2172">
    <w:name w:val="表题413"/>
    <w:basedOn w:val="34"/>
    <w:qFormat/>
    <w:uiPriority w:val="0"/>
    <w:pPr>
      <w:tabs>
        <w:tab w:val="left" w:pos="4305"/>
      </w:tabs>
      <w:adjustRightInd w:val="0"/>
      <w:snapToGrid w:val="0"/>
      <w:spacing w:after="0"/>
      <w:ind w:left="0" w:leftChars="0"/>
      <w:jc w:val="center"/>
    </w:pPr>
    <w:rPr>
      <w:rFonts w:ascii="宋体" w:hAnsi="宋体" w:cs="宋体"/>
      <w:color w:val="000000"/>
      <w:sz w:val="24"/>
    </w:rPr>
  </w:style>
  <w:style w:type="paragraph" w:customStyle="1" w:styleId="2173">
    <w:name w:val="佛风险表"/>
    <w:basedOn w:val="2174"/>
    <w:qFormat/>
    <w:uiPriority w:val="0"/>
    <w:rPr>
      <w:color w:val="000000"/>
      <w:sz w:val="18"/>
      <w:szCs w:val="18"/>
      <w:lang w:val="sq-AL"/>
    </w:rPr>
  </w:style>
  <w:style w:type="paragraph" w:customStyle="1" w:styleId="2174">
    <w:name w:val="佛表"/>
    <w:basedOn w:val="65"/>
    <w:qFormat/>
    <w:uiPriority w:val="0"/>
    <w:pPr>
      <w:spacing w:line="0" w:lineRule="atLeast"/>
    </w:pPr>
    <w:rPr>
      <w:rFonts w:ascii="宋体" w:hAnsi="宋体" w:eastAsia="宋体"/>
      <w:b/>
      <w:kern w:val="0"/>
      <w:sz w:val="21"/>
      <w:szCs w:val="24"/>
    </w:rPr>
  </w:style>
  <w:style w:type="paragraph" w:customStyle="1" w:styleId="2175">
    <w:name w:val="样式 公式 + 左 段前: 0.5 行 段后: 0.5 行"/>
    <w:basedOn w:val="541"/>
    <w:qFormat/>
    <w:uiPriority w:val="0"/>
    <w:pPr>
      <w:widowControl w:val="0"/>
      <w:pBdr>
        <w:top w:val="single" w:color="auto" w:sz="4" w:space="1"/>
      </w:pBdr>
      <w:adjustRightInd w:val="0"/>
      <w:spacing w:line="360" w:lineRule="auto"/>
      <w:ind w:firstLine="360" w:firstLineChars="150"/>
      <w:jc w:val="left"/>
      <w:textAlignment w:val="baseline"/>
    </w:pPr>
    <w:rPr>
      <w:rFonts w:cs="宋体"/>
      <w:iCs/>
      <w:sz w:val="24"/>
      <w:szCs w:val="24"/>
    </w:rPr>
  </w:style>
  <w:style w:type="paragraph" w:customStyle="1" w:styleId="2176">
    <w:name w:val="正文格式＝31"/>
    <w:basedOn w:val="184"/>
    <w:next w:val="184"/>
    <w:qFormat/>
    <w:uiPriority w:val="0"/>
    <w:rPr>
      <w:rFonts w:hAnsi="宋体"/>
    </w:rPr>
  </w:style>
  <w:style w:type="paragraph" w:customStyle="1" w:styleId="2177">
    <w:name w:val="Char172"/>
    <w:basedOn w:val="1"/>
    <w:qFormat/>
    <w:uiPriority w:val="0"/>
    <w:pPr>
      <w:ind w:left="-48"/>
    </w:pPr>
  </w:style>
  <w:style w:type="paragraph" w:customStyle="1" w:styleId="2178">
    <w:name w:val="Char Char2 Char Char Char Char42"/>
    <w:basedOn w:val="1"/>
    <w:qFormat/>
    <w:uiPriority w:val="0"/>
  </w:style>
  <w:style w:type="paragraph" w:customStyle="1" w:styleId="2179">
    <w:name w:val="Char Char2 Char Char Char Char19"/>
    <w:basedOn w:val="1"/>
    <w:qFormat/>
    <w:uiPriority w:val="0"/>
  </w:style>
  <w:style w:type="paragraph" w:customStyle="1" w:styleId="2180">
    <w:name w:val="Style1"/>
    <w:basedOn w:val="1"/>
    <w:qFormat/>
    <w:uiPriority w:val="0"/>
    <w:pPr>
      <w:widowControl/>
      <w:overflowPunct w:val="0"/>
      <w:autoSpaceDE w:val="0"/>
      <w:autoSpaceDN w:val="0"/>
      <w:adjustRightInd w:val="0"/>
      <w:snapToGrid w:val="0"/>
      <w:ind w:left="1080"/>
      <w:textAlignment w:val="baseline"/>
    </w:pPr>
    <w:rPr>
      <w:kern w:val="0"/>
      <w:sz w:val="22"/>
      <w:szCs w:val="20"/>
    </w:rPr>
  </w:style>
  <w:style w:type="paragraph" w:customStyle="1" w:styleId="2181">
    <w:name w:val="7表格(治)"/>
    <w:qFormat/>
    <w:uiPriority w:val="0"/>
    <w:pPr>
      <w:spacing w:line="400" w:lineRule="exact"/>
      <w:jc w:val="center"/>
    </w:pPr>
    <w:rPr>
      <w:rFonts w:ascii="宋体" w:hAnsi="宋体" w:eastAsia="宋体" w:cs="Times New Roman"/>
      <w:sz w:val="21"/>
      <w:lang w:val="en-US" w:eastAsia="zh-CN" w:bidi="ar-SA"/>
    </w:rPr>
  </w:style>
  <w:style w:type="paragraph" w:customStyle="1" w:styleId="2182">
    <w:name w:val="Bullet 1"/>
    <w:qFormat/>
    <w:uiPriority w:val="0"/>
    <w:pPr>
      <w:widowControl w:val="0"/>
      <w:autoSpaceDE w:val="0"/>
      <w:autoSpaceDN w:val="0"/>
      <w:adjustRightInd w:val="0"/>
      <w:ind w:left="576"/>
      <w:textAlignment w:val="baseline"/>
    </w:pPr>
    <w:rPr>
      <w:rFonts w:ascii="宋体" w:hAnsi="Times New Roman" w:eastAsia="宋体" w:cs="Times New Roman"/>
      <w:color w:val="000000"/>
      <w:sz w:val="24"/>
      <w:lang w:val="en-US" w:eastAsia="zh-CN" w:bidi="ar-SA"/>
    </w:rPr>
  </w:style>
  <w:style w:type="paragraph" w:customStyle="1" w:styleId="2183">
    <w:name w:val="Char Char Char Char Char Char Char Char Char Char Char"/>
    <w:basedOn w:val="1"/>
    <w:qFormat/>
    <w:uiPriority w:val="0"/>
    <w:rPr>
      <w:szCs w:val="21"/>
    </w:rPr>
  </w:style>
  <w:style w:type="paragraph" w:customStyle="1" w:styleId="2184">
    <w:name w:val="T标题1级"/>
    <w:basedOn w:val="2"/>
    <w:next w:val="1"/>
    <w:qFormat/>
    <w:uiPriority w:val="0"/>
    <w:pPr>
      <w:keepLines w:val="0"/>
      <w:widowControl/>
      <w:tabs>
        <w:tab w:val="center" w:pos="500"/>
        <w:tab w:val="left" w:pos="2040"/>
      </w:tabs>
      <w:overflowPunct w:val="0"/>
      <w:adjustRightInd w:val="0"/>
      <w:spacing w:beforeLines="50" w:afterLines="50" w:line="360" w:lineRule="auto"/>
      <w:ind w:left="-226" w:leftChars="800" w:hanging="425" w:hangingChars="200"/>
      <w:textAlignment w:val="center"/>
    </w:pPr>
    <w:rPr>
      <w:rFonts w:eastAsia="仿宋_GB2312"/>
      <w:bCs w:val="0"/>
      <w:sz w:val="28"/>
      <w:szCs w:val="28"/>
    </w:rPr>
  </w:style>
  <w:style w:type="paragraph" w:customStyle="1" w:styleId="2185">
    <w:name w:val="项目2"/>
    <w:basedOn w:val="1"/>
    <w:qFormat/>
    <w:uiPriority w:val="0"/>
    <w:pPr>
      <w:tabs>
        <w:tab w:val="left" w:pos="360"/>
      </w:tabs>
      <w:snapToGrid w:val="0"/>
      <w:spacing w:line="0" w:lineRule="atLeast"/>
      <w:ind w:left="340" w:hanging="340"/>
    </w:pPr>
    <w:rPr>
      <w:sz w:val="28"/>
      <w:szCs w:val="20"/>
    </w:rPr>
  </w:style>
  <w:style w:type="paragraph" w:customStyle="1" w:styleId="2186">
    <w:name w:val="Char Char Char Char Char Char Char24"/>
    <w:basedOn w:val="1"/>
    <w:qFormat/>
    <w:uiPriority w:val="0"/>
  </w:style>
  <w:style w:type="paragraph" w:customStyle="1" w:styleId="2187">
    <w:name w:val="Char Char Char Char Char Char Char118"/>
    <w:basedOn w:val="1"/>
    <w:qFormat/>
    <w:uiPriority w:val="0"/>
  </w:style>
  <w:style w:type="paragraph" w:customStyle="1" w:styleId="2188">
    <w:name w:val="正文修改42"/>
    <w:basedOn w:val="1161"/>
    <w:qFormat/>
    <w:uiPriority w:val="0"/>
    <w:rPr>
      <w:rFonts w:hAnsi="宋体"/>
      <w:color w:val="000000"/>
    </w:rPr>
  </w:style>
  <w:style w:type="paragraph" w:customStyle="1" w:styleId="2189">
    <w:name w:val="样式 表内小5 + 黑体 加粗 倾斜 下划线13"/>
    <w:basedOn w:val="1"/>
    <w:qFormat/>
    <w:uiPriority w:val="0"/>
    <w:pPr>
      <w:adjustRightInd w:val="0"/>
      <w:snapToGrid w:val="0"/>
      <w:spacing w:line="300" w:lineRule="auto"/>
      <w:jc w:val="left"/>
    </w:pPr>
    <w:rPr>
      <w:rFonts w:ascii="黑体" w:hAnsi="黑体" w:eastAsia="黑体"/>
      <w:b/>
      <w:bCs/>
      <w:i/>
      <w:iCs/>
      <w:sz w:val="18"/>
      <w:u w:val="single"/>
    </w:rPr>
  </w:style>
  <w:style w:type="paragraph" w:customStyle="1" w:styleId="2190">
    <w:name w:val="表内541111"/>
    <w:basedOn w:val="1"/>
    <w:qFormat/>
    <w:uiPriority w:val="0"/>
    <w:pPr>
      <w:adjustRightInd w:val="0"/>
      <w:snapToGrid w:val="0"/>
      <w:spacing w:line="300" w:lineRule="auto"/>
      <w:jc w:val="center"/>
    </w:pPr>
    <w:rPr>
      <w:rFonts w:ascii="宋体" w:hAnsi="宋体" w:cs="宋体"/>
      <w:szCs w:val="20"/>
    </w:rPr>
  </w:style>
  <w:style w:type="paragraph" w:customStyle="1" w:styleId="2191">
    <w:name w:val="默认段落字体 Para Char Char Char Char Char2"/>
    <w:basedOn w:val="1"/>
    <w:qFormat/>
    <w:uiPriority w:val="0"/>
  </w:style>
  <w:style w:type="paragraph" w:customStyle="1" w:styleId="2192">
    <w:name w:val="table"/>
    <w:basedOn w:val="65"/>
    <w:next w:val="85"/>
    <w:qFormat/>
    <w:uiPriority w:val="0"/>
    <w:pPr>
      <w:spacing w:line="360" w:lineRule="auto"/>
      <w:ind w:hanging="149"/>
    </w:pPr>
    <w:rPr>
      <w:rFonts w:ascii="Times New Roman" w:eastAsia="宋体"/>
      <w:b/>
      <w:kern w:val="0"/>
      <w:sz w:val="21"/>
      <w:szCs w:val="21"/>
    </w:rPr>
  </w:style>
  <w:style w:type="paragraph" w:customStyle="1" w:styleId="2193">
    <w:name w:val="表内文字边"/>
    <w:basedOn w:val="1"/>
    <w:qFormat/>
    <w:uiPriority w:val="0"/>
    <w:pPr>
      <w:widowControl/>
      <w:adjustRightInd w:val="0"/>
      <w:snapToGrid w:val="0"/>
      <w:spacing w:line="240" w:lineRule="atLeast"/>
      <w:ind w:left="-21" w:leftChars="-10" w:right="-42" w:rightChars="-20"/>
    </w:pPr>
    <w:rPr>
      <w:rFonts w:ascii="宋体"/>
      <w:kern w:val="0"/>
      <w:szCs w:val="21"/>
    </w:rPr>
  </w:style>
  <w:style w:type="paragraph" w:customStyle="1" w:styleId="2194">
    <w:name w:val="表中文字2"/>
    <w:basedOn w:val="1"/>
    <w:qFormat/>
    <w:uiPriority w:val="0"/>
    <w:pPr>
      <w:widowControl/>
      <w:adjustRightInd w:val="0"/>
      <w:spacing w:line="240" w:lineRule="atLeast"/>
      <w:ind w:right="-42" w:rightChars="-20"/>
      <w:jc w:val="center"/>
      <w:textAlignment w:val="baseline"/>
    </w:pPr>
    <w:rPr>
      <w:rFonts w:ascii="宋体"/>
      <w:kern w:val="0"/>
      <w:szCs w:val="21"/>
    </w:rPr>
  </w:style>
  <w:style w:type="paragraph" w:customStyle="1" w:styleId="2195">
    <w:name w:val="燕山正文22"/>
    <w:basedOn w:val="1"/>
    <w:qFormat/>
    <w:uiPriority w:val="0"/>
    <w:pPr>
      <w:tabs>
        <w:tab w:val="left" w:pos="4680"/>
      </w:tabs>
      <w:adjustRightInd w:val="0"/>
      <w:snapToGrid w:val="0"/>
      <w:spacing w:line="480" w:lineRule="exact"/>
    </w:pPr>
    <w:rPr>
      <w:rFonts w:ascii="宋体" w:cs="宋体"/>
      <w:sz w:val="24"/>
    </w:rPr>
  </w:style>
  <w:style w:type="paragraph" w:customStyle="1" w:styleId="2196">
    <w:name w:val="字元 字元 字元"/>
    <w:basedOn w:val="1"/>
    <w:qFormat/>
    <w:uiPriority w:val="0"/>
    <w:rPr>
      <w:szCs w:val="21"/>
    </w:rPr>
  </w:style>
  <w:style w:type="paragraph" w:customStyle="1" w:styleId="2197">
    <w:name w:val="默认段落字体 Para Char Char Char Char Char13"/>
    <w:basedOn w:val="1"/>
    <w:qFormat/>
    <w:uiPriority w:val="0"/>
  </w:style>
  <w:style w:type="paragraph" w:customStyle="1" w:styleId="2198">
    <w:name w:val="Char312"/>
    <w:basedOn w:val="1"/>
    <w:qFormat/>
    <w:uiPriority w:val="0"/>
    <w:pPr>
      <w:ind w:left="-48"/>
    </w:pPr>
  </w:style>
  <w:style w:type="paragraph" w:customStyle="1" w:styleId="2199">
    <w:name w:val="正文格式＝21"/>
    <w:basedOn w:val="184"/>
    <w:next w:val="184"/>
    <w:qFormat/>
    <w:uiPriority w:val="0"/>
    <w:rPr>
      <w:rFonts w:hAnsi="宋体"/>
    </w:rPr>
  </w:style>
  <w:style w:type="paragraph" w:customStyle="1" w:styleId="2200">
    <w:name w:val="附件12"/>
    <w:basedOn w:val="2"/>
    <w:next w:val="184"/>
    <w:qFormat/>
    <w:uiPriority w:val="0"/>
    <w:pPr>
      <w:tabs>
        <w:tab w:val="left" w:pos="1566"/>
        <w:tab w:val="left" w:pos="2040"/>
      </w:tabs>
      <w:spacing w:before="0" w:after="210" w:line="360" w:lineRule="auto"/>
      <w:ind w:left="2040" w:leftChars="800" w:hanging="360" w:hangingChars="200"/>
      <w:jc w:val="left"/>
    </w:pPr>
    <w:rPr>
      <w:rFonts w:ascii="黑体" w:hAnsi="宋体" w:eastAsia="黑体"/>
      <w:b w:val="0"/>
      <w:sz w:val="32"/>
      <w:szCs w:val="32"/>
    </w:rPr>
  </w:style>
  <w:style w:type="paragraph" w:customStyle="1" w:styleId="2201">
    <w:name w:val="表中文字1113"/>
    <w:basedOn w:val="1"/>
    <w:qFormat/>
    <w:uiPriority w:val="0"/>
    <w:pPr>
      <w:widowControl/>
      <w:spacing w:line="240" w:lineRule="atLeast"/>
      <w:ind w:left="-24" w:leftChars="-10" w:right="-48" w:rightChars="-20"/>
      <w:jc w:val="center"/>
    </w:pPr>
    <w:rPr>
      <w:rFonts w:ascii="宋体"/>
      <w:kern w:val="0"/>
      <w:szCs w:val="21"/>
    </w:rPr>
  </w:style>
  <w:style w:type="paragraph" w:customStyle="1" w:styleId="2202">
    <w:name w:val="样式 样式 样式 样式 标题 4 + 段前: 0.5 行 段后: 0.5 行 + 段前: 0.5 行 段后: 0.5 行 + 段..."/>
    <w:basedOn w:val="2203"/>
    <w:qFormat/>
    <w:uiPriority w:val="0"/>
    <w:pPr>
      <w:adjustRightInd/>
      <w:spacing w:beforeLines="0" w:afterLines="0"/>
    </w:pPr>
  </w:style>
  <w:style w:type="paragraph" w:customStyle="1" w:styleId="2203">
    <w:name w:val="样式 样式 样式 标题 4 + 段前: 0.5 行 段后: 0.5 行 + 段前: 0.5 行 段后: 0.5 行 + 段前: ..."/>
    <w:basedOn w:val="2204"/>
    <w:qFormat/>
    <w:uiPriority w:val="0"/>
    <w:pPr>
      <w:adjustRightInd w:val="0"/>
    </w:pPr>
  </w:style>
  <w:style w:type="paragraph" w:customStyle="1" w:styleId="2204">
    <w:name w:val="样式 样式 标题 4 + 段前: 0.5 行 段后: 0.5 行 + 段前: 0.5 行 段后: 0.5 行"/>
    <w:basedOn w:val="2108"/>
    <w:qFormat/>
    <w:uiPriority w:val="0"/>
  </w:style>
  <w:style w:type="paragraph" w:customStyle="1" w:styleId="2205">
    <w:name w:val="表中文字54"/>
    <w:basedOn w:val="1"/>
    <w:qFormat/>
    <w:uiPriority w:val="0"/>
    <w:pPr>
      <w:widowControl/>
      <w:spacing w:line="240" w:lineRule="atLeast"/>
      <w:ind w:left="-24" w:leftChars="-10" w:right="-48" w:rightChars="-20"/>
      <w:jc w:val="center"/>
    </w:pPr>
    <w:rPr>
      <w:rFonts w:ascii="宋体"/>
      <w:kern w:val="0"/>
      <w:szCs w:val="21"/>
    </w:rPr>
  </w:style>
  <w:style w:type="paragraph" w:customStyle="1" w:styleId="2206">
    <w:name w:val="Char219"/>
    <w:basedOn w:val="1"/>
    <w:qFormat/>
    <w:uiPriority w:val="0"/>
    <w:pPr>
      <w:ind w:left="-48"/>
    </w:pPr>
  </w:style>
  <w:style w:type="paragraph" w:customStyle="1" w:styleId="2207">
    <w:name w:val="Char134"/>
    <w:basedOn w:val="1"/>
    <w:qFormat/>
    <w:uiPriority w:val="0"/>
    <w:pPr>
      <w:ind w:left="-48"/>
    </w:pPr>
  </w:style>
  <w:style w:type="paragraph" w:customStyle="1" w:styleId="2208">
    <w:name w:val="图题64"/>
    <w:basedOn w:val="184"/>
    <w:next w:val="184"/>
    <w:qFormat/>
    <w:uiPriority w:val="0"/>
    <w:pPr>
      <w:ind w:firstLine="0"/>
      <w:jc w:val="center"/>
    </w:pPr>
    <w:rPr>
      <w:rFonts w:ascii="黑体" w:hAnsi="宋体" w:eastAsia="黑体"/>
      <w:b/>
      <w:bCs/>
    </w:rPr>
  </w:style>
  <w:style w:type="paragraph" w:customStyle="1" w:styleId="2209">
    <w:name w:val="图名称"/>
    <w:basedOn w:val="1"/>
    <w:qFormat/>
    <w:uiPriority w:val="0"/>
    <w:pPr>
      <w:tabs>
        <w:tab w:val="left" w:pos="2600"/>
        <w:tab w:val="center" w:pos="6622"/>
      </w:tabs>
      <w:adjustRightInd w:val="0"/>
      <w:snapToGrid w:val="0"/>
      <w:spacing w:before="50" w:line="312" w:lineRule="auto"/>
      <w:jc w:val="center"/>
    </w:pPr>
    <w:rPr>
      <w:rFonts w:ascii="黑体" w:eastAsia="黑体"/>
      <w:bCs/>
      <w:color w:val="000000"/>
      <w:sz w:val="24"/>
    </w:rPr>
  </w:style>
  <w:style w:type="paragraph" w:customStyle="1" w:styleId="2210">
    <w:name w:val="表中文字6"/>
    <w:basedOn w:val="1"/>
    <w:qFormat/>
    <w:uiPriority w:val="0"/>
    <w:pPr>
      <w:widowControl/>
      <w:spacing w:line="240" w:lineRule="atLeast"/>
      <w:ind w:left="-24" w:leftChars="-10" w:right="-48" w:rightChars="-20"/>
      <w:jc w:val="center"/>
    </w:pPr>
    <w:rPr>
      <w:rFonts w:ascii="宋体"/>
      <w:kern w:val="0"/>
      <w:szCs w:val="21"/>
    </w:rPr>
  </w:style>
  <w:style w:type="paragraph" w:customStyle="1" w:styleId="2211">
    <w:name w:val="Char143"/>
    <w:basedOn w:val="1"/>
    <w:qFormat/>
    <w:uiPriority w:val="0"/>
    <w:pPr>
      <w:ind w:left="-48"/>
    </w:pPr>
  </w:style>
  <w:style w:type="paragraph" w:customStyle="1" w:styleId="2212">
    <w:name w:val="Char Char Char Char Char Char Char10"/>
    <w:basedOn w:val="1"/>
    <w:qFormat/>
    <w:uiPriority w:val="0"/>
  </w:style>
  <w:style w:type="paragraph" w:customStyle="1" w:styleId="2213">
    <w:name w:val="图题411"/>
    <w:basedOn w:val="184"/>
    <w:next w:val="184"/>
    <w:qFormat/>
    <w:uiPriority w:val="0"/>
    <w:pPr>
      <w:ind w:firstLine="0"/>
      <w:jc w:val="center"/>
    </w:pPr>
    <w:rPr>
      <w:rFonts w:ascii="黑体" w:hAnsi="宋体" w:eastAsia="黑体"/>
      <w:b/>
      <w:bCs/>
    </w:rPr>
  </w:style>
  <w:style w:type="paragraph" w:customStyle="1" w:styleId="2214">
    <w:name w:val="表题3121"/>
    <w:basedOn w:val="34"/>
    <w:qFormat/>
    <w:uiPriority w:val="0"/>
    <w:pPr>
      <w:tabs>
        <w:tab w:val="left" w:pos="4305"/>
      </w:tabs>
      <w:adjustRightInd w:val="0"/>
      <w:snapToGrid w:val="0"/>
      <w:spacing w:after="0"/>
      <w:ind w:left="0" w:leftChars="0"/>
      <w:jc w:val="center"/>
    </w:pPr>
    <w:rPr>
      <w:rFonts w:ascii="宋体" w:hAnsi="宋体"/>
      <w:sz w:val="24"/>
      <w:szCs w:val="20"/>
    </w:rPr>
  </w:style>
  <w:style w:type="paragraph" w:customStyle="1" w:styleId="2215">
    <w:name w:val="环评正文3"/>
    <w:qFormat/>
    <w:uiPriority w:val="0"/>
    <w:pPr>
      <w:spacing w:line="440" w:lineRule="exact"/>
      <w:ind w:firstLine="200" w:firstLineChars="200"/>
    </w:pPr>
    <w:rPr>
      <w:rFonts w:ascii="Times New Roman" w:hAnsi="Times New Roman" w:eastAsia="宋体" w:cs="Times New Roman"/>
      <w:bCs/>
      <w:kern w:val="2"/>
      <w:sz w:val="24"/>
      <w:szCs w:val="24"/>
      <w:lang w:val="en-US" w:eastAsia="zh-CN" w:bidi="ar-SA"/>
    </w:rPr>
  </w:style>
  <w:style w:type="paragraph" w:customStyle="1" w:styleId="2216">
    <w:name w:val="表中文字213"/>
    <w:basedOn w:val="1"/>
    <w:qFormat/>
    <w:uiPriority w:val="0"/>
    <w:pPr>
      <w:widowControl/>
      <w:adjustRightInd w:val="0"/>
      <w:spacing w:line="240" w:lineRule="atLeast"/>
      <w:ind w:right="-42" w:rightChars="-20"/>
      <w:jc w:val="center"/>
      <w:textAlignment w:val="baseline"/>
    </w:pPr>
    <w:rPr>
      <w:rFonts w:ascii="宋体"/>
      <w:kern w:val="0"/>
      <w:szCs w:val="21"/>
    </w:rPr>
  </w:style>
  <w:style w:type="paragraph" w:customStyle="1" w:styleId="2217">
    <w:name w:val="表题314"/>
    <w:basedOn w:val="34"/>
    <w:qFormat/>
    <w:uiPriority w:val="0"/>
    <w:pPr>
      <w:tabs>
        <w:tab w:val="left" w:pos="4305"/>
      </w:tabs>
      <w:adjustRightInd w:val="0"/>
      <w:snapToGrid w:val="0"/>
      <w:spacing w:after="0"/>
      <w:ind w:left="0" w:leftChars="0"/>
      <w:jc w:val="center"/>
    </w:pPr>
    <w:rPr>
      <w:rFonts w:ascii="宋体" w:hAnsi="宋体"/>
      <w:sz w:val="24"/>
      <w:szCs w:val="20"/>
    </w:rPr>
  </w:style>
  <w:style w:type="paragraph" w:customStyle="1" w:styleId="2218">
    <w:name w:val="样式 标题 3 + 黑色 Char Char Char Char Char Char Char Char Char"/>
    <w:basedOn w:val="4"/>
    <w:qFormat/>
    <w:uiPriority w:val="0"/>
    <w:pPr>
      <w:keepNext w:val="0"/>
      <w:keepLines w:val="0"/>
      <w:tabs>
        <w:tab w:val="left" w:pos="233"/>
        <w:tab w:val="left" w:pos="993"/>
        <w:tab w:val="left" w:pos="1260"/>
      </w:tabs>
      <w:adjustRightInd w:val="0"/>
      <w:snapToGrid w:val="0"/>
      <w:spacing w:before="0" w:after="0" w:line="500" w:lineRule="exact"/>
      <w:ind w:left="233" w:firstLine="538" w:firstLineChars="192"/>
      <w:outlineLvl w:val="9"/>
    </w:pPr>
    <w:rPr>
      <w:rFonts w:ascii="宋体"/>
      <w:b w:val="0"/>
      <w:bCs w:val="0"/>
      <w:sz w:val="28"/>
      <w:szCs w:val="28"/>
    </w:rPr>
  </w:style>
  <w:style w:type="paragraph" w:customStyle="1" w:styleId="2219">
    <w:name w:val="Char Char Char Char Char Char Char8"/>
    <w:basedOn w:val="1"/>
    <w:qFormat/>
    <w:uiPriority w:val="0"/>
  </w:style>
  <w:style w:type="paragraph" w:customStyle="1" w:styleId="2220">
    <w:name w:val="xl244"/>
    <w:basedOn w:val="1"/>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paragraph" w:customStyle="1" w:styleId="2221">
    <w:name w:val="样式 正文缩进 + 宋体 黑色 首行缩进:  2 字符3"/>
    <w:basedOn w:val="20"/>
    <w:qFormat/>
    <w:uiPriority w:val="0"/>
    <w:pPr>
      <w:spacing w:line="360" w:lineRule="auto"/>
      <w:ind w:firstLine="480"/>
      <w:jc w:val="left"/>
    </w:pPr>
    <w:rPr>
      <w:rFonts w:ascii="宋体" w:hAnsi="宋体" w:cs="宋体"/>
      <w:color w:val="FF00FF"/>
      <w:sz w:val="24"/>
      <w:szCs w:val="20"/>
    </w:rPr>
  </w:style>
  <w:style w:type="paragraph" w:customStyle="1" w:styleId="2222">
    <w:name w:val="白洋淀前言"/>
    <w:basedOn w:val="1"/>
    <w:next w:val="6"/>
    <w:qFormat/>
    <w:uiPriority w:val="0"/>
    <w:pPr>
      <w:pBdr>
        <w:top w:val="single" w:color="auto" w:sz="4" w:space="1"/>
      </w:pBdr>
      <w:spacing w:line="360" w:lineRule="auto"/>
      <w:ind w:firstLine="200" w:firstLineChars="200"/>
    </w:pPr>
    <w:rPr>
      <w:rFonts w:cs="宋体"/>
      <w:sz w:val="24"/>
    </w:rPr>
  </w:style>
  <w:style w:type="paragraph" w:customStyle="1" w:styleId="2223">
    <w:name w:val="项目编号文字"/>
    <w:basedOn w:val="1"/>
    <w:next w:val="20"/>
    <w:qFormat/>
    <w:uiPriority w:val="0"/>
    <w:pPr>
      <w:spacing w:before="120" w:after="120" w:line="360" w:lineRule="auto"/>
      <w:ind w:left="1077"/>
    </w:pPr>
    <w:rPr>
      <w:sz w:val="24"/>
    </w:rPr>
  </w:style>
  <w:style w:type="paragraph" w:customStyle="1" w:styleId="2224">
    <w:name w:val="表内5中13"/>
    <w:basedOn w:val="1"/>
    <w:qFormat/>
    <w:uiPriority w:val="0"/>
    <w:pPr>
      <w:adjustRightInd w:val="0"/>
      <w:snapToGrid w:val="0"/>
      <w:jc w:val="center"/>
    </w:pPr>
    <w:rPr>
      <w:rFonts w:ascii="宋体" w:hAnsi="宋体" w:cs="Arial"/>
      <w:snapToGrid w:val="0"/>
      <w:color w:val="000000"/>
      <w:szCs w:val="21"/>
    </w:rPr>
  </w:style>
  <w:style w:type="paragraph" w:customStyle="1" w:styleId="2225">
    <w:name w:val="表内文字小3122"/>
    <w:basedOn w:val="1"/>
    <w:qFormat/>
    <w:uiPriority w:val="0"/>
    <w:pPr>
      <w:adjustRightInd w:val="0"/>
      <w:snapToGrid w:val="0"/>
      <w:jc w:val="center"/>
    </w:pPr>
    <w:rPr>
      <w:rFonts w:ascii="宋体" w:hAnsi="Times" w:cs="宋体"/>
      <w:bCs/>
      <w:color w:val="003366"/>
      <w:szCs w:val="20"/>
    </w:rPr>
  </w:style>
  <w:style w:type="paragraph" w:customStyle="1" w:styleId="2226">
    <w:name w:val="表文字5112"/>
    <w:basedOn w:val="1"/>
    <w:qFormat/>
    <w:uiPriority w:val="0"/>
    <w:pPr>
      <w:adjustRightInd w:val="0"/>
      <w:jc w:val="left"/>
      <w:textAlignment w:val="baseline"/>
    </w:pPr>
    <w:rPr>
      <w:rFonts w:ascii="宋体"/>
      <w:kern w:val="0"/>
      <w:szCs w:val="20"/>
    </w:rPr>
  </w:style>
  <w:style w:type="paragraph" w:customStyle="1" w:styleId="2227">
    <w:name w:val="bg"/>
    <w:basedOn w:val="1"/>
    <w:qFormat/>
    <w:uiPriority w:val="0"/>
    <w:pPr>
      <w:widowControl/>
    </w:pPr>
    <w:rPr>
      <w:kern w:val="0"/>
      <w:sz w:val="24"/>
      <w:szCs w:val="20"/>
    </w:rPr>
  </w:style>
  <w:style w:type="paragraph" w:customStyle="1" w:styleId="2228">
    <w:name w:val="正文2111"/>
    <w:qFormat/>
    <w:uiPriority w:val="0"/>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2229">
    <w:name w:val="表题13"/>
    <w:basedOn w:val="21"/>
    <w:qFormat/>
    <w:uiPriority w:val="0"/>
    <w:pPr>
      <w:tabs>
        <w:tab w:val="clear" w:pos="7380"/>
      </w:tabs>
      <w:overflowPunct/>
      <w:spacing w:before="0" w:afterLines="0" w:line="360" w:lineRule="auto"/>
      <w:jc w:val="center"/>
    </w:pPr>
    <w:rPr>
      <w:rFonts w:ascii="黑体"/>
      <w:b/>
      <w:sz w:val="24"/>
      <w:szCs w:val="24"/>
    </w:rPr>
  </w:style>
  <w:style w:type="paragraph" w:customStyle="1" w:styleId="2230">
    <w:name w:val="样式 样式 宋体 + 首行缩进:  2 字符1"/>
    <w:basedOn w:val="1"/>
    <w:qFormat/>
    <w:uiPriority w:val="0"/>
    <w:pPr>
      <w:spacing w:line="360" w:lineRule="auto"/>
      <w:ind w:firstLine="480" w:firstLineChars="200"/>
      <w:jc w:val="left"/>
    </w:pPr>
    <w:rPr>
      <w:rFonts w:ascii="宋体" w:cs="宋体"/>
      <w:sz w:val="24"/>
    </w:rPr>
  </w:style>
  <w:style w:type="paragraph" w:customStyle="1" w:styleId="2231">
    <w:name w:val="中表格"/>
    <w:basedOn w:val="1"/>
    <w:qFormat/>
    <w:uiPriority w:val="0"/>
    <w:pPr>
      <w:spacing w:line="420" w:lineRule="exact"/>
      <w:jc w:val="center"/>
    </w:pPr>
    <w:rPr>
      <w:rFonts w:ascii="宋体" w:hAnsi="Arial"/>
      <w:sz w:val="24"/>
      <w:szCs w:val="20"/>
    </w:rPr>
  </w:style>
  <w:style w:type="paragraph" w:customStyle="1" w:styleId="2232">
    <w:name w:val="默认段落字体 Para Char113"/>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2233">
    <w:name w:val="表内文字小8"/>
    <w:basedOn w:val="1"/>
    <w:qFormat/>
    <w:uiPriority w:val="0"/>
    <w:pPr>
      <w:adjustRightInd w:val="0"/>
      <w:snapToGrid w:val="0"/>
      <w:jc w:val="center"/>
    </w:pPr>
    <w:rPr>
      <w:rFonts w:ascii="宋体" w:hAnsi="Times" w:cs="宋体"/>
      <w:szCs w:val="20"/>
    </w:rPr>
  </w:style>
  <w:style w:type="paragraph" w:customStyle="1" w:styleId="2234">
    <w:name w:val="表文字514"/>
    <w:basedOn w:val="1"/>
    <w:qFormat/>
    <w:uiPriority w:val="0"/>
    <w:pPr>
      <w:adjustRightInd w:val="0"/>
      <w:jc w:val="left"/>
      <w:textAlignment w:val="baseline"/>
    </w:pPr>
    <w:rPr>
      <w:rFonts w:ascii="宋体"/>
      <w:kern w:val="0"/>
      <w:szCs w:val="20"/>
    </w:rPr>
  </w:style>
  <w:style w:type="paragraph" w:customStyle="1" w:styleId="2235">
    <w:name w:val="表内宋511111"/>
    <w:basedOn w:val="80"/>
    <w:qFormat/>
    <w:uiPriority w:val="0"/>
    <w:pPr>
      <w:widowControl/>
      <w:adjustRightInd w:val="0"/>
      <w:snapToGrid w:val="0"/>
    </w:pPr>
    <w:rPr>
      <w:rFonts w:ascii="宋体" w:hAnsi="宋体" w:cs="宋体"/>
      <w:color w:val="000000"/>
      <w:sz w:val="21"/>
    </w:rPr>
  </w:style>
  <w:style w:type="paragraph" w:customStyle="1" w:styleId="2236">
    <w:name w:val="23-47表名2"/>
    <w:basedOn w:val="1"/>
    <w:qFormat/>
    <w:uiPriority w:val="0"/>
    <w:pPr>
      <w:spacing w:afterLines="50" w:line="440" w:lineRule="exact"/>
      <w:jc w:val="center"/>
    </w:pPr>
    <w:rPr>
      <w:rFonts w:ascii="宋体" w:hAnsi="宋体"/>
      <w:b/>
      <w:sz w:val="24"/>
    </w:rPr>
  </w:style>
  <w:style w:type="paragraph" w:customStyle="1" w:styleId="2237">
    <w:name w:val="表7"/>
    <w:basedOn w:val="1"/>
    <w:qFormat/>
    <w:uiPriority w:val="0"/>
    <w:pPr>
      <w:adjustRightInd w:val="0"/>
      <w:snapToGrid w:val="0"/>
      <w:jc w:val="center"/>
    </w:pPr>
    <w:rPr>
      <w:rFonts w:eastAsia="仿宋_GB2312"/>
      <w:sz w:val="24"/>
    </w:rPr>
  </w:style>
  <w:style w:type="paragraph" w:customStyle="1" w:styleId="2238">
    <w:name w:val="一二三四五六"/>
    <w:basedOn w:val="1"/>
    <w:next w:val="1"/>
    <w:qFormat/>
    <w:uiPriority w:val="0"/>
    <w:pPr>
      <w:spacing w:before="100" w:after="100" w:line="480" w:lineRule="exact"/>
      <w:ind w:firstLine="200" w:firstLineChars="200"/>
      <w:jc w:val="left"/>
    </w:pPr>
    <w:rPr>
      <w:rFonts w:eastAsia="黑体"/>
      <w:kern w:val="0"/>
      <w:sz w:val="28"/>
      <w:szCs w:val="28"/>
    </w:rPr>
  </w:style>
  <w:style w:type="paragraph" w:customStyle="1" w:styleId="2239">
    <w:name w:val="报告正文 Char"/>
    <w:basedOn w:val="1"/>
    <w:qFormat/>
    <w:uiPriority w:val="0"/>
    <w:pPr>
      <w:adjustRightInd w:val="0"/>
      <w:snapToGrid w:val="0"/>
      <w:spacing w:line="300" w:lineRule="auto"/>
    </w:pPr>
    <w:rPr>
      <w:rFonts w:ascii="宋体"/>
      <w:sz w:val="28"/>
      <w:szCs w:val="20"/>
    </w:rPr>
  </w:style>
  <w:style w:type="paragraph" w:customStyle="1" w:styleId="2240">
    <w:name w:val="表文字542"/>
    <w:basedOn w:val="1"/>
    <w:qFormat/>
    <w:uiPriority w:val="0"/>
    <w:pPr>
      <w:adjustRightInd w:val="0"/>
      <w:jc w:val="left"/>
      <w:textAlignment w:val="baseline"/>
    </w:pPr>
    <w:rPr>
      <w:rFonts w:ascii="宋体"/>
      <w:kern w:val="0"/>
      <w:szCs w:val="20"/>
    </w:rPr>
  </w:style>
  <w:style w:type="paragraph" w:customStyle="1" w:styleId="2241">
    <w:name w:val="表内文字小3132"/>
    <w:basedOn w:val="1"/>
    <w:qFormat/>
    <w:uiPriority w:val="0"/>
    <w:pPr>
      <w:adjustRightInd w:val="0"/>
      <w:snapToGrid w:val="0"/>
      <w:jc w:val="center"/>
    </w:pPr>
    <w:rPr>
      <w:rFonts w:ascii="宋体" w:hAnsi="Times" w:cs="宋体"/>
      <w:bCs/>
      <w:color w:val="003366"/>
      <w:szCs w:val="20"/>
    </w:rPr>
  </w:style>
  <w:style w:type="paragraph" w:customStyle="1" w:styleId="2242">
    <w:name w:val="Char Char Char1 Char Char Char1 Char"/>
    <w:basedOn w:val="1"/>
    <w:qFormat/>
    <w:uiPriority w:val="0"/>
    <w:pPr>
      <w:spacing w:line="240" w:lineRule="exact"/>
      <w:ind w:firstLine="200" w:firstLineChars="200"/>
    </w:pPr>
    <w:rPr>
      <w:sz w:val="28"/>
      <w:szCs w:val="28"/>
    </w:rPr>
  </w:style>
  <w:style w:type="paragraph" w:customStyle="1" w:styleId="2243">
    <w:name w:val="表内文字小21213"/>
    <w:basedOn w:val="1"/>
    <w:qFormat/>
    <w:uiPriority w:val="0"/>
    <w:pPr>
      <w:adjustRightInd w:val="0"/>
      <w:snapToGrid w:val="0"/>
      <w:jc w:val="center"/>
    </w:pPr>
    <w:rPr>
      <w:rFonts w:ascii="宋体" w:hAnsi="Times"/>
      <w:bCs/>
      <w:color w:val="000000"/>
      <w:szCs w:val="20"/>
    </w:rPr>
  </w:style>
  <w:style w:type="paragraph" w:customStyle="1" w:styleId="2244">
    <w:name w:val="表文字512"/>
    <w:basedOn w:val="1"/>
    <w:qFormat/>
    <w:uiPriority w:val="0"/>
    <w:pPr>
      <w:adjustRightInd w:val="0"/>
      <w:jc w:val="left"/>
      <w:textAlignment w:val="baseline"/>
    </w:pPr>
    <w:rPr>
      <w:rFonts w:ascii="宋体"/>
      <w:kern w:val="0"/>
      <w:szCs w:val="20"/>
    </w:rPr>
  </w:style>
  <w:style w:type="paragraph" w:customStyle="1" w:styleId="2245">
    <w:name w:val="样式 宋体 四号 左 行距: 固定值 25 磅"/>
    <w:basedOn w:val="1"/>
    <w:qFormat/>
    <w:uiPriority w:val="0"/>
    <w:pPr>
      <w:spacing w:line="500" w:lineRule="exact"/>
      <w:ind w:firstLine="200" w:firstLineChars="200"/>
      <w:jc w:val="left"/>
    </w:pPr>
    <w:rPr>
      <w:rFonts w:cs="宋体"/>
      <w:sz w:val="28"/>
      <w:szCs w:val="20"/>
    </w:rPr>
  </w:style>
  <w:style w:type="paragraph" w:customStyle="1" w:styleId="2246">
    <w:name w:val="默认段落字体 Para Char4"/>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2247">
    <w:name w:val="表题162"/>
    <w:basedOn w:val="21"/>
    <w:qFormat/>
    <w:uiPriority w:val="0"/>
    <w:pPr>
      <w:tabs>
        <w:tab w:val="clear" w:pos="7380"/>
      </w:tabs>
      <w:overflowPunct/>
      <w:spacing w:before="0" w:afterLines="0" w:line="360" w:lineRule="auto"/>
      <w:jc w:val="center"/>
    </w:pPr>
    <w:rPr>
      <w:rFonts w:ascii="黑体"/>
      <w:b/>
      <w:sz w:val="24"/>
      <w:szCs w:val="24"/>
    </w:rPr>
  </w:style>
  <w:style w:type="paragraph" w:customStyle="1" w:styleId="2248">
    <w:name w:val="Char22"/>
    <w:basedOn w:val="1"/>
    <w:qFormat/>
    <w:uiPriority w:val="0"/>
    <w:pPr>
      <w:adjustRightInd w:val="0"/>
      <w:snapToGrid w:val="0"/>
      <w:spacing w:beforeLines="50" w:line="360" w:lineRule="auto"/>
    </w:pPr>
    <w:rPr>
      <w:rFonts w:ascii="黑体" w:eastAsia="黑体"/>
      <w:sz w:val="32"/>
      <w:szCs w:val="32"/>
    </w:rPr>
  </w:style>
  <w:style w:type="paragraph" w:customStyle="1" w:styleId="2249">
    <w:name w:val="标题一"/>
    <w:basedOn w:val="2"/>
    <w:qFormat/>
    <w:uiPriority w:val="0"/>
    <w:pPr>
      <w:keepNext w:val="0"/>
      <w:tabs>
        <w:tab w:val="left" w:pos="2040"/>
      </w:tabs>
      <w:spacing w:beforeLines="240" w:afterLines="160" w:line="360" w:lineRule="auto"/>
      <w:ind w:left="2040" w:leftChars="800" w:hanging="360" w:hangingChars="200"/>
      <w:jc w:val="center"/>
    </w:pPr>
  </w:style>
  <w:style w:type="paragraph" w:customStyle="1" w:styleId="2250">
    <w:name w:val="Char811"/>
    <w:basedOn w:val="1"/>
    <w:qFormat/>
    <w:uiPriority w:val="0"/>
    <w:pPr>
      <w:ind w:left="-48"/>
    </w:pPr>
  </w:style>
  <w:style w:type="paragraph" w:customStyle="1" w:styleId="2251">
    <w:name w:val="表中文字7"/>
    <w:basedOn w:val="1"/>
    <w:qFormat/>
    <w:uiPriority w:val="0"/>
    <w:pPr>
      <w:widowControl/>
      <w:spacing w:line="240" w:lineRule="atLeast"/>
      <w:ind w:left="-24" w:leftChars="-10" w:right="-48" w:rightChars="-20"/>
      <w:jc w:val="center"/>
    </w:pPr>
    <w:rPr>
      <w:rFonts w:ascii="宋体"/>
      <w:kern w:val="0"/>
      <w:szCs w:val="21"/>
    </w:rPr>
  </w:style>
  <w:style w:type="paragraph" w:customStyle="1" w:styleId="2252">
    <w:name w:val="样式 标题 2第一章 标题 2Heading 2 HiddenHeading 2 CCBSheading 2H2h2...2"/>
    <w:basedOn w:val="3"/>
    <w:qFormat/>
    <w:uiPriority w:val="0"/>
    <w:pPr>
      <w:numPr>
        <w:ilvl w:val="0"/>
        <w:numId w:val="0"/>
      </w:numPr>
      <w:tabs>
        <w:tab w:val="left" w:pos="233"/>
        <w:tab w:val="clear" w:pos="0"/>
        <w:tab w:val="clear" w:pos="426"/>
      </w:tabs>
      <w:spacing w:beforeLines="0" w:afterLines="0"/>
      <w:ind w:left="233"/>
    </w:pPr>
    <w:rPr>
      <w:bCs/>
      <w:spacing w:val="0"/>
      <w:kern w:val="2"/>
      <w:sz w:val="28"/>
      <w:szCs w:val="32"/>
    </w:rPr>
  </w:style>
  <w:style w:type="paragraph" w:customStyle="1" w:styleId="2253">
    <w:name w:val="正文修改33"/>
    <w:basedOn w:val="1161"/>
    <w:qFormat/>
    <w:uiPriority w:val="0"/>
    <w:rPr>
      <w:rFonts w:hAnsi="宋体"/>
      <w:color w:val="000000"/>
    </w:rPr>
  </w:style>
  <w:style w:type="paragraph" w:customStyle="1" w:styleId="2254">
    <w:name w:val="表内54132"/>
    <w:basedOn w:val="1"/>
    <w:qFormat/>
    <w:uiPriority w:val="0"/>
    <w:pPr>
      <w:adjustRightInd w:val="0"/>
      <w:snapToGrid w:val="0"/>
      <w:spacing w:line="300" w:lineRule="auto"/>
      <w:jc w:val="center"/>
    </w:pPr>
    <w:rPr>
      <w:rFonts w:ascii="宋体" w:hAnsi="宋体" w:cs="宋体"/>
      <w:szCs w:val="20"/>
    </w:rPr>
  </w:style>
  <w:style w:type="paragraph" w:customStyle="1" w:styleId="2255">
    <w:name w:val="图题23"/>
    <w:basedOn w:val="184"/>
    <w:next w:val="184"/>
    <w:qFormat/>
    <w:uiPriority w:val="0"/>
    <w:pPr>
      <w:ind w:firstLine="0"/>
      <w:jc w:val="center"/>
    </w:pPr>
    <w:rPr>
      <w:rFonts w:ascii="黑体" w:hAnsi="宋体" w:eastAsia="黑体"/>
      <w:b/>
      <w:bCs/>
    </w:rPr>
  </w:style>
  <w:style w:type="paragraph" w:customStyle="1" w:styleId="2256">
    <w:name w:val="样式 表格文字 + (西文) 宋体 (中文) 华文仿宋 小四 黑色"/>
    <w:basedOn w:val="119"/>
    <w:qFormat/>
    <w:uiPriority w:val="0"/>
    <w:pPr>
      <w:tabs>
        <w:tab w:val="clear" w:pos="4153"/>
        <w:tab w:val="clear" w:pos="8306"/>
      </w:tabs>
      <w:adjustRightInd/>
      <w:snapToGrid/>
      <w:spacing w:line="400" w:lineRule="exact"/>
      <w:ind w:firstLine="0" w:firstLineChars="0"/>
      <w:jc w:val="center"/>
    </w:pPr>
    <w:rPr>
      <w:rFonts w:ascii="宋体" w:hAnsi="宋体" w:eastAsia="宋体" w:cs="宋体"/>
      <w:color w:val="000000"/>
      <w:kern w:val="0"/>
      <w:szCs w:val="20"/>
    </w:rPr>
  </w:style>
  <w:style w:type="paragraph" w:customStyle="1" w:styleId="2257">
    <w:name w:val="图题512"/>
    <w:basedOn w:val="184"/>
    <w:next w:val="184"/>
    <w:qFormat/>
    <w:uiPriority w:val="0"/>
    <w:pPr>
      <w:ind w:firstLine="0"/>
      <w:jc w:val="center"/>
    </w:pPr>
    <w:rPr>
      <w:rFonts w:ascii="黑体" w:hAnsi="宋体" w:eastAsia="黑体"/>
      <w:b/>
      <w:bCs/>
    </w:rPr>
  </w:style>
  <w:style w:type="paragraph" w:customStyle="1" w:styleId="2258">
    <w:name w:val="c_"/>
    <w:qFormat/>
    <w:uiPriority w:val="0"/>
    <w:pPr>
      <w:widowControl w:val="0"/>
      <w:autoSpaceDE w:val="0"/>
      <w:autoSpaceDN w:val="0"/>
      <w:adjustRightInd w:val="0"/>
      <w:jc w:val="both"/>
    </w:pPr>
    <w:rPr>
      <w:rFonts w:ascii="五" w:hAnsi="Times New Roman" w:eastAsia="五" w:cs="Times New Roman"/>
      <w:sz w:val="24"/>
      <w:lang w:val="en-US" w:eastAsia="zh-CN" w:bidi="ar-SA"/>
    </w:rPr>
  </w:style>
  <w:style w:type="paragraph" w:customStyle="1" w:styleId="2259">
    <w:name w:val="标题 二"/>
    <w:basedOn w:val="3"/>
    <w:qFormat/>
    <w:uiPriority w:val="0"/>
    <w:pPr>
      <w:numPr>
        <w:ilvl w:val="0"/>
        <w:numId w:val="0"/>
      </w:numPr>
      <w:tabs>
        <w:tab w:val="left" w:pos="233"/>
        <w:tab w:val="left" w:pos="315"/>
        <w:tab w:val="clear" w:pos="0"/>
        <w:tab w:val="clear" w:pos="426"/>
      </w:tabs>
      <w:spacing w:beforeLines="0" w:afterLines="0" w:line="520" w:lineRule="exact"/>
      <w:ind w:left="233"/>
    </w:pPr>
    <w:rPr>
      <w:rFonts w:hAnsi="华文中宋" w:eastAsia="华文中宋" w:cs="宋体"/>
      <w:bCs/>
      <w:spacing w:val="0"/>
      <w:kern w:val="2"/>
      <w:sz w:val="28"/>
      <w:szCs w:val="28"/>
    </w:rPr>
  </w:style>
  <w:style w:type="paragraph" w:customStyle="1" w:styleId="2260">
    <w:name w:val="表格内字体712"/>
    <w:basedOn w:val="184"/>
    <w:next w:val="184"/>
    <w:qFormat/>
    <w:uiPriority w:val="0"/>
    <w:pPr>
      <w:spacing w:line="240" w:lineRule="auto"/>
      <w:ind w:firstLine="0"/>
      <w:jc w:val="center"/>
    </w:pPr>
    <w:rPr>
      <w:rFonts w:hAnsi="宋体"/>
      <w:sz w:val="21"/>
    </w:rPr>
  </w:style>
  <w:style w:type="paragraph" w:customStyle="1" w:styleId="2261">
    <w:name w:val="样式 标题3 + 小四"/>
    <w:basedOn w:val="4"/>
    <w:qFormat/>
    <w:uiPriority w:val="0"/>
    <w:pPr>
      <w:keepNext w:val="0"/>
      <w:keepLines w:val="0"/>
      <w:tabs>
        <w:tab w:val="left" w:pos="233"/>
        <w:tab w:val="left" w:pos="1740"/>
      </w:tabs>
      <w:spacing w:before="0" w:after="0" w:line="480" w:lineRule="auto"/>
      <w:ind w:left="1740" w:hanging="420"/>
      <w:jc w:val="left"/>
      <w:outlineLvl w:val="9"/>
    </w:pPr>
    <w:rPr>
      <w:rFonts w:ascii="Arial" w:hAnsi="Arial" w:eastAsia="仿宋_GB2312" w:cs="Arial"/>
      <w:sz w:val="28"/>
      <w:szCs w:val="24"/>
    </w:rPr>
  </w:style>
  <w:style w:type="paragraph" w:customStyle="1" w:styleId="2262">
    <w:name w:val="燕山正文121"/>
    <w:basedOn w:val="1"/>
    <w:qFormat/>
    <w:uiPriority w:val="0"/>
    <w:pPr>
      <w:tabs>
        <w:tab w:val="left" w:pos="4680"/>
      </w:tabs>
      <w:adjustRightInd w:val="0"/>
      <w:snapToGrid w:val="0"/>
      <w:spacing w:line="480" w:lineRule="exact"/>
    </w:pPr>
    <w:rPr>
      <w:rFonts w:ascii="宋体" w:cs="宋体"/>
      <w:sz w:val="24"/>
    </w:rPr>
  </w:style>
  <w:style w:type="paragraph" w:customStyle="1" w:styleId="2263">
    <w:name w:val="Char Char2 Char Char Char Char113"/>
    <w:basedOn w:val="1"/>
    <w:qFormat/>
    <w:uiPriority w:val="0"/>
  </w:style>
  <w:style w:type="paragraph" w:customStyle="1" w:styleId="2264">
    <w:name w:val="样式21"/>
    <w:basedOn w:val="1"/>
    <w:qFormat/>
    <w:uiPriority w:val="0"/>
    <w:pPr>
      <w:adjustRightInd w:val="0"/>
      <w:spacing w:line="360" w:lineRule="auto"/>
      <w:jc w:val="center"/>
      <w:textAlignment w:val="baseline"/>
      <w:outlineLvl w:val="0"/>
    </w:pPr>
    <w:rPr>
      <w:kern w:val="0"/>
      <w:szCs w:val="20"/>
    </w:rPr>
  </w:style>
  <w:style w:type="paragraph" w:customStyle="1" w:styleId="2265">
    <w:name w:val="标题415"/>
    <w:basedOn w:val="5"/>
    <w:next w:val="1"/>
    <w:qFormat/>
    <w:uiPriority w:val="0"/>
    <w:pPr>
      <w:spacing w:before="160" w:after="170" w:line="360" w:lineRule="auto"/>
    </w:pPr>
    <w:rPr>
      <w:rFonts w:ascii="黑体" w:eastAsia="黑体"/>
      <w:b/>
      <w:kern w:val="0"/>
      <w:sz w:val="24"/>
    </w:rPr>
  </w:style>
  <w:style w:type="paragraph" w:customStyle="1" w:styleId="2266">
    <w:name w:val="默认段落字体 Para Char12"/>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2267">
    <w:name w:val="正文格式83"/>
    <w:basedOn w:val="1"/>
    <w:qFormat/>
    <w:uiPriority w:val="0"/>
    <w:pPr>
      <w:spacing w:line="360" w:lineRule="auto"/>
      <w:ind w:firstLine="482"/>
    </w:pPr>
    <w:rPr>
      <w:rFonts w:ascii="宋体" w:hAnsi="宋体"/>
      <w:sz w:val="24"/>
    </w:rPr>
  </w:style>
  <w:style w:type="paragraph" w:customStyle="1" w:styleId="2268">
    <w:name w:val="标准3"/>
    <w:basedOn w:val="1"/>
    <w:qFormat/>
    <w:uiPriority w:val="0"/>
    <w:pPr>
      <w:adjustRightInd w:val="0"/>
      <w:spacing w:before="120" w:line="336" w:lineRule="auto"/>
      <w:jc w:val="center"/>
      <w:textAlignment w:val="baseline"/>
    </w:pPr>
    <w:rPr>
      <w:rFonts w:ascii="黑体" w:eastAsia="黑体"/>
      <w:szCs w:val="20"/>
    </w:rPr>
  </w:style>
  <w:style w:type="paragraph" w:customStyle="1" w:styleId="2269">
    <w:name w:val="正文格式82"/>
    <w:basedOn w:val="1"/>
    <w:qFormat/>
    <w:uiPriority w:val="0"/>
    <w:pPr>
      <w:spacing w:line="360" w:lineRule="auto"/>
      <w:ind w:firstLine="482"/>
    </w:pPr>
    <w:rPr>
      <w:rFonts w:ascii="宋体" w:hAnsi="宋体"/>
      <w:sz w:val="24"/>
    </w:rPr>
  </w:style>
  <w:style w:type="paragraph" w:customStyle="1" w:styleId="2270">
    <w:name w:val="数据来源"/>
    <w:basedOn w:val="1"/>
    <w:qFormat/>
    <w:uiPriority w:val="0"/>
    <w:pPr>
      <w:snapToGrid w:val="0"/>
      <w:spacing w:line="280" w:lineRule="exact"/>
    </w:pPr>
    <w:rPr>
      <w:rFonts w:hAnsi="宋体" w:eastAsia="楷体_GB2312" w:cs="宋体"/>
      <w:szCs w:val="20"/>
    </w:rPr>
  </w:style>
  <w:style w:type="paragraph" w:customStyle="1" w:styleId="2271">
    <w:name w:val="23-47表名"/>
    <w:basedOn w:val="1"/>
    <w:qFormat/>
    <w:uiPriority w:val="0"/>
    <w:pPr>
      <w:spacing w:afterLines="50" w:line="440" w:lineRule="exact"/>
      <w:jc w:val="center"/>
    </w:pPr>
    <w:rPr>
      <w:rFonts w:ascii="宋体" w:hAnsi="宋体"/>
      <w:b/>
      <w:sz w:val="24"/>
    </w:rPr>
  </w:style>
  <w:style w:type="paragraph" w:customStyle="1" w:styleId="2272">
    <w:name w:val="正文 0.85 厘米"/>
    <w:basedOn w:val="1"/>
    <w:qFormat/>
    <w:uiPriority w:val="0"/>
    <w:pPr>
      <w:ind w:firstLine="480"/>
      <w:outlineLvl w:val="0"/>
    </w:pPr>
    <w:rPr>
      <w:rFonts w:ascii="宋体" w:hAnsi="宋体"/>
      <w:sz w:val="24"/>
    </w:rPr>
  </w:style>
  <w:style w:type="paragraph" w:customStyle="1" w:styleId="2273">
    <w:name w:val="已有表格"/>
    <w:basedOn w:val="1"/>
    <w:qFormat/>
    <w:uiPriority w:val="0"/>
    <w:pPr>
      <w:adjustRightInd w:val="0"/>
      <w:spacing w:before="40" w:after="40"/>
      <w:jc w:val="center"/>
      <w:textAlignment w:val="baseline"/>
    </w:pPr>
    <w:rPr>
      <w:b/>
      <w:kern w:val="0"/>
      <w:sz w:val="24"/>
      <w:szCs w:val="20"/>
    </w:rPr>
  </w:style>
  <w:style w:type="paragraph" w:customStyle="1" w:styleId="2274">
    <w:name w:val="Char Char2 Char Char Char Char31"/>
    <w:basedOn w:val="1"/>
    <w:qFormat/>
    <w:uiPriority w:val="0"/>
  </w:style>
  <w:style w:type="paragraph" w:customStyle="1" w:styleId="2275">
    <w:name w:val="前沿"/>
    <w:basedOn w:val="83"/>
    <w:qFormat/>
    <w:uiPriority w:val="0"/>
    <w:pPr>
      <w:pBdr>
        <w:top w:val="single" w:color="auto" w:sz="4" w:space="1"/>
      </w:pBdr>
      <w:adjustRightInd w:val="0"/>
      <w:spacing w:before="360" w:after="240" w:line="360" w:lineRule="atLeast"/>
      <w:textAlignment w:val="baseline"/>
    </w:pPr>
    <w:rPr>
      <w:rFonts w:hAnsi="Times New Roman" w:cs="宋体"/>
      <w:b w:val="0"/>
      <w:bCs w:val="0"/>
      <w:kern w:val="0"/>
      <w:sz w:val="30"/>
      <w:szCs w:val="30"/>
    </w:rPr>
  </w:style>
  <w:style w:type="paragraph" w:customStyle="1" w:styleId="2276">
    <w:name w:val="样式 样式4 + 段后: 0.5 行"/>
    <w:basedOn w:val="1"/>
    <w:qFormat/>
    <w:uiPriority w:val="0"/>
    <w:pPr>
      <w:keepNext/>
      <w:keepLines/>
      <w:overflowPunct w:val="0"/>
      <w:topLinePunct/>
      <w:autoSpaceDE w:val="0"/>
      <w:adjustRightInd w:val="0"/>
      <w:snapToGrid w:val="0"/>
      <w:spacing w:before="120" w:afterLines="50" w:line="500" w:lineRule="exact"/>
      <w:ind w:firstLine="560" w:firstLineChars="200"/>
      <w:jc w:val="left"/>
      <w:outlineLvl w:val="3"/>
    </w:pPr>
    <w:rPr>
      <w:rFonts w:ascii="Arial" w:hAnsi="Arial"/>
      <w:color w:val="000000"/>
      <w:spacing w:val="20"/>
      <w:sz w:val="24"/>
      <w:szCs w:val="20"/>
    </w:rPr>
  </w:style>
  <w:style w:type="paragraph" w:customStyle="1" w:styleId="2277">
    <w:name w:val="Char Char Char Char1 Char Char Char5"/>
    <w:basedOn w:val="1"/>
    <w:qFormat/>
    <w:uiPriority w:val="0"/>
    <w:pPr>
      <w:widowControl/>
      <w:spacing w:after="160" w:line="240" w:lineRule="exact"/>
      <w:jc w:val="left"/>
    </w:pPr>
    <w:rPr>
      <w:rFonts w:ascii="Verdana" w:hAnsi="Verdana"/>
      <w:kern w:val="0"/>
      <w:sz w:val="20"/>
      <w:szCs w:val="20"/>
      <w:lang w:eastAsia="en-US"/>
    </w:rPr>
  </w:style>
  <w:style w:type="paragraph" w:customStyle="1" w:styleId="2278">
    <w:name w:val="燕山正文412"/>
    <w:basedOn w:val="1"/>
    <w:qFormat/>
    <w:uiPriority w:val="0"/>
    <w:pPr>
      <w:tabs>
        <w:tab w:val="left" w:pos="4680"/>
      </w:tabs>
      <w:adjustRightInd w:val="0"/>
      <w:snapToGrid w:val="0"/>
      <w:spacing w:line="480" w:lineRule="exact"/>
    </w:pPr>
    <w:rPr>
      <w:rFonts w:ascii="宋体" w:cs="宋体"/>
      <w:sz w:val="24"/>
    </w:rPr>
  </w:style>
  <w:style w:type="paragraph" w:customStyle="1" w:styleId="2279">
    <w:name w:val="附件311"/>
    <w:basedOn w:val="2"/>
    <w:next w:val="184"/>
    <w:qFormat/>
    <w:uiPriority w:val="0"/>
    <w:pPr>
      <w:tabs>
        <w:tab w:val="left" w:pos="1566"/>
        <w:tab w:val="left" w:pos="2040"/>
      </w:tabs>
      <w:adjustRightInd w:val="0"/>
      <w:snapToGrid w:val="0"/>
      <w:spacing w:before="0" w:after="120" w:line="360" w:lineRule="auto"/>
      <w:ind w:left="2040" w:leftChars="800" w:hanging="360" w:hangingChars="200"/>
      <w:jc w:val="left"/>
    </w:pPr>
    <w:rPr>
      <w:rFonts w:ascii="黑体" w:hAnsi="宋体" w:eastAsia="黑体"/>
      <w:b w:val="0"/>
      <w:sz w:val="32"/>
      <w:szCs w:val="32"/>
    </w:rPr>
  </w:style>
  <w:style w:type="paragraph" w:customStyle="1" w:styleId="2280">
    <w:name w:val="Char Char Char Char1 Char Char Char Char Char Char Char"/>
    <w:basedOn w:val="1"/>
    <w:qFormat/>
    <w:uiPriority w:val="0"/>
    <w:pPr>
      <w:tabs>
        <w:tab w:val="left" w:pos="360"/>
      </w:tabs>
      <w:snapToGrid w:val="0"/>
      <w:spacing w:line="360" w:lineRule="auto"/>
    </w:pPr>
    <w:rPr>
      <w:rFonts w:eastAsia="仿宋_GB2312" w:cs="宋体"/>
      <w:sz w:val="24"/>
    </w:rPr>
  </w:style>
  <w:style w:type="paragraph" w:customStyle="1" w:styleId="2281">
    <w:name w:val="正文条目a"/>
    <w:basedOn w:val="1"/>
    <w:qFormat/>
    <w:uiPriority w:val="0"/>
    <w:pPr>
      <w:ind w:left="400" w:leftChars="300" w:hanging="100" w:hangingChars="100"/>
    </w:pPr>
    <w:rPr>
      <w:rFonts w:ascii="宋体"/>
      <w:sz w:val="24"/>
    </w:rPr>
  </w:style>
  <w:style w:type="paragraph" w:customStyle="1" w:styleId="2282">
    <w:name w:val="样式 标题 4无效格式无效格式1河石管道4H4H41小小节河石管道41H42H411小小节1河石管道42...113"/>
    <w:basedOn w:val="5"/>
    <w:qFormat/>
    <w:uiPriority w:val="0"/>
    <w:pPr>
      <w:adjustRightInd w:val="0"/>
      <w:snapToGrid w:val="0"/>
      <w:spacing w:line="360" w:lineRule="auto"/>
      <w:ind w:left="664" w:hanging="864"/>
      <w:jc w:val="left"/>
    </w:pPr>
    <w:rPr>
      <w:rFonts w:ascii="黑体" w:eastAsia="黑体" w:cs="宋体"/>
      <w:bCs w:val="0"/>
      <w:sz w:val="24"/>
      <w:szCs w:val="20"/>
    </w:rPr>
  </w:style>
  <w:style w:type="paragraph" w:customStyle="1" w:styleId="2283">
    <w:name w:val="表格内字体713"/>
    <w:basedOn w:val="184"/>
    <w:next w:val="184"/>
    <w:qFormat/>
    <w:uiPriority w:val="0"/>
    <w:pPr>
      <w:spacing w:line="240" w:lineRule="auto"/>
      <w:ind w:firstLine="0"/>
      <w:jc w:val="center"/>
    </w:pPr>
    <w:rPr>
      <w:rFonts w:hAnsi="宋体"/>
      <w:sz w:val="21"/>
    </w:rPr>
  </w:style>
  <w:style w:type="paragraph" w:customStyle="1" w:styleId="2284">
    <w:name w:val="Char Char2 Char Char Char Char33"/>
    <w:basedOn w:val="1"/>
    <w:qFormat/>
    <w:uiPriority w:val="0"/>
  </w:style>
  <w:style w:type="paragraph" w:customStyle="1" w:styleId="2285">
    <w:name w:val="OIC1 Company Name"/>
    <w:basedOn w:val="1"/>
    <w:qFormat/>
    <w:uiPriority w:val="0"/>
    <w:pPr>
      <w:jc w:val="center"/>
    </w:pPr>
    <w:rPr>
      <w:rFonts w:ascii="Arial Black" w:hAnsi="Arial Black"/>
      <w:color w:val="000080"/>
      <w:spacing w:val="40"/>
      <w:kern w:val="0"/>
      <w:sz w:val="28"/>
      <w:szCs w:val="20"/>
    </w:rPr>
  </w:style>
  <w:style w:type="paragraph" w:customStyle="1" w:styleId="2286">
    <w:name w:val="文档卷标"/>
    <w:basedOn w:val="2287"/>
    <w:qFormat/>
    <w:uiPriority w:val="0"/>
    <w:pPr>
      <w:spacing w:after="360"/>
    </w:pPr>
    <w:rPr>
      <w:rFonts w:ascii="Times New Roman" w:hAnsi="Times New Roman"/>
    </w:rPr>
  </w:style>
  <w:style w:type="paragraph" w:customStyle="1" w:styleId="2287">
    <w:name w:val="基准篇头"/>
    <w:basedOn w:val="1"/>
    <w:next w:val="33"/>
    <w:qFormat/>
    <w:uiPriority w:val="0"/>
    <w:pPr>
      <w:keepNext/>
      <w:widowControl/>
      <w:overflowPunct w:val="0"/>
      <w:autoSpaceDE w:val="0"/>
      <w:autoSpaceDN w:val="0"/>
      <w:adjustRightInd w:val="0"/>
      <w:spacing w:before="240" w:after="120"/>
      <w:jc w:val="left"/>
      <w:textAlignment w:val="baseline"/>
    </w:pPr>
    <w:rPr>
      <w:rFonts w:ascii="Arial" w:hAnsi="Arial"/>
      <w:b/>
      <w:kern w:val="28"/>
      <w:sz w:val="36"/>
      <w:szCs w:val="20"/>
    </w:rPr>
  </w:style>
  <w:style w:type="paragraph" w:customStyle="1" w:styleId="2288">
    <w:name w:val="批注主题 Char Char"/>
    <w:basedOn w:val="27"/>
    <w:next w:val="27"/>
    <w:qFormat/>
    <w:uiPriority w:val="0"/>
    <w:pPr>
      <w:adjustRightInd/>
      <w:spacing w:line="240" w:lineRule="auto"/>
      <w:textAlignment w:val="auto"/>
    </w:pPr>
    <w:rPr>
      <w:rFonts w:ascii="仿宋_GB2312" w:hAnsi="宋体" w:eastAsia="仿宋_GB2312"/>
      <w:b/>
      <w:kern w:val="2"/>
      <w:sz w:val="28"/>
      <w:szCs w:val="28"/>
    </w:rPr>
  </w:style>
  <w:style w:type="paragraph" w:customStyle="1" w:styleId="2289">
    <w:name w:val="燕山正文11313"/>
    <w:basedOn w:val="1"/>
    <w:qFormat/>
    <w:uiPriority w:val="0"/>
    <w:pPr>
      <w:tabs>
        <w:tab w:val="left" w:pos="4680"/>
      </w:tabs>
      <w:adjustRightInd w:val="0"/>
      <w:snapToGrid w:val="0"/>
      <w:spacing w:line="360" w:lineRule="auto"/>
      <w:ind w:firstLine="480" w:firstLineChars="200"/>
    </w:pPr>
    <w:rPr>
      <w:rFonts w:ascii="宋体" w:hAnsi="宋体" w:cs="宋体"/>
      <w:bCs/>
      <w:snapToGrid w:val="0"/>
      <w:color w:val="000000"/>
      <w:kern w:val="0"/>
      <w:sz w:val="24"/>
    </w:rPr>
  </w:style>
  <w:style w:type="paragraph" w:customStyle="1" w:styleId="2290">
    <w:name w:val="正文格式＝613"/>
    <w:basedOn w:val="184"/>
    <w:next w:val="184"/>
    <w:qFormat/>
    <w:uiPriority w:val="0"/>
    <w:rPr>
      <w:rFonts w:hAnsi="宋体"/>
    </w:rPr>
  </w:style>
  <w:style w:type="paragraph" w:customStyle="1" w:styleId="2291">
    <w:name w:val="Char713"/>
    <w:basedOn w:val="1"/>
    <w:qFormat/>
    <w:uiPriority w:val="0"/>
    <w:pPr>
      <w:ind w:left="-48"/>
    </w:pPr>
  </w:style>
  <w:style w:type="paragraph" w:customStyle="1" w:styleId="2292">
    <w:name w:val="表题3134"/>
    <w:basedOn w:val="34"/>
    <w:qFormat/>
    <w:uiPriority w:val="0"/>
    <w:pPr>
      <w:tabs>
        <w:tab w:val="left" w:pos="4305"/>
      </w:tabs>
      <w:adjustRightInd w:val="0"/>
      <w:snapToGrid w:val="0"/>
      <w:spacing w:after="0"/>
      <w:ind w:left="0" w:leftChars="0"/>
      <w:jc w:val="center"/>
    </w:pPr>
    <w:rPr>
      <w:rFonts w:ascii="宋体" w:hAnsi="宋体"/>
      <w:sz w:val="24"/>
      <w:szCs w:val="20"/>
    </w:rPr>
  </w:style>
  <w:style w:type="paragraph" w:customStyle="1" w:styleId="2293">
    <w:name w:val="表中文字51"/>
    <w:basedOn w:val="1"/>
    <w:qFormat/>
    <w:uiPriority w:val="0"/>
    <w:pPr>
      <w:widowControl/>
      <w:spacing w:line="240" w:lineRule="atLeast"/>
      <w:ind w:left="-24" w:leftChars="-10" w:right="-48" w:rightChars="-20"/>
      <w:jc w:val="center"/>
    </w:pPr>
    <w:rPr>
      <w:rFonts w:ascii="宋体"/>
      <w:kern w:val="0"/>
      <w:szCs w:val="21"/>
    </w:rPr>
  </w:style>
  <w:style w:type="paragraph" w:customStyle="1" w:styleId="2294">
    <w:name w:val="Char Char Char Char Char Char Char19"/>
    <w:basedOn w:val="1"/>
    <w:qFormat/>
    <w:uiPriority w:val="0"/>
  </w:style>
  <w:style w:type="paragraph" w:customStyle="1" w:styleId="2295">
    <w:name w:val="正文修改14"/>
    <w:basedOn w:val="1161"/>
    <w:qFormat/>
    <w:uiPriority w:val="0"/>
    <w:rPr>
      <w:rFonts w:hAnsi="宋体"/>
      <w:color w:val="000000"/>
    </w:rPr>
  </w:style>
  <w:style w:type="paragraph" w:customStyle="1" w:styleId="2296">
    <w:name w:val="Char316"/>
    <w:basedOn w:val="1"/>
    <w:qFormat/>
    <w:uiPriority w:val="0"/>
    <w:pPr>
      <w:ind w:left="-48"/>
    </w:pPr>
  </w:style>
  <w:style w:type="paragraph" w:customStyle="1" w:styleId="2297">
    <w:name w:val="标题4312"/>
    <w:basedOn w:val="1"/>
    <w:qFormat/>
    <w:uiPriority w:val="0"/>
    <w:pPr>
      <w:adjustRightInd w:val="0"/>
      <w:snapToGrid w:val="0"/>
      <w:spacing w:line="480" w:lineRule="exact"/>
      <w:jc w:val="center"/>
    </w:pPr>
    <w:rPr>
      <w:rFonts w:ascii="宋体" w:hAnsi="宋体" w:cs="宋体"/>
      <w:sz w:val="24"/>
    </w:rPr>
  </w:style>
  <w:style w:type="paragraph" w:customStyle="1" w:styleId="2298">
    <w:name w:val="燕山正文1124"/>
    <w:basedOn w:val="1"/>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2299">
    <w:name w:val="Char119"/>
    <w:basedOn w:val="1"/>
    <w:qFormat/>
    <w:uiPriority w:val="0"/>
    <w:pPr>
      <w:ind w:left="-48"/>
    </w:pPr>
  </w:style>
  <w:style w:type="paragraph" w:customStyle="1" w:styleId="2300">
    <w:name w:val="Char37"/>
    <w:basedOn w:val="1"/>
    <w:qFormat/>
    <w:uiPriority w:val="0"/>
    <w:pPr>
      <w:ind w:left="-48"/>
    </w:pPr>
  </w:style>
  <w:style w:type="paragraph" w:customStyle="1" w:styleId="2301">
    <w:name w:val="c1"/>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2302">
    <w:name w:val="图题注2"/>
    <w:basedOn w:val="21"/>
    <w:qFormat/>
    <w:uiPriority w:val="0"/>
    <w:pPr>
      <w:tabs>
        <w:tab w:val="clear" w:pos="7380"/>
      </w:tabs>
      <w:overflowPunct/>
      <w:spacing w:before="0" w:afterLines="0"/>
      <w:jc w:val="center"/>
    </w:pPr>
    <w:rPr>
      <w:rFonts w:ascii="黑体" w:cs="宋体"/>
      <w:b/>
      <w:bCs/>
      <w:sz w:val="24"/>
      <w:szCs w:val="24"/>
    </w:rPr>
  </w:style>
  <w:style w:type="paragraph" w:customStyle="1" w:styleId="2303">
    <w:name w:val="样式 样式 标题 4 + 段前: 0.5 行 段后: 0.5 行 + 段前: 0.5 行 段后: 0.5 行4"/>
    <w:basedOn w:val="2108"/>
    <w:qFormat/>
    <w:uiPriority w:val="0"/>
  </w:style>
  <w:style w:type="paragraph" w:customStyle="1" w:styleId="2304">
    <w:name w:val="样式 标题 4无效格式无效格式1河石管道4H4H41小小节河石管道41H42H411小小节1河石管道42..."/>
    <w:basedOn w:val="5"/>
    <w:qFormat/>
    <w:uiPriority w:val="0"/>
    <w:pPr>
      <w:adjustRightInd w:val="0"/>
      <w:snapToGrid w:val="0"/>
      <w:spacing w:line="360" w:lineRule="auto"/>
      <w:ind w:left="664" w:hanging="864"/>
    </w:pPr>
    <w:rPr>
      <w:rFonts w:ascii="黑体" w:eastAsia="黑体"/>
      <w:bCs w:val="0"/>
      <w:sz w:val="24"/>
      <w:szCs w:val="24"/>
    </w:rPr>
  </w:style>
  <w:style w:type="paragraph" w:customStyle="1" w:styleId="2305">
    <w:name w:val="表题14112"/>
    <w:basedOn w:val="1"/>
    <w:qFormat/>
    <w:uiPriority w:val="0"/>
    <w:pPr>
      <w:widowControl/>
      <w:adjustRightInd w:val="0"/>
      <w:snapToGrid w:val="0"/>
      <w:jc w:val="center"/>
    </w:pPr>
    <w:rPr>
      <w:rFonts w:ascii="黑体" w:hAnsi="宋体" w:eastAsia="黑体" w:cs="宋体"/>
      <w:kern w:val="0"/>
      <w:sz w:val="24"/>
    </w:rPr>
  </w:style>
  <w:style w:type="paragraph" w:customStyle="1" w:styleId="2306">
    <w:name w:val="谏壁标题3（chen）"/>
    <w:basedOn w:val="1"/>
    <w:qFormat/>
    <w:uiPriority w:val="0"/>
    <w:pPr>
      <w:keepNext/>
      <w:keepLines/>
      <w:spacing w:before="100" w:after="120" w:line="360" w:lineRule="auto"/>
      <w:outlineLvl w:val="2"/>
    </w:pPr>
    <w:rPr>
      <w:rFonts w:eastAsia="黑体"/>
      <w:sz w:val="30"/>
      <w:szCs w:val="32"/>
    </w:rPr>
  </w:style>
  <w:style w:type="paragraph" w:customStyle="1" w:styleId="2307">
    <w:name w:val="样式 标题 1 + 段前: 0.5 行 段后: 0.5 行"/>
    <w:basedOn w:val="2"/>
    <w:qFormat/>
    <w:uiPriority w:val="0"/>
    <w:pPr>
      <w:tabs>
        <w:tab w:val="left" w:pos="378"/>
        <w:tab w:val="left" w:pos="2040"/>
      </w:tabs>
      <w:spacing w:beforeLines="50" w:afterLines="50" w:line="480" w:lineRule="auto"/>
      <w:ind w:left="425" w:leftChars="800" w:hanging="425" w:hangingChars="200"/>
      <w:jc w:val="center"/>
    </w:pPr>
    <w:rPr>
      <w:rFonts w:eastAsia="黑体"/>
      <w:b w:val="0"/>
      <w:bCs w:val="0"/>
      <w:sz w:val="30"/>
      <w:szCs w:val="28"/>
    </w:rPr>
  </w:style>
  <w:style w:type="paragraph" w:customStyle="1" w:styleId="2308">
    <w:name w:val="报告书"/>
    <w:basedOn w:val="1"/>
    <w:qFormat/>
    <w:uiPriority w:val="0"/>
    <w:pPr>
      <w:adjustRightInd w:val="0"/>
      <w:spacing w:line="360" w:lineRule="auto"/>
      <w:ind w:firstLine="505"/>
      <w:jc w:val="left"/>
    </w:pPr>
    <w:rPr>
      <w:kern w:val="24"/>
      <w:sz w:val="24"/>
      <w:szCs w:val="20"/>
    </w:rPr>
  </w:style>
  <w:style w:type="paragraph" w:customStyle="1" w:styleId="2309">
    <w:name w:val="表格内字体82"/>
    <w:basedOn w:val="184"/>
    <w:next w:val="184"/>
    <w:qFormat/>
    <w:uiPriority w:val="0"/>
    <w:pPr>
      <w:spacing w:line="240" w:lineRule="auto"/>
      <w:ind w:firstLine="0"/>
      <w:jc w:val="center"/>
    </w:pPr>
    <w:rPr>
      <w:rFonts w:hAnsi="宋体"/>
      <w:sz w:val="21"/>
    </w:rPr>
  </w:style>
  <w:style w:type="paragraph" w:customStyle="1" w:styleId="2310">
    <w:name w:val="正文文本5"/>
    <w:basedOn w:val="1"/>
    <w:qFormat/>
    <w:uiPriority w:val="0"/>
    <w:pPr>
      <w:spacing w:after="120"/>
    </w:pPr>
    <w:rPr>
      <w:rFonts w:hint="eastAsia"/>
      <w:szCs w:val="20"/>
    </w:rPr>
  </w:style>
  <w:style w:type="paragraph" w:customStyle="1" w:styleId="2311">
    <w:name w:val="样式124"/>
    <w:basedOn w:val="2158"/>
    <w:qFormat/>
    <w:uiPriority w:val="0"/>
    <w:pPr>
      <w:spacing w:line="240" w:lineRule="auto"/>
      <w:ind w:firstLine="0"/>
      <w:jc w:val="center"/>
    </w:pPr>
    <w:rPr>
      <w:rFonts w:cs="Times New Roman"/>
      <w:b/>
      <w:color w:val="auto"/>
      <w:szCs w:val="20"/>
    </w:rPr>
  </w:style>
  <w:style w:type="paragraph" w:customStyle="1" w:styleId="2312">
    <w:name w:val="bgbt3条标题"/>
    <w:basedOn w:val="2313"/>
    <w:next w:val="2316"/>
    <w:qFormat/>
    <w:uiPriority w:val="0"/>
    <w:pPr>
      <w:outlineLvl w:val="2"/>
    </w:pPr>
    <w:rPr>
      <w:sz w:val="28"/>
    </w:rPr>
  </w:style>
  <w:style w:type="paragraph" w:customStyle="1" w:styleId="2313">
    <w:name w:val="bgbt4款标题"/>
    <w:basedOn w:val="2314"/>
    <w:next w:val="2316"/>
    <w:qFormat/>
    <w:uiPriority w:val="0"/>
    <w:pPr>
      <w:spacing w:before="120" w:after="60"/>
      <w:ind w:firstLine="510"/>
      <w:jc w:val="both"/>
      <w:outlineLvl w:val="3"/>
    </w:pPr>
    <w:rPr>
      <w:sz w:val="24"/>
    </w:rPr>
  </w:style>
  <w:style w:type="paragraph" w:customStyle="1" w:styleId="2314">
    <w:name w:val="bgbt副标题"/>
    <w:basedOn w:val="2315"/>
    <w:next w:val="2315"/>
    <w:qFormat/>
    <w:uiPriority w:val="0"/>
    <w:pPr>
      <w:jc w:val="center"/>
    </w:pPr>
    <w:rPr>
      <w:rFonts w:eastAsia="黑体"/>
      <w:sz w:val="32"/>
    </w:rPr>
  </w:style>
  <w:style w:type="paragraph" w:customStyle="1" w:styleId="2315">
    <w:name w:val="bg正文"/>
    <w:basedOn w:val="1"/>
    <w:qFormat/>
    <w:uiPriority w:val="0"/>
    <w:pPr>
      <w:pBdr>
        <w:top w:val="single" w:color="auto" w:sz="4" w:space="1"/>
      </w:pBdr>
    </w:pPr>
    <w:rPr>
      <w:sz w:val="24"/>
      <w:szCs w:val="20"/>
    </w:rPr>
  </w:style>
  <w:style w:type="paragraph" w:customStyle="1" w:styleId="2316">
    <w:name w:val="bg正文首行缩进"/>
    <w:basedOn w:val="1"/>
    <w:qFormat/>
    <w:uiPriority w:val="0"/>
    <w:pPr>
      <w:pBdr>
        <w:top w:val="single" w:color="auto" w:sz="4" w:space="1"/>
      </w:pBdr>
      <w:spacing w:line="400" w:lineRule="exact"/>
      <w:ind w:firstLine="482"/>
    </w:pPr>
    <w:rPr>
      <w:sz w:val="24"/>
      <w:szCs w:val="20"/>
    </w:rPr>
  </w:style>
  <w:style w:type="paragraph" w:customStyle="1" w:styleId="2317">
    <w:name w:val="保留正文"/>
    <w:basedOn w:val="33"/>
    <w:qFormat/>
    <w:uiPriority w:val="0"/>
    <w:pPr>
      <w:keepNext/>
      <w:widowControl/>
      <w:overflowPunct w:val="0"/>
      <w:autoSpaceDE w:val="0"/>
      <w:autoSpaceDN w:val="0"/>
      <w:adjustRightInd w:val="0"/>
      <w:spacing w:after="160"/>
      <w:jc w:val="left"/>
      <w:textAlignment w:val="baseline"/>
    </w:pPr>
    <w:rPr>
      <w:kern w:val="0"/>
      <w:sz w:val="20"/>
      <w:szCs w:val="20"/>
    </w:rPr>
  </w:style>
  <w:style w:type="paragraph" w:customStyle="1" w:styleId="2318">
    <w:name w:val="表内55"/>
    <w:basedOn w:val="1"/>
    <w:qFormat/>
    <w:uiPriority w:val="0"/>
    <w:pPr>
      <w:adjustRightInd w:val="0"/>
      <w:snapToGrid w:val="0"/>
      <w:spacing w:line="300" w:lineRule="auto"/>
      <w:jc w:val="left"/>
    </w:pPr>
    <w:rPr>
      <w:rFonts w:ascii="宋体"/>
      <w:sz w:val="18"/>
      <w:szCs w:val="20"/>
    </w:rPr>
  </w:style>
  <w:style w:type="paragraph" w:customStyle="1" w:styleId="2319">
    <w:name w:val="表题3112"/>
    <w:basedOn w:val="34"/>
    <w:qFormat/>
    <w:uiPriority w:val="0"/>
    <w:pPr>
      <w:tabs>
        <w:tab w:val="left" w:pos="4305"/>
      </w:tabs>
      <w:adjustRightInd w:val="0"/>
      <w:snapToGrid w:val="0"/>
      <w:spacing w:after="0"/>
      <w:ind w:left="0" w:leftChars="0"/>
      <w:jc w:val="center"/>
    </w:pPr>
    <w:rPr>
      <w:rFonts w:ascii="宋体" w:hAnsi="宋体"/>
      <w:sz w:val="24"/>
      <w:szCs w:val="20"/>
    </w:rPr>
  </w:style>
  <w:style w:type="paragraph" w:customStyle="1" w:styleId="2320">
    <w:name w:val="默认段落字体 Para Char Char Char Char413"/>
    <w:basedOn w:val="1"/>
    <w:qFormat/>
    <w:uiPriority w:val="0"/>
  </w:style>
  <w:style w:type="paragraph" w:customStyle="1" w:styleId="2321">
    <w:name w:val="Char34"/>
    <w:basedOn w:val="1"/>
    <w:qFormat/>
    <w:uiPriority w:val="0"/>
    <w:pPr>
      <w:ind w:left="-48"/>
    </w:pPr>
  </w:style>
  <w:style w:type="paragraph" w:customStyle="1" w:styleId="2322">
    <w:name w:val="Char323"/>
    <w:basedOn w:val="1"/>
    <w:qFormat/>
    <w:uiPriority w:val="0"/>
    <w:pPr>
      <w:ind w:left="-48"/>
    </w:pPr>
  </w:style>
  <w:style w:type="paragraph" w:customStyle="1" w:styleId="2323">
    <w:name w:val="表题913"/>
    <w:basedOn w:val="44"/>
    <w:qFormat/>
    <w:uiPriority w:val="0"/>
    <w:pPr>
      <w:adjustRightInd w:val="0"/>
      <w:snapToGrid w:val="0"/>
      <w:spacing w:line="300" w:lineRule="auto"/>
      <w:jc w:val="center"/>
    </w:pPr>
    <w:rPr>
      <w:rFonts w:ascii="黑体" w:eastAsia="黑体" w:cs="Times New Roman"/>
      <w:sz w:val="24"/>
      <w:szCs w:val="20"/>
    </w:rPr>
  </w:style>
  <w:style w:type="paragraph" w:customStyle="1" w:styleId="2324">
    <w:name w:val="Char Char Char Char1 Char Char Char16"/>
    <w:basedOn w:val="1"/>
    <w:qFormat/>
    <w:uiPriority w:val="0"/>
    <w:pPr>
      <w:widowControl/>
      <w:spacing w:after="160" w:line="240" w:lineRule="exact"/>
      <w:jc w:val="left"/>
    </w:pPr>
    <w:rPr>
      <w:rFonts w:ascii="Verdana" w:hAnsi="Verdana"/>
      <w:kern w:val="0"/>
      <w:sz w:val="20"/>
      <w:szCs w:val="20"/>
      <w:lang w:eastAsia="en-US"/>
    </w:rPr>
  </w:style>
  <w:style w:type="paragraph" w:customStyle="1" w:styleId="2325">
    <w:name w:val="正文斜体12"/>
    <w:basedOn w:val="184"/>
    <w:next w:val="184"/>
    <w:qFormat/>
    <w:uiPriority w:val="0"/>
    <w:rPr>
      <w:rFonts w:hAnsi="宋体"/>
      <w:i/>
      <w:iCs/>
    </w:rPr>
  </w:style>
  <w:style w:type="paragraph" w:customStyle="1" w:styleId="2326">
    <w:name w:val="图题81"/>
    <w:basedOn w:val="184"/>
    <w:next w:val="184"/>
    <w:qFormat/>
    <w:uiPriority w:val="0"/>
    <w:pPr>
      <w:ind w:firstLine="0"/>
      <w:jc w:val="center"/>
    </w:pPr>
    <w:rPr>
      <w:rFonts w:ascii="黑体" w:hAnsi="宋体" w:eastAsia="黑体"/>
      <w:b/>
      <w:bCs/>
    </w:rPr>
  </w:style>
  <w:style w:type="paragraph" w:customStyle="1" w:styleId="2327">
    <w:name w:val="首行缩进:  0.99 厘米 + 首行缩进:  2 字符2"/>
    <w:basedOn w:val="1"/>
    <w:qFormat/>
    <w:uiPriority w:val="0"/>
    <w:pPr>
      <w:widowControl/>
      <w:topLinePunct/>
      <w:spacing w:line="480" w:lineRule="exact"/>
      <w:ind w:firstLine="420" w:firstLineChars="200"/>
      <w:jc w:val="center"/>
    </w:pPr>
    <w:rPr>
      <w:rFonts w:ascii="宋体" w:cs="宋体"/>
      <w:snapToGrid w:val="0"/>
      <w:color w:val="FF0000"/>
      <w:kern w:val="0"/>
      <w:szCs w:val="21"/>
    </w:rPr>
  </w:style>
  <w:style w:type="paragraph" w:customStyle="1" w:styleId="2328">
    <w:name w:val="正文格式＝51"/>
    <w:basedOn w:val="184"/>
    <w:next w:val="184"/>
    <w:qFormat/>
    <w:uiPriority w:val="0"/>
    <w:rPr>
      <w:rFonts w:hAnsi="宋体"/>
    </w:rPr>
  </w:style>
  <w:style w:type="paragraph" w:customStyle="1" w:styleId="2329">
    <w:name w:val="正文修改52"/>
    <w:basedOn w:val="1161"/>
    <w:qFormat/>
    <w:uiPriority w:val="0"/>
    <w:rPr>
      <w:rFonts w:hAnsi="宋体"/>
      <w:color w:val="000000"/>
    </w:rPr>
  </w:style>
  <w:style w:type="paragraph" w:customStyle="1" w:styleId="2330">
    <w:name w:val="标题431111"/>
    <w:basedOn w:val="1"/>
    <w:qFormat/>
    <w:uiPriority w:val="0"/>
    <w:pPr>
      <w:adjustRightInd w:val="0"/>
      <w:snapToGrid w:val="0"/>
      <w:spacing w:line="480" w:lineRule="exact"/>
      <w:jc w:val="center"/>
    </w:pPr>
    <w:rPr>
      <w:rFonts w:ascii="宋体" w:hAnsi="宋体" w:cs="宋体"/>
      <w:sz w:val="24"/>
    </w:rPr>
  </w:style>
  <w:style w:type="paragraph" w:customStyle="1" w:styleId="2331">
    <w:name w:val="Char213"/>
    <w:basedOn w:val="1"/>
    <w:qFormat/>
    <w:uiPriority w:val="0"/>
    <w:pPr>
      <w:ind w:left="-48"/>
    </w:pPr>
  </w:style>
  <w:style w:type="paragraph" w:customStyle="1" w:styleId="2332">
    <w:name w:val="表中文字513"/>
    <w:basedOn w:val="1"/>
    <w:qFormat/>
    <w:uiPriority w:val="0"/>
    <w:pPr>
      <w:widowControl/>
      <w:spacing w:line="240" w:lineRule="atLeast"/>
      <w:ind w:left="-24" w:leftChars="-10" w:right="-48" w:rightChars="-20"/>
      <w:jc w:val="center"/>
    </w:pPr>
    <w:rPr>
      <w:rFonts w:ascii="宋体"/>
      <w:kern w:val="0"/>
      <w:szCs w:val="21"/>
    </w:rPr>
  </w:style>
  <w:style w:type="paragraph" w:customStyle="1" w:styleId="2333">
    <w:name w:val="Char Char Char1 Char Char Char Char Char Char Char Char Char Char Char Char Char Char Char Char Char Char Char Char Char Char Char Char Char Char Char Char"/>
    <w:basedOn w:val="1"/>
    <w:qFormat/>
    <w:uiPriority w:val="0"/>
    <w:rPr>
      <w:szCs w:val="21"/>
    </w:rPr>
  </w:style>
  <w:style w:type="paragraph" w:customStyle="1" w:styleId="2334">
    <w:name w:val="表中文字114"/>
    <w:basedOn w:val="1"/>
    <w:qFormat/>
    <w:uiPriority w:val="0"/>
    <w:pPr>
      <w:widowControl/>
      <w:spacing w:line="240" w:lineRule="atLeast"/>
      <w:ind w:left="-24" w:leftChars="-10" w:right="-48" w:rightChars="-20"/>
      <w:jc w:val="center"/>
    </w:pPr>
    <w:rPr>
      <w:rFonts w:ascii="宋体"/>
      <w:kern w:val="0"/>
      <w:szCs w:val="21"/>
    </w:rPr>
  </w:style>
  <w:style w:type="paragraph" w:customStyle="1" w:styleId="2335">
    <w:name w:val="图表题3"/>
    <w:basedOn w:val="184"/>
    <w:next w:val="184"/>
    <w:qFormat/>
    <w:uiPriority w:val="0"/>
    <w:pPr>
      <w:ind w:firstLine="0"/>
      <w:jc w:val="center"/>
    </w:pPr>
    <w:rPr>
      <w:rFonts w:ascii="黑体" w:hAnsi="宋体" w:eastAsia="黑体"/>
      <w:b/>
      <w:bCs/>
    </w:rPr>
  </w:style>
  <w:style w:type="paragraph" w:customStyle="1" w:styleId="2336">
    <w:name w:val="正文格式＝412"/>
    <w:basedOn w:val="184"/>
    <w:next w:val="184"/>
    <w:qFormat/>
    <w:uiPriority w:val="0"/>
    <w:rPr>
      <w:rFonts w:hAnsi="宋体"/>
    </w:rPr>
  </w:style>
  <w:style w:type="paragraph" w:customStyle="1" w:styleId="2337">
    <w:name w:val="附件1"/>
    <w:basedOn w:val="2"/>
    <w:next w:val="184"/>
    <w:qFormat/>
    <w:uiPriority w:val="0"/>
    <w:pPr>
      <w:tabs>
        <w:tab w:val="left" w:pos="1566"/>
        <w:tab w:val="left" w:pos="2040"/>
      </w:tabs>
      <w:spacing w:before="0" w:after="210" w:line="360" w:lineRule="auto"/>
      <w:ind w:left="2040" w:leftChars="800" w:hanging="360" w:hangingChars="200"/>
      <w:jc w:val="left"/>
    </w:pPr>
    <w:rPr>
      <w:rFonts w:ascii="黑体" w:hAnsi="宋体" w:eastAsia="黑体"/>
      <w:b w:val="0"/>
      <w:sz w:val="32"/>
      <w:szCs w:val="32"/>
    </w:rPr>
  </w:style>
  <w:style w:type="paragraph" w:customStyle="1" w:styleId="2338">
    <w:name w:val="正文.111"/>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2339">
    <w:name w:val="默认段落字体 Para Char Char Char Char44"/>
    <w:basedOn w:val="1"/>
    <w:qFormat/>
    <w:uiPriority w:val="0"/>
  </w:style>
  <w:style w:type="paragraph" w:customStyle="1" w:styleId="2340">
    <w:name w:val="表格标题3"/>
    <w:basedOn w:val="35"/>
    <w:qFormat/>
    <w:uiPriority w:val="0"/>
    <w:pPr>
      <w:pBdr>
        <w:top w:val="single" w:color="auto" w:sz="4" w:space="1"/>
      </w:pBdr>
      <w:tabs>
        <w:tab w:val="clear" w:pos="1200"/>
        <w:tab w:val="clear" w:pos="3240"/>
      </w:tabs>
      <w:adjustRightInd w:val="0"/>
      <w:spacing w:line="360" w:lineRule="auto"/>
      <w:ind w:left="0" w:firstLine="0"/>
      <w:jc w:val="center"/>
      <w:textAlignment w:val="baseline"/>
    </w:pPr>
    <w:rPr>
      <w:kern w:val="0"/>
      <w:sz w:val="24"/>
      <w:szCs w:val="20"/>
    </w:rPr>
  </w:style>
  <w:style w:type="paragraph" w:customStyle="1" w:styleId="2341">
    <w:name w:val="样式 标题 3 + 黑色"/>
    <w:basedOn w:val="4"/>
    <w:qFormat/>
    <w:uiPriority w:val="0"/>
    <w:pPr>
      <w:tabs>
        <w:tab w:val="left" w:pos="720"/>
      </w:tabs>
      <w:adjustRightInd w:val="0"/>
      <w:spacing w:before="0" w:after="0" w:line="360" w:lineRule="auto"/>
      <w:ind w:left="567" w:hanging="567"/>
      <w:textAlignment w:val="baseline"/>
    </w:pPr>
    <w:rPr>
      <w:color w:val="000000"/>
      <w:kern w:val="0"/>
      <w:sz w:val="28"/>
      <w:szCs w:val="28"/>
    </w:rPr>
  </w:style>
  <w:style w:type="paragraph" w:customStyle="1" w:styleId="2342">
    <w:name w:val="框图-1 Char"/>
    <w:basedOn w:val="1"/>
    <w:qFormat/>
    <w:uiPriority w:val="0"/>
    <w:pPr>
      <w:jc w:val="center"/>
    </w:pPr>
    <w:rPr>
      <w:rFonts w:eastAsia="仿宋_GB2312"/>
      <w:bCs/>
      <w:snapToGrid w:val="0"/>
      <w:color w:val="000000"/>
      <w:kern w:val="0"/>
    </w:rPr>
  </w:style>
  <w:style w:type="paragraph" w:customStyle="1" w:styleId="2343">
    <w:name w:val="表题21111"/>
    <w:basedOn w:val="1"/>
    <w:qFormat/>
    <w:uiPriority w:val="0"/>
    <w:pPr>
      <w:widowControl/>
      <w:adjustRightInd w:val="0"/>
      <w:snapToGrid w:val="0"/>
      <w:jc w:val="center"/>
    </w:pPr>
    <w:rPr>
      <w:rFonts w:ascii="黑体" w:hAnsi="宋体" w:eastAsia="黑体" w:cs="宋体"/>
      <w:kern w:val="0"/>
      <w:sz w:val="24"/>
    </w:rPr>
  </w:style>
  <w:style w:type="paragraph" w:customStyle="1" w:styleId="2344">
    <w:name w:val="表题3131"/>
    <w:basedOn w:val="34"/>
    <w:qFormat/>
    <w:uiPriority w:val="0"/>
    <w:pPr>
      <w:tabs>
        <w:tab w:val="left" w:pos="4305"/>
      </w:tabs>
      <w:adjustRightInd w:val="0"/>
      <w:snapToGrid w:val="0"/>
      <w:spacing w:after="0"/>
      <w:ind w:left="0" w:leftChars="0"/>
      <w:jc w:val="center"/>
    </w:pPr>
    <w:rPr>
      <w:rFonts w:ascii="宋体" w:hAnsi="宋体"/>
      <w:sz w:val="24"/>
      <w:szCs w:val="20"/>
    </w:rPr>
  </w:style>
  <w:style w:type="paragraph" w:customStyle="1" w:styleId="2345">
    <w:name w:val="表题3114"/>
    <w:basedOn w:val="34"/>
    <w:qFormat/>
    <w:uiPriority w:val="0"/>
    <w:pPr>
      <w:tabs>
        <w:tab w:val="left" w:pos="4305"/>
      </w:tabs>
      <w:adjustRightInd w:val="0"/>
      <w:snapToGrid w:val="0"/>
      <w:spacing w:after="0"/>
      <w:ind w:left="0" w:leftChars="0"/>
      <w:jc w:val="center"/>
    </w:pPr>
    <w:rPr>
      <w:rFonts w:ascii="宋体" w:hAnsi="宋体"/>
      <w:sz w:val="24"/>
      <w:szCs w:val="20"/>
    </w:rPr>
  </w:style>
  <w:style w:type="paragraph" w:customStyle="1" w:styleId="2346">
    <w:name w:val="黑体三号53"/>
    <w:basedOn w:val="184"/>
    <w:qFormat/>
    <w:uiPriority w:val="0"/>
    <w:pPr>
      <w:jc w:val="center"/>
    </w:pPr>
    <w:rPr>
      <w:rFonts w:ascii="黑体" w:hAnsi="宋体" w:eastAsia="黑体"/>
      <w:b/>
      <w:bCs/>
      <w:sz w:val="32"/>
      <w:szCs w:val="20"/>
    </w:rPr>
  </w:style>
  <w:style w:type="paragraph" w:customStyle="1" w:styleId="2347">
    <w:name w:val="Char3311"/>
    <w:basedOn w:val="1"/>
    <w:qFormat/>
    <w:uiPriority w:val="0"/>
    <w:pPr>
      <w:ind w:left="-48"/>
    </w:pPr>
  </w:style>
  <w:style w:type="paragraph" w:customStyle="1" w:styleId="2348">
    <w:name w:val="正文缩进 2字符"/>
    <w:basedOn w:val="1"/>
    <w:qFormat/>
    <w:uiPriority w:val="0"/>
    <w:pPr>
      <w:tabs>
        <w:tab w:val="left" w:pos="2160"/>
      </w:tabs>
      <w:snapToGrid w:val="0"/>
      <w:spacing w:before="120" w:after="120"/>
      <w:ind w:firstLine="480" w:firstLineChars="200"/>
    </w:pPr>
    <w:rPr>
      <w:rFonts w:eastAsia="仿宋_GB2312"/>
      <w:color w:val="000000"/>
      <w:szCs w:val="21"/>
    </w:rPr>
  </w:style>
  <w:style w:type="paragraph" w:customStyle="1" w:styleId="2349">
    <w:name w:val="首行缩进:  0.99 厘米 + 首行缩进:  2 字符"/>
    <w:basedOn w:val="1"/>
    <w:qFormat/>
    <w:uiPriority w:val="0"/>
    <w:pPr>
      <w:widowControl/>
      <w:topLinePunct/>
      <w:spacing w:line="480" w:lineRule="exact"/>
      <w:ind w:firstLine="420" w:firstLineChars="200"/>
      <w:jc w:val="center"/>
    </w:pPr>
    <w:rPr>
      <w:rFonts w:ascii="宋体" w:cs="宋体"/>
      <w:snapToGrid w:val="0"/>
      <w:color w:val="FF0000"/>
      <w:kern w:val="0"/>
      <w:szCs w:val="21"/>
    </w:rPr>
  </w:style>
  <w:style w:type="paragraph" w:customStyle="1" w:styleId="2350">
    <w:name w:val="表题912"/>
    <w:basedOn w:val="44"/>
    <w:qFormat/>
    <w:uiPriority w:val="0"/>
    <w:pPr>
      <w:adjustRightInd w:val="0"/>
      <w:snapToGrid w:val="0"/>
      <w:spacing w:line="300" w:lineRule="auto"/>
      <w:jc w:val="center"/>
    </w:pPr>
    <w:rPr>
      <w:rFonts w:ascii="黑体" w:eastAsia="黑体" w:cs="Times New Roman"/>
      <w:sz w:val="24"/>
      <w:szCs w:val="20"/>
    </w:rPr>
  </w:style>
  <w:style w:type="paragraph" w:customStyle="1" w:styleId="2351">
    <w:name w:val="正文.22"/>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2352">
    <w:name w:val="Char35"/>
    <w:basedOn w:val="1"/>
    <w:qFormat/>
    <w:uiPriority w:val="0"/>
    <w:pPr>
      <w:ind w:left="-48"/>
    </w:pPr>
  </w:style>
  <w:style w:type="paragraph" w:customStyle="1" w:styleId="2353">
    <w:name w:val="表内53"/>
    <w:basedOn w:val="1"/>
    <w:qFormat/>
    <w:uiPriority w:val="0"/>
    <w:pPr>
      <w:adjustRightInd w:val="0"/>
      <w:snapToGrid w:val="0"/>
      <w:spacing w:line="300" w:lineRule="auto"/>
      <w:jc w:val="left"/>
    </w:pPr>
    <w:rPr>
      <w:rFonts w:ascii="宋体"/>
      <w:szCs w:val="20"/>
    </w:rPr>
  </w:style>
  <w:style w:type="paragraph" w:customStyle="1" w:styleId="2354">
    <w:name w:val="样式 标题 2 + 段前: 6 磅"/>
    <w:basedOn w:val="3"/>
    <w:qFormat/>
    <w:uiPriority w:val="0"/>
    <w:pPr>
      <w:keepNext w:val="0"/>
      <w:keepLines w:val="0"/>
      <w:numPr>
        <w:ilvl w:val="0"/>
        <w:numId w:val="0"/>
      </w:numPr>
      <w:tabs>
        <w:tab w:val="left" w:pos="233"/>
        <w:tab w:val="left" w:pos="450"/>
        <w:tab w:val="left" w:pos="567"/>
        <w:tab w:val="clear" w:pos="0"/>
        <w:tab w:val="clear" w:pos="426"/>
      </w:tabs>
      <w:adjustRightInd w:val="0"/>
      <w:snapToGrid w:val="0"/>
      <w:spacing w:before="260" w:after="260"/>
      <w:ind w:left="567" w:hanging="567"/>
    </w:pPr>
    <w:rPr>
      <w:rFonts w:eastAsia="宋体" w:cs="宋体"/>
      <w:b w:val="0"/>
      <w:spacing w:val="0"/>
      <w:kern w:val="2"/>
      <w:sz w:val="24"/>
    </w:rPr>
  </w:style>
  <w:style w:type="paragraph" w:customStyle="1" w:styleId="2355">
    <w:name w:val="默认段落字体 Para Char Char Char Char Char3"/>
    <w:basedOn w:val="1"/>
    <w:qFormat/>
    <w:uiPriority w:val="0"/>
  </w:style>
  <w:style w:type="paragraph" w:customStyle="1" w:styleId="2356">
    <w:name w:val="Char56"/>
    <w:basedOn w:val="1"/>
    <w:qFormat/>
    <w:uiPriority w:val="0"/>
    <w:pPr>
      <w:ind w:left="-48"/>
    </w:pPr>
  </w:style>
  <w:style w:type="paragraph" w:customStyle="1" w:styleId="2357">
    <w:name w:val="默认段落字体 Para Char Char Char Char4"/>
    <w:basedOn w:val="1"/>
    <w:qFormat/>
    <w:uiPriority w:val="0"/>
  </w:style>
  <w:style w:type="paragraph" w:customStyle="1" w:styleId="2358">
    <w:name w:val="Char Char Char Char Char Char Char Char Char1 Char Char Char"/>
    <w:basedOn w:val="1"/>
    <w:qFormat/>
    <w:uiPriority w:val="0"/>
    <w:rPr>
      <w:szCs w:val="21"/>
    </w:rPr>
  </w:style>
  <w:style w:type="paragraph" w:customStyle="1" w:styleId="2359">
    <w:name w:val="Char711"/>
    <w:basedOn w:val="1"/>
    <w:qFormat/>
    <w:uiPriority w:val="0"/>
    <w:pPr>
      <w:ind w:left="-48"/>
    </w:pPr>
  </w:style>
  <w:style w:type="paragraph" w:customStyle="1" w:styleId="2360">
    <w:name w:val="Char1 Char Char Char Char Char1 Char11"/>
    <w:basedOn w:val="1"/>
    <w:qFormat/>
    <w:uiPriority w:val="0"/>
    <w:rPr>
      <w:szCs w:val="21"/>
    </w:rPr>
  </w:style>
  <w:style w:type="paragraph" w:customStyle="1" w:styleId="2361">
    <w:name w:val="首行缩进:  0.99 厘米 + 首行缩进:  2 字符3"/>
    <w:basedOn w:val="1"/>
    <w:qFormat/>
    <w:uiPriority w:val="0"/>
    <w:pPr>
      <w:widowControl/>
      <w:topLinePunct/>
      <w:spacing w:line="480" w:lineRule="exact"/>
      <w:ind w:firstLine="420" w:firstLineChars="200"/>
      <w:jc w:val="center"/>
    </w:pPr>
    <w:rPr>
      <w:rFonts w:ascii="宋体" w:cs="宋体"/>
      <w:snapToGrid w:val="0"/>
      <w:color w:val="FF0000"/>
      <w:kern w:val="0"/>
      <w:szCs w:val="21"/>
    </w:rPr>
  </w:style>
  <w:style w:type="paragraph" w:customStyle="1" w:styleId="2362">
    <w:name w:val="(文字) (文字)1"/>
    <w:basedOn w:val="1"/>
    <w:qFormat/>
    <w:uiPriority w:val="0"/>
    <w:pPr>
      <w:jc w:val="center"/>
    </w:pPr>
    <w:rPr>
      <w:rFonts w:ascii="仿宋_GB2312" w:eastAsia="仿宋_GB2312" w:cs="仿宋_GB2312"/>
      <w:b/>
      <w:bCs/>
      <w:sz w:val="32"/>
      <w:szCs w:val="32"/>
    </w:rPr>
  </w:style>
  <w:style w:type="paragraph" w:customStyle="1" w:styleId="2363">
    <w:name w:val="圖標題"/>
    <w:basedOn w:val="1"/>
    <w:qFormat/>
    <w:uiPriority w:val="0"/>
    <w:pPr>
      <w:topLinePunct/>
      <w:adjustRightInd w:val="0"/>
      <w:spacing w:line="384" w:lineRule="exact"/>
      <w:jc w:val="center"/>
      <w:textAlignment w:val="baseline"/>
    </w:pPr>
    <w:rPr>
      <w:rFonts w:ascii="Arial" w:hAnsi="Arial" w:eastAsia="華康粗黑體" w:cs="Arial"/>
      <w:kern w:val="20"/>
      <w:sz w:val="24"/>
      <w:szCs w:val="20"/>
      <w:lang w:eastAsia="zh-TW"/>
    </w:rPr>
  </w:style>
  <w:style w:type="paragraph" w:customStyle="1" w:styleId="2364">
    <w:name w:val="正文4"/>
    <w:basedOn w:val="1"/>
    <w:qFormat/>
    <w:uiPriority w:val="0"/>
    <w:pPr>
      <w:autoSpaceDE w:val="0"/>
      <w:autoSpaceDN w:val="0"/>
      <w:spacing w:after="160" w:line="440" w:lineRule="exact"/>
      <w:ind w:left="567" w:hanging="567"/>
      <w:textAlignment w:val="bottom"/>
    </w:pPr>
    <w:rPr>
      <w:sz w:val="28"/>
      <w:szCs w:val="20"/>
    </w:rPr>
  </w:style>
  <w:style w:type="paragraph" w:customStyle="1" w:styleId="2365">
    <w:name w:val="表内54152"/>
    <w:basedOn w:val="1"/>
    <w:qFormat/>
    <w:uiPriority w:val="0"/>
    <w:pPr>
      <w:adjustRightInd w:val="0"/>
      <w:snapToGrid w:val="0"/>
      <w:spacing w:line="300" w:lineRule="auto"/>
      <w:jc w:val="center"/>
    </w:pPr>
    <w:rPr>
      <w:rFonts w:ascii="宋体" w:hAnsi="宋体" w:cs="宋体"/>
      <w:szCs w:val="20"/>
    </w:rPr>
  </w:style>
  <w:style w:type="paragraph" w:customStyle="1" w:styleId="2366">
    <w:name w:val="样式413"/>
    <w:basedOn w:val="33"/>
    <w:qFormat/>
    <w:uiPriority w:val="0"/>
    <w:pPr>
      <w:tabs>
        <w:tab w:val="left" w:pos="1820"/>
      </w:tabs>
      <w:snapToGrid w:val="0"/>
      <w:spacing w:after="0" w:line="240" w:lineRule="atLeast"/>
      <w:jc w:val="center"/>
    </w:pPr>
    <w:rPr>
      <w:rFonts w:eastAsia="幼圆"/>
      <w:kern w:val="0"/>
      <w:szCs w:val="20"/>
    </w:rPr>
  </w:style>
  <w:style w:type="paragraph" w:customStyle="1" w:styleId="2367">
    <w:name w:val="report"/>
    <w:basedOn w:val="1"/>
    <w:qFormat/>
    <w:uiPriority w:val="0"/>
    <w:pPr>
      <w:adjustRightInd w:val="0"/>
      <w:spacing w:before="60" w:after="60" w:line="300" w:lineRule="atLeast"/>
      <w:ind w:left="505"/>
      <w:textAlignment w:val="baseline"/>
    </w:pPr>
    <w:rPr>
      <w:kern w:val="0"/>
      <w:sz w:val="22"/>
      <w:szCs w:val="20"/>
    </w:rPr>
  </w:style>
  <w:style w:type="paragraph" w:customStyle="1" w:styleId="2368">
    <w:name w:val="样式 标题 2标题 2 Char + 段前: 1 行 段后: 1 行"/>
    <w:basedOn w:val="3"/>
    <w:qFormat/>
    <w:uiPriority w:val="0"/>
    <w:pPr>
      <w:numPr>
        <w:ilvl w:val="0"/>
        <w:numId w:val="0"/>
      </w:numPr>
      <w:tabs>
        <w:tab w:val="left" w:pos="233"/>
        <w:tab w:val="left" w:pos="315"/>
        <w:tab w:val="left" w:pos="768"/>
        <w:tab w:val="clear" w:pos="0"/>
        <w:tab w:val="clear" w:pos="426"/>
      </w:tabs>
      <w:adjustRightInd w:val="0"/>
      <w:spacing w:beforeLines="80" w:afterLines="80" w:line="520" w:lineRule="exact"/>
      <w:ind w:left="233"/>
      <w:jc w:val="left"/>
      <w:textAlignment w:val="baseline"/>
    </w:pPr>
    <w:rPr>
      <w:rFonts w:ascii="黑体" w:eastAsia="黑体" w:cs="宋体"/>
      <w:bCs/>
      <w:spacing w:val="0"/>
      <w:sz w:val="28"/>
      <w:szCs w:val="20"/>
    </w:rPr>
  </w:style>
  <w:style w:type="paragraph" w:customStyle="1" w:styleId="2369">
    <w:name w:val="正文修改1"/>
    <w:basedOn w:val="1161"/>
    <w:qFormat/>
    <w:uiPriority w:val="0"/>
    <w:rPr>
      <w:rFonts w:hAnsi="宋体"/>
      <w:color w:val="000000"/>
    </w:rPr>
  </w:style>
  <w:style w:type="paragraph" w:customStyle="1" w:styleId="2370">
    <w:name w:val="Char Char Char Char1 Char Char Char2"/>
    <w:basedOn w:val="1"/>
    <w:qFormat/>
    <w:uiPriority w:val="0"/>
    <w:pPr>
      <w:widowControl/>
      <w:spacing w:after="160" w:line="240" w:lineRule="exact"/>
      <w:jc w:val="left"/>
    </w:pPr>
    <w:rPr>
      <w:rFonts w:ascii="Verdana" w:hAnsi="Verdana"/>
      <w:kern w:val="0"/>
      <w:sz w:val="20"/>
      <w:szCs w:val="20"/>
      <w:lang w:eastAsia="en-US"/>
    </w:rPr>
  </w:style>
  <w:style w:type="paragraph" w:customStyle="1" w:styleId="2371">
    <w:name w:val="Char Char Char Char Char Char Char26"/>
    <w:basedOn w:val="1"/>
    <w:qFormat/>
    <w:uiPriority w:val="0"/>
  </w:style>
  <w:style w:type="paragraph" w:customStyle="1" w:styleId="2372">
    <w:name w:val="标题43131"/>
    <w:basedOn w:val="1"/>
    <w:qFormat/>
    <w:uiPriority w:val="0"/>
    <w:pPr>
      <w:adjustRightInd w:val="0"/>
      <w:snapToGrid w:val="0"/>
      <w:spacing w:line="480" w:lineRule="exact"/>
      <w:jc w:val="center"/>
    </w:pPr>
    <w:rPr>
      <w:rFonts w:ascii="宋体" w:hAnsi="宋体" w:cs="宋体"/>
      <w:sz w:val="24"/>
    </w:rPr>
  </w:style>
  <w:style w:type="paragraph" w:customStyle="1" w:styleId="2373">
    <w:name w:val="目录5"/>
    <w:basedOn w:val="1"/>
    <w:qFormat/>
    <w:uiPriority w:val="0"/>
    <w:rPr>
      <w:rFonts w:ascii="宋体" w:hAnsi="宋体"/>
      <w:szCs w:val="21"/>
    </w:rPr>
  </w:style>
  <w:style w:type="paragraph" w:customStyle="1" w:styleId="2374">
    <w:name w:val="统一正文"/>
    <w:basedOn w:val="1"/>
    <w:qFormat/>
    <w:uiPriority w:val="0"/>
    <w:pPr>
      <w:pBdr>
        <w:top w:val="single" w:color="auto" w:sz="4" w:space="1"/>
      </w:pBdr>
      <w:adjustRightInd w:val="0"/>
      <w:spacing w:line="360" w:lineRule="auto"/>
      <w:ind w:firstLine="480" w:firstLineChars="200"/>
      <w:jc w:val="left"/>
      <w:textAlignment w:val="baseline"/>
    </w:pPr>
    <w:rPr>
      <w:kern w:val="0"/>
      <w:sz w:val="24"/>
      <w:szCs w:val="20"/>
    </w:rPr>
  </w:style>
  <w:style w:type="paragraph" w:customStyle="1" w:styleId="2375">
    <w:name w:val="Char Char Char Char1 Char Char Char211"/>
    <w:basedOn w:val="1"/>
    <w:qFormat/>
    <w:uiPriority w:val="0"/>
    <w:pPr>
      <w:widowControl/>
      <w:spacing w:after="160" w:line="240" w:lineRule="exact"/>
      <w:jc w:val="left"/>
    </w:pPr>
    <w:rPr>
      <w:rFonts w:ascii="Verdana" w:hAnsi="Verdana"/>
      <w:kern w:val="0"/>
      <w:sz w:val="20"/>
      <w:szCs w:val="20"/>
      <w:lang w:eastAsia="en-US"/>
    </w:rPr>
  </w:style>
  <w:style w:type="paragraph" w:customStyle="1" w:styleId="2376">
    <w:name w:val="燕山正文213"/>
    <w:basedOn w:val="1"/>
    <w:qFormat/>
    <w:uiPriority w:val="0"/>
    <w:pPr>
      <w:tabs>
        <w:tab w:val="left" w:pos="4680"/>
      </w:tabs>
      <w:adjustRightInd w:val="0"/>
      <w:snapToGrid w:val="0"/>
      <w:spacing w:line="480" w:lineRule="exact"/>
    </w:pPr>
    <w:rPr>
      <w:rFonts w:ascii="宋体" w:cs="宋体"/>
      <w:sz w:val="24"/>
    </w:rPr>
  </w:style>
  <w:style w:type="paragraph" w:customStyle="1" w:styleId="2377">
    <w:name w:val="样式 标题 + 非加粗 黑色"/>
    <w:basedOn w:val="83"/>
    <w:qFormat/>
    <w:uiPriority w:val="0"/>
    <w:pPr>
      <w:pBdr>
        <w:top w:val="single" w:color="auto" w:sz="4" w:space="1"/>
      </w:pBdr>
      <w:adjustRightInd w:val="0"/>
      <w:spacing w:line="360" w:lineRule="atLeast"/>
      <w:textAlignment w:val="baseline"/>
    </w:pPr>
    <w:rPr>
      <w:rFonts w:hAnsi="Times New Roman"/>
      <w:b w:val="0"/>
      <w:kern w:val="0"/>
      <w:sz w:val="18"/>
      <w:szCs w:val="18"/>
    </w:rPr>
  </w:style>
  <w:style w:type="paragraph" w:customStyle="1" w:styleId="2378">
    <w:name w:val="标题43121"/>
    <w:basedOn w:val="1"/>
    <w:qFormat/>
    <w:uiPriority w:val="0"/>
    <w:pPr>
      <w:adjustRightInd w:val="0"/>
      <w:snapToGrid w:val="0"/>
      <w:spacing w:line="480" w:lineRule="exact"/>
      <w:jc w:val="center"/>
    </w:pPr>
    <w:rPr>
      <w:rFonts w:ascii="宋体" w:hAnsi="宋体" w:cs="宋体"/>
      <w:sz w:val="24"/>
    </w:rPr>
  </w:style>
  <w:style w:type="paragraph" w:customStyle="1" w:styleId="2379">
    <w:name w:val="图题7"/>
    <w:basedOn w:val="184"/>
    <w:next w:val="184"/>
    <w:qFormat/>
    <w:uiPriority w:val="0"/>
    <w:pPr>
      <w:ind w:firstLine="0"/>
      <w:jc w:val="center"/>
    </w:pPr>
    <w:rPr>
      <w:rFonts w:ascii="黑体" w:hAnsi="宋体" w:eastAsia="黑体"/>
      <w:b/>
      <w:bCs/>
    </w:rPr>
  </w:style>
  <w:style w:type="paragraph" w:customStyle="1" w:styleId="2380">
    <w:name w:val="Char Char Char2 Char Char Char Char Char Char Char Char Char Char"/>
    <w:basedOn w:val="1"/>
    <w:qFormat/>
    <w:uiPriority w:val="0"/>
    <w:rPr>
      <w:szCs w:val="21"/>
    </w:rPr>
  </w:style>
  <w:style w:type="paragraph" w:customStyle="1" w:styleId="2381">
    <w:name w:val="封面标准文稿编辑信息2"/>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2382">
    <w:name w:val="Char Char Char Char Char Char Char216"/>
    <w:basedOn w:val="1"/>
    <w:qFormat/>
    <w:uiPriority w:val="0"/>
  </w:style>
  <w:style w:type="paragraph" w:customStyle="1" w:styleId="2383">
    <w:name w:val="表内523"/>
    <w:basedOn w:val="1"/>
    <w:qFormat/>
    <w:uiPriority w:val="0"/>
    <w:pPr>
      <w:adjustRightInd w:val="0"/>
      <w:snapToGrid w:val="0"/>
      <w:spacing w:line="300" w:lineRule="auto"/>
      <w:jc w:val="left"/>
    </w:pPr>
    <w:rPr>
      <w:rFonts w:ascii="宋体"/>
      <w:sz w:val="18"/>
      <w:szCs w:val="20"/>
    </w:rPr>
  </w:style>
  <w:style w:type="paragraph" w:customStyle="1" w:styleId="2384">
    <w:name w:val="样式 标题 4 + 行距: 多倍行距 1.3 字行"/>
    <w:basedOn w:val="5"/>
    <w:qFormat/>
    <w:uiPriority w:val="0"/>
    <w:pPr>
      <w:tabs>
        <w:tab w:val="left" w:pos="1200"/>
      </w:tabs>
      <w:snapToGrid w:val="0"/>
      <w:spacing w:before="20" w:after="20" w:line="300" w:lineRule="auto"/>
      <w:ind w:left="1200" w:leftChars="400" w:hanging="360" w:hangingChars="200"/>
    </w:pPr>
    <w:rPr>
      <w:bCs w:val="0"/>
    </w:rPr>
  </w:style>
  <w:style w:type="paragraph" w:customStyle="1" w:styleId="2385">
    <w:name w:val="正文编号"/>
    <w:basedOn w:val="1"/>
    <w:qFormat/>
    <w:uiPriority w:val="0"/>
    <w:pPr>
      <w:tabs>
        <w:tab w:val="left" w:pos="1200"/>
      </w:tabs>
      <w:adjustRightInd w:val="0"/>
      <w:spacing w:line="360" w:lineRule="auto"/>
      <w:ind w:left="1200" w:leftChars="400" w:hanging="360" w:hangingChars="200"/>
      <w:textAlignment w:val="baseline"/>
    </w:pPr>
    <w:rPr>
      <w:rFonts w:ascii="Arial" w:hAnsi="Arial" w:eastAsia="仿宋_GB2312"/>
      <w:kern w:val="0"/>
      <w:sz w:val="24"/>
      <w:szCs w:val="28"/>
    </w:rPr>
  </w:style>
  <w:style w:type="paragraph" w:customStyle="1" w:styleId="2386">
    <w:name w:val="正文格式＝512"/>
    <w:basedOn w:val="184"/>
    <w:next w:val="184"/>
    <w:qFormat/>
    <w:uiPriority w:val="0"/>
    <w:rPr>
      <w:rFonts w:hAnsi="宋体"/>
    </w:rPr>
  </w:style>
  <w:style w:type="paragraph" w:customStyle="1" w:styleId="2387">
    <w:name w:val="表格内字体21"/>
    <w:basedOn w:val="184"/>
    <w:next w:val="184"/>
    <w:qFormat/>
    <w:uiPriority w:val="0"/>
    <w:pPr>
      <w:adjustRightInd w:val="0"/>
      <w:snapToGrid w:val="0"/>
      <w:spacing w:line="240" w:lineRule="auto"/>
      <w:ind w:firstLine="0"/>
      <w:jc w:val="center"/>
    </w:pPr>
    <w:rPr>
      <w:rFonts w:hAnsi="宋体"/>
      <w:sz w:val="21"/>
    </w:rPr>
  </w:style>
  <w:style w:type="paragraph" w:customStyle="1" w:styleId="2388">
    <w:name w:val="表中文字412"/>
    <w:basedOn w:val="1"/>
    <w:qFormat/>
    <w:uiPriority w:val="0"/>
    <w:pPr>
      <w:snapToGrid w:val="0"/>
      <w:spacing w:line="340" w:lineRule="exact"/>
      <w:ind w:firstLine="480" w:firstLineChars="200"/>
      <w:jc w:val="center"/>
    </w:pPr>
    <w:rPr>
      <w:rFonts w:ascii="Arial" w:hAnsi="Arial"/>
      <w:kern w:val="0"/>
      <w:sz w:val="20"/>
      <w:lang w:eastAsia="zh-TW"/>
    </w:rPr>
  </w:style>
  <w:style w:type="paragraph" w:customStyle="1" w:styleId="2389">
    <w:name w:val="Char Char Char Char Char Char Char224"/>
    <w:basedOn w:val="1"/>
    <w:qFormat/>
    <w:uiPriority w:val="0"/>
  </w:style>
  <w:style w:type="paragraph" w:customStyle="1" w:styleId="2390">
    <w:name w:val="Char1110"/>
    <w:basedOn w:val="1"/>
    <w:qFormat/>
    <w:uiPriority w:val="0"/>
    <w:pPr>
      <w:ind w:left="-48"/>
    </w:pPr>
  </w:style>
  <w:style w:type="paragraph" w:customStyle="1" w:styleId="2391">
    <w:name w:val="燕山正文11112"/>
    <w:basedOn w:val="1"/>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2392">
    <w:name w:val="c4"/>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2393">
    <w:name w:val="cs10 additive Default Pa"/>
    <w:qFormat/>
    <w:uiPriority w:val="0"/>
    <w:pPr>
      <w:widowControl w:val="0"/>
      <w:autoSpaceDE w:val="0"/>
      <w:autoSpaceDN w:val="0"/>
      <w:adjustRightInd w:val="0"/>
    </w:pPr>
    <w:rPr>
      <w:rFonts w:ascii="Times New Roman" w:hAnsi="Times New Roman" w:eastAsia="宋体" w:cs="Times New Roman"/>
      <w:lang w:val="en-US" w:eastAsia="zh-CN" w:bidi="ar-SA"/>
    </w:rPr>
  </w:style>
  <w:style w:type="paragraph" w:customStyle="1" w:styleId="2394">
    <w:name w:val="样式 标题 3 + 段前: 12 磅11"/>
    <w:basedOn w:val="4"/>
    <w:qFormat/>
    <w:uiPriority w:val="0"/>
    <w:pPr>
      <w:keepNext w:val="0"/>
      <w:keepLines w:val="0"/>
      <w:widowControl/>
      <w:tabs>
        <w:tab w:val="left" w:pos="233"/>
      </w:tabs>
      <w:autoSpaceDE w:val="0"/>
      <w:autoSpaceDN w:val="0"/>
      <w:adjustRightInd w:val="0"/>
      <w:snapToGrid w:val="0"/>
      <w:spacing w:before="0" w:after="0" w:line="360" w:lineRule="auto"/>
      <w:ind w:left="233"/>
    </w:pPr>
    <w:rPr>
      <w:rFonts w:ascii="黑体" w:hAnsi="宋体" w:eastAsia="黑体" w:cs="宋体"/>
      <w:b w:val="0"/>
      <w:bCs w:val="0"/>
      <w:color w:val="000000"/>
      <w:kern w:val="21"/>
      <w:sz w:val="24"/>
      <w:szCs w:val="20"/>
    </w:rPr>
  </w:style>
  <w:style w:type="paragraph" w:customStyle="1" w:styleId="2395">
    <w:name w:val="黑体三号8"/>
    <w:basedOn w:val="184"/>
    <w:qFormat/>
    <w:uiPriority w:val="0"/>
    <w:pPr>
      <w:jc w:val="center"/>
    </w:pPr>
    <w:rPr>
      <w:rFonts w:ascii="黑体" w:hAnsi="宋体" w:eastAsia="黑体"/>
      <w:b/>
      <w:bCs/>
      <w:sz w:val="32"/>
      <w:szCs w:val="20"/>
    </w:rPr>
  </w:style>
  <w:style w:type="paragraph" w:customStyle="1" w:styleId="2396">
    <w:name w:val="样式 标题 3 + (西文) Times New Roman (中文) 宋体 行距: 固定值 24 磅1"/>
    <w:basedOn w:val="4"/>
    <w:qFormat/>
    <w:uiPriority w:val="0"/>
    <w:pPr>
      <w:keepNext w:val="0"/>
      <w:keepLines w:val="0"/>
      <w:tabs>
        <w:tab w:val="left" w:pos="233"/>
        <w:tab w:val="left" w:pos="1560"/>
      </w:tabs>
      <w:spacing w:before="0" w:after="0" w:line="500" w:lineRule="exact"/>
      <w:ind w:left="233" w:firstLine="615" w:firstLineChars="200"/>
      <w:outlineLvl w:val="9"/>
    </w:pPr>
    <w:rPr>
      <w:rFonts w:ascii="宋体" w:hAnsi="宋体" w:cs="宋体"/>
      <w:b w:val="0"/>
      <w:sz w:val="28"/>
      <w:szCs w:val="28"/>
    </w:rPr>
  </w:style>
  <w:style w:type="paragraph" w:customStyle="1" w:styleId="2397">
    <w:name w:val="样式 报告 + Times New Roman Char Char Char Char Char Char"/>
    <w:basedOn w:val="237"/>
    <w:qFormat/>
    <w:uiPriority w:val="0"/>
    <w:pPr>
      <w:spacing w:line="500" w:lineRule="exact"/>
    </w:pPr>
    <w:rPr>
      <w:rFonts w:ascii="Times New Roman" w:hAnsi="Times New Roman"/>
      <w:kern w:val="2"/>
      <w:sz w:val="28"/>
      <w:szCs w:val="28"/>
    </w:rPr>
  </w:style>
  <w:style w:type="paragraph" w:customStyle="1" w:styleId="2398">
    <w:name w:val="wmf-正文"/>
    <w:basedOn w:val="1"/>
    <w:qFormat/>
    <w:uiPriority w:val="0"/>
    <w:pPr>
      <w:adjustRightInd w:val="0"/>
      <w:snapToGrid w:val="0"/>
      <w:spacing w:line="360" w:lineRule="auto"/>
      <w:ind w:left="350" w:leftChars="350" w:firstLine="200" w:firstLineChars="200"/>
    </w:pPr>
    <w:rPr>
      <w:rFonts w:ascii="宋体" w:hAnsi="宋体"/>
      <w:spacing w:val="6"/>
      <w:sz w:val="24"/>
      <w:szCs w:val="20"/>
    </w:rPr>
  </w:style>
  <w:style w:type="paragraph" w:customStyle="1" w:styleId="2399">
    <w:name w:val="默认段落字体 Para Char Char Char Char32"/>
    <w:basedOn w:val="1"/>
    <w:qFormat/>
    <w:uiPriority w:val="0"/>
  </w:style>
  <w:style w:type="paragraph" w:customStyle="1" w:styleId="2400">
    <w:name w:val="燕山正文2"/>
    <w:basedOn w:val="1"/>
    <w:qFormat/>
    <w:uiPriority w:val="0"/>
    <w:pPr>
      <w:tabs>
        <w:tab w:val="left" w:pos="4680"/>
      </w:tabs>
      <w:adjustRightInd w:val="0"/>
      <w:snapToGrid w:val="0"/>
      <w:spacing w:line="480" w:lineRule="exact"/>
    </w:pPr>
    <w:rPr>
      <w:rFonts w:ascii="宋体" w:cs="宋体"/>
      <w:sz w:val="24"/>
    </w:rPr>
  </w:style>
  <w:style w:type="paragraph" w:customStyle="1" w:styleId="2401">
    <w:name w:val="Char126"/>
    <w:basedOn w:val="1"/>
    <w:qFormat/>
    <w:uiPriority w:val="0"/>
    <w:pPr>
      <w:ind w:left="-48"/>
    </w:pPr>
  </w:style>
  <w:style w:type="paragraph" w:customStyle="1" w:styleId="2402">
    <w:name w:val="Char Char Char Char Char Char Char311"/>
    <w:basedOn w:val="1"/>
    <w:qFormat/>
    <w:uiPriority w:val="0"/>
  </w:style>
  <w:style w:type="paragraph" w:customStyle="1" w:styleId="2403">
    <w:name w:val="默认段落字体 Para Char Char Char Char12"/>
    <w:basedOn w:val="1"/>
    <w:qFormat/>
    <w:uiPriority w:val="0"/>
  </w:style>
  <w:style w:type="paragraph" w:customStyle="1" w:styleId="2404">
    <w:name w:val="表格文字新"/>
    <w:basedOn w:val="117"/>
    <w:qFormat/>
    <w:uiPriority w:val="0"/>
    <w:pPr>
      <w:tabs>
        <w:tab w:val="left" w:pos="5580"/>
        <w:tab w:val="left" w:pos="5760"/>
        <w:tab w:val="clear" w:pos="1021"/>
        <w:tab w:val="clear" w:pos="2040"/>
      </w:tabs>
      <w:snapToGrid/>
      <w:spacing w:line="400" w:lineRule="exact"/>
      <w:ind w:left="0" w:leftChars="0" w:firstLine="0" w:firstLineChars="0"/>
      <w:jc w:val="center"/>
      <w:textAlignment w:val="baseline"/>
    </w:pPr>
    <w:rPr>
      <w:rFonts w:ascii="Times New Roman" w:eastAsia="宋体"/>
      <w:kern w:val="0"/>
      <w:sz w:val="21"/>
      <w:szCs w:val="21"/>
    </w:rPr>
  </w:style>
  <w:style w:type="paragraph" w:customStyle="1" w:styleId="2405">
    <w:name w:val="Char327"/>
    <w:basedOn w:val="1"/>
    <w:qFormat/>
    <w:uiPriority w:val="0"/>
    <w:pPr>
      <w:ind w:left="-48"/>
    </w:pPr>
  </w:style>
  <w:style w:type="paragraph" w:customStyle="1" w:styleId="2406">
    <w:name w:val="样式 样式 样式 标题 3条标题1.1.1Section标题 3 Char Char + 首行缩进:  2 字符 + 段前: 0..."/>
    <w:basedOn w:val="1"/>
    <w:qFormat/>
    <w:uiPriority w:val="0"/>
    <w:pPr>
      <w:keepNext/>
      <w:keepLines/>
      <w:snapToGrid w:val="0"/>
      <w:spacing w:beforeLines="30" w:afterLines="20"/>
      <w:jc w:val="left"/>
      <w:outlineLvl w:val="2"/>
    </w:pPr>
    <w:rPr>
      <w:b/>
      <w:bCs/>
      <w:sz w:val="28"/>
      <w:szCs w:val="28"/>
    </w:rPr>
  </w:style>
  <w:style w:type="paragraph" w:customStyle="1" w:styleId="2407">
    <w:name w:val="Char Char Char Char1 Char Char Char21"/>
    <w:basedOn w:val="1"/>
    <w:qFormat/>
    <w:uiPriority w:val="0"/>
    <w:pPr>
      <w:widowControl/>
      <w:spacing w:after="160" w:line="240" w:lineRule="exact"/>
      <w:jc w:val="left"/>
    </w:pPr>
    <w:rPr>
      <w:rFonts w:ascii="Verdana" w:hAnsi="Verdana"/>
      <w:kern w:val="0"/>
      <w:sz w:val="20"/>
      <w:szCs w:val="20"/>
      <w:lang w:eastAsia="en-US"/>
    </w:rPr>
  </w:style>
  <w:style w:type="paragraph" w:customStyle="1" w:styleId="2408">
    <w:name w:val="Char Char Char Char Char Char Char21"/>
    <w:basedOn w:val="1"/>
    <w:qFormat/>
    <w:uiPriority w:val="0"/>
  </w:style>
  <w:style w:type="paragraph" w:customStyle="1" w:styleId="2409">
    <w:name w:val="表内54133"/>
    <w:basedOn w:val="1"/>
    <w:qFormat/>
    <w:uiPriority w:val="0"/>
    <w:pPr>
      <w:adjustRightInd w:val="0"/>
      <w:snapToGrid w:val="0"/>
      <w:spacing w:line="300" w:lineRule="auto"/>
      <w:jc w:val="center"/>
    </w:pPr>
    <w:rPr>
      <w:rFonts w:ascii="宋体" w:hAnsi="宋体" w:cs="宋体"/>
      <w:szCs w:val="20"/>
    </w:rPr>
  </w:style>
  <w:style w:type="paragraph" w:customStyle="1" w:styleId="2410">
    <w:name w:val="样式 标题 3 + (西文) Times New Roman (中文) 宋体 段前: 12.5 磅 行距: 固定值 24 磅"/>
    <w:basedOn w:val="4"/>
    <w:qFormat/>
    <w:uiPriority w:val="0"/>
    <w:pPr>
      <w:keepNext w:val="0"/>
      <w:keepLines w:val="0"/>
      <w:tabs>
        <w:tab w:val="left" w:pos="233"/>
        <w:tab w:val="left" w:pos="1260"/>
        <w:tab w:val="left" w:pos="1560"/>
      </w:tabs>
      <w:spacing w:beforeLines="20" w:afterLines="20" w:line="480" w:lineRule="exact"/>
      <w:ind w:left="233"/>
    </w:pPr>
    <w:rPr>
      <w:rFonts w:cs="宋体"/>
      <w:sz w:val="28"/>
      <w:szCs w:val="20"/>
    </w:rPr>
  </w:style>
  <w:style w:type="paragraph" w:customStyle="1" w:styleId="2411">
    <w:name w:val="封面标准文稿编辑信息11"/>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2412">
    <w:name w:val="我的 标题 3 + 段前: 12 磅 段后: 12 磅 行距: 固定值 24 磅"/>
    <w:basedOn w:val="4"/>
    <w:qFormat/>
    <w:uiPriority w:val="0"/>
    <w:pPr>
      <w:tabs>
        <w:tab w:val="left" w:pos="233"/>
      </w:tabs>
      <w:spacing w:beforeLines="50" w:afterLines="50" w:line="480" w:lineRule="exact"/>
      <w:ind w:left="233"/>
    </w:pPr>
    <w:rPr>
      <w:rFonts w:cs="宋体"/>
      <w:bCs w:val="0"/>
      <w:sz w:val="28"/>
      <w:szCs w:val="20"/>
    </w:rPr>
  </w:style>
  <w:style w:type="paragraph" w:customStyle="1" w:styleId="2413">
    <w:name w:val="表内5416"/>
    <w:basedOn w:val="1"/>
    <w:qFormat/>
    <w:uiPriority w:val="0"/>
    <w:pPr>
      <w:adjustRightInd w:val="0"/>
      <w:snapToGrid w:val="0"/>
      <w:spacing w:line="300" w:lineRule="auto"/>
      <w:jc w:val="center"/>
    </w:pPr>
    <w:rPr>
      <w:rFonts w:ascii="宋体" w:hAnsi="宋体" w:cs="宋体"/>
      <w:szCs w:val="20"/>
    </w:rPr>
  </w:style>
  <w:style w:type="paragraph" w:customStyle="1" w:styleId="2414">
    <w:name w:val="Char48"/>
    <w:basedOn w:val="1"/>
    <w:qFormat/>
    <w:uiPriority w:val="0"/>
    <w:pPr>
      <w:ind w:left="-48"/>
    </w:pPr>
  </w:style>
  <w:style w:type="paragraph" w:customStyle="1" w:styleId="2415">
    <w:name w:val="列表引导"/>
    <w:basedOn w:val="65"/>
    <w:next w:val="65"/>
    <w:qFormat/>
    <w:uiPriority w:val="0"/>
    <w:pPr>
      <w:widowControl/>
      <w:tabs>
        <w:tab w:val="left" w:pos="720"/>
      </w:tabs>
      <w:overflowPunct w:val="0"/>
      <w:autoSpaceDE w:val="0"/>
      <w:autoSpaceDN w:val="0"/>
      <w:adjustRightInd w:val="0"/>
      <w:spacing w:before="80" w:after="80" w:line="240" w:lineRule="auto"/>
      <w:ind w:left="720" w:hanging="360"/>
      <w:jc w:val="left"/>
      <w:textAlignment w:val="baseline"/>
    </w:pPr>
    <w:rPr>
      <w:rFonts w:ascii="Times New Roman" w:eastAsia="宋体"/>
      <w:kern w:val="0"/>
      <w:sz w:val="20"/>
      <w:szCs w:val="24"/>
    </w:rPr>
  </w:style>
  <w:style w:type="paragraph" w:customStyle="1" w:styleId="2416">
    <w:name w:val="样式1）"/>
    <w:basedOn w:val="6"/>
    <w:qFormat/>
    <w:uiPriority w:val="0"/>
    <w:pPr>
      <w:tabs>
        <w:tab w:val="left" w:pos="1226"/>
      </w:tabs>
      <w:spacing w:beforeLines="50" w:afterLines="50" w:line="400" w:lineRule="exact"/>
      <w:ind w:left="821" w:leftChars="213" w:hanging="374" w:hangingChars="156"/>
    </w:pPr>
    <w:rPr>
      <w:rFonts w:ascii="Times New Roman" w:eastAsia="宋体"/>
      <w:b w:val="0"/>
      <w:sz w:val="24"/>
    </w:rPr>
  </w:style>
  <w:style w:type="paragraph" w:customStyle="1" w:styleId="2417">
    <w:name w:val="Char66"/>
    <w:basedOn w:val="1"/>
    <w:qFormat/>
    <w:uiPriority w:val="0"/>
    <w:pPr>
      <w:ind w:left="-48"/>
    </w:pPr>
  </w:style>
  <w:style w:type="paragraph" w:customStyle="1" w:styleId="2418">
    <w:name w:val="Char425"/>
    <w:basedOn w:val="1"/>
    <w:qFormat/>
    <w:uiPriority w:val="0"/>
    <w:pPr>
      <w:ind w:left="-48"/>
    </w:pPr>
  </w:style>
  <w:style w:type="paragraph" w:customStyle="1" w:styleId="2419">
    <w:name w:val="附件6"/>
    <w:basedOn w:val="2"/>
    <w:next w:val="184"/>
    <w:qFormat/>
    <w:uiPriority w:val="0"/>
    <w:pPr>
      <w:tabs>
        <w:tab w:val="left" w:pos="1566"/>
        <w:tab w:val="left" w:pos="2040"/>
      </w:tabs>
      <w:adjustRightInd w:val="0"/>
      <w:snapToGrid w:val="0"/>
      <w:spacing w:beforeLines="100" w:after="0" w:line="360" w:lineRule="auto"/>
      <w:ind w:left="2040" w:leftChars="800" w:hanging="360" w:hangingChars="200"/>
    </w:pPr>
    <w:rPr>
      <w:rFonts w:ascii="黑体" w:hAnsi="宋体" w:eastAsia="黑体"/>
      <w:b w:val="0"/>
      <w:sz w:val="32"/>
      <w:szCs w:val="32"/>
    </w:rPr>
  </w:style>
  <w:style w:type="paragraph" w:customStyle="1" w:styleId="2420">
    <w:name w:val="edri-1).title"/>
    <w:basedOn w:val="2421"/>
    <w:qFormat/>
    <w:uiPriority w:val="0"/>
    <w:pPr>
      <w:tabs>
        <w:tab w:val="left" w:pos="0"/>
        <w:tab w:val="left" w:pos="945"/>
        <w:tab w:val="left" w:pos="1785"/>
        <w:tab w:val="left" w:pos="2250"/>
      </w:tabs>
      <w:ind w:left="2250" w:hanging="420"/>
      <w:outlineLvl w:val="4"/>
    </w:pPr>
  </w:style>
  <w:style w:type="paragraph" w:customStyle="1" w:styleId="2421">
    <w:name w:val="edri-A title Char1"/>
    <w:basedOn w:val="2422"/>
    <w:next w:val="2422"/>
    <w:qFormat/>
    <w:uiPriority w:val="0"/>
    <w:pPr>
      <w:tabs>
        <w:tab w:val="left" w:pos="0"/>
        <w:tab w:val="left" w:pos="945"/>
      </w:tabs>
      <w:ind w:left="1139" w:hanging="419"/>
      <w:outlineLvl w:val="3"/>
    </w:pPr>
  </w:style>
  <w:style w:type="paragraph" w:customStyle="1" w:styleId="2422">
    <w:name w:val="edri-title third Char1"/>
    <w:basedOn w:val="1"/>
    <w:qFormat/>
    <w:uiPriority w:val="0"/>
    <w:pPr>
      <w:tabs>
        <w:tab w:val="left" w:pos="0"/>
        <w:tab w:val="left" w:pos="945"/>
      </w:tabs>
      <w:spacing w:beforeLines="50" w:line="300" w:lineRule="auto"/>
      <w:ind w:left="964" w:hanging="964"/>
      <w:outlineLvl w:val="2"/>
    </w:pPr>
    <w:rPr>
      <w:bCs/>
      <w:kern w:val="0"/>
      <w:sz w:val="24"/>
    </w:rPr>
  </w:style>
  <w:style w:type="paragraph" w:customStyle="1" w:styleId="2423">
    <w:name w:val="Char132"/>
    <w:basedOn w:val="1"/>
    <w:qFormat/>
    <w:uiPriority w:val="0"/>
    <w:pPr>
      <w:ind w:left="-48"/>
    </w:pPr>
  </w:style>
  <w:style w:type="paragraph" w:customStyle="1" w:styleId="2424">
    <w:name w:val="Char3110"/>
    <w:basedOn w:val="1"/>
    <w:qFormat/>
    <w:uiPriority w:val="0"/>
    <w:pPr>
      <w:ind w:left="-48"/>
    </w:pPr>
  </w:style>
  <w:style w:type="paragraph" w:customStyle="1" w:styleId="2425">
    <w:name w:val="Char613"/>
    <w:basedOn w:val="1"/>
    <w:qFormat/>
    <w:uiPriority w:val="0"/>
    <w:pPr>
      <w:adjustRightInd w:val="0"/>
      <w:snapToGrid w:val="0"/>
      <w:spacing w:beforeLines="50" w:line="360" w:lineRule="auto"/>
    </w:pPr>
    <w:rPr>
      <w:rFonts w:ascii="黑体" w:eastAsia="黑体"/>
      <w:sz w:val="32"/>
      <w:szCs w:val="32"/>
    </w:rPr>
  </w:style>
  <w:style w:type="paragraph" w:customStyle="1" w:styleId="2426">
    <w:name w:val="Char2210"/>
    <w:basedOn w:val="1"/>
    <w:qFormat/>
    <w:uiPriority w:val="0"/>
    <w:pPr>
      <w:adjustRightInd w:val="0"/>
      <w:snapToGrid w:val="0"/>
      <w:spacing w:beforeLines="50" w:line="360" w:lineRule="auto"/>
    </w:pPr>
    <w:rPr>
      <w:rFonts w:ascii="黑体" w:eastAsia="黑体"/>
      <w:sz w:val="32"/>
      <w:szCs w:val="32"/>
    </w:rPr>
  </w:style>
  <w:style w:type="paragraph" w:customStyle="1" w:styleId="2427">
    <w:name w:val="表内文字小121"/>
    <w:basedOn w:val="1"/>
    <w:qFormat/>
    <w:uiPriority w:val="0"/>
    <w:pPr>
      <w:adjustRightInd w:val="0"/>
      <w:snapToGrid w:val="0"/>
      <w:jc w:val="center"/>
    </w:pPr>
    <w:rPr>
      <w:rFonts w:ascii="宋体" w:hAnsi="Times"/>
      <w:szCs w:val="20"/>
    </w:rPr>
  </w:style>
  <w:style w:type="paragraph" w:customStyle="1" w:styleId="2428">
    <w:name w:val="Char221"/>
    <w:basedOn w:val="1"/>
    <w:qFormat/>
    <w:uiPriority w:val="0"/>
    <w:pPr>
      <w:adjustRightInd w:val="0"/>
      <w:snapToGrid w:val="0"/>
      <w:spacing w:beforeLines="50" w:line="360" w:lineRule="auto"/>
    </w:pPr>
    <w:rPr>
      <w:rFonts w:ascii="黑体" w:eastAsia="黑体"/>
      <w:sz w:val="32"/>
      <w:szCs w:val="32"/>
    </w:rPr>
  </w:style>
  <w:style w:type="paragraph" w:customStyle="1" w:styleId="2429">
    <w:name w:val="表题143"/>
    <w:basedOn w:val="21"/>
    <w:qFormat/>
    <w:uiPriority w:val="0"/>
    <w:pPr>
      <w:tabs>
        <w:tab w:val="clear" w:pos="7380"/>
      </w:tabs>
      <w:overflowPunct/>
      <w:spacing w:before="0" w:afterLines="0" w:line="360" w:lineRule="auto"/>
      <w:jc w:val="center"/>
    </w:pPr>
    <w:rPr>
      <w:rFonts w:ascii="黑体"/>
      <w:b/>
      <w:sz w:val="24"/>
      <w:szCs w:val="24"/>
    </w:rPr>
  </w:style>
  <w:style w:type="paragraph" w:customStyle="1" w:styleId="2430">
    <w:name w:val="Char63"/>
    <w:basedOn w:val="1"/>
    <w:qFormat/>
    <w:uiPriority w:val="0"/>
    <w:pPr>
      <w:adjustRightInd w:val="0"/>
      <w:snapToGrid w:val="0"/>
      <w:spacing w:beforeLines="50" w:line="360" w:lineRule="auto"/>
    </w:pPr>
    <w:rPr>
      <w:rFonts w:ascii="黑体" w:eastAsia="黑体"/>
      <w:sz w:val="32"/>
      <w:szCs w:val="32"/>
    </w:rPr>
  </w:style>
  <w:style w:type="paragraph" w:customStyle="1" w:styleId="2431">
    <w:name w:val="表内文字小312"/>
    <w:basedOn w:val="1"/>
    <w:qFormat/>
    <w:uiPriority w:val="0"/>
    <w:pPr>
      <w:adjustRightInd w:val="0"/>
      <w:snapToGrid w:val="0"/>
      <w:jc w:val="center"/>
    </w:pPr>
    <w:rPr>
      <w:rFonts w:ascii="宋体" w:hAnsi="Times" w:cs="宋体"/>
      <w:bCs/>
      <w:color w:val="003366"/>
      <w:szCs w:val="20"/>
    </w:rPr>
  </w:style>
  <w:style w:type="paragraph" w:customStyle="1" w:styleId="2432">
    <w:name w:val="表内文字小31213"/>
    <w:basedOn w:val="1"/>
    <w:qFormat/>
    <w:uiPriority w:val="0"/>
    <w:pPr>
      <w:adjustRightInd w:val="0"/>
      <w:snapToGrid w:val="0"/>
      <w:jc w:val="center"/>
    </w:pPr>
    <w:rPr>
      <w:rFonts w:ascii="宋体" w:hAnsi="Times" w:cs="宋体"/>
      <w:bCs/>
      <w:color w:val="003366"/>
      <w:szCs w:val="20"/>
    </w:rPr>
  </w:style>
  <w:style w:type="paragraph" w:customStyle="1" w:styleId="2433">
    <w:name w:val="谏壁chen表格内文字"/>
    <w:basedOn w:val="1"/>
    <w:link w:val="4078"/>
    <w:qFormat/>
    <w:uiPriority w:val="0"/>
    <w:pPr>
      <w:spacing w:line="0" w:lineRule="atLeast"/>
      <w:jc w:val="center"/>
    </w:pPr>
    <w:rPr>
      <w:szCs w:val="21"/>
    </w:rPr>
  </w:style>
  <w:style w:type="paragraph" w:customStyle="1" w:styleId="2434">
    <w:name w:val="Char Char Char1 Char Char Char1 Char Char Char"/>
    <w:basedOn w:val="1"/>
    <w:qFormat/>
    <w:uiPriority w:val="0"/>
    <w:pPr>
      <w:spacing w:line="240" w:lineRule="exact"/>
      <w:ind w:firstLine="200" w:firstLineChars="200"/>
    </w:pPr>
    <w:rPr>
      <w:sz w:val="28"/>
      <w:szCs w:val="28"/>
    </w:rPr>
  </w:style>
  <w:style w:type="paragraph" w:customStyle="1" w:styleId="2435">
    <w:name w:val="默认段落字体 Para Char53"/>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2436">
    <w:name w:val="文本框13"/>
    <w:basedOn w:val="1"/>
    <w:qFormat/>
    <w:uiPriority w:val="0"/>
    <w:pPr>
      <w:adjustRightInd w:val="0"/>
      <w:snapToGrid w:val="0"/>
      <w:spacing w:after="6"/>
      <w:jc w:val="center"/>
    </w:pPr>
    <w:rPr>
      <w:rFonts w:eastAsia="仿宋_GB2312"/>
    </w:rPr>
  </w:style>
  <w:style w:type="paragraph" w:customStyle="1" w:styleId="2437">
    <w:name w:val="表内宋5中122"/>
    <w:basedOn w:val="1"/>
    <w:qFormat/>
    <w:uiPriority w:val="0"/>
    <w:pPr>
      <w:adjustRightInd w:val="0"/>
      <w:snapToGrid w:val="0"/>
      <w:jc w:val="center"/>
      <w:textAlignment w:val="baseline"/>
    </w:pPr>
    <w:rPr>
      <w:rFonts w:ascii="宋体" w:hAnsi="宋体" w:cs="宋体"/>
      <w:kern w:val="0"/>
      <w:szCs w:val="20"/>
    </w:rPr>
  </w:style>
  <w:style w:type="paragraph" w:customStyle="1" w:styleId="2438">
    <w:name w:val="表内文字小213"/>
    <w:basedOn w:val="1"/>
    <w:qFormat/>
    <w:uiPriority w:val="0"/>
    <w:pPr>
      <w:adjustRightInd w:val="0"/>
      <w:snapToGrid w:val="0"/>
      <w:jc w:val="center"/>
      <w:textAlignment w:val="baseline"/>
    </w:pPr>
    <w:rPr>
      <w:rFonts w:ascii="宋体" w:hAnsi="Times"/>
      <w:bCs/>
      <w:color w:val="000000"/>
      <w:szCs w:val="20"/>
    </w:rPr>
  </w:style>
  <w:style w:type="paragraph" w:customStyle="1" w:styleId="2439">
    <w:name w:val="bg编号和名称"/>
    <w:basedOn w:val="2316"/>
    <w:qFormat/>
    <w:uiPriority w:val="0"/>
    <w:pPr>
      <w:spacing w:line="240" w:lineRule="auto"/>
      <w:ind w:firstLine="0"/>
      <w:jc w:val="center"/>
    </w:pPr>
    <w:rPr>
      <w:rFonts w:eastAsia="黑体"/>
      <w:sz w:val="21"/>
    </w:rPr>
  </w:style>
  <w:style w:type="paragraph" w:customStyle="1" w:styleId="2440">
    <w:name w:val="表内文字小313"/>
    <w:basedOn w:val="1"/>
    <w:qFormat/>
    <w:uiPriority w:val="0"/>
    <w:pPr>
      <w:adjustRightInd w:val="0"/>
      <w:snapToGrid w:val="0"/>
      <w:jc w:val="center"/>
    </w:pPr>
    <w:rPr>
      <w:rFonts w:ascii="宋体" w:hAnsi="Times" w:cs="宋体"/>
      <w:bCs/>
      <w:color w:val="003366"/>
      <w:szCs w:val="20"/>
    </w:rPr>
  </w:style>
  <w:style w:type="paragraph" w:customStyle="1" w:styleId="2441">
    <w:name w:val="样式 表格内字体 +11"/>
    <w:basedOn w:val="1875"/>
    <w:qFormat/>
    <w:uiPriority w:val="0"/>
    <w:pPr>
      <w:spacing w:line="280" w:lineRule="exact"/>
      <w:ind w:firstLine="36"/>
      <w:jc w:val="both"/>
    </w:pPr>
    <w:rPr>
      <w:szCs w:val="24"/>
    </w:rPr>
  </w:style>
  <w:style w:type="paragraph" w:customStyle="1" w:styleId="2442">
    <w:name w:val="初设正文"/>
    <w:basedOn w:val="1"/>
    <w:qFormat/>
    <w:uiPriority w:val="0"/>
    <w:pPr>
      <w:spacing w:after="120" w:line="440" w:lineRule="exact"/>
      <w:ind w:left="425" w:firstLine="425"/>
    </w:pPr>
    <w:rPr>
      <w:rFonts w:ascii="Arial" w:hAnsi="Arial" w:cs="宋体"/>
      <w:kern w:val="0"/>
      <w:sz w:val="24"/>
      <w:szCs w:val="20"/>
    </w:rPr>
  </w:style>
  <w:style w:type="paragraph" w:customStyle="1" w:styleId="2443">
    <w:name w:val="表内文字小3114"/>
    <w:basedOn w:val="1"/>
    <w:qFormat/>
    <w:uiPriority w:val="0"/>
    <w:pPr>
      <w:adjustRightInd w:val="0"/>
      <w:snapToGrid w:val="0"/>
      <w:jc w:val="center"/>
    </w:pPr>
    <w:rPr>
      <w:rFonts w:ascii="宋体" w:hAnsi="Times" w:cs="宋体"/>
      <w:bCs/>
      <w:color w:val="003366"/>
      <w:szCs w:val="20"/>
    </w:rPr>
  </w:style>
  <w:style w:type="paragraph" w:customStyle="1" w:styleId="2444">
    <w:name w:val="表内5中41"/>
    <w:basedOn w:val="1"/>
    <w:qFormat/>
    <w:uiPriority w:val="0"/>
    <w:pPr>
      <w:adjustRightInd w:val="0"/>
      <w:snapToGrid w:val="0"/>
      <w:jc w:val="center"/>
    </w:pPr>
    <w:rPr>
      <w:rFonts w:ascii="宋体"/>
      <w:bCs/>
      <w:szCs w:val="20"/>
    </w:rPr>
  </w:style>
  <w:style w:type="paragraph" w:customStyle="1" w:styleId="2445">
    <w:name w:val="正文 + 小四"/>
    <w:basedOn w:val="1"/>
    <w:qFormat/>
    <w:uiPriority w:val="0"/>
    <w:pPr>
      <w:pBdr>
        <w:top w:val="single" w:color="auto" w:sz="4" w:space="1"/>
      </w:pBdr>
      <w:spacing w:line="360" w:lineRule="auto"/>
      <w:ind w:firstLine="480" w:firstLineChars="200"/>
    </w:pPr>
    <w:rPr>
      <w:sz w:val="24"/>
    </w:rPr>
  </w:style>
  <w:style w:type="paragraph" w:customStyle="1" w:styleId="2446">
    <w:name w:val="样式 正文缩进文本条款表格标题正文（首行缩进两字） Char Char Char Char Char Char Char..."/>
    <w:basedOn w:val="20"/>
    <w:qFormat/>
    <w:uiPriority w:val="0"/>
    <w:pPr>
      <w:adjustRightInd w:val="0"/>
      <w:spacing w:line="480" w:lineRule="exact"/>
      <w:ind w:firstLine="560"/>
    </w:pPr>
    <w:rPr>
      <w:sz w:val="28"/>
    </w:rPr>
  </w:style>
  <w:style w:type="paragraph" w:customStyle="1" w:styleId="2447">
    <w:name w:val="表内宋511112"/>
    <w:basedOn w:val="80"/>
    <w:qFormat/>
    <w:uiPriority w:val="0"/>
    <w:pPr>
      <w:widowControl/>
      <w:adjustRightInd w:val="0"/>
      <w:snapToGrid w:val="0"/>
    </w:pPr>
    <w:rPr>
      <w:rFonts w:ascii="宋体" w:hAnsi="宋体" w:cs="宋体"/>
      <w:color w:val="000000"/>
      <w:sz w:val="21"/>
    </w:rPr>
  </w:style>
  <w:style w:type="paragraph" w:customStyle="1" w:styleId="2448">
    <w:name w:val="表题12"/>
    <w:basedOn w:val="21"/>
    <w:qFormat/>
    <w:uiPriority w:val="0"/>
    <w:pPr>
      <w:tabs>
        <w:tab w:val="clear" w:pos="7380"/>
      </w:tabs>
      <w:overflowPunct/>
      <w:spacing w:before="0" w:afterLines="0" w:line="360" w:lineRule="auto"/>
      <w:jc w:val="center"/>
    </w:pPr>
    <w:rPr>
      <w:rFonts w:ascii="黑体"/>
      <w:sz w:val="24"/>
      <w:szCs w:val="24"/>
    </w:rPr>
  </w:style>
  <w:style w:type="paragraph" w:customStyle="1" w:styleId="2449">
    <w:name w:val="样式44"/>
    <w:basedOn w:val="33"/>
    <w:qFormat/>
    <w:uiPriority w:val="0"/>
  </w:style>
  <w:style w:type="paragraph" w:customStyle="1" w:styleId="2450">
    <w:name w:val="标准12"/>
    <w:basedOn w:val="1"/>
    <w:qFormat/>
    <w:uiPriority w:val="0"/>
    <w:pPr>
      <w:adjustRightInd w:val="0"/>
      <w:spacing w:before="120" w:line="336" w:lineRule="auto"/>
      <w:jc w:val="center"/>
      <w:textAlignment w:val="baseline"/>
    </w:pPr>
    <w:rPr>
      <w:rFonts w:ascii="黑体" w:eastAsia="黑体"/>
      <w:szCs w:val="20"/>
    </w:rPr>
  </w:style>
  <w:style w:type="paragraph" w:customStyle="1" w:styleId="2451">
    <w:name w:val="正文格式103"/>
    <w:basedOn w:val="1"/>
    <w:qFormat/>
    <w:uiPriority w:val="0"/>
    <w:pPr>
      <w:spacing w:line="360" w:lineRule="auto"/>
      <w:ind w:firstLine="482"/>
    </w:pPr>
    <w:rPr>
      <w:rFonts w:ascii="宋体" w:hAnsi="宋体"/>
      <w:sz w:val="24"/>
    </w:rPr>
  </w:style>
  <w:style w:type="paragraph" w:customStyle="1" w:styleId="2452">
    <w:name w:val="表内文字小2121"/>
    <w:basedOn w:val="1"/>
    <w:qFormat/>
    <w:uiPriority w:val="0"/>
    <w:pPr>
      <w:adjustRightInd w:val="0"/>
      <w:snapToGrid w:val="0"/>
      <w:jc w:val="center"/>
    </w:pPr>
    <w:rPr>
      <w:rFonts w:ascii="宋体" w:hAnsi="Times"/>
      <w:bCs/>
      <w:color w:val="000000"/>
      <w:szCs w:val="20"/>
    </w:rPr>
  </w:style>
  <w:style w:type="paragraph" w:customStyle="1" w:styleId="2453">
    <w:name w:val="样式 表格内字体 +13"/>
    <w:basedOn w:val="1875"/>
    <w:qFormat/>
    <w:uiPriority w:val="0"/>
    <w:pPr>
      <w:spacing w:line="280" w:lineRule="exact"/>
      <w:ind w:firstLine="36"/>
      <w:jc w:val="both"/>
    </w:pPr>
    <w:rPr>
      <w:szCs w:val="24"/>
    </w:rPr>
  </w:style>
  <w:style w:type="paragraph" w:customStyle="1" w:styleId="2454">
    <w:name w:val="默认段落字体 Para Char33"/>
    <w:basedOn w:val="1"/>
    <w:qFormat/>
    <w:uiPriority w:val="0"/>
    <w:pPr>
      <w:spacing w:line="360" w:lineRule="auto"/>
      <w:ind w:firstLine="200" w:firstLineChars="200"/>
    </w:pPr>
    <w:rPr>
      <w:rFonts w:ascii="宋体" w:hAnsi="宋体" w:cs="宋体"/>
      <w:sz w:val="24"/>
    </w:rPr>
  </w:style>
  <w:style w:type="paragraph" w:customStyle="1" w:styleId="2455">
    <w:name w:val="表内文字小113"/>
    <w:basedOn w:val="1"/>
    <w:qFormat/>
    <w:uiPriority w:val="0"/>
    <w:pPr>
      <w:adjustRightInd w:val="0"/>
      <w:snapToGrid w:val="0"/>
    </w:pPr>
    <w:rPr>
      <w:rFonts w:ascii="宋体" w:hAnsi="Times" w:cs="宋体"/>
      <w:szCs w:val="20"/>
    </w:rPr>
  </w:style>
  <w:style w:type="paragraph" w:customStyle="1" w:styleId="2456">
    <w:name w:val="正文格式32"/>
    <w:basedOn w:val="1"/>
    <w:qFormat/>
    <w:uiPriority w:val="0"/>
    <w:pPr>
      <w:spacing w:line="360" w:lineRule="auto"/>
      <w:ind w:firstLine="482"/>
    </w:pPr>
    <w:rPr>
      <w:rFonts w:ascii="宋体" w:hAnsi="宋体"/>
      <w:sz w:val="24"/>
    </w:rPr>
  </w:style>
  <w:style w:type="paragraph" w:customStyle="1" w:styleId="2457">
    <w:name w:val="表题1513"/>
    <w:basedOn w:val="21"/>
    <w:qFormat/>
    <w:uiPriority w:val="0"/>
    <w:pPr>
      <w:tabs>
        <w:tab w:val="clear" w:pos="7380"/>
      </w:tabs>
      <w:overflowPunct/>
      <w:spacing w:before="0" w:afterLines="0" w:line="360" w:lineRule="auto"/>
      <w:jc w:val="center"/>
    </w:pPr>
    <w:rPr>
      <w:rFonts w:ascii="黑体"/>
      <w:b/>
      <w:sz w:val="24"/>
      <w:szCs w:val="24"/>
    </w:rPr>
  </w:style>
  <w:style w:type="paragraph" w:customStyle="1" w:styleId="2458">
    <w:name w:val="图标"/>
    <w:basedOn w:val="34"/>
    <w:qFormat/>
    <w:uiPriority w:val="0"/>
    <w:pPr>
      <w:pBdr>
        <w:top w:val="single" w:color="auto" w:sz="4" w:space="1"/>
      </w:pBdr>
      <w:spacing w:after="0" w:line="360" w:lineRule="auto"/>
      <w:ind w:left="0" w:leftChars="0" w:firstLine="561" w:firstLineChars="200"/>
      <w:jc w:val="center"/>
    </w:pPr>
    <w:rPr>
      <w:b/>
      <w:sz w:val="24"/>
    </w:rPr>
  </w:style>
  <w:style w:type="paragraph" w:customStyle="1" w:styleId="2459">
    <w:name w:val="正文格式73"/>
    <w:basedOn w:val="1"/>
    <w:qFormat/>
    <w:uiPriority w:val="0"/>
    <w:pPr>
      <w:spacing w:line="360" w:lineRule="auto"/>
      <w:ind w:firstLine="482"/>
    </w:pPr>
    <w:rPr>
      <w:rFonts w:ascii="宋体" w:hAnsi="宋体"/>
      <w:sz w:val="24"/>
    </w:rPr>
  </w:style>
  <w:style w:type="paragraph" w:customStyle="1" w:styleId="2460">
    <w:name w:val="表题1312"/>
    <w:basedOn w:val="21"/>
    <w:qFormat/>
    <w:uiPriority w:val="0"/>
    <w:pPr>
      <w:tabs>
        <w:tab w:val="clear" w:pos="7380"/>
      </w:tabs>
      <w:overflowPunct/>
      <w:spacing w:before="0" w:afterLines="0" w:line="360" w:lineRule="auto"/>
      <w:jc w:val="center"/>
    </w:pPr>
    <w:rPr>
      <w:rFonts w:ascii="黑体"/>
      <w:b/>
      <w:sz w:val="24"/>
      <w:szCs w:val="24"/>
    </w:rPr>
  </w:style>
  <w:style w:type="paragraph" w:customStyle="1" w:styleId="2461">
    <w:name w:val="表内文字小31111"/>
    <w:basedOn w:val="1"/>
    <w:qFormat/>
    <w:uiPriority w:val="0"/>
    <w:pPr>
      <w:adjustRightInd w:val="0"/>
      <w:snapToGrid w:val="0"/>
      <w:jc w:val="center"/>
    </w:pPr>
    <w:rPr>
      <w:rFonts w:ascii="宋体" w:hAnsi="Times" w:cs="宋体"/>
      <w:bCs/>
      <w:color w:val="003366"/>
      <w:szCs w:val="20"/>
    </w:rPr>
  </w:style>
  <w:style w:type="paragraph" w:customStyle="1" w:styleId="2462">
    <w:name w:val="Char122"/>
    <w:basedOn w:val="1"/>
    <w:qFormat/>
    <w:uiPriority w:val="0"/>
    <w:pPr>
      <w:adjustRightInd w:val="0"/>
      <w:snapToGrid w:val="0"/>
      <w:spacing w:line="360" w:lineRule="auto"/>
    </w:pPr>
  </w:style>
  <w:style w:type="paragraph" w:customStyle="1" w:styleId="2463">
    <w:name w:val="表42"/>
    <w:basedOn w:val="1"/>
    <w:qFormat/>
    <w:uiPriority w:val="0"/>
    <w:pPr>
      <w:adjustRightInd w:val="0"/>
      <w:snapToGrid w:val="0"/>
      <w:jc w:val="center"/>
    </w:pPr>
    <w:rPr>
      <w:rFonts w:eastAsia="仿宋_GB2312"/>
      <w:sz w:val="24"/>
    </w:rPr>
  </w:style>
  <w:style w:type="paragraph" w:customStyle="1" w:styleId="2464">
    <w:name w:val="表文字534"/>
    <w:basedOn w:val="1"/>
    <w:qFormat/>
    <w:uiPriority w:val="0"/>
    <w:pPr>
      <w:adjustRightInd w:val="0"/>
      <w:jc w:val="left"/>
      <w:textAlignment w:val="baseline"/>
    </w:pPr>
    <w:rPr>
      <w:rFonts w:ascii="宋体"/>
      <w:kern w:val="0"/>
      <w:szCs w:val="20"/>
    </w:rPr>
  </w:style>
  <w:style w:type="paragraph" w:customStyle="1" w:styleId="2465">
    <w:name w:val="表题1422"/>
    <w:basedOn w:val="21"/>
    <w:qFormat/>
    <w:uiPriority w:val="0"/>
    <w:pPr>
      <w:tabs>
        <w:tab w:val="clear" w:pos="7380"/>
      </w:tabs>
      <w:overflowPunct/>
      <w:spacing w:before="0" w:afterLines="0" w:line="360" w:lineRule="auto"/>
      <w:jc w:val="center"/>
    </w:pPr>
    <w:rPr>
      <w:rFonts w:ascii="黑体"/>
      <w:b/>
      <w:sz w:val="24"/>
      <w:szCs w:val="24"/>
    </w:rPr>
  </w:style>
  <w:style w:type="paragraph" w:customStyle="1" w:styleId="2466">
    <w:name w:val="样式表"/>
    <w:basedOn w:val="1"/>
    <w:qFormat/>
    <w:uiPriority w:val="0"/>
    <w:pPr>
      <w:snapToGrid w:val="0"/>
      <w:spacing w:before="60" w:after="60"/>
      <w:jc w:val="center"/>
    </w:pPr>
    <w:rPr>
      <w:rFonts w:ascii="宋体"/>
      <w:sz w:val="24"/>
      <w:szCs w:val="20"/>
    </w:rPr>
  </w:style>
  <w:style w:type="paragraph" w:customStyle="1" w:styleId="2467">
    <w:name w:val="23-47表名4"/>
    <w:basedOn w:val="1"/>
    <w:qFormat/>
    <w:uiPriority w:val="0"/>
    <w:pPr>
      <w:spacing w:afterLines="50" w:line="440" w:lineRule="exact"/>
      <w:jc w:val="center"/>
    </w:pPr>
    <w:rPr>
      <w:rFonts w:ascii="宋体" w:hAnsi="宋体"/>
      <w:b/>
      <w:sz w:val="24"/>
    </w:rPr>
  </w:style>
  <w:style w:type="paragraph" w:customStyle="1" w:styleId="2468">
    <w:name w:val="样式 表格内字体 +4"/>
    <w:basedOn w:val="1875"/>
    <w:qFormat/>
    <w:uiPriority w:val="0"/>
    <w:pPr>
      <w:spacing w:line="280" w:lineRule="exact"/>
      <w:ind w:firstLine="36"/>
      <w:jc w:val="both"/>
    </w:pPr>
    <w:rPr>
      <w:szCs w:val="24"/>
    </w:rPr>
  </w:style>
  <w:style w:type="paragraph" w:customStyle="1" w:styleId="2469">
    <w:name w:val="样式 (符号) 宋体 首行缩进:  0.99 厘米 行距: 固定值 25 磅1"/>
    <w:basedOn w:val="1"/>
    <w:qFormat/>
    <w:uiPriority w:val="0"/>
    <w:pPr>
      <w:spacing w:line="500" w:lineRule="exact"/>
      <w:ind w:firstLine="561"/>
    </w:pPr>
    <w:rPr>
      <w:rFonts w:hAnsi="宋体" w:cs="宋体"/>
      <w:spacing w:val="-2"/>
      <w:sz w:val="24"/>
      <w:szCs w:val="20"/>
    </w:rPr>
  </w:style>
  <w:style w:type="paragraph" w:customStyle="1" w:styleId="2470">
    <w:name w:val="表内文字小21111"/>
    <w:basedOn w:val="1"/>
    <w:qFormat/>
    <w:uiPriority w:val="0"/>
    <w:pPr>
      <w:adjustRightInd w:val="0"/>
      <w:snapToGrid w:val="0"/>
      <w:jc w:val="center"/>
    </w:pPr>
    <w:rPr>
      <w:rFonts w:ascii="宋体" w:hAnsi="Times"/>
      <w:bCs/>
      <w:color w:val="000000"/>
      <w:szCs w:val="20"/>
    </w:rPr>
  </w:style>
  <w:style w:type="paragraph" w:customStyle="1" w:styleId="2471">
    <w:name w:val="注释12"/>
    <w:basedOn w:val="184"/>
    <w:next w:val="33"/>
    <w:qFormat/>
    <w:uiPriority w:val="0"/>
    <w:pPr>
      <w:spacing w:before="120" w:after="120" w:line="240" w:lineRule="auto"/>
      <w:ind w:firstLine="200" w:firstLineChars="200"/>
    </w:pPr>
    <w:rPr>
      <w:sz w:val="21"/>
      <w:szCs w:val="20"/>
    </w:rPr>
  </w:style>
  <w:style w:type="paragraph" w:customStyle="1" w:styleId="2472">
    <w:name w:val="表文字5212"/>
    <w:basedOn w:val="1"/>
    <w:qFormat/>
    <w:uiPriority w:val="0"/>
    <w:pPr>
      <w:adjustRightInd w:val="0"/>
      <w:jc w:val="left"/>
      <w:textAlignment w:val="baseline"/>
    </w:pPr>
    <w:rPr>
      <w:rFonts w:ascii="宋体"/>
      <w:kern w:val="0"/>
      <w:szCs w:val="20"/>
    </w:rPr>
  </w:style>
  <w:style w:type="paragraph" w:customStyle="1" w:styleId="2473">
    <w:name w:val="表内文字小311"/>
    <w:basedOn w:val="1"/>
    <w:qFormat/>
    <w:uiPriority w:val="0"/>
    <w:pPr>
      <w:adjustRightInd w:val="0"/>
      <w:snapToGrid w:val="0"/>
      <w:jc w:val="center"/>
    </w:pPr>
    <w:rPr>
      <w:rFonts w:ascii="宋体" w:hAnsi="Times" w:cs="宋体"/>
      <w:bCs/>
      <w:color w:val="003366"/>
      <w:szCs w:val="20"/>
    </w:rPr>
  </w:style>
  <w:style w:type="paragraph" w:customStyle="1" w:styleId="2474">
    <w:name w:val="表题1112"/>
    <w:basedOn w:val="21"/>
    <w:qFormat/>
    <w:uiPriority w:val="0"/>
    <w:pPr>
      <w:tabs>
        <w:tab w:val="clear" w:pos="7380"/>
      </w:tabs>
      <w:overflowPunct/>
      <w:spacing w:before="0" w:afterLines="0" w:line="360" w:lineRule="auto"/>
      <w:jc w:val="center"/>
    </w:pPr>
    <w:rPr>
      <w:rFonts w:ascii="黑体"/>
      <w:sz w:val="24"/>
      <w:szCs w:val="24"/>
    </w:rPr>
  </w:style>
  <w:style w:type="paragraph" w:customStyle="1" w:styleId="2475">
    <w:name w:val="表内文字小31313"/>
    <w:basedOn w:val="1"/>
    <w:qFormat/>
    <w:uiPriority w:val="0"/>
    <w:pPr>
      <w:adjustRightInd w:val="0"/>
      <w:snapToGrid w:val="0"/>
      <w:jc w:val="center"/>
    </w:pPr>
    <w:rPr>
      <w:rFonts w:ascii="宋体" w:hAnsi="Times" w:cs="宋体"/>
      <w:bCs/>
      <w:color w:val="003366"/>
      <w:szCs w:val="20"/>
    </w:rPr>
  </w:style>
  <w:style w:type="paragraph" w:customStyle="1" w:styleId="2476">
    <w:name w:val="样式 标题 3 + 段前: 0.3 行"/>
    <w:basedOn w:val="4"/>
    <w:qFormat/>
    <w:uiPriority w:val="0"/>
    <w:pPr>
      <w:keepNext w:val="0"/>
      <w:tabs>
        <w:tab w:val="left" w:pos="233"/>
      </w:tabs>
      <w:spacing w:beforeLines="50" w:afterLines="50" w:line="440" w:lineRule="exact"/>
      <w:ind w:left="233" w:firstLine="493"/>
    </w:pPr>
    <w:rPr>
      <w:rFonts w:ascii="Arial" w:hAnsi="Arial"/>
      <w:bCs w:val="0"/>
      <w:spacing w:val="16"/>
      <w:w w:val="95"/>
      <w:kern w:val="0"/>
      <w:sz w:val="26"/>
      <w:szCs w:val="20"/>
    </w:rPr>
  </w:style>
  <w:style w:type="paragraph" w:customStyle="1" w:styleId="2477">
    <w:name w:val="Char Char Char1 Char Char Char1 Char Char Char1 Char Char Char Char"/>
    <w:basedOn w:val="1"/>
    <w:qFormat/>
    <w:uiPriority w:val="0"/>
    <w:pPr>
      <w:spacing w:line="240" w:lineRule="exact"/>
      <w:ind w:firstLine="200" w:firstLineChars="200"/>
    </w:pPr>
    <w:rPr>
      <w:sz w:val="28"/>
      <w:szCs w:val="28"/>
    </w:rPr>
  </w:style>
  <w:style w:type="paragraph" w:customStyle="1" w:styleId="2478">
    <w:name w:val="hhcwt正文 Char Char Char"/>
    <w:basedOn w:val="1"/>
    <w:qFormat/>
    <w:uiPriority w:val="0"/>
    <w:pPr>
      <w:spacing w:line="360" w:lineRule="auto"/>
      <w:ind w:firstLine="480" w:firstLineChars="200"/>
    </w:pPr>
    <w:rPr>
      <w:rFonts w:cs="宋体"/>
      <w:sz w:val="24"/>
      <w:szCs w:val="20"/>
    </w:rPr>
  </w:style>
  <w:style w:type="paragraph" w:customStyle="1" w:styleId="2479">
    <w:name w:val="edri-正文3"/>
    <w:basedOn w:val="1"/>
    <w:qFormat/>
    <w:uiPriority w:val="0"/>
    <w:pPr>
      <w:spacing w:beforeLines="50" w:line="300" w:lineRule="auto"/>
      <w:ind w:left="2205" w:leftChars="1050"/>
    </w:pPr>
    <w:rPr>
      <w:snapToGrid w:val="0"/>
      <w:sz w:val="24"/>
    </w:rPr>
  </w:style>
  <w:style w:type="paragraph" w:customStyle="1" w:styleId="2480">
    <w:name w:val="表文字57"/>
    <w:basedOn w:val="1"/>
    <w:qFormat/>
    <w:uiPriority w:val="0"/>
    <w:pPr>
      <w:adjustRightInd w:val="0"/>
      <w:jc w:val="left"/>
      <w:textAlignment w:val="baseline"/>
    </w:pPr>
    <w:rPr>
      <w:rFonts w:ascii="宋体"/>
      <w:kern w:val="0"/>
      <w:szCs w:val="20"/>
    </w:rPr>
  </w:style>
  <w:style w:type="paragraph" w:customStyle="1" w:styleId="2481">
    <w:name w:val="正文格式912"/>
    <w:basedOn w:val="1"/>
    <w:qFormat/>
    <w:uiPriority w:val="0"/>
    <w:pPr>
      <w:spacing w:line="360" w:lineRule="auto"/>
      <w:ind w:firstLine="482"/>
    </w:pPr>
    <w:rPr>
      <w:rFonts w:ascii="宋体" w:hAnsi="宋体"/>
      <w:sz w:val="24"/>
    </w:rPr>
  </w:style>
  <w:style w:type="paragraph" w:customStyle="1" w:styleId="2482">
    <w:name w:val="表内宋5中1111"/>
    <w:basedOn w:val="1"/>
    <w:qFormat/>
    <w:uiPriority w:val="0"/>
    <w:pPr>
      <w:adjustRightInd w:val="0"/>
      <w:snapToGrid w:val="0"/>
      <w:jc w:val="center"/>
      <w:textAlignment w:val="baseline"/>
    </w:pPr>
    <w:rPr>
      <w:rFonts w:ascii="宋体" w:hAnsi="宋体" w:cs="宋体"/>
      <w:kern w:val="0"/>
      <w:szCs w:val="20"/>
    </w:rPr>
  </w:style>
  <w:style w:type="paragraph" w:customStyle="1" w:styleId="2483">
    <w:name w:val="样式 样式 宋体 + 首行缩进:  2 字符113"/>
    <w:basedOn w:val="1"/>
    <w:qFormat/>
    <w:uiPriority w:val="0"/>
    <w:pPr>
      <w:spacing w:line="360" w:lineRule="auto"/>
      <w:ind w:firstLine="480" w:firstLineChars="200"/>
      <w:jc w:val="left"/>
    </w:pPr>
    <w:rPr>
      <w:rFonts w:ascii="宋体" w:cs="宋体"/>
      <w:sz w:val="24"/>
    </w:rPr>
  </w:style>
  <w:style w:type="paragraph" w:customStyle="1" w:styleId="2484">
    <w:name w:val="表内文字小33"/>
    <w:basedOn w:val="1"/>
    <w:qFormat/>
    <w:uiPriority w:val="0"/>
    <w:pPr>
      <w:adjustRightInd w:val="0"/>
      <w:snapToGrid w:val="0"/>
      <w:jc w:val="center"/>
    </w:pPr>
    <w:rPr>
      <w:rFonts w:ascii="宋体" w:hAnsi="Times"/>
      <w:szCs w:val="20"/>
    </w:rPr>
  </w:style>
  <w:style w:type="paragraph" w:customStyle="1" w:styleId="2485">
    <w:name w:val="文本框4"/>
    <w:basedOn w:val="1"/>
    <w:qFormat/>
    <w:uiPriority w:val="0"/>
    <w:pPr>
      <w:adjustRightInd w:val="0"/>
      <w:snapToGrid w:val="0"/>
      <w:spacing w:after="6"/>
      <w:jc w:val="center"/>
    </w:pPr>
    <w:rPr>
      <w:rFonts w:eastAsia="仿宋_GB2312"/>
    </w:rPr>
  </w:style>
  <w:style w:type="paragraph" w:customStyle="1" w:styleId="2486">
    <w:name w:val="表题1121"/>
    <w:basedOn w:val="21"/>
    <w:qFormat/>
    <w:uiPriority w:val="0"/>
    <w:pPr>
      <w:tabs>
        <w:tab w:val="clear" w:pos="7380"/>
      </w:tabs>
      <w:overflowPunct/>
      <w:spacing w:before="0" w:afterLines="0" w:line="360" w:lineRule="auto"/>
      <w:jc w:val="center"/>
    </w:pPr>
    <w:rPr>
      <w:rFonts w:ascii="黑体"/>
      <w:sz w:val="24"/>
      <w:szCs w:val="24"/>
    </w:rPr>
  </w:style>
  <w:style w:type="paragraph" w:customStyle="1" w:styleId="2487">
    <w:name w:val="表内512"/>
    <w:basedOn w:val="1"/>
    <w:qFormat/>
    <w:uiPriority w:val="0"/>
    <w:pPr>
      <w:adjustRightInd w:val="0"/>
      <w:snapToGrid w:val="0"/>
      <w:jc w:val="center"/>
    </w:pPr>
    <w:rPr>
      <w:rFonts w:ascii="宋体" w:hAnsi="宋体"/>
      <w:kern w:val="0"/>
      <w:sz w:val="20"/>
      <w:szCs w:val="20"/>
    </w:rPr>
  </w:style>
  <w:style w:type="paragraph" w:customStyle="1" w:styleId="2488">
    <w:name w:val="样式 +正文 + 宋体 小四 首行缩进:  2 字符 行距: 固定值 25 磅"/>
    <w:basedOn w:val="871"/>
    <w:qFormat/>
    <w:uiPriority w:val="0"/>
    <w:pPr>
      <w:spacing w:line="500" w:lineRule="exact"/>
      <w:ind w:firstLine="480"/>
    </w:pPr>
    <w:rPr>
      <w:rFonts w:ascii="宋体" w:cs="宋体"/>
      <w:sz w:val="24"/>
      <w:szCs w:val="20"/>
    </w:rPr>
  </w:style>
  <w:style w:type="paragraph" w:customStyle="1" w:styleId="2489">
    <w:name w:val="样式 标题 3小标题小节标题标题3H3h33rd level第二层条标题4 + 非加粗 左 段前: 6 磅..."/>
    <w:basedOn w:val="4"/>
    <w:qFormat/>
    <w:uiPriority w:val="0"/>
    <w:pPr>
      <w:tabs>
        <w:tab w:val="left" w:pos="233"/>
        <w:tab w:val="left" w:pos="993"/>
        <w:tab w:val="left" w:pos="1080"/>
      </w:tabs>
      <w:spacing w:before="0" w:after="0" w:line="360" w:lineRule="auto"/>
      <w:ind w:left="851" w:hanging="851"/>
    </w:pPr>
    <w:rPr>
      <w:rFonts w:ascii="Arial" w:hAnsi="Arial" w:cs="Arial"/>
      <w:b w:val="0"/>
      <w:color w:val="000000"/>
      <w:sz w:val="30"/>
      <w:szCs w:val="30"/>
    </w:rPr>
  </w:style>
  <w:style w:type="paragraph" w:customStyle="1" w:styleId="2490">
    <w:name w:val="样式 样式 题注 + 两端对齐 + 宋体"/>
    <w:basedOn w:val="1"/>
    <w:qFormat/>
    <w:uiPriority w:val="0"/>
    <w:pPr>
      <w:keepNext/>
      <w:spacing w:line="360" w:lineRule="auto"/>
      <w:jc w:val="center"/>
    </w:pPr>
    <w:rPr>
      <w:rFonts w:ascii="宋体" w:hAnsi="宋体"/>
      <w:snapToGrid w:val="0"/>
      <w:kern w:val="0"/>
      <w:sz w:val="28"/>
      <w:szCs w:val="20"/>
    </w:rPr>
  </w:style>
  <w:style w:type="paragraph" w:customStyle="1" w:styleId="2491">
    <w:name w:val="报告2"/>
    <w:basedOn w:val="237"/>
    <w:qFormat/>
    <w:uiPriority w:val="0"/>
    <w:pPr>
      <w:tabs>
        <w:tab w:val="left" w:pos="895"/>
      </w:tabs>
      <w:ind w:left="895" w:hanging="390"/>
    </w:pPr>
    <w:rPr>
      <w:rFonts w:ascii="Times New Roman" w:hAnsi="Times New Roman"/>
      <w:kern w:val="2"/>
      <w:szCs w:val="24"/>
    </w:rPr>
  </w:style>
  <w:style w:type="paragraph" w:customStyle="1" w:styleId="2492">
    <w:name w:val="表内文字小81"/>
    <w:basedOn w:val="1"/>
    <w:qFormat/>
    <w:uiPriority w:val="0"/>
    <w:pPr>
      <w:adjustRightInd w:val="0"/>
      <w:snapToGrid w:val="0"/>
      <w:jc w:val="center"/>
    </w:pPr>
    <w:rPr>
      <w:rFonts w:ascii="宋体" w:hAnsi="Times" w:cs="宋体"/>
      <w:szCs w:val="20"/>
    </w:rPr>
  </w:style>
  <w:style w:type="paragraph" w:customStyle="1" w:styleId="2493">
    <w:name w:val="文本框5"/>
    <w:basedOn w:val="1"/>
    <w:qFormat/>
    <w:uiPriority w:val="0"/>
    <w:pPr>
      <w:adjustRightInd w:val="0"/>
      <w:snapToGrid w:val="0"/>
      <w:spacing w:after="6"/>
      <w:jc w:val="center"/>
    </w:pPr>
    <w:rPr>
      <w:rFonts w:eastAsia="仿宋_GB2312"/>
    </w:rPr>
  </w:style>
  <w:style w:type="paragraph" w:customStyle="1" w:styleId="2494">
    <w:name w:val="电镀正文"/>
    <w:basedOn w:val="20"/>
    <w:qFormat/>
    <w:uiPriority w:val="0"/>
    <w:pPr>
      <w:spacing w:line="312" w:lineRule="auto"/>
      <w:ind w:firstLine="200"/>
    </w:pPr>
    <w:rPr>
      <w:rFonts w:ascii="宋体" w:hAnsi="宋体"/>
      <w:sz w:val="24"/>
    </w:rPr>
  </w:style>
  <w:style w:type="paragraph" w:customStyle="1" w:styleId="2495">
    <w:name w:val="表题18"/>
    <w:basedOn w:val="21"/>
    <w:qFormat/>
    <w:uiPriority w:val="0"/>
    <w:pPr>
      <w:tabs>
        <w:tab w:val="clear" w:pos="7380"/>
      </w:tabs>
      <w:overflowPunct/>
      <w:spacing w:before="0" w:afterLines="0" w:line="360" w:lineRule="auto"/>
      <w:jc w:val="center"/>
    </w:pPr>
    <w:rPr>
      <w:rFonts w:ascii="黑体"/>
      <w:b/>
      <w:sz w:val="24"/>
      <w:szCs w:val="24"/>
    </w:rPr>
  </w:style>
  <w:style w:type="paragraph" w:customStyle="1" w:styleId="2496">
    <w:name w:val="Char4 Char Char"/>
    <w:basedOn w:val="1"/>
    <w:qFormat/>
    <w:uiPriority w:val="0"/>
    <w:pPr>
      <w:spacing w:line="240" w:lineRule="exact"/>
      <w:ind w:firstLine="200" w:firstLineChars="200"/>
    </w:pPr>
    <w:rPr>
      <w:sz w:val="28"/>
      <w:szCs w:val="28"/>
    </w:rPr>
  </w:style>
  <w:style w:type="paragraph" w:customStyle="1" w:styleId="2497">
    <w:name w:val="表内文字小214"/>
    <w:basedOn w:val="1"/>
    <w:qFormat/>
    <w:uiPriority w:val="0"/>
    <w:pPr>
      <w:adjustRightInd w:val="0"/>
      <w:snapToGrid w:val="0"/>
      <w:jc w:val="center"/>
    </w:pPr>
    <w:rPr>
      <w:rFonts w:ascii="宋体" w:hAnsi="Times"/>
      <w:bCs/>
      <w:color w:val="000000"/>
      <w:szCs w:val="20"/>
    </w:rPr>
  </w:style>
  <w:style w:type="paragraph" w:customStyle="1" w:styleId="2498">
    <w:name w:val="样式 样式 宋体 + 首行缩进:  2 字符111"/>
    <w:basedOn w:val="1"/>
    <w:qFormat/>
    <w:uiPriority w:val="0"/>
    <w:pPr>
      <w:spacing w:line="360" w:lineRule="auto"/>
      <w:ind w:firstLine="480" w:firstLineChars="200"/>
      <w:jc w:val="left"/>
    </w:pPr>
    <w:rPr>
      <w:rFonts w:ascii="宋体" w:cs="宋体"/>
      <w:sz w:val="24"/>
    </w:rPr>
  </w:style>
  <w:style w:type="paragraph" w:customStyle="1" w:styleId="2499">
    <w:name w:val="表文字51111"/>
    <w:basedOn w:val="1"/>
    <w:qFormat/>
    <w:uiPriority w:val="0"/>
    <w:pPr>
      <w:adjustRightInd w:val="0"/>
      <w:jc w:val="left"/>
      <w:textAlignment w:val="baseline"/>
    </w:pPr>
    <w:rPr>
      <w:rFonts w:ascii="宋体"/>
      <w:kern w:val="0"/>
      <w:szCs w:val="20"/>
    </w:rPr>
  </w:style>
  <w:style w:type="paragraph" w:customStyle="1" w:styleId="2500">
    <w:name w:val="表内5中6"/>
    <w:basedOn w:val="1"/>
    <w:qFormat/>
    <w:uiPriority w:val="0"/>
    <w:pPr>
      <w:adjustRightInd w:val="0"/>
      <w:snapToGrid w:val="0"/>
      <w:jc w:val="center"/>
    </w:pPr>
    <w:rPr>
      <w:rFonts w:ascii="宋体" w:hAnsi="宋体" w:cs="Arial"/>
      <w:snapToGrid w:val="0"/>
      <w:color w:val="000000"/>
      <w:szCs w:val="21"/>
    </w:rPr>
  </w:style>
  <w:style w:type="paragraph" w:customStyle="1" w:styleId="2501">
    <w:name w:val="样式 样式 宋体 + 首行缩进:  2 字符13"/>
    <w:basedOn w:val="1"/>
    <w:qFormat/>
    <w:uiPriority w:val="0"/>
    <w:pPr>
      <w:spacing w:line="360" w:lineRule="auto"/>
      <w:ind w:firstLine="480" w:firstLineChars="200"/>
      <w:jc w:val="left"/>
    </w:pPr>
    <w:rPr>
      <w:rFonts w:ascii="宋体" w:cs="宋体"/>
      <w:sz w:val="24"/>
    </w:rPr>
  </w:style>
  <w:style w:type="paragraph" w:customStyle="1" w:styleId="2502">
    <w:name w:val="样式 样式 标题 1 + 华文中宋 居中 段前: 12 磅 段后: 12 磅 行距: 多倍行距 1.4 字行 + 首行缩进:  ..."/>
    <w:basedOn w:val="1"/>
    <w:qFormat/>
    <w:uiPriority w:val="0"/>
    <w:pPr>
      <w:keepLines/>
      <w:pageBreakBefore/>
      <w:tabs>
        <w:tab w:val="left" w:pos="1155"/>
        <w:tab w:val="left" w:pos="2040"/>
      </w:tabs>
      <w:spacing w:before="240" w:after="240" w:line="360" w:lineRule="auto"/>
      <w:ind w:left="1155" w:leftChars="800" w:hanging="432" w:hangingChars="200"/>
      <w:jc w:val="center"/>
      <w:outlineLvl w:val="0"/>
    </w:pPr>
    <w:rPr>
      <w:rFonts w:ascii="华文中宋" w:hAnsi="华文中宋" w:eastAsia="楷体_GB2312"/>
      <w:b/>
      <w:bCs/>
      <w:kern w:val="44"/>
      <w:sz w:val="36"/>
      <w:szCs w:val="20"/>
    </w:rPr>
  </w:style>
  <w:style w:type="paragraph" w:customStyle="1" w:styleId="2503">
    <w:name w:val="表题1111"/>
    <w:basedOn w:val="21"/>
    <w:qFormat/>
    <w:uiPriority w:val="0"/>
    <w:pPr>
      <w:tabs>
        <w:tab w:val="clear" w:pos="7380"/>
      </w:tabs>
      <w:overflowPunct/>
      <w:spacing w:before="0" w:afterLines="0" w:line="360" w:lineRule="auto"/>
      <w:jc w:val="center"/>
    </w:pPr>
    <w:rPr>
      <w:rFonts w:ascii="黑体"/>
      <w:sz w:val="24"/>
      <w:szCs w:val="24"/>
    </w:rPr>
  </w:style>
  <w:style w:type="paragraph" w:customStyle="1" w:styleId="2504">
    <w:name w:val="Char Char Char Char Char Char Char411"/>
    <w:basedOn w:val="1"/>
    <w:qFormat/>
    <w:uiPriority w:val="0"/>
  </w:style>
  <w:style w:type="paragraph" w:customStyle="1" w:styleId="2505">
    <w:name w:val="表内宋51"/>
    <w:basedOn w:val="2133"/>
    <w:qFormat/>
    <w:uiPriority w:val="0"/>
    <w:pPr>
      <w:widowControl/>
      <w:autoSpaceDE w:val="0"/>
      <w:autoSpaceDN w:val="0"/>
      <w:jc w:val="left"/>
      <w:textAlignment w:val="auto"/>
    </w:pPr>
    <w:rPr>
      <w:color w:val="auto"/>
      <w:w w:val="90"/>
    </w:rPr>
  </w:style>
  <w:style w:type="paragraph" w:customStyle="1" w:styleId="2506">
    <w:name w:val="图题34"/>
    <w:basedOn w:val="184"/>
    <w:next w:val="184"/>
    <w:qFormat/>
    <w:uiPriority w:val="0"/>
    <w:pPr>
      <w:ind w:firstLine="0"/>
      <w:jc w:val="center"/>
    </w:pPr>
    <w:rPr>
      <w:rFonts w:ascii="黑体" w:hAnsi="宋体" w:eastAsia="黑体"/>
      <w:b/>
      <w:bCs/>
    </w:rPr>
  </w:style>
  <w:style w:type="paragraph" w:customStyle="1" w:styleId="2507">
    <w:name w:val="正文修改312"/>
    <w:basedOn w:val="1161"/>
    <w:qFormat/>
    <w:uiPriority w:val="0"/>
    <w:rPr>
      <w:rFonts w:hAnsi="宋体"/>
      <w:color w:val="000000"/>
    </w:rPr>
  </w:style>
  <w:style w:type="paragraph" w:customStyle="1" w:styleId="2508">
    <w:name w:val="标题41112"/>
    <w:basedOn w:val="1"/>
    <w:qFormat/>
    <w:uiPriority w:val="0"/>
    <w:pPr>
      <w:adjustRightInd w:val="0"/>
      <w:snapToGrid w:val="0"/>
      <w:spacing w:line="300" w:lineRule="auto"/>
      <w:jc w:val="left"/>
    </w:pPr>
    <w:rPr>
      <w:rFonts w:ascii="黑体" w:hAnsi="宋体" w:eastAsia="黑体" w:cs="宋体"/>
      <w:bCs/>
      <w:sz w:val="24"/>
      <w:szCs w:val="20"/>
    </w:rPr>
  </w:style>
  <w:style w:type="paragraph" w:customStyle="1" w:styleId="2509">
    <w:name w:val="正文格式＝10"/>
    <w:basedOn w:val="184"/>
    <w:next w:val="184"/>
    <w:qFormat/>
    <w:uiPriority w:val="0"/>
    <w:rPr>
      <w:rFonts w:hAnsi="宋体"/>
    </w:rPr>
  </w:style>
  <w:style w:type="paragraph" w:customStyle="1" w:styleId="2510">
    <w:name w:val="样式 表格文字 + 居中"/>
    <w:basedOn w:val="119"/>
    <w:qFormat/>
    <w:uiPriority w:val="0"/>
    <w:pPr>
      <w:tabs>
        <w:tab w:val="clear" w:pos="4153"/>
        <w:tab w:val="clear" w:pos="8306"/>
      </w:tabs>
      <w:adjustRightInd/>
      <w:snapToGrid/>
      <w:spacing w:line="400" w:lineRule="exact"/>
      <w:ind w:firstLine="0" w:firstLineChars="0"/>
      <w:jc w:val="center"/>
    </w:pPr>
    <w:rPr>
      <w:rFonts w:eastAsia="宋体" w:cs="宋体"/>
      <w:color w:val="0000CC"/>
      <w:szCs w:val="20"/>
    </w:rPr>
  </w:style>
  <w:style w:type="paragraph" w:customStyle="1" w:styleId="2511">
    <w:name w:val="样式 表格内字体1 +1"/>
    <w:basedOn w:val="2079"/>
    <w:next w:val="1875"/>
    <w:qFormat/>
    <w:uiPriority w:val="0"/>
    <w:rPr>
      <w:rFonts w:hAnsi="Times New Roman"/>
      <w:szCs w:val="20"/>
    </w:rPr>
  </w:style>
  <w:style w:type="paragraph" w:customStyle="1" w:styleId="2512">
    <w:name w:val="正文修改212"/>
    <w:basedOn w:val="1161"/>
    <w:qFormat/>
    <w:uiPriority w:val="0"/>
    <w:rPr>
      <w:rFonts w:hAnsi="宋体"/>
      <w:color w:val="000000"/>
    </w:rPr>
  </w:style>
  <w:style w:type="paragraph" w:customStyle="1" w:styleId="2513">
    <w:name w:val="表中文字41"/>
    <w:basedOn w:val="1"/>
    <w:qFormat/>
    <w:uiPriority w:val="0"/>
    <w:pPr>
      <w:snapToGrid w:val="0"/>
      <w:spacing w:line="340" w:lineRule="exact"/>
      <w:ind w:firstLine="480" w:firstLineChars="200"/>
      <w:jc w:val="center"/>
    </w:pPr>
    <w:rPr>
      <w:rFonts w:ascii="Arial" w:hAnsi="Arial"/>
      <w:kern w:val="0"/>
      <w:sz w:val="20"/>
      <w:lang w:eastAsia="zh-TW"/>
    </w:rPr>
  </w:style>
  <w:style w:type="paragraph" w:customStyle="1" w:styleId="2514">
    <w:name w:val="正文修改113"/>
    <w:basedOn w:val="1161"/>
    <w:qFormat/>
    <w:uiPriority w:val="0"/>
    <w:rPr>
      <w:rFonts w:hAnsi="宋体"/>
      <w:color w:val="000000"/>
    </w:rPr>
  </w:style>
  <w:style w:type="paragraph" w:customStyle="1" w:styleId="2515">
    <w:name w:val="Char Char Char Char1 Char Char Char9"/>
    <w:basedOn w:val="1"/>
    <w:qFormat/>
    <w:uiPriority w:val="0"/>
    <w:pPr>
      <w:widowControl/>
      <w:spacing w:after="160" w:line="240" w:lineRule="exact"/>
      <w:jc w:val="left"/>
    </w:pPr>
    <w:rPr>
      <w:rFonts w:ascii="Verdana" w:hAnsi="Verdana"/>
      <w:kern w:val="0"/>
      <w:sz w:val="20"/>
      <w:szCs w:val="20"/>
      <w:lang w:eastAsia="en-US"/>
    </w:rPr>
  </w:style>
  <w:style w:type="paragraph" w:customStyle="1" w:styleId="2516">
    <w:name w:val="表内5314"/>
    <w:basedOn w:val="1"/>
    <w:qFormat/>
    <w:uiPriority w:val="0"/>
    <w:pPr>
      <w:adjustRightInd w:val="0"/>
      <w:snapToGrid w:val="0"/>
      <w:spacing w:line="300" w:lineRule="auto"/>
      <w:jc w:val="left"/>
    </w:pPr>
    <w:rPr>
      <w:rFonts w:ascii="宋体"/>
      <w:szCs w:val="20"/>
    </w:rPr>
  </w:style>
  <w:style w:type="paragraph" w:customStyle="1" w:styleId="2517">
    <w:name w:val="表题414"/>
    <w:basedOn w:val="34"/>
    <w:qFormat/>
    <w:uiPriority w:val="0"/>
    <w:pPr>
      <w:tabs>
        <w:tab w:val="left" w:pos="4305"/>
      </w:tabs>
      <w:adjustRightInd w:val="0"/>
      <w:snapToGrid w:val="0"/>
      <w:spacing w:after="0"/>
      <w:ind w:left="0" w:leftChars="0"/>
      <w:jc w:val="center"/>
    </w:pPr>
    <w:rPr>
      <w:rFonts w:ascii="宋体" w:hAnsi="宋体" w:cs="宋体"/>
      <w:color w:val="000000"/>
      <w:sz w:val="24"/>
    </w:rPr>
  </w:style>
  <w:style w:type="paragraph" w:customStyle="1" w:styleId="2518">
    <w:name w:val="Char49"/>
    <w:basedOn w:val="1"/>
    <w:qFormat/>
    <w:uiPriority w:val="0"/>
    <w:pPr>
      <w:ind w:left="-48"/>
    </w:pPr>
  </w:style>
  <w:style w:type="paragraph" w:customStyle="1" w:styleId="2519">
    <w:name w:val="默认段落字体 Para Char Char Char Char1"/>
    <w:basedOn w:val="1"/>
    <w:qFormat/>
    <w:uiPriority w:val="0"/>
  </w:style>
  <w:style w:type="paragraph" w:customStyle="1" w:styleId="2520">
    <w:name w:val="Char2111"/>
    <w:basedOn w:val="1"/>
    <w:qFormat/>
    <w:uiPriority w:val="0"/>
    <w:pPr>
      <w:ind w:left="-48"/>
    </w:pPr>
  </w:style>
  <w:style w:type="paragraph" w:customStyle="1" w:styleId="2521">
    <w:name w:val="c2"/>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2522">
    <w:name w:val="燕山正文1134"/>
    <w:basedOn w:val="1"/>
    <w:qFormat/>
    <w:uiPriority w:val="0"/>
    <w:pPr>
      <w:tabs>
        <w:tab w:val="left" w:pos="4680"/>
      </w:tabs>
      <w:adjustRightInd w:val="0"/>
      <w:snapToGrid w:val="0"/>
      <w:spacing w:line="360" w:lineRule="auto"/>
      <w:ind w:firstLine="480" w:firstLineChars="200"/>
    </w:pPr>
    <w:rPr>
      <w:rFonts w:ascii="宋体" w:hAnsi="宋体" w:cs="宋体"/>
      <w:bCs/>
      <w:snapToGrid w:val="0"/>
      <w:color w:val="000000"/>
      <w:kern w:val="0"/>
      <w:sz w:val="24"/>
    </w:rPr>
  </w:style>
  <w:style w:type="paragraph" w:customStyle="1" w:styleId="2523">
    <w:name w:val="Char Char2 Char Char Char Char29"/>
    <w:basedOn w:val="1"/>
    <w:qFormat/>
    <w:uiPriority w:val="0"/>
  </w:style>
  <w:style w:type="paragraph" w:customStyle="1" w:styleId="2524">
    <w:name w:val="样式 标题 4四 + Times New Roman 段前: 0 磅 段后: 0 磅 行距: 1.5 倍行距2"/>
    <w:basedOn w:val="5"/>
    <w:qFormat/>
    <w:uiPriority w:val="0"/>
    <w:pPr>
      <w:tabs>
        <w:tab w:val="left" w:pos="360"/>
        <w:tab w:val="left" w:pos="864"/>
      </w:tabs>
      <w:spacing w:line="360" w:lineRule="auto"/>
      <w:ind w:left="864" w:hanging="864"/>
    </w:pPr>
    <w:rPr>
      <w:rFonts w:hAnsi="Times New Roman"/>
      <w:b/>
      <w:sz w:val="30"/>
      <w:szCs w:val="36"/>
    </w:rPr>
  </w:style>
  <w:style w:type="paragraph" w:customStyle="1" w:styleId="2525">
    <w:name w:val="表格内字体32"/>
    <w:basedOn w:val="184"/>
    <w:next w:val="184"/>
    <w:qFormat/>
    <w:uiPriority w:val="0"/>
    <w:pPr>
      <w:spacing w:line="240" w:lineRule="auto"/>
      <w:ind w:firstLine="0"/>
      <w:jc w:val="center"/>
    </w:pPr>
    <w:rPr>
      <w:rFonts w:hAnsi="宋体"/>
      <w:sz w:val="21"/>
    </w:rPr>
  </w:style>
  <w:style w:type="paragraph" w:customStyle="1" w:styleId="2526">
    <w:name w:val="燕山正文11312"/>
    <w:basedOn w:val="1"/>
    <w:qFormat/>
    <w:uiPriority w:val="0"/>
    <w:pPr>
      <w:tabs>
        <w:tab w:val="left" w:pos="4680"/>
      </w:tabs>
      <w:adjustRightInd w:val="0"/>
      <w:snapToGrid w:val="0"/>
      <w:spacing w:line="360" w:lineRule="auto"/>
      <w:ind w:firstLine="480" w:firstLineChars="200"/>
    </w:pPr>
    <w:rPr>
      <w:rFonts w:ascii="宋体" w:hAnsi="宋体" w:cs="宋体"/>
      <w:bCs/>
      <w:snapToGrid w:val="0"/>
      <w:color w:val="000000"/>
      <w:kern w:val="0"/>
      <w:sz w:val="24"/>
    </w:rPr>
  </w:style>
  <w:style w:type="paragraph" w:customStyle="1" w:styleId="2527">
    <w:name w:val="燕山正文11211"/>
    <w:basedOn w:val="1"/>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2528">
    <w:name w:val="表格标题7"/>
    <w:basedOn w:val="77"/>
    <w:qFormat/>
    <w:uiPriority w:val="0"/>
    <w:pPr>
      <w:pBdr>
        <w:top w:val="single" w:color="auto" w:sz="4" w:space="1"/>
      </w:pBdr>
      <w:tabs>
        <w:tab w:val="left" w:pos="0"/>
      </w:tabs>
      <w:adjustRightInd w:val="0"/>
      <w:spacing w:before="0" w:after="0" w:line="360" w:lineRule="auto"/>
      <w:ind w:left="0" w:firstLine="0"/>
      <w:jc w:val="center"/>
      <w:textAlignment w:val="baseline"/>
    </w:pPr>
    <w:rPr>
      <w:rFonts w:ascii="Times New Roman" w:hAnsi="Times New Roman" w:eastAsia="宋体"/>
      <w:b/>
    </w:rPr>
  </w:style>
  <w:style w:type="paragraph" w:customStyle="1" w:styleId="2529">
    <w:name w:val="样式 报告 + Times New Roman Char Char Char Char Char Char Char Char Char Char"/>
    <w:basedOn w:val="237"/>
    <w:qFormat/>
    <w:uiPriority w:val="0"/>
    <w:pPr>
      <w:spacing w:line="500" w:lineRule="exact"/>
    </w:pPr>
    <w:rPr>
      <w:rFonts w:ascii="Times New Roman" w:hAnsi="Times New Roman"/>
      <w:kern w:val="2"/>
      <w:sz w:val="28"/>
      <w:szCs w:val="28"/>
    </w:rPr>
  </w:style>
  <w:style w:type="paragraph" w:customStyle="1" w:styleId="2530">
    <w:name w:val="B"/>
    <w:basedOn w:val="65"/>
    <w:qFormat/>
    <w:uiPriority w:val="0"/>
    <w:pPr>
      <w:spacing w:beforeLines="20" w:afterLines="20" w:line="240" w:lineRule="auto"/>
    </w:pPr>
    <w:rPr>
      <w:rFonts w:ascii="Times New Roman" w:eastAsia="宋体"/>
      <w:kern w:val="0"/>
      <w:sz w:val="21"/>
      <w:szCs w:val="21"/>
    </w:rPr>
  </w:style>
  <w:style w:type="paragraph" w:customStyle="1" w:styleId="2531">
    <w:name w:val="样式 样式 宋体 小四 行距: 1.5 倍行距 + 首行缩进:  2 字符 段前: 7.8 磅 段后: 7.8 磅"/>
    <w:basedOn w:val="1"/>
    <w:qFormat/>
    <w:uiPriority w:val="0"/>
    <w:pPr>
      <w:snapToGrid w:val="0"/>
      <w:spacing w:beforeLines="50" w:afterLines="50" w:line="360" w:lineRule="auto"/>
      <w:ind w:firstLine="200" w:firstLineChars="200"/>
      <w:jc w:val="left"/>
    </w:pPr>
    <w:rPr>
      <w:rFonts w:ascii="宋体" w:hAnsi="宋体"/>
      <w:sz w:val="24"/>
      <w:szCs w:val="20"/>
    </w:rPr>
  </w:style>
  <w:style w:type="paragraph" w:customStyle="1" w:styleId="2532">
    <w:name w:val="图题51"/>
    <w:basedOn w:val="184"/>
    <w:next w:val="184"/>
    <w:qFormat/>
    <w:uiPriority w:val="0"/>
    <w:pPr>
      <w:ind w:firstLine="0"/>
      <w:jc w:val="center"/>
    </w:pPr>
    <w:rPr>
      <w:rFonts w:ascii="黑体" w:hAnsi="宋体" w:eastAsia="黑体"/>
      <w:b/>
      <w:bCs/>
    </w:rPr>
  </w:style>
  <w:style w:type="paragraph" w:customStyle="1" w:styleId="2533">
    <w:name w:val="默认段落字体 Para Char Char Char Char24"/>
    <w:basedOn w:val="1"/>
    <w:qFormat/>
    <w:uiPriority w:val="0"/>
  </w:style>
  <w:style w:type="paragraph" w:customStyle="1" w:styleId="2534">
    <w:name w:val="Char74"/>
    <w:basedOn w:val="1"/>
    <w:qFormat/>
    <w:uiPriority w:val="0"/>
    <w:pPr>
      <w:ind w:left="-48"/>
    </w:pPr>
  </w:style>
  <w:style w:type="paragraph" w:customStyle="1" w:styleId="2535">
    <w:name w:val="附件313"/>
    <w:basedOn w:val="2"/>
    <w:next w:val="184"/>
    <w:qFormat/>
    <w:uiPriority w:val="0"/>
    <w:pPr>
      <w:tabs>
        <w:tab w:val="left" w:pos="1566"/>
        <w:tab w:val="left" w:pos="2040"/>
      </w:tabs>
      <w:adjustRightInd w:val="0"/>
      <w:snapToGrid w:val="0"/>
      <w:spacing w:before="0" w:after="120" w:line="360" w:lineRule="auto"/>
      <w:ind w:left="2040" w:leftChars="800" w:hanging="360" w:hangingChars="200"/>
      <w:jc w:val="left"/>
    </w:pPr>
    <w:rPr>
      <w:rFonts w:ascii="黑体" w:hAnsi="宋体" w:eastAsia="黑体"/>
      <w:b w:val="0"/>
      <w:sz w:val="32"/>
      <w:szCs w:val="32"/>
    </w:rPr>
  </w:style>
  <w:style w:type="paragraph" w:customStyle="1" w:styleId="2536">
    <w:name w:val="表中文字111"/>
    <w:basedOn w:val="1"/>
    <w:qFormat/>
    <w:uiPriority w:val="0"/>
    <w:pPr>
      <w:widowControl/>
      <w:spacing w:line="240" w:lineRule="atLeast"/>
      <w:ind w:left="-24" w:leftChars="-10" w:right="-48" w:rightChars="-20"/>
      <w:jc w:val="center"/>
    </w:pPr>
    <w:rPr>
      <w:rFonts w:ascii="宋体"/>
      <w:kern w:val="0"/>
      <w:szCs w:val="21"/>
    </w:rPr>
  </w:style>
  <w:style w:type="paragraph" w:customStyle="1" w:styleId="2537">
    <w:name w:val="wtext"/>
    <w:basedOn w:val="1"/>
    <w:qFormat/>
    <w:uiPriority w:val="0"/>
    <w:pPr>
      <w:widowControl/>
      <w:spacing w:before="100" w:beforeAutospacing="1" w:after="100" w:afterAutospacing="1"/>
      <w:ind w:firstLine="480"/>
      <w:jc w:val="left"/>
    </w:pPr>
    <w:rPr>
      <w:rFonts w:eastAsia="Arial Unicode MS" w:cs="Arial Unicode MS"/>
      <w:color w:val="000000"/>
      <w:kern w:val="0"/>
      <w:sz w:val="22"/>
      <w:szCs w:val="22"/>
    </w:rPr>
  </w:style>
  <w:style w:type="paragraph" w:customStyle="1" w:styleId="2538">
    <w:name w:val="图题412"/>
    <w:basedOn w:val="184"/>
    <w:next w:val="184"/>
    <w:qFormat/>
    <w:uiPriority w:val="0"/>
    <w:pPr>
      <w:ind w:firstLine="0"/>
      <w:jc w:val="center"/>
    </w:pPr>
    <w:rPr>
      <w:rFonts w:ascii="黑体" w:hAnsi="宋体" w:eastAsia="黑体"/>
      <w:b/>
      <w:bCs/>
    </w:rPr>
  </w:style>
  <w:style w:type="paragraph" w:customStyle="1" w:styleId="2539">
    <w:name w:val="正文修改23"/>
    <w:basedOn w:val="1161"/>
    <w:qFormat/>
    <w:uiPriority w:val="0"/>
    <w:rPr>
      <w:rFonts w:hAnsi="宋体"/>
      <w:color w:val="000000"/>
    </w:rPr>
  </w:style>
  <w:style w:type="paragraph" w:customStyle="1" w:styleId="2540">
    <w:name w:val="正文格式＝53"/>
    <w:basedOn w:val="184"/>
    <w:next w:val="184"/>
    <w:qFormat/>
    <w:uiPriority w:val="0"/>
    <w:rPr>
      <w:rFonts w:hAnsi="宋体"/>
    </w:rPr>
  </w:style>
  <w:style w:type="paragraph" w:customStyle="1" w:styleId="2541">
    <w:name w:val="黑体三号311"/>
    <w:basedOn w:val="184"/>
    <w:qFormat/>
    <w:uiPriority w:val="0"/>
    <w:pPr>
      <w:jc w:val="center"/>
    </w:pPr>
    <w:rPr>
      <w:rFonts w:ascii="黑体" w:hAnsi="宋体" w:eastAsia="黑体"/>
      <w:b/>
      <w:bCs/>
      <w:sz w:val="32"/>
      <w:szCs w:val="20"/>
    </w:rPr>
  </w:style>
  <w:style w:type="paragraph" w:customStyle="1" w:styleId="2542">
    <w:name w:val="Char Char Char Char Char Char Char130"/>
    <w:basedOn w:val="1"/>
    <w:qFormat/>
    <w:uiPriority w:val="0"/>
  </w:style>
  <w:style w:type="paragraph" w:customStyle="1" w:styleId="2543">
    <w:name w:val="燕山正文132"/>
    <w:basedOn w:val="1"/>
    <w:qFormat/>
    <w:uiPriority w:val="0"/>
    <w:pPr>
      <w:tabs>
        <w:tab w:val="left" w:pos="4680"/>
      </w:tabs>
      <w:adjustRightInd w:val="0"/>
      <w:snapToGrid w:val="0"/>
      <w:spacing w:line="360" w:lineRule="auto"/>
      <w:ind w:firstLine="480" w:firstLineChars="200"/>
    </w:pPr>
    <w:rPr>
      <w:rFonts w:ascii="宋体" w:hAnsi="宋体" w:cs="宋体"/>
      <w:bCs/>
      <w:color w:val="000000"/>
      <w:sz w:val="24"/>
    </w:rPr>
  </w:style>
  <w:style w:type="paragraph" w:customStyle="1" w:styleId="2544">
    <w:name w:val="标题45"/>
    <w:basedOn w:val="1"/>
    <w:qFormat/>
    <w:uiPriority w:val="0"/>
    <w:pPr>
      <w:adjustRightInd w:val="0"/>
      <w:snapToGrid w:val="0"/>
      <w:spacing w:line="300" w:lineRule="auto"/>
      <w:jc w:val="left"/>
    </w:pPr>
    <w:rPr>
      <w:rFonts w:ascii="黑体" w:eastAsia="黑体"/>
      <w:bCs/>
      <w:sz w:val="24"/>
    </w:rPr>
  </w:style>
  <w:style w:type="paragraph" w:customStyle="1" w:styleId="2545">
    <w:name w:val="(文字) (文字) Char (文字) (文字) Char (文字) (文字) (文字) (文字)1"/>
    <w:basedOn w:val="1"/>
    <w:qFormat/>
    <w:uiPriority w:val="0"/>
    <w:pPr>
      <w:spacing w:line="360" w:lineRule="auto"/>
      <w:ind w:firstLine="200" w:firstLineChars="200"/>
    </w:pPr>
    <w:rPr>
      <w:rFonts w:ascii="宋体" w:hAnsi="宋体" w:cs="宋体"/>
      <w:sz w:val="24"/>
    </w:rPr>
  </w:style>
  <w:style w:type="paragraph" w:customStyle="1" w:styleId="2546">
    <w:name w:val="表题153"/>
    <w:basedOn w:val="21"/>
    <w:qFormat/>
    <w:uiPriority w:val="0"/>
    <w:pPr>
      <w:tabs>
        <w:tab w:val="clear" w:pos="7380"/>
      </w:tabs>
      <w:overflowPunct/>
      <w:spacing w:before="0" w:afterLines="0" w:line="360" w:lineRule="auto"/>
      <w:jc w:val="center"/>
    </w:pPr>
    <w:rPr>
      <w:rFonts w:ascii="黑体"/>
      <w:b/>
      <w:sz w:val="24"/>
      <w:szCs w:val="24"/>
    </w:rPr>
  </w:style>
  <w:style w:type="paragraph" w:customStyle="1" w:styleId="2547">
    <w:name w:val="正文格式63"/>
    <w:basedOn w:val="1"/>
    <w:qFormat/>
    <w:uiPriority w:val="0"/>
    <w:pPr>
      <w:spacing w:line="360" w:lineRule="auto"/>
      <w:ind w:firstLine="482"/>
    </w:pPr>
    <w:rPr>
      <w:rFonts w:ascii="宋体" w:hAnsi="宋体"/>
      <w:sz w:val="24"/>
    </w:rPr>
  </w:style>
  <w:style w:type="paragraph" w:customStyle="1" w:styleId="2548">
    <w:name w:val="表内文字小2111"/>
    <w:basedOn w:val="1"/>
    <w:qFormat/>
    <w:uiPriority w:val="0"/>
    <w:pPr>
      <w:adjustRightInd w:val="0"/>
      <w:snapToGrid w:val="0"/>
      <w:jc w:val="center"/>
    </w:pPr>
    <w:rPr>
      <w:rFonts w:ascii="宋体" w:hAnsi="Times"/>
      <w:bCs/>
      <w:color w:val="000000"/>
      <w:szCs w:val="20"/>
    </w:rPr>
  </w:style>
  <w:style w:type="paragraph" w:customStyle="1" w:styleId="2549">
    <w:name w:val="表内文字小2122"/>
    <w:basedOn w:val="1"/>
    <w:qFormat/>
    <w:uiPriority w:val="0"/>
    <w:pPr>
      <w:adjustRightInd w:val="0"/>
      <w:snapToGrid w:val="0"/>
      <w:jc w:val="center"/>
    </w:pPr>
    <w:rPr>
      <w:rFonts w:ascii="宋体" w:hAnsi="Times"/>
      <w:bCs/>
      <w:color w:val="000000"/>
      <w:szCs w:val="20"/>
    </w:rPr>
  </w:style>
  <w:style w:type="paragraph" w:customStyle="1" w:styleId="2550">
    <w:name w:val="样式 标题 3 + 段前: 6 磅 段后: 3 磅 行距: 固定值 24 磅"/>
    <w:basedOn w:val="4"/>
    <w:qFormat/>
    <w:uiPriority w:val="0"/>
    <w:pPr>
      <w:tabs>
        <w:tab w:val="left" w:pos="233"/>
        <w:tab w:val="left" w:pos="900"/>
      </w:tabs>
      <w:spacing w:before="120" w:after="120" w:line="324" w:lineRule="auto"/>
      <w:ind w:left="233"/>
    </w:pPr>
    <w:rPr>
      <w:rFonts w:hAnsi="宋体" w:cs="宋体"/>
      <w:bCs w:val="0"/>
      <w:color w:val="000000"/>
      <w:sz w:val="28"/>
      <w:szCs w:val="30"/>
    </w:rPr>
  </w:style>
  <w:style w:type="paragraph" w:customStyle="1" w:styleId="2551">
    <w:name w:val="Char Char Char Char Char Char Char Char1"/>
    <w:basedOn w:val="1"/>
    <w:qFormat/>
    <w:uiPriority w:val="0"/>
    <w:pPr>
      <w:adjustRightInd w:val="0"/>
      <w:spacing w:line="400" w:lineRule="exact"/>
      <w:ind w:firstLine="601"/>
    </w:pPr>
    <w:rPr>
      <w:rFonts w:eastAsia="楷体_GB2312"/>
      <w:spacing w:val="8"/>
      <w:kern w:val="0"/>
      <w:sz w:val="24"/>
      <w:szCs w:val="20"/>
    </w:rPr>
  </w:style>
  <w:style w:type="paragraph" w:customStyle="1" w:styleId="2552">
    <w:name w:val="正文格式25"/>
    <w:basedOn w:val="1"/>
    <w:qFormat/>
    <w:uiPriority w:val="0"/>
    <w:pPr>
      <w:spacing w:line="360" w:lineRule="auto"/>
      <w:ind w:firstLine="482"/>
    </w:pPr>
    <w:rPr>
      <w:rFonts w:ascii="宋体" w:hAnsi="宋体"/>
      <w:sz w:val="24"/>
    </w:rPr>
  </w:style>
  <w:style w:type="paragraph" w:customStyle="1" w:styleId="2553">
    <w:name w:val="表文字515"/>
    <w:basedOn w:val="1"/>
    <w:qFormat/>
    <w:uiPriority w:val="0"/>
    <w:pPr>
      <w:adjustRightInd w:val="0"/>
      <w:jc w:val="left"/>
      <w:textAlignment w:val="baseline"/>
    </w:pPr>
    <w:rPr>
      <w:rFonts w:ascii="宋体"/>
      <w:kern w:val="0"/>
      <w:szCs w:val="20"/>
    </w:rPr>
  </w:style>
  <w:style w:type="paragraph" w:customStyle="1" w:styleId="2554">
    <w:name w:val="表内宋5中114"/>
    <w:basedOn w:val="1"/>
    <w:qFormat/>
    <w:uiPriority w:val="0"/>
    <w:pPr>
      <w:adjustRightInd w:val="0"/>
      <w:snapToGrid w:val="0"/>
      <w:jc w:val="center"/>
      <w:textAlignment w:val="baseline"/>
    </w:pPr>
    <w:rPr>
      <w:rFonts w:ascii="宋体" w:hAnsi="宋体" w:cs="宋体"/>
      <w:kern w:val="0"/>
      <w:szCs w:val="20"/>
    </w:rPr>
  </w:style>
  <w:style w:type="paragraph" w:customStyle="1" w:styleId="2555">
    <w:name w:val="表内5中411"/>
    <w:basedOn w:val="1"/>
    <w:qFormat/>
    <w:uiPriority w:val="0"/>
    <w:pPr>
      <w:adjustRightInd w:val="0"/>
      <w:snapToGrid w:val="0"/>
      <w:jc w:val="center"/>
    </w:pPr>
    <w:rPr>
      <w:rFonts w:ascii="宋体"/>
      <w:bCs/>
      <w:szCs w:val="20"/>
    </w:rPr>
  </w:style>
  <w:style w:type="paragraph" w:customStyle="1" w:styleId="2556">
    <w:name w:val="ttxtl"/>
    <w:basedOn w:val="1"/>
    <w:qFormat/>
    <w:uiPriority w:val="0"/>
    <w:pPr>
      <w:widowControl/>
      <w:spacing w:before="100" w:beforeAutospacing="1" w:after="100" w:afterAutospacing="1"/>
      <w:jc w:val="left"/>
    </w:pPr>
    <w:rPr>
      <w:rFonts w:ascii="宋体" w:hAnsi="宋体"/>
      <w:kern w:val="0"/>
      <w:sz w:val="24"/>
    </w:rPr>
  </w:style>
  <w:style w:type="paragraph" w:customStyle="1" w:styleId="2557">
    <w:name w:val="表22"/>
    <w:basedOn w:val="1"/>
    <w:qFormat/>
    <w:uiPriority w:val="0"/>
    <w:pPr>
      <w:adjustRightInd w:val="0"/>
      <w:snapToGrid w:val="0"/>
      <w:jc w:val="center"/>
    </w:pPr>
    <w:rPr>
      <w:rFonts w:eastAsia="仿宋_GB2312"/>
      <w:sz w:val="24"/>
    </w:rPr>
  </w:style>
  <w:style w:type="paragraph" w:customStyle="1" w:styleId="2558">
    <w:name w:val="钢铁表"/>
    <w:basedOn w:val="1"/>
    <w:qFormat/>
    <w:uiPriority w:val="0"/>
    <w:pPr>
      <w:adjustRightInd w:val="0"/>
      <w:snapToGrid w:val="0"/>
    </w:pPr>
  </w:style>
  <w:style w:type="paragraph" w:customStyle="1" w:styleId="2559">
    <w:name w:val="bg表内容"/>
    <w:basedOn w:val="2315"/>
    <w:next w:val="2316"/>
    <w:qFormat/>
    <w:uiPriority w:val="0"/>
    <w:pPr>
      <w:ind w:left="-113" w:right="-113"/>
      <w:jc w:val="center"/>
    </w:pPr>
    <w:rPr>
      <w:sz w:val="18"/>
    </w:rPr>
  </w:style>
  <w:style w:type="paragraph" w:customStyle="1" w:styleId="2560">
    <w:name w:val="xl631"/>
    <w:basedOn w:val="1"/>
    <w:qFormat/>
    <w:uiPriority w:val="0"/>
    <w:pPr>
      <w:widowControl/>
      <w:spacing w:before="100" w:beforeAutospacing="1" w:after="100" w:afterAutospacing="1"/>
      <w:jc w:val="center"/>
      <w:textAlignment w:val="center"/>
    </w:pPr>
    <w:rPr>
      <w:rFonts w:hint="eastAsia" w:ascii="黑体" w:hAnsi="宋体" w:eastAsia="黑体"/>
      <w:kern w:val="0"/>
      <w:sz w:val="24"/>
    </w:rPr>
  </w:style>
  <w:style w:type="paragraph" w:customStyle="1" w:styleId="2561">
    <w:name w:val="表题1511"/>
    <w:basedOn w:val="21"/>
    <w:qFormat/>
    <w:uiPriority w:val="0"/>
    <w:pPr>
      <w:tabs>
        <w:tab w:val="clear" w:pos="7380"/>
      </w:tabs>
      <w:overflowPunct/>
      <w:spacing w:before="0" w:afterLines="0" w:line="360" w:lineRule="auto"/>
      <w:jc w:val="center"/>
    </w:pPr>
    <w:rPr>
      <w:rFonts w:ascii="黑体"/>
      <w:b/>
      <w:sz w:val="24"/>
      <w:szCs w:val="24"/>
    </w:rPr>
  </w:style>
  <w:style w:type="paragraph" w:customStyle="1" w:styleId="2562">
    <w:name w:val="小四居中行1"/>
    <w:basedOn w:val="1"/>
    <w:qFormat/>
    <w:uiPriority w:val="0"/>
    <w:pPr>
      <w:ind w:left="140"/>
      <w:jc w:val="center"/>
    </w:pPr>
    <w:rPr>
      <w:rFonts w:ascii="宋体" w:eastAsia="仿宋_GB2312"/>
      <w:sz w:val="24"/>
      <w:szCs w:val="20"/>
    </w:rPr>
  </w:style>
  <w:style w:type="paragraph" w:customStyle="1" w:styleId="2563">
    <w:name w:val="Char4 Char Char Char Char Char Char Char Char Char Char Char Char Char Char Char Char Char1 Char Char Char Char Char Char1 Char Char Char Char"/>
    <w:basedOn w:val="1"/>
    <w:qFormat/>
    <w:uiPriority w:val="0"/>
    <w:pPr>
      <w:spacing w:line="240" w:lineRule="exact"/>
      <w:ind w:firstLine="200" w:firstLineChars="200"/>
    </w:pPr>
    <w:rPr>
      <w:sz w:val="28"/>
      <w:szCs w:val="28"/>
    </w:rPr>
  </w:style>
  <w:style w:type="paragraph" w:customStyle="1" w:styleId="2564">
    <w:name w:val="Char4 Char Char Char Char Char Char Char Char Char Char Char Char Char Char Char Char Char1 Char Char Char Char Char Char"/>
    <w:basedOn w:val="1"/>
    <w:qFormat/>
    <w:uiPriority w:val="0"/>
    <w:pPr>
      <w:spacing w:line="240" w:lineRule="exact"/>
      <w:ind w:firstLine="200" w:firstLineChars="200"/>
    </w:pPr>
    <w:rPr>
      <w:sz w:val="28"/>
      <w:szCs w:val="28"/>
    </w:rPr>
  </w:style>
  <w:style w:type="paragraph" w:customStyle="1" w:styleId="2565">
    <w:name w:val="正文格式2"/>
    <w:basedOn w:val="1"/>
    <w:qFormat/>
    <w:uiPriority w:val="0"/>
    <w:pPr>
      <w:spacing w:line="360" w:lineRule="auto"/>
      <w:ind w:firstLine="482"/>
    </w:pPr>
    <w:rPr>
      <w:rFonts w:ascii="宋体" w:hAnsi="宋体"/>
      <w:sz w:val="24"/>
    </w:rPr>
  </w:style>
  <w:style w:type="paragraph" w:customStyle="1" w:styleId="2566">
    <w:name w:val="Char64"/>
    <w:basedOn w:val="1"/>
    <w:qFormat/>
    <w:uiPriority w:val="0"/>
    <w:pPr>
      <w:adjustRightInd w:val="0"/>
      <w:snapToGrid w:val="0"/>
      <w:spacing w:beforeLines="50" w:line="360" w:lineRule="auto"/>
    </w:pPr>
    <w:rPr>
      <w:rFonts w:ascii="黑体" w:eastAsia="黑体"/>
      <w:sz w:val="32"/>
      <w:szCs w:val="32"/>
    </w:rPr>
  </w:style>
  <w:style w:type="paragraph" w:customStyle="1" w:styleId="2567">
    <w:name w:val="表313"/>
    <w:basedOn w:val="1"/>
    <w:qFormat/>
    <w:uiPriority w:val="0"/>
    <w:pPr>
      <w:adjustRightInd w:val="0"/>
      <w:snapToGrid w:val="0"/>
      <w:jc w:val="center"/>
    </w:pPr>
    <w:rPr>
      <w:rFonts w:eastAsia="仿宋_GB2312"/>
      <w:sz w:val="24"/>
    </w:rPr>
  </w:style>
  <w:style w:type="paragraph" w:customStyle="1" w:styleId="2568">
    <w:name w:val="Char51"/>
    <w:basedOn w:val="1"/>
    <w:qFormat/>
    <w:uiPriority w:val="0"/>
    <w:pPr>
      <w:adjustRightInd w:val="0"/>
      <w:snapToGrid w:val="0"/>
      <w:ind w:left="-45"/>
    </w:pPr>
  </w:style>
  <w:style w:type="paragraph" w:customStyle="1" w:styleId="2569">
    <w:name w:val="表内5中2"/>
    <w:basedOn w:val="1"/>
    <w:qFormat/>
    <w:uiPriority w:val="0"/>
    <w:pPr>
      <w:adjustRightInd w:val="0"/>
      <w:snapToGrid w:val="0"/>
      <w:jc w:val="center"/>
    </w:pPr>
    <w:rPr>
      <w:rFonts w:ascii="宋体" w:hAnsi="宋体" w:cs="Arial"/>
      <w:snapToGrid w:val="0"/>
      <w:color w:val="000000"/>
      <w:szCs w:val="21"/>
    </w:rPr>
  </w:style>
  <w:style w:type="paragraph" w:customStyle="1" w:styleId="2570">
    <w:name w:val="表内小5中13"/>
    <w:basedOn w:val="1"/>
    <w:qFormat/>
    <w:uiPriority w:val="0"/>
    <w:pPr>
      <w:adjustRightInd w:val="0"/>
      <w:snapToGrid w:val="0"/>
      <w:jc w:val="center"/>
    </w:pPr>
    <w:rPr>
      <w:rFonts w:ascii="宋体" w:hAnsi="宋体"/>
      <w:sz w:val="18"/>
      <w:szCs w:val="20"/>
    </w:rPr>
  </w:style>
  <w:style w:type="paragraph" w:customStyle="1" w:styleId="2571">
    <w:name w:val="Char Char Char Char Char Char Char25"/>
    <w:basedOn w:val="1"/>
    <w:qFormat/>
    <w:uiPriority w:val="0"/>
  </w:style>
  <w:style w:type="paragraph" w:customStyle="1" w:styleId="2572">
    <w:name w:val="黑体三号51"/>
    <w:basedOn w:val="184"/>
    <w:qFormat/>
    <w:uiPriority w:val="0"/>
    <w:pPr>
      <w:jc w:val="center"/>
    </w:pPr>
    <w:rPr>
      <w:rFonts w:ascii="黑体" w:hAnsi="宋体" w:eastAsia="黑体"/>
      <w:b/>
      <w:bCs/>
      <w:sz w:val="32"/>
      <w:szCs w:val="20"/>
    </w:rPr>
  </w:style>
  <w:style w:type="paragraph" w:customStyle="1" w:styleId="2573">
    <w:name w:val="表题14111"/>
    <w:basedOn w:val="1"/>
    <w:qFormat/>
    <w:uiPriority w:val="0"/>
    <w:pPr>
      <w:widowControl/>
      <w:adjustRightInd w:val="0"/>
      <w:snapToGrid w:val="0"/>
      <w:jc w:val="center"/>
    </w:pPr>
    <w:rPr>
      <w:rFonts w:ascii="黑体" w:hAnsi="宋体" w:eastAsia="黑体" w:cs="宋体"/>
      <w:kern w:val="0"/>
      <w:sz w:val="24"/>
    </w:rPr>
  </w:style>
  <w:style w:type="paragraph" w:customStyle="1" w:styleId="2574">
    <w:name w:val="标题423"/>
    <w:basedOn w:val="1"/>
    <w:qFormat/>
    <w:uiPriority w:val="0"/>
    <w:pPr>
      <w:adjustRightInd w:val="0"/>
      <w:snapToGrid w:val="0"/>
      <w:spacing w:line="300" w:lineRule="auto"/>
      <w:jc w:val="left"/>
    </w:pPr>
    <w:rPr>
      <w:rFonts w:ascii="黑体" w:eastAsia="黑体"/>
      <w:bCs/>
      <w:sz w:val="24"/>
    </w:rPr>
  </w:style>
  <w:style w:type="paragraph" w:customStyle="1" w:styleId="2575">
    <w:name w:val="正文格式54"/>
    <w:basedOn w:val="1"/>
    <w:qFormat/>
    <w:uiPriority w:val="0"/>
    <w:pPr>
      <w:spacing w:line="360" w:lineRule="auto"/>
      <w:ind w:firstLine="482"/>
    </w:pPr>
    <w:rPr>
      <w:rFonts w:ascii="宋体" w:hAnsi="宋体"/>
      <w:sz w:val="24"/>
    </w:rPr>
  </w:style>
  <w:style w:type="paragraph" w:customStyle="1" w:styleId="2576">
    <w:name w:val="表内文字小2142"/>
    <w:basedOn w:val="1"/>
    <w:qFormat/>
    <w:uiPriority w:val="0"/>
    <w:pPr>
      <w:adjustRightInd w:val="0"/>
      <w:snapToGrid w:val="0"/>
      <w:jc w:val="center"/>
    </w:pPr>
    <w:rPr>
      <w:rFonts w:ascii="宋体" w:hAnsi="Times"/>
      <w:bCs/>
      <w:color w:val="000000"/>
      <w:szCs w:val="20"/>
    </w:rPr>
  </w:style>
  <w:style w:type="paragraph" w:customStyle="1" w:styleId="2577">
    <w:name w:val="默认段落字体 Para Char212"/>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2578">
    <w:name w:val="Char Char Char1 Char Char Char1 Char Char Char1"/>
    <w:basedOn w:val="1"/>
    <w:qFormat/>
    <w:uiPriority w:val="0"/>
    <w:pPr>
      <w:spacing w:line="240" w:lineRule="exact"/>
      <w:ind w:firstLine="200" w:firstLineChars="200"/>
    </w:pPr>
    <w:rPr>
      <w:sz w:val="28"/>
      <w:szCs w:val="28"/>
    </w:rPr>
  </w:style>
  <w:style w:type="paragraph" w:customStyle="1" w:styleId="2579">
    <w:name w:val="Char Char Char Char Char Char Char Char Char1 Char Char Char Char Char Char Char Char"/>
    <w:basedOn w:val="1"/>
    <w:qFormat/>
    <w:uiPriority w:val="0"/>
    <w:pPr>
      <w:snapToGrid w:val="0"/>
      <w:spacing w:line="360" w:lineRule="auto"/>
      <w:ind w:firstLine="200" w:firstLineChars="200"/>
    </w:pPr>
    <w:rPr>
      <w:rFonts w:eastAsia="仿宋_GB2312"/>
      <w:sz w:val="24"/>
    </w:rPr>
  </w:style>
  <w:style w:type="paragraph" w:customStyle="1" w:styleId="2580">
    <w:name w:val="表内文字小811"/>
    <w:basedOn w:val="1"/>
    <w:qFormat/>
    <w:uiPriority w:val="0"/>
    <w:pPr>
      <w:adjustRightInd w:val="0"/>
      <w:snapToGrid w:val="0"/>
      <w:jc w:val="center"/>
    </w:pPr>
    <w:rPr>
      <w:rFonts w:ascii="宋体" w:hAnsi="Times" w:cs="宋体"/>
      <w:szCs w:val="20"/>
    </w:rPr>
  </w:style>
  <w:style w:type="paragraph" w:customStyle="1" w:styleId="2581">
    <w:name w:val="表文字5111"/>
    <w:basedOn w:val="1"/>
    <w:qFormat/>
    <w:uiPriority w:val="0"/>
    <w:pPr>
      <w:adjustRightInd w:val="0"/>
      <w:jc w:val="left"/>
      <w:textAlignment w:val="baseline"/>
    </w:pPr>
    <w:rPr>
      <w:rFonts w:ascii="宋体"/>
      <w:kern w:val="0"/>
      <w:szCs w:val="20"/>
    </w:rPr>
  </w:style>
  <w:style w:type="paragraph" w:customStyle="1" w:styleId="2582">
    <w:name w:val="表内宋51112"/>
    <w:basedOn w:val="80"/>
    <w:qFormat/>
    <w:uiPriority w:val="0"/>
    <w:pPr>
      <w:widowControl/>
      <w:adjustRightInd w:val="0"/>
      <w:snapToGrid w:val="0"/>
    </w:pPr>
    <w:rPr>
      <w:rFonts w:ascii="宋体" w:hAnsi="宋体" w:cs="宋体"/>
      <w:color w:val="000000"/>
      <w:sz w:val="21"/>
    </w:rPr>
  </w:style>
  <w:style w:type="paragraph" w:customStyle="1" w:styleId="2583">
    <w:name w:val="样式 表格内字体 +2"/>
    <w:basedOn w:val="1875"/>
    <w:qFormat/>
    <w:uiPriority w:val="0"/>
    <w:pPr>
      <w:spacing w:line="280" w:lineRule="exact"/>
      <w:ind w:firstLine="36"/>
      <w:jc w:val="both"/>
    </w:pPr>
    <w:rPr>
      <w:szCs w:val="24"/>
    </w:rPr>
  </w:style>
  <w:style w:type="paragraph" w:customStyle="1" w:styleId="2584">
    <w:name w:val="表3"/>
    <w:basedOn w:val="1"/>
    <w:qFormat/>
    <w:uiPriority w:val="0"/>
    <w:pPr>
      <w:adjustRightInd w:val="0"/>
      <w:snapToGrid w:val="0"/>
      <w:jc w:val="center"/>
    </w:pPr>
    <w:rPr>
      <w:rFonts w:eastAsia="仿宋_GB2312"/>
      <w:sz w:val="24"/>
    </w:rPr>
  </w:style>
  <w:style w:type="paragraph" w:customStyle="1" w:styleId="2585">
    <w:name w:val="Char Char Char1 Char Char Char"/>
    <w:basedOn w:val="1"/>
    <w:qFormat/>
    <w:uiPriority w:val="0"/>
    <w:pPr>
      <w:spacing w:line="240" w:lineRule="exact"/>
      <w:ind w:firstLine="200" w:firstLineChars="200"/>
    </w:pPr>
    <w:rPr>
      <w:sz w:val="28"/>
      <w:szCs w:val="28"/>
    </w:rPr>
  </w:style>
  <w:style w:type="paragraph" w:customStyle="1" w:styleId="2586">
    <w:name w:val="正文图五"/>
    <w:basedOn w:val="1"/>
    <w:qFormat/>
    <w:uiPriority w:val="0"/>
    <w:pPr>
      <w:adjustRightInd w:val="0"/>
      <w:snapToGrid w:val="0"/>
      <w:jc w:val="center"/>
    </w:pPr>
    <w:rPr>
      <w:rFonts w:ascii="Arial" w:hAnsi="Arial" w:eastAsia="仿宋_GB2312"/>
      <w:snapToGrid w:val="0"/>
      <w:spacing w:val="6"/>
      <w:szCs w:val="21"/>
    </w:rPr>
  </w:style>
  <w:style w:type="paragraph" w:customStyle="1" w:styleId="2587">
    <w:name w:val="Fax Header2"/>
    <w:basedOn w:val="1"/>
    <w:qFormat/>
    <w:uiPriority w:val="0"/>
    <w:pPr>
      <w:widowControl/>
      <w:spacing w:before="240" w:after="60"/>
      <w:jc w:val="left"/>
    </w:pPr>
    <w:rPr>
      <w:kern w:val="0"/>
      <w:sz w:val="20"/>
      <w:szCs w:val="20"/>
    </w:rPr>
  </w:style>
  <w:style w:type="paragraph" w:customStyle="1" w:styleId="2588">
    <w:name w:val="表内文字小217"/>
    <w:basedOn w:val="1"/>
    <w:qFormat/>
    <w:uiPriority w:val="0"/>
    <w:pPr>
      <w:adjustRightInd w:val="0"/>
      <w:snapToGrid w:val="0"/>
      <w:jc w:val="center"/>
    </w:pPr>
    <w:rPr>
      <w:rFonts w:ascii="宋体" w:hAnsi="Times"/>
      <w:bCs/>
      <w:color w:val="000000"/>
      <w:szCs w:val="20"/>
    </w:rPr>
  </w:style>
  <w:style w:type="paragraph" w:customStyle="1" w:styleId="2589">
    <w:name w:val="表头四号 + 段前: 0.5 行 + 段前: 0.5 行"/>
    <w:basedOn w:val="1"/>
    <w:qFormat/>
    <w:uiPriority w:val="0"/>
    <w:pPr>
      <w:adjustRightInd w:val="0"/>
      <w:snapToGrid w:val="0"/>
      <w:spacing w:beforeLines="25" w:line="500" w:lineRule="atLeast"/>
    </w:pPr>
    <w:rPr>
      <w:rFonts w:ascii="宋体" w:hAnsi="宋体" w:cs="宋体"/>
      <w:b/>
      <w:bCs/>
      <w:sz w:val="28"/>
      <w:szCs w:val="20"/>
    </w:rPr>
  </w:style>
  <w:style w:type="paragraph" w:customStyle="1" w:styleId="2590">
    <w:name w:val="表内5112"/>
    <w:basedOn w:val="1"/>
    <w:qFormat/>
    <w:uiPriority w:val="0"/>
    <w:pPr>
      <w:adjustRightInd w:val="0"/>
      <w:snapToGrid w:val="0"/>
      <w:jc w:val="center"/>
    </w:pPr>
    <w:rPr>
      <w:rFonts w:ascii="宋体" w:hAnsi="宋体"/>
      <w:kern w:val="0"/>
      <w:sz w:val="20"/>
      <w:szCs w:val="20"/>
    </w:rPr>
  </w:style>
  <w:style w:type="paragraph" w:customStyle="1" w:styleId="2591">
    <w:name w:val="正文文字首航缩2字"/>
    <w:basedOn w:val="1"/>
    <w:qFormat/>
    <w:uiPriority w:val="0"/>
    <w:pPr>
      <w:spacing w:line="360" w:lineRule="auto"/>
      <w:ind w:firstLine="200" w:firstLineChars="200"/>
    </w:pPr>
    <w:rPr>
      <w:sz w:val="24"/>
    </w:rPr>
  </w:style>
  <w:style w:type="paragraph" w:customStyle="1" w:styleId="2592">
    <w:name w:val="Char1511"/>
    <w:basedOn w:val="1"/>
    <w:qFormat/>
    <w:uiPriority w:val="0"/>
    <w:pPr>
      <w:adjustRightInd w:val="0"/>
      <w:snapToGrid w:val="0"/>
      <w:spacing w:beforeLines="50" w:line="360" w:lineRule="auto"/>
    </w:pPr>
    <w:rPr>
      <w:rFonts w:ascii="黑体" w:eastAsia="黑体"/>
      <w:sz w:val="32"/>
      <w:szCs w:val="32"/>
    </w:rPr>
  </w:style>
  <w:style w:type="paragraph" w:customStyle="1" w:styleId="2593">
    <w:name w:val="图题1"/>
    <w:basedOn w:val="1"/>
    <w:next w:val="1"/>
    <w:qFormat/>
    <w:uiPriority w:val="0"/>
    <w:pPr>
      <w:spacing w:line="360" w:lineRule="auto"/>
      <w:ind w:firstLine="422" w:firstLineChars="200"/>
      <w:jc w:val="center"/>
    </w:pPr>
    <w:rPr>
      <w:rFonts w:cs="宋体"/>
      <w:b/>
      <w:bCs/>
      <w:szCs w:val="20"/>
    </w:rPr>
  </w:style>
  <w:style w:type="paragraph" w:customStyle="1" w:styleId="2594">
    <w:name w:val="文本框111"/>
    <w:basedOn w:val="1"/>
    <w:qFormat/>
    <w:uiPriority w:val="0"/>
    <w:pPr>
      <w:adjustRightInd w:val="0"/>
      <w:snapToGrid w:val="0"/>
      <w:spacing w:after="6"/>
      <w:jc w:val="center"/>
    </w:pPr>
    <w:rPr>
      <w:rFonts w:eastAsia="仿宋_GB2312"/>
    </w:rPr>
  </w:style>
  <w:style w:type="paragraph" w:customStyle="1" w:styleId="2595">
    <w:name w:val="样式 (符号) 宋体 首行缩进:  0.85 厘米 行距: 固定值 25 磅"/>
    <w:basedOn w:val="1"/>
    <w:qFormat/>
    <w:uiPriority w:val="0"/>
    <w:pPr>
      <w:spacing w:line="500" w:lineRule="exact"/>
      <w:ind w:firstLine="480"/>
    </w:pPr>
    <w:rPr>
      <w:rFonts w:hAnsi="宋体" w:cs="宋体"/>
      <w:sz w:val="24"/>
      <w:szCs w:val="20"/>
    </w:rPr>
  </w:style>
  <w:style w:type="paragraph" w:customStyle="1" w:styleId="2596">
    <w:name w:val="正文格式17"/>
    <w:basedOn w:val="1"/>
    <w:qFormat/>
    <w:uiPriority w:val="0"/>
    <w:pPr>
      <w:spacing w:line="360" w:lineRule="auto"/>
      <w:ind w:firstLine="482"/>
    </w:pPr>
    <w:rPr>
      <w:rFonts w:ascii="宋体" w:hAnsi="宋体"/>
      <w:sz w:val="24"/>
    </w:rPr>
  </w:style>
  <w:style w:type="paragraph" w:customStyle="1" w:styleId="2597">
    <w:name w:val="表内文字小21313"/>
    <w:basedOn w:val="1"/>
    <w:qFormat/>
    <w:uiPriority w:val="0"/>
    <w:pPr>
      <w:adjustRightInd w:val="0"/>
      <w:snapToGrid w:val="0"/>
      <w:jc w:val="center"/>
      <w:textAlignment w:val="baseline"/>
    </w:pPr>
    <w:rPr>
      <w:rFonts w:ascii="宋体" w:hAnsi="Times"/>
      <w:bCs/>
      <w:color w:val="000000"/>
      <w:szCs w:val="20"/>
    </w:rPr>
  </w:style>
  <w:style w:type="paragraph" w:customStyle="1" w:styleId="2598">
    <w:name w:val="Char214"/>
    <w:basedOn w:val="1"/>
    <w:qFormat/>
    <w:uiPriority w:val="0"/>
    <w:pPr>
      <w:adjustRightInd w:val="0"/>
      <w:snapToGrid w:val="0"/>
      <w:spacing w:beforeLines="50" w:line="360" w:lineRule="auto"/>
    </w:pPr>
    <w:rPr>
      <w:rFonts w:ascii="黑体" w:eastAsia="黑体"/>
      <w:sz w:val="32"/>
      <w:szCs w:val="32"/>
    </w:rPr>
  </w:style>
  <w:style w:type="paragraph" w:customStyle="1" w:styleId="2599">
    <w:name w:val="Char512"/>
    <w:basedOn w:val="1"/>
    <w:qFormat/>
    <w:uiPriority w:val="0"/>
    <w:pPr>
      <w:adjustRightInd w:val="0"/>
      <w:snapToGrid w:val="0"/>
      <w:ind w:left="-45"/>
    </w:pPr>
  </w:style>
  <w:style w:type="paragraph" w:customStyle="1" w:styleId="2600">
    <w:name w:val="白洋淀目录"/>
    <w:basedOn w:val="1"/>
    <w:next w:val="58"/>
    <w:qFormat/>
    <w:uiPriority w:val="0"/>
    <w:pPr>
      <w:pBdr>
        <w:top w:val="single" w:color="auto" w:sz="4" w:space="1"/>
      </w:pBdr>
      <w:spacing w:line="360" w:lineRule="auto"/>
      <w:ind w:firstLine="200" w:firstLineChars="200"/>
    </w:pPr>
    <w:rPr>
      <w:rFonts w:cs="宋体"/>
      <w:sz w:val="24"/>
    </w:rPr>
  </w:style>
  <w:style w:type="paragraph" w:customStyle="1" w:styleId="2601">
    <w:name w:val="Table"/>
    <w:basedOn w:val="1"/>
    <w:next w:val="1"/>
    <w:qFormat/>
    <w:uiPriority w:val="0"/>
    <w:pPr>
      <w:widowControl/>
      <w:jc w:val="center"/>
    </w:pPr>
    <w:rPr>
      <w:kern w:val="0"/>
      <w:sz w:val="20"/>
      <w:szCs w:val="20"/>
      <w:lang w:val="en-GB"/>
    </w:rPr>
  </w:style>
  <w:style w:type="paragraph" w:customStyle="1" w:styleId="2602">
    <w:name w:val="Char4 Char Char Char Char Char Char Char Char Char Char Char Char Char Char Char Char Char"/>
    <w:basedOn w:val="1"/>
    <w:qFormat/>
    <w:uiPriority w:val="0"/>
    <w:pPr>
      <w:spacing w:line="240" w:lineRule="exact"/>
      <w:ind w:firstLine="200" w:firstLineChars="200"/>
    </w:pPr>
    <w:rPr>
      <w:sz w:val="28"/>
      <w:szCs w:val="28"/>
    </w:rPr>
  </w:style>
  <w:style w:type="paragraph" w:customStyle="1" w:styleId="2603">
    <w:name w:val="正文格式16"/>
    <w:basedOn w:val="1"/>
    <w:qFormat/>
    <w:uiPriority w:val="0"/>
    <w:pPr>
      <w:spacing w:line="360" w:lineRule="auto"/>
      <w:ind w:firstLine="482"/>
    </w:pPr>
    <w:rPr>
      <w:rFonts w:ascii="宋体" w:hAnsi="宋体"/>
      <w:sz w:val="24"/>
    </w:rPr>
  </w:style>
  <w:style w:type="paragraph" w:customStyle="1" w:styleId="2604">
    <w:name w:val="1主报告正文格式"/>
    <w:basedOn w:val="1"/>
    <w:next w:val="1"/>
    <w:qFormat/>
    <w:uiPriority w:val="0"/>
    <w:pPr>
      <w:spacing w:line="480" w:lineRule="exact"/>
      <w:ind w:firstLine="200" w:firstLineChars="200"/>
      <w:jc w:val="left"/>
    </w:pPr>
    <w:rPr>
      <w:rFonts w:ascii="宋体" w:hAnsi="宋体"/>
      <w:kern w:val="0"/>
      <w:sz w:val="24"/>
    </w:rPr>
  </w:style>
  <w:style w:type="paragraph" w:customStyle="1" w:styleId="2605">
    <w:name w:val="样式 样式 宋体 + 首行缩进:  2 字符11"/>
    <w:basedOn w:val="1"/>
    <w:qFormat/>
    <w:uiPriority w:val="0"/>
    <w:pPr>
      <w:spacing w:line="360" w:lineRule="auto"/>
      <w:ind w:firstLine="480" w:firstLineChars="200"/>
      <w:jc w:val="left"/>
    </w:pPr>
    <w:rPr>
      <w:rFonts w:ascii="宋体" w:cs="宋体"/>
      <w:sz w:val="24"/>
    </w:rPr>
  </w:style>
  <w:style w:type="paragraph" w:customStyle="1" w:styleId="2606">
    <w:name w:val="9 Char Char Char5"/>
    <w:basedOn w:val="1"/>
    <w:qFormat/>
    <w:uiPriority w:val="0"/>
    <w:pPr>
      <w:spacing w:line="240" w:lineRule="exact"/>
      <w:ind w:firstLine="200" w:firstLineChars="200"/>
    </w:pPr>
    <w:rPr>
      <w:sz w:val="28"/>
      <w:szCs w:val="28"/>
    </w:rPr>
  </w:style>
  <w:style w:type="paragraph" w:customStyle="1" w:styleId="2607">
    <w:name w:val="Char428"/>
    <w:basedOn w:val="1"/>
    <w:qFormat/>
    <w:uiPriority w:val="0"/>
    <w:pPr>
      <w:ind w:left="-48"/>
    </w:pPr>
  </w:style>
  <w:style w:type="paragraph" w:customStyle="1" w:styleId="2608">
    <w:name w:val="附件22"/>
    <w:basedOn w:val="2"/>
    <w:next w:val="184"/>
    <w:qFormat/>
    <w:uiPriority w:val="0"/>
    <w:pPr>
      <w:tabs>
        <w:tab w:val="left" w:pos="1566"/>
        <w:tab w:val="left" w:pos="2040"/>
      </w:tabs>
      <w:spacing w:before="0" w:after="210" w:line="360" w:lineRule="auto"/>
      <w:ind w:left="2040" w:leftChars="800" w:hanging="360" w:hangingChars="200"/>
      <w:jc w:val="left"/>
    </w:pPr>
    <w:rPr>
      <w:rFonts w:ascii="黑体" w:hAnsi="宋体" w:eastAsia="黑体"/>
      <w:b w:val="0"/>
      <w:sz w:val="32"/>
      <w:szCs w:val="32"/>
    </w:rPr>
  </w:style>
  <w:style w:type="paragraph" w:customStyle="1" w:styleId="2609">
    <w:name w:val="标题43"/>
    <w:basedOn w:val="1"/>
    <w:qFormat/>
    <w:uiPriority w:val="0"/>
    <w:pPr>
      <w:adjustRightInd w:val="0"/>
      <w:snapToGrid w:val="0"/>
      <w:spacing w:line="300" w:lineRule="auto"/>
      <w:jc w:val="left"/>
    </w:pPr>
    <w:rPr>
      <w:rFonts w:ascii="黑体" w:eastAsia="黑体"/>
      <w:bCs/>
      <w:sz w:val="24"/>
    </w:rPr>
  </w:style>
  <w:style w:type="paragraph" w:customStyle="1" w:styleId="2610">
    <w:name w:val="Char328"/>
    <w:basedOn w:val="1"/>
    <w:qFormat/>
    <w:uiPriority w:val="0"/>
    <w:pPr>
      <w:ind w:left="-48"/>
    </w:pPr>
  </w:style>
  <w:style w:type="paragraph" w:customStyle="1" w:styleId="2611">
    <w:name w:val="附件113"/>
    <w:basedOn w:val="2"/>
    <w:next w:val="184"/>
    <w:qFormat/>
    <w:uiPriority w:val="0"/>
    <w:pPr>
      <w:tabs>
        <w:tab w:val="left" w:pos="1566"/>
        <w:tab w:val="left" w:pos="2040"/>
      </w:tabs>
      <w:spacing w:before="0" w:after="210" w:line="360" w:lineRule="auto"/>
      <w:ind w:left="2040" w:leftChars="800" w:hanging="360" w:hangingChars="200"/>
      <w:jc w:val="left"/>
    </w:pPr>
    <w:rPr>
      <w:rFonts w:ascii="黑体" w:hAnsi="宋体" w:eastAsia="黑体"/>
      <w:b w:val="0"/>
      <w:sz w:val="32"/>
      <w:szCs w:val="32"/>
    </w:rPr>
  </w:style>
  <w:style w:type="paragraph" w:customStyle="1" w:styleId="2612">
    <w:name w:val="sss"/>
    <w:basedOn w:val="1"/>
    <w:qFormat/>
    <w:uiPriority w:val="0"/>
    <w:pPr>
      <w:tabs>
        <w:tab w:val="left" w:pos="480"/>
        <w:tab w:val="left" w:pos="648"/>
      </w:tabs>
      <w:autoSpaceDE w:val="0"/>
      <w:autoSpaceDN w:val="0"/>
      <w:adjustRightInd w:val="0"/>
      <w:ind w:left="432" w:hanging="144"/>
    </w:pPr>
    <w:rPr>
      <w:rFonts w:ascii="Bookman Old Style" w:hAnsi="Bookman Old Style" w:cs="Arial"/>
      <w:bCs/>
      <w:kern w:val="0"/>
      <w:sz w:val="22"/>
      <w:szCs w:val="20"/>
    </w:rPr>
  </w:style>
  <w:style w:type="paragraph" w:customStyle="1" w:styleId="2613">
    <w:name w:val="正文格式＝511"/>
    <w:basedOn w:val="184"/>
    <w:next w:val="184"/>
    <w:qFormat/>
    <w:uiPriority w:val="0"/>
    <w:rPr>
      <w:rFonts w:hAnsi="宋体"/>
    </w:rPr>
  </w:style>
  <w:style w:type="paragraph" w:customStyle="1" w:styleId="2614">
    <w:name w:val="黑体三号41"/>
    <w:basedOn w:val="184"/>
    <w:qFormat/>
    <w:uiPriority w:val="0"/>
    <w:pPr>
      <w:jc w:val="center"/>
    </w:pPr>
    <w:rPr>
      <w:rFonts w:ascii="黑体" w:hAnsi="宋体" w:eastAsia="黑体"/>
      <w:b/>
      <w:bCs/>
      <w:sz w:val="32"/>
      <w:szCs w:val="20"/>
    </w:rPr>
  </w:style>
  <w:style w:type="paragraph" w:customStyle="1" w:styleId="2615">
    <w:name w:val="附件34"/>
    <w:basedOn w:val="2"/>
    <w:next w:val="184"/>
    <w:qFormat/>
    <w:uiPriority w:val="0"/>
    <w:pPr>
      <w:tabs>
        <w:tab w:val="left" w:pos="1566"/>
        <w:tab w:val="left" w:pos="2040"/>
      </w:tabs>
      <w:adjustRightInd w:val="0"/>
      <w:snapToGrid w:val="0"/>
      <w:spacing w:before="0" w:after="120" w:line="360" w:lineRule="auto"/>
      <w:ind w:left="2040" w:leftChars="800" w:hanging="360" w:hangingChars="200"/>
      <w:jc w:val="left"/>
    </w:pPr>
    <w:rPr>
      <w:rFonts w:ascii="黑体" w:hAnsi="宋体" w:eastAsia="黑体"/>
      <w:b w:val="0"/>
      <w:sz w:val="32"/>
      <w:szCs w:val="32"/>
    </w:rPr>
  </w:style>
  <w:style w:type="paragraph" w:customStyle="1" w:styleId="2616">
    <w:name w:val="Char218"/>
    <w:basedOn w:val="1"/>
    <w:qFormat/>
    <w:uiPriority w:val="0"/>
    <w:pPr>
      <w:ind w:left="-48"/>
    </w:pPr>
  </w:style>
  <w:style w:type="paragraph" w:customStyle="1" w:styleId="2617">
    <w:name w:val="图表题11"/>
    <w:basedOn w:val="184"/>
    <w:next w:val="184"/>
    <w:qFormat/>
    <w:uiPriority w:val="0"/>
    <w:pPr>
      <w:ind w:firstLine="0"/>
      <w:jc w:val="center"/>
    </w:pPr>
    <w:rPr>
      <w:rFonts w:ascii="黑体" w:hAnsi="宋体" w:eastAsia="黑体"/>
      <w:b/>
      <w:bCs/>
    </w:rPr>
  </w:style>
  <w:style w:type="paragraph" w:customStyle="1" w:styleId="2618">
    <w:name w:val="Char912"/>
    <w:basedOn w:val="1"/>
    <w:qFormat/>
    <w:uiPriority w:val="0"/>
    <w:pPr>
      <w:ind w:left="-48"/>
    </w:pPr>
  </w:style>
  <w:style w:type="paragraph" w:customStyle="1" w:styleId="2619">
    <w:name w:val="标题412"/>
    <w:basedOn w:val="5"/>
    <w:next w:val="1"/>
    <w:qFormat/>
    <w:uiPriority w:val="0"/>
    <w:pPr>
      <w:spacing w:before="160" w:after="170" w:line="360" w:lineRule="auto"/>
    </w:pPr>
    <w:rPr>
      <w:rFonts w:ascii="黑体" w:eastAsia="黑体"/>
      <w:b/>
      <w:kern w:val="0"/>
      <w:sz w:val="24"/>
    </w:rPr>
  </w:style>
  <w:style w:type="paragraph" w:customStyle="1" w:styleId="2620">
    <w:name w:val="表格内字体41"/>
    <w:basedOn w:val="184"/>
    <w:next w:val="184"/>
    <w:qFormat/>
    <w:uiPriority w:val="0"/>
    <w:pPr>
      <w:spacing w:line="240" w:lineRule="auto"/>
      <w:ind w:firstLine="0"/>
      <w:jc w:val="center"/>
    </w:pPr>
    <w:rPr>
      <w:rFonts w:hAnsi="宋体"/>
      <w:sz w:val="21"/>
    </w:rPr>
  </w:style>
  <w:style w:type="paragraph" w:customStyle="1" w:styleId="2621">
    <w:name w:val="黑体三号12"/>
    <w:basedOn w:val="184"/>
    <w:qFormat/>
    <w:uiPriority w:val="0"/>
    <w:pPr>
      <w:jc w:val="center"/>
    </w:pPr>
    <w:rPr>
      <w:rFonts w:ascii="黑体" w:hAnsi="宋体" w:eastAsia="黑体"/>
      <w:b/>
      <w:bCs/>
      <w:sz w:val="32"/>
      <w:szCs w:val="20"/>
    </w:rPr>
  </w:style>
  <w:style w:type="paragraph" w:customStyle="1" w:styleId="2622">
    <w:name w:val="表中文字313"/>
    <w:basedOn w:val="1"/>
    <w:qFormat/>
    <w:uiPriority w:val="0"/>
    <w:pPr>
      <w:widowControl/>
      <w:spacing w:line="240" w:lineRule="atLeast"/>
      <w:ind w:left="-24" w:leftChars="-10" w:right="-48" w:rightChars="-20"/>
      <w:jc w:val="center"/>
    </w:pPr>
    <w:rPr>
      <w:rFonts w:ascii="宋体"/>
      <w:kern w:val="0"/>
      <w:szCs w:val="21"/>
    </w:rPr>
  </w:style>
  <w:style w:type="paragraph" w:customStyle="1" w:styleId="2623">
    <w:name w:val="附件13"/>
    <w:basedOn w:val="2"/>
    <w:next w:val="184"/>
    <w:qFormat/>
    <w:uiPriority w:val="0"/>
    <w:pPr>
      <w:tabs>
        <w:tab w:val="left" w:pos="1566"/>
        <w:tab w:val="left" w:pos="2040"/>
      </w:tabs>
      <w:adjustRightInd w:val="0"/>
      <w:snapToGrid w:val="0"/>
      <w:spacing w:beforeLines="100" w:after="0" w:line="360" w:lineRule="auto"/>
      <w:ind w:left="2040" w:leftChars="800" w:hanging="360" w:hangingChars="200"/>
    </w:pPr>
    <w:rPr>
      <w:rFonts w:ascii="黑体" w:hAnsi="宋体" w:eastAsia="黑体"/>
      <w:sz w:val="32"/>
      <w:szCs w:val="32"/>
    </w:rPr>
  </w:style>
  <w:style w:type="paragraph" w:customStyle="1" w:styleId="2624">
    <w:name w:val="Char Char2 Char Char Char Char211"/>
    <w:basedOn w:val="1"/>
    <w:qFormat/>
    <w:uiPriority w:val="0"/>
  </w:style>
  <w:style w:type="paragraph" w:customStyle="1" w:styleId="2625">
    <w:name w:val="正文.4"/>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2626">
    <w:name w:val="图表名称"/>
    <w:basedOn w:val="85"/>
    <w:qFormat/>
    <w:uiPriority w:val="0"/>
    <w:pPr>
      <w:widowControl/>
      <w:adjustRightInd w:val="0"/>
      <w:snapToGrid w:val="0"/>
      <w:spacing w:after="0" w:line="480" w:lineRule="exact"/>
      <w:ind w:firstLine="0" w:firstLineChars="0"/>
      <w:jc w:val="center"/>
    </w:pPr>
    <w:rPr>
      <w:rFonts w:ascii="宋体" w:hAnsi="宋体" w:eastAsia="宋体"/>
      <w:bCs/>
      <w:sz w:val="24"/>
    </w:rPr>
  </w:style>
  <w:style w:type="paragraph" w:customStyle="1" w:styleId="2627">
    <w:name w:val="福建正文缩进12"/>
    <w:basedOn w:val="20"/>
    <w:qFormat/>
    <w:uiPriority w:val="0"/>
    <w:pPr>
      <w:adjustRightInd w:val="0"/>
      <w:snapToGrid w:val="0"/>
      <w:spacing w:line="360" w:lineRule="auto"/>
      <w:ind w:firstLine="567" w:firstLineChars="0"/>
    </w:pPr>
    <w:rPr>
      <w:rFonts w:ascii="宋体"/>
      <w:kern w:val="0"/>
      <w:sz w:val="24"/>
    </w:rPr>
  </w:style>
  <w:style w:type="paragraph" w:customStyle="1" w:styleId="2628">
    <w:name w:val="Char232"/>
    <w:basedOn w:val="1"/>
    <w:qFormat/>
    <w:uiPriority w:val="0"/>
    <w:pPr>
      <w:ind w:left="-48"/>
    </w:pPr>
  </w:style>
  <w:style w:type="paragraph" w:customStyle="1" w:styleId="2629">
    <w:name w:val="表格内容4"/>
    <w:qFormat/>
    <w:uiPriority w:val="0"/>
    <w:pPr>
      <w:jc w:val="center"/>
    </w:pPr>
    <w:rPr>
      <w:rFonts w:ascii="Times New Roman" w:hAnsi="Times New Roman" w:eastAsia="宋体" w:cs="Times New Roman"/>
      <w:kern w:val="2"/>
      <w:sz w:val="21"/>
      <w:szCs w:val="21"/>
      <w:lang w:val="en-US" w:eastAsia="zh-CN" w:bidi="ar-SA"/>
    </w:rPr>
  </w:style>
  <w:style w:type="paragraph" w:customStyle="1" w:styleId="2630">
    <w:name w:val="燕山正文1"/>
    <w:basedOn w:val="1"/>
    <w:qFormat/>
    <w:uiPriority w:val="0"/>
    <w:pPr>
      <w:tabs>
        <w:tab w:val="left" w:pos="4680"/>
      </w:tabs>
      <w:adjustRightInd w:val="0"/>
      <w:snapToGrid w:val="0"/>
      <w:spacing w:line="480" w:lineRule="exact"/>
    </w:pPr>
    <w:rPr>
      <w:rFonts w:ascii="宋体" w:cs="宋体"/>
      <w:sz w:val="24"/>
    </w:rPr>
  </w:style>
  <w:style w:type="paragraph" w:customStyle="1" w:styleId="2631">
    <w:name w:val="燕山正文11213"/>
    <w:basedOn w:val="1"/>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2632">
    <w:name w:val="Char Char2 Char Char Char Char27"/>
    <w:basedOn w:val="1"/>
    <w:qFormat/>
    <w:uiPriority w:val="0"/>
  </w:style>
  <w:style w:type="paragraph" w:customStyle="1" w:styleId="2633">
    <w:name w:val="表格内字体12"/>
    <w:basedOn w:val="184"/>
    <w:next w:val="184"/>
    <w:qFormat/>
    <w:uiPriority w:val="0"/>
    <w:pPr>
      <w:spacing w:line="240" w:lineRule="auto"/>
      <w:ind w:firstLine="0"/>
      <w:jc w:val="center"/>
    </w:pPr>
    <w:rPr>
      <w:rFonts w:hAnsi="宋体"/>
      <w:sz w:val="21"/>
    </w:rPr>
  </w:style>
  <w:style w:type="paragraph" w:customStyle="1" w:styleId="2634">
    <w:name w:val="图题111"/>
    <w:basedOn w:val="184"/>
    <w:next w:val="184"/>
    <w:qFormat/>
    <w:uiPriority w:val="0"/>
    <w:pPr>
      <w:ind w:firstLine="0"/>
      <w:jc w:val="center"/>
    </w:pPr>
    <w:rPr>
      <w:rFonts w:ascii="黑体" w:hAnsi="宋体" w:eastAsia="黑体"/>
      <w:b/>
      <w:bCs/>
    </w:rPr>
  </w:style>
  <w:style w:type="paragraph" w:customStyle="1" w:styleId="2635">
    <w:name w:val="生物中文类名"/>
    <w:basedOn w:val="1"/>
    <w:qFormat/>
    <w:uiPriority w:val="0"/>
    <w:pPr>
      <w:tabs>
        <w:tab w:val="left" w:pos="-120"/>
      </w:tabs>
      <w:spacing w:before="60" w:line="310" w:lineRule="atLeast"/>
      <w:ind w:firstLine="562" w:firstLineChars="200"/>
    </w:pPr>
    <w:rPr>
      <w:rFonts w:ascii="宋体" w:hAnsi="宋体"/>
      <w:b/>
      <w:color w:val="000000"/>
      <w:spacing w:val="20"/>
      <w:sz w:val="24"/>
      <w:szCs w:val="20"/>
    </w:rPr>
  </w:style>
  <w:style w:type="paragraph" w:customStyle="1" w:styleId="2636">
    <w:name w:val="黑体三号14"/>
    <w:basedOn w:val="184"/>
    <w:qFormat/>
    <w:uiPriority w:val="0"/>
    <w:pPr>
      <w:jc w:val="center"/>
    </w:pPr>
    <w:rPr>
      <w:rFonts w:ascii="黑体" w:hAnsi="宋体" w:eastAsia="黑体"/>
      <w:b/>
      <w:bCs/>
      <w:sz w:val="32"/>
      <w:szCs w:val="20"/>
    </w:rPr>
  </w:style>
  <w:style w:type="paragraph" w:customStyle="1" w:styleId="2637">
    <w:name w:val="样式 标题 3小标题小节标题标题3H3h33rd level第二层条标题4 + Arial Char Char"/>
    <w:basedOn w:val="4"/>
    <w:qFormat/>
    <w:uiPriority w:val="0"/>
    <w:pPr>
      <w:tabs>
        <w:tab w:val="left" w:pos="0"/>
        <w:tab w:val="left" w:pos="233"/>
        <w:tab w:val="left" w:pos="993"/>
      </w:tabs>
      <w:adjustRightInd w:val="0"/>
      <w:spacing w:before="120" w:after="60" w:line="240" w:lineRule="auto"/>
      <w:ind w:left="851"/>
      <w:jc w:val="left"/>
      <w:textAlignment w:val="baseline"/>
    </w:pPr>
    <w:rPr>
      <w:kern w:val="32"/>
      <w:sz w:val="30"/>
      <w:szCs w:val="20"/>
    </w:rPr>
  </w:style>
  <w:style w:type="paragraph" w:customStyle="1" w:styleId="2638">
    <w:name w:val="表中文字3"/>
    <w:basedOn w:val="1"/>
    <w:qFormat/>
    <w:uiPriority w:val="0"/>
    <w:pPr>
      <w:widowControl/>
      <w:spacing w:line="240" w:lineRule="atLeast"/>
      <w:ind w:left="-24" w:leftChars="-10" w:right="-48" w:rightChars="-20"/>
      <w:jc w:val="center"/>
    </w:pPr>
    <w:rPr>
      <w:rFonts w:ascii="宋体"/>
      <w:kern w:val="0"/>
      <w:szCs w:val="21"/>
    </w:rPr>
  </w:style>
  <w:style w:type="paragraph" w:customStyle="1" w:styleId="2639">
    <w:name w:val="样式 俺的正文 + 首行缩进:  2 字符"/>
    <w:basedOn w:val="1"/>
    <w:qFormat/>
    <w:uiPriority w:val="0"/>
    <w:pPr>
      <w:pBdr>
        <w:top w:val="single" w:color="auto" w:sz="4" w:space="1"/>
      </w:pBdr>
      <w:tabs>
        <w:tab w:val="left" w:pos="480"/>
      </w:tabs>
      <w:spacing w:line="360" w:lineRule="auto"/>
      <w:ind w:left="480"/>
    </w:pPr>
    <w:rPr>
      <w:sz w:val="24"/>
    </w:rPr>
  </w:style>
  <w:style w:type="paragraph" w:customStyle="1" w:styleId="2640">
    <w:name w:val="正文格式＝43"/>
    <w:basedOn w:val="184"/>
    <w:next w:val="184"/>
    <w:qFormat/>
    <w:uiPriority w:val="0"/>
    <w:rPr>
      <w:rFonts w:hAnsi="宋体"/>
    </w:rPr>
  </w:style>
  <w:style w:type="paragraph" w:customStyle="1" w:styleId="2641">
    <w:name w:val="样式 标题 3 + 段前: 12 磅13"/>
    <w:basedOn w:val="4"/>
    <w:qFormat/>
    <w:uiPriority w:val="0"/>
    <w:pPr>
      <w:keepNext w:val="0"/>
      <w:keepLines w:val="0"/>
      <w:widowControl/>
      <w:tabs>
        <w:tab w:val="left" w:pos="233"/>
      </w:tabs>
      <w:autoSpaceDE w:val="0"/>
      <w:autoSpaceDN w:val="0"/>
      <w:adjustRightInd w:val="0"/>
      <w:snapToGrid w:val="0"/>
      <w:spacing w:before="0" w:after="0" w:line="360" w:lineRule="auto"/>
      <w:ind w:left="233"/>
    </w:pPr>
    <w:rPr>
      <w:rFonts w:ascii="黑体" w:hAnsi="宋体" w:eastAsia="黑体" w:cs="宋体"/>
      <w:b w:val="0"/>
      <w:bCs w:val="0"/>
      <w:color w:val="000000"/>
      <w:kern w:val="21"/>
      <w:sz w:val="24"/>
      <w:szCs w:val="20"/>
    </w:rPr>
  </w:style>
  <w:style w:type="paragraph" w:customStyle="1" w:styleId="2642">
    <w:name w:val="表题141"/>
    <w:basedOn w:val="1"/>
    <w:qFormat/>
    <w:uiPriority w:val="0"/>
    <w:pPr>
      <w:widowControl/>
      <w:adjustRightInd w:val="0"/>
      <w:snapToGrid w:val="0"/>
      <w:jc w:val="center"/>
    </w:pPr>
    <w:rPr>
      <w:rFonts w:ascii="黑体" w:hAnsi="宋体" w:eastAsia="黑体" w:cs="宋体"/>
      <w:kern w:val="0"/>
      <w:sz w:val="24"/>
    </w:rPr>
  </w:style>
  <w:style w:type="paragraph" w:customStyle="1" w:styleId="2643">
    <w:name w:val="附件211"/>
    <w:basedOn w:val="2"/>
    <w:next w:val="184"/>
    <w:qFormat/>
    <w:uiPriority w:val="0"/>
    <w:pPr>
      <w:tabs>
        <w:tab w:val="left" w:pos="1566"/>
        <w:tab w:val="left" w:pos="2040"/>
      </w:tabs>
      <w:spacing w:before="0" w:after="210" w:line="360" w:lineRule="auto"/>
      <w:ind w:left="2040" w:leftChars="800" w:hanging="360" w:hangingChars="200"/>
      <w:jc w:val="left"/>
    </w:pPr>
    <w:rPr>
      <w:rFonts w:ascii="黑体" w:hAnsi="宋体" w:eastAsia="黑体"/>
      <w:b w:val="0"/>
      <w:sz w:val="32"/>
      <w:szCs w:val="32"/>
    </w:rPr>
  </w:style>
  <w:style w:type="paragraph" w:customStyle="1" w:styleId="2644">
    <w:name w:val="正文格式＝312"/>
    <w:basedOn w:val="184"/>
    <w:next w:val="184"/>
    <w:qFormat/>
    <w:uiPriority w:val="0"/>
    <w:rPr>
      <w:rFonts w:hAnsi="宋体"/>
    </w:rPr>
  </w:style>
  <w:style w:type="paragraph" w:customStyle="1" w:styleId="2645">
    <w:name w:val="CM52"/>
    <w:basedOn w:val="1"/>
    <w:next w:val="1"/>
    <w:qFormat/>
    <w:uiPriority w:val="0"/>
    <w:pPr>
      <w:autoSpaceDE w:val="0"/>
      <w:autoSpaceDN w:val="0"/>
      <w:adjustRightInd w:val="0"/>
      <w:spacing w:after="173" w:line="500" w:lineRule="exact"/>
      <w:jc w:val="left"/>
    </w:pPr>
    <w:rPr>
      <w:rFonts w:ascii="黑体" w:eastAsia="黑体"/>
      <w:kern w:val="0"/>
      <w:sz w:val="24"/>
      <w:szCs w:val="28"/>
    </w:rPr>
  </w:style>
  <w:style w:type="paragraph" w:customStyle="1" w:styleId="2646">
    <w:name w:val="Char Char Char Char Char Char Char Char Char Char Char Char Char Char Char Char Char Char Char Char Char Char Char Char Char Char Char Char Char Char Char Char Char Char Char Char Char"/>
    <w:basedOn w:val="1"/>
    <w:qFormat/>
    <w:uiPriority w:val="0"/>
    <w:rPr>
      <w:sz w:val="24"/>
    </w:rPr>
  </w:style>
  <w:style w:type="paragraph" w:customStyle="1" w:styleId="2647">
    <w:name w:val="燕山正文43"/>
    <w:basedOn w:val="1"/>
    <w:qFormat/>
    <w:uiPriority w:val="0"/>
    <w:pPr>
      <w:tabs>
        <w:tab w:val="left" w:pos="4680"/>
      </w:tabs>
      <w:adjustRightInd w:val="0"/>
      <w:snapToGrid w:val="0"/>
      <w:spacing w:line="480" w:lineRule="exact"/>
    </w:pPr>
    <w:rPr>
      <w:rFonts w:ascii="宋体" w:cs="宋体"/>
      <w:sz w:val="24"/>
    </w:rPr>
  </w:style>
  <w:style w:type="paragraph" w:customStyle="1" w:styleId="2648">
    <w:name w:val="Char Char Char Char Char Char Char Char Char Char Char1 Char Char Char Char Char Char1 Char"/>
    <w:basedOn w:val="1"/>
    <w:qFormat/>
    <w:uiPriority w:val="0"/>
    <w:rPr>
      <w:sz w:val="24"/>
    </w:rPr>
  </w:style>
  <w:style w:type="paragraph" w:customStyle="1" w:styleId="2649">
    <w:name w:val="正文 + 宋体 小四"/>
    <w:basedOn w:val="1"/>
    <w:qFormat/>
    <w:uiPriority w:val="0"/>
    <w:pPr>
      <w:adjustRightInd w:val="0"/>
      <w:snapToGrid w:val="0"/>
      <w:spacing w:line="360" w:lineRule="auto"/>
      <w:textAlignment w:val="baseline"/>
    </w:pPr>
    <w:rPr>
      <w:rFonts w:ascii="宋体" w:hAnsi="宋体" w:cs="华文行楷"/>
      <w:snapToGrid w:val="0"/>
      <w:kern w:val="0"/>
      <w:sz w:val="24"/>
      <w:szCs w:val="20"/>
    </w:rPr>
  </w:style>
  <w:style w:type="paragraph" w:customStyle="1" w:styleId="2650">
    <w:name w:val="q2"/>
    <w:basedOn w:val="1"/>
    <w:qFormat/>
    <w:uiPriority w:val="0"/>
    <w:pPr>
      <w:widowControl/>
      <w:spacing w:before="100" w:beforeAutospacing="1" w:after="100" w:afterAutospacing="1" w:line="270" w:lineRule="atLeast"/>
      <w:jc w:val="left"/>
    </w:pPr>
    <w:rPr>
      <w:rFonts w:ascii="Arial" w:hAnsi="Arial" w:cs="Arial"/>
      <w:color w:val="000000"/>
      <w:kern w:val="0"/>
      <w:sz w:val="18"/>
      <w:szCs w:val="18"/>
    </w:rPr>
  </w:style>
  <w:style w:type="paragraph" w:customStyle="1" w:styleId="2651">
    <w:name w:val="样式 标题 3 + 段前: 12 磅4"/>
    <w:basedOn w:val="4"/>
    <w:qFormat/>
    <w:uiPriority w:val="0"/>
    <w:pPr>
      <w:keepNext w:val="0"/>
      <w:keepLines w:val="0"/>
      <w:widowControl/>
      <w:tabs>
        <w:tab w:val="left" w:pos="233"/>
      </w:tabs>
      <w:autoSpaceDE w:val="0"/>
      <w:autoSpaceDN w:val="0"/>
      <w:adjustRightInd w:val="0"/>
      <w:snapToGrid w:val="0"/>
      <w:spacing w:before="0" w:after="0" w:line="360" w:lineRule="auto"/>
      <w:ind w:left="233"/>
    </w:pPr>
    <w:rPr>
      <w:rFonts w:ascii="黑体" w:hAnsi="宋体" w:eastAsia="黑体" w:cs="宋体"/>
      <w:b w:val="0"/>
      <w:bCs w:val="0"/>
      <w:color w:val="000000"/>
      <w:kern w:val="21"/>
      <w:sz w:val="24"/>
      <w:szCs w:val="20"/>
    </w:rPr>
  </w:style>
  <w:style w:type="paragraph" w:customStyle="1" w:styleId="2652">
    <w:name w:val="表题92"/>
    <w:basedOn w:val="44"/>
    <w:qFormat/>
    <w:uiPriority w:val="0"/>
    <w:pPr>
      <w:adjustRightInd w:val="0"/>
      <w:snapToGrid w:val="0"/>
      <w:spacing w:line="300" w:lineRule="auto"/>
      <w:jc w:val="center"/>
    </w:pPr>
    <w:rPr>
      <w:rFonts w:ascii="黑体" w:eastAsia="黑体" w:cs="Times New Roman"/>
      <w:sz w:val="24"/>
      <w:szCs w:val="20"/>
    </w:rPr>
  </w:style>
  <w:style w:type="paragraph" w:customStyle="1" w:styleId="2653">
    <w:name w:val="表内541412"/>
    <w:basedOn w:val="1"/>
    <w:qFormat/>
    <w:uiPriority w:val="0"/>
    <w:pPr>
      <w:adjustRightInd w:val="0"/>
      <w:snapToGrid w:val="0"/>
      <w:spacing w:line="300" w:lineRule="auto"/>
      <w:jc w:val="center"/>
    </w:pPr>
    <w:rPr>
      <w:rFonts w:ascii="宋体" w:hAnsi="宋体" w:cs="宋体"/>
      <w:szCs w:val="20"/>
    </w:rPr>
  </w:style>
  <w:style w:type="paragraph" w:customStyle="1" w:styleId="2654">
    <w:name w:val="正文.11"/>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2655">
    <w:name w:val="样式 表中文字 + 两端对齐"/>
    <w:basedOn w:val="1"/>
    <w:qFormat/>
    <w:uiPriority w:val="0"/>
    <w:pPr>
      <w:tabs>
        <w:tab w:val="left" w:pos="3286"/>
        <w:tab w:val="left" w:pos="8362"/>
      </w:tabs>
      <w:snapToGrid w:val="0"/>
      <w:spacing w:line="320" w:lineRule="exact"/>
    </w:pPr>
    <w:rPr>
      <w:rFonts w:ascii="Arial" w:hAnsi="Arial" w:eastAsia="楷体_GB2312" w:cs="宋体"/>
      <w:szCs w:val="21"/>
      <w:shd w:val="clear" w:color="auto" w:fill="FFFFFF"/>
    </w:rPr>
  </w:style>
  <w:style w:type="paragraph" w:customStyle="1" w:styleId="2656">
    <w:name w:val="字元"/>
    <w:basedOn w:val="1"/>
    <w:qFormat/>
    <w:uiPriority w:val="0"/>
    <w:rPr>
      <w:szCs w:val="21"/>
    </w:rPr>
  </w:style>
  <w:style w:type="paragraph" w:customStyle="1" w:styleId="2657">
    <w:name w:val="正文格式＝113"/>
    <w:basedOn w:val="184"/>
    <w:next w:val="184"/>
    <w:qFormat/>
    <w:uiPriority w:val="0"/>
    <w:rPr>
      <w:rFonts w:hAnsi="宋体"/>
    </w:rPr>
  </w:style>
  <w:style w:type="paragraph" w:customStyle="1" w:styleId="2658">
    <w:name w:val="Char Char Char Char Char Char Char120"/>
    <w:basedOn w:val="1"/>
    <w:qFormat/>
    <w:uiPriority w:val="0"/>
  </w:style>
  <w:style w:type="paragraph" w:customStyle="1" w:styleId="2659">
    <w:name w:val="Char230"/>
    <w:basedOn w:val="1"/>
    <w:qFormat/>
    <w:uiPriority w:val="0"/>
    <w:pPr>
      <w:ind w:left="-48"/>
    </w:pPr>
  </w:style>
  <w:style w:type="paragraph" w:customStyle="1" w:styleId="2660">
    <w:name w:val="b14-1-no"/>
    <w:basedOn w:val="1"/>
    <w:qFormat/>
    <w:uiPriority w:val="0"/>
    <w:pPr>
      <w:widowControl/>
      <w:spacing w:before="100" w:beforeAutospacing="1" w:after="100" w:afterAutospacing="1" w:line="270" w:lineRule="atLeast"/>
      <w:jc w:val="left"/>
    </w:pPr>
    <w:rPr>
      <w:rFonts w:eastAsia="Arial Unicode MS" w:cs="Arial Unicode MS"/>
      <w:color w:val="2E2E2E"/>
      <w:kern w:val="0"/>
      <w:sz w:val="20"/>
      <w:szCs w:val="20"/>
    </w:rPr>
  </w:style>
  <w:style w:type="paragraph" w:customStyle="1" w:styleId="2661">
    <w:name w:val="正文修改411"/>
    <w:basedOn w:val="1161"/>
    <w:qFormat/>
    <w:uiPriority w:val="0"/>
    <w:rPr>
      <w:rFonts w:hAnsi="宋体"/>
      <w:color w:val="000000"/>
    </w:rPr>
  </w:style>
  <w:style w:type="paragraph" w:customStyle="1" w:styleId="2662">
    <w:name w:val="表题31112"/>
    <w:basedOn w:val="34"/>
    <w:qFormat/>
    <w:uiPriority w:val="0"/>
    <w:pPr>
      <w:tabs>
        <w:tab w:val="left" w:pos="4305"/>
      </w:tabs>
      <w:adjustRightInd w:val="0"/>
      <w:snapToGrid w:val="0"/>
      <w:spacing w:after="0"/>
      <w:ind w:left="0" w:leftChars="0"/>
      <w:jc w:val="center"/>
    </w:pPr>
    <w:rPr>
      <w:rFonts w:ascii="宋体" w:hAnsi="宋体"/>
      <w:sz w:val="24"/>
      <w:szCs w:val="20"/>
    </w:rPr>
  </w:style>
  <w:style w:type="paragraph" w:customStyle="1" w:styleId="2663">
    <w:name w:val="Char Char Char Char Char Char Char51"/>
    <w:basedOn w:val="1"/>
    <w:qFormat/>
    <w:uiPriority w:val="0"/>
  </w:style>
  <w:style w:type="paragraph" w:customStyle="1" w:styleId="2664">
    <w:name w:val="表格内字体15"/>
    <w:basedOn w:val="184"/>
    <w:next w:val="184"/>
    <w:qFormat/>
    <w:uiPriority w:val="0"/>
    <w:pPr>
      <w:spacing w:line="240" w:lineRule="auto"/>
      <w:ind w:firstLine="0"/>
      <w:jc w:val="center"/>
    </w:pPr>
    <w:rPr>
      <w:rFonts w:hAnsi="宋体"/>
      <w:sz w:val="21"/>
    </w:rPr>
  </w:style>
  <w:style w:type="paragraph" w:customStyle="1" w:styleId="2665">
    <w:name w:val="Char Char Char Char Char Char Char221"/>
    <w:basedOn w:val="1"/>
    <w:qFormat/>
    <w:uiPriority w:val="0"/>
  </w:style>
  <w:style w:type="paragraph" w:customStyle="1" w:styleId="2666">
    <w:name w:val="正文.1"/>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2667">
    <w:name w:val="Char6 Char Char Char1 Char Char"/>
    <w:basedOn w:val="1"/>
    <w:qFormat/>
    <w:uiPriority w:val="0"/>
    <w:rPr>
      <w:szCs w:val="21"/>
    </w:rPr>
  </w:style>
  <w:style w:type="paragraph" w:customStyle="1" w:styleId="2668">
    <w:name w:val="俺的题目三"/>
    <w:basedOn w:val="1344"/>
    <w:next w:val="1344"/>
    <w:qFormat/>
    <w:uiPriority w:val="0"/>
    <w:pPr>
      <w:outlineLvl w:val="2"/>
    </w:pPr>
    <w:rPr>
      <w:rFonts w:ascii="Calibri" w:hAnsi="Calibri" w:eastAsia="黑体"/>
      <w:b/>
      <w:bCs/>
    </w:rPr>
  </w:style>
  <w:style w:type="paragraph" w:customStyle="1" w:styleId="2669">
    <w:name w:val="样式 标题 3 + 五号 加粗 段前: 0 磅 段后: 0 磅 行距: 单倍行距"/>
    <w:basedOn w:val="4"/>
    <w:qFormat/>
    <w:uiPriority w:val="0"/>
    <w:pPr>
      <w:tabs>
        <w:tab w:val="left" w:pos="233"/>
      </w:tabs>
      <w:spacing w:before="0" w:after="0" w:line="240" w:lineRule="auto"/>
      <w:ind w:left="233"/>
    </w:pPr>
    <w:rPr>
      <w:rFonts w:cs="宋体"/>
      <w:b w:val="0"/>
      <w:sz w:val="28"/>
      <w:szCs w:val="21"/>
    </w:rPr>
  </w:style>
  <w:style w:type="paragraph" w:customStyle="1" w:styleId="2670">
    <w:name w:val="表题3143"/>
    <w:basedOn w:val="34"/>
    <w:qFormat/>
    <w:uiPriority w:val="0"/>
    <w:pPr>
      <w:tabs>
        <w:tab w:val="left" w:pos="4305"/>
      </w:tabs>
      <w:adjustRightInd w:val="0"/>
      <w:snapToGrid w:val="0"/>
      <w:spacing w:after="0"/>
      <w:ind w:left="0" w:leftChars="0"/>
      <w:jc w:val="center"/>
    </w:pPr>
    <w:rPr>
      <w:rFonts w:ascii="宋体" w:hAnsi="宋体"/>
      <w:sz w:val="24"/>
      <w:szCs w:val="20"/>
    </w:rPr>
  </w:style>
  <w:style w:type="paragraph" w:customStyle="1" w:styleId="2671">
    <w:name w:val="Char Char Char1 Char Char Char Char Char Char Char Char Char"/>
    <w:basedOn w:val="1"/>
    <w:qFormat/>
    <w:uiPriority w:val="0"/>
    <w:rPr>
      <w:rFonts w:ascii="黑体" w:hAnsi="黑体" w:eastAsia="黑体"/>
      <w:b/>
      <w:spacing w:val="10"/>
      <w:sz w:val="28"/>
      <w:szCs w:val="20"/>
    </w:rPr>
  </w:style>
  <w:style w:type="paragraph" w:customStyle="1" w:styleId="2672">
    <w:name w:val="样式 左侧:  -0.16 厘米1"/>
    <w:basedOn w:val="1"/>
    <w:qFormat/>
    <w:uiPriority w:val="0"/>
    <w:pPr>
      <w:ind w:left="-90"/>
    </w:pPr>
    <w:rPr>
      <w:rFonts w:ascii="宋体" w:hAnsi="宋体" w:cs="宋体"/>
      <w:snapToGrid w:val="0"/>
      <w:kern w:val="0"/>
      <w:sz w:val="24"/>
    </w:rPr>
  </w:style>
  <w:style w:type="paragraph" w:customStyle="1" w:styleId="2673">
    <w:name w:val="Char329"/>
    <w:basedOn w:val="1"/>
    <w:qFormat/>
    <w:uiPriority w:val="0"/>
    <w:pPr>
      <w:ind w:left="-48"/>
    </w:pPr>
  </w:style>
  <w:style w:type="paragraph" w:customStyle="1" w:styleId="2674">
    <w:name w:val="Char Char2 Char Char Char Char1111"/>
    <w:basedOn w:val="1"/>
    <w:qFormat/>
    <w:uiPriority w:val="0"/>
  </w:style>
  <w:style w:type="paragraph" w:customStyle="1" w:styleId="2675">
    <w:name w:val="表格内字体2113"/>
    <w:basedOn w:val="184"/>
    <w:next w:val="184"/>
    <w:qFormat/>
    <w:uiPriority w:val="0"/>
    <w:pPr>
      <w:spacing w:line="240" w:lineRule="auto"/>
      <w:ind w:firstLine="0"/>
      <w:jc w:val="center"/>
    </w:pPr>
    <w:rPr>
      <w:rFonts w:hAnsi="宋体"/>
      <w:sz w:val="21"/>
    </w:rPr>
  </w:style>
  <w:style w:type="paragraph" w:customStyle="1" w:styleId="2676">
    <w:name w:val="Char4111"/>
    <w:basedOn w:val="1"/>
    <w:qFormat/>
    <w:uiPriority w:val="0"/>
    <w:pPr>
      <w:ind w:left="-48"/>
    </w:pPr>
  </w:style>
  <w:style w:type="paragraph" w:customStyle="1" w:styleId="2677">
    <w:name w:val="Char Char Char Char Char Char Char125"/>
    <w:basedOn w:val="1"/>
    <w:qFormat/>
    <w:uiPriority w:val="0"/>
  </w:style>
  <w:style w:type="paragraph" w:customStyle="1" w:styleId="2678">
    <w:name w:val="A正文11"/>
    <w:basedOn w:val="1"/>
    <w:qFormat/>
    <w:uiPriority w:val="0"/>
    <w:pPr>
      <w:widowControl/>
      <w:overflowPunct w:val="0"/>
      <w:autoSpaceDE w:val="0"/>
      <w:autoSpaceDN w:val="0"/>
      <w:adjustRightInd w:val="0"/>
      <w:spacing w:line="360" w:lineRule="auto"/>
      <w:ind w:firstLine="200" w:firstLineChars="200"/>
      <w:jc w:val="left"/>
      <w:textAlignment w:val="baseline"/>
    </w:pPr>
    <w:rPr>
      <w:rFonts w:eastAsia="仿宋_GB2312"/>
      <w:kern w:val="0"/>
      <w:sz w:val="24"/>
    </w:rPr>
  </w:style>
  <w:style w:type="paragraph" w:customStyle="1" w:styleId="2679">
    <w:name w:val="样式 样式 样式 样式 标题 4 + 段前: 0.5 行 段后: 0.5 行 + 段前: 0.5 行 段后: 0.5 行5 + ..."/>
    <w:basedOn w:val="2680"/>
    <w:qFormat/>
    <w:uiPriority w:val="0"/>
    <w:pPr>
      <w:spacing w:after="50"/>
    </w:pPr>
  </w:style>
  <w:style w:type="paragraph" w:customStyle="1" w:styleId="2680">
    <w:name w:val="样式 样式 样式 标题 4 + 段前: 0.5 行 段后: 0.5 行 + 段前: 0.5 行 段后: 0.5 行5 + 段前:...1"/>
    <w:basedOn w:val="2107"/>
    <w:qFormat/>
    <w:uiPriority w:val="0"/>
    <w:pPr>
      <w:adjustRightInd w:val="0"/>
      <w:spacing w:beforeLines="0" w:afterLines="0"/>
    </w:pPr>
  </w:style>
  <w:style w:type="paragraph" w:customStyle="1" w:styleId="2681">
    <w:name w:val="图题63"/>
    <w:basedOn w:val="184"/>
    <w:next w:val="184"/>
    <w:qFormat/>
    <w:uiPriority w:val="0"/>
    <w:pPr>
      <w:ind w:firstLine="0"/>
      <w:jc w:val="center"/>
    </w:pPr>
    <w:rPr>
      <w:rFonts w:ascii="黑体" w:hAnsi="宋体" w:eastAsia="黑体"/>
      <w:b/>
      <w:bCs/>
    </w:rPr>
  </w:style>
  <w:style w:type="paragraph" w:customStyle="1" w:styleId="2682">
    <w:name w:val="表格内字体54"/>
    <w:basedOn w:val="184"/>
    <w:next w:val="184"/>
    <w:qFormat/>
    <w:uiPriority w:val="0"/>
    <w:pPr>
      <w:adjustRightInd w:val="0"/>
      <w:snapToGrid w:val="0"/>
      <w:spacing w:line="240" w:lineRule="auto"/>
      <w:ind w:firstLine="0"/>
    </w:pPr>
    <w:rPr>
      <w:rFonts w:hAnsi="宋体"/>
      <w:sz w:val="21"/>
    </w:rPr>
  </w:style>
  <w:style w:type="paragraph" w:customStyle="1" w:styleId="2683">
    <w:name w:val="Char321"/>
    <w:basedOn w:val="1"/>
    <w:qFormat/>
    <w:uiPriority w:val="0"/>
    <w:pPr>
      <w:ind w:left="-48"/>
    </w:pPr>
  </w:style>
  <w:style w:type="paragraph" w:customStyle="1" w:styleId="2684">
    <w:name w:val="样式 标题 3小标题小节标题H3h33rd level第二层条标题4标题 3 Char标题 3 Char Ch..."/>
    <w:basedOn w:val="4"/>
    <w:qFormat/>
    <w:uiPriority w:val="0"/>
    <w:pPr>
      <w:tabs>
        <w:tab w:val="left" w:pos="233"/>
        <w:tab w:val="left" w:pos="993"/>
        <w:tab w:val="left" w:pos="1080"/>
      </w:tabs>
      <w:adjustRightInd w:val="0"/>
      <w:spacing w:before="0" w:after="0" w:line="500" w:lineRule="exact"/>
      <w:ind w:left="851" w:hanging="851"/>
      <w:textAlignment w:val="baseline"/>
    </w:pPr>
    <w:rPr>
      <w:rFonts w:ascii="Arial" w:hAnsi="Arial"/>
      <w:kern w:val="32"/>
      <w:sz w:val="28"/>
      <w:szCs w:val="28"/>
    </w:rPr>
  </w:style>
  <w:style w:type="paragraph" w:customStyle="1" w:styleId="2685">
    <w:name w:val="样式 正文文字 +"/>
    <w:basedOn w:val="1"/>
    <w:qFormat/>
    <w:uiPriority w:val="0"/>
    <w:pPr>
      <w:adjustRightInd w:val="0"/>
      <w:snapToGrid w:val="0"/>
      <w:spacing w:before="60" w:after="60" w:line="264" w:lineRule="auto"/>
      <w:ind w:firstLine="110" w:firstLineChars="110"/>
      <w:textAlignment w:val="baseline"/>
    </w:pPr>
    <w:rPr>
      <w:rFonts w:eastAsia="仿宋_GB2312"/>
      <w:snapToGrid w:val="0"/>
      <w:kern w:val="0"/>
      <w:sz w:val="24"/>
    </w:rPr>
  </w:style>
  <w:style w:type="paragraph" w:customStyle="1" w:styleId="2686">
    <w:name w:val="图题注12"/>
    <w:basedOn w:val="21"/>
    <w:qFormat/>
    <w:uiPriority w:val="0"/>
    <w:pPr>
      <w:tabs>
        <w:tab w:val="clear" w:pos="7380"/>
      </w:tabs>
      <w:overflowPunct/>
      <w:spacing w:before="0" w:afterLines="0"/>
      <w:jc w:val="center"/>
    </w:pPr>
    <w:rPr>
      <w:rFonts w:ascii="黑体" w:cs="宋体"/>
      <w:b/>
      <w:bCs/>
      <w:sz w:val="24"/>
      <w:szCs w:val="24"/>
    </w:rPr>
  </w:style>
  <w:style w:type="paragraph" w:customStyle="1" w:styleId="2687">
    <w:name w:val="列表结尾"/>
    <w:basedOn w:val="65"/>
    <w:next w:val="33"/>
    <w:qFormat/>
    <w:uiPriority w:val="0"/>
    <w:pPr>
      <w:widowControl/>
      <w:tabs>
        <w:tab w:val="left" w:pos="720"/>
      </w:tabs>
      <w:overflowPunct w:val="0"/>
      <w:autoSpaceDE w:val="0"/>
      <w:autoSpaceDN w:val="0"/>
      <w:adjustRightInd w:val="0"/>
      <w:spacing w:after="240" w:line="240" w:lineRule="auto"/>
      <w:ind w:left="720" w:hanging="360"/>
      <w:jc w:val="left"/>
      <w:textAlignment w:val="baseline"/>
    </w:pPr>
    <w:rPr>
      <w:rFonts w:ascii="Times New Roman" w:eastAsia="宋体"/>
      <w:kern w:val="0"/>
      <w:sz w:val="20"/>
      <w:szCs w:val="24"/>
    </w:rPr>
  </w:style>
  <w:style w:type="paragraph" w:customStyle="1" w:styleId="2688">
    <w:name w:val="表中居中文字"/>
    <w:basedOn w:val="1"/>
    <w:qFormat/>
    <w:uiPriority w:val="0"/>
    <w:pPr>
      <w:keepNext/>
      <w:widowControl/>
      <w:spacing w:line="360" w:lineRule="auto"/>
      <w:jc w:val="center"/>
    </w:pPr>
    <w:rPr>
      <w:rFonts w:ascii="宋体" w:hAnsi="宋体" w:cs="Arial"/>
      <w:sz w:val="24"/>
      <w:szCs w:val="18"/>
    </w:rPr>
  </w:style>
  <w:style w:type="paragraph" w:customStyle="1" w:styleId="2689">
    <w:name w:val="表内541312"/>
    <w:basedOn w:val="1"/>
    <w:qFormat/>
    <w:uiPriority w:val="0"/>
    <w:pPr>
      <w:adjustRightInd w:val="0"/>
      <w:snapToGrid w:val="0"/>
      <w:spacing w:line="300" w:lineRule="auto"/>
      <w:jc w:val="center"/>
    </w:pPr>
    <w:rPr>
      <w:rFonts w:ascii="宋体" w:hAnsi="宋体" w:cs="宋体"/>
      <w:szCs w:val="20"/>
    </w:rPr>
  </w:style>
  <w:style w:type="paragraph" w:customStyle="1" w:styleId="2690">
    <w:name w:val="Char6 Char Char Char1 Char Char Char"/>
    <w:basedOn w:val="1"/>
    <w:qFormat/>
    <w:uiPriority w:val="0"/>
    <w:rPr>
      <w:szCs w:val="21"/>
    </w:rPr>
  </w:style>
  <w:style w:type="paragraph" w:customStyle="1" w:styleId="2691">
    <w:name w:val="表内54121"/>
    <w:basedOn w:val="1"/>
    <w:qFormat/>
    <w:uiPriority w:val="0"/>
    <w:pPr>
      <w:adjustRightInd w:val="0"/>
      <w:snapToGrid w:val="0"/>
      <w:spacing w:line="300" w:lineRule="auto"/>
      <w:jc w:val="center"/>
    </w:pPr>
    <w:rPr>
      <w:rFonts w:ascii="宋体" w:hAnsi="宋体" w:cs="宋体"/>
      <w:szCs w:val="20"/>
    </w:rPr>
  </w:style>
  <w:style w:type="paragraph" w:customStyle="1" w:styleId="2692">
    <w:name w:val="表内五中"/>
    <w:basedOn w:val="1"/>
    <w:qFormat/>
    <w:uiPriority w:val="0"/>
    <w:pPr>
      <w:tabs>
        <w:tab w:val="left" w:pos="-120"/>
      </w:tabs>
      <w:spacing w:before="60" w:line="310" w:lineRule="atLeast"/>
      <w:jc w:val="center"/>
    </w:pPr>
    <w:rPr>
      <w:szCs w:val="20"/>
    </w:rPr>
  </w:style>
  <w:style w:type="paragraph" w:customStyle="1" w:styleId="2693">
    <w:name w:val="Char72"/>
    <w:basedOn w:val="1"/>
    <w:qFormat/>
    <w:uiPriority w:val="0"/>
    <w:pPr>
      <w:ind w:left="-48"/>
    </w:pPr>
  </w:style>
  <w:style w:type="paragraph" w:customStyle="1" w:styleId="2694">
    <w:name w:val="Char133"/>
    <w:basedOn w:val="1"/>
    <w:qFormat/>
    <w:uiPriority w:val="0"/>
    <w:pPr>
      <w:ind w:left="-48"/>
    </w:pPr>
  </w:style>
  <w:style w:type="paragraph" w:customStyle="1" w:styleId="2695">
    <w:name w:val="图表题13"/>
    <w:basedOn w:val="184"/>
    <w:next w:val="184"/>
    <w:qFormat/>
    <w:uiPriority w:val="0"/>
    <w:pPr>
      <w:ind w:firstLine="0"/>
      <w:jc w:val="center"/>
    </w:pPr>
    <w:rPr>
      <w:rFonts w:ascii="黑体" w:hAnsi="宋体" w:eastAsia="黑体"/>
      <w:b/>
      <w:bCs/>
    </w:rPr>
  </w:style>
  <w:style w:type="paragraph" w:customStyle="1" w:styleId="2696">
    <w:name w:val="Char3211"/>
    <w:basedOn w:val="1"/>
    <w:qFormat/>
    <w:uiPriority w:val="0"/>
    <w:pPr>
      <w:ind w:left="-48"/>
    </w:pPr>
  </w:style>
  <w:style w:type="paragraph" w:customStyle="1" w:styleId="2697">
    <w:name w:val="黑体三号212"/>
    <w:basedOn w:val="184"/>
    <w:qFormat/>
    <w:uiPriority w:val="0"/>
    <w:pPr>
      <w:jc w:val="center"/>
    </w:pPr>
    <w:rPr>
      <w:rFonts w:ascii="黑体" w:hAnsi="宋体" w:eastAsia="黑体"/>
      <w:b/>
      <w:bCs/>
      <w:sz w:val="32"/>
      <w:szCs w:val="20"/>
    </w:rPr>
  </w:style>
  <w:style w:type="paragraph" w:customStyle="1" w:styleId="2698">
    <w:name w:val="Char419"/>
    <w:basedOn w:val="1"/>
    <w:qFormat/>
    <w:uiPriority w:val="0"/>
    <w:pPr>
      <w:ind w:left="-48"/>
    </w:pPr>
  </w:style>
  <w:style w:type="paragraph" w:customStyle="1" w:styleId="2699">
    <w:name w:val="Default3"/>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2700">
    <w:name w:val="book1_1_1"/>
    <w:basedOn w:val="4"/>
    <w:qFormat/>
    <w:uiPriority w:val="0"/>
    <w:pPr>
      <w:keepNext w:val="0"/>
      <w:tabs>
        <w:tab w:val="left" w:pos="233"/>
        <w:tab w:val="left" w:pos="360"/>
        <w:tab w:val="left" w:pos="1050"/>
      </w:tabs>
      <w:spacing w:beforeLines="50" w:afterLines="50" w:line="400" w:lineRule="exact"/>
      <w:ind w:left="360"/>
    </w:pPr>
    <w:rPr>
      <w:b w:val="0"/>
      <w:sz w:val="24"/>
    </w:rPr>
  </w:style>
  <w:style w:type="paragraph" w:customStyle="1" w:styleId="2701">
    <w:name w:val="Char Char1 Char Char1 Char"/>
    <w:basedOn w:val="1"/>
    <w:qFormat/>
    <w:uiPriority w:val="0"/>
    <w:rPr>
      <w:szCs w:val="21"/>
    </w:rPr>
  </w:style>
  <w:style w:type="paragraph" w:customStyle="1" w:styleId="2702">
    <w:name w:val="表内531"/>
    <w:basedOn w:val="1"/>
    <w:qFormat/>
    <w:uiPriority w:val="0"/>
    <w:pPr>
      <w:adjustRightInd w:val="0"/>
      <w:snapToGrid w:val="0"/>
      <w:spacing w:line="300" w:lineRule="auto"/>
      <w:jc w:val="left"/>
    </w:pPr>
    <w:rPr>
      <w:rFonts w:ascii="宋体"/>
      <w:szCs w:val="20"/>
    </w:rPr>
  </w:style>
  <w:style w:type="paragraph" w:customStyle="1" w:styleId="2703">
    <w:name w:val="样式 正文（首行缩进两字） Char + 首行缩进:  2 字符"/>
    <w:basedOn w:val="20"/>
    <w:qFormat/>
    <w:uiPriority w:val="0"/>
    <w:pPr>
      <w:snapToGrid w:val="0"/>
      <w:spacing w:line="360" w:lineRule="auto"/>
      <w:ind w:firstLine="200"/>
      <w:jc w:val="left"/>
    </w:pPr>
    <w:rPr>
      <w:rFonts w:ascii="宋体" w:hAnsi="宋体"/>
      <w:sz w:val="24"/>
      <w:szCs w:val="20"/>
    </w:rPr>
  </w:style>
  <w:style w:type="paragraph" w:customStyle="1" w:styleId="2704">
    <w:name w:val="标题44"/>
    <w:basedOn w:val="1"/>
    <w:qFormat/>
    <w:uiPriority w:val="0"/>
    <w:pPr>
      <w:adjustRightInd w:val="0"/>
      <w:snapToGrid w:val="0"/>
      <w:spacing w:line="300" w:lineRule="auto"/>
      <w:jc w:val="left"/>
    </w:pPr>
    <w:rPr>
      <w:rFonts w:ascii="黑体" w:eastAsia="黑体"/>
      <w:bCs/>
      <w:sz w:val="24"/>
    </w:rPr>
  </w:style>
  <w:style w:type="paragraph" w:customStyle="1" w:styleId="2705">
    <w:name w:val="燕山正文1122"/>
    <w:basedOn w:val="1"/>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2706">
    <w:name w:val="表格内字体113"/>
    <w:basedOn w:val="184"/>
    <w:qFormat/>
    <w:uiPriority w:val="0"/>
    <w:pPr>
      <w:spacing w:line="240" w:lineRule="auto"/>
      <w:ind w:firstLine="0"/>
      <w:jc w:val="center"/>
    </w:pPr>
    <w:rPr>
      <w:sz w:val="21"/>
      <w:szCs w:val="20"/>
    </w:rPr>
  </w:style>
  <w:style w:type="paragraph" w:customStyle="1" w:styleId="2707">
    <w:name w:val="默认段落字体 Para Char Char Char Char8"/>
    <w:basedOn w:val="1"/>
    <w:qFormat/>
    <w:uiPriority w:val="0"/>
  </w:style>
  <w:style w:type="paragraph" w:customStyle="1" w:styleId="2708">
    <w:name w:val="表内"/>
    <w:basedOn w:val="1"/>
    <w:next w:val="1"/>
    <w:link w:val="4081"/>
    <w:qFormat/>
    <w:uiPriority w:val="0"/>
    <w:pPr>
      <w:adjustRightInd w:val="0"/>
      <w:snapToGrid w:val="0"/>
      <w:spacing w:before="120" w:after="120" w:line="288" w:lineRule="auto"/>
      <w:jc w:val="center"/>
    </w:pPr>
    <w:rPr>
      <w:snapToGrid w:val="0"/>
      <w:szCs w:val="20"/>
    </w:rPr>
  </w:style>
  <w:style w:type="paragraph" w:customStyle="1" w:styleId="2709">
    <w:name w:val="表格内字体312"/>
    <w:basedOn w:val="184"/>
    <w:next w:val="184"/>
    <w:qFormat/>
    <w:uiPriority w:val="0"/>
    <w:pPr>
      <w:spacing w:line="240" w:lineRule="auto"/>
      <w:ind w:firstLine="0"/>
      <w:jc w:val="center"/>
    </w:pPr>
    <w:rPr>
      <w:rFonts w:hAnsi="宋体"/>
      <w:sz w:val="21"/>
    </w:rPr>
  </w:style>
  <w:style w:type="paragraph" w:customStyle="1" w:styleId="2710">
    <w:name w:val="样式122"/>
    <w:basedOn w:val="2158"/>
    <w:qFormat/>
    <w:uiPriority w:val="0"/>
    <w:pPr>
      <w:spacing w:line="240" w:lineRule="auto"/>
      <w:ind w:firstLine="0"/>
      <w:jc w:val="center"/>
    </w:pPr>
    <w:rPr>
      <w:rFonts w:cs="Times New Roman"/>
      <w:b/>
      <w:color w:val="auto"/>
      <w:szCs w:val="20"/>
    </w:rPr>
  </w:style>
  <w:style w:type="paragraph" w:customStyle="1" w:styleId="2711">
    <w:name w:val="Char413"/>
    <w:basedOn w:val="1"/>
    <w:qFormat/>
    <w:uiPriority w:val="0"/>
    <w:pPr>
      <w:ind w:left="-48"/>
    </w:pPr>
  </w:style>
  <w:style w:type="paragraph" w:customStyle="1" w:styleId="2712">
    <w:name w:val="Char Char Char Char Char Char Char36"/>
    <w:basedOn w:val="1"/>
    <w:qFormat/>
    <w:uiPriority w:val="0"/>
  </w:style>
  <w:style w:type="paragraph" w:customStyle="1" w:styleId="2713">
    <w:name w:val="燕山正文4"/>
    <w:basedOn w:val="1"/>
    <w:qFormat/>
    <w:uiPriority w:val="0"/>
    <w:pPr>
      <w:tabs>
        <w:tab w:val="left" w:pos="4680"/>
      </w:tabs>
      <w:adjustRightInd w:val="0"/>
      <w:snapToGrid w:val="0"/>
      <w:spacing w:line="480" w:lineRule="exact"/>
    </w:pPr>
    <w:rPr>
      <w:rFonts w:ascii="宋体" w:cs="宋体"/>
      <w:sz w:val="24"/>
    </w:rPr>
  </w:style>
  <w:style w:type="paragraph" w:customStyle="1" w:styleId="2714">
    <w:name w:val="默认段落字体 Para Char Char Char1 Char Char Char Char"/>
    <w:basedOn w:val="1"/>
    <w:qFormat/>
    <w:uiPriority w:val="0"/>
    <w:rPr>
      <w:sz w:val="24"/>
    </w:rPr>
  </w:style>
  <w:style w:type="paragraph" w:customStyle="1" w:styleId="2715">
    <w:name w:val="正文缩进 2字符1"/>
    <w:basedOn w:val="1"/>
    <w:qFormat/>
    <w:uiPriority w:val="0"/>
    <w:pPr>
      <w:tabs>
        <w:tab w:val="left" w:pos="2160"/>
      </w:tabs>
      <w:snapToGrid w:val="0"/>
      <w:spacing w:before="120" w:after="120"/>
      <w:ind w:firstLine="480" w:firstLineChars="200"/>
    </w:pPr>
    <w:rPr>
      <w:rFonts w:eastAsia="仿宋_GB2312"/>
      <w:color w:val="000000"/>
      <w:szCs w:val="21"/>
    </w:rPr>
  </w:style>
  <w:style w:type="paragraph" w:customStyle="1" w:styleId="2716">
    <w:name w:val="正文修改7"/>
    <w:basedOn w:val="1161"/>
    <w:qFormat/>
    <w:uiPriority w:val="0"/>
    <w:rPr>
      <w:rFonts w:hAnsi="宋体"/>
      <w:color w:val="000000"/>
    </w:rPr>
  </w:style>
  <w:style w:type="paragraph" w:customStyle="1" w:styleId="2717">
    <w:name w:val="表样"/>
    <w:basedOn w:val="1"/>
    <w:qFormat/>
    <w:uiPriority w:val="0"/>
    <w:pPr>
      <w:autoSpaceDE w:val="0"/>
      <w:autoSpaceDN w:val="0"/>
      <w:adjustRightInd w:val="0"/>
      <w:jc w:val="center"/>
      <w:textAlignment w:val="bottom"/>
    </w:pPr>
    <w:rPr>
      <w:rFonts w:ascii="Arial" w:hAnsi="Arial" w:cs="Arial"/>
      <w:color w:val="0000FF"/>
      <w:spacing w:val="-20"/>
      <w:kern w:val="0"/>
      <w:szCs w:val="20"/>
    </w:rPr>
  </w:style>
  <w:style w:type="paragraph" w:customStyle="1" w:styleId="2718">
    <w:name w:val="表格内字体3"/>
    <w:basedOn w:val="184"/>
    <w:next w:val="184"/>
    <w:qFormat/>
    <w:uiPriority w:val="0"/>
    <w:pPr>
      <w:spacing w:line="240" w:lineRule="auto"/>
      <w:ind w:firstLine="0"/>
      <w:jc w:val="center"/>
    </w:pPr>
    <w:rPr>
      <w:rFonts w:hAnsi="宋体"/>
      <w:sz w:val="21"/>
    </w:rPr>
  </w:style>
  <w:style w:type="paragraph" w:customStyle="1" w:styleId="2719">
    <w:name w:val="Char117"/>
    <w:basedOn w:val="1"/>
    <w:qFormat/>
    <w:uiPriority w:val="0"/>
    <w:pPr>
      <w:ind w:left="-48"/>
    </w:pPr>
  </w:style>
  <w:style w:type="paragraph" w:customStyle="1" w:styleId="2720">
    <w:name w:val="附件11"/>
    <w:basedOn w:val="2"/>
    <w:next w:val="184"/>
    <w:qFormat/>
    <w:uiPriority w:val="0"/>
    <w:pPr>
      <w:tabs>
        <w:tab w:val="left" w:pos="1566"/>
        <w:tab w:val="left" w:pos="2040"/>
      </w:tabs>
      <w:spacing w:before="0" w:after="210" w:line="360" w:lineRule="auto"/>
      <w:ind w:left="2040" w:leftChars="800" w:hanging="360" w:hangingChars="200"/>
      <w:jc w:val="left"/>
    </w:pPr>
    <w:rPr>
      <w:rFonts w:ascii="黑体" w:hAnsi="宋体" w:eastAsia="黑体"/>
      <w:b w:val="0"/>
      <w:sz w:val="32"/>
      <w:szCs w:val="32"/>
    </w:rPr>
  </w:style>
  <w:style w:type="paragraph" w:customStyle="1" w:styleId="2721">
    <w:name w:val="样式 样式 样式 样式 样式 标题 1章标题 1b1 + 非加粗 黑色 居中 段前: 15.6 磅 段后: 15.6 磅 + 段..."/>
    <w:basedOn w:val="1"/>
    <w:qFormat/>
    <w:uiPriority w:val="0"/>
    <w:pPr>
      <w:keepNext/>
      <w:keepLines/>
      <w:spacing w:beforeLines="100" w:afterLines="100"/>
      <w:jc w:val="center"/>
      <w:outlineLvl w:val="0"/>
    </w:pPr>
    <w:rPr>
      <w:rFonts w:eastAsia="黑体"/>
      <w:b/>
      <w:kern w:val="44"/>
      <w:sz w:val="44"/>
      <w:szCs w:val="20"/>
    </w:rPr>
  </w:style>
  <w:style w:type="paragraph" w:customStyle="1" w:styleId="2722">
    <w:name w:val="表格内字体211"/>
    <w:basedOn w:val="184"/>
    <w:next w:val="184"/>
    <w:qFormat/>
    <w:uiPriority w:val="0"/>
    <w:pPr>
      <w:spacing w:line="240" w:lineRule="auto"/>
      <w:ind w:firstLine="0"/>
      <w:jc w:val="center"/>
    </w:pPr>
    <w:rPr>
      <w:rFonts w:hAnsi="宋体"/>
      <w:sz w:val="21"/>
    </w:rPr>
  </w:style>
  <w:style w:type="paragraph" w:customStyle="1" w:styleId="2723">
    <w:name w:val="表1表2"/>
    <w:basedOn w:val="1"/>
    <w:qFormat/>
    <w:uiPriority w:val="0"/>
    <w:pPr>
      <w:autoSpaceDE w:val="0"/>
      <w:autoSpaceDN w:val="0"/>
      <w:adjustRightInd w:val="0"/>
      <w:spacing w:line="360" w:lineRule="auto"/>
      <w:jc w:val="center"/>
      <w:textAlignment w:val="center"/>
    </w:pPr>
    <w:rPr>
      <w:rFonts w:eastAsia="仿宋_GB2312"/>
      <w:kern w:val="0"/>
      <w:sz w:val="24"/>
      <w:szCs w:val="21"/>
    </w:rPr>
  </w:style>
  <w:style w:type="paragraph" w:customStyle="1" w:styleId="2724">
    <w:name w:val="表中文字63"/>
    <w:basedOn w:val="1"/>
    <w:qFormat/>
    <w:uiPriority w:val="0"/>
    <w:pPr>
      <w:widowControl/>
      <w:spacing w:line="240" w:lineRule="atLeast"/>
      <w:ind w:left="-24" w:leftChars="-10" w:right="-48" w:rightChars="-20"/>
      <w:jc w:val="center"/>
    </w:pPr>
    <w:rPr>
      <w:rFonts w:ascii="宋体"/>
      <w:kern w:val="0"/>
      <w:szCs w:val="21"/>
    </w:rPr>
  </w:style>
  <w:style w:type="paragraph" w:customStyle="1" w:styleId="2725">
    <w:name w:val="样式 表格内字体1 +2"/>
    <w:basedOn w:val="2079"/>
    <w:next w:val="1875"/>
    <w:qFormat/>
    <w:uiPriority w:val="0"/>
    <w:rPr>
      <w:rFonts w:hAnsi="Times New Roman"/>
      <w:szCs w:val="20"/>
    </w:rPr>
  </w:style>
  <w:style w:type="paragraph" w:customStyle="1" w:styleId="2726">
    <w:name w:val="样式1213"/>
    <w:basedOn w:val="2158"/>
    <w:qFormat/>
    <w:uiPriority w:val="0"/>
    <w:pPr>
      <w:spacing w:line="240" w:lineRule="auto"/>
      <w:ind w:firstLine="0"/>
      <w:jc w:val="center"/>
    </w:pPr>
    <w:rPr>
      <w:rFonts w:cs="Times New Roman"/>
      <w:b/>
      <w:color w:val="auto"/>
      <w:szCs w:val="20"/>
    </w:rPr>
  </w:style>
  <w:style w:type="paragraph" w:customStyle="1" w:styleId="2727">
    <w:name w:val="表内54124"/>
    <w:basedOn w:val="1"/>
    <w:qFormat/>
    <w:uiPriority w:val="0"/>
    <w:pPr>
      <w:adjustRightInd w:val="0"/>
      <w:snapToGrid w:val="0"/>
      <w:spacing w:line="300" w:lineRule="auto"/>
      <w:jc w:val="center"/>
    </w:pPr>
    <w:rPr>
      <w:rFonts w:ascii="宋体" w:hAnsi="宋体" w:cs="宋体"/>
      <w:szCs w:val="20"/>
    </w:rPr>
  </w:style>
  <w:style w:type="paragraph" w:customStyle="1" w:styleId="2728">
    <w:name w:val="Char135"/>
    <w:basedOn w:val="1"/>
    <w:qFormat/>
    <w:uiPriority w:val="0"/>
    <w:pPr>
      <w:ind w:left="-48"/>
    </w:pPr>
  </w:style>
  <w:style w:type="paragraph" w:customStyle="1" w:styleId="2729">
    <w:name w:val="表格内字体74"/>
    <w:basedOn w:val="184"/>
    <w:next w:val="184"/>
    <w:qFormat/>
    <w:uiPriority w:val="0"/>
    <w:pPr>
      <w:spacing w:line="240" w:lineRule="auto"/>
      <w:ind w:firstLine="0"/>
      <w:jc w:val="center"/>
    </w:pPr>
    <w:rPr>
      <w:rFonts w:hAnsi="宋体"/>
      <w:sz w:val="21"/>
    </w:rPr>
  </w:style>
  <w:style w:type="paragraph" w:customStyle="1" w:styleId="2730">
    <w:name w:val="样式qqq"/>
    <w:basedOn w:val="1"/>
    <w:qFormat/>
    <w:uiPriority w:val="0"/>
    <w:pPr>
      <w:spacing w:line="360" w:lineRule="auto"/>
    </w:pPr>
  </w:style>
  <w:style w:type="paragraph" w:customStyle="1" w:styleId="2731">
    <w:name w:val="样式24"/>
    <w:basedOn w:val="1"/>
    <w:qFormat/>
    <w:uiPriority w:val="0"/>
    <w:pPr>
      <w:adjustRightInd w:val="0"/>
      <w:spacing w:line="360" w:lineRule="auto"/>
      <w:jc w:val="center"/>
      <w:textAlignment w:val="baseline"/>
      <w:outlineLvl w:val="0"/>
    </w:pPr>
    <w:rPr>
      <w:kern w:val="0"/>
      <w:szCs w:val="20"/>
    </w:rPr>
  </w:style>
  <w:style w:type="paragraph" w:customStyle="1" w:styleId="2732">
    <w:name w:val="燕山正文31"/>
    <w:basedOn w:val="1"/>
    <w:qFormat/>
    <w:uiPriority w:val="0"/>
    <w:pPr>
      <w:tabs>
        <w:tab w:val="left" w:pos="4680"/>
      </w:tabs>
      <w:adjustRightInd w:val="0"/>
      <w:snapToGrid w:val="0"/>
      <w:spacing w:line="480" w:lineRule="exact"/>
    </w:pPr>
    <w:rPr>
      <w:rFonts w:ascii="宋体" w:cs="宋体"/>
      <w:sz w:val="24"/>
    </w:rPr>
  </w:style>
  <w:style w:type="paragraph" w:customStyle="1" w:styleId="2733">
    <w:name w:val="Default11"/>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2734">
    <w:name w:val="样式 标题 4无效格式无效格式1河石管道4H4H41小小节河石管道41H42H411小小节1河石管道42...5"/>
    <w:basedOn w:val="5"/>
    <w:qFormat/>
    <w:uiPriority w:val="0"/>
    <w:pPr>
      <w:adjustRightInd w:val="0"/>
      <w:snapToGrid w:val="0"/>
      <w:spacing w:line="360" w:lineRule="auto"/>
      <w:ind w:left="664" w:hanging="864"/>
    </w:pPr>
    <w:rPr>
      <w:rFonts w:ascii="黑体" w:eastAsia="黑体"/>
      <w:bCs w:val="0"/>
      <w:sz w:val="24"/>
      <w:szCs w:val="24"/>
    </w:rPr>
  </w:style>
  <w:style w:type="paragraph" w:customStyle="1" w:styleId="2735">
    <w:name w:val="Char Char Char Char Char Char Char217"/>
    <w:basedOn w:val="1"/>
    <w:qFormat/>
    <w:uiPriority w:val="0"/>
  </w:style>
  <w:style w:type="paragraph" w:customStyle="1" w:styleId="2736">
    <w:name w:val="样式213"/>
    <w:basedOn w:val="1"/>
    <w:qFormat/>
    <w:uiPriority w:val="0"/>
    <w:pPr>
      <w:adjustRightInd w:val="0"/>
      <w:spacing w:line="360" w:lineRule="auto"/>
      <w:jc w:val="center"/>
      <w:textAlignment w:val="baseline"/>
      <w:outlineLvl w:val="0"/>
    </w:pPr>
    <w:rPr>
      <w:kern w:val="0"/>
      <w:szCs w:val="20"/>
    </w:rPr>
  </w:style>
  <w:style w:type="paragraph" w:customStyle="1" w:styleId="2737">
    <w:name w:val="表中文字123"/>
    <w:basedOn w:val="1"/>
    <w:qFormat/>
    <w:uiPriority w:val="0"/>
    <w:pPr>
      <w:widowControl/>
      <w:spacing w:line="240" w:lineRule="atLeast"/>
      <w:ind w:left="-24" w:leftChars="-10" w:right="-48" w:rightChars="-20"/>
      <w:jc w:val="center"/>
    </w:pPr>
    <w:rPr>
      <w:rFonts w:ascii="宋体"/>
      <w:kern w:val="0"/>
      <w:szCs w:val="21"/>
    </w:rPr>
  </w:style>
  <w:style w:type="paragraph" w:customStyle="1" w:styleId="2738">
    <w:name w:val="样式 标题 4无效格式无效格式1河石管道4H4H41小小节河石管道41H42H411小小节1河石管道42...111"/>
    <w:basedOn w:val="5"/>
    <w:qFormat/>
    <w:uiPriority w:val="0"/>
    <w:pPr>
      <w:adjustRightInd w:val="0"/>
      <w:snapToGrid w:val="0"/>
      <w:spacing w:line="360" w:lineRule="auto"/>
      <w:ind w:left="664" w:hanging="864"/>
      <w:jc w:val="left"/>
    </w:pPr>
    <w:rPr>
      <w:rFonts w:ascii="黑体" w:eastAsia="黑体" w:cs="宋体"/>
      <w:bCs w:val="0"/>
      <w:sz w:val="24"/>
      <w:szCs w:val="20"/>
    </w:rPr>
  </w:style>
  <w:style w:type="paragraph" w:customStyle="1" w:styleId="2739">
    <w:name w:val="样式 标题 4无效格式无效格式1河石管道4H4H41小小节河石管道41H42H411小小节1河石管道42...112"/>
    <w:basedOn w:val="5"/>
    <w:qFormat/>
    <w:uiPriority w:val="0"/>
    <w:pPr>
      <w:adjustRightInd w:val="0"/>
      <w:snapToGrid w:val="0"/>
      <w:spacing w:line="360" w:lineRule="auto"/>
      <w:ind w:left="664" w:hanging="864"/>
      <w:jc w:val="left"/>
    </w:pPr>
    <w:rPr>
      <w:rFonts w:ascii="黑体" w:eastAsia="黑体" w:cs="宋体"/>
      <w:bCs w:val="0"/>
      <w:sz w:val="24"/>
      <w:szCs w:val="20"/>
    </w:rPr>
  </w:style>
  <w:style w:type="paragraph" w:customStyle="1" w:styleId="2740">
    <w:name w:val="+列表1"/>
    <w:basedOn w:val="1"/>
    <w:qFormat/>
    <w:uiPriority w:val="0"/>
    <w:pPr>
      <w:jc w:val="center"/>
    </w:pPr>
    <w:rPr>
      <w:sz w:val="24"/>
    </w:rPr>
  </w:style>
  <w:style w:type="paragraph" w:customStyle="1" w:styleId="2741">
    <w:name w:val="标题431212"/>
    <w:basedOn w:val="1"/>
    <w:qFormat/>
    <w:uiPriority w:val="0"/>
    <w:pPr>
      <w:adjustRightInd w:val="0"/>
      <w:snapToGrid w:val="0"/>
      <w:spacing w:line="480" w:lineRule="exact"/>
      <w:jc w:val="center"/>
    </w:pPr>
    <w:rPr>
      <w:rFonts w:ascii="宋体" w:hAnsi="宋体" w:cs="宋体"/>
      <w:sz w:val="24"/>
    </w:rPr>
  </w:style>
  <w:style w:type="paragraph" w:customStyle="1" w:styleId="2742">
    <w:name w:val="表题3123"/>
    <w:basedOn w:val="34"/>
    <w:qFormat/>
    <w:uiPriority w:val="0"/>
    <w:pPr>
      <w:tabs>
        <w:tab w:val="left" w:pos="4305"/>
      </w:tabs>
      <w:adjustRightInd w:val="0"/>
      <w:snapToGrid w:val="0"/>
      <w:spacing w:after="0"/>
      <w:ind w:left="0" w:leftChars="0"/>
      <w:jc w:val="center"/>
    </w:pPr>
    <w:rPr>
      <w:rFonts w:ascii="宋体" w:hAnsi="宋体"/>
      <w:sz w:val="24"/>
      <w:szCs w:val="20"/>
    </w:rPr>
  </w:style>
  <w:style w:type="paragraph" w:customStyle="1" w:styleId="2743">
    <w:name w:val="Char Char Char Char Char Char Char210"/>
    <w:basedOn w:val="1"/>
    <w:qFormat/>
    <w:uiPriority w:val="0"/>
  </w:style>
  <w:style w:type="paragraph" w:customStyle="1" w:styleId="2744">
    <w:name w:val="报告书责任表"/>
    <w:basedOn w:val="1"/>
    <w:next w:val="1"/>
    <w:qFormat/>
    <w:uiPriority w:val="0"/>
    <w:pPr>
      <w:jc w:val="center"/>
    </w:pPr>
    <w:rPr>
      <w:rFonts w:ascii="宋体" w:hAnsi="宋体" w:cs="宋体"/>
      <w:b/>
      <w:bCs/>
      <w:sz w:val="30"/>
      <w:szCs w:val="20"/>
    </w:rPr>
  </w:style>
  <w:style w:type="paragraph" w:customStyle="1" w:styleId="2745">
    <w:name w:val="Char41"/>
    <w:basedOn w:val="1"/>
    <w:qFormat/>
    <w:uiPriority w:val="0"/>
    <w:pPr>
      <w:ind w:left="-48"/>
    </w:pPr>
  </w:style>
  <w:style w:type="paragraph" w:customStyle="1" w:styleId="2746">
    <w:name w:val="表内宋5"/>
    <w:basedOn w:val="2133"/>
    <w:qFormat/>
    <w:uiPriority w:val="0"/>
    <w:pPr>
      <w:widowControl/>
      <w:autoSpaceDE w:val="0"/>
      <w:autoSpaceDN w:val="0"/>
      <w:jc w:val="left"/>
      <w:textAlignment w:val="auto"/>
    </w:pPr>
    <w:rPr>
      <w:color w:val="auto"/>
      <w:w w:val="90"/>
    </w:rPr>
  </w:style>
  <w:style w:type="paragraph" w:customStyle="1" w:styleId="2747">
    <w:name w:val="正文修改5"/>
    <w:basedOn w:val="1161"/>
    <w:qFormat/>
    <w:uiPriority w:val="0"/>
    <w:rPr>
      <w:rFonts w:hAnsi="宋体"/>
      <w:color w:val="000000"/>
    </w:rPr>
  </w:style>
  <w:style w:type="paragraph" w:customStyle="1" w:styleId="2748">
    <w:name w:val="表格112"/>
    <w:basedOn w:val="1"/>
    <w:qFormat/>
    <w:uiPriority w:val="0"/>
    <w:pPr>
      <w:adjustRightInd w:val="0"/>
      <w:jc w:val="center"/>
      <w:textAlignment w:val="baseline"/>
    </w:pPr>
    <w:rPr>
      <w:rFonts w:ascii="宋体"/>
      <w:kern w:val="0"/>
      <w:sz w:val="24"/>
      <w:szCs w:val="20"/>
    </w:rPr>
  </w:style>
  <w:style w:type="paragraph" w:customStyle="1" w:styleId="2749">
    <w:name w:val="表文字53"/>
    <w:basedOn w:val="1"/>
    <w:qFormat/>
    <w:uiPriority w:val="0"/>
    <w:pPr>
      <w:adjustRightInd w:val="0"/>
      <w:jc w:val="left"/>
      <w:textAlignment w:val="baseline"/>
    </w:pPr>
    <w:rPr>
      <w:rFonts w:ascii="宋体"/>
      <w:kern w:val="0"/>
      <w:szCs w:val="20"/>
    </w:rPr>
  </w:style>
  <w:style w:type="paragraph" w:customStyle="1" w:styleId="2750">
    <w:name w:val="正文24"/>
    <w:qFormat/>
    <w:uiPriority w:val="0"/>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2751">
    <w:name w:val="样式 正文缩进 + 四号 Char Char Char"/>
    <w:basedOn w:val="20"/>
    <w:qFormat/>
    <w:uiPriority w:val="0"/>
    <w:pPr>
      <w:spacing w:line="480" w:lineRule="exact"/>
      <w:ind w:firstLine="0" w:firstLineChars="0"/>
    </w:pPr>
    <w:rPr>
      <w:sz w:val="28"/>
      <w:szCs w:val="20"/>
    </w:rPr>
  </w:style>
  <w:style w:type="paragraph" w:customStyle="1" w:styleId="2752">
    <w:name w:val="表内5中42"/>
    <w:basedOn w:val="1"/>
    <w:qFormat/>
    <w:uiPriority w:val="0"/>
    <w:pPr>
      <w:adjustRightInd w:val="0"/>
      <w:snapToGrid w:val="0"/>
      <w:jc w:val="center"/>
    </w:pPr>
    <w:rPr>
      <w:rFonts w:ascii="宋体"/>
      <w:bCs/>
      <w:szCs w:val="20"/>
    </w:rPr>
  </w:style>
  <w:style w:type="paragraph" w:customStyle="1" w:styleId="2753">
    <w:name w:val="表内宋5中6"/>
    <w:basedOn w:val="1"/>
    <w:qFormat/>
    <w:uiPriority w:val="0"/>
    <w:pPr>
      <w:adjustRightInd w:val="0"/>
      <w:snapToGrid w:val="0"/>
      <w:textAlignment w:val="baseline"/>
    </w:pPr>
    <w:rPr>
      <w:color w:val="000000"/>
      <w:kern w:val="0"/>
      <w:szCs w:val="20"/>
    </w:rPr>
  </w:style>
  <w:style w:type="paragraph" w:customStyle="1" w:styleId="2754">
    <w:name w:val="表内文字小3142"/>
    <w:basedOn w:val="1"/>
    <w:qFormat/>
    <w:uiPriority w:val="0"/>
    <w:pPr>
      <w:adjustRightInd w:val="0"/>
      <w:snapToGrid w:val="0"/>
      <w:jc w:val="center"/>
    </w:pPr>
    <w:rPr>
      <w:rFonts w:ascii="宋体" w:hAnsi="Times" w:cs="宋体"/>
      <w:bCs/>
      <w:color w:val="003366"/>
      <w:szCs w:val="20"/>
    </w:rPr>
  </w:style>
  <w:style w:type="paragraph" w:customStyle="1" w:styleId="2755">
    <w:name w:val="Char Char Char Char Char Char Char Char Char Char Char Char11"/>
    <w:basedOn w:val="1"/>
    <w:qFormat/>
    <w:uiPriority w:val="0"/>
    <w:pPr>
      <w:spacing w:line="240" w:lineRule="exact"/>
      <w:ind w:firstLine="200" w:firstLineChars="200"/>
    </w:pPr>
    <w:rPr>
      <w:sz w:val="28"/>
      <w:szCs w:val="28"/>
    </w:rPr>
  </w:style>
  <w:style w:type="paragraph" w:customStyle="1" w:styleId="2756">
    <w:name w:val="表题11"/>
    <w:basedOn w:val="21"/>
    <w:qFormat/>
    <w:uiPriority w:val="0"/>
    <w:pPr>
      <w:tabs>
        <w:tab w:val="clear" w:pos="7380"/>
      </w:tabs>
      <w:overflowPunct/>
      <w:spacing w:before="0" w:afterLines="0" w:line="360" w:lineRule="auto"/>
      <w:jc w:val="center"/>
    </w:pPr>
    <w:rPr>
      <w:rFonts w:ascii="黑体"/>
      <w:sz w:val="24"/>
      <w:szCs w:val="24"/>
    </w:rPr>
  </w:style>
  <w:style w:type="paragraph" w:customStyle="1" w:styleId="2757">
    <w:name w:val="正文格式611"/>
    <w:basedOn w:val="1"/>
    <w:qFormat/>
    <w:uiPriority w:val="0"/>
    <w:pPr>
      <w:spacing w:line="360" w:lineRule="auto"/>
      <w:ind w:firstLine="482"/>
    </w:pPr>
    <w:rPr>
      <w:rFonts w:ascii="宋体" w:hAnsi="宋体"/>
      <w:sz w:val="24"/>
    </w:rPr>
  </w:style>
  <w:style w:type="paragraph" w:customStyle="1" w:styleId="2758">
    <w:name w:val="新正文 Char Char Char Char"/>
    <w:basedOn w:val="1"/>
    <w:qFormat/>
    <w:uiPriority w:val="0"/>
    <w:pPr>
      <w:spacing w:line="480" w:lineRule="exact"/>
      <w:ind w:firstLine="482"/>
    </w:pPr>
    <w:rPr>
      <w:rFonts w:hint="eastAsia" w:ascii="仿宋_GB2312" w:eastAsia="仿宋_GB2312"/>
      <w:bCs/>
      <w:kern w:val="0"/>
      <w:sz w:val="28"/>
      <w:szCs w:val="20"/>
    </w:rPr>
  </w:style>
  <w:style w:type="paragraph" w:customStyle="1" w:styleId="2759">
    <w:name w:val="正文格式411"/>
    <w:basedOn w:val="1"/>
    <w:qFormat/>
    <w:uiPriority w:val="0"/>
    <w:pPr>
      <w:spacing w:line="360" w:lineRule="auto"/>
      <w:ind w:firstLine="482"/>
    </w:pPr>
    <w:rPr>
      <w:rFonts w:ascii="宋体" w:hAnsi="宋体"/>
      <w:sz w:val="24"/>
    </w:rPr>
  </w:style>
  <w:style w:type="paragraph" w:customStyle="1" w:styleId="2760">
    <w:name w:val="表内文字小34"/>
    <w:basedOn w:val="1"/>
    <w:qFormat/>
    <w:uiPriority w:val="0"/>
    <w:pPr>
      <w:adjustRightInd w:val="0"/>
      <w:snapToGrid w:val="0"/>
      <w:jc w:val="center"/>
    </w:pPr>
    <w:rPr>
      <w:rFonts w:ascii="宋体" w:hAnsi="Times"/>
      <w:szCs w:val="20"/>
    </w:rPr>
  </w:style>
  <w:style w:type="paragraph" w:customStyle="1" w:styleId="2761">
    <w:name w:val="text14 style1"/>
    <w:basedOn w:val="1"/>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paragraph" w:customStyle="1" w:styleId="2762">
    <w:name w:val="样式 标题 1h1H1PIM 1标书11.标题 1Section HeadHeader11st levell1..."/>
    <w:basedOn w:val="2"/>
    <w:qFormat/>
    <w:uiPriority w:val="0"/>
    <w:pPr>
      <w:tabs>
        <w:tab w:val="left" w:pos="2040"/>
      </w:tabs>
      <w:spacing w:before="240" w:after="240" w:line="500" w:lineRule="exact"/>
      <w:ind w:left="2040" w:leftChars="800" w:right="210" w:hanging="360" w:hangingChars="200"/>
    </w:pPr>
    <w:rPr>
      <w:rFonts w:eastAsia="黑体" w:cs="宋体"/>
      <w:color w:val="000000"/>
      <w:sz w:val="30"/>
      <w:szCs w:val="20"/>
    </w:rPr>
  </w:style>
  <w:style w:type="paragraph" w:customStyle="1" w:styleId="2763">
    <w:name w:val="texte"/>
    <w:basedOn w:val="1"/>
    <w:qFormat/>
    <w:uiPriority w:val="0"/>
    <w:pPr>
      <w:widowControl/>
      <w:ind w:left="1134" w:right="284"/>
    </w:pPr>
    <w:rPr>
      <w:kern w:val="0"/>
      <w:sz w:val="24"/>
      <w:szCs w:val="20"/>
      <w:lang w:val="en-GB" w:eastAsia="en-US"/>
    </w:rPr>
  </w:style>
  <w:style w:type="paragraph" w:customStyle="1" w:styleId="2764">
    <w:name w:val="样式 样式 宋体 + 首行缩进:  2 字符12"/>
    <w:basedOn w:val="1"/>
    <w:qFormat/>
    <w:uiPriority w:val="0"/>
    <w:pPr>
      <w:spacing w:line="360" w:lineRule="auto"/>
      <w:ind w:firstLine="480" w:firstLineChars="200"/>
      <w:jc w:val="left"/>
    </w:pPr>
    <w:rPr>
      <w:rFonts w:ascii="宋体" w:cs="宋体"/>
      <w:sz w:val="24"/>
    </w:rPr>
  </w:style>
  <w:style w:type="paragraph" w:customStyle="1" w:styleId="2765">
    <w:name w:val="表题163"/>
    <w:basedOn w:val="21"/>
    <w:qFormat/>
    <w:uiPriority w:val="0"/>
    <w:pPr>
      <w:tabs>
        <w:tab w:val="clear" w:pos="7380"/>
      </w:tabs>
      <w:overflowPunct/>
      <w:spacing w:before="0" w:afterLines="0" w:line="360" w:lineRule="auto"/>
      <w:jc w:val="center"/>
    </w:pPr>
    <w:rPr>
      <w:rFonts w:ascii="黑体"/>
      <w:b/>
      <w:sz w:val="24"/>
      <w:szCs w:val="24"/>
    </w:rPr>
  </w:style>
  <w:style w:type="paragraph" w:customStyle="1" w:styleId="2766">
    <w:name w:val="Char52"/>
    <w:basedOn w:val="1"/>
    <w:qFormat/>
    <w:uiPriority w:val="0"/>
    <w:pPr>
      <w:adjustRightInd w:val="0"/>
      <w:snapToGrid w:val="0"/>
      <w:ind w:left="-45"/>
    </w:pPr>
  </w:style>
  <w:style w:type="paragraph" w:customStyle="1" w:styleId="2767">
    <w:name w:val="表内宋51113"/>
    <w:basedOn w:val="80"/>
    <w:qFormat/>
    <w:uiPriority w:val="0"/>
    <w:pPr>
      <w:widowControl/>
      <w:adjustRightInd w:val="0"/>
      <w:snapToGrid w:val="0"/>
    </w:pPr>
    <w:rPr>
      <w:rFonts w:ascii="宋体" w:hAnsi="宋体" w:cs="宋体"/>
      <w:color w:val="000000"/>
      <w:sz w:val="21"/>
    </w:rPr>
  </w:style>
  <w:style w:type="paragraph" w:customStyle="1" w:styleId="2768">
    <w:name w:val="表题19"/>
    <w:basedOn w:val="21"/>
    <w:qFormat/>
    <w:uiPriority w:val="0"/>
    <w:pPr>
      <w:tabs>
        <w:tab w:val="clear" w:pos="7380"/>
      </w:tabs>
      <w:overflowPunct/>
      <w:spacing w:before="0" w:afterLines="0" w:line="360" w:lineRule="auto"/>
      <w:jc w:val="center"/>
    </w:pPr>
    <w:rPr>
      <w:rFonts w:ascii="黑体"/>
      <w:sz w:val="24"/>
      <w:szCs w:val="24"/>
    </w:rPr>
  </w:style>
  <w:style w:type="paragraph" w:customStyle="1" w:styleId="2769">
    <w:name w:val="正文格式3"/>
    <w:basedOn w:val="1"/>
    <w:qFormat/>
    <w:uiPriority w:val="0"/>
    <w:pPr>
      <w:spacing w:line="360" w:lineRule="auto"/>
      <w:ind w:firstLine="482"/>
    </w:pPr>
    <w:rPr>
      <w:rFonts w:ascii="宋体" w:hAnsi="宋体"/>
      <w:sz w:val="24"/>
    </w:rPr>
  </w:style>
  <w:style w:type="paragraph" w:customStyle="1" w:styleId="2770">
    <w:name w:val="表内5中44"/>
    <w:basedOn w:val="1"/>
    <w:qFormat/>
    <w:uiPriority w:val="0"/>
    <w:pPr>
      <w:adjustRightInd w:val="0"/>
      <w:snapToGrid w:val="0"/>
      <w:jc w:val="center"/>
    </w:pPr>
    <w:rPr>
      <w:rFonts w:ascii="宋体"/>
      <w:bCs/>
      <w:szCs w:val="20"/>
    </w:rPr>
  </w:style>
  <w:style w:type="paragraph" w:customStyle="1" w:styleId="2771">
    <w:name w:val="表内文字小3123"/>
    <w:basedOn w:val="1"/>
    <w:qFormat/>
    <w:uiPriority w:val="0"/>
    <w:pPr>
      <w:adjustRightInd w:val="0"/>
      <w:snapToGrid w:val="0"/>
      <w:jc w:val="center"/>
    </w:pPr>
    <w:rPr>
      <w:rFonts w:ascii="宋体" w:hAnsi="Times" w:cs="宋体"/>
      <w:bCs/>
      <w:color w:val="003366"/>
      <w:szCs w:val="20"/>
    </w:rPr>
  </w:style>
  <w:style w:type="paragraph" w:customStyle="1" w:styleId="2772">
    <w:name w:val="表211"/>
    <w:basedOn w:val="1"/>
    <w:qFormat/>
    <w:uiPriority w:val="0"/>
    <w:pPr>
      <w:adjustRightInd w:val="0"/>
      <w:snapToGrid w:val="0"/>
      <w:jc w:val="center"/>
    </w:pPr>
    <w:rPr>
      <w:rFonts w:eastAsia="仿宋_GB2312"/>
      <w:sz w:val="24"/>
    </w:rPr>
  </w:style>
  <w:style w:type="paragraph" w:customStyle="1" w:styleId="2773">
    <w:name w:val="Char118"/>
    <w:basedOn w:val="1"/>
    <w:qFormat/>
    <w:uiPriority w:val="0"/>
    <w:pPr>
      <w:adjustRightInd w:val="0"/>
      <w:snapToGrid w:val="0"/>
      <w:spacing w:beforeLines="50" w:line="360" w:lineRule="auto"/>
    </w:pPr>
    <w:rPr>
      <w:rFonts w:ascii="黑体" w:eastAsia="黑体"/>
      <w:sz w:val="32"/>
      <w:szCs w:val="32"/>
    </w:rPr>
  </w:style>
  <w:style w:type="paragraph" w:customStyle="1" w:styleId="2774">
    <w:name w:val="表内宋5中4"/>
    <w:basedOn w:val="1"/>
    <w:qFormat/>
    <w:uiPriority w:val="0"/>
    <w:pPr>
      <w:adjustRightInd w:val="0"/>
      <w:snapToGrid w:val="0"/>
      <w:textAlignment w:val="baseline"/>
    </w:pPr>
    <w:rPr>
      <w:color w:val="000000"/>
      <w:kern w:val="0"/>
      <w:szCs w:val="20"/>
    </w:rPr>
  </w:style>
  <w:style w:type="paragraph" w:customStyle="1" w:styleId="2775">
    <w:name w:val="表内文字小26"/>
    <w:basedOn w:val="1"/>
    <w:qFormat/>
    <w:uiPriority w:val="0"/>
    <w:pPr>
      <w:adjustRightInd w:val="0"/>
      <w:snapToGrid w:val="0"/>
      <w:jc w:val="center"/>
    </w:pPr>
    <w:rPr>
      <w:rFonts w:ascii="宋体" w:hAnsi="Times"/>
      <w:bCs/>
      <w:color w:val="000000"/>
      <w:szCs w:val="20"/>
    </w:rPr>
  </w:style>
  <w:style w:type="paragraph" w:customStyle="1" w:styleId="2776">
    <w:name w:val="居中"/>
    <w:basedOn w:val="1"/>
    <w:qFormat/>
    <w:uiPriority w:val="0"/>
    <w:pPr>
      <w:spacing w:line="440" w:lineRule="exact"/>
      <w:jc w:val="center"/>
    </w:pPr>
    <w:rPr>
      <w:sz w:val="24"/>
      <w:szCs w:val="20"/>
    </w:rPr>
  </w:style>
  <w:style w:type="paragraph" w:customStyle="1" w:styleId="2777">
    <w:name w:val="Char4 Char Char Char Char Char Char Char Char Char Char Char Char Char Char Char Char Char Char Char Char"/>
    <w:basedOn w:val="1"/>
    <w:qFormat/>
    <w:uiPriority w:val="0"/>
    <w:pPr>
      <w:spacing w:line="240" w:lineRule="exact"/>
      <w:ind w:firstLine="200" w:firstLineChars="200"/>
    </w:pPr>
    <w:rPr>
      <w:sz w:val="28"/>
      <w:szCs w:val="28"/>
    </w:rPr>
  </w:style>
  <w:style w:type="paragraph" w:customStyle="1" w:styleId="2778">
    <w:name w:val="表内5中14"/>
    <w:basedOn w:val="1"/>
    <w:qFormat/>
    <w:uiPriority w:val="0"/>
    <w:pPr>
      <w:adjustRightInd w:val="0"/>
      <w:snapToGrid w:val="0"/>
      <w:jc w:val="center"/>
    </w:pPr>
    <w:rPr>
      <w:rFonts w:ascii="宋体" w:hAnsi="宋体" w:cs="Arial"/>
      <w:snapToGrid w:val="0"/>
      <w:color w:val="000000"/>
      <w:szCs w:val="21"/>
    </w:rPr>
  </w:style>
  <w:style w:type="paragraph" w:customStyle="1" w:styleId="2779">
    <w:name w:val="表题144"/>
    <w:basedOn w:val="21"/>
    <w:qFormat/>
    <w:uiPriority w:val="0"/>
    <w:pPr>
      <w:tabs>
        <w:tab w:val="clear" w:pos="7380"/>
      </w:tabs>
      <w:overflowPunct/>
      <w:spacing w:before="0" w:afterLines="0" w:line="360" w:lineRule="auto"/>
      <w:jc w:val="center"/>
    </w:pPr>
    <w:rPr>
      <w:rFonts w:ascii="黑体"/>
      <w:b/>
      <w:sz w:val="24"/>
      <w:szCs w:val="24"/>
    </w:rPr>
  </w:style>
  <w:style w:type="paragraph" w:customStyle="1" w:styleId="2780">
    <w:name w:val="表内宋5中5"/>
    <w:basedOn w:val="1"/>
    <w:qFormat/>
    <w:uiPriority w:val="0"/>
    <w:pPr>
      <w:adjustRightInd w:val="0"/>
      <w:snapToGrid w:val="0"/>
      <w:textAlignment w:val="baseline"/>
    </w:pPr>
    <w:rPr>
      <w:color w:val="000000"/>
      <w:kern w:val="0"/>
      <w:szCs w:val="20"/>
    </w:rPr>
  </w:style>
  <w:style w:type="paragraph" w:customStyle="1" w:styleId="2781">
    <w:name w:val="图框文"/>
    <w:basedOn w:val="1"/>
    <w:qFormat/>
    <w:uiPriority w:val="0"/>
    <w:pPr>
      <w:ind w:left="-57" w:right="-57"/>
      <w:jc w:val="center"/>
    </w:pPr>
    <w:rPr>
      <w:rFonts w:ascii="宋体" w:hAnsi="Arial Black"/>
      <w:sz w:val="24"/>
      <w:szCs w:val="20"/>
    </w:rPr>
  </w:style>
  <w:style w:type="paragraph" w:customStyle="1" w:styleId="2782">
    <w:name w:val="表内宋5中12"/>
    <w:basedOn w:val="1"/>
    <w:qFormat/>
    <w:uiPriority w:val="0"/>
    <w:pPr>
      <w:adjustRightInd w:val="0"/>
      <w:snapToGrid w:val="0"/>
      <w:jc w:val="center"/>
      <w:textAlignment w:val="baseline"/>
    </w:pPr>
    <w:rPr>
      <w:rFonts w:ascii="宋体" w:hAnsi="宋体" w:cs="宋体"/>
      <w:kern w:val="0"/>
      <w:szCs w:val="20"/>
    </w:rPr>
  </w:style>
  <w:style w:type="paragraph" w:customStyle="1" w:styleId="2783">
    <w:name w:val="表内小5中11"/>
    <w:basedOn w:val="1"/>
    <w:qFormat/>
    <w:uiPriority w:val="0"/>
    <w:pPr>
      <w:adjustRightInd w:val="0"/>
      <w:snapToGrid w:val="0"/>
      <w:jc w:val="center"/>
    </w:pPr>
    <w:rPr>
      <w:rFonts w:ascii="宋体" w:hAnsi="宋体"/>
      <w:sz w:val="18"/>
      <w:szCs w:val="20"/>
    </w:rPr>
  </w:style>
  <w:style w:type="paragraph" w:customStyle="1" w:styleId="2784">
    <w:name w:val="表内文字小314"/>
    <w:basedOn w:val="1"/>
    <w:qFormat/>
    <w:uiPriority w:val="0"/>
    <w:pPr>
      <w:adjustRightInd w:val="0"/>
      <w:snapToGrid w:val="0"/>
      <w:jc w:val="center"/>
    </w:pPr>
    <w:rPr>
      <w:rFonts w:ascii="宋体" w:hAnsi="Times" w:cs="宋体"/>
      <w:bCs/>
      <w:color w:val="003366"/>
      <w:szCs w:val="20"/>
    </w:rPr>
  </w:style>
  <w:style w:type="paragraph" w:customStyle="1" w:styleId="2785">
    <w:name w:val="正文新 Char"/>
    <w:basedOn w:val="1"/>
    <w:qFormat/>
    <w:uiPriority w:val="0"/>
    <w:pPr>
      <w:spacing w:line="360" w:lineRule="auto"/>
      <w:ind w:firstLine="480" w:firstLineChars="200"/>
    </w:pPr>
    <w:rPr>
      <w:sz w:val="24"/>
      <w:szCs w:val="20"/>
    </w:rPr>
  </w:style>
  <w:style w:type="paragraph" w:customStyle="1" w:styleId="2786">
    <w:name w:val="Char Char Char1 Char Char Char1 Char Char Char Char Char Char Char Char Char Char Char Char Char Char Char Char"/>
    <w:basedOn w:val="1"/>
    <w:qFormat/>
    <w:uiPriority w:val="0"/>
    <w:pPr>
      <w:spacing w:line="240" w:lineRule="exact"/>
      <w:ind w:firstLine="200" w:firstLineChars="200"/>
    </w:pPr>
    <w:rPr>
      <w:sz w:val="28"/>
      <w:szCs w:val="28"/>
    </w:rPr>
  </w:style>
  <w:style w:type="paragraph" w:customStyle="1" w:styleId="2787">
    <w:name w:val="表内文字小2212"/>
    <w:basedOn w:val="1"/>
    <w:qFormat/>
    <w:uiPriority w:val="0"/>
    <w:pPr>
      <w:adjustRightInd w:val="0"/>
      <w:snapToGrid w:val="0"/>
      <w:jc w:val="center"/>
    </w:pPr>
    <w:rPr>
      <w:rFonts w:ascii="宋体" w:hAnsi="Times"/>
      <w:bCs/>
      <w:color w:val="000000"/>
      <w:szCs w:val="20"/>
    </w:rPr>
  </w:style>
  <w:style w:type="paragraph" w:customStyle="1" w:styleId="2788">
    <w:name w:val="表题1212"/>
    <w:basedOn w:val="21"/>
    <w:qFormat/>
    <w:uiPriority w:val="0"/>
    <w:pPr>
      <w:tabs>
        <w:tab w:val="clear" w:pos="7380"/>
      </w:tabs>
      <w:overflowPunct/>
      <w:spacing w:before="0" w:afterLines="0" w:line="360" w:lineRule="auto"/>
      <w:jc w:val="center"/>
    </w:pPr>
    <w:rPr>
      <w:rFonts w:ascii="黑体"/>
      <w:sz w:val="24"/>
      <w:szCs w:val="24"/>
    </w:rPr>
  </w:style>
  <w:style w:type="paragraph" w:customStyle="1" w:styleId="2789">
    <w:name w:val="样式 样式 宋体 + 首行缩进:  2 字符14"/>
    <w:basedOn w:val="1"/>
    <w:qFormat/>
    <w:uiPriority w:val="0"/>
    <w:pPr>
      <w:spacing w:line="360" w:lineRule="auto"/>
      <w:ind w:firstLine="480" w:firstLineChars="200"/>
      <w:jc w:val="left"/>
    </w:pPr>
    <w:rPr>
      <w:rFonts w:ascii="宋体" w:cs="宋体"/>
      <w:sz w:val="24"/>
    </w:rPr>
  </w:style>
  <w:style w:type="paragraph" w:customStyle="1" w:styleId="2790">
    <w:name w:val="正文格式21"/>
    <w:basedOn w:val="1"/>
    <w:qFormat/>
    <w:uiPriority w:val="0"/>
    <w:pPr>
      <w:spacing w:line="360" w:lineRule="auto"/>
      <w:ind w:firstLine="482"/>
    </w:pPr>
    <w:rPr>
      <w:rFonts w:ascii="宋体" w:hAnsi="宋体"/>
      <w:sz w:val="24"/>
    </w:rPr>
  </w:style>
  <w:style w:type="paragraph" w:customStyle="1" w:styleId="2791">
    <w:name w:val="正文格式312"/>
    <w:basedOn w:val="1"/>
    <w:qFormat/>
    <w:uiPriority w:val="0"/>
    <w:pPr>
      <w:spacing w:line="360" w:lineRule="auto"/>
      <w:ind w:firstLine="482"/>
    </w:pPr>
    <w:rPr>
      <w:rFonts w:ascii="宋体" w:hAnsi="宋体"/>
      <w:sz w:val="24"/>
    </w:rPr>
  </w:style>
  <w:style w:type="paragraph" w:customStyle="1" w:styleId="2792">
    <w:name w:val="燕正文"/>
    <w:basedOn w:val="34"/>
    <w:qFormat/>
    <w:uiPriority w:val="0"/>
    <w:pPr>
      <w:pBdr>
        <w:top w:val="single" w:color="auto" w:sz="4" w:space="1"/>
      </w:pBdr>
      <w:spacing w:after="0" w:line="480" w:lineRule="atLeast"/>
      <w:ind w:left="0" w:leftChars="0" w:firstLine="480" w:firstLineChars="200"/>
    </w:pPr>
    <w:rPr>
      <w:rFonts w:cs="宋体"/>
      <w:sz w:val="24"/>
    </w:rPr>
  </w:style>
  <w:style w:type="paragraph" w:customStyle="1" w:styleId="2793">
    <w:name w:val="Char Char7 Char Char1 Char"/>
    <w:basedOn w:val="1"/>
    <w:qFormat/>
    <w:uiPriority w:val="0"/>
    <w:pPr>
      <w:spacing w:line="240" w:lineRule="exact"/>
      <w:ind w:firstLine="200" w:firstLineChars="200"/>
    </w:pPr>
    <w:rPr>
      <w:sz w:val="28"/>
      <w:szCs w:val="28"/>
    </w:rPr>
  </w:style>
  <w:style w:type="paragraph" w:customStyle="1" w:styleId="2794">
    <w:name w:val="表文字541"/>
    <w:basedOn w:val="1"/>
    <w:qFormat/>
    <w:uiPriority w:val="0"/>
    <w:pPr>
      <w:adjustRightInd w:val="0"/>
      <w:jc w:val="left"/>
      <w:textAlignment w:val="baseline"/>
    </w:pPr>
    <w:rPr>
      <w:rFonts w:ascii="宋体"/>
      <w:kern w:val="0"/>
      <w:szCs w:val="20"/>
    </w:rPr>
  </w:style>
  <w:style w:type="paragraph" w:customStyle="1" w:styleId="2795">
    <w:name w:val="正文格式613"/>
    <w:basedOn w:val="1"/>
    <w:qFormat/>
    <w:uiPriority w:val="0"/>
    <w:pPr>
      <w:spacing w:line="360" w:lineRule="auto"/>
      <w:ind w:firstLine="482"/>
    </w:pPr>
    <w:rPr>
      <w:rFonts w:ascii="宋体" w:hAnsi="宋体"/>
      <w:sz w:val="24"/>
    </w:rPr>
  </w:style>
  <w:style w:type="paragraph" w:customStyle="1" w:styleId="2796">
    <w:name w:val="正文格式1"/>
    <w:basedOn w:val="1"/>
    <w:qFormat/>
    <w:uiPriority w:val="0"/>
    <w:pPr>
      <w:spacing w:line="360" w:lineRule="auto"/>
      <w:ind w:firstLine="482"/>
    </w:pPr>
    <w:rPr>
      <w:rFonts w:ascii="宋体" w:hAnsi="宋体"/>
      <w:sz w:val="24"/>
    </w:rPr>
  </w:style>
  <w:style w:type="paragraph" w:customStyle="1" w:styleId="2797">
    <w:name w:val="23-47表名13"/>
    <w:basedOn w:val="1"/>
    <w:qFormat/>
    <w:uiPriority w:val="0"/>
    <w:pPr>
      <w:spacing w:afterLines="50" w:line="440" w:lineRule="exact"/>
      <w:jc w:val="center"/>
    </w:pPr>
    <w:rPr>
      <w:rFonts w:ascii="宋体" w:hAnsi="宋体"/>
      <w:b/>
      <w:sz w:val="24"/>
    </w:rPr>
  </w:style>
  <w:style w:type="paragraph" w:customStyle="1" w:styleId="2798">
    <w:name w:val="表文字5313"/>
    <w:basedOn w:val="1"/>
    <w:qFormat/>
    <w:uiPriority w:val="0"/>
    <w:pPr>
      <w:adjustRightInd w:val="0"/>
      <w:jc w:val="left"/>
      <w:textAlignment w:val="baseline"/>
    </w:pPr>
    <w:rPr>
      <w:rFonts w:ascii="宋体"/>
      <w:kern w:val="0"/>
      <w:szCs w:val="20"/>
    </w:rPr>
  </w:style>
  <w:style w:type="paragraph" w:customStyle="1" w:styleId="2799">
    <w:name w:val="默认段落字体 Para Char41"/>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2800">
    <w:name w:val="haydonli"/>
    <w:basedOn w:val="1"/>
    <w:qFormat/>
    <w:uiPriority w:val="0"/>
    <w:pPr>
      <w:snapToGrid w:val="0"/>
      <w:spacing w:line="360" w:lineRule="auto"/>
      <w:ind w:firstLine="200" w:firstLineChars="200"/>
    </w:pPr>
    <w:rPr>
      <w:kern w:val="0"/>
      <w:sz w:val="24"/>
    </w:rPr>
  </w:style>
  <w:style w:type="paragraph" w:customStyle="1" w:styleId="2801">
    <w:name w:val="样式 haydonli + 首行缩进:  2 字符"/>
    <w:basedOn w:val="2800"/>
    <w:qFormat/>
    <w:uiPriority w:val="0"/>
    <w:pPr>
      <w:adjustRightInd w:val="0"/>
      <w:spacing w:line="420" w:lineRule="exact"/>
      <w:ind w:firstLine="540" w:firstLineChars="225"/>
    </w:pPr>
    <w:rPr>
      <w:rFonts w:ascii="宋体" w:hAnsi="宋体" w:cs="宋体"/>
      <w:bCs/>
      <w:kern w:val="2"/>
    </w:rPr>
  </w:style>
  <w:style w:type="paragraph" w:customStyle="1" w:styleId="2802">
    <w:name w:val="正文格式214"/>
    <w:basedOn w:val="1"/>
    <w:qFormat/>
    <w:uiPriority w:val="0"/>
    <w:pPr>
      <w:spacing w:line="360" w:lineRule="auto"/>
      <w:ind w:firstLine="482"/>
    </w:pPr>
    <w:rPr>
      <w:rFonts w:ascii="宋体" w:hAnsi="宋体"/>
      <w:sz w:val="24"/>
    </w:rPr>
  </w:style>
  <w:style w:type="paragraph" w:customStyle="1" w:styleId="2803">
    <w:name w:val="Char121"/>
    <w:basedOn w:val="1"/>
    <w:qFormat/>
    <w:uiPriority w:val="0"/>
    <w:pPr>
      <w:adjustRightInd w:val="0"/>
      <w:snapToGrid w:val="0"/>
      <w:spacing w:line="360" w:lineRule="auto"/>
    </w:pPr>
  </w:style>
  <w:style w:type="paragraph" w:customStyle="1" w:styleId="2804">
    <w:name w:val="Char Char7 Char Char1 Char Char Char"/>
    <w:basedOn w:val="1"/>
    <w:qFormat/>
    <w:uiPriority w:val="0"/>
    <w:pPr>
      <w:spacing w:line="240" w:lineRule="exact"/>
      <w:ind w:firstLine="200" w:firstLineChars="200"/>
    </w:pPr>
    <w:rPr>
      <w:sz w:val="28"/>
      <w:szCs w:val="28"/>
    </w:rPr>
  </w:style>
  <w:style w:type="paragraph" w:customStyle="1" w:styleId="2805">
    <w:name w:val="正文格式711"/>
    <w:basedOn w:val="1"/>
    <w:qFormat/>
    <w:uiPriority w:val="0"/>
    <w:pPr>
      <w:spacing w:line="360" w:lineRule="auto"/>
      <w:ind w:firstLine="482"/>
    </w:pPr>
    <w:rPr>
      <w:rFonts w:ascii="宋体" w:hAnsi="宋体"/>
      <w:sz w:val="24"/>
    </w:rPr>
  </w:style>
  <w:style w:type="paragraph" w:customStyle="1" w:styleId="2806">
    <w:name w:val="表内宋51123"/>
    <w:basedOn w:val="80"/>
    <w:qFormat/>
    <w:uiPriority w:val="0"/>
    <w:pPr>
      <w:widowControl/>
      <w:adjustRightInd w:val="0"/>
      <w:snapToGrid w:val="0"/>
    </w:pPr>
    <w:rPr>
      <w:rFonts w:ascii="宋体" w:hAnsi="宋体" w:cs="宋体"/>
      <w:color w:val="000000"/>
      <w:sz w:val="21"/>
    </w:rPr>
  </w:style>
  <w:style w:type="paragraph" w:customStyle="1" w:styleId="2807">
    <w:name w:val="表内宋5中3"/>
    <w:basedOn w:val="1"/>
    <w:qFormat/>
    <w:uiPriority w:val="0"/>
    <w:pPr>
      <w:adjustRightInd w:val="0"/>
      <w:snapToGrid w:val="0"/>
      <w:textAlignment w:val="baseline"/>
    </w:pPr>
    <w:rPr>
      <w:color w:val="000000"/>
      <w:kern w:val="0"/>
      <w:szCs w:val="20"/>
    </w:rPr>
  </w:style>
  <w:style w:type="paragraph" w:customStyle="1" w:styleId="2808">
    <w:name w:val="表内文字小3"/>
    <w:basedOn w:val="1"/>
    <w:qFormat/>
    <w:uiPriority w:val="0"/>
    <w:pPr>
      <w:adjustRightInd w:val="0"/>
      <w:snapToGrid w:val="0"/>
      <w:jc w:val="center"/>
    </w:pPr>
    <w:rPr>
      <w:rFonts w:ascii="宋体" w:hAnsi="Times"/>
      <w:szCs w:val="20"/>
    </w:rPr>
  </w:style>
  <w:style w:type="paragraph" w:customStyle="1" w:styleId="2809">
    <w:name w:val="表内宋5中33"/>
    <w:basedOn w:val="1"/>
    <w:qFormat/>
    <w:uiPriority w:val="0"/>
    <w:pPr>
      <w:adjustRightInd w:val="0"/>
      <w:snapToGrid w:val="0"/>
      <w:textAlignment w:val="baseline"/>
    </w:pPr>
    <w:rPr>
      <w:color w:val="000000"/>
      <w:kern w:val="0"/>
      <w:szCs w:val="20"/>
    </w:rPr>
  </w:style>
  <w:style w:type="paragraph" w:customStyle="1" w:styleId="2810">
    <w:name w:val="Char1011"/>
    <w:basedOn w:val="1"/>
    <w:qFormat/>
    <w:uiPriority w:val="0"/>
    <w:pPr>
      <w:adjustRightInd w:val="0"/>
      <w:snapToGrid w:val="0"/>
      <w:spacing w:line="360" w:lineRule="auto"/>
    </w:pPr>
  </w:style>
  <w:style w:type="paragraph" w:customStyle="1" w:styleId="2811">
    <w:name w:val="环评正文1"/>
    <w:basedOn w:val="232"/>
    <w:qFormat/>
    <w:uiPriority w:val="0"/>
    <w:pPr>
      <w:ind w:firstLine="0" w:firstLineChars="0"/>
    </w:pPr>
    <w:rPr>
      <w:rFonts w:hAnsi="宋体"/>
      <w:szCs w:val="28"/>
    </w:rPr>
  </w:style>
  <w:style w:type="paragraph" w:customStyle="1" w:styleId="2812">
    <w:name w:val="表内5中4"/>
    <w:basedOn w:val="1"/>
    <w:qFormat/>
    <w:uiPriority w:val="0"/>
    <w:pPr>
      <w:adjustRightInd w:val="0"/>
      <w:snapToGrid w:val="0"/>
      <w:jc w:val="center"/>
    </w:pPr>
    <w:rPr>
      <w:rFonts w:ascii="宋体"/>
      <w:bCs/>
      <w:szCs w:val="20"/>
    </w:rPr>
  </w:style>
  <w:style w:type="paragraph" w:customStyle="1" w:styleId="2813">
    <w:name w:val="正文文字（首行缩进2字）"/>
    <w:basedOn w:val="1"/>
    <w:qFormat/>
    <w:uiPriority w:val="0"/>
    <w:pPr>
      <w:spacing w:line="360" w:lineRule="auto"/>
      <w:ind w:firstLine="200" w:firstLineChars="200"/>
    </w:pPr>
    <w:rPr>
      <w:rFonts w:ascii="Arial" w:hAnsi="Arial"/>
      <w:position w:val="-30"/>
      <w:sz w:val="28"/>
    </w:rPr>
  </w:style>
  <w:style w:type="paragraph" w:customStyle="1" w:styleId="2814">
    <w:name w:val="xl633"/>
    <w:basedOn w:val="1"/>
    <w:qFormat/>
    <w:uiPriority w:val="0"/>
    <w:pPr>
      <w:widowControl/>
      <w:spacing w:before="100" w:beforeAutospacing="1" w:after="100" w:afterAutospacing="1"/>
      <w:jc w:val="center"/>
      <w:textAlignment w:val="center"/>
    </w:pPr>
    <w:rPr>
      <w:rFonts w:hint="eastAsia" w:ascii="黑体" w:hAnsi="宋体" w:eastAsia="黑体"/>
      <w:kern w:val="0"/>
      <w:sz w:val="24"/>
    </w:rPr>
  </w:style>
  <w:style w:type="paragraph" w:customStyle="1" w:styleId="2815">
    <w:name w:val="默认段落字体 Para Char13"/>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2816">
    <w:name w:val="正文211"/>
    <w:qFormat/>
    <w:uiPriority w:val="0"/>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2817">
    <w:name w:val="表题31313"/>
    <w:basedOn w:val="34"/>
    <w:qFormat/>
    <w:uiPriority w:val="0"/>
    <w:pPr>
      <w:tabs>
        <w:tab w:val="left" w:pos="4305"/>
      </w:tabs>
      <w:adjustRightInd w:val="0"/>
      <w:snapToGrid w:val="0"/>
      <w:spacing w:after="0"/>
      <w:ind w:left="0" w:leftChars="0"/>
      <w:jc w:val="center"/>
    </w:pPr>
    <w:rPr>
      <w:rFonts w:ascii="宋体" w:hAnsi="宋体"/>
      <w:sz w:val="24"/>
      <w:szCs w:val="20"/>
    </w:rPr>
  </w:style>
  <w:style w:type="paragraph" w:customStyle="1" w:styleId="2818">
    <w:name w:val="表名称"/>
    <w:basedOn w:val="1"/>
    <w:qFormat/>
    <w:uiPriority w:val="0"/>
    <w:pPr>
      <w:tabs>
        <w:tab w:val="left" w:pos="-120"/>
      </w:tabs>
      <w:overflowPunct w:val="0"/>
      <w:topLinePunct/>
      <w:autoSpaceDE w:val="0"/>
      <w:adjustRightInd w:val="0"/>
      <w:snapToGrid w:val="0"/>
      <w:spacing w:before="240" w:after="120"/>
      <w:jc w:val="center"/>
      <w:textAlignment w:val="baseline"/>
    </w:pPr>
    <w:rPr>
      <w:rFonts w:ascii="宋体" w:hAnsi="宋体"/>
      <w:b/>
      <w:bCs/>
      <w:color w:val="000000"/>
      <w:spacing w:val="16"/>
      <w:kern w:val="0"/>
      <w:sz w:val="24"/>
      <w:szCs w:val="20"/>
    </w:rPr>
  </w:style>
  <w:style w:type="paragraph" w:customStyle="1" w:styleId="2819">
    <w:name w:val="表内文字边11"/>
    <w:basedOn w:val="1"/>
    <w:qFormat/>
    <w:uiPriority w:val="0"/>
    <w:pPr>
      <w:widowControl/>
      <w:adjustRightInd w:val="0"/>
      <w:snapToGrid w:val="0"/>
      <w:spacing w:line="240" w:lineRule="atLeast"/>
      <w:ind w:left="-21" w:leftChars="-10" w:right="-42" w:rightChars="-20"/>
    </w:pPr>
    <w:rPr>
      <w:rFonts w:ascii="宋体"/>
      <w:kern w:val="0"/>
      <w:szCs w:val="21"/>
    </w:rPr>
  </w:style>
  <w:style w:type="paragraph" w:customStyle="1" w:styleId="2820">
    <w:name w:val="燕山正文1133"/>
    <w:basedOn w:val="1"/>
    <w:qFormat/>
    <w:uiPriority w:val="0"/>
    <w:pPr>
      <w:tabs>
        <w:tab w:val="left" w:pos="4680"/>
      </w:tabs>
      <w:adjustRightInd w:val="0"/>
      <w:snapToGrid w:val="0"/>
      <w:spacing w:line="360" w:lineRule="auto"/>
      <w:ind w:firstLine="480" w:firstLineChars="200"/>
    </w:pPr>
    <w:rPr>
      <w:rFonts w:ascii="宋体" w:hAnsi="宋体" w:cs="宋体"/>
      <w:bCs/>
      <w:snapToGrid w:val="0"/>
      <w:color w:val="000000"/>
      <w:kern w:val="0"/>
      <w:sz w:val="24"/>
    </w:rPr>
  </w:style>
  <w:style w:type="paragraph" w:customStyle="1" w:styleId="2821">
    <w:name w:val="Char57"/>
    <w:basedOn w:val="1"/>
    <w:qFormat/>
    <w:uiPriority w:val="0"/>
    <w:pPr>
      <w:ind w:left="-48"/>
    </w:pPr>
  </w:style>
  <w:style w:type="paragraph" w:customStyle="1" w:styleId="2822">
    <w:name w:val="Char Char Char Char Char Char Char2211"/>
    <w:basedOn w:val="1"/>
    <w:qFormat/>
    <w:uiPriority w:val="0"/>
  </w:style>
  <w:style w:type="paragraph" w:customStyle="1" w:styleId="2823">
    <w:name w:val="正文格式＝73"/>
    <w:basedOn w:val="184"/>
    <w:next w:val="184"/>
    <w:qFormat/>
    <w:uiPriority w:val="0"/>
    <w:rPr>
      <w:rFonts w:hAnsi="宋体"/>
    </w:rPr>
  </w:style>
  <w:style w:type="paragraph" w:customStyle="1" w:styleId="2824">
    <w:name w:val="表格内字体5"/>
    <w:basedOn w:val="184"/>
    <w:next w:val="184"/>
    <w:qFormat/>
    <w:uiPriority w:val="0"/>
    <w:pPr>
      <w:adjustRightInd w:val="0"/>
      <w:snapToGrid w:val="0"/>
      <w:spacing w:line="240" w:lineRule="auto"/>
      <w:ind w:firstLine="0"/>
    </w:pPr>
    <w:rPr>
      <w:rFonts w:hAnsi="宋体"/>
      <w:sz w:val="21"/>
    </w:rPr>
  </w:style>
  <w:style w:type="paragraph" w:customStyle="1" w:styleId="2825">
    <w:name w:val="样式 加粗 行距: 1.5 倍行距"/>
    <w:basedOn w:val="1"/>
    <w:qFormat/>
    <w:uiPriority w:val="0"/>
    <w:pPr>
      <w:pBdr>
        <w:top w:val="single" w:color="auto" w:sz="4" w:space="1"/>
        <w:bottom w:val="threeDEngrave" w:color="auto" w:sz="12" w:space="1"/>
      </w:pBdr>
      <w:adjustRightInd w:val="0"/>
      <w:spacing w:line="360" w:lineRule="auto"/>
      <w:ind w:firstLine="480" w:firstLineChars="200"/>
      <w:jc w:val="left"/>
      <w:textAlignment w:val="baseline"/>
    </w:pPr>
    <w:rPr>
      <w:rFonts w:cs="宋体"/>
      <w:b/>
      <w:bCs/>
      <w:kern w:val="0"/>
      <w:sz w:val="24"/>
      <w:szCs w:val="20"/>
    </w:rPr>
  </w:style>
  <w:style w:type="paragraph" w:customStyle="1" w:styleId="2826">
    <w:name w:val="页眉3"/>
    <w:basedOn w:val="1"/>
    <w:qFormat/>
    <w:uiPriority w:val="0"/>
    <w:pPr>
      <w:pBdr>
        <w:bottom w:val="single" w:color="auto" w:sz="6" w:space="1"/>
      </w:pBdr>
      <w:tabs>
        <w:tab w:val="center" w:pos="4153"/>
        <w:tab w:val="right" w:pos="8306"/>
      </w:tabs>
      <w:snapToGrid w:val="0"/>
      <w:jc w:val="center"/>
    </w:pPr>
    <w:rPr>
      <w:rFonts w:hint="eastAsia" w:ascii="仿宋_GB2312" w:hAnsi="宋体" w:eastAsia="仿宋_GB2312"/>
      <w:sz w:val="18"/>
      <w:szCs w:val="28"/>
    </w:rPr>
  </w:style>
  <w:style w:type="paragraph" w:customStyle="1" w:styleId="2827">
    <w:name w:val="正文修改211"/>
    <w:basedOn w:val="1161"/>
    <w:qFormat/>
    <w:uiPriority w:val="0"/>
    <w:rPr>
      <w:rFonts w:hAnsi="宋体"/>
      <w:color w:val="000000"/>
    </w:rPr>
  </w:style>
  <w:style w:type="paragraph" w:customStyle="1" w:styleId="2828">
    <w:name w:val="表内593"/>
    <w:basedOn w:val="1"/>
    <w:qFormat/>
    <w:uiPriority w:val="0"/>
    <w:pPr>
      <w:adjustRightInd w:val="0"/>
      <w:snapToGrid w:val="0"/>
      <w:spacing w:line="300" w:lineRule="auto"/>
      <w:jc w:val="center"/>
    </w:pPr>
    <w:rPr>
      <w:rFonts w:ascii="宋体"/>
      <w:snapToGrid w:val="0"/>
      <w:szCs w:val="21"/>
    </w:rPr>
  </w:style>
  <w:style w:type="paragraph" w:customStyle="1" w:styleId="2829">
    <w:name w:val="表格内字体1113"/>
    <w:basedOn w:val="184"/>
    <w:qFormat/>
    <w:uiPriority w:val="0"/>
    <w:pPr>
      <w:spacing w:line="240" w:lineRule="auto"/>
      <w:ind w:firstLine="0"/>
      <w:jc w:val="center"/>
    </w:pPr>
    <w:rPr>
      <w:sz w:val="21"/>
      <w:szCs w:val="20"/>
    </w:rPr>
  </w:style>
  <w:style w:type="paragraph" w:customStyle="1" w:styleId="2830">
    <w:name w:val="Char426"/>
    <w:basedOn w:val="1"/>
    <w:qFormat/>
    <w:uiPriority w:val="0"/>
    <w:pPr>
      <w:ind w:left="-48"/>
    </w:pPr>
  </w:style>
  <w:style w:type="paragraph" w:customStyle="1" w:styleId="2831">
    <w:name w:val="表格内字体9"/>
    <w:basedOn w:val="184"/>
    <w:next w:val="184"/>
    <w:qFormat/>
    <w:uiPriority w:val="0"/>
    <w:pPr>
      <w:spacing w:line="240" w:lineRule="auto"/>
      <w:ind w:firstLine="0"/>
      <w:jc w:val="center"/>
    </w:pPr>
    <w:rPr>
      <w:rFonts w:hAnsi="宋体"/>
      <w:sz w:val="21"/>
    </w:rPr>
  </w:style>
  <w:style w:type="paragraph" w:customStyle="1" w:styleId="2832">
    <w:name w:val="Char Char2 Char Char Char Char20"/>
    <w:basedOn w:val="1"/>
    <w:qFormat/>
    <w:uiPriority w:val="0"/>
  </w:style>
  <w:style w:type="paragraph" w:customStyle="1" w:styleId="2833">
    <w:name w:val="样式1111"/>
    <w:basedOn w:val="2158"/>
    <w:qFormat/>
    <w:uiPriority w:val="0"/>
    <w:pPr>
      <w:spacing w:line="240" w:lineRule="auto"/>
      <w:ind w:firstLine="0"/>
      <w:jc w:val="center"/>
    </w:pPr>
    <w:rPr>
      <w:rFonts w:cs="Times New Roman"/>
      <w:b/>
      <w:color w:val="auto"/>
      <w:szCs w:val="20"/>
    </w:rPr>
  </w:style>
  <w:style w:type="paragraph" w:customStyle="1" w:styleId="2834">
    <w:name w:val="表题211"/>
    <w:basedOn w:val="1"/>
    <w:qFormat/>
    <w:uiPriority w:val="0"/>
    <w:pPr>
      <w:widowControl/>
      <w:adjustRightInd w:val="0"/>
      <w:snapToGrid w:val="0"/>
      <w:jc w:val="center"/>
    </w:pPr>
    <w:rPr>
      <w:rFonts w:ascii="黑体" w:hAnsi="宋体" w:eastAsia="黑体" w:cs="宋体"/>
      <w:kern w:val="0"/>
      <w:sz w:val="24"/>
    </w:rPr>
  </w:style>
  <w:style w:type="paragraph" w:customStyle="1" w:styleId="2835">
    <w:name w:val="图题611"/>
    <w:basedOn w:val="184"/>
    <w:next w:val="184"/>
    <w:qFormat/>
    <w:uiPriority w:val="0"/>
    <w:pPr>
      <w:ind w:firstLine="0"/>
      <w:jc w:val="center"/>
    </w:pPr>
    <w:rPr>
      <w:rFonts w:ascii="黑体" w:hAnsi="宋体" w:eastAsia="黑体"/>
      <w:b/>
      <w:bCs/>
    </w:rPr>
  </w:style>
  <w:style w:type="paragraph" w:customStyle="1" w:styleId="2836">
    <w:name w:val="chen"/>
    <w:basedOn w:val="871"/>
    <w:qFormat/>
    <w:uiPriority w:val="0"/>
    <w:pPr>
      <w:spacing w:line="500" w:lineRule="exact"/>
    </w:pPr>
    <w:rPr>
      <w:rFonts w:hAnsi="Times New Roman"/>
      <w:color w:val="000000"/>
      <w:szCs w:val="24"/>
    </w:rPr>
  </w:style>
  <w:style w:type="paragraph" w:customStyle="1" w:styleId="2837">
    <w:name w:val="燕山正文134"/>
    <w:basedOn w:val="1"/>
    <w:qFormat/>
    <w:uiPriority w:val="0"/>
    <w:pPr>
      <w:tabs>
        <w:tab w:val="left" w:pos="4680"/>
      </w:tabs>
      <w:adjustRightInd w:val="0"/>
      <w:snapToGrid w:val="0"/>
      <w:spacing w:line="360" w:lineRule="auto"/>
      <w:ind w:firstLine="480" w:firstLineChars="200"/>
    </w:pPr>
    <w:rPr>
      <w:rFonts w:ascii="宋体" w:hAnsi="宋体" w:cs="宋体"/>
      <w:bCs/>
      <w:color w:val="000000"/>
      <w:sz w:val="24"/>
    </w:rPr>
  </w:style>
  <w:style w:type="paragraph" w:customStyle="1" w:styleId="2838">
    <w:name w:val="字元1"/>
    <w:basedOn w:val="1"/>
    <w:qFormat/>
    <w:uiPriority w:val="0"/>
    <w:rPr>
      <w:szCs w:val="21"/>
    </w:rPr>
  </w:style>
  <w:style w:type="paragraph" w:customStyle="1" w:styleId="2839">
    <w:name w:val="Char Char Char Char Char Char Char1110"/>
    <w:basedOn w:val="1"/>
    <w:qFormat/>
    <w:uiPriority w:val="0"/>
  </w:style>
  <w:style w:type="paragraph" w:customStyle="1" w:styleId="2840">
    <w:name w:val="正文修改11"/>
    <w:basedOn w:val="1161"/>
    <w:qFormat/>
    <w:uiPriority w:val="0"/>
    <w:rPr>
      <w:rFonts w:hAnsi="宋体"/>
      <w:color w:val="000000"/>
    </w:rPr>
  </w:style>
  <w:style w:type="paragraph" w:customStyle="1" w:styleId="2841">
    <w:name w:val="图表名称2"/>
    <w:basedOn w:val="85"/>
    <w:qFormat/>
    <w:uiPriority w:val="0"/>
    <w:pPr>
      <w:widowControl/>
      <w:adjustRightInd w:val="0"/>
      <w:snapToGrid w:val="0"/>
      <w:spacing w:after="0" w:line="480" w:lineRule="exact"/>
      <w:ind w:firstLine="0" w:firstLineChars="0"/>
      <w:jc w:val="center"/>
    </w:pPr>
    <w:rPr>
      <w:rFonts w:ascii="宋体" w:hAnsi="宋体" w:eastAsia="宋体"/>
      <w:bCs/>
      <w:sz w:val="24"/>
    </w:rPr>
  </w:style>
  <w:style w:type="paragraph" w:customStyle="1" w:styleId="2842">
    <w:name w:val="小四表格"/>
    <w:basedOn w:val="1"/>
    <w:qFormat/>
    <w:uiPriority w:val="0"/>
    <w:pPr>
      <w:keepNext/>
      <w:autoSpaceDE w:val="0"/>
      <w:autoSpaceDN w:val="0"/>
      <w:adjustRightInd w:val="0"/>
      <w:spacing w:line="480" w:lineRule="atLeast"/>
      <w:jc w:val="center"/>
    </w:pPr>
    <w:rPr>
      <w:rFonts w:ascii="仿宋_GB2312" w:hAnsi="宋体" w:eastAsia="仿宋_GB2312"/>
      <w:color w:val="000000"/>
      <w:sz w:val="24"/>
      <w:szCs w:val="28"/>
    </w:rPr>
  </w:style>
  <w:style w:type="paragraph" w:customStyle="1" w:styleId="2843">
    <w:name w:val="表内53113"/>
    <w:basedOn w:val="1"/>
    <w:qFormat/>
    <w:uiPriority w:val="0"/>
    <w:pPr>
      <w:adjustRightInd w:val="0"/>
      <w:snapToGrid w:val="0"/>
      <w:spacing w:line="300" w:lineRule="auto"/>
      <w:jc w:val="left"/>
    </w:pPr>
    <w:rPr>
      <w:rFonts w:ascii="宋体"/>
      <w:szCs w:val="20"/>
    </w:rPr>
  </w:style>
  <w:style w:type="paragraph" w:customStyle="1" w:styleId="2844">
    <w:name w:val="Char1 Char Char Char Char Char"/>
    <w:basedOn w:val="1"/>
    <w:qFormat/>
    <w:uiPriority w:val="0"/>
    <w:pPr>
      <w:widowControl/>
      <w:spacing w:before="100" w:beforeAutospacing="1" w:after="100" w:afterAutospacing="1"/>
      <w:ind w:firstLine="200" w:firstLineChars="200"/>
      <w:jc w:val="left"/>
    </w:pPr>
    <w:rPr>
      <w:rFonts w:ascii="Verdana" w:hAnsi="Verdana" w:eastAsia="仿宋_GB2312"/>
      <w:kern w:val="0"/>
      <w:sz w:val="20"/>
      <w:szCs w:val="21"/>
      <w:lang w:eastAsia="en-US"/>
    </w:rPr>
  </w:style>
  <w:style w:type="paragraph" w:customStyle="1" w:styleId="2845">
    <w:name w:val="Char Char Char Char Char Char Char122"/>
    <w:basedOn w:val="1"/>
    <w:qFormat/>
    <w:uiPriority w:val="0"/>
    <w:rPr>
      <w:szCs w:val="20"/>
    </w:rPr>
  </w:style>
  <w:style w:type="paragraph" w:customStyle="1" w:styleId="2846">
    <w:name w:val="图题2111"/>
    <w:basedOn w:val="184"/>
    <w:next w:val="184"/>
    <w:qFormat/>
    <w:uiPriority w:val="0"/>
    <w:pPr>
      <w:ind w:firstLine="0"/>
      <w:jc w:val="center"/>
    </w:pPr>
    <w:rPr>
      <w:rFonts w:ascii="黑体" w:hAnsi="宋体" w:eastAsia="黑体"/>
      <w:b/>
      <w:bCs/>
    </w:rPr>
  </w:style>
  <w:style w:type="paragraph" w:customStyle="1" w:styleId="2847">
    <w:name w:val="A正文3"/>
    <w:basedOn w:val="1"/>
    <w:qFormat/>
    <w:uiPriority w:val="0"/>
    <w:pPr>
      <w:widowControl/>
      <w:overflowPunct w:val="0"/>
      <w:autoSpaceDE w:val="0"/>
      <w:autoSpaceDN w:val="0"/>
      <w:adjustRightInd w:val="0"/>
      <w:spacing w:line="360" w:lineRule="auto"/>
      <w:ind w:firstLine="200" w:firstLineChars="200"/>
      <w:jc w:val="left"/>
      <w:textAlignment w:val="baseline"/>
    </w:pPr>
    <w:rPr>
      <w:rFonts w:eastAsia="仿宋_GB2312"/>
      <w:kern w:val="0"/>
      <w:sz w:val="24"/>
    </w:rPr>
  </w:style>
  <w:style w:type="paragraph" w:customStyle="1" w:styleId="2848">
    <w:name w:val="图题73"/>
    <w:basedOn w:val="184"/>
    <w:next w:val="184"/>
    <w:qFormat/>
    <w:uiPriority w:val="0"/>
    <w:pPr>
      <w:ind w:firstLine="0"/>
      <w:jc w:val="center"/>
    </w:pPr>
    <w:rPr>
      <w:rFonts w:ascii="黑体" w:hAnsi="宋体" w:eastAsia="黑体"/>
      <w:b/>
      <w:bCs/>
    </w:rPr>
  </w:style>
  <w:style w:type="paragraph" w:customStyle="1" w:styleId="2849">
    <w:name w:val="Char Char Char Char Char Char Char43"/>
    <w:basedOn w:val="1"/>
    <w:qFormat/>
    <w:uiPriority w:val="0"/>
  </w:style>
  <w:style w:type="paragraph" w:customStyle="1" w:styleId="2850">
    <w:name w:val="首行缩进:  0.99 厘米 + 首行缩进:  2 字符4"/>
    <w:basedOn w:val="1"/>
    <w:qFormat/>
    <w:uiPriority w:val="0"/>
    <w:pPr>
      <w:widowControl/>
      <w:topLinePunct/>
      <w:spacing w:line="480" w:lineRule="exact"/>
      <w:ind w:firstLine="420" w:firstLineChars="200"/>
      <w:jc w:val="center"/>
    </w:pPr>
    <w:rPr>
      <w:rFonts w:ascii="宋体" w:cs="宋体"/>
      <w:snapToGrid w:val="0"/>
      <w:color w:val="FF0000"/>
      <w:kern w:val="0"/>
      <w:szCs w:val="21"/>
    </w:rPr>
  </w:style>
  <w:style w:type="paragraph" w:customStyle="1" w:styleId="2851">
    <w:name w:val="表题313"/>
    <w:basedOn w:val="34"/>
    <w:qFormat/>
    <w:uiPriority w:val="0"/>
    <w:pPr>
      <w:tabs>
        <w:tab w:val="left" w:pos="4305"/>
      </w:tabs>
      <w:adjustRightInd w:val="0"/>
      <w:snapToGrid w:val="0"/>
      <w:spacing w:after="0"/>
      <w:ind w:left="0" w:leftChars="0"/>
      <w:jc w:val="center"/>
    </w:pPr>
    <w:rPr>
      <w:rFonts w:ascii="宋体" w:hAnsi="宋体"/>
      <w:sz w:val="24"/>
      <w:szCs w:val="20"/>
    </w:rPr>
  </w:style>
  <w:style w:type="paragraph" w:customStyle="1" w:styleId="2852">
    <w:name w:val="默认段落字体 Para Char Char Char Char112"/>
    <w:basedOn w:val="1"/>
    <w:qFormat/>
    <w:uiPriority w:val="0"/>
  </w:style>
  <w:style w:type="paragraph" w:customStyle="1" w:styleId="2853">
    <w:name w:val="Char Char2 Char Char Char Char111"/>
    <w:basedOn w:val="1"/>
    <w:qFormat/>
    <w:uiPriority w:val="0"/>
  </w:style>
  <w:style w:type="paragraph" w:customStyle="1" w:styleId="2854">
    <w:name w:val="黑体三号31"/>
    <w:basedOn w:val="184"/>
    <w:qFormat/>
    <w:uiPriority w:val="0"/>
    <w:pPr>
      <w:jc w:val="center"/>
    </w:pPr>
    <w:rPr>
      <w:rFonts w:ascii="黑体" w:hAnsi="宋体" w:eastAsia="黑体"/>
      <w:b/>
      <w:bCs/>
      <w:sz w:val="32"/>
      <w:szCs w:val="20"/>
    </w:rPr>
  </w:style>
  <w:style w:type="paragraph" w:customStyle="1" w:styleId="2855">
    <w:name w:val="Char Char2 Char Char Char Char34"/>
    <w:basedOn w:val="1"/>
    <w:qFormat/>
    <w:uiPriority w:val="0"/>
  </w:style>
  <w:style w:type="paragraph" w:customStyle="1" w:styleId="2856">
    <w:name w:val="Char Char Char Char Char Char Char22"/>
    <w:basedOn w:val="1"/>
    <w:qFormat/>
    <w:uiPriority w:val="0"/>
  </w:style>
  <w:style w:type="paragraph" w:customStyle="1" w:styleId="2857">
    <w:name w:val="Char911"/>
    <w:basedOn w:val="1"/>
    <w:qFormat/>
    <w:uiPriority w:val="0"/>
    <w:pPr>
      <w:ind w:left="-48"/>
    </w:pPr>
  </w:style>
  <w:style w:type="paragraph" w:customStyle="1" w:styleId="2858">
    <w:name w:val="表体"/>
    <w:basedOn w:val="1"/>
    <w:qFormat/>
    <w:uiPriority w:val="0"/>
    <w:pPr>
      <w:overflowPunct w:val="0"/>
      <w:adjustRightInd w:val="0"/>
      <w:spacing w:line="240" w:lineRule="atLeast"/>
      <w:ind w:left="-57" w:right="-57"/>
      <w:jc w:val="center"/>
      <w:textAlignment w:val="baseline"/>
    </w:pPr>
    <w:rPr>
      <w:rFonts w:ascii="黑体" w:eastAsia="黑体"/>
      <w:color w:val="000080"/>
      <w:kern w:val="24"/>
      <w:sz w:val="24"/>
      <w:szCs w:val="20"/>
    </w:rPr>
  </w:style>
  <w:style w:type="paragraph" w:customStyle="1" w:styleId="2859">
    <w:name w:val="Char324"/>
    <w:basedOn w:val="1"/>
    <w:qFormat/>
    <w:uiPriority w:val="0"/>
    <w:pPr>
      <w:ind w:left="-48"/>
    </w:pPr>
  </w:style>
  <w:style w:type="paragraph" w:customStyle="1" w:styleId="2860">
    <w:name w:val="列图"/>
    <w:basedOn w:val="65"/>
    <w:next w:val="1"/>
    <w:qFormat/>
    <w:uiPriority w:val="0"/>
    <w:pPr>
      <w:keepLines/>
      <w:adjustRightInd w:val="0"/>
      <w:snapToGrid w:val="0"/>
      <w:spacing w:before="120" w:line="276" w:lineRule="auto"/>
      <w:textAlignment w:val="baseline"/>
    </w:pPr>
    <w:rPr>
      <w:rFonts w:ascii="Times New Roman" w:eastAsia="宋体"/>
      <w:b/>
      <w:kern w:val="28"/>
      <w:szCs w:val="24"/>
    </w:rPr>
  </w:style>
  <w:style w:type="paragraph" w:customStyle="1" w:styleId="2861">
    <w:name w:val="样式42"/>
    <w:basedOn w:val="33"/>
    <w:qFormat/>
    <w:uiPriority w:val="0"/>
    <w:pPr>
      <w:tabs>
        <w:tab w:val="left" w:pos="1820"/>
      </w:tabs>
      <w:snapToGrid w:val="0"/>
      <w:spacing w:after="0" w:line="240" w:lineRule="atLeast"/>
      <w:jc w:val="center"/>
    </w:pPr>
    <w:rPr>
      <w:rFonts w:eastAsia="幼圆"/>
      <w:kern w:val="0"/>
      <w:szCs w:val="20"/>
    </w:rPr>
  </w:style>
  <w:style w:type="paragraph" w:customStyle="1" w:styleId="2862">
    <w:name w:val="项目"/>
    <w:basedOn w:val="20"/>
    <w:qFormat/>
    <w:uiPriority w:val="0"/>
    <w:pPr>
      <w:pBdr>
        <w:top w:val="single" w:color="auto" w:sz="4" w:space="1"/>
      </w:pBdr>
      <w:tabs>
        <w:tab w:val="left" w:pos="1021"/>
      </w:tabs>
      <w:ind w:left="900" w:leftChars="500" w:hanging="420" w:firstLineChars="0"/>
    </w:pPr>
    <w:rPr>
      <w:rFonts w:ascii="Verdana" w:hAnsi="Verdana" w:eastAsia="PMingLiU"/>
      <w:sz w:val="28"/>
      <w:szCs w:val="28"/>
    </w:rPr>
  </w:style>
  <w:style w:type="paragraph" w:customStyle="1" w:styleId="2863">
    <w:name w:val="默认段落字体 Para Char Char Char Char62"/>
    <w:basedOn w:val="1"/>
    <w:qFormat/>
    <w:uiPriority w:val="0"/>
  </w:style>
  <w:style w:type="paragraph" w:customStyle="1" w:styleId="2864">
    <w:name w:val="封面标准文稿编辑信息3"/>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2865">
    <w:name w:val="表内5312"/>
    <w:basedOn w:val="1"/>
    <w:qFormat/>
    <w:uiPriority w:val="0"/>
    <w:pPr>
      <w:adjustRightInd w:val="0"/>
      <w:snapToGrid w:val="0"/>
      <w:spacing w:line="300" w:lineRule="auto"/>
      <w:jc w:val="left"/>
    </w:pPr>
    <w:rPr>
      <w:rFonts w:ascii="宋体"/>
      <w:szCs w:val="20"/>
    </w:rPr>
  </w:style>
  <w:style w:type="paragraph" w:customStyle="1" w:styleId="2866">
    <w:name w:val="Default12"/>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2867">
    <w:name w:val="首页篇眉"/>
    <w:basedOn w:val="56"/>
    <w:qFormat/>
    <w:uiPriority w:val="0"/>
    <w:pPr>
      <w:keepLines/>
      <w:widowControl/>
      <w:pBdr>
        <w:bottom w:val="none" w:color="auto" w:sz="0" w:space="0"/>
      </w:pBdr>
      <w:tabs>
        <w:tab w:val="center" w:pos="7200"/>
        <w:tab w:val="clear" w:pos="4153"/>
        <w:tab w:val="clear" w:pos="8306"/>
      </w:tabs>
      <w:overflowPunct w:val="0"/>
      <w:autoSpaceDE w:val="0"/>
      <w:autoSpaceDN w:val="0"/>
      <w:adjustRightInd w:val="0"/>
      <w:snapToGrid/>
      <w:textAlignment w:val="baseline"/>
    </w:pPr>
    <w:rPr>
      <w:spacing w:val="80"/>
      <w:kern w:val="0"/>
      <w:sz w:val="20"/>
      <w:szCs w:val="20"/>
    </w:rPr>
  </w:style>
  <w:style w:type="paragraph" w:customStyle="1" w:styleId="2868">
    <w:name w:val="CM4"/>
    <w:basedOn w:val="191"/>
    <w:next w:val="191"/>
    <w:qFormat/>
    <w:uiPriority w:val="0"/>
    <w:pPr>
      <w:spacing w:line="468" w:lineRule="atLeast"/>
    </w:pPr>
    <w:rPr>
      <w:rFonts w:ascii="黑体" w:eastAsia="黑体" w:cs="Times New Roman"/>
      <w:color w:val="auto"/>
    </w:rPr>
  </w:style>
  <w:style w:type="paragraph" w:customStyle="1" w:styleId="2869">
    <w:name w:val="Char42"/>
    <w:basedOn w:val="1"/>
    <w:qFormat/>
    <w:uiPriority w:val="0"/>
    <w:pPr>
      <w:ind w:left="-48"/>
    </w:pPr>
  </w:style>
  <w:style w:type="paragraph" w:customStyle="1" w:styleId="2870">
    <w:name w:val="表格内字体1111"/>
    <w:basedOn w:val="184"/>
    <w:qFormat/>
    <w:uiPriority w:val="0"/>
    <w:pPr>
      <w:spacing w:line="240" w:lineRule="auto"/>
      <w:ind w:firstLine="0"/>
      <w:jc w:val="center"/>
    </w:pPr>
    <w:rPr>
      <w:sz w:val="21"/>
      <w:szCs w:val="20"/>
    </w:rPr>
  </w:style>
  <w:style w:type="paragraph" w:customStyle="1" w:styleId="2871">
    <w:name w:val="Char75"/>
    <w:basedOn w:val="1"/>
    <w:qFormat/>
    <w:uiPriority w:val="0"/>
    <w:pPr>
      <w:ind w:left="-48"/>
    </w:pPr>
  </w:style>
  <w:style w:type="paragraph" w:customStyle="1" w:styleId="2872">
    <w:name w:val="样式 标题 4无效格式无效格式1河石管道4H4H41小小节河石管道41H42H411小小节1河石管道42...3"/>
    <w:basedOn w:val="5"/>
    <w:qFormat/>
    <w:uiPriority w:val="0"/>
    <w:pPr>
      <w:adjustRightInd w:val="0"/>
      <w:snapToGrid w:val="0"/>
      <w:spacing w:line="360" w:lineRule="auto"/>
      <w:ind w:left="664" w:hanging="864"/>
    </w:pPr>
    <w:rPr>
      <w:rFonts w:ascii="黑体" w:eastAsia="黑体"/>
      <w:bCs w:val="0"/>
      <w:sz w:val="24"/>
      <w:szCs w:val="24"/>
    </w:rPr>
  </w:style>
  <w:style w:type="paragraph" w:customStyle="1" w:styleId="2873">
    <w:name w:val="样式 正文（首行缩进两字） + 首行缩进:  2 字符"/>
    <w:basedOn w:val="20"/>
    <w:qFormat/>
    <w:uiPriority w:val="0"/>
    <w:pPr>
      <w:snapToGrid w:val="0"/>
      <w:spacing w:line="360" w:lineRule="auto"/>
      <w:ind w:firstLine="480"/>
      <w:jc w:val="left"/>
    </w:pPr>
    <w:rPr>
      <w:rFonts w:hAnsi="宋体"/>
      <w:sz w:val="28"/>
      <w:szCs w:val="20"/>
    </w:rPr>
  </w:style>
  <w:style w:type="paragraph" w:customStyle="1" w:styleId="2874">
    <w:name w:val="图题31"/>
    <w:basedOn w:val="184"/>
    <w:next w:val="184"/>
    <w:qFormat/>
    <w:uiPriority w:val="0"/>
    <w:pPr>
      <w:ind w:firstLine="0"/>
      <w:jc w:val="center"/>
    </w:pPr>
    <w:rPr>
      <w:rFonts w:ascii="黑体" w:hAnsi="宋体" w:eastAsia="黑体"/>
      <w:b/>
      <w:bCs/>
    </w:rPr>
  </w:style>
  <w:style w:type="paragraph" w:customStyle="1" w:styleId="2875">
    <w:name w:val="图表题4"/>
    <w:basedOn w:val="184"/>
    <w:next w:val="184"/>
    <w:qFormat/>
    <w:uiPriority w:val="0"/>
    <w:pPr>
      <w:ind w:firstLine="0"/>
      <w:jc w:val="center"/>
    </w:pPr>
    <w:rPr>
      <w:rFonts w:ascii="黑体" w:hAnsi="宋体" w:eastAsia="黑体"/>
      <w:b/>
      <w:bCs/>
    </w:rPr>
  </w:style>
  <w:style w:type="paragraph" w:customStyle="1" w:styleId="2876">
    <w:name w:val="燕山正文1312"/>
    <w:basedOn w:val="1"/>
    <w:qFormat/>
    <w:uiPriority w:val="0"/>
    <w:pPr>
      <w:tabs>
        <w:tab w:val="left" w:pos="4680"/>
      </w:tabs>
      <w:adjustRightInd w:val="0"/>
      <w:snapToGrid w:val="0"/>
      <w:spacing w:line="360" w:lineRule="auto"/>
      <w:ind w:firstLine="480" w:firstLineChars="200"/>
    </w:pPr>
    <w:rPr>
      <w:rFonts w:ascii="宋体" w:hAnsi="宋体" w:cs="宋体"/>
      <w:bCs/>
      <w:color w:val="000000"/>
      <w:sz w:val="24"/>
    </w:rPr>
  </w:style>
  <w:style w:type="paragraph" w:customStyle="1" w:styleId="2877">
    <w:name w:val="偶数页篇眉"/>
    <w:basedOn w:val="56"/>
    <w:qFormat/>
    <w:uiPriority w:val="0"/>
    <w:pPr>
      <w:keepLines/>
      <w:widowControl/>
      <w:pBdr>
        <w:bottom w:val="none" w:color="auto" w:sz="0" w:space="0"/>
      </w:pBdr>
      <w:tabs>
        <w:tab w:val="right" w:pos="0"/>
        <w:tab w:val="center" w:pos="7200"/>
        <w:tab w:val="right" w:pos="14400"/>
        <w:tab w:val="clear" w:pos="4153"/>
        <w:tab w:val="clear" w:pos="8306"/>
      </w:tabs>
      <w:overflowPunct w:val="0"/>
      <w:autoSpaceDE w:val="0"/>
      <w:autoSpaceDN w:val="0"/>
      <w:adjustRightInd w:val="0"/>
      <w:snapToGrid/>
      <w:jc w:val="right"/>
      <w:textAlignment w:val="baseline"/>
    </w:pPr>
    <w:rPr>
      <w:spacing w:val="80"/>
      <w:kern w:val="0"/>
      <w:sz w:val="20"/>
      <w:szCs w:val="20"/>
    </w:rPr>
  </w:style>
  <w:style w:type="paragraph" w:customStyle="1" w:styleId="2878">
    <w:name w:val="附件32"/>
    <w:basedOn w:val="2"/>
    <w:next w:val="184"/>
    <w:qFormat/>
    <w:uiPriority w:val="0"/>
    <w:pPr>
      <w:tabs>
        <w:tab w:val="left" w:pos="1566"/>
        <w:tab w:val="left" w:pos="2040"/>
      </w:tabs>
      <w:adjustRightInd w:val="0"/>
      <w:snapToGrid w:val="0"/>
      <w:spacing w:before="0" w:after="120" w:line="360" w:lineRule="auto"/>
      <w:ind w:left="2040" w:leftChars="800" w:hanging="360" w:hangingChars="200"/>
      <w:jc w:val="left"/>
    </w:pPr>
    <w:rPr>
      <w:rFonts w:ascii="黑体" w:hAnsi="宋体" w:eastAsia="黑体"/>
      <w:b w:val="0"/>
      <w:sz w:val="32"/>
      <w:szCs w:val="32"/>
    </w:rPr>
  </w:style>
  <w:style w:type="paragraph" w:customStyle="1" w:styleId="2879">
    <w:name w:val="表题411"/>
    <w:basedOn w:val="34"/>
    <w:qFormat/>
    <w:uiPriority w:val="0"/>
    <w:pPr>
      <w:tabs>
        <w:tab w:val="left" w:pos="4305"/>
      </w:tabs>
      <w:adjustRightInd w:val="0"/>
      <w:snapToGrid w:val="0"/>
      <w:spacing w:after="0"/>
      <w:ind w:left="0" w:leftChars="0"/>
      <w:jc w:val="center"/>
    </w:pPr>
    <w:rPr>
      <w:rFonts w:ascii="宋体" w:hAnsi="宋体" w:cs="宋体"/>
      <w:color w:val="000000"/>
      <w:sz w:val="24"/>
    </w:rPr>
  </w:style>
  <w:style w:type="paragraph" w:customStyle="1" w:styleId="2880">
    <w:name w:val="Char116"/>
    <w:basedOn w:val="1"/>
    <w:qFormat/>
    <w:uiPriority w:val="0"/>
    <w:pPr>
      <w:ind w:left="-48"/>
    </w:pPr>
  </w:style>
  <w:style w:type="paragraph" w:customStyle="1" w:styleId="2881">
    <w:name w:val="表中文字212"/>
    <w:basedOn w:val="1"/>
    <w:qFormat/>
    <w:uiPriority w:val="0"/>
    <w:pPr>
      <w:widowControl/>
      <w:adjustRightInd w:val="0"/>
      <w:spacing w:line="240" w:lineRule="atLeast"/>
      <w:ind w:right="-42" w:rightChars="-20"/>
      <w:jc w:val="center"/>
      <w:textAlignment w:val="baseline"/>
    </w:pPr>
    <w:rPr>
      <w:rFonts w:ascii="宋体"/>
      <w:kern w:val="0"/>
      <w:szCs w:val="21"/>
    </w:rPr>
  </w:style>
  <w:style w:type="paragraph" w:customStyle="1" w:styleId="2882">
    <w:name w:val="Char Char Char Char1 Char Char Char10"/>
    <w:basedOn w:val="1"/>
    <w:qFormat/>
    <w:uiPriority w:val="0"/>
    <w:pPr>
      <w:widowControl/>
      <w:spacing w:after="160" w:line="240" w:lineRule="exact"/>
      <w:jc w:val="left"/>
    </w:pPr>
    <w:rPr>
      <w:rFonts w:ascii="Verdana" w:hAnsi="Verdana"/>
      <w:kern w:val="0"/>
      <w:sz w:val="20"/>
      <w:szCs w:val="20"/>
      <w:lang w:eastAsia="en-US"/>
    </w:rPr>
  </w:style>
  <w:style w:type="paragraph" w:customStyle="1" w:styleId="2883">
    <w:name w:val="图题221"/>
    <w:basedOn w:val="184"/>
    <w:next w:val="184"/>
    <w:qFormat/>
    <w:uiPriority w:val="0"/>
    <w:pPr>
      <w:ind w:firstLine="0"/>
      <w:jc w:val="center"/>
    </w:pPr>
    <w:rPr>
      <w:rFonts w:ascii="黑体" w:hAnsi="宋体" w:eastAsia="黑体"/>
      <w:b/>
      <w:bCs/>
    </w:rPr>
  </w:style>
  <w:style w:type="paragraph" w:customStyle="1" w:styleId="2884">
    <w:name w:val="样式 表格标题 + 段后: 0.5 行"/>
    <w:basedOn w:val="1"/>
    <w:qFormat/>
    <w:uiPriority w:val="0"/>
    <w:pPr>
      <w:pBdr>
        <w:top w:val="single" w:color="auto" w:sz="4" w:space="1"/>
      </w:pBdr>
      <w:adjustRightInd w:val="0"/>
      <w:spacing w:line="324" w:lineRule="auto"/>
      <w:jc w:val="center"/>
      <w:textAlignment w:val="baseline"/>
    </w:pPr>
    <w:rPr>
      <w:rFonts w:eastAsia="黑体" w:cs="宋体"/>
      <w:b/>
      <w:bCs/>
      <w:kern w:val="0"/>
      <w:sz w:val="24"/>
      <w:szCs w:val="20"/>
    </w:rPr>
  </w:style>
  <w:style w:type="paragraph" w:customStyle="1" w:styleId="2885">
    <w:name w:val="表内宋514"/>
    <w:basedOn w:val="2133"/>
    <w:qFormat/>
    <w:uiPriority w:val="0"/>
    <w:pPr>
      <w:widowControl/>
      <w:autoSpaceDE w:val="0"/>
      <w:autoSpaceDN w:val="0"/>
      <w:jc w:val="left"/>
      <w:textAlignment w:val="auto"/>
    </w:pPr>
    <w:rPr>
      <w:color w:val="auto"/>
      <w:w w:val="90"/>
    </w:rPr>
  </w:style>
  <w:style w:type="paragraph" w:customStyle="1" w:styleId="2886">
    <w:name w:val="项目1"/>
    <w:basedOn w:val="1"/>
    <w:qFormat/>
    <w:uiPriority w:val="0"/>
    <w:pPr>
      <w:tabs>
        <w:tab w:val="left" w:pos="425"/>
      </w:tabs>
      <w:snapToGrid w:val="0"/>
      <w:spacing w:line="0" w:lineRule="atLeast"/>
      <w:ind w:left="425" w:hanging="425"/>
    </w:pPr>
    <w:rPr>
      <w:sz w:val="28"/>
      <w:szCs w:val="20"/>
    </w:rPr>
  </w:style>
  <w:style w:type="paragraph" w:customStyle="1" w:styleId="2887">
    <w:name w:val="Char53"/>
    <w:basedOn w:val="1"/>
    <w:qFormat/>
    <w:uiPriority w:val="0"/>
    <w:rPr>
      <w:szCs w:val="21"/>
    </w:rPr>
  </w:style>
  <w:style w:type="paragraph" w:customStyle="1" w:styleId="2888">
    <w:name w:val="Char Char Char Char1 Char Char Char7"/>
    <w:basedOn w:val="1"/>
    <w:qFormat/>
    <w:uiPriority w:val="0"/>
    <w:pPr>
      <w:widowControl/>
      <w:spacing w:after="160" w:line="240" w:lineRule="exact"/>
      <w:jc w:val="left"/>
    </w:pPr>
    <w:rPr>
      <w:rFonts w:ascii="Verdana" w:hAnsi="Verdana"/>
      <w:kern w:val="0"/>
      <w:sz w:val="20"/>
      <w:szCs w:val="20"/>
      <w:lang w:eastAsia="en-US"/>
    </w:rPr>
  </w:style>
  <w:style w:type="paragraph" w:customStyle="1" w:styleId="2889">
    <w:name w:val="正文缩12"/>
    <w:basedOn w:val="1"/>
    <w:qFormat/>
    <w:uiPriority w:val="0"/>
    <w:pPr>
      <w:adjustRightInd w:val="0"/>
      <w:snapToGrid w:val="0"/>
      <w:spacing w:line="480" w:lineRule="atLeast"/>
      <w:ind w:firstLine="567"/>
      <w:textAlignment w:val="baseline"/>
    </w:pPr>
    <w:rPr>
      <w:rFonts w:ascii="宋体"/>
      <w:color w:val="000080"/>
      <w:spacing w:val="6"/>
      <w:kern w:val="0"/>
      <w:sz w:val="28"/>
      <w:szCs w:val="20"/>
    </w:rPr>
  </w:style>
  <w:style w:type="paragraph" w:customStyle="1" w:styleId="2890">
    <w:name w:val="样式 标题 3 + 黑色 Char Char Char"/>
    <w:basedOn w:val="4"/>
    <w:qFormat/>
    <w:uiPriority w:val="0"/>
    <w:pPr>
      <w:keepNext w:val="0"/>
      <w:keepLines w:val="0"/>
      <w:tabs>
        <w:tab w:val="left" w:pos="233"/>
        <w:tab w:val="left" w:pos="993"/>
        <w:tab w:val="left" w:pos="1260"/>
      </w:tabs>
      <w:adjustRightInd w:val="0"/>
      <w:snapToGrid w:val="0"/>
      <w:spacing w:before="0" w:after="0" w:line="360" w:lineRule="auto"/>
      <w:ind w:left="567" w:hanging="420"/>
    </w:pPr>
    <w:rPr>
      <w:b w:val="0"/>
      <w:bCs w:val="0"/>
      <w:color w:val="000000"/>
      <w:sz w:val="24"/>
      <w:szCs w:val="28"/>
    </w:rPr>
  </w:style>
  <w:style w:type="paragraph" w:customStyle="1" w:styleId="2891">
    <w:name w:val="Char127"/>
    <w:basedOn w:val="1"/>
    <w:qFormat/>
    <w:uiPriority w:val="0"/>
    <w:pPr>
      <w:ind w:left="-48"/>
    </w:pPr>
  </w:style>
  <w:style w:type="paragraph" w:customStyle="1" w:styleId="2892">
    <w:name w:val="燕山正文131"/>
    <w:basedOn w:val="1"/>
    <w:qFormat/>
    <w:uiPriority w:val="0"/>
    <w:pPr>
      <w:tabs>
        <w:tab w:val="left" w:pos="4680"/>
      </w:tabs>
      <w:adjustRightInd w:val="0"/>
      <w:snapToGrid w:val="0"/>
      <w:spacing w:line="360" w:lineRule="auto"/>
      <w:ind w:firstLine="480" w:firstLineChars="200"/>
    </w:pPr>
    <w:rPr>
      <w:rFonts w:ascii="宋体" w:hAnsi="宋体" w:cs="宋体"/>
      <w:bCs/>
      <w:color w:val="000000"/>
      <w:sz w:val="24"/>
    </w:rPr>
  </w:style>
  <w:style w:type="paragraph" w:customStyle="1" w:styleId="2893">
    <w:name w:val="燕山正文116"/>
    <w:basedOn w:val="1"/>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2894">
    <w:name w:val="图题14"/>
    <w:basedOn w:val="184"/>
    <w:next w:val="184"/>
    <w:qFormat/>
    <w:uiPriority w:val="0"/>
    <w:pPr>
      <w:ind w:firstLine="0"/>
      <w:jc w:val="center"/>
    </w:pPr>
    <w:rPr>
      <w:rFonts w:ascii="黑体" w:hAnsi="宋体" w:eastAsia="黑体"/>
      <w:b/>
      <w:bCs/>
    </w:rPr>
  </w:style>
  <w:style w:type="paragraph" w:customStyle="1" w:styleId="2895">
    <w:name w:val="附件312"/>
    <w:basedOn w:val="2"/>
    <w:next w:val="184"/>
    <w:qFormat/>
    <w:uiPriority w:val="0"/>
    <w:pPr>
      <w:tabs>
        <w:tab w:val="left" w:pos="1566"/>
        <w:tab w:val="left" w:pos="2040"/>
      </w:tabs>
      <w:adjustRightInd w:val="0"/>
      <w:snapToGrid w:val="0"/>
      <w:spacing w:before="0" w:after="120" w:line="360" w:lineRule="auto"/>
      <w:ind w:left="2040" w:leftChars="800" w:hanging="360" w:hangingChars="200"/>
      <w:jc w:val="left"/>
    </w:pPr>
    <w:rPr>
      <w:rFonts w:ascii="黑体" w:hAnsi="宋体" w:eastAsia="黑体"/>
      <w:b w:val="0"/>
      <w:sz w:val="32"/>
      <w:szCs w:val="32"/>
    </w:rPr>
  </w:style>
  <w:style w:type="paragraph" w:customStyle="1" w:styleId="2896">
    <w:name w:val="Char4 Char Char Char Char"/>
    <w:basedOn w:val="1"/>
    <w:qFormat/>
    <w:uiPriority w:val="0"/>
    <w:rPr>
      <w:sz w:val="24"/>
    </w:rPr>
  </w:style>
  <w:style w:type="paragraph" w:customStyle="1" w:styleId="2897">
    <w:name w:val="图题213"/>
    <w:basedOn w:val="184"/>
    <w:next w:val="184"/>
    <w:qFormat/>
    <w:uiPriority w:val="0"/>
    <w:pPr>
      <w:ind w:firstLine="0"/>
      <w:jc w:val="center"/>
    </w:pPr>
    <w:rPr>
      <w:rFonts w:ascii="黑体" w:hAnsi="宋体" w:eastAsia="黑体"/>
      <w:b/>
      <w:bCs/>
    </w:rPr>
  </w:style>
  <w:style w:type="paragraph" w:customStyle="1" w:styleId="2898">
    <w:name w:val="表内54153"/>
    <w:basedOn w:val="1"/>
    <w:qFormat/>
    <w:uiPriority w:val="0"/>
    <w:pPr>
      <w:adjustRightInd w:val="0"/>
      <w:snapToGrid w:val="0"/>
      <w:spacing w:line="300" w:lineRule="auto"/>
      <w:jc w:val="center"/>
    </w:pPr>
    <w:rPr>
      <w:rFonts w:ascii="宋体" w:hAnsi="宋体" w:cs="宋体"/>
      <w:szCs w:val="20"/>
    </w:rPr>
  </w:style>
  <w:style w:type="paragraph" w:customStyle="1" w:styleId="2899">
    <w:name w:val="Char Char Char Char1 Char Char Char17"/>
    <w:basedOn w:val="1"/>
    <w:qFormat/>
    <w:uiPriority w:val="0"/>
    <w:pPr>
      <w:widowControl/>
      <w:spacing w:after="160" w:line="240" w:lineRule="exact"/>
      <w:jc w:val="left"/>
    </w:pPr>
    <w:rPr>
      <w:rFonts w:ascii="Verdana" w:hAnsi="Verdana"/>
      <w:kern w:val="0"/>
      <w:sz w:val="20"/>
      <w:szCs w:val="20"/>
      <w:lang w:eastAsia="en-US"/>
    </w:rPr>
  </w:style>
  <w:style w:type="paragraph" w:customStyle="1" w:styleId="2900">
    <w:name w:val="燕山正文1121"/>
    <w:basedOn w:val="1"/>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2901">
    <w:name w:val="正文修改32"/>
    <w:basedOn w:val="1161"/>
    <w:qFormat/>
    <w:uiPriority w:val="0"/>
    <w:rPr>
      <w:rFonts w:hAnsi="宋体"/>
      <w:color w:val="000000"/>
    </w:rPr>
  </w:style>
  <w:style w:type="paragraph" w:customStyle="1" w:styleId="2902">
    <w:name w:val="首行缩进:  0.99 厘米 + 首行缩进:  2 字符11"/>
    <w:basedOn w:val="1"/>
    <w:qFormat/>
    <w:uiPriority w:val="0"/>
    <w:pPr>
      <w:widowControl/>
      <w:topLinePunct/>
      <w:spacing w:line="480" w:lineRule="exact"/>
      <w:ind w:firstLine="420" w:firstLineChars="200"/>
      <w:jc w:val="center"/>
    </w:pPr>
    <w:rPr>
      <w:rFonts w:ascii="宋体" w:cs="宋体"/>
      <w:snapToGrid w:val="0"/>
      <w:color w:val="FF0000"/>
      <w:kern w:val="0"/>
      <w:szCs w:val="21"/>
    </w:rPr>
  </w:style>
  <w:style w:type="paragraph" w:customStyle="1" w:styleId="2903">
    <w:name w:val="表格内字体72"/>
    <w:basedOn w:val="184"/>
    <w:next w:val="184"/>
    <w:qFormat/>
    <w:uiPriority w:val="0"/>
    <w:pPr>
      <w:spacing w:line="240" w:lineRule="auto"/>
      <w:ind w:firstLine="0"/>
      <w:jc w:val="center"/>
    </w:pPr>
    <w:rPr>
      <w:rFonts w:hAnsi="宋体"/>
      <w:sz w:val="21"/>
    </w:rPr>
  </w:style>
  <w:style w:type="paragraph" w:customStyle="1" w:styleId="2904">
    <w:name w:val="表格内字体44"/>
    <w:basedOn w:val="184"/>
    <w:next w:val="184"/>
    <w:qFormat/>
    <w:uiPriority w:val="0"/>
    <w:pPr>
      <w:spacing w:line="240" w:lineRule="auto"/>
      <w:ind w:firstLine="0"/>
      <w:jc w:val="center"/>
    </w:pPr>
    <w:rPr>
      <w:rFonts w:hAnsi="宋体"/>
      <w:sz w:val="21"/>
    </w:rPr>
  </w:style>
  <w:style w:type="paragraph" w:customStyle="1" w:styleId="2905">
    <w:name w:val="附件23"/>
    <w:basedOn w:val="2"/>
    <w:next w:val="184"/>
    <w:qFormat/>
    <w:uiPriority w:val="0"/>
    <w:pPr>
      <w:tabs>
        <w:tab w:val="left" w:pos="1566"/>
        <w:tab w:val="left" w:pos="2040"/>
      </w:tabs>
      <w:adjustRightInd w:val="0"/>
      <w:snapToGrid w:val="0"/>
      <w:spacing w:beforeLines="100" w:after="0" w:line="360" w:lineRule="auto"/>
      <w:ind w:left="2040" w:leftChars="800" w:hanging="360" w:hangingChars="200"/>
    </w:pPr>
    <w:rPr>
      <w:rFonts w:ascii="黑体" w:hAnsi="宋体" w:eastAsia="黑体"/>
      <w:sz w:val="32"/>
      <w:szCs w:val="32"/>
    </w:rPr>
  </w:style>
  <w:style w:type="paragraph" w:customStyle="1" w:styleId="2906">
    <w:name w:val="Char Char Char Char Char Char Char212"/>
    <w:basedOn w:val="1"/>
    <w:qFormat/>
    <w:uiPriority w:val="0"/>
  </w:style>
  <w:style w:type="paragraph" w:customStyle="1" w:styleId="2907">
    <w:name w:val="表中文字122"/>
    <w:basedOn w:val="1"/>
    <w:qFormat/>
    <w:uiPriority w:val="0"/>
    <w:pPr>
      <w:widowControl/>
      <w:spacing w:line="240" w:lineRule="atLeast"/>
      <w:ind w:left="-24" w:leftChars="-10" w:right="-48" w:rightChars="-20"/>
      <w:jc w:val="center"/>
    </w:pPr>
    <w:rPr>
      <w:rFonts w:ascii="宋体"/>
      <w:kern w:val="0"/>
      <w:szCs w:val="21"/>
    </w:rPr>
  </w:style>
  <w:style w:type="paragraph" w:customStyle="1" w:styleId="2908">
    <w:name w:val="样式 五号 居中"/>
    <w:basedOn w:val="1"/>
    <w:qFormat/>
    <w:uiPriority w:val="0"/>
    <w:pPr>
      <w:jc w:val="center"/>
    </w:pPr>
    <w:rPr>
      <w:rFonts w:ascii="宋体" w:hAnsi="宋体" w:cs="宋体"/>
      <w:snapToGrid w:val="0"/>
      <w:kern w:val="0"/>
      <w:szCs w:val="21"/>
    </w:rPr>
  </w:style>
  <w:style w:type="paragraph" w:customStyle="1" w:styleId="2909">
    <w:name w:val="图题313"/>
    <w:basedOn w:val="184"/>
    <w:next w:val="184"/>
    <w:qFormat/>
    <w:uiPriority w:val="0"/>
    <w:pPr>
      <w:ind w:firstLine="0"/>
      <w:jc w:val="center"/>
    </w:pPr>
    <w:rPr>
      <w:rFonts w:ascii="黑体" w:hAnsi="宋体" w:eastAsia="黑体"/>
      <w:b/>
      <w:bCs/>
    </w:rPr>
  </w:style>
  <w:style w:type="paragraph" w:customStyle="1" w:styleId="2910">
    <w:name w:val="Char Char2 Char Char Char Char15"/>
    <w:basedOn w:val="1"/>
    <w:qFormat/>
    <w:uiPriority w:val="0"/>
  </w:style>
  <w:style w:type="paragraph" w:customStyle="1" w:styleId="2911">
    <w:name w:val="Char Char Char Char Char Char Char Char Char1 Char Char Char Char Char Char Char"/>
    <w:basedOn w:val="1"/>
    <w:qFormat/>
    <w:uiPriority w:val="0"/>
    <w:rPr>
      <w:sz w:val="24"/>
    </w:rPr>
  </w:style>
  <w:style w:type="paragraph" w:customStyle="1" w:styleId="2912">
    <w:name w:val="样式 表内小5 + 黑体 加粗 倾斜 下划线1"/>
    <w:basedOn w:val="1"/>
    <w:qFormat/>
    <w:uiPriority w:val="0"/>
    <w:pPr>
      <w:adjustRightInd w:val="0"/>
      <w:snapToGrid w:val="0"/>
      <w:spacing w:line="300" w:lineRule="auto"/>
      <w:jc w:val="left"/>
    </w:pPr>
    <w:rPr>
      <w:rFonts w:ascii="黑体" w:hAnsi="黑体" w:eastAsia="黑体"/>
      <w:b/>
      <w:bCs/>
      <w:i/>
      <w:iCs/>
      <w:sz w:val="18"/>
      <w:u w:val="single"/>
    </w:rPr>
  </w:style>
  <w:style w:type="paragraph" w:customStyle="1" w:styleId="2913">
    <w:name w:val="大表格"/>
    <w:basedOn w:val="2231"/>
    <w:qFormat/>
    <w:uiPriority w:val="0"/>
    <w:pPr>
      <w:spacing w:line="480" w:lineRule="exact"/>
    </w:pPr>
    <w:rPr>
      <w:sz w:val="28"/>
    </w:rPr>
  </w:style>
  <w:style w:type="paragraph" w:customStyle="1" w:styleId="2914">
    <w:name w:val="16"/>
    <w:basedOn w:val="1"/>
    <w:next w:val="75"/>
    <w:qFormat/>
    <w:uiPriority w:val="0"/>
    <w:rPr>
      <w:sz w:val="24"/>
      <w:szCs w:val="20"/>
    </w:rPr>
  </w:style>
  <w:style w:type="paragraph" w:customStyle="1" w:styleId="2915">
    <w:name w:val="默认段落字体 Para Char Char Char Char7"/>
    <w:basedOn w:val="1"/>
    <w:qFormat/>
    <w:uiPriority w:val="0"/>
  </w:style>
  <w:style w:type="paragraph" w:customStyle="1" w:styleId="2916">
    <w:name w:val="样式 标题 1 + 居中"/>
    <w:basedOn w:val="2"/>
    <w:qFormat/>
    <w:uiPriority w:val="0"/>
    <w:pPr>
      <w:keepNext w:val="0"/>
      <w:tabs>
        <w:tab w:val="left" w:pos="92"/>
        <w:tab w:val="left" w:pos="432"/>
        <w:tab w:val="left" w:pos="2040"/>
      </w:tabs>
      <w:spacing w:before="360" w:after="240" w:line="360" w:lineRule="auto"/>
      <w:ind w:left="432" w:leftChars="800" w:hanging="432" w:hangingChars="200"/>
      <w:jc w:val="center"/>
    </w:pPr>
    <w:rPr>
      <w:rFonts w:cs="宋体"/>
      <w:szCs w:val="20"/>
    </w:rPr>
  </w:style>
  <w:style w:type="paragraph" w:customStyle="1" w:styleId="2917">
    <w:name w:val="正文修改44"/>
    <w:basedOn w:val="1161"/>
    <w:qFormat/>
    <w:uiPriority w:val="0"/>
    <w:rPr>
      <w:rFonts w:hAnsi="宋体"/>
      <w:color w:val="000000"/>
    </w:rPr>
  </w:style>
  <w:style w:type="paragraph" w:customStyle="1" w:styleId="2918">
    <w:name w:val="项目符号引导"/>
    <w:basedOn w:val="23"/>
    <w:next w:val="23"/>
    <w:qFormat/>
    <w:uiPriority w:val="0"/>
    <w:pPr>
      <w:widowControl/>
      <w:tabs>
        <w:tab w:val="clear" w:pos="1140"/>
      </w:tabs>
      <w:overflowPunct w:val="0"/>
      <w:autoSpaceDE w:val="0"/>
      <w:autoSpaceDN w:val="0"/>
      <w:adjustRightInd w:val="0"/>
      <w:spacing w:before="80" w:after="160"/>
      <w:ind w:left="720" w:hanging="360"/>
      <w:jc w:val="left"/>
      <w:textAlignment w:val="baseline"/>
    </w:pPr>
    <w:rPr>
      <w:b/>
      <w:kern w:val="0"/>
      <w:sz w:val="20"/>
      <w:szCs w:val="20"/>
    </w:rPr>
  </w:style>
  <w:style w:type="paragraph" w:customStyle="1" w:styleId="2919">
    <w:name w:val="Char112"/>
    <w:basedOn w:val="1"/>
    <w:qFormat/>
    <w:uiPriority w:val="0"/>
    <w:pPr>
      <w:ind w:left="-48"/>
    </w:pPr>
  </w:style>
  <w:style w:type="paragraph" w:customStyle="1" w:styleId="2920">
    <w:name w:val="表题2114"/>
    <w:basedOn w:val="1"/>
    <w:qFormat/>
    <w:uiPriority w:val="0"/>
    <w:pPr>
      <w:widowControl/>
      <w:adjustRightInd w:val="0"/>
      <w:snapToGrid w:val="0"/>
      <w:jc w:val="center"/>
    </w:pPr>
    <w:rPr>
      <w:rFonts w:ascii="黑体" w:hAnsi="宋体" w:eastAsia="黑体" w:cs="宋体"/>
      <w:kern w:val="0"/>
      <w:sz w:val="24"/>
    </w:rPr>
  </w:style>
  <w:style w:type="paragraph" w:customStyle="1" w:styleId="2921">
    <w:name w:val="图题33"/>
    <w:basedOn w:val="184"/>
    <w:next w:val="184"/>
    <w:qFormat/>
    <w:uiPriority w:val="0"/>
    <w:pPr>
      <w:ind w:firstLine="0"/>
      <w:jc w:val="center"/>
    </w:pPr>
    <w:rPr>
      <w:rFonts w:ascii="黑体" w:hAnsi="宋体" w:eastAsia="黑体"/>
      <w:b/>
      <w:bCs/>
    </w:rPr>
  </w:style>
  <w:style w:type="paragraph" w:customStyle="1" w:styleId="2922">
    <w:name w:val="首行缩进:  0.99 厘米 + 首行缩进:  2 字符13"/>
    <w:basedOn w:val="1"/>
    <w:qFormat/>
    <w:uiPriority w:val="0"/>
    <w:pPr>
      <w:widowControl/>
      <w:topLinePunct/>
      <w:spacing w:line="480" w:lineRule="exact"/>
      <w:ind w:firstLine="420" w:firstLineChars="200"/>
      <w:jc w:val="center"/>
    </w:pPr>
    <w:rPr>
      <w:rFonts w:ascii="宋体" w:cs="宋体"/>
      <w:snapToGrid w:val="0"/>
      <w:color w:val="FF0000"/>
      <w:kern w:val="0"/>
      <w:szCs w:val="21"/>
    </w:rPr>
  </w:style>
  <w:style w:type="paragraph" w:customStyle="1" w:styleId="2923">
    <w:name w:val="样式 目录 2 + 左侧:  2 字符"/>
    <w:basedOn w:val="73"/>
    <w:qFormat/>
    <w:uiPriority w:val="0"/>
    <w:pPr>
      <w:tabs>
        <w:tab w:val="right" w:leader="dot" w:pos="8296"/>
        <w:tab w:val="clear" w:pos="567"/>
        <w:tab w:val="clear" w:pos="630"/>
        <w:tab w:val="clear" w:pos="8302"/>
      </w:tabs>
      <w:adjustRightInd w:val="0"/>
      <w:snapToGrid w:val="0"/>
      <w:jc w:val="center"/>
    </w:pPr>
    <w:rPr>
      <w:rFonts w:ascii="宋体" w:hAnsi="宋体" w:cs="宋体"/>
      <w:smallCaps w:val="0"/>
      <w:szCs w:val="21"/>
    </w:rPr>
  </w:style>
  <w:style w:type="paragraph" w:customStyle="1" w:styleId="2924">
    <w:name w:val="文字"/>
    <w:basedOn w:val="1"/>
    <w:qFormat/>
    <w:uiPriority w:val="0"/>
    <w:pPr>
      <w:adjustRightInd w:val="0"/>
      <w:snapToGrid w:val="0"/>
      <w:spacing w:line="312" w:lineRule="auto"/>
      <w:ind w:firstLine="567"/>
    </w:pPr>
    <w:rPr>
      <w:rFonts w:ascii="宋体"/>
      <w:spacing w:val="6"/>
      <w:sz w:val="28"/>
    </w:rPr>
  </w:style>
  <w:style w:type="paragraph" w:customStyle="1" w:styleId="2925">
    <w:name w:val="Char124"/>
    <w:basedOn w:val="1"/>
    <w:qFormat/>
    <w:uiPriority w:val="0"/>
    <w:pPr>
      <w:ind w:left="-48"/>
    </w:pPr>
  </w:style>
  <w:style w:type="paragraph" w:customStyle="1" w:styleId="2926">
    <w:name w:val="CM16"/>
    <w:basedOn w:val="191"/>
    <w:next w:val="191"/>
    <w:qFormat/>
    <w:uiPriority w:val="0"/>
    <w:pPr>
      <w:spacing w:line="548" w:lineRule="atLeast"/>
    </w:pPr>
    <w:rPr>
      <w:rFonts w:cs="Times New Roman"/>
      <w:color w:val="auto"/>
    </w:rPr>
  </w:style>
  <w:style w:type="paragraph" w:customStyle="1" w:styleId="2927">
    <w:name w:val="Char Char Char Char Char Char Char11"/>
    <w:basedOn w:val="1"/>
    <w:qFormat/>
    <w:uiPriority w:val="0"/>
  </w:style>
  <w:style w:type="paragraph" w:customStyle="1" w:styleId="2928">
    <w:name w:val="默认段落字体 Para Char Char Char Char412"/>
    <w:basedOn w:val="1"/>
    <w:qFormat/>
    <w:uiPriority w:val="0"/>
  </w:style>
  <w:style w:type="paragraph" w:customStyle="1" w:styleId="2929">
    <w:name w:val="HL22"/>
    <w:basedOn w:val="1"/>
    <w:qFormat/>
    <w:uiPriority w:val="0"/>
    <w:pPr>
      <w:keepNext/>
      <w:keepLines/>
      <w:spacing w:before="120" w:after="120" w:line="500" w:lineRule="exact"/>
      <w:outlineLvl w:val="1"/>
    </w:pPr>
    <w:rPr>
      <w:rFonts w:eastAsia="仿宋_GB2312"/>
      <w:b/>
      <w:bCs/>
      <w:color w:val="000000"/>
      <w:sz w:val="28"/>
      <w:szCs w:val="32"/>
    </w:rPr>
  </w:style>
  <w:style w:type="paragraph" w:customStyle="1" w:styleId="2930">
    <w:name w:val="c11"/>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2931">
    <w:name w:val="标题414"/>
    <w:basedOn w:val="5"/>
    <w:next w:val="1"/>
    <w:qFormat/>
    <w:uiPriority w:val="0"/>
    <w:pPr>
      <w:spacing w:before="160" w:after="170" w:line="360" w:lineRule="auto"/>
    </w:pPr>
    <w:rPr>
      <w:rFonts w:ascii="黑体" w:eastAsia="黑体"/>
      <w:b/>
      <w:sz w:val="24"/>
    </w:rPr>
  </w:style>
  <w:style w:type="paragraph" w:customStyle="1" w:styleId="2932">
    <w:name w:val="表中文字9"/>
    <w:basedOn w:val="1"/>
    <w:qFormat/>
    <w:uiPriority w:val="0"/>
    <w:pPr>
      <w:widowControl/>
      <w:adjustRightInd w:val="0"/>
      <w:spacing w:line="240" w:lineRule="atLeast"/>
      <w:ind w:right="-42" w:rightChars="-20"/>
      <w:jc w:val="center"/>
      <w:textAlignment w:val="baseline"/>
    </w:pPr>
    <w:rPr>
      <w:rFonts w:ascii="宋体"/>
      <w:kern w:val="0"/>
      <w:szCs w:val="21"/>
    </w:rPr>
  </w:style>
  <w:style w:type="paragraph" w:customStyle="1" w:styleId="2933">
    <w:name w:val="正文格式52"/>
    <w:basedOn w:val="1"/>
    <w:qFormat/>
    <w:uiPriority w:val="0"/>
    <w:pPr>
      <w:spacing w:line="360" w:lineRule="auto"/>
      <w:ind w:firstLine="482"/>
    </w:pPr>
    <w:rPr>
      <w:rFonts w:ascii="宋体" w:hAnsi="宋体"/>
      <w:sz w:val="24"/>
    </w:rPr>
  </w:style>
  <w:style w:type="paragraph" w:customStyle="1" w:styleId="2934">
    <w:name w:val="默认段落字体 Para Char21"/>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2935">
    <w:name w:val="表内文字小6"/>
    <w:basedOn w:val="1"/>
    <w:qFormat/>
    <w:uiPriority w:val="0"/>
    <w:pPr>
      <w:adjustRightInd w:val="0"/>
      <w:snapToGrid w:val="0"/>
      <w:jc w:val="center"/>
    </w:pPr>
    <w:rPr>
      <w:rFonts w:ascii="宋体" w:hAnsi="Times"/>
      <w:szCs w:val="20"/>
    </w:rPr>
  </w:style>
  <w:style w:type="paragraph" w:customStyle="1" w:styleId="2936">
    <w:name w:val="表内文字小317"/>
    <w:basedOn w:val="1"/>
    <w:qFormat/>
    <w:uiPriority w:val="0"/>
    <w:pPr>
      <w:adjustRightInd w:val="0"/>
      <w:snapToGrid w:val="0"/>
      <w:jc w:val="center"/>
    </w:pPr>
    <w:rPr>
      <w:rFonts w:ascii="宋体" w:hAnsi="Times" w:cs="宋体"/>
      <w:bCs/>
      <w:color w:val="003366"/>
      <w:szCs w:val="20"/>
    </w:rPr>
  </w:style>
  <w:style w:type="paragraph" w:customStyle="1" w:styleId="2937">
    <w:name w:val="項目:(一)[a]1.[a](1)[a]"/>
    <w:basedOn w:val="1"/>
    <w:qFormat/>
    <w:uiPriority w:val="0"/>
    <w:pPr>
      <w:spacing w:line="320" w:lineRule="atLeast"/>
      <w:ind w:left="1038" w:firstLine="448"/>
    </w:pPr>
    <w:rPr>
      <w:rFonts w:eastAsia="MingLiU"/>
      <w:sz w:val="22"/>
      <w:szCs w:val="20"/>
      <w:lang w:eastAsia="zh-TW"/>
    </w:rPr>
  </w:style>
  <w:style w:type="paragraph" w:customStyle="1" w:styleId="2938">
    <w:name w:val="正文格式85"/>
    <w:basedOn w:val="1"/>
    <w:qFormat/>
    <w:uiPriority w:val="0"/>
    <w:pPr>
      <w:spacing w:line="360" w:lineRule="auto"/>
      <w:ind w:firstLine="482"/>
    </w:pPr>
    <w:rPr>
      <w:rFonts w:ascii="宋体" w:hAnsi="宋体"/>
      <w:sz w:val="24"/>
    </w:rPr>
  </w:style>
  <w:style w:type="paragraph" w:customStyle="1" w:styleId="2939">
    <w:name w:val="黄桥正文"/>
    <w:basedOn w:val="1"/>
    <w:qFormat/>
    <w:uiPriority w:val="0"/>
    <w:pPr>
      <w:widowControl/>
      <w:spacing w:line="360" w:lineRule="auto"/>
      <w:ind w:firstLine="200" w:firstLineChars="200"/>
    </w:pPr>
    <w:rPr>
      <w:rFonts w:cs="宋体"/>
      <w:kern w:val="0"/>
      <w:sz w:val="24"/>
    </w:rPr>
  </w:style>
  <w:style w:type="paragraph" w:customStyle="1" w:styleId="2940">
    <w:name w:val="Char Char Char Char Char Char Char28"/>
    <w:basedOn w:val="1"/>
    <w:qFormat/>
    <w:uiPriority w:val="0"/>
  </w:style>
  <w:style w:type="paragraph" w:customStyle="1" w:styleId="2941">
    <w:name w:val="Char Char2 Char Char Char Char17"/>
    <w:basedOn w:val="1"/>
    <w:qFormat/>
    <w:uiPriority w:val="0"/>
  </w:style>
  <w:style w:type="paragraph" w:customStyle="1" w:styleId="2942">
    <w:name w:val="Char Char Char Char1 Char Char Char24"/>
    <w:basedOn w:val="1"/>
    <w:qFormat/>
    <w:uiPriority w:val="0"/>
    <w:pPr>
      <w:widowControl/>
      <w:spacing w:after="160" w:line="240" w:lineRule="exact"/>
      <w:jc w:val="left"/>
    </w:pPr>
    <w:rPr>
      <w:rFonts w:ascii="Verdana" w:hAnsi="Verdana"/>
      <w:kern w:val="0"/>
      <w:sz w:val="20"/>
      <w:szCs w:val="20"/>
      <w:lang w:eastAsia="en-US"/>
    </w:rPr>
  </w:style>
  <w:style w:type="paragraph" w:customStyle="1" w:styleId="2943">
    <w:name w:val="表中文字11"/>
    <w:basedOn w:val="1"/>
    <w:qFormat/>
    <w:uiPriority w:val="0"/>
    <w:pPr>
      <w:widowControl/>
      <w:spacing w:line="240" w:lineRule="atLeast"/>
      <w:ind w:left="-24" w:leftChars="-10" w:right="-48" w:rightChars="-20"/>
      <w:jc w:val="center"/>
    </w:pPr>
    <w:rPr>
      <w:rFonts w:ascii="宋体"/>
      <w:kern w:val="0"/>
      <w:szCs w:val="21"/>
    </w:rPr>
  </w:style>
  <w:style w:type="paragraph" w:customStyle="1" w:styleId="2944">
    <w:name w:val="正文修改13"/>
    <w:basedOn w:val="1161"/>
    <w:qFormat/>
    <w:uiPriority w:val="0"/>
    <w:rPr>
      <w:rFonts w:hAnsi="宋体"/>
      <w:color w:val="000000"/>
    </w:rPr>
  </w:style>
  <w:style w:type="paragraph" w:customStyle="1" w:styleId="2945">
    <w:name w:val="图表名称3"/>
    <w:basedOn w:val="85"/>
    <w:qFormat/>
    <w:uiPriority w:val="0"/>
    <w:pPr>
      <w:widowControl/>
      <w:adjustRightInd w:val="0"/>
      <w:snapToGrid w:val="0"/>
      <w:spacing w:after="0" w:line="480" w:lineRule="exact"/>
      <w:ind w:firstLine="0" w:firstLineChars="0"/>
      <w:jc w:val="center"/>
    </w:pPr>
    <w:rPr>
      <w:rFonts w:ascii="宋体" w:hAnsi="宋体" w:eastAsia="宋体"/>
      <w:bCs/>
      <w:sz w:val="24"/>
    </w:rPr>
  </w:style>
  <w:style w:type="paragraph" w:customStyle="1" w:styleId="2946">
    <w:name w:val="Char414"/>
    <w:basedOn w:val="1"/>
    <w:qFormat/>
    <w:uiPriority w:val="0"/>
    <w:pPr>
      <w:ind w:left="-48"/>
    </w:pPr>
  </w:style>
  <w:style w:type="paragraph" w:customStyle="1" w:styleId="2947">
    <w:name w:val="表题911"/>
    <w:basedOn w:val="44"/>
    <w:qFormat/>
    <w:uiPriority w:val="0"/>
    <w:pPr>
      <w:adjustRightInd w:val="0"/>
      <w:snapToGrid w:val="0"/>
      <w:spacing w:line="300" w:lineRule="auto"/>
      <w:jc w:val="center"/>
    </w:pPr>
    <w:rPr>
      <w:rFonts w:ascii="黑体" w:eastAsia="黑体" w:cs="Times New Roman"/>
      <w:sz w:val="24"/>
      <w:szCs w:val="20"/>
    </w:rPr>
  </w:style>
  <w:style w:type="paragraph" w:customStyle="1" w:styleId="2948">
    <w:name w:val="Char Char1 Char Char Char1 Char Char Char Char Char Char Char Char Char Char Char Char1"/>
    <w:basedOn w:val="1"/>
    <w:qFormat/>
    <w:uiPriority w:val="0"/>
    <w:rPr>
      <w:sz w:val="24"/>
    </w:rPr>
  </w:style>
  <w:style w:type="paragraph" w:customStyle="1" w:styleId="2949">
    <w:name w:val="首行缩进:  0.99 厘米 + 首行缩进:  2 字符1"/>
    <w:basedOn w:val="1"/>
    <w:qFormat/>
    <w:uiPriority w:val="0"/>
    <w:pPr>
      <w:widowControl/>
      <w:topLinePunct/>
      <w:spacing w:line="480" w:lineRule="exact"/>
      <w:ind w:firstLine="420" w:firstLineChars="200"/>
      <w:jc w:val="center"/>
    </w:pPr>
    <w:rPr>
      <w:rFonts w:ascii="宋体" w:cs="宋体"/>
      <w:snapToGrid w:val="0"/>
      <w:color w:val="FF0000"/>
      <w:kern w:val="0"/>
      <w:szCs w:val="21"/>
    </w:rPr>
  </w:style>
  <w:style w:type="paragraph" w:customStyle="1" w:styleId="2950">
    <w:name w:val="燕山正文112"/>
    <w:basedOn w:val="1"/>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2951">
    <w:name w:val="燕山正文1141"/>
    <w:basedOn w:val="1"/>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2952">
    <w:name w:val="Char59"/>
    <w:basedOn w:val="1"/>
    <w:qFormat/>
    <w:uiPriority w:val="0"/>
    <w:pPr>
      <w:ind w:left="-48"/>
    </w:pPr>
  </w:style>
  <w:style w:type="paragraph" w:customStyle="1" w:styleId="2953">
    <w:name w:val="燕山正文11111"/>
    <w:basedOn w:val="1"/>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2954">
    <w:name w:val="Char Char Char Char Char Char Char23"/>
    <w:basedOn w:val="1"/>
    <w:qFormat/>
    <w:uiPriority w:val="0"/>
  </w:style>
  <w:style w:type="paragraph" w:customStyle="1" w:styleId="2955">
    <w:name w:val="表内宋5中213"/>
    <w:basedOn w:val="1"/>
    <w:qFormat/>
    <w:uiPriority w:val="0"/>
    <w:pPr>
      <w:adjustRightInd w:val="0"/>
      <w:snapToGrid w:val="0"/>
      <w:jc w:val="center"/>
      <w:textAlignment w:val="baseline"/>
    </w:pPr>
    <w:rPr>
      <w:rFonts w:ascii="宋体" w:hAnsi="宋体"/>
      <w:kern w:val="0"/>
      <w:szCs w:val="20"/>
    </w:rPr>
  </w:style>
  <w:style w:type="paragraph" w:customStyle="1" w:styleId="2956">
    <w:name w:val="正文格式24"/>
    <w:basedOn w:val="1"/>
    <w:qFormat/>
    <w:uiPriority w:val="0"/>
    <w:pPr>
      <w:spacing w:line="360" w:lineRule="auto"/>
      <w:ind w:firstLine="482"/>
    </w:pPr>
    <w:rPr>
      <w:rFonts w:ascii="宋体" w:hAnsi="宋体"/>
      <w:sz w:val="24"/>
    </w:rPr>
  </w:style>
  <w:style w:type="paragraph" w:customStyle="1" w:styleId="2957">
    <w:name w:val="表题11112"/>
    <w:basedOn w:val="21"/>
    <w:qFormat/>
    <w:uiPriority w:val="0"/>
    <w:pPr>
      <w:tabs>
        <w:tab w:val="clear" w:pos="7380"/>
      </w:tabs>
      <w:overflowPunct/>
      <w:spacing w:before="0" w:afterLines="0" w:line="360" w:lineRule="auto"/>
      <w:jc w:val="center"/>
    </w:pPr>
    <w:rPr>
      <w:rFonts w:ascii="黑体"/>
      <w:sz w:val="24"/>
      <w:szCs w:val="24"/>
    </w:rPr>
  </w:style>
  <w:style w:type="paragraph" w:customStyle="1" w:styleId="2958">
    <w:name w:val="Char153"/>
    <w:basedOn w:val="1"/>
    <w:qFormat/>
    <w:uiPriority w:val="0"/>
    <w:pPr>
      <w:adjustRightInd w:val="0"/>
      <w:snapToGrid w:val="0"/>
      <w:spacing w:beforeLines="50" w:line="360" w:lineRule="auto"/>
    </w:pPr>
    <w:rPr>
      <w:rFonts w:ascii="黑体" w:eastAsia="黑体"/>
      <w:sz w:val="32"/>
      <w:szCs w:val="32"/>
    </w:rPr>
  </w:style>
  <w:style w:type="paragraph" w:customStyle="1" w:styleId="2959">
    <w:name w:val="表内文字小1112"/>
    <w:basedOn w:val="1"/>
    <w:qFormat/>
    <w:uiPriority w:val="0"/>
    <w:pPr>
      <w:adjustRightInd w:val="0"/>
      <w:snapToGrid w:val="0"/>
    </w:pPr>
    <w:rPr>
      <w:rFonts w:ascii="宋体" w:hAnsi="Times" w:cs="宋体"/>
      <w:szCs w:val="20"/>
    </w:rPr>
  </w:style>
  <w:style w:type="paragraph" w:customStyle="1" w:styleId="2960">
    <w:name w:val="Fax Header12"/>
    <w:basedOn w:val="1"/>
    <w:qFormat/>
    <w:uiPriority w:val="0"/>
    <w:pPr>
      <w:widowControl/>
      <w:spacing w:before="240" w:after="60"/>
      <w:jc w:val="left"/>
    </w:pPr>
    <w:rPr>
      <w:kern w:val="0"/>
      <w:sz w:val="20"/>
      <w:szCs w:val="20"/>
    </w:rPr>
  </w:style>
  <w:style w:type="paragraph" w:customStyle="1" w:styleId="2961">
    <w:name w:val="表文字5114"/>
    <w:basedOn w:val="1"/>
    <w:qFormat/>
    <w:uiPriority w:val="0"/>
    <w:pPr>
      <w:adjustRightInd w:val="0"/>
      <w:jc w:val="left"/>
      <w:textAlignment w:val="baseline"/>
    </w:pPr>
    <w:rPr>
      <w:rFonts w:ascii="宋体"/>
      <w:kern w:val="0"/>
      <w:szCs w:val="20"/>
    </w:rPr>
  </w:style>
  <w:style w:type="paragraph" w:customStyle="1" w:styleId="2962">
    <w:name w:val="样式 报告表正文 + 首行缩进:  2 字符 行距: 1.5 倍行距"/>
    <w:basedOn w:val="1"/>
    <w:qFormat/>
    <w:uiPriority w:val="0"/>
    <w:pPr>
      <w:adjustRightInd w:val="0"/>
      <w:spacing w:line="360" w:lineRule="auto"/>
      <w:ind w:left="113" w:right="113" w:firstLine="480" w:firstLineChars="200"/>
    </w:pPr>
    <w:rPr>
      <w:rFonts w:cs="宋体"/>
      <w:kern w:val="0"/>
      <w:sz w:val="24"/>
    </w:rPr>
  </w:style>
  <w:style w:type="paragraph" w:customStyle="1" w:styleId="2963">
    <w:name w:val="正文格式71"/>
    <w:basedOn w:val="1"/>
    <w:qFormat/>
    <w:uiPriority w:val="0"/>
    <w:pPr>
      <w:spacing w:line="360" w:lineRule="auto"/>
      <w:ind w:firstLine="482"/>
    </w:pPr>
    <w:rPr>
      <w:rFonts w:ascii="宋体" w:hAnsi="宋体"/>
      <w:sz w:val="24"/>
    </w:rPr>
  </w:style>
  <w:style w:type="paragraph" w:customStyle="1" w:styleId="2964">
    <w:name w:val="edri-7 title"/>
    <w:basedOn w:val="2479"/>
    <w:qFormat/>
    <w:uiPriority w:val="0"/>
    <w:pPr>
      <w:tabs>
        <w:tab w:val="left" w:pos="425"/>
      </w:tabs>
      <w:ind w:left="425" w:leftChars="0" w:hanging="425"/>
    </w:pPr>
  </w:style>
  <w:style w:type="paragraph" w:customStyle="1" w:styleId="2965">
    <w:name w:val="样式 行距: 固定值 25 磅"/>
    <w:basedOn w:val="1"/>
    <w:qFormat/>
    <w:uiPriority w:val="0"/>
    <w:pPr>
      <w:spacing w:line="500" w:lineRule="exact"/>
      <w:ind w:firstLine="420" w:firstLineChars="200"/>
    </w:pPr>
    <w:rPr>
      <w:rFonts w:cs="宋体"/>
      <w:sz w:val="24"/>
      <w:szCs w:val="20"/>
    </w:rPr>
  </w:style>
  <w:style w:type="paragraph" w:customStyle="1" w:styleId="2966">
    <w:name w:val="样式 正文缩进 + 宋体 黑色 首行缩进:  2 字符11"/>
    <w:basedOn w:val="20"/>
    <w:qFormat/>
    <w:uiPriority w:val="0"/>
    <w:pPr>
      <w:spacing w:line="360" w:lineRule="auto"/>
      <w:ind w:firstLine="480"/>
      <w:jc w:val="left"/>
    </w:pPr>
    <w:rPr>
      <w:rFonts w:ascii="宋体" w:hAnsi="宋体" w:cs="宋体"/>
      <w:color w:val="FF00FF"/>
      <w:sz w:val="24"/>
      <w:szCs w:val="20"/>
    </w:rPr>
  </w:style>
  <w:style w:type="paragraph" w:customStyle="1" w:styleId="2967">
    <w:name w:val="表题115"/>
    <w:basedOn w:val="21"/>
    <w:qFormat/>
    <w:uiPriority w:val="0"/>
    <w:pPr>
      <w:tabs>
        <w:tab w:val="clear" w:pos="7380"/>
      </w:tabs>
      <w:overflowPunct/>
      <w:spacing w:before="0" w:afterLines="0" w:line="360" w:lineRule="auto"/>
      <w:jc w:val="center"/>
    </w:pPr>
    <w:rPr>
      <w:rFonts w:ascii="黑体"/>
      <w:sz w:val="24"/>
      <w:szCs w:val="24"/>
    </w:rPr>
  </w:style>
  <w:style w:type="paragraph" w:customStyle="1" w:styleId="2968">
    <w:name w:val="表内5中12"/>
    <w:basedOn w:val="1"/>
    <w:qFormat/>
    <w:uiPriority w:val="0"/>
    <w:pPr>
      <w:adjustRightInd w:val="0"/>
      <w:snapToGrid w:val="0"/>
      <w:jc w:val="center"/>
    </w:pPr>
    <w:rPr>
      <w:rFonts w:ascii="宋体" w:hAnsi="宋体" w:cs="Arial"/>
      <w:snapToGrid w:val="0"/>
      <w:color w:val="000000"/>
      <w:szCs w:val="21"/>
    </w:rPr>
  </w:style>
  <w:style w:type="paragraph" w:customStyle="1" w:styleId="2969">
    <w:name w:val="表文字523"/>
    <w:basedOn w:val="1"/>
    <w:qFormat/>
    <w:uiPriority w:val="0"/>
    <w:pPr>
      <w:adjustRightInd w:val="0"/>
      <w:jc w:val="left"/>
      <w:textAlignment w:val="baseline"/>
    </w:pPr>
    <w:rPr>
      <w:rFonts w:ascii="宋体"/>
      <w:kern w:val="0"/>
      <w:szCs w:val="20"/>
    </w:rPr>
  </w:style>
  <w:style w:type="paragraph" w:customStyle="1" w:styleId="2970">
    <w:name w:val="Char1210"/>
    <w:basedOn w:val="1"/>
    <w:qFormat/>
    <w:uiPriority w:val="0"/>
    <w:pPr>
      <w:adjustRightInd w:val="0"/>
      <w:snapToGrid w:val="0"/>
      <w:spacing w:line="360" w:lineRule="auto"/>
    </w:pPr>
  </w:style>
  <w:style w:type="paragraph" w:customStyle="1" w:styleId="2971">
    <w:name w:val="表内文字小31212"/>
    <w:basedOn w:val="1"/>
    <w:qFormat/>
    <w:uiPriority w:val="0"/>
    <w:pPr>
      <w:adjustRightInd w:val="0"/>
      <w:snapToGrid w:val="0"/>
      <w:jc w:val="center"/>
    </w:pPr>
    <w:rPr>
      <w:rFonts w:ascii="宋体" w:hAnsi="Times" w:cs="宋体"/>
      <w:bCs/>
      <w:color w:val="003366"/>
      <w:szCs w:val="20"/>
    </w:rPr>
  </w:style>
  <w:style w:type="paragraph" w:customStyle="1" w:styleId="2972">
    <w:name w:val="Char25"/>
    <w:basedOn w:val="1"/>
    <w:qFormat/>
    <w:uiPriority w:val="0"/>
    <w:pPr>
      <w:adjustRightInd w:val="0"/>
      <w:snapToGrid w:val="0"/>
      <w:spacing w:beforeLines="50" w:line="360" w:lineRule="auto"/>
    </w:pPr>
    <w:rPr>
      <w:rFonts w:ascii="黑体" w:eastAsia="黑体"/>
      <w:sz w:val="32"/>
      <w:szCs w:val="32"/>
    </w:rPr>
  </w:style>
  <w:style w:type="paragraph" w:customStyle="1" w:styleId="2973">
    <w:name w:val="正文格式212"/>
    <w:basedOn w:val="1"/>
    <w:qFormat/>
    <w:uiPriority w:val="0"/>
    <w:pPr>
      <w:spacing w:line="360" w:lineRule="auto"/>
      <w:ind w:firstLine="482"/>
    </w:pPr>
    <w:rPr>
      <w:rFonts w:ascii="宋体" w:hAnsi="宋体"/>
      <w:sz w:val="24"/>
    </w:rPr>
  </w:style>
  <w:style w:type="paragraph" w:customStyle="1" w:styleId="2974">
    <w:name w:val="表题1311"/>
    <w:basedOn w:val="21"/>
    <w:qFormat/>
    <w:uiPriority w:val="0"/>
    <w:pPr>
      <w:tabs>
        <w:tab w:val="clear" w:pos="7380"/>
      </w:tabs>
      <w:overflowPunct/>
      <w:spacing w:before="0" w:afterLines="0" w:line="360" w:lineRule="auto"/>
      <w:jc w:val="center"/>
    </w:pPr>
    <w:rPr>
      <w:rFonts w:ascii="黑体"/>
      <w:b/>
      <w:sz w:val="24"/>
      <w:szCs w:val="24"/>
    </w:rPr>
  </w:style>
  <w:style w:type="paragraph" w:customStyle="1" w:styleId="2975">
    <w:name w:val="表内宋5中211"/>
    <w:basedOn w:val="1"/>
    <w:qFormat/>
    <w:uiPriority w:val="0"/>
    <w:pPr>
      <w:adjustRightInd w:val="0"/>
      <w:snapToGrid w:val="0"/>
      <w:jc w:val="center"/>
      <w:textAlignment w:val="baseline"/>
    </w:pPr>
    <w:rPr>
      <w:rFonts w:ascii="宋体" w:hAnsi="宋体"/>
      <w:kern w:val="0"/>
      <w:szCs w:val="20"/>
    </w:rPr>
  </w:style>
  <w:style w:type="paragraph" w:customStyle="1" w:styleId="2976">
    <w:name w:val="表、图名宋旭峰"/>
    <w:basedOn w:val="1"/>
    <w:qFormat/>
    <w:uiPriority w:val="0"/>
    <w:pPr>
      <w:spacing w:beforeLines="50" w:line="360" w:lineRule="auto"/>
      <w:jc w:val="center"/>
    </w:pPr>
    <w:rPr>
      <w:rFonts w:ascii="黑体" w:hAnsi="宋体" w:eastAsia="黑体"/>
      <w:snapToGrid w:val="0"/>
      <w:kern w:val="0"/>
      <w:szCs w:val="21"/>
    </w:rPr>
  </w:style>
  <w:style w:type="paragraph" w:customStyle="1" w:styleId="2977">
    <w:name w:val="正文格式513"/>
    <w:basedOn w:val="1"/>
    <w:qFormat/>
    <w:uiPriority w:val="0"/>
    <w:pPr>
      <w:spacing w:line="360" w:lineRule="auto"/>
      <w:ind w:firstLine="482"/>
    </w:pPr>
    <w:rPr>
      <w:rFonts w:ascii="宋体" w:hAnsi="宋体"/>
      <w:sz w:val="24"/>
    </w:rPr>
  </w:style>
  <w:style w:type="paragraph" w:customStyle="1" w:styleId="2978">
    <w:name w:val="表内文字小31312"/>
    <w:basedOn w:val="1"/>
    <w:qFormat/>
    <w:uiPriority w:val="0"/>
    <w:pPr>
      <w:adjustRightInd w:val="0"/>
      <w:snapToGrid w:val="0"/>
      <w:jc w:val="center"/>
    </w:pPr>
    <w:rPr>
      <w:rFonts w:ascii="宋体" w:hAnsi="Times" w:cs="宋体"/>
      <w:bCs/>
      <w:color w:val="003366"/>
      <w:szCs w:val="20"/>
    </w:rPr>
  </w:style>
  <w:style w:type="paragraph" w:customStyle="1" w:styleId="2979">
    <w:name w:val="样式 标题 1 + 行距: 最小值 12 磅"/>
    <w:basedOn w:val="2"/>
    <w:qFormat/>
    <w:uiPriority w:val="0"/>
    <w:pPr>
      <w:keepNext w:val="0"/>
      <w:tabs>
        <w:tab w:val="left" w:pos="2040"/>
      </w:tabs>
      <w:spacing w:before="360" w:after="240" w:line="240" w:lineRule="atLeast"/>
      <w:ind w:left="2040" w:leftChars="800" w:hanging="360" w:hangingChars="200"/>
      <w:jc w:val="center"/>
    </w:pPr>
    <w:rPr>
      <w:rFonts w:cs="宋体"/>
      <w:sz w:val="32"/>
      <w:szCs w:val="32"/>
    </w:rPr>
  </w:style>
  <w:style w:type="paragraph" w:customStyle="1" w:styleId="2980">
    <w:name w:val="表113"/>
    <w:basedOn w:val="1"/>
    <w:qFormat/>
    <w:uiPriority w:val="0"/>
    <w:pPr>
      <w:adjustRightInd w:val="0"/>
      <w:snapToGrid w:val="0"/>
      <w:jc w:val="center"/>
    </w:pPr>
    <w:rPr>
      <w:rFonts w:eastAsia="仿宋_GB2312"/>
      <w:sz w:val="24"/>
    </w:rPr>
  </w:style>
  <w:style w:type="paragraph" w:customStyle="1" w:styleId="2981">
    <w:name w:val="表题1421"/>
    <w:basedOn w:val="21"/>
    <w:qFormat/>
    <w:uiPriority w:val="0"/>
    <w:pPr>
      <w:tabs>
        <w:tab w:val="clear" w:pos="7380"/>
      </w:tabs>
      <w:overflowPunct/>
      <w:spacing w:before="0" w:afterLines="0" w:line="360" w:lineRule="auto"/>
      <w:jc w:val="center"/>
    </w:pPr>
    <w:rPr>
      <w:rFonts w:ascii="黑体"/>
      <w:b/>
      <w:sz w:val="24"/>
      <w:szCs w:val="24"/>
    </w:rPr>
  </w:style>
  <w:style w:type="paragraph" w:customStyle="1" w:styleId="2982">
    <w:name w:val="默认段落字体 Para Char411"/>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2983">
    <w:name w:val="默认段落字体 Para Char5"/>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2984">
    <w:name w:val="表内宋5中121"/>
    <w:basedOn w:val="1"/>
    <w:qFormat/>
    <w:uiPriority w:val="0"/>
    <w:pPr>
      <w:adjustRightInd w:val="0"/>
      <w:snapToGrid w:val="0"/>
      <w:jc w:val="center"/>
      <w:textAlignment w:val="baseline"/>
    </w:pPr>
    <w:rPr>
      <w:rFonts w:ascii="宋体" w:hAnsi="宋体" w:cs="宋体"/>
      <w:kern w:val="0"/>
      <w:szCs w:val="20"/>
    </w:rPr>
  </w:style>
  <w:style w:type="paragraph" w:customStyle="1" w:styleId="2985">
    <w:name w:val="表文字511"/>
    <w:basedOn w:val="1"/>
    <w:qFormat/>
    <w:uiPriority w:val="0"/>
    <w:pPr>
      <w:adjustRightInd w:val="0"/>
      <w:jc w:val="left"/>
      <w:textAlignment w:val="baseline"/>
    </w:pPr>
    <w:rPr>
      <w:rFonts w:ascii="宋体"/>
      <w:kern w:val="0"/>
      <w:szCs w:val="20"/>
    </w:rPr>
  </w:style>
  <w:style w:type="paragraph" w:customStyle="1" w:styleId="2986">
    <w:name w:val="样式 表格内字体 +12"/>
    <w:basedOn w:val="1875"/>
    <w:qFormat/>
    <w:uiPriority w:val="0"/>
    <w:pPr>
      <w:spacing w:line="280" w:lineRule="exact"/>
      <w:ind w:firstLine="36"/>
      <w:jc w:val="both"/>
    </w:pPr>
    <w:rPr>
      <w:szCs w:val="24"/>
    </w:rPr>
  </w:style>
  <w:style w:type="paragraph" w:customStyle="1" w:styleId="2987">
    <w:name w:val="正文格式713"/>
    <w:basedOn w:val="1"/>
    <w:qFormat/>
    <w:uiPriority w:val="0"/>
    <w:pPr>
      <w:spacing w:line="360" w:lineRule="auto"/>
      <w:ind w:firstLine="482"/>
    </w:pPr>
    <w:rPr>
      <w:rFonts w:ascii="宋体" w:hAnsi="宋体"/>
      <w:sz w:val="24"/>
    </w:rPr>
  </w:style>
  <w:style w:type="paragraph" w:customStyle="1" w:styleId="2988">
    <w:name w:val="表13"/>
    <w:basedOn w:val="1"/>
    <w:qFormat/>
    <w:uiPriority w:val="0"/>
    <w:pPr>
      <w:adjustRightInd w:val="0"/>
      <w:snapToGrid w:val="0"/>
      <w:jc w:val="center"/>
    </w:pPr>
    <w:rPr>
      <w:rFonts w:eastAsia="仿宋_GB2312"/>
      <w:sz w:val="24"/>
    </w:rPr>
  </w:style>
  <w:style w:type="paragraph" w:customStyle="1" w:styleId="2989">
    <w:name w:val="資料來源"/>
    <w:basedOn w:val="1"/>
    <w:qFormat/>
    <w:uiPriority w:val="0"/>
    <w:pPr>
      <w:adjustRightInd w:val="0"/>
      <w:snapToGrid w:val="0"/>
      <w:spacing w:before="60"/>
      <w:textAlignment w:val="baseline"/>
    </w:pPr>
    <w:rPr>
      <w:rFonts w:eastAsia="華康中明體"/>
      <w:sz w:val="18"/>
      <w:szCs w:val="20"/>
      <w:lang w:eastAsia="zh-TW"/>
    </w:rPr>
  </w:style>
  <w:style w:type="paragraph" w:customStyle="1" w:styleId="2990">
    <w:name w:val="表内宋5113"/>
    <w:basedOn w:val="80"/>
    <w:qFormat/>
    <w:uiPriority w:val="0"/>
    <w:pPr>
      <w:widowControl/>
      <w:adjustRightInd w:val="0"/>
      <w:snapToGrid w:val="0"/>
    </w:pPr>
    <w:rPr>
      <w:rFonts w:ascii="宋体" w:hAnsi="宋体" w:cs="宋体"/>
      <w:color w:val="000000"/>
      <w:sz w:val="21"/>
    </w:rPr>
  </w:style>
  <w:style w:type="paragraph" w:customStyle="1" w:styleId="2991">
    <w:name w:val="9 Char Char Char6 Char"/>
    <w:basedOn w:val="1"/>
    <w:qFormat/>
    <w:uiPriority w:val="0"/>
    <w:pPr>
      <w:spacing w:line="240" w:lineRule="exact"/>
      <w:ind w:firstLine="200" w:firstLineChars="200"/>
    </w:pPr>
    <w:rPr>
      <w:sz w:val="28"/>
      <w:szCs w:val="28"/>
    </w:rPr>
  </w:style>
  <w:style w:type="paragraph" w:customStyle="1" w:styleId="2992">
    <w:name w:val="谏壁标题4(chen) Char Char"/>
    <w:basedOn w:val="1"/>
    <w:qFormat/>
    <w:uiPriority w:val="0"/>
    <w:pPr>
      <w:snapToGrid w:val="0"/>
      <w:spacing w:beforeLines="50" w:line="360" w:lineRule="auto"/>
      <w:outlineLvl w:val="3"/>
    </w:pPr>
    <w:rPr>
      <w:rFonts w:eastAsia="楷体_GB2312"/>
      <w:sz w:val="28"/>
    </w:rPr>
  </w:style>
  <w:style w:type="paragraph" w:customStyle="1" w:styleId="2993">
    <w:name w:val="表23"/>
    <w:basedOn w:val="1"/>
    <w:qFormat/>
    <w:uiPriority w:val="0"/>
    <w:pPr>
      <w:adjustRightInd w:val="0"/>
      <w:snapToGrid w:val="0"/>
      <w:jc w:val="center"/>
    </w:pPr>
    <w:rPr>
      <w:rFonts w:eastAsia="仿宋_GB2312"/>
      <w:sz w:val="24"/>
    </w:rPr>
  </w:style>
  <w:style w:type="paragraph" w:customStyle="1" w:styleId="2994">
    <w:name w:val="表格文字小四"/>
    <w:basedOn w:val="1"/>
    <w:qFormat/>
    <w:uiPriority w:val="0"/>
    <w:pPr>
      <w:adjustRightInd w:val="0"/>
      <w:snapToGrid w:val="0"/>
      <w:spacing w:beforeLines="10" w:afterLines="10"/>
      <w:jc w:val="center"/>
    </w:pPr>
    <w:rPr>
      <w:rFonts w:ascii="Arial" w:hAnsi="Arial" w:cs="Arial"/>
      <w:snapToGrid w:val="0"/>
      <w:kern w:val="0"/>
      <w:sz w:val="24"/>
      <w:szCs w:val="20"/>
    </w:rPr>
  </w:style>
  <w:style w:type="paragraph" w:customStyle="1" w:styleId="2995">
    <w:name w:val="样式 标题 2mystyle2style2 + 四号 非加粗 居中 行距: 多倍行距 1.73 字行"/>
    <w:basedOn w:val="3"/>
    <w:qFormat/>
    <w:uiPriority w:val="0"/>
    <w:pPr>
      <w:numPr>
        <w:ilvl w:val="0"/>
        <w:numId w:val="0"/>
      </w:numPr>
      <w:tabs>
        <w:tab w:val="left" w:pos="233"/>
        <w:tab w:val="clear" w:pos="0"/>
        <w:tab w:val="clear" w:pos="426"/>
      </w:tabs>
      <w:spacing w:beforeLines="0" w:afterLines="0" w:line="413" w:lineRule="auto"/>
      <w:ind w:left="233"/>
      <w:jc w:val="center"/>
    </w:pPr>
    <w:rPr>
      <w:rFonts w:ascii="Arial" w:hAnsi="Arial" w:eastAsia="黑体" w:cs="Century"/>
      <w:b w:val="0"/>
      <w:spacing w:val="0"/>
      <w:kern w:val="2"/>
      <w:sz w:val="28"/>
      <w:szCs w:val="20"/>
    </w:rPr>
  </w:style>
  <w:style w:type="paragraph" w:customStyle="1" w:styleId="2996">
    <w:name w:val="表内宋5中11"/>
    <w:basedOn w:val="1"/>
    <w:qFormat/>
    <w:uiPriority w:val="0"/>
    <w:pPr>
      <w:adjustRightInd w:val="0"/>
      <w:snapToGrid w:val="0"/>
      <w:jc w:val="center"/>
      <w:textAlignment w:val="baseline"/>
    </w:pPr>
    <w:rPr>
      <w:rFonts w:ascii="宋体" w:hAnsi="宋体" w:cs="宋体"/>
      <w:kern w:val="0"/>
      <w:szCs w:val="20"/>
    </w:rPr>
  </w:style>
  <w:style w:type="paragraph" w:customStyle="1" w:styleId="2997">
    <w:name w:val="表内文字小21212"/>
    <w:basedOn w:val="1"/>
    <w:qFormat/>
    <w:uiPriority w:val="0"/>
    <w:pPr>
      <w:adjustRightInd w:val="0"/>
      <w:snapToGrid w:val="0"/>
      <w:jc w:val="center"/>
    </w:pPr>
    <w:rPr>
      <w:rFonts w:ascii="宋体" w:hAnsi="Times"/>
      <w:bCs/>
      <w:color w:val="000000"/>
      <w:szCs w:val="20"/>
    </w:rPr>
  </w:style>
  <w:style w:type="paragraph" w:customStyle="1" w:styleId="2998">
    <w:name w:val="表内宋5中113"/>
    <w:basedOn w:val="1"/>
    <w:qFormat/>
    <w:uiPriority w:val="0"/>
    <w:pPr>
      <w:adjustRightInd w:val="0"/>
      <w:snapToGrid w:val="0"/>
      <w:jc w:val="center"/>
      <w:textAlignment w:val="baseline"/>
    </w:pPr>
    <w:rPr>
      <w:rFonts w:ascii="宋体" w:hAnsi="宋体" w:cs="宋体"/>
      <w:kern w:val="0"/>
      <w:szCs w:val="20"/>
    </w:rPr>
  </w:style>
  <w:style w:type="paragraph" w:customStyle="1" w:styleId="2999">
    <w:name w:val="正文格式113"/>
    <w:basedOn w:val="1"/>
    <w:qFormat/>
    <w:uiPriority w:val="0"/>
    <w:pPr>
      <w:spacing w:line="360" w:lineRule="auto"/>
      <w:ind w:firstLine="482"/>
    </w:pPr>
    <w:rPr>
      <w:rFonts w:ascii="宋体" w:hAnsi="宋体"/>
      <w:sz w:val="24"/>
    </w:rPr>
  </w:style>
  <w:style w:type="paragraph" w:customStyle="1" w:styleId="3000">
    <w:name w:val="淮安正文样式 小四 行距: 1.5 倍行距 首行缩进:  2 字符"/>
    <w:basedOn w:val="1"/>
    <w:qFormat/>
    <w:uiPriority w:val="0"/>
    <w:pPr>
      <w:adjustRightInd w:val="0"/>
      <w:snapToGrid w:val="0"/>
      <w:ind w:firstLine="480" w:firstLineChars="200"/>
    </w:pPr>
    <w:rPr>
      <w:snapToGrid w:val="0"/>
      <w:color w:val="0000FF"/>
      <w:kern w:val="0"/>
      <w:sz w:val="24"/>
      <w:szCs w:val="28"/>
    </w:rPr>
  </w:style>
  <w:style w:type="paragraph" w:customStyle="1" w:styleId="3001">
    <w:name w:val="表内文字小212"/>
    <w:basedOn w:val="1"/>
    <w:qFormat/>
    <w:uiPriority w:val="0"/>
    <w:pPr>
      <w:adjustRightInd w:val="0"/>
      <w:snapToGrid w:val="0"/>
      <w:jc w:val="center"/>
    </w:pPr>
    <w:rPr>
      <w:rFonts w:ascii="宋体" w:hAnsi="Times"/>
      <w:bCs/>
      <w:color w:val="000000"/>
      <w:szCs w:val="20"/>
    </w:rPr>
  </w:style>
  <w:style w:type="paragraph" w:customStyle="1" w:styleId="3002">
    <w:name w:val="Char Char Char1 Char Char Char Char Char Char Char Char Char Char Char Char Char Char Char Char Char"/>
    <w:basedOn w:val="1"/>
    <w:qFormat/>
    <w:uiPriority w:val="0"/>
    <w:pPr>
      <w:spacing w:line="240" w:lineRule="exact"/>
      <w:ind w:firstLine="200" w:firstLineChars="200"/>
    </w:pPr>
    <w:rPr>
      <w:sz w:val="28"/>
      <w:szCs w:val="28"/>
    </w:rPr>
  </w:style>
  <w:style w:type="paragraph" w:customStyle="1" w:styleId="3003">
    <w:name w:val="论文正文"/>
    <w:basedOn w:val="1"/>
    <w:qFormat/>
    <w:uiPriority w:val="0"/>
    <w:pPr>
      <w:spacing w:line="300" w:lineRule="auto"/>
      <w:ind w:firstLine="420" w:firstLineChars="200"/>
    </w:pPr>
    <w:rPr>
      <w:rFonts w:ascii="宋体" w:hAnsi="宋体"/>
      <w:szCs w:val="21"/>
    </w:rPr>
  </w:style>
  <w:style w:type="paragraph" w:customStyle="1" w:styleId="3004">
    <w:name w:val="样式 宋体 首行缩进:  0.93 厘米 段前: 6 磅 段后: 6 磅 行距: 固定值 16 磅"/>
    <w:basedOn w:val="1"/>
    <w:qFormat/>
    <w:uiPriority w:val="0"/>
    <w:pPr>
      <w:snapToGrid w:val="0"/>
      <w:spacing w:before="160" w:after="160" w:line="320" w:lineRule="exact"/>
      <w:ind w:firstLine="527"/>
    </w:pPr>
    <w:rPr>
      <w:rFonts w:ascii="宋体" w:hAnsi="宋体" w:cs="宋体"/>
      <w:sz w:val="24"/>
      <w:szCs w:val="20"/>
    </w:rPr>
  </w:style>
  <w:style w:type="paragraph" w:customStyle="1" w:styleId="3005">
    <w:name w:val="bgbt5附表标题"/>
    <w:basedOn w:val="2313"/>
    <w:next w:val="2316"/>
    <w:qFormat/>
    <w:uiPriority w:val="0"/>
    <w:pPr>
      <w:spacing w:before="60" w:after="0"/>
      <w:ind w:firstLine="0"/>
      <w:jc w:val="center"/>
      <w:outlineLvl w:val="4"/>
    </w:pPr>
    <w:rPr>
      <w:sz w:val="21"/>
    </w:rPr>
  </w:style>
  <w:style w:type="paragraph" w:customStyle="1" w:styleId="3006">
    <w:name w:val="小五"/>
    <w:qFormat/>
    <w:uiPriority w:val="0"/>
    <w:pPr>
      <w:widowControl w:val="0"/>
      <w:spacing w:line="360" w:lineRule="auto"/>
      <w:jc w:val="both"/>
    </w:pPr>
    <w:rPr>
      <w:rFonts w:ascii="Times New Roman" w:hAnsi="Times New Roman" w:eastAsia="仿宋_GB2312" w:cs="Times New Roman"/>
      <w:kern w:val="2"/>
      <w:sz w:val="21"/>
      <w:szCs w:val="24"/>
      <w:lang w:val="en-US" w:eastAsia="zh-CN" w:bidi="ar-SA"/>
    </w:rPr>
  </w:style>
  <w:style w:type="paragraph" w:customStyle="1" w:styleId="3007">
    <w:name w:val="表注-西江"/>
    <w:basedOn w:val="2818"/>
    <w:qFormat/>
    <w:uiPriority w:val="0"/>
    <w:pPr>
      <w:spacing w:before="120"/>
      <w:jc w:val="both"/>
    </w:pPr>
    <w:rPr>
      <w:b w:val="0"/>
      <w:sz w:val="21"/>
      <w:szCs w:val="21"/>
    </w:rPr>
  </w:style>
  <w:style w:type="paragraph" w:customStyle="1" w:styleId="3008">
    <w:name w:val="正文格式6"/>
    <w:basedOn w:val="1"/>
    <w:qFormat/>
    <w:uiPriority w:val="0"/>
    <w:pPr>
      <w:spacing w:line="360" w:lineRule="auto"/>
      <w:ind w:firstLine="482"/>
    </w:pPr>
    <w:rPr>
      <w:rFonts w:ascii="宋体" w:hAnsi="宋体"/>
      <w:sz w:val="24"/>
    </w:rPr>
  </w:style>
  <w:style w:type="paragraph" w:customStyle="1" w:styleId="3009">
    <w:name w:val="表格文本"/>
    <w:basedOn w:val="1"/>
    <w:next w:val="1"/>
    <w:qFormat/>
    <w:uiPriority w:val="0"/>
    <w:pPr>
      <w:spacing w:before="60" w:after="60" w:line="312" w:lineRule="auto"/>
      <w:jc w:val="center"/>
    </w:pPr>
    <w:rPr>
      <w:rFonts w:ascii="Arial" w:hAnsi="Arial"/>
      <w:kern w:val="0"/>
    </w:rPr>
  </w:style>
  <w:style w:type="paragraph" w:customStyle="1" w:styleId="3010">
    <w:name w:val="Char101"/>
    <w:basedOn w:val="1"/>
    <w:qFormat/>
    <w:uiPriority w:val="0"/>
    <w:pPr>
      <w:adjustRightInd w:val="0"/>
      <w:snapToGrid w:val="0"/>
      <w:spacing w:line="360" w:lineRule="auto"/>
    </w:pPr>
  </w:style>
  <w:style w:type="paragraph" w:customStyle="1" w:styleId="3011">
    <w:name w:val="样式 正文缩进 + 宋体 黑色3"/>
    <w:basedOn w:val="20"/>
    <w:qFormat/>
    <w:uiPriority w:val="0"/>
    <w:pPr>
      <w:spacing w:line="360" w:lineRule="auto"/>
      <w:ind w:firstLine="200"/>
      <w:jc w:val="left"/>
    </w:pPr>
    <w:rPr>
      <w:rFonts w:ascii="宋体" w:hAnsi="宋体"/>
      <w:color w:val="000000"/>
      <w:sz w:val="24"/>
    </w:rPr>
  </w:style>
  <w:style w:type="paragraph" w:customStyle="1" w:styleId="3012">
    <w:name w:val="Char Char Char Char Char Char Char Char Char Char Char Char1 Char Char Char Char Char Char Char Char Char Char Char Char"/>
    <w:basedOn w:val="1"/>
    <w:qFormat/>
    <w:uiPriority w:val="0"/>
    <w:pPr>
      <w:spacing w:line="240" w:lineRule="exact"/>
      <w:ind w:firstLine="200" w:firstLineChars="200"/>
    </w:pPr>
    <w:rPr>
      <w:sz w:val="28"/>
      <w:szCs w:val="28"/>
    </w:rPr>
  </w:style>
  <w:style w:type="paragraph" w:customStyle="1" w:styleId="3013">
    <w:name w:val="正文格式10"/>
    <w:basedOn w:val="1"/>
    <w:qFormat/>
    <w:uiPriority w:val="0"/>
    <w:pPr>
      <w:spacing w:line="360" w:lineRule="auto"/>
      <w:ind w:firstLine="482"/>
    </w:pPr>
    <w:rPr>
      <w:rFonts w:ascii="宋体" w:hAnsi="宋体"/>
      <w:sz w:val="24"/>
    </w:rPr>
  </w:style>
  <w:style w:type="paragraph" w:customStyle="1" w:styleId="3014">
    <w:name w:val="默认段落字体 Para Char112"/>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3015">
    <w:name w:val="正文格式111"/>
    <w:basedOn w:val="1"/>
    <w:qFormat/>
    <w:uiPriority w:val="0"/>
    <w:pPr>
      <w:spacing w:line="360" w:lineRule="auto"/>
      <w:ind w:firstLine="482"/>
    </w:pPr>
    <w:rPr>
      <w:rFonts w:ascii="宋体" w:hAnsi="宋体"/>
      <w:sz w:val="24"/>
    </w:rPr>
  </w:style>
  <w:style w:type="paragraph" w:customStyle="1" w:styleId="3016">
    <w:name w:val="正文格式102"/>
    <w:basedOn w:val="1"/>
    <w:qFormat/>
    <w:uiPriority w:val="0"/>
    <w:pPr>
      <w:spacing w:line="360" w:lineRule="auto"/>
      <w:ind w:firstLine="482"/>
    </w:pPr>
    <w:rPr>
      <w:rFonts w:ascii="宋体" w:hAnsi="宋体"/>
      <w:sz w:val="24"/>
    </w:rPr>
  </w:style>
  <w:style w:type="paragraph" w:customStyle="1" w:styleId="3017">
    <w:name w:val="文本框11"/>
    <w:basedOn w:val="1"/>
    <w:qFormat/>
    <w:uiPriority w:val="0"/>
    <w:pPr>
      <w:adjustRightInd w:val="0"/>
      <w:snapToGrid w:val="0"/>
      <w:spacing w:after="6"/>
      <w:jc w:val="center"/>
    </w:pPr>
    <w:rPr>
      <w:rFonts w:eastAsia="仿宋_GB2312"/>
    </w:rPr>
  </w:style>
  <w:style w:type="paragraph" w:customStyle="1" w:styleId="3018">
    <w:name w:val="正文格式8"/>
    <w:basedOn w:val="1"/>
    <w:qFormat/>
    <w:uiPriority w:val="0"/>
    <w:pPr>
      <w:spacing w:line="360" w:lineRule="auto"/>
      <w:ind w:firstLine="482"/>
    </w:pPr>
    <w:rPr>
      <w:rFonts w:ascii="宋体" w:hAnsi="宋体"/>
      <w:sz w:val="24"/>
    </w:rPr>
  </w:style>
  <w:style w:type="paragraph" w:customStyle="1" w:styleId="3019">
    <w:name w:val="表格五中"/>
    <w:qFormat/>
    <w:uiPriority w:val="0"/>
    <w:pPr>
      <w:adjustRightInd w:val="0"/>
      <w:snapToGrid w:val="0"/>
      <w:spacing w:line="240" w:lineRule="atLeast"/>
      <w:jc w:val="center"/>
    </w:pPr>
    <w:rPr>
      <w:rFonts w:ascii="Times New Roman" w:hAnsi="Times New Roman" w:eastAsia="宋体" w:cs="Times New Roman"/>
      <w:sz w:val="21"/>
      <w:lang w:val="en-US" w:eastAsia="zh-CN" w:bidi="ar-SA"/>
    </w:rPr>
  </w:style>
  <w:style w:type="paragraph" w:customStyle="1" w:styleId="3020">
    <w:name w:val="表内小5中3"/>
    <w:basedOn w:val="1"/>
    <w:qFormat/>
    <w:uiPriority w:val="0"/>
    <w:pPr>
      <w:adjustRightInd w:val="0"/>
      <w:snapToGrid w:val="0"/>
      <w:jc w:val="center"/>
    </w:pPr>
    <w:rPr>
      <w:rFonts w:ascii="宋体" w:hAnsi="宋体"/>
      <w:sz w:val="18"/>
      <w:szCs w:val="20"/>
    </w:rPr>
  </w:style>
  <w:style w:type="paragraph" w:customStyle="1" w:styleId="3021">
    <w:name w:val="正文214"/>
    <w:qFormat/>
    <w:uiPriority w:val="0"/>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3022">
    <w:name w:val="表11"/>
    <w:basedOn w:val="1"/>
    <w:qFormat/>
    <w:uiPriority w:val="0"/>
    <w:pPr>
      <w:adjustRightInd w:val="0"/>
      <w:snapToGrid w:val="0"/>
      <w:jc w:val="center"/>
    </w:pPr>
    <w:rPr>
      <w:rFonts w:eastAsia="仿宋_GB2312"/>
      <w:sz w:val="24"/>
    </w:rPr>
  </w:style>
  <w:style w:type="paragraph" w:customStyle="1" w:styleId="3023">
    <w:name w:val="附件3"/>
    <w:basedOn w:val="2"/>
    <w:next w:val="184"/>
    <w:qFormat/>
    <w:uiPriority w:val="0"/>
    <w:pPr>
      <w:tabs>
        <w:tab w:val="left" w:pos="1566"/>
        <w:tab w:val="left" w:pos="2040"/>
      </w:tabs>
      <w:adjustRightInd w:val="0"/>
      <w:snapToGrid w:val="0"/>
      <w:spacing w:before="0" w:after="120" w:line="360" w:lineRule="auto"/>
      <w:ind w:left="2040" w:leftChars="800" w:hanging="360" w:hangingChars="200"/>
      <w:jc w:val="left"/>
    </w:pPr>
    <w:rPr>
      <w:rFonts w:ascii="黑体" w:hAnsi="宋体" w:eastAsia="黑体"/>
      <w:b w:val="0"/>
      <w:sz w:val="32"/>
      <w:szCs w:val="32"/>
    </w:rPr>
  </w:style>
  <w:style w:type="paragraph" w:customStyle="1" w:styleId="3024">
    <w:name w:val="燕山正文212"/>
    <w:basedOn w:val="1"/>
    <w:qFormat/>
    <w:uiPriority w:val="0"/>
    <w:pPr>
      <w:tabs>
        <w:tab w:val="left" w:pos="4680"/>
      </w:tabs>
      <w:adjustRightInd w:val="0"/>
      <w:snapToGrid w:val="0"/>
      <w:spacing w:line="480" w:lineRule="exact"/>
    </w:pPr>
    <w:rPr>
      <w:rFonts w:ascii="宋体" w:cs="宋体"/>
      <w:sz w:val="24"/>
    </w:rPr>
  </w:style>
  <w:style w:type="paragraph" w:customStyle="1" w:styleId="3025">
    <w:name w:val="表题315"/>
    <w:basedOn w:val="34"/>
    <w:qFormat/>
    <w:uiPriority w:val="0"/>
    <w:pPr>
      <w:tabs>
        <w:tab w:val="left" w:pos="4305"/>
      </w:tabs>
      <w:adjustRightInd w:val="0"/>
      <w:snapToGrid w:val="0"/>
      <w:spacing w:after="0" w:line="360" w:lineRule="auto"/>
      <w:ind w:left="0" w:leftChars="0" w:firstLine="561"/>
    </w:pPr>
    <w:rPr>
      <w:rFonts w:ascii="宋体" w:hAnsi="宋体" w:cs="宋体"/>
      <w:color w:val="000000"/>
      <w:sz w:val="24"/>
    </w:rPr>
  </w:style>
  <w:style w:type="paragraph" w:customStyle="1" w:styleId="3026">
    <w:name w:val="正文格式＝213"/>
    <w:basedOn w:val="184"/>
    <w:next w:val="184"/>
    <w:qFormat/>
    <w:uiPriority w:val="0"/>
    <w:rPr>
      <w:rFonts w:hAnsi="宋体"/>
    </w:rPr>
  </w:style>
  <w:style w:type="paragraph" w:customStyle="1" w:styleId="3027">
    <w:name w:val="样式132"/>
    <w:basedOn w:val="2158"/>
    <w:qFormat/>
    <w:uiPriority w:val="0"/>
    <w:pPr>
      <w:spacing w:line="240" w:lineRule="auto"/>
      <w:ind w:firstLine="0"/>
      <w:jc w:val="center"/>
    </w:pPr>
    <w:rPr>
      <w:rFonts w:cs="Times New Roman"/>
      <w:b/>
      <w:color w:val="auto"/>
      <w:szCs w:val="20"/>
    </w:rPr>
  </w:style>
  <w:style w:type="paragraph" w:customStyle="1" w:styleId="3028">
    <w:name w:val="福建正文缩进13"/>
    <w:basedOn w:val="20"/>
    <w:qFormat/>
    <w:uiPriority w:val="0"/>
    <w:pPr>
      <w:adjustRightInd w:val="0"/>
      <w:snapToGrid w:val="0"/>
      <w:spacing w:line="360" w:lineRule="auto"/>
      <w:ind w:firstLine="567" w:firstLineChars="0"/>
    </w:pPr>
    <w:rPr>
      <w:rFonts w:ascii="宋体"/>
      <w:kern w:val="0"/>
      <w:sz w:val="24"/>
    </w:rPr>
  </w:style>
  <w:style w:type="paragraph" w:customStyle="1" w:styleId="3029">
    <w:name w:val="程序"/>
    <w:basedOn w:val="1"/>
    <w:qFormat/>
    <w:uiPriority w:val="0"/>
    <w:pPr>
      <w:adjustRightInd w:val="0"/>
      <w:spacing w:line="240" w:lineRule="atLeast"/>
      <w:ind w:firstLine="601"/>
      <w:textAlignment w:val="baseline"/>
    </w:pPr>
    <w:rPr>
      <w:rFonts w:ascii="Courier New" w:hAnsi="Courier New"/>
      <w:spacing w:val="10"/>
      <w:kern w:val="0"/>
      <w:sz w:val="24"/>
      <w:szCs w:val="20"/>
    </w:rPr>
  </w:style>
  <w:style w:type="paragraph" w:customStyle="1" w:styleId="3030">
    <w:name w:val="表格内字体14"/>
    <w:basedOn w:val="184"/>
    <w:next w:val="184"/>
    <w:qFormat/>
    <w:uiPriority w:val="0"/>
    <w:pPr>
      <w:spacing w:line="240" w:lineRule="auto"/>
      <w:ind w:firstLine="0"/>
      <w:jc w:val="center"/>
    </w:pPr>
    <w:rPr>
      <w:rFonts w:hAnsi="宋体"/>
      <w:sz w:val="21"/>
    </w:rPr>
  </w:style>
  <w:style w:type="paragraph" w:customStyle="1" w:styleId="3031">
    <w:name w:val="Char Char Char Char Char Char Char110"/>
    <w:basedOn w:val="1"/>
    <w:qFormat/>
    <w:uiPriority w:val="0"/>
  </w:style>
  <w:style w:type="paragraph" w:customStyle="1" w:styleId="3032">
    <w:name w:val="Char233"/>
    <w:basedOn w:val="1"/>
    <w:qFormat/>
    <w:uiPriority w:val="0"/>
    <w:pPr>
      <w:ind w:left="-48"/>
    </w:pPr>
  </w:style>
  <w:style w:type="paragraph" w:customStyle="1" w:styleId="3033">
    <w:name w:val="表内5321"/>
    <w:basedOn w:val="1"/>
    <w:qFormat/>
    <w:uiPriority w:val="0"/>
    <w:pPr>
      <w:adjustRightInd w:val="0"/>
      <w:snapToGrid w:val="0"/>
      <w:spacing w:line="300" w:lineRule="auto"/>
      <w:jc w:val="left"/>
    </w:pPr>
    <w:rPr>
      <w:rFonts w:ascii="宋体"/>
      <w:szCs w:val="20"/>
    </w:rPr>
  </w:style>
  <w:style w:type="paragraph" w:customStyle="1" w:styleId="3034">
    <w:name w:val="表中文字511"/>
    <w:basedOn w:val="1"/>
    <w:qFormat/>
    <w:uiPriority w:val="0"/>
    <w:pPr>
      <w:widowControl/>
      <w:spacing w:line="240" w:lineRule="atLeast"/>
      <w:ind w:left="-24" w:leftChars="-10" w:right="-48" w:rightChars="-20"/>
      <w:jc w:val="center"/>
    </w:pPr>
    <w:rPr>
      <w:rFonts w:ascii="宋体"/>
      <w:kern w:val="0"/>
      <w:szCs w:val="21"/>
    </w:rPr>
  </w:style>
  <w:style w:type="paragraph" w:customStyle="1" w:styleId="3035">
    <w:name w:val="正文楷体"/>
    <w:basedOn w:val="1"/>
    <w:qFormat/>
    <w:uiPriority w:val="0"/>
    <w:rPr>
      <w:rFonts w:eastAsia="楷体_GB2312"/>
    </w:rPr>
  </w:style>
  <w:style w:type="paragraph" w:customStyle="1" w:styleId="3036">
    <w:name w:val="默认段落字体 Para Char Char Char Char Char1"/>
    <w:basedOn w:val="1"/>
    <w:qFormat/>
    <w:uiPriority w:val="0"/>
  </w:style>
  <w:style w:type="paragraph" w:customStyle="1" w:styleId="3037">
    <w:name w:val="Char141"/>
    <w:basedOn w:val="1"/>
    <w:qFormat/>
    <w:uiPriority w:val="0"/>
    <w:pPr>
      <w:ind w:left="-48"/>
    </w:pPr>
  </w:style>
  <w:style w:type="paragraph" w:customStyle="1" w:styleId="3038">
    <w:name w:val="Char38"/>
    <w:basedOn w:val="1"/>
    <w:qFormat/>
    <w:uiPriority w:val="0"/>
    <w:pPr>
      <w:ind w:left="-48"/>
    </w:pPr>
  </w:style>
  <w:style w:type="paragraph" w:customStyle="1" w:styleId="3039">
    <w:name w:val="样式114"/>
    <w:basedOn w:val="2158"/>
    <w:qFormat/>
    <w:uiPriority w:val="0"/>
    <w:pPr>
      <w:spacing w:line="240" w:lineRule="auto"/>
      <w:ind w:firstLine="0"/>
      <w:jc w:val="center"/>
    </w:pPr>
    <w:rPr>
      <w:rFonts w:cs="Times New Roman"/>
      <w:b/>
      <w:color w:val="auto"/>
      <w:szCs w:val="20"/>
    </w:rPr>
  </w:style>
  <w:style w:type="paragraph" w:customStyle="1" w:styleId="3040">
    <w:name w:val="Char Char1 Char Char Char1 Char Char Char Char Char Char Char Char Char Char Char Char Char"/>
    <w:basedOn w:val="1"/>
    <w:qFormat/>
    <w:uiPriority w:val="0"/>
    <w:rPr>
      <w:sz w:val="24"/>
    </w:rPr>
  </w:style>
  <w:style w:type="paragraph" w:customStyle="1" w:styleId="3041">
    <w:name w:val="表题2112"/>
    <w:basedOn w:val="1"/>
    <w:qFormat/>
    <w:uiPriority w:val="0"/>
    <w:pPr>
      <w:widowControl/>
      <w:adjustRightInd w:val="0"/>
      <w:snapToGrid w:val="0"/>
      <w:jc w:val="center"/>
    </w:pPr>
    <w:rPr>
      <w:rFonts w:ascii="黑体" w:hAnsi="宋体" w:eastAsia="黑体" w:cs="宋体"/>
      <w:kern w:val="0"/>
      <w:sz w:val="24"/>
    </w:rPr>
  </w:style>
  <w:style w:type="paragraph" w:customStyle="1" w:styleId="3042">
    <w:name w:val="样式 标题 3 + 黑色 段前: 0行 段后: 0 行"/>
    <w:basedOn w:val="4"/>
    <w:qFormat/>
    <w:uiPriority w:val="0"/>
    <w:pPr>
      <w:tabs>
        <w:tab w:val="left" w:pos="233"/>
        <w:tab w:val="left" w:pos="1080"/>
      </w:tabs>
      <w:adjustRightInd w:val="0"/>
      <w:snapToGrid w:val="0"/>
      <w:spacing w:beforeLines="50" w:afterLines="50" w:line="312" w:lineRule="auto"/>
      <w:ind w:left="233"/>
    </w:pPr>
    <w:rPr>
      <w:rFonts w:ascii="仿宋_GB2312" w:eastAsia="仿宋_GB2312"/>
      <w:b w:val="0"/>
      <w:bCs w:val="0"/>
      <w:color w:val="000000"/>
      <w:sz w:val="28"/>
      <w:szCs w:val="20"/>
    </w:rPr>
  </w:style>
  <w:style w:type="paragraph" w:customStyle="1" w:styleId="3043">
    <w:name w:val="Char46"/>
    <w:basedOn w:val="1"/>
    <w:qFormat/>
    <w:uiPriority w:val="0"/>
    <w:pPr>
      <w:ind w:left="-48"/>
    </w:pPr>
  </w:style>
  <w:style w:type="paragraph" w:customStyle="1" w:styleId="3044">
    <w:name w:val="样式 标题 3标题 3 Char CharH3h33rd level标题3 + 段前: 0.5 行"/>
    <w:basedOn w:val="4"/>
    <w:qFormat/>
    <w:uiPriority w:val="0"/>
    <w:pPr>
      <w:keepNext w:val="0"/>
      <w:keepLines w:val="0"/>
      <w:widowControl/>
      <w:tabs>
        <w:tab w:val="left" w:pos="233"/>
      </w:tabs>
      <w:spacing w:before="0" w:after="0" w:line="480" w:lineRule="exact"/>
      <w:ind w:left="233" w:firstLine="560" w:firstLineChars="200"/>
      <w:outlineLvl w:val="9"/>
    </w:pPr>
    <w:rPr>
      <w:rFonts w:ascii="楷体_GB2312" w:hAnsi="宋体" w:eastAsia="楷体_GB2312"/>
      <w:b w:val="0"/>
      <w:color w:val="FF0000"/>
      <w:sz w:val="28"/>
      <w:szCs w:val="28"/>
    </w:rPr>
  </w:style>
  <w:style w:type="paragraph" w:customStyle="1" w:styleId="3045">
    <w:name w:val="表中文字23"/>
    <w:basedOn w:val="1"/>
    <w:qFormat/>
    <w:uiPriority w:val="0"/>
    <w:pPr>
      <w:widowControl/>
      <w:adjustRightInd w:val="0"/>
      <w:spacing w:line="240" w:lineRule="atLeast"/>
      <w:ind w:right="-42" w:rightChars="-20"/>
      <w:jc w:val="center"/>
      <w:textAlignment w:val="baseline"/>
    </w:pPr>
    <w:rPr>
      <w:rFonts w:ascii="宋体"/>
      <w:kern w:val="0"/>
      <w:szCs w:val="21"/>
    </w:rPr>
  </w:style>
  <w:style w:type="paragraph" w:customStyle="1" w:styleId="3046">
    <w:name w:val="表中文字112"/>
    <w:basedOn w:val="1"/>
    <w:qFormat/>
    <w:uiPriority w:val="0"/>
    <w:pPr>
      <w:widowControl/>
      <w:spacing w:line="240" w:lineRule="atLeast"/>
      <w:ind w:left="-24" w:leftChars="-10" w:right="-48" w:rightChars="-20"/>
      <w:jc w:val="center"/>
    </w:pPr>
    <w:rPr>
      <w:rFonts w:ascii="宋体"/>
      <w:kern w:val="0"/>
      <w:szCs w:val="21"/>
    </w:rPr>
  </w:style>
  <w:style w:type="paragraph" w:customStyle="1" w:styleId="3047">
    <w:name w:val="样式 标题 4无效格式无效格式1河石管道4H4H41小小节河石管道41H42H411小小节1河石管道42...1"/>
    <w:basedOn w:val="5"/>
    <w:qFormat/>
    <w:uiPriority w:val="0"/>
    <w:pPr>
      <w:adjustRightInd w:val="0"/>
      <w:snapToGrid w:val="0"/>
      <w:spacing w:line="360" w:lineRule="auto"/>
      <w:ind w:left="664" w:hanging="864"/>
      <w:jc w:val="left"/>
    </w:pPr>
    <w:rPr>
      <w:rFonts w:ascii="黑体" w:eastAsia="黑体" w:cs="宋体"/>
      <w:bCs w:val="0"/>
      <w:sz w:val="24"/>
      <w:szCs w:val="20"/>
    </w:rPr>
  </w:style>
  <w:style w:type="paragraph" w:customStyle="1" w:styleId="3048">
    <w:name w:val="样式 样式 标题 4 + 段前: 0.5 行 段后: 0.5 行 + 段前: 0.5 行 段后: 0.5 行1"/>
    <w:basedOn w:val="2108"/>
    <w:qFormat/>
    <w:uiPriority w:val="0"/>
    <w:pPr>
      <w:adjustRightInd w:val="0"/>
      <w:spacing w:beforeLines="0" w:afterLines="0"/>
    </w:pPr>
  </w:style>
  <w:style w:type="paragraph" w:customStyle="1" w:styleId="3049">
    <w:name w:val="md正文"/>
    <w:basedOn w:val="1"/>
    <w:qFormat/>
    <w:uiPriority w:val="0"/>
    <w:pPr>
      <w:widowControl/>
      <w:overflowPunct w:val="0"/>
      <w:autoSpaceDE w:val="0"/>
      <w:autoSpaceDN w:val="0"/>
      <w:adjustRightInd w:val="0"/>
      <w:spacing w:line="360" w:lineRule="auto"/>
      <w:ind w:firstLine="200" w:firstLineChars="200"/>
      <w:jc w:val="left"/>
      <w:textAlignment w:val="baseline"/>
    </w:pPr>
    <w:rPr>
      <w:rFonts w:eastAsia="仿宋_GB2312"/>
      <w:kern w:val="0"/>
      <w:sz w:val="24"/>
    </w:rPr>
  </w:style>
  <w:style w:type="paragraph" w:customStyle="1" w:styleId="3050">
    <w:name w:val="正文.14"/>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3051">
    <w:name w:val="表格内字体4"/>
    <w:basedOn w:val="184"/>
    <w:next w:val="184"/>
    <w:qFormat/>
    <w:uiPriority w:val="0"/>
    <w:pPr>
      <w:spacing w:line="240" w:lineRule="auto"/>
      <w:ind w:firstLine="0"/>
      <w:jc w:val="center"/>
    </w:pPr>
    <w:rPr>
      <w:rFonts w:hAnsi="宋体"/>
      <w:sz w:val="21"/>
    </w:rPr>
  </w:style>
  <w:style w:type="paragraph" w:customStyle="1" w:styleId="3052">
    <w:name w:val="Char40"/>
    <w:basedOn w:val="1"/>
    <w:qFormat/>
    <w:uiPriority w:val="0"/>
    <w:pPr>
      <w:ind w:left="-48"/>
    </w:pPr>
  </w:style>
  <w:style w:type="paragraph" w:customStyle="1" w:styleId="3053">
    <w:name w:val="样式 样式1 + 五号 黑色 段前: 4 磅 段后: 4 磅 行距: 单倍行距"/>
    <w:basedOn w:val="1"/>
    <w:qFormat/>
    <w:uiPriority w:val="0"/>
    <w:pPr>
      <w:pBdr>
        <w:top w:val="single" w:color="auto" w:sz="4" w:space="1"/>
      </w:pBdr>
      <w:spacing w:before="80" w:after="80"/>
    </w:pPr>
    <w:rPr>
      <w:szCs w:val="21"/>
    </w:rPr>
  </w:style>
  <w:style w:type="paragraph" w:customStyle="1" w:styleId="3054">
    <w:name w:val="附件43"/>
    <w:basedOn w:val="2"/>
    <w:next w:val="184"/>
    <w:qFormat/>
    <w:uiPriority w:val="0"/>
    <w:pPr>
      <w:tabs>
        <w:tab w:val="left" w:pos="1566"/>
        <w:tab w:val="left" w:pos="2040"/>
      </w:tabs>
      <w:spacing w:before="0" w:after="210" w:line="360" w:lineRule="auto"/>
      <w:ind w:left="2040" w:leftChars="800" w:hanging="360" w:hangingChars="200"/>
      <w:jc w:val="left"/>
    </w:pPr>
    <w:rPr>
      <w:rFonts w:ascii="黑体" w:hAnsi="宋体" w:eastAsia="黑体"/>
      <w:sz w:val="32"/>
      <w:szCs w:val="32"/>
    </w:rPr>
  </w:style>
  <w:style w:type="paragraph" w:customStyle="1" w:styleId="3055">
    <w:name w:val="样式 表格内字体1 +12"/>
    <w:basedOn w:val="2079"/>
    <w:next w:val="1875"/>
    <w:qFormat/>
    <w:uiPriority w:val="0"/>
    <w:rPr>
      <w:rFonts w:hAnsi="Times New Roman"/>
      <w:szCs w:val="20"/>
    </w:rPr>
  </w:style>
  <w:style w:type="paragraph" w:customStyle="1" w:styleId="3056">
    <w:name w:val="表题31111"/>
    <w:basedOn w:val="34"/>
    <w:qFormat/>
    <w:uiPriority w:val="0"/>
    <w:pPr>
      <w:tabs>
        <w:tab w:val="left" w:pos="4305"/>
      </w:tabs>
      <w:adjustRightInd w:val="0"/>
      <w:snapToGrid w:val="0"/>
      <w:spacing w:after="0"/>
      <w:ind w:left="0" w:leftChars="0"/>
      <w:jc w:val="center"/>
    </w:pPr>
    <w:rPr>
      <w:rFonts w:ascii="宋体" w:hAnsi="宋体"/>
      <w:sz w:val="24"/>
      <w:szCs w:val="20"/>
    </w:rPr>
  </w:style>
  <w:style w:type="paragraph" w:customStyle="1" w:styleId="3057">
    <w:name w:val="燕山正文34"/>
    <w:basedOn w:val="1"/>
    <w:qFormat/>
    <w:uiPriority w:val="0"/>
    <w:pPr>
      <w:tabs>
        <w:tab w:val="left" w:pos="4680"/>
      </w:tabs>
      <w:adjustRightInd w:val="0"/>
      <w:snapToGrid w:val="0"/>
      <w:spacing w:line="480" w:lineRule="exact"/>
    </w:pPr>
    <w:rPr>
      <w:rFonts w:ascii="宋体" w:cs="宋体"/>
      <w:sz w:val="24"/>
    </w:rPr>
  </w:style>
  <w:style w:type="paragraph" w:customStyle="1" w:styleId="3058">
    <w:name w:val="表格内字体13"/>
    <w:basedOn w:val="184"/>
    <w:next w:val="184"/>
    <w:qFormat/>
    <w:uiPriority w:val="0"/>
    <w:pPr>
      <w:spacing w:line="240" w:lineRule="auto"/>
      <w:ind w:firstLine="0"/>
      <w:jc w:val="center"/>
    </w:pPr>
    <w:rPr>
      <w:rFonts w:hAnsi="宋体"/>
      <w:sz w:val="21"/>
    </w:rPr>
  </w:style>
  <w:style w:type="paragraph" w:customStyle="1" w:styleId="3059">
    <w:name w:val="表格内字体513"/>
    <w:basedOn w:val="184"/>
    <w:next w:val="184"/>
    <w:qFormat/>
    <w:uiPriority w:val="0"/>
    <w:pPr>
      <w:adjustRightInd w:val="0"/>
      <w:snapToGrid w:val="0"/>
      <w:spacing w:line="240" w:lineRule="auto"/>
      <w:ind w:firstLine="0"/>
    </w:pPr>
    <w:rPr>
      <w:rFonts w:hAnsi="宋体"/>
      <w:sz w:val="21"/>
    </w:rPr>
  </w:style>
  <w:style w:type="paragraph" w:customStyle="1" w:styleId="3060">
    <w:name w:val="Char94"/>
    <w:basedOn w:val="1"/>
    <w:qFormat/>
    <w:uiPriority w:val="0"/>
    <w:pPr>
      <w:ind w:left="-48"/>
    </w:pPr>
  </w:style>
  <w:style w:type="paragraph" w:customStyle="1" w:styleId="3061">
    <w:name w:val="燕山正文13"/>
    <w:basedOn w:val="1"/>
    <w:qFormat/>
    <w:uiPriority w:val="0"/>
    <w:pPr>
      <w:tabs>
        <w:tab w:val="left" w:pos="4680"/>
      </w:tabs>
      <w:adjustRightInd w:val="0"/>
      <w:snapToGrid w:val="0"/>
      <w:spacing w:line="360" w:lineRule="auto"/>
      <w:ind w:firstLine="480" w:firstLineChars="200"/>
    </w:pPr>
    <w:rPr>
      <w:rFonts w:ascii="宋体" w:hAnsi="宋体" w:cs="宋体"/>
      <w:bCs/>
      <w:color w:val="000000"/>
      <w:sz w:val="24"/>
    </w:rPr>
  </w:style>
  <w:style w:type="paragraph" w:customStyle="1" w:styleId="3062">
    <w:name w:val="Char1 Char Char Char Char Char Char Char Char 字元 字元 Char Char Char Char Char"/>
    <w:basedOn w:val="1"/>
    <w:qFormat/>
    <w:uiPriority w:val="0"/>
    <w:rPr>
      <w:sz w:val="24"/>
    </w:rPr>
  </w:style>
  <w:style w:type="paragraph" w:customStyle="1" w:styleId="3063">
    <w:name w:val="标题431"/>
    <w:basedOn w:val="1"/>
    <w:qFormat/>
    <w:uiPriority w:val="0"/>
    <w:pPr>
      <w:adjustRightInd w:val="0"/>
      <w:snapToGrid w:val="0"/>
      <w:spacing w:line="480" w:lineRule="exact"/>
      <w:jc w:val="center"/>
    </w:pPr>
    <w:rPr>
      <w:rFonts w:ascii="宋体" w:hAnsi="宋体" w:cs="宋体"/>
      <w:sz w:val="24"/>
    </w:rPr>
  </w:style>
  <w:style w:type="paragraph" w:customStyle="1" w:styleId="3064">
    <w:name w:val="Char1311"/>
    <w:basedOn w:val="1"/>
    <w:qFormat/>
    <w:uiPriority w:val="0"/>
    <w:pPr>
      <w:ind w:left="-48"/>
    </w:pPr>
  </w:style>
  <w:style w:type="paragraph" w:customStyle="1" w:styleId="3065">
    <w:name w:val="Char162"/>
    <w:basedOn w:val="1"/>
    <w:qFormat/>
    <w:uiPriority w:val="0"/>
    <w:pPr>
      <w:ind w:left="-48"/>
    </w:pPr>
  </w:style>
  <w:style w:type="paragraph" w:customStyle="1" w:styleId="3066">
    <w:name w:val="表内54122"/>
    <w:basedOn w:val="1"/>
    <w:qFormat/>
    <w:uiPriority w:val="0"/>
    <w:pPr>
      <w:adjustRightInd w:val="0"/>
      <w:snapToGrid w:val="0"/>
      <w:spacing w:line="300" w:lineRule="auto"/>
      <w:jc w:val="center"/>
    </w:pPr>
    <w:rPr>
      <w:rFonts w:ascii="宋体" w:hAnsi="宋体" w:cs="宋体"/>
      <w:szCs w:val="20"/>
    </w:rPr>
  </w:style>
  <w:style w:type="paragraph" w:customStyle="1" w:styleId="3067">
    <w:name w:val="表格内字体11"/>
    <w:basedOn w:val="184"/>
    <w:qFormat/>
    <w:uiPriority w:val="0"/>
    <w:pPr>
      <w:spacing w:line="240" w:lineRule="auto"/>
      <w:ind w:firstLine="0"/>
      <w:jc w:val="center"/>
    </w:pPr>
    <w:rPr>
      <w:sz w:val="21"/>
      <w:szCs w:val="20"/>
    </w:rPr>
  </w:style>
  <w:style w:type="paragraph" w:customStyle="1" w:styleId="3068">
    <w:name w:val="黑体三号5"/>
    <w:basedOn w:val="184"/>
    <w:qFormat/>
    <w:uiPriority w:val="0"/>
    <w:pPr>
      <w:jc w:val="center"/>
    </w:pPr>
    <w:rPr>
      <w:rFonts w:ascii="黑体" w:hAnsi="宋体" w:eastAsia="黑体"/>
      <w:b/>
      <w:bCs/>
      <w:sz w:val="32"/>
      <w:szCs w:val="20"/>
    </w:rPr>
  </w:style>
  <w:style w:type="paragraph" w:customStyle="1" w:styleId="3069">
    <w:name w:val="标题43132"/>
    <w:basedOn w:val="1"/>
    <w:qFormat/>
    <w:uiPriority w:val="0"/>
    <w:pPr>
      <w:adjustRightInd w:val="0"/>
      <w:snapToGrid w:val="0"/>
      <w:spacing w:line="480" w:lineRule="exact"/>
      <w:jc w:val="center"/>
    </w:pPr>
    <w:rPr>
      <w:rFonts w:ascii="宋体" w:hAnsi="宋体" w:cs="宋体"/>
      <w:sz w:val="24"/>
    </w:rPr>
  </w:style>
  <w:style w:type="paragraph" w:customStyle="1" w:styleId="3070">
    <w:name w:val="表题1413"/>
    <w:basedOn w:val="1"/>
    <w:qFormat/>
    <w:uiPriority w:val="0"/>
    <w:pPr>
      <w:widowControl/>
      <w:adjustRightInd w:val="0"/>
      <w:snapToGrid w:val="0"/>
      <w:jc w:val="center"/>
    </w:pPr>
    <w:rPr>
      <w:rFonts w:ascii="黑体" w:hAnsi="宋体" w:eastAsia="黑体" w:cs="宋体"/>
      <w:kern w:val="0"/>
      <w:sz w:val="24"/>
    </w:rPr>
  </w:style>
  <w:style w:type="paragraph" w:customStyle="1" w:styleId="3071">
    <w:name w:val="图题613"/>
    <w:basedOn w:val="184"/>
    <w:next w:val="184"/>
    <w:qFormat/>
    <w:uiPriority w:val="0"/>
    <w:pPr>
      <w:ind w:firstLine="0"/>
      <w:jc w:val="center"/>
    </w:pPr>
    <w:rPr>
      <w:rFonts w:ascii="黑体" w:hAnsi="宋体" w:eastAsia="黑体"/>
      <w:b/>
      <w:bCs/>
    </w:rPr>
  </w:style>
  <w:style w:type="paragraph" w:customStyle="1" w:styleId="3072">
    <w:name w:val="样式 标题 2 + 行距: 最小值 12 磅"/>
    <w:basedOn w:val="3"/>
    <w:qFormat/>
    <w:uiPriority w:val="0"/>
    <w:pPr>
      <w:numPr>
        <w:ilvl w:val="0"/>
        <w:numId w:val="0"/>
      </w:numPr>
      <w:tabs>
        <w:tab w:val="left" w:pos="233"/>
        <w:tab w:val="left" w:pos="315"/>
        <w:tab w:val="left" w:pos="768"/>
        <w:tab w:val="clear" w:pos="0"/>
        <w:tab w:val="clear" w:pos="426"/>
      </w:tabs>
      <w:adjustRightInd w:val="0"/>
      <w:spacing w:beforeLines="100" w:afterLines="100" w:line="240" w:lineRule="atLeast"/>
      <w:ind w:left="233"/>
      <w:jc w:val="left"/>
      <w:textAlignment w:val="baseline"/>
    </w:pPr>
    <w:rPr>
      <w:rFonts w:ascii="黑体" w:eastAsia="黑体" w:cs="宋体"/>
      <w:spacing w:val="0"/>
      <w:sz w:val="28"/>
      <w:szCs w:val="28"/>
    </w:rPr>
  </w:style>
  <w:style w:type="paragraph" w:customStyle="1" w:styleId="3073">
    <w:name w:val="样式 表内小5 + 黑体 加粗 倾斜 下划线4"/>
    <w:basedOn w:val="1"/>
    <w:qFormat/>
    <w:uiPriority w:val="0"/>
    <w:pPr>
      <w:adjustRightInd w:val="0"/>
      <w:snapToGrid w:val="0"/>
      <w:spacing w:line="300" w:lineRule="auto"/>
      <w:jc w:val="left"/>
    </w:pPr>
    <w:rPr>
      <w:rFonts w:ascii="黑体" w:hAnsi="黑体" w:eastAsia="黑体"/>
      <w:b/>
      <w:bCs/>
      <w:i/>
      <w:iCs/>
      <w:sz w:val="18"/>
      <w:u w:val="single"/>
    </w:rPr>
  </w:style>
  <w:style w:type="paragraph" w:customStyle="1" w:styleId="3074">
    <w:name w:val="表内5418"/>
    <w:basedOn w:val="1"/>
    <w:qFormat/>
    <w:uiPriority w:val="0"/>
    <w:pPr>
      <w:adjustRightInd w:val="0"/>
      <w:snapToGrid w:val="0"/>
      <w:spacing w:line="300" w:lineRule="auto"/>
      <w:jc w:val="center"/>
    </w:pPr>
    <w:rPr>
      <w:rFonts w:ascii="宋体" w:hAnsi="宋体" w:cs="宋体"/>
      <w:szCs w:val="20"/>
    </w:rPr>
  </w:style>
  <w:style w:type="paragraph" w:customStyle="1" w:styleId="3075">
    <w:name w:val="图题10"/>
    <w:basedOn w:val="184"/>
    <w:next w:val="184"/>
    <w:qFormat/>
    <w:uiPriority w:val="0"/>
    <w:pPr>
      <w:ind w:firstLine="0"/>
      <w:jc w:val="center"/>
    </w:pPr>
    <w:rPr>
      <w:rFonts w:ascii="黑体" w:hAnsi="宋体" w:eastAsia="黑体"/>
      <w:b/>
      <w:bCs/>
    </w:rPr>
  </w:style>
  <w:style w:type="paragraph" w:customStyle="1" w:styleId="3076">
    <w:name w:val="表格标题10"/>
    <w:basedOn w:val="77"/>
    <w:qFormat/>
    <w:uiPriority w:val="0"/>
    <w:pPr>
      <w:pBdr>
        <w:top w:val="single" w:color="auto" w:sz="4" w:space="1"/>
      </w:pBdr>
      <w:tabs>
        <w:tab w:val="left" w:pos="0"/>
      </w:tabs>
      <w:adjustRightInd w:val="0"/>
      <w:spacing w:before="0" w:after="0" w:line="360" w:lineRule="auto"/>
      <w:ind w:left="0" w:firstLine="0"/>
      <w:jc w:val="center"/>
      <w:textAlignment w:val="baseline"/>
    </w:pPr>
    <w:rPr>
      <w:rFonts w:ascii="Times New Roman" w:hAnsi="Times New Roman" w:eastAsia="宋体"/>
      <w:b/>
    </w:rPr>
  </w:style>
  <w:style w:type="paragraph" w:customStyle="1" w:styleId="3077">
    <w:name w:val="Char Char Char Char Char Char Char Char Char1 Char Char Char Char Char Char"/>
    <w:basedOn w:val="1"/>
    <w:qFormat/>
    <w:uiPriority w:val="0"/>
    <w:rPr>
      <w:szCs w:val="21"/>
    </w:rPr>
  </w:style>
  <w:style w:type="paragraph" w:customStyle="1" w:styleId="3078">
    <w:name w:val="Char411"/>
    <w:basedOn w:val="1"/>
    <w:qFormat/>
    <w:uiPriority w:val="0"/>
    <w:pPr>
      <w:ind w:left="-48"/>
    </w:pPr>
  </w:style>
  <w:style w:type="paragraph" w:customStyle="1" w:styleId="3079">
    <w:name w:val="bgbt6插图标题"/>
    <w:basedOn w:val="3005"/>
    <w:next w:val="2316"/>
    <w:qFormat/>
    <w:uiPriority w:val="0"/>
    <w:pPr>
      <w:spacing w:before="0" w:after="60"/>
      <w:outlineLvl w:val="5"/>
    </w:pPr>
  </w:style>
  <w:style w:type="paragraph" w:customStyle="1" w:styleId="3080">
    <w:name w:val="列项——"/>
    <w:qFormat/>
    <w:uiPriority w:val="0"/>
    <w:pPr>
      <w:widowControl w:val="0"/>
      <w:tabs>
        <w:tab w:val="left" w:pos="854"/>
      </w:tabs>
      <w:ind w:left="840" w:leftChars="200" w:hanging="420" w:hangingChars="200"/>
      <w:jc w:val="both"/>
    </w:pPr>
    <w:rPr>
      <w:rFonts w:ascii="宋体" w:hAnsi="Times New Roman" w:eastAsia="宋体" w:cs="Times New Roman"/>
      <w:sz w:val="21"/>
      <w:lang w:val="en-US" w:eastAsia="zh-CN" w:bidi="ar-SA"/>
    </w:rPr>
  </w:style>
  <w:style w:type="paragraph" w:customStyle="1" w:styleId="3081">
    <w:name w:val="Char Char Char Char Char Char Char114"/>
    <w:basedOn w:val="1"/>
    <w:qFormat/>
    <w:uiPriority w:val="0"/>
  </w:style>
  <w:style w:type="paragraph" w:customStyle="1" w:styleId="3082">
    <w:name w:val="c3"/>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3083">
    <w:name w:val="A正文4"/>
    <w:basedOn w:val="1"/>
    <w:qFormat/>
    <w:uiPriority w:val="0"/>
    <w:pPr>
      <w:widowControl/>
      <w:overflowPunct w:val="0"/>
      <w:autoSpaceDE w:val="0"/>
      <w:autoSpaceDN w:val="0"/>
      <w:adjustRightInd w:val="0"/>
      <w:spacing w:line="360" w:lineRule="auto"/>
      <w:ind w:firstLine="200" w:firstLineChars="200"/>
      <w:jc w:val="left"/>
      <w:textAlignment w:val="baseline"/>
    </w:pPr>
    <w:rPr>
      <w:rFonts w:eastAsia="仿宋_GB2312"/>
      <w:kern w:val="0"/>
      <w:sz w:val="24"/>
    </w:rPr>
  </w:style>
  <w:style w:type="paragraph" w:customStyle="1" w:styleId="3084">
    <w:name w:val="表题91"/>
    <w:basedOn w:val="44"/>
    <w:qFormat/>
    <w:uiPriority w:val="0"/>
    <w:pPr>
      <w:adjustRightInd w:val="0"/>
      <w:snapToGrid w:val="0"/>
      <w:spacing w:line="300" w:lineRule="auto"/>
      <w:jc w:val="center"/>
    </w:pPr>
    <w:rPr>
      <w:rFonts w:ascii="黑体" w:eastAsia="黑体" w:cs="Times New Roman"/>
      <w:sz w:val="24"/>
      <w:szCs w:val="20"/>
    </w:rPr>
  </w:style>
  <w:style w:type="paragraph" w:customStyle="1" w:styleId="3085">
    <w:name w:val="正文格式＝311"/>
    <w:basedOn w:val="184"/>
    <w:next w:val="184"/>
    <w:qFormat/>
    <w:uiPriority w:val="0"/>
    <w:rPr>
      <w:rFonts w:hAnsi="宋体"/>
    </w:rPr>
  </w:style>
  <w:style w:type="paragraph" w:customStyle="1" w:styleId="3086">
    <w:name w:val="Char6 Char Char Char1 Char Char Char1"/>
    <w:basedOn w:val="1"/>
    <w:qFormat/>
    <w:uiPriority w:val="0"/>
    <w:rPr>
      <w:szCs w:val="21"/>
    </w:rPr>
  </w:style>
  <w:style w:type="paragraph" w:customStyle="1" w:styleId="3087">
    <w:name w:val="正文修改4"/>
    <w:basedOn w:val="1161"/>
    <w:qFormat/>
    <w:uiPriority w:val="0"/>
    <w:rPr>
      <w:rFonts w:hAnsi="宋体"/>
      <w:color w:val="000000"/>
    </w:rPr>
  </w:style>
  <w:style w:type="paragraph" w:customStyle="1" w:styleId="3088">
    <w:name w:val="Char43"/>
    <w:basedOn w:val="1"/>
    <w:qFormat/>
    <w:uiPriority w:val="0"/>
    <w:pPr>
      <w:ind w:left="-48"/>
    </w:pPr>
  </w:style>
  <w:style w:type="paragraph" w:customStyle="1" w:styleId="3089">
    <w:name w:val="样式 表格标题 + 段后: 0.5 行1"/>
    <w:basedOn w:val="1"/>
    <w:qFormat/>
    <w:uiPriority w:val="0"/>
    <w:pPr>
      <w:pBdr>
        <w:top w:val="single" w:color="auto" w:sz="4" w:space="1"/>
      </w:pBdr>
      <w:adjustRightInd w:val="0"/>
      <w:spacing w:afterLines="50" w:line="480" w:lineRule="exact"/>
      <w:jc w:val="center"/>
      <w:textAlignment w:val="baseline"/>
    </w:pPr>
    <w:rPr>
      <w:rFonts w:cs="宋体"/>
      <w:b/>
      <w:bCs/>
      <w:kern w:val="0"/>
      <w:sz w:val="24"/>
      <w:szCs w:val="20"/>
    </w:rPr>
  </w:style>
  <w:style w:type="paragraph" w:customStyle="1" w:styleId="3090">
    <w:name w:val="附件14"/>
    <w:basedOn w:val="2"/>
    <w:next w:val="184"/>
    <w:qFormat/>
    <w:uiPriority w:val="0"/>
    <w:pPr>
      <w:tabs>
        <w:tab w:val="left" w:pos="1566"/>
        <w:tab w:val="left" w:pos="2040"/>
      </w:tabs>
      <w:spacing w:before="0" w:after="210" w:line="360" w:lineRule="auto"/>
      <w:ind w:left="2040" w:leftChars="800" w:hanging="360" w:hangingChars="200"/>
      <w:jc w:val="left"/>
    </w:pPr>
    <w:rPr>
      <w:rFonts w:ascii="黑体" w:hAnsi="宋体" w:eastAsia="黑体"/>
      <w:b w:val="0"/>
      <w:sz w:val="32"/>
      <w:szCs w:val="32"/>
    </w:rPr>
  </w:style>
  <w:style w:type="paragraph" w:customStyle="1" w:styleId="3091">
    <w:name w:val="bg表头"/>
    <w:basedOn w:val="2559"/>
    <w:next w:val="2316"/>
    <w:qFormat/>
    <w:uiPriority w:val="0"/>
    <w:rPr>
      <w:rFonts w:eastAsia="黑体"/>
    </w:rPr>
  </w:style>
  <w:style w:type="paragraph" w:customStyle="1" w:styleId="3092">
    <w:name w:val="黑体三号11"/>
    <w:basedOn w:val="184"/>
    <w:qFormat/>
    <w:uiPriority w:val="0"/>
    <w:pPr>
      <w:jc w:val="center"/>
    </w:pPr>
    <w:rPr>
      <w:rFonts w:ascii="黑体" w:hAnsi="宋体" w:eastAsia="黑体"/>
      <w:b/>
      <w:bCs/>
      <w:sz w:val="32"/>
      <w:szCs w:val="20"/>
    </w:rPr>
  </w:style>
  <w:style w:type="paragraph" w:customStyle="1" w:styleId="3093">
    <w:name w:val="Char Char2 Char Char Char Char12"/>
    <w:basedOn w:val="1"/>
    <w:qFormat/>
    <w:uiPriority w:val="0"/>
  </w:style>
  <w:style w:type="paragraph" w:customStyle="1" w:styleId="3094">
    <w:name w:val="Char120"/>
    <w:basedOn w:val="1"/>
    <w:qFormat/>
    <w:uiPriority w:val="0"/>
    <w:pPr>
      <w:ind w:left="-48"/>
    </w:pPr>
  </w:style>
  <w:style w:type="paragraph" w:customStyle="1" w:styleId="3095">
    <w:name w:val="Char Char Char Char Char Char Char111"/>
    <w:basedOn w:val="1"/>
    <w:qFormat/>
    <w:uiPriority w:val="0"/>
  </w:style>
  <w:style w:type="paragraph" w:customStyle="1" w:styleId="3096">
    <w:name w:val="(文字) (文字)2"/>
    <w:basedOn w:val="1"/>
    <w:qFormat/>
    <w:uiPriority w:val="0"/>
  </w:style>
  <w:style w:type="paragraph" w:customStyle="1" w:styleId="3097">
    <w:name w:val="项目符号结尾"/>
    <w:basedOn w:val="23"/>
    <w:next w:val="33"/>
    <w:qFormat/>
    <w:uiPriority w:val="0"/>
    <w:pPr>
      <w:widowControl/>
      <w:tabs>
        <w:tab w:val="clear" w:pos="1140"/>
      </w:tabs>
      <w:overflowPunct w:val="0"/>
      <w:autoSpaceDE w:val="0"/>
      <w:autoSpaceDN w:val="0"/>
      <w:adjustRightInd w:val="0"/>
      <w:spacing w:after="240"/>
      <w:ind w:left="720" w:hanging="360"/>
      <w:jc w:val="left"/>
      <w:textAlignment w:val="baseline"/>
    </w:pPr>
    <w:rPr>
      <w:b/>
      <w:kern w:val="0"/>
      <w:sz w:val="20"/>
      <w:szCs w:val="20"/>
    </w:rPr>
  </w:style>
  <w:style w:type="paragraph" w:customStyle="1" w:styleId="3098">
    <w:name w:val="表格内字体2"/>
    <w:basedOn w:val="184"/>
    <w:next w:val="184"/>
    <w:qFormat/>
    <w:uiPriority w:val="0"/>
    <w:pPr>
      <w:spacing w:line="240" w:lineRule="auto"/>
      <w:ind w:firstLine="0"/>
      <w:jc w:val="center"/>
    </w:pPr>
    <w:rPr>
      <w:rFonts w:hAnsi="宋体"/>
      <w:sz w:val="21"/>
    </w:rPr>
  </w:style>
  <w:style w:type="paragraph" w:customStyle="1" w:styleId="3099">
    <w:name w:val="图题注1"/>
    <w:basedOn w:val="21"/>
    <w:qFormat/>
    <w:uiPriority w:val="0"/>
    <w:pPr>
      <w:tabs>
        <w:tab w:val="clear" w:pos="7380"/>
      </w:tabs>
      <w:overflowPunct/>
      <w:spacing w:before="0" w:afterLines="0"/>
      <w:jc w:val="center"/>
    </w:pPr>
    <w:rPr>
      <w:rFonts w:ascii="黑体" w:cs="宋体"/>
      <w:b/>
      <w:bCs/>
      <w:sz w:val="24"/>
      <w:szCs w:val="24"/>
    </w:rPr>
  </w:style>
  <w:style w:type="paragraph" w:customStyle="1" w:styleId="3100">
    <w:name w:val="表格标题4"/>
    <w:basedOn w:val="46"/>
    <w:qFormat/>
    <w:uiPriority w:val="0"/>
    <w:pPr>
      <w:pBdr>
        <w:top w:val="single" w:color="auto" w:sz="4" w:space="1"/>
      </w:pBdr>
      <w:tabs>
        <w:tab w:val="clear" w:pos="432"/>
      </w:tabs>
      <w:adjustRightInd w:val="0"/>
      <w:spacing w:line="360" w:lineRule="auto"/>
      <w:ind w:left="0" w:firstLine="0"/>
      <w:jc w:val="center"/>
      <w:textAlignment w:val="baseline"/>
    </w:pPr>
    <w:rPr>
      <w:b/>
      <w:kern w:val="0"/>
      <w:sz w:val="24"/>
      <w:szCs w:val="20"/>
    </w:rPr>
  </w:style>
  <w:style w:type="paragraph" w:customStyle="1" w:styleId="3101">
    <w:name w:val="题4"/>
    <w:basedOn w:val="83"/>
    <w:qFormat/>
    <w:uiPriority w:val="0"/>
    <w:pPr>
      <w:adjustRightInd w:val="0"/>
      <w:snapToGrid w:val="0"/>
      <w:spacing w:before="120" w:after="120" w:line="360" w:lineRule="auto"/>
      <w:jc w:val="left"/>
      <w:outlineLvl w:val="3"/>
    </w:pPr>
    <w:rPr>
      <w:rFonts w:ascii="Times New Roman" w:hAnsi="Times New Roman"/>
      <w:sz w:val="24"/>
      <w:szCs w:val="24"/>
    </w:rPr>
  </w:style>
  <w:style w:type="paragraph" w:customStyle="1" w:styleId="3102">
    <w:name w:val="燕山正文8"/>
    <w:basedOn w:val="1"/>
    <w:qFormat/>
    <w:uiPriority w:val="0"/>
    <w:pPr>
      <w:tabs>
        <w:tab w:val="left" w:pos="4680"/>
      </w:tabs>
      <w:adjustRightInd w:val="0"/>
      <w:snapToGrid w:val="0"/>
      <w:spacing w:line="480" w:lineRule="exact"/>
    </w:pPr>
    <w:rPr>
      <w:rFonts w:ascii="宋体" w:cs="宋体"/>
      <w:sz w:val="24"/>
    </w:rPr>
  </w:style>
  <w:style w:type="paragraph" w:customStyle="1" w:styleId="3103">
    <w:name w:val="标题4111"/>
    <w:basedOn w:val="1"/>
    <w:qFormat/>
    <w:uiPriority w:val="0"/>
    <w:pPr>
      <w:adjustRightInd w:val="0"/>
      <w:snapToGrid w:val="0"/>
      <w:spacing w:line="300" w:lineRule="auto"/>
      <w:jc w:val="left"/>
    </w:pPr>
    <w:rPr>
      <w:rFonts w:ascii="黑体" w:hAnsi="宋体" w:eastAsia="黑体" w:cs="宋体"/>
      <w:bCs/>
      <w:sz w:val="24"/>
      <w:szCs w:val="20"/>
    </w:rPr>
  </w:style>
  <w:style w:type="paragraph" w:customStyle="1" w:styleId="3104">
    <w:name w:val="表格内字体112"/>
    <w:basedOn w:val="184"/>
    <w:qFormat/>
    <w:uiPriority w:val="0"/>
    <w:pPr>
      <w:spacing w:line="240" w:lineRule="auto"/>
      <w:ind w:firstLine="0"/>
      <w:jc w:val="center"/>
    </w:pPr>
    <w:rPr>
      <w:sz w:val="21"/>
      <w:szCs w:val="20"/>
    </w:rPr>
  </w:style>
  <w:style w:type="paragraph" w:customStyle="1" w:styleId="3105">
    <w:name w:val="Char Char Char Char Char Char Char218"/>
    <w:basedOn w:val="1"/>
    <w:qFormat/>
    <w:uiPriority w:val="0"/>
  </w:style>
  <w:style w:type="paragraph" w:customStyle="1" w:styleId="3106">
    <w:name w:val="样式一"/>
    <w:basedOn w:val="1"/>
    <w:qFormat/>
    <w:uiPriority w:val="0"/>
    <w:pPr>
      <w:tabs>
        <w:tab w:val="left" w:pos="454"/>
      </w:tabs>
      <w:spacing w:beforeLines="50" w:afterLines="50" w:line="300" w:lineRule="auto"/>
      <w:ind w:firstLine="567"/>
    </w:pPr>
    <w:rPr>
      <w:rFonts w:eastAsia="黑体"/>
      <w:sz w:val="28"/>
    </w:rPr>
  </w:style>
  <w:style w:type="paragraph" w:customStyle="1" w:styleId="3107">
    <w:name w:val="表格内字体114"/>
    <w:basedOn w:val="184"/>
    <w:qFormat/>
    <w:uiPriority w:val="0"/>
    <w:pPr>
      <w:spacing w:line="240" w:lineRule="auto"/>
      <w:ind w:firstLine="0"/>
      <w:jc w:val="center"/>
    </w:pPr>
    <w:rPr>
      <w:sz w:val="21"/>
      <w:szCs w:val="20"/>
    </w:rPr>
  </w:style>
  <w:style w:type="paragraph" w:customStyle="1" w:styleId="3108">
    <w:name w:val="Char421"/>
    <w:basedOn w:val="1"/>
    <w:qFormat/>
    <w:uiPriority w:val="0"/>
    <w:pPr>
      <w:ind w:left="-48"/>
    </w:pPr>
  </w:style>
  <w:style w:type="paragraph" w:customStyle="1" w:styleId="3109">
    <w:name w:val="正文格式＝23"/>
    <w:basedOn w:val="184"/>
    <w:next w:val="184"/>
    <w:qFormat/>
    <w:uiPriority w:val="0"/>
    <w:rPr>
      <w:rFonts w:hAnsi="宋体"/>
    </w:rPr>
  </w:style>
  <w:style w:type="paragraph" w:customStyle="1" w:styleId="3110">
    <w:name w:val="默认段落字体 Para Char Char Char Char Char4"/>
    <w:basedOn w:val="1"/>
    <w:qFormat/>
    <w:uiPriority w:val="0"/>
  </w:style>
  <w:style w:type="paragraph" w:customStyle="1" w:styleId="3111">
    <w:name w:val="Char Char Char Char Char Char Char Char Char Char Char Char Char Char Char Char Char Char Char Char Char Char Char Char Char Char Char Char Char Char Char Char Char Char"/>
    <w:basedOn w:val="1"/>
    <w:qFormat/>
    <w:uiPriority w:val="0"/>
    <w:rPr>
      <w:sz w:val="24"/>
    </w:rPr>
  </w:style>
  <w:style w:type="paragraph" w:customStyle="1" w:styleId="3112">
    <w:name w:val="Char431"/>
    <w:basedOn w:val="1"/>
    <w:qFormat/>
    <w:uiPriority w:val="0"/>
    <w:pPr>
      <w:ind w:left="-48"/>
    </w:pPr>
  </w:style>
  <w:style w:type="paragraph" w:customStyle="1" w:styleId="3113">
    <w:name w:val="Char Char Char Char Char Char Char126"/>
    <w:basedOn w:val="1"/>
    <w:qFormat/>
    <w:uiPriority w:val="0"/>
  </w:style>
  <w:style w:type="paragraph" w:customStyle="1" w:styleId="3114">
    <w:name w:val="表格内字体81"/>
    <w:basedOn w:val="184"/>
    <w:next w:val="184"/>
    <w:qFormat/>
    <w:uiPriority w:val="0"/>
    <w:pPr>
      <w:spacing w:line="240" w:lineRule="auto"/>
      <w:ind w:firstLine="0"/>
      <w:jc w:val="center"/>
    </w:pPr>
    <w:rPr>
      <w:rFonts w:hAnsi="宋体"/>
      <w:sz w:val="21"/>
    </w:rPr>
  </w:style>
  <w:style w:type="paragraph" w:customStyle="1" w:styleId="3115">
    <w:name w:val="1标2"/>
    <w:basedOn w:val="1"/>
    <w:qFormat/>
    <w:uiPriority w:val="0"/>
    <w:pPr>
      <w:keepNext/>
      <w:keepLines/>
      <w:pBdr>
        <w:top w:val="single" w:color="auto" w:sz="4" w:space="1"/>
      </w:pBdr>
      <w:adjustRightInd w:val="0"/>
      <w:spacing w:before="240" w:after="120" w:line="480" w:lineRule="exact"/>
      <w:jc w:val="left"/>
      <w:textAlignment w:val="baseline"/>
      <w:outlineLvl w:val="1"/>
    </w:pPr>
    <w:rPr>
      <w:rFonts w:eastAsia="黑体"/>
      <w:b/>
      <w:kern w:val="0"/>
      <w:sz w:val="32"/>
      <w:szCs w:val="32"/>
    </w:rPr>
  </w:style>
  <w:style w:type="paragraph" w:customStyle="1" w:styleId="3116">
    <w:name w:val="正文格式＝14"/>
    <w:basedOn w:val="184"/>
    <w:next w:val="184"/>
    <w:qFormat/>
    <w:uiPriority w:val="0"/>
    <w:rPr>
      <w:rFonts w:hAnsi="宋体"/>
    </w:rPr>
  </w:style>
  <w:style w:type="paragraph" w:customStyle="1" w:styleId="3117">
    <w:name w:val="Content"/>
    <w:basedOn w:val="1"/>
    <w:qFormat/>
    <w:uiPriority w:val="0"/>
    <w:pPr>
      <w:widowControl/>
      <w:tabs>
        <w:tab w:val="left" w:pos="9480"/>
        <w:tab w:val="left" w:pos="9600"/>
      </w:tabs>
      <w:spacing w:before="120" w:after="360" w:line="240" w:lineRule="atLeast"/>
      <w:ind w:left="1804" w:right="-238" w:hanging="1503"/>
      <w:jc w:val="center"/>
    </w:pPr>
    <w:rPr>
      <w:rFonts w:ascii="Arial" w:hAnsi="Arial"/>
      <w:b/>
      <w:kern w:val="0"/>
      <w:sz w:val="28"/>
      <w:szCs w:val="20"/>
      <w:lang w:val="fr-FR"/>
    </w:rPr>
  </w:style>
  <w:style w:type="paragraph" w:customStyle="1" w:styleId="3118">
    <w:name w:val="表题31213"/>
    <w:basedOn w:val="34"/>
    <w:qFormat/>
    <w:uiPriority w:val="0"/>
    <w:pPr>
      <w:tabs>
        <w:tab w:val="left" w:pos="4305"/>
      </w:tabs>
      <w:adjustRightInd w:val="0"/>
      <w:snapToGrid w:val="0"/>
      <w:spacing w:after="0"/>
      <w:ind w:left="0" w:leftChars="0"/>
      <w:jc w:val="center"/>
    </w:pPr>
    <w:rPr>
      <w:rFonts w:ascii="宋体" w:hAnsi="宋体"/>
      <w:sz w:val="24"/>
      <w:szCs w:val="20"/>
    </w:rPr>
  </w:style>
  <w:style w:type="paragraph" w:customStyle="1" w:styleId="3119">
    <w:name w:val="燕山正文413"/>
    <w:basedOn w:val="1"/>
    <w:qFormat/>
    <w:uiPriority w:val="0"/>
    <w:pPr>
      <w:tabs>
        <w:tab w:val="left" w:pos="4680"/>
      </w:tabs>
      <w:adjustRightInd w:val="0"/>
      <w:snapToGrid w:val="0"/>
      <w:spacing w:line="480" w:lineRule="exact"/>
    </w:pPr>
    <w:rPr>
      <w:rFonts w:ascii="宋体" w:cs="宋体"/>
      <w:sz w:val="24"/>
    </w:rPr>
  </w:style>
  <w:style w:type="paragraph" w:customStyle="1" w:styleId="3120">
    <w:name w:val="样式 标题 4无效格式无效格式1河石管道4H4H41小小节河石管道41H42H411小小节1河石管道42...11"/>
    <w:basedOn w:val="5"/>
    <w:qFormat/>
    <w:uiPriority w:val="0"/>
    <w:pPr>
      <w:adjustRightInd w:val="0"/>
      <w:snapToGrid w:val="0"/>
      <w:spacing w:line="360" w:lineRule="auto"/>
      <w:ind w:left="664" w:hanging="864"/>
      <w:jc w:val="left"/>
    </w:pPr>
    <w:rPr>
      <w:rFonts w:ascii="黑体" w:eastAsia="黑体" w:cs="宋体"/>
      <w:bCs w:val="0"/>
      <w:sz w:val="24"/>
      <w:szCs w:val="20"/>
    </w:rPr>
  </w:style>
  <w:style w:type="paragraph" w:customStyle="1" w:styleId="3121">
    <w:name w:val="TITLE-2"/>
    <w:basedOn w:val="1"/>
    <w:qFormat/>
    <w:uiPriority w:val="0"/>
    <w:pPr>
      <w:adjustRightInd w:val="0"/>
      <w:spacing w:line="480" w:lineRule="atLeast"/>
      <w:ind w:left="284" w:hanging="284"/>
      <w:textAlignment w:val="baseline"/>
    </w:pPr>
    <w:rPr>
      <w:rFonts w:ascii="華康中楷體" w:eastAsia="華康中楷體"/>
      <w:kern w:val="0"/>
      <w:sz w:val="28"/>
      <w:szCs w:val="20"/>
      <w:lang w:eastAsia="zh-TW"/>
    </w:rPr>
  </w:style>
  <w:style w:type="paragraph" w:customStyle="1" w:styleId="3122">
    <w:name w:val="图表题2"/>
    <w:basedOn w:val="184"/>
    <w:next w:val="184"/>
    <w:qFormat/>
    <w:uiPriority w:val="0"/>
    <w:pPr>
      <w:ind w:firstLine="0"/>
      <w:jc w:val="center"/>
    </w:pPr>
    <w:rPr>
      <w:rFonts w:ascii="黑体" w:hAnsi="宋体" w:eastAsia="黑体"/>
      <w:b/>
      <w:bCs/>
    </w:rPr>
  </w:style>
  <w:style w:type="paragraph" w:customStyle="1" w:styleId="3123">
    <w:name w:val="样式 报告书表格 + 黑色"/>
    <w:basedOn w:val="175"/>
    <w:qFormat/>
    <w:uiPriority w:val="0"/>
    <w:rPr>
      <w:rFonts w:eastAsia="仿宋_GB2312"/>
      <w:color w:val="000000"/>
    </w:rPr>
  </w:style>
  <w:style w:type="paragraph" w:customStyle="1" w:styleId="3124">
    <w:name w:val="Char Char Char Char Char Char Char18"/>
    <w:basedOn w:val="1"/>
    <w:qFormat/>
    <w:uiPriority w:val="0"/>
  </w:style>
  <w:style w:type="paragraph" w:customStyle="1" w:styleId="3125">
    <w:name w:val="正文斜体3"/>
    <w:basedOn w:val="184"/>
    <w:next w:val="184"/>
    <w:qFormat/>
    <w:uiPriority w:val="0"/>
    <w:rPr>
      <w:rFonts w:hAnsi="宋体"/>
      <w:i/>
      <w:iCs/>
    </w:rPr>
  </w:style>
  <w:style w:type="paragraph" w:customStyle="1" w:styleId="3126">
    <w:name w:val="正文.21"/>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3127">
    <w:name w:val="表内522"/>
    <w:basedOn w:val="1"/>
    <w:qFormat/>
    <w:uiPriority w:val="0"/>
    <w:pPr>
      <w:adjustRightInd w:val="0"/>
      <w:snapToGrid w:val="0"/>
      <w:spacing w:line="300" w:lineRule="auto"/>
      <w:jc w:val="left"/>
    </w:pPr>
    <w:rPr>
      <w:rFonts w:ascii="宋体"/>
      <w:sz w:val="18"/>
      <w:szCs w:val="20"/>
    </w:rPr>
  </w:style>
  <w:style w:type="paragraph" w:customStyle="1" w:styleId="3128">
    <w:name w:val="正文缩"/>
    <w:basedOn w:val="1"/>
    <w:qFormat/>
    <w:uiPriority w:val="0"/>
    <w:pPr>
      <w:adjustRightInd w:val="0"/>
      <w:snapToGrid w:val="0"/>
      <w:spacing w:line="480" w:lineRule="atLeast"/>
      <w:ind w:firstLine="567"/>
      <w:textAlignment w:val="baseline"/>
    </w:pPr>
    <w:rPr>
      <w:rFonts w:ascii="宋体"/>
      <w:color w:val="000080"/>
      <w:spacing w:val="6"/>
      <w:kern w:val="0"/>
      <w:sz w:val="28"/>
      <w:szCs w:val="20"/>
    </w:rPr>
  </w:style>
  <w:style w:type="paragraph" w:customStyle="1" w:styleId="3129">
    <w:name w:val="默认段落字体 Para Char211"/>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3130">
    <w:name w:val="正文格式64"/>
    <w:basedOn w:val="1"/>
    <w:qFormat/>
    <w:uiPriority w:val="0"/>
    <w:pPr>
      <w:spacing w:line="360" w:lineRule="auto"/>
      <w:ind w:firstLine="482"/>
    </w:pPr>
    <w:rPr>
      <w:rFonts w:ascii="宋体" w:hAnsi="宋体"/>
      <w:sz w:val="24"/>
    </w:rPr>
  </w:style>
  <w:style w:type="paragraph" w:customStyle="1" w:styleId="3131">
    <w:name w:val="默认段落字体 Para Char313"/>
    <w:basedOn w:val="1"/>
    <w:qFormat/>
    <w:uiPriority w:val="0"/>
    <w:pPr>
      <w:spacing w:line="360" w:lineRule="auto"/>
      <w:ind w:firstLine="200" w:firstLineChars="200"/>
    </w:pPr>
    <w:rPr>
      <w:rFonts w:ascii="宋体" w:hAnsi="宋体" w:cs="宋体"/>
      <w:sz w:val="24"/>
    </w:rPr>
  </w:style>
  <w:style w:type="paragraph" w:customStyle="1" w:styleId="3132">
    <w:name w:val="正文格式311"/>
    <w:basedOn w:val="1"/>
    <w:qFormat/>
    <w:uiPriority w:val="0"/>
    <w:pPr>
      <w:spacing w:line="360" w:lineRule="auto"/>
      <w:ind w:firstLine="482"/>
    </w:pPr>
    <w:rPr>
      <w:rFonts w:ascii="宋体" w:hAnsi="宋体"/>
      <w:sz w:val="24"/>
    </w:rPr>
  </w:style>
  <w:style w:type="paragraph" w:customStyle="1" w:styleId="3133">
    <w:name w:val="表内文字小2141"/>
    <w:basedOn w:val="1"/>
    <w:qFormat/>
    <w:uiPriority w:val="0"/>
    <w:pPr>
      <w:adjustRightInd w:val="0"/>
      <w:snapToGrid w:val="0"/>
      <w:jc w:val="center"/>
    </w:pPr>
    <w:rPr>
      <w:rFonts w:ascii="宋体" w:hAnsi="Times"/>
      <w:bCs/>
      <w:color w:val="000000"/>
      <w:szCs w:val="20"/>
    </w:rPr>
  </w:style>
  <w:style w:type="paragraph" w:customStyle="1" w:styleId="3134">
    <w:name w:val="Char222"/>
    <w:basedOn w:val="1"/>
    <w:qFormat/>
    <w:uiPriority w:val="0"/>
    <w:pPr>
      <w:adjustRightInd w:val="0"/>
      <w:snapToGrid w:val="0"/>
      <w:spacing w:beforeLines="50" w:line="360" w:lineRule="auto"/>
    </w:pPr>
    <w:rPr>
      <w:rFonts w:ascii="黑体" w:eastAsia="黑体"/>
      <w:sz w:val="32"/>
      <w:szCs w:val="32"/>
    </w:rPr>
  </w:style>
  <w:style w:type="paragraph" w:customStyle="1" w:styleId="3135">
    <w:name w:val="正文格式74"/>
    <w:basedOn w:val="1"/>
    <w:qFormat/>
    <w:uiPriority w:val="0"/>
    <w:pPr>
      <w:spacing w:line="360" w:lineRule="auto"/>
      <w:ind w:firstLine="482"/>
    </w:pPr>
    <w:rPr>
      <w:rFonts w:ascii="宋体" w:hAnsi="宋体"/>
      <w:sz w:val="24"/>
    </w:rPr>
  </w:style>
  <w:style w:type="paragraph" w:customStyle="1" w:styleId="3136">
    <w:name w:val="9 Char Char Char3"/>
    <w:basedOn w:val="1"/>
    <w:qFormat/>
    <w:uiPriority w:val="0"/>
    <w:pPr>
      <w:spacing w:line="240" w:lineRule="exact"/>
      <w:ind w:firstLine="200" w:firstLineChars="200"/>
    </w:pPr>
    <w:rPr>
      <w:sz w:val="28"/>
      <w:szCs w:val="28"/>
    </w:rPr>
  </w:style>
  <w:style w:type="paragraph" w:customStyle="1" w:styleId="3137">
    <w:name w:val="正文格式41"/>
    <w:basedOn w:val="1"/>
    <w:qFormat/>
    <w:uiPriority w:val="0"/>
    <w:pPr>
      <w:spacing w:line="360" w:lineRule="auto"/>
      <w:ind w:firstLine="482"/>
    </w:pPr>
    <w:rPr>
      <w:rFonts w:ascii="宋体" w:hAnsi="宋体"/>
      <w:sz w:val="24"/>
    </w:rPr>
  </w:style>
  <w:style w:type="paragraph" w:customStyle="1" w:styleId="3138">
    <w:name w:val="my样式"/>
    <w:basedOn w:val="1"/>
    <w:qFormat/>
    <w:uiPriority w:val="0"/>
    <w:pPr>
      <w:spacing w:beforeLines="50" w:afterLines="50" w:line="360" w:lineRule="auto"/>
      <w:ind w:firstLine="440" w:firstLineChars="200"/>
    </w:pPr>
    <w:rPr>
      <w:sz w:val="22"/>
      <w:szCs w:val="22"/>
    </w:rPr>
  </w:style>
  <w:style w:type="paragraph" w:customStyle="1" w:styleId="3139">
    <w:name w:val="表内宋5112"/>
    <w:basedOn w:val="80"/>
    <w:qFormat/>
    <w:uiPriority w:val="0"/>
    <w:pPr>
      <w:widowControl/>
      <w:adjustRightInd w:val="0"/>
      <w:snapToGrid w:val="0"/>
    </w:pPr>
    <w:rPr>
      <w:rFonts w:ascii="宋体" w:hAnsi="宋体" w:cs="宋体"/>
      <w:color w:val="000000"/>
      <w:sz w:val="21"/>
    </w:rPr>
  </w:style>
  <w:style w:type="paragraph" w:customStyle="1" w:styleId="3140">
    <w:name w:val="表21"/>
    <w:basedOn w:val="1"/>
    <w:qFormat/>
    <w:uiPriority w:val="0"/>
    <w:pPr>
      <w:adjustRightInd w:val="0"/>
      <w:snapToGrid w:val="0"/>
      <w:jc w:val="center"/>
    </w:pPr>
    <w:rPr>
      <w:rFonts w:eastAsia="仿宋_GB2312"/>
      <w:sz w:val="24"/>
    </w:rPr>
  </w:style>
  <w:style w:type="paragraph" w:customStyle="1" w:styleId="3141">
    <w:name w:val="表41"/>
    <w:basedOn w:val="1"/>
    <w:qFormat/>
    <w:uiPriority w:val="0"/>
    <w:pPr>
      <w:adjustRightInd w:val="0"/>
      <w:snapToGrid w:val="0"/>
      <w:jc w:val="center"/>
    </w:pPr>
    <w:rPr>
      <w:rFonts w:eastAsia="仿宋_GB2312"/>
      <w:sz w:val="24"/>
    </w:rPr>
  </w:style>
  <w:style w:type="paragraph" w:customStyle="1" w:styleId="3142">
    <w:name w:val="Char612"/>
    <w:basedOn w:val="1"/>
    <w:qFormat/>
    <w:uiPriority w:val="0"/>
    <w:pPr>
      <w:adjustRightInd w:val="0"/>
      <w:snapToGrid w:val="0"/>
      <w:spacing w:beforeLines="50" w:line="360" w:lineRule="auto"/>
    </w:pPr>
    <w:rPr>
      <w:rFonts w:ascii="黑体" w:eastAsia="黑体"/>
      <w:sz w:val="32"/>
      <w:szCs w:val="32"/>
    </w:rPr>
  </w:style>
  <w:style w:type="paragraph" w:customStyle="1" w:styleId="3143">
    <w:name w:val="标题四"/>
    <w:basedOn w:val="5"/>
    <w:qFormat/>
    <w:uiPriority w:val="0"/>
    <w:pPr>
      <w:spacing w:before="100" w:beforeAutospacing="1" w:after="100" w:afterAutospacing="1" w:line="480" w:lineRule="exact"/>
    </w:pPr>
    <w:rPr>
      <w:rFonts w:ascii="Times New Roman" w:hAnsi="Times New Roman" w:eastAsia="楷体_GB2312" w:cs="宋体"/>
      <w:color w:val="000000"/>
      <w:spacing w:val="6"/>
      <w:kern w:val="44"/>
      <w:sz w:val="24"/>
      <w:szCs w:val="24"/>
    </w:rPr>
  </w:style>
  <w:style w:type="paragraph" w:customStyle="1" w:styleId="3144">
    <w:name w:val="默认段落字体 Para Char311"/>
    <w:basedOn w:val="1"/>
    <w:qFormat/>
    <w:uiPriority w:val="0"/>
    <w:pPr>
      <w:spacing w:line="360" w:lineRule="auto"/>
      <w:ind w:firstLine="200" w:firstLineChars="200"/>
    </w:pPr>
    <w:rPr>
      <w:rFonts w:ascii="宋体" w:hAnsi="宋体" w:cs="宋体"/>
      <w:sz w:val="24"/>
    </w:rPr>
  </w:style>
  <w:style w:type="paragraph" w:customStyle="1" w:styleId="3145">
    <w:name w:val="文本框23"/>
    <w:basedOn w:val="1"/>
    <w:qFormat/>
    <w:uiPriority w:val="0"/>
    <w:pPr>
      <w:adjustRightInd w:val="0"/>
      <w:snapToGrid w:val="0"/>
      <w:spacing w:after="6"/>
      <w:jc w:val="center"/>
    </w:pPr>
    <w:rPr>
      <w:rFonts w:eastAsia="仿宋_GB2312"/>
    </w:rPr>
  </w:style>
  <w:style w:type="paragraph" w:customStyle="1" w:styleId="3146">
    <w:name w:val="正文格式81"/>
    <w:basedOn w:val="1"/>
    <w:qFormat/>
    <w:uiPriority w:val="0"/>
    <w:pPr>
      <w:spacing w:line="360" w:lineRule="auto"/>
      <w:ind w:firstLine="482"/>
    </w:pPr>
    <w:rPr>
      <w:rFonts w:ascii="宋体" w:hAnsi="宋体"/>
      <w:sz w:val="24"/>
    </w:rPr>
  </w:style>
  <w:style w:type="paragraph" w:customStyle="1" w:styleId="3147">
    <w:name w:val="表内宋5中21"/>
    <w:basedOn w:val="1"/>
    <w:qFormat/>
    <w:uiPriority w:val="0"/>
    <w:pPr>
      <w:adjustRightInd w:val="0"/>
      <w:snapToGrid w:val="0"/>
      <w:jc w:val="center"/>
      <w:textAlignment w:val="baseline"/>
    </w:pPr>
    <w:rPr>
      <w:rFonts w:ascii="宋体" w:hAnsi="宋体"/>
      <w:kern w:val="0"/>
      <w:szCs w:val="20"/>
    </w:rPr>
  </w:style>
  <w:style w:type="paragraph" w:customStyle="1" w:styleId="3148">
    <w:name w:val="表格文字左"/>
    <w:basedOn w:val="2688"/>
    <w:qFormat/>
    <w:uiPriority w:val="0"/>
    <w:pPr>
      <w:ind w:firstLine="180" w:firstLineChars="75"/>
      <w:jc w:val="left"/>
    </w:pPr>
  </w:style>
  <w:style w:type="paragraph" w:customStyle="1" w:styleId="3149">
    <w:name w:val="表内宋5中24"/>
    <w:basedOn w:val="1"/>
    <w:qFormat/>
    <w:uiPriority w:val="0"/>
    <w:pPr>
      <w:adjustRightInd w:val="0"/>
      <w:snapToGrid w:val="0"/>
      <w:jc w:val="center"/>
      <w:textAlignment w:val="baseline"/>
    </w:pPr>
    <w:rPr>
      <w:rFonts w:ascii="宋体" w:hAnsi="宋体"/>
      <w:kern w:val="0"/>
      <w:szCs w:val="20"/>
    </w:rPr>
  </w:style>
  <w:style w:type="paragraph" w:customStyle="1" w:styleId="3150">
    <w:name w:val="表格113"/>
    <w:basedOn w:val="1"/>
    <w:qFormat/>
    <w:uiPriority w:val="0"/>
    <w:pPr>
      <w:adjustRightInd w:val="0"/>
      <w:jc w:val="center"/>
      <w:textAlignment w:val="baseline"/>
    </w:pPr>
    <w:rPr>
      <w:rFonts w:ascii="宋体"/>
      <w:kern w:val="0"/>
      <w:sz w:val="24"/>
      <w:szCs w:val="20"/>
    </w:rPr>
  </w:style>
  <w:style w:type="paragraph" w:customStyle="1" w:styleId="3151">
    <w:name w:val="表文字5211"/>
    <w:basedOn w:val="1"/>
    <w:qFormat/>
    <w:uiPriority w:val="0"/>
    <w:pPr>
      <w:adjustRightInd w:val="0"/>
      <w:jc w:val="left"/>
      <w:textAlignment w:val="baseline"/>
    </w:pPr>
    <w:rPr>
      <w:rFonts w:ascii="宋体"/>
      <w:kern w:val="0"/>
      <w:szCs w:val="20"/>
    </w:rPr>
  </w:style>
  <w:style w:type="paragraph" w:customStyle="1" w:styleId="3152">
    <w:name w:val="默认段落字体 Para Char44"/>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3153">
    <w:name w:val="正文2 Char Char"/>
    <w:basedOn w:val="1"/>
    <w:qFormat/>
    <w:uiPriority w:val="0"/>
    <w:pPr>
      <w:spacing w:beforeLines="50" w:afterLines="100" w:line="440" w:lineRule="exact"/>
      <w:ind w:firstLine="480" w:firstLineChars="200"/>
    </w:pPr>
    <w:rPr>
      <w:rFonts w:eastAsia="仿宋_GB2312"/>
      <w:sz w:val="24"/>
    </w:rPr>
  </w:style>
  <w:style w:type="paragraph" w:customStyle="1" w:styleId="3154">
    <w:name w:val="样式 样式 宋体 + 首行缩进:  2 字符112"/>
    <w:basedOn w:val="1"/>
    <w:qFormat/>
    <w:uiPriority w:val="0"/>
    <w:pPr>
      <w:spacing w:line="360" w:lineRule="auto"/>
      <w:ind w:firstLine="480" w:firstLineChars="200"/>
      <w:jc w:val="left"/>
    </w:pPr>
    <w:rPr>
      <w:rFonts w:ascii="宋体" w:cs="宋体"/>
      <w:sz w:val="24"/>
    </w:rPr>
  </w:style>
  <w:style w:type="paragraph" w:customStyle="1" w:styleId="3155">
    <w:name w:val="9 Char Char Char2"/>
    <w:basedOn w:val="1"/>
    <w:qFormat/>
    <w:uiPriority w:val="0"/>
    <w:pPr>
      <w:spacing w:line="240" w:lineRule="exact"/>
      <w:ind w:firstLine="200" w:firstLineChars="200"/>
    </w:pPr>
    <w:rPr>
      <w:sz w:val="28"/>
      <w:szCs w:val="28"/>
    </w:rPr>
  </w:style>
  <w:style w:type="paragraph" w:customStyle="1" w:styleId="3156">
    <w:name w:val="表文字5123"/>
    <w:basedOn w:val="1"/>
    <w:qFormat/>
    <w:uiPriority w:val="0"/>
    <w:pPr>
      <w:adjustRightInd w:val="0"/>
      <w:jc w:val="left"/>
      <w:textAlignment w:val="baseline"/>
    </w:pPr>
    <w:rPr>
      <w:rFonts w:ascii="宋体"/>
      <w:kern w:val="0"/>
      <w:szCs w:val="20"/>
    </w:rPr>
  </w:style>
  <w:style w:type="paragraph" w:customStyle="1" w:styleId="3157">
    <w:name w:val="Char39"/>
    <w:basedOn w:val="1"/>
    <w:qFormat/>
    <w:uiPriority w:val="0"/>
    <w:pPr>
      <w:adjustRightInd w:val="0"/>
      <w:snapToGrid w:val="0"/>
      <w:spacing w:beforeLines="50" w:line="360" w:lineRule="auto"/>
    </w:pPr>
    <w:rPr>
      <w:rFonts w:ascii="黑体" w:eastAsia="黑体"/>
      <w:sz w:val="32"/>
      <w:szCs w:val="32"/>
    </w:rPr>
  </w:style>
  <w:style w:type="paragraph" w:customStyle="1" w:styleId="3158">
    <w:name w:val="样式xiaojie"/>
    <w:basedOn w:val="1"/>
    <w:qFormat/>
    <w:uiPriority w:val="0"/>
    <w:pPr>
      <w:spacing w:line="360" w:lineRule="auto"/>
      <w:ind w:right="220" w:rightChars="105"/>
    </w:pPr>
    <w:rPr>
      <w:rFonts w:eastAsia="仿宋_GB2312"/>
      <w:color w:val="000000"/>
      <w:sz w:val="28"/>
    </w:rPr>
  </w:style>
  <w:style w:type="paragraph" w:customStyle="1" w:styleId="3159">
    <w:name w:val="Char Char Char1 Char Char Char1 Char1"/>
    <w:basedOn w:val="1"/>
    <w:qFormat/>
    <w:uiPriority w:val="0"/>
    <w:pPr>
      <w:spacing w:line="240" w:lineRule="exact"/>
      <w:ind w:firstLine="200" w:firstLineChars="200"/>
    </w:pPr>
    <w:rPr>
      <w:sz w:val="28"/>
      <w:szCs w:val="28"/>
    </w:rPr>
  </w:style>
  <w:style w:type="paragraph" w:customStyle="1" w:styleId="3160">
    <w:name w:val="样式 首行缩进:  0.77 厘米 行距: 1.5 倍行距"/>
    <w:basedOn w:val="1"/>
    <w:qFormat/>
    <w:uiPriority w:val="0"/>
    <w:pPr>
      <w:spacing w:line="360" w:lineRule="auto"/>
      <w:ind w:firstLine="435"/>
    </w:pPr>
    <w:rPr>
      <w:rFonts w:ascii="宋体" w:hAnsi="宋体" w:cs="宋体"/>
      <w:snapToGrid w:val="0"/>
      <w:kern w:val="0"/>
      <w:sz w:val="24"/>
    </w:rPr>
  </w:style>
  <w:style w:type="paragraph" w:customStyle="1" w:styleId="3161">
    <w:name w:val="正文格式2113"/>
    <w:basedOn w:val="1"/>
    <w:qFormat/>
    <w:uiPriority w:val="0"/>
    <w:pPr>
      <w:spacing w:line="360" w:lineRule="auto"/>
      <w:ind w:firstLine="482"/>
    </w:pPr>
    <w:rPr>
      <w:rFonts w:ascii="宋体" w:hAnsi="宋体"/>
      <w:sz w:val="24"/>
    </w:rPr>
  </w:style>
  <w:style w:type="paragraph" w:customStyle="1" w:styleId="3162">
    <w:name w:val="表14"/>
    <w:basedOn w:val="1"/>
    <w:qFormat/>
    <w:uiPriority w:val="0"/>
    <w:pPr>
      <w:adjustRightInd w:val="0"/>
      <w:snapToGrid w:val="0"/>
      <w:jc w:val="center"/>
    </w:pPr>
    <w:rPr>
      <w:rFonts w:eastAsia="仿宋_GB2312"/>
      <w:sz w:val="24"/>
    </w:rPr>
  </w:style>
  <w:style w:type="paragraph" w:customStyle="1" w:styleId="3163">
    <w:name w:val="标题 正文"/>
    <w:basedOn w:val="5"/>
    <w:qFormat/>
    <w:uiPriority w:val="0"/>
    <w:pPr>
      <w:spacing w:before="280" w:after="290" w:line="374" w:lineRule="auto"/>
    </w:pPr>
    <w:rPr>
      <w:rFonts w:ascii="Arial" w:eastAsia="黑体"/>
      <w:bCs w:val="0"/>
      <w:sz w:val="24"/>
    </w:rPr>
  </w:style>
  <w:style w:type="paragraph" w:customStyle="1" w:styleId="3164">
    <w:name w:val="Char511"/>
    <w:basedOn w:val="1"/>
    <w:qFormat/>
    <w:uiPriority w:val="0"/>
    <w:pPr>
      <w:adjustRightInd w:val="0"/>
      <w:snapToGrid w:val="0"/>
      <w:ind w:left="-45"/>
    </w:pPr>
  </w:style>
  <w:style w:type="paragraph" w:customStyle="1" w:styleId="3165">
    <w:name w:val="样式 标题2 + 仿宋_GB2312 段前: 6 磅 段后: 6 磅"/>
    <w:basedOn w:val="3"/>
    <w:qFormat/>
    <w:uiPriority w:val="0"/>
    <w:pPr>
      <w:numPr>
        <w:ilvl w:val="0"/>
        <w:numId w:val="0"/>
      </w:numPr>
      <w:tabs>
        <w:tab w:val="left" w:pos="233"/>
        <w:tab w:val="clear" w:pos="0"/>
        <w:tab w:val="clear" w:pos="426"/>
      </w:tabs>
      <w:spacing w:beforeLines="0" w:afterLines="0"/>
      <w:ind w:left="233" w:firstLine="200" w:firstLineChars="200"/>
    </w:pPr>
    <w:rPr>
      <w:rFonts w:ascii="仿宋_GB2312" w:cs="宋体"/>
      <w:bCs/>
      <w:spacing w:val="0"/>
      <w:kern w:val="2"/>
      <w:sz w:val="28"/>
      <w:szCs w:val="20"/>
    </w:rPr>
  </w:style>
  <w:style w:type="paragraph" w:customStyle="1" w:styleId="3166">
    <w:name w:val="正文格式223"/>
    <w:basedOn w:val="1"/>
    <w:qFormat/>
    <w:uiPriority w:val="0"/>
    <w:pPr>
      <w:spacing w:line="360" w:lineRule="auto"/>
      <w:ind w:firstLine="482"/>
    </w:pPr>
    <w:rPr>
      <w:rFonts w:ascii="宋体" w:hAnsi="宋体"/>
      <w:sz w:val="24"/>
    </w:rPr>
  </w:style>
  <w:style w:type="paragraph" w:customStyle="1" w:styleId="3167">
    <w:name w:val="样式 正文缩进 + 宋体 黑色 首行缩进:  2 字符4"/>
    <w:basedOn w:val="20"/>
    <w:qFormat/>
    <w:uiPriority w:val="0"/>
    <w:pPr>
      <w:spacing w:line="360" w:lineRule="auto"/>
      <w:ind w:firstLine="480"/>
      <w:jc w:val="left"/>
    </w:pPr>
    <w:rPr>
      <w:rFonts w:ascii="宋体" w:hAnsi="宋体" w:cs="宋体"/>
      <w:color w:val="FF00FF"/>
      <w:sz w:val="24"/>
      <w:szCs w:val="20"/>
    </w:rPr>
  </w:style>
  <w:style w:type="paragraph" w:customStyle="1" w:styleId="3168">
    <w:name w:val="9 Char"/>
    <w:basedOn w:val="1"/>
    <w:qFormat/>
    <w:uiPriority w:val="0"/>
    <w:pPr>
      <w:spacing w:line="240" w:lineRule="exact"/>
      <w:ind w:firstLine="200" w:firstLineChars="200"/>
    </w:pPr>
    <w:rPr>
      <w:sz w:val="28"/>
      <w:szCs w:val="28"/>
    </w:rPr>
  </w:style>
  <w:style w:type="paragraph" w:customStyle="1" w:styleId="3169">
    <w:name w:val="样式 正文缩进 + 宋体 黑色 首行缩进:  2 字符13"/>
    <w:basedOn w:val="20"/>
    <w:qFormat/>
    <w:uiPriority w:val="0"/>
    <w:pPr>
      <w:spacing w:line="360" w:lineRule="auto"/>
      <w:ind w:firstLine="480"/>
      <w:jc w:val="left"/>
    </w:pPr>
    <w:rPr>
      <w:rFonts w:ascii="宋体" w:hAnsi="宋体" w:cs="宋体"/>
      <w:color w:val="FF00FF"/>
      <w:sz w:val="24"/>
      <w:szCs w:val="20"/>
    </w:rPr>
  </w:style>
  <w:style w:type="paragraph" w:customStyle="1" w:styleId="3170">
    <w:name w:val="小4黑居中行1"/>
    <w:qFormat/>
    <w:uiPriority w:val="0"/>
    <w:pPr>
      <w:widowControl w:val="0"/>
      <w:jc w:val="center"/>
    </w:pPr>
    <w:rPr>
      <w:rFonts w:ascii="Times New Roman" w:hAnsi="Times New Roman" w:eastAsia="宋体" w:cs="Times New Roman"/>
      <w:kern w:val="2"/>
      <w:sz w:val="24"/>
      <w:szCs w:val="24"/>
      <w:lang w:val="en-US" w:eastAsia="zh-CN" w:bidi="ar-SA"/>
    </w:rPr>
  </w:style>
  <w:style w:type="paragraph" w:customStyle="1" w:styleId="3171">
    <w:name w:val="表题16"/>
    <w:basedOn w:val="21"/>
    <w:qFormat/>
    <w:uiPriority w:val="0"/>
    <w:pPr>
      <w:tabs>
        <w:tab w:val="clear" w:pos="7380"/>
      </w:tabs>
      <w:overflowPunct/>
      <w:spacing w:before="0" w:afterLines="0" w:line="360" w:lineRule="auto"/>
      <w:jc w:val="center"/>
    </w:pPr>
    <w:rPr>
      <w:rFonts w:ascii="黑体"/>
      <w:b/>
      <w:sz w:val="24"/>
      <w:szCs w:val="24"/>
    </w:rPr>
  </w:style>
  <w:style w:type="paragraph" w:customStyle="1" w:styleId="3172">
    <w:name w:val="Char4 Char Char Char Char Char Char Char Char Char Char Char Char Char Char Char Char Char1 Char Char Char Char Char Char1"/>
    <w:basedOn w:val="1"/>
    <w:qFormat/>
    <w:uiPriority w:val="0"/>
    <w:pPr>
      <w:spacing w:line="240" w:lineRule="exact"/>
      <w:ind w:firstLine="200" w:firstLineChars="200"/>
    </w:pPr>
    <w:rPr>
      <w:sz w:val="28"/>
      <w:szCs w:val="28"/>
    </w:rPr>
  </w:style>
  <w:style w:type="paragraph" w:customStyle="1" w:styleId="3173">
    <w:name w:val="样式 正文缩进文本条款表格标题正文（首行缩进两字） Char Char Char Char Char Char Char...2"/>
    <w:basedOn w:val="20"/>
    <w:qFormat/>
    <w:uiPriority w:val="0"/>
    <w:pPr>
      <w:snapToGrid w:val="0"/>
      <w:spacing w:line="520" w:lineRule="atLeast"/>
      <w:ind w:firstLine="200"/>
    </w:pPr>
    <w:rPr>
      <w:rFonts w:cs="宋体"/>
      <w:color w:val="000000"/>
      <w:sz w:val="28"/>
      <w:szCs w:val="20"/>
    </w:rPr>
  </w:style>
  <w:style w:type="paragraph" w:customStyle="1" w:styleId="3174">
    <w:name w:val="样式 标题 3小标题小节标题H3h33rd level第二层条标题4标题 3 Char标题 3 Char Ch... Char Char Char"/>
    <w:basedOn w:val="4"/>
    <w:qFormat/>
    <w:uiPriority w:val="0"/>
    <w:pPr>
      <w:tabs>
        <w:tab w:val="left" w:pos="0"/>
        <w:tab w:val="left" w:pos="993"/>
      </w:tabs>
      <w:adjustRightInd w:val="0"/>
      <w:spacing w:before="120" w:after="120" w:line="240" w:lineRule="auto"/>
      <w:jc w:val="left"/>
      <w:textAlignment w:val="baseline"/>
    </w:pPr>
    <w:rPr>
      <w:rFonts w:ascii="Arial" w:hAnsi="Arial"/>
      <w:kern w:val="32"/>
    </w:rPr>
  </w:style>
  <w:style w:type="paragraph" w:customStyle="1" w:styleId="3175">
    <w:name w:val="Char Char Char Char Char Char Char9"/>
    <w:basedOn w:val="1"/>
    <w:qFormat/>
    <w:uiPriority w:val="0"/>
  </w:style>
  <w:style w:type="paragraph" w:customStyle="1" w:styleId="3176">
    <w:name w:val="样式 标题 3小标题小节标题标题3H3h33rd level第二层条标题4标题 3 Char标题 3 Cha..."/>
    <w:basedOn w:val="4"/>
    <w:qFormat/>
    <w:uiPriority w:val="0"/>
    <w:pPr>
      <w:tabs>
        <w:tab w:val="left" w:pos="0"/>
        <w:tab w:val="left" w:pos="233"/>
        <w:tab w:val="left" w:pos="709"/>
        <w:tab w:val="left" w:pos="993"/>
        <w:tab w:val="left" w:pos="1364"/>
      </w:tabs>
      <w:adjustRightInd w:val="0"/>
      <w:spacing w:before="0" w:after="0" w:line="500" w:lineRule="exact"/>
      <w:ind w:left="1135"/>
      <w:textAlignment w:val="baseline"/>
    </w:pPr>
    <w:rPr>
      <w:rFonts w:cs="宋体"/>
      <w:color w:val="000000"/>
      <w:kern w:val="32"/>
      <w:sz w:val="28"/>
      <w:szCs w:val="28"/>
    </w:rPr>
  </w:style>
  <w:style w:type="paragraph" w:customStyle="1" w:styleId="3177">
    <w:name w:val="标题43113"/>
    <w:basedOn w:val="1"/>
    <w:qFormat/>
    <w:uiPriority w:val="0"/>
    <w:pPr>
      <w:adjustRightInd w:val="0"/>
      <w:snapToGrid w:val="0"/>
      <w:spacing w:line="480" w:lineRule="exact"/>
      <w:jc w:val="center"/>
    </w:pPr>
    <w:rPr>
      <w:rFonts w:ascii="宋体" w:hAnsi="宋体" w:cs="宋体"/>
      <w:sz w:val="24"/>
    </w:rPr>
  </w:style>
  <w:style w:type="paragraph" w:customStyle="1" w:styleId="3178">
    <w:name w:val="黑体三号21"/>
    <w:basedOn w:val="184"/>
    <w:qFormat/>
    <w:uiPriority w:val="0"/>
    <w:pPr>
      <w:jc w:val="center"/>
    </w:pPr>
    <w:rPr>
      <w:rFonts w:ascii="黑体" w:hAnsi="宋体" w:eastAsia="黑体"/>
      <w:b/>
      <w:bCs/>
      <w:sz w:val="32"/>
      <w:szCs w:val="20"/>
    </w:rPr>
  </w:style>
  <w:style w:type="paragraph" w:customStyle="1" w:styleId="3179">
    <w:name w:val="样式 标题 2 + (中文) 宋体"/>
    <w:basedOn w:val="3"/>
    <w:qFormat/>
    <w:uiPriority w:val="0"/>
    <w:pPr>
      <w:keepNext w:val="0"/>
      <w:keepLines w:val="0"/>
      <w:numPr>
        <w:ilvl w:val="0"/>
        <w:numId w:val="0"/>
      </w:numPr>
      <w:tabs>
        <w:tab w:val="left" w:pos="233"/>
        <w:tab w:val="left" w:pos="576"/>
        <w:tab w:val="clear" w:pos="0"/>
        <w:tab w:val="clear" w:pos="426"/>
      </w:tabs>
      <w:adjustRightInd w:val="0"/>
      <w:snapToGrid w:val="0"/>
      <w:spacing w:before="260" w:after="260"/>
      <w:ind w:left="567" w:hanging="567"/>
    </w:pPr>
    <w:rPr>
      <w:rFonts w:eastAsia="宋体"/>
      <w:b w:val="0"/>
      <w:bCs/>
      <w:spacing w:val="0"/>
      <w:kern w:val="2"/>
      <w:sz w:val="28"/>
      <w:szCs w:val="28"/>
    </w:rPr>
  </w:style>
  <w:style w:type="paragraph" w:customStyle="1" w:styleId="3180">
    <w:name w:val="Char813"/>
    <w:basedOn w:val="1"/>
    <w:qFormat/>
    <w:uiPriority w:val="0"/>
    <w:pPr>
      <w:ind w:left="-48"/>
    </w:pPr>
  </w:style>
  <w:style w:type="paragraph" w:customStyle="1" w:styleId="3181">
    <w:name w:val="正文格式＝411"/>
    <w:basedOn w:val="184"/>
    <w:next w:val="184"/>
    <w:qFormat/>
    <w:uiPriority w:val="0"/>
    <w:rPr>
      <w:rFonts w:hAnsi="宋体"/>
    </w:rPr>
  </w:style>
  <w:style w:type="paragraph" w:customStyle="1" w:styleId="3182">
    <w:name w:val="Char Char Char1 Char Char Char Char Char Char"/>
    <w:basedOn w:val="1"/>
    <w:qFormat/>
    <w:uiPriority w:val="0"/>
    <w:rPr>
      <w:rFonts w:ascii="黑体" w:hAnsi="黑体" w:eastAsia="黑体"/>
      <w:b/>
      <w:spacing w:val="10"/>
      <w:sz w:val="28"/>
      <w:szCs w:val="20"/>
    </w:rPr>
  </w:style>
  <w:style w:type="paragraph" w:customStyle="1" w:styleId="3183">
    <w:name w:val="首行缩进:  0.99 厘米 + 首行缩进:  2 字符12"/>
    <w:basedOn w:val="1"/>
    <w:qFormat/>
    <w:uiPriority w:val="0"/>
    <w:pPr>
      <w:widowControl/>
      <w:topLinePunct/>
      <w:spacing w:line="480" w:lineRule="exact"/>
      <w:ind w:firstLine="420" w:firstLineChars="200"/>
      <w:jc w:val="center"/>
    </w:pPr>
    <w:rPr>
      <w:rFonts w:ascii="宋体" w:cs="宋体"/>
      <w:snapToGrid w:val="0"/>
      <w:color w:val="FF0000"/>
      <w:kern w:val="0"/>
      <w:szCs w:val="21"/>
    </w:rPr>
  </w:style>
  <w:style w:type="paragraph" w:customStyle="1" w:styleId="3184">
    <w:name w:val="Char416"/>
    <w:basedOn w:val="1"/>
    <w:qFormat/>
    <w:uiPriority w:val="0"/>
    <w:pPr>
      <w:ind w:left="-48"/>
    </w:pPr>
  </w:style>
  <w:style w:type="paragraph" w:customStyle="1" w:styleId="3185">
    <w:name w:val="表中文字211"/>
    <w:basedOn w:val="1"/>
    <w:qFormat/>
    <w:uiPriority w:val="0"/>
    <w:pPr>
      <w:widowControl/>
      <w:adjustRightInd w:val="0"/>
      <w:spacing w:line="240" w:lineRule="atLeast"/>
      <w:ind w:right="-42" w:rightChars="-20"/>
      <w:jc w:val="center"/>
      <w:textAlignment w:val="baseline"/>
    </w:pPr>
    <w:rPr>
      <w:rFonts w:ascii="宋体"/>
      <w:kern w:val="0"/>
      <w:szCs w:val="21"/>
    </w:rPr>
  </w:style>
  <w:style w:type="paragraph" w:customStyle="1" w:styleId="3186">
    <w:name w:val="样式 标题 3 + (西文)粗体"/>
    <w:basedOn w:val="4"/>
    <w:qFormat/>
    <w:uiPriority w:val="0"/>
    <w:pPr>
      <w:tabs>
        <w:tab w:val="left" w:pos="233"/>
      </w:tabs>
      <w:spacing w:line="415" w:lineRule="auto"/>
      <w:ind w:left="233"/>
    </w:pPr>
    <w:rPr>
      <w:rFonts w:ascii="Arial" w:hAnsi="Arial" w:eastAsia="仿宋_GB2312" w:cs="Angsana New"/>
      <w:sz w:val="24"/>
      <w:lang w:bidi="th-TH"/>
    </w:rPr>
  </w:style>
  <w:style w:type="paragraph" w:customStyle="1" w:styleId="3187">
    <w:name w:val="Char Char2 Char Char Char Char9"/>
    <w:basedOn w:val="1"/>
    <w:qFormat/>
    <w:uiPriority w:val="0"/>
  </w:style>
  <w:style w:type="paragraph" w:customStyle="1" w:styleId="3188">
    <w:name w:val="表内5912"/>
    <w:basedOn w:val="1"/>
    <w:qFormat/>
    <w:uiPriority w:val="0"/>
    <w:pPr>
      <w:adjustRightInd w:val="0"/>
      <w:snapToGrid w:val="0"/>
      <w:spacing w:line="300" w:lineRule="auto"/>
      <w:jc w:val="center"/>
    </w:pPr>
    <w:rPr>
      <w:rFonts w:ascii="宋体"/>
      <w:snapToGrid w:val="0"/>
      <w:szCs w:val="21"/>
    </w:rPr>
  </w:style>
  <w:style w:type="paragraph" w:customStyle="1" w:styleId="3189">
    <w:name w:val="Char Char Char Char Char Char Char30"/>
    <w:basedOn w:val="1"/>
    <w:qFormat/>
    <w:uiPriority w:val="0"/>
  </w:style>
  <w:style w:type="paragraph" w:customStyle="1" w:styleId="3190">
    <w:name w:val="5文章(治)"/>
    <w:basedOn w:val="1"/>
    <w:qFormat/>
    <w:uiPriority w:val="0"/>
    <w:pPr>
      <w:spacing w:line="500" w:lineRule="exact"/>
    </w:pPr>
    <w:rPr>
      <w:rFonts w:hint="eastAsia" w:ascii="仿宋_GB2312" w:hAnsi="宋体" w:eastAsia="仿宋_GB2312"/>
      <w:sz w:val="28"/>
      <w:szCs w:val="28"/>
    </w:rPr>
  </w:style>
  <w:style w:type="paragraph" w:customStyle="1" w:styleId="3191">
    <w:name w:val="表内文字边3"/>
    <w:basedOn w:val="1"/>
    <w:qFormat/>
    <w:uiPriority w:val="0"/>
    <w:pPr>
      <w:widowControl/>
      <w:adjustRightInd w:val="0"/>
      <w:snapToGrid w:val="0"/>
      <w:spacing w:line="240" w:lineRule="atLeast"/>
      <w:ind w:left="-21" w:leftChars="-10" w:right="-42" w:rightChars="-20"/>
    </w:pPr>
    <w:rPr>
      <w:rFonts w:ascii="宋体"/>
      <w:kern w:val="0"/>
      <w:szCs w:val="21"/>
    </w:rPr>
  </w:style>
  <w:style w:type="paragraph" w:customStyle="1" w:styleId="3192">
    <w:name w:val="Char4311"/>
    <w:basedOn w:val="1"/>
    <w:qFormat/>
    <w:uiPriority w:val="0"/>
    <w:pPr>
      <w:ind w:left="-48"/>
    </w:pPr>
  </w:style>
  <w:style w:type="paragraph" w:customStyle="1" w:styleId="3193">
    <w:name w:val="Char325"/>
    <w:basedOn w:val="1"/>
    <w:qFormat/>
    <w:uiPriority w:val="0"/>
    <w:pPr>
      <w:ind w:left="-48"/>
    </w:pPr>
  </w:style>
  <w:style w:type="paragraph" w:customStyle="1" w:styleId="3194">
    <w:name w:val="默认段落字体 Para Char Char Char Char3"/>
    <w:basedOn w:val="1"/>
    <w:qFormat/>
    <w:uiPriority w:val="0"/>
  </w:style>
  <w:style w:type="paragraph" w:customStyle="1" w:styleId="3195">
    <w:name w:val="Char4211"/>
    <w:basedOn w:val="1"/>
    <w:qFormat/>
    <w:uiPriority w:val="0"/>
    <w:pPr>
      <w:ind w:left="-48"/>
    </w:pPr>
  </w:style>
  <w:style w:type="paragraph" w:customStyle="1" w:styleId="3196">
    <w:name w:val="表格内字体25"/>
    <w:basedOn w:val="184"/>
    <w:next w:val="184"/>
    <w:qFormat/>
    <w:uiPriority w:val="0"/>
    <w:pPr>
      <w:spacing w:line="240" w:lineRule="auto"/>
      <w:ind w:firstLine="0"/>
      <w:jc w:val="center"/>
    </w:pPr>
    <w:rPr>
      <w:rFonts w:hAnsi="宋体"/>
      <w:sz w:val="21"/>
    </w:rPr>
  </w:style>
  <w:style w:type="paragraph" w:customStyle="1" w:styleId="3197">
    <w:name w:val="Char226"/>
    <w:basedOn w:val="1"/>
    <w:qFormat/>
    <w:uiPriority w:val="0"/>
    <w:pPr>
      <w:ind w:left="-48"/>
    </w:pPr>
  </w:style>
  <w:style w:type="paragraph" w:customStyle="1" w:styleId="3198">
    <w:name w:val="Char128"/>
    <w:basedOn w:val="1"/>
    <w:qFormat/>
    <w:uiPriority w:val="0"/>
    <w:pPr>
      <w:ind w:left="-48"/>
    </w:pPr>
  </w:style>
  <w:style w:type="paragraph" w:customStyle="1" w:styleId="3199">
    <w:name w:val="表格内字体22"/>
    <w:basedOn w:val="184"/>
    <w:next w:val="184"/>
    <w:qFormat/>
    <w:uiPriority w:val="0"/>
    <w:pPr>
      <w:spacing w:line="240" w:lineRule="auto"/>
      <w:ind w:firstLine="0"/>
      <w:jc w:val="center"/>
    </w:pPr>
    <w:rPr>
      <w:rFonts w:hAnsi="宋体"/>
      <w:sz w:val="21"/>
    </w:rPr>
  </w:style>
  <w:style w:type="paragraph" w:customStyle="1" w:styleId="3200">
    <w:name w:val="燕山正文53"/>
    <w:basedOn w:val="1"/>
    <w:qFormat/>
    <w:uiPriority w:val="0"/>
    <w:pPr>
      <w:tabs>
        <w:tab w:val="left" w:pos="4680"/>
      </w:tabs>
      <w:adjustRightInd w:val="0"/>
      <w:snapToGrid w:val="0"/>
      <w:spacing w:line="480" w:lineRule="exact"/>
    </w:pPr>
    <w:rPr>
      <w:rFonts w:ascii="宋体" w:cs="宋体"/>
      <w:sz w:val="24"/>
    </w:rPr>
  </w:style>
  <w:style w:type="paragraph" w:customStyle="1" w:styleId="3201">
    <w:name w:val="Char47"/>
    <w:basedOn w:val="1"/>
    <w:qFormat/>
    <w:uiPriority w:val="0"/>
    <w:pPr>
      <w:ind w:left="-48"/>
    </w:pPr>
  </w:style>
  <w:style w:type="paragraph" w:customStyle="1" w:styleId="3202">
    <w:name w:val="福建正文缩进1"/>
    <w:basedOn w:val="20"/>
    <w:qFormat/>
    <w:uiPriority w:val="0"/>
    <w:pPr>
      <w:adjustRightInd w:val="0"/>
      <w:snapToGrid w:val="0"/>
      <w:spacing w:line="360" w:lineRule="auto"/>
      <w:ind w:firstLine="567" w:firstLineChars="0"/>
    </w:pPr>
    <w:rPr>
      <w:rFonts w:ascii="宋体"/>
      <w:kern w:val="0"/>
      <w:sz w:val="24"/>
    </w:rPr>
  </w:style>
  <w:style w:type="paragraph" w:customStyle="1" w:styleId="3203">
    <w:name w:val="Char Char2 Char Char Char Char2"/>
    <w:basedOn w:val="1"/>
    <w:qFormat/>
    <w:uiPriority w:val="0"/>
  </w:style>
  <w:style w:type="paragraph" w:customStyle="1" w:styleId="3204">
    <w:name w:val="Char Char2 Char Char Char Char1"/>
    <w:basedOn w:val="1"/>
    <w:qFormat/>
    <w:uiPriority w:val="0"/>
  </w:style>
  <w:style w:type="paragraph" w:customStyle="1" w:styleId="3205">
    <w:name w:val="图题61"/>
    <w:basedOn w:val="184"/>
    <w:next w:val="184"/>
    <w:qFormat/>
    <w:uiPriority w:val="0"/>
    <w:pPr>
      <w:ind w:firstLine="0"/>
      <w:jc w:val="center"/>
    </w:pPr>
    <w:rPr>
      <w:rFonts w:ascii="黑体" w:hAnsi="宋体" w:eastAsia="黑体"/>
      <w:b/>
      <w:bCs/>
    </w:rPr>
  </w:style>
  <w:style w:type="paragraph" w:customStyle="1" w:styleId="3206">
    <w:name w:val="样式412"/>
    <w:basedOn w:val="33"/>
    <w:qFormat/>
    <w:uiPriority w:val="0"/>
    <w:pPr>
      <w:tabs>
        <w:tab w:val="left" w:pos="1820"/>
      </w:tabs>
      <w:snapToGrid w:val="0"/>
      <w:spacing w:after="0" w:line="240" w:lineRule="atLeast"/>
      <w:jc w:val="center"/>
    </w:pPr>
    <w:rPr>
      <w:rFonts w:eastAsia="幼圆"/>
      <w:kern w:val="0"/>
      <w:szCs w:val="20"/>
    </w:rPr>
  </w:style>
  <w:style w:type="paragraph" w:customStyle="1" w:styleId="3207">
    <w:name w:val="图题211"/>
    <w:basedOn w:val="184"/>
    <w:next w:val="184"/>
    <w:qFormat/>
    <w:uiPriority w:val="0"/>
    <w:pPr>
      <w:ind w:firstLine="0"/>
      <w:jc w:val="center"/>
    </w:pPr>
    <w:rPr>
      <w:rFonts w:ascii="黑体" w:hAnsi="宋体" w:eastAsia="黑体"/>
      <w:b/>
      <w:bCs/>
    </w:rPr>
  </w:style>
  <w:style w:type="paragraph" w:customStyle="1" w:styleId="3208">
    <w:name w:val="黑体三号52"/>
    <w:basedOn w:val="184"/>
    <w:qFormat/>
    <w:uiPriority w:val="0"/>
    <w:pPr>
      <w:jc w:val="center"/>
    </w:pPr>
    <w:rPr>
      <w:rFonts w:ascii="黑体" w:hAnsi="宋体" w:eastAsia="黑体"/>
      <w:b/>
      <w:bCs/>
      <w:sz w:val="32"/>
      <w:szCs w:val="20"/>
    </w:rPr>
  </w:style>
  <w:style w:type="paragraph" w:customStyle="1" w:styleId="3209">
    <w:name w:val="图题62"/>
    <w:basedOn w:val="184"/>
    <w:next w:val="184"/>
    <w:qFormat/>
    <w:uiPriority w:val="0"/>
    <w:pPr>
      <w:ind w:firstLine="0"/>
      <w:jc w:val="center"/>
    </w:pPr>
    <w:rPr>
      <w:rFonts w:ascii="黑体" w:hAnsi="宋体" w:eastAsia="黑体"/>
      <w:b/>
      <w:bCs/>
    </w:rPr>
  </w:style>
  <w:style w:type="paragraph" w:customStyle="1" w:styleId="3210">
    <w:name w:val="book1_1_1_1"/>
    <w:basedOn w:val="5"/>
    <w:qFormat/>
    <w:uiPriority w:val="0"/>
    <w:pPr>
      <w:keepNext w:val="0"/>
      <w:tabs>
        <w:tab w:val="left" w:pos="360"/>
      </w:tabs>
      <w:spacing w:beforeLines="50" w:afterLines="50" w:line="400" w:lineRule="exact"/>
      <w:ind w:left="536" w:hanging="360" w:hangingChars="200"/>
    </w:pPr>
    <w:rPr>
      <w:rFonts w:ascii="宋体" w:hAnsi="宋体" w:eastAsia="宋体" w:cs="Arial"/>
      <w:sz w:val="24"/>
    </w:rPr>
  </w:style>
  <w:style w:type="paragraph" w:customStyle="1" w:styleId="3211">
    <w:name w:val="表内宋513"/>
    <w:basedOn w:val="2133"/>
    <w:qFormat/>
    <w:uiPriority w:val="0"/>
    <w:pPr>
      <w:widowControl/>
      <w:autoSpaceDE w:val="0"/>
      <w:autoSpaceDN w:val="0"/>
      <w:jc w:val="left"/>
      <w:textAlignment w:val="auto"/>
    </w:pPr>
    <w:rPr>
      <w:color w:val="auto"/>
      <w:w w:val="90"/>
    </w:rPr>
  </w:style>
  <w:style w:type="paragraph" w:customStyle="1" w:styleId="3212">
    <w:name w:val="CDM B/TEXT"/>
    <w:basedOn w:val="1"/>
    <w:qFormat/>
    <w:uiPriority w:val="0"/>
    <w:pPr>
      <w:widowControl/>
      <w:spacing w:after="240" w:line="280" w:lineRule="exact"/>
      <w:jc w:val="left"/>
    </w:pPr>
    <w:rPr>
      <w:rFonts w:ascii="Book Antiqua" w:hAnsi="Book Antiqua" w:eastAsia="Times New Roman"/>
      <w:kern w:val="0"/>
      <w:sz w:val="22"/>
      <w:szCs w:val="20"/>
      <w:lang w:eastAsia="en-US"/>
    </w:rPr>
  </w:style>
  <w:style w:type="paragraph" w:customStyle="1" w:styleId="3213">
    <w:name w:val="样式 表格标题 + 段后: 0.5 行2"/>
    <w:basedOn w:val="1"/>
    <w:qFormat/>
    <w:uiPriority w:val="0"/>
    <w:pPr>
      <w:pBdr>
        <w:top w:val="single" w:color="auto" w:sz="4" w:space="1"/>
      </w:pBdr>
      <w:adjustRightInd w:val="0"/>
      <w:spacing w:line="324" w:lineRule="auto"/>
      <w:jc w:val="center"/>
      <w:textAlignment w:val="baseline"/>
    </w:pPr>
    <w:rPr>
      <w:rFonts w:eastAsia="黑体" w:cs="宋体"/>
      <w:b/>
      <w:bCs/>
      <w:kern w:val="0"/>
      <w:sz w:val="24"/>
      <w:szCs w:val="20"/>
    </w:rPr>
  </w:style>
  <w:style w:type="paragraph" w:customStyle="1" w:styleId="3214">
    <w:name w:val="附件24"/>
    <w:basedOn w:val="2"/>
    <w:next w:val="184"/>
    <w:qFormat/>
    <w:uiPriority w:val="0"/>
    <w:pPr>
      <w:tabs>
        <w:tab w:val="left" w:pos="1566"/>
        <w:tab w:val="left" w:pos="2040"/>
      </w:tabs>
      <w:spacing w:before="0" w:after="210" w:line="360" w:lineRule="auto"/>
      <w:ind w:left="2040" w:leftChars="800" w:hanging="360" w:hangingChars="200"/>
      <w:jc w:val="left"/>
    </w:pPr>
    <w:rPr>
      <w:rFonts w:ascii="黑体" w:hAnsi="宋体" w:eastAsia="黑体"/>
      <w:b w:val="0"/>
      <w:sz w:val="32"/>
      <w:szCs w:val="32"/>
    </w:rPr>
  </w:style>
  <w:style w:type="paragraph" w:customStyle="1" w:styleId="3215">
    <w:name w:val="Char Char Char Char1 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3216">
    <w:name w:val="正文格式＝9"/>
    <w:basedOn w:val="184"/>
    <w:next w:val="184"/>
    <w:qFormat/>
    <w:uiPriority w:val="0"/>
    <w:rPr>
      <w:rFonts w:hAnsi="宋体"/>
    </w:rPr>
  </w:style>
  <w:style w:type="paragraph" w:customStyle="1" w:styleId="3217">
    <w:name w:val="附件5"/>
    <w:basedOn w:val="2"/>
    <w:next w:val="184"/>
    <w:qFormat/>
    <w:uiPriority w:val="0"/>
    <w:pPr>
      <w:tabs>
        <w:tab w:val="left" w:pos="1566"/>
        <w:tab w:val="left" w:pos="2040"/>
      </w:tabs>
      <w:spacing w:before="0" w:after="210" w:line="360" w:lineRule="auto"/>
      <w:ind w:left="2040" w:leftChars="800" w:hanging="360" w:hangingChars="200"/>
      <w:jc w:val="left"/>
    </w:pPr>
    <w:rPr>
      <w:rFonts w:ascii="黑体" w:hAnsi="宋体" w:eastAsia="黑体"/>
      <w:sz w:val="32"/>
      <w:szCs w:val="32"/>
    </w:rPr>
  </w:style>
  <w:style w:type="paragraph" w:customStyle="1" w:styleId="3218">
    <w:name w:val="燕山正文117"/>
    <w:basedOn w:val="1"/>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3219">
    <w:name w:val="Char76"/>
    <w:basedOn w:val="1"/>
    <w:qFormat/>
    <w:uiPriority w:val="0"/>
    <w:pPr>
      <w:ind w:left="-48"/>
    </w:pPr>
  </w:style>
  <w:style w:type="paragraph" w:customStyle="1" w:styleId="3220">
    <w:name w:val="图标标题"/>
    <w:basedOn w:val="23"/>
    <w:qFormat/>
    <w:uiPriority w:val="0"/>
    <w:pPr>
      <w:pBdr>
        <w:top w:val="single" w:color="auto" w:sz="4" w:space="1"/>
      </w:pBdr>
      <w:tabs>
        <w:tab w:val="clear" w:pos="1140"/>
      </w:tabs>
      <w:adjustRightInd w:val="0"/>
      <w:spacing w:line="360" w:lineRule="auto"/>
      <w:ind w:left="0" w:firstLine="0"/>
      <w:jc w:val="center"/>
      <w:textAlignment w:val="baseline"/>
    </w:pPr>
    <w:rPr>
      <w:b/>
      <w:kern w:val="0"/>
      <w:sz w:val="24"/>
      <w:szCs w:val="20"/>
    </w:rPr>
  </w:style>
  <w:style w:type="paragraph" w:customStyle="1" w:styleId="3221">
    <w:name w:val="表题94"/>
    <w:basedOn w:val="44"/>
    <w:qFormat/>
    <w:uiPriority w:val="0"/>
    <w:pPr>
      <w:adjustRightInd w:val="0"/>
      <w:snapToGrid w:val="0"/>
      <w:spacing w:line="300" w:lineRule="auto"/>
      <w:jc w:val="center"/>
    </w:pPr>
    <w:rPr>
      <w:rFonts w:ascii="黑体" w:eastAsia="黑体" w:cs="Times New Roman"/>
      <w:sz w:val="24"/>
      <w:szCs w:val="20"/>
    </w:rPr>
  </w:style>
  <w:style w:type="paragraph" w:customStyle="1" w:styleId="3222">
    <w:name w:val="Char71"/>
    <w:basedOn w:val="1"/>
    <w:qFormat/>
    <w:uiPriority w:val="0"/>
    <w:pPr>
      <w:ind w:left="-48"/>
    </w:pPr>
  </w:style>
  <w:style w:type="paragraph" w:customStyle="1" w:styleId="3223">
    <w:name w:val="Char6 Char Char Char"/>
    <w:basedOn w:val="1"/>
    <w:qFormat/>
    <w:uiPriority w:val="0"/>
    <w:rPr>
      <w:szCs w:val="21"/>
    </w:rPr>
  </w:style>
  <w:style w:type="paragraph" w:customStyle="1" w:styleId="3224">
    <w:name w:val="表格内字体64"/>
    <w:basedOn w:val="184"/>
    <w:next w:val="184"/>
    <w:qFormat/>
    <w:uiPriority w:val="0"/>
    <w:pPr>
      <w:spacing w:line="240" w:lineRule="auto"/>
      <w:ind w:firstLine="0"/>
      <w:jc w:val="center"/>
    </w:pPr>
    <w:rPr>
      <w:rFonts w:hAnsi="宋体"/>
      <w:sz w:val="21"/>
    </w:rPr>
  </w:style>
  <w:style w:type="paragraph" w:customStyle="1" w:styleId="3225">
    <w:name w:val="样式 标题 4无效格式无效格式1河石管道4H4H41小小节河石管道41H42H411小小节1河石管道42...12"/>
    <w:basedOn w:val="5"/>
    <w:qFormat/>
    <w:uiPriority w:val="0"/>
    <w:pPr>
      <w:adjustRightInd w:val="0"/>
      <w:snapToGrid w:val="0"/>
      <w:spacing w:line="360" w:lineRule="auto"/>
      <w:ind w:left="664" w:hanging="864"/>
      <w:jc w:val="left"/>
    </w:pPr>
    <w:rPr>
      <w:rFonts w:ascii="黑体" w:eastAsia="黑体" w:cs="宋体"/>
      <w:bCs w:val="0"/>
      <w:sz w:val="24"/>
      <w:szCs w:val="20"/>
    </w:rPr>
  </w:style>
  <w:style w:type="paragraph" w:customStyle="1" w:styleId="3226">
    <w:name w:val="横线"/>
    <w:basedOn w:val="20"/>
    <w:qFormat/>
    <w:uiPriority w:val="0"/>
    <w:pPr>
      <w:tabs>
        <w:tab w:val="left" w:pos="504"/>
      </w:tabs>
      <w:adjustRightInd w:val="0"/>
      <w:snapToGrid w:val="0"/>
      <w:spacing w:line="360" w:lineRule="auto"/>
      <w:ind w:left="1276" w:hanging="709" w:firstLineChars="0"/>
      <w:jc w:val="left"/>
      <w:textAlignment w:val="baseline"/>
    </w:pPr>
    <w:rPr>
      <w:b/>
      <w:snapToGrid w:val="0"/>
      <w:kern w:val="0"/>
      <w:sz w:val="24"/>
      <w:szCs w:val="20"/>
    </w:rPr>
  </w:style>
  <w:style w:type="paragraph" w:customStyle="1" w:styleId="3227">
    <w:name w:val="Char171"/>
    <w:basedOn w:val="1"/>
    <w:qFormat/>
    <w:uiPriority w:val="0"/>
    <w:pPr>
      <w:ind w:left="-48"/>
    </w:pPr>
  </w:style>
  <w:style w:type="paragraph" w:customStyle="1" w:styleId="3228">
    <w:name w:val="Char81"/>
    <w:basedOn w:val="1"/>
    <w:qFormat/>
    <w:uiPriority w:val="0"/>
    <w:pPr>
      <w:ind w:left="-48"/>
    </w:pPr>
  </w:style>
  <w:style w:type="paragraph" w:customStyle="1" w:styleId="3229">
    <w:name w:val="Char427"/>
    <w:basedOn w:val="1"/>
    <w:qFormat/>
    <w:uiPriority w:val="0"/>
    <w:pPr>
      <w:ind w:left="-48"/>
    </w:pPr>
  </w:style>
  <w:style w:type="paragraph" w:customStyle="1" w:styleId="3230">
    <w:name w:val="Char Char2 Char Char Char Char23"/>
    <w:basedOn w:val="1"/>
    <w:qFormat/>
    <w:uiPriority w:val="0"/>
  </w:style>
  <w:style w:type="paragraph" w:customStyle="1" w:styleId="3231">
    <w:name w:val="xl243"/>
    <w:basedOn w:val="1"/>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paragraph" w:customStyle="1" w:styleId="3232">
    <w:name w:val="Char Char2 Char Char Char Char112"/>
    <w:basedOn w:val="1"/>
    <w:qFormat/>
    <w:uiPriority w:val="0"/>
  </w:style>
  <w:style w:type="paragraph" w:customStyle="1" w:styleId="3233">
    <w:name w:val="燕山正文313"/>
    <w:basedOn w:val="1"/>
    <w:qFormat/>
    <w:uiPriority w:val="0"/>
    <w:pPr>
      <w:tabs>
        <w:tab w:val="left" w:pos="4680"/>
      </w:tabs>
      <w:adjustRightInd w:val="0"/>
      <w:snapToGrid w:val="0"/>
      <w:spacing w:line="480" w:lineRule="exact"/>
    </w:pPr>
    <w:rPr>
      <w:rFonts w:ascii="宋体" w:cs="宋体"/>
      <w:sz w:val="24"/>
    </w:rPr>
  </w:style>
  <w:style w:type="paragraph" w:customStyle="1" w:styleId="3234">
    <w:name w:val="Char Char Char Char Char Char Char17"/>
    <w:basedOn w:val="1"/>
    <w:qFormat/>
    <w:uiPriority w:val="0"/>
  </w:style>
  <w:style w:type="paragraph" w:customStyle="1" w:styleId="3235">
    <w:name w:val="生物附录"/>
    <w:qFormat/>
    <w:uiPriority w:val="0"/>
    <w:pPr>
      <w:jc w:val="both"/>
    </w:pPr>
    <w:rPr>
      <w:rFonts w:ascii="Times New Roman" w:hAnsi="Times New Roman" w:eastAsia="宋体" w:cs="Times New Roman"/>
      <w:b/>
      <w:spacing w:val="20"/>
      <w:sz w:val="28"/>
      <w:lang w:val="en-US" w:eastAsia="zh-CN" w:bidi="ar-SA"/>
    </w:rPr>
  </w:style>
  <w:style w:type="paragraph" w:customStyle="1" w:styleId="3236">
    <w:name w:val="主题线"/>
    <w:basedOn w:val="1"/>
    <w:next w:val="33"/>
    <w:qFormat/>
    <w:uiPriority w:val="0"/>
    <w:pPr>
      <w:widowControl/>
      <w:overflowPunct w:val="0"/>
      <w:autoSpaceDE w:val="0"/>
      <w:autoSpaceDN w:val="0"/>
      <w:adjustRightInd w:val="0"/>
      <w:jc w:val="left"/>
      <w:textAlignment w:val="baseline"/>
    </w:pPr>
    <w:rPr>
      <w:i/>
      <w:kern w:val="0"/>
      <w:sz w:val="20"/>
      <w:szCs w:val="20"/>
      <w:u w:val="single"/>
    </w:rPr>
  </w:style>
  <w:style w:type="paragraph" w:customStyle="1" w:styleId="3237">
    <w:name w:val="燕山正文11311"/>
    <w:basedOn w:val="1"/>
    <w:qFormat/>
    <w:uiPriority w:val="0"/>
    <w:pPr>
      <w:tabs>
        <w:tab w:val="left" w:pos="4680"/>
      </w:tabs>
      <w:adjustRightInd w:val="0"/>
      <w:snapToGrid w:val="0"/>
      <w:spacing w:line="360" w:lineRule="auto"/>
      <w:ind w:firstLine="480" w:firstLineChars="200"/>
    </w:pPr>
    <w:rPr>
      <w:rFonts w:ascii="宋体" w:hAnsi="宋体" w:cs="宋体"/>
      <w:bCs/>
      <w:snapToGrid w:val="0"/>
      <w:color w:val="000000"/>
      <w:kern w:val="0"/>
      <w:sz w:val="24"/>
    </w:rPr>
  </w:style>
  <w:style w:type="paragraph" w:customStyle="1" w:styleId="3238">
    <w:name w:val="cucd-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paragraph" w:customStyle="1" w:styleId="3239">
    <w:name w:val="样式212"/>
    <w:basedOn w:val="1"/>
    <w:qFormat/>
    <w:uiPriority w:val="0"/>
    <w:pPr>
      <w:adjustRightInd w:val="0"/>
      <w:spacing w:line="360" w:lineRule="auto"/>
      <w:jc w:val="center"/>
      <w:textAlignment w:val="baseline"/>
      <w:outlineLvl w:val="0"/>
    </w:pPr>
    <w:rPr>
      <w:kern w:val="0"/>
      <w:szCs w:val="20"/>
    </w:rPr>
  </w:style>
  <w:style w:type="paragraph" w:customStyle="1" w:styleId="3240">
    <w:name w:val="标题41111"/>
    <w:basedOn w:val="1"/>
    <w:qFormat/>
    <w:uiPriority w:val="0"/>
    <w:pPr>
      <w:adjustRightInd w:val="0"/>
      <w:snapToGrid w:val="0"/>
      <w:spacing w:line="300" w:lineRule="auto"/>
      <w:jc w:val="left"/>
    </w:pPr>
    <w:rPr>
      <w:rFonts w:ascii="黑体" w:hAnsi="宋体" w:eastAsia="黑体" w:cs="宋体"/>
      <w:bCs/>
      <w:sz w:val="24"/>
      <w:szCs w:val="20"/>
    </w:rPr>
  </w:style>
  <w:style w:type="paragraph" w:customStyle="1" w:styleId="3241">
    <w:name w:val="样式 标题 2节标题 1.11.1标题2b200000000000000000000000000000000000000..."/>
    <w:basedOn w:val="3"/>
    <w:qFormat/>
    <w:uiPriority w:val="0"/>
    <w:pPr>
      <w:numPr>
        <w:ilvl w:val="0"/>
        <w:numId w:val="0"/>
      </w:numPr>
      <w:tabs>
        <w:tab w:val="left" w:pos="233"/>
        <w:tab w:val="left" w:pos="840"/>
        <w:tab w:val="clear" w:pos="0"/>
        <w:tab w:val="clear" w:pos="426"/>
      </w:tabs>
      <w:snapToGrid w:val="0"/>
      <w:spacing w:before="260" w:afterLines="30" w:line="240" w:lineRule="auto"/>
      <w:ind w:left="840" w:hanging="420"/>
      <w:jc w:val="left"/>
    </w:pPr>
    <w:rPr>
      <w:rFonts w:eastAsia="宋体" w:cs="宋体"/>
      <w:bCs/>
      <w:spacing w:val="0"/>
      <w:kern w:val="2"/>
      <w:sz w:val="28"/>
      <w:szCs w:val="20"/>
    </w:rPr>
  </w:style>
  <w:style w:type="paragraph" w:customStyle="1" w:styleId="3242">
    <w:name w:val="Char58"/>
    <w:basedOn w:val="1"/>
    <w:qFormat/>
    <w:uiPriority w:val="0"/>
    <w:pPr>
      <w:ind w:left="-48"/>
    </w:pPr>
  </w:style>
  <w:style w:type="paragraph" w:customStyle="1" w:styleId="3243">
    <w:name w:val="Char Char Char Char Char Char Char141"/>
    <w:basedOn w:val="1"/>
    <w:qFormat/>
    <w:uiPriority w:val="0"/>
  </w:style>
  <w:style w:type="paragraph" w:customStyle="1" w:styleId="3244">
    <w:name w:val="Char Char Char Char Char Char Char115"/>
    <w:basedOn w:val="1"/>
    <w:qFormat/>
    <w:uiPriority w:val="0"/>
  </w:style>
  <w:style w:type="paragraph" w:customStyle="1" w:styleId="3245">
    <w:name w:val="表内56"/>
    <w:basedOn w:val="1"/>
    <w:qFormat/>
    <w:uiPriority w:val="0"/>
    <w:pPr>
      <w:adjustRightInd w:val="0"/>
      <w:snapToGrid w:val="0"/>
      <w:spacing w:line="300" w:lineRule="auto"/>
      <w:jc w:val="left"/>
    </w:pPr>
    <w:rPr>
      <w:rFonts w:ascii="宋体"/>
      <w:sz w:val="18"/>
      <w:szCs w:val="20"/>
    </w:rPr>
  </w:style>
  <w:style w:type="paragraph" w:customStyle="1" w:styleId="3246">
    <w:name w:val="msolistparagraph"/>
    <w:basedOn w:val="1"/>
    <w:qFormat/>
    <w:uiPriority w:val="0"/>
    <w:pPr>
      <w:ind w:firstLine="420" w:firstLineChars="200"/>
    </w:pPr>
    <w:rPr>
      <w:rFonts w:ascii="Calibri" w:hAnsi="Calibri"/>
      <w:szCs w:val="20"/>
    </w:rPr>
  </w:style>
  <w:style w:type="paragraph" w:customStyle="1" w:styleId="3247">
    <w:name w:val="正文修改21"/>
    <w:basedOn w:val="1161"/>
    <w:qFormat/>
    <w:uiPriority w:val="0"/>
    <w:rPr>
      <w:rFonts w:hAnsi="宋体"/>
      <w:color w:val="000000"/>
    </w:rPr>
  </w:style>
  <w:style w:type="paragraph" w:customStyle="1" w:styleId="3248">
    <w:name w:val="表格内字体122"/>
    <w:basedOn w:val="184"/>
    <w:next w:val="184"/>
    <w:qFormat/>
    <w:uiPriority w:val="0"/>
    <w:pPr>
      <w:spacing w:line="240" w:lineRule="auto"/>
      <w:ind w:firstLine="0"/>
      <w:jc w:val="center"/>
    </w:pPr>
    <w:rPr>
      <w:rFonts w:hAnsi="宋体"/>
      <w:sz w:val="21"/>
    </w:rPr>
  </w:style>
  <w:style w:type="paragraph" w:customStyle="1" w:styleId="3249">
    <w:name w:val="表题3124"/>
    <w:basedOn w:val="34"/>
    <w:qFormat/>
    <w:uiPriority w:val="0"/>
    <w:pPr>
      <w:tabs>
        <w:tab w:val="left" w:pos="4305"/>
      </w:tabs>
      <w:adjustRightInd w:val="0"/>
      <w:snapToGrid w:val="0"/>
      <w:spacing w:after="0"/>
      <w:ind w:left="0" w:leftChars="0"/>
      <w:jc w:val="center"/>
    </w:pPr>
    <w:rPr>
      <w:rFonts w:ascii="宋体" w:hAnsi="宋体"/>
      <w:sz w:val="24"/>
      <w:szCs w:val="20"/>
    </w:rPr>
  </w:style>
  <w:style w:type="paragraph" w:customStyle="1" w:styleId="3250">
    <w:name w:val="默认段落字体 Para Char Char Char Char21"/>
    <w:basedOn w:val="1"/>
    <w:qFormat/>
    <w:uiPriority w:val="0"/>
  </w:style>
  <w:style w:type="paragraph" w:customStyle="1" w:styleId="3251">
    <w:name w:val="表内宋53"/>
    <w:basedOn w:val="2133"/>
    <w:qFormat/>
    <w:uiPriority w:val="0"/>
    <w:pPr>
      <w:widowControl/>
      <w:autoSpaceDE w:val="0"/>
      <w:autoSpaceDN w:val="0"/>
      <w:jc w:val="left"/>
      <w:textAlignment w:val="auto"/>
    </w:pPr>
    <w:rPr>
      <w:color w:val="auto"/>
      <w:w w:val="90"/>
    </w:rPr>
  </w:style>
  <w:style w:type="paragraph" w:customStyle="1" w:styleId="3252">
    <w:name w:val="xl2411"/>
    <w:basedOn w:val="1"/>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paragraph" w:customStyle="1" w:styleId="3253">
    <w:name w:val="表中文字52"/>
    <w:basedOn w:val="1"/>
    <w:qFormat/>
    <w:uiPriority w:val="0"/>
    <w:pPr>
      <w:widowControl/>
      <w:spacing w:line="240" w:lineRule="atLeast"/>
      <w:ind w:left="-24" w:leftChars="-10" w:right="-48" w:rightChars="-20"/>
      <w:jc w:val="center"/>
    </w:pPr>
    <w:rPr>
      <w:rFonts w:ascii="宋体"/>
      <w:kern w:val="0"/>
      <w:szCs w:val="21"/>
    </w:rPr>
  </w:style>
  <w:style w:type="paragraph" w:customStyle="1" w:styleId="3254">
    <w:name w:val="表内5411"/>
    <w:basedOn w:val="1"/>
    <w:qFormat/>
    <w:uiPriority w:val="0"/>
    <w:pPr>
      <w:adjustRightInd w:val="0"/>
      <w:snapToGrid w:val="0"/>
      <w:spacing w:line="300" w:lineRule="auto"/>
      <w:jc w:val="center"/>
    </w:pPr>
    <w:rPr>
      <w:rFonts w:ascii="宋体" w:hAnsi="宋体" w:cs="宋体"/>
      <w:szCs w:val="20"/>
    </w:rPr>
  </w:style>
  <w:style w:type="paragraph" w:customStyle="1" w:styleId="3255">
    <w:name w:val="正文缩11"/>
    <w:basedOn w:val="1"/>
    <w:qFormat/>
    <w:uiPriority w:val="0"/>
    <w:pPr>
      <w:adjustRightInd w:val="0"/>
      <w:snapToGrid w:val="0"/>
      <w:spacing w:line="480" w:lineRule="atLeast"/>
      <w:ind w:firstLine="567"/>
      <w:textAlignment w:val="baseline"/>
    </w:pPr>
    <w:rPr>
      <w:rFonts w:ascii="宋体"/>
      <w:color w:val="000080"/>
      <w:spacing w:val="6"/>
      <w:kern w:val="0"/>
      <w:sz w:val="28"/>
      <w:szCs w:val="20"/>
    </w:rPr>
  </w:style>
  <w:style w:type="paragraph" w:customStyle="1" w:styleId="3256">
    <w:name w:val="A正文12"/>
    <w:basedOn w:val="1"/>
    <w:qFormat/>
    <w:uiPriority w:val="0"/>
    <w:pPr>
      <w:widowControl/>
      <w:overflowPunct w:val="0"/>
      <w:autoSpaceDE w:val="0"/>
      <w:autoSpaceDN w:val="0"/>
      <w:adjustRightInd w:val="0"/>
      <w:spacing w:line="360" w:lineRule="auto"/>
      <w:ind w:firstLine="200" w:firstLineChars="200"/>
      <w:jc w:val="left"/>
      <w:textAlignment w:val="baseline"/>
    </w:pPr>
    <w:rPr>
      <w:rFonts w:eastAsia="仿宋_GB2312"/>
      <w:kern w:val="0"/>
      <w:sz w:val="24"/>
    </w:rPr>
  </w:style>
  <w:style w:type="paragraph" w:customStyle="1" w:styleId="3257">
    <w:name w:val="样式 标题 2 + 段前: 0.5 行"/>
    <w:basedOn w:val="3"/>
    <w:qFormat/>
    <w:uiPriority w:val="0"/>
    <w:pPr>
      <w:keepNext w:val="0"/>
      <w:keepLines w:val="0"/>
      <w:numPr>
        <w:ilvl w:val="0"/>
        <w:numId w:val="0"/>
      </w:numPr>
      <w:tabs>
        <w:tab w:val="left" w:pos="233"/>
        <w:tab w:val="left" w:pos="540"/>
        <w:tab w:val="clear" w:pos="0"/>
        <w:tab w:val="clear" w:pos="426"/>
      </w:tabs>
      <w:snapToGrid w:val="0"/>
      <w:spacing w:before="260" w:after="260"/>
      <w:ind w:left="540" w:hanging="540"/>
    </w:pPr>
    <w:rPr>
      <w:rFonts w:eastAsia="宋体" w:cs="宋体"/>
      <w:b w:val="0"/>
      <w:spacing w:val="0"/>
      <w:kern w:val="2"/>
      <w:sz w:val="24"/>
    </w:rPr>
  </w:style>
  <w:style w:type="paragraph" w:customStyle="1" w:styleId="3258">
    <w:name w:val="样式 样式 样式 样式 标题 4 + 段前: 0.5 行 段后: 0.5 行 + 段前: 0.5 行 段后: 0.5 行6 + ..."/>
    <w:basedOn w:val="3259"/>
    <w:qFormat/>
    <w:uiPriority w:val="0"/>
  </w:style>
  <w:style w:type="paragraph" w:customStyle="1" w:styleId="3259">
    <w:name w:val="样式 样式 样式 标题 4 + 段前: 0.5 行 段后: 0.5 行 + 段前: 0.5 行 段后: 0.5 行6 + 段前:..."/>
    <w:basedOn w:val="3260"/>
    <w:qFormat/>
    <w:uiPriority w:val="0"/>
  </w:style>
  <w:style w:type="paragraph" w:customStyle="1" w:styleId="3260">
    <w:name w:val="样式 样式 标题 4 + 段前: 0.5 行 段后: 0.5 行 + 段前: 0.5 行 段后: 0.5 行6"/>
    <w:basedOn w:val="2108"/>
    <w:qFormat/>
    <w:uiPriority w:val="0"/>
  </w:style>
  <w:style w:type="paragraph" w:customStyle="1" w:styleId="3261">
    <w:name w:val="Char Char Char Char Char Char Char225"/>
    <w:basedOn w:val="1"/>
    <w:qFormat/>
    <w:uiPriority w:val="0"/>
  </w:style>
  <w:style w:type="paragraph" w:customStyle="1" w:styleId="3262">
    <w:name w:val="Body Single"/>
    <w:qFormat/>
    <w:uiPriority w:val="0"/>
    <w:pPr>
      <w:widowControl w:val="0"/>
      <w:autoSpaceDE w:val="0"/>
      <w:autoSpaceDN w:val="0"/>
      <w:adjustRightInd w:val="0"/>
      <w:textAlignment w:val="baseline"/>
    </w:pPr>
    <w:rPr>
      <w:rFonts w:ascii="宋体" w:hAnsi="Times New Roman" w:eastAsia="宋体" w:cs="Times New Roman"/>
      <w:color w:val="000000"/>
      <w:sz w:val="24"/>
      <w:lang w:val="en-US" w:eastAsia="zh-CN" w:bidi="ar-SA"/>
    </w:rPr>
  </w:style>
  <w:style w:type="paragraph" w:customStyle="1" w:styleId="3263">
    <w:name w:val="Char Char Char Char Char Char Char Char Char1"/>
    <w:basedOn w:val="1"/>
    <w:qFormat/>
    <w:uiPriority w:val="0"/>
    <w:rPr>
      <w:szCs w:val="21"/>
    </w:rPr>
  </w:style>
  <w:style w:type="paragraph" w:customStyle="1" w:styleId="3264">
    <w:name w:val="正文+首行缩进"/>
    <w:basedOn w:val="1"/>
    <w:qFormat/>
    <w:uiPriority w:val="0"/>
    <w:pPr>
      <w:overflowPunct w:val="0"/>
      <w:topLinePunct/>
      <w:adjustRightInd w:val="0"/>
      <w:spacing w:line="460" w:lineRule="atLeast"/>
      <w:ind w:firstLine="200" w:firstLineChars="200"/>
      <w:jc w:val="left"/>
      <w:textAlignment w:val="baseline"/>
    </w:pPr>
    <w:rPr>
      <w:kern w:val="0"/>
      <w:sz w:val="28"/>
      <w:szCs w:val="20"/>
    </w:rPr>
  </w:style>
  <w:style w:type="paragraph" w:customStyle="1" w:styleId="3265">
    <w:name w:val="正文格式＝11"/>
    <w:basedOn w:val="184"/>
    <w:next w:val="184"/>
    <w:qFormat/>
    <w:uiPriority w:val="0"/>
    <w:rPr>
      <w:rFonts w:hAnsi="宋体"/>
    </w:rPr>
  </w:style>
  <w:style w:type="paragraph" w:customStyle="1" w:styleId="3266">
    <w:name w:val="Char Char Char Char1 Char Char Char26"/>
    <w:basedOn w:val="1"/>
    <w:qFormat/>
    <w:uiPriority w:val="0"/>
    <w:pPr>
      <w:widowControl/>
      <w:spacing w:after="160" w:line="240" w:lineRule="exact"/>
      <w:jc w:val="left"/>
    </w:pPr>
    <w:rPr>
      <w:rFonts w:ascii="Verdana" w:hAnsi="Verdana"/>
      <w:kern w:val="0"/>
      <w:sz w:val="20"/>
      <w:szCs w:val="20"/>
      <w:lang w:eastAsia="en-US"/>
    </w:rPr>
  </w:style>
  <w:style w:type="paragraph" w:customStyle="1" w:styleId="3267">
    <w:name w:val="Char Char Char Char Char Char Char5"/>
    <w:basedOn w:val="1"/>
    <w:qFormat/>
    <w:uiPriority w:val="0"/>
  </w:style>
  <w:style w:type="paragraph" w:customStyle="1" w:styleId="3268">
    <w:name w:val="附件112"/>
    <w:basedOn w:val="2"/>
    <w:next w:val="184"/>
    <w:qFormat/>
    <w:uiPriority w:val="0"/>
    <w:pPr>
      <w:tabs>
        <w:tab w:val="left" w:pos="1566"/>
        <w:tab w:val="left" w:pos="2040"/>
      </w:tabs>
      <w:spacing w:before="0" w:after="210" w:line="360" w:lineRule="auto"/>
      <w:ind w:left="2040" w:leftChars="800" w:hanging="360" w:hangingChars="200"/>
      <w:jc w:val="left"/>
    </w:pPr>
    <w:rPr>
      <w:rFonts w:ascii="黑体" w:hAnsi="宋体" w:eastAsia="黑体"/>
      <w:b w:val="0"/>
      <w:sz w:val="32"/>
      <w:szCs w:val="32"/>
    </w:rPr>
  </w:style>
  <w:style w:type="paragraph" w:customStyle="1" w:styleId="3269">
    <w:name w:val="样式 标题 1 + 宋体 小三 段前: 2.5 磅 段后: 0 磅 行距: 固定值 26 磅"/>
    <w:basedOn w:val="2"/>
    <w:qFormat/>
    <w:uiPriority w:val="0"/>
    <w:pPr>
      <w:tabs>
        <w:tab w:val="left" w:pos="2040"/>
      </w:tabs>
      <w:spacing w:before="120" w:after="120" w:line="520" w:lineRule="exact"/>
      <w:ind w:left="2040" w:leftChars="800" w:hanging="360" w:hangingChars="200"/>
    </w:pPr>
    <w:rPr>
      <w:rFonts w:ascii="宋体" w:hAnsi="宋体" w:cs="宋体"/>
      <w:spacing w:val="40"/>
      <w:sz w:val="30"/>
      <w:szCs w:val="28"/>
    </w:rPr>
  </w:style>
  <w:style w:type="paragraph" w:customStyle="1" w:styleId="3270">
    <w:name w:val="Char415"/>
    <w:basedOn w:val="1"/>
    <w:qFormat/>
    <w:uiPriority w:val="0"/>
    <w:pPr>
      <w:ind w:left="-48"/>
    </w:pPr>
  </w:style>
  <w:style w:type="paragraph" w:customStyle="1" w:styleId="3271">
    <w:name w:val="样式 样式 样式 样式 样式 标题 4 + 段前: 0.5 行 段后: 0.5 行 + 段前: 0.5 行 段后: 0.5 行5..."/>
    <w:basedOn w:val="2679"/>
    <w:qFormat/>
    <w:uiPriority w:val="0"/>
    <w:pPr>
      <w:adjustRightInd/>
    </w:pPr>
  </w:style>
  <w:style w:type="paragraph" w:customStyle="1" w:styleId="3272">
    <w:name w:val="表中文字15"/>
    <w:basedOn w:val="1"/>
    <w:qFormat/>
    <w:uiPriority w:val="0"/>
    <w:pPr>
      <w:widowControl/>
      <w:spacing w:line="240" w:lineRule="atLeast"/>
      <w:ind w:left="-24" w:leftChars="-10" w:right="-48" w:rightChars="-20"/>
      <w:jc w:val="center"/>
    </w:pPr>
    <w:rPr>
      <w:rFonts w:ascii="宋体"/>
      <w:kern w:val="0"/>
      <w:szCs w:val="21"/>
    </w:rPr>
  </w:style>
  <w:style w:type="paragraph" w:customStyle="1" w:styleId="3273">
    <w:name w:val="样式 标题 3 + 段前: 0.25 行 段后: 0.25 行2"/>
    <w:basedOn w:val="4"/>
    <w:qFormat/>
    <w:uiPriority w:val="0"/>
    <w:pPr>
      <w:keepNext w:val="0"/>
      <w:suppressLineNumbers/>
      <w:tabs>
        <w:tab w:val="left" w:pos="233"/>
        <w:tab w:val="left" w:pos="720"/>
        <w:tab w:val="left" w:pos="1134"/>
      </w:tabs>
      <w:suppressAutoHyphens/>
      <w:topLinePunct/>
      <w:adjustRightInd w:val="0"/>
      <w:snapToGrid w:val="0"/>
      <w:spacing w:beforeLines="25" w:afterLines="25" w:line="500" w:lineRule="exact"/>
      <w:ind w:left="1418" w:hanging="720"/>
      <w:jc w:val="left"/>
      <w:textAlignment w:val="baseline"/>
    </w:pPr>
    <w:rPr>
      <w:rFonts w:ascii="宋体"/>
      <w:b w:val="0"/>
      <w:kern w:val="0"/>
      <w:sz w:val="28"/>
      <w:szCs w:val="20"/>
    </w:rPr>
  </w:style>
  <w:style w:type="paragraph" w:customStyle="1" w:styleId="3274">
    <w:name w:val="样式 标题 2 + (西文) Times New Roman (中文) 宋体 加粗 段后: 2 磅 行距: 单倍行距"/>
    <w:basedOn w:val="3"/>
    <w:qFormat/>
    <w:uiPriority w:val="0"/>
    <w:pPr>
      <w:keepNext w:val="0"/>
      <w:keepLines w:val="0"/>
      <w:numPr>
        <w:ilvl w:val="0"/>
        <w:numId w:val="0"/>
      </w:numPr>
      <w:tabs>
        <w:tab w:val="left" w:pos="233"/>
        <w:tab w:val="left" w:pos="840"/>
        <w:tab w:val="clear" w:pos="0"/>
        <w:tab w:val="clear" w:pos="426"/>
      </w:tabs>
      <w:spacing w:before="260" w:after="260" w:line="240" w:lineRule="auto"/>
      <w:ind w:left="840" w:hanging="420"/>
    </w:pPr>
    <w:rPr>
      <w:rFonts w:eastAsia="宋体" w:cs="宋体"/>
      <w:bCs/>
      <w:spacing w:val="0"/>
      <w:kern w:val="2"/>
      <w:sz w:val="28"/>
      <w:szCs w:val="20"/>
    </w:rPr>
  </w:style>
  <w:style w:type="paragraph" w:customStyle="1" w:styleId="3275">
    <w:name w:val="样式 标题 3 + 左侧:  0 厘米 首行缩进:  0 厘米"/>
    <w:basedOn w:val="4"/>
    <w:qFormat/>
    <w:uiPriority w:val="0"/>
    <w:pPr>
      <w:tabs>
        <w:tab w:val="left" w:pos="233"/>
        <w:tab w:val="left" w:pos="709"/>
        <w:tab w:val="left" w:pos="993"/>
      </w:tabs>
      <w:adjustRightInd w:val="0"/>
      <w:spacing w:before="0" w:after="0" w:line="500" w:lineRule="exact"/>
      <w:ind w:left="709" w:hanging="709"/>
      <w:textAlignment w:val="baseline"/>
    </w:pPr>
    <w:rPr>
      <w:rFonts w:cs="宋体"/>
      <w:kern w:val="32"/>
      <w:sz w:val="28"/>
      <w:szCs w:val="28"/>
    </w:rPr>
  </w:style>
  <w:style w:type="paragraph" w:customStyle="1" w:styleId="3276">
    <w:name w:val="图表名称4"/>
    <w:basedOn w:val="85"/>
    <w:qFormat/>
    <w:uiPriority w:val="0"/>
    <w:pPr>
      <w:widowControl/>
      <w:adjustRightInd w:val="0"/>
      <w:snapToGrid w:val="0"/>
      <w:spacing w:after="0" w:line="480" w:lineRule="exact"/>
      <w:ind w:firstLine="0" w:firstLineChars="0"/>
      <w:jc w:val="center"/>
    </w:pPr>
    <w:rPr>
      <w:rFonts w:ascii="宋体" w:hAnsi="宋体" w:eastAsia="宋体"/>
      <w:bCs/>
      <w:sz w:val="24"/>
    </w:rPr>
  </w:style>
  <w:style w:type="paragraph" w:customStyle="1" w:styleId="3277">
    <w:name w:val="Char Char Char Char1 Char Char Char110"/>
    <w:basedOn w:val="1"/>
    <w:qFormat/>
    <w:uiPriority w:val="0"/>
    <w:pPr>
      <w:widowControl/>
      <w:spacing w:after="160" w:line="240" w:lineRule="exact"/>
      <w:jc w:val="left"/>
    </w:pPr>
    <w:rPr>
      <w:rFonts w:ascii="Verdana" w:hAnsi="Verdana"/>
      <w:kern w:val="0"/>
      <w:sz w:val="20"/>
      <w:szCs w:val="20"/>
      <w:lang w:eastAsia="en-US"/>
    </w:rPr>
  </w:style>
  <w:style w:type="paragraph" w:customStyle="1" w:styleId="3278">
    <w:name w:val="Char1 Char Char Char Char Char Char Char Char"/>
    <w:basedOn w:val="1"/>
    <w:qFormat/>
    <w:uiPriority w:val="0"/>
    <w:rPr>
      <w:sz w:val="24"/>
    </w:rPr>
  </w:style>
  <w:style w:type="paragraph" w:customStyle="1" w:styleId="3279">
    <w:name w:val="樣式6"/>
    <w:basedOn w:val="1"/>
    <w:qFormat/>
    <w:uiPriority w:val="0"/>
    <w:pPr>
      <w:adjustRightInd w:val="0"/>
      <w:spacing w:line="0" w:lineRule="atLeast"/>
      <w:ind w:left="57"/>
      <w:jc w:val="left"/>
      <w:textAlignment w:val="baseline"/>
    </w:pPr>
    <w:rPr>
      <w:rFonts w:ascii="Arial" w:hAnsi="Arial" w:eastAsia="MingLiU"/>
      <w:b/>
      <w:kern w:val="0"/>
      <w:sz w:val="24"/>
      <w:szCs w:val="20"/>
      <w:lang w:eastAsia="zh-TW"/>
    </w:rPr>
  </w:style>
  <w:style w:type="paragraph" w:customStyle="1" w:styleId="3280">
    <w:name w:val="样式 表内小5 + 黑体 加粗 倾斜 下划线11"/>
    <w:basedOn w:val="1"/>
    <w:qFormat/>
    <w:uiPriority w:val="0"/>
    <w:pPr>
      <w:adjustRightInd w:val="0"/>
      <w:snapToGrid w:val="0"/>
      <w:spacing w:line="300" w:lineRule="auto"/>
      <w:jc w:val="left"/>
    </w:pPr>
    <w:rPr>
      <w:rFonts w:ascii="黑体" w:hAnsi="黑体" w:eastAsia="黑体"/>
      <w:b/>
      <w:bCs/>
      <w:i/>
      <w:iCs/>
      <w:sz w:val="18"/>
      <w:u w:val="single"/>
    </w:rPr>
  </w:style>
  <w:style w:type="paragraph" w:customStyle="1" w:styleId="3281">
    <w:name w:val="Char Char Char Char Char Char Char2111"/>
    <w:basedOn w:val="1"/>
    <w:qFormat/>
    <w:uiPriority w:val="0"/>
  </w:style>
  <w:style w:type="paragraph" w:customStyle="1" w:styleId="3282">
    <w:name w:val="图题214"/>
    <w:basedOn w:val="184"/>
    <w:next w:val="184"/>
    <w:qFormat/>
    <w:uiPriority w:val="0"/>
    <w:pPr>
      <w:ind w:firstLine="0"/>
      <w:jc w:val="center"/>
    </w:pPr>
    <w:rPr>
      <w:rFonts w:ascii="黑体" w:hAnsi="宋体" w:eastAsia="黑体"/>
      <w:b/>
      <w:bCs/>
    </w:rPr>
  </w:style>
  <w:style w:type="paragraph" w:customStyle="1" w:styleId="3283">
    <w:name w:val="样式 标题 4无效格式无效格式1河石管道4H4H41小小节河石管道41H42H411小小节1河石管道42...21"/>
    <w:basedOn w:val="5"/>
    <w:qFormat/>
    <w:uiPriority w:val="0"/>
    <w:pPr>
      <w:adjustRightInd w:val="0"/>
      <w:snapToGrid w:val="0"/>
      <w:spacing w:line="360" w:lineRule="auto"/>
      <w:ind w:left="664" w:hanging="864"/>
    </w:pPr>
    <w:rPr>
      <w:rFonts w:ascii="黑体" w:eastAsia="黑体"/>
      <w:bCs w:val="0"/>
      <w:sz w:val="24"/>
      <w:szCs w:val="24"/>
    </w:rPr>
  </w:style>
  <w:style w:type="paragraph" w:customStyle="1" w:styleId="3284">
    <w:name w:val="默认段落字体 Para Char Char Char Char Char12"/>
    <w:basedOn w:val="1"/>
    <w:qFormat/>
    <w:uiPriority w:val="0"/>
  </w:style>
  <w:style w:type="paragraph" w:customStyle="1" w:styleId="3285">
    <w:name w:val="图题83"/>
    <w:basedOn w:val="184"/>
    <w:next w:val="184"/>
    <w:qFormat/>
    <w:uiPriority w:val="0"/>
    <w:pPr>
      <w:ind w:firstLine="0"/>
      <w:jc w:val="center"/>
    </w:pPr>
    <w:rPr>
      <w:rFonts w:ascii="黑体" w:hAnsi="宋体" w:eastAsia="黑体"/>
      <w:b/>
      <w:bCs/>
    </w:rPr>
  </w:style>
  <w:style w:type="paragraph" w:customStyle="1" w:styleId="3286">
    <w:name w:val="样式 标题 4无效格式无效格式1河石管道4H4H41小小节河石管道41H42H411小小节1河石管道42...14"/>
    <w:basedOn w:val="5"/>
    <w:qFormat/>
    <w:uiPriority w:val="0"/>
    <w:pPr>
      <w:adjustRightInd w:val="0"/>
      <w:snapToGrid w:val="0"/>
      <w:spacing w:line="360" w:lineRule="auto"/>
      <w:ind w:left="664" w:hanging="864"/>
      <w:jc w:val="left"/>
    </w:pPr>
    <w:rPr>
      <w:rFonts w:ascii="黑体" w:eastAsia="黑体" w:cs="宋体"/>
      <w:bCs w:val="0"/>
      <w:sz w:val="24"/>
      <w:szCs w:val="20"/>
    </w:rPr>
  </w:style>
  <w:style w:type="paragraph" w:customStyle="1" w:styleId="3287">
    <w:name w:val="表格内字体63"/>
    <w:basedOn w:val="184"/>
    <w:next w:val="184"/>
    <w:qFormat/>
    <w:uiPriority w:val="0"/>
    <w:pPr>
      <w:spacing w:line="240" w:lineRule="auto"/>
      <w:ind w:firstLine="0"/>
      <w:jc w:val="center"/>
    </w:pPr>
    <w:rPr>
      <w:rFonts w:hAnsi="宋体"/>
      <w:sz w:val="21"/>
    </w:rPr>
  </w:style>
  <w:style w:type="paragraph" w:customStyle="1" w:styleId="3288">
    <w:name w:val="表内5中43"/>
    <w:basedOn w:val="1"/>
    <w:qFormat/>
    <w:uiPriority w:val="0"/>
    <w:pPr>
      <w:adjustRightInd w:val="0"/>
      <w:snapToGrid w:val="0"/>
      <w:jc w:val="center"/>
    </w:pPr>
    <w:rPr>
      <w:rFonts w:ascii="宋体"/>
      <w:bCs/>
      <w:szCs w:val="20"/>
    </w:rPr>
  </w:style>
  <w:style w:type="paragraph" w:customStyle="1" w:styleId="3289">
    <w:name w:val="表题113"/>
    <w:basedOn w:val="21"/>
    <w:qFormat/>
    <w:uiPriority w:val="0"/>
    <w:pPr>
      <w:tabs>
        <w:tab w:val="clear" w:pos="7380"/>
      </w:tabs>
      <w:overflowPunct/>
      <w:spacing w:before="0" w:afterLines="0" w:line="360" w:lineRule="auto"/>
      <w:jc w:val="center"/>
    </w:pPr>
    <w:rPr>
      <w:rFonts w:ascii="黑体"/>
      <w:sz w:val="24"/>
      <w:szCs w:val="24"/>
    </w:rPr>
  </w:style>
  <w:style w:type="paragraph" w:customStyle="1" w:styleId="3290">
    <w:name w:val="xl634"/>
    <w:basedOn w:val="1"/>
    <w:qFormat/>
    <w:uiPriority w:val="0"/>
    <w:pPr>
      <w:widowControl/>
      <w:spacing w:before="100" w:beforeAutospacing="1" w:after="100" w:afterAutospacing="1"/>
      <w:jc w:val="center"/>
      <w:textAlignment w:val="center"/>
    </w:pPr>
    <w:rPr>
      <w:rFonts w:hint="eastAsia" w:ascii="黑体" w:hAnsi="宋体" w:eastAsia="黑体"/>
      <w:kern w:val="0"/>
      <w:sz w:val="24"/>
    </w:rPr>
  </w:style>
  <w:style w:type="paragraph" w:customStyle="1" w:styleId="3291">
    <w:name w:val="表内宋51111"/>
    <w:basedOn w:val="80"/>
    <w:qFormat/>
    <w:uiPriority w:val="0"/>
    <w:pPr>
      <w:widowControl/>
      <w:adjustRightInd w:val="0"/>
      <w:snapToGrid w:val="0"/>
    </w:pPr>
    <w:rPr>
      <w:rFonts w:ascii="宋体" w:hAnsi="宋体" w:cs="宋体"/>
      <w:color w:val="000000"/>
      <w:sz w:val="21"/>
    </w:rPr>
  </w:style>
  <w:style w:type="paragraph" w:customStyle="1" w:styleId="3292">
    <w:name w:val="內文縮排 2"/>
    <w:basedOn w:val="20"/>
    <w:qFormat/>
    <w:uiPriority w:val="0"/>
    <w:pPr>
      <w:spacing w:before="120" w:line="300" w:lineRule="auto"/>
      <w:ind w:left="794" w:firstLine="0" w:firstLineChars="0"/>
    </w:pPr>
    <w:rPr>
      <w:rFonts w:ascii="Arial" w:hAnsi="Arial"/>
      <w:bCs/>
      <w:spacing w:val="20"/>
      <w:sz w:val="24"/>
      <w:szCs w:val="20"/>
      <w:lang w:eastAsia="zh-TW"/>
    </w:rPr>
  </w:style>
  <w:style w:type="paragraph" w:customStyle="1" w:styleId="3293">
    <w:name w:val="表体宋旭峰"/>
    <w:basedOn w:val="1"/>
    <w:qFormat/>
    <w:uiPriority w:val="0"/>
    <w:pPr>
      <w:overflowPunct w:val="0"/>
      <w:spacing w:line="320" w:lineRule="exact"/>
      <w:jc w:val="center"/>
      <w:textAlignment w:val="baseline"/>
    </w:pPr>
    <w:rPr>
      <w:rFonts w:ascii="楷体_GB2312" w:eastAsia="楷体_GB2312" w:cs="Courier New"/>
      <w:snapToGrid w:val="0"/>
      <w:spacing w:val="-20"/>
      <w:kern w:val="0"/>
      <w:szCs w:val="21"/>
    </w:rPr>
  </w:style>
  <w:style w:type="paragraph" w:customStyle="1" w:styleId="3294">
    <w:name w:val="表文字5312"/>
    <w:basedOn w:val="1"/>
    <w:qFormat/>
    <w:uiPriority w:val="0"/>
    <w:pPr>
      <w:adjustRightInd w:val="0"/>
      <w:jc w:val="left"/>
      <w:textAlignment w:val="baseline"/>
    </w:pPr>
    <w:rPr>
      <w:rFonts w:ascii="宋体"/>
      <w:kern w:val="0"/>
      <w:szCs w:val="20"/>
    </w:rPr>
  </w:style>
  <w:style w:type="paragraph" w:customStyle="1" w:styleId="3295">
    <w:name w:val="表内文字小31311"/>
    <w:basedOn w:val="1"/>
    <w:qFormat/>
    <w:uiPriority w:val="0"/>
    <w:pPr>
      <w:adjustRightInd w:val="0"/>
      <w:snapToGrid w:val="0"/>
      <w:jc w:val="center"/>
    </w:pPr>
    <w:rPr>
      <w:rFonts w:ascii="宋体" w:hAnsi="Times" w:cs="宋体"/>
      <w:bCs/>
      <w:color w:val="003366"/>
      <w:szCs w:val="20"/>
    </w:rPr>
  </w:style>
  <w:style w:type="paragraph" w:customStyle="1" w:styleId="3296">
    <w:name w:val="表内5中"/>
    <w:basedOn w:val="44"/>
    <w:qFormat/>
    <w:uiPriority w:val="0"/>
    <w:pPr>
      <w:adjustRightInd w:val="0"/>
      <w:snapToGrid w:val="0"/>
      <w:jc w:val="center"/>
    </w:pPr>
    <w:rPr>
      <w:rFonts w:ascii="Times New Roman" w:hAnsi="Times New Roman" w:cs="Times New Roman"/>
      <w:szCs w:val="20"/>
    </w:rPr>
  </w:style>
  <w:style w:type="paragraph" w:customStyle="1" w:styleId="3297">
    <w:name w:val="表题131"/>
    <w:basedOn w:val="21"/>
    <w:qFormat/>
    <w:uiPriority w:val="0"/>
    <w:pPr>
      <w:tabs>
        <w:tab w:val="clear" w:pos="7380"/>
      </w:tabs>
      <w:overflowPunct/>
      <w:spacing w:before="0" w:afterLines="0" w:line="360" w:lineRule="auto"/>
      <w:jc w:val="center"/>
    </w:pPr>
    <w:rPr>
      <w:rFonts w:ascii="黑体"/>
      <w:b/>
      <w:sz w:val="24"/>
      <w:szCs w:val="24"/>
    </w:rPr>
  </w:style>
  <w:style w:type="paragraph" w:customStyle="1" w:styleId="3298">
    <w:name w:val="样式 正文缩进 + 宋体 黑色 首行缩进:  2 字符12"/>
    <w:basedOn w:val="20"/>
    <w:qFormat/>
    <w:uiPriority w:val="0"/>
    <w:pPr>
      <w:spacing w:line="360" w:lineRule="auto"/>
      <w:ind w:firstLine="480"/>
      <w:jc w:val="left"/>
    </w:pPr>
    <w:rPr>
      <w:rFonts w:ascii="宋体" w:hAnsi="宋体" w:cs="宋体"/>
      <w:color w:val="FF00FF"/>
      <w:sz w:val="24"/>
      <w:szCs w:val="20"/>
    </w:rPr>
  </w:style>
  <w:style w:type="paragraph" w:customStyle="1" w:styleId="3299">
    <w:name w:val="內(1)"/>
    <w:basedOn w:val="1"/>
    <w:qFormat/>
    <w:uiPriority w:val="0"/>
    <w:pPr>
      <w:snapToGrid w:val="0"/>
      <w:spacing w:line="420" w:lineRule="atLeast"/>
      <w:ind w:left="1531" w:firstLine="520" w:firstLineChars="200"/>
    </w:pPr>
    <w:rPr>
      <w:rFonts w:eastAsia="DFKai-SB"/>
      <w:sz w:val="26"/>
      <w:szCs w:val="20"/>
      <w:lang w:eastAsia="zh-TW"/>
    </w:rPr>
  </w:style>
  <w:style w:type="paragraph" w:customStyle="1" w:styleId="3300">
    <w:name w:val="正文格式44"/>
    <w:basedOn w:val="1"/>
    <w:qFormat/>
    <w:uiPriority w:val="0"/>
    <w:pPr>
      <w:spacing w:line="360" w:lineRule="auto"/>
      <w:ind w:firstLine="482"/>
    </w:pPr>
    <w:rPr>
      <w:rFonts w:ascii="宋体" w:hAnsi="宋体"/>
      <w:sz w:val="24"/>
    </w:rPr>
  </w:style>
  <w:style w:type="paragraph" w:customStyle="1" w:styleId="3301">
    <w:name w:val="正文编号1"/>
    <w:basedOn w:val="1"/>
    <w:qFormat/>
    <w:uiPriority w:val="0"/>
    <w:pPr>
      <w:spacing w:line="360" w:lineRule="auto"/>
      <w:ind w:firstLine="567"/>
    </w:pPr>
    <w:rPr>
      <w:rFonts w:ascii="Arial" w:hAnsi="Arial" w:eastAsia="仿宋_GB2312"/>
      <w:sz w:val="28"/>
      <w:szCs w:val="28"/>
    </w:rPr>
  </w:style>
  <w:style w:type="paragraph" w:customStyle="1" w:styleId="3302">
    <w:name w:val="正文格式4"/>
    <w:basedOn w:val="1"/>
    <w:qFormat/>
    <w:uiPriority w:val="0"/>
    <w:pPr>
      <w:spacing w:line="360" w:lineRule="auto"/>
      <w:ind w:firstLine="482"/>
    </w:pPr>
    <w:rPr>
      <w:rFonts w:ascii="宋体" w:hAnsi="宋体"/>
      <w:sz w:val="24"/>
    </w:rPr>
  </w:style>
  <w:style w:type="paragraph" w:customStyle="1" w:styleId="3303">
    <w:name w:val="样式 首行缩进:  1.71 字符"/>
    <w:basedOn w:val="1"/>
    <w:qFormat/>
    <w:uiPriority w:val="0"/>
    <w:pPr>
      <w:spacing w:line="360" w:lineRule="auto"/>
      <w:jc w:val="center"/>
    </w:pPr>
    <w:rPr>
      <w:rFonts w:ascii="宋体" w:hAnsi="宋体"/>
      <w:color w:val="000000"/>
      <w:kern w:val="0"/>
      <w:szCs w:val="21"/>
    </w:rPr>
  </w:style>
  <w:style w:type="paragraph" w:customStyle="1" w:styleId="3304">
    <w:name w:val="表内文字小221"/>
    <w:basedOn w:val="1"/>
    <w:qFormat/>
    <w:uiPriority w:val="0"/>
    <w:pPr>
      <w:adjustRightInd w:val="0"/>
      <w:snapToGrid w:val="0"/>
      <w:jc w:val="center"/>
    </w:pPr>
    <w:rPr>
      <w:rFonts w:ascii="宋体" w:hAnsi="Times"/>
      <w:bCs/>
      <w:color w:val="000000"/>
      <w:szCs w:val="20"/>
    </w:rPr>
  </w:style>
  <w:style w:type="paragraph" w:customStyle="1" w:styleId="3305">
    <w:name w:val="正文格式13"/>
    <w:basedOn w:val="1"/>
    <w:qFormat/>
    <w:uiPriority w:val="0"/>
    <w:pPr>
      <w:spacing w:line="360" w:lineRule="auto"/>
      <w:ind w:firstLine="482"/>
    </w:pPr>
    <w:rPr>
      <w:rFonts w:ascii="宋体" w:hAnsi="宋体"/>
      <w:sz w:val="24"/>
    </w:rPr>
  </w:style>
  <w:style w:type="paragraph" w:customStyle="1" w:styleId="3306">
    <w:name w:val="正文223"/>
    <w:qFormat/>
    <w:uiPriority w:val="0"/>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3307">
    <w:name w:val="表题1123"/>
    <w:basedOn w:val="21"/>
    <w:qFormat/>
    <w:uiPriority w:val="0"/>
    <w:pPr>
      <w:tabs>
        <w:tab w:val="clear" w:pos="7380"/>
      </w:tabs>
      <w:overflowPunct/>
      <w:spacing w:before="0" w:afterLines="0" w:line="360" w:lineRule="auto"/>
      <w:jc w:val="center"/>
    </w:pPr>
    <w:rPr>
      <w:rFonts w:ascii="黑体"/>
      <w:sz w:val="24"/>
      <w:szCs w:val="24"/>
    </w:rPr>
  </w:style>
  <w:style w:type="paragraph" w:customStyle="1" w:styleId="3308">
    <w:name w:val="Char Char Char1 Char Char Char1 Char Char Char Char Char Char Char Char Char Char Char Char Char Char Char"/>
    <w:basedOn w:val="1"/>
    <w:qFormat/>
    <w:uiPriority w:val="0"/>
    <w:pPr>
      <w:spacing w:line="240" w:lineRule="exact"/>
      <w:ind w:firstLine="200" w:firstLineChars="200"/>
    </w:pPr>
    <w:rPr>
      <w:sz w:val="28"/>
      <w:szCs w:val="28"/>
    </w:rPr>
  </w:style>
  <w:style w:type="paragraph" w:customStyle="1" w:styleId="3309">
    <w:name w:val="(一)內文"/>
    <w:basedOn w:val="1"/>
    <w:qFormat/>
    <w:uiPriority w:val="0"/>
    <w:pPr>
      <w:snapToGrid w:val="0"/>
      <w:spacing w:line="480" w:lineRule="atLeast"/>
      <w:ind w:left="1202" w:firstLine="601"/>
    </w:pPr>
    <w:rPr>
      <w:rFonts w:eastAsia="DFKai-SB"/>
      <w:sz w:val="28"/>
      <w:szCs w:val="20"/>
      <w:lang w:eastAsia="zh-TW"/>
    </w:rPr>
  </w:style>
  <w:style w:type="paragraph" w:customStyle="1" w:styleId="3310">
    <w:name w:val="23-47表名3"/>
    <w:basedOn w:val="1"/>
    <w:qFormat/>
    <w:uiPriority w:val="0"/>
    <w:pPr>
      <w:spacing w:afterLines="50" w:line="440" w:lineRule="exact"/>
      <w:jc w:val="center"/>
    </w:pPr>
    <w:rPr>
      <w:rFonts w:ascii="宋体" w:hAnsi="宋体"/>
      <w:b/>
      <w:sz w:val="24"/>
    </w:rPr>
  </w:style>
  <w:style w:type="paragraph" w:customStyle="1" w:styleId="3311">
    <w:name w:val="Char Char Char1 Char Char Char1"/>
    <w:basedOn w:val="1"/>
    <w:qFormat/>
    <w:uiPriority w:val="0"/>
    <w:pPr>
      <w:spacing w:line="240" w:lineRule="exact"/>
      <w:ind w:firstLine="200" w:firstLineChars="200"/>
    </w:pPr>
    <w:rPr>
      <w:sz w:val="28"/>
      <w:szCs w:val="28"/>
    </w:rPr>
  </w:style>
  <w:style w:type="paragraph" w:customStyle="1" w:styleId="3312">
    <w:name w:val="表内文字小2113"/>
    <w:basedOn w:val="1"/>
    <w:qFormat/>
    <w:uiPriority w:val="0"/>
    <w:pPr>
      <w:adjustRightInd w:val="0"/>
      <w:snapToGrid w:val="0"/>
      <w:jc w:val="center"/>
    </w:pPr>
    <w:rPr>
      <w:rFonts w:ascii="宋体" w:hAnsi="Times"/>
      <w:bCs/>
      <w:color w:val="000000"/>
      <w:szCs w:val="20"/>
    </w:rPr>
  </w:style>
  <w:style w:type="paragraph" w:customStyle="1" w:styleId="3313">
    <w:name w:val="样式 (中文) 楷体_GB2312 居中 行距: 固定值 12 磅"/>
    <w:basedOn w:val="1"/>
    <w:qFormat/>
    <w:uiPriority w:val="0"/>
    <w:pPr>
      <w:spacing w:line="240" w:lineRule="exact"/>
      <w:jc w:val="center"/>
    </w:pPr>
    <w:rPr>
      <w:rFonts w:eastAsia="楷体_GB2312"/>
      <w:szCs w:val="20"/>
    </w:rPr>
  </w:style>
  <w:style w:type="paragraph" w:customStyle="1" w:styleId="3314">
    <w:name w:val="表内文字小21113"/>
    <w:basedOn w:val="1"/>
    <w:qFormat/>
    <w:uiPriority w:val="0"/>
    <w:pPr>
      <w:adjustRightInd w:val="0"/>
      <w:snapToGrid w:val="0"/>
      <w:jc w:val="center"/>
    </w:pPr>
    <w:rPr>
      <w:rFonts w:ascii="宋体" w:hAnsi="Times"/>
      <w:bCs/>
      <w:color w:val="000000"/>
      <w:szCs w:val="20"/>
    </w:rPr>
  </w:style>
  <w:style w:type="paragraph" w:customStyle="1" w:styleId="3315">
    <w:name w:val="Char4 Char Char Char Char Char Char Char Char Char Char Char Char Char Char Char Char Char Char Char Char Char Char Char Char Char Char"/>
    <w:basedOn w:val="1"/>
    <w:qFormat/>
    <w:uiPriority w:val="0"/>
    <w:pPr>
      <w:spacing w:line="240" w:lineRule="exact"/>
      <w:ind w:firstLine="200" w:firstLineChars="200"/>
    </w:pPr>
    <w:rPr>
      <w:sz w:val="28"/>
      <w:szCs w:val="28"/>
    </w:rPr>
  </w:style>
  <w:style w:type="paragraph" w:customStyle="1" w:styleId="3316">
    <w:name w:val="表题114"/>
    <w:basedOn w:val="21"/>
    <w:qFormat/>
    <w:uiPriority w:val="0"/>
    <w:pPr>
      <w:tabs>
        <w:tab w:val="clear" w:pos="7380"/>
      </w:tabs>
      <w:overflowPunct/>
      <w:spacing w:before="0" w:afterLines="0" w:line="360" w:lineRule="auto"/>
      <w:jc w:val="center"/>
    </w:pPr>
    <w:rPr>
      <w:rFonts w:ascii="黑体"/>
      <w:sz w:val="24"/>
      <w:szCs w:val="24"/>
    </w:rPr>
  </w:style>
  <w:style w:type="paragraph" w:customStyle="1" w:styleId="3317">
    <w:name w:val="表内文字小111"/>
    <w:basedOn w:val="1"/>
    <w:qFormat/>
    <w:uiPriority w:val="0"/>
    <w:pPr>
      <w:adjustRightInd w:val="0"/>
      <w:snapToGrid w:val="0"/>
    </w:pPr>
    <w:rPr>
      <w:rFonts w:ascii="宋体" w:hAnsi="Times" w:cs="宋体"/>
      <w:szCs w:val="20"/>
    </w:rPr>
  </w:style>
  <w:style w:type="paragraph" w:customStyle="1" w:styleId="3318">
    <w:name w:val="Char2211"/>
    <w:basedOn w:val="1"/>
    <w:qFormat/>
    <w:uiPriority w:val="0"/>
    <w:pPr>
      <w:adjustRightInd w:val="0"/>
      <w:snapToGrid w:val="0"/>
      <w:spacing w:beforeLines="50" w:line="360" w:lineRule="auto"/>
    </w:pPr>
    <w:rPr>
      <w:rFonts w:ascii="黑体" w:eastAsia="黑体"/>
      <w:sz w:val="32"/>
      <w:szCs w:val="32"/>
    </w:rPr>
  </w:style>
  <w:style w:type="paragraph" w:customStyle="1" w:styleId="3319">
    <w:name w:val="表内文字小13"/>
    <w:basedOn w:val="1"/>
    <w:qFormat/>
    <w:uiPriority w:val="0"/>
    <w:pPr>
      <w:adjustRightInd w:val="0"/>
      <w:snapToGrid w:val="0"/>
      <w:jc w:val="center"/>
    </w:pPr>
    <w:rPr>
      <w:rFonts w:ascii="宋体" w:hAnsi="Times"/>
      <w:szCs w:val="20"/>
    </w:rPr>
  </w:style>
  <w:style w:type="paragraph" w:customStyle="1" w:styleId="3320">
    <w:name w:val="正文 居中"/>
    <w:basedOn w:val="1"/>
    <w:qFormat/>
    <w:uiPriority w:val="0"/>
    <w:pPr>
      <w:spacing w:before="48" w:after="48" w:line="360" w:lineRule="auto"/>
      <w:jc w:val="center"/>
    </w:pPr>
    <w:rPr>
      <w:rFonts w:ascii="宋体" w:hAnsi="宋体" w:eastAsia="仿宋_GB2312"/>
      <w:snapToGrid w:val="0"/>
      <w:kern w:val="0"/>
      <w:sz w:val="24"/>
      <w:szCs w:val="28"/>
    </w:rPr>
  </w:style>
  <w:style w:type="paragraph" w:customStyle="1" w:styleId="3321">
    <w:name w:val="表内文字小3133"/>
    <w:basedOn w:val="1"/>
    <w:qFormat/>
    <w:uiPriority w:val="0"/>
    <w:pPr>
      <w:adjustRightInd w:val="0"/>
      <w:snapToGrid w:val="0"/>
      <w:jc w:val="center"/>
    </w:pPr>
    <w:rPr>
      <w:rFonts w:ascii="宋体" w:hAnsi="Times" w:cs="宋体"/>
      <w:bCs/>
      <w:color w:val="003366"/>
      <w:szCs w:val="20"/>
    </w:rPr>
  </w:style>
  <w:style w:type="paragraph" w:customStyle="1" w:styleId="3322">
    <w:name w:val="样式 首行缩进:  2 字符 Char"/>
    <w:basedOn w:val="1"/>
    <w:qFormat/>
    <w:uiPriority w:val="0"/>
    <w:pPr>
      <w:spacing w:line="480" w:lineRule="exact"/>
      <w:ind w:firstLine="560" w:firstLineChars="200"/>
    </w:pPr>
    <w:rPr>
      <w:kern w:val="28"/>
      <w:sz w:val="28"/>
    </w:rPr>
  </w:style>
  <w:style w:type="paragraph" w:customStyle="1" w:styleId="3323">
    <w:name w:val="a3"/>
    <w:basedOn w:val="1"/>
    <w:qFormat/>
    <w:uiPriority w:val="0"/>
    <w:pPr>
      <w:widowControl/>
      <w:spacing w:before="100" w:beforeAutospacing="1" w:after="100" w:afterAutospacing="1"/>
      <w:jc w:val="left"/>
    </w:pPr>
    <w:rPr>
      <w:rFonts w:ascii="宋体" w:hAnsi="宋体"/>
      <w:color w:val="000000"/>
      <w:kern w:val="0"/>
      <w:sz w:val="24"/>
    </w:rPr>
  </w:style>
  <w:style w:type="paragraph" w:customStyle="1" w:styleId="3324">
    <w:name w:val="正文格式112"/>
    <w:basedOn w:val="1"/>
    <w:qFormat/>
    <w:uiPriority w:val="0"/>
    <w:pPr>
      <w:spacing w:line="360" w:lineRule="auto"/>
      <w:ind w:firstLine="482"/>
    </w:pPr>
    <w:rPr>
      <w:rFonts w:ascii="宋体" w:hAnsi="宋体"/>
      <w:sz w:val="24"/>
    </w:rPr>
  </w:style>
  <w:style w:type="paragraph" w:customStyle="1" w:styleId="3325">
    <w:name w:val="重钢院"/>
    <w:basedOn w:val="1"/>
    <w:qFormat/>
    <w:uiPriority w:val="0"/>
    <w:pPr>
      <w:adjustRightInd w:val="0"/>
      <w:spacing w:line="372" w:lineRule="auto"/>
      <w:textAlignment w:val="baseline"/>
    </w:pPr>
    <w:rPr>
      <w:spacing w:val="10"/>
      <w:kern w:val="0"/>
      <w:sz w:val="28"/>
      <w:szCs w:val="20"/>
    </w:rPr>
  </w:style>
  <w:style w:type="paragraph" w:customStyle="1" w:styleId="3326">
    <w:name w:val="表内文字小2114"/>
    <w:basedOn w:val="1"/>
    <w:qFormat/>
    <w:uiPriority w:val="0"/>
    <w:pPr>
      <w:adjustRightInd w:val="0"/>
      <w:snapToGrid w:val="0"/>
      <w:jc w:val="center"/>
    </w:pPr>
    <w:rPr>
      <w:rFonts w:ascii="宋体" w:hAnsi="Times"/>
      <w:bCs/>
      <w:color w:val="000000"/>
      <w:szCs w:val="20"/>
    </w:rPr>
  </w:style>
  <w:style w:type="paragraph" w:customStyle="1" w:styleId="3327">
    <w:name w:val="默认段落字体 Para Char412"/>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3328">
    <w:name w:val="表文字521"/>
    <w:basedOn w:val="1"/>
    <w:qFormat/>
    <w:uiPriority w:val="0"/>
    <w:pPr>
      <w:adjustRightInd w:val="0"/>
      <w:jc w:val="left"/>
      <w:textAlignment w:val="baseline"/>
    </w:pPr>
    <w:rPr>
      <w:rFonts w:ascii="宋体"/>
      <w:kern w:val="0"/>
      <w:szCs w:val="20"/>
    </w:rPr>
  </w:style>
  <w:style w:type="paragraph" w:customStyle="1" w:styleId="3329">
    <w:name w:val="表内文字小1111"/>
    <w:basedOn w:val="1"/>
    <w:qFormat/>
    <w:uiPriority w:val="0"/>
    <w:pPr>
      <w:adjustRightInd w:val="0"/>
      <w:snapToGrid w:val="0"/>
    </w:pPr>
    <w:rPr>
      <w:rFonts w:ascii="宋体" w:hAnsi="Times" w:cs="宋体"/>
      <w:szCs w:val="20"/>
    </w:rPr>
  </w:style>
  <w:style w:type="paragraph" w:customStyle="1" w:styleId="3330">
    <w:name w:val="表文字5113"/>
    <w:basedOn w:val="1"/>
    <w:qFormat/>
    <w:uiPriority w:val="0"/>
    <w:pPr>
      <w:adjustRightInd w:val="0"/>
      <w:jc w:val="left"/>
      <w:textAlignment w:val="baseline"/>
    </w:pPr>
    <w:rPr>
      <w:rFonts w:ascii="宋体"/>
      <w:kern w:val="0"/>
      <w:szCs w:val="20"/>
    </w:rPr>
  </w:style>
  <w:style w:type="paragraph" w:customStyle="1" w:styleId="3331">
    <w:name w:val="表文字5"/>
    <w:basedOn w:val="1"/>
    <w:qFormat/>
    <w:uiPriority w:val="0"/>
    <w:pPr>
      <w:adjustRightInd w:val="0"/>
      <w:jc w:val="left"/>
      <w:textAlignment w:val="baseline"/>
    </w:pPr>
    <w:rPr>
      <w:rFonts w:ascii="宋体"/>
      <w:kern w:val="0"/>
      <w:szCs w:val="20"/>
    </w:rPr>
  </w:style>
  <w:style w:type="paragraph" w:customStyle="1" w:styleId="3332">
    <w:name w:val="样式 正文缩进 + 宋体 黑色11"/>
    <w:basedOn w:val="20"/>
    <w:qFormat/>
    <w:uiPriority w:val="0"/>
    <w:pPr>
      <w:spacing w:line="360" w:lineRule="auto"/>
      <w:ind w:firstLine="200"/>
      <w:jc w:val="left"/>
    </w:pPr>
    <w:rPr>
      <w:rFonts w:ascii="宋体" w:hAnsi="宋体"/>
      <w:color w:val="000000"/>
      <w:sz w:val="24"/>
    </w:rPr>
  </w:style>
  <w:style w:type="paragraph" w:customStyle="1" w:styleId="3333">
    <w:name w:val="正文格式91"/>
    <w:basedOn w:val="1"/>
    <w:qFormat/>
    <w:uiPriority w:val="0"/>
    <w:pPr>
      <w:spacing w:line="360" w:lineRule="auto"/>
      <w:ind w:firstLine="482"/>
    </w:pPr>
    <w:rPr>
      <w:rFonts w:ascii="宋体" w:hAnsi="宋体"/>
      <w:sz w:val="24"/>
    </w:rPr>
  </w:style>
  <w:style w:type="paragraph" w:customStyle="1" w:styleId="3334">
    <w:name w:val="正文25"/>
    <w:qFormat/>
    <w:uiPriority w:val="0"/>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3335">
    <w:name w:val="正文格式512"/>
    <w:basedOn w:val="1"/>
    <w:qFormat/>
    <w:uiPriority w:val="0"/>
    <w:pPr>
      <w:spacing w:line="360" w:lineRule="auto"/>
      <w:ind w:firstLine="482"/>
    </w:pPr>
    <w:rPr>
      <w:rFonts w:ascii="宋体" w:hAnsi="宋体"/>
      <w:sz w:val="24"/>
    </w:rPr>
  </w:style>
  <w:style w:type="paragraph" w:customStyle="1" w:styleId="3336">
    <w:name w:val="表内小5中12"/>
    <w:basedOn w:val="1"/>
    <w:qFormat/>
    <w:uiPriority w:val="0"/>
    <w:pPr>
      <w:adjustRightInd w:val="0"/>
      <w:snapToGrid w:val="0"/>
      <w:jc w:val="center"/>
    </w:pPr>
    <w:rPr>
      <w:rFonts w:ascii="宋体" w:hAnsi="宋体"/>
      <w:sz w:val="18"/>
      <w:szCs w:val="20"/>
    </w:rPr>
  </w:style>
  <w:style w:type="paragraph" w:customStyle="1" w:styleId="3337">
    <w:name w:val="正文格式9"/>
    <w:basedOn w:val="1"/>
    <w:qFormat/>
    <w:uiPriority w:val="0"/>
    <w:pPr>
      <w:spacing w:line="360" w:lineRule="auto"/>
      <w:ind w:firstLine="482"/>
    </w:pPr>
    <w:rPr>
      <w:rFonts w:ascii="宋体" w:hAnsi="宋体"/>
      <w:sz w:val="24"/>
    </w:rPr>
  </w:style>
  <w:style w:type="paragraph" w:customStyle="1" w:styleId="3338">
    <w:name w:val="注释3"/>
    <w:basedOn w:val="184"/>
    <w:next w:val="33"/>
    <w:qFormat/>
    <w:uiPriority w:val="0"/>
    <w:pPr>
      <w:spacing w:before="120" w:after="120" w:line="240" w:lineRule="auto"/>
      <w:ind w:firstLine="200" w:firstLineChars="200"/>
    </w:pPr>
    <w:rPr>
      <w:sz w:val="21"/>
      <w:szCs w:val="20"/>
    </w:rPr>
  </w:style>
  <w:style w:type="paragraph" w:customStyle="1" w:styleId="3339">
    <w:name w:val="正文2113"/>
    <w:qFormat/>
    <w:uiPriority w:val="0"/>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3340">
    <w:name w:val="样式 俺的题目三 + 首行缩进:  2 字符"/>
    <w:basedOn w:val="2668"/>
    <w:qFormat/>
    <w:uiPriority w:val="0"/>
    <w:pPr>
      <w:spacing w:line="520" w:lineRule="exact"/>
      <w:ind w:firstLine="0" w:firstLineChars="0"/>
      <w:jc w:val="center"/>
    </w:pPr>
    <w:rPr>
      <w:rFonts w:cs="宋体"/>
      <w:sz w:val="30"/>
      <w:szCs w:val="30"/>
    </w:rPr>
  </w:style>
  <w:style w:type="paragraph" w:customStyle="1" w:styleId="3341">
    <w:name w:val="Char Char319"/>
    <w:basedOn w:val="1"/>
    <w:qFormat/>
    <w:uiPriority w:val="0"/>
    <w:pPr>
      <w:spacing w:line="240" w:lineRule="exact"/>
      <w:ind w:firstLine="200" w:firstLineChars="200"/>
    </w:pPr>
    <w:rPr>
      <w:sz w:val="28"/>
      <w:szCs w:val="28"/>
    </w:rPr>
  </w:style>
  <w:style w:type="paragraph" w:customStyle="1" w:styleId="3342">
    <w:name w:val="表内文字小31113"/>
    <w:basedOn w:val="1"/>
    <w:qFormat/>
    <w:uiPriority w:val="0"/>
    <w:pPr>
      <w:adjustRightInd w:val="0"/>
      <w:snapToGrid w:val="0"/>
      <w:jc w:val="center"/>
    </w:pPr>
    <w:rPr>
      <w:rFonts w:ascii="宋体" w:hAnsi="Times" w:cs="宋体"/>
      <w:bCs/>
      <w:color w:val="003366"/>
      <w:szCs w:val="20"/>
    </w:rPr>
  </w:style>
  <w:style w:type="paragraph" w:customStyle="1" w:styleId="3343">
    <w:name w:val="Char4 Char Char Char Char Char Char Char Char Char Char Char Char Char Char Char Char Char Char Char Char Char Char Char Char Char Char Char"/>
    <w:basedOn w:val="1"/>
    <w:qFormat/>
    <w:uiPriority w:val="0"/>
    <w:pPr>
      <w:spacing w:line="240" w:lineRule="exact"/>
      <w:ind w:firstLine="200" w:firstLineChars="200"/>
    </w:pPr>
    <w:rPr>
      <w:sz w:val="28"/>
      <w:szCs w:val="28"/>
    </w:rPr>
  </w:style>
  <w:style w:type="paragraph" w:customStyle="1" w:styleId="3344">
    <w:name w:val="表内宋5中22"/>
    <w:basedOn w:val="1"/>
    <w:qFormat/>
    <w:uiPriority w:val="0"/>
    <w:pPr>
      <w:adjustRightInd w:val="0"/>
      <w:snapToGrid w:val="0"/>
      <w:jc w:val="center"/>
      <w:textAlignment w:val="baseline"/>
    </w:pPr>
    <w:rPr>
      <w:rFonts w:ascii="宋体" w:hAnsi="宋体"/>
      <w:kern w:val="0"/>
      <w:szCs w:val="20"/>
    </w:rPr>
  </w:style>
  <w:style w:type="paragraph" w:customStyle="1" w:styleId="3345">
    <w:name w:val="表32"/>
    <w:basedOn w:val="1"/>
    <w:qFormat/>
    <w:uiPriority w:val="0"/>
    <w:pPr>
      <w:adjustRightInd w:val="0"/>
      <w:snapToGrid w:val="0"/>
      <w:jc w:val="center"/>
    </w:pPr>
    <w:rPr>
      <w:rFonts w:eastAsia="仿宋_GB2312"/>
      <w:sz w:val="24"/>
    </w:rPr>
  </w:style>
  <w:style w:type="paragraph" w:customStyle="1" w:styleId="3346">
    <w:name w:val="正文格式22"/>
    <w:basedOn w:val="1"/>
    <w:qFormat/>
    <w:uiPriority w:val="0"/>
    <w:pPr>
      <w:spacing w:line="360" w:lineRule="auto"/>
      <w:ind w:firstLine="482"/>
    </w:pPr>
    <w:rPr>
      <w:rFonts w:ascii="宋体" w:hAnsi="宋体"/>
      <w:sz w:val="24"/>
    </w:rPr>
  </w:style>
  <w:style w:type="paragraph" w:customStyle="1" w:styleId="3347">
    <w:name w:val="表题123"/>
    <w:basedOn w:val="21"/>
    <w:qFormat/>
    <w:uiPriority w:val="0"/>
    <w:pPr>
      <w:tabs>
        <w:tab w:val="clear" w:pos="7380"/>
      </w:tabs>
      <w:overflowPunct/>
      <w:spacing w:before="0" w:afterLines="0" w:line="360" w:lineRule="auto"/>
      <w:jc w:val="center"/>
    </w:pPr>
    <w:rPr>
      <w:rFonts w:ascii="黑体"/>
      <w:sz w:val="24"/>
      <w:szCs w:val="24"/>
    </w:rPr>
  </w:style>
  <w:style w:type="paragraph" w:customStyle="1" w:styleId="3348">
    <w:name w:val="能力-正文"/>
    <w:basedOn w:val="1"/>
    <w:qFormat/>
    <w:uiPriority w:val="0"/>
    <w:pPr>
      <w:spacing w:line="360" w:lineRule="auto"/>
      <w:ind w:firstLine="200" w:firstLineChars="200"/>
    </w:pPr>
    <w:rPr>
      <w:sz w:val="24"/>
      <w:szCs w:val="22"/>
    </w:rPr>
  </w:style>
  <w:style w:type="paragraph" w:customStyle="1" w:styleId="3349">
    <w:name w:val="表文字533"/>
    <w:basedOn w:val="1"/>
    <w:qFormat/>
    <w:uiPriority w:val="0"/>
    <w:pPr>
      <w:adjustRightInd w:val="0"/>
      <w:jc w:val="left"/>
      <w:textAlignment w:val="baseline"/>
    </w:pPr>
    <w:rPr>
      <w:rFonts w:ascii="宋体"/>
      <w:kern w:val="0"/>
      <w:szCs w:val="20"/>
    </w:rPr>
  </w:style>
  <w:style w:type="paragraph" w:customStyle="1" w:styleId="3350">
    <w:name w:val="表内文字小2133"/>
    <w:basedOn w:val="1"/>
    <w:qFormat/>
    <w:uiPriority w:val="0"/>
    <w:pPr>
      <w:adjustRightInd w:val="0"/>
      <w:snapToGrid w:val="0"/>
      <w:jc w:val="center"/>
      <w:textAlignment w:val="baseline"/>
    </w:pPr>
    <w:rPr>
      <w:rFonts w:ascii="宋体" w:hAnsi="Times"/>
      <w:bCs/>
      <w:color w:val="000000"/>
      <w:szCs w:val="20"/>
    </w:rPr>
  </w:style>
  <w:style w:type="paragraph" w:customStyle="1" w:styleId="3351">
    <w:name w:val="表内宋5中1113"/>
    <w:basedOn w:val="1"/>
    <w:qFormat/>
    <w:uiPriority w:val="0"/>
    <w:pPr>
      <w:adjustRightInd w:val="0"/>
      <w:snapToGrid w:val="0"/>
      <w:jc w:val="center"/>
      <w:textAlignment w:val="baseline"/>
    </w:pPr>
    <w:rPr>
      <w:rFonts w:ascii="宋体" w:hAnsi="宋体" w:cs="宋体"/>
      <w:kern w:val="0"/>
      <w:szCs w:val="20"/>
    </w:rPr>
  </w:style>
  <w:style w:type="paragraph" w:customStyle="1" w:styleId="3352">
    <w:name w:val="样式 (符号) 宋体 行距: 固定值 25 磅"/>
    <w:basedOn w:val="1"/>
    <w:qFormat/>
    <w:uiPriority w:val="0"/>
    <w:pPr>
      <w:spacing w:line="500" w:lineRule="exact"/>
      <w:ind w:firstLine="473" w:firstLineChars="225"/>
    </w:pPr>
    <w:rPr>
      <w:rFonts w:hAnsi="宋体" w:cs="宋体"/>
      <w:sz w:val="24"/>
      <w:szCs w:val="20"/>
    </w:rPr>
  </w:style>
  <w:style w:type="paragraph" w:customStyle="1" w:styleId="3353">
    <w:name w:val="Char4 Char Char Char Char Char Char Char Char Char Char Char Char Char Char Char Char Char1 Char Char Char Char"/>
    <w:basedOn w:val="1"/>
    <w:qFormat/>
    <w:uiPriority w:val="0"/>
    <w:pPr>
      <w:spacing w:line="240" w:lineRule="exact"/>
      <w:ind w:firstLine="200" w:firstLineChars="200"/>
    </w:pPr>
    <w:rPr>
      <w:sz w:val="28"/>
      <w:szCs w:val="28"/>
    </w:rPr>
  </w:style>
  <w:style w:type="paragraph" w:customStyle="1" w:styleId="3354">
    <w:name w:val="表内文字小15"/>
    <w:basedOn w:val="1"/>
    <w:qFormat/>
    <w:uiPriority w:val="0"/>
    <w:pPr>
      <w:adjustRightInd w:val="0"/>
      <w:snapToGrid w:val="0"/>
      <w:jc w:val="center"/>
    </w:pPr>
    <w:rPr>
      <w:rFonts w:ascii="宋体" w:hAnsi="Times"/>
      <w:szCs w:val="20"/>
    </w:rPr>
  </w:style>
  <w:style w:type="paragraph" w:customStyle="1" w:styleId="3355">
    <w:name w:val="默认段落字体 Para Char31"/>
    <w:basedOn w:val="1"/>
    <w:qFormat/>
    <w:uiPriority w:val="0"/>
    <w:pPr>
      <w:spacing w:line="360" w:lineRule="auto"/>
      <w:ind w:firstLine="200" w:firstLineChars="200"/>
    </w:pPr>
    <w:rPr>
      <w:rFonts w:ascii="宋体" w:hAnsi="宋体" w:cs="宋体"/>
      <w:sz w:val="24"/>
    </w:rPr>
  </w:style>
  <w:style w:type="paragraph" w:customStyle="1" w:styleId="3356">
    <w:name w:val="表题11111"/>
    <w:basedOn w:val="21"/>
    <w:qFormat/>
    <w:uiPriority w:val="0"/>
    <w:pPr>
      <w:tabs>
        <w:tab w:val="clear" w:pos="7380"/>
      </w:tabs>
      <w:overflowPunct/>
      <w:spacing w:before="0" w:afterLines="0" w:line="360" w:lineRule="auto"/>
      <w:jc w:val="center"/>
    </w:pPr>
    <w:rPr>
      <w:rFonts w:ascii="黑体"/>
      <w:sz w:val="24"/>
      <w:szCs w:val="24"/>
    </w:rPr>
  </w:style>
  <w:style w:type="paragraph" w:customStyle="1" w:styleId="3357">
    <w:name w:val="表内文字小813"/>
    <w:basedOn w:val="1"/>
    <w:qFormat/>
    <w:uiPriority w:val="0"/>
    <w:pPr>
      <w:adjustRightInd w:val="0"/>
      <w:snapToGrid w:val="0"/>
      <w:jc w:val="center"/>
    </w:pPr>
    <w:rPr>
      <w:rFonts w:ascii="宋体" w:hAnsi="Times" w:cs="宋体"/>
      <w:szCs w:val="20"/>
    </w:rPr>
  </w:style>
  <w:style w:type="paragraph" w:customStyle="1" w:styleId="3358">
    <w:name w:val="我的正文"/>
    <w:basedOn w:val="34"/>
    <w:qFormat/>
    <w:uiPriority w:val="0"/>
    <w:pPr>
      <w:pBdr>
        <w:top w:val="single" w:color="auto" w:sz="4" w:space="1"/>
      </w:pBdr>
      <w:spacing w:after="0" w:line="360" w:lineRule="auto"/>
      <w:ind w:left="0" w:leftChars="0" w:firstLine="200" w:firstLineChars="200"/>
    </w:pPr>
    <w:rPr>
      <w:sz w:val="24"/>
    </w:rPr>
  </w:style>
  <w:style w:type="paragraph" w:customStyle="1" w:styleId="3359">
    <w:name w:val="表内宋5中1"/>
    <w:basedOn w:val="1"/>
    <w:qFormat/>
    <w:uiPriority w:val="0"/>
    <w:pPr>
      <w:adjustRightInd w:val="0"/>
      <w:snapToGrid w:val="0"/>
      <w:jc w:val="center"/>
      <w:textAlignment w:val="baseline"/>
    </w:pPr>
    <w:rPr>
      <w:rFonts w:ascii="宋体" w:hAnsi="宋体" w:cs="宋体"/>
      <w:kern w:val="0"/>
      <w:szCs w:val="20"/>
    </w:rPr>
  </w:style>
  <w:style w:type="paragraph" w:customStyle="1" w:styleId="3360">
    <w:name w:val="ttop"/>
    <w:basedOn w:val="1"/>
    <w:qFormat/>
    <w:uiPriority w:val="0"/>
    <w:pPr>
      <w:widowControl/>
      <w:spacing w:before="100" w:beforeAutospacing="1" w:after="100" w:afterAutospacing="1"/>
      <w:jc w:val="left"/>
    </w:pPr>
    <w:rPr>
      <w:rFonts w:ascii="宋体" w:hAnsi="宋体"/>
      <w:kern w:val="0"/>
      <w:sz w:val="24"/>
    </w:rPr>
  </w:style>
  <w:style w:type="paragraph" w:customStyle="1" w:styleId="3361">
    <w:name w:val="23-47表名12"/>
    <w:basedOn w:val="1"/>
    <w:qFormat/>
    <w:uiPriority w:val="0"/>
    <w:pPr>
      <w:spacing w:afterLines="50" w:line="440" w:lineRule="exact"/>
      <w:jc w:val="center"/>
    </w:pPr>
    <w:rPr>
      <w:rFonts w:ascii="宋体" w:hAnsi="宋体"/>
      <w:b/>
      <w:sz w:val="24"/>
    </w:rPr>
  </w:style>
  <w:style w:type="paragraph" w:customStyle="1" w:styleId="3362">
    <w:name w:val="表内文字小2132"/>
    <w:basedOn w:val="1"/>
    <w:qFormat/>
    <w:uiPriority w:val="0"/>
    <w:pPr>
      <w:adjustRightInd w:val="0"/>
      <w:snapToGrid w:val="0"/>
      <w:jc w:val="center"/>
      <w:textAlignment w:val="baseline"/>
    </w:pPr>
    <w:rPr>
      <w:rFonts w:ascii="宋体" w:hAnsi="Times"/>
      <w:bCs/>
      <w:color w:val="000000"/>
      <w:szCs w:val="20"/>
    </w:rPr>
  </w:style>
  <w:style w:type="paragraph" w:customStyle="1" w:styleId="3363">
    <w:name w:val="正文格式62"/>
    <w:basedOn w:val="1"/>
    <w:qFormat/>
    <w:uiPriority w:val="0"/>
    <w:pPr>
      <w:spacing w:line="360" w:lineRule="auto"/>
      <w:ind w:firstLine="482"/>
    </w:pPr>
    <w:rPr>
      <w:rFonts w:ascii="宋体" w:hAnsi="宋体"/>
      <w:sz w:val="24"/>
    </w:rPr>
  </w:style>
  <w:style w:type="paragraph" w:customStyle="1" w:styleId="3364">
    <w:name w:val="表内文字小21312"/>
    <w:basedOn w:val="1"/>
    <w:qFormat/>
    <w:uiPriority w:val="0"/>
    <w:pPr>
      <w:adjustRightInd w:val="0"/>
      <w:snapToGrid w:val="0"/>
      <w:jc w:val="center"/>
      <w:textAlignment w:val="baseline"/>
    </w:pPr>
    <w:rPr>
      <w:rFonts w:ascii="宋体" w:hAnsi="Times"/>
      <w:bCs/>
      <w:color w:val="000000"/>
      <w:szCs w:val="20"/>
    </w:rPr>
  </w:style>
  <w:style w:type="paragraph" w:customStyle="1" w:styleId="3365">
    <w:name w:val="表格文字五"/>
    <w:basedOn w:val="1"/>
    <w:qFormat/>
    <w:uiPriority w:val="0"/>
    <w:pPr>
      <w:adjustRightInd w:val="0"/>
      <w:snapToGrid w:val="0"/>
      <w:spacing w:beforeLines="20" w:afterLines="20"/>
      <w:jc w:val="center"/>
    </w:pPr>
    <w:rPr>
      <w:rFonts w:eastAsia="仿宋_GB2312"/>
      <w:snapToGrid w:val="0"/>
      <w:szCs w:val="21"/>
    </w:rPr>
  </w:style>
  <w:style w:type="paragraph" w:customStyle="1" w:styleId="3366">
    <w:name w:val="默认段落字体 Para Char52"/>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3367">
    <w:name w:val="表题132"/>
    <w:basedOn w:val="21"/>
    <w:qFormat/>
    <w:uiPriority w:val="0"/>
    <w:pPr>
      <w:tabs>
        <w:tab w:val="clear" w:pos="7380"/>
      </w:tabs>
      <w:overflowPunct/>
      <w:spacing w:before="0" w:afterLines="0" w:line="360" w:lineRule="auto"/>
      <w:jc w:val="center"/>
    </w:pPr>
    <w:rPr>
      <w:rFonts w:ascii="黑体"/>
      <w:b/>
      <w:sz w:val="24"/>
      <w:szCs w:val="24"/>
    </w:rPr>
  </w:style>
  <w:style w:type="paragraph" w:customStyle="1" w:styleId="3368">
    <w:name w:val="题注2"/>
    <w:basedOn w:val="21"/>
    <w:next w:val="3369"/>
    <w:qFormat/>
    <w:uiPriority w:val="0"/>
    <w:pPr>
      <w:tabs>
        <w:tab w:val="clear" w:pos="7380"/>
      </w:tabs>
      <w:overflowPunct/>
      <w:spacing w:before="0" w:afterLines="0" w:line="324" w:lineRule="auto"/>
      <w:ind w:firstLine="400" w:firstLineChars="200"/>
      <w:jc w:val="both"/>
    </w:pPr>
    <w:rPr>
      <w:rFonts w:eastAsia="宋体" w:cs="Times New Roman"/>
      <w:sz w:val="21"/>
    </w:rPr>
  </w:style>
  <w:style w:type="paragraph" w:customStyle="1" w:styleId="3369">
    <w:name w:val="表题注"/>
    <w:basedOn w:val="3370"/>
    <w:qFormat/>
    <w:uiPriority w:val="0"/>
    <w:pPr>
      <w:spacing w:beforeLines="30"/>
    </w:pPr>
    <w:rPr>
      <w:bCs w:val="0"/>
    </w:rPr>
  </w:style>
  <w:style w:type="paragraph" w:customStyle="1" w:styleId="3370">
    <w:name w:val="沥青表"/>
    <w:basedOn w:val="1"/>
    <w:qFormat/>
    <w:uiPriority w:val="0"/>
    <w:pPr>
      <w:adjustRightInd w:val="0"/>
      <w:spacing w:line="0" w:lineRule="atLeast"/>
      <w:jc w:val="center"/>
      <w:textAlignment w:val="baseline"/>
    </w:pPr>
    <w:rPr>
      <w:bCs/>
      <w:spacing w:val="10"/>
      <w:kern w:val="0"/>
      <w:szCs w:val="21"/>
    </w:rPr>
  </w:style>
  <w:style w:type="paragraph" w:customStyle="1" w:styleId="3371">
    <w:name w:val="默认段落字体 Para Char42"/>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3372">
    <w:name w:val="样式 仿宋_GB2312 小四 居中 行距: 固定值 20 磅"/>
    <w:basedOn w:val="1"/>
    <w:qFormat/>
    <w:uiPriority w:val="0"/>
    <w:pPr>
      <w:spacing w:line="400" w:lineRule="exact"/>
      <w:jc w:val="center"/>
    </w:pPr>
    <w:rPr>
      <w:rFonts w:ascii="仿宋_GB2312" w:hAnsi="宋体" w:eastAsia="仿宋_GB2312" w:cs="宋体"/>
      <w:sz w:val="24"/>
      <w:szCs w:val="20"/>
    </w:rPr>
  </w:style>
  <w:style w:type="paragraph" w:customStyle="1" w:styleId="3373">
    <w:name w:val="正文格式72"/>
    <w:basedOn w:val="1"/>
    <w:qFormat/>
    <w:uiPriority w:val="0"/>
    <w:pPr>
      <w:spacing w:line="360" w:lineRule="auto"/>
      <w:ind w:firstLine="482"/>
    </w:pPr>
    <w:rPr>
      <w:rFonts w:ascii="宋体" w:hAnsi="宋体"/>
      <w:sz w:val="24"/>
    </w:rPr>
  </w:style>
  <w:style w:type="paragraph" w:customStyle="1" w:styleId="3374">
    <w:name w:val="表文字524"/>
    <w:basedOn w:val="1"/>
    <w:qFormat/>
    <w:uiPriority w:val="0"/>
    <w:pPr>
      <w:adjustRightInd w:val="0"/>
      <w:jc w:val="left"/>
      <w:textAlignment w:val="baseline"/>
    </w:pPr>
    <w:rPr>
      <w:rFonts w:ascii="宋体"/>
      <w:kern w:val="0"/>
      <w:szCs w:val="20"/>
    </w:rPr>
  </w:style>
  <w:style w:type="paragraph" w:customStyle="1" w:styleId="3375">
    <w:name w:val="正文格式821"/>
    <w:basedOn w:val="1"/>
    <w:qFormat/>
    <w:uiPriority w:val="0"/>
    <w:pPr>
      <w:spacing w:line="360" w:lineRule="auto"/>
      <w:ind w:firstLine="482"/>
    </w:pPr>
    <w:rPr>
      <w:rFonts w:ascii="宋体" w:hAnsi="宋体"/>
      <w:sz w:val="24"/>
    </w:rPr>
  </w:style>
  <w:style w:type="paragraph" w:customStyle="1" w:styleId="3376">
    <w:name w:val="样式 表头样式1 + 首行缩进:  2 字符 段前: 0.5 行"/>
    <w:basedOn w:val="216"/>
    <w:qFormat/>
    <w:uiPriority w:val="0"/>
    <w:pPr>
      <w:snapToGrid/>
      <w:spacing w:afterLines="0" w:afterAutospacing="1"/>
    </w:pPr>
    <w:rPr>
      <w:rFonts w:ascii="Times New Roman" w:hAnsi="Times New Roman" w:cs="宋体"/>
      <w:bCs/>
      <w:color w:val="000000"/>
      <w:szCs w:val="20"/>
      <w:lang w:eastAsia="zh-TW"/>
    </w:rPr>
  </w:style>
  <w:style w:type="paragraph" w:customStyle="1" w:styleId="3377">
    <w:name w:val="表内宋51122"/>
    <w:basedOn w:val="80"/>
    <w:qFormat/>
    <w:uiPriority w:val="0"/>
    <w:pPr>
      <w:widowControl/>
      <w:adjustRightInd w:val="0"/>
      <w:snapToGrid w:val="0"/>
    </w:pPr>
    <w:rPr>
      <w:rFonts w:ascii="宋体" w:hAnsi="宋体" w:cs="宋体"/>
      <w:color w:val="000000"/>
      <w:sz w:val="21"/>
    </w:rPr>
  </w:style>
  <w:style w:type="paragraph" w:customStyle="1" w:styleId="3378">
    <w:name w:val="xl6311"/>
    <w:basedOn w:val="1"/>
    <w:qFormat/>
    <w:uiPriority w:val="0"/>
    <w:pPr>
      <w:widowControl/>
      <w:spacing w:before="100" w:beforeAutospacing="1" w:after="100" w:afterAutospacing="1"/>
      <w:jc w:val="center"/>
      <w:textAlignment w:val="center"/>
    </w:pPr>
    <w:rPr>
      <w:rFonts w:hint="eastAsia" w:ascii="黑体" w:hAnsi="宋体" w:eastAsia="黑体"/>
      <w:kern w:val="0"/>
      <w:sz w:val="24"/>
    </w:rPr>
  </w:style>
  <w:style w:type="paragraph" w:customStyle="1" w:styleId="3379">
    <w:name w:val="样式 正文缩进 + 宋体 黑色 首行缩进:  2 字符2"/>
    <w:basedOn w:val="20"/>
    <w:qFormat/>
    <w:uiPriority w:val="0"/>
    <w:pPr>
      <w:spacing w:line="360" w:lineRule="auto"/>
      <w:ind w:firstLine="480"/>
      <w:jc w:val="left"/>
    </w:pPr>
    <w:rPr>
      <w:rFonts w:ascii="宋体" w:hAnsi="宋体" w:cs="宋体"/>
      <w:color w:val="FF00FF"/>
      <w:sz w:val="24"/>
      <w:szCs w:val="20"/>
    </w:rPr>
  </w:style>
  <w:style w:type="paragraph" w:customStyle="1" w:styleId="3380">
    <w:name w:val="正文格式11"/>
    <w:basedOn w:val="1"/>
    <w:qFormat/>
    <w:uiPriority w:val="0"/>
    <w:pPr>
      <w:spacing w:line="360" w:lineRule="auto"/>
      <w:ind w:firstLine="482"/>
    </w:pPr>
    <w:rPr>
      <w:rFonts w:ascii="宋体" w:hAnsi="宋体"/>
      <w:sz w:val="24"/>
    </w:rPr>
  </w:style>
  <w:style w:type="paragraph" w:customStyle="1" w:styleId="3381">
    <w:name w:val="bg附录1标题"/>
    <w:basedOn w:val="1"/>
    <w:next w:val="2316"/>
    <w:qFormat/>
    <w:uiPriority w:val="0"/>
    <w:pPr>
      <w:pBdr>
        <w:top w:val="single" w:color="auto" w:sz="4" w:space="1"/>
      </w:pBdr>
      <w:spacing w:before="120"/>
      <w:ind w:firstLine="482"/>
      <w:outlineLvl w:val="2"/>
    </w:pPr>
    <w:rPr>
      <w:rFonts w:eastAsia="黑体"/>
      <w:sz w:val="28"/>
      <w:szCs w:val="20"/>
    </w:rPr>
  </w:style>
  <w:style w:type="paragraph" w:customStyle="1" w:styleId="3382">
    <w:name w:val="文本框1"/>
    <w:basedOn w:val="1"/>
    <w:qFormat/>
    <w:uiPriority w:val="0"/>
    <w:pPr>
      <w:adjustRightInd w:val="0"/>
      <w:snapToGrid w:val="0"/>
      <w:spacing w:after="6"/>
      <w:jc w:val="center"/>
    </w:pPr>
    <w:rPr>
      <w:rFonts w:eastAsia="仿宋_GB2312"/>
    </w:rPr>
  </w:style>
  <w:style w:type="paragraph" w:customStyle="1" w:styleId="3383">
    <w:name w:val="样式 表格内字体 +1"/>
    <w:basedOn w:val="1875"/>
    <w:qFormat/>
    <w:uiPriority w:val="0"/>
    <w:pPr>
      <w:spacing w:line="280" w:lineRule="exact"/>
      <w:ind w:firstLine="36"/>
      <w:jc w:val="both"/>
    </w:pPr>
    <w:rPr>
      <w:szCs w:val="24"/>
    </w:rPr>
  </w:style>
  <w:style w:type="paragraph" w:customStyle="1" w:styleId="3384">
    <w:name w:val="表内文字小3141"/>
    <w:basedOn w:val="1"/>
    <w:qFormat/>
    <w:uiPriority w:val="0"/>
    <w:pPr>
      <w:adjustRightInd w:val="0"/>
      <w:snapToGrid w:val="0"/>
      <w:jc w:val="center"/>
    </w:pPr>
    <w:rPr>
      <w:rFonts w:ascii="宋体" w:hAnsi="Times" w:cs="宋体"/>
      <w:bCs/>
      <w:color w:val="003366"/>
      <w:szCs w:val="20"/>
    </w:rPr>
  </w:style>
  <w:style w:type="paragraph" w:customStyle="1" w:styleId="3385">
    <w:name w:val="表题112"/>
    <w:basedOn w:val="21"/>
    <w:qFormat/>
    <w:uiPriority w:val="0"/>
    <w:pPr>
      <w:tabs>
        <w:tab w:val="clear" w:pos="7380"/>
      </w:tabs>
      <w:overflowPunct/>
      <w:spacing w:before="0" w:afterLines="0" w:line="360" w:lineRule="auto"/>
      <w:jc w:val="center"/>
    </w:pPr>
    <w:rPr>
      <w:rFonts w:ascii="黑体"/>
      <w:sz w:val="24"/>
      <w:szCs w:val="24"/>
    </w:rPr>
  </w:style>
  <w:style w:type="paragraph" w:customStyle="1" w:styleId="3386">
    <w:name w:val="表内文字小84"/>
    <w:basedOn w:val="1"/>
    <w:qFormat/>
    <w:uiPriority w:val="0"/>
    <w:pPr>
      <w:adjustRightInd w:val="0"/>
      <w:snapToGrid w:val="0"/>
      <w:jc w:val="center"/>
    </w:pPr>
    <w:rPr>
      <w:rFonts w:ascii="宋体" w:hAnsi="Times" w:cs="宋体"/>
      <w:szCs w:val="20"/>
    </w:rPr>
  </w:style>
  <w:style w:type="paragraph" w:customStyle="1" w:styleId="3387">
    <w:name w:val="表题142"/>
    <w:basedOn w:val="21"/>
    <w:qFormat/>
    <w:uiPriority w:val="0"/>
    <w:pPr>
      <w:tabs>
        <w:tab w:val="clear" w:pos="7380"/>
      </w:tabs>
      <w:overflowPunct/>
      <w:spacing w:before="0" w:afterLines="0" w:line="360" w:lineRule="auto"/>
      <w:jc w:val="center"/>
    </w:pPr>
    <w:rPr>
      <w:rFonts w:ascii="黑体"/>
      <w:b/>
      <w:sz w:val="24"/>
      <w:szCs w:val="24"/>
    </w:rPr>
  </w:style>
  <w:style w:type="paragraph" w:customStyle="1" w:styleId="3388">
    <w:name w:val="表内文字小223"/>
    <w:basedOn w:val="1"/>
    <w:qFormat/>
    <w:uiPriority w:val="0"/>
    <w:pPr>
      <w:adjustRightInd w:val="0"/>
      <w:snapToGrid w:val="0"/>
      <w:jc w:val="center"/>
    </w:pPr>
    <w:rPr>
      <w:rFonts w:ascii="宋体" w:hAnsi="Times"/>
      <w:bCs/>
      <w:color w:val="000000"/>
      <w:szCs w:val="20"/>
    </w:rPr>
  </w:style>
  <w:style w:type="paragraph" w:customStyle="1" w:styleId="3389">
    <w:name w:val="样式 标题 4 + 段前: 0.5 行 段后: 0.5 行1"/>
    <w:basedOn w:val="5"/>
    <w:qFormat/>
    <w:uiPriority w:val="0"/>
    <w:pPr>
      <w:spacing w:beforeLines="50" w:afterLines="50" w:line="480" w:lineRule="exact"/>
    </w:pPr>
    <w:rPr>
      <w:rFonts w:ascii="楷体_GB2312" w:hAnsi="Times New Roman" w:eastAsia="楷体_GB2312" w:cs="宋体"/>
      <w:color w:val="000000"/>
      <w:spacing w:val="-6"/>
      <w:kern w:val="0"/>
      <w:sz w:val="24"/>
      <w:szCs w:val="20"/>
    </w:rPr>
  </w:style>
  <w:style w:type="paragraph" w:customStyle="1" w:styleId="3390">
    <w:name w:val="表内文字小21311"/>
    <w:basedOn w:val="1"/>
    <w:qFormat/>
    <w:uiPriority w:val="0"/>
    <w:pPr>
      <w:adjustRightInd w:val="0"/>
      <w:snapToGrid w:val="0"/>
      <w:jc w:val="center"/>
      <w:textAlignment w:val="baseline"/>
    </w:pPr>
    <w:rPr>
      <w:rFonts w:ascii="宋体" w:hAnsi="Times"/>
      <w:bCs/>
      <w:color w:val="000000"/>
      <w:szCs w:val="20"/>
    </w:rPr>
  </w:style>
  <w:style w:type="paragraph" w:customStyle="1" w:styleId="3391">
    <w:name w:val="表312"/>
    <w:basedOn w:val="1"/>
    <w:qFormat/>
    <w:uiPriority w:val="0"/>
    <w:pPr>
      <w:adjustRightInd w:val="0"/>
      <w:snapToGrid w:val="0"/>
      <w:jc w:val="center"/>
    </w:pPr>
    <w:rPr>
      <w:rFonts w:eastAsia="仿宋_GB2312"/>
      <w:sz w:val="24"/>
    </w:rPr>
  </w:style>
  <w:style w:type="paragraph" w:customStyle="1" w:styleId="3392">
    <w:name w:val="表内文字小23"/>
    <w:basedOn w:val="1"/>
    <w:qFormat/>
    <w:uiPriority w:val="0"/>
    <w:pPr>
      <w:adjustRightInd w:val="0"/>
      <w:snapToGrid w:val="0"/>
      <w:jc w:val="center"/>
    </w:pPr>
    <w:rPr>
      <w:rFonts w:ascii="宋体" w:hAnsi="Times"/>
      <w:bCs/>
      <w:color w:val="000000"/>
      <w:szCs w:val="20"/>
    </w:rPr>
  </w:style>
  <w:style w:type="paragraph" w:customStyle="1" w:styleId="3393">
    <w:name w:val="表内5中21"/>
    <w:basedOn w:val="1"/>
    <w:qFormat/>
    <w:uiPriority w:val="0"/>
    <w:pPr>
      <w:adjustRightInd w:val="0"/>
      <w:snapToGrid w:val="0"/>
      <w:jc w:val="center"/>
    </w:pPr>
    <w:rPr>
      <w:rFonts w:ascii="宋体" w:hAnsi="宋体" w:cs="Arial"/>
      <w:snapToGrid w:val="0"/>
      <w:color w:val="000000"/>
      <w:szCs w:val="21"/>
    </w:rPr>
  </w:style>
  <w:style w:type="paragraph" w:customStyle="1" w:styleId="3394">
    <w:name w:val="表题1113"/>
    <w:basedOn w:val="21"/>
    <w:qFormat/>
    <w:uiPriority w:val="0"/>
    <w:pPr>
      <w:tabs>
        <w:tab w:val="clear" w:pos="7380"/>
      </w:tabs>
      <w:overflowPunct/>
      <w:spacing w:before="0" w:afterLines="0" w:line="360" w:lineRule="auto"/>
      <w:jc w:val="center"/>
    </w:pPr>
    <w:rPr>
      <w:rFonts w:ascii="黑体"/>
      <w:sz w:val="24"/>
      <w:szCs w:val="24"/>
    </w:rPr>
  </w:style>
  <w:style w:type="paragraph" w:customStyle="1" w:styleId="3395">
    <w:name w:val="9 Char Char Char1"/>
    <w:basedOn w:val="1"/>
    <w:qFormat/>
    <w:uiPriority w:val="0"/>
    <w:pPr>
      <w:spacing w:line="240" w:lineRule="exact"/>
      <w:ind w:firstLine="200" w:firstLineChars="200"/>
    </w:pPr>
    <w:rPr>
      <w:sz w:val="28"/>
      <w:szCs w:val="28"/>
    </w:rPr>
  </w:style>
  <w:style w:type="paragraph" w:customStyle="1" w:styleId="3396">
    <w:name w:val="表题145"/>
    <w:basedOn w:val="21"/>
    <w:qFormat/>
    <w:uiPriority w:val="0"/>
    <w:pPr>
      <w:tabs>
        <w:tab w:val="clear" w:pos="7380"/>
      </w:tabs>
      <w:overflowPunct/>
      <w:spacing w:before="0" w:afterLines="0" w:line="360" w:lineRule="auto"/>
      <w:jc w:val="center"/>
    </w:pPr>
    <w:rPr>
      <w:rFonts w:ascii="黑体"/>
      <w:b/>
      <w:sz w:val="24"/>
      <w:szCs w:val="24"/>
    </w:rPr>
  </w:style>
  <w:style w:type="paragraph" w:customStyle="1" w:styleId="3397">
    <w:name w:val="默认段落字体 Para Char111"/>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3398">
    <w:name w:val="表文字56"/>
    <w:basedOn w:val="1"/>
    <w:qFormat/>
    <w:uiPriority w:val="0"/>
    <w:pPr>
      <w:adjustRightInd w:val="0"/>
      <w:jc w:val="left"/>
      <w:textAlignment w:val="baseline"/>
    </w:pPr>
    <w:rPr>
      <w:rFonts w:ascii="宋体"/>
      <w:kern w:val="0"/>
      <w:szCs w:val="20"/>
    </w:rPr>
  </w:style>
  <w:style w:type="paragraph" w:customStyle="1" w:styleId="3399">
    <w:name w:val="表内文字小21211"/>
    <w:basedOn w:val="1"/>
    <w:qFormat/>
    <w:uiPriority w:val="0"/>
    <w:pPr>
      <w:adjustRightInd w:val="0"/>
      <w:snapToGrid w:val="0"/>
      <w:jc w:val="center"/>
    </w:pPr>
    <w:rPr>
      <w:rFonts w:ascii="宋体" w:hAnsi="Times"/>
      <w:bCs/>
      <w:color w:val="000000"/>
      <w:szCs w:val="20"/>
    </w:rPr>
  </w:style>
  <w:style w:type="paragraph" w:customStyle="1" w:styleId="3400">
    <w:name w:val="正文格式12"/>
    <w:basedOn w:val="1"/>
    <w:qFormat/>
    <w:uiPriority w:val="0"/>
    <w:pPr>
      <w:spacing w:line="360" w:lineRule="auto"/>
      <w:ind w:firstLine="482"/>
    </w:pPr>
    <w:rPr>
      <w:rFonts w:ascii="宋体" w:hAnsi="宋体"/>
      <w:sz w:val="24"/>
    </w:rPr>
  </w:style>
  <w:style w:type="paragraph" w:customStyle="1" w:styleId="3401">
    <w:name w:val="表内宋51114"/>
    <w:basedOn w:val="80"/>
    <w:qFormat/>
    <w:uiPriority w:val="0"/>
    <w:pPr>
      <w:widowControl/>
      <w:adjustRightInd w:val="0"/>
      <w:snapToGrid w:val="0"/>
    </w:pPr>
    <w:rPr>
      <w:rFonts w:ascii="宋体" w:hAnsi="宋体" w:cs="宋体"/>
      <w:color w:val="000000"/>
      <w:sz w:val="21"/>
    </w:rPr>
  </w:style>
  <w:style w:type="paragraph" w:customStyle="1" w:styleId="3402">
    <w:name w:val="Dot1"/>
    <w:basedOn w:val="1"/>
    <w:qFormat/>
    <w:uiPriority w:val="0"/>
    <w:pPr>
      <w:tabs>
        <w:tab w:val="left" w:pos="1668"/>
      </w:tabs>
      <w:ind w:left="1668" w:hanging="420"/>
    </w:pPr>
    <w:rPr>
      <w:rFonts w:eastAsia="MS Mincho"/>
      <w:sz w:val="26"/>
      <w:szCs w:val="20"/>
      <w:lang w:val="en-GB" w:eastAsia="ja-JP"/>
    </w:rPr>
  </w:style>
  <w:style w:type="paragraph" w:customStyle="1" w:styleId="3403">
    <w:name w:val="Char102"/>
    <w:basedOn w:val="1"/>
    <w:qFormat/>
    <w:uiPriority w:val="0"/>
    <w:pPr>
      <w:adjustRightInd w:val="0"/>
      <w:snapToGrid w:val="0"/>
      <w:spacing w:line="360" w:lineRule="auto"/>
    </w:pPr>
  </w:style>
  <w:style w:type="paragraph" w:customStyle="1" w:styleId="3404">
    <w:name w:val="正文格式94"/>
    <w:basedOn w:val="1"/>
    <w:qFormat/>
    <w:uiPriority w:val="0"/>
    <w:pPr>
      <w:spacing w:line="360" w:lineRule="auto"/>
      <w:ind w:firstLine="482"/>
    </w:pPr>
    <w:rPr>
      <w:rFonts w:ascii="宋体" w:hAnsi="宋体"/>
      <w:sz w:val="24"/>
    </w:rPr>
  </w:style>
  <w:style w:type="paragraph" w:customStyle="1" w:styleId="3405">
    <w:name w:val="文本框14"/>
    <w:basedOn w:val="1"/>
    <w:qFormat/>
    <w:uiPriority w:val="0"/>
    <w:pPr>
      <w:adjustRightInd w:val="0"/>
      <w:snapToGrid w:val="0"/>
      <w:spacing w:after="6"/>
      <w:jc w:val="center"/>
    </w:pPr>
    <w:rPr>
      <w:rFonts w:eastAsia="仿宋_GB2312"/>
    </w:rPr>
  </w:style>
  <w:style w:type="paragraph" w:customStyle="1" w:styleId="3406">
    <w:name w:val="默认段落字体 Para Char34"/>
    <w:basedOn w:val="1"/>
    <w:qFormat/>
    <w:uiPriority w:val="0"/>
    <w:pPr>
      <w:spacing w:line="360" w:lineRule="auto"/>
      <w:ind w:firstLine="200" w:firstLineChars="200"/>
    </w:pPr>
    <w:rPr>
      <w:rFonts w:ascii="宋体" w:hAnsi="宋体" w:cs="宋体"/>
      <w:sz w:val="24"/>
    </w:rPr>
  </w:style>
  <w:style w:type="paragraph" w:customStyle="1" w:styleId="3407">
    <w:name w:val="码头表"/>
    <w:basedOn w:val="1"/>
    <w:qFormat/>
    <w:uiPriority w:val="0"/>
    <w:pPr>
      <w:adjustRightInd w:val="0"/>
      <w:spacing w:line="20" w:lineRule="atLeast"/>
      <w:jc w:val="center"/>
      <w:textAlignment w:val="baseline"/>
    </w:pPr>
    <w:rPr>
      <w:rFonts w:ascii="CG Times (W1)" w:hAnsi="CG Times (W1)"/>
      <w:color w:val="0000FF"/>
      <w:kern w:val="0"/>
      <w:sz w:val="24"/>
      <w:szCs w:val="20"/>
    </w:rPr>
  </w:style>
  <w:style w:type="paragraph" w:customStyle="1" w:styleId="3408">
    <w:name w:val="Fax Header3"/>
    <w:basedOn w:val="1"/>
    <w:qFormat/>
    <w:uiPriority w:val="0"/>
    <w:pPr>
      <w:widowControl/>
      <w:spacing w:before="240" w:after="60"/>
      <w:jc w:val="left"/>
    </w:pPr>
    <w:rPr>
      <w:kern w:val="0"/>
      <w:sz w:val="20"/>
      <w:szCs w:val="20"/>
    </w:rPr>
  </w:style>
  <w:style w:type="paragraph" w:customStyle="1" w:styleId="3409">
    <w:name w:val="Char4 Char Char Char Char Char Char Char Char Char Char Char Char Char Char Char"/>
    <w:basedOn w:val="1"/>
    <w:qFormat/>
    <w:uiPriority w:val="0"/>
    <w:pPr>
      <w:spacing w:line="240" w:lineRule="exact"/>
      <w:ind w:firstLine="200" w:firstLineChars="200"/>
    </w:pPr>
    <w:rPr>
      <w:sz w:val="28"/>
      <w:szCs w:val="28"/>
    </w:rPr>
  </w:style>
  <w:style w:type="paragraph" w:customStyle="1" w:styleId="3410">
    <w:name w:val="表内宋5中112"/>
    <w:basedOn w:val="1"/>
    <w:qFormat/>
    <w:uiPriority w:val="0"/>
    <w:pPr>
      <w:adjustRightInd w:val="0"/>
      <w:snapToGrid w:val="0"/>
      <w:jc w:val="center"/>
      <w:textAlignment w:val="baseline"/>
    </w:pPr>
    <w:rPr>
      <w:rFonts w:ascii="宋体" w:hAnsi="宋体" w:cs="宋体"/>
      <w:kern w:val="0"/>
      <w:szCs w:val="20"/>
    </w:rPr>
  </w:style>
  <w:style w:type="paragraph" w:customStyle="1" w:styleId="3411">
    <w:name w:val="Char Char Char Char Char Char Char Char Char Char Char Char Char Char Char Char Char Char Char Char Char Char Char Char Char Char Char Char Char Char Char Char Char Char Char Char Char1"/>
    <w:basedOn w:val="1"/>
    <w:qFormat/>
    <w:uiPriority w:val="0"/>
    <w:pPr>
      <w:spacing w:line="240" w:lineRule="exact"/>
      <w:ind w:firstLine="200" w:firstLineChars="200"/>
    </w:pPr>
    <w:rPr>
      <w:sz w:val="28"/>
      <w:szCs w:val="28"/>
    </w:rPr>
  </w:style>
  <w:style w:type="paragraph" w:customStyle="1" w:styleId="3412">
    <w:name w:val="表题154"/>
    <w:basedOn w:val="21"/>
    <w:qFormat/>
    <w:uiPriority w:val="0"/>
    <w:pPr>
      <w:tabs>
        <w:tab w:val="clear" w:pos="7380"/>
      </w:tabs>
      <w:overflowPunct/>
      <w:spacing w:before="0" w:afterLines="0" w:line="360" w:lineRule="auto"/>
      <w:jc w:val="center"/>
    </w:pPr>
    <w:rPr>
      <w:rFonts w:ascii="黑体"/>
      <w:b/>
      <w:sz w:val="24"/>
      <w:szCs w:val="24"/>
    </w:rPr>
  </w:style>
  <w:style w:type="paragraph" w:customStyle="1" w:styleId="3413">
    <w:name w:val="表内文字小2211"/>
    <w:basedOn w:val="1"/>
    <w:qFormat/>
    <w:uiPriority w:val="0"/>
    <w:pPr>
      <w:adjustRightInd w:val="0"/>
      <w:snapToGrid w:val="0"/>
      <w:jc w:val="center"/>
    </w:pPr>
    <w:rPr>
      <w:rFonts w:ascii="宋体" w:hAnsi="Times"/>
      <w:bCs/>
      <w:color w:val="000000"/>
      <w:szCs w:val="20"/>
    </w:rPr>
  </w:style>
  <w:style w:type="paragraph" w:customStyle="1" w:styleId="3414">
    <w:name w:val="表内文字小122"/>
    <w:basedOn w:val="1"/>
    <w:qFormat/>
    <w:uiPriority w:val="0"/>
    <w:pPr>
      <w:adjustRightInd w:val="0"/>
      <w:snapToGrid w:val="0"/>
      <w:jc w:val="center"/>
    </w:pPr>
    <w:rPr>
      <w:rFonts w:ascii="宋体" w:hAnsi="Times"/>
      <w:szCs w:val="20"/>
    </w:rPr>
  </w:style>
  <w:style w:type="paragraph" w:customStyle="1" w:styleId="3415">
    <w:name w:val="图题511"/>
    <w:basedOn w:val="184"/>
    <w:next w:val="184"/>
    <w:qFormat/>
    <w:uiPriority w:val="0"/>
    <w:pPr>
      <w:ind w:firstLine="0"/>
      <w:jc w:val="center"/>
    </w:pPr>
    <w:rPr>
      <w:rFonts w:ascii="黑体" w:hAnsi="宋体" w:eastAsia="黑体"/>
      <w:b/>
      <w:bCs/>
    </w:rPr>
  </w:style>
  <w:style w:type="paragraph" w:customStyle="1" w:styleId="3416">
    <w:name w:val="燕山正文211"/>
    <w:basedOn w:val="1"/>
    <w:qFormat/>
    <w:uiPriority w:val="0"/>
    <w:pPr>
      <w:tabs>
        <w:tab w:val="left" w:pos="4680"/>
      </w:tabs>
      <w:adjustRightInd w:val="0"/>
      <w:snapToGrid w:val="0"/>
      <w:spacing w:line="480" w:lineRule="exact"/>
    </w:pPr>
    <w:rPr>
      <w:rFonts w:ascii="宋体" w:cs="宋体"/>
      <w:sz w:val="24"/>
    </w:rPr>
  </w:style>
  <w:style w:type="paragraph" w:customStyle="1" w:styleId="3417">
    <w:name w:val="－列表2"/>
    <w:basedOn w:val="1"/>
    <w:qFormat/>
    <w:uiPriority w:val="0"/>
    <w:pPr>
      <w:jc w:val="center"/>
    </w:pPr>
    <w:rPr>
      <w:szCs w:val="21"/>
    </w:rPr>
  </w:style>
  <w:style w:type="paragraph" w:customStyle="1" w:styleId="3418">
    <w:name w:val="列表 2B"/>
    <w:basedOn w:val="36"/>
    <w:qFormat/>
    <w:uiPriority w:val="0"/>
    <w:pPr>
      <w:tabs>
        <w:tab w:val="left" w:pos="737"/>
      </w:tabs>
      <w:spacing w:line="288" w:lineRule="auto"/>
      <w:ind w:left="737" w:leftChars="0" w:hanging="567" w:firstLineChars="0"/>
    </w:pPr>
    <w:rPr>
      <w:rFonts w:ascii="Arial" w:hAnsi="Arial"/>
      <w:color w:val="FFFF99"/>
      <w:szCs w:val="20"/>
    </w:rPr>
  </w:style>
  <w:style w:type="paragraph" w:customStyle="1" w:styleId="3419">
    <w:name w:val="Indent1"/>
    <w:basedOn w:val="1"/>
    <w:qFormat/>
    <w:uiPriority w:val="0"/>
    <w:pPr>
      <w:overflowPunct w:val="0"/>
      <w:autoSpaceDE w:val="0"/>
      <w:autoSpaceDN w:val="0"/>
      <w:adjustRightInd w:val="0"/>
      <w:ind w:left="1440" w:hanging="720"/>
      <w:jc w:val="left"/>
      <w:textAlignment w:val="baseline"/>
    </w:pPr>
    <w:rPr>
      <w:rFonts w:ascii="Arial" w:hAnsi="Arial"/>
      <w:kern w:val="0"/>
      <w:sz w:val="22"/>
      <w:szCs w:val="20"/>
    </w:rPr>
  </w:style>
  <w:style w:type="paragraph" w:customStyle="1" w:styleId="3420">
    <w:name w:val="附件213"/>
    <w:basedOn w:val="2"/>
    <w:next w:val="184"/>
    <w:qFormat/>
    <w:uiPriority w:val="0"/>
    <w:pPr>
      <w:tabs>
        <w:tab w:val="left" w:pos="1566"/>
        <w:tab w:val="left" w:pos="2040"/>
      </w:tabs>
      <w:spacing w:before="0" w:after="210" w:line="360" w:lineRule="auto"/>
      <w:ind w:left="2040" w:leftChars="800" w:hanging="360" w:hangingChars="200"/>
      <w:jc w:val="left"/>
    </w:pPr>
    <w:rPr>
      <w:rFonts w:ascii="黑体" w:hAnsi="宋体" w:eastAsia="黑体"/>
      <w:b w:val="0"/>
      <w:sz w:val="32"/>
      <w:szCs w:val="32"/>
    </w:rPr>
  </w:style>
  <w:style w:type="paragraph" w:customStyle="1" w:styleId="3421">
    <w:name w:val="样式 正文文本 + 红色 Char Char Char Char Char"/>
    <w:basedOn w:val="1"/>
    <w:qFormat/>
    <w:uiPriority w:val="0"/>
    <w:pPr>
      <w:adjustRightInd w:val="0"/>
      <w:snapToGrid w:val="0"/>
      <w:spacing w:before="60" w:after="60" w:line="264" w:lineRule="auto"/>
      <w:ind w:firstLine="200" w:firstLineChars="200"/>
      <w:textAlignment w:val="baseline"/>
    </w:pPr>
    <w:rPr>
      <w:rFonts w:eastAsia="仿宋_GB2312"/>
      <w:snapToGrid w:val="0"/>
      <w:color w:val="FF0000"/>
      <w:kern w:val="0"/>
      <w:sz w:val="24"/>
    </w:rPr>
  </w:style>
  <w:style w:type="paragraph" w:customStyle="1" w:styleId="3422">
    <w:name w:val="偶数页脚注"/>
    <w:basedOn w:val="54"/>
    <w:qFormat/>
    <w:uiPriority w:val="0"/>
    <w:pPr>
      <w:keepLines/>
      <w:widowControl/>
      <w:tabs>
        <w:tab w:val="right" w:pos="0"/>
        <w:tab w:val="center" w:pos="7200"/>
        <w:tab w:val="right" w:pos="14400"/>
        <w:tab w:val="clear" w:pos="4153"/>
        <w:tab w:val="clear" w:pos="8306"/>
      </w:tabs>
      <w:overflowPunct w:val="0"/>
      <w:autoSpaceDE w:val="0"/>
      <w:autoSpaceDN w:val="0"/>
      <w:adjustRightInd w:val="0"/>
      <w:snapToGrid/>
      <w:jc w:val="right"/>
      <w:textAlignment w:val="baseline"/>
    </w:pPr>
    <w:rPr>
      <w:spacing w:val="80"/>
      <w:kern w:val="0"/>
      <w:sz w:val="20"/>
      <w:szCs w:val="24"/>
    </w:rPr>
  </w:style>
  <w:style w:type="paragraph" w:customStyle="1" w:styleId="3423">
    <w:name w:val="Char227"/>
    <w:basedOn w:val="1"/>
    <w:qFormat/>
    <w:uiPriority w:val="0"/>
    <w:pPr>
      <w:ind w:left="-48"/>
    </w:pPr>
  </w:style>
  <w:style w:type="paragraph" w:customStyle="1" w:styleId="3424">
    <w:name w:val="正文.113"/>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3425">
    <w:name w:val="Char220"/>
    <w:basedOn w:val="1"/>
    <w:qFormat/>
    <w:uiPriority w:val="0"/>
    <w:pPr>
      <w:ind w:left="-48"/>
    </w:pPr>
  </w:style>
  <w:style w:type="paragraph" w:customStyle="1" w:styleId="3426">
    <w:name w:val="正文修改311"/>
    <w:basedOn w:val="1161"/>
    <w:qFormat/>
    <w:uiPriority w:val="0"/>
    <w:rPr>
      <w:rFonts w:hAnsi="宋体"/>
      <w:color w:val="000000"/>
    </w:rPr>
  </w:style>
  <w:style w:type="paragraph" w:customStyle="1" w:styleId="3427">
    <w:name w:val="表内5"/>
    <w:basedOn w:val="3296"/>
    <w:qFormat/>
    <w:uiPriority w:val="0"/>
    <w:pPr>
      <w:jc w:val="both"/>
    </w:pPr>
  </w:style>
  <w:style w:type="paragraph" w:customStyle="1" w:styleId="3428">
    <w:name w:val="表格内字体2112"/>
    <w:basedOn w:val="184"/>
    <w:next w:val="184"/>
    <w:qFormat/>
    <w:uiPriority w:val="0"/>
    <w:pPr>
      <w:spacing w:line="240" w:lineRule="auto"/>
      <w:ind w:firstLine="0"/>
      <w:jc w:val="center"/>
    </w:pPr>
    <w:rPr>
      <w:rFonts w:hAnsi="宋体"/>
      <w:sz w:val="21"/>
    </w:rPr>
  </w:style>
  <w:style w:type="paragraph" w:customStyle="1" w:styleId="3429">
    <w:name w:val="表内541212"/>
    <w:basedOn w:val="1"/>
    <w:qFormat/>
    <w:uiPriority w:val="0"/>
    <w:pPr>
      <w:adjustRightInd w:val="0"/>
      <w:snapToGrid w:val="0"/>
      <w:spacing w:line="300" w:lineRule="auto"/>
      <w:jc w:val="center"/>
    </w:pPr>
    <w:rPr>
      <w:rFonts w:ascii="宋体" w:hAnsi="宋体" w:cs="宋体"/>
      <w:szCs w:val="20"/>
    </w:rPr>
  </w:style>
  <w:style w:type="paragraph" w:customStyle="1" w:styleId="3430">
    <w:name w:val="T标题4级"/>
    <w:basedOn w:val="5"/>
    <w:next w:val="1"/>
    <w:qFormat/>
    <w:uiPriority w:val="0"/>
    <w:pPr>
      <w:widowControl/>
      <w:tabs>
        <w:tab w:val="left" w:pos="233"/>
      </w:tabs>
      <w:overflowPunct w:val="0"/>
      <w:autoSpaceDE w:val="0"/>
      <w:autoSpaceDN w:val="0"/>
      <w:spacing w:beforeLines="50" w:afterLines="50" w:line="360" w:lineRule="auto"/>
      <w:ind w:left="2520" w:hanging="420" w:hangingChars="200"/>
      <w:jc w:val="left"/>
      <w:textAlignment w:val="baseline"/>
    </w:pPr>
    <w:rPr>
      <w:rFonts w:ascii="宋体" w:hAnsi="宋体" w:eastAsia="宋体"/>
      <w:b/>
      <w:bCs w:val="0"/>
      <w:color w:val="000000"/>
      <w:spacing w:val="-6"/>
      <w:kern w:val="0"/>
      <w:sz w:val="30"/>
      <w:szCs w:val="24"/>
    </w:rPr>
  </w:style>
  <w:style w:type="paragraph" w:customStyle="1" w:styleId="3431">
    <w:name w:val="表内53112"/>
    <w:basedOn w:val="1"/>
    <w:qFormat/>
    <w:uiPriority w:val="0"/>
    <w:pPr>
      <w:adjustRightInd w:val="0"/>
      <w:snapToGrid w:val="0"/>
      <w:spacing w:line="300" w:lineRule="auto"/>
      <w:jc w:val="left"/>
    </w:pPr>
    <w:rPr>
      <w:rFonts w:ascii="宋体"/>
      <w:szCs w:val="20"/>
    </w:rPr>
  </w:style>
  <w:style w:type="paragraph" w:customStyle="1" w:styleId="3432">
    <w:name w:val="正文修改112"/>
    <w:basedOn w:val="1161"/>
    <w:qFormat/>
    <w:uiPriority w:val="0"/>
    <w:rPr>
      <w:rFonts w:hAnsi="宋体"/>
      <w:color w:val="000000"/>
    </w:rPr>
  </w:style>
  <w:style w:type="paragraph" w:customStyle="1" w:styleId="3433">
    <w:name w:val="Char3 Char Char Char Char Char Char Char Char Char"/>
    <w:basedOn w:val="1"/>
    <w:qFormat/>
    <w:uiPriority w:val="0"/>
    <w:rPr>
      <w:szCs w:val="21"/>
    </w:rPr>
  </w:style>
  <w:style w:type="paragraph" w:customStyle="1" w:styleId="3434">
    <w:name w:val="Char Char Char1 Char Char Char Char Char Char Char"/>
    <w:basedOn w:val="1"/>
    <w:qFormat/>
    <w:uiPriority w:val="0"/>
    <w:rPr>
      <w:rFonts w:ascii="Tahoma" w:hAnsi="Tahoma"/>
      <w:sz w:val="24"/>
      <w:szCs w:val="20"/>
    </w:rPr>
  </w:style>
  <w:style w:type="paragraph" w:customStyle="1" w:styleId="3435">
    <w:name w:val="+标题1"/>
    <w:basedOn w:val="2"/>
    <w:qFormat/>
    <w:uiPriority w:val="0"/>
    <w:pPr>
      <w:pageBreakBefore/>
      <w:tabs>
        <w:tab w:val="left" w:pos="432"/>
        <w:tab w:val="left" w:pos="2040"/>
      </w:tabs>
      <w:spacing w:beforeLines="100" w:afterLines="100" w:line="360" w:lineRule="auto"/>
      <w:ind w:left="432" w:leftChars="800" w:hanging="632" w:hangingChars="200"/>
      <w:jc w:val="center"/>
    </w:pPr>
    <w:rPr>
      <w:rFonts w:ascii="仿宋_GB2312" w:eastAsia="仿宋_GB2312"/>
      <w:bCs w:val="0"/>
      <w:color w:val="FF0000"/>
      <w:sz w:val="32"/>
      <w:szCs w:val="32"/>
    </w:rPr>
  </w:style>
  <w:style w:type="paragraph" w:customStyle="1" w:styleId="3436">
    <w:name w:val="标题4311"/>
    <w:basedOn w:val="1"/>
    <w:qFormat/>
    <w:uiPriority w:val="0"/>
    <w:pPr>
      <w:adjustRightInd w:val="0"/>
      <w:snapToGrid w:val="0"/>
      <w:spacing w:line="480" w:lineRule="exact"/>
      <w:jc w:val="center"/>
    </w:pPr>
    <w:rPr>
      <w:rFonts w:ascii="宋体" w:hAnsi="宋体" w:cs="宋体"/>
      <w:sz w:val="24"/>
    </w:rPr>
  </w:style>
  <w:style w:type="paragraph" w:customStyle="1" w:styleId="3437">
    <w:name w:val="Char Char Char Char Char Char Char Char Char Char Char Char Char Char Char Char Char Char Char Char Char Char Char Char Char Char Char Char"/>
    <w:basedOn w:val="1"/>
    <w:qFormat/>
    <w:uiPriority w:val="0"/>
    <w:rPr>
      <w:sz w:val="24"/>
    </w:rPr>
  </w:style>
  <w:style w:type="paragraph" w:customStyle="1" w:styleId="3438">
    <w:name w:val="默认段落字体 Para Char Char Char Char41"/>
    <w:basedOn w:val="1"/>
    <w:qFormat/>
    <w:uiPriority w:val="0"/>
  </w:style>
  <w:style w:type="paragraph" w:customStyle="1" w:styleId="3439">
    <w:name w:val="默认段落字体 Para Char Char Char Char63"/>
    <w:basedOn w:val="1"/>
    <w:qFormat/>
    <w:uiPriority w:val="0"/>
  </w:style>
  <w:style w:type="paragraph" w:customStyle="1" w:styleId="3440">
    <w:name w:val="Char Char Char Char Char Char Char213"/>
    <w:basedOn w:val="1"/>
    <w:qFormat/>
    <w:uiPriority w:val="0"/>
  </w:style>
  <w:style w:type="paragraph" w:customStyle="1" w:styleId="3441">
    <w:name w:val="Char Char Char Char Char Char Char127"/>
    <w:basedOn w:val="1"/>
    <w:qFormat/>
    <w:uiPriority w:val="0"/>
  </w:style>
  <w:style w:type="paragraph" w:customStyle="1" w:styleId="3442">
    <w:name w:val="edri-title secong"/>
    <w:basedOn w:val="1"/>
    <w:qFormat/>
    <w:uiPriority w:val="0"/>
    <w:pPr>
      <w:tabs>
        <w:tab w:val="left" w:pos="2"/>
        <w:tab w:val="left" w:pos="945"/>
      </w:tabs>
      <w:spacing w:beforeLines="50" w:line="300" w:lineRule="auto"/>
      <w:ind w:left="966" w:hanging="964"/>
      <w:outlineLvl w:val="1"/>
    </w:pPr>
    <w:rPr>
      <w:rFonts w:ascii="Arial Narrow" w:hAnsi="Arial Narrow"/>
      <w:b/>
      <w:bCs/>
      <w:kern w:val="0"/>
      <w:sz w:val="28"/>
      <w:szCs w:val="20"/>
    </w:rPr>
  </w:style>
  <w:style w:type="paragraph" w:customStyle="1" w:styleId="3443">
    <w:name w:val="表题3142"/>
    <w:basedOn w:val="34"/>
    <w:qFormat/>
    <w:uiPriority w:val="0"/>
    <w:pPr>
      <w:tabs>
        <w:tab w:val="left" w:pos="4305"/>
      </w:tabs>
      <w:adjustRightInd w:val="0"/>
      <w:snapToGrid w:val="0"/>
      <w:spacing w:after="0"/>
      <w:ind w:left="0" w:leftChars="0"/>
      <w:jc w:val="center"/>
    </w:pPr>
    <w:rPr>
      <w:rFonts w:ascii="宋体" w:hAnsi="宋体"/>
      <w:sz w:val="24"/>
      <w:szCs w:val="20"/>
    </w:rPr>
  </w:style>
  <w:style w:type="paragraph" w:customStyle="1" w:styleId="3444">
    <w:name w:val="表题1414"/>
    <w:basedOn w:val="1"/>
    <w:qFormat/>
    <w:uiPriority w:val="0"/>
    <w:pPr>
      <w:widowControl/>
      <w:adjustRightInd w:val="0"/>
      <w:snapToGrid w:val="0"/>
      <w:jc w:val="center"/>
    </w:pPr>
    <w:rPr>
      <w:rFonts w:ascii="黑体" w:hAnsi="宋体" w:eastAsia="黑体" w:cs="宋体"/>
      <w:kern w:val="0"/>
      <w:sz w:val="24"/>
    </w:rPr>
  </w:style>
  <w:style w:type="paragraph" w:customStyle="1" w:styleId="3445">
    <w:name w:val="正文修改51"/>
    <w:basedOn w:val="1161"/>
    <w:qFormat/>
    <w:uiPriority w:val="0"/>
    <w:rPr>
      <w:rFonts w:hAnsi="宋体"/>
      <w:color w:val="000000"/>
    </w:rPr>
  </w:style>
  <w:style w:type="paragraph" w:customStyle="1" w:styleId="3446">
    <w:name w:val="样式 标题 3小标题小节标题标题3H3h33rd level第二层条标题4 + Arial 两端对齐"/>
    <w:basedOn w:val="4"/>
    <w:qFormat/>
    <w:uiPriority w:val="0"/>
    <w:pPr>
      <w:tabs>
        <w:tab w:val="left" w:pos="233"/>
        <w:tab w:val="left" w:pos="993"/>
        <w:tab w:val="left" w:pos="1050"/>
        <w:tab w:val="left" w:pos="1111"/>
      </w:tabs>
      <w:adjustRightInd w:val="0"/>
      <w:spacing w:before="0" w:after="0" w:line="360" w:lineRule="auto"/>
      <w:ind w:left="851" w:hanging="851"/>
      <w:textAlignment w:val="baseline"/>
    </w:pPr>
    <w:rPr>
      <w:rFonts w:ascii="Arial" w:hAnsi="Arial" w:cs="宋体"/>
      <w:color w:val="000000"/>
      <w:kern w:val="0"/>
      <w:sz w:val="30"/>
      <w:szCs w:val="30"/>
    </w:rPr>
  </w:style>
  <w:style w:type="paragraph" w:customStyle="1" w:styleId="3447">
    <w:name w:val="首页页眉样式"/>
    <w:basedOn w:val="56"/>
    <w:qFormat/>
    <w:uiPriority w:val="0"/>
    <w:pPr>
      <w:pBdr>
        <w:bottom w:val="none" w:color="auto" w:sz="0" w:space="0"/>
      </w:pBdr>
      <w:tabs>
        <w:tab w:val="clear" w:pos="4153"/>
        <w:tab w:val="clear" w:pos="8306"/>
      </w:tabs>
      <w:adjustRightInd w:val="0"/>
      <w:spacing w:line="360" w:lineRule="auto"/>
      <w:textAlignment w:val="baseline"/>
    </w:pPr>
    <w:rPr>
      <w:rFonts w:ascii="楷体_GB2312" w:hAnsi="Alaska" w:eastAsia="楷体_GB2312"/>
      <w:spacing w:val="-20"/>
      <w:kern w:val="0"/>
      <w:szCs w:val="20"/>
    </w:rPr>
  </w:style>
  <w:style w:type="paragraph" w:customStyle="1" w:styleId="3448">
    <w:name w:val="Char Char Char Char1 Char Char Char18"/>
    <w:basedOn w:val="1"/>
    <w:qFormat/>
    <w:uiPriority w:val="0"/>
    <w:pPr>
      <w:widowControl/>
      <w:spacing w:after="160" w:line="240" w:lineRule="exact"/>
      <w:jc w:val="left"/>
    </w:pPr>
    <w:rPr>
      <w:rFonts w:ascii="Verdana" w:hAnsi="Verdana"/>
      <w:kern w:val="0"/>
      <w:sz w:val="20"/>
      <w:szCs w:val="20"/>
      <w:lang w:eastAsia="en-US"/>
    </w:rPr>
  </w:style>
  <w:style w:type="paragraph" w:customStyle="1" w:styleId="3449">
    <w:name w:val="样式1212"/>
    <w:basedOn w:val="2158"/>
    <w:qFormat/>
    <w:uiPriority w:val="0"/>
    <w:pPr>
      <w:spacing w:line="240" w:lineRule="auto"/>
      <w:ind w:firstLine="0"/>
      <w:jc w:val="center"/>
    </w:pPr>
    <w:rPr>
      <w:rFonts w:cs="Times New Roman"/>
      <w:b/>
      <w:color w:val="auto"/>
      <w:szCs w:val="20"/>
    </w:rPr>
  </w:style>
  <w:style w:type="paragraph" w:customStyle="1" w:styleId="3450">
    <w:name w:val="Char92"/>
    <w:basedOn w:val="1"/>
    <w:qFormat/>
    <w:uiPriority w:val="0"/>
    <w:pPr>
      <w:ind w:left="-48"/>
    </w:pPr>
  </w:style>
  <w:style w:type="paragraph" w:customStyle="1" w:styleId="3451">
    <w:name w:val="标题422"/>
    <w:basedOn w:val="1"/>
    <w:qFormat/>
    <w:uiPriority w:val="0"/>
    <w:pPr>
      <w:adjustRightInd w:val="0"/>
      <w:snapToGrid w:val="0"/>
      <w:spacing w:line="300" w:lineRule="auto"/>
      <w:jc w:val="left"/>
    </w:pPr>
    <w:rPr>
      <w:rFonts w:ascii="黑体" w:eastAsia="黑体"/>
      <w:bCs/>
      <w:sz w:val="24"/>
    </w:rPr>
  </w:style>
  <w:style w:type="paragraph" w:customStyle="1" w:styleId="3452">
    <w:name w:val="图题312"/>
    <w:basedOn w:val="184"/>
    <w:next w:val="184"/>
    <w:qFormat/>
    <w:uiPriority w:val="0"/>
    <w:pPr>
      <w:ind w:firstLine="0"/>
      <w:jc w:val="center"/>
    </w:pPr>
    <w:rPr>
      <w:rFonts w:ascii="黑体" w:hAnsi="宋体" w:eastAsia="黑体"/>
      <w:b/>
      <w:bCs/>
    </w:rPr>
  </w:style>
  <w:style w:type="paragraph" w:customStyle="1" w:styleId="3453">
    <w:name w:val="图题41"/>
    <w:basedOn w:val="184"/>
    <w:next w:val="184"/>
    <w:qFormat/>
    <w:uiPriority w:val="0"/>
    <w:pPr>
      <w:ind w:firstLine="0"/>
      <w:jc w:val="center"/>
    </w:pPr>
    <w:rPr>
      <w:rFonts w:ascii="黑体" w:hAnsi="宋体" w:eastAsia="黑体"/>
      <w:b/>
      <w:bCs/>
    </w:rPr>
  </w:style>
  <w:style w:type="paragraph" w:customStyle="1" w:styleId="3454">
    <w:name w:val="编号引导"/>
    <w:basedOn w:val="19"/>
    <w:next w:val="19"/>
    <w:qFormat/>
    <w:uiPriority w:val="0"/>
    <w:pPr>
      <w:widowControl/>
      <w:tabs>
        <w:tab w:val="clear" w:pos="360"/>
      </w:tabs>
      <w:overflowPunct w:val="0"/>
      <w:autoSpaceDE w:val="0"/>
      <w:autoSpaceDN w:val="0"/>
      <w:adjustRightInd w:val="0"/>
      <w:spacing w:before="80" w:after="160"/>
      <w:ind w:left="720" w:firstLine="0" w:firstLineChars="0"/>
      <w:jc w:val="left"/>
      <w:textAlignment w:val="baseline"/>
    </w:pPr>
    <w:rPr>
      <w:b/>
      <w:kern w:val="0"/>
      <w:sz w:val="20"/>
      <w:szCs w:val="20"/>
    </w:rPr>
  </w:style>
  <w:style w:type="paragraph" w:customStyle="1" w:styleId="3455">
    <w:name w:val="表内5913"/>
    <w:basedOn w:val="1"/>
    <w:qFormat/>
    <w:uiPriority w:val="0"/>
    <w:pPr>
      <w:adjustRightInd w:val="0"/>
      <w:snapToGrid w:val="0"/>
      <w:spacing w:line="300" w:lineRule="auto"/>
      <w:jc w:val="center"/>
    </w:pPr>
    <w:rPr>
      <w:rFonts w:ascii="宋体"/>
      <w:snapToGrid w:val="0"/>
      <w:szCs w:val="21"/>
    </w:rPr>
  </w:style>
  <w:style w:type="paragraph" w:customStyle="1" w:styleId="3456">
    <w:name w:val="表格内字体311"/>
    <w:basedOn w:val="184"/>
    <w:next w:val="184"/>
    <w:qFormat/>
    <w:uiPriority w:val="0"/>
    <w:pPr>
      <w:spacing w:line="240" w:lineRule="auto"/>
      <w:ind w:firstLine="0"/>
      <w:jc w:val="center"/>
    </w:pPr>
    <w:rPr>
      <w:rFonts w:hAnsi="宋体"/>
      <w:sz w:val="21"/>
    </w:rPr>
  </w:style>
  <w:style w:type="paragraph" w:customStyle="1" w:styleId="3457">
    <w:name w:val="黑体三号23"/>
    <w:basedOn w:val="184"/>
    <w:qFormat/>
    <w:uiPriority w:val="0"/>
    <w:pPr>
      <w:jc w:val="center"/>
    </w:pPr>
    <w:rPr>
      <w:rFonts w:ascii="黑体" w:hAnsi="宋体" w:eastAsia="黑体"/>
      <w:b/>
      <w:bCs/>
      <w:sz w:val="32"/>
      <w:szCs w:val="20"/>
    </w:rPr>
  </w:style>
  <w:style w:type="paragraph" w:customStyle="1" w:styleId="3458">
    <w:name w:val="默认段落字体 Para Char Char Char Char22"/>
    <w:basedOn w:val="1"/>
    <w:qFormat/>
    <w:uiPriority w:val="0"/>
  </w:style>
  <w:style w:type="paragraph" w:customStyle="1" w:styleId="3459">
    <w:name w:val="表格内字体413"/>
    <w:basedOn w:val="184"/>
    <w:next w:val="184"/>
    <w:qFormat/>
    <w:uiPriority w:val="0"/>
    <w:pPr>
      <w:spacing w:line="240" w:lineRule="auto"/>
      <w:ind w:firstLine="0"/>
      <w:jc w:val="center"/>
    </w:pPr>
    <w:rPr>
      <w:rFonts w:hAnsi="宋体"/>
      <w:sz w:val="21"/>
    </w:rPr>
  </w:style>
  <w:style w:type="paragraph" w:customStyle="1" w:styleId="3460">
    <w:name w:val="样式 表内小5 + 黑体 加粗 倾斜 下划线2"/>
    <w:basedOn w:val="1"/>
    <w:qFormat/>
    <w:uiPriority w:val="0"/>
    <w:pPr>
      <w:adjustRightInd w:val="0"/>
      <w:snapToGrid w:val="0"/>
      <w:spacing w:line="300" w:lineRule="auto"/>
      <w:jc w:val="left"/>
    </w:pPr>
    <w:rPr>
      <w:rFonts w:ascii="黑体" w:hAnsi="黑体" w:eastAsia="黑体"/>
      <w:b/>
      <w:bCs/>
      <w:i/>
      <w:iCs/>
      <w:sz w:val="18"/>
      <w:u w:val="single"/>
    </w:rPr>
  </w:style>
  <w:style w:type="paragraph" w:customStyle="1" w:styleId="3461">
    <w:name w:val="表题3122"/>
    <w:basedOn w:val="34"/>
    <w:qFormat/>
    <w:uiPriority w:val="0"/>
    <w:pPr>
      <w:tabs>
        <w:tab w:val="left" w:pos="4305"/>
      </w:tabs>
      <w:adjustRightInd w:val="0"/>
      <w:snapToGrid w:val="0"/>
      <w:spacing w:after="0"/>
      <w:ind w:left="0" w:leftChars="0"/>
      <w:jc w:val="center"/>
    </w:pPr>
    <w:rPr>
      <w:rFonts w:ascii="宋体" w:hAnsi="宋体"/>
      <w:sz w:val="24"/>
      <w:szCs w:val="20"/>
    </w:rPr>
  </w:style>
  <w:style w:type="paragraph" w:customStyle="1" w:styleId="3462">
    <w:name w:val="表格内字体611"/>
    <w:basedOn w:val="184"/>
    <w:next w:val="184"/>
    <w:qFormat/>
    <w:uiPriority w:val="0"/>
    <w:pPr>
      <w:spacing w:line="240" w:lineRule="auto"/>
      <w:ind w:firstLine="0"/>
      <w:jc w:val="center"/>
    </w:pPr>
    <w:rPr>
      <w:rFonts w:hAnsi="宋体"/>
      <w:sz w:val="21"/>
    </w:rPr>
  </w:style>
  <w:style w:type="paragraph" w:customStyle="1" w:styleId="3463">
    <w:name w:val="Char Char Char Char Char Char Char38"/>
    <w:basedOn w:val="1"/>
    <w:qFormat/>
    <w:uiPriority w:val="0"/>
  </w:style>
  <w:style w:type="paragraph" w:customStyle="1" w:styleId="3464">
    <w:name w:val="Char Char2 Char Char Char Char11"/>
    <w:basedOn w:val="1"/>
    <w:qFormat/>
    <w:uiPriority w:val="0"/>
  </w:style>
  <w:style w:type="paragraph" w:customStyle="1" w:styleId="3465">
    <w:name w:val="空行"/>
    <w:basedOn w:val="1"/>
    <w:qFormat/>
    <w:uiPriority w:val="0"/>
    <w:pPr>
      <w:overflowPunct w:val="0"/>
      <w:topLinePunct/>
      <w:autoSpaceDE w:val="0"/>
      <w:adjustRightInd w:val="0"/>
      <w:snapToGrid w:val="0"/>
      <w:spacing w:line="360" w:lineRule="auto"/>
    </w:pPr>
    <w:rPr>
      <w:b/>
      <w:sz w:val="24"/>
    </w:rPr>
  </w:style>
  <w:style w:type="paragraph" w:customStyle="1" w:styleId="3466">
    <w:name w:val="图题32"/>
    <w:basedOn w:val="184"/>
    <w:next w:val="184"/>
    <w:qFormat/>
    <w:uiPriority w:val="0"/>
    <w:pPr>
      <w:ind w:firstLine="0"/>
      <w:jc w:val="center"/>
    </w:pPr>
    <w:rPr>
      <w:rFonts w:ascii="黑体" w:hAnsi="宋体" w:eastAsia="黑体"/>
      <w:b/>
      <w:bCs/>
    </w:rPr>
  </w:style>
  <w:style w:type="paragraph" w:customStyle="1" w:styleId="3467">
    <w:name w:val="附件42"/>
    <w:basedOn w:val="2"/>
    <w:next w:val="184"/>
    <w:qFormat/>
    <w:uiPriority w:val="0"/>
    <w:pPr>
      <w:tabs>
        <w:tab w:val="left" w:pos="1566"/>
        <w:tab w:val="left" w:pos="2040"/>
      </w:tabs>
      <w:spacing w:before="0" w:after="210" w:line="360" w:lineRule="auto"/>
      <w:ind w:left="2040" w:leftChars="800" w:hanging="360" w:hangingChars="200"/>
      <w:jc w:val="left"/>
    </w:pPr>
    <w:rPr>
      <w:rFonts w:ascii="黑体" w:hAnsi="宋体" w:eastAsia="黑体"/>
      <w:sz w:val="32"/>
      <w:szCs w:val="32"/>
    </w:rPr>
  </w:style>
  <w:style w:type="paragraph" w:customStyle="1" w:styleId="3468">
    <w:name w:val="Char Char Char Char Char Char Char37"/>
    <w:basedOn w:val="1"/>
    <w:qFormat/>
    <w:uiPriority w:val="0"/>
  </w:style>
  <w:style w:type="paragraph" w:customStyle="1" w:styleId="3469">
    <w:name w:val="图题15"/>
    <w:basedOn w:val="184"/>
    <w:next w:val="184"/>
    <w:qFormat/>
    <w:uiPriority w:val="0"/>
    <w:pPr>
      <w:ind w:firstLine="0"/>
      <w:jc w:val="center"/>
    </w:pPr>
    <w:rPr>
      <w:rFonts w:ascii="黑体" w:hAnsi="宋体" w:eastAsia="黑体"/>
      <w:b/>
      <w:bCs/>
    </w:rPr>
  </w:style>
  <w:style w:type="paragraph" w:customStyle="1" w:styleId="3470">
    <w:name w:val="Char Char Char Char Char Char Char151"/>
    <w:basedOn w:val="1"/>
    <w:qFormat/>
    <w:uiPriority w:val="0"/>
    <w:rPr>
      <w:szCs w:val="20"/>
    </w:rPr>
  </w:style>
  <w:style w:type="paragraph" w:customStyle="1" w:styleId="3471">
    <w:name w:val="样式 正文文本 + (中文) 黑体 红色 Char Char Char Char Char"/>
    <w:basedOn w:val="1"/>
    <w:qFormat/>
    <w:uiPriority w:val="0"/>
    <w:pPr>
      <w:adjustRightInd w:val="0"/>
      <w:snapToGrid w:val="0"/>
      <w:spacing w:before="60" w:after="60" w:line="264" w:lineRule="auto"/>
      <w:ind w:firstLine="200" w:firstLineChars="200"/>
      <w:textAlignment w:val="baseline"/>
    </w:pPr>
    <w:rPr>
      <w:rFonts w:eastAsia="黑体"/>
      <w:snapToGrid w:val="0"/>
      <w:color w:val="FF0000"/>
      <w:kern w:val="0"/>
      <w:sz w:val="24"/>
    </w:rPr>
  </w:style>
  <w:style w:type="paragraph" w:customStyle="1" w:styleId="3472">
    <w:name w:val="8--"/>
    <w:basedOn w:val="1"/>
    <w:qFormat/>
    <w:uiPriority w:val="0"/>
    <w:pPr>
      <w:pBdr>
        <w:top w:val="single" w:color="auto" w:sz="4" w:space="1"/>
      </w:pBdr>
      <w:adjustRightInd w:val="0"/>
      <w:spacing w:line="360" w:lineRule="atLeast"/>
      <w:jc w:val="left"/>
      <w:textAlignment w:val="baseline"/>
    </w:pPr>
    <w:rPr>
      <w:kern w:val="0"/>
      <w:sz w:val="24"/>
      <w:szCs w:val="20"/>
    </w:rPr>
  </w:style>
  <w:style w:type="paragraph" w:customStyle="1" w:styleId="3473">
    <w:name w:val="表格内字体1112"/>
    <w:basedOn w:val="184"/>
    <w:qFormat/>
    <w:uiPriority w:val="0"/>
    <w:pPr>
      <w:spacing w:line="240" w:lineRule="auto"/>
      <w:ind w:firstLine="0"/>
      <w:jc w:val="center"/>
    </w:pPr>
    <w:rPr>
      <w:sz w:val="21"/>
      <w:szCs w:val="20"/>
    </w:rPr>
  </w:style>
  <w:style w:type="paragraph" w:customStyle="1" w:styleId="3474">
    <w:name w:val="黑体三号13"/>
    <w:basedOn w:val="184"/>
    <w:qFormat/>
    <w:uiPriority w:val="0"/>
    <w:pPr>
      <w:jc w:val="center"/>
    </w:pPr>
    <w:rPr>
      <w:rFonts w:ascii="黑体" w:hAnsi="宋体" w:eastAsia="黑体"/>
      <w:b/>
      <w:bCs/>
      <w:sz w:val="32"/>
      <w:szCs w:val="20"/>
    </w:rPr>
  </w:style>
  <w:style w:type="paragraph" w:customStyle="1" w:styleId="3475">
    <w:name w:val="表内文字边2"/>
    <w:basedOn w:val="1"/>
    <w:qFormat/>
    <w:uiPriority w:val="0"/>
    <w:pPr>
      <w:widowControl/>
      <w:adjustRightInd w:val="0"/>
      <w:snapToGrid w:val="0"/>
      <w:spacing w:line="240" w:lineRule="atLeast"/>
      <w:ind w:left="-21" w:leftChars="-10" w:right="-42" w:rightChars="-20"/>
    </w:pPr>
    <w:rPr>
      <w:rFonts w:ascii="宋体"/>
      <w:kern w:val="0"/>
      <w:szCs w:val="21"/>
    </w:rPr>
  </w:style>
  <w:style w:type="paragraph" w:customStyle="1" w:styleId="3476">
    <w:name w:val="表格内字体223"/>
    <w:basedOn w:val="184"/>
    <w:next w:val="184"/>
    <w:qFormat/>
    <w:uiPriority w:val="0"/>
    <w:pPr>
      <w:spacing w:line="240" w:lineRule="auto"/>
      <w:ind w:firstLine="0"/>
      <w:jc w:val="center"/>
    </w:pPr>
    <w:rPr>
      <w:rFonts w:hAnsi="宋体"/>
      <w:sz w:val="21"/>
    </w:rPr>
  </w:style>
  <w:style w:type="paragraph" w:customStyle="1" w:styleId="3477">
    <w:name w:val="Char Char Char Char Char Char Char16"/>
    <w:basedOn w:val="1"/>
    <w:qFormat/>
    <w:uiPriority w:val="0"/>
  </w:style>
  <w:style w:type="paragraph" w:customStyle="1" w:styleId="3478">
    <w:name w:val="Char1 Char Char Char Char Char Char Char Char Char Char Char"/>
    <w:basedOn w:val="1"/>
    <w:qFormat/>
    <w:uiPriority w:val="0"/>
    <w:pPr>
      <w:spacing w:line="480" w:lineRule="exact"/>
    </w:pPr>
  </w:style>
  <w:style w:type="paragraph" w:customStyle="1" w:styleId="3479">
    <w:name w:val="Char23"/>
    <w:basedOn w:val="1"/>
    <w:qFormat/>
    <w:uiPriority w:val="0"/>
    <w:pPr>
      <w:ind w:left="-48"/>
    </w:pPr>
  </w:style>
  <w:style w:type="paragraph" w:customStyle="1" w:styleId="3480">
    <w:name w:val="样式2－王鹏"/>
    <w:basedOn w:val="1"/>
    <w:qFormat/>
    <w:uiPriority w:val="0"/>
    <w:pPr>
      <w:pBdr>
        <w:top w:val="single" w:color="auto" w:sz="4" w:space="1"/>
      </w:pBdr>
      <w:autoSpaceDE w:val="0"/>
      <w:autoSpaceDN w:val="0"/>
      <w:adjustRightInd w:val="0"/>
      <w:snapToGrid w:val="0"/>
      <w:spacing w:line="300" w:lineRule="auto"/>
      <w:jc w:val="center"/>
      <w:textAlignment w:val="baseline"/>
    </w:pPr>
    <w:rPr>
      <w:kern w:val="0"/>
      <w:szCs w:val="21"/>
    </w:rPr>
  </w:style>
  <w:style w:type="paragraph" w:customStyle="1" w:styleId="3481">
    <w:name w:val="燕山正文7"/>
    <w:basedOn w:val="1"/>
    <w:qFormat/>
    <w:uiPriority w:val="0"/>
    <w:pPr>
      <w:tabs>
        <w:tab w:val="left" w:pos="4680"/>
      </w:tabs>
      <w:adjustRightInd w:val="0"/>
      <w:snapToGrid w:val="0"/>
      <w:spacing w:line="480" w:lineRule="exact"/>
    </w:pPr>
    <w:rPr>
      <w:rFonts w:ascii="宋体" w:cs="宋体"/>
      <w:sz w:val="24"/>
    </w:rPr>
  </w:style>
  <w:style w:type="paragraph" w:customStyle="1" w:styleId="3482">
    <w:name w:val="标题 4PIM 4h4第三层条标题 4 Char Char Char Char CharH4bulletbl...1"/>
    <w:basedOn w:val="5"/>
    <w:qFormat/>
    <w:uiPriority w:val="0"/>
    <w:pPr>
      <w:keepNext w:val="0"/>
      <w:keepLines w:val="0"/>
      <w:spacing w:line="360" w:lineRule="auto"/>
      <w:ind w:firstLine="567"/>
    </w:pPr>
    <w:rPr>
      <w:rFonts w:hAnsi="仿宋_GB2312"/>
    </w:rPr>
  </w:style>
  <w:style w:type="paragraph" w:customStyle="1" w:styleId="3483">
    <w:name w:val="couv"/>
    <w:basedOn w:val="1"/>
    <w:qFormat/>
    <w:uiPriority w:val="0"/>
    <w:pPr>
      <w:widowControl/>
      <w:spacing w:before="120" w:after="120"/>
      <w:ind w:firstLine="200" w:firstLineChars="200"/>
      <w:jc w:val="center"/>
    </w:pPr>
    <w:rPr>
      <w:b/>
      <w:kern w:val="0"/>
      <w:sz w:val="40"/>
      <w:szCs w:val="20"/>
      <w:lang w:val="en-GB"/>
    </w:rPr>
  </w:style>
  <w:style w:type="paragraph" w:customStyle="1" w:styleId="3484">
    <w:name w:val="表中文字14"/>
    <w:basedOn w:val="1"/>
    <w:qFormat/>
    <w:uiPriority w:val="0"/>
    <w:pPr>
      <w:widowControl/>
      <w:spacing w:line="240" w:lineRule="atLeast"/>
      <w:ind w:left="-24" w:leftChars="-10" w:right="-48" w:rightChars="-20"/>
      <w:jc w:val="center"/>
    </w:pPr>
    <w:rPr>
      <w:rFonts w:ascii="宋体"/>
      <w:kern w:val="0"/>
      <w:szCs w:val="21"/>
    </w:rPr>
  </w:style>
  <w:style w:type="paragraph" w:customStyle="1" w:styleId="3485">
    <w:name w:val="燕山正文11212"/>
    <w:basedOn w:val="1"/>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3486">
    <w:name w:val="表格标题11"/>
    <w:basedOn w:val="59"/>
    <w:qFormat/>
    <w:uiPriority w:val="0"/>
    <w:pPr>
      <w:pBdr>
        <w:top w:val="single" w:color="auto" w:sz="4" w:space="1"/>
      </w:pBdr>
      <w:tabs>
        <w:tab w:val="left" w:pos="0"/>
      </w:tabs>
      <w:adjustRightInd w:val="0"/>
      <w:spacing w:before="0" w:after="0" w:line="240" w:lineRule="atLeast"/>
      <w:ind w:left="0" w:firstLine="0"/>
      <w:jc w:val="center"/>
      <w:textAlignment w:val="baseline"/>
    </w:pPr>
    <w:rPr>
      <w:rFonts w:ascii="Times New Roman" w:hAnsi="Times New Roman" w:eastAsia="宋体"/>
      <w:b/>
    </w:rPr>
  </w:style>
  <w:style w:type="paragraph" w:customStyle="1" w:styleId="3487">
    <w:name w:val="表格内字体7"/>
    <w:basedOn w:val="184"/>
    <w:next w:val="184"/>
    <w:qFormat/>
    <w:uiPriority w:val="0"/>
    <w:pPr>
      <w:spacing w:line="240" w:lineRule="auto"/>
      <w:ind w:firstLine="0"/>
      <w:jc w:val="center"/>
    </w:pPr>
    <w:rPr>
      <w:rFonts w:hAnsi="宋体"/>
      <w:sz w:val="21"/>
    </w:rPr>
  </w:style>
  <w:style w:type="paragraph" w:customStyle="1" w:styleId="3488">
    <w:name w:val="Char332"/>
    <w:basedOn w:val="1"/>
    <w:qFormat/>
    <w:uiPriority w:val="0"/>
    <w:pPr>
      <w:ind w:left="-48"/>
    </w:pPr>
  </w:style>
  <w:style w:type="paragraph" w:customStyle="1" w:styleId="3489">
    <w:name w:val="Char113"/>
    <w:basedOn w:val="1"/>
    <w:qFormat/>
    <w:uiPriority w:val="0"/>
    <w:pPr>
      <w:ind w:left="-48"/>
    </w:pPr>
  </w:style>
  <w:style w:type="paragraph" w:customStyle="1" w:styleId="3490">
    <w:name w:val="表内5415"/>
    <w:basedOn w:val="1"/>
    <w:qFormat/>
    <w:uiPriority w:val="0"/>
    <w:pPr>
      <w:adjustRightInd w:val="0"/>
      <w:snapToGrid w:val="0"/>
      <w:spacing w:line="300" w:lineRule="auto"/>
      <w:jc w:val="center"/>
    </w:pPr>
    <w:rPr>
      <w:rFonts w:ascii="宋体" w:hAnsi="宋体" w:cs="宋体"/>
      <w:szCs w:val="20"/>
    </w:rPr>
  </w:style>
  <w:style w:type="paragraph" w:customStyle="1" w:styleId="3491">
    <w:name w:val="默认段落字体 Para Char Char Char Char31"/>
    <w:basedOn w:val="1"/>
    <w:qFormat/>
    <w:uiPriority w:val="0"/>
  </w:style>
  <w:style w:type="paragraph" w:customStyle="1" w:styleId="3492">
    <w:name w:val="样式 标题 3 + 段前: 12 磅1"/>
    <w:basedOn w:val="4"/>
    <w:qFormat/>
    <w:uiPriority w:val="0"/>
    <w:pPr>
      <w:keepNext w:val="0"/>
      <w:keepLines w:val="0"/>
      <w:widowControl/>
      <w:tabs>
        <w:tab w:val="left" w:pos="233"/>
      </w:tabs>
      <w:autoSpaceDE w:val="0"/>
      <w:autoSpaceDN w:val="0"/>
      <w:adjustRightInd w:val="0"/>
      <w:snapToGrid w:val="0"/>
      <w:spacing w:before="0" w:after="0" w:line="360" w:lineRule="auto"/>
      <w:ind w:left="233"/>
    </w:pPr>
    <w:rPr>
      <w:rFonts w:ascii="黑体" w:hAnsi="宋体" w:eastAsia="黑体" w:cs="宋体"/>
      <w:b w:val="0"/>
      <w:bCs w:val="0"/>
      <w:color w:val="000000"/>
      <w:kern w:val="21"/>
      <w:sz w:val="24"/>
      <w:szCs w:val="20"/>
    </w:rPr>
  </w:style>
  <w:style w:type="paragraph" w:customStyle="1" w:styleId="3493">
    <w:name w:val="正文修改24"/>
    <w:basedOn w:val="1161"/>
    <w:qFormat/>
    <w:uiPriority w:val="0"/>
    <w:rPr>
      <w:rFonts w:hAnsi="宋体"/>
      <w:color w:val="000000"/>
    </w:rPr>
  </w:style>
  <w:style w:type="paragraph" w:customStyle="1" w:styleId="3494">
    <w:name w:val="燕山正文3"/>
    <w:basedOn w:val="1"/>
    <w:qFormat/>
    <w:uiPriority w:val="0"/>
    <w:pPr>
      <w:tabs>
        <w:tab w:val="left" w:pos="4680"/>
      </w:tabs>
      <w:adjustRightInd w:val="0"/>
      <w:snapToGrid w:val="0"/>
      <w:spacing w:line="480" w:lineRule="exact"/>
    </w:pPr>
    <w:rPr>
      <w:rFonts w:ascii="宋体" w:cs="宋体"/>
      <w:sz w:val="24"/>
    </w:rPr>
  </w:style>
  <w:style w:type="paragraph" w:customStyle="1" w:styleId="3495">
    <w:name w:val="A正文13"/>
    <w:basedOn w:val="1"/>
    <w:qFormat/>
    <w:uiPriority w:val="0"/>
    <w:pPr>
      <w:widowControl/>
      <w:overflowPunct w:val="0"/>
      <w:autoSpaceDE w:val="0"/>
      <w:autoSpaceDN w:val="0"/>
      <w:adjustRightInd w:val="0"/>
      <w:spacing w:line="360" w:lineRule="auto"/>
      <w:ind w:firstLine="200" w:firstLineChars="200"/>
      <w:jc w:val="left"/>
      <w:textAlignment w:val="baseline"/>
    </w:pPr>
    <w:rPr>
      <w:rFonts w:eastAsia="仿宋_GB2312"/>
      <w:kern w:val="0"/>
      <w:sz w:val="24"/>
    </w:rPr>
  </w:style>
  <w:style w:type="paragraph" w:customStyle="1" w:styleId="3496">
    <w:name w:val="1pt line"/>
    <w:qFormat/>
    <w:uiPriority w:val="0"/>
    <w:pPr>
      <w:pBdr>
        <w:bottom w:val="single" w:color="auto" w:sz="8" w:space="1"/>
      </w:pBdr>
      <w:spacing w:line="20" w:lineRule="exact"/>
    </w:pPr>
    <w:rPr>
      <w:rFonts w:ascii="Times New Roman" w:hAnsi="Times New Roman" w:eastAsia="PMingLiU" w:cs="Times New Roman"/>
      <w:lang w:val="en-US" w:eastAsia="zh-TW" w:bidi="ar-SA"/>
    </w:rPr>
  </w:style>
  <w:style w:type="paragraph" w:customStyle="1" w:styleId="3497">
    <w:name w:val="Char313"/>
    <w:basedOn w:val="1"/>
    <w:qFormat/>
    <w:uiPriority w:val="0"/>
    <w:pPr>
      <w:ind w:left="-48"/>
    </w:pPr>
  </w:style>
  <w:style w:type="paragraph" w:customStyle="1" w:styleId="3498">
    <w:name w:val="正文格式＝611"/>
    <w:basedOn w:val="184"/>
    <w:next w:val="184"/>
    <w:qFormat/>
    <w:uiPriority w:val="0"/>
    <w:rPr>
      <w:rFonts w:hAnsi="宋体"/>
    </w:rPr>
  </w:style>
  <w:style w:type="paragraph" w:customStyle="1" w:styleId="3499">
    <w:name w:val="T正文"/>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customStyle="1" w:styleId="3500">
    <w:name w:val="样式 标题 4 + 两端对齐"/>
    <w:basedOn w:val="5"/>
    <w:qFormat/>
    <w:uiPriority w:val="0"/>
    <w:pPr>
      <w:keepLines w:val="0"/>
      <w:tabs>
        <w:tab w:val="left" w:pos="0"/>
        <w:tab w:val="left" w:pos="233"/>
      </w:tabs>
      <w:adjustRightInd w:val="0"/>
      <w:snapToGrid w:val="0"/>
      <w:spacing w:afterLines="50" w:line="240" w:lineRule="auto"/>
      <w:ind w:left="-624" w:hanging="200" w:hangingChars="200"/>
    </w:pPr>
    <w:rPr>
      <w:rFonts w:ascii="Arial" w:eastAsia="宋体" w:cs="宋体"/>
      <w:bCs w:val="0"/>
      <w:position w:val="-30"/>
      <w:szCs w:val="20"/>
    </w:rPr>
  </w:style>
  <w:style w:type="paragraph" w:customStyle="1" w:styleId="3501">
    <w:name w:val="Char Char2 Char Char Char Char210"/>
    <w:basedOn w:val="1"/>
    <w:qFormat/>
    <w:uiPriority w:val="0"/>
  </w:style>
  <w:style w:type="paragraph" w:customStyle="1" w:styleId="3502">
    <w:name w:val="封面标准文稿编辑信息13"/>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3503">
    <w:name w:val="表中文字43"/>
    <w:basedOn w:val="1"/>
    <w:qFormat/>
    <w:uiPriority w:val="0"/>
    <w:pPr>
      <w:snapToGrid w:val="0"/>
      <w:spacing w:line="340" w:lineRule="exact"/>
      <w:ind w:firstLine="480" w:firstLineChars="200"/>
      <w:jc w:val="center"/>
    </w:pPr>
    <w:rPr>
      <w:rFonts w:ascii="Arial" w:hAnsi="Arial"/>
      <w:kern w:val="0"/>
      <w:sz w:val="20"/>
      <w:lang w:eastAsia="zh-TW"/>
    </w:rPr>
  </w:style>
  <w:style w:type="paragraph" w:customStyle="1" w:styleId="3504">
    <w:name w:val="正文修改412"/>
    <w:basedOn w:val="1161"/>
    <w:qFormat/>
    <w:uiPriority w:val="0"/>
    <w:rPr>
      <w:rFonts w:hAnsi="宋体"/>
      <w:color w:val="000000"/>
    </w:rPr>
  </w:style>
  <w:style w:type="paragraph" w:customStyle="1" w:styleId="3505">
    <w:name w:val="样式 标题 2节 + 宋体 加粗"/>
    <w:basedOn w:val="3"/>
    <w:qFormat/>
    <w:uiPriority w:val="0"/>
    <w:pPr>
      <w:numPr>
        <w:ilvl w:val="0"/>
        <w:numId w:val="0"/>
      </w:numPr>
      <w:tabs>
        <w:tab w:val="left" w:pos="233"/>
        <w:tab w:val="left" w:pos="1505"/>
        <w:tab w:val="clear" w:pos="0"/>
        <w:tab w:val="clear" w:pos="426"/>
      </w:tabs>
      <w:adjustRightInd w:val="0"/>
      <w:snapToGrid w:val="0"/>
      <w:spacing w:beforeLines="0" w:afterLines="0" w:line="360" w:lineRule="auto"/>
      <w:ind w:left="200" w:hanging="200"/>
    </w:pPr>
    <w:rPr>
      <w:rFonts w:ascii="宋体" w:hAnsi="宋体" w:eastAsia="宋体"/>
      <w:spacing w:val="0"/>
      <w:kern w:val="2"/>
      <w:sz w:val="28"/>
      <w:szCs w:val="20"/>
    </w:rPr>
  </w:style>
  <w:style w:type="paragraph" w:customStyle="1" w:styleId="3506">
    <w:name w:val="Char Char Char Char1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3507">
    <w:name w:val="Char Char Char Char Char Char Char222"/>
    <w:basedOn w:val="1"/>
    <w:qFormat/>
    <w:uiPriority w:val="0"/>
  </w:style>
  <w:style w:type="paragraph" w:customStyle="1" w:styleId="3508">
    <w:name w:val="正文格式＝64"/>
    <w:basedOn w:val="184"/>
    <w:next w:val="184"/>
    <w:qFormat/>
    <w:uiPriority w:val="0"/>
    <w:rPr>
      <w:rFonts w:hAnsi="宋体"/>
    </w:rPr>
  </w:style>
  <w:style w:type="paragraph" w:customStyle="1" w:styleId="3509">
    <w:name w:val="表内54144"/>
    <w:basedOn w:val="1"/>
    <w:qFormat/>
    <w:uiPriority w:val="0"/>
    <w:pPr>
      <w:adjustRightInd w:val="0"/>
      <w:snapToGrid w:val="0"/>
      <w:spacing w:line="300" w:lineRule="auto"/>
      <w:jc w:val="center"/>
    </w:pPr>
    <w:rPr>
      <w:rFonts w:ascii="宋体" w:hAnsi="宋体" w:cs="宋体"/>
      <w:szCs w:val="20"/>
    </w:rPr>
  </w:style>
  <w:style w:type="paragraph" w:customStyle="1" w:styleId="3510">
    <w:name w:val="Char2110"/>
    <w:basedOn w:val="1"/>
    <w:qFormat/>
    <w:uiPriority w:val="0"/>
    <w:pPr>
      <w:ind w:left="-48"/>
    </w:pPr>
  </w:style>
  <w:style w:type="paragraph" w:customStyle="1" w:styleId="3511">
    <w:name w:val="Char44"/>
    <w:basedOn w:val="1"/>
    <w:qFormat/>
    <w:uiPriority w:val="0"/>
    <w:pPr>
      <w:ind w:left="-48"/>
    </w:pPr>
  </w:style>
  <w:style w:type="paragraph" w:customStyle="1" w:styleId="3512">
    <w:name w:val="Default1"/>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3513">
    <w:name w:val="Char Char Char Char Char Char Char44"/>
    <w:basedOn w:val="1"/>
    <w:qFormat/>
    <w:uiPriority w:val="0"/>
  </w:style>
  <w:style w:type="paragraph" w:customStyle="1" w:styleId="3514">
    <w:name w:val="正文修改31"/>
    <w:basedOn w:val="1161"/>
    <w:qFormat/>
    <w:uiPriority w:val="0"/>
    <w:rPr>
      <w:rFonts w:hAnsi="宋体"/>
      <w:color w:val="000000"/>
    </w:rPr>
  </w:style>
  <w:style w:type="paragraph" w:customStyle="1" w:styleId="3515">
    <w:name w:val="正文样式"/>
    <w:basedOn w:val="1"/>
    <w:qFormat/>
    <w:uiPriority w:val="0"/>
    <w:pPr>
      <w:tabs>
        <w:tab w:val="left" w:pos="7755"/>
      </w:tabs>
      <w:adjustRightInd w:val="0"/>
      <w:snapToGrid w:val="0"/>
      <w:spacing w:beforeLines="50" w:afterLines="50" w:line="312" w:lineRule="auto"/>
    </w:pPr>
    <w:rPr>
      <w:rFonts w:ascii="宋体" w:hAnsi="宋体"/>
      <w:sz w:val="24"/>
    </w:rPr>
  </w:style>
  <w:style w:type="paragraph" w:customStyle="1" w:styleId="3516">
    <w:name w:val="黑体三号313"/>
    <w:basedOn w:val="184"/>
    <w:qFormat/>
    <w:uiPriority w:val="0"/>
    <w:pPr>
      <w:jc w:val="center"/>
    </w:pPr>
    <w:rPr>
      <w:rFonts w:ascii="黑体" w:hAnsi="宋体" w:eastAsia="黑体"/>
      <w:b/>
      <w:bCs/>
      <w:sz w:val="32"/>
      <w:szCs w:val="20"/>
    </w:rPr>
  </w:style>
  <w:style w:type="paragraph" w:customStyle="1" w:styleId="3517">
    <w:name w:val="hhcwt标题2"/>
    <w:basedOn w:val="1"/>
    <w:qFormat/>
    <w:uiPriority w:val="0"/>
    <w:pPr>
      <w:keepNext/>
      <w:keepLines/>
      <w:spacing w:before="120" w:after="120" w:line="336" w:lineRule="auto"/>
      <w:outlineLvl w:val="1"/>
    </w:pPr>
    <w:rPr>
      <w:rFonts w:eastAsia="黑体" w:cs="宋体"/>
      <w:sz w:val="32"/>
      <w:szCs w:val="20"/>
    </w:rPr>
  </w:style>
  <w:style w:type="paragraph" w:customStyle="1" w:styleId="3518">
    <w:name w:val="标题4113"/>
    <w:basedOn w:val="1"/>
    <w:qFormat/>
    <w:uiPriority w:val="0"/>
    <w:pPr>
      <w:adjustRightInd w:val="0"/>
      <w:snapToGrid w:val="0"/>
      <w:spacing w:line="300" w:lineRule="auto"/>
      <w:jc w:val="left"/>
    </w:pPr>
    <w:rPr>
      <w:rFonts w:ascii="黑体" w:hAnsi="宋体" w:eastAsia="黑体" w:cs="宋体"/>
      <w:bCs/>
      <w:sz w:val="24"/>
      <w:szCs w:val="20"/>
    </w:rPr>
  </w:style>
  <w:style w:type="paragraph" w:customStyle="1" w:styleId="3519">
    <w:name w:val="样式 标题 4 + 四号 段前: 1 行"/>
    <w:basedOn w:val="5"/>
    <w:qFormat/>
    <w:uiPriority w:val="0"/>
    <w:pPr>
      <w:widowControl/>
      <w:tabs>
        <w:tab w:val="left" w:pos="1680"/>
      </w:tabs>
      <w:spacing w:beforeLines="100" w:line="420" w:lineRule="exact"/>
      <w:ind w:left="560"/>
    </w:pPr>
    <w:rPr>
      <w:rFonts w:ascii="Arial" w:eastAsia="黑体"/>
      <w:bCs w:val="0"/>
      <w:kern w:val="0"/>
      <w:szCs w:val="20"/>
    </w:rPr>
  </w:style>
  <w:style w:type="paragraph" w:customStyle="1" w:styleId="3520">
    <w:name w:val="CM7"/>
    <w:basedOn w:val="191"/>
    <w:next w:val="191"/>
    <w:qFormat/>
    <w:uiPriority w:val="0"/>
    <w:pPr>
      <w:spacing w:line="468" w:lineRule="atLeast"/>
    </w:pPr>
    <w:rPr>
      <w:rFonts w:ascii="黑体" w:eastAsia="黑体" w:cs="Times New Roman"/>
      <w:color w:val="auto"/>
    </w:rPr>
  </w:style>
  <w:style w:type="paragraph" w:customStyle="1" w:styleId="3521">
    <w:name w:val="表格2"/>
    <w:basedOn w:val="189"/>
    <w:next w:val="189"/>
    <w:qFormat/>
    <w:uiPriority w:val="0"/>
    <w:pPr>
      <w:adjustRightInd w:val="0"/>
      <w:spacing w:beforeLines="10" w:afterLines="10" w:line="280" w:lineRule="exact"/>
      <w:textAlignment w:val="baseline"/>
    </w:pPr>
    <w:rPr>
      <w:rFonts w:ascii="Times New Roman"/>
      <w:spacing w:val="-8"/>
      <w:kern w:val="0"/>
      <w:sz w:val="21"/>
    </w:rPr>
  </w:style>
  <w:style w:type="paragraph" w:customStyle="1" w:styleId="3522">
    <w:name w:val="封面项目名称"/>
    <w:basedOn w:val="1"/>
    <w:next w:val="1"/>
    <w:qFormat/>
    <w:uiPriority w:val="0"/>
    <w:pPr>
      <w:adjustRightInd w:val="0"/>
      <w:snapToGrid w:val="0"/>
      <w:spacing w:line="480" w:lineRule="exact"/>
      <w:ind w:firstLine="567"/>
      <w:jc w:val="center"/>
    </w:pPr>
    <w:rPr>
      <w:rFonts w:ascii="黑体" w:eastAsia="黑体"/>
      <w:sz w:val="44"/>
      <w:szCs w:val="20"/>
    </w:rPr>
  </w:style>
  <w:style w:type="paragraph" w:customStyle="1" w:styleId="3523">
    <w:name w:val="Char318"/>
    <w:basedOn w:val="1"/>
    <w:qFormat/>
    <w:uiPriority w:val="0"/>
    <w:pPr>
      <w:ind w:left="-48"/>
    </w:pPr>
  </w:style>
  <w:style w:type="paragraph" w:customStyle="1" w:styleId="3524">
    <w:name w:val="附件31"/>
    <w:basedOn w:val="2"/>
    <w:next w:val="184"/>
    <w:qFormat/>
    <w:uiPriority w:val="0"/>
    <w:pPr>
      <w:tabs>
        <w:tab w:val="left" w:pos="1566"/>
        <w:tab w:val="left" w:pos="2040"/>
      </w:tabs>
      <w:adjustRightInd w:val="0"/>
      <w:snapToGrid w:val="0"/>
      <w:spacing w:before="0" w:after="120" w:line="360" w:lineRule="auto"/>
      <w:ind w:left="2040" w:leftChars="800" w:hanging="360" w:hangingChars="200"/>
      <w:jc w:val="left"/>
    </w:pPr>
    <w:rPr>
      <w:rFonts w:ascii="黑体" w:hAnsi="宋体" w:eastAsia="黑体"/>
      <w:b w:val="0"/>
      <w:sz w:val="32"/>
      <w:szCs w:val="32"/>
    </w:rPr>
  </w:style>
  <w:style w:type="paragraph" w:customStyle="1" w:styleId="3525">
    <w:name w:val="样式 样式 标题 4 + 段前: 0.5 行 段后: 0.5 行 + 段前: 0.5 行 段后: 0.5 行2"/>
    <w:basedOn w:val="2108"/>
    <w:qFormat/>
    <w:uiPriority w:val="0"/>
    <w:pPr>
      <w:spacing w:beforeLines="0" w:afterLines="0"/>
    </w:pPr>
  </w:style>
  <w:style w:type="paragraph" w:customStyle="1" w:styleId="3526">
    <w:name w:val="燕山正文113"/>
    <w:basedOn w:val="1"/>
    <w:qFormat/>
    <w:uiPriority w:val="0"/>
    <w:pPr>
      <w:tabs>
        <w:tab w:val="left" w:pos="4680"/>
      </w:tabs>
      <w:adjustRightInd w:val="0"/>
      <w:snapToGrid w:val="0"/>
      <w:spacing w:line="360" w:lineRule="auto"/>
      <w:ind w:firstLine="480" w:firstLineChars="200"/>
    </w:pPr>
    <w:rPr>
      <w:rFonts w:ascii="宋体" w:hAnsi="宋体" w:cs="宋体"/>
      <w:bCs/>
      <w:snapToGrid w:val="0"/>
      <w:color w:val="000000"/>
      <w:kern w:val="0"/>
      <w:sz w:val="24"/>
    </w:rPr>
  </w:style>
  <w:style w:type="paragraph" w:customStyle="1" w:styleId="3527">
    <w:name w:val="封面标准文稿编辑信息12"/>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3528">
    <w:name w:val="CM1"/>
    <w:basedOn w:val="191"/>
    <w:next w:val="191"/>
    <w:qFormat/>
    <w:uiPriority w:val="0"/>
    <w:pPr>
      <w:spacing w:line="780" w:lineRule="atLeast"/>
    </w:pPr>
    <w:rPr>
      <w:rFonts w:cs="Times New Roman"/>
      <w:color w:val="auto"/>
    </w:rPr>
  </w:style>
  <w:style w:type="paragraph" w:customStyle="1" w:styleId="3529">
    <w:name w:val="正文."/>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3530">
    <w:name w:val="Char142"/>
    <w:basedOn w:val="1"/>
    <w:qFormat/>
    <w:uiPriority w:val="0"/>
    <w:pPr>
      <w:ind w:left="-48"/>
    </w:pPr>
  </w:style>
  <w:style w:type="paragraph" w:customStyle="1" w:styleId="3531">
    <w:name w:val="表内541311"/>
    <w:basedOn w:val="1"/>
    <w:qFormat/>
    <w:uiPriority w:val="0"/>
    <w:pPr>
      <w:adjustRightInd w:val="0"/>
      <w:snapToGrid w:val="0"/>
      <w:spacing w:line="300" w:lineRule="auto"/>
      <w:jc w:val="center"/>
    </w:pPr>
    <w:rPr>
      <w:rFonts w:ascii="宋体" w:hAnsi="宋体" w:cs="宋体"/>
      <w:szCs w:val="20"/>
    </w:rPr>
  </w:style>
  <w:style w:type="paragraph" w:customStyle="1" w:styleId="3532">
    <w:name w:val="Char82"/>
    <w:basedOn w:val="1"/>
    <w:qFormat/>
    <w:uiPriority w:val="0"/>
    <w:pPr>
      <w:ind w:left="-48"/>
    </w:pPr>
  </w:style>
  <w:style w:type="paragraph" w:customStyle="1" w:styleId="3533">
    <w:name w:val="标题43133"/>
    <w:basedOn w:val="1"/>
    <w:qFormat/>
    <w:uiPriority w:val="0"/>
    <w:pPr>
      <w:adjustRightInd w:val="0"/>
      <w:snapToGrid w:val="0"/>
      <w:spacing w:line="480" w:lineRule="exact"/>
      <w:jc w:val="center"/>
    </w:pPr>
    <w:rPr>
      <w:rFonts w:ascii="宋体" w:hAnsi="宋体" w:cs="宋体"/>
      <w:sz w:val="24"/>
    </w:rPr>
  </w:style>
  <w:style w:type="paragraph" w:customStyle="1" w:styleId="3534">
    <w:name w:val="表内5412"/>
    <w:basedOn w:val="1"/>
    <w:qFormat/>
    <w:uiPriority w:val="0"/>
    <w:pPr>
      <w:adjustRightInd w:val="0"/>
      <w:snapToGrid w:val="0"/>
      <w:spacing w:line="300" w:lineRule="auto"/>
      <w:jc w:val="center"/>
    </w:pPr>
    <w:rPr>
      <w:rFonts w:ascii="宋体" w:hAnsi="宋体" w:cs="宋体"/>
      <w:szCs w:val="20"/>
    </w:rPr>
  </w:style>
  <w:style w:type="paragraph" w:customStyle="1" w:styleId="3535">
    <w:name w:val="样式jie"/>
    <w:basedOn w:val="3"/>
    <w:qFormat/>
    <w:uiPriority w:val="0"/>
    <w:pPr>
      <w:numPr>
        <w:ilvl w:val="0"/>
        <w:numId w:val="0"/>
      </w:numPr>
      <w:tabs>
        <w:tab w:val="left" w:pos="233"/>
        <w:tab w:val="clear" w:pos="0"/>
        <w:tab w:val="clear" w:pos="426"/>
      </w:tabs>
      <w:spacing w:beforeLines="0" w:afterLines="0" w:line="360" w:lineRule="auto"/>
      <w:ind w:left="233"/>
    </w:pPr>
    <w:rPr>
      <w:b w:val="0"/>
      <w:bCs/>
      <w:spacing w:val="0"/>
      <w:kern w:val="2"/>
      <w:sz w:val="28"/>
      <w:szCs w:val="32"/>
    </w:rPr>
  </w:style>
  <w:style w:type="paragraph" w:customStyle="1" w:styleId="3536">
    <w:name w:val="Char Char2 Char Char Char Char311"/>
    <w:basedOn w:val="1"/>
    <w:qFormat/>
    <w:uiPriority w:val="0"/>
  </w:style>
  <w:style w:type="paragraph" w:customStyle="1" w:styleId="3537">
    <w:name w:val="xl2412"/>
    <w:basedOn w:val="1"/>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paragraph" w:customStyle="1" w:styleId="3538">
    <w:name w:val="燕山正文123"/>
    <w:basedOn w:val="1"/>
    <w:qFormat/>
    <w:uiPriority w:val="0"/>
    <w:pPr>
      <w:tabs>
        <w:tab w:val="left" w:pos="4680"/>
      </w:tabs>
      <w:adjustRightInd w:val="0"/>
      <w:snapToGrid w:val="0"/>
      <w:spacing w:line="480" w:lineRule="exact"/>
    </w:pPr>
    <w:rPr>
      <w:rFonts w:ascii="宋体" w:cs="宋体"/>
      <w:sz w:val="24"/>
    </w:rPr>
  </w:style>
  <w:style w:type="paragraph" w:customStyle="1" w:styleId="3539">
    <w:name w:val="Char67"/>
    <w:basedOn w:val="1"/>
    <w:qFormat/>
    <w:uiPriority w:val="0"/>
    <w:pPr>
      <w:ind w:left="-48"/>
    </w:pPr>
  </w:style>
  <w:style w:type="paragraph" w:customStyle="1" w:styleId="3540">
    <w:name w:val="表前文字"/>
    <w:basedOn w:val="1"/>
    <w:qFormat/>
    <w:uiPriority w:val="0"/>
    <w:pPr>
      <w:jc w:val="center"/>
    </w:pPr>
    <w:rPr>
      <w:sz w:val="24"/>
    </w:rPr>
  </w:style>
  <w:style w:type="paragraph" w:customStyle="1" w:styleId="3541">
    <w:name w:val="标题4121"/>
    <w:basedOn w:val="5"/>
    <w:next w:val="1"/>
    <w:qFormat/>
    <w:uiPriority w:val="0"/>
    <w:pPr>
      <w:spacing w:before="160" w:after="170" w:line="360" w:lineRule="auto"/>
    </w:pPr>
    <w:rPr>
      <w:rFonts w:ascii="黑体" w:eastAsia="黑体"/>
      <w:b/>
      <w:kern w:val="0"/>
      <w:sz w:val="24"/>
    </w:rPr>
  </w:style>
  <w:style w:type="paragraph" w:customStyle="1" w:styleId="3542">
    <w:name w:val="样式 四号 左 行距: 固定值 24 磅"/>
    <w:basedOn w:val="1"/>
    <w:qFormat/>
    <w:uiPriority w:val="0"/>
    <w:pPr>
      <w:tabs>
        <w:tab w:val="left" w:pos="432"/>
      </w:tabs>
      <w:spacing w:line="480" w:lineRule="exact"/>
      <w:ind w:left="432" w:hanging="432"/>
      <w:jc w:val="left"/>
    </w:pPr>
    <w:rPr>
      <w:rFonts w:cs="宋体"/>
      <w:sz w:val="28"/>
      <w:szCs w:val="20"/>
    </w:rPr>
  </w:style>
  <w:style w:type="paragraph" w:customStyle="1" w:styleId="3543">
    <w:name w:val="表中文字312"/>
    <w:basedOn w:val="1"/>
    <w:qFormat/>
    <w:uiPriority w:val="0"/>
    <w:pPr>
      <w:widowControl/>
      <w:spacing w:line="240" w:lineRule="atLeast"/>
      <w:ind w:left="-24" w:leftChars="-10" w:right="-48" w:rightChars="-20"/>
      <w:jc w:val="center"/>
    </w:pPr>
    <w:rPr>
      <w:rFonts w:ascii="宋体"/>
      <w:kern w:val="0"/>
      <w:szCs w:val="21"/>
    </w:rPr>
  </w:style>
  <w:style w:type="paragraph" w:customStyle="1" w:styleId="3544">
    <w:name w:val="黑体三号113"/>
    <w:basedOn w:val="184"/>
    <w:qFormat/>
    <w:uiPriority w:val="0"/>
    <w:pPr>
      <w:jc w:val="center"/>
    </w:pPr>
    <w:rPr>
      <w:rFonts w:ascii="黑体" w:hAnsi="宋体" w:eastAsia="黑体"/>
      <w:b/>
      <w:bCs/>
      <w:sz w:val="32"/>
      <w:szCs w:val="20"/>
    </w:rPr>
  </w:style>
  <w:style w:type="paragraph" w:customStyle="1" w:styleId="3545">
    <w:name w:val="Char6 Char Char Char1 Char Char Char2"/>
    <w:basedOn w:val="1"/>
    <w:qFormat/>
    <w:uiPriority w:val="0"/>
    <w:rPr>
      <w:szCs w:val="21"/>
    </w:rPr>
  </w:style>
  <w:style w:type="paragraph" w:customStyle="1" w:styleId="3546">
    <w:name w:val="标题4n"/>
    <w:basedOn w:val="4"/>
    <w:qFormat/>
    <w:uiPriority w:val="0"/>
    <w:pPr>
      <w:keepNext w:val="0"/>
      <w:keepLines w:val="0"/>
      <w:tabs>
        <w:tab w:val="left" w:pos="0"/>
        <w:tab w:val="left" w:pos="233"/>
      </w:tabs>
      <w:spacing w:before="0" w:after="0" w:line="360" w:lineRule="auto"/>
      <w:ind w:left="233" w:firstLine="567"/>
    </w:pPr>
    <w:rPr>
      <w:rFonts w:ascii="仿宋_GB2312" w:hAnsi="Arial" w:eastAsia="仿宋_GB2312"/>
      <w:b w:val="0"/>
      <w:sz w:val="28"/>
      <w:szCs w:val="28"/>
    </w:rPr>
  </w:style>
  <w:style w:type="paragraph" w:customStyle="1" w:styleId="3547">
    <w:name w:val="样式131"/>
    <w:basedOn w:val="2158"/>
    <w:qFormat/>
    <w:uiPriority w:val="0"/>
    <w:pPr>
      <w:spacing w:line="240" w:lineRule="auto"/>
      <w:ind w:firstLine="0"/>
      <w:jc w:val="center"/>
    </w:pPr>
    <w:rPr>
      <w:rFonts w:cs="Times New Roman"/>
      <w:b/>
      <w:color w:val="auto"/>
      <w:szCs w:val="20"/>
    </w:rPr>
  </w:style>
  <w:style w:type="paragraph" w:customStyle="1" w:styleId="3548">
    <w:name w:val="Char Char Char Char Char Char Char1211"/>
    <w:basedOn w:val="1"/>
    <w:qFormat/>
    <w:uiPriority w:val="0"/>
    <w:rPr>
      <w:szCs w:val="20"/>
    </w:rPr>
  </w:style>
  <w:style w:type="paragraph" w:customStyle="1" w:styleId="3549">
    <w:name w:val="Char Char2 Char Char Char Char14"/>
    <w:basedOn w:val="1"/>
    <w:qFormat/>
    <w:uiPriority w:val="0"/>
  </w:style>
  <w:style w:type="paragraph" w:customStyle="1" w:styleId="3550">
    <w:name w:val="表内535"/>
    <w:basedOn w:val="1"/>
    <w:qFormat/>
    <w:uiPriority w:val="0"/>
    <w:pPr>
      <w:adjustRightInd w:val="0"/>
      <w:snapToGrid w:val="0"/>
      <w:spacing w:line="300" w:lineRule="auto"/>
      <w:jc w:val="left"/>
    </w:pPr>
    <w:rPr>
      <w:rFonts w:ascii="宋体"/>
      <w:szCs w:val="20"/>
    </w:rPr>
  </w:style>
  <w:style w:type="paragraph" w:customStyle="1" w:styleId="3551">
    <w:name w:val="表中文字32"/>
    <w:basedOn w:val="1"/>
    <w:qFormat/>
    <w:uiPriority w:val="0"/>
    <w:pPr>
      <w:widowControl/>
      <w:spacing w:line="240" w:lineRule="atLeast"/>
      <w:ind w:left="-24" w:leftChars="-10" w:right="-48" w:rightChars="-20"/>
      <w:jc w:val="center"/>
    </w:pPr>
    <w:rPr>
      <w:rFonts w:ascii="宋体"/>
      <w:kern w:val="0"/>
      <w:szCs w:val="21"/>
    </w:rPr>
  </w:style>
  <w:style w:type="paragraph" w:customStyle="1" w:styleId="3552">
    <w:name w:val="表文字内容"/>
    <w:basedOn w:val="1"/>
    <w:qFormat/>
    <w:uiPriority w:val="0"/>
    <w:rPr>
      <w:rFonts w:eastAsia="仿宋_GB2312" w:cs="宋体"/>
      <w:sz w:val="24"/>
      <w:szCs w:val="20"/>
      <w:lang w:val="en-GB"/>
    </w:rPr>
  </w:style>
  <w:style w:type="paragraph" w:customStyle="1" w:styleId="3553">
    <w:name w:val="默认段落字体 Para Char Char Char Char51"/>
    <w:basedOn w:val="1"/>
    <w:qFormat/>
    <w:uiPriority w:val="0"/>
  </w:style>
  <w:style w:type="paragraph" w:customStyle="1" w:styleId="3554">
    <w:name w:val="图表题12"/>
    <w:basedOn w:val="184"/>
    <w:next w:val="184"/>
    <w:qFormat/>
    <w:uiPriority w:val="0"/>
    <w:pPr>
      <w:ind w:firstLine="0"/>
      <w:jc w:val="center"/>
    </w:pPr>
    <w:rPr>
      <w:rFonts w:ascii="黑体" w:hAnsi="宋体" w:eastAsia="黑体"/>
      <w:b/>
      <w:bCs/>
    </w:rPr>
  </w:style>
  <w:style w:type="paragraph" w:customStyle="1" w:styleId="3555">
    <w:name w:val="标题4123"/>
    <w:basedOn w:val="5"/>
    <w:next w:val="1"/>
    <w:qFormat/>
    <w:uiPriority w:val="0"/>
    <w:pPr>
      <w:spacing w:before="160" w:after="170" w:line="360" w:lineRule="auto"/>
    </w:pPr>
    <w:rPr>
      <w:rFonts w:ascii="黑体" w:eastAsia="黑体"/>
      <w:b/>
      <w:kern w:val="0"/>
      <w:sz w:val="24"/>
    </w:rPr>
  </w:style>
  <w:style w:type="paragraph" w:customStyle="1" w:styleId="3556">
    <w:name w:val="tian"/>
    <w:basedOn w:val="1"/>
    <w:qFormat/>
    <w:uiPriority w:val="0"/>
    <w:rPr>
      <w:sz w:val="24"/>
      <w:szCs w:val="20"/>
    </w:rPr>
  </w:style>
  <w:style w:type="paragraph" w:customStyle="1" w:styleId="3557">
    <w:name w:val="图表名称13"/>
    <w:basedOn w:val="85"/>
    <w:qFormat/>
    <w:uiPriority w:val="0"/>
    <w:pPr>
      <w:widowControl/>
      <w:adjustRightInd w:val="0"/>
      <w:snapToGrid w:val="0"/>
      <w:spacing w:after="0" w:line="480" w:lineRule="exact"/>
      <w:ind w:firstLine="0" w:firstLineChars="0"/>
      <w:jc w:val="center"/>
    </w:pPr>
    <w:rPr>
      <w:rFonts w:ascii="宋体" w:hAnsi="宋体" w:eastAsia="宋体"/>
      <w:bCs/>
      <w:sz w:val="24"/>
    </w:rPr>
  </w:style>
  <w:style w:type="paragraph" w:customStyle="1" w:styleId="3558">
    <w:name w:val="Char Char Char Char Char Char Char219"/>
    <w:basedOn w:val="1"/>
    <w:qFormat/>
    <w:uiPriority w:val="0"/>
  </w:style>
  <w:style w:type="paragraph" w:customStyle="1" w:styleId="3559">
    <w:name w:val="表格内字体24"/>
    <w:basedOn w:val="184"/>
    <w:next w:val="184"/>
    <w:qFormat/>
    <w:uiPriority w:val="0"/>
    <w:pPr>
      <w:spacing w:line="240" w:lineRule="auto"/>
      <w:ind w:firstLine="0"/>
      <w:jc w:val="center"/>
    </w:pPr>
    <w:rPr>
      <w:rFonts w:hAnsi="宋体"/>
      <w:sz w:val="21"/>
    </w:rPr>
  </w:style>
  <w:style w:type="paragraph" w:customStyle="1" w:styleId="3560">
    <w:name w:val="图题413"/>
    <w:basedOn w:val="184"/>
    <w:next w:val="184"/>
    <w:qFormat/>
    <w:uiPriority w:val="0"/>
    <w:pPr>
      <w:ind w:firstLine="0"/>
      <w:jc w:val="center"/>
    </w:pPr>
    <w:rPr>
      <w:rFonts w:ascii="黑体" w:hAnsi="宋体" w:eastAsia="黑体"/>
      <w:b/>
      <w:bCs/>
    </w:rPr>
  </w:style>
  <w:style w:type="paragraph" w:customStyle="1" w:styleId="3561">
    <w:name w:val="表题21113"/>
    <w:basedOn w:val="1"/>
    <w:qFormat/>
    <w:uiPriority w:val="0"/>
    <w:pPr>
      <w:widowControl/>
      <w:adjustRightInd w:val="0"/>
      <w:snapToGrid w:val="0"/>
      <w:jc w:val="center"/>
    </w:pPr>
    <w:rPr>
      <w:rFonts w:ascii="黑体" w:hAnsi="宋体" w:eastAsia="黑体" w:cs="宋体"/>
      <w:kern w:val="0"/>
      <w:sz w:val="24"/>
    </w:rPr>
  </w:style>
  <w:style w:type="paragraph" w:customStyle="1" w:styleId="3562">
    <w:name w:val="正文格式＝61"/>
    <w:basedOn w:val="184"/>
    <w:next w:val="184"/>
    <w:qFormat/>
    <w:uiPriority w:val="0"/>
    <w:rPr>
      <w:rFonts w:hAnsi="宋体"/>
    </w:rPr>
  </w:style>
  <w:style w:type="paragraph" w:customStyle="1" w:styleId="3563">
    <w:name w:val="默认段落字体 Para Char Char Char Char111"/>
    <w:basedOn w:val="1"/>
    <w:qFormat/>
    <w:uiPriority w:val="0"/>
  </w:style>
  <w:style w:type="paragraph" w:customStyle="1" w:styleId="3564">
    <w:name w:val="图题52"/>
    <w:basedOn w:val="184"/>
    <w:next w:val="184"/>
    <w:qFormat/>
    <w:uiPriority w:val="0"/>
    <w:pPr>
      <w:ind w:firstLine="0"/>
      <w:jc w:val="center"/>
    </w:pPr>
    <w:rPr>
      <w:rFonts w:ascii="黑体" w:hAnsi="宋体" w:eastAsia="黑体"/>
      <w:b/>
      <w:bCs/>
    </w:rPr>
  </w:style>
  <w:style w:type="paragraph" w:customStyle="1" w:styleId="3565">
    <w:name w:val="样式 chen + 首行缩进:  2 字符"/>
    <w:basedOn w:val="2836"/>
    <w:qFormat/>
    <w:uiPriority w:val="0"/>
    <w:pPr>
      <w:ind w:firstLine="560"/>
    </w:pPr>
    <w:rPr>
      <w:rFonts w:cs="宋体"/>
      <w:szCs w:val="20"/>
    </w:rPr>
  </w:style>
  <w:style w:type="paragraph" w:customStyle="1" w:styleId="3566">
    <w:name w:val="正文格式＝33"/>
    <w:basedOn w:val="184"/>
    <w:next w:val="184"/>
    <w:qFormat/>
    <w:uiPriority w:val="0"/>
    <w:rPr>
      <w:rFonts w:hAnsi="宋体"/>
    </w:rPr>
  </w:style>
  <w:style w:type="paragraph" w:customStyle="1" w:styleId="3567">
    <w:name w:val="表格内字体613"/>
    <w:basedOn w:val="184"/>
    <w:next w:val="184"/>
    <w:qFormat/>
    <w:uiPriority w:val="0"/>
    <w:pPr>
      <w:spacing w:line="240" w:lineRule="auto"/>
      <w:ind w:firstLine="0"/>
      <w:jc w:val="center"/>
    </w:pPr>
    <w:rPr>
      <w:rFonts w:hAnsi="宋体"/>
      <w:sz w:val="21"/>
    </w:rPr>
  </w:style>
  <w:style w:type="paragraph" w:customStyle="1" w:styleId="3568">
    <w:name w:val="表格内字体121"/>
    <w:basedOn w:val="184"/>
    <w:next w:val="184"/>
    <w:qFormat/>
    <w:uiPriority w:val="0"/>
    <w:pPr>
      <w:spacing w:line="240" w:lineRule="auto"/>
      <w:ind w:firstLine="0"/>
      <w:jc w:val="center"/>
    </w:pPr>
    <w:rPr>
      <w:rFonts w:hAnsi="宋体"/>
      <w:sz w:val="21"/>
    </w:rPr>
  </w:style>
  <w:style w:type="paragraph" w:customStyle="1" w:styleId="3569">
    <w:name w:val="默认段落字体 Para Char Char Char Char2"/>
    <w:basedOn w:val="1"/>
    <w:qFormat/>
    <w:uiPriority w:val="0"/>
  </w:style>
  <w:style w:type="paragraph" w:customStyle="1" w:styleId="3570">
    <w:name w:val="表内宋52"/>
    <w:basedOn w:val="2133"/>
    <w:qFormat/>
    <w:uiPriority w:val="0"/>
    <w:pPr>
      <w:widowControl/>
      <w:autoSpaceDE w:val="0"/>
      <w:autoSpaceDN w:val="0"/>
      <w:jc w:val="left"/>
      <w:textAlignment w:val="auto"/>
    </w:pPr>
    <w:rPr>
      <w:color w:val="auto"/>
      <w:w w:val="90"/>
    </w:rPr>
  </w:style>
  <w:style w:type="paragraph" w:customStyle="1" w:styleId="3571">
    <w:name w:val="正文修改12"/>
    <w:basedOn w:val="1161"/>
    <w:qFormat/>
    <w:uiPriority w:val="0"/>
    <w:rPr>
      <w:rFonts w:hAnsi="宋体"/>
      <w:color w:val="000000"/>
    </w:rPr>
  </w:style>
  <w:style w:type="paragraph" w:customStyle="1" w:styleId="3572">
    <w:name w:val="默认段落字体 Para Char Char Char Char213"/>
    <w:basedOn w:val="1"/>
    <w:qFormat/>
    <w:uiPriority w:val="0"/>
  </w:style>
  <w:style w:type="paragraph" w:customStyle="1" w:styleId="3573">
    <w:name w:val="表内宋5中32"/>
    <w:basedOn w:val="1"/>
    <w:qFormat/>
    <w:uiPriority w:val="0"/>
    <w:pPr>
      <w:adjustRightInd w:val="0"/>
      <w:snapToGrid w:val="0"/>
      <w:textAlignment w:val="baseline"/>
    </w:pPr>
    <w:rPr>
      <w:color w:val="000000"/>
      <w:kern w:val="0"/>
      <w:szCs w:val="20"/>
    </w:rPr>
  </w:style>
  <w:style w:type="paragraph" w:customStyle="1" w:styleId="3574">
    <w:name w:val="正文格式23"/>
    <w:basedOn w:val="1"/>
    <w:qFormat/>
    <w:uiPriority w:val="0"/>
    <w:pPr>
      <w:spacing w:line="360" w:lineRule="auto"/>
      <w:ind w:firstLine="482"/>
    </w:pPr>
    <w:rPr>
      <w:rFonts w:ascii="宋体" w:hAnsi="宋体"/>
      <w:sz w:val="24"/>
    </w:rPr>
  </w:style>
  <w:style w:type="paragraph" w:customStyle="1" w:styleId="3575">
    <w:name w:val="表格14"/>
    <w:basedOn w:val="1"/>
    <w:qFormat/>
    <w:uiPriority w:val="0"/>
    <w:pPr>
      <w:adjustRightInd w:val="0"/>
      <w:jc w:val="center"/>
      <w:textAlignment w:val="baseline"/>
    </w:pPr>
    <w:rPr>
      <w:rFonts w:ascii="宋体"/>
      <w:kern w:val="0"/>
      <w:sz w:val="24"/>
      <w:szCs w:val="20"/>
    </w:rPr>
  </w:style>
  <w:style w:type="paragraph" w:customStyle="1" w:styleId="3576">
    <w:name w:val="表内文字小31211"/>
    <w:basedOn w:val="1"/>
    <w:qFormat/>
    <w:uiPriority w:val="0"/>
    <w:pPr>
      <w:adjustRightInd w:val="0"/>
      <w:snapToGrid w:val="0"/>
      <w:jc w:val="center"/>
    </w:pPr>
    <w:rPr>
      <w:rFonts w:ascii="宋体" w:hAnsi="Times" w:cs="宋体"/>
      <w:bCs/>
      <w:color w:val="003366"/>
      <w:szCs w:val="20"/>
    </w:rPr>
  </w:style>
  <w:style w:type="paragraph" w:customStyle="1" w:styleId="3577">
    <w:name w:val="正文格式101"/>
    <w:basedOn w:val="1"/>
    <w:qFormat/>
    <w:uiPriority w:val="0"/>
    <w:pPr>
      <w:spacing w:line="360" w:lineRule="auto"/>
      <w:ind w:firstLine="482"/>
    </w:pPr>
    <w:rPr>
      <w:rFonts w:ascii="宋体" w:hAnsi="宋体"/>
      <w:sz w:val="24"/>
    </w:rPr>
  </w:style>
  <w:style w:type="paragraph" w:customStyle="1" w:styleId="3578">
    <w:name w:val="表题1211"/>
    <w:basedOn w:val="21"/>
    <w:qFormat/>
    <w:uiPriority w:val="0"/>
    <w:pPr>
      <w:tabs>
        <w:tab w:val="clear" w:pos="7380"/>
      </w:tabs>
      <w:overflowPunct/>
      <w:spacing w:before="0" w:afterLines="0" w:line="360" w:lineRule="auto"/>
      <w:jc w:val="center"/>
    </w:pPr>
    <w:rPr>
      <w:rFonts w:ascii="黑体"/>
      <w:sz w:val="24"/>
      <w:szCs w:val="24"/>
    </w:rPr>
  </w:style>
  <w:style w:type="paragraph" w:customStyle="1" w:styleId="3579">
    <w:name w:val="默认段落字体 Para Char51"/>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3580">
    <w:name w:val="样式 标题 3 + 黑体 小四 左侧:  0.86 厘米 首行缩进:  0 厘米"/>
    <w:basedOn w:val="4"/>
    <w:qFormat/>
    <w:uiPriority w:val="0"/>
    <w:pPr>
      <w:keepLines w:val="0"/>
      <w:tabs>
        <w:tab w:val="left" w:pos="233"/>
      </w:tabs>
      <w:spacing w:before="0" w:after="0" w:line="360" w:lineRule="auto"/>
      <w:ind w:left="233"/>
      <w:jc w:val="left"/>
    </w:pPr>
    <w:rPr>
      <w:rFonts w:ascii="黑体" w:eastAsia="黑体"/>
      <w:b w:val="0"/>
      <w:color w:val="000000"/>
      <w:sz w:val="24"/>
      <w:szCs w:val="24"/>
      <w:lang w:val="en-GB"/>
    </w:rPr>
  </w:style>
  <w:style w:type="paragraph" w:customStyle="1" w:styleId="3581">
    <w:name w:val="little"/>
    <w:basedOn w:val="1"/>
    <w:qFormat/>
    <w:uiPriority w:val="0"/>
    <w:pPr>
      <w:widowControl/>
      <w:spacing w:before="100" w:beforeAutospacing="1" w:after="100" w:afterAutospacing="1"/>
      <w:jc w:val="left"/>
    </w:pPr>
    <w:rPr>
      <w:rFonts w:ascii="宋体" w:hAnsi="宋体" w:cs="宋体"/>
      <w:kern w:val="0"/>
      <w:sz w:val="24"/>
    </w:rPr>
  </w:style>
  <w:style w:type="paragraph" w:customStyle="1" w:styleId="3582">
    <w:name w:val="样式 标题 3 + 黑体 小四 左侧:  0.86 厘米 首行缩进:  0 厘米 Char Char Char"/>
    <w:basedOn w:val="4"/>
    <w:qFormat/>
    <w:uiPriority w:val="0"/>
    <w:pPr>
      <w:keepLines w:val="0"/>
      <w:tabs>
        <w:tab w:val="left" w:pos="233"/>
      </w:tabs>
      <w:spacing w:before="0" w:after="0" w:line="360" w:lineRule="auto"/>
      <w:ind w:left="233"/>
      <w:jc w:val="left"/>
    </w:pPr>
    <w:rPr>
      <w:rFonts w:ascii="黑体" w:eastAsia="黑体"/>
      <w:b w:val="0"/>
      <w:color w:val="000000"/>
      <w:sz w:val="24"/>
      <w:szCs w:val="24"/>
      <w:lang w:val="en-GB"/>
    </w:rPr>
  </w:style>
  <w:style w:type="paragraph" w:customStyle="1" w:styleId="3583">
    <w:name w:val="表题151"/>
    <w:basedOn w:val="21"/>
    <w:qFormat/>
    <w:uiPriority w:val="0"/>
    <w:pPr>
      <w:tabs>
        <w:tab w:val="clear" w:pos="7380"/>
      </w:tabs>
      <w:overflowPunct/>
      <w:spacing w:before="0" w:afterLines="0" w:line="360" w:lineRule="auto"/>
      <w:jc w:val="center"/>
    </w:pPr>
    <w:rPr>
      <w:rFonts w:ascii="黑体"/>
      <w:b/>
      <w:sz w:val="24"/>
      <w:szCs w:val="24"/>
    </w:rPr>
  </w:style>
  <w:style w:type="paragraph" w:customStyle="1" w:styleId="3584">
    <w:name w:val="11 Char Char Char Char Char Char Char Char Char Char Char Char Char Char Char1 Char"/>
    <w:basedOn w:val="1"/>
    <w:qFormat/>
    <w:uiPriority w:val="0"/>
    <w:pPr>
      <w:snapToGrid w:val="0"/>
      <w:spacing w:line="360" w:lineRule="auto"/>
      <w:ind w:firstLine="200" w:firstLineChars="200"/>
    </w:pPr>
    <w:rPr>
      <w:rFonts w:eastAsia="仿宋_GB2312"/>
      <w:sz w:val="24"/>
    </w:rPr>
  </w:style>
  <w:style w:type="paragraph" w:customStyle="1" w:styleId="3585">
    <w:name w:val="(文字) (文字) Char (文字) (文字) Char (文字) (文字) (文字) (文字)"/>
    <w:basedOn w:val="1"/>
    <w:qFormat/>
    <w:uiPriority w:val="0"/>
    <w:pPr>
      <w:spacing w:line="360" w:lineRule="auto"/>
      <w:ind w:firstLine="200" w:firstLineChars="200"/>
    </w:pPr>
    <w:rPr>
      <w:rFonts w:ascii="宋体" w:hAnsi="宋体" w:cs="宋体"/>
      <w:sz w:val="24"/>
    </w:rPr>
  </w:style>
  <w:style w:type="paragraph" w:customStyle="1" w:styleId="3586">
    <w:name w:val="正文格式 Char Char1"/>
    <w:basedOn w:val="1"/>
    <w:qFormat/>
    <w:uiPriority w:val="0"/>
    <w:pPr>
      <w:spacing w:line="360" w:lineRule="auto"/>
      <w:ind w:firstLine="482"/>
    </w:pPr>
    <w:rPr>
      <w:rFonts w:ascii="宋体" w:cs="宋体"/>
      <w:sz w:val="24"/>
    </w:rPr>
  </w:style>
  <w:style w:type="paragraph" w:customStyle="1" w:styleId="3587">
    <w:name w:val="正文格式15"/>
    <w:basedOn w:val="1"/>
    <w:qFormat/>
    <w:uiPriority w:val="0"/>
    <w:pPr>
      <w:spacing w:line="360" w:lineRule="auto"/>
      <w:ind w:firstLine="482"/>
    </w:pPr>
    <w:rPr>
      <w:rFonts w:ascii="宋体" w:hAnsi="宋体"/>
      <w:sz w:val="24"/>
    </w:rPr>
  </w:style>
  <w:style w:type="paragraph" w:customStyle="1" w:styleId="3588">
    <w:name w:val="正文格式712"/>
    <w:basedOn w:val="1"/>
    <w:qFormat/>
    <w:uiPriority w:val="0"/>
    <w:pPr>
      <w:spacing w:line="360" w:lineRule="auto"/>
      <w:ind w:firstLine="482"/>
    </w:pPr>
    <w:rPr>
      <w:rFonts w:ascii="宋体" w:hAnsi="宋体"/>
      <w:sz w:val="24"/>
    </w:rPr>
  </w:style>
  <w:style w:type="paragraph" w:customStyle="1" w:styleId="3589">
    <w:name w:val="表格chenbb"/>
    <w:basedOn w:val="1"/>
    <w:qFormat/>
    <w:uiPriority w:val="0"/>
    <w:pPr>
      <w:spacing w:line="320" w:lineRule="exact"/>
      <w:jc w:val="center"/>
    </w:pPr>
    <w:rPr>
      <w:rFonts w:eastAsia="仿宋_GB2312"/>
      <w:b/>
      <w:kern w:val="0"/>
      <w:szCs w:val="21"/>
    </w:rPr>
  </w:style>
  <w:style w:type="paragraph" w:customStyle="1" w:styleId="3590">
    <w:name w:val="Char Char Char1 Char Char Char1 Char Char Char1 Char Char Char Char1"/>
    <w:basedOn w:val="1"/>
    <w:qFormat/>
    <w:uiPriority w:val="0"/>
    <w:pPr>
      <w:spacing w:line="240" w:lineRule="exact"/>
      <w:ind w:firstLine="200" w:firstLineChars="200"/>
    </w:pPr>
    <w:rPr>
      <w:sz w:val="28"/>
      <w:szCs w:val="28"/>
    </w:rPr>
  </w:style>
  <w:style w:type="paragraph" w:customStyle="1" w:styleId="3591">
    <w:name w:val="表内文字小82"/>
    <w:basedOn w:val="1"/>
    <w:qFormat/>
    <w:uiPriority w:val="0"/>
    <w:pPr>
      <w:adjustRightInd w:val="0"/>
      <w:snapToGrid w:val="0"/>
      <w:jc w:val="center"/>
    </w:pPr>
    <w:rPr>
      <w:rFonts w:ascii="宋体" w:hAnsi="Times" w:cs="宋体"/>
      <w:szCs w:val="20"/>
    </w:rPr>
  </w:style>
  <w:style w:type="paragraph" w:customStyle="1" w:styleId="3592">
    <w:name w:val="正文格式612"/>
    <w:basedOn w:val="1"/>
    <w:qFormat/>
    <w:uiPriority w:val="0"/>
    <w:pPr>
      <w:spacing w:line="360" w:lineRule="auto"/>
      <w:ind w:firstLine="482"/>
    </w:pPr>
    <w:rPr>
      <w:rFonts w:ascii="宋体" w:hAnsi="宋体"/>
      <w:sz w:val="24"/>
    </w:rPr>
  </w:style>
  <w:style w:type="paragraph" w:customStyle="1" w:styleId="3593">
    <w:name w:val="表内文字小233"/>
    <w:basedOn w:val="1"/>
    <w:qFormat/>
    <w:uiPriority w:val="0"/>
    <w:pPr>
      <w:adjustRightInd w:val="0"/>
      <w:snapToGrid w:val="0"/>
      <w:jc w:val="center"/>
    </w:pPr>
    <w:rPr>
      <w:rFonts w:ascii="宋体" w:hAnsi="Times"/>
      <w:bCs/>
      <w:color w:val="000000"/>
      <w:szCs w:val="20"/>
    </w:rPr>
  </w:style>
  <w:style w:type="paragraph" w:customStyle="1" w:styleId="3594">
    <w:name w:val="表格小4"/>
    <w:basedOn w:val="1"/>
    <w:next w:val="33"/>
    <w:qFormat/>
    <w:uiPriority w:val="0"/>
    <w:pPr>
      <w:adjustRightInd w:val="0"/>
      <w:snapToGrid w:val="0"/>
      <w:spacing w:before="60" w:after="60" w:line="320" w:lineRule="atLeast"/>
    </w:pPr>
    <w:rPr>
      <w:rFonts w:cs="宋体"/>
      <w:sz w:val="24"/>
      <w:szCs w:val="20"/>
    </w:rPr>
  </w:style>
  <w:style w:type="paragraph" w:customStyle="1" w:styleId="3595">
    <w:name w:val="表112"/>
    <w:basedOn w:val="1"/>
    <w:qFormat/>
    <w:uiPriority w:val="0"/>
    <w:pPr>
      <w:adjustRightInd w:val="0"/>
      <w:snapToGrid w:val="0"/>
      <w:jc w:val="center"/>
    </w:pPr>
    <w:rPr>
      <w:rFonts w:eastAsia="仿宋_GB2312"/>
      <w:sz w:val="24"/>
    </w:rPr>
  </w:style>
  <w:style w:type="paragraph" w:customStyle="1" w:styleId="3596">
    <w:name w:val="表文字51113"/>
    <w:basedOn w:val="1"/>
    <w:qFormat/>
    <w:uiPriority w:val="0"/>
    <w:pPr>
      <w:adjustRightInd w:val="0"/>
      <w:jc w:val="left"/>
      <w:textAlignment w:val="baseline"/>
    </w:pPr>
    <w:rPr>
      <w:rFonts w:ascii="宋体"/>
      <w:kern w:val="0"/>
      <w:szCs w:val="20"/>
    </w:rPr>
  </w:style>
  <w:style w:type="paragraph" w:customStyle="1" w:styleId="3597">
    <w:name w:val="Char103"/>
    <w:basedOn w:val="1"/>
    <w:qFormat/>
    <w:uiPriority w:val="0"/>
    <w:pPr>
      <w:spacing w:line="240" w:lineRule="exact"/>
      <w:ind w:firstLine="200" w:firstLineChars="200"/>
    </w:pPr>
    <w:rPr>
      <w:sz w:val="28"/>
      <w:szCs w:val="28"/>
    </w:rPr>
  </w:style>
  <w:style w:type="paragraph" w:customStyle="1" w:styleId="3598">
    <w:name w:val="edri-正文"/>
    <w:basedOn w:val="1"/>
    <w:qFormat/>
    <w:uiPriority w:val="0"/>
    <w:pPr>
      <w:spacing w:beforeLines="50" w:line="300" w:lineRule="auto"/>
      <w:ind w:left="899" w:leftChars="428"/>
    </w:pPr>
    <w:rPr>
      <w:snapToGrid w:val="0"/>
      <w:sz w:val="24"/>
    </w:rPr>
  </w:style>
  <w:style w:type="paragraph" w:customStyle="1" w:styleId="3599">
    <w:name w:val="正文格式5"/>
    <w:basedOn w:val="1"/>
    <w:qFormat/>
    <w:uiPriority w:val="0"/>
    <w:pPr>
      <w:spacing w:line="360" w:lineRule="auto"/>
      <w:ind w:firstLine="482"/>
    </w:pPr>
    <w:rPr>
      <w:rFonts w:ascii="宋体" w:hAnsi="宋体"/>
      <w:sz w:val="24"/>
    </w:rPr>
  </w:style>
  <w:style w:type="paragraph" w:customStyle="1" w:styleId="3600">
    <w:name w:val="正文格式84"/>
    <w:basedOn w:val="1"/>
    <w:qFormat/>
    <w:uiPriority w:val="0"/>
    <w:pPr>
      <w:spacing w:line="360" w:lineRule="auto"/>
      <w:ind w:firstLine="482"/>
    </w:pPr>
    <w:rPr>
      <w:rFonts w:ascii="宋体" w:hAnsi="宋体"/>
      <w:sz w:val="24"/>
    </w:rPr>
  </w:style>
  <w:style w:type="paragraph" w:customStyle="1" w:styleId="3601">
    <w:name w:val="样式 正文缩进 + 宋体 黑色 首行缩进:  2 字符"/>
    <w:basedOn w:val="20"/>
    <w:qFormat/>
    <w:uiPriority w:val="0"/>
    <w:pPr>
      <w:spacing w:line="360" w:lineRule="auto"/>
      <w:ind w:firstLine="480"/>
      <w:jc w:val="left"/>
    </w:pPr>
    <w:rPr>
      <w:rFonts w:ascii="宋体" w:hAnsi="宋体" w:cs="宋体"/>
      <w:color w:val="FF00FF"/>
      <w:sz w:val="24"/>
      <w:szCs w:val="20"/>
    </w:rPr>
  </w:style>
  <w:style w:type="paragraph" w:customStyle="1" w:styleId="3602">
    <w:name w:val="文本框3"/>
    <w:basedOn w:val="1"/>
    <w:qFormat/>
    <w:uiPriority w:val="0"/>
    <w:pPr>
      <w:adjustRightInd w:val="0"/>
      <w:snapToGrid w:val="0"/>
      <w:spacing w:after="6"/>
      <w:jc w:val="center"/>
    </w:pPr>
    <w:rPr>
      <w:rFonts w:eastAsia="仿宋_GB2312"/>
    </w:rPr>
  </w:style>
  <w:style w:type="paragraph" w:customStyle="1" w:styleId="3603">
    <w:name w:val="表24"/>
    <w:basedOn w:val="1"/>
    <w:qFormat/>
    <w:uiPriority w:val="0"/>
    <w:pPr>
      <w:adjustRightInd w:val="0"/>
      <w:snapToGrid w:val="0"/>
      <w:jc w:val="center"/>
    </w:pPr>
    <w:rPr>
      <w:rFonts w:eastAsia="仿宋_GB2312"/>
      <w:sz w:val="24"/>
    </w:rPr>
  </w:style>
  <w:style w:type="paragraph" w:customStyle="1" w:styleId="3604">
    <w:name w:val="表内5中11"/>
    <w:basedOn w:val="1"/>
    <w:qFormat/>
    <w:uiPriority w:val="0"/>
    <w:pPr>
      <w:adjustRightInd w:val="0"/>
      <w:snapToGrid w:val="0"/>
      <w:jc w:val="center"/>
    </w:pPr>
    <w:rPr>
      <w:rFonts w:ascii="宋体" w:hAnsi="宋体" w:cs="Arial"/>
      <w:snapToGrid w:val="0"/>
      <w:color w:val="000000"/>
      <w:szCs w:val="21"/>
    </w:rPr>
  </w:style>
  <w:style w:type="paragraph" w:customStyle="1" w:styleId="3605">
    <w:name w:val="样式 样式 Times New Roman 小四 行距: 1.5 倍行距 + 左侧:  0 厘米 首行缩进:  0 厘米"/>
    <w:basedOn w:val="1"/>
    <w:qFormat/>
    <w:uiPriority w:val="0"/>
    <w:pPr>
      <w:pBdr>
        <w:top w:val="single" w:color="auto" w:sz="4" w:space="1"/>
      </w:pBdr>
      <w:spacing w:line="324" w:lineRule="auto"/>
      <w:ind w:firstLine="480" w:firstLineChars="200"/>
    </w:pPr>
    <w:rPr>
      <w:sz w:val="24"/>
    </w:rPr>
  </w:style>
  <w:style w:type="paragraph" w:customStyle="1" w:styleId="3606">
    <w:name w:val="表内文字小211"/>
    <w:basedOn w:val="1"/>
    <w:qFormat/>
    <w:uiPriority w:val="0"/>
    <w:pPr>
      <w:adjustRightInd w:val="0"/>
      <w:snapToGrid w:val="0"/>
      <w:jc w:val="center"/>
    </w:pPr>
    <w:rPr>
      <w:rFonts w:ascii="宋体" w:hAnsi="Times"/>
      <w:bCs/>
      <w:color w:val="000000"/>
      <w:szCs w:val="20"/>
    </w:rPr>
  </w:style>
  <w:style w:type="paragraph" w:customStyle="1" w:styleId="3607">
    <w:name w:val="默认段落字体 Para Char32"/>
    <w:basedOn w:val="1"/>
    <w:qFormat/>
    <w:uiPriority w:val="0"/>
    <w:pPr>
      <w:spacing w:line="360" w:lineRule="auto"/>
      <w:ind w:firstLine="200" w:firstLineChars="200"/>
    </w:pPr>
    <w:rPr>
      <w:rFonts w:ascii="宋体" w:hAnsi="宋体" w:cs="宋体"/>
      <w:sz w:val="24"/>
    </w:rPr>
  </w:style>
  <w:style w:type="paragraph" w:customStyle="1" w:styleId="3608">
    <w:name w:val="表内文字小316"/>
    <w:basedOn w:val="1"/>
    <w:qFormat/>
    <w:uiPriority w:val="0"/>
    <w:pPr>
      <w:adjustRightInd w:val="0"/>
      <w:snapToGrid w:val="0"/>
      <w:jc w:val="center"/>
    </w:pPr>
    <w:rPr>
      <w:rFonts w:ascii="宋体" w:hAnsi="Times" w:cs="宋体"/>
      <w:bCs/>
      <w:color w:val="003366"/>
      <w:szCs w:val="20"/>
    </w:rPr>
  </w:style>
  <w:style w:type="paragraph" w:customStyle="1" w:styleId="3609">
    <w:name w:val="body 1"/>
    <w:basedOn w:val="1"/>
    <w:qFormat/>
    <w:uiPriority w:val="0"/>
    <w:pPr>
      <w:adjustRightInd w:val="0"/>
      <w:spacing w:line="360" w:lineRule="atLeast"/>
      <w:textAlignment w:val="baseline"/>
    </w:pPr>
    <w:rPr>
      <w:rFonts w:ascii="華康中楷體" w:eastAsia="華康中楷體"/>
      <w:spacing w:val="60"/>
      <w:kern w:val="0"/>
      <w:sz w:val="24"/>
      <w:szCs w:val="20"/>
      <w:lang w:eastAsia="zh-TW"/>
    </w:rPr>
  </w:style>
  <w:style w:type="paragraph" w:customStyle="1" w:styleId="3610">
    <w:name w:val="表内文字小25"/>
    <w:basedOn w:val="1"/>
    <w:qFormat/>
    <w:uiPriority w:val="0"/>
    <w:pPr>
      <w:adjustRightInd w:val="0"/>
      <w:snapToGrid w:val="0"/>
      <w:jc w:val="center"/>
    </w:pPr>
    <w:rPr>
      <w:rFonts w:ascii="宋体" w:hAnsi="Times"/>
      <w:bCs/>
      <w:color w:val="000000"/>
      <w:szCs w:val="20"/>
    </w:rPr>
  </w:style>
  <w:style w:type="paragraph" w:customStyle="1" w:styleId="3611">
    <w:name w:val="表12"/>
    <w:basedOn w:val="1"/>
    <w:qFormat/>
    <w:uiPriority w:val="0"/>
    <w:pPr>
      <w:adjustRightInd w:val="0"/>
      <w:snapToGrid w:val="0"/>
      <w:jc w:val="center"/>
    </w:pPr>
    <w:rPr>
      <w:rFonts w:eastAsia="仿宋_GB2312"/>
      <w:sz w:val="24"/>
    </w:rPr>
  </w:style>
  <w:style w:type="paragraph" w:customStyle="1" w:styleId="3612">
    <w:name w:val="正文格式 Char Char Char Char"/>
    <w:basedOn w:val="1"/>
    <w:qFormat/>
    <w:uiPriority w:val="0"/>
    <w:pPr>
      <w:spacing w:line="360" w:lineRule="auto"/>
      <w:ind w:firstLine="482"/>
    </w:pPr>
    <w:rPr>
      <w:rFonts w:ascii="宋体" w:cs="宋体"/>
      <w:sz w:val="24"/>
    </w:rPr>
  </w:style>
  <w:style w:type="paragraph" w:customStyle="1" w:styleId="3613">
    <w:name w:val="谏壁chen表格内文字 Char Char Char"/>
    <w:basedOn w:val="1"/>
    <w:qFormat/>
    <w:uiPriority w:val="0"/>
    <w:pPr>
      <w:spacing w:line="0" w:lineRule="atLeast"/>
      <w:jc w:val="center"/>
    </w:pPr>
    <w:rPr>
      <w:szCs w:val="21"/>
    </w:rPr>
  </w:style>
  <w:style w:type="paragraph" w:customStyle="1" w:styleId="3614">
    <w:name w:val="表内宋5中15"/>
    <w:basedOn w:val="1"/>
    <w:qFormat/>
    <w:uiPriority w:val="0"/>
    <w:pPr>
      <w:adjustRightInd w:val="0"/>
      <w:snapToGrid w:val="0"/>
      <w:jc w:val="center"/>
      <w:textAlignment w:val="baseline"/>
    </w:pPr>
    <w:rPr>
      <w:rFonts w:ascii="宋体" w:hAnsi="宋体" w:cs="宋体"/>
      <w:kern w:val="0"/>
      <w:szCs w:val="20"/>
    </w:rPr>
  </w:style>
  <w:style w:type="paragraph" w:customStyle="1" w:styleId="3615">
    <w:name w:val="标题431211"/>
    <w:basedOn w:val="1"/>
    <w:qFormat/>
    <w:uiPriority w:val="0"/>
    <w:pPr>
      <w:adjustRightInd w:val="0"/>
      <w:snapToGrid w:val="0"/>
      <w:spacing w:line="480" w:lineRule="exact"/>
      <w:jc w:val="center"/>
    </w:pPr>
    <w:rPr>
      <w:rFonts w:ascii="宋体" w:hAnsi="宋体" w:cs="宋体"/>
      <w:sz w:val="24"/>
    </w:rPr>
  </w:style>
  <w:style w:type="paragraph" w:customStyle="1" w:styleId="3616">
    <w:name w:val="Char Char Char Char1 Char Char Char13"/>
    <w:basedOn w:val="1"/>
    <w:qFormat/>
    <w:uiPriority w:val="0"/>
    <w:pPr>
      <w:widowControl/>
      <w:spacing w:after="160" w:line="240" w:lineRule="exact"/>
      <w:jc w:val="left"/>
    </w:pPr>
    <w:rPr>
      <w:rFonts w:ascii="Verdana" w:hAnsi="Verdana"/>
      <w:kern w:val="0"/>
      <w:sz w:val="20"/>
      <w:szCs w:val="20"/>
      <w:lang w:eastAsia="en-US"/>
    </w:rPr>
  </w:style>
  <w:style w:type="paragraph" w:customStyle="1" w:styleId="3617">
    <w:name w:val="附件"/>
    <w:basedOn w:val="2"/>
    <w:next w:val="184"/>
    <w:qFormat/>
    <w:uiPriority w:val="0"/>
    <w:pPr>
      <w:tabs>
        <w:tab w:val="left" w:pos="1566"/>
        <w:tab w:val="left" w:pos="2040"/>
      </w:tabs>
      <w:spacing w:before="0" w:after="210" w:line="360" w:lineRule="auto"/>
      <w:ind w:left="2040" w:leftChars="800" w:hanging="360" w:hangingChars="200"/>
      <w:jc w:val="left"/>
    </w:pPr>
    <w:rPr>
      <w:rFonts w:ascii="黑体" w:hAnsi="宋体" w:eastAsia="黑体"/>
      <w:sz w:val="32"/>
      <w:szCs w:val="32"/>
    </w:rPr>
  </w:style>
  <w:style w:type="paragraph" w:customStyle="1" w:styleId="3618">
    <w:name w:val="xl6313"/>
    <w:basedOn w:val="1"/>
    <w:qFormat/>
    <w:uiPriority w:val="0"/>
    <w:pPr>
      <w:widowControl/>
      <w:spacing w:before="100" w:beforeAutospacing="1" w:after="100" w:afterAutospacing="1"/>
      <w:jc w:val="center"/>
      <w:textAlignment w:val="center"/>
    </w:pPr>
    <w:rPr>
      <w:rFonts w:hint="eastAsia" w:ascii="黑体" w:hAnsi="宋体" w:eastAsia="黑体"/>
      <w:kern w:val="0"/>
      <w:sz w:val="24"/>
    </w:rPr>
  </w:style>
  <w:style w:type="paragraph" w:customStyle="1" w:styleId="3619">
    <w:name w:val="chen正文111"/>
    <w:basedOn w:val="1"/>
    <w:qFormat/>
    <w:uiPriority w:val="0"/>
    <w:pPr>
      <w:adjustRightInd w:val="0"/>
      <w:snapToGrid w:val="0"/>
      <w:spacing w:line="500" w:lineRule="exact"/>
      <w:ind w:firstLine="560" w:firstLineChars="200"/>
    </w:pPr>
    <w:rPr>
      <w:rFonts w:eastAsia="仿宋_GB2312"/>
      <w:bCs/>
      <w:color w:val="000000"/>
      <w:sz w:val="28"/>
      <w:szCs w:val="28"/>
    </w:rPr>
  </w:style>
  <w:style w:type="paragraph" w:customStyle="1" w:styleId="3620">
    <w:name w:val="样式 （一）标题 + 段前: 0.5 行"/>
    <w:basedOn w:val="1"/>
    <w:qFormat/>
    <w:uiPriority w:val="0"/>
    <w:pPr>
      <w:pBdr>
        <w:top w:val="single" w:color="auto" w:sz="4" w:space="1"/>
      </w:pBdr>
      <w:adjustRightInd w:val="0"/>
      <w:spacing w:line="360" w:lineRule="auto"/>
      <w:jc w:val="left"/>
      <w:textAlignment w:val="baseline"/>
    </w:pPr>
    <w:rPr>
      <w:rFonts w:cs="宋体"/>
      <w:b/>
      <w:bCs/>
      <w:kern w:val="0"/>
      <w:sz w:val="24"/>
      <w:szCs w:val="20"/>
    </w:rPr>
  </w:style>
  <w:style w:type="paragraph" w:customStyle="1" w:styleId="3621">
    <w:name w:val="Char Char Char Char Char Char Char112"/>
    <w:basedOn w:val="1"/>
    <w:qFormat/>
    <w:uiPriority w:val="0"/>
  </w:style>
  <w:style w:type="paragraph" w:customStyle="1" w:styleId="3622">
    <w:name w:val="report1"/>
    <w:basedOn w:val="1"/>
    <w:qFormat/>
    <w:uiPriority w:val="0"/>
    <w:pPr>
      <w:tabs>
        <w:tab w:val="left" w:pos="1009"/>
      </w:tabs>
      <w:adjustRightInd w:val="0"/>
      <w:spacing w:before="60" w:after="60" w:line="300" w:lineRule="exact"/>
      <w:ind w:left="1009" w:hanging="504"/>
      <w:textAlignment w:val="baseline"/>
    </w:pPr>
    <w:rPr>
      <w:kern w:val="0"/>
      <w:sz w:val="22"/>
      <w:szCs w:val="20"/>
    </w:rPr>
  </w:style>
  <w:style w:type="paragraph" w:customStyle="1" w:styleId="3623">
    <w:name w:val="Char Char Char2 Char Char Char Char"/>
    <w:basedOn w:val="1"/>
    <w:qFormat/>
    <w:uiPriority w:val="0"/>
    <w:rPr>
      <w:szCs w:val="21"/>
    </w:rPr>
  </w:style>
  <w:style w:type="paragraph" w:customStyle="1" w:styleId="3624">
    <w:name w:val="Char410"/>
    <w:basedOn w:val="1"/>
    <w:qFormat/>
    <w:uiPriority w:val="0"/>
    <w:pPr>
      <w:ind w:left="-48"/>
    </w:pPr>
  </w:style>
  <w:style w:type="paragraph" w:customStyle="1" w:styleId="3625">
    <w:name w:val="正文格式＝41"/>
    <w:basedOn w:val="184"/>
    <w:next w:val="184"/>
    <w:qFormat/>
    <w:uiPriority w:val="0"/>
    <w:rPr>
      <w:rFonts w:hAnsi="宋体"/>
    </w:rPr>
  </w:style>
  <w:style w:type="paragraph" w:customStyle="1" w:styleId="3626">
    <w:name w:val="样式 标题 1 + (中文) 黑体 四号 居中 段前: 0 磅 段后: 0 磅 行距: 2 倍行距1"/>
    <w:basedOn w:val="2"/>
    <w:qFormat/>
    <w:uiPriority w:val="0"/>
    <w:pPr>
      <w:tabs>
        <w:tab w:val="left" w:pos="432"/>
        <w:tab w:val="left" w:pos="2040"/>
      </w:tabs>
      <w:spacing w:beforeLines="50" w:afterLines="50" w:line="480" w:lineRule="auto"/>
      <w:ind w:left="432" w:leftChars="800" w:hanging="432" w:hangingChars="200"/>
      <w:jc w:val="center"/>
    </w:pPr>
    <w:rPr>
      <w:rFonts w:ascii="仿宋_GB2312" w:eastAsia="仿宋_GB2312"/>
      <w:bCs w:val="0"/>
      <w:color w:val="FF0000"/>
      <w:sz w:val="36"/>
      <w:szCs w:val="36"/>
    </w:rPr>
  </w:style>
  <w:style w:type="paragraph" w:customStyle="1" w:styleId="3627">
    <w:name w:val="表内521"/>
    <w:basedOn w:val="1"/>
    <w:qFormat/>
    <w:uiPriority w:val="0"/>
    <w:pPr>
      <w:adjustRightInd w:val="0"/>
      <w:snapToGrid w:val="0"/>
      <w:spacing w:line="300" w:lineRule="auto"/>
      <w:jc w:val="left"/>
    </w:pPr>
    <w:rPr>
      <w:rFonts w:ascii="宋体"/>
      <w:sz w:val="18"/>
      <w:szCs w:val="20"/>
    </w:rPr>
  </w:style>
  <w:style w:type="paragraph" w:customStyle="1" w:styleId="3628">
    <w:name w:val="Char Char Char Char Char Char1 Char Char Char Char Char Char3 Char"/>
    <w:basedOn w:val="4"/>
    <w:qFormat/>
    <w:uiPriority w:val="0"/>
    <w:pPr>
      <w:tabs>
        <w:tab w:val="left" w:pos="233"/>
        <w:tab w:val="left" w:pos="360"/>
        <w:tab w:val="left" w:pos="900"/>
      </w:tabs>
      <w:snapToGrid w:val="0"/>
      <w:spacing w:before="120" w:after="120" w:line="360" w:lineRule="auto"/>
      <w:ind w:left="542" w:leftChars="-12" w:firstLine="200" w:firstLineChars="200"/>
      <w:jc w:val="left"/>
    </w:pPr>
    <w:rPr>
      <w:rFonts w:eastAsia="黑体"/>
      <w:b w:val="0"/>
      <w:bCs w:val="0"/>
      <w:sz w:val="24"/>
      <w:szCs w:val="24"/>
    </w:rPr>
  </w:style>
  <w:style w:type="paragraph" w:customStyle="1" w:styleId="3629">
    <w:name w:val="样式 标题 3 + 段前: 12 磅2"/>
    <w:basedOn w:val="4"/>
    <w:qFormat/>
    <w:uiPriority w:val="0"/>
    <w:pPr>
      <w:keepNext w:val="0"/>
      <w:keepLines w:val="0"/>
      <w:widowControl/>
      <w:tabs>
        <w:tab w:val="left" w:pos="233"/>
      </w:tabs>
      <w:autoSpaceDE w:val="0"/>
      <w:autoSpaceDN w:val="0"/>
      <w:adjustRightInd w:val="0"/>
      <w:snapToGrid w:val="0"/>
      <w:spacing w:before="0" w:after="0" w:line="360" w:lineRule="auto"/>
      <w:ind w:left="233"/>
    </w:pPr>
    <w:rPr>
      <w:rFonts w:ascii="黑体" w:hAnsi="宋体" w:eastAsia="黑体" w:cs="宋体"/>
      <w:b w:val="0"/>
      <w:bCs w:val="0"/>
      <w:color w:val="000000"/>
      <w:kern w:val="21"/>
      <w:sz w:val="24"/>
      <w:szCs w:val="20"/>
    </w:rPr>
  </w:style>
  <w:style w:type="paragraph" w:customStyle="1" w:styleId="3630">
    <w:name w:val="Char Char Char Char Char Char Char310"/>
    <w:basedOn w:val="1"/>
    <w:qFormat/>
    <w:uiPriority w:val="0"/>
  </w:style>
  <w:style w:type="paragraph" w:customStyle="1" w:styleId="3631">
    <w:name w:val="CM18"/>
    <w:basedOn w:val="191"/>
    <w:next w:val="191"/>
    <w:qFormat/>
    <w:uiPriority w:val="0"/>
    <w:pPr>
      <w:spacing w:line="546" w:lineRule="atLeast"/>
    </w:pPr>
    <w:rPr>
      <w:rFonts w:cs="Times New Roman"/>
      <w:color w:val="auto"/>
    </w:rPr>
  </w:style>
  <w:style w:type="paragraph" w:customStyle="1" w:styleId="3632">
    <w:name w:val="Normal1"/>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3633">
    <w:name w:val="黑体三号33"/>
    <w:basedOn w:val="184"/>
    <w:qFormat/>
    <w:uiPriority w:val="0"/>
    <w:pPr>
      <w:jc w:val="center"/>
    </w:pPr>
    <w:rPr>
      <w:rFonts w:ascii="黑体" w:hAnsi="宋体" w:eastAsia="黑体"/>
      <w:b/>
      <w:bCs/>
      <w:sz w:val="32"/>
      <w:szCs w:val="20"/>
    </w:rPr>
  </w:style>
  <w:style w:type="paragraph" w:customStyle="1" w:styleId="3634">
    <w:name w:val="Char Char2 Char Char Char Char6"/>
    <w:basedOn w:val="1"/>
    <w:qFormat/>
    <w:uiPriority w:val="0"/>
  </w:style>
  <w:style w:type="paragraph" w:customStyle="1" w:styleId="3635">
    <w:name w:val="Char Char Char Char1 Char Char Char25"/>
    <w:basedOn w:val="1"/>
    <w:qFormat/>
    <w:uiPriority w:val="0"/>
    <w:pPr>
      <w:widowControl/>
      <w:spacing w:after="160" w:line="240" w:lineRule="exact"/>
      <w:jc w:val="left"/>
    </w:pPr>
    <w:rPr>
      <w:rFonts w:ascii="Verdana" w:hAnsi="Verdana"/>
      <w:kern w:val="0"/>
      <w:sz w:val="20"/>
      <w:szCs w:val="20"/>
      <w:lang w:eastAsia="en-US"/>
    </w:rPr>
  </w:style>
  <w:style w:type="paragraph" w:customStyle="1" w:styleId="3636">
    <w:name w:val="默认段落字体 Para Char Char Char Char6"/>
    <w:basedOn w:val="1"/>
    <w:qFormat/>
    <w:uiPriority w:val="0"/>
  </w:style>
  <w:style w:type="paragraph" w:customStyle="1" w:styleId="3637">
    <w:name w:val="表格内字体73"/>
    <w:basedOn w:val="184"/>
    <w:next w:val="184"/>
    <w:qFormat/>
    <w:uiPriority w:val="0"/>
    <w:pPr>
      <w:spacing w:line="240" w:lineRule="auto"/>
      <w:ind w:firstLine="0"/>
      <w:jc w:val="center"/>
    </w:pPr>
    <w:rPr>
      <w:rFonts w:hAnsi="宋体"/>
      <w:sz w:val="21"/>
    </w:rPr>
  </w:style>
  <w:style w:type="paragraph" w:customStyle="1" w:styleId="3638">
    <w:name w:val="表内541211"/>
    <w:basedOn w:val="1"/>
    <w:qFormat/>
    <w:uiPriority w:val="0"/>
    <w:pPr>
      <w:adjustRightInd w:val="0"/>
      <w:snapToGrid w:val="0"/>
      <w:spacing w:line="300" w:lineRule="auto"/>
      <w:jc w:val="center"/>
    </w:pPr>
    <w:rPr>
      <w:rFonts w:ascii="宋体" w:hAnsi="宋体" w:cs="宋体"/>
      <w:szCs w:val="20"/>
    </w:rPr>
  </w:style>
  <w:style w:type="paragraph" w:customStyle="1" w:styleId="3639">
    <w:name w:val="图表名称1"/>
    <w:basedOn w:val="85"/>
    <w:qFormat/>
    <w:uiPriority w:val="0"/>
    <w:pPr>
      <w:widowControl/>
      <w:adjustRightInd w:val="0"/>
      <w:snapToGrid w:val="0"/>
      <w:spacing w:after="0" w:line="480" w:lineRule="exact"/>
      <w:ind w:firstLine="0" w:firstLineChars="0"/>
      <w:jc w:val="center"/>
    </w:pPr>
    <w:rPr>
      <w:rFonts w:ascii="宋体" w:hAnsi="宋体" w:eastAsia="宋体"/>
      <w:bCs/>
      <w:sz w:val="24"/>
    </w:rPr>
  </w:style>
  <w:style w:type="paragraph" w:customStyle="1" w:styleId="3640">
    <w:name w:val="Char Char2 Char Char Char Char24"/>
    <w:basedOn w:val="1"/>
    <w:qFormat/>
    <w:uiPriority w:val="0"/>
  </w:style>
  <w:style w:type="paragraph" w:customStyle="1" w:styleId="3641">
    <w:name w:val="报告正文"/>
    <w:basedOn w:val="1"/>
    <w:qFormat/>
    <w:uiPriority w:val="0"/>
    <w:pPr>
      <w:tabs>
        <w:tab w:val="left" w:pos="705"/>
      </w:tabs>
      <w:topLinePunct/>
      <w:spacing w:line="480" w:lineRule="exact"/>
      <w:ind w:firstLine="560" w:firstLineChars="200"/>
    </w:pPr>
    <w:rPr>
      <w:sz w:val="28"/>
      <w:szCs w:val="28"/>
    </w:rPr>
  </w:style>
  <w:style w:type="paragraph" w:customStyle="1" w:styleId="3642">
    <w:name w:val="Char84"/>
    <w:basedOn w:val="1"/>
    <w:qFormat/>
    <w:uiPriority w:val="0"/>
    <w:pPr>
      <w:ind w:left="-48"/>
    </w:pPr>
  </w:style>
  <w:style w:type="paragraph" w:customStyle="1" w:styleId="3643">
    <w:name w:val="Char Char2 Char Char Char Char7"/>
    <w:basedOn w:val="1"/>
    <w:qFormat/>
    <w:uiPriority w:val="0"/>
  </w:style>
  <w:style w:type="paragraph" w:customStyle="1" w:styleId="3644">
    <w:name w:val="表题312"/>
    <w:basedOn w:val="34"/>
    <w:qFormat/>
    <w:uiPriority w:val="0"/>
    <w:pPr>
      <w:tabs>
        <w:tab w:val="left" w:pos="4305"/>
      </w:tabs>
      <w:adjustRightInd w:val="0"/>
      <w:snapToGrid w:val="0"/>
      <w:spacing w:after="0"/>
      <w:ind w:left="0" w:leftChars="0"/>
      <w:jc w:val="center"/>
    </w:pPr>
    <w:rPr>
      <w:rFonts w:ascii="宋体" w:hAnsi="宋体"/>
      <w:sz w:val="24"/>
      <w:szCs w:val="20"/>
    </w:rPr>
  </w:style>
  <w:style w:type="paragraph" w:customStyle="1" w:styleId="3645">
    <w:name w:val="样式 标题 2节 + 宋体 左"/>
    <w:basedOn w:val="3"/>
    <w:qFormat/>
    <w:uiPriority w:val="0"/>
    <w:pPr>
      <w:numPr>
        <w:ilvl w:val="0"/>
        <w:numId w:val="0"/>
      </w:numPr>
      <w:tabs>
        <w:tab w:val="left" w:pos="233"/>
        <w:tab w:val="left" w:pos="567"/>
        <w:tab w:val="clear" w:pos="0"/>
        <w:tab w:val="clear" w:pos="426"/>
      </w:tabs>
      <w:spacing w:beforeLines="0" w:afterLines="0" w:line="360" w:lineRule="auto"/>
      <w:ind w:left="567" w:hanging="567"/>
      <w:jc w:val="left"/>
    </w:pPr>
    <w:rPr>
      <w:rFonts w:ascii="宋体" w:hAnsi="宋体" w:eastAsia="宋体" w:cs="宋体"/>
      <w:bCs/>
      <w:spacing w:val="0"/>
      <w:kern w:val="2"/>
      <w:sz w:val="28"/>
      <w:szCs w:val="24"/>
    </w:rPr>
  </w:style>
  <w:style w:type="paragraph" w:customStyle="1" w:styleId="3646">
    <w:name w:val="Char Char2 Char Char Char Char4"/>
    <w:basedOn w:val="1"/>
    <w:qFormat/>
    <w:uiPriority w:val="0"/>
  </w:style>
  <w:style w:type="paragraph" w:customStyle="1" w:styleId="3647">
    <w:name w:val="Char210"/>
    <w:basedOn w:val="1"/>
    <w:qFormat/>
    <w:uiPriority w:val="0"/>
    <w:pPr>
      <w:ind w:left="-48"/>
    </w:pPr>
  </w:style>
  <w:style w:type="paragraph" w:customStyle="1" w:styleId="3648">
    <w:name w:val="标题431113"/>
    <w:basedOn w:val="1"/>
    <w:qFormat/>
    <w:uiPriority w:val="0"/>
    <w:pPr>
      <w:adjustRightInd w:val="0"/>
      <w:snapToGrid w:val="0"/>
      <w:spacing w:line="480" w:lineRule="exact"/>
      <w:jc w:val="center"/>
    </w:pPr>
    <w:rPr>
      <w:rFonts w:ascii="宋体" w:hAnsi="宋体" w:cs="宋体"/>
      <w:sz w:val="24"/>
    </w:rPr>
  </w:style>
  <w:style w:type="paragraph" w:customStyle="1" w:styleId="3649">
    <w:name w:val="Char Char Char Char Char Char Char Char Char Char Char Char Char Char Char Char Char Char Char Char Char Char Char Char Char Char Char Char Char Char Char Char Char Char Char Char Char Char Char Char"/>
    <w:basedOn w:val="1"/>
    <w:qFormat/>
    <w:uiPriority w:val="0"/>
    <w:rPr>
      <w:sz w:val="24"/>
    </w:rPr>
  </w:style>
  <w:style w:type="paragraph" w:customStyle="1" w:styleId="3650">
    <w:name w:val="表格内字体52"/>
    <w:basedOn w:val="184"/>
    <w:next w:val="184"/>
    <w:qFormat/>
    <w:uiPriority w:val="0"/>
    <w:pPr>
      <w:adjustRightInd w:val="0"/>
      <w:snapToGrid w:val="0"/>
      <w:spacing w:line="240" w:lineRule="auto"/>
      <w:ind w:firstLine="0"/>
    </w:pPr>
    <w:rPr>
      <w:rFonts w:hAnsi="宋体"/>
      <w:sz w:val="21"/>
    </w:rPr>
  </w:style>
  <w:style w:type="paragraph" w:customStyle="1" w:styleId="3651">
    <w:name w:val="表格内字体512"/>
    <w:basedOn w:val="184"/>
    <w:next w:val="184"/>
    <w:qFormat/>
    <w:uiPriority w:val="0"/>
    <w:pPr>
      <w:adjustRightInd w:val="0"/>
      <w:snapToGrid w:val="0"/>
      <w:spacing w:line="240" w:lineRule="auto"/>
      <w:ind w:firstLine="0"/>
    </w:pPr>
    <w:rPr>
      <w:rFonts w:hAnsi="宋体"/>
      <w:sz w:val="21"/>
    </w:rPr>
  </w:style>
  <w:style w:type="paragraph" w:customStyle="1" w:styleId="3652">
    <w:name w:val="表中文字5"/>
    <w:basedOn w:val="1"/>
    <w:qFormat/>
    <w:uiPriority w:val="0"/>
    <w:pPr>
      <w:widowControl/>
      <w:spacing w:line="240" w:lineRule="atLeast"/>
      <w:ind w:left="-24" w:leftChars="-10" w:right="-48" w:rightChars="-20"/>
      <w:jc w:val="center"/>
    </w:pPr>
    <w:rPr>
      <w:rFonts w:ascii="宋体"/>
      <w:kern w:val="0"/>
      <w:szCs w:val="21"/>
    </w:rPr>
  </w:style>
  <w:style w:type="paragraph" w:customStyle="1" w:styleId="3653">
    <w:name w:val="Char Char2 Char Char Char Char35"/>
    <w:basedOn w:val="1"/>
    <w:qFormat/>
    <w:uiPriority w:val="0"/>
  </w:style>
  <w:style w:type="paragraph" w:customStyle="1" w:styleId="3654">
    <w:name w:val="图题711"/>
    <w:basedOn w:val="184"/>
    <w:next w:val="184"/>
    <w:qFormat/>
    <w:uiPriority w:val="0"/>
    <w:pPr>
      <w:ind w:firstLine="0"/>
      <w:jc w:val="center"/>
    </w:pPr>
    <w:rPr>
      <w:rFonts w:ascii="黑体" w:hAnsi="宋体" w:eastAsia="黑体"/>
      <w:b/>
      <w:bCs/>
    </w:rPr>
  </w:style>
  <w:style w:type="paragraph" w:customStyle="1" w:styleId="3655">
    <w:name w:val="图题9"/>
    <w:basedOn w:val="184"/>
    <w:next w:val="184"/>
    <w:qFormat/>
    <w:uiPriority w:val="0"/>
    <w:pPr>
      <w:ind w:firstLine="0"/>
      <w:jc w:val="center"/>
    </w:pPr>
    <w:rPr>
      <w:rFonts w:ascii="黑体" w:hAnsi="宋体" w:eastAsia="黑体"/>
      <w:b/>
      <w:bCs/>
    </w:rPr>
  </w:style>
  <w:style w:type="paragraph" w:customStyle="1" w:styleId="3656">
    <w:name w:val="A正文2"/>
    <w:basedOn w:val="1"/>
    <w:qFormat/>
    <w:uiPriority w:val="0"/>
    <w:pPr>
      <w:widowControl/>
      <w:overflowPunct w:val="0"/>
      <w:autoSpaceDE w:val="0"/>
      <w:autoSpaceDN w:val="0"/>
      <w:adjustRightInd w:val="0"/>
      <w:spacing w:line="360" w:lineRule="auto"/>
      <w:ind w:firstLine="200" w:firstLineChars="200"/>
      <w:jc w:val="left"/>
      <w:textAlignment w:val="baseline"/>
    </w:pPr>
    <w:rPr>
      <w:rFonts w:eastAsia="仿宋_GB2312"/>
      <w:kern w:val="0"/>
      <w:sz w:val="24"/>
    </w:rPr>
  </w:style>
  <w:style w:type="paragraph" w:customStyle="1" w:styleId="3657">
    <w:name w:val="Char429"/>
    <w:basedOn w:val="1"/>
    <w:qFormat/>
    <w:uiPriority w:val="0"/>
    <w:pPr>
      <w:ind w:left="-48"/>
    </w:pPr>
  </w:style>
  <w:style w:type="paragraph" w:customStyle="1" w:styleId="3658">
    <w:name w:val="表题317"/>
    <w:basedOn w:val="34"/>
    <w:qFormat/>
    <w:uiPriority w:val="0"/>
    <w:pPr>
      <w:tabs>
        <w:tab w:val="left" w:pos="4305"/>
      </w:tabs>
      <w:adjustRightInd w:val="0"/>
      <w:snapToGrid w:val="0"/>
      <w:spacing w:after="0"/>
      <w:ind w:left="0" w:leftChars="0"/>
      <w:jc w:val="center"/>
    </w:pPr>
    <w:rPr>
      <w:rFonts w:ascii="宋体" w:hAnsi="宋体"/>
      <w:sz w:val="24"/>
      <w:szCs w:val="20"/>
    </w:rPr>
  </w:style>
  <w:style w:type="paragraph" w:customStyle="1" w:styleId="3659">
    <w:name w:val="文本123"/>
    <w:basedOn w:val="20"/>
    <w:qFormat/>
    <w:uiPriority w:val="0"/>
    <w:pPr>
      <w:tabs>
        <w:tab w:val="left" w:pos="958"/>
      </w:tabs>
      <w:spacing w:line="460" w:lineRule="exact"/>
      <w:ind w:left="958" w:hanging="420" w:firstLineChars="0"/>
      <w:outlineLvl w:val="7"/>
    </w:pPr>
    <w:rPr>
      <w:sz w:val="24"/>
      <w:szCs w:val="20"/>
    </w:rPr>
  </w:style>
  <w:style w:type="paragraph" w:customStyle="1" w:styleId="3660">
    <w:name w:val="基准篇眉"/>
    <w:basedOn w:val="1"/>
    <w:qFormat/>
    <w:uiPriority w:val="0"/>
    <w:pPr>
      <w:keepLines/>
      <w:widowControl/>
      <w:tabs>
        <w:tab w:val="center" w:pos="7200"/>
        <w:tab w:val="right" w:pos="14400"/>
      </w:tabs>
      <w:overflowPunct w:val="0"/>
      <w:autoSpaceDE w:val="0"/>
      <w:autoSpaceDN w:val="0"/>
      <w:adjustRightInd w:val="0"/>
      <w:jc w:val="center"/>
      <w:textAlignment w:val="baseline"/>
    </w:pPr>
    <w:rPr>
      <w:spacing w:val="80"/>
      <w:kern w:val="0"/>
      <w:sz w:val="20"/>
      <w:szCs w:val="20"/>
    </w:rPr>
  </w:style>
  <w:style w:type="paragraph" w:customStyle="1" w:styleId="3661">
    <w:name w:val="表题3132"/>
    <w:basedOn w:val="34"/>
    <w:qFormat/>
    <w:uiPriority w:val="0"/>
    <w:pPr>
      <w:tabs>
        <w:tab w:val="left" w:pos="4305"/>
      </w:tabs>
      <w:adjustRightInd w:val="0"/>
      <w:snapToGrid w:val="0"/>
      <w:spacing w:after="0"/>
      <w:ind w:left="0" w:leftChars="0"/>
      <w:jc w:val="center"/>
    </w:pPr>
    <w:rPr>
      <w:rFonts w:ascii="宋体" w:hAnsi="宋体"/>
      <w:sz w:val="24"/>
      <w:szCs w:val="20"/>
    </w:rPr>
  </w:style>
  <w:style w:type="paragraph" w:customStyle="1" w:styleId="3662">
    <w:name w:val="正文格式＝22"/>
    <w:basedOn w:val="184"/>
    <w:next w:val="184"/>
    <w:qFormat/>
    <w:uiPriority w:val="0"/>
    <w:rPr>
      <w:rFonts w:hAnsi="宋体"/>
    </w:rPr>
  </w:style>
  <w:style w:type="paragraph" w:customStyle="1" w:styleId="3663">
    <w:name w:val="Char115"/>
    <w:basedOn w:val="1"/>
    <w:qFormat/>
    <w:uiPriority w:val="0"/>
    <w:pPr>
      <w:ind w:left="-48"/>
    </w:pPr>
  </w:style>
  <w:style w:type="paragraph" w:customStyle="1" w:styleId="3664">
    <w:name w:val="样式 标题 4无效格式无效格式1河石管道4H4H41小小节河石管道41H42H411小小节1河石管道42...4"/>
    <w:basedOn w:val="5"/>
    <w:qFormat/>
    <w:uiPriority w:val="0"/>
    <w:pPr>
      <w:adjustRightInd w:val="0"/>
      <w:snapToGrid w:val="0"/>
      <w:spacing w:line="360" w:lineRule="auto"/>
      <w:ind w:left="664" w:hanging="864"/>
    </w:pPr>
    <w:rPr>
      <w:rFonts w:ascii="黑体" w:eastAsia="黑体"/>
      <w:bCs w:val="0"/>
      <w:sz w:val="24"/>
      <w:szCs w:val="24"/>
    </w:rPr>
  </w:style>
  <w:style w:type="paragraph" w:customStyle="1" w:styleId="3665">
    <w:name w:val="图题21"/>
    <w:basedOn w:val="184"/>
    <w:next w:val="184"/>
    <w:qFormat/>
    <w:uiPriority w:val="0"/>
    <w:pPr>
      <w:ind w:firstLine="0"/>
      <w:jc w:val="center"/>
    </w:pPr>
    <w:rPr>
      <w:rFonts w:ascii="黑体" w:hAnsi="宋体" w:eastAsia="黑体"/>
      <w:b/>
      <w:bCs/>
    </w:rPr>
  </w:style>
  <w:style w:type="paragraph" w:customStyle="1" w:styleId="3666">
    <w:name w:val="图题3"/>
    <w:basedOn w:val="184"/>
    <w:next w:val="184"/>
    <w:qFormat/>
    <w:uiPriority w:val="0"/>
    <w:pPr>
      <w:ind w:firstLine="0"/>
      <w:jc w:val="center"/>
    </w:pPr>
    <w:rPr>
      <w:rFonts w:ascii="黑体" w:hAnsi="宋体" w:eastAsia="黑体"/>
      <w:b/>
      <w:bCs/>
    </w:rPr>
  </w:style>
  <w:style w:type="paragraph" w:customStyle="1" w:styleId="3667">
    <w:name w:val="正文格式＝7"/>
    <w:basedOn w:val="184"/>
    <w:next w:val="184"/>
    <w:qFormat/>
    <w:uiPriority w:val="0"/>
    <w:rPr>
      <w:rFonts w:hAnsi="宋体"/>
    </w:rPr>
  </w:style>
  <w:style w:type="paragraph" w:customStyle="1" w:styleId="3668">
    <w:name w:val="m3"/>
    <w:basedOn w:val="1"/>
    <w:qFormat/>
    <w:uiPriority w:val="0"/>
    <w:pPr>
      <w:pBdr>
        <w:top w:val="single" w:color="auto" w:sz="4" w:space="1"/>
      </w:pBdr>
      <w:adjustRightInd w:val="0"/>
      <w:spacing w:line="400" w:lineRule="atLeast"/>
      <w:jc w:val="center"/>
      <w:textAlignment w:val="bottom"/>
    </w:pPr>
    <w:rPr>
      <w:rFonts w:eastAsia="楷体"/>
      <w:kern w:val="0"/>
      <w:sz w:val="28"/>
      <w:szCs w:val="20"/>
    </w:rPr>
  </w:style>
  <w:style w:type="paragraph" w:customStyle="1" w:styleId="3669">
    <w:name w:val="正文格式＝72"/>
    <w:basedOn w:val="184"/>
    <w:next w:val="184"/>
    <w:qFormat/>
    <w:uiPriority w:val="0"/>
    <w:rPr>
      <w:rFonts w:hAnsi="宋体"/>
    </w:rPr>
  </w:style>
  <w:style w:type="paragraph" w:customStyle="1" w:styleId="3670">
    <w:name w:val="Char211"/>
    <w:basedOn w:val="1"/>
    <w:qFormat/>
    <w:uiPriority w:val="0"/>
    <w:pPr>
      <w:ind w:left="-48"/>
    </w:pPr>
  </w:style>
  <w:style w:type="paragraph" w:customStyle="1" w:styleId="3671">
    <w:name w:val="表中文字12"/>
    <w:basedOn w:val="1"/>
    <w:qFormat/>
    <w:uiPriority w:val="0"/>
    <w:pPr>
      <w:widowControl/>
      <w:spacing w:line="240" w:lineRule="atLeast"/>
      <w:ind w:left="-24" w:leftChars="-10" w:right="-48" w:rightChars="-20"/>
      <w:jc w:val="center"/>
    </w:pPr>
    <w:rPr>
      <w:rFonts w:ascii="宋体"/>
      <w:kern w:val="0"/>
      <w:szCs w:val="21"/>
    </w:rPr>
  </w:style>
  <w:style w:type="paragraph" w:customStyle="1" w:styleId="3672">
    <w:name w:val="Char215"/>
    <w:basedOn w:val="1"/>
    <w:qFormat/>
    <w:uiPriority w:val="0"/>
    <w:pPr>
      <w:ind w:left="-48"/>
    </w:pPr>
  </w:style>
  <w:style w:type="paragraph" w:customStyle="1" w:styleId="3673">
    <w:name w:val="奇数页篇眉"/>
    <w:basedOn w:val="56"/>
    <w:qFormat/>
    <w:uiPriority w:val="0"/>
    <w:pPr>
      <w:keepLines/>
      <w:widowControl/>
      <w:pBdr>
        <w:bottom w:val="none" w:color="auto" w:sz="0" w:space="0"/>
      </w:pBdr>
      <w:tabs>
        <w:tab w:val="center" w:pos="7200"/>
        <w:tab w:val="right" w:pos="14400"/>
        <w:tab w:val="clear" w:pos="4153"/>
        <w:tab w:val="clear" w:pos="8306"/>
      </w:tabs>
      <w:overflowPunct w:val="0"/>
      <w:autoSpaceDE w:val="0"/>
      <w:autoSpaceDN w:val="0"/>
      <w:adjustRightInd w:val="0"/>
      <w:snapToGrid/>
      <w:textAlignment w:val="baseline"/>
    </w:pPr>
    <w:rPr>
      <w:spacing w:val="80"/>
      <w:kern w:val="0"/>
      <w:sz w:val="20"/>
      <w:szCs w:val="20"/>
    </w:rPr>
  </w:style>
  <w:style w:type="paragraph" w:customStyle="1" w:styleId="3674">
    <w:name w:val="Char Char2 Char Char Char Char16"/>
    <w:basedOn w:val="1"/>
    <w:qFormat/>
    <w:uiPriority w:val="0"/>
  </w:style>
  <w:style w:type="paragraph" w:customStyle="1" w:styleId="3675">
    <w:name w:val="Char423"/>
    <w:basedOn w:val="1"/>
    <w:qFormat/>
    <w:uiPriority w:val="0"/>
    <w:pPr>
      <w:ind w:left="-48"/>
    </w:pPr>
  </w:style>
  <w:style w:type="paragraph" w:customStyle="1" w:styleId="3676">
    <w:name w:val="表格内字体6"/>
    <w:basedOn w:val="184"/>
    <w:next w:val="184"/>
    <w:qFormat/>
    <w:uiPriority w:val="0"/>
    <w:pPr>
      <w:spacing w:line="240" w:lineRule="auto"/>
      <w:ind w:firstLine="0"/>
      <w:jc w:val="center"/>
    </w:pPr>
    <w:rPr>
      <w:rFonts w:hAnsi="宋体"/>
      <w:sz w:val="21"/>
    </w:rPr>
  </w:style>
  <w:style w:type="paragraph" w:customStyle="1" w:styleId="3677">
    <w:name w:val="燕山正文1311"/>
    <w:basedOn w:val="1"/>
    <w:qFormat/>
    <w:uiPriority w:val="0"/>
    <w:pPr>
      <w:tabs>
        <w:tab w:val="left" w:pos="4680"/>
      </w:tabs>
      <w:adjustRightInd w:val="0"/>
      <w:snapToGrid w:val="0"/>
      <w:spacing w:line="360" w:lineRule="auto"/>
      <w:ind w:firstLine="480" w:firstLineChars="200"/>
    </w:pPr>
    <w:rPr>
      <w:rFonts w:ascii="宋体" w:hAnsi="宋体" w:cs="宋体"/>
      <w:bCs/>
      <w:color w:val="000000"/>
      <w:sz w:val="24"/>
    </w:rPr>
  </w:style>
  <w:style w:type="paragraph" w:customStyle="1" w:styleId="3678">
    <w:name w:val="表格内字体23"/>
    <w:basedOn w:val="184"/>
    <w:next w:val="184"/>
    <w:qFormat/>
    <w:uiPriority w:val="0"/>
    <w:pPr>
      <w:spacing w:line="240" w:lineRule="auto"/>
      <w:ind w:firstLine="0"/>
      <w:jc w:val="center"/>
    </w:pPr>
    <w:rPr>
      <w:rFonts w:hAnsi="宋体"/>
      <w:sz w:val="21"/>
    </w:rPr>
  </w:style>
  <w:style w:type="paragraph" w:customStyle="1" w:styleId="3679">
    <w:name w:val="图题612"/>
    <w:basedOn w:val="184"/>
    <w:next w:val="184"/>
    <w:qFormat/>
    <w:uiPriority w:val="0"/>
    <w:pPr>
      <w:ind w:firstLine="0"/>
      <w:jc w:val="center"/>
    </w:pPr>
    <w:rPr>
      <w:rFonts w:ascii="黑体" w:hAnsi="宋体" w:eastAsia="黑体"/>
      <w:b/>
      <w:bCs/>
    </w:rPr>
  </w:style>
  <w:style w:type="paragraph" w:customStyle="1" w:styleId="3680">
    <w:name w:val="表题4111"/>
    <w:basedOn w:val="34"/>
    <w:qFormat/>
    <w:uiPriority w:val="0"/>
    <w:pPr>
      <w:tabs>
        <w:tab w:val="left" w:pos="4305"/>
      </w:tabs>
      <w:adjustRightInd w:val="0"/>
      <w:snapToGrid w:val="0"/>
      <w:spacing w:after="0"/>
      <w:ind w:left="0" w:leftChars="0"/>
      <w:jc w:val="center"/>
    </w:pPr>
    <w:rPr>
      <w:rFonts w:ascii="宋体" w:hAnsi="宋体" w:cs="宋体"/>
      <w:color w:val="000000"/>
      <w:sz w:val="24"/>
    </w:rPr>
  </w:style>
  <w:style w:type="paragraph" w:customStyle="1" w:styleId="3681">
    <w:name w:val="燕山正文6"/>
    <w:basedOn w:val="1"/>
    <w:qFormat/>
    <w:uiPriority w:val="0"/>
    <w:pPr>
      <w:tabs>
        <w:tab w:val="left" w:pos="4680"/>
      </w:tabs>
      <w:adjustRightInd w:val="0"/>
      <w:snapToGrid w:val="0"/>
      <w:spacing w:line="480" w:lineRule="exact"/>
    </w:pPr>
    <w:rPr>
      <w:rFonts w:ascii="宋体" w:cs="宋体"/>
      <w:sz w:val="24"/>
    </w:rPr>
  </w:style>
  <w:style w:type="paragraph" w:customStyle="1" w:styleId="3682">
    <w:name w:val="mp"/>
    <w:basedOn w:val="1"/>
    <w:qFormat/>
    <w:uiPriority w:val="0"/>
    <w:pPr>
      <w:widowControl/>
      <w:spacing w:before="100" w:beforeAutospacing="1" w:after="100" w:afterAutospacing="1" w:line="400" w:lineRule="atLeast"/>
      <w:ind w:firstLine="360"/>
    </w:pPr>
    <w:rPr>
      <w:rFonts w:ascii="ˎ̥" w:hAnsi="ˎ̥" w:cs="宋体"/>
      <w:color w:val="454D63"/>
      <w:kern w:val="0"/>
      <w:sz w:val="24"/>
    </w:rPr>
  </w:style>
  <w:style w:type="paragraph" w:customStyle="1" w:styleId="3683">
    <w:name w:val="Char Char2 Char Char Char Char28"/>
    <w:basedOn w:val="1"/>
    <w:qFormat/>
    <w:uiPriority w:val="0"/>
  </w:style>
  <w:style w:type="paragraph" w:customStyle="1" w:styleId="3684">
    <w:name w:val="默认段落字体 Para Char Char Char Char511"/>
    <w:basedOn w:val="1"/>
    <w:qFormat/>
    <w:uiPriority w:val="0"/>
  </w:style>
  <w:style w:type="paragraph" w:customStyle="1" w:styleId="3685">
    <w:name w:val="燕山正文21"/>
    <w:basedOn w:val="1"/>
    <w:qFormat/>
    <w:uiPriority w:val="0"/>
    <w:pPr>
      <w:tabs>
        <w:tab w:val="left" w:pos="4680"/>
      </w:tabs>
      <w:adjustRightInd w:val="0"/>
      <w:snapToGrid w:val="0"/>
      <w:spacing w:line="480" w:lineRule="exact"/>
    </w:pPr>
    <w:rPr>
      <w:rFonts w:ascii="宋体" w:cs="宋体"/>
      <w:sz w:val="24"/>
    </w:rPr>
  </w:style>
  <w:style w:type="paragraph" w:customStyle="1" w:styleId="3686">
    <w:name w:val="表内54142"/>
    <w:basedOn w:val="1"/>
    <w:qFormat/>
    <w:uiPriority w:val="0"/>
    <w:pPr>
      <w:adjustRightInd w:val="0"/>
      <w:snapToGrid w:val="0"/>
      <w:spacing w:line="300" w:lineRule="auto"/>
      <w:jc w:val="center"/>
    </w:pPr>
    <w:rPr>
      <w:rFonts w:ascii="宋体" w:hAnsi="宋体" w:cs="宋体"/>
      <w:szCs w:val="20"/>
    </w:rPr>
  </w:style>
  <w:style w:type="paragraph" w:customStyle="1" w:styleId="3687">
    <w:name w:val="样式 标题 4无效格式无效格式1河石管道4H4H41小小节河石管道41H42H411小小节1河石管道42...22"/>
    <w:basedOn w:val="5"/>
    <w:qFormat/>
    <w:uiPriority w:val="0"/>
    <w:pPr>
      <w:adjustRightInd w:val="0"/>
      <w:snapToGrid w:val="0"/>
      <w:spacing w:line="360" w:lineRule="auto"/>
      <w:ind w:left="664" w:hanging="864"/>
    </w:pPr>
    <w:rPr>
      <w:rFonts w:ascii="黑体" w:eastAsia="黑体"/>
      <w:bCs w:val="0"/>
      <w:sz w:val="24"/>
      <w:szCs w:val="24"/>
    </w:rPr>
  </w:style>
  <w:style w:type="paragraph" w:customStyle="1" w:styleId="3688">
    <w:name w:val="表中文字411"/>
    <w:basedOn w:val="1"/>
    <w:qFormat/>
    <w:uiPriority w:val="0"/>
    <w:pPr>
      <w:snapToGrid w:val="0"/>
      <w:spacing w:line="340" w:lineRule="exact"/>
      <w:ind w:firstLine="480" w:firstLineChars="200"/>
      <w:jc w:val="center"/>
    </w:pPr>
    <w:rPr>
      <w:rFonts w:ascii="Arial" w:hAnsi="Arial"/>
      <w:kern w:val="0"/>
      <w:sz w:val="20"/>
      <w:lang w:eastAsia="zh-TW"/>
    </w:rPr>
  </w:style>
  <w:style w:type="paragraph" w:customStyle="1" w:styleId="3689">
    <w:name w:val="Char114"/>
    <w:basedOn w:val="1"/>
    <w:qFormat/>
    <w:uiPriority w:val="0"/>
    <w:pPr>
      <w:ind w:left="-48"/>
    </w:pPr>
  </w:style>
  <w:style w:type="paragraph" w:customStyle="1" w:styleId="3690">
    <w:name w:val="表格标题9"/>
    <w:basedOn w:val="81"/>
    <w:qFormat/>
    <w:uiPriority w:val="0"/>
    <w:pPr>
      <w:pBdr>
        <w:top w:val="single" w:color="auto" w:sz="4" w:space="1"/>
      </w:pBdr>
      <w:tabs>
        <w:tab w:val="left" w:pos="0"/>
      </w:tabs>
      <w:wordWrap w:val="0"/>
      <w:adjustRightInd w:val="0"/>
      <w:spacing w:before="0" w:after="0" w:line="240" w:lineRule="atLeast"/>
      <w:ind w:left="0" w:firstLine="0"/>
      <w:jc w:val="center"/>
      <w:textAlignment w:val="baseline"/>
    </w:pPr>
    <w:rPr>
      <w:rFonts w:ascii="Times New Roman" w:hAnsi="Times New Roman" w:eastAsia="宋体"/>
      <w:b/>
    </w:rPr>
  </w:style>
  <w:style w:type="paragraph" w:customStyle="1" w:styleId="3691">
    <w:name w:val="表题21112"/>
    <w:basedOn w:val="1"/>
    <w:qFormat/>
    <w:uiPriority w:val="0"/>
    <w:pPr>
      <w:widowControl/>
      <w:adjustRightInd w:val="0"/>
      <w:snapToGrid w:val="0"/>
      <w:jc w:val="center"/>
    </w:pPr>
    <w:rPr>
      <w:rFonts w:ascii="黑体" w:hAnsi="宋体" w:eastAsia="黑体" w:cs="宋体"/>
      <w:kern w:val="0"/>
      <w:sz w:val="24"/>
    </w:rPr>
  </w:style>
  <w:style w:type="paragraph" w:customStyle="1" w:styleId="3692">
    <w:name w:val="Char Char Char Char Char Char Char Char Char1 Char Char Char Char Char Char1"/>
    <w:basedOn w:val="1"/>
    <w:qFormat/>
    <w:uiPriority w:val="0"/>
    <w:rPr>
      <w:szCs w:val="21"/>
    </w:rPr>
  </w:style>
  <w:style w:type="paragraph" w:customStyle="1" w:styleId="3693">
    <w:name w:val="表题3141"/>
    <w:basedOn w:val="34"/>
    <w:qFormat/>
    <w:uiPriority w:val="0"/>
    <w:pPr>
      <w:tabs>
        <w:tab w:val="left" w:pos="4305"/>
      </w:tabs>
      <w:adjustRightInd w:val="0"/>
      <w:snapToGrid w:val="0"/>
      <w:spacing w:after="0"/>
      <w:ind w:left="0" w:leftChars="0"/>
      <w:jc w:val="center"/>
    </w:pPr>
    <w:rPr>
      <w:rFonts w:ascii="宋体" w:hAnsi="宋体"/>
      <w:sz w:val="24"/>
      <w:szCs w:val="20"/>
    </w:rPr>
  </w:style>
  <w:style w:type="paragraph" w:customStyle="1" w:styleId="3694">
    <w:name w:val="Char Char Char Char Char Char Char214"/>
    <w:basedOn w:val="1"/>
    <w:qFormat/>
    <w:uiPriority w:val="0"/>
  </w:style>
  <w:style w:type="paragraph" w:customStyle="1" w:styleId="3695">
    <w:name w:val="正文格式＝4"/>
    <w:basedOn w:val="184"/>
    <w:next w:val="184"/>
    <w:qFormat/>
    <w:uiPriority w:val="0"/>
    <w:rPr>
      <w:rFonts w:hAnsi="宋体"/>
    </w:rPr>
  </w:style>
  <w:style w:type="paragraph" w:customStyle="1" w:styleId="3696">
    <w:name w:val="表内5中5"/>
    <w:basedOn w:val="1"/>
    <w:qFormat/>
    <w:uiPriority w:val="0"/>
    <w:pPr>
      <w:adjustRightInd w:val="0"/>
      <w:snapToGrid w:val="0"/>
      <w:jc w:val="center"/>
    </w:pPr>
    <w:rPr>
      <w:rFonts w:ascii="宋体" w:hAnsi="宋体" w:cs="Arial"/>
      <w:snapToGrid w:val="0"/>
      <w:color w:val="000000"/>
      <w:szCs w:val="21"/>
    </w:rPr>
  </w:style>
  <w:style w:type="paragraph" w:customStyle="1" w:styleId="3697">
    <w:name w:val="Char4 Char Char Char Char Char Char Char Char Char Char Char Char Char Char Char1"/>
    <w:basedOn w:val="1"/>
    <w:qFormat/>
    <w:uiPriority w:val="0"/>
    <w:pPr>
      <w:spacing w:line="240" w:lineRule="exact"/>
      <w:ind w:firstLine="200" w:firstLineChars="200"/>
    </w:pPr>
    <w:rPr>
      <w:sz w:val="28"/>
      <w:szCs w:val="28"/>
    </w:rPr>
  </w:style>
  <w:style w:type="paragraph" w:customStyle="1" w:styleId="3698">
    <w:name w:val="表内宋511"/>
    <w:basedOn w:val="80"/>
    <w:qFormat/>
    <w:uiPriority w:val="0"/>
    <w:pPr>
      <w:widowControl/>
      <w:adjustRightInd w:val="0"/>
      <w:snapToGrid w:val="0"/>
    </w:pPr>
    <w:rPr>
      <w:rFonts w:ascii="宋体" w:hAnsi="宋体" w:cs="宋体"/>
      <w:color w:val="000000"/>
      <w:sz w:val="21"/>
    </w:rPr>
  </w:style>
  <w:style w:type="paragraph" w:customStyle="1" w:styleId="3699">
    <w:name w:val="Char611"/>
    <w:basedOn w:val="1"/>
    <w:qFormat/>
    <w:uiPriority w:val="0"/>
    <w:pPr>
      <w:adjustRightInd w:val="0"/>
      <w:snapToGrid w:val="0"/>
      <w:spacing w:beforeLines="50" w:line="360" w:lineRule="auto"/>
    </w:pPr>
    <w:rPr>
      <w:rFonts w:ascii="黑体" w:eastAsia="黑体"/>
      <w:sz w:val="32"/>
      <w:szCs w:val="32"/>
    </w:rPr>
  </w:style>
  <w:style w:type="paragraph" w:customStyle="1" w:styleId="3700">
    <w:name w:val="标题B"/>
    <w:qFormat/>
    <w:uiPriority w:val="0"/>
    <w:pPr>
      <w:adjustRightInd w:val="0"/>
      <w:spacing w:line="720" w:lineRule="auto"/>
      <w:outlineLvl w:val="1"/>
    </w:pPr>
    <w:rPr>
      <w:rFonts w:ascii="Times New Roman" w:hAnsi="Times New Roman" w:eastAsia="宋体" w:cs="Times New Roman"/>
      <w:b/>
      <w:sz w:val="30"/>
      <w:lang w:val="en-US" w:eastAsia="zh-CN" w:bidi="ar-SA"/>
    </w:rPr>
  </w:style>
  <w:style w:type="paragraph" w:customStyle="1" w:styleId="3701">
    <w:name w:val="表内宋5中212"/>
    <w:basedOn w:val="1"/>
    <w:qFormat/>
    <w:uiPriority w:val="0"/>
    <w:pPr>
      <w:adjustRightInd w:val="0"/>
      <w:snapToGrid w:val="0"/>
      <w:jc w:val="center"/>
      <w:textAlignment w:val="baseline"/>
    </w:pPr>
    <w:rPr>
      <w:rFonts w:ascii="宋体" w:hAnsi="宋体"/>
      <w:kern w:val="0"/>
      <w:szCs w:val="20"/>
    </w:rPr>
  </w:style>
  <w:style w:type="paragraph" w:customStyle="1" w:styleId="3702">
    <w:name w:val="正文格式31"/>
    <w:basedOn w:val="1"/>
    <w:qFormat/>
    <w:uiPriority w:val="0"/>
    <w:pPr>
      <w:spacing w:line="360" w:lineRule="auto"/>
      <w:ind w:firstLine="482"/>
    </w:pPr>
    <w:rPr>
      <w:rFonts w:ascii="宋体" w:hAnsi="宋体"/>
      <w:sz w:val="24"/>
    </w:rPr>
  </w:style>
  <w:style w:type="paragraph" w:customStyle="1" w:styleId="3703">
    <w:name w:val="Char61"/>
    <w:basedOn w:val="1"/>
    <w:qFormat/>
    <w:uiPriority w:val="0"/>
    <w:pPr>
      <w:adjustRightInd w:val="0"/>
      <w:snapToGrid w:val="0"/>
      <w:spacing w:beforeLines="50" w:line="360" w:lineRule="auto"/>
    </w:pPr>
    <w:rPr>
      <w:rFonts w:ascii="黑体" w:eastAsia="黑体"/>
      <w:sz w:val="32"/>
      <w:szCs w:val="32"/>
    </w:rPr>
  </w:style>
  <w:style w:type="paragraph" w:customStyle="1" w:styleId="3704">
    <w:name w:val="表内文字小1"/>
    <w:basedOn w:val="1"/>
    <w:qFormat/>
    <w:uiPriority w:val="0"/>
    <w:pPr>
      <w:adjustRightInd w:val="0"/>
      <w:snapToGrid w:val="0"/>
      <w:jc w:val="center"/>
    </w:pPr>
    <w:rPr>
      <w:rFonts w:ascii="宋体" w:hAnsi="Times"/>
      <w:szCs w:val="20"/>
    </w:rPr>
  </w:style>
  <w:style w:type="paragraph" w:customStyle="1" w:styleId="3705">
    <w:name w:val="表内5S"/>
    <w:basedOn w:val="1"/>
    <w:qFormat/>
    <w:uiPriority w:val="0"/>
    <w:pPr>
      <w:pBdr>
        <w:top w:val="single" w:color="auto" w:sz="4" w:space="1"/>
      </w:pBdr>
      <w:spacing w:line="300" w:lineRule="atLeast"/>
      <w:jc w:val="center"/>
    </w:pPr>
    <w:rPr>
      <w:rFonts w:eastAsia="方正宋三简体"/>
      <w:szCs w:val="20"/>
    </w:rPr>
  </w:style>
  <w:style w:type="paragraph" w:customStyle="1" w:styleId="3706">
    <w:name w:val="Char104"/>
    <w:basedOn w:val="1"/>
    <w:qFormat/>
    <w:uiPriority w:val="0"/>
    <w:pPr>
      <w:adjustRightInd w:val="0"/>
      <w:snapToGrid w:val="0"/>
      <w:spacing w:line="360" w:lineRule="auto"/>
    </w:pPr>
  </w:style>
  <w:style w:type="paragraph" w:customStyle="1" w:styleId="3707">
    <w:name w:val="表题152"/>
    <w:basedOn w:val="21"/>
    <w:qFormat/>
    <w:uiPriority w:val="0"/>
    <w:pPr>
      <w:tabs>
        <w:tab w:val="clear" w:pos="7380"/>
      </w:tabs>
      <w:overflowPunct/>
      <w:spacing w:before="0" w:afterLines="0" w:line="360" w:lineRule="auto"/>
      <w:jc w:val="center"/>
    </w:pPr>
    <w:rPr>
      <w:rFonts w:ascii="黑体"/>
      <w:b/>
      <w:sz w:val="24"/>
      <w:szCs w:val="24"/>
    </w:rPr>
  </w:style>
  <w:style w:type="paragraph" w:customStyle="1" w:styleId="3708">
    <w:name w:val="样式 标题 1章标题标题1章节H1NMP Heading 1 + Arial 左 段前: 12 磅 段后: 6 ..."/>
    <w:basedOn w:val="2"/>
    <w:qFormat/>
    <w:uiPriority w:val="0"/>
    <w:pPr>
      <w:tabs>
        <w:tab w:val="left" w:pos="2040"/>
      </w:tabs>
      <w:spacing w:before="240" w:after="240" w:line="240" w:lineRule="auto"/>
      <w:ind w:left="170" w:leftChars="800" w:hanging="170" w:hangingChars="200"/>
      <w:jc w:val="left"/>
    </w:pPr>
    <w:rPr>
      <w:rFonts w:ascii="黑体" w:eastAsia="黑体"/>
      <w:spacing w:val="-12"/>
      <w:sz w:val="32"/>
    </w:rPr>
  </w:style>
  <w:style w:type="paragraph" w:customStyle="1" w:styleId="3709">
    <w:name w:val="正文首缩"/>
    <w:basedOn w:val="33"/>
    <w:qFormat/>
    <w:uiPriority w:val="0"/>
    <w:pPr>
      <w:snapToGrid w:val="0"/>
      <w:spacing w:after="80" w:line="288" w:lineRule="auto"/>
      <w:ind w:firstLine="454"/>
    </w:pPr>
    <w:rPr>
      <w:sz w:val="24"/>
      <w:szCs w:val="20"/>
    </w:rPr>
  </w:style>
  <w:style w:type="paragraph" w:customStyle="1" w:styleId="3710">
    <w:name w:val="表题134"/>
    <w:basedOn w:val="21"/>
    <w:qFormat/>
    <w:uiPriority w:val="0"/>
    <w:pPr>
      <w:tabs>
        <w:tab w:val="clear" w:pos="7380"/>
      </w:tabs>
      <w:overflowPunct/>
      <w:spacing w:before="0" w:afterLines="0" w:line="360" w:lineRule="auto"/>
      <w:jc w:val="center"/>
    </w:pPr>
    <w:rPr>
      <w:rFonts w:ascii="黑体"/>
      <w:b/>
      <w:sz w:val="24"/>
      <w:szCs w:val="24"/>
    </w:rPr>
  </w:style>
  <w:style w:type="paragraph" w:customStyle="1" w:styleId="3711">
    <w:name w:val="正文格式92"/>
    <w:basedOn w:val="1"/>
    <w:qFormat/>
    <w:uiPriority w:val="0"/>
    <w:pPr>
      <w:spacing w:line="360" w:lineRule="auto"/>
      <w:ind w:firstLine="482"/>
    </w:pPr>
    <w:rPr>
      <w:rFonts w:ascii="宋体" w:hAnsi="宋体"/>
      <w:sz w:val="24"/>
    </w:rPr>
  </w:style>
  <w:style w:type="paragraph" w:customStyle="1" w:styleId="3712">
    <w:name w:val="Char4 Char Char Char Char Char Char Char Char Char Char Char Char Char Char Char Char Char1 Char Char Char Char Char Char1 Char"/>
    <w:basedOn w:val="1"/>
    <w:qFormat/>
    <w:uiPriority w:val="0"/>
    <w:pPr>
      <w:spacing w:line="240" w:lineRule="exact"/>
      <w:ind w:firstLine="200" w:firstLineChars="200"/>
    </w:pPr>
    <w:rPr>
      <w:sz w:val="28"/>
      <w:szCs w:val="28"/>
    </w:rPr>
  </w:style>
  <w:style w:type="paragraph" w:customStyle="1" w:styleId="3713">
    <w:name w:val="燕山正文1111"/>
    <w:basedOn w:val="1"/>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3714">
    <w:name w:val="c13"/>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3715">
    <w:name w:val="燕山正文41"/>
    <w:basedOn w:val="1"/>
    <w:qFormat/>
    <w:uiPriority w:val="0"/>
    <w:pPr>
      <w:tabs>
        <w:tab w:val="left" w:pos="4680"/>
      </w:tabs>
      <w:adjustRightInd w:val="0"/>
      <w:snapToGrid w:val="0"/>
      <w:spacing w:line="480" w:lineRule="exact"/>
    </w:pPr>
    <w:rPr>
      <w:rFonts w:ascii="宋体" w:cs="宋体"/>
      <w:sz w:val="24"/>
    </w:rPr>
  </w:style>
  <w:style w:type="paragraph" w:customStyle="1" w:styleId="3716">
    <w:name w:val="标题421"/>
    <w:basedOn w:val="1"/>
    <w:qFormat/>
    <w:uiPriority w:val="0"/>
    <w:pPr>
      <w:adjustRightInd w:val="0"/>
      <w:snapToGrid w:val="0"/>
      <w:spacing w:line="300" w:lineRule="auto"/>
      <w:jc w:val="left"/>
    </w:pPr>
    <w:rPr>
      <w:rFonts w:ascii="黑体" w:eastAsia="黑体"/>
      <w:bCs/>
      <w:sz w:val="24"/>
    </w:rPr>
  </w:style>
  <w:style w:type="paragraph" w:customStyle="1" w:styleId="3717">
    <w:name w:val="Char Char Char Char Char Char Char1311"/>
    <w:basedOn w:val="1"/>
    <w:qFormat/>
    <w:uiPriority w:val="0"/>
  </w:style>
  <w:style w:type="paragraph" w:customStyle="1" w:styleId="3718">
    <w:name w:val="表内文字边13"/>
    <w:basedOn w:val="1"/>
    <w:qFormat/>
    <w:uiPriority w:val="0"/>
    <w:pPr>
      <w:widowControl/>
      <w:adjustRightInd w:val="0"/>
      <w:snapToGrid w:val="0"/>
      <w:spacing w:line="240" w:lineRule="atLeast"/>
      <w:ind w:left="-21" w:leftChars="-10" w:right="-42" w:rightChars="-20"/>
    </w:pPr>
    <w:rPr>
      <w:rFonts w:ascii="宋体"/>
      <w:kern w:val="0"/>
      <w:szCs w:val="21"/>
    </w:rPr>
  </w:style>
  <w:style w:type="paragraph" w:customStyle="1" w:styleId="3719">
    <w:name w:val="表内541411"/>
    <w:basedOn w:val="1"/>
    <w:qFormat/>
    <w:uiPriority w:val="0"/>
    <w:pPr>
      <w:adjustRightInd w:val="0"/>
      <w:snapToGrid w:val="0"/>
      <w:spacing w:line="300" w:lineRule="auto"/>
      <w:jc w:val="center"/>
    </w:pPr>
    <w:rPr>
      <w:rFonts w:ascii="宋体" w:hAnsi="宋体" w:cs="宋体"/>
      <w:szCs w:val="20"/>
    </w:rPr>
  </w:style>
  <w:style w:type="paragraph" w:customStyle="1" w:styleId="3720">
    <w:name w:val="黑体三号43"/>
    <w:basedOn w:val="184"/>
    <w:qFormat/>
    <w:uiPriority w:val="0"/>
    <w:pPr>
      <w:jc w:val="center"/>
    </w:pPr>
    <w:rPr>
      <w:rFonts w:ascii="黑体" w:hAnsi="宋体" w:eastAsia="黑体"/>
      <w:b/>
      <w:bCs/>
      <w:sz w:val="32"/>
      <w:szCs w:val="20"/>
    </w:rPr>
  </w:style>
  <w:style w:type="paragraph" w:customStyle="1" w:styleId="3721">
    <w:name w:val="Char311"/>
    <w:basedOn w:val="1"/>
    <w:qFormat/>
    <w:uiPriority w:val="0"/>
    <w:pPr>
      <w:ind w:left="-48"/>
    </w:pPr>
  </w:style>
  <w:style w:type="paragraph" w:customStyle="1" w:styleId="3722">
    <w:name w:val="黑体三号411"/>
    <w:basedOn w:val="184"/>
    <w:qFormat/>
    <w:uiPriority w:val="0"/>
    <w:pPr>
      <w:jc w:val="center"/>
    </w:pPr>
    <w:rPr>
      <w:rFonts w:ascii="黑体" w:hAnsi="宋体" w:eastAsia="黑体"/>
      <w:b/>
      <w:bCs/>
      <w:sz w:val="32"/>
      <w:szCs w:val="20"/>
    </w:rPr>
  </w:style>
  <w:style w:type="paragraph" w:customStyle="1" w:styleId="3723">
    <w:name w:val="燕山正文1113"/>
    <w:basedOn w:val="1"/>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3724">
    <w:name w:val="FHDI中文报告正文缩进"/>
    <w:basedOn w:val="1"/>
    <w:next w:val="1"/>
    <w:qFormat/>
    <w:uiPriority w:val="0"/>
    <w:pPr>
      <w:adjustRightInd w:val="0"/>
      <w:snapToGrid w:val="0"/>
      <w:spacing w:beforeLines="50" w:line="312" w:lineRule="auto"/>
      <w:ind w:left="2" w:firstLine="538" w:firstLineChars="224"/>
      <w:jc w:val="left"/>
    </w:pPr>
    <w:rPr>
      <w:rFonts w:ascii="宋体" w:hAnsi="宋体"/>
      <w:sz w:val="24"/>
    </w:rPr>
  </w:style>
  <w:style w:type="paragraph" w:customStyle="1" w:styleId="3725">
    <w:name w:val="燕山正文1142"/>
    <w:basedOn w:val="1"/>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3726">
    <w:name w:val="燕山正文411"/>
    <w:basedOn w:val="1"/>
    <w:qFormat/>
    <w:uiPriority w:val="0"/>
    <w:pPr>
      <w:tabs>
        <w:tab w:val="left" w:pos="4680"/>
      </w:tabs>
      <w:adjustRightInd w:val="0"/>
      <w:snapToGrid w:val="0"/>
      <w:spacing w:line="480" w:lineRule="exact"/>
    </w:pPr>
    <w:rPr>
      <w:rFonts w:ascii="宋体" w:cs="宋体"/>
      <w:sz w:val="24"/>
    </w:rPr>
  </w:style>
  <w:style w:type="paragraph" w:customStyle="1" w:styleId="3727">
    <w:name w:val="表内54114"/>
    <w:basedOn w:val="1"/>
    <w:qFormat/>
    <w:uiPriority w:val="0"/>
    <w:pPr>
      <w:adjustRightInd w:val="0"/>
      <w:snapToGrid w:val="0"/>
      <w:spacing w:line="300" w:lineRule="auto"/>
      <w:jc w:val="center"/>
    </w:pPr>
    <w:rPr>
      <w:rFonts w:ascii="宋体" w:hAnsi="宋体" w:cs="宋体"/>
      <w:szCs w:val="20"/>
    </w:rPr>
  </w:style>
  <w:style w:type="paragraph" w:customStyle="1" w:styleId="3728">
    <w:name w:val="谏壁标题2(chen）"/>
    <w:basedOn w:val="1"/>
    <w:qFormat/>
    <w:uiPriority w:val="0"/>
    <w:pPr>
      <w:keepNext/>
      <w:keepLines/>
      <w:spacing w:after="120" w:line="360" w:lineRule="auto"/>
      <w:outlineLvl w:val="1"/>
    </w:pPr>
    <w:rPr>
      <w:rFonts w:eastAsia="黑体"/>
      <w:sz w:val="32"/>
      <w:szCs w:val="32"/>
    </w:rPr>
  </w:style>
  <w:style w:type="paragraph" w:customStyle="1" w:styleId="3729">
    <w:name w:val="表内文字边4"/>
    <w:basedOn w:val="1"/>
    <w:qFormat/>
    <w:uiPriority w:val="0"/>
    <w:pPr>
      <w:widowControl/>
      <w:adjustRightInd w:val="0"/>
      <w:snapToGrid w:val="0"/>
      <w:spacing w:line="240" w:lineRule="atLeast"/>
      <w:ind w:left="-21" w:leftChars="-10" w:right="-42" w:rightChars="-20"/>
    </w:pPr>
    <w:rPr>
      <w:rFonts w:ascii="宋体"/>
      <w:kern w:val="0"/>
      <w:szCs w:val="21"/>
    </w:rPr>
  </w:style>
  <w:style w:type="paragraph" w:customStyle="1" w:styleId="3730">
    <w:name w:val="Char Char2 Char Char Char Char32"/>
    <w:basedOn w:val="1"/>
    <w:qFormat/>
    <w:uiPriority w:val="0"/>
  </w:style>
  <w:style w:type="paragraph" w:customStyle="1" w:styleId="3731">
    <w:name w:val="Char Char Char Char Char Char Char215"/>
    <w:basedOn w:val="1"/>
    <w:qFormat/>
    <w:uiPriority w:val="0"/>
  </w:style>
  <w:style w:type="paragraph" w:customStyle="1" w:styleId="3732">
    <w:name w:val="黑体三号6"/>
    <w:basedOn w:val="184"/>
    <w:qFormat/>
    <w:uiPriority w:val="0"/>
    <w:pPr>
      <w:jc w:val="center"/>
    </w:pPr>
    <w:rPr>
      <w:rFonts w:ascii="黑体" w:hAnsi="宋体" w:eastAsia="黑体"/>
      <w:b/>
      <w:bCs/>
      <w:sz w:val="32"/>
      <w:szCs w:val="20"/>
    </w:rPr>
  </w:style>
  <w:style w:type="paragraph" w:customStyle="1" w:styleId="3733">
    <w:name w:val="样式 前沿 + 段前: 2 行 段后: 2 行"/>
    <w:basedOn w:val="2275"/>
    <w:qFormat/>
    <w:uiPriority w:val="0"/>
    <w:pPr>
      <w:spacing w:beforeLines="400" w:afterLines="200"/>
    </w:pPr>
    <w:rPr>
      <w:szCs w:val="20"/>
    </w:rPr>
  </w:style>
  <w:style w:type="paragraph" w:customStyle="1" w:styleId="3734">
    <w:name w:val="Char Char Char Char Char Char Char14"/>
    <w:basedOn w:val="1"/>
    <w:qFormat/>
    <w:uiPriority w:val="0"/>
  </w:style>
  <w:style w:type="paragraph" w:customStyle="1" w:styleId="3735">
    <w:name w:val="字元 字元"/>
    <w:basedOn w:val="1"/>
    <w:qFormat/>
    <w:uiPriority w:val="0"/>
    <w:rPr>
      <w:sz w:val="24"/>
    </w:rPr>
  </w:style>
  <w:style w:type="paragraph" w:customStyle="1" w:styleId="3736">
    <w:name w:val="Char Char Char Char Char Char Char121"/>
    <w:basedOn w:val="1"/>
    <w:qFormat/>
    <w:uiPriority w:val="0"/>
    <w:rPr>
      <w:szCs w:val="20"/>
    </w:rPr>
  </w:style>
  <w:style w:type="paragraph" w:customStyle="1" w:styleId="3737">
    <w:name w:val="Char Char Char Char Char Char Char227"/>
    <w:basedOn w:val="1"/>
    <w:qFormat/>
    <w:uiPriority w:val="0"/>
  </w:style>
  <w:style w:type="paragraph" w:customStyle="1" w:styleId="3738">
    <w:name w:val="Char50"/>
    <w:basedOn w:val="1"/>
    <w:qFormat/>
    <w:uiPriority w:val="0"/>
    <w:pPr>
      <w:ind w:left="-48"/>
    </w:pPr>
  </w:style>
  <w:style w:type="paragraph" w:customStyle="1" w:styleId="3739">
    <w:name w:val="正文缩3"/>
    <w:basedOn w:val="1"/>
    <w:qFormat/>
    <w:uiPriority w:val="0"/>
    <w:pPr>
      <w:adjustRightInd w:val="0"/>
      <w:snapToGrid w:val="0"/>
      <w:spacing w:line="480" w:lineRule="atLeast"/>
      <w:ind w:firstLine="567"/>
      <w:textAlignment w:val="baseline"/>
    </w:pPr>
    <w:rPr>
      <w:rFonts w:ascii="宋体"/>
      <w:color w:val="000080"/>
      <w:spacing w:val="6"/>
      <w:kern w:val="0"/>
      <w:sz w:val="28"/>
      <w:szCs w:val="20"/>
    </w:rPr>
  </w:style>
  <w:style w:type="paragraph" w:customStyle="1" w:styleId="3740">
    <w:name w:val="样式 表内小5 + 黑体 加粗 倾斜 下划线3"/>
    <w:basedOn w:val="1"/>
    <w:qFormat/>
    <w:uiPriority w:val="0"/>
    <w:pPr>
      <w:adjustRightInd w:val="0"/>
      <w:snapToGrid w:val="0"/>
      <w:spacing w:line="300" w:lineRule="auto"/>
      <w:jc w:val="left"/>
    </w:pPr>
    <w:rPr>
      <w:rFonts w:ascii="黑体" w:hAnsi="黑体" w:eastAsia="黑体"/>
      <w:b/>
      <w:bCs/>
      <w:i/>
      <w:iCs/>
      <w:sz w:val="18"/>
      <w:u w:val="single"/>
    </w:rPr>
  </w:style>
  <w:style w:type="paragraph" w:customStyle="1" w:styleId="3741">
    <w:name w:val="图题71"/>
    <w:basedOn w:val="184"/>
    <w:next w:val="184"/>
    <w:qFormat/>
    <w:uiPriority w:val="0"/>
    <w:pPr>
      <w:ind w:firstLine="0"/>
      <w:jc w:val="center"/>
    </w:pPr>
    <w:rPr>
      <w:rFonts w:ascii="黑体" w:hAnsi="宋体" w:eastAsia="黑体"/>
      <w:b/>
      <w:bCs/>
    </w:rPr>
  </w:style>
  <w:style w:type="paragraph" w:customStyle="1" w:styleId="3742">
    <w:name w:val="表头文字格式"/>
    <w:basedOn w:val="1"/>
    <w:next w:val="1"/>
    <w:qFormat/>
    <w:uiPriority w:val="0"/>
    <w:pPr>
      <w:widowControl/>
      <w:spacing w:beforeLines="50" w:afterLines="50" w:line="480" w:lineRule="exact"/>
      <w:jc w:val="center"/>
    </w:pPr>
    <w:rPr>
      <w:rFonts w:eastAsia="黑体"/>
      <w:kern w:val="0"/>
      <w:szCs w:val="28"/>
    </w:rPr>
  </w:style>
  <w:style w:type="paragraph" w:customStyle="1" w:styleId="3743">
    <w:name w:val="表内54131"/>
    <w:basedOn w:val="1"/>
    <w:qFormat/>
    <w:uiPriority w:val="0"/>
    <w:pPr>
      <w:adjustRightInd w:val="0"/>
      <w:snapToGrid w:val="0"/>
      <w:spacing w:line="300" w:lineRule="auto"/>
      <w:jc w:val="center"/>
    </w:pPr>
    <w:rPr>
      <w:rFonts w:ascii="宋体" w:hAnsi="宋体" w:cs="宋体"/>
      <w:szCs w:val="20"/>
    </w:rPr>
  </w:style>
  <w:style w:type="paragraph" w:customStyle="1" w:styleId="3744">
    <w:name w:val="样式 样式 标题 4 + 段前: 0.5 行 段后: 0.5 行1 + 段前: 0.5 行 段后: 0.5 行"/>
    <w:basedOn w:val="3389"/>
    <w:qFormat/>
    <w:uiPriority w:val="0"/>
  </w:style>
  <w:style w:type="paragraph" w:customStyle="1" w:styleId="3745">
    <w:name w:val="Char68"/>
    <w:basedOn w:val="1"/>
    <w:qFormat/>
    <w:uiPriority w:val="0"/>
    <w:pPr>
      <w:ind w:left="-48"/>
    </w:pPr>
  </w:style>
  <w:style w:type="paragraph" w:customStyle="1" w:styleId="3746">
    <w:name w:val="字元 字元 字元1"/>
    <w:basedOn w:val="1"/>
    <w:qFormat/>
    <w:uiPriority w:val="0"/>
    <w:rPr>
      <w:szCs w:val="21"/>
    </w:rPr>
  </w:style>
  <w:style w:type="paragraph" w:customStyle="1" w:styleId="3747">
    <w:name w:val="表中文字61"/>
    <w:basedOn w:val="1"/>
    <w:qFormat/>
    <w:uiPriority w:val="0"/>
    <w:pPr>
      <w:widowControl/>
      <w:spacing w:line="240" w:lineRule="atLeast"/>
      <w:ind w:left="-24" w:leftChars="-10" w:right="-48" w:rightChars="-20"/>
      <w:jc w:val="center"/>
    </w:pPr>
    <w:rPr>
      <w:rFonts w:ascii="宋体"/>
      <w:kern w:val="0"/>
      <w:szCs w:val="21"/>
    </w:rPr>
  </w:style>
  <w:style w:type="paragraph" w:customStyle="1" w:styleId="3748">
    <w:name w:val="附件2"/>
    <w:basedOn w:val="2"/>
    <w:next w:val="184"/>
    <w:qFormat/>
    <w:uiPriority w:val="0"/>
    <w:pPr>
      <w:tabs>
        <w:tab w:val="left" w:pos="1566"/>
        <w:tab w:val="left" w:pos="2040"/>
      </w:tabs>
      <w:spacing w:before="0" w:after="210" w:line="360" w:lineRule="auto"/>
      <w:ind w:left="2040" w:leftChars="800" w:hanging="360" w:hangingChars="200"/>
      <w:jc w:val="left"/>
    </w:pPr>
    <w:rPr>
      <w:rFonts w:ascii="黑体" w:hAnsi="宋体" w:eastAsia="黑体"/>
      <w:b w:val="0"/>
      <w:sz w:val="32"/>
      <w:szCs w:val="32"/>
    </w:rPr>
  </w:style>
  <w:style w:type="paragraph" w:customStyle="1" w:styleId="3749">
    <w:name w:val="Char Char2 Char Char Char Char3"/>
    <w:basedOn w:val="1"/>
    <w:qFormat/>
    <w:uiPriority w:val="0"/>
  </w:style>
  <w:style w:type="paragraph" w:customStyle="1" w:styleId="3750">
    <w:name w:val="表格文字2"/>
    <w:basedOn w:val="1"/>
    <w:qFormat/>
    <w:uiPriority w:val="0"/>
    <w:pPr>
      <w:tabs>
        <w:tab w:val="left" w:pos="277"/>
        <w:tab w:val="left" w:pos="600"/>
        <w:tab w:val="left" w:pos="780"/>
        <w:tab w:val="left" w:pos="2517"/>
      </w:tabs>
      <w:adjustRightInd w:val="0"/>
      <w:spacing w:before="60"/>
      <w:jc w:val="center"/>
      <w:textAlignment w:val="baseline"/>
    </w:pPr>
    <w:rPr>
      <w:kern w:val="0"/>
      <w:szCs w:val="21"/>
    </w:rPr>
  </w:style>
  <w:style w:type="paragraph" w:customStyle="1" w:styleId="3751">
    <w:name w:val="样式 样式4 + 首行缩进:  0.75 字符"/>
    <w:basedOn w:val="1"/>
    <w:qFormat/>
    <w:uiPriority w:val="0"/>
    <w:pPr>
      <w:adjustRightInd w:val="0"/>
      <w:snapToGrid w:val="0"/>
      <w:spacing w:beforeLines="100" w:line="240" w:lineRule="atLeast"/>
      <w:jc w:val="left"/>
    </w:pPr>
    <w:rPr>
      <w:sz w:val="24"/>
    </w:rPr>
  </w:style>
  <w:style w:type="paragraph" w:customStyle="1" w:styleId="3752">
    <w:name w:val="图题53"/>
    <w:basedOn w:val="184"/>
    <w:next w:val="184"/>
    <w:qFormat/>
    <w:uiPriority w:val="0"/>
    <w:pPr>
      <w:ind w:firstLine="0"/>
      <w:jc w:val="center"/>
    </w:pPr>
    <w:rPr>
      <w:rFonts w:ascii="黑体" w:hAnsi="宋体" w:eastAsia="黑体"/>
      <w:b/>
      <w:bCs/>
    </w:rPr>
  </w:style>
  <w:style w:type="paragraph" w:customStyle="1" w:styleId="3753">
    <w:name w:val="图题713"/>
    <w:basedOn w:val="184"/>
    <w:next w:val="184"/>
    <w:qFormat/>
    <w:uiPriority w:val="0"/>
    <w:pPr>
      <w:ind w:firstLine="0"/>
      <w:jc w:val="center"/>
    </w:pPr>
    <w:rPr>
      <w:rFonts w:ascii="黑体" w:hAnsi="宋体" w:eastAsia="黑体"/>
      <w:b/>
      <w:bCs/>
    </w:rPr>
  </w:style>
  <w:style w:type="paragraph" w:customStyle="1" w:styleId="3754">
    <w:name w:val="标题4114"/>
    <w:basedOn w:val="1"/>
    <w:qFormat/>
    <w:uiPriority w:val="0"/>
    <w:pPr>
      <w:adjustRightInd w:val="0"/>
      <w:snapToGrid w:val="0"/>
      <w:spacing w:line="300" w:lineRule="auto"/>
      <w:jc w:val="left"/>
    </w:pPr>
    <w:rPr>
      <w:rFonts w:ascii="黑体" w:hAnsi="宋体" w:eastAsia="黑体" w:cs="宋体"/>
      <w:bCs/>
      <w:sz w:val="24"/>
      <w:szCs w:val="20"/>
    </w:rPr>
  </w:style>
  <w:style w:type="paragraph" w:customStyle="1" w:styleId="3755">
    <w:name w:val="dot"/>
    <w:qFormat/>
    <w:uiPriority w:val="0"/>
    <w:pPr>
      <w:tabs>
        <w:tab w:val="left" w:pos="720"/>
      </w:tabs>
      <w:spacing w:before="40" w:after="40"/>
    </w:pPr>
    <w:rPr>
      <w:rFonts w:ascii="Times New Roman" w:hAnsi="Times New Roman" w:eastAsia="宋体" w:cs="Times New Roman"/>
      <w:b/>
      <w:sz w:val="24"/>
      <w:lang w:val="en-US" w:eastAsia="zh-CN" w:bidi="ar-SA"/>
    </w:rPr>
  </w:style>
  <w:style w:type="paragraph" w:customStyle="1" w:styleId="3756">
    <w:name w:val="Char93"/>
    <w:basedOn w:val="1"/>
    <w:qFormat/>
    <w:uiPriority w:val="0"/>
    <w:pPr>
      <w:ind w:left="-48"/>
    </w:pPr>
  </w:style>
  <w:style w:type="paragraph" w:customStyle="1" w:styleId="3757">
    <w:name w:val="样式 标题 2 + 首行缩进:  2 字符"/>
    <w:basedOn w:val="3"/>
    <w:qFormat/>
    <w:uiPriority w:val="0"/>
    <w:pPr>
      <w:numPr>
        <w:ilvl w:val="0"/>
        <w:numId w:val="0"/>
      </w:numPr>
      <w:tabs>
        <w:tab w:val="left" w:pos="233"/>
        <w:tab w:val="clear" w:pos="0"/>
        <w:tab w:val="clear" w:pos="426"/>
      </w:tabs>
      <w:spacing w:beforeLines="0" w:afterLines="0"/>
      <w:ind w:left="233"/>
    </w:pPr>
    <w:rPr>
      <w:rFonts w:ascii="Arial" w:hAnsi="Arial" w:eastAsia="黑体" w:cs="宋体"/>
      <w:bCs/>
      <w:spacing w:val="0"/>
      <w:kern w:val="2"/>
      <w:szCs w:val="20"/>
    </w:rPr>
  </w:style>
  <w:style w:type="paragraph" w:customStyle="1" w:styleId="3758">
    <w:name w:val="样式 表格内字体1 +3"/>
    <w:basedOn w:val="2079"/>
    <w:next w:val="1875"/>
    <w:qFormat/>
    <w:uiPriority w:val="0"/>
    <w:rPr>
      <w:rFonts w:hAnsi="Times New Roman"/>
      <w:szCs w:val="20"/>
    </w:rPr>
  </w:style>
  <w:style w:type="paragraph" w:customStyle="1" w:styleId="3759">
    <w:name w:val="表中文字21"/>
    <w:basedOn w:val="1"/>
    <w:qFormat/>
    <w:uiPriority w:val="0"/>
    <w:pPr>
      <w:widowControl/>
      <w:adjustRightInd w:val="0"/>
      <w:spacing w:line="240" w:lineRule="atLeast"/>
      <w:ind w:right="-42" w:rightChars="-20"/>
      <w:jc w:val="center"/>
      <w:textAlignment w:val="baseline"/>
    </w:pPr>
    <w:rPr>
      <w:rFonts w:ascii="宋体"/>
      <w:kern w:val="0"/>
      <w:szCs w:val="21"/>
    </w:rPr>
  </w:style>
  <w:style w:type="paragraph" w:customStyle="1" w:styleId="3760">
    <w:name w:val="正文修改43"/>
    <w:basedOn w:val="1161"/>
    <w:qFormat/>
    <w:uiPriority w:val="0"/>
    <w:rPr>
      <w:rFonts w:hAnsi="宋体"/>
      <w:color w:val="000000"/>
    </w:rPr>
  </w:style>
  <w:style w:type="paragraph" w:customStyle="1" w:styleId="3761">
    <w:name w:val="燕山正文111"/>
    <w:basedOn w:val="1"/>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3762">
    <w:name w:val="正文格式＝13"/>
    <w:basedOn w:val="184"/>
    <w:next w:val="184"/>
    <w:qFormat/>
    <w:uiPriority w:val="0"/>
    <w:rPr>
      <w:rFonts w:hAnsi="宋体"/>
    </w:rPr>
  </w:style>
  <w:style w:type="paragraph" w:customStyle="1" w:styleId="3763">
    <w:name w:val="表中文字512"/>
    <w:basedOn w:val="1"/>
    <w:qFormat/>
    <w:uiPriority w:val="0"/>
    <w:pPr>
      <w:widowControl/>
      <w:spacing w:line="240" w:lineRule="atLeast"/>
      <w:ind w:left="-24" w:leftChars="-10" w:right="-48" w:rightChars="-20"/>
      <w:jc w:val="center"/>
    </w:pPr>
    <w:rPr>
      <w:rFonts w:ascii="宋体"/>
      <w:kern w:val="0"/>
      <w:szCs w:val="21"/>
    </w:rPr>
  </w:style>
  <w:style w:type="paragraph" w:customStyle="1" w:styleId="3764">
    <w:name w:val="样式1211"/>
    <w:basedOn w:val="2158"/>
    <w:qFormat/>
    <w:uiPriority w:val="0"/>
    <w:pPr>
      <w:spacing w:line="240" w:lineRule="auto"/>
      <w:ind w:firstLine="0"/>
      <w:jc w:val="center"/>
    </w:pPr>
    <w:rPr>
      <w:rFonts w:cs="Times New Roman"/>
      <w:b/>
      <w:color w:val="auto"/>
      <w:szCs w:val="20"/>
    </w:rPr>
  </w:style>
  <w:style w:type="paragraph" w:customStyle="1" w:styleId="3765">
    <w:name w:val="默认段落字体 Para Char Char Char Char54"/>
    <w:basedOn w:val="1"/>
    <w:qFormat/>
    <w:uiPriority w:val="0"/>
  </w:style>
  <w:style w:type="paragraph" w:customStyle="1" w:styleId="3766">
    <w:name w:val="表内文字边1"/>
    <w:basedOn w:val="1"/>
    <w:qFormat/>
    <w:uiPriority w:val="0"/>
    <w:pPr>
      <w:widowControl/>
      <w:adjustRightInd w:val="0"/>
      <w:snapToGrid w:val="0"/>
      <w:spacing w:line="240" w:lineRule="atLeast"/>
      <w:ind w:left="-21" w:leftChars="-10" w:right="-42" w:rightChars="-20"/>
    </w:pPr>
    <w:rPr>
      <w:rFonts w:ascii="宋体"/>
      <w:kern w:val="0"/>
      <w:szCs w:val="21"/>
    </w:rPr>
  </w:style>
  <w:style w:type="paragraph" w:customStyle="1" w:styleId="3767">
    <w:name w:val="表格标题5"/>
    <w:basedOn w:val="64"/>
    <w:qFormat/>
    <w:uiPriority w:val="0"/>
    <w:pPr>
      <w:pBdr>
        <w:top w:val="single" w:color="auto" w:sz="4" w:space="1"/>
      </w:pBdr>
      <w:tabs>
        <w:tab w:val="clear" w:pos="2040"/>
      </w:tabs>
      <w:adjustRightInd w:val="0"/>
      <w:spacing w:line="360" w:lineRule="auto"/>
      <w:ind w:left="0" w:firstLine="0"/>
      <w:jc w:val="center"/>
      <w:textAlignment w:val="baseline"/>
    </w:pPr>
    <w:rPr>
      <w:b/>
      <w:kern w:val="0"/>
      <w:sz w:val="24"/>
    </w:rPr>
  </w:style>
  <w:style w:type="paragraph" w:customStyle="1" w:styleId="3768">
    <w:name w:val="表题9"/>
    <w:basedOn w:val="44"/>
    <w:qFormat/>
    <w:uiPriority w:val="0"/>
    <w:pPr>
      <w:adjustRightInd w:val="0"/>
      <w:snapToGrid w:val="0"/>
      <w:spacing w:line="300" w:lineRule="auto"/>
      <w:jc w:val="center"/>
    </w:pPr>
    <w:rPr>
      <w:rFonts w:ascii="黑体" w:eastAsia="黑体" w:cs="Times New Roman"/>
      <w:sz w:val="24"/>
      <w:szCs w:val="20"/>
    </w:rPr>
  </w:style>
  <w:style w:type="paragraph" w:customStyle="1" w:styleId="3769">
    <w:name w:val="湛江沥青表"/>
    <w:basedOn w:val="1"/>
    <w:qFormat/>
    <w:uiPriority w:val="0"/>
    <w:pPr>
      <w:autoSpaceDE w:val="0"/>
      <w:autoSpaceDN w:val="0"/>
      <w:spacing w:before="100" w:line="0" w:lineRule="atLeast"/>
      <w:ind w:left="102" w:hanging="102"/>
      <w:jc w:val="center"/>
    </w:pPr>
    <w:rPr>
      <w:szCs w:val="21"/>
    </w:rPr>
  </w:style>
  <w:style w:type="paragraph" w:customStyle="1" w:styleId="3770">
    <w:name w:val="标题（一）"/>
    <w:basedOn w:val="2"/>
    <w:qFormat/>
    <w:uiPriority w:val="0"/>
    <w:pPr>
      <w:keepNext w:val="0"/>
      <w:tabs>
        <w:tab w:val="left" w:pos="480"/>
        <w:tab w:val="left" w:pos="2040"/>
      </w:tabs>
      <w:adjustRightInd w:val="0"/>
      <w:spacing w:before="360" w:after="240" w:line="360" w:lineRule="auto"/>
      <w:ind w:left="2040" w:leftChars="800" w:hanging="360" w:hangingChars="200"/>
      <w:jc w:val="center"/>
      <w:textAlignment w:val="baseline"/>
    </w:pPr>
    <w:rPr>
      <w:rFonts w:ascii="黑体" w:eastAsia="黑体" w:cs="宋体"/>
      <w:sz w:val="30"/>
      <w:szCs w:val="30"/>
    </w:rPr>
  </w:style>
  <w:style w:type="paragraph" w:customStyle="1" w:styleId="3771">
    <w:name w:val="图题212"/>
    <w:basedOn w:val="184"/>
    <w:next w:val="184"/>
    <w:qFormat/>
    <w:uiPriority w:val="0"/>
    <w:pPr>
      <w:ind w:firstLine="0"/>
      <w:jc w:val="center"/>
    </w:pPr>
    <w:rPr>
      <w:rFonts w:ascii="黑体" w:hAnsi="宋体" w:eastAsia="黑体"/>
      <w:b/>
      <w:bCs/>
    </w:rPr>
  </w:style>
  <w:style w:type="paragraph" w:customStyle="1" w:styleId="3772">
    <w:name w:val="Char Char Char Char Char Char Char41"/>
    <w:basedOn w:val="1"/>
    <w:qFormat/>
    <w:uiPriority w:val="0"/>
  </w:style>
  <w:style w:type="paragraph" w:customStyle="1" w:styleId="3773">
    <w:name w:val="图题113"/>
    <w:basedOn w:val="184"/>
    <w:next w:val="184"/>
    <w:qFormat/>
    <w:uiPriority w:val="0"/>
    <w:pPr>
      <w:ind w:firstLine="0"/>
      <w:jc w:val="center"/>
    </w:pPr>
    <w:rPr>
      <w:rFonts w:ascii="黑体" w:hAnsi="宋体" w:eastAsia="黑体"/>
      <w:b/>
      <w:bCs/>
    </w:rPr>
  </w:style>
  <w:style w:type="paragraph" w:customStyle="1" w:styleId="3774">
    <w:name w:val="Char27"/>
    <w:basedOn w:val="1"/>
    <w:qFormat/>
    <w:uiPriority w:val="0"/>
    <w:pPr>
      <w:ind w:left="-48"/>
    </w:pPr>
  </w:style>
  <w:style w:type="paragraph" w:customStyle="1" w:styleId="3775">
    <w:name w:val="BG1"/>
    <w:basedOn w:val="1"/>
    <w:qFormat/>
    <w:uiPriority w:val="0"/>
    <w:pPr>
      <w:pBdr>
        <w:top w:val="single" w:color="auto" w:sz="4" w:space="1"/>
      </w:pBdr>
      <w:adjustRightInd w:val="0"/>
      <w:ind w:left="-17" w:hanging="126"/>
      <w:jc w:val="center"/>
    </w:pPr>
    <w:rPr>
      <w:szCs w:val="21"/>
    </w:rPr>
  </w:style>
  <w:style w:type="paragraph" w:customStyle="1" w:styleId="3776">
    <w:name w:val="标题43114"/>
    <w:basedOn w:val="1"/>
    <w:qFormat/>
    <w:uiPriority w:val="0"/>
    <w:pPr>
      <w:adjustRightInd w:val="0"/>
      <w:snapToGrid w:val="0"/>
      <w:spacing w:line="480" w:lineRule="exact"/>
      <w:jc w:val="center"/>
    </w:pPr>
    <w:rPr>
      <w:rFonts w:ascii="宋体" w:hAnsi="宋体" w:cs="宋体"/>
      <w:sz w:val="24"/>
    </w:rPr>
  </w:style>
  <w:style w:type="paragraph" w:customStyle="1" w:styleId="3777">
    <w:name w:val="正文格式＝42"/>
    <w:basedOn w:val="184"/>
    <w:next w:val="184"/>
    <w:qFormat/>
    <w:uiPriority w:val="0"/>
    <w:rPr>
      <w:rFonts w:hAnsi="宋体"/>
    </w:rPr>
  </w:style>
  <w:style w:type="paragraph" w:customStyle="1" w:styleId="3778">
    <w:name w:val="样式43"/>
    <w:basedOn w:val="33"/>
    <w:qFormat/>
    <w:uiPriority w:val="0"/>
    <w:pPr>
      <w:tabs>
        <w:tab w:val="left" w:pos="1820"/>
      </w:tabs>
      <w:snapToGrid w:val="0"/>
      <w:spacing w:after="0" w:line="240" w:lineRule="atLeast"/>
      <w:jc w:val="center"/>
    </w:pPr>
    <w:rPr>
      <w:rFonts w:eastAsia="幼圆"/>
      <w:kern w:val="0"/>
      <w:szCs w:val="20"/>
    </w:rPr>
  </w:style>
  <w:style w:type="paragraph" w:customStyle="1" w:styleId="3779">
    <w:name w:val="附件4"/>
    <w:basedOn w:val="2"/>
    <w:next w:val="184"/>
    <w:qFormat/>
    <w:uiPriority w:val="0"/>
    <w:pPr>
      <w:tabs>
        <w:tab w:val="left" w:pos="1566"/>
        <w:tab w:val="left" w:pos="2040"/>
      </w:tabs>
      <w:spacing w:before="0" w:after="210" w:line="360" w:lineRule="auto"/>
      <w:ind w:left="2040" w:leftChars="800" w:hanging="360" w:hangingChars="200"/>
      <w:jc w:val="left"/>
    </w:pPr>
    <w:rPr>
      <w:rFonts w:ascii="黑体" w:hAnsi="宋体" w:eastAsia="黑体"/>
      <w:sz w:val="32"/>
      <w:szCs w:val="32"/>
    </w:rPr>
  </w:style>
  <w:style w:type="paragraph" w:customStyle="1" w:styleId="3780">
    <w:name w:val="燕山正文23"/>
    <w:basedOn w:val="1"/>
    <w:qFormat/>
    <w:uiPriority w:val="0"/>
    <w:pPr>
      <w:tabs>
        <w:tab w:val="left" w:pos="4680"/>
      </w:tabs>
      <w:adjustRightInd w:val="0"/>
      <w:snapToGrid w:val="0"/>
      <w:spacing w:line="480" w:lineRule="exact"/>
    </w:pPr>
    <w:rPr>
      <w:rFonts w:ascii="宋体" w:cs="宋体"/>
      <w:sz w:val="24"/>
    </w:rPr>
  </w:style>
  <w:style w:type="paragraph" w:customStyle="1" w:styleId="3781">
    <w:name w:val="表格单位"/>
    <w:basedOn w:val="20"/>
    <w:qFormat/>
    <w:uiPriority w:val="0"/>
    <w:pPr>
      <w:pBdr>
        <w:top w:val="single" w:color="auto" w:sz="4" w:space="1"/>
      </w:pBdr>
      <w:ind w:firstLine="0" w:firstLineChars="0"/>
      <w:jc w:val="right"/>
    </w:pPr>
  </w:style>
  <w:style w:type="paragraph" w:customStyle="1" w:styleId="3782">
    <w:name w:val="正文31"/>
    <w:basedOn w:val="226"/>
    <w:qFormat/>
    <w:uiPriority w:val="0"/>
    <w:pPr>
      <w:autoSpaceDE w:val="0"/>
      <w:autoSpaceDN w:val="0"/>
      <w:spacing w:after="160" w:line="440" w:lineRule="exact"/>
      <w:ind w:left="567" w:hanging="340"/>
      <w:textAlignment w:val="bottom"/>
    </w:pPr>
    <w:rPr>
      <w:color w:val="000000"/>
      <w:sz w:val="28"/>
    </w:rPr>
  </w:style>
  <w:style w:type="paragraph" w:customStyle="1" w:styleId="3783">
    <w:name w:val="图题44"/>
    <w:basedOn w:val="184"/>
    <w:next w:val="184"/>
    <w:qFormat/>
    <w:uiPriority w:val="0"/>
    <w:pPr>
      <w:ind w:firstLine="0"/>
      <w:jc w:val="center"/>
    </w:pPr>
    <w:rPr>
      <w:rFonts w:ascii="黑体" w:hAnsi="宋体" w:eastAsia="黑体"/>
      <w:b/>
      <w:bCs/>
    </w:rPr>
  </w:style>
  <w:style w:type="paragraph" w:customStyle="1" w:styleId="3784">
    <w:name w:val="附件21"/>
    <w:basedOn w:val="2"/>
    <w:next w:val="184"/>
    <w:qFormat/>
    <w:uiPriority w:val="0"/>
    <w:pPr>
      <w:tabs>
        <w:tab w:val="left" w:pos="1566"/>
        <w:tab w:val="left" w:pos="2040"/>
      </w:tabs>
      <w:spacing w:before="0" w:after="210" w:line="360" w:lineRule="auto"/>
      <w:ind w:left="2040" w:leftChars="800" w:hanging="360" w:hangingChars="200"/>
      <w:jc w:val="left"/>
    </w:pPr>
    <w:rPr>
      <w:rFonts w:ascii="黑体" w:hAnsi="宋体" w:eastAsia="黑体"/>
      <w:b w:val="0"/>
      <w:sz w:val="32"/>
      <w:szCs w:val="32"/>
    </w:rPr>
  </w:style>
  <w:style w:type="paragraph" w:customStyle="1" w:styleId="3785">
    <w:name w:val="表内小四"/>
    <w:basedOn w:val="2117"/>
    <w:qFormat/>
    <w:uiPriority w:val="0"/>
    <w:pPr>
      <w:widowControl/>
      <w:snapToGrid/>
      <w:ind w:left="-50" w:right="0"/>
      <w:jc w:val="left"/>
    </w:pPr>
  </w:style>
  <w:style w:type="paragraph" w:customStyle="1" w:styleId="3786">
    <w:name w:val="图题4"/>
    <w:basedOn w:val="184"/>
    <w:next w:val="184"/>
    <w:qFormat/>
    <w:uiPriority w:val="0"/>
    <w:pPr>
      <w:ind w:firstLine="0"/>
      <w:jc w:val="center"/>
    </w:pPr>
    <w:rPr>
      <w:rFonts w:ascii="黑体" w:hAnsi="宋体" w:eastAsia="黑体"/>
      <w:b/>
      <w:bCs/>
    </w:rPr>
  </w:style>
  <w:style w:type="paragraph" w:customStyle="1" w:styleId="3787">
    <w:name w:val="燕山正文16"/>
    <w:basedOn w:val="1"/>
    <w:qFormat/>
    <w:uiPriority w:val="0"/>
    <w:pPr>
      <w:tabs>
        <w:tab w:val="left" w:pos="4680"/>
      </w:tabs>
      <w:adjustRightInd w:val="0"/>
      <w:snapToGrid w:val="0"/>
      <w:spacing w:line="480" w:lineRule="exact"/>
    </w:pPr>
    <w:rPr>
      <w:rFonts w:ascii="宋体" w:cs="宋体"/>
      <w:sz w:val="24"/>
    </w:rPr>
  </w:style>
  <w:style w:type="paragraph" w:customStyle="1" w:styleId="3788">
    <w:name w:val="正文格式＝212"/>
    <w:basedOn w:val="184"/>
    <w:next w:val="184"/>
    <w:qFormat/>
    <w:uiPriority w:val="0"/>
    <w:rPr>
      <w:rFonts w:hAnsi="宋体"/>
    </w:rPr>
  </w:style>
  <w:style w:type="paragraph" w:customStyle="1" w:styleId="3789">
    <w:name w:val="Char Char Char Char Char Char Char123"/>
    <w:basedOn w:val="1"/>
    <w:qFormat/>
    <w:uiPriority w:val="0"/>
  </w:style>
  <w:style w:type="paragraph" w:customStyle="1" w:styleId="3790">
    <w:name w:val="Char Char Char Char Char Char Char33"/>
    <w:basedOn w:val="1"/>
    <w:qFormat/>
    <w:uiPriority w:val="0"/>
  </w:style>
  <w:style w:type="paragraph" w:customStyle="1" w:styleId="3791">
    <w:name w:val="Char314"/>
    <w:basedOn w:val="1"/>
    <w:qFormat/>
    <w:uiPriority w:val="0"/>
    <w:pPr>
      <w:ind w:left="-48"/>
    </w:pPr>
  </w:style>
  <w:style w:type="paragraph" w:customStyle="1" w:styleId="3792">
    <w:name w:val="燕山正文15"/>
    <w:basedOn w:val="1"/>
    <w:qFormat/>
    <w:uiPriority w:val="0"/>
    <w:pPr>
      <w:tabs>
        <w:tab w:val="left" w:pos="4680"/>
      </w:tabs>
      <w:adjustRightInd w:val="0"/>
      <w:snapToGrid w:val="0"/>
      <w:spacing w:line="480" w:lineRule="exact"/>
    </w:pPr>
    <w:rPr>
      <w:rFonts w:ascii="宋体" w:cs="宋体"/>
      <w:sz w:val="24"/>
    </w:rPr>
  </w:style>
  <w:style w:type="paragraph" w:customStyle="1" w:styleId="3793">
    <w:name w:val="表文"/>
    <w:basedOn w:val="1"/>
    <w:qFormat/>
    <w:uiPriority w:val="0"/>
    <w:pPr>
      <w:adjustRightInd w:val="0"/>
      <w:snapToGrid w:val="0"/>
      <w:spacing w:line="160" w:lineRule="atLeast"/>
      <w:jc w:val="center"/>
    </w:pPr>
    <w:rPr>
      <w:sz w:val="28"/>
      <w:szCs w:val="20"/>
    </w:rPr>
  </w:style>
  <w:style w:type="paragraph" w:customStyle="1" w:styleId="3794">
    <w:name w:val="Char123"/>
    <w:basedOn w:val="1"/>
    <w:qFormat/>
    <w:uiPriority w:val="0"/>
    <w:pPr>
      <w:ind w:left="-48"/>
    </w:pPr>
  </w:style>
  <w:style w:type="paragraph" w:customStyle="1" w:styleId="3795">
    <w:name w:val="标题4314"/>
    <w:basedOn w:val="1"/>
    <w:qFormat/>
    <w:uiPriority w:val="0"/>
    <w:pPr>
      <w:adjustRightInd w:val="0"/>
      <w:snapToGrid w:val="0"/>
      <w:spacing w:line="480" w:lineRule="exact"/>
      <w:jc w:val="center"/>
    </w:pPr>
    <w:rPr>
      <w:rFonts w:ascii="宋体" w:hAnsi="宋体" w:cs="宋体"/>
      <w:sz w:val="24"/>
    </w:rPr>
  </w:style>
  <w:style w:type="paragraph" w:customStyle="1" w:styleId="3796">
    <w:name w:val="Char Char Char Char Char Char Char12"/>
    <w:basedOn w:val="1"/>
    <w:qFormat/>
    <w:uiPriority w:val="0"/>
    <w:rPr>
      <w:szCs w:val="20"/>
    </w:rPr>
  </w:style>
  <w:style w:type="paragraph" w:customStyle="1" w:styleId="3797">
    <w:name w:val="Char3210"/>
    <w:basedOn w:val="1"/>
    <w:qFormat/>
    <w:uiPriority w:val="0"/>
    <w:pPr>
      <w:ind w:left="-48"/>
    </w:pPr>
  </w:style>
  <w:style w:type="paragraph" w:customStyle="1" w:styleId="3798">
    <w:name w:val="表格内字体2111"/>
    <w:basedOn w:val="184"/>
    <w:next w:val="184"/>
    <w:qFormat/>
    <w:uiPriority w:val="0"/>
    <w:pPr>
      <w:spacing w:line="240" w:lineRule="auto"/>
      <w:ind w:firstLine="0"/>
      <w:jc w:val="center"/>
    </w:pPr>
    <w:rPr>
      <w:rFonts w:hAnsi="宋体"/>
      <w:sz w:val="21"/>
    </w:rPr>
  </w:style>
  <w:style w:type="paragraph" w:customStyle="1" w:styleId="3799">
    <w:name w:val="正文修改111"/>
    <w:basedOn w:val="1161"/>
    <w:qFormat/>
    <w:uiPriority w:val="0"/>
    <w:rPr>
      <w:rFonts w:hAnsi="宋体"/>
      <w:color w:val="000000"/>
    </w:rPr>
  </w:style>
  <w:style w:type="paragraph" w:customStyle="1" w:styleId="3800">
    <w:name w:val="图题72"/>
    <w:basedOn w:val="184"/>
    <w:next w:val="184"/>
    <w:qFormat/>
    <w:uiPriority w:val="0"/>
    <w:pPr>
      <w:ind w:firstLine="0"/>
      <w:jc w:val="center"/>
    </w:pPr>
    <w:rPr>
      <w:rFonts w:ascii="黑体" w:hAnsi="宋体" w:eastAsia="黑体"/>
      <w:b/>
      <w:bCs/>
    </w:rPr>
  </w:style>
  <w:style w:type="paragraph" w:customStyle="1" w:styleId="3801">
    <w:name w:val="正文格式＝52"/>
    <w:basedOn w:val="184"/>
    <w:next w:val="184"/>
    <w:qFormat/>
    <w:uiPriority w:val="0"/>
    <w:rPr>
      <w:rFonts w:hAnsi="宋体"/>
    </w:rPr>
  </w:style>
  <w:style w:type="paragraph" w:customStyle="1" w:styleId="3802">
    <w:name w:val="环评正文4"/>
    <w:qFormat/>
    <w:uiPriority w:val="0"/>
    <w:pPr>
      <w:spacing w:line="440" w:lineRule="exact"/>
      <w:ind w:firstLine="200" w:firstLineChars="200"/>
    </w:pPr>
    <w:rPr>
      <w:rFonts w:ascii="Times New Roman" w:hAnsi="Times New Roman" w:eastAsia="宋体" w:cs="Times New Roman"/>
      <w:bCs/>
      <w:kern w:val="2"/>
      <w:sz w:val="24"/>
      <w:szCs w:val="24"/>
      <w:lang w:val="en-US" w:eastAsia="zh-CN" w:bidi="ar-SA"/>
    </w:rPr>
  </w:style>
  <w:style w:type="paragraph" w:customStyle="1" w:styleId="3803">
    <w:name w:val="表格两端对齐"/>
    <w:basedOn w:val="3804"/>
    <w:qFormat/>
    <w:uiPriority w:val="0"/>
    <w:pPr>
      <w:spacing w:line="360" w:lineRule="auto"/>
    </w:pPr>
  </w:style>
  <w:style w:type="paragraph" w:customStyle="1" w:styleId="3804">
    <w:name w:val="表格居中"/>
    <w:basedOn w:val="1"/>
    <w:qFormat/>
    <w:uiPriority w:val="0"/>
    <w:pPr>
      <w:jc w:val="center"/>
    </w:pPr>
    <w:rPr>
      <w:rFonts w:ascii="宋体" w:hAnsi="宋体" w:eastAsia="仿宋_GB2312"/>
      <w:snapToGrid w:val="0"/>
      <w:kern w:val="18"/>
      <w:sz w:val="28"/>
      <w:szCs w:val="28"/>
      <w:u w:color="FF0000"/>
    </w:rPr>
  </w:style>
  <w:style w:type="paragraph" w:customStyle="1" w:styleId="3805">
    <w:name w:val="表题3133"/>
    <w:basedOn w:val="34"/>
    <w:qFormat/>
    <w:uiPriority w:val="0"/>
    <w:pPr>
      <w:tabs>
        <w:tab w:val="left" w:pos="4305"/>
      </w:tabs>
      <w:adjustRightInd w:val="0"/>
      <w:snapToGrid w:val="0"/>
      <w:spacing w:after="0"/>
      <w:ind w:left="0" w:leftChars="0"/>
      <w:jc w:val="center"/>
    </w:pPr>
    <w:rPr>
      <w:rFonts w:ascii="宋体" w:hAnsi="宋体"/>
      <w:sz w:val="24"/>
      <w:szCs w:val="20"/>
    </w:rPr>
  </w:style>
  <w:style w:type="paragraph" w:customStyle="1" w:styleId="3806">
    <w:name w:val="正文修改413"/>
    <w:basedOn w:val="1161"/>
    <w:qFormat/>
    <w:uiPriority w:val="0"/>
    <w:rPr>
      <w:rFonts w:hAnsi="宋体"/>
      <w:color w:val="000000"/>
    </w:rPr>
  </w:style>
  <w:style w:type="paragraph" w:customStyle="1" w:styleId="3807">
    <w:name w:val="Char136"/>
    <w:basedOn w:val="1"/>
    <w:qFormat/>
    <w:uiPriority w:val="0"/>
    <w:pPr>
      <w:ind w:left="-48"/>
    </w:pPr>
  </w:style>
  <w:style w:type="paragraph" w:customStyle="1" w:styleId="3808">
    <w:name w:val="5号表文"/>
    <w:qFormat/>
    <w:uiPriority w:val="0"/>
    <w:pPr>
      <w:ind w:left="720" w:hanging="720"/>
      <w:jc w:val="both"/>
    </w:pPr>
    <w:rPr>
      <w:rFonts w:ascii="宋体" w:hAnsi="Times New Roman" w:eastAsia="宋体" w:cs="Times New Roman"/>
      <w:snapToGrid w:val="0"/>
      <w:sz w:val="18"/>
      <w:lang w:val="en-US" w:eastAsia="zh-CN" w:bidi="ar-SA"/>
    </w:rPr>
  </w:style>
  <w:style w:type="paragraph" w:customStyle="1" w:styleId="3809">
    <w:name w:val="样式211"/>
    <w:basedOn w:val="1"/>
    <w:qFormat/>
    <w:uiPriority w:val="0"/>
    <w:pPr>
      <w:adjustRightInd w:val="0"/>
      <w:spacing w:line="360" w:lineRule="auto"/>
      <w:jc w:val="center"/>
      <w:textAlignment w:val="baseline"/>
      <w:outlineLvl w:val="0"/>
    </w:pPr>
    <w:rPr>
      <w:kern w:val="0"/>
      <w:szCs w:val="20"/>
    </w:rPr>
  </w:style>
  <w:style w:type="paragraph" w:customStyle="1" w:styleId="3810">
    <w:name w:val="样式 表格1 + 首行缩进:  2 字符"/>
    <w:basedOn w:val="189"/>
    <w:qFormat/>
    <w:uiPriority w:val="0"/>
    <w:pPr>
      <w:adjustRightInd w:val="0"/>
      <w:spacing w:line="400" w:lineRule="exact"/>
      <w:textAlignment w:val="baseline"/>
    </w:pPr>
    <w:rPr>
      <w:rFonts w:ascii="CG Times (W1)" w:hAnsi="CG Times (W1)" w:cs="宋体"/>
      <w:kern w:val="0"/>
      <w:sz w:val="24"/>
    </w:rPr>
  </w:style>
  <w:style w:type="paragraph" w:customStyle="1" w:styleId="3811">
    <w:name w:val="Char Char Char Char Char Char Char20"/>
    <w:basedOn w:val="1"/>
    <w:qFormat/>
    <w:uiPriority w:val="0"/>
  </w:style>
  <w:style w:type="paragraph" w:customStyle="1" w:styleId="3812">
    <w:name w:val="燕山正文12"/>
    <w:basedOn w:val="1"/>
    <w:qFormat/>
    <w:uiPriority w:val="0"/>
    <w:pPr>
      <w:tabs>
        <w:tab w:val="left" w:pos="4680"/>
      </w:tabs>
      <w:adjustRightInd w:val="0"/>
      <w:snapToGrid w:val="0"/>
      <w:spacing w:line="480" w:lineRule="exact"/>
    </w:pPr>
    <w:rPr>
      <w:rFonts w:ascii="宋体" w:cs="宋体"/>
      <w:sz w:val="24"/>
    </w:rPr>
  </w:style>
  <w:style w:type="paragraph" w:customStyle="1" w:styleId="3813">
    <w:name w:val="燕山正文11113"/>
    <w:basedOn w:val="1"/>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3814">
    <w:name w:val="表中文字413"/>
    <w:basedOn w:val="1"/>
    <w:qFormat/>
    <w:uiPriority w:val="0"/>
    <w:pPr>
      <w:snapToGrid w:val="0"/>
      <w:spacing w:line="340" w:lineRule="exact"/>
      <w:ind w:firstLine="480" w:firstLineChars="200"/>
      <w:jc w:val="center"/>
    </w:pPr>
    <w:rPr>
      <w:rFonts w:ascii="Arial" w:hAnsi="Arial"/>
      <w:kern w:val="0"/>
      <w:sz w:val="20"/>
      <w:lang w:eastAsia="zh-TW"/>
    </w:rPr>
  </w:style>
  <w:style w:type="paragraph" w:customStyle="1" w:styleId="3815">
    <w:name w:val="MG"/>
    <w:basedOn w:val="2"/>
    <w:qFormat/>
    <w:uiPriority w:val="0"/>
    <w:pPr>
      <w:keepLines w:val="0"/>
      <w:widowControl/>
      <w:tabs>
        <w:tab w:val="left" w:pos="455"/>
        <w:tab w:val="left" w:pos="1440"/>
        <w:tab w:val="left" w:pos="2040"/>
        <w:tab w:val="left" w:pos="2260"/>
        <w:tab w:val="left" w:pos="2820"/>
        <w:tab w:val="left" w:pos="3420"/>
      </w:tabs>
      <w:spacing w:before="440" w:after="120" w:line="240" w:lineRule="auto"/>
      <w:ind w:left="851" w:leftChars="800" w:right="-28" w:hanging="851" w:hangingChars="200"/>
    </w:pPr>
    <w:rPr>
      <w:rFonts w:ascii="Arial" w:hAnsi="Arial" w:cs="Arial"/>
      <w:bCs w:val="0"/>
      <w:color w:val="000000"/>
      <w:kern w:val="0"/>
      <w:sz w:val="22"/>
      <w:szCs w:val="28"/>
      <w:lang w:val="en-GB"/>
    </w:rPr>
  </w:style>
  <w:style w:type="paragraph" w:customStyle="1" w:styleId="3816">
    <w:name w:val="燕山正文312"/>
    <w:basedOn w:val="1"/>
    <w:qFormat/>
    <w:uiPriority w:val="0"/>
    <w:pPr>
      <w:tabs>
        <w:tab w:val="left" w:pos="4680"/>
      </w:tabs>
      <w:adjustRightInd w:val="0"/>
      <w:snapToGrid w:val="0"/>
      <w:spacing w:line="480" w:lineRule="exact"/>
    </w:pPr>
    <w:rPr>
      <w:rFonts w:ascii="宋体" w:cs="宋体"/>
      <w:sz w:val="24"/>
    </w:rPr>
  </w:style>
  <w:style w:type="paragraph" w:customStyle="1" w:styleId="3817">
    <w:name w:val="样式 (西文) Arial 五号 居中 首行缩进:  2 字符"/>
    <w:basedOn w:val="1"/>
    <w:qFormat/>
    <w:uiPriority w:val="0"/>
    <w:pPr>
      <w:snapToGrid w:val="0"/>
      <w:spacing w:line="400" w:lineRule="exact"/>
      <w:ind w:firstLine="460" w:firstLineChars="200"/>
      <w:jc w:val="center"/>
    </w:pPr>
    <w:rPr>
      <w:spacing w:val="10"/>
      <w:kern w:val="24"/>
      <w:szCs w:val="21"/>
    </w:rPr>
  </w:style>
  <w:style w:type="paragraph" w:customStyle="1" w:styleId="3818">
    <w:name w:val="Char Char Char Char Char Char Char39"/>
    <w:basedOn w:val="1"/>
    <w:qFormat/>
    <w:uiPriority w:val="0"/>
  </w:style>
  <w:style w:type="paragraph" w:customStyle="1" w:styleId="3819">
    <w:name w:val="正文格式＝12"/>
    <w:basedOn w:val="184"/>
    <w:next w:val="184"/>
    <w:qFormat/>
    <w:uiPriority w:val="0"/>
    <w:rPr>
      <w:rFonts w:hAnsi="宋体"/>
    </w:rPr>
  </w:style>
  <w:style w:type="paragraph" w:customStyle="1" w:styleId="3820">
    <w:name w:val="环评样式"/>
    <w:basedOn w:val="1"/>
    <w:qFormat/>
    <w:uiPriority w:val="0"/>
    <w:pPr>
      <w:overflowPunct w:val="0"/>
      <w:adjustRightInd w:val="0"/>
      <w:snapToGrid w:val="0"/>
      <w:spacing w:line="360" w:lineRule="auto"/>
      <w:textAlignment w:val="baseline"/>
      <w:outlineLvl w:val="0"/>
    </w:pPr>
    <w:rPr>
      <w:rFonts w:ascii="仿宋_GB2312" w:hAnsi="Alaska" w:eastAsia="仿宋_GB2312"/>
      <w:snapToGrid w:val="0"/>
      <w:kern w:val="0"/>
      <w:sz w:val="30"/>
      <w:szCs w:val="20"/>
    </w:rPr>
  </w:style>
  <w:style w:type="paragraph" w:customStyle="1" w:styleId="3821">
    <w:name w:val="Table Title Char1 Char1"/>
    <w:basedOn w:val="1"/>
    <w:qFormat/>
    <w:uiPriority w:val="0"/>
    <w:pPr>
      <w:widowControl/>
      <w:snapToGrid w:val="0"/>
      <w:spacing w:beforeLines="50" w:afterLines="50" w:line="400" w:lineRule="exact"/>
      <w:jc w:val="center"/>
    </w:pPr>
    <w:rPr>
      <w:sz w:val="24"/>
      <w:lang w:eastAsia="en-US"/>
    </w:rPr>
  </w:style>
  <w:style w:type="paragraph" w:customStyle="1" w:styleId="3822">
    <w:name w:val="默认段落字体 Para Char Char Char Char212"/>
    <w:basedOn w:val="1"/>
    <w:qFormat/>
    <w:uiPriority w:val="0"/>
  </w:style>
  <w:style w:type="paragraph" w:customStyle="1" w:styleId="3823">
    <w:name w:val="Char Char Char Char Char Char Char Char Char Char Char Char Char Char Char Char Char Char1 Char Char Char Char"/>
    <w:basedOn w:val="1"/>
    <w:qFormat/>
    <w:uiPriority w:val="0"/>
  </w:style>
  <w:style w:type="paragraph" w:customStyle="1" w:styleId="3824">
    <w:name w:val="Char228"/>
    <w:basedOn w:val="1"/>
    <w:qFormat/>
    <w:uiPriority w:val="0"/>
    <w:pPr>
      <w:ind w:left="-48"/>
    </w:pPr>
  </w:style>
  <w:style w:type="paragraph" w:customStyle="1" w:styleId="3825">
    <w:name w:val="表内宋512"/>
    <w:basedOn w:val="2133"/>
    <w:qFormat/>
    <w:uiPriority w:val="0"/>
    <w:pPr>
      <w:widowControl/>
      <w:autoSpaceDE w:val="0"/>
      <w:autoSpaceDN w:val="0"/>
      <w:jc w:val="left"/>
      <w:textAlignment w:val="auto"/>
    </w:pPr>
    <w:rPr>
      <w:color w:val="auto"/>
      <w:w w:val="90"/>
    </w:rPr>
  </w:style>
  <w:style w:type="paragraph" w:customStyle="1" w:styleId="3826">
    <w:name w:val="样式113"/>
    <w:basedOn w:val="2158"/>
    <w:qFormat/>
    <w:uiPriority w:val="0"/>
    <w:pPr>
      <w:spacing w:line="240" w:lineRule="auto"/>
      <w:ind w:firstLine="0"/>
      <w:jc w:val="center"/>
    </w:pPr>
    <w:rPr>
      <w:rFonts w:cs="Times New Roman"/>
      <w:b/>
      <w:color w:val="auto"/>
      <w:szCs w:val="20"/>
    </w:rPr>
  </w:style>
  <w:style w:type="paragraph" w:customStyle="1" w:styleId="3827">
    <w:name w:val="正文斜体11"/>
    <w:basedOn w:val="184"/>
    <w:next w:val="184"/>
    <w:qFormat/>
    <w:uiPriority w:val="0"/>
    <w:rPr>
      <w:rFonts w:hAnsi="宋体"/>
      <w:i/>
      <w:iCs/>
    </w:rPr>
  </w:style>
  <w:style w:type="paragraph" w:customStyle="1" w:styleId="3828">
    <w:name w:val="Char Char Char Char Char Char Char226"/>
    <w:basedOn w:val="1"/>
    <w:qFormat/>
    <w:uiPriority w:val="0"/>
  </w:style>
  <w:style w:type="paragraph" w:customStyle="1" w:styleId="3829">
    <w:name w:val="CM17"/>
    <w:basedOn w:val="1"/>
    <w:next w:val="1"/>
    <w:qFormat/>
    <w:uiPriority w:val="0"/>
    <w:pPr>
      <w:autoSpaceDE w:val="0"/>
      <w:autoSpaceDN w:val="0"/>
      <w:adjustRightInd w:val="0"/>
      <w:spacing w:line="468" w:lineRule="atLeast"/>
      <w:jc w:val="left"/>
    </w:pPr>
    <w:rPr>
      <w:rFonts w:ascii="黑体" w:eastAsia="黑体"/>
      <w:kern w:val="0"/>
      <w:sz w:val="24"/>
      <w:szCs w:val="28"/>
    </w:rPr>
  </w:style>
  <w:style w:type="paragraph" w:customStyle="1" w:styleId="3830">
    <w:name w:val="默认段落字体 Para Char Char Char Char52"/>
    <w:basedOn w:val="1"/>
    <w:qFormat/>
    <w:uiPriority w:val="0"/>
  </w:style>
  <w:style w:type="paragraph" w:customStyle="1" w:styleId="3831">
    <w:name w:val="样式1113"/>
    <w:basedOn w:val="2158"/>
    <w:qFormat/>
    <w:uiPriority w:val="0"/>
    <w:pPr>
      <w:spacing w:line="240" w:lineRule="auto"/>
      <w:ind w:firstLine="0"/>
      <w:jc w:val="center"/>
    </w:pPr>
    <w:rPr>
      <w:rFonts w:cs="Times New Roman"/>
      <w:b/>
      <w:color w:val="auto"/>
      <w:szCs w:val="20"/>
    </w:rPr>
  </w:style>
  <w:style w:type="paragraph" w:customStyle="1" w:styleId="3832">
    <w:name w:val="Char24"/>
    <w:basedOn w:val="1"/>
    <w:qFormat/>
    <w:uiPriority w:val="0"/>
    <w:pPr>
      <w:ind w:left="-48"/>
    </w:pPr>
  </w:style>
  <w:style w:type="paragraph" w:customStyle="1" w:styleId="3833">
    <w:name w:val="默认段落字体 Para Char Char Char Char Char Char Char Char Char Char"/>
    <w:basedOn w:val="1"/>
    <w:qFormat/>
    <w:uiPriority w:val="0"/>
  </w:style>
  <w:style w:type="paragraph" w:customStyle="1" w:styleId="3834">
    <w:name w:val="副题封页"/>
    <w:basedOn w:val="3835"/>
    <w:next w:val="33"/>
    <w:qFormat/>
    <w:uiPriority w:val="0"/>
    <w:pPr>
      <w:spacing w:before="240" w:after="480"/>
    </w:pPr>
    <w:rPr>
      <w:rFonts w:ascii="Times New Roman" w:hAnsi="Times New Roman"/>
      <w:b w:val="0"/>
      <w:i/>
      <w:sz w:val="32"/>
    </w:rPr>
  </w:style>
  <w:style w:type="paragraph" w:customStyle="1" w:styleId="3835">
    <w:name w:val="主题封页"/>
    <w:basedOn w:val="2287"/>
    <w:next w:val="3834"/>
    <w:qFormat/>
    <w:uiPriority w:val="0"/>
    <w:pPr>
      <w:spacing w:before="720" w:after="160"/>
      <w:jc w:val="center"/>
    </w:pPr>
    <w:rPr>
      <w:sz w:val="40"/>
    </w:rPr>
  </w:style>
  <w:style w:type="paragraph" w:customStyle="1" w:styleId="3836">
    <w:name w:val="样式 表格内字体1 +"/>
    <w:basedOn w:val="2079"/>
    <w:next w:val="1875"/>
    <w:qFormat/>
    <w:uiPriority w:val="0"/>
    <w:rPr>
      <w:rFonts w:hAnsi="Times New Roman"/>
      <w:szCs w:val="20"/>
    </w:rPr>
  </w:style>
  <w:style w:type="paragraph" w:customStyle="1" w:styleId="3837">
    <w:name w:val="黑体三号"/>
    <w:basedOn w:val="184"/>
    <w:qFormat/>
    <w:uiPriority w:val="0"/>
    <w:pPr>
      <w:jc w:val="center"/>
    </w:pPr>
    <w:rPr>
      <w:rFonts w:ascii="黑体" w:hAnsi="宋体" w:eastAsia="黑体"/>
      <w:b/>
      <w:bCs/>
      <w:sz w:val="32"/>
      <w:szCs w:val="20"/>
    </w:rPr>
  </w:style>
  <w:style w:type="paragraph" w:customStyle="1" w:styleId="3838">
    <w:name w:val="表题31312"/>
    <w:basedOn w:val="34"/>
    <w:qFormat/>
    <w:uiPriority w:val="0"/>
    <w:pPr>
      <w:tabs>
        <w:tab w:val="left" w:pos="4305"/>
      </w:tabs>
      <w:adjustRightInd w:val="0"/>
      <w:snapToGrid w:val="0"/>
      <w:spacing w:after="0"/>
      <w:ind w:left="0" w:leftChars="0"/>
      <w:jc w:val="center"/>
    </w:pPr>
    <w:rPr>
      <w:rFonts w:ascii="宋体" w:hAnsi="宋体"/>
      <w:sz w:val="24"/>
      <w:szCs w:val="20"/>
    </w:rPr>
  </w:style>
  <w:style w:type="paragraph" w:customStyle="1" w:styleId="3839">
    <w:name w:val="Char Char Char Char Char Char Char48"/>
    <w:basedOn w:val="1"/>
    <w:qFormat/>
    <w:uiPriority w:val="0"/>
  </w:style>
  <w:style w:type="paragraph" w:customStyle="1" w:styleId="3840">
    <w:name w:val="表格内字体111"/>
    <w:basedOn w:val="184"/>
    <w:qFormat/>
    <w:uiPriority w:val="0"/>
    <w:pPr>
      <w:spacing w:line="240" w:lineRule="auto"/>
      <w:ind w:firstLine="0"/>
      <w:jc w:val="center"/>
    </w:pPr>
    <w:rPr>
      <w:sz w:val="21"/>
      <w:szCs w:val="20"/>
    </w:rPr>
  </w:style>
  <w:style w:type="paragraph" w:customStyle="1" w:styleId="3841">
    <w:name w:val="表内5417"/>
    <w:basedOn w:val="1"/>
    <w:qFormat/>
    <w:uiPriority w:val="0"/>
    <w:pPr>
      <w:adjustRightInd w:val="0"/>
      <w:snapToGrid w:val="0"/>
      <w:spacing w:line="300" w:lineRule="auto"/>
      <w:jc w:val="center"/>
    </w:pPr>
    <w:rPr>
      <w:rFonts w:ascii="宋体" w:hAnsi="宋体" w:cs="宋体"/>
      <w:szCs w:val="20"/>
    </w:rPr>
  </w:style>
  <w:style w:type="paragraph" w:customStyle="1" w:styleId="3842">
    <w:name w:val="Char Char Char Char Char Char Char6"/>
    <w:basedOn w:val="1"/>
    <w:qFormat/>
    <w:uiPriority w:val="0"/>
    <w:rPr>
      <w:szCs w:val="20"/>
    </w:rPr>
  </w:style>
  <w:style w:type="paragraph" w:customStyle="1" w:styleId="3843">
    <w:name w:val="普通2"/>
    <w:basedOn w:val="44"/>
    <w:qFormat/>
    <w:uiPriority w:val="0"/>
    <w:pPr>
      <w:jc w:val="center"/>
    </w:pPr>
    <w:rPr>
      <w:rFonts w:ascii="Times New Roman" w:hAnsi="Times New Roman" w:cs="Times New Roman"/>
      <w:color w:val="000000"/>
      <w:kern w:val="0"/>
      <w:szCs w:val="24"/>
    </w:rPr>
  </w:style>
  <w:style w:type="paragraph" w:customStyle="1" w:styleId="3844">
    <w:name w:val="正文格式＝54"/>
    <w:basedOn w:val="184"/>
    <w:next w:val="184"/>
    <w:qFormat/>
    <w:uiPriority w:val="0"/>
    <w:rPr>
      <w:rFonts w:hAnsi="宋体"/>
    </w:rPr>
  </w:style>
  <w:style w:type="paragraph" w:customStyle="1" w:styleId="3845">
    <w:name w:val="标题43112"/>
    <w:basedOn w:val="1"/>
    <w:qFormat/>
    <w:uiPriority w:val="0"/>
    <w:pPr>
      <w:adjustRightInd w:val="0"/>
      <w:snapToGrid w:val="0"/>
      <w:spacing w:line="480" w:lineRule="exact"/>
      <w:jc w:val="center"/>
    </w:pPr>
    <w:rPr>
      <w:rFonts w:ascii="宋体" w:hAnsi="宋体" w:cs="宋体"/>
      <w:sz w:val="24"/>
    </w:rPr>
  </w:style>
  <w:style w:type="paragraph" w:customStyle="1" w:styleId="3846">
    <w:name w:val="Char330"/>
    <w:basedOn w:val="1"/>
    <w:qFormat/>
    <w:uiPriority w:val="0"/>
    <w:pPr>
      <w:ind w:left="-48"/>
    </w:pPr>
  </w:style>
  <w:style w:type="paragraph" w:customStyle="1" w:styleId="3847">
    <w:name w:val="谏壁标题1(chen）"/>
    <w:basedOn w:val="1"/>
    <w:qFormat/>
    <w:uiPriority w:val="0"/>
    <w:pPr>
      <w:keepNext/>
      <w:keepLines/>
      <w:pageBreakBefore/>
      <w:spacing w:after="300" w:line="360" w:lineRule="auto"/>
      <w:outlineLvl w:val="0"/>
    </w:pPr>
    <w:rPr>
      <w:rFonts w:eastAsia="黑体"/>
      <w:bCs/>
      <w:kern w:val="44"/>
      <w:sz w:val="36"/>
      <w:szCs w:val="44"/>
    </w:rPr>
  </w:style>
  <w:style w:type="paragraph" w:customStyle="1" w:styleId="3848">
    <w:name w:val="Char231"/>
    <w:basedOn w:val="1"/>
    <w:qFormat/>
    <w:uiPriority w:val="0"/>
    <w:pPr>
      <w:ind w:left="-48"/>
    </w:pPr>
  </w:style>
  <w:style w:type="paragraph" w:customStyle="1" w:styleId="3849">
    <w:name w:val="正文格式＝8"/>
    <w:basedOn w:val="184"/>
    <w:next w:val="184"/>
    <w:qFormat/>
    <w:uiPriority w:val="0"/>
    <w:rPr>
      <w:rFonts w:hAnsi="宋体"/>
    </w:rPr>
  </w:style>
  <w:style w:type="paragraph" w:customStyle="1" w:styleId="3850">
    <w:name w:val="默认段落字体 Para Char Char Char Char33"/>
    <w:basedOn w:val="1"/>
    <w:qFormat/>
    <w:uiPriority w:val="0"/>
  </w:style>
  <w:style w:type="paragraph" w:customStyle="1" w:styleId="3851">
    <w:name w:val="表题14113"/>
    <w:basedOn w:val="1"/>
    <w:qFormat/>
    <w:uiPriority w:val="0"/>
    <w:pPr>
      <w:widowControl/>
      <w:adjustRightInd w:val="0"/>
      <w:snapToGrid w:val="0"/>
      <w:jc w:val="center"/>
    </w:pPr>
    <w:rPr>
      <w:rFonts w:ascii="黑体" w:hAnsi="宋体" w:eastAsia="黑体" w:cs="宋体"/>
      <w:kern w:val="0"/>
      <w:sz w:val="24"/>
    </w:rPr>
  </w:style>
  <w:style w:type="paragraph" w:customStyle="1" w:styleId="3852">
    <w:name w:val="Char223"/>
    <w:basedOn w:val="1"/>
    <w:qFormat/>
    <w:uiPriority w:val="0"/>
    <w:pPr>
      <w:ind w:left="-48"/>
    </w:pPr>
  </w:style>
  <w:style w:type="paragraph" w:customStyle="1" w:styleId="3853">
    <w:name w:val="样式 样式 标题 2 + 段前: 0.5 行4 + 段前: 0.5 行"/>
    <w:basedOn w:val="1"/>
    <w:qFormat/>
    <w:uiPriority w:val="0"/>
    <w:pPr>
      <w:tabs>
        <w:tab w:val="left" w:pos="540"/>
      </w:tabs>
      <w:adjustRightInd w:val="0"/>
      <w:spacing w:before="163" w:line="360" w:lineRule="auto"/>
      <w:ind w:left="567" w:hanging="540"/>
      <w:outlineLvl w:val="1"/>
    </w:pPr>
    <w:rPr>
      <w:rFonts w:eastAsia="黑体" w:cs="宋体"/>
      <w:sz w:val="24"/>
      <w:szCs w:val="20"/>
    </w:rPr>
  </w:style>
  <w:style w:type="paragraph" w:customStyle="1" w:styleId="3854">
    <w:name w:val="表格内字体62"/>
    <w:basedOn w:val="184"/>
    <w:next w:val="184"/>
    <w:qFormat/>
    <w:uiPriority w:val="0"/>
    <w:pPr>
      <w:spacing w:line="240" w:lineRule="auto"/>
      <w:ind w:firstLine="0"/>
      <w:jc w:val="center"/>
    </w:pPr>
    <w:rPr>
      <w:rFonts w:hAnsi="宋体"/>
      <w:sz w:val="21"/>
    </w:rPr>
  </w:style>
  <w:style w:type="paragraph" w:customStyle="1" w:styleId="3855">
    <w:name w:val="正方"/>
    <w:basedOn w:val="1"/>
    <w:qFormat/>
    <w:uiPriority w:val="0"/>
    <w:pPr>
      <w:tabs>
        <w:tab w:val="left" w:pos="240"/>
      </w:tabs>
      <w:autoSpaceDE w:val="0"/>
      <w:autoSpaceDN w:val="0"/>
      <w:adjustRightInd w:val="0"/>
      <w:spacing w:line="360" w:lineRule="auto"/>
    </w:pPr>
    <w:rPr>
      <w:rFonts w:ascii="Bookman Old Style" w:hAnsi="Bookman Old Style" w:cs="Arial"/>
      <w:kern w:val="0"/>
      <w:sz w:val="24"/>
      <w:szCs w:val="20"/>
    </w:rPr>
  </w:style>
  <w:style w:type="paragraph" w:customStyle="1" w:styleId="3856">
    <w:name w:val="图题注3"/>
    <w:basedOn w:val="21"/>
    <w:qFormat/>
    <w:uiPriority w:val="0"/>
    <w:pPr>
      <w:tabs>
        <w:tab w:val="clear" w:pos="7380"/>
      </w:tabs>
      <w:overflowPunct/>
      <w:spacing w:before="0" w:afterLines="0"/>
      <w:jc w:val="center"/>
    </w:pPr>
    <w:rPr>
      <w:rFonts w:ascii="黑体" w:cs="宋体"/>
      <w:b/>
      <w:bCs/>
      <w:sz w:val="24"/>
      <w:szCs w:val="24"/>
    </w:rPr>
  </w:style>
  <w:style w:type="paragraph" w:customStyle="1" w:styleId="3857">
    <w:name w:val="Char Char Char Char1 Char Char Char12"/>
    <w:basedOn w:val="1"/>
    <w:qFormat/>
    <w:uiPriority w:val="0"/>
    <w:pPr>
      <w:widowControl/>
      <w:spacing w:after="160" w:line="240" w:lineRule="exact"/>
      <w:jc w:val="left"/>
    </w:pPr>
    <w:rPr>
      <w:rFonts w:ascii="Verdana" w:hAnsi="Verdana"/>
      <w:kern w:val="0"/>
      <w:sz w:val="20"/>
      <w:szCs w:val="20"/>
      <w:lang w:eastAsia="en-US"/>
    </w:rPr>
  </w:style>
  <w:style w:type="paragraph" w:customStyle="1" w:styleId="3858">
    <w:name w:val="附件111"/>
    <w:basedOn w:val="2"/>
    <w:next w:val="184"/>
    <w:qFormat/>
    <w:uiPriority w:val="0"/>
    <w:pPr>
      <w:tabs>
        <w:tab w:val="left" w:pos="1566"/>
        <w:tab w:val="left" w:pos="2040"/>
      </w:tabs>
      <w:spacing w:before="0" w:after="210" w:line="360" w:lineRule="auto"/>
      <w:ind w:left="2040" w:leftChars="800" w:hanging="360" w:hangingChars="200"/>
      <w:jc w:val="left"/>
    </w:pPr>
    <w:rPr>
      <w:rFonts w:ascii="黑体" w:hAnsi="宋体" w:eastAsia="黑体"/>
      <w:b w:val="0"/>
      <w:sz w:val="32"/>
      <w:szCs w:val="32"/>
    </w:rPr>
  </w:style>
  <w:style w:type="paragraph" w:customStyle="1" w:styleId="3859">
    <w:name w:val="默认段落字体 Para Char Char Char Char34"/>
    <w:basedOn w:val="1"/>
    <w:qFormat/>
    <w:uiPriority w:val="0"/>
  </w:style>
  <w:style w:type="paragraph" w:customStyle="1" w:styleId="3860">
    <w:name w:val="表中文字113"/>
    <w:basedOn w:val="1"/>
    <w:qFormat/>
    <w:uiPriority w:val="0"/>
    <w:pPr>
      <w:widowControl/>
      <w:spacing w:line="240" w:lineRule="atLeast"/>
      <w:ind w:left="-24" w:leftChars="-10" w:right="-48" w:rightChars="-20"/>
      <w:jc w:val="center"/>
    </w:pPr>
    <w:rPr>
      <w:rFonts w:ascii="宋体"/>
      <w:kern w:val="0"/>
      <w:szCs w:val="21"/>
    </w:rPr>
  </w:style>
  <w:style w:type="paragraph" w:customStyle="1" w:styleId="3861">
    <w:name w:val="图题11"/>
    <w:basedOn w:val="184"/>
    <w:next w:val="184"/>
    <w:qFormat/>
    <w:uiPriority w:val="0"/>
    <w:pPr>
      <w:ind w:firstLine="0"/>
      <w:jc w:val="center"/>
    </w:pPr>
    <w:rPr>
      <w:rFonts w:ascii="黑体" w:hAnsi="宋体" w:eastAsia="黑体"/>
      <w:b/>
      <w:bCs/>
    </w:rPr>
  </w:style>
  <w:style w:type="paragraph" w:customStyle="1" w:styleId="3862">
    <w:name w:val="燕山正文5"/>
    <w:basedOn w:val="1"/>
    <w:qFormat/>
    <w:uiPriority w:val="0"/>
    <w:pPr>
      <w:tabs>
        <w:tab w:val="left" w:pos="4680"/>
      </w:tabs>
      <w:adjustRightInd w:val="0"/>
      <w:snapToGrid w:val="0"/>
      <w:spacing w:line="480" w:lineRule="exact"/>
    </w:pPr>
    <w:rPr>
      <w:rFonts w:ascii="宋体" w:cs="宋体"/>
      <w:sz w:val="24"/>
    </w:rPr>
  </w:style>
  <w:style w:type="paragraph" w:customStyle="1" w:styleId="3863">
    <w:name w:val="Char Char Char Char1 Char Char Char22"/>
    <w:basedOn w:val="1"/>
    <w:qFormat/>
    <w:uiPriority w:val="0"/>
    <w:pPr>
      <w:widowControl/>
      <w:spacing w:after="160" w:line="240" w:lineRule="exact"/>
      <w:jc w:val="left"/>
    </w:pPr>
    <w:rPr>
      <w:rFonts w:ascii="Verdana" w:hAnsi="Verdana"/>
      <w:kern w:val="0"/>
      <w:sz w:val="20"/>
      <w:szCs w:val="20"/>
      <w:lang w:eastAsia="en-US"/>
    </w:rPr>
  </w:style>
  <w:style w:type="paragraph" w:customStyle="1" w:styleId="3864">
    <w:name w:val="Char424"/>
    <w:basedOn w:val="1"/>
    <w:qFormat/>
    <w:uiPriority w:val="0"/>
    <w:pPr>
      <w:ind w:left="-48"/>
    </w:pPr>
  </w:style>
  <w:style w:type="paragraph" w:customStyle="1" w:styleId="3865">
    <w:name w:val="Char Char Char Char Char Char Char211"/>
    <w:basedOn w:val="1"/>
    <w:qFormat/>
    <w:uiPriority w:val="0"/>
  </w:style>
  <w:style w:type="paragraph" w:customStyle="1" w:styleId="3866">
    <w:name w:val="大标题"/>
    <w:qFormat/>
    <w:uiPriority w:val="0"/>
    <w:rPr>
      <w:rFonts w:ascii="Times New Roman" w:hAnsi="Times New Roman" w:eastAsia="楷体_GB2312" w:cs="Times New Roman"/>
      <w:b/>
      <w:bCs/>
      <w:kern w:val="44"/>
      <w:sz w:val="32"/>
      <w:szCs w:val="44"/>
      <w:lang w:val="en-US" w:eastAsia="zh-CN" w:bidi="ar-SA"/>
    </w:rPr>
  </w:style>
  <w:style w:type="paragraph" w:customStyle="1" w:styleId="3867">
    <w:name w:val="List Letter M2"/>
    <w:basedOn w:val="1"/>
    <w:qFormat/>
    <w:uiPriority w:val="0"/>
    <w:pPr>
      <w:widowControl/>
      <w:tabs>
        <w:tab w:val="left" w:pos="1074"/>
      </w:tabs>
      <w:spacing w:after="240"/>
      <w:ind w:left="1072" w:hanging="358"/>
    </w:pPr>
    <w:rPr>
      <w:rFonts w:ascii="Arial" w:hAnsi="Arial" w:eastAsia="MS Mincho"/>
      <w:kern w:val="0"/>
      <w:sz w:val="22"/>
      <w:szCs w:val="20"/>
      <w:lang w:val="en-GB" w:eastAsia="en-US"/>
    </w:rPr>
  </w:style>
  <w:style w:type="paragraph" w:customStyle="1" w:styleId="3868">
    <w:name w:val="Char417"/>
    <w:basedOn w:val="1"/>
    <w:qFormat/>
    <w:uiPriority w:val="0"/>
    <w:pPr>
      <w:ind w:left="-48"/>
    </w:pPr>
  </w:style>
  <w:style w:type="paragraph" w:customStyle="1" w:styleId="3869">
    <w:name w:val="Char Char Char Char Char Char Char27"/>
    <w:basedOn w:val="1"/>
    <w:qFormat/>
    <w:uiPriority w:val="0"/>
  </w:style>
  <w:style w:type="paragraph" w:customStyle="1" w:styleId="3870">
    <w:name w:val="燕山正文133"/>
    <w:basedOn w:val="1"/>
    <w:qFormat/>
    <w:uiPriority w:val="0"/>
    <w:pPr>
      <w:tabs>
        <w:tab w:val="left" w:pos="4680"/>
      </w:tabs>
      <w:adjustRightInd w:val="0"/>
      <w:snapToGrid w:val="0"/>
      <w:spacing w:line="360" w:lineRule="auto"/>
      <w:ind w:firstLine="480" w:firstLineChars="200"/>
    </w:pPr>
    <w:rPr>
      <w:rFonts w:ascii="宋体" w:hAnsi="宋体" w:cs="宋体"/>
      <w:bCs/>
      <w:color w:val="000000"/>
      <w:sz w:val="24"/>
    </w:rPr>
  </w:style>
  <w:style w:type="paragraph" w:customStyle="1" w:styleId="3871">
    <w:name w:val="黑体三号413"/>
    <w:basedOn w:val="184"/>
    <w:qFormat/>
    <w:uiPriority w:val="0"/>
    <w:pPr>
      <w:jc w:val="center"/>
    </w:pPr>
    <w:rPr>
      <w:rFonts w:ascii="黑体" w:hAnsi="宋体" w:eastAsia="黑体"/>
      <w:b/>
      <w:bCs/>
      <w:sz w:val="32"/>
      <w:szCs w:val="20"/>
    </w:rPr>
  </w:style>
  <w:style w:type="paragraph" w:customStyle="1" w:styleId="3872">
    <w:name w:val="燕山正文1132"/>
    <w:basedOn w:val="1"/>
    <w:qFormat/>
    <w:uiPriority w:val="0"/>
    <w:pPr>
      <w:tabs>
        <w:tab w:val="left" w:pos="4680"/>
      </w:tabs>
      <w:adjustRightInd w:val="0"/>
      <w:snapToGrid w:val="0"/>
      <w:spacing w:line="360" w:lineRule="auto"/>
      <w:ind w:firstLine="480" w:firstLineChars="200"/>
    </w:pPr>
    <w:rPr>
      <w:rFonts w:ascii="宋体" w:hAnsi="宋体" w:cs="宋体"/>
      <w:bCs/>
      <w:snapToGrid w:val="0"/>
      <w:color w:val="000000"/>
      <w:kern w:val="0"/>
      <w:sz w:val="24"/>
    </w:rPr>
  </w:style>
  <w:style w:type="paragraph" w:customStyle="1" w:styleId="3873">
    <w:name w:val="小表格"/>
    <w:basedOn w:val="122"/>
    <w:qFormat/>
    <w:uiPriority w:val="0"/>
    <w:pPr>
      <w:autoSpaceDE w:val="0"/>
      <w:autoSpaceDN w:val="0"/>
      <w:spacing w:beforeLines="0" w:line="360" w:lineRule="auto"/>
    </w:pPr>
    <w:rPr>
      <w:rFonts w:ascii="仿宋_GB2312"/>
      <w:snapToGrid/>
      <w:kern w:val="0"/>
      <w:szCs w:val="20"/>
    </w:rPr>
  </w:style>
  <w:style w:type="paragraph" w:customStyle="1" w:styleId="3874">
    <w:name w:val="燕山正文1123"/>
    <w:basedOn w:val="1"/>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3875">
    <w:name w:val="Char62"/>
    <w:basedOn w:val="1"/>
    <w:qFormat/>
    <w:uiPriority w:val="0"/>
    <w:rPr>
      <w:szCs w:val="21"/>
    </w:rPr>
  </w:style>
  <w:style w:type="paragraph" w:customStyle="1" w:styleId="3876">
    <w:name w:val="福建正文缩进2"/>
    <w:basedOn w:val="20"/>
    <w:qFormat/>
    <w:uiPriority w:val="0"/>
    <w:pPr>
      <w:widowControl/>
      <w:tabs>
        <w:tab w:val="left" w:pos="5837"/>
      </w:tabs>
      <w:adjustRightInd w:val="0"/>
      <w:snapToGrid w:val="0"/>
      <w:spacing w:line="480" w:lineRule="exact"/>
      <w:ind w:firstLine="0" w:firstLineChars="0"/>
    </w:pPr>
    <w:rPr>
      <w:rFonts w:ascii="宋体" w:hAnsi="宋体" w:cs="宋体"/>
      <w:color w:val="000000"/>
      <w:kern w:val="0"/>
      <w:sz w:val="24"/>
    </w:rPr>
  </w:style>
  <w:style w:type="paragraph" w:customStyle="1" w:styleId="3877">
    <w:name w:val="Char Char Char Char1 Char Char Char14"/>
    <w:basedOn w:val="1"/>
    <w:qFormat/>
    <w:uiPriority w:val="0"/>
    <w:pPr>
      <w:widowControl/>
      <w:spacing w:after="160" w:line="240" w:lineRule="exact"/>
      <w:jc w:val="left"/>
    </w:pPr>
    <w:rPr>
      <w:rFonts w:ascii="Verdana" w:hAnsi="Verdana"/>
      <w:kern w:val="0"/>
      <w:sz w:val="20"/>
      <w:szCs w:val="20"/>
      <w:lang w:eastAsia="en-US"/>
    </w:rPr>
  </w:style>
  <w:style w:type="paragraph" w:customStyle="1" w:styleId="3878">
    <w:name w:val="Char26"/>
    <w:basedOn w:val="1"/>
    <w:qFormat/>
    <w:uiPriority w:val="0"/>
    <w:pPr>
      <w:ind w:left="-48"/>
    </w:pPr>
  </w:style>
  <w:style w:type="paragraph" w:customStyle="1" w:styleId="3879">
    <w:name w:val="图题8"/>
    <w:basedOn w:val="184"/>
    <w:next w:val="184"/>
    <w:qFormat/>
    <w:uiPriority w:val="0"/>
    <w:pPr>
      <w:ind w:firstLine="0"/>
      <w:jc w:val="center"/>
    </w:pPr>
    <w:rPr>
      <w:rFonts w:ascii="黑体" w:hAnsi="宋体" w:eastAsia="黑体"/>
      <w:b/>
      <w:bCs/>
    </w:rPr>
  </w:style>
  <w:style w:type="paragraph" w:customStyle="1" w:styleId="3880">
    <w:name w:val="码头正文"/>
    <w:basedOn w:val="20"/>
    <w:qFormat/>
    <w:uiPriority w:val="0"/>
    <w:pPr>
      <w:spacing w:line="400" w:lineRule="exact"/>
      <w:ind w:firstLine="480"/>
    </w:pPr>
    <w:rPr>
      <w:rFonts w:ascii="宋体"/>
      <w:bCs/>
      <w:kern w:val="0"/>
      <w:sz w:val="24"/>
      <w:u w:color="000000"/>
    </w:rPr>
  </w:style>
  <w:style w:type="paragraph" w:customStyle="1" w:styleId="3881">
    <w:name w:val="正文格式＝1"/>
    <w:basedOn w:val="184"/>
    <w:next w:val="184"/>
    <w:qFormat/>
    <w:uiPriority w:val="0"/>
    <w:rPr>
      <w:rFonts w:hAnsi="宋体"/>
    </w:rPr>
  </w:style>
  <w:style w:type="paragraph" w:customStyle="1" w:styleId="3882">
    <w:name w:val="样式 标题 1 + 段后: 6 磅"/>
    <w:basedOn w:val="2"/>
    <w:qFormat/>
    <w:uiPriority w:val="0"/>
    <w:pPr>
      <w:tabs>
        <w:tab w:val="left" w:pos="360"/>
        <w:tab w:val="left" w:pos="2040"/>
      </w:tabs>
      <w:spacing w:after="120" w:line="240" w:lineRule="auto"/>
      <w:ind w:left="170" w:leftChars="800" w:hanging="170" w:hangingChars="200"/>
      <w:jc w:val="left"/>
    </w:pPr>
    <w:rPr>
      <w:rFonts w:eastAsia="黑体" w:cs="宋体"/>
      <w:sz w:val="84"/>
      <w:szCs w:val="30"/>
    </w:rPr>
  </w:style>
  <w:style w:type="paragraph" w:customStyle="1" w:styleId="3883">
    <w:name w:val="正文212"/>
    <w:qFormat/>
    <w:uiPriority w:val="0"/>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3884">
    <w:name w:val="样式 正文缩进 + 宋体 黑色2"/>
    <w:basedOn w:val="20"/>
    <w:qFormat/>
    <w:uiPriority w:val="0"/>
    <w:pPr>
      <w:spacing w:line="360" w:lineRule="auto"/>
      <w:ind w:firstLine="200"/>
      <w:jc w:val="left"/>
    </w:pPr>
    <w:rPr>
      <w:rFonts w:ascii="宋体" w:hAnsi="宋体"/>
      <w:color w:val="000000"/>
      <w:sz w:val="24"/>
    </w:rPr>
  </w:style>
  <w:style w:type="paragraph" w:customStyle="1" w:styleId="3885">
    <w:name w:val="Char151"/>
    <w:basedOn w:val="1"/>
    <w:qFormat/>
    <w:uiPriority w:val="0"/>
    <w:pPr>
      <w:adjustRightInd w:val="0"/>
      <w:snapToGrid w:val="0"/>
      <w:spacing w:beforeLines="50" w:line="360" w:lineRule="auto"/>
    </w:pPr>
    <w:rPr>
      <w:rFonts w:ascii="黑体" w:eastAsia="黑体"/>
      <w:sz w:val="32"/>
      <w:szCs w:val="32"/>
    </w:rPr>
  </w:style>
  <w:style w:type="paragraph" w:customStyle="1" w:styleId="3886">
    <w:name w:val="正文格式413"/>
    <w:basedOn w:val="1"/>
    <w:qFormat/>
    <w:uiPriority w:val="0"/>
    <w:pPr>
      <w:spacing w:line="360" w:lineRule="auto"/>
      <w:ind w:firstLine="482"/>
    </w:pPr>
    <w:rPr>
      <w:rFonts w:ascii="宋体" w:hAnsi="宋体"/>
      <w:sz w:val="24"/>
    </w:rPr>
  </w:style>
  <w:style w:type="paragraph" w:customStyle="1" w:styleId="3887">
    <w:name w:val="表内文字小232"/>
    <w:basedOn w:val="1"/>
    <w:qFormat/>
    <w:uiPriority w:val="0"/>
    <w:pPr>
      <w:adjustRightInd w:val="0"/>
      <w:snapToGrid w:val="0"/>
      <w:jc w:val="center"/>
    </w:pPr>
    <w:rPr>
      <w:rFonts w:ascii="宋体" w:hAnsi="Times"/>
      <w:bCs/>
      <w:color w:val="000000"/>
      <w:szCs w:val="20"/>
    </w:rPr>
  </w:style>
  <w:style w:type="paragraph" w:customStyle="1" w:styleId="3888">
    <w:name w:val="表内文字小24"/>
    <w:basedOn w:val="1"/>
    <w:qFormat/>
    <w:uiPriority w:val="0"/>
    <w:pPr>
      <w:adjustRightInd w:val="0"/>
      <w:snapToGrid w:val="0"/>
      <w:jc w:val="center"/>
    </w:pPr>
    <w:rPr>
      <w:rFonts w:ascii="宋体" w:hAnsi="Times"/>
      <w:bCs/>
      <w:color w:val="000000"/>
      <w:szCs w:val="20"/>
    </w:rPr>
  </w:style>
  <w:style w:type="paragraph" w:customStyle="1" w:styleId="3889">
    <w:name w:val="Char Char Char Char Char Char Char Char Char Char1 Char Char"/>
    <w:basedOn w:val="1"/>
    <w:qFormat/>
    <w:uiPriority w:val="0"/>
    <w:pPr>
      <w:spacing w:line="240" w:lineRule="exact"/>
      <w:ind w:firstLine="200" w:firstLineChars="200"/>
    </w:pPr>
    <w:rPr>
      <w:sz w:val="28"/>
      <w:szCs w:val="28"/>
    </w:rPr>
  </w:style>
  <w:style w:type="paragraph" w:customStyle="1" w:styleId="3890">
    <w:name w:val="表格结尾"/>
    <w:basedOn w:val="1"/>
    <w:qFormat/>
    <w:uiPriority w:val="0"/>
    <w:pPr>
      <w:snapToGrid w:val="0"/>
      <w:spacing w:line="0" w:lineRule="atLeast"/>
    </w:pPr>
    <w:rPr>
      <w:kern w:val="0"/>
      <w:sz w:val="10"/>
    </w:rPr>
  </w:style>
  <w:style w:type="paragraph" w:customStyle="1" w:styleId="3891">
    <w:name w:val="表内文字小2123"/>
    <w:basedOn w:val="1"/>
    <w:qFormat/>
    <w:uiPriority w:val="0"/>
    <w:pPr>
      <w:adjustRightInd w:val="0"/>
      <w:snapToGrid w:val="0"/>
      <w:jc w:val="center"/>
    </w:pPr>
    <w:rPr>
      <w:rFonts w:ascii="宋体" w:hAnsi="Times"/>
      <w:bCs/>
      <w:color w:val="000000"/>
      <w:szCs w:val="20"/>
    </w:rPr>
  </w:style>
  <w:style w:type="paragraph" w:customStyle="1" w:styleId="3892">
    <w:name w:val="表内文字小3121"/>
    <w:basedOn w:val="1"/>
    <w:qFormat/>
    <w:uiPriority w:val="0"/>
    <w:pPr>
      <w:adjustRightInd w:val="0"/>
      <w:snapToGrid w:val="0"/>
      <w:jc w:val="center"/>
    </w:pPr>
    <w:rPr>
      <w:rFonts w:ascii="宋体" w:hAnsi="Times" w:cs="宋体"/>
      <w:bCs/>
      <w:color w:val="003366"/>
      <w:szCs w:val="20"/>
    </w:rPr>
  </w:style>
  <w:style w:type="paragraph" w:customStyle="1" w:styleId="3893">
    <w:name w:val="表格样式"/>
    <w:basedOn w:val="1"/>
    <w:qFormat/>
    <w:uiPriority w:val="0"/>
    <w:pPr>
      <w:adjustRightInd w:val="0"/>
      <w:snapToGrid w:val="0"/>
      <w:jc w:val="center"/>
      <w:textAlignment w:val="baseline"/>
    </w:pPr>
    <w:rPr>
      <w:rFonts w:ascii="宋体"/>
      <w:snapToGrid w:val="0"/>
      <w:color w:val="000000"/>
      <w:kern w:val="0"/>
      <w:sz w:val="24"/>
      <w:szCs w:val="20"/>
    </w:rPr>
  </w:style>
  <w:style w:type="paragraph" w:customStyle="1" w:styleId="3894">
    <w:name w:val="引言"/>
    <w:basedOn w:val="1"/>
    <w:next w:val="1"/>
    <w:qFormat/>
    <w:uiPriority w:val="0"/>
    <w:pPr>
      <w:snapToGrid w:val="0"/>
      <w:jc w:val="center"/>
    </w:pPr>
    <w:rPr>
      <w:rFonts w:ascii="仿宋_GB2312" w:eastAsia="仿宋_GB2312"/>
      <w:color w:val="000000"/>
      <w:sz w:val="24"/>
    </w:rPr>
  </w:style>
  <w:style w:type="paragraph" w:customStyle="1" w:styleId="3895">
    <w:name w:val="OIC1 Address"/>
    <w:basedOn w:val="1"/>
    <w:qFormat/>
    <w:uiPriority w:val="0"/>
    <w:pPr>
      <w:tabs>
        <w:tab w:val="left" w:pos="1440"/>
      </w:tabs>
      <w:jc w:val="center"/>
    </w:pPr>
    <w:rPr>
      <w:rFonts w:ascii="Arial" w:hAnsi="Arial"/>
      <w:color w:val="000080"/>
      <w:kern w:val="0"/>
      <w:sz w:val="20"/>
      <w:szCs w:val="20"/>
    </w:rPr>
  </w:style>
  <w:style w:type="paragraph" w:customStyle="1" w:styleId="3896">
    <w:name w:val="表文字5213"/>
    <w:basedOn w:val="1"/>
    <w:qFormat/>
    <w:uiPriority w:val="0"/>
    <w:pPr>
      <w:adjustRightInd w:val="0"/>
      <w:jc w:val="left"/>
      <w:textAlignment w:val="baseline"/>
    </w:pPr>
    <w:rPr>
      <w:rFonts w:ascii="宋体"/>
      <w:kern w:val="0"/>
      <w:szCs w:val="20"/>
    </w:rPr>
  </w:style>
  <w:style w:type="paragraph" w:customStyle="1" w:styleId="3897">
    <w:name w:val="正文格式61"/>
    <w:basedOn w:val="1"/>
    <w:qFormat/>
    <w:uiPriority w:val="0"/>
    <w:pPr>
      <w:spacing w:line="360" w:lineRule="auto"/>
      <w:ind w:firstLine="482"/>
    </w:pPr>
    <w:rPr>
      <w:rFonts w:ascii="宋体" w:hAnsi="宋体"/>
      <w:sz w:val="24"/>
    </w:rPr>
  </w:style>
  <w:style w:type="paragraph" w:customStyle="1" w:styleId="3898">
    <w:name w:val="样式表头"/>
    <w:basedOn w:val="1"/>
    <w:qFormat/>
    <w:uiPriority w:val="0"/>
    <w:pPr>
      <w:snapToGrid w:val="0"/>
      <w:spacing w:line="312" w:lineRule="auto"/>
      <w:jc w:val="center"/>
    </w:pPr>
    <w:rPr>
      <w:rFonts w:ascii="黑体" w:hAnsi="宋体" w:eastAsia="黑体"/>
      <w:b/>
      <w:bCs/>
      <w:spacing w:val="6"/>
      <w:sz w:val="32"/>
      <w:szCs w:val="32"/>
    </w:rPr>
  </w:style>
  <w:style w:type="paragraph" w:customStyle="1" w:styleId="3899">
    <w:name w:val="表文字532"/>
    <w:basedOn w:val="1"/>
    <w:qFormat/>
    <w:uiPriority w:val="0"/>
    <w:pPr>
      <w:adjustRightInd w:val="0"/>
      <w:jc w:val="left"/>
      <w:textAlignment w:val="baseline"/>
    </w:pPr>
    <w:rPr>
      <w:rFonts w:ascii="宋体"/>
      <w:kern w:val="0"/>
      <w:szCs w:val="20"/>
    </w:rPr>
  </w:style>
  <w:style w:type="paragraph" w:customStyle="1" w:styleId="3900">
    <w:name w:val="样式 报告 + 行距: 固定值 25 磅"/>
    <w:basedOn w:val="237"/>
    <w:qFormat/>
    <w:uiPriority w:val="0"/>
    <w:pPr>
      <w:spacing w:line="500" w:lineRule="exact"/>
      <w:ind w:firstLine="560" w:firstLineChars="200"/>
    </w:pPr>
    <w:rPr>
      <w:rFonts w:ascii="Times New Roman" w:hAnsi="Times New Roman" w:cs="宋体"/>
      <w:kern w:val="2"/>
      <w:sz w:val="28"/>
      <w:szCs w:val="28"/>
    </w:rPr>
  </w:style>
  <w:style w:type="paragraph" w:customStyle="1" w:styleId="3901">
    <w:name w:val="正文格式53"/>
    <w:basedOn w:val="1"/>
    <w:qFormat/>
    <w:uiPriority w:val="0"/>
    <w:pPr>
      <w:spacing w:line="360" w:lineRule="auto"/>
      <w:ind w:firstLine="482"/>
    </w:pPr>
    <w:rPr>
      <w:rFonts w:ascii="宋体" w:hAnsi="宋体"/>
      <w:sz w:val="24"/>
    </w:rPr>
  </w:style>
  <w:style w:type="paragraph" w:customStyle="1" w:styleId="3902">
    <w:name w:val="正文格式222"/>
    <w:basedOn w:val="1"/>
    <w:qFormat/>
    <w:uiPriority w:val="0"/>
    <w:pPr>
      <w:spacing w:line="360" w:lineRule="auto"/>
      <w:ind w:firstLine="482"/>
    </w:pPr>
    <w:rPr>
      <w:rFonts w:ascii="宋体" w:hAnsi="宋体"/>
      <w:sz w:val="24"/>
    </w:rPr>
  </w:style>
  <w:style w:type="paragraph" w:customStyle="1" w:styleId="3903">
    <w:name w:val="表题17"/>
    <w:basedOn w:val="21"/>
    <w:qFormat/>
    <w:uiPriority w:val="0"/>
    <w:pPr>
      <w:tabs>
        <w:tab w:val="clear" w:pos="7380"/>
      </w:tabs>
      <w:overflowPunct/>
      <w:spacing w:before="0" w:afterLines="0" w:line="360" w:lineRule="auto"/>
      <w:jc w:val="center"/>
    </w:pPr>
    <w:rPr>
      <w:rFonts w:ascii="黑体"/>
      <w:b/>
      <w:sz w:val="24"/>
      <w:szCs w:val="24"/>
    </w:rPr>
  </w:style>
  <w:style w:type="paragraph" w:customStyle="1" w:styleId="3904">
    <w:name w:val="表内宋5中13"/>
    <w:basedOn w:val="1"/>
    <w:qFormat/>
    <w:uiPriority w:val="0"/>
    <w:pPr>
      <w:adjustRightInd w:val="0"/>
      <w:snapToGrid w:val="0"/>
      <w:jc w:val="center"/>
      <w:textAlignment w:val="baseline"/>
    </w:pPr>
    <w:rPr>
      <w:rFonts w:ascii="宋体" w:hAnsi="宋体" w:cs="宋体"/>
      <w:kern w:val="0"/>
      <w:szCs w:val="20"/>
    </w:rPr>
  </w:style>
  <w:style w:type="paragraph" w:customStyle="1" w:styleId="3905">
    <w:name w:val="样式 正文文字 + 首行缩进:  2 字符"/>
    <w:basedOn w:val="33"/>
    <w:qFormat/>
    <w:uiPriority w:val="0"/>
    <w:pPr>
      <w:spacing w:after="0" w:line="500" w:lineRule="exact"/>
      <w:ind w:firstLine="560" w:firstLineChars="200"/>
    </w:pPr>
    <w:rPr>
      <w:sz w:val="28"/>
      <w:szCs w:val="20"/>
    </w:rPr>
  </w:style>
  <w:style w:type="paragraph" w:customStyle="1" w:styleId="3906">
    <w:name w:val="样式 正文缩进 + 宋体 黑色1"/>
    <w:basedOn w:val="20"/>
    <w:qFormat/>
    <w:uiPriority w:val="0"/>
    <w:pPr>
      <w:spacing w:line="360" w:lineRule="auto"/>
      <w:ind w:firstLine="200"/>
      <w:jc w:val="left"/>
    </w:pPr>
    <w:rPr>
      <w:rFonts w:ascii="宋体" w:hAnsi="宋体"/>
      <w:color w:val="000000"/>
      <w:sz w:val="24"/>
    </w:rPr>
  </w:style>
  <w:style w:type="paragraph" w:customStyle="1" w:styleId="3907">
    <w:name w:val="表 头"/>
    <w:basedOn w:val="1"/>
    <w:qFormat/>
    <w:uiPriority w:val="0"/>
    <w:pPr>
      <w:adjustRightInd w:val="0"/>
      <w:spacing w:before="120" w:after="120" w:line="360" w:lineRule="atLeast"/>
      <w:jc w:val="center"/>
    </w:pPr>
    <w:rPr>
      <w:rFonts w:eastAsia="黑体"/>
      <w:spacing w:val="10"/>
      <w:kern w:val="0"/>
      <w:sz w:val="24"/>
      <w:szCs w:val="20"/>
    </w:rPr>
  </w:style>
  <w:style w:type="paragraph" w:customStyle="1" w:styleId="3908">
    <w:name w:val="表33"/>
    <w:basedOn w:val="1"/>
    <w:qFormat/>
    <w:uiPriority w:val="0"/>
    <w:pPr>
      <w:adjustRightInd w:val="0"/>
      <w:snapToGrid w:val="0"/>
      <w:jc w:val="center"/>
    </w:pPr>
    <w:rPr>
      <w:rFonts w:eastAsia="仿宋_GB2312"/>
      <w:sz w:val="24"/>
    </w:rPr>
  </w:style>
  <w:style w:type="paragraph" w:customStyle="1" w:styleId="3909">
    <w:name w:val="文本框22"/>
    <w:basedOn w:val="1"/>
    <w:qFormat/>
    <w:uiPriority w:val="0"/>
    <w:pPr>
      <w:adjustRightInd w:val="0"/>
      <w:snapToGrid w:val="0"/>
      <w:spacing w:after="6"/>
      <w:jc w:val="center"/>
    </w:pPr>
    <w:rPr>
      <w:rFonts w:eastAsia="仿宋_GB2312"/>
    </w:rPr>
  </w:style>
  <w:style w:type="paragraph" w:customStyle="1" w:styleId="3910">
    <w:name w:val="样式 正文缩进 + 宋体 黑色13"/>
    <w:basedOn w:val="20"/>
    <w:qFormat/>
    <w:uiPriority w:val="0"/>
    <w:pPr>
      <w:spacing w:line="360" w:lineRule="auto"/>
      <w:ind w:firstLine="200"/>
      <w:jc w:val="left"/>
    </w:pPr>
    <w:rPr>
      <w:rFonts w:ascii="宋体" w:hAnsi="宋体"/>
      <w:color w:val="000000"/>
      <w:sz w:val="24"/>
    </w:rPr>
  </w:style>
  <w:style w:type="paragraph" w:customStyle="1" w:styleId="3911">
    <w:name w:val="表内宋511113"/>
    <w:basedOn w:val="80"/>
    <w:qFormat/>
    <w:uiPriority w:val="0"/>
    <w:pPr>
      <w:widowControl/>
      <w:adjustRightInd w:val="0"/>
      <w:snapToGrid w:val="0"/>
    </w:pPr>
    <w:rPr>
      <w:rFonts w:ascii="宋体" w:hAnsi="宋体" w:cs="宋体"/>
      <w:color w:val="000000"/>
      <w:sz w:val="21"/>
    </w:rPr>
  </w:style>
  <w:style w:type="paragraph" w:customStyle="1" w:styleId="3912">
    <w:name w:val="默认段落字体 Para Char6"/>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3913">
    <w:name w:val="Char1111"/>
    <w:basedOn w:val="1"/>
    <w:qFormat/>
    <w:uiPriority w:val="0"/>
    <w:pPr>
      <w:adjustRightInd w:val="0"/>
      <w:snapToGrid w:val="0"/>
      <w:spacing w:beforeLines="50" w:line="360" w:lineRule="auto"/>
    </w:pPr>
    <w:rPr>
      <w:rFonts w:ascii="黑体" w:eastAsia="黑体"/>
      <w:sz w:val="32"/>
      <w:szCs w:val="32"/>
    </w:rPr>
  </w:style>
  <w:style w:type="paragraph" w:customStyle="1" w:styleId="3914">
    <w:name w:val="表文字5122"/>
    <w:basedOn w:val="1"/>
    <w:qFormat/>
    <w:uiPriority w:val="0"/>
    <w:pPr>
      <w:adjustRightInd w:val="0"/>
      <w:jc w:val="left"/>
      <w:textAlignment w:val="baseline"/>
    </w:pPr>
    <w:rPr>
      <w:rFonts w:ascii="宋体"/>
      <w:kern w:val="0"/>
      <w:szCs w:val="20"/>
    </w:rPr>
  </w:style>
  <w:style w:type="paragraph" w:customStyle="1" w:styleId="3915">
    <w:name w:val="表题1423"/>
    <w:basedOn w:val="21"/>
    <w:qFormat/>
    <w:uiPriority w:val="0"/>
    <w:pPr>
      <w:tabs>
        <w:tab w:val="clear" w:pos="7380"/>
      </w:tabs>
      <w:overflowPunct/>
      <w:spacing w:before="0" w:afterLines="0" w:line="360" w:lineRule="auto"/>
      <w:jc w:val="center"/>
    </w:pPr>
    <w:rPr>
      <w:rFonts w:ascii="黑体"/>
      <w:b/>
      <w:sz w:val="24"/>
      <w:szCs w:val="24"/>
    </w:rPr>
  </w:style>
  <w:style w:type="paragraph" w:customStyle="1" w:styleId="3916">
    <w:name w:val="样式 标题 4 + 段前: 7.8 磅"/>
    <w:basedOn w:val="5"/>
    <w:qFormat/>
    <w:uiPriority w:val="0"/>
    <w:pPr>
      <w:outlineLvl w:val="0"/>
    </w:pPr>
    <w:rPr>
      <w:rFonts w:ascii="Arial" w:cs="Arial"/>
      <w:b/>
      <w:bCs w:val="0"/>
      <w:sz w:val="24"/>
      <w:szCs w:val="21"/>
    </w:rPr>
  </w:style>
  <w:style w:type="paragraph" w:customStyle="1" w:styleId="3917">
    <w:name w:val="谏壁表头"/>
    <w:basedOn w:val="1925"/>
    <w:qFormat/>
    <w:uiPriority w:val="0"/>
    <w:pPr>
      <w:ind w:firstLine="482"/>
      <w:jc w:val="center"/>
    </w:pPr>
    <w:rPr>
      <w:rFonts w:ascii="Calibri" w:hAnsi="Calibri"/>
      <w:b/>
    </w:rPr>
  </w:style>
  <w:style w:type="paragraph" w:customStyle="1" w:styleId="3918">
    <w:name w:val="默认段落字体 Para Char22"/>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3919">
    <w:name w:val="Fax Header"/>
    <w:basedOn w:val="1"/>
    <w:qFormat/>
    <w:uiPriority w:val="0"/>
    <w:pPr>
      <w:widowControl/>
      <w:spacing w:before="240" w:after="60"/>
      <w:jc w:val="left"/>
    </w:pPr>
    <w:rPr>
      <w:kern w:val="0"/>
      <w:sz w:val="20"/>
      <w:szCs w:val="20"/>
    </w:rPr>
  </w:style>
  <w:style w:type="paragraph" w:customStyle="1" w:styleId="3920">
    <w:name w:val="表内文字小83"/>
    <w:basedOn w:val="1"/>
    <w:qFormat/>
    <w:uiPriority w:val="0"/>
    <w:pPr>
      <w:adjustRightInd w:val="0"/>
      <w:snapToGrid w:val="0"/>
      <w:jc w:val="center"/>
    </w:pPr>
    <w:rPr>
      <w:rFonts w:ascii="宋体" w:hAnsi="Times" w:cs="宋体"/>
      <w:szCs w:val="20"/>
    </w:rPr>
  </w:style>
  <w:style w:type="paragraph" w:customStyle="1" w:styleId="3921">
    <w:name w:val="样式 (西文) 仿宋_GB2312 (中文) 仿宋_GB2312 四号 首行缩进:  0.98 厘米 行距: 固定值 2..."/>
    <w:basedOn w:val="1"/>
    <w:qFormat/>
    <w:uiPriority w:val="0"/>
    <w:pPr>
      <w:spacing w:line="480" w:lineRule="exact"/>
      <w:ind w:firstLine="555"/>
    </w:pPr>
    <w:rPr>
      <w:rFonts w:ascii="仿宋_GB2312" w:eastAsia="仿宋_GB2312" w:cs="宋体"/>
      <w:sz w:val="44"/>
      <w:szCs w:val="20"/>
      <w:shd w:val="clear" w:color="auto" w:fill="000080"/>
    </w:rPr>
  </w:style>
  <w:style w:type="paragraph" w:customStyle="1" w:styleId="3922">
    <w:name w:val="表文字51112"/>
    <w:basedOn w:val="1"/>
    <w:qFormat/>
    <w:uiPriority w:val="0"/>
    <w:pPr>
      <w:adjustRightInd w:val="0"/>
      <w:jc w:val="left"/>
      <w:textAlignment w:val="baseline"/>
    </w:pPr>
    <w:rPr>
      <w:rFonts w:ascii="宋体"/>
      <w:kern w:val="0"/>
      <w:szCs w:val="20"/>
    </w:rPr>
  </w:style>
  <w:style w:type="paragraph" w:customStyle="1" w:styleId="3923">
    <w:name w:val="表文字513"/>
    <w:basedOn w:val="1"/>
    <w:qFormat/>
    <w:uiPriority w:val="0"/>
    <w:pPr>
      <w:adjustRightInd w:val="0"/>
      <w:jc w:val="left"/>
      <w:textAlignment w:val="baseline"/>
    </w:pPr>
    <w:rPr>
      <w:rFonts w:ascii="宋体"/>
      <w:kern w:val="0"/>
      <w:szCs w:val="20"/>
    </w:rPr>
  </w:style>
  <w:style w:type="paragraph" w:customStyle="1" w:styleId="3924">
    <w:name w:val="样式 样式 标题 4第三层条PIM 4h4标题 4 Char + 右侧:  1 字符 + 左侧:  1.87 厘米"/>
    <w:basedOn w:val="1"/>
    <w:qFormat/>
    <w:uiPriority w:val="0"/>
    <w:pPr>
      <w:tabs>
        <w:tab w:val="left" w:pos="851"/>
      </w:tabs>
      <w:ind w:left="851" w:hanging="851"/>
    </w:pPr>
  </w:style>
  <w:style w:type="paragraph" w:customStyle="1" w:styleId="3925">
    <w:name w:val="xl749"/>
    <w:basedOn w:val="1"/>
    <w:qFormat/>
    <w:uiPriority w:val="0"/>
    <w:pPr>
      <w:widowControl/>
      <w:spacing w:before="100" w:beforeAutospacing="1" w:after="100" w:afterAutospacing="1"/>
      <w:jc w:val="center"/>
    </w:pPr>
    <w:rPr>
      <w:rFonts w:ascii="Courier New" w:hAnsi="Courier New" w:eastAsia="Arial Unicode MS"/>
      <w:b/>
      <w:bCs/>
      <w:kern w:val="0"/>
      <w:sz w:val="44"/>
      <w:szCs w:val="44"/>
    </w:rPr>
  </w:style>
  <w:style w:type="paragraph" w:customStyle="1" w:styleId="3926">
    <w:name w:val="表内文字小3131"/>
    <w:basedOn w:val="1"/>
    <w:qFormat/>
    <w:uiPriority w:val="0"/>
    <w:pPr>
      <w:adjustRightInd w:val="0"/>
      <w:snapToGrid w:val="0"/>
      <w:jc w:val="center"/>
    </w:pPr>
    <w:rPr>
      <w:rFonts w:ascii="宋体" w:hAnsi="Times" w:cs="宋体"/>
      <w:bCs/>
      <w:color w:val="003366"/>
      <w:szCs w:val="20"/>
    </w:rPr>
  </w:style>
  <w:style w:type="paragraph" w:customStyle="1" w:styleId="3927">
    <w:name w:val="正文格式811"/>
    <w:basedOn w:val="1"/>
    <w:qFormat/>
    <w:uiPriority w:val="0"/>
    <w:pPr>
      <w:spacing w:line="360" w:lineRule="auto"/>
      <w:ind w:firstLine="482"/>
    </w:pPr>
    <w:rPr>
      <w:rFonts w:ascii="宋体" w:hAnsi="宋体"/>
      <w:sz w:val="24"/>
    </w:rPr>
  </w:style>
  <w:style w:type="paragraph" w:customStyle="1" w:styleId="3928">
    <w:name w:val="xl632"/>
    <w:basedOn w:val="1"/>
    <w:qFormat/>
    <w:uiPriority w:val="0"/>
    <w:pPr>
      <w:widowControl/>
      <w:spacing w:before="100" w:beforeAutospacing="1" w:after="100" w:afterAutospacing="1"/>
      <w:jc w:val="center"/>
      <w:textAlignment w:val="center"/>
    </w:pPr>
    <w:rPr>
      <w:rFonts w:hint="eastAsia" w:ascii="黑体" w:hAnsi="宋体" w:eastAsia="黑体"/>
      <w:kern w:val="0"/>
      <w:sz w:val="24"/>
    </w:rPr>
  </w:style>
  <w:style w:type="paragraph" w:customStyle="1" w:styleId="3929">
    <w:name w:val="正文格式7"/>
    <w:basedOn w:val="1"/>
    <w:qFormat/>
    <w:uiPriority w:val="0"/>
    <w:pPr>
      <w:spacing w:line="360" w:lineRule="auto"/>
      <w:ind w:firstLine="482"/>
    </w:pPr>
    <w:rPr>
      <w:rFonts w:ascii="宋体" w:hAnsi="宋体"/>
      <w:sz w:val="24"/>
    </w:rPr>
  </w:style>
  <w:style w:type="paragraph" w:customStyle="1" w:styleId="3930">
    <w:name w:val="默认段落字体 Para Char312"/>
    <w:basedOn w:val="1"/>
    <w:qFormat/>
    <w:uiPriority w:val="0"/>
    <w:pPr>
      <w:spacing w:line="360" w:lineRule="auto"/>
      <w:ind w:firstLine="200" w:firstLineChars="200"/>
    </w:pPr>
    <w:rPr>
      <w:rFonts w:ascii="宋体" w:hAnsi="宋体" w:cs="宋体"/>
      <w:sz w:val="24"/>
    </w:rPr>
  </w:style>
  <w:style w:type="paragraph" w:customStyle="1" w:styleId="3931">
    <w:name w:val="表题121"/>
    <w:basedOn w:val="21"/>
    <w:qFormat/>
    <w:uiPriority w:val="0"/>
    <w:pPr>
      <w:tabs>
        <w:tab w:val="clear" w:pos="7380"/>
      </w:tabs>
      <w:overflowPunct/>
      <w:spacing w:before="0" w:afterLines="0" w:line="360" w:lineRule="auto"/>
      <w:jc w:val="center"/>
    </w:pPr>
    <w:rPr>
      <w:rFonts w:ascii="黑体"/>
      <w:sz w:val="24"/>
      <w:szCs w:val="24"/>
    </w:rPr>
  </w:style>
  <w:style w:type="paragraph" w:customStyle="1" w:styleId="3932">
    <w:name w:val="默认段落字体 Para Char11"/>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3933">
    <w:name w:val="表内宋5中1112"/>
    <w:basedOn w:val="1"/>
    <w:qFormat/>
    <w:uiPriority w:val="0"/>
    <w:pPr>
      <w:adjustRightInd w:val="0"/>
      <w:snapToGrid w:val="0"/>
      <w:jc w:val="center"/>
      <w:textAlignment w:val="baseline"/>
    </w:pPr>
    <w:rPr>
      <w:rFonts w:ascii="宋体" w:hAnsi="宋体" w:cs="宋体"/>
      <w:kern w:val="0"/>
      <w:szCs w:val="20"/>
    </w:rPr>
  </w:style>
  <w:style w:type="paragraph" w:customStyle="1" w:styleId="3934">
    <w:name w:val="表内文字小2112"/>
    <w:basedOn w:val="1"/>
    <w:qFormat/>
    <w:uiPriority w:val="0"/>
    <w:pPr>
      <w:adjustRightInd w:val="0"/>
      <w:snapToGrid w:val="0"/>
      <w:jc w:val="center"/>
    </w:pPr>
    <w:rPr>
      <w:rFonts w:ascii="宋体" w:hAnsi="Times"/>
      <w:bCs/>
      <w:color w:val="000000"/>
      <w:szCs w:val="20"/>
    </w:rPr>
  </w:style>
  <w:style w:type="paragraph" w:customStyle="1" w:styleId="3935">
    <w:name w:val="湛宝标题"/>
    <w:basedOn w:val="21"/>
    <w:qFormat/>
    <w:uiPriority w:val="0"/>
    <w:pPr>
      <w:tabs>
        <w:tab w:val="clear" w:pos="7380"/>
      </w:tabs>
      <w:overflowPunct/>
      <w:spacing w:before="0" w:afterLines="0" w:line="360" w:lineRule="auto"/>
      <w:jc w:val="center"/>
    </w:pPr>
    <w:rPr>
      <w:rFonts w:eastAsia="宋体"/>
      <w:sz w:val="24"/>
    </w:rPr>
  </w:style>
  <w:style w:type="paragraph" w:customStyle="1" w:styleId="3936">
    <w:name w:val="正文格式2112"/>
    <w:basedOn w:val="1"/>
    <w:qFormat/>
    <w:uiPriority w:val="0"/>
    <w:pPr>
      <w:spacing w:line="360" w:lineRule="auto"/>
      <w:ind w:firstLine="482"/>
    </w:pPr>
    <w:rPr>
      <w:rFonts w:ascii="宋体" w:hAnsi="宋体"/>
      <w:sz w:val="24"/>
    </w:rPr>
  </w:style>
  <w:style w:type="paragraph" w:customStyle="1" w:styleId="3937">
    <w:name w:val="佛山正文"/>
    <w:basedOn w:val="1"/>
    <w:qFormat/>
    <w:uiPriority w:val="0"/>
    <w:pPr>
      <w:spacing w:line="400" w:lineRule="exact"/>
      <w:ind w:firstLine="200" w:firstLineChars="200"/>
    </w:pPr>
    <w:rPr>
      <w:sz w:val="24"/>
    </w:rPr>
  </w:style>
  <w:style w:type="paragraph" w:customStyle="1" w:styleId="3938">
    <w:name w:val="表题1512"/>
    <w:basedOn w:val="21"/>
    <w:qFormat/>
    <w:uiPriority w:val="0"/>
    <w:pPr>
      <w:tabs>
        <w:tab w:val="clear" w:pos="7380"/>
      </w:tabs>
      <w:overflowPunct/>
      <w:spacing w:before="0" w:afterLines="0" w:line="360" w:lineRule="auto"/>
      <w:jc w:val="center"/>
    </w:pPr>
    <w:rPr>
      <w:rFonts w:ascii="黑体"/>
      <w:b/>
      <w:sz w:val="24"/>
      <w:szCs w:val="24"/>
    </w:rPr>
  </w:style>
  <w:style w:type="paragraph" w:customStyle="1" w:styleId="3939">
    <w:name w:val="默认段落字体 Para Char1"/>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3940">
    <w:name w:val="文本框113"/>
    <w:basedOn w:val="1"/>
    <w:qFormat/>
    <w:uiPriority w:val="0"/>
    <w:pPr>
      <w:adjustRightInd w:val="0"/>
      <w:snapToGrid w:val="0"/>
      <w:spacing w:after="6"/>
      <w:jc w:val="center"/>
    </w:pPr>
    <w:rPr>
      <w:rFonts w:eastAsia="仿宋_GB2312"/>
    </w:rPr>
  </w:style>
  <w:style w:type="paragraph" w:customStyle="1" w:styleId="3941">
    <w:name w:val="注释13"/>
    <w:basedOn w:val="184"/>
    <w:next w:val="33"/>
    <w:qFormat/>
    <w:uiPriority w:val="0"/>
    <w:pPr>
      <w:spacing w:before="120" w:after="120" w:line="240" w:lineRule="auto"/>
      <w:ind w:firstLine="200" w:firstLineChars="200"/>
    </w:pPr>
    <w:rPr>
      <w:sz w:val="21"/>
      <w:szCs w:val="20"/>
    </w:rPr>
  </w:style>
  <w:style w:type="paragraph" w:customStyle="1" w:styleId="3942">
    <w:name w:val="表内文字小3113"/>
    <w:basedOn w:val="1"/>
    <w:qFormat/>
    <w:uiPriority w:val="0"/>
    <w:pPr>
      <w:adjustRightInd w:val="0"/>
      <w:snapToGrid w:val="0"/>
      <w:jc w:val="center"/>
    </w:pPr>
    <w:rPr>
      <w:rFonts w:ascii="宋体" w:hAnsi="Times" w:cs="宋体"/>
      <w:bCs/>
      <w:color w:val="003366"/>
      <w:szCs w:val="20"/>
    </w:rPr>
  </w:style>
  <w:style w:type="paragraph" w:customStyle="1" w:styleId="3943">
    <w:name w:val="表6"/>
    <w:basedOn w:val="1"/>
    <w:qFormat/>
    <w:uiPriority w:val="0"/>
    <w:pPr>
      <w:adjustRightInd w:val="0"/>
      <w:snapToGrid w:val="0"/>
      <w:jc w:val="center"/>
    </w:pPr>
    <w:rPr>
      <w:rFonts w:eastAsia="仿宋_GB2312"/>
      <w:sz w:val="24"/>
    </w:rPr>
  </w:style>
  <w:style w:type="paragraph" w:customStyle="1" w:styleId="3944">
    <w:name w:val="Char1211"/>
    <w:basedOn w:val="1"/>
    <w:qFormat/>
    <w:uiPriority w:val="0"/>
    <w:pPr>
      <w:adjustRightInd w:val="0"/>
      <w:snapToGrid w:val="0"/>
      <w:spacing w:line="360" w:lineRule="auto"/>
    </w:pPr>
  </w:style>
  <w:style w:type="paragraph" w:customStyle="1" w:styleId="3945">
    <w:name w:val="表内宋5中2"/>
    <w:basedOn w:val="1"/>
    <w:qFormat/>
    <w:uiPriority w:val="0"/>
    <w:pPr>
      <w:adjustRightInd w:val="0"/>
      <w:snapToGrid w:val="0"/>
      <w:jc w:val="center"/>
      <w:textAlignment w:val="baseline"/>
    </w:pPr>
    <w:rPr>
      <w:rFonts w:ascii="宋体" w:hAnsi="宋体"/>
      <w:kern w:val="0"/>
      <w:szCs w:val="20"/>
    </w:rPr>
  </w:style>
  <w:style w:type="paragraph" w:customStyle="1" w:styleId="3946">
    <w:name w:val="表内5中111"/>
    <w:basedOn w:val="1"/>
    <w:qFormat/>
    <w:uiPriority w:val="0"/>
    <w:pPr>
      <w:adjustRightInd w:val="0"/>
      <w:snapToGrid w:val="0"/>
      <w:jc w:val="center"/>
    </w:pPr>
    <w:rPr>
      <w:rFonts w:ascii="宋体" w:hAnsi="宋体" w:cs="Arial"/>
      <w:snapToGrid w:val="0"/>
      <w:color w:val="000000"/>
      <w:szCs w:val="21"/>
    </w:rPr>
  </w:style>
  <w:style w:type="paragraph" w:customStyle="1" w:styleId="3947">
    <w:name w:val="表内文字小32"/>
    <w:basedOn w:val="1"/>
    <w:qFormat/>
    <w:uiPriority w:val="0"/>
    <w:pPr>
      <w:adjustRightInd w:val="0"/>
      <w:snapToGrid w:val="0"/>
      <w:jc w:val="center"/>
    </w:pPr>
    <w:rPr>
      <w:rFonts w:ascii="宋体" w:hAnsi="Times"/>
      <w:szCs w:val="20"/>
    </w:rPr>
  </w:style>
  <w:style w:type="paragraph" w:customStyle="1" w:styleId="3948">
    <w:name w:val="inhalt1"/>
    <w:basedOn w:val="1"/>
    <w:qFormat/>
    <w:uiPriority w:val="0"/>
    <w:pPr>
      <w:widowControl/>
      <w:spacing w:before="100" w:beforeAutospacing="1" w:after="100" w:afterAutospacing="1"/>
      <w:jc w:val="left"/>
    </w:pPr>
    <w:rPr>
      <w:rFonts w:ascii="宋体" w:hAnsi="宋体"/>
      <w:color w:val="000000"/>
      <w:kern w:val="0"/>
      <w:sz w:val="24"/>
    </w:rPr>
  </w:style>
  <w:style w:type="paragraph" w:customStyle="1" w:styleId="3949">
    <w:name w:val="正文图"/>
    <w:basedOn w:val="1"/>
    <w:qFormat/>
    <w:uiPriority w:val="0"/>
    <w:pPr>
      <w:adjustRightInd w:val="0"/>
      <w:snapToGrid w:val="0"/>
      <w:jc w:val="center"/>
      <w:textAlignment w:val="baseline"/>
    </w:pPr>
    <w:rPr>
      <w:rFonts w:ascii="宋体"/>
      <w:kern w:val="0"/>
      <w:sz w:val="24"/>
      <w:szCs w:val="20"/>
    </w:rPr>
  </w:style>
  <w:style w:type="paragraph" w:customStyle="1" w:styleId="3950">
    <w:name w:val="样式 样式 样式 标题 4 + 段前: 0.5 行 段后: 0.5 行 + 段前: 0.5 行 段后: 0.5 行4 + 段前:..."/>
    <w:basedOn w:val="2303"/>
    <w:qFormat/>
    <w:uiPriority w:val="0"/>
    <w:pPr>
      <w:tabs>
        <w:tab w:val="left" w:pos="1680"/>
      </w:tabs>
      <w:adjustRightInd w:val="0"/>
      <w:spacing w:beforeLines="0" w:afterLines="0"/>
      <w:ind w:left="1680"/>
    </w:pPr>
  </w:style>
  <w:style w:type="paragraph" w:customStyle="1" w:styleId="3951">
    <w:name w:val="正文23"/>
    <w:qFormat/>
    <w:uiPriority w:val="0"/>
    <w:pPr>
      <w:adjustRightInd w:val="0"/>
      <w:snapToGrid w:val="0"/>
      <w:spacing w:line="480" w:lineRule="atLeast"/>
      <w:jc w:val="center"/>
    </w:pPr>
    <w:rPr>
      <w:rFonts w:ascii="宋体" w:hAnsi="Times New Roman" w:eastAsia="宋体" w:cs="Times New Roman"/>
      <w:snapToGrid w:val="0"/>
      <w:spacing w:val="6"/>
      <w:sz w:val="21"/>
      <w:lang w:val="en-US" w:eastAsia="zh-CN" w:bidi="ar-SA"/>
    </w:rPr>
  </w:style>
  <w:style w:type="paragraph" w:customStyle="1" w:styleId="3952">
    <w:name w:val="項目:(一)[a]1.[a](1)[a]圈[a]A"/>
    <w:basedOn w:val="1"/>
    <w:qFormat/>
    <w:uiPriority w:val="0"/>
    <w:pPr>
      <w:spacing w:line="320" w:lineRule="atLeast"/>
      <w:ind w:left="1548" w:hanging="289"/>
    </w:pPr>
    <w:rPr>
      <w:rFonts w:eastAsia="MingLiU"/>
      <w:sz w:val="22"/>
      <w:szCs w:val="20"/>
      <w:lang w:eastAsia="zh-TW"/>
    </w:rPr>
  </w:style>
  <w:style w:type="paragraph" w:customStyle="1" w:styleId="3953">
    <w:name w:val="小标题@"/>
    <w:basedOn w:val="1"/>
    <w:qFormat/>
    <w:uiPriority w:val="0"/>
    <w:pPr>
      <w:adjustRightInd w:val="0"/>
      <w:spacing w:before="60" w:after="60"/>
      <w:textAlignment w:val="baseline"/>
    </w:pPr>
    <w:rPr>
      <w:sz w:val="24"/>
      <w:szCs w:val="20"/>
    </w:rPr>
  </w:style>
  <w:style w:type="paragraph" w:customStyle="1" w:styleId="3954">
    <w:name w:val="标题三"/>
    <w:basedOn w:val="4"/>
    <w:qFormat/>
    <w:uiPriority w:val="0"/>
    <w:pPr>
      <w:tabs>
        <w:tab w:val="left" w:pos="233"/>
        <w:tab w:val="left" w:pos="900"/>
      </w:tabs>
      <w:spacing w:before="120" w:after="60" w:line="480" w:lineRule="exact"/>
      <w:ind w:left="233"/>
    </w:pPr>
    <w:rPr>
      <w:rFonts w:hAnsi="宋体" w:eastAsia="华文中宋"/>
      <w:color w:val="000000"/>
      <w:sz w:val="28"/>
      <w:szCs w:val="30"/>
    </w:rPr>
  </w:style>
  <w:style w:type="paragraph" w:customStyle="1" w:styleId="3955">
    <w:name w:val="表头1"/>
    <w:basedOn w:val="44"/>
    <w:qFormat/>
    <w:uiPriority w:val="0"/>
    <w:pPr>
      <w:adjustRightInd w:val="0"/>
      <w:spacing w:before="120"/>
      <w:jc w:val="center"/>
      <w:textAlignment w:val="baseline"/>
    </w:pPr>
    <w:rPr>
      <w:rFonts w:ascii="Times New Roman" w:hAnsi="Times New Roman" w:cs="Times New Roman"/>
      <w:color w:val="000000"/>
      <w:kern w:val="0"/>
      <w:sz w:val="24"/>
      <w:szCs w:val="20"/>
    </w:rPr>
  </w:style>
  <w:style w:type="paragraph" w:customStyle="1" w:styleId="3956">
    <w:name w:val="表内文字小21112"/>
    <w:basedOn w:val="1"/>
    <w:qFormat/>
    <w:uiPriority w:val="0"/>
    <w:pPr>
      <w:adjustRightInd w:val="0"/>
      <w:snapToGrid w:val="0"/>
      <w:jc w:val="center"/>
    </w:pPr>
    <w:rPr>
      <w:rFonts w:ascii="宋体" w:hAnsi="Times"/>
      <w:bCs/>
      <w:color w:val="000000"/>
      <w:szCs w:val="20"/>
    </w:rPr>
  </w:style>
  <w:style w:type="paragraph" w:customStyle="1" w:styleId="3957">
    <w:name w:val="默认段落字体 Para Char2"/>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3958">
    <w:name w:val="表内文字小216"/>
    <w:basedOn w:val="1"/>
    <w:qFormat/>
    <w:uiPriority w:val="0"/>
    <w:pPr>
      <w:adjustRightInd w:val="0"/>
      <w:snapToGrid w:val="0"/>
      <w:jc w:val="center"/>
    </w:pPr>
    <w:rPr>
      <w:rFonts w:ascii="宋体" w:hAnsi="Times"/>
      <w:bCs/>
      <w:color w:val="000000"/>
      <w:szCs w:val="20"/>
    </w:rPr>
  </w:style>
  <w:style w:type="paragraph" w:customStyle="1" w:styleId="3959">
    <w:name w:val="表题161"/>
    <w:basedOn w:val="21"/>
    <w:qFormat/>
    <w:uiPriority w:val="0"/>
    <w:pPr>
      <w:tabs>
        <w:tab w:val="clear" w:pos="7380"/>
      </w:tabs>
      <w:overflowPunct/>
      <w:spacing w:before="0" w:afterLines="0" w:line="360" w:lineRule="auto"/>
      <w:jc w:val="center"/>
    </w:pPr>
    <w:rPr>
      <w:rFonts w:ascii="黑体"/>
      <w:b/>
      <w:sz w:val="24"/>
      <w:szCs w:val="24"/>
    </w:rPr>
  </w:style>
  <w:style w:type="paragraph" w:customStyle="1" w:styleId="3960">
    <w:name w:val="表格11"/>
    <w:basedOn w:val="1"/>
    <w:qFormat/>
    <w:uiPriority w:val="0"/>
    <w:pPr>
      <w:adjustRightInd w:val="0"/>
      <w:jc w:val="center"/>
      <w:textAlignment w:val="baseline"/>
    </w:pPr>
    <w:rPr>
      <w:rFonts w:ascii="宋体"/>
      <w:kern w:val="0"/>
      <w:sz w:val="24"/>
      <w:szCs w:val="20"/>
    </w:rPr>
  </w:style>
  <w:style w:type="paragraph" w:customStyle="1" w:styleId="3961">
    <w:name w:val="表内513"/>
    <w:basedOn w:val="1"/>
    <w:qFormat/>
    <w:uiPriority w:val="0"/>
    <w:pPr>
      <w:adjustRightInd w:val="0"/>
      <w:snapToGrid w:val="0"/>
      <w:jc w:val="center"/>
    </w:pPr>
    <w:rPr>
      <w:rFonts w:ascii="宋体" w:hAnsi="宋体"/>
      <w:szCs w:val="21"/>
    </w:rPr>
  </w:style>
  <w:style w:type="paragraph" w:customStyle="1" w:styleId="3962">
    <w:name w:val="标题411"/>
    <w:basedOn w:val="1"/>
    <w:qFormat/>
    <w:uiPriority w:val="0"/>
    <w:pPr>
      <w:adjustRightInd w:val="0"/>
      <w:snapToGrid w:val="0"/>
      <w:spacing w:line="300" w:lineRule="auto"/>
      <w:jc w:val="left"/>
    </w:pPr>
    <w:rPr>
      <w:rFonts w:ascii="黑体" w:hAnsi="宋体" w:eastAsia="黑体" w:cs="宋体"/>
      <w:bCs/>
      <w:sz w:val="24"/>
      <w:szCs w:val="20"/>
    </w:rPr>
  </w:style>
  <w:style w:type="paragraph" w:customStyle="1" w:styleId="3963">
    <w:name w:val="正文格式＝5"/>
    <w:basedOn w:val="184"/>
    <w:next w:val="184"/>
    <w:qFormat/>
    <w:uiPriority w:val="0"/>
    <w:rPr>
      <w:rFonts w:hAnsi="宋体"/>
    </w:rPr>
  </w:style>
  <w:style w:type="paragraph" w:customStyle="1" w:styleId="3964">
    <w:name w:val="默认段落字体 Para Char Char Char Char9"/>
    <w:basedOn w:val="1"/>
    <w:qFormat/>
    <w:uiPriority w:val="0"/>
  </w:style>
  <w:style w:type="paragraph" w:customStyle="1" w:styleId="3965">
    <w:name w:val="图名称 Char Char Char Char Char Char Char Char Char Char"/>
    <w:basedOn w:val="1"/>
    <w:qFormat/>
    <w:uiPriority w:val="0"/>
    <w:pPr>
      <w:tabs>
        <w:tab w:val="left" w:pos="-120"/>
      </w:tabs>
      <w:spacing w:before="60" w:line="310" w:lineRule="atLeast"/>
      <w:jc w:val="center"/>
    </w:pPr>
    <w:rPr>
      <w:rFonts w:ascii="宋体"/>
      <w:bCs/>
      <w:w w:val="90"/>
      <w:kern w:val="0"/>
      <w:sz w:val="28"/>
      <w:szCs w:val="28"/>
    </w:rPr>
  </w:style>
  <w:style w:type="paragraph" w:customStyle="1" w:styleId="3966">
    <w:name w:val="內文-1"/>
    <w:basedOn w:val="1"/>
    <w:qFormat/>
    <w:uiPriority w:val="0"/>
    <w:pPr>
      <w:topLinePunct/>
      <w:adjustRightInd w:val="0"/>
      <w:spacing w:line="384" w:lineRule="exact"/>
      <w:ind w:firstLine="482"/>
      <w:textAlignment w:val="baseline"/>
    </w:pPr>
    <w:rPr>
      <w:rFonts w:eastAsia="華康中明體"/>
      <w:kern w:val="20"/>
      <w:sz w:val="24"/>
      <w:szCs w:val="20"/>
      <w:lang w:eastAsia="zh-TW"/>
    </w:rPr>
  </w:style>
  <w:style w:type="paragraph" w:customStyle="1" w:styleId="3967">
    <w:name w:val="环评正文13"/>
    <w:qFormat/>
    <w:uiPriority w:val="0"/>
    <w:pPr>
      <w:spacing w:line="440" w:lineRule="exact"/>
      <w:ind w:firstLine="200" w:firstLineChars="200"/>
    </w:pPr>
    <w:rPr>
      <w:rFonts w:ascii="Times New Roman" w:hAnsi="Times New Roman" w:eastAsia="宋体" w:cs="Times New Roman"/>
      <w:bCs/>
      <w:kern w:val="2"/>
      <w:sz w:val="24"/>
      <w:szCs w:val="24"/>
      <w:lang w:val="en-US" w:eastAsia="zh-CN" w:bidi="ar-SA"/>
    </w:rPr>
  </w:style>
  <w:style w:type="paragraph" w:customStyle="1" w:styleId="3968">
    <w:name w:val="表内宋5111"/>
    <w:basedOn w:val="80"/>
    <w:qFormat/>
    <w:uiPriority w:val="0"/>
    <w:pPr>
      <w:widowControl/>
      <w:adjustRightInd w:val="0"/>
      <w:snapToGrid w:val="0"/>
    </w:pPr>
    <w:rPr>
      <w:rFonts w:ascii="宋体" w:hAnsi="宋体" w:cs="宋体"/>
      <w:color w:val="000000"/>
      <w:sz w:val="21"/>
    </w:rPr>
  </w:style>
  <w:style w:type="paragraph" w:customStyle="1" w:styleId="3969">
    <w:name w:val="标题正1"/>
    <w:basedOn w:val="1"/>
    <w:qFormat/>
    <w:uiPriority w:val="0"/>
    <w:pPr>
      <w:spacing w:line="400" w:lineRule="exact"/>
      <w:jc w:val="center"/>
    </w:pPr>
    <w:rPr>
      <w:rFonts w:ascii="黑体" w:eastAsia="黑体"/>
      <w:sz w:val="32"/>
      <w:szCs w:val="28"/>
    </w:rPr>
  </w:style>
  <w:style w:type="paragraph" w:customStyle="1" w:styleId="3970">
    <w:name w:val="Char Char Char Char1 Char Char Char6"/>
    <w:basedOn w:val="1"/>
    <w:qFormat/>
    <w:uiPriority w:val="0"/>
    <w:pPr>
      <w:widowControl/>
      <w:spacing w:after="160" w:line="240" w:lineRule="exact"/>
      <w:jc w:val="left"/>
    </w:pPr>
    <w:rPr>
      <w:rFonts w:ascii="Verdana" w:hAnsi="Verdana"/>
      <w:kern w:val="0"/>
      <w:sz w:val="20"/>
      <w:szCs w:val="20"/>
      <w:lang w:eastAsia="en-US"/>
    </w:rPr>
  </w:style>
  <w:style w:type="paragraph" w:customStyle="1" w:styleId="3971">
    <w:name w:val="xl241"/>
    <w:basedOn w:val="1"/>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paragraph" w:customStyle="1" w:styleId="3972">
    <w:name w:val="È±Ê¡ÎÄ±¾"/>
    <w:basedOn w:val="1"/>
    <w:qFormat/>
    <w:uiPriority w:val="0"/>
    <w:pPr>
      <w:widowControl/>
      <w:overflowPunct w:val="0"/>
      <w:autoSpaceDE w:val="0"/>
      <w:autoSpaceDN w:val="0"/>
      <w:adjustRightInd w:val="0"/>
      <w:jc w:val="left"/>
      <w:textAlignment w:val="baseline"/>
    </w:pPr>
    <w:rPr>
      <w:kern w:val="0"/>
      <w:sz w:val="24"/>
      <w:szCs w:val="20"/>
    </w:rPr>
  </w:style>
  <w:style w:type="paragraph" w:customStyle="1" w:styleId="3973">
    <w:name w:val="表格内容11"/>
    <w:qFormat/>
    <w:uiPriority w:val="0"/>
    <w:pPr>
      <w:jc w:val="center"/>
    </w:pPr>
    <w:rPr>
      <w:rFonts w:ascii="Times New Roman" w:hAnsi="Times New Roman" w:eastAsia="宋体" w:cs="Times New Roman"/>
      <w:kern w:val="2"/>
      <w:sz w:val="21"/>
      <w:szCs w:val="21"/>
      <w:lang w:val="en-US" w:eastAsia="zh-CN" w:bidi="ar-SA"/>
    </w:rPr>
  </w:style>
  <w:style w:type="paragraph" w:customStyle="1" w:styleId="3974">
    <w:name w:val="表内54113"/>
    <w:basedOn w:val="1"/>
    <w:qFormat/>
    <w:uiPriority w:val="0"/>
    <w:pPr>
      <w:adjustRightInd w:val="0"/>
      <w:snapToGrid w:val="0"/>
      <w:spacing w:line="300" w:lineRule="auto"/>
      <w:jc w:val="center"/>
    </w:pPr>
    <w:rPr>
      <w:rFonts w:ascii="宋体" w:hAnsi="宋体" w:cs="宋体"/>
      <w:szCs w:val="20"/>
    </w:rPr>
  </w:style>
  <w:style w:type="paragraph" w:customStyle="1" w:styleId="3975">
    <w:name w:val="封面单位"/>
    <w:basedOn w:val="1"/>
    <w:qFormat/>
    <w:uiPriority w:val="0"/>
    <w:pPr>
      <w:tabs>
        <w:tab w:val="center" w:pos="8222"/>
      </w:tabs>
      <w:spacing w:line="360" w:lineRule="auto"/>
      <w:jc w:val="center"/>
    </w:pPr>
    <w:rPr>
      <w:rFonts w:ascii="楷体_GB2312" w:eastAsia="楷体_GB2312" w:cs="楷体_GB2312"/>
      <w:b/>
      <w:bCs/>
      <w:sz w:val="36"/>
      <w:szCs w:val="36"/>
    </w:rPr>
  </w:style>
  <w:style w:type="paragraph" w:customStyle="1" w:styleId="3976">
    <w:name w:val="图题注11"/>
    <w:basedOn w:val="21"/>
    <w:qFormat/>
    <w:uiPriority w:val="0"/>
    <w:pPr>
      <w:tabs>
        <w:tab w:val="clear" w:pos="7380"/>
      </w:tabs>
      <w:overflowPunct/>
      <w:spacing w:before="0" w:afterLines="0"/>
      <w:jc w:val="center"/>
    </w:pPr>
    <w:rPr>
      <w:rFonts w:ascii="黑体" w:cs="宋体"/>
      <w:b/>
      <w:bCs/>
      <w:sz w:val="24"/>
      <w:szCs w:val="24"/>
    </w:rPr>
  </w:style>
  <w:style w:type="paragraph" w:customStyle="1" w:styleId="3977">
    <w:name w:val="表格内字体412"/>
    <w:basedOn w:val="184"/>
    <w:next w:val="184"/>
    <w:qFormat/>
    <w:uiPriority w:val="0"/>
    <w:pPr>
      <w:spacing w:line="240" w:lineRule="auto"/>
      <w:ind w:firstLine="0"/>
      <w:jc w:val="center"/>
    </w:pPr>
    <w:rPr>
      <w:rFonts w:hAnsi="宋体"/>
      <w:sz w:val="21"/>
    </w:rPr>
  </w:style>
  <w:style w:type="paragraph" w:customStyle="1" w:styleId="3978">
    <w:name w:val="正文格式＝34"/>
    <w:basedOn w:val="184"/>
    <w:next w:val="184"/>
    <w:qFormat/>
    <w:uiPriority w:val="0"/>
    <w:rPr>
      <w:rFonts w:hAnsi="宋体"/>
    </w:rPr>
  </w:style>
  <w:style w:type="paragraph" w:customStyle="1" w:styleId="3979">
    <w:name w:val="图题2"/>
    <w:basedOn w:val="184"/>
    <w:next w:val="184"/>
    <w:qFormat/>
    <w:uiPriority w:val="0"/>
    <w:pPr>
      <w:ind w:firstLine="0"/>
      <w:jc w:val="center"/>
    </w:pPr>
    <w:rPr>
      <w:rFonts w:ascii="黑体" w:hAnsi="宋体" w:eastAsia="黑体"/>
      <w:b/>
      <w:bCs/>
    </w:rPr>
  </w:style>
  <w:style w:type="paragraph" w:customStyle="1" w:styleId="3980">
    <w:name w:val="表题41"/>
    <w:basedOn w:val="34"/>
    <w:qFormat/>
    <w:uiPriority w:val="0"/>
    <w:pPr>
      <w:tabs>
        <w:tab w:val="left" w:pos="4305"/>
      </w:tabs>
      <w:adjustRightInd w:val="0"/>
      <w:snapToGrid w:val="0"/>
      <w:spacing w:after="0" w:line="360" w:lineRule="auto"/>
      <w:ind w:left="0" w:leftChars="0" w:firstLine="561"/>
    </w:pPr>
    <w:rPr>
      <w:rFonts w:ascii="宋体" w:hAnsi="宋体" w:cs="宋体"/>
      <w:color w:val="000000"/>
      <w:sz w:val="24"/>
    </w:rPr>
  </w:style>
  <w:style w:type="paragraph" w:customStyle="1" w:styleId="3981">
    <w:name w:val="图题22"/>
    <w:basedOn w:val="184"/>
    <w:next w:val="184"/>
    <w:qFormat/>
    <w:uiPriority w:val="0"/>
    <w:pPr>
      <w:ind w:firstLine="0"/>
      <w:jc w:val="center"/>
    </w:pPr>
    <w:rPr>
      <w:rFonts w:ascii="黑体" w:hAnsi="宋体" w:eastAsia="黑体"/>
      <w:b/>
      <w:bCs/>
    </w:rPr>
  </w:style>
  <w:style w:type="paragraph" w:customStyle="1" w:styleId="3982">
    <w:name w:val="样式 标题 3 + 段前: 12 磅3"/>
    <w:basedOn w:val="4"/>
    <w:qFormat/>
    <w:uiPriority w:val="0"/>
    <w:pPr>
      <w:keepNext w:val="0"/>
      <w:keepLines w:val="0"/>
      <w:widowControl/>
      <w:tabs>
        <w:tab w:val="left" w:pos="233"/>
      </w:tabs>
      <w:autoSpaceDE w:val="0"/>
      <w:autoSpaceDN w:val="0"/>
      <w:adjustRightInd w:val="0"/>
      <w:snapToGrid w:val="0"/>
      <w:spacing w:before="0" w:after="0" w:line="360" w:lineRule="auto"/>
      <w:ind w:left="233"/>
    </w:pPr>
    <w:rPr>
      <w:rFonts w:ascii="黑体" w:hAnsi="宋体" w:eastAsia="黑体" w:cs="宋体"/>
      <w:b w:val="0"/>
      <w:bCs w:val="0"/>
      <w:color w:val="000000"/>
      <w:kern w:val="21"/>
      <w:sz w:val="24"/>
      <w:szCs w:val="20"/>
    </w:rPr>
  </w:style>
  <w:style w:type="paragraph" w:customStyle="1" w:styleId="3983">
    <w:name w:val="正文缩2"/>
    <w:basedOn w:val="1"/>
    <w:qFormat/>
    <w:uiPriority w:val="0"/>
    <w:pPr>
      <w:adjustRightInd w:val="0"/>
      <w:snapToGrid w:val="0"/>
      <w:spacing w:line="480" w:lineRule="atLeast"/>
      <w:ind w:firstLine="567"/>
      <w:textAlignment w:val="baseline"/>
    </w:pPr>
    <w:rPr>
      <w:rFonts w:ascii="宋体"/>
      <w:color w:val="000080"/>
      <w:spacing w:val="6"/>
      <w:kern w:val="0"/>
      <w:sz w:val="28"/>
      <w:szCs w:val="20"/>
    </w:rPr>
  </w:style>
  <w:style w:type="paragraph" w:customStyle="1" w:styleId="3984">
    <w:name w:val="标题4313"/>
    <w:basedOn w:val="1"/>
    <w:qFormat/>
    <w:uiPriority w:val="0"/>
    <w:pPr>
      <w:adjustRightInd w:val="0"/>
      <w:snapToGrid w:val="0"/>
      <w:spacing w:line="480" w:lineRule="exact"/>
      <w:jc w:val="center"/>
    </w:pPr>
    <w:rPr>
      <w:rFonts w:ascii="宋体" w:hAnsi="宋体" w:cs="宋体"/>
      <w:sz w:val="24"/>
    </w:rPr>
  </w:style>
  <w:style w:type="paragraph" w:customStyle="1" w:styleId="3985">
    <w:name w:val="正文格式＝62"/>
    <w:basedOn w:val="184"/>
    <w:next w:val="184"/>
    <w:qFormat/>
    <w:uiPriority w:val="0"/>
    <w:rPr>
      <w:rFonts w:hAnsi="宋体"/>
    </w:rPr>
  </w:style>
  <w:style w:type="paragraph" w:customStyle="1" w:styleId="3986">
    <w:name w:val="正文修改22"/>
    <w:basedOn w:val="1161"/>
    <w:qFormat/>
    <w:uiPriority w:val="0"/>
    <w:rPr>
      <w:rFonts w:hAnsi="宋体"/>
      <w:color w:val="000000"/>
    </w:rPr>
  </w:style>
  <w:style w:type="paragraph" w:customStyle="1" w:styleId="3987">
    <w:name w:val="表内54141"/>
    <w:basedOn w:val="1"/>
    <w:qFormat/>
    <w:uiPriority w:val="0"/>
    <w:pPr>
      <w:adjustRightInd w:val="0"/>
      <w:snapToGrid w:val="0"/>
      <w:spacing w:line="300" w:lineRule="auto"/>
      <w:jc w:val="center"/>
    </w:pPr>
    <w:rPr>
      <w:rFonts w:ascii="宋体" w:hAnsi="宋体" w:cs="宋体"/>
      <w:szCs w:val="20"/>
    </w:rPr>
  </w:style>
  <w:style w:type="paragraph" w:customStyle="1" w:styleId="3988">
    <w:name w:val="图题42"/>
    <w:basedOn w:val="184"/>
    <w:next w:val="184"/>
    <w:qFormat/>
    <w:uiPriority w:val="0"/>
    <w:pPr>
      <w:ind w:firstLine="0"/>
      <w:jc w:val="center"/>
    </w:pPr>
    <w:rPr>
      <w:rFonts w:ascii="黑体" w:hAnsi="宋体" w:eastAsia="黑体"/>
      <w:b/>
      <w:bCs/>
    </w:rPr>
  </w:style>
  <w:style w:type="paragraph" w:customStyle="1" w:styleId="3989">
    <w:name w:val="样式 公式 + 段前: 0.5 行 段后: 0.5 行"/>
    <w:basedOn w:val="541"/>
    <w:qFormat/>
    <w:uiPriority w:val="0"/>
    <w:pPr>
      <w:widowControl w:val="0"/>
      <w:pBdr>
        <w:top w:val="single" w:color="auto" w:sz="4" w:space="1"/>
      </w:pBdr>
      <w:adjustRightInd w:val="0"/>
      <w:spacing w:line="360" w:lineRule="auto"/>
      <w:ind w:firstLine="360" w:firstLineChars="150"/>
      <w:jc w:val="left"/>
      <w:textAlignment w:val="baseline"/>
    </w:pPr>
    <w:rPr>
      <w:rFonts w:cs="宋体"/>
      <w:iCs/>
      <w:sz w:val="24"/>
      <w:szCs w:val="24"/>
    </w:rPr>
  </w:style>
  <w:style w:type="paragraph" w:customStyle="1" w:styleId="3990">
    <w:name w:val="环评正文11"/>
    <w:qFormat/>
    <w:uiPriority w:val="0"/>
    <w:pPr>
      <w:spacing w:line="440" w:lineRule="exact"/>
      <w:ind w:firstLine="200" w:firstLineChars="200"/>
    </w:pPr>
    <w:rPr>
      <w:rFonts w:ascii="Times New Roman" w:hAnsi="Times New Roman" w:eastAsia="宋体" w:cs="Times New Roman"/>
      <w:bCs/>
      <w:kern w:val="2"/>
      <w:sz w:val="24"/>
      <w:szCs w:val="24"/>
      <w:lang w:val="en-US" w:eastAsia="zh-CN" w:bidi="ar-SA"/>
    </w:rPr>
  </w:style>
  <w:style w:type="paragraph" w:customStyle="1" w:styleId="3991">
    <w:name w:val="Char241"/>
    <w:basedOn w:val="1"/>
    <w:qFormat/>
    <w:uiPriority w:val="0"/>
    <w:pPr>
      <w:ind w:left="-48"/>
    </w:pPr>
  </w:style>
  <w:style w:type="paragraph" w:customStyle="1" w:styleId="3992">
    <w:name w:val="edri-title first"/>
    <w:basedOn w:val="1"/>
    <w:qFormat/>
    <w:uiPriority w:val="0"/>
    <w:pPr>
      <w:tabs>
        <w:tab w:val="left" w:pos="2"/>
        <w:tab w:val="left" w:pos="945"/>
      </w:tabs>
      <w:spacing w:beforeLines="50" w:line="300" w:lineRule="auto"/>
      <w:ind w:left="966" w:hanging="964"/>
      <w:outlineLvl w:val="0"/>
    </w:pPr>
    <w:rPr>
      <w:rFonts w:ascii="Arial Narrow" w:hAnsi="Arial Narrow"/>
      <w:b/>
      <w:bCs/>
      <w:kern w:val="0"/>
      <w:sz w:val="30"/>
      <w:szCs w:val="20"/>
    </w:rPr>
  </w:style>
  <w:style w:type="paragraph" w:customStyle="1" w:styleId="3993">
    <w:name w:val="福建正文缩进4"/>
    <w:basedOn w:val="20"/>
    <w:qFormat/>
    <w:uiPriority w:val="0"/>
    <w:pPr>
      <w:widowControl/>
      <w:tabs>
        <w:tab w:val="left" w:pos="5837"/>
      </w:tabs>
      <w:adjustRightInd w:val="0"/>
      <w:snapToGrid w:val="0"/>
      <w:spacing w:line="480" w:lineRule="exact"/>
      <w:ind w:firstLine="0" w:firstLineChars="0"/>
    </w:pPr>
    <w:rPr>
      <w:rFonts w:ascii="宋体" w:hAnsi="宋体" w:cs="宋体"/>
      <w:color w:val="000000"/>
      <w:kern w:val="0"/>
      <w:sz w:val="24"/>
    </w:rPr>
  </w:style>
  <w:style w:type="paragraph" w:customStyle="1" w:styleId="3994">
    <w:name w:val="黑体三号24"/>
    <w:basedOn w:val="184"/>
    <w:qFormat/>
    <w:uiPriority w:val="0"/>
    <w:pPr>
      <w:jc w:val="center"/>
    </w:pPr>
    <w:rPr>
      <w:rFonts w:ascii="黑体" w:hAnsi="宋体" w:eastAsia="黑体"/>
      <w:b/>
      <w:bCs/>
      <w:sz w:val="32"/>
      <w:szCs w:val="20"/>
    </w:rPr>
  </w:style>
  <w:style w:type="paragraph" w:customStyle="1" w:styleId="3995">
    <w:name w:val="Char Char Char Char Char Char Char Char Char Char Char Char Char Char Char Char Char1 Char Char Char Char Char Char Char Char"/>
    <w:basedOn w:val="1"/>
    <w:qFormat/>
    <w:uiPriority w:val="0"/>
    <w:rPr>
      <w:szCs w:val="21"/>
    </w:rPr>
  </w:style>
  <w:style w:type="paragraph" w:customStyle="1" w:styleId="3996">
    <w:name w:val="样式 标题 4无效格式无效格式1河石管道4H4H41小小节河石管道41H42H411小小节1河石管道42...13"/>
    <w:basedOn w:val="5"/>
    <w:qFormat/>
    <w:uiPriority w:val="0"/>
    <w:pPr>
      <w:adjustRightInd w:val="0"/>
      <w:snapToGrid w:val="0"/>
      <w:spacing w:line="360" w:lineRule="auto"/>
      <w:ind w:left="664" w:hanging="864"/>
      <w:jc w:val="left"/>
    </w:pPr>
    <w:rPr>
      <w:rFonts w:ascii="黑体" w:eastAsia="黑体" w:cs="宋体"/>
      <w:bCs w:val="0"/>
      <w:sz w:val="24"/>
      <w:szCs w:val="20"/>
    </w:rPr>
  </w:style>
  <w:style w:type="paragraph" w:customStyle="1" w:styleId="3997">
    <w:name w:val="CM12"/>
    <w:basedOn w:val="191"/>
    <w:next w:val="191"/>
    <w:qFormat/>
    <w:uiPriority w:val="0"/>
    <w:pPr>
      <w:spacing w:line="468" w:lineRule="atLeast"/>
    </w:pPr>
    <w:rPr>
      <w:rFonts w:ascii="黑体" w:eastAsia="黑体" w:cs="Times New Roman"/>
      <w:color w:val="auto"/>
    </w:rPr>
  </w:style>
  <w:style w:type="paragraph" w:customStyle="1" w:styleId="3998">
    <w:name w:val="Char Char2 Char Char Char Char25"/>
    <w:basedOn w:val="1"/>
    <w:qFormat/>
    <w:uiPriority w:val="0"/>
  </w:style>
  <w:style w:type="paragraph" w:customStyle="1" w:styleId="3999">
    <w:name w:val="表题1412"/>
    <w:basedOn w:val="1"/>
    <w:qFormat/>
    <w:uiPriority w:val="0"/>
    <w:pPr>
      <w:widowControl/>
      <w:adjustRightInd w:val="0"/>
      <w:snapToGrid w:val="0"/>
      <w:jc w:val="center"/>
    </w:pPr>
    <w:rPr>
      <w:rFonts w:ascii="黑体" w:hAnsi="宋体" w:eastAsia="黑体" w:cs="宋体"/>
      <w:kern w:val="0"/>
      <w:sz w:val="24"/>
    </w:rPr>
  </w:style>
  <w:style w:type="paragraph" w:customStyle="1" w:styleId="4000">
    <w:name w:val="表中文字24"/>
    <w:basedOn w:val="1"/>
    <w:qFormat/>
    <w:uiPriority w:val="0"/>
    <w:pPr>
      <w:widowControl/>
      <w:adjustRightInd w:val="0"/>
      <w:spacing w:line="240" w:lineRule="atLeast"/>
      <w:ind w:right="-42" w:rightChars="-20"/>
      <w:jc w:val="center"/>
      <w:textAlignment w:val="baseline"/>
    </w:pPr>
    <w:rPr>
      <w:rFonts w:ascii="宋体"/>
      <w:kern w:val="0"/>
      <w:szCs w:val="21"/>
    </w:rPr>
  </w:style>
  <w:style w:type="paragraph" w:customStyle="1" w:styleId="4001">
    <w:name w:val="样式 标题 3 + 段前: 12 磅"/>
    <w:basedOn w:val="4"/>
    <w:qFormat/>
    <w:uiPriority w:val="0"/>
    <w:pPr>
      <w:keepNext w:val="0"/>
      <w:keepLines w:val="0"/>
      <w:widowControl/>
      <w:tabs>
        <w:tab w:val="left" w:pos="233"/>
      </w:tabs>
      <w:autoSpaceDE w:val="0"/>
      <w:autoSpaceDN w:val="0"/>
      <w:adjustRightInd w:val="0"/>
      <w:snapToGrid w:val="0"/>
      <w:spacing w:before="0" w:after="0" w:line="360" w:lineRule="auto"/>
      <w:ind w:left="233"/>
    </w:pPr>
    <w:rPr>
      <w:rFonts w:ascii="黑体" w:hAnsi="宋体" w:eastAsia="黑体" w:cs="宋体"/>
      <w:b w:val="0"/>
      <w:bCs w:val="0"/>
      <w:color w:val="000000"/>
      <w:kern w:val="21"/>
      <w:sz w:val="24"/>
      <w:szCs w:val="20"/>
    </w:rPr>
  </w:style>
  <w:style w:type="paragraph" w:customStyle="1" w:styleId="4002">
    <w:name w:val="标题43123"/>
    <w:basedOn w:val="1"/>
    <w:qFormat/>
    <w:uiPriority w:val="0"/>
    <w:pPr>
      <w:adjustRightInd w:val="0"/>
      <w:snapToGrid w:val="0"/>
      <w:spacing w:line="480" w:lineRule="exact"/>
      <w:jc w:val="center"/>
    </w:pPr>
    <w:rPr>
      <w:rFonts w:ascii="宋体" w:hAnsi="宋体" w:cs="宋体"/>
      <w:sz w:val="24"/>
    </w:rPr>
  </w:style>
  <w:style w:type="paragraph" w:customStyle="1" w:styleId="4003">
    <w:name w:val="图表题1"/>
    <w:basedOn w:val="184"/>
    <w:next w:val="184"/>
    <w:qFormat/>
    <w:uiPriority w:val="0"/>
    <w:pPr>
      <w:ind w:firstLine="0"/>
      <w:jc w:val="center"/>
    </w:pPr>
    <w:rPr>
      <w:rFonts w:ascii="黑体" w:hAnsi="宋体" w:eastAsia="黑体"/>
      <w:b/>
      <w:bCs/>
    </w:rPr>
  </w:style>
  <w:style w:type="paragraph" w:customStyle="1" w:styleId="4004">
    <w:name w:val="表内541"/>
    <w:basedOn w:val="1"/>
    <w:qFormat/>
    <w:uiPriority w:val="0"/>
    <w:pPr>
      <w:adjustRightInd w:val="0"/>
      <w:snapToGrid w:val="0"/>
      <w:spacing w:line="300" w:lineRule="auto"/>
      <w:jc w:val="center"/>
    </w:pPr>
    <w:rPr>
      <w:rFonts w:ascii="宋体" w:hAnsi="宋体" w:cs="宋体"/>
      <w:szCs w:val="20"/>
    </w:rPr>
  </w:style>
  <w:style w:type="paragraph" w:customStyle="1" w:styleId="4005">
    <w:name w:val="Char Char Char Char Char Char Char45"/>
    <w:basedOn w:val="1"/>
    <w:qFormat/>
    <w:uiPriority w:val="0"/>
  </w:style>
  <w:style w:type="paragraph" w:customStyle="1" w:styleId="4006">
    <w:name w:val="表内54151"/>
    <w:basedOn w:val="1"/>
    <w:qFormat/>
    <w:uiPriority w:val="0"/>
    <w:pPr>
      <w:adjustRightInd w:val="0"/>
      <w:snapToGrid w:val="0"/>
      <w:spacing w:line="300" w:lineRule="auto"/>
      <w:jc w:val="center"/>
    </w:pPr>
    <w:rPr>
      <w:rFonts w:ascii="宋体" w:hAnsi="宋体" w:cs="宋体"/>
      <w:szCs w:val="20"/>
    </w:rPr>
  </w:style>
  <w:style w:type="paragraph" w:customStyle="1" w:styleId="4007">
    <w:name w:val="Char Char1 Char Char Char Char Char Char1"/>
    <w:basedOn w:val="1"/>
    <w:qFormat/>
    <w:uiPriority w:val="0"/>
    <w:rPr>
      <w:sz w:val="24"/>
    </w:rPr>
  </w:style>
  <w:style w:type="paragraph" w:customStyle="1" w:styleId="4008">
    <w:name w:val="样式 标题 3 + (西文) Times New Roman (中文) 宋体 行距: 固定值 24 磅"/>
    <w:basedOn w:val="4"/>
    <w:qFormat/>
    <w:uiPriority w:val="0"/>
    <w:pPr>
      <w:keepNext w:val="0"/>
      <w:keepLines w:val="0"/>
      <w:tabs>
        <w:tab w:val="left" w:pos="233"/>
        <w:tab w:val="left" w:pos="1560"/>
      </w:tabs>
      <w:spacing w:beforeLines="20" w:afterLines="20" w:line="480" w:lineRule="exact"/>
      <w:ind w:left="233"/>
    </w:pPr>
    <w:rPr>
      <w:rFonts w:cs="宋体"/>
      <w:sz w:val="28"/>
      <w:szCs w:val="20"/>
    </w:rPr>
  </w:style>
  <w:style w:type="paragraph" w:customStyle="1" w:styleId="4009">
    <w:name w:val="Char Char Char Char Char Char Char128"/>
    <w:basedOn w:val="1"/>
    <w:qFormat/>
    <w:uiPriority w:val="0"/>
  </w:style>
  <w:style w:type="paragraph" w:customStyle="1" w:styleId="4010">
    <w:name w:val="黑体三号3"/>
    <w:basedOn w:val="184"/>
    <w:qFormat/>
    <w:uiPriority w:val="0"/>
    <w:pPr>
      <w:jc w:val="center"/>
    </w:pPr>
    <w:rPr>
      <w:rFonts w:ascii="黑体" w:hAnsi="宋体" w:eastAsia="黑体"/>
      <w:b/>
      <w:bCs/>
      <w:sz w:val="32"/>
      <w:szCs w:val="20"/>
    </w:rPr>
  </w:style>
  <w:style w:type="paragraph" w:customStyle="1" w:styleId="4011">
    <w:name w:val="表题93"/>
    <w:basedOn w:val="44"/>
    <w:qFormat/>
    <w:uiPriority w:val="0"/>
    <w:pPr>
      <w:adjustRightInd w:val="0"/>
      <w:snapToGrid w:val="0"/>
      <w:spacing w:line="300" w:lineRule="auto"/>
      <w:jc w:val="center"/>
    </w:pPr>
    <w:rPr>
      <w:rFonts w:ascii="黑体" w:eastAsia="黑体" w:cs="Times New Roman"/>
      <w:sz w:val="24"/>
      <w:szCs w:val="20"/>
    </w:rPr>
  </w:style>
  <w:style w:type="paragraph" w:customStyle="1" w:styleId="4012">
    <w:name w:val="Char Char Char Char1 Char Char Char19"/>
    <w:basedOn w:val="1"/>
    <w:qFormat/>
    <w:uiPriority w:val="0"/>
    <w:pPr>
      <w:widowControl/>
      <w:spacing w:after="160" w:line="240" w:lineRule="exact"/>
      <w:jc w:val="left"/>
    </w:pPr>
    <w:rPr>
      <w:rFonts w:ascii="Verdana" w:hAnsi="Verdana"/>
      <w:kern w:val="0"/>
      <w:sz w:val="20"/>
      <w:szCs w:val="20"/>
      <w:lang w:eastAsia="en-US"/>
    </w:rPr>
  </w:style>
  <w:style w:type="paragraph" w:customStyle="1" w:styleId="4013">
    <w:name w:val="默认段落字体 Para Char Char Char Char313"/>
    <w:basedOn w:val="1"/>
    <w:qFormat/>
    <w:uiPriority w:val="0"/>
  </w:style>
  <w:style w:type="paragraph" w:customStyle="1" w:styleId="4014">
    <w:name w:val="图表名称12"/>
    <w:basedOn w:val="85"/>
    <w:qFormat/>
    <w:uiPriority w:val="0"/>
    <w:pPr>
      <w:widowControl/>
      <w:adjustRightInd w:val="0"/>
      <w:snapToGrid w:val="0"/>
      <w:spacing w:after="0" w:line="480" w:lineRule="exact"/>
      <w:ind w:firstLine="0" w:firstLineChars="0"/>
      <w:jc w:val="center"/>
    </w:pPr>
    <w:rPr>
      <w:rFonts w:ascii="宋体" w:hAnsi="宋体" w:eastAsia="宋体"/>
      <w:bCs/>
      <w:sz w:val="24"/>
    </w:rPr>
  </w:style>
  <w:style w:type="paragraph" w:customStyle="1" w:styleId="4015">
    <w:name w:val="正文修改34"/>
    <w:basedOn w:val="1161"/>
    <w:qFormat/>
    <w:uiPriority w:val="0"/>
    <w:rPr>
      <w:rFonts w:hAnsi="宋体"/>
      <w:color w:val="000000"/>
    </w:rPr>
  </w:style>
  <w:style w:type="paragraph" w:customStyle="1" w:styleId="4016">
    <w:name w:val="Char Char Char1 Char Char Char Char Char Char Char Char Char Char"/>
    <w:basedOn w:val="1"/>
    <w:qFormat/>
    <w:uiPriority w:val="0"/>
  </w:style>
  <w:style w:type="paragraph" w:customStyle="1" w:styleId="4017">
    <w:name w:val="Char Char Char Char Char Char Char Char Char Char Char Char2 Char"/>
    <w:basedOn w:val="1"/>
    <w:qFormat/>
    <w:uiPriority w:val="0"/>
  </w:style>
  <w:style w:type="paragraph" w:customStyle="1" w:styleId="4018">
    <w:name w:val="默认段落字体 Para Char Char Char Char5"/>
    <w:basedOn w:val="1"/>
    <w:qFormat/>
    <w:uiPriority w:val="0"/>
  </w:style>
  <w:style w:type="paragraph" w:customStyle="1" w:styleId="4019">
    <w:name w:val="1.1.1縮"/>
    <w:basedOn w:val="1"/>
    <w:qFormat/>
    <w:uiPriority w:val="0"/>
    <w:pPr>
      <w:autoSpaceDE w:val="0"/>
      <w:autoSpaceDN w:val="0"/>
      <w:snapToGrid w:val="0"/>
      <w:spacing w:line="360" w:lineRule="auto"/>
      <w:ind w:left="1610" w:firstLine="554"/>
      <w:jc w:val="left"/>
    </w:pPr>
    <w:rPr>
      <w:rFonts w:eastAsia="DFKai-SB"/>
      <w:sz w:val="28"/>
      <w:szCs w:val="20"/>
      <w:lang w:eastAsia="zh-TW"/>
    </w:rPr>
  </w:style>
  <w:style w:type="paragraph" w:customStyle="1" w:styleId="4020">
    <w:name w:val="表内54111"/>
    <w:basedOn w:val="1"/>
    <w:qFormat/>
    <w:uiPriority w:val="0"/>
    <w:pPr>
      <w:adjustRightInd w:val="0"/>
      <w:snapToGrid w:val="0"/>
      <w:spacing w:line="300" w:lineRule="auto"/>
      <w:jc w:val="center"/>
    </w:pPr>
    <w:rPr>
      <w:rFonts w:ascii="宋体" w:hAnsi="宋体" w:cs="宋体"/>
      <w:szCs w:val="20"/>
    </w:rPr>
  </w:style>
  <w:style w:type="paragraph" w:customStyle="1" w:styleId="4021">
    <w:name w:val="Char Char Char Char Char Char Char7"/>
    <w:basedOn w:val="1"/>
    <w:qFormat/>
    <w:uiPriority w:val="0"/>
  </w:style>
  <w:style w:type="paragraph" w:customStyle="1" w:styleId="4022">
    <w:name w:val="表格内字体222"/>
    <w:basedOn w:val="184"/>
    <w:next w:val="184"/>
    <w:qFormat/>
    <w:uiPriority w:val="0"/>
    <w:pPr>
      <w:spacing w:line="240" w:lineRule="auto"/>
      <w:ind w:firstLine="0"/>
      <w:jc w:val="center"/>
    </w:pPr>
    <w:rPr>
      <w:rFonts w:hAnsi="宋体"/>
      <w:sz w:val="21"/>
    </w:rPr>
  </w:style>
  <w:style w:type="paragraph" w:customStyle="1" w:styleId="4023">
    <w:name w:val="标题43111"/>
    <w:basedOn w:val="1"/>
    <w:qFormat/>
    <w:uiPriority w:val="0"/>
    <w:pPr>
      <w:adjustRightInd w:val="0"/>
      <w:snapToGrid w:val="0"/>
      <w:spacing w:line="480" w:lineRule="exact"/>
      <w:jc w:val="center"/>
    </w:pPr>
    <w:rPr>
      <w:rFonts w:ascii="宋体" w:hAnsi="宋体" w:cs="宋体"/>
      <w:sz w:val="24"/>
    </w:rPr>
  </w:style>
  <w:style w:type="paragraph" w:customStyle="1" w:styleId="4024">
    <w:name w:val="xl6312"/>
    <w:basedOn w:val="1"/>
    <w:qFormat/>
    <w:uiPriority w:val="0"/>
    <w:pPr>
      <w:widowControl/>
      <w:spacing w:before="100" w:beforeAutospacing="1" w:after="100" w:afterAutospacing="1"/>
      <w:jc w:val="center"/>
      <w:textAlignment w:val="center"/>
    </w:pPr>
    <w:rPr>
      <w:rFonts w:hint="eastAsia" w:ascii="黑体" w:hAnsi="宋体" w:eastAsia="黑体"/>
      <w:kern w:val="0"/>
      <w:sz w:val="24"/>
    </w:rPr>
  </w:style>
  <w:style w:type="paragraph" w:customStyle="1" w:styleId="4025">
    <w:name w:val="Char4 Char Char Char Char Char Char Char Char Char Char Char Char Char Char Char Char Char Char Char Char Char Char Char Char Char Char Char Char Char"/>
    <w:basedOn w:val="1"/>
    <w:qFormat/>
    <w:uiPriority w:val="0"/>
    <w:pPr>
      <w:spacing w:line="240" w:lineRule="exact"/>
      <w:ind w:firstLine="200" w:firstLineChars="200"/>
    </w:pPr>
    <w:rPr>
      <w:sz w:val="28"/>
      <w:szCs w:val="28"/>
    </w:rPr>
  </w:style>
  <w:style w:type="paragraph" w:customStyle="1" w:styleId="4026">
    <w:name w:val="表内文字小2131"/>
    <w:basedOn w:val="1"/>
    <w:qFormat/>
    <w:uiPriority w:val="0"/>
    <w:pPr>
      <w:adjustRightInd w:val="0"/>
      <w:snapToGrid w:val="0"/>
      <w:jc w:val="center"/>
      <w:textAlignment w:val="baseline"/>
    </w:pPr>
    <w:rPr>
      <w:rFonts w:ascii="宋体" w:hAnsi="Times"/>
      <w:bCs/>
      <w:color w:val="000000"/>
      <w:szCs w:val="20"/>
    </w:rPr>
  </w:style>
  <w:style w:type="paragraph" w:customStyle="1" w:styleId="4027">
    <w:name w:val="表内宋5115"/>
    <w:basedOn w:val="80"/>
    <w:qFormat/>
    <w:uiPriority w:val="0"/>
  </w:style>
  <w:style w:type="paragraph" w:customStyle="1" w:styleId="4028">
    <w:name w:val="bgbt2节标题"/>
    <w:basedOn w:val="2312"/>
    <w:next w:val="2312"/>
    <w:qFormat/>
    <w:uiPriority w:val="0"/>
    <w:pPr>
      <w:spacing w:before="300"/>
      <w:ind w:firstLine="0"/>
      <w:jc w:val="center"/>
      <w:outlineLvl w:val="1"/>
    </w:pPr>
    <w:rPr>
      <w:sz w:val="30"/>
    </w:rPr>
  </w:style>
  <w:style w:type="paragraph" w:customStyle="1" w:styleId="4029">
    <w:name w:val="标准1"/>
    <w:basedOn w:val="1"/>
    <w:qFormat/>
    <w:uiPriority w:val="0"/>
    <w:pPr>
      <w:adjustRightInd w:val="0"/>
      <w:spacing w:before="120" w:line="336" w:lineRule="auto"/>
      <w:jc w:val="center"/>
      <w:textAlignment w:val="baseline"/>
    </w:pPr>
    <w:rPr>
      <w:rFonts w:ascii="黑体" w:eastAsia="黑体"/>
      <w:szCs w:val="20"/>
    </w:rPr>
  </w:style>
  <w:style w:type="paragraph" w:customStyle="1" w:styleId="4030">
    <w:name w:val="表111"/>
    <w:basedOn w:val="1"/>
    <w:qFormat/>
    <w:uiPriority w:val="0"/>
    <w:pPr>
      <w:adjustRightInd w:val="0"/>
      <w:snapToGrid w:val="0"/>
      <w:jc w:val="center"/>
    </w:pPr>
    <w:rPr>
      <w:rFonts w:eastAsia="仿宋_GB2312"/>
      <w:sz w:val="24"/>
    </w:rPr>
  </w:style>
  <w:style w:type="paragraph" w:customStyle="1" w:styleId="4031">
    <w:name w:val="表内文字小224"/>
    <w:basedOn w:val="1"/>
    <w:qFormat/>
    <w:uiPriority w:val="0"/>
    <w:pPr>
      <w:adjustRightInd w:val="0"/>
      <w:snapToGrid w:val="0"/>
      <w:jc w:val="center"/>
    </w:pPr>
    <w:rPr>
      <w:rFonts w:ascii="宋体" w:hAnsi="Times"/>
      <w:bCs/>
      <w:color w:val="000000"/>
      <w:szCs w:val="20"/>
    </w:rPr>
  </w:style>
  <w:style w:type="paragraph" w:customStyle="1" w:styleId="4032">
    <w:name w:val="表内文字小4"/>
    <w:basedOn w:val="1"/>
    <w:qFormat/>
    <w:uiPriority w:val="0"/>
    <w:pPr>
      <w:adjustRightInd w:val="0"/>
      <w:snapToGrid w:val="0"/>
      <w:jc w:val="center"/>
    </w:pPr>
    <w:rPr>
      <w:rFonts w:ascii="宋体" w:hAnsi="Times"/>
      <w:szCs w:val="20"/>
    </w:rPr>
  </w:style>
  <w:style w:type="paragraph" w:customStyle="1" w:styleId="4033">
    <w:name w:val="Texte"/>
    <w:basedOn w:val="1"/>
    <w:qFormat/>
    <w:uiPriority w:val="0"/>
    <w:pPr>
      <w:widowControl/>
      <w:spacing w:before="120" w:after="120"/>
      <w:ind w:left="851"/>
    </w:pPr>
    <w:rPr>
      <w:rFonts w:ascii="Arial" w:hAnsi="Arial"/>
      <w:kern w:val="0"/>
      <w:sz w:val="22"/>
      <w:szCs w:val="20"/>
      <w:lang w:val="en-GB"/>
    </w:rPr>
  </w:style>
  <w:style w:type="paragraph" w:customStyle="1" w:styleId="4034">
    <w:name w:val="文本框2"/>
    <w:basedOn w:val="1"/>
    <w:qFormat/>
    <w:uiPriority w:val="0"/>
    <w:pPr>
      <w:adjustRightInd w:val="0"/>
      <w:snapToGrid w:val="0"/>
      <w:spacing w:after="6"/>
      <w:jc w:val="center"/>
    </w:pPr>
    <w:rPr>
      <w:rFonts w:eastAsia="仿宋_GB2312"/>
    </w:rPr>
  </w:style>
  <w:style w:type="paragraph" w:customStyle="1" w:styleId="4035">
    <w:name w:val="表内文字小3111"/>
    <w:basedOn w:val="1"/>
    <w:qFormat/>
    <w:uiPriority w:val="0"/>
    <w:pPr>
      <w:adjustRightInd w:val="0"/>
      <w:snapToGrid w:val="0"/>
      <w:jc w:val="center"/>
    </w:pPr>
    <w:rPr>
      <w:rFonts w:ascii="宋体" w:hAnsi="Times" w:cs="宋体"/>
      <w:bCs/>
      <w:color w:val="003366"/>
      <w:szCs w:val="20"/>
    </w:rPr>
  </w:style>
  <w:style w:type="paragraph" w:customStyle="1" w:styleId="4036">
    <w:name w:val="表文字55"/>
    <w:basedOn w:val="1"/>
    <w:qFormat/>
    <w:uiPriority w:val="0"/>
    <w:pPr>
      <w:adjustRightInd w:val="0"/>
      <w:jc w:val="left"/>
      <w:textAlignment w:val="baseline"/>
    </w:pPr>
    <w:rPr>
      <w:rFonts w:ascii="宋体"/>
      <w:kern w:val="0"/>
      <w:szCs w:val="20"/>
    </w:rPr>
  </w:style>
  <w:style w:type="paragraph" w:customStyle="1" w:styleId="4037">
    <w:name w:val="样式 正文缩进 + 宋体 黑色4"/>
    <w:basedOn w:val="20"/>
    <w:qFormat/>
    <w:uiPriority w:val="0"/>
    <w:pPr>
      <w:spacing w:line="360" w:lineRule="auto"/>
      <w:ind w:firstLine="200"/>
      <w:jc w:val="left"/>
    </w:pPr>
    <w:rPr>
      <w:rFonts w:ascii="宋体" w:hAnsi="宋体"/>
      <w:color w:val="000000"/>
      <w:sz w:val="24"/>
    </w:rPr>
  </w:style>
  <w:style w:type="paragraph" w:customStyle="1" w:styleId="4038">
    <w:name w:val="Char418"/>
    <w:basedOn w:val="1"/>
    <w:qFormat/>
    <w:uiPriority w:val="0"/>
    <w:pPr>
      <w:spacing w:line="340" w:lineRule="exact"/>
      <w:ind w:firstLine="10" w:firstLineChars="4"/>
    </w:pPr>
    <w:rPr>
      <w:sz w:val="28"/>
      <w:szCs w:val="28"/>
    </w:rPr>
  </w:style>
  <w:style w:type="paragraph" w:customStyle="1" w:styleId="4039">
    <w:name w:val="默认段落字体 Para Char24"/>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4040">
    <w:name w:val="Char Char Char Char1 Char Char Char3"/>
    <w:basedOn w:val="1"/>
    <w:qFormat/>
    <w:uiPriority w:val="0"/>
    <w:pPr>
      <w:widowControl/>
      <w:spacing w:after="160" w:line="240" w:lineRule="exact"/>
      <w:jc w:val="left"/>
    </w:pPr>
    <w:rPr>
      <w:rFonts w:ascii="Verdana" w:hAnsi="Verdana"/>
      <w:kern w:val="0"/>
      <w:sz w:val="20"/>
      <w:szCs w:val="20"/>
      <w:lang w:eastAsia="en-US"/>
    </w:rPr>
  </w:style>
  <w:style w:type="paragraph" w:customStyle="1" w:styleId="4041">
    <w:name w:val="正文修改213"/>
    <w:basedOn w:val="1161"/>
    <w:qFormat/>
    <w:uiPriority w:val="0"/>
    <w:rPr>
      <w:rFonts w:hAnsi="宋体"/>
      <w:color w:val="000000"/>
    </w:rPr>
  </w:style>
  <w:style w:type="paragraph" w:customStyle="1" w:styleId="4042">
    <w:name w:val="Char4110"/>
    <w:basedOn w:val="1"/>
    <w:qFormat/>
    <w:uiPriority w:val="0"/>
    <w:pPr>
      <w:ind w:left="-48"/>
    </w:pPr>
  </w:style>
  <w:style w:type="paragraph" w:customStyle="1" w:styleId="4043">
    <w:name w:val="CM23"/>
    <w:basedOn w:val="191"/>
    <w:next w:val="191"/>
    <w:qFormat/>
    <w:uiPriority w:val="0"/>
    <w:pPr>
      <w:spacing w:line="546" w:lineRule="atLeast"/>
    </w:pPr>
    <w:rPr>
      <w:rFonts w:cs="Times New Roman"/>
      <w:color w:val="auto"/>
    </w:rPr>
  </w:style>
  <w:style w:type="paragraph" w:customStyle="1" w:styleId="4044">
    <w:name w:val="Char129"/>
    <w:basedOn w:val="1"/>
    <w:qFormat/>
    <w:uiPriority w:val="0"/>
    <w:pPr>
      <w:ind w:left="-48"/>
    </w:pPr>
  </w:style>
  <w:style w:type="paragraph" w:customStyle="1" w:styleId="4045">
    <w:name w:val="图题311"/>
    <w:basedOn w:val="184"/>
    <w:next w:val="184"/>
    <w:qFormat/>
    <w:uiPriority w:val="0"/>
    <w:pPr>
      <w:ind w:firstLine="0"/>
      <w:jc w:val="center"/>
    </w:pPr>
    <w:rPr>
      <w:rFonts w:ascii="黑体" w:hAnsi="宋体" w:eastAsia="黑体"/>
      <w:b/>
      <w:bCs/>
    </w:rPr>
  </w:style>
  <w:style w:type="paragraph" w:customStyle="1" w:styleId="4046">
    <w:name w:val="块项目"/>
    <w:next w:val="85"/>
    <w:qFormat/>
    <w:uiPriority w:val="0"/>
    <w:pPr>
      <w:tabs>
        <w:tab w:val="left" w:pos="720"/>
      </w:tabs>
      <w:spacing w:before="40" w:after="40"/>
    </w:pPr>
    <w:rPr>
      <w:rFonts w:ascii="Times New Roman" w:hAnsi="Times New Roman" w:eastAsia="宋体" w:cs="Times New Roman"/>
      <w:b/>
      <w:spacing w:val="20"/>
      <w:sz w:val="24"/>
      <w:lang w:val="en-US" w:eastAsia="zh-CN" w:bidi="ar-SA"/>
    </w:rPr>
  </w:style>
  <w:style w:type="paragraph" w:customStyle="1" w:styleId="4047">
    <w:name w:val="表格内字体33"/>
    <w:basedOn w:val="184"/>
    <w:next w:val="184"/>
    <w:qFormat/>
    <w:uiPriority w:val="0"/>
    <w:pPr>
      <w:spacing w:line="240" w:lineRule="auto"/>
      <w:ind w:firstLine="0"/>
      <w:jc w:val="center"/>
    </w:pPr>
    <w:rPr>
      <w:rFonts w:hAnsi="宋体"/>
      <w:sz w:val="21"/>
    </w:rPr>
  </w:style>
  <w:style w:type="paragraph" w:customStyle="1" w:styleId="4048">
    <w:name w:val="黑体三号44"/>
    <w:basedOn w:val="184"/>
    <w:qFormat/>
    <w:uiPriority w:val="0"/>
    <w:pPr>
      <w:jc w:val="center"/>
    </w:pPr>
    <w:rPr>
      <w:rFonts w:ascii="黑体" w:hAnsi="宋体" w:eastAsia="黑体"/>
      <w:b/>
      <w:bCs/>
      <w:sz w:val="32"/>
      <w:szCs w:val="20"/>
    </w:rPr>
  </w:style>
  <w:style w:type="paragraph" w:customStyle="1" w:styleId="4049">
    <w:name w:val="Char812"/>
    <w:basedOn w:val="1"/>
    <w:qFormat/>
    <w:uiPriority w:val="0"/>
    <w:pPr>
      <w:ind w:left="-48"/>
    </w:pPr>
  </w:style>
  <w:style w:type="paragraph" w:customStyle="1" w:styleId="4050">
    <w:name w:val="表中文字1112"/>
    <w:basedOn w:val="1"/>
    <w:qFormat/>
    <w:uiPriority w:val="0"/>
    <w:pPr>
      <w:widowControl/>
      <w:spacing w:line="240" w:lineRule="atLeast"/>
      <w:ind w:left="-24" w:leftChars="-10" w:right="-48" w:rightChars="-20"/>
      <w:jc w:val="center"/>
    </w:pPr>
    <w:rPr>
      <w:rFonts w:ascii="宋体"/>
      <w:kern w:val="0"/>
      <w:szCs w:val="21"/>
    </w:rPr>
  </w:style>
  <w:style w:type="paragraph" w:customStyle="1" w:styleId="4051">
    <w:name w:val="Char326"/>
    <w:basedOn w:val="1"/>
    <w:qFormat/>
    <w:uiPriority w:val="0"/>
    <w:pPr>
      <w:ind w:left="-48"/>
    </w:pPr>
  </w:style>
  <w:style w:type="paragraph" w:customStyle="1" w:styleId="4052">
    <w:name w:val="表内53111"/>
    <w:basedOn w:val="1"/>
    <w:qFormat/>
    <w:uiPriority w:val="0"/>
    <w:pPr>
      <w:adjustRightInd w:val="0"/>
      <w:snapToGrid w:val="0"/>
      <w:spacing w:line="300" w:lineRule="auto"/>
      <w:jc w:val="left"/>
    </w:pPr>
    <w:rPr>
      <w:rFonts w:ascii="宋体"/>
      <w:szCs w:val="20"/>
    </w:rPr>
  </w:style>
  <w:style w:type="paragraph" w:customStyle="1" w:styleId="4053">
    <w:name w:val="图题74"/>
    <w:basedOn w:val="184"/>
    <w:next w:val="184"/>
    <w:qFormat/>
    <w:uiPriority w:val="0"/>
    <w:pPr>
      <w:ind w:firstLine="0"/>
      <w:jc w:val="center"/>
    </w:pPr>
    <w:rPr>
      <w:rFonts w:ascii="黑体" w:hAnsi="宋体" w:eastAsia="黑体"/>
      <w:b/>
      <w:bCs/>
    </w:rPr>
  </w:style>
  <w:style w:type="paragraph" w:customStyle="1" w:styleId="4054">
    <w:name w:val="Char216"/>
    <w:basedOn w:val="1"/>
    <w:qFormat/>
    <w:uiPriority w:val="0"/>
    <w:pPr>
      <w:ind w:left="-48"/>
    </w:pPr>
  </w:style>
  <w:style w:type="paragraph" w:customStyle="1" w:styleId="4055">
    <w:name w:val="燕山正文11"/>
    <w:basedOn w:val="1"/>
    <w:qFormat/>
    <w:uiPriority w:val="0"/>
    <w:pPr>
      <w:tabs>
        <w:tab w:val="left" w:pos="4680"/>
      </w:tabs>
      <w:adjustRightInd w:val="0"/>
      <w:snapToGrid w:val="0"/>
      <w:spacing w:line="360" w:lineRule="auto"/>
      <w:ind w:firstLine="480" w:firstLineChars="200"/>
    </w:pPr>
    <w:rPr>
      <w:rFonts w:ascii="宋体" w:hAnsi="宋体" w:cs="宋体"/>
      <w:bCs/>
      <w:snapToGrid w:val="0"/>
      <w:color w:val="000000"/>
      <w:kern w:val="0"/>
      <w:sz w:val="24"/>
    </w:rPr>
  </w:style>
  <w:style w:type="paragraph" w:customStyle="1" w:styleId="4056">
    <w:name w:val="图题2113"/>
    <w:basedOn w:val="184"/>
    <w:next w:val="184"/>
    <w:qFormat/>
    <w:uiPriority w:val="0"/>
    <w:pPr>
      <w:ind w:firstLine="0"/>
      <w:jc w:val="center"/>
    </w:pPr>
    <w:rPr>
      <w:rFonts w:ascii="黑体" w:hAnsi="宋体" w:eastAsia="黑体"/>
      <w:b/>
      <w:bCs/>
    </w:rPr>
  </w:style>
  <w:style w:type="paragraph" w:customStyle="1" w:styleId="4057">
    <w:name w:val="正文格式＝513"/>
    <w:basedOn w:val="184"/>
    <w:next w:val="184"/>
    <w:qFormat/>
    <w:uiPriority w:val="0"/>
    <w:rPr>
      <w:rFonts w:hAnsi="宋体"/>
    </w:rPr>
  </w:style>
  <w:style w:type="paragraph" w:customStyle="1" w:styleId="4058">
    <w:name w:val="正文斜体13"/>
    <w:basedOn w:val="184"/>
    <w:next w:val="184"/>
    <w:qFormat/>
    <w:uiPriority w:val="0"/>
    <w:rPr>
      <w:rFonts w:hAnsi="宋体"/>
      <w:i/>
      <w:iCs/>
    </w:rPr>
  </w:style>
  <w:style w:type="paragraph" w:customStyle="1" w:styleId="4059">
    <w:name w:val="Char45"/>
    <w:basedOn w:val="1"/>
    <w:qFormat/>
    <w:uiPriority w:val="0"/>
    <w:pPr>
      <w:ind w:left="-48"/>
    </w:pPr>
  </w:style>
  <w:style w:type="paragraph" w:customStyle="1" w:styleId="4060">
    <w:name w:val="表中文字13"/>
    <w:basedOn w:val="1"/>
    <w:qFormat/>
    <w:uiPriority w:val="0"/>
    <w:pPr>
      <w:widowControl/>
      <w:spacing w:line="240" w:lineRule="atLeast"/>
      <w:ind w:left="-24" w:leftChars="-10" w:right="-48" w:rightChars="-20"/>
      <w:jc w:val="center"/>
    </w:pPr>
    <w:rPr>
      <w:rFonts w:ascii="宋体"/>
      <w:kern w:val="0"/>
      <w:szCs w:val="21"/>
    </w:rPr>
  </w:style>
  <w:style w:type="paragraph" w:customStyle="1" w:styleId="4061">
    <w:name w:val="回信地址"/>
    <w:basedOn w:val="1"/>
    <w:qFormat/>
    <w:uiPriority w:val="0"/>
    <w:pPr>
      <w:keepLines/>
      <w:widowControl/>
      <w:overflowPunct w:val="0"/>
      <w:autoSpaceDE w:val="0"/>
      <w:autoSpaceDN w:val="0"/>
      <w:adjustRightInd w:val="0"/>
      <w:jc w:val="center"/>
      <w:textAlignment w:val="baseline"/>
    </w:pPr>
    <w:rPr>
      <w:kern w:val="0"/>
      <w:sz w:val="20"/>
      <w:szCs w:val="20"/>
    </w:rPr>
  </w:style>
  <w:style w:type="paragraph" w:customStyle="1" w:styleId="4062">
    <w:name w:val="Char2311"/>
    <w:basedOn w:val="1"/>
    <w:qFormat/>
    <w:uiPriority w:val="0"/>
    <w:pPr>
      <w:ind w:left="-48"/>
    </w:pPr>
  </w:style>
  <w:style w:type="paragraph" w:customStyle="1" w:styleId="4063">
    <w:name w:val="表格居中小四"/>
    <w:qFormat/>
    <w:uiPriority w:val="0"/>
    <w:pPr>
      <w:autoSpaceDE w:val="0"/>
      <w:autoSpaceDN w:val="0"/>
      <w:adjustRightInd w:val="0"/>
      <w:snapToGrid w:val="0"/>
      <w:jc w:val="center"/>
    </w:pPr>
    <w:rPr>
      <w:rFonts w:ascii="宋体" w:hAnsi="宋体" w:eastAsia="宋体" w:cs="Times New Roman"/>
      <w:szCs w:val="21"/>
      <w:lang w:val="en-US" w:eastAsia="zh-CN" w:bidi="ar-SA"/>
    </w:rPr>
  </w:style>
  <w:style w:type="paragraph" w:customStyle="1" w:styleId="4064">
    <w:name w:val="正文格式＝413"/>
    <w:basedOn w:val="184"/>
    <w:next w:val="184"/>
    <w:qFormat/>
    <w:uiPriority w:val="0"/>
    <w:rPr>
      <w:rFonts w:hAnsi="宋体"/>
    </w:rPr>
  </w:style>
  <w:style w:type="paragraph" w:customStyle="1" w:styleId="4065">
    <w:name w:val="默认段落字体 Para Char Char Char Char Char Char Char Char Char Char Char Char Char Char Char"/>
    <w:basedOn w:val="1"/>
    <w:qFormat/>
    <w:uiPriority w:val="0"/>
    <w:pPr>
      <w:shd w:val="clear" w:color="auto" w:fill="000080"/>
    </w:pPr>
    <w:rPr>
      <w:rFonts w:ascii="Tahoma" w:hAnsi="Tahoma"/>
      <w:sz w:val="24"/>
      <w:shd w:val="clear" w:color="auto" w:fill="000080"/>
    </w:rPr>
  </w:style>
  <w:style w:type="paragraph" w:customStyle="1" w:styleId="4066">
    <w:name w:val="燕山正文42"/>
    <w:basedOn w:val="1"/>
    <w:qFormat/>
    <w:uiPriority w:val="0"/>
    <w:pPr>
      <w:tabs>
        <w:tab w:val="left" w:pos="4680"/>
      </w:tabs>
      <w:adjustRightInd w:val="0"/>
      <w:snapToGrid w:val="0"/>
      <w:spacing w:line="480" w:lineRule="exact"/>
    </w:pPr>
    <w:rPr>
      <w:rFonts w:ascii="宋体" w:cs="宋体"/>
      <w:sz w:val="24"/>
    </w:rPr>
  </w:style>
  <w:style w:type="paragraph" w:customStyle="1" w:styleId="4067">
    <w:name w:val="表31"/>
    <w:basedOn w:val="1"/>
    <w:qFormat/>
    <w:uiPriority w:val="0"/>
    <w:pPr>
      <w:adjustRightInd w:val="0"/>
      <w:snapToGrid w:val="0"/>
      <w:jc w:val="center"/>
    </w:pPr>
    <w:rPr>
      <w:rFonts w:eastAsia="仿宋_GB2312"/>
      <w:sz w:val="24"/>
    </w:rPr>
  </w:style>
  <w:style w:type="paragraph" w:customStyle="1" w:styleId="4068">
    <w:name w:val="表内文字小12"/>
    <w:basedOn w:val="1"/>
    <w:qFormat/>
    <w:uiPriority w:val="0"/>
    <w:pPr>
      <w:adjustRightInd w:val="0"/>
      <w:snapToGrid w:val="0"/>
      <w:jc w:val="center"/>
    </w:pPr>
    <w:rPr>
      <w:rFonts w:ascii="宋体" w:hAnsi="Times"/>
      <w:szCs w:val="20"/>
    </w:rPr>
  </w:style>
  <w:style w:type="paragraph" w:customStyle="1" w:styleId="4069">
    <w:name w:val="样式 表格文字居中 + 右侧:  -0.06 字符1"/>
    <w:basedOn w:val="1"/>
    <w:qFormat/>
    <w:uiPriority w:val="0"/>
    <w:pPr>
      <w:adjustRightInd w:val="0"/>
      <w:ind w:right="-17"/>
      <w:jc w:val="center"/>
    </w:pPr>
    <w:rPr>
      <w:rFonts w:ascii="宋体" w:hAnsi="宋体"/>
      <w:kern w:val="0"/>
      <w:sz w:val="24"/>
    </w:rPr>
  </w:style>
  <w:style w:type="paragraph" w:customStyle="1" w:styleId="4070">
    <w:name w:val="正文格式42"/>
    <w:basedOn w:val="1"/>
    <w:qFormat/>
    <w:uiPriority w:val="0"/>
    <w:pPr>
      <w:spacing w:line="360" w:lineRule="auto"/>
      <w:ind w:firstLine="482"/>
    </w:pPr>
    <w:rPr>
      <w:rFonts w:ascii="宋体" w:hAnsi="宋体"/>
      <w:sz w:val="24"/>
    </w:rPr>
  </w:style>
  <w:style w:type="paragraph" w:customStyle="1" w:styleId="4071">
    <w:name w:val="表内宋5中31"/>
    <w:basedOn w:val="1"/>
    <w:qFormat/>
    <w:uiPriority w:val="0"/>
    <w:pPr>
      <w:adjustRightInd w:val="0"/>
      <w:snapToGrid w:val="0"/>
      <w:textAlignment w:val="baseline"/>
    </w:pPr>
    <w:rPr>
      <w:color w:val="000000"/>
      <w:kern w:val="0"/>
      <w:szCs w:val="20"/>
    </w:rPr>
  </w:style>
  <w:style w:type="paragraph" w:customStyle="1" w:styleId="4072">
    <w:name w:val="表题122"/>
    <w:basedOn w:val="21"/>
    <w:qFormat/>
    <w:uiPriority w:val="0"/>
    <w:pPr>
      <w:tabs>
        <w:tab w:val="clear" w:pos="7380"/>
      </w:tabs>
      <w:overflowPunct/>
      <w:spacing w:before="0" w:afterLines="0" w:line="360" w:lineRule="auto"/>
      <w:jc w:val="center"/>
    </w:pPr>
    <w:rPr>
      <w:rFonts w:ascii="黑体"/>
      <w:b/>
      <w:sz w:val="24"/>
      <w:szCs w:val="24"/>
    </w:rPr>
  </w:style>
  <w:style w:type="paragraph" w:customStyle="1" w:styleId="4073">
    <w:name w:val="9 Char Char Char7"/>
    <w:basedOn w:val="1"/>
    <w:qFormat/>
    <w:uiPriority w:val="0"/>
    <w:pPr>
      <w:spacing w:line="240" w:lineRule="exact"/>
      <w:ind w:firstLine="200" w:firstLineChars="200"/>
    </w:pPr>
    <w:rPr>
      <w:sz w:val="28"/>
      <w:szCs w:val="28"/>
    </w:rPr>
  </w:style>
  <w:style w:type="paragraph" w:customStyle="1" w:styleId="4074">
    <w:name w:val="标准4"/>
    <w:basedOn w:val="1"/>
    <w:qFormat/>
    <w:uiPriority w:val="0"/>
    <w:pPr>
      <w:adjustRightInd w:val="0"/>
      <w:spacing w:before="120" w:line="336" w:lineRule="auto"/>
      <w:jc w:val="center"/>
      <w:textAlignment w:val="baseline"/>
    </w:pPr>
    <w:rPr>
      <w:rFonts w:ascii="黑体" w:eastAsia="黑体"/>
      <w:szCs w:val="20"/>
    </w:rPr>
  </w:style>
  <w:style w:type="paragraph" w:customStyle="1" w:styleId="4075">
    <w:name w:val="样式 标题 3头 + (中文) 黑体 四号 段前: 0 磅 段后: 0 磅 行距: 1.5 倍行距3"/>
    <w:basedOn w:val="4"/>
    <w:qFormat/>
    <w:uiPriority w:val="0"/>
    <w:pPr>
      <w:tabs>
        <w:tab w:val="left" w:pos="233"/>
        <w:tab w:val="left" w:pos="720"/>
      </w:tabs>
      <w:spacing w:before="0" w:after="0" w:line="360" w:lineRule="auto"/>
      <w:ind w:left="720" w:hanging="720"/>
    </w:pPr>
    <w:rPr>
      <w:rFonts w:ascii="仿宋_GB2312" w:hAnsi="Courier New" w:eastAsia="仿宋_GB2312"/>
    </w:rPr>
  </w:style>
  <w:style w:type="character" w:customStyle="1" w:styleId="4076">
    <w:name w:val="正文缩进 Char1"/>
    <w:qFormat/>
    <w:uiPriority w:val="0"/>
    <w:rPr>
      <w:rFonts w:eastAsia="宋体"/>
      <w:kern w:val="2"/>
      <w:sz w:val="24"/>
      <w:szCs w:val="24"/>
      <w:lang w:val="en-US" w:eastAsia="zh-CN" w:bidi="ar-SA"/>
    </w:rPr>
  </w:style>
  <w:style w:type="character" w:customStyle="1" w:styleId="4077">
    <w:name w:val="纯文本 Char1"/>
    <w:qFormat/>
    <w:uiPriority w:val="0"/>
    <w:rPr>
      <w:rFonts w:ascii="宋体" w:hAnsi="Courier New" w:eastAsia="宋体"/>
      <w:kern w:val="2"/>
      <w:sz w:val="21"/>
      <w:lang w:val="en-US" w:eastAsia="zh-CN" w:bidi="ar-SA"/>
    </w:rPr>
  </w:style>
  <w:style w:type="character" w:customStyle="1" w:styleId="4078">
    <w:name w:val="谏壁chen表格内文字 Char"/>
    <w:link w:val="2433"/>
    <w:qFormat/>
    <w:uiPriority w:val="0"/>
    <w:rPr>
      <w:rFonts w:ascii="Times New Roman" w:hAnsi="Times New Roman" w:eastAsia="宋体" w:cs="Times New Roman"/>
      <w:kern w:val="2"/>
      <w:sz w:val="21"/>
      <w:szCs w:val="21"/>
    </w:rPr>
  </w:style>
  <w:style w:type="character" w:customStyle="1" w:styleId="4079">
    <w:name w:val="页眉 Char1"/>
    <w:qFormat/>
    <w:uiPriority w:val="0"/>
    <w:rPr>
      <w:kern w:val="2"/>
      <w:sz w:val="18"/>
      <w:szCs w:val="18"/>
    </w:rPr>
  </w:style>
  <w:style w:type="paragraph" w:customStyle="1" w:styleId="4080">
    <w:name w:val="Table Paragraph"/>
    <w:basedOn w:val="1"/>
    <w:qFormat/>
    <w:uiPriority w:val="1"/>
    <w:pPr>
      <w:autoSpaceDE w:val="0"/>
      <w:autoSpaceDN w:val="0"/>
      <w:jc w:val="center"/>
    </w:pPr>
    <w:rPr>
      <w:rFonts w:ascii="Noto Sans CJK JP Black" w:hAnsi="Noto Sans CJK JP Black" w:eastAsia="Noto Sans CJK JP Black" w:cs="Noto Sans CJK JP Black"/>
      <w:kern w:val="0"/>
      <w:sz w:val="22"/>
      <w:szCs w:val="22"/>
    </w:rPr>
  </w:style>
  <w:style w:type="character" w:customStyle="1" w:styleId="4081">
    <w:name w:val="表内 字符"/>
    <w:link w:val="2708"/>
    <w:qFormat/>
    <w:uiPriority w:val="0"/>
    <w:rPr>
      <w:rFonts w:ascii="Times New Roman" w:hAnsi="Times New Roman" w:eastAsia="宋体" w:cs="Times New Roman"/>
      <w:snapToGrid w:val="0"/>
      <w:kern w:val="2"/>
      <w:sz w:val="21"/>
    </w:rPr>
  </w:style>
  <w:style w:type="table" w:customStyle="1" w:styleId="4082">
    <w:name w:val="网格型模版1"/>
    <w:basedOn w:val="8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83">
    <w:name w:val="表格主题1"/>
    <w:basedOn w:val="8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84">
    <w:name w:val="古典型 11"/>
    <w:basedOn w:val="87"/>
    <w:qFormat/>
    <w:uiPriority w:val="0"/>
    <w:pPr>
      <w:widowControl w:val="0"/>
      <w:adjustRightInd w:val="0"/>
      <w:spacing w:line="312" w:lineRule="atLeast"/>
      <w:jc w:val="both"/>
      <w:textAlignment w:val="baseline"/>
    </w:pPr>
    <w:tblPr>
      <w:tblBorders>
        <w:top w:val="single" w:color="000000" w:sz="12" w:space="0"/>
        <w:bottom w:val="single" w:color="000000" w:sz="12" w:space="0"/>
      </w:tblBorders>
    </w:tblPr>
    <w:tcPr>
      <w:shd w:val="clear" w:color="auto" w:fill="auto"/>
    </w:tcPr>
    <w:tblStylePr w:type="firstRow">
      <w:rPr>
        <w:i/>
        <w:i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tcPr>
        <w:tcBorders>
          <w:right w:val="single" w:color="000000" w:sz="6" w:space="0"/>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table" w:customStyle="1" w:styleId="4085">
    <w:name w:val="maoli13"/>
    <w:basedOn w:val="87"/>
    <w:qFormat/>
    <w:uiPriority w:val="0"/>
    <w:rPr>
      <w:rFonts w:eastAsia="仿宋_GB2312"/>
      <w:sz w:val="21"/>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style>
  <w:style w:type="character" w:customStyle="1" w:styleId="4086">
    <w:name w:val="font51"/>
    <w:basedOn w:val="94"/>
    <w:qFormat/>
    <w:uiPriority w:val="0"/>
    <w:rPr>
      <w:rFonts w:hint="eastAsia" w:ascii="仿宋" w:hAnsi="仿宋" w:eastAsia="仿宋" w:cs="仿宋"/>
      <w:color w:val="FF0000"/>
      <w:sz w:val="21"/>
      <w:szCs w:val="21"/>
      <w:u w:val="none"/>
    </w:rPr>
  </w:style>
  <w:style w:type="character" w:customStyle="1" w:styleId="4087">
    <w:name w:val="font31"/>
    <w:basedOn w:val="94"/>
    <w:qFormat/>
    <w:uiPriority w:val="0"/>
    <w:rPr>
      <w:rFonts w:hint="default" w:ascii="Times New Roman" w:hAnsi="Times New Roman" w:cs="Times New Roman"/>
      <w:color w:val="FF0000"/>
      <w:sz w:val="21"/>
      <w:szCs w:val="21"/>
      <w:u w:val="none"/>
    </w:rPr>
  </w:style>
  <w:style w:type="table" w:customStyle="1" w:styleId="4088">
    <w:name w:val="Table Normal"/>
    <w:basedOn w:val="87"/>
    <w:qFormat/>
    <w:uiPriority w:val="0"/>
    <w:rPr>
      <w:rFonts w:eastAsia="Times New Roman"/>
    </w:rPr>
    <w:tblPr>
      <w:tblCellMar>
        <w:left w:w="0" w:type="dxa"/>
        <w:right w:w="0" w:type="dxa"/>
      </w:tblCellMar>
    </w:tblPr>
  </w:style>
  <w:style w:type="paragraph" w:customStyle="1" w:styleId="4089">
    <w:name w:val="正文文本 (22)"/>
    <w:basedOn w:val="1"/>
    <w:qFormat/>
    <w:uiPriority w:val="0"/>
    <w:pPr>
      <w:shd w:val="clear" w:color="auto" w:fill="FFFFFF"/>
      <w:spacing w:line="538" w:lineRule="exact"/>
    </w:pPr>
    <w:rPr>
      <w:rFonts w:ascii="宋体" w:hAnsi="宋体" w:cs="宋体"/>
      <w:spacing w:val="30"/>
      <w:sz w:val="26"/>
      <w:szCs w:val="26"/>
    </w:rPr>
  </w:style>
  <w:style w:type="character" w:customStyle="1" w:styleId="4090">
    <w:name w:val="正文文本 (22) + 间距 0 pt"/>
    <w:qFormat/>
    <w:uiPriority w:val="0"/>
    <w:rPr>
      <w:rFonts w:ascii="宋体" w:hAnsi="宋体" w:eastAsia="宋体" w:cs="宋体"/>
      <w:color w:val="000000"/>
      <w:spacing w:val="0"/>
      <w:w w:val="100"/>
      <w:position w:val="0"/>
      <w:sz w:val="26"/>
      <w:szCs w:val="26"/>
      <w:u w:val="none"/>
      <w:lang w:val="zh-CN" w:eastAsia="zh-CN" w:bidi="zh-CN"/>
    </w:rPr>
  </w:style>
</w:styles>
</file>

<file path=word/_rels/document.xml.rels><?xml version="1.0" encoding="UTF-8" standalone="yes"?>
<Relationships xmlns="http://schemas.openxmlformats.org/package/2006/relationships"><Relationship Id="rId99" Type="http://schemas.openxmlformats.org/officeDocument/2006/relationships/image" Target="media/image58.png"/><Relationship Id="rId98" Type="http://schemas.openxmlformats.org/officeDocument/2006/relationships/image" Target="media/image57.png"/><Relationship Id="rId97" Type="http://schemas.openxmlformats.org/officeDocument/2006/relationships/image" Target="media/image56.png"/><Relationship Id="rId96" Type="http://schemas.openxmlformats.org/officeDocument/2006/relationships/image" Target="media/image55.png"/><Relationship Id="rId95" Type="http://schemas.openxmlformats.org/officeDocument/2006/relationships/image" Target="media/image54.png"/><Relationship Id="rId94" Type="http://schemas.openxmlformats.org/officeDocument/2006/relationships/image" Target="media/image53.png"/><Relationship Id="rId93" Type="http://schemas.openxmlformats.org/officeDocument/2006/relationships/image" Target="media/image52.png"/><Relationship Id="rId92" Type="http://schemas.openxmlformats.org/officeDocument/2006/relationships/image" Target="media/image51.png"/><Relationship Id="rId91" Type="http://schemas.openxmlformats.org/officeDocument/2006/relationships/image" Target="media/image50.wmf"/><Relationship Id="rId90" Type="http://schemas.openxmlformats.org/officeDocument/2006/relationships/oleObject" Target="embeddings/oleObject5.bin"/><Relationship Id="rId9" Type="http://schemas.openxmlformats.org/officeDocument/2006/relationships/footer" Target="footer4.xml"/><Relationship Id="rId89" Type="http://schemas.openxmlformats.org/officeDocument/2006/relationships/image" Target="media/image49.wmf"/><Relationship Id="rId88" Type="http://schemas.openxmlformats.org/officeDocument/2006/relationships/oleObject" Target="embeddings/oleObject4.bin"/><Relationship Id="rId87" Type="http://schemas.openxmlformats.org/officeDocument/2006/relationships/image" Target="media/image48.wmf"/><Relationship Id="rId86" Type="http://schemas.openxmlformats.org/officeDocument/2006/relationships/oleObject" Target="embeddings/oleObject3.bin"/><Relationship Id="rId85" Type="http://schemas.openxmlformats.org/officeDocument/2006/relationships/image" Target="media/image47.wmf"/><Relationship Id="rId84" Type="http://schemas.openxmlformats.org/officeDocument/2006/relationships/oleObject" Target="embeddings/oleObject2.bin"/><Relationship Id="rId83" Type="http://schemas.openxmlformats.org/officeDocument/2006/relationships/image" Target="media/image46.png"/><Relationship Id="rId82" Type="http://schemas.openxmlformats.org/officeDocument/2006/relationships/image" Target="media/image45.wmf"/><Relationship Id="rId81" Type="http://schemas.openxmlformats.org/officeDocument/2006/relationships/image" Target="media/image44.png"/><Relationship Id="rId80" Type="http://schemas.openxmlformats.org/officeDocument/2006/relationships/image" Target="media/image43.jpeg"/><Relationship Id="rId8" Type="http://schemas.openxmlformats.org/officeDocument/2006/relationships/header" Target="header3.xml"/><Relationship Id="rId79" Type="http://schemas.openxmlformats.org/officeDocument/2006/relationships/image" Target="media/image42.jpeg"/><Relationship Id="rId78" Type="http://schemas.openxmlformats.org/officeDocument/2006/relationships/image" Target="media/image41.jpeg"/><Relationship Id="rId77" Type="http://schemas.openxmlformats.org/officeDocument/2006/relationships/image" Target="media/image40.png"/><Relationship Id="rId76" Type="http://schemas.openxmlformats.org/officeDocument/2006/relationships/image" Target="media/image39.png"/><Relationship Id="rId75" Type="http://schemas.openxmlformats.org/officeDocument/2006/relationships/image" Target="media/image38.png"/><Relationship Id="rId74" Type="http://schemas.openxmlformats.org/officeDocument/2006/relationships/image" Target="media/image37.png"/><Relationship Id="rId73" Type="http://schemas.openxmlformats.org/officeDocument/2006/relationships/image" Target="media/image36.png"/><Relationship Id="rId72" Type="http://schemas.openxmlformats.org/officeDocument/2006/relationships/image" Target="media/image35.png"/><Relationship Id="rId71" Type="http://schemas.openxmlformats.org/officeDocument/2006/relationships/image" Target="media/image34.wmf"/><Relationship Id="rId70" Type="http://schemas.openxmlformats.org/officeDocument/2006/relationships/oleObject" Target="embeddings/oleObject1.bin"/><Relationship Id="rId7" Type="http://schemas.openxmlformats.org/officeDocument/2006/relationships/header" Target="header2.xml"/><Relationship Id="rId69" Type="http://schemas.openxmlformats.org/officeDocument/2006/relationships/image" Target="media/image33.png"/><Relationship Id="rId68" Type="http://schemas.openxmlformats.org/officeDocument/2006/relationships/image" Target="media/image32.png"/><Relationship Id="rId67" Type="http://schemas.openxmlformats.org/officeDocument/2006/relationships/image" Target="media/image31.png"/><Relationship Id="rId66" Type="http://schemas.openxmlformats.org/officeDocument/2006/relationships/image" Target="media/image30.png"/><Relationship Id="rId65" Type="http://schemas.openxmlformats.org/officeDocument/2006/relationships/image" Target="media/image29.png"/><Relationship Id="rId64" Type="http://schemas.openxmlformats.org/officeDocument/2006/relationships/image" Target="media/image28.png"/><Relationship Id="rId63" Type="http://schemas.openxmlformats.org/officeDocument/2006/relationships/image" Target="media/image27.png"/><Relationship Id="rId62" Type="http://schemas.openxmlformats.org/officeDocument/2006/relationships/image" Target="media/image26.png"/><Relationship Id="rId61" Type="http://schemas.openxmlformats.org/officeDocument/2006/relationships/image" Target="media/image25.png"/><Relationship Id="rId60" Type="http://schemas.openxmlformats.org/officeDocument/2006/relationships/image" Target="media/image24.png"/><Relationship Id="rId6" Type="http://schemas.openxmlformats.org/officeDocument/2006/relationships/footer" Target="footer3.xml"/><Relationship Id="rId59" Type="http://schemas.openxmlformats.org/officeDocument/2006/relationships/image" Target="media/image23.png"/><Relationship Id="rId58" Type="http://schemas.openxmlformats.org/officeDocument/2006/relationships/image" Target="media/image22.png"/><Relationship Id="rId57" Type="http://schemas.openxmlformats.org/officeDocument/2006/relationships/image" Target="media/image21.png"/><Relationship Id="rId56" Type="http://schemas.openxmlformats.org/officeDocument/2006/relationships/image" Target="media/image20.png"/><Relationship Id="rId55" Type="http://schemas.openxmlformats.org/officeDocument/2006/relationships/image" Target="media/image19.png"/><Relationship Id="rId54" Type="http://schemas.openxmlformats.org/officeDocument/2006/relationships/image" Target="media/image18.png"/><Relationship Id="rId53" Type="http://schemas.openxmlformats.org/officeDocument/2006/relationships/image" Target="media/image17.png"/><Relationship Id="rId52" Type="http://schemas.openxmlformats.org/officeDocument/2006/relationships/image" Target="media/image16.png"/><Relationship Id="rId51" Type="http://schemas.openxmlformats.org/officeDocument/2006/relationships/image" Target="media/image15.wmf"/><Relationship Id="rId50" Type="http://schemas.openxmlformats.org/officeDocument/2006/relationships/image" Target="media/image14.wmf"/><Relationship Id="rId5" Type="http://schemas.openxmlformats.org/officeDocument/2006/relationships/footer" Target="footer2.xml"/><Relationship Id="rId49" Type="http://schemas.openxmlformats.org/officeDocument/2006/relationships/image" Target="media/image13.wmf"/><Relationship Id="rId48" Type="http://schemas.openxmlformats.org/officeDocument/2006/relationships/image" Target="media/image12.png"/><Relationship Id="rId47" Type="http://schemas.openxmlformats.org/officeDocument/2006/relationships/image" Target="media/image11.png"/><Relationship Id="rId46" Type="http://schemas.openxmlformats.org/officeDocument/2006/relationships/image" Target="media/image10.png"/><Relationship Id="rId45" Type="http://schemas.openxmlformats.org/officeDocument/2006/relationships/image" Target="media/image9.png"/><Relationship Id="rId44" Type="http://schemas.openxmlformats.org/officeDocument/2006/relationships/image" Target="media/image8.jpeg"/><Relationship Id="rId43" Type="http://schemas.openxmlformats.org/officeDocument/2006/relationships/image" Target="media/image7.png"/><Relationship Id="rId42" Type="http://schemas.openxmlformats.org/officeDocument/2006/relationships/image" Target="media/image6.png"/><Relationship Id="rId41" Type="http://schemas.openxmlformats.org/officeDocument/2006/relationships/image" Target="media/image5.png"/><Relationship Id="rId40" Type="http://schemas.openxmlformats.org/officeDocument/2006/relationships/image" Target="media/image4.png"/><Relationship Id="rId4" Type="http://schemas.openxmlformats.org/officeDocument/2006/relationships/header" Target="header1.xml"/><Relationship Id="rId39" Type="http://schemas.openxmlformats.org/officeDocument/2006/relationships/image" Target="media/image3.png"/><Relationship Id="rId38" Type="http://schemas.openxmlformats.org/officeDocument/2006/relationships/image" Target="media/image2.png"/><Relationship Id="rId37" Type="http://schemas.openxmlformats.org/officeDocument/2006/relationships/image" Target="media/image1.png"/><Relationship Id="rId36" Type="http://schemas.openxmlformats.org/officeDocument/2006/relationships/theme" Target="theme/theme1.xml"/><Relationship Id="rId35" Type="http://schemas.openxmlformats.org/officeDocument/2006/relationships/header" Target="header11.xml"/><Relationship Id="rId34" Type="http://schemas.openxmlformats.org/officeDocument/2006/relationships/footer" Target="footer22.xml"/><Relationship Id="rId33" Type="http://schemas.openxmlformats.org/officeDocument/2006/relationships/footer" Target="footer21.xml"/><Relationship Id="rId32" Type="http://schemas.openxmlformats.org/officeDocument/2006/relationships/footer" Target="footer20.xml"/><Relationship Id="rId31" Type="http://schemas.openxmlformats.org/officeDocument/2006/relationships/header" Target="header10.xml"/><Relationship Id="rId30" Type="http://schemas.openxmlformats.org/officeDocument/2006/relationships/footer" Target="footer19.xml"/><Relationship Id="rId3" Type="http://schemas.openxmlformats.org/officeDocument/2006/relationships/footer" Target="footer1.xml"/><Relationship Id="rId29" Type="http://schemas.openxmlformats.org/officeDocument/2006/relationships/footer" Target="footer18.xml"/><Relationship Id="rId28" Type="http://schemas.openxmlformats.org/officeDocument/2006/relationships/header" Target="header9.xml"/><Relationship Id="rId27" Type="http://schemas.openxmlformats.org/officeDocument/2006/relationships/header" Target="header8.xml"/><Relationship Id="rId26" Type="http://schemas.openxmlformats.org/officeDocument/2006/relationships/header" Target="header7.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header" Target="header6.xml"/><Relationship Id="rId20" Type="http://schemas.openxmlformats.org/officeDocument/2006/relationships/header" Target="header5.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header" Target="header4.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5" Type="http://schemas.openxmlformats.org/officeDocument/2006/relationships/fontTable" Target="fontTable.xml"/><Relationship Id="rId104" Type="http://schemas.openxmlformats.org/officeDocument/2006/relationships/customXml" Target="../customXml/item2.xml"/><Relationship Id="rId103" Type="http://schemas.openxmlformats.org/officeDocument/2006/relationships/numbering" Target="numbering.xml"/><Relationship Id="rId102" Type="http://schemas.openxmlformats.org/officeDocument/2006/relationships/customXml" Target="../customXml/item1.xml"/><Relationship Id="rId101" Type="http://schemas.openxmlformats.org/officeDocument/2006/relationships/image" Target="media/image60.jpeg"/><Relationship Id="rId100" Type="http://schemas.openxmlformats.org/officeDocument/2006/relationships/image" Target="media/image59.png"/><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5733"/>
    <customShpInfo spid="_x0000_s15734"/>
    <customShpInfo spid="_x0000_s15732"/>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B22039B-AF5D-4BE3-8DF1-24DFB8EDB9F1}">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295</Pages>
  <Words>29478</Words>
  <Characters>168029</Characters>
  <Lines>1400</Lines>
  <Paragraphs>394</Paragraphs>
  <TotalTime>264</TotalTime>
  <ScaleCrop>false</ScaleCrop>
  <LinksUpToDate>false</LinksUpToDate>
  <CharactersWithSpaces>197113</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2022-05-04T06:54:00Z</dcterms:created>
  <dc:creator>dreamsummit</dc:creator>
  <cp:lastModifiedBy>球球</cp:lastModifiedBy>
  <cp:lastPrinted>2023-09-22T01:46:00Z</cp:lastPrinted>
  <dcterms:modified xsi:type="dcterms:W3CDTF">2023-09-26T01:03:48Z</dcterms:modified>
  <dc:title>寅盛药业</dc:title>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F00C03F0BCC64924A7D95DC3AE83D032_13</vt:lpwstr>
  </property>
</Properties>
</file>